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SUPERVISION HUMANA OBLIGATORIA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Garantiza que todo producto generado por CecilIA sea revisado y validado por un auditor.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Definir los mecanismos de supervision humana para todo contenido generado por CecilIA v2, conforme a la Circular 023 de la CGR y los principios de la UNESCO sobre IA..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Circular 023 CGR — Principio 4: Supervision humana. CONPES 4144/2025 — Eje 3: Confianza. Sentencia T-323/2024 Corte Constitucional — Criterios uso responsable IA..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Niveles de supervision</w:t>
      </w:r>
    </w:p>
    <w:p>
      <w:pPr>
        <w:jc w:val="both"/>
      </w:pPr>
      <w:r>
        <w:rPr>
          <w:rFonts w:ascii="Calibri" w:hAnsi="Calibri"/>
          <w:sz w:val="22"/>
        </w:rPr>
        <w:t>Nivel 1 (Chat): El auditor evalua cada respuesta antes de usarla. Nivel 2 (Formatos): Checkbox obligatorio de validacion antes de descarga. Nivel 3 (Hallazgos): Workflow de aprobacion con firma del director..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Usos limitados por Circular 023</w:t>
      </w:r>
    </w:p>
    <w:p>
      <w:pPr>
        <w:jc w:val="both"/>
      </w:pPr>
      <w:r>
        <w:rPr>
          <w:rFonts w:ascii="Calibri" w:hAnsi="Calibri"/>
          <w:sz w:val="22"/>
        </w:rPr>
        <w:t>CecilIA NO puede generar como producto final: dictamenes, opiniones sobre estados contables, hallazgos definitivos, diagnosticos sectoriales completos ni informes finales. CecilIA SOLO genera borradores y sugerencias..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Controles implementados</w:t>
      </w:r>
    </w:p>
    <w:p>
      <w:pPr>
        <w:jc w:val="both"/>
      </w:pPr>
      <w:r>
        <w:rPr>
          <w:rFonts w:ascii="Calibri" w:hAnsi="Calibri"/>
          <w:sz w:val="22"/>
        </w:rPr>
        <w:t>Disclaimer automatico en cada respuesta del chat. Modal de aceptacion al primer login. Checkbox de validacion en formatos. Nota de IA en pie de pagina de todo DOCX..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9.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