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ETICA, INTEGRIDAD CIENTIFICA Y PRINCIPIOS FAIR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Marco etico para el desarrollo y uso de CecilIA.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Establecer el marco etico que rige el desarrollo, despliegue y uso de CecilIA v2, basado en principios internacionales de etica en IA..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UNESCO Recomendacion sobre Etica de la IA (2021). OCDE Principios IA (2019). CONPES 4144/2025 — Eje etico. Sentencia T-323/2024..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Principios eticos</w:t>
      </w:r>
    </w:p>
    <w:p>
      <w:pPr>
        <w:jc w:val="both"/>
      </w:pPr>
      <w:r>
        <w:rPr>
          <w:rFonts w:ascii="Calibri" w:hAnsi="Calibri"/>
          <w:sz w:val="22"/>
        </w:rPr>
        <w:t>Beneficencia: CecilIA debe contribuir al bien publico. No maleficencia: Minimizar riesgos de dano. Autonomia: El auditor mantiene la decision final. Justicia: Acceso equitativo sin discriminacion. Explicabilidad: Toda respuesta es trazable..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Principios FAIR</w:t>
      </w:r>
    </w:p>
    <w:p>
      <w:pPr>
        <w:jc w:val="both"/>
      </w:pPr>
      <w:r>
        <w:rPr>
          <w:rFonts w:ascii="Calibri" w:hAnsi="Calibri"/>
          <w:sz w:val="22"/>
        </w:rPr>
        <w:t>Findable: Los datos del corpus son catalogados con metadatos. Accessible: Acceso controlado por roles. Interoperable: Formatos estandar (DOCX, JSON, CSV). Reusable: Documentacion completa del corpus..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Comite de etica</w:t>
      </w:r>
    </w:p>
    <w:p>
      <w:pPr>
        <w:jc w:val="both"/>
      </w:pPr>
      <w:r>
        <w:rPr>
          <w:rFonts w:ascii="Calibri" w:hAnsi="Calibri"/>
          <w:sz w:val="22"/>
        </w:rPr>
        <w:t>Se recomienda conformar un comite de etica IA que evalue periodicamente el impacto del sistema en los procesos de control fiscal..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