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2880000" cy="7713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cg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771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080000" cy="10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cecili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0"/>
        <w:jc w:val="center"/>
      </w:pPr>
      <w:r>
        <w:rPr>
          <w:rFonts w:ascii="Georgia" w:hAnsi="Georgia"/>
          <w:b/>
          <w:color w:val="1A5276"/>
          <w:sz w:val="44"/>
        </w:rPr>
        <w:t>POLITICA DE GESTION DE INCIDENTES DE IA</w:t>
      </w:r>
    </w:p>
    <w:p>
      <w:pPr>
        <w:spacing w:before="120"/>
        <w:jc w:val="center"/>
      </w:pPr>
      <w:r>
        <w:rPr>
          <w:rFonts w:ascii="Calibri" w:hAnsi="Calibri"/>
          <w:color w:val="5F6368"/>
          <w:sz w:val="28"/>
        </w:rPr>
        <w:t>Protocolo para responder a incidentes relacionados con el sistema de IA.</w:t>
      </w:r>
    </w:p>
    <w:p>
      <w:pPr>
        <w:spacing w:before="80" w:after="80"/>
        <w:jc w:val="center"/>
      </w:pPr>
      <w:r>
        <w:rPr>
          <w:color w:val="C9A84C"/>
          <w:sz w:val="12"/>
        </w:rPr>
        <w:t>________________________________________________________________________________</w:t>
      </w:r>
    </w:p>
    <w:p>
      <w:pPr>
        <w:spacing w:before="0" w:after="40"/>
        <w:jc w:val="center"/>
      </w:pPr>
      <w:r>
        <w:rPr>
          <w:rFonts w:ascii="Calibri" w:hAnsi="Calibri"/>
          <w:b/>
          <w:sz w:val="24"/>
        </w:rPr>
        <w:t>Contraloria General de la Republica</w:t>
      </w:r>
    </w:p>
    <w:p>
      <w:pPr>
        <w:spacing w:before="0" w:after="40"/>
        <w:jc w:val="center"/>
      </w:pPr>
      <w:r>
        <w:rPr>
          <w:rFonts w:ascii="Calibri" w:hAnsi="Calibri"/>
          <w:b w:val="0"/>
          <w:sz w:val="20"/>
        </w:rPr>
        <w:t>Contraloria Delegada para el Sector TIC — CD-TIC</w:t>
      </w:r>
    </w:p>
    <w:p>
      <w:pPr>
        <w:spacing w:before="0" w:after="40"/>
        <w:jc w:val="center"/>
      </w:pPr>
    </w:p>
    <w:p>
      <w:pPr>
        <w:spacing w:before="0" w:after="40"/>
        <w:jc w:val="center"/>
      </w:pPr>
      <w:r>
        <w:rPr>
          <w:rFonts w:ascii="Calibri" w:hAnsi="Calibri"/>
          <w:b w:val="0"/>
          <w:sz w:val="18"/>
        </w:rPr>
        <w:t>Proyecto concebido e impulsado por el</w:t>
      </w:r>
    </w:p>
    <w:p>
      <w:pPr>
        <w:spacing w:before="0" w:after="40"/>
        <w:jc w:val="center"/>
      </w:pPr>
      <w:r>
        <w:rPr>
          <w:rFonts w:ascii="Calibri" w:hAnsi="Calibri"/>
          <w:b/>
          <w:sz w:val="20"/>
        </w:rPr>
        <w:t>Dr. Omar Javier Contreras Socarras</w:t>
      </w:r>
    </w:p>
    <w:p>
      <w:pPr>
        <w:spacing w:before="0" w:after="40"/>
        <w:jc w:val="center"/>
      </w:pPr>
      <w:r>
        <w:rPr>
          <w:rFonts w:ascii="Calibri" w:hAnsi="Calibri"/>
          <w:b w:val="0"/>
          <w:sz w:val="18"/>
        </w:rPr>
        <w:t>Contralor Delegado TIC</w:t>
      </w:r>
    </w:p>
    <w:p>
      <w:pPr>
        <w:spacing w:before="0" w:after="40"/>
        <w:jc w:val="center"/>
      </w:pPr>
    </w:p>
    <w:p>
      <w:pPr>
        <w:spacing w:before="0" w:after="40"/>
        <w:jc w:val="center"/>
      </w:pPr>
      <w:r>
        <w:rPr>
          <w:rFonts w:ascii="Calibri" w:hAnsi="Calibri"/>
          <w:b w:val="0"/>
          <w:color w:val="C9A84C"/>
          <w:sz w:val="20"/>
        </w:rPr>
        <w:t>Version 1.0 — Abril 2026</w:t>
      </w:r>
    </w:p>
    <w:p>
      <w:pPr>
        <w:spacing w:before="0" w:after="40"/>
        <w:jc w:val="center"/>
      </w:pPr>
      <w:r>
        <w:rPr>
          <w:rFonts w:ascii="Calibri" w:hAnsi="Calibri"/>
          <w:b w:val="0"/>
          <w:i/>
          <w:color w:val="5F6368"/>
          <w:sz w:val="16"/>
        </w:rPr>
        <w:t>DOCUMENTO DE USO INTERNO — EQUIPO TECNICO PILOTO CECILIA</w:t>
      </w:r>
    </w:p>
    <w:p>
      <w:r>
        <w:br w:type="page"/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1800000" cy="48207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cg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482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eorgia" w:hAnsi="Georgia"/>
          <w:b/>
          <w:color w:val="1A5276"/>
          <w:sz w:val="28"/>
        </w:rPr>
        <w:t>CONTRALORIA GENERAL DE LA REPUBLICA</w:t>
      </w:r>
    </w:p>
    <w:p>
      <w:pPr>
        <w:spacing w:after="40"/>
        <w:jc w:val="center"/>
      </w:pPr>
      <w:r>
        <w:rPr>
          <w:rFonts w:ascii="Calibri" w:hAnsi="Calibri"/>
          <w:sz w:val="22"/>
        </w:rPr>
        <w:t>Contraloria Delegada para el Sector TIC — CD-TIC</w:t>
      </w:r>
    </w:p>
    <w:p>
      <w:pPr>
        <w:spacing w:after="80"/>
        <w:jc w:val="center"/>
      </w:pPr>
      <w:r>
        <w:rPr>
          <w:rFonts w:ascii="Calibri" w:hAnsi="Calibri"/>
          <w:i/>
          <w:color w:val="5F6368"/>
          <w:sz w:val="20"/>
        </w:rPr>
        <w:t>Piloto de Inteligencia Artificial CecilIA</w:t>
      </w:r>
    </w:p>
    <w:p>
      <w:pPr>
        <w:spacing w:before="80" w:after="80"/>
        <w:jc w:val="center"/>
      </w:pPr>
      <w:r>
        <w:rPr>
          <w:color w:val="C9A84C"/>
          <w:sz w:val="12"/>
        </w:rPr>
        <w:t>________________________________________________________________________________</w:t>
      </w:r>
    </w:p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1. Objeto y alcance</w:t>
      </w:r>
    </w:p>
    <w:p>
      <w:pPr>
        <w:jc w:val="both"/>
      </w:pPr>
      <w:r>
        <w:rPr>
          <w:rFonts w:ascii="Calibri" w:hAnsi="Calibri"/>
          <w:sz w:val="22"/>
        </w:rPr>
        <w:t>Definir el protocolo de respuesta ante incidentes relacionados con CecilIA v2, incluyendo alucinaciones criticas, sesgos detectados y fallos de seguridad..</w:t>
      </w:r>
    </w:p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2. Marco normativo</w:t>
      </w:r>
    </w:p>
    <w:p>
      <w:pPr>
        <w:jc w:val="both"/>
      </w:pPr>
      <w:r>
        <w:rPr>
          <w:rFonts w:ascii="Calibri" w:hAnsi="Calibri"/>
          <w:sz w:val="22"/>
        </w:rPr>
        <w:t>NIST AI RMF 1.0 — RESPOND. ISO/IEC 42001 — Clausula 10 Mejora..</w:t>
      </w:r>
    </w:p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3. Clasificacion de incidentes</w:t>
      </w:r>
    </w:p>
    <w:p>
      <w:pPr>
        <w:jc w:val="both"/>
      </w:pPr>
      <w:r>
        <w:rPr>
          <w:rFonts w:ascii="Calibri" w:hAnsi="Calibri"/>
          <w:sz w:val="22"/>
        </w:rPr>
        <w:t>Critico: Respuesta que podria causar dano fiscal si se usa sin validar. Alto: Alucinacion en tema normativo que contradice la ley vigente. Medio: Error factual en datos no criticos. Bajo: Error de formato o presentacion..</w:t>
      </w:r>
    </w:p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4. Protocolo de respuesta</w:t>
      </w:r>
    </w:p>
    <w:p>
      <w:pPr>
        <w:jc w:val="both"/>
      </w:pPr>
      <w:r>
        <w:rPr>
          <w:rFonts w:ascii="Calibri" w:hAnsi="Calibri"/>
          <w:sz w:val="22"/>
        </w:rPr>
        <w:t>1. Deteccion: Via feedback de usuario o monitoreo automatico. 2. Escalamiento: Segun nivel de criticidad al equipo tecnico. 3. Contencion: Desactivacion del modulo afectado si es necesario. 4. Correccion: Actualizacion del corpus o ajuste del sistema. 5. Documentacion: Registro del incidente y leccion aprendida..</w:t>
      </w:r>
    </w:p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5. Roles y responsabilidades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1928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</w:t>
            </w:r>
          </w:p>
        </w:tc>
        <w:tc>
          <w:tcPr>
            <w:tcW w:type="dxa" w:w="1928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</w:t>
            </w:r>
          </w:p>
        </w:tc>
        <w:tc>
          <w:tcPr>
            <w:tcW w:type="dxa" w:w="1928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</w:t>
            </w:r>
          </w:p>
        </w:tc>
        <w:tc>
          <w:tcPr>
            <w:tcW w:type="dxa" w:w="1928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</w:t>
            </w:r>
          </w:p>
        </w:tc>
      </w:tr>
      <w:tr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Contralor Delegado TIC</w:t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A</w:t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Director DES/DVF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C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I</w:t>
            </w:r>
          </w:p>
        </w:tc>
      </w:tr>
      <w:tr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Lider Tecnico</w:t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R</w:t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Coordinadora Juridica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C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Auditores</w:t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I</w:t>
            </w:r>
          </w:p>
        </w:tc>
      </w:tr>
    </w:tbl>
    <w:p/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6. Indicadores de cumplimiento</w:t>
      </w:r>
    </w:p>
    <w:p>
      <w:pPr>
        <w:jc w:val="both"/>
      </w:pPr>
      <w:r>
        <w:rPr>
          <w:rFonts w:ascii="Calibri" w:hAnsi="Calibri"/>
          <w:sz w:val="22"/>
        </w:rPr>
        <w:t>Se mediran trimestralmente los siguientes indicadores:</w:t>
      </w:r>
    </w:p>
    <w:p>
      <w:pPr>
        <w:spacing w:before="20" w:after="20"/>
        <w:ind w:left="567"/>
      </w:pPr>
      <w:r>
        <w:rPr>
          <w:rFonts w:ascii="Calibri" w:hAnsi="Calibri"/>
          <w:sz w:val="22"/>
        </w:rPr>
        <w:t>- Porcentaje de cumplimiento de los controles establecidos</w:t>
      </w:r>
    </w:p>
    <w:p>
      <w:pPr>
        <w:spacing w:before="20" w:after="20"/>
        <w:ind w:left="567"/>
      </w:pPr>
      <w:r>
        <w:rPr>
          <w:rFonts w:ascii="Calibri" w:hAnsi="Calibri"/>
          <w:sz w:val="22"/>
        </w:rPr>
        <w:t>- Numero de incidentes reportados relacionados con esta politica</w:t>
      </w:r>
    </w:p>
    <w:p>
      <w:pPr>
        <w:spacing w:before="20" w:after="20"/>
        <w:ind w:left="567"/>
      </w:pPr>
      <w:r>
        <w:rPr>
          <w:rFonts w:ascii="Calibri" w:hAnsi="Calibri"/>
          <w:sz w:val="22"/>
        </w:rPr>
        <w:t>- Resultado de evaluaciones periodicas del equipo tecnico</w:t>
      </w:r>
    </w:p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7. Periodicidad de revision</w:t>
      </w:r>
    </w:p>
    <w:p>
      <w:pPr>
        <w:jc w:val="both"/>
      </w:pPr>
      <w:r>
        <w:rPr>
          <w:rFonts w:ascii="Calibri" w:hAnsi="Calibri"/>
          <w:sz w:val="22"/>
        </w:rPr>
        <w:t>Esta politica sera revisada semestralmente o cuando se presenten cambios normativos significativos.</w:t>
      </w:r>
    </w:p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8. Control de versiones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409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  <w:tc>
          <w:tcPr>
            <w:tcW w:type="dxa" w:w="2409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Descripcion</w:t>
            </w:r>
          </w:p>
        </w:tc>
        <w:tc>
          <w:tcPr>
            <w:tcW w:type="dxa" w:w="2409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Elaborado por</w:t>
            </w:r>
          </w:p>
        </w:tc>
      </w:tr>
      <w:tr>
        <w:tc>
          <w:tcPr>
            <w:tcW w:type="dxa" w:w="2409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1.0</w:t>
            </w:r>
          </w:p>
        </w:tc>
        <w:tc>
          <w:tcPr>
            <w:tcW w:type="dxa" w:w="2409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Abril 2026</w:t>
            </w:r>
          </w:p>
        </w:tc>
        <w:tc>
          <w:tcPr>
            <w:tcW w:type="dxa" w:w="2409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Version inicial</w:t>
            </w:r>
          </w:p>
        </w:tc>
        <w:tc>
          <w:tcPr>
            <w:tcW w:type="dxa" w:w="2409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Equipo Tecnico CecilIA</w:t>
            </w:r>
          </w:p>
        </w:tc>
      </w:tr>
    </w:tbl>
    <w:p/>
    <w:p>
      <w:pPr>
        <w:spacing w:before="240"/>
        <w:jc w:val="center"/>
      </w:pPr>
      <w:r>
        <w:rPr>
          <w:rFonts w:ascii="Calibri" w:hAnsi="Calibri"/>
          <w:i/>
          <w:color w:val="5F6368"/>
          <w:sz w:val="16"/>
        </w:rPr>
        <w:t>Este documento fue generado con asistencia de inteligencia artificial (CecilIA v2). Todos los datos, analisis y conclusiones deben ser verificados y validados por el equipo auditor antes de su uso oficial, conforme a lo establecido en la Circular 023 de la CGR.</w:t>
      </w:r>
    </w:p>
    <w:p>
      <w:r>
        <w:br w:type="page"/>
      </w:r>
    </w:p>
    <w:p>
      <w:pPr>
        <w:spacing w:before="1200"/>
        <w:jc w:val="center"/>
      </w:pPr>
      <w:r>
        <w:rPr>
          <w:rFonts w:ascii="Georgia" w:hAnsi="Georgia"/>
          <w:b/>
          <w:color w:val="1A5276"/>
          <w:sz w:val="32"/>
        </w:rPr>
        <w:t>Equipo Tecnico Piloto CecilIA</w:t>
      </w:r>
    </w:p>
    <w:p>
      <w:pPr>
        <w:spacing w:before="80" w:after="80"/>
        <w:jc w:val="center"/>
      </w:pPr>
      <w:r>
        <w:rPr>
          <w:color w:val="C9A84C"/>
          <w:sz w:val="12"/>
        </w:rPr>
        <w:t>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3213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Cargo</w:t>
            </w:r>
          </w:p>
        </w:tc>
        <w:tc>
          <w:tcPr>
            <w:tcW w:type="dxa" w:w="3213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Rol en el proyecto</w:t>
            </w:r>
          </w:p>
        </w:tc>
      </w:tr>
      <w:tr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Dr. Omar Javier Contreras Socarras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Impulsor del proyecto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Contralor Delegado TIC (Concepcion)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Dr. Hector Hernan Gonzalez Naranjo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Contralor Delegado TIC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Direccion operativa</w:t>
            </w:r>
          </w:p>
        </w:tc>
      </w:tr>
      <w:tr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Dr. Juan Carlos Cobo Gomez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Director DES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Control fiscal macro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Dr. Jose Fernando Ramirez Munoz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Director DVF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Control fiscal micro</w:t>
            </w:r>
          </w:p>
        </w:tc>
      </w:tr>
      <w:tr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Dra. Karen Tatiana Suevis Gomez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Coordinadora Juridica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Marco legal y etica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Ing. Gustavo Adolfo Castillo Romero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Lider Tecnico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Arquitectura y desarrollo</w:t>
            </w:r>
          </w:p>
        </w:tc>
      </w:tr>
    </w:tbl>
    <w:p/>
    <w:p>
      <w:pPr>
        <w:spacing w:before="240"/>
        <w:jc w:val="center"/>
      </w:pPr>
      <w:r>
        <w:rPr>
          <w:rFonts w:ascii="Calibri" w:hAnsi="Calibri"/>
          <w:b/>
          <w:sz w:val="22"/>
        </w:rPr>
        <w:t>Contraloria Delegada para el Sector TIC — CD-TIC-CGR</w:t>
      </w:r>
    </w:p>
    <w:p>
      <w:pPr>
        <w:spacing w:before="240"/>
        <w:jc w:val="center"/>
      </w:pPr>
      <w:r>
        <w:rPr>
          <w:rFonts w:ascii="Calibri" w:hAnsi="Calibri"/>
          <w:b w:val="0"/>
          <w:sz w:val="22"/>
        </w:rPr>
        <w:t>Bogota D.C., Colombia — 2026</w:t>
      </w:r>
    </w:p>
    <w:sectPr w:rsidR="00FC693F" w:rsidRPr="0006063C" w:rsidSect="00034616">
      <w:pgSz w:w="11906" w:h="16838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40" w:after="8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