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77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77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ecili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0"/>
        <w:jc w:val="center"/>
      </w:pPr>
      <w:r>
        <w:rPr>
          <w:rFonts w:ascii="Georgia" w:hAnsi="Georgia"/>
          <w:b/>
          <w:color w:val="1A5276"/>
          <w:sz w:val="44"/>
        </w:rPr>
        <w:t>POLITICA DE EVALUACION DE IMPACTO ALGORITMICO</w:t>
      </w:r>
    </w:p>
    <w:p>
      <w:pPr>
        <w:spacing w:before="120"/>
        <w:jc w:val="center"/>
      </w:pPr>
      <w:r>
        <w:rPr>
          <w:rFonts w:ascii="Calibri" w:hAnsi="Calibri"/>
          <w:color w:val="5F6368"/>
          <w:sz w:val="28"/>
        </w:rPr>
        <w:t>Metodologia para evaluar el impacto de CecilIA en los procesos de control fiscal.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spacing w:before="0" w:after="40"/>
        <w:jc w:val="center"/>
      </w:pPr>
      <w:r>
        <w:rPr>
          <w:rFonts w:ascii="Calibri" w:hAnsi="Calibri"/>
          <w:b/>
          <w:sz w:val="24"/>
        </w:rPr>
        <w:t>Contraloria General de la Republica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20"/>
        </w:rPr>
        <w:t>Contraloria Delegada para el Sector TIC — CD-TIC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Proyecto concebido e impulsado por el</w:t>
      </w:r>
    </w:p>
    <w:p>
      <w:pPr>
        <w:spacing w:before="0" w:after="40"/>
        <w:jc w:val="center"/>
      </w:pPr>
      <w:r>
        <w:rPr>
          <w:rFonts w:ascii="Calibri" w:hAnsi="Calibri"/>
          <w:b/>
          <w:sz w:val="20"/>
        </w:rPr>
        <w:t>Dr. Omar Javier Contreras Socarras</w:t>
      </w:r>
    </w:p>
    <w:p>
      <w:pPr>
        <w:spacing w:before="0" w:after="40"/>
        <w:jc w:val="center"/>
      </w:pPr>
      <w:r>
        <w:rPr>
          <w:rFonts w:ascii="Calibri" w:hAnsi="Calibri"/>
          <w:b w:val="0"/>
          <w:sz w:val="18"/>
        </w:rPr>
        <w:t>Contralor Delegado TIC</w:t>
      </w:r>
    </w:p>
    <w:p>
      <w:pPr>
        <w:spacing w:before="0" w:after="40"/>
        <w:jc w:val="center"/>
      </w:pPr>
    </w:p>
    <w:p>
      <w:pPr>
        <w:spacing w:before="0" w:after="40"/>
        <w:jc w:val="center"/>
      </w:pPr>
      <w:r>
        <w:rPr>
          <w:rFonts w:ascii="Calibri" w:hAnsi="Calibri"/>
          <w:b w:val="0"/>
          <w:color w:val="C9A84C"/>
          <w:sz w:val="20"/>
        </w:rPr>
        <w:t>Version 1.0 — Abril 2026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5F6368"/>
          <w:sz w:val="16"/>
        </w:rPr>
        <w:t>DOCUMENTO DE USO INTERNO — EQUIPO TECNICO PILOTO CECILIA</w:t>
      </w:r>
    </w:p>
    <w:p>
      <w:r>
        <w:br w:type="page"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1800000" cy="48207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cg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820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1A5276"/>
          <w:sz w:val="28"/>
        </w:rPr>
        <w:t>CONTRALORIA GENERAL DE LA REPUBLICA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Contraloria Delegada para el Sector TIC — CD-TIC</w:t>
      </w:r>
    </w:p>
    <w:p>
      <w:pPr>
        <w:spacing w:after="80"/>
        <w:jc w:val="center"/>
      </w:pPr>
      <w:r>
        <w:rPr>
          <w:rFonts w:ascii="Calibri" w:hAnsi="Calibri"/>
          <w:i/>
          <w:color w:val="5F6368"/>
          <w:sz w:val="20"/>
        </w:rPr>
        <w:t>Piloto de Inteligencia Artificial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1. Objeto y alcance</w:t>
      </w:r>
    </w:p>
    <w:p>
      <w:pPr>
        <w:jc w:val="both"/>
      </w:pPr>
      <w:r>
        <w:rPr>
          <w:rFonts w:ascii="Calibri" w:hAnsi="Calibri"/>
          <w:sz w:val="22"/>
        </w:rPr>
        <w:t>Establecer la metodologia para evaluar periodicamente el impacto de CecilIA v2 en la calidad, eficiencia y equidad del control fiscal..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2. Marco normativo</w:t>
      </w:r>
    </w:p>
    <w:p>
      <w:pPr>
        <w:jc w:val="both"/>
      </w:pPr>
      <w:r>
        <w:rPr>
          <w:rFonts w:ascii="Calibri" w:hAnsi="Calibri"/>
          <w:sz w:val="22"/>
        </w:rPr>
        <w:t>NIST AI RMF 1.0 — MAP/MEASURE. ISO/IEC 42001 — Clausula 9 Evaluacion del desempeno..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3. Indicadores de impacto</w:t>
      </w:r>
    </w:p>
    <w:p>
      <w:pPr>
        <w:jc w:val="both"/>
      </w:pPr>
      <w:r>
        <w:rPr>
          <w:rFonts w:ascii="Calibri" w:hAnsi="Calibri"/>
          <w:sz w:val="22"/>
        </w:rPr>
        <w:t>Eficiencia: Tiempo de generacion de formatos vs manual. Calidad: Precision de respuestas medida con benchmark. Cobertura: Porcentaje de consultas resueltas satisfactoriamente. Adopcion: Numero de usuarios activos y frecuencia de uso..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4. Metodologia</w:t>
      </w:r>
    </w:p>
    <w:p>
      <w:pPr>
        <w:jc w:val="both"/>
      </w:pPr>
      <w:r>
        <w:rPr>
          <w:rFonts w:ascii="Calibri" w:hAnsi="Calibri"/>
          <w:sz w:val="22"/>
        </w:rPr>
        <w:t>Evaluacion trimestral con benchmark de 50 preguntas. Encuesta de satisfaccion a usuarios. Analisis de feedback acumulado. Comparativo con procesos sin IA..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5. Roles y responsabilidades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</w:t>
            </w:r>
          </w:p>
        </w:tc>
        <w:tc>
          <w:tcPr>
            <w:tcW w:type="dxa" w:w="1928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Director DES/DVF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R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  <w:t>C</w:t>
            </w:r>
          </w:p>
        </w:tc>
        <w:tc>
          <w:tcPr>
            <w:tcW w:type="dxa" w:w="1928"/>
          </w:tcPr>
          <w:p>
            <w:r/>
            <w:r>
              <w:rPr>
                <w:rFonts w:ascii="Calibri" w:hAnsi="Calibri"/>
                <w:sz w:val="18"/>
              </w:rPr>
            </w:r>
          </w:p>
        </w:tc>
      </w:tr>
      <w:tr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Auditores</w:t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</w:r>
          </w:p>
        </w:tc>
        <w:tc>
          <w:tcPr>
            <w:tcW w:type="dxa" w:w="1928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</w:t>
            </w:r>
          </w:p>
        </w:tc>
      </w:tr>
    </w:tbl>
    <w:p/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6. Indicadores de cumplimiento</w:t>
      </w:r>
    </w:p>
    <w:p>
      <w:pPr>
        <w:jc w:val="both"/>
      </w:pPr>
      <w:r>
        <w:rPr>
          <w:rFonts w:ascii="Calibri" w:hAnsi="Calibri"/>
          <w:sz w:val="22"/>
        </w:rPr>
        <w:t>Se mediran trimestralmente los siguientes indicadores: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Porcentaje de cumplimiento de los controles establecidos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Numero de incidentes reportados relacionados con esta politica</w:t>
      </w:r>
    </w:p>
    <w:p>
      <w:pPr>
        <w:spacing w:before="20" w:after="20"/>
        <w:ind w:left="567"/>
      </w:pPr>
      <w:r>
        <w:rPr>
          <w:rFonts w:ascii="Calibri" w:hAnsi="Calibri"/>
          <w:sz w:val="22"/>
        </w:rPr>
        <w:t>- Resultado de evaluaciones periodicas del equipo tecnico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7. Periodicidad de revision</w:t>
      </w:r>
    </w:p>
    <w:p>
      <w:pPr>
        <w:jc w:val="both"/>
      </w:pPr>
      <w:r>
        <w:rPr>
          <w:rFonts w:ascii="Calibri" w:hAnsi="Calibri"/>
          <w:sz w:val="22"/>
        </w:rPr>
        <w:t>Esta politica sera revisada semestralmente o cuando se presenten cambios normativos significativos.</w:t>
      </w:r>
    </w:p>
    <w:p>
      <w:pPr>
        <w:keepNext/>
        <w:spacing w:before="320" w:after="160"/>
      </w:pPr>
      <w:r>
        <w:rPr>
          <w:rFonts w:ascii="Georgia" w:hAnsi="Georgia"/>
          <w:b/>
          <w:color w:val="1A5276"/>
          <w:sz w:val="28"/>
        </w:rPr>
        <w:t>8. Control de versiones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Fecha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Descripcion</w:t>
            </w:r>
          </w:p>
        </w:tc>
        <w:tc>
          <w:tcPr>
            <w:tcW w:type="dxa" w:w="2409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Elaborado por</w:t>
            </w:r>
          </w:p>
        </w:tc>
      </w:tr>
      <w:tr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1.0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Abril 2026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Version inicial</w:t>
            </w:r>
          </w:p>
        </w:tc>
        <w:tc>
          <w:tcPr>
            <w:tcW w:type="dxa" w:w="2409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Equipo Tecnico CecilIA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i/>
          <w:color w:val="5F6368"/>
          <w:sz w:val="16"/>
        </w:rPr>
        <w:t>Este documento fue generado con asistencia de inteligencia artificial (CecilIA v2). Todos los datos, analisis y conclusiones deben ser verificados y validados por el equipo auditor antes de su uso oficial, conforme a lo establecido en la Circular 023 de la CGR.</w:t>
      </w:r>
    </w:p>
    <w:p>
      <w:r>
        <w:br w:type="page"/>
      </w:r>
    </w:p>
    <w:p>
      <w:pPr>
        <w:spacing w:before="1200"/>
        <w:jc w:val="center"/>
      </w:pPr>
      <w:r>
        <w:rPr>
          <w:rFonts w:ascii="Georgia" w:hAnsi="Georgia"/>
          <w:b/>
          <w:color w:val="1A5276"/>
          <w:sz w:val="32"/>
        </w:rPr>
        <w:t>Equipo Tecnico Piloto CecilIA</w:t>
      </w:r>
    </w:p>
    <w:p>
      <w:pPr>
        <w:spacing w:before="80" w:after="80"/>
        <w:jc w:val="center"/>
      </w:pPr>
      <w:r>
        <w:rPr>
          <w:color w:val="C9A84C"/>
          <w:sz w:val="12"/>
        </w:rPr>
        <w:t>________________________________________________________________________________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Cargo</w:t>
            </w:r>
          </w:p>
        </w:tc>
        <w:tc>
          <w:tcPr>
            <w:tcW w:type="dxa" w:w="3213"/>
            <w:shd w:fill="1A5276" w:val="clear"/>
          </w:tcPr>
          <w:p>
            <w:r/>
            <w:r>
              <w:rPr>
                <w:rFonts w:ascii="Calibri" w:hAnsi="Calibri"/>
                <w:b/>
                <w:color w:val="FFFFFF"/>
                <w:sz w:val="18"/>
              </w:rPr>
              <w:t>Rol en el proyecto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Omar Javier Contreras Socarras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Impulsor del proyecto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Contralor Delegado TIC (Concepcion)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Hector Hernan Gonzalez Naranjo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Contralor Delegado TIC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Direccion operativa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Dr. Juan Carlos Cobo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Director DES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Control fiscal macro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Dr. Jose Fernando Ramirez Munoz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Director DVF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Control fiscal micro</w:t>
            </w:r>
          </w:p>
        </w:tc>
      </w:tr>
      <w:tr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Dra. Karen Tatiana Suevis Gomez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Coordinadora Juridica</w:t>
            </w:r>
          </w:p>
        </w:tc>
        <w:tc>
          <w:tcPr>
            <w:tcW w:type="dxa" w:w="3213"/>
            <w:shd w:fill="EBF5FB" w:val="clear"/>
          </w:tcPr>
          <w:p>
            <w:r/>
            <w:r>
              <w:rPr>
                <w:rFonts w:ascii="Calibri" w:hAnsi="Calibri"/>
                <w:sz w:val="18"/>
              </w:rPr>
              <w:t>Marco legal y etica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Ing. Gustavo Adolfo Castillo Romero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Lider Tecnico</w:t>
            </w:r>
          </w:p>
        </w:tc>
        <w:tc>
          <w:tcPr>
            <w:tcW w:type="dxa" w:w="3213"/>
          </w:tcPr>
          <w:p>
            <w:r/>
            <w:r>
              <w:rPr>
                <w:rFonts w:ascii="Calibri" w:hAnsi="Calibri"/>
                <w:sz w:val="18"/>
              </w:rPr>
              <w:t>Arquitectura y desarrollo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b/>
          <w:sz w:val="22"/>
        </w:rPr>
        <w:t>Contraloria Delegada para el Sector TIC — CD-TIC-CGR</w:t>
      </w:r>
    </w:p>
    <w:p>
      <w:pPr>
        <w:spacing w:before="240"/>
        <w:jc w:val="center"/>
      </w:pPr>
      <w:r>
        <w:rPr>
          <w:rFonts w:ascii="Calibri" w:hAnsi="Calibri"/>
          <w:b w:val="0"/>
          <w:sz w:val="22"/>
        </w:rPr>
        <w:t>Bogota D.C., Colombia — 2026</w:t>
      </w:r>
    </w:p>
    <w:sectPr w:rsidR="00FC693F" w:rsidRPr="0006063C" w:rsidSect="00034616">
      <w:pgSz w:w="11906" w:h="16838"/>
      <w:pgMar w:top="1417" w:right="1134" w:bottom="141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40" w:after="8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