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INTEROPERABILIDAD CON SISTEMAS CGR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Garantiza la integracion de CecilIA con los sistemas existentes de la CGR.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Definir los estandares y protocolos de integracion de CecilIA v2 con los sistemas de informacion existentes en la CGR..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CONPES 4145/2025 — Interoperabilidad estatal. Marco de Interoperabilidad del Estado colombiano..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Sistemas integrados</w:t>
      </w:r>
    </w:p>
    <w:p>
      <w:pPr>
        <w:jc w:val="both"/>
      </w:pPr>
      <w:r>
        <w:rPr>
          <w:rFonts w:ascii="Calibri" w:hAnsi="Calibri"/>
          <w:sz w:val="22"/>
        </w:rPr>
        <w:t>SIRECI: Sistema de Rendicion Electronica de Cuenta e Informes (stub). SIGECI: Sistema Integrado de Gestion (stub). APA: Aplicativo de Plan de Accion (stub). DIARI: Datos de auditoria (stub). SECOP: Integracion activa con API publica..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APIs externas activas</w:t>
      </w:r>
    </w:p>
    <w:p>
      <w:pPr>
        <w:jc w:val="both"/>
      </w:pPr>
      <w:r>
        <w:rPr>
          <w:rFonts w:ascii="Calibri" w:hAnsi="Calibri"/>
          <w:sz w:val="22"/>
        </w:rPr>
        <w:t>SECOP (dane.gov.co): Contratos publicos. Congreso (congresovisible.uniandes.edu.co): Proyectos de ley. DANE (dane.gov.co): Indicadores economicos..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Estandares</w:t>
      </w:r>
    </w:p>
    <w:p>
      <w:pPr>
        <w:jc w:val="both"/>
      </w:pPr>
      <w:r>
        <w:rPr>
          <w:rFonts w:ascii="Calibri" w:hAnsi="Calibri"/>
          <w:sz w:val="22"/>
        </w:rPr>
        <w:t>Formato JSON para intercambio de datos. API REST con documentacion OpenAPI. Autenticacion OAuth2/JWT..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