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 posible utilizar los molinetes de Tango utilizando el </w:t>
      </w:r>
      <w:r w:rsidDel="00000000" w:rsidR="00000000" w:rsidRPr="00000000">
        <w:rPr>
          <w:rtl w:val="0"/>
        </w:rPr>
        <w:t xml:space="preserve">cc_apertura</w:t>
      </w:r>
      <w:r w:rsidDel="00000000" w:rsidR="00000000" w:rsidRPr="00000000">
        <w:rPr>
          <w:rtl w:val="0"/>
        </w:rPr>
        <w:t xml:space="preserve"> que se encuentra en la base de datos.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Para eso, hay que ingresar a la base de datos con Access, y en el campo sincronizar editar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cc_molinete: configurar en 1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cc_apertura: indicar el .exe que deja tango para la apertura, generalmente en C:\TangoAccess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