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sz w:val="28"/>
          <w:szCs w:val="28"/>
        </w:rPr>
      </w:pPr>
      <w:r>
        <w:rPr>
          <w:b/>
          <w:sz w:val="28"/>
          <w:szCs w:val="28"/>
        </w:rPr>
        <w:drawing>
          <wp:anchor behindDoc="0" distT="0" distB="0" distL="114300" distR="114300" simplePos="0" locked="0" layoutInCell="1" allowOverlap="1" relativeHeight="4">
            <wp:simplePos x="0" y="0"/>
            <wp:positionH relativeFrom="column">
              <wp:posOffset>1660525</wp:posOffset>
            </wp:positionH>
            <wp:positionV relativeFrom="paragraph">
              <wp:posOffset>85090</wp:posOffset>
            </wp:positionV>
            <wp:extent cx="2388870" cy="1193800"/>
            <wp:effectExtent l="0" t="0" r="0" b="0"/>
            <wp:wrapTopAndBottom/>
            <wp:docPr id="1"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7" descr=""/>
                    <pic:cNvPicPr>
                      <a:picLocks noChangeAspect="1" noChangeArrowheads="1"/>
                    </pic:cNvPicPr>
                  </pic:nvPicPr>
                  <pic:blipFill>
                    <a:blip r:embed="rId2"/>
                    <a:stretch>
                      <a:fillRect/>
                    </a:stretch>
                  </pic:blipFill>
                  <pic:spPr bwMode="auto">
                    <a:xfrm>
                      <a:off x="0" y="0"/>
                      <a:ext cx="2388870" cy="1193800"/>
                    </a:xfrm>
                    <a:prstGeom prst="rect">
                      <a:avLst/>
                    </a:prstGeom>
                  </pic:spPr>
                </pic:pic>
              </a:graphicData>
            </a:graphic>
          </wp:anchor>
        </w:drawing>
      </w:r>
      <w:bookmarkStart w:id="0" w:name="_gjdgxs"/>
      <w:bookmarkStart w:id="1" w:name="_gjdgxs"/>
      <w:bookmarkEnd w:id="1"/>
    </w:p>
    <w:p>
      <w:pPr>
        <w:pStyle w:val="Normal"/>
        <w:spacing w:lineRule="auto" w:line="240" w:before="240" w:after="120"/>
        <w:jc w:val="both"/>
        <w:rPr>
          <w:rFonts w:ascii="Arial" w:hAnsi="Arial" w:eastAsia="Arial" w:cs="Arial"/>
          <w:b/>
          <w:b/>
          <w:i/>
          <w:i/>
          <w:iCs/>
          <w:sz w:val="24"/>
          <w:szCs w:val="24"/>
        </w:rPr>
      </w:pPr>
      <w:r>
        <w:rPr>
          <w:rFonts w:eastAsia="Arial" w:cs="Arial" w:ascii="Arial" w:hAnsi="Arial"/>
          <w:b/>
          <w:i/>
          <w:iCs/>
          <w:sz w:val="24"/>
          <w:szCs w:val="24"/>
        </w:rPr>
        <w:t>GD Experts. Qui sommes-nous ?</w:t>
      </w:r>
    </w:p>
    <w:p>
      <w:pPr>
        <w:pStyle w:val="Normal"/>
        <w:spacing w:lineRule="auto" w:line="240" w:before="240" w:after="120"/>
        <w:jc w:val="both"/>
        <w:rPr>
          <w:rFonts w:ascii="Arial" w:hAnsi="Arial" w:eastAsia="Arial" w:cs="Arial"/>
          <w:b/>
          <w:b/>
          <w:i/>
          <w:i/>
          <w:iCs/>
          <w:sz w:val="2"/>
          <w:szCs w:val="2"/>
        </w:rPr>
      </w:pPr>
      <w:r>
        <w:rPr>
          <w:rFonts w:eastAsia="Arial" w:cs="Arial" w:ascii="Arial" w:hAnsi="Arial"/>
          <w:b/>
          <w:i/>
          <w:iCs/>
          <w:sz w:val="2"/>
          <w:szCs w:val="2"/>
        </w:rPr>
      </w:r>
    </w:p>
    <w:p>
      <w:pPr>
        <w:pStyle w:val="Normal"/>
        <w:spacing w:lineRule="auto" w:line="240" w:before="120" w:after="120"/>
        <w:jc w:val="both"/>
        <w:rPr>
          <w:rFonts w:ascii="Arial" w:hAnsi="Arial" w:eastAsia="Arial" w:cs="Arial"/>
          <w:sz w:val="24"/>
          <w:szCs w:val="24"/>
        </w:rPr>
      </w:pPr>
      <w:r>
        <w:rPr>
          <w:rFonts w:eastAsia="Arial" w:cs="Arial" w:ascii="Arial" w:hAnsi="Arial"/>
          <w:sz w:val="24"/>
          <w:szCs w:val="24"/>
        </w:rPr>
        <w:t xml:space="preserve">GD Experts est un cabinet conseils qui apporte son expertise aux institutions publiques et privées dans les domaines de gouvernance et du développement. </w:t>
      </w:r>
    </w:p>
    <w:p>
      <w:pPr>
        <w:pStyle w:val="Normal"/>
        <w:spacing w:lineRule="auto" w:line="240" w:before="120" w:after="120"/>
        <w:jc w:val="both"/>
        <w:rPr>
          <w:rFonts w:ascii="Arial" w:hAnsi="Arial" w:eastAsia="Arial" w:cs="Arial"/>
          <w:sz w:val="24"/>
          <w:szCs w:val="24"/>
        </w:rPr>
      </w:pPr>
      <w:r>
        <w:rPr>
          <w:rFonts w:eastAsia="Arial" w:cs="Arial" w:ascii="Arial" w:hAnsi="Arial"/>
          <w:sz w:val="24"/>
          <w:szCs w:val="24"/>
        </w:rPr>
        <w:t>GD Experts groupe des praticiens expérimentés de la conception et de la mise en œuvre des projets et programmes de coopération au développement de l’Afrique centrale et orientale avec les partenaires bilatéraux et multilatéraux tels que l’Union Européenne et ses pays membres, l’USAID, le PNUD et les autres agences du système des Nations Unies, la Banque Mondiale et la Banque Africaine de Développement.</w:t>
      </w:r>
    </w:p>
    <w:p>
      <w:pPr>
        <w:pStyle w:val="Normal"/>
        <w:spacing w:lineRule="auto" w:line="240" w:before="120" w:after="120"/>
        <w:jc w:val="both"/>
        <w:rPr>
          <w:rFonts w:ascii="Arial" w:hAnsi="Arial" w:eastAsia="Arial" w:cs="Arial"/>
          <w:sz w:val="24"/>
          <w:szCs w:val="24"/>
        </w:rPr>
      </w:pPr>
      <w:r>
        <w:rPr>
          <w:rFonts w:eastAsia="Arial" w:cs="Arial" w:ascii="Arial" w:hAnsi="Arial"/>
          <w:sz w:val="24"/>
          <w:szCs w:val="24"/>
        </w:rPr>
      </w:r>
    </w:p>
    <w:p>
      <w:pPr>
        <w:pStyle w:val="Normal"/>
        <w:spacing w:lineRule="auto" w:line="240" w:before="240" w:after="120"/>
        <w:rPr>
          <w:rFonts w:ascii="Arial" w:hAnsi="Arial" w:eastAsia="Arial" w:cs="Arial"/>
          <w:b/>
          <w:b/>
          <w:i/>
          <w:i/>
          <w:iCs/>
          <w:sz w:val="24"/>
          <w:szCs w:val="24"/>
        </w:rPr>
      </w:pPr>
      <w:r>
        <w:rPr>
          <w:rFonts w:eastAsia="Arial" w:cs="Arial" w:ascii="Arial" w:hAnsi="Arial"/>
          <w:b/>
          <w:i/>
          <w:iCs/>
          <w:sz w:val="24"/>
          <w:szCs w:val="24"/>
        </w:rPr>
        <w:t>Domaines d’expertise. Qu’est-ce que nous faisons ?</w:t>
      </w:r>
    </w:p>
    <w:p>
      <w:pPr>
        <w:pStyle w:val="Normal"/>
        <w:spacing w:lineRule="auto" w:line="240" w:before="240" w:after="120"/>
        <w:rPr>
          <w:rFonts w:ascii="Arial" w:hAnsi="Arial" w:eastAsia="Arial" w:cs="Arial"/>
          <w:b/>
          <w:b/>
          <w:i/>
          <w:i/>
          <w:iCs/>
          <w:sz w:val="4"/>
          <w:szCs w:val="4"/>
        </w:rPr>
      </w:pPr>
      <w:r>
        <w:rPr>
          <w:rFonts w:eastAsia="Arial" w:cs="Arial" w:ascii="Arial" w:hAnsi="Arial"/>
          <w:b/>
          <w:i/>
          <w:iCs/>
          <w:sz w:val="4"/>
          <w:szCs w:val="4"/>
        </w:rPr>
      </w:r>
    </w:p>
    <w:tbl>
      <w:tblPr>
        <w:tblStyle w:val="Tabellenraster"/>
        <w:tblW w:w="9070" w:type="dxa"/>
        <w:jc w:val="left"/>
        <w:tblInd w:w="0" w:type="dxa"/>
        <w:tblCellMar>
          <w:top w:w="0" w:type="dxa"/>
          <w:left w:w="108" w:type="dxa"/>
          <w:bottom w:w="0" w:type="dxa"/>
          <w:right w:w="108" w:type="dxa"/>
        </w:tblCellMar>
        <w:tblLook w:val="04a0" w:noHBand="0" w:noVBand="1" w:firstColumn="1" w:lastRow="0" w:lastColumn="0" w:firstRow="1"/>
      </w:tblPr>
      <w:tblGrid>
        <w:gridCol w:w="4535"/>
        <w:gridCol w:w="4534"/>
      </w:tblGrid>
      <w:tr>
        <w:trPr>
          <w:trHeight w:val="2268" w:hRule="atLeast"/>
        </w:trPr>
        <w:tc>
          <w:tcPr>
            <w:tcW w:w="4535" w:type="dxa"/>
            <w:tcBorders>
              <w:top w:val="nil"/>
              <w:left w:val="nil"/>
              <w:bottom w:val="single" w:sz="12" w:space="0" w:color="000000"/>
              <w:right w:val="single" w:sz="12" w:space="0" w:color="000000"/>
            </w:tcBorders>
          </w:tcPr>
          <w:p>
            <w:pPr>
              <w:pStyle w:val="Normal"/>
              <w:pBdr/>
              <w:spacing w:lineRule="auto" w:line="240" w:before="240" w:after="120"/>
              <w:ind w:left="318" w:hanging="0"/>
              <w:rPr>
                <w:rFonts w:ascii="Arial" w:hAnsi="Arial" w:eastAsia="Arial" w:cs="Arial"/>
                <w:sz w:val="20"/>
                <w:szCs w:val="20"/>
              </w:rPr>
            </w:pPr>
            <w:r>
              <w:rPr>
                <w:rFonts w:eastAsia="Arial" w:cs="Arial" w:ascii="Arial" w:hAnsi="Arial"/>
                <w:sz w:val="20"/>
                <w:szCs w:val="20"/>
              </w:rPr>
              <w:t xml:space="preserve">Etudes, formulation des projets  </w:t>
            </w:r>
          </w:p>
          <w:p>
            <w:pPr>
              <w:pStyle w:val="Normal"/>
              <w:pBdr/>
              <w:spacing w:lineRule="auto" w:line="240" w:before="240" w:after="120"/>
              <w:ind w:left="318" w:right="600" w:hanging="0"/>
              <w:rPr>
                <w:sz w:val="20"/>
                <w:szCs w:val="20"/>
              </w:rPr>
            </w:pPr>
            <w:r>
              <w:rPr>
                <w:rFonts w:eastAsia="Arial" w:cs="Arial" w:ascii="Arial" w:hAnsi="Arial"/>
                <w:sz w:val="20"/>
                <w:szCs w:val="20"/>
              </w:rPr>
              <w:t>Planification stratégique et opérationnel des projets </w:t>
            </w:r>
          </w:p>
          <w:p>
            <w:pPr>
              <w:pStyle w:val="Normal"/>
              <w:pBdr/>
              <w:spacing w:lineRule="auto" w:line="240" w:before="240" w:after="120"/>
              <w:ind w:left="318" w:hanging="0"/>
              <w:rPr>
                <w:rFonts w:ascii="Arial" w:hAnsi="Arial" w:eastAsia="Arial" w:cs="Arial"/>
                <w:sz w:val="20"/>
                <w:szCs w:val="20"/>
              </w:rPr>
            </w:pPr>
            <w:r>
              <w:rPr>
                <w:rFonts w:eastAsia="Arial" w:cs="Arial" w:ascii="Arial" w:hAnsi="Arial"/>
                <w:sz w:val="20"/>
                <w:szCs w:val="20"/>
              </w:rPr>
              <w:t>Mise en œuvre et suivi- évaluation des projets et programmes</w:t>
            </w:r>
          </w:p>
          <w:p>
            <w:pPr>
              <w:pStyle w:val="Normal"/>
              <w:pBdr/>
              <w:spacing w:lineRule="auto" w:line="240" w:before="240" w:after="120"/>
              <w:ind w:left="318" w:hanging="0"/>
              <w:rPr>
                <w:rFonts w:ascii="Arial" w:hAnsi="Arial" w:eastAsia="Arial" w:cs="Arial"/>
                <w:sz w:val="20"/>
                <w:szCs w:val="20"/>
              </w:rPr>
            </w:pPr>
            <w:r>
              <w:rPr>
                <w:rFonts w:eastAsia="Arial" w:cs="Arial" w:ascii="Arial" w:hAnsi="Arial"/>
                <w:sz w:val="20"/>
                <w:szCs w:val="20"/>
              </w:rPr>
            </w:r>
          </w:p>
          <w:p>
            <w:pPr>
              <w:pStyle w:val="Normal"/>
              <w:pBdr/>
              <w:spacing w:lineRule="auto" w:line="240" w:before="240" w:after="120"/>
              <w:ind w:left="318" w:hanging="0"/>
              <w:rPr>
                <w:rFonts w:ascii="Arial" w:hAnsi="Arial" w:eastAsia="Arial" w:cs="Arial"/>
                <w:sz w:val="20"/>
                <w:szCs w:val="20"/>
              </w:rPr>
            </w:pPr>
            <w:r>
              <w:rPr>
                <w:rFonts w:eastAsia="Arial" w:cs="Arial" w:ascii="Arial" w:hAnsi="Arial"/>
                <w:sz w:val="20"/>
                <w:szCs w:val="20"/>
              </w:rPr>
            </w:r>
          </w:p>
          <w:p>
            <w:pPr>
              <w:pStyle w:val="Normal"/>
              <w:pBdr/>
              <w:spacing w:lineRule="auto" w:line="240" w:before="120" w:after="120"/>
              <w:ind w:left="601" w:hanging="0"/>
              <w:rPr>
                <w:sz w:val="24"/>
                <w:szCs w:val="24"/>
              </w:rPr>
            </w:pPr>
            <w:r>
              <w:rPr>
                <w:rFonts w:eastAsia="Arial" w:cs="Arial" w:ascii="Arial" w:hAnsi="Arial"/>
                <w:b/>
                <w:sz w:val="24"/>
                <w:szCs w:val="24"/>
              </w:rPr>
              <w:t>Gestion des projets</w:t>
            </w:r>
          </w:p>
          <w:p>
            <w:pPr>
              <w:pStyle w:val="Normal"/>
              <w:spacing w:lineRule="auto" w:line="240" w:before="120" w:after="120"/>
              <w:jc w:val="both"/>
              <w:rPr>
                <w:sz w:val="20"/>
                <w:szCs w:val="20"/>
              </w:rPr>
            </w:pPr>
            <w:r>
              <w:rPr>
                <w:sz w:val="20"/>
                <w:szCs w:val="20"/>
              </w:rPr>
            </w:r>
          </w:p>
        </w:tc>
        <w:tc>
          <w:tcPr>
            <w:tcW w:w="4534" w:type="dxa"/>
            <w:tcBorders>
              <w:top w:val="nil"/>
              <w:left w:val="single" w:sz="12" w:space="0" w:color="000000"/>
              <w:bottom w:val="single" w:sz="12" w:space="0" w:color="000000"/>
              <w:right w:val="nil"/>
            </w:tcBorders>
          </w:tcPr>
          <w:p>
            <w:pPr>
              <w:pStyle w:val="Normal"/>
              <w:pBdr/>
              <w:spacing w:lineRule="auto" w:line="240" w:before="120" w:after="0"/>
              <w:ind w:left="743" w:hanging="0"/>
              <w:rPr>
                <w:sz w:val="20"/>
                <w:szCs w:val="20"/>
              </w:rPr>
            </w:pPr>
            <w:r>
              <w:rPr>
                <w:rFonts w:eastAsia="Arial" w:cs="Arial" w:ascii="Arial" w:hAnsi="Arial"/>
                <w:sz w:val="20"/>
                <w:szCs w:val="20"/>
              </w:rPr>
              <w:t>Gestion foncière (développement des capacités des services fonciers communaux) </w:t>
            </w:r>
          </w:p>
          <w:p>
            <w:pPr>
              <w:pStyle w:val="Normal"/>
              <w:pBdr/>
              <w:spacing w:lineRule="auto" w:line="240" w:before="120" w:after="0"/>
              <w:ind w:left="743" w:hanging="0"/>
              <w:rPr>
                <w:sz w:val="20"/>
                <w:szCs w:val="20"/>
              </w:rPr>
            </w:pPr>
            <w:r>
              <w:rPr>
                <w:rFonts w:eastAsia="Arial" w:cs="Arial" w:ascii="Arial" w:hAnsi="Arial"/>
                <w:sz w:val="20"/>
                <w:szCs w:val="20"/>
              </w:rPr>
              <w:t>Approches et stratégies de décentralisation </w:t>
            </w:r>
          </w:p>
          <w:p>
            <w:pPr>
              <w:pStyle w:val="Normal"/>
              <w:pBdr/>
              <w:spacing w:lineRule="auto" w:line="240" w:before="120" w:after="0"/>
              <w:ind w:left="743" w:hanging="0"/>
              <w:rPr>
                <w:sz w:val="20"/>
                <w:szCs w:val="20"/>
              </w:rPr>
            </w:pPr>
            <w:r>
              <w:rPr>
                <w:rFonts w:eastAsia="Arial" w:cs="Arial" w:ascii="Arial" w:hAnsi="Arial"/>
                <w:sz w:val="20"/>
                <w:szCs w:val="20"/>
              </w:rPr>
              <w:t>Approches de développet du secteur de la sécurité </w:t>
            </w:r>
          </w:p>
          <w:p>
            <w:pPr>
              <w:pStyle w:val="Normal"/>
              <w:pBdr/>
              <w:spacing w:lineRule="auto" w:line="240" w:before="120" w:after="0"/>
              <w:ind w:left="743" w:hanging="0"/>
              <w:rPr>
                <w:rFonts w:ascii="Arial" w:hAnsi="Arial" w:eastAsia="Arial" w:cs="Arial"/>
                <w:sz w:val="20"/>
                <w:szCs w:val="20"/>
              </w:rPr>
            </w:pPr>
            <w:r>
              <w:rPr>
                <w:rFonts w:eastAsia="Arial" w:cs="Arial" w:ascii="Arial" w:hAnsi="Arial"/>
                <w:sz w:val="20"/>
                <w:szCs w:val="20"/>
              </w:rPr>
              <w:t>Genre et développement (analyse et intégration du genre)</w:t>
            </w:r>
          </w:p>
          <w:p>
            <w:pPr>
              <w:pStyle w:val="Normal"/>
              <w:pBdr/>
              <w:spacing w:lineRule="auto" w:line="240" w:before="120" w:after="0"/>
              <w:ind w:left="743" w:hanging="0"/>
              <w:rPr>
                <w:rFonts w:ascii="Arial" w:hAnsi="Arial" w:eastAsia="Arial" w:cs="Arial"/>
                <w:sz w:val="12"/>
                <w:szCs w:val="12"/>
              </w:rPr>
            </w:pPr>
            <w:r>
              <w:rPr>
                <w:rFonts w:eastAsia="Arial" w:cs="Arial" w:ascii="Arial" w:hAnsi="Arial"/>
                <w:sz w:val="12"/>
                <w:szCs w:val="12"/>
              </w:rPr>
            </w:r>
          </w:p>
          <w:p>
            <w:pPr>
              <w:pStyle w:val="Normal"/>
              <w:pBdr/>
              <w:spacing w:lineRule="auto" w:line="240" w:before="120" w:after="120"/>
              <w:ind w:left="1026" w:hanging="0"/>
              <w:jc w:val="center"/>
              <w:rPr>
                <w:b/>
                <w:b/>
                <w:sz w:val="24"/>
                <w:szCs w:val="24"/>
              </w:rPr>
            </w:pPr>
            <w:r>
              <w:rPr>
                <w:rFonts w:eastAsia="Arial" w:cs="Arial" w:ascii="Arial" w:hAnsi="Arial"/>
                <w:b/>
                <w:sz w:val="24"/>
                <w:szCs w:val="24"/>
              </w:rPr>
              <w:t>Bonne Gouvernance</w:t>
            </w:r>
          </w:p>
          <w:p>
            <w:pPr>
              <w:pStyle w:val="Normal"/>
              <w:pBdr/>
              <w:spacing w:lineRule="auto" w:line="240" w:before="120" w:after="120"/>
              <w:rPr>
                <w:sz w:val="20"/>
                <w:szCs w:val="20"/>
              </w:rPr>
            </w:pPr>
            <w:r>
              <w:rPr>
                <w:sz w:val="20"/>
                <w:szCs w:val="20"/>
              </w:rPr>
            </w:r>
          </w:p>
        </w:tc>
      </w:tr>
      <w:tr>
        <w:trPr>
          <w:trHeight w:val="2268" w:hRule="atLeast"/>
        </w:trPr>
        <w:tc>
          <w:tcPr>
            <w:tcW w:w="4535" w:type="dxa"/>
            <w:tcBorders>
              <w:top w:val="single" w:sz="12" w:space="0" w:color="000000"/>
              <w:left w:val="nil"/>
              <w:bottom w:val="nil"/>
              <w:right w:val="single" w:sz="12" w:space="0" w:color="000000"/>
            </w:tcBorders>
          </w:tcPr>
          <w:p>
            <w:pPr>
              <w:pStyle w:val="Normal"/>
              <w:pBdr/>
              <w:spacing w:lineRule="auto" w:line="240" w:before="120" w:after="120"/>
              <w:jc w:val="both"/>
              <w:rPr>
                <w:rFonts w:ascii="Arial" w:hAnsi="Arial" w:eastAsia="Arial" w:cs="Arial"/>
                <w:b/>
                <w:b/>
                <w:sz w:val="20"/>
                <w:szCs w:val="20"/>
              </w:rPr>
            </w:pPr>
            <w:r>
              <w:rPr>
                <w:rFonts w:eastAsia="Arial" w:cs="Arial" w:ascii="Arial" w:hAnsi="Arial"/>
                <w:b/>
                <w:sz w:val="20"/>
                <w:szCs w:val="20"/>
              </w:rPr>
              <mc:AlternateContent>
                <mc:Choice Requires="wps">
                  <w:drawing>
                    <wp:anchor behindDoc="0" distT="0" distB="0" distL="0" distR="0" simplePos="0" locked="0" layoutInCell="1" allowOverlap="1" relativeHeight="2" wp14:anchorId="6345733D">
                      <wp:simplePos x="0" y="0"/>
                      <wp:positionH relativeFrom="column">
                        <wp:posOffset>2259965</wp:posOffset>
                      </wp:positionH>
                      <wp:positionV relativeFrom="paragraph">
                        <wp:posOffset>-348615</wp:posOffset>
                      </wp:positionV>
                      <wp:extent cx="703580" cy="666750"/>
                      <wp:effectExtent l="0" t="0" r="1905" b="1270"/>
                      <wp:wrapNone/>
                      <wp:docPr id="2" name="Rechteck 6"/>
                      <a:graphic xmlns:a="http://schemas.openxmlformats.org/drawingml/2006/main">
                        <a:graphicData uri="http://schemas.microsoft.com/office/word/2010/wordprocessingShape">
                          <wps:wsp>
                            <wps:cNvSpPr/>
                            <wps:spPr>
                              <a:xfrm>
                                <a:off x="0" y="0"/>
                                <a:ext cx="703080" cy="666000"/>
                              </a:xfrm>
                              <a:prstGeom prst="rect">
                                <a:avLst/>
                              </a:prstGeom>
                              <a:ln>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Rechteck 6" fillcolor="white" stroked="f" style="position:absolute;margin-left:177.95pt;margin-top:-27.45pt;width:55.3pt;height:52.4pt" wp14:anchorId="6345733D">
                      <w10:wrap type="none"/>
                      <v:fill o:detectmouseclick="t" type="solid" color2="black"/>
                      <v:stroke color="#3465a4" weight="25560" joinstyle="round" endcap="flat"/>
                    </v:rect>
                  </w:pict>
                </mc:Fallback>
              </mc:AlternateContent>
            </w:r>
          </w:p>
          <w:p>
            <w:pPr>
              <w:pStyle w:val="Normal"/>
              <w:pBdr/>
              <w:spacing w:lineRule="auto" w:line="240" w:before="120" w:after="120"/>
              <w:jc w:val="both"/>
              <w:rPr>
                <w:rFonts w:ascii="Arial" w:hAnsi="Arial" w:eastAsia="Arial" w:cs="Arial"/>
                <w:b/>
                <w:b/>
                <w:sz w:val="20"/>
                <w:szCs w:val="20"/>
              </w:rPr>
            </w:pPr>
            <w:r>
              <w:rPr>
                <w:rFonts w:eastAsia="Arial" w:cs="Arial" w:ascii="Arial" w:hAnsi="Arial"/>
                <w:b/>
                <w:sz w:val="20"/>
                <w:szCs w:val="20"/>
              </w:rPr>
            </w:r>
          </w:p>
          <w:p>
            <w:pPr>
              <w:pStyle w:val="Normal"/>
              <w:pBdr/>
              <w:spacing w:lineRule="auto" w:line="240" w:before="120" w:after="120"/>
              <w:ind w:right="884" w:hanging="0"/>
              <w:jc w:val="center"/>
              <w:rPr>
                <w:rFonts w:ascii="Arial" w:hAnsi="Arial" w:eastAsia="Arial" w:cs="Arial"/>
                <w:b/>
                <w:b/>
                <w:sz w:val="24"/>
                <w:szCs w:val="24"/>
              </w:rPr>
            </w:pPr>
            <w:r>
              <w:rPr>
                <w:rFonts w:eastAsia="Arial" w:cs="Arial" w:ascii="Arial" w:hAnsi="Arial"/>
                <w:b/>
                <w:sz w:val="24"/>
                <w:szCs w:val="24"/>
              </w:rPr>
              <w:t>Développement local</w:t>
            </w:r>
          </w:p>
          <w:p>
            <w:pPr>
              <w:pStyle w:val="Normal"/>
              <w:pBdr/>
              <w:spacing w:lineRule="auto" w:line="240" w:before="120" w:after="120"/>
              <w:ind w:right="884" w:hanging="0"/>
              <w:jc w:val="right"/>
              <w:rPr>
                <w:b/>
                <w:b/>
                <w:sz w:val="20"/>
                <w:szCs w:val="20"/>
              </w:rPr>
            </w:pPr>
            <w:r>
              <w:rPr>
                <w:b/>
                <w:sz w:val="20"/>
                <w:szCs w:val="20"/>
              </w:rPr>
            </w:r>
          </w:p>
          <w:p>
            <w:pPr>
              <w:pStyle w:val="Normal"/>
              <w:pBdr/>
              <w:spacing w:lineRule="auto" w:line="240" w:before="120" w:after="120"/>
              <w:ind w:left="318" w:right="600" w:hanging="0"/>
              <w:rPr>
                <w:sz w:val="20"/>
                <w:szCs w:val="20"/>
              </w:rPr>
            </w:pPr>
            <w:r>
              <w:rPr>
                <w:rFonts w:eastAsia="Arial" w:cs="Arial" w:ascii="Arial" w:hAnsi="Arial"/>
                <w:sz w:val="20"/>
                <w:szCs w:val="20"/>
              </w:rPr>
              <w:t>Dialogue et partenariat public-privé </w:t>
            </w:r>
          </w:p>
          <w:p>
            <w:pPr>
              <w:pStyle w:val="Normal"/>
              <w:pBdr/>
              <w:spacing w:lineRule="auto" w:line="240" w:before="120" w:after="120"/>
              <w:ind w:left="318" w:right="600" w:hanging="0"/>
              <w:rPr>
                <w:sz w:val="20"/>
                <w:szCs w:val="20"/>
              </w:rPr>
            </w:pPr>
            <w:r>
              <w:rPr>
                <w:rFonts w:eastAsia="Arial" w:cs="Arial" w:ascii="Arial" w:hAnsi="Arial"/>
                <w:sz w:val="20"/>
                <w:szCs w:val="20"/>
              </w:rPr>
              <w:t>Développement des chaînes de valeur agricoles et non agricoles </w:t>
            </w:r>
          </w:p>
          <w:p>
            <w:pPr>
              <w:pStyle w:val="Normal"/>
              <w:pBdr/>
              <w:spacing w:lineRule="auto" w:line="240" w:before="120" w:after="120"/>
              <w:ind w:left="318" w:right="600" w:hanging="0"/>
              <w:rPr>
                <w:sz w:val="20"/>
                <w:szCs w:val="20"/>
              </w:rPr>
            </w:pPr>
            <w:r>
              <w:rPr>
                <w:rFonts w:eastAsia="Arial" w:cs="Arial" w:ascii="Arial" w:hAnsi="Arial"/>
                <w:sz w:val="20"/>
                <w:szCs w:val="20"/>
              </w:rPr>
              <w:t>Inclusion financière (épargne et crédit, éducation financière) </w:t>
            </w:r>
          </w:p>
          <w:p>
            <w:pPr>
              <w:pStyle w:val="Normal"/>
              <w:pBdr/>
              <w:spacing w:lineRule="auto" w:line="240" w:before="120" w:after="120"/>
              <w:ind w:left="318" w:right="600" w:hanging="0"/>
              <w:rPr>
                <w:sz w:val="20"/>
                <w:szCs w:val="20"/>
              </w:rPr>
            </w:pPr>
            <w:r>
              <w:rPr>
                <w:rFonts w:eastAsia="Arial" w:cs="Arial" w:ascii="Arial" w:hAnsi="Arial"/>
                <w:sz w:val="20"/>
                <w:szCs w:val="20"/>
              </w:rPr>
              <w:t>Développement de l’entreprenariat</w:t>
            </w:r>
          </w:p>
          <w:p>
            <w:pPr>
              <w:pStyle w:val="Normal"/>
              <w:pBdr/>
              <w:spacing w:lineRule="auto" w:line="240" w:before="120" w:after="120"/>
              <w:rPr>
                <w:sz w:val="20"/>
                <w:szCs w:val="20"/>
              </w:rPr>
            </w:pPr>
            <w:r>
              <w:rPr>
                <w:sz w:val="20"/>
                <w:szCs w:val="20"/>
              </w:rPr>
            </w:r>
          </w:p>
        </w:tc>
        <w:tc>
          <w:tcPr>
            <w:tcW w:w="4534" w:type="dxa"/>
            <w:tcBorders>
              <w:top w:val="single" w:sz="12" w:space="0" w:color="000000"/>
              <w:left w:val="single" w:sz="12" w:space="0" w:color="000000"/>
              <w:bottom w:val="nil"/>
              <w:right w:val="nil"/>
            </w:tcBorders>
          </w:tcPr>
          <w:p>
            <w:pPr>
              <w:pStyle w:val="Normal"/>
              <w:pBdr/>
              <w:spacing w:lineRule="auto" w:line="240" w:before="120" w:after="120"/>
              <w:jc w:val="both"/>
              <w:rPr>
                <w:rFonts w:ascii="Arial" w:hAnsi="Arial" w:eastAsia="Arial" w:cs="Arial"/>
                <w:b/>
                <w:b/>
                <w:sz w:val="20"/>
                <w:szCs w:val="20"/>
              </w:rPr>
            </w:pPr>
            <w:r>
              <w:rPr>
                <w:rFonts w:eastAsia="Arial" w:cs="Arial" w:ascii="Arial" w:hAnsi="Arial"/>
                <w:b/>
                <w:sz w:val="20"/>
                <w:szCs w:val="20"/>
              </w:rPr>
              <w:drawing>
                <wp:anchor behindDoc="0" distT="0" distB="0" distL="0" distR="0" simplePos="0" locked="0" layoutInCell="1" allowOverlap="1" relativeHeight="3">
                  <wp:simplePos x="0" y="0"/>
                  <wp:positionH relativeFrom="column">
                    <wp:posOffset>-808990</wp:posOffset>
                  </wp:positionH>
                  <wp:positionV relativeFrom="paragraph">
                    <wp:posOffset>-929640</wp:posOffset>
                  </wp:positionV>
                  <wp:extent cx="1437640" cy="1894205"/>
                  <wp:effectExtent l="0" t="0" r="0" b="0"/>
                  <wp:wrapNone/>
                  <wp:docPr id="3"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4" descr=""/>
                          <pic:cNvPicPr>
                            <a:picLocks noChangeAspect="1" noChangeArrowheads="1"/>
                          </pic:cNvPicPr>
                        </pic:nvPicPr>
                        <pic:blipFill>
                          <a:blip r:embed="rId3"/>
                          <a:stretch>
                            <a:fillRect/>
                          </a:stretch>
                        </pic:blipFill>
                        <pic:spPr bwMode="auto">
                          <a:xfrm>
                            <a:off x="0" y="0"/>
                            <a:ext cx="1437640" cy="1894205"/>
                          </a:xfrm>
                          <a:prstGeom prst="rect">
                            <a:avLst/>
                          </a:prstGeom>
                        </pic:spPr>
                      </pic:pic>
                    </a:graphicData>
                  </a:graphic>
                </wp:anchor>
              </w:drawing>
            </w:r>
          </w:p>
          <w:p>
            <w:pPr>
              <w:pStyle w:val="Normal"/>
              <w:pBdr/>
              <w:spacing w:lineRule="auto" w:line="240" w:before="120" w:after="120"/>
              <w:jc w:val="both"/>
              <w:rPr>
                <w:rFonts w:ascii="Arial" w:hAnsi="Arial" w:eastAsia="Arial" w:cs="Arial"/>
                <w:b/>
                <w:b/>
                <w:sz w:val="20"/>
                <w:szCs w:val="20"/>
              </w:rPr>
            </w:pPr>
            <w:r>
              <w:rPr>
                <w:rFonts w:eastAsia="Arial" w:cs="Arial" w:ascii="Arial" w:hAnsi="Arial"/>
                <w:b/>
                <w:sz w:val="20"/>
                <w:szCs w:val="20"/>
              </w:rPr>
            </w:r>
          </w:p>
          <w:p>
            <w:pPr>
              <w:pStyle w:val="Normal"/>
              <w:pBdr/>
              <w:spacing w:lineRule="auto" w:line="240" w:before="120" w:after="120"/>
              <w:ind w:left="1026" w:hanging="0"/>
              <w:jc w:val="center"/>
              <w:rPr>
                <w:rFonts w:ascii="Arial" w:hAnsi="Arial" w:eastAsia="Arial" w:cs="Arial"/>
                <w:b/>
                <w:b/>
                <w:sz w:val="24"/>
                <w:szCs w:val="24"/>
              </w:rPr>
            </w:pPr>
            <w:r>
              <w:rPr>
                <w:rFonts w:eastAsia="Arial" w:cs="Arial" w:ascii="Arial" w:hAnsi="Arial"/>
                <w:b/>
                <w:sz w:val="24"/>
                <w:szCs w:val="24"/>
              </w:rPr>
              <w:t>Réintégration socio-économique</w:t>
            </w:r>
          </w:p>
          <w:p>
            <w:pPr>
              <w:pStyle w:val="Normal"/>
              <w:pBdr/>
              <w:spacing w:lineRule="auto" w:line="240" w:before="120" w:after="120"/>
              <w:ind w:left="885" w:hanging="0"/>
              <w:rPr>
                <w:rFonts w:ascii="Arial" w:hAnsi="Arial" w:eastAsia="Arial" w:cs="Arial"/>
                <w:b/>
                <w:b/>
                <w:sz w:val="20"/>
                <w:szCs w:val="20"/>
              </w:rPr>
            </w:pPr>
            <w:r>
              <w:rPr>
                <w:rFonts w:eastAsia="Arial" w:cs="Arial" w:ascii="Arial" w:hAnsi="Arial"/>
                <w:b/>
                <w:sz w:val="20"/>
                <w:szCs w:val="20"/>
              </w:rPr>
            </w:r>
          </w:p>
          <w:p>
            <w:pPr>
              <w:pStyle w:val="Normal"/>
              <w:pBdr/>
              <w:spacing w:lineRule="auto" w:line="240" w:before="0" w:after="120"/>
              <w:ind w:left="743" w:hanging="0"/>
              <w:rPr>
                <w:sz w:val="20"/>
                <w:szCs w:val="20"/>
              </w:rPr>
            </w:pPr>
            <w:r>
              <w:rPr>
                <w:rFonts w:eastAsia="Arial" w:cs="Arial" w:ascii="Arial" w:hAnsi="Arial"/>
                <w:sz w:val="20"/>
                <w:szCs w:val="20"/>
              </w:rPr>
              <w:t xml:space="preserve">Développement des stratégies inclusives de réintégration </w:t>
            </w:r>
          </w:p>
          <w:p>
            <w:pPr>
              <w:pStyle w:val="Normal"/>
              <w:pBdr/>
              <w:spacing w:lineRule="auto" w:line="240" w:before="0" w:after="120"/>
              <w:ind w:left="743" w:hanging="0"/>
              <w:rPr>
                <w:sz w:val="20"/>
                <w:szCs w:val="20"/>
              </w:rPr>
            </w:pPr>
            <w:r>
              <w:rPr>
                <w:rFonts w:eastAsia="Arial" w:cs="Arial" w:ascii="Arial" w:hAnsi="Arial"/>
                <w:sz w:val="20"/>
                <w:szCs w:val="20"/>
              </w:rPr>
              <w:t>Gestion pacifique des conflits</w:t>
            </w:r>
          </w:p>
          <w:p>
            <w:pPr>
              <w:pStyle w:val="Normal"/>
              <w:pBdr/>
              <w:spacing w:lineRule="auto" w:line="240" w:before="0" w:after="120"/>
              <w:ind w:left="743" w:hanging="0"/>
              <w:rPr>
                <w:sz w:val="20"/>
                <w:szCs w:val="20"/>
              </w:rPr>
            </w:pPr>
            <w:r>
              <w:rPr>
                <w:rFonts w:eastAsia="Arial" w:cs="Arial" w:ascii="Arial" w:hAnsi="Arial"/>
                <w:sz w:val="20"/>
                <w:szCs w:val="20"/>
              </w:rPr>
              <w:t>Mécanismes de renforcement de la cohésion sociale</w:t>
            </w:r>
          </w:p>
          <w:p>
            <w:pPr>
              <w:pStyle w:val="Normal"/>
              <w:spacing w:lineRule="auto" w:line="240" w:before="120" w:after="120"/>
              <w:jc w:val="both"/>
              <w:rPr>
                <w:sz w:val="20"/>
                <w:szCs w:val="20"/>
              </w:rPr>
            </w:pPr>
            <w:r>
              <w:rPr>
                <w:sz w:val="20"/>
                <w:szCs w:val="20"/>
              </w:rPr>
            </w:r>
          </w:p>
        </w:tc>
      </w:tr>
    </w:tbl>
    <w:p>
      <w:pPr>
        <w:pStyle w:val="Normal"/>
        <w:pBdr/>
        <w:spacing w:lineRule="auto" w:line="240" w:before="120" w:after="120"/>
        <w:jc w:val="both"/>
        <w:rPr>
          <w:sz w:val="24"/>
          <w:szCs w:val="24"/>
        </w:rPr>
      </w:pPr>
      <w:r>
        <w:rPr/>
      </w:r>
    </w:p>
    <w:sectPr>
      <w:footerReference w:type="default" r:id="rId4"/>
      <w:type w:val="nextPage"/>
      <w:pgSz w:w="11906" w:h="16838"/>
      <w:pgMar w:left="1418" w:right="1418" w:header="0" w:top="284" w:footer="709" w:bottom="1418"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color="auto" w:fill="FFFFFF"/>
      <w:spacing w:lineRule="auto" w:line="240" w:before="120" w:after="0"/>
      <w:rPr>
        <w:rFonts w:ascii="Arial" w:hAnsi="Arial" w:eastAsia="Arial" w:cs="Arial"/>
        <w:sz w:val="18"/>
        <w:szCs w:val="18"/>
      </w:rPr>
    </w:pPr>
    <w:r>
      <w:rPr>
        <w:rFonts w:eastAsia="Arial" w:cs="Arial" w:ascii="Arial" w:hAnsi="Arial"/>
        <w:sz w:val="18"/>
        <w:szCs w:val="18"/>
      </w:rPr>
      <w:t xml:space="preserve">GD experts, cabinet conseils –  Boulevard Melchior Ndadaye, Immeuble eHela, 1er étage, suite 000 – BP 000 Bujumbura-Burundi – Tel :+257 00 000 000 – </w:t>
    </w:r>
    <w:r>
      <w:rPr>
        <w:rFonts w:eastAsia="Arial" w:cs="Arial" w:ascii="Arial" w:hAnsi="Arial"/>
        <w:color w:val="222222"/>
        <w:sz w:val="18"/>
        <w:szCs w:val="18"/>
      </w:rPr>
      <w:t>email: </w:t>
    </w:r>
    <w:hyperlink r:id="rId1">
      <w:r>
        <w:rPr>
          <w:rFonts w:eastAsia="Arial" w:cs="Arial" w:ascii="Arial" w:hAnsi="Arial"/>
          <w:color w:val="1155CC"/>
          <w:sz w:val="18"/>
          <w:szCs w:val="18"/>
          <w:u w:val="single"/>
        </w:rPr>
        <w:t>dgexperts@gmail.com</w:t>
      </w:r>
    </w:hyperlink>
    <w:r>
      <w:rPr>
        <w:rFonts w:eastAsia="Arial" w:cs="Arial" w:ascii="Arial" w:hAnsi="Arial"/>
        <w:color w:val="222222"/>
        <w:sz w:val="18"/>
        <w:szCs w:val="18"/>
      </w:rPr>
      <w:t xml:space="preserve"> – Site web: </w:t>
    </w:r>
    <w:hyperlink r:id="rId2">
      <w:r>
        <w:rPr>
          <w:rFonts w:eastAsia="Arial" w:cs="Arial" w:ascii="Arial" w:hAnsi="Arial"/>
          <w:color w:val="1155CC"/>
          <w:sz w:val="18"/>
          <w:szCs w:val="18"/>
          <w:u w:val="single"/>
        </w:rPr>
        <w:t>www.gdexperts.org</w:t>
      </w:r>
    </w:hyperlink>
  </w:p>
</w:ftr>
</file>

<file path=word/settings.xml><?xml version="1.0" encoding="utf-8"?>
<w:settings xmlns:w="http://schemas.openxmlformats.org/wordprocessingml/2006/main">
  <w:zoom w:percent="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fr-FR" w:eastAsia="fr-FR"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7406f6"/>
    <w:rPr/>
  </w:style>
  <w:style w:type="character" w:styleId="FuzeileZchn" w:customStyle="1">
    <w:name w:val="Fußzeile Zchn"/>
    <w:basedOn w:val="DefaultParagraphFont"/>
    <w:link w:val="Fuzeile"/>
    <w:uiPriority w:val="99"/>
    <w:qFormat/>
    <w:rsid w:val="007406f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KopfzeileZchn"/>
    <w:uiPriority w:val="99"/>
    <w:unhideWhenUsed/>
    <w:rsid w:val="007406f6"/>
    <w:pPr>
      <w:tabs>
        <w:tab w:val="clear" w:pos="720"/>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7406f6"/>
    <w:pPr>
      <w:tabs>
        <w:tab w:val="clear" w:pos="720"/>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ellenraster">
    <w:name w:val="Table Grid"/>
    <w:basedOn w:val="NormaleTabelle"/>
    <w:uiPriority w:val="39"/>
    <w:rsid w:val="000a049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mailto:dgexperts@gmail.com" TargetMode="External"/><Relationship Id="rId2" Type="http://schemas.openxmlformats.org/officeDocument/2006/relationships/hyperlink" Target="http://www.gdexpert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LibreOffice/6.4.7.2$Linux_X86_64 LibreOffice_project/40$Build-2</Application>
  <Pages>1</Pages>
  <Words>223</Words>
  <Characters>1418</Characters>
  <CharactersWithSpaces>1635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2021-03-22T20:02:00Z</dcterms:created>
  <dc:creator>Leopold</dc:creator>
  <dc:description/>
  <dc:language>en-US</dc:language>
  <cp:lastModifiedBy/>
  <dcterms:modified xsi:type="dcterms:W3CDTF">2021-04-20T13:03:16Z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