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Limitations of the Project</w:t>
      </w:r>
    </w:p>
    <w:p>
      <w:pPr>
        <w:spacing w:after="120"/>
        <w:jc w:val="both"/>
      </w:pPr>
      <w:r>
        <w:t xml:space="preserve">RentalEase Malaysia meets its intended scope for digital rental management, but the system has several limitations that should be acknowledged before any wider deployment.</w:t>
      </w:r>
    </w:p>
    <w:p>
      <w:pPr>
        <w:spacing w:after="120"/>
        <w:jc w:val="both"/>
      </w:pPr>
      <w:r>
        <w:rPr>
          <w:b/>
          <w:bCs/>
        </w:rPr>
        <w:t xml:space="preserve">Jurisdiction lock-in. </w:t>
      </w:r>
      <w:r>
        <w:t xml:space="preserve">The platform was built for the Malaysian rental market. Its tenancy agreement templates, deposit handling, and KYC checks follow Malaysian conventions and the Residential Tenancy Act framework. To use the system in another country, the legal templates and validation rules would need to be rewritten almost entirely.</w:t>
      </w:r>
    </w:p>
    <w:p>
      <w:pPr>
        <w:spacing w:after="120"/>
        <w:jc w:val="both"/>
      </w:pPr>
      <w:r>
        <w:rPr>
          <w:b/>
          <w:bCs/>
        </w:rPr>
        <w:t xml:space="preserve">Heavy reliance on third-party services. </w:t>
      </w:r>
      <w:r>
        <w:t xml:space="preserve">Cloudinary stores uploaded images, Resend handles transactional email, Upstash provides Redis for rate-limiting, and Google’s Generative AI assists with document parsing. If any of these go down, change pricing, or rate-limit the account, parts of the system stop working. The blockchain component, which uses ethers.js to record agreement hashes on-chain, is also subject to network congestion and gas fees that can delay transactions.</w:t>
      </w:r>
    </w:p>
    <w:p>
      <w:pPr>
        <w:spacing w:after="120"/>
        <w:jc w:val="both"/>
      </w:pPr>
      <w:r>
        <w:rPr>
          <w:b/>
          <w:bCs/>
        </w:rPr>
        <w:t xml:space="preserve">Single-language interface. </w:t>
      </w:r>
      <w:r>
        <w:t xml:space="preserve">The interface is in English only. Many landlords and tenants in Malaysia are more comfortable in Bahasa Malaysia, Mandarin, or Tamil, and adding multilingual support was outside the scope of this project.</w:t>
      </w:r>
    </w:p>
    <w:p>
      <w:pPr>
        <w:spacing w:after="120"/>
        <w:jc w:val="both"/>
      </w:pPr>
      <w:r>
        <w:rPr>
          <w:b/>
          <w:bCs/>
        </w:rPr>
        <w:t xml:space="preserve">Web-only delivery. </w:t>
      </w:r>
      <w:r>
        <w:t xml:space="preserve">There is no native mobile app. The site is responsive, but users on weaker networks tend to struggle during KYC, where they have to upload identity documents and proof of address from their phones.</w:t>
      </w:r>
    </w:p>
    <w:p>
      <w:pPr>
        <w:spacing w:after="120"/>
        <w:jc w:val="both"/>
      </w:pPr>
      <w:r>
        <w:rPr>
          <w:b/>
          <w:bCs/>
        </w:rPr>
        <w:t xml:space="preserve">Scalability is unverified. </w:t>
      </w:r>
      <w:r>
        <w:t xml:space="preserve">During development, a Prisma connection pool exhaustion issue (P2024) had to be patched by enforcing a singleton client. That fix works for current loads, but the application has not been stress-tested against thousands of concurrent users, and serverless cold starts may still open new database connections under heavy load.</w:t>
      </w:r>
    </w:p>
    <w:p>
      <w:pPr>
        <w:spacing w:after="120"/>
        <w:jc w:val="both"/>
      </w:pPr>
      <w:r>
        <w:rPr>
          <w:b/>
          <w:bCs/>
        </w:rPr>
        <w:t xml:space="preserve">AI output is not always reliable. </w:t>
      </w:r>
      <w:r>
        <w:t xml:space="preserve">Document summaries generated through Google’s Generative AI can miss context or invent details, particularly when scans are poor or handwritten. Every AI output still needs human review before being treated as ground truth.</w:t>
      </w:r>
    </w:p>
    <w:p>
      <w:pPr>
        <w:spacing w:after="120"/>
        <w:jc w:val="both"/>
      </w:pPr>
      <w:r>
        <w:rPr>
          <w:b/>
          <w:bCs/>
        </w:rPr>
        <w:t xml:space="preserve">Uneven test coverage. </w:t>
      </w:r>
      <w:r>
        <w:t xml:space="preserve">Critical paths are covered with Vitest, but edge cases around tenancy renewal, deposit settlement, and dispute handling were verified manually. Defects in rarely-used flows may not surface until real users hit them.</w:t>
      </w:r>
    </w:p>
    <w:p>
      <w:pPr>
        <w:spacing w:after="0"/>
        <w:jc w:val="both"/>
      </w:pPr>
      <w:r>
        <w:rPr>
          <w:b/>
          <w:bCs/>
        </w:rPr>
        <w:t xml:space="preserve">Time and resource constraints. </w:t>
      </w:r>
      <w:r>
        <w:t xml:space="preserve">The project was developed under a fixed academic timeline. A few planned features, including in-app messaging, a tenant rating system, and a maintenance request workflow, were scaled down or deferred so the core tenancy lifecycle could be completed properly.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1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2026-05-20T12:36:04.121Z</dcterms:created>
  <dcterms:modified xsi:type="dcterms:W3CDTF">2026-05-20T12:36:04.122Z</dcterms:modified>
</cp:coreProperties>
</file>

<file path=docProps/custom.xml><?xml version="1.0" encoding="utf-8"?>
<Properties xmlns="http://schemas.openxmlformats.org/officeDocument/2006/custom-properties" xmlns:vt="http://schemas.openxmlformats.org/officeDocument/2006/docPropsVTypes"/>
</file>