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998"/>
          <w:tab w:val="center" w:pos="4714"/>
        </w:tabs>
        <w:jc w:val="center"/>
        <w:rPr>
          <w:rFonts w:hint="default" w:hAnsi="宋体"/>
          <w:b/>
          <w:i w:val="0"/>
          <w:sz w:val="32"/>
        </w:rPr>
      </w:pPr>
      <w:r>
        <w:rPr>
          <w:rFonts w:hint="default" w:hAnsi="宋体"/>
          <w:b/>
          <w:i w:val="0"/>
          <w:sz w:val="32"/>
        </w:rPr>
        <w:t>{{title}}</w:t>
      </w:r>
    </w:p>
    <w:p>
      <w:pPr>
        <w:pStyle w:val="2"/>
        <w:tabs>
          <w:tab w:val="left" w:pos="998"/>
          <w:tab w:val="center" w:pos="4714"/>
        </w:tabs>
        <w:jc w:val="left"/>
        <w:rPr>
          <w:rFonts w:hint="eastAsia" w:hAnsi="宋体"/>
          <w:b/>
          <w:i w:val="0"/>
          <w:sz w:val="32"/>
        </w:rPr>
      </w:pPr>
      <w:r>
        <w:rPr>
          <w:rFonts w:hint="eastAsia" w:hAnsi="宋体"/>
          <w:b/>
          <w:i w:val="0"/>
          <w:sz w:val="32"/>
        </w:rPr>
        <w:t>一、保护试验报告(</w:t>
      </w:r>
      <w:r>
        <w:rPr>
          <w:rFonts w:hint="default" w:hAnsi="宋体"/>
          <w:b/>
          <w:i w:val="0"/>
          <w:sz w:val="32"/>
        </w:rPr>
        <w:t>{{equipment.name}}</w:t>
      </w:r>
      <w:r>
        <w:rPr>
          <w:rFonts w:hint="eastAsia" w:hAnsi="宋体"/>
          <w:b/>
          <w:i w:val="0"/>
          <w:sz w:val="32"/>
        </w:rPr>
        <w:t>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1.铭牌数据</w:t>
      </w:r>
    </w:p>
    <w:tbl>
      <w:tblPr>
        <w:tblStyle w:val="16"/>
        <w:tblW w:w="0" w:type="auto"/>
        <w:tblInd w:w="-6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36"/>
        <w:gridCol w:w="1535"/>
        <w:gridCol w:w="1536"/>
        <w:gridCol w:w="17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额定电压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额定电流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直流电压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生产厂家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生产日期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编号及屏柜号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57.7V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current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eastAsia"/>
                <w:kern w:val="2"/>
                <w:sz w:val="18"/>
                <w:szCs w:val="18"/>
                <w:lang w:val="en-US" w:eastAsia="zh-Hans" w:bidi="ar-SA"/>
              </w:rPr>
              <w:t>voltage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factory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2.保护屏清扫、检查及插件外观检查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6614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  查  内  容</w:t>
            </w:r>
          </w:p>
        </w:tc>
        <w:tc>
          <w:tcPr>
            <w:tcW w:w="124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保护屏检查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pStyle w:val="25"/>
              <w:widowControl w:val="0"/>
              <w:spacing w:line="240" w:lineRule="auto"/>
              <w:jc w:val="center"/>
              <w:rPr>
                <w:rFonts w:hint="eastAsia" w:hAnsi="宋体"/>
                <w:kern w:val="2"/>
                <w:sz w:val="18"/>
                <w:szCs w:val="18"/>
              </w:rPr>
            </w:pPr>
            <w:r>
              <w:rPr>
                <w:rFonts w:hint="eastAsia" w:hAnsi="宋体"/>
                <w:kern w:val="2"/>
                <w:sz w:val="18"/>
                <w:szCs w:val="18"/>
              </w:rPr>
              <w:t>保护柜的外形应端正，无机械损伤及变形现象；各构成装置应固定良好，无松动现象；各装置端子排的连接应可靠，所置标号应正确、清晰。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保护屏内接线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保护柜内的连接线应牢固、可靠，无松脱、折断；接地点应连接牢固且接地良好，并符合设计要求。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保护屏内装置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装置的各组件应完好无损，其交、直流额定值及辅助电流变换器的参数应与设计一致；各组件应插拔自如、接触可靠，组件上无跳线；组件上的焊点应光滑、无虚焊；复归按钮、电源开关的通断位置应明确且操作灵活；继电器应清洁，无受潮、积尘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3.保护屏上压板检查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1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内容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71" w:type="dxa"/>
            <w:noWrap w:val="0"/>
            <w:vAlign w:val="top"/>
          </w:tcPr>
          <w:p>
            <w:pPr>
              <w:pStyle w:val="25"/>
              <w:widowControl w:val="0"/>
              <w:spacing w:line="240" w:lineRule="auto"/>
              <w:rPr>
                <w:rFonts w:hint="eastAsia" w:hAnsi="宋体"/>
                <w:kern w:val="2"/>
                <w:sz w:val="18"/>
                <w:szCs w:val="18"/>
              </w:rPr>
            </w:pPr>
            <w:r>
              <w:rPr>
                <w:rFonts w:hint="eastAsia" w:hAnsi="宋体"/>
                <w:kern w:val="2"/>
                <w:sz w:val="18"/>
                <w:szCs w:val="18"/>
              </w:rPr>
              <w:t>压板端子接线是否符合反措要求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6771" w:type="dxa"/>
            <w:noWrap w:val="0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压板端子接线压接是否良好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71" w:type="dxa"/>
            <w:noWrap w:val="0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压板外观检查情况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4.屏蔽接地检查</w:t>
      </w:r>
    </w:p>
    <w:tbl>
      <w:tblPr>
        <w:tblStyle w:val="16"/>
        <w:tblW w:w="96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检查保护引入、引出电缆是否为屏蔽电缆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检查全部屏蔽电缆的屏蔽层是否两端接地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检查保护屏底部的下面是否构造一个专用的接地铜网格，保护屏的专用接地端子是否用大于6mm2截面铜线联接到此铜网格上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并检查各接地端子的连接处连接是否可靠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5.绝缘测试记录卡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1381"/>
        <w:gridCol w:w="1294"/>
        <w:gridCol w:w="2126"/>
        <w:gridCol w:w="1440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要求值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要求值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交流电流对地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交流电流对交流电压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交流电压对地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交流电压对直流电源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直流电源对地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直流电源对跳合接点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跳合闸接点对地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跳合接点对开关量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开关量输入对地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开关量对远动、信号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远动、信号对地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整个二次回路对地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非电量开入回路对地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6.保护校验</w:t>
      </w:r>
    </w:p>
    <w:p>
      <w:pPr>
        <w:pStyle w:val="5"/>
        <w:rPr>
          <w:rFonts w:hint="eastAsia"/>
        </w:rPr>
      </w:pPr>
      <w:r>
        <w:rPr>
          <w:rFonts w:hint="eastAsia"/>
        </w:rPr>
        <w:t>6.1.保护逆变电源输出电压测试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419"/>
        <w:gridCol w:w="1620"/>
        <w:gridCol w:w="1440"/>
        <w:gridCol w:w="1440"/>
        <w:gridCol w:w="1440"/>
        <w:gridCol w:w="1431"/>
      </w:tblGrid>
      <w:tr>
        <w:trPr>
          <w:cantSplit/>
          <w:trHeight w:val="90" w:hRule="atLeast"/>
          <w:jc w:val="center"/>
        </w:trPr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标准值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30"/>
              <w:widowControl w:val="0"/>
              <w:spacing w:before="0" w:line="240" w:lineRule="auto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23"/>
              <w:widowControl w:val="0"/>
              <w:numPr>
                <w:ilvl w:val="1"/>
                <w:numId w:val="0"/>
              </w:numPr>
              <w:tabs>
                <w:tab w:val="left" w:pos="360"/>
                <w:tab w:val="clear" w:pos="210"/>
                <w:tab w:val="clear" w:pos="420"/>
              </w:tabs>
              <w:textAlignment w:val="auto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</w:t>
            </w:r>
            <w:r>
              <w:rPr>
                <w:rFonts w:hint="eastAsia" w:ascii="Times New Roman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12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-12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+24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R24</w:t>
            </w:r>
          </w:p>
        </w:tc>
      </w:tr>
      <w:tr>
        <w:trPr>
          <w:cantSplit/>
          <w:jc w:val="center"/>
        </w:trPr>
        <w:tc>
          <w:tcPr>
            <w:tcW w:w="84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输出直流电压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允许范围(V)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4.8~6.2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10~13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-10~-13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22~26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22~26</w:t>
            </w:r>
          </w:p>
        </w:tc>
      </w:tr>
      <w:tr>
        <w:trPr>
          <w:cantSplit/>
          <w:jc w:val="center"/>
        </w:trPr>
        <w:tc>
          <w:tcPr>
            <w:tcW w:w="84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实测值(伏)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{{source[0]}}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{{source[1]}}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{{source[2]}}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{{source[3]}}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{{source[4]}}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6.2.保护逆变电源自启动电压及拉合直流电源试验</w:t>
      </w:r>
    </w:p>
    <w:tbl>
      <w:tblPr>
        <w:tblStyle w:val="16"/>
        <w:tblW w:w="0" w:type="auto"/>
        <w:tblInd w:w="-6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5986"/>
        <w:gridCol w:w="155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检查结果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vMerge w:val="restart"/>
            <w:noWrap w:val="0"/>
            <w:vAlign w:val="center"/>
          </w:tcPr>
          <w:p>
            <w:pPr>
              <w:pStyle w:val="25"/>
              <w:widowControl w:val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自启动性能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电源由零缓慢上升至80%额定电压值，电源指示灯应亮。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98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在80%额定电压下拉合直流电源，电源指示灯应指示正确。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noWrap w:val="0"/>
            <w:vAlign w:val="center"/>
          </w:tcPr>
          <w:p>
            <w:pPr>
              <w:pStyle w:val="25"/>
              <w:widowControl w:val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拉合直流电源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保护装置加额定工作电源，并通入正常的负荷电流和额定电压，监视保护跳闸出口接点，进行拉合直流工作电源，此时保护装置应不误动和误发保护动作信号。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6.3.保护通电检查</w:t>
      </w:r>
    </w:p>
    <w:p>
      <w:pPr>
        <w:rPr>
          <w:rFonts w:hint="eastAsia" w:ascii="宋体" w:hAnsi="宋体"/>
        </w:rPr>
      </w:pPr>
      <w:r>
        <w:rPr>
          <w:rFonts w:hint="eastAsia" w:ascii="Times New Roman"/>
          <w:kern w:val="2"/>
          <w:sz w:val="21"/>
          <w:szCs w:val="21"/>
          <w:lang w:val="en-US" w:eastAsia="zh-CN" w:bidi="ar-SA"/>
        </w:rPr>
        <w:t>6.3.1.</w:t>
      </w:r>
      <w:r>
        <w:rPr>
          <w:rFonts w:hint="eastAsia" w:ascii="宋体" w:hAnsi="宋体"/>
        </w:rPr>
        <w:t>保护通电初步检查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4500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保护装置的通电自检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检验键盘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时钟的检查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打印机联机功能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rPr>
          <w:rFonts w:hint="eastAsia" w:ascii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/>
        </w:rPr>
      </w:pPr>
      <w:r>
        <w:rPr>
          <w:rFonts w:hint="eastAsia" w:ascii="Times New Roman"/>
          <w:kern w:val="2"/>
          <w:sz w:val="21"/>
          <w:szCs w:val="21"/>
          <w:lang w:val="en-US" w:eastAsia="zh-CN" w:bidi="ar-SA"/>
        </w:rPr>
        <w:t>6.3.2.保护软件</w:t>
      </w:r>
      <w:r>
        <w:rPr>
          <w:rFonts w:hint="eastAsia" w:ascii="宋体" w:hAnsi="宋体"/>
        </w:rPr>
        <w:t>版本号检查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491"/>
        <w:gridCol w:w="1748"/>
        <w:gridCol w:w="1748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保护名称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版本号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版本日期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CRC码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1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{{equipment.name}}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version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CRC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{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password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</w:tr>
    </w:tbl>
    <w:p>
      <w:pPr>
        <w:rPr>
          <w:rFonts w:hint="eastAsia"/>
        </w:rPr>
      </w:pPr>
      <w:r>
        <w:rPr>
          <w:rFonts w:hint="eastAsia" w:ascii="宋体" w:hAnsi="宋体"/>
          <w:color w:val="000000"/>
        </w:rPr>
        <w:t xml:space="preserve">结果：与整定单一致，符合规程要求  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6.4开关量输入回路检查：</w:t>
      </w:r>
    </w:p>
    <w:tbl>
      <w:tblPr>
        <w:tblStyle w:val="16"/>
        <w:tblW w:w="0" w:type="auto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345"/>
        <w:gridCol w:w="3227"/>
        <w:gridCol w:w="13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0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开关量功能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保护板状态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开关量功能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保护板状态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差动</w:t>
            </w:r>
            <w:r>
              <w:rPr>
                <w:rFonts w:hint="eastAsia"/>
                <w:sz w:val="18"/>
                <w:szCs w:val="18"/>
              </w:rPr>
              <w:t>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检修状态投/退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4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高压侧后备保护投/退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远方操作投入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高压侧失灵开入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中压侧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后备保护</w:t>
            </w:r>
            <w:r>
              <w:rPr>
                <w:rFonts w:hint="eastAsia"/>
                <w:sz w:val="18"/>
                <w:szCs w:val="18"/>
              </w:rPr>
              <w:t>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高压侧失灵开入2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信号复归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低压侧后备保护投/退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启动打印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4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 w:ascii="宋体" w:hAnsi="宋体"/>
        </w:rPr>
      </w:pP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7.模数变换系统检验：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7.1模拟量输入的零漂及幅值特性校验：(零漂：-0.05—0.05；幅值误差不大于±5%) </w:t>
      </w:r>
    </w:p>
    <w:tbl>
      <w:tblPr>
        <w:tblStyle w:val="1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620"/>
        <w:gridCol w:w="1593"/>
        <w:gridCol w:w="1651"/>
        <w:gridCol w:w="1621"/>
        <w:gridCol w:w="16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9" w:hRule="atLeast"/>
        </w:trPr>
        <w:tc>
          <w:tcPr>
            <w:tcW w:w="14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810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零漂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60V/5In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30V/In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5V/0.2In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1V/0.1In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{{first[0]}}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{{fifth[0]}}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{{forth[0]}}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{{third[0]}}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{{first[3]}}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{{fifth[3]}}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{{forth[3]}}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{{third[3]}}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{{first[4]}}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{{fifth[4]}}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{{forth[4]}}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{{third[4]}}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{{first[5]}}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{{fifth[5]}}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{{forth[5]}}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{{third[5]}}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{{first[6]}}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{{fifth[6]}}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{{forth[6]}}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{{third[6]}}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Io1外接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{{first[7]}}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{{fifth[7]}}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{{forth[7]}}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{{third[7]}}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Io1’间隙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{{first[8]}}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{{fifth[8]}}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{{forth[8]}}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{{third[8]}}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{{first[9]}}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{{fifth[9]}}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{{forth[9]}}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{{third[9]}}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2" w:hRule="atLeast"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{{first[10]}}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{{fifth[10]}}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{{forth[10]}}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{{third[10]}}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{{first[11]}}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{{fifth[11]}}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{{forth[11]}}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{{third[11]}}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{{first[12]}}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{{fifth[12]}}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{{forth[12]}}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{{third[12]}}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{{first[13]}}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{{fifth[13]}}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{{forth[13]}}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{{third[13]}}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{{first[14]}}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{{fifth[14]}}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{{forth[14]}}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{{third[14]}}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{{first[15]}}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{{fifth[15]}}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{{forth[15]}}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{{third[15]}}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{{first[16]}}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{{fifth[16]}}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{{forth[16]}}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{{third[16]}}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{{first[17]}}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{{fifth[17]}}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{{forth[17]}}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{{third[17]}}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{{first[18]}}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{{fifth[18]}}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{{forth[18]}}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{{third[18]}}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{{first[19]}}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{{fifth[19]}}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{{forth[19]}}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{{third[19]}}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{{first[20]}}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{{fifth[20]}}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{{forth[20]}}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{{third[20]}}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{{first[21]}}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{{fifth[21]}}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{{forth[21]}}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{{third[21]}}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{{first[22]}}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{{fifth[22]}}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{{forth[22]}}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{{third[22]}}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{{first[23]}}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{{fifth[23]}}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{{forth[23]}}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{{third[23]}}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default"/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7.2模拟量输入的相位特性检验：（误差不大于3度）  （单位：度）</w:t>
      </w:r>
    </w:p>
    <w:tbl>
      <w:tblPr>
        <w:tblStyle w:val="1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2409"/>
        <w:gridCol w:w="23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2" w:hRule="atLeast"/>
        </w:trPr>
        <w:tc>
          <w:tcPr>
            <w:tcW w:w="476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 目</w:t>
            </w:r>
          </w:p>
        </w:tc>
        <w:tc>
          <w:tcPr>
            <w:tcW w:w="4759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4" w:hRule="atLeast"/>
        </w:trPr>
        <w:tc>
          <w:tcPr>
            <w:tcW w:w="476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ΦIa1-Ib1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{{angle[0]}}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{{angle[21]}}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ΦIa1-Ic1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{{angle[22]}}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ΦIa1-Ia2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{{angle[23]}}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{{angle[24]}}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2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{{angle[4]}}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{{angle[25]}}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ΦIa1-Ia3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{{angle[5]}}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{{angle[26]}}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{{angle[6]}}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{{angle[27]}}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9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{{angle[7]}}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{{angle[28]}}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Φua1-Ia1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{{angle[8]}}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{{angle[29]}}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5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Φua1-Ib1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{{angle[9]}}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{{angle[30]}}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Φua1-Ic1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{{angle[10]}}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{{angle[31]}}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Φua2-Ia2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{{angle[11]}}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{{angle[32]}}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Φua2-Ib2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{{angle[12]}}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{{angle[33]}}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Φua2-Ic2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{{angle[13]}}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{{angle[34]}}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Φua3-Ia3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{{angle[14]}}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{{angle[35]}}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Φua3-Ib3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{{angle[15]}}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{{angle[36]}}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Φua3-Ic3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{{angle[16]}}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{{angle[37]}}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9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Φuo1-Io1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{{angle[17]}}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{{angle[38]}}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Φuo1-Io1’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{{angle[18]}}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{{angle[39]}}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Φuo2-Io2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{{angle[19]}}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{{angle[40]}}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Φuo2-Io2’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{{angle[20]}}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{{angle[41]}}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>差动元件定值检验：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8.1</w:t>
      </w:r>
      <w:r>
        <w:rPr>
          <w:rFonts w:hint="eastAsia"/>
          <w:lang w:val="en-US" w:eastAsia="zh-Hans"/>
        </w:rPr>
        <w:t>平衡系数计算</w:t>
      </w:r>
      <w:r>
        <w:rPr>
          <w:rFonts w:hint="default"/>
          <w:lang w:eastAsia="zh-Hans"/>
        </w:rPr>
        <w:t>：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773"/>
        <w:gridCol w:w="1773"/>
        <w:gridCol w:w="1774"/>
        <w:gridCol w:w="18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4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变压器额定容量</w:t>
            </w:r>
            <w:r>
              <w:rPr>
                <w:rFonts w:hint="eastAsia"/>
                <w:bCs/>
                <w:sz w:val="18"/>
                <w:szCs w:val="18"/>
              </w:rPr>
              <w:t>(MVA)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{{mainProtect.HighCapacity}}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{{mainProtect.MiddleCapacity}}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{{mainProtect.LowCapacity}}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变压器接线方式</w:t>
            </w:r>
          </w:p>
        </w:tc>
        <w:tc>
          <w:tcPr>
            <w:tcW w:w="7136" w:type="dxa"/>
            <w:gridSpan w:val="4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a0</w:t>
            </w:r>
            <w:r>
              <w:rPr>
                <w:rFonts w:hint="eastAsia"/>
                <w:sz w:val="18"/>
                <w:szCs w:val="18"/>
              </w:rPr>
              <w:t>yn0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/>
                <w:sz w:val="18"/>
                <w:szCs w:val="18"/>
              </w:rPr>
              <w:t>d11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一次额定电压</w:t>
            </w:r>
            <w:r>
              <w:rPr>
                <w:rFonts w:hint="eastAsia"/>
                <w:sz w:val="18"/>
                <w:szCs w:val="18"/>
              </w:rPr>
              <w:t>(kV)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{{mainProtect.HighVoltage}}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{{mainProtect.MiddleVoltage}}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{{mainProtect.LowVoltage}}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变压器一次额定电流I1n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{{mainProtect.HighRation}}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{{mainProtect.MiddleRation}}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{{mainProtect.LowRation}}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变压器二次额定电流I2n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{{mainProtect.HighCurrent}}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{{mainProtect.MiddleCurrent}}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{{mainProtect.LowCurrent}}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Ie折算值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{{mainProtectCal.EHCurrent}}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{{mainProtectCal.EMCurrent}}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{{mainProtectCal.ELCurrent}}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2</w:t>
      </w:r>
      <w:r>
        <w:rPr>
          <w:rFonts w:hint="eastAsia"/>
        </w:rPr>
        <w:t>最小动作电流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10"/>
        <w:gridCol w:w="1310"/>
        <w:gridCol w:w="1310"/>
        <w:gridCol w:w="1310"/>
        <w:gridCol w:w="1312"/>
        <w:gridCol w:w="674"/>
      </w:tblGrid>
      <w:tr>
        <w:trPr>
          <w:trHeight w:val="468" w:hRule="atLeast"/>
          <w:jc w:val="center"/>
        </w:trPr>
        <w:tc>
          <w:tcPr>
            <w:tcW w:w="96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动作时间(ms)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03" w:hRule="atLeast"/>
          <w:jc w:val="center"/>
        </w:trPr>
        <w:tc>
          <w:tcPr>
            <w:tcW w:w="961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差动动作定值</w:t>
            </w:r>
          </w:p>
        </w:tc>
        <w:tc>
          <w:tcPr>
            <w:tcW w:w="131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jc w:val="center"/>
        </w:trPr>
        <w:tc>
          <w:tcPr>
            <w:tcW w:w="96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  <w:jc w:val="center"/>
        </w:trPr>
        <w:tc>
          <w:tcPr>
            <w:tcW w:w="96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3</w:t>
      </w:r>
      <w:r>
        <w:rPr>
          <w:rFonts w:hint="eastAsia"/>
        </w:rPr>
        <w:t>差动速动段检查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1267"/>
        <w:gridCol w:w="1267"/>
        <w:gridCol w:w="1267"/>
        <w:gridCol w:w="1273"/>
        <w:gridCol w:w="663"/>
      </w:tblGrid>
      <w:tr>
        <w:trPr>
          <w:trHeight w:val="589" w:hRule="atLeast"/>
          <w:jc w:val="center"/>
        </w:trPr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动作时间(ms)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6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71" w:hRule="atLeast"/>
          <w:jc w:val="center"/>
        </w:trPr>
        <w:tc>
          <w:tcPr>
            <w:tcW w:w="1267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纵差差动速断电流定值</w:t>
            </w:r>
          </w:p>
        </w:tc>
        <w:tc>
          <w:tcPr>
            <w:tcW w:w="1267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{{mainProtect.differentialFastCurrent}}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  <w:jc w:val="center"/>
        </w:trPr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35" w:hRule="atLeast"/>
          <w:jc w:val="center"/>
        </w:trPr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4</w:t>
      </w:r>
      <w:r>
        <w:rPr>
          <w:rFonts w:hint="eastAsia"/>
        </w:rPr>
        <w:t xml:space="preserve"> 稳态比率制动特性检验：</w:t>
      </w:r>
    </w:p>
    <w:p>
      <w:pPr>
        <w:bidi w:val="0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4</w:t>
      </w:r>
      <w:r>
        <w:rPr>
          <w:rFonts w:hint="eastAsia"/>
        </w:rPr>
        <w:t>.1高压侧对低压侧比率制动特性曲线测试</w:t>
      </w:r>
      <w:r>
        <w:rPr>
          <w:rFonts w:hint="default"/>
        </w:rPr>
        <w:t>：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bl</w:t>
      </w:r>
      <w:r>
        <w:rPr>
          <w:rFonts w:hint="eastAsia"/>
        </w:rPr>
        <w:t>=0.5；K</w:t>
      </w:r>
      <w:r>
        <w:rPr>
          <w:rFonts w:hint="eastAsia"/>
          <w:vertAlign w:val="subscript"/>
        </w:rPr>
        <w:t>b2</w:t>
      </w:r>
      <w:r>
        <w:rPr>
          <w:rFonts w:hint="eastAsia"/>
        </w:rPr>
        <w:t>=0.7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"/>
        <w:gridCol w:w="1255"/>
        <w:gridCol w:w="1256"/>
        <w:gridCol w:w="1255"/>
        <w:gridCol w:w="1258"/>
        <w:gridCol w:w="904"/>
        <w:gridCol w:w="904"/>
        <w:gridCol w:w="904"/>
        <w:gridCol w:w="1306"/>
      </w:tblGrid>
      <w:tr>
        <w:trPr>
          <w:trHeight w:val="189" w:hRule="atLeast"/>
          <w:jc w:val="center"/>
        </w:trPr>
        <w:tc>
          <w:tcPr>
            <w:tcW w:w="35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序号</w:t>
            </w:r>
          </w:p>
        </w:tc>
        <w:tc>
          <w:tcPr>
            <w:tcW w:w="2511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 (A)</w:t>
            </w:r>
          </w:p>
        </w:tc>
        <w:tc>
          <w:tcPr>
            <w:tcW w:w="2513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低</w:t>
            </w:r>
            <w:r>
              <w:rPr>
                <w:bCs/>
                <w:sz w:val="18"/>
                <w:szCs w:val="18"/>
              </w:rPr>
              <w:t>压侧 (A)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制动电流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差动电流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动作区</w:t>
            </w:r>
          </w:p>
        </w:tc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k</w:t>
            </w:r>
          </w:p>
        </w:tc>
      </w:tr>
      <w:tr>
        <w:trPr>
          <w:trHeight w:val="326" w:hRule="atLeast"/>
          <w:jc w:val="center"/>
        </w:trPr>
        <w:tc>
          <w:tcPr>
            <w:tcW w:w="352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30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>
        <w:trPr>
          <w:trHeight w:val="189" w:hRule="atLeast"/>
          <w:jc w:val="center"/>
        </w:trPr>
        <w:tc>
          <w:tcPr>
            <w:tcW w:w="352" w:type="dxa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{{mainProtectCal.trueHighCurrent1}}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{{mainProtectCal.k}}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196" w:hRule="atLeast"/>
          <w:jc w:val="center"/>
        </w:trPr>
        <w:tc>
          <w:tcPr>
            <w:tcW w:w="352" w:type="dxa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{{mainProtectCal.Id2}}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0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8.</w:t>
      </w:r>
      <w:r>
        <w:rPr>
          <w:rFonts w:hint="default"/>
        </w:rPr>
        <w:t>5</w:t>
      </w:r>
      <w:r>
        <w:rPr>
          <w:rFonts w:hint="eastAsia"/>
        </w:rPr>
        <w:t xml:space="preserve">二次谐波闭锁检查: 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200"/>
        <w:gridCol w:w="1980"/>
        <w:gridCol w:w="2010"/>
        <w:gridCol w:w="2016"/>
      </w:tblGrid>
      <w:tr>
        <w:trPr>
          <w:cantSplit/>
          <w:trHeight w:val="279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项 目</w:t>
            </w:r>
          </w:p>
        </w:tc>
        <w:tc>
          <w:tcPr>
            <w:tcW w:w="120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A相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B相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基波电流（A）</w:t>
            </w:r>
          </w:p>
        </w:tc>
        <w:tc>
          <w:tcPr>
            <w:tcW w:w="120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{{mainProtect.harmonic}}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二次谐波电流（A）</w:t>
            </w:r>
          </w:p>
        </w:tc>
        <w:tc>
          <w:tcPr>
            <w:tcW w:w="120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比例系数</w:t>
            </w:r>
          </w:p>
        </w:tc>
        <w:tc>
          <w:tcPr>
            <w:tcW w:w="120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6</w:t>
      </w:r>
      <w:r>
        <w:rPr>
          <w:rFonts w:hint="eastAsia"/>
        </w:rPr>
        <w:t>差流异常报警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185"/>
        <w:gridCol w:w="1995"/>
        <w:gridCol w:w="2010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模拟故障状态</w:t>
            </w:r>
          </w:p>
        </w:tc>
        <w:tc>
          <w:tcPr>
            <w:tcW w:w="118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602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高压侧（A相）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中压侧（B相）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低压侧（C相）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18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{{mainProtect.differentialWarning}}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602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{{mainProtect.differentialWarning</w:t>
            </w:r>
            <w:r>
              <w:rPr>
                <w:rFonts w:hint="default"/>
                <w:sz w:val="18"/>
                <w:szCs w:val="18"/>
                <w:lang w:eastAsia="zh-CN"/>
              </w:rPr>
              <w:t>Time</w:t>
            </w:r>
            <w:r>
              <w:rPr>
                <w:rFonts w:hint="default"/>
                <w:sz w:val="18"/>
                <w:szCs w:val="18"/>
                <w:lang w:eastAsia="zh-CN"/>
              </w:rPr>
              <w:t>}}Ie</w:t>
            </w:r>
          </w:p>
        </w:tc>
      </w:tr>
    </w:tbl>
    <w:p>
      <w:pPr>
        <w:pStyle w:val="5"/>
        <w:rPr>
          <w:rFonts w:hint="default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过负荷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110"/>
        <w:gridCol w:w="1980"/>
        <w:gridCol w:w="2025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模拟故障相别</w:t>
            </w: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</w:p>
        </w:tc>
        <w:tc>
          <w:tcPr>
            <w:tcW w:w="6022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动作情况</w:t>
            </w:r>
          </w:p>
        </w:tc>
      </w:tr>
      <w:tr>
        <w:trPr>
          <w:cantSplit/>
          <w:trHeight w:val="360" w:hRule="atLeast"/>
          <w:jc w:val="center"/>
        </w:trPr>
        <w:tc>
          <w:tcPr>
            <w:tcW w:w="2108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高压侧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中压侧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低压侧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{{otherProtect.OverLoadCurrent}}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6022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</w:t>
            </w:r>
            <w:r>
              <w:rPr>
                <w:rFonts w:hint="default"/>
                <w:sz w:val="18"/>
                <w:szCs w:val="18"/>
                <w:lang w:eastAsia="zh-CN"/>
              </w:rPr>
              <w:t>Time</w:t>
            </w:r>
            <w:r>
              <w:rPr>
                <w:rFonts w:hint="default"/>
                <w:sz w:val="18"/>
                <w:szCs w:val="18"/>
                <w:lang w:eastAsia="zh-CN"/>
              </w:rPr>
              <w:t>}}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 xml:space="preserve"> 后备保护定值及功能检验：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高压侧后备保护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高压侧相关逻辑试验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8"/>
        <w:gridCol w:w="2634"/>
        <w:gridCol w:w="14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high_platen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23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23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高压侧电压软压板（压板定值）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3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高复压方向过流1时限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高压侧复压过流保护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{{protect_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高压侧零序过流保护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高压侧间隙过流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{{otherProtect.HighGapZeroCurrent}}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Time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}}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中压侧后备保护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7"/>
        <w:gridCol w:w="1759"/>
        <w:gridCol w:w="10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  <w:jc w:val="center"/>
        </w:trPr>
        <w:tc>
          <w:tcPr>
            <w:tcW w:w="6477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{{middle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90" w:hRule="atLeast"/>
          <w:jc w:val="center"/>
        </w:trPr>
        <w:tc>
          <w:tcPr>
            <w:tcW w:w="647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  <w:jc w:val="center"/>
        </w:trPr>
        <w:tc>
          <w:tcPr>
            <w:tcW w:w="647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中压侧电压软压板（压板定值）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6477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/>
                <w:kern w:val="0"/>
                <w:sz w:val="18"/>
                <w:szCs w:val="18"/>
              </w:rPr>
              <w:t>中间隙保护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中压侧零序过流保护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中压侧间隙过流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{{otherProtect.MiddleGapZeroCurrent}}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Time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}}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低压侧后备保护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低压侧相关逻辑试验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  <w:gridCol w:w="1756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low_platen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56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低压侧电压软压板（压板定值）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99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低复压过流1时限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CN"/>
        </w:rPr>
        <w:t>低</w:t>
      </w:r>
      <w:r>
        <w:rPr>
          <w:rFonts w:hint="eastAsia"/>
          <w:lang w:val="en-US" w:eastAsia="zh-Hans"/>
        </w:rPr>
        <w:t>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protect_low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复合电压闭锁</w:t>
      </w:r>
    </w:p>
    <w:tbl>
      <w:tblPr>
        <w:tblStyle w:val="1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309"/>
        <w:gridCol w:w="1309"/>
        <w:gridCol w:w="1309"/>
        <w:gridCol w:w="1309"/>
        <w:gridCol w:w="1309"/>
        <w:gridCol w:w="1309"/>
      </w:tblGrid>
      <w:tr>
        <w:trPr>
          <w:trHeight w:val="327" w:hRule="atLeast"/>
        </w:trPr>
        <w:tc>
          <w:tcPr>
            <w:tcW w:w="156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 xml:space="preserve">项 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高压侧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中压侧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低压侧</w:t>
            </w:r>
          </w:p>
        </w:tc>
      </w:tr>
      <w:tr>
        <w:trPr>
          <w:trHeight w:val="308" w:hRule="atLeast"/>
        </w:trPr>
        <w:tc>
          <w:tcPr>
            <w:tcW w:w="1565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</w:tr>
      <w:tr>
        <w:trPr>
          <w:trHeight w:val="308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</w:tr>
      <w:tr>
        <w:trPr>
          <w:trHeight w:val="336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动作值</w:t>
            </w:r>
            <w:r>
              <w:rPr>
                <w:color w:val="000000"/>
                <w:kern w:val="0"/>
                <w:sz w:val="18"/>
                <w:szCs w:val="18"/>
              </w:rPr>
              <w:t>(V)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{{complexV[0]}}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]}}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</w:rPr>
        <w:t>零序过压保护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885"/>
        <w:gridCol w:w="5467"/>
      </w:tblGrid>
      <w:tr>
        <w:trPr>
          <w:cantSplit/>
          <w:trHeight w:val="248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模拟故障情况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动作情况</w:t>
            </w:r>
          </w:p>
        </w:tc>
      </w:tr>
      <w:tr>
        <w:trPr>
          <w:cantSplit/>
          <w:trHeight w:val="286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1.05倍整定值</w:t>
            </w:r>
          </w:p>
        </w:tc>
        <w:tc>
          <w:tcPr>
            <w:tcW w:w="885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{{otherProtect.ZeroVoltage}}</w:t>
            </w: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eastAsia="宋体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rPr>
          <w:cantSplit/>
          <w:trHeight w:val="290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0.95倍整定值</w:t>
            </w:r>
          </w:p>
        </w:tc>
        <w:tc>
          <w:tcPr>
            <w:tcW w:w="88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eastAsia="宋体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rPr>
          <w:cantSplit/>
          <w:trHeight w:val="290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1.2倍整定值时动作时间</w:t>
            </w:r>
          </w:p>
        </w:tc>
        <w:tc>
          <w:tcPr>
            <w:tcW w:w="88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{{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otherProtect.ZeroVoltage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Time}}</w:t>
            </w:r>
          </w:p>
        </w:tc>
      </w:tr>
    </w:tbl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.与其它装置配合试验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336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54" w:hRule="atLeast"/>
        </w:trPr>
        <w:tc>
          <w:tcPr>
            <w:tcW w:w="212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故障类型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高压侧启动失灵保护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监控系统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A相故障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B相故障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C相故障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186" w:hRule="atLeast"/>
        </w:trPr>
        <w:tc>
          <w:tcPr>
            <w:tcW w:w="212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相间瞬时性故障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  <w:lang w:eastAsia="zh-Hans"/>
        </w:rPr>
        <w:t>1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跳闸矩阵校验</w:t>
      </w:r>
    </w:p>
    <w:tbl>
      <w:tblPr>
        <w:tblStyle w:val="16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2921"/>
        <w:gridCol w:w="2089"/>
        <w:gridCol w:w="2248"/>
        <w:gridCol w:w="13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{{action_table}}定值名称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整定原则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试验结果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主保护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防跳功能</w:t>
      </w:r>
    </w:p>
    <w:tbl>
      <w:tblPr>
        <w:tblStyle w:val="16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794"/>
        <w:gridCol w:w="2931"/>
      </w:tblGrid>
      <w:tr>
        <w:trPr>
          <w:cantSplit/>
          <w:trHeight w:val="400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高压侧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00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中压侧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08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低压侧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</w:tbl>
    <w:p>
      <w:pPr>
        <w:pStyle w:val="4"/>
        <w:ind w:left="0" w:leftChars="0" w:firstLine="0" w:firstLineChars="0"/>
        <w:rPr>
          <w:rFonts w:hint="default" w:eastAsia="宋体"/>
          <w:kern w:val="2"/>
          <w:sz w:val="21"/>
          <w:lang w:eastAsia="zh-Hans" w:bidi="ar-SA"/>
        </w:rPr>
      </w:pPr>
    </w:p>
    <w:p>
      <w:pPr>
        <w:pStyle w:val="4"/>
        <w:ind w:left="0" w:leftChars="0" w:firstLine="0" w:firstLineChars="0"/>
        <w:rPr>
          <w:rFonts w:hint="eastAsia" w:eastAsia="宋体"/>
          <w:kern w:val="2"/>
          <w:sz w:val="21"/>
          <w:lang w:eastAsia="zh-Hans" w:bidi="ar-SA"/>
        </w:rPr>
      </w:pPr>
      <w:r>
        <w:rPr>
          <w:rFonts w:hint="default" w:eastAsia="宋体"/>
          <w:kern w:val="2"/>
          <w:sz w:val="21"/>
          <w:lang w:eastAsia="zh-Hans" w:bidi="ar-SA"/>
        </w:rPr>
        <w:t>14</w:t>
      </w:r>
      <w:r>
        <w:rPr>
          <w:rFonts w:hint="eastAsia" w:eastAsia="宋体"/>
          <w:kern w:val="2"/>
          <w:sz w:val="21"/>
          <w:lang w:val="en-US" w:eastAsia="zh-Hans" w:bidi="ar-SA"/>
        </w:rPr>
        <w:t>.</w:t>
      </w:r>
      <w:r>
        <w:rPr>
          <w:rFonts w:hint="default" w:eastAsia="宋体"/>
          <w:kern w:val="2"/>
          <w:sz w:val="21"/>
          <w:lang w:eastAsia="zh-Hans" w:bidi="ar-SA"/>
        </w:rPr>
        <w:t xml:space="preserve"> </w:t>
      </w:r>
      <w:r>
        <w:rPr>
          <w:rFonts w:hint="eastAsia" w:eastAsia="宋体"/>
          <w:kern w:val="2"/>
          <w:sz w:val="21"/>
          <w:lang w:val="en-US" w:eastAsia="zh-Hans" w:bidi="ar-SA"/>
        </w:rPr>
        <w:t>保护室外设备检查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2694"/>
      </w:tblGrid>
      <w:tr>
        <w:trPr>
          <w:jc w:val="center"/>
        </w:trPr>
        <w:tc>
          <w:tcPr>
            <w:tcW w:w="577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检查内容</w:t>
            </w:r>
          </w:p>
        </w:tc>
        <w:tc>
          <w:tcPr>
            <w:tcW w:w="26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检查结果</w:t>
            </w:r>
          </w:p>
        </w:tc>
      </w:tr>
      <w:tr>
        <w:trPr>
          <w:cantSplit/>
          <w:jc w:val="center"/>
        </w:trPr>
        <w:tc>
          <w:tcPr>
            <w:tcW w:w="577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开关端子箱、开关机构箱、主变本体端子箱、电流互感器端子箱、开关汇控柜应清洁无积灰，接线端子应拧紧，且标号应清晰正确，接线应无机械损伤，防雨防潮措施可靠。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合格</w:t>
            </w:r>
          </w:p>
        </w:tc>
      </w:tr>
    </w:tbl>
    <w:p>
      <w:pPr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状态检查</w:t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3038"/>
      </w:tblGrid>
      <w:tr>
        <w:tc>
          <w:tcPr>
            <w:tcW w:w="653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状态检查内容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结果</w:t>
            </w:r>
          </w:p>
        </w:tc>
      </w:tr>
      <w:tr>
        <w:trPr>
          <w:trHeight w:val="291" w:hRule="atLeast"/>
        </w:trPr>
        <w:tc>
          <w:tcPr>
            <w:tcW w:w="6532" w:type="dxa"/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自验收情况检查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c>
          <w:tcPr>
            <w:tcW w:w="6532" w:type="dxa"/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验收传动结束后，应清除所有保护装置内部的事件报告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已清除</w:t>
            </w:r>
          </w:p>
        </w:tc>
      </w:tr>
      <w:t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结束工作票前，按一下所有微机保护装置面板复位按钮，使装置复位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完成</w:t>
            </w:r>
          </w:p>
        </w:tc>
      </w:tr>
      <w:t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“工作现场继电保护安全措施票”上所做的安全技术措施是否已全部恢复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rPr>
          <w:trHeight w:val="243" w:hRule="atLeast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检查远方传输装置是否已恢复原始状态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已恢复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5"/>
              <w:spacing w:line="240" w:lineRule="auto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检查各压板、切换开关及各断路器位置等状态是否和工作许可时的状态一致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整定单检查</w:t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278"/>
        <w:gridCol w:w="498"/>
        <w:gridCol w:w="1933"/>
        <w:gridCol w:w="304"/>
        <w:gridCol w:w="2582"/>
      </w:tblGrid>
      <w:tr>
        <w:tc>
          <w:tcPr>
            <w:tcW w:w="9570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整定单核对</w:t>
            </w:r>
          </w:p>
        </w:tc>
      </w:tr>
      <w:tr>
        <w:trPr>
          <w:trHeight w:val="65" w:hRule="atLeast"/>
        </w:trPr>
        <w:tc>
          <w:tcPr>
            <w:tcW w:w="1975" w:type="dxa"/>
            <w:gridSpan w:val="2"/>
            <w:noWrap w:val="0"/>
            <w:vAlign w:val="center"/>
          </w:tcPr>
          <w:p>
            <w:pPr>
              <w:pStyle w:val="10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整定单编号</w:t>
            </w:r>
          </w:p>
        </w:tc>
        <w:tc>
          <w:tcPr>
            <w:tcW w:w="22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整定单定值和实际定值是否一致</w:t>
            </w:r>
          </w:p>
        </w:tc>
        <w:tc>
          <w:tcPr>
            <w:tcW w:w="273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整定单上的设备型号和实际设备型号是否一致</w:t>
            </w:r>
          </w:p>
        </w:tc>
        <w:tc>
          <w:tcPr>
            <w:tcW w:w="25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实际电流互感器变比是否符合整定整单要求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975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8" w:type="dxa"/>
            <w:noWrap w:val="0"/>
            <w:vAlign w:val="center"/>
          </w:tcPr>
          <w:p>
            <w:pPr>
              <w:pStyle w:val="10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73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25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0" w:hRule="atLeast"/>
        </w:trPr>
        <w:tc>
          <w:tcPr>
            <w:tcW w:w="1518" w:type="dxa"/>
            <w:noWrap w:val="0"/>
            <w:vAlign w:val="center"/>
          </w:tcPr>
          <w:p>
            <w:pPr>
              <w:pStyle w:val="23"/>
              <w:numPr>
                <w:ilvl w:val="1"/>
                <w:numId w:val="0"/>
              </w:numPr>
              <w:tabs>
                <w:tab w:val="left" w:pos="0"/>
                <w:tab w:val="left" w:pos="180"/>
                <w:tab w:val="left" w:pos="360"/>
                <w:tab w:val="clear" w:pos="210"/>
                <w:tab w:val="clear" w:pos="420"/>
              </w:tabs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校验人员签名</w:t>
            </w:r>
          </w:p>
        </w:tc>
        <w:tc>
          <w:tcPr>
            <w:tcW w:w="323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郑伟，陈文汉</w:t>
            </w:r>
          </w:p>
        </w:tc>
        <w:tc>
          <w:tcPr>
            <w:tcW w:w="19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校验负责人签名</w:t>
            </w:r>
          </w:p>
        </w:tc>
        <w:tc>
          <w:tcPr>
            <w:tcW w:w="288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陈琼良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校验工作总结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10"/>
        <w:gridCol w:w="2048"/>
        <w:gridCol w:w="1445"/>
        <w:gridCol w:w="1062"/>
        <w:gridCol w:w="2737"/>
      </w:tblGrid>
      <w:tr>
        <w:trPr>
          <w:trHeight w:val="90" w:hRule="atLeast"/>
        </w:trPr>
        <w:tc>
          <w:tcPr>
            <w:tcW w:w="1168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自检记录</w:t>
            </w: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记录改进和更换的零部件及改动的二次回路及虚回路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发现问题及处理情况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遗留问题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校验结论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校验日期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eastAsia="宋体"/>
                <w:sz w:val="18"/>
                <w:szCs w:val="18"/>
                <w:lang w:val="en-US" w:eastAsia="zh-CN"/>
              </w:rPr>
              <w:t>2022.3.22</w:t>
            </w:r>
          </w:p>
        </w:tc>
        <w:tc>
          <w:tcPr>
            <w:tcW w:w="2048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校验负责人</w:t>
            </w:r>
          </w:p>
        </w:tc>
        <w:tc>
          <w:tcPr>
            <w:tcW w:w="1445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int="default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陈琼良</w:t>
            </w:r>
          </w:p>
        </w:tc>
        <w:tc>
          <w:tcPr>
            <w:tcW w:w="1062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校验人员</w:t>
            </w:r>
          </w:p>
        </w:tc>
        <w:tc>
          <w:tcPr>
            <w:tcW w:w="273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郑伟，陈文汉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sectPr>
      <w:headerReference r:id="rId3" w:type="default"/>
      <w:footerReference r:id="rId4" w:type="default"/>
      <w:pgSz w:w="11906" w:h="16838"/>
      <w:pgMar w:top="1361" w:right="1021" w:bottom="1361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30</w:t>
    </w:r>
    <w:r>
      <w:fldChar w:fldCharType="end"/>
    </w:r>
  </w:p>
  <w:p>
    <w:pPr>
      <w:pStyle w:val="9"/>
      <w:ind w:right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none"/>
      <w:pStyle w:val="29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8"/>
      </w:rPr>
    </w:lvl>
    <w:lvl w:ilvl="1" w:tentative="0">
      <w:start w:val="1"/>
      <w:numFmt w:val="decimal"/>
      <w:pStyle w:val="23"/>
      <w:lvlText w:val="%1%2"/>
      <w:lvlJc w:val="left"/>
      <w:pPr>
        <w:tabs>
          <w:tab w:val="left" w:pos="360"/>
        </w:tabs>
        <w:ind w:left="0" w:firstLine="0"/>
      </w:pPr>
      <w:rPr>
        <w:rFonts w:hint="eastAsia" w:ascii="黑体" w:hAnsi="Times New Roman" w:eastAsia="黑体"/>
        <w:b/>
        <w:i w:val="0"/>
        <w:sz w:val="20"/>
      </w:rPr>
    </w:lvl>
    <w:lvl w:ilvl="2" w:tentative="0">
      <w:start w:val="1"/>
      <w:numFmt w:val="decimal"/>
      <w:pStyle w:val="20"/>
      <w:lvlText w:val="%1%2.%3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9"/>
      <w:lvlText w:val="%1%2.%3.%4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4" w:tentative="0">
      <w:start w:val="1"/>
      <w:numFmt w:val="decimal"/>
      <w:pStyle w:val="22"/>
      <w:lvlText w:val="%2.%3.%4.%5"/>
      <w:lvlJc w:val="left"/>
      <w:pPr>
        <w:tabs>
          <w:tab w:val="left" w:pos="108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5" w:tentative="0">
      <w:start w:val="1"/>
      <w:numFmt w:val="decimal"/>
      <w:pStyle w:val="27"/>
      <w:lvlText w:val="%2.%3.%4.%5.%6"/>
      <w:lvlJc w:val="left"/>
      <w:pPr>
        <w:tabs>
          <w:tab w:val="left" w:pos="1021"/>
        </w:tabs>
        <w:ind w:left="1021" w:hanging="1021"/>
      </w:pPr>
      <w:rPr>
        <w:rFonts w:hint="eastAsia" w:ascii="黑体" w:hAnsi="Times New Roman" w:eastAsia="黑体"/>
        <w:b/>
        <w:i w:val="0"/>
        <w:sz w:val="21"/>
      </w:rPr>
    </w:lvl>
    <w:lvl w:ilvl="6" w:tentative="0">
      <w:start w:val="1"/>
      <w:numFmt w:val="decimal"/>
      <w:lvlRestart w:val="5"/>
      <w:pStyle w:val="28"/>
      <w:lvlText w:val="%2.%3.%4.%5.%6.%7"/>
      <w:lvlJc w:val="left"/>
      <w:pPr>
        <w:tabs>
          <w:tab w:val="left" w:pos="144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7" w:tentative="0">
      <w:start w:val="1"/>
      <w:numFmt w:val="decimal"/>
      <w:lvlRestart w:val="5"/>
      <w:lvlText w:val="图 %2.0.%5 -%8"/>
      <w:lvlJc w:val="left"/>
      <w:pPr>
        <w:tabs>
          <w:tab w:val="left" w:pos="1440"/>
        </w:tabs>
        <w:ind w:left="0" w:firstLine="0"/>
      </w:pPr>
      <w:rPr>
        <w:rFonts w:hint="eastAsia" w:ascii="黑体" w:eastAsia="黑体"/>
        <w:b/>
        <w:i w:val="0"/>
        <w:sz w:val="21"/>
      </w:rPr>
    </w:lvl>
    <w:lvl w:ilvl="8" w:tentative="0">
      <w:start w:val="1"/>
      <w:numFmt w:val="decimal"/>
      <w:lvlRestart w:val="6"/>
      <w:lvlText w:val="      %9)"/>
      <w:lvlJc w:val="left"/>
      <w:pPr>
        <w:tabs>
          <w:tab w:val="left" w:pos="1080"/>
        </w:tabs>
        <w:ind w:left="0" w:firstLine="0"/>
      </w:pPr>
      <w:rPr>
        <w:rFonts w:hint="eastAsia" w:ascii="黑体" w:hAnsi="华文细黑" w:eastAsia="黑体"/>
        <w:b/>
        <w:i w:val="0"/>
        <w:sz w:val="21"/>
      </w:rPr>
    </w:lvl>
  </w:abstractNum>
  <w:abstractNum w:abstractNumId="2">
    <w:nsid w:val="623C6345"/>
    <w:multiLevelType w:val="singleLevel"/>
    <w:tmpl w:val="623C6345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8C8"/>
    <w:rsid w:val="008010B0"/>
    <w:rsid w:val="0DD847BB"/>
    <w:rsid w:val="101258A4"/>
    <w:rsid w:val="12D3F595"/>
    <w:rsid w:val="1966229D"/>
    <w:rsid w:val="1B6579FB"/>
    <w:rsid w:val="1D7E38CA"/>
    <w:rsid w:val="1EAF1A2F"/>
    <w:rsid w:val="1F687B6E"/>
    <w:rsid w:val="278E41C6"/>
    <w:rsid w:val="3917203A"/>
    <w:rsid w:val="3B697D89"/>
    <w:rsid w:val="3BDFADB4"/>
    <w:rsid w:val="3D8019AE"/>
    <w:rsid w:val="3F6F3831"/>
    <w:rsid w:val="3FDE24CD"/>
    <w:rsid w:val="3FDFB4AE"/>
    <w:rsid w:val="3FFF1C90"/>
    <w:rsid w:val="4E7CA036"/>
    <w:rsid w:val="501613D8"/>
    <w:rsid w:val="53B953D4"/>
    <w:rsid w:val="56D7E999"/>
    <w:rsid w:val="57D9EDBA"/>
    <w:rsid w:val="5CEFEBFD"/>
    <w:rsid w:val="5D77E0AC"/>
    <w:rsid w:val="5DE5644A"/>
    <w:rsid w:val="5DF7175E"/>
    <w:rsid w:val="5FEBEEDE"/>
    <w:rsid w:val="5FF775A6"/>
    <w:rsid w:val="61E12F76"/>
    <w:rsid w:val="677A096B"/>
    <w:rsid w:val="6AB413C0"/>
    <w:rsid w:val="6DE42291"/>
    <w:rsid w:val="6EE40FE8"/>
    <w:rsid w:val="72804868"/>
    <w:rsid w:val="753FC049"/>
    <w:rsid w:val="76545FE2"/>
    <w:rsid w:val="76F66F21"/>
    <w:rsid w:val="7ABF4A0E"/>
    <w:rsid w:val="7AFF2DBE"/>
    <w:rsid w:val="7BFFE14C"/>
    <w:rsid w:val="7DFEED97"/>
    <w:rsid w:val="7EAF57E0"/>
    <w:rsid w:val="7EB9A9D2"/>
    <w:rsid w:val="7EE508FD"/>
    <w:rsid w:val="7EF79486"/>
    <w:rsid w:val="7FBB327A"/>
    <w:rsid w:val="7FDFA25F"/>
    <w:rsid w:val="7FDFBAB3"/>
    <w:rsid w:val="7FEDD048"/>
    <w:rsid w:val="7FFA77EC"/>
    <w:rsid w:val="7FFC7353"/>
    <w:rsid w:val="8FF39922"/>
    <w:rsid w:val="9FA64E8F"/>
    <w:rsid w:val="A7E51FD8"/>
    <w:rsid w:val="BD3FDC10"/>
    <w:rsid w:val="BF68F270"/>
    <w:rsid w:val="BFFB1AE9"/>
    <w:rsid w:val="CBFF4859"/>
    <w:rsid w:val="CDFE04EE"/>
    <w:rsid w:val="DBCF36D3"/>
    <w:rsid w:val="DFBA5456"/>
    <w:rsid w:val="DFF40586"/>
    <w:rsid w:val="E2FFD928"/>
    <w:rsid w:val="E6ABD1F0"/>
    <w:rsid w:val="ED6F087F"/>
    <w:rsid w:val="EE3DA38D"/>
    <w:rsid w:val="EE7D458E"/>
    <w:rsid w:val="EFF8742F"/>
    <w:rsid w:val="EFFCB62B"/>
    <w:rsid w:val="F3FB405C"/>
    <w:rsid w:val="F6DB6AB6"/>
    <w:rsid w:val="F72A0026"/>
    <w:rsid w:val="F7CAA807"/>
    <w:rsid w:val="F7FF3E2C"/>
    <w:rsid w:val="FEFF0867"/>
    <w:rsid w:val="FFBAE55F"/>
    <w:rsid w:val="FFBFE441"/>
    <w:rsid w:val="FFC3F851"/>
    <w:rsid w:val="FFEB7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60" w:beforeLines="0" w:beforeAutospacing="0" w:after="60" w:afterLines="0" w:afterAutospacing="0"/>
      <w:jc w:val="center"/>
      <w:outlineLvl w:val="0"/>
    </w:pPr>
    <w:rPr>
      <w:rFonts w:ascii="宋体"/>
      <w:i/>
    </w:rPr>
  </w:style>
  <w:style w:type="paragraph" w:styleId="3">
    <w:name w:val="heading 2"/>
    <w:basedOn w:val="1"/>
    <w:next w:val="4"/>
    <w:link w:val="31"/>
    <w:qFormat/>
    <w:uiPriority w:val="0"/>
    <w:pPr>
      <w:keepNext/>
      <w:spacing w:before="50" w:beforeLines="50" w:after="50" w:afterLines="50"/>
      <w:jc w:val="left"/>
      <w:outlineLvl w:val="1"/>
    </w:pPr>
    <w:rPr>
      <w:rFonts w:eastAsia="STSong"/>
      <w:b/>
      <w:bCs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Autospacing="0" w:afterAutospacing="0" w:line="240" w:lineRule="atLeast"/>
      <w:jc w:val="left"/>
      <w:outlineLvl w:val="2"/>
    </w:pPr>
    <w:rPr>
      <w:rFonts w:eastAsia="宋体"/>
    </w:rPr>
  </w:style>
  <w:style w:type="character" w:default="1" w:styleId="12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eastAsia="楷体_GB2312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alloon Text"/>
    <w:basedOn w:val="1"/>
    <w:qFormat/>
    <w:uiPriority w:val="0"/>
    <w:rPr>
      <w:sz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楷体_GB2312"/>
      <w:sz w:val="18"/>
    </w:rPr>
  </w:style>
  <w:style w:type="paragraph" w:styleId="10">
    <w:name w:val="header"/>
    <w:basedOn w:val="1"/>
    <w:link w:val="3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_GB2312"/>
      <w:sz w:val="18"/>
    </w:rPr>
  </w:style>
  <w:style w:type="paragraph" w:styleId="11">
    <w:name w:val="toc 1"/>
    <w:basedOn w:val="1"/>
    <w:next w:val="1"/>
    <w:qFormat/>
    <w:uiPriority w:val="0"/>
    <w:pPr>
      <w:spacing w:line="960" w:lineRule="auto"/>
    </w:pPr>
    <w:rPr>
      <w:sz w:val="32"/>
    </w:rPr>
  </w:style>
  <w:style w:type="character" w:styleId="13">
    <w:name w:val="page number"/>
    <w:qFormat/>
    <w:uiPriority w:val="0"/>
    <w:rPr>
      <w:rFonts w:ascii="Times New Roman" w:hAnsi="Times New Roman" w:eastAsia="宋体"/>
      <w:sz w:val="18"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qFormat/>
    <w:uiPriority w:val="0"/>
    <w:rPr>
      <w:sz w:val="21"/>
    </w:rPr>
  </w:style>
  <w:style w:type="paragraph" w:customStyle="1" w:styleId="17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8">
    <w:name w:val="大标题"/>
    <w:basedOn w:val="1"/>
    <w:qFormat/>
    <w:uiPriority w:val="0"/>
    <w:pPr>
      <w:tabs>
        <w:tab w:val="left" w:pos="360"/>
      </w:tabs>
      <w:spacing w:before="113" w:beforeLines="0" w:beforeAutospacing="0" w:after="113" w:afterLines="0" w:afterAutospacing="0"/>
    </w:pPr>
    <w:rPr>
      <w:sz w:val="24"/>
    </w:rPr>
  </w:style>
  <w:style w:type="paragraph" w:customStyle="1" w:styleId="19">
    <w:name w:val="附录一级条标题"/>
    <w:basedOn w:val="20"/>
    <w:next w:val="21"/>
    <w:qFormat/>
    <w:uiPriority w:val="0"/>
    <w:pPr>
      <w:numPr>
        <w:ilvl w:val="3"/>
        <w:numId w:val="1"/>
      </w:numPr>
      <w:tabs>
        <w:tab w:val="left" w:pos="3675"/>
      </w:tabs>
      <w:wordWrap/>
      <w:autoSpaceDN w:val="0"/>
      <w:spacing w:before="0" w:beforeLines="0" w:beforeAutospacing="0" w:after="0" w:afterLines="0" w:afterAutospacing="0"/>
      <w:outlineLvl w:val="2"/>
    </w:pPr>
    <w:rPr>
      <w:kern w:val="2"/>
    </w:rPr>
  </w:style>
  <w:style w:type="paragraph" w:customStyle="1" w:styleId="20">
    <w:name w:val="附录章标题"/>
    <w:next w:val="21"/>
    <w:qFormat/>
    <w:uiPriority w:val="0"/>
    <w:pPr>
      <w:numPr>
        <w:ilvl w:val="2"/>
        <w:numId w:val="1"/>
      </w:numPr>
      <w:tabs>
        <w:tab w:val="left" w:pos="3675"/>
        <w:tab w:val="clear" w:pos="720"/>
      </w:tabs>
      <w:wordWrap w:val="0"/>
      <w:overflowPunct w:val="0"/>
      <w:autoSpaceDE w:val="0"/>
      <w:spacing w:before="156" w:beforeLines="50" w:after="156" w:afterLines="50"/>
      <w:jc w:val="both"/>
      <w:textAlignment w:val="baseline"/>
      <w:outlineLvl w:val="1"/>
    </w:pPr>
    <w:rPr>
      <w:rFonts w:ascii="Times New Roman" w:hAnsi="Times New Roman" w:eastAsia="仿宋_GB2312" w:cs="Times New Roman"/>
      <w:b/>
      <w:kern w:val="21"/>
      <w:sz w:val="28"/>
      <w:lang w:val="en-US" w:eastAsia="zh-CN" w:bidi="ar-SA"/>
    </w:rPr>
  </w:style>
  <w:style w:type="paragraph" w:customStyle="1" w:styleId="21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2">
    <w:name w:val="附录二级条标题"/>
    <w:basedOn w:val="19"/>
    <w:next w:val="21"/>
    <w:qFormat/>
    <w:uiPriority w:val="0"/>
    <w:pPr>
      <w:numPr>
        <w:ilvl w:val="4"/>
        <w:numId w:val="1"/>
      </w:numPr>
      <w:tabs>
        <w:tab w:val="clear" w:pos="720"/>
      </w:tabs>
      <w:outlineLvl w:val="3"/>
    </w:pPr>
  </w:style>
  <w:style w:type="paragraph" w:customStyle="1" w:styleId="23">
    <w:name w:val="附录表标题"/>
    <w:basedOn w:val="1"/>
    <w:next w:val="1"/>
    <w:qFormat/>
    <w:uiPriority w:val="0"/>
    <w:pPr>
      <w:widowControl/>
      <w:numPr>
        <w:ilvl w:val="1"/>
        <w:numId w:val="1"/>
      </w:numPr>
      <w:tabs>
        <w:tab w:val="left" w:pos="210"/>
        <w:tab w:val="left" w:pos="420"/>
        <w:tab w:val="clear" w:pos="360"/>
      </w:tabs>
      <w:jc w:val="center"/>
      <w:textAlignment w:val="baseline"/>
    </w:pPr>
    <w:rPr>
      <w:rFonts w:ascii="宋体"/>
      <w:b/>
      <w:kern w:val="21"/>
    </w:rPr>
  </w:style>
  <w:style w:type="paragraph" w:customStyle="1" w:styleId="24">
    <w:name w:val="章标题"/>
    <w:next w:val="21"/>
    <w:qFormat/>
    <w:uiPriority w:val="0"/>
    <w:pPr>
      <w:tabs>
        <w:tab w:val="left" w:pos="360"/>
        <w:tab w:val="left" w:pos="420"/>
      </w:tabs>
      <w:spacing w:before="156" w:beforeLines="50" w:after="156" w:afterLines="50"/>
      <w:jc w:val="both"/>
      <w:outlineLvl w:val="1"/>
    </w:pPr>
    <w:rPr>
      <w:rFonts w:ascii="黑体" w:hAnsi="Times New Roman" w:eastAsia="黑体" w:cs="Times New Roman"/>
      <w:b/>
      <w:sz w:val="21"/>
      <w:lang w:val="en-US" w:eastAsia="zh-CN" w:bidi="ar-SA"/>
    </w:rPr>
  </w:style>
  <w:style w:type="paragraph" w:customStyle="1" w:styleId="2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6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27">
    <w:name w:val="附录三级条标题"/>
    <w:basedOn w:val="22"/>
    <w:next w:val="21"/>
    <w:qFormat/>
    <w:uiPriority w:val="0"/>
    <w:pPr>
      <w:numPr>
        <w:ilvl w:val="5"/>
        <w:numId w:val="1"/>
      </w:numPr>
      <w:tabs>
        <w:tab w:val="clear" w:pos="1080"/>
      </w:tabs>
      <w:outlineLvl w:val="4"/>
    </w:pPr>
  </w:style>
  <w:style w:type="paragraph" w:customStyle="1" w:styleId="28">
    <w:name w:val="附录四级条标题"/>
    <w:basedOn w:val="27"/>
    <w:next w:val="21"/>
    <w:qFormat/>
    <w:uiPriority w:val="0"/>
    <w:pPr>
      <w:numPr>
        <w:ilvl w:val="6"/>
        <w:numId w:val="1"/>
      </w:numPr>
      <w:tabs>
        <w:tab w:val="clear" w:pos="1021"/>
      </w:tabs>
      <w:outlineLvl w:val="5"/>
    </w:pPr>
  </w:style>
  <w:style w:type="paragraph" w:customStyle="1" w:styleId="29">
    <w:name w:val="xl25"/>
    <w:basedOn w:val="1"/>
    <w:qFormat/>
    <w:uiPriority w:val="0"/>
    <w:pPr>
      <w:widowControl/>
      <w:numPr>
        <w:ilvl w:val="0"/>
        <w:numId w:val="2"/>
      </w:numPr>
      <w:pBdr>
        <w:left w:val="single" w:color="auto" w:sz="4" w:space="0"/>
        <w:bottom w:val="single" w:color="auto" w:sz="4" w:space="0"/>
      </w:pBdr>
      <w:tabs>
        <w:tab w:val="clear" w:pos="360"/>
      </w:tabs>
      <w:spacing w:before="100" w:beforeLines="0" w:beforeAutospacing="1" w:after="100" w:afterLines="0" w:afterAutospacing="1"/>
      <w:jc w:val="center"/>
    </w:pPr>
    <w:rPr>
      <w:rFonts w:ascii="Arial" w:hAnsi="Arial"/>
      <w:kern w:val="0"/>
      <w:sz w:val="18"/>
    </w:rPr>
  </w:style>
  <w:style w:type="paragraph" w:customStyle="1" w:styleId="30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31">
    <w:name w:val="标题 2 字符"/>
    <w:link w:val="3"/>
    <w:qFormat/>
    <w:uiPriority w:val="0"/>
    <w:rPr>
      <w:rFonts w:ascii="Times New Roman" w:hAnsi="Times New Roman" w:eastAsia="STSong"/>
      <w:b/>
      <w:bCs/>
      <w:sz w:val="21"/>
    </w:rPr>
  </w:style>
  <w:style w:type="character" w:customStyle="1" w:styleId="32">
    <w:name w:val="页眉 字符"/>
    <w:link w:val="10"/>
    <w:qFormat/>
    <w:uiPriority w:val="0"/>
    <w:rPr>
      <w:rFonts w:eastAsia="楷体_GB2312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30</Pages>
  <Words>2964</Words>
  <Characters>16900</Characters>
  <Lines>140</Lines>
  <Paragraphs>39</Paragraphs>
  <ScaleCrop>false</ScaleCrop>
  <LinksUpToDate>false</LinksUpToDate>
  <CharactersWithSpaces>19825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2015-03-06T10:57:00Z</dcterms:created>
  <dc:creator>王三桃</dc:creator>
  <cp:lastModifiedBy>sorachen</cp:lastModifiedBy>
  <cp:lastPrinted>2007-10-30T07:51:00Z</cp:lastPrinted>
  <dcterms:modified xsi:type="dcterms:W3CDTF">2022-04-23T11:09:35Z</dcterms:modified>
  <dc:title>温州电力建设有限公司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