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commentRangeStart w:id="6"/>
      <w:r>
        <w:rPr>
          <w:sz w:val="24"/>
        </w:rPr>
        <w:t>Method Validation Report</w:t>
      </w:r>
      <w:commentRangeEnd w:id="6"/>
      <w:r>
        <w:rPr>
          <w:rStyle w:val="CommentReference"/>
        </w:rPr>
        <w:commentReference w:id="6"/>
      </w:r>
    </w:p>
    <w:p>
      <w:pPr>
        <w:jc w:val="center"/>
      </w:pPr>
      <w:r>
        <w:rPr>
          <w:sz w:val="24"/>
        </w:rPr>
        <w:t>Document No. MVR-BGM-NaCl-001 / Rev. 02</w:t>
      </w:r>
    </w:p>
    <w:p/>
    <w:p>
      <w:pPr>
        <w:pStyle w:val="Heading1"/>
      </w:pPr>
      <w:r>
        <w:rPr>
          <w:sz w:val="24"/>
        </w:rPr>
        <w:t>1. Introduction</w:t>
      </w:r>
    </w:p>
    <w:p>
      <w:r>
        <w:rPr>
          <w:sz w:val="24"/>
        </w:rPr>
        <w:t>This report describes the validation of CE method for the analysis of BGM-NaCl. The CPA values and LMW species are reported. All tests were performed according to internal SOPs.</w:t>
      </w:r>
    </w:p>
    <w:p>
      <w:r>
        <w:rPr>
          <w:sz w:val="24"/>
        </w:rPr>
        <w:t>분석 절차는 허용 기준에 따라 수행되었다. 모든 결과는 정해진 허용 기준 내에 있어야 한다.</w:t>
      </w:r>
    </w:p>
    <w:p>
      <w:pPr>
        <w:pStyle w:val="Heading1"/>
      </w:pPr>
      <w:commentRangeStart w:id="1"/>
      <w:commentRangeStart w:id="0"/>
      <w:r>
        <w:rPr>
          <w:sz w:val="24"/>
        </w:rPr>
        <w:t>2. Validation Items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>
      <w:pPr>
        <w:jc w:val="center"/>
      </w:pPr>
      <w:commentRangeStart w:id="2"/>
      <w:r>
        <w:rPr>
          <w:sz w:val="24"/>
        </w:rPr>
        <w:t>표 1. 분석 개요</w:t>
      </w:r>
      <w:commentRangeEnd w:id="2"/>
      <w:r>
        <w:rPr>
          <w:rStyle w:val="CommentReference"/>
        </w:rPr>
        <w:commentReference w:id="2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Identification</w:t>
            </w:r>
          </w:p>
        </w:tc>
        <w:tc>
          <w:tcPr>
            <w:tcW w:type="dxa" w:w="4320"/>
          </w:tcPr>
          <w:p>
            <w:r>
              <w:t>Capillary Electrophoresis 분석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0.5~2.0 mg/mL</w:t>
            </w:r>
          </w:p>
        </w:tc>
      </w:tr>
    </w:tbl>
    <w:p/>
    <w:p>
      <w:pPr>
        <w:jc w:val="center"/>
      </w:pPr>
      <w:r>
        <w:rPr>
          <w:sz w:val="24"/>
        </w:rPr>
        <w:t>표 2. Validation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</w:tr>
      <w:tr>
        <w:tc>
          <w:tcPr>
            <w:tcW w:type="dxa" w:w="2160"/>
          </w:tcPr>
          <w:p>
            <w:r>
              <w:t>Specificity</w:t>
            </w:r>
          </w:p>
        </w:tc>
        <w:tc>
          <w:tcPr>
            <w:tcW w:type="dxa" w:w="2160"/>
          </w:tcPr>
          <w:p>
            <w:r>
              <w:t>Selective</w:t>
            </w:r>
          </w:p>
        </w:tc>
        <w:tc>
          <w:tcPr>
            <w:tcW w:type="dxa" w:w="2160"/>
          </w:tcPr>
          <w:p>
            <w:r>
              <w:t>Quantitative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Linearity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Quantitative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rPr>
          <w:sz w:val="24"/>
        </w:rPr>
        <w:t>3. Specificity</w:t>
      </w:r>
    </w:p>
    <w:p>
      <w:r>
        <w:rPr>
          <w:sz w:val="24"/>
        </w:rPr>
        <w:t>특이성 시험은 허용 기준 95% 이상으로 설정되었다.</w:t>
      </w:r>
    </w:p>
    <w:p>
      <w:pPr>
        <w:jc w:val="center"/>
      </w:pPr>
      <w:r>
        <w:rPr>
          <w:sz w:val="24"/>
        </w:rPr>
        <w:t>표 3. 분석순서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 Item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Specificity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  <w:tc>
          <w:tcPr>
            <w:tcW w:type="dxa" w:w="2880"/>
          </w:tcPr>
          <w:p>
            <w:r>
              <w:t>98.7%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95~105%</w:t>
            </w:r>
          </w:p>
        </w:tc>
        <w:tc>
          <w:tcPr>
            <w:tcW w:type="dxa" w:w="2880"/>
          </w:tcPr>
          <w:p>
            <w:r>
              <w:t>101.2%</w:t>
            </w:r>
          </w:p>
        </w:tc>
      </w:tr>
    </w:tbl>
    <w:p/>
    <w:p>
      <w:r>
        <w:rPr>
          <w:sz w:val="24"/>
        </w:rPr>
        <w:t>(표 4 자리표시자)</w:t>
      </w:r>
    </w:p>
    <w:p>
      <w:commentRangeStart w:id="3"/>
      <w:r>
        <w:rPr>
          <w:sz w:val="24"/>
        </w:rPr>
        <w:t>(표 5 자리표시자)</w:t>
      </w:r>
      <w:commentRangeEnd w:id="3"/>
      <w:r>
        <w:rPr>
          <w:rStyle w:val="CommentReference"/>
        </w:rPr>
        <w:commentReference w:id="3"/>
      </w:r>
    </w:p>
    <w:p>
      <w:commentRangeStart w:id="4"/>
      <w:r>
        <w:rPr>
          <w:sz w:val="24"/>
        </w:rPr>
        <w:t>(표 6 자리표시자)</w:t>
      </w:r>
      <w:commentRangeEnd w:id="4"/>
      <w:r>
        <w:rPr>
          <w:rStyle w:val="CommentReference"/>
        </w:rPr>
        <w:commentReference w:id="4"/>
      </w:r>
    </w:p>
    <w:p>
      <w:r>
        <w:rPr>
          <w:sz w:val="24"/>
        </w:rPr>
        <w:t>(표 7 자리표시자)</w:t>
      </w:r>
    </w:p>
    <w:p>
      <w:r>
        <w:rPr>
          <w:sz w:val="24"/>
        </w:rPr>
        <w:t>(표 8 자리표시자)</w:t>
      </w:r>
    </w:p>
    <w:p>
      <w:r>
        <w:rPr>
          <w:sz w:val="24"/>
        </w:rPr>
        <w:t>(표 9 자리표시자)</w:t>
      </w:r>
    </w:p>
    <w:p>
      <w:r>
        <w:rPr>
          <w:sz w:val="24"/>
        </w:rPr>
        <w:t>(표 10 자리표시자)</w:t>
      </w:r>
    </w:p>
    <w:p>
      <w:r>
        <w:rPr>
          <w:sz w:val="24"/>
        </w:rPr>
        <w:t>(표 11 자리표시자)</w:t>
      </w:r>
    </w:p>
    <w:p>
      <w:r>
        <w:rPr>
          <w:sz w:val="24"/>
        </w:rPr>
        <w:t>(표 12 자리표시자)</w:t>
      </w:r>
    </w:p>
    <w:p>
      <w:r>
        <w:rPr>
          <w:sz w:val="24"/>
        </w:rPr>
        <w:t>(표 13 자리표시자)</w:t>
      </w:r>
    </w:p>
    <w:p>
      <w:r>
        <w:rPr>
          <w:sz w:val="24"/>
        </w:rPr>
        <w:t>(표 14 자리표시자)</w:t>
      </w:r>
    </w:p>
    <w:p>
      <w:r>
        <w:rPr>
          <w:sz w:val="24"/>
        </w:rPr>
        <w:t>(표 15 자리표시자)</w:t>
      </w:r>
    </w:p>
    <w:p>
      <w:r>
        <w:rPr>
          <w:sz w:val="24"/>
        </w:rPr>
        <w:t>(표 16 자리표시자)</w:t>
      </w:r>
    </w:p>
    <w:p>
      <w:r>
        <w:rPr>
          <w:sz w:val="24"/>
        </w:rPr>
        <w:t>(표 17 자리표시자)</w:t>
      </w:r>
    </w:p>
    <w:p>
      <w:r>
        <w:rPr>
          <w:sz w:val="24"/>
        </w:rPr>
        <w:t>(표 18 자리표시자)</w:t>
      </w:r>
    </w:p>
    <w:p>
      <w:r>
        <w:rPr>
          <w:sz w:val="24"/>
        </w:rPr>
        <w:t>(표 19 자리표시자)</w:t>
      </w:r>
    </w:p>
    <w:p>
      <w:r>
        <w:rPr>
          <w:sz w:val="24"/>
        </w:rPr>
        <w:t>(표 20 자리표시자)</w:t>
      </w:r>
    </w:p>
    <w:p>
      <w:r>
        <w:rPr>
          <w:sz w:val="24"/>
        </w:rPr>
        <w:t>(표 21 자리표시자)</w:t>
      </w:r>
    </w:p>
    <w:p>
      <w:r>
        <w:rPr>
          <w:sz w:val="24"/>
        </w:rPr>
        <w:t>(표 22 자리표시자)</w:t>
      </w:r>
    </w:p>
    <w:p>
      <w:r>
        <w:rPr>
          <w:sz w:val="24"/>
        </w:rPr>
        <w:t>(표 23 자리표시자)</w:t>
      </w:r>
    </w:p>
    <w:p>
      <w:pPr>
        <w:jc w:val="center"/>
      </w:pPr>
      <w:r>
        <w:rPr>
          <w:sz w:val="24"/>
        </w:rPr>
        <w:t>표 24. Calculation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Parameters / 파라미터</w:t>
            </w:r>
          </w:p>
        </w:tc>
        <w:tc>
          <w:tcPr>
            <w:tcW w:type="dxa" w:w="2880"/>
          </w:tcPr>
          <w:p>
            <w:r>
              <w:t>Acceptance Criteria / 허용기준</w:t>
            </w:r>
          </w:p>
        </w:tc>
        <w:tc>
          <w:tcPr>
            <w:tcW w:type="dxa" w:w="2880"/>
          </w:tcPr>
          <w:p>
            <w:r>
              <w:t>Formula / 수식</w:t>
            </w:r>
          </w:p>
        </w:tc>
      </w:tr>
      <w:tr>
        <w:tc>
          <w:tcPr>
            <w:tcW w:type="dxa" w:w="2880"/>
          </w:tcPr>
          <w:p>
            <w:r>
              <w:t>RSD</w:t>
            </w:r>
          </w:p>
        </w:tc>
        <w:tc>
          <w:tcPr>
            <w:tcW w:type="dxa" w:w="2880"/>
          </w:tcPr>
          <w:p>
            <w:r>
              <w:t>≤ 2.0%</w:t>
            </w:r>
          </w:p>
        </w:tc>
        <w:tc>
          <w:tcPr>
            <w:tcW w:type="dxa" w:w="2880"/>
          </w:tcPr>
          <w:p>
            <w:r>
              <w:t>SD/mean × 100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98~102%</w:t>
            </w:r>
          </w:p>
        </w:tc>
        <w:tc>
          <w:tcPr>
            <w:tcW w:type="dxa" w:w="2880"/>
          </w:tcPr>
          <w:p>
            <w:r>
              <w:t>(found/added) × 100</w:t>
            </w:r>
          </w:p>
        </w:tc>
      </w:tr>
    </w:tbl>
    <w:p/>
    <w:p>
      <w:pPr>
        <w:pStyle w:val="Heading1"/>
      </w:pPr>
      <w:r>
        <w:rPr>
          <w:sz w:val="24"/>
        </w:rPr>
        <w:t>4. Equipment Calibration</w:t>
      </w:r>
    </w:p>
    <w:p>
      <w:pPr>
        <w:jc w:val="center"/>
      </w:pPr>
      <w:r>
        <w:rPr>
          <w:sz w:val="24"/>
        </w:rPr>
        <w:t>표 25. 장비 검교정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장비</w:t>
            </w:r>
          </w:p>
        </w:tc>
        <w:tc>
          <w:tcPr>
            <w:tcW w:type="dxa" w:w="2880"/>
          </w:tcPr>
          <w:p>
            <w:r>
              <w:t>검교정 일자</w:t>
            </w:r>
          </w:p>
        </w:tc>
        <w:tc>
          <w:tcPr>
            <w:tcW w:type="dxa" w:w="2880"/>
          </w:tcPr>
          <w:p>
            <w:r>
              <w:t>차기 일자</w:t>
            </w:r>
          </w:p>
        </w:tc>
      </w:tr>
      <w:tr>
        <w:tc>
          <w:tcPr>
            <w:tcW w:type="dxa" w:w="2880"/>
          </w:tcPr>
          <w:p>
            <w:r>
              <w:t>HPLC-001</w:t>
            </w:r>
          </w:p>
        </w:tc>
        <w:tc>
          <w:tcPr>
            <w:tcW w:type="dxa" w:w="2880"/>
          </w:tcPr>
          <w:p>
            <w:r>
              <w:t>2026.03.15</w:t>
            </w:r>
          </w:p>
        </w:tc>
        <w:tc>
          <w:tcPr>
            <w:tcW w:type="dxa" w:w="2880"/>
          </w:tcPr>
          <w:p>
            <w:r>
              <w:t>2027.03.15</w:t>
            </w:r>
          </w:p>
        </w:tc>
      </w:tr>
      <w:tr>
        <w:tc>
          <w:tcPr>
            <w:tcW w:type="dxa" w:w="2880"/>
          </w:tcPr>
          <w:p>
            <w:r>
              <w:t>UV-002</w:t>
            </w:r>
          </w:p>
        </w:tc>
        <w:tc>
          <w:tcPr>
            <w:tcW w:type="dxa" w:w="2880"/>
          </w:tcPr>
          <w:p>
            <w:r>
              <w:t>2026.04.01</w:t>
            </w:r>
          </w:p>
        </w:tc>
        <w:tc>
          <w:tcPr>
            <w:tcW w:type="dxa" w:w="2880"/>
          </w:tcPr>
          <w:p>
            <w:r>
              <w:t>2027.04.01</w:t>
            </w:r>
          </w:p>
        </w:tc>
      </w:tr>
    </w:tbl>
    <w:p/>
    <w:p>
      <w:pPr>
        <w:pStyle w:val="Heading1"/>
      </w:pPr>
      <w:r>
        <w:rPr>
          <w:sz w:val="24"/>
        </w:rPr>
        <w:t>5. Conclusion</w:t>
      </w:r>
    </w:p>
    <w:p>
      <w:r>
        <w:rPr>
          <w:sz w:val="24"/>
        </w:rPr>
        <w:t>모든 validation 항목이 허용 기준을 만족하였다.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MVR Reviewer" w:date="2026-04-29T02:18:16Z" w:initials="MVR">
    <w:p>
      <w:r>
        <w:t xml:space="preserve">[필수] RULE-MVR-001 — 허용기준 띄어쓰기</w:t>
        <w:br/>
        <w:t xml:space="preserve">"허용 기준" → "허용기준" (띄어쓰기 없이 통일)</w:t>
        <w:br/>
        <w:t xml:space="preserve">발견: 허용 기준</w:t>
      </w:r>
    </w:p>
  </w:comment>
  <w:comment w:id="1" w:author="MVR Reviewer" w:date="2026-04-29T02:18:16Z" w:initials="MVR">
    <w:p>
      <w:r>
        <w:t xml:space="preserve">[필수] RULE-MVR-001 — 허용기준 띄어쓰기</w:t>
        <w:br/>
        <w:t xml:space="preserve">"허용 기준" → "허용기준" (띄어쓰기 없이 통일)</w:t>
        <w:br/>
        <w:t xml:space="preserve">발견: 허용 기준</w:t>
      </w:r>
    </w:p>
  </w:comment>
  <w:comment w:id="2" w:author="MVR Reviewer" w:date="2026-04-29T02:18:16Z" w:initials="MVR">
    <w:p>
      <w:r>
        <w:t xml:space="preserve">[필수] RULE-MVR-104 — 분석순서 표 헤더</w:t>
        <w:br/>
        <w:t xml:space="preserve">분석순서 표 헤더는 "Parameters" (Validation Item 아님)</w:t>
        <w:br/>
        <w:t xml:space="preserve">발견: Validation Item</w:t>
      </w:r>
    </w:p>
  </w:comment>
  <w:comment w:id="3" w:author="MVR Reviewer" w:date="2026-04-29T02:18:16Z" w:initials="MVR">
    <w:p>
      <w:r>
        <w:t xml:space="preserve">[필수] RULE-MVR-001 — 허용기준 띄어쓰기</w:t>
        <w:br/>
        <w:t xml:space="preserve">"허용 기준" → "허용기준" (띄어쓰기 없이 통일)</w:t>
        <w:br/>
        <w:t xml:space="preserve">발견: 허용 기준</w:t>
      </w:r>
    </w:p>
  </w:comment>
  <w:comment w:id="4" w:author="MVR Reviewer" w:date="2026-04-29T02:18:16Z" w:initials="MVR">
    <w:p>
      <w:r>
        <w:t xml:space="preserve">[권고] RULE-MVR-105 — 표 캡션 영문 병기</w:t>
        <w:br/>
        <w:t xml:space="preserve">표 1 제외 모든 표 캡션은 영문 병기 필요 (예: '표 N. 한글명 / English caption')</w:t>
        <w:br/>
        <w:t xml:space="preserve">발견: 표 3. 분석순서</w:t>
      </w:r>
    </w:p>
  </w:comment>
  <w:comment w:id="5" w:author="MVR Reviewer" w:date="2026-04-29T02:18:16Z" w:initials="MVR">
    <w:p>
      <w:r>
        <w:t xml:space="preserve">[필수] RULE-MVR-001 — 허용기준 띄어쓰기</w:t>
        <w:br/>
        <w:t xml:space="preserve">"허용 기준" → "허용기준" (띄어쓰기 없이 통일)</w:t>
        <w:br/>
        <w:t xml:space="preserve">발견: 허용 기준</w:t>
      </w:r>
    </w:p>
  </w:comment>
  <w:comment w:id="6" w:author="MVR Reviewer" w:date="2026-04-29T02:18:16Z" w:initials="MVR">
    <w:p>
      <w:r>
        <w:t xml:space="preserve">[종합 검토 결과 — 전역/표 위반]</w:t>
        <w:br/>
        <w:t xml:space="preserve">[필수] RULE-MVR-002 (표 5 헤더): "검교정 일자" 컬럼은 삭제 대상. "차기" 컬럼만 남김</w:t>
        <w:br/>
        <w:t xml:space="preserve">[필수] RULE-MVR-003 (표 5 헤더): "차기 일자" 옆에 영문 "Next date of Calibration or Qualification" 병기 필요</w:t>
        <w:br/>
        <w:t xml:space="preserve">[필수] RULE-MVR-102 (표 2 헤더): 표 2 헤더는 "Identification / Characteristics(s) / Type / Selection". "Test" 포함 금지</w:t>
        <w:br/>
        <w:t xml:space="preserve">[필수] RULE-MVR-102 (표 2 헤더): 표 2 헤더는 "Identification / Characteristics(s) / Type / Selection". "Test" 포함 금지</w:t>
        <w:br/>
        <w:t xml:space="preserve">[필수] RULE-MVR-103 (표 24): 표 24을(를) 찾지 못함</w:t>
        <w:br/>
        <w:t xml:space="preserve">[필수] RULE-MVR-104 (표 3 헤더): 분석순서 표 헤더는 "Parameters" (Validation Item 아님)</w:t>
        <w:br/>
        <w:t xml:space="preserve">[필수] RULE-MVR-201 (전역): CE 약어 사용 시 영문 풀어 쓴 정의 단락 필요</w:t>
        <w:br/>
        <w:t xml:space="preserve">[필수] RULE-MVR-202 (전역): CPA 약어 사용 시 영문 풀어 쓴 정의 단락 필요</w:t>
        <w:br/>
        <w:t xml:space="preserve">[필수] RULE-MVR-203 (전역): LMW 약어 사용 시 영문 풀어 쓴 정의 단락 필요</w:t>
        <w:br/>
        <w:t xml:space="preserve">[필수] RULE-MVR-204 (전역): Revision History 섹션 누락</w:t>
        <w:br/>
        <w:t xml:space="preserve">[필수] RULE-MVR-205 (전역): 서명란 (작성/검토/승인) 누락</w:t>
        <w:br/>
        <w:t xml:space="preserve">[권고] RULE-MVR-301 (본문 (36개 단락)): 본문 폰트 크기는 11pt</w:t>
        <w:br/>
        <w:t xml:space="preserve">[참고] RULE-MVR-302 (전역): [수동확인] 행간은 1.15</w:t>
        <w:br/>
        <w:t xml:space="preserve">[참고] RULE-MVR-303 (전역): [수동확인] 단락 앞/뒤 간격은 0pt</w:t>
        <w:br/>
        <w:t xml:space="preserve">[참고] RULE-MVR-304 (전역): [수동확인] 표 안 텍스트는 가운데 정렬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