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4"/>
        </w:rPr>
        <w:t>Method Validation Report</w:t>
      </w:r>
    </w:p>
    <w:p>
      <w:pPr>
        <w:jc w:val="center"/>
      </w:pPr>
      <w:r>
        <w:rPr>
          <w:sz w:val="24"/>
        </w:rPr>
        <w:t>Document No. MVR-BGM-NaCl-001 / Rev. 02</w:t>
      </w:r>
    </w:p>
    <w:p/>
    <w:p>
      <w:pPr>
        <w:pStyle w:val="Heading1"/>
      </w:pPr>
      <w:r>
        <w:rPr>
          <w:sz w:val="24"/>
        </w:rPr>
        <w:t>1. Introduction</w:t>
      </w:r>
    </w:p>
    <w:p>
      <w:r>
        <w:rPr>
          <w:sz w:val="24"/>
        </w:rPr>
        <w:t>This report describes the validation of CE method for the analysis of BGM-NaCl. The CPA values and LMW species are reported. All tests were performed according to internal SOPs.</w:t>
      </w:r>
    </w:p>
    <w:p>
      <w:r>
        <w:rPr>
          <w:sz w:val="24"/>
        </w:rPr>
        <w:t>분석 절차는 허용 기준에 따라 수행되었다. 모든 결과는 정해진 허용 기준 내에 있어야 한다.</w:t>
      </w:r>
    </w:p>
    <w:p>
      <w:pPr>
        <w:pStyle w:val="Heading1"/>
      </w:pPr>
      <w:r>
        <w:rPr>
          <w:sz w:val="24"/>
        </w:rPr>
        <w:t>2. Validation Items</w:t>
      </w:r>
    </w:p>
    <w:p>
      <w:pPr>
        <w:jc w:val="center"/>
      </w:pPr>
      <w:r>
        <w:rPr>
          <w:sz w:val="24"/>
        </w:rPr>
        <w:t>표 1. 분석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Identification</w:t>
            </w:r>
          </w:p>
        </w:tc>
        <w:tc>
          <w:tcPr>
            <w:tcW w:type="dxa" w:w="4320"/>
          </w:tcPr>
          <w:p>
            <w:r>
              <w:t>Capillary Electrophoresis 분석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0.5~2.0 mg/mL</w:t>
            </w:r>
          </w:p>
        </w:tc>
      </w:tr>
    </w:tbl>
    <w:p/>
    <w:p>
      <w:pPr>
        <w:jc w:val="center"/>
      </w:pPr>
      <w:r>
        <w:rPr>
          <w:sz w:val="24"/>
        </w:rPr>
        <w:t>표 2. Validation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Characteristics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Selection</w:t>
            </w:r>
          </w:p>
        </w:tc>
      </w:tr>
      <w:tr>
        <w:tc>
          <w:tcPr>
            <w:tcW w:type="dxa" w:w="2160"/>
          </w:tcPr>
          <w:p>
            <w:r>
              <w:t>Specificity</w:t>
            </w:r>
          </w:p>
        </w:tc>
        <w:tc>
          <w:tcPr>
            <w:tcW w:type="dxa" w:w="2160"/>
          </w:tcPr>
          <w:p>
            <w:r>
              <w:t>Selective</w:t>
            </w:r>
          </w:p>
        </w:tc>
        <w:tc>
          <w:tcPr>
            <w:tcW w:type="dxa" w:w="2160"/>
          </w:tcPr>
          <w:p>
            <w:r>
              <w:t>Quantitative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Linearity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Quantitative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</w:tbl>
    <w:p/>
    <w:p>
      <w:pPr>
        <w:pStyle w:val="Heading1"/>
      </w:pPr>
      <w:r>
        <w:rPr>
          <w:sz w:val="24"/>
        </w:rPr>
        <w:t>3. Specificity</w:t>
      </w:r>
    </w:p>
    <w:p>
      <w:r>
        <w:rPr>
          <w:sz w:val="24"/>
        </w:rPr>
        <w:t>특이성 시험은 허용 기준 95% 이상으로 설정되었다.</w:t>
      </w:r>
    </w:p>
    <w:p>
      <w:pPr>
        <w:jc w:val="center"/>
      </w:pPr>
      <w:r>
        <w:rPr>
          <w:sz w:val="24"/>
        </w:rPr>
        <w:t>표 3. 분석순서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 Item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Specificity</w:t>
            </w:r>
          </w:p>
        </w:tc>
        <w:tc>
          <w:tcPr>
            <w:tcW w:type="dxa" w:w="2880"/>
          </w:tcPr>
          <w:p>
            <w:r>
              <w:t>≥ 95%</w:t>
            </w:r>
          </w:p>
        </w:tc>
        <w:tc>
          <w:tcPr>
            <w:tcW w:type="dxa" w:w="2880"/>
          </w:tcPr>
          <w:p>
            <w:r>
              <w:t>98.7%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95~105%</w:t>
            </w:r>
          </w:p>
        </w:tc>
        <w:tc>
          <w:tcPr>
            <w:tcW w:type="dxa" w:w="2880"/>
          </w:tcPr>
          <w:p>
            <w:r>
              <w:t>101.2%</w:t>
            </w:r>
          </w:p>
        </w:tc>
      </w:tr>
    </w:tbl>
    <w:p/>
    <w:p>
      <w:r>
        <w:rPr>
          <w:sz w:val="24"/>
        </w:rPr>
        <w:t>(표 4 자리표시자)</w:t>
      </w:r>
    </w:p>
    <w:p>
      <w:r>
        <w:rPr>
          <w:sz w:val="24"/>
        </w:rPr>
        <w:t>(표 5 자리표시자)</w:t>
      </w:r>
    </w:p>
    <w:p>
      <w:r>
        <w:rPr>
          <w:sz w:val="24"/>
        </w:rPr>
        <w:t>(표 6 자리표시자)</w:t>
      </w:r>
    </w:p>
    <w:p>
      <w:r>
        <w:rPr>
          <w:sz w:val="24"/>
        </w:rPr>
        <w:t>(표 7 자리표시자)</w:t>
      </w:r>
    </w:p>
    <w:p>
      <w:r>
        <w:rPr>
          <w:sz w:val="24"/>
        </w:rPr>
        <w:t>(표 8 자리표시자)</w:t>
      </w:r>
    </w:p>
    <w:p>
      <w:r>
        <w:rPr>
          <w:sz w:val="24"/>
        </w:rPr>
        <w:t>(표 9 자리표시자)</w:t>
      </w:r>
    </w:p>
    <w:p>
      <w:r>
        <w:rPr>
          <w:sz w:val="24"/>
        </w:rPr>
        <w:t>(표 10 자리표시자)</w:t>
      </w:r>
    </w:p>
    <w:p>
      <w:r>
        <w:rPr>
          <w:sz w:val="24"/>
        </w:rPr>
        <w:t>(표 11 자리표시자)</w:t>
      </w:r>
    </w:p>
    <w:p>
      <w:r>
        <w:rPr>
          <w:sz w:val="24"/>
        </w:rPr>
        <w:t>(표 12 자리표시자)</w:t>
      </w:r>
    </w:p>
    <w:p>
      <w:r>
        <w:rPr>
          <w:sz w:val="24"/>
        </w:rPr>
        <w:t>(표 13 자리표시자)</w:t>
      </w:r>
    </w:p>
    <w:p>
      <w:r>
        <w:rPr>
          <w:sz w:val="24"/>
        </w:rPr>
        <w:t>(표 14 자리표시자)</w:t>
      </w:r>
    </w:p>
    <w:p>
      <w:r>
        <w:rPr>
          <w:sz w:val="24"/>
        </w:rPr>
        <w:t>(표 15 자리표시자)</w:t>
      </w:r>
    </w:p>
    <w:p>
      <w:r>
        <w:rPr>
          <w:sz w:val="24"/>
        </w:rPr>
        <w:t>(표 16 자리표시자)</w:t>
      </w:r>
    </w:p>
    <w:p>
      <w:r>
        <w:rPr>
          <w:sz w:val="24"/>
        </w:rPr>
        <w:t>(표 17 자리표시자)</w:t>
      </w:r>
    </w:p>
    <w:p>
      <w:r>
        <w:rPr>
          <w:sz w:val="24"/>
        </w:rPr>
        <w:t>(표 18 자리표시자)</w:t>
      </w:r>
    </w:p>
    <w:p>
      <w:r>
        <w:rPr>
          <w:sz w:val="24"/>
        </w:rPr>
        <w:t>(표 19 자리표시자)</w:t>
      </w:r>
    </w:p>
    <w:p>
      <w:r>
        <w:rPr>
          <w:sz w:val="24"/>
        </w:rPr>
        <w:t>(표 20 자리표시자)</w:t>
      </w:r>
    </w:p>
    <w:p>
      <w:r>
        <w:rPr>
          <w:sz w:val="24"/>
        </w:rPr>
        <w:t>(표 21 자리표시자)</w:t>
      </w:r>
    </w:p>
    <w:p>
      <w:r>
        <w:rPr>
          <w:sz w:val="24"/>
        </w:rPr>
        <w:t>(표 22 자리표시자)</w:t>
      </w:r>
    </w:p>
    <w:p>
      <w:r>
        <w:rPr>
          <w:sz w:val="24"/>
        </w:rPr>
        <w:t>(표 23 자리표시자)</w:t>
      </w:r>
    </w:p>
    <w:p>
      <w:pPr>
        <w:jc w:val="center"/>
      </w:pPr>
      <w:r>
        <w:rPr>
          <w:sz w:val="24"/>
        </w:rPr>
        <w:t>표 24. Calculation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Parameters / 파라미터</w:t>
            </w:r>
          </w:p>
        </w:tc>
        <w:tc>
          <w:tcPr>
            <w:tcW w:type="dxa" w:w="2880"/>
          </w:tcPr>
          <w:p>
            <w:r>
              <w:t>Acceptance Criteria / 허용기준</w:t>
            </w:r>
          </w:p>
        </w:tc>
        <w:tc>
          <w:tcPr>
            <w:tcW w:type="dxa" w:w="2880"/>
          </w:tcPr>
          <w:p>
            <w:r>
              <w:t>Formula / 수식</w:t>
            </w:r>
          </w:p>
        </w:tc>
      </w:tr>
      <w:tr>
        <w:tc>
          <w:tcPr>
            <w:tcW w:type="dxa" w:w="2880"/>
          </w:tcPr>
          <w:p>
            <w:r>
              <w:t>RSD</w:t>
            </w:r>
          </w:p>
        </w:tc>
        <w:tc>
          <w:tcPr>
            <w:tcW w:type="dxa" w:w="2880"/>
          </w:tcPr>
          <w:p>
            <w:r>
              <w:t>≤ 2.0%</w:t>
            </w:r>
          </w:p>
        </w:tc>
        <w:tc>
          <w:tcPr>
            <w:tcW w:type="dxa" w:w="2880"/>
          </w:tcPr>
          <w:p>
            <w:r>
              <w:t>SD/mean × 100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98~102%</w:t>
            </w:r>
          </w:p>
        </w:tc>
        <w:tc>
          <w:tcPr>
            <w:tcW w:type="dxa" w:w="2880"/>
          </w:tcPr>
          <w:p>
            <w:r>
              <w:t>(found/added) × 100</w:t>
            </w:r>
          </w:p>
        </w:tc>
      </w:tr>
    </w:tbl>
    <w:p/>
    <w:p>
      <w:pPr>
        <w:pStyle w:val="Heading1"/>
      </w:pPr>
      <w:r>
        <w:rPr>
          <w:sz w:val="24"/>
        </w:rPr>
        <w:t>4. Equipment Calibration</w:t>
      </w:r>
    </w:p>
    <w:p>
      <w:pPr>
        <w:jc w:val="center"/>
      </w:pPr>
      <w:r>
        <w:rPr>
          <w:sz w:val="24"/>
        </w:rPr>
        <w:t>표 25. 장비 검교정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장비</w:t>
            </w:r>
          </w:p>
        </w:tc>
        <w:tc>
          <w:tcPr>
            <w:tcW w:type="dxa" w:w="2880"/>
          </w:tcPr>
          <w:p>
            <w:r>
              <w:t>검교정 일자</w:t>
            </w:r>
          </w:p>
        </w:tc>
        <w:tc>
          <w:tcPr>
            <w:tcW w:type="dxa" w:w="2880"/>
          </w:tcPr>
          <w:p>
            <w:r>
              <w:t>차기 일자</w:t>
            </w:r>
          </w:p>
        </w:tc>
      </w:tr>
      <w:tr>
        <w:tc>
          <w:tcPr>
            <w:tcW w:type="dxa" w:w="2880"/>
          </w:tcPr>
          <w:p>
            <w:r>
              <w:t>HPLC-001</w:t>
            </w:r>
          </w:p>
        </w:tc>
        <w:tc>
          <w:tcPr>
            <w:tcW w:type="dxa" w:w="2880"/>
          </w:tcPr>
          <w:p>
            <w:r>
              <w:t>2026.03.15</w:t>
            </w:r>
          </w:p>
        </w:tc>
        <w:tc>
          <w:tcPr>
            <w:tcW w:type="dxa" w:w="2880"/>
          </w:tcPr>
          <w:p>
            <w:r>
              <w:t>2027.03.15</w:t>
            </w:r>
          </w:p>
        </w:tc>
      </w:tr>
      <w:tr>
        <w:tc>
          <w:tcPr>
            <w:tcW w:type="dxa" w:w="2880"/>
          </w:tcPr>
          <w:p>
            <w:r>
              <w:t>UV-002</w:t>
            </w:r>
          </w:p>
        </w:tc>
        <w:tc>
          <w:tcPr>
            <w:tcW w:type="dxa" w:w="2880"/>
          </w:tcPr>
          <w:p>
            <w:r>
              <w:t>2026.04.01</w:t>
            </w:r>
          </w:p>
        </w:tc>
        <w:tc>
          <w:tcPr>
            <w:tcW w:type="dxa" w:w="2880"/>
          </w:tcPr>
          <w:p>
            <w:r>
              <w:t>2027.04.01</w:t>
            </w:r>
          </w:p>
        </w:tc>
      </w:tr>
    </w:tbl>
    <w:p/>
    <w:p>
      <w:pPr>
        <w:pStyle w:val="Heading1"/>
      </w:pPr>
      <w:r>
        <w:rPr>
          <w:sz w:val="24"/>
        </w:rPr>
        <w:t>5. Conclusion</w:t>
      </w:r>
    </w:p>
    <w:p>
      <w:r>
        <w:rPr>
          <w:sz w:val="24"/>
        </w:rPr>
        <w:t>모든 validation 항목이 허용 기준을 만족하였다.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