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73A5E"/>
          <w:sz w:val="50"/>
        </w:rPr>
        <w:t>AD7980 MCA 上位机功能介绍</w:t>
      </w:r>
    </w:p>
    <w:p>
      <w:pPr>
        <w:jc w:val="center"/>
      </w:pPr>
      <w:r>
        <w:rPr>
          <w:rFonts w:ascii="Microsoft YaHei" w:hAnsi="Microsoft YaHei" w:eastAsia="Microsoft YaHei"/>
          <w:color w:val="198984"/>
          <w:sz w:val="26"/>
        </w:rPr>
        <w:t>用于核电子学脉冲幅度测量、多道能谱与DAQ状态分析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b/>
          <w:color w:val="173A5E"/>
          <w:sz w:val="24"/>
        </w:rPr>
        <w:t>FinalAdaptive v2.6.2</w:t>
      </w:r>
    </w:p>
    <w:p>
      <w:pPr>
        <w:jc w:val="center"/>
      </w:pPr>
      <w:r>
        <w:rPr>
          <w:rFonts w:ascii="Microsoft YaHei" w:hAnsi="Microsoft YaHei" w:eastAsia="Microsoft YaHei"/>
          <w:color w:val="5D6F7C"/>
          <w:sz w:val="20"/>
        </w:rPr>
        <w:t>核心特点：硬件CNV边界 + 16位AD7980 + USB CDC + 多道能谱</w:t>
      </w:r>
    </w:p>
    <w:p>
      <w:pPr>
        <w:jc w:val="center"/>
      </w:pPr>
      <w:r>
        <w:rPr>
          <w:rFonts w:ascii="Microsoft YaHei" w:hAnsi="Microsoft YaHei" w:eastAsia="Microsoft YaHei"/>
          <w:color w:val="5D6F7C"/>
          <w:sz w:val="20"/>
        </w:rPr>
        <w:t>支持：4096/8192/16384/65536道、ROI、FWHM、校准、报告</w:t>
      </w:r>
    </w:p>
    <w:p>
      <w:pPr>
        <w:spacing w:before="1600"/>
        <w:jc w:val="center"/>
      </w:pPr>
      <w:r>
        <w:rPr>
          <w:rFonts w:ascii="Microsoft YaHei" w:hAnsi="Microsoft YaHei" w:eastAsia="Microsoft YaHei"/>
          <w:color w:val="5D6F7C"/>
          <w:sz w:val="20"/>
        </w:rPr>
        <w:t>文档生成日期：2026-08-19</w:t>
      </w:r>
    </w:p>
    <w:p>
      <w:r>
        <w:br w:type="page"/>
      </w:r>
    </w:p>
    <w:p>
      <w:pPr>
        <w:pStyle w:val="Heading1"/>
      </w:pPr>
      <w:r>
        <w:t>1 产品定位</w:t>
      </w:r>
    </w:p>
    <w:p>
      <w:r>
        <w:rPr>
          <w:rFonts w:ascii="Microsoft YaHei" w:hAnsi="Microsoft YaHei" w:eastAsia="Microsoft YaHei"/>
          <w:sz w:val="21"/>
        </w:rPr>
        <w:t>该软件是STM32G474 + AD7980采集链的PC端多道分析与实验管理界面。设计重点不是替代示波器，而是把脉冲事件累计、核谱指标、DAQ健康状态、输入端接/校准换算以及测试点报告统一在同一窗口。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1908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数据链路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0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系统端到端数据链路</w:t>
      </w:r>
    </w:p>
    <w:p>
      <w:pPr>
        <w:pStyle w:val="Heading1"/>
      </w:pPr>
      <w:r>
        <w:t>2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功能模块</w:t>
            </w:r>
          </w:p>
        </w:tc>
        <w:tc>
          <w:tcPr>
            <w:tcW w:type="dxa" w:w="6690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多道能谱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4096 / 8192 / 16384 / 65536道；全谱和局部逐道显示；线性/对数Y轴。</w:t>
            </w:r>
          </w:p>
        </w:tc>
      </w:tr>
      <w:t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高计数率模式</w:t>
            </w:r>
          </w:p>
        </w:tc>
        <w:tc>
          <w:tcPr>
            <w:tcW w:type="dxa" w:w="669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4096道由MCU本地累计；减少USB传输压力。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原始16位诊断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8192/16384/65536道通过B16批量原始码、序号和CRC16传输，由PC累计。</w:t>
            </w:r>
          </w:p>
        </w:tc>
      </w:tr>
      <w:t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峰分析</w:t>
            </w:r>
          </w:p>
        </w:tc>
        <w:tc>
          <w:tcPr>
            <w:tcW w:type="dxa" w:w="669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ROI、背景扣除质心、FWHM、分辨率、均值、净峰面积和统计精度。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科学游标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局部峰吸附/自由道址、计数、ADC电压、道宽、原始码范围、局部FWHM/分辨率。</w:t>
            </w:r>
          </w:p>
        </w:tc>
      </w:tr>
      <w:t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输入换算</w:t>
            </w:r>
          </w:p>
        </w:tc>
        <w:tc>
          <w:tcPr>
            <w:tcW w:type="dxa" w:w="669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High-Z/50Ω发生器显示、源阻抗、JP1端接、前端增益、ADC零点与可编辑线性校准。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DAQ健康监视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实测率、Busy、Overrun、队列、USB恢复、tx drop、序号缺口、处理效率。</w:t>
            </w:r>
          </w:p>
        </w:tc>
      </w:tr>
      <w:t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测试与报告</w:t>
            </w:r>
          </w:p>
        </w:tc>
        <w:tc>
          <w:tcPr>
            <w:tcW w:type="dxa" w:w="669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逐点记录幅度、分辨率、通过率等；自动线性拟合并导出CSV/TXT。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数据留档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原始USB记录、完整能谱CSV/TXT、PNG、测试报告。</w:t>
            </w:r>
          </w:p>
        </w:tc>
      </w:tr>
      <w:t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安全设计</w:t>
            </w:r>
          </w:p>
        </w:tc>
        <w:tc>
          <w:tcPr>
            <w:tcW w:type="dxa" w:w="669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PC端白名单命令；不控制CNV/GPIO；固件映射不兼容时禁用绝对幅度结论。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60" w:type="dxa"/>
              <w:bottom w:w="120" w:type="dxa"/>
              <w:end w:w="160" w:type="dxa"/>
            </w:tcMar>
            <w:shd w:fill="EAF4FA"/>
          </w:tcPr>
          <w:p>
            <w:r>
              <w:rPr>
                <w:rFonts w:ascii="Microsoft YaHei" w:hAnsi="Microsoft YaHei" w:eastAsia="Microsoft YaHei"/>
                <w:b w:val="0"/>
                <w:color w:val="173A5E"/>
                <w:sz w:val="19"/>
              </w:rPr>
              <w:t>安全设计：PC端只允许白名单命令，不控制CNV/GPIO；固件映射不兼容时软件会停止给出绝对幅度结论。</w:t>
            </w:r>
          </w:p>
        </w:tc>
      </w:tr>
    </w:tbl>
    <w:p>
      <w:pPr>
        <w:spacing w:after="0"/>
      </w:pPr>
    </w:p>
    <w:p>
      <w:pPr>
        <w:pStyle w:val="Heading1"/>
      </w:pPr>
      <w:r>
        <w:t>3 界面与交互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125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上位机界面功能分区示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25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v2.6.2界面功能分区示意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顶部完成USB连接、端口自动发现和原始通信记录。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左侧三页分别承担采集控制、输入/阻抗/校准和测试点/报告。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中央谱图提供精确范围、主峰/ROI缩放、全谱复位和滚轮缩放。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15个指标卡支持悬停公式与点击详细说明；长文本可在卡内滚轮查看。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底部状态摘要只显示高价值信息，完整协议可按需开启，避免日志刷屏。</w:t>
      </w:r>
    </w:p>
    <w:p>
      <w:pPr>
        <w:pStyle w:val="Heading1"/>
      </w:pPr>
      <w:r>
        <w:t>4 数据可信度设计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65536道全谱绘制可抽点，但所有统计、游标和导出都基于完整原始直方图。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FWHM只在指标计算时轻度平滑；保存和导出的原始谱不被改写。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通过率与处理效率采用同一MCU uptime同步窗计算，并在计数器清零/回退后重新建立基线。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固件版本、谱满量程、道址和原始码格式不匹配时上位机发出安全警告，避免错误解释绝对幅度。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端接和发生器显示方式明确区分，避免把50Ω同轴线误认为50Ω板端端接。</w:t>
      </w:r>
    </w:p>
    <w:p>
      <w:pPr>
        <w:pStyle w:val="Heading1"/>
      </w:pPr>
      <w:r>
        <w:t>5 当前实测能力示例（2026-08-19）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186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100kHz系统线性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18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17点100 kHz线性度测试结果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653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分辨率随输入幅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65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分辨率随输入幅度变化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17点板端实际输入范围：70.598–452.989 mV。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线性拟合R²=0.999964842；最大跨度归一化非线性0.419%。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17点最大幅度误差0.456%，平均绝对幅度误差约0.181%。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分辨率0.945%（最低幅点）至0.183%（最高幅点），所有测试点均低于1%。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65536道原始码模式下平均实测计数率约99.860 kcps，DAQ处理效率约100%。</w:t>
      </w:r>
    </w:p>
    <w:p>
      <w:pPr>
        <w:pStyle w:val="Heading1"/>
      </w:pPr>
      <w:r>
        <w:t>6 适用场景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核电子学前端、峰保持和ADC链路的实验验证。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SiPM/闪烁体等探测器脉冲幅度与单通道能谱测试。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ADC与前端线性度、分辨率、计数率和吞吐性能测试。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不同输入端接、增益、阈值、频率和校准条件下的对比实验。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需要完整原始数据、图像和测试元数据追溯的长期自用实验平台。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D6F7C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5D6F7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D6F7C"/>
        <w:sz w:val="17"/>
      </w:rPr>
      <w:t>AD7980 MCA 上位机 v2.6.2 功能介绍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89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A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CN">
    <w:name w:val="Figure Caption CN"/>
    <w:pPr>
      <w:spacing w:before="60" w:after="160"/>
    </w:pPr>
    <w:rPr>
      <w:rFonts w:ascii="Microsoft YaHei" w:hAnsi="Microsoft YaHei" w:eastAsia="Microsoft YaHei"/>
      <w:color w:val="5D6F7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