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8"/>
        </w:rPr>
        <w:t>Low-Power MCA 系统功耗测试报告</w:t>
      </w:r>
    </w:p>
    <w:p>
      <w:pPr>
        <w:jc w:val="center"/>
      </w:pPr>
      <w:r>
        <w:rPr>
          <w:sz w:val="20"/>
        </w:rPr>
        <w:t>5.60 V 单电源 · 空载 / 1 kHz / 50 kHz / 100 kHz · 70–900 mV</w:t>
      </w:r>
    </w:p>
    <w:p>
      <w:pPr>
        <w:pStyle w:val="Heading1"/>
      </w:pPr>
      <w:r>
        <w:t>1. 测试目的</w:t>
      </w:r>
    </w:p>
    <w:p>
      <w:r>
        <w:t>验证 Low-Power MCA 完整采集电子学系统在不同输入事件率和输入幅度下的整机功耗，并判断系统功耗是否随事件率或信号幅度显著变化。</w:t>
      </w:r>
    </w:p>
    <w:p>
      <w:pPr>
        <w:pStyle w:val="Heading1"/>
      </w:pPr>
      <w:r>
        <w:t>2. 测试条件与计算方法</w:t>
      </w:r>
    </w:p>
    <w:p>
      <w:r>
        <w:rPr>
          <w:b/>
        </w:rPr>
        <w:t>系统总输入电压：</w:t>
      </w:r>
      <w:r>
        <w:t>5.60 V</w:t>
      </w:r>
      <w:r>
        <w:br/>
      </w:r>
      <w:r>
        <w:rPr>
          <w:b/>
        </w:rPr>
        <w:t>频率条件：</w:t>
      </w:r>
      <w:r>
        <w:t>空载、1 kHz、50 kHz、100 kHz</w:t>
      </w:r>
      <w:r>
        <w:br/>
      </w:r>
      <w:r>
        <w:rPr>
          <w:b/>
        </w:rPr>
        <w:t>输入幅度：</w:t>
      </w:r>
      <w:r>
        <w:t>70 mV、259 mV、453 mV、515 mV、900 mV</w:t>
      </w:r>
      <w:r>
        <w:br/>
      </w:r>
      <w:r>
        <w:rPr>
          <w:b/>
        </w:rPr>
        <w:t>功耗计算：</w:t>
      </w:r>
      <w:r>
        <w:t>P = U × I</w:t>
      </w:r>
      <w:r>
        <w:br/>
      </w:r>
      <w:r>
        <w:rPr>
          <w:b/>
        </w:rPr>
        <w:t>数据口径：</w:t>
      </w:r>
      <w:r>
        <w:t>记录各测试条件下的典型电流读数，用于表征整机功耗量级和变化趋势。</w:t>
      </w:r>
    </w:p>
    <w:p>
      <w:pPr>
        <w:pStyle w:val="Heading1"/>
      </w:pPr>
      <w:r>
        <w:t>3. 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9"/>
              </w:rPr>
              <w:t>脉冲频率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9"/>
              </w:rPr>
              <w:t>输入幅度 / mV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9"/>
              </w:rPr>
              <w:t>输入电流 / A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9"/>
              </w:rPr>
              <w:t>输入功耗 / W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空载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0.062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0.347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 kHz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0.063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0.353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 kHz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259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0.063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0.353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 kHz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453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0.063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0.353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 kHz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515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0.062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0.347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 kHz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900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0.063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0.353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50 kHz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0.061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0.342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50 kHz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259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0.062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0.347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50 kHz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453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0.062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0.347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50 kHz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515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0.062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0.347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50 kHz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900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0.063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0.353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100 kHz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0.061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0.342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100 kHz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259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0.062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0.347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100 kHz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453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0.062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0.347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100 kHz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515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0.062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0.347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100 kHz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900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0.063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0.353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752000" cy="28260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consump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82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 1  不同输入频率与幅度条件下的整机输入功耗</w:t>
      </w:r>
    </w:p>
    <w:p>
      <w:pPr>
        <w:pStyle w:val="Heading1"/>
      </w:pPr>
      <w:r>
        <w:t>4. 汇总与分析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工况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平均电流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平均输入功耗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空载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62.0 mA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347.2 mW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 kHz（5 个幅度点）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62.8 mA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351.7 mW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50 kHz（5 个幅度点）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62.0 mA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347.2 mW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100 kHz（5 个幅度点）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62.0 mA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347.2 mW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全部 16 个记录点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62.25 mA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348.6 mW</w:t>
            </w:r>
          </w:p>
        </w:tc>
      </w:tr>
    </w:tbl>
    <w:p>
      <w:r>
        <w:t>全部测试记录的输入电流集中在 61–63 mA，对应输入功耗为 341.6–352.8 mW；全部记录点的平均输入功耗为 348.6 mW，可概括为约 0.35 W。</w:t>
      </w:r>
    </w:p>
    <w:p>
      <w:r>
        <w:t>从空载到 100 kHz，以及从 70 mV 到 900 mV 输入幅度范围内，未观察到电流随事件率或输入幅度持续上升的趋势。因此在本次测试覆盖范围内，系统功耗主要表现为近似恒定的整机功耗。</w:t>
      </w:r>
    </w:p>
    <w:p>
      <w:r>
        <w:t>本测试采用典型电流读数；毫安级差异用于观察趋势，不对其赋予超出记录精度的计量学意义。</w:t>
      </w:r>
    </w:p>
    <w:p>
      <w:pPr>
        <w:pStyle w:val="Heading1"/>
      </w:pPr>
      <w:r>
        <w:t>5. 结论</w:t>
      </w:r>
    </w:p>
    <w:p>
      <w:r>
        <w:rPr>
          <w:b/>
        </w:rPr>
        <w:t>在 5.60 V 单电源输入条件下，Low-Power MCA 的整机典型输入功耗约为 0.35 W。在空载、1 kHz、50 kHz 和 100 kHz，以及 70–900 mV 输入幅度范围内，系统功耗基本保持稳定。</w:t>
      </w:r>
    </w:p>
    <w:p>
      <w:r>
        <w:t>该结果为项目名称中的 “Low-Power” 提供了系统级实测依据，可直接用于 README、项目报告及后续毕业设计文档。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