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Slajd 4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ORGANIZACJA sprzyjająca dostępności [dostępność organizacyjno-proceduralna]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Dostępność organizacyjno-proceduralna oznacza wewnętrzne przepisy i praktyki szkoły, m.in.. te dotyczące wsparcia uczniów ze specjalnymi potrzebami, które są tak skonstruowane, by nie wykluczać żadnej grupy uczniów i zapewniać im równe szanse uczestnictwa w procesie kształcenia.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Wskaźniki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Organizacja i polityka przedszkola/szkoły [N1]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wewnętrzna procedura organizowania i udzielania pomocy psychologiczno-pedagogicznej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akceptacja wprowadzonej procedury/polityki włączania przez nauczycieli i administrację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przywództwo dyrektora (postawy wobec włączania uczniów o zróżnicowanych potrzebach, metod nauczania włączającego)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koordynator działań związanych z rozpoznawaniem i zaspokajaniem potrzeb edukacyjnych wszystkich uczniów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Charakterystyka uczniów i odbiorców wsparcia [N1]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różnorodność środowiska szkolnego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charakterystyka dzieci i uczniów objętych pomocą psychologiczno-pedagogiczną w przedszkolu/szkole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podstawa objęcia pomocą psychologiczno-pedagogiczną dzieci/uczniów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skala uczestnictwa dzieci i uczniów w zajęciach realizowanych przez nauczycieli specjalistów wraz z wymiarem godzinowym zajęć przydzielonych i zrealizowanych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Współpraca wewnętrzna [N1]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współpraca nauczycieli z nauczycielami specjalistami w zakresie rozpoznawania i zaspokajania potrzeb edukacyjnych dzieci/uczniów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współpraca nauczycieli przedmiotów ze specjalistami w obrębie rozwoju kompetencji nauczycieli w kontekście zaspokajania zróżnicowanych potrzeb dzieci/uczniów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współpraca nauczycieli i nauczycieli specjalistów w zakresie planowania i realizacji wsparcia dla uczniów ze zróżnicowanymi potrzebami edukacyjnymi z zewnętrznymi podmiotami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Współpraca z rodzicami i środowiskiem zewnętrznym [N1]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współpraca z rodzicami w zakresie zaspokajania zróżnicowanych potrzeb edukacyjnych dzieci/uczniów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wnioski/prośby złożone przez rodziców dotyczące zaspokajania zróżnicowanych potrzeb dzieci/uczniów i podjęte w odpowiedzi na nie interwencje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formalna i nieformalna współpraca przedszkola/szkoły z instytucjami edukacyjnymi, kulturalnymi itp.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Zabezpieczenie podstawowych potrzeb [N1]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bookmarkStart w:colFirst="0" w:colLast="0" w:name="_ohav2kvqhnk0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bezpłatne posiłki dla dzieci ze środowisk o trudnej sytuacji społeczno-ekonomicznej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bezpłatny transport dla uczniów, w tym dla uczniów z niepełnosprawnościami</w:t>
      </w:r>
    </w:p>
    <w:p w:rsidR="00000000" w:rsidDel="00000000" w:rsidP="00000000" w:rsidRDefault="00000000" w:rsidRPr="00000000" w14:paraId="0000001B">
      <w:pPr>
        <w:spacing w:after="160" w:line="259" w:lineRule="auto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Slajd 5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ARCHITEKTURA zapewniająca dostępność [dostępność architektoniczna]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6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Dostępność architektoniczna (art. 6.1 Ustawy o zapewnianiu dostępności osobom ze szczególnymi potrzebami) obejmuje: (1) zapewnienie wolnych od barier poziomych i pionowych przestrzeni komunikacyjnych budynków, (2) instalację urządzeń lub zastosowanie środków technicznych i rozwiązań architektonicznych w budynku, które umożliwiają dostęp do wszystkich pomieszczeń, z wyłączeniem pomieszczeń technicznych, (3) zapewnienie informacji na temat rozkładu pomieszczeń w budynku, co najmniej w sposób wizualny i dotykowy lub głosowy, (4) zapewnienie wstępu do budynku osobie korzystającej z psa asystującego, (5) zapewnienie osobom ze szczególnymi potrzebami możliwości ewakuacji lub ich uratowania w inny sposób.</w:t>
      </w:r>
    </w:p>
    <w:p w:rsidR="00000000" w:rsidDel="00000000" w:rsidP="00000000" w:rsidRDefault="00000000" w:rsidRPr="00000000" w14:paraId="00000020">
      <w:pPr>
        <w:spacing w:line="259" w:lineRule="auto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Wskaźniki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40" w:lineRule="auto"/>
        <w:ind w:left="4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udział jednostek, które w swoich budynkach zapewniają wolne od barier przestrzenie komunikacyjne [N1]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40" w:lineRule="auto"/>
        <w:ind w:left="4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udział jednostek, w których możliwy jest dostęp do wszystkich pomieszczeń (z wyłączeniem pomieszczeń technicznych) [N1]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40" w:lineRule="auto"/>
        <w:ind w:left="4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udział jednostek, które zapewniają informację na temat rozkładu pomieszczeń w budynku/ach [N1]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4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udział jednostek zapewniających wstęp do budynku/budynków osobie korzystającej z psa asystującego [N1]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40" w:lineRule="auto"/>
        <w:ind w:left="4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udział jednostek zapewniających osobom ze szczególnymi potrzebami możliwości ewakuacji lub ich uratowania w inny sposób [N1]</w:t>
      </w:r>
    </w:p>
    <w:p w:rsidR="00000000" w:rsidDel="00000000" w:rsidP="00000000" w:rsidRDefault="00000000" w:rsidRPr="00000000" w14:paraId="00000026">
      <w:pPr>
        <w:spacing w:after="160" w:line="259" w:lineRule="auto"/>
        <w:ind w:firstLine="10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Slajd 6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CYFROWA dostępność usług [dostępność cyfrowa]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6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Dostępność cyfrowa sprawia, że z serwisów internetowych i aplikacji mobilnych mogą wygodnie korzystać osoby z różnymi niepełnosprawnościami np. wzroku, słuchu, ruchu, ale też z niepełnosprawnością intelektualną czy zaburzeniami poznawczymi.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Wskaźniki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40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strony internetowe jednostki zgodne z wymogami ustawy o dostępności cyfrowej [N1]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408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aplikacje wykorzystywane przez jednostki zgodne z wymogami ustawy o dostępności cyfrowej [N1]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Slajd 7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KOMUNIKACJA bez barier [dostępność informacyjno-komunikacyjna]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Definicja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Dostępność informacyjno-komunikacyjna to zapewnienie odpowiedniego sposobu przekazywania informacji z wykorzystaniem środków wspierających komunikację z odbiorcami usług publicznych, w tym także usługi edukacyjnej.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Wskaźniki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lin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zapewnienie osobom ze szczególnymi potrzebami obsługę z wykorzystania sposobów/środków wspierających komunikowanie się [N1]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lin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posiadanie urządzeń lub środków od obsługi osób słabosłyszących [N1]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line="240" w:lineRule="auto"/>
        <w:ind w:left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zapewnianie na stronie internetowej informacji o zakresie swojej działalności w postaci  tekstu odczytywanego maszynowo, nagrania treści w polskim języku migowym (PJM) w postaci pliku wideo, informacji w tekście łatwym do czytania (ETR) [N1]</w:t>
      </w:r>
    </w:p>
    <w:p w:rsidR="00000000" w:rsidDel="00000000" w:rsidP="00000000" w:rsidRDefault="00000000" w:rsidRPr="00000000" w14:paraId="0000003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Slajd 8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ZASOBY umożliwiające dostępność [dostępność zasobów]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Dostępność zasobów to stopień, w jakim użytkownicy mają realną możliwość korzystania z materiałów, pomocy, wsparcia i usług, które są im potrzebne do pełnego uczestnictwa w procesach edukacyjnych lub społecznych.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Wskaźniki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zasoby specjalistyczne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udział jednostek dysponujących gabinetami dla specjalistów [N1]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udział jednostek posiadających specjalistyczne pomieszczenia dla dzieci i uczniów (pracownia integracji sensorycznej, sala doświadczania świata, pracownia wczesnego wspomagania rozwoju, pokój wyciszeń/strefę samodzielnej nauki) [N1]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udział jednostek wyposażonych w specjalistyczny sprzęt terapeutyczny (do terapii metodą Tomatis, Warnkego, do treningu EEG Biofeedback) [N1]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zasoby finansowe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środki przeznaczone na kształcenie specjalne co najmniej w wysokości naliczonych kwot potrzeb oświatowych [N6]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weryfikacja efektywności wydatkowanych środków [N6]</w:t>
      </w:r>
    </w:p>
    <w:p w:rsidR="00000000" w:rsidDel="00000000" w:rsidP="00000000" w:rsidRDefault="00000000" w:rsidRPr="00000000" w14:paraId="00000045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Slajd 9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KADRY realizujące edukację dostępną [dostępność kadrowa]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Definicja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Dostępność kadry w edukacji oznacza zapewnienie odpowiedniej liczby i kwalifikacji nauczycieli oraz personelu pomocniczego, które umożliwiają realizację zadań dydaktycznych, wychowawczych i opiekuńczych w sposób odpowiadający potrzebom wszystkich uczniów, także tych ze zróżnicowanymi potrzebami edukacyjnymi, aby zapewnić wysoką jakość kształcenia dla wszystkich. 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Wskaźniki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Zasoby kadrowe w przedszkolu/szkole [N1]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liczba nauczycieli zatrudnionych w przedszkolu/szkole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wymiar etatów zatrudnionych nauczycieli specjalistów, doradców zawodowych, nauczycieli współorganizujących kształcenie, asystentów międzykulturowych, nauczycieli bibliotekarzy, doradców metodycznych i personelu niepedagogicznego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liczba pracowników niepedagogicznych wspierających nauczycieli w realizacji zadań na rzecz zaspokajania zróżnicowanych potrzeb dzieci/uczniów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Rozwój i doskonalenie zawodowe kadry [N1]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skala podnoszenia kwalifikacji nauczycieli i nauczycieli specjalistów zatrudnionych w przedszkolu/szkole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sposób zbierania informacji o potrzebach w zakresie doskonalenia nauczycieli i nauczycieli specjalistów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finansowanie/współfinansowanie podnoszenia kwalifikacji nauczycieli i nauczycieli specjalistów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Slajd 10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DYDAKTYKA zapewniająca dostępność procesu edukacyjnego [dostępność dydaktyczna]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Definicja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  <w:br w:type="textWrapping"/>
        <w:t xml:space="preserve">Programy nauczania są dostosowywane tak, aby zapewnić uczniom odpowiednie do ich potrzeb udogodnienia i modyfikacje, m.in. różne sposoby uczenia się przez uczniów, różne materiały i zakres wiedzy, a system oceniania  daje możliwość wykazania się wiedzą na różne sposoby oraz przewiduje różne standardy oceniania.</w:t>
      </w:r>
    </w:p>
    <w:p w:rsidR="00000000" w:rsidDel="00000000" w:rsidP="00000000" w:rsidRDefault="00000000" w:rsidRPr="00000000" w14:paraId="00000056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Wskaźniki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Dostosowania i usprawnienia w nauczaniu [N1]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wykorzystywanie racjonalnych usprawnień w poszczególnych przedmiotach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programy nauczania, w których wprowadzono (w ostatnim roku szkolnym) zmiany lub dostosowania ze względu na zróżnicowane potrzeby edukacyjne dzieci/uczniów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programy nauczania oparte na metodyce UDL (Universal Design for Learning - Projektowanie Uniwersalne w Edukacji)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Innowacje i eksperymenty pedagogiczne [N1]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zrealizowane innowacje pedagogiczne w zakresie zaspokajania zróżnicowanych potrzeb dzieci/uczniów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zrealizowane eksperymenty pedagogiczne w zakresie zaspokajania zróżnicowanych potrzeb dzieci/uczniów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Slajd 11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UCZESTNICTWO umożliwiające pełen rozwój [Dostępność społeczno-emocjonalna]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Dostępność społeczno-emocjonalna oznacza taki sposób organizacji życia szkoły i procesu edukacyjnego, który umożliwia wszystkim uczniom pełne uczestnictwo w relacjach, doświadczeniach i działaniach kształtujących rozwój emocjonalny i społeczny. Oznacza tworzenie środowiska szkolnego, w którym każdy uczeń – niezależnie od indywidualnych cech, potrzeb czy ograniczeń – ma prawo do akceptacji, wsparcia, poczucia bezpieczeństwa i współtworzenia wspólnoty szkolnej.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Wskaźniki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Uczestnictwo i zaangażowanie uczniów [N1]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frekwencja – nieobecności wg kategorii ich przyczyn (przeszkody, unikanie, brak zaangażowania)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ograniczenia w zakresie uczestnictwa: segregacja i koncentracja grup uczniów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wskaźnik rezygnacji ze szkoły i powtarzania klasy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Środowisko szkolne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polityka antyprzemocowa i antydyskryminacyjna [N1]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przeciwdziałanie przemocy rówieśniczej[N1]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postawy nauczycieli wobec edukacji włączającej [N3]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dobrostan szkolny uczniów [N2]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klimat szkoły [N5]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Slajd 12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OSIĄGNIĘCIA EDUKACYJNE wynikające z realizacji edukacji dostępnej [osiągnięcia edukacyjne]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Osiągnięcia edukacyjne, czyli efekty procesu edukacyjnego, rozumiane jako możliwość osiągnięcia przez wszystkich uczniów swojego potencjału w całym cyklu nauczania, wyniki testów lub egzaminów zewnętrznych, a także jako kontynuowanie nauki na wyższym poziomie. 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Wskaźniki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Funkcjonowanie i osiągnięcia edukacyjne uczniów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poziom funkcjonowania dzieci/uczniów [N4]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wyniki egzaminów zewnętrznych uczniów (wg cech uczniów) [1]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Ścieżki edukacyjne i dalsze losy uczniów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wsparcie w tranzycji (między klasami, między szkołami, między szkołą a rynkiem pracy) [N1]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wskaźnik ukończenia szkoły średniej [N1]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line="240" w:lineRule="auto"/>
        <w:ind w:left="360"/>
        <w:rPr>
          <w:rFonts w:ascii="Times New Roman" w:cs="Times New Roman" w:eastAsia="Times New Roman" w:hAnsi="Times New Roman"/>
          <w:color w:val="019593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wskaźnik zapisów na studia i ukończenia studiów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─"/>
      <w:lvlJc w:val="left"/>
      <w:pPr>
        <w:ind w:left="408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12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48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68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8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008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728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4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68" w:hanging="360"/>
      </w:pPr>
      <w:rPr>
        <w:u w:val="none"/>
      </w:rPr>
    </w:lvl>
  </w:abstractNum>
  <w:abstractNum w:abstractNumId="2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bullet"/>
      <w:lvlText w:val="─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4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7">
    <w:lvl w:ilvl="0">
      <w:start w:val="1"/>
      <w:numFmt w:val="bullet"/>
      <w:lvlText w:val="─"/>
      <w:lvlJc w:val="left"/>
      <w:pPr>
        <w:ind w:left="4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1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9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6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3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0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7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5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220" w:hanging="360"/>
      </w:pPr>
      <w:rPr>
        <w:u w:val="none"/>
      </w:rPr>
    </w:lvl>
  </w:abstractNum>
  <w:abstractNum w:abstractNumId="8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9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0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1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2">
    <w:lvl w:ilvl="0">
      <w:start w:val="1"/>
      <w:numFmt w:val="bullet"/>
      <w:lvlText w:val="─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8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228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94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8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388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10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8" w:hanging="360"/>
      </w:pPr>
      <w:rPr>
        <w:u w:val="none"/>
      </w:rPr>
    </w:lvl>
  </w:abstractNum>
  <w:abstractNum w:abstractNumId="13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4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5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6">
    <w:lvl w:ilvl="0">
      <w:start w:val="1"/>
      <w:numFmt w:val="bullet"/>
      <w:lvlText w:val="─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7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8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19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0">
    <w:lvl w:ilvl="0">
      <w:start w:val="1"/>
      <w:numFmt w:val="bullet"/>
      <w:lvlText w:val="─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