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B7832" w14:textId="28027983" w:rsidR="009555C8" w:rsidRDefault="009555C8" w:rsidP="009555C8">
      <w:pPr>
        <w:ind w:firstLine="0"/>
        <w:sectPr w:rsidR="009555C8" w:rsidSect="00D14C58">
          <w:footerReference w:type="even" r:id="rId8"/>
          <w:pgSz w:w="11906" w:h="16838" w:code="9"/>
          <w:pgMar w:top="2218" w:right="1440" w:bottom="2218" w:left="1440" w:header="1699" w:footer="1699" w:gutter="0"/>
          <w:cols w:space="708"/>
          <w:docGrid w:linePitch="360"/>
        </w:sectPr>
      </w:pPr>
    </w:p>
    <w:p w14:paraId="65E4E6DA" w14:textId="77777777" w:rsidR="00082D36" w:rsidRDefault="00082D36" w:rsidP="00082D36">
      <w:pPr>
        <w:pStyle w:val="Heading1"/>
        <w:numPr>
          <w:ilvl w:val="0"/>
          <w:numId w:val="2"/>
        </w:numPr>
      </w:pPr>
      <w:bookmarkStart w:id="0" w:name="_Toc127094437"/>
      <w:r>
        <w:lastRenderedPageBreak/>
        <w:t>Introduction</w:t>
      </w:r>
      <w:bookmarkEnd w:id="0"/>
    </w:p>
    <w:p w14:paraId="19793428" w14:textId="77777777" w:rsidR="00082D36" w:rsidRDefault="00082D36" w:rsidP="00082D36">
      <w:r>
        <w:t xml:space="preserve">During the 1990s energy-markets across Europe experienced a liberalization in part of the electricity value chain – namely the production and trading of energy were liberalized. This also involved Denmark, where the day-to-day operational maintenance in grid system is still monopolized, however. Compared to other traded commodities like agricultural products, natural gas or crude oil, electricity is non-storable, requiring grid-systems to provide a constant flow of energy to balance production and consumption. At the same time, consumption depends highly on weather conditions (temperature, wind, precipitation etc.) as well as daily-, weekly- and yearly social activities (diurnal routines, workdays vs. Weekends, holiday periods etc.). </w:t>
      </w:r>
    </w:p>
    <w:p w14:paraId="59D298C7" w14:textId="5ACDA9B0" w:rsidR="00082D36" w:rsidRDefault="00082D36" w:rsidP="00082D36">
      <w:r>
        <w:t xml:space="preserve">Electricity prices is by nature very </w:t>
      </w:r>
      <w:r>
        <w:rPr>
          <w:i/>
          <w:iCs/>
        </w:rPr>
        <w:t xml:space="preserve">spikey </w:t>
      </w:r>
      <w:r>
        <w:t>with radical shifts in prices few hours apart. These dynamics are the effect of the non-storability of electricity (</w:t>
      </w:r>
      <w:proofErr w:type="spellStart"/>
      <w:r>
        <w:t>Weron</w:t>
      </w:r>
      <w:proofErr w:type="spellEnd"/>
      <w:r>
        <w:t xml:space="preserve">, 2006), and can, in extreme situations, lead to energy suppliers file for bankruptcy in price escalating-periods if they are not ready to manage the realized risk. </w:t>
      </w:r>
      <w:r w:rsidR="00F603E4">
        <w:t xml:space="preserve">Thus, the deregulation of energy market has led to a riskier market where statistical analyses are essential and financial penalties for forecast errors are high. </w:t>
      </w:r>
    </w:p>
    <w:p w14:paraId="19C9AF78" w14:textId="695D3C99" w:rsidR="007C737F" w:rsidRDefault="00082D36" w:rsidP="007C737F">
      <w:r>
        <w:t>A global pandemic, high inflation rates and global cross-border conflicts around the world, we are now looking into an energy crisis (</w:t>
      </w:r>
      <w:proofErr w:type="spellStart"/>
      <w:r>
        <w:fldChar w:fldCharType="begin"/>
      </w:r>
      <w:r>
        <w:instrText xml:space="preserve"> HYPERLINK "https://kriseinformation.dk/energikrise" </w:instrText>
      </w:r>
      <w:r>
        <w:fldChar w:fldCharType="separate"/>
      </w:r>
      <w:r>
        <w:rPr>
          <w:rStyle w:val="Hyperlink"/>
        </w:rPr>
        <w:t>Sådan</w:t>
      </w:r>
      <w:proofErr w:type="spellEnd"/>
      <w:r>
        <w:rPr>
          <w:rStyle w:val="Hyperlink"/>
        </w:rPr>
        <w:t xml:space="preserve"> </w:t>
      </w:r>
      <w:proofErr w:type="spellStart"/>
      <w:r>
        <w:rPr>
          <w:rStyle w:val="Hyperlink"/>
        </w:rPr>
        <w:t>påvirker</w:t>
      </w:r>
      <w:proofErr w:type="spellEnd"/>
      <w:r>
        <w:rPr>
          <w:rStyle w:val="Hyperlink"/>
        </w:rPr>
        <w:t xml:space="preserve"> </w:t>
      </w:r>
      <w:proofErr w:type="spellStart"/>
      <w:r>
        <w:rPr>
          <w:rStyle w:val="Hyperlink"/>
        </w:rPr>
        <w:t>energikrisen</w:t>
      </w:r>
      <w:proofErr w:type="spellEnd"/>
      <w:r>
        <w:rPr>
          <w:rStyle w:val="Hyperlink"/>
        </w:rPr>
        <w:t xml:space="preserve"> </w:t>
      </w:r>
      <w:proofErr w:type="spellStart"/>
      <w:r>
        <w:rPr>
          <w:rStyle w:val="Hyperlink"/>
        </w:rPr>
        <w:t>Danmark</w:t>
      </w:r>
      <w:proofErr w:type="spellEnd"/>
      <w:r>
        <w:rPr>
          <w:rStyle w:val="Hyperlink"/>
        </w:rPr>
        <w:t xml:space="preserve"> | </w:t>
      </w:r>
      <w:proofErr w:type="spellStart"/>
      <w:r>
        <w:rPr>
          <w:rStyle w:val="Hyperlink"/>
        </w:rPr>
        <w:t>Kriseinformation</w:t>
      </w:r>
      <w:proofErr w:type="spellEnd"/>
      <w:r>
        <w:fldChar w:fldCharType="end"/>
      </w:r>
      <w:r>
        <w:t>). Energy prices have since ultimo 2021 been more volatile than ever (</w:t>
      </w:r>
      <w:r w:rsidRPr="0069240A">
        <w:rPr>
          <w:u w:val="single"/>
        </w:rPr>
        <w:t>See figure X</w:t>
      </w:r>
      <w:r>
        <w:t xml:space="preserve">) and new global- and national context call for new spot price models. This thesis addresses energy prices in Denmark and seeks to test and explore models that are capable of forecasting Danish electricity prices day-ahead. </w:t>
      </w:r>
    </w:p>
    <w:p w14:paraId="063A5924" w14:textId="077A6072" w:rsidR="007C737F" w:rsidRDefault="007C737F" w:rsidP="007C737F">
      <w:pPr>
        <w:ind w:firstLine="0"/>
      </w:pPr>
    </w:p>
    <w:p w14:paraId="7CD2A8E3" w14:textId="41CAC29B" w:rsidR="007C737F" w:rsidRDefault="00DC4CC0" w:rsidP="007C737F">
      <w:pPr>
        <w:pStyle w:val="Heading1"/>
      </w:pPr>
      <w:r>
        <w:t xml:space="preserve">The Marketplace </w:t>
      </w:r>
    </w:p>
    <w:p w14:paraId="1DECD1DE" w14:textId="4E77B046" w:rsidR="007C737F" w:rsidRDefault="00A7785B" w:rsidP="007C737F">
      <w:pPr>
        <w:pStyle w:val="Firstparagraph"/>
      </w:pPr>
      <w:r>
        <w:t>Today most energy markets in Europe are characterized by being l</w:t>
      </w:r>
      <w:r w:rsidR="007C737F">
        <w:t xml:space="preserve">iberalized </w:t>
      </w:r>
      <w:r>
        <w:t xml:space="preserve">and </w:t>
      </w:r>
      <w:r w:rsidR="000A5126">
        <w:t xml:space="preserve">less vertically integrated </w:t>
      </w:r>
      <w:r>
        <w:t>than it used to</w:t>
      </w:r>
      <w:r w:rsidR="000A5126">
        <w:t xml:space="preserve"> (Polo and Scarpa, 2002). </w:t>
      </w:r>
      <w:r w:rsidR="006C5208">
        <w:t xml:space="preserve">The liberalization of the energy market has, among other things, let to a reduction in overcapacity produced, higher efficiency in the operation of generation, </w:t>
      </w:r>
      <w:proofErr w:type="gramStart"/>
      <w:r w:rsidR="006C5208">
        <w:t>transmission</w:t>
      </w:r>
      <w:proofErr w:type="gramEnd"/>
      <w:r w:rsidR="006C5208">
        <w:t xml:space="preserve"> and distribution services, and </w:t>
      </w:r>
      <w:r w:rsidR="00DC4CC0">
        <w:t xml:space="preserve">introduced </w:t>
      </w:r>
      <w:r w:rsidR="006C5208">
        <w:t>multiple competing actors</w:t>
      </w:r>
      <w:r w:rsidR="00737FBF">
        <w:t xml:space="preserve"> (</w:t>
      </w:r>
      <w:proofErr w:type="spellStart"/>
      <w:r w:rsidR="00737FBF">
        <w:t>Weron</w:t>
      </w:r>
      <w:proofErr w:type="spellEnd"/>
      <w:r w:rsidR="00737FBF">
        <w:t>, 2006)</w:t>
      </w:r>
      <w:r w:rsidR="006C5208">
        <w:t xml:space="preserve">. </w:t>
      </w:r>
    </w:p>
    <w:p w14:paraId="1351A357" w14:textId="1A989019" w:rsidR="00DC4CC0" w:rsidRDefault="00DC4CC0" w:rsidP="00DC4CC0">
      <w:pPr>
        <w:ind w:firstLine="0"/>
      </w:pPr>
    </w:p>
    <w:p w14:paraId="093ADF42" w14:textId="62913318" w:rsidR="00917FDF" w:rsidRPr="00917FDF" w:rsidRDefault="00737FBF" w:rsidP="00917FDF">
      <w:pPr>
        <w:pStyle w:val="Heading2"/>
      </w:pPr>
      <w:r>
        <w:t xml:space="preserve">Market Structure </w:t>
      </w:r>
    </w:p>
    <w:p w14:paraId="5507D620" w14:textId="5C9B56CB" w:rsidR="009F4E00" w:rsidRDefault="005142DB" w:rsidP="005142DB">
      <w:r>
        <w:t xml:space="preserve">In Denmark, electricity trades are traded on the </w:t>
      </w:r>
      <w:r w:rsidR="00761480">
        <w:t>power exchange</w:t>
      </w:r>
      <w:r>
        <w:t xml:space="preserve"> </w:t>
      </w:r>
      <w:r>
        <w:rPr>
          <w:i/>
          <w:iCs/>
        </w:rPr>
        <w:t>Nord Pool</w:t>
      </w:r>
      <w:r>
        <w:t>. A</w:t>
      </w:r>
      <w:r w:rsidR="00761480">
        <w:t xml:space="preserve"> power exchange </w:t>
      </w:r>
      <w:r>
        <w:t xml:space="preserve">handles the trades of electricity between producers and suppliers. </w:t>
      </w:r>
      <w:r w:rsidR="00761480">
        <w:t>In Denmark, t</w:t>
      </w:r>
      <w:r>
        <w:t xml:space="preserve">he day-ahead market </w:t>
      </w:r>
      <w:r w:rsidR="00761480">
        <w:t xml:space="preserve">clearing </w:t>
      </w:r>
      <w:r>
        <w:t xml:space="preserve">price </w:t>
      </w:r>
      <w:r w:rsidR="00761480">
        <w:t xml:space="preserve">is </w:t>
      </w:r>
      <w:r>
        <w:t>set by Nord Pool</w:t>
      </w:r>
      <w:r w:rsidR="00761480">
        <w:t xml:space="preserve">. </w:t>
      </w:r>
      <w:r w:rsidR="00917FDF">
        <w:t>Each hourly price of electricity is set the day before based on a two-sided auction that covers both the supply- and demand side of the market</w:t>
      </w:r>
      <w:r w:rsidR="005B591B">
        <w:t>, in which purchase- and sell bids are declared for the following day</w:t>
      </w:r>
      <w:r w:rsidR="00917FDF">
        <w:t>.</w:t>
      </w:r>
      <w:r w:rsidR="009F4E00">
        <w:t xml:space="preserve"> The actual products that are traded on the auction are one-hour-long physical power contracts in which the minimum contract size is 0.1 MWh. </w:t>
      </w:r>
      <w:r w:rsidR="006D702A">
        <w:t xml:space="preserve">The market participants are free to submit hourly </w:t>
      </w:r>
      <w:proofErr w:type="gramStart"/>
      <w:r w:rsidR="006D702A">
        <w:t>contracts</w:t>
      </w:r>
      <w:proofErr w:type="gramEnd"/>
      <w:r w:rsidR="006D702A">
        <w:t xml:space="preserve"> </w:t>
      </w:r>
    </w:p>
    <w:p w14:paraId="5DBDFE99" w14:textId="647E1C12" w:rsidR="00761480" w:rsidRDefault="00917FDF" w:rsidP="005142DB">
      <w:r>
        <w:t xml:space="preserve">At 12.00 CET </w:t>
      </w:r>
      <w:r w:rsidR="005B591B">
        <w:t xml:space="preserve">the auction closes and </w:t>
      </w:r>
      <w:r>
        <w:t>all the purchase and sell orders for the following day are collected and aggregated into an hourly supply and demand curve for the next day.</w:t>
      </w:r>
      <w:r w:rsidR="005B591B">
        <w:t xml:space="preserve"> </w:t>
      </w:r>
      <w:r>
        <w:t>At 13.00 CET prices are set for the next day. It is the transmission system operator’s (TSO) responsibility that the demand the demand side can be met by the supply side</w:t>
      </w:r>
      <w:r w:rsidR="005B591B">
        <w:t>. This means that the TSO needs advanced notice to verify that demand can be met by supply.</w:t>
      </w:r>
      <w:r>
        <w:t xml:space="preserve"> In Denmark, Energinet operates the electricity grid system, and thus act’s as the TSO.  </w:t>
      </w:r>
    </w:p>
    <w:p w14:paraId="1B340A22" w14:textId="6DD02636" w:rsidR="005142DB" w:rsidRDefault="00761480" w:rsidP="00917FDF">
      <w:r>
        <w:t xml:space="preserve">The market clearing price </w:t>
      </w:r>
      <w:r w:rsidR="005142DB">
        <w:t xml:space="preserve">is set to establish an equilibrium between supply and demand </w:t>
      </w:r>
      <w:r w:rsidR="00917FDF">
        <w:t xml:space="preserve">for </w:t>
      </w:r>
      <w:r w:rsidR="005142DB">
        <w:t xml:space="preserve">every hour the following day. The market price depicts the lowest possible price for every hour of the day. Thus, in times where more expensive electricity sources </w:t>
      </w:r>
      <w:proofErr w:type="gramStart"/>
      <w:r w:rsidR="005142DB">
        <w:t>is</w:t>
      </w:r>
      <w:proofErr w:type="gramEnd"/>
      <w:r w:rsidR="005142DB">
        <w:t xml:space="preserve"> needed, this will be depicted in the day-ahead price. This is also one essential aspect that separates electricity from other commodities. The variable costs associated with the production of 1 MWH varies greatly depending on the different installations – wind and hydro power at one end of the scale and gas driven turbines at the other end of the scale. Thus, </w:t>
      </w:r>
      <w:proofErr w:type="gramStart"/>
      <w:r w:rsidR="005142DB">
        <w:t>in order to</w:t>
      </w:r>
      <w:proofErr w:type="gramEnd"/>
      <w:r w:rsidR="005142DB">
        <w:t xml:space="preserve"> satisfy demand at any given time to the lowest possible cost, a broad variety of generating techniques are required as well as efficient import and export of electricity. </w:t>
      </w:r>
    </w:p>
    <w:p w14:paraId="36758608" w14:textId="77777777" w:rsidR="005142DB" w:rsidRDefault="005142DB" w:rsidP="005142DB"/>
    <w:p w14:paraId="55A3A5EA" w14:textId="77777777" w:rsidR="005142DB" w:rsidRDefault="005142DB" w:rsidP="005142DB">
      <w:pPr>
        <w:rPr>
          <w:i/>
          <w:iCs/>
        </w:rPr>
      </w:pPr>
      <w:r>
        <w:rPr>
          <w:i/>
          <w:iCs/>
        </w:rPr>
        <w:t>Bidding Areas</w:t>
      </w:r>
    </w:p>
    <w:p w14:paraId="0220E704" w14:textId="77777777" w:rsidR="005142DB" w:rsidRDefault="005142DB" w:rsidP="005142DB">
      <w:r>
        <w:t>A country can be divided into one or more bidding areas which represents a geographical area inside a country. When prices are set in the day-ahead market supply and demand curves are established for each bidding area, which can result in different electricity prices within the same country. Bidding Areas are nodes in a big transmission network linked by interconnectors in which electricity can flow. Interconnectors can both be domestic- or foreign directed. In Denmark we have two bidding areas – DK1 (west of The Great Belt) and DK2 (east of The Great Belt)</w:t>
      </w:r>
    </w:p>
    <w:p w14:paraId="7A88819E" w14:textId="77777777" w:rsidR="005142DB" w:rsidRPr="005142DB" w:rsidRDefault="005142DB" w:rsidP="005142DB"/>
    <w:p w14:paraId="53800B73" w14:textId="77777777" w:rsidR="00DC4CC0" w:rsidRPr="00DC4CC0" w:rsidRDefault="00DC4CC0" w:rsidP="00DC4CC0">
      <w:pPr>
        <w:ind w:firstLine="0"/>
      </w:pPr>
    </w:p>
    <w:p w14:paraId="3A971C66" w14:textId="142E50A8" w:rsidR="00082D36" w:rsidRDefault="00082D36" w:rsidP="00082D36">
      <w:pPr>
        <w:ind w:firstLine="0"/>
      </w:pPr>
    </w:p>
    <w:p w14:paraId="31804E70" w14:textId="224DFB73" w:rsidR="00A7785B" w:rsidRDefault="00A7785B" w:rsidP="00082D36">
      <w:pPr>
        <w:ind w:firstLine="0"/>
      </w:pPr>
    </w:p>
    <w:p w14:paraId="24B43FAC" w14:textId="31FB7B9B" w:rsidR="00A7785B" w:rsidRDefault="00A7785B" w:rsidP="00082D36">
      <w:pPr>
        <w:ind w:firstLine="0"/>
      </w:pPr>
    </w:p>
    <w:p w14:paraId="17C1C626" w14:textId="7FDB554D" w:rsidR="00A7785B" w:rsidRDefault="00A7785B" w:rsidP="00082D36">
      <w:pPr>
        <w:ind w:firstLine="0"/>
      </w:pPr>
    </w:p>
    <w:p w14:paraId="1C645F57" w14:textId="51AA4387" w:rsidR="00A7785B" w:rsidRDefault="00A7785B" w:rsidP="00082D36">
      <w:pPr>
        <w:ind w:firstLine="0"/>
      </w:pPr>
    </w:p>
    <w:p w14:paraId="0BED715B" w14:textId="2F226555" w:rsidR="00A7785B" w:rsidRDefault="00A7785B" w:rsidP="00082D36">
      <w:pPr>
        <w:ind w:firstLine="0"/>
      </w:pPr>
    </w:p>
    <w:p w14:paraId="55964D56" w14:textId="0221C5D2" w:rsidR="00A7785B" w:rsidRDefault="00A7785B" w:rsidP="00082D36">
      <w:pPr>
        <w:ind w:firstLine="0"/>
      </w:pPr>
    </w:p>
    <w:p w14:paraId="64AEBA24" w14:textId="77777777" w:rsidR="00A7785B" w:rsidRDefault="00A7785B" w:rsidP="00082D36">
      <w:pPr>
        <w:ind w:firstLine="0"/>
      </w:pPr>
    </w:p>
    <w:p w14:paraId="5229514A" w14:textId="77777777" w:rsidR="00082D36" w:rsidRDefault="00082D36" w:rsidP="00082D36">
      <w:pPr>
        <w:ind w:firstLine="0"/>
      </w:pPr>
    </w:p>
    <w:p w14:paraId="162074BA" w14:textId="26D9A6AD" w:rsidR="00082D36" w:rsidRDefault="00082D36" w:rsidP="00082D36">
      <w:pPr>
        <w:pStyle w:val="Heading1"/>
        <w:numPr>
          <w:ilvl w:val="0"/>
          <w:numId w:val="2"/>
        </w:numPr>
      </w:pPr>
      <w:bookmarkStart w:id="1" w:name="_Toc127094438"/>
      <w:r>
        <w:t>Literature Review</w:t>
      </w:r>
      <w:bookmarkEnd w:id="1"/>
      <w:r>
        <w:t xml:space="preserve"> </w:t>
      </w:r>
    </w:p>
    <w:p w14:paraId="06DC021C" w14:textId="105DE6BE" w:rsidR="007C737F" w:rsidRPr="007C737F" w:rsidRDefault="007C737F" w:rsidP="007C737F">
      <w:pPr>
        <w:pStyle w:val="Firstparagraph"/>
        <w:numPr>
          <w:ilvl w:val="0"/>
          <w:numId w:val="20"/>
        </w:numPr>
      </w:pPr>
      <w:r>
        <w:t xml:space="preserve">Intro to method used, purpose and overall scope of found </w:t>
      </w:r>
      <w:r w:rsidR="006C5208">
        <w:t>literature.</w:t>
      </w:r>
    </w:p>
    <w:p w14:paraId="762ACC2C" w14:textId="77777777" w:rsidR="00082D36" w:rsidRDefault="00082D36" w:rsidP="00082D36">
      <w:pPr>
        <w:pStyle w:val="Heading2"/>
        <w:numPr>
          <w:ilvl w:val="0"/>
          <w:numId w:val="0"/>
        </w:numPr>
      </w:pPr>
    </w:p>
    <w:p w14:paraId="62E7B48F" w14:textId="77777777" w:rsidR="00082D36" w:rsidRDefault="00082D36" w:rsidP="00082D36">
      <w:pPr>
        <w:pStyle w:val="Heading2"/>
        <w:numPr>
          <w:ilvl w:val="1"/>
          <w:numId w:val="2"/>
        </w:numPr>
      </w:pPr>
      <w:bookmarkStart w:id="2" w:name="_Toc127094439"/>
      <w:r>
        <w:t>Spot Price Determinants</w:t>
      </w:r>
      <w:bookmarkEnd w:id="2"/>
      <w:r>
        <w:t xml:space="preserve"> </w:t>
      </w:r>
    </w:p>
    <w:p w14:paraId="6E06C676" w14:textId="77777777" w:rsidR="00082D36" w:rsidRDefault="00082D36" w:rsidP="00082D36">
      <w:r>
        <w:t xml:space="preserve">Several attempts to model and determine electricity spot price drivers has been made. In 2019 Mosquera-Lopez and </w:t>
      </w:r>
      <w:proofErr w:type="spellStart"/>
      <w:r>
        <w:t>Nursimulu</w:t>
      </w:r>
      <w:proofErr w:type="spellEnd"/>
      <w:r>
        <w:t xml:space="preserve"> defined several factors influencing electricity spot prices in the German market. Mosquera-Lopez and </w:t>
      </w:r>
      <w:proofErr w:type="spellStart"/>
      <w:r>
        <w:t>Nursimulu</w:t>
      </w:r>
      <w:proofErr w:type="spellEnd"/>
      <w:r>
        <w:t xml:space="preserve"> used a multivariate regression approach to detect linear and non-linear effects of electricity spot price drivers. Mosquera-Lopez and </w:t>
      </w:r>
      <w:proofErr w:type="spellStart"/>
      <w:r>
        <w:t>Nursimulu</w:t>
      </w:r>
      <w:proofErr w:type="spellEnd"/>
      <w:r>
        <w:t xml:space="preserve"> (2019) find that renewable infeed in terms of wind power and solar power at time </w:t>
      </w:r>
      <w:r>
        <w:rPr>
          <w:i/>
          <w:iCs/>
        </w:rPr>
        <w:t>t</w:t>
      </w:r>
      <w:r>
        <w:t xml:space="preserve"> has a time varying negative effect while demand has a positive effect on day-ahead spot prices. Mosquera-Lopez and </w:t>
      </w:r>
      <w:proofErr w:type="spellStart"/>
      <w:r>
        <w:t>Nursimulu</w:t>
      </w:r>
      <w:proofErr w:type="spellEnd"/>
      <w:r>
        <w:t xml:space="preserve"> also control for natural gas prices, coal prices and the European Emissions Allowances which they don’t find to be statistically significant. Mosquera-Lopez and </w:t>
      </w:r>
      <w:proofErr w:type="spellStart"/>
      <w:r>
        <w:t>Nursimulu</w:t>
      </w:r>
      <w:proofErr w:type="spellEnd"/>
      <w:r>
        <w:t xml:space="preserve"> (2019) also find seasonal patterns in spot prices as well as downward trend for prices between 2010-2016 with a trend reversal in 2017. </w:t>
      </w:r>
    </w:p>
    <w:p w14:paraId="14F88805" w14:textId="77777777" w:rsidR="00082D36" w:rsidRPr="00075918" w:rsidRDefault="00082D36" w:rsidP="00082D36">
      <w:proofErr w:type="spellStart"/>
      <w:r w:rsidRPr="00111B3B">
        <w:rPr>
          <w:lang w:val="da-DK"/>
        </w:rPr>
        <w:t>Tehrani</w:t>
      </w:r>
      <w:proofErr w:type="spellEnd"/>
      <w:r w:rsidRPr="00111B3B">
        <w:rPr>
          <w:lang w:val="da-DK"/>
        </w:rPr>
        <w:t xml:space="preserve"> et al. </w:t>
      </w:r>
      <w:r w:rsidRPr="00111B3B">
        <w:t xml:space="preserve">(2022) </w:t>
      </w:r>
      <w:r>
        <w:t xml:space="preserve">create hourly forecasts for Denmark, France, Germany, Italy, Spain and the United Kingdom. They control for past values of spot prices by testing different versions of ARIMA and GARCH models. They argue that the strong daily seasonality of spot prices causes periodic changes in the mean, making the series highly non-stationary. Thus, </w:t>
      </w:r>
      <w:proofErr w:type="spellStart"/>
      <w:r w:rsidRPr="00111B3B">
        <w:rPr>
          <w:lang w:val="da-DK"/>
        </w:rPr>
        <w:t>Tehrani</w:t>
      </w:r>
      <w:proofErr w:type="spellEnd"/>
      <w:r w:rsidRPr="00111B3B">
        <w:rPr>
          <w:lang w:val="da-DK"/>
        </w:rPr>
        <w:t xml:space="preserve"> et al.</w:t>
      </w:r>
      <w:r>
        <w:rPr>
          <w:lang w:val="da-DK"/>
        </w:rPr>
        <w:t xml:space="preserve"> </w:t>
      </w:r>
      <w:r>
        <w:t xml:space="preserve">concludes that prices are highly determined by social and economic activity causing daily, weekly, and annual price-cycles. </w:t>
      </w:r>
    </w:p>
    <w:p w14:paraId="1D86D1B4" w14:textId="77777777" w:rsidR="00082D36" w:rsidRDefault="00082D36" w:rsidP="00082D36"/>
    <w:p w14:paraId="5827AE78" w14:textId="77777777" w:rsidR="00082D36" w:rsidRPr="00111B3B" w:rsidRDefault="00082D36" w:rsidP="00082D36"/>
    <w:p w14:paraId="055D27C2" w14:textId="77777777" w:rsidR="00082D36" w:rsidRDefault="00082D36" w:rsidP="00082D36">
      <w:pPr>
        <w:pStyle w:val="Heading2"/>
        <w:numPr>
          <w:ilvl w:val="1"/>
          <w:numId w:val="2"/>
        </w:numPr>
      </w:pPr>
      <w:bookmarkStart w:id="3" w:name="_Toc127094440"/>
      <w:r>
        <w:t>Forecast Models</w:t>
      </w:r>
      <w:bookmarkEnd w:id="3"/>
      <w:r>
        <w:t xml:space="preserve"> </w:t>
      </w:r>
    </w:p>
    <w:p w14:paraId="61CB021C" w14:textId="77777777" w:rsidR="00082D36" w:rsidRDefault="00082D36" w:rsidP="00082D36">
      <w:pPr>
        <w:spacing w:before="240"/>
      </w:pPr>
      <w:bookmarkStart w:id="4" w:name="_Hlk127046017"/>
      <w:r>
        <w:t>Many approaches to model specifications have been attempted by researchers who forecast electricity prices. Previous different versions of ARIMA models were tested with satisfying results (</w:t>
      </w:r>
      <w:proofErr w:type="spellStart"/>
      <w:r>
        <w:t>krakastani</w:t>
      </w:r>
      <w:proofErr w:type="spellEnd"/>
      <w:r>
        <w:t xml:space="preserve"> and Bunn, 2008</w:t>
      </w:r>
      <w:r>
        <w:rPr>
          <w:i/>
          <w:iCs/>
        </w:rPr>
        <w:t xml:space="preserve"> </w:t>
      </w:r>
      <w:r>
        <w:t xml:space="preserve">and Zhou et al., 2004). </w:t>
      </w:r>
      <w:proofErr w:type="spellStart"/>
      <w:r>
        <w:t>Karakatsani</w:t>
      </w:r>
      <w:proofErr w:type="spellEnd"/>
      <w:r>
        <w:t xml:space="preserve"> and Bunn (2008) investigates models that consider time varying effects. </w:t>
      </w:r>
      <w:proofErr w:type="spellStart"/>
      <w:r>
        <w:t>Karakatsani</w:t>
      </w:r>
      <w:proofErr w:type="spellEnd"/>
      <w:r>
        <w:t xml:space="preserve"> and Bunn find that autoregressive models with time varying coefficients yield more accurate forecasts than autoregressive models with constant coefficient estimates. </w:t>
      </w:r>
      <w:proofErr w:type="gramStart"/>
      <w:r>
        <w:t>Generally</w:t>
      </w:r>
      <w:proofErr w:type="gramEnd"/>
      <w:r>
        <w:t xml:space="preserve"> many researchers emphasizes the time-varying dynamic of electricity prices (</w:t>
      </w:r>
      <w:r w:rsidRPr="00E760BD">
        <w:rPr>
          <w:i/>
          <w:iCs/>
        </w:rPr>
        <w:t>Zhou et al. (2019)</w:t>
      </w:r>
      <w:r w:rsidRPr="00E760BD">
        <w:t>,</w:t>
      </w:r>
      <w:r>
        <w:t xml:space="preserve"> </w:t>
      </w:r>
      <w:proofErr w:type="spellStart"/>
      <w:r w:rsidRPr="00E760BD">
        <w:rPr>
          <w:i/>
          <w:iCs/>
        </w:rPr>
        <w:t>Uniejewski</w:t>
      </w:r>
      <w:proofErr w:type="spellEnd"/>
      <w:r w:rsidRPr="00E760BD">
        <w:rPr>
          <w:i/>
          <w:iCs/>
        </w:rPr>
        <w:t xml:space="preserve"> and </w:t>
      </w:r>
      <w:proofErr w:type="spellStart"/>
      <w:r w:rsidRPr="00E760BD">
        <w:rPr>
          <w:i/>
          <w:iCs/>
        </w:rPr>
        <w:t>Weron</w:t>
      </w:r>
      <w:proofErr w:type="spellEnd"/>
      <w:r w:rsidRPr="00E760BD">
        <w:rPr>
          <w:i/>
          <w:iCs/>
        </w:rPr>
        <w:t xml:space="preserve"> (2008</w:t>
      </w:r>
      <w:r>
        <w:t xml:space="preserve">) and </w:t>
      </w:r>
      <w:proofErr w:type="spellStart"/>
      <w:r w:rsidRPr="00E760BD">
        <w:rPr>
          <w:i/>
          <w:iCs/>
          <w:lang w:val="da-DK"/>
        </w:rPr>
        <w:t>Tehrani</w:t>
      </w:r>
      <w:proofErr w:type="spellEnd"/>
      <w:r w:rsidRPr="00E760BD">
        <w:rPr>
          <w:i/>
          <w:iCs/>
          <w:lang w:val="da-DK"/>
        </w:rPr>
        <w:t xml:space="preserve"> et al. </w:t>
      </w:r>
      <w:r w:rsidRPr="00E760BD">
        <w:rPr>
          <w:i/>
          <w:iCs/>
        </w:rPr>
        <w:t>(2022)).</w:t>
      </w:r>
      <w:r>
        <w:rPr>
          <w:i/>
          <w:iCs/>
        </w:rPr>
        <w:t xml:space="preserve"> </w:t>
      </w:r>
      <w:proofErr w:type="spellStart"/>
      <w:r>
        <w:t>Karakatsani</w:t>
      </w:r>
      <w:proofErr w:type="spellEnd"/>
      <w:r>
        <w:t xml:space="preserve"> and Bunn also adjust to the fast-reverting spikes of unpredictable magnitude in price dynamics by testing a first order </w:t>
      </w:r>
      <w:proofErr w:type="spellStart"/>
      <w:r>
        <w:t>Markow</w:t>
      </w:r>
      <w:proofErr w:type="spellEnd"/>
      <w:r>
        <w:t xml:space="preserve">-Switching model which outperforms both Regression and Autoregressive models with time-varying coefficients. </w:t>
      </w:r>
    </w:p>
    <w:p w14:paraId="441CD4B2" w14:textId="77777777" w:rsidR="00082D36" w:rsidRDefault="00082D36" w:rsidP="00082D36">
      <w:pPr>
        <w:spacing w:before="240"/>
      </w:pPr>
      <w:r>
        <w:t xml:space="preserve">However, in more recent years more advanced machine learning models have been attempted – both in price forecast but also in feature selection. </w:t>
      </w:r>
      <w:proofErr w:type="spellStart"/>
      <w:r>
        <w:t>Uniejewski</w:t>
      </w:r>
      <w:proofErr w:type="spellEnd"/>
      <w:r>
        <w:t xml:space="preserve"> and </w:t>
      </w:r>
      <w:proofErr w:type="spellStart"/>
      <w:r>
        <w:t>Weron</w:t>
      </w:r>
      <w:proofErr w:type="spellEnd"/>
      <w:r>
        <w:t xml:space="preserve"> (2008) used a LASSO model to both select their features and provide predictions. LASSO regressions shrink the models features towards 0, constraining the model to rank its predictors and thereby put more emphasis on the most important features in its prediction. How much the features are shrunken is determine by the hyperparameter </w:t>
      </w:r>
      <m:oMath>
        <m:r>
          <w:rPr>
            <w:rFonts w:ascii="Cambria Math" w:hAnsi="Cambria Math"/>
          </w:rPr>
          <m:t>λ</m:t>
        </m:r>
      </m:oMath>
      <w:r>
        <w:t xml:space="preserve">. Uniejewski and Weron includes up to 346 features and find that the LASSO favors large datasets, thus outperforming datasets with fewer features. Even though LASSO usually only selects a subset of all variables, including more regressors significantly improves the accuracy of the obtained forecasts. </w:t>
      </w:r>
      <w:proofErr w:type="spellStart"/>
      <w:r>
        <w:t>Uniejewski</w:t>
      </w:r>
      <w:proofErr w:type="spellEnd"/>
      <w:r>
        <w:t xml:space="preserve"> and </w:t>
      </w:r>
      <w:proofErr w:type="spellStart"/>
      <w:r>
        <w:t>Weron</w:t>
      </w:r>
      <w:proofErr w:type="spellEnd"/>
      <w:r>
        <w:t xml:space="preserve"> also find that the shrinkage estimator is time varying according to time of the day.</w:t>
      </w:r>
    </w:p>
    <w:p w14:paraId="2118996B" w14:textId="77777777" w:rsidR="00082D36" w:rsidRDefault="00082D36" w:rsidP="00082D36">
      <w:pPr>
        <w:spacing w:before="240"/>
      </w:pPr>
      <w:r>
        <w:rPr>
          <w:lang w:val="da-DK"/>
        </w:rPr>
        <w:t xml:space="preserve">Zahid et al. </w:t>
      </w:r>
      <w:r>
        <w:t>(2019) provided a hybrid feature selection approach suing XG-</w:t>
      </w:r>
      <w:proofErr w:type="gramStart"/>
      <w:r>
        <w:t>Boost</w:t>
      </w:r>
      <w:proofErr w:type="gramEnd"/>
      <w:r>
        <w:t xml:space="preserve"> and Random Forest and Convolutional Neural Networks and enhanced Support Vector Machines to perform price forecasts benchmarked against their base model – a Random Forest. They vary their sample period to document the effect on sample size. Zahid et al. find that including a hybrid method of feature selection optimizes their performance metrics. Their final results indicates that (ECNN) and (ESVR) outperform their benchmark model (Random Forest) significantly and that using larger data sets (6000 samples) are only slightly better than using smaller data sets (2000 samples)</w:t>
      </w:r>
    </w:p>
    <w:p w14:paraId="47C24ECD" w14:textId="77777777" w:rsidR="00082D36" w:rsidRDefault="00082D36" w:rsidP="00082D36">
      <w:pPr>
        <w:spacing w:before="240"/>
      </w:pPr>
      <w:r>
        <w:t>In more recent years neural networks have been widely documented in electricity price forecasting – graph based neural networks (Sharma et al., 2022), feed forward neural networks (</w:t>
      </w:r>
      <w:proofErr w:type="spellStart"/>
      <w:r>
        <w:t>Karabiber</w:t>
      </w:r>
      <w:proofErr w:type="spellEnd"/>
      <w:r>
        <w:t xml:space="preserve"> and Xydis, 2019), Long-Short-Term-Memory neural networks (Zhou et al., 2019) and recurrent neural networks (Jiang and Hu, 2018). </w:t>
      </w:r>
      <w:proofErr w:type="spellStart"/>
      <w:r>
        <w:t>Karabiber</w:t>
      </w:r>
      <w:proofErr w:type="spellEnd"/>
      <w:r>
        <w:t xml:space="preserve"> and Xydis (2019) find that both ARIMA models and a feedforward neural network are superior in forecasting electricity prices compared to a naïve model. More interestingly, they find that the ARIMA model has the lowest mean error, and the neural network has the lowest maximum error. Moreover, </w:t>
      </w:r>
      <w:proofErr w:type="spellStart"/>
      <w:r>
        <w:t>Karabiber</w:t>
      </w:r>
      <w:proofErr w:type="spellEnd"/>
      <w:r>
        <w:t xml:space="preserve"> and Xydis find that forecasting based on simple averaging between their neural network and ARIMA model significantly improves the root mean squared error (RMSE) in their evaluation.</w:t>
      </w:r>
      <w:bookmarkEnd w:id="4"/>
    </w:p>
    <w:p w14:paraId="0455D968" w14:textId="77777777" w:rsidR="00082D36" w:rsidRDefault="00082D36" w:rsidP="00082D36">
      <w:pPr>
        <w:spacing w:before="240"/>
      </w:pPr>
    </w:p>
    <w:p w14:paraId="6C821078" w14:textId="77777777" w:rsidR="00082D36" w:rsidRDefault="00082D36" w:rsidP="00082D36">
      <w:pPr>
        <w:pStyle w:val="Heading2"/>
        <w:numPr>
          <w:ilvl w:val="1"/>
          <w:numId w:val="2"/>
        </w:numPr>
      </w:pPr>
      <w:bookmarkStart w:id="5" w:name="_Toc127094441"/>
      <w:r>
        <w:t>Literature Review summary</w:t>
      </w:r>
      <w:bookmarkEnd w:id="5"/>
      <w:r>
        <w:t xml:space="preserve"> </w:t>
      </w:r>
    </w:p>
    <w:p w14:paraId="7E20CD48" w14:textId="53FBF070" w:rsidR="00E125AE" w:rsidRDefault="006C5208" w:rsidP="006C5208">
      <w:pPr>
        <w:pStyle w:val="ListParagraph"/>
        <w:numPr>
          <w:ilvl w:val="0"/>
          <w:numId w:val="20"/>
        </w:numPr>
      </w:pPr>
      <w:r>
        <w:t>Sum up literature review. (10-15 lines)</w:t>
      </w:r>
    </w:p>
    <w:p w14:paraId="779E776A" w14:textId="77777777" w:rsidR="00E125AE" w:rsidRPr="00E125AE" w:rsidRDefault="00E125AE" w:rsidP="00E125AE">
      <w:pPr>
        <w:pStyle w:val="Firstparagraph"/>
      </w:pPr>
    </w:p>
    <w:sectPr w:rsidR="00E125AE" w:rsidRPr="00E125AE" w:rsidSect="008751CF">
      <w:footerReference w:type="default" r:id="rId9"/>
      <w:pgSz w:w="11906" w:h="16838" w:code="9"/>
      <w:pgMar w:top="2218" w:right="1440" w:bottom="2218" w:left="1440" w:header="1699" w:footer="169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3B3565" w14:textId="77777777" w:rsidR="00810CD5" w:rsidRDefault="00810CD5">
      <w:pPr>
        <w:spacing w:line="240" w:lineRule="auto"/>
      </w:pPr>
      <w:r>
        <w:separator/>
      </w:r>
    </w:p>
  </w:endnote>
  <w:endnote w:type="continuationSeparator" w:id="0">
    <w:p w14:paraId="49D81EFB" w14:textId="77777777" w:rsidR="00810CD5" w:rsidRDefault="00810CD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2C172E"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98203AC" w14:textId="77777777" w:rsidR="00E125AE" w:rsidRDefault="00E125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9ED82"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51D96825" w14:textId="77777777" w:rsidR="00E125AE" w:rsidRDefault="00E125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BC24037" w14:textId="77777777" w:rsidR="00810CD5" w:rsidRDefault="00810CD5">
      <w:pPr>
        <w:spacing w:line="240" w:lineRule="auto"/>
      </w:pPr>
      <w:r>
        <w:separator/>
      </w:r>
    </w:p>
  </w:footnote>
  <w:footnote w:type="continuationSeparator" w:id="0">
    <w:p w14:paraId="5E283E5E" w14:textId="77777777" w:rsidR="00810CD5" w:rsidRDefault="00810CD5">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4C1162F"/>
    <w:multiLevelType w:val="hybridMultilevel"/>
    <w:tmpl w:val="9488D364"/>
    <w:lvl w:ilvl="0" w:tplc="6484B282">
      <w:numFmt w:val="bullet"/>
      <w:lvlText w:val="-"/>
      <w:lvlJc w:val="left"/>
      <w:pPr>
        <w:ind w:left="720" w:hanging="360"/>
      </w:pPr>
      <w:rPr>
        <w:rFonts w:ascii="CMU Serif Roman" w:eastAsia="Times New Roman" w:hAnsi="CMU Serif Roman" w:cs="CMU Serif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3"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1728383679">
    <w:abstractNumId w:val="10"/>
  </w:num>
  <w:num w:numId="2" w16cid:durableId="182256056">
    <w:abstractNumId w:val="12"/>
  </w:num>
  <w:num w:numId="3" w16cid:durableId="1696729115">
    <w:abstractNumId w:val="13"/>
  </w:num>
  <w:num w:numId="4" w16cid:durableId="495614788">
    <w:abstractNumId w:val="5"/>
  </w:num>
  <w:num w:numId="5" w16cid:durableId="80683965">
    <w:abstractNumId w:val="9"/>
  </w:num>
  <w:num w:numId="6" w16cid:durableId="1855463001">
    <w:abstractNumId w:val="7"/>
  </w:num>
  <w:num w:numId="7" w16cid:durableId="883952066">
    <w:abstractNumId w:val="6"/>
  </w:num>
  <w:num w:numId="8" w16cid:durableId="1974289272">
    <w:abstractNumId w:val="4"/>
  </w:num>
  <w:num w:numId="9" w16cid:durableId="855462081">
    <w:abstractNumId w:val="8"/>
  </w:num>
  <w:num w:numId="10" w16cid:durableId="2052536192">
    <w:abstractNumId w:val="3"/>
  </w:num>
  <w:num w:numId="11" w16cid:durableId="1928348569">
    <w:abstractNumId w:val="2"/>
  </w:num>
  <w:num w:numId="12" w16cid:durableId="1001154766">
    <w:abstractNumId w:val="1"/>
  </w:num>
  <w:num w:numId="13" w16cid:durableId="641546993">
    <w:abstractNumId w:val="0"/>
  </w:num>
  <w:num w:numId="14" w16cid:durableId="767888126">
    <w:abstractNumId w:val="12"/>
  </w:num>
  <w:num w:numId="15" w16cid:durableId="452752906">
    <w:abstractNumId w:val="12"/>
  </w:num>
  <w:num w:numId="16" w16cid:durableId="1991446312">
    <w:abstractNumId w:val="12"/>
  </w:num>
  <w:num w:numId="17" w16cid:durableId="1822380693">
    <w:abstractNumId w:val="12"/>
  </w:num>
  <w:num w:numId="18" w16cid:durableId="1799257829">
    <w:abstractNumId w:val="12"/>
  </w:num>
  <w:num w:numId="19" w16cid:durableId="312418956">
    <w:abstractNumId w:val="12"/>
  </w:num>
  <w:num w:numId="20" w16cid:durableId="81109442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a-DK" w:vendorID="64" w:dllVersion="0" w:nlCheck="1" w:checkStyle="0"/>
  <w:proofState w:spelling="clean" w:grammar="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25AE"/>
    <w:rsid w:val="00082D36"/>
    <w:rsid w:val="000A5126"/>
    <w:rsid w:val="00103482"/>
    <w:rsid w:val="001E76D3"/>
    <w:rsid w:val="00226E4E"/>
    <w:rsid w:val="0039431A"/>
    <w:rsid w:val="00394C12"/>
    <w:rsid w:val="003A2A9F"/>
    <w:rsid w:val="003C77E1"/>
    <w:rsid w:val="005142DB"/>
    <w:rsid w:val="0058345B"/>
    <w:rsid w:val="005A05FA"/>
    <w:rsid w:val="005B591B"/>
    <w:rsid w:val="0069240A"/>
    <w:rsid w:val="006C5208"/>
    <w:rsid w:val="006D702A"/>
    <w:rsid w:val="00737FBF"/>
    <w:rsid w:val="00761480"/>
    <w:rsid w:val="007C737F"/>
    <w:rsid w:val="00810CD5"/>
    <w:rsid w:val="00811330"/>
    <w:rsid w:val="008751CF"/>
    <w:rsid w:val="00893E70"/>
    <w:rsid w:val="00917FDF"/>
    <w:rsid w:val="00934289"/>
    <w:rsid w:val="0094365D"/>
    <w:rsid w:val="009555C8"/>
    <w:rsid w:val="009D2176"/>
    <w:rsid w:val="009F152B"/>
    <w:rsid w:val="009F4E00"/>
    <w:rsid w:val="00A27F24"/>
    <w:rsid w:val="00A7785B"/>
    <w:rsid w:val="00AD0F2C"/>
    <w:rsid w:val="00B34DB1"/>
    <w:rsid w:val="00BE49F9"/>
    <w:rsid w:val="00C81E56"/>
    <w:rsid w:val="00D14C58"/>
    <w:rsid w:val="00D87AFE"/>
    <w:rsid w:val="00DC4CC0"/>
    <w:rsid w:val="00DD4E5A"/>
    <w:rsid w:val="00E125AE"/>
    <w:rsid w:val="00E92A4E"/>
    <w:rsid w:val="00ED5FB5"/>
    <w:rsid w:val="00F603E4"/>
    <w:rsid w:val="00F61A29"/>
    <w:rsid w:val="00F71878"/>
    <w:rsid w:val="00FD1697"/>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1D8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5" w:semiHidden="1" w:unhideWhenUsed="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34DB1"/>
    <w:pPr>
      <w:spacing w:line="312" w:lineRule="auto"/>
      <w:ind w:firstLine="340"/>
      <w:jc w:val="both"/>
    </w:pPr>
    <w:rPr>
      <w:rFonts w:ascii="CMU Serif Roman" w:hAnsi="CMU Serif Roman"/>
      <w:sz w:val="21"/>
      <w:szCs w:val="24"/>
      <w:lang w:val="en-GB" w:eastAsia="en-US"/>
    </w:rPr>
  </w:style>
  <w:style w:type="paragraph" w:styleId="Heading1">
    <w:name w:val="heading 1"/>
    <w:basedOn w:val="Normal"/>
    <w:next w:val="Firstparagraph"/>
    <w:link w:val="Heading1Char"/>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link w:val="Heading2Char"/>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pPr>
      <w:ind w:firstLine="0"/>
    </w:pPr>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uiPriority w:val="10"/>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character" w:styleId="Hyperlink">
    <w:name w:val="Hyperlink"/>
    <w:basedOn w:val="DefaultParagraphFont"/>
    <w:uiPriority w:val="99"/>
    <w:semiHidden/>
    <w:unhideWhenUsed/>
    <w:rsid w:val="00C81E56"/>
    <w:rPr>
      <w:color w:val="0000FF"/>
      <w:u w:val="single"/>
    </w:rPr>
  </w:style>
  <w:style w:type="character" w:customStyle="1" w:styleId="Heading1Char">
    <w:name w:val="Heading 1 Char"/>
    <w:basedOn w:val="DefaultParagraphFont"/>
    <w:link w:val="Heading1"/>
    <w:rsid w:val="00082D36"/>
    <w:rPr>
      <w:rFonts w:ascii="CMU Serif Roman" w:hAnsi="CMU Serif Roman" w:cs="Arial"/>
      <w:b/>
      <w:bCs/>
      <w:sz w:val="28"/>
      <w:szCs w:val="32"/>
      <w:lang w:val="en-GB" w:eastAsia="en-US"/>
    </w:rPr>
  </w:style>
  <w:style w:type="character" w:customStyle="1" w:styleId="Heading2Char">
    <w:name w:val="Heading 2 Char"/>
    <w:basedOn w:val="DefaultParagraphFont"/>
    <w:link w:val="Heading2"/>
    <w:rsid w:val="00082D36"/>
    <w:rPr>
      <w:rFonts w:ascii="CMU Serif Roman" w:hAnsi="CMU Serif Roman" w:cs="Arial"/>
      <w:b/>
      <w:bCs/>
      <w:iCs/>
      <w:sz w:val="24"/>
      <w:szCs w:val="28"/>
      <w:lang w:val="en-GB" w:eastAsia="en-US"/>
    </w:rPr>
  </w:style>
  <w:style w:type="paragraph" w:styleId="ListParagraph">
    <w:name w:val="List Paragraph"/>
    <w:basedOn w:val="Normal"/>
    <w:uiPriority w:val="34"/>
    <w:qFormat/>
    <w:rsid w:val="006C520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7278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LaTex-template (1)</Template>
  <TotalTime>724</TotalTime>
  <Pages>5</Pages>
  <Words>1460</Words>
  <Characters>8237</Characters>
  <Application>Microsoft Office Word</Application>
  <DocSecurity>0</DocSecurity>
  <Lines>130</Lines>
  <Paragraphs>29</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Introduction</vt:lpstr>
      <vt:lpstr>The Marketplace </vt:lpstr>
      <vt:lpstr>    Market Structure </vt:lpstr>
      <vt:lpstr>Literature Review </vt:lpstr>
      <vt:lpstr>    </vt:lpstr>
      <vt:lpstr>    Spot Price Determinants </vt:lpstr>
      <vt:lpstr>    Forecast Models </vt:lpstr>
      <vt:lpstr>    Literature Review summary </vt:lpstr>
    </vt:vector>
  </TitlesOfParts>
  <Company/>
  <LinksUpToDate>false</LinksUpToDate>
  <CharactersWithSpaces>9668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Nilsson</dc:creator>
  <cp:keywords/>
  <dc:description/>
  <cp:lastModifiedBy>Søren Godbersen</cp:lastModifiedBy>
  <cp:revision>2</cp:revision>
  <cp:lastPrinted>2001-05-04T20:36:00Z</cp:lastPrinted>
  <dcterms:created xsi:type="dcterms:W3CDTF">2023-02-17T09:49:00Z</dcterms:created>
  <dcterms:modified xsi:type="dcterms:W3CDTF">2023-02-17T09:49:00Z</dcterms:modified>
</cp:coreProperties>
</file>