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60"/>
        <w:widowControl/>
      </w:pPr>
      <w:r>
        <w:rPr>
          <w:rFonts w:ascii="Arial" w:hAnsi="Arial"/>
          <w:b/>
          <w:color w:val="186996"/>
          <w:sz w:val="18"/>
        </w:rPr>
        <w:t>DECISÃO NORMATIVA</w:t>
      </w:r>
    </w:p>
    <w:p>
      <w:pPr>
        <w:pStyle w:val="Title"/>
        <w:widowControl/>
      </w:pPr>
      <w:r>
        <w:t>DOM Scriptless Contracts</w:t>
        <w:br/>
        <w:t>Adendo P1 — UX/DevEx e Gate G-UX1</w:t>
      </w:r>
    </w:p>
    <w:p>
      <w:pPr>
        <w:pStyle w:val="Subtitle"/>
        <w:widowControl/>
      </w:pPr>
      <w:r>
        <w:t>Abstração obrigatória da interatividade criptográfica e experiência operacional de produção</w:t>
      </w:r>
    </w:p>
    <w:tbl>
      <w:tblPr>
        <w:tblStyle w:val="TableGrid"/>
        <w:tblW w:type="dxa" w:w="9360"/>
        <w:jc w:val="left"/>
        <w:tblLayout w:type="fixed"/>
        <w:tblLook w:firstColumn="1" w:firstRow="1" w:lastColumn="0" w:lastRow="0" w:noHBand="0" w:noVBand="1" w:val="04A0"/>
        <w:tblInd w:w="120" w:type="dxa"/>
      </w:tblPr>
      <w:tblGrid>
        <w:gridCol w:w="1750"/>
        <w:gridCol w:w="7610"/>
      </w:tblGrid>
      <w:tr>
        <w:trPr>
          <w:tblHeader w:val="true"/>
        </w:trPr>
        <w:tc>
          <w:tcPr>
            <w:tcW w:type="dxa" w:w="1750"/>
            <w:shd w:fill="19344D"/>
            <w:vAlign w:val="center"/>
            <w:tcMar>
              <w:top w:w="90" w:type="dxa"/>
              <w:start w:w="120" w:type="dxa"/>
              <w:bottom w:w="90" w:type="dxa"/>
              <w:end w:w="120" w:type="dxa"/>
            </w:tcMar>
          </w:tcPr>
          <w:p>
            <w:pPr>
              <w:spacing w:after="0" w:line="252" w:lineRule="auto"/>
            </w:pPr>
            <w:r>
              <w:rPr>
                <w:rFonts w:ascii="Arial" w:hAnsi="Arial"/>
                <w:b/>
                <w:color w:val="FFFFFF"/>
                <w:sz w:val="17"/>
              </w:rPr>
              <w:t>Campo</w:t>
            </w:r>
          </w:p>
        </w:tc>
        <w:tc>
          <w:tcPr>
            <w:tcW w:type="dxa" w:w="7610"/>
            <w:shd w:fill="19344D"/>
            <w:vAlign w:val="center"/>
            <w:tcMar>
              <w:top w:w="90" w:type="dxa"/>
              <w:start w:w="120" w:type="dxa"/>
              <w:bottom w:w="90" w:type="dxa"/>
              <w:end w:w="120" w:type="dxa"/>
            </w:tcMar>
          </w:tcPr>
          <w:p>
            <w:pPr>
              <w:spacing w:after="0" w:line="252" w:lineRule="auto"/>
            </w:pPr>
            <w:r>
              <w:rPr>
                <w:rFonts w:ascii="Arial" w:hAnsi="Arial"/>
                <w:b/>
                <w:color w:val="FFFFFF"/>
                <w:sz w:val="17"/>
              </w:rPr>
              <w:t>Valor</w:t>
            </w:r>
          </w:p>
        </w:tc>
      </w:tr>
      <w:tr>
        <w:tc>
          <w:tcPr>
            <w:tcW w:type="dxa" w:w="1750"/>
            <w:vAlign w:val="center"/>
            <w:tcMar>
              <w:top w:w="90" w:type="dxa"/>
              <w:start w:w="120" w:type="dxa"/>
              <w:bottom w:w="90" w:type="dxa"/>
              <w:end w:w="120" w:type="dxa"/>
            </w:tcMar>
          </w:tcPr>
          <w:p>
            <w:pPr>
              <w:spacing w:after="0" w:line="252" w:lineRule="auto"/>
            </w:pPr>
            <w:r>
              <w:rPr>
                <w:rFonts w:ascii="Arial" w:hAnsi="Arial"/>
                <w:color w:val="181D22"/>
                <w:sz w:val="17"/>
              </w:rPr>
              <w:t>Documento</w:t>
            </w:r>
          </w:p>
        </w:tc>
        <w:tc>
          <w:tcPr>
            <w:tcW w:type="dxa" w:w="7610"/>
            <w:vAlign w:val="center"/>
            <w:tcMar>
              <w:top w:w="90" w:type="dxa"/>
              <w:start w:w="120" w:type="dxa"/>
              <w:bottom w:w="90" w:type="dxa"/>
              <w:end w:w="120" w:type="dxa"/>
            </w:tcMar>
          </w:tcPr>
          <w:p>
            <w:pPr>
              <w:spacing w:after="0" w:line="252" w:lineRule="auto"/>
            </w:pPr>
            <w:r>
              <w:rPr>
                <w:rFonts w:ascii="Arial" w:hAnsi="Arial"/>
                <w:color w:val="181D22"/>
                <w:sz w:val="17"/>
              </w:rPr>
              <w:t>Adendo normativo de arquitetura, produto e critérios de lançamento</w:t>
            </w:r>
          </w:p>
        </w:tc>
      </w:tr>
      <w:tr>
        <w:tc>
          <w:tcPr>
            <w:tcW w:type="dxa" w:w="1750"/>
            <w:shd w:fill="F5F7F9"/>
            <w:vAlign w:val="center"/>
            <w:tcMar>
              <w:top w:w="90" w:type="dxa"/>
              <w:start w:w="120" w:type="dxa"/>
              <w:bottom w:w="90" w:type="dxa"/>
              <w:end w:w="120" w:type="dxa"/>
            </w:tcMar>
          </w:tcPr>
          <w:p>
            <w:pPr>
              <w:spacing w:after="0" w:line="252" w:lineRule="auto"/>
            </w:pPr>
            <w:r>
              <w:rPr>
                <w:rFonts w:ascii="Arial" w:hAnsi="Arial"/>
                <w:color w:val="181D22"/>
                <w:sz w:val="17"/>
              </w:rPr>
              <w:t>Versão</w:t>
            </w:r>
          </w:p>
        </w:tc>
        <w:tc>
          <w:tcPr>
            <w:tcW w:type="dxa" w:w="7610"/>
            <w:shd w:fill="F5F7F9"/>
            <w:vAlign w:val="center"/>
            <w:tcMar>
              <w:top w:w="90" w:type="dxa"/>
              <w:start w:w="120" w:type="dxa"/>
              <w:bottom w:w="90" w:type="dxa"/>
              <w:end w:w="120" w:type="dxa"/>
            </w:tcMar>
          </w:tcPr>
          <w:p>
            <w:pPr>
              <w:spacing w:after="0" w:line="252" w:lineRule="auto"/>
            </w:pPr>
            <w:r>
              <w:rPr>
                <w:rFonts w:ascii="Arial" w:hAnsi="Arial"/>
                <w:color w:val="181D22"/>
                <w:sz w:val="17"/>
              </w:rPr>
              <w:t>1.0</w:t>
            </w:r>
          </w:p>
        </w:tc>
      </w:tr>
      <w:tr>
        <w:tc>
          <w:tcPr>
            <w:tcW w:type="dxa" w:w="1750"/>
            <w:vAlign w:val="center"/>
            <w:tcMar>
              <w:top w:w="90" w:type="dxa"/>
              <w:start w:w="120" w:type="dxa"/>
              <w:bottom w:w="90" w:type="dxa"/>
              <w:end w:w="120" w:type="dxa"/>
            </w:tcMar>
          </w:tcPr>
          <w:p>
            <w:pPr>
              <w:spacing w:after="0" w:line="252" w:lineRule="auto"/>
            </w:pPr>
            <w:r>
              <w:rPr>
                <w:rFonts w:ascii="Arial" w:hAnsi="Arial"/>
                <w:color w:val="181D22"/>
                <w:sz w:val="17"/>
              </w:rPr>
              <w:t>Data-base</w:t>
            </w:r>
          </w:p>
        </w:tc>
        <w:tc>
          <w:tcPr>
            <w:tcW w:type="dxa" w:w="7610"/>
            <w:vAlign w:val="center"/>
            <w:tcMar>
              <w:top w:w="90" w:type="dxa"/>
              <w:start w:w="120" w:type="dxa"/>
              <w:bottom w:w="90" w:type="dxa"/>
              <w:end w:w="120" w:type="dxa"/>
            </w:tcMar>
          </w:tcPr>
          <w:p>
            <w:pPr>
              <w:spacing w:after="0" w:line="252" w:lineRule="auto"/>
            </w:pPr>
            <w:r>
              <w:rPr>
                <w:rFonts w:ascii="Arial" w:hAnsi="Arial"/>
                <w:color w:val="181D22"/>
                <w:sz w:val="17"/>
              </w:rPr>
              <w:t>5 de agosto de 2026</w:t>
            </w:r>
          </w:p>
        </w:tc>
      </w:tr>
      <w:tr>
        <w:tc>
          <w:tcPr>
            <w:tcW w:type="dxa" w:w="1750"/>
            <w:shd w:fill="F5F7F9"/>
            <w:vAlign w:val="center"/>
            <w:tcMar>
              <w:top w:w="90" w:type="dxa"/>
              <w:start w:w="120" w:type="dxa"/>
              <w:bottom w:w="90" w:type="dxa"/>
              <w:end w:w="120" w:type="dxa"/>
            </w:tcMar>
          </w:tcPr>
          <w:p>
            <w:pPr>
              <w:spacing w:after="0" w:line="252" w:lineRule="auto"/>
            </w:pPr>
            <w:r>
              <w:rPr>
                <w:rFonts w:ascii="Arial" w:hAnsi="Arial"/>
                <w:color w:val="181D22"/>
                <w:sz w:val="17"/>
              </w:rPr>
              <w:t>Status</w:t>
            </w:r>
          </w:p>
        </w:tc>
        <w:tc>
          <w:tcPr>
            <w:tcW w:type="dxa" w:w="7610"/>
            <w:shd w:fill="F5F7F9"/>
            <w:vAlign w:val="center"/>
            <w:tcMar>
              <w:top w:w="90" w:type="dxa"/>
              <w:start w:w="120" w:type="dxa"/>
              <w:bottom w:w="90" w:type="dxa"/>
              <w:end w:w="120" w:type="dxa"/>
            </w:tcMar>
          </w:tcPr>
          <w:p>
            <w:pPr>
              <w:spacing w:after="0" w:line="252" w:lineRule="auto"/>
            </w:pPr>
            <w:r>
              <w:rPr>
                <w:rFonts w:ascii="Arial" w:hAnsi="Arial"/>
                <w:color w:val="181D22"/>
                <w:sz w:val="17"/>
              </w:rPr>
              <w:t>DECISÃO APROVADA — requisitos novos ainda dependem de incorporação e implementação</w:t>
            </w:r>
          </w:p>
        </w:tc>
      </w:tr>
      <w:tr>
        <w:tc>
          <w:tcPr>
            <w:tcW w:type="dxa" w:w="1750"/>
            <w:vAlign w:val="center"/>
            <w:tcMar>
              <w:top w:w="90" w:type="dxa"/>
              <w:start w:w="120" w:type="dxa"/>
              <w:bottom w:w="90" w:type="dxa"/>
              <w:end w:w="120" w:type="dxa"/>
            </w:tcMar>
          </w:tcPr>
          <w:p>
            <w:pPr>
              <w:spacing w:after="0" w:line="252" w:lineRule="auto"/>
            </w:pPr>
            <w:r>
              <w:rPr>
                <w:rFonts w:ascii="Arial" w:hAnsi="Arial"/>
                <w:color w:val="181D22"/>
                <w:sz w:val="17"/>
              </w:rPr>
              <w:t>Prioridade</w:t>
            </w:r>
          </w:p>
        </w:tc>
        <w:tc>
          <w:tcPr>
            <w:tcW w:type="dxa" w:w="7610"/>
            <w:vAlign w:val="center"/>
            <w:tcMar>
              <w:top w:w="90" w:type="dxa"/>
              <w:start w:w="120" w:type="dxa"/>
              <w:bottom w:w="90" w:type="dxa"/>
              <w:end w:w="120" w:type="dxa"/>
            </w:tcMar>
          </w:tcPr>
          <w:p>
            <w:pPr>
              <w:spacing w:after="0" w:line="252" w:lineRule="auto"/>
            </w:pPr>
            <w:r>
              <w:rPr>
                <w:rFonts w:ascii="Arial" w:hAnsi="Arial"/>
                <w:color w:val="181D22"/>
                <w:sz w:val="17"/>
              </w:rPr>
              <w:t>P1 — STOP-SHIP para qualquer release de produção do DOM Contracts</w:t>
            </w:r>
          </w:p>
        </w:tc>
      </w:tr>
      <w:tr>
        <w:tc>
          <w:tcPr>
            <w:tcW w:type="dxa" w:w="1750"/>
            <w:shd w:fill="F5F7F9"/>
            <w:vAlign w:val="center"/>
            <w:tcMar>
              <w:top w:w="90" w:type="dxa"/>
              <w:start w:w="120" w:type="dxa"/>
              <w:bottom w:w="90" w:type="dxa"/>
              <w:end w:w="120" w:type="dxa"/>
            </w:tcMar>
          </w:tcPr>
          <w:p>
            <w:pPr>
              <w:spacing w:after="0" w:line="252" w:lineRule="auto"/>
            </w:pPr>
            <w:r>
              <w:rPr>
                <w:rFonts w:ascii="Arial" w:hAnsi="Arial"/>
                <w:color w:val="181D22"/>
                <w:sz w:val="17"/>
              </w:rPr>
              <w:t>Documentos afetados</w:t>
            </w:r>
          </w:p>
        </w:tc>
        <w:tc>
          <w:tcPr>
            <w:tcW w:type="dxa" w:w="7610"/>
            <w:shd w:fill="F5F7F9"/>
            <w:vAlign w:val="center"/>
            <w:tcMar>
              <w:top w:w="90" w:type="dxa"/>
              <w:start w:w="120" w:type="dxa"/>
              <w:bottom w:w="90" w:type="dxa"/>
              <w:end w:w="120" w:type="dxa"/>
            </w:tcMar>
          </w:tcPr>
          <w:p>
            <w:pPr>
              <w:spacing w:after="0" w:line="252" w:lineRule="auto"/>
            </w:pPr>
            <w:r>
              <w:rPr>
                <w:rFonts w:ascii="Arial" w:hAnsi="Arial"/>
                <w:color w:val="181D22"/>
                <w:sz w:val="17"/>
              </w:rPr>
              <w:t>Especificação Mestra v1.0; Cronograma de Implementação v1; Relatório Consolidado v1</w:t>
            </w:r>
          </w:p>
        </w:tc>
      </w:tr>
    </w:tbl>
    <w:p>
      <w:pPr>
        <w:spacing w:after="20"/>
        <w:widowControl/>
      </w:pPr>
    </w:p>
    <w:p>
      <w:pPr>
        <w:spacing w:before="80" w:after="160" w:line="269" w:lineRule="auto"/>
        <w:ind w:left="202" w:right="202"/>
        <w:shd w:fill="EAF2F7"/>
        <w:pBdr>
          <w:left w:val="single" w:sz="18" w:space="8" w:color="186996"/>
        </w:pBdr>
        <w:widowControl/>
      </w:pPr>
      <w:r>
        <w:rPr>
          <w:rFonts w:ascii="Arial" w:hAnsi="Arial"/>
          <w:b/>
          <w:color w:val="19344D"/>
        </w:rPr>
        <w:t xml:space="preserve">DECISÃO CENTRAL. </w:t>
      </w:r>
      <w:r>
        <w:rPr>
          <w:rFonts w:ascii="Arial" w:hAnsi="Arial"/>
          <w:color w:val="181D22"/>
        </w:rPr>
        <w:t>A complexidade criptográfica pertence ao toolkit DOM Scriptless, à wallet e aos serviços não custodiais de coordenação. O usuário aprova os termos econômicos; o motor executa, persiste, monitora e recupera a operação. Nenhum release de produção será autorizado sem aprovação do gate G-UX1.</w:t>
      </w:r>
    </w:p>
    <w:p>
      <w:pPr>
        <w:pStyle w:val="Heading1"/>
        <w:widowControl/>
      </w:pPr>
      <w:r>
        <w:t>1. Finalidade e efeito normativo</w:t>
      </w:r>
    </w:p>
    <w:p>
      <w:pPr>
        <w:widowControl/>
      </w:pPr>
      <w:r>
        <w:t>Este adendo formaliza a decisão de classificar a simplicidade de uso e integração como requisito de segurança operacional de prioridade P1. Ele complementa — e não substitui — a Especificação Mestra, o Cronograma de Implementação e o Relatório Consolidado do programa DOM Scriptless Contracts.</w:t>
      </w:r>
    </w:p>
    <w:p>
      <w:pPr>
        <w:widowControl/>
      </w:pPr>
      <w:r>
        <w:t>Em caso de divergência sobre UX/DevEx, API pública, autorização do usuário, automação operacional ou critérios de lançamento, prevalecem as exigências mais restritivas entre este adendo e os documentos-base. Nenhuma disposição deste texto altera consenso, formatos on-chain, primitivas criptográficas ou o escopo V1 estrito de 2-de-2.</w:t>
      </w:r>
    </w:p>
    <w:p>
      <w:pPr>
        <w:widowControl/>
      </w:pPr>
      <w:r>
        <w:t>A aprovação desta decisão não significa que todos os requisitos aqui definidos estejam implementados. O status de implementação continuará sendo demonstrado por evidência commit-bound, testes reproduzíveis e gates formais.</w:t>
      </w:r>
    </w:p>
    <w:p>
      <w:pPr>
        <w:pStyle w:val="Heading1"/>
        <w:widowControl/>
      </w:pPr>
      <w:r>
        <w:t>2. Princípios obrigatórios</w:t>
      </w:r>
    </w:p>
    <w:p>
      <w:pPr>
        <w:pStyle w:val="ListBullet"/>
        <w:widowControl/>
      </w:pPr>
      <w:r>
        <w:t>Abstração por intenção: a API pública recebe objetivos econômicos; não reproduz as rodadas internas do protocolo.</w:t>
      </w:r>
    </w:p>
    <w:p>
      <w:pPr>
        <w:pStyle w:val="ListBullet"/>
        <w:widowControl/>
      </w:pPr>
      <w:r>
        <w:t>Consentimento econômico explícito: a simplicidade da interface não pode ocultar valores, taxas, prazos, solver, condições de refund ou pior resultado possível.</w:t>
      </w:r>
    </w:p>
    <w:p>
      <w:pPr>
        <w:pStyle w:val="ListBullet"/>
        <w:widowControl/>
      </w:pPr>
      <w:r>
        <w:t>Uma aprovação no caminho normal: retries idempotentes, retomadas e retransmissões byte-idênticas não exigem nova confirmação.</w:t>
      </w:r>
    </w:p>
    <w:p>
      <w:pPr>
        <w:pStyle w:val="ListBullet"/>
        <w:widowControl/>
      </w:pPr>
      <w:r>
        <w:t>Persistência antes do efeito externo: qualquer artefato irreversível é persistido e sincronizado antes de ser transmitido ou usado para autorizar funding.</w:t>
      </w:r>
    </w:p>
    <w:p>
      <w:pPr>
        <w:pStyle w:val="ListBullet"/>
        <w:widowControl/>
      </w:pPr>
      <w:r>
        <w:t>Automação segura: monitoramento, reorg, claim, refund, fee handling dentro dos limites autorizados e recuperação após crash pertencem ao motor.</w:t>
      </w:r>
    </w:p>
    <w:p>
      <w:pPr>
        <w:pStyle w:val="ListBullet"/>
        <w:widowControl/>
      </w:pPr>
      <w:r>
        <w:t>Keystone não custodial e substituível: indisponibilidade do coordenador não pode causar perda de fundos nem impedir refund válido.</w:t>
      </w:r>
    </w:p>
    <w:p>
      <w:pPr>
        <w:pStyle w:val="ListBullet"/>
        <w:widowControl/>
      </w:pPr>
      <w:r>
        <w:t>Falha fechada: incerteza criptográfica, corrupção, equivocation ou estado ambíguo bloqueiam novas assinaturas e preservam evidências.</w:t>
      </w:r>
    </w:p>
    <w:p>
      <w:pPr>
        <w:pStyle w:val="ListBullet"/>
        <w:widowControl/>
      </w:pPr>
      <w:r>
        <w:t>Diagnóstico sem vazamento: eventos e erros públicos não expõem nonces, shares, adaptor points, commitments, transcript hashes ou bytes sensíveis.</w:t>
      </w:r>
    </w:p>
    <w:p>
      <w:pPr>
        <w:pStyle w:val="Heading1"/>
        <w:widowControl/>
      </w:pPr>
      <w:r>
        <w:t>3. Experiência mínima do usuário</w:t>
      </w:r>
    </w:p>
    <w:p>
      <w:pPr>
        <w:widowControl/>
      </w:pPr>
      <w:r>
        <w:t>No fluxo normal, a interação humana DEVE ser limitada às seguintes decisões:</w:t>
      </w:r>
    </w:p>
    <w:p>
      <w:pPr>
        <w:pStyle w:val="ListNumber"/>
        <w:widowControl/>
      </w:pPr>
      <w:r>
        <w:t>Revisar a cotação e os termos econômicos.</w:t>
      </w:r>
    </w:p>
    <w:p>
      <w:pPr>
        <w:pStyle w:val="ListNumber"/>
        <w:widowControl/>
      </w:pPr>
      <w:r>
        <w:t>Aprovar ou rejeitar a operação.</w:t>
      </w:r>
    </w:p>
    <w:p>
      <w:pPr>
        <w:pStyle w:val="ListNumber"/>
        <w:widowControl/>
      </w:pPr>
      <w:r>
        <w:t>Acompanhar o resultado em estados compreensíveis.</w:t>
      </w:r>
    </w:p>
    <w:p>
      <w:pPr>
        <w:widowControl/>
      </w:pPr>
      <w:r>
        <w:t>A tela de aprovação DEVE exibir, no mínimo:</w:t>
      </w:r>
    </w:p>
    <w:p>
      <w:pPr>
        <w:pStyle w:val="ListBullet"/>
        <w:widowControl/>
      </w:pPr>
      <w:r>
        <w:t>ativo e valor enviados;</w:t>
      </w:r>
    </w:p>
    <w:p>
      <w:pPr>
        <w:pStyle w:val="ListBullet"/>
        <w:widowControl/>
      </w:pPr>
      <w:r>
        <w:t>ativo e valor mínimo esperado;</w:t>
      </w:r>
    </w:p>
    <w:p>
      <w:pPr>
        <w:pStyle w:val="ListBullet"/>
        <w:widowControl/>
      </w:pPr>
      <w:r>
        <w:t>preço, spread e taxas totais ou seus tetos;</w:t>
      </w:r>
    </w:p>
    <w:p>
      <w:pPr>
        <w:pStyle w:val="ListBullet"/>
        <w:widowControl/>
      </w:pPr>
      <w:r>
        <w:t>identidade ou referência do solver, quando aplicável;</w:t>
      </w:r>
    </w:p>
    <w:p>
      <w:pPr>
        <w:pStyle w:val="ListBullet"/>
        <w:widowControl/>
      </w:pPr>
      <w:r>
        <w:t>tempo estimado e prazo máximo de recuperação;</w:t>
      </w:r>
    </w:p>
    <w:p>
      <w:pPr>
        <w:pStyle w:val="ListBullet"/>
        <w:widowControl/>
      </w:pPr>
      <w:r>
        <w:t>condições de claim e refund em linguagem clara;</w:t>
      </w:r>
    </w:p>
    <w:p>
      <w:pPr>
        <w:pStyle w:val="ListBullet"/>
        <w:widowControl/>
      </w:pPr>
      <w:r>
        <w:t>pior resultado possível dentro do modelo: liquidação, refund ou ação de recuperação explicitamente indicada.</w:t>
      </w:r>
    </w:p>
    <w:p>
      <w:pPr>
        <w:widowControl/>
      </w:pPr>
      <w:r>
        <w:t>A interface NÃO DEVE exigir que o usuário compreenda ou confirme commitments, shares, nonces, rounds de Bulletproof, adaptor points, transcript hashes, cálculo de timelocks, retransmissões, reorgs ou checkpoints internos.</w:t>
      </w:r>
    </w:p>
    <w:p>
      <w:pPr>
        <w:pStyle w:val="Heading1"/>
        <w:widowControl/>
      </w:pPr>
      <w:r>
        <w:t>4. Autorização única vinculada aos termos</w:t>
      </w:r>
    </w:p>
    <w:p>
      <w:pPr>
        <w:widowControl/>
      </w:pPr>
      <w:r>
        <w:t>A autorização do usuário DEVE ser específica para a sessão e vinculada criptograficamente ao hash dos termos finais. Ela somente autoriza ações dentro dos limites exibidos e aceitos.</w:t>
      </w:r>
    </w:p>
    <w:p>
      <w:pPr>
        <w:pStyle w:val="CodeBlock"/>
        <w:widowControl/>
      </w:pPr>
      <w:r>
        <w:t>SettlementApproval {</w:t>
        <w:br/>
        <w:t xml:space="preserve">  session_id, terms_hash, sell, receive_minimum,</w:t>
        <w:br/>
        <w:t xml:space="preserve">  maximum_total_fee, maximum_refund_deadline,</w:t>
        <w:br/>
        <w:t xml:space="preserve">  solver_identity, payout_commitments, policy_version</w:t>
        <w:br/>
        <w:t>}</w:t>
      </w:r>
    </w:p>
    <w:p>
      <w:pPr>
        <w:widowControl/>
      </w:pPr>
      <w:r>
        <w:t>Qualquer mudança material invalida a autorização e exige nova aprovação. Mudanças materiais incluem:</w:t>
      </w:r>
    </w:p>
    <w:p>
      <w:pPr>
        <w:pStyle w:val="ListBullet"/>
        <w:widowControl/>
      </w:pPr>
      <w:r>
        <w:t>ativo ou valor;</w:t>
      </w:r>
    </w:p>
    <w:p>
      <w:pPr>
        <w:pStyle w:val="ListBullet"/>
        <w:widowControl/>
      </w:pPr>
      <w:r>
        <w:t>mínimo a receber;</w:t>
      </w:r>
    </w:p>
    <w:p>
      <w:pPr>
        <w:pStyle w:val="ListBullet"/>
        <w:widowControl/>
      </w:pPr>
      <w:r>
        <w:t>endereço, payout ou compromisso equivalente;</w:t>
      </w:r>
    </w:p>
    <w:p>
      <w:pPr>
        <w:pStyle w:val="ListBullet"/>
        <w:widowControl/>
      </w:pPr>
      <w:r>
        <w:t>solver ou contraparte;</w:t>
      </w:r>
    </w:p>
    <w:p>
      <w:pPr>
        <w:pStyle w:val="ListBullet"/>
        <w:widowControl/>
      </w:pPr>
      <w:r>
        <w:t>deadline ou política de refund;</w:t>
      </w:r>
    </w:p>
    <w:p>
      <w:pPr>
        <w:pStyle w:val="ListBullet"/>
        <w:widowControl/>
      </w:pPr>
      <w:r>
        <w:t>taxa acima do teto autorizado;</w:t>
      </w:r>
    </w:p>
    <w:p>
      <w:pPr>
        <w:pStyle w:val="ListBullet"/>
        <w:widowControl/>
      </w:pPr>
      <w:r>
        <w:t>rede, chain ID ou política de recuperação.</w:t>
      </w:r>
    </w:p>
    <w:p>
      <w:pPr>
        <w:widowControl/>
      </w:pPr>
      <w:r>
        <w:t>Retries, ACKs, reconciliação de chain, retomada depois de reinício e retransmissão dos mesmos bytes persistidos NÃO constituem mudança material.</w:t>
      </w:r>
    </w:p>
    <w:p>
      <w:pPr>
        <w:pStyle w:val="Heading1"/>
        <w:widowControl/>
      </w:pPr>
      <w:r>
        <w:t>5. Executor persistente da wallet</w:t>
      </w:r>
    </w:p>
    <w:p>
      <w:pPr>
        <w:widowControl/>
      </w:pPr>
      <w:r>
        <w:t>A wallet DEVE possuir um executor durável que opere a máquina de estados sem depender da permanência da interface aberta. O executor será responsável por:</w:t>
      </w:r>
    </w:p>
    <w:p>
      <w:pPr>
        <w:pStyle w:val="ListBullet"/>
        <w:widowControl/>
      </w:pPr>
      <w:r>
        <w:t>avançar apenas transições válidas e monotônicas;</w:t>
      </w:r>
    </w:p>
    <w:p>
      <w:pPr>
        <w:pStyle w:val="ListBullet"/>
        <w:widowControl/>
      </w:pPr>
      <w:r>
        <w:t>aplicar persist-before-send e controle de revisão/CAS por sessão;</w:t>
      </w:r>
    </w:p>
    <w:p>
      <w:pPr>
        <w:pStyle w:val="ListBullet"/>
        <w:widowControl/>
      </w:pPr>
      <w:r>
        <w:t>integrar o Nonce Vault, tombstones e consume-before-export;</w:t>
      </w:r>
    </w:p>
    <w:p>
      <w:pPr>
        <w:pStyle w:val="ListBullet"/>
        <w:widowControl/>
      </w:pPr>
      <w:r>
        <w:t>retransmitir somente bytes persistidos e idempotentes;</w:t>
      </w:r>
    </w:p>
    <w:p>
      <w:pPr>
        <w:pStyle w:val="ListBullet"/>
        <w:widowControl/>
      </w:pPr>
      <w:r>
        <w:t>observar DOM e a chain externa relevante;</w:t>
      </w:r>
    </w:p>
    <w:p>
      <w:pPr>
        <w:pStyle w:val="ListBullet"/>
        <w:widowControl/>
      </w:pPr>
      <w:r>
        <w:t>reconciliar reorgs sem desfazer fatos criptográficos irreversíveis;</w:t>
      </w:r>
    </w:p>
    <w:p>
      <w:pPr>
        <w:pStyle w:val="ListBullet"/>
        <w:widowControl/>
      </w:pPr>
      <w:r>
        <w:t>acionar claim ou refund conforme política e deadlines;</w:t>
      </w:r>
    </w:p>
    <w:p>
      <w:pPr>
        <w:pStyle w:val="ListBullet"/>
        <w:widowControl/>
      </w:pPr>
      <w:r>
        <w:t>retomar sessões após crash, reinício, perda de conectividade ou UI fechada;</w:t>
      </w:r>
    </w:p>
    <w:p>
      <w:pPr>
        <w:pStyle w:val="ListBullet"/>
        <w:widowControl/>
      </w:pPr>
      <w:r>
        <w:t>manter proteção de qualquer sessão financiada até terminal seguro.</w:t>
      </w:r>
    </w:p>
    <w:p>
      <w:pPr>
        <w:spacing w:before="80" w:after="160" w:line="269" w:lineRule="auto"/>
        <w:ind w:left="202" w:right="202"/>
        <w:shd w:fill="EAF2F7"/>
        <w:pBdr>
          <w:left w:val="single" w:sz="18" w:space="8" w:color="186996"/>
        </w:pBdr>
        <w:widowControl/>
      </w:pPr>
      <w:r>
        <w:rPr>
          <w:rFonts w:ascii="Arial" w:hAnsi="Arial"/>
          <w:b/>
          <w:color w:val="19344D"/>
        </w:rPr>
        <w:t xml:space="preserve">REGRA DE CONTINUIDADE. </w:t>
      </w:r>
      <w:r>
        <w:rPr>
          <w:rFonts w:ascii="Arial" w:hAnsi="Arial"/>
          <w:color w:val="181D22"/>
        </w:rPr>
        <w:t>Fechar a interface não cancela uma sessão financiada. Após FundingAuthorized, o contrato permanece sob monitoramento até SETTLED, REFUNDED ou RECOVERY_ACTION_REQUIRED.</w:t>
      </w:r>
    </w:p>
    <w:p>
      <w:pPr>
        <w:widowControl/>
      </w:pPr>
      <w:r>
        <w:t>Em plataformas móveis, esta obrigação DEVE ser satisfeita por composição segura de persistência local, reconciliação ao reabrir, notificações, tarefas permitidas pelo sistema operacional e monitoramento auxiliar não custodial. O projeto NÃO DEVE assumir execução contínua em background quando a plataforma não a garante.</w:t>
      </w:r>
    </w:p>
    <w:p>
      <w:pPr>
        <w:pStyle w:val="Heading1"/>
        <w:widowControl/>
      </w:pPr>
      <w:r>
        <w:t>6. API e SDK orientadas a intenção</w:t>
      </w:r>
    </w:p>
    <w:p>
      <w:pPr>
        <w:widowControl/>
      </w:pPr>
      <w:r>
        <w:t>A integração básica DEVE expor uma superfície pequena, estável e orientada a intenção econômica. Exemplo não vinculante de ergonomia:</w:t>
      </w:r>
    </w:p>
    <w:p>
      <w:pPr>
        <w:pStyle w:val="CodeBlock"/>
        <w:widowControl/>
      </w:pPr>
      <w:r>
        <w:t>const settlement = await kaystra.createSettlement(intent);</w:t>
        <w:br/>
        <w:t>const review = await settlement.review();</w:t>
        <w:br/>
        <w:t>await review.confirm();</w:t>
        <w:br/>
        <w:t>const result = await settlement.waitForResult();</w:t>
      </w:r>
    </w:p>
    <w:p>
      <w:pPr>
        <w:widowControl/>
      </w:pPr>
      <w:r>
        <w:t>A API pública de produção NÃO DEVE expor operações que permitam ao integrador coordenar ou contornar a criptografia, incluindo:</w:t>
      </w:r>
    </w:p>
    <w:p>
      <w:pPr>
        <w:pStyle w:val="ListBullet"/>
        <w:widowControl/>
      </w:pPr>
      <w:r>
        <w:t>setNonce ou acesso ao Nonce Vault;</w:t>
      </w:r>
    </w:p>
    <w:p>
      <w:pPr>
        <w:pStyle w:val="ListBullet"/>
        <w:widowControl/>
      </w:pPr>
      <w:r>
        <w:t>partialSign ou exportação de partial signatures;</w:t>
      </w:r>
    </w:p>
    <w:p>
      <w:pPr>
        <w:pStyle w:val="ListBullet"/>
        <w:widowControl/>
      </w:pPr>
      <w:r>
        <w:t>aggregateBlind ou reconstrução do blinding total;</w:t>
      </w:r>
    </w:p>
    <w:p>
      <w:pPr>
        <w:pStyle w:val="ListBullet"/>
        <w:widowControl/>
      </w:pPr>
      <w:r>
        <w:t>rodadas manuais de Bulletproof colaborativa;</w:t>
      </w:r>
    </w:p>
    <w:p>
      <w:pPr>
        <w:pStyle w:val="ListBullet"/>
        <w:widowControl/>
      </w:pPr>
      <w:r>
        <w:t>cálculo manual de refund height ou claim safety deadline;</w:t>
      </w:r>
    </w:p>
    <w:p>
      <w:pPr>
        <w:pStyle w:val="ListBullet"/>
        <w:widowControl/>
      </w:pPr>
      <w:r>
        <w:t>tratamento manual de reorg como requisito de correção;</w:t>
      </w:r>
    </w:p>
    <w:p>
      <w:pPr>
        <w:pStyle w:val="ListBullet"/>
        <w:widowControl/>
      </w:pPr>
      <w:r>
        <w:t>skipRefundGate, funding sem refund durável ou bypass equivalente.</w:t>
      </w:r>
    </w:p>
    <w:p>
      <w:pPr>
        <w:widowControl/>
      </w:pPr>
      <w:r>
        <w:t>Primitivas de laboratório, quando indispensáveis, DEVEM ficar atrás de feature test-only e não podem ser compiladas em binários de release.</w:t>
      </w:r>
    </w:p>
    <w:p>
      <w:pPr>
        <w:pStyle w:val="Heading1"/>
        <w:widowControl/>
      </w:pPr>
      <w:r>
        <w:t>7. Estados e erros públicos</w:t>
      </w:r>
    </w:p>
    <w:p>
      <w:pPr>
        <w:widowControl/>
      </w:pPr>
      <w:r>
        <w:t>A aplicação consumidora DEVE receber estados públicos estáveis e semanticamente compreensíveis. O mapeamento interno pode ser mais granular, mas não pode obrigar o integrador a interpretar fases criptográficas.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19344D"/>
            <w:vAlign w:val="center"/>
            <w:tcMar>
              <w:top w:w="90" w:type="dxa"/>
              <w:start w:w="120" w:type="dxa"/>
              <w:bottom w:w="90" w:type="dxa"/>
              <w:end w:w="120" w:type="dxa"/>
            </w:tcMar>
          </w:tcPr>
          <w:p>
            <w:pPr>
              <w:spacing w:after="0" w:line="252" w:lineRule="auto"/>
            </w:pPr>
            <w:r>
              <w:rPr>
                <w:rFonts w:ascii="Arial" w:hAnsi="Arial"/>
                <w:b/>
                <w:color w:val="FFFFFF"/>
                <w:sz w:val="17"/>
              </w:rPr>
              <w:t>Estado público</w:t>
            </w:r>
          </w:p>
        </w:tc>
        <w:tc>
          <w:tcPr>
            <w:tcW w:type="dxa" w:w="7060"/>
            <w:shd w:fill="19344D"/>
            <w:vAlign w:val="center"/>
            <w:tcMar>
              <w:top w:w="90" w:type="dxa"/>
              <w:start w:w="120" w:type="dxa"/>
              <w:bottom w:w="90" w:type="dxa"/>
              <w:end w:w="120" w:type="dxa"/>
            </w:tcMar>
          </w:tcPr>
          <w:p>
            <w:pPr>
              <w:spacing w:after="0" w:line="252" w:lineRule="auto"/>
            </w:pPr>
            <w:r>
              <w:rPr>
                <w:rFonts w:ascii="Arial" w:hAnsi="Arial"/>
                <w:b/>
                <w:color w:val="FFFFFF"/>
                <w:sz w:val="17"/>
              </w:rPr>
              <w:t>Significado para usuário/integrador</w:t>
            </w:r>
          </w:p>
        </w:tc>
      </w:tr>
      <w:tr>
        <w:tc>
          <w:tcPr>
            <w:tcW w:type="dxa" w:w="2300"/>
            <w:vAlign w:val="center"/>
            <w:tcMar>
              <w:top w:w="90" w:type="dxa"/>
              <w:start w:w="120" w:type="dxa"/>
              <w:bottom w:w="90" w:type="dxa"/>
              <w:end w:w="120" w:type="dxa"/>
            </w:tcMar>
          </w:tcPr>
          <w:p>
            <w:pPr>
              <w:spacing w:after="0" w:line="252" w:lineRule="auto"/>
            </w:pPr>
            <w:r>
              <w:rPr>
                <w:rFonts w:ascii="Arial" w:hAnsi="Arial"/>
                <w:color w:val="181D22"/>
                <w:sz w:val="17"/>
              </w:rPr>
              <w:t>AWAITING_APPROVAL</w:t>
            </w:r>
          </w:p>
        </w:tc>
        <w:tc>
          <w:tcPr>
            <w:tcW w:type="dxa" w:w="7060"/>
            <w:vAlign w:val="center"/>
            <w:tcMar>
              <w:top w:w="90" w:type="dxa"/>
              <w:start w:w="120" w:type="dxa"/>
              <w:bottom w:w="90" w:type="dxa"/>
              <w:end w:w="120" w:type="dxa"/>
            </w:tcMar>
          </w:tcPr>
          <w:p>
            <w:pPr>
              <w:spacing w:after="0" w:line="252" w:lineRule="auto"/>
            </w:pPr>
            <w:r>
              <w:rPr>
                <w:rFonts w:ascii="Arial" w:hAnsi="Arial"/>
                <w:color w:val="181D22"/>
                <w:sz w:val="17"/>
              </w:rPr>
              <w:t>Termos aguardam consentimento. Nenhum fundo foi enviado.</w:t>
            </w:r>
          </w:p>
        </w:tc>
      </w:tr>
      <w:tr>
        <w:tc>
          <w:tcPr>
            <w:tcW w:type="dxa" w:w="2300"/>
            <w:shd w:fill="F5F7F9"/>
            <w:vAlign w:val="center"/>
            <w:tcMar>
              <w:top w:w="90" w:type="dxa"/>
              <w:start w:w="120" w:type="dxa"/>
              <w:bottom w:w="90" w:type="dxa"/>
              <w:end w:w="120" w:type="dxa"/>
            </w:tcMar>
          </w:tcPr>
          <w:p>
            <w:pPr>
              <w:spacing w:after="0" w:line="252" w:lineRule="auto"/>
            </w:pPr>
            <w:r>
              <w:rPr>
                <w:rFonts w:ascii="Arial" w:hAnsi="Arial"/>
                <w:color w:val="181D22"/>
                <w:sz w:val="17"/>
              </w:rPr>
              <w:t>PREPARING</w:t>
            </w:r>
          </w:p>
        </w:tc>
        <w:tc>
          <w:tcPr>
            <w:tcW w:type="dxa" w:w="7060"/>
            <w:shd w:fill="F5F7F9"/>
            <w:vAlign w:val="center"/>
            <w:tcMar>
              <w:top w:w="90" w:type="dxa"/>
              <w:start w:w="120" w:type="dxa"/>
              <w:bottom w:w="90" w:type="dxa"/>
              <w:end w:w="120" w:type="dxa"/>
            </w:tcMar>
          </w:tcPr>
          <w:p>
            <w:pPr>
              <w:spacing w:after="0" w:line="252" w:lineRule="auto"/>
            </w:pPr>
            <w:r>
              <w:rPr>
                <w:rFonts w:ascii="Arial" w:hAnsi="Arial"/>
                <w:color w:val="181D22"/>
                <w:sz w:val="17"/>
              </w:rPr>
              <w:t>Refund e artefatos de segurança estão sendo preparados.</w:t>
            </w:r>
          </w:p>
        </w:tc>
      </w:tr>
      <w:tr>
        <w:tc>
          <w:tcPr>
            <w:tcW w:type="dxa" w:w="2300"/>
            <w:vAlign w:val="center"/>
            <w:tcMar>
              <w:top w:w="90" w:type="dxa"/>
              <w:start w:w="120" w:type="dxa"/>
              <w:bottom w:w="90" w:type="dxa"/>
              <w:end w:w="120" w:type="dxa"/>
            </w:tcMar>
          </w:tcPr>
          <w:p>
            <w:pPr>
              <w:spacing w:after="0" w:line="252" w:lineRule="auto"/>
            </w:pPr>
            <w:r>
              <w:rPr>
                <w:rFonts w:ascii="Arial" w:hAnsi="Arial"/>
                <w:color w:val="181D22"/>
                <w:sz w:val="17"/>
              </w:rPr>
              <w:t>READY_TO_FUND</w:t>
            </w:r>
          </w:p>
        </w:tc>
        <w:tc>
          <w:tcPr>
            <w:tcW w:type="dxa" w:w="7060"/>
            <w:vAlign w:val="center"/>
            <w:tcMar>
              <w:top w:w="90" w:type="dxa"/>
              <w:start w:w="120" w:type="dxa"/>
              <w:bottom w:w="90" w:type="dxa"/>
              <w:end w:w="120" w:type="dxa"/>
            </w:tcMar>
          </w:tcPr>
          <w:p>
            <w:pPr>
              <w:spacing w:after="0" w:line="252" w:lineRule="auto"/>
            </w:pPr>
            <w:r>
              <w:rPr>
                <w:rFonts w:ascii="Arial" w:hAnsi="Arial"/>
                <w:color w:val="181D22"/>
                <w:sz w:val="17"/>
              </w:rPr>
              <w:t>Gates prévios concluídos; funding ainda segue política autorizada.</w:t>
            </w:r>
          </w:p>
        </w:tc>
      </w:tr>
      <w:tr>
        <w:tc>
          <w:tcPr>
            <w:tcW w:type="dxa" w:w="2300"/>
            <w:shd w:fill="F5F7F9"/>
            <w:vAlign w:val="center"/>
            <w:tcMar>
              <w:top w:w="90" w:type="dxa"/>
              <w:start w:w="120" w:type="dxa"/>
              <w:bottom w:w="90" w:type="dxa"/>
              <w:end w:w="120" w:type="dxa"/>
            </w:tcMar>
          </w:tcPr>
          <w:p>
            <w:pPr>
              <w:spacing w:after="0" w:line="252" w:lineRule="auto"/>
            </w:pPr>
            <w:r>
              <w:rPr>
                <w:rFonts w:ascii="Arial" w:hAnsi="Arial"/>
                <w:color w:val="181D22"/>
                <w:sz w:val="17"/>
              </w:rPr>
              <w:t>FUNDING / CONFIRMING</w:t>
            </w:r>
          </w:p>
        </w:tc>
        <w:tc>
          <w:tcPr>
            <w:tcW w:type="dxa" w:w="7060"/>
            <w:shd w:fill="F5F7F9"/>
            <w:vAlign w:val="center"/>
            <w:tcMar>
              <w:top w:w="90" w:type="dxa"/>
              <w:start w:w="120" w:type="dxa"/>
              <w:bottom w:w="90" w:type="dxa"/>
              <w:end w:w="120" w:type="dxa"/>
            </w:tcMar>
          </w:tcPr>
          <w:p>
            <w:pPr>
              <w:spacing w:after="0" w:line="252" w:lineRule="auto"/>
            </w:pPr>
            <w:r>
              <w:rPr>
                <w:rFonts w:ascii="Arial" w:hAnsi="Arial"/>
                <w:color w:val="181D22"/>
                <w:sz w:val="17"/>
              </w:rPr>
              <w:t>Funding transmitido ou aguardando estabilidade da chain.</w:t>
            </w:r>
          </w:p>
        </w:tc>
      </w:tr>
      <w:tr>
        <w:tc>
          <w:tcPr>
            <w:tcW w:type="dxa" w:w="2300"/>
            <w:vAlign w:val="center"/>
            <w:tcMar>
              <w:top w:w="90" w:type="dxa"/>
              <w:start w:w="120" w:type="dxa"/>
              <w:bottom w:w="90" w:type="dxa"/>
              <w:end w:w="120" w:type="dxa"/>
            </w:tcMar>
          </w:tcPr>
          <w:p>
            <w:pPr>
              <w:spacing w:after="0" w:line="252" w:lineRule="auto"/>
            </w:pPr>
            <w:r>
              <w:rPr>
                <w:rFonts w:ascii="Arial" w:hAnsi="Arial"/>
                <w:color w:val="181D22"/>
                <w:sz w:val="17"/>
              </w:rPr>
              <w:t>SETTLING</w:t>
            </w:r>
          </w:p>
        </w:tc>
        <w:tc>
          <w:tcPr>
            <w:tcW w:type="dxa" w:w="7060"/>
            <w:vAlign w:val="center"/>
            <w:tcMar>
              <w:top w:w="90" w:type="dxa"/>
              <w:start w:w="120" w:type="dxa"/>
              <w:bottom w:w="90" w:type="dxa"/>
              <w:end w:w="120" w:type="dxa"/>
            </w:tcMar>
          </w:tcPr>
          <w:p>
            <w:pPr>
              <w:spacing w:after="0" w:line="252" w:lineRule="auto"/>
            </w:pPr>
            <w:r>
              <w:rPr>
                <w:rFonts w:ascii="Arial" w:hAnsi="Arial"/>
                <w:color w:val="181D22"/>
                <w:sz w:val="17"/>
              </w:rPr>
              <w:t>Claim ou conclusão segura em andamento.</w:t>
            </w:r>
          </w:p>
        </w:tc>
      </w:tr>
      <w:tr>
        <w:tc>
          <w:tcPr>
            <w:tcW w:type="dxa" w:w="2300"/>
            <w:shd w:fill="F5F7F9"/>
            <w:vAlign w:val="center"/>
            <w:tcMar>
              <w:top w:w="90" w:type="dxa"/>
              <w:start w:w="120" w:type="dxa"/>
              <w:bottom w:w="90" w:type="dxa"/>
              <w:end w:w="120" w:type="dxa"/>
            </w:tcMar>
          </w:tcPr>
          <w:p>
            <w:pPr>
              <w:spacing w:after="0" w:line="252" w:lineRule="auto"/>
            </w:pPr>
            <w:r>
              <w:rPr>
                <w:rFonts w:ascii="Arial" w:hAnsi="Arial"/>
                <w:color w:val="181D22"/>
                <w:sz w:val="17"/>
              </w:rPr>
              <w:t>SETTLED</w:t>
            </w:r>
          </w:p>
        </w:tc>
        <w:tc>
          <w:tcPr>
            <w:tcW w:type="dxa" w:w="7060"/>
            <w:shd w:fill="F5F7F9"/>
            <w:vAlign w:val="center"/>
            <w:tcMar>
              <w:top w:w="90" w:type="dxa"/>
              <w:start w:w="120" w:type="dxa"/>
              <w:bottom w:w="90" w:type="dxa"/>
              <w:end w:w="120" w:type="dxa"/>
            </w:tcMar>
          </w:tcPr>
          <w:p>
            <w:pPr>
              <w:spacing w:after="0" w:line="252" w:lineRule="auto"/>
            </w:pPr>
            <w:r>
              <w:rPr>
                <w:rFonts w:ascii="Arial" w:hAnsi="Arial"/>
                <w:color w:val="181D22"/>
                <w:sz w:val="17"/>
              </w:rPr>
              <w:t>Liquidação concluída segundo a política de confirmação.</w:t>
            </w:r>
          </w:p>
        </w:tc>
      </w:tr>
      <w:tr>
        <w:tc>
          <w:tcPr>
            <w:tcW w:type="dxa" w:w="2300"/>
            <w:vAlign w:val="center"/>
            <w:tcMar>
              <w:top w:w="90" w:type="dxa"/>
              <w:start w:w="120" w:type="dxa"/>
              <w:bottom w:w="90" w:type="dxa"/>
              <w:end w:w="120" w:type="dxa"/>
            </w:tcMar>
          </w:tcPr>
          <w:p>
            <w:pPr>
              <w:spacing w:after="0" w:line="252" w:lineRule="auto"/>
            </w:pPr>
            <w:r>
              <w:rPr>
                <w:rFonts w:ascii="Arial" w:hAnsi="Arial"/>
                <w:color w:val="181D22"/>
                <w:sz w:val="17"/>
              </w:rPr>
              <w:t>REFUNDING / REFUNDED</w:t>
            </w:r>
          </w:p>
        </w:tc>
        <w:tc>
          <w:tcPr>
            <w:tcW w:type="dxa" w:w="7060"/>
            <w:vAlign w:val="center"/>
            <w:tcMar>
              <w:top w:w="90" w:type="dxa"/>
              <w:start w:w="120" w:type="dxa"/>
              <w:bottom w:w="90" w:type="dxa"/>
              <w:end w:w="120" w:type="dxa"/>
            </w:tcMar>
          </w:tcPr>
          <w:p>
            <w:pPr>
              <w:spacing w:after="0" w:line="252" w:lineRule="auto"/>
            </w:pPr>
            <w:r>
              <w:rPr>
                <w:rFonts w:ascii="Arial" w:hAnsi="Arial"/>
                <w:color w:val="181D22"/>
                <w:sz w:val="17"/>
              </w:rPr>
              <w:t>Recuperação em andamento ou concluída.</w:t>
            </w:r>
          </w:p>
        </w:tc>
      </w:tr>
      <w:tr>
        <w:tc>
          <w:tcPr>
            <w:tcW w:type="dxa" w:w="2300"/>
            <w:shd w:fill="F5F7F9"/>
            <w:vAlign w:val="center"/>
            <w:tcMar>
              <w:top w:w="90" w:type="dxa"/>
              <w:start w:w="120" w:type="dxa"/>
              <w:bottom w:w="90" w:type="dxa"/>
              <w:end w:w="120" w:type="dxa"/>
            </w:tcMar>
          </w:tcPr>
          <w:p>
            <w:pPr>
              <w:spacing w:after="0" w:line="252" w:lineRule="auto"/>
            </w:pPr>
            <w:r>
              <w:rPr>
                <w:rFonts w:ascii="Arial" w:hAnsi="Arial"/>
                <w:color w:val="181D22"/>
                <w:sz w:val="17"/>
              </w:rPr>
              <w:t>ACTION_REQUIRED</w:t>
            </w:r>
          </w:p>
        </w:tc>
        <w:tc>
          <w:tcPr>
            <w:tcW w:type="dxa" w:w="7060"/>
            <w:shd w:fill="F5F7F9"/>
            <w:vAlign w:val="center"/>
            <w:tcMar>
              <w:top w:w="90" w:type="dxa"/>
              <w:start w:w="120" w:type="dxa"/>
              <w:bottom w:w="90" w:type="dxa"/>
              <w:end w:w="120" w:type="dxa"/>
            </w:tcMar>
          </w:tcPr>
          <w:p>
            <w:pPr>
              <w:spacing w:after="0" w:line="252" w:lineRule="auto"/>
            </w:pPr>
            <w:r>
              <w:rPr>
                <w:rFonts w:ascii="Arial" w:hAnsi="Arial"/>
                <w:color w:val="181D22"/>
                <w:sz w:val="17"/>
              </w:rPr>
              <w:t>Ação humana necessária, com instrução e situação dos fundos.</w:t>
            </w:r>
          </w:p>
        </w:tc>
      </w:tr>
      <w:tr>
        <w:tc>
          <w:tcPr>
            <w:tcW w:type="dxa" w:w="2300"/>
            <w:vAlign w:val="center"/>
            <w:tcMar>
              <w:top w:w="90" w:type="dxa"/>
              <w:start w:w="120" w:type="dxa"/>
              <w:bottom w:w="90" w:type="dxa"/>
              <w:end w:w="120" w:type="dxa"/>
            </w:tcMar>
          </w:tcPr>
          <w:p>
            <w:pPr>
              <w:spacing w:after="0" w:line="252" w:lineRule="auto"/>
            </w:pPr>
            <w:r>
              <w:rPr>
                <w:rFonts w:ascii="Arial" w:hAnsi="Arial"/>
                <w:color w:val="181D22"/>
                <w:sz w:val="17"/>
              </w:rPr>
              <w:t>FAILED_SAFE</w:t>
            </w:r>
          </w:p>
        </w:tc>
        <w:tc>
          <w:tcPr>
            <w:tcW w:type="dxa" w:w="7060"/>
            <w:vAlign w:val="center"/>
            <w:tcMar>
              <w:top w:w="90" w:type="dxa"/>
              <w:start w:w="120" w:type="dxa"/>
              <w:bottom w:w="90" w:type="dxa"/>
              <w:end w:w="120" w:type="dxa"/>
            </w:tcMar>
          </w:tcPr>
          <w:p>
            <w:pPr>
              <w:spacing w:after="0" w:line="252" w:lineRule="auto"/>
            </w:pPr>
            <w:r>
              <w:rPr>
                <w:rFonts w:ascii="Arial" w:hAnsi="Arial"/>
                <w:color w:val="181D22"/>
                <w:sz w:val="17"/>
              </w:rPr>
              <w:t>Falha anterior ao funding ou falha fechada sem efeito financeiro ambíguo.</w:t>
            </w:r>
          </w:p>
        </w:tc>
      </w:tr>
    </w:tbl>
    <w:p>
      <w:pPr>
        <w:spacing w:after="20"/>
        <w:widowControl/>
      </w:pPr>
    </w:p>
    <w:p>
      <w:pPr>
        <w:widowControl/>
      </w:pPr>
      <w:r>
        <w:t>Todo erro público DEVE responder claramente:</w:t>
      </w:r>
    </w:p>
    <w:p>
      <w:pPr>
        <w:pStyle w:val="ListNumber"/>
        <w:widowControl/>
      </w:pPr>
      <w:r>
        <w:t>Os fundos chegaram a ser enviados?</w:t>
      </w:r>
    </w:p>
    <w:p>
      <w:pPr>
        <w:pStyle w:val="ListNumber"/>
        <w:widowControl/>
      </w:pPr>
      <w:r>
        <w:t>A recuperação é automática?</w:t>
      </w:r>
    </w:p>
    <w:p>
      <w:pPr>
        <w:pStyle w:val="ListNumber"/>
        <w:widowControl/>
      </w:pPr>
      <w:r>
        <w:t>O usuário precisa executar alguma ação?</w:t>
      </w:r>
    </w:p>
    <w:p>
      <w:pPr>
        <w:widowControl/>
      </w:pPr>
      <w:r>
        <w:t>Códigos internos detalhados permanecem em logs sanitizados e exportação diagnóstica cifrada. Mensagens públicas não devem apresentar jargão criptográfico como única explicação.</w:t>
      </w:r>
    </w:p>
    <w:p>
      <w:pPr>
        <w:pStyle w:val="Heading1"/>
        <w:widowControl/>
      </w:pPr>
      <w:r>
        <w:t>8. Keystone e transportes</w:t>
      </w:r>
    </w:p>
    <w:p>
      <w:pPr>
        <w:widowControl/>
      </w:pPr>
      <w:r>
        <w:t>O Kaystra Keystone pode coordenar RFQ, transportar envelopes cifrados, encaminhar ACKs, observar chains, notificar eventos e auxiliar retransmissões. Ele NÃO pode:</w:t>
      </w:r>
    </w:p>
    <w:p>
      <w:pPr>
        <w:pStyle w:val="ListBullet"/>
        <w:widowControl/>
      </w:pPr>
      <w:r>
        <w:t>acessar seeds ou shares privados;</w:t>
      </w:r>
    </w:p>
    <w:p>
      <w:pPr>
        <w:pStyle w:val="ListBullet"/>
        <w:widowControl/>
      </w:pPr>
      <w:r>
        <w:t>assinar unilateralmente;</w:t>
      </w:r>
    </w:p>
    <w:p>
      <w:pPr>
        <w:pStyle w:val="ListBullet"/>
        <w:widowControl/>
      </w:pPr>
      <w:r>
        <w:t>alterar termos aprovados;</w:t>
      </w:r>
    </w:p>
    <w:p>
      <w:pPr>
        <w:pStyle w:val="ListBullet"/>
        <w:widowControl/>
      </w:pPr>
      <w:r>
        <w:t>reconstruir ou reutilizar nonces;</w:t>
      </w:r>
    </w:p>
    <w:p>
      <w:pPr>
        <w:pStyle w:val="ListBullet"/>
        <w:widowControl/>
      </w:pPr>
      <w:r>
        <w:t>autorizar funding;</w:t>
      </w:r>
    </w:p>
    <w:p>
      <w:pPr>
        <w:pStyle w:val="ListBullet"/>
        <w:widowControl/>
      </w:pPr>
      <w:r>
        <w:t>impedir refund válido;</w:t>
      </w:r>
    </w:p>
    <w:p>
      <w:pPr>
        <w:pStyle w:val="ListBullet"/>
        <w:widowControl/>
      </w:pPr>
      <w:r>
        <w:t>ser a única fonte dos artefatos necessários à recuperação.</w:t>
      </w:r>
    </w:p>
    <w:p>
      <w:pPr>
        <w:widowControl/>
      </w:pPr>
      <w:r>
        <w:t>A wallet DEVE manter uma cópia autoritativa local da própria sessão. Se o Keystone perder seu banco ou ficar indisponível, as partes ainda devem conseguir monitorar as chains, recuperar artefatos finais, retransmitir transações e alcançar claim ou refund por transporte substituível ou recuperação local prevista.</w:t>
      </w:r>
    </w:p>
    <w:p>
      <w:pPr>
        <w:pStyle w:val="Heading1"/>
        <w:widowControl/>
      </w:pPr>
      <w:r>
        <w:t>9. Gate G-UX1 — Abstração completa da interatividade</w:t>
      </w:r>
    </w:p>
    <w:p>
      <w:pPr>
        <w:spacing w:before="80" w:after="160" w:line="269" w:lineRule="auto"/>
        <w:ind w:left="202" w:right="202"/>
        <w:shd w:fill="FFF3D9"/>
        <w:pBdr>
          <w:left w:val="single" w:sz="18" w:space="8" w:color="186996"/>
        </w:pBdr>
        <w:widowControl/>
      </w:pPr>
      <w:r>
        <w:rPr>
          <w:rFonts w:ascii="Arial" w:hAnsi="Arial"/>
          <w:b/>
          <w:color w:val="19344D"/>
        </w:rPr>
        <w:t xml:space="preserve">CLASSIFICAÇÃO. </w:t>
      </w:r>
      <w:r>
        <w:rPr>
          <w:rFonts w:ascii="Arial" w:hAnsi="Arial"/>
          <w:color w:val="181D22"/>
        </w:rPr>
        <w:t>G-UX1 é um gate obrigatório e STOP-SHIP. A aprovação dos gates criptográficos e do E2E não autoriza release de produção sem aprovação independente de G-UX1.</w:t>
      </w:r>
    </w:p>
    <w:p>
      <w:pPr>
        <w:widowControl/>
      </w:pPr>
      <w:r>
        <w:t>O gate G-UX1 somente será aprovado quando houver evidência reproduzível de todos os critérios abaixo:</w:t>
      </w:r>
    </w:p>
    <w:tbl>
      <w:tblPr>
        <w:tblStyle w:val="TableGrid"/>
        <w:tblW w:type="dxa" w:w="9360"/>
        <w:jc w:val="left"/>
        <w:tblLayout w:type="fixed"/>
        <w:tblLook w:firstColumn="1" w:firstRow="1" w:lastColumn="0" w:lastRow="0" w:noHBand="0" w:noVBand="1" w:val="04A0"/>
        <w:tblInd w:w="120" w:type="dxa"/>
      </w:tblPr>
      <w:tblGrid>
        <w:gridCol w:w="1200"/>
        <w:gridCol w:w="8160"/>
      </w:tblGrid>
      <w:tr>
        <w:trPr>
          <w:tblHeader w:val="true"/>
        </w:trPr>
        <w:tc>
          <w:tcPr>
            <w:tcW w:type="dxa" w:w="1200"/>
            <w:shd w:fill="19344D"/>
            <w:vAlign w:val="center"/>
            <w:tcMar>
              <w:top w:w="90" w:type="dxa"/>
              <w:start w:w="120" w:type="dxa"/>
              <w:bottom w:w="90" w:type="dxa"/>
              <w:end w:w="120" w:type="dxa"/>
            </w:tcMar>
          </w:tcPr>
          <w:p>
            <w:pPr>
              <w:spacing w:after="0" w:line="252" w:lineRule="auto"/>
            </w:pPr>
            <w:r>
              <w:rPr>
                <w:rFonts w:ascii="Arial" w:hAnsi="Arial"/>
                <w:b/>
                <w:color w:val="FFFFFF"/>
                <w:sz w:val="17"/>
              </w:rPr>
              <w:t>ID</w:t>
            </w:r>
          </w:p>
        </w:tc>
        <w:tc>
          <w:tcPr>
            <w:tcW w:type="dxa" w:w="8160"/>
            <w:shd w:fill="19344D"/>
            <w:vAlign w:val="center"/>
            <w:tcMar>
              <w:top w:w="90" w:type="dxa"/>
              <w:start w:w="120" w:type="dxa"/>
              <w:bottom w:w="90" w:type="dxa"/>
              <w:end w:w="120" w:type="dxa"/>
            </w:tcMar>
          </w:tcPr>
          <w:p>
            <w:pPr>
              <w:spacing w:after="0" w:line="252" w:lineRule="auto"/>
            </w:pPr>
            <w:r>
              <w:rPr>
                <w:rFonts w:ascii="Arial" w:hAnsi="Arial"/>
                <w:b/>
                <w:color w:val="FFFFFF"/>
                <w:sz w:val="17"/>
              </w:rPr>
              <w:t>Critério de aceite</w:t>
            </w:r>
          </w:p>
        </w:tc>
      </w:tr>
      <w:tr>
        <w:tc>
          <w:tcPr>
            <w:tcW w:type="dxa" w:w="1200"/>
            <w:vAlign w:val="center"/>
            <w:tcMar>
              <w:top w:w="90" w:type="dxa"/>
              <w:start w:w="120" w:type="dxa"/>
              <w:bottom w:w="90" w:type="dxa"/>
              <w:end w:w="120" w:type="dxa"/>
            </w:tcMar>
          </w:tcPr>
          <w:p>
            <w:pPr>
              <w:spacing w:after="0" w:line="252" w:lineRule="auto"/>
            </w:pPr>
            <w:r>
              <w:rPr>
                <w:rFonts w:ascii="Arial" w:hAnsi="Arial"/>
                <w:color w:val="181D22"/>
                <w:sz w:val="17"/>
              </w:rPr>
              <w:t>UX-01</w:t>
            </w:r>
          </w:p>
        </w:tc>
        <w:tc>
          <w:tcPr>
            <w:tcW w:type="dxa" w:w="8160"/>
            <w:vAlign w:val="center"/>
            <w:tcMar>
              <w:top w:w="90" w:type="dxa"/>
              <w:start w:w="120" w:type="dxa"/>
              <w:bottom w:w="90" w:type="dxa"/>
              <w:end w:w="120" w:type="dxa"/>
            </w:tcMar>
          </w:tcPr>
          <w:p>
            <w:pPr>
              <w:spacing w:after="0" w:line="252" w:lineRule="auto"/>
            </w:pPr>
            <w:r>
              <w:rPr>
                <w:rFonts w:ascii="Arial" w:hAnsi="Arial"/>
                <w:color w:val="181D22"/>
                <w:sz w:val="17"/>
              </w:rPr>
              <w:t>Uma aplicação completa liquidação sem manipular primitivos criptográficos.</w:t>
            </w:r>
          </w:p>
        </w:tc>
      </w:tr>
      <w:tr>
        <w:tc>
          <w:tcPr>
            <w:tcW w:type="dxa" w:w="1200"/>
            <w:shd w:fill="F5F7F9"/>
            <w:vAlign w:val="center"/>
            <w:tcMar>
              <w:top w:w="90" w:type="dxa"/>
              <w:start w:w="120" w:type="dxa"/>
              <w:bottom w:w="90" w:type="dxa"/>
              <w:end w:w="120" w:type="dxa"/>
            </w:tcMar>
          </w:tcPr>
          <w:p>
            <w:pPr>
              <w:spacing w:after="0" w:line="252" w:lineRule="auto"/>
            </w:pPr>
            <w:r>
              <w:rPr>
                <w:rFonts w:ascii="Arial" w:hAnsi="Arial"/>
                <w:color w:val="181D22"/>
                <w:sz w:val="17"/>
              </w:rPr>
              <w:t>UX-02</w:t>
            </w:r>
          </w:p>
        </w:tc>
        <w:tc>
          <w:tcPr>
            <w:tcW w:type="dxa" w:w="8160"/>
            <w:shd w:fill="F5F7F9"/>
            <w:vAlign w:val="center"/>
            <w:tcMar>
              <w:top w:w="90" w:type="dxa"/>
              <w:start w:w="120" w:type="dxa"/>
              <w:bottom w:w="90" w:type="dxa"/>
              <w:end w:w="120" w:type="dxa"/>
            </w:tcMar>
          </w:tcPr>
          <w:p>
            <w:pPr>
              <w:spacing w:after="0" w:line="252" w:lineRule="auto"/>
            </w:pPr>
            <w:r>
              <w:rPr>
                <w:rFonts w:ascii="Arial" w:hAnsi="Arial"/>
                <w:color w:val="181D22"/>
                <w:sz w:val="17"/>
              </w:rPr>
              <w:t>O caminho normal exige uma única aprovação econômica.</w:t>
            </w:r>
          </w:p>
        </w:tc>
      </w:tr>
      <w:tr>
        <w:tc>
          <w:tcPr>
            <w:tcW w:type="dxa" w:w="1200"/>
            <w:vAlign w:val="center"/>
            <w:tcMar>
              <w:top w:w="90" w:type="dxa"/>
              <w:start w:w="120" w:type="dxa"/>
              <w:bottom w:w="90" w:type="dxa"/>
              <w:end w:w="120" w:type="dxa"/>
            </w:tcMar>
          </w:tcPr>
          <w:p>
            <w:pPr>
              <w:spacing w:after="0" w:line="252" w:lineRule="auto"/>
            </w:pPr>
            <w:r>
              <w:rPr>
                <w:rFonts w:ascii="Arial" w:hAnsi="Arial"/>
                <w:color w:val="181D22"/>
                <w:sz w:val="17"/>
              </w:rPr>
              <w:t>UX-03</w:t>
            </w:r>
          </w:p>
        </w:tc>
        <w:tc>
          <w:tcPr>
            <w:tcW w:type="dxa" w:w="8160"/>
            <w:vAlign w:val="center"/>
            <w:tcMar>
              <w:top w:w="90" w:type="dxa"/>
              <w:start w:w="120" w:type="dxa"/>
              <w:bottom w:w="90" w:type="dxa"/>
              <w:end w:w="120" w:type="dxa"/>
            </w:tcMar>
          </w:tcPr>
          <w:p>
            <w:pPr>
              <w:spacing w:after="0" w:line="252" w:lineRule="auto"/>
            </w:pPr>
            <w:r>
              <w:rPr>
                <w:rFonts w:ascii="Arial" w:hAnsi="Arial"/>
                <w:color w:val="181D22"/>
                <w:sz w:val="17"/>
              </w:rPr>
              <w:t>Nenhum nonce, share, adaptor secret ou pre-signature é exposto pela SDK pública.</w:t>
            </w:r>
          </w:p>
        </w:tc>
      </w:tr>
      <w:tr>
        <w:tc>
          <w:tcPr>
            <w:tcW w:type="dxa" w:w="1200"/>
            <w:shd w:fill="F5F7F9"/>
            <w:vAlign w:val="center"/>
            <w:tcMar>
              <w:top w:w="90" w:type="dxa"/>
              <w:start w:w="120" w:type="dxa"/>
              <w:bottom w:w="90" w:type="dxa"/>
              <w:end w:w="120" w:type="dxa"/>
            </w:tcMar>
          </w:tcPr>
          <w:p>
            <w:pPr>
              <w:spacing w:after="0" w:line="252" w:lineRule="auto"/>
            </w:pPr>
            <w:r>
              <w:rPr>
                <w:rFonts w:ascii="Arial" w:hAnsi="Arial"/>
                <w:color w:val="181D22"/>
                <w:sz w:val="17"/>
              </w:rPr>
              <w:t>UX-04</w:t>
            </w:r>
          </w:p>
        </w:tc>
        <w:tc>
          <w:tcPr>
            <w:tcW w:type="dxa" w:w="8160"/>
            <w:shd w:fill="F5F7F9"/>
            <w:vAlign w:val="center"/>
            <w:tcMar>
              <w:top w:w="90" w:type="dxa"/>
              <w:start w:w="120" w:type="dxa"/>
              <w:bottom w:w="90" w:type="dxa"/>
              <w:end w:w="120" w:type="dxa"/>
            </w:tcMar>
          </w:tcPr>
          <w:p>
            <w:pPr>
              <w:spacing w:after="0" w:line="252" w:lineRule="auto"/>
            </w:pPr>
            <w:r>
              <w:rPr>
                <w:rFonts w:ascii="Arial" w:hAnsi="Arial"/>
                <w:color w:val="181D22"/>
                <w:sz w:val="17"/>
              </w:rPr>
              <w:t>Mudança material dos termos invalida a autorização anterior.</w:t>
            </w:r>
          </w:p>
        </w:tc>
      </w:tr>
      <w:tr>
        <w:tc>
          <w:tcPr>
            <w:tcW w:type="dxa" w:w="1200"/>
            <w:vAlign w:val="center"/>
            <w:tcMar>
              <w:top w:w="90" w:type="dxa"/>
              <w:start w:w="120" w:type="dxa"/>
              <w:bottom w:w="90" w:type="dxa"/>
              <w:end w:w="120" w:type="dxa"/>
            </w:tcMar>
          </w:tcPr>
          <w:p>
            <w:pPr>
              <w:spacing w:after="0" w:line="252" w:lineRule="auto"/>
            </w:pPr>
            <w:r>
              <w:rPr>
                <w:rFonts w:ascii="Arial" w:hAnsi="Arial"/>
                <w:color w:val="181D22"/>
                <w:sz w:val="17"/>
              </w:rPr>
              <w:t>UX-05</w:t>
            </w:r>
          </w:p>
        </w:tc>
        <w:tc>
          <w:tcPr>
            <w:tcW w:type="dxa" w:w="8160"/>
            <w:vAlign w:val="center"/>
            <w:tcMar>
              <w:top w:w="90" w:type="dxa"/>
              <w:start w:w="120" w:type="dxa"/>
              <w:bottom w:w="90" w:type="dxa"/>
              <w:end w:w="120" w:type="dxa"/>
            </w:tcMar>
          </w:tcPr>
          <w:p>
            <w:pPr>
              <w:spacing w:after="0" w:line="252" w:lineRule="auto"/>
            </w:pPr>
            <w:r>
              <w:rPr>
                <w:rFonts w:ascii="Arial" w:hAnsi="Arial"/>
                <w:color w:val="181D22"/>
                <w:sz w:val="17"/>
              </w:rPr>
              <w:t>Crash e reinício são recuperados automaticamente em todos os estados recuperáveis.</w:t>
            </w:r>
          </w:p>
        </w:tc>
      </w:tr>
      <w:tr>
        <w:tc>
          <w:tcPr>
            <w:tcW w:type="dxa" w:w="1200"/>
            <w:shd w:fill="F5F7F9"/>
            <w:vAlign w:val="center"/>
            <w:tcMar>
              <w:top w:w="90" w:type="dxa"/>
              <w:start w:w="120" w:type="dxa"/>
              <w:bottom w:w="90" w:type="dxa"/>
              <w:end w:w="120" w:type="dxa"/>
            </w:tcMar>
          </w:tcPr>
          <w:p>
            <w:pPr>
              <w:spacing w:after="0" w:line="252" w:lineRule="auto"/>
            </w:pPr>
            <w:r>
              <w:rPr>
                <w:rFonts w:ascii="Arial" w:hAnsi="Arial"/>
                <w:color w:val="181D22"/>
                <w:sz w:val="17"/>
              </w:rPr>
              <w:t>UX-06</w:t>
            </w:r>
          </w:p>
        </w:tc>
        <w:tc>
          <w:tcPr>
            <w:tcW w:type="dxa" w:w="8160"/>
            <w:shd w:fill="F5F7F9"/>
            <w:vAlign w:val="center"/>
            <w:tcMar>
              <w:top w:w="90" w:type="dxa"/>
              <w:start w:w="120" w:type="dxa"/>
              <w:bottom w:w="90" w:type="dxa"/>
              <w:end w:w="120" w:type="dxa"/>
            </w:tcMar>
          </w:tcPr>
          <w:p>
            <w:pPr>
              <w:spacing w:after="0" w:line="252" w:lineRule="auto"/>
            </w:pPr>
            <w:r>
              <w:rPr>
                <w:rFonts w:ascii="Arial" w:hAnsi="Arial"/>
                <w:color w:val="181D22"/>
                <w:sz w:val="17"/>
              </w:rPr>
              <w:t>Retransmissões idempotentes não exigem ação humana.</w:t>
            </w:r>
          </w:p>
        </w:tc>
      </w:tr>
      <w:tr>
        <w:tc>
          <w:tcPr>
            <w:tcW w:type="dxa" w:w="1200"/>
            <w:vAlign w:val="center"/>
            <w:tcMar>
              <w:top w:w="90" w:type="dxa"/>
              <w:start w:w="120" w:type="dxa"/>
              <w:bottom w:w="90" w:type="dxa"/>
              <w:end w:w="120" w:type="dxa"/>
            </w:tcMar>
          </w:tcPr>
          <w:p>
            <w:pPr>
              <w:spacing w:after="0" w:line="252" w:lineRule="auto"/>
            </w:pPr>
            <w:r>
              <w:rPr>
                <w:rFonts w:ascii="Arial" w:hAnsi="Arial"/>
                <w:color w:val="181D22"/>
                <w:sz w:val="17"/>
              </w:rPr>
              <w:t>UX-07</w:t>
            </w:r>
          </w:p>
        </w:tc>
        <w:tc>
          <w:tcPr>
            <w:tcW w:type="dxa" w:w="8160"/>
            <w:vAlign w:val="center"/>
            <w:tcMar>
              <w:top w:w="90" w:type="dxa"/>
              <w:start w:w="120" w:type="dxa"/>
              <w:bottom w:w="90" w:type="dxa"/>
              <w:end w:w="120" w:type="dxa"/>
            </w:tcMar>
          </w:tcPr>
          <w:p>
            <w:pPr>
              <w:spacing w:after="0" w:line="252" w:lineRule="auto"/>
            </w:pPr>
            <w:r>
              <w:rPr>
                <w:rFonts w:ascii="Arial" w:hAnsi="Arial"/>
                <w:color w:val="181D22"/>
                <w:sz w:val="17"/>
              </w:rPr>
              <w:t>Reorgs são tratados pelo motor sem coordenação do integrador.</w:t>
            </w:r>
          </w:p>
        </w:tc>
      </w:tr>
      <w:tr>
        <w:tc>
          <w:tcPr>
            <w:tcW w:type="dxa" w:w="1200"/>
            <w:shd w:fill="F5F7F9"/>
            <w:vAlign w:val="center"/>
            <w:tcMar>
              <w:top w:w="90" w:type="dxa"/>
              <w:start w:w="120" w:type="dxa"/>
              <w:bottom w:w="90" w:type="dxa"/>
              <w:end w:w="120" w:type="dxa"/>
            </w:tcMar>
          </w:tcPr>
          <w:p>
            <w:pPr>
              <w:spacing w:after="0" w:line="252" w:lineRule="auto"/>
            </w:pPr>
            <w:r>
              <w:rPr>
                <w:rFonts w:ascii="Arial" w:hAnsi="Arial"/>
                <w:color w:val="181D22"/>
                <w:sz w:val="17"/>
              </w:rPr>
              <w:t>UX-08</w:t>
            </w:r>
          </w:p>
        </w:tc>
        <w:tc>
          <w:tcPr>
            <w:tcW w:type="dxa" w:w="8160"/>
            <w:shd w:fill="F5F7F9"/>
            <w:vAlign w:val="center"/>
            <w:tcMar>
              <w:top w:w="90" w:type="dxa"/>
              <w:start w:w="120" w:type="dxa"/>
              <w:bottom w:w="90" w:type="dxa"/>
              <w:end w:w="120" w:type="dxa"/>
            </w:tcMar>
          </w:tcPr>
          <w:p>
            <w:pPr>
              <w:spacing w:after="0" w:line="252" w:lineRule="auto"/>
            </w:pPr>
            <w:r>
              <w:rPr>
                <w:rFonts w:ascii="Arial" w:hAnsi="Arial"/>
                <w:color w:val="181D22"/>
                <w:sz w:val="17"/>
              </w:rPr>
              <w:t>Funding nunca ocorre antes de refund final, validado, persistido e respaldado conforme os gates existentes.</w:t>
            </w:r>
          </w:p>
        </w:tc>
      </w:tr>
      <w:tr>
        <w:tc>
          <w:tcPr>
            <w:tcW w:type="dxa" w:w="1200"/>
            <w:vAlign w:val="center"/>
            <w:tcMar>
              <w:top w:w="90" w:type="dxa"/>
              <w:start w:w="120" w:type="dxa"/>
              <w:bottom w:w="90" w:type="dxa"/>
              <w:end w:w="120" w:type="dxa"/>
            </w:tcMar>
          </w:tcPr>
          <w:p>
            <w:pPr>
              <w:spacing w:after="0" w:line="252" w:lineRule="auto"/>
            </w:pPr>
            <w:r>
              <w:rPr>
                <w:rFonts w:ascii="Arial" w:hAnsi="Arial"/>
                <w:color w:val="181D22"/>
                <w:sz w:val="17"/>
              </w:rPr>
              <w:t>UX-09</w:t>
            </w:r>
          </w:p>
        </w:tc>
        <w:tc>
          <w:tcPr>
            <w:tcW w:type="dxa" w:w="8160"/>
            <w:vAlign w:val="center"/>
            <w:tcMar>
              <w:top w:w="90" w:type="dxa"/>
              <w:start w:w="120" w:type="dxa"/>
              <w:bottom w:w="90" w:type="dxa"/>
              <w:end w:w="120" w:type="dxa"/>
            </w:tcMar>
          </w:tcPr>
          <w:p>
            <w:pPr>
              <w:spacing w:after="0" w:line="252" w:lineRule="auto"/>
            </w:pPr>
            <w:r>
              <w:rPr>
                <w:rFonts w:ascii="Arial" w:hAnsi="Arial"/>
                <w:color w:val="181D22"/>
                <w:sz w:val="17"/>
              </w:rPr>
              <w:t>Falha anterior ao funding libera reservas de modo seguro e auditável.</w:t>
            </w:r>
          </w:p>
        </w:tc>
      </w:tr>
      <w:tr>
        <w:tc>
          <w:tcPr>
            <w:tcW w:type="dxa" w:w="1200"/>
            <w:shd w:fill="F5F7F9"/>
            <w:vAlign w:val="center"/>
            <w:tcMar>
              <w:top w:w="90" w:type="dxa"/>
              <w:start w:w="120" w:type="dxa"/>
              <w:bottom w:w="90" w:type="dxa"/>
              <w:end w:w="120" w:type="dxa"/>
            </w:tcMar>
          </w:tcPr>
          <w:p>
            <w:pPr>
              <w:spacing w:after="0" w:line="252" w:lineRule="auto"/>
            </w:pPr>
            <w:r>
              <w:rPr>
                <w:rFonts w:ascii="Arial" w:hAnsi="Arial"/>
                <w:color w:val="181D22"/>
                <w:sz w:val="17"/>
              </w:rPr>
              <w:t>UX-10</w:t>
            </w:r>
          </w:p>
        </w:tc>
        <w:tc>
          <w:tcPr>
            <w:tcW w:type="dxa" w:w="8160"/>
            <w:shd w:fill="F5F7F9"/>
            <w:vAlign w:val="center"/>
            <w:tcMar>
              <w:top w:w="90" w:type="dxa"/>
              <w:start w:w="120" w:type="dxa"/>
              <w:bottom w:w="90" w:type="dxa"/>
              <w:end w:w="120" w:type="dxa"/>
            </w:tcMar>
          </w:tcPr>
          <w:p>
            <w:pPr>
              <w:spacing w:after="0" w:line="252" w:lineRule="auto"/>
            </w:pPr>
            <w:r>
              <w:rPr>
                <w:rFonts w:ascii="Arial" w:hAnsi="Arial"/>
                <w:color w:val="181D22"/>
                <w:sz w:val="17"/>
              </w:rPr>
              <w:t>Falha posterior ao funding permanece monitorada até terminal seguro ou ação explícita.</w:t>
            </w:r>
          </w:p>
        </w:tc>
      </w:tr>
      <w:tr>
        <w:tc>
          <w:tcPr>
            <w:tcW w:type="dxa" w:w="1200"/>
            <w:vAlign w:val="center"/>
            <w:tcMar>
              <w:top w:w="90" w:type="dxa"/>
              <w:start w:w="120" w:type="dxa"/>
              <w:bottom w:w="90" w:type="dxa"/>
              <w:end w:w="120" w:type="dxa"/>
            </w:tcMar>
          </w:tcPr>
          <w:p>
            <w:pPr>
              <w:spacing w:after="0" w:line="252" w:lineRule="auto"/>
            </w:pPr>
            <w:r>
              <w:rPr>
                <w:rFonts w:ascii="Arial" w:hAnsi="Arial"/>
                <w:color w:val="181D22"/>
                <w:sz w:val="17"/>
              </w:rPr>
              <w:t>UX-11</w:t>
            </w:r>
          </w:p>
        </w:tc>
        <w:tc>
          <w:tcPr>
            <w:tcW w:type="dxa" w:w="8160"/>
            <w:vAlign w:val="center"/>
            <w:tcMar>
              <w:top w:w="90" w:type="dxa"/>
              <w:start w:w="120" w:type="dxa"/>
              <w:bottom w:w="90" w:type="dxa"/>
              <w:end w:w="120" w:type="dxa"/>
            </w:tcMar>
          </w:tcPr>
          <w:p>
            <w:pPr>
              <w:spacing w:after="0" w:line="252" w:lineRule="auto"/>
            </w:pPr>
            <w:r>
              <w:rPr>
                <w:rFonts w:ascii="Arial" w:hAnsi="Arial"/>
                <w:color w:val="181D22"/>
                <w:sz w:val="17"/>
              </w:rPr>
              <w:t>Fechamento da UI não interrompe a proteção econômica da sessão.</w:t>
            </w:r>
          </w:p>
        </w:tc>
      </w:tr>
      <w:tr>
        <w:tc>
          <w:tcPr>
            <w:tcW w:type="dxa" w:w="1200"/>
            <w:shd w:fill="F5F7F9"/>
            <w:vAlign w:val="center"/>
            <w:tcMar>
              <w:top w:w="90" w:type="dxa"/>
              <w:start w:w="120" w:type="dxa"/>
              <w:bottom w:w="90" w:type="dxa"/>
              <w:end w:w="120" w:type="dxa"/>
            </w:tcMar>
          </w:tcPr>
          <w:p>
            <w:pPr>
              <w:spacing w:after="0" w:line="252" w:lineRule="auto"/>
            </w:pPr>
            <w:r>
              <w:rPr>
                <w:rFonts w:ascii="Arial" w:hAnsi="Arial"/>
                <w:color w:val="181D22"/>
                <w:sz w:val="17"/>
              </w:rPr>
              <w:t>UX-12</w:t>
            </w:r>
          </w:p>
        </w:tc>
        <w:tc>
          <w:tcPr>
            <w:tcW w:type="dxa" w:w="8160"/>
            <w:shd w:fill="F5F7F9"/>
            <w:vAlign w:val="center"/>
            <w:tcMar>
              <w:top w:w="90" w:type="dxa"/>
              <w:start w:w="120" w:type="dxa"/>
              <w:bottom w:w="90" w:type="dxa"/>
              <w:end w:w="120" w:type="dxa"/>
            </w:tcMar>
          </w:tcPr>
          <w:p>
            <w:pPr>
              <w:spacing w:after="0" w:line="252" w:lineRule="auto"/>
            </w:pPr>
            <w:r>
              <w:rPr>
                <w:rFonts w:ascii="Arial" w:hAnsi="Arial"/>
                <w:color w:val="181D22"/>
                <w:sz w:val="17"/>
              </w:rPr>
              <w:t>Indisponibilidade do Keystone não produz perda de fundos nem bloqueia refund válido.</w:t>
            </w:r>
          </w:p>
        </w:tc>
      </w:tr>
      <w:tr>
        <w:tc>
          <w:tcPr>
            <w:tcW w:type="dxa" w:w="1200"/>
            <w:vAlign w:val="center"/>
            <w:tcMar>
              <w:top w:w="90" w:type="dxa"/>
              <w:start w:w="120" w:type="dxa"/>
              <w:bottom w:w="90" w:type="dxa"/>
              <w:end w:w="120" w:type="dxa"/>
            </w:tcMar>
          </w:tcPr>
          <w:p>
            <w:pPr>
              <w:spacing w:after="0" w:line="252" w:lineRule="auto"/>
            </w:pPr>
            <w:r>
              <w:rPr>
                <w:rFonts w:ascii="Arial" w:hAnsi="Arial"/>
                <w:color w:val="181D22"/>
                <w:sz w:val="17"/>
              </w:rPr>
              <w:t>UX-13</w:t>
            </w:r>
          </w:p>
        </w:tc>
        <w:tc>
          <w:tcPr>
            <w:tcW w:type="dxa" w:w="8160"/>
            <w:vAlign w:val="center"/>
            <w:tcMar>
              <w:top w:w="90" w:type="dxa"/>
              <w:start w:w="120" w:type="dxa"/>
              <w:bottom w:w="90" w:type="dxa"/>
              <w:end w:w="120" w:type="dxa"/>
            </w:tcMar>
          </w:tcPr>
          <w:p>
            <w:pPr>
              <w:spacing w:after="0" w:line="252" w:lineRule="auto"/>
            </w:pPr>
            <w:r>
              <w:rPr>
                <w:rFonts w:ascii="Arial" w:hAnsi="Arial"/>
                <w:color w:val="181D22"/>
                <w:sz w:val="17"/>
              </w:rPr>
              <w:t>O integrador não calcula timelocks, claim deadlines ou margens de reorg.</w:t>
            </w:r>
          </w:p>
        </w:tc>
      </w:tr>
      <w:tr>
        <w:tc>
          <w:tcPr>
            <w:tcW w:type="dxa" w:w="1200"/>
            <w:shd w:fill="F5F7F9"/>
            <w:vAlign w:val="center"/>
            <w:tcMar>
              <w:top w:w="90" w:type="dxa"/>
              <w:start w:w="120" w:type="dxa"/>
              <w:bottom w:w="90" w:type="dxa"/>
              <w:end w:w="120" w:type="dxa"/>
            </w:tcMar>
          </w:tcPr>
          <w:p>
            <w:pPr>
              <w:spacing w:after="0" w:line="252" w:lineRule="auto"/>
            </w:pPr>
            <w:r>
              <w:rPr>
                <w:rFonts w:ascii="Arial" w:hAnsi="Arial"/>
                <w:color w:val="181D22"/>
                <w:sz w:val="17"/>
              </w:rPr>
              <w:t>UX-14</w:t>
            </w:r>
          </w:p>
        </w:tc>
        <w:tc>
          <w:tcPr>
            <w:tcW w:type="dxa" w:w="8160"/>
            <w:shd w:fill="F5F7F9"/>
            <w:vAlign w:val="center"/>
            <w:tcMar>
              <w:top w:w="90" w:type="dxa"/>
              <w:start w:w="120" w:type="dxa"/>
              <w:bottom w:w="90" w:type="dxa"/>
              <w:end w:w="120" w:type="dxa"/>
            </w:tcMar>
          </w:tcPr>
          <w:p>
            <w:pPr>
              <w:spacing w:after="0" w:line="252" w:lineRule="auto"/>
            </w:pPr>
            <w:r>
              <w:rPr>
                <w:rFonts w:ascii="Arial" w:hAnsi="Arial"/>
                <w:color w:val="181D22"/>
                <w:sz w:val="17"/>
              </w:rPr>
              <w:t>Erros públicos informam envio de fundos, recuperação automática e ação necessária.</w:t>
            </w:r>
          </w:p>
        </w:tc>
      </w:tr>
      <w:tr>
        <w:tc>
          <w:tcPr>
            <w:tcW w:type="dxa" w:w="1200"/>
            <w:vAlign w:val="center"/>
            <w:tcMar>
              <w:top w:w="90" w:type="dxa"/>
              <w:start w:w="120" w:type="dxa"/>
              <w:bottom w:w="90" w:type="dxa"/>
              <w:end w:w="120" w:type="dxa"/>
            </w:tcMar>
          </w:tcPr>
          <w:p>
            <w:pPr>
              <w:spacing w:after="0" w:line="252" w:lineRule="auto"/>
            </w:pPr>
            <w:r>
              <w:rPr>
                <w:rFonts w:ascii="Arial" w:hAnsi="Arial"/>
                <w:color w:val="181D22"/>
                <w:sz w:val="17"/>
              </w:rPr>
              <w:t>UX-15</w:t>
            </w:r>
          </w:p>
        </w:tc>
        <w:tc>
          <w:tcPr>
            <w:tcW w:type="dxa" w:w="8160"/>
            <w:vAlign w:val="center"/>
            <w:tcMar>
              <w:top w:w="90" w:type="dxa"/>
              <w:start w:w="120" w:type="dxa"/>
              <w:bottom w:w="90" w:type="dxa"/>
              <w:end w:w="120" w:type="dxa"/>
            </w:tcMar>
          </w:tcPr>
          <w:p>
            <w:pPr>
              <w:spacing w:after="0" w:line="252" w:lineRule="auto"/>
            </w:pPr>
            <w:r>
              <w:rPr>
                <w:rFonts w:ascii="Arial" w:hAnsi="Arial"/>
                <w:color w:val="181D22"/>
                <w:sz w:val="17"/>
              </w:rPr>
              <w:t>Claim e refund E2E passam sem intervenção técnica no caminho esperado.</w:t>
            </w:r>
          </w:p>
        </w:tc>
      </w:tr>
      <w:tr>
        <w:tc>
          <w:tcPr>
            <w:tcW w:type="dxa" w:w="1200"/>
            <w:shd w:fill="F5F7F9"/>
            <w:vAlign w:val="center"/>
            <w:tcMar>
              <w:top w:w="90" w:type="dxa"/>
              <w:start w:w="120" w:type="dxa"/>
              <w:bottom w:w="90" w:type="dxa"/>
              <w:end w:w="120" w:type="dxa"/>
            </w:tcMar>
          </w:tcPr>
          <w:p>
            <w:pPr>
              <w:spacing w:after="0" w:line="252" w:lineRule="auto"/>
            </w:pPr>
            <w:r>
              <w:rPr>
                <w:rFonts w:ascii="Arial" w:hAnsi="Arial"/>
                <w:color w:val="181D22"/>
                <w:sz w:val="17"/>
              </w:rPr>
              <w:t>UX-16</w:t>
            </w:r>
          </w:p>
        </w:tc>
        <w:tc>
          <w:tcPr>
            <w:tcW w:type="dxa" w:w="8160"/>
            <w:shd w:fill="F5F7F9"/>
            <w:vAlign w:val="center"/>
            <w:tcMar>
              <w:top w:w="90" w:type="dxa"/>
              <w:start w:w="120" w:type="dxa"/>
              <w:bottom w:w="90" w:type="dxa"/>
              <w:end w:w="120" w:type="dxa"/>
            </w:tcMar>
          </w:tcPr>
          <w:p>
            <w:pPr>
              <w:spacing w:after="0" w:line="252" w:lineRule="auto"/>
            </w:pPr>
            <w:r>
              <w:rPr>
                <w:rFonts w:ascii="Arial" w:hAnsi="Arial"/>
                <w:color w:val="181D22"/>
                <w:sz w:val="17"/>
              </w:rPr>
              <w:t>SDK e aplicação não oferecem bypass de refund-before-funding em builds de produção.</w:t>
            </w:r>
          </w:p>
        </w:tc>
      </w:tr>
    </w:tbl>
    <w:p>
      <w:pPr>
        <w:spacing w:after="20"/>
        <w:widowControl/>
      </w:pPr>
    </w:p>
    <w:p>
      <w:pPr>
        <w:pStyle w:val="Heading1"/>
        <w:widowControl/>
      </w:pPr>
      <w:r>
        <w:t>10. Metas mensuráveis</w:t>
      </w:r>
    </w:p>
    <w:tbl>
      <w:tblPr>
        <w:tblStyle w:val="TableGrid"/>
        <w:tblW w:type="dxa" w:w="9360"/>
        <w:jc w:val="left"/>
        <w:tblLayout w:type="fixed"/>
        <w:tblLook w:firstColumn="1" w:firstRow="1" w:lastColumn="0" w:lastRow="0" w:noHBand="0" w:noVBand="1" w:val="04A0"/>
        <w:tblInd w:w="120" w:type="dxa"/>
      </w:tblPr>
      <w:tblGrid>
        <w:gridCol w:w="4300"/>
        <w:gridCol w:w="5060"/>
      </w:tblGrid>
      <w:tr>
        <w:trPr>
          <w:tblHeader w:val="true"/>
        </w:trPr>
        <w:tc>
          <w:tcPr>
            <w:tcW w:type="dxa" w:w="4300"/>
            <w:shd w:fill="19344D"/>
            <w:vAlign w:val="center"/>
            <w:tcMar>
              <w:top w:w="90" w:type="dxa"/>
              <w:start w:w="120" w:type="dxa"/>
              <w:bottom w:w="90" w:type="dxa"/>
              <w:end w:w="120" w:type="dxa"/>
            </w:tcMar>
          </w:tcPr>
          <w:p>
            <w:pPr>
              <w:spacing w:after="0" w:line="252" w:lineRule="auto"/>
            </w:pPr>
            <w:r>
              <w:rPr>
                <w:rFonts w:ascii="Arial" w:hAnsi="Arial"/>
                <w:b/>
                <w:color w:val="FFFFFF"/>
                <w:sz w:val="17"/>
              </w:rPr>
              <w:t>Métrica</w:t>
            </w:r>
          </w:p>
        </w:tc>
        <w:tc>
          <w:tcPr>
            <w:tcW w:type="dxa" w:w="5060"/>
            <w:shd w:fill="19344D"/>
            <w:vAlign w:val="center"/>
            <w:tcMar>
              <w:top w:w="90" w:type="dxa"/>
              <w:start w:w="120" w:type="dxa"/>
              <w:bottom w:w="90" w:type="dxa"/>
              <w:end w:w="120" w:type="dxa"/>
            </w:tcMar>
          </w:tcPr>
          <w:p>
            <w:pPr>
              <w:spacing w:after="0" w:line="252" w:lineRule="auto"/>
            </w:pPr>
            <w:r>
              <w:rPr>
                <w:rFonts w:ascii="Arial" w:hAnsi="Arial"/>
                <w:b/>
                <w:color w:val="FFFFFF"/>
                <w:sz w:val="17"/>
              </w:rPr>
              <w:t>Meta inicial obrigatória</w:t>
            </w:r>
          </w:p>
        </w:tc>
      </w:tr>
      <w:tr>
        <w:tc>
          <w:tcPr>
            <w:tcW w:type="dxa" w:w="4300"/>
            <w:vAlign w:val="center"/>
            <w:tcMar>
              <w:top w:w="90" w:type="dxa"/>
              <w:start w:w="120" w:type="dxa"/>
              <w:bottom w:w="90" w:type="dxa"/>
              <w:end w:w="120" w:type="dxa"/>
            </w:tcMar>
          </w:tcPr>
          <w:p>
            <w:pPr>
              <w:spacing w:after="0" w:line="252" w:lineRule="auto"/>
            </w:pPr>
            <w:r>
              <w:rPr>
                <w:rFonts w:ascii="Arial" w:hAnsi="Arial"/>
                <w:color w:val="181D22"/>
                <w:sz w:val="17"/>
              </w:rPr>
              <w:t>Aprovações no fluxo normal</w:t>
            </w:r>
          </w:p>
        </w:tc>
        <w:tc>
          <w:tcPr>
            <w:tcW w:type="dxa" w:w="5060"/>
            <w:vAlign w:val="center"/>
            <w:tcMar>
              <w:top w:w="90" w:type="dxa"/>
              <w:start w:w="120" w:type="dxa"/>
              <w:bottom w:w="90" w:type="dxa"/>
              <w:end w:w="120" w:type="dxa"/>
            </w:tcMar>
          </w:tcPr>
          <w:p>
            <w:pPr>
              <w:spacing w:after="0" w:line="252" w:lineRule="auto"/>
            </w:pPr>
            <w:r>
              <w:rPr>
                <w:rFonts w:ascii="Arial" w:hAnsi="Arial"/>
                <w:color w:val="181D22"/>
                <w:sz w:val="17"/>
              </w:rPr>
              <w:t>1</w:t>
            </w:r>
          </w:p>
        </w:tc>
      </w:tr>
      <w:tr>
        <w:tc>
          <w:tcPr>
            <w:tcW w:type="dxa" w:w="4300"/>
            <w:shd w:fill="F5F7F9"/>
            <w:vAlign w:val="center"/>
            <w:tcMar>
              <w:top w:w="90" w:type="dxa"/>
              <w:start w:w="120" w:type="dxa"/>
              <w:bottom w:w="90" w:type="dxa"/>
              <w:end w:w="120" w:type="dxa"/>
            </w:tcMar>
          </w:tcPr>
          <w:p>
            <w:pPr>
              <w:spacing w:after="0" w:line="252" w:lineRule="auto"/>
            </w:pPr>
            <w:r>
              <w:rPr>
                <w:rFonts w:ascii="Arial" w:hAnsi="Arial"/>
                <w:color w:val="181D22"/>
                <w:sz w:val="17"/>
              </w:rPr>
              <w:t>Métodos essenciais para integração básica</w:t>
            </w:r>
          </w:p>
        </w:tc>
        <w:tc>
          <w:tcPr>
            <w:tcW w:type="dxa" w:w="5060"/>
            <w:shd w:fill="F5F7F9"/>
            <w:vAlign w:val="center"/>
            <w:tcMar>
              <w:top w:w="90" w:type="dxa"/>
              <w:start w:w="120" w:type="dxa"/>
              <w:bottom w:w="90" w:type="dxa"/>
              <w:end w:w="120" w:type="dxa"/>
            </w:tcMar>
          </w:tcPr>
          <w:p>
            <w:pPr>
              <w:spacing w:after="0" w:line="252" w:lineRule="auto"/>
            </w:pPr>
            <w:r>
              <w:rPr>
                <w:rFonts w:ascii="Arial" w:hAnsi="Arial"/>
                <w:color w:val="181D22"/>
                <w:sz w:val="17"/>
              </w:rPr>
              <w:t>Até 5</w:t>
            </w:r>
          </w:p>
        </w:tc>
      </w:tr>
      <w:tr>
        <w:tc>
          <w:tcPr>
            <w:tcW w:type="dxa" w:w="4300"/>
            <w:vAlign w:val="center"/>
            <w:tcMar>
              <w:top w:w="90" w:type="dxa"/>
              <w:start w:w="120" w:type="dxa"/>
              <w:bottom w:w="90" w:type="dxa"/>
              <w:end w:w="120" w:type="dxa"/>
            </w:tcMar>
          </w:tcPr>
          <w:p>
            <w:pPr>
              <w:spacing w:after="0" w:line="252" w:lineRule="auto"/>
            </w:pPr>
            <w:r>
              <w:rPr>
                <w:rFonts w:ascii="Arial" w:hAnsi="Arial"/>
                <w:color w:val="181D22"/>
                <w:sz w:val="17"/>
              </w:rPr>
              <w:t>Manipulação de nonces pelo integrador</w:t>
            </w:r>
          </w:p>
        </w:tc>
        <w:tc>
          <w:tcPr>
            <w:tcW w:type="dxa" w:w="5060"/>
            <w:vAlign w:val="center"/>
            <w:tcMar>
              <w:top w:w="90" w:type="dxa"/>
              <w:start w:w="120" w:type="dxa"/>
              <w:bottom w:w="90" w:type="dxa"/>
              <w:end w:w="120" w:type="dxa"/>
            </w:tcMar>
          </w:tcPr>
          <w:p>
            <w:pPr>
              <w:spacing w:after="0" w:line="252" w:lineRule="auto"/>
            </w:pPr>
            <w:r>
              <w:rPr>
                <w:rFonts w:ascii="Arial" w:hAnsi="Arial"/>
                <w:color w:val="181D22"/>
                <w:sz w:val="17"/>
              </w:rPr>
              <w:t>0</w:t>
            </w:r>
          </w:p>
        </w:tc>
      </w:tr>
      <w:tr>
        <w:tc>
          <w:tcPr>
            <w:tcW w:type="dxa" w:w="4300"/>
            <w:shd w:fill="F5F7F9"/>
            <w:vAlign w:val="center"/>
            <w:tcMar>
              <w:top w:w="90" w:type="dxa"/>
              <w:start w:w="120" w:type="dxa"/>
              <w:bottom w:w="90" w:type="dxa"/>
              <w:end w:w="120" w:type="dxa"/>
            </w:tcMar>
          </w:tcPr>
          <w:p>
            <w:pPr>
              <w:spacing w:after="0" w:line="252" w:lineRule="auto"/>
            </w:pPr>
            <w:r>
              <w:rPr>
                <w:rFonts w:ascii="Arial" w:hAnsi="Arial"/>
                <w:color w:val="181D22"/>
                <w:sz w:val="17"/>
              </w:rPr>
              <w:t>Tratamento manual de reorg pelo integrador</w:t>
            </w:r>
          </w:p>
        </w:tc>
        <w:tc>
          <w:tcPr>
            <w:tcW w:type="dxa" w:w="5060"/>
            <w:shd w:fill="F5F7F9"/>
            <w:vAlign w:val="center"/>
            <w:tcMar>
              <w:top w:w="90" w:type="dxa"/>
              <w:start w:w="120" w:type="dxa"/>
              <w:bottom w:w="90" w:type="dxa"/>
              <w:end w:w="120" w:type="dxa"/>
            </w:tcMar>
          </w:tcPr>
          <w:p>
            <w:pPr>
              <w:spacing w:after="0" w:line="252" w:lineRule="auto"/>
            </w:pPr>
            <w:r>
              <w:rPr>
                <w:rFonts w:ascii="Arial" w:hAnsi="Arial"/>
                <w:color w:val="181D22"/>
                <w:sz w:val="17"/>
              </w:rPr>
              <w:t>0</w:t>
            </w:r>
          </w:p>
        </w:tc>
      </w:tr>
      <w:tr>
        <w:tc>
          <w:tcPr>
            <w:tcW w:type="dxa" w:w="4300"/>
            <w:vAlign w:val="center"/>
            <w:tcMar>
              <w:top w:w="90" w:type="dxa"/>
              <w:start w:w="120" w:type="dxa"/>
              <w:bottom w:w="90" w:type="dxa"/>
              <w:end w:w="120" w:type="dxa"/>
            </w:tcMar>
          </w:tcPr>
          <w:p>
            <w:pPr>
              <w:spacing w:after="0" w:line="252" w:lineRule="auto"/>
            </w:pPr>
            <w:r>
              <w:rPr>
                <w:rFonts w:ascii="Arial" w:hAnsi="Arial"/>
                <w:color w:val="181D22"/>
                <w:sz w:val="17"/>
              </w:rPr>
              <w:t>Configuração manual de timelocks</w:t>
            </w:r>
          </w:p>
        </w:tc>
        <w:tc>
          <w:tcPr>
            <w:tcW w:type="dxa" w:w="5060"/>
            <w:vAlign w:val="center"/>
            <w:tcMar>
              <w:top w:w="90" w:type="dxa"/>
              <w:start w:w="120" w:type="dxa"/>
              <w:bottom w:w="90" w:type="dxa"/>
              <w:end w:w="120" w:type="dxa"/>
            </w:tcMar>
          </w:tcPr>
          <w:p>
            <w:pPr>
              <w:spacing w:after="0" w:line="252" w:lineRule="auto"/>
            </w:pPr>
            <w:r>
              <w:rPr>
                <w:rFonts w:ascii="Arial" w:hAnsi="Arial"/>
                <w:color w:val="181D22"/>
                <w:sz w:val="17"/>
              </w:rPr>
              <w:t>0</w:t>
            </w:r>
          </w:p>
        </w:tc>
      </w:tr>
      <w:tr>
        <w:tc>
          <w:tcPr>
            <w:tcW w:type="dxa" w:w="4300"/>
            <w:shd w:fill="F5F7F9"/>
            <w:vAlign w:val="center"/>
            <w:tcMar>
              <w:top w:w="90" w:type="dxa"/>
              <w:start w:w="120" w:type="dxa"/>
              <w:bottom w:w="90" w:type="dxa"/>
              <w:end w:w="120" w:type="dxa"/>
            </w:tcMar>
          </w:tcPr>
          <w:p>
            <w:pPr>
              <w:spacing w:after="0" w:line="252" w:lineRule="auto"/>
            </w:pPr>
            <w:r>
              <w:rPr>
                <w:rFonts w:ascii="Arial" w:hAnsi="Arial"/>
                <w:color w:val="181D22"/>
                <w:sz w:val="17"/>
              </w:rPr>
              <w:t>Retomada automática</w:t>
            </w:r>
          </w:p>
        </w:tc>
        <w:tc>
          <w:tcPr>
            <w:tcW w:type="dxa" w:w="5060"/>
            <w:shd w:fill="F5F7F9"/>
            <w:vAlign w:val="center"/>
            <w:tcMar>
              <w:top w:w="90" w:type="dxa"/>
              <w:start w:w="120" w:type="dxa"/>
              <w:bottom w:w="90" w:type="dxa"/>
              <w:end w:w="120" w:type="dxa"/>
            </w:tcMar>
          </w:tcPr>
          <w:p>
            <w:pPr>
              <w:spacing w:after="0" w:line="252" w:lineRule="auto"/>
            </w:pPr>
            <w:r>
              <w:rPr>
                <w:rFonts w:ascii="Arial" w:hAnsi="Arial"/>
                <w:color w:val="181D22"/>
                <w:sz w:val="17"/>
              </w:rPr>
              <w:t>100% dos estados classificados como recuperáveis</w:t>
            </w:r>
          </w:p>
        </w:tc>
      </w:tr>
      <w:tr>
        <w:tc>
          <w:tcPr>
            <w:tcW w:type="dxa" w:w="4300"/>
            <w:vAlign w:val="center"/>
            <w:tcMar>
              <w:top w:w="90" w:type="dxa"/>
              <w:start w:w="120" w:type="dxa"/>
              <w:bottom w:w="90" w:type="dxa"/>
              <w:end w:w="120" w:type="dxa"/>
            </w:tcMar>
          </w:tcPr>
          <w:p>
            <w:pPr>
              <w:spacing w:after="0" w:line="252" w:lineRule="auto"/>
            </w:pPr>
            <w:r>
              <w:rPr>
                <w:rFonts w:ascii="Arial" w:hAnsi="Arial"/>
                <w:color w:val="181D22"/>
                <w:sz w:val="17"/>
              </w:rPr>
              <w:t>Erros públicos que informam situação dos fundos</w:t>
            </w:r>
          </w:p>
        </w:tc>
        <w:tc>
          <w:tcPr>
            <w:tcW w:type="dxa" w:w="5060"/>
            <w:vAlign w:val="center"/>
            <w:tcMar>
              <w:top w:w="90" w:type="dxa"/>
              <w:start w:w="120" w:type="dxa"/>
              <w:bottom w:w="90" w:type="dxa"/>
              <w:end w:w="120" w:type="dxa"/>
            </w:tcMar>
          </w:tcPr>
          <w:p>
            <w:pPr>
              <w:spacing w:after="0" w:line="252" w:lineRule="auto"/>
            </w:pPr>
            <w:r>
              <w:rPr>
                <w:rFonts w:ascii="Arial" w:hAnsi="Arial"/>
                <w:color w:val="181D22"/>
                <w:sz w:val="17"/>
              </w:rPr>
              <w:t>100%</w:t>
            </w:r>
          </w:p>
        </w:tc>
      </w:tr>
      <w:tr>
        <w:tc>
          <w:tcPr>
            <w:tcW w:type="dxa" w:w="4300"/>
            <w:shd w:fill="F5F7F9"/>
            <w:vAlign w:val="center"/>
            <w:tcMar>
              <w:top w:w="90" w:type="dxa"/>
              <w:start w:w="120" w:type="dxa"/>
              <w:bottom w:w="90" w:type="dxa"/>
              <w:end w:w="120" w:type="dxa"/>
            </w:tcMar>
          </w:tcPr>
          <w:p>
            <w:pPr>
              <w:spacing w:after="0" w:line="252" w:lineRule="auto"/>
            </w:pPr>
            <w:r>
              <w:rPr>
                <w:rFonts w:ascii="Arial" w:hAnsi="Arial"/>
                <w:color w:val="181D22"/>
                <w:sz w:val="17"/>
              </w:rPr>
              <w:t>Sessões financiadas abandonadas sem monitoramento</w:t>
            </w:r>
          </w:p>
        </w:tc>
        <w:tc>
          <w:tcPr>
            <w:tcW w:type="dxa" w:w="5060"/>
            <w:shd w:fill="F5F7F9"/>
            <w:vAlign w:val="center"/>
            <w:tcMar>
              <w:top w:w="90" w:type="dxa"/>
              <w:start w:w="120" w:type="dxa"/>
              <w:bottom w:w="90" w:type="dxa"/>
              <w:end w:w="120" w:type="dxa"/>
            </w:tcMar>
          </w:tcPr>
          <w:p>
            <w:pPr>
              <w:spacing w:after="0" w:line="252" w:lineRule="auto"/>
            </w:pPr>
            <w:r>
              <w:rPr>
                <w:rFonts w:ascii="Arial" w:hAnsi="Arial"/>
                <w:color w:val="181D22"/>
                <w:sz w:val="17"/>
              </w:rPr>
              <w:t>0</w:t>
            </w:r>
          </w:p>
        </w:tc>
      </w:tr>
      <w:tr>
        <w:tc>
          <w:tcPr>
            <w:tcW w:type="dxa" w:w="4300"/>
            <w:vAlign w:val="center"/>
            <w:tcMar>
              <w:top w:w="90" w:type="dxa"/>
              <w:start w:w="120" w:type="dxa"/>
              <w:bottom w:w="90" w:type="dxa"/>
              <w:end w:w="120" w:type="dxa"/>
            </w:tcMar>
          </w:tcPr>
          <w:p>
            <w:pPr>
              <w:spacing w:after="0" w:line="252" w:lineRule="auto"/>
            </w:pPr>
            <w:r>
              <w:rPr>
                <w:rFonts w:ascii="Arial" w:hAnsi="Arial"/>
                <w:color w:val="181D22"/>
                <w:sz w:val="17"/>
              </w:rPr>
              <w:t>Reutilização de nonce</w:t>
            </w:r>
          </w:p>
        </w:tc>
        <w:tc>
          <w:tcPr>
            <w:tcW w:type="dxa" w:w="5060"/>
            <w:vAlign w:val="center"/>
            <w:tcMar>
              <w:top w:w="90" w:type="dxa"/>
              <w:start w:w="120" w:type="dxa"/>
              <w:bottom w:w="90" w:type="dxa"/>
              <w:end w:w="120" w:type="dxa"/>
            </w:tcMar>
          </w:tcPr>
          <w:p>
            <w:pPr>
              <w:spacing w:after="0" w:line="252" w:lineRule="auto"/>
            </w:pPr>
            <w:r>
              <w:rPr>
                <w:rFonts w:ascii="Arial" w:hAnsi="Arial"/>
                <w:color w:val="181D22"/>
                <w:sz w:val="17"/>
              </w:rPr>
              <w:t>0</w:t>
            </w:r>
          </w:p>
        </w:tc>
      </w:tr>
      <w:tr>
        <w:tc>
          <w:tcPr>
            <w:tcW w:type="dxa" w:w="4300"/>
            <w:shd w:fill="F5F7F9"/>
            <w:vAlign w:val="center"/>
            <w:tcMar>
              <w:top w:w="90" w:type="dxa"/>
              <w:start w:w="120" w:type="dxa"/>
              <w:bottom w:w="90" w:type="dxa"/>
              <w:end w:w="120" w:type="dxa"/>
            </w:tcMar>
          </w:tcPr>
          <w:p>
            <w:pPr>
              <w:spacing w:after="0" w:line="252" w:lineRule="auto"/>
            </w:pPr>
            <w:r>
              <w:rPr>
                <w:rFonts w:ascii="Arial" w:hAnsi="Arial"/>
                <w:color w:val="181D22"/>
                <w:sz w:val="17"/>
              </w:rPr>
              <w:t>Tempo-alvo de integração do sandbox</w:t>
            </w:r>
          </w:p>
        </w:tc>
        <w:tc>
          <w:tcPr>
            <w:tcW w:type="dxa" w:w="5060"/>
            <w:shd w:fill="F5F7F9"/>
            <w:vAlign w:val="center"/>
            <w:tcMar>
              <w:top w:w="90" w:type="dxa"/>
              <w:start w:w="120" w:type="dxa"/>
              <w:bottom w:w="90" w:type="dxa"/>
              <w:end w:w="120" w:type="dxa"/>
            </w:tcMar>
          </w:tcPr>
          <w:p>
            <w:pPr>
              <w:spacing w:after="0" w:line="252" w:lineRule="auto"/>
            </w:pPr>
            <w:r>
              <w:rPr>
                <w:rFonts w:ascii="Arial" w:hAnsi="Arial"/>
                <w:color w:val="181D22"/>
                <w:sz w:val="17"/>
              </w:rPr>
              <w:t>Menos de 1 dia por desenvolvedor habilitado</w:t>
            </w:r>
          </w:p>
        </w:tc>
      </w:tr>
    </w:tbl>
    <w:p>
      <w:pPr>
        <w:spacing w:after="20"/>
        <w:widowControl/>
      </w:pPr>
    </w:p>
    <w:p>
      <w:pPr>
        <w:widowControl/>
      </w:pPr>
      <w:r>
        <w:t>As metas de ergonomia não reduzem os requisitos criptográficos. Qualquer otimização que enfraqueça refund-before-funding, nonce safety, validação bilateral, persistência durável ou fail-closed é rejeitada.</w:t>
      </w:r>
    </w:p>
    <w:p>
      <w:pPr>
        <w:pStyle w:val="Heading1"/>
        <w:widowControl/>
      </w:pPr>
      <w:r>
        <w:t>11. Entregáveis obrigatórios</w:t>
      </w:r>
    </w:p>
    <w:p>
      <w:pPr>
        <w:pStyle w:val="ListBullet"/>
        <w:widowControl/>
      </w:pPr>
      <w:r>
        <w:t>API pública orientada a intenção e modelo único de autorização;</w:t>
      </w:r>
    </w:p>
    <w:p>
      <w:pPr>
        <w:pStyle w:val="ListBullet"/>
        <w:widowControl/>
      </w:pPr>
      <w:r>
        <w:t>executor persistente integrado à máquina de estados e ao Nonce Vault;</w:t>
      </w:r>
    </w:p>
    <w:p>
      <w:pPr>
        <w:pStyle w:val="ListBullet"/>
        <w:widowControl/>
      </w:pPr>
      <w:r>
        <w:t>transporte substituível com retransmissão idempotente;</w:t>
      </w:r>
    </w:p>
    <w:p>
      <w:pPr>
        <w:pStyle w:val="ListBullet"/>
        <w:widowControl/>
      </w:pPr>
      <w:r>
        <w:t>monitoramento e reconciliação automatizados de reorg, claim e refund;</w:t>
      </w:r>
    </w:p>
    <w:p>
      <w:pPr>
        <w:pStyle w:val="ListBullet"/>
        <w:widowControl/>
      </w:pPr>
      <w:r>
        <w:t>taxonomia estável de estados e erros públicos;</w:t>
      </w:r>
    </w:p>
    <w:p>
      <w:pPr>
        <w:pStyle w:val="ListBullet"/>
        <w:widowControl/>
      </w:pPr>
      <w:r>
        <w:t>SDK Rust canônica e SDK TypeScript; bindings mobile quando o cliente móvel entrar no escopo de release;</w:t>
      </w:r>
    </w:p>
    <w:p>
      <w:pPr>
        <w:pStyle w:val="ListBullet"/>
        <w:widowControl/>
      </w:pPr>
      <w:r>
        <w:t>sandbox, exemplos mínimos e documentação de integração;</w:t>
      </w:r>
    </w:p>
    <w:p>
      <w:pPr>
        <w:pStyle w:val="ListBullet"/>
        <w:widowControl/>
      </w:pPr>
      <w:r>
        <w:t>crash matrix, testes de reorg e E2E dos dois terminais: claim e refund;</w:t>
      </w:r>
    </w:p>
    <w:p>
      <w:pPr>
        <w:pStyle w:val="ListBullet"/>
        <w:widowControl/>
      </w:pPr>
      <w:r>
        <w:t>teste de integração com desenvolvedores sem conhecimento prévio de Scriptless Contracts;</w:t>
      </w:r>
    </w:p>
    <w:p>
      <w:pPr>
        <w:pStyle w:val="ListBullet"/>
        <w:widowControl/>
      </w:pPr>
      <w:r>
        <w:t>relatório de aprovação G-UX1 vinculado a commit, versões e ambiente de teste.</w:t>
      </w:r>
    </w:p>
    <w:p>
      <w:pPr>
        <w:pStyle w:val="Heading1"/>
        <w:widowControl/>
      </w:pPr>
      <w:r>
        <w:t>12. Impacto no cronograma</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19344D"/>
            <w:vAlign w:val="center"/>
            <w:tcMar>
              <w:top w:w="90" w:type="dxa"/>
              <w:start w:w="120" w:type="dxa"/>
              <w:bottom w:w="90" w:type="dxa"/>
              <w:end w:w="120" w:type="dxa"/>
            </w:tcMar>
          </w:tcPr>
          <w:p>
            <w:pPr>
              <w:spacing w:after="0" w:line="252" w:lineRule="auto"/>
            </w:pPr>
            <w:r>
              <w:rPr>
                <w:rFonts w:ascii="Arial" w:hAnsi="Arial"/>
                <w:b/>
                <w:color w:val="FFFFFF"/>
                <w:sz w:val="17"/>
              </w:rPr>
              <w:t>Fase existente</w:t>
            </w:r>
          </w:p>
        </w:tc>
        <w:tc>
          <w:tcPr>
            <w:tcW w:type="dxa" w:w="6760"/>
            <w:shd w:fill="19344D"/>
            <w:vAlign w:val="center"/>
            <w:tcMar>
              <w:top w:w="90" w:type="dxa"/>
              <w:start w:w="120" w:type="dxa"/>
              <w:bottom w:w="90" w:type="dxa"/>
              <w:end w:w="120" w:type="dxa"/>
            </w:tcMar>
          </w:tcPr>
          <w:p>
            <w:pPr>
              <w:spacing w:after="0" w:line="252" w:lineRule="auto"/>
            </w:pPr>
            <w:r>
              <w:rPr>
                <w:rFonts w:ascii="Arial" w:hAnsi="Arial"/>
                <w:b/>
                <w:color w:val="FFFFFF"/>
                <w:sz w:val="17"/>
              </w:rPr>
              <w:t>Incorporação exigida por este adendo</w:t>
            </w:r>
          </w:p>
        </w:tc>
      </w:tr>
      <w:tr>
        <w:tc>
          <w:tcPr>
            <w:tcW w:type="dxa" w:w="2600"/>
            <w:vAlign w:val="center"/>
            <w:tcMar>
              <w:top w:w="90" w:type="dxa"/>
              <w:start w:w="120" w:type="dxa"/>
              <w:bottom w:w="90" w:type="dxa"/>
              <w:end w:w="120" w:type="dxa"/>
            </w:tcMar>
          </w:tcPr>
          <w:p>
            <w:pPr>
              <w:spacing w:after="0" w:line="252" w:lineRule="auto"/>
            </w:pPr>
            <w:r>
              <w:rPr>
                <w:rFonts w:ascii="Arial" w:hAnsi="Arial"/>
                <w:color w:val="181D22"/>
                <w:sz w:val="17"/>
              </w:rPr>
              <w:t>Fase 1 — Adaptor/Nonce</w:t>
            </w:r>
          </w:p>
        </w:tc>
        <w:tc>
          <w:tcPr>
            <w:tcW w:type="dxa" w:w="6760"/>
            <w:vAlign w:val="center"/>
            <w:tcMar>
              <w:top w:w="90" w:type="dxa"/>
              <w:start w:w="120" w:type="dxa"/>
              <w:bottom w:w="90" w:type="dxa"/>
              <w:end w:w="120" w:type="dxa"/>
            </w:tcMar>
          </w:tcPr>
          <w:p>
            <w:pPr>
              <w:spacing w:after="0" w:line="252" w:lineRule="auto"/>
            </w:pPr>
            <w:r>
              <w:rPr>
                <w:rFonts w:ascii="Arial" w:hAnsi="Arial"/>
                <w:color w:val="181D22"/>
                <w:sz w:val="17"/>
              </w:rPr>
              <w:t>Garantir que a API pública nunca exponha nonce ou partial signing; testes de bypass em release.</w:t>
            </w:r>
          </w:p>
        </w:tc>
      </w:tr>
      <w:tr>
        <w:tc>
          <w:tcPr>
            <w:tcW w:type="dxa" w:w="2600"/>
            <w:shd w:fill="F5F7F9"/>
            <w:vAlign w:val="center"/>
            <w:tcMar>
              <w:top w:w="90" w:type="dxa"/>
              <w:start w:w="120" w:type="dxa"/>
              <w:bottom w:w="90" w:type="dxa"/>
              <w:end w:w="120" w:type="dxa"/>
            </w:tcMar>
          </w:tcPr>
          <w:p>
            <w:pPr>
              <w:spacing w:after="0" w:line="252" w:lineRule="auto"/>
            </w:pPr>
            <w:r>
              <w:rPr>
                <w:rFonts w:ascii="Arial" w:hAnsi="Arial"/>
                <w:color w:val="181D22"/>
                <w:sz w:val="17"/>
              </w:rPr>
              <w:t>Fase 3 — Sessão, transporte e estado</w:t>
            </w:r>
          </w:p>
        </w:tc>
        <w:tc>
          <w:tcPr>
            <w:tcW w:type="dxa" w:w="6760"/>
            <w:shd w:fill="F5F7F9"/>
            <w:vAlign w:val="center"/>
            <w:tcMar>
              <w:top w:w="90" w:type="dxa"/>
              <w:start w:w="120" w:type="dxa"/>
              <w:bottom w:w="90" w:type="dxa"/>
              <w:end w:w="120" w:type="dxa"/>
            </w:tcMar>
          </w:tcPr>
          <w:p>
            <w:pPr>
              <w:spacing w:after="0" w:line="252" w:lineRule="auto"/>
            </w:pPr>
            <w:r>
              <w:rPr>
                <w:rFonts w:ascii="Arial" w:hAnsi="Arial"/>
                <w:color w:val="181D22"/>
                <w:sz w:val="17"/>
              </w:rPr>
              <w:t>Implementar executor persistente, retomada, estados públicos e idempotência como fundação de UX.</w:t>
            </w:r>
          </w:p>
        </w:tc>
      </w:tr>
      <w:tr>
        <w:tc>
          <w:tcPr>
            <w:tcW w:type="dxa" w:w="2600"/>
            <w:vAlign w:val="center"/>
            <w:tcMar>
              <w:top w:w="90" w:type="dxa"/>
              <w:start w:w="120" w:type="dxa"/>
              <w:bottom w:w="90" w:type="dxa"/>
              <w:end w:w="120" w:type="dxa"/>
            </w:tcMar>
          </w:tcPr>
          <w:p>
            <w:pPr>
              <w:spacing w:after="0" w:line="252" w:lineRule="auto"/>
            </w:pPr>
            <w:r>
              <w:rPr>
                <w:rFonts w:ascii="Arial" w:hAnsi="Arial"/>
                <w:color w:val="181D22"/>
                <w:sz w:val="17"/>
              </w:rPr>
              <w:t>Fase 4 — Funding/refund</w:t>
            </w:r>
          </w:p>
        </w:tc>
        <w:tc>
          <w:tcPr>
            <w:tcW w:type="dxa" w:w="6760"/>
            <w:vAlign w:val="center"/>
            <w:tcMar>
              <w:top w:w="90" w:type="dxa"/>
              <w:start w:w="120" w:type="dxa"/>
              <w:bottom w:w="90" w:type="dxa"/>
              <w:end w:w="120" w:type="dxa"/>
            </w:tcMar>
          </w:tcPr>
          <w:p>
            <w:pPr>
              <w:spacing w:after="0" w:line="252" w:lineRule="auto"/>
            </w:pPr>
            <w:r>
              <w:rPr>
                <w:rFonts w:ascii="Arial" w:hAnsi="Arial"/>
                <w:color w:val="181D22"/>
                <w:sz w:val="17"/>
              </w:rPr>
              <w:t>Vincular aprovação única aos termos e automatizar refund-before-funding sem confirmação repetitiva.</w:t>
            </w:r>
          </w:p>
        </w:tc>
      </w:tr>
      <w:tr>
        <w:tc>
          <w:tcPr>
            <w:tcW w:type="dxa" w:w="2600"/>
            <w:shd w:fill="F5F7F9"/>
            <w:vAlign w:val="center"/>
            <w:tcMar>
              <w:top w:w="90" w:type="dxa"/>
              <w:start w:w="120" w:type="dxa"/>
              <w:bottom w:w="90" w:type="dxa"/>
              <w:end w:w="120" w:type="dxa"/>
            </w:tcMar>
          </w:tcPr>
          <w:p>
            <w:pPr>
              <w:spacing w:after="0" w:line="252" w:lineRule="auto"/>
            </w:pPr>
            <w:r>
              <w:rPr>
                <w:rFonts w:ascii="Arial" w:hAnsi="Arial"/>
                <w:color w:val="181D22"/>
                <w:sz w:val="17"/>
              </w:rPr>
              <w:t>Fase 5 — Claim</w:t>
            </w:r>
          </w:p>
        </w:tc>
        <w:tc>
          <w:tcPr>
            <w:tcW w:type="dxa" w:w="6760"/>
            <w:shd w:fill="F5F7F9"/>
            <w:vAlign w:val="center"/>
            <w:tcMar>
              <w:top w:w="90" w:type="dxa"/>
              <w:start w:w="120" w:type="dxa"/>
              <w:bottom w:w="90" w:type="dxa"/>
              <w:end w:w="120" w:type="dxa"/>
            </w:tcMar>
          </w:tcPr>
          <w:p>
            <w:pPr>
              <w:spacing w:after="0" w:line="252" w:lineRule="auto"/>
            </w:pPr>
            <w:r>
              <w:rPr>
                <w:rFonts w:ascii="Arial" w:hAnsi="Arial"/>
                <w:color w:val="181D22"/>
                <w:sz w:val="17"/>
              </w:rPr>
              <w:t>Automatizar claim, deadline e fallback; nenhuma coordenação criptográfica pelo integrador.</w:t>
            </w:r>
          </w:p>
        </w:tc>
      </w:tr>
      <w:tr>
        <w:tc>
          <w:tcPr>
            <w:tcW w:type="dxa" w:w="2600"/>
            <w:vAlign w:val="center"/>
            <w:tcMar>
              <w:top w:w="90" w:type="dxa"/>
              <w:start w:w="120" w:type="dxa"/>
              <w:bottom w:w="90" w:type="dxa"/>
              <w:end w:w="120" w:type="dxa"/>
            </w:tcMar>
          </w:tcPr>
          <w:p>
            <w:pPr>
              <w:spacing w:after="0" w:line="252" w:lineRule="auto"/>
            </w:pPr>
            <w:r>
              <w:rPr>
                <w:rFonts w:ascii="Arial" w:hAnsi="Arial"/>
                <w:color w:val="181D22"/>
                <w:sz w:val="17"/>
              </w:rPr>
              <w:t>Fase 6 — E2E</w:t>
            </w:r>
          </w:p>
        </w:tc>
        <w:tc>
          <w:tcPr>
            <w:tcW w:type="dxa" w:w="6760"/>
            <w:vAlign w:val="center"/>
            <w:tcMar>
              <w:top w:w="90" w:type="dxa"/>
              <w:start w:w="120" w:type="dxa"/>
              <w:bottom w:w="90" w:type="dxa"/>
              <w:end w:w="120" w:type="dxa"/>
            </w:tcMar>
          </w:tcPr>
          <w:p>
            <w:pPr>
              <w:spacing w:after="0" w:line="252" w:lineRule="auto"/>
            </w:pPr>
            <w:r>
              <w:rPr>
                <w:rFonts w:ascii="Arial" w:hAnsi="Arial"/>
                <w:color w:val="181D22"/>
                <w:sz w:val="17"/>
              </w:rPr>
              <w:t>Executar G-UX1, testes com integradores e fluxo completo com UI fechada/reinício.</w:t>
            </w:r>
          </w:p>
        </w:tc>
      </w:tr>
      <w:tr>
        <w:tc>
          <w:tcPr>
            <w:tcW w:type="dxa" w:w="2600"/>
            <w:shd w:fill="F5F7F9"/>
            <w:vAlign w:val="center"/>
            <w:tcMar>
              <w:top w:w="90" w:type="dxa"/>
              <w:start w:w="120" w:type="dxa"/>
              <w:bottom w:w="90" w:type="dxa"/>
              <w:end w:w="120" w:type="dxa"/>
            </w:tcMar>
          </w:tcPr>
          <w:p>
            <w:pPr>
              <w:spacing w:after="0" w:line="252" w:lineRule="auto"/>
            </w:pPr>
            <w:r>
              <w:rPr>
                <w:rFonts w:ascii="Arial" w:hAnsi="Arial"/>
                <w:color w:val="181D22"/>
                <w:sz w:val="17"/>
              </w:rPr>
              <w:t>Fase 7 — SDK/Produto</w:t>
            </w:r>
          </w:p>
        </w:tc>
        <w:tc>
          <w:tcPr>
            <w:tcW w:type="dxa" w:w="6760"/>
            <w:shd w:fill="F5F7F9"/>
            <w:vAlign w:val="center"/>
            <w:tcMar>
              <w:top w:w="90" w:type="dxa"/>
              <w:start w:w="120" w:type="dxa"/>
              <w:bottom w:w="90" w:type="dxa"/>
              <w:end w:w="120" w:type="dxa"/>
            </w:tcMar>
          </w:tcPr>
          <w:p>
            <w:pPr>
              <w:spacing w:after="0" w:line="252" w:lineRule="auto"/>
            </w:pPr>
            <w:r>
              <w:rPr>
                <w:rFonts w:ascii="Arial" w:hAnsi="Arial"/>
                <w:color w:val="181D22"/>
                <w:sz w:val="17"/>
              </w:rPr>
              <w:t>Publicar SDKs, sandbox, documentação, métricas e erros orientados à ação.</w:t>
            </w:r>
          </w:p>
        </w:tc>
      </w:tr>
    </w:tbl>
    <w:p>
      <w:pPr>
        <w:spacing w:after="20"/>
        <w:widowControl/>
      </w:pPr>
    </w:p>
    <w:p>
      <w:pPr>
        <w:pStyle w:val="Heading1"/>
        <w:widowControl/>
      </w:pPr>
      <w:r>
        <w:t>13. Status: base existente versus decisão nova</w:t>
      </w:r>
    </w:p>
    <w:p>
      <w:pPr>
        <w:widowControl/>
      </w:pPr>
      <w:r>
        <w:t>Os documentos-base já estabelecem parte importante da fundação: API pública de alto nível, proibição de primitivas perigosas na API de aplicação, máquina de estados, Nonce Vault, persist-before-send, recuperação de crash, tratamento de reorg, monitoramento de claim/refund e refund-before-funding.</w:t>
      </w:r>
    </w:p>
    <w:p>
      <w:pPr>
        <w:widowControl/>
      </w:pPr>
      <w:r>
        <w:t>Este adendo adiciona formalmente o que ainda não estava consolidado como obrigação mensurável: prioridade P1, gate G-UX1 STOP-SHIP, uma aprovação econômica, SDK orientada a intenção, limites de superfície pública, continuidade com UI fechada, taxonomia de erros e estados, metas de integração e testes com desenvolvedores não especialistas.</w:t>
      </w:r>
    </w:p>
    <w:p>
      <w:pPr>
        <w:spacing w:before="80" w:after="160" w:line="269" w:lineRule="auto"/>
        <w:ind w:left="202" w:right="202"/>
        <w:shd w:fill="EAF2F7"/>
        <w:pBdr>
          <w:left w:val="single" w:sz="18" w:space="8" w:color="186996"/>
        </w:pBdr>
        <w:widowControl/>
      </w:pPr>
      <w:r>
        <w:rPr>
          <w:rFonts w:ascii="Arial" w:hAnsi="Arial"/>
          <w:b/>
          <w:color w:val="19344D"/>
        </w:rPr>
        <w:t xml:space="preserve">CONTROLE DE STATUS. </w:t>
      </w:r>
      <w:r>
        <w:rPr>
          <w:rFonts w:ascii="Arial" w:hAnsi="Arial"/>
          <w:color w:val="181D22"/>
        </w:rPr>
        <w:t>Requisito documentado não equivale a requisito implementado. Cada item permanecerá PENDENTE até possuir evidência de código, teste e aprovação no gate correspondente.</w:t>
      </w:r>
    </w:p>
    <w:p>
      <w:pPr>
        <w:pStyle w:val="Heading1"/>
        <w:widowControl/>
      </w:pPr>
      <w:r>
        <w:t>14. Alterações documentais requeridas</w:t>
      </w:r>
    </w:p>
    <w:p>
      <w:pPr>
        <w:pStyle w:val="ListBullet"/>
        <w:widowControl/>
      </w:pPr>
      <w:r>
        <w:t>Especificação Mestra: incorporar esta decisão no capítulo de API pública/wallet e adicionar G-UX1 aos gates normativos.</w:t>
      </w:r>
    </w:p>
    <w:p>
      <w:pPr>
        <w:pStyle w:val="ListBullet"/>
        <w:widowControl/>
      </w:pPr>
      <w:r>
        <w:t>Cronograma: adicionar os entregáveis e critérios deste adendo às Fases 3–7, sem deslocar os gates criptográficos existentes.</w:t>
      </w:r>
    </w:p>
    <w:p>
      <w:pPr>
        <w:pStyle w:val="ListBullet"/>
        <w:widowControl/>
      </w:pPr>
      <w:r>
        <w:t>Relatório Consolidado: registrar G-UX1 como pendência de produção até que a evidência completa seja produzida.</w:t>
      </w:r>
    </w:p>
    <w:p>
      <w:pPr>
        <w:pStyle w:val="ListBullet"/>
        <w:widowControl/>
      </w:pPr>
      <w:r>
        <w:t>CI/release: impedir artefato de produção quando houver bypass público, feature de laboratório ativa ou ausência do relatório G-UX1.</w:t>
      </w:r>
    </w:p>
    <w:p>
      <w:pPr>
        <w:pStyle w:val="ListBullet"/>
        <w:widowControl/>
      </w:pPr>
      <w:r>
        <w:t>Documentação de SDK: separar API pública suportada de interfaces internas e test-only.</w:t>
      </w:r>
    </w:p>
    <w:p>
      <w:pPr>
        <w:pStyle w:val="Heading1"/>
        <w:widowControl/>
      </w:pPr>
      <w:r>
        <w:t>15. Fontes e rastreabilidade</w:t>
      </w:r>
    </w:p>
    <w:p>
      <w:pPr>
        <w:widowControl/>
      </w:pPr>
      <w:r>
        <w:t>Este adendo foi elaborado a partir das seguintes fontes do projeto:</w:t>
      </w:r>
    </w:p>
    <w:p>
      <w:pPr>
        <w:pStyle w:val="ListBullet"/>
        <w:widowControl/>
      </w:pPr>
      <w:r>
        <w:t>DOM Scriptless Contracts — Especificação Mestra de Engenharia e Implementação v1.0, revisão R1, data-base 3 de agosto de 2026.</w:t>
      </w:r>
    </w:p>
    <w:p>
      <w:pPr>
        <w:pStyle w:val="ListBullet"/>
        <w:widowControl/>
      </w:pPr>
      <w:r>
        <w:t>DOM Scriptless — Cronograma de Implementação v1.</w:t>
      </w:r>
    </w:p>
    <w:p>
      <w:pPr>
        <w:pStyle w:val="ListBullet"/>
        <w:widowControl/>
      </w:pPr>
      <w:r>
        <w:t>DOM Scriptless — Relatório Consolidado v1.</w:t>
      </w:r>
    </w:p>
    <w:p>
      <w:pPr>
        <w:pStyle w:val="ListBullet"/>
        <w:widowControl/>
      </w:pPr>
      <w:r>
        <w:t>Decisão de produto e arquitetura de 5 de agosto de 2026: UX/DevEx classificada como prioridade P1 para DOM Contracts.</w:t>
      </w:r>
    </w:p>
    <w:p>
      <w:pPr>
        <w:pStyle w:val="Heading1"/>
        <w:widowControl/>
      </w:pPr>
      <w:r>
        <w:t>16. Aprovação normativa</w:t>
      </w:r>
    </w:p>
    <w:p>
      <w:pPr>
        <w:widowControl/>
      </w:pPr>
      <w:r>
        <w:t>Fica aprovada a seguinte formulação para incorporação ao programa:</w:t>
      </w:r>
    </w:p>
    <w:p>
      <w:pPr>
        <w:spacing w:before="80" w:after="160" w:line="269" w:lineRule="auto"/>
        <w:ind w:left="202" w:right="202"/>
        <w:shd w:fill="EAF2F7"/>
        <w:pBdr>
          <w:left w:val="single" w:sz="18" w:space="8" w:color="186996"/>
        </w:pBdr>
        <w:widowControl/>
      </w:pPr>
      <w:r>
        <w:rPr>
          <w:rFonts w:ascii="Arial" w:hAnsi="Arial"/>
          <w:b/>
          <w:color w:val="19344D"/>
        </w:rPr>
        <w:t xml:space="preserve">PRIORIDADE P1 — UX/DevEx. </w:t>
      </w:r>
      <w:r>
        <w:rPr>
          <w:rFonts w:ascii="Arial" w:hAnsi="Arial"/>
          <w:color w:val="181D22"/>
        </w:rPr>
        <w:t>Nenhuma aplicação ou interface de produção poderá exigir que usuários ou integradores coordenem rodadas criptográficas, manipulem nonces, construam Bulletproofs colaborativas, calculem timelocks, processem reorganizações ou implementem recuperação de crash. Essas responsabilidades pertencem exclusivamente ao toolkit DOM Scriptless, à wallet e aos serviços não custodiais de coordenação. O usuário aprova os termos econômicos; o motor executa, persiste, monitora e recupera a operação.</w:t>
      </w:r>
    </w:p>
    <w:p>
      <w:pPr>
        <w:widowControl/>
      </w:pPr>
      <w:r>
        <w:t>Esta decisão entra em vigor na data-base deste documento e deverá ser utilizada como fonte normativa do projeto até sua incorporação integral nos documentos mestres ou substituição por revisão posterior explicitamente aprovada.</w:t>
      </w:r>
    </w:p>
    <w:sectPr w:rsidR="00FC693F" w:rsidRPr="0006063C" w:rsidSect="00034616">
      <w:headerReference w:type="default" r:id="rId9"/>
      <w:footerReference w:type="default" r:id="rId10"/>
      <w:pgSz w:w="12240" w:h="15840"/>
      <w:pgMar w:top="1181" w:right="1296" w:bottom="1123"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873"/>
        <w:sz w:val="16"/>
      </w:rPr>
      <w:t>DOM Protocol — Adendo P1 UX/DevEx —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5C6873"/>
        <w:sz w:val="16"/>
      </w:rPr>
      <w:t>DOM SCRIPTLESS CONTRACTS  |  DECISÃO NORMATIVA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1D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19344D"/>
      <w:sz w:val="31"/>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86996"/>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934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9344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rial" w:hAnsi="Arial"/>
      <w:b w:val="0"/>
      <w:i/>
      <w:iCs/>
      <w:color w:val="5C6873"/>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691" w:hanging="331"/>
      <w:contextualSpacing/>
    </w:pPr>
    <w:rPr>
      <w:rFonts w:ascii="Arial" w:hAnsi="Arial"/>
      <w:color w:val="181D22"/>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691" w:hanging="331"/>
      <w:contextualSpacing/>
    </w:pPr>
    <w:rPr>
      <w:rFonts w:ascii="Arial" w:hAnsi="Arial"/>
      <w:color w:val="181D22"/>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ind w:left="360" w:right="216"/>
    </w:pPr>
    <w:rPr>
      <w:rFonts w:ascii="Consolas" w:hAnsi="Consolas"/>
      <w:color w:val="212C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DOM Scriptless Contracts — Adendo P1 UX/DevEx e Gate G-UX1</dc:title>
  <dc:subject>Decisão normativa de UX/DevEx para DOM Contracts</dc:subject>
  <dc:creator>DOM Protocol</dc:creator>
  <cp:keywords>DOM, Scriptless Contracts, UX, DevEx, G-UX1, wallet, SDK</cp:keywords>
  <dc:description>Documento normativo v1.0 — 2026-08-05</dc:description>
  <cp:lastModifiedBy/>
  <cp:revision>1</cp:revision>
  <dcterms:created xsi:type="dcterms:W3CDTF">2013-12-23T23:15:00Z</dcterms:created>
  <dcterms:modified xsi:type="dcterms:W3CDTF">2013-12-23T23:15:00Z</dcterms:modified>
  <cp:category/>
</cp:coreProperties>
</file>