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A9" w:rsidRDefault="00003C0D" w:rsidP="00E62AA9">
      <w:pPr>
        <w:pStyle w:val="Titulo"/>
      </w:pPr>
      <w:r>
        <w:t>EJERCICIOS DE APRENDIZAJE</w:t>
      </w:r>
    </w:p>
    <w:p w:rsidR="00E62AA9" w:rsidRDefault="00E62AA9" w:rsidP="00E62AA9">
      <w:pPr>
        <w:rPr>
          <w:sz w:val="24"/>
          <w:szCs w:val="24"/>
        </w:rPr>
      </w:pPr>
      <w:r w:rsidRPr="00E62AA9">
        <w:rPr>
          <w:sz w:val="24"/>
          <w:szCs w:val="24"/>
        </w:rPr>
        <w:t>Las Pruebas en fábrica se realizan de acuerdo a un protocolo convenido entre Fabricante y Cliente:</w:t>
      </w:r>
    </w:p>
    <w:p w:rsidR="00E62AA9" w:rsidRDefault="00432B55" w:rsidP="00432B55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szCs w:val="24"/>
        </w:rPr>
      </w:pPr>
      <w:r>
        <w:rPr>
          <w:szCs w:val="24"/>
        </w:rPr>
        <w:t>¿Qué</w:t>
      </w:r>
      <w:r w:rsidR="00E62AA9" w:rsidRPr="00432B55">
        <w:rPr>
          <w:szCs w:val="24"/>
        </w:rPr>
        <w:t xml:space="preserve"> debe conside</w:t>
      </w:r>
      <w:r>
        <w:rPr>
          <w:szCs w:val="24"/>
        </w:rPr>
        <w:t>rar como mínimo dicho protocolo?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Recuento de materiales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Pruebas de hardware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Prueba de software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Pruebas de funcionamiento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Aprobación documental contractual a proveer</w:t>
      </w:r>
    </w:p>
    <w:p w:rsidR="00880B82" w:rsidRDefault="00880B82" w:rsidP="00432B55">
      <w:pPr>
        <w:spacing w:after="240"/>
        <w:rPr>
          <w:sz w:val="24"/>
          <w:szCs w:val="24"/>
        </w:rPr>
      </w:pPr>
      <w:r>
        <w:rPr>
          <w:sz w:val="24"/>
          <w:szCs w:val="24"/>
        </w:rPr>
        <w:t>Las Prueba en Obra se inician con la presencia del Fabricante</w:t>
      </w:r>
    </w:p>
    <w:p w:rsidR="00880B82" w:rsidRDefault="00432B55" w:rsidP="00432B55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szCs w:val="24"/>
        </w:rPr>
      </w:pPr>
      <w:r>
        <w:rPr>
          <w:szCs w:val="24"/>
        </w:rPr>
        <w:t>¿</w:t>
      </w:r>
      <w:r w:rsidR="00880B82">
        <w:rPr>
          <w:szCs w:val="24"/>
        </w:rPr>
        <w:t>Qu</w:t>
      </w:r>
      <w:r>
        <w:rPr>
          <w:szCs w:val="24"/>
        </w:rPr>
        <w:t>é</w:t>
      </w:r>
      <w:r w:rsidR="00880B82">
        <w:rPr>
          <w:szCs w:val="24"/>
        </w:rPr>
        <w:t xml:space="preserve"> se</w:t>
      </w:r>
      <w:r>
        <w:rPr>
          <w:szCs w:val="24"/>
        </w:rPr>
        <w:t xml:space="preserve"> comprueba en primera instancia?</w:t>
      </w:r>
    </w:p>
    <w:p w:rsidR="001415B6" w:rsidRPr="001415B6" w:rsidRDefault="001415B6" w:rsidP="001415B6">
      <w:pPr>
        <w:pStyle w:val="Prrafodelista"/>
        <w:numPr>
          <w:ilvl w:val="0"/>
          <w:numId w:val="10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Las conexiones del sistema</w:t>
      </w:r>
    </w:p>
    <w:p w:rsidR="001415B6" w:rsidRPr="001415B6" w:rsidRDefault="001415B6" w:rsidP="001415B6">
      <w:pPr>
        <w:pStyle w:val="Prrafodelista"/>
        <w:numPr>
          <w:ilvl w:val="0"/>
          <w:numId w:val="10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Las conexiones entre modelos SCD</w:t>
      </w:r>
    </w:p>
    <w:p w:rsidR="001415B6" w:rsidRPr="001415B6" w:rsidRDefault="001415B6" w:rsidP="001415B6">
      <w:pPr>
        <w:pStyle w:val="Prrafodelista"/>
        <w:numPr>
          <w:ilvl w:val="0"/>
          <w:numId w:val="10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Las conexiones de alimentación del sistema</w:t>
      </w:r>
    </w:p>
    <w:p w:rsidR="00880B82" w:rsidRDefault="00432B55" w:rsidP="00432B55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szCs w:val="24"/>
        </w:rPr>
      </w:pPr>
      <w:r>
        <w:rPr>
          <w:szCs w:val="24"/>
        </w:rPr>
        <w:t>¿</w:t>
      </w:r>
      <w:r w:rsidR="00326EF9">
        <w:rPr>
          <w:szCs w:val="24"/>
        </w:rPr>
        <w:t>Qui</w:t>
      </w:r>
      <w:r>
        <w:rPr>
          <w:szCs w:val="24"/>
        </w:rPr>
        <w:t>é</w:t>
      </w:r>
      <w:r w:rsidR="00326EF9">
        <w:rPr>
          <w:szCs w:val="24"/>
        </w:rPr>
        <w:t>n aprueba la conexión de energía al SCD</w:t>
      </w:r>
      <w:r>
        <w:rPr>
          <w:szCs w:val="24"/>
        </w:rPr>
        <w:t>?</w:t>
      </w:r>
    </w:p>
    <w:p w:rsidR="001415B6" w:rsidRPr="001415B6" w:rsidRDefault="001415B6" w:rsidP="001415B6">
      <w:pPr>
        <w:pStyle w:val="Prrafodelista"/>
        <w:spacing w:after="120"/>
        <w:ind w:left="357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Fabricante y Cliente</w:t>
      </w:r>
      <w:bookmarkStart w:id="0" w:name="_GoBack"/>
      <w:bookmarkEnd w:id="0"/>
    </w:p>
    <w:p w:rsidR="00880B82" w:rsidRDefault="00326EF9" w:rsidP="00432B55">
      <w:pPr>
        <w:pStyle w:val="Prrafodelista"/>
        <w:numPr>
          <w:ilvl w:val="0"/>
          <w:numId w:val="8"/>
        </w:numPr>
        <w:spacing w:before="120" w:after="120"/>
        <w:ind w:left="357" w:hanging="357"/>
        <w:contextualSpacing w:val="0"/>
        <w:rPr>
          <w:szCs w:val="24"/>
        </w:rPr>
      </w:pPr>
      <w:r>
        <w:rPr>
          <w:szCs w:val="24"/>
        </w:rPr>
        <w:t>En caso de integrar el SCD a equipos de terceros</w:t>
      </w:r>
      <w:r w:rsidR="00432B55">
        <w:rPr>
          <w:szCs w:val="24"/>
        </w:rPr>
        <w:t>,</w:t>
      </w:r>
      <w:r>
        <w:rPr>
          <w:szCs w:val="24"/>
        </w:rPr>
        <w:t xml:space="preserve"> </w:t>
      </w:r>
      <w:r w:rsidR="00432B55">
        <w:rPr>
          <w:szCs w:val="24"/>
        </w:rPr>
        <w:t>¿qué</w:t>
      </w:r>
      <w:r>
        <w:rPr>
          <w:szCs w:val="24"/>
        </w:rPr>
        <w:t xml:space="preserve"> resulta de</w:t>
      </w:r>
      <w:r w:rsidR="00432B55">
        <w:rPr>
          <w:szCs w:val="24"/>
        </w:rPr>
        <w:t xml:space="preserve"> obligación en el procedimiento?</w:t>
      </w:r>
    </w:p>
    <w:p w:rsidR="001415B6" w:rsidRPr="001415B6" w:rsidRDefault="001415B6" w:rsidP="001415B6">
      <w:pPr>
        <w:pStyle w:val="Prrafodelista"/>
        <w:spacing w:before="120" w:after="120"/>
        <w:ind w:left="357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Cargar as aplicaciones</w:t>
      </w:r>
    </w:p>
    <w:p w:rsidR="001415B6" w:rsidRPr="001415B6" w:rsidRDefault="001415B6" w:rsidP="001415B6">
      <w:pPr>
        <w:pStyle w:val="Prrafodelista"/>
        <w:spacing w:before="120" w:after="120"/>
        <w:ind w:left="357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Verificar el buen desempeño de las comunicaciones del sistema</w:t>
      </w:r>
    </w:p>
    <w:p w:rsidR="00326EF9" w:rsidRDefault="00432B55" w:rsidP="00432B55">
      <w:pPr>
        <w:pStyle w:val="Prrafodelista"/>
        <w:numPr>
          <w:ilvl w:val="0"/>
          <w:numId w:val="8"/>
        </w:numPr>
        <w:ind w:left="357" w:hanging="357"/>
        <w:contextualSpacing w:val="0"/>
        <w:rPr>
          <w:szCs w:val="24"/>
        </w:rPr>
      </w:pPr>
      <w:r>
        <w:rPr>
          <w:szCs w:val="24"/>
        </w:rPr>
        <w:t>¿Quié</w:t>
      </w:r>
      <w:r w:rsidR="00802149">
        <w:rPr>
          <w:szCs w:val="24"/>
        </w:rPr>
        <w:t>n da por concluidas las pruebas en campo dando inicio al periodo de Garantías y entre</w:t>
      </w:r>
      <w:r>
        <w:rPr>
          <w:szCs w:val="24"/>
        </w:rPr>
        <w:t>namiento del Personal Operativo?</w:t>
      </w:r>
    </w:p>
    <w:p w:rsidR="001415B6" w:rsidRPr="001415B6" w:rsidRDefault="001415B6" w:rsidP="001415B6">
      <w:pPr>
        <w:ind w:left="357"/>
        <w:rPr>
          <w:b/>
          <w:color w:val="00B050"/>
          <w:szCs w:val="24"/>
        </w:rPr>
      </w:pPr>
      <w:r w:rsidRPr="001415B6">
        <w:rPr>
          <w:rFonts w:ascii="Calibri" w:eastAsia="Calibri" w:hAnsi="Calibri" w:cs="Times New Roman"/>
          <w:b/>
          <w:color w:val="00B050"/>
          <w:sz w:val="24"/>
          <w:szCs w:val="24"/>
        </w:rPr>
        <w:t>El suministrador SCD</w:t>
      </w:r>
    </w:p>
    <w:sectPr w:rsidR="001415B6" w:rsidRPr="001415B6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33F" w:rsidRDefault="004A533F" w:rsidP="00EE112D">
      <w:pPr>
        <w:spacing w:after="0" w:line="240" w:lineRule="auto"/>
      </w:pPr>
      <w:r>
        <w:separator/>
      </w:r>
    </w:p>
  </w:endnote>
  <w:endnote w:type="continuationSeparator" w:id="0">
    <w:p w:rsidR="004A533F" w:rsidRDefault="004A533F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B879D6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B879D6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1415B6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B879D6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B879D6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CB6DAC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33F" w:rsidRDefault="004A533F" w:rsidP="00EE112D">
      <w:pPr>
        <w:spacing w:after="0" w:line="240" w:lineRule="auto"/>
      </w:pPr>
      <w:r>
        <w:separator/>
      </w:r>
    </w:p>
  </w:footnote>
  <w:footnote w:type="continuationSeparator" w:id="0">
    <w:p w:rsidR="004A533F" w:rsidRDefault="004A533F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432B55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2E4A0B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9</w:t>
          </w:r>
          <w:r w:rsidR="00432B55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432B55" w:rsidRPr="00432B55">
            <w:rPr>
              <w:rFonts w:cs="Times New Roman"/>
              <w:b/>
              <w:noProof/>
              <w:sz w:val="20"/>
              <w:szCs w:val="20"/>
              <w:lang w:eastAsia="es-ES"/>
            </w:rPr>
            <w:t>Pruebas de Aceptación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B43"/>
    <w:multiLevelType w:val="hybridMultilevel"/>
    <w:tmpl w:val="D2CA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94D1A"/>
    <w:multiLevelType w:val="hybridMultilevel"/>
    <w:tmpl w:val="68EEC882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7DD1"/>
    <w:multiLevelType w:val="hybridMultilevel"/>
    <w:tmpl w:val="E326C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A6280"/>
    <w:multiLevelType w:val="hybridMultilevel"/>
    <w:tmpl w:val="F9469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06BA"/>
    <w:multiLevelType w:val="hybridMultilevel"/>
    <w:tmpl w:val="55C6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05C50"/>
    <w:multiLevelType w:val="hybridMultilevel"/>
    <w:tmpl w:val="42E6EE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837039"/>
    <w:multiLevelType w:val="hybridMultilevel"/>
    <w:tmpl w:val="381AA4C6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83846"/>
    <w:rsid w:val="00084B24"/>
    <w:rsid w:val="000D7F09"/>
    <w:rsid w:val="000E56F9"/>
    <w:rsid w:val="001415B6"/>
    <w:rsid w:val="001B04E0"/>
    <w:rsid w:val="0023042D"/>
    <w:rsid w:val="002322F9"/>
    <w:rsid w:val="00246413"/>
    <w:rsid w:val="00253D50"/>
    <w:rsid w:val="002E4A0B"/>
    <w:rsid w:val="0031570C"/>
    <w:rsid w:val="00326EF9"/>
    <w:rsid w:val="003406AB"/>
    <w:rsid w:val="00357401"/>
    <w:rsid w:val="0037340C"/>
    <w:rsid w:val="003A2695"/>
    <w:rsid w:val="003F6DA9"/>
    <w:rsid w:val="00432B55"/>
    <w:rsid w:val="0043543A"/>
    <w:rsid w:val="004A533F"/>
    <w:rsid w:val="005201BE"/>
    <w:rsid w:val="005529FC"/>
    <w:rsid w:val="00553185"/>
    <w:rsid w:val="00553A00"/>
    <w:rsid w:val="00567DD7"/>
    <w:rsid w:val="005F1A74"/>
    <w:rsid w:val="006636A3"/>
    <w:rsid w:val="00673180"/>
    <w:rsid w:val="007022C5"/>
    <w:rsid w:val="00775563"/>
    <w:rsid w:val="007C4F8D"/>
    <w:rsid w:val="00802149"/>
    <w:rsid w:val="008378CC"/>
    <w:rsid w:val="00855C1B"/>
    <w:rsid w:val="00876363"/>
    <w:rsid w:val="00880B82"/>
    <w:rsid w:val="008F2413"/>
    <w:rsid w:val="009051AA"/>
    <w:rsid w:val="00956DEA"/>
    <w:rsid w:val="009849A3"/>
    <w:rsid w:val="009C2051"/>
    <w:rsid w:val="00AE0823"/>
    <w:rsid w:val="00AE29B6"/>
    <w:rsid w:val="00B20B77"/>
    <w:rsid w:val="00B879D6"/>
    <w:rsid w:val="00BA00E4"/>
    <w:rsid w:val="00BB5716"/>
    <w:rsid w:val="00BD37BC"/>
    <w:rsid w:val="00BE021F"/>
    <w:rsid w:val="00C3702D"/>
    <w:rsid w:val="00CB6DAC"/>
    <w:rsid w:val="00CC3215"/>
    <w:rsid w:val="00CC7CEB"/>
    <w:rsid w:val="00D04E28"/>
    <w:rsid w:val="00D27E38"/>
    <w:rsid w:val="00D35DB5"/>
    <w:rsid w:val="00D37911"/>
    <w:rsid w:val="00D73AED"/>
    <w:rsid w:val="00E25B2C"/>
    <w:rsid w:val="00E32BFC"/>
    <w:rsid w:val="00E62AA9"/>
    <w:rsid w:val="00E71CA4"/>
    <w:rsid w:val="00EB7F7F"/>
    <w:rsid w:val="00EE112D"/>
    <w:rsid w:val="00EF4A8C"/>
    <w:rsid w:val="00F472C6"/>
    <w:rsid w:val="00F51D04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E0020F-E8BA-4F7E-9E71-D98080E4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553A00"/>
    <w:pPr>
      <w:spacing w:after="0"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553A00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2019-11-26T21:46:00Z</dcterms:created>
  <dcterms:modified xsi:type="dcterms:W3CDTF">2019-11-26T21:46:00Z</dcterms:modified>
</cp:coreProperties>
</file>