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Problema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Spider-Man</w:t>
        <w:tab/>
        <w:tab/>
        <w:tab/>
        <w:tab/>
        <w:tab/>
        <w:tab/>
        <w:t xml:space="preserve">         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puncte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Spider-Man are în 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ța sa n blocuri așezate pe o singură linie. Acesta le numerotează de la 1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la n. Spider-Man va merge pe acoperișul fiecărui bloc și va număra toate blocurile pe care le poate vedea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dreapta sa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toate blocurile pe care le poate vedea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stânga sa. Un bloc este vizibil, daca are o în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ălțime mai mică sau egală cu cea a blocului pe care se află Spider-Man, iar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ntre ele nu se afl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niciun bloc cu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țimea strict mai mare dec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cel pe care se afl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Spider-Man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  <w:t xml:space="preserve">Cerin</w:t>
      </w: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  <w:t xml:space="preserve">ţă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scrie pentru fiecare bloc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âte blocuri poate vedea Spider-Man.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  <w:t xml:space="preserve">Date de intrare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 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șierul de intrare spiderman.in se va citi un număr n și apoi n numere naturale desemn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în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ălțimile blocurilor.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  <w:t xml:space="preserve">Date de ie</w:t>
      </w: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  <w:t xml:space="preserve">şire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șierul de ieșire spiderman.out se vor afișa n numere, al i-lea număr reprezent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câte blocuri vede Spider-Man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se află pe acoperișul blocului 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  <w:t xml:space="preserve">Restric</w:t>
      </w: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  <w:t xml:space="preserve">ţii şi precizări: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200.000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ălțimile blocurilor sunt numere naturale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1.000.000.000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Exemplu</w:t>
      </w:r>
    </w:p>
    <w:tbl>
      <w:tblPr>
        <w:tblInd w:w="120" w:type="dxa"/>
      </w:tblPr>
      <w:tblGrid>
        <w:gridCol w:w="2212"/>
        <w:gridCol w:w="2160"/>
        <w:gridCol w:w="5719"/>
      </w:tblGrid>
      <w:tr>
        <w:trPr>
          <w:trHeight w:val="424" w:hRule="auto"/>
          <w:jc w:val="left"/>
        </w:trPr>
        <w:tc>
          <w:tcPr>
            <w:tcW w:w="2212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b8cce4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7030A0"/>
                <w:spacing w:val="0"/>
                <w:position w:val="0"/>
                <w:sz w:val="24"/>
                <w:shd w:fill="auto" w:val="clear"/>
              </w:rPr>
              <w:t xml:space="preserve">spiderman.in</w:t>
            </w:r>
          </w:p>
        </w:tc>
        <w:tc>
          <w:tcPr>
            <w:tcW w:w="2160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b8cce4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7030A0"/>
                <w:spacing w:val="0"/>
                <w:position w:val="0"/>
                <w:sz w:val="24"/>
                <w:shd w:fill="auto" w:val="clear"/>
              </w:rPr>
              <w:t xml:space="preserve">spiderman.out</w:t>
            </w:r>
          </w:p>
        </w:tc>
        <w:tc>
          <w:tcPr>
            <w:tcW w:w="5719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b8cce4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7030A0"/>
                <w:spacing w:val="0"/>
                <w:position w:val="0"/>
                <w:sz w:val="24"/>
                <w:shd w:fill="auto" w:val="clear"/>
              </w:rPr>
              <w:t xml:space="preserve">Explica</w:t>
            </w:r>
            <w:r>
              <w:rPr>
                <w:rFonts w:ascii="Times New Roman" w:hAnsi="Times New Roman" w:cs="Times New Roman" w:eastAsia="Times New Roman"/>
                <w:b/>
                <w:color w:val="7030A0"/>
                <w:spacing w:val="0"/>
                <w:position w:val="0"/>
                <w:sz w:val="24"/>
                <w:shd w:fill="auto" w:val="clear"/>
              </w:rPr>
              <w:t xml:space="preserve">ție</w:t>
            </w:r>
          </w:p>
        </w:tc>
      </w:tr>
      <w:tr>
        <w:trPr>
          <w:trHeight w:val="638" w:hRule="auto"/>
          <w:jc w:val="left"/>
        </w:trPr>
        <w:tc>
          <w:tcPr>
            <w:tcW w:w="2212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5 6 1 1 3 7 8 9 2 8</w:t>
            </w:r>
          </w:p>
        </w:tc>
        <w:tc>
          <w:tcPr>
            <w:tcW w:w="2160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2 6 4 4 5 7 8 10 3 3</w:t>
            </w:r>
          </w:p>
        </w:tc>
        <w:tc>
          <w:tcPr>
            <w:tcW w:w="5719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 pe primul bloc (în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ălțimea 5) Spider-Man poate vedea 2 blocuri: cele de pe pozițiile 1 și 2.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 pe al doilea bloc (în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ălțimea 6) Spider-Man poate vedea 6 blocuri: cele de pe pozițiile 1, 2, 3, 4, 5 și 6.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 pe al treilea bloc (în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ălțimea 1) Spider-Man poate vedea 4 blocuri: cele de pe pozițiile 2, 3, 4 și 5.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Timp maxim de execu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ţie/test: 0.6 secunde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Memorie total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ă: 64MB din care 64MB pentru stivă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Dimensiunea maxim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ă a sursei: 10 KB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