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1f1f1f"/>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of this audit is defined as the entire security program at Botium Toys. This includes their assets like employee equipment and devices, their internal network, and their systems. You will need to review the assets Botium Toys has and the controls and compliance practices they have in place.</w:t>
      </w:r>
      <w:r w:rsidDel="00000000" w:rsidR="00000000" w:rsidRPr="00000000">
        <w:rPr>
          <w:rtl w:val="0"/>
        </w:rPr>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vnkf1nr4riao"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that need to be implemented to  improve Botium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B">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pertaining to least privilege and separation of duties have not been implemented.</w:t>
      </w:r>
    </w:p>
    <w:p w:rsidR="00000000" w:rsidDel="00000000" w:rsidP="00000000" w:rsidRDefault="00000000" w:rsidRPr="00000000" w14:paraId="0000001D">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F">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20">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1">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2">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4">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5">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6">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