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01</w:t>
      </w:r>
      <w:r>
        <w:rPr>
          <w:color w:val="000000"/>
        </w:rPr>
        <w:t>卷</w:t>
      </w:r>
    </w:p>
    <w:p>
      <w:pPr>
        <w:pStyle w:val="Normal"/>
        <w:rPr/>
      </w:pPr>
      <w:r>
        <w:rPr/>
        <w:t>阶段收录</w:t>
      </w:r>
      <w:r>
        <w:rPr/>
        <w:t>8</w:t>
      </w:r>
      <w:r>
        <w:rPr/>
        <w:t>家公司 剩余公司接入后按统一规则更新卷次</w:t>
      </w:r>
    </w:p>
    <w:p>
      <w:pPr>
        <w:pStyle w:val="Normal"/>
        <w:rPr/>
      </w:pPr>
      <w:r>
        <w:rPr/>
        <w:t>资料截止：</w:t>
      </w:r>
      <w:r>
        <w:rPr/>
        <w:t>2026</w:t>
      </w:r>
      <w:r>
        <w:rPr/>
        <w:t>年</w:t>
      </w:r>
      <w:r>
        <w:rPr/>
        <w:t>10</w:t>
      </w:r>
      <w:r>
        <w:rPr/>
        <w:t>月</w:t>
      </w:r>
      <w:r>
        <w:rPr/>
        <w:t>9</w:t>
      </w:r>
      <w:r>
        <w:rPr/>
        <w:t>日。所有未来价格、盈利、估值、分红和汇率均为研究假设。研究范围为</w:t>
      </w:r>
      <w:r>
        <w:rPr/>
        <w:t>92</w:t>
      </w:r>
      <w:r>
        <w:rPr/>
        <w:t>家公司、</w:t>
      </w:r>
      <w:r>
        <w:rPr/>
        <w:t>96</w:t>
      </w:r>
      <w:r>
        <w:rPr/>
        <w:t>个股票证券。当前纳入</w:t>
      </w:r>
      <w:r>
        <w:rPr/>
        <w:t>91</w:t>
      </w:r>
      <w:r>
        <w:rPr/>
        <w:t>家公司模型，</w:t>
      </w:r>
      <w:r>
        <w:rPr/>
        <w:t>91</w:t>
      </w:r>
      <w:r>
        <w:rPr/>
        <w:t>家正文通过一万有效汉字门槛，剩余</w:t>
      </w:r>
      <w:r>
        <w:rPr/>
        <w:t>1</w:t>
      </w:r>
      <w:r>
        <w:rPr/>
        <w:t xml:space="preserve">家公司深研待补齐。阶段排名仅纳入已完成且具备可评估条件的证券。公司深研卷收录已达到正文门槛的公司；剩余内容按研究状态继续补齐。初版结论可随新增证据修订。数据版本 </w:t>
      </w:r>
      <w:r>
        <w:rPr/>
        <w:t>f94f3d19b4e62e0b</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10700_312338234" w:tooltip="百济神州 688235 SH 06160 HK">
            <w:r>
              <w:rPr>
                <w:rStyle w:val="Style5"/>
              </w:rPr>
              <w:t xml:space="preserve">百济神州 </w:t>
            </w:r>
            <w:r>
              <w:rPr>
                <w:rStyle w:val="Style5"/>
              </w:rPr>
              <w:t>688235 SH 06160 HK</w:t>
              <w:tab/>
              <w:t>3</w:t>
            </w:r>
          </w:hyperlink>
        </w:p>
        <w:p>
          <w:pPr>
            <w:pStyle w:val="TOC1"/>
            <w:tabs>
              <w:tab w:val="clear" w:pos="9858"/>
              <w:tab w:val="right" w:pos="9857" w:leader="dot"/>
            </w:tabs>
            <w:rPr/>
          </w:pPr>
          <w:hyperlink w:anchor="__RefHeading___Toc10702_312338234" w:tooltip="药明康德 603259 SH 02359 HK">
            <w:r>
              <w:rPr>
                <w:rStyle w:val="Style5"/>
              </w:rPr>
              <w:t xml:space="preserve">药明康德 </w:t>
            </w:r>
            <w:r>
              <w:rPr>
                <w:rStyle w:val="Style5"/>
              </w:rPr>
              <w:t>603259 SH 02359 HK</w:t>
              <w:tab/>
              <w:t>28</w:t>
            </w:r>
          </w:hyperlink>
        </w:p>
        <w:p>
          <w:pPr>
            <w:pStyle w:val="TOC1"/>
            <w:tabs>
              <w:tab w:val="clear" w:pos="9858"/>
              <w:tab w:val="right" w:pos="9857" w:leader="dot"/>
            </w:tabs>
            <w:rPr/>
          </w:pPr>
          <w:hyperlink w:anchor="__RefHeading___Toc10704_312338234" w:tooltip="药明合联 02268 HK">
            <w:r>
              <w:rPr>
                <w:rStyle w:val="Style5"/>
              </w:rPr>
              <w:t xml:space="preserve">药明合联 </w:t>
            </w:r>
            <w:r>
              <w:rPr>
                <w:rStyle w:val="Style5"/>
              </w:rPr>
              <w:t>02268 HK</w:t>
              <w:tab/>
              <w:t>51</w:t>
            </w:r>
          </w:hyperlink>
        </w:p>
        <w:p>
          <w:pPr>
            <w:pStyle w:val="TOC1"/>
            <w:tabs>
              <w:tab w:val="clear" w:pos="9858"/>
              <w:tab w:val="right" w:pos="9857" w:leader="dot"/>
            </w:tabs>
            <w:rPr/>
          </w:pPr>
          <w:hyperlink w:anchor="__RefHeading___Toc10706_312338234" w:tooltip="信达生物 01801 HK">
            <w:r>
              <w:rPr>
                <w:rStyle w:val="Style5"/>
              </w:rPr>
              <w:t xml:space="preserve">信达生物 </w:t>
            </w:r>
            <w:r>
              <w:rPr>
                <w:rStyle w:val="Style5"/>
              </w:rPr>
              <w:t>01801 HK</w:t>
              <w:tab/>
              <w:t>72</w:t>
            </w:r>
          </w:hyperlink>
        </w:p>
        <w:p>
          <w:pPr>
            <w:pStyle w:val="TOC1"/>
            <w:tabs>
              <w:tab w:val="clear" w:pos="9858"/>
              <w:tab w:val="right" w:pos="9857" w:leader="dot"/>
            </w:tabs>
            <w:rPr/>
          </w:pPr>
          <w:hyperlink w:anchor="__RefHeading___Toc10708_312338234" w:tooltip="腾讯控股 00700 HK">
            <w:r>
              <w:rPr>
                <w:rStyle w:val="Style5"/>
              </w:rPr>
              <w:t xml:space="preserve">腾讯控股 </w:t>
            </w:r>
            <w:r>
              <w:rPr>
                <w:rStyle w:val="Style5"/>
              </w:rPr>
              <w:t>00700 HK</w:t>
              <w:tab/>
              <w:t>91</w:t>
            </w:r>
          </w:hyperlink>
        </w:p>
        <w:p>
          <w:pPr>
            <w:pStyle w:val="TOC1"/>
            <w:tabs>
              <w:tab w:val="clear" w:pos="9858"/>
              <w:tab w:val="right" w:pos="9857" w:leader="dot"/>
            </w:tabs>
            <w:rPr/>
          </w:pPr>
          <w:hyperlink w:anchor="__RefHeading___Toc10710_312338234" w:tooltip="凯莱英 002821 SZ 06821 HK">
            <w:r>
              <w:rPr>
                <w:rStyle w:val="Style5"/>
              </w:rPr>
              <w:t xml:space="preserve">凯莱英 </w:t>
            </w:r>
            <w:r>
              <w:rPr>
                <w:rStyle w:val="Style5"/>
              </w:rPr>
              <w:t>002821 SZ 06821 HK</w:t>
              <w:tab/>
              <w:t>112</w:t>
            </w:r>
          </w:hyperlink>
        </w:p>
        <w:p>
          <w:pPr>
            <w:pStyle w:val="TOC1"/>
            <w:tabs>
              <w:tab w:val="clear" w:pos="9858"/>
              <w:tab w:val="right" w:pos="9857" w:leader="dot"/>
            </w:tabs>
            <w:rPr/>
          </w:pPr>
          <w:hyperlink w:anchor="__RefHeading___Toc10712_312338234" w:tooltip="宁德时代 03750 HK">
            <w:r>
              <w:rPr>
                <w:rStyle w:val="Style5"/>
              </w:rPr>
              <w:t xml:space="preserve">宁德时代 </w:t>
            </w:r>
            <w:r>
              <w:rPr>
                <w:rStyle w:val="Style5"/>
              </w:rPr>
              <w:t>03750 HK</w:t>
              <w:tab/>
              <w:t>136</w:t>
            </w:r>
          </w:hyperlink>
        </w:p>
        <w:p>
          <w:pPr>
            <w:pStyle w:val="TOC1"/>
            <w:tabs>
              <w:tab w:val="clear" w:pos="9858"/>
              <w:tab w:val="right" w:pos="9857" w:leader="dot"/>
            </w:tabs>
            <w:rPr/>
          </w:pPr>
          <w:hyperlink w:anchor="__RefHeading___Toc10714_312338234" w:tooltip="迈瑞医疗 300760 SZ">
            <w:r>
              <w:rPr>
                <w:rStyle w:val="Style5"/>
              </w:rPr>
              <w:t xml:space="preserve">迈瑞医疗 </w:t>
            </w:r>
            <w:r>
              <w:rPr>
                <w:rStyle w:val="Style5"/>
              </w:rPr>
              <w:t>300760 SZ</w:t>
              <w:tab/>
              <w:t>157</w:t>
            </w:r>
          </w:hyperlink>
          <w:r>
            <w:rPr>
              <w:rStyle w:val="Style5"/>
            </w:rPr>
            <w:fldChar w:fldCharType="end"/>
          </w:r>
        </w:p>
      </w:sdtContent>
    </w:sdt>
    <w:p>
      <w:pPr>
        <w:pStyle w:val="Normal"/>
        <w:rPr/>
      </w:pPr>
      <w:r>
        <w:rPr/>
      </w:r>
      <w:r>
        <w:br w:type="page"/>
      </w:r>
    </w:p>
    <w:p>
      <w:pPr>
        <w:pStyle w:val="Heading1"/>
        <w:rPr/>
      </w:pPr>
      <w:bookmarkStart w:id="0" w:name="__RefHeading___Toc10700_312338234"/>
      <w:bookmarkEnd w:id="0"/>
      <w:r>
        <w:rPr>
          <w:color w:val="000000"/>
        </w:rPr>
        <w:t xml:space="preserve">百济神州 </w:t>
      </w:r>
      <w:r>
        <w:rPr>
          <w:color w:val="000000"/>
        </w:rPr>
        <w:t>688235 SH 06160 HK</w:t>
      </w:r>
    </w:p>
    <w:p>
      <w:pPr>
        <w:pStyle w:val="Normal"/>
        <w:rPr/>
      </w:pPr>
      <w:r>
        <w:rPr/>
        <w:t xml:space="preserve">688235.SH </w:t>
      </w:r>
      <w:r>
        <w:rPr/>
        <w:t xml:space="preserve">现价 </w:t>
      </w:r>
      <w:r>
        <w:rPr/>
        <w:t>249.42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305.62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+22.53%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+22.53%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410.92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+64.75%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+64.75%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493.70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+97.94%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+97.94%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594.52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+138.36%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+138.36%</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281.35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+116.50%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298.50CNY</w:t>
      </w:r>
      <w:r>
        <w:rPr/>
        <w:t>，期望股价回报</w:t>
      </w:r>
      <w:r>
        <w:rPr/>
        <w:t>+19.68%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69.77</w:t>
              <w:br/>
              <w:t>-72.03%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305.62</w:t>
              <w:br/>
              <w:t>+22.53%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605.49</w:t>
              <w:br/>
              <w:t>+142.76%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50.95</w:t>
              <w:br/>
              <w:t>-79.57%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410.92</w:t>
              <w:br/>
              <w:t>+64.75%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887.21</w:t>
              <w:br/>
              <w:t>+255.71%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52.36</w:t>
              <w:br/>
              <w:t>-79.01%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493.70</w:t>
              <w:br/>
              <w:t>+97.94%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1,138.47</w:t>
              <w:br/>
              <w:t>+356.45%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+25.56%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31.48</w:t>
              <w:br/>
              <w:t>-87.38%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594.52</w:t>
              <w:br/>
              <w:t>+138.36%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1,274.56</w:t>
              <w:br/>
              <w:t>+411.01%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+18.97%</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06160.HK </w:t>
      </w:r>
      <w:r>
        <w:rPr/>
        <w:t xml:space="preserve">现价 </w:t>
      </w:r>
      <w:r>
        <w:rPr/>
        <w:t>209.60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280.15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393.06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+87.53%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+87.53%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502.85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+139.91%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+139.91%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628.82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+200.01%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+200.01%</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87.31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247.59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+18.13%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+109.92%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255.62HKD</w:t>
      </w:r>
      <w:r>
        <w:rPr/>
        <w:t>，期望股价回报</w:t>
      </w:r>
      <w:r>
        <w:rPr/>
        <w:t>+21.96%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69.77</w:t>
              <w:br/>
              <w:t>-66.71%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280.15</w:t>
              <w:br/>
              <w:t>+33.66%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512.34</w:t>
              <w:br/>
              <w:t>+144.44%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53.37</w:t>
              <w:br/>
              <w:t>-74.54%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393.06</w:t>
              <w:br/>
              <w:t>+87.53%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780.75</w:t>
              <w:br/>
              <w:t>+272.49%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57.60</w:t>
              <w:br/>
              <w:t>-72.52%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502.85</w:t>
              <w:br/>
              <w:t>+139.91%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1,088.97</w:t>
              <w:br/>
              <w:t>+419.55%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+33.87%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34.63</w:t>
              <w:br/>
              <w:t>-83.48%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628.82</w:t>
              <w:br/>
              <w:t>+200.01%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1,298.16</w:t>
              <w:br/>
              <w:t>+519.35%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+24.57%</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+40.34%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+87.53%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+96.90%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+127.91%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+139.91%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+151.90%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+185.01%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+200.01%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+215.01%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日收盘；资料截止同日。发行人</w:t>
      </w:r>
      <w:r>
        <w:rPr/>
        <w:t>I012</w:t>
      </w:r>
      <w:r>
        <w:rPr/>
        <w:t>，港股</w:t>
      </w:r>
      <w:r>
        <w:rPr/>
        <w:t>S043</w:t>
      </w:r>
      <w:r>
        <w:rPr/>
        <w:t>、</w:t>
      </w:r>
      <w:r>
        <w:rPr/>
        <w:t>06160.HK</w:t>
      </w:r>
      <w:r>
        <w:rPr/>
        <w:t>现价</w:t>
      </w:r>
      <w:r>
        <w:rPr/>
        <w:t>209.60</w:t>
      </w:r>
      <w:r>
        <w:rPr/>
        <w:t>港元，</w:t>
      </w:r>
      <w:r>
        <w:rPr/>
        <w:t>A</w:t>
      </w:r>
      <w:r>
        <w:rPr/>
        <w:t>股</w:t>
      </w:r>
      <w:r>
        <w:rPr/>
        <w:t>S013</w:t>
      </w:r>
      <w:r>
        <w:rPr/>
        <w:t>、</w:t>
      </w:r>
      <w:r>
        <w:rPr/>
        <w:t>688235.SH</w:t>
      </w:r>
      <w:r>
        <w:rPr/>
        <w:t>现价</w:t>
      </w:r>
      <w:r>
        <w:rPr/>
        <w:t>249.42</w:t>
      </w:r>
      <w:r>
        <w:rPr/>
        <w:t>元人民币。现公司法定名称</w:t>
      </w:r>
      <w:r>
        <w:rPr/>
        <w:t>BeOne Medicines Ltd.</w:t>
      </w:r>
      <w:r>
        <w:rPr/>
        <w:t>，根据瑞士法律注册，美国</w:t>
      </w:r>
      <w:r>
        <w:rPr/>
        <w:t>ADR</w:t>
      </w:r>
      <w:r>
        <w:rPr/>
        <w:t>交易代号</w:t>
      </w:r>
      <w:r>
        <w:rPr/>
        <w:t>ONC</w:t>
      </w:r>
      <w:r>
        <w:rPr/>
        <w:t>，每份</w:t>
      </w:r>
      <w:r>
        <w:rPr/>
        <w:t>ADS</w:t>
      </w:r>
      <w:r>
        <w:rPr/>
        <w:t>代表</w:t>
      </w:r>
      <w:r>
        <w:rPr/>
        <w:t>13</w:t>
      </w:r>
      <w:r>
        <w:rPr/>
        <w:t>股普通股。研究模型</w:t>
      </w:r>
      <w:r>
        <w:rPr/>
        <w:t>beone-v1-operating-profit-AH-royalty-excluded</w:t>
      </w:r>
      <w:r>
        <w:rPr/>
        <w:t>，证据可信度中等。港股与</w:t>
      </w:r>
      <w:r>
        <w:rPr/>
        <w:t>A</w:t>
      </w:r>
      <w:r>
        <w:rPr/>
        <w:t>股共享公司经济预测，分别评估市场价格、技术表现和溢价。美元兑港币</w:t>
      </w:r>
      <w:r>
        <w:rPr/>
        <w:t>7.8</w:t>
      </w:r>
      <w:r>
        <w:rPr/>
        <w:t>、人民币兑港币</w:t>
      </w:r>
      <w:r>
        <w:rPr/>
        <w:t>1.10</w:t>
      </w:r>
      <w:r>
        <w:rPr/>
        <w:t>是估值换算假设，未冒充截止实测汇率。</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港股得分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港股悲观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乐观价</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港股基准回报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A</w:t>
            </w:r>
            <w:r>
              <w:rPr>
                <w:rFonts w:ascii="微软雅黑" w:hAnsi="微软雅黑" w:eastAsia="微软雅黑"/>
                <w:b/>
                <w:color w:val="FFFFFF"/>
                <w:sz w:val="17"/>
              </w:rPr>
              <w:t>股得分</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A</w:t>
            </w:r>
            <w:r>
              <w:rPr>
                <w:rFonts w:ascii="微软雅黑" w:hAnsi="微软雅黑" w:eastAsia="微软雅黑"/>
                <w:b/>
                <w:color w:val="FFFFFF"/>
                <w:sz w:val="17"/>
              </w:rPr>
              <w:t>股悲观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乐观价</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A</w:t>
            </w:r>
            <w:r>
              <w:rPr>
                <w:rFonts w:ascii="微软雅黑" w:hAnsi="微软雅黑" w:eastAsia="微软雅黑"/>
                <w:b/>
                <w:color w:val="FFFFFF"/>
                <w:sz w:val="17"/>
              </w:rPr>
              <w:t>股基准回报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69.7730 / 280.1480 / 512.3367</w:t>
            </w:r>
            <w:r>
              <w:rPr>
                <w:rFonts w:ascii="微软雅黑" w:hAnsi="微软雅黑" w:eastAsia="微软雅黑"/>
                <w:sz w:val="17"/>
              </w:rPr>
              <w:t>港元</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69.7730 / 305.6160 / 605.4888</w:t>
            </w:r>
            <w:r>
              <w:rPr>
                <w:rFonts w:ascii="微软雅黑" w:hAnsi="微软雅黑" w:eastAsia="微软雅黑"/>
                <w:sz w:val="17"/>
              </w:rPr>
              <w:t>人民币</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22.53%</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53.3719 / 393.0557 / 780.7482</w:t>
            </w:r>
            <w:r>
              <w:rPr>
                <w:rFonts w:ascii="微软雅黑" w:hAnsi="微软雅黑" w:eastAsia="微软雅黑"/>
                <w:sz w:val="17"/>
              </w:rPr>
              <w:t>港元</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87.53%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50.9459 / 410.9218 / 887.2138</w:t>
            </w:r>
            <w:r>
              <w:rPr>
                <w:rFonts w:ascii="微软雅黑" w:hAnsi="微软雅黑" w:eastAsia="微软雅黑"/>
                <w:sz w:val="17"/>
              </w:rPr>
              <w:t>人民币</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64.75%</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57.5981 / 502.8473 / 1088.9709</w:t>
            </w:r>
            <w:r>
              <w:rPr>
                <w:rFonts w:ascii="微软雅黑" w:hAnsi="微软雅黑" w:eastAsia="微软雅黑"/>
                <w:sz w:val="17"/>
              </w:rPr>
              <w:t>港元</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139.91%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52.3619 / 493.7047 / 1138.4696</w:t>
            </w:r>
            <w:r>
              <w:rPr>
                <w:rFonts w:ascii="微软雅黑" w:hAnsi="微软雅黑" w:eastAsia="微软雅黑"/>
                <w:sz w:val="17"/>
              </w:rPr>
              <w:t>人民币</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97.94%</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34.6328 / 628.8208 / 1298.1623</w:t>
            </w:r>
            <w:r>
              <w:rPr>
                <w:rFonts w:ascii="微软雅黑" w:hAnsi="微软雅黑" w:eastAsia="微软雅黑"/>
                <w:sz w:val="17"/>
              </w:rPr>
              <w:t>港元</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200.01%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31.4844 / 594.5215 / 1274.5593</w:t>
            </w:r>
            <w:r>
              <w:rPr>
                <w:rFonts w:ascii="微软雅黑" w:hAnsi="微软雅黑" w:eastAsia="微软雅黑"/>
                <w:sz w:val="17"/>
              </w:rPr>
              <w:t>人民币</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138.36%</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无独立评分</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87.3100 / 247.5914 / 439.9965</w:t>
            </w:r>
            <w:r>
              <w:rPr>
                <w:rFonts w:ascii="微软雅黑" w:hAnsi="微软雅黑" w:eastAsia="微软雅黑"/>
                <w:sz w:val="17"/>
              </w:rPr>
              <w:t>港元</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18.13%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无独立评分</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91.2786 / 281.3539 / 539.9957</w:t>
            </w:r>
            <w:r>
              <w:rPr>
                <w:rFonts w:ascii="微软雅黑" w:hAnsi="微软雅黑" w:eastAsia="微软雅黑"/>
                <w:sz w:val="17"/>
              </w:rPr>
              <w:t>人民币</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12.80%</w:t>
            </w:r>
          </w:p>
        </w:tc>
      </w:tr>
    </w:tbl>
    <w:p>
      <w:pPr>
        <w:pStyle w:val="Normal"/>
        <w:rPr/>
      </w:pPr>
      <w:r>
        <w:rPr/>
      </w:r>
    </w:p>
    <w:p>
      <w:pPr>
        <w:pStyle w:val="Heading2"/>
        <w:rPr/>
      </w:pPr>
      <w:r>
        <w:rPr>
          <w:color w:val="000000"/>
        </w:rPr>
        <w:t>一 投资判断 梯队与核心边界</w:t>
      </w:r>
    </w:p>
    <w:p>
      <w:pPr>
        <w:pStyle w:val="Normal"/>
        <w:rPr/>
      </w:pPr>
      <w:r>
        <w:rPr/>
        <w:t>百济适合进入进取型组合的三年与五年重点研究梯队，优先考虑港股代码。一年推荐强于半年，主要因为已上市的全球血液肿瘤产品能够为新一代药物投入提供现金，而市场价格仍对新产品兑现、经营杠杆和海外政策保留明显折扣。半年存在日线回调与周线趋势分歧，</w:t>
      </w:r>
      <w:r>
        <w:rPr/>
        <w:t>A</w:t>
      </w:r>
      <w:r>
        <w:rPr/>
        <w:t>股还需消化较高市场溢价，因此不能把长期经营信心直接变成短期追涨依据。分数表达研究偏好，没有表示盈利概率。</w:t>
      </w:r>
    </w:p>
    <w:p>
      <w:pPr>
        <w:pStyle w:val="Normal"/>
        <w:rPr/>
      </w:pPr>
      <w:r>
        <w:rPr/>
        <w:t>在全名单排名尚未全部复核之前，本章用“重点成长”“积极观察”和“等待技术修复”描述公司的期限位置，不提前声称已获得全榜第一名。港股三年和五年接近九十分，体现全球商业化证据、现金与研发接续能力；半年约七十八分，反映价格已进入回调、当前交易尚未确认上行突破。</w:t>
      </w:r>
      <w:r>
        <w:rPr/>
        <w:t>A</w:t>
      </w:r>
      <w:r>
        <w:rPr/>
        <w:t>股半年仅六十七分，差异来自买入价格及市场走势，不能解释为同家公司两套临床质量。</w:t>
      </w:r>
    </w:p>
    <w:p>
      <w:pPr>
        <w:pStyle w:val="Normal"/>
        <w:rPr/>
      </w:pPr>
      <w:r>
        <w:rPr/>
        <w:t>最重要的正面证据不是管线数量，而是百悦泽已经产生大规模、增长中的真实产品销售。上半年产品收入三十一点六七亿美元，其中百悦泽二十三点四二亿美元，产品毛利率约百分之八十九点二。公司还需要持续承担全球研发、商业网络及新生产设施成本，规模和增长已经较多数单药生物科技公司扎实，却没有解除集中度风险。若核心</w:t>
      </w:r>
      <w:r>
        <w:rPr/>
        <w:t>BTK</w:t>
      </w:r>
      <w:r>
        <w:rPr/>
        <w:t>市场增长放缓，整体盈利和早期研发估值可能同时受到冲击。</w:t>
      </w:r>
    </w:p>
    <w:p>
      <w:pPr>
        <w:pStyle w:val="Normal"/>
        <w:rPr/>
      </w:pPr>
      <w:r>
        <w:rPr/>
        <w:t>本章采用全公司风险折扣产品收入与正常税后经营利润倍数，另加超额净现金，避免把尚未盈利时期的销售倍数直接沿用到盈利阶段。索托克拉、</w:t>
      </w:r>
      <w:r>
        <w:rPr/>
        <w:t>BTK</w:t>
      </w:r>
      <w:r>
        <w:rPr/>
        <w:t>降解剂及实体瘤项目的未来收入已经包含在三种经营情景中，不再另加一遍管线净现值。这是一套可以检查收入、费用、税率和股数关系的经营模型，尚不是完整逐适应症风险调整现金流模型；长期数值必须随临床、注册和产品净价继续修订。</w:t>
      </w:r>
    </w:p>
    <w:p>
      <w:pPr>
        <w:pStyle w:val="Normal"/>
        <w:rPr/>
      </w:pPr>
      <w:r>
        <w:rPr/>
        <w:t>推荐成立的条件是百悦泽患者增长和治疗持续性维持优势，产品毛利率没有被支付折扣显著侵蚀，研发费用增长能够产生新的可销售药物，普通股稀释与现金投入低于新增经济收益。若后续产品只增加试验和销售成本而未形成现金收入，利润率会低于基准。若临床或商业出现重大挫折，不能因为账户中仍有大量现金就继续保持高分；高现金与高研发失败成本可以在同一家公司并存。</w:t>
      </w:r>
    </w:p>
    <w:p>
      <w:pPr>
        <w:pStyle w:val="Heading2"/>
        <w:rPr/>
      </w:pPr>
      <w:r>
        <w:rPr>
          <w:color w:val="000000"/>
        </w:rPr>
        <w:t xml:space="preserve">二 身份 </w:t>
      </w:r>
      <w:r>
        <w:rPr>
          <w:color w:val="000000"/>
        </w:rPr>
        <w:t>A H</w:t>
      </w:r>
      <w:r>
        <w:rPr>
          <w:color w:val="000000"/>
        </w:rPr>
        <w:t>与</w:t>
      </w:r>
      <w:r>
        <w:rPr>
          <w:color w:val="000000"/>
        </w:rPr>
        <w:t>ADR</w:t>
      </w:r>
      <w:r>
        <w:rPr>
          <w:color w:val="000000"/>
        </w:rPr>
        <w:t>的经济对应</w:t>
      </w:r>
    </w:p>
    <w:p>
      <w:pPr>
        <w:pStyle w:val="Normal"/>
        <w:rPr/>
      </w:pPr>
      <w:r>
        <w:rPr/>
        <w:t>用户提供的“百济神州”仍是本章中文检索名称，公司已以</w:t>
      </w:r>
      <w:r>
        <w:rPr/>
        <w:t>BeOne Medicines Ltd.</w:t>
      </w:r>
      <w:r>
        <w:rPr/>
        <w:t>披露资料，并注册于瑞士。三地上市结构增加了信息和估值口径复杂性：港股按每股普通股报价，</w:t>
      </w:r>
      <w:r>
        <w:rPr/>
        <w:t>A</w:t>
      </w:r>
      <w:r>
        <w:rPr/>
        <w:t>股为人民币股份，美国</w:t>
      </w:r>
      <w:r>
        <w:rPr/>
        <w:t>ADS</w:t>
      </w:r>
      <w:r>
        <w:rPr/>
        <w:t>一份代表十三股普通股。二零二六年十月六日股权奖励公告明确写出五万二千四百八十二份</w:t>
      </w:r>
      <w:r>
        <w:rPr/>
        <w:t>ADS</w:t>
      </w:r>
      <w:r>
        <w:rPr/>
        <w:t>相当于六十八万二千二百六十六股普通股，正文定义也确认一比十三。因此美元</w:t>
      </w:r>
      <w:r>
        <w:rPr/>
        <w:t>ADR</w:t>
      </w:r>
      <w:r>
        <w:rPr/>
        <w:t>目标不能直接与二百零九点六港元比较。</w:t>
      </w:r>
    </w:p>
    <w:p>
      <w:pPr>
        <w:pStyle w:val="Normal"/>
        <w:rPr/>
      </w:pPr>
      <w:r>
        <w:rPr/>
        <w:t>九月月报列香港普通股十四点二七二三亿股，人民币</w:t>
      </w:r>
      <w:r>
        <w:rPr/>
        <w:t>A</w:t>
      </w:r>
      <w:r>
        <w:rPr/>
        <w:t>股一点一五五零六亿股，另有向托管公司预先发行的十六万四千六百九十七股缓冲股份。两类已发行股份加托管缓冲约十五点四二四五亿股。香港列示的股份数已经包括以</w:t>
      </w:r>
      <w:r>
        <w:rPr/>
        <w:t>ADS</w:t>
      </w:r>
      <w:r>
        <w:rPr/>
        <w:t>形式持有的对应普通股，不能在估值时再把全部</w:t>
      </w:r>
      <w:r>
        <w:rPr/>
        <w:t>ADS</w:t>
      </w:r>
      <w:r>
        <w:rPr/>
        <w:t>乘十三加上一次。</w:t>
      </w:r>
      <w:r>
        <w:rPr/>
        <w:t>A</w:t>
      </w:r>
      <w:r>
        <w:rPr/>
        <w:t>股行情页显示的本地流通市值也不等于公司全球总股权价值。</w:t>
      </w:r>
    </w:p>
    <w:p>
      <w:pPr>
        <w:pStyle w:val="Normal"/>
        <w:rPr/>
      </w:pPr>
      <w:r>
        <w:rPr/>
        <w:t>发行股数与享有当期经济分配的流通股数还存在奖励库区别。全资子公司</w:t>
      </w:r>
      <w:r>
        <w:rPr/>
        <w:t>BGNC2</w:t>
      </w:r>
      <w:r>
        <w:rPr/>
        <w:t>持有一亿三千三百万股，其中约七千四百六十九万股已交付奖励对象，其余五千八百三十万股在瑞士法律下尚不视为流通，对当前股东没有即时稀释。员工购股计划另外存在五万三千九百二十四股未交付股份。这些股份未来用于奖励时会影响经济股数，却不能简单把法律发行总数与全部待授额度混为一谈。</w:t>
      </w:r>
    </w:p>
    <w:p>
      <w:pPr>
        <w:pStyle w:val="Normal"/>
        <w:rPr/>
      </w:pPr>
      <w:r>
        <w:rPr/>
        <w:t>排除月报明确的未流通奖励库、未交付员工购股股份和托管缓冲后，可推算普通流通股约十四点八三九三亿。托管缓冲实际交付的归属细节仍需继续核验，这个推算不是审计确认的期末稀释股数。中报披露的六月流通股与半年加权稀释股数承担不同用途，公司全年指引约一点一八亿份稀释</w:t>
      </w:r>
      <w:r>
        <w:rPr/>
        <w:t>ADS</w:t>
      </w:r>
      <w:r>
        <w:rPr/>
        <w:t>，折合十五点三四亿股。未来估值用预测稀释普通股，不能用香港单列股数承担整个公司利润。</w:t>
      </w:r>
    </w:p>
    <w:p>
      <w:pPr>
        <w:pStyle w:val="Normal"/>
        <w:rPr/>
      </w:pPr>
      <w:r>
        <w:rPr/>
        <w:t>按本章汇率假设，</w:t>
      </w:r>
      <w:r>
        <w:rPr/>
        <w:t>A</w:t>
      </w:r>
      <w:r>
        <w:rPr/>
        <w:t>股二百四十九点四二元折成二百七十四点三六二港元，比港股高约百分之三十点九。</w:t>
      </w:r>
      <w:r>
        <w:rPr/>
        <w:t>A</w:t>
      </w:r>
      <w:r>
        <w:rPr/>
        <w:t>股与香港股份不互相替代，账户权限、投资者结构、交易机制及流动性会令溢价长期存在，不能称无风险套利。基准情景把</w:t>
      </w:r>
      <w:r>
        <w:rPr/>
        <w:t>A</w:t>
      </w:r>
      <w:r>
        <w:rPr/>
        <w:t>股溢价依次设为年底百分之二十五、半年百分之二十、一年百分之十五、三年百分之八、五年百分之四。这是敏感性假设，并无承诺两地价格必然收敛。</w:t>
      </w:r>
    </w:p>
    <w:p>
      <w:pPr>
        <w:pStyle w:val="Heading2"/>
        <w:rPr/>
      </w:pPr>
      <w:r>
        <w:rPr>
          <w:color w:val="000000"/>
        </w:rPr>
        <w:t>三 收入结构与全球商业质量</w:t>
      </w:r>
    </w:p>
    <w:p>
      <w:pPr>
        <w:pStyle w:val="Normal"/>
        <w:rPr/>
      </w:pPr>
      <w:r>
        <w:rPr/>
        <w:t>二零二六年上半年收入三十二点一九亿美元，同比增长约百分之三十二点三，产品收入三十一点六七亿美元，同比增长百分之三十一点四。其他收入五千一百三十九万美元，占比已经较小，主要包括安进合作的特许权收入与诺华相关收入。规模增长主要由药物销售推动，和依靠大额一次性授权转为利润的模式不同。不过其中已售出的特许权收益不能全部认作股东可保留的未来经济流，本章在估值边界里将其单独排除。</w:t>
      </w:r>
    </w:p>
    <w:p>
      <w:pPr>
        <w:pStyle w:val="Normal"/>
        <w:rPr/>
      </w:pPr>
      <w:r>
        <w:rPr/>
        <w:t>百悦泽上半年销售二十三点四二亿美元，占产品收入约四分之三，是公司的经营中心。百泽安销售四点三四八亿美元，约占一成四；安进授权产品销售约二点九九五亿美元，另有其他产品。产品组合已经比单一上市药公司丰富，但利润和现金仍受百悦泽高度影响。即便未来管线呈现几十个项目，尚未形成销售的资产也不能立刻降低当期现金集中风险，商业化分散必须由净收入和利润实际证明。</w:t>
      </w:r>
    </w:p>
    <w:p>
      <w:pPr>
        <w:pStyle w:val="Normal"/>
        <w:rPr/>
      </w:pPr>
      <w:r>
        <w:rPr/>
        <w:t>百悦泽美国销售十六点五三六亿美元，同比约增长百分之三十二点六，欧洲三点七八亿美元，中国一点九一二亿美元，其他地区一点一九六亿美元。美国仍是最大来源，欧洲则为扩大规模提供重要增量。地域分散有助于降低单一审批和支付渠道风险，也带来多地区注册、汇率、营销与制造合规成本。全球销售增长应当和地区净价格、折扣及新增患者同时判断，不能只把覆盖国家数当成收入增长原因。</w:t>
      </w:r>
    </w:p>
    <w:p>
      <w:pPr>
        <w:pStyle w:val="Normal"/>
        <w:rPr/>
      </w:pPr>
      <w:r>
        <w:rPr/>
        <w:t>中报说明美国百悦泽销售包含约二千万美元非经常性的总额到净额调整。这个金额相对集团收入较小，仍需要从持续增长趋势中剥离，避免把历史折扣估计变化当作当期新增处方。药品厂商向分销渠道发货所确认的净销售包含返利、医保、折扣及退货估计，后续调整可能令单季表现波动。研究需要关注多季度趋势和真实需求验证，而不是用一个季度超过机构预期就外推永久增长率。</w:t>
      </w:r>
    </w:p>
    <w:p>
      <w:pPr>
        <w:pStyle w:val="Normal"/>
        <w:rPr/>
      </w:pPr>
      <w:r>
        <w:rPr/>
        <w:t>百济的商业质量在于临床证据、全球监管和市场执行能够形成连续链条。研发优势若只停留在试验设计，无法形成规模销售；全球销售网络若缺乏差异化药物，也难以长期维持高价格。百悦泽成功说明公司至少在一项重要机制上完成了这条链条，后续药物可以利用既有血液瘤医生、研究中心和支付经验。共享网络能降低新品进入成本，但每一个机制仍需独立证明疗效、安全性和成本效益。</w:t>
      </w:r>
    </w:p>
    <w:p>
      <w:pPr>
        <w:pStyle w:val="Heading2"/>
        <w:rPr/>
      </w:pPr>
      <w:r>
        <w:rPr>
          <w:color w:val="000000"/>
        </w:rPr>
        <w:t>四 百悦泽与</w:t>
      </w:r>
      <w:r>
        <w:rPr>
          <w:color w:val="000000"/>
        </w:rPr>
        <w:t>BTK</w:t>
      </w:r>
      <w:r>
        <w:rPr>
          <w:color w:val="000000"/>
        </w:rPr>
        <w:t>市场的持续性</w:t>
      </w:r>
    </w:p>
    <w:p>
      <w:pPr>
        <w:pStyle w:val="Normal"/>
        <w:rPr/>
      </w:pPr>
      <w:r>
        <w:rPr/>
        <w:t>澤布替尼作为</w:t>
      </w:r>
      <w:r>
        <w:rPr/>
        <w:t>BTK</w:t>
      </w:r>
      <w:r>
        <w:rPr/>
        <w:t>抑制剂，在多类</w:t>
      </w:r>
      <w:r>
        <w:rPr/>
        <w:t>B</w:t>
      </w:r>
      <w:r>
        <w:rPr/>
        <w:t>细胞恶性肿瘤中具备真实商业基础。血液瘤部分疾病具有长期治疗特点，处方增长既受新增患者影响，也受患者治疗持续时间影响。疗效提高或安全性改善可能帮助患者更久留在治疗中，形成销售积累；固定疗程、新一代非共价药物或联合方案则可能改变持续治疗收入结构。不能将每位患者终身服药作为预测默认条件，疗程变化可能比新患者数量更影响远期销售。</w:t>
      </w:r>
    </w:p>
    <w:p>
      <w:pPr>
        <w:pStyle w:val="Normal"/>
        <w:rPr/>
      </w:pPr>
      <w:r>
        <w:rPr/>
        <w:t>公司在二季度更新中强调</w:t>
      </w:r>
      <w:r>
        <w:rPr/>
        <w:t>SEQUOIA</w:t>
      </w:r>
      <w:r>
        <w:rPr/>
        <w:t>研究七十八个月随访继续显示初治慢性淋巴细胞白血病患者的持久无进展生存获益。长期随访比短期肿瘤缩小率更有价值，因为慢病治疗需要在多年疗效与累积安全性之间权衡。这个证据支持产品竞争地位，却不能自动推导所有地区所有适应症都以相同速度提升市场份额。医生选择还受既往用药、并发症、指南及支付条件影响，行业整体扩容与公司份额提升应分开。</w:t>
      </w:r>
    </w:p>
    <w:p>
      <w:pPr>
        <w:pStyle w:val="Normal"/>
        <w:rPr/>
      </w:pPr>
      <w:r>
        <w:rPr/>
        <w:t>BTK</w:t>
      </w:r>
      <w:r>
        <w:rPr/>
        <w:t>领域已有共价和非共价产品，治疗序贯与耐药会继续演化。竞争不仅是同机制药物之间的净价比较，也包括</w:t>
      </w:r>
      <w:r>
        <w:rPr/>
        <w:t>BCL2</w:t>
      </w:r>
      <w:r>
        <w:rPr/>
        <w:t>组合、抗体组合和细胞疗法对特定人群的替代。百悦泽有长期临床和商业优势，但优势需要通过安全性、患者坚持治疗和真实世界结局维护。新药如果以更短治疗周期获得相当疾病控制，即使未完全替代，也可能压缩原有持续治疗模式的平均每患者收入。</w:t>
      </w:r>
    </w:p>
    <w:p>
      <w:pPr>
        <w:pStyle w:val="Normal"/>
        <w:rPr/>
      </w:pPr>
      <w:r>
        <w:rPr/>
        <w:t>本模型基准将百悦泽收入从二零二七年半年估值所用五十八亿美元，升至二零二九年七十五亿美元及二零三一年八十三亿美元，增速随体量逐步下降。它包含地区扩张和适应症深化，没有无限外推当前三成增速。乐观情景二零三一年一百亿美元需要长期竞争领先、新患者渗透和治疗持续性共同成立；悲观情景降至四十七亿美元，代表成熟与替代压力。三者是研究假设，没有伪装为公司的销售指引。</w:t>
      </w:r>
    </w:p>
    <w:p>
      <w:pPr>
        <w:pStyle w:val="Heading2"/>
        <w:rPr/>
      </w:pPr>
      <w:r>
        <w:rPr>
          <w:color w:val="000000"/>
        </w:rPr>
        <w:t xml:space="preserve">五 </w:t>
      </w:r>
      <w:r>
        <w:rPr>
          <w:color w:val="000000"/>
        </w:rPr>
        <w:t>MANGROVE</w:t>
      </w:r>
      <w:r>
        <w:rPr>
          <w:color w:val="000000"/>
        </w:rPr>
        <w:t>与一线套细胞淋巴瘤机会</w:t>
      </w:r>
    </w:p>
    <w:p>
      <w:pPr>
        <w:pStyle w:val="Normal"/>
        <w:rPr/>
      </w:pPr>
      <w:r>
        <w:rPr/>
        <w:t>六月三十日原公告披露</w:t>
      </w:r>
      <w:r>
        <w:rPr/>
        <w:t>MANGROVE</w:t>
      </w:r>
      <w:r>
        <w:rPr/>
        <w:t>三期预设中期分析，澤布替尼联合利妥昔单抗对比苯达莫司汀联合利妥昔单抗，用于此前未治疗的套细胞淋巴瘤成人患者。独立审查无进展生存达到主要终点，风险比零点五七，置信区间零点四三至零点七六，统计检验小于零点零零零一。研究支持无化疗方案在该人群的疾病控制优势，是比单臂缓解数据更强的证据，但不是所有一线淋巴瘤的通用结论。</w:t>
      </w:r>
    </w:p>
    <w:p>
      <w:pPr>
        <w:pStyle w:val="Normal"/>
        <w:rPr/>
      </w:pPr>
      <w:r>
        <w:rPr/>
        <w:t>总生存数据在本次分析尚未成熟，公告只描述有利趋势，不能写成已经证明延长总生存。新的安全性信号未发现，也不意味着不良反应不存在或可以忽略长期风险。未来需关注成熟安全资料、停药、感染、心血管事件与实际治疗负担，以及监管是否认可研究设计和对照。</w:t>
      </w:r>
      <w:r>
        <w:rPr/>
        <w:t>PFS</w:t>
      </w:r>
      <w:r>
        <w:rPr/>
        <w:t>统计显著是重要里程碑，患者临床价值和销售采用还需要结合绝对延长时间、治疗便利及支付成本。</w:t>
      </w:r>
    </w:p>
    <w:p>
      <w:pPr>
        <w:pStyle w:val="Normal"/>
        <w:rPr/>
      </w:pPr>
      <w:r>
        <w:rPr/>
        <w:t>无化疗方案可能帮助部分不适合化疗或希望减少化疗负担的患者，商业空间取决于明确获批人群及指南采用。套细胞淋巴瘤属于较小人群，不能用全部非霍奇金淋巴瘤病例估销售。公司八月预计下半年在美国、欧洲、中国及日本递交一线上市申请，这是可观察的催化剂，并非截止时已经全部批准。半年模型把新增适应症增长融入百悦泽收入情景，没有为同一份研究另加一笔独立资产价值。</w:t>
      </w:r>
    </w:p>
    <w:p>
      <w:pPr>
        <w:pStyle w:val="Normal"/>
        <w:rPr/>
      </w:pPr>
      <w:r>
        <w:rPr/>
        <w:t>反证主要来自监管、竞争和长期结局。若审批要求更多成熟数据或追加试验，价值兑现会后移；若新对照方案在疗效、疗程或安全性上更优，一线竞争空间可能低于当前判断。若</w:t>
      </w:r>
      <w:r>
        <w:rPr/>
        <w:t>PFS</w:t>
      </w:r>
      <w:r>
        <w:rPr/>
        <w:t>改善主要来自治疗持续时间延长，但额外成本和毒性影响患者接受，净经济收益未必达到乐观假设。投资逻辑应由已公开的随机证据支撑，并给未来资料留下调整空间，不能把预期申请日当确定销售起点。</w:t>
      </w:r>
    </w:p>
    <w:p>
      <w:pPr>
        <w:pStyle w:val="Heading2"/>
        <w:rPr/>
      </w:pPr>
      <w:r>
        <w:rPr>
          <w:color w:val="000000"/>
        </w:rPr>
        <w:t>六 索托克拉与第二个血液瘤增长引擎</w:t>
      </w:r>
    </w:p>
    <w:p>
      <w:pPr>
        <w:pStyle w:val="Normal"/>
        <w:rPr/>
      </w:pPr>
      <w:r>
        <w:rPr/>
        <w:t>索托克拉是</w:t>
      </w:r>
      <w:r>
        <w:rPr/>
        <w:t>BCL2</w:t>
      </w:r>
      <w:r>
        <w:rPr/>
        <w:t>抑制剂，五月十三日在美国获得加速批准，用于既往至少接受两线系统治疗、包括</w:t>
      </w:r>
      <w:r>
        <w:rPr/>
        <w:t>BTK</w:t>
      </w:r>
      <w:r>
        <w:rPr/>
        <w:t>抑制剂的复发或难治套细胞淋巴瘤成人患者。五月十四日公司公告披露该事件。因此截至本研究基准，不能再把“等待首次美国批准”当作未来催化。现阶段投资问题已经转为上市后医生采用、患者识别、支付覆盖、生产供应及确认性试验能否支持持续许可，价值应沿商业化和证据成熟重新判断。</w:t>
      </w:r>
    </w:p>
    <w:p>
      <w:pPr>
        <w:pStyle w:val="Normal"/>
        <w:rPr/>
      </w:pPr>
      <w:r>
        <w:rPr/>
        <w:t>批准依据包括一期二期研究，独立审查总体缓解率百分之五十二，完全缓解率百分之十六，中位至缓解时间一点九个月。中位缓解持续时间十五点八个月，中位随访十一点九个月，资料仍未完全成熟。总体缓解对选择有限的后线患者有临床意义，但与另一药物不同研究的百分比直接排名，会受患者既往治疗、疾病风险及评估差异影响。本章没有把单臂结果写成对标准治疗的随机优效。</w:t>
      </w:r>
    </w:p>
    <w:p>
      <w:pPr>
        <w:pStyle w:val="Normal"/>
        <w:rPr/>
      </w:pPr>
      <w:r>
        <w:rPr/>
        <w:t>持续获批取决于正在进行的</w:t>
      </w:r>
      <w:r>
        <w:rPr/>
        <w:t>CELESTIAL-RRMCL</w:t>
      </w:r>
      <w:r>
        <w:rPr/>
        <w:t>确认性试验能否证明临床获益。加速批准帮助更早服务患者，也增加上市后确认义务；确认失败可能令销售、估值和信誉同时受损。药物具有突破性、快速通道或孤儿药资格，说明未满足需求和开发支持，不是上市后成功保证。商业预测必须为确认性风险、真实安全和后线市场规模留折扣，本模型没有给首批收入直接采用完整峰值。</w:t>
      </w:r>
    </w:p>
    <w:p>
      <w:pPr>
        <w:pStyle w:val="Normal"/>
        <w:rPr/>
      </w:pPr>
      <w:r>
        <w:rPr/>
        <w:t>公司还在探索索托克拉与澤布替尼联合用药及其他血液疾病，潜在意义在于用同一商业网络构建互补机制。</w:t>
      </w:r>
      <w:r>
        <w:rPr/>
        <w:t>BCL2</w:t>
      </w:r>
      <w:r>
        <w:rPr/>
        <w:t>与</w:t>
      </w:r>
      <w:r>
        <w:rPr/>
        <w:t>BTK</w:t>
      </w:r>
      <w:r>
        <w:rPr/>
        <w:t>分别作用于不同路径，理论上有提高疾病控制、形成固定疗程的机会，但组合剂量、肿瘤溶解风险、感染、骨髓抑制和耐药必须通过试验判断。组合收入也可能替代原有长期单药的一部分销售，不能把两种药峰值简单相加且完全忽略疗程变化和内部替代。</w:t>
      </w:r>
    </w:p>
    <w:p>
      <w:pPr>
        <w:pStyle w:val="Normal"/>
        <w:rPr/>
      </w:pPr>
      <w:r>
        <w:rPr/>
        <w:t>基准情景把索托克拉未来收入设为二零二七年三点五亿美元、二零二八年七点五亿美元、二零二九年十六亿美元及二零三一年二十八亿美元。这些金额包括已批准商业化扩张和后续适应症概率折扣，是本研究的合计假设，不是已获批人群能自然产生的确定收入。乐观五年四十三亿美元需要更多适应症及组合成功，悲观仅六亿美元，则代表后线渗透和注册转化不足。模型通过三种收入路径呈现失败风险。</w:t>
      </w:r>
    </w:p>
    <w:p>
      <w:pPr>
        <w:pStyle w:val="Heading2"/>
        <w:rPr/>
      </w:pPr>
      <w:r>
        <w:rPr>
          <w:color w:val="000000"/>
        </w:rPr>
        <w:t xml:space="preserve">七 </w:t>
      </w:r>
      <w:r>
        <w:rPr>
          <w:color w:val="000000"/>
        </w:rPr>
        <w:t>BTK</w:t>
      </w:r>
      <w:r>
        <w:rPr>
          <w:color w:val="000000"/>
        </w:rPr>
        <w:t>降解剂与耐药后的治疗序贯</w:t>
      </w:r>
    </w:p>
    <w:p>
      <w:pPr>
        <w:pStyle w:val="Normal"/>
        <w:rPr/>
      </w:pPr>
      <w:r>
        <w:rPr/>
        <w:t>Tacabrutideg</w:t>
      </w:r>
      <w:r>
        <w:rPr/>
        <w:t>即</w:t>
      </w:r>
      <w:r>
        <w:rPr/>
        <w:t>BGB-16673</w:t>
      </w:r>
      <w:r>
        <w:rPr/>
        <w:t>，属于</w:t>
      </w:r>
      <w:r>
        <w:rPr/>
        <w:t>BTK</w:t>
      </w:r>
      <w:r>
        <w:rPr/>
        <w:t>嵌合式降解激活化合物。降解策略尝试降低目标蛋白而非仅阻断激酶功能，对部分耐药机制有科学吸引力；机制创新本身不能替代患者证据。前代</w:t>
      </w:r>
      <w:r>
        <w:rPr/>
        <w:t>BTK</w:t>
      </w:r>
      <w:r>
        <w:rPr/>
        <w:t>抑制剂的商业成功证明该靶点重要，也意味着新产品必须在已有多个治疗选择下提供有意义的改善。真实价值取决于耐药突变、疗效持续、安全性和治疗序贯，而非“降解”二字自动带来更高定价。</w:t>
      </w:r>
    </w:p>
    <w:p>
      <w:pPr>
        <w:pStyle w:val="Normal"/>
        <w:rPr/>
      </w:pPr>
      <w:r>
        <w:rPr/>
        <w:t>八月业绩更新披露，中国复发难治</w:t>
      </w:r>
      <w:r>
        <w:rPr/>
        <w:t>CLL</w:t>
      </w:r>
      <w:r>
        <w:rPr/>
        <w:t>三期</w:t>
      </w:r>
      <w:r>
        <w:rPr/>
        <w:t>CaDAnCe-303</w:t>
      </w:r>
      <w:r>
        <w:rPr/>
        <w:t>完成最后一例患者入组，公司预期若二期资料支持，下半年可能递交上市申请。这两个事实应分别理解：入组完成不是三期结果成功，条件性申报规划也不是已经获得批准。截止日缺乏完整后续监管信息时，本章没有编造获批日期和成功概率。本模型二零二七年基准收入仅一亿美元，保留审批后移和早期销售不足的可能。</w:t>
      </w:r>
    </w:p>
    <w:p>
      <w:pPr>
        <w:pStyle w:val="Normal"/>
        <w:rPr/>
      </w:pPr>
      <w:r>
        <w:rPr/>
        <w:t>降解剂可以给接受</w:t>
      </w:r>
      <w:r>
        <w:rPr/>
        <w:t>BTK</w:t>
      </w:r>
      <w:r>
        <w:rPr/>
        <w:t>抑制剂后复发的人群提供选择，但越是后线，患者疾病更复杂、既往治疗更多，单臂疗效和安全更难与一线研究比较。长期需要观察抗药机制是否出现、药物相互作用、严重感染和停药。若未来有效性不及竞争产品或不能改善治疗持续性，平台科研吸引力不会自然转化成高销售。研究应跟踪明确试验终点和不同患者群的结果，不使用一个早期队列替代整个开发项目。</w:t>
      </w:r>
    </w:p>
    <w:p>
      <w:pPr>
        <w:pStyle w:val="Normal"/>
        <w:rPr/>
      </w:pPr>
      <w:r>
        <w:rPr/>
        <w:t>二零二九年基准十亿美元及二零三一年十八亿美元收入意味着公司能在血液瘤医生网络中建立第二代序贯产品；乐观分别十八亿和三十亿美元要求更广适应症及优秀临床执行。悲观五年三亿美元则反映批准与竞争空间有限。该收入与索托克拉和百悦泽可能相关，三种全公司情景同时改变多产品与费用，避免把各药独立最优结局不加相关性地拼成高收益组合。</w:t>
      </w:r>
    </w:p>
    <w:p>
      <w:pPr>
        <w:pStyle w:val="Heading2"/>
        <w:rPr/>
      </w:pPr>
      <w:r>
        <w:rPr>
          <w:color w:val="000000"/>
        </w:rPr>
        <w:t>八 百泽安 联合治疗与实体瘤商业边界</w:t>
      </w:r>
    </w:p>
    <w:p>
      <w:pPr>
        <w:pStyle w:val="Normal"/>
        <w:rPr/>
      </w:pPr>
      <w:r>
        <w:rPr/>
        <w:t>替雷利珠单抗上半年销售四点三四八亿美元，增长百分之十九点二，说明其仍具真实产品基础。</w:t>
      </w:r>
      <w:r>
        <w:rPr/>
        <w:t>PD1</w:t>
      </w:r>
      <w:r>
        <w:rPr/>
        <w:t>领域竞争激烈，国内价格、医保准入与适应症覆盖影响增长；海外竞争则需要本地临床、指南及销售能力。公司取得日本胃癌一线批准，是地区扩张证据，但单一地区新增适应症不能自动推出全球</w:t>
      </w:r>
      <w:r>
        <w:rPr/>
        <w:t>PD1</w:t>
      </w:r>
      <w:r>
        <w:rPr/>
        <w:t>份额。未来净销售应区分独立药物收入与合作伙伴所拥有的权益，不能把联合方案总额全部归公司。</w:t>
      </w:r>
    </w:p>
    <w:p>
      <w:pPr>
        <w:pStyle w:val="Normal"/>
        <w:rPr/>
      </w:pPr>
      <w:r>
        <w:rPr/>
        <w:t>HERIZON-GEA-01</w:t>
      </w:r>
      <w:r>
        <w:rPr/>
        <w:t>评估澤尼达妥单抗联合化疗、或进一步联合替雷利珠单抗，对比曲妥珠单抗联合化疗，用于</w:t>
      </w:r>
      <w:r>
        <w:rPr/>
        <w:t>HER2</w:t>
      </w:r>
      <w:r>
        <w:rPr/>
        <w:t>阳性晚期或转移性胃食管腺癌一线。八月公告表示资料发表于医学期刊，并预计美国和中国监管决定在之后不同时间发生。本章使用原公告确认研究与申报方向，没有在未取得全部详细原始表格时编造风险比、绝对生存期或完整不良反应数值，也没有使用截止日之后的监管结果。</w:t>
      </w:r>
    </w:p>
    <w:p>
      <w:pPr>
        <w:pStyle w:val="Normal"/>
        <w:rPr/>
      </w:pPr>
      <w:r>
        <w:rPr/>
        <w:t>这里有两层经济权益：替雷利珠单抗的全球商业路径与澤尼达妥单抗在公司所获授权区域的权益。年报说明后者涉及特定亚太地区开发商业化权限，海外伙伴在其他市场的销售并不全部属于百济。联合药方案即使临床表现优秀，两个分子的权利、成本、授权费及商业利润分成仍需分开。全公司情景把公司保留收益纳入对应产品和其他经济组，避免重复计算整个联合治疗市场。</w:t>
      </w:r>
    </w:p>
    <w:p>
      <w:pPr>
        <w:pStyle w:val="Normal"/>
        <w:rPr/>
      </w:pPr>
      <w:r>
        <w:rPr/>
        <w:t>百泽安基准五年销售二十一亿美元，要求多个地区增长、新适应症及商业效率共同成立。悲观九亿美元并非否认药物疗效，而是呈现成熟竞争、价格压力及地区进展慢的经济结果。未来</w:t>
      </w:r>
      <w:r>
        <w:rPr/>
        <w:t>PD1</w:t>
      </w:r>
      <w:r>
        <w:rPr/>
        <w:t>与抗血管生成、双抗及多特异抗体的竞争也可能改变一线治疗路径，只有在特定人群证明临床价值，市场增长才可持续。药物原有证据不会消失，但可接受价格和治疗位置可能随着新标准而下降。</w:t>
      </w:r>
    </w:p>
    <w:p>
      <w:pPr>
        <w:pStyle w:val="Heading2"/>
        <w:rPr/>
      </w:pPr>
      <w:r>
        <w:rPr>
          <w:color w:val="000000"/>
        </w:rPr>
        <w:t>九 实体瘤早期组合与风险折扣</w:t>
      </w:r>
    </w:p>
    <w:p>
      <w:pPr>
        <w:pStyle w:val="Normal"/>
        <w:rPr/>
      </w:pPr>
      <w:r>
        <w:rPr/>
        <w:t>公司二季度更新列出三个概念验证项目：</w:t>
      </w:r>
      <w:r>
        <w:rPr/>
        <w:t>CDK4</w:t>
      </w:r>
      <w:r>
        <w:rPr/>
        <w:t>抑制剂</w:t>
      </w:r>
      <w:r>
        <w:rPr/>
        <w:t>BGB-43395</w:t>
      </w:r>
      <w:r>
        <w:rPr/>
        <w:t>、</w:t>
      </w:r>
      <w:r>
        <w:rPr/>
        <w:t>GPC3</w:t>
      </w:r>
      <w:r>
        <w:rPr/>
        <w:t>与</w:t>
      </w:r>
      <w:r>
        <w:rPr/>
        <w:t>4-1BB</w:t>
      </w:r>
      <w:r>
        <w:rPr/>
        <w:t>双特异抗体</w:t>
      </w:r>
      <w:r>
        <w:rPr/>
        <w:t>BGB-B2033</w:t>
      </w:r>
      <w:r>
        <w:rPr/>
        <w:t>、</w:t>
      </w:r>
      <w:r>
        <w:rPr/>
        <w:t>B7H4 ADC</w:t>
      </w:r>
      <w:r>
        <w:rPr/>
        <w:t>项目</w:t>
      </w:r>
      <w:r>
        <w:rPr/>
        <w:t>BG-C9074</w:t>
      </w:r>
      <w:r>
        <w:rPr/>
        <w:t>。它们分别面向不同生物机制和肿瘤人群，不能因为都处于实体瘤管线就采用同一成功率。概念验证意味着存在支持继续开发的早期信号，随机注册结果、长期安全和商业净收益仍有距离。本章不给未完整核验的早期试验样本量、缓解率和安全指标补造数值。</w:t>
      </w:r>
    </w:p>
    <w:p>
      <w:pPr>
        <w:pStyle w:val="Normal"/>
        <w:rPr/>
      </w:pPr>
      <w:r>
        <w:rPr/>
        <w:t>BGB-43395</w:t>
      </w:r>
      <w:r>
        <w:rPr/>
        <w:t>已经启动与来曲唑联合的三期，用于激素受体阳性、</w:t>
      </w:r>
      <w:r>
        <w:rPr/>
        <w:t>HER2</w:t>
      </w:r>
      <w:r>
        <w:rPr/>
        <w:t>阴性转移性乳腺癌一线。现有</w:t>
      </w:r>
      <w:r>
        <w:rPr/>
        <w:t>CDK46</w:t>
      </w:r>
      <w:r>
        <w:rPr/>
        <w:t>市场成熟，选择性</w:t>
      </w:r>
      <w:r>
        <w:rPr/>
        <w:t>CDK4</w:t>
      </w:r>
      <w:r>
        <w:rPr/>
        <w:t>方案需要证明疗效和安全之间的实际改善。新的抑制选择性可能减少部分毒性，也可能在某些疾病场景影响疗效，这应由试验结果决定。进入三期说明研发投入加大和路径清晰，不等于临床优势确定；竞争标准持续变化会使后续试验评价门槛提高。</w:t>
      </w:r>
    </w:p>
    <w:p>
      <w:pPr>
        <w:pStyle w:val="Normal"/>
        <w:rPr/>
      </w:pPr>
      <w:r>
        <w:rPr/>
        <w:t>GPC3</w:t>
      </w:r>
      <w:r>
        <w:rPr/>
        <w:t>与</w:t>
      </w:r>
      <w:r>
        <w:rPr/>
        <w:t>4-1BB</w:t>
      </w:r>
      <w:r>
        <w:rPr/>
        <w:t>双抗尝试把肿瘤相关靶向与免疫激活结合，肝细胞癌市场存在巨大未满足需求，也有复杂的肝功能和既往治疗风险。早期疗效可能受靶点表达、患者选择及队列限制影响，免疫激活安全性尤其重要。公司八月计划在下半年启动二线肝癌关键三期，本章只作为研发布局催化。若正式试验扩大后获益下降或安全性影响剂量与持续治疗，平台意义不能弥补患者结局不足。</w:t>
      </w:r>
    </w:p>
    <w:p>
      <w:pPr>
        <w:pStyle w:val="Normal"/>
        <w:rPr/>
      </w:pPr>
      <w:r>
        <w:rPr/>
        <w:t>B7H4 ADC</w:t>
      </w:r>
      <w:r>
        <w:rPr/>
        <w:t>项目预期开展一线卵巢癌维持三期，应用位置与重度治疗后肿瘤缩小并不相同。维持治疗患者通常更重视长期耐受和生活质量，</w:t>
      </w:r>
      <w:r>
        <w:rPr/>
        <w:t>ADC</w:t>
      </w:r>
      <w:r>
        <w:rPr/>
        <w:t>毒性、停药和治疗时长将影响可接受性。早期响应不能替代维持人群的无进展或长期获益。合作开发资产还涉及授权、里程碑和收益分配，因此即使销售成功也不一定享有百分之百经济利益。本报告将净权益风险留在全公司费用和收入假设中。</w:t>
      </w:r>
    </w:p>
    <w:p>
      <w:pPr>
        <w:pStyle w:val="Normal"/>
        <w:rPr/>
      </w:pPr>
      <w:r>
        <w:rPr/>
        <w:t>其他项目包含</w:t>
      </w:r>
      <w:r>
        <w:rPr/>
        <w:t>KAT6</w:t>
      </w:r>
      <w:r>
        <w:rPr/>
        <w:t>抑制、</w:t>
      </w:r>
      <w:r>
        <w:rPr/>
        <w:t>PRMT5</w:t>
      </w:r>
      <w:r>
        <w:rPr/>
        <w:t>方向和三特异抗体等，年报与中报体现研发平台仍在扩展。这些方向提供长期接续选择，也消耗试验、制造与组织资源。项目越多越需要停项纪律与组合优先级，不能把数量增长作为经营质量自动加分。基准实体瘤新项目收入在二零二八年仅五千万美元、二零二九年五亿美元、二零三一年十四亿美元，显示实际现金兑现较科学新闻慢；乐观三十二亿美元需要多项成功。</w:t>
      </w:r>
    </w:p>
    <w:p>
      <w:pPr>
        <w:pStyle w:val="Heading2"/>
        <w:rPr/>
      </w:pPr>
      <w:r>
        <w:rPr>
          <w:color w:val="000000"/>
        </w:rPr>
        <w:t>十 全球需求 支付与经济环境</w:t>
      </w:r>
    </w:p>
    <w:p>
      <w:pPr>
        <w:pStyle w:val="Normal"/>
        <w:rPr/>
      </w:pPr>
      <w:r>
        <w:rPr/>
        <w:t>癌症需求受疾病发生、诊断、人口年龄及医疗覆盖影响，通常比可选消费更稳定，但药企收益不会与疾病数量等比例增长。支付方关注临床获益、预算和不同方案总成本，慢性血液瘤长期治疗尤其涉及累计支出。美国净价变化、欧洲国家谈判及中国医保价格可以同时影响商业经济。高毛利药物有缓冲，但全球收入庞大也意味着小幅净价变化能够显著影响利润，因此需求稳定不是估值稳定保证。</w:t>
      </w:r>
    </w:p>
    <w:p>
      <w:pPr>
        <w:pStyle w:val="Normal"/>
        <w:rPr/>
      </w:pPr>
      <w:r>
        <w:rPr/>
        <w:t>美国是百悦泽最大市场，医保、商业保险、药品返利及销售费用共同决定可保留的收入。未来价格政策和新进入者可能改变折扣，报告销售的总额到净额调整说明这种影响已存在于会计估计。研究不能把美国标价乘患者数当作实际净收入，也不能因产品目前增长就认为所有政策变化不相关。需要核验适用条款、时间与具体产品，未落地政策只作为情景，不直接断言公司一定受到某一处罚或价格限制。</w:t>
      </w:r>
    </w:p>
    <w:p>
      <w:pPr>
        <w:pStyle w:val="Normal"/>
        <w:rPr/>
      </w:pPr>
      <w:r>
        <w:rPr/>
        <w:t>中国医保改善药物可及性并可能增加数量，同时谈判降价影响单位收益。百济国内产品组合及医院渠道较成熟，新适应症进入医保有望提高治疗渗透，但需要实际处方和回款验证。公立医院预算、合理用药与反腐合规可能影响推广节奏，不能把行业新闻自动等同于该公司具体销售受阻。基准增长从已公开产品数据出发，对未来价格与费用留缓冲，不把政策支持写成保证高利润。</w:t>
      </w:r>
    </w:p>
    <w:p>
      <w:pPr>
        <w:pStyle w:val="Normal"/>
        <w:rPr/>
      </w:pPr>
      <w:r>
        <w:rPr/>
        <w:t>欧洲与其他市场扩张需要本地报销、供应和医生信任，监管批准到规模销售往往存在时差。欧洲销售增长有助分散美国集中，但国家之间的价格与准入并不一致，新国家新增患者也可能伴随较低平均净价格。经济放缓对必要肿瘤治疗需求影响较小，对财政预算与支付谈判却可能产生间接压力。长期模型应看净销售和地区贡献，没有将每一个获批地区简单按美国售价计入峰值。</w:t>
      </w:r>
    </w:p>
    <w:p>
      <w:pPr>
        <w:pStyle w:val="Normal"/>
        <w:rPr/>
      </w:pPr>
      <w:r>
        <w:rPr/>
        <w:t>利率主要通过股票折现、资金成本与现金利息影响估值。百济现金较多，利率下降可能降低存款收益，同时提高远期成长现金流现值；利率上升则可能改善现金利息却压低成长倍数。公司存在美元和人民币贷款及担保条件，不能只看到现金规模忽略债务期限。本章核心经营利润排除融资与现金利息，用银行债在现金桥处理，便于把经营变化和资金成本变化分别观察。</w:t>
      </w:r>
    </w:p>
    <w:p>
      <w:pPr>
        <w:pStyle w:val="Normal"/>
        <w:rPr/>
      </w:pPr>
      <w:r>
        <w:rPr/>
        <w:t>美元报表与人民币成本、欧元销售及港币股价形成多重汇率暴露。人民币升值可提高中国研发和人员成本的美元呈报金额，欧洲货币变化影响地区销售换算，美元与港币联系也不消除人民币投资者的汇兑回报。主表本币收益不包含换汇损益，人民币投资者持港股另按港币变化敏感性。汇率假设统一的目的在于检验模型，不代表经营收入、成本和现金全部天然美元化。</w:t>
      </w:r>
    </w:p>
    <w:p>
      <w:pPr>
        <w:pStyle w:val="Heading2"/>
        <w:rPr/>
      </w:pPr>
      <w:r>
        <w:rPr>
          <w:color w:val="000000"/>
        </w:rPr>
        <w:t>十一 历史财务与经营杠杆</w:t>
      </w:r>
    </w:p>
    <w:p>
      <w:pPr>
        <w:pStyle w:val="Normal"/>
        <w:rPr/>
      </w:pPr>
      <w:r>
        <w:rPr/>
        <w:t>年报五年财务摘要显示收入从二零二一年十一点七六亿美元，升至二零二二年十四点一六亿、二零二三年二十四点五九亿、二零二四年三十八点一零亿、二零二五年五十三点四三亿美元。这个增长轨迹体现商业化规模积累，二零二五年收入增长约四成。净利润同年约二点八六九亿美元，而二零二四年仍亏六点四四八亿美元，说明费用规模很大，收入超过固定投入后利润能够明显加速，但稳定盈利历史尚短。</w:t>
      </w:r>
    </w:p>
    <w:p>
      <w:pPr>
        <w:pStyle w:val="Normal"/>
        <w:rPr/>
      </w:pPr>
      <w:r>
        <w:rPr/>
        <w:t>二零二六年上半年毛利二十八点七七亿美元，研发十一点五三五亿美元，销售管理十一点四八三亿美元，</w:t>
      </w:r>
      <w:r>
        <w:rPr/>
        <w:t>GAAP</w:t>
      </w:r>
      <w:r>
        <w:rPr/>
        <w:t>经营利润五点七四九亿美元。产品毛利率上升与费用增速低于产品收入增速共同形成经营杠杆。研发同比约增百分之十四点六，销售管理约增百分之十五点二，均显著低于产品收入三成增长。利润改善具真实经营基础，未来还要检验研发进入多项后期试验之后，费用是否仍能保持这种相对关系。</w:t>
      </w:r>
    </w:p>
    <w:p>
      <w:pPr>
        <w:pStyle w:val="Normal"/>
        <w:rPr/>
      </w:pPr>
      <w:r>
        <w:rPr/>
        <w:t>高毛利并不等于净利润率已经成熟。上半年研发及销售管理合计二十三亿美元，占收入约七成一，仍需要核心产品快速增长才能形成较高剩余利润。若销售增长下降到个位数而费用保持双位数，经营杠杆可能反向发生。基准模型在新品收入增长时同时提高绝对研发和销售管理费用，没有假定收入翻倍而费用冻结。对全球研发型药企而言，持续再投资是经营成本，简单削研发提高短期利润可能损害后续产品接续。</w:t>
      </w:r>
    </w:p>
    <w:p>
      <w:pPr>
        <w:pStyle w:val="Normal"/>
        <w:rPr/>
      </w:pPr>
      <w:r>
        <w:rPr/>
        <w:t>上半年</w:t>
      </w:r>
      <w:r>
        <w:rPr/>
        <w:t>GAAP</w:t>
      </w:r>
      <w:r>
        <w:rPr/>
        <w:t>净利四点六四四亿美元，而调整净利八点一九五亿美元，两者差距约三点五五亿美元。调整经营利润剔除股份薪酬、折旧摊销等约三点四二亿美元，其中股份薪酬二点六零八亿美元。非现金费用有助解释现金流，但普通股东仍承担稀释或未来补偿成本。用调整利润直接套成熟药企高</w:t>
      </w:r>
      <w:r>
        <w:rPr/>
        <w:t>PE</w:t>
      </w:r>
      <w:r>
        <w:rPr/>
        <w:t>，再忽略稀释，会把员工报酬当作免费资源，本章正常费用保留相关经济成本。</w:t>
      </w:r>
    </w:p>
    <w:p>
      <w:pPr>
        <w:pStyle w:val="Normal"/>
        <w:rPr/>
      </w:pPr>
      <w:r>
        <w:rPr/>
        <w:t>公司八月上调全年收入指引至六十六至六十八亿美元，</w:t>
      </w:r>
      <w:r>
        <w:rPr/>
        <w:t>GAAP</w:t>
      </w:r>
      <w:r>
        <w:rPr/>
        <w:t>经营利润十至十一亿美元，非</w:t>
      </w:r>
      <w:r>
        <w:rPr/>
        <w:t>GAAP</w:t>
      </w:r>
      <w:r>
        <w:rPr/>
        <w:t>经营利润十七至十八亿美元。两种经营利润不可混用，也不等于同额净利润，融资、其他收益和税仍会影响归属股东数值。指引以八月一日汇率为假设并未包括潜在重大新交易和非经常事件。本章未来经营输入是研究假设，短期参照指引而没有把研究数字标成公司已承诺。</w:t>
      </w:r>
    </w:p>
    <w:p>
      <w:pPr>
        <w:pStyle w:val="Heading2"/>
        <w:rPr/>
      </w:pPr>
      <w:r>
        <w:rPr>
          <w:color w:val="000000"/>
        </w:rPr>
        <w:t>十二 现金流 营运资本与生产投入</w:t>
      </w:r>
    </w:p>
    <w:p>
      <w:pPr>
        <w:pStyle w:val="Normal"/>
        <w:rPr/>
      </w:pPr>
      <w:r>
        <w:rPr/>
        <w:t>上半年经营现金流六点六四二亿美元，购置物业设备六千八百二十七万美元，公司定义的自由现金流约五点九五九亿美元。这个自由现金流是经营现金流减物业设备现金支出，未自动扣除所有引进项目、知识产权与战略投资。同期购买在研资产现金二千零五十二万美元，未来里程碑和扩产也会消耗现金。因此公司自由现金流指标有实用意义，但不是全部可以分红或回购的金额，估值需另考虑资本配置。</w:t>
      </w:r>
    </w:p>
    <w:p>
      <w:pPr>
        <w:pStyle w:val="Normal"/>
        <w:rPr/>
      </w:pPr>
      <w:r>
        <w:rPr/>
        <w:t>应收账款从二零二五年底八点六五亿美元升至十点五六亿美元，存货从六点零八二亿升至七点三二六亿美元。增幅与业务扩张有关，也提示增长需要营运资本。若收入增长伴随付款期延长、折扣估计调整或库存增加，现金流可能落后利润。现期资料并不足以断言渠道压货或库存风险失控，合理做法是追踪周转、销售退回与地区回款，避免只凭利润上升就忽略现金质量。</w:t>
      </w:r>
    </w:p>
    <w:p>
      <w:pPr>
        <w:pStyle w:val="Normal"/>
        <w:rPr/>
      </w:pPr>
      <w:r>
        <w:rPr/>
        <w:t>公司宣布追加三亿美元扩建美国新泽西生产与研发中心，增加小分子能力。海外制造有助支持全球供应和管理地缘风险，同时形成资本开支、运营和产能利用压力。宣布投资不是同额已付支出，未来付款时点和产品需求需要继续核验。基准现金桥留有经营与资本储备，避免将账上所有现金作为马上可分配的超额资产；若工厂进度或利用率落后，现金与利润都可能低于预期。</w:t>
      </w:r>
    </w:p>
    <w:p>
      <w:pPr>
        <w:pStyle w:val="Normal"/>
        <w:rPr/>
      </w:pPr>
      <w:r>
        <w:rPr/>
        <w:t>制造质量是全球药品商业化的必要条件，供应中断、批次问题或监管检查都可能影响患者与收入。生产自建并不天然优于外包，优势取决于质量、成本、扩张速度和产品技术适配。百济多机制组合需要小分子、生物药及不同合作生产网络，后续药物越多，供应与组织管理越复杂。模型的高毛利假设包含质量和供应持续正常运作，一旦出现重大制造问题，应同时调整收入、成本及目标倍数。</w:t>
      </w:r>
    </w:p>
    <w:p>
      <w:pPr>
        <w:pStyle w:val="Heading2"/>
        <w:rPr/>
      </w:pPr>
      <w:r>
        <w:rPr>
          <w:color w:val="000000"/>
        </w:rPr>
        <w:t>十三 现金 银行债与</w:t>
      </w:r>
      <w:r>
        <w:rPr>
          <w:color w:val="000000"/>
        </w:rPr>
        <w:t>Royalty Pharma</w:t>
      </w:r>
      <w:r>
        <w:rPr>
          <w:color w:val="000000"/>
        </w:rPr>
        <w:t>桥</w:t>
      </w:r>
    </w:p>
    <w:p>
      <w:pPr>
        <w:pStyle w:val="Normal"/>
        <w:rPr/>
      </w:pPr>
      <w:r>
        <w:rPr/>
        <w:t>六月现金及现金等价物五十点九八亿美元，受限制现金一点八二六亿美元在其他账户项下单列，合并现金流口径含限制现金约五十二点八一亿美元。使用现金等价物五十点九八亿作为可用起点时，不能再扣一次那笔未计入的受限金额。银行债账面约十点七三一亿美元，合同本金约十点九零一亿美元，差异来自发行成本等会计处理。贷款到期、地区担保和资金用途限制会影响可分配性。</w:t>
      </w:r>
    </w:p>
    <w:p>
      <w:pPr>
        <w:pStyle w:val="Normal"/>
        <w:rPr/>
      </w:pPr>
      <w:r>
        <w:rPr/>
        <w:t>融资安排包括二零二七年底到期的美元贷款及之后期限的不同段贷款，年报和中报披露海外现金最低限额、总债务约束等条件。大量现金有助谈判和抗风险，但不同地区现金不能无限制无成本移转。</w:t>
      </w:r>
      <w:r>
        <w:rPr/>
        <w:t>A</w:t>
      </w:r>
      <w:r>
        <w:rPr/>
        <w:t>股募集资金也有用途管理，未来税、公司法和债务约束可能限制股东回报。本章扣银行债和二十亿美元经营资本储备形成约二十点二五亿美元初始超额现金，储备是假设而非公司披露的必须冻结金额。</w:t>
      </w:r>
    </w:p>
    <w:p>
      <w:pPr>
        <w:pStyle w:val="Normal"/>
        <w:rPr/>
      </w:pPr>
      <w:r>
        <w:rPr/>
        <w:t>经营租赁法律负债约七千零一十五万美元需要披露，但估值处理应与费用口径一致。正常租赁支出已经保留在研发和销售管理费用中，本模型未把租赁成本全部加回盈利，因而不再从现金重复扣一遍同类负债。若改用去租赁费用的企业价值模型，则应同步调整租赁资产和负债，不能一边维持原费用一边再作同一义务现值的重复减值。清楚的估值桥比仅罗列净现金更重要。</w:t>
      </w:r>
    </w:p>
    <w:p>
      <w:pPr>
        <w:pStyle w:val="Normal"/>
        <w:rPr/>
      </w:pPr>
      <w:r>
        <w:rPr/>
        <w:t>Royalty Pharma</w:t>
      </w:r>
      <w:r>
        <w:rPr/>
        <w:t>安排尤其容易被误判。公司二零二五年出售</w:t>
      </w:r>
      <w:r>
        <w:rPr/>
        <w:t>IMDELLTRA</w:t>
      </w:r>
      <w:r>
        <w:rPr/>
        <w:t>境外部分特许权收益，收到约八点八五亿美元及之后二千六百万美元，累计约九点一一亿美元，最高合同价格九点五亿美元。超过年度销售十五亿美元部分的约定权益仍可保留。该收入权交易在会计上记为融资负债，六月约九点零六三亿美元，不在通常银行债合计中，未来支付并非固定本金时间表，预期持续至至少二零四一年。</w:t>
      </w:r>
    </w:p>
    <w:p>
      <w:pPr>
        <w:pStyle w:val="Normal"/>
        <w:rPr/>
      </w:pPr>
      <w:r>
        <w:rPr/>
        <w:t>上半年仍按会计准则确认</w:t>
      </w:r>
      <w:r>
        <w:rPr/>
        <w:t>IMDELLTRA</w:t>
      </w:r>
      <w:r>
        <w:rPr/>
        <w:t>特许权收入三千七百一十二万美元，同时对应融资利息费用四千三百三十八万美元，现金支付约三千三百万美元。若把全部未来特许权收入按正常产品估值，再只扣银行债，会高估股东价值；若已经从经营模型排除售出收益，还再扣全部同收益对应负债，也可能重复处罚。需先选择统一经济边界，不能只根据资产负债表名称决定处理。</w:t>
      </w:r>
    </w:p>
    <w:p>
      <w:pPr>
        <w:pStyle w:val="Normal"/>
        <w:rPr/>
      </w:pPr>
      <w:r>
        <w:rPr/>
        <w:t>本章排除已出售部分的经营收入及对应融资费用，不再单独扣相应</w:t>
      </w:r>
      <w:r>
        <w:rPr/>
        <w:t>Royalty</w:t>
      </w:r>
      <w:r>
        <w:rPr/>
        <w:t>融资负债；过去已收现金仍在现金余额里保留。超过销售门槛的保留权益只在其他经济收益组作折扣假设，没有按全部</w:t>
      </w:r>
      <w:r>
        <w:rPr/>
        <w:t>IMDELLTRA</w:t>
      </w:r>
      <w:r>
        <w:rPr/>
        <w:t>全球销售计收益。此方法使价格由公司实际保留的产品和现金产生，但不等于完成合同逐年现金流精算。若交易存在新增担保、追索或其他条款变化，需要重新核验边界，不能机械沿用。</w:t>
      </w:r>
    </w:p>
    <w:p>
      <w:pPr>
        <w:pStyle w:val="Heading2"/>
        <w:rPr/>
      </w:pPr>
      <w:r>
        <w:rPr>
          <w:color w:val="000000"/>
        </w:rPr>
        <w:t>十四 税务 治理与股份激励</w:t>
      </w:r>
    </w:p>
    <w:p>
      <w:pPr>
        <w:pStyle w:val="Normal"/>
        <w:rPr/>
      </w:pPr>
      <w:r>
        <w:rPr/>
        <w:t>六月税务公告披露一家中国全资子公司因协商税基调整需支付约四点四六亿元人民币额外企业所得税及滞纳金，未涉及行政处罚。上半年税费一亿零七百三十一万美元，包含中国税检查及其他项目的影响，净非经常税调整约五千二百八十万美元。公告人民币金额和财务美元影响不应简单用同一汇率机械等同，费用、滞纳与其他抵销需要按原披露分别理解。这一事件提示跨境研发与交易定价需要持续合规管理。</w:t>
      </w:r>
    </w:p>
    <w:p>
      <w:pPr>
        <w:pStyle w:val="Normal"/>
        <w:rPr/>
      </w:pPr>
      <w:r>
        <w:rPr/>
        <w:t>公司全年可能依据持续盈利证据转回部分税务估值准备，管理层说明具体时点和规模尚不确定。潜在转回会显著提高某一时期报告净利，却不等于当年药品经营现金同比同幅增加。未来盈利模型采用正常税率，未为未公开金额的税收益预先加价值。若实际税收现金缴付、亏损抵扣使用或地区利润变化，须刷新税率和现金桥；一次性会计收益不能作为永久净利润率基础。</w:t>
      </w:r>
    </w:p>
    <w:p>
      <w:pPr>
        <w:pStyle w:val="Normal"/>
        <w:rPr/>
      </w:pPr>
      <w:r>
        <w:rPr/>
        <w:t>十月六日公告确认九月三十日向二百七十七名员工授予约五万二千四百八十二份</w:t>
      </w:r>
      <w:r>
        <w:rPr/>
        <w:t>ADS</w:t>
      </w:r>
      <w:r>
        <w:rPr/>
        <w:t>受限制单位，通常四年分批归属，未设置业绩目标与退扣机制。科研和全球商业人才报酬具有现实必要性，但股东应观察激励是否形成长期资本回报，不能仅凭“与国际惯例一致”忽略代价。未附业绩条件不等于完全没有持续服务要求，不过与销售、临床或资本效率挂钩程度较低，是治理评分保留折扣的原因。</w:t>
      </w:r>
    </w:p>
    <w:p>
      <w:pPr>
        <w:pStyle w:val="Normal"/>
        <w:rPr/>
      </w:pPr>
      <w:r>
        <w:rPr/>
        <w:t>月报未授额度一亿一千三百七十二万股不等于已生效稀释，现存期权与业绩单位五千一百三十二万股又涉及归属、取消和业绩倍数。估值预测股数需要结合交付、行权和未来奖励，而不能把所有授权上限加在当前股数后面。基准稀释普通股从短期十五点四至十五点六亿，升至一年十六亿、三年十六点八亿、五年十八亿。未来股数是情景假设，需与实际奖励和融资记录持续更新。</w:t>
      </w:r>
    </w:p>
    <w:p>
      <w:pPr>
        <w:pStyle w:val="Heading2"/>
        <w:rPr/>
      </w:pPr>
      <w:r>
        <w:rPr>
          <w:color w:val="000000"/>
        </w:rPr>
        <w:t>十五 港股半年日线与均线位置</w:t>
      </w:r>
    </w:p>
    <w:p>
      <w:pPr>
        <w:pStyle w:val="Normal"/>
        <w:rPr/>
      </w:pPr>
      <w:r>
        <w:rPr/>
        <w:t>港股基准价二百零九点六港元，二十日均线二百一十四点九，六十日二百一十一点三六，百二十日一百九十三点八七，二百五十日一百九十三点七五。现价低于短期两条均线约百分之二点四七和零点八三，却高于较长期均线约百分之八点一。这个结构支持中期改善中的短线回调，不能称已经完成上行突破。半年推荐需要观察回到二十及六十日线之上时是否伴随成交参与扩大。</w:t>
      </w:r>
    </w:p>
    <w:p>
      <w:pPr>
        <w:pStyle w:val="Normal"/>
        <w:rPr/>
      </w:pPr>
      <w:r>
        <w:rPr/>
        <w:t>四条均线最近五日斜率均为正，二十日约正零点三四、六十日正一点一五、百二十日正零点五五、二百五十日正零点一五个百分点。短期价格低于上升均线表示前期上行尚未完全被趋势指标逆转，却也可能成为转弱早期。判断不能只看斜率或位置单一条件，需结合价格是否持续下探、成交和周线。若短均线随后转负、价格跌破长期区间，应降低“回调后继续上涨”的信心。</w:t>
      </w:r>
    </w:p>
    <w:p>
      <w:pPr>
        <w:pStyle w:val="Normal"/>
        <w:rPr/>
      </w:pPr>
      <w:r>
        <w:rPr/>
        <w:t>最近二十日低高观察位约二百零一点六与二百二十五点六港元，距现价分别约负百分之三点八二及正百分之七点六三。六十日观察区间一百八十四至二百三十五点六，距上沿約百分之十二点四。它们只是实际区间极值，并未通过多次触碰筛选，不是统计支撑概率。前一低位跌破后可能扩大回撤，前一高位突破需观察随后能否站稳，单日冲高不能直接当成确认。</w:t>
      </w:r>
    </w:p>
    <w:p>
      <w:pPr>
        <w:pStyle w:val="Normal"/>
        <w:rPr/>
      </w:pPr>
      <w:r>
        <w:rPr/>
        <w:t>过去一年窗口高位约二百三十五点六、低位一百五十三港元，现价较高点低约百分之十一，较低点高约百分之三十七。期间最大回撤超过三成说明个股风险仍显著，不能用当前十余个百分点回调假设以后下行有限。半年目标基准二百八十港元已超过历史窗口上沿，需要盈利和新品预期带动估值扩展，技术分析无法独立支持这个远期金额。量价主要用于入场与假设失效观察。</w:t>
      </w:r>
    </w:p>
    <w:p>
      <w:pPr>
        <w:pStyle w:val="Heading2"/>
        <w:rPr/>
      </w:pPr>
      <w:r>
        <w:rPr>
          <w:color w:val="000000"/>
        </w:rPr>
        <w:t>十六 港股成交量 相对强弱与辅助指标</w:t>
      </w:r>
    </w:p>
    <w:p>
      <w:pPr>
        <w:pStyle w:val="Normal"/>
        <w:rPr/>
      </w:pPr>
      <w:r>
        <w:rPr/>
        <w:t>基准日港股成交二百六十八点五万股，成交额约五点五九亿港元，五日均量一百八十八点三万、二十日二百九十三点七万、六十日三百八十六点九万股。当前成交量相对此前二十日均量约零点八九七，未出现显著放量突破。五日均量低于二十及六十日均量，说明近期参与收缩；缩量回调可减少卖压证据，也可能反映买盘不足，不能直接断言机构持续吸筹。</w:t>
      </w:r>
    </w:p>
    <w:p>
      <w:pPr>
        <w:pStyle w:val="Normal"/>
        <w:rPr/>
      </w:pPr>
      <w:r>
        <w:rPr/>
        <w:t>最近二十日上涨日成交合计三千四百七十五万股，下跌日二千四百万股，比例约一点四四八；上涨十二日、下跌八日。整体更有利于中期买盘参与判断，但基准日仍回落到短均线下方。合计量不能告诉投资者每一笔买卖来自谁，也无法证明某个主体净买入，成交双方必然同时存在。缺乏逐笔及持仓资料，本章不绘制声称精确的成本分布，也不使用“主力吸筹”作为事实理由。</w:t>
      </w:r>
    </w:p>
    <w:p>
      <w:pPr>
        <w:pStyle w:val="Normal"/>
        <w:rPr/>
      </w:pPr>
      <w:r>
        <w:rPr/>
        <w:t>港股二十日回报約百分之一点二六、六十日約百分之九点八五，同期分别领先恒生指数约四点二三和十三点零四个百分点。这是实际市场相对强弱证据，有助解释为何周趋势较好；医药细分指数三年可核验数据未取得，行业超额表现留空。不能拿恒生科技或广泛市场替代后仍标成医药行业优势。未来补充细分基准时，应保持同币种与一致交易日，再调整技术维度。</w:t>
      </w:r>
    </w:p>
    <w:p>
      <w:pPr>
        <w:pStyle w:val="Normal"/>
        <w:rPr/>
      </w:pPr>
      <w:r>
        <w:rPr/>
        <w:t>日线十四日</w:t>
      </w:r>
      <w:r>
        <w:rPr/>
        <w:t>RSI</w:t>
      </w:r>
      <w:r>
        <w:rPr/>
        <w:t>約四十四点六，未呈极端超买或超卖，</w:t>
      </w:r>
      <w:r>
        <w:rPr/>
        <w:t>MACD</w:t>
      </w:r>
      <w:r>
        <w:rPr/>
        <w:t>柱约负一点四八，显示短期动能弱于此前趋势；</w:t>
      </w:r>
      <w:r>
        <w:rPr/>
        <w:t>ATR</w:t>
      </w:r>
      <w:r>
        <w:rPr/>
        <w:t>約七点二二港元，相当现价百分之三点四四。</w:t>
      </w:r>
      <w:r>
        <w:rPr/>
        <w:t>RSI</w:t>
      </w:r>
      <w:r>
        <w:rPr/>
        <w:t>和</w:t>
      </w:r>
      <w:r>
        <w:rPr/>
        <w:t>MACD</w:t>
      </w:r>
      <w:r>
        <w:rPr/>
        <w:t>只是辅助，二者都反映价格变化，不能重复加多次分。</w:t>
      </w:r>
      <w:r>
        <w:rPr/>
        <w:t>ATR</w:t>
      </w:r>
      <w:r>
        <w:rPr/>
        <w:t>体现典型日间波动尺度，不是未来最大跌幅或止损保证，消息发生后股价可跳过观察价，尤其药品注册与临床事件会产生离散变化。</w:t>
      </w:r>
    </w:p>
    <w:p>
      <w:pPr>
        <w:pStyle w:val="Heading2"/>
        <w:rPr/>
      </w:pPr>
      <w:r>
        <w:rPr>
          <w:color w:val="000000"/>
        </w:rPr>
        <w:t>十七 港股周线与交易观察条件</w:t>
      </w:r>
    </w:p>
    <w:p>
      <w:pPr>
        <w:pStyle w:val="Normal"/>
        <w:rPr/>
      </w:pPr>
      <w:r>
        <w:rPr/>
        <w:t>港股周线二十、六十、百二十周均线分别約一百九十六点二六、一百九十三点七零、一百六十四点一九港元，现价高于全部三条，且斜率为正。周</w:t>
      </w:r>
      <w:r>
        <w:rPr/>
        <w:t>RSI</w:t>
      </w:r>
      <w:r>
        <w:rPr/>
        <w:t>约五十五点四，</w:t>
      </w:r>
      <w:r>
        <w:rPr/>
        <w:t>MACD</w:t>
      </w:r>
      <w:r>
        <w:rPr/>
        <w:t>柱正二点三二，与日线负动能形成时间尺度分歧。较合理判断是中期上升中的短期调整，等待日线重新配合，而不是只挑一个正指标给出买入结论。三年历史只有约一百五十七周，二百五十周均线缺失。</w:t>
      </w:r>
    </w:p>
    <w:p>
      <w:pPr>
        <w:pStyle w:val="Normal"/>
        <w:rPr/>
      </w:pPr>
      <w:r>
        <w:rPr/>
        <w:t>第一观察带为二百零一至二百一十五港元，分别接近短期区间低位与二十日线。如果价格能够在这一带保持、随后收回短均线，上涨日成交相对近期均量增加，半年技术判断会改善。突破二百二十五点六及二百三十五点六后，需关注回踩时是否守住并避免快速放量跌回区间。观察带不是自动挂单策略，本报告没有模拟滑点、账户成本和实时交易条件，亦未给未经验证的固定量比胜率。</w:t>
      </w:r>
    </w:p>
    <w:p>
      <w:pPr>
        <w:pStyle w:val="Normal"/>
        <w:rPr/>
      </w:pPr>
      <w:r>
        <w:rPr/>
        <w:t>失效条件包括持续低于二百零一点六、伴随下跌成交明显扩大，或周价格回到一百九十三至一百九十六周均线带下方且斜率转弱。更深的一百八十四与一百五十三是历史观察点，不是损失边界。若负面临床或商业事件发生，即使技术支撑未跌破也需下修基本面；若业绩稳定但价格暂时震荡，则可以保留长期模型，同时降低短期评分。技术和经营分别提供证据，不能互相替代。</w:t>
      </w:r>
    </w:p>
    <w:p>
      <w:pPr>
        <w:pStyle w:val="Heading2"/>
        <w:rPr/>
      </w:pPr>
      <w:r>
        <w:rPr>
          <w:color w:val="000000"/>
        </w:rPr>
        <w:t xml:space="preserve">十八 </w:t>
      </w:r>
      <w:r>
        <w:rPr>
          <w:color w:val="000000"/>
        </w:rPr>
        <w:t>A</w:t>
      </w:r>
      <w:r>
        <w:rPr>
          <w:color w:val="000000"/>
        </w:rPr>
        <w:t>股日周线 量能与市场溢价</w:t>
      </w:r>
    </w:p>
    <w:p>
      <w:pPr>
        <w:pStyle w:val="Normal"/>
        <w:rPr/>
      </w:pPr>
      <w:r>
        <w:rPr/>
        <w:t>A</w:t>
      </w:r>
      <w:r>
        <w:rPr/>
        <w:t>股二百四十九点四二元，低于二十日二百五十八点五二、六十日二百六十九点八七、百二十日二百五十四点九九及二百五十日二百六十四点九五全部均线。除百二十日线轻微正斜率，其他线最近五日斜率为负。价格位置和斜率共同体现中短期弱势，与港股高于长均线的结构不同。不能因为同家公司港股技术较强，就把</w:t>
      </w:r>
      <w:r>
        <w:rPr/>
        <w:t>A</w:t>
      </w:r>
      <w:r>
        <w:rPr/>
        <w:t>股也写成已经形成上行排列，投资时点要根据各市场实际图形。</w:t>
      </w:r>
    </w:p>
    <w:p>
      <w:pPr>
        <w:pStyle w:val="Normal"/>
        <w:rPr/>
      </w:pPr>
      <w:r>
        <w:rPr/>
        <w:t>A</w:t>
      </w:r>
      <w:r>
        <w:rPr/>
        <w:t>股日</w:t>
      </w:r>
      <w:r>
        <w:rPr/>
        <w:t>RSI</w:t>
      </w:r>
      <w:r>
        <w:rPr/>
        <w:t>约三十九点七，</w:t>
      </w:r>
      <w:r>
        <w:rPr/>
        <w:t>MACD</w:t>
      </w:r>
      <w:r>
        <w:rPr/>
        <w:t>差值负三点八六、信号负三点五八、柱负零点五六，</w:t>
      </w:r>
      <w:r>
        <w:rPr/>
        <w:t>ATR</w:t>
      </w:r>
      <w:r>
        <w:rPr/>
        <w:t>约九点四七元、占现价百分之三点八零。辅助指标显示回调和日常波动，尚不能确认反转。二十日区间二百四十一点四三至二百七十二点七一，距现价分别约负百分之三点二零及正百分之九点三四。六十日上沿三百一十四点八五，需要更多价格修复，不能当半年确定目标。</w:t>
      </w:r>
    </w:p>
    <w:p>
      <w:pPr>
        <w:pStyle w:val="Normal"/>
        <w:rPr/>
      </w:pPr>
      <w:r>
        <w:rPr/>
        <w:t>当日</w:t>
      </w:r>
      <w:r>
        <w:rPr/>
        <w:t>A</w:t>
      </w:r>
      <w:r>
        <w:rPr/>
        <w:t>股成交二百六十九点四万股，成交额六点六四亿元，行情交叉核验换手约百分之二点三四。成交量单位是股，不能再乘一百；五、二十、六十日均量约二百八十九点二、二百八十二点四及四百八十四万股。当日相对此前二十日均量約零点九四五，短期量缩但价格仍在所有均线下方。下跌日二十日成交合计较上涨日更大，比例约零点八九七，不支持直接宣称回调完全结束。</w:t>
      </w:r>
    </w:p>
    <w:p>
      <w:pPr>
        <w:pStyle w:val="Normal"/>
        <w:rPr/>
      </w:pPr>
      <w:r>
        <w:rPr/>
        <w:t>A</w:t>
      </w:r>
      <w:r>
        <w:rPr/>
        <w:t>股二十日回报负百分之七点三一、六十日负百分之四点三六，二十日落后沪深三百約二点一四个百分点，六十日领先約七点一一个百分点。中期相对表现尚有优势，最近一个月则转弱，需要拆开解释。周线现价低于二十与六十周均线，仍高于百二十周；周</w:t>
      </w:r>
      <w:r>
        <w:rPr/>
        <w:t>MACD</w:t>
      </w:r>
      <w:r>
        <w:rPr/>
        <w:t>柱负二点三九，</w:t>
      </w:r>
      <w:r>
        <w:rPr/>
        <w:t>RSI</w:t>
      </w:r>
      <w:r>
        <w:rPr/>
        <w:t>约四十六点八。只有约一百五十五周记录，不能补造二百五十周趋势，周成交还受休市交易日数影响。</w:t>
      </w:r>
    </w:p>
    <w:p>
      <w:pPr>
        <w:pStyle w:val="Normal"/>
        <w:rPr/>
      </w:pPr>
      <w:r>
        <w:rPr/>
        <w:t>A</w:t>
      </w:r>
      <w:r>
        <w:rPr/>
        <w:t>股第一技术修复条件是重新站回二百五十五至二百五十九元并维持成交参与，其后观察二百六十五至二百七十均线带及二百七十三区间上沿。若价格在较高溢价下再次跌破二百四十一，短期风险会加大；若港股经营估值稳定而</w:t>
      </w:r>
      <w:r>
        <w:rPr/>
        <w:t>A</w:t>
      </w:r>
      <w:r>
        <w:rPr/>
        <w:t>股溢价压缩，</w:t>
      </w:r>
      <w:r>
        <w:rPr/>
        <w:t>A</w:t>
      </w:r>
      <w:r>
        <w:rPr/>
        <w:t>股回报可能弱于公司基本面增长。因此</w:t>
      </w:r>
      <w:r>
        <w:rPr/>
        <w:t>A</w:t>
      </w:r>
      <w:r>
        <w:rPr/>
        <w:t>股半年估值和技术分分别较低，长期则随着盈利增长和溢价假设调整提高，差异是证券选择的重要信息。</w:t>
      </w:r>
    </w:p>
    <w:p>
      <w:pPr>
        <w:pStyle w:val="Heading2"/>
        <w:rPr/>
      </w:pPr>
      <w:r>
        <w:rPr>
          <w:color w:val="000000"/>
        </w:rPr>
        <w:t>十九 估值方法与正常盈利假设</w:t>
      </w:r>
    </w:p>
    <w:p>
      <w:pPr>
        <w:pStyle w:val="Normal"/>
        <w:rPr/>
      </w:pPr>
      <w:r>
        <w:rPr/>
        <w:t>本章目标价等于“产品收入乘毛利率，减正常研发与销售管理费用，再乘一减税率，以该正常税后经营利润乘合理倍数，加目标超额现金，除预测稀释普通股，再换成上市币种”。税后经营利润不同于</w:t>
      </w:r>
      <w:r>
        <w:rPr/>
        <w:t>GAAP</w:t>
      </w:r>
      <w:r>
        <w:rPr/>
        <w:t>净利润，因未纳入融资与闲置现金利息，倍数属于经营收益估值参照，不称原财报</w:t>
      </w:r>
      <w:r>
        <w:rPr/>
        <w:t>PE</w:t>
      </w:r>
      <w:r>
        <w:rPr/>
        <w:t>。这个桥可以检验增长、成本和现金如何贡献价格，避免以行情页未经期间核验的</w:t>
      </w:r>
      <w:r>
        <w:rPr/>
        <w:t>PE</w:t>
      </w:r>
      <w:r>
        <w:rPr/>
        <w:t>直接外推。</w:t>
      </w:r>
    </w:p>
    <w:p>
      <w:pPr>
        <w:pStyle w:val="Normal"/>
        <w:rPr/>
      </w:pPr>
      <w:r>
        <w:rPr/>
        <w:t>正常费用包含股份薪酬和折旧摊销，没有把持续研发资本化后再额外加研发资产。产品情景中的索托克拉、降解剂及实体瘤增量已进行兑现时点和风险折扣，尚未建立每个适应症独立成功概率、费用和峰值现金流。这一限制尤其影响三年和五年上行空间，假设的收入多寡可能改变排序。对一个已经盈利、核心产品主导的公司，经营模型有解释力，但不能替代未来逐药完善与敏感性分析。</w:t>
      </w:r>
    </w:p>
    <w:p>
      <w:pPr>
        <w:pStyle w:val="Normal"/>
        <w:rPr/>
      </w:pPr>
      <w:r>
        <w:rPr/>
        <w:t>年底基准使用未来二零二七年产品经济收入七十九亿美元、毛利率百分之八十九、研发二十六亿美元、销售管理二十六点五亿美元，正常税率百分之十八。得到税后经营利润约十四点六亿美元，乘三十二倍，加二十一点五亿美元超额现金，除十五点四亿稀释股。年底价格体现年底对下一年度信息的估值，不是年底已赚取这笔全年利润，也没有把机构十二个月目标按剩余月份线性缩放。</w:t>
      </w:r>
    </w:p>
    <w:p>
      <w:pPr>
        <w:pStyle w:val="Normal"/>
        <w:rPr/>
      </w:pPr>
      <w:r>
        <w:rPr/>
        <w:t>半年基准二零二七年经济收入八十四亿美元，毛利率百分之八十九，研发及销售管理各二十六点五亿美元，税率百分之十八，正常税后经营利润约十七点八四亿美元。倍数三十，现金二十五亿美元，股数十五点六亿，得到港股二百八十点一四八港元。假设半年年报和经营资料让预期更清楚，倍数较年底基准略下降而盈利预期提高。增长兑现不足时，应同时下调利润和倍数，不只修改一个单元格。</w:t>
      </w:r>
    </w:p>
    <w:p>
      <w:pPr>
        <w:pStyle w:val="Normal"/>
        <w:rPr/>
      </w:pPr>
      <w:r>
        <w:rPr/>
        <w:t>一年基准采用二零二八年收入一百零三点五亿美元、毛利率百分之八十九、研发及销售管理各二十九点五亿美元、税率百分之二十，税后经营利润约二十六点四九亿美元。二十九倍经营收益及三十八亿美元现金、十六亿股，得到港股三百九十三点零六港元。该盈利改善要求收入增速显著超过费用且新品产生贡献，远高于当前年化</w:t>
      </w:r>
      <w:r>
        <w:rPr/>
        <w:t>GAAP</w:t>
      </w:r>
      <w:r>
        <w:rPr/>
        <w:t>净利，属于进取但可反证的成长判断，不是已实现盈利。</w:t>
      </w:r>
    </w:p>
    <w:p>
      <w:pPr>
        <w:pStyle w:val="Heading2"/>
        <w:rPr/>
      </w:pPr>
      <w:r>
        <w:rPr>
          <w:color w:val="000000"/>
        </w:rPr>
        <w:t>二十 三年与五年价值及敏感性</w:t>
      </w:r>
    </w:p>
    <w:p>
      <w:pPr>
        <w:pStyle w:val="Normal"/>
        <w:rPr/>
      </w:pPr>
      <w:r>
        <w:rPr/>
        <w:t>三年基准收入一百三十四亿美元、毛利率百分之八十九、研发及销售管理各三十六亿美元，税率百分之二十一，税后经营利润约三十七点三四亿美元，正常经营净利率约百分之二十七点九。二十七倍及七十五亿美元现金、十六点八亿股形成港股五百零二点八五港元。这个净利率需要全球商业网络和组合形成效率，不能只由减少试验得来。若费用随收入同比例增长，利润率改善将落空，目标应明显降低。</w:t>
      </w:r>
    </w:p>
    <w:p>
      <w:pPr>
        <w:pStyle w:val="Normal"/>
        <w:rPr/>
      </w:pPr>
      <w:r>
        <w:rPr/>
        <w:t>五年基准收入一百七十五亿美元、研发及销售管理各四十四亿美元、毛利率百分之八十九、税率百分之二十二，税后经营利润约五十二点八五亿美元。倍数降至二十五，现金一百三十亿美元、稀释十八亿股，得到六百二十八点八二港元。收入接近目前三倍需要多个产品真实放量，现金增长还依赖经营现金、资本开支与合作付款纪律。未建立完整逐年三表，目标现金是合计情景，不能当已证明的资产负债表预测。</w:t>
      </w:r>
    </w:p>
    <w:p>
      <w:pPr>
        <w:pStyle w:val="Normal"/>
        <w:rPr/>
      </w:pPr>
      <w:r>
        <w:rPr/>
        <w:t>毛利率在一年基准收入上每下降两个百分点，税前经营利润约减少二点零七亿美元，按正常税及倍数对股价产生显著影响。费用每增加一亿美元亦会直接压缩经营剩余，乘较高成长倍数后，价格变化远超过该现金支出本身。股数增加百分之十而价值不变，每股价格约下降百分之九点一。盈利、倍数和股数的不利变化可能同时发生，单独敏感性用于理解机制，不能声称综合风险只等于三个变量中的最大一项。</w:t>
      </w:r>
    </w:p>
    <w:p>
      <w:pPr>
        <w:pStyle w:val="Normal"/>
        <w:rPr/>
      </w:pPr>
      <w:r>
        <w:rPr/>
        <w:t>港币对人民币的投资回报敏感性可用“本币资产回报因子乘汇率变化因子减一”计算。例如港股半年基准价格回报百分之三十三点六六，若港币相对人民币升值百分之五，总人民币回报約百分之四十点三四；若贬值百分之五，则約百分之二十六点九八。汇率敏感性未扣交易、税和换汇成本，未来实际盈利也受汇率影响，不能把投资端换汇变化理解为经营端完全不变。</w:t>
      </w:r>
    </w:p>
    <w:p>
      <w:pPr>
        <w:pStyle w:val="Heading2"/>
        <w:rPr/>
      </w:pPr>
      <w:r>
        <w:rPr>
          <w:color w:val="000000"/>
        </w:rPr>
        <w:t>二十一 年底三情景与加权期望</w:t>
      </w:r>
    </w:p>
    <w:p>
      <w:pPr>
        <w:pStyle w:val="Normal"/>
        <w:rPr/>
      </w:pPr>
      <w:r>
        <w:rPr/>
        <w:t>港股年底悲观八十七点三一、基准二百四十七点五九、乐观四百四十港元，相对当前约负百分之五十八点三四、正百分之十八点一三、正百分之一百零九点九二。宽范围来自利润与倍数同时变化，而非统计波动率置信区间。悲观仍有产品收入，但毛利、销售增长和费用使剩余利润下降；乐观要求产品增长、新品、研发和销售效率共同超预期。年底上行巨大不是剩余三个月自然上涨规律。</w:t>
      </w:r>
    </w:p>
    <w:p>
      <w:pPr>
        <w:pStyle w:val="Normal"/>
        <w:rPr/>
      </w:pPr>
      <w:r>
        <w:rPr/>
        <w:t>默认悲观四分之一、基准二分之一、乐观四分之一，港股年底期望价二百五十五点六二港元，期望股价回报百分之二十一点九六。权重改为四十、四十、二十时，期望二百二十一点九六港元、回报百分之五点九零；改为二十、四十、四十，则二百九十二点五零港元、回报百分之三十九点五五。少量权重改变会显著影响期望，说明结论依赖研究判断，不能把期望价视为必然到达或预测准确率。</w:t>
      </w:r>
    </w:p>
    <w:p>
      <w:pPr>
        <w:pStyle w:val="Normal"/>
        <w:rPr/>
      </w:pPr>
      <w:r>
        <w:rPr/>
        <w:t>A</w:t>
      </w:r>
      <w:r>
        <w:rPr/>
        <w:t>股年底悲观九十一点二八、基准二百八十一点三五、乐观五百四十元，分别約负百分之六十三点四零、正百分之十二点八零、正百分之一百一十六点五零。默认期望二百九十八点五零元、回报百分之十九点六八。两套权重敏感性分别约二百五十七点零五元、回报百分之三点零六，及三百四十六点八零元、回报百分之三十九点零四。</w:t>
      </w:r>
      <w:r>
        <w:rPr/>
        <w:t>A</w:t>
      </w:r>
      <w:r>
        <w:rPr/>
        <w:t>股目标还含市场溢价变化，不能只把港股目标按汇率机械换算。</w:t>
      </w:r>
    </w:p>
    <w:p>
      <w:pPr>
        <w:pStyle w:val="Normal"/>
        <w:rPr/>
      </w:pPr>
      <w:r>
        <w:rPr/>
        <w:t>年底催化包括截止之后公布的三季度销售和现金、</w:t>
      </w:r>
      <w:r>
        <w:rPr/>
        <w:t>MANGROVE</w:t>
      </w:r>
      <w:r>
        <w:rPr/>
        <w:t>申报进度、索托克拉上市采用、条件性</w:t>
      </w:r>
      <w:r>
        <w:rPr/>
        <w:t>BTK</w:t>
      </w:r>
      <w:r>
        <w:rPr/>
        <w:t>降解剂注册，以及公司已披露规划的实体瘤试验推进。仅把已公开规划纳入事件观察，不使用实际尚未发生的结果。下行因素包括美国净价或竞争、成本投入快于销售、试验安全及申报延迟，亦有市场风险偏好降低。若后续新信息更接近悲观条件，需要更新情景权重与模型，而不是继续沿用原期望。</w:t>
      </w:r>
    </w:p>
    <w:p>
      <w:pPr>
        <w:pStyle w:val="Heading2"/>
        <w:rPr/>
      </w:pPr>
      <w:r>
        <w:rPr>
          <w:color w:val="000000"/>
        </w:rPr>
        <w:t>二十二 外资机构目标价的核验与比较</w:t>
      </w:r>
    </w:p>
    <w:p>
      <w:pPr>
        <w:pStyle w:val="Normal"/>
        <w:rPr/>
      </w:pPr>
      <w:r>
        <w:rPr/>
        <w:t>公开可核验港股目标包括美银八月七日二百五十五点四三港元，里昂九月四日维持三百二十一点七港元，大华继显八月六日二百六十五港元。它们是金融新闻转述，未取得原始研报全部假设和明确目标日。里昂八月六日同时给</w:t>
      </w:r>
      <w:r>
        <w:rPr/>
        <w:t>ADR</w:t>
      </w:r>
      <w:r>
        <w:rPr/>
        <w:t>五百二十二点五美元，九月港股目标维持，不能把两种证券重复平均成两家机构观点。机构比较应保留日期、币种、代码和来源层级，避免大量转载造成虚假共识。</w:t>
      </w:r>
    </w:p>
    <w:p>
      <w:pPr>
        <w:pStyle w:val="Normal"/>
        <w:rPr/>
      </w:pPr>
      <w:r>
        <w:rPr/>
        <w:t>高盛八月二十四日</w:t>
      </w:r>
      <w:r>
        <w:rPr/>
        <w:t>ADR</w:t>
      </w:r>
      <w:r>
        <w:rPr/>
        <w:t>目标四百四十一点三美元，花旗八月六日四百六十六美元，汇丰九月二十九日三百八十五美元，瑞银七月二日四百五十六美元。瑞银超过最近九十天，之后有优先看好的公开评论，但未核验新的数字，不能假定旧目标自动被刷新。按核验的一份</w:t>
      </w:r>
      <w:r>
        <w:rPr/>
        <w:t>ADS</w:t>
      </w:r>
      <w:r>
        <w:rPr/>
        <w:t>十三股和本模型美元港币七点八，换算普通股港币参考分别約二百六十四点七八、二百七十九点六、二百三十一和二百七十三点六。</w:t>
      </w:r>
    </w:p>
    <w:p>
      <w:pPr>
        <w:pStyle w:val="Normal"/>
        <w:rPr/>
      </w:pPr>
      <w:r>
        <w:rPr/>
        <w:t>这些换算参考不是机构原始港股目标，因为汇率和证券流动性可能不同。里昂</w:t>
      </w:r>
      <w:r>
        <w:rPr/>
        <w:t>ADR</w:t>
      </w:r>
      <w:r>
        <w:rPr/>
        <w:t>按同一假设折三百一十三点五港元，与其明确香港目标三百二十一点七不完全相同，正体现不能强制三地目标严格等值。</w:t>
      </w:r>
      <w:r>
        <w:rPr/>
        <w:t>A</w:t>
      </w:r>
      <w:r>
        <w:rPr/>
        <w:t>股近期公开外资目标未查到可直接核验者，故不编造。机构目标显示多家认可全球销售和经营杠杆，但模型、目标期限与风险权重未知，不能用它们代替本章年底经营估值。</w:t>
      </w:r>
    </w:p>
    <w:p>
      <w:pPr>
        <w:pStyle w:val="Normal"/>
        <w:rPr/>
      </w:pPr>
      <w:r>
        <w:rPr/>
        <w:t>本章一年基准三百九十三港元高于上述多数机构公开参考，主要因为采用二零二八年盈利扩张假设和较进取新产品贡献。这一差异必须明确呈现，不能借机构名义为自己的更高目标背书。若公司的收入、费用和新品兑现只达到机构更保守路径，本章一年目标可能下修。外部目标用于交叉审视模型强弱，不用于简单平均后宣称“合理价格已被投行证明”。</w:t>
      </w:r>
    </w:p>
    <w:p>
      <w:pPr>
        <w:pStyle w:val="Heading2"/>
        <w:rPr/>
      </w:pPr>
      <w:r>
        <w:rPr>
          <w:color w:val="000000"/>
        </w:rPr>
        <w:t>二十三 四期限收益来源与失败路径</w:t>
      </w:r>
    </w:p>
    <w:p>
      <w:pPr>
        <w:pStyle w:val="Normal"/>
        <w:rPr/>
      </w:pPr>
      <w:r>
        <w:rPr/>
        <w:t>半年收益来自年报确认核心产品增长、短期量价修复及已批准新品开始形成收入。港股基准回报百分之三十三点六六，</w:t>
      </w:r>
      <w:r>
        <w:rPr/>
        <w:t>A</w:t>
      </w:r>
      <w:r>
        <w:rPr/>
        <w:t>股百分之二十二点五三，均不含预计分红，因为公司中报不派息，未来各期限统一设零为保守资本回报假设。半年失败路径是增长或毛利落空、审批延期、交易情绪弱和</w:t>
      </w:r>
      <w:r>
        <w:rPr/>
        <w:t>A</w:t>
      </w:r>
      <w:r>
        <w:rPr/>
        <w:t>股溢价下降。价格跌破观察支撑不一定否定十年产品价值，却足以降低半年排名和交易信心。</w:t>
      </w:r>
    </w:p>
    <w:p>
      <w:pPr>
        <w:pStyle w:val="Normal"/>
        <w:rPr/>
      </w:pPr>
      <w:r>
        <w:rPr/>
        <w:t>一年收益主要由二零二七至二零二八年利润预期重估，索托克拉及降解剂开始贡献、全球销售费用率改善。基准港股回报約百分之八十七点五三，</w:t>
      </w:r>
      <w:r>
        <w:rPr/>
        <w:t>A</w:t>
      </w:r>
      <w:r>
        <w:rPr/>
        <w:t>股約百分之六十四点七五，属于高成长假设而非一般收益承诺。悲观回报分别约负七成四和负七成九，说明核心销售存在也不防止估值下修。若新品增量只能抵消新增费用，利润爆发假设不成立，倍数还可能在增速下降时进一步压缩。</w:t>
      </w:r>
    </w:p>
    <w:p>
      <w:pPr>
        <w:pStyle w:val="Normal"/>
        <w:rPr/>
      </w:pPr>
      <w:r>
        <w:rPr/>
        <w:t>三年逻辑是血液瘤组合从单个现金引擎发展为多机制治疗序贯，并出现第一批实体瘤净收益，港股基准累积回报约一百四十个百分点，年化约百分之三十三点八七；</w:t>
      </w:r>
      <w:r>
        <w:rPr/>
        <w:t>A</w:t>
      </w:r>
      <w:r>
        <w:rPr/>
        <w:t>股累积約百分之九十七点九四，年化百分之二十五点五六。年化按期末价格回报因子开三次方计算，未假定每年均匀上涨。中途可能先大跌后恢复，终点收益不能反映持有过程资金和情绪压力。</w:t>
      </w:r>
    </w:p>
    <w:p>
      <w:pPr>
        <w:pStyle w:val="Normal"/>
        <w:rPr/>
      </w:pPr>
      <w:r>
        <w:rPr/>
        <w:t>五年逻辑是全球商业网络与多代产品形成持续现金，基准港股累积约百分之二百、年化百分之二十四点五七，</w:t>
      </w:r>
      <w:r>
        <w:rPr/>
        <w:t>A</w:t>
      </w:r>
      <w:r>
        <w:rPr/>
        <w:t>股累积百分之一百三十八点三六、年化百分之十八点九七。目标倍数逐步下降，承认公司体量成熟和专利窗口接近。若五年增长依靠研发缩减、一次性税收益或股数大量增加，经营质量并不符合基准。长期高分需要持续科研转化和资本效率，不是只要坚持持有就能自然获取复利。</w:t>
      </w:r>
    </w:p>
    <w:p>
      <w:pPr>
        <w:pStyle w:val="Heading2"/>
        <w:rPr/>
      </w:pPr>
      <w:r>
        <w:rPr>
          <w:color w:val="000000"/>
        </w:rPr>
        <w:t>二十四 十年展望 专利与推荐反证</w:t>
      </w:r>
    </w:p>
    <w:p>
      <w:pPr>
        <w:pStyle w:val="Normal"/>
        <w:rPr/>
      </w:pPr>
      <w:r>
        <w:rPr/>
        <w:t>年报截至二零二六年二月十三日列百悦泽物质组合专利主要在二零三四年到期，另有晶型、治疗方法和组合专利至之后年份，部分欧洲补充保护延至二零三六。不同专利保护客体不同，较晚方法专利不能当然阻止所有仿制进入；延期申请和异议还存在法域差异。五年目标二零三一年尚有窗口，十年展望二零三六则需要正视成熟核心药专利和竞争，不能把当前百悦泽收入永久资本化。</w:t>
      </w:r>
    </w:p>
    <w:p>
      <w:pPr>
        <w:pStyle w:val="Normal"/>
        <w:rPr/>
      </w:pPr>
      <w:r>
        <w:rPr/>
        <w:t>百泽安物质专利约二零三三，部分延期可能至二零三八；索托克拉物质专利约二零三九。专利列表不等于排他保护绝对有效或全部市场同日到期，还可能受到挑战与设计规避。十年可持续性依赖新产品、组合与真正临床差异，使患者和医生选择公司新方案，而不仅依靠旧分子价格。若新一代产品没有接续，收入结构会在核心专利附近更脆弱，因此本章未给十年精确目标价。</w:t>
      </w:r>
    </w:p>
    <w:p>
      <w:pPr>
        <w:pStyle w:val="Normal"/>
        <w:rPr/>
      </w:pPr>
      <w:r>
        <w:rPr/>
        <w:t>十年较理想经营状态是血液瘤三代产品互补，实体瘤至少若干成功项目形成第二领域，全球研发与制造网络能够重复推出有差异的药物。公司规模大后并购和引进会增加选择，也可能增加估值过高资产和组织整合风险。研究应关注资本回报、现金生成、停项纪律和患者结局，而不是追求最多研发项目。若管理层能在不同机制中重复临床商业链条，五年后的价值来源可以逐渐摆脱单药集中。</w:t>
      </w:r>
    </w:p>
    <w:p>
      <w:pPr>
        <w:pStyle w:val="Normal"/>
        <w:rPr/>
      </w:pPr>
      <w:r>
        <w:rPr/>
        <w:t>推翻推荐的核心反证包括百悦泽美国净销售持续明显减速并伴份额或疗程下降，新品确认性研究失败或严重安全问题，正常毛利率持续低于本章假设，研发销售费用增长无法产生收益，以及融资稀释或地区现金限制超出储备。单季波动不自动推翻长期逻辑，但跨多个报告期的同方向恶化应下修模型。</w:t>
      </w:r>
      <w:r>
        <w:rPr/>
        <w:t>A</w:t>
      </w:r>
      <w:r>
        <w:rPr/>
        <w:t>股另有溢价扩大而回报空间减少的反证，即使经营改善也可能降低证券推荐。</w:t>
      </w:r>
    </w:p>
    <w:p>
      <w:pPr>
        <w:pStyle w:val="Normal"/>
        <w:rPr/>
      </w:pPr>
      <w:r>
        <w:rPr/>
        <w:t>研究跟踪应每次先更新真实销量、净价和费用，再检查试验或审批对适应症与权益的影响，随后刷新三情景、股数和现金桥，最后重算评分。若只更新新闻标题而保留旧盈利目标，报告会产生陈旧结果的精确幻觉。当前模型数字保留足够小数用于跨文件核对，实际投资判断不具有同样精度。字数与计算通过不等于所有临床、合同和页面已完成最终验收，重要缺失应随状态记录继续公开。</w:t>
      </w:r>
    </w:p>
    <w:p>
      <w:pPr>
        <w:pStyle w:val="Heading2"/>
        <w:rPr/>
      </w:pPr>
      <w:r>
        <w:rPr>
          <w:color w:val="000000"/>
        </w:rPr>
        <w:t>来源与复核记录</w:t>
      </w:r>
    </w:p>
    <w:p>
      <w:pPr>
        <w:pStyle w:val="Normal"/>
        <w:rPr/>
      </w:pPr>
      <w:r>
        <w:rPr/>
        <w:t>- 2025</w:t>
      </w:r>
      <w:r>
        <w:rPr/>
        <w:t>年度报告，</w:t>
      </w:r>
      <w:r>
        <w:rPr/>
        <w:t>2026</w:t>
      </w:r>
      <w:r>
        <w:rPr/>
        <w:t>年</w:t>
      </w:r>
      <w:r>
        <w:rPr/>
        <w:t>4</w:t>
      </w:r>
      <w:r>
        <w:rPr/>
        <w:t>月</w:t>
      </w:r>
      <w:r>
        <w:rPr/>
        <w:t>14</w:t>
      </w:r>
      <w:r>
        <w:rPr/>
        <w:t>日</w:t>
      </w:r>
      <w:r>
        <w:rPr/>
        <w:t>20:53</w:t>
      </w:r>
      <w:r>
        <w:rPr/>
        <w:t>公告，五年财务、专利、授权及风险：</w:t>
      </w:r>
      <w:r>
        <w:rPr/>
        <w:t>[</w:t>
      </w:r>
      <w:r>
        <w:rPr/>
        <w:t>原披露镜像</w:t>
      </w:r>
      <w:r>
        <w:rPr/>
        <w:t>](https://iis.aastocks.com/20260414/12105498-0.PDF)</w:t>
      </w:r>
      <w:r>
        <w:rPr/>
        <w:t>。</w:t>
      </w:r>
    </w:p>
    <w:p>
      <w:pPr>
        <w:pStyle w:val="Normal"/>
        <w:rPr/>
      </w:pPr>
      <w:r>
        <w:rPr/>
        <w:t>- 2026H1</w:t>
      </w:r>
      <w:r>
        <w:rPr/>
        <w:t>中期报告，</w:t>
      </w:r>
      <w:r>
        <w:rPr/>
        <w:t>2026</w:t>
      </w:r>
      <w:r>
        <w:rPr/>
        <w:t>年</w:t>
      </w:r>
      <w:r>
        <w:rPr/>
        <w:t>9</w:t>
      </w:r>
      <w:r>
        <w:rPr/>
        <w:t>月</w:t>
      </w:r>
      <w:r>
        <w:rPr/>
        <w:t>10</w:t>
      </w:r>
      <w:r>
        <w:rPr/>
        <w:t>日，经营、</w:t>
      </w:r>
      <w:r>
        <w:rPr/>
        <w:t>USGAAP</w:t>
      </w:r>
      <w:r>
        <w:rPr/>
        <w:t>财务、现金与</w:t>
      </w:r>
      <w:r>
        <w:rPr/>
        <w:t>Royalty</w:t>
      </w:r>
      <w:r>
        <w:rPr/>
        <w:t>融资：</w:t>
      </w:r>
      <w:r>
        <w:rPr/>
        <w:t>[</w:t>
      </w:r>
      <w:r>
        <w:rPr/>
        <w:t>原披露镜像</w:t>
      </w:r>
      <w:r>
        <w:rPr/>
        <w:t>](https://iis.aastocks.com/20260910/12327256-0.PDF)</w:t>
      </w:r>
      <w:r>
        <w:rPr/>
        <w:t>。首次二季度及半年业绩</w:t>
      </w:r>
      <w:r>
        <w:rPr/>
        <w:t>2026</w:t>
      </w:r>
      <w:r>
        <w:rPr/>
        <w:t>年</w:t>
      </w:r>
      <w:r>
        <w:rPr/>
        <w:t>8</w:t>
      </w:r>
      <w:r>
        <w:rPr/>
        <w:t>月</w:t>
      </w:r>
      <w:r>
        <w:rPr/>
        <w:t>5</w:t>
      </w:r>
      <w:r>
        <w:rPr/>
        <w:t>日：</w:t>
      </w:r>
      <w:r>
        <w:rPr/>
        <w:t>[</w:t>
      </w:r>
      <w:r>
        <w:rPr/>
        <w:t>业绩及业务更新</w:t>
      </w:r>
      <w:r>
        <w:rPr/>
        <w:t>](https://iis.aastocks.com/20260805/12273650-0.PDF)</w:t>
      </w:r>
      <w:r>
        <w:rPr/>
        <w:t>。</w:t>
      </w:r>
    </w:p>
    <w:p>
      <w:pPr>
        <w:pStyle w:val="Normal"/>
        <w:rPr/>
      </w:pPr>
      <w:r>
        <w:rPr/>
        <w:t>- MANGROVE</w:t>
      </w:r>
      <w:r>
        <w:rPr/>
        <w:t>顶线，</w:t>
      </w:r>
      <w:r>
        <w:rPr/>
        <w:t>2026</w:t>
      </w:r>
      <w:r>
        <w:rPr/>
        <w:t>年</w:t>
      </w:r>
      <w:r>
        <w:rPr/>
        <w:t>6</w:t>
      </w:r>
      <w:r>
        <w:rPr/>
        <w:t>月</w:t>
      </w:r>
      <w:r>
        <w:rPr/>
        <w:t>30</w:t>
      </w:r>
      <w:r>
        <w:rPr/>
        <w:t>日：</w:t>
      </w:r>
      <w:r>
        <w:rPr/>
        <w:t>[</w:t>
      </w:r>
      <w:r>
        <w:rPr/>
        <w:t>原临床公告</w:t>
      </w:r>
      <w:r>
        <w:rPr/>
        <w:t>](https://iis.aastocks.com/20260630/12223941-0.PDF)</w:t>
      </w:r>
      <w:r>
        <w:rPr/>
        <w:t>。索托克拉美国批准公告</w:t>
      </w:r>
      <w:r>
        <w:rPr/>
        <w:t>2026</w:t>
      </w:r>
      <w:r>
        <w:rPr/>
        <w:t>年</w:t>
      </w:r>
      <w:r>
        <w:rPr/>
        <w:t>5</w:t>
      </w:r>
      <w:r>
        <w:rPr/>
        <w:t>月</w:t>
      </w:r>
      <w:r>
        <w:rPr/>
        <w:t>14</w:t>
      </w:r>
      <w:r>
        <w:rPr/>
        <w:t>日，实际批准</w:t>
      </w:r>
      <w:r>
        <w:rPr/>
        <w:t>5</w:t>
      </w:r>
      <w:r>
        <w:rPr/>
        <w:t>月</w:t>
      </w:r>
      <w:r>
        <w:rPr/>
        <w:t>13</w:t>
      </w:r>
      <w:r>
        <w:rPr/>
        <w:t>日：</w:t>
      </w:r>
      <w:r>
        <w:rPr/>
        <w:t>[</w:t>
      </w:r>
      <w:r>
        <w:rPr/>
        <w:t>原公告</w:t>
      </w:r>
      <w:r>
        <w:rPr/>
        <w:t>](https://iis.aastocks.com/20260514/12158289-0.PDF)</w:t>
      </w:r>
      <w:r>
        <w:rPr/>
        <w:t>。</w:t>
      </w:r>
    </w:p>
    <w:p>
      <w:pPr>
        <w:pStyle w:val="Normal"/>
        <w:rPr/>
      </w:pPr>
      <w:r>
        <w:rPr/>
        <w:t xml:space="preserve">- </w:t>
      </w:r>
      <w:r>
        <w:rPr/>
        <w:t>中国子公司税务</w:t>
      </w:r>
      <w:r>
        <w:rPr/>
        <w:t>2026</w:t>
      </w:r>
      <w:r>
        <w:rPr/>
        <w:t>年</w:t>
      </w:r>
      <w:r>
        <w:rPr/>
        <w:t>6</w:t>
      </w:r>
      <w:r>
        <w:rPr/>
        <w:t>月</w:t>
      </w:r>
      <w:r>
        <w:rPr/>
        <w:t>26</w:t>
      </w:r>
      <w:r>
        <w:rPr/>
        <w:t>日：</w:t>
      </w:r>
      <w:r>
        <w:rPr/>
        <w:t>[</w:t>
      </w:r>
      <w:r>
        <w:rPr/>
        <w:t>原公告</w:t>
      </w:r>
      <w:r>
        <w:rPr/>
        <w:t>](https://iis.aastocks.com/20260626/12217546-0.PDF)</w:t>
      </w:r>
      <w:r>
        <w:rPr/>
        <w:t>。九月股数及奖励，</w:t>
      </w:r>
      <w:r>
        <w:rPr/>
        <w:t>2026</w:t>
      </w:r>
      <w:r>
        <w:rPr/>
        <w:t>年</w:t>
      </w:r>
      <w:r>
        <w:rPr/>
        <w:t>10</w:t>
      </w:r>
      <w:r>
        <w:rPr/>
        <w:t>月</w:t>
      </w:r>
      <w:r>
        <w:rPr/>
        <w:t>6</w:t>
      </w:r>
      <w:r>
        <w:rPr/>
        <w:t>日：</w:t>
      </w:r>
      <w:r>
        <w:rPr/>
        <w:t>[</w:t>
      </w:r>
      <w:r>
        <w:rPr/>
        <w:t>月报</w:t>
      </w:r>
      <w:r>
        <w:rPr/>
        <w:t>](https://iis.aastocks.com/20261006/12363699-0.PDF)</w:t>
      </w:r>
      <w:r>
        <w:rPr/>
        <w:t>、</w:t>
      </w:r>
      <w:r>
        <w:rPr/>
        <w:t>[ADS</w:t>
      </w:r>
      <w:r>
        <w:rPr/>
        <w:t>一比十三及奖励</w:t>
      </w:r>
      <w:r>
        <w:rPr/>
        <w:t>](https://iis.aastocks.com/20261006/12363754-0.PDF)</w:t>
      </w:r>
      <w:r>
        <w:rPr/>
        <w:t>。</w:t>
      </w:r>
    </w:p>
    <w:p>
      <w:pPr>
        <w:pStyle w:val="Normal"/>
        <w:rPr/>
      </w:pPr>
      <w:r>
        <w:rPr/>
        <w:t xml:space="preserve">- </w:t>
      </w:r>
      <w:r>
        <w:rPr/>
        <w:t>外资目标新闻转述：</w:t>
      </w:r>
      <w:r>
        <w:rPr/>
        <w:t>[</w:t>
      </w:r>
      <w:r>
        <w:rPr/>
        <w:t>美银</w:t>
      </w:r>
      <w:r>
        <w:rPr/>
        <w:t>](https://www.aastocks.com/tc/stocks/analysis/stock-aafn-con/06160/AAFN/NOW.1537107/research-report)</w:t>
      </w:r>
      <w:r>
        <w:rPr/>
        <w:t>、</w:t>
      </w:r>
      <w:r>
        <w:rPr/>
        <w:t>[</w:t>
      </w:r>
      <w:r>
        <w:rPr/>
        <w:t>里昂九月</w:t>
      </w:r>
      <w:r>
        <w:rPr/>
        <w:t>](https://www.aastocks.com/tc/stocks/analysis/stock-aafn-con/06160/AAFN/NOW.1542983/research-report)</w:t>
      </w:r>
      <w:r>
        <w:rPr/>
        <w:t>、</w:t>
      </w:r>
      <w:r>
        <w:rPr/>
        <w:t>[</w:t>
      </w:r>
      <w:r>
        <w:rPr/>
        <w:t>里昂八月双市场</w:t>
      </w:r>
      <w:r>
        <w:rPr/>
        <w:t>](https://www.aastocks.com/tc/stocks/analysis/stock-aafn-con/06160/AAFN/NOW.1536884/research-report)</w:t>
      </w:r>
      <w:r>
        <w:rPr/>
        <w:t>、</w:t>
      </w:r>
      <w:r>
        <w:rPr/>
        <w:t>[</w:t>
      </w:r>
      <w:r>
        <w:rPr/>
        <w:t>大华继显</w:t>
      </w:r>
      <w:r>
        <w:rPr/>
        <w:t>](https://www.aastocks.com/tc/stocks/analysis/stock-aafn-con/06160/AAFN/NOW.1536946/research-report)</w:t>
      </w:r>
      <w:r>
        <w:rPr/>
        <w:t>、</w:t>
      </w:r>
      <w:r>
        <w:rPr/>
        <w:t>[</w:t>
      </w:r>
      <w:r>
        <w:rPr/>
        <w:t>高盛</w:t>
      </w:r>
      <w:r>
        <w:rPr/>
        <w:t>](https://www.aastocks.com/tc/stocks/analysis/stock-aafn-con/06160/AAFN/NOW.1540291/research-report)</w:t>
      </w:r>
      <w:r>
        <w:rPr/>
        <w:t>、</w:t>
      </w:r>
      <w:r>
        <w:rPr/>
        <w:t>[</w:t>
      </w:r>
      <w:r>
        <w:rPr/>
        <w:t>花旗</w:t>
      </w:r>
      <w:r>
        <w:rPr/>
        <w:t>](https://www.aastocks.com/tc/stocks/analysis/stock-aafn-con/06160/AAFN/NOW.1536940/research-report)</w:t>
      </w:r>
      <w:r>
        <w:rPr/>
        <w:t>、</w:t>
      </w:r>
      <w:r>
        <w:rPr/>
        <w:t>[</w:t>
      </w:r>
      <w:r>
        <w:rPr/>
        <w:t>瑞银七月</w:t>
      </w:r>
      <w:r>
        <w:rPr/>
        <w:t>](https://www.aastocks.com/tc/stocks/analysis/stock-aafn-con/06160/AAFN/NOW.1531524/research-report)</w:t>
      </w:r>
      <w:r>
        <w:rPr/>
        <w:t>、</w:t>
      </w:r>
      <w:r>
        <w:rPr/>
        <w:t>[</w:t>
      </w:r>
      <w:r>
        <w:rPr/>
        <w:t>汇丰</w:t>
      </w:r>
      <w:r>
        <w:rPr/>
        <w:t>](https://www.aastocks.com/tc/stocks/analysis/stock-aafn-con/01801/AAFN/NOW.1547010/research-report)</w:t>
      </w:r>
      <w:r>
        <w:rPr/>
        <w:t>。均非已取得的完整原始研报，目标日缺失。</w:t>
      </w:r>
    </w:p>
    <w:p>
      <w:pPr>
        <w:pStyle w:val="Normal"/>
        <w:rPr/>
      </w:pPr>
      <w:r>
        <w:rPr/>
        <w:t xml:space="preserve">- </w:t>
      </w:r>
      <w:r>
        <w:rPr/>
        <w:t>行情腾讯、新浪及</w:t>
      </w:r>
      <w:r>
        <w:rPr/>
        <w:t>Yahoo</w:t>
      </w:r>
      <w:r>
        <w:rPr/>
        <w:t>独立日线、腾讯复权历史，原链接与单位保存在</w:t>
      </w:r>
      <w:r>
        <w:rPr/>
        <w:t>market_snapshot.json</w:t>
      </w:r>
      <w:r>
        <w:rPr/>
        <w:t>中</w:t>
      </w:r>
      <w:r>
        <w:rPr/>
        <w:t>S013/S043</w:t>
      </w:r>
      <w:r>
        <w:rPr/>
        <w:t>；模型</w:t>
      </w:r>
      <w:r>
        <w:rPr/>
        <w:t>beone_model.json</w:t>
      </w:r>
      <w:r>
        <w:rPr/>
        <w:t>，活动脚本</w:t>
      </w:r>
      <w:r>
        <w:rPr/>
        <w:t>beone_model.mjs</w:t>
      </w:r>
      <w:r>
        <w:rPr/>
        <w:t>。</w:t>
      </w:r>
      <w:r>
        <w:rPr/>
        <w:t>A/H</w:t>
      </w:r>
      <w:r>
        <w:rPr/>
        <w:t>数据共基准日，行业相对指数缺失，三年日线分别</w:t>
      </w:r>
      <w:r>
        <w:rPr/>
        <w:t>728</w:t>
      </w:r>
      <w:r>
        <w:rPr/>
        <w:t>与</w:t>
      </w:r>
      <w:r>
        <w:rPr/>
        <w:t>739</w:t>
      </w:r>
      <w:r>
        <w:rPr/>
        <w:t>条，无补造二百五十周均线。</w:t>
      </w:r>
      <w:r>
        <w:br w:type="page"/>
      </w:r>
    </w:p>
    <w:p>
      <w:pPr>
        <w:pStyle w:val="Heading1"/>
        <w:rPr/>
      </w:pPr>
      <w:bookmarkStart w:id="1" w:name="__RefHeading___Toc10702_312338234"/>
      <w:bookmarkEnd w:id="1"/>
      <w:r>
        <w:rPr>
          <w:color w:val="000000"/>
        </w:rPr>
        <w:t xml:space="preserve">药明康德 </w:t>
      </w:r>
      <w:r>
        <w:rPr>
          <w:color w:val="000000"/>
        </w:rPr>
        <w:t>603259 SH 02359 HK</w:t>
      </w:r>
    </w:p>
    <w:p>
      <w:pPr>
        <w:pStyle w:val="Normal"/>
        <w:rPr/>
      </w:pPr>
      <w:r>
        <w:rPr/>
        <w:t xml:space="preserve">603259.SH </w:t>
      </w:r>
      <w:r>
        <w:rPr/>
        <w:t xml:space="preserve">现价 </w:t>
      </w:r>
      <w:r>
        <w:rPr/>
        <w:t>157.80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202.40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218.50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+38.47%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+39.61%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+78.71%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+96.45%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+105.32%</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107.20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-32.07%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180.40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+14.32%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269.70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+70.91%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184.43CNY</w:t>
      </w:r>
      <w:r>
        <w:rPr/>
        <w:t>，期望股价回报</w:t>
      </w:r>
      <w:r>
        <w:rPr/>
        <w:t>+16.87%</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115.60</w:t>
              <w:br/>
              <w:t>-26.74%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202.40</w:t>
              <w:br/>
              <w:t>+28.26%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290.00</w:t>
              <w:br/>
              <w:t>+83.78%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119.00</w:t>
              <w:br/>
              <w:t>-24.59%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218.50</w:t>
              <w:br/>
              <w:t>+38.47%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354.00</w:t>
              <w:br/>
              <w:t>+124.33%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108.00</w:t>
              <w:br/>
              <w:t>-31.56%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275.00</w:t>
              <w:br/>
              <w:t>+74.27%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490.00</w:t>
              <w:br/>
              <w:t>+210.52%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105.00</w:t>
              <w:br/>
              <w:t>-33.46%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310.00</w:t>
              <w:br/>
              <w:t>+96.45%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648.00</w:t>
              <w:br/>
              <w:t>+310.65%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+15.47%</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02359.HK </w:t>
      </w:r>
      <w:r>
        <w:rPr/>
        <w:t xml:space="preserve">现价 </w:t>
      </w:r>
      <w:r>
        <w:rPr/>
        <w:t>208.00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242.00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261.25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+26.55%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330.00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+58.65%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+62.36%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375.10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+80.34%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+87.74%</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125.29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306.90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216.29HKD</w:t>
      </w:r>
      <w:r>
        <w:rPr/>
        <w:t>，期望股价回报</w:t>
      </w:r>
      <w:r>
        <w:rPr/>
        <w:t>+3.98%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134.64</w:t>
              <w:br/>
              <w:t>-35.27%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242.00</w:t>
              <w:br/>
              <w:t>+16.35%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341.00</w:t>
              <w:br/>
              <w:t>+63.94%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138.60</w:t>
              <w:br/>
              <w:t>-33.37%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261.25</w:t>
              <w:br/>
              <w:t>+25.60%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402.38</w:t>
              <w:br/>
              <w:t>+93.45%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126.72</w:t>
              <w:br/>
              <w:t>-39.08%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330.00</w:t>
              <w:br/>
              <w:t>+58.65%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558.25</w:t>
              <w:br/>
              <w:t>+168.39%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123.75</w:t>
              <w:br/>
              <w:t>-40.50%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375.10</w:t>
              <w:br/>
              <w:t>+80.34%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739.20</w:t>
              <w:br/>
              <w:t>+255.38%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+22.16%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+26.55%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+32.88%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+54.24%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+62.36%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+70.47%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+78.35%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+87.74%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+97.13%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I010</w:t>
      </w:r>
      <w:r>
        <w:rPr/>
        <w:t>；</w:t>
      </w:r>
      <w:r>
        <w:rPr/>
        <w:t>A</w:t>
      </w:r>
      <w:r>
        <w:rPr/>
        <w:t>股</w:t>
      </w:r>
      <w:r>
        <w:rPr/>
        <w:t>603259.SH</w:t>
      </w:r>
      <w:r>
        <w:rPr/>
        <w:t>，</w:t>
      </w:r>
      <w:r>
        <w:rPr/>
        <w:t>2026</w:t>
      </w:r>
      <w:r>
        <w:rPr/>
        <w:t>年</w:t>
      </w:r>
      <w:r>
        <w:rPr/>
        <w:t>10</w:t>
      </w:r>
      <w:r>
        <w:rPr/>
        <w:t>月</w:t>
      </w:r>
      <w:r>
        <w:rPr/>
        <w:t>9</w:t>
      </w:r>
      <w:r>
        <w:rPr/>
        <w:t>日收盘</w:t>
      </w:r>
      <w:r>
        <w:rPr/>
        <w:t>157.80</w:t>
      </w:r>
      <w:r>
        <w:rPr/>
        <w:t>元；</w:t>
      </w:r>
      <w:r>
        <w:rPr/>
        <w:t>H</w:t>
      </w:r>
      <w:r>
        <w:rPr/>
        <w:t>股</w:t>
      </w:r>
      <w:r>
        <w:rPr/>
        <w:t>02359.HK</w:t>
      </w:r>
      <w:r>
        <w:rPr/>
        <w:t>，同日收盘</w:t>
      </w:r>
      <w:r>
        <w:rPr/>
        <w:t>208.00</w:t>
      </w:r>
      <w:r>
        <w:rPr/>
        <w:t>港元。本文资料截至该日，经营主锚为</w:t>
      </w:r>
      <w:r>
        <w:rPr/>
        <w:t>2026</w:t>
      </w:r>
      <w:r>
        <w:rPr/>
        <w:t>中期报告，报告董事签署日</w:t>
      </w:r>
      <w:r>
        <w:rPr/>
        <w:t>2026</w:t>
      </w:r>
      <w:r>
        <w:rPr/>
        <w:t>年</w:t>
      </w:r>
      <w:r>
        <w:rPr/>
        <w:t>8</w:t>
      </w:r>
      <w:r>
        <w:rPr/>
        <w:t>月</w:t>
      </w:r>
      <w:r>
        <w:rPr/>
        <w:t>3</w:t>
      </w:r>
      <w:r>
        <w:rPr/>
        <w:t>日，当前取得完整</w:t>
      </w:r>
      <w:r>
        <w:rPr/>
        <w:t>PDF</w:t>
      </w:r>
      <w:r>
        <w:rPr/>
        <w:t>的公开镜像日期为</w:t>
      </w:r>
      <w:r>
        <w:rPr/>
        <w:t>9</w:t>
      </w:r>
      <w:r>
        <w:rPr/>
        <w:t>月</w:t>
      </w:r>
      <w:r>
        <w:rPr/>
        <w:t>4</w:t>
      </w:r>
      <w:r>
        <w:rPr/>
        <w:t>日，镜像发布日期与业绩首次公告日分列，未确认镜像上传时刻。研究换算采用每人民币</w:t>
      </w:r>
      <w:r>
        <w:rPr/>
        <w:t>1.10</w:t>
      </w:r>
      <w:r>
        <w:rPr/>
        <w:t>港元，属于假设，未充当核验即期汇率。本文为独立深研初版，远期</w:t>
      </w:r>
      <w:r>
        <w:rPr/>
        <w:t>EPS</w:t>
      </w:r>
      <w:r>
        <w:rPr/>
        <w:t>、</w:t>
      </w:r>
      <w:r>
        <w:rPr/>
        <w:t>PE</w:t>
      </w:r>
      <w:r>
        <w:rPr/>
        <w:t>及情景权重为研究判断，完整年报、后续股份变动与法律原文核验仍须补齐。</w:t>
      </w:r>
    </w:p>
    <w:p>
      <w:pPr>
        <w:pStyle w:val="Heading2"/>
        <w:rPr/>
      </w:pPr>
      <w:r>
        <w:rPr>
          <w:color w:val="000000"/>
        </w:rPr>
        <w:t>投资结论 四期限评分与价格边界</w:t>
      </w:r>
    </w:p>
    <w:p>
      <w:pPr>
        <w:pStyle w:val="Normal"/>
        <w:rPr/>
      </w:pPr>
      <w:r>
        <w:rPr/>
        <w:t>药明康德在这份进取型名单中应重点研究三年期，其次一年期，五年具备持续经营价值但不能简单将当前高增长平移。原因是公司既有药物发现引流，又有后期工艺开发和商业化生产，真实收入增长、利润率改善与订单增加提供了经营证据。它承担的是多客户、多分子的研发服务和制造风险，收益并不完全依赖某一个自有药物临床成败；同时商业化大项目、特定技术需求和地缘政策仍能显著影响集团，平台规模没有消除风险。</w:t>
      </w:r>
    </w:p>
    <w:p>
      <w:pPr>
        <w:pStyle w:val="Normal"/>
        <w:rPr/>
      </w:pPr>
      <w:r>
        <w:rPr/>
        <w:t>在两地都有投资条件时，本研究优先考虑</w:t>
      </w:r>
      <w:r>
        <w:rPr/>
        <w:t>A</w:t>
      </w:r>
      <w:r>
        <w:rPr/>
        <w:t>股</w:t>
      </w:r>
      <w:r>
        <w:rPr/>
        <w:t>603259</w:t>
      </w:r>
      <w:r>
        <w:rPr/>
        <w:t>。按研究汇率，</w:t>
      </w:r>
      <w:r>
        <w:rPr/>
        <w:t>208</w:t>
      </w:r>
      <w:r>
        <w:rPr/>
        <w:t>港元相当于</w:t>
      </w:r>
      <w:r>
        <w:rPr/>
        <w:t>189.09</w:t>
      </w:r>
      <w:r>
        <w:rPr/>
        <w:t>元，</w:t>
      </w:r>
      <w:r>
        <w:rPr/>
        <w:t>A</w:t>
      </w:r>
      <w:r>
        <w:rPr/>
        <w:t>股</w:t>
      </w:r>
      <w:r>
        <w:rPr/>
        <w:t>157.80</w:t>
      </w:r>
      <w:r>
        <w:rPr/>
        <w:t>元较</w:t>
      </w:r>
      <w:r>
        <w:rPr/>
        <w:t>H</w:t>
      </w:r>
      <w:r>
        <w:rPr/>
        <w:t>股折算价格低约</w:t>
      </w:r>
      <w:r>
        <w:rPr/>
        <w:t>16.5%</w:t>
      </w:r>
      <w:r>
        <w:rPr/>
        <w:t>；反向看，</w:t>
      </w:r>
      <w:r>
        <w:rPr/>
        <w:t>H</w:t>
      </w:r>
      <w:r>
        <w:rPr/>
        <w:t>股对</w:t>
      </w:r>
      <w:r>
        <w:rPr/>
        <w:t>A</w:t>
      </w:r>
      <w:r>
        <w:rPr/>
        <w:t>股折算价溢价约</w:t>
      </w:r>
      <w:r>
        <w:rPr/>
        <w:t>19.8%</w:t>
      </w:r>
      <w:r>
        <w:rPr/>
        <w:t>。这是价格与回报条件差异，不是必定收敛的套利。</w:t>
      </w:r>
      <w:r>
        <w:rPr/>
        <w:t>H</w:t>
      </w:r>
      <w:r>
        <w:rPr/>
        <w:t>股近期量价相对强于</w:t>
      </w:r>
      <w:r>
        <w:rPr/>
        <w:t>A</w:t>
      </w:r>
      <w:r>
        <w:rPr/>
        <w:t>股，但未来同一经营利润被更高起始价格买入，基准收益空间就较小。港股国际资金定价、汇率、税费、交易时间及持股工具不同，不能只按名义股价大小选择。</w:t>
      </w:r>
    </w:p>
    <w:p>
      <w:pPr>
        <w:pStyle w:val="Normal"/>
        <w:rPr/>
      </w:pPr>
      <w:r>
        <w:rPr/>
        <w:t>四期限得分</w:t>
      </w:r>
      <w:r>
        <w:rPr/>
        <w:t>A</w:t>
      </w:r>
      <w:r>
        <w:rPr/>
        <w:t>股为半年</w:t>
      </w:r>
      <w:r>
        <w:rPr/>
        <w:t>77.8</w:t>
      </w:r>
      <w:r>
        <w:rPr/>
        <w:t>、一年</w:t>
      </w:r>
      <w:r>
        <w:rPr/>
        <w:t>81.6</w:t>
      </w:r>
      <w:r>
        <w:rPr/>
        <w:t>、三年</w:t>
      </w:r>
      <w:r>
        <w:rPr/>
        <w:t>84.4</w:t>
      </w:r>
      <w:r>
        <w:rPr/>
        <w:t>、五年</w:t>
      </w:r>
      <w:r>
        <w:rPr/>
        <w:t>82.6</w:t>
      </w:r>
      <w:r>
        <w:rPr/>
        <w:t>；</w:t>
      </w:r>
      <w:r>
        <w:rPr/>
        <w:t>H</w:t>
      </w:r>
      <w:r>
        <w:rPr/>
        <w:t>股为</w:t>
      </w:r>
      <w:r>
        <w:rPr/>
        <w:t>75.9</w:t>
      </w:r>
      <w:r>
        <w:rPr/>
        <w:t>、</w:t>
      </w:r>
      <w:r>
        <w:rPr/>
        <w:t>79.3</w:t>
      </w:r>
      <w:r>
        <w:rPr/>
        <w:t>、</w:t>
      </w:r>
      <w:r>
        <w:rPr/>
        <w:t>82.5</w:t>
      </w:r>
      <w:r>
        <w:rPr/>
        <w:t>、</w:t>
      </w:r>
      <w:r>
        <w:rPr/>
        <w:t>80.7</w:t>
      </w:r>
      <w:r>
        <w:rPr/>
        <w:t>。半年</w:t>
      </w:r>
      <w:r>
        <w:rPr/>
        <w:t>A</w:t>
      </w:r>
      <w:r>
        <w:rPr/>
        <w:t>股与</w:t>
      </w:r>
      <w:r>
        <w:rPr/>
        <w:t>H</w:t>
      </w:r>
      <w:r>
        <w:rPr/>
        <w:t>股差距</w:t>
      </w:r>
      <w:r>
        <w:rPr/>
        <w:t>1.9</w:t>
      </w:r>
      <w:r>
        <w:rPr/>
        <w:t>分，三年差距同样</w:t>
      </w:r>
      <w:r>
        <w:rPr/>
        <w:t>1.9</w:t>
      </w:r>
      <w:r>
        <w:rPr/>
        <w:t>分，按全报告小于</w:t>
      </w:r>
      <w:r>
        <w:rPr/>
        <w:t>3</w:t>
      </w:r>
      <w:r>
        <w:rPr/>
        <w:t>分的规则应归相近梯队，不能把</w:t>
      </w:r>
      <w:r>
        <w:rPr/>
        <w:t>A</w:t>
      </w:r>
      <w:r>
        <w:rPr/>
        <w:t>股优先解释成断崖式质量差别。公司基本面评分共享，技术、估值、流动性和下行回报分别处理。全名单名次由总表统一计算，本章不在其他公司尚未核验完成时自行声称第一或前十。</w:t>
      </w:r>
    </w:p>
    <w:p>
      <w:pPr>
        <w:pStyle w:val="Normal"/>
        <w:rPr/>
      </w:pPr>
      <w:r>
        <w:rPr/>
        <w:t>基准股价目标半年</w:t>
      </w:r>
      <w:r>
        <w:rPr/>
        <w:t>A</w:t>
      </w:r>
      <w:r>
        <w:rPr/>
        <w:t>股</w:t>
      </w:r>
      <w:r>
        <w:rPr/>
        <w:t>202.40</w:t>
      </w:r>
      <w:r>
        <w:rPr/>
        <w:t>元、</w:t>
      </w:r>
      <w:r>
        <w:rPr/>
        <w:t>H</w:t>
      </w:r>
      <w:r>
        <w:rPr/>
        <w:t>股</w:t>
      </w:r>
      <w:r>
        <w:rPr/>
        <w:t>242.00</w:t>
      </w:r>
      <w:r>
        <w:rPr/>
        <w:t>港元，对应上涨</w:t>
      </w:r>
      <w:r>
        <w:rPr/>
        <w:t>28.26%</w:t>
      </w:r>
      <w:r>
        <w:rPr/>
        <w:t>和</w:t>
      </w:r>
      <w:r>
        <w:rPr/>
        <w:t>16.35%</w:t>
      </w:r>
      <w:r>
        <w:rPr/>
        <w:t>；一年</w:t>
      </w:r>
      <w:r>
        <w:rPr/>
        <w:t>218.50</w:t>
      </w:r>
      <w:r>
        <w:rPr/>
        <w:t>元、</w:t>
      </w:r>
      <w:r>
        <w:rPr/>
        <w:t>261.25</w:t>
      </w:r>
      <w:r>
        <w:rPr/>
        <w:t>港元，上涨</w:t>
      </w:r>
      <w:r>
        <w:rPr/>
        <w:t>38.47%</w:t>
      </w:r>
      <w:r>
        <w:rPr/>
        <w:t>和</w:t>
      </w:r>
      <w:r>
        <w:rPr/>
        <w:t>25.60%</w:t>
      </w:r>
      <w:r>
        <w:rPr/>
        <w:t>；三年</w:t>
      </w:r>
      <w:r>
        <w:rPr/>
        <w:t>275.00</w:t>
      </w:r>
      <w:r>
        <w:rPr/>
        <w:t>元、</w:t>
      </w:r>
      <w:r>
        <w:rPr/>
        <w:t>330.00</w:t>
      </w:r>
      <w:r>
        <w:rPr/>
        <w:t>港元，上涨</w:t>
      </w:r>
      <w:r>
        <w:rPr/>
        <w:t>74.27%</w:t>
      </w:r>
      <w:r>
        <w:rPr/>
        <w:t>和</w:t>
      </w:r>
      <w:r>
        <w:rPr/>
        <w:t>58.65%</w:t>
      </w:r>
      <w:r>
        <w:rPr/>
        <w:t>；五年</w:t>
      </w:r>
      <w:r>
        <w:rPr/>
        <w:t>310.00</w:t>
      </w:r>
      <w:r>
        <w:rPr/>
        <w:t>元、</w:t>
      </w:r>
      <w:r>
        <w:rPr/>
        <w:t>375.10</w:t>
      </w:r>
      <w:r>
        <w:rPr/>
        <w:t>港元，上涨</w:t>
      </w:r>
      <w:r>
        <w:rPr/>
        <w:t>96.45%</w:t>
      </w:r>
      <w:r>
        <w:rPr/>
        <w:t>和</w:t>
      </w:r>
      <w:r>
        <w:rPr/>
        <w:t>80.34%</w:t>
      </w:r>
      <w:r>
        <w:rPr/>
        <w:t>。加入模型累计分红后，三年基准总回报年化</w:t>
      </w:r>
      <w:r>
        <w:rPr/>
        <w:t>A</w:t>
      </w:r>
      <w:r>
        <w:rPr/>
        <w:t>股</w:t>
      </w:r>
      <w:r>
        <w:rPr/>
        <w:t>21.35%</w:t>
      </w:r>
      <w:r>
        <w:rPr/>
        <w:t>、</w:t>
      </w:r>
      <w:r>
        <w:rPr/>
        <w:t>H</w:t>
      </w:r>
      <w:r>
        <w:rPr/>
        <w:t>股</w:t>
      </w:r>
      <w:r>
        <w:rPr/>
        <w:t>17.53%</w:t>
      </w:r>
      <w:r>
        <w:rPr/>
        <w:t>，五年</w:t>
      </w:r>
      <w:r>
        <w:rPr/>
        <w:t>15.47%</w:t>
      </w:r>
      <w:r>
        <w:rPr/>
        <w:t>、</w:t>
      </w:r>
      <w:r>
        <w:rPr/>
        <w:t>13.43%</w:t>
      </w:r>
      <w:r>
        <w:rPr/>
        <w:t>。长期年化低于三年，反映增长放缓、合理倍数下降及较高起始估值的约束。</w:t>
      </w:r>
    </w:p>
    <w:p>
      <w:pPr>
        <w:pStyle w:val="Normal"/>
        <w:rPr/>
      </w:pPr>
      <w:r>
        <w:rPr/>
        <w:t>年底价格单独用临近年底可观察盈利能力与估值变化测算。悲观、基准、乐观</w:t>
      </w:r>
      <w:r>
        <w:rPr/>
        <w:t>A</w:t>
      </w:r>
      <w:r>
        <w:rPr/>
        <w:t>股分别</w:t>
      </w:r>
      <w:r>
        <w:rPr/>
        <w:t>107.20</w:t>
      </w:r>
      <w:r>
        <w:rPr/>
        <w:t>、</w:t>
      </w:r>
      <w:r>
        <w:rPr/>
        <w:t>180.40</w:t>
      </w:r>
      <w:r>
        <w:rPr/>
        <w:t>、</w:t>
      </w:r>
      <w:r>
        <w:rPr/>
        <w:t>269.70</w:t>
      </w:r>
      <w:r>
        <w:rPr/>
        <w:t>元，相对现价跌</w:t>
      </w:r>
      <w:r>
        <w:rPr/>
        <w:t>32.07%</w:t>
      </w:r>
      <w:r>
        <w:rPr/>
        <w:t>、涨</w:t>
      </w:r>
      <w:r>
        <w:rPr/>
        <w:t>14.32%</w:t>
      </w:r>
      <w:r>
        <w:rPr/>
        <w:t>、涨</w:t>
      </w:r>
      <w:r>
        <w:rPr/>
        <w:t>70.91%</w:t>
      </w:r>
      <w:r>
        <w:rPr/>
        <w:t>；</w:t>
      </w:r>
      <w:r>
        <w:rPr/>
        <w:t>H</w:t>
      </w:r>
      <w:r>
        <w:rPr/>
        <w:t>股</w:t>
      </w:r>
      <w:r>
        <w:rPr/>
        <w:t>125.29</w:t>
      </w:r>
      <w:r>
        <w:rPr/>
        <w:t>、</w:t>
      </w:r>
      <w:r>
        <w:rPr/>
        <w:t>216.48</w:t>
      </w:r>
      <w:r>
        <w:rPr/>
        <w:t>、</w:t>
      </w:r>
      <w:r>
        <w:rPr/>
        <w:t>306.90</w:t>
      </w:r>
      <w:r>
        <w:rPr/>
        <w:t>港元，跌</w:t>
      </w:r>
      <w:r>
        <w:rPr/>
        <w:t>39.76%</w:t>
      </w:r>
      <w:r>
        <w:rPr/>
        <w:t>、涨</w:t>
      </w:r>
      <w:r>
        <w:rPr/>
        <w:t>4.08%</w:t>
      </w:r>
      <w:r>
        <w:rPr/>
        <w:t>、涨</w:t>
      </w:r>
      <w:r>
        <w:rPr/>
        <w:t>47.55%</w:t>
      </w:r>
      <w:r>
        <w:rPr/>
        <w:t>。默认判断权重</w:t>
      </w:r>
      <w:r>
        <w:rPr/>
        <w:t>25%</w:t>
      </w:r>
      <w:r>
        <w:rPr/>
        <w:t>、</w:t>
      </w:r>
      <w:r>
        <w:rPr/>
        <w:t>50%</w:t>
      </w:r>
      <w:r>
        <w:rPr/>
        <w:t>、</w:t>
      </w:r>
      <w:r>
        <w:rPr/>
        <w:t>25%</w:t>
      </w:r>
      <w:r>
        <w:rPr/>
        <w:t>给出年底期望</w:t>
      </w:r>
      <w:r>
        <w:rPr/>
        <w:t>A</w:t>
      </w:r>
      <w:r>
        <w:rPr/>
        <w:t>股</w:t>
      </w:r>
      <w:r>
        <w:rPr/>
        <w:t>184.425</w:t>
      </w:r>
      <w:r>
        <w:rPr/>
        <w:t>元、</w:t>
      </w:r>
      <w:r>
        <w:rPr/>
        <w:t>H</w:t>
      </w:r>
      <w:r>
        <w:rPr/>
        <w:t>股</w:t>
      </w:r>
      <w:r>
        <w:rPr/>
        <w:t>216.2875</w:t>
      </w:r>
      <w:r>
        <w:rPr/>
        <w:t>港元，对应</w:t>
      </w:r>
      <w:r>
        <w:rPr/>
        <w:t>16.87%</w:t>
      </w:r>
      <w:r>
        <w:rPr/>
        <w:t>、</w:t>
      </w:r>
      <w:r>
        <w:rPr/>
        <w:t>3.98%</w:t>
      </w:r>
      <w:r>
        <w:rPr/>
        <w:t>。乐观上界需要市场同时提升盈利预期和定价，尤其剩余时间较短，因此不是常态涨幅承诺。</w:t>
      </w:r>
    </w:p>
    <w:p>
      <w:pPr>
        <w:pStyle w:val="Normal"/>
        <w:rPr/>
      </w:pPr>
      <w:r>
        <w:rPr/>
        <w:t>结论最重要的反证是订单转化不再支持增长、后期和商业化项目的收入过度集中、产能利用率改善被新产能与价格竞争抵消、海外客户因政策主动减少合作。现金流如果连续落后于正常化利润，或者新增负债与融资主要支撑回购分红而非创造高回报项目，也要下调推荐。本文对财报事实可信度较高，对公开机构新闻为中等，对远期</w:t>
      </w:r>
      <w:r>
        <w:rPr/>
        <w:t>EPS</w:t>
      </w:r>
      <w:r>
        <w:rPr/>
        <w:t>和倍数为判断性中低，评分从来不代表获利概率。</w:t>
      </w:r>
    </w:p>
    <w:p>
      <w:pPr>
        <w:pStyle w:val="Heading2"/>
        <w:rPr/>
      </w:pPr>
      <w:r>
        <w:rPr>
          <w:color w:val="000000"/>
        </w:rPr>
        <w:t>商业模式 分子生命周期决定价值 而非服务口号</w:t>
      </w:r>
    </w:p>
    <w:p>
      <w:pPr>
        <w:pStyle w:val="Normal"/>
        <w:rPr/>
      </w:pPr>
      <w:r>
        <w:rPr/>
        <w:t>公司提供新药研发和生产服务，覆盖化学药研发生产、生物学研究、临床前测试及相关临床研发生态。中报第</w:t>
      </w:r>
      <w:r>
        <w:rPr/>
        <w:t>6</w:t>
      </w:r>
      <w:r>
        <w:rPr/>
        <w:t>至</w:t>
      </w:r>
      <w:r>
        <w:rPr/>
        <w:t>9</w:t>
      </w:r>
      <w:r>
        <w:rPr/>
        <w:t>页描述</w:t>
      </w:r>
      <w:r>
        <w:rPr/>
        <w:t>CRDMO</w:t>
      </w:r>
      <w:r>
        <w:rPr/>
        <w:t>模式：从早期发现研究开始提供服务，让客户分子进入开发，再跟随其临床与商业化扩张。业务链的经济含义在于早期项目单个订单小而数量多，后期项目数量少但开发复杂、制造批次与质量要求提高，商业化成功则可能产生长期需求。收入曲线由项目组合阶段变化驱动，不能只用年度客户数解释。</w:t>
      </w:r>
    </w:p>
    <w:p>
      <w:pPr>
        <w:pStyle w:val="Normal"/>
        <w:rPr/>
      </w:pPr>
      <w:r>
        <w:rPr/>
        <w:t>研究发现阶段的服务帮助客户合成、筛选与优化化合物。中报披露过去十二个月合成并交付超过四十四万个新化合物，这体现平台作业规模，但一个化合物并不等于一个临床候选药，更不等于一个商业化药。许多分子因活性、选择性、吸收代谢或安全性淘汰。投资者应把这个数字理解为漏斗入口和潜在客户关系，再观察实际进入工艺开发的转化，而不是用四十四万个乘以药物平均销售估值。</w:t>
      </w:r>
    </w:p>
    <w:p>
      <w:pPr>
        <w:pStyle w:val="Normal"/>
        <w:rPr/>
      </w:pPr>
      <w:r>
        <w:rPr/>
        <w:t>上半年</w:t>
      </w:r>
      <w:r>
        <w:rPr/>
        <w:t>R</w:t>
      </w:r>
      <w:r>
        <w:rPr/>
        <w:t>到</w:t>
      </w:r>
      <w:r>
        <w:rPr/>
        <w:t>D</w:t>
      </w:r>
      <w:r>
        <w:rPr/>
        <w:t>转化分子</w:t>
      </w:r>
      <w:r>
        <w:rPr/>
        <w:t>155</w:t>
      </w:r>
      <w:r>
        <w:rPr/>
        <w:t>个，提供发现研究向开发导流的实证。客户选择原服务商继续开发，可以节约交接、工艺解释与项目管理时间，但不是法律上的永远绑定。客户可以自建能力、多来源采购或改换供应商。平台优势需要每阶段按质量、速度、成本和知识产权保护持续赢单；既存关系会降低获客成本，也可能使公司依赖少数大客户的采购流程和谈判权。研究不能将“跟随分子”解释成无竞争收费权。</w:t>
      </w:r>
    </w:p>
    <w:p>
      <w:pPr>
        <w:pStyle w:val="Normal"/>
        <w:rPr/>
      </w:pPr>
      <w:r>
        <w:rPr/>
        <w:t>工艺开发解决实验室路线如何转为可靠、安全、可重复的生产路线。药物合成的收率、杂质控制、原料供应、溶剂回收与设备选择影响客户后续制造成本。后期分子需要更多验证和文件，商业化供应关系的切换通常涉及技术转移与质量验证，这有利于已有供应商，但仍须经价格、质量和供应风险审查。公司的竞争优势更接近积累的工程知识、数据和组织能力，而非单纯中国劳动力便宜。</w:t>
      </w:r>
    </w:p>
    <w:p>
      <w:pPr>
        <w:pStyle w:val="Normal"/>
        <w:rPr/>
      </w:pPr>
      <w:r>
        <w:rPr/>
        <w:t>商业化项目带来的生产需求受获批后销售影响，服务商不必承担自有品牌推广，但仍会承担客户销售低于预期、库存调整和生产计划推迟的风险。一个治疗领域需求火热，可以使制造收入快速增长；如果支付限制、竞品或患者持续用药改变需求，客户会调整采购。对药明康德的估值应关注客户项目组合的终端经济性，不能把</w:t>
      </w:r>
      <w:r>
        <w:rPr/>
        <w:t>CDMO</w:t>
      </w:r>
      <w:r>
        <w:rPr/>
        <w:t>合同理解成所有项目都能按最高计划量交付。</w:t>
      </w:r>
    </w:p>
    <w:p>
      <w:pPr>
        <w:pStyle w:val="Normal"/>
        <w:rPr/>
      </w:pPr>
      <w:r>
        <w:rPr/>
        <w:t>公司多阶段覆盖既分散单药失败，又产生共用经济因素的相关风险。融资收紧会同时减少众多早期客户订单；大型药企削减某类管线会影响多个分子；一个商业化技术方向供应扩大也可能压低多个合同价格。因此项目数多不自动等于收入风险低到可以忽略。需要区分项目独立性与行业共同周期，并从新增订单、项目终止、阶段迁移和现有客户追加需求判断组合质量。</w:t>
      </w:r>
    </w:p>
    <w:p>
      <w:pPr>
        <w:pStyle w:val="Heading2"/>
        <w:rPr/>
      </w:pPr>
      <w:r>
        <w:rPr>
          <w:color w:val="000000"/>
        </w:rPr>
        <w:t>收入还原 持续经营与整体同比必须分开</w:t>
      </w:r>
    </w:p>
    <w:p>
      <w:pPr>
        <w:pStyle w:val="Normal"/>
        <w:rPr/>
      </w:pPr>
      <w:r>
        <w:rPr/>
        <w:t>2026</w:t>
      </w:r>
      <w:r>
        <w:rPr/>
        <w:t>上半年收入</w:t>
      </w:r>
      <w:r>
        <w:rPr/>
        <w:t>288.975</w:t>
      </w:r>
      <w:r>
        <w:rPr/>
        <w:t>亿元，整体同比增长</w:t>
      </w:r>
      <w:r>
        <w:rPr/>
        <w:t>38.9%</w:t>
      </w:r>
      <w:r>
        <w:rPr/>
        <w:t>；按持续经营业务对照</w:t>
      </w:r>
      <w:r>
        <w:rPr/>
        <w:t>2025</w:t>
      </w:r>
      <w:r>
        <w:rPr/>
        <w:t>上半年</w:t>
      </w:r>
      <w:r>
        <w:rPr/>
        <w:t>195.255</w:t>
      </w:r>
      <w:r>
        <w:rPr/>
        <w:t>亿元，增长</w:t>
      </w:r>
      <w:r>
        <w:rPr/>
        <w:t>48.0%</w:t>
      </w:r>
      <w:r>
        <w:rPr/>
        <w:t>。上一年整体</w:t>
      </w:r>
      <w:r>
        <w:rPr/>
        <w:t>208.0</w:t>
      </w:r>
      <w:r>
        <w:rPr/>
        <w:t>亿元包含</w:t>
      </w:r>
      <w:r>
        <w:rPr/>
        <w:t>12.738</w:t>
      </w:r>
      <w:r>
        <w:rPr/>
        <w:t>亿元终止经营业务，本期该部分为零。两种增速回答不同问题：整体增长描述股东面对的集团收入变化，持续经营增长描述当前保留业务的运营速度。选择更高的</w:t>
      </w:r>
      <w:r>
        <w:rPr/>
        <w:t>48%</w:t>
      </w:r>
      <w:r>
        <w:rPr/>
        <w:t>来宣传而不说明调整，会高估历史可比增速；只看</w:t>
      </w:r>
      <w:r>
        <w:rPr/>
        <w:t>38.9%</w:t>
      </w:r>
      <w:r>
        <w:rPr/>
        <w:t>又会低估当前保留业务的改善。</w:t>
      </w:r>
    </w:p>
    <w:p>
      <w:pPr>
        <w:pStyle w:val="Normal"/>
        <w:rPr/>
      </w:pPr>
      <w:r>
        <w:rPr/>
        <w:t>化学业务收入</w:t>
      </w:r>
      <w:r>
        <w:rPr/>
        <w:t>249.860</w:t>
      </w:r>
      <w:r>
        <w:rPr/>
        <w:t>亿元，同比增长</w:t>
      </w:r>
      <w:r>
        <w:rPr/>
        <w:t>53.3%</w:t>
      </w:r>
      <w:r>
        <w:rPr/>
        <w:t>，占总收入约</w:t>
      </w:r>
      <w:r>
        <w:rPr/>
        <w:t>86.5%</w:t>
      </w:r>
      <w:r>
        <w:rPr/>
        <w:t>，决定了集团大部分增长和利润。测试</w:t>
      </w:r>
      <w:r>
        <w:rPr/>
        <w:t>24.806</w:t>
      </w:r>
      <w:r>
        <w:rPr/>
        <w:t>亿元，同比增长</w:t>
      </w:r>
      <w:r>
        <w:rPr/>
        <w:t>31.5%</w:t>
      </w:r>
      <w:r>
        <w:rPr/>
        <w:t>；生物学</w:t>
      </w:r>
      <w:r>
        <w:rPr/>
        <w:t>13.919</w:t>
      </w:r>
      <w:r>
        <w:rPr/>
        <w:t>亿元，同比增长</w:t>
      </w:r>
      <w:r>
        <w:rPr/>
        <w:t>11.2%</w:t>
      </w:r>
      <w:r>
        <w:rPr/>
        <w:t>；其他仅</w:t>
      </w:r>
      <w:r>
        <w:rPr/>
        <w:t>0.390</w:t>
      </w:r>
      <w:r>
        <w:rPr/>
        <w:t>亿元且下降。收入分部合计有四舍五入微差，不强制用亿数配平。这一结构说明药明康德虽服务广，但当前财务主要由化学驱动；用“全产业链”来回避化学周期和大项目风险并不合适。</w:t>
      </w:r>
    </w:p>
    <w:p>
      <w:pPr>
        <w:pStyle w:val="Normal"/>
        <w:rPr/>
      </w:pPr>
      <w:r>
        <w:rPr/>
        <w:t>化学内部小分子开发制造收入</w:t>
      </w:r>
      <w:r>
        <w:rPr/>
        <w:t>149.90</w:t>
      </w:r>
      <w:r>
        <w:rPr/>
        <w:t>亿元，同比增长</w:t>
      </w:r>
      <w:r>
        <w:rPr/>
        <w:t>72.7%</w:t>
      </w:r>
      <w:r>
        <w:rPr/>
        <w:t>；</w:t>
      </w:r>
      <w:r>
        <w:rPr/>
        <w:t>TIDES</w:t>
      </w:r>
      <w:r>
        <w:rPr/>
        <w:t>即多肽和寡核苷酸相关业务</w:t>
      </w:r>
      <w:r>
        <w:rPr/>
        <w:t>72.60</w:t>
      </w:r>
      <w:r>
        <w:rPr/>
        <w:t>亿元，同比增长</w:t>
      </w:r>
      <w:r>
        <w:rPr/>
        <w:t>44.3%</w:t>
      </w:r>
      <w:r>
        <w:rPr/>
        <w:t>。它们属于化学分部内的经营拆分，不能与</w:t>
      </w:r>
      <w:r>
        <w:rPr/>
        <w:t>249.86</w:t>
      </w:r>
      <w:r>
        <w:rPr/>
        <w:t>亿元再相加。剩余部分包括研究与其他化学相关服务。本期小分子开发制造增速更高，提醒投资者不要将全部利润提升都归因于热门多肽。公司的机会来自后期管线迁移、去年新增产能释放与多种化学技术共同兑现。</w:t>
      </w:r>
    </w:p>
    <w:p>
      <w:pPr>
        <w:pStyle w:val="Normal"/>
        <w:rPr/>
      </w:pPr>
      <w:r>
        <w:rPr/>
        <w:t>营业收入增长若主要来自商业化批次，下一季度可能因交付排程变化而有波动；研究服务则可能更平滑但利润率较低。真正可持续增长需要新增早期分子不断补充，开发项目不断前移，商业化项目能够维持采购。某半年突增既可能有长周期成功，也可能有大批次集中交付。本文无法取得客户合同与逐分子收入，因此不将</w:t>
      </w:r>
      <w:r>
        <w:rPr/>
        <w:t>72.7%</w:t>
      </w:r>
      <w:r>
        <w:rPr/>
        <w:t>直接设为未来五年小分子增长率。</w:t>
      </w:r>
    </w:p>
    <w:p>
      <w:pPr>
        <w:pStyle w:val="Normal"/>
        <w:rPr/>
      </w:pPr>
      <w:r>
        <w:rPr/>
        <w:t>公司并未在本报告资料中完整披露每个大客户、每种最终药物和所有合同持续期。外部讨论经常把行业大药名称与供应商关联，但没有可核验合同或明确公司披露时，本章不写成事实。即便服务过某客户，也不能推断所有商业化产量都由药明承担。客户可能有多个工厂、多区域供应商以及内部生产，市场份额和利润需要采购分配验证，不能按药物全球销售机械分成。</w:t>
      </w:r>
    </w:p>
    <w:p>
      <w:pPr>
        <w:pStyle w:val="Heading2"/>
        <w:rPr/>
      </w:pPr>
      <w:r>
        <w:rPr>
          <w:color w:val="000000"/>
        </w:rPr>
        <w:t>分子管线 后期占比与转化比总数更重要</w:t>
      </w:r>
    </w:p>
    <w:p>
      <w:pPr>
        <w:pStyle w:val="Normal"/>
        <w:rPr/>
      </w:pPr>
      <w:r>
        <w:rPr/>
        <w:t>截至六月末，小分子</w:t>
      </w:r>
      <w:r>
        <w:rPr/>
        <w:t>D&amp;M</w:t>
      </w:r>
      <w:r>
        <w:rPr/>
        <w:t>管线</w:t>
      </w:r>
      <w:r>
        <w:rPr/>
        <w:t>3731</w:t>
      </w:r>
      <w:r>
        <w:rPr/>
        <w:t>个，其中商业化</w:t>
      </w:r>
      <w:r>
        <w:rPr/>
        <w:t>95</w:t>
      </w:r>
      <w:r>
        <w:rPr/>
        <w:t>、临床三期</w:t>
      </w:r>
      <w:r>
        <w:rPr/>
        <w:t>94</w:t>
      </w:r>
      <w:r>
        <w:rPr/>
        <w:t>、临床二期</w:t>
      </w:r>
      <w:r>
        <w:rPr/>
        <w:t>394</w:t>
      </w:r>
      <w:r>
        <w:rPr/>
        <w:t>、临床前及一期</w:t>
      </w:r>
      <w:r>
        <w:rPr/>
        <w:t>3148</w:t>
      </w:r>
      <w:r>
        <w:rPr/>
        <w:t>。后期与商业化项目合计</w:t>
      </w:r>
      <w:r>
        <w:rPr/>
        <w:t>189</w:t>
      </w:r>
      <w:r>
        <w:rPr/>
        <w:t>个，仅占总数约</w:t>
      </w:r>
      <w:r>
        <w:rPr/>
        <w:t>5.1%</w:t>
      </w:r>
      <w:r>
        <w:rPr/>
        <w:t>，却可能贡献明显更高收入。管线呈漏斗状符合药物开发常态，早期大多数分子不会最终商业化。服务商可以在早期仍取得费用，因此临床淘汰不等于已服务收入归零，但未来预想商业化生产收益必须按真实迁移修正。</w:t>
      </w:r>
    </w:p>
    <w:p>
      <w:pPr>
        <w:pStyle w:val="Normal"/>
        <w:rPr/>
      </w:pPr>
      <w:r>
        <w:rPr/>
        <w:t>上半年新增小分子</w:t>
      </w:r>
      <w:r>
        <w:rPr/>
        <w:t>D&amp;M</w:t>
      </w:r>
      <w:r>
        <w:rPr/>
        <w:t>项目</w:t>
      </w:r>
      <w:r>
        <w:rPr/>
        <w:t>699</w:t>
      </w:r>
      <w:r>
        <w:rPr/>
        <w:t>个，商业化和三期阶段项目净增加十五个。这比只看总分子数更接近未来制造需求的领先证据。净增加包含转入、晋级、退出与可能转出，不能用十五个乘以当前商业化平均收入直接预测。新三期项目可能临床失败，刚商业化项目可能处于低量导入，成熟项目可能增长或收缩。最有价值的后续披露是后期项目数量、实际放量和分子来源的连续序列。</w:t>
      </w:r>
    </w:p>
    <w:p>
      <w:pPr>
        <w:pStyle w:val="Normal"/>
        <w:rPr/>
      </w:pPr>
      <w:r>
        <w:rPr/>
        <w:t>平台具备多客户组合的优势，但还须观察少数大项目是否主导增量。假设新增商业化项目很多而收入增量集中在两个大订单，名义分散度提高并不意味着实际风险降低。客户保密限制了公开验证，本章没有伪造收入前五大分子集中度。此项缺失应在估值安全边际中体现，尤其</w:t>
      </w:r>
      <w:r>
        <w:rPr/>
        <w:t>H</w:t>
      </w:r>
      <w:r>
        <w:rPr/>
        <w:t>股对同一盈利支付较高价格时，不能用项目总数去抵消无法量化的集中度风险。</w:t>
      </w:r>
    </w:p>
    <w:p>
      <w:pPr>
        <w:pStyle w:val="Normal"/>
        <w:rPr/>
      </w:pPr>
      <w:r>
        <w:rPr/>
        <w:t>项目选择和工艺难度也影响盈利。结构复杂、杂质标准高、生产路线需优化的项目有较高技术价值，简单成熟项目容易价格竞争。新增分子数量如果增加很快但客单价下降，收入和利润可能跟不上；如果组合向后期和复杂化学迁移，即便数量增长放缓仍能提高利润。应结合分子阶段、收入、毛利与交付周期，而不以任一数量指标独立判断经营拐点。</w:t>
      </w:r>
    </w:p>
    <w:p>
      <w:pPr>
        <w:pStyle w:val="Normal"/>
        <w:rPr/>
      </w:pPr>
      <w:r>
        <w:rPr/>
        <w:t>对长期投资者，早期入口持续性非常重要。今天的商业化收入来自过去多年的客户管线积累，如果研发服务因客户迁移、</w:t>
      </w:r>
      <w:r>
        <w:rPr/>
        <w:t>AI</w:t>
      </w:r>
      <w:r>
        <w:rPr/>
        <w:t>替代部分工作或价格战而失去吸引力，短期制造收入仍可能很强，但三到五年后补充不足。应将发现服务看作未来项目的种子，同时检查种子是否形成有效候选和开发订单。只因商业化利润高就压缩所有早期能力，可能损害模式的长期循环。</w:t>
      </w:r>
    </w:p>
    <w:p>
      <w:pPr>
        <w:pStyle w:val="Heading2"/>
        <w:rPr/>
      </w:pPr>
      <w:r>
        <w:rPr>
          <w:color w:val="000000"/>
        </w:rPr>
        <w:t xml:space="preserve">TIDES </w:t>
      </w:r>
      <w:r>
        <w:rPr>
          <w:color w:val="000000"/>
        </w:rPr>
        <w:t>真实高增长 工艺护城河与供给扩张</w:t>
      </w:r>
    </w:p>
    <w:p>
      <w:pPr>
        <w:pStyle w:val="Normal"/>
        <w:rPr/>
      </w:pPr>
      <w:r>
        <w:rPr/>
        <w:t>上半年</w:t>
      </w:r>
      <w:r>
        <w:rPr/>
        <w:t>TIDES</w:t>
      </w:r>
      <w:r>
        <w:rPr/>
        <w:t>收入</w:t>
      </w:r>
      <w:r>
        <w:rPr/>
        <w:t>72.60</w:t>
      </w:r>
      <w:r>
        <w:rPr/>
        <w:t>亿元，同比增长</w:t>
      </w:r>
      <w:r>
        <w:rPr/>
        <w:t>44.3%</w:t>
      </w:r>
      <w:r>
        <w:rPr/>
        <w:t>，管理层预计全年约</w:t>
      </w:r>
      <w:r>
        <w:rPr/>
        <w:t>45%</w:t>
      </w:r>
      <w:r>
        <w:rPr/>
        <w:t>；服务客户数增长</w:t>
      </w:r>
      <w:r>
        <w:rPr/>
        <w:t>39%</w:t>
      </w:r>
      <w:r>
        <w:rPr/>
        <w:t>，分子数增长</w:t>
      </w:r>
      <w:r>
        <w:rPr/>
        <w:t>68%</w:t>
      </w:r>
      <w:r>
        <w:rPr/>
        <w:t>。三项指标方向一致，说明扩张并非只由同一客户单价抬升。分子增速高于收入增速，也可能反映新增项目尚早、单项目收入低或交付时差。它不能直接证明单位价格下降，更不能证明将来收入必定追上</w:t>
      </w:r>
      <w:r>
        <w:rPr/>
        <w:t>68%</w:t>
      </w:r>
      <w:r>
        <w:rPr/>
        <w:t>，需要后期项目和商业化产量进一步验证。</w:t>
      </w:r>
    </w:p>
    <w:p>
      <w:pPr>
        <w:pStyle w:val="Normal"/>
        <w:rPr/>
      </w:pPr>
      <w:r>
        <w:rPr/>
        <w:t>多肽和寡核苷酸生产在合成、纯化、分析方法、杂质控制及大规模一致性上有专业要求。生产更长或复杂分子通常意味着更多步骤和更高失败成本，工艺优化可以降低客户单位制造成本。药明多年化学能力与质量体系可以延伸，但新分子类型并非传统小分子的简单复制。设施、人才、原料供应和分析技术必须同步扩展，增长的资本需求不可只用收入乘利润率忽略。</w:t>
      </w:r>
    </w:p>
    <w:p>
      <w:pPr>
        <w:pStyle w:val="Normal"/>
        <w:rPr/>
      </w:pPr>
      <w:r>
        <w:rPr/>
        <w:t>代谢药物市场扩张为多肽供应带来机会，但制造商的收益受获批品种份额、客户自产、竞争供应商与价格谈判影响。终端患者需求扩大不等于上游供应价格保持不变；当客户为扩大可及性降低价格时，会推动供应链成本下降。拥有高效路线与可靠交付的供应商可能扩大份额，也可能以降价换量。基准模型需要量增转化为正常化利润，乐观模型才允许持续高利用率与技术定价同时存在。</w:t>
      </w:r>
    </w:p>
    <w:p>
      <w:pPr>
        <w:pStyle w:val="Normal"/>
        <w:rPr/>
      </w:pPr>
      <w:r>
        <w:rPr/>
        <w:t>供应扩张会经历建厂、设备安装、验证、客户认证和正式生产，不是宣布资本开支后立即拥有可售产能。行业热门方向同时吸引多个供应商，数年后可能出现供过于求。当前缺口带来的高毛利若被永久外推，会高估远期价值。投资判断应关注新产能爬坡速度、客户实际采购承诺及每单位投入的现金产出，而不能把所有新增反应器或产线视作同等高回报资产。</w:t>
      </w:r>
    </w:p>
    <w:p>
      <w:pPr>
        <w:pStyle w:val="Normal"/>
        <w:rPr/>
      </w:pPr>
      <w:r>
        <w:rPr/>
        <w:t>寡核苷酸与多肽各有不同商业和监管路径，不能统一按某一热门治疗类的增速预测。核酸药的适应症、给药频率、疗效持续时间与商业化患者规模不同；生产需求不仅由患者数，还受剂量、疗程、库存和失败批次影响。多技术平台有利于应对单一路线变化，但也提高设备和人才的复杂性。需要持续检验研发到制造协同究竟产生增量盈利，还是仅扩大收入和资本占用。</w:t>
      </w:r>
    </w:p>
    <w:p>
      <w:pPr>
        <w:pStyle w:val="Heading2"/>
        <w:rPr/>
      </w:pPr>
      <w:r>
        <w:rPr>
          <w:color w:val="000000"/>
        </w:rPr>
        <w:t>测试与生物学 利润改善和引流价值如何判断</w:t>
      </w:r>
    </w:p>
    <w:p>
      <w:pPr>
        <w:pStyle w:val="Normal"/>
        <w:rPr/>
      </w:pPr>
      <w:r>
        <w:rPr/>
        <w:t>测试业务收入</w:t>
      </w:r>
      <w:r>
        <w:rPr/>
        <w:t>24.806</w:t>
      </w:r>
      <w:r>
        <w:rPr/>
        <w:t>亿元、增长</w:t>
      </w:r>
      <w:r>
        <w:rPr/>
        <w:t>31.5%</w:t>
      </w:r>
      <w:r>
        <w:rPr/>
        <w:t>，毛利率</w:t>
      </w:r>
      <w:r>
        <w:rPr/>
        <w:t>37.7%</w:t>
      </w:r>
      <w:r>
        <w:rPr/>
        <w:t>，比上年</w:t>
      </w:r>
      <w:r>
        <w:rPr/>
        <w:t>26.5%</w:t>
      </w:r>
      <w:r>
        <w:rPr/>
        <w:t>明显改善。中报指出安全性评价收入增长</w:t>
      </w:r>
      <w:r>
        <w:rPr/>
        <w:t>42.8%</w:t>
      </w:r>
      <w:r>
        <w:rPr/>
        <w:t>，新分子类型服务收入占比超过</w:t>
      </w:r>
      <w:r>
        <w:rPr/>
        <w:t>35%</w:t>
      </w:r>
      <w:r>
        <w:rPr/>
        <w:t>，精细化运营与差异化能力贡献利润。安全性、代谢与动力学服务与药物开发的重要节点相连，可以加强跨分部关系；仍须遵守研究质量、伦理与监管标准，价格竞争或方法替代也会改变工作量。</w:t>
      </w:r>
    </w:p>
    <w:p>
      <w:pPr>
        <w:pStyle w:val="Normal"/>
        <w:rPr/>
      </w:pPr>
      <w:r>
        <w:rPr/>
        <w:t>测试利润率提升不能全部归因于新增需求，也可能包含成本效率、项目组合和前期低利用率修复。经营成熟后，进一步提升速度会减缓。需要看后续收入增长时毛利率是否稳定、人员与设备是否过度扩张。测试是小于化学的分部，即使增长很快也不宜独立承担集团估值大幅重估；其价值更可能是改善组合质量、服务新技术客户并减少客户转移时的交接成本。</w:t>
      </w:r>
    </w:p>
    <w:p>
      <w:pPr>
        <w:pStyle w:val="Normal"/>
        <w:rPr/>
      </w:pPr>
      <w:r>
        <w:rPr/>
        <w:t>生物学收入</w:t>
      </w:r>
      <w:r>
        <w:rPr/>
        <w:t>13.919</w:t>
      </w:r>
      <w:r>
        <w:rPr/>
        <w:t>亿元、增长</w:t>
      </w:r>
      <w:r>
        <w:rPr/>
        <w:t>11.2%</w:t>
      </w:r>
      <w:r>
        <w:rPr/>
        <w:t>，毛利率</w:t>
      </w:r>
      <w:r>
        <w:rPr/>
        <w:t>34.7%</w:t>
      </w:r>
      <w:r>
        <w:rPr/>
        <w:t>，与上年</w:t>
      </w:r>
      <w:r>
        <w:rPr/>
        <w:t>34.8%</w:t>
      </w:r>
      <w:r>
        <w:rPr/>
        <w:t>大体持平，受汇率波动与动态定价影响。它更接近早期研发和平台入口，增速明显低于开发制造。公司强增长没有均匀发生在每个环节，这既提示组合成熟，也提示早期需求尚不能按制造景气解读。若生物学连续停滞，应检查融资环境、技术替代和客户服务选择，不能因为集团利润好就忽视入口。</w:t>
      </w:r>
    </w:p>
    <w:p>
      <w:pPr>
        <w:pStyle w:val="Normal"/>
        <w:rPr/>
      </w:pPr>
      <w:r>
        <w:rPr/>
        <w:t>AI</w:t>
      </w:r>
      <w:r>
        <w:rPr/>
        <w:t>可提高靶点识别、分子设计与资料分析效率，减少部分传统实验或改变实验组织方式，但预测结果仍需实验验证、药性安全评价与符合质量要求的生产。药明若有效采用自动化与</w:t>
      </w:r>
      <w:r>
        <w:rPr/>
        <w:t>AI</w:t>
      </w:r>
      <w:r>
        <w:rPr/>
        <w:t>，可缩短交付并提高人员效率；如果竞争者同样采用，节约可能通过降价让渡客户。长期估值不能预设</w:t>
      </w:r>
      <w:r>
        <w:rPr/>
        <w:t>AI</w:t>
      </w:r>
      <w:r>
        <w:rPr/>
        <w:t>全部利好或全部替代，而要看单位服务价格、可交付项目量和技术转化成本的净变化。</w:t>
      </w:r>
    </w:p>
    <w:p>
      <w:pPr>
        <w:pStyle w:val="Normal"/>
        <w:rPr/>
      </w:pPr>
      <w:r>
        <w:rPr/>
        <w:t>生物学和测试的共用平台具有交叉销售机会，也需避免组织协同只停留在口号。客户从一个分部进入另一个分部需要真实服务质量、时间协调和合同合理性。管理者如果要求客户全链条采购而降低灵活性，可能反而促使客户寻找专业供应商。公司竞争力在于提供方便且可靠的选择，长期定价权来自更好的项目结果与工程效率，不能由“一站式”名称自动推导。</w:t>
      </w:r>
    </w:p>
    <w:p>
      <w:pPr>
        <w:pStyle w:val="Heading2"/>
        <w:rPr/>
      </w:pPr>
      <w:r>
        <w:rPr>
          <w:color w:val="000000"/>
        </w:rPr>
        <w:t>在手订单 合同负债与现金回款</w:t>
      </w:r>
    </w:p>
    <w:p>
      <w:pPr>
        <w:pStyle w:val="Normal"/>
        <w:rPr/>
      </w:pPr>
      <w:r>
        <w:rPr/>
        <w:t>六月末持续经营在手订单</w:t>
      </w:r>
      <w:r>
        <w:rPr/>
        <w:t>664.30</w:t>
      </w:r>
      <w:r>
        <w:rPr/>
        <w:t>亿元，同比增长</w:t>
      </w:r>
      <w:r>
        <w:rPr/>
        <w:t>25.2%</w:t>
      </w:r>
      <w:r>
        <w:rPr/>
        <w:t>，相当于当前全年收入指引中值约</w:t>
      </w:r>
      <w:r>
        <w:rPr/>
        <w:t>595</w:t>
      </w:r>
      <w:r>
        <w:rPr/>
        <w:t>亿元的</w:t>
      </w:r>
      <w:r>
        <w:rPr/>
        <w:t>1.12</w:t>
      </w:r>
      <w:r>
        <w:rPr/>
        <w:t>倍。这个比值有助判断订单规模，却不是一整年收入保底：在手订单可跨多个年份，包含阶段交付和客户调整，定义与取消条款未完整公开。收入增长</w:t>
      </w:r>
      <w:r>
        <w:rPr/>
        <w:t>48%</w:t>
      </w:r>
      <w:r>
        <w:rPr/>
        <w:t>高于订单存量增速</w:t>
      </w:r>
      <w:r>
        <w:rPr/>
        <w:t>25.2%</w:t>
      </w:r>
      <w:r>
        <w:rPr/>
        <w:t>，可能反映加快转化或基数差异，需要观察后续新增订单能否补充消耗，而非只比较两个百分数大小。</w:t>
      </w:r>
    </w:p>
    <w:p>
      <w:pPr>
        <w:pStyle w:val="Normal"/>
        <w:rPr/>
      </w:pPr>
      <w:r>
        <w:rPr/>
        <w:t>合同负债从</w:t>
      </w:r>
      <w:r>
        <w:rPr/>
        <w:t>27.092</w:t>
      </w:r>
      <w:r>
        <w:rPr/>
        <w:t>亿元增至</w:t>
      </w:r>
      <w:r>
        <w:rPr/>
        <w:t>37.544</w:t>
      </w:r>
      <w:r>
        <w:rPr/>
        <w:t>亿元，体现部分客户预付和交付安排，能改善营运资金。它仍是需要履行服务的负债，不能当作无成本自由现金。预收增加如果来自未来复杂项目，公司需要备料、人员和设施投入；如果交付失败，可能退款或补偿。把合同负债全部加到净现金估值会重复计算业务营运资金，在本文盈利倍数模型中不额外增加目标价。</w:t>
      </w:r>
    </w:p>
    <w:p>
      <w:pPr>
        <w:pStyle w:val="Normal"/>
        <w:rPr/>
      </w:pPr>
      <w:r>
        <w:rPr/>
        <w:t>应收账款净额约</w:t>
      </w:r>
      <w:r>
        <w:rPr/>
        <w:t>103.31</w:t>
      </w:r>
      <w:r>
        <w:rPr/>
        <w:t>亿元，比年末</w:t>
      </w:r>
      <w:r>
        <w:rPr/>
        <w:t>71.20</w:t>
      </w:r>
      <w:r>
        <w:rPr/>
        <w:t>亿元增长约</w:t>
      </w:r>
      <w:r>
        <w:rPr/>
        <w:t>45.1%</w:t>
      </w:r>
      <w:r>
        <w:rPr/>
        <w:t>；存货</w:t>
      </w:r>
      <w:r>
        <w:rPr/>
        <w:t>87.98</w:t>
      </w:r>
      <w:r>
        <w:rPr/>
        <w:t>亿元，比</w:t>
      </w:r>
      <w:r>
        <w:rPr/>
        <w:t>69.23</w:t>
      </w:r>
      <w:r>
        <w:rPr/>
        <w:t>亿元增长约</w:t>
      </w:r>
      <w:r>
        <w:rPr/>
        <w:t>27.1%</w:t>
      </w:r>
      <w:r>
        <w:rPr/>
        <w:t>。收入增长</w:t>
      </w:r>
      <w:r>
        <w:rPr/>
        <w:t>48%</w:t>
      </w:r>
      <w:r>
        <w:rPr/>
        <w:t>是同比，而资产是与上一年末比较，两者期间不同，不能据此严格判断回款天数改善或恶化。它们显示扩大业务需要营运资本，后续应结合平均余额、信用期和可比销售计算周转。没有逐季完整数据时，本章不给出伪精确的全年应收天数。</w:t>
      </w:r>
    </w:p>
    <w:p>
      <w:pPr>
        <w:pStyle w:val="Normal"/>
        <w:rPr/>
      </w:pPr>
      <w:r>
        <w:rPr/>
        <w:t>信用损失拨备应从客户质量、融资能力和项目持续性分析。中报当期信用减值损失减少，并不等于所有客户风险下降，也可能因上期特殊计提及参数变化。早期生物科技客户资金紧张，服务商可能有账款或项目终止风险；大型客户通常更有资金，但议价和供应商多元化更强。订单质量需要合同、收款和客户研发预算共同验证，不能由单个累计订单指标替代。</w:t>
      </w:r>
    </w:p>
    <w:p>
      <w:pPr>
        <w:pStyle w:val="Normal"/>
        <w:rPr/>
      </w:pPr>
      <w:r>
        <w:rPr/>
        <w:t>客户取消与延迟还会影响库存和专用设施。通用设备能转给其他项目，专用路线或特定客户验证能力则难以迅速复用。公司越向复杂商业化制造扩张，质量与交付关系越稳，但特定资产投入也可能越大。投资者应检查减值、闲置资产、库存结构及新产能承诺，判断产能是否能够在订单变化后灵活调整。平台广度是缓冲条件，不是绝对保险。</w:t>
      </w:r>
    </w:p>
    <w:p>
      <w:pPr>
        <w:pStyle w:val="Heading2"/>
        <w:rPr/>
      </w:pPr>
      <w:r>
        <w:rPr>
          <w:color w:val="000000"/>
        </w:rPr>
        <w:t>利润质量 三套口径的差别必须显式保留</w:t>
      </w:r>
    </w:p>
    <w:p>
      <w:pPr>
        <w:pStyle w:val="Normal"/>
        <w:rPr/>
      </w:pPr>
      <w:r>
        <w:rPr/>
        <w:t>上半年报告归母利润</w:t>
      </w:r>
      <w:r>
        <w:rPr/>
        <w:t>110.802</w:t>
      </w:r>
      <w:r>
        <w:rPr/>
        <w:t>亿元，增长</w:t>
      </w:r>
      <w:r>
        <w:rPr/>
        <w:t>33.7%</w:t>
      </w:r>
      <w:r>
        <w:rPr/>
        <w:t>，经调整归母利润</w:t>
      </w:r>
      <w:r>
        <w:rPr/>
        <w:t>115.705</w:t>
      </w:r>
      <w:r>
        <w:rPr/>
        <w:t>亿元，增长</w:t>
      </w:r>
      <w:r>
        <w:rPr/>
        <w:t>83.2%</w:t>
      </w:r>
      <w:r>
        <w:rPr/>
        <w:t>。大差异主要与上年投资处置收益和两年的调整项有关，不代表当年真实现金利润一定增长</w:t>
      </w:r>
      <w:r>
        <w:rPr/>
        <w:t>83.2%</w:t>
      </w:r>
      <w:r>
        <w:rPr/>
        <w:t>。报告归母净利率</w:t>
      </w:r>
      <w:r>
        <w:rPr/>
        <w:t>38.3%</w:t>
      </w:r>
      <w:r>
        <w:rPr/>
        <w:t>，经调整</w:t>
      </w:r>
      <w:r>
        <w:rPr/>
        <w:t>40.0%</w:t>
      </w:r>
      <w:r>
        <w:rPr/>
        <w:t>，均较高，反映制造组合和利用率，也含调整判断。市场常用经调整利润估值，本章沿用正常化口径但解释桥接，不把它自动当成股东可分配现金。</w:t>
      </w:r>
    </w:p>
    <w:p>
      <w:pPr>
        <w:pStyle w:val="Normal"/>
        <w:rPr/>
      </w:pPr>
      <w:r>
        <w:rPr/>
        <w:t>财报第</w:t>
      </w:r>
      <w:r>
        <w:rPr/>
        <w:t>16</w:t>
      </w:r>
      <w:r>
        <w:rPr/>
        <w:t>页桥接从</w:t>
      </w:r>
      <w:r>
        <w:rPr/>
        <w:t>110.802</w:t>
      </w:r>
      <w:r>
        <w:rPr/>
        <w:t>亿元开始，加股权激励</w:t>
      </w:r>
      <w:r>
        <w:rPr/>
        <w:t>2.748</w:t>
      </w:r>
      <w:r>
        <w:rPr/>
        <w:t>亿元、可转债发行成本</w:t>
      </w:r>
      <w:r>
        <w:rPr/>
        <w:t>0.057</w:t>
      </w:r>
      <w:r>
        <w:rPr/>
        <w:t>亿元、汇率波动损失</w:t>
      </w:r>
      <w:r>
        <w:rPr/>
        <w:t>5.691</w:t>
      </w:r>
      <w:r>
        <w:rPr/>
        <w:t>亿元、收购无形资产摊销</w:t>
      </w:r>
      <w:r>
        <w:rPr/>
        <w:t>0.105</w:t>
      </w:r>
      <w:r>
        <w:rPr/>
        <w:t>亿元，减出售重组相关净收益</w:t>
      </w:r>
      <w:r>
        <w:rPr/>
        <w:t>0.332</w:t>
      </w:r>
      <w:r>
        <w:rPr/>
        <w:t>亿元，得到非国际财报准则利润</w:t>
      </w:r>
      <w:r>
        <w:rPr/>
        <w:t>119.070</w:t>
      </w:r>
      <w:r>
        <w:rPr/>
        <w:t>亿元；再减权益类资本投资收益</w:t>
      </w:r>
      <w:r>
        <w:rPr/>
        <w:t>3.367</w:t>
      </w:r>
      <w:r>
        <w:rPr/>
        <w:t>亿元、加合营企业亏损</w:t>
      </w:r>
      <w:r>
        <w:rPr/>
        <w:t>0.002</w:t>
      </w:r>
      <w:r>
        <w:rPr/>
        <w:t>亿元，得到</w:t>
      </w:r>
      <w:r>
        <w:rPr/>
        <w:t>115.705</w:t>
      </w:r>
      <w:r>
        <w:rPr/>
        <w:t>亿元。上述加减与报告四舍五入一致，不能只剔除亏损而保留收益。</w:t>
      </w:r>
    </w:p>
    <w:p>
      <w:pPr>
        <w:pStyle w:val="Normal"/>
        <w:rPr/>
      </w:pPr>
      <w:r>
        <w:rPr/>
        <w:t>股份支付虽然可能不在当期现金流中流出，但代表员工获得股东经济权益或公司需要在市场购买股份。长期常年依赖激励留人时，它是经营经济成本，不能永久视为完全无关。正常化利润高于报告利润的部分需要用每股稀释、回购资金和未来现金薪酬交叉检验。如果调整项逐年扩大，而真实每股现金收益停滞，应降低估值倍数，而非继续按更漂亮的经调整增速评分。</w:t>
      </w:r>
    </w:p>
    <w:p>
      <w:pPr>
        <w:pStyle w:val="Normal"/>
        <w:rPr/>
      </w:pPr>
      <w:r>
        <w:rPr/>
        <w:t>汇兑损益受客户收款、外币现金、融资货币与套保影响。剔除它有助观察固定汇率经营，但股东最终确实承受汇率结果。公司中报还给出恒定汇率调整指标，本文不把恒定汇率毛利率当成真实报告利润率。在长期模型中，汇率均衡假设可以帮助比较运营，仍须做港币人民币敏感性，并检查外币现金与债务匹配是否减少尾部风险。</w:t>
      </w:r>
    </w:p>
    <w:p>
      <w:pPr>
        <w:pStyle w:val="Normal"/>
        <w:rPr/>
      </w:pPr>
      <w:r>
        <w:rPr/>
        <w:t>2025</w:t>
      </w:r>
      <w:r>
        <w:rPr/>
        <w:t>上半年出售药明合联相关权益带来</w:t>
      </w:r>
      <w:r>
        <w:rPr/>
        <w:t>29.333</w:t>
      </w:r>
      <w:r>
        <w:rPr/>
        <w:t>亿元收益，本年上半年无同类事项，报告利润同比受此影响。</w:t>
      </w:r>
      <w:r>
        <w:rPr/>
        <w:t>2026</w:t>
      </w:r>
      <w:r>
        <w:rPr/>
        <w:t>后续处置的新闻又会抬升当年</w:t>
      </w:r>
      <w:r>
        <w:rPr/>
        <w:t>EPS</w:t>
      </w:r>
      <w:r>
        <w:rPr/>
        <w:t>；摩根士丹利公开转述提到约</w:t>
      </w:r>
      <w:r>
        <w:rPr/>
        <w:t>31</w:t>
      </w:r>
      <w:r>
        <w:rPr/>
        <w:t>亿元处置收益使当年</w:t>
      </w:r>
      <w:r>
        <w:rPr/>
        <w:t>EPS</w:t>
      </w:r>
      <w:r>
        <w:rPr/>
        <w:t>上调，但次年以后调整幅度较小。将处置收益每年重复、同时又把资产价值加到目标价，会双重高估。本文正常化</w:t>
      </w:r>
      <w:r>
        <w:rPr/>
        <w:t>EPS</w:t>
      </w:r>
      <w:r>
        <w:rPr/>
        <w:t>不把这些收益年年续存，现金实现与使用另行观察。</w:t>
      </w:r>
    </w:p>
    <w:p>
      <w:pPr>
        <w:pStyle w:val="Normal"/>
        <w:rPr/>
      </w:pPr>
      <w:r>
        <w:rPr/>
        <w:t>集团毛利率</w:t>
      </w:r>
      <w:r>
        <w:rPr/>
        <w:t>53.2%</w:t>
      </w:r>
      <w:r>
        <w:rPr/>
        <w:t>，比整体上年</w:t>
      </w:r>
      <w:r>
        <w:rPr/>
        <w:t>43.8%</w:t>
      </w:r>
      <w:r>
        <w:rPr/>
        <w:t>高</w:t>
      </w:r>
      <w:r>
        <w:rPr/>
        <w:t>9.4</w:t>
      </w:r>
      <w:r>
        <w:rPr/>
        <w:t>个百分点；持续经营上年为</w:t>
      </w:r>
      <w:r>
        <w:rPr/>
        <w:t>45.5%</w:t>
      </w:r>
      <w:r>
        <w:rPr/>
        <w:t>，可比提升</w:t>
      </w:r>
      <w:r>
        <w:rPr/>
        <w:t>7.7</w:t>
      </w:r>
      <w:r>
        <w:rPr/>
        <w:t>个百分点，两种口径不要混用。化学</w:t>
      </w:r>
      <w:r>
        <w:rPr/>
        <w:t>55.8%</w:t>
      </w:r>
      <w:r>
        <w:rPr/>
        <w:t>，上年</w:t>
      </w:r>
      <w:r>
        <w:rPr/>
        <w:t>48.3%</w:t>
      </w:r>
      <w:r>
        <w:rPr/>
        <w:t>，后期与商业化项目、工艺和产能效率是主要原因。测试改善更多，生物学持平。乐观估值要求高利润率有经营基础，基准则允许新产能投产、客户价格谈判和组合变化使改善速度放缓。</w:t>
      </w:r>
    </w:p>
    <w:p>
      <w:pPr>
        <w:pStyle w:val="Heading2"/>
        <w:rPr/>
      </w:pPr>
      <w:r>
        <w:rPr>
          <w:color w:val="000000"/>
        </w:rPr>
        <w:t>现金流 原始自由现金与经调整数字分开</w:t>
      </w:r>
    </w:p>
    <w:p>
      <w:pPr>
        <w:pStyle w:val="Normal"/>
        <w:rPr/>
      </w:pPr>
      <w:r>
        <w:rPr/>
        <w:t>财务现金流原表经营净现金流</w:t>
      </w:r>
      <w:r>
        <w:rPr/>
        <w:t>93.11038</w:t>
      </w:r>
      <w:r>
        <w:rPr/>
        <w:t>亿元，实际购建物业厂房设备</w:t>
      </w:r>
      <w:r>
        <w:rPr/>
        <w:t>29.61559</w:t>
      </w:r>
      <w:r>
        <w:rPr/>
        <w:t>亿元，两者相减为</w:t>
      </w:r>
      <w:r>
        <w:rPr/>
        <w:t>63.49479</w:t>
      </w:r>
      <w:r>
        <w:rPr/>
        <w:t>亿元，公司概述四舍五入</w:t>
      </w:r>
      <w:r>
        <w:rPr/>
        <w:t>63.495</w:t>
      </w:r>
      <w:r>
        <w:rPr/>
        <w:t>亿元。经调整自由现金流</w:t>
      </w:r>
      <w:r>
        <w:rPr/>
        <w:t>70.209</w:t>
      </w:r>
      <w:r>
        <w:rPr/>
        <w:t>亿元额外加回重大出售相关税款约</w:t>
      </w:r>
      <w:r>
        <w:rPr/>
        <w:t>6.715</w:t>
      </w:r>
      <w:r>
        <w:rPr/>
        <w:t>亿元，原表调整数按百万元显示。税款是真实已支付现金，加回是为了观察核心经营可比性，不能宣称</w:t>
      </w:r>
      <w:r>
        <w:rPr/>
        <w:t>70.209</w:t>
      </w:r>
      <w:r>
        <w:rPr/>
        <w:t>亿元全部仍在账上或者全部可用于普通分红。</w:t>
      </w:r>
    </w:p>
    <w:p>
      <w:pPr>
        <w:pStyle w:val="Normal"/>
        <w:rPr/>
      </w:pPr>
      <w:r>
        <w:rPr/>
        <w:t>经营现金流同比增长</w:t>
      </w:r>
      <w:r>
        <w:rPr/>
        <w:t>31.8%</w:t>
      </w:r>
      <w:r>
        <w:rPr/>
        <w:t>，低于经调整利润</w:t>
      </w:r>
      <w:r>
        <w:rPr/>
        <w:t>83.2%</w:t>
      </w:r>
      <w:r>
        <w:rPr/>
        <w:t>的增长。现金与利润时点不同，营运资金增加也可能是扩张的合理代价；但它是检验利润质量的重要差异。经营净现金约为报告归母利润</w:t>
      </w:r>
      <w:r>
        <w:rPr/>
        <w:t>84.0%</w:t>
      </w:r>
      <w:r>
        <w:rPr/>
        <w:t>，约为经调整归母利润</w:t>
      </w:r>
      <w:r>
        <w:rPr/>
        <w:t>80.5%</w:t>
      </w:r>
      <w:r>
        <w:rPr/>
        <w:t>，上半年并非所有账面盈利即刻收现。需要看全年回款和项目季节性，不能因为经营现金仍很大就完全忽略转换比例。</w:t>
      </w:r>
    </w:p>
    <w:p>
      <w:pPr>
        <w:pStyle w:val="Normal"/>
        <w:rPr/>
      </w:pPr>
      <w:r>
        <w:rPr/>
        <w:t>资本支出需区分现金支付、当期新增固定资产与未来承诺。附注披露购入物业厂房设备约</w:t>
      </w:r>
      <w:r>
        <w:rPr/>
        <w:t>35.324</w:t>
      </w:r>
      <w:r>
        <w:rPr/>
        <w:t>亿元，而现金流支付</w:t>
      </w:r>
      <w:r>
        <w:rPr/>
        <w:t>29.616</w:t>
      </w:r>
      <w:r>
        <w:rPr/>
        <w:t>亿元，差别可来自应付款和交付时点。以现金流算自由现金只能扣当期实际支付；判断未来产能与折旧还须看资产增加和未完成工程。把资产新增与现金支付同时全部扣除，会重复削减；只看现金支付又可能低估未来付款压力。</w:t>
      </w:r>
    </w:p>
    <w:p>
      <w:pPr>
        <w:pStyle w:val="Normal"/>
        <w:rPr/>
      </w:pPr>
      <w:r>
        <w:rPr/>
        <w:t>投资活动净流出</w:t>
      </w:r>
      <w:r>
        <w:rPr/>
        <w:t>104.675</w:t>
      </w:r>
      <w:r>
        <w:rPr/>
        <w:t>亿元主要包含理财配置、定期存款变化与上年处置流入减少，不是全部扩产支出。现金流列示购买金融资产</w:t>
      </w:r>
      <w:r>
        <w:rPr/>
        <w:t>166.348</w:t>
      </w:r>
      <w:r>
        <w:rPr/>
        <w:t>亿元、处置回收</w:t>
      </w:r>
      <w:r>
        <w:rPr/>
        <w:t>114.617</w:t>
      </w:r>
      <w:r>
        <w:rPr/>
        <w:t>亿元，还有定期存款购买与赎回。这些资金转为其他资产会改变可立即动用现金，却未必代表经营亏损。研究应检查产品期限、信用、流动性和本金风险，而不能把投资净流出自动定义为主营现金消耗。</w:t>
      </w:r>
    </w:p>
    <w:p>
      <w:pPr>
        <w:pStyle w:val="Normal"/>
        <w:rPr/>
      </w:pPr>
      <w:r>
        <w:rPr/>
        <w:t>上半年支付股息</w:t>
      </w:r>
      <w:r>
        <w:rPr/>
        <w:t>47.12158</w:t>
      </w:r>
      <w:r>
        <w:rPr/>
        <w:t>亿元、</w:t>
      </w:r>
      <w:r>
        <w:rPr/>
        <w:t>A/H</w:t>
      </w:r>
      <w:r>
        <w:rPr/>
        <w:t>回购</w:t>
      </w:r>
      <w:r>
        <w:rPr/>
        <w:t>31.60753</w:t>
      </w:r>
      <w:r>
        <w:rPr/>
        <w:t>亿元，合计</w:t>
      </w:r>
      <w:r>
        <w:rPr/>
        <w:t>78.72911</w:t>
      </w:r>
      <w:r>
        <w:rPr/>
        <w:t>亿元，超过原始自由现金</w:t>
      </w:r>
      <w:r>
        <w:rPr/>
        <w:t>63.49479</w:t>
      </w:r>
      <w:r>
        <w:rPr/>
        <w:t>亿元。同期发行可转债净流入</w:t>
      </w:r>
      <w:r>
        <w:rPr/>
        <w:t>69.44452</w:t>
      </w:r>
      <w:r>
        <w:rPr/>
        <w:t>亿元，帮助抵消筹资流出。公司可以通过存量现金和资本安排平衡，但这说明高分红回购不全由同期自由现金覆盖。长期资本纪律要求经营现金持续支撑股东回报和必要扩产，不能只把大额派息当作财务质量单向利好。</w:t>
      </w:r>
    </w:p>
    <w:p>
      <w:pPr>
        <w:pStyle w:val="Normal"/>
        <w:rPr/>
      </w:pPr>
      <w:r>
        <w:rPr/>
        <w:t>财报</w:t>
      </w:r>
      <w:r>
        <w:rPr/>
        <w:t>2025</w:t>
      </w:r>
      <w:r>
        <w:rPr/>
        <w:t>年度末期每股分红</w:t>
      </w:r>
      <w:r>
        <w:rPr/>
        <w:t>1.57927</w:t>
      </w:r>
      <w:r>
        <w:rPr/>
        <w:t>元已在上半年支付，</w:t>
      </w:r>
      <w:r>
        <w:rPr/>
        <w:t>2026</w:t>
      </w:r>
      <w:r>
        <w:rPr/>
        <w:t>中期每股</w:t>
      </w:r>
      <w:r>
        <w:rPr/>
        <w:t>0.51</w:t>
      </w:r>
      <w:r>
        <w:rPr/>
        <w:t>元计划不迟于</w:t>
      </w:r>
      <w:r>
        <w:rPr/>
        <w:t>9</w:t>
      </w:r>
      <w:r>
        <w:rPr/>
        <w:t>月</w:t>
      </w:r>
      <w:r>
        <w:rPr/>
        <w:t>4</w:t>
      </w:r>
      <w:r>
        <w:rPr/>
        <w:t>日支付，均早于本研究起点，不能再计入</w:t>
      </w:r>
      <w:r>
        <w:rPr/>
        <w:t>10</w:t>
      </w:r>
      <w:r>
        <w:rPr/>
        <w:t>月</w:t>
      </w:r>
      <w:r>
        <w:rPr/>
        <w:t>9</w:t>
      </w:r>
      <w:r>
        <w:rPr/>
        <w:t>日后的总回报。本模型半年与年底分红暂设零，属于未取得新增已宣派安排后的审慎预测，一年起采用未来分红假设。远期累计分红与目标价分别计算，不把过去到账股息当作现在买入可获得收益。</w:t>
      </w:r>
    </w:p>
    <w:p>
      <w:pPr>
        <w:pStyle w:val="Heading2"/>
        <w:rPr/>
      </w:pPr>
      <w:r>
        <w:rPr>
          <w:color w:val="000000"/>
        </w:rPr>
        <w:t>资本结构 可转债和股权激励</w:t>
      </w:r>
    </w:p>
    <w:p>
      <w:pPr>
        <w:pStyle w:val="Normal"/>
        <w:rPr/>
      </w:pPr>
      <w:r>
        <w:rPr/>
        <w:t>六月末现金及银行余额约</w:t>
      </w:r>
      <w:r>
        <w:rPr/>
        <w:t>269.536</w:t>
      </w:r>
      <w:r>
        <w:rPr/>
        <w:t>亿元、银行债务</w:t>
      </w:r>
      <w:r>
        <w:rPr/>
        <w:t>79.812</w:t>
      </w:r>
      <w:r>
        <w:rPr/>
        <w:t>亿元，单看二者差额有较大净现金缓冲，但公司另有可转债、租赁及其他负债。总负债</w:t>
      </w:r>
      <w:r>
        <w:rPr/>
        <w:t>323.786</w:t>
      </w:r>
      <w:r>
        <w:rPr/>
        <w:t>亿元，资产负债率</w:t>
      </w:r>
      <w:r>
        <w:rPr/>
        <w:t>27.8%</w:t>
      </w:r>
      <w:r>
        <w:rPr/>
        <w:t>，高于年末</w:t>
      </w:r>
      <w:r>
        <w:rPr/>
        <w:t>22.2%</w:t>
      </w:r>
      <w:r>
        <w:rPr/>
        <w:t>，主要受新融资与业务扩张影响。总负债包括应付和预收，与有息债务概念不同；净现金必须明确范围，不能将现金减银行债务后宣称公司完全没有偿债压力。</w:t>
      </w:r>
    </w:p>
    <w:p>
      <w:pPr>
        <w:pStyle w:val="Normal"/>
        <w:rPr/>
      </w:pPr>
      <w:r>
        <w:rPr/>
        <w:t>原中报第</w:t>
      </w:r>
      <w:r>
        <w:rPr/>
        <w:t>33</w:t>
      </w:r>
      <w:r>
        <w:rPr/>
        <w:t>至</w:t>
      </w:r>
      <w:r>
        <w:rPr/>
        <w:t>34</w:t>
      </w:r>
      <w:r>
        <w:rPr/>
        <w:t>页披露</w:t>
      </w:r>
      <w:r>
        <w:rPr/>
        <w:t>2027</w:t>
      </w:r>
      <w:r>
        <w:rPr/>
        <w:t>年到期可转债，本金人民币</w:t>
      </w:r>
      <w:r>
        <w:rPr/>
        <w:t>67.80</w:t>
      </w:r>
      <w:r>
        <w:rPr/>
        <w:t>亿元、美元结算、零票息，初始每</w:t>
      </w:r>
      <w:r>
        <w:rPr/>
        <w:t>H</w:t>
      </w:r>
      <w:r>
        <w:rPr/>
        <w:t>股</w:t>
      </w:r>
      <w:r>
        <w:rPr/>
        <w:t>153</w:t>
      </w:r>
      <w:r>
        <w:rPr/>
        <w:t>港元，</w:t>
      </w:r>
      <w:r>
        <w:rPr/>
        <w:t>2026</w:t>
      </w:r>
      <w:r>
        <w:rPr/>
        <w:t>年</w:t>
      </w:r>
      <w:r>
        <w:rPr/>
        <w:t>5</w:t>
      </w:r>
      <w:r>
        <w:rPr/>
        <w:t>月</w:t>
      </w:r>
      <w:r>
        <w:rPr/>
        <w:t>21</w:t>
      </w:r>
      <w:r>
        <w:rPr/>
        <w:t>日发行。按初始价全部转股约</w:t>
      </w:r>
      <w:r>
        <w:rPr/>
        <w:t>5114.70</w:t>
      </w:r>
      <w:r>
        <w:rPr/>
        <w:t>万</w:t>
      </w:r>
      <w:r>
        <w:rPr/>
        <w:t>H</w:t>
      </w:r>
      <w:r>
        <w:rPr/>
        <w:t>股，中报时占已发行总股数约</w:t>
      </w:r>
      <w:r>
        <w:rPr/>
        <w:t>1.71%</w:t>
      </w:r>
      <w:r>
        <w:rPr/>
        <w:t>，占</w:t>
      </w:r>
      <w:r>
        <w:rPr/>
        <w:t>H</w:t>
      </w:r>
      <w:r>
        <w:rPr/>
        <w:t>股约</w:t>
      </w:r>
      <w:r>
        <w:rPr/>
        <w:t>10.02%</w:t>
      </w:r>
      <w:r>
        <w:rPr/>
        <w:t>；截至六月末尚未转。当前</w:t>
      </w:r>
      <w:r>
        <w:rPr/>
        <w:t>H</w:t>
      </w:r>
      <w:r>
        <w:rPr/>
        <w:t>股</w:t>
      </w:r>
      <w:r>
        <w:rPr/>
        <w:t>208</w:t>
      </w:r>
      <w:r>
        <w:rPr/>
        <w:t>港元高于初始价，经济上增加转股吸引力，但实际转换还取决于合约调整、持有人选择和后续行动，本文没有将中报未转状态延伸至十月。</w:t>
      </w:r>
    </w:p>
    <w:p>
      <w:pPr>
        <w:pStyle w:val="Normal"/>
        <w:rPr/>
      </w:pPr>
      <w:r>
        <w:rPr/>
        <w:t>零票息不代表无成本。债券可以存在发行折溢价、费用、赎回结算和会计实际利息；中报负债部分约</w:t>
      </w:r>
      <w:r>
        <w:rPr/>
        <w:t>65.858</w:t>
      </w:r>
      <w:r>
        <w:rPr/>
        <w:t>亿元，换股权另列权益，不能用本金去替换所有会计余额。若转股，公司减少债务但增加股份；若不转，需准备偿还现金。盈利预测与每股价值应同步处理债务和稀释，不能在乐观情景剔除债务又保持永远不变股数，把两种好处同时占用。</w:t>
      </w:r>
    </w:p>
    <w:p>
      <w:pPr>
        <w:pStyle w:val="Normal"/>
        <w:rPr/>
      </w:pPr>
      <w:r>
        <w:rPr/>
        <w:t>中报已发行总股数</w:t>
      </w:r>
      <w:r>
        <w:rPr/>
        <w:t>29.83757155</w:t>
      </w:r>
      <w:r>
        <w:rPr/>
        <w:t>亿，其中</w:t>
      </w:r>
      <w:r>
        <w:rPr/>
        <w:t>A</w:t>
      </w:r>
      <w:r>
        <w:rPr/>
        <w:t>股</w:t>
      </w:r>
      <w:r>
        <w:rPr/>
        <w:t>24.73280246</w:t>
      </w:r>
      <w:r>
        <w:rPr/>
        <w:t>亿、</w:t>
      </w:r>
      <w:r>
        <w:rPr/>
        <w:t>H</w:t>
      </w:r>
      <w:r>
        <w:rPr/>
        <w:t>股</w:t>
      </w:r>
      <w:r>
        <w:rPr/>
        <w:t>5.10476909</w:t>
      </w:r>
      <w:r>
        <w:rPr/>
        <w:t>亿；基本加权平均</w:t>
      </w:r>
      <w:r>
        <w:rPr/>
        <w:t>29.16386</w:t>
      </w:r>
      <w:r>
        <w:rPr/>
        <w:t>亿，稀释加权</w:t>
      </w:r>
      <w:r>
        <w:rPr/>
        <w:t>29.49022</w:t>
      </w:r>
      <w:r>
        <w:rPr/>
        <w:t>亿。三者目的不同，期末股数用于权益和当前资本结构，加权股数用于半年每股盈利，潜在稀释用于未来每股。本文用</w:t>
      </w:r>
      <w:r>
        <w:rPr/>
        <w:t>29.49022</w:t>
      </w:r>
      <w:r>
        <w:rPr/>
        <w:t>亿说明情景</w:t>
      </w:r>
      <w:r>
        <w:rPr/>
        <w:t>EPS</w:t>
      </w:r>
      <w:r>
        <w:rPr/>
        <w:t>对应利润规模，并不是断言未来固定股数。行情提供的较新股数字段互有差异，需以截止日前交易所月报与转换公告补核后更新。</w:t>
      </w:r>
    </w:p>
    <w:p>
      <w:pPr>
        <w:pStyle w:val="Normal"/>
        <w:rPr/>
      </w:pPr>
      <w:r>
        <w:rPr/>
        <w:t>上半年</w:t>
      </w:r>
      <w:r>
        <w:rPr/>
        <w:t>A</w:t>
      </w:r>
      <w:r>
        <w:rPr/>
        <w:t>股回购</w:t>
      </w:r>
      <w:r>
        <w:rPr/>
        <w:t>970.1231</w:t>
      </w:r>
      <w:r>
        <w:rPr/>
        <w:t>万股，约</w:t>
      </w:r>
      <w:r>
        <w:rPr/>
        <w:t>10</w:t>
      </w:r>
      <w:r>
        <w:rPr/>
        <w:t>亿元，均价</w:t>
      </w:r>
      <w:r>
        <w:rPr/>
        <w:t>103.08</w:t>
      </w:r>
      <w:r>
        <w:rPr/>
        <w:t>元，用于员工持股；</w:t>
      </w:r>
      <w:r>
        <w:rPr/>
        <w:t>H</w:t>
      </w:r>
      <w:r>
        <w:rPr/>
        <w:t>股回购</w:t>
      </w:r>
      <w:r>
        <w:rPr/>
        <w:t>2014.89</w:t>
      </w:r>
      <w:r>
        <w:rPr/>
        <w:t>万股约</w:t>
      </w:r>
      <w:r>
        <w:rPr/>
        <w:t>21.6045</w:t>
      </w:r>
      <w:r>
        <w:rPr/>
        <w:t>亿元，作为库存或激励安排，不能自动视为全部注销。回购购入价低于当前价，在资本配置上可能有利，但员工归属后权益仍可能回到流通。真正的每股增厚要从注销、库存及授予流出净变化计算，不能用回购金额除以现价直接声称永久减少多少股。</w:t>
      </w:r>
    </w:p>
    <w:p>
      <w:pPr>
        <w:pStyle w:val="Normal"/>
        <w:rPr/>
      </w:pPr>
      <w:r>
        <w:rPr/>
        <w:t>人才激励对复杂化学、质量和项目管理公司有必要，但应与股东每股回报一致。中报有多项</w:t>
      </w:r>
      <w:r>
        <w:rPr/>
        <w:t>H</w:t>
      </w:r>
      <w:r>
        <w:rPr/>
        <w:t>股奖励计划和员工持股，费用、库存股与归属周期需持续记录。高经调整利润配合大额市场买股奖励，经济成本仍由公司承担。如果总股数与奖励成本持续增加而员工生产率没有改善，长期高分应下调。资本效率必须看每股正常化盈利与每股自由现金，而不只看集团规模。</w:t>
      </w:r>
    </w:p>
    <w:p>
      <w:pPr>
        <w:pStyle w:val="Normal"/>
        <w:rPr/>
      </w:pPr>
      <w:r>
        <w:rPr/>
        <w:t>董事长与首席执行官由李革兼任，报告解释治理安排并披露五名独立非执行董事及首席独立董事。创始人主导有助长周期战略和技术组织，也增加资本分配集中度与继任风险。独立董事人数不自动证明监督有效；投资者应关注关联交易、重大投资定价、股权奖励考核和对失败扩产的问责。没有具体不利证据时不指控治理问题，但也不把管理层长期任职当作无需检验的优势。</w:t>
      </w:r>
    </w:p>
    <w:p>
      <w:pPr>
        <w:pStyle w:val="Heading2"/>
        <w:rPr/>
      </w:pPr>
      <w:r>
        <w:rPr>
          <w:color w:val="000000"/>
        </w:rPr>
        <w:t>全球政策 行业周期和宏观传导</w:t>
      </w:r>
    </w:p>
    <w:p>
      <w:pPr>
        <w:pStyle w:val="Normal"/>
        <w:rPr/>
      </w:pPr>
      <w:r>
        <w:rPr/>
        <w:t>公司收入与全球研发投入、临床项目和商业化产量联系更直接，国内消费景气对它的影响较间接。利率下降可以改善早期生物科技融资与长久期资产估值，但从融资到账到候选开发与服务采购存在滞后；大型药企资金更稳，预算还受管线优先级和专利周期影响。半年不能只因利率预期改善就按全球订单全面复苏计价，三年则可以把融资恢复与项目迁移作为条件。</w:t>
      </w:r>
    </w:p>
    <w:p>
      <w:pPr>
        <w:pStyle w:val="Normal"/>
        <w:rPr/>
      </w:pPr>
      <w:r>
        <w:rPr/>
        <w:t>全球研发需求不等于无限外包需求。药企可能把战略性能力留在内部，也可能为控制固定成本增加外包；新药研发成本上升会催生效率需求，同时带来削减失败项目的压力。药明的机会是以高效交付替代客户自建的一部分成本，风险是客户集中采购强化议价。人口老龄化提供长期医疗需求，最终能支付的创新药与实际研发预算才决定可实现服务市场，不能只用患者增长推导收入增长。</w:t>
      </w:r>
    </w:p>
    <w:p>
      <w:pPr>
        <w:pStyle w:val="Normal"/>
        <w:rPr/>
      </w:pPr>
      <w:r>
        <w:rPr/>
        <w:t>中国创新药授权和全球临床进展能增加研发服务需求，尤其新技术与国际质量要求提升时。但买方接手后可能调整供应商、生产地区与管线优先级，授权总金额也常包含远期条件。药明作为服务商需要赢得后续真实合同，而非只因客户有大授权就获得同等确定收入。应跟踪项目是否继续推进与制造是否留在原供应体系，避免把行业</w:t>
      </w:r>
      <w:r>
        <w:rPr/>
        <w:t>BD</w:t>
      </w:r>
      <w:r>
        <w:rPr/>
        <w:t>总额直接加到公司订单。</w:t>
      </w:r>
    </w:p>
    <w:p>
      <w:pPr>
        <w:pStyle w:val="Normal"/>
        <w:rPr/>
      </w:pPr>
      <w:r>
        <w:rPr/>
        <w:t>政策风险有正式法律、监管采购、客户自主分散和市场情绪四层。即使某一法案范围收窄、延期或未包含特定公司，大客户仍可能为供应安全增加其他地区来源；反过来，新闻中提出限制也不必然立刻终止所有商业合同。本文没有完成所有海外法律原文与适用合同的全面法律核验，不以某条新闻宣布风险解除。预测以海外服务能够继续为基准条件，以客户迁移和限制为悲观路径。</w:t>
      </w:r>
    </w:p>
    <w:p>
      <w:pPr>
        <w:pStyle w:val="Normal"/>
        <w:rPr/>
      </w:pPr>
      <w:r>
        <w:rPr/>
        <w:t>药明康德、药明生物、药明合联是不同发行人与业务，不能把关联名称相似当作同一风险、同一资产或同一公告。药明康德出售部分权益与剥离业务改变报表和风险敞口，仍不等于保留服务对全球政策免疫。客户可能从供应链整体判断品牌和地区风险。应按具体法律主体、服务类型、生产地点、数据和采购资金来源核实，不把不同公司的公告互相代用。</w:t>
      </w:r>
    </w:p>
    <w:p>
      <w:pPr>
        <w:pStyle w:val="Normal"/>
        <w:rPr/>
      </w:pPr>
      <w:r>
        <w:rPr/>
        <w:t>多地区基地能提高服务便利与供应选择，也意味着更高建设、人员、合规和物流成本。海外制造可能缓冲区域政策，却不能即时替代已验证中国能力；技术转移、质量文件与客户认证需要时间。基准估值需要海外布局在成本可控的前提下形成有效产能，悲观则考虑重复建设与低利用率，乐观要求客户愿意付费或扩大采购以覆盖成本。全球布局的价值必须从订单与回报证实。</w:t>
      </w:r>
    </w:p>
    <w:p>
      <w:pPr>
        <w:pStyle w:val="Normal"/>
        <w:rPr/>
      </w:pPr>
      <w:r>
        <w:rPr/>
        <w:t>人民币变化同时影响外币收入折算、境内成本竞争力、海外费用与债务。贬值可能有利于部分出口服务毛利，却增加海外资本开支人民币成本；升值可能相反。</w:t>
      </w:r>
      <w:r>
        <w:rPr/>
        <w:t>HKD/CNY</w:t>
      </w:r>
      <w:r>
        <w:rPr/>
        <w:t>换算只用于投资者选择</w:t>
      </w:r>
      <w:r>
        <w:rPr/>
        <w:t>A/H</w:t>
      </w:r>
      <w:r>
        <w:rPr/>
        <w:t>与本币回报敏感性，不代替集团复杂经营汇率模型。报告中明确汇兑损失和恒定汇率毛利差异，说明汇率并非零影响。未掌握币种匹配时，不能给出人民币每贬值一分利润增加固定金额。</w:t>
      </w:r>
    </w:p>
    <w:p>
      <w:pPr>
        <w:pStyle w:val="Heading2"/>
        <w:rPr/>
      </w:pPr>
      <w:r>
        <w:rPr>
          <w:color w:val="000000"/>
        </w:rPr>
        <w:t>半年</w:t>
      </w:r>
      <w:r>
        <w:rPr>
          <w:color w:val="000000"/>
        </w:rPr>
        <w:t>A</w:t>
      </w:r>
      <w:r>
        <w:rPr>
          <w:color w:val="000000"/>
        </w:rPr>
        <w:t>股量价 上升趋势中的回调</w:t>
      </w:r>
    </w:p>
    <w:p>
      <w:pPr>
        <w:pStyle w:val="Normal"/>
        <w:rPr/>
      </w:pPr>
      <w:r>
        <w:rPr/>
        <w:t>A</w:t>
      </w:r>
      <w:r>
        <w:rPr/>
        <w:t>股三年真实日线</w:t>
      </w:r>
      <w:r>
        <w:rPr/>
        <w:t>728</w:t>
      </w:r>
      <w:r>
        <w:rPr/>
        <w:t>条，起于</w:t>
      </w:r>
      <w:r>
        <w:rPr/>
        <w:t>2023</w:t>
      </w:r>
      <w:r>
        <w:rPr/>
        <w:t>年</w:t>
      </w:r>
      <w:r>
        <w:rPr/>
        <w:t>10</w:t>
      </w:r>
      <w:r>
        <w:rPr/>
        <w:t>月</w:t>
      </w:r>
      <w:r>
        <w:rPr/>
        <w:t>9</w:t>
      </w:r>
      <w:r>
        <w:rPr/>
        <w:t>日，价格锚通过腾讯与独立来源核验。技术</w:t>
      </w:r>
      <w:r>
        <w:rPr/>
        <w:t>OHLC</w:t>
      </w:r>
      <w:r>
        <w:rPr/>
        <w:t>用复权收盘归一到基准日名义价，不把除息跳空当趋势崩溃；当前股价</w:t>
      </w:r>
      <w:r>
        <w:rPr/>
        <w:t>157.80</w:t>
      </w:r>
      <w:r>
        <w:rPr/>
        <w:t>元为未复权实际收盘。</w:t>
      </w:r>
      <w:r>
        <w:rPr/>
        <w:t>20</w:t>
      </w:r>
      <w:r>
        <w:rPr/>
        <w:t>、</w:t>
      </w:r>
      <w:r>
        <w:rPr/>
        <w:t>60</w:t>
      </w:r>
      <w:r>
        <w:rPr/>
        <w:t>、</w:t>
      </w:r>
      <w:r>
        <w:rPr/>
        <w:t>120</w:t>
      </w:r>
      <w:r>
        <w:rPr/>
        <w:t>、</w:t>
      </w:r>
      <w:r>
        <w:rPr/>
        <w:t>250</w:t>
      </w:r>
      <w:r>
        <w:rPr/>
        <w:t>日均线</w:t>
      </w:r>
      <w:r>
        <w:rPr/>
        <w:t>159.677</w:t>
      </w:r>
      <w:r>
        <w:rPr/>
        <w:t>、</w:t>
      </w:r>
      <w:r>
        <w:rPr/>
        <w:t>149.007</w:t>
      </w:r>
      <w:r>
        <w:rPr/>
        <w:t>、</w:t>
      </w:r>
      <w:r>
        <w:rPr/>
        <w:t>127.062</w:t>
      </w:r>
      <w:r>
        <w:rPr/>
        <w:t>、</w:t>
      </w:r>
      <w:r>
        <w:rPr/>
        <w:t>110.390</w:t>
      </w:r>
      <w:r>
        <w:rPr/>
        <w:t>元，五个交易日斜率约</w:t>
      </w:r>
      <w:r>
        <w:rPr/>
        <w:t>1.04%</w:t>
      </w:r>
      <w:r>
        <w:rPr/>
        <w:t>、</w:t>
      </w:r>
      <w:r>
        <w:rPr/>
        <w:t>2.40%</w:t>
      </w:r>
      <w:r>
        <w:rPr/>
        <w:t>、</w:t>
      </w:r>
      <w:r>
        <w:rPr/>
        <w:t>2.02%</w:t>
      </w:r>
      <w:r>
        <w:rPr/>
        <w:t>、</w:t>
      </w:r>
      <w:r>
        <w:rPr/>
        <w:t>1.03%</w:t>
      </w:r>
      <w:r>
        <w:rPr/>
        <w:t>，均线都向上，但现价比</w:t>
      </w:r>
      <w:r>
        <w:rPr/>
        <w:t>20</w:t>
      </w:r>
      <w:r>
        <w:rPr/>
        <w:t>日低</w:t>
      </w:r>
      <w:r>
        <w:rPr/>
        <w:t>1.18%</w:t>
      </w:r>
      <w:r>
        <w:rPr/>
        <w:t>。</w:t>
      </w:r>
    </w:p>
    <w:p>
      <w:pPr>
        <w:pStyle w:val="Normal"/>
        <w:rPr/>
      </w:pPr>
      <w:r>
        <w:rPr/>
        <w:t>这个结构应称为回调仍在</w:t>
      </w:r>
      <w:r>
        <w:rPr/>
        <w:t>60</w:t>
      </w:r>
      <w:r>
        <w:rPr/>
        <w:t>日线上，不能声称已完成最新突破。现价较</w:t>
      </w:r>
      <w:r>
        <w:rPr/>
        <w:t>60</w:t>
      </w:r>
      <w:r>
        <w:rPr/>
        <w:t>日高</w:t>
      </w:r>
      <w:r>
        <w:rPr/>
        <w:t>5.90%</w:t>
      </w:r>
      <w:r>
        <w:rPr/>
        <w:t>、较</w:t>
      </w:r>
      <w:r>
        <w:rPr/>
        <w:t>120</w:t>
      </w:r>
      <w:r>
        <w:rPr/>
        <w:t>日高</w:t>
      </w:r>
      <w:r>
        <w:rPr/>
        <w:t>24.19%</w:t>
      </w:r>
      <w:r>
        <w:rPr/>
        <w:t>、较</w:t>
      </w:r>
      <w:r>
        <w:rPr/>
        <w:t>250</w:t>
      </w:r>
      <w:r>
        <w:rPr/>
        <w:t>日高</w:t>
      </w:r>
      <w:r>
        <w:rPr/>
        <w:t>42.95%</w:t>
      </w:r>
      <w:r>
        <w:rPr/>
        <w:t>，中长线累积上涨显著。过去</w:t>
      </w:r>
      <w:r>
        <w:rPr/>
        <w:t>20</w:t>
      </w:r>
      <w:r>
        <w:rPr/>
        <w:t>日涨</w:t>
      </w:r>
      <w:r>
        <w:rPr/>
        <w:t>1.08%</w:t>
      </w:r>
      <w:r>
        <w:rPr/>
        <w:t>，</w:t>
      </w:r>
      <w:r>
        <w:rPr/>
        <w:t>60</w:t>
      </w:r>
      <w:r>
        <w:rPr/>
        <w:t>日涨</w:t>
      </w:r>
      <w:r>
        <w:rPr/>
        <w:t>30.76%</w:t>
      </w:r>
      <w:r>
        <w:rPr/>
        <w:t>，</w:t>
      </w:r>
      <w:r>
        <w:rPr/>
        <w:t>120</w:t>
      </w:r>
      <w:r>
        <w:rPr/>
        <w:t>日涨</w:t>
      </w:r>
      <w:r>
        <w:rPr/>
        <w:t>51.26%</w:t>
      </w:r>
      <w:r>
        <w:rPr/>
        <w:t>，</w:t>
      </w:r>
      <w:r>
        <w:rPr/>
        <w:t>250</w:t>
      </w:r>
      <w:r>
        <w:rPr/>
        <w:t>日涨</w:t>
      </w:r>
      <w:r>
        <w:rPr/>
        <w:t>48.38%</w:t>
      </w:r>
      <w:r>
        <w:rPr/>
        <w:t>，短周期动能明显降温。较沪深</w:t>
      </w:r>
      <w:r>
        <w:rPr/>
        <w:t>300</w:t>
      </w:r>
      <w:r>
        <w:rPr/>
        <w:t>同期超额分别</w:t>
      </w:r>
      <w:r>
        <w:rPr/>
        <w:t>6.25</w:t>
      </w:r>
      <w:r>
        <w:rPr/>
        <w:t>、</w:t>
      </w:r>
      <w:r>
        <w:rPr/>
        <w:t>42.23</w:t>
      </w:r>
      <w:r>
        <w:rPr/>
        <w:t>个百分点，代表市场相对强，但沪深</w:t>
      </w:r>
      <w:r>
        <w:rPr/>
        <w:t>300</w:t>
      </w:r>
      <w:r>
        <w:rPr/>
        <w:t>在跌，也需要区分绝对上涨与抗跌。</w:t>
      </w:r>
    </w:p>
    <w:p>
      <w:pPr>
        <w:pStyle w:val="Normal"/>
        <w:rPr/>
      </w:pPr>
      <w:r>
        <w:rPr/>
        <w:t>最近</w:t>
      </w:r>
      <w:r>
        <w:rPr/>
        <w:t>20</w:t>
      </w:r>
      <w:r>
        <w:rPr/>
        <w:t>日区间低</w:t>
      </w:r>
      <w:r>
        <w:rPr/>
        <w:t>149.70</w:t>
      </w:r>
      <w:r>
        <w:rPr/>
        <w:t>元、高</w:t>
      </w:r>
      <w:r>
        <w:rPr/>
        <w:t>171.20</w:t>
      </w:r>
      <w:r>
        <w:rPr/>
        <w:t>元，现价向下距离</w:t>
      </w:r>
      <w:r>
        <w:rPr/>
        <w:t>5.13%</w:t>
      </w:r>
      <w:r>
        <w:rPr/>
        <w:t>、向上</w:t>
      </w:r>
      <w:r>
        <w:rPr/>
        <w:t>8.49%</w:t>
      </w:r>
      <w:r>
        <w:rPr/>
        <w:t>；</w:t>
      </w:r>
      <w:r>
        <w:rPr/>
        <w:t>60</w:t>
      </w:r>
      <w:r>
        <w:rPr/>
        <w:t>日低约</w:t>
      </w:r>
      <w:r>
        <w:rPr/>
        <w:t>116.63</w:t>
      </w:r>
      <w:r>
        <w:rPr/>
        <w:t>元、高约</w:t>
      </w:r>
      <w:r>
        <w:rPr/>
        <w:t>173.03</w:t>
      </w:r>
      <w:r>
        <w:rPr/>
        <w:t>元，向下</w:t>
      </w:r>
      <w:r>
        <w:rPr/>
        <w:t>26.09%</w:t>
      </w:r>
      <w:r>
        <w:rPr/>
        <w:t>、向上</w:t>
      </w:r>
      <w:r>
        <w:rPr/>
        <w:t>9.65%</w:t>
      </w:r>
      <w:r>
        <w:rPr/>
        <w:t>。这是窗口实际极值观察位，未按触碰次数筛选，不宣称</w:t>
      </w:r>
      <w:r>
        <w:rPr/>
        <w:t>149.70</w:t>
      </w:r>
      <w:r>
        <w:rPr/>
        <w:t>有确定承接或</w:t>
      </w:r>
      <w:r>
        <w:rPr/>
        <w:t>173.03</w:t>
      </w:r>
      <w:r>
        <w:rPr/>
        <w:t>有固定卖盘。</w:t>
      </w:r>
      <w:r>
        <w:rPr/>
        <w:t>60</w:t>
      </w:r>
      <w:r>
        <w:rPr/>
        <w:t>日均线与</w:t>
      </w:r>
      <w:r>
        <w:rPr/>
        <w:t>20</w:t>
      </w:r>
      <w:r>
        <w:rPr/>
        <w:t>日低点相近，使</w:t>
      </w:r>
      <w:r>
        <w:rPr/>
        <w:t>149</w:t>
      </w:r>
      <w:r>
        <w:rPr/>
        <w:t>至</w:t>
      </w:r>
      <w:r>
        <w:rPr/>
        <w:t>150</w:t>
      </w:r>
      <w:r>
        <w:rPr/>
        <w:t>元成为有意义的观察区；下穿后仍可能反抽，但连续失守与均线转平会降低半年技术分。</w:t>
      </w:r>
    </w:p>
    <w:p>
      <w:pPr>
        <w:pStyle w:val="Normal"/>
        <w:rPr/>
      </w:pPr>
      <w:r>
        <w:rPr/>
        <w:t>当日</w:t>
      </w:r>
      <w:r>
        <w:rPr/>
        <w:t>A</w:t>
      </w:r>
      <w:r>
        <w:rPr/>
        <w:t>股跌</w:t>
      </w:r>
      <w:r>
        <w:rPr/>
        <w:t>2.59%</w:t>
      </w:r>
      <w:r>
        <w:rPr/>
        <w:t>，成交约</w:t>
      </w:r>
      <w:r>
        <w:rPr/>
        <w:t>6044.97</w:t>
      </w:r>
      <w:r>
        <w:rPr/>
        <w:t>万股，成交额</w:t>
      </w:r>
      <w:r>
        <w:rPr/>
        <w:t>94.1721</w:t>
      </w:r>
      <w:r>
        <w:rPr/>
        <w:t>亿元，报价换手</w:t>
      </w:r>
      <w:r>
        <w:rPr/>
        <w:t>2.44%</w:t>
      </w:r>
      <w:r>
        <w:rPr/>
        <w:t>，换手分母为该市场股数口径，并非全部</w:t>
      </w:r>
      <w:r>
        <w:rPr/>
        <w:t>A/H</w:t>
      </w:r>
      <w:r>
        <w:rPr/>
        <w:t>股。</w:t>
      </w:r>
      <w:r>
        <w:rPr/>
        <w:t>5</w:t>
      </w:r>
      <w:r>
        <w:rPr/>
        <w:t>、</w:t>
      </w:r>
      <w:r>
        <w:rPr/>
        <w:t>20</w:t>
      </w:r>
      <w:r>
        <w:rPr/>
        <w:t>、</w:t>
      </w:r>
      <w:r>
        <w:rPr/>
        <w:t>60</w:t>
      </w:r>
      <w:r>
        <w:rPr/>
        <w:t>日均量</w:t>
      </w:r>
      <w:r>
        <w:rPr/>
        <w:t>4308.95</w:t>
      </w:r>
      <w:r>
        <w:rPr/>
        <w:t>、</w:t>
      </w:r>
      <w:r>
        <w:rPr/>
        <w:t>3560.90</w:t>
      </w:r>
      <w:r>
        <w:rPr/>
        <w:t>、</w:t>
      </w:r>
      <w:r>
        <w:rPr/>
        <w:t>5462.07</w:t>
      </w:r>
      <w:r>
        <w:rPr/>
        <w:t>万股，当日相对之前</w:t>
      </w:r>
      <w:r>
        <w:rPr/>
        <w:t>20</w:t>
      </w:r>
      <w:r>
        <w:rPr/>
        <w:t>日均量的量比</w:t>
      </w:r>
      <w:r>
        <w:rPr/>
        <w:t>1.773</w:t>
      </w:r>
      <w:r>
        <w:rPr/>
        <w:t>。放量发生在下跌日，因此不能用“放量”两字判定资金进场。近</w:t>
      </w:r>
      <w:r>
        <w:rPr/>
        <w:t>20</w:t>
      </w:r>
      <w:r>
        <w:rPr/>
        <w:t>日上涨七日成交</w:t>
      </w:r>
      <w:r>
        <w:rPr/>
        <w:t>2.722</w:t>
      </w:r>
      <w:r>
        <w:rPr/>
        <w:t>亿股，下跌十三日</w:t>
      </w:r>
      <w:r>
        <w:rPr/>
        <w:t>4.399</w:t>
      </w:r>
      <w:r>
        <w:rPr/>
        <w:t>亿股，量比</w:t>
      </w:r>
      <w:r>
        <w:rPr/>
        <w:t>0.619</w:t>
      </w:r>
      <w:r>
        <w:rPr/>
        <w:t>，短期卖压或交换筹码仍须观察。</w:t>
      </w:r>
    </w:p>
    <w:p>
      <w:pPr>
        <w:pStyle w:val="Normal"/>
        <w:rPr/>
      </w:pPr>
      <w:r>
        <w:rPr/>
        <w:t>量比高而收盘下跌可以由获利了结、指数调整、消息交易或更广买卖分歧造成，日线不能识别实际持仓主体。没有逐笔成交、订单与持仓数据，本章不画精确成交量分布、不宣称主力吸筹。后续较积极的结构是回调量逐渐下降、在</w:t>
      </w:r>
      <w:r>
        <w:rPr/>
        <w:t>149</w:t>
      </w:r>
      <w:r>
        <w:rPr/>
        <w:t>至</w:t>
      </w:r>
      <w:r>
        <w:rPr/>
        <w:t>150</w:t>
      </w:r>
      <w:r>
        <w:rPr/>
        <w:t>附近未继续破低，再回到</w:t>
      </w:r>
      <w:r>
        <w:rPr/>
        <w:t>20</w:t>
      </w:r>
      <w:r>
        <w:rPr/>
        <w:t>日线上并靠近</w:t>
      </w:r>
      <w:r>
        <w:rPr/>
        <w:t>171</w:t>
      </w:r>
      <w:r>
        <w:rPr/>
        <w:t>至</w:t>
      </w:r>
      <w:r>
        <w:rPr/>
        <w:t>173</w:t>
      </w:r>
      <w:r>
        <w:rPr/>
        <w:t>区间；向上突破需要后续收盘和持续成交确认，单日冲高不够。</w:t>
      </w:r>
    </w:p>
    <w:p>
      <w:pPr>
        <w:pStyle w:val="Normal"/>
        <w:rPr/>
      </w:pPr>
      <w:r>
        <w:rPr/>
        <w:t>RSI</w:t>
      </w:r>
      <w:r>
        <w:rPr/>
        <w:t>十四日</w:t>
      </w:r>
      <w:r>
        <w:rPr/>
        <w:t>48.82</w:t>
      </w:r>
      <w:r>
        <w:rPr/>
        <w:t>接近中性；</w:t>
      </w:r>
      <w:r>
        <w:rPr/>
        <w:t>MACD</w:t>
      </w:r>
      <w:r>
        <w:rPr/>
        <w:t>差离值</w:t>
      </w:r>
      <w:r>
        <w:rPr/>
        <w:t>2.61</w:t>
      </w:r>
      <w:r>
        <w:rPr/>
        <w:t>仍为正，但信号</w:t>
      </w:r>
      <w:r>
        <w:rPr/>
        <w:t>3.26</w:t>
      </w:r>
      <w:r>
        <w:rPr/>
        <w:t>、柱约负</w:t>
      </w:r>
      <w:r>
        <w:rPr/>
        <w:t>1.30</w:t>
      </w:r>
      <w:r>
        <w:rPr/>
        <w:t>，说明上升趋势动能回落，与跌回</w:t>
      </w:r>
      <w:r>
        <w:rPr/>
        <w:t>20</w:t>
      </w:r>
      <w:r>
        <w:rPr/>
        <w:t>日均线一致，不再重复作为独立强势证据加分。</w:t>
      </w:r>
      <w:r>
        <w:rPr/>
        <w:t>ATR</w:t>
      </w:r>
      <w:r>
        <w:rPr/>
        <w:t>十四日</w:t>
      </w:r>
      <w:r>
        <w:rPr/>
        <w:t>6.60</w:t>
      </w:r>
      <w:r>
        <w:rPr/>
        <w:t>元，占现价</w:t>
      </w:r>
      <w:r>
        <w:rPr/>
        <w:t>4.19%</w:t>
      </w:r>
      <w:r>
        <w:rPr/>
        <w:t>，平常波动尺度就不小。五个百分点下方观察位只约一个多</w:t>
      </w:r>
      <w:r>
        <w:rPr/>
        <w:t>ATR</w:t>
      </w:r>
      <w:r>
        <w:rPr/>
        <w:t>，触碰不应惊讶；同样，短距离止损可能被正常波动触发，技术失效应结合多日结构与事件。</w:t>
      </w:r>
    </w:p>
    <w:p>
      <w:pPr>
        <w:pStyle w:val="Normal"/>
        <w:rPr/>
      </w:pPr>
      <w:r>
        <w:rPr/>
        <w:t>A</w:t>
      </w:r>
      <w:r>
        <w:rPr/>
        <w:t>股周线</w:t>
      </w:r>
      <w:r>
        <w:rPr/>
        <w:t>155</w:t>
      </w:r>
      <w:r>
        <w:rPr/>
        <w:t>条，</w:t>
      </w:r>
      <w:r>
        <w:rPr/>
        <w:t>20</w:t>
      </w:r>
      <w:r>
        <w:rPr/>
        <w:t>周均线</w:t>
      </w:r>
      <w:r>
        <w:rPr/>
        <w:t>135.93</w:t>
      </w:r>
      <w:r>
        <w:rPr/>
        <w:t>、</w:t>
      </w:r>
      <w:r>
        <w:rPr/>
        <w:t>60</w:t>
      </w:r>
      <w:r>
        <w:rPr/>
        <w:t>周</w:t>
      </w:r>
      <w:r>
        <w:rPr/>
        <w:t>110.11</w:t>
      </w:r>
      <w:r>
        <w:rPr/>
        <w:t>、</w:t>
      </w:r>
      <w:r>
        <w:rPr/>
        <w:t>120</w:t>
      </w:r>
      <w:r>
        <w:rPr/>
        <w:t>周</w:t>
      </w:r>
      <w:r>
        <w:rPr/>
        <w:t>82.07</w:t>
      </w:r>
      <w:r>
        <w:rPr/>
        <w:t>元，现价均在其上，</w:t>
      </w:r>
      <w:r>
        <w:rPr/>
        <w:t>20</w:t>
      </w:r>
      <w:r>
        <w:rPr/>
        <w:t>周斜率约</w:t>
      </w:r>
      <w:r>
        <w:rPr/>
        <w:t>11.72%</w:t>
      </w:r>
      <w:r>
        <w:rPr/>
        <w:t>。周</w:t>
      </w:r>
      <w:r>
        <w:rPr/>
        <w:t>RSI66.37</w:t>
      </w:r>
      <w:r>
        <w:rPr/>
        <w:t>与正</w:t>
      </w:r>
      <w:r>
        <w:rPr/>
        <w:t>MACD</w:t>
      </w:r>
      <w:r>
        <w:rPr/>
        <w:t>柱</w:t>
      </w:r>
      <w:r>
        <w:rPr/>
        <w:t>3.02</w:t>
      </w:r>
      <w:r>
        <w:rPr/>
        <w:t>说明较长周期上升，日线回调与周线趋势可以同时成立。</w:t>
      </w:r>
      <w:r>
        <w:rPr/>
        <w:t>250</w:t>
      </w:r>
      <w:r>
        <w:rPr/>
        <w:t>周均线因三年样本不足留空，未冒造五年技术历史。最新一周若因国庆假期只有较少交易日，周成交量不能与完整周直接比较并断言缩量见底。</w:t>
      </w:r>
    </w:p>
    <w:p>
      <w:pPr>
        <w:pStyle w:val="Heading2"/>
        <w:rPr/>
      </w:pPr>
      <w:r>
        <w:rPr>
          <w:color w:val="000000"/>
        </w:rPr>
        <w:t>半年</w:t>
      </w:r>
      <w:r>
        <w:rPr>
          <w:color w:val="000000"/>
        </w:rPr>
        <w:t>H</w:t>
      </w:r>
      <w:r>
        <w:rPr>
          <w:color w:val="000000"/>
        </w:rPr>
        <w:t>股量价 更强图形伴随更高估值</w:t>
      </w:r>
    </w:p>
    <w:p>
      <w:pPr>
        <w:pStyle w:val="Normal"/>
        <w:rPr/>
      </w:pPr>
      <w:r>
        <w:rPr/>
        <w:t>H</w:t>
      </w:r>
      <w:r>
        <w:rPr/>
        <w:t>股三年日线</w:t>
      </w:r>
      <w:r>
        <w:rPr/>
        <w:t>739</w:t>
      </w:r>
      <w:r>
        <w:rPr/>
        <w:t>条，</w:t>
      </w:r>
      <w:r>
        <w:rPr/>
        <w:t>20</w:t>
      </w:r>
      <w:r>
        <w:rPr/>
        <w:t>、</w:t>
      </w:r>
      <w:r>
        <w:rPr/>
        <w:t>60</w:t>
      </w:r>
      <w:r>
        <w:rPr/>
        <w:t>、</w:t>
      </w:r>
      <w:r>
        <w:rPr/>
        <w:t>120</w:t>
      </w:r>
      <w:r>
        <w:rPr/>
        <w:t>、</w:t>
      </w:r>
      <w:r>
        <w:rPr/>
        <w:t>250</w:t>
      </w:r>
      <w:r>
        <w:rPr/>
        <w:t>日均线</w:t>
      </w:r>
      <w:r>
        <w:rPr/>
        <w:t>205.870</w:t>
      </w:r>
      <w:r>
        <w:rPr/>
        <w:t>、</w:t>
      </w:r>
      <w:r>
        <w:rPr/>
        <w:t>191.418</w:t>
      </w:r>
      <w:r>
        <w:rPr/>
        <w:t>、</w:t>
      </w:r>
      <w:r>
        <w:rPr/>
        <w:t>162.908</w:t>
      </w:r>
      <w:r>
        <w:rPr/>
        <w:t>、</w:t>
      </w:r>
      <w:r>
        <w:rPr/>
        <w:t>134.943</w:t>
      </w:r>
      <w:r>
        <w:rPr/>
        <w:t>港元，现价</w:t>
      </w:r>
      <w:r>
        <w:rPr/>
        <w:t>208</w:t>
      </w:r>
      <w:r>
        <w:rPr/>
        <w:t>港元分别高</w:t>
      </w:r>
      <w:r>
        <w:rPr/>
        <w:t>1.03%</w:t>
      </w:r>
      <w:r>
        <w:rPr/>
        <w:t>、</w:t>
      </w:r>
      <w:r>
        <w:rPr/>
        <w:t>8.66%</w:t>
      </w:r>
      <w:r>
        <w:rPr/>
        <w:t>、</w:t>
      </w:r>
      <w:r>
        <w:rPr/>
        <w:t>27.68%</w:t>
      </w:r>
      <w:r>
        <w:rPr/>
        <w:t>、</w:t>
      </w:r>
      <w:r>
        <w:rPr/>
        <w:t>54.14%</w:t>
      </w:r>
      <w:r>
        <w:rPr/>
        <w:t>；斜率</w:t>
      </w:r>
      <w:r>
        <w:rPr/>
        <w:t>2.59%</w:t>
      </w:r>
      <w:r>
        <w:rPr/>
        <w:t>、</w:t>
      </w:r>
      <w:r>
        <w:rPr/>
        <w:t>2.47%</w:t>
      </w:r>
      <w:r>
        <w:rPr/>
        <w:t>、</w:t>
      </w:r>
      <w:r>
        <w:rPr/>
        <w:t>2.27%</w:t>
      </w:r>
      <w:r>
        <w:rPr/>
        <w:t>、</w:t>
      </w:r>
      <w:r>
        <w:rPr/>
        <w:t>1.52%</w:t>
      </w:r>
      <w:r>
        <w:rPr/>
        <w:t>全为正。近期结构比</w:t>
      </w:r>
      <w:r>
        <w:rPr/>
        <w:t>A</w:t>
      </w:r>
      <w:r>
        <w:rPr/>
        <w:t>股更强，仍在</w:t>
      </w:r>
      <w:r>
        <w:rPr/>
        <w:t>20</w:t>
      </w:r>
      <w:r>
        <w:rPr/>
        <w:t>日线上，但已经离</w:t>
      </w:r>
      <w:r>
        <w:rPr/>
        <w:t>250</w:t>
      </w:r>
      <w:r>
        <w:rPr/>
        <w:t>日均线较远。价格位置优势和估值高低不是一个概念，强趋势可以买贵，也可能在业绩好时发生较深回撤。</w:t>
      </w:r>
    </w:p>
    <w:p>
      <w:pPr>
        <w:pStyle w:val="Normal"/>
        <w:rPr/>
      </w:pPr>
      <w:r>
        <w:rPr/>
        <w:t>过去</w:t>
      </w:r>
      <w:r>
        <w:rPr/>
        <w:t>20</w:t>
      </w:r>
      <w:r>
        <w:rPr/>
        <w:t>、</w:t>
      </w:r>
      <w:r>
        <w:rPr/>
        <w:t>60</w:t>
      </w:r>
      <w:r>
        <w:rPr/>
        <w:t>、</w:t>
      </w:r>
      <w:r>
        <w:rPr/>
        <w:t>120</w:t>
      </w:r>
      <w:r>
        <w:rPr/>
        <w:t>、</w:t>
      </w:r>
      <w:r>
        <w:rPr/>
        <w:t>250</w:t>
      </w:r>
      <w:r>
        <w:rPr/>
        <w:t>日复权涨幅</w:t>
      </w:r>
      <w:r>
        <w:rPr/>
        <w:t>8.90%</w:t>
      </w:r>
      <w:r>
        <w:rPr/>
        <w:t>、</w:t>
      </w:r>
      <w:r>
        <w:rPr/>
        <w:t>28.77%</w:t>
      </w:r>
      <w:r>
        <w:rPr/>
        <w:t>、</w:t>
      </w:r>
      <w:r>
        <w:rPr/>
        <w:t>71.97%</w:t>
      </w:r>
      <w:r>
        <w:rPr/>
        <w:t>、</w:t>
      </w:r>
      <w:r>
        <w:rPr/>
        <w:t>74.10%</w:t>
      </w:r>
      <w:r>
        <w:rPr/>
        <w:t>，较恒生指数</w:t>
      </w:r>
      <w:r>
        <w:rPr/>
        <w:t>20</w:t>
      </w:r>
      <w:r>
        <w:rPr/>
        <w:t>日与</w:t>
      </w:r>
      <w:r>
        <w:rPr/>
        <w:t>60</w:t>
      </w:r>
      <w:r>
        <w:rPr/>
        <w:t>日超额</w:t>
      </w:r>
      <w:r>
        <w:rPr/>
        <w:t>11.88</w:t>
      </w:r>
      <w:r>
        <w:rPr/>
        <w:t>、</w:t>
      </w:r>
      <w:r>
        <w:rPr/>
        <w:t>31.96</w:t>
      </w:r>
      <w:r>
        <w:rPr/>
        <w:t>个百分点。最近</w:t>
      </w:r>
      <w:r>
        <w:rPr/>
        <w:t>20</w:t>
      </w:r>
      <w:r>
        <w:rPr/>
        <w:t>日高</w:t>
      </w:r>
      <w:r>
        <w:rPr/>
        <w:t>219.20</w:t>
      </w:r>
      <w:r>
        <w:rPr/>
        <w:t>、低</w:t>
      </w:r>
      <w:r>
        <w:rPr/>
        <w:t>186</w:t>
      </w:r>
      <w:r>
        <w:rPr/>
        <w:t>港元，现价到高位</w:t>
      </w:r>
      <w:r>
        <w:rPr/>
        <w:t>5.38%</w:t>
      </w:r>
      <w:r>
        <w:rPr/>
        <w:t>、低位</w:t>
      </w:r>
      <w:r>
        <w:rPr/>
        <w:t>10.58%</w:t>
      </w:r>
      <w:r>
        <w:rPr/>
        <w:t>；</w:t>
      </w:r>
      <w:r>
        <w:rPr/>
        <w:t>60</w:t>
      </w:r>
      <w:r>
        <w:rPr/>
        <w:t>日低</w:t>
      </w:r>
      <w:r>
        <w:rPr/>
        <w:t>150.56</w:t>
      </w:r>
      <w:r>
        <w:rPr/>
        <w:t>港元，距离</w:t>
      </w:r>
      <w:r>
        <w:rPr/>
        <w:t>27.61%</w:t>
      </w:r>
      <w:r>
        <w:rPr/>
        <w:t>。二十日高点也是年内窗口高点，突破</w:t>
      </w:r>
      <w:r>
        <w:rPr/>
        <w:t>219.20</w:t>
      </w:r>
      <w:r>
        <w:rPr/>
        <w:t>需要更好量价确认；未突破前应描述为强势但接近阻力区，不能把未来预期目标当作技术支撑。</w:t>
      </w:r>
    </w:p>
    <w:p>
      <w:pPr>
        <w:pStyle w:val="Normal"/>
        <w:rPr/>
      </w:pPr>
      <w:r>
        <w:rPr/>
        <w:t>当日</w:t>
      </w:r>
      <w:r>
        <w:rPr/>
        <w:t>H</w:t>
      </w:r>
      <w:r>
        <w:rPr/>
        <w:t>股跌约</w:t>
      </w:r>
      <w:r>
        <w:rPr/>
        <w:t>0.48%</w:t>
      </w:r>
      <w:r>
        <w:rPr/>
        <w:t>，盘中</w:t>
      </w:r>
      <w:r>
        <w:rPr/>
        <w:t>198.50</w:t>
      </w:r>
      <w:r>
        <w:rPr/>
        <w:t>至</w:t>
      </w:r>
      <w:r>
        <w:rPr/>
        <w:t>211.80</w:t>
      </w:r>
      <w:r>
        <w:rPr/>
        <w:t>港元，收盘</w:t>
      </w:r>
      <w:r>
        <w:rPr/>
        <w:t>208</w:t>
      </w:r>
      <w:r>
        <w:rPr/>
        <w:t>；成交</w:t>
      </w:r>
      <w:r>
        <w:rPr/>
        <w:t>1063.86</w:t>
      </w:r>
      <w:r>
        <w:rPr/>
        <w:t>万股，金额</w:t>
      </w:r>
      <w:r>
        <w:rPr/>
        <w:t>21.6737</w:t>
      </w:r>
      <w:r>
        <w:rPr/>
        <w:t>亿港元。</w:t>
      </w:r>
      <w:r>
        <w:rPr/>
        <w:t>5</w:t>
      </w:r>
      <w:r>
        <w:rPr/>
        <w:t>、</w:t>
      </w:r>
      <w:r>
        <w:rPr/>
        <w:t>20</w:t>
      </w:r>
      <w:r>
        <w:rPr/>
        <w:t>、</w:t>
      </w:r>
      <w:r>
        <w:rPr/>
        <w:t>60</w:t>
      </w:r>
      <w:r>
        <w:rPr/>
        <w:t>日均量约</w:t>
      </w:r>
      <w:r>
        <w:rPr/>
        <w:t>507.57</w:t>
      </w:r>
      <w:r>
        <w:rPr/>
        <w:t>、</w:t>
      </w:r>
      <w:r>
        <w:rPr/>
        <w:t>413.47</w:t>
      </w:r>
      <w:r>
        <w:rPr/>
        <w:t>、</w:t>
      </w:r>
      <w:r>
        <w:rPr/>
        <w:t>561.64</w:t>
      </w:r>
      <w:r>
        <w:rPr/>
        <w:t>万股，量比</w:t>
      </w:r>
      <w:r>
        <w:rPr/>
        <w:t>2.854</w:t>
      </w:r>
      <w:r>
        <w:rPr/>
        <w:t>，上涨下跌日近</w:t>
      </w:r>
      <w:r>
        <w:rPr/>
        <w:t>20</w:t>
      </w:r>
      <w:r>
        <w:rPr/>
        <w:t>日总量比</w:t>
      </w:r>
      <w:r>
        <w:rPr/>
        <w:t>0.912</w:t>
      </w:r>
      <w:r>
        <w:rPr/>
        <w:t>。大成交配合收盘较盘中低位回升，显示市场交换活跃，但最终仍为下跌，不能声称突破放量完成。港股报价未提供已核验换手分母，本章不拿</w:t>
      </w:r>
      <w:r>
        <w:rPr/>
        <w:t>H</w:t>
      </w:r>
      <w:r>
        <w:rPr/>
        <w:t>股类别数或集团股数随意填换手率。</w:t>
      </w:r>
    </w:p>
    <w:p>
      <w:pPr>
        <w:pStyle w:val="Normal"/>
        <w:rPr/>
      </w:pPr>
      <w:r>
        <w:rPr/>
        <w:t>H</w:t>
      </w:r>
      <w:r>
        <w:rPr/>
        <w:t>股</w:t>
      </w:r>
      <w:r>
        <w:rPr/>
        <w:t>RSI54.00</w:t>
      </w:r>
      <w:r>
        <w:rPr/>
        <w:t>，中性略偏强；</w:t>
      </w:r>
      <w:r>
        <w:rPr/>
        <w:t>MACD</w:t>
      </w:r>
      <w:r>
        <w:rPr/>
        <w:t>差离</w:t>
      </w:r>
      <w:r>
        <w:rPr/>
        <w:t>5.21</w:t>
      </w:r>
      <w:r>
        <w:rPr/>
        <w:t>、信号</w:t>
      </w:r>
      <w:r>
        <w:rPr/>
        <w:t>5.47</w:t>
      </w:r>
      <w:r>
        <w:rPr/>
        <w:t>、柱负</w:t>
      </w:r>
      <w:r>
        <w:rPr/>
        <w:t>0.51</w:t>
      </w:r>
      <w:r>
        <w:rPr/>
        <w:t>，反映短线动能有所降温；</w:t>
      </w:r>
      <w:r>
        <w:rPr/>
        <w:t>ATR7.83</w:t>
      </w:r>
      <w:r>
        <w:rPr/>
        <w:t>港元，占</w:t>
      </w:r>
      <w:r>
        <w:rPr/>
        <w:t>3.77%</w:t>
      </w:r>
      <w:r>
        <w:rPr/>
        <w:t>。现价到</w:t>
      </w:r>
      <w:r>
        <w:rPr/>
        <w:t>219.20</w:t>
      </w:r>
      <w:r>
        <w:rPr/>
        <w:t>的</w:t>
      </w:r>
      <w:r>
        <w:rPr/>
        <w:t>11.20</w:t>
      </w:r>
      <w:r>
        <w:rPr/>
        <w:t>港元仅约</w:t>
      </w:r>
      <w:r>
        <w:rPr/>
        <w:t>1.43ATR</w:t>
      </w:r>
      <w:r>
        <w:rPr/>
        <w:t>，可在正常波动内触及，但“容易触及”不等于容易站稳。更有意义的中期观察</w:t>
      </w:r>
      <w:r>
        <w:rPr/>
        <w:t>191</w:t>
      </w:r>
      <w:r>
        <w:rPr/>
        <w:t>至</w:t>
      </w:r>
      <w:r>
        <w:rPr/>
        <w:t>192</w:t>
      </w:r>
      <w:r>
        <w:rPr/>
        <w:t>港元均线区与</w:t>
      </w:r>
      <w:r>
        <w:rPr/>
        <w:t>186</w:t>
      </w:r>
      <w:r>
        <w:rPr/>
        <w:t>近期低点，若连续收在</w:t>
      </w:r>
      <w:r>
        <w:rPr/>
        <w:t>186</w:t>
      </w:r>
      <w:r>
        <w:rPr/>
        <w:t>下且均线斜率转弱，半年技术优势应明显下调。</w:t>
      </w:r>
    </w:p>
    <w:p>
      <w:pPr>
        <w:pStyle w:val="Normal"/>
        <w:rPr/>
      </w:pPr>
      <w:r>
        <w:rPr/>
        <w:t>H</w:t>
      </w:r>
      <w:r>
        <w:rPr/>
        <w:t>股周线</w:t>
      </w:r>
      <w:r>
        <w:rPr/>
        <w:t>157</w:t>
      </w:r>
      <w:r>
        <w:rPr/>
        <w:t>条，</w:t>
      </w:r>
      <w:r>
        <w:rPr/>
        <w:t>20</w:t>
      </w:r>
      <w:r>
        <w:rPr/>
        <w:t>周</w:t>
      </w:r>
      <w:r>
        <w:rPr/>
        <w:t>171.64</w:t>
      </w:r>
      <w:r>
        <w:rPr/>
        <w:t>、</w:t>
      </w:r>
      <w:r>
        <w:rPr/>
        <w:t>60</w:t>
      </w:r>
      <w:r>
        <w:rPr/>
        <w:t>周</w:t>
      </w:r>
      <w:r>
        <w:rPr/>
        <w:t>131.76</w:t>
      </w:r>
      <w:r>
        <w:rPr/>
        <w:t>、</w:t>
      </w:r>
      <w:r>
        <w:rPr/>
        <w:t>120</w:t>
      </w:r>
      <w:r>
        <w:rPr/>
        <w:t>周</w:t>
      </w:r>
      <w:r>
        <w:rPr/>
        <w:t>94.21</w:t>
      </w:r>
      <w:r>
        <w:rPr/>
        <w:t>港元，现价高于</w:t>
      </w:r>
      <w:r>
        <w:rPr/>
        <w:t>20</w:t>
      </w:r>
      <w:r>
        <w:rPr/>
        <w:t>周</w:t>
      </w:r>
      <w:r>
        <w:rPr/>
        <w:t>21.19%</w:t>
      </w:r>
      <w:r>
        <w:rPr/>
        <w:t>，周</w:t>
      </w:r>
      <w:r>
        <w:rPr/>
        <w:t>RSI74.51</w:t>
      </w:r>
      <w:r>
        <w:rPr/>
        <w:t>，周</w:t>
      </w:r>
      <w:r>
        <w:rPr/>
        <w:t>MACD</w:t>
      </w:r>
      <w:r>
        <w:rPr/>
        <w:t>柱正</w:t>
      </w:r>
      <w:r>
        <w:rPr/>
        <w:t>4.51</w:t>
      </w:r>
      <w:r>
        <w:rPr/>
        <w:t>。周趋势强，同时动量偏高，不能再加一个“</w:t>
      </w:r>
      <w:r>
        <w:rPr/>
        <w:t>RSI</w:t>
      </w:r>
      <w:r>
        <w:rPr/>
        <w:t>高所以必涨”的重复分。向上价格延伸可能继续，也可能通过横盘消化；周线的远距离均线告诉投资者趋势破坏前仍可有较大回调空间，长线持有不等于无需承受两三成波动。</w:t>
      </w:r>
    </w:p>
    <w:p>
      <w:pPr>
        <w:pStyle w:val="Normal"/>
        <w:rPr/>
      </w:pPr>
      <w:r>
        <w:rPr/>
        <w:t>本研究未取得可核验的医药细分基准完整历史，行业</w:t>
      </w:r>
      <w:r>
        <w:rPr/>
        <w:t>20</w:t>
      </w:r>
      <w:r>
        <w:rPr/>
        <w:t>日和</w:t>
      </w:r>
      <w:r>
        <w:rPr/>
        <w:t>60</w:t>
      </w:r>
      <w:r>
        <w:rPr/>
        <w:t>日超额留空。恒生科技与港股创新药不是同一指数，不能任意借用；沪深</w:t>
      </w:r>
      <w:r>
        <w:rPr/>
        <w:t>300</w:t>
      </w:r>
      <w:r>
        <w:rPr/>
        <w:t>和恒生指数只用于各市场大盘比较。</w:t>
      </w:r>
      <w:r>
        <w:rPr/>
        <w:t>A/H</w:t>
      </w:r>
      <w:r>
        <w:rPr/>
        <w:t>对照已经足以识别不同市场定价，但两地假日、公司行动、税费及复权差别会影响短窗统计。技术数据有双源核验和保留原条，不能把多位小数误认为未来预测精度。</w:t>
      </w:r>
    </w:p>
    <w:p>
      <w:pPr>
        <w:pStyle w:val="Heading2"/>
        <w:rPr/>
      </w:pPr>
      <w:r>
        <w:rPr>
          <w:color w:val="000000"/>
        </w:rPr>
        <w:t>估值方法 正常化</w:t>
      </w:r>
      <w:r>
        <w:rPr>
          <w:color w:val="000000"/>
        </w:rPr>
        <w:t>EPS</w:t>
      </w:r>
      <w:r>
        <w:rPr>
          <w:color w:val="000000"/>
        </w:rPr>
        <w:t>与合理倍数共同决定</w:t>
      </w:r>
    </w:p>
    <w:p>
      <w:pPr>
        <w:pStyle w:val="Normal"/>
        <w:rPr/>
      </w:pPr>
      <w:r>
        <w:rPr/>
        <w:t>药明有真实盈利和现金流，初版采用目标时点正常化经调整稀释</w:t>
      </w:r>
      <w:r>
        <w:rPr/>
        <w:t>EPS</w:t>
      </w:r>
      <w:r>
        <w:rPr/>
        <w:t>乘</w:t>
      </w:r>
      <w:r>
        <w:rPr/>
        <w:t>PE</w:t>
      </w:r>
      <w:r>
        <w:rPr/>
        <w:t>，比对现金产出、周期与公开目标价；不是亏损创新药</w:t>
      </w:r>
      <w:r>
        <w:rPr/>
        <w:t>rNPV</w:t>
      </w:r>
      <w:r>
        <w:rPr/>
        <w:t>。目标时点</w:t>
      </w:r>
      <w:r>
        <w:rPr/>
        <w:t>EPS</w:t>
      </w:r>
      <w:r>
        <w:rPr/>
        <w:t>指当时市场可能定价的正常化未来盈利能力，并非宣称该年度审计利润已经实现。</w:t>
      </w:r>
      <w:r>
        <w:rPr/>
        <w:t>H</w:t>
      </w:r>
      <w:r>
        <w:rPr/>
        <w:t>股价格同一人民币</w:t>
      </w:r>
      <w:r>
        <w:rPr/>
        <w:t>EPS</w:t>
      </w:r>
      <w:r>
        <w:rPr/>
        <w:t>乘本地</w:t>
      </w:r>
      <w:r>
        <w:rPr/>
        <w:t>PE</w:t>
      </w:r>
      <w:r>
        <w:rPr/>
        <w:t>再乘</w:t>
      </w:r>
      <w:r>
        <w:rPr/>
        <w:t>1.10</w:t>
      </w:r>
      <w:r>
        <w:rPr/>
        <w:t>汇率，</w:t>
      </w:r>
      <w:r>
        <w:rPr/>
        <w:t>A/H</w:t>
      </w:r>
      <w:r>
        <w:rPr/>
        <w:t>使用共同经营模型。集团现金、投资权益与处置收益不在盈利倍数之外再叠加，避免双重计算。</w:t>
      </w:r>
    </w:p>
    <w:p>
      <w:pPr>
        <w:pStyle w:val="Normal"/>
        <w:rPr/>
      </w:pPr>
      <w:r>
        <w:rPr/>
        <w:t>上半年经调整稀释</w:t>
      </w:r>
      <w:r>
        <w:rPr/>
        <w:t>EPS3.92</w:t>
      </w:r>
      <w:r>
        <w:rPr/>
        <w:t>元是历史锚，简单乘二为</w:t>
      </w:r>
      <w:r>
        <w:rPr/>
        <w:t>7.84</w:t>
      </w:r>
      <w:r>
        <w:rPr/>
        <w:t>元只能用于粗略比较，不是全年预测。本模型年底基准正常化</w:t>
      </w:r>
      <w:r>
        <w:rPr/>
        <w:t>EPS8.20</w:t>
      </w:r>
      <w:r>
        <w:rPr/>
        <w:t>，</w:t>
      </w:r>
      <w:r>
        <w:rPr/>
        <w:t>A</w:t>
      </w:r>
      <w:r>
        <w:rPr/>
        <w:t>股当前约</w:t>
      </w:r>
      <w:r>
        <w:rPr/>
        <w:t>19.24</w:t>
      </w:r>
      <w:r>
        <w:rPr/>
        <w:t>倍，</w:t>
      </w:r>
      <w:r>
        <w:rPr/>
        <w:t>H</w:t>
      </w:r>
      <w:r>
        <w:rPr/>
        <w:t>股折人民币约</w:t>
      </w:r>
      <w:r>
        <w:rPr/>
        <w:t>23.06</w:t>
      </w:r>
      <w:r>
        <w:rPr/>
        <w:t>倍；按一年基准</w:t>
      </w:r>
      <w:r>
        <w:rPr/>
        <w:t>EPS9.50</w:t>
      </w:r>
      <w:r>
        <w:rPr/>
        <w:t>，当前约</w:t>
      </w:r>
      <w:r>
        <w:rPr/>
        <w:t>16.61</w:t>
      </w:r>
      <w:r>
        <w:rPr/>
        <w:t>倍与</w:t>
      </w:r>
      <w:r>
        <w:rPr/>
        <w:t>19.90</w:t>
      </w:r>
      <w:r>
        <w:rPr/>
        <w:t>倍。这些倍数均依赖独立研究假设，第三方行情</w:t>
      </w:r>
      <w:r>
        <w:rPr/>
        <w:t>PE22.10</w:t>
      </w:r>
      <w:r>
        <w:rPr/>
        <w:t>或</w:t>
      </w:r>
      <w:r>
        <w:rPr/>
        <w:t>29.51</w:t>
      </w:r>
      <w:r>
        <w:rPr/>
        <w:t>的利润期间及调整口径未核，不与本模型直接比较后宣称一定便宜。</w:t>
      </w:r>
    </w:p>
    <w:p>
      <w:pPr>
        <w:pStyle w:val="Normal"/>
        <w:rPr/>
      </w:pPr>
      <w:r>
        <w:rPr/>
        <w:t>成熟商业化制造可以获得高于纯周期工厂的估值，因为工艺、合规、项目积累和长期关系增加利润持续性；仍不能无视新产能、商业化药竞争和客户议价。基准</w:t>
      </w:r>
      <w:r>
        <w:rPr/>
        <w:t>A</w:t>
      </w:r>
      <w:r>
        <w:rPr/>
        <w:t>股一年</w:t>
      </w:r>
      <w:r>
        <w:rPr/>
        <w:t>23</w:t>
      </w:r>
      <w:r>
        <w:rPr/>
        <w:t>倍、三年</w:t>
      </w:r>
      <w:r>
        <w:rPr/>
        <w:t>22</w:t>
      </w:r>
      <w:r>
        <w:rPr/>
        <w:t>倍、五年</w:t>
      </w:r>
      <w:r>
        <w:rPr/>
        <w:t>20</w:t>
      </w:r>
      <w:r>
        <w:rPr/>
        <w:t>倍，</w:t>
      </w:r>
      <w:r>
        <w:rPr/>
        <w:t>H</w:t>
      </w:r>
      <w:r>
        <w:rPr/>
        <w:t>股</w:t>
      </w:r>
      <w:r>
        <w:rPr/>
        <w:t>25</w:t>
      </w:r>
      <w:r>
        <w:rPr/>
        <w:t>、</w:t>
      </w:r>
      <w:r>
        <w:rPr/>
        <w:t>24</w:t>
      </w:r>
      <w:r>
        <w:rPr/>
        <w:t>、</w:t>
      </w:r>
      <w:r>
        <w:rPr/>
        <w:t>22</w:t>
      </w:r>
      <w:r>
        <w:rPr/>
        <w:t>倍，体现长期增长放缓与不同市场定价。</w:t>
      </w:r>
      <w:r>
        <w:rPr/>
        <w:t>H</w:t>
      </w:r>
      <w:r>
        <w:rPr/>
        <w:t>股溢价不是公司质量更好，是假设国际市场继续接受更高倍数；若溢价缩小，</w:t>
      </w:r>
      <w:r>
        <w:rPr/>
        <w:t>H</w:t>
      </w:r>
      <w:r>
        <w:rPr/>
        <w:t>回报会进一步弱于</w:t>
      </w:r>
      <w:r>
        <w:rPr/>
        <w:t>A</w:t>
      </w:r>
      <w:r>
        <w:rPr/>
        <w:t>。</w:t>
      </w:r>
    </w:p>
    <w:p>
      <w:pPr>
        <w:pStyle w:val="Normal"/>
        <w:rPr/>
      </w:pPr>
      <w:r>
        <w:rPr/>
        <w:t>管理层全年收入指引</w:t>
      </w:r>
      <w:r>
        <w:rPr/>
        <w:t>585</w:t>
      </w:r>
      <w:r>
        <w:rPr/>
        <w:t>至</w:t>
      </w:r>
      <w:r>
        <w:rPr/>
        <w:t>605</w:t>
      </w:r>
      <w:r>
        <w:rPr/>
        <w:t>亿元，持续经营增长</w:t>
      </w:r>
      <w:r>
        <w:rPr/>
        <w:t>35</w:t>
      </w:r>
      <w:r>
        <w:rPr/>
        <w:t>至</w:t>
      </w:r>
      <w:r>
        <w:rPr/>
        <w:t>39%</w:t>
      </w:r>
      <w:r>
        <w:rPr/>
        <w:t>，</w:t>
      </w:r>
      <w:r>
        <w:rPr/>
        <w:t>TIDES</w:t>
      </w:r>
      <w:r>
        <w:rPr/>
        <w:t>约</w:t>
      </w:r>
      <w:r>
        <w:rPr/>
        <w:t>45%</w:t>
      </w:r>
      <w:r>
        <w:rPr/>
        <w:t>，资本支出</w:t>
      </w:r>
      <w:r>
        <w:rPr/>
        <w:t>75</w:t>
      </w:r>
      <w:r>
        <w:rPr/>
        <w:t>至</w:t>
      </w:r>
      <w:r>
        <w:rPr/>
        <w:t>85</w:t>
      </w:r>
      <w:r>
        <w:rPr/>
        <w:t>亿元、经调整自由现金</w:t>
      </w:r>
      <w:r>
        <w:rPr/>
        <w:t>135</w:t>
      </w:r>
      <w:r>
        <w:rPr/>
        <w:t>至</w:t>
      </w:r>
      <w:r>
        <w:rPr/>
        <w:t>145</w:t>
      </w:r>
      <w:r>
        <w:rPr/>
        <w:t>亿元。上半年收入接近全年中值一半，指引方向符合保留业务强增长，但下半年仍需兑现，不能将指引写成全年结果。基准正常化盈利规模约二百四十至二百八十亿元，需要毛利与费用结构支持，现有高利润率并不保证未来继续提高。</w:t>
      </w:r>
    </w:p>
    <w:p>
      <w:pPr>
        <w:pStyle w:val="Normal"/>
        <w:rPr/>
      </w:pPr>
      <w:r>
        <w:rPr/>
        <w:t>用期末中报总股数粗算全集团权益在</w:t>
      </w:r>
      <w:r>
        <w:rPr/>
        <w:t>A</w:t>
      </w:r>
      <w:r>
        <w:rPr/>
        <w:t>价约</w:t>
      </w:r>
      <w:r>
        <w:rPr/>
        <w:t>4708</w:t>
      </w:r>
      <w:r>
        <w:rPr/>
        <w:t>亿元，若仅所有股份按</w:t>
      </w:r>
      <w:r>
        <w:rPr/>
        <w:t>H</w:t>
      </w:r>
      <w:r>
        <w:rPr/>
        <w:t>折算约</w:t>
      </w:r>
      <w:r>
        <w:rPr/>
        <w:t>5642</w:t>
      </w:r>
      <w:r>
        <w:rPr/>
        <w:t>亿元，这是假设所有类别同价的比较，不是实际两类市值相加。用原始自由现金粗略年化</w:t>
      </w:r>
      <w:r>
        <w:rPr/>
        <w:t>126.99</w:t>
      </w:r>
      <w:r>
        <w:rPr/>
        <w:t>亿元去比可得约</w:t>
      </w:r>
      <w:r>
        <w:rPr/>
        <w:t>2.70%</w:t>
      </w:r>
      <w:r>
        <w:rPr/>
        <w:t>、</w:t>
      </w:r>
      <w:r>
        <w:rPr/>
        <w:t>2.25%</w:t>
      </w:r>
      <w:r>
        <w:rPr/>
        <w:t>收益率，但现金有季节性，不能当稳态收益率。按全年经调整自由现金指引中值</w:t>
      </w:r>
      <w:r>
        <w:rPr/>
        <w:t>140</w:t>
      </w:r>
      <w:r>
        <w:rPr/>
        <w:t>亿元比较约</w:t>
      </w:r>
      <w:r>
        <w:rPr/>
        <w:t>2.97%</w:t>
      </w:r>
      <w:r>
        <w:rPr/>
        <w:t>、</w:t>
      </w:r>
      <w:r>
        <w:rPr/>
        <w:t>2.48%</w:t>
      </w:r>
      <w:r>
        <w:rPr/>
        <w:t>，仍含调整与预测，提示股价已包含增长。</w:t>
      </w:r>
    </w:p>
    <w:p>
      <w:pPr>
        <w:pStyle w:val="Normal"/>
        <w:rPr/>
      </w:pPr>
      <w:r>
        <w:rPr/>
        <w:t>完整</w:t>
      </w:r>
      <w:r>
        <w:rPr/>
        <w:t>EV/EBITDA</w:t>
      </w:r>
      <w:r>
        <w:rPr/>
        <w:t>与分部</w:t>
      </w:r>
      <w:r>
        <w:rPr/>
        <w:t>DCF</w:t>
      </w:r>
      <w:r>
        <w:rPr/>
        <w:t>尚未独立完成，本章不把上述粗略现金核对声称严格估值交叉验证。需要取得全年折旧、税、租赁、有息债务、投资和终值参数才能开展。当前</w:t>
      </w:r>
      <w:r>
        <w:rPr/>
        <w:t>PE</w:t>
      </w:r>
      <w:r>
        <w:rPr/>
        <w:t>模型的实际作用是让读者检验</w:t>
      </w:r>
      <w:r>
        <w:rPr/>
        <w:t>EPS</w:t>
      </w:r>
      <w:r>
        <w:rPr/>
        <w:t>与倍数的条件，不是用很多不同指标平均出一个似乎科学的目标。现金与利润不符时应直接质疑盈利质量或倍数，而不是借另一种方法遮盖差异。</w:t>
      </w:r>
    </w:p>
    <w:p>
      <w:pPr>
        <w:pStyle w:val="Heading2"/>
        <w:rPr/>
      </w:pPr>
      <w:r>
        <w:rPr>
          <w:color w:val="000000"/>
        </w:rPr>
        <w:t>四期限情景与失败路径</w:t>
      </w:r>
    </w:p>
    <w:p>
      <w:pPr>
        <w:pStyle w:val="Normal"/>
        <w:rPr/>
      </w:pPr>
      <w:r>
        <w:rPr/>
        <w:t>半年悲观正常化</w:t>
      </w:r>
      <w:r>
        <w:rPr/>
        <w:t>EPS6.80</w:t>
      </w:r>
      <w:r>
        <w:rPr/>
        <w:t>元，</w:t>
      </w:r>
      <w:r>
        <w:rPr/>
        <w:t>A/H</w:t>
      </w:r>
      <w:r>
        <w:rPr/>
        <w:t>估值</w:t>
      </w:r>
      <w:r>
        <w:rPr/>
        <w:t>17</w:t>
      </w:r>
      <w:r>
        <w:rPr/>
        <w:t>倍、</w:t>
      </w:r>
      <w:r>
        <w:rPr/>
        <w:t>18</w:t>
      </w:r>
      <w:r>
        <w:rPr/>
        <w:t>倍，目标</w:t>
      </w:r>
      <w:r>
        <w:rPr/>
        <w:t>115.60</w:t>
      </w:r>
      <w:r>
        <w:rPr/>
        <w:t>元、</w:t>
      </w:r>
      <w:r>
        <w:rPr/>
        <w:t>134.64</w:t>
      </w:r>
      <w:r>
        <w:rPr/>
        <w:t>港元，较现价跌</w:t>
      </w:r>
      <w:r>
        <w:rPr/>
        <w:t>26.74%</w:t>
      </w:r>
      <w:r>
        <w:rPr/>
        <w:t>、</w:t>
      </w:r>
      <w:r>
        <w:rPr/>
        <w:t>35.27%</w:t>
      </w:r>
      <w:r>
        <w:rPr/>
        <w:t>。基准</w:t>
      </w:r>
      <w:r>
        <w:rPr/>
        <w:t>EPS8.80</w:t>
      </w:r>
      <w:r>
        <w:rPr/>
        <w:t>，倍数</w:t>
      </w:r>
      <w:r>
        <w:rPr/>
        <w:t>23</w:t>
      </w:r>
      <w:r>
        <w:rPr/>
        <w:t>、</w:t>
      </w:r>
      <w:r>
        <w:rPr/>
        <w:t>25</w:t>
      </w:r>
      <w:r>
        <w:rPr/>
        <w:t>，目标</w:t>
      </w:r>
      <w:r>
        <w:rPr/>
        <w:t>202.40</w:t>
      </w:r>
      <w:r>
        <w:rPr/>
        <w:t>、</w:t>
      </w:r>
      <w:r>
        <w:rPr/>
        <w:t>242.00</w:t>
      </w:r>
      <w:r>
        <w:rPr/>
        <w:t>；乐观</w:t>
      </w:r>
      <w:r>
        <w:rPr/>
        <w:t>EPS10.00</w:t>
      </w:r>
      <w:r>
        <w:rPr/>
        <w:t>，倍数</w:t>
      </w:r>
      <w:r>
        <w:rPr/>
        <w:t>29</w:t>
      </w:r>
      <w:r>
        <w:rPr/>
        <w:t>、</w:t>
      </w:r>
      <w:r>
        <w:rPr/>
        <w:t>31</w:t>
      </w:r>
      <w:r>
        <w:rPr/>
        <w:t>，目标</w:t>
      </w:r>
      <w:r>
        <w:rPr/>
        <w:t>290.00</w:t>
      </w:r>
      <w:r>
        <w:rPr/>
        <w:t>、</w:t>
      </w:r>
      <w:r>
        <w:rPr/>
        <w:t>341.00</w:t>
      </w:r>
      <w:r>
        <w:rPr/>
        <w:t>，涨</w:t>
      </w:r>
      <w:r>
        <w:rPr/>
        <w:t>83.78%</w:t>
      </w:r>
      <w:r>
        <w:rPr/>
        <w:t>、</w:t>
      </w:r>
      <w:r>
        <w:rPr/>
        <w:t>63.94%</w:t>
      </w:r>
      <w:r>
        <w:rPr/>
        <w:t>。半年</w:t>
      </w:r>
      <w:r>
        <w:rPr/>
        <w:t>EPS</w:t>
      </w:r>
      <w:r>
        <w:rPr/>
        <w:t>范围代表市场对未来盈利的认知变化，不能理解成半年实际赚到十元。这个区间把增长、交付和政策预期同时显式展开。</w:t>
      </w:r>
    </w:p>
    <w:p>
      <w:pPr>
        <w:pStyle w:val="Normal"/>
        <w:rPr/>
      </w:pPr>
      <w:r>
        <w:rPr/>
        <w:t>半年最直接催化是后续季度和年度指引兑现、订单转化、新产能爬坡与政策信息明朗。</w:t>
      </w:r>
      <w:r>
        <w:rPr/>
        <w:t>A/H</w:t>
      </w:r>
      <w:r>
        <w:rPr/>
        <w:t>图形已反映很强半年上涨，若新增信息仅符合预期，估值可能维持而非继续扩张。基准要求收入与现金验证增长，不需要每周上涨；乐观需要超出当前已经不低的预期。失败路径是客户延迟、新产能费用上升、利润率压缩，叠加量价破坏时，技术评分和估值评分应共同下调。</w:t>
      </w:r>
    </w:p>
    <w:p>
      <w:pPr>
        <w:pStyle w:val="Normal"/>
        <w:rPr/>
      </w:pPr>
      <w:r>
        <w:rPr/>
        <w:t>一年悲观</w:t>
      </w:r>
      <w:r>
        <w:rPr/>
        <w:t>EPS7.00</w:t>
      </w:r>
      <w:r>
        <w:rPr/>
        <w:t>元、</w:t>
      </w:r>
      <w:r>
        <w:rPr/>
        <w:t>A/H17</w:t>
      </w:r>
      <w:r>
        <w:rPr/>
        <w:t>和</w:t>
      </w:r>
      <w:r>
        <w:rPr/>
        <w:t>18</w:t>
      </w:r>
      <w:r>
        <w:rPr/>
        <w:t>倍，目标</w:t>
      </w:r>
      <w:r>
        <w:rPr/>
        <w:t>119.00</w:t>
      </w:r>
      <w:r>
        <w:rPr/>
        <w:t>元、</w:t>
      </w:r>
      <w:r>
        <w:rPr/>
        <w:t>138.60</w:t>
      </w:r>
      <w:r>
        <w:rPr/>
        <w:t>港元，跌</w:t>
      </w:r>
      <w:r>
        <w:rPr/>
        <w:t>24.59%</w:t>
      </w:r>
      <w:r>
        <w:rPr/>
        <w:t>、</w:t>
      </w:r>
      <w:r>
        <w:rPr/>
        <w:t>33.37%</w:t>
      </w:r>
      <w:r>
        <w:rPr/>
        <w:t>；基准</w:t>
      </w:r>
      <w:r>
        <w:rPr/>
        <w:t>9.50</w:t>
      </w:r>
      <w:r>
        <w:rPr/>
        <w:t>元、</w:t>
      </w:r>
      <w:r>
        <w:rPr/>
        <w:t>23</w:t>
      </w:r>
      <w:r>
        <w:rPr/>
        <w:t>和</w:t>
      </w:r>
      <w:r>
        <w:rPr/>
        <w:t>25</w:t>
      </w:r>
      <w:r>
        <w:rPr/>
        <w:t>倍，</w:t>
      </w:r>
      <w:r>
        <w:rPr/>
        <w:t>218.50</w:t>
      </w:r>
      <w:r>
        <w:rPr/>
        <w:t>、</w:t>
      </w:r>
      <w:r>
        <w:rPr/>
        <w:t>261.25</w:t>
      </w:r>
      <w:r>
        <w:rPr/>
        <w:t>；乐观</w:t>
      </w:r>
      <w:r>
        <w:rPr/>
        <w:t>11.80</w:t>
      </w:r>
      <w:r>
        <w:rPr/>
        <w:t>元、</w:t>
      </w:r>
      <w:r>
        <w:rPr/>
        <w:t>30</w:t>
      </w:r>
      <w:r>
        <w:rPr/>
        <w:t>和</w:t>
      </w:r>
      <w:r>
        <w:rPr/>
        <w:t>31</w:t>
      </w:r>
      <w:r>
        <w:rPr/>
        <w:t>倍，</w:t>
      </w:r>
      <w:r>
        <w:rPr/>
        <w:t>354.00</w:t>
      </w:r>
      <w:r>
        <w:rPr/>
        <w:t>、</w:t>
      </w:r>
      <w:r>
        <w:rPr/>
        <w:t>402.38</w:t>
      </w:r>
      <w:r>
        <w:rPr/>
        <w:t>，涨</w:t>
      </w:r>
      <w:r>
        <w:rPr/>
        <w:t>124.33%</w:t>
      </w:r>
      <w:r>
        <w:rPr/>
        <w:t>、</w:t>
      </w:r>
      <w:r>
        <w:rPr/>
        <w:t>93.45%</w:t>
      </w:r>
      <w:r>
        <w:rPr/>
        <w:t>。一年累计分红假设悲观</w:t>
      </w:r>
      <w:r>
        <w:rPr/>
        <w:t>1.20</w:t>
      </w:r>
      <w:r>
        <w:rPr/>
        <w:t>、基准</w:t>
      </w:r>
      <w:r>
        <w:rPr/>
        <w:t>1.80</w:t>
      </w:r>
      <w:r>
        <w:rPr/>
        <w:t>、乐观</w:t>
      </w:r>
      <w:r>
        <w:rPr/>
        <w:t>2.30</w:t>
      </w:r>
      <w:r>
        <w:rPr/>
        <w:t>元人民币，</w:t>
      </w:r>
      <w:r>
        <w:rPr/>
        <w:t>H</w:t>
      </w:r>
      <w:r>
        <w:rPr/>
        <w:t>按假设汇率换算。基准含分红总回报</w:t>
      </w:r>
      <w:r>
        <w:rPr/>
        <w:t>A39.61%</w:t>
      </w:r>
      <w:r>
        <w:rPr/>
        <w:t>、</w:t>
      </w:r>
      <w:r>
        <w:rPr/>
        <w:t>H26.55%</w:t>
      </w:r>
      <w:r>
        <w:rPr/>
        <w:t>，分红为预测且未扣个人税费。</w:t>
      </w:r>
    </w:p>
    <w:p>
      <w:pPr>
        <w:pStyle w:val="Normal"/>
        <w:rPr/>
      </w:pPr>
      <w:r>
        <w:rPr/>
        <w:t>一年逻辑是当前订单和后期项目转为连续季度利润，而不只一次放量。相较半年，有更多时间观察扩产效率、客户预算和新增管线，能降低单季度交付误差。若指引上调主要来自处置收益、全年经调整自由现金仍落后，或商业化订单增长不能持续，就应降低</w:t>
      </w:r>
      <w:r>
        <w:rPr/>
        <w:t>EPS</w:t>
      </w:r>
      <w:r>
        <w:rPr/>
        <w:t>增长速度。</w:t>
      </w:r>
      <w:r>
        <w:rPr/>
        <w:t>A</w:t>
      </w:r>
      <w:r>
        <w:rPr/>
        <w:t>股在同一正常化盈利下提供更好起始倍数，</w:t>
      </w:r>
      <w:r>
        <w:rPr/>
        <w:t>H</w:t>
      </w:r>
      <w:r>
        <w:rPr/>
        <w:t>股虽可因国际风险偏好上涨，但需要承受较小安全边际。</w:t>
      </w:r>
    </w:p>
    <w:p>
      <w:pPr>
        <w:pStyle w:val="Normal"/>
        <w:rPr/>
      </w:pPr>
      <w:r>
        <w:rPr/>
        <w:t>三年悲观</w:t>
      </w:r>
      <w:r>
        <w:rPr/>
        <w:t>EPS7.20</w:t>
      </w:r>
      <w:r>
        <w:rPr/>
        <w:t>元、</w:t>
      </w:r>
      <w:r>
        <w:rPr/>
        <w:t>A/H15</w:t>
      </w:r>
      <w:r>
        <w:rPr/>
        <w:t>和</w:t>
      </w:r>
      <w:r>
        <w:rPr/>
        <w:t>16</w:t>
      </w:r>
      <w:r>
        <w:rPr/>
        <w:t>倍，</w:t>
      </w:r>
      <w:r>
        <w:rPr/>
        <w:t>108.00</w:t>
      </w:r>
      <w:r>
        <w:rPr/>
        <w:t>元、</w:t>
      </w:r>
      <w:r>
        <w:rPr/>
        <w:t>126.72</w:t>
      </w:r>
      <w:r>
        <w:rPr/>
        <w:t>港元，股价跌</w:t>
      </w:r>
      <w:r>
        <w:rPr/>
        <w:t>31.56%</w:t>
      </w:r>
      <w:r>
        <w:rPr/>
        <w:t>、</w:t>
      </w:r>
      <w:r>
        <w:rPr/>
        <w:t>39.08%</w:t>
      </w:r>
      <w:r>
        <w:rPr/>
        <w:t>；基准</w:t>
      </w:r>
      <w:r>
        <w:rPr/>
        <w:t>12.50</w:t>
      </w:r>
      <w:r>
        <w:rPr/>
        <w:t>元、</w:t>
      </w:r>
      <w:r>
        <w:rPr/>
        <w:t>22</w:t>
      </w:r>
      <w:r>
        <w:rPr/>
        <w:t>和</w:t>
      </w:r>
      <w:r>
        <w:rPr/>
        <w:t>24</w:t>
      </w:r>
      <w:r>
        <w:rPr/>
        <w:t>倍，</w:t>
      </w:r>
      <w:r>
        <w:rPr/>
        <w:t>275.00</w:t>
      </w:r>
      <w:r>
        <w:rPr/>
        <w:t>、</w:t>
      </w:r>
      <w:r>
        <w:rPr/>
        <w:t>330.00</w:t>
      </w:r>
      <w:r>
        <w:rPr/>
        <w:t>；乐观</w:t>
      </w:r>
      <w:r>
        <w:rPr/>
        <w:t>17.50</w:t>
      </w:r>
      <w:r>
        <w:rPr/>
        <w:t>元、</w:t>
      </w:r>
      <w:r>
        <w:rPr/>
        <w:t>28</w:t>
      </w:r>
      <w:r>
        <w:rPr/>
        <w:t>和</w:t>
      </w:r>
      <w:r>
        <w:rPr/>
        <w:t>29</w:t>
      </w:r>
      <w:r>
        <w:rPr/>
        <w:t>倍，</w:t>
      </w:r>
      <w:r>
        <w:rPr/>
        <w:t>490.00</w:t>
      </w:r>
      <w:r>
        <w:rPr/>
        <w:t>、</w:t>
      </w:r>
      <w:r>
        <w:rPr/>
        <w:t>558.25</w:t>
      </w:r>
      <w:r>
        <w:rPr/>
        <w:t>。累计分红悲观</w:t>
      </w:r>
      <w:r>
        <w:rPr/>
        <w:t>4</w:t>
      </w:r>
      <w:r>
        <w:rPr/>
        <w:t>、基准</w:t>
      </w:r>
      <w:r>
        <w:rPr/>
        <w:t>7</w:t>
      </w:r>
      <w:r>
        <w:rPr/>
        <w:t>、乐观</w:t>
      </w:r>
      <w:r>
        <w:rPr/>
        <w:t>10</w:t>
      </w:r>
      <w:r>
        <w:rPr/>
        <w:t>元人民币，基准总回报</w:t>
      </w:r>
      <w:r>
        <w:rPr/>
        <w:t>A78.71%</w:t>
      </w:r>
      <w:r>
        <w:rPr/>
        <w:t>、</w:t>
      </w:r>
      <w:r>
        <w:rPr/>
        <w:t>H62.36%</w:t>
      </w:r>
      <w:r>
        <w:rPr/>
        <w:t>，年化</w:t>
      </w:r>
      <w:r>
        <w:rPr/>
        <w:t>21.35%</w:t>
      </w:r>
      <w:r>
        <w:rPr/>
        <w:t>、</w:t>
      </w:r>
      <w:r>
        <w:rPr/>
        <w:t>17.53%</w:t>
      </w:r>
      <w:r>
        <w:rPr/>
        <w:t>。以中报稀释加权股数说明，基准</w:t>
      </w:r>
      <w:r>
        <w:rPr/>
        <w:t>EPS</w:t>
      </w:r>
      <w:r>
        <w:rPr/>
        <w:t>对应约</w:t>
      </w:r>
      <w:r>
        <w:rPr/>
        <w:t>368.63</w:t>
      </w:r>
      <w:r>
        <w:rPr/>
        <w:t>亿元正常化利润，须有持续订单和效率支撑。</w:t>
      </w:r>
    </w:p>
    <w:p>
      <w:pPr>
        <w:pStyle w:val="Normal"/>
        <w:rPr/>
      </w:pPr>
      <w:r>
        <w:rPr/>
        <w:t>三年高分原因是既存早期及二三期管线有时间进入更高价值阶段，多肽核酸产能完成爬坡，新增基地可能形成实际服务能力。它比半年减少纯技术权重，也比五年少一部分终端技术和竞争不确定性。基准从年底</w:t>
      </w:r>
      <w:r>
        <w:rPr/>
        <w:t>EPS8.20</w:t>
      </w:r>
      <w:r>
        <w:rPr/>
        <w:t>升到</w:t>
      </w:r>
      <w:r>
        <w:rPr/>
        <w:t>12.50</w:t>
      </w:r>
      <w:r>
        <w:rPr/>
        <w:t>，并未延续当前</w:t>
      </w:r>
      <w:r>
        <w:rPr/>
        <w:t>83%</w:t>
      </w:r>
      <w:r>
        <w:rPr/>
        <w:t>调整利润增速；乐观</w:t>
      </w:r>
      <w:r>
        <w:rPr/>
        <w:t>17.50</w:t>
      </w:r>
      <w:r>
        <w:rPr/>
        <w:t>需要多个增长引擎成功。悲观设</w:t>
      </w:r>
      <w:r>
        <w:rPr/>
        <w:t>EPS</w:t>
      </w:r>
      <w:r>
        <w:rPr/>
        <w:t>仍仅略高历史粗年化，同时市场用低倍数定价，展示利润不崩也会亏损。</w:t>
      </w:r>
    </w:p>
    <w:p>
      <w:pPr>
        <w:pStyle w:val="Normal"/>
        <w:rPr/>
      </w:pPr>
      <w:r>
        <w:rPr/>
        <w:t>五年悲观</w:t>
      </w:r>
      <w:r>
        <w:rPr/>
        <w:t>EPS7.50</w:t>
      </w:r>
      <w:r>
        <w:rPr/>
        <w:t>元、</w:t>
      </w:r>
      <w:r>
        <w:rPr/>
        <w:t>A/H14</w:t>
      </w:r>
      <w:r>
        <w:rPr/>
        <w:t>和</w:t>
      </w:r>
      <w:r>
        <w:rPr/>
        <w:t>15</w:t>
      </w:r>
      <w:r>
        <w:rPr/>
        <w:t>倍，</w:t>
      </w:r>
      <w:r>
        <w:rPr/>
        <w:t>105.00</w:t>
      </w:r>
      <w:r>
        <w:rPr/>
        <w:t>元、</w:t>
      </w:r>
      <w:r>
        <w:rPr/>
        <w:t>123.75</w:t>
      </w:r>
      <w:r>
        <w:rPr/>
        <w:t>港元，跌</w:t>
      </w:r>
      <w:r>
        <w:rPr/>
        <w:t>33.46%</w:t>
      </w:r>
      <w:r>
        <w:rPr/>
        <w:t>、</w:t>
      </w:r>
      <w:r>
        <w:rPr/>
        <w:t>40.50%</w:t>
      </w:r>
      <w:r>
        <w:rPr/>
        <w:t>；基准</w:t>
      </w:r>
      <w:r>
        <w:rPr/>
        <w:t>15.50</w:t>
      </w:r>
      <w:r>
        <w:rPr/>
        <w:t>元、</w:t>
      </w:r>
      <w:r>
        <w:rPr/>
        <w:t>20</w:t>
      </w:r>
      <w:r>
        <w:rPr/>
        <w:t>和</w:t>
      </w:r>
      <w:r>
        <w:rPr/>
        <w:t>22</w:t>
      </w:r>
      <w:r>
        <w:rPr/>
        <w:t>倍，</w:t>
      </w:r>
      <w:r>
        <w:rPr/>
        <w:t>310.00</w:t>
      </w:r>
      <w:r>
        <w:rPr/>
        <w:t>、</w:t>
      </w:r>
      <w:r>
        <w:rPr/>
        <w:t>375.10</w:t>
      </w:r>
      <w:r>
        <w:rPr/>
        <w:t>；乐观</w:t>
      </w:r>
      <w:r>
        <w:rPr/>
        <w:t>24.00</w:t>
      </w:r>
      <w:r>
        <w:rPr/>
        <w:t>元、</w:t>
      </w:r>
      <w:r>
        <w:rPr/>
        <w:t>27</w:t>
      </w:r>
      <w:r>
        <w:rPr/>
        <w:t>和</w:t>
      </w:r>
      <w:r>
        <w:rPr/>
        <w:t>28</w:t>
      </w:r>
      <w:r>
        <w:rPr/>
        <w:t>倍，</w:t>
      </w:r>
      <w:r>
        <w:rPr/>
        <w:t>648.00</w:t>
      </w:r>
      <w:r>
        <w:rPr/>
        <w:t>、</w:t>
      </w:r>
      <w:r>
        <w:rPr/>
        <w:t>739.20</w:t>
      </w:r>
      <w:r>
        <w:rPr/>
        <w:t>。累计分红</w:t>
      </w:r>
      <w:r>
        <w:rPr/>
        <w:t>7</w:t>
      </w:r>
      <w:r>
        <w:rPr/>
        <w:t>、</w:t>
      </w:r>
      <w:r>
        <w:rPr/>
        <w:t>14</w:t>
      </w:r>
      <w:r>
        <w:rPr/>
        <w:t>、</w:t>
      </w:r>
      <w:r>
        <w:rPr/>
        <w:t>21</w:t>
      </w:r>
      <w:r>
        <w:rPr/>
        <w:t>元人民币，基准总回报</w:t>
      </w:r>
      <w:r>
        <w:rPr/>
        <w:t>A105.32%</w:t>
      </w:r>
      <w:r>
        <w:rPr/>
        <w:t>、</w:t>
      </w:r>
      <w:r>
        <w:rPr/>
        <w:t>H87.74%</w:t>
      </w:r>
      <w:r>
        <w:rPr/>
        <w:t>，年化</w:t>
      </w:r>
      <w:r>
        <w:rPr/>
        <w:t>15.47%</w:t>
      </w:r>
      <w:r>
        <w:rPr/>
        <w:t>、</w:t>
      </w:r>
      <w:r>
        <w:rPr/>
        <w:t>13.43%</w:t>
      </w:r>
      <w:r>
        <w:rPr/>
        <w:t>。基准利润规模约</w:t>
      </w:r>
      <w:r>
        <w:rPr/>
        <w:t>457.10</w:t>
      </w:r>
      <w:r>
        <w:rPr/>
        <w:t>亿元，乐观约</w:t>
      </w:r>
      <w:r>
        <w:rPr/>
        <w:t>707.77</w:t>
      </w:r>
      <w:r>
        <w:rPr/>
        <w:t>亿元，远高当下，不能不解释需要怎样的客户与制造规模。</w:t>
      </w:r>
    </w:p>
    <w:p>
      <w:pPr>
        <w:pStyle w:val="Normal"/>
        <w:rPr/>
      </w:pPr>
      <w:r>
        <w:rPr/>
        <w:t>五年路径要求平台不断补充分子、保持研发入口、把质量和工程知识扩展到新技术，并且大额资本开支获得足够回报。增长接近成熟后估值从当前潜在重估向稳健现金收益转换，所以基准倍数下降。失败不一定是技术消失，也可能行业供给丰富、客户自产增加、政策导致重复建设，收入仍增长但每股自由现金低于预测。长期评分因此低于三年，不能把持有更久本身当作风险自动消散。</w:t>
      </w:r>
    </w:p>
    <w:p>
      <w:pPr>
        <w:pStyle w:val="Normal"/>
        <w:rPr/>
      </w:pPr>
      <w:r>
        <w:rPr/>
        <w:t>目标日按用户要求对应半年</w:t>
      </w:r>
      <w:r>
        <w:rPr/>
        <w:t>2027</w:t>
      </w:r>
      <w:r>
        <w:rPr/>
        <w:t>年</w:t>
      </w:r>
      <w:r>
        <w:rPr/>
        <w:t>4</w:t>
      </w:r>
      <w:r>
        <w:rPr/>
        <w:t>月</w:t>
      </w:r>
      <w:r>
        <w:rPr/>
        <w:t>9</w:t>
      </w:r>
      <w:r>
        <w:rPr/>
        <w:t>日、一年</w:t>
      </w:r>
      <w:r>
        <w:rPr/>
        <w:t>2027</w:t>
      </w:r>
      <w:r>
        <w:rPr/>
        <w:t>年</w:t>
      </w:r>
      <w:r>
        <w:rPr/>
        <w:t>10</w:t>
      </w:r>
      <w:r>
        <w:rPr/>
        <w:t>月</w:t>
      </w:r>
      <w:r>
        <w:rPr/>
        <w:t>9</w:t>
      </w:r>
      <w:r>
        <w:rPr/>
        <w:t>日、三年</w:t>
      </w:r>
      <w:r>
        <w:rPr/>
        <w:t>2029</w:t>
      </w:r>
      <w:r>
        <w:rPr/>
        <w:t>年</w:t>
      </w:r>
      <w:r>
        <w:rPr/>
        <w:t>10</w:t>
      </w:r>
      <w:r>
        <w:rPr/>
        <w:t>月</w:t>
      </w:r>
      <w:r>
        <w:rPr/>
        <w:t>9</w:t>
      </w:r>
      <w:r>
        <w:rPr/>
        <w:t>日、五年</w:t>
      </w:r>
      <w:r>
        <w:rPr/>
        <w:t>2031</w:t>
      </w:r>
      <w:r>
        <w:rPr/>
        <w:t>年</w:t>
      </w:r>
      <w:r>
        <w:rPr/>
        <w:t>10</w:t>
      </w:r>
      <w:r>
        <w:rPr/>
        <w:t>月</w:t>
      </w:r>
      <w:r>
        <w:rPr/>
        <w:t>9</w:t>
      </w:r>
      <w:r>
        <w:rPr/>
        <w:t>日，休市取之前交易日。年化按三年或五年长度计算，是比较指标，未来实际派息时点与再投资会改变严格内部收益率。本模型累计分红直接加到终值、未假设中途再投资，也未扣交易税和个人所得税；两地本币收益分列，避免用汇率回报掩盖股票本身。</w:t>
      </w:r>
    </w:p>
    <w:p>
      <w:pPr>
        <w:pStyle w:val="Heading2"/>
        <w:rPr/>
      </w:pPr>
      <w:r>
        <w:rPr>
          <w:color w:val="000000"/>
        </w:rPr>
        <w:t>年底期望 权重敏感性与估值压缩</w:t>
      </w:r>
    </w:p>
    <w:p>
      <w:pPr>
        <w:pStyle w:val="Normal"/>
        <w:rPr/>
      </w:pPr>
      <w:r>
        <w:rPr/>
        <w:t>年底悲观正常化</w:t>
      </w:r>
      <w:r>
        <w:rPr/>
        <w:t>EPS6.70</w:t>
      </w:r>
      <w:r>
        <w:rPr/>
        <w:t>元、</w:t>
      </w:r>
      <w:r>
        <w:rPr/>
        <w:t>A/H16</w:t>
      </w:r>
      <w:r>
        <w:rPr/>
        <w:t>和</w:t>
      </w:r>
      <w:r>
        <w:rPr/>
        <w:t>17</w:t>
      </w:r>
      <w:r>
        <w:rPr/>
        <w:t>倍；基准</w:t>
      </w:r>
      <w:r>
        <w:rPr/>
        <w:t>8.20</w:t>
      </w:r>
      <w:r>
        <w:rPr/>
        <w:t>元、</w:t>
      </w:r>
      <w:r>
        <w:rPr/>
        <w:t>22</w:t>
      </w:r>
      <w:r>
        <w:rPr/>
        <w:t>和</w:t>
      </w:r>
      <w:r>
        <w:rPr/>
        <w:t>24</w:t>
      </w:r>
      <w:r>
        <w:rPr/>
        <w:t>倍；乐观</w:t>
      </w:r>
      <w:r>
        <w:rPr/>
        <w:t>9.30</w:t>
      </w:r>
      <w:r>
        <w:rPr/>
        <w:t>元、</w:t>
      </w:r>
      <w:r>
        <w:rPr/>
        <w:t>29</w:t>
      </w:r>
      <w:r>
        <w:rPr/>
        <w:t>和</w:t>
      </w:r>
      <w:r>
        <w:rPr/>
        <w:t>30</w:t>
      </w:r>
      <w:r>
        <w:rPr/>
        <w:t>倍。基准较半年目标低，原因是时间更短、经营证据不完整，采用较低</w:t>
      </w:r>
      <w:r>
        <w:rPr/>
        <w:t>EPS</w:t>
      </w:r>
      <w:r>
        <w:rPr/>
        <w:t>与倍数，未把机构一年目标按月份线性缩放。年底股票价格可以在业绩发生前反映未来盈利，也可以因政策或市场波动跳出本情景区间。这里是条件研究，不是统计置信区间或最大损失边界。</w:t>
      </w:r>
    </w:p>
    <w:p>
      <w:pPr>
        <w:pStyle w:val="Normal"/>
        <w:rPr/>
      </w:pPr>
      <w:r>
        <w:rPr/>
        <w:t>默认加权期望只是三种价格乘</w:t>
      </w:r>
      <w:r>
        <w:rPr/>
        <w:t>25%</w:t>
      </w:r>
      <w:r>
        <w:rPr/>
        <w:t>、</w:t>
      </w:r>
      <w:r>
        <w:rPr/>
        <w:t>50%</w:t>
      </w:r>
      <w:r>
        <w:rPr/>
        <w:t>、</w:t>
      </w:r>
      <w:r>
        <w:rPr/>
        <w:t>25%</w:t>
      </w:r>
      <w:r>
        <w:rPr/>
        <w:t>。若改为防御</w:t>
      </w:r>
      <w:r>
        <w:rPr/>
        <w:t>40%</w:t>
      </w:r>
      <w:r>
        <w:rPr/>
        <w:t>、</w:t>
      </w:r>
      <w:r>
        <w:rPr/>
        <w:t>50%</w:t>
      </w:r>
      <w:r>
        <w:rPr/>
        <w:t>、</w:t>
      </w:r>
      <w:r>
        <w:rPr/>
        <w:t>10%</w:t>
      </w:r>
      <w:r>
        <w:rPr/>
        <w:t>，</w:t>
      </w:r>
      <w:r>
        <w:rPr/>
        <w:t>A</w:t>
      </w:r>
      <w:r>
        <w:rPr/>
        <w:t>期望</w:t>
      </w:r>
      <w:r>
        <w:rPr/>
        <w:t>160.05</w:t>
      </w:r>
      <w:r>
        <w:rPr/>
        <w:t>元，较现价</w:t>
      </w:r>
      <w:r>
        <w:rPr/>
        <w:t>1.43%</w:t>
      </w:r>
      <w:r>
        <w:rPr/>
        <w:t>，</w:t>
      </w:r>
      <w:r>
        <w:rPr/>
        <w:t>H189.046</w:t>
      </w:r>
      <w:r>
        <w:rPr/>
        <w:t>港元，跌</w:t>
      </w:r>
      <w:r>
        <w:rPr/>
        <w:t>9.11%</w:t>
      </w:r>
      <w:r>
        <w:rPr/>
        <w:t>；若偏积极</w:t>
      </w:r>
      <w:r>
        <w:rPr/>
        <w:t>10%</w:t>
      </w:r>
      <w:r>
        <w:rPr/>
        <w:t>、</w:t>
      </w:r>
      <w:r>
        <w:rPr/>
        <w:t>50%</w:t>
      </w:r>
      <w:r>
        <w:rPr/>
        <w:t>、</w:t>
      </w:r>
      <w:r>
        <w:rPr/>
        <w:t>40%</w:t>
      </w:r>
      <w:r>
        <w:rPr/>
        <w:t>，</w:t>
      </w:r>
      <w:r>
        <w:rPr/>
        <w:t>A208.80</w:t>
      </w:r>
      <w:r>
        <w:rPr/>
        <w:t>元，涨</w:t>
      </w:r>
      <w:r>
        <w:rPr/>
        <w:t>32.32%</w:t>
      </w:r>
      <w:r>
        <w:rPr/>
        <w:t>，</w:t>
      </w:r>
      <w:r>
        <w:rPr/>
        <w:t>H243.529</w:t>
      </w:r>
      <w:r>
        <w:rPr/>
        <w:t>港元，涨</w:t>
      </w:r>
      <w:r>
        <w:rPr/>
        <w:t>17.08%</w:t>
      </w:r>
      <w:r>
        <w:rPr/>
        <w:t>。</w:t>
      </w:r>
      <w:r>
        <w:rPr/>
        <w:t>H</w:t>
      </w:r>
      <w:r>
        <w:rPr/>
        <w:t>在默认权重只有约</w:t>
      </w:r>
      <w:r>
        <w:rPr/>
        <w:t>4%</w:t>
      </w:r>
      <w:r>
        <w:rPr/>
        <w:t>空间，在防御权重变负，说明当前价格已经反映较多增长。期望对权重敏感，不能把数字</w:t>
      </w:r>
      <w:r>
        <w:rPr/>
        <w:t>16.87%</w:t>
      </w:r>
      <w:r>
        <w:rPr/>
        <w:t>解释成精确赔率。</w:t>
      </w:r>
    </w:p>
    <w:p>
      <w:pPr>
        <w:pStyle w:val="Normal"/>
        <w:rPr/>
      </w:pPr>
      <w:r>
        <w:rPr/>
        <w:t>乐观价</w:t>
      </w:r>
      <w:r>
        <w:rPr/>
        <w:t>269.70</w:t>
      </w:r>
      <w:r>
        <w:rPr/>
        <w:t>元和</w:t>
      </w:r>
      <w:r>
        <w:rPr/>
        <w:t>306.90</w:t>
      </w:r>
      <w:r>
        <w:rPr/>
        <w:t>港元同时需要较高</w:t>
      </w:r>
      <w:r>
        <w:rPr/>
        <w:t>EPS</w:t>
      </w:r>
      <w:r>
        <w:rPr/>
        <w:t>与</w:t>
      </w:r>
      <w:r>
        <w:rPr/>
        <w:t>PE</w:t>
      </w:r>
      <w:r>
        <w:rPr/>
        <w:t>，</w:t>
      </w:r>
      <w:r>
        <w:rPr/>
        <w:t>A</w:t>
      </w:r>
      <w:r>
        <w:rPr/>
        <w:t>股由当前</w:t>
      </w:r>
      <w:r>
        <w:rPr/>
        <w:t>157.80</w:t>
      </w:r>
      <w:r>
        <w:rPr/>
        <w:t>元上涨约</w:t>
      </w:r>
      <w:r>
        <w:rPr/>
        <w:t>71%</w:t>
      </w:r>
      <w:r>
        <w:rPr/>
        <w:t>在剩余不到三个月中属于强重估路径。需要重大新信息、订单或盈利超预期、政策尾部风险降低和市场风险偏好配合。没有这些条件时不能用乐观目标说“年底必有七成空间”。悲观则可能由盈利只是降至</w:t>
      </w:r>
      <w:r>
        <w:rPr/>
        <w:t>6.70</w:t>
      </w:r>
      <w:r>
        <w:rPr/>
        <w:t>元和</w:t>
      </w:r>
      <w:r>
        <w:rPr/>
        <w:t>PE</w:t>
      </w:r>
      <w:r>
        <w:rPr/>
        <w:t>收缩形成，不必等待公司出现现金危机，反映高预期资产的双重敏感性。</w:t>
      </w:r>
    </w:p>
    <w:p>
      <w:pPr>
        <w:pStyle w:val="Normal"/>
        <w:rPr/>
      </w:pPr>
      <w:r>
        <w:rPr/>
        <w:t>价格对</w:t>
      </w:r>
      <w:r>
        <w:rPr/>
        <w:t>EPS</w:t>
      </w:r>
      <w:r>
        <w:rPr/>
        <w:t>和</w:t>
      </w:r>
      <w:r>
        <w:rPr/>
        <w:t>PE</w:t>
      </w:r>
      <w:r>
        <w:rPr/>
        <w:t>的弹性可以直接检验。基准</w:t>
      </w:r>
      <w:r>
        <w:rPr/>
        <w:t>A</w:t>
      </w:r>
      <w:r>
        <w:rPr/>
        <w:t>一年</w:t>
      </w:r>
      <w:r>
        <w:rPr/>
        <w:t>EPS9.50</w:t>
      </w:r>
      <w:r>
        <w:rPr/>
        <w:t>、</w:t>
      </w:r>
      <w:r>
        <w:rPr/>
        <w:t>23</w:t>
      </w:r>
      <w:r>
        <w:rPr/>
        <w:t>倍为</w:t>
      </w:r>
      <w:r>
        <w:rPr/>
        <w:t>218.50</w:t>
      </w:r>
      <w:r>
        <w:rPr/>
        <w:t>元；</w:t>
      </w:r>
      <w:r>
        <w:rPr/>
        <w:t>EPS</w:t>
      </w:r>
      <w:r>
        <w:rPr/>
        <w:t>少</w:t>
      </w:r>
      <w:r>
        <w:rPr/>
        <w:t>20%</w:t>
      </w:r>
      <w:r>
        <w:rPr/>
        <w:t>且</w:t>
      </w:r>
      <w:r>
        <w:rPr/>
        <w:t>PE</w:t>
      </w:r>
      <w:r>
        <w:rPr/>
        <w:t>少</w:t>
      </w:r>
      <w:r>
        <w:rPr/>
        <w:t>20%</w:t>
      </w:r>
      <w:r>
        <w:rPr/>
        <w:t>，目标只剩</w:t>
      </w:r>
      <w:r>
        <w:rPr/>
        <w:t>64%</w:t>
      </w:r>
      <w:r>
        <w:rPr/>
        <w:t>即</w:t>
      </w:r>
      <w:r>
        <w:rPr/>
        <w:t>139.84</w:t>
      </w:r>
      <w:r>
        <w:rPr/>
        <w:t>元，较现价跌</w:t>
      </w:r>
      <w:r>
        <w:rPr/>
        <w:t>11.38%</w:t>
      </w:r>
      <w:r>
        <w:rPr/>
        <w:t>。盈利上涨与估值下跌可以抵消，优秀经营不保证优秀投资。反向两者各高</w:t>
      </w:r>
      <w:r>
        <w:rPr/>
        <w:t>20%</w:t>
      </w:r>
      <w:r>
        <w:rPr/>
        <w:t>得到</w:t>
      </w:r>
      <w:r>
        <w:rPr/>
        <w:t>314.64</w:t>
      </w:r>
      <w:r>
        <w:rPr/>
        <w:t>元，远高基准但条件更苛刻。此种代数敏感性比单列一个确定价格更容易看出推荐所依赖的预期。</w:t>
      </w:r>
    </w:p>
    <w:p>
      <w:pPr>
        <w:pStyle w:val="Normal"/>
        <w:rPr/>
      </w:pPr>
      <w:r>
        <w:rPr/>
        <w:t>如果未来稀释股数比当前模型参考增</w:t>
      </w:r>
      <w:r>
        <w:rPr/>
        <w:t>5%</w:t>
      </w:r>
      <w:r>
        <w:rPr/>
        <w:t>，固定利润下每股</w:t>
      </w:r>
      <w:r>
        <w:rPr/>
        <w:t>EPS</w:t>
      </w:r>
      <w:r>
        <w:rPr/>
        <w:t>及目标价下降约</w:t>
      </w:r>
      <w:r>
        <w:rPr/>
        <w:t>4.76%</w:t>
      </w:r>
      <w:r>
        <w:rPr/>
        <w:t>；股数减少</w:t>
      </w:r>
      <w:r>
        <w:rPr/>
        <w:t>5%</w:t>
      </w:r>
      <w:r>
        <w:rPr/>
        <w:t>则提高约</w:t>
      </w:r>
      <w:r>
        <w:rPr/>
        <w:t>5.26%</w:t>
      </w:r>
      <w:r>
        <w:rPr/>
        <w:t>，不是对称的加减五个百分点。可转债名义新增</w:t>
      </w:r>
      <w:r>
        <w:rPr/>
        <w:t>1.71%</w:t>
      </w:r>
      <w:r>
        <w:rPr/>
        <w:t>并不能直接以同样比例再扣半年历史稀释</w:t>
      </w:r>
      <w:r>
        <w:rPr/>
        <w:t>EPS</w:t>
      </w:r>
      <w:r>
        <w:rPr/>
        <w:t>，因为加权分母已有部分潜在普通股影响。最终刷新应从总利润、实际加权稀释股数重新推算，避免对相同转换重复扣减。</w:t>
      </w:r>
    </w:p>
    <w:p>
      <w:pPr>
        <w:pStyle w:val="Normal"/>
        <w:rPr/>
      </w:pPr>
      <w:r>
        <w:rPr/>
        <w:t>研究汇率若相对</w:t>
      </w:r>
      <w:r>
        <w:rPr/>
        <w:t>1.10</w:t>
      </w:r>
      <w:r>
        <w:rPr/>
        <w:t>高或低</w:t>
      </w:r>
      <w:r>
        <w:rPr/>
        <w:t>5%</w:t>
      </w:r>
      <w:r>
        <w:rPr/>
        <w:t>，</w:t>
      </w:r>
      <w:r>
        <w:rPr/>
        <w:t>H</w:t>
      </w:r>
      <w:r>
        <w:rPr/>
        <w:t>本币目标机械随之变动</w:t>
      </w:r>
      <w:r>
        <w:rPr/>
        <w:t>5%</w:t>
      </w:r>
      <w:r>
        <w:rPr/>
        <w:t>，但</w:t>
      </w:r>
      <w:r>
        <w:rPr/>
        <w:t>H</w:t>
      </w:r>
      <w:r>
        <w:rPr/>
        <w:t>投资者换算人民币持仓收益要另看买入和卖出汇率。人民币投资者在</w:t>
      </w:r>
      <w:r>
        <w:rPr/>
        <w:t>H</w:t>
      </w:r>
      <w:r>
        <w:rPr/>
        <w:t>股目标港元不变时，港币兑人民币升值</w:t>
      </w:r>
      <w:r>
        <w:rPr/>
        <w:t>5%</w:t>
      </w:r>
      <w:r>
        <w:rPr/>
        <w:t>会使总人民币回报乘</w:t>
      </w:r>
      <w:r>
        <w:rPr/>
        <w:t>1.05</w:t>
      </w:r>
      <w:r>
        <w:rPr/>
        <w:t>；贬值则乘</w:t>
      </w:r>
      <w:r>
        <w:rPr/>
        <w:t>0.95</w:t>
      </w:r>
      <w:r>
        <w:rPr/>
        <w:t>。例如一年</w:t>
      </w:r>
      <w:r>
        <w:rPr/>
        <w:t>H</w:t>
      </w:r>
      <w:r>
        <w:rPr/>
        <w:t>本币基准股价回报</w:t>
      </w:r>
      <w:r>
        <w:rPr/>
        <w:t>25.60%</w:t>
      </w:r>
      <w:r>
        <w:rPr/>
        <w:t>，换算后约</w:t>
      </w:r>
      <w:r>
        <w:rPr/>
        <w:t>31.88%</w:t>
      </w:r>
      <w:r>
        <w:rPr/>
        <w:t>或</w:t>
      </w:r>
      <w:r>
        <w:rPr/>
        <w:t>19.32%</w:t>
      </w:r>
      <w:r>
        <w:rPr/>
        <w:t>，未含分红与费用。这与集团经营汇率敏感性是两套不同影响。</w:t>
      </w:r>
    </w:p>
    <w:p>
      <w:pPr>
        <w:pStyle w:val="Heading2"/>
        <w:rPr/>
      </w:pPr>
      <w:r>
        <w:rPr>
          <w:color w:val="000000"/>
        </w:rPr>
        <w:t>外资机构目标 公开可核验值与独立预测的关系</w:t>
      </w:r>
    </w:p>
    <w:p>
      <w:pPr>
        <w:pStyle w:val="Normal"/>
        <w:rPr/>
      </w:pPr>
      <w:r>
        <w:rPr/>
        <w:t>高盛</w:t>
      </w:r>
      <w:r>
        <w:rPr/>
        <w:t>9</w:t>
      </w:r>
      <w:r>
        <w:rPr/>
        <w:t>月</w:t>
      </w:r>
      <w:r>
        <w:rPr/>
        <w:t>30</w:t>
      </w:r>
      <w:r>
        <w:rPr/>
        <w:t>日公开新闻转述维持买入、</w:t>
      </w:r>
      <w:r>
        <w:rPr/>
        <w:t>H</w:t>
      </w:r>
      <w:r>
        <w:rPr/>
        <w:t>目标</w:t>
      </w:r>
      <w:r>
        <w:rPr/>
        <w:t>220.10</w:t>
      </w:r>
      <w:r>
        <w:rPr/>
        <w:t>港元，相对</w:t>
      </w:r>
      <w:r>
        <w:rPr/>
        <w:t>208</w:t>
      </w:r>
      <w:r>
        <w:rPr/>
        <w:t>上涨</w:t>
      </w:r>
      <w:r>
        <w:rPr/>
        <w:t>5.82%</w:t>
      </w:r>
      <w:r>
        <w:rPr/>
        <w:t>；汇丰</w:t>
      </w:r>
      <w:r>
        <w:rPr/>
        <w:t>9</w:t>
      </w:r>
      <w:r>
        <w:rPr/>
        <w:t>月</w:t>
      </w:r>
      <w:r>
        <w:rPr/>
        <w:t>9</w:t>
      </w:r>
      <w:r>
        <w:rPr/>
        <w:t>日买入、</w:t>
      </w:r>
      <w:r>
        <w:rPr/>
        <w:t>220.50</w:t>
      </w:r>
      <w:r>
        <w:rPr/>
        <w:t>港元，约</w:t>
      </w:r>
      <w:r>
        <w:rPr/>
        <w:t>6.01%</w:t>
      </w:r>
      <w:r>
        <w:rPr/>
        <w:t>；摩根士丹利</w:t>
      </w:r>
      <w:r>
        <w:rPr/>
        <w:t>8</w:t>
      </w:r>
      <w:r>
        <w:rPr/>
        <w:t>月</w:t>
      </w:r>
      <w:r>
        <w:rPr/>
        <w:t>28</w:t>
      </w:r>
      <w:r>
        <w:rPr/>
        <w:t>日增持、</w:t>
      </w:r>
      <w:r>
        <w:rPr/>
        <w:t>220.00</w:t>
      </w:r>
      <w:r>
        <w:rPr/>
        <w:t>港元，</w:t>
      </w:r>
      <w:r>
        <w:rPr/>
        <w:t>5.77%</w:t>
      </w:r>
      <w:r>
        <w:rPr/>
        <w:t>；花旗</w:t>
      </w:r>
      <w:r>
        <w:rPr/>
        <w:t>8</w:t>
      </w:r>
      <w:r>
        <w:rPr/>
        <w:t>月</w:t>
      </w:r>
      <w:r>
        <w:rPr/>
        <w:t>5</w:t>
      </w:r>
      <w:r>
        <w:rPr/>
        <w:t>日买入、</w:t>
      </w:r>
      <w:r>
        <w:rPr/>
        <w:t>215.00</w:t>
      </w:r>
      <w:r>
        <w:rPr/>
        <w:t>港元，</w:t>
      </w:r>
      <w:r>
        <w:rPr/>
        <w:t>3.37%</w:t>
      </w:r>
      <w:r>
        <w:rPr/>
        <w:t>；美银</w:t>
      </w:r>
      <w:r>
        <w:rPr/>
        <w:t>8</w:t>
      </w:r>
      <w:r>
        <w:rPr/>
        <w:t>月</w:t>
      </w:r>
      <w:r>
        <w:rPr/>
        <w:t>12</w:t>
      </w:r>
      <w:r>
        <w:rPr/>
        <w:t>日买入、</w:t>
      </w:r>
      <w:r>
        <w:rPr/>
        <w:t>H242.00</w:t>
      </w:r>
      <w:r>
        <w:rPr/>
        <w:t>港元和</w:t>
      </w:r>
      <w:r>
        <w:rPr/>
        <w:t>A210.50</w:t>
      </w:r>
      <w:r>
        <w:rPr/>
        <w:t>元，约</w:t>
      </w:r>
      <w:r>
        <w:rPr/>
        <w:t>16.35%</w:t>
      </w:r>
      <w:r>
        <w:rPr/>
        <w:t>、</w:t>
      </w:r>
      <w:r>
        <w:rPr/>
        <w:t>33.40%</w:t>
      </w:r>
      <w:r>
        <w:rPr/>
        <w:t>。它们在截止日前最近九十天内，机构和证券分别记录，</w:t>
      </w:r>
      <w:r>
        <w:rPr/>
        <w:t>A/H</w:t>
      </w:r>
      <w:r>
        <w:rPr/>
        <w:t>目标不会互相替换。</w:t>
      </w:r>
    </w:p>
    <w:p>
      <w:pPr>
        <w:pStyle w:val="Normal"/>
        <w:rPr/>
      </w:pPr>
      <w:r>
        <w:rPr/>
        <w:t>五家</w:t>
      </w:r>
      <w:r>
        <w:rPr/>
        <w:t>H</w:t>
      </w:r>
      <w:r>
        <w:rPr/>
        <w:t>目标</w:t>
      </w:r>
      <w:r>
        <w:rPr/>
        <w:t>215</w:t>
      </w:r>
      <w:r>
        <w:rPr/>
        <w:t>至</w:t>
      </w:r>
      <w:r>
        <w:rPr/>
        <w:t>242</w:t>
      </w:r>
      <w:r>
        <w:rPr/>
        <w:t>港元，均值</w:t>
      </w:r>
      <w:r>
        <w:rPr/>
        <w:t>223.52</w:t>
      </w:r>
      <w:r>
        <w:rPr/>
        <w:t>、中位</w:t>
      </w:r>
      <w:r>
        <w:rPr/>
        <w:t>220.10</w:t>
      </w:r>
      <w:r>
        <w:rPr/>
        <w:t>，仅约</w:t>
      </w:r>
      <w:r>
        <w:rPr/>
        <w:t>7.46%</w:t>
      </w:r>
      <w:r>
        <w:rPr/>
        <w:t>、</w:t>
      </w:r>
      <w:r>
        <w:rPr/>
        <w:t>5.82%</w:t>
      </w:r>
      <w:r>
        <w:rPr/>
        <w:t>上涨空间，属于新闻可见样本，不是完整市场一致预期。多数已接近现价，说明外资买入评级可能包含分红、长期看法或较早起始价，不能由评级直接推导巨大剩余涨幅。我们一年</w:t>
      </w:r>
      <w:r>
        <w:rPr/>
        <w:t>H</w:t>
      </w:r>
      <w:r>
        <w:rPr/>
        <w:t>基准</w:t>
      </w:r>
      <w:r>
        <w:rPr/>
        <w:t>261.25</w:t>
      </w:r>
      <w:r>
        <w:rPr/>
        <w:t>高于样本多数，独立采用</w:t>
      </w:r>
      <w:r>
        <w:rPr/>
        <w:t>EPS9.50</w:t>
      </w:r>
      <w:r>
        <w:rPr/>
        <w:t>与</w:t>
      </w:r>
      <w:r>
        <w:rPr/>
        <w:t>25</w:t>
      </w:r>
      <w:r>
        <w:rPr/>
        <w:t>倍，应明确比机构可见样本更积极，证据不能借评级背书替代。</w:t>
      </w:r>
    </w:p>
    <w:p>
      <w:pPr>
        <w:pStyle w:val="Normal"/>
        <w:rPr/>
      </w:pPr>
      <w:r>
        <w:rPr/>
        <w:t>摩根士丹利转述特别有价值：当年</w:t>
      </w:r>
      <w:r>
        <w:rPr/>
        <w:t>EPS</w:t>
      </w:r>
      <w:r>
        <w:rPr/>
        <w:t>上调约</w:t>
      </w:r>
      <w:r>
        <w:rPr/>
        <w:t>12%</w:t>
      </w:r>
      <w:r>
        <w:rPr/>
        <w:t>包含约</w:t>
      </w:r>
      <w:r>
        <w:rPr/>
        <w:t>31</w:t>
      </w:r>
      <w:r>
        <w:rPr/>
        <w:t>亿元处置收益，而</w:t>
      </w:r>
      <w:r>
        <w:rPr/>
        <w:t>2027</w:t>
      </w:r>
      <w:r>
        <w:rPr/>
        <w:t>至</w:t>
      </w:r>
      <w:r>
        <w:rPr/>
        <w:t>2030</w:t>
      </w:r>
      <w:r>
        <w:rPr/>
        <w:t>年上调仅零至一个百分点。它提醒投资者当年高</w:t>
      </w:r>
      <w:r>
        <w:rPr/>
        <w:t>EPS</w:t>
      </w:r>
      <w:r>
        <w:rPr/>
        <w:t>可能来自一次性事项，对长期持续价值贡献远小于表面增速。本文不是认定全部处置没价值，现金可减少融资与支持投资；但必须看售出资产失去的未来收益和资本使用，不能按经常性利润倍数估值处置收益几十年。</w:t>
      </w:r>
    </w:p>
    <w:p>
      <w:pPr>
        <w:pStyle w:val="Normal"/>
        <w:rPr/>
      </w:pPr>
      <w:r>
        <w:rPr/>
        <w:t>新闻均未在当前可见正文明确每个目标具体日期，本章标为目标期限未明确，作为一年估值旁证，不能伪称机构给出年底价。未取得付费原始报告，只能注明公开新闻转述，原报告模型、风险和完整假设不可得。相同机构最新有效同证券报告去重，不把多个转载当多家观点，也不把旧目标与新目标平均。目标变化只有结合盈利与倍数变化才能解释。</w:t>
      </w:r>
    </w:p>
    <w:p>
      <w:pPr>
        <w:pStyle w:val="Normal"/>
        <w:rPr/>
      </w:pPr>
      <w:r>
        <w:rPr/>
        <w:t>高盛和汇丰目标在九月重大指引之后仍约</w:t>
      </w:r>
      <w:r>
        <w:rPr/>
        <w:t>220</w:t>
      </w:r>
      <w:r>
        <w:rPr/>
        <w:t>港元，而</w:t>
      </w:r>
      <w:r>
        <w:rPr/>
        <w:t>A</w:t>
      </w:r>
      <w:r>
        <w:rPr/>
        <w:t>研究优先价有较多空间，这与</w:t>
      </w:r>
      <w:r>
        <w:rPr/>
        <w:t>A/H</w:t>
      </w:r>
      <w:r>
        <w:rPr/>
        <w:t>价格差吻合，也体现国际投资者可能继续对海外政策给折价。不能因为</w:t>
      </w:r>
      <w:r>
        <w:rPr/>
        <w:t>A</w:t>
      </w:r>
      <w:r>
        <w:rPr/>
        <w:t>投资者风险偏好不同就宣称政策只影响</w:t>
      </w:r>
      <w:r>
        <w:rPr/>
        <w:t>H</w:t>
      </w:r>
      <w:r>
        <w:rPr/>
        <w:t>股；经营损失同样进入</w:t>
      </w:r>
      <w:r>
        <w:rPr/>
        <w:t>A</w:t>
      </w:r>
      <w:r>
        <w:rPr/>
        <w:t>盈利。差异主要在起始价格和市场愿意支付的倍数，选择</w:t>
      </w:r>
      <w:r>
        <w:rPr/>
        <w:t>A</w:t>
      </w:r>
      <w:r>
        <w:rPr/>
        <w:t>减少某些溢价并不消除全球客户风险。</w:t>
      </w:r>
    </w:p>
    <w:p>
      <w:pPr>
        <w:pStyle w:val="Heading2"/>
        <w:rPr/>
      </w:pPr>
      <w:r>
        <w:rPr>
          <w:color w:val="000000"/>
        </w:rPr>
        <w:t>评分证据 更新规则与十年持续性</w:t>
      </w:r>
    </w:p>
    <w:p>
      <w:pPr>
        <w:pStyle w:val="Normal"/>
        <w:rPr/>
      </w:pPr>
      <w:r>
        <w:rPr/>
        <w:t>半年</w:t>
      </w:r>
      <w:r>
        <w:rPr/>
        <w:t>A</w:t>
      </w:r>
      <w:r>
        <w:rPr/>
        <w:t>估值</w:t>
      </w:r>
      <w:r>
        <w:rPr/>
        <w:t>3.5</w:t>
      </w:r>
      <w:r>
        <w:rPr/>
        <w:t>、技术</w:t>
      </w:r>
      <w:r>
        <w:rPr/>
        <w:t>3.8</w:t>
      </w:r>
      <w:r>
        <w:rPr/>
        <w:t>、增长</w:t>
      </w:r>
      <w:r>
        <w:rPr/>
        <w:t>4.5</w:t>
      </w:r>
      <w:r>
        <w:rPr/>
        <w:t>、行业</w:t>
      </w:r>
      <w:r>
        <w:rPr/>
        <w:t>4.3</w:t>
      </w:r>
      <w:r>
        <w:rPr/>
        <w:t>、催化</w:t>
      </w:r>
      <w:r>
        <w:rPr/>
        <w:t>4.2</w:t>
      </w:r>
      <w:r>
        <w:rPr/>
        <w:t>、风险</w:t>
      </w:r>
      <w:r>
        <w:rPr/>
        <w:t>3.5</w:t>
      </w:r>
      <w:r>
        <w:rPr/>
        <w:t>，按</w:t>
      </w:r>
      <w:r>
        <w:rPr/>
        <w:t>25</w:t>
      </w:r>
      <w:r>
        <w:rPr/>
        <w:t>、</w:t>
      </w:r>
      <w:r>
        <w:rPr/>
        <w:t>30</w:t>
      </w:r>
      <w:r>
        <w:rPr/>
        <w:t>、</w:t>
      </w:r>
      <w:r>
        <w:rPr/>
        <w:t>15</w:t>
      </w:r>
      <w:r>
        <w:rPr/>
        <w:t>、</w:t>
      </w:r>
      <w:r>
        <w:rPr/>
        <w:t>10</w:t>
      </w:r>
      <w:r>
        <w:rPr/>
        <w:t>、</w:t>
      </w:r>
      <w:r>
        <w:rPr/>
        <w:t>10</w:t>
      </w:r>
      <w:r>
        <w:rPr/>
        <w:t>、</w:t>
      </w:r>
      <w:r>
        <w:rPr/>
        <w:t>10</w:t>
      </w:r>
      <w:r>
        <w:rPr/>
        <w:t>权重得</w:t>
      </w:r>
      <w:r>
        <w:rPr/>
        <w:t>77.8</w:t>
      </w:r>
      <w:r>
        <w:rPr/>
        <w:t>；</w:t>
      </w:r>
      <w:r>
        <w:rPr/>
        <w:t>H</w:t>
      </w:r>
      <w:r>
        <w:rPr/>
        <w:t>估值</w:t>
      </w:r>
      <w:r>
        <w:rPr/>
        <w:t>2.8</w:t>
      </w:r>
      <w:r>
        <w:rPr/>
        <w:t>、技术</w:t>
      </w:r>
      <w:r>
        <w:rPr/>
        <w:t>4.1</w:t>
      </w:r>
      <w:r>
        <w:rPr/>
        <w:t>、其余</w:t>
      </w:r>
      <w:r>
        <w:rPr/>
        <w:t>4.5</w:t>
      </w:r>
      <w:r>
        <w:rPr/>
        <w:t>、</w:t>
      </w:r>
      <w:r>
        <w:rPr/>
        <w:t>4.3</w:t>
      </w:r>
      <w:r>
        <w:rPr/>
        <w:t>、</w:t>
      </w:r>
      <w:r>
        <w:rPr/>
        <w:t>4.2</w:t>
      </w:r>
      <w:r>
        <w:rPr/>
        <w:t>、</w:t>
      </w:r>
      <w:r>
        <w:rPr/>
        <w:t>3.4</w:t>
      </w:r>
      <w:r>
        <w:rPr/>
        <w:t>得</w:t>
      </w:r>
      <w:r>
        <w:rPr/>
        <w:t>75.9</w:t>
      </w:r>
      <w:r>
        <w:rPr/>
        <w:t>。估值差异来自相同盈利下</w:t>
      </w:r>
      <w:r>
        <w:rPr/>
        <w:t>A</w:t>
      </w:r>
      <w:r>
        <w:rPr/>
        <w:t>更低起点，技术差异来自</w:t>
      </w:r>
      <w:r>
        <w:rPr/>
        <w:t>H</w:t>
      </w:r>
      <w:r>
        <w:rPr/>
        <w:t>保持</w:t>
      </w:r>
      <w:r>
        <w:rPr/>
        <w:t>20</w:t>
      </w:r>
      <w:r>
        <w:rPr/>
        <w:t>日均线上与更强近</w:t>
      </w:r>
      <w:r>
        <w:rPr/>
        <w:t>20</w:t>
      </w:r>
      <w:r>
        <w:rPr/>
        <w:t>日涨幅；最新跌日放量与量比不占优限制技术满分。技术多指标互相印证，不重复累计奖励。</w:t>
      </w:r>
    </w:p>
    <w:p>
      <w:pPr>
        <w:pStyle w:val="Normal"/>
        <w:rPr/>
      </w:pPr>
      <w:r>
        <w:rPr/>
        <w:t>一年经营权重上升，</w:t>
      </w:r>
      <w:r>
        <w:rPr/>
        <w:t>A</w:t>
      </w:r>
      <w:r>
        <w:rPr/>
        <w:t>估值</w:t>
      </w:r>
      <w:r>
        <w:rPr/>
        <w:t>3.8</w:t>
      </w:r>
      <w:r>
        <w:rPr/>
        <w:t>、技术</w:t>
      </w:r>
      <w:r>
        <w:rPr/>
        <w:t>3.8</w:t>
      </w:r>
      <w:r>
        <w:rPr/>
        <w:t>、增长</w:t>
      </w:r>
      <w:r>
        <w:rPr/>
        <w:t>4.6</w:t>
      </w:r>
      <w:r>
        <w:rPr/>
        <w:t>、行业</w:t>
      </w:r>
      <w:r>
        <w:rPr/>
        <w:t>4.4</w:t>
      </w:r>
      <w:r>
        <w:rPr/>
        <w:t>、催化</w:t>
      </w:r>
      <w:r>
        <w:rPr/>
        <w:t>4.1</w:t>
      </w:r>
      <w:r>
        <w:rPr/>
        <w:t>、风险</w:t>
      </w:r>
      <w:r>
        <w:rPr/>
        <w:t>3.4</w:t>
      </w:r>
      <w:r>
        <w:rPr/>
        <w:t>，得</w:t>
      </w:r>
      <w:r>
        <w:rPr/>
        <w:t>81.6</w:t>
      </w:r>
      <w:r>
        <w:rPr/>
        <w:t>；</w:t>
      </w:r>
      <w:r>
        <w:rPr/>
        <w:t>H3.2</w:t>
      </w:r>
      <w:r>
        <w:rPr/>
        <w:t>、</w:t>
      </w:r>
      <w:r>
        <w:rPr/>
        <w:t>4.1</w:t>
      </w:r>
      <w:r>
        <w:rPr/>
        <w:t>、</w:t>
      </w:r>
      <w:r>
        <w:rPr/>
        <w:t>4.6</w:t>
      </w:r>
      <w:r>
        <w:rPr/>
        <w:t>、</w:t>
      </w:r>
      <w:r>
        <w:rPr/>
        <w:t>4.4</w:t>
      </w:r>
      <w:r>
        <w:rPr/>
        <w:t>、</w:t>
      </w:r>
      <w:r>
        <w:rPr/>
        <w:t>4.1</w:t>
      </w:r>
      <w:r>
        <w:rPr/>
        <w:t>、</w:t>
      </w:r>
      <w:r>
        <w:rPr/>
        <w:t>3.3</w:t>
      </w:r>
      <w:r>
        <w:rPr/>
        <w:t>，得</w:t>
      </w:r>
      <w:r>
        <w:rPr/>
        <w:t>79.3</w:t>
      </w:r>
      <w:r>
        <w:rPr/>
        <w:t>。增长评分略高反映有时间验证订单兑现；风险略降则反映政策与资本扩张跨年影响，不能用更长等待把所有风险抹掉。任何目标</w:t>
      </w:r>
      <w:r>
        <w:rPr/>
        <w:t>EPS</w:t>
      </w:r>
      <w:r>
        <w:rPr/>
        <w:t>都须与经营收入、毛利、现金和稀释同时检查，模型输入变化后旧评分不能自动沿用。</w:t>
      </w:r>
    </w:p>
    <w:p>
      <w:pPr>
        <w:pStyle w:val="Normal"/>
        <w:rPr/>
      </w:pPr>
      <w:r>
        <w:rPr/>
        <w:t>三年</w:t>
      </w:r>
      <w:r>
        <w:rPr/>
        <w:t>A</w:t>
      </w:r>
      <w:r>
        <w:rPr/>
        <w:t>六项</w:t>
      </w:r>
      <w:r>
        <w:rPr/>
        <w:t>4.1</w:t>
      </w:r>
      <w:r>
        <w:rPr/>
        <w:t>、</w:t>
      </w:r>
      <w:r>
        <w:rPr/>
        <w:t>3.8</w:t>
      </w:r>
      <w:r>
        <w:rPr/>
        <w:t>、</w:t>
      </w:r>
      <w:r>
        <w:rPr/>
        <w:t>4.5</w:t>
      </w:r>
      <w:r>
        <w:rPr/>
        <w:t>、</w:t>
      </w:r>
      <w:r>
        <w:rPr/>
        <w:t>4.5</w:t>
      </w:r>
      <w:r>
        <w:rPr/>
        <w:t>、</w:t>
      </w:r>
      <w:r>
        <w:rPr/>
        <w:t>4.0</w:t>
      </w:r>
      <w:r>
        <w:rPr/>
        <w:t>、</w:t>
      </w:r>
      <w:r>
        <w:rPr/>
        <w:t>3.3</w:t>
      </w:r>
      <w:r>
        <w:rPr/>
        <w:t>，</w:t>
      </w:r>
      <w:r>
        <w:rPr/>
        <w:t>H3.7</w:t>
      </w:r>
      <w:r>
        <w:rPr/>
        <w:t>、</w:t>
      </w:r>
      <w:r>
        <w:rPr/>
        <w:t>4.1</w:t>
      </w:r>
      <w:r>
        <w:rPr/>
        <w:t>、</w:t>
      </w:r>
      <w:r>
        <w:rPr/>
        <w:t>4.5</w:t>
      </w:r>
      <w:r>
        <w:rPr/>
        <w:t>、</w:t>
      </w:r>
      <w:r>
        <w:rPr/>
        <w:t>4.5</w:t>
      </w:r>
      <w:r>
        <w:rPr/>
        <w:t>、</w:t>
      </w:r>
      <w:r>
        <w:rPr/>
        <w:t>4.0</w:t>
      </w:r>
      <w:r>
        <w:rPr/>
        <w:t>、</w:t>
      </w:r>
      <w:r>
        <w:rPr/>
        <w:t>3.2</w:t>
      </w:r>
      <w:r>
        <w:rPr/>
        <w:t>，得</w:t>
      </w:r>
      <w:r>
        <w:rPr/>
        <w:t>84.4</w:t>
      </w:r>
      <w:r>
        <w:rPr/>
        <w:t>和</w:t>
      </w:r>
      <w:r>
        <w:rPr/>
        <w:t>82.5</w:t>
      </w:r>
      <w:r>
        <w:rPr/>
        <w:t>；五年</w:t>
      </w:r>
      <w:r>
        <w:rPr/>
        <w:t>A4.0</w:t>
      </w:r>
      <w:r>
        <w:rPr/>
        <w:t>、</w:t>
      </w:r>
      <w:r>
        <w:rPr/>
        <w:t>3.8</w:t>
      </w:r>
      <w:r>
        <w:rPr/>
        <w:t>、</w:t>
      </w:r>
      <w:r>
        <w:rPr/>
        <w:t>4.4</w:t>
      </w:r>
      <w:r>
        <w:rPr/>
        <w:t>、</w:t>
      </w:r>
      <w:r>
        <w:rPr/>
        <w:t>4.5</w:t>
      </w:r>
      <w:r>
        <w:rPr/>
        <w:t>、</w:t>
      </w:r>
      <w:r>
        <w:rPr/>
        <w:t>3.8</w:t>
      </w:r>
      <w:r>
        <w:rPr/>
        <w:t>、</w:t>
      </w:r>
      <w:r>
        <w:rPr/>
        <w:t>3.2</w:t>
      </w:r>
      <w:r>
        <w:rPr/>
        <w:t>，</w:t>
      </w:r>
      <w:r>
        <w:rPr/>
        <w:t>H3.6</w:t>
      </w:r>
      <w:r>
        <w:rPr/>
        <w:t>、</w:t>
      </w:r>
      <w:r>
        <w:rPr/>
        <w:t>4.1</w:t>
      </w:r>
      <w:r>
        <w:rPr/>
        <w:t>、</w:t>
      </w:r>
      <w:r>
        <w:rPr/>
        <w:t>4.4</w:t>
      </w:r>
      <w:r>
        <w:rPr/>
        <w:t>、</w:t>
      </w:r>
      <w:r>
        <w:rPr/>
        <w:t>4.5</w:t>
      </w:r>
      <w:r>
        <w:rPr/>
        <w:t>、</w:t>
      </w:r>
      <w:r>
        <w:rPr/>
        <w:t>3.8</w:t>
      </w:r>
      <w:r>
        <w:rPr/>
        <w:t>、</w:t>
      </w:r>
      <w:r>
        <w:rPr/>
        <w:t>3.1</w:t>
      </w:r>
      <w:r>
        <w:rPr/>
        <w:t>，得</w:t>
      </w:r>
      <w:r>
        <w:rPr/>
        <w:t>82.6</w:t>
      </w:r>
      <w:r>
        <w:rPr/>
        <w:t>和</w:t>
      </w:r>
      <w:r>
        <w:rPr/>
        <w:t>80.7</w:t>
      </w:r>
      <w:r>
        <w:rPr/>
        <w:t>。五年技术权重为零，保留字段不参与总分；风险权重升至</w:t>
      </w:r>
      <w:r>
        <w:rPr/>
        <w:t>15%</w:t>
      </w:r>
      <w:r>
        <w:rPr/>
        <w:t>，资本回报、政策、技术替代和管理持续性成为主要约束。小数分仅来自加权，不意味精密统计。</w:t>
      </w:r>
    </w:p>
    <w:p>
      <w:pPr>
        <w:pStyle w:val="Normal"/>
        <w:rPr/>
      </w:pPr>
      <w:r>
        <w:rPr/>
        <w:t>后续报告若持续经营收入增速、后期净增分子和在手订单同时下降，应降低增长和行业评分。若毛利上升但原始经营现金长期不能跟上，先检查营运资本、激励和一次性收益，必要时下调正常化</w:t>
      </w:r>
      <w:r>
        <w:rPr/>
        <w:t>EPS</w:t>
      </w:r>
      <w:r>
        <w:rPr/>
        <w:t>。若海外客户实际迁移、正式限制适用保留业务，调整收入与费用及倍数，而非只在风险文字加一句。若</w:t>
      </w:r>
      <w:r>
        <w:rPr/>
        <w:t>A/H</w:t>
      </w:r>
      <w:r>
        <w:rPr/>
        <w:t>相对价格逆转，重新选择证券代码，无需因为曾偏好</w:t>
      </w:r>
      <w:r>
        <w:rPr/>
        <w:t>A</w:t>
      </w:r>
      <w:r>
        <w:rPr/>
        <w:t>就固守。</w:t>
      </w:r>
    </w:p>
    <w:p>
      <w:pPr>
        <w:pStyle w:val="Normal"/>
        <w:rPr/>
      </w:pPr>
      <w:r>
        <w:rPr/>
        <w:t>向上修订也需要证据。更多商业化项目跨客户放量、新产能经过验证且现金回报稳定、订单与合同负债增加并按期收现，可以提高正常化利润与可信度。单一新订单新闻若金额和交付条件不公开，不立即改变</w:t>
      </w:r>
      <w:r>
        <w:rPr/>
        <w:t>EPS</w:t>
      </w:r>
      <w:r>
        <w:rPr/>
        <w:t>；公司上调指引若有处置收益，应分开记录。市场价格突破只修改技术观察，不自动增加三年经营预测，避免股价上涨后为上涨寻找新理由。</w:t>
      </w:r>
    </w:p>
    <w:p>
      <w:pPr>
        <w:pStyle w:val="Normal"/>
        <w:rPr/>
      </w:pPr>
      <w:r>
        <w:rPr/>
        <w:t>十年持续性取决于公司能否保持多技术工程平台和可信质量，而不是当前热门品种持续十年高增长。全球药物研发会有新靶点、分子类型、给药形式与生产方法，药明需要把早期研究、分析、工艺和制造不断升级。组织学习、客户信任、工程数据和人才训练可形成长期优势；它们同时需要持续研发、自动化、合规和资本，不能把已建工厂当成永远无需更新的现金资产。</w:t>
      </w:r>
    </w:p>
    <w:p>
      <w:pPr>
        <w:pStyle w:val="Normal"/>
        <w:rPr/>
      </w:pPr>
      <w:r>
        <w:rPr/>
        <w:t>若未来十年制造逐渐标准化，供应更丰富，公司的利润可能更多靠效率和规模，而非技术溢价。若新分子越来越复杂，拥有跨阶段能力可能价值上升，但必须确认新增投入的回报。公司应在已有现金业务与新能力探索之间保持纪律，退出不能创造回报的资产，并向股东透明说明原因。长期理想结果是每股自由现金持续增长且资本需求可控，不只是人员、基地和收入越做越大。</w:t>
      </w:r>
    </w:p>
    <w:p>
      <w:pPr>
        <w:pStyle w:val="Normal"/>
        <w:rPr/>
      </w:pPr>
      <w:r>
        <w:rPr/>
        <w:t>对长期投资者，主要永久损失路径是高价买入不可持续高利润，随后周期和倍数一起回落；或海外服务限制与资本重复投资损伤经营；或治理资本分配偏离股东每股回报。短期回调不必然代表这些路径已经发生，持续良好报表也不排除未来风险。本文设置悲观</w:t>
      </w:r>
      <w:r>
        <w:rPr/>
        <w:t>EPS</w:t>
      </w:r>
      <w:r>
        <w:rPr/>
        <w:t>没有大幅崩溃却仍有三四成股价损失，正是为了说明经营平台优秀与起始价格必须同时考量。</w:t>
      </w:r>
    </w:p>
    <w:p>
      <w:pPr>
        <w:pStyle w:val="Normal"/>
        <w:rPr/>
      </w:pPr>
      <w:r>
        <w:rPr/>
        <w:t>研究状态保存至独立模型与核验文件。数据输入、股数、汇率假设、利润与目标价任何重要改动，均需更新版本并重算全部三情景和总表；机构目标只是可比旁证，不替代模型。当前正文满足独立分析范围，但完整全年历史、九十日后续股份与政策原文、分部现金估值尚有缺口，因此保持初版标签。下一次核验应优先补这些会改变每股收益和风险的证据，避免只追加没有决定价值的信息。</w:t>
      </w:r>
    </w:p>
    <w:p>
      <w:pPr>
        <w:pStyle w:val="Heading2"/>
        <w:rPr/>
      </w:pPr>
      <w:r>
        <w:rPr>
          <w:color w:val="000000"/>
        </w:rPr>
        <w:t>来源及口径索引</w:t>
      </w:r>
    </w:p>
    <w:p>
      <w:pPr>
        <w:pStyle w:val="Normal"/>
        <w:rPr/>
      </w:pPr>
      <w:r>
        <w:rPr/>
        <w:t>一手主锚：</w:t>
      </w:r>
      <w:r>
        <w:rPr/>
        <w:t>[2026</w:t>
      </w:r>
      <w:r>
        <w:rPr/>
        <w:t>中期报告完整</w:t>
      </w:r>
      <w:r>
        <w:rPr/>
        <w:t>PDF</w:t>
      </w:r>
      <w:r>
        <w:rPr/>
        <w:t>，公开镜像</w:t>
      </w:r>
      <w:r>
        <w:rPr/>
        <w:t>2026-09-04](https://iis.aastocks.com/20260904/12320378-0.PDF)</w:t>
      </w:r>
      <w:r>
        <w:rPr/>
        <w:t>。财务概览</w:t>
      </w:r>
      <w:r>
        <w:rPr/>
        <w:t>PDF</w:t>
      </w:r>
      <w:r>
        <w:rPr/>
        <w:t>页</w:t>
      </w:r>
      <w:r>
        <w:rPr/>
        <w:t>6</w:t>
      </w:r>
      <w:r>
        <w:rPr/>
        <w:t>，</w:t>
      </w:r>
      <w:r>
        <w:rPr/>
        <w:t>CRDMO</w:t>
      </w:r>
      <w:r>
        <w:rPr/>
        <w:t>与收入页</w:t>
      </w:r>
      <w:r>
        <w:rPr/>
        <w:t>7</w:t>
      </w:r>
      <w:r>
        <w:rPr/>
        <w:t>至</w:t>
      </w:r>
      <w:r>
        <w:rPr/>
        <w:t>10</w:t>
      </w:r>
      <w:r>
        <w:rPr/>
        <w:t>，毛利及非经常项页</w:t>
      </w:r>
      <w:r>
        <w:rPr/>
        <w:t>11</w:t>
      </w:r>
      <w:r>
        <w:rPr/>
        <w:t>至</w:t>
      </w:r>
      <w:r>
        <w:rPr/>
        <w:t>13</w:t>
      </w:r>
      <w:r>
        <w:rPr/>
        <w:t>，现金及债项页</w:t>
      </w:r>
      <w:r>
        <w:rPr/>
        <w:t>13</w:t>
      </w:r>
      <w:r>
        <w:rPr/>
        <w:t>至</w:t>
      </w:r>
      <w:r>
        <w:rPr/>
        <w:t>14</w:t>
      </w:r>
      <w:r>
        <w:rPr/>
        <w:t>，调整桥接页</w:t>
      </w:r>
      <w:r>
        <w:rPr/>
        <w:t>16</w:t>
      </w:r>
      <w:r>
        <w:rPr/>
        <w:t>至</w:t>
      </w:r>
      <w:r>
        <w:rPr/>
        <w:t>18</w:t>
      </w:r>
      <w:r>
        <w:rPr/>
        <w:t>，资本结构和可转债页</w:t>
      </w:r>
      <w:r>
        <w:rPr/>
        <w:t>33</w:t>
      </w:r>
      <w:r>
        <w:rPr/>
        <w:t>至</w:t>
      </w:r>
      <w:r>
        <w:rPr/>
        <w:t>36</w:t>
      </w:r>
      <w:r>
        <w:rPr/>
        <w:t>，股息页</w:t>
      </w:r>
      <w:r>
        <w:rPr/>
        <w:t>37</w:t>
      </w:r>
      <w:r>
        <w:rPr/>
        <w:t>及</w:t>
      </w:r>
      <w:r>
        <w:rPr/>
        <w:t>92</w:t>
      </w:r>
      <w:r>
        <w:rPr/>
        <w:t>，治理页</w:t>
      </w:r>
      <w:r>
        <w:rPr/>
        <w:t>65</w:t>
      </w:r>
      <w:r>
        <w:rPr/>
        <w:t>至</w:t>
      </w:r>
      <w:r>
        <w:rPr/>
        <w:t>66</w:t>
      </w:r>
      <w:r>
        <w:rPr/>
        <w:t>，现金流页</w:t>
      </w:r>
      <w:r>
        <w:rPr/>
        <w:t>77</w:t>
      </w:r>
      <w:r>
        <w:rPr/>
        <w:t>至</w:t>
      </w:r>
      <w:r>
        <w:rPr/>
        <w:t>78</w:t>
      </w:r>
      <w:r>
        <w:rPr/>
        <w:t>，股份加权及</w:t>
      </w:r>
      <w:r>
        <w:rPr/>
        <w:t>EPS</w:t>
      </w:r>
      <w:r>
        <w:rPr/>
        <w:t>页</w:t>
      </w:r>
      <w:r>
        <w:rPr/>
        <w:t>90</w:t>
      </w:r>
      <w:r>
        <w:rPr/>
        <w:t>至</w:t>
      </w:r>
      <w:r>
        <w:rPr/>
        <w:t>91</w:t>
      </w:r>
      <w:r>
        <w:rPr/>
        <w:t>，可转债会计页</w:t>
      </w:r>
      <w:r>
        <w:rPr/>
        <w:t>107</w:t>
      </w:r>
      <w:r>
        <w:rPr/>
        <w:t>。原</w:t>
      </w:r>
      <w:r>
        <w:rPr/>
        <w:t>PDF</w:t>
      </w:r>
      <w:r>
        <w:rPr/>
        <w:t>自身纸页序号与</w:t>
      </w:r>
      <w:r>
        <w:rPr/>
        <w:t>PDF</w:t>
      </w:r>
      <w:r>
        <w:rPr/>
        <w:t>页相差一页，本文注明</w:t>
      </w:r>
      <w:r>
        <w:rPr/>
        <w:t>PDF</w:t>
      </w:r>
      <w:r>
        <w:rPr/>
        <w:t>页，摘录保留在</w:t>
      </w:r>
      <w:r>
        <w:rPr/>
        <w:t>data/pharma_raw</w:t>
      </w:r>
      <w:r>
        <w:rPr/>
        <w:t>目录。</w:t>
      </w:r>
    </w:p>
    <w:p>
      <w:pPr>
        <w:pStyle w:val="Normal"/>
        <w:rPr/>
      </w:pPr>
      <w:r>
        <w:rPr/>
        <w:t>机构均为公开新闻转述：</w:t>
      </w:r>
      <w:r>
        <w:rPr/>
        <w:t>[</w:t>
      </w:r>
      <w:r>
        <w:rPr/>
        <w:t>高盛</w:t>
      </w:r>
      <w:r>
        <w:rPr/>
        <w:t>2026-09-30](https://www.aastocks.com/tc/stocks/analysis/stock-aafn-con/02359/AAFN/NOW.1547187/research-report)</w:t>
      </w:r>
      <w:r>
        <w:rPr/>
        <w:t>、</w:t>
      </w:r>
      <w:r>
        <w:rPr/>
        <w:t>[</w:t>
      </w:r>
      <w:r>
        <w:rPr/>
        <w:t>汇丰</w:t>
      </w:r>
      <w:r>
        <w:rPr/>
        <w:t>2026-09-09](https://www.aastocks.com/tc/stocks/analysis/stock-aafn-con/03696/AAFN/NOW.1543616/research-report)</w:t>
      </w:r>
      <w:r>
        <w:rPr/>
        <w:t>、</w:t>
      </w:r>
      <w:r>
        <w:rPr/>
        <w:t>[</w:t>
      </w:r>
      <w:r>
        <w:rPr/>
        <w:t>美银</w:t>
      </w:r>
      <w:r>
        <w:rPr/>
        <w:t>2026-08-12](https://www.aastocks.com/tc/stocks/analysis/stock-aafn-con/02359/AAFN/NOW.1537765/research-report)</w:t>
      </w:r>
      <w:r>
        <w:rPr/>
        <w:t>、</w:t>
      </w:r>
      <w:r>
        <w:rPr/>
        <w:t>[</w:t>
      </w:r>
      <w:r>
        <w:rPr/>
        <w:t>摩根士丹利</w:t>
      </w:r>
      <w:r>
        <w:rPr/>
        <w:t>2026-08-28](https://www.aastocks.com/tc/stocks/analysis/stock-aafn-con/02359/AAFN/NOW.1541627/research-report)</w:t>
      </w:r>
      <w:r>
        <w:rPr/>
        <w:t>、</w:t>
      </w:r>
      <w:r>
        <w:rPr/>
        <w:t>[</w:t>
      </w:r>
      <w:r>
        <w:rPr/>
        <w:t>花旗</w:t>
      </w:r>
      <w:r>
        <w:rPr/>
        <w:t>2026-08-05](https://www.aastocks.com/tc/stocks/analysis/stock-aafn-con/02359/AAFN/NOW.1536638/research-report)</w:t>
      </w:r>
      <w:r>
        <w:rPr/>
        <w:t>。不以</w:t>
      </w:r>
      <w:r>
        <w:rPr/>
        <w:t>URL</w:t>
      </w:r>
      <w:r>
        <w:rPr/>
        <w:t>路由证券推断正文证券，汇丰链接为行业稿，具体康德目标以正文为依据。</w:t>
      </w:r>
    </w:p>
    <w:p>
      <w:pPr>
        <w:pStyle w:val="Normal"/>
        <w:rPr/>
      </w:pPr>
      <w:r>
        <w:rPr/>
        <w:t>行情基准与技术来源在</w:t>
      </w:r>
      <w:r>
        <w:rPr/>
        <w:t>data/market_snapshot_locked.json</w:t>
      </w:r>
      <w:r>
        <w:rPr/>
        <w:t>及</w:t>
      </w:r>
      <w:r>
        <w:rPr/>
        <w:t>data/history/S011.json</w:t>
      </w:r>
      <w:r>
        <w:rPr/>
        <w:t>、</w:t>
      </w:r>
      <w:r>
        <w:rPr/>
        <w:t>S037.json</w:t>
      </w:r>
      <w:r>
        <w:rPr/>
        <w:t>保存：腾讯实时报价、腾讯复权日线、独立</w:t>
      </w:r>
      <w:r>
        <w:rPr/>
        <w:t>Yahoo</w:t>
      </w:r>
      <w:r>
        <w:rPr/>
        <w:t>日线和新浪最新报价。原价及实际成交股单位核验，腾讯</w:t>
      </w:r>
      <w:r>
        <w:rPr/>
        <w:t>A</w:t>
      </w:r>
      <w:r>
        <w:rPr/>
        <w:t>报价手乘一百，港股报价为股；没有逐笔成交与完整医药基准，不生成伪精确量分布和行业超额。模型见</w:t>
      </w:r>
      <w:r>
        <w:rPr/>
        <w:t>data/wuxi_apptec_model.json</w:t>
      </w:r>
      <w:r>
        <w:rPr/>
        <w:t>，正文有效汉字与公式核验见</w:t>
      </w:r>
      <w:r>
        <w:rPr/>
        <w:t>qa/wuxi_apptec_qa.json</w:t>
      </w:r>
      <w:r>
        <w:rPr/>
        <w:t>。</w:t>
      </w:r>
      <w:r>
        <w:br w:type="page"/>
      </w:r>
    </w:p>
    <w:p>
      <w:pPr>
        <w:pStyle w:val="Heading1"/>
        <w:rPr/>
      </w:pPr>
      <w:bookmarkStart w:id="2" w:name="__RefHeading___Toc10704_312338234"/>
      <w:bookmarkEnd w:id="2"/>
      <w:r>
        <w:rPr>
          <w:color w:val="000000"/>
        </w:rPr>
        <w:t xml:space="preserve">药明合联 </w:t>
      </w:r>
      <w:r>
        <w:rPr>
          <w:color w:val="000000"/>
        </w:rPr>
        <w:t>02268 HK</w:t>
      </w:r>
    </w:p>
    <w:p>
      <w:pPr>
        <w:pStyle w:val="Normal"/>
        <w:rPr/>
      </w:pPr>
      <w:r>
        <w:rPr/>
        <w:t xml:space="preserve">02268.HK </w:t>
      </w:r>
      <w:r>
        <w:rPr/>
        <w:t xml:space="preserve">现价 </w:t>
      </w:r>
      <w:r>
        <w:rPr/>
        <w:t>82.10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89.54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110.33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+34.38%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+34.38%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+64.80%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184.14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+124.29%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+124.29%</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-44.73%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82.73HKD</w:t>
      </w:r>
      <w:r>
        <w:rPr/>
        <w:t>，期望股价回报</w:t>
      </w:r>
      <w:r>
        <w:rPr/>
        <w:t>+0.77%</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49.01</w:t>
              <w:br/>
              <w:t>-40.31%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89.54</w:t>
              <w:br/>
              <w:t>+9.06%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136.12</w:t>
              <w:br/>
              <w:t>+65.80%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55.44</w:t>
              <w:br/>
              <w:t>-32.47%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110.33</w:t>
              <w:br/>
              <w:t>+34.38%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177.87</w:t>
              <w:br/>
              <w:t>+116.65%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65.34</w:t>
              <w:br/>
              <w:t>-20.41%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135.30</w:t>
              <w:br/>
              <w:t>+64.80%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250.80</w:t>
              <w:br/>
              <w:t>+205.48%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+18.12%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70.40</w:t>
              <w:br/>
              <w:t>-14.25%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184.14</w:t>
              <w:br/>
              <w:t>+124.29%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373.45</w:t>
              <w:br/>
              <w:t>+354.87%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+27.67%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+34.38%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+41.10%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+56.56%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+64.80%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+73.04%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+113.07%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+124.29%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+135.50%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82.10</w:t>
      </w:r>
      <w:r>
        <w:rPr/>
        <w:t>港元。发行人</w:t>
      </w:r>
      <w:r>
        <w:rPr/>
        <w:t>I049</w:t>
      </w:r>
      <w:r>
        <w:rPr/>
        <w:t>，证券</w:t>
      </w:r>
      <w:r>
        <w:rPr/>
        <w:t>S056</w:t>
      </w:r>
      <w:r>
        <w:rPr/>
        <w:t>，模型</w:t>
      </w:r>
      <w:r>
        <w:rPr/>
        <w:t>wuxi-xdc-v1</w:t>
      </w:r>
      <w:r>
        <w:rPr/>
        <w:t>；财务证据以</w:t>
      </w:r>
      <w:r>
        <w:rPr/>
        <w:t>2026</w:t>
      </w:r>
      <w:r>
        <w:rPr/>
        <w:t>年</w:t>
      </w:r>
      <w:r>
        <w:rPr/>
        <w:t>9</w:t>
      </w:r>
      <w:r>
        <w:rPr/>
        <w:t>月</w:t>
      </w:r>
      <w:r>
        <w:rPr/>
        <w:t>18</w:t>
      </w:r>
      <w:r>
        <w:rPr/>
        <w:t>日中期报告和</w:t>
      </w:r>
      <w:r>
        <w:rPr/>
        <w:t>2026</w:t>
      </w:r>
      <w:r>
        <w:rPr/>
        <w:t>年</w:t>
      </w:r>
      <w:r>
        <w:rPr/>
        <w:t>4</w:t>
      </w:r>
      <w:r>
        <w:rPr/>
        <w:t>月</w:t>
      </w:r>
      <w:r>
        <w:rPr/>
        <w:t>24</w:t>
      </w:r>
      <w:r>
        <w:rPr/>
        <w:t>日公布的</w:t>
      </w:r>
      <w:r>
        <w:rPr/>
        <w:t>2025</w:t>
      </w:r>
      <w:r>
        <w:rPr/>
        <w:t>年年报为主，资料截止日</w:t>
      </w:r>
      <w:r>
        <w:rPr/>
        <w:t>2026</w:t>
      </w:r>
      <w:r>
        <w:rPr/>
        <w:t>年</w:t>
      </w:r>
      <w:r>
        <w:rPr/>
        <w:t>10</w:t>
      </w:r>
      <w:r>
        <w:rPr/>
        <w:t>月</w:t>
      </w:r>
      <w:r>
        <w:rPr/>
        <w:t>9</w:t>
      </w:r>
      <w:r>
        <w:rPr/>
        <w:t>日。半年</w:t>
      </w:r>
      <w:r>
        <w:rPr/>
        <w:t>73.2</w:t>
      </w:r>
      <w:r>
        <w:rPr/>
        <w:t>分、一年</w:t>
      </w:r>
      <w:r>
        <w:rPr/>
        <w:t>80.2</w:t>
      </w:r>
      <w:r>
        <w:rPr/>
        <w:t>分、三年</w:t>
      </w:r>
      <w:r>
        <w:rPr/>
        <w:t>83.0</w:t>
      </w:r>
      <w:r>
        <w:rPr/>
        <w:t>分、五年</w:t>
      </w:r>
      <w:r>
        <w:rPr/>
        <w:t>81.1</w:t>
      </w:r>
      <w:r>
        <w:rPr/>
        <w:t>分；一年至五年建议进入优先研究梯队，半年属于有趋势支持但估值余量较小的候选。全名单名次由总表按同一规则合并。证据可信度中等，行情交叉核验较高，未来现金流和机构期限证据仍有缺口。</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45.375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82.280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121.000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49.005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89.540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136.125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55.440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110.330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177.870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34.38%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34.38%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65.340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135.300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250.800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64.80%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70.400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184.140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373.450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124.29%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124.29%</w:t>
            </w:r>
          </w:p>
        </w:tc>
      </w:tr>
    </w:tbl>
    <w:p>
      <w:pPr>
        <w:pStyle w:val="Normal"/>
        <w:rPr/>
      </w:pPr>
      <w:r>
        <w:rPr/>
      </w:r>
    </w:p>
    <w:p>
      <w:pPr>
        <w:pStyle w:val="Normal"/>
        <w:rPr/>
      </w:pPr>
      <w:r>
        <w:rPr/>
        <w:t>所有情景暂设累计现金股息零，三年基准总回报年化</w:t>
      </w:r>
      <w:r>
        <w:rPr/>
        <w:t>18.12%</w:t>
      </w:r>
      <w:r>
        <w:rPr/>
        <w:t>，五年基准年化</w:t>
      </w:r>
      <w:r>
        <w:rPr/>
        <w:t>17.53%</w:t>
      </w:r>
      <w:r>
        <w:rPr/>
        <w:t>。年底</w:t>
      </w:r>
      <w:r>
        <w:rPr/>
        <w:t>25%/50%/25%</w:t>
      </w:r>
      <w:r>
        <w:rPr/>
        <w:t>判断权重下期望价</w:t>
      </w:r>
      <w:r>
        <w:rPr/>
        <w:t>82.73375</w:t>
      </w:r>
      <w:r>
        <w:rPr/>
        <w:t>港元，期望回报</w:t>
      </w:r>
      <w:r>
        <w:rPr/>
        <w:t>0.77%</w:t>
      </w:r>
      <w:r>
        <w:rPr/>
        <w:t>。主要风险为</w:t>
      </w:r>
      <w:r>
        <w:rPr/>
        <w:t>ADC</w:t>
      </w:r>
      <w:r>
        <w:rPr/>
        <w:t>临床及商业化失败、国际采购政策、工厂质量、扩产资本效率、美元汇兑及持续稀释。结论成立需要有机增长、后期迁移和现金回报一起持续；技术判断失效条件与经营反证见正文。</w:t>
      </w:r>
    </w:p>
    <w:p>
      <w:pPr>
        <w:pStyle w:val="Heading2"/>
        <w:rPr/>
      </w:pPr>
      <w:r>
        <w:rPr>
          <w:color w:val="000000"/>
        </w:rPr>
        <w:t>一 推荐的出发点 行业增长已经进入报表 价格也已进入预期</w:t>
      </w:r>
    </w:p>
    <w:p>
      <w:pPr>
        <w:pStyle w:val="Normal"/>
        <w:rPr/>
      </w:pPr>
      <w:r>
        <w:rPr/>
        <w:t>药明合联在这份医药名单中有一个清晰的位置：它向多个创新药客户提供抗体偶联及其他生物偶联药物的研发、工艺开发和制造服务。投资者通过平台取得行业研发扩张与商业化增长的收益，同时降低只押注一款药物成功的集中风险。</w:t>
      </w:r>
      <w:r>
        <w:rPr/>
        <w:t>2026</w:t>
      </w:r>
      <w:r>
        <w:rPr/>
        <w:t>年上半年有机收入增长</w:t>
      </w:r>
      <w:r>
        <w:rPr/>
        <w:t>31.7%</w:t>
      </w:r>
      <w:r>
        <w:rPr/>
        <w:t>、服务订单增长</w:t>
      </w:r>
      <w:r>
        <w:rPr/>
        <w:t>50.4%</w:t>
      </w:r>
      <w:r>
        <w:rPr/>
        <w:t>、二期及后期项目从</w:t>
      </w:r>
      <w:r>
        <w:rPr/>
        <w:t>37</w:t>
      </w:r>
      <w:r>
        <w:rPr/>
        <w:t>个增至</w:t>
      </w:r>
      <w:r>
        <w:rPr/>
        <w:t>57</w:t>
      </w:r>
      <w:r>
        <w:rPr/>
        <w:t>个，说明增长并非完全依赖概念炒作。项目、订单和收入三个不同层级同时改善，是一年与三年推荐得分较高的依据。</w:t>
      </w:r>
    </w:p>
    <w:p>
      <w:pPr>
        <w:pStyle w:val="Normal"/>
        <w:rPr/>
      </w:pPr>
      <w:r>
        <w:rPr/>
        <w:t>但</w:t>
      </w:r>
      <w:r>
        <w:rPr/>
        <w:t>82.10</w:t>
      </w:r>
      <w:r>
        <w:rPr/>
        <w:t>港元已经支付了相当强的增长预期。最近</w:t>
      </w:r>
      <w:r>
        <w:rPr/>
        <w:t>60</w:t>
      </w:r>
      <w:r>
        <w:rPr/>
        <w:t>日股价上涨</w:t>
      </w:r>
      <w:r>
        <w:rPr/>
        <w:t>38.45%</w:t>
      </w:r>
      <w:r>
        <w:rPr/>
        <w:t>，现价较</w:t>
      </w:r>
      <w:r>
        <w:rPr/>
        <w:t>60</w:t>
      </w:r>
      <w:r>
        <w:rPr/>
        <w:t>日均线高</w:t>
      </w:r>
      <w:r>
        <w:rPr/>
        <w:t>18.65%</w:t>
      </w:r>
      <w:r>
        <w:rPr/>
        <w:t>，较</w:t>
      </w:r>
      <w:r>
        <w:rPr/>
        <w:t>250</w:t>
      </w:r>
      <w:r>
        <w:rPr/>
        <w:t>日均线高</w:t>
      </w:r>
      <w:r>
        <w:rPr/>
        <w:t>28.35%</w:t>
      </w:r>
      <w:r>
        <w:rPr/>
        <w:t>；高盛、瑞银和花旗的公开目标价距离现价约</w:t>
      </w:r>
      <w:r>
        <w:rPr/>
        <w:t>19%</w:t>
      </w:r>
      <w:r>
        <w:rPr/>
        <w:t>、</w:t>
      </w:r>
      <w:r>
        <w:rPr/>
        <w:t>15%</w:t>
      </w:r>
      <w:r>
        <w:rPr/>
        <w:t>和</w:t>
      </w:r>
      <w:r>
        <w:rPr/>
        <w:t>13%</w:t>
      </w:r>
      <w:r>
        <w:rPr/>
        <w:t>。这意味着行业与经营持续增长，只能满足价格中已经存在的要求，新增超额收益还需要进一步的盈利上修或更高的合理估值。投资决策不能只比较今年业务与去年业务，而要比较未来结果与今天股价隐含的未来结果。</w:t>
      </w:r>
    </w:p>
    <w:p>
      <w:pPr>
        <w:pStyle w:val="Normal"/>
        <w:rPr/>
      </w:pPr>
      <w:r>
        <w:rPr/>
        <w:t>本模型半年基准上涨</w:t>
      </w:r>
      <w:r>
        <w:rPr/>
        <w:t>9.06%</w:t>
      </w:r>
      <w:r>
        <w:rPr/>
        <w:t>，一年基准上涨</w:t>
      </w:r>
      <w:r>
        <w:rPr/>
        <w:t>34.38%</w:t>
      </w:r>
      <w:r>
        <w:rPr/>
        <w:t>，两者差距来自可被财报逐渐验证的盈利增长。半年价格接近前高且日线动量减速，短期买入不能仅因公司长期好就忽视潜在回撤。一年后若后期项目和新加坡产能产生更多收入，估值所对应的盈利基础才明显增加。三年及五年的逻辑是从大量临床订单进入多品种商业制造，并以规模和专有平台提高每股利润，期间必须接受客户项目淘汰和制造行业的资本投入周期。</w:t>
      </w:r>
    </w:p>
    <w:p>
      <w:pPr>
        <w:pStyle w:val="Normal"/>
        <w:rPr/>
      </w:pPr>
      <w:r>
        <w:rPr/>
        <w:t>进取型标准重视成长与上涨空间，但仍要求收益来源可解释。药明合联的长期潜力来自经营利润增加，模型没有通过把估值倍数不断推高来制造高回报。三年基准合理</w:t>
      </w:r>
      <w:r>
        <w:rPr/>
        <w:t>PE</w:t>
      </w:r>
      <w:r>
        <w:rPr/>
        <w:t>降到</w:t>
      </w:r>
      <w:r>
        <w:rPr/>
        <w:t>30</w:t>
      </w:r>
      <w:r>
        <w:rPr/>
        <w:t>倍、五年降到</w:t>
      </w:r>
      <w:r>
        <w:rPr/>
        <w:t>27</w:t>
      </w:r>
      <w:r>
        <w:rPr/>
        <w:t>倍，低于半年</w:t>
      </w:r>
      <w:r>
        <w:rPr/>
        <w:t>37</w:t>
      </w:r>
      <w:r>
        <w:rPr/>
        <w:t>倍；若成熟期利润增长不足，倍数正常化会抵消业务扩张。长期推荐因此需要把收入增长、净利率、摊薄股数和资本回报放在一起观察，而不能用行业市场规模增长单独推出股价倍增。</w:t>
      </w:r>
    </w:p>
    <w:p>
      <w:pPr>
        <w:pStyle w:val="Heading2"/>
        <w:rPr/>
      </w:pPr>
      <w:r>
        <w:rPr>
          <w:color w:val="000000"/>
        </w:rPr>
        <w:t>二 商业模式 复杂产品的一体化交付为什么有价值</w:t>
      </w:r>
    </w:p>
    <w:p>
      <w:pPr>
        <w:pStyle w:val="Normal"/>
        <w:rPr/>
      </w:pPr>
      <w:r>
        <w:rPr/>
        <w:t>抗体偶联药物通常涉及抗体、连接子、有效载荷和偶联工艺。抗体提供靶向识别，连接子关系到稳定性及释放方式，有效载荷负责药理作用，偶联步骤则影响一致性、聚集、游离毒素及不同药物抗体比的分布。它同时涉及生物大分子和高活性小分子，供应链协调、质量控制和放大生产比普通单一组分更复杂。能否在不同步骤之间保持可靠的信息交接和批次一致性，直接影响客户的临床材料和注册质量。</w:t>
      </w:r>
    </w:p>
    <w:p>
      <w:pPr>
        <w:pStyle w:val="Normal"/>
        <w:rPr/>
      </w:pPr>
      <w:r>
        <w:rPr/>
        <w:t>药明合联提供发现、工艺开发、分析方法、非</w:t>
      </w:r>
      <w:r>
        <w:rPr/>
        <w:t>GMP</w:t>
      </w:r>
      <w:r>
        <w:rPr/>
        <w:t>和</w:t>
      </w:r>
      <w:r>
        <w:rPr/>
        <w:t>GMP</w:t>
      </w:r>
      <w:r>
        <w:rPr/>
        <w:t>材料、原液与制剂、包装和监管支持。将多个环节放在相邻设施与统一质量体系内，可以减少客户在抗体供应商、载荷供应商、偶联厂和灌装厂之间的协调时间。对早期客户而言，少一次复杂技术转移可能缩短试验启动；对后期客户而言，可追溯的工艺历史有助于减少注册变更的难度。这种价值必须通过交付速度、偏差率、合格率和重复订单证明，不能只靠“一站式”标签。</w:t>
      </w:r>
    </w:p>
    <w:p>
      <w:pPr>
        <w:pStyle w:val="Normal"/>
        <w:rPr/>
      </w:pPr>
      <w:r>
        <w:rPr/>
        <w:t>全链条不是所有客户必选的采购方式。大药企可能保留内部抗体和研发能力，只购买特定制造模块；技术成熟的客户可能拆分供应商以控制价格和单点故障。公司必须同时保持综合服务的便利和单个模块的竞争力，否则捆绑供给容易被客户看作成本增加。模型中的利润率也不能假定平台拥有无限定价权，因为规模较大的客户通常有采购议价能力，而且更多同行会随着行业增长增加产能。</w:t>
      </w:r>
    </w:p>
    <w:p>
      <w:pPr>
        <w:pStyle w:val="Normal"/>
        <w:rPr/>
      </w:pPr>
      <w:r>
        <w:rPr/>
        <w:t>“</w:t>
      </w:r>
      <w:r>
        <w:rPr/>
        <w:t>赋能、跟随、赢得分子”有三个不同的经济机制。赋能发现使公司较早参与候选药物设计，积累工艺与分析知识；跟随分子意味着同一候选从临床前进入临床和商业制造时服务金额扩大；赢得分子则从外部已有项目取得开发或生产订单。前两者提供长期客户关系，第三者缩短后期收入的等待时间。若只强调跟随而忽略客户失败率，会夸大储备；若只强调外部赢得而不验证技术转移能力，则会低估交付风险。</w:t>
      </w:r>
    </w:p>
    <w:p>
      <w:pPr>
        <w:pStyle w:val="Normal"/>
        <w:rPr/>
      </w:pPr>
      <w:r>
        <w:rPr/>
        <w:t>服务业务与药物销售的风险分布不同。客户临床失败时，公司已经提供并符合合同要求的开发服务通常仍有收入，但后续制造订单可能消失；客户药物成功时，公司取得的主要是服务费，未必分享药品全部高利润。专有技术许可可能增加里程碑和销售权利金，但只有相应合同约定的权益才属于股东。不能把平台服务商同时按所有客户药物销售总额和制造利润重复计价，也不能认为客户临床失败对未来订单完全没有影响。</w:t>
      </w:r>
    </w:p>
    <w:p>
      <w:pPr>
        <w:pStyle w:val="Heading2"/>
        <w:rPr/>
      </w:pPr>
      <w:r>
        <w:rPr>
          <w:color w:val="000000"/>
        </w:rPr>
        <w:t>三 真实项目储备 数量 阶段和统计定义必须一起看</w:t>
      </w:r>
    </w:p>
    <w:p>
      <w:pPr>
        <w:pStyle w:val="Normal"/>
        <w:rPr/>
      </w:pPr>
      <w:r>
        <w:rPr/>
        <w:t>截至</w:t>
      </w:r>
      <w:r>
        <w:rPr/>
        <w:t>2026</w:t>
      </w:r>
      <w:r>
        <w:rPr/>
        <w:t>年</w:t>
      </w:r>
      <w:r>
        <w:rPr/>
        <w:t>6</w:t>
      </w:r>
      <w:r>
        <w:rPr/>
        <w:t>月</w:t>
      </w:r>
      <w:r>
        <w:rPr/>
        <w:t>30</w:t>
      </w:r>
      <w:r>
        <w:rPr/>
        <w:t>日，公司有</w:t>
      </w:r>
      <w:r>
        <w:rPr/>
        <w:t>328</w:t>
      </w:r>
      <w:r>
        <w:rPr/>
        <w:t>个进行中的综合项目，其中</w:t>
      </w:r>
      <w:r>
        <w:rPr/>
        <w:t>286</w:t>
      </w:r>
      <w:r>
        <w:rPr/>
        <w:t>个为</w:t>
      </w:r>
      <w:r>
        <w:rPr/>
        <w:t>ADC</w:t>
      </w:r>
      <w:r>
        <w:rPr/>
        <w:t>、</w:t>
      </w:r>
      <w:r>
        <w:rPr/>
        <w:t>42</w:t>
      </w:r>
      <w:r>
        <w:rPr/>
        <w:t>个为其他生物偶联药物。临床前</w:t>
      </w:r>
      <w:r>
        <w:rPr/>
        <w:t>166</w:t>
      </w:r>
      <w:r>
        <w:rPr/>
        <w:t>个，一期</w:t>
      </w:r>
      <w:r>
        <w:rPr/>
        <w:t>105</w:t>
      </w:r>
      <w:r>
        <w:rPr/>
        <w:t>个，二期</w:t>
      </w:r>
      <w:r>
        <w:rPr/>
        <w:t>25</w:t>
      </w:r>
      <w:r>
        <w:rPr/>
        <w:t>个，三期</w:t>
      </w:r>
      <w:r>
        <w:rPr/>
        <w:t>30</w:t>
      </w:r>
      <w:r>
        <w:rPr/>
        <w:t>个，商业化</w:t>
      </w:r>
      <w:r>
        <w:rPr/>
        <w:t>2</w:t>
      </w:r>
      <w:r>
        <w:rPr/>
        <w:t>个。项目结构仍以早期为主，因此当前增长有大量未来可选机会，也有较长的临床淘汰过程。把</w:t>
      </w:r>
      <w:r>
        <w:rPr/>
        <w:t>328</w:t>
      </w:r>
      <w:r>
        <w:rPr/>
        <w:t>个项目乘以成熟商业项目收入，是错误的估计方法；收入潜力必须按阶段、客户预算、成功机会和实际制造份额分开考虑。</w:t>
      </w:r>
    </w:p>
    <w:p>
      <w:pPr>
        <w:pStyle w:val="Normal"/>
        <w:rPr/>
      </w:pPr>
      <w:r>
        <w:rPr/>
        <w:t>二期及后期项目</w:t>
      </w:r>
      <w:r>
        <w:rPr/>
        <w:t>57</w:t>
      </w:r>
      <w:r>
        <w:rPr/>
        <w:t>个，比去年同期</w:t>
      </w:r>
      <w:r>
        <w:rPr/>
        <w:t>37</w:t>
      </w:r>
      <w:r>
        <w:rPr/>
        <w:t>个增加</w:t>
      </w:r>
      <w:r>
        <w:rPr/>
        <w:t>20</w:t>
      </w:r>
      <w:r>
        <w:rPr/>
        <w:t>个，其中</w:t>
      </w:r>
      <w:r>
        <w:rPr/>
        <w:t>21</w:t>
      </w:r>
      <w:r>
        <w:rPr/>
        <w:t>个处于生产工艺验证准备，</w:t>
      </w:r>
      <w:r>
        <w:rPr/>
        <w:t>2</w:t>
      </w:r>
      <w:r>
        <w:rPr/>
        <w:t>个商业化项目已安排。工艺验证接近注册生产，但并不等于监管已批准，更不等于产品上市后会达到大规模销售。客户可以在验证后因临床结果、竞争和资金改变进度。对三年模型来说，重要的是这些储备中有多少真正形成持续制造收入、多少停留在验证工作，以及转化后的订单是否具有足够规模。</w:t>
      </w:r>
    </w:p>
    <w:p>
      <w:pPr>
        <w:pStyle w:val="Normal"/>
        <w:rPr/>
      </w:pPr>
      <w:r>
        <w:rPr/>
        <w:t>上半年新签</w:t>
      </w:r>
      <w:r>
        <w:rPr/>
        <w:t>51</w:t>
      </w:r>
      <w:r>
        <w:rPr/>
        <w:t>个综合项目、赢得</w:t>
      </w:r>
      <w:r>
        <w:rPr/>
        <w:t>25</w:t>
      </w:r>
      <w:r>
        <w:rPr/>
        <w:t>个</w:t>
      </w:r>
      <w:r>
        <w:rPr/>
        <w:t>iCMC</w:t>
      </w:r>
      <w:r>
        <w:rPr/>
        <w:t>项目，是当期新增指标；公司累计从发现推进至</w:t>
      </w:r>
      <w:r>
        <w:rPr/>
        <w:t>iCMC</w:t>
      </w:r>
      <w:r>
        <w:rPr/>
        <w:t>的</w:t>
      </w:r>
      <w:r>
        <w:rPr/>
        <w:t>77</w:t>
      </w:r>
      <w:r>
        <w:rPr/>
        <w:t>个项目，则是自成立以来的累计统计。已执行发现项目累计</w:t>
      </w:r>
      <w:r>
        <w:rPr/>
        <w:t>1,325</w:t>
      </w:r>
      <w:r>
        <w:rPr/>
        <w:t>个，同样不代表当前有</w:t>
      </w:r>
      <w:r>
        <w:rPr/>
        <w:t>1,325</w:t>
      </w:r>
      <w:r>
        <w:rPr/>
        <w:t>个在研生产合同。原报告脚注明确，</w:t>
      </w:r>
      <w:r>
        <w:rPr/>
        <w:t>30</w:t>
      </w:r>
      <w:r>
        <w:rPr/>
        <w:t>个月没有要求服务的综合项目视为不活跃，发现项目因临时性和早期失败机会差异较大而采用累计数。这些定义直接影响增长比较，研究应保存口径，不能把累计和期间数字互换。</w:t>
      </w:r>
    </w:p>
    <w:p>
      <w:pPr>
        <w:pStyle w:val="Normal"/>
        <w:rPr/>
      </w:pPr>
      <w:r>
        <w:rPr/>
        <w:t>公司称</w:t>
      </w:r>
      <w:r>
        <w:rPr/>
        <w:t>iCMC</w:t>
      </w:r>
      <w:r>
        <w:rPr/>
        <w:t>项目最低合同价值已提高到超过</w:t>
      </w:r>
      <w:r>
        <w:rPr/>
        <w:t>150</w:t>
      </w:r>
      <w:r>
        <w:rPr/>
        <w:t>万美元，这是进入该统计类别的门槛，不是所有项目的平均年度收入。项目工作跨多个阶段和年份，部分合同金额覆盖长周期，部分属于后续条件性任务。把最低合同价值乘以当前项目数，可以提供规模感觉，却不能替代收入预测。预测需要考虑项目是否仍活跃、工作完成进度、履约义务、付款节点以及客户是否继续推进。</w:t>
      </w:r>
    </w:p>
    <w:p>
      <w:pPr>
        <w:pStyle w:val="Normal"/>
        <w:rPr/>
      </w:pPr>
      <w:r>
        <w:rPr/>
        <w:t>半年内公司帮助客户提交</w:t>
      </w:r>
      <w:r>
        <w:rPr/>
        <w:t>24</w:t>
      </w:r>
      <w:r>
        <w:rPr/>
        <w:t>款</w:t>
      </w:r>
      <w:r>
        <w:rPr/>
        <w:t>ADC</w:t>
      </w:r>
      <w:r>
        <w:rPr/>
        <w:t>和</w:t>
      </w:r>
      <w:r>
        <w:rPr/>
        <w:t>3</w:t>
      </w:r>
      <w:r>
        <w:rPr/>
        <w:t>款</w:t>
      </w:r>
      <w:r>
        <w:rPr/>
        <w:t>XDC</w:t>
      </w:r>
      <w:r>
        <w:rPr/>
        <w:t>的</w:t>
      </w:r>
      <w:r>
        <w:rPr/>
        <w:t>IND</w:t>
      </w:r>
      <w:r>
        <w:rPr/>
        <w:t>申请，自成立以来累计超过</w:t>
      </w:r>
      <w:r>
        <w:rPr/>
        <w:t>160</w:t>
      </w:r>
      <w:r>
        <w:rPr/>
        <w:t>项。</w:t>
      </w:r>
      <w:r>
        <w:rPr/>
        <w:t>IND</w:t>
      </w:r>
      <w:r>
        <w:rPr/>
        <w:t>支持说明开发和监管文件准备能力，并不提供临床疗效或最终批准保证。相同机制的多款药物还可能在临床与商业市场中相互竞争。项目数量增长若伴随严重同质化，行业总制造需求仍可能扩大，但单个客户达到商业峰值的概率降低，生产供应商的订单结构也会出现更大的集中和淘汰。</w:t>
      </w:r>
    </w:p>
    <w:p>
      <w:pPr>
        <w:pStyle w:val="Normal"/>
        <w:rPr/>
      </w:pPr>
      <w:r>
        <w:rPr/>
        <w:t>企业已服务</w:t>
      </w:r>
      <w:r>
        <w:rPr/>
        <w:t>814</w:t>
      </w:r>
      <w:r>
        <w:rPr/>
        <w:t>名全球客户，全球前</w:t>
      </w:r>
      <w:r>
        <w:rPr/>
        <w:t>20</w:t>
      </w:r>
      <w:r>
        <w:rPr/>
        <w:t>大药企中的</w:t>
      </w:r>
      <w:r>
        <w:rPr/>
        <w:t>15</w:t>
      </w:r>
      <w:r>
        <w:rPr/>
        <w:t>家合作，相关大药企贡献上半年</w:t>
      </w:r>
      <w:r>
        <w:rPr/>
        <w:t>33.6%</w:t>
      </w:r>
      <w:r>
        <w:rPr/>
        <w:t>收入。这支持客户多元化和平台认可度，也显示大客户占有重要收入份额。客户总数是累计关系广度，不能据此宣称收入均匀分散或没有关键客户风险。要进一步确认集中度，需要前五或前十大客户销售、同一集团项目归属和合同期限；当前模型未完整取得这些明细，因此风险评分没有提高到接近满分。</w:t>
      </w:r>
    </w:p>
    <w:p>
      <w:pPr>
        <w:pStyle w:val="Heading2"/>
        <w:rPr/>
      </w:pPr>
      <w:r>
        <w:rPr>
          <w:color w:val="000000"/>
        </w:rPr>
        <w:t>四 订单 可见度上升与现金保证仍有距离</w:t>
      </w:r>
    </w:p>
    <w:p>
      <w:pPr>
        <w:pStyle w:val="Normal"/>
        <w:rPr/>
      </w:pPr>
      <w:r>
        <w:rPr/>
        <w:t>2026</w:t>
      </w:r>
      <w:r>
        <w:rPr/>
        <w:t>年</w:t>
      </w:r>
      <w:r>
        <w:rPr/>
        <w:t>6</w:t>
      </w:r>
      <w:r>
        <w:rPr/>
        <w:t>月末未完成服务订单</w:t>
      </w:r>
      <w:r>
        <w:rPr/>
        <w:t>19.982</w:t>
      </w:r>
      <w:r>
        <w:rPr/>
        <w:t>亿美元，同比增长</w:t>
      </w:r>
      <w:r>
        <w:rPr/>
        <w:t>50.4%</w:t>
      </w:r>
      <w:r>
        <w:rPr/>
        <w:t>；包括潜在里程碑的未完成总订单</w:t>
      </w:r>
      <w:r>
        <w:rPr/>
        <w:t>21.562</w:t>
      </w:r>
      <w:r>
        <w:rPr/>
        <w:t>亿美元，同比增长</w:t>
      </w:r>
      <w:r>
        <w:rPr/>
        <w:t>62.2%</w:t>
      </w:r>
      <w:r>
        <w:rPr/>
        <w:t>。服务订单更接近未来工作储备，里程碑订单还取决于特定临床、注册或销售条件。二者应分列，不能将全部总订单看作可以确定确认的近期收入。公司当期收入明显增长而订单增幅更高，为下一年增长提供支持，但订单到收入的实现时间和取消情况仍需要持续跟踪。</w:t>
      </w:r>
    </w:p>
    <w:p>
      <w:pPr>
        <w:pStyle w:val="Normal"/>
        <w:rPr/>
      </w:pPr>
      <w:r>
        <w:rPr/>
        <w:t>服务订单包含不同阶段和交付周期，单位美元的经济质量未必相同。后期批量制造可以产生较大收入，却需要更多生产和营运资本；早期开发可能有较好的工程附加值，但单项目金额小且后续失败率高。一个覆盖多年的大合同，也不能与短期交付合同按相同收入转换率估算。如果订单增长主要来自长周期新建产能相关任务，半年收入可能仍平稳，而长期现金回报才是判断重点。</w:t>
      </w:r>
    </w:p>
    <w:p>
      <w:pPr>
        <w:pStyle w:val="Normal"/>
        <w:rPr/>
      </w:pPr>
      <w:r>
        <w:rPr/>
        <w:t>美元合同还存在汇率转换影响。公司中期报告用每美元</w:t>
      </w:r>
      <w:r>
        <w:rPr/>
        <w:t>7.1837</w:t>
      </w:r>
      <w:r>
        <w:rPr/>
        <w:t>元人民币的固定汇率作经营比较，固定汇率收入增速</w:t>
      </w:r>
      <w:r>
        <w:rPr/>
        <w:t>41.5%</w:t>
      </w:r>
      <w:r>
        <w:rPr/>
        <w:t>，实际汇率增速</w:t>
      </w:r>
      <w:r>
        <w:rPr/>
        <w:t>37.0%</w:t>
      </w:r>
      <w:r>
        <w:rPr/>
        <w:t>。固定汇率帮助理解客户工作量和报价，但人民币报表、利润和股东回报最终承受真实汇率。订单美元金额增长不代表人民币收入同幅增长，也不代表港币股价按照订单金额自动调整。估值采用人民币盈利后转成港币，需要明确转换假设及敏感性。</w:t>
      </w:r>
    </w:p>
    <w:p>
      <w:pPr>
        <w:pStyle w:val="Normal"/>
        <w:rPr/>
      </w:pPr>
      <w:r>
        <w:rPr/>
        <w:t>判断订单质量应观察四个结果：活跃项目的阶段向上迁移、实际收入兑现、收款与合同资产变化、单位产能盈利。若新增订单强劲但合同资产迅速累积而收款落后，收入增长的现金质量需要降分；若现金预收提高但后期生产迟迟不能完成，现金存在未来履约负担。一个指标无法代替完整链条。公司上半年经营现金增长较强且应收增速低于收入，是有利线索，仍不足以证明所有订单具有无条件可收款性。</w:t>
      </w:r>
    </w:p>
    <w:p>
      <w:pPr>
        <w:pStyle w:val="Heading2"/>
        <w:rPr/>
      </w:pPr>
      <w:r>
        <w:rPr>
          <w:color w:val="000000"/>
        </w:rPr>
        <w:t xml:space="preserve">五 收入结构与行业周期 </w:t>
      </w:r>
      <w:r>
        <w:rPr>
          <w:color w:val="000000"/>
        </w:rPr>
        <w:t>ADC</w:t>
      </w:r>
      <w:r>
        <w:rPr>
          <w:color w:val="000000"/>
        </w:rPr>
        <w:t>增长不是直线</w:t>
      </w:r>
    </w:p>
    <w:p>
      <w:pPr>
        <w:pStyle w:val="Normal"/>
        <w:rPr/>
      </w:pPr>
      <w:r>
        <w:rPr/>
        <w:t>2026</w:t>
      </w:r>
      <w:r>
        <w:rPr/>
        <w:t>上半年</w:t>
      </w:r>
      <w:r>
        <w:rPr/>
        <w:t>ADC</w:t>
      </w:r>
      <w:r>
        <w:rPr/>
        <w:t>收入</w:t>
      </w:r>
      <w:r>
        <w:rPr/>
        <w:t>31.98676</w:t>
      </w:r>
      <w:r>
        <w:rPr/>
        <w:t>亿元，占</w:t>
      </w:r>
      <w:r>
        <w:rPr/>
        <w:t>86.4%</w:t>
      </w:r>
      <w:r>
        <w:rPr/>
        <w:t>；非</w:t>
      </w:r>
      <w:r>
        <w:rPr/>
        <w:t>ADC</w:t>
      </w:r>
      <w:r>
        <w:rPr/>
        <w:t>收入</w:t>
      </w:r>
      <w:r>
        <w:rPr/>
        <w:t>5.02702</w:t>
      </w:r>
      <w:r>
        <w:rPr/>
        <w:t>亿元，占</w:t>
      </w:r>
      <w:r>
        <w:rPr/>
        <w:t>13.6%</w:t>
      </w:r>
      <w:r>
        <w:rPr/>
        <w:t>，去年同期非</w:t>
      </w:r>
      <w:r>
        <w:rPr/>
        <w:t>ADC</w:t>
      </w:r>
      <w:r>
        <w:rPr/>
        <w:t>只有</w:t>
      </w:r>
      <w:r>
        <w:rPr/>
        <w:t>1.96455</w:t>
      </w:r>
      <w:r>
        <w:rPr/>
        <w:t>亿元、占</w:t>
      </w:r>
      <w:r>
        <w:rPr/>
        <w:t>7.3%</w:t>
      </w:r>
      <w:r>
        <w:rPr/>
        <w:t>。非</w:t>
      </w:r>
      <w:r>
        <w:rPr/>
        <w:t>ADC</w:t>
      </w:r>
      <w:r>
        <w:rPr/>
        <w:t>增长可能来自新技术服务、合并和新项目结构，不能仅以高增速推定其已成为独立成熟支柱。对长期模型而言，非</w:t>
      </w:r>
      <w:r>
        <w:rPr/>
        <w:t>ADC</w:t>
      </w:r>
      <w:r>
        <w:rPr/>
        <w:t>是扩展可服务领域和降低单一技术路线集中度的机会，但其项目成功、规模制造和合同价值仍需分别验证。</w:t>
      </w:r>
    </w:p>
    <w:p>
      <w:pPr>
        <w:pStyle w:val="Normal"/>
        <w:rPr/>
      </w:pPr>
      <w:r>
        <w:rPr/>
        <w:t>按开发阶段，</w:t>
      </w:r>
      <w:r>
        <w:rPr/>
        <w:t>IND</w:t>
      </w:r>
      <w:r>
        <w:rPr/>
        <w:t>前收入</w:t>
      </w:r>
      <w:r>
        <w:rPr/>
        <w:t>15.43922</w:t>
      </w:r>
      <w:r>
        <w:rPr/>
        <w:t>亿元、占</w:t>
      </w:r>
      <w:r>
        <w:rPr/>
        <w:t>41.7%</w:t>
      </w:r>
      <w:r>
        <w:rPr/>
        <w:t>，</w:t>
      </w:r>
      <w:r>
        <w:rPr/>
        <w:t>IND</w:t>
      </w:r>
      <w:r>
        <w:rPr/>
        <w:t>后</w:t>
      </w:r>
      <w:r>
        <w:rPr/>
        <w:t>21.57456</w:t>
      </w:r>
      <w:r>
        <w:rPr/>
        <w:t>亿元、占</w:t>
      </w:r>
      <w:r>
        <w:rPr/>
        <w:t>58.3%</w:t>
      </w:r>
      <w:r>
        <w:rPr/>
        <w:t>，比例与去年同期较接近。后期项目数量增加并不总会立刻提高后期收入占比，因为早期服务也增长，后期合同还按工作进度确认。这提醒研究者不要把某一期收入比例当作项目成熟度的唯一指标。后期数量、每阶段收入、商业化项目销售和现金流需要同时观察，才能判断增长来自工作量还是经济价值提升。</w:t>
      </w:r>
    </w:p>
    <w:p>
      <w:pPr>
        <w:pStyle w:val="Normal"/>
        <w:rPr/>
      </w:pPr>
      <w:r>
        <w:rPr/>
        <w:t>ADC</w:t>
      </w:r>
      <w:r>
        <w:rPr/>
        <w:t>从后线治疗逐步拓展适应症和治疗线数，通常可以扩大患者覆盖和用药规模，支持制造需求。但不同载荷、安全性和靶点并不适用于所有患者，剂量与疗程也会受不良反应限制。某药在临床取得较好疗效，不意味着同靶点所有候选同时成功。研发热潮既创造大量开发服务，也可能形成竞争拥挤；行业最热门时期的项目数量，未必代表五年后的实际销售分布。</w:t>
      </w:r>
    </w:p>
    <w:p>
      <w:pPr>
        <w:pStyle w:val="Normal"/>
        <w:rPr/>
      </w:pPr>
      <w:r>
        <w:rPr/>
        <w:t>2025</w:t>
      </w:r>
      <w:r>
        <w:rPr/>
        <w:t>年年报记载，公司按收入计算的全球相关服务市场份额超过</w:t>
      </w:r>
      <w:r>
        <w:rPr/>
        <w:t>24%</w:t>
      </w:r>
      <w:r>
        <w:rPr/>
        <w:t>，该口径由公司和咨询分析支持。市场份额定义受到纯</w:t>
      </w:r>
      <w:r>
        <w:rPr/>
        <w:t>ADC</w:t>
      </w:r>
      <w:r>
        <w:rPr/>
        <w:t>服务范围、集成服务统计和竞争者分类影响，不能与所有生物制药外包市场直接比较。领先地位有助于获得新客户，却也意味着未来继续扩大份额难度增加。长期收入增长若主要依赖行业增长，公司需要保持份额；若模型还假定大幅夺取份额，则应给出明确客户与能力证据。</w:t>
      </w:r>
    </w:p>
    <w:p>
      <w:pPr>
        <w:pStyle w:val="Normal"/>
        <w:rPr/>
      </w:pPr>
      <w:r>
        <w:rPr/>
        <w:t>医药研发融资是服务需求的上游周期。早期公司融资改善，会增加临床前和一期订单；大药企为填补专利到期缺口进行授权和收购，可以把已有分子推进至后期。反之，资本市场收缩使客户削减项目，即便科学价值没有变化，服务工作也可能延迟。药明合联客户涉及大型药企和生物科技公司，能分散资金来源，但行业融资压力仍可能通过早期项目缩减和付款速度影响平台。</w:t>
      </w:r>
    </w:p>
    <w:p>
      <w:pPr>
        <w:pStyle w:val="Normal"/>
        <w:rPr/>
      </w:pPr>
      <w:r>
        <w:rPr/>
        <w:t>利率下降可以改善研发融资及高成长股估值，同时降低公司持有现金获得的利息收益。由于本模型核心盈利剔除非经营利息，降息对业务估值的利好与利息减少不会被混在一起。利率上升时，高</w:t>
      </w:r>
      <w:r>
        <w:rPr/>
        <w:t>PE</w:t>
      </w:r>
      <w:r>
        <w:rPr/>
        <w:t>估值可能压缩，客户融资也变贵；企业银行债务当前较少，直接财务成本影响较小，但订单与资本成本的间接影响更大。进取投资者应关注两个传导渠道，不能仅看公司资产负债表中的借款比例。</w:t>
      </w:r>
    </w:p>
    <w:p>
      <w:pPr>
        <w:pStyle w:val="Normal"/>
        <w:rPr/>
      </w:pPr>
      <w:r>
        <w:rPr/>
        <w:t>医保和海外支付政策对服务商主要通过客户药品销售与研发预算传导。价格被压低可能增加患者覆盖，但也可能降低客户商业化回报，进而限制外包预算和项目投资。制造服务费不一定随终端药价等比例下调，尤其高技术环节可能保留价值，但客户仍会要求成本优化。长期盈利假设应允许价格压力，而不是认为服务商完全隔绝于药品支付制度。</w:t>
      </w:r>
    </w:p>
    <w:p>
      <w:pPr>
        <w:pStyle w:val="Heading2"/>
        <w:rPr/>
      </w:pPr>
      <w:r>
        <w:rPr>
          <w:color w:val="000000"/>
        </w:rPr>
        <w:t>六 全球布局与监管 能力扩张会增加成本 也会增加选择</w:t>
      </w:r>
    </w:p>
    <w:p>
      <w:pPr>
        <w:pStyle w:val="Normal"/>
        <w:rPr/>
      </w:pPr>
      <w:r>
        <w:rPr/>
        <w:t>按最终客户总部所在地，上半年北美收入</w:t>
      </w:r>
      <w:r>
        <w:rPr/>
        <w:t>16.88812</w:t>
      </w:r>
      <w:r>
        <w:rPr/>
        <w:t>亿元、占</w:t>
      </w:r>
      <w:r>
        <w:rPr/>
        <w:t>45.6%</w:t>
      </w:r>
      <w:r>
        <w:rPr/>
        <w:t>，欧洲</w:t>
      </w:r>
      <w:r>
        <w:rPr/>
        <w:t>9.09295</w:t>
      </w:r>
      <w:r>
        <w:rPr/>
        <w:t>亿元、占</w:t>
      </w:r>
      <w:r>
        <w:rPr/>
        <w:t>24.6%</w:t>
      </w:r>
      <w:r>
        <w:rPr/>
        <w:t>，中国</w:t>
      </w:r>
      <w:r>
        <w:rPr/>
        <w:t>7.98551</w:t>
      </w:r>
      <w:r>
        <w:rPr/>
        <w:t>亿元、占</w:t>
      </w:r>
      <w:r>
        <w:rPr/>
        <w:t>21.6%</w:t>
      </w:r>
      <w:r>
        <w:rPr/>
        <w:t>。原财务附注按签约实体所在地区另列北美</w:t>
      </w:r>
      <w:r>
        <w:rPr/>
        <w:t>16.76827</w:t>
      </w:r>
      <w:r>
        <w:rPr/>
        <w:t>亿元、欧洲</w:t>
      </w:r>
      <w:r>
        <w:rPr/>
        <w:t>9.08513</w:t>
      </w:r>
      <w:r>
        <w:rPr/>
        <w:t>亿元、中国</w:t>
      </w:r>
      <w:r>
        <w:rPr/>
        <w:t>8.11655</w:t>
      </w:r>
      <w:r>
        <w:rPr/>
        <w:t>亿元，金额不同源于已有药明生物合约的重分类。两套数字应注明口径，不应将差异当作造假或简单选择更利于结论的一套。本文用最终客户分布讨论经济需求，用附注数据核验总收入。</w:t>
      </w:r>
    </w:p>
    <w:p>
      <w:pPr>
        <w:pStyle w:val="Normal"/>
        <w:rPr/>
      </w:pPr>
      <w:r>
        <w:rPr/>
        <w:t>北美与欧洲合计约七成收入，说明海外需求对公司非常重要。中国技术与制造效率能够支持全球客户，但采购政策、客户合规审查及供应链地域要求可能增加障碍。新加坡产能提供替代交付地点，有助于争取有地域要求的客户，但不能保证所有政治或法律限制自动解除。政策对法人、最终控制、数据或项目的约束，与工厂物理地址的约束可能不同，需要按具体规定核验。</w:t>
      </w:r>
    </w:p>
    <w:p>
      <w:pPr>
        <w:pStyle w:val="Normal"/>
        <w:rPr/>
      </w:pPr>
      <w:r>
        <w:rPr/>
        <w:t>新加坡双功能抗体中间体和偶联原液设施在</w:t>
      </w:r>
      <w:r>
        <w:rPr/>
        <w:t>2026</w:t>
      </w:r>
      <w:r>
        <w:rPr/>
        <w:t>年</w:t>
      </w:r>
      <w:r>
        <w:rPr/>
        <w:t>8</w:t>
      </w:r>
      <w:r>
        <w:rPr/>
        <w:t>月取得</w:t>
      </w:r>
      <w:r>
        <w:rPr/>
        <w:t>GMP</w:t>
      </w:r>
      <w:r>
        <w:rPr/>
        <w:t>放行，这是中期报告发布日期前的经营进展；其他制剂线报告中仍使用计划或预期表述。</w:t>
      </w:r>
      <w:r>
        <w:rPr/>
        <w:t>GMP</w:t>
      </w:r>
      <w:r>
        <w:rPr/>
        <w:t>放行、客户审计、国家监管许可前检查和药物批准之间有不同层级。将其中一项完成写成全部监管关口通过，会夸大商业化确定性。本文对未获得原始完成公告的项目保留计划属性，半年催化评分也反映进度不确定。</w:t>
      </w:r>
    </w:p>
    <w:p>
      <w:pPr>
        <w:pStyle w:val="Normal"/>
        <w:rPr/>
      </w:pPr>
      <w:r>
        <w:rPr/>
        <w:t>无锡基地正在准备未来许可前检查。摩根士丹利</w:t>
      </w:r>
      <w:r>
        <w:rPr/>
        <w:t>9</w:t>
      </w:r>
      <w:r>
        <w:rPr/>
        <w:t>月</w:t>
      </w:r>
      <w:r>
        <w:rPr/>
        <w:t>18</w:t>
      </w:r>
      <w:r>
        <w:rPr/>
        <w:t>日新闻转述预计</w:t>
      </w:r>
      <w:r>
        <w:rPr/>
        <w:t>FDA</w:t>
      </w:r>
      <w:r>
        <w:rPr/>
        <w:t>现场检查可能在</w:t>
      </w:r>
      <w:r>
        <w:rPr/>
        <w:t>2027</w:t>
      </w:r>
      <w:r>
        <w:rPr/>
        <w:t>年</w:t>
      </w:r>
      <w:r>
        <w:rPr/>
        <w:t>1</w:t>
      </w:r>
      <w:r>
        <w:rPr/>
        <w:t>月或</w:t>
      </w:r>
      <w:r>
        <w:rPr/>
        <w:t>2</w:t>
      </w:r>
      <w:r>
        <w:rPr/>
        <w:t>月进行，这属于机构预期，并非监管确定日程。检查成功有助于建立商业化制造记录，但检查延期、发现缺陷或整改时间增加可能影响客户批次安排。即便检查通过，订单规模仍取决于客户药物批准和销售。半年乐观情景要求监管与经营共同改善，不能以通过检查一项就推到最高目标价。</w:t>
      </w:r>
    </w:p>
    <w:p>
      <w:pPr>
        <w:pStyle w:val="Normal"/>
        <w:rPr/>
      </w:pPr>
      <w:r>
        <w:rPr/>
        <w:t>报告称累计通过超过</w:t>
      </w:r>
      <w:r>
        <w:rPr/>
        <w:t>200</w:t>
      </w:r>
      <w:r>
        <w:rPr/>
        <w:t>次全球客户</w:t>
      </w:r>
      <w:r>
        <w:rPr/>
        <w:t>GMP</w:t>
      </w:r>
      <w:r>
        <w:rPr/>
        <w:t>审计，含</w:t>
      </w:r>
      <w:r>
        <w:rPr/>
        <w:t>27</w:t>
      </w:r>
      <w:r>
        <w:rPr/>
        <w:t>次欧盟质量受权人审计，支持质量体系和客户认可。客户审计并非监管无缺陷保证，新的规模、人员和工艺都可能带来质量风险。高活性载荷处理、无菌灌装、交叉污染控制和分析方法变化需要严格管理。制造公司发生质量事件时，损失不只包括当期停产，还可能涉及客户更换供应商、重复验证和长期信誉，因此风险维度不能因为过去审计多就满分。</w:t>
      </w:r>
    </w:p>
    <w:p>
      <w:pPr>
        <w:pStyle w:val="Normal"/>
        <w:rPr/>
      </w:pPr>
      <w:r>
        <w:rPr/>
        <w:t>中国与新加坡多厂生产可以改善冗余和服务灵活性，但同一产品的跨厂技术转移需要验证，不一定能在几周内完成。客户注册资料中的生产地点、设备、方法和放行标准会限制临时调整。建设第二地点只有在技术和质量体系真正可迁移时才产生供应稳定价值。投资者应关注跨厂项目数量、转移费用和实际交付，而不只关注建筑完工速度及公布的设计容量。</w:t>
      </w:r>
    </w:p>
    <w:p>
      <w:pPr>
        <w:pStyle w:val="Heading2"/>
        <w:rPr/>
      </w:pPr>
      <w:r>
        <w:rPr>
          <w:color w:val="000000"/>
        </w:rPr>
        <w:t>七 扩产计划 设计容量必须转化为投入资本回报</w:t>
      </w:r>
    </w:p>
    <w:p>
      <w:pPr>
        <w:pStyle w:val="Normal"/>
        <w:rPr/>
      </w:pPr>
      <w:r>
        <w:rPr/>
        <w:t>公司宣布</w:t>
      </w:r>
      <w:r>
        <w:rPr/>
        <w:t>2026</w:t>
      </w:r>
      <w:r>
        <w:rPr/>
        <w:t>至</w:t>
      </w:r>
      <w:r>
        <w:rPr/>
        <w:t>2030</w:t>
      </w:r>
      <w:r>
        <w:rPr/>
        <w:t>年接近</w:t>
      </w:r>
      <w:r>
        <w:rPr/>
        <w:t>80</w:t>
      </w:r>
      <w:r>
        <w:rPr/>
        <w:t>亿元人民币多年资本开支路线图，涵盖原液、制剂、连接子与有效载荷及研发。</w:t>
      </w:r>
      <w:r>
        <w:rPr/>
        <w:t>80</w:t>
      </w:r>
      <w:r>
        <w:rPr/>
        <w:t>亿元是分年投入计划，不是当期费用，也不是全部不可撤销承诺；但它会通过现金支出、折旧、人员和维护改变股东现金回报。高增长服务公司进入大规模制造阶段时，利润增长与现金增长可能分离，因此估值必须检验新增设备的盈利能力和利用率。</w:t>
      </w:r>
    </w:p>
    <w:p>
      <w:pPr>
        <w:pStyle w:val="Normal"/>
        <w:rPr/>
      </w:pPr>
      <w:r>
        <w:rPr/>
        <w:t>无锡计划新增年产</w:t>
      </w:r>
      <w:r>
        <w:rPr/>
        <w:t>1,200</w:t>
      </w:r>
      <w:r>
        <w:rPr/>
        <w:t>万剂制剂车间，预计</w:t>
      </w:r>
      <w:r>
        <w:rPr/>
        <w:t>2027</w:t>
      </w:r>
      <w:r>
        <w:rPr/>
        <w:t>上半年投入，另有</w:t>
      </w:r>
      <w:r>
        <w:rPr/>
        <w:t>800</w:t>
      </w:r>
      <w:r>
        <w:rPr/>
        <w:t>万剂车间预计</w:t>
      </w:r>
      <w:r>
        <w:rPr/>
        <w:t>2028</w:t>
      </w:r>
      <w:r>
        <w:rPr/>
        <w:t>上半年投入；连接子载荷设施计划在</w:t>
      </w:r>
      <w:r>
        <w:rPr/>
        <w:t>2026</w:t>
      </w:r>
      <w:r>
        <w:rPr/>
        <w:t>年底或</w:t>
      </w:r>
      <w:r>
        <w:rPr/>
        <w:t>2027</w:t>
      </w:r>
      <w:r>
        <w:rPr/>
        <w:t>年初投运。新加坡设施也有分期建设。不同产线在开工、验证和商业生产之间存在时间差，收入确认通常滞后于设备投入。预测不能把设计剂数立即乘以最高单价，也不能假定投运第一年达到成熟利润率。</w:t>
      </w:r>
    </w:p>
    <w:p>
      <w:pPr>
        <w:pStyle w:val="Normal"/>
        <w:rPr/>
      </w:pPr>
      <w:r>
        <w:rPr/>
        <w:t>制剂剂数和反应器容量不足以直接计算销售额。客户产品的剂量、浓度、批次要求、冻干周期和质量检验工作量不同，同一名义容量的可交付产量也会不同。高活性载荷清洁与切换可能减少有效运行时间，生产验证批次未必按正常商业单价收费。完整产能模型需要订单批次、产线排程、收费结构和良率，目前公开信息没有提供全部细节，本报告保留收入与利润情景而不声称完成逐厂产能核算。</w:t>
      </w:r>
    </w:p>
    <w:p>
      <w:pPr>
        <w:pStyle w:val="Normal"/>
        <w:rPr/>
      </w:pPr>
      <w:r>
        <w:rPr/>
        <w:t>高利用率能够摊薄固定制造成本，但行业扩产同步时可能形成供给过剩。如果客户项目失败或推迟，已经招募的人员、折旧和厂房维护仍会发生。制造商也可能通过价格竞争吸引订单，导致收入增长而资本回报下降。药明合联目前有较强订单储备，有利于扩产需求匹配，但不能由订单总额推导每条未来生产线都满载。悲观情景允许利润率与</w:t>
      </w:r>
      <w:r>
        <w:rPr/>
        <w:t>PE</w:t>
      </w:r>
      <w:r>
        <w:rPr/>
        <w:t>同时下降，以体现制造周期的双重影响。</w:t>
      </w:r>
    </w:p>
    <w:p>
      <w:pPr>
        <w:pStyle w:val="Normal"/>
        <w:rPr/>
      </w:pPr>
      <w:r>
        <w:rPr/>
        <w:t>扩产是否值得，应比较新增税后经营利润与追加资本，而不能用总利润除以旧资本得到乐观结论。对于在建资产，当前没有收入但占用现金；投运后需要额外营运资本。客户预付款可以改善融资，但资金对应未来交付义务。若公司在两到三年内既提高收入又提高自由现金流，才更有力地证明扩产价值；仅有利润表增速而现金长期不能覆盖资本投入，应降低三年和五年评分。</w:t>
      </w:r>
    </w:p>
    <w:p>
      <w:pPr>
        <w:pStyle w:val="Heading2"/>
        <w:rPr/>
      </w:pPr>
      <w:r>
        <w:rPr>
          <w:color w:val="000000"/>
        </w:rPr>
        <w:t>八 东曜收购 增长贡献与股东成本要对称处理</w:t>
      </w:r>
    </w:p>
    <w:p>
      <w:pPr>
        <w:pStyle w:val="Normal"/>
        <w:rPr/>
      </w:pPr>
      <w:r>
        <w:rPr/>
        <w:t>东曜收购在</w:t>
      </w:r>
      <w:r>
        <w:rPr/>
        <w:t>2026</w:t>
      </w:r>
      <w:r>
        <w:rPr/>
        <w:t>年</w:t>
      </w:r>
      <w:r>
        <w:rPr/>
        <w:t>3</w:t>
      </w:r>
      <w:r>
        <w:rPr/>
        <w:t>月</w:t>
      </w:r>
      <w:r>
        <w:rPr/>
        <w:t>31</w:t>
      </w:r>
      <w:r>
        <w:rPr/>
        <w:t>日完成，财务从</w:t>
      </w:r>
      <w:r>
        <w:rPr/>
        <w:t>4</w:t>
      </w:r>
      <w:r>
        <w:rPr/>
        <w:t>月并表。</w:t>
      </w:r>
      <w:r>
        <w:rPr/>
        <w:t>6</w:t>
      </w:r>
      <w:r>
        <w:rPr/>
        <w:t>月末公司持有</w:t>
      </w:r>
      <w:r>
        <w:rPr/>
        <w:t>60.67%</w:t>
      </w:r>
      <w:r>
        <w:rPr/>
        <w:t>，其中</w:t>
      </w:r>
      <w:r>
        <w:rPr/>
        <w:t>0.67%</w:t>
      </w:r>
      <w:r>
        <w:rPr/>
        <w:t>按协定安排拟转回原股东，目标持有</w:t>
      </w:r>
      <w:r>
        <w:rPr/>
        <w:t>60%</w:t>
      </w:r>
      <w:r>
        <w:rPr/>
        <w:t>。取得控制后集团收入全额并表，利润还需要扣除少数股东权益。这意味着集团收入增长不能直接乘以归母净利率而忽略剩余权益。模型未来核心利润按归母口径估算，而不会将全部东曜盈利当作上市公司股东所有。</w:t>
      </w:r>
    </w:p>
    <w:p>
      <w:pPr>
        <w:pStyle w:val="Normal"/>
        <w:rPr/>
      </w:pPr>
      <w:r>
        <w:rPr/>
        <w:t>上半年并表新增收入</w:t>
      </w:r>
      <w:r>
        <w:rPr/>
        <w:t>1.45340</w:t>
      </w:r>
      <w:r>
        <w:rPr/>
        <w:t>亿元，占集团收入约</w:t>
      </w:r>
      <w:r>
        <w:rPr/>
        <w:t>3.93%</w:t>
      </w:r>
      <w:r>
        <w:rPr/>
        <w:t>；新增业务亏损</w:t>
      </w:r>
      <w:r>
        <w:rPr/>
        <w:t>319.2</w:t>
      </w:r>
      <w:r>
        <w:rPr/>
        <w:t>万元。剔除东曜后公司收入</w:t>
      </w:r>
      <w:r>
        <w:rPr/>
        <w:t>35.56038</w:t>
      </w:r>
      <w:r>
        <w:rPr/>
        <w:t>亿元，同比增长</w:t>
      </w:r>
      <w:r>
        <w:rPr/>
        <w:t>31.7%</w:t>
      </w:r>
      <w:r>
        <w:rPr/>
        <w:t>，而综合增速</w:t>
      </w:r>
      <w:r>
        <w:rPr/>
        <w:t>37.0%</w:t>
      </w:r>
      <w:r>
        <w:rPr/>
        <w:t>。有机业务仍然强劲，收购对当期增长有可见贡献，但尚未贡献法定利润。以综合增速预测多年、同时省略收购成本，会夸大回报；应分别观察东曜利用率、客户重叠、技术整合与后续投资。</w:t>
      </w:r>
    </w:p>
    <w:p>
      <w:pPr>
        <w:pStyle w:val="Normal"/>
        <w:rPr/>
      </w:pPr>
      <w:r>
        <w:rPr/>
        <w:t>公司取得</w:t>
      </w:r>
      <w:r>
        <w:rPr/>
        <w:t>60%</w:t>
      </w:r>
      <w:r>
        <w:rPr/>
        <w:t>权益相关代价</w:t>
      </w:r>
      <w:r>
        <w:rPr/>
        <w:t>16.48045</w:t>
      </w:r>
      <w:r>
        <w:rPr/>
        <w:t>亿元，净收购现金流约</w:t>
      </w:r>
      <w:r>
        <w:rPr/>
        <w:t>11.95689</w:t>
      </w:r>
      <w:r>
        <w:rPr/>
        <w:t>亿元；二者差异涉及取得现金、结算和其他收购安排，不能混同。新增商誉</w:t>
      </w:r>
      <w:r>
        <w:rPr/>
        <w:t>12.31730</w:t>
      </w:r>
      <w:r>
        <w:rPr/>
        <w:t>亿元，使总商誉达到</w:t>
      </w:r>
      <w:r>
        <w:rPr/>
        <w:t>14.46923</w:t>
      </w:r>
      <w:r>
        <w:rPr/>
        <w:t>亿元。商誉代表取得能力和预期协同中尚未对应可单独识别资产的价值，不能直接算作可变现现金。若被收购业务增长和利润低于原估计，可能发生减值，即使减值本身非现金，收购支付出去的现金损失已经真实发生。</w:t>
      </w:r>
    </w:p>
    <w:p>
      <w:pPr>
        <w:pStyle w:val="Normal"/>
        <w:rPr/>
      </w:pPr>
      <w:r>
        <w:rPr/>
        <w:t>整合收益可以来自客户交叉服务、抗体中间体与偶联生产协同、采购和质量体系共享。但协同往往需要额外培训、系统和验证成本，不是签约后自然实现。既有客户也可能担心供应商集中或平台竞争关系。应比较收购前后的订单获取、利用率和归母利润，确认协同大于维护成本。长期乐观情景允许更高收入和利润率，但没有把全部潜在协同当作截止日已实现成果。</w:t>
      </w:r>
    </w:p>
    <w:p>
      <w:pPr>
        <w:pStyle w:val="Heading2"/>
        <w:rPr/>
      </w:pPr>
      <w:r>
        <w:rPr>
          <w:color w:val="000000"/>
        </w:rPr>
        <w:t>九 历史财务 增长强 但口径变化不可忽略</w:t>
      </w:r>
    </w:p>
    <w:p>
      <w:pPr>
        <w:pStyle w:val="Normal"/>
        <w:rPr/>
      </w:pPr>
      <w:r>
        <w:rPr/>
        <w:t>2025</w:t>
      </w:r>
      <w:r>
        <w:rPr/>
        <w:t>年原年报显示，收入从</w:t>
      </w:r>
      <w:r>
        <w:rPr/>
        <w:t>2021</w:t>
      </w:r>
      <w:r>
        <w:rPr/>
        <w:t>年</w:t>
      </w:r>
      <w:r>
        <w:rPr/>
        <w:t>3.11131</w:t>
      </w:r>
      <w:r>
        <w:rPr/>
        <w:t>亿元增至</w:t>
      </w:r>
      <w:r>
        <w:rPr/>
        <w:t>2022</w:t>
      </w:r>
      <w:r>
        <w:rPr/>
        <w:t>年</w:t>
      </w:r>
      <w:r>
        <w:rPr/>
        <w:t>9.90423</w:t>
      </w:r>
      <w:r>
        <w:rPr/>
        <w:t>亿元、</w:t>
      </w:r>
      <w:r>
        <w:rPr/>
        <w:t>2023</w:t>
      </w:r>
      <w:r>
        <w:rPr/>
        <w:t>年</w:t>
      </w:r>
      <w:r>
        <w:rPr/>
        <w:t>21.23839</w:t>
      </w:r>
      <w:r>
        <w:rPr/>
        <w:t>亿元、</w:t>
      </w:r>
      <w:r>
        <w:rPr/>
        <w:t>2024</w:t>
      </w:r>
      <w:r>
        <w:rPr/>
        <w:t>年</w:t>
      </w:r>
      <w:r>
        <w:rPr/>
        <w:t>40.52320</w:t>
      </w:r>
      <w:r>
        <w:rPr/>
        <w:t>亿元及</w:t>
      </w:r>
      <w:r>
        <w:rPr/>
        <w:t>2025</w:t>
      </w:r>
      <w:r>
        <w:rPr/>
        <w:t>年</w:t>
      </w:r>
      <w:r>
        <w:rPr/>
        <w:t>59.44245</w:t>
      </w:r>
      <w:r>
        <w:rPr/>
        <w:t>亿元。快速扩张已持续多个年度，并非只在某一个半年出现。不过</w:t>
      </w:r>
      <w:r>
        <w:rPr/>
        <w:t>2021</w:t>
      </w:r>
      <w:r>
        <w:rPr/>
        <w:t>规模很小，长期复合增速容易显得极高；未来基数扩大后不能保持早期同样增速。模型对</w:t>
      </w:r>
      <w:r>
        <w:rPr/>
        <w:t>2031</w:t>
      </w:r>
      <w:r>
        <w:rPr/>
        <w:t>收入采用</w:t>
      </w:r>
      <w:r>
        <w:rPr/>
        <w:t>310</w:t>
      </w:r>
      <w:r>
        <w:rPr/>
        <w:t>亿元基准，仍需多年强增长，但没有机械外推早期百分比。</w:t>
      </w:r>
    </w:p>
    <w:p>
      <w:pPr>
        <w:pStyle w:val="Normal"/>
        <w:rPr/>
      </w:pPr>
      <w:r>
        <w:rPr/>
        <w:t>毛利率</w:t>
      </w:r>
      <w:r>
        <w:rPr/>
        <w:t>2023</w:t>
      </w:r>
      <w:r>
        <w:rPr/>
        <w:t>年</w:t>
      </w:r>
      <w:r>
        <w:rPr/>
        <w:t>26.3%</w:t>
      </w:r>
      <w:r>
        <w:rPr/>
        <w:t>、</w:t>
      </w:r>
      <w:r>
        <w:rPr/>
        <w:t>2024</w:t>
      </w:r>
      <w:r>
        <w:rPr/>
        <w:t>年</w:t>
      </w:r>
      <w:r>
        <w:rPr/>
        <w:t>30.6%</w:t>
      </w:r>
      <w:r>
        <w:rPr/>
        <w:t>、</w:t>
      </w:r>
      <w:r>
        <w:rPr/>
        <w:t>2025</w:t>
      </w:r>
      <w:r>
        <w:rPr/>
        <w:t>年</w:t>
      </w:r>
      <w:r>
        <w:rPr/>
        <w:t>36.0%</w:t>
      </w:r>
      <w:r>
        <w:rPr/>
        <w:t>，</w:t>
      </w:r>
      <w:r>
        <w:rPr/>
        <w:t>2026</w:t>
      </w:r>
      <w:r>
        <w:rPr/>
        <w:t>上半年</w:t>
      </w:r>
      <w:r>
        <w:rPr/>
        <w:t>37.0%</w:t>
      </w:r>
      <w:r>
        <w:rPr/>
        <w:t>。这与平台规模、采购和产能爬坡改善相符。若毛利率接近成熟阶段，继续依赖每年大幅提高毛利率来实现利润增长会不合理；未来收益更多应来自收入增加和费用效率。不同产线、地域和收购业务的成本也可能限制上行，模型基准核心净利率保留在约</w:t>
      </w:r>
      <w:r>
        <w:rPr/>
        <w:t>27%</w:t>
      </w:r>
      <w:r>
        <w:rPr/>
        <w:t>至</w:t>
      </w:r>
      <w:r>
        <w:rPr/>
        <w:t>31%</w:t>
      </w:r>
      <w:r>
        <w:rPr/>
        <w:t>区间，而没有让长期净利润率无限接近毛利率。</w:t>
      </w:r>
    </w:p>
    <w:p>
      <w:pPr>
        <w:pStyle w:val="Normal"/>
        <w:rPr/>
      </w:pPr>
      <w:r>
        <w:rPr/>
        <w:t>法定归母利润</w:t>
      </w:r>
      <w:r>
        <w:rPr/>
        <w:t>2023</w:t>
      </w:r>
      <w:r>
        <w:rPr/>
        <w:t>年</w:t>
      </w:r>
      <w:r>
        <w:rPr/>
        <w:t>2.83538</w:t>
      </w:r>
      <w:r>
        <w:rPr/>
        <w:t>亿元、</w:t>
      </w:r>
      <w:r>
        <w:rPr/>
        <w:t>2024</w:t>
      </w:r>
      <w:r>
        <w:rPr/>
        <w:t>年</w:t>
      </w:r>
      <w:r>
        <w:rPr/>
        <w:t>10.69622</w:t>
      </w:r>
      <w:r>
        <w:rPr/>
        <w:t>亿元、</w:t>
      </w:r>
      <w:r>
        <w:rPr/>
        <w:t>2025</w:t>
      </w:r>
      <w:r>
        <w:rPr/>
        <w:t>年</w:t>
      </w:r>
      <w:r>
        <w:rPr/>
        <w:t>14.80496</w:t>
      </w:r>
      <w:r>
        <w:rPr/>
        <w:t>亿元，</w:t>
      </w:r>
      <w:r>
        <w:rPr/>
        <w:t>2026</w:t>
      </w:r>
      <w:r>
        <w:rPr/>
        <w:t>半年</w:t>
      </w:r>
      <w:r>
        <w:rPr/>
        <w:t>8.19281</w:t>
      </w:r>
      <w:r>
        <w:rPr/>
        <w:t>亿元。</w:t>
      </w:r>
      <w:r>
        <w:rPr/>
        <w:t>2025</w:t>
      </w:r>
      <w:r>
        <w:rPr/>
        <w:t>调整归母利润</w:t>
      </w:r>
      <w:r>
        <w:rPr/>
        <w:t>15.58682</w:t>
      </w:r>
      <w:r>
        <w:rPr/>
        <w:t>亿元。年报五年摘要仍展示</w:t>
      </w:r>
      <w:r>
        <w:rPr/>
        <w:t>2024</w:t>
      </w:r>
      <w:r>
        <w:rPr/>
        <w:t>旧口径经调整利润</w:t>
      </w:r>
      <w:r>
        <w:rPr/>
        <w:t>11.74005</w:t>
      </w:r>
      <w:r>
        <w:rPr/>
        <w:t>亿元，但</w:t>
      </w:r>
      <w:r>
        <w:rPr/>
        <w:t>2025</w:t>
      </w:r>
      <w:r>
        <w:rPr/>
        <w:t>年度对账表将</w:t>
      </w:r>
      <w:r>
        <w:rPr/>
        <w:t>2024</w:t>
      </w:r>
      <w:r>
        <w:rPr/>
        <w:t>按照去除净利息和汇兑的新口径重列为</w:t>
      </w:r>
      <w:r>
        <w:rPr/>
        <w:t>9.17156</w:t>
      </w:r>
      <w:r>
        <w:rPr/>
        <w:t>亿元。</w:t>
      </w:r>
      <w:r>
        <w:rPr/>
        <w:t>69.9%</w:t>
      </w:r>
      <w:r>
        <w:rPr/>
        <w:t>的调整利润增长对应重列基数，不能拿旧数字计算后再说公司或机构增长错误。同行比较同样需要对齐净利息和股份酬金处理。</w:t>
      </w:r>
    </w:p>
    <w:p>
      <w:pPr>
        <w:pStyle w:val="Normal"/>
        <w:rPr/>
      </w:pPr>
      <w:r>
        <w:rPr/>
        <w:t>2026</w:t>
      </w:r>
      <w:r>
        <w:rPr/>
        <w:t>半年法定集团利润</w:t>
      </w:r>
      <w:r>
        <w:rPr/>
        <w:t>8.18004</w:t>
      </w:r>
      <w:r>
        <w:rPr/>
        <w:t>亿元，同比增长</w:t>
      </w:r>
      <w:r>
        <w:rPr/>
        <w:t>9.7%</w:t>
      </w:r>
      <w:r>
        <w:rPr/>
        <w:t>，归母</w:t>
      </w:r>
      <w:r>
        <w:rPr/>
        <w:t>8.19281</w:t>
      </w:r>
      <w:r>
        <w:rPr/>
        <w:t>亿元，同比增长约</w:t>
      </w:r>
      <w:r>
        <w:rPr/>
        <w:t>9.9%</w:t>
      </w:r>
      <w:r>
        <w:rPr/>
        <w:t>；毛利增长</w:t>
      </w:r>
      <w:r>
        <w:rPr/>
        <w:t>40.6%</w:t>
      </w:r>
      <w:r>
        <w:rPr/>
        <w:t>，归母调整利润增长</w:t>
      </w:r>
      <w:r>
        <w:rPr/>
        <w:t>37.4%</w:t>
      </w:r>
      <w:r>
        <w:rPr/>
        <w:t>。法定与调整差异主要由汇兑、股份酬金、收购成本和净利息引起。这并不否定经营增长，也不能把较小的法定增速全部当作无关噪声。投资者承担汇率和股份发行的结果，研究应同时展示持续业务盈利与真实会计回报。</w:t>
      </w:r>
    </w:p>
    <w:p>
      <w:pPr>
        <w:pStyle w:val="Normal"/>
        <w:rPr/>
      </w:pPr>
      <w:r>
        <w:rPr/>
        <w:t>从集团利润</w:t>
      </w:r>
      <w:r>
        <w:rPr/>
        <w:t>8.18004</w:t>
      </w:r>
      <w:r>
        <w:rPr/>
        <w:t>亿元出发，加回损益内股份酬金</w:t>
      </w:r>
      <w:r>
        <w:rPr/>
        <w:t>7,963.3</w:t>
      </w:r>
      <w:r>
        <w:rPr/>
        <w:t>万元、汇兑净损失</w:t>
      </w:r>
      <w:r>
        <w:rPr/>
        <w:t>1.979</w:t>
      </w:r>
      <w:r>
        <w:rPr/>
        <w:t>亿元和一次性交易成本</w:t>
      </w:r>
      <w:r>
        <w:rPr/>
        <w:t>2,669.7</w:t>
      </w:r>
      <w:r>
        <w:rPr/>
        <w:t>万元，再扣净利息</w:t>
      </w:r>
      <w:r>
        <w:rPr/>
        <w:t>9,510.5</w:t>
      </w:r>
      <w:r>
        <w:rPr/>
        <w:t>万元，得到集团调整利润</w:t>
      </w:r>
      <w:r>
        <w:rPr/>
        <w:t>10.27129</w:t>
      </w:r>
      <w:r>
        <w:rPr/>
        <w:t>亿元；调整归母</w:t>
      </w:r>
      <w:r>
        <w:rPr/>
        <w:t>10.27328</w:t>
      </w:r>
      <w:r>
        <w:rPr/>
        <w:t>亿元。权益变动表全部确认的股份酬金</w:t>
      </w:r>
      <w:r>
        <w:rPr/>
        <w:t>8,703.5</w:t>
      </w:r>
      <w:r>
        <w:rPr/>
        <w:t>万元，和损益加回</w:t>
      </w:r>
      <w:r>
        <w:rPr/>
        <w:t>7,963.3</w:t>
      </w:r>
      <w:r>
        <w:rPr/>
        <w:t>万元不同，部分计入其他成本或资产。不能把权益总额替换对账表费用，否则模型利润会偏高。</w:t>
      </w:r>
    </w:p>
    <w:p>
      <w:pPr>
        <w:pStyle w:val="Normal"/>
        <w:rPr/>
      </w:pPr>
      <w:r>
        <w:rPr/>
        <w:t>汇兑损失</w:t>
      </w:r>
      <w:r>
        <w:rPr/>
        <w:t>1.979</w:t>
      </w:r>
      <w:r>
        <w:rPr/>
        <w:t>亿元远高于去年同期</w:t>
      </w:r>
      <w:r>
        <w:rPr/>
        <w:t>1,456.3</w:t>
      </w:r>
      <w:r>
        <w:rPr/>
        <w:t>万元，其他收益及损失总净损失</w:t>
      </w:r>
      <w:r>
        <w:rPr/>
        <w:t>2.01695</w:t>
      </w:r>
      <w:r>
        <w:rPr/>
        <w:t>亿元还包含理财公允收益、衍生工具损失和设备处置等。上半年美元对人民币波动既影响收入换算，也影响持有的货币性资产和负债重估。调整利润可以帮助观察服务经营，但持续业务仍存在汇率价格和成本传导，不能因公司把某项放在非经营调整就假定以后损失为零。</w:t>
      </w:r>
    </w:p>
    <w:p>
      <w:pPr>
        <w:pStyle w:val="Normal"/>
        <w:rPr/>
      </w:pPr>
      <w:r>
        <w:rPr/>
        <w:t>银行利息</w:t>
      </w:r>
      <w:r>
        <w:rPr/>
        <w:t>1.05432</w:t>
      </w:r>
      <w:r>
        <w:rPr/>
        <w:t>亿元，财务成本</w:t>
      </w:r>
      <w:r>
        <w:rPr/>
        <w:t>1,032.7</w:t>
      </w:r>
      <w:r>
        <w:rPr/>
        <w:t>万元，公司调整净利息按</w:t>
      </w:r>
      <w:r>
        <w:rPr/>
        <w:t>9,510.5</w:t>
      </w:r>
      <w:r>
        <w:rPr/>
        <w:t>万元扣除。高现金持有可以产生稳定利息，但利息不是制造竞争优势的证据；未来为扩产和收购花掉现金时，相关收益可能减少。模型核心盈利剔除此类净利息，也没有再额外加入现金估值，从而避免经营</w:t>
      </w:r>
      <w:r>
        <w:rPr/>
        <w:t>PE</w:t>
      </w:r>
      <w:r>
        <w:rPr/>
        <w:t>和现金价值重复计算。完整净现金</w:t>
      </w:r>
      <w:r>
        <w:rPr/>
        <w:t>DCF</w:t>
      </w:r>
      <w:r>
        <w:rPr/>
        <w:t>仍需补充，当前简化模型的适用边界已明示。</w:t>
      </w:r>
    </w:p>
    <w:p>
      <w:pPr>
        <w:pStyle w:val="Heading2"/>
        <w:rPr/>
      </w:pPr>
      <w:r>
        <w:rPr>
          <w:color w:val="000000"/>
        </w:rPr>
        <w:t>十 费用 利润质量与资本结构</w:t>
      </w:r>
    </w:p>
    <w:p>
      <w:pPr>
        <w:pStyle w:val="Normal"/>
        <w:rPr/>
      </w:pPr>
      <w:r>
        <w:rPr/>
        <w:t>2026</w:t>
      </w:r>
      <w:r>
        <w:rPr/>
        <w:t>半年研发</w:t>
      </w:r>
      <w:r>
        <w:rPr/>
        <w:t>8,194.5</w:t>
      </w:r>
      <w:r>
        <w:rPr/>
        <w:t>万元，同比增长</w:t>
      </w:r>
      <w:r>
        <w:rPr/>
        <w:t>65.6%</w:t>
      </w:r>
      <w:r>
        <w:rPr/>
        <w:t>，行政</w:t>
      </w:r>
      <w:r>
        <w:rPr/>
        <w:t>1.50719</w:t>
      </w:r>
      <w:r>
        <w:rPr/>
        <w:t>亿元，同比增长</w:t>
      </w:r>
      <w:r>
        <w:rPr/>
        <w:t>39.7%</w:t>
      </w:r>
      <w:r>
        <w:rPr/>
        <w:t>，销售</w:t>
      </w:r>
      <w:r>
        <w:rPr/>
        <w:t>6,436.7</w:t>
      </w:r>
      <w:r>
        <w:rPr/>
        <w:t>万元，同比增长</w:t>
      </w:r>
      <w:r>
        <w:rPr/>
        <w:t>31.3%</w:t>
      </w:r>
      <w:r>
        <w:rPr/>
        <w:t>。研发增速高于收入可以反映平台能力建设，但也意味着未来技术更新需要持续费用。将研发都视作一次性投资再加回利润，会高估服务商长期回报。公司虽然不是承担全部临床成本的创新药厂，仍需要投入分析方法、载荷和工艺开发才能维持竞争。</w:t>
      </w:r>
    </w:p>
    <w:p>
      <w:pPr>
        <w:pStyle w:val="Normal"/>
        <w:rPr/>
      </w:pPr>
      <w:r>
        <w:rPr/>
        <w:t>员工总数</w:t>
      </w:r>
      <w:r>
        <w:rPr/>
        <w:t>3,628</w:t>
      </w:r>
      <w:r>
        <w:rPr/>
        <w:t>人，半年员工成本</w:t>
      </w:r>
      <w:r>
        <w:rPr/>
        <w:t>5.426</w:t>
      </w:r>
      <w:r>
        <w:rPr/>
        <w:t>亿元，不含退休供款和股份支付，去年同期</w:t>
      </w:r>
      <w:r>
        <w:rPr/>
        <w:t>3.647</w:t>
      </w:r>
      <w:r>
        <w:rPr/>
        <w:t>亿元。人员成本增速较快，既有收购影响，也有新设施与技术团队扩张。后续生产规模增加若能摊薄人均交付成本，利润率可维持；若扩产进度慢于招募速度，短期利润承压。用</w:t>
      </w:r>
      <w:r>
        <w:rPr/>
        <w:t>AI</w:t>
      </w:r>
      <w:r>
        <w:rPr/>
        <w:t>提高设计或分析效率有潜力，但现场实验、无菌生产和质量放行仍需要人员与设备，不能把所有成本假设为可自动消失。</w:t>
      </w:r>
    </w:p>
    <w:p>
      <w:pPr>
        <w:pStyle w:val="Normal"/>
        <w:rPr/>
      </w:pPr>
      <w:r>
        <w:rPr/>
        <w:t>半年基本加权股数</w:t>
      </w:r>
      <w:r>
        <w:rPr/>
        <w:t>12.58023110</w:t>
      </w:r>
      <w:r>
        <w:rPr/>
        <w:t>亿股，摊薄</w:t>
      </w:r>
      <w:r>
        <w:rPr/>
        <w:t>13.69630085</w:t>
      </w:r>
      <w:r>
        <w:rPr/>
        <w:t>亿股，潜在普通股增加</w:t>
      </w:r>
      <w:r>
        <w:rPr/>
        <w:t>1.11606975</w:t>
      </w:r>
      <w:r>
        <w:rPr/>
        <w:t>亿股，包含期权与受限制股份。摊薄股数比基本股数高约</w:t>
      </w:r>
      <w:r>
        <w:rPr/>
        <w:t>8.87%</w:t>
      </w:r>
      <w:r>
        <w:rPr/>
        <w:t>。经营利润增长若伴随持续股数增加，</w:t>
      </w:r>
      <w:r>
        <w:rPr/>
        <w:t>EPS</w:t>
      </w:r>
      <w:r>
        <w:rPr/>
        <w:t>增速会更低；股价高时，期权进入价内状态也可能提高摊薄计算。半年法定</w:t>
      </w:r>
      <w:r>
        <w:rPr/>
        <w:t>EPS0.65</w:t>
      </w:r>
      <w:r>
        <w:rPr/>
        <w:t>元、摊薄</w:t>
      </w:r>
      <w:r>
        <w:rPr/>
        <w:t>0.60</w:t>
      </w:r>
      <w:r>
        <w:rPr/>
        <w:t>元；公司调整</w:t>
      </w:r>
      <w:r>
        <w:rPr/>
        <w:t>EPS0.82</w:t>
      </w:r>
      <w:r>
        <w:rPr/>
        <w:t>元、摊薄</w:t>
      </w:r>
      <w:r>
        <w:rPr/>
        <w:t>0.75</w:t>
      </w:r>
      <w:r>
        <w:rPr/>
        <w:t>元，均为人民币。</w:t>
      </w:r>
    </w:p>
    <w:p>
      <w:pPr>
        <w:pStyle w:val="Normal"/>
        <w:rPr/>
      </w:pPr>
      <w:r>
        <w:rPr/>
        <w:t>研究预测</w:t>
      </w:r>
      <w:r>
        <w:rPr/>
        <w:t>2027</w:t>
      </w:r>
      <w:r>
        <w:rPr/>
        <w:t>核心稀释股数基准</w:t>
      </w:r>
      <w:r>
        <w:rPr/>
        <w:t>14</w:t>
      </w:r>
      <w:r>
        <w:rPr/>
        <w:t>亿股，</w:t>
      </w:r>
      <w:r>
        <w:rPr/>
        <w:t>2028</w:t>
      </w:r>
      <w:r>
        <w:rPr/>
        <w:t>为</w:t>
      </w:r>
      <w:r>
        <w:rPr/>
        <w:t>14.3</w:t>
      </w:r>
      <w:r>
        <w:rPr/>
        <w:t>亿、</w:t>
      </w:r>
      <w:r>
        <w:rPr/>
        <w:t>2029</w:t>
      </w:r>
      <w:r>
        <w:rPr/>
        <w:t>为</w:t>
      </w:r>
      <w:r>
        <w:rPr/>
        <w:t>14.6</w:t>
      </w:r>
      <w:r>
        <w:rPr/>
        <w:t>亿、</w:t>
      </w:r>
      <w:r>
        <w:rPr/>
        <w:t>2031</w:t>
      </w:r>
      <w:r>
        <w:rPr/>
        <w:t>为</w:t>
      </w:r>
      <w:r>
        <w:rPr/>
        <w:t>15.3</w:t>
      </w:r>
      <w:r>
        <w:rPr/>
        <w:t>亿，悲观融资情景更高。这些是独立假设，不是已公告发行计划。将预测股数保持不变可以让利润增长完全落到</w:t>
      </w:r>
      <w:r>
        <w:rPr/>
        <w:t>EPS</w:t>
      </w:r>
      <w:r>
        <w:rPr/>
        <w:t>，但与现有激励和扩产资金需求不一致。模型保留稀释，使不同情景对股东收益的影响更透明；未来真实回购注销或融资发生时，应刷新全套情景而非只更新现价。</w:t>
      </w:r>
    </w:p>
    <w:p>
      <w:pPr>
        <w:pStyle w:val="Normal"/>
        <w:rPr/>
      </w:pPr>
      <w:r>
        <w:rPr/>
        <w:t>上半年回购</w:t>
      </w:r>
      <w:r>
        <w:rPr/>
        <w:t>570.2</w:t>
      </w:r>
      <w:r>
        <w:rPr/>
        <w:t>万股，支付人民币</w:t>
      </w:r>
      <w:r>
        <w:rPr/>
        <w:t>2.86484</w:t>
      </w:r>
      <w:r>
        <w:rPr/>
        <w:t>亿元，交易价格约</w:t>
      </w:r>
      <w:r>
        <w:rPr/>
        <w:t>55.90</w:t>
      </w:r>
      <w:r>
        <w:rPr/>
        <w:t>至</w:t>
      </w:r>
      <w:r>
        <w:rPr/>
        <w:t>58.85</w:t>
      </w:r>
      <w:r>
        <w:rPr/>
        <w:t>港元。回购可以减少流通权益或用于库存安排，但是否最终注销和抵消激励，需要继续核验后续股本。回购数量小于已行权及潜在激励影响，不能简单说回购保证每股价值提高。回购还消耗可用于扩产的资金，其价值取决于买入价格和最终股份用途，模型没有把回购现金计作股息回报。</w:t>
      </w:r>
    </w:p>
    <w:p>
      <w:pPr>
        <w:pStyle w:val="Normal"/>
        <w:rPr/>
      </w:pPr>
      <w:r>
        <w:rPr/>
        <w:t>2026</w:t>
      </w:r>
      <w:r>
        <w:rPr/>
        <w:t>半年未派股息，</w:t>
      </w:r>
      <w:r>
        <w:rPr/>
        <w:t>2025</w:t>
      </w:r>
      <w:r>
        <w:rPr/>
        <w:t>年也不派末期股息。高增长制造商保留现金支持产能建设有合理性，但投资回报主要依赖股价及未来利润兑现。本文全部期限累计现金股息暂取零，避免为了提高总回报而补造未来分红。若以后建立稳定派息政策，应将分红现金从可再投资现金中扣除，并按持有期累加。单独加入股息、同时保留所有现金和利润增长，会造成重复回报。</w:t>
      </w:r>
    </w:p>
    <w:p>
      <w:pPr>
        <w:pStyle w:val="Normal"/>
        <w:rPr/>
      </w:pPr>
      <w:r>
        <w:rPr/>
        <w:t>6</w:t>
      </w:r>
      <w:r>
        <w:rPr/>
        <w:t>月末银行及现金</w:t>
      </w:r>
      <w:r>
        <w:rPr/>
        <w:t>15.97343</w:t>
      </w:r>
      <w:r>
        <w:rPr/>
        <w:t>亿元，定期存款</w:t>
      </w:r>
      <w:r>
        <w:rPr/>
        <w:t>35.20846</w:t>
      </w:r>
      <w:r>
        <w:rPr/>
        <w:t>亿元，合计</w:t>
      </w:r>
      <w:r>
        <w:rPr/>
        <w:t>51.18189</w:t>
      </w:r>
      <w:r>
        <w:rPr/>
        <w:t>亿元；理财产品</w:t>
      </w:r>
      <w:r>
        <w:rPr/>
        <w:t>6.02993</w:t>
      </w:r>
      <w:r>
        <w:rPr/>
        <w:t>亿元和受限制存款</w:t>
      </w:r>
      <w:r>
        <w:rPr/>
        <w:t>651.2</w:t>
      </w:r>
      <w:r>
        <w:rPr/>
        <w:t>万元另列。借款</w:t>
      </w:r>
      <w:r>
        <w:rPr/>
        <w:t>4.90633</w:t>
      </w:r>
      <w:r>
        <w:rPr/>
        <w:t>亿元，其中一年内</w:t>
      </w:r>
      <w:r>
        <w:rPr/>
        <w:t>1.93975</w:t>
      </w:r>
      <w:r>
        <w:rPr/>
        <w:t>亿元，其余分散多年偿还。资产负债表有较强流动缓冲，但定存、理财及经营预付款的可动用性不同。不能把所有金融资产无差别视为即时可分配现金，也不能忽略多年度扩产和质量投入消耗。</w:t>
      </w:r>
    </w:p>
    <w:p>
      <w:pPr>
        <w:pStyle w:val="Normal"/>
        <w:rPr/>
      </w:pPr>
      <w:r>
        <w:rPr/>
        <w:t>当前债务相对现金规模较小，直接债务偿付风险不突出，主要风险是资本配置能否把现金转化为更高每股经营价值。公司并购后商誉和固定资产增加，如果未来回报不足，净资产账面增长不会变成可收回价值。风险评分为</w:t>
      </w:r>
      <w:r>
        <w:rPr/>
        <w:t>3</w:t>
      </w:r>
      <w:r>
        <w:rPr/>
        <w:t>分左右，反映现金的缓冲与海外政策、稀释、扩产的约束并存。评分较高不等于永久安全，现金下降速度和未来负债结构必须逐期核验。</w:t>
      </w:r>
    </w:p>
    <w:p>
      <w:pPr>
        <w:pStyle w:val="Heading2"/>
        <w:rPr/>
      </w:pPr>
      <w:r>
        <w:rPr>
          <w:color w:val="000000"/>
        </w:rPr>
        <w:t>十一 现金流 收入变成现金后仍要支付扩产</w:t>
      </w:r>
    </w:p>
    <w:p>
      <w:pPr>
        <w:pStyle w:val="Normal"/>
        <w:rPr/>
      </w:pPr>
      <w:r>
        <w:rPr/>
        <w:t>半年经营现金净额</w:t>
      </w:r>
      <w:r>
        <w:rPr/>
        <w:t>11.87063</w:t>
      </w:r>
      <w:r>
        <w:rPr/>
        <w:t>亿元，同比增长接近一倍，是财务质量的积极信号；同期物业厂房设备现金</w:t>
      </w:r>
      <w:r>
        <w:rPr/>
        <w:t>6.28039</w:t>
      </w:r>
      <w:r>
        <w:rPr/>
        <w:t>亿元，使用权资产现金</w:t>
      </w:r>
      <w:r>
        <w:rPr/>
        <w:t>3,996.2</w:t>
      </w:r>
      <w:r>
        <w:rPr/>
        <w:t>万元。扣这两类现金支出后剩余约</w:t>
      </w:r>
      <w:r>
        <w:rPr/>
        <w:t>5.19062</w:t>
      </w:r>
      <w:r>
        <w:rPr/>
        <w:t>亿元，说明当期日常业务能够为扩产提供部分资金。这个指标只是定义清楚的简化资本后现金，并非公司公布的完整自由现金流；它没有包含所有未来承诺、并购和库存股份回购，因此不能直接按同一倍数计为全部股东可分配收益。</w:t>
      </w:r>
    </w:p>
    <w:p>
      <w:pPr>
        <w:pStyle w:val="Normal"/>
        <w:rPr/>
      </w:pPr>
      <w:r>
        <w:rPr/>
        <w:t>如果再扣净收购现金</w:t>
      </w:r>
      <w:r>
        <w:rPr/>
        <w:t>11.95689</w:t>
      </w:r>
      <w:r>
        <w:rPr/>
        <w:t>亿元和回购</w:t>
      </w:r>
      <w:r>
        <w:rPr/>
        <w:t>2.86484</w:t>
      </w:r>
      <w:r>
        <w:rPr/>
        <w:t>亿元，上述简化余额转为约负</w:t>
      </w:r>
      <w:r>
        <w:rPr/>
        <w:t>9.63111</w:t>
      </w:r>
      <w:r>
        <w:rPr/>
        <w:t>亿元。公司可以使用原有定存和现金支持这类支出，但增长并没有使每期可用现金都增加。上半年银行现金看似小幅上升，同时定存下降明显，资金从定存到银行账户的转换不能计作经营产生。对下一年判断，应看银行、定存、理财合计变化和现金用途，而不是只看现金等价物一项。</w:t>
      </w:r>
    </w:p>
    <w:p>
      <w:pPr>
        <w:pStyle w:val="Normal"/>
        <w:rPr/>
      </w:pPr>
      <w:r>
        <w:rPr/>
        <w:t>2025</w:t>
      </w:r>
      <w:r>
        <w:rPr/>
        <w:t>全年经营现金</w:t>
      </w:r>
      <w:r>
        <w:rPr/>
        <w:t>17.82921</w:t>
      </w:r>
      <w:r>
        <w:rPr/>
        <w:t>亿元，高于</w:t>
      </w:r>
      <w:r>
        <w:rPr/>
        <w:t>2024</w:t>
      </w:r>
      <w:r>
        <w:rPr/>
        <w:t>的</w:t>
      </w:r>
      <w:r>
        <w:rPr/>
        <w:t>7.17223</w:t>
      </w:r>
      <w:r>
        <w:rPr/>
        <w:t>亿元，配合收入快速增长说明规模扩大带来现金改善。仍需验证现金与利润的长期关系，因为预付款、收款进度和客户信用会使单期现金超过或低于利润。一个半年经营现金超出法定利润，不能推出以后所有利润都具有同样现金转换。订单增长和客户预收是有利因素，但资金已经用于未来履约，扩产还会持续吸收现金。</w:t>
      </w:r>
    </w:p>
    <w:p>
      <w:pPr>
        <w:pStyle w:val="Normal"/>
        <w:rPr/>
      </w:pPr>
      <w:r>
        <w:rPr/>
        <w:t>贸易应收净额</w:t>
      </w:r>
      <w:r>
        <w:rPr/>
        <w:t>19.43057</w:t>
      </w:r>
      <w:r>
        <w:rPr/>
        <w:t>亿元，</w:t>
      </w:r>
      <w:r>
        <w:rPr/>
        <w:t>2025</w:t>
      </w:r>
      <w:r>
        <w:rPr/>
        <w:t>年底</w:t>
      </w:r>
      <w:r>
        <w:rPr/>
        <w:t>18.22078</w:t>
      </w:r>
      <w:r>
        <w:rPr/>
        <w:t>亿元，增幅约</w:t>
      </w:r>
      <w:r>
        <w:rPr/>
        <w:t>6.64%</w:t>
      </w:r>
      <w:r>
        <w:rPr/>
        <w:t>，明显低于半年收入同比增速。按期末应收除半年收入再乘</w:t>
      </w:r>
      <w:r>
        <w:rPr/>
        <w:t>181</w:t>
      </w:r>
      <w:r>
        <w:rPr/>
        <w:t>天得到约</w:t>
      </w:r>
      <w:r>
        <w:rPr/>
        <w:t>95</w:t>
      </w:r>
      <w:r>
        <w:rPr/>
        <w:t>天，只是粗略应收周转代理值，不是以平均余额计算的标准周转天数，也受到并表时间影响。原报告信用期为</w:t>
      </w:r>
      <w:r>
        <w:rPr/>
        <w:t>10</w:t>
      </w:r>
      <w:r>
        <w:rPr/>
        <w:t>至</w:t>
      </w:r>
      <w:r>
        <w:rPr/>
        <w:t>90</w:t>
      </w:r>
      <w:r>
        <w:rPr/>
        <w:t>天，部分应收已逾期，因此不能只看总体增速就认为信用完全无风险。更可靠的检验要逐客户跟踪到期收款和预计信用损失。</w:t>
      </w:r>
    </w:p>
    <w:p>
      <w:pPr>
        <w:pStyle w:val="Normal"/>
        <w:rPr/>
      </w:pPr>
      <w:r>
        <w:rPr/>
        <w:t>应收账龄中，未逾期</w:t>
      </w:r>
      <w:r>
        <w:rPr/>
        <w:t>15.34707</w:t>
      </w:r>
      <w:r>
        <w:rPr/>
        <w:t>亿元，逾期</w:t>
      </w:r>
      <w:r>
        <w:rPr/>
        <w:t>90</w:t>
      </w:r>
      <w:r>
        <w:rPr/>
        <w:t>天以内</w:t>
      </w:r>
      <w:r>
        <w:rPr/>
        <w:t>2.60047</w:t>
      </w:r>
      <w:r>
        <w:rPr/>
        <w:t>亿元，逾期</w:t>
      </w:r>
      <w:r>
        <w:rPr/>
        <w:t>91</w:t>
      </w:r>
      <w:r>
        <w:rPr/>
        <w:t>天至一年</w:t>
      </w:r>
      <w:r>
        <w:rPr/>
        <w:t>1.29238</w:t>
      </w:r>
      <w:r>
        <w:rPr/>
        <w:t>亿元，一年以上</w:t>
      </w:r>
      <w:r>
        <w:rPr/>
        <w:t>1,906.5</w:t>
      </w:r>
      <w:r>
        <w:rPr/>
        <w:t>万元。较</w:t>
      </w:r>
      <w:r>
        <w:rPr/>
        <w:t>2025</w:t>
      </w:r>
      <w:r>
        <w:rPr/>
        <w:t>年底，一年以上余额从</w:t>
      </w:r>
      <w:r>
        <w:rPr/>
        <w:t>347.9</w:t>
      </w:r>
      <w:r>
        <w:rPr/>
        <w:t>万元增加，规模仍不大，但方向值得注意。早期客户融资失败时，应收信用和未来订单会同时受影响，不能把坏账视作只影响一行费用的独立事件。风险模型应同时降低收入转换与信用回收，而非只加一点坏账率。</w:t>
      </w:r>
    </w:p>
    <w:p>
      <w:pPr>
        <w:pStyle w:val="Normal"/>
        <w:rPr/>
      </w:pPr>
      <w:r>
        <w:rPr/>
        <w:t>合同资产净额</w:t>
      </w:r>
      <w:r>
        <w:rPr/>
        <w:t>1.38945</w:t>
      </w:r>
      <w:r>
        <w:rPr/>
        <w:t>亿元，较年底</w:t>
      </w:r>
      <w:r>
        <w:rPr/>
        <w:t>4,319</w:t>
      </w:r>
      <w:r>
        <w:rPr/>
        <w:t>万元增加，代表已完成部分工作但收款权仍依赖后续里程碑或履约条件。合同资产不是已经取得无条件收款权的普通应收，持续增长需要结合项目交付解释。合同成本</w:t>
      </w:r>
      <w:r>
        <w:rPr/>
        <w:t>2.97656</w:t>
      </w:r>
      <w:r>
        <w:rPr/>
        <w:t>亿元，对应尚未确认收益的履约成本，可回收性依赖合同继续。若客户终止或项目不再推进，成本可能不能全部收回，投资者应关注减值和合同变更。</w:t>
      </w:r>
    </w:p>
    <w:p>
      <w:pPr>
        <w:pStyle w:val="Normal"/>
        <w:rPr/>
      </w:pPr>
      <w:r>
        <w:rPr/>
        <w:t>合同负债</w:t>
      </w:r>
      <w:r>
        <w:rPr/>
        <w:t>10.08872</w:t>
      </w:r>
      <w:r>
        <w:rPr/>
        <w:t>亿元，较年底</w:t>
      </w:r>
      <w:r>
        <w:rPr/>
        <w:t>7.99777</w:t>
      </w:r>
      <w:r>
        <w:rPr/>
        <w:t>亿元增加，是客户预付款对融资需求的支持。预付款提高了业务可见度，却也代表企业未来必须交付服务或按条款结算的责任。它不能作为自由现金全部分配，也不能在估值中同时计入现金价值和所有未来未付服务费。本文</w:t>
      </w:r>
      <w:r>
        <w:rPr/>
        <w:t>PE</w:t>
      </w:r>
      <w:r>
        <w:rPr/>
        <w:t>模型不另加净现金，避免简化处理中重复计入预付资金；完整现金流估值还要按履约成本和款项时点展开。</w:t>
      </w:r>
    </w:p>
    <w:p>
      <w:pPr>
        <w:pStyle w:val="Heading2"/>
        <w:rPr/>
      </w:pPr>
      <w:r>
        <w:rPr>
          <w:color w:val="000000"/>
        </w:rPr>
        <w:t>十二 技术分析的数据边界与日线趋势</w:t>
      </w:r>
    </w:p>
    <w:p>
      <w:pPr>
        <w:pStyle w:val="Normal"/>
        <w:rPr/>
      </w:pPr>
      <w:r>
        <w:rPr/>
        <w:t>行情基准由腾讯和新浪报价交叉核验</w:t>
      </w:r>
      <w:r>
        <w:rPr/>
        <w:t>82.10</w:t>
      </w:r>
      <w:r>
        <w:rPr/>
        <w:t>港元，日线由</w:t>
      </w:r>
      <w:r>
        <w:rPr/>
        <w:t>Yahoo</w:t>
      </w:r>
      <w:r>
        <w:rPr/>
        <w:t>与腾讯比较。公司</w:t>
      </w:r>
      <w:r>
        <w:rPr/>
        <w:t>2023</w:t>
      </w:r>
      <w:r>
        <w:rPr/>
        <w:t>年</w:t>
      </w:r>
      <w:r>
        <w:rPr/>
        <w:t>11</w:t>
      </w:r>
      <w:r>
        <w:rPr/>
        <w:t>月</w:t>
      </w:r>
      <w:r>
        <w:rPr/>
        <w:t>17</w:t>
      </w:r>
      <w:r>
        <w:rPr/>
        <w:t>日上市，到截止日共有</w:t>
      </w:r>
      <w:r>
        <w:rPr/>
        <w:t>711</w:t>
      </w:r>
      <w:r>
        <w:rPr/>
        <w:t>根日线、</w:t>
      </w:r>
      <w:r>
        <w:rPr/>
        <w:t>152</w:t>
      </w:r>
      <w:r>
        <w:rPr/>
        <w:t>根周线，尚不足完整三年上市历史。日线已可计算</w:t>
      </w:r>
      <w:r>
        <w:rPr/>
        <w:t>250</w:t>
      </w:r>
      <w:r>
        <w:rPr/>
        <w:t>日均线，周线不能计算</w:t>
      </w:r>
      <w:r>
        <w:rPr/>
        <w:t>250</w:t>
      </w:r>
      <w:r>
        <w:rPr/>
        <w:t>周均线；不存在的长期序列保持空缺。五根</w:t>
      </w:r>
      <w:r>
        <w:rPr/>
        <w:t>Yahoo</w:t>
      </w:r>
      <w:r>
        <w:rPr/>
        <w:t>开高低收逻辑不一致的记录，用腾讯同日完整行情修复，原记录和修复依据保留，避免主观删除波动。</w:t>
      </w:r>
    </w:p>
    <w:p>
      <w:pPr>
        <w:pStyle w:val="Normal"/>
        <w:rPr/>
      </w:pPr>
      <w:r>
        <w:rPr/>
        <w:t>本次采用以截止日名义价格归一的复权开高低收，当前公司行动列表未见派息或拆股事件。成交量按股核验，腾讯与独立日线转换系数为一，不能再乘一手</w:t>
      </w:r>
      <w:r>
        <w:rPr/>
        <w:t>500</w:t>
      </w:r>
      <w:r>
        <w:rPr/>
        <w:t>股。持仓交易中的一手股数与数据源成交量单位是不同概念。源数据的</w:t>
      </w:r>
      <w:r>
        <w:rPr/>
        <w:t>52</w:t>
      </w:r>
      <w:r>
        <w:rPr/>
        <w:t>周最高</w:t>
      </w:r>
      <w:r>
        <w:rPr/>
        <w:t>85.50</w:t>
      </w:r>
      <w:r>
        <w:rPr/>
        <w:t>港元与周线聚合近期窗口</w:t>
      </w:r>
      <w:r>
        <w:rPr/>
        <w:t>84.50</w:t>
      </w:r>
      <w:r>
        <w:rPr/>
        <w:t>港元有窗口差异，本文按日线</w:t>
      </w:r>
      <w:r>
        <w:rPr/>
        <w:t>52</w:t>
      </w:r>
      <w:r>
        <w:rPr/>
        <w:t>周及近期</w:t>
      </w:r>
      <w:r>
        <w:rPr/>
        <w:t>20</w:t>
      </w:r>
      <w:r>
        <w:rPr/>
        <w:t>日高点分别展示，避免混成同一价位。</w:t>
      </w:r>
    </w:p>
    <w:p>
      <w:pPr>
        <w:pStyle w:val="Normal"/>
        <w:rPr/>
      </w:pPr>
      <w:r>
        <w:rPr/>
        <w:t>20</w:t>
      </w:r>
      <w:r>
        <w:rPr/>
        <w:t>日均线</w:t>
      </w:r>
      <w:r>
        <w:rPr/>
        <w:t>79.3575</w:t>
      </w:r>
      <w:r>
        <w:rPr/>
        <w:t>港元，</w:t>
      </w:r>
      <w:r>
        <w:rPr/>
        <w:t>60</w:t>
      </w:r>
      <w:r>
        <w:rPr/>
        <w:t>日</w:t>
      </w:r>
      <w:r>
        <w:rPr/>
        <w:t>69.1942</w:t>
      </w:r>
      <w:r>
        <w:rPr/>
        <w:t>港元，</w:t>
      </w:r>
      <w:r>
        <w:rPr/>
        <w:t>120</w:t>
      </w:r>
      <w:r>
        <w:rPr/>
        <w:t>日</w:t>
      </w:r>
      <w:r>
        <w:rPr/>
        <w:t>62.2118</w:t>
      </w:r>
      <w:r>
        <w:rPr/>
        <w:t>港元，</w:t>
      </w:r>
      <w:r>
        <w:rPr/>
        <w:t>250</w:t>
      </w:r>
      <w:r>
        <w:rPr/>
        <w:t>日</w:t>
      </w:r>
      <w:r>
        <w:rPr/>
        <w:t>63.9635</w:t>
      </w:r>
      <w:r>
        <w:rPr/>
        <w:t>港元。现价分别高</w:t>
      </w:r>
      <w:r>
        <w:rPr/>
        <w:t>3.46%</w:t>
      </w:r>
      <w:r>
        <w:rPr/>
        <w:t>、</w:t>
      </w:r>
      <w:r>
        <w:rPr/>
        <w:t>18.65%</w:t>
      </w:r>
      <w:r>
        <w:rPr/>
        <w:t>、</w:t>
      </w:r>
      <w:r>
        <w:rPr/>
        <w:t>31.97%</w:t>
      </w:r>
      <w:r>
        <w:rPr/>
        <w:t>和</w:t>
      </w:r>
      <w:r>
        <w:rPr/>
        <w:t>28.35%</w:t>
      </w:r>
      <w:r>
        <w:rPr/>
        <w:t>。四条均线最近五个交易日变化分别为</w:t>
      </w:r>
      <w:r>
        <w:rPr/>
        <w:t>2.998%</w:t>
      </w:r>
      <w:r>
        <w:rPr/>
        <w:t>、</w:t>
      </w:r>
      <w:r>
        <w:rPr/>
        <w:t>2.862%</w:t>
      </w:r>
      <w:r>
        <w:rPr/>
        <w:t>、</w:t>
      </w:r>
      <w:r>
        <w:rPr/>
        <w:t>1.343%</w:t>
      </w:r>
      <w:r>
        <w:rPr/>
        <w:t>和</w:t>
      </w:r>
      <w:r>
        <w:rPr/>
        <w:t>0.158%</w:t>
      </w:r>
      <w:r>
        <w:rPr/>
        <w:t>，短中期向上、长线刚缓慢改善。</w:t>
      </w:r>
      <w:r>
        <w:rPr/>
        <w:t>120</w:t>
      </w:r>
      <w:r>
        <w:rPr/>
        <w:t>日仍低于</w:t>
      </w:r>
      <w:r>
        <w:rPr/>
        <w:t>250</w:t>
      </w:r>
      <w:r>
        <w:rPr/>
        <w:t>日，不能描述成所有均线严格多头排列；但现价站在全部均线上方，短线趋势确有支持。</w:t>
      </w:r>
    </w:p>
    <w:p>
      <w:pPr>
        <w:pStyle w:val="Normal"/>
        <w:rPr/>
      </w:pPr>
      <w:r>
        <w:rPr/>
        <w:t>最近</w:t>
      </w:r>
      <w:r>
        <w:rPr/>
        <w:t>20</w:t>
      </w:r>
      <w:r>
        <w:rPr/>
        <w:t>日回报</w:t>
      </w:r>
      <w:r>
        <w:rPr/>
        <w:t>12.39%</w:t>
      </w:r>
      <w:r>
        <w:rPr/>
        <w:t>，</w:t>
      </w:r>
      <w:r>
        <w:rPr/>
        <w:t>60</w:t>
      </w:r>
      <w:r>
        <w:rPr/>
        <w:t>日</w:t>
      </w:r>
      <w:r>
        <w:rPr/>
        <w:t>38.45%</w:t>
      </w:r>
      <w:r>
        <w:rPr/>
        <w:t>，</w:t>
      </w:r>
      <w:r>
        <w:rPr/>
        <w:t>120</w:t>
      </w:r>
      <w:r>
        <w:rPr/>
        <w:t>日</w:t>
      </w:r>
      <w:r>
        <w:rPr/>
        <w:t>36.04%</w:t>
      </w:r>
      <w:r>
        <w:rPr/>
        <w:t>，</w:t>
      </w:r>
      <w:r>
        <w:rPr/>
        <w:t>250</w:t>
      </w:r>
      <w:r>
        <w:rPr/>
        <w:t>日负</w:t>
      </w:r>
      <w:r>
        <w:rPr/>
        <w:t>2.15%</w:t>
      </w:r>
      <w:r>
        <w:rPr/>
        <w:t>。短中期强势与一年近乎持平同时存在，说明最近上升包含前期回撤后的修复，不能仅用</w:t>
      </w:r>
      <w:r>
        <w:rPr/>
        <w:t>60</w:t>
      </w:r>
      <w:r>
        <w:rPr/>
        <w:t>日涨幅描述为无回撤的持续牛市。日线</w:t>
      </w:r>
      <w:r>
        <w:rPr/>
        <w:t>52</w:t>
      </w:r>
      <w:r>
        <w:rPr/>
        <w:t>周最高</w:t>
      </w:r>
      <w:r>
        <w:rPr/>
        <w:t>85.50</w:t>
      </w:r>
      <w:r>
        <w:rPr/>
        <w:t>港元、最低</w:t>
      </w:r>
      <w:r>
        <w:rPr/>
        <w:t>43.50</w:t>
      </w:r>
      <w:r>
        <w:rPr/>
        <w:t>港元，区间最大回撤约</w:t>
      </w:r>
      <w:r>
        <w:rPr/>
        <w:t>46.13%</w:t>
      </w:r>
      <w:r>
        <w:rPr/>
        <w:t>，目前较低点高</w:t>
      </w:r>
      <w:r>
        <w:rPr/>
        <w:t>88.74%</w:t>
      </w:r>
      <w:r>
        <w:rPr/>
        <w:t>。这些历史数字体现真实波动能力，未来悲观情景不应被当作最大可能损失。</w:t>
      </w:r>
    </w:p>
    <w:p>
      <w:pPr>
        <w:pStyle w:val="Normal"/>
        <w:rPr/>
      </w:pPr>
      <w:r>
        <w:rPr/>
        <w:t>截止日开</w:t>
      </w:r>
      <w:r>
        <w:rPr/>
        <w:t>81.90</w:t>
      </w:r>
      <w:r>
        <w:rPr/>
        <w:t>港元，最高</w:t>
      </w:r>
      <w:r>
        <w:rPr/>
        <w:t>83.00</w:t>
      </w:r>
      <w:r>
        <w:rPr/>
        <w:t>，最低</w:t>
      </w:r>
      <w:r>
        <w:rPr/>
        <w:t>78.05</w:t>
      </w:r>
      <w:r>
        <w:rPr/>
        <w:t>，收</w:t>
      </w:r>
      <w:r>
        <w:rPr/>
        <w:t>82.10</w:t>
      </w:r>
      <w:r>
        <w:rPr/>
        <w:t>，较前收</w:t>
      </w:r>
      <w:r>
        <w:rPr/>
        <w:t>82.25</w:t>
      </w:r>
      <w:r>
        <w:rPr/>
        <w:t>下跌</w:t>
      </w:r>
      <w:r>
        <w:rPr/>
        <w:t>0.18%</w:t>
      </w:r>
      <w:r>
        <w:rPr/>
        <w:t>。当日下探后接近开盘及高位区域收盘，可说明盘中价格得到恢复，不能单凭一天称为明确反转。价格仍低于近期</w:t>
      </w:r>
      <w:r>
        <w:rPr/>
        <w:t>20</w:t>
      </w:r>
      <w:r>
        <w:rPr/>
        <w:t>日高点</w:t>
      </w:r>
      <w:r>
        <w:rPr/>
        <w:t>84.50</w:t>
      </w:r>
      <w:r>
        <w:rPr/>
        <w:t>约</w:t>
      </w:r>
      <w:r>
        <w:rPr/>
        <w:t>2.92%</w:t>
      </w:r>
      <w:r>
        <w:rPr/>
        <w:t>，低于日线</w:t>
      </w:r>
      <w:r>
        <w:rPr/>
        <w:t>52</w:t>
      </w:r>
      <w:r>
        <w:rPr/>
        <w:t>周高点约</w:t>
      </w:r>
      <w:r>
        <w:rPr/>
        <w:t>3.98%</w:t>
      </w:r>
      <w:r>
        <w:rPr/>
        <w:t>。从现价到前高的空间不大，若没有盈利或估值上修，追涨收益与正常波动相比并不占优。</w:t>
      </w:r>
    </w:p>
    <w:p>
      <w:pPr>
        <w:pStyle w:val="Normal"/>
        <w:rPr/>
      </w:pPr>
      <w:r>
        <w:rPr/>
        <w:t>近期</w:t>
      </w:r>
      <w:r>
        <w:rPr/>
        <w:t>20</w:t>
      </w:r>
      <w:r>
        <w:rPr/>
        <w:t>日低点</w:t>
      </w:r>
      <w:r>
        <w:rPr/>
        <w:t>69.90</w:t>
      </w:r>
      <w:r>
        <w:rPr/>
        <w:t>港元，距现价负</w:t>
      </w:r>
      <w:r>
        <w:rPr/>
        <w:t>14.86%</w:t>
      </w:r>
      <w:r>
        <w:rPr/>
        <w:t>，与</w:t>
      </w:r>
      <w:r>
        <w:rPr/>
        <w:t>60</w:t>
      </w:r>
      <w:r>
        <w:rPr/>
        <w:t>日均线</w:t>
      </w:r>
      <w:r>
        <w:rPr/>
        <w:t>69.19</w:t>
      </w:r>
      <w:r>
        <w:rPr/>
        <w:t>接近，构成需要观察的中期区域。它是最近窗口极值与均线交会，尚未按反复触碰次数筛选成严格支撑，不能承诺跌到这里一定反弹。较近的</w:t>
      </w:r>
      <w:r>
        <w:rPr/>
        <w:t>20</w:t>
      </w:r>
      <w:r>
        <w:rPr/>
        <w:t>日均线</w:t>
      </w:r>
      <w:r>
        <w:rPr/>
        <w:t>79.36</w:t>
      </w:r>
      <w:r>
        <w:rPr/>
        <w:t>，距现价约负</w:t>
      </w:r>
      <w:r>
        <w:rPr/>
        <w:t>3.34%</w:t>
      </w:r>
      <w:r>
        <w:rPr/>
        <w:t>，更适合观察趋势中的回踩。远端</w:t>
      </w:r>
      <w:r>
        <w:rPr/>
        <w:t>120</w:t>
      </w:r>
      <w:r>
        <w:rPr/>
        <w:t>日</w:t>
      </w:r>
      <w:r>
        <w:rPr/>
        <w:t>62.21</w:t>
      </w:r>
      <w:r>
        <w:rPr/>
        <w:t>和</w:t>
      </w:r>
      <w:r>
        <w:rPr/>
        <w:t>250</w:t>
      </w:r>
      <w:r>
        <w:rPr/>
        <w:t>日</w:t>
      </w:r>
      <w:r>
        <w:rPr/>
        <w:t>63.96</w:t>
      </w:r>
      <w:r>
        <w:rPr/>
        <w:t>代表更大调整时的历史结构，不能拿来证明当前下跌止于某处。</w:t>
      </w:r>
    </w:p>
    <w:p>
      <w:pPr>
        <w:pStyle w:val="Normal"/>
        <w:rPr/>
      </w:pPr>
      <w:r>
        <w:rPr/>
        <w:t>突破判断应要求价格有效越过</w:t>
      </w:r>
      <w:r>
        <w:rPr/>
        <w:t>84.50</w:t>
      </w:r>
      <w:r>
        <w:rPr/>
        <w:t>至</w:t>
      </w:r>
      <w:r>
        <w:rPr/>
        <w:t>85.50</w:t>
      </w:r>
      <w:r>
        <w:rPr/>
        <w:t>观察区，并在后续交易中保持，同时比较成交量与原有均量。单日最高越过而收盘回落、或突破后很快跌回</w:t>
      </w:r>
      <w:r>
        <w:rPr/>
        <w:t>79</w:t>
      </w:r>
      <w:r>
        <w:rPr/>
        <w:t>附近，并不构成可靠延续。回踩判断则要求在</w:t>
      </w:r>
      <w:r>
        <w:rPr/>
        <w:t>20</w:t>
      </w:r>
      <w:r>
        <w:rPr/>
        <w:t>日线或中期区域形成价格稳定、下跌量收敛和相对强弱改善。当前数据支持“中短期上升，日线动能放缓”，尚不足以把未来方向描述为确定突破。</w:t>
      </w:r>
    </w:p>
    <w:p>
      <w:pPr>
        <w:pStyle w:val="Heading2"/>
        <w:rPr/>
      </w:pPr>
      <w:r>
        <w:rPr>
          <w:color w:val="000000"/>
        </w:rPr>
        <w:t>十三 量能与相对强弱 有分歧 不宜给资金贴标签</w:t>
      </w:r>
    </w:p>
    <w:p>
      <w:pPr>
        <w:pStyle w:val="Normal"/>
        <w:rPr/>
      </w:pPr>
      <w:r>
        <w:rPr/>
        <w:t>截止日成交</w:t>
      </w:r>
      <w:r>
        <w:rPr/>
        <w:t>693.0097</w:t>
      </w:r>
      <w:r>
        <w:rPr/>
        <w:t>万股，成交额</w:t>
      </w:r>
      <w:r>
        <w:rPr/>
        <w:t>5.611625</w:t>
      </w:r>
      <w:r>
        <w:rPr/>
        <w:t>亿元港币；相对之前</w:t>
      </w:r>
      <w:r>
        <w:rPr/>
        <w:t>20</w:t>
      </w:r>
      <w:r>
        <w:rPr/>
        <w:t>日均量</w:t>
      </w:r>
      <w:r>
        <w:rPr/>
        <w:t>417.4296</w:t>
      </w:r>
      <w:r>
        <w:rPr/>
        <w:t>万股，量比</w:t>
      </w:r>
      <w:r>
        <w:rPr/>
        <w:t>1.6602</w:t>
      </w:r>
      <w:r>
        <w:rPr/>
        <w:t>。这个量比使用此前</w:t>
      </w:r>
      <w:r>
        <w:rPr/>
        <w:t>20</w:t>
      </w:r>
      <w:r>
        <w:rPr/>
        <w:t>日，不含当天，避免循环平均；与包含当天的</w:t>
      </w:r>
      <w:r>
        <w:rPr/>
        <w:t>20</w:t>
      </w:r>
      <w:r>
        <w:rPr/>
        <w:t>日均量</w:t>
      </w:r>
      <w:r>
        <w:rPr/>
        <w:t>427.3023</w:t>
      </w:r>
      <w:r>
        <w:rPr/>
        <w:t>万股相比比值略不同。公开换手率字段没有完成可靠分母核验，本文保持缺失，不用总股数粗算冒充流通股换手。成交额为港币元，和人民币财报单位不能相加。</w:t>
      </w:r>
    </w:p>
    <w:p>
      <w:pPr>
        <w:pStyle w:val="Normal"/>
        <w:rPr/>
      </w:pPr>
      <w:r>
        <w:rPr/>
        <w:t>5</w:t>
      </w:r>
      <w:r>
        <w:rPr/>
        <w:t>日均量</w:t>
      </w:r>
      <w:r>
        <w:rPr/>
        <w:t>328.915</w:t>
      </w:r>
      <w:r>
        <w:rPr/>
        <w:t>万股，</w:t>
      </w:r>
      <w:r>
        <w:rPr/>
        <w:t>20</w:t>
      </w:r>
      <w:r>
        <w:rPr/>
        <w:t>日</w:t>
      </w:r>
      <w:r>
        <w:rPr/>
        <w:t>427.302</w:t>
      </w:r>
      <w:r>
        <w:rPr/>
        <w:t>万，</w:t>
      </w:r>
      <w:r>
        <w:rPr/>
        <w:t>60</w:t>
      </w:r>
      <w:r>
        <w:rPr/>
        <w:t>日</w:t>
      </w:r>
      <w:r>
        <w:rPr/>
        <w:t>760.801</w:t>
      </w:r>
      <w:r>
        <w:rPr/>
        <w:t>万，短期成交低于中期平均，说明早前大幅上涨期间的交易活跃度已经收敛。当天成交放大可以来自下探、平仓或新资金换手，不能凭收盘恢复判定全部为买入。缩量既可能意味着卖压减少，也可能意味着追价资金减少，需要结合突破与回踩结果。技术评分因趋势有利而较高，同时因量能尚未统一而扣分。</w:t>
      </w:r>
    </w:p>
    <w:p>
      <w:pPr>
        <w:pStyle w:val="Normal"/>
        <w:rPr/>
      </w:pPr>
      <w:r>
        <w:rPr/>
        <w:t>过去</w:t>
      </w:r>
      <w:r>
        <w:rPr/>
        <w:t>20</w:t>
      </w:r>
      <w:r>
        <w:rPr/>
        <w:t>日上涨</w:t>
      </w:r>
      <w:r>
        <w:rPr/>
        <w:t>8</w:t>
      </w:r>
      <w:r>
        <w:rPr/>
        <w:t>天累计量</w:t>
      </w:r>
      <w:r>
        <w:rPr/>
        <w:t>3,169.3494</w:t>
      </w:r>
      <w:r>
        <w:rPr/>
        <w:t>万股，下跌</w:t>
      </w:r>
      <w:r>
        <w:rPr/>
        <w:t>12</w:t>
      </w:r>
      <w:r>
        <w:rPr/>
        <w:t>天</w:t>
      </w:r>
      <w:r>
        <w:rPr/>
        <w:t>5,376.6975</w:t>
      </w:r>
      <w:r>
        <w:rPr/>
        <w:t>万股，累计上跌量比</w:t>
      </w:r>
      <w:r>
        <w:rPr/>
        <w:t>0.5895</w:t>
      </w:r>
      <w:r>
        <w:rPr/>
        <w:t>。按每个交易日均量看，上涨日约</w:t>
      </w:r>
      <w:r>
        <w:rPr/>
        <w:t>396.17</w:t>
      </w:r>
      <w:r>
        <w:rPr/>
        <w:t>万股，下跌日约</w:t>
      </w:r>
      <w:r>
        <w:rPr/>
        <w:t>448.06</w:t>
      </w:r>
      <w:r>
        <w:rPr/>
        <w:t>万股，下跌日交易略更活跃。天数不同使累计比值容易误导，因此不能只说下跌量多就断言派发，也不能忽略日均差异。没有逐笔和账户数据，本报告不绘制声称精确的筹码分布，也不推断“主力吸筹”或资金主体身份。</w:t>
      </w:r>
    </w:p>
    <w:p>
      <w:pPr>
        <w:pStyle w:val="Normal"/>
        <w:rPr/>
      </w:pPr>
      <w:r>
        <w:rPr/>
        <w:t>周线</w:t>
      </w:r>
      <w:r>
        <w:rPr/>
        <w:t>20</w:t>
      </w:r>
      <w:r>
        <w:rPr/>
        <w:t>周均线</w:t>
      </w:r>
      <w:r>
        <w:rPr/>
        <w:t>63.6025</w:t>
      </w:r>
      <w:r>
        <w:rPr/>
        <w:t>港元、</w:t>
      </w:r>
      <w:r>
        <w:rPr/>
        <w:t>60</w:t>
      </w:r>
      <w:r>
        <w:rPr/>
        <w:t>周</w:t>
      </w:r>
      <w:r>
        <w:rPr/>
        <w:t>64.2983</w:t>
      </w:r>
      <w:r>
        <w:rPr/>
        <w:t>、</w:t>
      </w:r>
      <w:r>
        <w:rPr/>
        <w:t>120</w:t>
      </w:r>
      <w:r>
        <w:rPr/>
        <w:t>周</w:t>
      </w:r>
      <w:r>
        <w:rPr/>
        <w:t>48.1048</w:t>
      </w:r>
      <w:r>
        <w:rPr/>
        <w:t>，现价高于</w:t>
      </w:r>
      <w:r>
        <w:rPr/>
        <w:t>20</w:t>
      </w:r>
      <w:r>
        <w:rPr/>
        <w:t>周</w:t>
      </w:r>
      <w:r>
        <w:rPr/>
        <w:t>29.08%</w:t>
      </w:r>
      <w:r>
        <w:rPr/>
        <w:t>，周</w:t>
      </w:r>
      <w:r>
        <w:rPr/>
        <w:t>RSI68.72</w:t>
      </w:r>
      <w:r>
        <w:rPr/>
        <w:t>。周</w:t>
      </w:r>
      <w:r>
        <w:rPr/>
        <w:t>MACD</w:t>
      </w:r>
      <w:r>
        <w:rPr/>
        <w:t>的</w:t>
      </w:r>
      <w:r>
        <w:rPr/>
        <w:t>DIF5.7785</w:t>
      </w:r>
      <w:r>
        <w:rPr/>
        <w:t>高于</w:t>
      </w:r>
      <w:r>
        <w:rPr/>
        <w:t>DEA3.2437</w:t>
      </w:r>
      <w:r>
        <w:rPr/>
        <w:t>，按两倍差计算柱值</w:t>
      </w:r>
      <w:r>
        <w:rPr/>
        <w:t>5.0697</w:t>
      </w:r>
      <w:r>
        <w:rPr/>
        <w:t>，趋势层级仍强。过去</w:t>
      </w:r>
      <w:r>
        <w:rPr/>
        <w:t>20</w:t>
      </w:r>
      <w:r>
        <w:rPr/>
        <w:t>周上涨和下跌各</w:t>
      </w:r>
      <w:r>
        <w:rPr/>
        <w:t>10</w:t>
      </w:r>
      <w:r>
        <w:rPr/>
        <w:t>周，累计量分别</w:t>
      </w:r>
      <w:r>
        <w:rPr/>
        <w:t>4.08335</w:t>
      </w:r>
      <w:r>
        <w:rPr/>
        <w:t>亿和</w:t>
      </w:r>
      <w:r>
        <w:rPr/>
        <w:t>2.87596</w:t>
      </w:r>
      <w:r>
        <w:rPr/>
        <w:t>亿股，比</w:t>
      </w:r>
      <w:r>
        <w:rPr/>
        <w:t>1.4198</w:t>
      </w:r>
      <w:r>
        <w:rPr/>
        <w:t>。周层级交易支持近期修复，日层级则显示短期分歧；两个时间框架相互补充，不能任意选择最乐观的一组。</w:t>
      </w:r>
    </w:p>
    <w:p>
      <w:pPr>
        <w:pStyle w:val="Normal"/>
        <w:rPr/>
      </w:pPr>
      <w:r>
        <w:rPr/>
        <w:t>截止周成交量相对此前</w:t>
      </w:r>
      <w:r>
        <w:rPr/>
        <w:t>20</w:t>
      </w:r>
      <w:r>
        <w:rPr/>
        <w:t>周均量比</w:t>
      </w:r>
      <w:r>
        <w:rPr/>
        <w:t>0.4675</w:t>
      </w:r>
      <w:r>
        <w:rPr/>
        <w:t>，周均量显著较低。周线周期较粗，部分历史交易集中在业绩和大涨周，会提高均值，因此低量周不能自动解释为需求消失。若股价继续上涨而周成交持续下降，需要观察突破后是否缺乏后续接力；若价格平稳并等到新的财报信息，缩量也可能只是消息间隔。模型没有因周量低就否定基本面，只在半年入场质量上保留折扣。</w:t>
      </w:r>
    </w:p>
    <w:p>
      <w:pPr>
        <w:pStyle w:val="Normal"/>
        <w:rPr/>
      </w:pPr>
      <w:r>
        <w:rPr/>
        <w:t>相对恒生指数，股票</w:t>
      </w:r>
      <w:r>
        <w:rPr/>
        <w:t>20</w:t>
      </w:r>
      <w:r>
        <w:rPr/>
        <w:t>日超额</w:t>
      </w:r>
      <w:r>
        <w:rPr/>
        <w:t>15.37</w:t>
      </w:r>
      <w:r>
        <w:rPr/>
        <w:t>个百分点、</w:t>
      </w:r>
      <w:r>
        <w:rPr/>
        <w:t>60</w:t>
      </w:r>
      <w:r>
        <w:rPr/>
        <w:t>日超额</w:t>
      </w:r>
      <w:r>
        <w:rPr/>
        <w:t>41.64</w:t>
      </w:r>
      <w:r>
        <w:rPr/>
        <w:t>个百分点，显示市场弱势期间仍取得显著上涨。它支持资金对公司与行业的偏好，不能证明相对全部</w:t>
      </w:r>
      <w:r>
        <w:rPr/>
        <w:t>CXO</w:t>
      </w:r>
      <w:r>
        <w:rPr/>
        <w:t>竞争者同样领先。可核验细分行业基准未取得，行业</w:t>
      </w:r>
      <w:r>
        <w:rPr/>
        <w:t>20</w:t>
      </w:r>
      <w:r>
        <w:rPr/>
        <w:t>日与</w:t>
      </w:r>
      <w:r>
        <w:rPr/>
        <w:t>60</w:t>
      </w:r>
      <w:r>
        <w:rPr/>
        <w:t>日超额留空；恒指是市场基准，不替代医药或</w:t>
      </w:r>
      <w:r>
        <w:rPr/>
        <w:t>ADC</w:t>
      </w:r>
      <w:r>
        <w:rPr/>
        <w:t>基准。未来若股价仍上涨但持续跑输同行，可能说明行业轮动与公司特有利好不同，需要另行研究。</w:t>
      </w:r>
    </w:p>
    <w:p>
      <w:pPr>
        <w:pStyle w:val="Normal"/>
        <w:rPr/>
      </w:pPr>
      <w:r>
        <w:rPr/>
        <w:t>日</w:t>
      </w:r>
      <w:r>
        <w:rPr/>
        <w:t>RSI61.01</w:t>
      </w:r>
      <w:r>
        <w:rPr/>
        <w:t>代表近期上涨强于下跌，但未进入极端阈值不代表估值便宜。日</w:t>
      </w:r>
      <w:r>
        <w:rPr/>
        <w:t>MACD DIF3.0063</w:t>
      </w:r>
      <w:r>
        <w:rPr/>
        <w:t>、</w:t>
      </w:r>
      <w:r>
        <w:rPr/>
        <w:t>DEA3.1391</w:t>
      </w:r>
      <w:r>
        <w:rPr/>
        <w:t>、两倍差柱负</w:t>
      </w:r>
      <w:r>
        <w:rPr/>
        <w:t>0.2656</w:t>
      </w:r>
      <w:r>
        <w:rPr/>
        <w:t>，短线动量正在放慢；它与日均线向上并不矛盾，因为均线反应滞后。</w:t>
      </w:r>
      <w:r>
        <w:rPr/>
        <w:t>ATR14</w:t>
      </w:r>
      <w:r>
        <w:rPr/>
        <w:t>为</w:t>
      </w:r>
      <w:r>
        <w:rPr/>
        <w:t>3.4761</w:t>
      </w:r>
      <w:r>
        <w:rPr/>
        <w:t>港元、占价</w:t>
      </w:r>
      <w:r>
        <w:rPr/>
        <w:t>4.23%</w:t>
      </w:r>
      <w:r>
        <w:rPr/>
        <w:t>，周</w:t>
      </w:r>
      <w:r>
        <w:rPr/>
        <w:t>ATR</w:t>
      </w:r>
      <w:r>
        <w:rPr/>
        <w:t>约</w:t>
      </w:r>
      <w:r>
        <w:rPr/>
        <w:t>9.09%</w:t>
      </w:r>
      <w:r>
        <w:rPr/>
        <w:t>，说明普通波动已经可以覆盖半年基准上涨空间相当部分。将</w:t>
      </w:r>
      <w:r>
        <w:rPr/>
        <w:t>RSI</w:t>
      </w:r>
      <w:r>
        <w:rPr/>
        <w:t>、</w:t>
      </w:r>
      <w:r>
        <w:rPr/>
        <w:t>MACD</w:t>
      </w:r>
      <w:r>
        <w:rPr/>
        <w:t>和均线全部反复加分会重复计量趋势，本次技术维度统一给</w:t>
      </w:r>
      <w:r>
        <w:rPr/>
        <w:t>3.7</w:t>
      </w:r>
      <w:r>
        <w:rPr/>
        <w:t>分。</w:t>
      </w:r>
    </w:p>
    <w:p>
      <w:pPr>
        <w:pStyle w:val="Normal"/>
        <w:rPr/>
      </w:pPr>
      <w:r>
        <w:rPr/>
        <w:t>技术结论失效的具体观察是：跌破</w:t>
      </w:r>
      <w:r>
        <w:rPr/>
        <w:t>79.36</w:t>
      </w:r>
      <w:r>
        <w:rPr/>
        <w:t>附近后无法收复，且下跌量显著增加、相对恒指转弱，短线趋势评分应下降；若再跌破</w:t>
      </w:r>
      <w:r>
        <w:rPr/>
        <w:t>69.90</w:t>
      </w:r>
      <w:r>
        <w:rPr/>
        <w:t>至</w:t>
      </w:r>
      <w:r>
        <w:rPr/>
        <w:t>69.19</w:t>
      </w:r>
      <w:r>
        <w:rPr/>
        <w:t>区域并出现周收盘持续弱于该区，中期修复结构需要重估。反之，若放量越过</w:t>
      </w:r>
      <w:r>
        <w:rPr/>
        <w:t>85.50</w:t>
      </w:r>
      <w:r>
        <w:rPr/>
        <w:t>并得到订单或财报上修支持，短期价格结构可增强。所有条件是更新规则，缺口、消息和流动性可能造成远超观察位的损失，不能当作保证执行的止损价。</w:t>
      </w:r>
    </w:p>
    <w:p>
      <w:pPr>
        <w:pStyle w:val="Heading2"/>
        <w:rPr/>
      </w:pPr>
      <w:r>
        <w:rPr>
          <w:color w:val="000000"/>
        </w:rPr>
        <w:t>十四 估值框架与当前价格隐含的要求</w:t>
      </w:r>
    </w:p>
    <w:p>
      <w:pPr>
        <w:pStyle w:val="Normal"/>
        <w:rPr/>
      </w:pPr>
      <w:r>
        <w:rPr/>
        <w:t>本活动模型用未来核心归母净利除以摊薄股数得到人民币</w:t>
      </w:r>
      <w:r>
        <w:rPr/>
        <w:t>EPS</w:t>
      </w:r>
      <w:r>
        <w:rPr/>
        <w:t>，再乘合理</w:t>
      </w:r>
      <w:r>
        <w:rPr/>
        <w:t>PE</w:t>
      </w:r>
      <w:r>
        <w:rPr/>
        <w:t>及每人民币</w:t>
      </w:r>
      <w:r>
        <w:rPr/>
        <w:t>1.10</w:t>
      </w:r>
      <w:r>
        <w:rPr/>
        <w:t>港元的明确汇率假设。核心利润保留持续研发、股份酬金、制造折旧、常态税率和竞争成本，剔除一次收购、非经营净利息与异常汇兑重估。正常汇率对收入及成本的影响已经包含于情景净利率，并非认为汇率无风险。该模型是可复核的盈利估值情景，尚不是逐厂现金流或全期</w:t>
      </w:r>
      <w:r>
        <w:rPr/>
        <w:t>DCF</w:t>
      </w:r>
      <w:r>
        <w:rPr/>
        <w:t>。</w:t>
      </w:r>
    </w:p>
    <w:p>
      <w:pPr>
        <w:pStyle w:val="Normal"/>
        <w:rPr/>
      </w:pPr>
      <w:r>
        <w:rPr/>
        <w:t>以</w:t>
      </w:r>
      <w:r>
        <w:rPr/>
        <w:t>2026H1</w:t>
      </w:r>
      <w:r>
        <w:rPr/>
        <w:t>法定摊薄</w:t>
      </w:r>
      <w:r>
        <w:rPr/>
        <w:t>EPS0.60</w:t>
      </w:r>
      <w:r>
        <w:rPr/>
        <w:t>元简单乘二，现价对应约</w:t>
      </w:r>
      <w:r>
        <w:rPr/>
        <w:t>62.2</w:t>
      </w:r>
      <w:r>
        <w:rPr/>
        <w:t>倍人民币盈利转港币</w:t>
      </w:r>
      <w:r>
        <w:rPr/>
        <w:t>PE</w:t>
      </w:r>
      <w:r>
        <w:rPr/>
        <w:t>；以公司调整摊薄</w:t>
      </w:r>
      <w:r>
        <w:rPr/>
        <w:t>0.75</w:t>
      </w:r>
      <w:r>
        <w:rPr/>
        <w:t>元乘二，对应约</w:t>
      </w:r>
      <w:r>
        <w:rPr/>
        <w:t>49.8</w:t>
      </w:r>
      <w:r>
        <w:rPr/>
        <w:t>倍。简单半年年化只用于价格直觉，不是全年预测，后半年有季节、产能和汇率变化。第三方行情</w:t>
      </w:r>
      <w:r>
        <w:rPr/>
        <w:t>PE63.64</w:t>
      </w:r>
      <w:r>
        <w:rPr/>
        <w:t>和新浪</w:t>
      </w:r>
      <w:r>
        <w:rPr/>
        <w:t>60.496</w:t>
      </w:r>
      <w:r>
        <w:rPr/>
        <w:t>口径未核验，不能以较低一个选择性证明便宜。成熟估值应依据下一年可持续利润，而不能把未经解释的行情字段当作唯一输入。</w:t>
      </w:r>
    </w:p>
    <w:p>
      <w:pPr>
        <w:pStyle w:val="Normal"/>
        <w:rPr/>
      </w:pPr>
      <w:r>
        <w:rPr/>
        <w:t>基准</w:t>
      </w:r>
      <w:r>
        <w:rPr/>
        <w:t>2027</w:t>
      </w:r>
      <w:r>
        <w:rPr/>
        <w:t>核心</w:t>
      </w:r>
      <w:r>
        <w:rPr/>
        <w:t>EPS2.20</w:t>
      </w:r>
      <w:r>
        <w:rPr/>
        <w:t>元，对现价隐含</w:t>
      </w:r>
      <w:r>
        <w:rPr/>
        <w:t>PE</w:t>
      </w:r>
      <w:r>
        <w:rPr/>
        <w:t>约</w:t>
      </w:r>
      <w:r>
        <w:rPr/>
        <w:t>33.93</w:t>
      </w:r>
      <w:r>
        <w:rPr/>
        <w:t>倍；基准</w:t>
      </w:r>
      <w:r>
        <w:rPr/>
        <w:t>2028</w:t>
      </w:r>
      <w:r>
        <w:rPr/>
        <w:t>为</w:t>
      </w:r>
      <w:r>
        <w:rPr/>
        <w:t>2.95</w:t>
      </w:r>
      <w:r>
        <w:rPr/>
        <w:t>元，隐含</w:t>
      </w:r>
      <w:r>
        <w:rPr/>
        <w:t>25.30</w:t>
      </w:r>
      <w:r>
        <w:rPr/>
        <w:t>倍。换成未来盈利看估值较低，是因为预测利润增长而不是当前价格下降。若</w:t>
      </w:r>
      <w:r>
        <w:rPr/>
        <w:t>2027EPS</w:t>
      </w:r>
      <w:r>
        <w:rPr/>
        <w:t>只有</w:t>
      </w:r>
      <w:r>
        <w:rPr/>
        <w:t>1.65</w:t>
      </w:r>
      <w:r>
        <w:rPr/>
        <w:t>，现价对应</w:t>
      </w:r>
      <w:r>
        <w:rPr/>
        <w:t>45.23</w:t>
      </w:r>
      <w:r>
        <w:rPr/>
        <w:t>倍，半年悲观</w:t>
      </w:r>
      <w:r>
        <w:rPr/>
        <w:t>27</w:t>
      </w:r>
      <w:r>
        <w:rPr/>
        <w:t>倍会产生明显损失。这种非对称说明当前价格已经需要高增长兑现。不能用“明年</w:t>
      </w:r>
      <w:r>
        <w:rPr/>
        <w:t>PE</w:t>
      </w:r>
      <w:r>
        <w:rPr/>
        <w:t>低”作为理由，同时忽略明年盈利可能达不到模型值。</w:t>
      </w:r>
    </w:p>
    <w:p>
      <w:pPr>
        <w:pStyle w:val="Normal"/>
        <w:rPr/>
      </w:pPr>
      <w:r>
        <w:rPr/>
        <w:t>2027</w:t>
      </w:r>
      <w:r>
        <w:rPr/>
        <w:t>基准收入</w:t>
      </w:r>
      <w:r>
        <w:rPr/>
        <w:t>114</w:t>
      </w:r>
      <w:r>
        <w:rPr/>
        <w:t>亿元、摊薄</w:t>
      </w:r>
      <w:r>
        <w:rPr/>
        <w:t>14</w:t>
      </w:r>
      <w:r>
        <w:rPr/>
        <w:t>亿股、核心利润</w:t>
      </w:r>
      <w:r>
        <w:rPr/>
        <w:t>30.8</w:t>
      </w:r>
      <w:r>
        <w:rPr/>
        <w:t>亿元，净利率约</w:t>
      </w:r>
      <w:r>
        <w:rPr/>
        <w:t>27.02%</w:t>
      </w:r>
      <w:r>
        <w:rPr/>
        <w:t>；</w:t>
      </w:r>
      <w:r>
        <w:rPr/>
        <w:t>2028</w:t>
      </w:r>
      <w:r>
        <w:rPr/>
        <w:t>收入</w:t>
      </w:r>
      <w:r>
        <w:rPr/>
        <w:t>148</w:t>
      </w:r>
      <w:r>
        <w:rPr/>
        <w:t>亿元、股数</w:t>
      </w:r>
      <w:r>
        <w:rPr/>
        <w:t>14.3</w:t>
      </w:r>
      <w:r>
        <w:rPr/>
        <w:t>亿、利润</w:t>
      </w:r>
      <w:r>
        <w:rPr/>
        <w:t>42.185</w:t>
      </w:r>
      <w:r>
        <w:rPr/>
        <w:t>亿元，净利率</w:t>
      </w:r>
      <w:r>
        <w:rPr/>
        <w:t>28.50%</w:t>
      </w:r>
      <w:r>
        <w:rPr/>
        <w:t>；</w:t>
      </w:r>
      <w:r>
        <w:rPr/>
        <w:t>2029</w:t>
      </w:r>
      <w:r>
        <w:rPr/>
        <w:t>收入</w:t>
      </w:r>
      <w:r>
        <w:rPr/>
        <w:t>195</w:t>
      </w:r>
      <w:r>
        <w:rPr/>
        <w:t>亿元、股数</w:t>
      </w:r>
      <w:r>
        <w:rPr/>
        <w:t>14.6</w:t>
      </w:r>
      <w:r>
        <w:rPr/>
        <w:t>亿、利润</w:t>
      </w:r>
      <w:r>
        <w:rPr/>
        <w:t>59.86</w:t>
      </w:r>
      <w:r>
        <w:rPr/>
        <w:t>亿元，净利率</w:t>
      </w:r>
      <w:r>
        <w:rPr/>
        <w:t>30.70%</w:t>
      </w:r>
      <w:r>
        <w:rPr/>
        <w:t>；</w:t>
      </w:r>
      <w:r>
        <w:rPr/>
        <w:t>2031</w:t>
      </w:r>
      <w:r>
        <w:rPr/>
        <w:t>收入</w:t>
      </w:r>
      <w:r>
        <w:rPr/>
        <w:t>310</w:t>
      </w:r>
      <w:r>
        <w:rPr/>
        <w:t>亿元、股数</w:t>
      </w:r>
      <w:r>
        <w:rPr/>
        <w:t>15.3</w:t>
      </w:r>
      <w:r>
        <w:rPr/>
        <w:t>亿、利润</w:t>
      </w:r>
      <w:r>
        <w:rPr/>
        <w:t>94.86</w:t>
      </w:r>
      <w:r>
        <w:rPr/>
        <w:t>亿元，净利率</w:t>
      </w:r>
      <w:r>
        <w:rPr/>
        <w:t>30.60%</w:t>
      </w:r>
      <w:r>
        <w:rPr/>
        <w:t>。利润率要求不低，需要高附加值项目、制造规模和持续费用效率共同支持，任何一项不能兑现都应更新盈利。</w:t>
      </w:r>
    </w:p>
    <w:p>
      <w:pPr>
        <w:pStyle w:val="Normal"/>
        <w:rPr/>
      </w:pPr>
      <w:r>
        <w:rPr/>
        <w:t>悲观</w:t>
      </w:r>
      <w:r>
        <w:rPr/>
        <w:t>2027</w:t>
      </w:r>
      <w:r>
        <w:rPr/>
        <w:t>收入</w:t>
      </w:r>
      <w:r>
        <w:rPr/>
        <w:t>95</w:t>
      </w:r>
      <w:r>
        <w:rPr/>
        <w:t>亿元、股数</w:t>
      </w:r>
      <w:r>
        <w:rPr/>
        <w:t>14.3</w:t>
      </w:r>
      <w:r>
        <w:rPr/>
        <w:t>亿、</w:t>
      </w:r>
      <w:r>
        <w:rPr/>
        <w:t>EPS1.65</w:t>
      </w:r>
      <w:r>
        <w:rPr/>
        <w:t>，利润</w:t>
      </w:r>
      <w:r>
        <w:rPr/>
        <w:t>23.595</w:t>
      </w:r>
      <w:r>
        <w:rPr/>
        <w:t>亿元、净利率</w:t>
      </w:r>
      <w:r>
        <w:rPr/>
        <w:t>24.84%</w:t>
      </w:r>
      <w:r>
        <w:rPr/>
        <w:t>；乐观收入</w:t>
      </w:r>
      <w:r>
        <w:rPr/>
        <w:t>135</w:t>
      </w:r>
      <w:r>
        <w:rPr/>
        <w:t>亿元、股数</w:t>
      </w:r>
      <w:r>
        <w:rPr/>
        <w:t>14</w:t>
      </w:r>
      <w:r>
        <w:rPr/>
        <w:t>亿、</w:t>
      </w:r>
      <w:r>
        <w:rPr/>
        <w:t>EPS2.75</w:t>
      </w:r>
      <w:r>
        <w:rPr/>
        <w:t>，利润</w:t>
      </w:r>
      <w:r>
        <w:rPr/>
        <w:t>38.5</w:t>
      </w:r>
      <w:r>
        <w:rPr/>
        <w:t>亿元、净利率</w:t>
      </w:r>
      <w:r>
        <w:rPr/>
        <w:t>28.52%</w:t>
      </w:r>
      <w:r>
        <w:rPr/>
        <w:t>。</w:t>
      </w:r>
      <w:r>
        <w:rPr/>
        <w:t>2028</w:t>
      </w:r>
      <w:r>
        <w:rPr/>
        <w:t>悲观</w:t>
      </w:r>
      <w:r>
        <w:rPr/>
        <w:t>EPS2.10</w:t>
      </w:r>
      <w:r>
        <w:rPr/>
        <w:t>、乐观</w:t>
      </w:r>
      <w:r>
        <w:rPr/>
        <w:t>3.85</w:t>
      </w:r>
      <w:r>
        <w:rPr/>
        <w:t>，</w:t>
      </w:r>
      <w:r>
        <w:rPr/>
        <w:t>2029</w:t>
      </w:r>
      <w:r>
        <w:rPr/>
        <w:t>分别</w:t>
      </w:r>
      <w:r>
        <w:rPr/>
        <w:t>2.70</w:t>
      </w:r>
      <w:r>
        <w:rPr/>
        <w:t>和</w:t>
      </w:r>
      <w:r>
        <w:rPr/>
        <w:t>6.00</w:t>
      </w:r>
      <w:r>
        <w:rPr/>
        <w:t>，</w:t>
      </w:r>
      <w:r>
        <w:rPr/>
        <w:t>2031</w:t>
      </w:r>
      <w:r>
        <w:rPr/>
        <w:t>分别</w:t>
      </w:r>
      <w:r>
        <w:rPr/>
        <w:t>3.20</w:t>
      </w:r>
      <w:r>
        <w:rPr/>
        <w:t>和</w:t>
      </w:r>
      <w:r>
        <w:rPr/>
        <w:t>9.70</w:t>
      </w:r>
      <w:r>
        <w:rPr/>
        <w:t>。较长期间的情景同时考虑增长、利用率和股数，不能只对基准目标价任意上下打折。独立输入表公开了这些变量，便于读者替换和重算。</w:t>
      </w:r>
    </w:p>
    <w:p>
      <w:pPr>
        <w:pStyle w:val="Normal"/>
        <w:rPr/>
      </w:pPr>
      <w:r>
        <w:rPr/>
        <w:t>基准</w:t>
      </w:r>
      <w:r>
        <w:rPr/>
        <w:t>2031</w:t>
      </w:r>
      <w:r>
        <w:rPr/>
        <w:t>收入相对</w:t>
      </w:r>
      <w:r>
        <w:rPr/>
        <w:t>2025</w:t>
      </w:r>
      <w:r>
        <w:rPr/>
        <w:t>年</w:t>
      </w:r>
      <w:r>
        <w:rPr/>
        <w:t>59.44245</w:t>
      </w:r>
      <w:r>
        <w:rPr/>
        <w:t>亿元，六年复合增长约</w:t>
      </w:r>
      <w:r>
        <w:rPr/>
        <w:t>31.7%</w:t>
      </w:r>
      <w:r>
        <w:rPr/>
        <w:t>，与公司在机构转述中提及的</w:t>
      </w:r>
      <w:r>
        <w:rPr/>
        <w:t>2025</w:t>
      </w:r>
      <w:r>
        <w:rPr/>
        <w:t>至</w:t>
      </w:r>
      <w:r>
        <w:rPr/>
        <w:t>2030</w:t>
      </w:r>
      <w:r>
        <w:rPr/>
        <w:t>年</w:t>
      </w:r>
      <w:r>
        <w:rPr/>
        <w:t>30%</w:t>
      </w:r>
      <w:r>
        <w:rPr/>
        <w:t>至</w:t>
      </w:r>
      <w:r>
        <w:rPr/>
        <w:t>35%</w:t>
      </w:r>
      <w:r>
        <w:rPr/>
        <w:t>增长目标相近，但目标本身不是保证。该路线要求订单持续扩张、容量如期投产且商业化规模放大。乐观</w:t>
      </w:r>
      <w:r>
        <w:rPr/>
        <w:t>450</w:t>
      </w:r>
      <w:r>
        <w:rPr/>
        <w:t>亿元对应更强行业和平台成果，悲观</w:t>
      </w:r>
      <w:r>
        <w:rPr/>
        <w:t>180</w:t>
      </w:r>
      <w:r>
        <w:rPr/>
        <w:t>亿元仍有增长却每股回报显著受估值回落限制。高行业增长与股东亏损可以同时出现，原因是买入价格与稀释、资本效率。</w:t>
      </w:r>
    </w:p>
    <w:p>
      <w:pPr>
        <w:pStyle w:val="Normal"/>
        <w:rPr/>
      </w:pPr>
      <w:r>
        <w:rPr/>
        <w:t>PE</w:t>
      </w:r>
      <w:r>
        <w:rPr/>
        <w:t>交叉验证要区分高增长</w:t>
      </w:r>
      <w:r>
        <w:rPr/>
        <w:t>ADC</w:t>
      </w:r>
      <w:r>
        <w:rPr/>
        <w:t>平台与普通成熟制造企业。较高项目增速、后期储备和技术许可可以支持平台溢价，但地区政策和资本密集度需要折扣。半年基准</w:t>
      </w:r>
      <w:r>
        <w:rPr/>
        <w:t>37</w:t>
      </w:r>
      <w:r>
        <w:rPr/>
        <w:t>倍、乐观</w:t>
      </w:r>
      <w:r>
        <w:rPr/>
        <w:t>45</w:t>
      </w:r>
      <w:r>
        <w:rPr/>
        <w:t>倍在成长股中属于较高要求，不应长期当作永久水平；一年基准</w:t>
      </w:r>
      <w:r>
        <w:rPr/>
        <w:t>34</w:t>
      </w:r>
      <w:r>
        <w:rPr/>
        <w:t>倍、三年</w:t>
      </w:r>
      <w:r>
        <w:rPr/>
        <w:t>30</w:t>
      </w:r>
      <w:r>
        <w:rPr/>
        <w:t>倍、五年</w:t>
      </w:r>
      <w:r>
        <w:rPr/>
        <w:t>27</w:t>
      </w:r>
      <w:r>
        <w:rPr/>
        <w:t>倍反映成熟期回落。若真实经营转成低增速制造，</w:t>
      </w:r>
      <w:r>
        <w:rPr/>
        <w:t>20</w:t>
      </w:r>
      <w:r>
        <w:rPr/>
        <w:t>至</w:t>
      </w:r>
      <w:r>
        <w:rPr/>
        <w:t>25</w:t>
      </w:r>
      <w:r>
        <w:rPr/>
        <w:t>倍甚至更低都有可能，悲观情景不能视为估值底部。</w:t>
      </w:r>
    </w:p>
    <w:p>
      <w:pPr>
        <w:pStyle w:val="Heading2"/>
        <w:rPr/>
      </w:pPr>
      <w:r>
        <w:rPr>
          <w:color w:val="000000"/>
        </w:rPr>
        <w:t>十五 四期限的收益来源与失败路径</w:t>
      </w:r>
    </w:p>
    <w:p>
      <w:pPr>
        <w:pStyle w:val="Normal"/>
        <w:rPr/>
      </w:pPr>
      <w:r>
        <w:rPr/>
        <w:t>半年到</w:t>
      </w:r>
      <w:r>
        <w:rPr/>
        <w:t>2027</w:t>
      </w:r>
      <w:r>
        <w:rPr/>
        <w:t>年</w:t>
      </w:r>
      <w:r>
        <w:rPr/>
        <w:t>4</w:t>
      </w:r>
      <w:r>
        <w:rPr/>
        <w:t>月，关键证据是</w:t>
      </w:r>
      <w:r>
        <w:rPr/>
        <w:t>2026</w:t>
      </w:r>
      <w:r>
        <w:rPr/>
        <w:t>年年报、</w:t>
      </w:r>
      <w:r>
        <w:rPr/>
        <w:t>2027</w:t>
      </w:r>
      <w:r>
        <w:rPr/>
        <w:t>年增长指引、新加坡产能爬坡和无锡检查准备。当前数据尚不能证明实际检查日期，报告使用机构预期而非编造已完成结果。基准</w:t>
      </w:r>
      <w:r>
        <w:rPr/>
        <w:t>EPS2.20</w:t>
      </w:r>
      <w:r>
        <w:rPr/>
        <w:t>、</w:t>
      </w:r>
      <w:r>
        <w:rPr/>
        <w:t>PE37</w:t>
      </w:r>
      <w:r>
        <w:rPr/>
        <w:t>倍得到</w:t>
      </w:r>
      <w:r>
        <w:rPr/>
        <w:t>89.54</w:t>
      </w:r>
      <w:r>
        <w:rPr/>
        <w:t>港元；相比现价上涨</w:t>
      </w:r>
      <w:r>
        <w:rPr/>
        <w:t>9.06%</w:t>
      </w:r>
      <w:r>
        <w:rPr/>
        <w:t>。这个收益幅度较普通波动不大，半年排序高于部分弱趋势公司但不应自动成为最优买点，价格回踩或新的盈利上修可以改变吸引力。</w:t>
      </w:r>
    </w:p>
    <w:p>
      <w:pPr>
        <w:pStyle w:val="Normal"/>
        <w:rPr/>
      </w:pPr>
      <w:r>
        <w:rPr/>
        <w:t>半年悲观</w:t>
      </w:r>
      <w:r>
        <w:rPr/>
        <w:t>EPS1.65</w:t>
      </w:r>
      <w:r>
        <w:rPr/>
        <w:t>和</w:t>
      </w:r>
      <w:r>
        <w:rPr/>
        <w:t>27</w:t>
      </w:r>
      <w:r>
        <w:rPr/>
        <w:t>倍得到</w:t>
      </w:r>
      <w:r>
        <w:rPr/>
        <w:t>49.005</w:t>
      </w:r>
      <w:r>
        <w:rPr/>
        <w:t>港元，较现价负</w:t>
      </w:r>
      <w:r>
        <w:rPr/>
        <w:t>40.31%</w:t>
      </w:r>
      <w:r>
        <w:rPr/>
        <w:t>；乐观</w:t>
      </w:r>
      <w:r>
        <w:rPr/>
        <w:t>EPS2.75</w:t>
      </w:r>
      <w:r>
        <w:rPr/>
        <w:t>和</w:t>
      </w:r>
      <w:r>
        <w:rPr/>
        <w:t>45</w:t>
      </w:r>
      <w:r>
        <w:rPr/>
        <w:t>倍得到</w:t>
      </w:r>
      <w:r>
        <w:rPr/>
        <w:t>136.125</w:t>
      </w:r>
      <w:r>
        <w:rPr/>
        <w:t>，上涨</w:t>
      </w:r>
      <w:r>
        <w:rPr/>
        <w:t>65.80%</w:t>
      </w:r>
      <w:r>
        <w:rPr/>
        <w:t>。巨大区间反映监管、成长估值和利润预期同时变化，非统计置信区间。悲观并不要求公司停止增长，只要求实际结果低于当前预期而市场降低倍数。乐观需要多项条件共同满足，不能仅因</w:t>
      </w:r>
      <w:r>
        <w:rPr/>
        <w:t>ADC</w:t>
      </w:r>
      <w:r>
        <w:rPr/>
        <w:t>行业热门就认为最高目标是大概率结果。</w:t>
      </w:r>
    </w:p>
    <w:p>
      <w:pPr>
        <w:pStyle w:val="Normal"/>
        <w:rPr/>
      </w:pPr>
      <w:r>
        <w:rPr/>
        <w:t>一年到</w:t>
      </w:r>
      <w:r>
        <w:rPr/>
        <w:t>2027</w:t>
      </w:r>
      <w:r>
        <w:rPr/>
        <w:t>年</w:t>
      </w:r>
      <w:r>
        <w:rPr/>
        <w:t>10</w:t>
      </w:r>
      <w:r>
        <w:rPr/>
        <w:t>月，价格开始关注</w:t>
      </w:r>
      <w:r>
        <w:rPr/>
        <w:t>2028</w:t>
      </w:r>
      <w:r>
        <w:rPr/>
        <w:t>年盈利，基准</w:t>
      </w:r>
      <w:r>
        <w:rPr/>
        <w:t>2.95</w:t>
      </w:r>
      <w:r>
        <w:rPr/>
        <w:t>元和</w:t>
      </w:r>
      <w:r>
        <w:rPr/>
        <w:t>34</w:t>
      </w:r>
      <w:r>
        <w:rPr/>
        <w:t>倍给</w:t>
      </w:r>
      <w:r>
        <w:rPr/>
        <w:t>110.33</w:t>
      </w:r>
      <w:r>
        <w:rPr/>
        <w:t>港元，上涨</w:t>
      </w:r>
      <w:r>
        <w:rPr/>
        <w:t>34.38%</w:t>
      </w:r>
      <w:r>
        <w:rPr/>
        <w:t>。收入</w:t>
      </w:r>
      <w:r>
        <w:rPr/>
        <w:t>148</w:t>
      </w:r>
      <w:r>
        <w:rPr/>
        <w:t>亿元和核心利润</w:t>
      </w:r>
      <w:r>
        <w:rPr/>
        <w:t>42.185</w:t>
      </w:r>
      <w:r>
        <w:rPr/>
        <w:t>亿元需要后期工作与新生产线共同贡献。悲观</w:t>
      </w:r>
      <w:r>
        <w:rPr/>
        <w:t>55.44</w:t>
      </w:r>
      <w:r>
        <w:rPr/>
        <w:t>、乐观</w:t>
      </w:r>
      <w:r>
        <w:rPr/>
        <w:t>177.87</w:t>
      </w:r>
      <w:r>
        <w:rPr/>
        <w:t>港元，对应约负</w:t>
      </w:r>
      <w:r>
        <w:rPr/>
        <w:t>32.47%</w:t>
      </w:r>
      <w:r>
        <w:rPr/>
        <w:t>和正</w:t>
      </w:r>
      <w:r>
        <w:rPr/>
        <w:t>116.65%</w:t>
      </w:r>
      <w:r>
        <w:rPr/>
        <w:t>。一年得分</w:t>
      </w:r>
      <w:r>
        <w:rPr/>
        <w:t>80.2</w:t>
      </w:r>
      <w:r>
        <w:rPr/>
        <w:t>，高于半年，因为经营兑现时间增加且盈利增长缓解当前估值，但它仍受未来股数和资本成本影响。</w:t>
      </w:r>
    </w:p>
    <w:p>
      <w:pPr>
        <w:pStyle w:val="Normal"/>
        <w:rPr/>
      </w:pPr>
      <w:r>
        <w:rPr/>
        <w:t>三年到</w:t>
      </w:r>
      <w:r>
        <w:rPr/>
        <w:t>2029</w:t>
      </w:r>
      <w:r>
        <w:rPr/>
        <w:t>年</w:t>
      </w:r>
      <w:r>
        <w:rPr/>
        <w:t>10</w:t>
      </w:r>
      <w:r>
        <w:rPr/>
        <w:t>月，重点由检查等单次事件转向商业化项目数量、持续制造收入和新投入资本回报。基准</w:t>
      </w:r>
      <w:r>
        <w:rPr/>
        <w:t>EPS4.10</w:t>
      </w:r>
      <w:r>
        <w:rPr/>
        <w:t>与</w:t>
      </w:r>
      <w:r>
        <w:rPr/>
        <w:t>30</w:t>
      </w:r>
      <w:r>
        <w:rPr/>
        <w:t>倍给</w:t>
      </w:r>
      <w:r>
        <w:rPr/>
        <w:t>135.30</w:t>
      </w:r>
      <w:r>
        <w:rPr/>
        <w:t>港元，总回报</w:t>
      </w:r>
      <w:r>
        <w:rPr/>
        <w:t>64.80%</w:t>
      </w:r>
      <w:r>
        <w:rPr/>
        <w:t>、年化</w:t>
      </w:r>
      <w:r>
        <w:rPr/>
        <w:t>18.12%</w:t>
      </w:r>
      <w:r>
        <w:rPr/>
        <w:t>。悲观</w:t>
      </w:r>
      <w:r>
        <w:rPr/>
        <w:t>65.34</w:t>
      </w:r>
      <w:r>
        <w:rPr/>
        <w:t>、乐观</w:t>
      </w:r>
      <w:r>
        <w:rPr/>
        <w:t>250.80</w:t>
      </w:r>
      <w:r>
        <w:rPr/>
        <w:t>，分别约负</w:t>
      </w:r>
      <w:r>
        <w:rPr/>
        <w:t>20.41%</w:t>
      </w:r>
      <w:r>
        <w:rPr/>
        <w:t>和正</w:t>
      </w:r>
      <w:r>
        <w:rPr/>
        <w:t>205.48%</w:t>
      </w:r>
      <w:r>
        <w:rPr/>
        <w:t>。若三年商业项目仍只有少数、增长主要依赖不断新增早期合同，或资本开支超出收入承接能力，平台由早期到成熟制造的逻辑便不完整。</w:t>
      </w:r>
    </w:p>
    <w:p>
      <w:pPr>
        <w:pStyle w:val="Normal"/>
        <w:rPr/>
      </w:pPr>
      <w:r>
        <w:rPr/>
        <w:t>五年到</w:t>
      </w:r>
      <w:r>
        <w:rPr/>
        <w:t>2031</w:t>
      </w:r>
      <w:r>
        <w:rPr/>
        <w:t>年</w:t>
      </w:r>
      <w:r>
        <w:rPr/>
        <w:t>10</w:t>
      </w:r>
      <w:r>
        <w:rPr/>
        <w:t>月，基准核心</w:t>
      </w:r>
      <w:r>
        <w:rPr/>
        <w:t>EPS6.20</w:t>
      </w:r>
      <w:r>
        <w:rPr/>
        <w:t>、</w:t>
      </w:r>
      <w:r>
        <w:rPr/>
        <w:t>PE27</w:t>
      </w:r>
      <w:r>
        <w:rPr/>
        <w:t>倍给</w:t>
      </w:r>
      <w:r>
        <w:rPr/>
        <w:t>184.14</w:t>
      </w:r>
      <w:r>
        <w:rPr/>
        <w:t>港元，总回报</w:t>
      </w:r>
      <w:r>
        <w:rPr/>
        <w:t>124.29%</w:t>
      </w:r>
      <w:r>
        <w:rPr/>
        <w:t>、年化</w:t>
      </w:r>
      <w:r>
        <w:rPr/>
        <w:t>17.53%</w:t>
      </w:r>
      <w:r>
        <w:rPr/>
        <w:t>。这一回报来源主要是</w:t>
      </w:r>
      <w:r>
        <w:rPr/>
        <w:t>2027</w:t>
      </w:r>
      <w:r>
        <w:rPr/>
        <w:t>至</w:t>
      </w:r>
      <w:r>
        <w:rPr/>
        <w:t>2031</w:t>
      </w:r>
      <w:r>
        <w:rPr/>
        <w:t>每股盈利增加，估值倍数下降而不是上升。悲观</w:t>
      </w:r>
      <w:r>
        <w:rPr/>
        <w:t>70.40</w:t>
      </w:r>
      <w:r>
        <w:rPr/>
        <w:t>、乐观</w:t>
      </w:r>
      <w:r>
        <w:rPr/>
        <w:t>373.45</w:t>
      </w:r>
      <w:r>
        <w:rPr/>
        <w:t>港元，约负</w:t>
      </w:r>
      <w:r>
        <w:rPr/>
        <w:t>14.25%</w:t>
      </w:r>
      <w:r>
        <w:rPr/>
        <w:t>和正</w:t>
      </w:r>
      <w:r>
        <w:rPr/>
        <w:t>354.87%</w:t>
      </w:r>
      <w:r>
        <w:rPr/>
        <w:t>。长期悲观价格仍低于现价，即使收入从</w:t>
      </w:r>
      <w:r>
        <w:rPr/>
        <w:t>59</w:t>
      </w:r>
      <w:r>
        <w:rPr/>
        <w:t>亿元扩大到</w:t>
      </w:r>
      <w:r>
        <w:rPr/>
        <w:t>180</w:t>
      </w:r>
      <w:r>
        <w:rPr/>
        <w:t>亿元，也可能因为稀释和估值消化使股东多年没有正回报。</w:t>
      </w:r>
    </w:p>
    <w:p>
      <w:pPr>
        <w:pStyle w:val="Normal"/>
        <w:rPr/>
      </w:pPr>
      <w:r>
        <w:rPr/>
        <w:t>未来十年经营持续性取决于技术平台是否能跨越当前热门载荷与靶点周期。若</w:t>
      </w:r>
      <w:r>
        <w:rPr/>
        <w:t>ADC</w:t>
      </w:r>
      <w:r>
        <w:rPr/>
        <w:t>逐步成为成熟治疗，公司需要在成本、规模质量与新型偶联技术间找到平衡，避免高技术溢价完全变成标准制造利润。</w:t>
      </w:r>
      <w:r>
        <w:rPr/>
        <w:t>AOC</w:t>
      </w:r>
      <w:r>
        <w:rPr/>
        <w:t>、</w:t>
      </w:r>
      <w:r>
        <w:rPr/>
        <w:t>PDC</w:t>
      </w:r>
      <w:r>
        <w:rPr/>
        <w:t>、降解剂偶联等提供方向，但这些技术多数仍需验证临床适用性和制造需求。十年展望不另给未经验证的精确股价，只评估平台迭代、客户关系和现金再投资能力。</w:t>
      </w:r>
    </w:p>
    <w:p>
      <w:pPr>
        <w:pStyle w:val="Normal"/>
        <w:rPr/>
      </w:pPr>
      <w:r>
        <w:rPr/>
        <w:t>推荐反证包括有机收入连续两个可比报告期显著低于行业需求且订单转化不足、二期后期项目无法形成商业业务、重大质量整改反复延长、客户采购政策引起实质迁移，以及股数或资本投入高于预测而</w:t>
      </w:r>
      <w:r>
        <w:rPr/>
        <w:t>EPS</w:t>
      </w:r>
      <w:r>
        <w:rPr/>
        <w:t>和自由现金流不跟随。这里的判断应以原公告和经营资料核验，不能仅以股价下跌证明基本面失败；同样股价上涨也不能证明投资论点成立。每次新报告都应将模型与事实对照，调整全部期限。</w:t>
      </w:r>
    </w:p>
    <w:p>
      <w:pPr>
        <w:pStyle w:val="Heading2"/>
        <w:rPr/>
      </w:pPr>
      <w:r>
        <w:rPr>
          <w:color w:val="000000"/>
        </w:rPr>
        <w:t>十六 年底专项与机构目标参照</w:t>
      </w:r>
    </w:p>
    <w:p>
      <w:pPr>
        <w:pStyle w:val="Normal"/>
        <w:rPr/>
      </w:pPr>
      <w:r>
        <w:rPr/>
        <w:t>年底只剩约三个月，模型使用</w:t>
      </w:r>
      <w:r>
        <w:rPr/>
        <w:t>2027</w:t>
      </w:r>
      <w:r>
        <w:rPr/>
        <w:t>年盈利作为届时估值关注点，重新选择年底</w:t>
      </w:r>
      <w:r>
        <w:rPr/>
        <w:t>PE</w:t>
      </w:r>
      <w:r>
        <w:rPr/>
        <w:t>而非直接套机构目标。悲观</w:t>
      </w:r>
      <w:r>
        <w:rPr/>
        <w:t>EPS1.65</w:t>
      </w:r>
      <w:r>
        <w:rPr/>
        <w:t>、</w:t>
      </w:r>
      <w:r>
        <w:rPr/>
        <w:t>PE25</w:t>
      </w:r>
      <w:r>
        <w:rPr/>
        <w:t>倍给</w:t>
      </w:r>
      <w:r>
        <w:rPr/>
        <w:t>45.375</w:t>
      </w:r>
      <w:r>
        <w:rPr/>
        <w:t>港元，相对现价负</w:t>
      </w:r>
      <w:r>
        <w:rPr/>
        <w:t>44.73%</w:t>
      </w:r>
      <w:r>
        <w:rPr/>
        <w:t>；基准</w:t>
      </w:r>
      <w:r>
        <w:rPr/>
        <w:t>2.20</w:t>
      </w:r>
      <w:r>
        <w:rPr/>
        <w:t>、</w:t>
      </w:r>
      <w:r>
        <w:rPr/>
        <w:t>34</w:t>
      </w:r>
      <w:r>
        <w:rPr/>
        <w:t>倍给</w:t>
      </w:r>
      <w:r>
        <w:rPr/>
        <w:t>82.28</w:t>
      </w:r>
      <w:r>
        <w:rPr/>
        <w:t>，正</w:t>
      </w:r>
      <w:r>
        <w:rPr/>
        <w:t>0.22%</w:t>
      </w:r>
      <w:r>
        <w:rPr/>
        <w:t>；乐观</w:t>
      </w:r>
      <w:r>
        <w:rPr/>
        <w:t>2.75</w:t>
      </w:r>
      <w:r>
        <w:rPr/>
        <w:t>、</w:t>
      </w:r>
      <w:r>
        <w:rPr/>
        <w:t>40</w:t>
      </w:r>
      <w:r>
        <w:rPr/>
        <w:t>倍给</w:t>
      </w:r>
      <w:r>
        <w:rPr/>
        <w:t>121</w:t>
      </w:r>
      <w:r>
        <w:rPr/>
        <w:t>，正</w:t>
      </w:r>
      <w:r>
        <w:rPr/>
        <w:t>47.38%</w:t>
      </w:r>
      <w:r>
        <w:rPr/>
        <w:t>。短期区间包含增长预期和风险偏好变化，最可能在年底前影响的是订单、产能和监管预期，完整</w:t>
      </w:r>
      <w:r>
        <w:rPr/>
        <w:t>2027</w:t>
      </w:r>
      <w:r>
        <w:rPr/>
        <w:t>盈利仍属于预测。</w:t>
      </w:r>
    </w:p>
    <w:p>
      <w:pPr>
        <w:pStyle w:val="Normal"/>
        <w:rPr/>
      </w:pPr>
      <w:r>
        <w:rPr/>
        <w:t>按照悲观</w:t>
      </w:r>
      <w:r>
        <w:rPr/>
        <w:t>25%</w:t>
      </w:r>
      <w:r>
        <w:rPr/>
        <w:t>、基准</w:t>
      </w:r>
      <w:r>
        <w:rPr/>
        <w:t>50%</w:t>
      </w:r>
      <w:r>
        <w:rPr/>
        <w:t>、乐观</w:t>
      </w:r>
      <w:r>
        <w:rPr/>
        <w:t>25%</w:t>
      </w:r>
      <w:r>
        <w:rPr/>
        <w:t>，年底期望价</w:t>
      </w:r>
      <w:r>
        <w:rPr/>
        <w:t>82.73375</w:t>
      </w:r>
      <w:r>
        <w:rPr/>
        <w:t>港元，期望回报</w:t>
      </w:r>
      <w:r>
        <w:rPr/>
        <w:t>0.77%</w:t>
      </w:r>
      <w:r>
        <w:rPr/>
        <w:t>。悲观权重</w:t>
      </w:r>
      <w:r>
        <w:rPr/>
        <w:t>40%</w:t>
      </w:r>
      <w:r>
        <w:rPr/>
        <w:t>、基准</w:t>
      </w:r>
      <w:r>
        <w:rPr/>
        <w:t>40%</w:t>
      </w:r>
      <w:r>
        <w:rPr/>
        <w:t>、乐观</w:t>
      </w:r>
      <w:r>
        <w:rPr/>
        <w:t>20%</w:t>
      </w:r>
      <w:r>
        <w:rPr/>
        <w:t>时，期望</w:t>
      </w:r>
      <w:r>
        <w:rPr/>
        <w:t>75.262</w:t>
      </w:r>
      <w:r>
        <w:rPr/>
        <w:t>港元、回报负</w:t>
      </w:r>
      <w:r>
        <w:rPr/>
        <w:t>8.33%</w:t>
      </w:r>
      <w:r>
        <w:rPr/>
        <w:t>；偏乐观</w:t>
      </w:r>
      <w:r>
        <w:rPr/>
        <w:t>20%</w:t>
      </w:r>
      <w:r>
        <w:rPr/>
        <w:t>、</w:t>
      </w:r>
      <w:r>
        <w:rPr/>
        <w:t>40%</w:t>
      </w:r>
      <w:r>
        <w:rPr/>
        <w:t>、</w:t>
      </w:r>
      <w:r>
        <w:rPr/>
        <w:t>40%</w:t>
      </w:r>
      <w:r>
        <w:rPr/>
        <w:t>时，期望</w:t>
      </w:r>
      <w:r>
        <w:rPr/>
        <w:t>90.387</w:t>
      </w:r>
      <w:r>
        <w:rPr/>
        <w:t>、回报</w:t>
      </w:r>
      <w:r>
        <w:rPr/>
        <w:t>10.09%</w:t>
      </w:r>
      <w:r>
        <w:rPr/>
        <w:t>。期望值对权重明显敏感，不能把</w:t>
      </w:r>
      <w:r>
        <w:rPr/>
        <w:t>0.77%</w:t>
      </w:r>
      <w:r>
        <w:rPr/>
        <w:t>当作可以实现的确定收益，也不能说悲观价以上一定安全。权重是研究判断，不是历史频率校准的成功概率。</w:t>
      </w:r>
    </w:p>
    <w:p>
      <w:pPr>
        <w:pStyle w:val="Normal"/>
        <w:rPr/>
      </w:pPr>
      <w:r>
        <w:rPr/>
        <w:t>高盛</w:t>
      </w:r>
      <w:r>
        <w:rPr/>
        <w:t>2026</w:t>
      </w:r>
      <w:r>
        <w:rPr/>
        <w:t>年</w:t>
      </w:r>
      <w:r>
        <w:rPr/>
        <w:t>9</w:t>
      </w:r>
      <w:r>
        <w:rPr/>
        <w:t>月</w:t>
      </w:r>
      <w:r>
        <w:rPr/>
        <w:t>25</w:t>
      </w:r>
      <w:r>
        <w:rPr/>
        <w:t>日公开转述给</w:t>
      </w:r>
      <w:r>
        <w:rPr/>
        <w:t>97.9</w:t>
      </w:r>
      <w:r>
        <w:rPr/>
        <w:t>港元、买入，称对应未来</w:t>
      </w:r>
      <w:r>
        <w:rPr/>
        <w:t>12</w:t>
      </w:r>
      <w:r>
        <w:rPr/>
        <w:t>个月预测</w:t>
      </w:r>
      <w:r>
        <w:rPr/>
        <w:t>PE</w:t>
      </w:r>
      <w:r>
        <w:rPr/>
        <w:t>约</w:t>
      </w:r>
      <w:r>
        <w:rPr/>
        <w:t>35</w:t>
      </w:r>
      <w:r>
        <w:rPr/>
        <w:t>倍。这里的</w:t>
      </w:r>
      <w:r>
        <w:rPr/>
        <w:t>12</w:t>
      </w:r>
      <w:r>
        <w:rPr/>
        <w:t>个月是盈利参照口径，并不自动等于目标价期限。</w:t>
      </w:r>
      <w:r>
        <w:rPr/>
        <w:t>97.9</w:t>
      </w:r>
      <w:r>
        <w:rPr/>
        <w:t>比现价高约</w:t>
      </w:r>
      <w:r>
        <w:rPr/>
        <w:t>19.24%</w:t>
      </w:r>
      <w:r>
        <w:rPr/>
        <w:t>，支持较高成长估值，管理层在交流中也强调</w:t>
      </w:r>
      <w:r>
        <w:rPr/>
        <w:t>AI</w:t>
      </w:r>
      <w:r>
        <w:rPr/>
        <w:t>发现与</w:t>
      </w:r>
      <w:r>
        <w:rPr/>
        <w:t>CDMO</w:t>
      </w:r>
      <w:r>
        <w:rPr/>
        <w:t>订单转化之间仍有湿实验瓶颈。不能因</w:t>
      </w:r>
      <w:r>
        <w:rPr/>
        <w:t>AI</w:t>
      </w:r>
      <w:r>
        <w:rPr/>
        <w:t>使用增多就假定公司自动获得全部生成分子的制造订单。</w:t>
      </w:r>
    </w:p>
    <w:p>
      <w:pPr>
        <w:pStyle w:val="Normal"/>
        <w:rPr/>
      </w:pPr>
      <w:r>
        <w:rPr/>
        <w:t>摩根士丹利</w:t>
      </w:r>
      <w:r>
        <w:rPr/>
        <w:t>9</w:t>
      </w:r>
      <w:r>
        <w:rPr/>
        <w:t>月</w:t>
      </w:r>
      <w:r>
        <w:rPr/>
        <w:t>18</w:t>
      </w:r>
      <w:r>
        <w:rPr/>
        <w:t>日</w:t>
      </w:r>
      <w:r>
        <w:rPr/>
        <w:t>85</w:t>
      </w:r>
      <w:r>
        <w:rPr/>
        <w:t>港元、增持，约</w:t>
      </w:r>
      <w:r>
        <w:rPr/>
        <w:t>3.53%</w:t>
      </w:r>
      <w:r>
        <w:rPr/>
        <w:t>上涨空间，其公开理由之一是预期无锡</w:t>
      </w:r>
      <w:r>
        <w:rPr/>
        <w:t>FDA</w:t>
      </w:r>
      <w:r>
        <w:rPr/>
        <w:t>检查帮助争取商业化订单；花旗</w:t>
      </w:r>
      <w:r>
        <w:rPr/>
        <w:t>8</w:t>
      </w:r>
      <w:r>
        <w:rPr/>
        <w:t>月</w:t>
      </w:r>
      <w:r>
        <w:rPr/>
        <w:t>26</w:t>
      </w:r>
      <w:r>
        <w:rPr/>
        <w:t>日</w:t>
      </w:r>
      <w:r>
        <w:rPr/>
        <w:t>93</w:t>
      </w:r>
      <w:r>
        <w:rPr/>
        <w:t>港元、买入，约</w:t>
      </w:r>
      <w:r>
        <w:rPr/>
        <w:t>13.28%</w:t>
      </w:r>
      <w:r>
        <w:rPr/>
        <w:t>空间，长期收入预测假设由</w:t>
      </w:r>
      <w:r>
        <w:rPr/>
        <w:t>24%</w:t>
      </w:r>
      <w:r>
        <w:rPr/>
        <w:t>复合增长上调到</w:t>
      </w:r>
      <w:r>
        <w:rPr/>
        <w:t>26%</w:t>
      </w:r>
      <w:r>
        <w:rPr/>
        <w:t>。瑞银</w:t>
      </w:r>
      <w:r>
        <w:rPr/>
        <w:t>8</w:t>
      </w:r>
      <w:r>
        <w:rPr/>
        <w:t>月</w:t>
      </w:r>
      <w:r>
        <w:rPr/>
        <w:t>25</w:t>
      </w:r>
      <w:r>
        <w:rPr/>
        <w:t>日</w:t>
      </w:r>
      <w:r>
        <w:rPr/>
        <w:t>94.6</w:t>
      </w:r>
      <w:r>
        <w:rPr/>
        <w:t>港元、买入，约</w:t>
      </w:r>
      <w:r>
        <w:rPr/>
        <w:t>15.23%</w:t>
      </w:r>
      <w:r>
        <w:rPr/>
        <w:t>空间，公开</w:t>
      </w:r>
      <w:r>
        <w:rPr/>
        <w:t>2026</w:t>
      </w:r>
      <w:r>
        <w:rPr/>
        <w:t>至</w:t>
      </w:r>
      <w:r>
        <w:rPr/>
        <w:t>2028EPS</w:t>
      </w:r>
      <w:r>
        <w:rPr/>
        <w:t>预测为</w:t>
      </w:r>
      <w:r>
        <w:rPr/>
        <w:t>1.59</w:t>
      </w:r>
      <w:r>
        <w:rPr/>
        <w:t>、</w:t>
      </w:r>
      <w:r>
        <w:rPr/>
        <w:t>2.28</w:t>
      </w:r>
      <w:r>
        <w:rPr/>
        <w:t>、</w:t>
      </w:r>
      <w:r>
        <w:rPr/>
        <w:t>3.10</w:t>
      </w:r>
      <w:r>
        <w:rPr/>
        <w:t>元人民币。这些预测与本报告核心盈利保留股份酬金的口径未完整对齐，应并列参照而非冒充同一数据。</w:t>
      </w:r>
    </w:p>
    <w:p>
      <w:pPr>
        <w:pStyle w:val="Normal"/>
        <w:rPr/>
      </w:pPr>
      <w:r>
        <w:rPr/>
        <w:t>同一</w:t>
      </w:r>
      <w:r>
        <w:rPr/>
        <w:t>8</w:t>
      </w:r>
      <w:r>
        <w:rPr/>
        <w:t>月</w:t>
      </w:r>
      <w:r>
        <w:rPr/>
        <w:t>25</w:t>
      </w:r>
      <w:r>
        <w:rPr/>
        <w:t>日新闻记录野村目标</w:t>
      </w:r>
      <w:r>
        <w:rPr/>
        <w:t>82.6</w:t>
      </w:r>
      <w:r>
        <w:rPr/>
        <w:t>港元、买入，空间约</w:t>
      </w:r>
      <w:r>
        <w:rPr/>
        <w:t>0.61%</w:t>
      </w:r>
      <w:r>
        <w:rPr/>
        <w:t>；其独立收入预测</w:t>
      </w:r>
      <w:r>
        <w:rPr/>
        <w:t>35.6</w:t>
      </w:r>
      <w:r>
        <w:rPr/>
        <w:t>亿元与实际有机收入一致，对收购并表贡献估计曾有差异。里昂</w:t>
      </w:r>
      <w:r>
        <w:rPr/>
        <w:t>8</w:t>
      </w:r>
      <w:r>
        <w:rPr/>
        <w:t>月</w:t>
      </w:r>
      <w:r>
        <w:rPr/>
        <w:t>26</w:t>
      </w:r>
      <w:r>
        <w:rPr/>
        <w:t>日上调至</w:t>
      </w:r>
      <w:r>
        <w:rPr/>
        <w:t>87.9</w:t>
      </w:r>
      <w:r>
        <w:rPr/>
        <w:t>港元、跑赢大市，空间</w:t>
      </w:r>
      <w:r>
        <w:rPr/>
        <w:t>7.06%</w:t>
      </w:r>
      <w:r>
        <w:rPr/>
        <w:t>；它属于中国控制的国际券商，独立标明所有权，不混称纯外资。大和</w:t>
      </w:r>
      <w:r>
        <w:rPr/>
        <w:t>7</w:t>
      </w:r>
      <w:r>
        <w:rPr/>
        <w:t>月</w:t>
      </w:r>
      <w:r>
        <w:rPr/>
        <w:t>8</w:t>
      </w:r>
      <w:r>
        <w:rPr/>
        <w:t>日首次给</w:t>
      </w:r>
      <w:r>
        <w:rPr/>
        <w:t>78</w:t>
      </w:r>
      <w:r>
        <w:rPr/>
        <w:t>港元、买入，已超过优先</w:t>
      </w:r>
      <w:r>
        <w:rPr/>
        <w:t>90</w:t>
      </w:r>
      <w:r>
        <w:rPr/>
        <w:t>天窗口且早于半年报，约负</w:t>
      </w:r>
      <w:r>
        <w:rPr/>
        <w:t>4.99%</w:t>
      </w:r>
      <w:r>
        <w:rPr/>
        <w:t>空间，只作较旧参照。</w:t>
      </w:r>
    </w:p>
    <w:p>
      <w:pPr>
        <w:pStyle w:val="Normal"/>
        <w:rPr/>
      </w:pPr>
      <w:r>
        <w:rPr/>
        <w:t>机构公开目标分歧较大，但多数高于现价，不能由此直接推出收益概率。不同机构使用的盈利口径、估值年度、资本开支、技术许可价值和风险折扣不同；同机构保留最新可核验记录，重复转载不重复计票。本报告不把目标简单平均作为年底价格，也不按剩余月份线性折算</w:t>
      </w:r>
      <w:r>
        <w:rPr/>
        <w:t>12</w:t>
      </w:r>
      <w:r>
        <w:rPr/>
        <w:t>个月目标。新闻转述无法完整提供报告原件、准确期限和全部假设，这些字段明确标缺失。</w:t>
      </w:r>
    </w:p>
    <w:p>
      <w:pPr>
        <w:pStyle w:val="Heading2"/>
        <w:rPr/>
      </w:pPr>
      <w:r>
        <w:rPr>
          <w:color w:val="000000"/>
        </w:rPr>
        <w:t>十七 评分理由 敏感性与可复核结论</w:t>
      </w:r>
    </w:p>
    <w:p>
      <w:pPr>
        <w:pStyle w:val="Normal"/>
        <w:rPr/>
      </w:pPr>
      <w:r>
        <w:rPr/>
        <w:t>统一</w:t>
      </w:r>
      <w:r>
        <w:rPr/>
        <w:t>0</w:t>
      </w:r>
      <w:r>
        <w:rPr/>
        <w:t>至</w:t>
      </w:r>
      <w:r>
        <w:rPr/>
        <w:t>5</w:t>
      </w:r>
      <w:r>
        <w:rPr/>
        <w:t>分标尺下，低于</w:t>
      </w:r>
      <w:r>
        <w:rPr/>
        <w:t>2</w:t>
      </w:r>
      <w:r>
        <w:rPr/>
        <w:t>分表示重要证据不支持或风险很突出，</w:t>
      </w:r>
      <w:r>
        <w:rPr/>
        <w:t>3</w:t>
      </w:r>
      <w:r>
        <w:rPr/>
        <w:t>分表示逻辑与风险大体平衡，</w:t>
      </w:r>
      <w:r>
        <w:rPr/>
        <w:t>4</w:t>
      </w:r>
      <w:r>
        <w:rPr/>
        <w:t>分表示多项证据支持，</w:t>
      </w:r>
      <w:r>
        <w:rPr/>
        <w:t>5</w:t>
      </w:r>
      <w:r>
        <w:rPr/>
        <w:t>分要求在该期限内有很强且可核验的优势。半年估值</w:t>
      </w:r>
      <w:r>
        <w:rPr/>
        <w:t>2.8</w:t>
      </w:r>
      <w:r>
        <w:rPr/>
        <w:t>、技术</w:t>
      </w:r>
      <w:r>
        <w:rPr/>
        <w:t>3.7</w:t>
      </w:r>
      <w:r>
        <w:rPr/>
        <w:t>、经营</w:t>
      </w:r>
      <w:r>
        <w:rPr/>
        <w:t>4.4</w:t>
      </w:r>
      <w:r>
        <w:rPr/>
        <w:t>、周期</w:t>
      </w:r>
      <w:r>
        <w:rPr/>
        <w:t>4.7</w:t>
      </w:r>
      <w:r>
        <w:rPr/>
        <w:t>、催化</w:t>
      </w:r>
      <w:r>
        <w:rPr/>
        <w:t>4.0</w:t>
      </w:r>
      <w:r>
        <w:rPr/>
        <w:t>、财务风险</w:t>
      </w:r>
      <w:r>
        <w:rPr/>
        <w:t>3.2</w:t>
      </w:r>
      <w:r>
        <w:rPr/>
        <w:t>，按</w:t>
      </w:r>
      <w:r>
        <w:rPr/>
        <w:t>25%</w:t>
      </w:r>
      <w:r>
        <w:rPr/>
        <w:t>、</w:t>
      </w:r>
      <w:r>
        <w:rPr/>
        <w:t>30%</w:t>
      </w:r>
      <w:r>
        <w:rPr/>
        <w:t>、</w:t>
      </w:r>
      <w:r>
        <w:rPr/>
        <w:t>15%</w:t>
      </w:r>
      <w:r>
        <w:rPr/>
        <w:t>、</w:t>
      </w:r>
      <w:r>
        <w:rPr/>
        <w:t>10%</w:t>
      </w:r>
      <w:r>
        <w:rPr/>
        <w:t>、</w:t>
      </w:r>
      <w:r>
        <w:rPr/>
        <w:t>10%</w:t>
      </w:r>
      <w:r>
        <w:rPr/>
        <w:t>、</w:t>
      </w:r>
      <w:r>
        <w:rPr/>
        <w:t>10%</w:t>
      </w:r>
      <w:r>
        <w:rPr/>
        <w:t>得</w:t>
      </w:r>
      <w:r>
        <w:rPr/>
        <w:t>73.2</w:t>
      </w:r>
      <w:r>
        <w:rPr/>
        <w:t>。估值较低是基准空间有限，技术较高因趋势和超额，但成交量分歧与近前高限制评分。</w:t>
      </w:r>
    </w:p>
    <w:p>
      <w:pPr>
        <w:pStyle w:val="Normal"/>
        <w:rPr/>
      </w:pPr>
      <w:r>
        <w:rPr/>
        <w:t>一年估值</w:t>
      </w:r>
      <w:r>
        <w:rPr/>
        <w:t>3.6</w:t>
      </w:r>
      <w:r>
        <w:rPr/>
        <w:t>、技术</w:t>
      </w:r>
      <w:r>
        <w:rPr/>
        <w:t>3.7</w:t>
      </w:r>
      <w:r>
        <w:rPr/>
        <w:t>、经营</w:t>
      </w:r>
      <w:r>
        <w:rPr/>
        <w:t>4.4</w:t>
      </w:r>
      <w:r>
        <w:rPr/>
        <w:t>、周期</w:t>
      </w:r>
      <w:r>
        <w:rPr/>
        <w:t>4.7</w:t>
      </w:r>
      <w:r>
        <w:rPr/>
        <w:t>、催化</w:t>
      </w:r>
      <w:r>
        <w:rPr/>
        <w:t>4.3</w:t>
      </w:r>
      <w:r>
        <w:rPr/>
        <w:t>、风险</w:t>
      </w:r>
      <w:r>
        <w:rPr/>
        <w:t>3.2</w:t>
      </w:r>
      <w:r>
        <w:rPr/>
        <w:t>，以</w:t>
      </w:r>
      <w:r>
        <w:rPr/>
        <w:t>25%</w:t>
      </w:r>
      <w:r>
        <w:rPr/>
        <w:t>、</w:t>
      </w:r>
      <w:r>
        <w:rPr/>
        <w:t>15%</w:t>
      </w:r>
      <w:r>
        <w:rPr/>
        <w:t>、</w:t>
      </w:r>
      <w:r>
        <w:rPr/>
        <w:t>25%</w:t>
      </w:r>
      <w:r>
        <w:rPr/>
        <w:t>、</w:t>
      </w:r>
      <w:r>
        <w:rPr/>
        <w:t>15%</w:t>
      </w:r>
      <w:r>
        <w:rPr/>
        <w:t>、</w:t>
      </w:r>
      <w:r>
        <w:rPr/>
        <w:t>10%</w:t>
      </w:r>
      <w:r>
        <w:rPr/>
        <w:t>、</w:t>
      </w:r>
      <w:r>
        <w:rPr/>
        <w:t>10%</w:t>
      </w:r>
      <w:r>
        <w:rPr/>
        <w:t>得</w:t>
      </w:r>
      <w:r>
        <w:rPr/>
        <w:t>80.2</w:t>
      </w:r>
      <w:r>
        <w:rPr/>
        <w:t>。三年</w:t>
      </w:r>
      <w:r>
        <w:rPr/>
        <w:t>3.7</w:t>
      </w:r>
      <w:r>
        <w:rPr/>
        <w:t>、</w:t>
      </w:r>
      <w:r>
        <w:rPr/>
        <w:t>3.7</w:t>
      </w:r>
      <w:r>
        <w:rPr/>
        <w:t>、</w:t>
      </w:r>
      <w:r>
        <w:rPr/>
        <w:t>4.5</w:t>
      </w:r>
      <w:r>
        <w:rPr/>
        <w:t>、</w:t>
      </w:r>
      <w:r>
        <w:rPr/>
        <w:t>4.7</w:t>
      </w:r>
      <w:r>
        <w:rPr/>
        <w:t>、</w:t>
      </w:r>
      <w:r>
        <w:rPr/>
        <w:t>4.3</w:t>
      </w:r>
      <w:r>
        <w:rPr/>
        <w:t>、</w:t>
      </w:r>
      <w:r>
        <w:rPr/>
        <w:t>3.1</w:t>
      </w:r>
      <w:r>
        <w:rPr/>
        <w:t>，以</w:t>
      </w:r>
      <w:r>
        <w:rPr/>
        <w:t>25%</w:t>
      </w:r>
      <w:r>
        <w:rPr/>
        <w:t>、</w:t>
      </w:r>
      <w:r>
        <w:rPr/>
        <w:t>5%</w:t>
      </w:r>
      <w:r>
        <w:rPr/>
        <w:t>、</w:t>
      </w:r>
      <w:r>
        <w:rPr/>
        <w:t>35%</w:t>
      </w:r>
      <w:r>
        <w:rPr/>
        <w:t>、</w:t>
      </w:r>
      <w:r>
        <w:rPr/>
        <w:t>20%</w:t>
      </w:r>
      <w:r>
        <w:rPr/>
        <w:t>、</w:t>
      </w:r>
      <w:r>
        <w:rPr/>
        <w:t>5%</w:t>
      </w:r>
      <w:r>
        <w:rPr/>
        <w:t>、</w:t>
      </w:r>
      <w:r>
        <w:rPr/>
        <w:t>10%</w:t>
      </w:r>
      <w:r>
        <w:rPr/>
        <w:t>得</w:t>
      </w:r>
      <w:r>
        <w:rPr/>
        <w:t>83.0</w:t>
      </w:r>
      <w:r>
        <w:rPr/>
        <w:t>。五年</w:t>
      </w:r>
      <w:r>
        <w:rPr/>
        <w:t>3.7</w:t>
      </w:r>
      <w:r>
        <w:rPr/>
        <w:t>、技术权重零、经营</w:t>
      </w:r>
      <w:r>
        <w:rPr/>
        <w:t>4.4</w:t>
      </w:r>
      <w:r>
        <w:rPr/>
        <w:t>、周期</w:t>
      </w:r>
      <w:r>
        <w:rPr/>
        <w:t>4.6</w:t>
      </w:r>
      <w:r>
        <w:rPr/>
        <w:t>、催化</w:t>
      </w:r>
      <w:r>
        <w:rPr/>
        <w:t>4.0</w:t>
      </w:r>
      <w:r>
        <w:rPr/>
        <w:t>、风险</w:t>
      </w:r>
      <w:r>
        <w:rPr/>
        <w:t>2.9</w:t>
      </w:r>
      <w:r>
        <w:rPr/>
        <w:t>，以</w:t>
      </w:r>
      <w:r>
        <w:rPr/>
        <w:t>20%</w:t>
      </w:r>
      <w:r>
        <w:rPr/>
        <w:t>、</w:t>
      </w:r>
      <w:r>
        <w:rPr/>
        <w:t>0%</w:t>
      </w:r>
      <w:r>
        <w:rPr/>
        <w:t>、</w:t>
      </w:r>
      <w:r>
        <w:rPr/>
        <w:t>40%</w:t>
      </w:r>
      <w:r>
        <w:rPr/>
        <w:t>、</w:t>
      </w:r>
      <w:r>
        <w:rPr/>
        <w:t>20%</w:t>
      </w:r>
      <w:r>
        <w:rPr/>
        <w:t>、</w:t>
      </w:r>
      <w:r>
        <w:rPr/>
        <w:t>5%</w:t>
      </w:r>
      <w:r>
        <w:rPr/>
        <w:t>、</w:t>
      </w:r>
      <w:r>
        <w:rPr/>
        <w:t>15%</w:t>
      </w:r>
      <w:r>
        <w:rPr/>
        <w:t>得</w:t>
      </w:r>
      <w:r>
        <w:rPr/>
        <w:t>81.1</w:t>
      </w:r>
      <w:r>
        <w:rPr/>
        <w:t>。长线下行维度降低，反映更长政策、资本和技术迭代暴露。</w:t>
      </w:r>
    </w:p>
    <w:p>
      <w:pPr>
        <w:pStyle w:val="Normal"/>
        <w:rPr/>
      </w:pPr>
      <w:r>
        <w:rPr/>
        <w:t>基准一年目标</w:t>
      </w:r>
      <w:r>
        <w:rPr/>
        <w:t>110.33</w:t>
      </w:r>
      <w:r>
        <w:rPr/>
        <w:t>中，</w:t>
      </w:r>
      <w:r>
        <w:rPr/>
        <w:t>EPS</w:t>
      </w:r>
      <w:r>
        <w:rPr/>
        <w:t>上下</w:t>
      </w:r>
      <w:r>
        <w:rPr/>
        <w:t>20%</w:t>
      </w:r>
      <w:r>
        <w:rPr/>
        <w:t>会直接令目标变为约</w:t>
      </w:r>
      <w:r>
        <w:rPr/>
        <w:t>88.26</w:t>
      </w:r>
      <w:r>
        <w:rPr/>
        <w:t>和</w:t>
      </w:r>
      <w:r>
        <w:rPr/>
        <w:t>132.40</w:t>
      </w:r>
      <w:r>
        <w:rPr/>
        <w:t>；</w:t>
      </w:r>
      <w:r>
        <w:rPr/>
        <w:t>34</w:t>
      </w:r>
      <w:r>
        <w:rPr/>
        <w:t>倍</w:t>
      </w:r>
      <w:r>
        <w:rPr/>
        <w:t>PE</w:t>
      </w:r>
      <w:r>
        <w:rPr/>
        <w:t>变为</w:t>
      </w:r>
      <w:r>
        <w:rPr/>
        <w:t>28</w:t>
      </w:r>
      <w:r>
        <w:rPr/>
        <w:t>与</w:t>
      </w:r>
      <w:r>
        <w:rPr/>
        <w:t>40</w:t>
      </w:r>
      <w:r>
        <w:rPr/>
        <w:t>倍，对应</w:t>
      </w:r>
      <w:r>
        <w:rPr/>
        <w:t>90.86</w:t>
      </w:r>
      <w:r>
        <w:rPr/>
        <w:t>和</w:t>
      </w:r>
      <w:r>
        <w:rPr/>
        <w:t>129.80</w:t>
      </w:r>
      <w:r>
        <w:rPr/>
        <w:t>港元。两者同时弱化，价格下降比单个变量更大。基准半年</w:t>
      </w:r>
      <w:r>
        <w:rPr/>
        <w:t>EPS2.20</w:t>
      </w:r>
      <w:r>
        <w:rPr/>
        <w:t>、</w:t>
      </w:r>
      <w:r>
        <w:rPr/>
        <w:t>PE37</w:t>
      </w:r>
      <w:r>
        <w:rPr/>
        <w:t>倍所隐含价格</w:t>
      </w:r>
      <w:r>
        <w:rPr/>
        <w:t>89.54</w:t>
      </w:r>
      <w:r>
        <w:rPr/>
        <w:t>，若</w:t>
      </w:r>
      <w:r>
        <w:rPr/>
        <w:t>PE</w:t>
      </w:r>
      <w:r>
        <w:rPr/>
        <w:t>仅</w:t>
      </w:r>
      <w:r>
        <w:rPr/>
        <w:t>34</w:t>
      </w:r>
      <w:r>
        <w:rPr/>
        <w:t>倍就回到</w:t>
      </w:r>
      <w:r>
        <w:rPr/>
        <w:t>82.28</w:t>
      </w:r>
      <w:r>
        <w:rPr/>
        <w:t>，几乎等于现价。短期推荐因此对估值风险偏好很敏感，长期则更多对收入增长、利润率和摊薄股数敏感。</w:t>
      </w:r>
    </w:p>
    <w:p>
      <w:pPr>
        <w:pStyle w:val="Normal"/>
        <w:rPr/>
      </w:pPr>
      <w:r>
        <w:rPr/>
        <w:t>每人民币港币假设从</w:t>
      </w:r>
      <w:r>
        <w:rPr/>
        <w:t>1.10</w:t>
      </w:r>
      <w:r>
        <w:rPr/>
        <w:t>变为</w:t>
      </w:r>
      <w:r>
        <w:rPr/>
        <w:t>1.05</w:t>
      </w:r>
      <w:r>
        <w:rPr/>
        <w:t>或</w:t>
      </w:r>
      <w:r>
        <w:rPr/>
        <w:t>1.15</w:t>
      </w:r>
      <w:r>
        <w:rPr/>
        <w:t>，所有其他人民币模型输入不变时，港币目标分别下降</w:t>
      </w:r>
      <w:r>
        <w:rPr/>
        <w:t>4.55%</w:t>
      </w:r>
      <w:r>
        <w:rPr/>
        <w:t>或提高</w:t>
      </w:r>
      <w:r>
        <w:rPr/>
        <w:t>4.55%</w:t>
      </w:r>
      <w:r>
        <w:rPr/>
        <w:t>；这只是模型换算敏感性。人民币投资者的实际总回报还需用港币兑换人民币的持有期变化计算，例如港币相对人民币升</w:t>
      </w:r>
      <w:r>
        <w:rPr/>
        <w:t>5%</w:t>
      </w:r>
      <w:r>
        <w:rPr/>
        <w:t>，本币</w:t>
      </w:r>
      <w:r>
        <w:rPr/>
        <w:t>34.38%</w:t>
      </w:r>
      <w:r>
        <w:rPr/>
        <w:t>股价回报合成约</w:t>
      </w:r>
      <w:r>
        <w:rPr/>
        <w:t>41.10%</w:t>
      </w:r>
      <w:r>
        <w:rPr/>
        <w:t>；港币贬</w:t>
      </w:r>
      <w:r>
        <w:rPr/>
        <w:t>5%</w:t>
      </w:r>
      <w:r>
        <w:rPr/>
        <w:t>则约</w:t>
      </w:r>
      <w:r>
        <w:rPr/>
        <w:t>27.67%</w:t>
      </w:r>
      <w:r>
        <w:rPr/>
        <w:t>。企业美元收入汇兑已影响利润，与投资者港币持仓换算是两个不同层次，不能机械重复加同一变动。</w:t>
      </w:r>
    </w:p>
    <w:p>
      <w:pPr>
        <w:pStyle w:val="Normal"/>
        <w:rPr/>
      </w:pPr>
      <w:r>
        <w:rPr/>
        <w:t>最终判断是，一年至五年药明合联具备值得优先研究的增长与经营证据，半年更适合等待价格和新信息改善回报损失比例。核心优势来自已有工作流、后期项目、全球质量与一体化技术能力；主要限制来自较高预期、重资产扩产、外汇和国际政策。当前模型未完成逐厂</w:t>
      </w:r>
      <w:r>
        <w:rPr/>
        <w:t>DCF</w:t>
      </w:r>
      <w:r>
        <w:rPr/>
        <w:t>与客户项目级收入确认，不应宣称已通过所有估值交叉验证。独立深研保存了可核验事实、明确情景和失败条件，为后续更新提供基础，而非替代新资料核验。</w:t>
      </w:r>
    </w:p>
    <w:p>
      <w:pPr>
        <w:pStyle w:val="Heading2"/>
        <w:rPr/>
      </w:pPr>
      <w:r>
        <w:rPr>
          <w:color w:val="000000"/>
        </w:rPr>
        <w:t>来源与复核记录</w:t>
      </w:r>
    </w:p>
    <w:p>
      <w:pPr>
        <w:pStyle w:val="Normal"/>
        <w:rPr/>
      </w:pPr>
      <w:r>
        <w:rPr/>
        <w:t xml:space="preserve">- </w:t>
      </w:r>
      <w:r>
        <w:rPr/>
        <w:t>原中期报告，</w:t>
      </w:r>
      <w:r>
        <w:rPr/>
        <w:t>2026</w:t>
      </w:r>
      <w:r>
        <w:rPr/>
        <w:t>年</w:t>
      </w:r>
      <w:r>
        <w:rPr/>
        <w:t>9</w:t>
      </w:r>
      <w:r>
        <w:rPr/>
        <w:t>月</w:t>
      </w:r>
      <w:r>
        <w:rPr/>
        <w:t>18</w:t>
      </w:r>
      <w:r>
        <w:rPr/>
        <w:t>日：</w:t>
      </w:r>
      <w:r>
        <w:rPr/>
        <w:t>[2026</w:t>
      </w:r>
      <w:r>
        <w:rPr/>
        <w:t>中期报告</w:t>
      </w:r>
      <w:r>
        <w:rPr/>
        <w:t>](https://iis.aastocks.com/20260918/12337729-0.PDF)</w:t>
      </w:r>
      <w:r>
        <w:rPr/>
        <w:t>，重点原报告页</w:t>
      </w:r>
      <w:r>
        <w:rPr/>
        <w:t>4—10</w:t>
      </w:r>
      <w:r>
        <w:rPr/>
        <w:t>、</w:t>
      </w:r>
      <w:r>
        <w:rPr/>
        <w:t>13—19</w:t>
      </w:r>
      <w:r>
        <w:rPr/>
        <w:t>、</w:t>
      </w:r>
      <w:r>
        <w:rPr/>
        <w:t>23—36</w:t>
      </w:r>
      <w:r>
        <w:rPr/>
        <w:t>、</w:t>
      </w:r>
      <w:r>
        <w:rPr/>
        <w:t>63—69</w:t>
      </w:r>
      <w:r>
        <w:rPr/>
        <w:t>、</w:t>
      </w:r>
      <w:r>
        <w:rPr/>
        <w:t>75—89</w:t>
      </w:r>
      <w:r>
        <w:rPr/>
        <w:t>、</w:t>
      </w:r>
      <w:r>
        <w:rPr/>
        <w:t>96</w:t>
      </w:r>
      <w:r>
        <w:rPr/>
        <w:t>；本地</w:t>
      </w:r>
      <w:r>
        <w:rPr/>
        <w:t>PDFium</w:t>
      </w:r>
      <w:r>
        <w:rPr/>
        <w:t>页码多一页，逐项保存。</w:t>
      </w:r>
    </w:p>
    <w:p>
      <w:pPr>
        <w:pStyle w:val="Normal"/>
        <w:rPr/>
      </w:pPr>
      <w:r>
        <w:rPr/>
        <w:t xml:space="preserve">- </w:t>
      </w:r>
      <w:r>
        <w:rPr/>
        <w:t>原中期业绩公告，</w:t>
      </w:r>
      <w:r>
        <w:rPr/>
        <w:t>2026</w:t>
      </w:r>
      <w:r>
        <w:rPr/>
        <w:t>年</w:t>
      </w:r>
      <w:r>
        <w:rPr/>
        <w:t>8</w:t>
      </w:r>
      <w:r>
        <w:rPr/>
        <w:t>月</w:t>
      </w:r>
      <w:r>
        <w:rPr/>
        <w:t>24</w:t>
      </w:r>
      <w:r>
        <w:rPr/>
        <w:t>日：</w:t>
      </w:r>
      <w:r>
        <w:rPr/>
        <w:t>[</w:t>
      </w:r>
      <w:r>
        <w:rPr/>
        <w:t>中期业绩公告</w:t>
      </w:r>
      <w:r>
        <w:rPr/>
        <w:t>](https://iis.aastocks.com/20260824/12296654-0.PDF)</w:t>
      </w:r>
      <w:r>
        <w:rPr/>
        <w:t>。</w:t>
      </w:r>
    </w:p>
    <w:p>
      <w:pPr>
        <w:pStyle w:val="Normal"/>
        <w:rPr/>
      </w:pPr>
      <w:r>
        <w:rPr/>
        <w:t xml:space="preserve">- </w:t>
      </w:r>
      <w:r>
        <w:rPr/>
        <w:t>原年度报告，</w:t>
      </w:r>
      <w:r>
        <w:rPr/>
        <w:t>2026</w:t>
      </w:r>
      <w:r>
        <w:rPr/>
        <w:t>年</w:t>
      </w:r>
      <w:r>
        <w:rPr/>
        <w:t>4</w:t>
      </w:r>
      <w:r>
        <w:rPr/>
        <w:t>月</w:t>
      </w:r>
      <w:r>
        <w:rPr/>
        <w:t>24</w:t>
      </w:r>
      <w:r>
        <w:rPr/>
        <w:t>日</w:t>
      </w:r>
      <w:r>
        <w:rPr/>
        <w:t>16:39</w:t>
      </w:r>
      <w:r>
        <w:rPr/>
        <w:t>公开：</w:t>
      </w:r>
      <w:r>
        <w:rPr/>
        <w:t>[2025</w:t>
      </w:r>
      <w:r>
        <w:rPr/>
        <w:t>年度报告</w:t>
      </w:r>
      <w:r>
        <w:rPr/>
        <w:t>](https://iis.aastocks.com/20260424/12120725-0.PDF)</w:t>
      </w:r>
      <w:r>
        <w:rPr/>
        <w:t>，</w:t>
      </w:r>
      <w:r>
        <w:rPr/>
        <w:t>2025</w:t>
      </w:r>
      <w:r>
        <w:rPr/>
        <w:t>及五年摘要、经调整利润重列、现金流；收盘后发布信息注明，但早于研究截止日。</w:t>
      </w:r>
    </w:p>
    <w:p>
      <w:pPr>
        <w:pStyle w:val="Normal"/>
        <w:rPr/>
      </w:pPr>
      <w:r>
        <w:rPr/>
        <w:t xml:space="preserve">- </w:t>
      </w:r>
      <w:r>
        <w:rPr/>
        <w:t>高盛</w:t>
      </w:r>
      <w:r>
        <w:rPr/>
        <w:t>2026</w:t>
      </w:r>
      <w:r>
        <w:rPr/>
        <w:t>年</w:t>
      </w:r>
      <w:r>
        <w:rPr/>
        <w:t>9</w:t>
      </w:r>
      <w:r>
        <w:rPr/>
        <w:t>月</w:t>
      </w:r>
      <w:r>
        <w:rPr/>
        <w:t>25</w:t>
      </w:r>
      <w:r>
        <w:rPr/>
        <w:t>日：</w:t>
      </w:r>
      <w:r>
        <w:rPr/>
        <w:t>[</w:t>
      </w:r>
      <w:r>
        <w:rPr/>
        <w:t>公开新闻转述</w:t>
      </w:r>
      <w:r>
        <w:rPr/>
        <w:t>](https://www.aastocks.com/tc/stocks/analysis/stock-aafn-con/02268/AAFN/NOW.1546461/research-report)</w:t>
      </w:r>
      <w:r>
        <w:rPr/>
        <w:t>。</w:t>
      </w:r>
    </w:p>
    <w:p>
      <w:pPr>
        <w:pStyle w:val="Normal"/>
        <w:rPr/>
      </w:pPr>
      <w:r>
        <w:rPr/>
        <w:t xml:space="preserve">- </w:t>
      </w:r>
      <w:r>
        <w:rPr/>
        <w:t>摩根士丹利</w:t>
      </w:r>
      <w:r>
        <w:rPr/>
        <w:t>2026</w:t>
      </w:r>
      <w:r>
        <w:rPr/>
        <w:t>年</w:t>
      </w:r>
      <w:r>
        <w:rPr/>
        <w:t>9</w:t>
      </w:r>
      <w:r>
        <w:rPr/>
        <w:t>月</w:t>
      </w:r>
      <w:r>
        <w:rPr/>
        <w:t>18</w:t>
      </w:r>
      <w:r>
        <w:rPr/>
        <w:t>日：</w:t>
      </w:r>
      <w:r>
        <w:rPr/>
        <w:t>[</w:t>
      </w:r>
      <w:r>
        <w:rPr/>
        <w:t>公开新闻转述</w:t>
      </w:r>
      <w:r>
        <w:rPr/>
        <w:t>](https://www.aastocks.com/tc/stocks/analysis/stock-aafn-con/02268/AAFN/NOW.1545304/research-report)</w:t>
      </w:r>
      <w:r>
        <w:rPr/>
        <w:t>。</w:t>
      </w:r>
    </w:p>
    <w:p>
      <w:pPr>
        <w:pStyle w:val="Normal"/>
        <w:rPr/>
      </w:pPr>
      <w:r>
        <w:rPr/>
        <w:t xml:space="preserve">- </w:t>
      </w:r>
      <w:r>
        <w:rPr/>
        <w:t>花旗</w:t>
      </w:r>
      <w:r>
        <w:rPr/>
        <w:t>2026</w:t>
      </w:r>
      <w:r>
        <w:rPr/>
        <w:t>年</w:t>
      </w:r>
      <w:r>
        <w:rPr/>
        <w:t>8</w:t>
      </w:r>
      <w:r>
        <w:rPr/>
        <w:t>月</w:t>
      </w:r>
      <w:r>
        <w:rPr/>
        <w:t>26</w:t>
      </w:r>
      <w:r>
        <w:rPr/>
        <w:t>日：</w:t>
      </w:r>
      <w:r>
        <w:rPr/>
        <w:t>[</w:t>
      </w:r>
      <w:r>
        <w:rPr/>
        <w:t>公开新闻转述</w:t>
      </w:r>
      <w:r>
        <w:rPr/>
        <w:t>](https://www.aastocks.com/tc/stocks/analysis/stock-aafn-con/02268/AAFN/NOW.1540912/research-report)</w:t>
      </w:r>
      <w:r>
        <w:rPr/>
        <w:t>。</w:t>
      </w:r>
    </w:p>
    <w:p>
      <w:pPr>
        <w:pStyle w:val="Normal"/>
        <w:rPr/>
      </w:pPr>
      <w:r>
        <w:rPr/>
        <w:t xml:space="preserve">- </w:t>
      </w:r>
      <w:r>
        <w:rPr/>
        <w:t>瑞银与野村</w:t>
      </w:r>
      <w:r>
        <w:rPr/>
        <w:t>2026</w:t>
      </w:r>
      <w:r>
        <w:rPr/>
        <w:t>年</w:t>
      </w:r>
      <w:r>
        <w:rPr/>
        <w:t>8</w:t>
      </w:r>
      <w:r>
        <w:rPr/>
        <w:t>月</w:t>
      </w:r>
      <w:r>
        <w:rPr/>
        <w:t>25</w:t>
      </w:r>
      <w:r>
        <w:rPr/>
        <w:t>日：</w:t>
      </w:r>
      <w:r>
        <w:rPr/>
        <w:t>[</w:t>
      </w:r>
      <w:r>
        <w:rPr/>
        <w:t>同篇新闻分别记录</w:t>
      </w:r>
      <w:r>
        <w:rPr/>
        <w:t>](https://www.aastocks.com/tc/stocks/analysis/stock-aafn-con/02268/AAFN/NOW.1540527/research-report)</w:t>
      </w:r>
      <w:r>
        <w:rPr/>
        <w:t>。</w:t>
      </w:r>
    </w:p>
    <w:p>
      <w:pPr>
        <w:pStyle w:val="Normal"/>
        <w:rPr/>
      </w:pPr>
      <w:r>
        <w:rPr/>
        <w:t xml:space="preserve">- </w:t>
      </w:r>
      <w:r>
        <w:rPr/>
        <w:t>里昂</w:t>
      </w:r>
      <w:r>
        <w:rPr/>
        <w:t>2026</w:t>
      </w:r>
      <w:r>
        <w:rPr/>
        <w:t>年</w:t>
      </w:r>
      <w:r>
        <w:rPr/>
        <w:t>8</w:t>
      </w:r>
      <w:r>
        <w:rPr/>
        <w:t>月</w:t>
      </w:r>
      <w:r>
        <w:rPr/>
        <w:t>26</w:t>
      </w:r>
      <w:r>
        <w:rPr/>
        <w:t>日：</w:t>
      </w:r>
      <w:r>
        <w:rPr/>
        <w:t>[</w:t>
      </w:r>
      <w:r>
        <w:rPr/>
        <w:t>公开新闻转述</w:t>
      </w:r>
      <w:r>
        <w:rPr/>
        <w:t>](https://www.aastocks.com/tc/stocks/analysis/stock-aafn-con/02268/AAFN/NOW.1540863/research-report)</w:t>
      </w:r>
      <w:r>
        <w:rPr/>
        <w:t>；大和</w:t>
      </w:r>
      <w:r>
        <w:rPr/>
        <w:t>2026</w:t>
      </w:r>
      <w:r>
        <w:rPr/>
        <w:t>年</w:t>
      </w:r>
      <w:r>
        <w:rPr/>
        <w:t>7</w:t>
      </w:r>
      <w:r>
        <w:rPr/>
        <w:t>月</w:t>
      </w:r>
      <w:r>
        <w:rPr/>
        <w:t>8</w:t>
      </w:r>
      <w:r>
        <w:rPr/>
        <w:t>日：</w:t>
      </w:r>
      <w:r>
        <w:rPr/>
        <w:t>[</w:t>
      </w:r>
      <w:r>
        <w:rPr/>
        <w:t>较旧新闻转述</w:t>
      </w:r>
      <w:r>
        <w:rPr/>
        <w:t>](https://www.aastocks.com/tc/stocks/analysis/stock-aafn-con/02268/AAFN/NOW.1532228/research-report)</w:t>
      </w:r>
      <w:r>
        <w:rPr/>
        <w:t>。</w:t>
      </w:r>
    </w:p>
    <w:p>
      <w:pPr>
        <w:pStyle w:val="Normal"/>
        <w:rPr/>
      </w:pPr>
      <w:r>
        <w:rPr/>
        <w:t xml:space="preserve">- </w:t>
      </w:r>
      <w:r>
        <w:rPr/>
        <w:t>行情与量价证据保存于</w:t>
      </w:r>
      <w:r>
        <w:rPr/>
        <w:t>data/market_snapshot.json</w:t>
      </w:r>
      <w:r>
        <w:rPr/>
        <w:t>之</w:t>
      </w:r>
      <w:r>
        <w:rPr/>
        <w:t>S056</w:t>
      </w:r>
      <w:r>
        <w:rPr/>
        <w:t>，完整历史与五根修复记录</w:t>
      </w:r>
      <w:r>
        <w:rPr/>
        <w:t>data/history/S056.json</w:t>
      </w:r>
      <w:r>
        <w:rPr/>
        <w:t>；活动模型</w:t>
      </w:r>
      <w:r>
        <w:rPr/>
        <w:t>data/wuxi_xdc_model.json</w:t>
      </w:r>
      <w:r>
        <w:rPr/>
        <w:t>，字数与精确重复检查</w:t>
      </w:r>
      <w:r>
        <w:rPr/>
        <w:t>data/I049_deep_qa.json</w:t>
      </w:r>
      <w:r>
        <w:rPr/>
        <w:t>。正文有效汉字、数值一致性和最终文档版式分别核验。</w:t>
      </w:r>
      <w:r>
        <w:br w:type="page"/>
      </w:r>
    </w:p>
    <w:p>
      <w:pPr>
        <w:pStyle w:val="Heading1"/>
        <w:rPr/>
      </w:pPr>
      <w:bookmarkStart w:id="3" w:name="__RefHeading___Toc10706_312338234"/>
      <w:bookmarkEnd w:id="3"/>
      <w:r>
        <w:rPr>
          <w:color w:val="000000"/>
        </w:rPr>
        <w:t xml:space="preserve">信达生物 </w:t>
      </w:r>
      <w:r>
        <w:rPr>
          <w:color w:val="000000"/>
        </w:rPr>
        <w:t>01801 HK</w:t>
      </w:r>
    </w:p>
    <w:p>
      <w:pPr>
        <w:pStyle w:val="Normal"/>
        <w:rPr/>
      </w:pPr>
      <w:r>
        <w:rPr/>
        <w:t xml:space="preserve">01801.HK </w:t>
      </w:r>
      <w:r>
        <w:rPr/>
        <w:t xml:space="preserve">现价 </w:t>
      </w:r>
      <w:r>
        <w:rPr/>
        <w:t>92.65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112.20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139.81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+50.90%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169.40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+82.84%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+82.84%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206.25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+122.61%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+122.61%</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-48.71%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102.30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166.87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+80.11%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104.75HKD</w:t>
      </w:r>
      <w:r>
        <w:rPr/>
        <w:t>，期望股价回报</w:t>
      </w:r>
      <w:r>
        <w:rPr/>
        <w:t>+13.06%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47.52</w:t>
              <w:br/>
              <w:t>-48.71%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112.20</w:t>
              <w:br/>
              <w:t>+21.10%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180.40</w:t>
              <w:br/>
              <w:t>+94.71%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55.66</w:t>
              <w:br/>
              <w:t>-39.92%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139.81</w:t>
              <w:br/>
              <w:t>+50.90%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225.72</w:t>
              <w:br/>
              <w:t>+143.63%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59.40</w:t>
              <w:br/>
              <w:t>-35.89%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169.40</w:t>
              <w:br/>
              <w:t>+82.84%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311.85</w:t>
              <w:br/>
              <w:t>+236.59%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+22.28%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63.36</w:t>
              <w:br/>
              <w:t>-31.61%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206.25</w:t>
              <w:br/>
              <w:t>+122.61%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422.40</w:t>
              <w:br/>
              <w:t>+355.91%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+17.36%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+27.16%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+50.90%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+58.45%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+91.98%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+111.48%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+122.61%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+133.74%</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92.65</w:t>
      </w:r>
      <w:r>
        <w:rPr/>
        <w:t>港元；资料截止同日。财务主证据为</w:t>
      </w:r>
      <w:r>
        <w:rPr/>
        <w:t>8</w:t>
      </w:r>
      <w:r>
        <w:rPr/>
        <w:t>月</w:t>
      </w:r>
      <w:r>
        <w:rPr/>
        <w:t>25</w:t>
      </w:r>
      <w:r>
        <w:rPr/>
        <w:t>日中期业绩公告及</w:t>
      </w:r>
      <w:r>
        <w:rPr/>
        <w:t>9</w:t>
      </w:r>
      <w:r>
        <w:rPr/>
        <w:t>月</w:t>
      </w:r>
      <w:r>
        <w:rPr/>
        <w:t>29</w:t>
      </w:r>
      <w:r>
        <w:rPr/>
        <w:t>日中期报告。模型版本</w:t>
      </w:r>
      <w:r>
        <w:rPr/>
        <w:t>innovent-v1</w:t>
      </w:r>
      <w:r>
        <w:rPr/>
        <w:t>；证据可信度中等。半年</w:t>
      </w:r>
      <w:r>
        <w:rPr/>
        <w:t>70.8</w:t>
      </w:r>
      <w:r>
        <w:rPr/>
        <w:t>分、一年</w:t>
      </w:r>
      <w:r>
        <w:rPr/>
        <w:t>79.6</w:t>
      </w:r>
      <w:r>
        <w:rPr/>
        <w:t>分、三年</w:t>
      </w:r>
      <w:r>
        <w:rPr/>
        <w:t>84.4</w:t>
      </w:r>
      <w:r>
        <w:rPr/>
        <w:t>分、五年</w:t>
      </w:r>
      <w:r>
        <w:rPr/>
        <w:t>81.6</w:t>
      </w:r>
      <w:r>
        <w:rPr/>
        <w:t>分，全名单名次及梯队由统一总表集成。公司经营成长优于技术入场信号，三年逻辑最强，但全球临床成功和国内净利率改善仍需要证明。</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基准价格回报</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102.30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166.87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47.52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112.20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180.40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55.66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139.81</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225.72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50.90%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169.40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311.85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82.84%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82.84%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63.36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206.25</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422.40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122.61%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122.61%</w:t>
            </w:r>
          </w:p>
        </w:tc>
      </w:tr>
    </w:tbl>
    <w:p>
      <w:pPr>
        <w:pStyle w:val="Normal"/>
        <w:rPr/>
      </w:pPr>
      <w:r>
        <w:rPr/>
      </w:r>
    </w:p>
    <w:p>
      <w:pPr>
        <w:pStyle w:val="Normal"/>
        <w:rPr/>
      </w:pPr>
      <w:r>
        <w:rPr/>
        <w:t>各情景累计分红暂设零；三年基准年化</w:t>
      </w:r>
      <w:r>
        <w:rPr/>
        <w:t>22.28%</w:t>
      </w:r>
      <w:r>
        <w:rPr/>
        <w:t>，五年基准</w:t>
      </w:r>
      <w:r>
        <w:rPr/>
        <w:t>17.36%</w:t>
      </w:r>
      <w:r>
        <w:rPr/>
        <w:t>。年底默认</w:t>
      </w:r>
      <w:r>
        <w:rPr/>
        <w:t>25/50/25</w:t>
      </w:r>
      <w:r>
        <w:rPr/>
        <w:t>权重下期望</w:t>
      </w:r>
      <w:r>
        <w:rPr/>
        <w:t>104.7475</w:t>
      </w:r>
      <w:r>
        <w:rPr/>
        <w:t>港元、期望价格回报</w:t>
      </w:r>
      <w:r>
        <w:rPr/>
        <w:t>13.06%</w:t>
      </w:r>
      <w:r>
        <w:rPr/>
        <w:t>。模型是独立核心盈利和合理</w:t>
      </w:r>
      <w:r>
        <w:rPr/>
        <w:t>PE</w:t>
      </w:r>
      <w:r>
        <w:rPr/>
        <w:t>情景估值，逐适应症</w:t>
      </w:r>
      <w:r>
        <w:rPr/>
        <w:t>rNPV</w:t>
      </w:r>
      <w:r>
        <w:rPr/>
        <w:t>及完整</w:t>
      </w:r>
      <w:r>
        <w:rPr/>
        <w:t>DCF</w:t>
      </w:r>
      <w:r>
        <w:rPr/>
        <w:t>尚未完成，不能将本章预测称为机构一致预期。主要风险是医保与减重竞品价格、临床失利、全球研发成本及股份稀释；推荐成立须产品销售、经营现金和核心利润持续兑现。</w:t>
      </w:r>
    </w:p>
    <w:p>
      <w:pPr>
        <w:pStyle w:val="Heading2"/>
        <w:rPr/>
      </w:pPr>
      <w:r>
        <w:rPr>
          <w:color w:val="000000"/>
        </w:rPr>
        <w:t>一 判断起点 商业化平台已经形成 但新药价值尚未全部兑现</w:t>
      </w:r>
    </w:p>
    <w:p>
      <w:pPr>
        <w:pStyle w:val="Normal"/>
        <w:rPr/>
      </w:pPr>
      <w:r>
        <w:rPr/>
        <w:t>信达的吸引力来自两种增长机制同时存在。第一种是已经在中国销售的药品逐渐扩大患者覆盖，收入和销售效率可以在季度及半年报告中验证；第二种是公司自研资产走向国际临床、授权和共同商业化，未来可能产生国内市场以外的现金流。第一种机制给估值提供经营锚，第二种提高上行弹性，也增加临床及资本投入风险。进取型研究应把二者分开，再检验能否相互支持。</w:t>
      </w:r>
    </w:p>
    <w:p>
      <w:pPr>
        <w:pStyle w:val="Normal"/>
        <w:rPr/>
      </w:pPr>
      <w:r>
        <w:rPr/>
        <w:t>二〇二六年上半年总收入八十六点一七八亿元，产品收入八十二点〇一五亿元，产品同比增长百分之五十六点七，高于总收入百分之四十四点八的增幅。同期授权收入较去年减少而产品收入强增长，说明本期收入改善不能简单归结为大额授权款集中确认。法定净利润十二点五三一亿元和调整净利润十七点〇三九亿元均增长，但它们仍包括银行利息、投资公允变动及税项变化，不能直接等同于药品经营净利润。</w:t>
      </w:r>
    </w:p>
    <w:p>
      <w:pPr>
        <w:pStyle w:val="Normal"/>
        <w:rPr/>
      </w:pPr>
      <w:r>
        <w:rPr/>
        <w:t>公司报告时点已有二十款上市产品、十三款进入国家医保目录，覆盖肿瘤、代谢心血管、自免和眼科。上市产品数并不是独立利润来源数量，因为部分为共同开发或引进，公司需要向伙伴支付特许权费、销售里程碑或利润分成。产品增加有利于复用销售体系，却不能保证每个品种都有高回报。研究必须从适应症、患者路径、支付条件和权利范围判断每款产品的经济价值。</w:t>
      </w:r>
    </w:p>
    <w:p>
      <w:pPr>
        <w:pStyle w:val="Normal"/>
        <w:rPr/>
      </w:pPr>
      <w:r>
        <w:rPr/>
        <w:t>现价九十二点六五港元比五十二周高点下降约百分之十七点八，近六十日也略跌。这个价格比上半年乐观消息出现后高位更有余量，但日线尚未恢复强势。较高的一年和三年评分并不表示短期确定反转，而是业务证据与价格相比存在研究价值。若临床、商业化或费用数据不能支持预测，当前看似回落后的估值仍可能昂贵。</w:t>
      </w:r>
    </w:p>
    <w:p>
      <w:pPr>
        <w:pStyle w:val="Heading2"/>
        <w:rPr/>
      </w:pPr>
      <w:r>
        <w:rPr>
          <w:color w:val="000000"/>
        </w:rPr>
        <w:t>二 商业模式及产品权利决定股东能够获得多少收益</w:t>
      </w:r>
    </w:p>
    <w:p>
      <w:pPr>
        <w:pStyle w:val="Normal"/>
        <w:rPr/>
      </w:pPr>
      <w:r>
        <w:rPr/>
        <w:t>信达已形成研发、临床、生产和商业化的一体化生物制药平台。自研药可以保留较多经济利益，引进药和共同开发药使组合更丰富，但需要与外部伙伴共享回报。它不是只出售研究服务的合同研发公司，也不是全部产品都拥有全球独家权利的单一创新药公司。公司价值应按产品权利及地区权益理解，否则会把国际销售额全部误当作信达收入。</w:t>
      </w:r>
    </w:p>
    <w:p>
      <w:pPr>
        <w:pStyle w:val="Normal"/>
        <w:rPr/>
      </w:pPr>
      <w:r>
        <w:rPr/>
        <w:t>商业化能力的核心是进入适当科室、识别有治疗需求的患者、支持药品供应并在合规框架下提供学术教育。既有肿瘤销售网络可以为新肿瘤药节省初始投入，慢病产品则需要覆盖更多门诊及长期随访。一个产品上市后收入从低基数快速增长不难，困难在于医生持续使用、患者支付和依从性支持，以及增长时不把销售费率维持在过高水平。</w:t>
      </w:r>
    </w:p>
    <w:p>
      <w:pPr>
        <w:pStyle w:val="Normal"/>
        <w:rPr/>
      </w:pPr>
      <w:r>
        <w:rPr/>
        <w:t>中报特许权使用及相关付款八点〇五八亿元，相当于产品收入约百分之九点八。它包含多项共同研发及引进产品的特许权、里程碑、分成和其他第三方款项。销售成本之外还有这项支出，所以八十五个百分点的合并毛利率不能直接解释为每一元产品收入留下八十五分可以支付研发或给股东。比较公司之间利润率时，必须看相关费用列在毛利之前还是之后。</w:t>
      </w:r>
    </w:p>
    <w:p>
      <w:pPr>
        <w:pStyle w:val="Normal"/>
        <w:rPr/>
      </w:pPr>
      <w:r>
        <w:rPr/>
        <w:t>公司同时为全球伙伴提供开发和研究，收取首付款及后续服务收入。首付款可以增强资金安全，但如果附带履约义务，就会先记录合同负债，之后随工作完成转收入。股东获得的是附条件的现金与执行责任，不能把现金流入、当期利润、未来全球药品利润三次加入估值。分析产品权利时也要区分独家授权、选择权、共同开发和共同商业化，它们承担成本与分享收益的方式不同。</w:t>
      </w:r>
    </w:p>
    <w:p>
      <w:pPr>
        <w:pStyle w:val="Heading2"/>
        <w:rPr/>
      </w:pPr>
      <w:r>
        <w:rPr>
          <w:color w:val="000000"/>
        </w:rPr>
        <w:t>三 肿瘤业务的现实基础与医保放量</w:t>
      </w:r>
    </w:p>
    <w:p>
      <w:pPr>
        <w:pStyle w:val="Normal"/>
        <w:rPr/>
      </w:pPr>
      <w:r>
        <w:rPr/>
        <w:t>达伯舒信迪利单抗仍是重要肿瘤产品，已增加到十项获批适应症；最新肾细胞癌适应症是与呋喹替尼联用。适应症扩张有助于复用医生与医院渠道，但不同癌种有不同竞争者、治疗线别、疗程和支付限制。不能把每个新增适应症都当作同等大小的市场，也不能将全球免疫肿瘤市场总额直接转换为国内销售预测。</w:t>
      </w:r>
    </w:p>
    <w:p>
      <w:pPr>
        <w:pStyle w:val="Normal"/>
        <w:rPr/>
      </w:pPr>
      <w:r>
        <w:rPr/>
        <w:t>二〇二六年生效的新医保目录纳入多款小分子药，包括利厄替尼、氟泽雷塞、他雷替尼、塞普替尼和匹妥布替尼。对于基因突变限定人群，医保覆盖可以明显降低患者负担，帮助提高检测和治疗渗透率；但真实销量还取决于医院准入、检测率、医生选择以及患者在合适线别接受治疗的比例。医保谈判降价与覆盖扩张同时发生，收入要看量增能否超过净价下降。</w:t>
      </w:r>
    </w:p>
    <w:p>
      <w:pPr>
        <w:pStyle w:val="Normal"/>
        <w:rPr/>
      </w:pPr>
      <w:r>
        <w:rPr/>
        <w:t>利厄替尼在第三代</w:t>
      </w:r>
      <w:r>
        <w:rPr/>
        <w:t>EGFR</w:t>
      </w:r>
      <w:r>
        <w:rPr/>
        <w:t>抑制剂领域面对已有成熟药物；氟泽雷塞面向</w:t>
      </w:r>
      <w:r>
        <w:rPr/>
        <w:t>KRAS G</w:t>
      </w:r>
      <w:r>
        <w:rPr/>
        <w:t>十二</w:t>
      </w:r>
      <w:r>
        <w:rPr/>
        <w:t>C</w:t>
      </w:r>
      <w:r>
        <w:rPr/>
        <w:t>突变，其治疗市场更窄并需要考虑后续竞争；他雷替尼面向</w:t>
      </w:r>
      <w:r>
        <w:rPr/>
        <w:t>ROS</w:t>
      </w:r>
      <w:r>
        <w:rPr/>
        <w:t>一阳性，潜在患者更少，但差异化安全性和脑转移治疗表现可能影响用药。将这些产品合并看作一个肿瘤增长引擎有助于理解渠道复用，单品估值仍需要各自临床和定价资料，不能简单按产品数平均分配收入。</w:t>
      </w:r>
    </w:p>
    <w:p>
      <w:pPr>
        <w:pStyle w:val="Normal"/>
        <w:rPr/>
      </w:pPr>
      <w:r>
        <w:rPr/>
        <w:t>来自礼来的塞普替尼、匹妥布替尼及阿贝西利合作进一步证明商业化平台对合作方有吸引力。伙伴有新数据和新适应症可能提高长期市场，但国外获批或发表结果并不意味着国内适应症已经批准，也不意味着信达取得全部地区收益。国内权益和新增临床的注册时间需要逐项核验。合作越多，管理层越需要平衡队伍资源，避免产品之间争夺同一渠道而降低投入效率。</w:t>
      </w:r>
    </w:p>
    <w:p>
      <w:pPr>
        <w:pStyle w:val="Heading2"/>
        <w:rPr/>
      </w:pPr>
      <w:r>
        <w:rPr>
          <w:color w:val="000000"/>
        </w:rPr>
        <w:t>四 玛仕度肽 短中期的重要增量与竞争约束</w:t>
      </w:r>
    </w:p>
    <w:p>
      <w:pPr>
        <w:pStyle w:val="Normal"/>
        <w:rPr/>
      </w:pPr>
      <w:r>
        <w:rPr/>
        <w:t>玛仕度肽为</w:t>
      </w:r>
      <w:r>
        <w:rPr/>
        <w:t>GCG</w:t>
      </w:r>
      <w:r>
        <w:rPr/>
        <w:t>及</w:t>
      </w:r>
      <w:r>
        <w:rPr/>
        <w:t>GLP</w:t>
      </w:r>
      <w:r>
        <w:rPr/>
        <w:t>一双受体激动剂，公司从礼来获得中国开发和商业化权利。已上市的成人体重管理及二型糖尿病适应症为收入提供较近基础，九毫克剂量申报仍在审评中。中报披露五项三期达到终点、四项三期仍进行，包括肥胖伴脂肪肝、高血压、睡眠呼吸暂停和青少年肥胖。新增适应症属于潜在扩张路径，不能在批准和支付之前都当作既定销量。</w:t>
      </w:r>
    </w:p>
    <w:p>
      <w:pPr>
        <w:pStyle w:val="Normal"/>
        <w:rPr/>
      </w:pPr>
      <w:r>
        <w:rPr/>
        <w:t>肥胖药市场的需求很大，但可支付市场比患病人数小。长期用药需要患者愿意持续支付、能耐受副作用、能够稳定获得药品，并在停药或体重回升时接受长期管理。初次购买人数、月度活跃治疗人数和一年留存并不相同。若公司通过促销快速获客，收入短期上升，而患者几个月后流失，长期净现值会低于按患者终身用药估计的结果。</w:t>
      </w:r>
    </w:p>
    <w:p>
      <w:pPr>
        <w:pStyle w:val="Normal"/>
        <w:rPr/>
      </w:pPr>
      <w:r>
        <w:rPr/>
        <w:t>国内市场面临司美格鲁肽、替尔泊肽以及后续本土双靶点产品。比较不能只看不同试验报告的平均减重比例，因为入组基础体重、糖尿病比例、治疗时长、剂量递增和统计估计方法不同。头对头数据有更强比较价值，但也要核验耐受性、退出率和实际可维持剂量。九毫克剂量带来额外疗效的同时，需要检验更高剂量是否增加胃肠反应或影响长期依从性。</w:t>
      </w:r>
    </w:p>
    <w:p>
      <w:pPr>
        <w:pStyle w:val="Normal"/>
        <w:rPr/>
      </w:pPr>
      <w:r>
        <w:rPr/>
        <w:t>新批准的预充式多剂量注射笔改善操作便利，但便利性不是无条件的价格溢价。医生、药房、线上渠道和患者教育都影响销售成本，监管收紧线上处方可能改变触达方式。医保若覆盖糖尿病或某类适应症，也未必覆盖纯体重管理用途。投资者不能把“进入医保”作为整个减重市场收入必然扩大的一步推理，必须核对具体支付限定范围。</w:t>
      </w:r>
    </w:p>
    <w:p>
      <w:pPr>
        <w:pStyle w:val="Normal"/>
        <w:rPr/>
      </w:pPr>
      <w:r>
        <w:rPr/>
        <w:t>高盛八月公开转述估计玛仕度肽第二季度收入超过七亿元，并设想次年四十亿至五十亿元，这属于券商预测，不是公司中报分产品审计数字。本模型没有把该预测直接当作实际销售，但用来检验增长数量级。如果预测成立，它会成为国内组合重要组成；如果净价下降或患者留存低，其他肿瘤和慢病产品需要更大贡献才能弥补。推荐应由产品组合的持续回报支持，不能全部押在一个热门治疗类别。</w:t>
      </w:r>
    </w:p>
    <w:p>
      <w:pPr>
        <w:pStyle w:val="Heading2"/>
        <w:rPr/>
      </w:pPr>
      <w:r>
        <w:rPr>
          <w:color w:val="000000"/>
        </w:rPr>
        <w:t>五 慢病 自免和眼科使收入更加多元</w:t>
      </w:r>
    </w:p>
    <w:p>
      <w:pPr>
        <w:pStyle w:val="Normal"/>
        <w:rPr/>
      </w:pPr>
      <w:r>
        <w:rPr/>
        <w:t>托莱西单抗面向他汀治疗后仍未达标的高胆固醇血症，医保覆盖增加了可负担性。降脂治疗患者量大、治疗期长，但患者是否按时注射和复诊、基层医生是否选择生物药、替代药价格及长期终点证据都影响收入。血脂指标改善并不自动等于患者愿意终身用药，市场估计应把诊断、处方、支付和持续治疗层层收缩，避免将总患病人口乘药价。</w:t>
      </w:r>
    </w:p>
    <w:p>
      <w:pPr>
        <w:pStyle w:val="Normal"/>
        <w:rPr/>
      </w:pPr>
      <w:r>
        <w:rPr/>
        <w:t>替妥尤单抗面向甲状腺眼病，公司计划非活动期三期数据及与糖皮质激素比较。较小的患者群体可以因高未满足需求形成有价值市场，但诊断路径和专科能力可能限制渗透。新的临床结果若扩大合适患者范围，会改善价值；若安全性、疗程或效果未达到医生要求，市场可能小于预期。眼病产品的销售团队和肿瘤团队需求不同，不能假设所有产品只靠原有资源即可完成放量。</w:t>
      </w:r>
    </w:p>
    <w:p>
      <w:pPr>
        <w:pStyle w:val="Normal"/>
        <w:rPr/>
      </w:pPr>
      <w:r>
        <w:rPr/>
        <w:t>匹康奇拜单抗为长效</w:t>
      </w:r>
      <w:r>
        <w:rPr/>
        <w:t>IL</w:t>
      </w:r>
      <w:r>
        <w:rPr/>
        <w:t>二十三抗体，用于斑块型银屑病，后续在既往</w:t>
      </w:r>
      <w:r>
        <w:rPr/>
        <w:t>IL</w:t>
      </w:r>
      <w:r>
        <w:rPr/>
        <w:t>十七反应不足人群、青少年和关节炎中探索。自免领域患者长期治疗提供复购机会，同时面对多个成熟靶点和生物类似药。剂量间隔、皮损维持、感染风险、医生熟悉程度和医保净价共同决定竞争力。便利性和疗效有价值，但价格竞争可能吞噬研发形成的差异化溢价。</w:t>
      </w:r>
    </w:p>
    <w:p>
      <w:pPr>
        <w:pStyle w:val="Normal"/>
        <w:rPr/>
      </w:pPr>
      <w:r>
        <w:rPr/>
        <w:t>依莫芙普在湿性年龄相关黄斑变性三期达到主要终点，并计划年底申报。公司披露视力改善非劣于阿柏西普、给药间隔可延长以及降低黄斑萎缩的潜力。投资判断要区分达到视力主要终点和证明萎缩改善这两个证据层级；“潜力”不应转写为确定优势。眼底治疗减少注射频率有真实价值，但医生可能更重视长期视力、安全性和可支付性，这些需要较长随访。</w:t>
      </w:r>
    </w:p>
    <w:p>
      <w:pPr>
        <w:pStyle w:val="Normal"/>
        <w:rPr/>
      </w:pPr>
      <w:r>
        <w:rPr/>
        <w:t>慢病多元化的作用是降低单一肿瘤品种波动并扩大平台成长空间，但新的治疗领域也消耗研发、销售和管理能力。每个领域都可能看上去市场巨大，全部同时加速投入会提高成本并降低组织效率。三年模型给予较高经营评分，需要看到资源配置后净利润率改善；若收入增长越来越依赖增加人员和推广支出，平台价值将低于当前预期。</w:t>
      </w:r>
    </w:p>
    <w:p>
      <w:pPr>
        <w:pStyle w:val="Heading2"/>
        <w:rPr/>
      </w:pPr>
      <w:r>
        <w:rPr>
          <w:color w:val="000000"/>
        </w:rPr>
        <w:t xml:space="preserve">六 </w:t>
      </w:r>
      <w:r>
        <w:rPr>
          <w:color w:val="000000"/>
        </w:rPr>
        <w:t>IBI363</w:t>
      </w:r>
      <w:r>
        <w:rPr>
          <w:color w:val="000000"/>
        </w:rPr>
        <w:t>的全球价值来自临床证据 而非标签</w:t>
      </w:r>
    </w:p>
    <w:p>
      <w:pPr>
        <w:pStyle w:val="Normal"/>
        <w:rPr/>
      </w:pPr>
      <w:r>
        <w:rPr/>
        <w:t>IBI</w:t>
      </w:r>
      <w:r>
        <w:rPr/>
        <w:t>三六三是</w:t>
      </w:r>
      <w:r>
        <w:rPr/>
        <w:t>PD</w:t>
      </w:r>
      <w:r>
        <w:rPr/>
        <w:t>一及偏向</w:t>
      </w:r>
      <w:r>
        <w:rPr/>
        <w:t>IL</w:t>
      </w:r>
      <w:r>
        <w:rPr/>
        <w:t>二的免疫细胞因子融合蛋白，与武田共同开展全球开发，并在美国共同商业化。其免疫机制有望对传统检查点抑制剂耐药人群提供选择，但新的机制也可能带来剂量、安全窗和患者选择挑战。全球首创说明结构或机制的创新，不代表优于全部现有治疗，更不能作为统一高成功率的理由。</w:t>
      </w:r>
    </w:p>
    <w:p>
      <w:pPr>
        <w:pStyle w:val="Normal"/>
        <w:rPr/>
      </w:pPr>
      <w:r>
        <w:rPr/>
        <w:t>全球三期</w:t>
      </w:r>
      <w:r>
        <w:rPr/>
        <w:t>MarsLight</w:t>
      </w:r>
      <w:r>
        <w:rPr/>
        <w:t>十一比较单药与多西他赛治疗既往检查点抑制剂后进展的鳞状非小细胞肺癌；非鳞状人群计划扩展。中国关键二期则在免疫初治黏膜和肢端黑色素瘤与帕博利珠单抗头对头。不同试验人群和对照设计提供不同证据，不能将耐药肺癌的一期反应率直接用于预测初治黑色素瘤三期成功，也不能把中国特定亚型疗效直接扩大为所有全球黑色素瘤市场。</w:t>
      </w:r>
    </w:p>
    <w:p>
      <w:pPr>
        <w:pStyle w:val="Normal"/>
        <w:rPr/>
      </w:pPr>
      <w:r>
        <w:rPr/>
        <w:t>早期研究显示有前景的疗效和可耐受性，但公开中报主要是公司摘要，未提供所有试验独立核验所需的个体数据。相对成熟随机对照，需要进一步核对样本量、随访成熟度、主要终点、置信区间和停止治疗原因。高缓解率若持续时间短，或在更大研究中安全性限制剂量，最终价值可能显著降低。投资者应把早期数据作为提高关注度的依据，而不是证明获批必然发生。</w:t>
      </w:r>
    </w:p>
    <w:p>
      <w:pPr>
        <w:pStyle w:val="Normal"/>
        <w:rPr/>
      </w:pPr>
      <w:r>
        <w:rPr/>
        <w:t>突破性治疗或快速通道认定可以改善监管沟通和开发效率，但不取消确认性研究、生产质量和安全要求。预计年底到次年初提交黑色素瘤申请是一项有条件计划，依赖数据和监管沟通。半年模型给催化剂高评分，恰恰意味着存在较大的正负事件弹性。若数据不支持申报，或监管要求额外试验，短期和一年目标都应及时重算。</w:t>
      </w:r>
    </w:p>
    <w:p>
      <w:pPr>
        <w:pStyle w:val="Normal"/>
        <w:rPr/>
      </w:pPr>
      <w:r>
        <w:rPr/>
        <w:t>一线肺癌及结直肠癌组合扩大了长期选择权，但也使开发成本和临床竞争更复杂。标准治疗在不断变化，几年后的全球三期对照可能与早期研究时期不同。共同开发让伙伴承担部分能力和成本，也意味着收入分成及控制权安排；全球销量增长不全部归信达。三年乐观情景必须建立在关键随机试验证实、可支付需求和合同权益确实兑现三者同时成立。</w:t>
      </w:r>
    </w:p>
    <w:p>
      <w:pPr>
        <w:pStyle w:val="Heading2"/>
        <w:rPr/>
      </w:pPr>
      <w:r>
        <w:rPr>
          <w:color w:val="000000"/>
        </w:rPr>
        <w:t xml:space="preserve">七 </w:t>
      </w:r>
      <w:r>
        <w:rPr>
          <w:color w:val="000000"/>
        </w:rPr>
        <w:t>IBI343</w:t>
      </w:r>
      <w:r>
        <w:rPr>
          <w:color w:val="000000"/>
        </w:rPr>
        <w:t>与</w:t>
      </w:r>
      <w:r>
        <w:rPr>
          <w:color w:val="000000"/>
        </w:rPr>
        <w:t>ADC</w:t>
      </w:r>
      <w:r>
        <w:rPr>
          <w:color w:val="000000"/>
        </w:rPr>
        <w:t>组合 后期机会和平台风险</w:t>
      </w:r>
    </w:p>
    <w:p>
      <w:pPr>
        <w:pStyle w:val="Normal"/>
        <w:rPr/>
      </w:pPr>
      <w:r>
        <w:rPr/>
        <w:t>IBI</w:t>
      </w:r>
      <w:r>
        <w:rPr/>
        <w:t>三四三为</w:t>
      </w:r>
      <w:r>
        <w:rPr/>
        <w:t>CLDN</w:t>
      </w:r>
      <w:r>
        <w:rPr/>
        <w:t>十八点二靶向</w:t>
      </w:r>
      <w:r>
        <w:rPr/>
        <w:t>ADC</w:t>
      </w:r>
      <w:r>
        <w:rPr/>
        <w:t>，大中华区外权利授权武田。中日多中心三期在预设期中分析达到主要终点，二〇二六年六月申请获受理并进入优先审评，这是比早期单臂数据更强的价值证据。但受理和优先审评仍不等于批准，完整效益风险、生产资料及适应症标签都会影响实际上市范围和时间。</w:t>
      </w:r>
    </w:p>
    <w:p>
      <w:pPr>
        <w:pStyle w:val="Normal"/>
        <w:rPr/>
      </w:pPr>
      <w:r>
        <w:rPr/>
        <w:t>晚期胃或胃食管交界部癌需要核验靶点阳性阈值、既往治疗、检测可及性以及与其他</w:t>
      </w:r>
      <w:r>
        <w:rPr/>
        <w:t>CLDN</w:t>
      </w:r>
      <w:r>
        <w:rPr/>
        <w:t>疗法的关系。特定生物标志物药品不适合用全部胃癌发病人数估算销量；三线人群的患者存活、体力状态和支付能力也限制治疗人数。若随后向一线拓展，患者基数扩大，但需要新的临床证据和更强竞争比较，不能将三线成功直接推导为一线高份额。</w:t>
      </w:r>
    </w:p>
    <w:p>
      <w:pPr>
        <w:pStyle w:val="Normal"/>
        <w:rPr/>
      </w:pPr>
      <w:r>
        <w:rPr/>
        <w:t>胰腺癌三线及一线组合也在研究。胰腺癌未满足需求高，但高需求同时反映疾病难治和患者治疗窗口短，不是高成功率的证明。早期组合可能有信号，正式研究的获益幅度、耐受性与连续给药能力决定可商业化程度。悲观情景需要允许胃癌权益存在、胰腺癌研究失败，即同一药物的多个适应症不总是同涨同跌。</w:t>
      </w:r>
    </w:p>
    <w:p>
      <w:pPr>
        <w:pStyle w:val="Normal"/>
        <w:rPr/>
      </w:pPr>
      <w:r>
        <w:rPr/>
        <w:t>IBI</w:t>
      </w:r>
      <w:r>
        <w:rPr/>
        <w:t>三五四在耐铂卵巢癌及一线</w:t>
      </w:r>
      <w:r>
        <w:rPr/>
        <w:t>HER</w:t>
      </w:r>
      <w:r>
        <w:rPr/>
        <w:t>二阳性乳腺癌进入关键研究；</w:t>
      </w:r>
      <w:r>
        <w:rPr/>
        <w:t>IBI</w:t>
      </w:r>
      <w:r>
        <w:rPr/>
        <w:t>三〇〇三三抗进入中国关键三期并有美国一期。它们提供管线梯队，但各自面对成熟竞品及治疗序列变化。多靶点</w:t>
      </w:r>
      <w:r>
        <w:rPr/>
        <w:t>ADC</w:t>
      </w:r>
      <w:r>
        <w:rPr/>
        <w:t>和三抗的复杂性需要以暴露、毒性、生产一致性及临床效果证明价值，不能只因靶点数量更多就给予更高评分。</w:t>
      </w:r>
    </w:p>
    <w:p>
      <w:pPr>
        <w:pStyle w:val="Normal"/>
        <w:rPr/>
      </w:pPr>
      <w:r>
        <w:rPr/>
        <w:t>早期</w:t>
      </w:r>
      <w:r>
        <w:rPr/>
        <w:t>B</w:t>
      </w:r>
      <w:r>
        <w:rPr/>
        <w:t>七</w:t>
      </w:r>
      <w:r>
        <w:rPr/>
        <w:t>H</w:t>
      </w:r>
      <w:r>
        <w:rPr/>
        <w:t>三及</w:t>
      </w:r>
      <w:r>
        <w:rPr/>
        <w:t>EGFR</w:t>
      </w:r>
      <w:r>
        <w:rPr/>
        <w:t>双抗</w:t>
      </w:r>
      <w:r>
        <w:rPr/>
        <w:t>ADC</w:t>
      </w:r>
      <w:r>
        <w:rPr/>
        <w:t>、</w:t>
      </w:r>
      <w:r>
        <w:rPr/>
        <w:t>EGFR</w:t>
      </w:r>
      <w:r>
        <w:rPr/>
        <w:t>及</w:t>
      </w:r>
      <w:r>
        <w:rPr/>
        <w:t>HER</w:t>
      </w:r>
      <w:r>
        <w:rPr/>
        <w:t>三</w:t>
      </w:r>
      <w:r>
        <w:rPr/>
        <w:t>ADC</w:t>
      </w:r>
      <w:r>
        <w:rPr/>
        <w:t>、</w:t>
      </w:r>
      <w:r>
        <w:rPr/>
        <w:t>PDL</w:t>
      </w:r>
      <w:r>
        <w:rPr/>
        <w:t>一及</w:t>
      </w:r>
      <w:r>
        <w:rPr/>
        <w:t>TROP</w:t>
      </w:r>
      <w:r>
        <w:rPr/>
        <w:t>二</w:t>
      </w:r>
      <w:r>
        <w:rPr/>
        <w:t>ADC</w:t>
      </w:r>
      <w:r>
        <w:rPr/>
        <w:t>等有潜在技术价值，但一期剂量探索与最终商业成功距离很长。合作方取得选择权并不等同于已经购买完整全球权利；行权触发条件需要保留。平台长期价值应看能否反复产生临床差异化资产并取得合理交易条款，而不是把全部早期管线按成熟药物销售额估值。</w:t>
      </w:r>
    </w:p>
    <w:p>
      <w:pPr>
        <w:pStyle w:val="Heading2"/>
        <w:rPr/>
      </w:pPr>
      <w:r>
        <w:rPr>
          <w:color w:val="000000"/>
        </w:rPr>
        <w:t>八 国际授权的交易金额 现金与收入不能混用</w:t>
      </w:r>
    </w:p>
    <w:p>
      <w:pPr>
        <w:pStyle w:val="Normal"/>
        <w:rPr/>
      </w:pPr>
      <w:r>
        <w:rPr/>
        <w:t>报告披露辉瑞合作十二个早期及源头项目，首付款六点五亿美元，潜在里程碑最高九十八点五亿美元；礼来首付款三点五亿美元和潜在后续款约八十五亿美元。这些总额说明全球药企愿意投入并承担长期开发机会，不能说明未来每笔里程碑都会收取。最大交易金额包含多个研发、注册和销售条件，时间可能跨很多年，失败项目的相关金额不会兑现。</w:t>
      </w:r>
    </w:p>
    <w:p>
      <w:pPr>
        <w:pStyle w:val="Normal"/>
        <w:rPr/>
      </w:pPr>
      <w:r>
        <w:rPr/>
        <w:t>六月末财务披露礼来首付款记录为合同负债，尚未确认收入。期内授权收入约三点一亿元，其中部分武田合作履约确认，而研发服务收入约一点〇六亿元。公司可以收到很多现金、当期确认较少收入；也可以之后确认收入而当期没有相应现金流入。将收入增长、经营现金和合同负债变化放在一起阅读，比只看哪一家伙伴签了最大合同更能判断盈利可持续性。</w:t>
      </w:r>
    </w:p>
    <w:p>
      <w:pPr>
        <w:pStyle w:val="Normal"/>
        <w:rPr/>
      </w:pPr>
      <w:r>
        <w:rPr/>
        <w:t>中期报告业务段落在报告发布时点称已收到辉瑞首付款，并提到在手现金三百〇二亿元；六月末财务表的扩展流动资金则为二百六十八点七一亿元。这是时点和口径不同的披露，不能将后者替换为前者作为上半年现金余额，也不能倒推辉瑞款在六月末已经全部到账。模型以六月末原财务表为历史基准，报告时点陈述单独列为后来公开的信息。</w:t>
      </w:r>
    </w:p>
    <w:p>
      <w:pPr>
        <w:pStyle w:val="Normal"/>
        <w:rPr/>
      </w:pPr>
      <w:r>
        <w:rPr/>
        <w:t>共同开发和共同商业化可以保留更高长期权益，但需要分担全球试验、监管和销售成本。纯授权通常较快改善现金，却分享较少后期利润。选择哪种方式要看公司能力、产品风险、伙伴分工和资本资源。国际化不是合同金额越大越好；若公司承担过多开发成本而全球成功率低，首付款只能延缓现金消耗，难以形成真正的股东复利。</w:t>
      </w:r>
    </w:p>
    <w:p>
      <w:pPr>
        <w:pStyle w:val="Normal"/>
        <w:rPr/>
      </w:pPr>
      <w:r>
        <w:rPr/>
        <w:t>本章核心</w:t>
      </w:r>
      <w:r>
        <w:rPr/>
        <w:t>EPS</w:t>
      </w:r>
      <w:r>
        <w:rPr/>
        <w:t>预测剔除一次性首付款对持续利润的直接放大，也没有额外把已收首付款现金加入</w:t>
      </w:r>
      <w:r>
        <w:rPr/>
        <w:t>PE</w:t>
      </w:r>
      <w:r>
        <w:rPr/>
        <w:t>目标。这样较少产生现金与研发资产重复计价，但会遗漏部分净现金和新管线独立选择权，需要完整现金流及逐产品模型补充。现阶段应承认模型的适用边界，不能把以</w:t>
      </w:r>
      <w:r>
        <w:rPr/>
        <w:t>PE</w:t>
      </w:r>
      <w:r>
        <w:rPr/>
        <w:t>表达的情景称为已经完成全球产品风险调整净现值。</w:t>
      </w:r>
    </w:p>
    <w:p>
      <w:pPr>
        <w:pStyle w:val="Heading2"/>
        <w:rPr/>
      </w:pPr>
      <w:r>
        <w:rPr>
          <w:color w:val="000000"/>
        </w:rPr>
        <w:t>九 收入增长和利润率改善的质量</w:t>
      </w:r>
    </w:p>
    <w:p>
      <w:pPr>
        <w:pStyle w:val="Normal"/>
        <w:rPr/>
      </w:pPr>
      <w:r>
        <w:rPr/>
        <w:t>产品收入占上半年总收入约百分之九十五点二，比去年更高；授权收入从六点六五六亿元下降至三点〇九九亿元。这说明增长正在以产品为中心，适合逐步建立正常经营估值。不过产品收入未按全部单品公开，研究无法独立核对每款药品的净价、患者和销量，本模型只能从组合规模与费用结构建立路径，并把单品缺失列为需要进一步披露的限制。</w:t>
      </w:r>
    </w:p>
    <w:p>
      <w:pPr>
        <w:pStyle w:val="Normal"/>
        <w:rPr/>
      </w:pPr>
      <w:r>
        <w:rPr/>
        <w:t>毛利七十三点二一八亿元，合并毛利率八十五个百分点，比同期低约一个百分点，反映产品组合变化。高毛利为研发和商业化提供空间，但特许权款列于毛利之后，影响可比性。收入增加后销售费率按产品口径由百分之四十五点四降至三十九点五，改善接近六个百分点，这是比简单总利润增长更直接的规模效率证据。绝对销售支出仍增至三十二点三五九亿元，不能称为全面削减投入。</w:t>
      </w:r>
    </w:p>
    <w:p>
      <w:pPr>
        <w:pStyle w:val="Normal"/>
        <w:rPr/>
      </w:pPr>
      <w:r>
        <w:rPr/>
        <w:t>研发开支十六点八三七亿元，较同期增长约百分之六十六点九，高于收入增幅。全球临床、新模态和较多早期项目需要资金，研发加速短期压利润但可能增加未来价值。关键在于投入有无清楚的阶段决策和退出机制，不能因投入越大就给未来价值越高。若连续扩大研发而高价值项目进度迟缓，经营利润率目标需要降低。</w:t>
      </w:r>
    </w:p>
    <w:p>
      <w:pPr>
        <w:pStyle w:val="Normal"/>
        <w:rPr/>
      </w:pPr>
      <w:r>
        <w:rPr/>
        <w:t>人员由年末七千五百〇二增加到八千七百五十四，薪酬成本二十点七八六亿元，说明公司仍在组织扩张。销售费率下降是在规模增长中发生，未来增长放慢时未必能继续下降同样幅度。成熟利润率推演应允许固定成本、国际投入和新产品初期费用，不能将上半年每降低一个百分点的销售费率永久复制到后面五年。</w:t>
      </w:r>
    </w:p>
    <w:p>
      <w:pPr>
        <w:pStyle w:val="Normal"/>
        <w:rPr/>
      </w:pPr>
      <w:r>
        <w:rPr/>
        <w:t>本模型二〇二七年基准核心收入二百三十亿元、稀释股数十八点五亿、</w:t>
      </w:r>
      <w:r>
        <w:rPr/>
        <w:t>EPS</w:t>
      </w:r>
      <w:r>
        <w:rPr/>
        <w:t>三元，对应核心净利润五十五点五亿元及约百分之二十四点一净利率。这是较高的经营目标，需要产品放量和费用杠杆，且假设持续研发、特许权、常态税率及股份酬金均已计入。若真实经营净利率只能维持十五个百分点，同样收入和股数的</w:t>
      </w:r>
      <w:r>
        <w:rPr/>
        <w:t>EPS</w:t>
      </w:r>
      <w:r>
        <w:rPr/>
        <w:t>仅约一元八角六，接近悲观而非基准路径。</w:t>
      </w:r>
    </w:p>
    <w:p>
      <w:pPr>
        <w:pStyle w:val="Heading2"/>
        <w:rPr/>
      </w:pPr>
      <w:r>
        <w:rPr>
          <w:color w:val="000000"/>
        </w:rPr>
        <w:t>十 一次性收益 税和调整利润的辨别</w:t>
      </w:r>
    </w:p>
    <w:p>
      <w:pPr>
        <w:pStyle w:val="Normal"/>
        <w:rPr/>
      </w:pPr>
      <w:r>
        <w:rPr/>
        <w:t>法定利润十二点五三一亿元，加回股份酬金三点八四八亿元和净外汇亏损〇点六五九亿元，得到调整利润十七点〇三九亿元。这个调节表没有剔除全部授权收入、投资公允收益、利息或递延税收益。调整指标可帮助理解部分非现金波动，但不能作为没有任何一次性项目的纯核心盈利。公司间调整项目不同，因此调整</w:t>
      </w:r>
      <w:r>
        <w:rPr/>
        <w:t>PE</w:t>
      </w:r>
      <w:r>
        <w:rPr/>
        <w:t>不能跨公司未经校正比较。</w:t>
      </w:r>
    </w:p>
    <w:p>
      <w:pPr>
        <w:pStyle w:val="Normal"/>
        <w:rPr/>
      </w:pPr>
      <w:r>
        <w:rPr/>
        <w:t>其他收入四点一三三亿元，主要含利息与补助；利息收入三点五六三亿元。其他净收益一点七八七亿元，金融资产公允变动收益二点四一三亿元，外汇亏损抵销部分。较大现金产生利息有真实价值，但未来利率下降可能减少利息收入。若估值先按含利息利润乘高</w:t>
      </w:r>
      <w:r>
        <w:rPr/>
        <w:t>PE</w:t>
      </w:r>
      <w:r>
        <w:rPr/>
        <w:t>，再把全部现金加一次，会重复资本价值；核心盈利法需要把利息及现金处理保持一致。</w:t>
      </w:r>
    </w:p>
    <w:p>
      <w:pPr>
        <w:pStyle w:val="Normal"/>
        <w:rPr/>
      </w:pPr>
      <w:r>
        <w:rPr/>
        <w:t>所得税费用三点五八五亿元，里面同时存在礼来首付款相关预扣税、其他即期税和递延税资产确认四点七二一亿元。首付款没有确认收入，也可能先触发税负；递延税确认则依赖未来产生足够可抵扣利润的判断。投资者若只把税率异常低解释为长期优惠，或只看一次预扣税就认为盈利永久恶化，都会误判正常利润。</w:t>
      </w:r>
    </w:p>
    <w:p>
      <w:pPr>
        <w:pStyle w:val="Normal"/>
        <w:rPr/>
      </w:pPr>
      <w:r>
        <w:rPr/>
        <w:t>递延税资产提供的会计收益不是当期收到现金，未来真实利用需要主体盈利和税务规则满足条件。若后续经营不达预期，可能减值或延迟使用。与此同时，首付款相关税负有可能在后续确认收入时形成不同税会差异，应依据具体合同和辖区核验。本章不把复杂税项一律剔除或永久保留，核心预测采用常态税负作为独立假设，历史法定及调整数字分别保留。</w:t>
      </w:r>
    </w:p>
    <w:p>
      <w:pPr>
        <w:pStyle w:val="Normal"/>
        <w:rPr/>
      </w:pPr>
      <w:r>
        <w:rPr/>
        <w:t>股权激励费用不是因为非现金就没有成本。它帮助吸引人才，也会通过更多股份分享盈利。若未来股数不断增加，公司总净利润强增长而每股盈利较慢，股东回报低于业务增长。模型对未来稀释给出独立股数假设，并在预测</w:t>
      </w:r>
      <w:r>
        <w:rPr/>
        <w:t>EPS</w:t>
      </w:r>
      <w:r>
        <w:rPr/>
        <w:t>中保留常态酬金成本，避免把费用完全加回后又忽略股数增加。</w:t>
      </w:r>
    </w:p>
    <w:p>
      <w:pPr>
        <w:pStyle w:val="Heading2"/>
        <w:rPr/>
      </w:pPr>
      <w:r>
        <w:rPr>
          <w:color w:val="000000"/>
        </w:rPr>
        <w:t>十一 现金流 合同责任和资金安全</w:t>
      </w:r>
    </w:p>
    <w:p>
      <w:pPr>
        <w:pStyle w:val="Normal"/>
        <w:rPr/>
      </w:pPr>
      <w:r>
        <w:rPr/>
        <w:t>上半年经营现金净额三十五点八八三亿元，远高于同期三点一三八亿元，值得肯定。但营运现金中合同负债增加贡献二十一点二七四亿元，说明授权预收是关键来源；营运资金变动前现金约十九点九一五亿元。将总经营现金除利润得到很高的现金转换，不足以证明所有药品销售都已高效回款，因为预收同时附带多年开发或许可责任。</w:t>
      </w:r>
    </w:p>
    <w:p>
      <w:pPr>
        <w:pStyle w:val="Normal"/>
        <w:rPr/>
      </w:pPr>
      <w:r>
        <w:rPr/>
        <w:t>应收由十七点一三八亿元增加到十九点〇三二亿元，增幅低于产品收入增幅，和回款控制改善相容；库存由十三点〇一七亿元升到十八点七六八亿元，增幅较高，需要观察新产品备货、需求和有效期。药品库存增长可能支持销售爬坡，也可能在降价、渠道节奏或产品失败时产生减值。不能只按收入增长推断库存全部正常，也不能单凭余额上升断言渠道压货。</w:t>
      </w:r>
    </w:p>
    <w:p>
      <w:pPr>
        <w:pStyle w:val="Normal"/>
        <w:rPr/>
      </w:pPr>
      <w:r>
        <w:rPr/>
        <w:t>购买固定资产现金一点七二一亿元，无形资产〇点一二五亿元，比经营现金小很多。简化经营现金减这两项约三十四亿元，实际仍需考虑临床承诺、授权负债、租赁、税和投资。较低本期设备支出并不代表全球化可以永久低资本投入，公司资产基础和开发责任决定未来支出。自由现金应从完整现金流表及未来承诺判断，不能只把当期经营现金全部视为可分红。</w:t>
      </w:r>
    </w:p>
    <w:p>
      <w:pPr>
        <w:pStyle w:val="Normal"/>
        <w:rPr/>
      </w:pPr>
      <w:r>
        <w:rPr/>
        <w:t>六月末银行余额和现金一百七十三点八〇四亿元，广义流动资金二百六十八点七一亿元，现金等价物四十五点二三九亿元。差异来自超过三个月存款、受限资金、结构产品和投资票据。票据期限可能从七天到三年，不是全部即时现金；未上市股权投资更不等同银行余额。可用资源较大有助于应对临床失败，逐项风险和期限仍需检验。</w:t>
      </w:r>
    </w:p>
    <w:p>
      <w:pPr>
        <w:pStyle w:val="Normal"/>
        <w:rPr/>
      </w:pPr>
      <w:r>
        <w:rPr/>
        <w:t>计息借款约二十二点九一四亿元，加租赁约〇点三二一亿元，远低于广义资金；合同负债合计约一百〇三点四六七亿元则不是普通银行借款，却代表未来履约。公司财务安全明显优于现金紧张的早期创新药企业，但用全部资金余额减全部负债的机械净现金也有问题。资金安全与资本回报是两回事，账上钱多不能证明所有新研发项目都值得做。</w:t>
      </w:r>
    </w:p>
    <w:p>
      <w:pPr>
        <w:pStyle w:val="Heading2"/>
        <w:rPr/>
      </w:pPr>
      <w:r>
        <w:rPr>
          <w:color w:val="000000"/>
        </w:rPr>
        <w:t>十二 股份结构 治理和融资稀释</w:t>
      </w:r>
    </w:p>
    <w:p>
      <w:pPr>
        <w:pStyle w:val="Normal"/>
        <w:rPr/>
      </w:pPr>
      <w:r>
        <w:rPr/>
        <w:t>六月末已发行股份十七点三八二九亿，基本加权股数十七点二六〇一亿，稀释股数十八点〇〇〇九亿，稀释差约百分之四点三。基准日报价总股数约十七点四六九二亿，属于后续市场口径，不能替代六月末会计分母。半年利润直接除基准日股份不是报告</w:t>
      </w:r>
      <w:r>
        <w:rPr/>
        <w:t>EPS</w:t>
      </w:r>
      <w:r>
        <w:rPr/>
        <w:t>；估值采用未来稀释股数，需要明确预测而非混用历史期末与平均值。</w:t>
      </w:r>
    </w:p>
    <w:p>
      <w:pPr>
        <w:pStyle w:val="Normal"/>
        <w:rPr/>
      </w:pPr>
      <w:r>
        <w:rPr/>
        <w:t>二〇二五年曾进行配售及武田战略认购。战略伙伴持股可能加强利益一致，但小比例持股不保证未来所有项目都被推进。配售为公司提供资金，也稀释原股东，分析需要看资金用途、执行和后续回报。当前现金较充足降低短期被迫融资概率，不代表以后不会为全球临床、收购或长期能力建设再融资。</w:t>
      </w:r>
    </w:p>
    <w:p>
      <w:pPr>
        <w:pStyle w:val="Normal"/>
        <w:rPr/>
      </w:pPr>
      <w:r>
        <w:rPr/>
        <w:t>二〇二四年股份计划未归属受限股份约二千七百八十九万，二〇二〇计划未归属约二千一百〇七万，另有期权。授予、归属、失效和已发行之间存在时点差，不能把所有授权额度都马上加在股数上，也不能完全忽略。预测中二〇二七年基准稀释十八点五亿，二〇三一年十九点八亿，是显式研究假设；未来真实授予与回购发生时需更新。</w:t>
      </w:r>
    </w:p>
    <w:p>
      <w:pPr>
        <w:pStyle w:val="Normal"/>
        <w:rPr/>
      </w:pPr>
      <w:r>
        <w:rPr/>
        <w:t>管理层兼具研发和商业化经验，公司报告有较全面披露，是较高经营评分的支持。但研发组合决策的外部可见度仍有限，项目退出和资本配置是否及时决定长期回报。董事结构、关联交易、薪酬目标、关键人员留任和合作控制权应持续核验。没有公开异常不能直接给治理满分，评分保持中等风险分有助于对信息不对称留出余量。</w:t>
      </w:r>
    </w:p>
    <w:p>
      <w:pPr>
        <w:pStyle w:val="Heading2"/>
        <w:rPr/>
      </w:pPr>
      <w:r>
        <w:rPr>
          <w:color w:val="000000"/>
        </w:rPr>
        <w:t>十三 行业周期和经济前景的传导</w:t>
      </w:r>
    </w:p>
    <w:p>
      <w:pPr>
        <w:pStyle w:val="Normal"/>
        <w:rPr/>
      </w:pPr>
      <w:r>
        <w:rPr/>
        <w:t>创新药需求不像可选消费那样完全依赖短期收入，但患者支付、医院预算和医保基金仍受经济环境影响。肿瘤刚性需求有支撑，纯自费减重治疗则更容易受就业、收入和药价影响。国内经济改善可能提高就诊和支付能力，经济低迷则可能让患者选择更便宜方案。公司的产品组合既有刚性肿瘤，也有慢病自费弹性，宏观影响应按品种分拆。</w:t>
      </w:r>
    </w:p>
    <w:p>
      <w:pPr>
        <w:pStyle w:val="Normal"/>
        <w:rPr/>
      </w:pPr>
      <w:r>
        <w:rPr/>
        <w:t>医保控费降低创新药单价，同时通过目录覆盖扩大患者可及性。对已有产品公司，关键是价格与量的乘积和支付时点；对未上市管线，还需要考虑未来谈判后可实现净价。集采对于生物类似药的冲击与真正差异化创新药不同，不能把全部药品收入统一减同样百分比。商业化平台越大，组合调整越重要，成熟产品的价格压力需要新产品收益弥补。</w:t>
      </w:r>
    </w:p>
    <w:p>
      <w:pPr>
        <w:pStyle w:val="Normal"/>
        <w:rPr/>
      </w:pPr>
      <w:r>
        <w:rPr/>
        <w:t>全球药企面对专利到期和补充管线需求，为中国研发资产提供合作窗口。这个周期有利于信达，但大额交易总额往往包括远期条件；经济或利率变化可能使伙伴调整开发优先级。即使融资环境好，候选药仍需临床证据。对有产品现金和较多资金的信达，利率上升对生存压力较小，但会提高市场对长期资产的折现要求并影响估值倍数。</w:t>
      </w:r>
    </w:p>
    <w:p>
      <w:pPr>
        <w:pStyle w:val="Normal"/>
        <w:rPr/>
      </w:pPr>
      <w:r>
        <w:rPr/>
        <w:t>人民币兑美元、港币变化影响授权款换算、研发支出、资金公允及港币目标价。港币计价投资者的回报与人民币投资者不同，本模型先以本币港币表达价格回报，再单独做汇率敏感性。若人民币资产增长而港币兑人民币也升值，人民币投资者回报可能更高；反向变化则削弱收益。不能把会计汇兑亏损和投资者货币换算损失视为同一项。</w:t>
      </w:r>
    </w:p>
    <w:p>
      <w:pPr>
        <w:pStyle w:val="Heading2"/>
        <w:rPr/>
      </w:pPr>
      <w:r>
        <w:rPr>
          <w:color w:val="000000"/>
        </w:rPr>
        <w:t>十四 半年日线与周线 尚未出现充分的反转证据</w:t>
      </w:r>
    </w:p>
    <w:p>
      <w:pPr>
        <w:pStyle w:val="Normal"/>
        <w:rPr/>
      </w:pPr>
      <w:r>
        <w:rPr/>
        <w:t>基准日收九十二点六五，二十日均线九十七点三二、六十日九十六点四六二五、一百二十日八十九点七〇四六、二百五十日八十七点九五二。现价低于二十和六十日均线，略高于两条长均线，属于短弱长线支撑仍在的交错结构。二十日均线近五日斜率负百分之〇点八七，六十和一百二十日略向上，长线几乎走平，尚不是清楚的多头排列。</w:t>
      </w:r>
    </w:p>
    <w:p>
      <w:pPr>
        <w:pStyle w:val="Normal"/>
        <w:rPr/>
      </w:pPr>
      <w:r>
        <w:rPr/>
        <w:t>现价到二十日线需涨约百分之五点〇四，到六十日约百分之四点一二；到一百二十日线下跌约百分之三点一八，到二百五十日约百分之五点〇七。这些距离显示九十至九十七附近是当前观察区，均线密集意味着方向需要新价格和量能确认。均线是过去平均而非保证支撑，消息跳空可直接越过多条线，不能按离长线只有几个百分点就认为最大损失有限。</w:t>
      </w:r>
    </w:p>
    <w:p>
      <w:pPr>
        <w:pStyle w:val="Normal"/>
        <w:rPr/>
      </w:pPr>
      <w:r>
        <w:rPr/>
        <w:t>二十日回报负百分之一点八〇，六十日负一点六五，一百二十日正一点二六，二百五十日负七点九九。近一年高一百一十二点七、低六十九点五五，现价比低点高约百分之三十三点二，离高点低约十七点八；最大日线回撤约百分之三十点三二。公司经营增长强，但价格并未持续同步上升，体现估值、预期和事件波动对股价的独立影响。</w:t>
      </w:r>
    </w:p>
    <w:p>
      <w:pPr>
        <w:pStyle w:val="Normal"/>
        <w:rPr/>
      </w:pPr>
      <w:r>
        <w:rPr/>
        <w:t>最近二十日区间八十九点八至一百〇五点五，六十日八十三点四至一百一十二点七。现价到近期低点约负百分之三点〇八，到短期高点约正十三点八七；到六十日低点负九点九八，到前高正二十一点六四。这些是区间边缘，未经多次触碰筛选，称观察位而非精确支撑阻力。若九十附近连续放量跌破且不能修复，短期结构变差；若重回九十七之上并保持，才增加向一百〇五观察的可能。</w:t>
      </w:r>
    </w:p>
    <w:p>
      <w:pPr>
        <w:pStyle w:val="Normal"/>
        <w:rPr/>
      </w:pPr>
      <w:r>
        <w:rPr/>
        <w:t>日线</w:t>
      </w:r>
      <w:r>
        <w:rPr/>
        <w:t>RSI</w:t>
      </w:r>
      <w:r>
        <w:rPr/>
        <w:t>十四为四十点三九，</w:t>
      </w:r>
      <w:r>
        <w:rPr/>
        <w:t>MACD</w:t>
      </w:r>
      <w:r>
        <w:rPr/>
        <w:t>差离值负〇点八三四、信号负〇点一四七、两倍差柱负一点三七四，均显示近期动能偏弱。</w:t>
      </w:r>
      <w:r>
        <w:rPr/>
        <w:t>ATR</w:t>
      </w:r>
      <w:r>
        <w:rPr/>
        <w:t>十四约三点九六九港元，现价比例百分之四点二八，日内几元波动并不小。多个指标来自同一价格序列，评分仅合并一次技术证据，不能以</w:t>
      </w:r>
      <w:r>
        <w:rPr/>
        <w:t>RSI</w:t>
      </w:r>
      <w:r>
        <w:rPr/>
        <w:t>、</w:t>
      </w:r>
      <w:r>
        <w:rPr/>
        <w:t>MACD</w:t>
      </w:r>
      <w:r>
        <w:rPr/>
        <w:t>和均线分别加满分放大同源信息。</w:t>
      </w:r>
    </w:p>
    <w:p>
      <w:pPr>
        <w:pStyle w:val="Normal"/>
        <w:rPr/>
      </w:pPr>
      <w:r>
        <w:rPr/>
        <w:t>周二十均线九十点五二五、六十周八十九点〇二七五、一百二十周六十九点五七八，现价仍高于它们；周</w:t>
      </w:r>
      <w:r>
        <w:rPr/>
        <w:t>RSI</w:t>
      </w:r>
      <w:r>
        <w:rPr/>
        <w:t>五十一点〇六，周</w:t>
      </w:r>
      <w:r>
        <w:rPr/>
        <w:t>MACD</w:t>
      </w:r>
      <w:r>
        <w:rPr/>
        <w:t>柱约正〇点二五七，属于较长时间尺度仍有支撑、短线调整的组合。三年数据只有一百五十七根周线，二百五十周均线留空，不能补造。周线也不足以保证新上升周期，只能说明日线弱势尚未完全破坏较长结构。</w:t>
      </w:r>
    </w:p>
    <w:p>
      <w:pPr>
        <w:pStyle w:val="Heading2"/>
        <w:rPr/>
      </w:pPr>
      <w:r>
        <w:rPr>
          <w:color w:val="000000"/>
        </w:rPr>
        <w:t>十五 成交量 成交额与相对强弱</w:t>
      </w:r>
    </w:p>
    <w:p>
      <w:pPr>
        <w:pStyle w:val="Normal"/>
        <w:rPr/>
      </w:pPr>
      <w:r>
        <w:rPr/>
        <w:t>基准日成交一千〇四十八点九万股，成交额约九点六一三亿港币；腾讯及新浪当前报价相同，历史成交股数与独立来源核对。五日均量八百二十一点九万，二十日一千〇三十五点一万，六十日一千二百〇七点八万。当天相对此前二十日均量为一点〇〇四倍，基本正常，无法称为明显放量突破或恐慌出清。</w:t>
      </w:r>
    </w:p>
    <w:p>
      <w:pPr>
        <w:pStyle w:val="Normal"/>
        <w:rPr/>
      </w:pPr>
      <w:r>
        <w:rPr/>
        <w:t>当日开盘及最高九十四点三五，最低八十九点八，最终九十二点六五，较前收只升〇点〇五港元。价格从日低修复说明低位有交易承接，但没有账户和逐笔数据无法识别谁净买入，也不能称机构吸筹。它可能是短线回补、事件交易或一般换手。后续若价格在缩量中稳住再放量收复均线，证据比单日修复更强。</w:t>
      </w:r>
    </w:p>
    <w:p>
      <w:pPr>
        <w:pStyle w:val="Normal"/>
        <w:rPr/>
      </w:pPr>
      <w:r>
        <w:rPr/>
        <w:t>最近二十日上涨和下跌各十天，上涨日总量一亿一千五百五十八万股，下跌九千一百四十三万，比例一点二六四。天数相同使平均量也偏向上涨，是局部正面线索；但总体价格仍跌，说明涨日较大成交并未带来持续上行。需要进一步看涨幅、位置和事件，不能只凭成交总量比大于一就宣布趋势健康。五日均量低于二十及六十日，近期参与度下降更接近等待方向。</w:t>
      </w:r>
    </w:p>
    <w:p>
      <w:pPr>
        <w:pStyle w:val="Normal"/>
        <w:rPr/>
      </w:pPr>
      <w:r>
        <w:rPr/>
        <w:t>最近二十周上涨九周、下跌十一周，总量分别六点五二三及六点六五七亿股，比例约〇点九八。按周数平均，上涨周均量更高，但总量和价格并未形成压倒性一致。当前周量比约〇点六一，交易活跃度较历史周均量弱。日周量综合更支持震荡观察，而不是已经确认的强突破，技术评分二点四分与这一证据相符。</w:t>
      </w:r>
    </w:p>
    <w:p>
      <w:pPr>
        <w:pStyle w:val="Normal"/>
        <w:rPr/>
      </w:pPr>
      <w:r>
        <w:rPr/>
        <w:t>相对恒生指数，二十日超额约一点一八个百分点、六十日一点五四个百分点，主要因为大市同期也跌，不能解释为股票强势上涨。创新药细分行业基准的可靠三年数据尚缺，行业相对强弱留空。若行业同期更强，公司可能反而落后；如果行业更弱则表现较稳。数据缺口不能用“大市略跑赢”替代，因此半年排名不因市场超额小幅为正而给技术高分。</w:t>
      </w:r>
    </w:p>
    <w:p>
      <w:pPr>
        <w:pStyle w:val="Heading2"/>
        <w:rPr/>
      </w:pPr>
      <w:r>
        <w:rPr>
          <w:color w:val="000000"/>
        </w:rPr>
        <w:t>十六 估值活动模型及盈利路径</w:t>
      </w:r>
    </w:p>
    <w:p>
      <w:pPr>
        <w:pStyle w:val="Normal"/>
        <w:rPr/>
      </w:pPr>
      <w:r>
        <w:rPr/>
        <w:t>活动模型以核心持续收入、净利率与未来稀释股数形成</w:t>
      </w:r>
      <w:r>
        <w:rPr/>
        <w:t>EPS</w:t>
      </w:r>
      <w:r>
        <w:rPr/>
        <w:t>，再乘合理</w:t>
      </w:r>
      <w:r>
        <w:rPr/>
        <w:t>PE</w:t>
      </w:r>
      <w:r>
        <w:rPr/>
        <w:t>和一人民币等于一点一港元的明确汇率假设。核心盈利包含持续研发、销售、特许权款、股份酬金和常态税，不把首付款、公允投资收益及银行利息直接当常年利润，也不另加全部现金。该方法适合已商业化且盈利的公司提供经营锚，但逐药物和全球权益价值仍需单独</w:t>
      </w:r>
      <w:r>
        <w:rPr/>
        <w:t>rNPV</w:t>
      </w:r>
      <w:r>
        <w:rPr/>
        <w:t>补充。</w:t>
      </w:r>
    </w:p>
    <w:p>
      <w:pPr>
        <w:pStyle w:val="Normal"/>
        <w:rPr/>
      </w:pPr>
      <w:r>
        <w:rPr/>
        <w:t>二〇二七年悲观、基准、乐观核心收入分别一百八十、二百三十、二百七十亿元，稀释股数十八点八、十八点五、十八点五亿，</w:t>
      </w:r>
      <w:r>
        <w:rPr/>
        <w:t>EPS</w:t>
      </w:r>
      <w:r>
        <w:rPr/>
        <w:t>一元八角、三元、四元一角，对应核心净利润三十三点八四、五十五点五、七十五点八五亿元。净利率约百分之十八点八、二十四点一及二十八点一。乐观需要显著销售杠杆和研发回报，不能仅靠收入增速达到；悲观仍盈利但估值可能大幅下降。</w:t>
      </w:r>
    </w:p>
    <w:p>
      <w:pPr>
        <w:pStyle w:val="Normal"/>
        <w:rPr/>
      </w:pPr>
      <w:r>
        <w:rPr/>
        <w:t>二〇二八年收入假设二百一十、二百八十、三百三十亿元，股数十九点一、十八点八、十八点八亿，</w:t>
      </w:r>
      <w:r>
        <w:rPr/>
        <w:t>EPS</w:t>
      </w:r>
      <w:r>
        <w:rPr/>
        <w:t>二元三角、四元一角、五元四角。基准利润七十七点〇八亿元，核心净利率约百分之二十七点五，这比当前法定利润率高，需要较强经营改善。若研发费用快速上升、医保净价下降或高利润产品权利占比减少，基准利润率不成立，应降低</w:t>
      </w:r>
      <w:r>
        <w:rPr/>
        <w:t>EPS</w:t>
      </w:r>
      <w:r>
        <w:rPr/>
        <w:t>而非仅把目标期限延后。</w:t>
      </w:r>
    </w:p>
    <w:p>
      <w:pPr>
        <w:pStyle w:val="Normal"/>
        <w:rPr/>
      </w:pPr>
      <w:r>
        <w:rPr/>
        <w:t>二〇二九年基准收入三百四十亿元，股数十九点一亿，</w:t>
      </w:r>
      <w:r>
        <w:rPr/>
        <w:t>EPS</w:t>
      </w:r>
      <w:r>
        <w:rPr/>
        <w:t>五元五角，净利约一百〇五点〇五亿元、净利率三十点九。二〇三一年基准收入四百五十亿元、股数十九点八亿、</w:t>
      </w:r>
      <w:r>
        <w:rPr/>
        <w:t>EPS</w:t>
      </w:r>
      <w:r>
        <w:rPr/>
        <w:t>七元五角，净利一百四十八点五亿元、净利率三十三。这是一条进取增长路径，要求新产品不断补充、销售费率继续优化及全球贡献，不应表述为保守预测。五年评分仍低于三年，反映较远竞争、政策和兑现误差扩大。</w:t>
      </w:r>
    </w:p>
    <w:p>
      <w:pPr>
        <w:pStyle w:val="Normal"/>
        <w:rPr/>
      </w:pPr>
      <w:r>
        <w:rPr/>
        <w:t>合理</w:t>
      </w:r>
      <w:r>
        <w:rPr/>
        <w:t>PE</w:t>
      </w:r>
      <w:r>
        <w:rPr/>
        <w:t>半年三情景二十四、三十四、四十倍，一年二十二、三十一、三十八倍，三年二十、二十八、三十五倍，五年十八、二十五、三十二倍。随着企业成熟逐步压低倍数，避免用早期高增长估值永久外推。半年和一年使用前瞻次年盈利，在表中明确盈利年度；三年和五年使用目标年盈利。更高盈利和更高</w:t>
      </w:r>
      <w:r>
        <w:rPr/>
        <w:t>PE</w:t>
      </w:r>
      <w:r>
        <w:rPr/>
        <w:t>同时构成乐观，相关假设需审慎，不能误把两种独立概率相乘。</w:t>
      </w:r>
    </w:p>
    <w:p>
      <w:pPr>
        <w:pStyle w:val="Heading2"/>
        <w:rPr/>
      </w:pPr>
      <w:r>
        <w:rPr>
          <w:color w:val="000000"/>
        </w:rPr>
        <w:t>十七 四期限回报 评分与条件</w:t>
      </w:r>
    </w:p>
    <w:p>
      <w:pPr>
        <w:pStyle w:val="Normal"/>
        <w:rPr/>
      </w:pPr>
      <w:r>
        <w:rPr/>
        <w:t>半年基准一百一十二点二港元，对现价上涨约百分之二十一点一，但悲观四十七点五二意味着下降约百分之四十八点七。基准上涨不对称性不足以取消风险，主要催化是全年销售和利润、玛仕度肽剂量注册及</w:t>
      </w:r>
      <w:r>
        <w:rPr/>
        <w:t>IBI</w:t>
      </w:r>
      <w:r>
        <w:rPr/>
        <w:t>三六三关键数据。半年技术权重三成，现有日线弱势压评分；若数据改善但价格未收复均线，仍需要考虑入场节奏，而不是凭年底愿景买入。</w:t>
      </w:r>
    </w:p>
    <w:p>
      <w:pPr>
        <w:pStyle w:val="Normal"/>
        <w:rPr/>
      </w:pPr>
      <w:r>
        <w:rPr/>
        <w:t>一年基准一百三十九点八一港元，价格及总回报百分之五十点九。较大空间需要二〇二八年核心</w:t>
      </w:r>
      <w:r>
        <w:rPr/>
        <w:t>EPS</w:t>
      </w:r>
      <w:r>
        <w:rPr/>
        <w:t>四元一角和三十一倍合理估值成立，不是把机构目标平均后得出的结果。业务和周期权重增加，让商业化兑现对评分更重要；如果玛仕度肽和新医保产品收入未达路径，费用效率没有提高，目标应下修。一年悲观五十五点六六，说明利润继续成长也可能因倍数压缩形成明显亏损。</w:t>
      </w:r>
    </w:p>
    <w:p>
      <w:pPr>
        <w:pStyle w:val="Normal"/>
        <w:rPr/>
      </w:pPr>
      <w:r>
        <w:rPr/>
        <w:t>三年基准一百六十九点四港元，总回报百分之八十二点八四、年化二十二点二八。核心机制是国内组合扩张、后期产品上市、全球合作逐步产生现金与权利价值；临床一次读出只能改变成功概率，真正持续收益来自批准后销售和合理利润。三年经营权重三成五、周期两成，评分八十四点四是四期限最高，但证据可信度仍中等，不等于有八成四获利概率。</w:t>
      </w:r>
    </w:p>
    <w:p>
      <w:pPr>
        <w:pStyle w:val="Normal"/>
        <w:rPr/>
      </w:pPr>
      <w:r>
        <w:rPr/>
        <w:t>五年基准二百〇六点二五，累计回报百分之一百二十二点六一、年化十七点三六。比三年累计收益高而年化低，反映估值成熟及增长放缓；乐观四百二十二点四需要多个全球成功，不能作为主要承诺。五年风险权重一成五、技术归零，关注组织、资金和创新迭代。十年若平台成为真正国际化制药公司，股东可能享受更长期现金复利；若研发只是不断产生昂贵管线而没有持续产品利润，规模扩大也不会带来相应回报。</w:t>
      </w:r>
    </w:p>
    <w:p>
      <w:pPr>
        <w:pStyle w:val="Normal"/>
        <w:rPr/>
      </w:pPr>
      <w:r>
        <w:rPr/>
        <w:t>评分六项均按零至五分证据标尺。半年估值三点六、技术二点四、经营四点六、周期四点四、催化四点六、风险三点三；一年估值四、经营四点六、催化四点七，风险三点四。三年行业四点六、经营四点六，而风险三点二；五年经营四点四、风险三分。较高经营分来自真实产品增长与平台，较低风险分保留临床、稀释、支付和长期资本回报的不确定性，不能因现金充裕就提升到满分。</w:t>
      </w:r>
    </w:p>
    <w:p>
      <w:pPr>
        <w:pStyle w:val="Heading2"/>
        <w:rPr/>
      </w:pPr>
      <w:r>
        <w:rPr>
          <w:color w:val="000000"/>
        </w:rPr>
        <w:t>十八 年底三情景和权重敏感性</w:t>
      </w:r>
    </w:p>
    <w:p>
      <w:pPr>
        <w:pStyle w:val="Normal"/>
        <w:rPr/>
      </w:pPr>
      <w:r>
        <w:rPr/>
        <w:t>年底目标依据年底市场可能采用的二〇二七年前瞻盈利，而不是把该盈利当作两个月内已实现收益。三情景</w:t>
      </w:r>
      <w:r>
        <w:rPr/>
        <w:t>EPS</w:t>
      </w:r>
      <w:r>
        <w:rPr/>
        <w:t>一元八角、三元、四元一角，</w:t>
      </w:r>
      <w:r>
        <w:rPr/>
        <w:t>PE</w:t>
      </w:r>
      <w:r>
        <w:rPr/>
        <w:t>二十四、三十一、三十七倍，价格四十七点五二、一百〇二点三、一百六十六点八七港元。基准倍数低于半年三十四倍，因为年底仍处于信息消化、若干关键数据和全年现金尚待验证的阶段。</w:t>
      </w:r>
    </w:p>
    <w:p>
      <w:pPr>
        <w:pStyle w:val="Normal"/>
        <w:rPr/>
      </w:pPr>
      <w:r>
        <w:rPr/>
        <w:t>年底悲观回报约负百分之四十八点七一，基准正十点四二，乐观正八十点一一。悲观要求医保或竞争净价弱、产品爬坡不及预期且临床降温；基准要求组合增长及费用杠杆大体兑现；乐观则需要代谢销售、注册和全球资产数据显著胜预期并推动风险降低。区间宽反映事件和估值弹性，不是波动率统计置信区间，实际价格可以超出两端。</w:t>
      </w:r>
    </w:p>
    <w:p>
      <w:pPr>
        <w:pStyle w:val="Normal"/>
        <w:rPr/>
      </w:pPr>
      <w:r>
        <w:rPr/>
        <w:t>默认悲观四分之一、基准二分之一、乐观四分之一，期望一百〇四点七四七五港元、期望回报百分之十三点〇六。若改四成悲观、四成基准、两成乐观，期望九十三点三〇二港元，回报仅约百分之〇点七〇；若两成悲观、四成基准、四成乐观，期望一百一十七点一七二港元，回报约二十六点四七。权重选择对结果影响很大，不能将默认期望视为客观概率计算。</w:t>
      </w:r>
    </w:p>
    <w:p>
      <w:pPr>
        <w:pStyle w:val="Normal"/>
        <w:rPr/>
      </w:pPr>
      <w:r>
        <w:rPr/>
        <w:t>若新增信息改变销售或临床假设，需要修改活动输入、重算三个场景并保存同版本快照，不能仅手工替换总表一列目标。年底价不采用机构十二个月目标，也不按剩余月份将较远涨幅线性缩小。药物数据的风险释放具有离散性，经营信息和资金流也不均匀，线性缩放缺乏经济依据。模型公开输入比一个精确期望数字更重要。</w:t>
      </w:r>
    </w:p>
    <w:p>
      <w:pPr>
        <w:pStyle w:val="Heading2"/>
        <w:rPr/>
      </w:pPr>
      <w:r>
        <w:rPr>
          <w:color w:val="000000"/>
        </w:rPr>
        <w:t>十九 外资机构目标与分歧</w:t>
      </w:r>
    </w:p>
    <w:p>
      <w:pPr>
        <w:pStyle w:val="Normal"/>
        <w:rPr/>
      </w:pPr>
      <w:r>
        <w:rPr/>
        <w:t>可核验的近期公开转述包括高盛一百二十点六、汇丰一百三十、美银一百四十、花旗一百四十九点六、大和一百三十五、富瑞一百二十五、摩根士丹利一百三十八点五、野村一百二十三点一七、大华继显一百三十二港元。里昂一百四十六点一属于国际券商但中资控制，单独标明。相对现价的目标空间约三成到六成，显示机构普遍对商业化及全球资产较乐观，但并非全部采用相同方法和期限。</w:t>
      </w:r>
    </w:p>
    <w:p>
      <w:pPr>
        <w:pStyle w:val="Normal"/>
        <w:rPr/>
      </w:pPr>
      <w:r>
        <w:rPr/>
        <w:t>高盛八月二十六日公开转述</w:t>
      </w:r>
      <w:r>
        <w:rPr/>
        <w:t>EPS</w:t>
      </w:r>
      <w:r>
        <w:rPr/>
        <w:t>二〇二六年一元七角九、次年三元五角、二〇二八年四元六角八，反映业绩后上修；瑞银七月曾在新增研发承诺下将</w:t>
      </w:r>
      <w:r>
        <w:rPr/>
        <w:t>EPS</w:t>
      </w:r>
      <w:r>
        <w:rPr/>
        <w:t>降低，说明交易更多并不一定马上增加每股盈利。本文预测核心</w:t>
      </w:r>
      <w:r>
        <w:rPr/>
        <w:t>EPS</w:t>
      </w:r>
      <w:r>
        <w:rPr/>
        <w:t>与券商可能使用的法定、调整或包含授权盈利不同，不能因为数值低于某券商就称为保守。必须先校正经营、股数、税和许可收入口径。</w:t>
      </w:r>
    </w:p>
    <w:p>
      <w:pPr>
        <w:pStyle w:val="Normal"/>
        <w:rPr/>
      </w:pPr>
      <w:r>
        <w:rPr/>
        <w:t>花旗强调后期资产和中期收入指引的可达性，美银重视国内创新与全球化，富瑞强调销售目标及三项全球后期资产，大和列出较密集催化。机构目标差异来自具体管线价值、国内增长、费用、合理倍数和权益假设。多数新闻未明确目标日，记录为期限缺失而不是自动补十二个月。最新同机构目标替代旧目标作横向表，旧报告仅保留分析上修或下修过程。</w:t>
      </w:r>
    </w:p>
    <w:p>
      <w:pPr>
        <w:pStyle w:val="Normal"/>
        <w:rPr/>
      </w:pPr>
      <w:r>
        <w:rPr/>
        <w:t>报道文本同时插入基准日行情、其他股票资讯和转载相关内容，抽取目标必须核对对应公司。行业表里多个目标按顺序出现，若代码和价格位置不匹配会发生错配；同一报告的文字和表格不能作为独立机构样本重复计数。这里来源是财经新闻转述，没有完整原始研报和全部模型表，因此可作为公开验证参照，不能宣称已审核投行完整</w:t>
      </w:r>
      <w:r>
        <w:rPr/>
        <w:t>DCF</w:t>
      </w:r>
      <w:r>
        <w:rPr/>
        <w:t>。</w:t>
      </w:r>
    </w:p>
    <w:p>
      <w:pPr>
        <w:pStyle w:val="Heading2"/>
        <w:rPr/>
      </w:pPr>
      <w:r>
        <w:rPr>
          <w:color w:val="000000"/>
        </w:rPr>
        <w:t>二十 推翻推荐的具体证据及十年持续性</w:t>
      </w:r>
    </w:p>
    <w:p>
      <w:pPr>
        <w:pStyle w:val="Normal"/>
        <w:rPr/>
      </w:pPr>
      <w:r>
        <w:rPr/>
        <w:t>第一类反证是商业化失速。若多产品销量增长显著低于经营路径，净价下降超过销量补偿，或销售费率在收入增长时反而提高，核心净利率目标应降低。若应收、库存和渠道退款较销售更快增加，需要检验收入质量。所谓平台效应应能体现在每元新收入所需新增资源下降，不能以更多品种或更多员工代替利润和现金证据。</w:t>
      </w:r>
    </w:p>
    <w:p>
      <w:pPr>
        <w:pStyle w:val="Normal"/>
        <w:rPr/>
      </w:pPr>
      <w:r>
        <w:rPr/>
        <w:t>第二类反证是全球核心项目失利。</w:t>
      </w:r>
      <w:r>
        <w:rPr/>
        <w:t>IBI</w:t>
      </w:r>
      <w:r>
        <w:rPr/>
        <w:t>三六三关键随机数据不支持疗效或安全性、</w:t>
      </w:r>
      <w:r>
        <w:rPr/>
        <w:t>IBI</w:t>
      </w:r>
      <w:r>
        <w:rPr/>
        <w:t>三四三审评延迟且要求额外研究、伙伴终止重要合作，都会改变风险调整价值。不同适应症应分别更新，而不是全公司一次降固定比例。临床失败并不一定威胁公司生存，但可能使当前高增长估值失去重要依据，尤其乐观情景的目标需明显下调。</w:t>
      </w:r>
    </w:p>
    <w:p>
      <w:pPr>
        <w:pStyle w:val="Normal"/>
        <w:rPr/>
      </w:pPr>
      <w:r>
        <w:rPr/>
        <w:t>第三类反证是资本配置与稀释失控。公司现金多但若投入缺乏退出机制、融资频率高于利润增长、股数扩大抵消经营改善，长期每股价值下降。授权现金进入后持续经营现金仍弱，也提示大额预收可能只支撑支出而没有形成成熟回报。治理监测应看激励是否与长期临床和现金结果一致，不能只按股价或收入目标判断管理层绩效。</w:t>
      </w:r>
    </w:p>
    <w:p>
      <w:pPr>
        <w:pStyle w:val="Normal"/>
        <w:rPr/>
      </w:pPr>
      <w:r>
        <w:rPr/>
        <w:t>技术反证用于半年节奏，而非取代基本面。九十附近跌破后无法修复、再跌破八十三点四且量能显著增加，会降低短期评分；收复九十七、一百〇五并由真实经营消息支持，可提高趋势判断。价格涨回前高本身不证明长期估值合理，价格下跌也不自动证明公司基本面破产。量价变化应触发证据复核，再决定是否调整情景和排名。</w:t>
      </w:r>
    </w:p>
    <w:p>
      <w:pPr>
        <w:pStyle w:val="Normal"/>
        <w:rPr/>
      </w:pPr>
      <w:r>
        <w:rPr/>
        <w:t>十年展望要问创新产出能否反复转化为高质量产品、在全球标准下通过临床和质量验证，以及长期每股现金是否增长。中国商业化的规模可以资助国际研发，国际权益也可能增加国内平台回报；这种循环若成功，公司由本土生物药企业成长为全球制药平台。若技术迭代、竞争和支付压力使旧产品利润持续流失，新研发只是在填补缺口，就不应保持长期高倍数。长期判断保留经营条件，避免用一张十年股价直线替代复杂演进。</w:t>
      </w:r>
    </w:p>
    <w:p>
      <w:pPr>
        <w:pStyle w:val="Heading2"/>
        <w:rPr/>
      </w:pPr>
      <w:r>
        <w:rPr>
          <w:color w:val="000000"/>
        </w:rPr>
        <w:t>来源与复核记录 不计入正文有效汉字</w:t>
      </w:r>
    </w:p>
    <w:p>
      <w:pPr>
        <w:pStyle w:val="Normal"/>
        <w:rPr/>
      </w:pPr>
      <w:r>
        <w:rPr/>
        <w:t>- [</w:t>
      </w:r>
      <w:r>
        <w:rPr/>
        <w:t>信达生物</w:t>
      </w:r>
      <w:r>
        <w:rPr/>
        <w:t>2026</w:t>
      </w:r>
      <w:r>
        <w:rPr/>
        <w:t>中期报告</w:t>
      </w:r>
      <w:r>
        <w:rPr/>
        <w:t>](https://iis.aastocks.com/20260929/12350268-0.PDF)</w:t>
      </w:r>
      <w:r>
        <w:rPr/>
        <w:t>，</w:t>
      </w:r>
      <w:r>
        <w:rPr/>
        <w:t>9</w:t>
      </w:r>
      <w:r>
        <w:rPr/>
        <w:t>月</w:t>
      </w:r>
      <w:r>
        <w:rPr/>
        <w:t>29</w:t>
      </w:r>
      <w:r>
        <w:rPr/>
        <w:t>日公开；重点</w:t>
      </w:r>
      <w:r>
        <w:rPr/>
        <w:t>PDF</w:t>
      </w:r>
      <w:r>
        <w:rPr/>
        <w:t>页</w:t>
      </w:r>
      <w:r>
        <w:rPr/>
        <w:t>3</w:t>
      </w:r>
      <w:r>
        <w:rPr/>
        <w:t>、</w:t>
      </w:r>
      <w:r>
        <w:rPr/>
        <w:t>6—8</w:t>
      </w:r>
      <w:r>
        <w:rPr/>
        <w:t>、</w:t>
      </w:r>
      <w:r>
        <w:rPr/>
        <w:t>9—16</w:t>
      </w:r>
      <w:r>
        <w:rPr/>
        <w:t>、</w:t>
      </w:r>
      <w:r>
        <w:rPr/>
        <w:t>21—31</w:t>
      </w:r>
      <w:r>
        <w:rPr/>
        <w:t>、</w:t>
      </w:r>
      <w:r>
        <w:rPr/>
        <w:t>32—39</w:t>
      </w:r>
      <w:r>
        <w:rPr/>
        <w:t>、</w:t>
      </w:r>
      <w:r>
        <w:rPr/>
        <w:t>62</w:t>
      </w:r>
      <w:r>
        <w:rPr/>
        <w:t>、</w:t>
      </w:r>
      <w:r>
        <w:rPr/>
        <w:t>67—71</w:t>
      </w:r>
      <w:r>
        <w:rPr/>
        <w:t>、</w:t>
      </w:r>
      <w:r>
        <w:rPr/>
        <w:t>75</w:t>
      </w:r>
      <w:r>
        <w:rPr/>
        <w:t>、</w:t>
      </w:r>
      <w:r>
        <w:rPr/>
        <w:t>77</w:t>
      </w:r>
      <w:r>
        <w:rPr/>
        <w:t>、</w:t>
      </w:r>
      <w:r>
        <w:rPr/>
        <w:t>80</w:t>
      </w:r>
      <w:r>
        <w:rPr/>
        <w:t>、</w:t>
      </w:r>
      <w:r>
        <w:rPr/>
        <w:t>83—90</w:t>
      </w:r>
      <w:r>
        <w:rPr/>
        <w:t>。报告不同章节时点与</w:t>
      </w:r>
      <w:r>
        <w:rPr/>
        <w:t>6</w:t>
      </w:r>
      <w:r>
        <w:rPr/>
        <w:t>月末财务分开。</w:t>
      </w:r>
    </w:p>
    <w:p>
      <w:pPr>
        <w:pStyle w:val="Normal"/>
        <w:rPr/>
      </w:pPr>
      <w:r>
        <w:rPr/>
        <w:t>- [8</w:t>
      </w:r>
      <w:r>
        <w:rPr/>
        <w:t>月</w:t>
      </w:r>
      <w:r>
        <w:rPr/>
        <w:t>25</w:t>
      </w:r>
      <w:r>
        <w:rPr/>
        <w:t>日中期业绩公告</w:t>
      </w:r>
      <w:r>
        <w:rPr/>
        <w:t>](https://iis.aastocks.com/20260825/12298145-0.PDF)</w:t>
      </w:r>
      <w:r>
        <w:rPr/>
        <w:t>，与原中报收入及利润复核。</w:t>
      </w:r>
    </w:p>
    <w:p>
      <w:pPr>
        <w:pStyle w:val="Normal"/>
        <w:rPr/>
      </w:pPr>
      <w:r>
        <w:rPr/>
        <w:t>- [</w:t>
      </w:r>
      <w:r>
        <w:rPr/>
        <w:t>汇丰</w:t>
      </w:r>
      <w:r>
        <w:rPr/>
        <w:t>9</w:t>
      </w:r>
      <w:r>
        <w:rPr/>
        <w:t>月</w:t>
      </w:r>
      <w:r>
        <w:rPr/>
        <w:t>29</w:t>
      </w:r>
      <w:r>
        <w:rPr/>
        <w:t>日</w:t>
      </w:r>
      <w:r>
        <w:rPr/>
        <w:t>130</w:t>
      </w:r>
      <w:r>
        <w:rPr/>
        <w:t>港元</w:t>
      </w:r>
      <w:r>
        <w:rPr/>
        <w:t>](https://www.aastocks.com/tc/stocks/analysis/stock-aafn-con/01801/AAFN/NOW.1547010/research-report)</w:t>
      </w:r>
      <w:r>
        <w:rPr/>
        <w:t>；</w:t>
      </w:r>
      <w:r>
        <w:rPr/>
        <w:t>[</w:t>
      </w:r>
      <w:r>
        <w:rPr/>
        <w:t>高盛</w:t>
      </w:r>
      <w:r>
        <w:rPr/>
        <w:t>9</w:t>
      </w:r>
      <w:r>
        <w:rPr/>
        <w:t>月</w:t>
      </w:r>
      <w:r>
        <w:rPr/>
        <w:t>11</w:t>
      </w:r>
      <w:r>
        <w:rPr/>
        <w:t>日</w:t>
      </w:r>
      <w:r>
        <w:rPr/>
        <w:t>120.6](https://www.aastocks.com/tc/stocks/analysis/stock-aafn-con/02268/AAFN/NOW.1544113/research-report)</w:t>
      </w:r>
      <w:r>
        <w:rPr/>
        <w:t>；</w:t>
      </w:r>
      <w:r>
        <w:rPr/>
        <w:t>[</w:t>
      </w:r>
      <w:r>
        <w:rPr/>
        <w:t>大华继显</w:t>
      </w:r>
      <w:r>
        <w:rPr/>
        <w:t>10</w:t>
      </w:r>
      <w:r>
        <w:rPr/>
        <w:t>月</w:t>
      </w:r>
      <w:r>
        <w:rPr/>
        <w:t>5</w:t>
      </w:r>
      <w:r>
        <w:rPr/>
        <w:t>日</w:t>
      </w:r>
      <w:r>
        <w:rPr/>
        <w:t>132](https://www.aastocks.com/tc/stocks/analysis/stock-aafn-con/01801/AAFN/NOW.1547727/research-report)</w:t>
      </w:r>
      <w:r>
        <w:rPr/>
        <w:t>。</w:t>
      </w:r>
    </w:p>
    <w:p>
      <w:pPr>
        <w:pStyle w:val="Normal"/>
        <w:rPr/>
      </w:pPr>
      <w:r>
        <w:rPr/>
        <w:t>- [</w:t>
      </w:r>
      <w:r>
        <w:rPr/>
        <w:t>美银</w:t>
      </w:r>
      <w:r>
        <w:rPr/>
        <w:t>9</w:t>
      </w:r>
      <w:r>
        <w:rPr/>
        <w:t>月</w:t>
      </w:r>
      <w:r>
        <w:rPr/>
        <w:t>21</w:t>
      </w:r>
      <w:r>
        <w:rPr/>
        <w:t>日</w:t>
      </w:r>
      <w:r>
        <w:rPr/>
        <w:t>140](https://www.aastocks.com/tc/stocks/analysis/stock-aafn-con/01801/AAFN/NOW.1545493/research-report)</w:t>
      </w:r>
      <w:r>
        <w:rPr/>
        <w:t>；</w:t>
      </w:r>
      <w:r>
        <w:rPr/>
        <w:t>[</w:t>
      </w:r>
      <w:r>
        <w:rPr/>
        <w:t>花旗</w:t>
      </w:r>
      <w:r>
        <w:rPr/>
        <w:t>8</w:t>
      </w:r>
      <w:r>
        <w:rPr/>
        <w:t>月</w:t>
      </w:r>
      <w:r>
        <w:rPr/>
        <w:t>27</w:t>
      </w:r>
      <w:r>
        <w:rPr/>
        <w:t>日</w:t>
      </w:r>
      <w:r>
        <w:rPr/>
        <w:t>149.6](https://www.aastocks.com/tc/stocks/analysis/stock-aafn-con/01801/AAFN/NOW.1541213/research-report)</w:t>
      </w:r>
      <w:r>
        <w:rPr/>
        <w:t>；</w:t>
      </w:r>
      <w:r>
        <w:rPr/>
        <w:t>[</w:t>
      </w:r>
      <w:r>
        <w:rPr/>
        <w:t>大和</w:t>
      </w:r>
      <w:r>
        <w:rPr/>
        <w:t>8</w:t>
      </w:r>
      <w:r>
        <w:rPr/>
        <w:t>月</w:t>
      </w:r>
      <w:r>
        <w:rPr/>
        <w:t>27</w:t>
      </w:r>
      <w:r>
        <w:rPr/>
        <w:t>日</w:t>
      </w:r>
      <w:r>
        <w:rPr/>
        <w:t>135](https://www.aastocks.com/tc/stocks/analysis/stock-aafn-con/01801/AAFN/NOW.1541216/research-report)</w:t>
      </w:r>
      <w:r>
        <w:rPr/>
        <w:t>；</w:t>
      </w:r>
      <w:r>
        <w:rPr/>
        <w:t>[</w:t>
      </w:r>
      <w:r>
        <w:rPr/>
        <w:t>富瑞</w:t>
      </w:r>
      <w:r>
        <w:rPr/>
        <w:t>8</w:t>
      </w:r>
      <w:r>
        <w:rPr/>
        <w:t>月</w:t>
      </w:r>
      <w:r>
        <w:rPr/>
        <w:t>27</w:t>
      </w:r>
      <w:r>
        <w:rPr/>
        <w:t>日</w:t>
      </w:r>
      <w:r>
        <w:rPr/>
        <w:t>125](https://www.aastocks.com/tc/stocks/analysis/stock-aafn-con/01801/AAFN/NOW.1541245/research-report)</w:t>
      </w:r>
      <w:r>
        <w:rPr/>
        <w:t>。</w:t>
      </w:r>
    </w:p>
    <w:p>
      <w:pPr>
        <w:pStyle w:val="Normal"/>
        <w:rPr/>
      </w:pPr>
      <w:r>
        <w:rPr/>
        <w:t>- [</w:t>
      </w:r>
      <w:r>
        <w:rPr/>
        <w:t>高盛及里昂</w:t>
      </w:r>
      <w:r>
        <w:rPr/>
        <w:t>8</w:t>
      </w:r>
      <w:r>
        <w:rPr/>
        <w:t>月</w:t>
      </w:r>
      <w:r>
        <w:rPr/>
        <w:t>26</w:t>
      </w:r>
      <w:r>
        <w:rPr/>
        <w:t>日盈利和目标转述</w:t>
      </w:r>
      <w:r>
        <w:rPr/>
        <w:t>](https://www.aastocks.com/tc/stocks/analysis/stock-aafn-con/01801/AAFN/NOW.1540893/research-report)</w:t>
      </w:r>
      <w:r>
        <w:rPr/>
        <w:t>；</w:t>
      </w:r>
      <w:r>
        <w:rPr/>
        <w:t>[</w:t>
      </w:r>
      <w:r>
        <w:rPr/>
        <w:t>大摩</w:t>
      </w:r>
      <w:r>
        <w:rPr/>
        <w:t>8</w:t>
      </w:r>
      <w:r>
        <w:rPr/>
        <w:t>月</w:t>
      </w:r>
      <w:r>
        <w:rPr/>
        <w:t>19</w:t>
      </w:r>
      <w:r>
        <w:rPr/>
        <w:t>日</w:t>
      </w:r>
      <w:r>
        <w:rPr/>
        <w:t>138.5](https://www.aastocks.com/tc/stocks/analysis/stock-aafn-con/01801/AAFN/NOW.1539227/research-report)</w:t>
      </w:r>
      <w:r>
        <w:rPr/>
        <w:t>；</w:t>
      </w:r>
      <w:r>
        <w:rPr/>
        <w:t>[</w:t>
      </w:r>
      <w:r>
        <w:rPr/>
        <w:t>野村</w:t>
      </w:r>
      <w:r>
        <w:rPr/>
        <w:t>7</w:t>
      </w:r>
      <w:r>
        <w:rPr/>
        <w:t>月</w:t>
      </w:r>
      <w:r>
        <w:rPr/>
        <w:t>10</w:t>
      </w:r>
      <w:r>
        <w:rPr/>
        <w:t>日</w:t>
      </w:r>
      <w:r>
        <w:rPr/>
        <w:t>123.17](https://www.aastocks.com/tc/stocks/analysis/stock-aafn-con/01801/AAFN/NOW.1532719/research-report)</w:t>
      </w:r>
      <w:r>
        <w:rPr/>
        <w:t>；</w:t>
      </w:r>
      <w:r>
        <w:rPr/>
        <w:t>[</w:t>
      </w:r>
      <w:r>
        <w:rPr/>
        <w:t>瑞银</w:t>
      </w:r>
      <w:r>
        <w:rPr/>
        <w:t>7</w:t>
      </w:r>
      <w:r>
        <w:rPr/>
        <w:t>月</w:t>
      </w:r>
      <w:r>
        <w:rPr/>
        <w:t>3</w:t>
      </w:r>
      <w:r>
        <w:rPr/>
        <w:t>日盈利变化</w:t>
      </w:r>
      <w:r>
        <w:rPr/>
        <w:t>](https://www.aastocks.com/tc/stocks/analysis/stock-aafn-con/01801/AAFN/NOW.1531706/research-report)</w:t>
      </w:r>
      <w:r>
        <w:rPr/>
        <w:t>。</w:t>
      </w:r>
    </w:p>
    <w:p>
      <w:pPr>
        <w:pStyle w:val="Normal"/>
        <w:rPr/>
      </w:pPr>
      <w:r>
        <w:rPr/>
        <w:t xml:space="preserve">- </w:t>
      </w:r>
      <w:r>
        <w:rPr/>
        <w:t>量价</w:t>
      </w:r>
      <w:r>
        <w:rPr/>
        <w:t>data/market_snapshot.json S055</w:t>
      </w:r>
      <w:r>
        <w:rPr/>
        <w:t>，</w:t>
      </w:r>
      <w:r>
        <w:rPr/>
        <w:t>739</w:t>
      </w:r>
      <w:r>
        <w:rPr/>
        <w:t>根三年日线，腾讯</w:t>
      </w:r>
      <w:r>
        <w:rPr/>
        <w:t>/Yahoo</w:t>
      </w:r>
      <w:r>
        <w:rPr/>
        <w:t>交叉，腾讯新浪基准收盘一致；</w:t>
      </w:r>
      <w:r>
        <w:rPr/>
        <w:t>1</w:t>
      </w:r>
      <w:r>
        <w:rPr/>
        <w:t>根</w:t>
      </w:r>
      <w:r>
        <w:rPr/>
        <w:t>Yahoo</w:t>
      </w:r>
      <w:r>
        <w:rPr/>
        <w:t>逻辑错误用同日腾讯完整</w:t>
      </w:r>
      <w:r>
        <w:rPr/>
        <w:t>bar</w:t>
      </w:r>
      <w:r>
        <w:rPr/>
        <w:t>修复，历史修复记录保留。调整至基准名义价格，成交股数不与手混用，无逐笔成交故不声称精确量分布。</w:t>
      </w:r>
    </w:p>
    <w:p>
      <w:pPr>
        <w:pStyle w:val="Normal"/>
        <w:rPr/>
      </w:pPr>
      <w:r>
        <w:rPr/>
        <w:t xml:space="preserve">- </w:t>
      </w:r>
      <w:r>
        <w:rPr/>
        <w:t>情景和评分</w:t>
      </w:r>
      <w:r>
        <w:rPr/>
        <w:t>data/innovent_model.json</w:t>
      </w:r>
      <w:r>
        <w:rPr/>
        <w:t>，活动脚本</w:t>
      </w:r>
      <w:r>
        <w:rPr/>
        <w:t>tools/innovent_model.mjs</w:t>
      </w:r>
      <w:r>
        <w:rPr/>
        <w:t>；价格、核心收入、利润率、未来股数和</w:t>
      </w:r>
      <w:r>
        <w:rPr/>
        <w:t>PE</w:t>
      </w:r>
      <w:r>
        <w:rPr/>
        <w:t>为明确假设，逐适应症</w:t>
      </w:r>
      <w:r>
        <w:rPr/>
        <w:t>rNPV</w:t>
      </w:r>
      <w:r>
        <w:rPr/>
        <w:t>和完整</w:t>
      </w:r>
      <w:r>
        <w:rPr/>
        <w:t>DCF</w:t>
      </w:r>
      <w:r>
        <w:rPr/>
        <w:t>待补，公开机构目标期限多数缺失。</w:t>
      </w:r>
      <w:r>
        <w:br w:type="page"/>
      </w:r>
    </w:p>
    <w:p>
      <w:pPr>
        <w:pStyle w:val="Heading1"/>
        <w:rPr/>
      </w:pPr>
      <w:bookmarkStart w:id="4" w:name="__RefHeading___Toc10708_312338234"/>
      <w:bookmarkEnd w:id="4"/>
      <w:r>
        <w:rPr>
          <w:color w:val="000000"/>
        </w:rPr>
        <w:t xml:space="preserve">腾讯控股 </w:t>
      </w:r>
      <w:r>
        <w:rPr>
          <w:color w:val="000000"/>
        </w:rPr>
        <w:t>00700 HK</w:t>
      </w:r>
    </w:p>
    <w:p>
      <w:pPr>
        <w:pStyle w:val="Normal"/>
        <w:rPr/>
      </w:pPr>
      <w:r>
        <w:rPr/>
        <w:t xml:space="preserve">00700.HK </w:t>
      </w:r>
      <w:r>
        <w:rPr/>
        <w:t xml:space="preserve">现价 </w:t>
      </w:r>
      <w:r>
        <w:rPr/>
        <w:t>424.80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561.00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+32.06%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+32.06%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633.60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+49.15%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+50.40%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748.00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+76.08%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+80.32%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880.00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+107.16%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+115.40%</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316.80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492.80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682.00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496.10HKD</w:t>
      </w:r>
      <w:r>
        <w:rPr/>
        <w:t>，期望股价回报</w:t>
      </w:r>
      <w:r>
        <w:rPr/>
        <w:t>+16.78%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330.00</w:t>
              <w:br/>
              <w:t>-22.32%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561.00</w:t>
              <w:br/>
              <w:t>+32.06%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785.40</w:t>
              <w:br/>
              <w:t>+84.89%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343.20</w:t>
              <w:br/>
              <w:t>-19.21%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633.60</w:t>
              <w:br/>
              <w:t>+49.15%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919.60</w:t>
              <w:br/>
              <w:t>+116.48%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338.80</w:t>
              <w:br/>
              <w:t>-20.24%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748.00</w:t>
              <w:br/>
              <w:t>+76.08%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1,258.40</w:t>
              <w:br/>
              <w:t>+196.23%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+21.72%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308.00</w:t>
              <w:br/>
              <w:t>-27.50%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880.00</w:t>
              <w:br/>
              <w:t>+107.16%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1,815.00</w:t>
              <w:br/>
              <w:t>+327.26%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高（官网原始披露）</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2026-10-10T09:14:29Z</w:t>
            </w:r>
            <w:r>
              <w:rPr>
                <w:rFonts w:ascii="微软雅黑" w:hAnsi="微软雅黑" w:eastAsia="微软雅黑"/>
                <w:sz w:val="17"/>
              </w:rPr>
              <w:t>刷新后独立</w:t>
            </w:r>
            <w:r>
              <w:rPr>
                <w:rFonts w:eastAsia="微软雅黑" w:ascii="微软雅黑" w:hAnsi="微软雅黑"/>
                <w:sz w:val="17"/>
              </w:rPr>
              <w:t>Yahoo</w:t>
            </w:r>
            <w:r>
              <w:rPr>
                <w:rFonts w:ascii="微软雅黑" w:hAnsi="微软雅黑" w:eastAsia="微软雅黑"/>
                <w:sz w:val="17"/>
              </w:rPr>
              <w:t>复权历史与腾讯报价核验；仍不保证形态预测）</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中低（公开研究假设，盈利及</w:t>
            </w:r>
            <w:r>
              <w:rPr>
                <w:rFonts w:eastAsia="微软雅黑" w:ascii="微软雅黑" w:hAnsi="微软雅黑"/>
                <w:sz w:val="17"/>
              </w:rPr>
              <w:t>FX</w:t>
            </w:r>
            <w:r>
              <w:rPr>
                <w:rFonts w:ascii="微软雅黑" w:hAnsi="微软雅黑" w:eastAsia="微软雅黑"/>
                <w:sz w:val="17"/>
              </w:rPr>
              <w:t>待更新）</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中（公开新闻转载，非完整研报）</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+32.06%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+38.67%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+42.88%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+57.92%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+80.32%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+89.34%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+104.63%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+126.17%</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Heading2"/>
        <w:rPr/>
      </w:pPr>
      <w:r>
        <w:rPr>
          <w:color w:val="000000"/>
        </w:rPr>
        <w:t>投资判断与可复算价格摘要</w:t>
      </w:r>
    </w:p>
    <w:p>
      <w:pPr>
        <w:pStyle w:val="Normal"/>
        <w:rPr/>
      </w:pPr>
      <w:r>
        <w:rPr/>
        <w:t>腾讯在这份名单中值得优先研究，理由是成熟社交基础设施、游戏内容、广告转化和支付企业服务共同形成较大的经营现金来源，而目前市场对人工智能投入回收速度的担忧已经体现在股价和估值之中。判断的关键不是腾讯有没有人工智能业务，而是现有高毛利业务的增量能否覆盖训练、推理、算力采购和营销成本，最终转化为每股现金收益。以三年、五年考察，它具有可以继续验证的复合增长基础；以半年考察，下降趋势和即将公布的利润压力使入场时机比公司质地更重要。</w:t>
      </w:r>
    </w:p>
    <w:p>
      <w:pPr>
        <w:pStyle w:val="Normal"/>
        <w:rPr/>
      </w:pPr>
      <w:r>
        <w:rPr/>
        <w:t>这是一项有条件的进取型判断，条件包括国内游戏保持较好的存量运营与新品贡献、广告效率继续提高、人工智能投入节奏可追踪、公司没有用持续融资稀释股东来追求用户规模。当前并未取得人工智能新产品成熟付费收入和单位经济性全套数据，因此不会把应用用户增长或模型榜单排名单独视作确定利润。腾讯现金较多也不意味着现金可以全部分配，服务器采购、债务偿付和业务发展都会消耗现金，投资组合价值亦不等于随时能够无折价出售的现金。</w:t>
      </w:r>
    </w:p>
    <w:p>
      <w:pPr>
        <w:pStyle w:val="Normal"/>
        <w:rPr/>
      </w:pPr>
      <w:r>
        <w:rPr/>
        <w:t>研究的核心分歧是，现价可能已经接近低增长和高投入情景的估值，但一旦资本开支持续升高而新产品变现迟迟没有形成，低市盈率仍可能是盈利下降前的表象。以</w:t>
      </w:r>
      <w:r>
        <w:rPr/>
        <w:t>2025</w:t>
      </w:r>
      <w:r>
        <w:rPr/>
        <w:t>年非国际财务报告准则摊薄每股收益</w:t>
      </w:r>
      <w:r>
        <w:rPr/>
        <w:t>27.877</w:t>
      </w:r>
      <w:r>
        <w:rPr/>
        <w:t>元人民币为历史锚，按研究汇率每人民币兑换</w:t>
      </w:r>
      <w:r>
        <w:rPr/>
        <w:t>1.10</w:t>
      </w:r>
      <w:r>
        <w:rPr/>
        <w:t>港元换算，现价约对应</w:t>
      </w:r>
      <w:r>
        <w:rPr/>
        <w:t>13.85</w:t>
      </w:r>
      <w:r>
        <w:rPr/>
        <w:t>倍。这不是已核实的当前预测市盈率，更不是净现金扣除后的企业价值倍数。它只是使讨论有清楚起点，随后必须以新的费用和股本假设更新。</w:t>
      </w:r>
    </w:p>
    <w:p>
      <w:pPr>
        <w:pStyle w:val="Normal"/>
        <w:rPr/>
      </w:pPr>
      <w:r>
        <w:rPr/>
        <w:t>自有价格模型采用目标时点未来十二个月的非国际财务报告准则摊薄每股收益乘目标市盈率，再按统一研究汇率换算港元。年底悲观、基准、乐观分别是</w:t>
      </w:r>
      <w:r>
        <w:rPr/>
        <w:t>316.8</w:t>
      </w:r>
      <w:r>
        <w:rPr/>
        <w:t>、</w:t>
      </w:r>
      <w:r>
        <w:rPr/>
        <w:t>492.8</w:t>
      </w:r>
      <w:r>
        <w:rPr/>
        <w:t>、</w:t>
      </w:r>
      <w:r>
        <w:rPr/>
        <w:t>682.0</w:t>
      </w:r>
      <w:r>
        <w:rPr/>
        <w:t>港元，对现价分别为负</w:t>
      </w:r>
      <w:r>
        <w:rPr/>
        <w:t>25.42%</w:t>
      </w:r>
      <w:r>
        <w:rPr/>
        <w:t>、正</w:t>
      </w:r>
      <w:r>
        <w:rPr/>
        <w:t>16.01%</w:t>
      </w:r>
      <w:r>
        <w:rPr/>
        <w:t>、正</w:t>
      </w:r>
      <w:r>
        <w:rPr/>
        <w:t>60.55%</w:t>
      </w:r>
      <w:r>
        <w:rPr/>
        <w:t>。半年分别为</w:t>
      </w:r>
      <w:r>
        <w:rPr/>
        <w:t>330.0</w:t>
      </w:r>
      <w:r>
        <w:rPr/>
        <w:t>、</w:t>
      </w:r>
      <w:r>
        <w:rPr/>
        <w:t>561.0</w:t>
      </w:r>
      <w:r>
        <w:rPr/>
        <w:t>、</w:t>
      </w:r>
      <w:r>
        <w:rPr/>
        <w:t>785.4</w:t>
      </w:r>
      <w:r>
        <w:rPr/>
        <w:t>港元，对应负</w:t>
      </w:r>
      <w:r>
        <w:rPr/>
        <w:t>22.32%</w:t>
      </w:r>
      <w:r>
        <w:rPr/>
        <w:t>、正</w:t>
      </w:r>
      <w:r>
        <w:rPr/>
        <w:t>32.06%</w:t>
      </w:r>
      <w:r>
        <w:rPr/>
        <w:t>、正</w:t>
      </w:r>
      <w:r>
        <w:rPr/>
        <w:t>84.89%</w:t>
      </w:r>
      <w:r>
        <w:rPr/>
        <w:t>。一年分别为</w:t>
      </w:r>
      <w:r>
        <w:rPr/>
        <w:t>343.2</w:t>
      </w:r>
      <w:r>
        <w:rPr/>
        <w:t>、</w:t>
      </w:r>
      <w:r>
        <w:rPr/>
        <w:t>633.6</w:t>
      </w:r>
      <w:r>
        <w:rPr/>
        <w:t>、</w:t>
      </w:r>
      <w:r>
        <w:rPr/>
        <w:t>919.6</w:t>
      </w:r>
      <w:r>
        <w:rPr/>
        <w:t>港元，对应负</w:t>
      </w:r>
      <w:r>
        <w:rPr/>
        <w:t>19.21%</w:t>
      </w:r>
      <w:r>
        <w:rPr/>
        <w:t>、正</w:t>
      </w:r>
      <w:r>
        <w:rPr/>
        <w:t>49.15%</w:t>
      </w:r>
      <w:r>
        <w:rPr/>
        <w:t>、正</w:t>
      </w:r>
      <w:r>
        <w:rPr/>
        <w:t>116.48%</w:t>
      </w:r>
      <w:r>
        <w:rPr/>
        <w:t>。三年分别为</w:t>
      </w:r>
      <w:r>
        <w:rPr/>
        <w:t>338.8</w:t>
      </w:r>
      <w:r>
        <w:rPr/>
        <w:t>、</w:t>
      </w:r>
      <w:r>
        <w:rPr/>
        <w:t>748.0</w:t>
      </w:r>
      <w:r>
        <w:rPr/>
        <w:t>、</w:t>
      </w:r>
      <w:r>
        <w:rPr/>
        <w:t>1258.4</w:t>
      </w:r>
      <w:r>
        <w:rPr/>
        <w:t>港元，对应负</w:t>
      </w:r>
      <w:r>
        <w:rPr/>
        <w:t>20.24%</w:t>
      </w:r>
      <w:r>
        <w:rPr/>
        <w:t>、正</w:t>
      </w:r>
      <w:r>
        <w:rPr/>
        <w:t>76.08%</w:t>
      </w:r>
      <w:r>
        <w:rPr/>
        <w:t>、正</w:t>
      </w:r>
      <w:r>
        <w:rPr/>
        <w:t>196.23%</w:t>
      </w:r>
      <w:r>
        <w:rPr/>
        <w:t>。五年分别为</w:t>
      </w:r>
      <w:r>
        <w:rPr/>
        <w:t>308.0</w:t>
      </w:r>
      <w:r>
        <w:rPr/>
        <w:t>、</w:t>
      </w:r>
      <w:r>
        <w:rPr/>
        <w:t>880.0</w:t>
      </w:r>
      <w:r>
        <w:rPr/>
        <w:t>、</w:t>
      </w:r>
      <w:r>
        <w:rPr/>
        <w:t>1815.0</w:t>
      </w:r>
      <w:r>
        <w:rPr/>
        <w:t>港元，对应负</w:t>
      </w:r>
      <w:r>
        <w:rPr/>
        <w:t>27.50%</w:t>
      </w:r>
      <w:r>
        <w:rPr/>
        <w:t>、正</w:t>
      </w:r>
      <w:r>
        <w:rPr/>
        <w:t>107.16%</w:t>
      </w:r>
      <w:r>
        <w:rPr/>
        <w:t>、正</w:t>
      </w:r>
      <w:r>
        <w:rPr/>
        <w:t>327.26%</w:t>
      </w:r>
      <w:r>
        <w:rPr/>
        <w:t>。</w:t>
      </w:r>
    </w:p>
    <w:p>
      <w:pPr>
        <w:pStyle w:val="Normal"/>
        <w:rPr/>
      </w:pPr>
      <w:r>
        <w:rPr/>
        <w:t>这些价格是公开假设产生的情景结果，不是给定概率的市场预测。尤其一年乐观情景要求利润恢复与估值抬升同时发生，五年乐观情景要求人工智能从成本中心走向有效商业化，游戏、广告和生态仍保有竞争力。不能因为技术支撑在</w:t>
      </w:r>
      <w:r>
        <w:rPr/>
        <w:t>411</w:t>
      </w:r>
      <w:r>
        <w:rPr/>
        <w:t>港元附近，就认定悲观情景最多只亏约百分之三。技术观察区间、基本面估值情景和极端风险是三种不同的信息，任一种都不能代替最大损失边界。</w:t>
      </w:r>
    </w:p>
    <w:p>
      <w:pPr>
        <w:pStyle w:val="Heading2"/>
        <w:rPr/>
      </w:pPr>
      <w:r>
        <w:rPr>
          <w:color w:val="000000"/>
        </w:rPr>
        <w:t>一 微信生态的价值如何转化为盈利</w:t>
      </w:r>
    </w:p>
    <w:p>
      <w:pPr>
        <w:pStyle w:val="Normal"/>
        <w:rPr/>
      </w:pPr>
      <w:r>
        <w:rPr/>
        <w:t>腾讯最稳定的资产是人与人、人与商户、人与内容之间的使用关系。微信及</w:t>
      </w:r>
      <w:r>
        <w:rPr/>
        <w:t>WeChat</w:t>
      </w:r>
      <w:r>
        <w:rPr/>
        <w:t>在</w:t>
      </w:r>
      <w:r>
        <w:rPr/>
        <w:t>2026</w:t>
      </w:r>
      <w:r>
        <w:rPr/>
        <w:t>年六月底合并月活跃账户达到</w:t>
      </w:r>
      <w:r>
        <w:rPr/>
        <w:t>14.39</w:t>
      </w:r>
      <w:r>
        <w:rPr/>
        <w:t>亿，同比增长约百分之二，季度增长约百分之零点五。如此大的规模已经限制单纯通过用户数量驱动收入的空间，未来增长更多依赖每个用户实际需要的服务增加、商户服务改善和广告效率，而不是再复制早期用户高速扩张。月活账户也不等于独立自然人数，不能拿这个数字直接乘一个假设客单价计算销售额。</w:t>
      </w:r>
    </w:p>
    <w:p>
      <w:pPr>
        <w:pStyle w:val="Normal"/>
        <w:rPr/>
      </w:pPr>
      <w:r>
        <w:rPr/>
        <w:t>微信的竞争优势首先在于通信与组织生活，联系人、群聊、支付、小程序和内容订阅让它持续进入用户日常。用户打开一个单独的新工具通常为完成某一任务，打开微信却可能同时涉及家庭、工作、交易和娱乐。这种高频基础有利于分发新服务，并降低一部分获客成本。但入口优势并不保证所有产品成功，用户不愿付费的功能仍会消耗推理费用，商户也会比较广告和工具带来的实际销售回报。</w:t>
      </w:r>
    </w:p>
    <w:p>
      <w:pPr>
        <w:pStyle w:val="Normal"/>
        <w:rPr/>
      </w:pPr>
      <w:r>
        <w:rPr/>
        <w:t>小程序和小商店的潜在意义是将发现、沟通、购买、履约以及再营销连在一起。较完整的交易链路可以改善广告归因，使商家知道购买来自哪里，从而提高其愿意支付的广告预算。这与把广告位塞得更密不同，后者容易损伤用户体验。腾讯中报将微信生态内小程序和小商店推广与闭环营销相联系，能够支持广告效率逻辑，却尚不能让研究者精确断言某个新商店业务将贡献多少净利润。</w:t>
      </w:r>
    </w:p>
    <w:p>
      <w:pPr>
        <w:pStyle w:val="Normal"/>
        <w:rPr/>
      </w:pPr>
      <w:r>
        <w:rPr/>
        <w:t>社交关系还有助于服务流通，但同样产生治理成本。诈骗、虚假营销、低质内容与商户纠纷会降低生态可信度，公司需要持续投入审核、客服和安全技术。这类成本不应只在政策风险章节笼统提一句，因为它们实际影响用户留存、广告转化和利润率。人工智能能够改善审核和客服效率，也可能降低造假内容成本，正反作用需要同时观察，不能只计入效率收益而忽略新增治理负担。</w:t>
      </w:r>
    </w:p>
    <w:p>
      <w:pPr>
        <w:pStyle w:val="Normal"/>
        <w:rPr/>
      </w:pPr>
      <w:r>
        <w:rPr/>
        <w:t>微信商业化仍必须保留边界。金融服务涉及合规，通信内容涉及隐私，商业推荐涉及信息透明和用户选择。若为了短期收入过度导流，可能降低微信的公共通信价值，削弱长期优势。腾讯相对于独立应用的优势在于多种业务可以相互支持，而投资者应关注它是否在维护这一支持关系。合理的长期估值建立在高频基础持续可信之上，而不是建立在能够无限提高广告负载的假设上。</w:t>
      </w:r>
    </w:p>
    <w:p>
      <w:pPr>
        <w:pStyle w:val="Normal"/>
        <w:rPr/>
      </w:pPr>
      <w:r>
        <w:rPr/>
        <w:t>研究上，微信规模属于已经证实的经营基础，社交与服务形成较高迁移成本属于必要的商业解释，智能体改变应用入口属于开放的未来判断。把三者分开，能够防止从“微信非常重要”直接跳到“每一个人工智能产品都会成功”。后续应验证新的代理功能使用频率、真实任务完成率、订阅付费率、与原有服务互补程度，以及用户是否将高价值交易转移到其他平台。</w:t>
      </w:r>
    </w:p>
    <w:p>
      <w:pPr>
        <w:pStyle w:val="Heading2"/>
        <w:rPr/>
      </w:pPr>
      <w:r>
        <w:rPr>
          <w:color w:val="000000"/>
        </w:rPr>
        <w:t>二 国内游戏增长的质量与持续性</w:t>
      </w:r>
    </w:p>
    <w:p>
      <w:pPr>
        <w:pStyle w:val="Normal"/>
        <w:rPr/>
      </w:pPr>
      <w:r>
        <w:rPr/>
        <w:t>2026</w:t>
      </w:r>
      <w:r>
        <w:rPr/>
        <w:t>年第二季度腾讯国内游戏收入</w:t>
      </w:r>
      <w:r>
        <w:rPr/>
        <w:t>473</w:t>
      </w:r>
      <w:r>
        <w:rPr/>
        <w:t>亿元人民币，同比增长百分之十七，中报将贡献归于主要游戏增长，特别是三角洲行动、无畏契约电脑与移动版本及洛克王国世界。这些是已披露的产品贡献事实。国内游戏增速超过集团总收入增速，说明内容业务仍是利润的重要驱动力。不过游戏收入季节性、上线节奏与递延确认不同，不能把一个季度增速原封不动外推五年。</w:t>
      </w:r>
    </w:p>
    <w:p>
      <w:pPr>
        <w:pStyle w:val="Normal"/>
        <w:rPr/>
      </w:pPr>
      <w:r>
        <w:rPr/>
        <w:t>腾讯游戏的优势在于研发与发行组合，既经营长线产品，又用新品扩展不同玩法和人群。长期经营的游戏可以通过更新、赛事、社群和内容持续提高参与度，新产品则可以带来新的收入来源。二季度增值服务毛利率从上年同期百分之六十升至百分之六十四，中报解释主要来自高毛利自研游戏贡献增加。这个证据比单独查看流水榜更有价值，因为它说明收入结构正在改善毛利，而非只是靠高成本买量拉动销售。</w:t>
      </w:r>
    </w:p>
    <w:p>
      <w:pPr>
        <w:pStyle w:val="Normal"/>
        <w:rPr/>
      </w:pPr>
      <w:r>
        <w:rPr/>
        <w:t>长青产品的价值仍不能理解为永远不会衰退。玩家时间有限，新游戏可能分流旧产品，竞争者也能通过玩法创新改变用户偏好。观察长线游戏，应该同时看活跃度、付费人数、每位付费玩家消费和内容更新效率。若流水增长来自少数高付费用户而整体活跃度下降，风险与广泛玩家参与推动增长不同。中报公布部分游戏平均日活创历史新高，使当前增长有较扎实的使用证据，但它没有披露全部游戏的付费结构。</w:t>
      </w:r>
    </w:p>
    <w:p>
      <w:pPr>
        <w:pStyle w:val="Normal"/>
        <w:rPr/>
      </w:pPr>
      <w:r>
        <w:rPr/>
        <w:t>游戏收入中的递延与确认会影响单季判断。玩家购买虚拟货币或项目不一定立即全部计入收入，部分内容需要随服务期间确认。因此新品取得高额流水时，收入和利润可能跨季度体现，市场预期也可能提前交易。半年研究尤其要区分产品热度、现金收款和财务收入，否则容易在热门榜单最强时上调预测，然后在高基数季度误判增长突然消失。应将合同负债变化与收入确认解释结合，不能只看季度总额。</w:t>
      </w:r>
    </w:p>
    <w:p>
      <w:pPr>
        <w:pStyle w:val="Normal"/>
        <w:rPr/>
      </w:pPr>
      <w:r>
        <w:rPr/>
        <w:t>经营风险还包括版号、未成年人保护、内容合规以及境外市场规则。稳定的版号供给可以降低产品排期不确定性，却不等于所有获批游戏都有商业价值。监管要求可能提高研发与运营成本，也可能促使市场竞争更有秩序。腾讯有资源建设合规能力，这是相对优势，但大型平台承担的社会责任与监管审视也更重，不能用“龙头更安全”抹去政策变量。</w:t>
      </w:r>
    </w:p>
    <w:p>
      <w:pPr>
        <w:pStyle w:val="Normal"/>
        <w:rPr/>
      </w:pPr>
      <w:r>
        <w:rPr/>
        <w:t>国内游戏在基准情景中承担主要盈利支撑，而乐观情景需要新品形成长线产品、存量游戏增长有持续玩家基础，并且研发费用没有超出收入增长太多。悲观情景则包括新品未形成长期留存、旧游戏高基数回落、运营投入增加或政策限制改变商业化方式。真正推翻增长判断的证据是多季度游戏活跃度与收入同时走弱、毛利率回落而研发营销支出依然上升，单次榜单排名下降尚不足以证明结构性失败。</w:t>
      </w:r>
    </w:p>
    <w:p>
      <w:pPr>
        <w:pStyle w:val="Heading2"/>
        <w:rPr/>
      </w:pPr>
      <w:r>
        <w:rPr>
          <w:color w:val="000000"/>
        </w:rPr>
        <w:t>三 国际游戏与内容组合的利弊</w:t>
      </w:r>
    </w:p>
    <w:p>
      <w:pPr>
        <w:pStyle w:val="Normal"/>
        <w:rPr/>
      </w:pPr>
      <w:r>
        <w:rPr/>
        <w:t>2026</w:t>
      </w:r>
      <w:r>
        <w:rPr/>
        <w:t>年第二季度国际游戏收入</w:t>
      </w:r>
      <w:r>
        <w:rPr/>
        <w:t>186</w:t>
      </w:r>
      <w:r>
        <w:rPr/>
        <w:t>亿元人民币，同比下降百分之零点八，固定汇率口径增长百分之四。腾讯说明鸣潮和无畏契约电脑版增长，部分</w:t>
      </w:r>
      <w:r>
        <w:rPr/>
        <w:t>Supercell</w:t>
      </w:r>
      <w:r>
        <w:rPr/>
        <w:t>游戏收入下降形成抵销。</w:t>
      </w:r>
      <w:r>
        <w:rPr/>
        <w:t>2025</w:t>
      </w:r>
      <w:r>
        <w:rPr/>
        <w:t>年国际游戏收入</w:t>
      </w:r>
      <w:r>
        <w:rPr/>
        <w:t>774</w:t>
      </w:r>
      <w:r>
        <w:rPr/>
        <w:t>亿元，同比增长百分之三十三，固定汇率口径增长百分之三十二，且全年收入超过一百亿美元。两年的比较告诉投资者，国际化已经具有规模，也告诉投资者强劲年度增长并非每季度都能延续。</w:t>
      </w:r>
    </w:p>
    <w:p>
      <w:pPr>
        <w:pStyle w:val="Normal"/>
        <w:rPr/>
      </w:pPr>
      <w:r>
        <w:rPr/>
        <w:t>国际游戏的投资价值在于用户地域、玩法和收入来源更加分散。国内游戏遇到高基数或特定监管事件时，海外产品可能形成部分缓冲。但这种缓冲不是完全对冲，全球游戏玩家也会受消费预算、竞争产品、设备更替和平台政策影响。多工作室结构可以降低单一产品失误的影响，也可能提高协调成本、长期研发支出和资本分配难度，应从项目回报与组合表现验证协同。</w:t>
      </w:r>
    </w:p>
    <w:p>
      <w:pPr>
        <w:pStyle w:val="Normal"/>
        <w:rPr/>
      </w:pPr>
      <w:r>
        <w:rPr/>
        <w:t>汇率是国际游戏收入的重要变量。集团以人民币呈报，不同币种收款转换时可能掩盖业务数量增长或者放大收入增速。二季度固定汇率增长与报表微跌并存，就是一个实际例子。估值模型的集团人民币每股收益已经吸收大部分报表汇率影响，最后再将人民币盈利换成港元用于股票估值，不能另外机械叠加同一美元升值收益。若人民币走强，海外收入折算可能受压，但进口算力及美元债务成本可能有不同方向的影响。</w:t>
      </w:r>
    </w:p>
    <w:p>
      <w:pPr>
        <w:pStyle w:val="Normal"/>
        <w:rPr/>
      </w:pPr>
      <w:r>
        <w:rPr/>
        <w:t>2025</w:t>
      </w:r>
      <w:r>
        <w:rPr/>
        <w:t>年国际业务的大增可能提高</w:t>
      </w:r>
      <w:r>
        <w:rPr/>
        <w:t>2026</w:t>
      </w:r>
      <w:r>
        <w:rPr/>
        <w:t>年比较基数，半年投资者应关注新品贡献和高基数消化，而非只将国际化视为长期叙事。市场可能愿意给国际化更多估值，因为它扩大增长空间，但如果新的收入主要来自短期爆款，适合的估值溢价应该较低。判断一款游戏能否成为长青产品，需要稳定留存、内容供给、社群规模和付费方式，而不仅是首月下载数。</w:t>
      </w:r>
    </w:p>
    <w:p>
      <w:pPr>
        <w:pStyle w:val="Normal"/>
        <w:rPr/>
      </w:pPr>
      <w:r>
        <w:rPr/>
        <w:t>版权与创作者合作也带来持续成本。腾讯在游戏之外有视频、音乐和其他增值服务，</w:t>
      </w:r>
      <w:r>
        <w:rPr/>
        <w:t>2026</w:t>
      </w:r>
      <w:r>
        <w:rPr/>
        <w:t>年第二季度社交网络收入</w:t>
      </w:r>
      <w:r>
        <w:rPr/>
        <w:t>325</w:t>
      </w:r>
      <w:r>
        <w:rPr/>
        <w:t>亿元，增长百分之零点八，付费增值服务订阅数量</w:t>
      </w:r>
      <w:r>
        <w:rPr/>
        <w:t>259</w:t>
      </w:r>
      <w:r>
        <w:rPr/>
        <w:t>百万，同比下降百分之二。组合的特点是部分业务增长快、部分业务成熟甚至波动。不能将游戏高增长视作所有内容业务同样增长，也不能把某个订阅数量减少直接解释为整个生态恶化，需要结合价格、产品组合和用户消费结构。</w:t>
      </w:r>
    </w:p>
    <w:p>
      <w:pPr>
        <w:pStyle w:val="Normal"/>
        <w:rPr/>
      </w:pPr>
      <w:r>
        <w:rPr/>
        <w:t>国际内容应在估值里承担可持续现金收益，不能只作为一次性投资组合附加值。用整体非国际财务报告准则每股收益估值，已经包括相应业务盈利与部分联营收益；如果再把每个工作室价值全数加上，可能重复计算。因此本研究保留整体盈利模型作为主线，分业务分析用来解释盈利和倍数范围，没有未经审计的分部拆估就不添加看似精细却无法复算的企业价值。</w:t>
      </w:r>
    </w:p>
    <w:p>
      <w:pPr>
        <w:pStyle w:val="Heading2"/>
        <w:rPr/>
      </w:pPr>
      <w:r>
        <w:rPr>
          <w:color w:val="000000"/>
        </w:rPr>
        <w:t>四 广告增长是效率改善还是周期高点</w:t>
      </w:r>
    </w:p>
    <w:p>
      <w:pPr>
        <w:pStyle w:val="Normal"/>
        <w:rPr/>
      </w:pPr>
      <w:r>
        <w:rPr/>
        <w:t>腾讯第二季度营销服务收入</w:t>
      </w:r>
      <w:r>
        <w:rPr/>
        <w:t>436</w:t>
      </w:r>
      <w:r>
        <w:rPr/>
        <w:t>亿元，同比增长百分之二十二；营销服务毛利约</w:t>
      </w:r>
      <w:r>
        <w:rPr/>
        <w:t>250</w:t>
      </w:r>
      <w:r>
        <w:rPr/>
        <w:t>亿元，增长百分之二十一，毛利率百分之五十七，相比上年百分之五十八小幅降低。公司认为增长来自人工智能推荐模型、自动化广告管理工具以及微信闭环营销。收入增长较快、毛利率微降与人工智能基础设施折旧上升并存，表明人工智能既改善收入，也已经产生真实成本。</w:t>
      </w:r>
    </w:p>
    <w:p>
      <w:pPr>
        <w:pStyle w:val="Normal"/>
        <w:rPr/>
      </w:pPr>
      <w:r>
        <w:rPr/>
        <w:t>广告效率的逻辑是相同曝光能够带来更多成交或有效线索，商家便可能愿意提高预算。腾讯有丰富内容和社交服务场景，能够改善投放、转化和复购，但数据与流量规模并不自动等于投资回报。商户预算受到真实销售与利润影响，若经济需求偏弱，即使平台推荐模型改善，整体预算也可能不增。应把平台获得份额的能力和宏观广告池大小分别分析，避免将份额提升误当作总需求扩张。</w:t>
      </w:r>
    </w:p>
    <w:p>
      <w:pPr>
        <w:pStyle w:val="Normal"/>
        <w:rPr/>
      </w:pPr>
      <w:r>
        <w:rPr/>
        <w:t>视频号总使用时长二季度增长超过百分之二十，公司提及年轻用户内容、互动功能与内容排序改善。使用时长有利于更多广告机会，但时长与可出售广告位之间仍有用户体验约束。优秀商业化不是把每一分钟都转成广告，而是找到用户愿意接受、商家能赚到钱的交易方式。若增长只依赖提高广告负载，边际用户体验与内容生态可能恶化；若来自转化率与交易闭环改善，质量通常更好。</w:t>
      </w:r>
    </w:p>
    <w:p>
      <w:pPr>
        <w:pStyle w:val="Normal"/>
        <w:rPr/>
      </w:pPr>
      <w:r>
        <w:rPr/>
        <w:t>推荐模型对广告的帮助更容易验证，因为有曝光、点击、成交和投放回报链路。相对之下，新代理产品的长期付费模式仍处在早期。因此短中期盈利预测可以更多依赖广告业务已经体现的收入证据，对新产品单独保持谨慎。人工智能所需计算设备不仅服务新应用，也可能服务内容推荐、广告和现有云客户，评价资本开支时不应将全部成本算入单一新产品，但同样不能把全部广告增长归因于人工智能。</w:t>
      </w:r>
    </w:p>
    <w:p>
      <w:pPr>
        <w:pStyle w:val="Normal"/>
        <w:rPr/>
      </w:pPr>
      <w:r>
        <w:rPr/>
        <w:t>广告可能受行业客户结构影响。消费、汽车、游戏、金融及电商等客户行业景气度不同，预算扩张并非均匀。腾讯只披露大多数主要行业类别提高投放，没有提供足够细节让本研究重建全部行业预算。若未来某一高利润投放行业出现政策变化或价格竞争，广告收入可能比总消费更敏感。需要用公司实际收入与客户行为验证，而不是仅依据零售总额预测平台广告。</w:t>
      </w:r>
    </w:p>
    <w:p>
      <w:pPr>
        <w:pStyle w:val="Normal"/>
        <w:rPr/>
      </w:pPr>
      <w:r>
        <w:rPr/>
        <w:t>在基准情景中，广告效率继续改善，但增速逐步与高基数相适应，人工智能相关折旧和运营成本抵销部分收入增长。乐观情景要求效率改善与生态交易同时增加，收入质量足以弥补新增费用。悲观情景包括宏观客户预算缩减、同业竞争提高流量成本、推荐或隐私规则影响商业化。若广告收入保持增长却毛利率持续明显下滑，说明利润兑现弱于表面的收入故事，应降低目标市盈率和每股收益假设。</w:t>
      </w:r>
    </w:p>
    <w:p>
      <w:pPr>
        <w:pStyle w:val="Heading2"/>
        <w:rPr/>
      </w:pPr>
      <w:r>
        <w:rPr>
          <w:color w:val="000000"/>
        </w:rPr>
        <w:t>五 金融科技及企业服务的不同周期</w:t>
      </w:r>
    </w:p>
    <w:p>
      <w:pPr>
        <w:pStyle w:val="Normal"/>
        <w:rPr/>
      </w:pPr>
      <w:r>
        <w:rPr/>
        <w:t>腾讯第二季度金融科技及企业服务收入</w:t>
      </w:r>
      <w:r>
        <w:rPr/>
        <w:t>603</w:t>
      </w:r>
      <w:r>
        <w:rPr/>
        <w:t>亿元，同比增长百分之九，毛利</w:t>
      </w:r>
      <w:r>
        <w:rPr/>
        <w:t>314</w:t>
      </w:r>
      <w:r>
        <w:rPr/>
        <w:t>亿元、毛利率约百分之五十二。公司解释金融科技增长来自商业支付、财富管理和消费信贷服务，企业服务增长主要来自云需求、国际扩张和价格环境改善。一个分部里同时包含支付、理财、信用与云计算，经济驱动不同，不能用同一行业周期替代逐项理解。</w:t>
      </w:r>
    </w:p>
    <w:p>
      <w:pPr>
        <w:pStyle w:val="Normal"/>
        <w:rPr/>
      </w:pPr>
      <w:r>
        <w:rPr/>
        <w:t>商业支付与线下交易和线上消费有关，消费恢复可以改善交易量，商户经营压力也可能促使平台调整收费或服务。支付接近基础服务，稳定而高频，却不一定能无限提高费率。其价值部分来自金融和商业生态互联，如果单独只看手续费率可能低估关系价值；若把生态价值作为允许持续提高收费的理由，也会高估盈利空间。监管和客户议价决定了合理商业化边界。</w:t>
      </w:r>
    </w:p>
    <w:p>
      <w:pPr>
        <w:pStyle w:val="Normal"/>
        <w:rPr/>
      </w:pPr>
      <w:r>
        <w:rPr/>
        <w:t>财富管理服务受到居民风险偏好、资产价格和利率变化影响。投资者可能在存款、货币产品和风险资产之间切换，平台成交与服务收入不同。消费信贷服务则要看风险管理与合规，增长不能只看放贷金额，还要考虑资产质量、合作机构承担风险的方式和利润分配。公司合并数据不足以推算全部信用风险，本研究不自行补造坏账率，也不会因为分部毛利率稳定就认定其中所有业务风险都没有变化。</w:t>
      </w:r>
    </w:p>
    <w:p>
      <w:pPr>
        <w:pStyle w:val="Normal"/>
        <w:rPr/>
      </w:pPr>
      <w:r>
        <w:rPr/>
        <w:t>云计算面对企业技术投入周期、算力供应与价格竞争。人工智能需求增加可以改善利用率与服务价格，但云收入增加未必等于现金回报增加，因为需要先采购硬件并承担折旧与电力成本。腾讯公司披露云需求与定价环境改善，这提供增长方向证据，却没有单独给出云利润和投入回收期。花旗十月研究对云收入有更高预测，属于机构判断，应明确与公司已实现数字分开。</w:t>
      </w:r>
    </w:p>
    <w:p>
      <w:pPr>
        <w:pStyle w:val="Normal"/>
        <w:rPr/>
      </w:pPr>
      <w:r>
        <w:rPr/>
        <w:t>企业人工智能需求可能从模型试用转向生产工作流。生产用途更重视可靠性、安全、部署、成本和与原有系统整合，腾讯可借企业服务关系取得优势。与此同时，客户可以使用不同云或多模型，平台不能把企业采购预算视为独占。若公司提供多模型选择和工作流工具，可以参与客户价值链，但平台毛利还要取决于模型供应成本和付费结构，不能用“企业用户愿意付费”省略成本分析。</w:t>
      </w:r>
    </w:p>
    <w:p>
      <w:pPr>
        <w:pStyle w:val="Normal"/>
        <w:rPr/>
      </w:pPr>
      <w:r>
        <w:rPr/>
        <w:t>这一分部在长期基准情景中提供增长和现金来源多样化，在半年情景中则受弱消费与算力投入影响。若支付收入慢、云资本支出快，合并收入尚可增长，自由现金流却可能变弱。若云价格改善与利用率提升一起发生，可以形成盈利杠杆。投资者应关注增长能否由真实需求而非高补贴驱动，以及云资产达到正常利用率所需要的时间，这些比单一云市场规模预测更接近股东回报。</w:t>
      </w:r>
    </w:p>
    <w:p>
      <w:pPr>
        <w:pStyle w:val="Heading2"/>
        <w:rPr/>
      </w:pPr>
      <w:r>
        <w:rPr>
          <w:color w:val="000000"/>
        </w:rPr>
        <w:t>六 人工智能为何同时增加机会与风险</w:t>
      </w:r>
    </w:p>
    <w:p>
      <w:pPr>
        <w:pStyle w:val="Normal"/>
        <w:rPr/>
      </w:pPr>
      <w:r>
        <w:rPr/>
        <w:t>腾讯</w:t>
      </w:r>
      <w:r>
        <w:rPr/>
        <w:t>2026</w:t>
      </w:r>
      <w:r>
        <w:rPr/>
        <w:t>年第二季度业绩稿认为公司在模型、应用和基础设施三个层面推进人工智能，提到</w:t>
      </w:r>
      <w:r>
        <w:rPr/>
        <w:t>Hy</w:t>
      </w:r>
      <w:r>
        <w:rPr/>
        <w:t>、元宝、</w:t>
      </w:r>
      <w:r>
        <w:rPr/>
        <w:t>CodeBuddy</w:t>
      </w:r>
      <w:r>
        <w:rPr/>
        <w:t>、</w:t>
      </w:r>
      <w:r>
        <w:rPr/>
        <w:t>WorkBuddy</w:t>
      </w:r>
      <w:r>
        <w:rPr/>
        <w:t>及微信内小微代理。模型能力进步、代理用户增长与算力采购加强是公司披露的经营方向，不是本研究对最终商业成败的保证。公司引用第三方互动量和使用榜单的排名也需要保留指标定义，互动次数多不等于付费收入高，使用量高也不等于每次使用都盈利。</w:t>
      </w:r>
    </w:p>
    <w:p>
      <w:pPr>
        <w:pStyle w:val="Normal"/>
        <w:rPr/>
      </w:pPr>
      <w:r>
        <w:rPr/>
        <w:t>人工智能最有说服力的投资机会是提升已有业务。广告推荐、内容推荐、游戏开发效率、客服和内部办公可以在不彻底改变商业模式的条件下提高产出。但效率提高需要与费用净额比较，公司节省一些人力成本同时新增服务器和推理支出，最终利润可能改善也可能下降。第二季度集团毛利增长百分之十三而非国际财务报告准则经营利润增长百分之九，显示收入端效率并未自动变成同等速度的股东利润。</w:t>
      </w:r>
    </w:p>
    <w:p>
      <w:pPr>
        <w:pStyle w:val="Normal"/>
        <w:rPr/>
      </w:pPr>
      <w:r>
        <w:rPr/>
        <w:t>第二季度非国际财务报告准则经营利润</w:t>
      </w:r>
      <w:r>
        <w:rPr/>
        <w:t>756</w:t>
      </w:r>
      <w:r>
        <w:rPr/>
        <w:t>亿元，剔除新人工智能产品贡献后为</w:t>
      </w:r>
      <w:r>
        <w:rPr/>
        <w:t>861</w:t>
      </w:r>
      <w:r>
        <w:rPr/>
        <w:t>亿元，两者差约</w:t>
      </w:r>
      <w:r>
        <w:rPr/>
        <w:t>105</w:t>
      </w:r>
      <w:r>
        <w:rPr/>
        <w:t>亿元。这个差额是公司定义的产品贡献对经营利润的影响，不宜简单称为全集团人工智能研发支出，因为已有广告推荐、云业务及其他人工智能投入也可能分布在现有成本中。把差额乘四外推全年的全部人工智能费用会混淆范围，而完全忽略差额则会低估新产品盈利压力。</w:t>
      </w:r>
    </w:p>
    <w:p>
      <w:pPr>
        <w:pStyle w:val="Normal"/>
        <w:rPr/>
      </w:pPr>
      <w:r>
        <w:rPr/>
        <w:t>模型训练可能带来持续投入竞赛。一次发布达到较高能力不意味着未来能够减少研发预算，因为行业能力提高、用户任务更复杂、训练与后期优化要求增加，都会重新改变成本。腾讯有现有现金来源使其比独立亏损模型公司更能承担投入，这是相对竞争优势，却不代表投入回报率永远合格。资本能力可以延长尝试时间，但股东仍需判断投入是否改善用户价值和未来现金收益。</w:t>
      </w:r>
    </w:p>
    <w:p>
      <w:pPr>
        <w:pStyle w:val="Normal"/>
        <w:rPr/>
      </w:pPr>
      <w:r>
        <w:rPr/>
        <w:t>新办公与编程代理的商业化逻辑是帮助用户完成实际工作，如果节省时间并提高质量，订阅或按用量付费有合理基础。关键变量是每位用户任务频率、模型调用成本、长期留存和付费转化。高用户增长可能因为免费额度或新鲜感，必须观察收费后是否持续。腾讯介绍</w:t>
      </w:r>
      <w:r>
        <w:rPr/>
        <w:t>WorkBuddy</w:t>
      </w:r>
      <w:r>
        <w:rPr/>
        <w:t>用户留存与付费意愿，说明方向积极，但公开资料没有完整单位经济性模型，本研究不把用户数直接换算成确定利润。</w:t>
      </w:r>
    </w:p>
    <w:p>
      <w:pPr>
        <w:pStyle w:val="Normal"/>
        <w:rPr/>
      </w:pPr>
      <w:r>
        <w:rPr/>
        <w:t>微信内代理有额外价值，也有额外约束。联系人、支付和小程序使代理可能从回答问题延伸到完成行动，但涉及授权、账户安全、商户服务和交易责任。只有可靠执行和清楚授权才能形成高价值任务，错误操作可能损伤信任。因此长期收益模型不能只假定代理数量增长，还要包括可靠性、隐私保护、补偿机制与用户控制。腾讯的既有身份和交易基础提供起点，产品治理能力决定最终成果。</w:t>
      </w:r>
    </w:p>
    <w:p>
      <w:pPr>
        <w:pStyle w:val="Normal"/>
        <w:rPr/>
      </w:pPr>
      <w:r>
        <w:rPr/>
        <w:t>人工智能可改变用户入口，腾讯既可能受益，也可能面临挑战。如果用户把搜索、购物与办公任务交给其他代理，部分原有流量可能被截取，腾讯必须让自己的生态能够提供有竞争力的任务服务。开放与控制之间的取舍影响收入，过度封闭可能减弱开发者参与，过度开放可能让平台只承担低毛利基础设施。三到五年研究应看腾讯在交易关系和任务完成中的实际角色，而不是只看模型排行榜。</w:t>
      </w:r>
    </w:p>
    <w:p>
      <w:pPr>
        <w:pStyle w:val="Heading2"/>
        <w:rPr/>
      </w:pPr>
      <w:r>
        <w:rPr>
          <w:color w:val="000000"/>
        </w:rPr>
        <w:t>七 资本开支与自由现金流的实质变化</w:t>
      </w:r>
    </w:p>
    <w:p>
      <w:pPr>
        <w:pStyle w:val="Normal"/>
        <w:rPr/>
      </w:pPr>
      <w:r>
        <w:rPr/>
        <w:t>2026</w:t>
      </w:r>
      <w:r>
        <w:rPr/>
        <w:t>年上半年资本开支</w:t>
      </w:r>
      <w:r>
        <w:rPr/>
        <w:t>847.20</w:t>
      </w:r>
      <w:r>
        <w:rPr/>
        <w:t>亿元人民币，上年同期</w:t>
      </w:r>
      <w:r>
        <w:rPr/>
        <w:t>465.83</w:t>
      </w:r>
      <w:r>
        <w:rPr/>
        <w:t>亿元；二季度资本开支</w:t>
      </w:r>
      <w:r>
        <w:rPr/>
        <w:t>527.84</w:t>
      </w:r>
      <w:r>
        <w:rPr/>
        <w:t>亿元，较上年同期</w:t>
      </w:r>
      <w:r>
        <w:rPr/>
        <w:t>191.07</w:t>
      </w:r>
      <w:r>
        <w:rPr/>
        <w:t>亿元大幅增加。资本开支是资产形成的会计口径，实际资本开支付款还涉及账期和预付款，两者不能随意替代。二季度自由现金流为负</w:t>
      </w:r>
      <w:r>
        <w:rPr/>
        <w:t>138</w:t>
      </w:r>
      <w:r>
        <w:rPr/>
        <w:t>亿元，主要因为经营活动净现金</w:t>
      </w:r>
      <w:r>
        <w:rPr/>
        <w:t>527</w:t>
      </w:r>
      <w:r>
        <w:rPr/>
        <w:t>亿元被资本开支付款</w:t>
      </w:r>
      <w:r>
        <w:rPr/>
        <w:t>593</w:t>
      </w:r>
      <w:r>
        <w:rPr/>
        <w:t>亿元、媒体内容付款</w:t>
      </w:r>
      <w:r>
        <w:rPr/>
        <w:t>50</w:t>
      </w:r>
      <w:r>
        <w:rPr/>
        <w:t>亿元和租赁付款</w:t>
      </w:r>
      <w:r>
        <w:rPr/>
        <w:t>22</w:t>
      </w:r>
      <w:r>
        <w:rPr/>
        <w:t>亿元超过。</w:t>
      </w:r>
    </w:p>
    <w:p>
      <w:pPr>
        <w:pStyle w:val="Normal"/>
        <w:rPr/>
      </w:pPr>
      <w:r>
        <w:rPr/>
        <w:t>公司披露，剔除算力采购预付款后二季度自由现金流为</w:t>
      </w:r>
      <w:r>
        <w:rPr/>
        <w:t>376</w:t>
      </w:r>
      <w:r>
        <w:rPr/>
        <w:t>亿元，实际与调整数相差</w:t>
      </w:r>
      <w:r>
        <w:rPr/>
        <w:t>514</w:t>
      </w:r>
      <w:r>
        <w:rPr/>
        <w:t>亿元。该解释有助于理解时间分布，说明部分付款为未来服务准备；但是预付款已经占用现金，股东不能把它视为没有成本的账务噪音。研究应把短期付款波动与长期资本回报分开：未来收入兑现可以使预付款有价值，但如果需求或技术路径改变，预先占用的现金也会带来风险。</w:t>
      </w:r>
    </w:p>
    <w:p>
      <w:pPr>
        <w:pStyle w:val="Normal"/>
        <w:rPr/>
      </w:pPr>
      <w:r>
        <w:rPr/>
        <w:t>一季度业绩稿披露自由现金流</w:t>
      </w:r>
      <w:r>
        <w:rPr/>
        <w:t>567</w:t>
      </w:r>
      <w:r>
        <w:rPr/>
        <w:t>亿元，二季度负</w:t>
      </w:r>
      <w:r>
        <w:rPr/>
        <w:t>138</w:t>
      </w:r>
      <w:r>
        <w:rPr/>
        <w:t>亿元，因此上半年约</w:t>
      </w:r>
      <w:r>
        <w:rPr/>
        <w:t>429</w:t>
      </w:r>
      <w:r>
        <w:rPr/>
        <w:t>亿元。这个数字是两份季度披露的四舍五入数相加，不能装作精确到百万元的已披露半年指标。</w:t>
      </w:r>
      <w:r>
        <w:rPr/>
        <w:t>2025</w:t>
      </w:r>
      <w:r>
        <w:rPr/>
        <w:t>年全年自由现金流</w:t>
      </w:r>
      <w:r>
        <w:rPr/>
        <w:t>1826</w:t>
      </w:r>
      <w:r>
        <w:rPr/>
        <w:t>亿元，同比增长百分之十八。把今年上半年直接乘二，会得到明显弱于去年的值，但这可能受采购时点影响；把去年全年直接当未来稳态自由现金流，同样会忽略人工智能投入提高。两种机械年化都不适合独立估值。</w:t>
      </w:r>
    </w:p>
    <w:p>
      <w:pPr>
        <w:pStyle w:val="Normal"/>
        <w:rPr/>
      </w:pPr>
      <w:r>
        <w:rPr/>
        <w:t>净现金六月底</w:t>
      </w:r>
      <w:r>
        <w:rPr/>
        <w:t>581.91</w:t>
      </w:r>
      <w:r>
        <w:rPr/>
        <w:t>亿元，三月底</w:t>
      </w:r>
      <w:r>
        <w:rPr/>
        <w:t>1468.60</w:t>
      </w:r>
      <w:r>
        <w:rPr/>
        <w:t>亿元，差额约</w:t>
      </w:r>
      <w:r>
        <w:rPr/>
        <w:t>886.69</w:t>
      </w:r>
      <w:r>
        <w:rPr/>
        <w:t>亿元。公司说明主要与二季度资本开支付款和</w:t>
      </w:r>
      <w:r>
        <w:rPr/>
        <w:t>2025</w:t>
      </w:r>
      <w:r>
        <w:rPr/>
        <w:t>年股息付款</w:t>
      </w:r>
      <w:r>
        <w:rPr/>
        <w:t>416</w:t>
      </w:r>
      <w:r>
        <w:rPr/>
        <w:t>亿元有关。净现金下降不是唯一风险，也不是经营崩溃证据：现金支出支持了资产与股东分配，仍要观察形成资产是否能够获得收益。若后续净现金继续下降而费用、固定资产和租赁承诺都提高，就需要重新评估回购和股息的持续能力。</w:t>
      </w:r>
    </w:p>
    <w:p>
      <w:pPr>
        <w:pStyle w:val="Normal"/>
        <w:rPr/>
      </w:pPr>
      <w:r>
        <w:rPr/>
        <w:t>大量服务器投入改变费用确认的时间结构。现金先流出，折旧随后在多个期间影响利润，推理和电力支出则可能随用量增加。即使本季度利润仍增长，未来折旧压力也可能尚未全部反映。采用市盈率模型必须用包含预计折旧与经营费用的目标盈利，不能既给人工智能新业务高收入增长，又继续使用低资本开支时期的净利率。自由现金流交叉验证则要剔除过度乐观的资本开支回落假设。</w:t>
      </w:r>
    </w:p>
    <w:p>
      <w:pPr>
        <w:pStyle w:val="Normal"/>
        <w:rPr/>
      </w:pPr>
      <w:r>
        <w:rPr/>
        <w:t>资本开支高并非自动不利。若资产供给紧张、客户需求真实、单位收入和利用率提升，前期大投入可以形成多年收益。真正需要警惕的是投入增长超过可验证需求，采购锁定成本而服务价格持续下跌，或者产品迭代让设备经济寿命缩短。腾讯披露算力用于多个场景，能够降低单一应用失败的影响，却不能消除整个算力周期的风险。研究需逐季记录资产增加、折旧、付款和经营现金流的关系。</w:t>
      </w:r>
    </w:p>
    <w:p>
      <w:pPr>
        <w:pStyle w:val="Heading2"/>
        <w:rPr/>
      </w:pPr>
      <w:r>
        <w:rPr>
          <w:color w:val="000000"/>
        </w:rPr>
        <w:t>八 利润口径 股权激励和投资收益</w:t>
      </w:r>
    </w:p>
    <w:p>
      <w:pPr>
        <w:pStyle w:val="Normal"/>
        <w:rPr/>
      </w:pPr>
      <w:r>
        <w:rPr/>
        <w:t>腾讯</w:t>
      </w:r>
      <w:r>
        <w:rPr/>
        <w:t>2025</w:t>
      </w:r>
      <w:r>
        <w:rPr/>
        <w:t>年收入</w:t>
      </w:r>
      <w:r>
        <w:rPr/>
        <w:t>7517.66</w:t>
      </w:r>
      <w:r>
        <w:rPr/>
        <w:t>亿元，国际财务报告准则归母利润</w:t>
      </w:r>
      <w:r>
        <w:rPr/>
        <w:t>2248.42</w:t>
      </w:r>
      <w:r>
        <w:rPr/>
        <w:t>亿元，非国际财务报告准则归母</w:t>
      </w:r>
      <w:r>
        <w:rPr/>
        <w:t>2596.26</w:t>
      </w:r>
      <w:r>
        <w:rPr/>
        <w:t>亿元。二零二六年上半年两种归母分别</w:t>
      </w:r>
      <w:r>
        <w:rPr/>
        <w:t>1141.15</w:t>
      </w:r>
      <w:r>
        <w:rPr/>
        <w:t>亿元与</w:t>
      </w:r>
      <w:r>
        <w:rPr/>
        <w:t>1363.20</w:t>
      </w:r>
      <w:r>
        <w:rPr/>
        <w:t>亿元。调整利润有助于观察经营变化，但它不能代替法定利润和现金流。每股收益估值选择调整口径时，需要明确排除项目是什么、哪些可能反复发生，以及股东最终承担的成本是否被调整掉。</w:t>
      </w:r>
    </w:p>
    <w:p>
      <w:pPr>
        <w:pStyle w:val="Normal"/>
        <w:rPr/>
      </w:pPr>
      <w:r>
        <w:rPr/>
        <w:t>股权激励是尤其需要重视的调整项。它可能不直接消耗当期现金，但会影响股本或者需要回购来抵销，对每股价值有实际成本。采用非国际财务报告准则摊薄每股收益作为模型基础，已经比使用基础每股收益更谨慎，却仍应观察回购与新股发行的净结果。不能同时把调整利润当现金、把回购当额外无条件收益、再把潜在股本缩减全部加到未来每股收益，否则会重复计入。</w:t>
      </w:r>
    </w:p>
    <w:p>
      <w:pPr>
        <w:pStyle w:val="Normal"/>
        <w:rPr/>
      </w:pPr>
      <w:r>
        <w:rPr/>
        <w:t>二季度公司联营及合营企业法定亏损约</w:t>
      </w:r>
      <w:r>
        <w:rPr/>
        <w:t>100</w:t>
      </w:r>
      <w:r>
        <w:rPr/>
        <w:t>亿元，主要反映一家非上市投资企业发行的可转换可赎回优先股估值调整，该影响从非国际财务报告准则利润剔除；调整后联营及合营利润约</w:t>
      </w:r>
      <w:r>
        <w:rPr/>
        <w:t>64</w:t>
      </w:r>
      <w:r>
        <w:rPr/>
        <w:t>亿元。投资公司的资本结构及公允价值会使腾讯法定利润波动，本研究不把每次估值亏损都当核心业务恶化，也不认为非现金损失可以永远忽略，因为最终退出价值可能不同于账面价值。</w:t>
      </w:r>
    </w:p>
    <w:p>
      <w:pPr>
        <w:pStyle w:val="Normal"/>
        <w:rPr/>
      </w:pPr>
      <w:r>
        <w:rPr/>
        <w:t>六月底上市被投资企业持股公允价值</w:t>
      </w:r>
      <w:r>
        <w:rPr/>
        <w:t>4872</w:t>
      </w:r>
      <w:r>
        <w:rPr/>
        <w:t>亿元，非上市投资企业账面价值</w:t>
      </w:r>
      <w:r>
        <w:rPr/>
        <w:t>3879</w:t>
      </w:r>
      <w:r>
        <w:rPr/>
        <w:t>亿元。这些资产为资本配置带来灵活性，但出售受到市场价格、流动性、税、治理和战略关系约束，非上市账面价值也不是可兑现价格。整体利润模型已包含一些投资收益，若给公司调整盈利一个市盈率并另外加上所有投资价值，会重复计算部分盈利来源，因而本章没有这样做。</w:t>
      </w:r>
    </w:p>
    <w:p>
      <w:pPr>
        <w:pStyle w:val="Normal"/>
        <w:rPr/>
      </w:pPr>
      <w:r>
        <w:rPr/>
        <w:t>可以通过分部估值处理投资资产，但前提是剥离相关投资利润、准确核对持股比例与不同估值口径，并考虑税和少数股东权益。当前基础资料足以解释风险，却不足以安全建立全投资组合实时净值。因此以合并每股收益为主线更便于复算，但其缺点是把成熟运营与投资收益合在一起，目标倍数要为复杂性和波动留出余地，不能照搬纯经营现金公司的最高倍数。</w:t>
      </w:r>
    </w:p>
    <w:p>
      <w:pPr>
        <w:pStyle w:val="Normal"/>
        <w:rPr/>
      </w:pPr>
      <w:r>
        <w:rPr/>
        <w:t>2026</w:t>
      </w:r>
      <w:r>
        <w:rPr/>
        <w:t>年上半年非国际财务报告准则摊薄每股收益</w:t>
      </w:r>
      <w:r>
        <w:rPr/>
        <w:t>14.799</w:t>
      </w:r>
      <w:r>
        <w:rPr/>
        <w:t>元，较上年</w:t>
      </w:r>
      <w:r>
        <w:rPr/>
        <w:t>13.377</w:t>
      </w:r>
      <w:r>
        <w:rPr/>
        <w:t>元增长约百分之十一，略快于调整归母利润增长。股本变化能贡献每股增长，但要核对实际回购和激励对冲，不从金额推断全部回购股份已永久注销。二季度回购约</w:t>
      </w:r>
      <w:r>
        <w:rPr/>
        <w:t>3740</w:t>
      </w:r>
      <w:r>
        <w:rPr/>
        <w:t>万股，总对价约</w:t>
      </w:r>
      <w:r>
        <w:rPr/>
        <w:t>169</w:t>
      </w:r>
      <w:r>
        <w:rPr/>
        <w:t>亿港元，平均价约</w:t>
      </w:r>
      <w:r>
        <w:rPr/>
        <w:t>452</w:t>
      </w:r>
      <w:r>
        <w:rPr/>
        <w:t>港元，只是季度交易平均，不是公司的估值底线或未来股票必回归的价位。</w:t>
      </w:r>
    </w:p>
    <w:p>
      <w:pPr>
        <w:pStyle w:val="Heading2"/>
        <w:rPr/>
      </w:pPr>
      <w:r>
        <w:rPr>
          <w:color w:val="000000"/>
        </w:rPr>
        <w:t>九 经济 利率与政策如何传导到腾讯</w:t>
      </w:r>
    </w:p>
    <w:p>
      <w:pPr>
        <w:pStyle w:val="Normal"/>
        <w:rPr/>
      </w:pPr>
      <w:r>
        <w:rPr/>
        <w:t>宏观经济影响腾讯的方式有具体链路。居民可支配预算影响内容付费、商户销售与商业支付；企业盈利影响广告预算和云采购；金融市场影响财富管理、融资成本和投资组合价值。多个业务并行使集团不完全依赖一个变量，但不能因此称为不受经济周期影响。经济需求偏弱时，广告技术改善可能抵销部分压力，现金流仍需要实际客户支付支撑。</w:t>
      </w:r>
    </w:p>
    <w:p>
      <w:pPr>
        <w:pStyle w:val="Normal"/>
        <w:rPr/>
      </w:pPr>
      <w:r>
        <w:rPr/>
        <w:t>利率下降对估值可能有利，因为远期利润折现率降低，也可能降低融资利息。但现金存款和投资的利息收益可能下降，消费者需求不一定同步恢复。公司二季度利息收入约</w:t>
      </w:r>
      <w:r>
        <w:rPr/>
        <w:t>42</w:t>
      </w:r>
      <w:r>
        <w:rPr/>
        <w:t>亿元、财务费用约</w:t>
      </w:r>
      <w:r>
        <w:rPr/>
        <w:t>30</w:t>
      </w:r>
      <w:r>
        <w:rPr/>
        <w:t>亿元，披露财务费用下降与汇率及较低平均利率有关。具体方向需要看币种和资产负债结构，不能只给利率下行打一个统一利好分数。</w:t>
      </w:r>
    </w:p>
    <w:p>
      <w:pPr>
        <w:pStyle w:val="Normal"/>
        <w:rPr/>
      </w:pPr>
      <w:r>
        <w:rPr/>
        <w:t>港股的定价还受国际资金风险偏好与香港市场流动性影响。腾讯经营主要以人民币及多个境外币种计，股票港元交易；国际投资者可能根据地缘政治、政策和全球科技投资替代选择调整倍数。同样盈利可以对应不同市盈率，因此本模型把目标盈利与目标倍数分别公开。乐观情景的上涨往往同时依赖利润兑现和风险溢价下降，不能将两项看作互不相关的独立利好。</w:t>
      </w:r>
    </w:p>
    <w:p>
      <w:pPr>
        <w:pStyle w:val="Normal"/>
        <w:rPr/>
      </w:pPr>
      <w:r>
        <w:rPr/>
        <w:t>政策影响既包括游戏、金融和平台治理，也包括算力供应和跨境技术限制。人工智能训练与部署可能需要取得合适芯片、数据和许可，供应条件变化会影响成本和速度。腾讯规模使其采购与技术调整能力较强，但无法保证所有技术限制均可被商业手段解决。悲观模型应反映费用持续高、盈利恢复慢和估值受压，严重供应或监管冲击还可能超出本章有限的情景区间。</w:t>
      </w:r>
    </w:p>
    <w:p>
      <w:pPr>
        <w:pStyle w:val="Normal"/>
        <w:rPr/>
      </w:pPr>
      <w:r>
        <w:rPr/>
        <w:t>支付与金融服务承载实体交易，平台责任会随着服务规模提高。合规支出是持续经营成本，不应作为永远可剔除的一次性项目。广告和智能体涉及推荐透明、数据使用与隐私，公司需要有可信的授权和治理机制。若新的规则改变商业化或数据使用方式，原有用户基础仍有价值，但收入转化效率和研发路线需要重新估计。长期研究不能只推算用户增长而不分析规则变化。</w:t>
      </w:r>
    </w:p>
    <w:p>
      <w:pPr>
        <w:pStyle w:val="Normal"/>
        <w:rPr/>
      </w:pPr>
      <w:r>
        <w:rPr/>
        <w:t>政策改善也不宜直接当作高估值理由。稳定规则有利于企业计划，平台商业行为和实际盈利仍决定股票收益。行业有大量竞争者与替代服务，腾讯必须持续提供高质量产品。宏观与政策主要改变业务假设的范围和投资者要求回报，独立推荐必须回到收入、利润和现金兑现，不能因为市场流传某一政策主题便给不经验证的确定目标价。</w:t>
      </w:r>
    </w:p>
    <w:p>
      <w:pPr>
        <w:pStyle w:val="Heading2"/>
        <w:rPr/>
      </w:pPr>
      <w:r>
        <w:rPr>
          <w:color w:val="000000"/>
        </w:rPr>
        <w:t>十 半年</w:t>
      </w:r>
      <w:r>
        <w:rPr>
          <w:color w:val="000000"/>
        </w:rPr>
        <w:t>K</w:t>
      </w:r>
      <w:r>
        <w:rPr>
          <w:color w:val="000000"/>
        </w:rPr>
        <w:t>线 量能与失效条件</w:t>
      </w:r>
    </w:p>
    <w:p>
      <w:pPr>
        <w:pStyle w:val="Normal"/>
        <w:rPr/>
      </w:pPr>
      <w:r>
        <w:rPr/>
        <w:t>十月九日腾讯开盘</w:t>
      </w:r>
      <w:r>
        <w:rPr/>
        <w:t>415</w:t>
      </w:r>
      <w:r>
        <w:rPr/>
        <w:t>港元，最高</w:t>
      </w:r>
      <w:r>
        <w:rPr/>
        <w:t>425.8</w:t>
      </w:r>
      <w:r>
        <w:rPr/>
        <w:t>、最低</w:t>
      </w:r>
      <w:r>
        <w:rPr/>
        <w:t>414.8</w:t>
      </w:r>
      <w:r>
        <w:rPr/>
        <w:t>、收盘</w:t>
      </w:r>
      <w:r>
        <w:rPr/>
        <w:t>424.8</w:t>
      </w:r>
      <w:r>
        <w:rPr/>
        <w:t>，相对前收</w:t>
      </w:r>
      <w:r>
        <w:rPr/>
        <w:t>411.4</w:t>
      </w:r>
      <w:r>
        <w:rPr/>
        <w:t>上涨百分之三点二六，收在日内高位附近。这种日内结构说明当日买盘取得优势，值得观察，但一天表现不能改变过去多个月的趋势。近二十日收益约负百分之零点一九，近六十日负百分之十二点二三，近一百二十日负百分之十五点八二，反映短期止跌与中期下降可以同时存在。</w:t>
      </w:r>
    </w:p>
    <w:p>
      <w:pPr>
        <w:pStyle w:val="Normal"/>
        <w:rPr/>
      </w:pPr>
      <w:r>
        <w:rPr/>
        <w:t>二十、六十、一百二十及二百五十日均线分别为</w:t>
      </w:r>
      <w:r>
        <w:rPr/>
        <w:t>430.29</w:t>
      </w:r>
      <w:r>
        <w:rPr/>
        <w:t>、</w:t>
      </w:r>
      <w:r>
        <w:rPr/>
        <w:t>446.38</w:t>
      </w:r>
      <w:r>
        <w:rPr/>
        <w:t>、</w:t>
      </w:r>
      <w:r>
        <w:rPr/>
        <w:t>451.12</w:t>
      </w:r>
      <w:r>
        <w:rPr/>
        <w:t>、</w:t>
      </w:r>
      <w:r>
        <w:rPr/>
        <w:t>517.62</w:t>
      </w:r>
      <w:r>
        <w:rPr/>
        <w:t>港元，现价分别低约百分之一点二八、四点八三、五点八三和十七点九三。四条均线近五日斜率都为负，短均线低于长均线，仍是中短期下降结构。真正的趋势改善应先观察站回二十日线并持续，然后观察六十和一百二十日均线附近的压力是否消化，不宜因单日上涨便写成已经完成反转。</w:t>
      </w:r>
    </w:p>
    <w:p>
      <w:pPr>
        <w:pStyle w:val="Normal"/>
        <w:rPr/>
      </w:pPr>
      <w:r>
        <w:rPr/>
        <w:t>当日成交约</w:t>
      </w:r>
      <w:r>
        <w:rPr/>
        <w:t>2042.25</w:t>
      </w:r>
      <w:r>
        <w:rPr/>
        <w:t>万股、成交额约</w:t>
      </w:r>
      <w:r>
        <w:rPr/>
        <w:t>86.10</w:t>
      </w:r>
      <w:r>
        <w:rPr/>
        <w:t>亿港元，前二十日平均成交约</w:t>
      </w:r>
      <w:r>
        <w:rPr/>
        <w:t>2006.76</w:t>
      </w:r>
      <w:r>
        <w:rPr/>
        <w:t>万股，量比约一点零一八。五日、二十日、六十日均量约</w:t>
      </w:r>
      <w:r>
        <w:rPr/>
        <w:t>1636</w:t>
      </w:r>
      <w:r>
        <w:rPr/>
        <w:t>万、</w:t>
      </w:r>
      <w:r>
        <w:rPr/>
        <w:t>1997</w:t>
      </w:r>
      <w:r>
        <w:rPr/>
        <w:t>万和</w:t>
      </w:r>
      <w:r>
        <w:rPr/>
        <w:t>2306</w:t>
      </w:r>
      <w:r>
        <w:rPr/>
        <w:t>万股，近期平均活跃度比六十日低。当日上涨有正常成交支持，但没有显著放量超过此前交易强度。这个判断不能说明买盘来自哪类投资者，也无法从总成交量推出资金净流入，因为每笔成交同时有买方和卖方。</w:t>
      </w:r>
    </w:p>
    <w:p>
      <w:pPr>
        <w:pStyle w:val="Normal"/>
        <w:rPr/>
      </w:pPr>
      <w:r>
        <w:rPr/>
        <w:t>最近二十日九个上涨日合计成交约一亿九千三百六十七万股，十一个下跌日约二亿零五百七十七万股，上下跌日成交比约零点九四。这提示前期下跌仍有一定成交支持，尚未形成强烈买盘压倒卖盘的证据。交易天数不相等，累积比也会受天数影响，不能将小于一直接解释为机构派发。更合理的方法是结合上涨日平均量、下跌日平均量与价格推进效率连续观察。</w:t>
      </w:r>
    </w:p>
    <w:p>
      <w:pPr>
        <w:pStyle w:val="Normal"/>
        <w:rPr/>
      </w:pPr>
      <w:r>
        <w:rPr/>
        <w:t>最近二十日区间低点约</w:t>
      </w:r>
      <w:r>
        <w:rPr/>
        <w:t>411.2</w:t>
      </w:r>
      <w:r>
        <w:rPr/>
        <w:t>港元、高点</w:t>
      </w:r>
      <w:r>
        <w:rPr/>
        <w:t>463.4</w:t>
      </w:r>
      <w:r>
        <w:rPr/>
        <w:t>港元，现价到两者约为负百分之三点二零和正百分之九点零九。最近六十日区间高点</w:t>
      </w:r>
      <w:r>
        <w:rPr/>
        <w:t>497.8</w:t>
      </w:r>
      <w:r>
        <w:rPr/>
        <w:t>港元，距离约正百分之十七点一八。这些是历史区间极值计算的观察位，没有经过多次触碰验证或交易订单核对。</w:t>
      </w:r>
      <w:r>
        <w:rPr/>
        <w:t>411</w:t>
      </w:r>
      <w:r>
        <w:rPr/>
        <w:t>附近是近期风险观察区域，</w:t>
      </w:r>
      <w:r>
        <w:rPr/>
        <w:t>430</w:t>
      </w:r>
      <w:r>
        <w:rPr/>
        <w:t>到</w:t>
      </w:r>
      <w:r>
        <w:rPr/>
        <w:t>452</w:t>
      </w:r>
      <w:r>
        <w:rPr/>
        <w:t>是均线压力区域，</w:t>
      </w:r>
      <w:r>
        <w:rPr/>
        <w:t>463</w:t>
      </w:r>
      <w:r>
        <w:rPr/>
        <w:t>到</w:t>
      </w:r>
      <w:r>
        <w:rPr/>
        <w:t>498</w:t>
      </w:r>
      <w:r>
        <w:rPr/>
        <w:t>是更高区间压力，不能将区间价位误当作不可突破的支撑或保证回归的目标。</w:t>
      </w:r>
    </w:p>
    <w:p>
      <w:pPr>
        <w:pStyle w:val="Normal"/>
        <w:rPr/>
      </w:pPr>
      <w:r>
        <w:rPr/>
        <w:t>十四日相对强弱指数约</w:t>
      </w:r>
      <w:r>
        <w:rPr/>
        <w:t>45.8</w:t>
      </w:r>
      <w:r>
        <w:rPr/>
        <w:t>，既不处于典型极端超卖，也没有强势趋势确认；日线移动平均收敛发散的快慢线差约负</w:t>
      </w:r>
      <w:r>
        <w:rPr/>
        <w:t>5.73</w:t>
      </w:r>
      <w:r>
        <w:rPr/>
        <w:t>、信号约负</w:t>
      </w:r>
      <w:r>
        <w:rPr/>
        <w:t>4.86</w:t>
      </w:r>
      <w:r>
        <w:rPr/>
        <w:t>，柱值约负</w:t>
      </w:r>
      <w:r>
        <w:rPr/>
        <w:t>1.73</w:t>
      </w:r>
      <w:r>
        <w:rPr/>
        <w:t>，仍偏弱。十四日平均真实波幅约</w:t>
      </w:r>
      <w:r>
        <w:rPr/>
        <w:t>11.20</w:t>
      </w:r>
      <w:r>
        <w:rPr/>
        <w:t>港元，占现价约百分之二点六四，意味着正常日内波动并不小。不能看到反弹就认为低风险，也不能把波幅乘某个任意倍数包装为统计置信区间。</w:t>
      </w:r>
    </w:p>
    <w:p>
      <w:pPr>
        <w:pStyle w:val="Normal"/>
        <w:rPr/>
      </w:pPr>
      <w:r>
        <w:rPr/>
        <w:t>周线二十周均线</w:t>
      </w:r>
      <w:r>
        <w:rPr/>
        <w:t>443.13</w:t>
      </w:r>
      <w:r>
        <w:rPr/>
        <w:t>港元、六十周</w:t>
      </w:r>
      <w:r>
        <w:rPr/>
        <w:t>525.89</w:t>
      </w:r>
      <w:r>
        <w:rPr/>
        <w:t>港元、一百二十周</w:t>
      </w:r>
      <w:r>
        <w:rPr/>
        <w:t>483.00</w:t>
      </w:r>
      <w:r>
        <w:rPr/>
        <w:t>港元，收盘低于三者；二十、六十周均线向下，而一百二十周近五期斜率略向上。周线相对强弱指数约</w:t>
      </w:r>
      <w:r>
        <w:rPr/>
        <w:t>41.8</w:t>
      </w:r>
      <w:r>
        <w:rPr/>
        <w:t>，显示仍需时间修复。当前数据仅覆盖约三年，所以不能报告二百五十周均线。最新行情核验已使用复权归一的日线一年窗口，高约</w:t>
      </w:r>
      <w:r>
        <w:rPr/>
        <w:t>675.13</w:t>
      </w:r>
      <w:r>
        <w:rPr/>
        <w:t>港元、低</w:t>
      </w:r>
      <w:r>
        <w:rPr/>
        <w:t>411</w:t>
      </w:r>
      <w:r>
        <w:rPr/>
        <w:t>港元；不同复权口径的旧名义高点不能与当前归一数据混用。</w:t>
      </w:r>
    </w:p>
    <w:p>
      <w:pPr>
        <w:pStyle w:val="Normal"/>
        <w:rPr/>
      </w:pPr>
      <w:r>
        <w:rPr/>
        <w:t>相对恒生科技近二十日超额约正百分之二点八八，近六十日超额约正百分之零点九四，说明腾讯跌幅略小于粗粒度科技基准，而非腾讯已经绝对上涨。最新核验取得恒生指数历史，腾讯近二十日超额约正百分之二点七九、近六十日超额负百分之九点零四，表明对市场整体仍有中期弱势。根代理重试</w:t>
      </w:r>
      <w:r>
        <w:rPr/>
        <w:t>Yahoo</w:t>
      </w:r>
      <w:r>
        <w:rPr/>
        <w:t>后取得独立复权历史，十月九日与腾讯报价收盘一致；早期同源限制已改善，本章以更新后的归一行情重新计算，来源时间与修订记录应保留。</w:t>
      </w:r>
    </w:p>
    <w:p>
      <w:pPr>
        <w:pStyle w:val="Normal"/>
        <w:rPr/>
      </w:pPr>
      <w:r>
        <w:rPr/>
        <w:t>半年观察方案可分三个验证步骤：先看价格能否在正常或提高的成交量下站回</w:t>
      </w:r>
      <w:r>
        <w:rPr/>
        <w:t>430</w:t>
      </w:r>
      <w:r>
        <w:rPr/>
        <w:t>附近，随后看回踩时是否缩量、是否守住重新取得的区间，最后看</w:t>
      </w:r>
      <w:r>
        <w:rPr/>
        <w:t>446</w:t>
      </w:r>
      <w:r>
        <w:rPr/>
        <w:t>至</w:t>
      </w:r>
      <w:r>
        <w:rPr/>
        <w:t>452</w:t>
      </w:r>
      <w:r>
        <w:rPr/>
        <w:t>附近的中期均线能否转平并由压力变为承接。若收复后二十日线很快失守，并且跌破</w:t>
      </w:r>
      <w:r>
        <w:rPr/>
        <w:t>411</w:t>
      </w:r>
      <w:r>
        <w:rPr/>
        <w:t>附近伴持续成交增加，短期修复假设应撤回。这个过程用于验证趋势，并非给出保证执行获利的买卖指令。</w:t>
      </w:r>
    </w:p>
    <w:p>
      <w:pPr>
        <w:pStyle w:val="Heading2"/>
        <w:rPr/>
      </w:pPr>
      <w:r>
        <w:rPr>
          <w:color w:val="000000"/>
        </w:rPr>
        <w:t>十一 自有盈利情景的含义</w:t>
      </w:r>
    </w:p>
    <w:p>
      <w:pPr>
        <w:pStyle w:val="Normal"/>
        <w:rPr/>
      </w:pPr>
      <w:r>
        <w:rPr/>
        <w:t>年底未来十二个月摊薄调整每股收益设置</w:t>
      </w:r>
      <w:r>
        <w:rPr/>
        <w:t>24</w:t>
      </w:r>
      <w:r>
        <w:rPr/>
        <w:t>、</w:t>
      </w:r>
      <w:r>
        <w:rPr/>
        <w:t>28</w:t>
      </w:r>
      <w:r>
        <w:rPr/>
        <w:t>、</w:t>
      </w:r>
      <w:r>
        <w:rPr/>
        <w:t>31</w:t>
      </w:r>
      <w:r>
        <w:rPr/>
        <w:t>元人民币，基准接近</w:t>
      </w:r>
      <w:r>
        <w:rPr/>
        <w:t>2025</w:t>
      </w:r>
      <w:r>
        <w:rPr/>
        <w:t>历史水平，悲观约比历史低百分之十四，乐观约高百分之十一。其理由是上半年每股收益增长，但下半年新产品、营销、训练与折旧费用存在提高风险，不能按上半年增速直接放大全年。花旗十月七日对第三季度调整净利预测为</w:t>
      </w:r>
      <w:r>
        <w:rPr/>
        <w:t>640</w:t>
      </w:r>
      <w:r>
        <w:rPr/>
        <w:t>亿元、同比下降百分之九点二，是明确的机构预测风险信号，不能当公司已公告结果，却足以反对无条件高速增长假设。</w:t>
      </w:r>
    </w:p>
    <w:p>
      <w:pPr>
        <w:pStyle w:val="Normal"/>
        <w:rPr/>
      </w:pPr>
      <w:r>
        <w:rPr/>
        <w:t>半年目标时点未来十二个月每股收益为</w:t>
      </w:r>
      <w:r>
        <w:rPr/>
        <w:t>25</w:t>
      </w:r>
      <w:r>
        <w:rPr/>
        <w:t>、</w:t>
      </w:r>
      <w:r>
        <w:rPr/>
        <w:t>30</w:t>
      </w:r>
      <w:r>
        <w:rPr/>
        <w:t>、</w:t>
      </w:r>
      <w:r>
        <w:rPr/>
        <w:t>34</w:t>
      </w:r>
      <w:r>
        <w:rPr/>
        <w:t>元，一年为</w:t>
      </w:r>
      <w:r>
        <w:rPr/>
        <w:t>26</w:t>
      </w:r>
      <w:r>
        <w:rPr/>
        <w:t>、</w:t>
      </w:r>
      <w:r>
        <w:rPr/>
        <w:t>32</w:t>
      </w:r>
      <w:r>
        <w:rPr/>
        <w:t>、</w:t>
      </w:r>
      <w:r>
        <w:rPr/>
        <w:t>38</w:t>
      </w:r>
      <w:r>
        <w:rPr/>
        <w:t>元。基准对应较温和的盈利恢复，依赖现有业务增长继续覆盖部分人工智能投入，乐观对应费用效率改善与新收入同时贡献。悲观则假设高投入持续、广告或游戏增速回落，对每股收益造成压力。目标时点盈利是未来十二个月口径，并非</w:t>
      </w:r>
      <w:r>
        <w:rPr/>
        <w:t>2027</w:t>
      </w:r>
      <w:r>
        <w:rPr/>
        <w:t>上半年或</w:t>
      </w:r>
      <w:r>
        <w:rPr/>
        <w:t>2027</w:t>
      </w:r>
      <w:r>
        <w:rPr/>
        <w:t>全年已确定每股收益，必须与不同期间机构预测区分。</w:t>
      </w:r>
    </w:p>
    <w:p>
      <w:pPr>
        <w:pStyle w:val="Normal"/>
        <w:rPr/>
      </w:pPr>
      <w:r>
        <w:rPr/>
        <w:t>三年每股收益设置</w:t>
      </w:r>
      <w:r>
        <w:rPr/>
        <w:t>28</w:t>
      </w:r>
      <w:r>
        <w:rPr/>
        <w:t>、</w:t>
      </w:r>
      <w:r>
        <w:rPr/>
        <w:t>40</w:t>
      </w:r>
      <w:r>
        <w:rPr/>
        <w:t>、</w:t>
      </w:r>
      <w:r>
        <w:rPr/>
        <w:t>52</w:t>
      </w:r>
      <w:r>
        <w:rPr/>
        <w:t>元，五年设置</w:t>
      </w:r>
      <w:r>
        <w:rPr/>
        <w:t>28</w:t>
      </w:r>
      <w:r>
        <w:rPr/>
        <w:t>、</w:t>
      </w:r>
      <w:r>
        <w:rPr/>
        <w:t>50</w:t>
      </w:r>
      <w:r>
        <w:rPr/>
        <w:t>、</w:t>
      </w:r>
      <w:r>
        <w:rPr/>
        <w:t>75</w:t>
      </w:r>
      <w:r>
        <w:rPr/>
        <w:t>元。五年基准相对历史</w:t>
      </w:r>
      <w:r>
        <w:rPr/>
        <w:t>27.877</w:t>
      </w:r>
      <w:r>
        <w:rPr/>
        <w:t>元约对应每股收益年均增长百分之十二点四，乐观约百分之二十一点九，悲观接近零增长。这些增长率包含盈利与摊薄股本的共同变化，不另行保证持续回购提高每股收益。乐观五年模型需要收入结构、运营效率与人工智能商业化较成功，不能仅靠减少股数解释。</w:t>
      </w:r>
    </w:p>
    <w:p>
      <w:pPr>
        <w:pStyle w:val="Normal"/>
        <w:rPr/>
      </w:pPr>
      <w:r>
        <w:rPr/>
        <w:t>基准模型不要求腾讯垄断人工智能，也不要求每个新产品成功。它要求成熟业务仍有稳健增长、人工智能可以在现有业务和部分新用途形成经济收益、资本开支从扩张阶段逐步转向可管理状态。如果公司只是持续追赶模型榜单而未取得有收益的使用关系，那么基准盈利增长缺乏支撑，应该降低未来每股收益，而不是用更高估值补偿较低盈利。</w:t>
      </w:r>
    </w:p>
    <w:p>
      <w:pPr>
        <w:pStyle w:val="Normal"/>
        <w:rPr/>
      </w:pPr>
      <w:r>
        <w:rPr/>
        <w:t>悲观每股收益在三年五年不继续显著下降，并不代表灾难不可能发生，它代表一个有限的低增长、高费用经营情景。若出现核心社交关系转移、重要业务规则改变、严重资产减值或资金持续消耗，实际收益可低于本章悲观值。研究需要明确这点，防止读者把一个有限假设区间当成保本框架。长期价格的下界不能从历史低市盈率可靠推导。</w:t>
      </w:r>
    </w:p>
    <w:p>
      <w:pPr>
        <w:pStyle w:val="Normal"/>
        <w:rPr/>
      </w:pPr>
      <w:r>
        <w:rPr/>
        <w:t>模型尚未逐年重建所有分部净利润和资本开支，这是当前估值的主要局限。合并每股收益情景清楚可复算，能够判断需要怎样的利润增长才能支撑价格；但它不是完整的分部现金流折现。后续若取得更详细云利润、产品付费和资产折旧资料，应把简化盈利区间替换为逐项预测，保留原假设与修订原因，不能只更新结论而隐藏模型变化。</w:t>
      </w:r>
    </w:p>
    <w:p>
      <w:pPr>
        <w:pStyle w:val="Heading2"/>
        <w:rPr/>
      </w:pPr>
      <w:r>
        <w:rPr>
          <w:color w:val="000000"/>
        </w:rPr>
        <w:t>十二 目标倍数 收益空间与汇率敏感性</w:t>
      </w:r>
    </w:p>
    <w:p>
      <w:pPr>
        <w:pStyle w:val="Normal"/>
        <w:rPr/>
      </w:pPr>
      <w:r>
        <w:rPr/>
        <w:t>年底目标市盈率设置</w:t>
      </w:r>
      <w:r>
        <w:rPr/>
        <w:t>12</w:t>
      </w:r>
      <w:r>
        <w:rPr/>
        <w:t>、</w:t>
      </w:r>
      <w:r>
        <w:rPr/>
        <w:t>16</w:t>
      </w:r>
      <w:r>
        <w:rPr/>
        <w:t>、</w:t>
      </w:r>
      <w:r>
        <w:rPr/>
        <w:t>20</w:t>
      </w:r>
      <w:r>
        <w:rPr/>
        <w:t>倍，半年</w:t>
      </w:r>
      <w:r>
        <w:rPr/>
        <w:t>12</w:t>
      </w:r>
      <w:r>
        <w:rPr/>
        <w:t>、</w:t>
      </w:r>
      <w:r>
        <w:rPr/>
        <w:t>17</w:t>
      </w:r>
      <w:r>
        <w:rPr/>
        <w:t>、</w:t>
      </w:r>
      <w:r>
        <w:rPr/>
        <w:t>21</w:t>
      </w:r>
      <w:r>
        <w:rPr/>
        <w:t>倍，一年</w:t>
      </w:r>
      <w:r>
        <w:rPr/>
        <w:t>12</w:t>
      </w:r>
      <w:r>
        <w:rPr/>
        <w:t>、</w:t>
      </w:r>
      <w:r>
        <w:rPr/>
        <w:t>18</w:t>
      </w:r>
      <w:r>
        <w:rPr/>
        <w:t>、</w:t>
      </w:r>
      <w:r>
        <w:rPr/>
        <w:t>22</w:t>
      </w:r>
      <w:r>
        <w:rPr/>
        <w:t>倍，三年</w:t>
      </w:r>
      <w:r>
        <w:rPr/>
        <w:t>11</w:t>
      </w:r>
      <w:r>
        <w:rPr/>
        <w:t>、</w:t>
      </w:r>
      <w:r>
        <w:rPr/>
        <w:t>17</w:t>
      </w:r>
      <w:r>
        <w:rPr/>
        <w:t>、</w:t>
      </w:r>
      <w:r>
        <w:rPr/>
        <w:t>22</w:t>
      </w:r>
      <w:r>
        <w:rPr/>
        <w:t>倍，五年</w:t>
      </w:r>
      <w:r>
        <w:rPr/>
        <w:t>10</w:t>
      </w:r>
      <w:r>
        <w:rPr/>
        <w:t>、</w:t>
      </w:r>
      <w:r>
        <w:rPr/>
        <w:t>16</w:t>
      </w:r>
      <w:r>
        <w:rPr/>
        <w:t>、</w:t>
      </w:r>
      <w:r>
        <w:rPr/>
        <w:t>22</w:t>
      </w:r>
      <w:r>
        <w:rPr/>
        <w:t>倍。低增长和投入不明时给予较低倍数，盈利质量改善与回报可见时才允许较高倍数。五年悲观倍数比年底更低，反映长时间不能兑现增长会削弱市场对未来的信心；五年基准</w:t>
      </w:r>
      <w:r>
        <w:rPr/>
        <w:t>16</w:t>
      </w:r>
      <w:r>
        <w:rPr/>
        <w:t>倍则要求公司仍有持续增长基础而非进入完全停滞。</w:t>
      </w:r>
    </w:p>
    <w:p>
      <w:pPr>
        <w:pStyle w:val="Normal"/>
        <w:rPr/>
      </w:pPr>
      <w:r>
        <w:rPr/>
        <w:t>现价约</w:t>
      </w:r>
      <w:r>
        <w:rPr/>
        <w:t>13.85</w:t>
      </w:r>
      <w:r>
        <w:rPr/>
        <w:t>倍历史调整摊薄盈利，使估值存在研究吸引力，但这个低倍数不证明安全。如果未来十二个月盈利落到</w:t>
      </w:r>
      <w:r>
        <w:rPr/>
        <w:t>24</w:t>
      </w:r>
      <w:r>
        <w:rPr/>
        <w:t>元，现价相对该盈利按研究汇率换算就约</w:t>
      </w:r>
      <w:r>
        <w:rPr/>
        <w:t>16.09</w:t>
      </w:r>
      <w:r>
        <w:rPr/>
        <w:t>倍，低估程度明显降低。若再给</w:t>
      </w:r>
      <w:r>
        <w:rPr/>
        <w:t>12</w:t>
      </w:r>
      <w:r>
        <w:rPr/>
        <w:t>倍情景，价格便为</w:t>
      </w:r>
      <w:r>
        <w:rPr/>
        <w:t>316.8</w:t>
      </w:r>
      <w:r>
        <w:rPr/>
        <w:t>港元。反过来，基准</w:t>
      </w:r>
      <w:r>
        <w:rPr/>
        <w:t>28</w:t>
      </w:r>
      <w:r>
        <w:rPr/>
        <w:t>元配</w:t>
      </w:r>
      <w:r>
        <w:rPr/>
        <w:t>16</w:t>
      </w:r>
      <w:r>
        <w:rPr/>
        <w:t>倍形成</w:t>
      </w:r>
      <w:r>
        <w:rPr/>
        <w:t>492.8</w:t>
      </w:r>
      <w:r>
        <w:rPr/>
        <w:t>港元，只需盈利大致维持历史水平和倍数回到稍高位置，因此年底基准空间并非完全依赖人工智能爆发。</w:t>
      </w:r>
    </w:p>
    <w:p>
      <w:pPr>
        <w:pStyle w:val="Normal"/>
        <w:rPr/>
      </w:pPr>
      <w:r>
        <w:rPr/>
        <w:t>半年基准</w:t>
      </w:r>
      <w:r>
        <w:rPr/>
        <w:t>561</w:t>
      </w:r>
      <w:r>
        <w:rPr/>
        <w:t>港元需要每股收益</w:t>
      </w:r>
      <w:r>
        <w:rPr/>
        <w:t>30</w:t>
      </w:r>
      <w:r>
        <w:rPr/>
        <w:t>元与</w:t>
      </w:r>
      <w:r>
        <w:rPr/>
        <w:t>17</w:t>
      </w:r>
      <w:r>
        <w:rPr/>
        <w:t>倍市盈率，空间约百分之三十二。技术观察最高区间</w:t>
      </w:r>
      <w:r>
        <w:rPr/>
        <w:t>497.8</w:t>
      </w:r>
      <w:r>
        <w:rPr/>
        <w:t>低于这个目标，说明达到半年基准价需要突破目前中期压力并取得新的基本面证据，不是日线反弹自然能够保证。一年基准</w:t>
      </w:r>
      <w:r>
        <w:rPr/>
        <w:t>633.6</w:t>
      </w:r>
      <w:r>
        <w:rPr/>
        <w:t>港元需要每股收益</w:t>
      </w:r>
      <w:r>
        <w:rPr/>
        <w:t>32</w:t>
      </w:r>
      <w:r>
        <w:rPr/>
        <w:t>元与</w:t>
      </w:r>
      <w:r>
        <w:rPr/>
        <w:t>18</w:t>
      </w:r>
      <w:r>
        <w:rPr/>
        <w:t>倍，在经营恢复与市场信心上要求更高。乐观一年</w:t>
      </w:r>
      <w:r>
        <w:rPr/>
        <w:t>919.6</w:t>
      </w:r>
      <w:r>
        <w:rPr/>
        <w:t>港元包含明显的盈利与倍数双重改善，应作为高要求情景。</w:t>
      </w:r>
    </w:p>
    <w:p>
      <w:pPr>
        <w:pStyle w:val="Normal"/>
        <w:rPr/>
      </w:pPr>
      <w:r>
        <w:rPr/>
        <w:t>三年基准</w:t>
      </w:r>
      <w:r>
        <w:rPr/>
        <w:t>748</w:t>
      </w:r>
      <w:r>
        <w:rPr/>
        <w:t>港元的纯股价回报约百分之七十六点零八，计累计现金分红</w:t>
      </w:r>
      <w:r>
        <w:rPr/>
        <w:t>18</w:t>
      </w:r>
      <w:r>
        <w:rPr/>
        <w:t>港元后总回报约百分之八十点三二，简单年化约百分之二十一点七。五年基准</w:t>
      </w:r>
      <w:r>
        <w:rPr/>
        <w:t>880</w:t>
      </w:r>
      <w:r>
        <w:rPr/>
        <w:t>港元的纯股价回报约百分之一百零七点一六，计累计分红</w:t>
      </w:r>
      <w:r>
        <w:rPr/>
        <w:t>35</w:t>
      </w:r>
      <w:r>
        <w:rPr/>
        <w:t>港元后总回报约百分之一百一十五点四零，简单年化约百分之十六点六。分红只是累计现金相加，没有假设再投资，实际税费和兑换成本另影响个人回报。</w:t>
      </w:r>
    </w:p>
    <w:p>
      <w:pPr>
        <w:pStyle w:val="Normal"/>
        <w:rPr/>
      </w:pPr>
      <w:r>
        <w:rPr/>
        <w:t>一年累计分红悲观、基准、乐观</w:t>
      </w:r>
      <w:r>
        <w:rPr/>
        <w:t>4</w:t>
      </w:r>
      <w:r>
        <w:rPr/>
        <w:t>、</w:t>
      </w:r>
      <w:r>
        <w:rPr/>
        <w:t>5.3</w:t>
      </w:r>
      <w:r>
        <w:rPr/>
        <w:t>、</w:t>
      </w:r>
      <w:r>
        <w:rPr/>
        <w:t>6</w:t>
      </w:r>
      <w:r>
        <w:rPr/>
        <w:t>港元，三年</w:t>
      </w:r>
      <w:r>
        <w:rPr/>
        <w:t>12</w:t>
      </w:r>
      <w:r>
        <w:rPr/>
        <w:t>、</w:t>
      </w:r>
      <w:r>
        <w:rPr/>
        <w:t>18</w:t>
      </w:r>
      <w:r>
        <w:rPr/>
        <w:t>、</w:t>
      </w:r>
      <w:r>
        <w:rPr/>
        <w:t>24</w:t>
      </w:r>
      <w:r>
        <w:rPr/>
        <w:t>港元，五年</w:t>
      </w:r>
      <w:r>
        <w:rPr/>
        <w:t>20</w:t>
      </w:r>
      <w:r>
        <w:rPr/>
        <w:t>、</w:t>
      </w:r>
      <w:r>
        <w:rPr/>
        <w:t>35</w:t>
      </w:r>
      <w:r>
        <w:rPr/>
        <w:t>、</w:t>
      </w:r>
      <w:r>
        <w:rPr/>
        <w:t>50</w:t>
      </w:r>
      <w:r>
        <w:rPr/>
        <w:t>港元，均为未来研究假设而非董事会承诺。今年年底与半年先设零，以避免将未核定支付时点的股息提前计入。股价与总回报分别列出，不能把已支付且已除权的历史股息再加入从十月九日起计算的收益，也不能把回购金额直接当成现金分红。</w:t>
      </w:r>
    </w:p>
    <w:p>
      <w:pPr>
        <w:pStyle w:val="Normal"/>
        <w:rPr/>
      </w:pPr>
      <w:r>
        <w:rPr/>
        <w:t>研究汇率每人民币兑换</w:t>
      </w:r>
      <w:r>
        <w:rPr/>
        <w:t>1.10</w:t>
      </w:r>
      <w:r>
        <w:rPr/>
        <w:t>港元仅为模型统一输入，尚未完成当日独立即期与长期汇率核验。在每股收益和市盈率不变时，换算汇率下降百分之五，港元目标价同步下降百分之五；上升百分之五则同步上升。人民币投资者持有港股还会受港元兑人民币的最终转换影响，模型盈利换算和投资者最终账户转换应分别计算，避免重复叠加或抵销同一汇率效应。</w:t>
      </w:r>
    </w:p>
    <w:p>
      <w:pPr>
        <w:pStyle w:val="Heading2"/>
        <w:rPr/>
      </w:pPr>
      <w:r>
        <w:rPr>
          <w:color w:val="000000"/>
        </w:rPr>
        <w:t>十三 年底情景权重与机构目标价</w:t>
      </w:r>
    </w:p>
    <w:p>
      <w:pPr>
        <w:pStyle w:val="Normal"/>
        <w:rPr/>
      </w:pPr>
      <w:r>
        <w:rPr/>
        <w:t>年底采用悲观百分之二十五、基准百分之五十、乐观百分之二十五的判断权重，加权价格</w:t>
      </w:r>
      <w:r>
        <w:rPr/>
        <w:t>496.1</w:t>
      </w:r>
      <w:r>
        <w:rPr/>
        <w:t>港元，对现价期望回报约百分之十六点七八。权重只是研究者对情景的组织方式，没有历史频率校准，也不声称每四次投资会出现一次悲观或乐观。由于三种价格并非对称，期望价略高于基准价，读者应以实际假设判断，而非只看期望数字。</w:t>
      </w:r>
    </w:p>
    <w:p>
      <w:pPr>
        <w:pStyle w:val="Normal"/>
        <w:rPr/>
      </w:pPr>
      <w:r>
        <w:rPr/>
        <w:t>将权重改为悲观百分之四十、基准百分之五十、乐观百分之十，年底加权价为</w:t>
      </w:r>
      <w:r>
        <w:rPr/>
        <w:t>441.32</w:t>
      </w:r>
      <w:r>
        <w:rPr/>
        <w:t>港元，空间约百分之三点八九。将权重改为悲观百分之十、基准百分之五十、乐观百分之四十，加权价</w:t>
      </w:r>
      <w:r>
        <w:rPr/>
        <w:t>550.88</w:t>
      </w:r>
      <w:r>
        <w:rPr/>
        <w:t>港元，空间约百分之二十九点六八。仅调整判断权重就能明显改变期望回报，说明期望值需要与情景范围和费用风险一起读，不能以一个小数点目标制造预测精确的印象。</w:t>
      </w:r>
    </w:p>
    <w:p>
      <w:pPr>
        <w:pStyle w:val="Normal"/>
        <w:rPr/>
      </w:pPr>
      <w:r>
        <w:rPr/>
        <w:t>悲观年底情景可能由第三季度利润逊预期、人工智能开支继续上调、市场降低多年盈利预期、游戏高基数及广告需求转弱共同触发。基准要求现有业务韧性仍可见、费用扩张可解释、估值没有进一步严重压缩。乐观要求产品和策略更新带来可验证商业化证据，并且现金投入回收的能见度改善。十月末产品更新与十一月业绩是资料所提催化窗口，实际发布时间与内容仍需官方公告持续确认。</w:t>
      </w:r>
    </w:p>
    <w:p>
      <w:pPr>
        <w:pStyle w:val="Normal"/>
        <w:rPr/>
      </w:pPr>
      <w:r>
        <w:rPr/>
        <w:t>公开新闻转载中，高盛九月十七日给予腾讯买入，明确十二个月目标</w:t>
      </w:r>
      <w:r>
        <w:rPr/>
        <w:t>650</w:t>
      </w:r>
      <w:r>
        <w:rPr/>
        <w:t>港元，较现价空间约百分之五十三点零一，并对下半年每股盈利预测削减最多百分之五。花旗十月七日目标从</w:t>
      </w:r>
      <w:r>
        <w:rPr/>
        <w:t>765</w:t>
      </w:r>
      <w:r>
        <w:rPr/>
        <w:t>下调到</w:t>
      </w:r>
      <w:r>
        <w:rPr/>
        <w:t>755</w:t>
      </w:r>
      <w:r>
        <w:rPr/>
        <w:t>港元、重申买入，空间约百分之七十七点七三；公开稿未明确统一目标期限。大华继显十月五日选股表腾讯</w:t>
      </w:r>
      <w:r>
        <w:rPr/>
        <w:t>608</w:t>
      </w:r>
      <w:r>
        <w:rPr/>
        <w:t>港元买入，空间约百分之四十三点一二，公开稿同样未明确期限。三者是不同机构估值判断，不能归为同一个目标时点。</w:t>
      </w:r>
    </w:p>
    <w:p>
      <w:pPr>
        <w:pStyle w:val="Normal"/>
        <w:rPr/>
      </w:pPr>
      <w:r>
        <w:rPr/>
        <w:t>花旗特别预测二零二六至二零二八资本开支约</w:t>
      </w:r>
      <w:r>
        <w:rPr/>
        <w:t>2030</w:t>
      </w:r>
      <w:r>
        <w:rPr/>
        <w:t>、</w:t>
      </w:r>
      <w:r>
        <w:rPr/>
        <w:t>2520</w:t>
      </w:r>
      <w:r>
        <w:rPr/>
        <w:t>、</w:t>
      </w:r>
      <w:r>
        <w:rPr/>
        <w:t>2410</w:t>
      </w:r>
      <w:r>
        <w:rPr/>
        <w:t>亿元人民币，并下调未来调整净利预期，体现看好长期代理定位与担忧投入回收并存。高盛将年底前偏好转向游戏与娱乐，显示对防守性增长的考虑。不同机构对盈利、业务拆分、投资资产和倍数可能采用不同模型，因此高于自有基准目标不等于本研究必须上调，低于某一乐观情景也不证明其错误。</w:t>
      </w:r>
    </w:p>
    <w:p>
      <w:pPr>
        <w:pStyle w:val="Normal"/>
        <w:rPr/>
      </w:pPr>
      <w:r>
        <w:rPr/>
        <w:t>富瑞十月九日</w:t>
      </w:r>
      <w:r>
        <w:rPr/>
        <w:t>711</w:t>
      </w:r>
      <w:r>
        <w:rPr/>
        <w:t>港元标题和日期已取得，但详情正文当前提取为空，因此不能列为已完成核验的机构价格依据。报道网站可能显示实时相关行情与后添加推荐内容，研究只使用有明确发布时间的主体新闻，不把页面后来添加的股价、影片或相关新闻当成当时资料。机构目标价优先保留最新有效报告，查无明确目标期限时写缺失，不能统一改写为十二个月。</w:t>
      </w:r>
    </w:p>
    <w:p>
      <w:pPr>
        <w:pStyle w:val="Heading2"/>
        <w:rPr/>
      </w:pPr>
      <w:r>
        <w:rPr>
          <w:color w:val="000000"/>
        </w:rPr>
        <w:t>十四 半年与一年如何区别推荐</w:t>
      </w:r>
    </w:p>
    <w:p>
      <w:pPr>
        <w:pStyle w:val="Normal"/>
        <w:rPr/>
      </w:pPr>
      <w:r>
        <w:rPr/>
        <w:t>半年投资最重要的是估值变化、业绩预期与量价修复能否同时出现。腾讯当前的历史盈利估值已经较低，但均线结构仍弱，第三季度费用压力明确存在。进取投资者可以研究现价是否已经补偿部分风险，不能因此跳过趋势验证。半年基准上行空间较大是情景结果，实际实现需要盈利证据与市场定价改善，如果股价仅在下降趋势里短暂反弹，目标兑现仍不充分。</w:t>
      </w:r>
    </w:p>
    <w:p>
      <w:pPr>
        <w:pStyle w:val="Normal"/>
        <w:rPr/>
      </w:pPr>
      <w:r>
        <w:rPr/>
        <w:t>半年需要逐项核验十一月业绩：现有核心业务收入是否继续增长、广告毛利是否承受额外折旧、新产品亏损是否扩张、云需求是否足够支撑已投入资产、经营现金流与付款是否开始正常化。单看收入超过预期并不够，收入与利润方向可能不同。公司可能给出积极产品使用指标却没有商业收益，此时应保留长期选项价值而降低短期盈利确信度，不能通过给催化剂更高分补偿财务证据不足。</w:t>
      </w:r>
    </w:p>
    <w:p>
      <w:pPr>
        <w:pStyle w:val="Normal"/>
        <w:rPr/>
      </w:pPr>
      <w:r>
        <w:rPr/>
        <w:t>半年评分的技术权重较高，日线尚未反转应扣分；估值和现有业务质量则可以获得相对较好的评价。两项并列能够表达“公司有吸引力但时机仍需确认”的判断。若全名单里其他公司已形成量价趋势且盈利上修更清楚，腾讯未必是半年榜首。反之，如果技术修复和费用预期改善同时得到确认，半年推荐名次应上升，而不是因原先写了谨慎观点就拒绝更新。</w:t>
      </w:r>
    </w:p>
    <w:p>
      <w:pPr>
        <w:pStyle w:val="Normal"/>
        <w:rPr/>
      </w:pPr>
      <w:r>
        <w:rPr/>
        <w:t>一年考察更重视完整产品与费用周期，允许新增资本开支开始转化收入，也能够看到今年高基数是否消化。基准每股收益</w:t>
      </w:r>
      <w:r>
        <w:rPr/>
        <w:t>32</w:t>
      </w:r>
      <w:r>
        <w:rPr/>
        <w:t>元配十八倍市盈率形成</w:t>
      </w:r>
      <w:r>
        <w:rPr/>
        <w:t>633.6</w:t>
      </w:r>
      <w:r>
        <w:rPr/>
        <w:t>港元，要求持续盈利恢复而非单一主题炒作。预计一年累计股息</w:t>
      </w:r>
      <w:r>
        <w:rPr/>
        <w:t>5.3</w:t>
      </w:r>
      <w:r>
        <w:rPr/>
        <w:t>港元后的总回报约百分之五十点四零，不代表现金分红能显著弥补大跌风险，其主要回报仍来自股价。</w:t>
      </w:r>
    </w:p>
    <w:p>
      <w:pPr>
        <w:pStyle w:val="Normal"/>
        <w:rPr/>
      </w:pPr>
      <w:r>
        <w:rPr/>
        <w:t>一年更可能出现的错误是把新产品发布直接当成新业务成熟。产品能力提高和用户使用增加是过程，稳定付费、低于收入增量的推理成本和合理营销费用才是结果。腾讯有足够多现有业务支持渐进商业化，所以一年基准不需要所有新产品成功，但总调整利润与现金流必须开始显示投入可管理。若到一年目标日资本开支仍持续上修而盈利没有改善，应该撤回目标倍数提升假设。</w:t>
      </w:r>
    </w:p>
    <w:p>
      <w:pPr>
        <w:pStyle w:val="Normal"/>
        <w:rPr/>
      </w:pPr>
      <w:r>
        <w:rPr/>
        <w:t>一年悲观</w:t>
      </w:r>
      <w:r>
        <w:rPr/>
        <w:t>343.2</w:t>
      </w:r>
      <w:r>
        <w:rPr/>
        <w:t>港元比年底悲观</w:t>
      </w:r>
      <w:r>
        <w:rPr/>
        <w:t>316.8</w:t>
      </w:r>
      <w:r>
        <w:rPr/>
        <w:t>稍高，是因为假设盈利从</w:t>
      </w:r>
      <w:r>
        <w:rPr/>
        <w:t>24</w:t>
      </w:r>
      <w:r>
        <w:rPr/>
        <w:t>升到</w:t>
      </w:r>
      <w:r>
        <w:rPr/>
        <w:t>26</w:t>
      </w:r>
      <w:r>
        <w:rPr/>
        <w:t>元而倍数仍十二倍，并不保证时间延长就一定减少亏损。三年与五年悲观倍数进一步下降，说明长期未兑现会损害信心。投资期限本身不能修复经营问题，研究推荐必须以可更新的证据为条件，不能用长期持有话术掩盖短期判断失败。</w:t>
      </w:r>
    </w:p>
    <w:p>
      <w:pPr>
        <w:pStyle w:val="Heading2"/>
        <w:rPr/>
      </w:pPr>
      <w:r>
        <w:rPr>
          <w:color w:val="000000"/>
        </w:rPr>
        <w:t>十五 三年 五年与十年经营展望</w:t>
      </w:r>
    </w:p>
    <w:p>
      <w:pPr>
        <w:pStyle w:val="Normal"/>
        <w:rPr/>
      </w:pPr>
      <w:r>
        <w:rPr/>
        <w:t>三年更适合评价腾讯能否从投入期走向可盈利的人工智能服务阶段。现有微信、游戏、广告与支付基础提供时间和资本，但智能体任务生态、云价格和算力折旧决定回报。基准每股收益</w:t>
      </w:r>
      <w:r>
        <w:rPr/>
        <w:t>40</w:t>
      </w:r>
      <w:r>
        <w:rPr/>
        <w:t>元，要求内容业务继续高质量经营、广告效率保持增长、企业服务提高收入与利润，以及新产品亏损不再无限扩张。这是需要多业务共同兑现的经营假设，不能仅靠一个热门应用维持。</w:t>
      </w:r>
    </w:p>
    <w:p>
      <w:pPr>
        <w:pStyle w:val="Normal"/>
        <w:rPr/>
      </w:pPr>
      <w:r>
        <w:rPr/>
        <w:t>三年自有基准</w:t>
      </w:r>
      <w:r>
        <w:rPr/>
        <w:t>748</w:t>
      </w:r>
      <w:r>
        <w:rPr/>
        <w:t>港元在十月九日价格上有较好的潜在收益，但风险范围同样宽。人工智能行业未来商业模式不稳定，收费方式、免费竞争、客户模型切换与硬件供给都可能改变利润分配。腾讯若提供可靠工作流与生态服务，可以不必只靠模型本身获得收益；如果成为大量低价调用的供应方而竞争者掌握高价值客户，收入增长也可能伴低回报。三年考察重视价值链位置。</w:t>
      </w:r>
    </w:p>
    <w:p>
      <w:pPr>
        <w:pStyle w:val="Normal"/>
        <w:rPr/>
      </w:pPr>
      <w:r>
        <w:rPr/>
        <w:t>五年基准每股收益</w:t>
      </w:r>
      <w:r>
        <w:rPr/>
        <w:t>50</w:t>
      </w:r>
      <w:r>
        <w:rPr/>
        <w:t>元、十六倍市盈率形成</w:t>
      </w:r>
      <w:r>
        <w:rPr/>
        <w:t>880</w:t>
      </w:r>
      <w:r>
        <w:rPr/>
        <w:t>港元，依赖约百分之十二的每股收益复合增长。腾讯成熟业务规模较大，这个增速并不轻松，需要增长、效率和股本纪律共同支持。未来用户数量增长有限，收益更多来自每个用户或商户得到的新服务和高质量使用关系。若用户时间和任务入口发生结构性迁移，腾讯必须通过产品适应维持价值，而不是仅依靠历史地位。</w:t>
      </w:r>
    </w:p>
    <w:p>
      <w:pPr>
        <w:pStyle w:val="Normal"/>
        <w:rPr/>
      </w:pPr>
      <w:r>
        <w:rPr/>
        <w:t>五年乐观</w:t>
      </w:r>
      <w:r>
        <w:rPr/>
        <w:t>1815</w:t>
      </w:r>
      <w:r>
        <w:rPr/>
        <w:t>港元对现价超过三倍涨幅，数字非常醒目，条件也明显更苛刻：每股收益</w:t>
      </w:r>
      <w:r>
        <w:rPr/>
        <w:t>75</w:t>
      </w:r>
      <w:r>
        <w:rPr/>
        <w:t>元意味着约百分之二十二年均增长，并获二十二倍市盈率。它要求人工智能商业化成功、成熟业务没有严重衰退、竞争与政策保持可经营环境，而且市场愿意继续给予成长倍数。这是一个强成功情景，不能在推荐排序中只以乐观涨幅压过经营确定性和悲观损失。</w:t>
      </w:r>
    </w:p>
    <w:p>
      <w:pPr>
        <w:pStyle w:val="Normal"/>
        <w:rPr/>
      </w:pPr>
      <w:r>
        <w:rPr/>
        <w:t>十年展望不提供精确股价，因为如此长时间模型能力、用户入口、支付制度和竞争结构都会改变。腾讯可能成为连接通信、内容、商业和智能代理的基础服务平台，价值来自可信身份、关系和交易完成。也可能遇到新的操作系统与智能体入口分走高价值任务，原有微信仍高频但商业化空间缩小。判断公司是否适合长期持有，应看它是否不断创造真实用户价值和良好资本回报，而非是否永远保持旧产品形态。</w:t>
      </w:r>
    </w:p>
    <w:p>
      <w:pPr>
        <w:pStyle w:val="Normal"/>
        <w:rPr/>
      </w:pPr>
      <w:r>
        <w:rPr/>
        <w:t>长期资本配置比单次产品更新更重要。腾讯有大量利润与投资资产，可以选择研发、回购、分红、并购或处置。若将资源持续投入回报难以验证的领域，同时弱化对股东现金收益的纪律，平台优势可能不能转化为股票回报。相反，适当投入、退出低回报资产并控制稀释，可以使每股价值增长优于公司规模。长期模型应追踪股东权益和实际每股现金收益，而非只有收入。</w:t>
      </w:r>
    </w:p>
    <w:p>
      <w:pPr>
        <w:pStyle w:val="Heading2"/>
        <w:rPr/>
      </w:pPr>
      <w:r>
        <w:rPr>
          <w:color w:val="000000"/>
        </w:rPr>
        <w:t>十六 推翻结论的证据与最终研究定位</w:t>
      </w:r>
    </w:p>
    <w:p>
      <w:pPr>
        <w:pStyle w:val="Normal"/>
        <w:rPr/>
      </w:pPr>
      <w:r>
        <w:rPr/>
        <w:t>第一组反证针对核心业务。如果国内游戏连续多个季度收入与玩家参与同时转弱、广告增长显著放缓且毛利率持续下行、支付与企业服务增长不足以弥补费用，说明成熟现金来源弱于基准模型。此时不能用尚未实现的人工智能收入填平缺口，应调低每股收益假设。单季收入小幅低于预期可能只是季节或确认时点，持续多项指标恶化才更接近结构性问题。</w:t>
      </w:r>
    </w:p>
    <w:p>
      <w:pPr>
        <w:pStyle w:val="Normal"/>
        <w:rPr/>
      </w:pPr>
      <w:r>
        <w:rPr/>
        <w:t>第二组反证针对人工智能回报。如果新产品用户增长主要由免费额度支持、收费后使用与留存明显下降，或单位任务收入不能覆盖推理与服务成本，长期商业化价值需要下调。如果模型和产品更新频繁但竞争地位没有改善，研发支出持续上升也未能产生业务净收益，说明腾讯在新领域的投入回报低于假设。现有业务盈利不能无限承担无回报扩张，财务能力强只意味着有较长调整时间。</w:t>
      </w:r>
    </w:p>
    <w:p>
      <w:pPr>
        <w:pStyle w:val="Normal"/>
        <w:rPr/>
      </w:pPr>
      <w:r>
        <w:rPr/>
        <w:t>第三组反证针对现金和股本。如果净现金连续下降、预付款与债务承诺扩大、自由现金流长期弱于利润，分红和回购需要调整，历史低市盈率可能不再具有同样意义。如果股份激励及融资抵销回购导致摊薄股本增长，而研究仍假设每股收益自动提升，就应撤回股本纪律的正面判断。回购在下降市场里能够增加每股持有比例，但价格与公司实际现金收益决定其经济价值。</w:t>
      </w:r>
    </w:p>
    <w:p>
      <w:pPr>
        <w:pStyle w:val="Normal"/>
        <w:rPr/>
      </w:pPr>
      <w:r>
        <w:rPr/>
        <w:t>第四组反证针对生态。如果微信商业化或代理功能影响隐私、通信体验与交易可信度，用户或商户把高价值任务转向其他平台，长期护城河应重新评估。月活账户维持高位不一定能发现这类迁移，必须看任务使用、商户收入、支付和广告转化。腾讯可能保留通信频率但失去部分商业接口，因此只追踪月活不足以支撑五年高估值。</w:t>
      </w:r>
    </w:p>
    <w:p>
      <w:pPr>
        <w:pStyle w:val="Normal"/>
        <w:rPr/>
      </w:pPr>
      <w:r>
        <w:rPr/>
        <w:t>第五组反证针对估值。如果未来盈利确实增长却持续需要更高资本投入、自由现金收益没有同步增加，市场给予低倍数可能合理，而不是投资者错误。公司经营成功和股票上涨并非同义词，现价、盈利质量与要求回报共同决定结果。目标价应该随着盈利、资本开支、风险溢价和汇率更新，不能把历史目标作为必须实现的承诺。</w:t>
      </w:r>
    </w:p>
    <w:p>
      <w:pPr>
        <w:pStyle w:val="Normal"/>
        <w:rPr/>
      </w:pPr>
      <w:r>
        <w:rPr/>
        <w:t>综合已核证据，腾讯具有名单中值得优先研究的中长期商业基础，当前价格相对历史调整盈利有吸引力，而半年技术和费用周期仍未完成验证。基准情景的主要来源是成熟业务增长、人工智能效率及后续商业化、合理估值修复与股本纪律；主要失败路径是高投入持续而利润与现金兑现弱于预期、核心游戏广告增长回落、生态迁移和规则变化。推荐必须依赖这些条件逐项成立，不能依赖单日反弹或机构目标价的简单平均。</w:t>
      </w:r>
    </w:p>
    <w:p>
      <w:pPr>
        <w:pStyle w:val="Heading2"/>
        <w:rPr/>
      </w:pPr>
      <w:r>
        <w:rPr>
          <w:color w:val="000000"/>
        </w:rPr>
        <w:t>来源与核验说明 不计有效正文汉字</w:t>
      </w:r>
    </w:p>
    <w:p>
      <w:pPr>
        <w:pStyle w:val="Normal"/>
        <w:rPr/>
      </w:pPr>
      <w:r>
        <w:rPr/>
        <w:t xml:space="preserve">- </w:t>
      </w:r>
      <w:r>
        <w:rPr/>
        <w:t>腾讯</w:t>
      </w:r>
      <w:r>
        <w:rPr/>
        <w:t>2026</w:t>
      </w:r>
      <w:r>
        <w:rPr/>
        <w:t>中报：</w:t>
      </w:r>
      <w:r>
        <w:rPr/>
        <w:t xml:space="preserve">https://www.tencent.com/wp-content/uploads/2026/08/E700_IR.pdf </w:t>
      </w:r>
      <w:r>
        <w:rPr/>
        <w:t>，重点页码</w:t>
      </w:r>
      <w:r>
        <w:rPr/>
        <w:t>3</w:t>
      </w:r>
      <w:r>
        <w:rPr/>
        <w:t>至</w:t>
      </w:r>
      <w:r>
        <w:rPr/>
        <w:t>5</w:t>
      </w:r>
      <w:r>
        <w:rPr/>
        <w:t>、</w:t>
      </w:r>
      <w:r>
        <w:rPr/>
        <w:t>8</w:t>
      </w:r>
      <w:r>
        <w:rPr/>
        <w:t>至</w:t>
      </w:r>
      <w:r>
        <w:rPr/>
        <w:t>15</w:t>
      </w:r>
      <w:r>
        <w:rPr/>
        <w:t>、</w:t>
      </w:r>
      <w:r>
        <w:rPr/>
        <w:t>20</w:t>
      </w:r>
      <w:r>
        <w:rPr/>
        <w:t>至</w:t>
      </w:r>
      <w:r>
        <w:rPr/>
        <w:t>22</w:t>
      </w:r>
      <w:r>
        <w:rPr/>
        <w:t>及财务附注。</w:t>
      </w:r>
    </w:p>
    <w:p>
      <w:pPr>
        <w:pStyle w:val="Normal"/>
        <w:rPr/>
      </w:pPr>
      <w:r>
        <w:rPr/>
        <w:t xml:space="preserve">- </w:t>
      </w:r>
      <w:r>
        <w:rPr/>
        <w:t>腾讯</w:t>
      </w:r>
      <w:r>
        <w:rPr/>
        <w:t>2026</w:t>
      </w:r>
      <w:r>
        <w:rPr/>
        <w:t>第二季度业绩稿，</w:t>
      </w:r>
      <w:r>
        <w:rPr/>
        <w:t>2026-08-12</w:t>
      </w:r>
      <w:r>
        <w:rPr/>
        <w:t>：</w:t>
      </w:r>
      <w:r>
        <w:rPr/>
        <w:t>https://www.tencent.com/wp-content/uploads/2026/08/Tencent-Announces-2026-Second-Quarter-Results.pdf</w:t>
      </w:r>
    </w:p>
    <w:p>
      <w:pPr>
        <w:pStyle w:val="Normal"/>
        <w:rPr/>
      </w:pPr>
      <w:r>
        <w:rPr/>
        <w:t xml:space="preserve">- </w:t>
      </w:r>
      <w:r>
        <w:rPr/>
        <w:t>腾讯</w:t>
      </w:r>
      <w:r>
        <w:rPr/>
        <w:t>2026</w:t>
      </w:r>
      <w:r>
        <w:rPr/>
        <w:t>第一季度业绩稿，</w:t>
      </w:r>
      <w:r>
        <w:rPr/>
        <w:t>2026-05-13</w:t>
      </w:r>
      <w:r>
        <w:rPr/>
        <w:t>：</w:t>
      </w:r>
      <w:r>
        <w:rPr/>
        <w:t>https://static.www.tencent.com/uploads/2026/05/13/47382ae415a209fd161bc19a1f9b3704.pdf</w:t>
      </w:r>
    </w:p>
    <w:p>
      <w:pPr>
        <w:pStyle w:val="Normal"/>
        <w:rPr/>
      </w:pPr>
      <w:r>
        <w:rPr/>
        <w:t xml:space="preserve">- </w:t>
      </w:r>
      <w:r>
        <w:rPr/>
        <w:t>腾讯</w:t>
      </w:r>
      <w:r>
        <w:rPr/>
        <w:t>2025</w:t>
      </w:r>
      <w:r>
        <w:rPr/>
        <w:t>年度业绩稿，</w:t>
      </w:r>
      <w:r>
        <w:rPr/>
        <w:t>2026-03-18</w:t>
      </w:r>
      <w:r>
        <w:rPr/>
        <w:t>：</w:t>
      </w:r>
      <w:r>
        <w:rPr/>
        <w:t>https://static.www.tencent.com/uploads/2026/03/18/e6a646796d0d869acc76271c9ee1a6a5.pdf</w:t>
      </w:r>
    </w:p>
    <w:p>
      <w:pPr>
        <w:pStyle w:val="Normal"/>
        <w:rPr/>
      </w:pPr>
      <w:r>
        <w:rPr/>
        <w:t xml:space="preserve">- </w:t>
      </w:r>
      <w:r>
        <w:rPr/>
        <w:t>腾讯</w:t>
      </w:r>
      <w:r>
        <w:rPr/>
        <w:t>2025</w:t>
      </w:r>
      <w:r>
        <w:rPr/>
        <w:t>年报：</w:t>
      </w:r>
      <w:r>
        <w:rPr/>
        <w:t>https://static.www.tencent.com/uploads/2026/04/09/62d786fcf3d3c8cb7e54791ee95439ac.pdf</w:t>
      </w:r>
    </w:p>
    <w:p>
      <w:pPr>
        <w:pStyle w:val="Normal"/>
        <w:rPr/>
      </w:pPr>
      <w:r>
        <w:rPr/>
        <w:t xml:space="preserve">- </w:t>
      </w:r>
      <w:r>
        <w:rPr/>
        <w:t>花旗</w:t>
      </w:r>
      <w:r>
        <w:rPr/>
        <w:t>2026-10-07</w:t>
      </w:r>
      <w:r>
        <w:rPr/>
        <w:t>目标价转载：</w:t>
      </w:r>
      <w:r>
        <w:rPr/>
        <w:t>https://www.aastocks.com/sc/stocks/analysis/stock-aafn-con/00700/AAFN/NOW.1548056/research-report</w:t>
      </w:r>
    </w:p>
    <w:p>
      <w:pPr>
        <w:pStyle w:val="Normal"/>
        <w:rPr/>
      </w:pPr>
      <w:r>
        <w:rPr/>
        <w:t xml:space="preserve">- </w:t>
      </w:r>
      <w:r>
        <w:rPr/>
        <w:t>高盛</w:t>
      </w:r>
      <w:r>
        <w:rPr/>
        <w:t>2026-09-17</w:t>
      </w:r>
      <w:r>
        <w:rPr/>
        <w:t>明确十二个月目标转载：</w:t>
      </w:r>
      <w:r>
        <w:rPr/>
        <w:t>https://www.aastocks.com/sc/stocks/analysis/stock-aafn-con/00700/AAFN/NOW.1544986/hk-stock-news</w:t>
      </w:r>
    </w:p>
    <w:p>
      <w:pPr>
        <w:pStyle w:val="Normal"/>
        <w:rPr/>
      </w:pPr>
      <w:r>
        <w:rPr/>
        <w:t xml:space="preserve">- </w:t>
      </w:r>
      <w:r>
        <w:rPr/>
        <w:t>大华继显</w:t>
      </w:r>
      <w:r>
        <w:rPr/>
        <w:t>2026-10-05</w:t>
      </w:r>
      <w:r>
        <w:rPr/>
        <w:t>多股票目标价表转载：</w:t>
      </w:r>
      <w:r>
        <w:rPr/>
        <w:t>https://www.aastocks.com/sc/stocks/analysis/stock-aafn-con/00700/AAFN/NOW.1547727/research-report</w:t>
      </w:r>
    </w:p>
    <w:p>
      <w:pPr>
        <w:pStyle w:val="Normal"/>
        <w:rPr/>
      </w:pPr>
      <w:r>
        <w:rPr/>
        <w:t xml:space="preserve">- </w:t>
      </w:r>
      <w:r>
        <w:rPr/>
        <w:t>行情和技术来自</w:t>
      </w:r>
      <w:r>
        <w:rPr/>
        <w:t>data/market_snapshot_locked.json</w:t>
      </w:r>
      <w:r>
        <w:rPr/>
        <w:t>证券</w:t>
      </w:r>
      <w:r>
        <w:rPr/>
        <w:t>S083</w:t>
      </w:r>
      <w:r>
        <w:rPr/>
        <w:t>及</w:t>
      </w:r>
      <w:r>
        <w:rPr/>
        <w:t>data/history/S083.json</w:t>
      </w:r>
      <w:r>
        <w:rPr/>
        <w:t>，采用</w:t>
      </w:r>
      <w:r>
        <w:rPr/>
        <w:t>2026-10-10T09:14:29Z</w:t>
      </w:r>
      <w:r>
        <w:rPr/>
        <w:t>更新后的</w:t>
      </w:r>
      <w:r>
        <w:rPr/>
        <w:t>Yahoo</w:t>
      </w:r>
      <w:r>
        <w:rPr/>
        <w:t>复权历史与腾讯报价交叉核验；早期请求失败的同源版本已被替换。</w:t>
      </w:r>
    </w:p>
    <w:p>
      <w:pPr>
        <w:pStyle w:val="Normal"/>
        <w:rPr/>
      </w:pPr>
      <w:r>
        <w:rPr/>
        <w:t xml:space="preserve">- </w:t>
      </w:r>
      <w:r>
        <w:rPr/>
        <w:t>目标价格及分红为</w:t>
      </w:r>
      <w:r>
        <w:rPr/>
        <w:t>root</w:t>
      </w:r>
      <w:r>
        <w:rPr/>
        <w:t>统一自有</w:t>
      </w:r>
      <w:r>
        <w:rPr/>
        <w:t>PE</w:t>
      </w:r>
      <w:r>
        <w:rPr/>
        <w:t>情景，五年悲观</w:t>
      </w:r>
      <w:r>
        <w:rPr/>
        <w:t>308</w:t>
      </w:r>
      <w:r>
        <w:rPr/>
        <w:t>港元按</w:t>
      </w:r>
      <w:r>
        <w:rPr/>
        <w:t>28</w:t>
      </w:r>
      <w:r>
        <w:rPr/>
        <w:t>元</w:t>
      </w:r>
      <w:r>
        <w:rPr/>
        <w:t>EPS</w:t>
      </w:r>
      <w:r>
        <w:rPr/>
        <w:t>乘</w:t>
      </w:r>
      <w:r>
        <w:rPr/>
        <w:t>10</w:t>
      </w:r>
      <w:r>
        <w:rPr/>
        <w:t>倍乘</w:t>
      </w:r>
      <w:r>
        <w:rPr/>
        <w:t>1.10</w:t>
      </w:r>
      <w:r>
        <w:rPr/>
        <w:t>计算。三年五年含分红年化为累计现金分红、不再投资口径。</w:t>
      </w:r>
      <w:r>
        <w:br w:type="page"/>
      </w:r>
    </w:p>
    <w:p>
      <w:pPr>
        <w:pStyle w:val="Heading1"/>
        <w:rPr/>
      </w:pPr>
      <w:bookmarkStart w:id="5" w:name="__RefHeading___Toc10710_312338234"/>
      <w:bookmarkEnd w:id="5"/>
      <w:r>
        <w:rPr>
          <w:color w:val="000000"/>
        </w:rPr>
        <w:t xml:space="preserve">凯莱英 </w:t>
      </w:r>
      <w:r>
        <w:rPr>
          <w:color w:val="000000"/>
        </w:rPr>
        <w:t>002821 SZ 06821 HK</w:t>
      </w:r>
    </w:p>
    <w:p>
      <w:pPr>
        <w:pStyle w:val="Normal"/>
        <w:rPr/>
      </w:pPr>
      <w:r>
        <w:rPr/>
        <w:t xml:space="preserve">002821.SZ </w:t>
      </w:r>
      <w:r>
        <w:rPr/>
        <w:t xml:space="preserve">现价 </w:t>
      </w:r>
      <w:r>
        <w:rPr/>
        <w:t>177.93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220.00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+23.64%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+24.49%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290.50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+66.64%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368.00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+106.82%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+113.01%</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-62.23%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172.00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+51.75%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170.30CNY</w:t>
      </w:r>
      <w:r>
        <w:rPr/>
        <w:t>，期望股价回报</w:t>
      </w:r>
      <w:r>
        <w:rPr/>
        <w:t>-4.29%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72.00</w:t>
              <w:br/>
              <w:t>-59.53%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189.00</w:t>
              <w:br/>
              <w:t>+6.22%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313.20</w:t>
              <w:br/>
              <w:t>+76.02%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75.90</w:t>
              <w:br/>
              <w:t>-57.34%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220.00</w:t>
              <w:br/>
              <w:t>+23.64%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365.00</w:t>
              <w:br/>
              <w:t>+105.14%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83.60</w:t>
              <w:br/>
              <w:t>-53.02%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290.50</w:t>
              <w:br/>
              <w:t>+63.27%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550.00</w:t>
              <w:br/>
              <w:t>+209.11%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+18.56%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84.00</w:t>
              <w:br/>
              <w:t>-52.79%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368.00</w:t>
              <w:br/>
              <w:t>+106.82%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760.00</w:t>
              <w:br/>
              <w:t>+327.13%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+16.33%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w:t>
            </w:r>
            <w:r>
              <w:rPr>
                <w:rFonts w:eastAsia="微软雅黑" w:ascii="微软雅黑" w:hAnsi="微软雅黑"/>
                <w:sz w:val="17"/>
              </w:rPr>
              <w:t>A</w:t>
            </w:r>
            <w:r>
              <w:rPr>
                <w:rFonts w:ascii="微软雅黑" w:hAnsi="微软雅黑" w:eastAsia="微软雅黑"/>
                <w:sz w:val="17"/>
              </w:rPr>
              <w:t>股年报</w:t>
            </w:r>
            <w:r>
              <w:rPr>
                <w:rFonts w:eastAsia="微软雅黑" w:ascii="微软雅黑" w:hAnsi="微软雅黑"/>
                <w:sz w:val="17"/>
              </w:rPr>
              <w:t>/</w:t>
            </w:r>
            <w:r>
              <w:rPr>
                <w:rFonts w:ascii="微软雅黑" w:hAnsi="微软雅黑" w:eastAsia="微软雅黑"/>
                <w:sz w:val="17"/>
              </w:rPr>
              <w:t>中报</w:t>
            </w:r>
            <w:r>
              <w:rPr>
                <w:rFonts w:eastAsia="微软雅黑" w:ascii="微软雅黑" w:hAnsi="微软雅黑"/>
                <w:sz w:val="17"/>
              </w:rPr>
              <w:t>/</w:t>
            </w:r>
            <w:r>
              <w:rPr>
                <w:rFonts w:ascii="微软雅黑" w:hAnsi="微软雅黑" w:eastAsia="微软雅黑"/>
                <w:sz w:val="17"/>
              </w:rPr>
              <w:t>月报；调整利润桥中低</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A/H</w:t>
            </w:r>
            <w:r>
              <w:rPr>
                <w:rFonts w:ascii="微软雅黑" w:hAnsi="微软雅黑" w:eastAsia="微软雅黑"/>
                <w:sz w:val="17"/>
              </w:rPr>
              <w:t>各双行情核验，</w:t>
            </w:r>
            <w:r>
              <w:rPr>
                <w:rFonts w:eastAsia="微软雅黑" w:ascii="微软雅黑" w:hAnsi="微软雅黑"/>
                <w:sz w:val="17"/>
              </w:rPr>
              <w:t>H</w:t>
            </w:r>
            <w:r>
              <w:rPr>
                <w:rFonts w:ascii="微软雅黑" w:hAnsi="微软雅黑" w:eastAsia="微软雅黑"/>
                <w:sz w:val="17"/>
              </w:rPr>
              <w:t>量</w:t>
            </w:r>
            <w:r>
              <w:rPr>
                <w:rFonts w:eastAsia="微软雅黑" w:ascii="微软雅黑" w:hAnsi="微软雅黑"/>
                <w:sz w:val="17"/>
              </w:rPr>
              <w:t>/</w:t>
            </w:r>
            <w:r>
              <w:rPr>
                <w:rFonts w:ascii="微软雅黑" w:hAnsi="微软雅黑" w:eastAsia="微软雅黑"/>
                <w:sz w:val="17"/>
              </w:rPr>
              <w:t>流动性与</w:t>
            </w:r>
            <w:r>
              <w:rPr>
                <w:rFonts w:eastAsia="微软雅黑" w:ascii="微软雅黑" w:hAnsi="微软雅黑"/>
                <w:sz w:val="17"/>
              </w:rPr>
              <w:t>A</w:t>
            </w:r>
            <w:r>
              <w:rPr>
                <w:rFonts w:ascii="微软雅黑" w:hAnsi="微软雅黑" w:eastAsia="微软雅黑"/>
                <w:sz w:val="17"/>
              </w:rPr>
              <w:t>区别</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w:t>
            </w:r>
            <w:r>
              <w:rPr>
                <w:rFonts w:eastAsia="微软雅黑" w:ascii="微软雅黑" w:hAnsi="微软雅黑"/>
                <w:sz w:val="17"/>
              </w:rPr>
              <w:t>EPS</w:t>
            </w:r>
            <w:r>
              <w:rPr>
                <w:rFonts w:ascii="微软雅黑" w:hAnsi="微软雅黑" w:eastAsia="微软雅黑"/>
                <w:sz w:val="17"/>
              </w:rPr>
              <w:t>恢复与本地</w:t>
            </w:r>
            <w:r>
              <w:rPr>
                <w:rFonts w:eastAsia="微软雅黑" w:ascii="微软雅黑" w:hAnsi="微软雅黑"/>
                <w:sz w:val="17"/>
              </w:rPr>
              <w:t>PE</w:t>
            </w:r>
            <w:r>
              <w:rPr>
                <w:rFonts w:ascii="微软雅黑" w:hAnsi="微软雅黑" w:eastAsia="微软雅黑"/>
                <w:sz w:val="17"/>
              </w:rPr>
              <w:t>为研究假设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中：公开新闻转述，非原付费报告</w:t>
            </w:r>
          </w:p>
        </w:tc>
      </w:tr>
    </w:tbl>
    <w:p>
      <w:pPr>
        <w:pStyle w:val="Normal"/>
        <w:rPr/>
      </w:pPr>
      <w:r>
        <w:rPr/>
      </w:r>
    </w:p>
    <w:p>
      <w:pPr>
        <w:pStyle w:val="Normal"/>
        <w:rPr/>
      </w:pPr>
      <w:r>
        <w:rPr/>
        <w:drawing>
          <wp:inline distT="0" distB="0" distL="0" distR="0">
            <wp:extent cx="5975985"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06821.HK </w:t>
      </w:r>
      <w:r>
        <w:rPr/>
        <w:t xml:space="preserve">现价 </w:t>
      </w:r>
      <w:r>
        <w:rPr/>
        <w:t>155.10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205.70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+33.69%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273.90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+80.85%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354.20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+128.37%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+136.17%</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145.20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242.00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+56.03%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148.50HKD</w:t>
      </w:r>
      <w:r>
        <w:rPr/>
        <w:t>，期望股价回报</w:t>
      </w:r>
      <w:r>
        <w:rPr/>
        <w:t>-4.26%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66.00</w:t>
              <w:br/>
              <w:t>-57.45%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168.30</w:t>
              <w:br/>
              <w:t>+8.51%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280.72</w:t>
              <w:br/>
              <w:t>+80.99%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72.60</w:t>
              <w:br/>
              <w:t>-53.19%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205.70</w:t>
              <w:br/>
              <w:t>+32.62%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337.26</w:t>
              <w:br/>
              <w:t>+117.45%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83.60</w:t>
              <w:br/>
              <w:t>-46.10%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273.90</w:t>
              <w:br/>
              <w:t>+76.60%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536.25</w:t>
              <w:br/>
              <w:t>+245.74%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+21.84%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83.16</w:t>
              <w:br/>
              <w:t>-46.38%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354.20</w:t>
              <w:br/>
              <w:t>+128.37%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752.40</w:t>
              <w:br/>
              <w:t>+385.11%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w:t>
            </w:r>
            <w:r>
              <w:rPr>
                <w:rFonts w:eastAsia="微软雅黑" w:ascii="微软雅黑" w:hAnsi="微软雅黑"/>
                <w:sz w:val="17"/>
              </w:rPr>
              <w:t>A</w:t>
            </w:r>
            <w:r>
              <w:rPr>
                <w:rFonts w:ascii="微软雅黑" w:hAnsi="微软雅黑" w:eastAsia="微软雅黑"/>
                <w:sz w:val="17"/>
              </w:rPr>
              <w:t>股年报</w:t>
            </w:r>
            <w:r>
              <w:rPr>
                <w:rFonts w:eastAsia="微软雅黑" w:ascii="微软雅黑" w:hAnsi="微软雅黑"/>
                <w:sz w:val="17"/>
              </w:rPr>
              <w:t>/</w:t>
            </w:r>
            <w:r>
              <w:rPr>
                <w:rFonts w:ascii="微软雅黑" w:hAnsi="微软雅黑" w:eastAsia="微软雅黑"/>
                <w:sz w:val="17"/>
              </w:rPr>
              <w:t>中报</w:t>
            </w:r>
            <w:r>
              <w:rPr>
                <w:rFonts w:eastAsia="微软雅黑" w:ascii="微软雅黑" w:hAnsi="微软雅黑"/>
                <w:sz w:val="17"/>
              </w:rPr>
              <w:t>/</w:t>
            </w:r>
            <w:r>
              <w:rPr>
                <w:rFonts w:ascii="微软雅黑" w:hAnsi="微软雅黑" w:eastAsia="微软雅黑"/>
                <w:sz w:val="17"/>
              </w:rPr>
              <w:t>月报；调整利润桥中低</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A/H</w:t>
            </w:r>
            <w:r>
              <w:rPr>
                <w:rFonts w:ascii="微软雅黑" w:hAnsi="微软雅黑" w:eastAsia="微软雅黑"/>
                <w:sz w:val="17"/>
              </w:rPr>
              <w:t>各双行情核验，</w:t>
            </w:r>
            <w:r>
              <w:rPr>
                <w:rFonts w:eastAsia="微软雅黑" w:ascii="微软雅黑" w:hAnsi="微软雅黑"/>
                <w:sz w:val="17"/>
              </w:rPr>
              <w:t>H</w:t>
            </w:r>
            <w:r>
              <w:rPr>
                <w:rFonts w:ascii="微软雅黑" w:hAnsi="微软雅黑" w:eastAsia="微软雅黑"/>
                <w:sz w:val="17"/>
              </w:rPr>
              <w:t>量</w:t>
            </w:r>
            <w:r>
              <w:rPr>
                <w:rFonts w:eastAsia="微软雅黑" w:ascii="微软雅黑" w:hAnsi="微软雅黑"/>
                <w:sz w:val="17"/>
              </w:rPr>
              <w:t>/</w:t>
            </w:r>
            <w:r>
              <w:rPr>
                <w:rFonts w:ascii="微软雅黑" w:hAnsi="微软雅黑" w:eastAsia="微软雅黑"/>
                <w:sz w:val="17"/>
              </w:rPr>
              <w:t>流动性与</w:t>
            </w:r>
            <w:r>
              <w:rPr>
                <w:rFonts w:eastAsia="微软雅黑" w:ascii="微软雅黑" w:hAnsi="微软雅黑"/>
                <w:sz w:val="17"/>
              </w:rPr>
              <w:t>A</w:t>
            </w:r>
            <w:r>
              <w:rPr>
                <w:rFonts w:ascii="微软雅黑" w:hAnsi="微软雅黑" w:eastAsia="微软雅黑"/>
                <w:sz w:val="17"/>
              </w:rPr>
              <w:t>区别</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w:t>
            </w:r>
            <w:r>
              <w:rPr>
                <w:rFonts w:eastAsia="微软雅黑" w:ascii="微软雅黑" w:hAnsi="微软雅黑"/>
                <w:sz w:val="17"/>
              </w:rPr>
              <w:t>EPS</w:t>
            </w:r>
            <w:r>
              <w:rPr>
                <w:rFonts w:ascii="微软雅黑" w:hAnsi="微软雅黑" w:eastAsia="微软雅黑"/>
                <w:sz w:val="17"/>
              </w:rPr>
              <w:t>恢复与本地</w:t>
            </w:r>
            <w:r>
              <w:rPr>
                <w:rFonts w:eastAsia="微软雅黑" w:ascii="微软雅黑" w:hAnsi="微软雅黑"/>
                <w:sz w:val="17"/>
              </w:rPr>
              <w:t>PE</w:t>
            </w:r>
            <w:r>
              <w:rPr>
                <w:rFonts w:ascii="微软雅黑" w:hAnsi="微软雅黑" w:eastAsia="微软雅黑"/>
                <w:sz w:val="17"/>
              </w:rPr>
              <w:t>为研究假设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中：公开新闻转述，非原付费报告</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+33.69%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+40.37%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+71.81%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+89.89%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+136.17%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+147.98%</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I006</w:t>
      </w:r>
      <w:r>
        <w:rPr/>
        <w:t>，</w:t>
      </w:r>
      <w:r>
        <w:rPr/>
        <w:t>A</w:t>
      </w:r>
      <w:r>
        <w:rPr/>
        <w:t>股</w:t>
      </w:r>
      <w:r>
        <w:rPr/>
        <w:t>S006/002821.SZ</w:t>
      </w:r>
      <w:r>
        <w:rPr/>
        <w:t>，</w:t>
      </w:r>
      <w:r>
        <w:rPr/>
        <w:t>H</w:t>
      </w:r>
      <w:r>
        <w:rPr/>
        <w:t>股</w:t>
      </w:r>
      <w:r>
        <w:rPr/>
        <w:t>S057/06821.HK</w:t>
      </w:r>
      <w:r>
        <w:rPr/>
        <w:t>。统一价格锚</w:t>
      </w:r>
      <w:r>
        <w:rPr/>
        <w:t>2026-10-09</w:t>
      </w:r>
      <w:r>
        <w:rPr/>
        <w:t>，</w:t>
      </w:r>
      <w:r>
        <w:rPr/>
        <w:t>A177.93</w:t>
      </w:r>
      <w:r>
        <w:rPr/>
        <w:t>元人民币、</w:t>
      </w:r>
      <w:r>
        <w:rPr/>
        <w:t>H155.10</w:t>
      </w:r>
      <w:r>
        <w:rPr/>
        <w:t>港元；资料截止该日。正常化归母</w:t>
      </w:r>
      <w:r>
        <w:rPr/>
        <w:t>EPS</w:t>
      </w:r>
      <w:r>
        <w:rPr/>
        <w:t>共享，本地市盈率分开，港币兑人民币转换采用</w:t>
      </w:r>
      <w:r>
        <w:rPr/>
        <w:t>1</w:t>
      </w:r>
      <w:r>
        <w:rPr/>
        <w:t>人民币</w:t>
      </w:r>
      <w:r>
        <w:rPr/>
        <w:t>=1.10</w:t>
      </w:r>
      <w:r>
        <w:rPr/>
        <w:t>港元研究假设，非未经核验的真实即期汇率。独立初版，调整利润桥、精细现金流估值及海外政策原文仍有缺口。</w:t>
      </w:r>
      <w:r>
        <w:rPr/>
        <w:t>A/H</w:t>
      </w:r>
      <w:r>
        <w:rPr/>
        <w:t>共享本章独立基本面，但价格、量能与目标逐项分别分析。</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A/H</w:t>
            </w:r>
            <w:r>
              <w:rPr>
                <w:rFonts w:ascii="微软雅黑" w:hAnsi="微软雅黑" w:eastAsia="微软雅黑"/>
                <w:b/>
                <w:color w:val="FFFFFF"/>
                <w:sz w:val="17"/>
              </w:rPr>
              <w:t>评分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A</w:t>
            </w:r>
            <w:r>
              <w:rPr>
                <w:rFonts w:ascii="微软雅黑" w:hAnsi="微软雅黑" w:eastAsia="微软雅黑"/>
                <w:b/>
                <w:color w:val="FFFFFF"/>
                <w:sz w:val="17"/>
              </w:rPr>
              <w:t>三情景目标元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H</w:t>
            </w:r>
            <w:r>
              <w:rPr>
                <w:rFonts w:ascii="微软雅黑" w:hAnsi="微软雅黑" w:eastAsia="微软雅黑"/>
                <w:b/>
                <w:color w:val="FFFFFF"/>
                <w:sz w:val="17"/>
              </w:rPr>
              <w:t>三情景目标港元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A/H</w:t>
            </w:r>
            <w:r>
              <w:rPr>
                <w:rFonts w:ascii="微软雅黑" w:hAnsi="微软雅黑" w:eastAsia="微软雅黑"/>
                <w:b/>
                <w:color w:val="FFFFFF"/>
                <w:sz w:val="17"/>
              </w:rPr>
              <w:t>基准价回报</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A/H</w:t>
            </w:r>
            <w:r>
              <w:rPr>
                <w:rFonts w:ascii="微软雅黑" w:hAnsi="微软雅黑" w:eastAsia="微软雅黑"/>
                <w:b/>
                <w:color w:val="FFFFFF"/>
                <w:sz w:val="17"/>
              </w:rPr>
              <w:t>基准总回报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71.4/73.4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72/189/313.2</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66/168.3/280.72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6.22%/8.51%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6.22%/8.51%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75.2/77.2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75.9/220/365</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72.6/205.7/337.26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23.64%/32.62%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24.49%/33.69%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80.9/82.4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83.6/290.5/550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83.6/273.9/536.25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63.27%/76.60%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66.64%/80.85%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81.2/82.4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84/368/760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83.16/354.2/752.4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106.82%/128.37%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113.01%/136.17%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年底专项</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67.2/172/270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61.6/145.2/242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-3.33%/-6.38%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-3.33%/-6.38%</w:t>
            </w:r>
          </w:p>
        </w:tc>
      </w:tr>
    </w:tbl>
    <w:p>
      <w:pPr>
        <w:pStyle w:val="Normal"/>
        <w:rPr/>
      </w:pPr>
      <w:r>
        <w:rPr/>
      </w:r>
    </w:p>
    <w:p>
      <w:pPr>
        <w:pStyle w:val="Heading2"/>
        <w:rPr/>
      </w:pPr>
      <w:r>
        <w:rPr>
          <w:color w:val="000000"/>
        </w:rPr>
        <w:t>投资结论</w:t>
      </w:r>
    </w:p>
    <w:p>
      <w:pPr>
        <w:pStyle w:val="Normal"/>
        <w:rPr/>
      </w:pPr>
      <w:r>
        <w:rPr/>
        <w:t>凯莱英的进取型投资逻辑在多肽、寡核苷酸及偶联药物外包需求扩张，在手订单和新兴业务收入已经提供证据；但目前更适合用三年与五年经营兑现来思考，半年和年底追涨空间相对有限。上半年营收增长百分之十三点一三、新兴业务增长百分之七十二点四九，在手订单增幅超过五成；与此同时，归母利润下降百分之十五点七一，固定投入超过经营现金流。市场已提前给予较高盈利恢复溢价，订单强不等于当前估值一定便宜。</w:t>
      </w:r>
    </w:p>
    <w:p>
      <w:pPr>
        <w:pStyle w:val="Normal"/>
        <w:rPr/>
      </w:pPr>
      <w:r>
        <w:rPr/>
        <w:t>同一公司优先考虑</w:t>
      </w:r>
      <w:r>
        <w:rPr/>
        <w:t>H</w:t>
      </w:r>
      <w:r>
        <w:rPr/>
        <w:t>股零六八二一，主要基于本币价格折算后的估值差与一年长期基准回报，不以</w:t>
      </w:r>
      <w:r>
        <w:rPr/>
        <w:t>H</w:t>
      </w:r>
      <w:r>
        <w:rPr/>
        <w:t>股成交量比</w:t>
      </w:r>
      <w:r>
        <w:rPr/>
        <w:t>A</w:t>
      </w:r>
      <w:r>
        <w:rPr/>
        <w:t>小就认定安全。</w:t>
      </w:r>
      <w:r>
        <w:rPr/>
        <w:t>A</w:t>
      </w:r>
      <w:r>
        <w:rPr/>
        <w:t>现价一百七十七点九三元，按一点一零港元每人民币折算约一百九十五点七二港元，较</w:t>
      </w:r>
      <w:r>
        <w:rPr/>
        <w:t>H</w:t>
      </w:r>
      <w:r>
        <w:rPr/>
        <w:t>现价溢价约百分之二十六点二。两类股票不能直接互换，市场结构、流动性和投资者约束不同，价差不必自动消失。两地目标各自采用合理倍数，未假设</w:t>
      </w:r>
      <w:r>
        <w:rPr/>
        <w:t>H</w:t>
      </w:r>
      <w:r>
        <w:rPr/>
        <w:t>必然收敛到</w:t>
      </w:r>
      <w:r>
        <w:rPr/>
        <w:t>A</w:t>
      </w:r>
      <w:r>
        <w:rPr/>
        <w:t>价。</w:t>
      </w:r>
    </w:p>
    <w:p>
      <w:pPr>
        <w:pStyle w:val="Normal"/>
        <w:rPr/>
      </w:pPr>
      <w:r>
        <w:rPr/>
        <w:t>年底默认悲观、基准、乐观</w:t>
      </w:r>
      <w:r>
        <w:rPr/>
        <w:t>A</w:t>
      </w:r>
      <w:r>
        <w:rPr/>
        <w:t>目标六十七点二、一百七十二、二百七十元；</w:t>
      </w:r>
      <w:r>
        <w:rPr/>
        <w:t>H</w:t>
      </w:r>
      <w:r>
        <w:rPr/>
        <w:t>六十一点六、一百四十五点二、二百四十二港元。默认二十五、五十、二十五权重下，</w:t>
      </w:r>
      <w:r>
        <w:rPr/>
        <w:t>A</w:t>
      </w:r>
      <w:r>
        <w:rPr/>
        <w:t>期望一百七十点三元，约负百分之四点二九；</w:t>
      </w:r>
      <w:r>
        <w:rPr/>
        <w:t>H</w:t>
      </w:r>
      <w:r>
        <w:rPr/>
        <w:t>一百四十八点五港元，约负百分之四点二六。悲观跌幅超过六成，乐观上涨超过五成，说明定价对盈利与倍数高度敏感。这是判断情景，未统计校准，不是最高最低价格边界。</w:t>
      </w:r>
    </w:p>
    <w:p>
      <w:pPr>
        <w:pStyle w:val="Normal"/>
        <w:rPr/>
      </w:pPr>
      <w:r>
        <w:rPr/>
        <w:t>一年</w:t>
      </w:r>
      <w:r>
        <w:rPr/>
        <w:t>A</w:t>
      </w:r>
      <w:r>
        <w:rPr/>
        <w:t>七十五点二分、</w:t>
      </w:r>
      <w:r>
        <w:rPr/>
        <w:t>H</w:t>
      </w:r>
      <w:r>
        <w:rPr/>
        <w:t>七十七点二分；三年</w:t>
      </w:r>
      <w:r>
        <w:rPr/>
        <w:t>A</w:t>
      </w:r>
      <w:r>
        <w:rPr/>
        <w:t>八十点九、</w:t>
      </w:r>
      <w:r>
        <w:rPr/>
        <w:t>H</w:t>
      </w:r>
      <w:r>
        <w:rPr/>
        <w:t>八十二点四，五年</w:t>
      </w:r>
      <w:r>
        <w:rPr/>
        <w:t>A</w:t>
      </w:r>
      <w:r>
        <w:rPr/>
        <w:t>八十一点二、</w:t>
      </w:r>
      <w:r>
        <w:rPr/>
        <w:t>H</w:t>
      </w:r>
      <w:r>
        <w:rPr/>
        <w:t>八十二点四。不到三分的差异按计划归近似梯队，</w:t>
      </w:r>
      <w:r>
        <w:rPr/>
        <w:t>H</w:t>
      </w:r>
      <w:r>
        <w:rPr/>
        <w:t>优先的估值理由仍需展示。三年</w:t>
      </w:r>
      <w:r>
        <w:rPr/>
        <w:t>H</w:t>
      </w:r>
      <w:r>
        <w:rPr/>
        <w:t>基准含分红回报约百分之八十点八五、年化百分之二十一点八四；五年约百分之一百三十六点一七、年化十八点七五。它们要求经营持续增长并保持成长倍数，并非已实现收益或获利概率，跨公司排名由总表统一计算。</w:t>
      </w:r>
    </w:p>
    <w:p>
      <w:pPr>
        <w:pStyle w:val="Normal"/>
        <w:rPr/>
      </w:pPr>
      <w:r>
        <w:rPr/>
        <w:t>推荐成立的条件是新签订单形成稳定交付，化学大分子与生物大分子利用率提高，小分子成熟项目保持现金创造，海外政策、质量和汇率风险可控，产能投资获得较好资本回报。反证包括订单取消或延迟、低毛利国内项目快速增加却难以提升利润、库存与资本开支持续吸收现金、报告利润长期弱于调整指标、客户集中度或政策成本显著上升。若这些出现，不能通过抬高远期倍数维持原目标。</w:t>
      </w:r>
    </w:p>
    <w:p>
      <w:pPr>
        <w:pStyle w:val="Heading2"/>
        <w:rPr/>
      </w:pPr>
      <w:r>
        <w:rPr>
          <w:color w:val="000000"/>
        </w:rPr>
        <w:t xml:space="preserve">一 </w:t>
      </w:r>
      <w:r>
        <w:rPr>
          <w:color w:val="000000"/>
        </w:rPr>
        <w:t>CDMO</w:t>
      </w:r>
      <w:r>
        <w:rPr>
          <w:color w:val="000000"/>
        </w:rPr>
        <w:t>价值链与公司的位置</w:t>
      </w:r>
    </w:p>
    <w:p>
      <w:pPr>
        <w:pStyle w:val="Normal"/>
        <w:rPr/>
      </w:pPr>
      <w:r>
        <w:rPr/>
        <w:t>凯莱英为药企提供工艺开发与生产服务，区别于直接持有创新药商业权益的企业。客户药物进入临床后期和商业化后，制造需求可能增长，但公司收入来自实际服务和交付，不是药物市场销售额的全部分成。一个药物销售成功，可以让供应商获得稳定订单；失败、价格下调或供货比例变化也会影响需求。因此不能按某个重磅药市场规模直接推导公司对应收入，需要合同、产能及供应链份额证据。</w:t>
      </w:r>
    </w:p>
    <w:p>
      <w:pPr>
        <w:pStyle w:val="Normal"/>
        <w:rPr/>
      </w:pPr>
      <w:r>
        <w:rPr/>
        <w:t>工艺开发是形成客户关系与技术优势的重要部分。把实验室合成放大到可稳定生产的批次，需要控制收率、纯度、杂质、溶剂、安全与成本，且满足质量法规。客户希望降低单位成本并提高交付可靠性，复杂工艺能力因此具有商业价值。公司通过连续化学、酶反应和高活性制造等技术嵌入项目，也要面对其他供应商的改进。技术优势须在真实生产及审计中体现，不能仅凭论文或专利数量证明永久定价权。</w:t>
      </w:r>
    </w:p>
    <w:p>
      <w:pPr>
        <w:pStyle w:val="Normal"/>
        <w:rPr/>
      </w:pPr>
      <w:r>
        <w:rPr/>
        <w:t>成熟项目往往有较大批量与计划性，供应商转换涉及验证和申报，用户黏性相对强。但客户通常也会管理供应链风险，安排多供应商或自建产能，原供应商不能假设独占所有增量。临床早期项目金额较小、成功不确定，却可能积累未来转化机会。项目阶段组合改变会同时影响收入可见度、利润率和扩产安排，不能只比较总项目数量，商业化与早期项目的经济含义明显不同。</w:t>
      </w:r>
    </w:p>
    <w:p>
      <w:pPr>
        <w:pStyle w:val="Normal"/>
        <w:rPr/>
      </w:pPr>
      <w:r>
        <w:rPr/>
        <w:t>公司一站式范围包括小分子、化学大分子、生物大分子、制剂、临床研究及新技术输出。多业务连接可以提高客户覆盖和交叉销售，但不同业务质量体系、人才与资本密度差异大。扩大范围不是无成本的规模经济，组织复杂度和管理费用可能上升。研究把已经披露的分业务收入和毛利作为证据，对未来一体化协同采取条件性判断，未把每条新业务都按独立龙头倍数相加。</w:t>
      </w:r>
    </w:p>
    <w:p>
      <w:pPr>
        <w:pStyle w:val="Normal"/>
        <w:rPr/>
      </w:pPr>
      <w:r>
        <w:rPr/>
        <w:t>作为外包供应商，凯莱英能分散单一药物权益风险，但风险并未消失。多个客户项目可能集中在同一治疗方式，政策、融资与临床趋势会共同影响订单。大客户还可能带来单次大规模采购，导致一段时间盈利高于正常水平。本文避免把历史高收入高利润直接外推，也不会以订单来自多个项目就认定互相完全独立。利润正常化必须考虑项目集中、产能和价格周期。</w:t>
      </w:r>
    </w:p>
    <w:p>
      <w:pPr>
        <w:pStyle w:val="Heading2"/>
        <w:rPr/>
      </w:pPr>
      <w:r>
        <w:rPr>
          <w:color w:val="000000"/>
        </w:rPr>
        <w:t>二 小分子业务的现金底盘</w:t>
      </w:r>
    </w:p>
    <w:p>
      <w:pPr>
        <w:pStyle w:val="Normal"/>
        <w:rPr/>
      </w:pPr>
      <w:r>
        <w:rPr/>
        <w:t>上半年小分子收入约二十二点九七亿元，占公司收入百分之六十三点六八，同比下降百分之五点四四。该业务仍是最大收入与毛利来源，不能被新兴板块的高增掩盖。毛利率百分之四十七点八三，同比基本稳定，说明工艺与制造竞争力仍支持盈利，但收入下滑影响整体规模。基准情景假设小分子逐渐稳定，不能只依靠新兴业务不断补偿成熟业务下降而永久维持高增长。</w:t>
      </w:r>
    </w:p>
    <w:p>
      <w:pPr>
        <w:pStyle w:val="Normal"/>
        <w:rPr/>
      </w:pPr>
      <w:r>
        <w:rPr/>
        <w:t>小分子上半年交付四十八个商业化项目，以及三百三十七个临床及临床前项目，其中三期五十一个。商业化数与全年数量不能直接比较增长，因为半年与全年观察窗口不同，项目也可能重复交付。三期数量提供未来商业化机会，不等同五十一个项目最终都上市并大规模采购。本文未给统一成功概率乘出收入，缺少每个项目适应症、数据和合同金额，精确逐项目风险净现值不适用。</w:t>
      </w:r>
    </w:p>
    <w:p>
      <w:pPr>
        <w:pStyle w:val="Normal"/>
        <w:rPr/>
      </w:pPr>
      <w:r>
        <w:rPr/>
        <w:t>减重相关小分子项目有五个，包括一个商业化、一个临床后期。它表明公司不仅服务传统多肽，也参与其他减重药物技术路径；但客户和药物名未完整披露，不能擅自对应具体海外热门药。项目数量与销售额没有固定关系，不同药物剂量、工艺及供货比例会造成巨大差异。研究保留减重需求增量价值，不把所有全球减重市场增长都归入这五个项目。</w:t>
      </w:r>
    </w:p>
    <w:p>
      <w:pPr>
        <w:pStyle w:val="Normal"/>
        <w:rPr/>
      </w:pPr>
      <w:r>
        <w:rPr/>
        <w:t>预计下半年小分子验证批项目十三个，是中报披露日根据在手订单的前瞻。验证批有助于连接研发与商业化，需要生产验证、注册和客户安排共同推进。延期或技术变更会影响收入时点，质量问题则可能影响供应资格。模型没有把十三个项目全部视为年底商业化项目，也未给未披露金额。后续应核对实际完成数量和商业化转化，这比在截止日预测确切药名更可靠。</w:t>
      </w:r>
    </w:p>
    <w:p>
      <w:pPr>
        <w:pStyle w:val="Normal"/>
        <w:rPr/>
      </w:pPr>
      <w:r>
        <w:rPr/>
        <w:t>连续工艺与酶技术能够提升收率、减少废物和危险操作，也可能降低单位成本。成本改善可用于提高利润，或让利客户争取订单，两者同时存在，不能把效率增益全留给股东。若竞争者也改善技术，长期成本下降可能带来价格下降，收益取决于项目难度与用户信任。本文将技术优势纳入经营质量评分，但估值仍依赖实际毛利、现金和新签，而不是假设技术突破全部转化为高净利率。</w:t>
      </w:r>
    </w:p>
    <w:p>
      <w:pPr>
        <w:pStyle w:val="Heading2"/>
        <w:rPr/>
      </w:pPr>
      <w:r>
        <w:rPr>
          <w:color w:val="000000"/>
        </w:rPr>
        <w:t>三 化学大分子 多肽与寡核苷酸</w:t>
      </w:r>
    </w:p>
    <w:p>
      <w:pPr>
        <w:pStyle w:val="Normal"/>
        <w:rPr/>
      </w:pPr>
      <w:r>
        <w:rPr/>
        <w:t>化学大分子上半年收入约七点三六亿元，同比增长百分之九十四点一四，在手订单增幅百分之一百六十三点四七，境外订单占比约百分之六十八点三零。这是公司最清晰的成长证据之一，说明客户需求与供货能力正在扩大。收入和订单高增可能来自较低基数和若干后期项目，绝对规模仍低于成熟小分子。不能因为板块接近翻倍就让整个公司未来每年增长接近翻倍，权重必须按真实收入计算。</w:t>
      </w:r>
    </w:p>
    <w:p>
      <w:pPr>
        <w:pStyle w:val="Normal"/>
        <w:rPr/>
      </w:pPr>
      <w:r>
        <w:rPr/>
        <w:t>公司服务多肽药物六十个，减重相关二十五个，披露商业化一个、验证批八个、临床后期十三个及临床早期二十三个。这些阶段数字不完全覆盖总数，可能存在其他阶段或统计分类，本文不自行填补剩余项目类别。不同药物需要不同合成路线、纯化与质量方法，多肽需求增长提供机会，临床失败和竞争会影响供货。项目分散有利，但共同依赖减重赛道也会形成集中性风险。</w:t>
      </w:r>
    </w:p>
    <w:p>
      <w:pPr>
        <w:pStyle w:val="Normal"/>
        <w:rPr/>
      </w:pPr>
      <w:r>
        <w:rPr/>
        <w:t>多肽规模化制造不仅是反应器升数，关键还在序列长度、收率、原料、纯化、批间一致性和运行时间。公司年底预计固相反应合成产能六万九千升，相比此前四万五千升扩张，但该升数不能直接换算吨数、收入或全球市场份额。不同项目耗用相差很大，设备可能共线或专线，利用率受验证与排产影响。模型采用盈利与现金条件，不从产能升数制造确定销售额。</w:t>
      </w:r>
    </w:p>
    <w:p>
      <w:pPr>
        <w:pStyle w:val="Normal"/>
        <w:rPr/>
      </w:pPr>
      <w:r>
        <w:rPr/>
        <w:t>减重需求具有长期空间，但药物价格、渠道支付和患者持续使用会影响厂商扩产。药企可能为预期需求提前建立供应链，若销售不及预期，库存和采购计划会调整。供应商在旺盛阶段加产能，随后可能遭遇降价和闲置，这就是成长赛道内的周期风险。悲观情景考虑新产能利用率低和价格竞争，乐观情景才要求更多后期项目完成商业化并产生较稳定订单。</w:t>
      </w:r>
    </w:p>
    <w:p>
      <w:pPr>
        <w:pStyle w:val="Normal"/>
        <w:rPr/>
      </w:pPr>
      <w:r>
        <w:rPr/>
        <w:t>寡核苷酸项目七十四个，包括五个验证批、二十个后期与四十九个早期。项目阶段加总与总数一致，为观察转化结构提供资料。核酸药物的递送、杂质和质量控制要求不同于小分子，市场发展也依赖临床数据与给药方式。公司参与偶联技术路线，增加业务广度，却不能用已有多肽工厂简单替代全部核酸工艺。研究看客户验证和订单复购，对未知药物不填造临床成功率。</w:t>
      </w:r>
    </w:p>
    <w:p>
      <w:pPr>
        <w:pStyle w:val="Normal"/>
        <w:rPr/>
      </w:pPr>
      <w:r>
        <w:rPr/>
        <w:t>酶连接、液相辅助合成、短片段汇聚与连续纯化等技术，可能降低长链分子的复杂度和成本。不同技术适配不同药物，不能仅以某项实验技术成功就假设全部订单采用。实施还要符合申报工艺、客户变更控制和质量要求，效率改善可能需要较长导入期。本文将创新看作商业化能力积累，不单列未公开技术授权收入；基准增长需实际服务收入与毛利验证。</w:t>
      </w:r>
    </w:p>
    <w:p>
      <w:pPr>
        <w:pStyle w:val="Normal"/>
        <w:rPr/>
      </w:pPr>
      <w:r>
        <w:rPr/>
        <w:t>毒素连接体服务五十八个项目，其中商业化三个、验证批九个、临床四十六个。偶联药物的活性高、工艺复杂，对封闭、安全和杂质要求更严格，具备能力的供应商可能获得较好位置。新增高活产线五条已经投产，提供交付条件，但未披露每条有效利用率与利润。不能把高活车间投产自动当作高利润资产，安全运营、订单规模和质量审计是必要条件。</w:t>
      </w:r>
    </w:p>
    <w:p>
      <w:pPr>
        <w:pStyle w:val="Heading2"/>
        <w:rPr/>
      </w:pPr>
      <w:r>
        <w:rPr>
          <w:color w:val="000000"/>
        </w:rPr>
        <w:t>四 生物大分子与偶联平台</w:t>
      </w:r>
    </w:p>
    <w:p>
      <w:pPr>
        <w:pStyle w:val="Normal"/>
        <w:rPr/>
      </w:pPr>
      <w:r>
        <w:rPr/>
        <w:t>生物大分子上半年收入约两亿元，增长百分之一百二十二点八二，起点相对集团较小。服务项目一百六十二个，其中上市申请七个、验证批四个、临床申报六十四个及研发八十七个，体现从早期到后期的结构。项目阶段可见度提高有意义，但上市申请订单不是所有项目已经获批。本文不把上半年收入二倍简单年化为稳定全年利润，产能投产和客户验收可能造成季度变化。</w:t>
      </w:r>
    </w:p>
    <w:p>
      <w:pPr>
        <w:pStyle w:val="Normal"/>
        <w:rPr/>
      </w:pPr>
      <w:r>
        <w:rPr/>
        <w:t>境外收入占生物大分子约百分之二十六点六一，境外在手订单占比约百分之四十九点一八，未来海外交付有增加机会。订单与已确认收入结构不同，也说明公司需要具备更强全球质量和申报服务能力。海外客户可能更重视审计与连续供应，前期成本较大。基准情景要求更多海外订单按时实现收入，若订单结构未转化，应降低增长假设而非仅用“出海”概念维持高估值。</w:t>
      </w:r>
    </w:p>
    <w:p>
      <w:pPr>
        <w:pStyle w:val="Normal"/>
        <w:rPr/>
      </w:pPr>
      <w:r>
        <w:rPr/>
        <w:t>公司报告接受二十三次客户审计，包括跨国药企，并获得首个双抗偶联药物上市申请订单。审计数量与具体监管结论不同，不能宣称所有厂房已经通过所有法规市场的商业化检查。成功协助客户申报和获得临床许可体现服务能力，客户药物后续疗效仍不是供应商能够控制。技术与合规证据应逐项目核验，本文保留披露方向，未补造尚未取得的监管文件。</w:t>
      </w:r>
    </w:p>
    <w:p>
      <w:pPr>
        <w:pStyle w:val="Normal"/>
        <w:rPr/>
      </w:pPr>
      <w:r>
        <w:rPr/>
        <w:t>奉贤基地交付两千升抗体和偶联原液及制剂批次，并启动验证批生产；新车间投产增加承接能力。生物反应器升数同样不等于收入，表达量、收率、运行周期和质量释放不同。早期产能爬坡会增加折旧和固定人工，规模利用率提高才有可能改善毛利。新兴板块整体毛利率低于小分子，当前扩张改变收入结构时可能先稀释集团毛利，不能只看增长率而忽略盈利组合。</w:t>
      </w:r>
    </w:p>
    <w:p>
      <w:pPr>
        <w:pStyle w:val="Normal"/>
        <w:rPr/>
      </w:pPr>
      <w:r>
        <w:rPr/>
        <w:t>偶联药物外包可覆盖抗体、毒素连接体、偶联与制剂多个环节，一站式能力有潜在协同，竞争也很强。客户可能选择不同供应商分工，并保留自身关键技术，公司需证明交接效率和质量稳定。研究不因为覆盖链条就认定必然获得全部订单，也不按每环节市场规模分别相加。整体估值模型以归母盈利为核心，避免对同一客户项目在多个业务重复计值。</w:t>
      </w:r>
    </w:p>
    <w:p>
      <w:pPr>
        <w:pStyle w:val="Heading2"/>
        <w:rPr/>
      </w:pPr>
      <w:r>
        <w:rPr>
          <w:color w:val="000000"/>
        </w:rPr>
        <w:t>五 制剂与临床服务</w:t>
      </w:r>
    </w:p>
    <w:p>
      <w:pPr>
        <w:pStyle w:val="Normal"/>
        <w:rPr/>
      </w:pPr>
      <w:r>
        <w:rPr/>
        <w:t>制剂上半年收入约一点七八亿元，同比增长百分之五十点九三，新增客户三十家，境外接近十家。累计十一种制剂产品实现商业化供应，为临床向商业转化提供基础。不同制剂收入规模和供货周期不等，商业化品种数量不能直接预测收入。复杂缓释、无菌和递送能力有技术门槛，也需要持续验证和资本支出。模型把制剂作为整体增长来源，不单列未披露利润。</w:t>
      </w:r>
    </w:p>
    <w:p>
      <w:pPr>
        <w:pStyle w:val="Normal"/>
        <w:rPr/>
      </w:pPr>
      <w:r>
        <w:rPr/>
        <w:t>小核酸、多肽和复杂制剂之间有协作机会，但制剂生产的法规与工艺不能被原料制造经验完全替代。无菌保障、包装、稳定性、设备验证与释放检测都会影响生产效率和成本。客户转入商业化后需要较稳定供货，供应商质量事故可能损害长期关系。本文对一站式优势加分的前提是实际交付及审计，未把产品平台名称当作完成全部技术验证的证据。</w:t>
      </w:r>
    </w:p>
    <w:p>
      <w:pPr>
        <w:pStyle w:val="Normal"/>
        <w:rPr/>
      </w:pPr>
      <w:r>
        <w:rPr/>
        <w:t>部分制剂车间预计年内投产，另外生产能力计划二〇二七完成。投产计划可以推动未来服务，但建设、调试与验证都有延期可能，旧年报与最新中报的预期时点需要以最新资料为准。研究没有把所有在建车间于承诺日期满负荷运行，也没有从计划产能造出精确利润贡献。资本开支与利用率必须共同更新，不能只新增收入而忘记新增折旧与人员。</w:t>
      </w:r>
    </w:p>
    <w:p>
      <w:pPr>
        <w:pStyle w:val="Normal"/>
        <w:rPr/>
      </w:pPr>
      <w:r>
        <w:rPr/>
        <w:t>临床研究上半年收入约一点四三亿元，增长百分之二点七三，明显低于化学与生物大分子。新承接后期项目数量增长较快，为未来收入提供可能，但临床服务一般按阶段执行，患者入组和方案调整会影响确认。不同适应症和国家要求差异大，公司项目覆盖面扩大，也可能增加管理复杂度。本文不以新签项目数直接等比预测利润，重点看执行、回款与客户质量。</w:t>
      </w:r>
    </w:p>
    <w:p>
      <w:pPr>
        <w:pStyle w:val="Normal"/>
        <w:rPr/>
      </w:pPr>
      <w:r>
        <w:rPr/>
        <w:t>临床服务正在运用人工智能写作、药物警戒与数字员工，可能提高文本和数据流程效率。临床证据与监管提交仍需要人工验证和责任，效率工具不等于自主替代全部专业服务。公司未披露可独立核算的人工智能收入与盈利，本文不另设软件资产估值。技术收益应在费用、交付周期和真实客户留存中体现，避免把传统服务收入因使用人工智能而重新按高倍数全估。</w:t>
      </w:r>
    </w:p>
    <w:p>
      <w:pPr>
        <w:pStyle w:val="Normal"/>
        <w:rPr/>
      </w:pPr>
      <w:r>
        <w:rPr/>
        <w:t>合成生物与技术输出增长，覆盖酶库、连续反应和无细胞平台，提供公司跨项目复用能力。公司披露一些生产任务已经完成，未公开各项技术收入或单独净利，模型不逐项加值。向精细化工、材料和其他客户输出技术可以分散医药需求，但也面临不同工程与付款风险。长期要看技术输出是否形成可持续收费和现金，而不是将多领域探索都纳入基准利润。</w:t>
      </w:r>
    </w:p>
    <w:p>
      <w:pPr>
        <w:pStyle w:val="Heading2"/>
        <w:rPr/>
      </w:pPr>
      <w:r>
        <w:rPr>
          <w:color w:val="000000"/>
        </w:rPr>
        <w:t>六 订单的含金量与周期</w:t>
      </w:r>
    </w:p>
    <w:p>
      <w:pPr>
        <w:pStyle w:val="Normal"/>
        <w:rPr/>
      </w:pPr>
      <w:r>
        <w:rPr/>
        <w:t>截至中报披露日在手订单十六点七三亿美元，同比增长百分之五十三点七七，不含上半年已经确认收入；年初至披露日新签增长百分之五十四点五九。这一统计时点晚于六月末，需保留披露日期，不能写成六月三十日资产表项目。在手订单反映未来商业机会，执行期限跨不同年份和阶段，并不等于二〇二六年剩余收入。年底预测必须考虑交付与验收，而非把美元订单转换人民币全部加在下半年。</w:t>
      </w:r>
    </w:p>
    <w:p>
      <w:pPr>
        <w:pStyle w:val="Normal"/>
        <w:rPr/>
      </w:pPr>
      <w:r>
        <w:rPr/>
        <w:t>订单通常受客户开发进程、生产计划与供货安排影响，临床失败或预算调整可以导致取消、延期和变更。是否有最低承诺、取消补偿和价格调整条款并未完整公开，本文不假设全部不可撤销。后期与商业化占比提高一般增加可见度，但重磅项目也会增加集中度。投资者应同时看新签、执行、取消及现金预收，单一在手增速不能覆盖所有风险。</w:t>
      </w:r>
    </w:p>
    <w:p>
      <w:pPr>
        <w:pStyle w:val="Normal"/>
        <w:rPr/>
      </w:pPr>
      <w:r>
        <w:rPr/>
        <w:t>二〇二五年报披露日在手十三点八五亿美元，增幅百分之三十一点六五，之后中报继续增加，支持订单动能改善。但两个数据时点不同，包含新签和执行变化，不能把差值直接当作期间净新增确认收入。跨年项目、外币与合并范围都可能影响可比性。本文保留绝对订单与同比证据，不自行构造未披露的订单转化率模型，后续需要更详细经营披露。</w:t>
      </w:r>
    </w:p>
    <w:p>
      <w:pPr>
        <w:pStyle w:val="Normal"/>
        <w:rPr/>
      </w:pPr>
      <w:r>
        <w:rPr/>
        <w:t>公司指引二〇二六全年收入增长百分之十九至二十二，基于商业化及后期项目集中下半年交付。上半年只增十三点一三，意味着下半年需更快，合理但尚未实现。以二〇二五收入约六十六点七亿元推算，全年指引约七十九点四至八十一点四亿元，下半年约四十三点三至四十五点三亿元。这只是指引数学含义，不是研究独立确认订单都能完成；若时点延后，年底估值可能先受预期差影响。</w:t>
      </w:r>
    </w:p>
    <w:p>
      <w:pPr>
        <w:pStyle w:val="Normal"/>
        <w:rPr/>
      </w:pPr>
      <w:r>
        <w:rPr/>
        <w:t>订单以美元统计，人民币报告收入受折算和生产地成本影响。美元金额增加可能较人民币收入更强，也可能反向，常币增长有助于理解业务趋势，但投资者最终归母以真实报告为依据。以固定汇率计算的增长不应替代现金和资产损益。本文不使用未核验截止日美元汇率为订单直接估值，统一盈利模型通过情景处理汇率风险，避免多处转换造成重复或错误。</w:t>
      </w:r>
    </w:p>
    <w:p>
      <w:pPr>
        <w:pStyle w:val="Heading2"/>
        <w:rPr/>
      </w:pPr>
      <w:r>
        <w:rPr>
          <w:color w:val="000000"/>
        </w:rPr>
        <w:t>七 行业 融资与海外政策</w:t>
      </w:r>
    </w:p>
    <w:p>
      <w:pPr>
        <w:pStyle w:val="Normal"/>
        <w:rPr/>
      </w:pPr>
      <w:r>
        <w:rPr/>
        <w:t>全球创新药研发融资改善可以增加外包需求，但资金传导需经过客户临床决策、试验生产和采购。大型药企现金较充足，中小药企更依赖融资与授权首款，二者对利率和市场情绪敏感度不同。公司上半年大药企收入增长百分之十七点二八，中小药企百分之九点四，提供客户结构事实。不能将行业融资总额增长直接等比例映射全部公司收入，也不能因为客户包括跨国药企就忽略小客户违约风险。</w:t>
      </w:r>
    </w:p>
    <w:p>
      <w:pPr>
        <w:pStyle w:val="Normal"/>
        <w:rPr/>
      </w:pPr>
      <w:r>
        <w:rPr/>
        <w:t>利率变化对公司有两类影响：客户融资和估值贴现，以及自身存款收益。公司银行借款较小，降低利率带来的借款节约有限，反而存款利息可能减少。高成长外包项目受资金与临床进程影响，成熟商业化供货相对稳定，但药企也会优化库存和价格。研究不把低利率单方面当利好，基准利润包含正常金融收益，长期估值需经营回报而不是只靠贴现率变化。</w:t>
      </w:r>
    </w:p>
    <w:p>
      <w:pPr>
        <w:pStyle w:val="Normal"/>
        <w:rPr/>
      </w:pPr>
      <w:r>
        <w:rPr/>
        <w:t>多肽、核酸与偶联药物扩大供应商机会，也鼓励竞争者扩产。成长行业可能同时经历高需求和过度投资，技术路线变化还可能淘汰部分设备配置。若许多供应商在同一时点建设产能，后续价格和利用率会承压，即使终端药物销量继续增长。悲观情景保留这种供应周期，乐观情景要求公司技术、客户关系和排产能力足够强，不能仅用市场空间抵消所有产能风险。</w:t>
      </w:r>
    </w:p>
    <w:p>
      <w:pPr>
        <w:pStyle w:val="Normal"/>
        <w:rPr/>
      </w:pPr>
      <w:r>
        <w:rPr/>
        <w:t>美国与其他海外采购、供应链安全、关税和质量监管可能改变订单布局，客户也可能主动分散生产地。公司建设英国等海外能力能够缓解部分地域需求，不能证明全部政策风险解除。本文尚未完成各法规原文与具体合同适用审查，不引用二手观点给出法律确定结论。海外布局有租赁、人员和运行成本，若规模不足，地域分散可能先拖累利润，政策安全与财务效率需要平衡。</w:t>
      </w:r>
    </w:p>
    <w:p>
      <w:pPr>
        <w:pStyle w:val="Normal"/>
        <w:rPr/>
      </w:pPr>
      <w:r>
        <w:rPr/>
        <w:t>国内创新药出海可增加工艺与临床服务需求，授权也可能让项目换到海外合作方的新供应链。原供应商既可能延续技术关系，也可能失去后续商业订单，不能默认每笔授权交易都利好凯莱英。国内收入上半年快速增长，同时毛利率显著低于海外，是结构需要重点观察的事实。模型不将国产创新药热度直接等于高利润增长，商业质量须由毛利、订单和回款共同验证。</w:t>
      </w:r>
    </w:p>
    <w:p>
      <w:pPr>
        <w:pStyle w:val="Heading2"/>
        <w:rPr/>
      </w:pPr>
      <w:r>
        <w:rPr>
          <w:color w:val="000000"/>
        </w:rPr>
        <w:t>八 财务历史与正常化盈利</w:t>
      </w:r>
    </w:p>
    <w:p>
      <w:pPr>
        <w:pStyle w:val="Normal"/>
        <w:rPr/>
      </w:pPr>
      <w:r>
        <w:rPr/>
        <w:t>二〇二三收入约七十八点二五亿元、归母二十二点六九亿元、每股收益六点二六；二〇二四收入约五十八点零五亿元、归母九点四九亿元、每股二点六九；二〇二五收入六十六点七零亿元、归母十一点三三亿元、每股三点一六。大幅回落后恢复，说明利润存在明显项目与周期影响。本文不把二〇二三高利润当作稳定增长起点，也不因为二〇二五恢复就认定已回到历史峰值盈利质量。</w:t>
      </w:r>
    </w:p>
    <w:p>
      <w:pPr>
        <w:pStyle w:val="Normal"/>
        <w:rPr/>
      </w:pPr>
      <w:r>
        <w:rPr/>
        <w:t>二〇二五扣非利润约十点三七亿元，增长百分之二十二点零一，强于归母增长，表明持续业务确实改善。同期经营现金流约十四点零八亿元，增长百分之十二点二二，但资本开支约十二点七零亿元，粗自由现金流约一点三七亿元。会计盈利恢复与现金回报较低同时存在，是扩产阶段的关键财务特征。成长投资允许阶段性现金投入，仍需证明未来利用率与利润能够补偿。</w:t>
      </w:r>
    </w:p>
    <w:p>
      <w:pPr>
        <w:pStyle w:val="Normal"/>
        <w:rPr/>
      </w:pPr>
      <w:r>
        <w:rPr/>
        <w:t>上半年营收三十六点零七亿元，归母五点二零亿元，同比下降百分之十五点七一，扣非五点二四八亿元下降百分之七点三零。扣非高于归母，是非经常损益净负约四百三十四万元导致，不能把正负关系写反。公司报告经调整净利润约七点五三亿元增长百分之十二点九零，口径与归母不同。本文没有取得完整原调整桥，不将其替代报告利润，也不按调整利润直接年化每股收益。</w:t>
      </w:r>
    </w:p>
    <w:p>
      <w:pPr>
        <w:pStyle w:val="Normal"/>
        <w:rPr/>
      </w:pPr>
      <w:r>
        <w:rPr/>
        <w:t>财务费用中的汇兑损失约二亿元，上一年同期三千零七十四万元，增加约一点七亿元，对报告利润造成明显压力。存款利息收入从约九千九百六十五万元下降至七千三百四十九万元，也影响利润；另有金融公允价值损失。经营恢复与金融项目不利可以共同解释归母下降，但不能将真实汇率损益永久忽略。股东最终承受外币资产变化，估值正常化必须保留合理长期风险。</w:t>
      </w:r>
    </w:p>
    <w:p>
      <w:pPr>
        <w:pStyle w:val="Normal"/>
        <w:rPr/>
      </w:pPr>
      <w:r>
        <w:rPr/>
        <w:t>整体毛利约十五点二四六亿元，按原利润表收入减营业成本计算，毛利率约百分之四十二点二七。公开港股业绩新闻毛利摘要存在不同表述，本文以原报告表和计算为准，未把不同来源数字混用。新兴业务增长快但毛利率百分之三十二点五，低于小分子四十七点八三，收入结构转变会影响总体毛利。即使各分部效率改善，集团毛利也可能被结构稀释，不能用单一总毛利变化判断技术退步。</w:t>
      </w:r>
    </w:p>
    <w:p>
      <w:pPr>
        <w:pStyle w:val="Normal"/>
        <w:rPr/>
      </w:pPr>
      <w:r>
        <w:rPr/>
        <w:t>境内收入约十二点零五亿元，增百分之六十八点九五，毛利率约百分之二十四点六七；境外二十四点零二亿元，实际降百分之二点九六，常币增长百分之一，毛利率五十一点一。境内增长提供总体动力，却有较低毛利，需要项目阶段和业务组成解释。不同地区不能只比增长率择优，也不能因为低毛利就否定全部国内项目未来潜力。研究关注后期转化与利用率，当前事实和未来条件分开。</w:t>
      </w:r>
    </w:p>
    <w:p>
      <w:pPr>
        <w:pStyle w:val="Normal"/>
        <w:rPr/>
      </w:pPr>
      <w:r>
        <w:rPr/>
        <w:t>总净利润约五点一四亿元，少数股东损失约六百三十五万元，使归母五点二零亿元高于总净。估值应采用归母而不是总净除母公司股数，这次方向与部分其他公司不同。少数权益目前较小，子公司运营变化仍可能改变差额。模型归母正常化利润和最新稀释基数保持一致，未因总净更小而混用不同利润口径，也未把少数亏损全部作为公司免费增长资源。</w:t>
      </w:r>
    </w:p>
    <w:p>
      <w:pPr>
        <w:pStyle w:val="Heading2"/>
        <w:rPr/>
      </w:pPr>
      <w:r>
        <w:rPr>
          <w:color w:val="000000"/>
        </w:rPr>
        <w:t>九 费用 研发与资本投入</w:t>
      </w:r>
    </w:p>
    <w:p>
      <w:pPr>
        <w:pStyle w:val="Normal"/>
        <w:rPr/>
      </w:pPr>
      <w:r>
        <w:rPr/>
        <w:t>上半年管理费用约四点零九亿元，增长约百分之八点一二，销售费用一点零五亿元增长百分之十五点六，研发约二点五二亿元较同期下降。费用组合有一定规模效率，也需看研发项目节奏和人员变化。公司员工超过一万一千人，研发分析人员约一半，人才密度既支持复杂服务也构成固定成本。若订单增长不能按时执行，人工与厂房支出仍会发生，利润下行可能比收入下行更快。</w:t>
      </w:r>
    </w:p>
    <w:p>
      <w:pPr>
        <w:pStyle w:val="Normal"/>
        <w:rPr/>
      </w:pPr>
      <w:r>
        <w:rPr/>
        <w:t>股份支付在管理费用中约三千三百一十万元，公司另披露剔除股份支付后的归母指标。股份支付不是现金支出，却转移经济权益或涉及库存成本，不能永久加回作为无成本盈利。正常化</w:t>
      </w:r>
      <w:r>
        <w:rPr/>
        <w:t>EPS</w:t>
      </w:r>
      <w:r>
        <w:rPr/>
        <w:t>保留合理激励，未来股数和费用需要同时处理，避免既加回费用又不计稀释。激励可能提高人员稳定性，其收益仍需经营表现证明，不能只把授予日当股价上涨催化。</w:t>
      </w:r>
    </w:p>
    <w:p>
      <w:pPr>
        <w:pStyle w:val="Normal"/>
        <w:rPr/>
      </w:pPr>
      <w:r>
        <w:rPr/>
        <w:t>研发投入约占收入百分之六点九八，覆盖连续化学、酶、多肽和核酸技术。研发和项目服务中技术成本分布并不一定全部在报表研发费用，低研发率也不等于技术投入不足；不同外包业务会计分类差异较大。本文不简单将研发率与药企比较，也不把论文和专利直接估值。长期竞争力需要客户质量、生产效率、合规和项目留存支持，研发费用只是投入证据。</w:t>
      </w:r>
    </w:p>
    <w:p>
      <w:pPr>
        <w:pStyle w:val="Normal"/>
        <w:rPr/>
      </w:pPr>
      <w:r>
        <w:rPr/>
        <w:t>上半年购建固定、无形和其他长期资产现金约八点五五亿元，超过经营现金八点二二亿元，粗自由现金流负三千二百六十四万元。资本支出比同期增加明显，说明新兴产能扩张吸收现金。本文粗自由现金流不扣全部投资理财流量，后者大量滚动不能当作生产扩张。也不能因净投资现金流只有一点三八亿元流出，就认定工厂投入很小，必须读取具体现金流项目。</w:t>
      </w:r>
    </w:p>
    <w:p>
      <w:pPr>
        <w:pStyle w:val="Normal"/>
        <w:rPr/>
      </w:pPr>
      <w:r>
        <w:rPr/>
        <w:t>固定资产约四十七点六七亿元，在建工程十九点七二亿元，合计超过六十七亿元，生产资产规模很大。新产线投产后在建转固定并增加折旧，若利用率不足会压低利润。上半年固定资产折旧约二点七二亿元，较同期增加，体现扩产已有成本。未来盈利增长不能只新增订单收入，必须配套人员、折旧、能耗、质控和维护，产能越大越要看资本回报。</w:t>
      </w:r>
    </w:p>
    <w:p>
      <w:pPr>
        <w:pStyle w:val="Normal"/>
        <w:rPr/>
      </w:pPr>
      <w:r>
        <w:rPr/>
        <w:t>资本开支短期可能使自由现金流弱，长期若形成高利用率商业化供货可以创造价值。研究不把负现金流自动等同融资危机，公司资金仍较充足；也不把资本支出全当成长资产而忽略闲置。需跟踪每类产能投产、验证、排产和项目毛利，公开资料尚未提供完整利用率百分比，本文没有造出精确厂房利用率。未来更新应优先补这一缺口，才能提高周期估值可信度。</w:t>
      </w:r>
    </w:p>
    <w:p>
      <w:pPr>
        <w:pStyle w:val="Heading2"/>
        <w:rPr/>
      </w:pPr>
      <w:r>
        <w:rPr>
          <w:color w:val="000000"/>
        </w:rPr>
        <w:t>十 现金 债务与投资资产</w:t>
      </w:r>
    </w:p>
    <w:p>
      <w:pPr>
        <w:pStyle w:val="Normal"/>
        <w:rPr/>
      </w:pPr>
      <w:r>
        <w:rPr/>
        <w:t>六月货币资金约五十五点二三亿元，现金及等价物约三十七亿元，差额约十八点二三亿元来自超过三个月存款与其他资金。受限货币约一点五四亿元，包括履约保证金和冻结款，不能全部当作随时支付现金。定期存款可能到期变现但有时间和收益约束，现金、货币与金融资产不能重复相加。本文估值</w:t>
      </w:r>
      <w:r>
        <w:rPr/>
        <w:t>EPS</w:t>
      </w:r>
      <w:r>
        <w:rPr/>
        <w:t>含正常金融收益，不再把全部存款以额外净现金形式叠加。</w:t>
      </w:r>
    </w:p>
    <w:p>
      <w:pPr>
        <w:pStyle w:val="Normal"/>
        <w:rPr/>
      </w:pPr>
      <w:r>
        <w:rPr/>
        <w:t>银行短借约三千九百八十九万元，没有大额长期借款，含一年内部分租赁约三点零七亿元。公司总负债约三十点八六亿元，还包括应付、税收、递延和其他事项，不能全作为银行债务扣减。较低有息银行负债降低财务杠杆压力，但生产与扩产仍需要现金，派息和激励也形成支出。现金储备是承受周期风险的缓冲，不是证明利润和股价必然增长的替代指标。</w:t>
      </w:r>
    </w:p>
    <w:p>
      <w:pPr>
        <w:pStyle w:val="Normal"/>
        <w:rPr/>
      </w:pPr>
      <w:r>
        <w:rPr/>
        <w:t>存货从年末约十四点七一亿元增加到十九点一零亿元，现金流补充表存货占用约四点五八亿元。它可能反映未来项目备料与执行，也可能在延期时形成减值风险。应收从十九点四六亿元降到十八点二二亿元，经营性应付增加提供部分现金支持。订单和存货同升有合理经营解释，仍需以后确认交付，不能一律称备货就是看好未来且没有风险。</w:t>
      </w:r>
    </w:p>
    <w:p>
      <w:pPr>
        <w:pStyle w:val="Normal"/>
        <w:rPr/>
      </w:pPr>
      <w:r>
        <w:rPr/>
        <w:t>合同负债约三点八八亿元，较年末二点五一亿元增加，提供客户预收款改善证据。预付款可以提高现金可见度，但相对在手订单仍不是全部保障，也可能因项目不同付款条款变化。若未来订单继续增长而现金预收不变、应收扩大，需核查合同质量。本文不以一次合同负债增加推导全部订单不可取消，也不从预收与收入比例造出公司未披露的确定转化率。</w:t>
      </w:r>
    </w:p>
    <w:p>
      <w:pPr>
        <w:pStyle w:val="Normal"/>
        <w:rPr/>
      </w:pPr>
      <w:r>
        <w:rPr/>
        <w:t>金融资产包括交易性和非流动投资，公允价值变化会影响利润。部分投资可能是产业合作或基金，也有收益风险和流动性限制，不能全部按账面值等同净现金。上半年相关公允价值损失对利润构成拖累，说明金融收益不是恒定免费回报。估值以正常化</w:t>
      </w:r>
      <w:r>
        <w:rPr/>
        <w:t>EPS</w:t>
      </w:r>
      <w:r>
        <w:rPr/>
        <w:t>讨论，不把未核验投资未来回报作为额外盈利；若独立投资资产有明确价值，应避免与盈利中的收益重复计值。</w:t>
      </w:r>
    </w:p>
    <w:p>
      <w:pPr>
        <w:pStyle w:val="Normal"/>
        <w:rPr/>
      </w:pPr>
      <w:r>
        <w:rPr/>
        <w:t>报告披露诉讼和仲裁涉及多个案件，一些已胜诉，部分仍在流程，冻结资金与相关事项存在联系。已胜诉不等于全部现金已解除冻结，未决案件也不能自动视为重大损失。本文以原报告风险状态为准，不提供独立法律结论。资金受限在现金分析中保留，若后续有生效判决、解冻或赔付，需要改变流动性和损失假设，而不是泛称法律风险一直存在。</w:t>
      </w:r>
    </w:p>
    <w:p>
      <w:pPr>
        <w:pStyle w:val="Normal"/>
        <w:rPr/>
      </w:pPr>
      <w:r>
        <w:rPr/>
        <w:t>商誉约一点四六亿元相对净资产不高，但固定资产和在建工程更大，主要长期风险在资本效率与利用率。不能只因商誉小就认为整体资产质量高，产能可能闲置、技术可变、设备需要维护。公司归母净资产约一百七十七点四亿元，二〇二五净资产收益率约百分之六点五八，尚不足以单独支撑高成长倍数。提高回报需要利润扩张，而不是单纯保有大额账面资产。</w:t>
      </w:r>
    </w:p>
    <w:p>
      <w:pPr>
        <w:pStyle w:val="Heading2"/>
        <w:rPr/>
      </w:pPr>
      <w:r>
        <w:rPr>
          <w:color w:val="000000"/>
        </w:rPr>
        <w:t>十一 股数与</w:t>
      </w:r>
      <w:r>
        <w:rPr>
          <w:color w:val="000000"/>
        </w:rPr>
        <w:t>A H</w:t>
      </w:r>
      <w:r>
        <w:rPr>
          <w:color w:val="000000"/>
        </w:rPr>
        <w:t>权益</w:t>
      </w:r>
    </w:p>
    <w:p>
      <w:pPr>
        <w:pStyle w:val="Normal"/>
        <w:rPr/>
      </w:pPr>
      <w:r>
        <w:rPr/>
        <w:t>六月总股数三亿六千零七十八万零九百七十，其中</w:t>
      </w:r>
      <w:r>
        <w:rPr/>
        <w:t>A</w:t>
      </w:r>
      <w:r>
        <w:rPr/>
        <w:t>三亿三千二百九十四万六千四百六十、</w:t>
      </w:r>
      <w:r>
        <w:rPr/>
        <w:t>H</w:t>
      </w:r>
      <w:r>
        <w:rPr/>
        <w:t>二千七百八十三万四千五百一十。九月底月报核验总股三亿六千一百九十四万八千六百七十，</w:t>
      </w:r>
      <w:r>
        <w:rPr/>
        <w:t>A</w:t>
      </w:r>
      <w:r>
        <w:rPr/>
        <w:t>三亿三千四百一十一万四千一百六十，</w:t>
      </w:r>
      <w:r>
        <w:rPr/>
        <w:t>H</w:t>
      </w:r>
      <w:r>
        <w:rPr/>
        <w:t>不变。模型用最新已公开基数说明未来利润规模，但真正稀释</w:t>
      </w:r>
      <w:r>
        <w:rPr/>
        <w:t>EPS</w:t>
      </w:r>
      <w:r>
        <w:rPr/>
        <w:t>需按加权和激励工具处理，不把六月财报每股分母当永久不变。</w:t>
      </w:r>
    </w:p>
    <w:p>
      <w:pPr>
        <w:pStyle w:val="Normal"/>
        <w:rPr/>
      </w:pPr>
      <w:r>
        <w:rPr/>
        <w:t>九月</w:t>
      </w:r>
      <w:r>
        <w:rPr/>
        <w:t>A</w:t>
      </w:r>
      <w:r>
        <w:rPr/>
        <w:t>新发行限制性股票一百二十八万五千二百股，另外库存一百一十五万一千三百股转予激励，两者总计授予二百四十三万六千五百。新发行增加总股数，库存转移改变可分摊权益与股份支付，却不是注销。月报显示九月底库存为零，说明原库存进入持有人，不应再次当作未来注销资产。本文同时记录股数和激励，避免把库存回购收益与授予收益重复计算。</w:t>
      </w:r>
    </w:p>
    <w:p>
      <w:pPr>
        <w:pStyle w:val="Normal"/>
        <w:rPr/>
      </w:pPr>
      <w:r>
        <w:rPr/>
        <w:t>首次授予价七十六点七元，低于截止日市价，是激励设计中的价格，不是公司给投资者目标价。限制性股票有锁定和业绩条件，未满足可能回购注销，未来不能假设全部解锁或全部失效。其规模目前较小，但多期激励累计可能影响每股回报和费用。模型以归母稀释盈利为目标，并提供股数变化敏感性，不只关注净利润规模。</w:t>
      </w:r>
    </w:p>
    <w:p>
      <w:pPr>
        <w:pStyle w:val="Normal"/>
        <w:rPr/>
      </w:pPr>
      <w:r>
        <w:rPr/>
        <w:t>H</w:t>
      </w:r>
      <w:r>
        <w:rPr/>
        <w:t>股流通类别规模约二千七百八十三万股，远小于</w:t>
      </w:r>
      <w:r>
        <w:rPr/>
        <w:t>A</w:t>
      </w:r>
      <w:r>
        <w:rPr/>
        <w:t>股，交易深度、股东集中与价格波动可能不同。日成交股数不可直接和</w:t>
      </w:r>
      <w:r>
        <w:rPr/>
        <w:t>A</w:t>
      </w:r>
      <w:r>
        <w:rPr/>
        <w:t>比较“量能强弱”，应比较各自历史均量、金额和价差。</w:t>
      </w:r>
      <w:r>
        <w:rPr/>
        <w:t>H</w:t>
      </w:r>
      <w:r>
        <w:rPr/>
        <w:t>价格较低有估值优势，也有交易执行风险，特别在消息冲击下。未取得实时买卖盘口和完整自由浮动股数据，本文不填造冲击成本与精确换手率，</w:t>
      </w:r>
      <w:r>
        <w:rPr/>
        <w:t>H</w:t>
      </w:r>
      <w:r>
        <w:rPr/>
        <w:t>推荐不等于流动性更优。</w:t>
      </w:r>
    </w:p>
    <w:p>
      <w:pPr>
        <w:pStyle w:val="Normal"/>
        <w:rPr/>
      </w:pPr>
      <w:r>
        <w:rPr/>
        <w:t>二〇二五每股现金分红一点三元，已在当前价格锚前支付，不重复加入未来回报；中报不派息。一年研究累计分红假设零点八、一点五、二元，三年三点三、六、八点五，五年六、十一、十七。分红需要经营现金、资本开支和董事会选择，未宣布未来分红不是承诺。</w:t>
      </w:r>
      <w:r>
        <w:rPr/>
        <w:t>H</w:t>
      </w:r>
      <w:r>
        <w:rPr/>
        <w:t>按假设汇率换算股息，实际派息汇率和投资者税费可能不同。</w:t>
      </w:r>
    </w:p>
    <w:p>
      <w:pPr>
        <w:pStyle w:val="Heading2"/>
        <w:rPr/>
      </w:pPr>
      <w:r>
        <w:rPr>
          <w:color w:val="000000"/>
        </w:rPr>
        <w:t xml:space="preserve">十二 </w:t>
      </w:r>
      <w:r>
        <w:rPr>
          <w:color w:val="000000"/>
        </w:rPr>
        <w:t>A</w:t>
      </w:r>
      <w:r>
        <w:rPr>
          <w:color w:val="000000"/>
        </w:rPr>
        <w:t>股半年量价</w:t>
      </w:r>
    </w:p>
    <w:p>
      <w:pPr>
        <w:pStyle w:val="Normal"/>
        <w:rPr/>
      </w:pPr>
      <w:r>
        <w:rPr/>
        <w:t>A</w:t>
      </w:r>
      <w:r>
        <w:rPr/>
        <w:t>日线二十、六十、一百二十、二百五十均线约一百七十八点六零、一百七十点八三、一百四十八点五六、一百二十三点零三元。现价略低二十线约百分之零点三八，仍高六十线百分之四点一六，高二百五十线百分之四十四点六二。长期顺序偏上升，短线回调到二十线附近，不能只因高于长期均线就称当前低风险突破。近期价格已有大幅修复，买入时点需要与盈利预期比较。</w:t>
      </w:r>
    </w:p>
    <w:p>
      <w:pPr>
        <w:pStyle w:val="Normal"/>
        <w:rPr/>
      </w:pPr>
      <w:r>
        <w:rPr/>
        <w:t>四条日均线五日斜率分别约正百分之二点四九、一点一四、一点七七和一点一零，反映上升结构仍在，但现价低于短线均值提示动量减速。二十日回报约百分之五点七七，六十日十点三六，一百二十日四十七点九九，二百五十日六十二点一二。长窗口涨幅远高近期，市场已经重估一段时间，半年盈利改善需再提供新证据，不能把过去涨幅当未来收益。</w:t>
      </w:r>
    </w:p>
    <w:p>
      <w:pPr>
        <w:pStyle w:val="Normal"/>
        <w:rPr/>
      </w:pPr>
      <w:r>
        <w:rPr/>
        <w:t>最新</w:t>
      </w:r>
      <w:r>
        <w:rPr/>
        <w:t>A</w:t>
      </w:r>
      <w:r>
        <w:rPr/>
        <w:t>跌百分之一点五二，成交约八百三十一万八千股，金额十四点五八亿元，换手第三方约百分之二点六二。原腾讯报价此证券量单位为手，已用独立日线核验乘一百转股，不沿用海尔报价的股单位。五日均量八百一十六万、二十日八百六十六万、六十日一千一百六十七万，近期量低于中期。最新量比约零点九五，没有异常放量，但量降也不能自动解释为筹码锁定。</w:t>
      </w:r>
    </w:p>
    <w:p>
      <w:pPr>
        <w:pStyle w:val="Normal"/>
        <w:rPr/>
      </w:pPr>
      <w:r>
        <w:rPr/>
        <w:t>最近二十日上涨九天、下跌十一天，上涨总量约八千七百七十万股，下跌八千五百五十七万，总量比一点零二五。天数不同，平均上涨日约九百七十四万、下跌日七百七十八万，平均比约一点二五。涨日平均参与略强，但总体差不大，不能用总比大于一就宣称强吸筹。成交量无法识别账户身份，本文只提出条件性量价观察。</w:t>
      </w:r>
    </w:p>
    <w:p>
      <w:pPr>
        <w:pStyle w:val="Normal"/>
        <w:rPr/>
      </w:pPr>
      <w:r>
        <w:rPr/>
        <w:t>二十日区间低点一百六十一点零三、高点一百九十四点三二，距离现价约负百分之九点五零、正百分之九点二一；六十日低点一百四十二点四三、高点二百，距离约负百分之十九点九五、正百分之十二点四零。区间位未经触碰次数确认，是观察支撑阻力，不是保证买卖价格。若重新站稳二十线并突破上侧伴随持续量能，可以改善半年技术；若跌破低点并放量，应降低评分。</w:t>
      </w:r>
    </w:p>
    <w:p>
      <w:pPr>
        <w:pStyle w:val="Normal"/>
        <w:rPr/>
      </w:pPr>
      <w:r>
        <w:rPr/>
        <w:t>五十二周复权高二百、低八十七点七零，现价距高负百分之十一点零四、比低高出一倍以上。这个范围说明价格经历较大重估，历史最大回撤约百分之二十五点四四，既往回撤不是未来最大风险。技术指标并不能告诉合理市盈率，长期低点也未必可以重现。模型悲观目标低于近期观察位，用于估值压力而非声称图形支撑必定失守。</w:t>
      </w:r>
    </w:p>
    <w:p>
      <w:pPr>
        <w:pStyle w:val="Normal"/>
        <w:rPr/>
      </w:pPr>
      <w:r>
        <w:rPr/>
        <w:t>日相对强弱约五十点六零，中性附近；指数差三点五七、信号四点一九，双倍差柱负一点二四，显示短线动量回落。日平均真实波幅约九点七八元，占价百分之五点四九，波动较大。多个指标来自相同价格序列，不重复作为独立证据满分。整体技术三点五分，保留上升趋势与近期调整的同时，考虑较高历史涨幅和波动。</w:t>
      </w:r>
    </w:p>
    <w:p>
      <w:pPr>
        <w:pStyle w:val="Heading2"/>
        <w:rPr/>
      </w:pPr>
      <w:r>
        <w:rPr>
          <w:color w:val="000000"/>
        </w:rPr>
        <w:t xml:space="preserve">十三 </w:t>
      </w:r>
      <w:r>
        <w:rPr>
          <w:color w:val="000000"/>
        </w:rPr>
        <w:t>H</w:t>
      </w:r>
      <w:r>
        <w:rPr>
          <w:color w:val="000000"/>
        </w:rPr>
        <w:t>股半年量价</w:t>
      </w:r>
    </w:p>
    <w:p>
      <w:pPr>
        <w:pStyle w:val="Normal"/>
        <w:rPr/>
      </w:pPr>
      <w:r>
        <w:rPr/>
        <w:t>H</w:t>
      </w:r>
      <w:r>
        <w:rPr/>
        <w:t>二十、六十、一百二十、二百五十均线约一百五十九点三零、一百三十四点八七、一百一十七点七八、九十九点三二港元。现价低二十线百分之二点六三，高六十线约百分之十五，高长期线超过五成。相较</w:t>
      </w:r>
      <w:r>
        <w:rPr/>
        <w:t>A</w:t>
      </w:r>
      <w:r>
        <w:rPr/>
        <w:t>，</w:t>
      </w:r>
      <w:r>
        <w:rPr/>
        <w:t>H</w:t>
      </w:r>
      <w:r>
        <w:rPr/>
        <w:t>近期涨幅和乖离更大，估值较低并不等于短线回踩空间更小。技术分与</w:t>
      </w:r>
      <w:r>
        <w:rPr/>
        <w:t>A</w:t>
      </w:r>
      <w:r>
        <w:rPr/>
        <w:t>同为三点五，是趋势改善与高波动共同判断，未单纯因价差给予额外动量分。</w:t>
      </w:r>
    </w:p>
    <w:p>
      <w:pPr>
        <w:pStyle w:val="Normal"/>
        <w:rPr/>
      </w:pPr>
      <w:r>
        <w:rPr/>
        <w:t>H</w:t>
      </w:r>
      <w:r>
        <w:rPr/>
        <w:t>均线五日斜率分别正百分之四点五零、二点三八、二点三九、一点四零，长期顺序较完整；二十日回报百分之十二点三一，六十日二十点五一，一百二十日五十九点七二，二百五十日五十六点六二。近期上涨比</w:t>
      </w:r>
      <w:r>
        <w:rPr/>
        <w:t>A</w:t>
      </w:r>
      <w:r>
        <w:rPr/>
        <w:t>更快，但最新价格回落到短线均值下，说明趋势中已有震荡。投资者应把</w:t>
      </w:r>
      <w:r>
        <w:rPr/>
        <w:t>H</w:t>
      </w:r>
      <w:r>
        <w:rPr/>
        <w:t>低估值与技术加速后的风险分别看，不假设两者能自动互相抵消。</w:t>
      </w:r>
    </w:p>
    <w:p>
      <w:pPr>
        <w:pStyle w:val="Normal"/>
        <w:rPr/>
      </w:pPr>
      <w:r>
        <w:rPr/>
        <w:t>最新</w:t>
      </w:r>
      <w:r>
        <w:rPr/>
        <w:t>H</w:t>
      </w:r>
      <w:r>
        <w:rPr/>
        <w:t>跌百分之四点八五，成交一百二十万六千股，金额约一点八三亿港元，量单位独立核验为股。最新量比约一点五八，属于放量下跌，不能写成突破上涨放量。五日均量约四十一点九万、二十日八十点六万、六十日一百零五点二万，最近几日总体缩量但最新跌日量明显回升。这个组合可能是调整参与度变化，需要后续收盘与成交确认，无法证明特定资金撤离或吸筹。</w:t>
      </w:r>
    </w:p>
    <w:p>
      <w:pPr>
        <w:pStyle w:val="Normal"/>
        <w:rPr/>
      </w:pPr>
      <w:r>
        <w:rPr/>
        <w:t>二十日上涨十一天、下跌九天，上涨总量约九百七十五万，下跌六百三十八万，总比约一点五三；平均上涨日约八十八点六万、下跌七十点九万，平均比约一点二五，与</w:t>
      </w:r>
      <w:r>
        <w:rPr/>
        <w:t>A</w:t>
      </w:r>
      <w:r>
        <w:rPr/>
        <w:t>接近。这样归一天数后，</w:t>
      </w:r>
      <w:r>
        <w:rPr/>
        <w:t>H</w:t>
      </w:r>
      <w:r>
        <w:rPr/>
        <w:t>量价优势比总比表面小。成交额和股数受价格与市场结构影响，跨市场总量直接比较没有意义。研究只使用各自窗口的相对量能，而不以</w:t>
      </w:r>
      <w:r>
        <w:rPr/>
        <w:t>A</w:t>
      </w:r>
      <w:r>
        <w:rPr/>
        <w:t>绝对成交大判更看好。</w:t>
      </w:r>
    </w:p>
    <w:p>
      <w:pPr>
        <w:pStyle w:val="Normal"/>
        <w:rPr/>
      </w:pPr>
      <w:r>
        <w:rPr/>
        <w:t>H</w:t>
      </w:r>
      <w:r>
        <w:rPr/>
        <w:t>二十日区间一百三十点九至一百七十八，距现价负百分之十五点六零、正百分之十四点七六；六十日低一百零五，距现价负百分之三十二点三零。到六十线一百三十四点八七附近的回踩也超过一成，波动风险真实存在。区间高点一百七十八是观察阻力，若突破后放量回落会削弱技术；若回踩缩量并维持中期高低点，则趋势未必失效。不存在保证损失只到某个均线的交易条件。</w:t>
      </w:r>
    </w:p>
    <w:p>
      <w:pPr>
        <w:pStyle w:val="Normal"/>
        <w:rPr/>
      </w:pPr>
      <w:r>
        <w:rPr/>
        <w:t>H</w:t>
      </w:r>
      <w:r>
        <w:rPr/>
        <w:t>日相对强弱约五十一点五七，动量差七点二五、信号八点五二，柱负二点五四，短线调整与</w:t>
      </w:r>
      <w:r>
        <w:rPr/>
        <w:t>A</w:t>
      </w:r>
      <w:r>
        <w:rPr/>
        <w:t>方向一致。日平均真实波幅十一点二九港元，约价百分之七点二八，明显高于</w:t>
      </w:r>
      <w:r>
        <w:rPr/>
        <w:t>A</w:t>
      </w:r>
      <w:r>
        <w:rPr/>
        <w:t>占比。短时间波动就能覆盖基准半年空间的一大部分，说明单笔买入回报高度依赖路径。本文不提供逐笔成交量分布，也不把日线</w:t>
      </w:r>
      <w:r>
        <w:rPr/>
        <w:t>OHLC</w:t>
      </w:r>
      <w:r>
        <w:rPr/>
        <w:t>造出的虚拟筹码分布称精确主力成本。</w:t>
      </w:r>
    </w:p>
    <w:p>
      <w:pPr>
        <w:pStyle w:val="Heading2"/>
        <w:rPr/>
      </w:pPr>
      <w:r>
        <w:rPr>
          <w:color w:val="000000"/>
        </w:rPr>
        <w:t>十四 周线与相对基准</w:t>
      </w:r>
    </w:p>
    <w:p>
      <w:pPr>
        <w:pStyle w:val="Normal"/>
        <w:rPr/>
      </w:pPr>
      <w:r>
        <w:rPr/>
        <w:t>A</w:t>
      </w:r>
      <w:r>
        <w:rPr/>
        <w:t>周样本一百五十五，二十、六十、一百二十周均线约一百五十八点零四、一百二十二点二八、九十九点八二元，现价其上，斜率均正。</w:t>
      </w:r>
      <w:r>
        <w:rPr/>
        <w:t>H</w:t>
      </w:r>
      <w:r>
        <w:rPr/>
        <w:t>一百五十七周，对应约一百二十二点三六、九十八点六零、七十七点八一港元，也全部上升。两地二百五十周历史不足留空，不能用日样本填造。周线显示中期趋势较强，日线调整不直接否定，但价格远离长期均值会放大估值与回踩风险。</w:t>
      </w:r>
    </w:p>
    <w:p>
      <w:pPr>
        <w:pStyle w:val="Normal"/>
        <w:rPr/>
      </w:pPr>
      <w:r>
        <w:rPr/>
        <w:t>A</w:t>
      </w:r>
      <w:r>
        <w:rPr/>
        <w:t>周相对强弱六十三点七一，</w:t>
      </w:r>
      <w:r>
        <w:rPr/>
        <w:t>H</w:t>
      </w:r>
      <w:r>
        <w:rPr/>
        <w:t>六十九点六七，</w:t>
      </w:r>
      <w:r>
        <w:rPr/>
        <w:t>H</w:t>
      </w:r>
      <w:r>
        <w:rPr/>
        <w:t>中期动量更强；周平均真实波幅占价分别约百分之十点八八、十二点六零。二十周上涨量与下跌量比</w:t>
      </w:r>
      <w:r>
        <w:rPr/>
        <w:t>A</w:t>
      </w:r>
      <w:r>
        <w:rPr/>
        <w:t>约零点五四、</w:t>
      </w:r>
      <w:r>
        <w:rPr/>
        <w:t>H</w:t>
      </w:r>
      <w:r>
        <w:rPr/>
        <w:t>约一点九八，反映过去周路径不同，不能只挑日线看多量比。最新周含国庆休市，成交天数少，不能按整周量低于均量直接判缩量。波动与节假日口径一并保留，避免图形术语脱离数据。</w:t>
      </w:r>
    </w:p>
    <w:p>
      <w:pPr>
        <w:pStyle w:val="Normal"/>
        <w:rPr/>
      </w:pPr>
      <w:r>
        <w:rPr/>
        <w:t>A</w:t>
      </w:r>
      <w:r>
        <w:rPr/>
        <w:t>相对沪深三百二十日超额十点九四个百分点，六十日二十一点八二；</w:t>
      </w:r>
      <w:r>
        <w:rPr/>
        <w:t>H</w:t>
      </w:r>
      <w:r>
        <w:rPr/>
        <w:t>相对恒生指数二十日十五点二九、六十日二十三点七零。两地均明显强于大盘，仍不等于强于全部外包同业或风险调整胜出。国证港股创新药指数已取得，但凯莱英为外包供应商，不把创新药权益指数冒充专属</w:t>
      </w:r>
      <w:r>
        <w:rPr/>
        <w:t>CXO</w:t>
      </w:r>
      <w:r>
        <w:rPr/>
        <w:t>基准。缺完整同业指数，行业相对强弱留空，可以在总报告另作粗粒度对照。</w:t>
      </w:r>
    </w:p>
    <w:p>
      <w:pPr>
        <w:pStyle w:val="Normal"/>
        <w:rPr/>
      </w:pPr>
      <w:r>
        <w:rPr/>
        <w:t>行情最新报价、三年日线与复权基准分别核验，</w:t>
      </w:r>
      <w:r>
        <w:rPr/>
        <w:t>A</w:t>
      </w:r>
      <w:r>
        <w:rPr/>
        <w:t>七百二十八日日线、</w:t>
      </w:r>
      <w:r>
        <w:rPr/>
        <w:t>H</w:t>
      </w:r>
      <w:r>
        <w:rPr/>
        <w:t>七百三十九日，实际上市前资料不造。历史分红以基准名义价归一复权，技术点位与名义现价保持同一锚。成交量股份单位不因价格复权而随意改成等价股数，过去公司行动和股份变化需分别注意。两市场交易日不同，同窗口二十或六十交易日的日历跨度可略有差异，比较结果属于各市场交易窗口。</w:t>
      </w:r>
    </w:p>
    <w:p>
      <w:pPr>
        <w:pStyle w:val="Heading2"/>
        <w:rPr/>
      </w:pPr>
      <w:r>
        <w:rPr>
          <w:color w:val="000000"/>
        </w:rPr>
        <w:t>十五 估值与目标价</w:t>
      </w:r>
    </w:p>
    <w:p>
      <w:pPr>
        <w:pStyle w:val="Normal"/>
        <w:rPr/>
      </w:pPr>
      <w:r>
        <w:rPr/>
        <w:t>盈利公司采用正常化稀释归母每股收益乘本地市盈率，周期企业还必须检查项目、产能和现金。当前</w:t>
      </w:r>
      <w:r>
        <w:rPr/>
        <w:t>A</w:t>
      </w:r>
      <w:r>
        <w:rPr/>
        <w:t>除二〇二五每股三点一六约五十六点三倍；</w:t>
      </w:r>
      <w:r>
        <w:rPr/>
        <w:t>H</w:t>
      </w:r>
      <w:r>
        <w:rPr/>
        <w:t>按一点一零港元每人民币换算约四十四点六倍。当前不低的倍数包含新兴业务快速增长与正常盈利恢复，无法仅凭较低股价比历史高点称便宜。行情第三方倍数未核具体期间，本章按原年报清楚计算，报告与调整口径区别。</w:t>
      </w:r>
    </w:p>
    <w:p>
      <w:pPr>
        <w:pStyle w:val="Normal"/>
        <w:rPr/>
      </w:pPr>
      <w:r>
        <w:rPr/>
        <w:t>六月归母净资产一百七十七点四亿元，按九月股数每股约四十九元，现价</w:t>
      </w:r>
      <w:r>
        <w:rPr/>
        <w:t>A</w:t>
      </w:r>
      <w:r>
        <w:rPr/>
        <w:t>市净率约三点六三，</w:t>
      </w:r>
      <w:r>
        <w:rPr/>
        <w:t>H</w:t>
      </w:r>
      <w:r>
        <w:rPr/>
        <w:t>折人民币约二点八八。净资产收益率二〇二五六点五八、半年年化不能确定未来，较高市净率需要利润回报显著改善。二〇二五粗自由现金流一点三七亿元相对</w:t>
      </w:r>
      <w:r>
        <w:rPr/>
        <w:t>A</w:t>
      </w:r>
      <w:r>
        <w:rPr/>
        <w:t>估值市值收益很低，表明即期现金不能单独支撑成长估值。未来更高利用率与资本回报是核心，而不是资产多就值更高。</w:t>
      </w:r>
    </w:p>
    <w:p>
      <w:pPr>
        <w:pStyle w:val="Normal"/>
        <w:rPr/>
      </w:pPr>
      <w:r>
        <w:rPr/>
        <w:t>年底</w:t>
      </w:r>
      <w:r>
        <w:rPr/>
        <w:t>EPS</w:t>
      </w:r>
      <w:r>
        <w:rPr/>
        <w:t>悲观二点八、基准四、乐观五，</w:t>
      </w:r>
      <w:r>
        <w:rPr/>
        <w:t>A</w:t>
      </w:r>
      <w:r>
        <w:rPr/>
        <w:t>倍数二十四、四十三、五十四，</w:t>
      </w:r>
      <w:r>
        <w:rPr/>
        <w:t>H</w:t>
      </w:r>
      <w:r>
        <w:rPr/>
        <w:t>二十、三十三、四十四，再乘一点一零。基准归母约十四点四八亿元，相对去年增幅较高，需要下半年盈利显著改善，汇兑和公允价值压力减弱、新兴规模增加。公司收入指引不等于利润指引，本文这一</w:t>
      </w:r>
      <w:r>
        <w:rPr/>
        <w:t>EPS</w:t>
      </w:r>
      <w:r>
        <w:rPr/>
        <w:t>是研究条件。若报告利润继续弱、调整桥不能解释持续性，应下调基准，而不是声称订单已经保证利润。</w:t>
      </w:r>
    </w:p>
    <w:p>
      <w:pPr>
        <w:pStyle w:val="Normal"/>
        <w:rPr/>
      </w:pPr>
      <w:r>
        <w:rPr/>
        <w:t>半年</w:t>
      </w:r>
      <w:r>
        <w:rPr/>
        <w:t>EPS</w:t>
      </w:r>
      <w:r>
        <w:rPr/>
        <w:t>三、四点五、五点八，</w:t>
      </w:r>
      <w:r>
        <w:rPr/>
        <w:t>A</w:t>
      </w:r>
      <w:r>
        <w:rPr/>
        <w:t>倍数二十四、四十二、五十四，</w:t>
      </w:r>
      <w:r>
        <w:rPr/>
        <w:t>H</w:t>
      </w:r>
      <w:r>
        <w:rPr/>
        <w:t>二十、三十四、四十四，目标</w:t>
      </w:r>
      <w:r>
        <w:rPr/>
        <w:t>A</w:t>
      </w:r>
      <w:r>
        <w:rPr/>
        <w:t>七十二、一百八十九、三百一十三点二，</w:t>
      </w:r>
      <w:r>
        <w:rPr/>
        <w:t>H</w:t>
      </w:r>
      <w:r>
        <w:rPr/>
        <w:t>六十六、一百六十八点三、二百八十点七二。基准空间</w:t>
      </w:r>
      <w:r>
        <w:rPr/>
        <w:t>A</w:t>
      </w:r>
      <w:r>
        <w:rPr/>
        <w:t>约六点二二、</w:t>
      </w:r>
      <w:r>
        <w:rPr/>
        <w:t>H</w:t>
      </w:r>
      <w:r>
        <w:rPr/>
        <w:t>八点五一个百分点，较小。乐观高倍数需要市场继续给强成长溢价，不能作为正常保守目标；悲观盈利与倍数同时下行形成较大损失，量价趋势不消除这一风险。</w:t>
      </w:r>
    </w:p>
    <w:p>
      <w:pPr>
        <w:pStyle w:val="Normal"/>
        <w:rPr/>
      </w:pPr>
      <w:r>
        <w:rPr/>
        <w:t>一年</w:t>
      </w:r>
      <w:r>
        <w:rPr/>
        <w:t>EPS</w:t>
      </w:r>
      <w:r>
        <w:rPr/>
        <w:t>三点三、五点五、七点三，</w:t>
      </w:r>
      <w:r>
        <w:rPr/>
        <w:t>A</w:t>
      </w:r>
      <w:r>
        <w:rPr/>
        <w:t>倍数二十三、四十、五十，</w:t>
      </w:r>
      <w:r>
        <w:rPr/>
        <w:t>H</w:t>
      </w:r>
      <w:r>
        <w:rPr/>
        <w:t>二十、三十四、四十二。基准</w:t>
      </w:r>
      <w:r>
        <w:rPr/>
        <w:t>A</w:t>
      </w:r>
      <w:r>
        <w:rPr/>
        <w:t>二百二十元，</w:t>
      </w:r>
      <w:r>
        <w:rPr/>
        <w:t>H</w:t>
      </w:r>
      <w:r>
        <w:rPr/>
        <w:t>二百零五点七港元，共享盈利但本地估值不同，</w:t>
      </w:r>
      <w:r>
        <w:rPr/>
        <w:t>H</w:t>
      </w:r>
      <w:r>
        <w:rPr/>
        <w:t>较低倍数仍有更高相对现价回报。基准归母约十九点九一亿元，需要新兴增长、成熟业务和经营效率共同支持。若收入只是达今年指引、以后减速，利润未必达到，不能用一年前收入增速替代目标年度利润。</w:t>
      </w:r>
    </w:p>
    <w:p>
      <w:pPr>
        <w:pStyle w:val="Normal"/>
        <w:rPr/>
      </w:pPr>
      <w:r>
        <w:rPr/>
        <w:t>三年</w:t>
      </w:r>
      <w:r>
        <w:rPr/>
        <w:t>EPS</w:t>
      </w:r>
      <w:r>
        <w:rPr/>
        <w:t>三点八、八点三、十二点五，</w:t>
      </w:r>
      <w:r>
        <w:rPr/>
        <w:t>A</w:t>
      </w:r>
      <w:r>
        <w:rPr/>
        <w:t>倍数二十二、三十五、四十四，</w:t>
      </w:r>
      <w:r>
        <w:rPr/>
        <w:t>H</w:t>
      </w:r>
      <w:r>
        <w:rPr/>
        <w:t>二十、三十、三十九。基准归母约三十点零四亿元，比目前显著增加，依赖较大商业化项目和资本回报。目标</w:t>
      </w:r>
      <w:r>
        <w:rPr/>
        <w:t>A</w:t>
      </w:r>
      <w:r>
        <w:rPr/>
        <w:t>二百九十点五、</w:t>
      </w:r>
      <w:r>
        <w:rPr/>
        <w:t>H</w:t>
      </w:r>
      <w:r>
        <w:rPr/>
        <w:t>二百七十三点九，基准空间分别约六十三点二七、七十六点六零个百分点。这个假设积极，适配进取型标准，仍必须公开失败路径，不能以三年时间长就给盈利保证。</w:t>
      </w:r>
    </w:p>
    <w:p>
      <w:pPr>
        <w:pStyle w:val="Normal"/>
        <w:rPr/>
      </w:pPr>
      <w:r>
        <w:rPr/>
        <w:t>五年</w:t>
      </w:r>
      <w:r>
        <w:rPr/>
        <w:t>EPS</w:t>
      </w:r>
      <w:r>
        <w:rPr/>
        <w:t>四点二、十一点五、十九，</w:t>
      </w:r>
      <w:r>
        <w:rPr/>
        <w:t>A</w:t>
      </w:r>
      <w:r>
        <w:rPr/>
        <w:t>倍数二十、三十二、四十，</w:t>
      </w:r>
      <w:r>
        <w:rPr/>
        <w:t>H</w:t>
      </w:r>
      <w:r>
        <w:rPr/>
        <w:t>十八、二十八、三十六。基准归母约四十一点六二亿元，乐观约六十八点七七亿元，需要公司规模与盈利质量跨越多个阶段。成熟度提高后倍数较一年下降，防止利润增长与倍数永远同时扩张。乐观终值很高，反映多个需求和技术条件成功叠加，不应解释为价格理论上限或本版最推荐买入位置。</w:t>
      </w:r>
    </w:p>
    <w:p>
      <w:pPr>
        <w:pStyle w:val="Heading2"/>
        <w:rPr/>
      </w:pPr>
      <w:r>
        <w:rPr>
          <w:color w:val="000000"/>
        </w:rPr>
        <w:t>十六 情景权重与敏感性</w:t>
      </w:r>
    </w:p>
    <w:p>
      <w:pPr>
        <w:pStyle w:val="Normal"/>
        <w:rPr/>
      </w:pPr>
      <w:r>
        <w:rPr/>
        <w:t>年底默认期望</w:t>
      </w:r>
      <w:r>
        <w:rPr/>
        <w:t>A</w:t>
      </w:r>
      <w:r>
        <w:rPr/>
        <w:t>一百七十点三、</w:t>
      </w:r>
      <w:r>
        <w:rPr/>
        <w:t>H</w:t>
      </w:r>
      <w:r>
        <w:rPr/>
        <w:t>一百四十八点五；防御四十、五十、十权重</w:t>
      </w:r>
      <w:r>
        <w:rPr/>
        <w:t>A</w:t>
      </w:r>
      <w:r>
        <w:rPr/>
        <w:t>一百三十九点八八、</w:t>
      </w:r>
      <w:r>
        <w:rPr/>
        <w:t>H</w:t>
      </w:r>
      <w:r>
        <w:rPr/>
        <w:t>一百二十一点四四，回报约负二十一点三八和负二十一点七零个百分点。积极十、五十、四十</w:t>
      </w:r>
      <w:r>
        <w:rPr/>
        <w:t>A</w:t>
      </w:r>
      <w:r>
        <w:rPr/>
        <w:t>二百点七二、</w:t>
      </w:r>
      <w:r>
        <w:rPr/>
        <w:t>H</w:t>
      </w:r>
      <w:r>
        <w:rPr/>
        <w:t>一百七十五点五六，约正十二点八一和十三点一九。权重改变就能使年底期望转正，说明结论依赖研究判断，不是可校准统计置信。不能只公布积极权重结果而隐去默认负回报。</w:t>
      </w:r>
    </w:p>
    <w:p>
      <w:pPr>
        <w:pStyle w:val="Normal"/>
        <w:rPr/>
      </w:pPr>
      <w:r>
        <w:rPr/>
        <w:t>一年基准价格回报</w:t>
      </w:r>
      <w:r>
        <w:rPr/>
        <w:t>A</w:t>
      </w:r>
      <w:r>
        <w:rPr/>
        <w:t>二十三点六四、</w:t>
      </w:r>
      <w:r>
        <w:rPr/>
        <w:t>H</w:t>
      </w:r>
      <w:r>
        <w:rPr/>
        <w:t>三十二点六二，累计假设分红后分别二十四点四九、三十三点六九。三年累计分红终值</w:t>
      </w:r>
      <w:r>
        <w:rPr/>
        <w:t>A</w:t>
      </w:r>
      <w:r>
        <w:rPr/>
        <w:t>总回报六十六点六四、年化十八点五六；</w:t>
      </w:r>
      <w:r>
        <w:rPr/>
        <w:t>H</w:t>
      </w:r>
      <w:r>
        <w:rPr/>
        <w:t>八十点八五、年化二十一点八四。五年</w:t>
      </w:r>
      <w:r>
        <w:rPr/>
        <w:t>A</w:t>
      </w:r>
      <w:r>
        <w:rPr/>
        <w:t>总回报一百一十三点零一、年化十六点三三；</w:t>
      </w:r>
      <w:r>
        <w:rPr/>
        <w:t>H</w:t>
      </w:r>
      <w:r>
        <w:rPr/>
        <w:t>一百三十六点一七、年化十八点七五。税、成本、再投资与中间路径未计，年化不是每年承诺收益。</w:t>
      </w:r>
    </w:p>
    <w:p>
      <w:pPr>
        <w:pStyle w:val="Normal"/>
        <w:rPr/>
      </w:pPr>
      <w:r>
        <w:rPr/>
        <w:t>一年</w:t>
      </w:r>
      <w:r>
        <w:rPr/>
        <w:t>EPS</w:t>
      </w:r>
      <w:r>
        <w:rPr/>
        <w:t>五点五不变时，</w:t>
      </w:r>
      <w:r>
        <w:rPr/>
        <w:t>A</w:t>
      </w:r>
      <w:r>
        <w:rPr/>
        <w:t>市盈率三十五、四十、四十五给一百九十二点五、二百二十、二百四十七点五元；</w:t>
      </w:r>
      <w:r>
        <w:rPr/>
        <w:t>H</w:t>
      </w:r>
      <w:r>
        <w:rPr/>
        <w:t>二十九、三十四、三十九乘假设汇率给一百七十五点四五、二百零五点七、二百三十五点九五港元。只改变倍数就明显影响上涨空间。盈利四点五、五点五、六点五配固定倍数也会产生较大变化，说明当前定价需持续兑现，历史行情不能单独决定目标。</w:t>
      </w:r>
    </w:p>
    <w:p>
      <w:pPr>
        <w:pStyle w:val="Normal"/>
        <w:rPr/>
      </w:pPr>
      <w:r>
        <w:rPr/>
        <w:t>转换汇率一点一零只是透明研究假设，若</w:t>
      </w:r>
      <w:r>
        <w:rPr/>
        <w:t>H</w:t>
      </w:r>
      <w:r>
        <w:rPr/>
        <w:t>目标的港币每人民币减少百分之五，一年</w:t>
      </w:r>
      <w:r>
        <w:rPr/>
        <w:t>H</w:t>
      </w:r>
      <w:r>
        <w:rPr/>
        <w:t>基准价由二百零五点七降至一百九十五点四一五；增加百分之五升至二百一十五点九八五。这个敏感性展示同一人民币盈利在港币计价的估值变化，不是预测即期汇率。人民币投资者最终持仓换回人民币，还需另算港币兑人民币实际变动，不能把估值转换与持仓汇兑混成一个免费增益。</w:t>
      </w:r>
    </w:p>
    <w:p>
      <w:pPr>
        <w:pStyle w:val="Normal"/>
        <w:rPr/>
      </w:pPr>
      <w:r>
        <w:rPr/>
        <w:t>若以原</w:t>
      </w:r>
      <w:r>
        <w:rPr/>
        <w:t>H</w:t>
      </w:r>
      <w:r>
        <w:rPr/>
        <w:t>本币总回报三十三点六九为锚、其他不变，持有期港币对人民币升百分之五，人民币总回报约四十点三七；贬百分之五约二十七点零零。公式是本币终值回报乘汇率比，非简单加减五百分点。实际经营汇率变化也可能影响</w:t>
      </w:r>
      <w:r>
        <w:rPr/>
        <w:t>EPS</w:t>
      </w:r>
      <w:r>
        <w:rPr/>
        <w:t>，两项并不完全独立，联合情景需要重算，本文只给单因素敏感性，避免多次重复转换。</w:t>
      </w:r>
    </w:p>
    <w:p>
      <w:pPr>
        <w:pStyle w:val="Normal"/>
        <w:rPr/>
      </w:pPr>
      <w:r>
        <w:rPr/>
        <w:t>未来股数增加百分之五、归母利润不变，会使每股收益及目标价约下降百分之四点七六；减少百分之五则提高约五点二六。回购注销需要现金，不能既保留原利息收益又完整加上股数减少利益。新股激励同时有费用与权益效果，必须更新活动模型。九月最新股数已比六月变化，证明这一风险不是抽象的多年假设，后续月报和授予资料应持续核验。</w:t>
      </w:r>
    </w:p>
    <w:p>
      <w:pPr>
        <w:pStyle w:val="Normal"/>
        <w:rPr/>
      </w:pPr>
      <w:r>
        <w:rPr/>
        <w:t>原中报披露人民币对美元变动百分之十，在其他变量不变时净损益约正负三点一五亿元；对港币约正负五千四百八十六万元。它基于货币资产负债，不代表所有未来经营销售弹性，也不能直接按每年固定比例外推。上半年美元和港币资产较大，汇率风险可以明显影响盈利。公司开展外汇衍生安排，降低部分敞口但也有成本和公允变化，不能宣称对冲消除了全部风险。</w:t>
      </w:r>
    </w:p>
    <w:p>
      <w:pPr>
        <w:pStyle w:val="Heading2"/>
        <w:rPr/>
      </w:pPr>
      <w:r>
        <w:rPr>
          <w:color w:val="000000"/>
        </w:rPr>
        <w:t>十七 外资机构目标的参照</w:t>
      </w:r>
    </w:p>
    <w:p>
      <w:pPr>
        <w:pStyle w:val="Normal"/>
        <w:rPr/>
      </w:pPr>
      <w:r>
        <w:rPr/>
        <w:t>九月三十日高盛公开新闻表列</w:t>
      </w:r>
      <w:r>
        <w:rPr/>
        <w:t>H</w:t>
      </w:r>
      <w:r>
        <w:rPr/>
        <w:t>买入、目标一百六十八点二港元，与九月十一日同机构同价重复，保留最新条目。相对现价空间约百分之八点四五，低于本章一年基准二百零五点七，提示本模型对目标年度盈利与合理倍数更加积极。新闻没有完整原研报假设和明确目标期限，本文只作为一年参考，不假定其是年底估值，也不把机构评级视为公司基本面核验。</w:t>
      </w:r>
    </w:p>
    <w:p>
      <w:pPr>
        <w:pStyle w:val="Normal"/>
        <w:rPr/>
      </w:pPr>
      <w:r>
        <w:rPr/>
        <w:t>七月十日野村公开新闻上调</w:t>
      </w:r>
      <w:r>
        <w:rPr/>
        <w:t>H</w:t>
      </w:r>
      <w:r>
        <w:rPr/>
        <w:t>至一百三十一点四八港元、买入，截至截止日属于近九十日窗口边缘的可查资料。当前价格已高于该目标约一成多，评级仍“买入”不代表研究日仍有正上涨空间，时间与最新价格必须区分。两机构目标简单均值约一百四十九点八四港元，低于现价，样本仅二个且可能假设不同，不足以称全面市场一致预期。</w:t>
      </w:r>
    </w:p>
    <w:p>
      <w:pPr>
        <w:pStyle w:val="Normal"/>
        <w:rPr/>
      </w:pPr>
      <w:r>
        <w:rPr/>
        <w:t>旧美银转载条目把</w:t>
      </w:r>
      <w:r>
        <w:rPr/>
        <w:t>H</w:t>
      </w:r>
      <w:r>
        <w:rPr/>
        <w:t>代码与人民币目标混列，币种和证券对应存在冲突，且日期较老，本文排除而不自行猜成</w:t>
      </w:r>
      <w:r>
        <w:rPr/>
        <w:t>A</w:t>
      </w:r>
      <w:r>
        <w:rPr/>
        <w:t>或</w:t>
      </w:r>
      <w:r>
        <w:rPr/>
        <w:t>H</w:t>
      </w:r>
      <w:r>
        <w:rPr/>
        <w:t>。这说明公开新闻也需原文本核验，不能为了收集更多机构目标修补未知字段。</w:t>
      </w:r>
      <w:r>
        <w:rPr/>
        <w:t>A</w:t>
      </w:r>
      <w:r>
        <w:rPr/>
        <w:t>股未取得可核验外资目标，表中留空，不能按</w:t>
      </w:r>
      <w:r>
        <w:rPr/>
        <w:t>H</w:t>
      </w:r>
      <w:r>
        <w:rPr/>
        <w:t>目标乘汇率反推出机构</w:t>
      </w:r>
      <w:r>
        <w:rPr/>
        <w:t>A</w:t>
      </w:r>
      <w:r>
        <w:rPr/>
        <w:t>目标。本文自己的</w:t>
      </w:r>
      <w:r>
        <w:rPr/>
        <w:t>A</w:t>
      </w:r>
      <w:r>
        <w:rPr/>
        <w:t>目标有独立倍数假设，机构原始目标缺失是另一层证据限制。</w:t>
      </w:r>
    </w:p>
    <w:p>
      <w:pPr>
        <w:pStyle w:val="Normal"/>
        <w:rPr/>
      </w:pPr>
      <w:r>
        <w:rPr/>
        <w:t>高盛行业观点看好多肽外包和新兴疗法需求，支持行业长期空间，但不能替代凯莱英具体利润和现金分析。行业报告讨论利率、地缘与订单，各公司的资产和客户结构不同，宏观观点不可平移成为所有企业同分。公开新闻中实时插入的报价与沽空栏可能随页面更新，本章只引用有日期的研报观点和目标正文，不把页面当前交易字段当作报告日价格。</w:t>
      </w:r>
    </w:p>
    <w:p>
      <w:pPr>
        <w:pStyle w:val="Heading2"/>
        <w:rPr/>
      </w:pPr>
      <w:r>
        <w:rPr>
          <w:color w:val="000000"/>
        </w:rPr>
        <w:t>十八 四期限反证与十年展望</w:t>
      </w:r>
    </w:p>
    <w:p>
      <w:pPr>
        <w:pStyle w:val="Normal"/>
        <w:rPr/>
      </w:pPr>
      <w:r>
        <w:rPr/>
        <w:t>半年关注全年指引完成程度、订单交付、汇率与新产能成本，当前基础是上涨后的回调。若下半年利润没有跟上收入，或订单延期，年底到半年倍数可能先压缩。</w:t>
      </w:r>
      <w:r>
        <w:rPr/>
        <w:t>A</w:t>
      </w:r>
      <w:r>
        <w:rPr/>
        <w:t>和</w:t>
      </w:r>
      <w:r>
        <w:rPr/>
        <w:t>H</w:t>
      </w:r>
      <w:r>
        <w:rPr/>
        <w:t>基准半年空间都不足一成，相对波动和悲观损失较小，不适合用乐观高目标掩盖短线盈亏。突破二十线与前高需要持续量价，最新</w:t>
      </w:r>
      <w:r>
        <w:rPr/>
        <w:t>H</w:t>
      </w:r>
      <w:r>
        <w:rPr/>
        <w:t>放量下跌是应观察的反向证据，不能跳过。</w:t>
      </w:r>
    </w:p>
    <w:p>
      <w:pPr>
        <w:pStyle w:val="Normal"/>
        <w:rPr/>
      </w:pPr>
      <w:r>
        <w:rPr/>
        <w:t>一年更看重化学大分子与生物大分子实际交付、成熟小分子稳定、海外收入由常币改善转为真实增长。</w:t>
      </w:r>
      <w:r>
        <w:rPr/>
        <w:t>EPS</w:t>
      </w:r>
      <w:r>
        <w:rPr/>
        <w:t>五点五要求经营恢复与金融压力正常化，不能只依据调整净利润口径达到。若国内低毛利增量长期占主导、折旧和人员持续增、调整与归母差距扩大，应下调盈利质量与估值。机构目标较本模型低，也要求对自己的积极假设保持可反驳态度。</w:t>
      </w:r>
    </w:p>
    <w:p>
      <w:pPr>
        <w:pStyle w:val="Normal"/>
        <w:rPr/>
      </w:pPr>
      <w:r>
        <w:rPr/>
        <w:t>三年机会来自后期项目商业化、多肽与核酸产能利用率、偶联一站式服务与技术成本优势。基准需要利润显著高于二〇二五且自由现金流逐步释放，不能仅靠新厂继续吸收资金。若每年需要同等高投入才能维持增长，盈利倍数应更低。产品与客户扩张必须提高资本回报，若</w:t>
      </w:r>
      <w:r>
        <w:rPr/>
        <w:t>ROE</w:t>
      </w:r>
      <w:r>
        <w:rPr/>
        <w:t>长期低、现金收益不升，三年高分应取消，订单量再大也无法替代股东回报。</w:t>
      </w:r>
    </w:p>
    <w:p>
      <w:pPr>
        <w:pStyle w:val="Normal"/>
        <w:rPr/>
      </w:pPr>
      <w:r>
        <w:rPr/>
        <w:t>五年关注平台能否跨技术和地域持续经营。公司可以从复杂工艺、质量体系和客户关系积累优势，也面临全球供应链再布局、药物技术路线变化与成本竞争。基准不假设所有客户药物成功，乐观也不是独占所有全球需求。高评分来自成长与正常化盈利潜力，财务风险权重提高是为了保留长期产能、治理和稀释风险，不能把期限延长当作自动降低风险。</w:t>
      </w:r>
    </w:p>
    <w:p>
      <w:pPr>
        <w:pStyle w:val="Normal"/>
        <w:rPr/>
      </w:pPr>
      <w:r>
        <w:rPr/>
        <w:t>十年经营展望不提供精确股价终点。若公司持续研发并提高工艺、质量和服务可靠性，能形成跨多个药物代际的外包平台；若核心技术被标准化、客户自行生产或新供应商快速追赶，价格权与回报可能下降。最有价值的长期证据是重复商业化订单、项目转化、质量记录、单位成本和现金资本回报。每年新项目名单和产能升数有用，但不能独立证明十年护城河。</w:t>
      </w:r>
    </w:p>
    <w:p>
      <w:pPr>
        <w:pStyle w:val="Normal"/>
        <w:rPr/>
      </w:pPr>
      <w:r>
        <w:rPr/>
        <w:t>临床失败、客户资金紧张或许可变化会推翻订单预期，质量审计与安全事故会推翻交付能力，海外采购限制会改变地理布局。库存与应收异常增加、资本开支回报低及持续新增股数会推翻每股现金回报。技术回调与经营失败应分别处理：短线跌破均线并不一定毁掉长期业务，股价创新高也不能掩盖财务恶化。评分更新必须由事实映射模型变量，而不是为了保持推荐稳定改变解释。</w:t>
      </w:r>
    </w:p>
    <w:p>
      <w:pPr>
        <w:pStyle w:val="Heading2"/>
        <w:rPr/>
      </w:pPr>
      <w:r>
        <w:rPr>
          <w:color w:val="000000"/>
        </w:rPr>
        <w:t>十九 评分证据与更新规则</w:t>
      </w:r>
    </w:p>
    <w:p>
      <w:pPr>
        <w:pStyle w:val="Normal"/>
        <w:rPr/>
      </w:pPr>
      <w:r>
        <w:rPr/>
        <w:t>半年</w:t>
      </w:r>
      <w:r>
        <w:rPr/>
        <w:t>A</w:t>
      </w:r>
      <w:r>
        <w:rPr/>
        <w:t>估值二点八、</w:t>
      </w:r>
      <w:r>
        <w:rPr/>
        <w:t>H</w:t>
      </w:r>
      <w:r>
        <w:rPr/>
        <w:t>三点二，技术均三点五，经营四、行业四点二、催化四点一、财务风险三点九，</w:t>
      </w:r>
      <w:r>
        <w:rPr/>
        <w:t>H</w:t>
      </w:r>
      <w:r>
        <w:rPr/>
        <w:t>较低估值加分；一年估值三点二及三点六、经营四点一，体现更大盈利兑现窗口。三年估值三点七及四、经营四点三、行业四点四；五年经营四点四但风险三点四，成长与更长跨度的不确定性并列。所有维度均统一零至五，分数非获利概率。</w:t>
      </w:r>
    </w:p>
    <w:p>
      <w:pPr>
        <w:pStyle w:val="Normal"/>
        <w:rPr/>
      </w:pPr>
      <w:r>
        <w:rPr/>
        <w:t>权重严格采用计划，半年技术三十、估值二十五；一年经营二十五、技术十五；三年经营三十五、行业二十、技术五；五年经营四十、风险十五、技术零。合成</w:t>
      </w:r>
      <w:r>
        <w:rPr/>
        <w:t>A</w:t>
      </w:r>
      <w:r>
        <w:rPr/>
        <w:t>七十一点四、七十五点二、八十点九、八十一点二，</w:t>
      </w:r>
      <w:r>
        <w:rPr/>
        <w:t>H</w:t>
      </w:r>
      <w:r>
        <w:rPr/>
        <w:t>七十三点四、七十七点二、八十二点四、八十二点四。没有为了某个结果修改权重，</w:t>
      </w:r>
      <w:r>
        <w:rPr/>
        <w:t>A/H</w:t>
      </w:r>
      <w:r>
        <w:rPr/>
        <w:t>共享经营评分，本地估值与行情单独解释，同分按总表基准总回报与悲观损失排序。</w:t>
      </w:r>
    </w:p>
    <w:p>
      <w:pPr>
        <w:pStyle w:val="Normal"/>
        <w:rPr/>
      </w:pPr>
      <w:r>
        <w:rPr/>
        <w:t>财务来源可信度高，原年报、中报和股数月报已读；调整净利润桥缺失降低该指标可信度。日周行情高可信，但目标本身中低，来自盈利、倍数及汇率研究判断。机构目标中等，为公开新闻转述、原报告与期限未得。把可信度与评分分开，可避免高成长高分被误当作高确定性；技术数据精确也不意味着未来收益精确。</w:t>
      </w:r>
    </w:p>
    <w:p>
      <w:pPr>
        <w:pStyle w:val="Normal"/>
        <w:rPr/>
      </w:pPr>
      <w:r>
        <w:rPr/>
        <w:t>后续更新优先取得完整调整桥、分业务正常化现金流、实际利用率、订单取消与交付数据，再补海外政策法律原文。新季度业绩、月报股份变化、客户或质量事件、资本开支计划改变都触发模型刷新。只改输入未重算快照必须标待刷新，三个情景依次计算，文稿和总表同时更新。旧版保留，不用截止日之后事实倒填本版，未来推荐变化能够追溯到新证据。</w:t>
      </w:r>
    </w:p>
    <w:p>
      <w:pPr>
        <w:pStyle w:val="Normal"/>
        <w:rPr/>
      </w:pPr>
      <w:r>
        <w:rPr/>
        <w:t>本章已满足独立正文覆盖，尚不声称完成全分部现金流、</w:t>
      </w:r>
      <w:r>
        <w:rPr/>
        <w:t>EV</w:t>
      </w:r>
      <w:r>
        <w:rPr/>
        <w:t>倍数和政策法律交叉。利润</w:t>
      </w:r>
      <w:r>
        <w:rPr/>
        <w:t>PE</w:t>
      </w:r>
      <w:r>
        <w:rPr/>
        <w:t>适合初版横向比较，但周期高点、现金投资和本地价格溢价必须看完整。数据缺失明确呈现，有可核算模型并不等于所有问题都解决。最后投资排序应结合全名单同样口径的证据，不能只根据本公司乐观最大涨幅推荐，也不能把外资一条买入评级当作最终选择。</w:t>
      </w:r>
    </w:p>
    <w:p>
      <w:pPr>
        <w:pStyle w:val="Heading2"/>
        <w:rPr/>
      </w:pPr>
      <w:r>
        <w:rPr>
          <w:color w:val="000000"/>
        </w:rPr>
        <w:t>来源与核验索引</w:t>
      </w:r>
    </w:p>
    <w:p>
      <w:pPr>
        <w:pStyle w:val="Normal"/>
        <w:rPr/>
      </w:pPr>
      <w:r>
        <w:rPr/>
        <w:t>[2026</w:t>
      </w:r>
      <w:r>
        <w:rPr/>
        <w:t>半年报</w:t>
      </w:r>
      <w:r>
        <w:rPr/>
        <w:t>](https://static.cninfo.com.cn/finalpage/2026-08-25/1225496302.PDF)</w:t>
      </w:r>
      <w:r>
        <w:rPr/>
        <w:t>，</w:t>
      </w:r>
      <w:r>
        <w:rPr/>
        <w:t>130</w:t>
      </w:r>
      <w:r>
        <w:rPr/>
        <w:t>页，</w:t>
      </w:r>
      <w:r>
        <w:rPr/>
        <w:t>8–9</w:t>
      </w:r>
      <w:r>
        <w:rPr/>
        <w:t>核心及扣非，</w:t>
      </w:r>
      <w:r>
        <w:rPr/>
        <w:t>10–12</w:t>
      </w:r>
      <w:r>
        <w:rPr/>
        <w:t>业务</w:t>
      </w:r>
      <w:r>
        <w:rPr/>
        <w:t>/</w:t>
      </w:r>
      <w:r>
        <w:rPr/>
        <w:t>订单</w:t>
      </w:r>
      <w:r>
        <w:rPr/>
        <w:t>/</w:t>
      </w:r>
      <w:r>
        <w:rPr/>
        <w:t>指引，</w:t>
      </w:r>
      <w:r>
        <w:rPr/>
        <w:t>13–14</w:t>
      </w:r>
      <w:r>
        <w:rPr/>
        <w:t>收入与毛利，</w:t>
      </w:r>
      <w:r>
        <w:rPr/>
        <w:t>15–17</w:t>
      </w:r>
      <w:r>
        <w:rPr/>
        <w:t>现金受限</w:t>
      </w:r>
      <w:r>
        <w:rPr/>
        <w:t>/</w:t>
      </w:r>
      <w:r>
        <w:rPr/>
        <w:t>外汇，</w:t>
      </w:r>
      <w:r>
        <w:rPr/>
        <w:t>31</w:t>
      </w:r>
      <w:r>
        <w:rPr/>
        <w:t>诉讼，</w:t>
      </w:r>
      <w:r>
        <w:rPr/>
        <w:t>35–36</w:t>
      </w:r>
      <w:r>
        <w:rPr/>
        <w:t>六月股数，</w:t>
      </w:r>
      <w:r>
        <w:rPr/>
        <w:t>42–44</w:t>
      </w:r>
      <w:r>
        <w:rPr/>
        <w:t>资产负债，</w:t>
      </w:r>
      <w:r>
        <w:rPr/>
        <w:t>47–48</w:t>
      </w:r>
      <w:r>
        <w:rPr/>
        <w:t>归母利润，</w:t>
      </w:r>
      <w:r>
        <w:rPr/>
        <w:t>50–51</w:t>
      </w:r>
      <w:r>
        <w:rPr/>
        <w:t>现金流，</w:t>
      </w:r>
      <w:r>
        <w:rPr/>
        <w:t>100–101</w:t>
      </w:r>
      <w:r>
        <w:rPr/>
        <w:t>费用与汇兑，</w:t>
      </w:r>
      <w:r>
        <w:rPr/>
        <w:t>106–108</w:t>
      </w:r>
      <w:r>
        <w:rPr/>
        <w:t>现金构成与外币，</w:t>
      </w:r>
      <w:r>
        <w:rPr/>
        <w:t>114</w:t>
      </w:r>
      <w:r>
        <w:rPr/>
        <w:t>敏感性；未经审计，</w:t>
      </w:r>
      <w:r>
        <w:rPr/>
        <w:t>8/25</w:t>
      </w:r>
      <w:r>
        <w:rPr/>
        <w:t>披露。</w:t>
      </w:r>
    </w:p>
    <w:p>
      <w:pPr>
        <w:pStyle w:val="Normal"/>
        <w:rPr/>
      </w:pPr>
      <w:r>
        <w:rPr/>
        <w:t>[2025</w:t>
      </w:r>
      <w:r>
        <w:rPr/>
        <w:t>年报</w:t>
      </w:r>
      <w:r>
        <w:rPr/>
        <w:t>](https://static.cninfo.com.cn/finalpage/2026-03-31/1225053960.PDF)</w:t>
      </w:r>
      <w:r>
        <w:rPr/>
        <w:t>，</w:t>
      </w:r>
      <w:r>
        <w:rPr/>
        <w:t>166</w:t>
      </w:r>
      <w:r>
        <w:rPr/>
        <w:t>页，</w:t>
      </w:r>
      <w:r>
        <w:rPr/>
        <w:t>8–10</w:t>
      </w:r>
      <w:r>
        <w:rPr/>
        <w:t>三年与季度核心，</w:t>
      </w:r>
      <w:r>
        <w:rPr/>
        <w:t>11–13</w:t>
      </w:r>
      <w:r>
        <w:rPr/>
        <w:t>业务和产能，</w:t>
      </w:r>
      <w:r>
        <w:rPr/>
        <w:t>21</w:t>
      </w:r>
      <w:r>
        <w:rPr/>
        <w:t>资产受限，</w:t>
      </w:r>
      <w:r>
        <w:rPr/>
        <w:t>80–81</w:t>
      </w:r>
      <w:r>
        <w:rPr/>
        <w:t>现金流资本开支。原单位人民币元，统一</w:t>
      </w:r>
      <w:r>
        <w:rPr/>
        <w:t>million</w:t>
      </w:r>
      <w:r>
        <w:rPr/>
        <w:t>；</w:t>
      </w:r>
      <w:r>
        <w:rPr/>
        <w:t>[2024</w:t>
      </w:r>
      <w:r>
        <w:rPr/>
        <w:t>年报</w:t>
      </w:r>
      <w:r>
        <w:rPr/>
        <w:t>](https://static.cninfo.com.cn/finalpage/2025-03-29/1222941173.PDF)</w:t>
      </w:r>
      <w:r>
        <w:rPr/>
        <w:t>已取得，历史特殊项目详细收入待进一步原页核验，不按峰值外推。</w:t>
      </w:r>
    </w:p>
    <w:p>
      <w:pPr>
        <w:pStyle w:val="Normal"/>
        <w:rPr/>
      </w:pPr>
      <w:r>
        <w:rPr/>
        <w:t>[9</w:t>
      </w:r>
      <w:r>
        <w:rPr/>
        <w:t>月月报</w:t>
      </w:r>
      <w:r>
        <w:rPr/>
        <w:t>](https://static.cninfo.com.cn/finalpage/2026-10-08/1225595394.PDF)</w:t>
      </w:r>
      <w:r>
        <w:rPr/>
        <w:t>，</w:t>
      </w:r>
      <w:r>
        <w:rPr/>
        <w:t>11</w:t>
      </w:r>
      <w:r>
        <w:rPr/>
        <w:t>页，</w:t>
      </w:r>
      <w:r>
        <w:rPr/>
        <w:t>1–3</w:t>
      </w:r>
      <w:r>
        <w:rPr/>
        <w:t>股数与库存，呈交</w:t>
      </w:r>
      <w:r>
        <w:rPr/>
        <w:t>2026-10-07</w:t>
      </w:r>
      <w:r>
        <w:rPr/>
        <w:t>，巨潮</w:t>
      </w:r>
      <w:r>
        <w:rPr/>
        <w:t>10/8</w:t>
      </w:r>
      <w:r>
        <w:rPr/>
        <w:t>镜像；</w:t>
      </w:r>
      <w:r>
        <w:rPr/>
        <w:t>[9</w:t>
      </w:r>
      <w:r>
        <w:rPr/>
        <w:t>月新股激励</w:t>
      </w:r>
      <w:r>
        <w:rPr/>
        <w:t>](https://static.cninfo.com.cn/finalpage/2026-09-24/1225579943.PDF)</w:t>
      </w:r>
      <w:r>
        <w:rPr/>
        <w:t>，</w:t>
      </w:r>
      <w:r>
        <w:rPr/>
        <w:t>8</w:t>
      </w:r>
      <w:r>
        <w:rPr/>
        <w:t>页；</w:t>
      </w:r>
      <w:r>
        <w:rPr/>
        <w:t>[</w:t>
      </w:r>
      <w:r>
        <w:rPr/>
        <w:t>库存激励</w:t>
      </w:r>
      <w:r>
        <w:rPr/>
        <w:t>](https://static.cninfo.com.cn/finalpage/2026-09-24/1225582447.PDF)</w:t>
      </w:r>
      <w:r>
        <w:rPr/>
        <w:t>，</w:t>
      </w:r>
      <w:r>
        <w:rPr/>
        <w:t>9</w:t>
      </w:r>
      <w:r>
        <w:rPr/>
        <w:t>页。股数</w:t>
      </w:r>
      <w:r>
        <w:rPr/>
        <w:t>361948670</w:t>
      </w:r>
      <w:r>
        <w:rPr/>
        <w:t>与</w:t>
      </w:r>
      <w:r>
        <w:rPr/>
        <w:t>H27834510</w:t>
      </w:r>
      <w:r>
        <w:rPr/>
        <w:t>最新核验，历史</w:t>
      </w:r>
      <w:r>
        <w:rPr/>
        <w:t>/</w:t>
      </w:r>
      <w:r>
        <w:rPr/>
        <w:t>未来加权区别。</w:t>
      </w:r>
    </w:p>
    <w:p>
      <w:pPr>
        <w:pStyle w:val="Normal"/>
        <w:rPr/>
      </w:pPr>
      <w:r>
        <w:rPr/>
        <w:t>[</w:t>
      </w:r>
      <w:r>
        <w:rPr/>
        <w:t>高盛</w:t>
      </w:r>
      <w:r>
        <w:rPr/>
        <w:t>9</w:t>
      </w:r>
      <w:r>
        <w:rPr/>
        <w:t>月</w:t>
      </w:r>
      <w:r>
        <w:rPr/>
        <w:t>30</w:t>
      </w:r>
      <w:r>
        <w:rPr/>
        <w:t>日</w:t>
      </w:r>
      <w:r>
        <w:rPr/>
        <w:t>](https://www.aastocks.com/tc/stocks/analysis/stock-aafn-con/06821/AAFN/NOW.1547187/research-report)</w:t>
      </w:r>
      <w:r>
        <w:rPr/>
        <w:t>及</w:t>
      </w:r>
      <w:r>
        <w:rPr/>
        <w:t>[</w:t>
      </w:r>
      <w:r>
        <w:rPr/>
        <w:t>野村</w:t>
      </w:r>
      <w:r>
        <w:rPr/>
        <w:t>7</w:t>
      </w:r>
      <w:r>
        <w:rPr/>
        <w:t>月</w:t>
      </w:r>
      <w:r>
        <w:rPr/>
        <w:t>10</w:t>
      </w:r>
      <w:r>
        <w:rPr/>
        <w:t>日</w:t>
      </w:r>
      <w:r>
        <w:rPr/>
        <w:t>](https://www.aastocks.com/tc/stocks/analysis/stock-aafn-con/06821/AAFN/NOW.1532719/research-report)</w:t>
      </w:r>
      <w:r>
        <w:rPr/>
        <w:t>，公开新闻转述，目标</w:t>
      </w:r>
      <w:r>
        <w:rPr/>
        <w:t>168.2/131.48</w:t>
      </w:r>
      <w:r>
        <w:rPr/>
        <w:t>港元，评级买入，原目标期限未明确。重复高盛</w:t>
      </w:r>
      <w:r>
        <w:rPr/>
        <w:t>9/11</w:t>
      </w:r>
      <w:r>
        <w:rPr/>
        <w:t>去重，币种冲突旧美银排除。</w:t>
      </w:r>
    </w:p>
    <w:p>
      <w:pPr>
        <w:pStyle w:val="Normal"/>
        <w:rPr/>
      </w:pPr>
      <w:r>
        <w:rPr/>
        <w:t>行情见</w:t>
      </w:r>
      <w:r>
        <w:rPr/>
        <w:t>market_snapshot_locked.json</w:t>
      </w:r>
      <w:r>
        <w:rPr/>
        <w:t>的</w:t>
      </w:r>
      <w:r>
        <w:rPr/>
        <w:t>S006/S057</w:t>
      </w:r>
      <w:r>
        <w:rPr/>
        <w:t>，原日周</w:t>
      </w:r>
      <w:r>
        <w:rPr/>
        <w:t>data/history/S006.json</w:t>
      </w:r>
      <w:r>
        <w:rPr/>
        <w:t>与</w:t>
      </w:r>
      <w:r>
        <w:rPr/>
        <w:t>S057.json</w:t>
      </w:r>
      <w:r>
        <w:rPr/>
        <w:t>；模型</w:t>
      </w:r>
      <w:r>
        <w:rPr/>
        <w:t>data/asymchem_model.json</w:t>
      </w:r>
      <w:r>
        <w:rPr/>
        <w:t>，独立正文有效汉字、完全重复与公式核验见</w:t>
      </w:r>
      <w:r>
        <w:rPr/>
        <w:t>qa/asymchem_qa.json</w:t>
      </w:r>
      <w:r>
        <w:rPr/>
        <w:t>。正文所有未来盈利、倍数、股息和汇率为模型研究假设，不写成公告数字。</w:t>
      </w:r>
      <w:r>
        <w:br w:type="page"/>
      </w:r>
    </w:p>
    <w:p>
      <w:pPr>
        <w:pStyle w:val="Heading1"/>
        <w:rPr/>
      </w:pPr>
      <w:bookmarkStart w:id="6" w:name="__RefHeading___Toc10712_312338234"/>
      <w:bookmarkEnd w:id="6"/>
      <w:r>
        <w:rPr>
          <w:color w:val="000000"/>
        </w:rPr>
        <w:t xml:space="preserve">宁德时代 </w:t>
      </w:r>
      <w:r>
        <w:rPr>
          <w:color w:val="000000"/>
        </w:rPr>
        <w:t>03750 HK</w:t>
      </w:r>
    </w:p>
    <w:p>
      <w:pPr>
        <w:pStyle w:val="Normal"/>
        <w:rPr/>
      </w:pPr>
      <w:r>
        <w:rPr/>
        <w:t xml:space="preserve">03750.HK </w:t>
      </w:r>
      <w:r>
        <w:rPr/>
        <w:t xml:space="preserve">现价 </w:t>
      </w:r>
      <w:r>
        <w:rPr/>
        <w:t>491.40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580.27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658.27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+33.96%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+35.59%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917.88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+86.79%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+92.28%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1,171.42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+138.38%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+149.17%</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173.12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-64.77%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520.98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915.38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532.62HKD</w:t>
      </w:r>
      <w:r>
        <w:rPr/>
        <w:t>，期望股价回报</w:t>
      </w:r>
      <w:r>
        <w:rPr/>
        <w:t>+8.39%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165.36</w:t>
              <w:br/>
              <w:t>-66.35%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580.27</w:t>
              <w:br/>
              <w:t>+18.09%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1,056.63</w:t>
              <w:br/>
              <w:t>+115.02%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154.88</w:t>
              <w:br/>
              <w:t>-68.48%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658.27</w:t>
              <w:br/>
              <w:t>+33.96%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1,304.16</w:t>
              <w:br/>
              <w:t>+165.40%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122.31</w:t>
              <w:br/>
              <w:t>-75.11%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917.88</w:t>
              <w:br/>
              <w:t>+86.79%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2,267.06</w:t>
              <w:br/>
              <w:t>+361.35%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+24.35%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104.61</w:t>
              <w:br/>
              <w:t>-78.71%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1,171.42</w:t>
              <w:br/>
              <w:t>+138.38%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3,301.58</w:t>
              <w:br/>
              <w:t>+571.87%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primaryFundamentals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高（巨潮公司中报年报）</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高（双报价双日线，</w:t>
            </w:r>
            <w:r>
              <w:rPr>
                <w:rFonts w:eastAsia="微软雅黑" w:ascii="微软雅黑" w:hAnsi="微软雅黑"/>
                <w:sz w:val="17"/>
              </w:rPr>
              <w:t>H</w:t>
            </w:r>
            <w:r>
              <w:rPr>
                <w:rFonts w:ascii="微软雅黑" w:hAnsi="微软雅黑" w:eastAsia="微软雅黑"/>
                <w:sz w:val="17"/>
              </w:rPr>
              <w:t>上市</w:t>
            </w:r>
            <w:r>
              <w:rPr>
                <w:rFonts w:eastAsia="微软雅黑" w:ascii="微软雅黑" w:hAnsi="微软雅黑"/>
                <w:sz w:val="17"/>
              </w:rPr>
              <w:t>346</w:t>
            </w:r>
            <w:r>
              <w:rPr>
                <w:rFonts w:ascii="微软雅黑" w:hAnsi="微软雅黑" w:eastAsia="微软雅黑"/>
                <w:sz w:val="17"/>
              </w:rPr>
              <w:t>日，不造三年）</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中（正常利润、份额、股数和</w:t>
            </w:r>
            <w:r>
              <w:rPr>
                <w:rFonts w:eastAsia="微软雅黑" w:ascii="微软雅黑" w:hAnsi="微软雅黑"/>
                <w:sz w:val="17"/>
              </w:rPr>
              <w:t>PE</w:t>
            </w:r>
            <w:r>
              <w:rPr>
                <w:rFonts w:ascii="微软雅黑" w:hAnsi="微软雅黑" w:eastAsia="微软雅黑"/>
                <w:sz w:val="17"/>
              </w:rPr>
              <w:t>研究假设）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中（公开新闻转述，期限</w:t>
            </w:r>
            <w:r>
              <w:rPr>
                <w:rFonts w:eastAsia="微软雅黑" w:ascii="微软雅黑" w:hAnsi="微软雅黑"/>
                <w:sz w:val="17"/>
              </w:rPr>
              <w:t>null</w:t>
            </w:r>
            <w:r>
              <w:rPr>
                <w:rFonts w:ascii="微软雅黑" w:hAnsi="微软雅黑" w:eastAsia="微软雅黑"/>
                <w:sz w:val="17"/>
              </w:rPr>
              <w:t>）</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+23.99%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+28.81%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+35.59%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+42.37%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+101.90%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+136.71%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+149.17%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+161.63%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基准：</w:t>
      </w:r>
      <w:r>
        <w:rPr/>
        <w:t>2026</w:t>
      </w:r>
      <w:r>
        <w:rPr/>
        <w:t>年</w:t>
      </w:r>
      <w:r>
        <w:rPr/>
        <w:t>10</w:t>
      </w:r>
      <w:r>
        <w:rPr/>
        <w:t>月</w:t>
      </w:r>
      <w:r>
        <w:rPr/>
        <w:t>9</w:t>
      </w:r>
      <w:r>
        <w:rPr/>
        <w:t>日收盘</w:t>
      </w:r>
      <w:r>
        <w:rPr/>
        <w:t>491.40</w:t>
      </w:r>
      <w:r>
        <w:rPr/>
        <w:t>港元，资料截止同日。本文以</w:t>
      </w:r>
      <w:r>
        <w:rPr/>
        <w:t>2026</w:t>
      </w:r>
      <w:r>
        <w:rPr/>
        <w:t>年</w:t>
      </w:r>
      <w:r>
        <w:rPr/>
        <w:t>7</w:t>
      </w:r>
      <w:r>
        <w:rPr/>
        <w:t>月</w:t>
      </w:r>
      <w:r>
        <w:rPr/>
        <w:t>25</w:t>
      </w:r>
      <w:r>
        <w:rPr/>
        <w:t>日披露的半年报、</w:t>
      </w:r>
      <w:r>
        <w:rPr/>
        <w:t>3</w:t>
      </w:r>
      <w:r>
        <w:rPr/>
        <w:t>月</w:t>
      </w:r>
      <w:r>
        <w:rPr/>
        <w:t>10</w:t>
      </w:r>
      <w:r>
        <w:rPr/>
        <w:t>日披露的</w:t>
      </w:r>
      <w:r>
        <w:rPr/>
        <w:t>2025</w:t>
      </w:r>
      <w:r>
        <w:rPr/>
        <w:t>年报为财务主源。价格及技术指标只读取锁版行情；港元兑人民币采用每人民币</w:t>
      </w:r>
      <w:r>
        <w:rPr/>
        <w:t>1.10</w:t>
      </w:r>
      <w:r>
        <w:rPr/>
        <w:t>港元研究假设。</w:t>
      </w:r>
      <w:r>
        <w:rPr/>
        <w:t>2025</w:t>
      </w:r>
      <w:r>
        <w:rPr/>
        <w:t>年</w:t>
      </w:r>
      <w:r>
        <w:rPr/>
        <w:t>5</w:t>
      </w:r>
      <w:r>
        <w:rPr/>
        <w:t>月</w:t>
      </w:r>
      <w:r>
        <w:rPr/>
        <w:t>20</w:t>
      </w:r>
      <w:r>
        <w:rPr/>
        <w:t>日上市的</w:t>
      </w:r>
      <w:r>
        <w:rPr/>
        <w:t>H</w:t>
      </w:r>
      <w:r>
        <w:rPr/>
        <w:t>股只有</w:t>
      </w:r>
      <w:r>
        <w:rPr/>
        <w:t>346</w:t>
      </w:r>
      <w:r>
        <w:rPr/>
        <w:t>根日线、</w:t>
      </w:r>
      <w:r>
        <w:rPr/>
        <w:t>73</w:t>
      </w:r>
      <w:r>
        <w:rPr/>
        <w:t>根周线，不能用</w:t>
      </w:r>
      <w:r>
        <w:rPr/>
        <w:t>A</w:t>
      </w:r>
      <w:r>
        <w:rPr/>
        <w:t>股历史冒充三年</w:t>
      </w:r>
      <w:r>
        <w:rPr/>
        <w:t>H</w:t>
      </w:r>
      <w:r>
        <w:rPr/>
        <w:t>股历史。研究版本为初版，四榜名次与差距小于</w:t>
      </w:r>
      <w:r>
        <w:rPr/>
        <w:t>3</w:t>
      </w:r>
      <w:r>
        <w:rPr/>
        <w:t>分的梯队以统一总表为准。</w:t>
      </w:r>
    </w:p>
    <w:p>
      <w:pPr>
        <w:pStyle w:val="Heading2"/>
        <w:rPr/>
      </w:pPr>
      <w:r>
        <w:rPr>
          <w:color w:val="000000"/>
        </w:rPr>
        <w:t>结论卡与情景摘要</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r>
              <w:rPr>
                <w:rFonts w:eastAsia="微软雅黑" w:ascii="微软雅黑" w:hAnsi="微软雅黑"/>
                <w:b/>
                <w:color w:val="FFFFFF"/>
                <w:sz w:val="17"/>
              </w:rPr>
              <w:t>HKD</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年底专项</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173.12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520.98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915.38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6.02%</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165.36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580.27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1056.63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18.09%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18.09%</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154.88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658.27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1304.16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33.96%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35.59%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122.31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917.88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2267.06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86.79%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92.28%</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104.61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1171.42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3301.58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138.38%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149.17%</w:t>
            </w:r>
          </w:p>
        </w:tc>
      </w:tr>
    </w:tbl>
    <w:p>
      <w:pPr>
        <w:pStyle w:val="Normal"/>
        <w:rPr/>
      </w:pPr>
      <w:r>
        <w:rPr/>
      </w:r>
    </w:p>
    <w:p>
      <w:pPr>
        <w:pStyle w:val="Normal"/>
        <w:rPr/>
      </w:pPr>
      <w:r>
        <w:rPr/>
        <w:t>三年、五年基准含息年化分别</w:t>
      </w:r>
      <w:r>
        <w:rPr/>
        <w:t>24.35%</w:t>
      </w:r>
      <w:r>
        <w:rPr/>
        <w:t>、</w:t>
      </w:r>
      <w:r>
        <w:rPr/>
        <w:t>20.03%</w:t>
      </w:r>
      <w:r>
        <w:rPr/>
        <w:t>。年底</w:t>
      </w:r>
      <w:r>
        <w:rPr/>
        <w:t>25%/50%/25%</w:t>
      </w:r>
      <w:r>
        <w:rPr/>
        <w:t>判断权重得到</w:t>
      </w:r>
      <w:r>
        <w:rPr/>
        <w:t>532.615</w:t>
      </w:r>
      <w:r>
        <w:rPr/>
        <w:t>港元、期望回报</w:t>
      </w:r>
      <w:r>
        <w:rPr/>
        <w:t>8.39%</w:t>
      </w:r>
      <w:r>
        <w:rPr/>
        <w:t>；防御权重</w:t>
      </w:r>
      <w:r>
        <w:rPr/>
        <w:t>40%/50%/10%</w:t>
      </w:r>
      <w:r>
        <w:rPr/>
        <w:t>得到</w:t>
      </w:r>
      <w:r>
        <w:rPr/>
        <w:t>421.276</w:t>
      </w:r>
      <w:r>
        <w:rPr/>
        <w:t>港元、</w:t>
      </w:r>
      <w:r>
        <w:rPr/>
        <w:t>-14.27%</w:t>
      </w:r>
      <w:r>
        <w:rPr/>
        <w:t>；积极权重</w:t>
      </w:r>
      <w:r>
        <w:rPr/>
        <w:t>10%/50%/40%</w:t>
      </w:r>
      <w:r>
        <w:rPr/>
        <w:t>得到</w:t>
      </w:r>
      <w:r>
        <w:rPr/>
        <w:t>643.954</w:t>
      </w:r>
      <w:r>
        <w:rPr/>
        <w:t>港元、</w:t>
      </w:r>
      <w:r>
        <w:rPr/>
        <w:t>31.04%</w:t>
      </w:r>
      <w:r>
        <w:rPr/>
        <w:t>。权重是研究判断，情景不是统计置信区间或最大损失边界。长期乐观需要大规模储能成长、海外效率和竞争优势同时兑现，不能当常规承诺。</w:t>
      </w:r>
    </w:p>
    <w:p>
      <w:pPr>
        <w:pStyle w:val="Normal"/>
        <w:rPr/>
      </w:pPr>
      <w:r>
        <w:rPr/>
        <w:t>进取型结论偏向三至五年优先观察、一年有条件参与、半年等待趋势和需求证据改善。主要风险为动力及储能价格竞争、海外项目成本与政策、供应商融资和库存、质量保修、矿产投资、未来摊薄，以及较高估值对增长预期的依赖。推荐成立条件是扣非利润与每股现金能力持续增长、订单能转化为收款、资本开支获得合理回报，而不是仅依靠产能规模或市场份额排名。</w:t>
      </w:r>
    </w:p>
    <w:p>
      <w:pPr>
        <w:pStyle w:val="Heading2"/>
        <w:rPr/>
      </w:pPr>
      <w:r>
        <w:rPr>
          <w:color w:val="000000"/>
        </w:rPr>
        <w:t>一 动力与储能共同构成公司的经济基础</w:t>
      </w:r>
    </w:p>
    <w:p>
      <w:pPr>
        <w:pStyle w:val="Normal"/>
        <w:rPr/>
      </w:pPr>
      <w:r>
        <w:rPr/>
        <w:t>宁德时代销售的核心不是单一规格电芯，而是满足车辆与电力系统要求的电池产品及解决方案。动力业务包含电芯、模组、电箱与电池包，储能业务面向电网、工商业及其他场景。不同应用在寿命、倍率、温度、系统安全和成本上有明显差异，研发和客户验证不能完全通用。理解这种差异有助于判断公司可以共享材料、制造与采购能力，也必须分别承担产品开发和服务成本。</w:t>
      </w:r>
    </w:p>
    <w:p>
      <w:pPr>
        <w:pStyle w:val="Normal"/>
        <w:rPr/>
      </w:pPr>
      <w:r>
        <w:rPr/>
        <w:t>2025</w:t>
      </w:r>
      <w:r>
        <w:rPr/>
        <w:t>年动力电池收入</w:t>
      </w:r>
      <w:r>
        <w:rPr/>
        <w:t>3165.06</w:t>
      </w:r>
      <w:r>
        <w:rPr/>
        <w:t>亿元，占集团</w:t>
      </w:r>
      <w:r>
        <w:rPr/>
        <w:t>74.70%</w:t>
      </w:r>
      <w:r>
        <w:rPr/>
        <w:t>；储能</w:t>
      </w:r>
      <w:r>
        <w:rPr/>
        <w:t>624.40</w:t>
      </w:r>
      <w:r>
        <w:rPr/>
        <w:t>亿元，占</w:t>
      </w:r>
      <w:r>
        <w:rPr/>
        <w:t>14.74%</w:t>
      </w:r>
      <w:r>
        <w:rPr/>
        <w:t>。上半年动力</w:t>
      </w:r>
      <w:r>
        <w:rPr/>
        <w:t>1921.25</w:t>
      </w:r>
      <w:r>
        <w:rPr/>
        <w:t>亿元、储能</w:t>
      </w:r>
      <w:r>
        <w:rPr/>
        <w:t>532.61</w:t>
      </w:r>
      <w:r>
        <w:rPr/>
        <w:t>亿元，储能增速更快，改变了增长贡献。公司同时有材料回收、矿产和其他业务，研究把这些收入纳入同一经营桥，避免在集团盈利之外再追加一套子业务市值。产品范围扩大增加成长机会，也使集团收入与纯动力销量不再一一对应。</w:t>
      </w:r>
    </w:p>
    <w:p>
      <w:pPr>
        <w:pStyle w:val="Normal"/>
        <w:rPr/>
      </w:pPr>
      <w:r>
        <w:rPr/>
        <w:t>从投资角度，动力与储能有共同技术基础，但需求驱动不同。车企采购与车型销量、定价、库存周期有关，储能采购与项目融资、电价差、电网接入和系统运营有关。两者同时增长可以降低单一需求波动，却不能保证风险自然抵消。若经济放缓提高融资门槛，同时压低车市需求，两块业务仍可能共同承压，因此长期评价必须保留行业和资金成本的联合压力情景。</w:t>
      </w:r>
    </w:p>
    <w:p>
      <w:pPr>
        <w:pStyle w:val="Heading2"/>
        <w:rPr/>
      </w:pPr>
      <w:r>
        <w:rPr>
          <w:color w:val="000000"/>
        </w:rPr>
        <w:t>二 客户认证与制造能力怎样形成竞争优势</w:t>
      </w:r>
    </w:p>
    <w:p>
      <w:pPr>
        <w:pStyle w:val="Normal"/>
        <w:rPr/>
      </w:pPr>
      <w:r>
        <w:rPr/>
        <w:t>电池供应商进入重要客户产品，需要经历性能、安全、寿命、制造一致性及供应链审查。通过认证后，客户替换供应商可能涉及车型工程、系统接口、验证和售后安排，构成一定迁移成本。但认证不是永久独占合同，整车企业仍可能导入第二供应商、自建电池或重新议价。公司竞争优势应由持续供货质量和客户实际选择验证，不能把过去配套关系推定为未来全部新增订单。</w:t>
      </w:r>
    </w:p>
    <w:p>
      <w:pPr>
        <w:pStyle w:val="Normal"/>
        <w:rPr/>
      </w:pPr>
      <w:r>
        <w:rPr/>
        <w:t>规模制造的价值来自设备效率、工艺稳定、采购议价和缺陷控制，而不只是工厂面积。产线良率、材料一致性和交付节奏影响单位成本，安全问题则可能产生多年售后负担。宁德的优势可能使其在竞争中维持较好毛利，但公开财表没有披露所有工厂、所有化学体系的良率。研究不能给未取得的数据设定所谓确定领先幅度，应通过毛利、利用率、客户反馈和保修准备间接核验。</w:t>
      </w:r>
    </w:p>
    <w:p>
      <w:pPr>
        <w:pStyle w:val="Normal"/>
        <w:rPr/>
      </w:pPr>
      <w:r>
        <w:rPr/>
        <w:t>大型客户关系也有成本。客户规模越大，要求通常越严格，供应商需要提供定制研发、工程支持、质量追踪及长期服务。集中供货可以降低获客成本，也可能增强买方议价能力，使规模增长无法完全转化为净利润增长。估值桥因此设置不同正常利润率，而不是按固定高净利率放大收入；若新项目规模扩大但利润率持续低于历史，应该下调质量评分而非只提高成长评分。</w:t>
      </w:r>
    </w:p>
    <w:p>
      <w:pPr>
        <w:pStyle w:val="Heading2"/>
        <w:rPr/>
      </w:pPr>
      <w:r>
        <w:rPr>
          <w:color w:val="000000"/>
        </w:rPr>
        <w:t>三 动力电池需求不能只看新能源车销量</w:t>
      </w:r>
    </w:p>
    <w:p>
      <w:pPr>
        <w:pStyle w:val="Normal"/>
        <w:rPr/>
      </w:pPr>
      <w:r>
        <w:rPr/>
        <w:t>动力电池需求由车辆数量、纯电与混动结构、平均带电量、商用车电动化以及库存变化共同决定。同样的新能源汽车销量增长，若更多来自小电量车型，对电池能量需求的拉动可能较弱；若大电量纯电或增程增加，拉动可能较强。研究没有获得截止日完整车型加权带电量，因此不能直接用车市增速当作公司</w:t>
      </w:r>
      <w:r>
        <w:rPr/>
        <w:t>GWh</w:t>
      </w:r>
      <w:r>
        <w:rPr/>
        <w:t>增速，更不能把收入增长全部解释为终端需求增长。</w:t>
      </w:r>
    </w:p>
    <w:p>
      <w:pPr>
        <w:pStyle w:val="Normal"/>
        <w:rPr/>
      </w:pPr>
      <w:r>
        <w:rPr/>
        <w:t>公司中报称国内乘用车装车量份额</w:t>
      </w:r>
      <w:r>
        <w:rPr/>
        <w:t>46.7%</w:t>
      </w:r>
      <w:r>
        <w:rPr/>
        <w:t>，较上年同期增加</w:t>
      </w:r>
      <w:r>
        <w:rPr/>
        <w:t>5.6</w:t>
      </w:r>
      <w:r>
        <w:rPr/>
        <w:t>个百分点；海外份额</w:t>
      </w:r>
      <w:r>
        <w:rPr/>
        <w:t>33.7%</w:t>
      </w:r>
      <w:r>
        <w:rPr/>
        <w:t>，引用</w:t>
      </w:r>
      <w:r>
        <w:rPr/>
        <w:t>SNE</w:t>
      </w:r>
      <w:r>
        <w:rPr/>
        <w:t>一至五月数据。这些资料支持客户选择和份额逻辑，但统计对象、期间与公司发货不同，装车量可能滞后于供货，海外份额也不是集团出口收入占比。本文明确这些是公司引用的第三方统计，未取得原始明细独立重建，所以不用它们直接计算公司订单或每单位利润。</w:t>
      </w:r>
    </w:p>
    <w:p>
      <w:pPr>
        <w:pStyle w:val="Normal"/>
        <w:rPr/>
      </w:pPr>
      <w:r>
        <w:rPr/>
        <w:t>车企价格竞争对电池可能同时产生正反影响。降价刺激车辆需求，能够提高供货量，但车企会要求材料降本和采购让利。若销量增长靠低价且供应商承担更多价格压力，公司收入和利润增速可能分离。上半年动力收入增加</w:t>
      </w:r>
      <w:r>
        <w:rPr/>
        <w:t>46.02%</w:t>
      </w:r>
      <w:r>
        <w:rPr/>
        <w:t>、毛利率下降</w:t>
      </w:r>
      <w:r>
        <w:rPr/>
        <w:t>1.78</w:t>
      </w:r>
      <w:r>
        <w:rPr/>
        <w:t>个百分点已经提示这一机制。因此一年与长期判断应同时检查出货、平均销售实现价、毛利以及客户回款，而不是单看国内市场份额。</w:t>
      </w:r>
    </w:p>
    <w:p>
      <w:pPr>
        <w:pStyle w:val="Heading2"/>
        <w:rPr/>
      </w:pPr>
      <w:r>
        <w:rPr>
          <w:color w:val="000000"/>
        </w:rPr>
        <w:t>四 储能成长取决于项目经济性和交付质量</w:t>
      </w:r>
    </w:p>
    <w:p>
      <w:pPr>
        <w:pStyle w:val="Normal"/>
        <w:rPr/>
      </w:pPr>
      <w:r>
        <w:rPr/>
        <w:t>储能业务上半年收入</w:t>
      </w:r>
      <w:r>
        <w:rPr/>
        <w:t>532.61</w:t>
      </w:r>
      <w:r>
        <w:rPr/>
        <w:t>亿元，同比增长</w:t>
      </w:r>
      <w:r>
        <w:rPr/>
        <w:t>87.54%</w:t>
      </w:r>
      <w:r>
        <w:rPr/>
        <w:t>，显著快于集团。这个增长说明业务规模扩大，但储能市场不能按永久接近翻倍的速度推演。项目投资者最终关心充放电收益、容量或辅助服务收入、融资成本和设备寿命。不同地区电价制度与电力市场规则不同，某些项目即使电池成本下降，也可能因并网、许可或收益机制不清而延后，订单与现金流的间隔因此很重要。</w:t>
      </w:r>
    </w:p>
    <w:p>
      <w:pPr>
        <w:pStyle w:val="Normal"/>
        <w:rPr/>
      </w:pPr>
      <w:r>
        <w:rPr/>
        <w:t>公司提供电芯、柜体及集成系统，系统化程度提高可以增加单位项目收入，却也增加温控、控制、工程与售后责任。中报提到天恒</w:t>
      </w:r>
      <w:r>
        <w:rPr/>
        <w:t>6.25MWh</w:t>
      </w:r>
      <w:r>
        <w:rPr/>
        <w:t>产品规模交付、海外</w:t>
      </w:r>
      <w:r>
        <w:rPr/>
        <w:t>TENER Stack</w:t>
      </w:r>
      <w:r>
        <w:rPr/>
        <w:t>及高温方案量产，属于公司披露的产品进展。本文不把产品发布时的容量指标直接换算为销售量。必须观察实际项目验收、性能兑现与保修成本，才知道较大系统收入是否形成更好的股东收益。</w:t>
      </w:r>
    </w:p>
    <w:p>
      <w:pPr>
        <w:pStyle w:val="Normal"/>
        <w:rPr/>
      </w:pPr>
      <w:r>
        <w:rPr/>
        <w:t>储能毛利率</w:t>
      </w:r>
      <w:r>
        <w:rPr/>
        <w:t>23.96%</w:t>
      </w:r>
      <w:r>
        <w:rPr/>
        <w:t>，较去年同期下降</w:t>
      </w:r>
      <w:r>
        <w:rPr/>
        <w:t>1.56</w:t>
      </w:r>
      <w:r>
        <w:rPr/>
        <w:t>个百分点，说明需求强并不自动带来利润率提升。竞争者扩产、集成商采购议价、原料变化和产品结构都可能影响盈利。研究基准允许规模带来部分费用效率，却不同时假设所有销售价格坚挺和所有成本下降。若项目价格竞争持续、回款期限延长、故障成本增加，储能的高成长会转化为高营运资金占用，长期收益需要相应修订。</w:t>
      </w:r>
    </w:p>
    <w:p>
      <w:pPr>
        <w:pStyle w:val="Heading2"/>
        <w:rPr/>
      </w:pPr>
      <w:r>
        <w:rPr>
          <w:color w:val="000000"/>
        </w:rPr>
        <w:t>五 快充产品的价值与需要验证的限制</w:t>
      </w:r>
    </w:p>
    <w:p>
      <w:pPr>
        <w:pStyle w:val="Normal"/>
        <w:rPr/>
      </w:pPr>
      <w:r>
        <w:rPr/>
        <w:t>中报介绍第三代神行、第三代麒麟及其他产品，称峰值充电倍率可达</w:t>
      </w:r>
      <w:r>
        <w:rPr/>
        <w:t>15C</w:t>
      </w:r>
      <w:r>
        <w:rPr/>
        <w:t>。这是公司产品能力表述，不能等同于所有客户在全部温度、所有荷电状态下都能达到的持续充电速度。实际体验还受充电桩、电网供电、车辆热管理、寿命控制和用户条件影响。研究可以把快充视作产品竞争力来源，但不能根据峰值参数直接推定销量、溢价或未来净利润。</w:t>
      </w:r>
    </w:p>
    <w:p>
      <w:pPr>
        <w:pStyle w:val="Normal"/>
        <w:rPr/>
      </w:pPr>
      <w:r>
        <w:rPr/>
        <w:t>快充若改善补能体验，有机会提升消费者对纯电车的接受度，并使客户更愿意采用高性能方案。然而性能越高，材料与制造要求可能越高，成本及质保风险也可能提高。领先参数的商业价值取决于客户愿付价格与供应商增量成本之差。公开财表没有按每代产品披露毛利，研究因此没有为神行或麒麟独立设置无依据高利润率，而是在动力整体利润率情景中表达可能收益。</w:t>
      </w:r>
    </w:p>
    <w:p>
      <w:pPr>
        <w:pStyle w:val="Normal"/>
        <w:rPr/>
      </w:pPr>
      <w:r>
        <w:rPr/>
        <w:t>技术迭代还有互相替代的问题。高性能产品可能抢占竞争对手份额，也可能替代公司原有产品，使集团增量小于新产品销售规模。若同一客户把旧型号升级为新型号，收入提高可能伴随研发、验证和产线改造支出。三年情景应看产品组合能否持续提高经济性，不能简单把每次发布当成新增利润池。反证是新产品采用增加而动力整体毛利、回款或质量指标长期恶化。</w:t>
      </w:r>
    </w:p>
    <w:p>
      <w:pPr>
        <w:pStyle w:val="Heading2"/>
        <w:rPr/>
      </w:pPr>
      <w:r>
        <w:rPr>
          <w:color w:val="000000"/>
        </w:rPr>
        <w:t>六 钠电与其他化学体系属于分阶段机会</w:t>
      </w:r>
    </w:p>
    <w:p>
      <w:pPr>
        <w:pStyle w:val="Normal"/>
        <w:rPr/>
      </w:pPr>
      <w:r>
        <w:rPr/>
        <w:t>钠离子电池可能在成本、低温和资源可得性方面提供不同组合，适用场景取决于能量密度、循环、制造成熟度和系统成本。中报披露与海博思创签署三年</w:t>
      </w:r>
      <w:r>
        <w:rPr/>
        <w:t>60GWh</w:t>
      </w:r>
      <w:r>
        <w:rPr/>
        <w:t>钠电储能战略合作协议。战略协议具有合作信号，但未经核验的交货义务、价格与取消条款不能当作已锁收入。本文把其作为需要跟踪的产业化线索，不把</w:t>
      </w:r>
      <w:r>
        <w:rPr/>
        <w:t>60GWh</w:t>
      </w:r>
      <w:r>
        <w:rPr/>
        <w:t>全量提前乘价格计入年底盈利。</w:t>
      </w:r>
    </w:p>
    <w:p>
      <w:pPr>
        <w:pStyle w:val="Normal"/>
        <w:rPr/>
      </w:pPr>
      <w:r>
        <w:rPr/>
        <w:t>凝聚态、固态与其他路线都存在技术商业化距离。实验参数、样品、客户验证、小规模生产和稳定大规模盈利是不同阶段。公司有能力同时投入多条路线，可以减少押错单一技术的风险，也意味着研发预算长期难以归零。研究基准保持经常研发成本，不因技术发布就提高估值并降低费用；如果新路线需要多年新增资本、旧产线需要减值，应同步调整现金与利润模型。</w:t>
      </w:r>
    </w:p>
    <w:p>
      <w:pPr>
        <w:pStyle w:val="Normal"/>
        <w:rPr/>
      </w:pPr>
      <w:r>
        <w:rPr/>
        <w:t>化学体系竞争不必产生单一赢家。低成本储能、高比能车辆、寒区运输和特殊航空可能选择不同方案，公司宽产品矩阵有机会覆盖更多需求，但市场广并不代表每条线都赚钱。十年判断应看资源能否集中在真正适合的应用，研发结果能否重复制造以及客户是否愿承担成本。若管理层以大量投入维护所有路线而缺乏退出纪律，技术多样性可能转化为资本效率下降。</w:t>
      </w:r>
    </w:p>
    <w:p>
      <w:pPr>
        <w:pStyle w:val="Heading2"/>
        <w:rPr/>
      </w:pPr>
      <w:r>
        <w:rPr>
          <w:color w:val="000000"/>
        </w:rPr>
        <w:t>七 材料回收与矿产不能按稳定消费业务估值</w:t>
      </w:r>
    </w:p>
    <w:p>
      <w:pPr>
        <w:pStyle w:val="Normal"/>
        <w:rPr/>
      </w:pPr>
      <w:r>
        <w:rPr/>
        <w:t>上半年材料、回收与矿产合计收入</w:t>
      </w:r>
      <w:r>
        <w:rPr/>
        <w:t>188.11</w:t>
      </w:r>
      <w:r>
        <w:rPr/>
        <w:t>亿元，同比增长</w:t>
      </w:r>
      <w:r>
        <w:rPr/>
        <w:t>67.23%</w:t>
      </w:r>
      <w:r>
        <w:rPr/>
        <w:t>，毛利率</w:t>
      </w:r>
      <w:r>
        <w:rPr/>
        <w:t>27.04%</w:t>
      </w:r>
      <w:r>
        <w:rPr/>
        <w:t>，增加</w:t>
      </w:r>
      <w:r>
        <w:rPr/>
        <w:t>5.81</w:t>
      </w:r>
      <w:r>
        <w:rPr/>
        <w:t>个百分点。它们与动力和储能有关联，却仍受资源价格、回收量、冶炼效率与投资权益影响。</w:t>
      </w:r>
      <w:r>
        <w:rPr/>
        <w:t>2025</w:t>
      </w:r>
      <w:r>
        <w:rPr/>
        <w:t>年报把材料回收与矿产分列，本研究为了预测透明在经营桥归并，保留原披露行避免混淆。高增长期的资源盈利不能自动使用与终端技术服务相同的长期倍数。</w:t>
      </w:r>
    </w:p>
    <w:p>
      <w:pPr>
        <w:pStyle w:val="Normal"/>
        <w:rPr/>
      </w:pPr>
      <w:r>
        <w:rPr/>
        <w:t>回收可以补充资源供给、降低部分采购风险并改善循环经济能力，但废旧电池收集、运输、拆解、安全和环保合规均有成本。可回收材料数量与实际经济利润不成固定比例，资源价格下跌时回收价值可能下降，回收体系建设也可能先占用现金。年报披露回收量增长属于业务基础，不能直接证明每吨净利增长。长期模型只给予有限正常利润贡献，未另外添加全部回收市场想象空间。</w:t>
      </w:r>
    </w:p>
    <w:p>
      <w:pPr>
        <w:pStyle w:val="Normal"/>
        <w:rPr/>
      </w:pPr>
      <w:r>
        <w:rPr/>
        <w:t>矿产布局带来供应安全，也使公司承担采矿许可、资源价格、环境、合作与资本支出风险。上半年联营投资收益较大，其中重要权益资产受有色资源周期影响。已经计入集团利润的联营收益与所持资产市值不能重复相加。若采用集团市盈率，必须正常化收益；若改用分部价值，应扣除重复利润并处理税、少数权益和流动性。本文采用前一种，明确不再额外加全部矿股市值。</w:t>
      </w:r>
    </w:p>
    <w:p>
      <w:pPr>
        <w:pStyle w:val="Heading2"/>
        <w:rPr/>
      </w:pPr>
      <w:r>
        <w:rPr>
          <w:color w:val="000000"/>
        </w:rPr>
        <w:t>八 海外本地化既是增长来源也是成本考验</w:t>
      </w:r>
    </w:p>
    <w:p>
      <w:pPr>
        <w:pStyle w:val="Normal"/>
        <w:rPr/>
      </w:pPr>
      <w:r>
        <w:rPr/>
        <w:t>上半年海外收入</w:t>
      </w:r>
      <w:r>
        <w:rPr/>
        <w:t>871.29</w:t>
      </w:r>
      <w:r>
        <w:rPr/>
        <w:t>亿元，占</w:t>
      </w:r>
      <w:r>
        <w:rPr/>
        <w:t>31.46%</w:t>
      </w:r>
      <w:r>
        <w:rPr/>
        <w:t>，同比增加</w:t>
      </w:r>
      <w:r>
        <w:rPr/>
        <w:t>42.35%</w:t>
      </w:r>
      <w:r>
        <w:rPr/>
        <w:t>；海外毛利率</w:t>
      </w:r>
      <w:r>
        <w:rPr/>
        <w:t>29.97%</w:t>
      </w:r>
      <w:r>
        <w:rPr/>
        <w:t>，高于境内</w:t>
      </w:r>
      <w:r>
        <w:rPr/>
        <w:t>21.16%</w:t>
      </w:r>
      <w:r>
        <w:rPr/>
        <w:t>。这支持海外产品结构与客户价值可能更好，但不能保证未来所有海外工厂复制当前销售毛利。报告所示境外销售主要为电池系统，仍可能包含不同供货和系统收入。新工厂启动时的人工、设备、能源、折旧及当地采购条件可能改变成本结构，需要按项目成熟度分析。</w:t>
      </w:r>
    </w:p>
    <w:p>
      <w:pPr>
        <w:pStyle w:val="Normal"/>
        <w:rPr/>
      </w:pPr>
      <w:r>
        <w:rPr/>
        <w:t>匈牙利、印尼和西班牙合资等项目在中报中仍以持续建设推进表述。研究不把建设进度自动当作满产利润，也不声称截止日所有基地已按规划产能运行。本地化能够更接近客户，满足供应链要求，减少部分运输与政策摩擦；相应付出是建设期资金、爬坡低效率、地方许可和治理协调。基准利润率包含正常折旧，悲观则考虑部分海外产能低利用与成本不能及时转嫁。</w:t>
      </w:r>
    </w:p>
    <w:p>
      <w:pPr>
        <w:pStyle w:val="Normal"/>
        <w:rPr/>
      </w:pPr>
      <w:r>
        <w:rPr/>
        <w:t>海外客户多样化有助于降低单一区域需求风险，但政策与汇率可能形成共同冲击。中国企业的技术许可、股权结构、数据要求和原产地待遇会随市场而异，没有一套假设可以覆盖所有国家。本文不填造未来关税税率和许可结果，而以收入、利润率、资本成本和摊薄作敏感性。反证包括新项目持续延误、成本超预算、客户本地替代加快或盈利需要长期依赖补贴。</w:t>
      </w:r>
    </w:p>
    <w:p>
      <w:pPr>
        <w:pStyle w:val="Heading2"/>
        <w:rPr/>
      </w:pPr>
      <w:r>
        <w:rPr>
          <w:color w:val="000000"/>
        </w:rPr>
        <w:t>九 授权合作与自建产能的回报结构不同</w:t>
      </w:r>
    </w:p>
    <w:p>
      <w:pPr>
        <w:pStyle w:val="Normal"/>
        <w:rPr/>
      </w:pPr>
      <w:r>
        <w:rPr/>
        <w:t>技术授权或合作有可能以较少实体资本触达受限制市场，但收益取决于合同费率、技术服务责任、当地制造质量和政策允许。项目宣布不等于许可条件已永久解决，更不等于所有未来销售归宁德股东。没有取得截止日完整合同条款的项目，本文不设确定授权收入。对于合作模式，应该跟踪可收款的技术收入、费用承担和持续服务成本，而不是只关注项目总投资或当地整车产量。</w:t>
      </w:r>
    </w:p>
    <w:p>
      <w:pPr>
        <w:pStyle w:val="Normal"/>
        <w:rPr/>
      </w:pPr>
      <w:r>
        <w:rPr/>
        <w:t>自建工厂拥有更多经营控制，也承担较多建设、库存与客户波动风险；合资则分担资本并分享利润，治理权和责任边界更复杂。集团财表收入可能全额并表，但部分利润属于少数股东，这正是模型另设归母份额的原因。把集团净利全部除总股数会高估普通股东收益。研究不同年份设</w:t>
      </w:r>
      <w:r>
        <w:rPr/>
        <w:t>0.90</w:t>
      </w:r>
      <w:r>
        <w:rPr/>
        <w:t>至</w:t>
      </w:r>
      <w:r>
        <w:rPr/>
        <w:t>0.96</w:t>
      </w:r>
      <w:r>
        <w:rPr/>
        <w:t>的归属范围，是情景假设，不能当公司未来股权重组指引。</w:t>
      </w:r>
    </w:p>
    <w:p>
      <w:pPr>
        <w:pStyle w:val="Normal"/>
        <w:rPr/>
      </w:pPr>
      <w:r>
        <w:rPr/>
        <w:t>投资者应比较每种模式的现金回收和风险，而不是假定授权天然优于制造。授权若费率很低、收款延迟或知识产权保护不足，经济性未必更好；自建若客户需求扎实并达到高利用率，回报也可能合格。三至五年的估值应由资本回报证明商业模式质量。若公司扩张项目很多而归母现金和每股收益停滞，合作新闻的数量就不能继续支撑高分。</w:t>
      </w:r>
    </w:p>
    <w:p>
      <w:pPr>
        <w:pStyle w:val="Heading2"/>
        <w:rPr/>
      </w:pPr>
      <w:r>
        <w:rPr>
          <w:color w:val="000000"/>
        </w:rPr>
        <w:t>十 产能与利用率需要按报告期间解释</w:t>
      </w:r>
    </w:p>
    <w:p>
      <w:pPr>
        <w:pStyle w:val="Normal"/>
        <w:rPr/>
      </w:pPr>
      <w:r>
        <w:rPr/>
        <w:t>半年报电池系统表列产能</w:t>
      </w:r>
      <w:r>
        <w:rPr/>
        <w:t>525GWh</w:t>
      </w:r>
      <w:r>
        <w:rPr/>
        <w:t>、在建</w:t>
      </w:r>
      <w:r>
        <w:rPr/>
        <w:t>764GWh</w:t>
      </w:r>
      <w:r>
        <w:rPr/>
        <w:t>、利用率</w:t>
      </w:r>
      <w:r>
        <w:rPr/>
        <w:t>94.86%</w:t>
      </w:r>
      <w:r>
        <w:rPr/>
        <w:t>、产量</w:t>
      </w:r>
      <w:r>
        <w:rPr/>
        <w:t>498GWh</w:t>
      </w:r>
      <w:r>
        <w:rPr/>
        <w:t>；年报</w:t>
      </w:r>
      <w:r>
        <w:rPr/>
        <w:t>2025</w:t>
      </w:r>
      <w:r>
        <w:rPr/>
        <w:t>年则为产能</w:t>
      </w:r>
      <w:r>
        <w:rPr/>
        <w:t>772GWh</w:t>
      </w:r>
      <w:r>
        <w:rPr/>
        <w:t>、在建</w:t>
      </w:r>
      <w:r>
        <w:rPr/>
        <w:t>321GWh</w:t>
      </w:r>
      <w:r>
        <w:rPr/>
        <w:t>、利用率</w:t>
      </w:r>
      <w:r>
        <w:rPr/>
        <w:t>96.9%</w:t>
      </w:r>
      <w:r>
        <w:rPr/>
        <w:t>、产量</w:t>
      </w:r>
      <w:r>
        <w:rPr/>
        <w:t>748GWh</w:t>
      </w:r>
      <w:r>
        <w:rPr/>
        <w:t>。上半年与全年期间不同，不能据</w:t>
      </w:r>
      <w:r>
        <w:rPr/>
        <w:t>525</w:t>
      </w:r>
      <w:r>
        <w:rPr/>
        <w:t>小于</w:t>
      </w:r>
      <w:r>
        <w:rPr/>
        <w:t>772</w:t>
      </w:r>
      <w:r>
        <w:rPr/>
        <w:t>推定公司产能骤减。报告表列产能与产量关系相符，但在建是另一维度，不能不看投产时间就全部加入下一年的有效供应。这一口径差异会影响扩张判断和单位资本效率。</w:t>
      </w:r>
    </w:p>
    <w:p>
      <w:pPr>
        <w:pStyle w:val="Normal"/>
        <w:rPr/>
      </w:pPr>
      <w:r>
        <w:rPr/>
        <w:t>较高利用率说明当前有效产能被充分使用，有助于固定成本分摊，支持公司相对经营优势。然而高利用率可能随新产能投放、需求变化和产品转换下降，也不能证明所有厂区同样高效。</w:t>
      </w:r>
      <w:r>
        <w:rPr/>
        <w:t>498GWh</w:t>
      </w:r>
      <w:r>
        <w:rPr/>
        <w:t>为产量，未披露分产品销量明细时不能当作已验收销售。生产、库存、交付、客户装车与现金回收按不同时间推进，必须把数量指标与库存和回款一起读，避免只看产线繁忙。</w:t>
      </w:r>
    </w:p>
    <w:p>
      <w:pPr>
        <w:pStyle w:val="Normal"/>
        <w:rPr/>
      </w:pPr>
      <w:r>
        <w:rPr/>
        <w:t>在建规模明显增加既可能服务未来需求，也可能形成折旧压力。新工厂的有效产能取决于调试、认证、良率、班次和产品组合，资本支出先于盈利。基准允许长期规模扩大但保留正常制造费用，悲观假设需求增长慢且利用率下降，乐观则需要客户需求和产能爬坡同时兑现。若公司新增资产持续增加、利用率下降且单位毛利走弱，就应该降低长期增长质量分。</w:t>
      </w:r>
    </w:p>
    <w:p>
      <w:pPr>
        <w:pStyle w:val="Heading2"/>
        <w:rPr/>
      </w:pPr>
      <w:r>
        <w:rPr>
          <w:color w:val="000000"/>
        </w:rPr>
        <w:t>十一 行业产能纪律是可能的改善因素</w:t>
      </w:r>
    </w:p>
    <w:p>
      <w:pPr>
        <w:pStyle w:val="Normal"/>
        <w:rPr/>
      </w:pPr>
      <w:r>
        <w:rPr/>
        <w:t>公开大摩新闻讨论电池行业反过度竞争与新增产能审查，将宁德约</w:t>
      </w:r>
      <w:r>
        <w:rPr/>
        <w:t>95%</w:t>
      </w:r>
      <w:r>
        <w:rPr/>
        <w:t>利用率与较低行业水平比较。本文没有取得对应监管原始文件及完整执行范围，因此只把政策作为待核条件，不宣称所有新增项目已全国永久冻结。行政表态、行业自律与实际审批可能有差异，地方支持、海外扩张和既有在建项目也可能使总供给继续增加。投资判断不能仅由政策标题完成。</w:t>
      </w:r>
    </w:p>
    <w:p>
      <w:pPr>
        <w:pStyle w:val="Normal"/>
        <w:rPr/>
      </w:pPr>
      <w:r>
        <w:rPr/>
        <w:t>若产能纪律执行一致，较高利用率企业可能更容易维持扩张和成本优势，低效供给退出可能改善竞争环境。但行业盈利也取决于终端需求和客户议价，限制新产能不保证采购价自动上涨。技术变化还可能让旧产能不适合新产品，名义供给充足与有效优质供给紧张可以同时存在。因此本文在基准中给予需求与制造优势一定分数，未假定价格纪律消除所有利润率压力。</w:t>
      </w:r>
    </w:p>
    <w:p>
      <w:pPr>
        <w:pStyle w:val="Normal"/>
        <w:rPr/>
      </w:pPr>
      <w:r>
        <w:rPr/>
        <w:t>政策也可能约束领先企业。项目审批趋严可能延后公司建设，环保与能耗要求可能增加投入，客户对供应稳定的要求却不会降低。进取型投资要评估政策对具体经营桥哪一项产生影响：收入、正常利润率、资本开支还是税率。若只是市场情绪短暂提高估值而后续经营无改善，短期上涨可能难以维持。反证是行业并未出现有效退出、价格竞争持续，或公司新增产能长期无法获得需求。</w:t>
      </w:r>
    </w:p>
    <w:p>
      <w:pPr>
        <w:pStyle w:val="Heading2"/>
        <w:rPr/>
      </w:pPr>
      <w:r>
        <w:rPr>
          <w:color w:val="000000"/>
        </w:rPr>
        <w:t>十二 经济和电力投资周期如何传导</w:t>
      </w:r>
    </w:p>
    <w:p>
      <w:pPr>
        <w:pStyle w:val="Normal"/>
        <w:rPr/>
      </w:pPr>
      <w:r>
        <w:rPr/>
        <w:t>宏观经济影响宁德主要通过汽车消费、企业资本开支、项目融资和原料周期传导。收入增长能够在需求较好时受益，但公司不直接控制消费者信用、车辆补贴和电力项目审批。经济放缓时，客户可能推迟采购、压价并延长付款；经济改善时，库存重建与扩张会带来阶段弹性。研究把这些机制纳入不同收入和利润率情景，而不以一个</w:t>
      </w:r>
      <w:r>
        <w:rPr/>
        <w:t>GDP</w:t>
      </w:r>
      <w:r>
        <w:rPr/>
        <w:t>预测直接决定所有期限目标价。</w:t>
      </w:r>
    </w:p>
    <w:p>
      <w:pPr>
        <w:pStyle w:val="Normal"/>
        <w:rPr/>
      </w:pPr>
      <w:r>
        <w:rPr/>
        <w:t>储能与新能源投资往往需要长期融资，利率下降能够改善项目现值，但若收益规则和利用率不确定，较低利率也未必推动项目落地。相反，融资成本上升会提高最低回报要求，使部分边际项目退出。对公司而言，客户融资压力可能延长验收与收款，海外建设融资也会受影响。长期推荐需检查需求是否具有明确经济用途，并能产生真实付款，而不是全部来自短期补贴或融资便利。</w:t>
      </w:r>
    </w:p>
    <w:p>
      <w:pPr>
        <w:pStyle w:val="Normal"/>
        <w:rPr/>
      </w:pPr>
      <w:r>
        <w:rPr/>
        <w:t>数据中心供电属于新应用，公司中报介绍覆盖发电、配电及机房等场景的方案，提供了潜在需求方向。但数据中心资本开支规模与宁德可获得收入不是相同概念，电力设备、系统集成与电芯价值需要分配。本文不把全部人工智能投资套成公司市场空间，也不额外给一个未经合同核验的</w:t>
      </w:r>
      <w:r>
        <w:rPr/>
        <w:t>AI</w:t>
      </w:r>
      <w:r>
        <w:rPr/>
        <w:t>溢价。若具体订单、现金和正常利润出现，未来可调整其他业务桥，现阶段保留审慎贡献。</w:t>
      </w:r>
    </w:p>
    <w:p>
      <w:pPr>
        <w:pStyle w:val="Heading2"/>
        <w:rPr/>
      </w:pPr>
      <w:r>
        <w:rPr>
          <w:color w:val="000000"/>
        </w:rPr>
        <w:t>十三 历史增长显示优势也包含周期变化</w:t>
      </w:r>
    </w:p>
    <w:p>
      <w:pPr>
        <w:pStyle w:val="Normal"/>
        <w:rPr/>
      </w:pPr>
      <w:r>
        <w:rPr/>
        <w:t>2023</w:t>
      </w:r>
      <w:r>
        <w:rPr/>
        <w:t>、</w:t>
      </w:r>
      <w:r>
        <w:rPr/>
        <w:t>2024</w:t>
      </w:r>
      <w:r>
        <w:rPr/>
        <w:t>、</w:t>
      </w:r>
      <w:r>
        <w:rPr/>
        <w:t>2025</w:t>
      </w:r>
      <w:r>
        <w:rPr/>
        <w:t>年收入分别</w:t>
      </w:r>
      <w:r>
        <w:rPr/>
        <w:t>4009.17</w:t>
      </w:r>
      <w:r>
        <w:rPr/>
        <w:t>、</w:t>
      </w:r>
      <w:r>
        <w:rPr/>
        <w:t>3620.13</w:t>
      </w:r>
      <w:r>
        <w:rPr/>
        <w:t>、</w:t>
      </w:r>
      <w:r>
        <w:rPr/>
        <w:t>4237.02</w:t>
      </w:r>
      <w:r>
        <w:rPr/>
        <w:t>亿元，</w:t>
      </w:r>
      <w:r>
        <w:rPr/>
        <w:t>2024</w:t>
      </w:r>
      <w:r>
        <w:rPr/>
        <w:t>收入下降而归母利润仍增长，说明销售额受价格和结构影响，利润不能仅由收入增速解释。三年归母利润</w:t>
      </w:r>
      <w:r>
        <w:rPr/>
        <w:t>441.21</w:t>
      </w:r>
      <w:r>
        <w:rPr/>
        <w:t>、</w:t>
      </w:r>
      <w:r>
        <w:rPr/>
        <w:t>507.45</w:t>
      </w:r>
      <w:r>
        <w:rPr/>
        <w:t>、</w:t>
      </w:r>
      <w:r>
        <w:rPr/>
        <w:t>722.01</w:t>
      </w:r>
      <w:r>
        <w:rPr/>
        <w:t>亿元，持续增加，是较强经营基础。但</w:t>
      </w:r>
      <w:r>
        <w:rPr/>
        <w:t>2025</w:t>
      </w:r>
      <w:r>
        <w:rPr/>
        <w:t>增长</w:t>
      </w:r>
      <w:r>
        <w:rPr/>
        <w:t>42.28%</w:t>
      </w:r>
      <w:r>
        <w:rPr/>
        <w:t>不能自动成为未来常态，公司规模扩大后需要更多绝对利润才能保持同样增速，竞争与资本需求也会同步变化。</w:t>
      </w:r>
    </w:p>
    <w:p>
      <w:pPr>
        <w:pStyle w:val="Normal"/>
        <w:rPr/>
      </w:pPr>
      <w:r>
        <w:rPr/>
        <w:t>2025</w:t>
      </w:r>
      <w:r>
        <w:rPr/>
        <w:t>年扣非归母</w:t>
      </w:r>
      <w:r>
        <w:rPr/>
        <w:t>645.08</w:t>
      </w:r>
      <w:r>
        <w:rPr/>
        <w:t>亿元，低于法定归母</w:t>
      </w:r>
      <w:r>
        <w:rPr/>
        <w:t>722.01</w:t>
      </w:r>
      <w:r>
        <w:rPr/>
        <w:t>亿元。这个差额提醒集团盈利包含非经常贡献，历史每股收益</w:t>
      </w:r>
      <w:r>
        <w:rPr/>
        <w:t>16.14</w:t>
      </w:r>
      <w:r>
        <w:rPr/>
        <w:t>元是清楚的起点，却不能全部当作无限重复的正常盈利。研究使用分部正常利润率、有限金融联营和税后归属重建未来收益，而不是直接对历史</w:t>
      </w:r>
      <w:r>
        <w:rPr/>
        <w:t>EPS</w:t>
      </w:r>
      <w:r>
        <w:rPr/>
        <w:t>施加固定增长率。不同口径都有价值，关键是保证比较期一致，不能挑选最有利数值构成所谓确定成长。</w:t>
      </w:r>
    </w:p>
    <w:p>
      <w:pPr>
        <w:pStyle w:val="Normal"/>
        <w:rPr/>
      </w:pPr>
      <w:r>
        <w:rPr/>
        <w:t>今年上半年收入增长</w:t>
      </w:r>
      <w:r>
        <w:rPr/>
        <w:t>54.80%</w:t>
      </w:r>
      <w:r>
        <w:rPr/>
        <w:t>、归母增长</w:t>
      </w:r>
      <w:r>
        <w:rPr/>
        <w:t>41.98%</w:t>
      </w:r>
      <w:r>
        <w:rPr/>
        <w:t>、扣非增长</w:t>
      </w:r>
      <w:r>
        <w:rPr/>
        <w:t>43.44%</w:t>
      </w:r>
      <w:r>
        <w:rPr/>
        <w:t>，说明扣非成长与法定利润成长大体同方向。然而毛利率降低、现金增速较慢和营运资金变化需要联合解释。公司没有在报告中宣布经营构成重大改变，这不代表每项增长因素都能持续。应跟踪下半年价格、结构、收入确认与现金，若增长越来越依赖应收或一次性收益，研究需要降低盈利质量而非保持原假设。</w:t>
      </w:r>
    </w:p>
    <w:p>
      <w:pPr>
        <w:pStyle w:val="Heading2"/>
        <w:rPr/>
      </w:pPr>
      <w:r>
        <w:rPr>
          <w:color w:val="000000"/>
        </w:rPr>
        <w:t>十四 正常经营利润如何从财表重建</w:t>
      </w:r>
    </w:p>
    <w:p>
      <w:pPr>
        <w:pStyle w:val="Normal"/>
        <w:rPr/>
      </w:pPr>
      <w:r>
        <w:rPr/>
        <w:t>上半年收入</w:t>
      </w:r>
      <w:r>
        <w:rPr/>
        <w:t>2769.17</w:t>
      </w:r>
      <w:r>
        <w:rPr/>
        <w:t>亿元，营业成本</w:t>
      </w:r>
      <w:r>
        <w:rPr/>
        <w:t>2106.55</w:t>
      </w:r>
      <w:r>
        <w:rPr/>
        <w:t>亿元，税金附加</w:t>
      </w:r>
      <w:r>
        <w:rPr/>
        <w:t>13.25</w:t>
      </w:r>
      <w:r>
        <w:rPr/>
        <w:t>亿元，销售</w:t>
      </w:r>
      <w:r>
        <w:rPr/>
        <w:t>21.64</w:t>
      </w:r>
      <w:r>
        <w:rPr/>
        <w:t>亿元、管理</w:t>
      </w:r>
      <w:r>
        <w:rPr/>
        <w:t>60.20</w:t>
      </w:r>
      <w:r>
        <w:rPr/>
        <w:t>亿元、研发</w:t>
      </w:r>
      <w:r>
        <w:rPr/>
        <w:t>113.77</w:t>
      </w:r>
      <w:r>
        <w:rPr/>
        <w:t>亿元。逐项相减得到约</w:t>
      </w:r>
      <w:r>
        <w:rPr/>
        <w:t>453.77</w:t>
      </w:r>
      <w:r>
        <w:rPr/>
        <w:t>亿元经营利润代理、占收入</w:t>
      </w:r>
      <w:r>
        <w:rPr/>
        <w:t>16.39%</w:t>
      </w:r>
      <w:r>
        <w:rPr/>
        <w:t>。这个计算不等同公司官方调整</w:t>
      </w:r>
      <w:r>
        <w:rPr/>
        <w:t>EBIT</w:t>
      </w:r>
      <w:r>
        <w:rPr/>
        <w:t>，尚未计入其他收益、金融、投资、公允价值及减值等项目。它的用途是展示制造经营基础，避免把各类财表收益未经区分都外推为产品利润。</w:t>
      </w:r>
    </w:p>
    <w:p>
      <w:pPr>
        <w:pStyle w:val="Normal"/>
        <w:rPr/>
      </w:pPr>
      <w:r>
        <w:rPr/>
        <w:t>上半年其他收益</w:t>
      </w:r>
      <w:r>
        <w:rPr/>
        <w:t>45.90</w:t>
      </w:r>
      <w:r>
        <w:rPr/>
        <w:t>亿元、投资收益</w:t>
      </w:r>
      <w:r>
        <w:rPr/>
        <w:t>61.53</w:t>
      </w:r>
      <w:r>
        <w:rPr/>
        <w:t>亿元、其中联营</w:t>
      </w:r>
      <w:r>
        <w:rPr/>
        <w:t>57.22</w:t>
      </w:r>
      <w:r>
        <w:rPr/>
        <w:t>亿元，公允价值收益</w:t>
      </w:r>
      <w:r>
        <w:rPr/>
        <w:t>12.41</w:t>
      </w:r>
      <w:r>
        <w:rPr/>
        <w:t>亿元。部分项目有可能经常出现，但金额和周期不能假定稳定。财务费用为负</w:t>
      </w:r>
      <w:r>
        <w:rPr/>
        <w:t>6.31</w:t>
      </w:r>
      <w:r>
        <w:rPr/>
        <w:t>亿元，较去年负</w:t>
      </w:r>
      <w:r>
        <w:rPr/>
        <w:t>58.22</w:t>
      </w:r>
      <w:r>
        <w:rPr/>
        <w:t>亿元显著收窄，报告解释与汇兑损失有关。这说明即使收入与制造利润增长，金融及汇率贡献也可能产生抵消。模型只保留有限正常净金融联营，不把当期公允变化全部长期化。</w:t>
      </w:r>
    </w:p>
    <w:p>
      <w:pPr>
        <w:pStyle w:val="Normal"/>
        <w:rPr/>
      </w:pPr>
      <w:r>
        <w:rPr/>
        <w:t>未来经营桥的正常</w:t>
      </w:r>
      <w:r>
        <w:rPr/>
        <w:t>EBIT</w:t>
      </w:r>
      <w:r>
        <w:rPr/>
        <w:t>率包含常态研发、折旧、管理、销售、股份支付、信用和售后经济成本，与上述机械代理存在范围差异。明确这一点才能避免代理偏高又再加补贴的重复乐观。模型税率</w:t>
      </w:r>
      <w:r>
        <w:rPr/>
        <w:t>16%</w:t>
      </w:r>
      <w:r>
        <w:rPr/>
        <w:t>与归母份额均是研究假设，实际税率、海外业务与少数利润可能改变。若财表扣非利润与模型正常利润长期偏离，应回到具体项目解释，不能用“正常化”无限排除真实经常成本。</w:t>
      </w:r>
    </w:p>
    <w:p>
      <w:pPr>
        <w:pStyle w:val="Heading2"/>
        <w:rPr/>
      </w:pPr>
      <w:r>
        <w:rPr>
          <w:color w:val="000000"/>
        </w:rPr>
        <w:t>十五 研发费用与技术回报必须一起衡量</w:t>
      </w:r>
    </w:p>
    <w:p>
      <w:pPr>
        <w:pStyle w:val="Normal"/>
        <w:rPr/>
      </w:pPr>
      <w:r>
        <w:rPr/>
        <w:t>半年研发</w:t>
      </w:r>
      <w:r>
        <w:rPr/>
        <w:t>113.77</w:t>
      </w:r>
      <w:r>
        <w:rPr/>
        <w:t>亿元，同比增长</w:t>
      </w:r>
      <w:r>
        <w:rPr/>
        <w:t>12.70%</w:t>
      </w:r>
      <w:r>
        <w:rPr/>
        <w:t>，财报研发附注显示全部费用化，未显示资本化研发。年报</w:t>
      </w:r>
      <w:r>
        <w:rPr/>
        <w:t>2025</w:t>
      </w:r>
      <w:r>
        <w:rPr/>
        <w:t>研发</w:t>
      </w:r>
      <w:r>
        <w:rPr/>
        <w:t>221.47</w:t>
      </w:r>
      <w:r>
        <w:rPr/>
        <w:t>亿元，占收入</w:t>
      </w:r>
      <w:r>
        <w:rPr/>
        <w:t>5.23%</w:t>
      </w:r>
      <w:r>
        <w:rPr/>
        <w:t>。全部费用化使当期利润承担研发成本，有助于避免利润被研发资本化抬高，但并不证明每一项投入都有效。公司规模与多路线布局要求持续研究，因此长期模型保持研发经济成本，未在乐观情景中把技术领先和研发大幅消失同时设为条件。</w:t>
      </w:r>
    </w:p>
    <w:p>
      <w:pPr>
        <w:pStyle w:val="Normal"/>
        <w:rPr/>
      </w:pPr>
      <w:r>
        <w:rPr/>
        <w:t>研发回报应观察性能改善是否带来客户采用、成本优势、制造可靠性与现金收益。专利总量可以说明积累，却不能等同于可变现利润，专利质量与实际应用差异很大。研发较快增长时，如果新产品毛利和客户需求明确，投入可能合理；若持续增加而商业转化缓慢，股东现金会受影响。公开资料无法逐项目测算回报，本文因此使用集团正常率和反证条件，避免假精确的单专利价值。</w:t>
      </w:r>
    </w:p>
    <w:p>
      <w:pPr>
        <w:pStyle w:val="Normal"/>
        <w:rPr/>
      </w:pPr>
      <w:r>
        <w:rPr/>
        <w:t>研发支出还涉及人才、试验材料、设备和共同开发，现金发生与费用确认可能不完全相同。费用化研发不会消除相关固定资产采购和未来折旧，也不能把研发费用简单视为可随时削减的分红资源。若竞争迫使公司提高性能而客户不愿付溢价，更多研发可能只是维持份额。推荐应以单位经济性改善为证，不能因为预算大就自动高分，也不能因费用增加立即认定管理失败。</w:t>
      </w:r>
    </w:p>
    <w:p>
      <w:pPr>
        <w:pStyle w:val="Heading2"/>
        <w:rPr/>
      </w:pPr>
      <w:r>
        <w:rPr>
          <w:color w:val="000000"/>
        </w:rPr>
        <w:t>十六 现金流质量比利润增速更需要跟踪</w:t>
      </w:r>
    </w:p>
    <w:p>
      <w:pPr>
        <w:pStyle w:val="Normal"/>
        <w:rPr/>
      </w:pPr>
      <w:r>
        <w:rPr/>
        <w:t>上半年经营现金流</w:t>
      </w:r>
      <w:r>
        <w:rPr/>
        <w:t>602.17</w:t>
      </w:r>
      <w:r>
        <w:rPr/>
        <w:t>亿元，同比增长</w:t>
      </w:r>
      <w:r>
        <w:rPr/>
        <w:t>2.61%</w:t>
      </w:r>
      <w:r>
        <w:rPr/>
        <w:t>，明显低于收入与利润增速。它仍高于集团净利润</w:t>
      </w:r>
      <w:r>
        <w:rPr/>
        <w:t>470.31</w:t>
      </w:r>
      <w:r>
        <w:rPr/>
        <w:t>亿元，但不能仅因此称现金质量没有问题。现金流补充表显示库存使用</w:t>
      </w:r>
      <w:r>
        <w:rPr/>
        <w:t>378.59</w:t>
      </w:r>
      <w:r>
        <w:rPr/>
        <w:t>亿元、经营应收使用</w:t>
      </w:r>
      <w:r>
        <w:rPr/>
        <w:t>330.27</w:t>
      </w:r>
      <w:r>
        <w:rPr/>
        <w:t>亿元，经营应付贡献</w:t>
      </w:r>
      <w:r>
        <w:rPr/>
        <w:t>716.90</w:t>
      </w:r>
      <w:r>
        <w:rPr/>
        <w:t>亿元。正经营现金流依赖多项因素，特别是供应商账期变化，若未来应付无法继续增加，增长所需资金可能更直接消耗公司现金。</w:t>
      </w:r>
    </w:p>
    <w:p>
      <w:pPr>
        <w:pStyle w:val="Normal"/>
        <w:rPr/>
      </w:pPr>
      <w:r>
        <w:rPr/>
        <w:t>上半年现金购买固定无形及其他长期资产</w:t>
      </w:r>
      <w:r>
        <w:rPr/>
        <w:t>250.73</w:t>
      </w:r>
      <w:r>
        <w:rPr/>
        <w:t>亿元，经营现金流相减为</w:t>
      </w:r>
      <w:r>
        <w:rPr/>
        <w:t>351.44</w:t>
      </w:r>
      <w:r>
        <w:rPr/>
        <w:t>亿元研究代理。</w:t>
      </w:r>
      <w:r>
        <w:rPr/>
        <w:t>2025</w:t>
      </w:r>
      <w:r>
        <w:rPr/>
        <w:t>相同简式为</w:t>
      </w:r>
      <w:r>
        <w:rPr/>
        <w:t>908.75</w:t>
      </w:r>
      <w:r>
        <w:rPr/>
        <w:t>亿元，说明公司有较强现金生成基础。但这个代理未扣所有投资、并购、租赁、合作投入和分红，并不等于全部可分配现金。公司投资现金另有大额理财等流动项目，不能把购买理财全部叫经营资本开支，也不能把所有投资忽略后宣称现金永久自由。</w:t>
      </w:r>
    </w:p>
    <w:p>
      <w:pPr>
        <w:pStyle w:val="Normal"/>
        <w:rPr/>
      </w:pPr>
      <w:r>
        <w:rPr/>
        <w:t>高增长企业可能合理增加存货与应收，提前备料和客户规模扩大会占资，不能只凭余额增加认定虚假收入。关键是增长是否伴随回款、存货周转与减值受控，以及应付期限可持续。如果几个季度销售增长而现金缺口扩大、供应商承担更多融资、合同预收下降，长期模型应降低现金回报并考虑融资。本文把这列为推荐最重要反证之一，优先于短期股价波动解释。</w:t>
      </w:r>
    </w:p>
    <w:p>
      <w:pPr>
        <w:pStyle w:val="Heading2"/>
        <w:rPr/>
      </w:pPr>
      <w:r>
        <w:rPr>
          <w:color w:val="000000"/>
        </w:rPr>
        <w:t>十七 供应商融资改变现金风险的读法</w:t>
      </w:r>
    </w:p>
    <w:p>
      <w:pPr>
        <w:pStyle w:val="Normal"/>
        <w:rPr/>
      </w:pPr>
      <w:r>
        <w:rPr/>
        <w:t>中报单独披露供应商融资安排：融单</w:t>
      </w:r>
      <w:r>
        <w:rPr/>
        <w:t>203.91</w:t>
      </w:r>
      <w:r>
        <w:rPr/>
        <w:t>亿元、反向保理</w:t>
      </w:r>
      <w:r>
        <w:rPr/>
        <w:t>373.73</w:t>
      </w:r>
      <w:r>
        <w:rPr/>
        <w:t>亿元，合计</w:t>
      </w:r>
      <w:r>
        <w:rPr/>
        <w:t>577.64</w:t>
      </w:r>
      <w:r>
        <w:rPr/>
        <w:t>亿元，上年底</w:t>
      </w:r>
      <w:r>
        <w:rPr/>
        <w:t>372.23</w:t>
      </w:r>
      <w:r>
        <w:rPr/>
        <w:t>亿元。公司在电子债权凭证项下付款义务无条件且不可撤销，供应商可转让或融资。六月底相关应付中供应商已从融资提供方获得</w:t>
      </w:r>
      <w:r>
        <w:rPr/>
        <w:t>504.06</w:t>
      </w:r>
      <w:r>
        <w:rPr/>
        <w:t>亿元。它属于明确披露的付款结构，不能当成免费资本，也不能把供应商已收到款误认为公司自身付款义务消失。</w:t>
      </w:r>
    </w:p>
    <w:p>
      <w:pPr>
        <w:pStyle w:val="Normal"/>
        <w:rPr/>
      </w:pPr>
      <w:r>
        <w:rPr/>
        <w:t>这类安排使供应商较早获得现金，公司在付款日再划款，有利于供应链周转，也可能延长公司经营现金受益时间。风险是金融提供方、信用条件与账期发生变化后，公司资金需要提前或集中支付。会计列报为应付账款不能让研究忽略其融资性质；但把所有</w:t>
      </w:r>
      <w:r>
        <w:rPr/>
        <w:t>577.64</w:t>
      </w:r>
      <w:r>
        <w:rPr/>
        <w:t>亿元再次加到已列应付和借债也会重复计算。本文单列观察并保留在营运负债中，不无依据改写法定债务定义。</w:t>
      </w:r>
    </w:p>
    <w:p>
      <w:pPr>
        <w:pStyle w:val="Normal"/>
        <w:rPr/>
      </w:pPr>
      <w:r>
        <w:rPr/>
        <w:t>资本充足的龙头使用供应链融资未必危险，真正判断应看期限、规模、供应商依赖和现金缓冲。若安排规模随采购合理增长且经营收款稳定，可能是效率工具；若依赖不断延长账期支持增长，则自由现金能力可能被高估。后续应比较应付、融资安排和销售采购增速，而非只看现金余额。估值中的正常利润也需要考虑支付成本及供应商定价反应，不能将融资收益无限资本化。</w:t>
      </w:r>
    </w:p>
    <w:p>
      <w:pPr>
        <w:pStyle w:val="Heading2"/>
        <w:rPr/>
      </w:pPr>
      <w:r>
        <w:rPr>
          <w:color w:val="000000"/>
        </w:rPr>
        <w:t>十八 现金 借债与金融收益的边界</w:t>
      </w:r>
    </w:p>
    <w:p>
      <w:pPr>
        <w:pStyle w:val="Normal"/>
        <w:rPr/>
      </w:pPr>
      <w:r>
        <w:rPr/>
        <w:t>六月底货币资金</w:t>
      </w:r>
      <w:r>
        <w:rPr/>
        <w:t>3720.53</w:t>
      </w:r>
      <w:r>
        <w:rPr/>
        <w:t>亿元，而现金及现金等价物净额</w:t>
      </w:r>
      <w:r>
        <w:rPr/>
        <w:t>3405.86</w:t>
      </w:r>
      <w:r>
        <w:rPr/>
        <w:t>亿元，两者不能互换。现金附注列有使用受限保证金、质押定存和银行透支净额，其他流动金融资产也不等同于随时可支配现金。研究不将货币资金、现金等价物和理财全部相加，避免同一资源重复。大量现金为经营、建设、供应链与风险准备提供缓冲，但只有扣清偿债、限制和发展需求之后才可讨论资本返还。</w:t>
      </w:r>
    </w:p>
    <w:p>
      <w:pPr>
        <w:pStyle w:val="Normal"/>
        <w:rPr/>
      </w:pPr>
      <w:r>
        <w:rPr/>
        <w:t>短借</w:t>
      </w:r>
      <w:r>
        <w:rPr/>
        <w:t>208.86</w:t>
      </w:r>
      <w:r>
        <w:rPr/>
        <w:t>亿元、长借</w:t>
      </w:r>
      <w:r>
        <w:rPr/>
        <w:t>742.63</w:t>
      </w:r>
      <w:r>
        <w:rPr/>
        <w:t>亿元、非流动债券</w:t>
      </w:r>
      <w:r>
        <w:rPr/>
        <w:t>285.12</w:t>
      </w:r>
      <w:r>
        <w:rPr/>
        <w:t>亿元，另有一年内到期长借</w:t>
      </w:r>
      <w:r>
        <w:rPr/>
        <w:t>174.48</w:t>
      </w:r>
      <w:r>
        <w:rPr/>
        <w:t>亿元、债券</w:t>
      </w:r>
      <w:r>
        <w:rPr/>
        <w:t>39.13</w:t>
      </w:r>
      <w:r>
        <w:rPr/>
        <w:t>亿元；合计约</w:t>
      </w:r>
      <w:r>
        <w:rPr/>
        <w:t>1450.21</w:t>
      </w:r>
      <w:r>
        <w:rPr/>
        <w:t>亿元借债研究口径。租赁含当前项</w:t>
      </w:r>
      <w:r>
        <w:rPr/>
        <w:t>39.81</w:t>
      </w:r>
      <w:r>
        <w:rPr/>
        <w:t>亿元另列，长期应付款不是全部普通借债。现金等价物已扣</w:t>
      </w:r>
      <w:r>
        <w:rPr/>
        <w:t>62.10</w:t>
      </w:r>
      <w:r>
        <w:rPr/>
        <w:t>亿元透支；透支与短借分类对应未取得更细映射，本文净现金</w:t>
      </w:r>
      <w:r>
        <w:rPr/>
        <w:t>1955.65</w:t>
      </w:r>
      <w:r>
        <w:rPr/>
        <w:t>亿元为保守代理，不当作公司定义，也不再重复估值加项。</w:t>
      </w:r>
    </w:p>
    <w:p>
      <w:pPr>
        <w:pStyle w:val="Normal"/>
        <w:rPr/>
      </w:pPr>
      <w:r>
        <w:rPr/>
        <w:t>利息收入上半年</w:t>
      </w:r>
      <w:r>
        <w:rPr/>
        <w:t>48.87</w:t>
      </w:r>
      <w:r>
        <w:rPr/>
        <w:t>亿元、利息成本</w:t>
      </w:r>
      <w:r>
        <w:rPr/>
        <w:t>13.92</w:t>
      </w:r>
      <w:r>
        <w:rPr/>
        <w:t>亿元，说明金融资源确实贡献盈利，但财务费用还受汇率等因素影响。若在</w:t>
      </w:r>
      <w:r>
        <w:rPr/>
        <w:t>EPS</w:t>
      </w:r>
      <w:r>
        <w:rPr/>
        <w:t>中保留金融收益，又另把所有现金加到每股价值，就可能双算。本文采用有限正常金融联营贡献，现金更多用于风险评估与流动性观察。若改用企业价值方法，必须从经营利润剔金融项并重新处理债务、税和受限现金，不能只选两个方法各自最有利部分。</w:t>
      </w:r>
    </w:p>
    <w:p>
      <w:pPr>
        <w:pStyle w:val="Heading2"/>
        <w:rPr/>
      </w:pPr>
      <w:r>
        <w:rPr>
          <w:color w:val="000000"/>
        </w:rPr>
        <w:t>十九 质量保修与寿命责任影响长期利润</w:t>
      </w:r>
    </w:p>
    <w:p>
      <w:pPr>
        <w:pStyle w:val="Normal"/>
        <w:rPr/>
      </w:pPr>
      <w:r>
        <w:rPr/>
        <w:t>中报预计负债合计</w:t>
      </w:r>
      <w:r>
        <w:rPr/>
        <w:t>986.07</w:t>
      </w:r>
      <w:r>
        <w:rPr/>
        <w:t>亿元，较上年底</w:t>
      </w:r>
      <w:r>
        <w:rPr/>
        <w:t>853.24</w:t>
      </w:r>
      <w:r>
        <w:rPr/>
        <w:t>亿元增加；其中售后综合服务</w:t>
      </w:r>
      <w:r>
        <w:rPr/>
        <w:t>591.31</w:t>
      </w:r>
      <w:r>
        <w:rPr/>
        <w:t>亿元、销售返利</w:t>
      </w:r>
      <w:r>
        <w:rPr/>
        <w:t>393.28</w:t>
      </w:r>
      <w:r>
        <w:rPr/>
        <w:t>亿元、弃置及其他</w:t>
      </w:r>
      <w:r>
        <w:rPr/>
        <w:t>1.48</w:t>
      </w:r>
      <w:r>
        <w:rPr/>
        <w:t>亿元，不能将合计全称质量保修。附注解释公司对质保期内电池承担维修责任，按累计销量、单位维修成本和维修率估计。余额不代表当期已发生同等现金损失，也不代表全部产品存在缺陷，却显示销售后仍有成本与返利责任，研究不能只看制造毛利。</w:t>
      </w:r>
    </w:p>
    <w:p>
      <w:pPr>
        <w:pStyle w:val="Normal"/>
        <w:rPr/>
      </w:pPr>
      <w:r>
        <w:rPr/>
        <w:t>电池寿命和安全关系客户信任，较好质量有利于维护份额，但产品规模越大，低概率问题也可能产生重大绝对成本。新化学体系、快充或大容量系统带来不同工况，历史维修率未必完全适用。公开资料没有完整按代际维修数据，本研究不能给确定事故概率。基准正常利润率保留售后经济成本，悲观考虑成本上升；乐观并未假定保修责任消失，而需要规模和工程效率改善。</w:t>
      </w:r>
    </w:p>
    <w:p>
      <w:pPr>
        <w:pStyle w:val="Normal"/>
        <w:rPr/>
      </w:pPr>
      <w:r>
        <w:rPr/>
        <w:t>如果质量准备持续随存量产品增长，可能是合理匹配，但若增速显著超过供货、费用假设反复上调或客户大规模召回，应重新判断产品优势。还要分清准备计提和支付时点，利润受到准备影响，现金可能几年后才流出。长期股东回报应以全寿命盈利理解，不能用当前现金多就忽略服务义务。对高性能和海外项目，售后网络建设同样应纳入成本，而非只作为品牌宣传。</w:t>
      </w:r>
    </w:p>
    <w:p>
      <w:pPr>
        <w:pStyle w:val="Heading2"/>
        <w:rPr/>
      </w:pPr>
      <w:r>
        <w:rPr>
          <w:color w:val="000000"/>
        </w:rPr>
        <w:t>二十 股本 配售与资本返还应统一建模</w:t>
      </w:r>
    </w:p>
    <w:p>
      <w:pPr>
        <w:pStyle w:val="Normal"/>
        <w:rPr/>
      </w:pPr>
      <w:r>
        <w:rPr/>
        <w:t>公司</w:t>
      </w:r>
      <w:r>
        <w:rPr/>
        <w:t>2025</w:t>
      </w:r>
      <w:r>
        <w:rPr/>
        <w:t>年</w:t>
      </w:r>
      <w:r>
        <w:rPr/>
        <w:t>H</w:t>
      </w:r>
      <w:r>
        <w:rPr/>
        <w:t>股上市募集资金约</w:t>
      </w:r>
      <w:r>
        <w:rPr/>
        <w:t>410</w:t>
      </w:r>
      <w:r>
        <w:rPr/>
        <w:t>亿港元，年报称用于匈牙利项目、营运资金和一般用途；</w:t>
      </w:r>
      <w:r>
        <w:rPr/>
        <w:t>2026</w:t>
      </w:r>
      <w:r>
        <w:rPr/>
        <w:t>年</w:t>
      </w:r>
      <w:r>
        <w:rPr/>
        <w:t>4</w:t>
      </w:r>
      <w:r>
        <w:rPr/>
        <w:t>月</w:t>
      </w:r>
      <w:r>
        <w:rPr/>
        <w:t>30</w:t>
      </w:r>
      <w:r>
        <w:rPr/>
        <w:t>日又配售</w:t>
      </w:r>
      <w:r>
        <w:rPr/>
        <w:t>6238.5</w:t>
      </w:r>
      <w:r>
        <w:rPr/>
        <w:t>万</w:t>
      </w:r>
      <w:r>
        <w:rPr/>
        <w:t>H</w:t>
      </w:r>
      <w:r>
        <w:rPr/>
        <w:t>股，价格</w:t>
      </w:r>
      <w:r>
        <w:rPr/>
        <w:t>628.20</w:t>
      </w:r>
      <w:r>
        <w:rPr/>
        <w:t>港元。新增股份为海外发展提供资金，也稀释每股权益。六月底总股</w:t>
      </w:r>
      <w:r>
        <w:rPr/>
        <w:t>4626650861</w:t>
      </w:r>
      <w:r>
        <w:rPr/>
        <w:t>股，与当期加权</w:t>
      </w:r>
      <w:r>
        <w:rPr/>
        <w:t>EPS</w:t>
      </w:r>
      <w:r>
        <w:rPr/>
        <w:t>分母、库存股及分红实施时股本存在时点差异，不能混用。模型显式预测摊薄股数，基准允许温和变化，悲观考虑更多融资。</w:t>
      </w:r>
    </w:p>
    <w:p>
      <w:pPr>
        <w:pStyle w:val="Normal"/>
        <w:rPr/>
      </w:pPr>
      <w:r>
        <w:rPr/>
        <w:t>配售价格高于当前收盘并不形成保护底，募集资金是否有价值取决于投向和回报。公司也可能同时实施回购、激励与新股发行，单独披露一个回购数不能证明净股数永久下降。六月底回购专户</w:t>
      </w:r>
      <w:r>
        <w:rPr/>
        <w:t>28319044</w:t>
      </w:r>
      <w:r>
        <w:rPr/>
        <w:t>股需与用途、未来授予或注销区别。估值桥未来股数从约</w:t>
      </w:r>
      <w:r>
        <w:rPr/>
        <w:t>46</w:t>
      </w:r>
      <w:r>
        <w:rPr/>
        <w:t>亿到更高融资情景都有展示，这让经营增长与每股增长分开，避免总利润上升掩盖普通股东收益稀释。</w:t>
      </w:r>
    </w:p>
    <w:p>
      <w:pPr>
        <w:pStyle w:val="Normal"/>
        <w:rPr/>
      </w:pPr>
      <w:r>
        <w:rPr/>
        <w:t>已支付年度和中期股息属于基准日前历史，不能再计入未来回报。中期每股</w:t>
      </w:r>
      <w:r>
        <w:rPr/>
        <w:t>1.411</w:t>
      </w:r>
      <w:r>
        <w:rPr/>
        <w:t>人民币，公司披露换汇后</w:t>
      </w:r>
      <w:r>
        <w:rPr/>
        <w:t>H</w:t>
      </w:r>
      <w:r>
        <w:rPr/>
        <w:t>股约</w:t>
      </w:r>
      <w:r>
        <w:rPr/>
        <w:t>1.629</w:t>
      </w:r>
      <w:r>
        <w:rPr/>
        <w:t>港元，锁版历史已处理。未来一年基准累计股息</w:t>
      </w:r>
      <w:r>
        <w:rPr/>
        <w:t>8</w:t>
      </w:r>
      <w:r>
        <w:rPr/>
        <w:t>港元、三年</w:t>
      </w:r>
      <w:r>
        <w:rPr/>
        <w:t>27</w:t>
      </w:r>
      <w:r>
        <w:rPr/>
        <w:t>、五年</w:t>
      </w:r>
      <w:r>
        <w:rPr/>
        <w:t>53</w:t>
      </w:r>
      <w:r>
        <w:rPr/>
        <w:t>均是研究假设，未称公司承诺，也没有假定再投资。资本开支、偿债、回购与现金分红竞争资金，若经营收款弱于模型或海外投入提高，分红假设必须下调。</w:t>
      </w:r>
    </w:p>
    <w:p>
      <w:pPr>
        <w:pStyle w:val="Heading2"/>
        <w:rPr/>
      </w:pPr>
      <w:r>
        <w:rPr>
          <w:color w:val="000000"/>
        </w:rPr>
        <w:t>二十一 日线说明反弹尚未改变下降结构</w:t>
      </w:r>
    </w:p>
    <w:p>
      <w:pPr>
        <w:pStyle w:val="Normal"/>
        <w:rPr/>
      </w:pPr>
      <w:r>
        <w:rPr/>
        <w:t>十月九日收</w:t>
      </w:r>
      <w:r>
        <w:rPr/>
        <w:t>491.40</w:t>
      </w:r>
      <w:r>
        <w:rPr/>
        <w:t>港元、上涨</w:t>
      </w:r>
      <w:r>
        <w:rPr/>
        <w:t>3.06%</w:t>
      </w:r>
      <w:r>
        <w:rPr/>
        <w:t>，日内低</w:t>
      </w:r>
      <w:r>
        <w:rPr/>
        <w:t>476.80</w:t>
      </w:r>
      <w:r>
        <w:rPr/>
        <w:t>、高</w:t>
      </w:r>
      <w:r>
        <w:rPr/>
        <w:t>503.50</w:t>
      </w:r>
      <w:r>
        <w:rPr/>
        <w:t>。</w:t>
      </w:r>
      <w:r>
        <w:rPr/>
        <w:t>20</w:t>
      </w:r>
      <w:r>
        <w:rPr/>
        <w:t>、</w:t>
      </w:r>
      <w:r>
        <w:rPr/>
        <w:t>60</w:t>
      </w:r>
      <w:r>
        <w:rPr/>
        <w:t>、</w:t>
      </w:r>
      <w:r>
        <w:rPr/>
        <w:t>120</w:t>
      </w:r>
      <w:r>
        <w:rPr/>
        <w:t>、</w:t>
      </w:r>
      <w:r>
        <w:rPr/>
        <w:t>250</w:t>
      </w:r>
      <w:r>
        <w:rPr/>
        <w:t>日均线分别</w:t>
      </w:r>
      <w:r>
        <w:rPr/>
        <w:t>499.33</w:t>
      </w:r>
      <w:r>
        <w:rPr/>
        <w:t>、</w:t>
      </w:r>
      <w:r>
        <w:rPr/>
        <w:t>578.17</w:t>
      </w:r>
      <w:r>
        <w:rPr/>
        <w:t>、</w:t>
      </w:r>
      <w:r>
        <w:rPr/>
        <w:t>627.92</w:t>
      </w:r>
      <w:r>
        <w:rPr/>
        <w:t>、</w:t>
      </w:r>
      <w:r>
        <w:rPr/>
        <w:t>577.68</w:t>
      </w:r>
      <w:r>
        <w:rPr/>
        <w:t>，现价分别低</w:t>
      </w:r>
      <w:r>
        <w:rPr/>
        <w:t>1.59%</w:t>
      </w:r>
      <w:r>
        <w:rPr/>
        <w:t>、</w:t>
      </w:r>
      <w:r>
        <w:rPr/>
        <w:t>15.01%</w:t>
      </w:r>
      <w:r>
        <w:rPr/>
        <w:t>、</w:t>
      </w:r>
      <w:r>
        <w:rPr/>
        <w:t>21.74%</w:t>
      </w:r>
      <w:r>
        <w:rPr/>
        <w:t>、</w:t>
      </w:r>
      <w:r>
        <w:rPr/>
        <w:t>14.94%</w:t>
      </w:r>
      <w:r>
        <w:rPr/>
        <w:t>，全部五日斜率为负。价格接近</w:t>
      </w:r>
      <w:r>
        <w:rPr/>
        <w:t>20</w:t>
      </w:r>
      <w:r>
        <w:rPr/>
        <w:t>日线有反弹观察意义，但中长均线距离较远，上涨一天不能宣告下降结束。对半年投资，趋势未确认使技术评分只有</w:t>
      </w:r>
      <w:r>
        <w:rPr/>
        <w:t>1.8</w:t>
      </w:r>
      <w:r>
        <w:rPr/>
        <w:t>分，而非因跌幅大自动加分。</w:t>
      </w:r>
    </w:p>
    <w:p>
      <w:pPr>
        <w:pStyle w:val="Normal"/>
        <w:rPr/>
      </w:pPr>
      <w:r>
        <w:rPr/>
        <w:t>均线之间的关系也说明前期高位成本区可能构成压力。</w:t>
      </w:r>
      <w:r>
        <w:rPr/>
        <w:t>120</w:t>
      </w:r>
      <w:r>
        <w:rPr/>
        <w:t>日均线高于</w:t>
      </w:r>
      <w:r>
        <w:rPr/>
        <w:t>60</w:t>
      </w:r>
      <w:r>
        <w:rPr/>
        <w:t>日和</w:t>
      </w:r>
      <w:r>
        <w:rPr/>
        <w:t>250</w:t>
      </w:r>
      <w:r>
        <w:rPr/>
        <w:t>日，反映价格曾明显上行后回落，当前处在较低阶段。短期有效收复</w:t>
      </w:r>
      <w:r>
        <w:rPr/>
        <w:t>20</w:t>
      </w:r>
      <w:r>
        <w:rPr/>
        <w:t>日线需要之后持续交易而非盘中越过，</w:t>
      </w:r>
      <w:r>
        <w:rPr/>
        <w:t>60</w:t>
      </w:r>
      <w:r>
        <w:rPr/>
        <w:t>日线则需要更大恢复幅度及斜率改善。均线是过去价格平均，不能预测未来必涨；它主要帮助定义观察顺序，使投资者区分短期修复与中期趋势变化，避免一根阳线触发全部仓位。</w:t>
      </w:r>
    </w:p>
    <w:p>
      <w:pPr>
        <w:pStyle w:val="Normal"/>
        <w:rPr/>
      </w:pPr>
      <w:r>
        <w:rPr/>
        <w:t>技术分析采用基准日名义价格归一的复权</w:t>
      </w:r>
      <w:r>
        <w:rPr/>
        <w:t>OHLC</w:t>
      </w:r>
      <w:r>
        <w:rPr/>
        <w:t>，处理历史股息后保持当天价格可直接用于距离计算。历史从</w:t>
      </w:r>
      <w:r>
        <w:rPr/>
        <w:t>2025</w:t>
      </w:r>
      <w:r>
        <w:rPr/>
        <w:t>年</w:t>
      </w:r>
      <w:r>
        <w:rPr/>
        <w:t>5</w:t>
      </w:r>
      <w:r>
        <w:rPr/>
        <w:t>月</w:t>
      </w:r>
      <w:r>
        <w:rPr/>
        <w:t>20</w:t>
      </w:r>
      <w:r>
        <w:rPr/>
        <w:t>日开始，</w:t>
      </w:r>
      <w:r>
        <w:rPr/>
        <w:t>250</w:t>
      </w:r>
      <w:r>
        <w:rPr/>
        <w:t>日均线已有足够日线，但三年轨迹并不存在。研究保留真实全部历史，不借用</w:t>
      </w:r>
      <w:r>
        <w:rPr/>
        <w:t>300750</w:t>
      </w:r>
      <w:r>
        <w:rPr/>
        <w:t>走势填补，也不把供应商不同</w:t>
      </w:r>
      <w:r>
        <w:rPr/>
        <w:t>52</w:t>
      </w:r>
      <w:r>
        <w:rPr/>
        <w:t>周窗口混成同一高低点。公司行动可能改变原始价格，复权方法及基准必须一致，否则所谓支撑和涨跌幅会失真。</w:t>
      </w:r>
    </w:p>
    <w:p>
      <w:pPr>
        <w:pStyle w:val="Heading2"/>
        <w:rPr/>
      </w:pPr>
      <w:r>
        <w:rPr>
          <w:color w:val="000000"/>
        </w:rPr>
        <w:t>二十二 量能显示卖压尚需要消化</w:t>
      </w:r>
    </w:p>
    <w:p>
      <w:pPr>
        <w:pStyle w:val="Normal"/>
        <w:rPr/>
      </w:pPr>
      <w:r>
        <w:rPr/>
        <w:t>当天成交</w:t>
      </w:r>
      <w:r>
        <w:rPr/>
        <w:t>3437173</w:t>
      </w:r>
      <w:r>
        <w:rPr/>
        <w:t>股、成交额约</w:t>
      </w:r>
      <w:r>
        <w:rPr/>
        <w:t>16.914</w:t>
      </w:r>
      <w:r>
        <w:rPr/>
        <w:t>亿港元，成交量单位为股，不能把它再乘</w:t>
      </w:r>
      <w:r>
        <w:rPr/>
        <w:t>100</w:t>
      </w:r>
      <w:r>
        <w:rPr/>
        <w:t>误写成手。量比</w:t>
      </w:r>
      <w:r>
        <w:rPr/>
        <w:t>1.162</w:t>
      </w:r>
      <w:r>
        <w:rPr/>
        <w:t>，相对此前</w:t>
      </w:r>
      <w:r>
        <w:rPr/>
        <w:t>20</w:t>
      </w:r>
      <w:r>
        <w:rPr/>
        <w:t>日均量</w:t>
      </w:r>
      <w:r>
        <w:rPr/>
        <w:t>2956839</w:t>
      </w:r>
      <w:r>
        <w:rPr/>
        <w:t>股温和增加；</w:t>
      </w:r>
      <w:r>
        <w:rPr/>
        <w:t>5</w:t>
      </w:r>
      <w:r>
        <w:rPr/>
        <w:t>、</w:t>
      </w:r>
      <w:r>
        <w:rPr/>
        <w:t>20</w:t>
      </w:r>
      <w:r>
        <w:rPr/>
        <w:t>、</w:t>
      </w:r>
      <w:r>
        <w:rPr/>
        <w:t>60</w:t>
      </w:r>
      <w:r>
        <w:rPr/>
        <w:t>日均量约</w:t>
      </w:r>
      <w:r>
        <w:rPr/>
        <w:t>2217615</w:t>
      </w:r>
      <w:r>
        <w:rPr/>
        <w:t>、</w:t>
      </w:r>
      <w:r>
        <w:rPr/>
        <w:t>3056499</w:t>
      </w:r>
      <w:r>
        <w:rPr/>
        <w:t>、</w:t>
      </w:r>
      <w:r>
        <w:rPr/>
        <w:t>2440557</w:t>
      </w:r>
      <w:r>
        <w:rPr/>
        <w:t>股。单日放量上涨提供修复线索，幅度尚不足以证明持续资金回流，特别是五日均量低于二十日均量时，需要后续持续性配合才能改变量价评价。</w:t>
      </w:r>
    </w:p>
    <w:p>
      <w:pPr>
        <w:pStyle w:val="Normal"/>
        <w:rPr/>
      </w:pPr>
      <w:r>
        <w:rPr/>
        <w:t>最近</w:t>
      </w:r>
      <w:r>
        <w:rPr/>
        <w:t>20</w:t>
      </w:r>
      <w:r>
        <w:rPr/>
        <w:t>日上涨日成交</w:t>
      </w:r>
      <w:r>
        <w:rPr/>
        <w:t>19548595</w:t>
      </w:r>
      <w:r>
        <w:rPr/>
        <w:t>股，下跌日</w:t>
      </w:r>
      <w:r>
        <w:rPr/>
        <w:t>38031219</w:t>
      </w:r>
      <w:r>
        <w:rPr/>
        <w:t>股，上下量比</w:t>
      </w:r>
      <w:r>
        <w:rPr/>
        <w:t>0.514</w:t>
      </w:r>
      <w:r>
        <w:rPr/>
        <w:t>，另有平盘成交</w:t>
      </w:r>
      <w:r>
        <w:rPr/>
        <w:t>3550167</w:t>
      </w:r>
      <w:r>
        <w:rPr/>
        <w:t>股；上涨</w:t>
      </w:r>
      <w:r>
        <w:rPr/>
        <w:t>8</w:t>
      </w:r>
      <w:r>
        <w:rPr/>
        <w:t>日、下跌</w:t>
      </w:r>
      <w:r>
        <w:rPr/>
        <w:t>11</w:t>
      </w:r>
      <w:r>
        <w:rPr/>
        <w:t>日。这说明同一窗口下跌成交更集中，支持下降中的反弹判断。它不是精确净资金流，买卖双方每笔同时存在，不能据此量化谁在出货或谁在吸筹。若后续上涨日量持续提高而回踩量收缩，结构可以改善，但需要窗口更新而不是重复使用旧比率。</w:t>
      </w:r>
    </w:p>
    <w:p>
      <w:pPr>
        <w:pStyle w:val="Normal"/>
        <w:rPr/>
      </w:pPr>
      <w:r>
        <w:rPr/>
        <w:t>公开可取得的换手率字段缺失，本文不从供应商市值或不清楚的自由流通股数推造换手。</w:t>
      </w:r>
      <w:r>
        <w:rPr/>
        <w:t>H</w:t>
      </w:r>
      <w:r>
        <w:rPr/>
        <w:t>股配售、托管与流通变化也会影响成交解读，总公司股数不是港股可交易流通分母。没有逐笔数据，本文不画声称精确的筹码分布、不把成交额当主动买入。对半年交易，最有用的是观察突破是否伴随持续成交与回踩是否守住，而不是给量能附加未经证实的资金身份故事。</w:t>
      </w:r>
    </w:p>
    <w:p>
      <w:pPr>
        <w:pStyle w:val="Heading2"/>
        <w:rPr/>
      </w:pPr>
      <w:r>
        <w:rPr>
          <w:color w:val="000000"/>
        </w:rPr>
        <w:t>二十三 周线与相对强弱给出不同尺度证据</w:t>
      </w:r>
    </w:p>
    <w:p>
      <w:pPr>
        <w:pStyle w:val="Normal"/>
        <w:rPr/>
      </w:pPr>
      <w:r>
        <w:rPr/>
        <w:t>周线只有</w:t>
      </w:r>
      <w:r>
        <w:rPr/>
        <w:t>73</w:t>
      </w:r>
      <w:r>
        <w:rPr/>
        <w:t>根，</w:t>
      </w:r>
      <w:r>
        <w:rPr/>
        <w:t>20</w:t>
      </w:r>
      <w:r>
        <w:rPr/>
        <w:t>周均线</w:t>
      </w:r>
      <w:r>
        <w:rPr/>
        <w:t>612.19</w:t>
      </w:r>
      <w:r>
        <w:rPr/>
        <w:t>、</w:t>
      </w:r>
      <w:r>
        <w:rPr/>
        <w:t>60</w:t>
      </w:r>
      <w:r>
        <w:rPr/>
        <w:t>周</w:t>
      </w:r>
      <w:r>
        <w:rPr/>
        <w:t>564.34</w:t>
      </w:r>
      <w:r>
        <w:rPr/>
        <w:t>，现价分别低</w:t>
      </w:r>
      <w:r>
        <w:rPr/>
        <w:t>19.73%</w:t>
      </w:r>
      <w:r>
        <w:rPr/>
        <w:t>、</w:t>
      </w:r>
      <w:r>
        <w:rPr/>
        <w:t>12.93%</w:t>
      </w:r>
      <w:r>
        <w:rPr/>
        <w:t>；</w:t>
      </w:r>
      <w:r>
        <w:rPr/>
        <w:t>120</w:t>
      </w:r>
      <w:r>
        <w:rPr/>
        <w:t>与</w:t>
      </w:r>
      <w:r>
        <w:rPr/>
        <w:t>250</w:t>
      </w:r>
      <w:r>
        <w:rPr/>
        <w:t>周均线为空。</w:t>
      </w:r>
      <w:r>
        <w:rPr/>
        <w:t>20</w:t>
      </w:r>
      <w:r>
        <w:rPr/>
        <w:t>周均线斜率下降</w:t>
      </w:r>
      <w:r>
        <w:rPr/>
        <w:t>6.13%</w:t>
      </w:r>
      <w:r>
        <w:rPr/>
        <w:t>，</w:t>
      </w:r>
      <w:r>
        <w:rPr/>
        <w:t>60</w:t>
      </w:r>
      <w:r>
        <w:rPr/>
        <w:t>周仍上行</w:t>
      </w:r>
      <w:r>
        <w:rPr/>
        <w:t>1.51%</w:t>
      </w:r>
      <w:r>
        <w:rPr/>
        <w:t>，说明更长历史平均保留早期上升影响，而当前中期价格明显走弱。把</w:t>
      </w:r>
      <w:r>
        <w:rPr/>
        <w:t>60</w:t>
      </w:r>
      <w:r>
        <w:rPr/>
        <w:t>周上斜单独当强势会忽略现价低于均线及</w:t>
      </w:r>
      <w:r>
        <w:rPr/>
        <w:t>20</w:t>
      </w:r>
      <w:r>
        <w:rPr/>
        <w:t>周下降，本文采用多尺度联合判断，仍把半年技术结构定为偏弱。</w:t>
      </w:r>
    </w:p>
    <w:p>
      <w:pPr>
        <w:pStyle w:val="Normal"/>
        <w:rPr/>
      </w:pPr>
      <w:r>
        <w:rPr/>
        <w:t>20</w:t>
      </w:r>
      <w:r>
        <w:rPr/>
        <w:t>日股价回报</w:t>
      </w:r>
      <w:r>
        <w:rPr/>
        <w:t>-12.48%</w:t>
      </w:r>
      <w:r>
        <w:rPr/>
        <w:t>、</w:t>
      </w:r>
      <w:r>
        <w:rPr/>
        <w:t>60</w:t>
      </w:r>
      <w:r>
        <w:rPr/>
        <w:t>日</w:t>
      </w:r>
      <w:r>
        <w:rPr/>
        <w:t>-20.67%</w:t>
      </w:r>
      <w:r>
        <w:rPr/>
        <w:t>，相对恒指分别落后</w:t>
      </w:r>
      <w:r>
        <w:rPr/>
        <w:t>9.51</w:t>
      </w:r>
      <w:r>
        <w:rPr/>
        <w:t>和</w:t>
      </w:r>
      <w:r>
        <w:rPr/>
        <w:t>17.49</w:t>
      </w:r>
      <w:r>
        <w:rPr/>
        <w:t>个百分点；相对恒科落后</w:t>
      </w:r>
      <w:r>
        <w:rPr/>
        <w:t>9.42</w:t>
      </w:r>
      <w:r>
        <w:rPr/>
        <w:t>和</w:t>
      </w:r>
      <w:r>
        <w:rPr/>
        <w:t>7.51</w:t>
      </w:r>
      <w:r>
        <w:rPr/>
        <w:t>个百分点。恒科只是科技硬件相关粗参考，并非电池专属行业基准，不能据此宣称在所有电池公司中最差。相对市场仍明显落后，说明股价回撤不完全是共同市场因素，投资者应寻找公司需求、估值和资金供求分歧，而不是只等待指数改善。</w:t>
      </w:r>
    </w:p>
    <w:p>
      <w:pPr>
        <w:pStyle w:val="Normal"/>
        <w:rPr/>
      </w:pPr>
      <w:r>
        <w:rPr/>
        <w:t>周线波动率也高，</w:t>
      </w:r>
      <w:r>
        <w:rPr/>
        <w:t>ATR</w:t>
      </w:r>
      <w:r>
        <w:rPr/>
        <w:t>约</w:t>
      </w:r>
      <w:r>
        <w:rPr/>
        <w:t>53.29</w:t>
      </w:r>
      <w:r>
        <w:rPr/>
        <w:t>港元、为现价</w:t>
      </w:r>
      <w:r>
        <w:rPr/>
        <w:t>10.84%</w:t>
      </w:r>
      <w:r>
        <w:rPr/>
        <w:t>，周</w:t>
      </w:r>
      <w:r>
        <w:rPr/>
        <w:t>RSI</w:t>
      </w:r>
      <w:r>
        <w:rPr/>
        <w:t>约</w:t>
      </w:r>
      <w:r>
        <w:rPr/>
        <w:t>36.69</w:t>
      </w:r>
      <w:r>
        <w:rPr/>
        <w:t>。周</w:t>
      </w:r>
      <w:r>
        <w:rPr/>
        <w:t>MACD</w:t>
      </w:r>
      <w:r>
        <w:rPr/>
        <w:t>柱为负</w:t>
      </w:r>
      <w:r>
        <w:rPr/>
        <w:t>45.72</w:t>
      </w:r>
      <w:r>
        <w:rPr/>
        <w:t>，尚未支持中期反转；日</w:t>
      </w:r>
      <w:r>
        <w:rPr/>
        <w:t>MACD</w:t>
      </w:r>
      <w:r>
        <w:rPr/>
        <w:t>柱转正只是更短周期下跌减速。不同频率指标不是相互矛盾，而是时间尺度不同。评分没有让均线、</w:t>
      </w:r>
      <w:r>
        <w:rPr/>
        <w:t>MACD</w:t>
      </w:r>
      <w:r>
        <w:rPr/>
        <w:t>和</w:t>
      </w:r>
      <w:r>
        <w:rPr/>
        <w:t>RSI</w:t>
      </w:r>
      <w:r>
        <w:rPr/>
        <w:t>分别重复累加同一趋势信号，技术维度整体反映偏弱与观察中的修复，避免指标数量多就造成假精确高分。</w:t>
      </w:r>
    </w:p>
    <w:p>
      <w:pPr>
        <w:pStyle w:val="Heading2"/>
        <w:rPr/>
      </w:pPr>
      <w:r>
        <w:rPr>
          <w:color w:val="000000"/>
        </w:rPr>
        <w:t>二十四 观察区间与技术失效条件</w:t>
      </w:r>
    </w:p>
    <w:p>
      <w:pPr>
        <w:pStyle w:val="Normal"/>
        <w:rPr/>
      </w:pPr>
      <w:r>
        <w:rPr/>
        <w:t>最近</w:t>
      </w:r>
      <w:r>
        <w:rPr/>
        <w:t>20</w:t>
      </w:r>
      <w:r>
        <w:rPr/>
        <w:t>日和</w:t>
      </w:r>
      <w:r>
        <w:rPr/>
        <w:t>60</w:t>
      </w:r>
      <w:r>
        <w:rPr/>
        <w:t>日最低观察位</w:t>
      </w:r>
      <w:r>
        <w:rPr/>
        <w:t>458</w:t>
      </w:r>
      <w:r>
        <w:rPr/>
        <w:t>港元，距现价</w:t>
      </w:r>
      <w:r>
        <w:rPr/>
        <w:t>-6.80%</w:t>
      </w:r>
      <w:r>
        <w:rPr/>
        <w:t>；</w:t>
      </w:r>
      <w:r>
        <w:rPr/>
        <w:t>20</w:t>
      </w:r>
      <w:r>
        <w:rPr/>
        <w:t>日最高</w:t>
      </w:r>
      <w:r>
        <w:rPr/>
        <w:t>557</w:t>
      </w:r>
      <w:r>
        <w:rPr/>
        <w:t>，距离</w:t>
      </w:r>
      <w:r>
        <w:rPr/>
        <w:t>+13.35%</w:t>
      </w:r>
      <w:r>
        <w:rPr/>
        <w:t>；</w:t>
      </w:r>
      <w:r>
        <w:rPr/>
        <w:t>60</w:t>
      </w:r>
      <w:r>
        <w:rPr/>
        <w:t>日最高</w:t>
      </w:r>
      <w:r>
        <w:rPr/>
        <w:t>692</w:t>
      </w:r>
      <w:r>
        <w:rPr/>
        <w:t>，距离</w:t>
      </w:r>
      <w:r>
        <w:rPr/>
        <w:t>+40.82%</w:t>
      </w:r>
      <w:r>
        <w:rPr/>
        <w:t>。这些是窗口高低点，未经触碰次数筛选，不声称强支撑已多次验证。</w:t>
      </w:r>
      <w:r>
        <w:rPr/>
        <w:t>252</w:t>
      </w:r>
      <w:r>
        <w:rPr/>
        <w:t>日归一高</w:t>
      </w:r>
      <w:r>
        <w:rPr/>
        <w:t>792.55</w:t>
      </w:r>
      <w:r>
        <w:rPr/>
        <w:t>、低</w:t>
      </w:r>
      <w:r>
        <w:rPr/>
        <w:t>450.20</w:t>
      </w:r>
      <w:r>
        <w:rPr/>
        <w:t>，现价离高约</w:t>
      </w:r>
      <w:r>
        <w:rPr/>
        <w:t>-38.00%</w:t>
      </w:r>
      <w:r>
        <w:rPr/>
        <w:t>、离低</w:t>
      </w:r>
      <w:r>
        <w:rPr/>
        <w:t>+9.15%</w:t>
      </w:r>
      <w:r>
        <w:rPr/>
        <w:t>，窗口最大回撤</w:t>
      </w:r>
      <w:r>
        <w:rPr/>
        <w:t>38.68%</w:t>
      </w:r>
      <w:r>
        <w:rPr/>
        <w:t>。跌得多可能提供估值调整机会，也可能反映预期恶化，需要基本面独立解释。</w:t>
      </w:r>
    </w:p>
    <w:p>
      <w:pPr>
        <w:pStyle w:val="Normal"/>
        <w:rPr/>
      </w:pPr>
      <w:r>
        <w:rPr/>
        <w:t>短线可观察</w:t>
      </w:r>
      <w:r>
        <w:rPr/>
        <w:t>499</w:t>
      </w:r>
      <w:r>
        <w:rPr/>
        <w:t>附近</w:t>
      </w:r>
      <w:r>
        <w:rPr/>
        <w:t>20</w:t>
      </w:r>
      <w:r>
        <w:rPr/>
        <w:t>日均线与</w:t>
      </w:r>
      <w:r>
        <w:rPr/>
        <w:t>557</w:t>
      </w:r>
      <w:r>
        <w:rPr/>
        <w:t>区间上沿，若收复并维持、成交量更连贯、回踩不破，再评估趋势改善；</w:t>
      </w:r>
      <w:r>
        <w:rPr/>
        <w:t>578</w:t>
      </w:r>
      <w:r>
        <w:rPr/>
        <w:t>附近</w:t>
      </w:r>
      <w:r>
        <w:rPr/>
        <w:t>60</w:t>
      </w:r>
      <w:r>
        <w:rPr/>
        <w:t>日线随后是更重要的中期观察。若</w:t>
      </w:r>
      <w:r>
        <w:rPr/>
        <w:t>458</w:t>
      </w:r>
      <w:r>
        <w:rPr/>
        <w:t>被持续有效跌破，反弹修复判断需要取消并重看</w:t>
      </w:r>
      <w:r>
        <w:rPr/>
        <w:t>450</w:t>
      </w:r>
      <w:r>
        <w:rPr/>
        <w:t>附近旧低。任何价位都不能保证止损按理论价成交，跳空、流动性和重大公告可以穿越观察区间，所以本章不把技术失效条件当作最大亏损限制。</w:t>
      </w:r>
    </w:p>
    <w:p>
      <w:pPr>
        <w:pStyle w:val="Normal"/>
        <w:rPr/>
      </w:pPr>
      <w:r>
        <w:rPr/>
        <w:t>RSI36.68</w:t>
      </w:r>
      <w:r>
        <w:rPr/>
        <w:t>低于中性水平，显示近期偏弱，却没有给出确定反弹时间；日</w:t>
      </w:r>
      <w:r>
        <w:rPr/>
        <w:t>ATR18.44</w:t>
      </w:r>
      <w:r>
        <w:rPr/>
        <w:t>港元、约</w:t>
      </w:r>
      <w:r>
        <w:rPr/>
        <w:t>3.75%</w:t>
      </w:r>
      <w:r>
        <w:rPr/>
        <w:t>，说明正常短期波动就可覆盖较大距离。</w:t>
      </w:r>
      <w:r>
        <w:rPr/>
        <w:t>MACD</w:t>
      </w:r>
      <w:r>
        <w:rPr/>
        <w:t>双线仍在零轴下方，柱为正</w:t>
      </w:r>
      <w:r>
        <w:rPr/>
        <w:t>6.73</w:t>
      </w:r>
      <w:r>
        <w:rPr/>
        <w:t>，支持减速而非完整上行。合理用法是把这些放进统一观察框架，而不是看到某一信号就认为半年收益确定。若价格上涨但相对强弱和回款继续恶化，应降低推荐而非只追随图形。</w:t>
      </w:r>
    </w:p>
    <w:p>
      <w:pPr>
        <w:pStyle w:val="Heading2"/>
        <w:rPr/>
      </w:pPr>
      <w:r>
        <w:rPr>
          <w:color w:val="000000"/>
        </w:rPr>
        <w:t>二十五 估值起点需要剔除便宜的错觉</w:t>
      </w:r>
    </w:p>
    <w:p>
      <w:pPr>
        <w:pStyle w:val="Normal"/>
        <w:rPr/>
      </w:pPr>
      <w:r>
        <w:rPr/>
        <w:t>按</w:t>
      </w:r>
      <w:r>
        <w:rPr/>
        <w:t>2025</w:t>
      </w:r>
      <w:r>
        <w:rPr/>
        <w:t>每股收益</w:t>
      </w:r>
      <w:r>
        <w:rPr/>
        <w:t>16.14</w:t>
      </w:r>
      <w:r>
        <w:rPr/>
        <w:t>人民币和研究汇率</w:t>
      </w:r>
      <w:r>
        <w:rPr/>
        <w:t>1.10</w:t>
      </w:r>
      <w:r>
        <w:rPr/>
        <w:t>，现价约</w:t>
      </w:r>
      <w:r>
        <w:rPr/>
        <w:t>27.68</w:t>
      </w:r>
      <w:r>
        <w:rPr/>
        <w:t>倍历史盈利。上半年</w:t>
      </w:r>
      <w:r>
        <w:rPr/>
        <w:t>EPS9.51</w:t>
      </w:r>
      <w:r>
        <w:rPr/>
        <w:t>，简单年化会得</w:t>
      </w:r>
      <w:r>
        <w:rPr/>
        <w:t>19.02</w:t>
      </w:r>
      <w:r>
        <w:rPr/>
        <w:t>，但季节、股数、金融贡献和需求结构使这种方法只能作粗参考。行情第三方</w:t>
      </w:r>
      <w:r>
        <w:rPr/>
        <w:t>PE</w:t>
      </w:r>
      <w:r>
        <w:rPr/>
        <w:t>的报告期与股数未完全核验，本文不直接采其</w:t>
      </w:r>
      <w:r>
        <w:rPr/>
        <w:t>28.45</w:t>
      </w:r>
      <w:r>
        <w:rPr/>
        <w:t>或其他倍数。宁德的吸引力主要来自未来每股盈利增长，而不是可以断言当前传统低估值，半年评分因此保留估值不确定性。</w:t>
      </w:r>
    </w:p>
    <w:p>
      <w:pPr>
        <w:pStyle w:val="Normal"/>
        <w:rPr/>
      </w:pPr>
      <w:r>
        <w:rPr/>
        <w:t>归母权益</w:t>
      </w:r>
      <w:r>
        <w:rPr/>
        <w:t>3793.54</w:t>
      </w:r>
      <w:r>
        <w:rPr/>
        <w:t>亿元可以作资产交叉检查，但电池制造的经济价值不能只由账面资产决定。高质量制造与客户关系可能值更多，产能闲置或技术替代也可能值更少；少数权益与现金限制需要分开。</w:t>
      </w:r>
      <w:r>
        <w:rPr/>
        <w:t>PE</w:t>
      </w:r>
      <w:r>
        <w:rPr/>
        <w:t>目标反映正常经营与增长溢价，未将账面现金再次加价。悲观盈利估值可能低于简单资产观点，它表达严重经营与倍数压力，不能称清算底，也不是公司的全部可能价值状态。</w:t>
      </w:r>
    </w:p>
    <w:p>
      <w:pPr>
        <w:pStyle w:val="Normal"/>
        <w:rPr/>
      </w:pPr>
      <w:r>
        <w:rPr/>
        <w:t>合理倍数应由增长持续性、资本回报、竞争优势与风险共同决定。资源和制造周期高点利润若被给予长期高</w:t>
      </w:r>
      <w:r>
        <w:rPr/>
        <w:t>PE</w:t>
      </w:r>
      <w:r>
        <w:rPr/>
        <w:t>，会放大高估；优质储能和海外利润若只是爬坡前预测，也不应提前全部兑现。模型基准</w:t>
      </w:r>
      <w:r>
        <w:rPr/>
        <w:t>PE</w:t>
      </w:r>
      <w:r>
        <w:rPr/>
        <w:t>从年底及半年</w:t>
      </w:r>
      <w:r>
        <w:rPr/>
        <w:t>26</w:t>
      </w:r>
      <w:r>
        <w:rPr/>
        <w:t>倍到一年</w:t>
      </w:r>
      <w:r>
        <w:rPr/>
        <w:t>25</w:t>
      </w:r>
      <w:r>
        <w:rPr/>
        <w:t>、三年</w:t>
      </w:r>
      <w:r>
        <w:rPr/>
        <w:t>24</w:t>
      </w:r>
      <w:r>
        <w:rPr/>
        <w:t>、五年</w:t>
      </w:r>
      <w:r>
        <w:rPr/>
        <w:t>23</w:t>
      </w:r>
      <w:r>
        <w:rPr/>
        <w:t>，随规模成熟下降；乐观保留高溢价但条件严格，悲观则同时压盈利与倍数，公开展示两项风险的叠加。</w:t>
      </w:r>
    </w:p>
    <w:p>
      <w:pPr>
        <w:pStyle w:val="Heading2"/>
        <w:rPr/>
      </w:pPr>
      <w:r>
        <w:rPr>
          <w:color w:val="000000"/>
        </w:rPr>
        <w:t>二十六 四分部模型如何连接目标价</w:t>
      </w:r>
    </w:p>
    <w:p>
      <w:pPr>
        <w:pStyle w:val="Normal"/>
        <w:rPr/>
      </w:pPr>
      <w:r>
        <w:rPr/>
        <w:t>模型先计算目标时点未来十二个月动力、储能、材料及其他收入乘各自正常</w:t>
      </w:r>
      <w:r>
        <w:rPr/>
        <w:t>EBIT</w:t>
      </w:r>
      <w:r>
        <w:rPr/>
        <w:t>率，合计后加有限正常金融联营贡献；按</w:t>
      </w:r>
      <w:r>
        <w:rPr/>
        <w:t>16%</w:t>
      </w:r>
      <w:r>
        <w:rPr/>
        <w:t>税率、目标归母份额和摊薄股数得到人民币</w:t>
      </w:r>
      <w:r>
        <w:rPr/>
        <w:t>EPS</w:t>
      </w:r>
      <w:r>
        <w:rPr/>
        <w:t>。</w:t>
      </w:r>
      <w:r>
        <w:rPr/>
        <w:t>EPS</w:t>
      </w:r>
      <w:r>
        <w:rPr/>
        <w:t>保留三位，再乘</w:t>
      </w:r>
      <w:r>
        <w:rPr/>
        <w:t>PE</w:t>
      </w:r>
      <w:r>
        <w:rPr/>
        <w:t>及</w:t>
      </w:r>
      <w:r>
        <w:rPr/>
        <w:t>1.10</w:t>
      </w:r>
      <w:r>
        <w:rPr/>
        <w:t>形成港元目标。正常</w:t>
      </w:r>
      <w:r>
        <w:rPr/>
        <w:t>EBIT</w:t>
      </w:r>
      <w:r>
        <w:rPr/>
        <w:t>包括折旧、研发、销售管理、股份支付、常态信用与售后，收入包括对外业务而非内部重复采购。所有未来输入为研究假设，不当公司指引。</w:t>
      </w:r>
    </w:p>
    <w:p>
      <w:pPr>
        <w:pStyle w:val="Normal"/>
        <w:rPr/>
      </w:pPr>
      <w:r>
        <w:rPr/>
        <w:t>一年基准动力收入</w:t>
      </w:r>
      <w:r>
        <w:rPr/>
        <w:t>5050</w:t>
      </w:r>
      <w:r>
        <w:rPr/>
        <w:t>亿元、正常率</w:t>
      </w:r>
      <w:r>
        <w:rPr/>
        <w:t>16.5%</w:t>
      </w:r>
      <w:r>
        <w:rPr/>
        <w:t>，储能</w:t>
      </w:r>
      <w:r>
        <w:rPr/>
        <w:t>1750</w:t>
      </w:r>
      <w:r>
        <w:rPr/>
        <w:t>亿元、</w:t>
      </w:r>
      <w:r>
        <w:rPr/>
        <w:t>19%</w:t>
      </w:r>
      <w:r>
        <w:rPr/>
        <w:t>，材料</w:t>
      </w:r>
      <w:r>
        <w:rPr/>
        <w:t>480</w:t>
      </w:r>
      <w:r>
        <w:rPr/>
        <w:t>亿元、</w:t>
      </w:r>
      <w:r>
        <w:rPr/>
        <w:t>16%</w:t>
      </w:r>
      <w:r>
        <w:rPr/>
        <w:t>，其他</w:t>
      </w:r>
      <w:r>
        <w:rPr/>
        <w:t>300</w:t>
      </w:r>
      <w:r>
        <w:rPr/>
        <w:t>亿元、</w:t>
      </w:r>
      <w:r>
        <w:rPr/>
        <w:t>26%</w:t>
      </w:r>
      <w:r>
        <w:rPr/>
        <w:t>，另加</w:t>
      </w:r>
      <w:r>
        <w:rPr/>
        <w:t>80</w:t>
      </w:r>
      <w:r>
        <w:rPr/>
        <w:t>亿元正常金融联营。税后乘</w:t>
      </w:r>
      <w:r>
        <w:rPr/>
        <w:t>94%</w:t>
      </w:r>
      <w:r>
        <w:rPr/>
        <w:t>归母、除</w:t>
      </w:r>
      <w:r>
        <w:rPr/>
        <w:t>46.2</w:t>
      </w:r>
      <w:r>
        <w:rPr/>
        <w:t>亿股，得到</w:t>
      </w:r>
      <w:r>
        <w:rPr/>
        <w:t>23.937</w:t>
      </w:r>
      <w:r>
        <w:rPr/>
        <w:t>人民币</w:t>
      </w:r>
      <w:r>
        <w:rPr/>
        <w:t>EPS</w:t>
      </w:r>
      <w:r>
        <w:rPr/>
        <w:t>，</w:t>
      </w:r>
      <w:r>
        <w:rPr/>
        <w:t>25</w:t>
      </w:r>
      <w:r>
        <w:rPr/>
        <w:t>倍和汇率得到</w:t>
      </w:r>
      <w:r>
        <w:rPr/>
        <w:t>658.27</w:t>
      </w:r>
      <w:r>
        <w:rPr/>
        <w:t>港元。这个桥明确需要需求和正常效率成长，未只靠提高估值；如果任何分部低于预期，可以直接修改输入追溯目标变化，而不是用一句“市场情绪改善”解释所有价格。</w:t>
      </w:r>
    </w:p>
    <w:p>
      <w:pPr>
        <w:pStyle w:val="Normal"/>
        <w:rPr/>
      </w:pPr>
      <w:r>
        <w:rPr/>
        <w:t>一年悲观</w:t>
      </w:r>
      <w:r>
        <w:rPr/>
        <w:t>EPS8.800</w:t>
      </w:r>
      <w:r>
        <w:rPr/>
        <w:t>、</w:t>
      </w:r>
      <w:r>
        <w:rPr/>
        <w:t>16</w:t>
      </w:r>
      <w:r>
        <w:rPr/>
        <w:t>倍，目标</w:t>
      </w:r>
      <w:r>
        <w:rPr/>
        <w:t>154.88</w:t>
      </w:r>
      <w:r>
        <w:rPr/>
        <w:t>；乐观</w:t>
      </w:r>
      <w:r>
        <w:rPr/>
        <w:t>EPS37.050</w:t>
      </w:r>
      <w:r>
        <w:rPr/>
        <w:t>、</w:t>
      </w:r>
      <w:r>
        <w:rPr/>
        <w:t>32</w:t>
      </w:r>
      <w:r>
        <w:rPr/>
        <w:t>倍，</w:t>
      </w:r>
      <w:r>
        <w:rPr/>
        <w:t>1304.16</w:t>
      </w:r>
      <w:r>
        <w:rPr/>
        <w:t>。悲观考虑动力价格压力、储能增长慢、低利润率和更多股数；乐观需要动力</w:t>
      </w:r>
      <w:r>
        <w:rPr/>
        <w:t>6000</w:t>
      </w:r>
      <w:r>
        <w:rPr/>
        <w:t>亿元、储能</w:t>
      </w:r>
      <w:r>
        <w:rPr/>
        <w:t>2450</w:t>
      </w:r>
      <w:r>
        <w:rPr/>
        <w:t>亿元，正常率分别</w:t>
      </w:r>
      <w:r>
        <w:rPr/>
        <w:t>19%</w:t>
      </w:r>
      <w:r>
        <w:rPr/>
        <w:t>、</w:t>
      </w:r>
      <w:r>
        <w:rPr/>
        <w:t>24%</w:t>
      </w:r>
      <w:r>
        <w:rPr/>
        <w:t>，并保持归属与资本效率。这个跨度很大，正是进取型模型对经营杠杆和成长溢价敏感的结果。低价不等于清算估计，高价也不等于机构共识，必须结合条件判断。</w:t>
      </w:r>
    </w:p>
    <w:p>
      <w:pPr>
        <w:pStyle w:val="Heading2"/>
        <w:rPr/>
      </w:pPr>
      <w:r>
        <w:rPr>
          <w:color w:val="000000"/>
        </w:rPr>
        <w:t>二十七 年底时点的判断和权重</w:t>
      </w:r>
    </w:p>
    <w:p>
      <w:pPr>
        <w:pStyle w:val="Normal"/>
        <w:rPr/>
      </w:pPr>
      <w:r>
        <w:rPr/>
        <w:t>年底目标使用到年底可被市场理解的未来十二个月正常盈利，非只计算十月至十二月赚了多少。基准动力收入</w:t>
      </w:r>
      <w:r>
        <w:rPr/>
        <w:t>4350</w:t>
      </w:r>
      <w:r>
        <w:rPr/>
        <w:t>亿元、率</w:t>
      </w:r>
      <w:r>
        <w:rPr/>
        <w:t>15.5%</w:t>
      </w:r>
      <w:r>
        <w:rPr/>
        <w:t>，储能</w:t>
      </w:r>
      <w:r>
        <w:rPr/>
        <w:t>1250</w:t>
      </w:r>
      <w:r>
        <w:rPr/>
        <w:t>亿元、</w:t>
      </w:r>
      <w:r>
        <w:rPr/>
        <w:t>17%</w:t>
      </w:r>
      <w:r>
        <w:rPr/>
        <w:t>，材料</w:t>
      </w:r>
      <w:r>
        <w:rPr/>
        <w:t>400</w:t>
      </w:r>
      <w:r>
        <w:rPr/>
        <w:t>亿元、</w:t>
      </w:r>
      <w:r>
        <w:rPr/>
        <w:t>15%</w:t>
      </w:r>
      <w:r>
        <w:rPr/>
        <w:t>，其他</w:t>
      </w:r>
      <w:r>
        <w:rPr/>
        <w:t>230</w:t>
      </w:r>
      <w:r>
        <w:rPr/>
        <w:t>亿元、</w:t>
      </w:r>
      <w:r>
        <w:rPr/>
        <w:t>24%</w:t>
      </w:r>
      <w:r>
        <w:rPr/>
        <w:t>，加正常金融联营</w:t>
      </w:r>
      <w:r>
        <w:rPr/>
        <w:t>80</w:t>
      </w:r>
      <w:r>
        <w:rPr/>
        <w:t>亿元，税后归母除</w:t>
      </w:r>
      <w:r>
        <w:rPr/>
        <w:t>46.4</w:t>
      </w:r>
      <w:r>
        <w:rPr/>
        <w:t>亿股，</w:t>
      </w:r>
      <w:r>
        <w:rPr/>
        <w:t>EPS18.216</w:t>
      </w:r>
      <w:r>
        <w:rPr/>
        <w:t>。</w:t>
      </w:r>
      <w:r>
        <w:rPr/>
        <w:t>26</w:t>
      </w:r>
      <w:r>
        <w:rPr/>
        <w:t>倍得到</w:t>
      </w:r>
      <w:r>
        <w:rPr/>
        <w:t>520.98</w:t>
      </w:r>
      <w:r>
        <w:rPr/>
        <w:t>港元，只比现价高</w:t>
      </w:r>
      <w:r>
        <w:rPr/>
        <w:t>6.02%</w:t>
      </w:r>
      <w:r>
        <w:rPr/>
        <w:t>，说明短期需求仍需验证，长期故事不能自动变成年底大涨。</w:t>
      </w:r>
    </w:p>
    <w:p>
      <w:pPr>
        <w:pStyle w:val="Normal"/>
        <w:rPr/>
      </w:pPr>
      <w:r>
        <w:rPr/>
        <w:t>年底悲观</w:t>
      </w:r>
      <w:r>
        <w:rPr/>
        <w:t>173.12</w:t>
      </w:r>
      <w:r>
        <w:rPr/>
        <w:t>、乐观</w:t>
      </w:r>
      <w:r>
        <w:rPr/>
        <w:t>915.38</w:t>
      </w:r>
      <w:r>
        <w:rPr/>
        <w:t>，相对现价分别</w:t>
      </w:r>
      <w:r>
        <w:rPr/>
        <w:t>-64.77%</w:t>
      </w:r>
      <w:r>
        <w:rPr/>
        <w:t>、</w:t>
      </w:r>
      <w:r>
        <w:rPr/>
        <w:t>+86.28%</w:t>
      </w:r>
      <w:r>
        <w:rPr/>
        <w:t>。严重悲观表示市场提前重估需求、制造利润和融资风险，并非预测两个月一定发生经营崩溃；乐观表示需求预期恢复与成长估值共同提升。价格可以在年底前对未来路径作重新定价，因此情景有必要，但权重不能当统计概率。实际黑天鹅、停牌或质量风险可能让价格超出这个区间，投资规模应承受更多不确定性。</w:t>
      </w:r>
    </w:p>
    <w:p>
      <w:pPr>
        <w:pStyle w:val="Normal"/>
        <w:rPr/>
      </w:pPr>
      <w:r>
        <w:rPr/>
        <w:t>默认权重得到</w:t>
      </w:r>
      <w:r>
        <w:rPr/>
        <w:t>532.615</w:t>
      </w:r>
      <w:r>
        <w:rPr/>
        <w:t>港元、</w:t>
      </w:r>
      <w:r>
        <w:rPr/>
        <w:t>8.39%</w:t>
      </w:r>
      <w:r>
        <w:rPr/>
        <w:t>期望回报，悲观权重提高到</w:t>
      </w:r>
      <w:r>
        <w:rPr/>
        <w:t>40%</w:t>
      </w:r>
      <w:r>
        <w:rPr/>
        <w:t>、乐观降到</w:t>
      </w:r>
      <w:r>
        <w:rPr/>
        <w:t>10%</w:t>
      </w:r>
      <w:r>
        <w:rPr/>
        <w:t>会变成</w:t>
      </w:r>
      <w:r>
        <w:rPr/>
        <w:t>421.276</w:t>
      </w:r>
      <w:r>
        <w:rPr/>
        <w:t>、</w:t>
      </w:r>
      <w:r>
        <w:rPr/>
        <w:t>-14.27%</w:t>
      </w:r>
      <w:r>
        <w:rPr/>
        <w:t>；相反提高乐观会得到</w:t>
      </w:r>
      <w:r>
        <w:rPr/>
        <w:t>643.954</w:t>
      </w:r>
      <w:r>
        <w:rPr/>
        <w:t>、</w:t>
      </w:r>
      <w:r>
        <w:rPr/>
        <w:t>31.04%</w:t>
      </w:r>
      <w:r>
        <w:rPr/>
        <w:t>。这种敏感性说明所谓期望值强烈依赖判断，不能把小数精度当预测精度。年底重点观察三季度毛利、扣非利润、现金与需求评论，若只是目标价新闻支持而经营数据不支持，应降低乐观权重并刷新全套快照。</w:t>
      </w:r>
    </w:p>
    <w:p>
      <w:pPr>
        <w:pStyle w:val="Heading2"/>
        <w:rPr/>
      </w:pPr>
      <w:r>
        <w:rPr>
          <w:color w:val="000000"/>
        </w:rPr>
        <w:t>二十八 半年逻辑重在估值与量价修复</w:t>
      </w:r>
    </w:p>
    <w:p>
      <w:pPr>
        <w:pStyle w:val="Normal"/>
        <w:rPr/>
      </w:pPr>
      <w:r>
        <w:rPr/>
        <w:t>半年基准目标</w:t>
      </w:r>
      <w:r>
        <w:rPr/>
        <w:t>580.27</w:t>
      </w:r>
      <w:r>
        <w:rPr/>
        <w:t>港元、股价回报</w:t>
      </w:r>
      <w:r>
        <w:rPr/>
        <w:t>18.09%</w:t>
      </w:r>
      <w:r>
        <w:rPr/>
        <w:t>，得分</w:t>
      </w:r>
      <w:r>
        <w:rPr/>
        <w:t>61.0</w:t>
      </w:r>
      <w:r>
        <w:rPr/>
        <w:t>，明显低于长周期。这一期限把量价权重</w:t>
      </w:r>
      <w:r>
        <w:rPr/>
        <w:t>30%</w:t>
      </w:r>
      <w:r>
        <w:rPr/>
        <w:t>，当前均线下降、相对市场落后、上涨量偏弱都制约排名。基准</w:t>
      </w:r>
      <w:r>
        <w:rPr/>
        <w:t>EPS20.289</w:t>
      </w:r>
      <w:r>
        <w:rPr/>
        <w:t>高于年底，要求动力和储能需求逐步清晰并改善正常利润率，但到四月九日不自动计入尚未支付的年度股息。实际年度公告和除息日期未知，分红保守设零，是明确时点假设。</w:t>
      </w:r>
    </w:p>
    <w:p>
      <w:pPr>
        <w:pStyle w:val="Normal"/>
        <w:rPr/>
      </w:pPr>
      <w:r>
        <w:rPr/>
        <w:t>短期收益来源可以是需求担忧降低、季度利润验证和估值修复，仍需成交结构帮助确认。里昂新闻指出可能到明年首季才见较清晰需求，说明半年窗口可能包含催化，也可能只是继续等待。研究不把机构强评级视为立刻上涨保证。如果</w:t>
      </w:r>
      <w:r>
        <w:rPr/>
        <w:t>499</w:t>
      </w:r>
      <w:r>
        <w:rPr/>
        <w:t>与</w:t>
      </w:r>
      <w:r>
        <w:rPr/>
        <w:t>557</w:t>
      </w:r>
      <w:r>
        <w:rPr/>
        <w:t>无法收复，或季度现金继续弱于利润，半年路径可能落入悲观</w:t>
      </w:r>
      <w:r>
        <w:rPr/>
        <w:t>165.36</w:t>
      </w:r>
      <w:r>
        <w:rPr/>
        <w:t>。技术位和基本面价格各表达不同问题，不能用较近支撑覆盖远端悲观损失。</w:t>
      </w:r>
    </w:p>
    <w:p>
      <w:pPr>
        <w:pStyle w:val="Normal"/>
        <w:rPr/>
      </w:pPr>
      <w:r>
        <w:rPr/>
        <w:t>半年乐观</w:t>
      </w:r>
      <w:r>
        <w:rPr/>
        <w:t>1056.63</w:t>
      </w:r>
      <w:r>
        <w:rPr/>
        <w:t>要求</w:t>
      </w:r>
      <w:r>
        <w:rPr/>
        <w:t>EPS30.018</w:t>
      </w:r>
      <w:r>
        <w:rPr/>
        <w:t>和</w:t>
      </w:r>
      <w:r>
        <w:rPr/>
        <w:t>32</w:t>
      </w:r>
      <w:r>
        <w:rPr/>
        <w:t>倍，同时需动力收入</w:t>
      </w:r>
      <w:r>
        <w:rPr/>
        <w:t>5350</w:t>
      </w:r>
      <w:r>
        <w:rPr/>
        <w:t>亿元、储能</w:t>
      </w:r>
      <w:r>
        <w:rPr/>
        <w:t>1900</w:t>
      </w:r>
      <w:r>
        <w:rPr/>
        <w:t>亿元与较高正常利润率。这个结果不是简单“回到旧高”模型，也不以过去高价做目标依据。进取投资可重视赔率，但应知道乐观依赖多项条件，不能以最高上涨幅选择全部仓位。更稳健的执行是随盈利与趋势证据更新研究梯队，而不是对一个初版价格作不可改变承诺。</w:t>
      </w:r>
    </w:p>
    <w:p>
      <w:pPr>
        <w:pStyle w:val="Heading2"/>
        <w:rPr/>
      </w:pPr>
      <w:r>
        <w:rPr>
          <w:color w:val="000000"/>
        </w:rPr>
        <w:t>二十九 一年逻辑要由每股盈利验证</w:t>
      </w:r>
    </w:p>
    <w:p>
      <w:pPr>
        <w:pStyle w:val="Normal"/>
        <w:rPr/>
      </w:pPr>
      <w:r>
        <w:rPr/>
        <w:t>一年得分</w:t>
      </w:r>
      <w:r>
        <w:rPr/>
        <w:t>73.2</w:t>
      </w:r>
      <w:r>
        <w:rPr/>
        <w:t>，基准股价回报</w:t>
      </w:r>
      <w:r>
        <w:rPr/>
        <w:t>33.96%</w:t>
      </w:r>
      <w:r>
        <w:rPr/>
        <w:t>、含息</w:t>
      </w:r>
      <w:r>
        <w:rPr/>
        <w:t>35.59%</w:t>
      </w:r>
      <w:r>
        <w:rPr/>
        <w:t>，较半年改善来自较完整经营验证窗口。动力份额、储能项目交付、海外启动效率和研发转化有时间进入财表，也给资本开支和现金流提供更多核验期。基准</w:t>
      </w:r>
      <w:r>
        <w:rPr/>
        <w:t>EPS23.937</w:t>
      </w:r>
      <w:r>
        <w:rPr/>
        <w:t>不是把最新利润简单年化，而由公开经营桥得到。新增股数假设与有限金融贡献显示，即便集团利润增长，普通股东每股收益仍需要单独判断。</w:t>
      </w:r>
    </w:p>
    <w:p>
      <w:pPr>
        <w:pStyle w:val="Normal"/>
        <w:rPr/>
      </w:pPr>
      <w:r>
        <w:rPr/>
        <w:t>一年可能的失败路径包括储能订单增长却延迟验收、动力需求放缓及客户降价、海外产线成本偏高、应收和库存持续占资，以及融资扩大。只要其中几项联合发生，原有成长溢价会减少，悲观目标可能很低。应观察经营现金与资本支出后的资源、扣非利润以及正常毛利，而不只等待机构上调目标。若实际利润增长小于股数增长，推荐核心已经被削弱，即使收入保持两位数也需要下调。</w:t>
      </w:r>
    </w:p>
    <w:p>
      <w:pPr>
        <w:pStyle w:val="Normal"/>
        <w:rPr/>
      </w:pPr>
      <w:r>
        <w:rPr/>
        <w:t>一年分红基准</w:t>
      </w:r>
      <w:r>
        <w:rPr/>
        <w:t>8</w:t>
      </w:r>
      <w:r>
        <w:rPr/>
        <w:t>港元仅占现价较小比例，主要收益仍来自股价，不能把这只证券称为稳定高息替代品。研究不保证公司维持某个派息率，也不将过去大额股息无限延续。进取型一年投资成立，需要盈利持续性提高到足以支持</w:t>
      </w:r>
      <w:r>
        <w:rPr/>
        <w:t>25</w:t>
      </w:r>
      <w:r>
        <w:rPr/>
        <w:t>倍正常盈利，而不是仅因较旧高大幅下跌。与其他公司比较时，收益空间应与悲观损失、现金和证据可信度共同排序，不能只按目标涨幅。</w:t>
      </w:r>
    </w:p>
    <w:p>
      <w:pPr>
        <w:pStyle w:val="Heading2"/>
        <w:rPr/>
      </w:pPr>
      <w:r>
        <w:rPr>
          <w:color w:val="000000"/>
        </w:rPr>
        <w:t>三十 三年经营路径与资本回报</w:t>
      </w:r>
    </w:p>
    <w:p>
      <w:pPr>
        <w:pStyle w:val="Normal"/>
        <w:rPr/>
      </w:pPr>
      <w:r>
        <w:rPr/>
        <w:t>三年基准动力</w:t>
      </w:r>
      <w:r>
        <w:rPr/>
        <w:t>6500</w:t>
      </w:r>
      <w:r>
        <w:rPr/>
        <w:t>亿元、储能</w:t>
      </w:r>
      <w:r>
        <w:rPr/>
        <w:t>2900</w:t>
      </w:r>
      <w:r>
        <w:rPr/>
        <w:t>亿元、材料</w:t>
      </w:r>
      <w:r>
        <w:rPr/>
        <w:t>650</w:t>
      </w:r>
      <w:r>
        <w:rPr/>
        <w:t>亿元、其他</w:t>
      </w:r>
      <w:r>
        <w:rPr/>
        <w:t>500</w:t>
      </w:r>
      <w:r>
        <w:rPr/>
        <w:t>亿元，正常率</w:t>
      </w:r>
      <w:r>
        <w:rPr/>
        <w:t>17%</w:t>
      </w:r>
      <w:r>
        <w:rPr/>
        <w:t>、</w:t>
      </w:r>
      <w:r>
        <w:rPr/>
        <w:t>20%</w:t>
      </w:r>
      <w:r>
        <w:rPr/>
        <w:t>、</w:t>
      </w:r>
      <w:r>
        <w:rPr/>
        <w:t>17%</w:t>
      </w:r>
      <w:r>
        <w:rPr/>
        <w:t>、</w:t>
      </w:r>
      <w:r>
        <w:rPr/>
        <w:t>28%</w:t>
      </w:r>
      <w:r>
        <w:rPr/>
        <w:t>，金融联营</w:t>
      </w:r>
      <w:r>
        <w:rPr/>
        <w:t>90</w:t>
      </w:r>
      <w:r>
        <w:rPr/>
        <w:t>亿元。税后归母</w:t>
      </w:r>
      <w:r>
        <w:rPr/>
        <w:t>EPS34.768</w:t>
      </w:r>
      <w:r>
        <w:rPr/>
        <w:t>、</w:t>
      </w:r>
      <w:r>
        <w:rPr/>
        <w:t>24</w:t>
      </w:r>
      <w:r>
        <w:rPr/>
        <w:t>倍，目标</w:t>
      </w:r>
      <w:r>
        <w:rPr/>
        <w:t>917.88</w:t>
      </w:r>
      <w:r>
        <w:rPr/>
        <w:t>港元；累计股息</w:t>
      </w:r>
      <w:r>
        <w:rPr/>
        <w:t>27</w:t>
      </w:r>
      <w:r>
        <w:rPr/>
        <w:t>港元，含息</w:t>
      </w:r>
      <w:r>
        <w:rPr/>
        <w:t>92.28%</w:t>
      </w:r>
      <w:r>
        <w:rPr/>
        <w:t>、年化</w:t>
      </w:r>
      <w:r>
        <w:rPr/>
        <w:t>24.35%</w:t>
      </w:r>
      <w:r>
        <w:rPr/>
        <w:t>。这需要相当规模扩张，尤其储能持续成长，却没有继续按当前</w:t>
      </w:r>
      <w:r>
        <w:rPr/>
        <w:t>87.54%</w:t>
      </w:r>
      <w:r>
        <w:rPr/>
        <w:t>增速机械外推。收入桥更明确，也暴露需求与资本效率必须共同兑现的难度。</w:t>
      </w:r>
    </w:p>
    <w:p>
      <w:pPr>
        <w:pStyle w:val="Normal"/>
        <w:rPr/>
      </w:pPr>
      <w:r>
        <w:rPr/>
        <w:t>三年较高</w:t>
      </w:r>
      <w:r>
        <w:rPr/>
        <w:t>81.6</w:t>
      </w:r>
      <w:r>
        <w:rPr/>
        <w:t>分反映技术周期、客户关系和电力需求潜力，而不是确信三年获得目标回报。投资者应检查新增产能是否达到正常利用率、海外利润是否真正归母、质量准备是否受控、现金能否支持分红与增长。若制造资产增加快于正常盈利，资本回报可能下降，即使市场份额领先也不应给原倍数。长期模型需要通过年度数据逐步替换假设，保留每次变化的来源和版本。</w:t>
      </w:r>
    </w:p>
    <w:p>
      <w:pPr>
        <w:pStyle w:val="Normal"/>
        <w:rPr/>
      </w:pPr>
      <w:r>
        <w:rPr/>
        <w:t>三年悲观</w:t>
      </w:r>
      <w:r>
        <w:rPr/>
        <w:t>122.31</w:t>
      </w:r>
      <w:r>
        <w:rPr/>
        <w:t>、乐观</w:t>
      </w:r>
      <w:r>
        <w:rPr/>
        <w:t>2267.06</w:t>
      </w:r>
      <w:r>
        <w:rPr/>
        <w:t>，表达大范围路径差异。悲观不假设业务归零，但低利润率、需求慢和摊薄会使</w:t>
      </w:r>
      <w:r>
        <w:rPr/>
        <w:t>EPS7.413</w:t>
      </w:r>
      <w:r>
        <w:rPr/>
        <w:t>，再叠</w:t>
      </w:r>
      <w:r>
        <w:rPr/>
        <w:t>15</w:t>
      </w:r>
      <w:r>
        <w:rPr/>
        <w:t>倍估值；乐观</w:t>
      </w:r>
      <w:r>
        <w:rPr/>
        <w:t>EPS64.405</w:t>
      </w:r>
      <w:r>
        <w:rPr/>
        <w:t>要求动力</w:t>
      </w:r>
      <w:r>
        <w:rPr/>
        <w:t>8500</w:t>
      </w:r>
      <w:r>
        <w:rPr/>
        <w:t>亿元、储能</w:t>
      </w:r>
      <w:r>
        <w:rPr/>
        <w:t>4900</w:t>
      </w:r>
      <w:r>
        <w:rPr/>
        <w:t>亿元并保持高效率。高增长的绝对数越大，竞争、资源和执行要求越高。研究不让三年高分掩盖尾部风险，也不把三年持有理解成期间无需检查的被动承诺。</w:t>
      </w:r>
    </w:p>
    <w:p>
      <w:pPr>
        <w:pStyle w:val="Heading2"/>
        <w:rPr/>
      </w:pPr>
      <w:r>
        <w:rPr>
          <w:color w:val="000000"/>
        </w:rPr>
        <w:t>三十一 五年与十年持续性展望</w:t>
      </w:r>
    </w:p>
    <w:p>
      <w:pPr>
        <w:pStyle w:val="Normal"/>
        <w:rPr/>
      </w:pPr>
      <w:r>
        <w:rPr/>
        <w:t>五年基准</w:t>
      </w:r>
      <w:r>
        <w:rPr/>
        <w:t>EPS46.301</w:t>
      </w:r>
      <w:r>
        <w:rPr/>
        <w:t>、</w:t>
      </w:r>
      <w:r>
        <w:rPr/>
        <w:t>23</w:t>
      </w:r>
      <w:r>
        <w:rPr/>
        <w:t>倍，目标</w:t>
      </w:r>
      <w:r>
        <w:rPr/>
        <w:t>1171.42</w:t>
      </w:r>
      <w:r>
        <w:rPr/>
        <w:t>港元，累计股息</w:t>
      </w:r>
      <w:r>
        <w:rPr/>
        <w:t>53</w:t>
      </w:r>
      <w:r>
        <w:rPr/>
        <w:t>港元，含息年化</w:t>
      </w:r>
      <w:r>
        <w:rPr/>
        <w:t>20.03%</w:t>
      </w:r>
      <w:r>
        <w:rPr/>
        <w:t>。</w:t>
      </w:r>
      <w:r>
        <w:rPr/>
        <w:t>83.6</w:t>
      </w:r>
      <w:r>
        <w:rPr/>
        <w:t>分来自动力、储能、产品矩阵和全球客户的持续性潜力，但规模大意味着增长门槛提高。基准储能收入</w:t>
      </w:r>
      <w:r>
        <w:rPr/>
        <w:t>4300</w:t>
      </w:r>
      <w:r>
        <w:rPr/>
        <w:t>亿元、动力</w:t>
      </w:r>
      <w:r>
        <w:rPr/>
        <w:t>7800</w:t>
      </w:r>
      <w:r>
        <w:rPr/>
        <w:t>亿元，需要需求、系统能力与客户经营有效支持。不能将电池总市场扩大直接当公司市场份额不变，公司需不断证明产品经济性和资本纪律。</w:t>
      </w:r>
    </w:p>
    <w:p>
      <w:pPr>
        <w:pStyle w:val="Normal"/>
        <w:rPr/>
      </w:pPr>
      <w:r>
        <w:rPr/>
        <w:t>十年观察应围绕电动化渗透、储能全寿命成本、化学体系替代、制造本地化与资源循环。公司可能逐步从单一电池供货向能源系统和服务扩大，但不同业务需要不同能力，平台化并不是必然结果。换电、零碳和新应用若有真实客户经济性，可能成为持续收入；若需要公司长期垫资且利用不足，可能成为现金负担。本文不给未经经营桥验证的十年股价，避免远期精确数字制造确定性。</w:t>
      </w:r>
    </w:p>
    <w:p>
      <w:pPr>
        <w:pStyle w:val="Normal"/>
        <w:rPr/>
      </w:pPr>
      <w:r>
        <w:rPr/>
        <w:t>五年悲观</w:t>
      </w:r>
      <w:r>
        <w:rPr/>
        <w:t>104.61</w:t>
      </w:r>
      <w:r>
        <w:rPr/>
        <w:t>、乐观</w:t>
      </w:r>
      <w:r>
        <w:rPr/>
        <w:t>3301.58</w:t>
      </w:r>
      <w:r>
        <w:rPr/>
        <w:t>，乐观需要</w:t>
      </w:r>
      <w:r>
        <w:rPr/>
        <w:t>EPS100.048</w:t>
      </w:r>
      <w:r>
        <w:rPr/>
        <w:t>以及</w:t>
      </w:r>
      <w:r>
        <w:rPr/>
        <w:t>30</w:t>
      </w:r>
      <w:r>
        <w:rPr/>
        <w:t>倍，明显是强增长强执行条件。对如此远的期限，应重视公司能否保持技术商业回报、专业治理与退出纪律，而非追踪每季度股价是否向目标移动。若研发路线转移、新技术削弱现有资产，或者监管要求改变利润归属，整个模型需要重建。长期高分是一项需要持续反证的判断，不是永久认可某一家公司。</w:t>
      </w:r>
    </w:p>
    <w:p>
      <w:pPr>
        <w:pStyle w:val="Heading2"/>
        <w:rPr/>
      </w:pPr>
      <w:r>
        <w:rPr>
          <w:color w:val="000000"/>
        </w:rPr>
        <w:t>三十二 外资目标价的使用和冲突核验</w:t>
      </w:r>
    </w:p>
    <w:p>
      <w:pPr>
        <w:pStyle w:val="Normal"/>
        <w:rPr/>
      </w:pPr>
      <w:r>
        <w:rPr/>
        <w:t>十月九日</w:t>
      </w:r>
      <w:r>
        <w:rPr/>
        <w:t>10</w:t>
      </w:r>
      <w:r>
        <w:rPr/>
        <w:t>时</w:t>
      </w:r>
      <w:r>
        <w:rPr/>
        <w:t>46</w:t>
      </w:r>
      <w:r>
        <w:rPr/>
        <w:t>分公开里昂新闻把</w:t>
      </w:r>
      <w:r>
        <w:rPr/>
        <w:t>H</w:t>
      </w:r>
      <w:r>
        <w:rPr/>
        <w:t>股目标从</w:t>
      </w:r>
      <w:r>
        <w:rPr/>
        <w:t>770</w:t>
      </w:r>
      <w:r>
        <w:rPr/>
        <w:t>降至</w:t>
      </w:r>
      <w:r>
        <w:rPr/>
        <w:t>670</w:t>
      </w:r>
      <w:r>
        <w:rPr/>
        <w:t>港元、维持高度确信跑赢大市，</w:t>
      </w:r>
      <w:r>
        <w:rPr/>
        <w:t>A</w:t>
      </w:r>
      <w:r>
        <w:rPr/>
        <w:t>股目标从</w:t>
      </w:r>
      <w:r>
        <w:rPr/>
        <w:t>535</w:t>
      </w:r>
      <w:r>
        <w:rPr/>
        <w:t>人民币降至</w:t>
      </w:r>
      <w:r>
        <w:rPr/>
        <w:t>460</w:t>
      </w:r>
      <w:r>
        <w:rPr/>
        <w:t>。</w:t>
      </w:r>
      <w:r>
        <w:rPr/>
        <w:t>H</w:t>
      </w:r>
      <w:r>
        <w:rPr/>
        <w:t>目标较现价高</w:t>
      </w:r>
      <w:r>
        <w:rPr/>
        <w:t>36.35%</w:t>
      </w:r>
      <w:r>
        <w:rPr/>
        <w:t>，但新闻没有给出明确目标期限，模型记录为空。本文不把</w:t>
      </w:r>
      <w:r>
        <w:rPr/>
        <w:t>A</w:t>
      </w:r>
      <w:r>
        <w:rPr/>
        <w:t>股人民币价格与</w:t>
      </w:r>
      <w:r>
        <w:rPr/>
        <w:t>H</w:t>
      </w:r>
      <w:r>
        <w:rPr/>
        <w:t>股港元混合，也不把机构标题内“</w:t>
      </w:r>
      <w:r>
        <w:rPr/>
        <w:t>670</w:t>
      </w:r>
      <w:r>
        <w:rPr/>
        <w:t>元”当人民币。原研报未取得，因此定性与数字均标新闻转述，不声称亲阅完整估值模型。</w:t>
      </w:r>
    </w:p>
    <w:p>
      <w:pPr>
        <w:pStyle w:val="Normal"/>
        <w:rPr/>
      </w:pPr>
      <w:r>
        <w:rPr/>
        <w:t>该新闻的盈利和</w:t>
      </w:r>
      <w:r>
        <w:rPr/>
        <w:t>PE</w:t>
      </w:r>
      <w:r>
        <w:rPr/>
        <w:t>描述有需要警惕的内部关系：</w:t>
      </w:r>
      <w:r>
        <w:rPr/>
        <w:t>1160</w:t>
      </w:r>
      <w:r>
        <w:rPr/>
        <w:t>亿元人民币归母若除当前约</w:t>
      </w:r>
      <w:r>
        <w:rPr/>
        <w:t>46.27</w:t>
      </w:r>
      <w:r>
        <w:rPr/>
        <w:t>亿股，再以</w:t>
      </w:r>
      <w:r>
        <w:rPr/>
        <w:t>1.10</w:t>
      </w:r>
      <w:r>
        <w:rPr/>
        <w:t>换成港元</w:t>
      </w:r>
      <w:r>
        <w:rPr/>
        <w:t>EPS</w:t>
      </w:r>
      <w:r>
        <w:rPr/>
        <w:t>，现价对应约</w:t>
      </w:r>
      <w:r>
        <w:rPr/>
        <w:t>17.8</w:t>
      </w:r>
      <w:r>
        <w:rPr/>
        <w:t>倍，而不是文内</w:t>
      </w:r>
      <w:r>
        <w:rPr/>
        <w:t>11.5</w:t>
      </w:r>
      <w:r>
        <w:rPr/>
        <w:t>倍。可能存在股数、币种、期间或转述问题，缺少原研报不能自行修正。本文仅保留清楚的新目标、评级和首季需求催化观点，不把该</w:t>
      </w:r>
      <w:r>
        <w:rPr/>
        <w:t>PE</w:t>
      </w:r>
      <w:r>
        <w:rPr/>
        <w:t>及盈利机械当作自有输入。这种核验防止外资名义替代实际算术。</w:t>
      </w:r>
    </w:p>
    <w:p>
      <w:pPr>
        <w:pStyle w:val="Normal"/>
        <w:rPr/>
      </w:pPr>
      <w:r>
        <w:rPr/>
        <w:t>十月八日</w:t>
      </w:r>
      <w:r>
        <w:rPr/>
        <w:t>12</w:t>
      </w:r>
      <w:r>
        <w:rPr/>
        <w:t>时</w:t>
      </w:r>
      <w:r>
        <w:rPr/>
        <w:t>50</w:t>
      </w:r>
      <w:r>
        <w:rPr/>
        <w:t>分花旗公开表列宁德买入、</w:t>
      </w:r>
      <w:r>
        <w:rPr/>
        <w:t>H</w:t>
      </w:r>
      <w:r>
        <w:rPr/>
        <w:t>目标由</w:t>
      </w:r>
      <w:r>
        <w:rPr/>
        <w:t>888</w:t>
      </w:r>
      <w:r>
        <w:rPr/>
        <w:t>降至</w:t>
      </w:r>
      <w:r>
        <w:rPr/>
        <w:t>765</w:t>
      </w:r>
      <w:r>
        <w:rPr/>
        <w:t>港元，较现价高</w:t>
      </w:r>
      <w:r>
        <w:rPr/>
        <w:t>55.68%</w:t>
      </w:r>
      <w:r>
        <w:rPr/>
        <w:t>，期限同样未明。两家目标可作为估值讨论参照，不能算两条报告的简单平均就称市场共识，也不能按剩余月份线性缩成年底价。自有一年基准</w:t>
      </w:r>
      <w:r>
        <w:rPr/>
        <w:t>658.27</w:t>
      </w:r>
      <w:r>
        <w:rPr/>
        <w:t>接近里昂目标只是结果相近，底层假设仍独立；如果主源经营与新闻冲突，主源优先，并保留冲突记录。</w:t>
      </w:r>
    </w:p>
    <w:p>
      <w:pPr>
        <w:pStyle w:val="Heading2"/>
        <w:rPr/>
      </w:pPr>
      <w:r>
        <w:rPr>
          <w:color w:val="000000"/>
        </w:rPr>
        <w:t>三十三 哪些证据会推翻推荐</w:t>
      </w:r>
    </w:p>
    <w:p>
      <w:pPr>
        <w:pStyle w:val="Normal"/>
        <w:rPr/>
      </w:pPr>
      <w:r>
        <w:rPr/>
        <w:t>最直接反证是扣非利润增长放缓而营运现金持续弱、库存及应收占用上升，增长越来越依赖供应商融资。其次是新产能利用率明显降低、正常毛利受压且不能用一次性材料变化解释。第三是产品质量或客户替换使全寿命成本和份额出现结构恶化。发生这些变化时，应该分别调整收入、正常率、资本与股数，重新计算所有情景，不能只在风险段加一句话而保持目标不变。</w:t>
      </w:r>
    </w:p>
    <w:p>
      <w:pPr>
        <w:pStyle w:val="Normal"/>
        <w:rPr/>
      </w:pPr>
      <w:r>
        <w:rPr/>
        <w:t>海外反证包括建设延误、持续超预算、当地成本高于计划、政策限制及合作归属下降。技术反证包括新路线商业化明显慢、研发投入增加而客户经济价值弱、原有产线需要重大减值。治理反证包括资本部署不透明、关联安排损害普通股东、融资频率高于每股增长。进取型研究仍应面对这些失败路径，若证据确实出现，高长期分数应降级或暂不排名，而不是以长期为理由回避。</w:t>
      </w:r>
    </w:p>
    <w:p>
      <w:pPr>
        <w:pStyle w:val="Normal"/>
        <w:rPr/>
      </w:pPr>
      <w:r>
        <w:rPr/>
        <w:t>观察证据的优先顺序是公司公告和财表、可复核经营与现金、再到机构解释和量价。股价先上涨可能提示预期变化，但不能自动验证经营；股价下跌也不必自动否定强现金成长。推荐需要将市场证据与业务证据分别更新，以避免情绪循环。每次调整输入必须保存版本、日期和新旧差异，当前情景快照不能被当作已随新资料自动刷新，跨文件核心数字也应重新核算。</w:t>
      </w:r>
    </w:p>
    <w:p>
      <w:pPr>
        <w:pStyle w:val="Heading2"/>
        <w:rPr/>
      </w:pPr>
      <w:r>
        <w:rPr>
          <w:color w:val="000000"/>
        </w:rPr>
        <w:t>三十四 评分解释与组合内的位置</w:t>
      </w:r>
    </w:p>
    <w:p>
      <w:pPr>
        <w:pStyle w:val="Normal"/>
        <w:rPr/>
      </w:pPr>
      <w:r>
        <w:rPr/>
        <w:t>半年各维度</w:t>
      </w:r>
      <w:r>
        <w:rPr/>
        <w:t>3.3</w:t>
      </w:r>
      <w:r>
        <w:rPr/>
        <w:t>、</w:t>
      </w:r>
      <w:r>
        <w:rPr/>
        <w:t>1.8</w:t>
      </w:r>
      <w:r>
        <w:rPr/>
        <w:t>、</w:t>
      </w:r>
      <w:r>
        <w:rPr/>
        <w:t>4.3</w:t>
      </w:r>
      <w:r>
        <w:rPr/>
        <w:t>、</w:t>
      </w:r>
      <w:r>
        <w:rPr/>
        <w:t>4.0</w:t>
      </w:r>
      <w:r>
        <w:rPr/>
        <w:t>、</w:t>
      </w:r>
      <w:r>
        <w:rPr/>
        <w:t>2.8</w:t>
      </w:r>
      <w:r>
        <w:rPr/>
        <w:t>、</w:t>
      </w:r>
      <w:r>
        <w:rPr/>
        <w:t>3.6</w:t>
      </w:r>
      <w:r>
        <w:rPr/>
        <w:t>，按</w:t>
      </w:r>
      <w:r>
        <w:rPr/>
        <w:t>25%</w:t>
      </w:r>
      <w:r>
        <w:rPr/>
        <w:t>、</w:t>
      </w:r>
      <w:r>
        <w:rPr/>
        <w:t>30%</w:t>
      </w:r>
      <w:r>
        <w:rPr/>
        <w:t>、</w:t>
      </w:r>
      <w:r>
        <w:rPr/>
        <w:t>15%</w:t>
      </w:r>
      <w:r>
        <w:rPr/>
        <w:t>、</w:t>
      </w:r>
      <w:r>
        <w:rPr/>
        <w:t>10%</w:t>
      </w:r>
      <w:r>
        <w:rPr/>
        <w:t>、</w:t>
      </w:r>
      <w:r>
        <w:rPr/>
        <w:t>10%</w:t>
      </w:r>
      <w:r>
        <w:rPr/>
        <w:t>、</w:t>
      </w:r>
      <w:r>
        <w:rPr/>
        <w:t>10%</w:t>
      </w:r>
      <w:r>
        <w:rPr/>
        <w:t>得到</w:t>
      </w:r>
      <w:r>
        <w:rPr/>
        <w:t>61.0</w:t>
      </w:r>
      <w:r>
        <w:rPr/>
        <w:t>。一年分别</w:t>
      </w:r>
      <w:r>
        <w:rPr/>
        <w:t>3.8</w:t>
      </w:r>
      <w:r>
        <w:rPr/>
        <w:t>、</w:t>
      </w:r>
      <w:r>
        <w:rPr/>
        <w:t>1.8</w:t>
      </w:r>
      <w:r>
        <w:rPr/>
        <w:t>、</w:t>
      </w:r>
      <w:r>
        <w:rPr/>
        <w:t>4.4</w:t>
      </w:r>
      <w:r>
        <w:rPr/>
        <w:t>、</w:t>
      </w:r>
      <w:r>
        <w:rPr/>
        <w:t>4.2</w:t>
      </w:r>
      <w:r>
        <w:rPr/>
        <w:t>、</w:t>
      </w:r>
      <w:r>
        <w:rPr/>
        <w:t>3.5</w:t>
      </w:r>
      <w:r>
        <w:rPr/>
        <w:t>、</w:t>
      </w:r>
      <w:r>
        <w:rPr/>
        <w:t>3.6</w:t>
      </w:r>
      <w:r>
        <w:rPr/>
        <w:t>得到</w:t>
      </w:r>
      <w:r>
        <w:rPr/>
        <w:t>73.2</w:t>
      </w:r>
      <w:r>
        <w:rPr/>
        <w:t>；三年</w:t>
      </w:r>
      <w:r>
        <w:rPr/>
        <w:t>4.0</w:t>
      </w:r>
      <w:r>
        <w:rPr/>
        <w:t>、</w:t>
      </w:r>
      <w:r>
        <w:rPr/>
        <w:t>1.8</w:t>
      </w:r>
      <w:r>
        <w:rPr/>
        <w:t>、</w:t>
      </w:r>
      <w:r>
        <w:rPr/>
        <w:t>4.5</w:t>
      </w:r>
      <w:r>
        <w:rPr/>
        <w:t>、</w:t>
      </w:r>
      <w:r>
        <w:rPr/>
        <w:t>4.4</w:t>
      </w:r>
      <w:r>
        <w:rPr/>
        <w:t>、</w:t>
      </w:r>
      <w:r>
        <w:rPr/>
        <w:t>3.5</w:t>
      </w:r>
      <w:r>
        <w:rPr/>
        <w:t>、</w:t>
      </w:r>
      <w:r>
        <w:rPr/>
        <w:t>3.6</w:t>
      </w:r>
      <w:r>
        <w:rPr/>
        <w:t>得到</w:t>
      </w:r>
      <w:r>
        <w:rPr/>
        <w:t>81.6</w:t>
      </w:r>
      <w:r>
        <w:rPr/>
        <w:t>；五年</w:t>
      </w:r>
      <w:r>
        <w:rPr/>
        <w:t>3.9</w:t>
      </w:r>
      <w:r>
        <w:rPr/>
        <w:t>、</w:t>
      </w:r>
      <w:r>
        <w:rPr/>
        <w:t>1.8</w:t>
      </w:r>
      <w:r>
        <w:rPr/>
        <w:t>、</w:t>
      </w:r>
      <w:r>
        <w:rPr/>
        <w:t>4.5</w:t>
      </w:r>
      <w:r>
        <w:rPr/>
        <w:t>、</w:t>
      </w:r>
      <w:r>
        <w:rPr/>
        <w:t>4.5</w:t>
      </w:r>
      <w:r>
        <w:rPr/>
        <w:t>、</w:t>
      </w:r>
      <w:r>
        <w:rPr/>
        <w:t>3.5</w:t>
      </w:r>
      <w:r>
        <w:rPr/>
        <w:t>、</w:t>
      </w:r>
      <w:r>
        <w:rPr/>
        <w:t>3.5</w:t>
      </w:r>
      <w:r>
        <w:rPr/>
        <w:t>得到</w:t>
      </w:r>
      <w:r>
        <w:rPr/>
        <w:t>83.6</w:t>
      </w:r>
      <w:r>
        <w:rPr/>
        <w:t>。技术权重随期限降低，长周期依赖经营质量，分数不解释为获利概率。</w:t>
      </w:r>
    </w:p>
    <w:p>
      <w:pPr>
        <w:pStyle w:val="Normal"/>
        <w:rPr/>
      </w:pPr>
      <w:r>
        <w:rPr/>
        <w:t>证据可信度与推荐分独立。财务主源较高、价格技术双源核验较高，未来收入利润股数与倍数属于中等可信判断，公开机构转述因原报告与期限缺失降低可信度。资金充足不等于所有尾部损失小，长期高分也不等于适合单一重仓。与科技和医药队列比较时，公司提供动力储能成长暴露，但仍受制造、资源、政策与资本周期影响，相关风险不会因为不同股票代码而自然消失。</w:t>
      </w:r>
    </w:p>
    <w:p>
      <w:pPr>
        <w:pStyle w:val="Normal"/>
        <w:rPr/>
      </w:pPr>
      <w:r>
        <w:rPr/>
        <w:t>在进取型全名单中，宁德更适合作为经过持续核验的中长期候选，半年时机需要更多量价与需求证据。初版全榜排名由统一模型完成，本章不自封第一，也不以最大乐观上涨幅争排名。能推翻推荐的现金、利用率、售后与每股增长条件均明确留下，让后续数据可以改变结论。只有经营桥和市场证据同时保持可信，较高长期评分与目标空间才具有实际参考价值。</w:t>
      </w:r>
    </w:p>
    <w:p>
      <w:pPr>
        <w:pStyle w:val="Heading2"/>
        <w:rPr/>
      </w:pPr>
      <w:r>
        <w:rPr>
          <w:color w:val="000000"/>
        </w:rPr>
        <w:t>来源 口径与核验记录</w:t>
      </w:r>
    </w:p>
    <w:p>
      <w:pPr>
        <w:pStyle w:val="Normal"/>
        <w:rPr/>
      </w:pPr>
      <w:r>
        <w:rPr/>
        <w:t>- 2026</w:t>
      </w:r>
      <w:r>
        <w:rPr/>
        <w:t>半年报，巨潮</w:t>
      </w:r>
      <w:r>
        <w:rPr/>
        <w:t>2026-07-25</w:t>
      </w:r>
      <w:r>
        <w:rPr/>
        <w:t>公开，财表千元：</w:t>
      </w:r>
      <w:r>
        <w:rPr/>
        <w:t>https://static.cninfo.com.cn/finalpage/2026-07-25/1225441586.PDF</w:t>
      </w:r>
    </w:p>
    <w:p>
      <w:pPr>
        <w:pStyle w:val="Normal"/>
        <w:rPr/>
      </w:pPr>
      <w:r>
        <w:rPr/>
        <w:t>- 2025</w:t>
      </w:r>
      <w:r>
        <w:rPr/>
        <w:t>年报，巨潮</w:t>
      </w:r>
      <w:r>
        <w:rPr/>
        <w:t>2026-03-10</w:t>
      </w:r>
      <w:r>
        <w:rPr/>
        <w:t>公开，财表千元：</w:t>
      </w:r>
      <w:r>
        <w:rPr/>
        <w:t>https://static.cninfo.com.cn/finalpage/2026-03-10/1225002214.PDF</w:t>
      </w:r>
    </w:p>
    <w:p>
      <w:pPr>
        <w:pStyle w:val="Normal"/>
        <w:rPr/>
      </w:pPr>
      <w:r>
        <w:rPr/>
        <w:t xml:space="preserve">- </w:t>
      </w:r>
      <w:r>
        <w:rPr/>
        <w:t>里昂</w:t>
      </w:r>
      <w:r>
        <w:rPr/>
        <w:t>2026-10-09 10:46</w:t>
      </w:r>
      <w:r>
        <w:rPr/>
        <w:t>公开新闻转述，</w:t>
      </w:r>
      <w:r>
        <w:rPr/>
        <w:t>H670</w:t>
      </w:r>
      <w:r>
        <w:rPr/>
        <w:t>港元，</w:t>
      </w:r>
      <w:r>
        <w:rPr/>
        <w:t>A460</w:t>
      </w:r>
      <w:r>
        <w:rPr/>
        <w:t>人民币，期限未知：</w:t>
      </w:r>
      <w:r>
        <w:rPr/>
        <w:t>https://www.aastocks.com/sc/stocks/analysis/stock-aafn-con/03750/AAFN/NOW.1548483/research-report</w:t>
      </w:r>
    </w:p>
    <w:p>
      <w:pPr>
        <w:pStyle w:val="Normal"/>
        <w:rPr/>
      </w:pPr>
      <w:r>
        <w:rPr/>
        <w:t xml:space="preserve">- </w:t>
      </w:r>
      <w:r>
        <w:rPr/>
        <w:t>花旗</w:t>
      </w:r>
      <w:r>
        <w:rPr/>
        <w:t>2026-10-08 12:50</w:t>
      </w:r>
      <w:r>
        <w:rPr/>
        <w:t>公开目标表转述，</w:t>
      </w:r>
      <w:r>
        <w:rPr/>
        <w:t>H765</w:t>
      </w:r>
      <w:r>
        <w:rPr/>
        <w:t>港元买入，期限未知：</w:t>
      </w:r>
      <w:r>
        <w:rPr/>
        <w:t>https://www.aastocks.com/sc/stocks/analysis/stock-aafn-con/03750/AAFN/NOW.1548298/research-report</w:t>
      </w:r>
    </w:p>
    <w:p>
      <w:pPr>
        <w:pStyle w:val="Normal"/>
        <w:rPr/>
      </w:pPr>
      <w:r>
        <w:rPr/>
        <w:t xml:space="preserve">- </w:t>
      </w:r>
      <w:r>
        <w:rPr/>
        <w:t>行情：</w:t>
      </w:r>
      <w:r>
        <w:rPr/>
        <w:t>data/market_snapshot_locked.json</w:t>
      </w:r>
      <w:r>
        <w:rPr/>
        <w:t>，</w:t>
      </w:r>
      <w:r>
        <w:rPr/>
        <w:t>S073</w:t>
      </w:r>
      <w:r>
        <w:rPr/>
        <w:t>；腾讯与新浪截止日收盘相同，</w:t>
      </w:r>
      <w:r>
        <w:rPr/>
        <w:t>Yahoo</w:t>
      </w:r>
      <w:r>
        <w:rPr/>
        <w:t>与腾讯日线核验。原始来源和复权方法见锁版元数据。</w:t>
      </w:r>
    </w:p>
    <w:p>
      <w:pPr>
        <w:pStyle w:val="Normal"/>
        <w:rPr/>
      </w:pPr>
      <w:r>
        <w:rPr/>
        <w:t xml:space="preserve">- </w:t>
      </w:r>
      <w:r>
        <w:rPr/>
        <w:t>模型：</w:t>
      </w:r>
      <w:r>
        <w:rPr/>
        <w:t>data/catl_model.json</w:t>
      </w:r>
      <w:r>
        <w:rPr/>
        <w:t>，</w:t>
      </w:r>
      <w:r>
        <w:rPr/>
        <w:t>15</w:t>
      </w:r>
      <w:r>
        <w:rPr/>
        <w:t>情景经营桥。现价</w:t>
      </w:r>
      <w:r>
        <w:rPr/>
        <w:t>491.4</w:t>
      </w:r>
      <w:r>
        <w:rPr/>
        <w:t>港元；币种、股数、现金、供应商融资、归母与集团利润分别保留。年度</w:t>
      </w:r>
      <w:r>
        <w:rPr/>
        <w:t>/</w:t>
      </w:r>
      <w:r>
        <w:rPr/>
        <w:t>中期已付股息未计入未来。</w:t>
      </w:r>
    </w:p>
    <w:p>
      <w:pPr>
        <w:pStyle w:val="Normal"/>
        <w:rPr/>
      </w:pPr>
      <w:r>
        <w:rPr/>
        <w:t xml:space="preserve">- </w:t>
      </w:r>
      <w:r>
        <w:rPr/>
        <w:t>有效正文仅第一至三十四节非标题段落；来源、结论卡、表格不计。没有逐笔筹码和换手率，未填造；没有原研报，不虚称完整机构共识。最终</w:t>
      </w:r>
      <w:r>
        <w:rPr/>
        <w:t>Word/PDF</w:t>
      </w:r>
      <w:r>
        <w:rPr/>
        <w:t>统一制作与逐页检查由总报告流程完成。</w:t>
      </w:r>
      <w:r>
        <w:br w:type="page"/>
      </w:r>
    </w:p>
    <w:p>
      <w:pPr>
        <w:pStyle w:val="Heading1"/>
        <w:rPr/>
      </w:pPr>
      <w:bookmarkStart w:id="7" w:name="__RefHeading___Toc10714_312338234"/>
      <w:bookmarkEnd w:id="7"/>
      <w:r>
        <w:rPr>
          <w:color w:val="000000"/>
        </w:rPr>
        <w:t xml:space="preserve">迈瑞医疗 </w:t>
      </w:r>
      <w:r>
        <w:rPr>
          <w:color w:val="000000"/>
        </w:rPr>
        <w:t>300760 SZ</w:t>
      </w:r>
    </w:p>
    <w:p>
      <w:pPr>
        <w:pStyle w:val="Normal"/>
        <w:rPr/>
      </w:pPr>
      <w:r>
        <w:rPr/>
        <w:t xml:space="preserve">300760.SZ </w:t>
      </w:r>
      <w:r>
        <w:rPr/>
        <w:t xml:space="preserve">现价 </w:t>
      </w:r>
      <w:r>
        <w:rPr/>
        <w:t>161.40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195.50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228.00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+41.26%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+43.74%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+79.68%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341.00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+111.28%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+128.00%</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171.60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246.40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175.03CNY</w:t>
      </w:r>
      <w:r>
        <w:rPr/>
        <w:t>，期望股价回报</w:t>
      </w:r>
      <w:r>
        <w:rPr/>
        <w:t>+8.44%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113.90</w:t>
              <w:br/>
              <w:t>-29.43%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195.50</w:t>
              <w:br/>
              <w:t>+21.13%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284.20</w:t>
              <w:br/>
              <w:t>+76.08%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119.00</w:t>
              <w:br/>
              <w:t>-26.27%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228.00</w:t>
              <w:br/>
              <w:t>+41.26%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330.00</w:t>
              <w:br/>
              <w:t>+104.46%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124.80</w:t>
              <w:br/>
              <w:t>-22.68%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276.00</w:t>
              <w:br/>
              <w:t>+71.00%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480.00</w:t>
              <w:br/>
              <w:t>+197.40%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+21.57%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127.50</w:t>
              <w:br/>
              <w:t>-21.00%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341.00</w:t>
              <w:br/>
              <w:t>+111.28%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667.00</w:t>
              <w:br/>
              <w:t>+313.26%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+17.92%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高：巨潮原年报</w:t>
            </w:r>
            <w:r>
              <w:rPr>
                <w:rFonts w:eastAsia="微软雅黑" w:ascii="微软雅黑" w:hAnsi="微软雅黑"/>
                <w:sz w:val="17"/>
              </w:rPr>
              <w:t>/</w:t>
            </w:r>
            <w:r>
              <w:rPr>
                <w:rFonts w:ascii="微软雅黑" w:hAnsi="微软雅黑" w:eastAsia="微软雅黑"/>
                <w:sz w:val="17"/>
              </w:rPr>
              <w:t>中报</w:t>
            </w:r>
            <w:r>
              <w:rPr>
                <w:rFonts w:eastAsia="微软雅黑" w:ascii="微软雅黑" w:hAnsi="微软雅黑"/>
                <w:sz w:val="17"/>
              </w:rPr>
              <w:t>/</w:t>
            </w:r>
            <w:r>
              <w:rPr>
                <w:rFonts w:ascii="微软雅黑" w:hAnsi="微软雅黑" w:eastAsia="微软雅黑"/>
                <w:sz w:val="17"/>
              </w:rPr>
              <w:t>权益分派公告</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高：锁定行情核验；预测本身不保证</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中低：研究</w:t>
            </w:r>
            <w:r>
              <w:rPr>
                <w:rFonts w:eastAsia="微软雅黑" w:ascii="微软雅黑" w:hAnsi="微软雅黑"/>
                <w:sz w:val="17"/>
              </w:rPr>
              <w:t>EPS</w:t>
            </w:r>
            <w:r>
              <w:rPr>
                <w:rFonts w:ascii="微软雅黑" w:hAnsi="微软雅黑" w:eastAsia="微软雅黑"/>
                <w:sz w:val="17"/>
              </w:rPr>
              <w:t>及</w:t>
            </w:r>
            <w:r>
              <w:rPr>
                <w:rFonts w:eastAsia="微软雅黑" w:ascii="微软雅黑" w:hAnsi="微软雅黑"/>
                <w:sz w:val="17"/>
              </w:rPr>
              <w:t>PE</w:t>
            </w:r>
            <w:r>
              <w:rPr>
                <w:rFonts w:ascii="微软雅黑" w:hAnsi="微软雅黑" w:eastAsia="微软雅黑"/>
                <w:sz w:val="17"/>
              </w:rPr>
              <w:t>待后续经营验证</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I014</w:t>
      </w:r>
      <w:r>
        <w:rPr/>
        <w:t>，证券</w:t>
      </w:r>
      <w:r>
        <w:rPr/>
        <w:t>S016</w:t>
      </w:r>
      <w:r>
        <w:rPr/>
        <w:t>、</w:t>
      </w:r>
      <w:r>
        <w:rPr/>
        <w:t>300760.SZ</w:t>
      </w:r>
      <w:r>
        <w:rPr/>
        <w:t>；基准</w:t>
      </w:r>
      <w:r>
        <w:rPr/>
        <w:t>2026</w:t>
      </w:r>
      <w:r>
        <w:rPr/>
        <w:t>年</w:t>
      </w:r>
      <w:r>
        <w:rPr/>
        <w:t>10</w:t>
      </w:r>
      <w:r>
        <w:rPr/>
        <w:t>月</w:t>
      </w:r>
      <w:r>
        <w:rPr/>
        <w:t>9</w:t>
      </w:r>
      <w:r>
        <w:rPr/>
        <w:t>日实际收盘</w:t>
      </w:r>
      <w:r>
        <w:rPr/>
        <w:t>161.40</w:t>
      </w:r>
      <w:r>
        <w:rPr/>
        <w:t>元人民币。资料截止同日，主要证据为巨潮资讯原</w:t>
      </w:r>
      <w:r>
        <w:rPr/>
        <w:t>2025</w:t>
      </w:r>
      <w:r>
        <w:rPr/>
        <w:t>年报、</w:t>
      </w:r>
      <w:r>
        <w:rPr/>
        <w:t>2024</w:t>
      </w:r>
      <w:r>
        <w:rPr/>
        <w:t>年报及</w:t>
      </w:r>
      <w:r>
        <w:rPr/>
        <w:t>2026</w:t>
      </w:r>
      <w:r>
        <w:rPr/>
        <w:t>半年报，分别于</w:t>
      </w:r>
      <w:r>
        <w:rPr/>
        <w:t>2026</w:t>
      </w:r>
      <w:r>
        <w:rPr/>
        <w:t>年</w:t>
      </w:r>
      <w:r>
        <w:rPr/>
        <w:t>3</w:t>
      </w:r>
      <w:r>
        <w:rPr/>
        <w:t>月</w:t>
      </w:r>
      <w:r>
        <w:rPr/>
        <w:t>31</w:t>
      </w:r>
      <w:r>
        <w:rPr/>
        <w:t>日、</w:t>
      </w:r>
      <w:r>
        <w:rPr/>
        <w:t>2025</w:t>
      </w:r>
      <w:r>
        <w:rPr/>
        <w:t>年</w:t>
      </w:r>
      <w:r>
        <w:rPr/>
        <w:t>4</w:t>
      </w:r>
      <w:r>
        <w:rPr/>
        <w:t>月</w:t>
      </w:r>
      <w:r>
        <w:rPr/>
        <w:t>29</w:t>
      </w:r>
      <w:r>
        <w:rPr/>
        <w:t>日及</w:t>
      </w:r>
      <w:r>
        <w:rPr/>
        <w:t>2026</w:t>
      </w:r>
      <w:r>
        <w:rPr/>
        <w:t>年</w:t>
      </w:r>
      <w:r>
        <w:rPr/>
        <w:t>8</w:t>
      </w:r>
      <w:r>
        <w:rPr/>
        <w:t>月</w:t>
      </w:r>
      <w:r>
        <w:rPr/>
        <w:t>29</w:t>
      </w:r>
      <w:r>
        <w:rPr/>
        <w:t>日公开。半年报由安永审阅，保证程度低于年度审计；公告精确上传时刻未核，不臆称盘中发布。远期</w:t>
      </w:r>
      <w:r>
        <w:rPr/>
        <w:t>EPS</w:t>
      </w:r>
      <w:r>
        <w:rPr/>
        <w:t>与</w:t>
      </w:r>
      <w:r>
        <w:rPr/>
        <w:t>PE</w:t>
      </w:r>
      <w:r>
        <w:rPr/>
        <w:t>为研究假设，本文为独立初版。所有经营数字以合并口径为主，明确母公司和少数股东差异。</w:t>
      </w:r>
    </w:p>
    <w:p>
      <w:pPr>
        <w:pStyle w:val="Heading2"/>
        <w:rPr/>
      </w:pPr>
      <w:r>
        <w:rPr>
          <w:color w:val="000000"/>
        </w:rPr>
        <w:t>投资结论与四期限数字</w:t>
      </w:r>
    </w:p>
    <w:p>
      <w:pPr>
        <w:pStyle w:val="Normal"/>
        <w:rPr/>
      </w:pPr>
      <w:r>
        <w:rPr/>
        <w:t>迈瑞适合三至五年的成长与现金收益研究，一年可以观察复苏兑现，半年评分受尚未修复的长期量价约束。公司国内设备采购已经历较深调整，海外业务继续增长，体外诊断和新兴业务改善收入结构。这些优势有真实产品、收入、现金与客户装机支撑。但医疗需求长期增加不等于医院当年采购预算增加，国内检验控费也可能使公司提高份额而行业收入仍收缩，推荐必须同时评价企业竞争力和购买价格。</w:t>
      </w:r>
    </w:p>
    <w:p>
      <w:pPr>
        <w:pStyle w:val="Normal"/>
        <w:rPr/>
      </w:pPr>
      <w:r>
        <w:rPr/>
        <w:t>四期限评分为半年</w:t>
      </w:r>
      <w:r>
        <w:rPr/>
        <w:t>70.5</w:t>
      </w:r>
      <w:r>
        <w:rPr/>
        <w:t>、一年</w:t>
      </w:r>
      <w:r>
        <w:rPr/>
        <w:t>75.6</w:t>
      </w:r>
      <w:r>
        <w:rPr/>
        <w:t>、三年</w:t>
      </w:r>
      <w:r>
        <w:rPr/>
        <w:t>81.8</w:t>
      </w:r>
      <w:r>
        <w:rPr/>
        <w:t>、五年</w:t>
      </w:r>
      <w:r>
        <w:rPr/>
        <w:t>83.2</w:t>
      </w:r>
      <w:r>
        <w:rPr/>
        <w:t>。长期评分较高，主要因为产品工程与渠道持续性、海外低份额带来的扩张空间及现金缓冲；半年技术只有</w:t>
      </w:r>
      <w:r>
        <w:rPr/>
        <w:t>3.0</w:t>
      </w:r>
      <w:r>
        <w:rPr/>
        <w:t>分，最新涨幅不能抵消</w:t>
      </w:r>
      <w:r>
        <w:rPr/>
        <w:t>250</w:t>
      </w:r>
      <w:r>
        <w:rPr/>
        <w:t>日线和长期周线仍在现价上方。全名单的名次和梯队由总表统一排序，本章不先声称某一绝对名次。独立财务证据可信度高，技术历史核验可信度高，远期盈利和估值假设可信度中低，机构目标缺失。</w:t>
      </w:r>
    </w:p>
    <w:p>
      <w:pPr>
        <w:pStyle w:val="Normal"/>
        <w:rPr/>
      </w:pPr>
      <w:r>
        <w:rPr/>
        <w:t>基准目标半年</w:t>
      </w:r>
      <w:r>
        <w:rPr/>
        <w:t>195.50</w:t>
      </w:r>
      <w:r>
        <w:rPr/>
        <w:t>元，股价空间</w:t>
      </w:r>
      <w:r>
        <w:rPr/>
        <w:t>21.13%</w:t>
      </w:r>
      <w:r>
        <w:rPr/>
        <w:t>；一年</w:t>
      </w:r>
      <w:r>
        <w:rPr/>
        <w:t>228.00</w:t>
      </w:r>
      <w:r>
        <w:rPr/>
        <w:t>元，空间</w:t>
      </w:r>
      <w:r>
        <w:rPr/>
        <w:t>41.26%</w:t>
      </w:r>
      <w:r>
        <w:rPr/>
        <w:t>；三年</w:t>
      </w:r>
      <w:r>
        <w:rPr/>
        <w:t>276.00</w:t>
      </w:r>
      <w:r>
        <w:rPr/>
        <w:t>元，空间</w:t>
      </w:r>
      <w:r>
        <w:rPr/>
        <w:t>71.00%</w:t>
      </w:r>
      <w:r>
        <w:rPr/>
        <w:t>；五年</w:t>
      </w:r>
      <w:r>
        <w:rPr/>
        <w:t>341.00</w:t>
      </w:r>
      <w:r>
        <w:rPr/>
        <w:t>元，空间</w:t>
      </w:r>
      <w:r>
        <w:rPr/>
        <w:t>111.28%</w:t>
      </w:r>
      <w:r>
        <w:rPr/>
        <w:t>。一年未来累计分红假设</w:t>
      </w:r>
      <w:r>
        <w:rPr/>
        <w:t>4</w:t>
      </w:r>
      <w:r>
        <w:rPr/>
        <w:t>元，基准含分红总回报</w:t>
      </w:r>
      <w:r>
        <w:rPr/>
        <w:t>43.74%</w:t>
      </w:r>
      <w:r>
        <w:rPr/>
        <w:t>；三年</w:t>
      </w:r>
      <w:r>
        <w:rPr/>
        <w:t>14</w:t>
      </w:r>
      <w:r>
        <w:rPr/>
        <w:t>元，含分红年化</w:t>
      </w:r>
      <w:r>
        <w:rPr/>
        <w:t>21.57%</w:t>
      </w:r>
      <w:r>
        <w:rPr/>
        <w:t>；五年</w:t>
      </w:r>
      <w:r>
        <w:rPr/>
        <w:t>27</w:t>
      </w:r>
      <w:r>
        <w:rPr/>
        <w:t>元，年化</w:t>
      </w:r>
      <w:r>
        <w:rPr/>
        <w:t>17.92%</w:t>
      </w:r>
      <w:r>
        <w:rPr/>
        <w:t>。高回报需要正常化盈利从</w:t>
      </w:r>
      <w:r>
        <w:rPr/>
        <w:t>2025</w:t>
      </w:r>
      <w:r>
        <w:rPr/>
        <w:t>低谷逐步恢复并继续扩张，同时合理倍数不能明显低于模型。目标不是保证，各期限亏损路径均单列。</w:t>
      </w:r>
    </w:p>
    <w:p>
      <w:pPr>
        <w:pStyle w:val="Normal"/>
        <w:rPr/>
      </w:pPr>
      <w:r>
        <w:rPr/>
        <w:t>年底三情景为</w:t>
      </w:r>
      <w:r>
        <w:rPr/>
        <w:t>110.50</w:t>
      </w:r>
      <w:r>
        <w:rPr/>
        <w:t>、</w:t>
      </w:r>
      <w:r>
        <w:rPr/>
        <w:t>171.60</w:t>
      </w:r>
      <w:r>
        <w:rPr/>
        <w:t>、</w:t>
      </w:r>
      <w:r>
        <w:rPr/>
        <w:t>246.40</w:t>
      </w:r>
      <w:r>
        <w:rPr/>
        <w:t>元，较基准现价下跌</w:t>
      </w:r>
      <w:r>
        <w:rPr/>
        <w:t>31.54%</w:t>
      </w:r>
      <w:r>
        <w:rPr/>
        <w:t>、上涨</w:t>
      </w:r>
      <w:r>
        <w:rPr/>
        <w:t>6.32%</w:t>
      </w:r>
      <w:r>
        <w:rPr/>
        <w:t>、上涨</w:t>
      </w:r>
      <w:r>
        <w:rPr/>
        <w:t>52.66%</w:t>
      </w:r>
      <w:r>
        <w:rPr/>
        <w:t>；按悲观</w:t>
      </w:r>
      <w:r>
        <w:rPr/>
        <w:t>25%</w:t>
      </w:r>
      <w:r>
        <w:rPr/>
        <w:t>、基准</w:t>
      </w:r>
      <w:r>
        <w:rPr/>
        <w:t>50%</w:t>
      </w:r>
      <w:r>
        <w:rPr/>
        <w:t>、乐观</w:t>
      </w:r>
      <w:r>
        <w:rPr/>
        <w:t>25%</w:t>
      </w:r>
      <w:r>
        <w:rPr/>
        <w:t>加权期望</w:t>
      </w:r>
      <w:r>
        <w:rPr/>
        <w:t>175.025</w:t>
      </w:r>
      <w:r>
        <w:rPr/>
        <w:t>元，约</w:t>
      </w:r>
      <w:r>
        <w:rPr/>
        <w:t>8.44%</w:t>
      </w:r>
      <w:r>
        <w:rPr/>
        <w:t>。剩余时间短，年底乐观需要盈利预期与估值同时重估，不能作为常态预期；悲观并未假设公司失去持续经营能力，主要体现弱复苏和倍数下降。权重是研究判断，区间不代表最大损失，也不是统计置信区间。</w:t>
      </w:r>
    </w:p>
    <w:p>
      <w:pPr>
        <w:pStyle w:val="Normal"/>
        <w:rPr/>
      </w:pPr>
      <w:r>
        <w:rPr/>
        <w:t>最重要的成立条件是海外高端客户和</w:t>
      </w:r>
      <w:r>
        <w:rPr/>
        <w:t>IVD</w:t>
      </w:r>
      <w:r>
        <w:rPr/>
        <w:t>装机转为稳定回款，国内业务至少从下滑走向可持续增长，新兴耗材在支付控费下保持盈利，研发与并购投入最终提高每股现金。反证则是装机增加而试剂消耗不足、设备低价换份额、海外本地化费用持续吞噬利润、商誉或资本化研发回报不足。不能因为企业曾经很优秀就忽略</w:t>
      </w:r>
      <w:r>
        <w:rPr/>
        <w:t>2025</w:t>
      </w:r>
      <w:r>
        <w:rPr/>
        <w:t>利润跌三成，也不能因为跌幅大就认定便宜。</w:t>
      </w:r>
    </w:p>
    <w:p>
      <w:pPr>
        <w:pStyle w:val="Heading2"/>
        <w:rPr/>
      </w:pPr>
      <w:r>
        <w:rPr>
          <w:color w:val="000000"/>
        </w:rPr>
        <w:t>业务结构与客户真正购买的价值</w:t>
      </w:r>
    </w:p>
    <w:p>
      <w:pPr>
        <w:pStyle w:val="Normal"/>
        <w:rPr/>
      </w:pPr>
      <w:r>
        <w:rPr/>
        <w:t>迈瑞经营医疗器械研发、制造、销售和服务，主要产品覆盖体外诊断、生命信息与支持、医学影像和新兴业务。四个板块的需求、交易方式和盈利持续性不同。监护仪和超声设备通常是医院资本开支，试剂、导管和外科耗材更贴近持续诊疗量，信息系统又涉及医院工作流程。公司广产品矩阵可以共享渠道和服务，但不能统一按一种市场周期、毛利或收入倍数估值。</w:t>
      </w:r>
    </w:p>
    <w:p>
      <w:pPr>
        <w:pStyle w:val="Normal"/>
        <w:rPr/>
      </w:pPr>
      <w:r>
        <w:rPr/>
        <w:t>医疗机构采购并不只比较设备价格。准确性、可靠性、停机成本、培训、维修响应、与医院信息系统连接及长期耗材供应共同影响全生命周期成本。公司如果能降低护士重复录入、减少检验差错和提高设备利用率，可以在预算压力下赢得采购；如果宣传功能不能在真实临床兑现，高端定位就难以持续。研究关注实际装机、后续耗材和客户扩购，不将产品名称与市场排名本身视作不可动摇护城河。</w:t>
      </w:r>
    </w:p>
    <w:p>
      <w:pPr>
        <w:pStyle w:val="Normal"/>
        <w:rPr/>
      </w:pPr>
      <w:r>
        <w:rPr/>
        <w:t>成熟跨国竞争者拥有医生使用习惯、长期质量数据和采购网络，迈瑞在不同领域面对的竞争壁垒不同。国产替代可以降低成本并改善服务，真正高端替代还需要算法、探头、试剂原料、临床证据与监管认证。凭借中国工程资源扩大产品线有利，但全球售后与质量体系成本也高。公司越向高端和全院解决方案发展，越须证明不是依靠降价换量，而是能改善医院经营和诊疗结果。</w:t>
      </w:r>
    </w:p>
    <w:p>
      <w:pPr>
        <w:pStyle w:val="Normal"/>
        <w:rPr/>
      </w:pPr>
      <w:r>
        <w:rPr/>
        <w:t>跨产品销售有经济协同：一个医院使用监护系统后，可以更容易评估输注、麻醉和数据系统；实验室流水线进入后，可增加相关试剂检测。但每个产品仍须分别满足临床和采购条件。大医院可能主动保持多品牌以分散风险，医疗信息互联标准也可能减少单供应商锁定。公司的合理优势是更便捷的部署与服务、数据兼容和成本效率，不能假设客户一旦购买一种产品就永久购买所有产品。</w:t>
      </w:r>
    </w:p>
    <w:p>
      <w:pPr>
        <w:pStyle w:val="Normal"/>
        <w:rPr/>
      </w:pPr>
      <w:r>
        <w:rPr/>
        <w:t>企业在一百九十多个国家地区销售，覆盖广泛市场，确实分散单一国内采购周期。但市场数量不等于营收平均分散，也不等于每个地区都高利润。小市场有登记、维护、语言、培训和经销成本，成熟市场有监管和高质量要求，发展市场则有汇率和支付能力风险。规模只有通过稳定盈利和现金回收实现，全球化才为股东创造价值，不能单凭出口国家数赋予高估值。</w:t>
      </w:r>
    </w:p>
    <w:p>
      <w:pPr>
        <w:pStyle w:val="Heading2"/>
        <w:rPr/>
      </w:pPr>
      <w:r>
        <w:rPr>
          <w:color w:val="000000"/>
        </w:rPr>
        <w:t>三年财务历史 从高利润到低谷再恢复</w:t>
      </w:r>
    </w:p>
    <w:p>
      <w:pPr>
        <w:pStyle w:val="Normal"/>
        <w:rPr/>
      </w:pPr>
      <w:r>
        <w:rPr/>
        <w:t>2023</w:t>
      </w:r>
      <w:r>
        <w:rPr/>
        <w:t>收入</w:t>
      </w:r>
      <w:r>
        <w:rPr/>
        <w:t>349.319</w:t>
      </w:r>
      <w:r>
        <w:rPr/>
        <w:t>亿元，归母</w:t>
      </w:r>
      <w:r>
        <w:rPr/>
        <w:t>115.822</w:t>
      </w:r>
      <w:r>
        <w:rPr/>
        <w:t>亿元，稀释</w:t>
      </w:r>
      <w:r>
        <w:rPr/>
        <w:t>EPS9.5577</w:t>
      </w:r>
      <w:r>
        <w:rPr/>
        <w:t>元；</w:t>
      </w:r>
      <w:r>
        <w:rPr/>
        <w:t>2024</w:t>
      </w:r>
      <w:r>
        <w:rPr/>
        <w:t>收入</w:t>
      </w:r>
      <w:r>
        <w:rPr/>
        <w:t>367.257</w:t>
      </w:r>
      <w:r>
        <w:rPr/>
        <w:t>亿元，归母</w:t>
      </w:r>
      <w:r>
        <w:rPr/>
        <w:t>116.685</w:t>
      </w:r>
      <w:r>
        <w:rPr/>
        <w:t>亿元，</w:t>
      </w:r>
      <w:r>
        <w:rPr/>
        <w:t>EPS9.6330</w:t>
      </w:r>
      <w:r>
        <w:rPr/>
        <w:t>元；</w:t>
      </w:r>
      <w:r>
        <w:rPr/>
        <w:t>2025</w:t>
      </w:r>
      <w:r>
        <w:rPr/>
        <w:t>收入</w:t>
      </w:r>
      <w:r>
        <w:rPr/>
        <w:t>332.822</w:t>
      </w:r>
      <w:r>
        <w:rPr/>
        <w:t>亿元，归母</w:t>
      </w:r>
      <w:r>
        <w:rPr/>
        <w:t>81.358</w:t>
      </w:r>
      <w:r>
        <w:rPr/>
        <w:t>亿元，</w:t>
      </w:r>
      <w:r>
        <w:rPr/>
        <w:t>EPS6.7145</w:t>
      </w:r>
      <w:r>
        <w:rPr/>
        <w:t>元。收入先增长约</w:t>
      </w:r>
      <w:r>
        <w:rPr/>
        <w:t>5.1%</w:t>
      </w:r>
      <w:r>
        <w:rPr/>
        <w:t>再下降</w:t>
      </w:r>
      <w:r>
        <w:rPr/>
        <w:t>9.38%</w:t>
      </w:r>
      <w:r>
        <w:rPr/>
        <w:t>，净利在</w:t>
      </w:r>
      <w:r>
        <w:rPr/>
        <w:t>2025</w:t>
      </w:r>
      <w:r>
        <w:rPr/>
        <w:t>下降</w:t>
      </w:r>
      <w:r>
        <w:rPr/>
        <w:t>30.28%</w:t>
      </w:r>
      <w:r>
        <w:rPr/>
        <w:t>。这不是在稳定双位数增长曲线上一次小波动，而是对盈利预期和估值都重要的低谷。当前股价需要对恢复条件重新定价。</w:t>
      </w:r>
    </w:p>
    <w:p>
      <w:pPr>
        <w:pStyle w:val="Normal"/>
        <w:rPr/>
      </w:pPr>
      <w:r>
        <w:rPr/>
        <w:t>同期扣非归母利润</w:t>
      </w:r>
      <w:r>
        <w:rPr/>
        <w:t>2023</w:t>
      </w:r>
      <w:r>
        <w:rPr/>
        <w:t>为</w:t>
      </w:r>
      <w:r>
        <w:rPr/>
        <w:t>114.337</w:t>
      </w:r>
      <w:r>
        <w:rPr/>
        <w:t>亿元、</w:t>
      </w:r>
      <w:r>
        <w:rPr/>
        <w:t>2024</w:t>
      </w:r>
      <w:r>
        <w:rPr/>
        <w:t>为</w:t>
      </w:r>
      <w:r>
        <w:rPr/>
        <w:t>114.420</w:t>
      </w:r>
      <w:r>
        <w:rPr/>
        <w:t>亿元、</w:t>
      </w:r>
      <w:r>
        <w:rPr/>
        <w:t>2025</w:t>
      </w:r>
      <w:r>
        <w:rPr/>
        <w:t>为</w:t>
      </w:r>
      <w:r>
        <w:rPr/>
        <w:t>80.686</w:t>
      </w:r>
      <w:r>
        <w:rPr/>
        <w:t>亿元，</w:t>
      </w:r>
      <w:r>
        <w:rPr/>
        <w:t>2025</w:t>
      </w:r>
      <w:r>
        <w:rPr/>
        <w:t>下降</w:t>
      </w:r>
      <w:r>
        <w:rPr/>
        <w:t>29.48%</w:t>
      </w:r>
      <w:r>
        <w:rPr/>
        <w:t>，与报告净利方向相同。说明</w:t>
      </w:r>
      <w:r>
        <w:rPr/>
        <w:t>2025</w:t>
      </w:r>
      <w:r>
        <w:rPr/>
        <w:t>弱势不是简单剔除一次性损失就可还原全部高利润。经营现金</w:t>
      </w:r>
      <w:r>
        <w:rPr/>
        <w:t>2023</w:t>
      </w:r>
      <w:r>
        <w:rPr/>
        <w:t>为</w:t>
      </w:r>
      <w:r>
        <w:rPr/>
        <w:t>110.620</w:t>
      </w:r>
      <w:r>
        <w:rPr/>
        <w:t>亿元、</w:t>
      </w:r>
      <w:r>
        <w:rPr/>
        <w:t>2024</w:t>
      </w:r>
      <w:r>
        <w:rPr/>
        <w:t>为</w:t>
      </w:r>
      <w:r>
        <w:rPr/>
        <w:t>124.320</w:t>
      </w:r>
      <w:r>
        <w:rPr/>
        <w:t>亿元、</w:t>
      </w:r>
      <w:r>
        <w:rPr/>
        <w:t>2025</w:t>
      </w:r>
      <w:r>
        <w:rPr/>
        <w:t>为</w:t>
      </w:r>
      <w:r>
        <w:rPr/>
        <w:t>101.450</w:t>
      </w:r>
      <w:r>
        <w:rPr/>
        <w:t>亿元，下降</w:t>
      </w:r>
      <w:r>
        <w:rPr/>
        <w:t>18.40%</w:t>
      </w:r>
      <w:r>
        <w:rPr/>
        <w:t>，但仍高于归母利润。现金支持持续经营和研发能力，不等于盈利下滑可以忽略。</w:t>
      </w:r>
    </w:p>
    <w:p>
      <w:pPr>
        <w:pStyle w:val="Normal"/>
        <w:rPr/>
      </w:pPr>
      <w:r>
        <w:rPr/>
        <w:t>2025</w:t>
      </w:r>
      <w:r>
        <w:rPr/>
        <w:t>国际收入</w:t>
      </w:r>
      <w:r>
        <w:rPr/>
        <w:t>176.504</w:t>
      </w:r>
      <w:r>
        <w:rPr/>
        <w:t>亿元，同比增长</w:t>
      </w:r>
      <w:r>
        <w:rPr/>
        <w:t>7.40%</w:t>
      </w:r>
      <w:r>
        <w:rPr/>
        <w:t>；国内</w:t>
      </w:r>
      <w:r>
        <w:rPr/>
        <w:t>156.318</w:t>
      </w:r>
      <w:r>
        <w:rPr/>
        <w:t>亿元，同比下降</w:t>
      </w:r>
      <w:r>
        <w:rPr/>
        <w:t>22.97%</w:t>
      </w:r>
      <w:r>
        <w:rPr/>
        <w:t>。海外增长抵消部分国内损失，却没能避免集团下滑。国内医院预算、设备采购与检验支付调整影响明显。</w:t>
      </w:r>
      <w:r>
        <w:rPr/>
        <w:t>2026</w:t>
      </w:r>
      <w:r>
        <w:rPr/>
        <w:t>半年国内跌幅收窄至</w:t>
      </w:r>
      <w:r>
        <w:rPr/>
        <w:t>1.61%</w:t>
      </w:r>
      <w:r>
        <w:rPr/>
        <w:t>，是低谷改善迹象，但比较基数已显著降低，接近持平不等于回到</w:t>
      </w:r>
      <w:r>
        <w:rPr/>
        <w:t>2024</w:t>
      </w:r>
      <w:r>
        <w:rPr/>
        <w:t>峰值。模型不能把低基数复苏与永续高增长混成一个故事。</w:t>
      </w:r>
    </w:p>
    <w:p>
      <w:pPr>
        <w:pStyle w:val="Normal"/>
        <w:rPr/>
      </w:pPr>
      <w:r>
        <w:rPr/>
        <w:t>2026</w:t>
      </w:r>
      <w:r>
        <w:rPr/>
        <w:t>上半年总收入</w:t>
      </w:r>
      <w:r>
        <w:rPr/>
        <w:t>177.470</w:t>
      </w:r>
      <w:r>
        <w:rPr/>
        <w:t>亿元，增长</w:t>
      </w:r>
      <w:r>
        <w:rPr/>
        <w:t>6.00%</w:t>
      </w:r>
      <w:r>
        <w:rPr/>
        <w:t>；归母</w:t>
      </w:r>
      <w:r>
        <w:rPr/>
        <w:t>47.968</w:t>
      </w:r>
      <w:r>
        <w:rPr/>
        <w:t>亿元，下降</w:t>
      </w:r>
      <w:r>
        <w:rPr/>
        <w:t>5.37%</w:t>
      </w:r>
      <w:r>
        <w:rPr/>
        <w:t>；扣非</w:t>
      </w:r>
      <w:r>
        <w:rPr/>
        <w:t>47.848</w:t>
      </w:r>
      <w:r>
        <w:rPr/>
        <w:t>亿元，下降</w:t>
      </w:r>
      <w:r>
        <w:rPr/>
        <w:t>3.32%</w:t>
      </w:r>
      <w:r>
        <w:rPr/>
        <w:t>；经营现金</w:t>
      </w:r>
      <w:r>
        <w:rPr/>
        <w:t>48.770</w:t>
      </w:r>
      <w:r>
        <w:rPr/>
        <w:t>亿元，增长</w:t>
      </w:r>
      <w:r>
        <w:rPr/>
        <w:t>24.35%</w:t>
      </w:r>
      <w:r>
        <w:rPr/>
        <w:t>。收入开始恢复，利润仍降，现金更强，三条线必须一起解释。与</w:t>
      </w:r>
      <w:r>
        <w:rPr/>
        <w:t>2025</w:t>
      </w:r>
      <w:r>
        <w:rPr/>
        <w:t>低谷相比，经营方向改善但未完全一致。本研究未来</w:t>
      </w:r>
      <w:r>
        <w:rPr/>
        <w:t>EPS</w:t>
      </w:r>
      <w:r>
        <w:rPr/>
        <w:t>恢复不是直接从某一个最积极指标外推，而是要求产品组合、汇兑、费用和现金逐步共同验证。</w:t>
      </w:r>
    </w:p>
    <w:p>
      <w:pPr>
        <w:pStyle w:val="Normal"/>
        <w:rPr/>
      </w:pPr>
      <w:r>
        <w:rPr/>
        <w:t>全年和半年有交付季节性、采购排程与汇率变化，不能把半年</w:t>
      </w:r>
      <w:r>
        <w:rPr/>
        <w:t>EPS3.9583</w:t>
      </w:r>
      <w:r>
        <w:rPr/>
        <w:t>简单乘二声称</w:t>
      </w:r>
      <w:r>
        <w:rPr/>
        <w:t>2026</w:t>
      </w:r>
      <w:r>
        <w:rPr/>
        <w:t>确定</w:t>
      </w:r>
      <w:r>
        <w:rPr/>
        <w:t>7.9166</w:t>
      </w:r>
      <w:r>
        <w:rPr/>
        <w:t>元。这个粗年化值可帮助比较当前估值，但真实下半年收入、费用及少数股东贡献仍须观察。</w:t>
      </w:r>
      <w:r>
        <w:rPr/>
        <w:t>2025</w:t>
      </w:r>
      <w:r>
        <w:rPr/>
        <w:t>低谷利润也不能自动作为长期正常盈利。估值选择的正常化</w:t>
      </w:r>
      <w:r>
        <w:rPr/>
        <w:t>EPS</w:t>
      </w:r>
      <w:r>
        <w:rPr/>
        <w:t>介于历史事实和未来判断，需要在每次报告后重新计算，而非固定一个过去峰值不断重复。</w:t>
      </w:r>
    </w:p>
    <w:p>
      <w:pPr>
        <w:pStyle w:val="Heading2"/>
        <w:rPr/>
      </w:pPr>
      <w:r>
        <w:rPr>
          <w:color w:val="000000"/>
        </w:rPr>
        <w:t>体外诊断 装机 试剂 支付与长期收益</w:t>
      </w:r>
    </w:p>
    <w:p>
      <w:pPr>
        <w:pStyle w:val="Normal"/>
        <w:rPr/>
      </w:pPr>
      <w:r>
        <w:rPr/>
        <w:t>上半年</w:t>
      </w:r>
      <w:r>
        <w:rPr/>
        <w:t>IVD</w:t>
      </w:r>
      <w:r>
        <w:rPr/>
        <w:t>收入</w:t>
      </w:r>
      <w:r>
        <w:rPr/>
        <w:t>68.647</w:t>
      </w:r>
      <w:r>
        <w:rPr/>
        <w:t>亿元，同比增长</w:t>
      </w:r>
      <w:r>
        <w:rPr/>
        <w:t>9.58%</w:t>
      </w:r>
      <w:r>
        <w:rPr/>
        <w:t>，占集团约</w:t>
      </w:r>
      <w:r>
        <w:rPr/>
        <w:t>38.7%</w:t>
      </w:r>
      <w:r>
        <w:rPr/>
        <w:t>；毛利率</w:t>
      </w:r>
      <w:r>
        <w:rPr/>
        <w:t>61.06%</w:t>
      </w:r>
      <w:r>
        <w:rPr/>
        <w:t>，比上期高</w:t>
      </w:r>
      <w:r>
        <w:rPr/>
        <w:t>1.32</w:t>
      </w:r>
      <w:r>
        <w:rPr/>
        <w:t>个百分点。免疫业务增长超过</w:t>
      </w:r>
      <w:r>
        <w:rPr/>
        <w:t>15%</w:t>
      </w:r>
      <w:r>
        <w:rPr/>
        <w:t>，国际</w:t>
      </w:r>
      <w:r>
        <w:rPr/>
        <w:t>IVD</w:t>
      </w:r>
      <w:r>
        <w:rPr/>
        <w:t>增长超过</w:t>
      </w:r>
      <w:r>
        <w:rPr/>
        <w:t>20%</w:t>
      </w:r>
      <w:r>
        <w:rPr/>
        <w:t>，国内</w:t>
      </w:r>
      <w:r>
        <w:rPr/>
        <w:t>IVD</w:t>
      </w:r>
      <w:r>
        <w:rPr/>
        <w:t>占国内收入约一半。设备弱复苏背景下，</w:t>
      </w:r>
      <w:r>
        <w:rPr/>
        <w:t>IVD</w:t>
      </w:r>
      <w:r>
        <w:rPr/>
        <w:t>是较重要的持续收入基础，但试剂用量与价格直接受到医保和医疗服务价格政策影响，不能按“耗材重复消费”就判定没有周期。</w:t>
      </w:r>
    </w:p>
    <w:p>
      <w:pPr>
        <w:pStyle w:val="Normal"/>
        <w:rPr/>
      </w:pPr>
      <w:r>
        <w:rPr/>
        <w:t>IVD</w:t>
      </w:r>
      <w:r>
        <w:rPr/>
        <w:t>的商业逻辑包括仪器装机、检测项目菜单、实际检测量、单位检测价格和试剂复购。新设备收入可能立即发生，后续试剂要随医院病人量和使用习惯兑现。一个新医院装机如果保留竞争品牌、检测量不足或采购价格下降，价值小于满负荷高频使用。研究应从装机数量进一步问是否活跃、是否扩大菜单、回款和续购是否稳定，而不以仪器订单乘统一终身收益。</w:t>
      </w:r>
    </w:p>
    <w:p>
      <w:pPr>
        <w:pStyle w:val="Normal"/>
        <w:rPr/>
      </w:pPr>
      <w:r>
        <w:rPr/>
        <w:t>公司半年国内</w:t>
      </w:r>
      <w:r>
        <w:rPr/>
        <w:t>MT8000</w:t>
      </w:r>
      <w:r>
        <w:rPr/>
        <w:t>新增订单超过</w:t>
      </w:r>
      <w:r>
        <w:rPr/>
        <w:t>260</w:t>
      </w:r>
      <w:r>
        <w:rPr/>
        <w:t>套、装机近</w:t>
      </w:r>
      <w:r>
        <w:rPr/>
        <w:t>200</w:t>
      </w:r>
      <w:r>
        <w:rPr/>
        <w:t>套，国际装机</w:t>
      </w:r>
      <w:r>
        <w:rPr/>
        <w:t>12</w:t>
      </w:r>
      <w:r>
        <w:rPr/>
        <w:t>套。国内订单多于装机提示交付与验收存在时间差，不能把</w:t>
      </w:r>
      <w:r>
        <w:rPr/>
        <w:t>260</w:t>
      </w:r>
      <w:r>
        <w:rPr/>
        <w:t>套全部当期收入，也不能把尚未交付都当必然未来利润。国际十二套规模仍小，翻倍说明方向积极但低基数明显。大流水线进入后有潜在检测耗材协同，真正财务贡献需要样本量、试剂项目和合同条件，正文没有伪造每套平均收入。</w:t>
      </w:r>
    </w:p>
    <w:p>
      <w:pPr>
        <w:pStyle w:val="Normal"/>
        <w:rPr/>
      </w:pPr>
      <w:r>
        <w:rPr/>
        <w:t>中报称免疫、生化、凝血三项国内平均市场占有率近</w:t>
      </w:r>
      <w:r>
        <w:rPr/>
        <w:t>14%</w:t>
      </w:r>
      <w:r>
        <w:rPr/>
        <w:t>，来源为公司披露；本文未取得独立处方与采购数据库，不将其当成无争议全市场份额。三项平均值也不能代表公司所有</w:t>
      </w:r>
      <w:r>
        <w:rPr/>
        <w:t>IVD</w:t>
      </w:r>
      <w:r>
        <w:rPr/>
        <w:t>类别都是</w:t>
      </w:r>
      <w:r>
        <w:rPr/>
        <w:t>14%</w:t>
      </w:r>
      <w:r>
        <w:rPr/>
        <w:t>。公司有血液、尿液、微生物、糖化、流式与</w:t>
      </w:r>
      <w:r>
        <w:rPr/>
        <w:t>PCR</w:t>
      </w:r>
      <w:r>
        <w:rPr/>
        <w:t>等产品，竞争和可实现规模不同。份额增加有意义，但在市场下降时公司收入仍可能放缓，份额与行业增长必须分别估计。</w:t>
      </w:r>
    </w:p>
    <w:p>
      <w:pPr>
        <w:pStyle w:val="Normal"/>
        <w:rPr/>
      </w:pPr>
      <w:r>
        <w:rPr/>
        <w:t>DRG/DIP</w:t>
      </w:r>
      <w:r>
        <w:rPr/>
        <w:t>、试剂集采、检验结果互认和医疗服务价格治理减少不必要检验、影响价格与用量。公司可能通过提升自动化、降低实验室综合成本扩大份额，同时单次检测收入下降。合理的投资问题是效率与份额能否超过行业量价压力，而不是政策一定利好龙头。若仪器低价投放后客户试剂价格持续下调，资产投入回报可能弱于宣传的装机增长，这应直接影响估值。</w:t>
      </w:r>
    </w:p>
    <w:p>
      <w:pPr>
        <w:pStyle w:val="Normal"/>
        <w:rPr/>
      </w:pPr>
      <w:r>
        <w:rPr/>
        <w:t>公司半年新推出六个免疫试剂，</w:t>
      </w:r>
      <w:r>
        <w:rPr/>
        <w:t>NMPA</w:t>
      </w:r>
      <w:r>
        <w:rPr/>
        <w:t>上市产品总数增至一百个；海肽提供原料的新上市免疫试剂五项，含首次和变更注册。菜单扩展能覆盖更多临床需求，提高同平台使用率，也需要验证试剂准确性、稳定性和质量。产品数量不能等值相加，检测频率、支付、疾病流行和竞品都会不同。旧项目降价时，新项目增加可能只补回损失，预测需要看组合净增长。</w:t>
      </w:r>
    </w:p>
    <w:p>
      <w:pPr>
        <w:pStyle w:val="Normal"/>
        <w:rPr/>
      </w:pPr>
      <w:r>
        <w:rPr/>
        <w:t>海外</w:t>
      </w:r>
      <w:r>
        <w:rPr/>
        <w:t>IVD</w:t>
      </w:r>
      <w:r>
        <w:rPr/>
        <w:t>涉及本地注册、物流、冷链、售后、临床支持和信息系统。公司在十三国布局生产，十国已启动，多数覆盖</w:t>
      </w:r>
      <w:r>
        <w:rPr/>
        <w:t>IVD</w:t>
      </w:r>
      <w:r>
        <w:rPr/>
        <w:t>；</w:t>
      </w:r>
      <w:r>
        <w:rPr/>
        <w:t>DiaSys</w:t>
      </w:r>
      <w:r>
        <w:rPr/>
        <w:t>平台帮助产品导入、仓储和产能。当地生产可能提高供货和政策适应性，也增加固定成本与管理复杂度。没有各基地独立产能利用与利润数据，不能把十个投产国家直接视为十个高回报利润中心，应检查后续国际收入与毛利现金是否同步增加。</w:t>
      </w:r>
    </w:p>
    <w:p>
      <w:pPr>
        <w:pStyle w:val="Heading2"/>
        <w:rPr/>
      </w:pPr>
      <w:r>
        <w:rPr>
          <w:color w:val="000000"/>
        </w:rPr>
        <w:t>生命信息与支持 设备周期与全院协同</w:t>
      </w:r>
    </w:p>
    <w:p>
      <w:pPr>
        <w:pStyle w:val="Normal"/>
        <w:rPr/>
      </w:pPr>
      <w:r>
        <w:rPr/>
        <w:t>PMLS</w:t>
      </w:r>
      <w:r>
        <w:rPr/>
        <w:t>收入</w:t>
      </w:r>
      <w:r>
        <w:rPr/>
        <w:t>48.110</w:t>
      </w:r>
      <w:r>
        <w:rPr/>
        <w:t>亿元，同比下降</w:t>
      </w:r>
      <w:r>
        <w:rPr/>
        <w:t>0.11%</w:t>
      </w:r>
      <w:r>
        <w:rPr/>
        <w:t>，毛利</w:t>
      </w:r>
      <w:r>
        <w:rPr/>
        <w:t>58.88%</w:t>
      </w:r>
      <w:r>
        <w:rPr/>
        <w:t>，较上期低</w:t>
      </w:r>
      <w:r>
        <w:rPr/>
        <w:t>1.81</w:t>
      </w:r>
      <w:r>
        <w:rPr/>
        <w:t>个百分点；国际增长超过</w:t>
      </w:r>
      <w:r>
        <w:rPr/>
        <w:t>10%</w:t>
      </w:r>
      <w:r>
        <w:rPr/>
        <w:t>，占该板块</w:t>
      </w:r>
      <w:r>
        <w:rPr/>
        <w:t>77%</w:t>
      </w:r>
      <w:r>
        <w:rPr/>
        <w:t>。高国际占比使它不像国内单一设备公司，但全球医院资本开支、通胀和缺医少护仍影响采购。监护、麻醉、呼吸、除颤、输注及手术设备需求长期存在，更新时点却不均匀，不能把救治必需性误认为年度采购不会延迟。</w:t>
      </w:r>
    </w:p>
    <w:p>
      <w:pPr>
        <w:pStyle w:val="Normal"/>
        <w:rPr/>
      </w:pPr>
      <w:r>
        <w:rPr/>
        <w:t>监护设备寿命、维修与更新影响周期。医院在预算紧张时可能延长使用旧设备，必要更新则优先选择可靠低维护成本。软件与连接功能可以使替代更有吸引力，仍须与真实改善比较。厂家若靠大量新品催促换机，但用户没有足够增量效用，收入可能只在采购补贴阶段集中增长。对半年投资，实际招标与验收比产品发布数量更接近利润。</w:t>
      </w:r>
    </w:p>
    <w:p>
      <w:pPr>
        <w:pStyle w:val="Normal"/>
        <w:rPr/>
      </w:pPr>
      <w:r>
        <w:rPr/>
        <w:t>公司披露监护、除颤、麻醉和呼吸机全球前三，并有国际医院与集团突破。这属于报告引用行业资料，意味着品牌和技术达到较高竞争水平，但不同产品市场份额、增长和定价都需分别看。全球前三仍可能处在成熟低增速行业，而高端市场占有率低可能给扩张空间。不能将排名高同时又份额低的两个描述都重复加到评分，关键是未来每股盈利。</w:t>
      </w:r>
    </w:p>
    <w:p>
      <w:pPr>
        <w:pStyle w:val="Normal"/>
        <w:rPr/>
      </w:pPr>
      <w:r>
        <w:rPr/>
        <w:t>“</w:t>
      </w:r>
      <w:r>
        <w:rPr/>
        <w:t>瑞智生态”累计国内装机医院</w:t>
      </w:r>
      <w:r>
        <w:rPr/>
        <w:t>1400</w:t>
      </w:r>
      <w:r>
        <w:rPr/>
        <w:t>家，半年新增项目超过</w:t>
      </w:r>
      <w:r>
        <w:rPr/>
        <w:t>140</w:t>
      </w:r>
      <w:r>
        <w:rPr/>
        <w:t>，海外</w:t>
      </w:r>
      <w:r>
        <w:rPr/>
        <w:t>MConnect</w:t>
      </w:r>
      <w:r>
        <w:rPr/>
        <w:t>累计签单超过千个、半年新增超过</w:t>
      </w:r>
      <w:r>
        <w:rPr/>
        <w:t>160</w:t>
      </w:r>
      <w:r>
        <w:rPr/>
        <w:t>。信息系统连接监护、输注和临床流程，能提高客户使用便捷与多产品销售。但签单不等于全部确认收入，系统服务有可能附赠或成本较高。必须问设备拉动、软件收费、维护与实施成本；未披露独立软件利润时，不给</w:t>
      </w:r>
      <w:r>
        <w:rPr/>
        <w:t>AI</w:t>
      </w:r>
      <w:r>
        <w:rPr/>
        <w:t>软件另加高倍数市值。</w:t>
      </w:r>
    </w:p>
    <w:p>
      <w:pPr>
        <w:pStyle w:val="Normal"/>
        <w:rPr/>
      </w:pPr>
      <w:r>
        <w:rPr/>
        <w:t>重症决策辅助系统与启元大模型装机超过</w:t>
      </w:r>
      <w:r>
        <w:rPr/>
        <w:t>40</w:t>
      </w:r>
      <w:r>
        <w:rPr/>
        <w:t>家，围术期超过十家，为产品落地提供证据。实际能否减少错误、提高医护效率和支付意愿，需要医院持续评估；公司装机数并未证明全面临床有效性。模型输出在高风险医疗环境中需要医生监督、可追溯和安全评估，数据互联也需要隐私与网络安全合规。商业价值应通过使用留存、付费与设备扩购，而非热点题材估计。</w:t>
      </w:r>
    </w:p>
    <w:p>
      <w:pPr>
        <w:pStyle w:val="Heading2"/>
        <w:rPr/>
      </w:pPr>
      <w:r>
        <w:rPr>
          <w:color w:val="000000"/>
        </w:rPr>
        <w:t>医学影像 高端超声机会与整体下滑</w:t>
      </w:r>
    </w:p>
    <w:p>
      <w:pPr>
        <w:pStyle w:val="Normal"/>
        <w:rPr/>
      </w:pPr>
      <w:r>
        <w:rPr/>
        <w:t>医学影像收入</w:t>
      </w:r>
      <w:r>
        <w:rPr/>
        <w:t>28.356</w:t>
      </w:r>
      <w:r>
        <w:rPr/>
        <w:t>亿元，同比下降</w:t>
      </w:r>
      <w:r>
        <w:rPr/>
        <w:t>5.78%</w:t>
      </w:r>
      <w:r>
        <w:rPr/>
        <w:t>，毛利</w:t>
      </w:r>
      <w:r>
        <w:rPr/>
        <w:t>59.12%</w:t>
      </w:r>
      <w:r>
        <w:rPr/>
        <w:t>，下降</w:t>
      </w:r>
      <w:r>
        <w:rPr/>
        <w:t>6.01</w:t>
      </w:r>
      <w:r>
        <w:rPr/>
        <w:t>个百分点。国际超声高个位数增长，国际占该产线</w:t>
      </w:r>
      <w:r>
        <w:rPr/>
        <w:t>68%</w:t>
      </w:r>
      <w:r>
        <w:rPr/>
        <w:t>；超高端系列上半年收入近五亿元、增长超过</w:t>
      </w:r>
      <w:r>
        <w:rPr/>
        <w:t>30%</w:t>
      </w:r>
      <w:r>
        <w:rPr/>
        <w:t>。这说明高端新品成功并未立刻扭转整条产线收入。不能只讲超高端高增速忽视整体与毛利下降，集团恢复需要高端增量超过中低端采购与价格压力。</w:t>
      </w:r>
    </w:p>
    <w:p>
      <w:pPr>
        <w:pStyle w:val="Normal"/>
        <w:rPr/>
      </w:pPr>
      <w:r>
        <w:rPr/>
        <w:t>超声竞争涉及探头、图像处理、分辨率、工作流、不同专科功能和医生使用习惯。设备要在日常复杂病人体型、不同操作水平和长时间使用下可靠。产品演示画面或某一性能领先不能替代长期临床评价，医生培训和售后也影响医院选择。迈瑞广渠道和研发体系有助高端推广，竞争者成熟装机与学术网络仍重要，不能以国产身份自然推断所有进口份额快速转移。</w:t>
      </w:r>
    </w:p>
    <w:p>
      <w:pPr>
        <w:pStyle w:val="Normal"/>
        <w:rPr/>
      </w:pPr>
      <w:r>
        <w:rPr/>
        <w:t>ResonaA20</w:t>
      </w:r>
      <w:r>
        <w:rPr/>
        <w:t>全身与</w:t>
      </w:r>
      <w:r>
        <w:rPr/>
        <w:t>NuewaA20</w:t>
      </w:r>
      <w:r>
        <w:rPr/>
        <w:t>妇产超声支撑国内高端放量，中报称高端及超高端占国内超声收入七成，并预期高端心脏应用产品发布。未来发布是催化而非现有获利，需验证注册、临床接受和采购。高端占比提高也可能因中低端下降造成，不必然所有高端收入高速增长；近五亿元超高端增长提供较直接证据，但它的体量仍小于整板块。</w:t>
      </w:r>
    </w:p>
    <w:p>
      <w:pPr>
        <w:pStyle w:val="Normal"/>
        <w:rPr/>
      </w:pPr>
      <w:r>
        <w:rPr/>
        <w:t>报告称海外超声份额仍个位数、收入主要中端和入门型号。海外高端突破可以提升客单价与品牌，但要投入当地临床、销售与维修，并适应不同标准。短期费用先发生、收入后兑现，利润率可能暂弱。国内研发平台能复用，却不能假设海外产品一次注册就通行所有国家。基准模型允许渐进推广，乐观需要更广客户采用和高端产品经济性持续。</w:t>
      </w:r>
    </w:p>
    <w:p>
      <w:pPr>
        <w:pStyle w:val="Normal"/>
        <w:rPr/>
      </w:pPr>
      <w:r>
        <w:rPr/>
        <w:t>“</w:t>
      </w:r>
      <w:r>
        <w:rPr/>
        <w:t>瑞影生态”累计装机超过</w:t>
      </w:r>
      <w:r>
        <w:rPr/>
        <w:t>29000</w:t>
      </w:r>
      <w:r>
        <w:rPr/>
        <w:t>套、半年新增超</w:t>
      </w:r>
      <w:r>
        <w:rPr/>
        <w:t>3000</w:t>
      </w:r>
      <w:r>
        <w:rPr/>
        <w:t>套，专业用户超过</w:t>
      </w:r>
      <w:r>
        <w:rPr/>
        <w:t>7.9</w:t>
      </w:r>
      <w:r>
        <w:rPr/>
        <w:t>万人。这是影像信息与服务生态指标，不能与售出超声主机简单相加，也不能用社群数直接估付费用户。跨机构协作、远程培训与基层质控可能改善服务，但收入模式、免费比例和持续维护费用未知。本文把它作为客户关系和产品协同证据，未把全部活跃数据自动转为</w:t>
      </w:r>
      <w:r>
        <w:rPr/>
        <w:t>AI</w:t>
      </w:r>
      <w:r>
        <w:rPr/>
        <w:t>订阅收入。</w:t>
      </w:r>
    </w:p>
    <w:p>
      <w:pPr>
        <w:pStyle w:val="Heading2"/>
        <w:rPr/>
      </w:pPr>
      <w:r>
        <w:rPr>
          <w:color w:val="000000"/>
        </w:rPr>
        <w:t>新兴业务 增量 权益与竞争门槛</w:t>
      </w:r>
    </w:p>
    <w:p>
      <w:pPr>
        <w:pStyle w:val="Normal"/>
        <w:rPr/>
      </w:pPr>
      <w:r>
        <w:rPr/>
        <w:t>新兴业务收入</w:t>
      </w:r>
      <w:r>
        <w:rPr/>
        <w:t>31.102</w:t>
      </w:r>
      <w:r>
        <w:rPr/>
        <w:t>亿元、增长</w:t>
      </w:r>
      <w:r>
        <w:rPr/>
        <w:t>19.59%</w:t>
      </w:r>
      <w:r>
        <w:rPr/>
        <w:t>，毛利</w:t>
      </w:r>
      <w:r>
        <w:rPr/>
        <w:t>65.03%</w:t>
      </w:r>
      <w:r>
        <w:rPr/>
        <w:t>、提升</w:t>
      </w:r>
      <w:r>
        <w:rPr/>
        <w:t>0.87</w:t>
      </w:r>
      <w:r>
        <w:rPr/>
        <w:t>个百分点，占集团约</w:t>
      </w:r>
      <w:r>
        <w:rPr/>
        <w:t>18%</w:t>
      </w:r>
      <w:r>
        <w:rPr/>
        <w:t>，国内约</w:t>
      </w:r>
      <w:r>
        <w:rPr/>
        <w:t>24%</w:t>
      </w:r>
      <w:r>
        <w:rPr/>
        <w:t>。微创外科与微创介入各增长约</w:t>
      </w:r>
      <w:r>
        <w:rPr/>
        <w:t>25%</w:t>
      </w:r>
      <w:r>
        <w:rPr/>
        <w:t>，成为重要增量。公司从</w:t>
      </w:r>
      <w:r>
        <w:rPr/>
        <w:t>2025</w:t>
      </w:r>
      <w:r>
        <w:rPr/>
        <w:t>年报起改变收入分解，当前新兴包括外科、介入、动物医疗，旧报告分类不同。跨期对照应按重列口径，不把所有增长视为新建业务，也不能与原电生理血管收入重复累计。</w:t>
      </w:r>
    </w:p>
    <w:p>
      <w:pPr>
        <w:pStyle w:val="Normal"/>
        <w:rPr/>
      </w:pPr>
      <w:r>
        <w:rPr/>
        <w:t>外科产品包括腔镜、能量平台、超声刀、吻合器和耗材。设备建立手术室关系，耗材随手术持续使用，具有扩大重复收入机会；但高值耗材集采和医院控费会压低价格，术者体验、安全和一致性决定采用。新业务不是自动比设备更好，可能更依赖临床证据和耗材销售合规。需要比较每例手术收入、制造成本、返修与渠道，而不按手术量直接乘最高单价。</w:t>
      </w:r>
    </w:p>
    <w:p>
      <w:pPr>
        <w:pStyle w:val="Normal"/>
        <w:rPr/>
      </w:pPr>
      <w:r>
        <w:rPr/>
        <w:t>公司称国内硬镜份额第二，微创外科耗材收入翻倍以上。均为报告披露、未独立采购数据库复核，低基数增长也需说明。腔镜品牌进入后可能拉动能量和耗材，但医院可以混用不同平台。既有全院渠道节约获客成本，培训与术者习惯仍须逐步建立。高增速更像新业务渗透阶段，不应复制五年翻倍，成熟后竞争与价格会降低增长。</w:t>
      </w:r>
    </w:p>
    <w:p>
      <w:pPr>
        <w:pStyle w:val="Normal"/>
        <w:rPr/>
      </w:pPr>
      <w:r>
        <w:rPr/>
        <w:t>手术机器人处于产品化开发阶段，公司有腔镜、能量和器械底层积累，这是研发选项，不是商业化销售事实。制造精度、控制系统、手术安全、注册临床和术者训练都有门槛，已有头部品牌装机与手术生态强。本文不按其他机器人的高收入倍数为未上市产品单独加价，也不设确定批准时间。未来若有明确临床、注册与订单再修改估值，研发进程缓慢则只增加成本。</w:t>
      </w:r>
    </w:p>
    <w:p>
      <w:pPr>
        <w:pStyle w:val="Normal"/>
        <w:rPr/>
      </w:pPr>
      <w:r>
        <w:rPr/>
        <w:t>微创介入主要借助惠泰医疗，公司持股</w:t>
      </w:r>
      <w:r>
        <w:rPr/>
        <w:t>26.54%</w:t>
      </w:r>
      <w:r>
        <w:rPr/>
        <w:t>并拥有控制安排，因此合并全收入，归母利润却需扣少数股东。这一口径对评价增长关键：合并收入多一亿元，不等于迈瑞股东享有该亿元全部利润。惠泰现金与设备资产也不是全归迈瑞股东。若另用惠泰市值加入迈瑞估值，就必须从迈瑞利润与现金扣除相同权益，本文不额外叠加以避免双重计算。</w:t>
      </w:r>
    </w:p>
    <w:p>
      <w:pPr>
        <w:pStyle w:val="Normal"/>
        <w:rPr/>
      </w:pPr>
      <w:r>
        <w:rPr/>
        <w:t>报告披露半年国内</w:t>
      </w:r>
      <w:r>
        <w:rPr/>
        <w:t>PFA</w:t>
      </w:r>
      <w:r>
        <w:rPr/>
        <w:t>手术累计</w:t>
      </w:r>
      <w:r>
        <w:rPr/>
        <w:t>7200</w:t>
      </w:r>
      <w:r>
        <w:rPr/>
        <w:t>余例，超过</w:t>
      </w:r>
      <w:r>
        <w:rPr/>
        <w:t>2025</w:t>
      </w:r>
      <w:r>
        <w:rPr/>
        <w:t>全年，其他介入产品获得注册和进院。这显示电生理创新正在实际使用，仍须评价安全、复发、术者学习、耗材价格与竞争。更广适应症和更多医院带来机会，集采或同类新品可能减少单位利润。手术量不是药明式订单，不可按每例最高售价机械计收入，经营对照需使用已披露分部财务和真实权益。</w:t>
      </w:r>
    </w:p>
    <w:p>
      <w:pPr>
        <w:pStyle w:val="Normal"/>
        <w:rPr/>
      </w:pPr>
      <w:r>
        <w:rPr/>
        <w:t>动物医疗复用人用设备研发、制造与渠道思路，面对宠物、科研和其他动物健康市场。宠物医疗需求长期可能增加，但更依赖居民可支配收入、机构盈利和医疗价格，和公立医院预算不同。动物诊断试剂与设备有独立物种验证和客户分散成本，不能把人用产品原封不动出售。当前新兴整体增长无需全部归因于宠物，未披露动物细项盈利时不做确定利润预测。</w:t>
      </w:r>
    </w:p>
    <w:p>
      <w:pPr>
        <w:pStyle w:val="Heading2"/>
        <w:rPr/>
      </w:pPr>
      <w:r>
        <w:rPr>
          <w:color w:val="000000"/>
        </w:rPr>
        <w:t>并购 商誉及每股资本回报</w:t>
      </w:r>
    </w:p>
    <w:p>
      <w:pPr>
        <w:pStyle w:val="Normal"/>
        <w:rPr/>
      </w:pPr>
      <w:r>
        <w:rPr/>
        <w:t>海肽上游原料、</w:t>
      </w:r>
      <w:r>
        <w:rPr/>
        <w:t>DiaSys</w:t>
      </w:r>
      <w:r>
        <w:rPr/>
        <w:t>海外</w:t>
      </w:r>
      <w:r>
        <w:rPr/>
        <w:t>IVD</w:t>
      </w:r>
      <w:r>
        <w:rPr/>
        <w:t>供应平台和惠泰介入能力是并购协同的具体路径，能缩短自建周期，扩大产品和地区。但买到技术和渠道需要管理整合、人才留存和未来研发，付款金额不是优势本身。并购若成本过高，即使标的增长也可能无法创造股东回报。应区分战略互补和财务价格，不能将每项并购同时按协同、增长与账面商誉重复赋值。</w:t>
      </w:r>
    </w:p>
    <w:p>
      <w:pPr>
        <w:pStyle w:val="Normal"/>
        <w:rPr/>
      </w:pPr>
      <w:r>
        <w:rPr/>
        <w:t>六月末商誉</w:t>
      </w:r>
      <w:r>
        <w:rPr/>
        <w:t>111.120</w:t>
      </w:r>
      <w:r>
        <w:rPr/>
        <w:t>亿元，占总资产约</w:t>
      </w:r>
      <w:r>
        <w:rPr/>
        <w:t>18.3%</w:t>
      </w:r>
      <w:r>
        <w:rPr/>
        <w:t>，归母权益约</w:t>
      </w:r>
      <w:r>
        <w:rPr/>
        <w:t>27.4%</w:t>
      </w:r>
      <w:r>
        <w:rPr/>
        <w:t>，另有无形资产</w:t>
      </w:r>
      <w:r>
        <w:rPr/>
        <w:t>59.612</w:t>
      </w:r>
      <w:r>
        <w:rPr/>
        <w:t>亿元。它不全是立即现金损失，但反映过去购买未来收益所支付的溢价，若收益弱则可能减值。商誉由年末</w:t>
      </w:r>
      <w:r>
        <w:rPr/>
        <w:t>114.041</w:t>
      </w:r>
      <w:r>
        <w:rPr/>
        <w:t>亿元下降不能直接认定当期减值，外币折算等也会影响余额；本期资产减值附注主要为存货，没有把余额变化误当商誉减值事件。</w:t>
      </w:r>
    </w:p>
    <w:p>
      <w:pPr>
        <w:pStyle w:val="Normal"/>
        <w:rPr/>
      </w:pPr>
      <w:r>
        <w:rPr/>
        <w:t>并购无形资产摊销会影响报告利润，可能不消耗当期现金，却代表技术、客户关系等逐渐使用。投资者可以用现金流看经济性，不能永远全加回并认为技术不会需要更新。研发、维护和新并购会占资本，真实长期现金成本未必比摊销低。本文正常化</w:t>
      </w:r>
      <w:r>
        <w:rPr/>
        <w:t>EPS</w:t>
      </w:r>
      <w:r>
        <w:rPr/>
        <w:t>没有把所有摊销随意剔除，目标倍数允许平台价值，但以持续资本需求约束。</w:t>
      </w:r>
    </w:p>
    <w:p>
      <w:pPr>
        <w:pStyle w:val="Normal"/>
        <w:rPr/>
      </w:pPr>
      <w:r>
        <w:rPr/>
        <w:t>公司现金多、有息银行债少，具备跨周期投资能力；如果未来并购过大或新业务过多，同样会消耗优势。竞争优势应该聚焦与已有产品、客户和质量体系有可验证协同的标的，跨入完全陌生领域可能增加治理复杂性。长期高分要求资本使用透明、投入回报和少数股权安排合理，而不是只看规模向全球前十目标推进。进入排名本身不保证股东每股收益。</w:t>
      </w:r>
    </w:p>
    <w:p>
      <w:pPr>
        <w:pStyle w:val="Heading2"/>
        <w:rPr/>
      </w:pPr>
      <w:r>
        <w:rPr>
          <w:color w:val="000000"/>
        </w:rPr>
        <w:t>利润结构与汇率正常化</w:t>
      </w:r>
    </w:p>
    <w:p>
      <w:pPr>
        <w:pStyle w:val="Normal"/>
        <w:rPr/>
      </w:pPr>
      <w:r>
        <w:rPr/>
        <w:t>上半年毛利约</w:t>
      </w:r>
      <w:r>
        <w:rPr/>
        <w:t>107.961</w:t>
      </w:r>
      <w:r>
        <w:rPr/>
        <w:t>亿元，毛利率约</w:t>
      </w:r>
      <w:r>
        <w:rPr/>
        <w:t>60.83%</w:t>
      </w:r>
      <w:r>
        <w:rPr/>
        <w:t>，去年约</w:t>
      </w:r>
      <w:r>
        <w:rPr/>
        <w:t>61.67%</w:t>
      </w:r>
      <w:r>
        <w:rPr/>
        <w:t>，下降约</w:t>
      </w:r>
      <w:r>
        <w:rPr/>
        <w:t>0.84</w:t>
      </w:r>
      <w:r>
        <w:rPr/>
        <w:t>个百分点。</w:t>
      </w:r>
      <w:r>
        <w:rPr/>
        <w:t>IVD</w:t>
      </w:r>
      <w:r>
        <w:rPr/>
        <w:t>和新兴改善，生命信息及影像下降，组合并没有全面利润率加速。销售费</w:t>
      </w:r>
      <w:r>
        <w:rPr/>
        <w:t>25.162</w:t>
      </w:r>
      <w:r>
        <w:rPr/>
        <w:t>亿元，增长</w:t>
      </w:r>
      <w:r>
        <w:rPr/>
        <w:t>3.81%</w:t>
      </w:r>
      <w:r>
        <w:rPr/>
        <w:t>、低于收入；管理</w:t>
      </w:r>
      <w:r>
        <w:rPr/>
        <w:t>6.963</w:t>
      </w:r>
      <w:r>
        <w:rPr/>
        <w:t>亿元、增长</w:t>
      </w:r>
      <w:r>
        <w:rPr/>
        <w:t>2.07%</w:t>
      </w:r>
      <w:r>
        <w:rPr/>
        <w:t>；研发费用</w:t>
      </w:r>
      <w:r>
        <w:rPr/>
        <w:t>15.695</w:t>
      </w:r>
      <w:r>
        <w:rPr/>
        <w:t>亿元，略下降。费用控制有助抵消压力，但收入加速尚需在高端、海外和耗材体现。</w:t>
      </w:r>
    </w:p>
    <w:p>
      <w:pPr>
        <w:pStyle w:val="Normal"/>
        <w:rPr/>
      </w:pPr>
      <w:r>
        <w:rPr/>
        <w:t>财务费用由上年净收益</w:t>
      </w:r>
      <w:r>
        <w:rPr/>
        <w:t>3.357</w:t>
      </w:r>
      <w:r>
        <w:rPr/>
        <w:t>亿元变为费用</w:t>
      </w:r>
      <w:r>
        <w:rPr/>
        <w:t>3.830</w:t>
      </w:r>
      <w:r>
        <w:rPr/>
        <w:t>亿元，变化约</w:t>
      </w:r>
      <w:r>
        <w:rPr/>
        <w:t>7.187</w:t>
      </w:r>
      <w:r>
        <w:rPr/>
        <w:t>亿元；主要汇兑损失</w:t>
      </w:r>
      <w:r>
        <w:rPr/>
        <w:t>5.737</w:t>
      </w:r>
      <w:r>
        <w:rPr/>
        <w:t>亿元，而去年汇兑收益</w:t>
      </w:r>
      <w:r>
        <w:rPr/>
        <w:t>1.647</w:t>
      </w:r>
      <w:r>
        <w:rPr/>
        <w:t>亿元。利息收入</w:t>
      </w:r>
      <w:r>
        <w:rPr/>
        <w:t>2.460</w:t>
      </w:r>
      <w:r>
        <w:rPr/>
        <w:t>亿元仍高于利息费用约</w:t>
      </w:r>
      <w:r>
        <w:rPr/>
        <w:t>0.120</w:t>
      </w:r>
      <w:r>
        <w:rPr/>
        <w:t>亿元，银行融资负担轻。财务费用由负变正的百分比容易误解，不宜只引用增长</w:t>
      </w:r>
      <w:r>
        <w:rPr/>
        <w:t>214%</w:t>
      </w:r>
      <w:r>
        <w:rPr/>
        <w:t>说债务恶化，实际主要是货币变化，对股东利润仍是真实影响。</w:t>
      </w:r>
    </w:p>
    <w:p>
      <w:pPr>
        <w:pStyle w:val="Normal"/>
        <w:rPr/>
      </w:pPr>
      <w:r>
        <w:rPr/>
        <w:t>公司披露汇率中性收入增长</w:t>
      </w:r>
      <w:r>
        <w:rPr/>
        <w:t>8.16%</w:t>
      </w:r>
      <w:r>
        <w:rPr/>
        <w:t>、剔除汇兑归母增长</w:t>
      </w:r>
      <w:r>
        <w:rPr/>
        <w:t>7.22%</w:t>
      </w:r>
      <w:r>
        <w:rPr/>
        <w:t>，而实际收入</w:t>
      </w:r>
      <w:r>
        <w:rPr/>
        <w:t>6%</w:t>
      </w:r>
      <w:r>
        <w:rPr/>
        <w:t>、归母下降</w:t>
      </w:r>
      <w:r>
        <w:rPr/>
        <w:t>5.37%</w:t>
      </w:r>
      <w:r>
        <w:rPr/>
        <w:t>。该比较帮助识别经营改善，不能拿</w:t>
      </w:r>
      <w:r>
        <w:rPr/>
        <w:t>7.22%</w:t>
      </w:r>
      <w:r>
        <w:rPr/>
        <w:t>代替报告利润或当作已经实现净收益。汇兑既可能来自账面重新计量，也可能影响真实收款和现金，集团人民币股东最终承受结果。未来正常化可以不延续异常方向，但必须公布条件与汇率敏感性。</w:t>
      </w:r>
    </w:p>
    <w:p>
      <w:pPr>
        <w:pStyle w:val="Normal"/>
        <w:rPr/>
      </w:pPr>
      <w:r>
        <w:rPr/>
        <w:t>原报美元金融资产负债敏感性：人民币对美元升或贬</w:t>
      </w:r>
      <w:r>
        <w:rPr/>
        <w:t>3%</w:t>
      </w:r>
      <w:r>
        <w:rPr/>
        <w:t>，其他不变，净利润减少或增加约</w:t>
      </w:r>
      <w:r>
        <w:rPr/>
        <w:t>4.0664</w:t>
      </w:r>
      <w:r>
        <w:rPr/>
        <w:t>亿元。这是当期资产负债风险分析，不能外推所有经营收入、欧元和长期竞争力，也不是对下一年人民币涨跌预测。海外销售以美元和当地货币、中国生产成本较多，人民币变化同时影响折算和价格竞争。本文以利润情景包容变化，不用单一汇率方向保证增长。</w:t>
      </w:r>
    </w:p>
    <w:p>
      <w:pPr>
        <w:pStyle w:val="Normal"/>
        <w:rPr/>
      </w:pPr>
      <w:r>
        <w:rPr/>
        <w:t>非经常净损益约</w:t>
      </w:r>
      <w:r>
        <w:rPr/>
        <w:t>0.11994</w:t>
      </w:r>
      <w:r>
        <w:rPr/>
        <w:t>亿元，报告与扣非净利差很小，说明本期主要利润不是巨额处置支持。政府补助和其他收益仍有贡献，并非所有都列非经常；税收研发加计和软件业务可能影响有效税率。净利润总额</w:t>
      </w:r>
      <w:r>
        <w:rPr/>
        <w:t>50.469</w:t>
      </w:r>
      <w:r>
        <w:rPr/>
        <w:t>亿元，少数股东</w:t>
      </w:r>
      <w:r>
        <w:rPr/>
        <w:t>2.501</w:t>
      </w:r>
      <w:r>
        <w:rPr/>
        <w:t>亿元，归母</w:t>
      </w:r>
      <w:r>
        <w:rPr/>
        <w:t>47.968</w:t>
      </w:r>
      <w:r>
        <w:rPr/>
        <w:t>亿元，不能在计算</w:t>
      </w:r>
      <w:r>
        <w:rPr/>
        <w:t>EPS</w:t>
      </w:r>
      <w:r>
        <w:rPr/>
        <w:t>时误用全部净利润。惠泰增长越快，少数股东贡献差别越需要保留。</w:t>
      </w:r>
    </w:p>
    <w:p>
      <w:pPr>
        <w:pStyle w:val="Heading2"/>
        <w:rPr/>
      </w:pPr>
      <w:r>
        <w:rPr>
          <w:color w:val="000000"/>
        </w:rPr>
        <w:t>研发投入 资本化及真正的产品产出</w:t>
      </w:r>
    </w:p>
    <w:p>
      <w:pPr>
        <w:pStyle w:val="Normal"/>
        <w:rPr/>
      </w:pPr>
      <w:r>
        <w:rPr/>
        <w:t>半年研发总投入</w:t>
      </w:r>
      <w:r>
        <w:rPr/>
        <w:t>17.7898</w:t>
      </w:r>
      <w:r>
        <w:rPr/>
        <w:t>亿元，约收入</w:t>
      </w:r>
      <w:r>
        <w:rPr/>
        <w:t>10.0%</w:t>
      </w:r>
      <w:r>
        <w:rPr/>
        <w:t>，同比基本持平；费用化</w:t>
      </w:r>
      <w:r>
        <w:rPr/>
        <w:t>15.6951</w:t>
      </w:r>
      <w:r>
        <w:rPr/>
        <w:t>亿元、资本化</w:t>
      </w:r>
      <w:r>
        <w:rPr/>
        <w:t>2.0946</w:t>
      </w:r>
      <w:r>
        <w:rPr/>
        <w:t>亿元，费用与资本化之和准确。</w:t>
      </w:r>
      <w:r>
        <w:rPr/>
        <w:t>2025</w:t>
      </w:r>
      <w:r>
        <w:rPr/>
        <w:t>研发</w:t>
      </w:r>
      <w:r>
        <w:rPr/>
        <w:t>39.2886</w:t>
      </w:r>
      <w:r>
        <w:rPr/>
        <w:t>亿元、收入占比</w:t>
      </w:r>
      <w:r>
        <w:rPr/>
        <w:t>11.80%</w:t>
      </w:r>
      <w:r>
        <w:rPr/>
        <w:t>，低谷仍保持较强投入。投入强度显示有能力维护产品和开拓高端，不能直接证明研发回报高；项目成功、注册、客户采用和利润才是最终证据。</w:t>
      </w:r>
    </w:p>
    <w:p>
      <w:pPr>
        <w:pStyle w:val="Normal"/>
        <w:rPr/>
      </w:pPr>
      <w:r>
        <w:rPr/>
        <w:t>资本化会推迟费用确认，使当期利润高于全部研发立即费用化的结果。公司符合准则条件时资本化并非问题，投资者仍要检查开发支出余额</w:t>
      </w:r>
      <w:r>
        <w:rPr/>
        <w:t>4.4077</w:t>
      </w:r>
      <w:r>
        <w:rPr/>
        <w:t>亿元、未来转无形与摊销及失败减值。资本化占总投入约</w:t>
      </w:r>
      <w:r>
        <w:rPr/>
        <w:t>11.8%</w:t>
      </w:r>
      <w:r>
        <w:rPr/>
        <w:t>，不是全部研发被隐藏。未来若比例持续升高而新产品贡献和现金不增长，需要降低正常化利润质量评分，不能用投入金额高重复奖励。</w:t>
      </w:r>
    </w:p>
    <w:p>
      <w:pPr>
        <w:pStyle w:val="Normal"/>
        <w:rPr/>
      </w:pPr>
      <w:r>
        <w:rPr/>
        <w:t>公司十二个研发中心分布于境内多地、美国、芬兰、德国，有利于临床反馈、上游原料与技术资源结合。研发中心数量不能证明彼此高效协同，跨时区、法规、人才与项目管理成本真实存在。最有价值的是产品平台复用和快速验证，避免不同板块重复开发。技术成长需要组织和质量积累，长期价值比单一明星工程师更可靠，但还须与资本和产品成果验证。</w:t>
      </w:r>
    </w:p>
    <w:p>
      <w:pPr>
        <w:pStyle w:val="Normal"/>
        <w:rPr/>
      </w:pPr>
      <w:r>
        <w:rPr/>
        <w:t>医疗</w:t>
      </w:r>
      <w:r>
        <w:rPr/>
        <w:t>AI</w:t>
      </w:r>
      <w:r>
        <w:rPr/>
        <w:t>可以辅助影像测量、检验审核、重症信息整理和维护问答，提高产品使用和医院效率；其财务路径可能是设备竞争力、服务收费或客户留存。没有独立</w:t>
      </w:r>
      <w:r>
        <w:rPr/>
        <w:t>AI</w:t>
      </w:r>
      <w:r>
        <w:rPr/>
        <w:t>收入、成本和付费数据时，不将模型装机数乘高订阅价格。公司提到审核效率和准确率属于特定测试与场景，不能当全面医疗决策准确率；投资者应要求评价方法、真实使用和临床边界。</w:t>
      </w:r>
    </w:p>
    <w:p>
      <w:pPr>
        <w:pStyle w:val="Normal"/>
        <w:rPr/>
      </w:pPr>
      <w:r>
        <w:rPr/>
        <w:t>数据和网络安全影响商用范围。医院设备互联增加便利，也增加泄露、停机、攻击和模型错误风险；跨境服务需要不同数据规则，认证有助管理但不能替代所有产品安全。公司通过</w:t>
      </w:r>
      <w:r>
        <w:rPr/>
        <w:t>AI</w:t>
      </w:r>
      <w:r>
        <w:rPr/>
        <w:t>治理体系认证为组织证据，仍须看重大事故、客户问题和后续改进。未来若</w:t>
      </w:r>
      <w:r>
        <w:rPr/>
        <w:t>AI</w:t>
      </w:r>
      <w:r>
        <w:rPr/>
        <w:t>成为设备核心功能，合规、持续更新与责任成本应纳入运营，不可视为几乎零成本利润。</w:t>
      </w:r>
    </w:p>
    <w:p>
      <w:pPr>
        <w:pStyle w:val="Heading2"/>
        <w:rPr/>
      </w:pPr>
      <w:r>
        <w:rPr>
          <w:color w:val="000000"/>
        </w:rPr>
        <w:t>现金流与资产周转</w:t>
      </w:r>
    </w:p>
    <w:p>
      <w:pPr>
        <w:pStyle w:val="Normal"/>
        <w:rPr/>
      </w:pPr>
      <w:r>
        <w:rPr/>
        <w:t>经营净现金</w:t>
      </w:r>
      <w:r>
        <w:rPr/>
        <w:t>48.7699</w:t>
      </w:r>
      <w:r>
        <w:rPr/>
        <w:t>亿元减实际购建固定、无形及长期资产</w:t>
      </w:r>
      <w:r>
        <w:rPr/>
        <w:t>10.6390</w:t>
      </w:r>
      <w:r>
        <w:rPr/>
        <w:t>亿元，自由现金</w:t>
      </w:r>
      <w:r>
        <w:rPr/>
        <w:t>38.1308</w:t>
      </w:r>
      <w:r>
        <w:rPr/>
        <w:t>亿元；</w:t>
      </w:r>
      <w:r>
        <w:rPr/>
        <w:t>2025</w:t>
      </w:r>
      <w:r>
        <w:rPr/>
        <w:t>全年</w:t>
      </w:r>
      <w:r>
        <w:rPr/>
        <w:t>101.4497</w:t>
      </w:r>
      <w:r>
        <w:rPr/>
        <w:t>亿元减</w:t>
      </w:r>
      <w:r>
        <w:rPr/>
        <w:t>20.3774</w:t>
      </w:r>
      <w:r>
        <w:rPr/>
        <w:t>亿元，为</w:t>
      </w:r>
      <w:r>
        <w:rPr/>
        <w:t>81.0722</w:t>
      </w:r>
      <w:r>
        <w:rPr/>
        <w:t>亿元。该定义是现金流扣资本支出的研究口径，不另扣已在支出中的资本化研发。它仍在少数股东与租赁、并购等项目之前，不等于全归普通股可分配。后续做完整股东现金模型需进一步处理这些项目。</w:t>
      </w:r>
    </w:p>
    <w:p>
      <w:pPr>
        <w:pStyle w:val="Normal"/>
        <w:rPr/>
      </w:pPr>
      <w:r>
        <w:rPr/>
        <w:t>半年经营现金高于归母，约</w:t>
      </w:r>
      <w:r>
        <w:rPr/>
        <w:t>101.7%</w:t>
      </w:r>
      <w:r>
        <w:rPr/>
        <w:t>，且同比增长</w:t>
      </w:r>
      <w:r>
        <w:rPr/>
        <w:t>24.35%</w:t>
      </w:r>
      <w:r>
        <w:rPr/>
        <w:t>，对盈利质量有利。销售收现</w:t>
      </w:r>
      <w:r>
        <w:rPr/>
        <w:t>193.407</w:t>
      </w:r>
      <w:r>
        <w:rPr/>
        <w:t>亿元高于营业收入</w:t>
      </w:r>
      <w:r>
        <w:rPr/>
        <w:t>177.470</w:t>
      </w:r>
      <w:r>
        <w:rPr/>
        <w:t>亿元，但现金含税、预收与回收旧应收，不能把比值直接解释为所有当期销售已收款。税费支付减少也有贡献。现金转换要结合合同负债、应付、库存和平均余额，不能凭单个期末数字认定常态经营现金率固定。</w:t>
      </w:r>
    </w:p>
    <w:p>
      <w:pPr>
        <w:pStyle w:val="Normal"/>
        <w:rPr/>
      </w:pPr>
      <w:r>
        <w:rPr/>
        <w:t>应收账款净额</w:t>
      </w:r>
      <w:r>
        <w:rPr/>
        <w:t>37.538</w:t>
      </w:r>
      <w:r>
        <w:rPr/>
        <w:t>亿元，比年末</w:t>
      </w:r>
      <w:r>
        <w:rPr/>
        <w:t>34.081</w:t>
      </w:r>
      <w:r>
        <w:rPr/>
        <w:t>亿元增长约</w:t>
      </w:r>
      <w:r>
        <w:rPr/>
        <w:t>10.1%</w:t>
      </w:r>
      <w:r>
        <w:rPr/>
        <w:t>；存货</w:t>
      </w:r>
      <w:r>
        <w:rPr/>
        <w:t>56.497</w:t>
      </w:r>
      <w:r>
        <w:rPr/>
        <w:t>亿元，比</w:t>
      </w:r>
      <w:r>
        <w:rPr/>
        <w:t>50.037</w:t>
      </w:r>
      <w:r>
        <w:rPr/>
        <w:t>亿元增约</w:t>
      </w:r>
      <w:r>
        <w:rPr/>
        <w:t>12.9%</w:t>
      </w:r>
      <w:r>
        <w:rPr/>
        <w:t>；合同负债</w:t>
      </w:r>
      <w:r>
        <w:rPr/>
        <w:t>33.863</w:t>
      </w:r>
      <w:r>
        <w:rPr/>
        <w:t>亿元，比</w:t>
      </w:r>
      <w:r>
        <w:rPr/>
        <w:t>30.006</w:t>
      </w:r>
      <w:r>
        <w:rPr/>
        <w:t>亿元增约</w:t>
      </w:r>
      <w:r>
        <w:rPr/>
        <w:t>12.9%</w:t>
      </w:r>
      <w:r>
        <w:rPr/>
        <w:t>。收入增长是同比、资产比较是半年环比，不能直接用各增速算周转好坏。这些显示扩张和备货占资本，同时预收支持现金。需查库存结构、交付、信用与期后回款，不能将所有增长认定健康。</w:t>
      </w:r>
    </w:p>
    <w:p>
      <w:pPr>
        <w:pStyle w:val="Normal"/>
        <w:rPr/>
      </w:pPr>
      <w:r>
        <w:rPr/>
        <w:t>应付材料款</w:t>
      </w:r>
      <w:r>
        <w:rPr/>
        <w:t>40.395</w:t>
      </w:r>
      <w:r>
        <w:rPr/>
        <w:t>亿元，比年末</w:t>
      </w:r>
      <w:r>
        <w:rPr/>
        <w:t>32.423</w:t>
      </w:r>
      <w:r>
        <w:rPr/>
        <w:t>亿元增长</w:t>
      </w:r>
      <w:r>
        <w:rPr/>
        <w:t>24.6%</w:t>
      </w:r>
      <w:r>
        <w:rPr/>
        <w:t>，给经营现金提供一定支持。更大采购和付款安排可能合理，仍不能把延长应付永久当可分配利润。供应商现金压力、采购质量和供应连续性会反过来影响公司。如果未来营运现金主要靠应付增长而需求未兑现，应该下调现金收益质量，避免在收入恢复早期高估资本效率。</w:t>
      </w:r>
    </w:p>
    <w:p>
      <w:pPr>
        <w:pStyle w:val="Normal"/>
        <w:rPr/>
      </w:pPr>
      <w:r>
        <w:rPr/>
        <w:t>货币资金</w:t>
      </w:r>
      <w:r>
        <w:rPr/>
        <w:t>186.993</w:t>
      </w:r>
      <w:r>
        <w:rPr/>
        <w:t>亿元、现金等价物</w:t>
      </w:r>
      <w:r>
        <w:rPr/>
        <w:t>186.453</w:t>
      </w:r>
      <w:r>
        <w:rPr/>
        <w:t>亿元，差约</w:t>
      </w:r>
      <w:r>
        <w:rPr/>
        <w:t>0.540</w:t>
      </w:r>
      <w:r>
        <w:rPr/>
        <w:t>亿元主要受限资金</w:t>
      </w:r>
      <w:r>
        <w:rPr/>
        <w:t>0.5316</w:t>
      </w:r>
      <w:r>
        <w:rPr/>
        <w:t>亿元和应收利息</w:t>
      </w:r>
      <w:r>
        <w:rPr/>
        <w:t>0.0082</w:t>
      </w:r>
      <w:r>
        <w:rPr/>
        <w:t>亿元。不能将货币资金全部当可立即使用自由现金。六月末银行借款含流动部分仅约</w:t>
      </w:r>
      <w:r>
        <w:rPr/>
        <w:t>0.762</w:t>
      </w:r>
      <w:r>
        <w:rPr/>
        <w:t>百万元，租赁含流动</w:t>
      </w:r>
      <w:r>
        <w:rPr/>
        <w:t>3.103</w:t>
      </w:r>
      <w:r>
        <w:rPr/>
        <w:t>亿元，总负债</w:t>
      </w:r>
      <w:r>
        <w:rPr/>
        <w:t>154.839</w:t>
      </w:r>
      <w:r>
        <w:rPr/>
        <w:t>亿元主要经营负债等。银行债很低支持财务评分，但合同负债、薪酬、售后和租赁都需要实际履约。</w:t>
      </w:r>
    </w:p>
    <w:p>
      <w:pPr>
        <w:pStyle w:val="Normal"/>
        <w:rPr/>
      </w:pPr>
      <w:r>
        <w:rPr/>
        <w:t>集团商誉和无形占比较高，现金仍充足，并不矛盾。市值或企业价值计算要明确少数股东权益、非经营现金及投资范围，不能现金全扣却忽略并购对应少数股权。本文</w:t>
      </w:r>
      <w:r>
        <w:rPr/>
        <w:t>PE</w:t>
      </w:r>
      <w:r>
        <w:rPr/>
        <w:t>目标已包含现金利息与业务利润，未再把每股现金加到目标价；现金主要作为下行缓冲与资本纪律证据。完整</w:t>
      </w:r>
      <w:r>
        <w:rPr/>
        <w:t>DCF</w:t>
      </w:r>
      <w:r>
        <w:rPr/>
        <w:t>未独立完成，现金回报只能做粗核对，不能声称多模型一致。</w:t>
      </w:r>
    </w:p>
    <w:p>
      <w:pPr>
        <w:pStyle w:val="Heading2"/>
        <w:rPr/>
      </w:pPr>
      <w:r>
        <w:rPr>
          <w:color w:val="000000"/>
        </w:rPr>
        <w:t>分红 股数及股东回报</w:t>
      </w:r>
    </w:p>
    <w:p>
      <w:pPr>
        <w:pStyle w:val="Normal"/>
        <w:rPr/>
      </w:pPr>
      <w:r>
        <w:rPr/>
        <w:t>截至六月股数</w:t>
      </w:r>
      <w:r>
        <w:rPr/>
        <w:t>12.12441394</w:t>
      </w:r>
      <w:r>
        <w:rPr/>
        <w:t>亿，</w:t>
      </w:r>
      <w:r>
        <w:rPr/>
        <w:t>8</w:t>
      </w:r>
      <w:r>
        <w:rPr/>
        <w:t>月</w:t>
      </w:r>
      <w:r>
        <w:rPr/>
        <w:t>7</w:t>
      </w:r>
      <w:r>
        <w:rPr/>
        <w:t>日注销员工计划库存</w:t>
      </w:r>
      <w:r>
        <w:rPr/>
        <w:t>641963</w:t>
      </w:r>
      <w:r>
        <w:rPr/>
        <w:t>股，</w:t>
      </w:r>
      <w:r>
        <w:rPr/>
        <w:t>8</w:t>
      </w:r>
      <w:r>
        <w:rPr/>
        <w:t>月</w:t>
      </w:r>
      <w:r>
        <w:rPr/>
        <w:t>31</w:t>
      </w:r>
      <w:r>
        <w:rPr/>
        <w:t>日公告核验股数</w:t>
      </w:r>
      <w:r>
        <w:rPr/>
        <w:t>12.11799431</w:t>
      </w:r>
      <w:r>
        <w:rPr/>
        <w:t>亿。注销幅度约</w:t>
      </w:r>
      <w:r>
        <w:rPr/>
        <w:t>0.053%</w:t>
      </w:r>
      <w:r>
        <w:rPr/>
        <w:t>，实际是小幅每股变化，不能夸大。回购和员工持股历史用途不同，新动作需分别查注销与奖励。当前模型用最新已原公告核验股数近似说明利润规模，未来</w:t>
      </w:r>
      <w:r>
        <w:rPr/>
        <w:t>EPS</w:t>
      </w:r>
      <w:r>
        <w:rPr/>
        <w:t>仍需按实际稀释加权重新计算，未假设永远不变。</w:t>
      </w:r>
    </w:p>
    <w:p>
      <w:pPr>
        <w:pStyle w:val="Normal"/>
        <w:rPr/>
      </w:pPr>
      <w:r>
        <w:rPr/>
        <w:t>2026</w:t>
      </w:r>
      <w:r>
        <w:rPr/>
        <w:t>第二次中期分红每股</w:t>
      </w:r>
      <w:r>
        <w:rPr/>
        <w:t>1.33</w:t>
      </w:r>
      <w:r>
        <w:rPr/>
        <w:t>元于</w:t>
      </w:r>
      <w:r>
        <w:rPr/>
        <w:t>9</w:t>
      </w:r>
      <w:r>
        <w:rPr/>
        <w:t>月</w:t>
      </w:r>
      <w:r>
        <w:rPr/>
        <w:t>8</w:t>
      </w:r>
      <w:r>
        <w:rPr/>
        <w:t>日除息到账，早于</w:t>
      </w:r>
      <w:r>
        <w:rPr/>
        <w:t>10</w:t>
      </w:r>
      <w:r>
        <w:rPr/>
        <w:t>月</w:t>
      </w:r>
      <w:r>
        <w:rPr/>
        <w:t>9</w:t>
      </w:r>
      <w:r>
        <w:rPr/>
        <w:t>日买入起点，不纳入未来总回报；年内前次分红同样已经发生。公司披露累计分红及</w:t>
      </w:r>
      <w:r>
        <w:rPr/>
        <w:t>65.19%</w:t>
      </w:r>
      <w:r>
        <w:rPr/>
        <w:t>比例反映多次分配，但报告中年度未分配利润、当期利润和派息时点并非同一概念。不能把历史股息率直接作为未来保证，一年未来</w:t>
      </w:r>
      <w:r>
        <w:rPr/>
        <w:t>4</w:t>
      </w:r>
      <w:r>
        <w:rPr/>
        <w:t>元、三年</w:t>
      </w:r>
      <w:r>
        <w:rPr/>
        <w:t>14</w:t>
      </w:r>
      <w:r>
        <w:rPr/>
        <w:t>元、五年</w:t>
      </w:r>
      <w:r>
        <w:rPr/>
        <w:t>27</w:t>
      </w:r>
      <w:r>
        <w:rPr/>
        <w:t>元都是独立假设。</w:t>
      </w:r>
    </w:p>
    <w:p>
      <w:pPr>
        <w:pStyle w:val="Normal"/>
        <w:rPr/>
      </w:pPr>
      <w:r>
        <w:rPr/>
        <w:t>公司未来三年股东回报规划规定在具备条件下每年现金分配不少于当年可供分配利润的一定比例，并鼓励多次分红。这有助资本纪律，但仍受经营、投入和法规条件限制。经营下滑时稳定派息可以由现金支撑，长期超出自由现金则削弱扩张缓冲。评价应检查派息、研发、并购和资本支出总额是否持续匹配现金，而不把更高分红单独看成更高总收益。</w:t>
      </w:r>
    </w:p>
    <w:p>
      <w:pPr>
        <w:pStyle w:val="Normal"/>
        <w:rPr/>
      </w:pPr>
      <w:r>
        <w:rPr/>
        <w:t>集团筹资现金中的股利、利润或利息</w:t>
      </w:r>
      <w:r>
        <w:rPr/>
        <w:t>19.9596</w:t>
      </w:r>
      <w:r>
        <w:rPr/>
        <w:t>亿元含少数股东</w:t>
      </w:r>
      <w:r>
        <w:rPr/>
        <w:t>1.0439</w:t>
      </w:r>
      <w:r>
        <w:rPr/>
        <w:t>亿元，不能全部当给迈瑞普通股。软件子公司和集团内部股利在合并现金中抵消，不可再当额外股东收益。研究主模型以归母利润和普通股分红为准，母公司利润表的投资分红只帮助解释派息能力。混用母公司高利润与合并销售会显著误算估值，这些口径已经分列核验。</w:t>
      </w:r>
    </w:p>
    <w:p>
      <w:pPr>
        <w:pStyle w:val="Heading2"/>
        <w:rPr/>
      </w:pPr>
      <w:r>
        <w:rPr>
          <w:color w:val="000000"/>
        </w:rPr>
        <w:t>国内行业周期与经济前景</w:t>
      </w:r>
    </w:p>
    <w:p>
      <w:pPr>
        <w:pStyle w:val="Normal"/>
        <w:rPr/>
      </w:pPr>
      <w:r>
        <w:rPr/>
        <w:t>国内医院预算受医疗服务收入、医保支付、财政支持与既有债务影响，设备更新政策有利于采购，却需要实际资金、招标、交付和验收。名单或补贴额度不能直接等于厂商新增营收，医院也可能替换原计划采购。迈瑞具备产品广度和渠道，较容易争取份额，但对整体周期不免疫。半年更应观察实际订单和收入，一年以上再评估需求积累释放。</w:t>
      </w:r>
    </w:p>
    <w:p>
      <w:pPr>
        <w:pStyle w:val="Normal"/>
        <w:rPr/>
      </w:pPr>
      <w:r>
        <w:rPr/>
        <w:t>控费与医疗质量目标并行。医院可能愿意买能降低人力和重复检查的高效平台，同时压低耗材检测单价。公司的“价值医疗”逻辑只有在总成本和临床结果改善时成立，不能只是高端销售叙述。规模效应、上游原料和自动化可抵消一部分降价，但若价格压力超过效率，公司毛利仍下降。国内行业长年低增长时，份额提升不一定足以支持五年较高</w:t>
      </w:r>
      <w:r>
        <w:rPr/>
        <w:t>EPS</w:t>
      </w:r>
      <w:r>
        <w:rPr/>
        <w:t>。</w:t>
      </w:r>
    </w:p>
    <w:p>
      <w:pPr>
        <w:pStyle w:val="Normal"/>
        <w:rPr/>
      </w:pPr>
      <w:r>
        <w:rPr/>
        <w:t>人口老龄化提升诊疗需求，慢病和手术量可能增加；设备采购取决于医院已有配置和利用率，不能同比对应人口变化。检测互认还可能减少重复样本，老龄患者多也不一定增加每人收费。新兴手术耗材机会需结合规范治疗与支付，而非将老龄人群全部视作高值消费。宏观正向空间必须落到具体产品、患者路径、预算和收入，才能进入估值。</w:t>
      </w:r>
    </w:p>
    <w:p>
      <w:pPr>
        <w:pStyle w:val="Normal"/>
        <w:rPr/>
      </w:pPr>
      <w:r>
        <w:rPr/>
        <w:t>消费与经济弱势还影响私立机构和动物医疗。私立医院预算、病人支付和美容或选择性手术可能波动，宠物医疗更有可选消费特征。公共医疗需求较稳但财政和医保结算可能慢。公司多领域可以分散，渠道及坏账管理依然重要。现有高现金与低银行债帮助穿越周期，却不能把未来需求不确定性转为零，应保留基准以外的经营路径。</w:t>
      </w:r>
    </w:p>
    <w:p>
      <w:pPr>
        <w:pStyle w:val="Heading2"/>
        <w:rPr/>
      </w:pPr>
      <w:r>
        <w:rPr>
          <w:color w:val="000000"/>
        </w:rPr>
        <w:t>海外增长 贸易限制与本地化</w:t>
      </w:r>
    </w:p>
    <w:p>
      <w:pPr>
        <w:pStyle w:val="Normal"/>
        <w:rPr/>
      </w:pPr>
      <w:r>
        <w:rPr/>
        <w:t>上半年国际收入</w:t>
      </w:r>
      <w:r>
        <w:rPr/>
        <w:t>94.714</w:t>
      </w:r>
      <w:r>
        <w:rPr/>
        <w:t>亿元，同比增长</w:t>
      </w:r>
      <w:r>
        <w:rPr/>
        <w:t>13.67%</w:t>
      </w:r>
      <w:r>
        <w:rPr/>
        <w:t>，美元口径</w:t>
      </w:r>
      <w:r>
        <w:rPr/>
        <w:t>18.42%</w:t>
      </w:r>
      <w:r>
        <w:rPr/>
        <w:t>，占集团约</w:t>
      </w:r>
      <w:r>
        <w:rPr/>
        <w:t>53%</w:t>
      </w:r>
      <w:r>
        <w:rPr/>
        <w:t>。欧洲近</w:t>
      </w:r>
      <w:r>
        <w:rPr/>
        <w:t>25%</w:t>
      </w:r>
      <w:r>
        <w:rPr/>
        <w:t>、拉美近</w:t>
      </w:r>
      <w:r>
        <w:rPr/>
        <w:t>20%</w:t>
      </w:r>
      <w:r>
        <w:rPr/>
        <w:t>、亚太约</w:t>
      </w:r>
      <w:r>
        <w:rPr/>
        <w:t>17%</w:t>
      </w:r>
      <w:r>
        <w:rPr/>
        <w:t>为报告披露，英国法国意大利超过</w:t>
      </w:r>
      <w:r>
        <w:rPr/>
        <w:t>30%</w:t>
      </w:r>
      <w:r>
        <w:rPr/>
        <w:t>，说明海外恢复有真实方向。增速与美元口径差异受汇率影响，不可在总人民币收入模型直接采用更高</w:t>
      </w:r>
      <w:r>
        <w:rPr/>
        <w:t>18.42%</w:t>
      </w:r>
      <w:r>
        <w:rPr/>
        <w:t>。地区增速为约数，未披露全部金额时不能按几个高增长市场重构集团总收入。</w:t>
      </w:r>
    </w:p>
    <w:p>
      <w:pPr>
        <w:pStyle w:val="Normal"/>
        <w:rPr/>
      </w:pPr>
      <w:r>
        <w:rPr/>
        <w:t>海外高端战略客户贡献占比超过</w:t>
      </w:r>
      <w:r>
        <w:rPr/>
        <w:t>20%</w:t>
      </w:r>
      <w:r>
        <w:rPr/>
        <w:t>，</w:t>
      </w:r>
      <w:r>
        <w:rPr/>
        <w:t>2025</w:t>
      </w:r>
      <w:r>
        <w:rPr/>
        <w:t>约</w:t>
      </w:r>
      <w:r>
        <w:rPr/>
        <w:t>15%</w:t>
      </w:r>
      <w:r>
        <w:rPr/>
        <w:t>，公司希望从单品扩至多品和全院。突破客户后要经过采购周期与使用验证，名单不是永续合同。较高端的客户可能提高利润，却也要求强临床支持、质量和信息集成，销售费用需先投入。基准假设平台逐步产生协同，乐观需要扩大采用同时维持利润，悲观则考虑本地成本增加但新增订单不足。</w:t>
      </w:r>
    </w:p>
    <w:p>
      <w:pPr>
        <w:pStyle w:val="Normal"/>
        <w:rPr/>
      </w:pPr>
      <w:r>
        <w:rPr/>
        <w:t>美国关税与欧盟采购限制在公司风险页有具体披露。报告提及部分美国产品既有</w:t>
      </w:r>
      <w:r>
        <w:rPr/>
        <w:t>25%</w:t>
      </w:r>
      <w:r>
        <w:rPr/>
        <w:t>加税与</w:t>
      </w:r>
      <w:r>
        <w:rPr/>
        <w:t>2025</w:t>
      </w:r>
      <w:r>
        <w:rPr/>
        <w:t>新增轮次，部分豁免；欧盟</w:t>
      </w:r>
      <w:r>
        <w:rPr/>
        <w:t>2025</w:t>
      </w:r>
      <w:r>
        <w:rPr/>
        <w:t>年</w:t>
      </w:r>
      <w:r>
        <w:rPr/>
        <w:t>6</w:t>
      </w:r>
      <w:r>
        <w:rPr/>
        <w:t>月</w:t>
      </w:r>
      <w:r>
        <w:rPr/>
        <w:t>IPI</w:t>
      </w:r>
      <w:r>
        <w:rPr/>
        <w:t>限制中国企业参与五百万欧元以上公共采购，并限制相关中国成分比例。本文将这些作为公司公开风险陈述，未完成所有原法规和每项产品法律适用审查，不把阈值机械外推所有合同，也不声称没有欧洲收入。</w:t>
      </w:r>
    </w:p>
    <w:p>
      <w:pPr>
        <w:pStyle w:val="Normal"/>
        <w:rPr/>
      </w:pPr>
      <w:r>
        <w:rPr/>
        <w:t>公司欧洲仍增长近</w:t>
      </w:r>
      <w:r>
        <w:rPr/>
        <w:t>25%</w:t>
      </w:r>
      <w:r>
        <w:rPr/>
        <w:t>，说明限制与实际业务可以同时存在：私人客户、不同采购规模、原合同及本地化可能有不同适用，其他地区也补充增长。反过来，增长事实不能证明未来政策成本消失。长期采购扩张可能更加依赖本地生产与组织，利润和资本成本不同于纯出口。模型悲观路径考虑更高费用和市场准入，基准则要求适应措施有效且资本回报合理。</w:t>
      </w:r>
    </w:p>
    <w:p>
      <w:pPr>
        <w:pStyle w:val="Normal"/>
        <w:rPr/>
      </w:pPr>
      <w:r>
        <w:rPr/>
        <w:t>发展市场有医疗升级需求，也面临高利率、本币贬值、能源与财政压力。设备价格和融资成本会影响买方采购，公司有时需库存、信用或本地付款安排。人民币收入增长不等于当地真实数量增长，更要看价格与回款。公司披露通过不同地区直销经销配合，但经销商可能有自身融资与合规风险，市场扩张需要持续培训和监督，不能按地区</w:t>
      </w:r>
      <w:r>
        <w:rPr/>
        <w:t>GDP</w:t>
      </w:r>
      <w:r>
        <w:rPr/>
        <w:t>增长固定推销售。</w:t>
      </w:r>
    </w:p>
    <w:p>
      <w:pPr>
        <w:pStyle w:val="Normal"/>
        <w:rPr/>
      </w:pPr>
      <w:r>
        <w:rPr/>
        <w:t>在北美成熟市场直销为主、其他地区因地制宜经销，欧洲部分市场有两种模式。直销增加客户理解和利润控制，也有人员与服务成本；经销扩大覆盖，却减少终端可见度与控制。报表确认收入到经销不等于医院终端全部用完库存，应检查退货、存货、应收与渠道状态。未取得终端销售数据库时，本章不凭账面增长宣称终端需求全面旺盛。</w:t>
      </w:r>
    </w:p>
    <w:p>
      <w:pPr>
        <w:pStyle w:val="Heading2"/>
        <w:rPr/>
      </w:pPr>
      <w:r>
        <w:rPr>
          <w:color w:val="000000"/>
        </w:rPr>
        <w:t>半年技术 反弹与长期修复有区别</w:t>
      </w:r>
    </w:p>
    <w:p>
      <w:pPr>
        <w:pStyle w:val="Normal"/>
        <w:rPr/>
      </w:pPr>
      <w:r>
        <w:rPr/>
        <w:t>三年真实日线</w:t>
      </w:r>
      <w:r>
        <w:rPr/>
        <w:t>728</w:t>
      </w:r>
      <w:r>
        <w:rPr/>
        <w:t>条，起于</w:t>
      </w:r>
      <w:r>
        <w:rPr/>
        <w:t>2023</w:t>
      </w:r>
      <w:r>
        <w:rPr/>
        <w:t>年</w:t>
      </w:r>
      <w:r>
        <w:rPr/>
        <w:t>10</w:t>
      </w:r>
      <w:r>
        <w:rPr/>
        <w:t>月</w:t>
      </w:r>
      <w:r>
        <w:rPr/>
        <w:t>9</w:t>
      </w:r>
      <w:r>
        <w:rPr/>
        <w:t>日，原价</w:t>
      </w:r>
      <w:r>
        <w:rPr/>
        <w:t>161.40</w:t>
      </w:r>
      <w:r>
        <w:rPr/>
        <w:t>与多来源核验。技术采用复权</w:t>
      </w:r>
      <w:r>
        <w:rPr/>
        <w:t>OHLC</w:t>
      </w:r>
      <w:r>
        <w:rPr/>
        <w:t>归一到基准名义价，除息不被当成经营下跌；实际成交量以股统一，腾讯报价手乘一百。</w:t>
      </w:r>
      <w:r>
        <w:rPr/>
        <w:t>20</w:t>
      </w:r>
      <w:r>
        <w:rPr/>
        <w:t>、</w:t>
      </w:r>
      <w:r>
        <w:rPr/>
        <w:t>60</w:t>
      </w:r>
      <w:r>
        <w:rPr/>
        <w:t>、</w:t>
      </w:r>
      <w:r>
        <w:rPr/>
        <w:t>120</w:t>
      </w:r>
      <w:r>
        <w:rPr/>
        <w:t>、</w:t>
      </w:r>
      <w:r>
        <w:rPr/>
        <w:t>250</w:t>
      </w:r>
      <w:r>
        <w:rPr/>
        <w:t>日均线</w:t>
      </w:r>
      <w:r>
        <w:rPr/>
        <w:t>160.690</w:t>
      </w:r>
      <w:r>
        <w:rPr/>
        <w:t>、</w:t>
      </w:r>
      <w:r>
        <w:rPr/>
        <w:t>155.628</w:t>
      </w:r>
      <w:r>
        <w:rPr/>
        <w:t>、</w:t>
      </w:r>
      <w:r>
        <w:rPr/>
        <w:t>152.640</w:t>
      </w:r>
      <w:r>
        <w:rPr/>
        <w:t>、</w:t>
      </w:r>
      <w:r>
        <w:rPr/>
        <w:t>174.194</w:t>
      </w:r>
      <w:r>
        <w:rPr/>
        <w:t>元，现价比它们高</w:t>
      </w:r>
      <w:r>
        <w:rPr/>
        <w:t>0.44%</w:t>
      </w:r>
      <w:r>
        <w:rPr/>
        <w:t>、</w:t>
      </w:r>
      <w:r>
        <w:rPr/>
        <w:t>3.71%</w:t>
      </w:r>
      <w:r>
        <w:rPr/>
        <w:t>、</w:t>
      </w:r>
      <w:r>
        <w:rPr/>
        <w:t>5.74%</w:t>
      </w:r>
      <w:r>
        <w:rPr/>
        <w:t>及低</w:t>
      </w:r>
      <w:r>
        <w:rPr/>
        <w:t>7.34%</w:t>
      </w:r>
      <w:r>
        <w:rPr/>
        <w:t>，短期价格位置改善但年线仍在上方。</w:t>
      </w:r>
    </w:p>
    <w:p>
      <w:pPr>
        <w:pStyle w:val="Normal"/>
        <w:rPr/>
      </w:pPr>
      <w:r>
        <w:rPr/>
        <w:t>五个交易日均线斜率依次负</w:t>
      </w:r>
      <w:r>
        <w:rPr/>
        <w:t>0.93%</w:t>
      </w:r>
      <w:r>
        <w:rPr/>
        <w:t>、正</w:t>
      </w:r>
      <w:r>
        <w:rPr/>
        <w:t>1.16%</w:t>
      </w:r>
      <w:r>
        <w:rPr/>
        <w:t>、正</w:t>
      </w:r>
      <w:r>
        <w:rPr/>
        <w:t>0.10%</w:t>
      </w:r>
      <w:r>
        <w:rPr/>
        <w:t>、负</w:t>
      </w:r>
      <w:r>
        <w:rPr/>
        <w:t>0.83%</w:t>
      </w:r>
      <w:r>
        <w:rPr/>
        <w:t>，不是完整多头排列。</w:t>
      </w:r>
      <w:r>
        <w:rPr/>
        <w:t>20</w:t>
      </w:r>
      <w:r>
        <w:rPr/>
        <w:t>日线回落、</w:t>
      </w:r>
      <w:r>
        <w:rPr/>
        <w:t>120</w:t>
      </w:r>
      <w:r>
        <w:rPr/>
        <w:t>几乎走平、</w:t>
      </w:r>
      <w:r>
        <w:rPr/>
        <w:t>250</w:t>
      </w:r>
      <w:r>
        <w:rPr/>
        <w:t>继续下降，可以称短中期震荡修复。过去</w:t>
      </w:r>
      <w:r>
        <w:rPr/>
        <w:t>20</w:t>
      </w:r>
      <w:r>
        <w:rPr/>
        <w:t>日跌</w:t>
      </w:r>
      <w:r>
        <w:rPr/>
        <w:t>2.98%</w:t>
      </w:r>
      <w:r>
        <w:rPr/>
        <w:t>，</w:t>
      </w:r>
      <w:r>
        <w:rPr/>
        <w:t>60</w:t>
      </w:r>
      <w:r>
        <w:rPr/>
        <w:t>日涨</w:t>
      </w:r>
      <w:r>
        <w:rPr/>
        <w:t>16.62%</w:t>
      </w:r>
      <w:r>
        <w:rPr/>
        <w:t>，</w:t>
      </w:r>
      <w:r>
        <w:rPr/>
        <w:t>120</w:t>
      </w:r>
      <w:r>
        <w:rPr/>
        <w:t>日涨</w:t>
      </w:r>
      <w:r>
        <w:rPr/>
        <w:t>3.90%</w:t>
      </w:r>
      <w:r>
        <w:rPr/>
        <w:t>，</w:t>
      </w:r>
      <w:r>
        <w:rPr/>
        <w:t>250</w:t>
      </w:r>
      <w:r>
        <w:rPr/>
        <w:t>日跌</w:t>
      </w:r>
      <w:r>
        <w:rPr/>
        <w:t>29.61%</w:t>
      </w:r>
      <w:r>
        <w:rPr/>
        <w:t>；短期反弹与长年跌幅同时存在。现价距离年窗口高</w:t>
      </w:r>
      <w:r>
        <w:rPr/>
        <w:t>242.94</w:t>
      </w:r>
      <w:r>
        <w:rPr/>
        <w:t>低</w:t>
      </w:r>
      <w:r>
        <w:rPr/>
        <w:t>33.56%</w:t>
      </w:r>
      <w:r>
        <w:rPr/>
        <w:t>，从低</w:t>
      </w:r>
      <w:r>
        <w:rPr/>
        <w:t>129.63</w:t>
      </w:r>
      <w:r>
        <w:rPr/>
        <w:t>反弹</w:t>
      </w:r>
      <w:r>
        <w:rPr/>
        <w:t>24.51%</w:t>
      </w:r>
      <w:r>
        <w:rPr/>
        <w:t>，反弹不等于已返回历史盈利估值轨迹。</w:t>
      </w:r>
    </w:p>
    <w:p>
      <w:pPr>
        <w:pStyle w:val="Normal"/>
        <w:rPr/>
      </w:pPr>
      <w:r>
        <w:rPr/>
        <w:t>最近</w:t>
      </w:r>
      <w:r>
        <w:rPr/>
        <w:t>20</w:t>
      </w:r>
      <w:r>
        <w:rPr/>
        <w:t>日低</w:t>
      </w:r>
      <w:r>
        <w:rPr/>
        <w:t>153.72</w:t>
      </w:r>
      <w:r>
        <w:rPr/>
        <w:t>高</w:t>
      </w:r>
      <w:r>
        <w:rPr/>
        <w:t>170.67</w:t>
      </w:r>
      <w:r>
        <w:rPr/>
        <w:t>，现价向下</w:t>
      </w:r>
      <w:r>
        <w:rPr/>
        <w:t>4.76%</w:t>
      </w:r>
      <w:r>
        <w:rPr/>
        <w:t>、向上</w:t>
      </w:r>
      <w:r>
        <w:rPr/>
        <w:t>5.74%</w:t>
      </w:r>
      <w:r>
        <w:rPr/>
        <w:t>；</w:t>
      </w:r>
      <w:r>
        <w:rPr/>
        <w:t>60</w:t>
      </w:r>
      <w:r>
        <w:rPr/>
        <w:t>日低</w:t>
      </w:r>
      <w:r>
        <w:rPr/>
        <w:t>136.15</w:t>
      </w:r>
      <w:r>
        <w:rPr/>
        <w:t>高同为</w:t>
      </w:r>
      <w:r>
        <w:rPr/>
        <w:t>170.67</w:t>
      </w:r>
      <w:r>
        <w:rPr/>
        <w:t>，向下</w:t>
      </w:r>
      <w:r>
        <w:rPr/>
        <w:t>15.64%</w:t>
      </w:r>
      <w:r>
        <w:rPr/>
        <w:t>。窗口极值是观察位，未证明反复触碰的买卖力量。</w:t>
      </w:r>
      <w:r>
        <w:rPr/>
        <w:t>153</w:t>
      </w:r>
      <w:r>
        <w:rPr/>
        <w:t>至</w:t>
      </w:r>
      <w:r>
        <w:rPr/>
        <w:t>156</w:t>
      </w:r>
      <w:r>
        <w:rPr/>
        <w:t>接近</w:t>
      </w:r>
      <w:r>
        <w:rPr/>
        <w:t>20</w:t>
      </w:r>
      <w:r>
        <w:rPr/>
        <w:t>日低和</w:t>
      </w:r>
      <w:r>
        <w:rPr/>
        <w:t>60</w:t>
      </w:r>
      <w:r>
        <w:rPr/>
        <w:t>日均线，若回踩后收盘稳定可改善结构；</w:t>
      </w:r>
      <w:r>
        <w:rPr/>
        <w:t>170</w:t>
      </w:r>
      <w:r>
        <w:rPr/>
        <w:t>至</w:t>
      </w:r>
      <w:r>
        <w:rPr/>
        <w:t>175</w:t>
      </w:r>
      <w:r>
        <w:rPr/>
        <w:t>包含近期高位和</w:t>
      </w:r>
      <w:r>
        <w:rPr/>
        <w:t>250</w:t>
      </w:r>
      <w:r>
        <w:rPr/>
        <w:t>日线，若持续站稳并伴随长线斜率改善才更像修复。价格达到预期目标不是技术证据。</w:t>
      </w:r>
    </w:p>
    <w:p>
      <w:pPr>
        <w:pStyle w:val="Normal"/>
        <w:rPr/>
      </w:pPr>
      <w:r>
        <w:rPr/>
        <w:t>基准日上涨</w:t>
      </w:r>
      <w:r>
        <w:rPr/>
        <w:t>2.41%</w:t>
      </w:r>
      <w:r>
        <w:rPr/>
        <w:t>，成交</w:t>
      </w:r>
      <w:r>
        <w:rPr/>
        <w:t>694.39</w:t>
      </w:r>
      <w:r>
        <w:rPr/>
        <w:t>万股、金额</w:t>
      </w:r>
      <w:r>
        <w:rPr/>
        <w:t>11.0547</w:t>
      </w:r>
      <w:r>
        <w:rPr/>
        <w:t>亿元，报价换手</w:t>
      </w:r>
      <w:r>
        <w:rPr/>
        <w:t>0.57%</w:t>
      </w:r>
      <w:r>
        <w:rPr/>
        <w:t>；</w:t>
      </w:r>
      <w:r>
        <w:rPr/>
        <w:t>5</w:t>
      </w:r>
      <w:r>
        <w:rPr/>
        <w:t>、</w:t>
      </w:r>
      <w:r>
        <w:rPr/>
        <w:t>20</w:t>
      </w:r>
      <w:r>
        <w:rPr/>
        <w:t>、</w:t>
      </w:r>
      <w:r>
        <w:rPr/>
        <w:t>60</w:t>
      </w:r>
      <w:r>
        <w:rPr/>
        <w:t>日均量</w:t>
      </w:r>
      <w:r>
        <w:rPr/>
        <w:t>704.54</w:t>
      </w:r>
      <w:r>
        <w:rPr/>
        <w:t>、</w:t>
      </w:r>
      <w:r>
        <w:rPr/>
        <w:t>665.23</w:t>
      </w:r>
      <w:r>
        <w:rPr/>
        <w:t>、</w:t>
      </w:r>
      <w:r>
        <w:rPr/>
        <w:t>946.34</w:t>
      </w:r>
      <w:r>
        <w:rPr/>
        <w:t>万股。量比</w:t>
      </w:r>
      <w:r>
        <w:rPr/>
        <w:t>1.042</w:t>
      </w:r>
      <w:r>
        <w:rPr/>
        <w:t>仅接近平均，当天不是异常放量突破。二十日上涨十日总量</w:t>
      </w:r>
      <w:r>
        <w:rPr/>
        <w:t>6903.59</w:t>
      </w:r>
      <w:r>
        <w:rPr/>
        <w:t>万股，下跌十日</w:t>
      </w:r>
      <w:r>
        <w:rPr/>
        <w:t>6400.97</w:t>
      </w:r>
      <w:r>
        <w:rPr/>
        <w:t>万股，比</w:t>
      </w:r>
      <w:r>
        <w:rPr/>
        <w:t>1.079</w:t>
      </w:r>
      <w:r>
        <w:rPr/>
        <w:t>，略有积极差异但优势不强。成交不显示持有人意图，不用“主力吸筹”概括。</w:t>
      </w:r>
    </w:p>
    <w:p>
      <w:pPr>
        <w:pStyle w:val="Normal"/>
        <w:rPr/>
      </w:pPr>
      <w:r>
        <w:rPr/>
        <w:t>最新涨日和量比有助观察反弹，不能独立给半年高分。</w:t>
      </w:r>
      <w:r>
        <w:rPr/>
        <w:t>60</w:t>
      </w:r>
      <w:r>
        <w:rPr/>
        <w:t>日均量大于近期</w:t>
      </w:r>
      <w:r>
        <w:rPr/>
        <w:t>20</w:t>
      </w:r>
      <w:r>
        <w:rPr/>
        <w:t>日，说明前段反弹与交易活跃之后近期量能收缩，也可能是国庆与交易安排影响。后续要看反弹是否能持续、突破时成交是否合理、回踩是否失守，而非每次放量都视作进场。若涨幅只在单日出现随后又跌回</w:t>
      </w:r>
      <w:r>
        <w:rPr/>
        <w:t>153</w:t>
      </w:r>
      <w:r>
        <w:rPr/>
        <w:t>附近，技术判断要重置；没有逐笔数据不做精确量分布。</w:t>
      </w:r>
    </w:p>
    <w:p>
      <w:pPr>
        <w:pStyle w:val="Normal"/>
        <w:rPr/>
      </w:pPr>
      <w:r>
        <w:rPr/>
        <w:t>RSI</w:t>
      </w:r>
      <w:r>
        <w:rPr/>
        <w:t>十四日</w:t>
      </w:r>
      <w:r>
        <w:rPr/>
        <w:t>54.36</w:t>
      </w:r>
      <w:r>
        <w:rPr/>
        <w:t>，接近中性偏强；</w:t>
      </w:r>
      <w:r>
        <w:rPr/>
        <w:t>MACD</w:t>
      </w:r>
      <w:r>
        <w:rPr/>
        <w:t>差离</w:t>
      </w:r>
      <w:r>
        <w:rPr/>
        <w:t>0.080</w:t>
      </w:r>
      <w:r>
        <w:rPr/>
        <w:t>、信号</w:t>
      </w:r>
      <w:r>
        <w:rPr/>
        <w:t>0.292</w:t>
      </w:r>
      <w:r>
        <w:rPr/>
        <w:t>、柱负</w:t>
      </w:r>
      <w:r>
        <w:rPr/>
        <w:t>0.425</w:t>
      </w:r>
      <w:r>
        <w:rPr/>
        <w:t>，短期动量尚未明显扩张，和</w:t>
      </w:r>
      <w:r>
        <w:rPr/>
        <w:t>20</w:t>
      </w:r>
      <w:r>
        <w:rPr/>
        <w:t>日均线斜率负相符。</w:t>
      </w:r>
      <w:r>
        <w:rPr/>
        <w:t>ATR</w:t>
      </w:r>
      <w:r>
        <w:rPr/>
        <w:t>十四日</w:t>
      </w:r>
      <w:r>
        <w:rPr/>
        <w:t>3.91</w:t>
      </w:r>
      <w:r>
        <w:rPr/>
        <w:t>元、</w:t>
      </w:r>
      <w:r>
        <w:rPr/>
        <w:t>2.42%</w:t>
      </w:r>
      <w:r>
        <w:rPr/>
        <w:t>，相较药明和创新药波动小一些，但最近下方观察位</w:t>
      </w:r>
      <w:r>
        <w:rPr/>
        <w:t>7.68</w:t>
      </w:r>
      <w:r>
        <w:rPr/>
        <w:t>元仍只约两</w:t>
      </w:r>
      <w:r>
        <w:rPr/>
        <w:t>ATR</w:t>
      </w:r>
      <w:r>
        <w:rPr/>
        <w:t>。日指标高度相关，只用于验证趋势，不分别给多个满分。突然公告与跳空可超出历史</w:t>
      </w:r>
      <w:r>
        <w:rPr/>
        <w:t>ATR</w:t>
      </w:r>
      <w:r>
        <w:rPr/>
        <w:t>，止损和目标均无保证。</w:t>
      </w:r>
    </w:p>
    <w:p>
      <w:pPr>
        <w:pStyle w:val="Normal"/>
        <w:rPr/>
      </w:pPr>
      <w:r>
        <w:rPr/>
        <w:t>周线</w:t>
      </w:r>
      <w:r>
        <w:rPr/>
        <w:t>155</w:t>
      </w:r>
      <w:r>
        <w:rPr/>
        <w:t>条，</w:t>
      </w:r>
      <w:r>
        <w:rPr/>
        <w:t>20</w:t>
      </w:r>
      <w:r>
        <w:rPr/>
        <w:t>周</w:t>
      </w:r>
      <w:r>
        <w:rPr/>
        <w:t>151.33</w:t>
      </w:r>
      <w:r>
        <w:rPr/>
        <w:t>、</w:t>
      </w:r>
      <w:r>
        <w:rPr/>
        <w:t>60</w:t>
      </w:r>
      <w:r>
        <w:rPr/>
        <w:t>周</w:t>
      </w:r>
      <w:r>
        <w:rPr/>
        <w:t>180.42</w:t>
      </w:r>
      <w:r>
        <w:rPr/>
        <w:t>、</w:t>
      </w:r>
      <w:r>
        <w:rPr/>
        <w:t>120</w:t>
      </w:r>
      <w:r>
        <w:rPr/>
        <w:t>周</w:t>
      </w:r>
      <w:r>
        <w:rPr/>
        <w:t>209.13</w:t>
      </w:r>
      <w:r>
        <w:rPr/>
        <w:t>元，现价高</w:t>
      </w:r>
      <w:r>
        <w:rPr/>
        <w:t>20</w:t>
      </w:r>
      <w:r>
        <w:rPr/>
        <w:t>周</w:t>
      </w:r>
      <w:r>
        <w:rPr/>
        <w:t>6.66%</w:t>
      </w:r>
      <w:r>
        <w:rPr/>
        <w:t>，低</w:t>
      </w:r>
      <w:r>
        <w:rPr/>
        <w:t>60</w:t>
      </w:r>
      <w:r>
        <w:rPr/>
        <w:t>周</w:t>
      </w:r>
      <w:r>
        <w:rPr/>
        <w:t>10.54%</w:t>
      </w:r>
      <w:r>
        <w:rPr/>
        <w:t>、低</w:t>
      </w:r>
      <w:r>
        <w:rPr/>
        <w:t>120</w:t>
      </w:r>
      <w:r>
        <w:rPr/>
        <w:t>周</w:t>
      </w:r>
      <w:r>
        <w:rPr/>
        <w:t>22.82%</w:t>
      </w:r>
      <w:r>
        <w:rPr/>
        <w:t>；两条长周线仍下降。周</w:t>
      </w:r>
      <w:r>
        <w:rPr/>
        <w:t>MACD</w:t>
      </w:r>
      <w:r>
        <w:rPr/>
        <w:t>柱正</w:t>
      </w:r>
      <w:r>
        <w:rPr/>
        <w:t>5.68</w:t>
      </w:r>
      <w:r>
        <w:rPr/>
        <w:t>，差离仍负，</w:t>
      </w:r>
      <w:r>
        <w:rPr/>
        <w:t>RSI51.28</w:t>
      </w:r>
      <w:r>
        <w:rPr/>
        <w:t>，属于下跌后的动量修复而非完全回归长升趋势。</w:t>
      </w:r>
      <w:r>
        <w:rPr/>
        <w:t>250</w:t>
      </w:r>
      <w:r>
        <w:rPr/>
        <w:t>周因样本不足留空。日线在</w:t>
      </w:r>
      <w:r>
        <w:rPr/>
        <w:t>60</w:t>
      </w:r>
      <w:r>
        <w:rPr/>
        <w:t>日上、周线在</w:t>
      </w:r>
      <w:r>
        <w:rPr/>
        <w:t>60</w:t>
      </w:r>
      <w:r>
        <w:rPr/>
        <w:t>周下并不矛盾，时间尺度不同，标签要准确。</w:t>
      </w:r>
    </w:p>
    <w:p>
      <w:pPr>
        <w:pStyle w:val="Normal"/>
        <w:rPr/>
      </w:pPr>
      <w:r>
        <w:rPr/>
        <w:t>相对沪深</w:t>
      </w:r>
      <w:r>
        <w:rPr/>
        <w:t>300</w:t>
      </w:r>
      <w:r>
        <w:rPr/>
        <w:t>，</w:t>
      </w:r>
      <w:r>
        <w:rPr/>
        <w:t>20</w:t>
      </w:r>
      <w:r>
        <w:rPr/>
        <w:t>日超额</w:t>
      </w:r>
      <w:r>
        <w:rPr/>
        <w:t>2.19</w:t>
      </w:r>
      <w:r>
        <w:rPr/>
        <w:t>个百分点、</w:t>
      </w:r>
      <w:r>
        <w:rPr/>
        <w:t>60</w:t>
      </w:r>
      <w:r>
        <w:rPr/>
        <w:t>日</w:t>
      </w:r>
      <w:r>
        <w:rPr/>
        <w:t>28.08</w:t>
      </w:r>
      <w:r>
        <w:rPr/>
        <w:t>个百分点，近期抗跌较强，但</w:t>
      </w:r>
      <w:r>
        <w:rPr/>
        <w:t>20</w:t>
      </w:r>
      <w:r>
        <w:rPr/>
        <w:t>日绝对仍跌。没有可核验细分器械或医药指数全历史，行业相对强弱留空，不借港股创新药或恒生科技代替。十月国庆之后最新一周交易日偏少，周成交量应按日数理解，不能拿不足完整周的量比声称资金撤退。技术是半年排序的约束，长期盈利逻辑独立验证。</w:t>
      </w:r>
    </w:p>
    <w:p>
      <w:pPr>
        <w:pStyle w:val="Heading2"/>
        <w:rPr/>
      </w:pPr>
      <w:r>
        <w:rPr>
          <w:color w:val="000000"/>
        </w:rPr>
        <w:t>估值锚 现金回报与价格条件</w:t>
      </w:r>
    </w:p>
    <w:p>
      <w:pPr>
        <w:pStyle w:val="Normal"/>
        <w:rPr/>
      </w:pPr>
      <w:r>
        <w:rPr/>
        <w:t>当前按</w:t>
      </w:r>
      <w:r>
        <w:rPr/>
        <w:t>2025</w:t>
      </w:r>
      <w:r>
        <w:rPr/>
        <w:t>稀释</w:t>
      </w:r>
      <w:r>
        <w:rPr/>
        <w:t>EPS6.7145</w:t>
      </w:r>
      <w:r>
        <w:rPr/>
        <w:t>约</w:t>
      </w:r>
      <w:r>
        <w:rPr/>
        <w:t>24.04</w:t>
      </w:r>
      <w:r>
        <w:rPr/>
        <w:t>倍，按</w:t>
      </w:r>
      <w:r>
        <w:rPr/>
        <w:t>2024</w:t>
      </w:r>
      <w:r>
        <w:rPr/>
        <w:t>高峰</w:t>
      </w:r>
      <w:r>
        <w:rPr/>
        <w:t>9.633</w:t>
      </w:r>
      <w:r>
        <w:rPr/>
        <w:t>约</w:t>
      </w:r>
      <w:r>
        <w:rPr/>
        <w:t>16.76</w:t>
      </w:r>
      <w:r>
        <w:rPr/>
        <w:t>倍，二者都是真实历史口径，但对未来意义不同。过去峰值是否可恢复需要国内、海外和利润率证据；低谷是否正常需要看长期支付压力。不能选择较便宜的高峰倍数就称低估。半年基准</w:t>
      </w:r>
      <w:r>
        <w:rPr/>
        <w:t>EPS8.50</w:t>
      </w:r>
      <w:r>
        <w:rPr/>
        <w:t>、一年</w:t>
      </w:r>
      <w:r>
        <w:rPr/>
        <w:t>9.50</w:t>
      </w:r>
      <w:r>
        <w:rPr/>
        <w:t>为正常化未来盈利假设，当前对应</w:t>
      </w:r>
      <w:r>
        <w:rPr/>
        <w:t>18.99</w:t>
      </w:r>
      <w:r>
        <w:rPr/>
        <w:t>倍、</w:t>
      </w:r>
      <w:r>
        <w:rPr/>
        <w:t>16.99</w:t>
      </w:r>
      <w:r>
        <w:rPr/>
        <w:t>倍，只在预测成立时有意义。</w:t>
      </w:r>
    </w:p>
    <w:p>
      <w:pPr>
        <w:pStyle w:val="Normal"/>
        <w:rPr/>
      </w:pPr>
      <w:r>
        <w:rPr/>
        <w:t>模型目标时点</w:t>
      </w:r>
      <w:r>
        <w:rPr/>
        <w:t>EPS</w:t>
      </w:r>
      <w:r>
        <w:rPr/>
        <w:t>乘合理</w:t>
      </w:r>
      <w:r>
        <w:rPr/>
        <w:t>PE</w:t>
      </w:r>
      <w:r>
        <w:rPr/>
        <w:t>，不再追加现金、惠泰市值或</w:t>
      </w:r>
      <w:r>
        <w:rPr/>
        <w:t>AI</w:t>
      </w:r>
      <w:r>
        <w:rPr/>
        <w:t>单独价值。成熟器械平台可因产品持续性和渠道获得合理溢价，设备与支付周期限制倍数。基准半年</w:t>
      </w:r>
      <w:r>
        <w:rPr/>
        <w:t>23</w:t>
      </w:r>
      <w:r>
        <w:rPr/>
        <w:t>、一年</w:t>
      </w:r>
      <w:r>
        <w:rPr/>
        <w:t>24</w:t>
      </w:r>
      <w:r>
        <w:rPr/>
        <w:t>、三年</w:t>
      </w:r>
      <w:r>
        <w:rPr/>
        <w:t>23</w:t>
      </w:r>
      <w:r>
        <w:rPr/>
        <w:t>、五年</w:t>
      </w:r>
      <w:r>
        <w:rPr/>
        <w:t>22</w:t>
      </w:r>
      <w:r>
        <w:rPr/>
        <w:t>倍，长期回落体现增长成熟；悲观</w:t>
      </w:r>
      <w:r>
        <w:rPr/>
        <w:t>15</w:t>
      </w:r>
      <w:r>
        <w:rPr/>
        <w:t>至</w:t>
      </w:r>
      <w:r>
        <w:rPr/>
        <w:t>17</w:t>
      </w:r>
      <w:r>
        <w:rPr/>
        <w:t>倍反映预算、政策和利润压力；乐观接近三十倍要求更强高端成长。倍数为可审查判断，未声称严格历史估值分位已全部计算。</w:t>
      </w:r>
    </w:p>
    <w:p>
      <w:pPr>
        <w:pStyle w:val="Normal"/>
        <w:rPr/>
      </w:pPr>
      <w:r>
        <w:rPr/>
        <w:t>按最新核验股数与现价粗算市值约</w:t>
      </w:r>
      <w:r>
        <w:rPr/>
        <w:t>1955.84</w:t>
      </w:r>
      <w:r>
        <w:rPr/>
        <w:t>亿元，</w:t>
      </w:r>
      <w:r>
        <w:rPr/>
        <w:t>2025</w:t>
      </w:r>
      <w:r>
        <w:rPr/>
        <w:t>自由现金</w:t>
      </w:r>
      <w:r>
        <w:rPr/>
        <w:t>81.07</w:t>
      </w:r>
      <w:r>
        <w:rPr/>
        <w:t>亿元对应约</w:t>
      </w:r>
      <w:r>
        <w:rPr/>
        <w:t>4.14%</w:t>
      </w:r>
      <w:r>
        <w:rPr/>
        <w:t>现金收益，半年自由现金粗年化</w:t>
      </w:r>
      <w:r>
        <w:rPr/>
        <w:t>76.26</w:t>
      </w:r>
      <w:r>
        <w:rPr/>
        <w:t>亿元对应</w:t>
      </w:r>
      <w:r>
        <w:rPr/>
        <w:t>3.90%</w:t>
      </w:r>
      <w:r>
        <w:rPr/>
        <w:t>。这些比较说明有实际现金基础，却未达到无须成长就显著便宜的程度；半年不应机械年化，而且合并现金包含少数权益与其他资本义务。粗核对不能当完整股东</w:t>
      </w:r>
      <w:r>
        <w:rPr/>
        <w:t>DCF</w:t>
      </w:r>
      <w:r>
        <w:rPr/>
        <w:t>结果，只是限制过度乐观估值。</w:t>
      </w:r>
    </w:p>
    <w:p>
      <w:pPr>
        <w:pStyle w:val="Normal"/>
        <w:rPr/>
      </w:pPr>
      <w:r>
        <w:rPr/>
        <w:t>现金充足可降低融资压力并支持投入，不能保证股价不会下跌。当前</w:t>
      </w:r>
      <w:r>
        <w:rPr/>
        <w:t>PE</w:t>
      </w:r>
      <w:r>
        <w:rPr/>
        <w:t>对未来</w:t>
      </w:r>
      <w:r>
        <w:rPr/>
        <w:t>EPS</w:t>
      </w:r>
      <w:r>
        <w:rPr/>
        <w:t>恢复比较敏感，假如盈利维持七元且市场给</w:t>
      </w:r>
      <w:r>
        <w:rPr/>
        <w:t>17</w:t>
      </w:r>
      <w:r>
        <w:rPr/>
        <w:t>倍，股价</w:t>
      </w:r>
      <w:r>
        <w:rPr/>
        <w:t>119</w:t>
      </w:r>
      <w:r>
        <w:rPr/>
        <w:t>元，即使现金仍很多也比现价低</w:t>
      </w:r>
      <w:r>
        <w:rPr/>
        <w:t>26%</w:t>
      </w:r>
      <w:r>
        <w:rPr/>
        <w:t>。平台有潜在高端扩张时较高</w:t>
      </w:r>
      <w:r>
        <w:rPr/>
        <w:t>PE</w:t>
      </w:r>
      <w:r>
        <w:rPr/>
        <w:t>可以合理，但若行业长期低增长，合理倍数应下降。投资者应同时选择企业和价格，不把龙头身份当任何价位都值得持有。</w:t>
      </w:r>
    </w:p>
    <w:p>
      <w:pPr>
        <w:pStyle w:val="Heading2"/>
        <w:rPr/>
      </w:pPr>
      <w:r>
        <w:rPr>
          <w:color w:val="000000"/>
        </w:rPr>
        <w:t>四期限情景假设和反证</w:t>
      </w:r>
    </w:p>
    <w:p>
      <w:pPr>
        <w:pStyle w:val="Normal"/>
        <w:rPr/>
      </w:pPr>
      <w:r>
        <w:rPr/>
        <w:t>半年悲观正常化</w:t>
      </w:r>
      <w:r>
        <w:rPr/>
        <w:t>EPS6.70</w:t>
      </w:r>
      <w:r>
        <w:rPr/>
        <w:t>、</w:t>
      </w:r>
      <w:r>
        <w:rPr/>
        <w:t>17</w:t>
      </w:r>
      <w:r>
        <w:rPr/>
        <w:t>倍为</w:t>
      </w:r>
      <w:r>
        <w:rPr/>
        <w:t>113.90</w:t>
      </w:r>
      <w:r>
        <w:rPr/>
        <w:t>元，跌</w:t>
      </w:r>
      <w:r>
        <w:rPr/>
        <w:t>29.43%</w:t>
      </w:r>
      <w:r>
        <w:rPr/>
        <w:t>；基准</w:t>
      </w:r>
      <w:r>
        <w:rPr/>
        <w:t>8.50</w:t>
      </w:r>
      <w:r>
        <w:rPr/>
        <w:t>、</w:t>
      </w:r>
      <w:r>
        <w:rPr/>
        <w:t>23</w:t>
      </w:r>
      <w:r>
        <w:rPr/>
        <w:t>倍为</w:t>
      </w:r>
      <w:r>
        <w:rPr/>
        <w:t>195.50</w:t>
      </w:r>
      <w:r>
        <w:rPr/>
        <w:t>元，涨</w:t>
      </w:r>
      <w:r>
        <w:rPr/>
        <w:t>21.13%</w:t>
      </w:r>
      <w:r>
        <w:rPr/>
        <w:t>；乐观</w:t>
      </w:r>
      <w:r>
        <w:rPr/>
        <w:t>9.80</w:t>
      </w:r>
      <w:r>
        <w:rPr/>
        <w:t>、</w:t>
      </w:r>
      <w:r>
        <w:rPr/>
        <w:t>29</w:t>
      </w:r>
      <w:r>
        <w:rPr/>
        <w:t>倍为</w:t>
      </w:r>
      <w:r>
        <w:rPr/>
        <w:t>284.20</w:t>
      </w:r>
      <w:r>
        <w:rPr/>
        <w:t>元，涨</w:t>
      </w:r>
      <w:r>
        <w:rPr/>
        <w:t>76.08%</w:t>
      </w:r>
      <w:r>
        <w:rPr/>
        <w:t>。半年不是实际赚到这些</w:t>
      </w:r>
      <w:r>
        <w:rPr/>
        <w:t>EPS</w:t>
      </w:r>
      <w:r>
        <w:rPr/>
        <w:t>，而是目标时点市场对正常化未来盈利的定价。基准需要海外高端与</w:t>
      </w:r>
      <w:r>
        <w:rPr/>
        <w:t>IVD</w:t>
      </w:r>
      <w:r>
        <w:rPr/>
        <w:t>继续增、国内跌幅收窄和汇兑不再重复拖累；乐观还要求利润与估值超预期恢复，两者条件更苛刻。</w:t>
      </w:r>
    </w:p>
    <w:p>
      <w:pPr>
        <w:pStyle w:val="Normal"/>
        <w:rPr/>
      </w:pPr>
      <w:r>
        <w:rPr/>
        <w:t>半年催化包括后续季报、年度经营趋势、设备采购兑现、新高端产品与客户扩购。技术尚未突破</w:t>
      </w:r>
      <w:r>
        <w:rPr/>
        <w:t>170</w:t>
      </w:r>
      <w:r>
        <w:rPr/>
        <w:t>至</w:t>
      </w:r>
      <w:r>
        <w:rPr/>
        <w:t>175</w:t>
      </w:r>
      <w:r>
        <w:rPr/>
        <w:t>区间，若经营符合但不超预期，股价可能先横盘。悲观可因国内需求再弱、海外费用和汇率拖累、行业情绪导致，不必等到现金危机。观察失败条件是持续失守</w:t>
      </w:r>
      <w:r>
        <w:rPr/>
        <w:t>153</w:t>
      </w:r>
      <w:r>
        <w:rPr/>
        <w:t>至</w:t>
      </w:r>
      <w:r>
        <w:rPr/>
        <w:t>156</w:t>
      </w:r>
      <w:r>
        <w:rPr/>
        <w:t>并长期均线进一步转弱，同时盈利证据下修；技术失败与基本面失败分列，不用价格单日波动自动改经营预测。</w:t>
      </w:r>
    </w:p>
    <w:p>
      <w:pPr>
        <w:pStyle w:val="Normal"/>
        <w:rPr/>
      </w:pPr>
      <w:r>
        <w:rPr/>
        <w:t>一年悲观</w:t>
      </w:r>
      <w:r>
        <w:rPr/>
        <w:t>EPS7</w:t>
      </w:r>
      <w:r>
        <w:rPr/>
        <w:t>元、</w:t>
      </w:r>
      <w:r>
        <w:rPr/>
        <w:t>17</w:t>
      </w:r>
      <w:r>
        <w:rPr/>
        <w:t>倍为</w:t>
      </w:r>
      <w:r>
        <w:rPr/>
        <w:t>119</w:t>
      </w:r>
      <w:r>
        <w:rPr/>
        <w:t>元，跌</w:t>
      </w:r>
      <w:r>
        <w:rPr/>
        <w:t>26.27%</w:t>
      </w:r>
      <w:r>
        <w:rPr/>
        <w:t>；基准</w:t>
      </w:r>
      <w:r>
        <w:rPr/>
        <w:t>9.50</w:t>
      </w:r>
      <w:r>
        <w:rPr/>
        <w:t>、</w:t>
      </w:r>
      <w:r>
        <w:rPr/>
        <w:t>24</w:t>
      </w:r>
      <w:r>
        <w:rPr/>
        <w:t>倍</w:t>
      </w:r>
      <w:r>
        <w:rPr/>
        <w:t>228</w:t>
      </w:r>
      <w:r>
        <w:rPr/>
        <w:t>元，涨</w:t>
      </w:r>
      <w:r>
        <w:rPr/>
        <w:t>41.26%</w:t>
      </w:r>
      <w:r>
        <w:rPr/>
        <w:t>；乐观</w:t>
      </w:r>
      <w:r>
        <w:rPr/>
        <w:t>11</w:t>
      </w:r>
      <w:r>
        <w:rPr/>
        <w:t>、</w:t>
      </w:r>
      <w:r>
        <w:rPr/>
        <w:t>30</w:t>
      </w:r>
      <w:r>
        <w:rPr/>
        <w:t>倍</w:t>
      </w:r>
      <w:r>
        <w:rPr/>
        <w:t>330</w:t>
      </w:r>
      <w:r>
        <w:rPr/>
        <w:t>元，涨</w:t>
      </w:r>
      <w:r>
        <w:rPr/>
        <w:t>104.46%</w:t>
      </w:r>
      <w:r>
        <w:rPr/>
        <w:t>。预测累计分红</w:t>
      </w:r>
      <w:r>
        <w:rPr/>
        <w:t>2.5</w:t>
      </w:r>
      <w:r>
        <w:rPr/>
        <w:t>、</w:t>
      </w:r>
      <w:r>
        <w:rPr/>
        <w:t>4</w:t>
      </w:r>
      <w:r>
        <w:rPr/>
        <w:t>、</w:t>
      </w:r>
      <w:r>
        <w:rPr/>
        <w:t>5</w:t>
      </w:r>
      <w:r>
        <w:rPr/>
        <w:t>元后，总回报分别负</w:t>
      </w:r>
      <w:r>
        <w:rPr/>
        <w:t>24.72%</w:t>
      </w:r>
      <w:r>
        <w:rPr/>
        <w:t>、正</w:t>
      </w:r>
      <w:r>
        <w:rPr/>
        <w:t>43.74%</w:t>
      </w:r>
      <w:r>
        <w:rPr/>
        <w:t>、正</w:t>
      </w:r>
      <w:r>
        <w:rPr/>
        <w:t>107.56%</w:t>
      </w:r>
      <w:r>
        <w:rPr/>
        <w:t>。一年基准</w:t>
      </w:r>
      <w:r>
        <w:rPr/>
        <w:t>EPS</w:t>
      </w:r>
      <w:r>
        <w:rPr/>
        <w:t>相近</w:t>
      </w:r>
      <w:r>
        <w:rPr/>
        <w:t>2024</w:t>
      </w:r>
      <w:r>
        <w:rPr/>
        <w:t>历史峰值，但不是直接复制，要求海外和新兴增量补足国内结构变化与成本。若</w:t>
      </w:r>
      <w:r>
        <w:rPr/>
        <w:t>2027</w:t>
      </w:r>
      <w:r>
        <w:rPr/>
        <w:t>国内快速增长未发生，必须调整而非延后一年继续用同目标。</w:t>
      </w:r>
    </w:p>
    <w:p>
      <w:pPr>
        <w:pStyle w:val="Normal"/>
        <w:rPr/>
      </w:pPr>
      <w:r>
        <w:rPr/>
        <w:t>一年允许更多时间验证国产</w:t>
      </w:r>
      <w:r>
        <w:rPr/>
        <w:t>IVD</w:t>
      </w:r>
      <w:r>
        <w:rPr/>
        <w:t>份额与后续试剂消耗、海外本地平台回报、超声高端和新耗材采用。公司自己预期国内</w:t>
      </w:r>
      <w:r>
        <w:rPr/>
        <w:t>2027</w:t>
      </w:r>
      <w:r>
        <w:rPr/>
        <w:t>及以后更稳定增长，研究可以把它作为条件却不能当保证。若装机与客户数增加而收入低于预期，先查量价和免费实施；若收入达标但归母与现金不跟进，查少数权益、费用和营运资金。</w:t>
      </w:r>
      <w:r>
        <w:rPr/>
        <w:t>EPS9.50</w:t>
      </w:r>
      <w:r>
        <w:rPr/>
        <w:t>对应约</w:t>
      </w:r>
      <w:r>
        <w:rPr/>
        <w:t>115.12</w:t>
      </w:r>
      <w:r>
        <w:rPr/>
        <w:t>亿元利润，须有实际组合支持。</w:t>
      </w:r>
    </w:p>
    <w:p>
      <w:pPr>
        <w:pStyle w:val="Normal"/>
        <w:rPr/>
      </w:pPr>
      <w:r>
        <w:rPr/>
        <w:t>三年悲观</w:t>
      </w:r>
      <w:r>
        <w:rPr/>
        <w:t>EPS7.80</w:t>
      </w:r>
      <w:r>
        <w:rPr/>
        <w:t>、</w:t>
      </w:r>
      <w:r>
        <w:rPr/>
        <w:t>16</w:t>
      </w:r>
      <w:r>
        <w:rPr/>
        <w:t>倍为</w:t>
      </w:r>
      <w:r>
        <w:rPr/>
        <w:t>124.80</w:t>
      </w:r>
      <w:r>
        <w:rPr/>
        <w:t>元，跌</w:t>
      </w:r>
      <w:r>
        <w:rPr/>
        <w:t>22.68%</w:t>
      </w:r>
      <w:r>
        <w:rPr/>
        <w:t>；基准</w:t>
      </w:r>
      <w:r>
        <w:rPr/>
        <w:t>12</w:t>
      </w:r>
      <w:r>
        <w:rPr/>
        <w:t>、</w:t>
      </w:r>
      <w:r>
        <w:rPr/>
        <w:t>23</w:t>
      </w:r>
      <w:r>
        <w:rPr/>
        <w:t>倍</w:t>
      </w:r>
      <w:r>
        <w:rPr/>
        <w:t>276</w:t>
      </w:r>
      <w:r>
        <w:rPr/>
        <w:t>元，涨</w:t>
      </w:r>
      <w:r>
        <w:rPr/>
        <w:t>71.00%</w:t>
      </w:r>
      <w:r>
        <w:rPr/>
        <w:t>；乐观</w:t>
      </w:r>
      <w:r>
        <w:rPr/>
        <w:t>16</w:t>
      </w:r>
      <w:r>
        <w:rPr/>
        <w:t>、</w:t>
      </w:r>
      <w:r>
        <w:rPr/>
        <w:t>30</w:t>
      </w:r>
      <w:r>
        <w:rPr/>
        <w:t>倍</w:t>
      </w:r>
      <w:r>
        <w:rPr/>
        <w:t>480</w:t>
      </w:r>
      <w:r>
        <w:rPr/>
        <w:t>元，涨</w:t>
      </w:r>
      <w:r>
        <w:rPr/>
        <w:t>197.40%</w:t>
      </w:r>
      <w:r>
        <w:rPr/>
        <w:t>。累计分红</w:t>
      </w:r>
      <w:r>
        <w:rPr/>
        <w:t>8</w:t>
      </w:r>
      <w:r>
        <w:rPr/>
        <w:t>、</w:t>
      </w:r>
      <w:r>
        <w:rPr/>
        <w:t>14</w:t>
      </w:r>
      <w:r>
        <w:rPr/>
        <w:t>、</w:t>
      </w:r>
      <w:r>
        <w:rPr/>
        <w:t>19</w:t>
      </w:r>
      <w:r>
        <w:rPr/>
        <w:t>元，基准总回报</w:t>
      </w:r>
      <w:r>
        <w:rPr/>
        <w:t>79.68%</w:t>
      </w:r>
      <w:r>
        <w:rPr/>
        <w:t>、年化</w:t>
      </w:r>
      <w:r>
        <w:rPr/>
        <w:t>21.57%</w:t>
      </w:r>
      <w:r>
        <w:rPr/>
        <w:t>。基准利润约</w:t>
      </w:r>
      <w:r>
        <w:rPr/>
        <w:t>145.42</w:t>
      </w:r>
      <w:r>
        <w:rPr/>
        <w:t>亿元，比</w:t>
      </w:r>
      <w:r>
        <w:rPr/>
        <w:t>2024</w:t>
      </w:r>
      <w:r>
        <w:rPr/>
        <w:t>峰值高约四分之一，不是假设原低谷无限增长。海外高端、</w:t>
      </w:r>
      <w:r>
        <w:rPr/>
        <w:t>IVD</w:t>
      </w:r>
      <w:r>
        <w:rPr/>
        <w:t>菜单和新兴耗材需要成为更成熟组合，国内不能继续长期大幅收缩。</w:t>
      </w:r>
    </w:p>
    <w:p>
      <w:pPr>
        <w:pStyle w:val="Normal"/>
        <w:rPr/>
      </w:pPr>
      <w:r>
        <w:rPr/>
        <w:t>三年最有意义的收益来源是市场份额和产品结构带来的每股盈利增长，不依赖一条研发管线临床成功，但多个业务同时受医院控费。若耗材集采压价、海外高端费用或竞争削弱利润，平台收入增加仍可能未达到</w:t>
      </w:r>
      <w:r>
        <w:rPr/>
        <w:t>EPS12</w:t>
      </w:r>
      <w:r>
        <w:rPr/>
        <w:t>。乐观</w:t>
      </w:r>
      <w:r>
        <w:rPr/>
        <w:t>16</w:t>
      </w:r>
      <w:r>
        <w:rPr/>
        <w:t>要求更大组合扩张，不能由当前某细项</w:t>
      </w:r>
      <w:r>
        <w:rPr/>
        <w:t>30%</w:t>
      </w:r>
      <w:r>
        <w:rPr/>
        <w:t>增长直接外推。悲观盈利虽略高</w:t>
      </w:r>
      <w:r>
        <w:rPr/>
        <w:t>2025</w:t>
      </w:r>
      <w:r>
        <w:rPr/>
        <w:t>却低倍数，展示成长修复不足时股价可长期落后。</w:t>
      </w:r>
    </w:p>
    <w:p>
      <w:pPr>
        <w:pStyle w:val="Normal"/>
        <w:rPr/>
      </w:pPr>
      <w:r>
        <w:rPr/>
        <w:t>五年悲观</w:t>
      </w:r>
      <w:r>
        <w:rPr/>
        <w:t>EPS8.50</w:t>
      </w:r>
      <w:r>
        <w:rPr/>
        <w:t>、</w:t>
      </w:r>
      <w:r>
        <w:rPr/>
        <w:t>15</w:t>
      </w:r>
      <w:r>
        <w:rPr/>
        <w:t>倍</w:t>
      </w:r>
      <w:r>
        <w:rPr/>
        <w:t>127.50</w:t>
      </w:r>
      <w:r>
        <w:rPr/>
        <w:t>元，跌</w:t>
      </w:r>
      <w:r>
        <w:rPr/>
        <w:t>21.00%</w:t>
      </w:r>
      <w:r>
        <w:rPr/>
        <w:t>；基准</w:t>
      </w:r>
      <w:r>
        <w:rPr/>
        <w:t>15.50</w:t>
      </w:r>
      <w:r>
        <w:rPr/>
        <w:t>、</w:t>
      </w:r>
      <w:r>
        <w:rPr/>
        <w:t>22</w:t>
      </w:r>
      <w:r>
        <w:rPr/>
        <w:t>倍</w:t>
      </w:r>
      <w:r>
        <w:rPr/>
        <w:t>341</w:t>
      </w:r>
      <w:r>
        <w:rPr/>
        <w:t>元，涨</w:t>
      </w:r>
      <w:r>
        <w:rPr/>
        <w:t>111.28%</w:t>
      </w:r>
      <w:r>
        <w:rPr/>
        <w:t>；乐观</w:t>
      </w:r>
      <w:r>
        <w:rPr/>
        <w:t>23</w:t>
      </w:r>
      <w:r>
        <w:rPr/>
        <w:t>、</w:t>
      </w:r>
      <w:r>
        <w:rPr/>
        <w:t>29</w:t>
      </w:r>
      <w:r>
        <w:rPr/>
        <w:t>倍</w:t>
      </w:r>
      <w:r>
        <w:rPr/>
        <w:t>667</w:t>
      </w:r>
      <w:r>
        <w:rPr/>
        <w:t>元，涨</w:t>
      </w:r>
      <w:r>
        <w:rPr/>
        <w:t>313.26%</w:t>
      </w:r>
      <w:r>
        <w:rPr/>
        <w:t>。累计分红</w:t>
      </w:r>
      <w:r>
        <w:rPr/>
        <w:t>14</w:t>
      </w:r>
      <w:r>
        <w:rPr/>
        <w:t>、</w:t>
      </w:r>
      <w:r>
        <w:rPr/>
        <w:t>27</w:t>
      </w:r>
      <w:r>
        <w:rPr/>
        <w:t>、</w:t>
      </w:r>
      <w:r>
        <w:rPr/>
        <w:t>40</w:t>
      </w:r>
      <w:r>
        <w:rPr/>
        <w:t>元，基准总回报</w:t>
      </w:r>
      <w:r>
        <w:rPr/>
        <w:t>128.00%</w:t>
      </w:r>
      <w:r>
        <w:rPr/>
        <w:t>、年化</w:t>
      </w:r>
      <w:r>
        <w:rPr/>
        <w:t>17.92%</w:t>
      </w:r>
      <w:r>
        <w:rPr/>
        <w:t>。基准利润约</w:t>
      </w:r>
      <w:r>
        <w:rPr/>
        <w:t>187.83</w:t>
      </w:r>
      <w:r>
        <w:rPr/>
        <w:t>亿元，乐观</w:t>
      </w:r>
      <w:r>
        <w:rPr/>
        <w:t>278.71</w:t>
      </w:r>
      <w:r>
        <w:rPr/>
        <w:t>亿元，显著高现有规模，要求持续产品、海外与效率而非一次低基数反弹。乐观尤其不能当确定四倍价格路径。</w:t>
      </w:r>
    </w:p>
    <w:p>
      <w:pPr>
        <w:pStyle w:val="Normal"/>
        <w:rPr/>
      </w:pPr>
      <w:r>
        <w:rPr/>
        <w:t>五年核心是设备、试剂、耗材和信息服务共同形成稳定需求，海外低份额逐步扩大，研发资本有效而治理持续。期限越长更少依赖</w:t>
      </w:r>
      <w:r>
        <w:rPr/>
        <w:t>K</w:t>
      </w:r>
      <w:r>
        <w:rPr/>
        <w:t>线，风险权重更高：技术替代、支付变化、贸易、本地化资本和管理继任均需考虑。公司现金和渠道能帮助调整，不能让所有未来不确定性消失。若每股现金增长弱于收入，或必须不断并购才能维持表面增长，长期分应降而非因耐心自动提高。</w:t>
      </w:r>
    </w:p>
    <w:p>
      <w:pPr>
        <w:pStyle w:val="Normal"/>
        <w:rPr/>
      </w:pPr>
      <w:r>
        <w:rPr/>
        <w:t>目标时点按半年</w:t>
      </w:r>
      <w:r>
        <w:rPr/>
        <w:t>2027</w:t>
      </w:r>
      <w:r>
        <w:rPr/>
        <w:t>年</w:t>
      </w:r>
      <w:r>
        <w:rPr/>
        <w:t>4</w:t>
      </w:r>
      <w:r>
        <w:rPr/>
        <w:t>月</w:t>
      </w:r>
      <w:r>
        <w:rPr/>
        <w:t>9</w:t>
      </w:r>
      <w:r>
        <w:rPr/>
        <w:t>日、一年</w:t>
      </w:r>
      <w:r>
        <w:rPr/>
        <w:t>2027</w:t>
      </w:r>
      <w:r>
        <w:rPr/>
        <w:t>年</w:t>
      </w:r>
      <w:r>
        <w:rPr/>
        <w:t>10</w:t>
      </w:r>
      <w:r>
        <w:rPr/>
        <w:t>月</w:t>
      </w:r>
      <w:r>
        <w:rPr/>
        <w:t>9</w:t>
      </w:r>
      <w:r>
        <w:rPr/>
        <w:t>日、三年</w:t>
      </w:r>
      <w:r>
        <w:rPr/>
        <w:t>2029</w:t>
      </w:r>
      <w:r>
        <w:rPr/>
        <w:t>年</w:t>
      </w:r>
      <w:r>
        <w:rPr/>
        <w:t>10</w:t>
      </w:r>
      <w:r>
        <w:rPr/>
        <w:t>月</w:t>
      </w:r>
      <w:r>
        <w:rPr/>
        <w:t>9</w:t>
      </w:r>
      <w:r>
        <w:rPr/>
        <w:t>日、五年</w:t>
      </w:r>
      <w:r>
        <w:rPr/>
        <w:t>2031</w:t>
      </w:r>
      <w:r>
        <w:rPr/>
        <w:t>年</w:t>
      </w:r>
      <w:r>
        <w:rPr/>
        <w:t>10</w:t>
      </w:r>
      <w:r>
        <w:rPr/>
        <w:t>月</w:t>
      </w:r>
      <w:r>
        <w:rPr/>
        <w:t>9</w:t>
      </w:r>
      <w:r>
        <w:rPr/>
        <w:t>日，休市取此前交易日。回报主口径人民币，分红终值法不含再投资和税费，长期年化为比较工具不是严格中途现金流收益率。公司没有</w:t>
      </w:r>
      <w:r>
        <w:rPr/>
        <w:t>H</w:t>
      </w:r>
      <w:r>
        <w:rPr/>
        <w:t>股对照，不另加入汇率投资回报；外币经营影响已在盈利分析。这样避免把海外营收汇兑与股票本币回报混成一项。</w:t>
      </w:r>
    </w:p>
    <w:p>
      <w:pPr>
        <w:pStyle w:val="Heading2"/>
        <w:rPr/>
      </w:pPr>
      <w:r>
        <w:rPr>
          <w:color w:val="000000"/>
        </w:rPr>
        <w:t>年底期望与模型敏感性</w:t>
      </w:r>
    </w:p>
    <w:p>
      <w:pPr>
        <w:pStyle w:val="Normal"/>
        <w:rPr/>
      </w:pPr>
      <w:r>
        <w:rPr/>
        <w:t>年底悲观</w:t>
      </w:r>
      <w:r>
        <w:rPr/>
        <w:t>EPS6.50</w:t>
      </w:r>
      <w:r>
        <w:rPr/>
        <w:t>、</w:t>
      </w:r>
      <w:r>
        <w:rPr/>
        <w:t>17</w:t>
      </w:r>
      <w:r>
        <w:rPr/>
        <w:t>倍</w:t>
      </w:r>
      <w:r>
        <w:rPr/>
        <w:t>110.50</w:t>
      </w:r>
      <w:r>
        <w:rPr/>
        <w:t>元；基准</w:t>
      </w:r>
      <w:r>
        <w:rPr/>
        <w:t>7.80</w:t>
      </w:r>
      <w:r>
        <w:rPr/>
        <w:t>、</w:t>
      </w:r>
      <w:r>
        <w:rPr/>
        <w:t>22</w:t>
      </w:r>
      <w:r>
        <w:rPr/>
        <w:t>倍</w:t>
      </w:r>
      <w:r>
        <w:rPr/>
        <w:t>171.60</w:t>
      </w:r>
      <w:r>
        <w:rPr/>
        <w:t>元；乐观</w:t>
      </w:r>
      <w:r>
        <w:rPr/>
        <w:t>8.80</w:t>
      </w:r>
      <w:r>
        <w:rPr/>
        <w:t>、</w:t>
      </w:r>
      <w:r>
        <w:rPr/>
        <w:t>28</w:t>
      </w:r>
      <w:r>
        <w:rPr/>
        <w:t>倍</w:t>
      </w:r>
      <w:r>
        <w:rPr/>
        <w:t>246.40</w:t>
      </w:r>
      <w:r>
        <w:rPr/>
        <w:t>元。它们比半年和一年范围更低，反映临近年底证据和时间不同，未对一年目标线性按月份缩放。年底预期价可以反映下一年能力，不意味</w:t>
      </w:r>
      <w:r>
        <w:rPr/>
        <w:t>2026</w:t>
      </w:r>
      <w:r>
        <w:rPr/>
        <w:t>审计</w:t>
      </w:r>
      <w:r>
        <w:rPr/>
        <w:t>EPS</w:t>
      </w:r>
      <w:r>
        <w:rPr/>
        <w:t>一定等于假设。所有输入公开后可复算，价格超出范围时需查新信息，不能认为情景为损失边界。</w:t>
      </w:r>
    </w:p>
    <w:p>
      <w:pPr>
        <w:pStyle w:val="Normal"/>
        <w:rPr/>
      </w:pPr>
      <w:r>
        <w:rPr/>
        <w:t>默认期望</w:t>
      </w:r>
      <w:r>
        <w:rPr/>
        <w:t>175.025</w:t>
      </w:r>
      <w:r>
        <w:rPr/>
        <w:t>元，防御</w:t>
      </w:r>
      <w:r>
        <w:rPr/>
        <w:t>40%</w:t>
      </w:r>
      <w:r>
        <w:rPr/>
        <w:t>、</w:t>
      </w:r>
      <w:r>
        <w:rPr/>
        <w:t>50%</w:t>
      </w:r>
      <w:r>
        <w:rPr/>
        <w:t>、</w:t>
      </w:r>
      <w:r>
        <w:rPr/>
        <w:t>10%</w:t>
      </w:r>
      <w:r>
        <w:rPr/>
        <w:t>得到</w:t>
      </w:r>
      <w:r>
        <w:rPr/>
        <w:t>154.64</w:t>
      </w:r>
      <w:r>
        <w:rPr/>
        <w:t>元，较现价负</w:t>
      </w:r>
      <w:r>
        <w:rPr/>
        <w:t>4.19%</w:t>
      </w:r>
      <w:r>
        <w:rPr/>
        <w:t>；积极</w:t>
      </w:r>
      <w:r>
        <w:rPr/>
        <w:t>10%</w:t>
      </w:r>
      <w:r>
        <w:rPr/>
        <w:t>、</w:t>
      </w:r>
      <w:r>
        <w:rPr/>
        <w:t>50%</w:t>
      </w:r>
      <w:r>
        <w:rPr/>
        <w:t>、</w:t>
      </w:r>
      <w:r>
        <w:rPr/>
        <w:t>40%</w:t>
      </w:r>
      <w:r>
        <w:rPr/>
        <w:t>得到</w:t>
      </w:r>
      <w:r>
        <w:rPr/>
        <w:t>195.41</w:t>
      </w:r>
      <w:r>
        <w:rPr/>
        <w:t>元，正</w:t>
      </w:r>
      <w:r>
        <w:rPr/>
        <w:t>21.07%</w:t>
      </w:r>
      <w:r>
        <w:rPr/>
        <w:t>。权重改变就使方向改变，期望</w:t>
      </w:r>
      <w:r>
        <w:rPr/>
        <w:t>8.44%</w:t>
      </w:r>
      <w:r>
        <w:rPr/>
        <w:t>没有统计概率含义。年底乐观需同时提升</w:t>
      </w:r>
      <w:r>
        <w:rPr/>
        <w:t>EPS</w:t>
      </w:r>
      <w:r>
        <w:rPr/>
        <w:t>与倍数，反映重估而非几个点股息；年底基准分红暂设零，因为已核验近期分红</w:t>
      </w:r>
      <w:r>
        <w:rPr/>
        <w:t>9</w:t>
      </w:r>
      <w:r>
        <w:rPr/>
        <w:t>月已付，未把过去收益重复计给十月买入。</w:t>
      </w:r>
    </w:p>
    <w:p>
      <w:pPr>
        <w:pStyle w:val="Normal"/>
        <w:rPr/>
      </w:pPr>
      <w:r>
        <w:rPr/>
        <w:t>一年基准</w:t>
      </w:r>
      <w:r>
        <w:rPr/>
        <w:t>EPS9.50</w:t>
      </w:r>
      <w:r>
        <w:rPr/>
        <w:t>和</w:t>
      </w:r>
      <w:r>
        <w:rPr/>
        <w:t>24</w:t>
      </w:r>
      <w:r>
        <w:rPr/>
        <w:t>倍，若盈利少</w:t>
      </w:r>
      <w:r>
        <w:rPr/>
        <w:t>20%</w:t>
      </w:r>
      <w:r>
        <w:rPr/>
        <w:t>、倍数少</w:t>
      </w:r>
      <w:r>
        <w:rPr/>
        <w:t>20%</w:t>
      </w:r>
      <w:r>
        <w:rPr/>
        <w:t>，目标降到</w:t>
      </w:r>
      <w:r>
        <w:rPr/>
        <w:t>145.92</w:t>
      </w:r>
      <w:r>
        <w:rPr/>
        <w:t>元，较现价负</w:t>
      </w:r>
      <w:r>
        <w:rPr/>
        <w:t>9.59%</w:t>
      </w:r>
      <w:r>
        <w:rPr/>
        <w:t>；盈利和倍数各多</w:t>
      </w:r>
      <w:r>
        <w:rPr/>
        <w:t>20%</w:t>
      </w:r>
      <w:r>
        <w:rPr/>
        <w:t>为</w:t>
      </w:r>
      <w:r>
        <w:rPr/>
        <w:t>328.32</w:t>
      </w:r>
      <w:r>
        <w:rPr/>
        <w:t>元，超过基准</w:t>
      </w:r>
      <w:r>
        <w:rPr/>
        <w:t>44%</w:t>
      </w:r>
      <w:r>
        <w:rPr/>
        <w:t>。这说明高成长预期资产的双重敏感性，不应只看经营</w:t>
      </w:r>
      <w:r>
        <w:rPr/>
        <w:t>EPS</w:t>
      </w:r>
      <w:r>
        <w:rPr/>
        <w:t>是否增加。股数若固定利润下增</w:t>
      </w:r>
      <w:r>
        <w:rPr/>
        <w:t>5%</w:t>
      </w:r>
      <w:r>
        <w:rPr/>
        <w:t>，</w:t>
      </w:r>
      <w:r>
        <w:rPr/>
        <w:t>EPS</w:t>
      </w:r>
      <w:r>
        <w:rPr/>
        <w:t>与目标约降</w:t>
      </w:r>
      <w:r>
        <w:rPr/>
        <w:t>4.76%</w:t>
      </w:r>
      <w:r>
        <w:rPr/>
        <w:t>；减少</w:t>
      </w:r>
      <w:r>
        <w:rPr/>
        <w:t>5%</w:t>
      </w:r>
      <w:r>
        <w:rPr/>
        <w:t>约增</w:t>
      </w:r>
      <w:r>
        <w:rPr/>
        <w:t>5.26%</w:t>
      </w:r>
      <w:r>
        <w:rPr/>
        <w:t>，需要更新实际稀释而非直接修改百分数。</w:t>
      </w:r>
    </w:p>
    <w:p>
      <w:pPr>
        <w:pStyle w:val="Normal"/>
        <w:rPr/>
      </w:pPr>
      <w:r>
        <w:rPr/>
        <w:t>年度盈利对海外收入、国内量价和利润率都敏感。以当前收入规模，毛利率下降几个点可显著影响经营利润，费用优化只能抵消部分；汇率即使可正常化，外币资产和本地费用仍在。模型没有用看似精确的地区增长和每产品价量填造三张表，未来应补分部收入、成本、股数和税的桥接。当前</w:t>
      </w:r>
      <w:r>
        <w:rPr/>
        <w:t>EPS</w:t>
      </w:r>
      <w:r>
        <w:rPr/>
        <w:t>场景是透明初版，不能标为已完成全量</w:t>
      </w:r>
      <w:r>
        <w:rPr/>
        <w:t>DCF</w:t>
      </w:r>
      <w:r>
        <w:rPr/>
        <w:t>。</w:t>
      </w:r>
    </w:p>
    <w:p>
      <w:pPr>
        <w:pStyle w:val="Heading2"/>
        <w:rPr/>
      </w:pPr>
      <w:r>
        <w:rPr>
          <w:color w:val="000000"/>
        </w:rPr>
        <w:t>外资目标缺失与评分证据</w:t>
      </w:r>
    </w:p>
    <w:p>
      <w:pPr>
        <w:pStyle w:val="Normal"/>
        <w:rPr/>
      </w:pPr>
      <w:r>
        <w:rPr/>
        <w:t>已检索高盛、瑞银、摩根大通及英文</w:t>
      </w:r>
      <w:r>
        <w:rPr/>
        <w:t>Mindray</w:t>
      </w:r>
      <w:r>
        <w:rPr/>
        <w:t>目标价公开信息，未得到截止日前可核验机构、报告日、人民币目标及期限的有效组合。搜索返回官网和公司资料，不能把未核验社交转载或历史海外上市</w:t>
      </w:r>
      <w:r>
        <w:rPr/>
        <w:t>ADS</w:t>
      </w:r>
      <w:r>
        <w:rPr/>
        <w:t>价当当前</w:t>
      </w:r>
      <w:r>
        <w:rPr/>
        <w:t>A</w:t>
      </w:r>
      <w:r>
        <w:rPr/>
        <w:t>目标。</w:t>
      </w:r>
      <w:r>
        <w:rPr/>
        <w:t>Excel</w:t>
      </w:r>
      <w:r>
        <w:rPr/>
        <w:t>机构栏应明确缺失，不能为了表格完整填一个“共识价”。独立一年</w:t>
      </w:r>
      <w:r>
        <w:rPr/>
        <w:t>228</w:t>
      </w:r>
      <w:r>
        <w:rPr/>
        <w:t>元没有机构背书，来源是研究</w:t>
      </w:r>
      <w:r>
        <w:rPr/>
        <w:t>EPS</w:t>
      </w:r>
      <w:r>
        <w:rPr/>
        <w:t>和倍数假设，证据需靠经营验证。</w:t>
      </w:r>
    </w:p>
    <w:p>
      <w:pPr>
        <w:pStyle w:val="Normal"/>
        <w:rPr/>
      </w:pPr>
      <w:r>
        <w:rPr/>
        <w:t>半年六维分别估值</w:t>
      </w:r>
      <w:r>
        <w:rPr/>
        <w:t>3.7</w:t>
      </w:r>
      <w:r>
        <w:rPr/>
        <w:t>、技术</w:t>
      </w:r>
      <w:r>
        <w:rPr/>
        <w:t>3.0</w:t>
      </w:r>
      <w:r>
        <w:rPr/>
        <w:t>、增长</w:t>
      </w:r>
      <w:r>
        <w:rPr/>
        <w:t>3.8</w:t>
      </w:r>
      <w:r>
        <w:rPr/>
        <w:t>、行业</w:t>
      </w:r>
      <w:r>
        <w:rPr/>
        <w:t>3.7</w:t>
      </w:r>
      <w:r>
        <w:rPr/>
        <w:t>、催化</w:t>
      </w:r>
      <w:r>
        <w:rPr/>
        <w:t>3.5</w:t>
      </w:r>
      <w:r>
        <w:rPr/>
        <w:t>、财务风险</w:t>
      </w:r>
      <w:r>
        <w:rPr/>
        <w:t>4.1</w:t>
      </w:r>
      <w:r>
        <w:rPr/>
        <w:t>，按</w:t>
      </w:r>
      <w:r>
        <w:rPr/>
        <w:t>25</w:t>
      </w:r>
      <w:r>
        <w:rPr/>
        <w:t>、</w:t>
      </w:r>
      <w:r>
        <w:rPr/>
        <w:t>30</w:t>
      </w:r>
      <w:r>
        <w:rPr/>
        <w:t>、</w:t>
      </w:r>
      <w:r>
        <w:rPr/>
        <w:t>15</w:t>
      </w:r>
      <w:r>
        <w:rPr/>
        <w:t>、</w:t>
      </w:r>
      <w:r>
        <w:rPr/>
        <w:t>10</w:t>
      </w:r>
      <w:r>
        <w:rPr/>
        <w:t>、</w:t>
      </w:r>
      <w:r>
        <w:rPr/>
        <w:t>10</w:t>
      </w:r>
      <w:r>
        <w:rPr/>
        <w:t>、</w:t>
      </w:r>
      <w:r>
        <w:rPr/>
        <w:t>10</w:t>
      </w:r>
      <w:r>
        <w:rPr/>
        <w:t>权重得</w:t>
      </w:r>
      <w:r>
        <w:rPr/>
        <w:t>70.5</w:t>
      </w:r>
      <w:r>
        <w:rPr/>
        <w:t>。现金与低债支持财务分，技术尚交错限制半年；估值有恢复空间但现有</w:t>
      </w:r>
      <w:r>
        <w:rPr/>
        <w:t>EPS</w:t>
      </w:r>
      <w:r>
        <w:rPr/>
        <w:t>下降，不给满分。多个量价指标只验证同一结构，未重复奖励。分数小数来自权重，并非高精度主观能力。</w:t>
      </w:r>
    </w:p>
    <w:p>
      <w:pPr>
        <w:pStyle w:val="Normal"/>
        <w:rPr/>
      </w:pPr>
      <w:r>
        <w:rPr/>
        <w:t>一年六维</w:t>
      </w:r>
      <w:r>
        <w:rPr/>
        <w:t>3.9</w:t>
      </w:r>
      <w:r>
        <w:rPr/>
        <w:t>、</w:t>
      </w:r>
      <w:r>
        <w:rPr/>
        <w:t>3.0</w:t>
      </w:r>
      <w:r>
        <w:rPr/>
        <w:t>、</w:t>
      </w:r>
      <w:r>
        <w:rPr/>
        <w:t>4.0</w:t>
      </w:r>
      <w:r>
        <w:rPr/>
        <w:t>、</w:t>
      </w:r>
      <w:r>
        <w:rPr/>
        <w:t>3.9</w:t>
      </w:r>
      <w:r>
        <w:rPr/>
        <w:t>、</w:t>
      </w:r>
      <w:r>
        <w:rPr/>
        <w:t>3.7</w:t>
      </w:r>
      <w:r>
        <w:rPr/>
        <w:t>、</w:t>
      </w:r>
      <w:r>
        <w:rPr/>
        <w:t>4.0</w:t>
      </w:r>
      <w:r>
        <w:rPr/>
        <w:t>，得</w:t>
      </w:r>
      <w:r>
        <w:rPr/>
        <w:t>75.6</w:t>
      </w:r>
      <w:r>
        <w:rPr/>
        <w:t>；三年</w:t>
      </w:r>
      <w:r>
        <w:rPr/>
        <w:t>4.1</w:t>
      </w:r>
      <w:r>
        <w:rPr/>
        <w:t>、</w:t>
      </w:r>
      <w:r>
        <w:rPr/>
        <w:t>3.0</w:t>
      </w:r>
      <w:r>
        <w:rPr/>
        <w:t>、</w:t>
      </w:r>
      <w:r>
        <w:rPr/>
        <w:t>4.3</w:t>
      </w:r>
      <w:r>
        <w:rPr/>
        <w:t>、</w:t>
      </w:r>
      <w:r>
        <w:rPr/>
        <w:t>4.2</w:t>
      </w:r>
      <w:r>
        <w:rPr/>
        <w:t>、</w:t>
      </w:r>
      <w:r>
        <w:rPr/>
        <w:t>3.8</w:t>
      </w:r>
      <w:r>
        <w:rPr/>
        <w:t>、</w:t>
      </w:r>
      <w:r>
        <w:rPr/>
        <w:t>3.8</w:t>
      </w:r>
      <w:r>
        <w:rPr/>
        <w:t>，得</w:t>
      </w:r>
      <w:r>
        <w:rPr/>
        <w:t>81.8</w:t>
      </w:r>
      <w:r>
        <w:rPr/>
        <w:t>；五年</w:t>
      </w:r>
      <w:r>
        <w:rPr/>
        <w:t>4.0</w:t>
      </w:r>
      <w:r>
        <w:rPr/>
        <w:t>、</w:t>
      </w:r>
      <w:r>
        <w:rPr/>
        <w:t>3.0</w:t>
      </w:r>
      <w:r>
        <w:rPr/>
        <w:t>、</w:t>
      </w:r>
      <w:r>
        <w:rPr/>
        <w:t>4.4</w:t>
      </w:r>
      <w:r>
        <w:rPr/>
        <w:t>、</w:t>
      </w:r>
      <w:r>
        <w:rPr/>
        <w:t>4.3</w:t>
      </w:r>
      <w:r>
        <w:rPr/>
        <w:t>、</w:t>
      </w:r>
      <w:r>
        <w:rPr/>
        <w:t>3.7</w:t>
      </w:r>
      <w:r>
        <w:rPr/>
        <w:t>、</w:t>
      </w:r>
      <w:r>
        <w:rPr/>
        <w:t>3.7</w:t>
      </w:r>
      <w:r>
        <w:rPr/>
        <w:t>，得</w:t>
      </w:r>
      <w:r>
        <w:rPr/>
        <w:t>83.2</w:t>
      </w:r>
      <w:r>
        <w:rPr/>
        <w:t>。五年技术权重零，风险升</w:t>
      </w:r>
      <w:r>
        <w:rPr/>
        <w:t>15%</w:t>
      </w:r>
      <w:r>
        <w:rPr/>
        <w:t>，长期增长质量高而治理和资本约束仍在。年份拉长增加兑现机会，也增加结构变化；这不是“时间越长必定得分更高”的规则，而是本公司组合的具体判断。</w:t>
      </w:r>
    </w:p>
    <w:p>
      <w:pPr>
        <w:pStyle w:val="Normal"/>
        <w:rPr/>
      </w:pPr>
      <w:r>
        <w:rPr/>
        <w:t>若国际增长跌至低位、国内再明显下降、</w:t>
      </w:r>
      <w:r>
        <w:rPr/>
        <w:t>IVD</w:t>
      </w:r>
      <w:r>
        <w:rPr/>
        <w:t>装机后试剂不增长，降低增长和催化；若利润率被持续压缩，下修</w:t>
      </w:r>
      <w:r>
        <w:rPr/>
        <w:t>EPS</w:t>
      </w:r>
      <w:r>
        <w:rPr/>
        <w:t>而非只改风险文字。若现金主要由应付预收增长、库存与应收持续积累，降低质量与回报评分；若商誉减值或高价并购导致每股价值受损，降低长期分。政策正式改变准入需按地区、产品和成本调模型，不能以未来可能恢复维持原目标。</w:t>
      </w:r>
    </w:p>
    <w:p>
      <w:pPr>
        <w:pStyle w:val="Normal"/>
        <w:rPr/>
      </w:pPr>
      <w:r>
        <w:rPr/>
        <w:t>向上修订需要不同证据：国内连续恢复、海外高端客户扩购和本地生产现金有效、</w:t>
      </w:r>
      <w:r>
        <w:rPr/>
        <w:t>IVD</w:t>
      </w:r>
      <w:r>
        <w:rPr/>
        <w:t>耗材增长与回款稳定、资本化研发产品形成真实利润。单一发布、装机名单或日线突破只提供局部证据，不能立即把所有情景上调。评分、股数、汇率经营判断、模型目标和报告表格需要同版刷新，旧快照保留日期。后续数据缺失时应标待核而非把初版精度包装成结论确定性。</w:t>
      </w:r>
    </w:p>
    <w:p>
      <w:pPr>
        <w:pStyle w:val="Heading2"/>
        <w:rPr/>
      </w:pPr>
      <w:r>
        <w:rPr>
          <w:color w:val="000000"/>
        </w:rPr>
        <w:t>十年经营持续性与永久损失路径</w:t>
      </w:r>
    </w:p>
    <w:p>
      <w:pPr>
        <w:pStyle w:val="Normal"/>
        <w:rPr/>
      </w:pPr>
      <w:r>
        <w:rPr/>
        <w:t>十年看，迈瑞价值来自多产品工程、临床反馈、全球服务和质量组织能否持续迭代。设备可能更智能、检验更集中、手术更微创，厂家需要适应新流程、软件标准和支付机制。现有产品领先能提供现金和渠道，却不能保证下一代技术仍领先。高研发投入和本地网络有利于更新，只有持续产生每股现金回报才能把优势转成长期复利。</w:t>
      </w:r>
    </w:p>
    <w:p>
      <w:pPr>
        <w:pStyle w:val="Normal"/>
        <w:rPr/>
      </w:pPr>
      <w:r>
        <w:rPr/>
        <w:t>如果未来医疗预算更紧，自动化与高效解决方案可能更受欢迎，同时采购价格继续被压。公司需要让医院真实节约成本并让自己仍能盈利，不能只依靠费用转移患者。跨产品平台可能增加黏性，开放互联和医院多品牌策略也限制独占。长期合理定位是可靠高效的医疗技术与服务平台，收益来源应越来越稳定，估值不应永久维持高成长最乐观倍数。</w:t>
      </w:r>
    </w:p>
    <w:p>
      <w:pPr>
        <w:pStyle w:val="Normal"/>
        <w:rPr/>
      </w:pPr>
      <w:r>
        <w:rPr/>
        <w:t>管理层、人才与资本配置的持续性同产品重要。创始团队经验和长期战略有优势，继任、独立监督和失败项目处置要透明。海外并购、</w:t>
      </w:r>
      <w:r>
        <w:rPr/>
        <w:t>AI</w:t>
      </w:r>
      <w:r>
        <w:rPr/>
        <w:t>、手术机器人和动物医疗若同时扩张，组织复杂性明显提高，不能只以梦想市场总额说明投入合理。应按临床、监管、商业化和现金里程碑逐步投入，退出失败项目可以保护股东，规模停顿不必然是坏事。</w:t>
      </w:r>
    </w:p>
    <w:p>
      <w:pPr>
        <w:pStyle w:val="Normal"/>
        <w:rPr/>
      </w:pPr>
      <w:r>
        <w:rPr/>
        <w:t>永久损失可能来自买在不可持续利润和过高倍数、行业控费削弱长期收入、贸易或质量事故损伤海外业务、错误并购消耗现金。短期跌幅不等于这些已经发生，但</w:t>
      </w:r>
      <w:r>
        <w:rPr/>
        <w:t>2025</w:t>
      </w:r>
      <w:r>
        <w:rPr/>
        <w:t>大幅下滑证明龙头也会经历真实经营压力。当前价格较年高低三分之一仍不是安全边际证明，正常化盈利与合理估值才是。研究保留悲观目标低于现价以展示良好公司也可能带来较差投资结果。</w:t>
      </w:r>
    </w:p>
    <w:p>
      <w:pPr>
        <w:pStyle w:val="Normal"/>
        <w:rPr/>
      </w:pPr>
      <w:r>
        <w:rPr/>
        <w:t>独立初版已核原三年历史财报、半年报及权益分派，经营数字和字数另有</w:t>
      </w:r>
      <w:r>
        <w:rPr/>
        <w:t>QA</w:t>
      </w:r>
      <w:r>
        <w:rPr/>
        <w:t>。尚缺可核验外资目标、完整细分指数、政策逐条法律适用与分部</w:t>
      </w:r>
      <w:r>
        <w:rPr/>
        <w:t>DCF</w:t>
      </w:r>
      <w:r>
        <w:rPr/>
        <w:t>桥接，这些限制在模型保留。后续优先补会改变每股现金和增长判断的证据，保持版本和来源。若新资料推翻原逻辑，应同步修订总表，而非为已有推荐继续拼接无关宏观段落。</w:t>
      </w:r>
    </w:p>
    <w:p>
      <w:pPr>
        <w:pStyle w:val="Heading2"/>
        <w:rPr/>
      </w:pPr>
      <w:r>
        <w:rPr>
          <w:color w:val="000000"/>
        </w:rPr>
        <w:t>来源及核验定位</w:t>
      </w:r>
    </w:p>
    <w:p>
      <w:pPr>
        <w:pStyle w:val="Normal"/>
        <w:rPr/>
      </w:pPr>
      <w:r>
        <w:rPr/>
        <w:t>[2026</w:t>
      </w:r>
      <w:r>
        <w:rPr/>
        <w:t>半年报</w:t>
      </w:r>
      <w:r>
        <w:rPr/>
        <w:t>](https://static.cninfo.com.cn/finalpage/2026-08-29/1225529856.PDF)</w:t>
      </w:r>
      <w:r>
        <w:rPr/>
        <w:t>，</w:t>
      </w:r>
      <w:r>
        <w:rPr/>
        <w:t>297</w:t>
      </w:r>
      <w:r>
        <w:rPr/>
        <w:t>页，核心数字</w:t>
      </w:r>
      <w:r>
        <w:rPr/>
        <w:t>PDF</w:t>
      </w:r>
      <w:r>
        <w:rPr/>
        <w:t>页</w:t>
      </w:r>
      <w:r>
        <w:rPr/>
        <w:t>16</w:t>
      </w:r>
      <w:r>
        <w:rPr/>
        <w:t>，经营概览</w:t>
      </w:r>
      <w:r>
        <w:rPr/>
        <w:t>20</w:t>
      </w:r>
      <w:r>
        <w:rPr/>
        <w:t>至</w:t>
      </w:r>
      <w:r>
        <w:rPr/>
        <w:t>21</w:t>
      </w:r>
      <w:r>
        <w:rPr/>
        <w:t>，</w:t>
      </w:r>
      <w:r>
        <w:rPr/>
        <w:t>IVD22</w:t>
      </w:r>
      <w:r>
        <w:rPr/>
        <w:t>至</w:t>
      </w:r>
      <w:r>
        <w:rPr/>
        <w:t>24</w:t>
      </w:r>
      <w:r>
        <w:rPr/>
        <w:t>，生命信息</w:t>
      </w:r>
      <w:r>
        <w:rPr/>
        <w:t>25</w:t>
      </w:r>
      <w:r>
        <w:rPr/>
        <w:t>至</w:t>
      </w:r>
      <w:r>
        <w:rPr/>
        <w:t>26</w:t>
      </w:r>
      <w:r>
        <w:rPr/>
        <w:t>，影像</w:t>
      </w:r>
      <w:r>
        <w:rPr/>
        <w:t>27</w:t>
      </w:r>
      <w:r>
        <w:rPr/>
        <w:t>至</w:t>
      </w:r>
      <w:r>
        <w:rPr/>
        <w:t>28</w:t>
      </w:r>
      <w:r>
        <w:rPr/>
        <w:t>，新兴</w:t>
      </w:r>
      <w:r>
        <w:rPr/>
        <w:t>28</w:t>
      </w:r>
      <w:r>
        <w:rPr/>
        <w:t>至</w:t>
      </w:r>
      <w:r>
        <w:rPr/>
        <w:t>30</w:t>
      </w:r>
      <w:r>
        <w:rPr/>
        <w:t>，研发和并购</w:t>
      </w:r>
      <w:r>
        <w:rPr/>
        <w:t>34</w:t>
      </w:r>
      <w:r>
        <w:rPr/>
        <w:t>至</w:t>
      </w:r>
      <w:r>
        <w:rPr/>
        <w:t>51</w:t>
      </w:r>
      <w:r>
        <w:rPr/>
        <w:t>，分部财务</w:t>
      </w:r>
      <w:r>
        <w:rPr/>
        <w:t>87</w:t>
      </w:r>
      <w:r>
        <w:rPr/>
        <w:t>至</w:t>
      </w:r>
      <w:r>
        <w:rPr/>
        <w:t>88</w:t>
      </w:r>
      <w:r>
        <w:rPr/>
        <w:t>，政策</w:t>
      </w:r>
      <w:r>
        <w:rPr/>
        <w:t>94</w:t>
      </w:r>
      <w:r>
        <w:rPr/>
        <w:t>至</w:t>
      </w:r>
      <w:r>
        <w:rPr/>
        <w:t>97</w:t>
      </w:r>
      <w:r>
        <w:rPr/>
        <w:t>，分红</w:t>
      </w:r>
      <w:r>
        <w:rPr/>
        <w:t>102</w:t>
      </w:r>
      <w:r>
        <w:rPr/>
        <w:t>至</w:t>
      </w:r>
      <w:r>
        <w:rPr/>
        <w:t>103</w:t>
      </w:r>
      <w:r>
        <w:rPr/>
        <w:t>，合并财务</w:t>
      </w:r>
      <w:r>
        <w:rPr/>
        <w:t>125</w:t>
      </w:r>
      <w:r>
        <w:rPr/>
        <w:t>至</w:t>
      </w:r>
      <w:r>
        <w:rPr/>
        <w:t>133</w:t>
      </w:r>
      <w:r>
        <w:rPr/>
        <w:t>，现金及负债</w:t>
      </w:r>
      <w:r>
        <w:rPr/>
        <w:t>216</w:t>
      </w:r>
      <w:r>
        <w:rPr/>
        <w:t>至</w:t>
      </w:r>
      <w:r>
        <w:rPr/>
        <w:t>218</w:t>
      </w:r>
      <w:r>
        <w:rPr/>
        <w:t>，汇率与资产负债</w:t>
      </w:r>
      <w:r>
        <w:rPr/>
        <w:t>230</w:t>
      </w:r>
      <w:r>
        <w:rPr/>
        <w:t>，扣非</w:t>
      </w:r>
      <w:r>
        <w:rPr/>
        <w:t>249</w:t>
      </w:r>
      <w:r>
        <w:rPr/>
        <w:t>。未经审计中报经审阅，审阅报告</w:t>
      </w:r>
      <w:r>
        <w:rPr/>
        <w:t>123</w:t>
      </w:r>
      <w:r>
        <w:rPr/>
        <w:t>至</w:t>
      </w:r>
      <w:r>
        <w:rPr/>
        <w:t>124</w:t>
      </w:r>
      <w:r>
        <w:rPr/>
        <w:t>。</w:t>
      </w:r>
    </w:p>
    <w:p>
      <w:pPr>
        <w:pStyle w:val="Normal"/>
        <w:rPr/>
      </w:pPr>
      <w:r>
        <w:rPr/>
        <w:t>[2025</w:t>
      </w:r>
      <w:r>
        <w:rPr/>
        <w:t>年报</w:t>
      </w:r>
      <w:r>
        <w:rPr/>
        <w:t>](https://static.cninfo.com.cn/finalpage/2026-03-31/1225059012.PDF)</w:t>
      </w:r>
      <w:r>
        <w:rPr/>
        <w:t>，</w:t>
      </w:r>
      <w:r>
        <w:rPr/>
        <w:t>376</w:t>
      </w:r>
      <w:r>
        <w:rPr/>
        <w:t>页，三年核心数据</w:t>
      </w:r>
      <w:r>
        <w:rPr/>
        <w:t>20</w:t>
      </w:r>
      <w:r>
        <w:rPr/>
        <w:t>至</w:t>
      </w:r>
      <w:r>
        <w:rPr/>
        <w:t>21</w:t>
      </w:r>
      <w:r>
        <w:rPr/>
        <w:t>、地区经营</w:t>
      </w:r>
      <w:r>
        <w:rPr/>
        <w:t>23</w:t>
      </w:r>
      <w:r>
        <w:rPr/>
        <w:t>至</w:t>
      </w:r>
      <w:r>
        <w:rPr/>
        <w:t>25</w:t>
      </w:r>
      <w:r>
        <w:rPr/>
        <w:t>，合并现金流</w:t>
      </w:r>
      <w:r>
        <w:rPr/>
        <w:t>215</w:t>
      </w:r>
      <w:r>
        <w:rPr/>
        <w:t>至</w:t>
      </w:r>
      <w:r>
        <w:rPr/>
        <w:t>216</w:t>
      </w:r>
      <w:r>
        <w:rPr/>
        <w:t>，地区收入</w:t>
      </w:r>
      <w:r>
        <w:rPr/>
        <w:t>325</w:t>
      </w:r>
      <w:r>
        <w:rPr/>
        <w:t>；</w:t>
      </w:r>
      <w:r>
        <w:rPr/>
        <w:t>[2024</w:t>
      </w:r>
      <w:r>
        <w:rPr/>
        <w:t>年报</w:t>
      </w:r>
      <w:r>
        <w:rPr/>
        <w:t>](https://static.cninfo.com.cn/finalpage/2025-04-29/1223371173.PDF)</w:t>
      </w:r>
      <w:r>
        <w:rPr/>
        <w:t>，</w:t>
      </w:r>
      <w:r>
        <w:rPr/>
        <w:t>400</w:t>
      </w:r>
      <w:r>
        <w:rPr/>
        <w:t>页，用于历史与分类交叉核验。变更前后分部口径以</w:t>
      </w:r>
      <w:r>
        <w:rPr/>
        <w:t>2026</w:t>
      </w:r>
      <w:r>
        <w:rPr/>
        <w:t>半年报</w:t>
      </w:r>
      <w:r>
        <w:rPr/>
        <w:t>88</w:t>
      </w:r>
      <w:r>
        <w:rPr/>
        <w:t>页说明为准，不混用。</w:t>
      </w:r>
    </w:p>
    <w:p>
      <w:pPr>
        <w:pStyle w:val="Normal"/>
        <w:widowControl/>
        <w:bidi w:val="0"/>
        <w:spacing w:lineRule="auto" w:line="336" w:before="0" w:after="140"/>
        <w:jc w:val="start"/>
        <w:rPr/>
      </w:pPr>
      <w:r>
        <w:rPr/>
        <w:t>[2026</w:t>
      </w:r>
      <w:r>
        <w:rPr/>
        <w:t>第二次权益分派实施公告</w:t>
      </w:r>
      <w:r>
        <w:rPr/>
        <w:t>](https://static.cninfo.com.cn/finalpage/2026-08-31/1225537035.PDF)</w:t>
      </w:r>
      <w:r>
        <w:rPr/>
        <w:t>，</w:t>
      </w:r>
      <w:r>
        <w:rPr/>
        <w:t>1.33</w:t>
      </w:r>
      <w:r>
        <w:rPr/>
        <w:t>元、</w:t>
      </w:r>
      <w:r>
        <w:rPr/>
        <w:t>9</w:t>
      </w:r>
      <w:r>
        <w:rPr/>
        <w:t>月</w:t>
      </w:r>
      <w:r>
        <w:rPr/>
        <w:t>8</w:t>
      </w:r>
      <w:r>
        <w:rPr/>
        <w:t>日除息及核验股数；</w:t>
      </w:r>
      <w:r>
        <w:rPr/>
        <w:t>[2025</w:t>
      </w:r>
      <w:r>
        <w:rPr/>
        <w:t>年度及</w:t>
      </w:r>
      <w:r>
        <w:rPr/>
        <w:t>2026</w:t>
      </w:r>
      <w:r>
        <w:rPr/>
        <w:t>第一次权益分派实施公告</w:t>
      </w:r>
      <w:r>
        <w:rPr/>
        <w:t>](https://static.cninfo.com.cn/finalpage/2026-05-20/1225320390.PDF)</w:t>
      </w:r>
      <w:r>
        <w:rPr/>
        <w:t>，历史派息另列。原文件和提取文本保留</w:t>
      </w:r>
      <w:r>
        <w:rPr/>
        <w:t>data/a_pharma_raw</w:t>
      </w:r>
      <w:r>
        <w:rPr/>
        <w:t>。行情与技术</w:t>
      </w:r>
      <w:r>
        <w:rPr/>
        <w:t>data/market_snapshot_locked.json</w:t>
      </w:r>
      <w:r>
        <w:rPr/>
        <w:t>、</w:t>
      </w:r>
      <w:r>
        <w:rPr/>
        <w:t>data/history/S016.json</w:t>
      </w:r>
      <w:r>
        <w:rPr/>
        <w:t>；模型</w:t>
      </w:r>
      <w:r>
        <w:rPr/>
        <w:t>data/mindray_model.json</w:t>
      </w:r>
      <w:r>
        <w:rPr/>
        <w:t>，核验</w:t>
      </w:r>
      <w:r>
        <w:rPr/>
        <w:t>qa/mindray_qa.json</w:t>
      </w:r>
      <w:r>
        <w:rPr/>
        <w:t>。来源、图注、标题不计正文有效汉字。</w:t>
      </w:r>
    </w:p>
    <w:sectPr>
      <w:headerReference w:type="even" r:id="rId24"/>
      <w:headerReference w:type="default" r:id="rId25"/>
      <w:headerReference w:type="first" r:id="rId26"/>
      <w:footerReference w:type="even" r:id="rId27"/>
      <w:footerReference w:type="default" r:id="rId28"/>
      <w:footerReference w:type="first" r:id="rId29"/>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176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176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2026-10-11T15:18:59Z</dcterms:modified>
  <cp:revision>2</cp:revision>
  <dc:subject>研究数据版本 f94f3d19b4e62e0b</dc:subject>
  <dc:title>公司深研 · 第01卷</dc:title>
</cp:coreProperties>
</file>

<file path=docProps/custom.xml><?xml version="1.0" encoding="utf-8"?>
<Properties xmlns="http://schemas.openxmlformats.org/officeDocument/2006/custom-properties" xmlns:vt="http://schemas.openxmlformats.org/officeDocument/2006/docPropsVTypes"/>
</file>