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02</w:t>
      </w:r>
      <w:r>
        <w:rPr>
          <w:color w:val="000000"/>
        </w:rPr>
        <w:t>卷</w:t>
      </w:r>
    </w:p>
    <w:p>
      <w:pPr>
        <w:pStyle w:val="Normal"/>
        <w:rPr/>
      </w:pPr>
      <w:r>
        <w:rPr/>
        <w:t>阶段收录</w:t>
      </w:r>
      <w:r>
        <w:rPr/>
        <w:t>8</w:t>
      </w:r>
      <w:r>
        <w:rPr/>
        <w:t>家公司 剩余公司接入后按统一规则更新卷次</w:t>
      </w:r>
    </w:p>
    <w:p>
      <w:pPr>
        <w:pStyle w:val="Normal"/>
        <w:rPr/>
      </w:pPr>
      <w:r>
        <w:rPr/>
        <w:t>资料截止：</w:t>
      </w:r>
      <w:r>
        <w:rPr/>
        <w:t>2026</w:t>
      </w:r>
      <w:r>
        <w:rPr/>
        <w:t>年</w:t>
      </w:r>
      <w:r>
        <w:rPr/>
        <w:t>10</w:t>
      </w:r>
      <w:r>
        <w:rPr/>
        <w:t>月</w:t>
      </w:r>
      <w:r>
        <w:rPr/>
        <w:t>9</w:t>
      </w:r>
      <w:r>
        <w:rPr/>
        <w:t>日。所有未来价格、盈利、估值、分红和汇率均为研究假设。研究范围为</w:t>
      </w:r>
      <w:r>
        <w:rPr/>
        <w:t>92</w:t>
      </w:r>
      <w:r>
        <w:rPr/>
        <w:t>家公司、</w:t>
      </w:r>
      <w:r>
        <w:rPr/>
        <w:t>96</w:t>
      </w:r>
      <w:r>
        <w:rPr/>
        <w:t>个股票证券。当前纳入</w:t>
      </w:r>
      <w:r>
        <w:rPr/>
        <w:t>91</w:t>
      </w:r>
      <w:r>
        <w:rPr/>
        <w:t>家公司模型，</w:t>
      </w:r>
      <w:r>
        <w:rPr/>
        <w:t>91</w:t>
      </w:r>
      <w:r>
        <w:rPr/>
        <w:t>家正文通过一万有效汉字门槛，剩余</w:t>
      </w:r>
      <w:r>
        <w:rPr/>
        <w:t>1</w:t>
      </w:r>
      <w:r>
        <w:rPr/>
        <w:t xml:space="preserve">家公司深研待补齐。阶段排名仅纳入已完成且具备可评估条件的证券。公司深研卷收录已达到正文门槛的公司；剩余内容按研究状态继续补齐。初版结论可随新增证据修订。数据版本 </w:t>
      </w:r>
      <w:r>
        <w:rPr/>
        <w:t>f94f3d19b4e62e0b</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15955_312338234" w:tooltip="ASMPT 00522 HK">
            <w:r>
              <w:rPr>
                <w:rStyle w:val="Style5"/>
              </w:rPr>
              <w:t>ASMPT 00522 HK</w:t>
              <w:tab/>
              <w:t>3</w:t>
            </w:r>
          </w:hyperlink>
        </w:p>
        <w:p>
          <w:pPr>
            <w:pStyle w:val="TOC1"/>
            <w:tabs>
              <w:tab w:val="clear" w:pos="9858"/>
              <w:tab w:val="right" w:pos="9857" w:leader="dot"/>
            </w:tabs>
            <w:rPr/>
          </w:pPr>
          <w:hyperlink w:anchor="__RefHeading___Toc15957_312338234" w:tooltip="网易 09999 HK">
            <w:r>
              <w:rPr>
                <w:rStyle w:val="Style5"/>
              </w:rPr>
              <w:t xml:space="preserve">网易 </w:t>
            </w:r>
            <w:r>
              <w:rPr>
                <w:rStyle w:val="Style5"/>
              </w:rPr>
              <w:t>09999 HK</w:t>
              <w:tab/>
              <w:t>26</w:t>
            </w:r>
          </w:hyperlink>
        </w:p>
        <w:p>
          <w:pPr>
            <w:pStyle w:val="TOC1"/>
            <w:tabs>
              <w:tab w:val="clear" w:pos="9858"/>
              <w:tab w:val="right" w:pos="9857" w:leader="dot"/>
            </w:tabs>
            <w:rPr/>
          </w:pPr>
          <w:hyperlink w:anchor="__RefHeading___Toc15959_312338234" w:tooltip="恒瑞医药 600276 SH 01276 HK">
            <w:r>
              <w:rPr>
                <w:rStyle w:val="Style5"/>
              </w:rPr>
              <w:t xml:space="preserve">恒瑞医药 </w:t>
            </w:r>
            <w:r>
              <w:rPr>
                <w:rStyle w:val="Style5"/>
              </w:rPr>
              <w:t>600276 SH 01276 HK</w:t>
              <w:tab/>
              <w:t>45</w:t>
            </w:r>
          </w:hyperlink>
        </w:p>
        <w:p>
          <w:pPr>
            <w:pStyle w:val="TOC1"/>
            <w:tabs>
              <w:tab w:val="clear" w:pos="9858"/>
              <w:tab w:val="right" w:pos="9857" w:leader="dot"/>
            </w:tabs>
            <w:rPr/>
          </w:pPr>
          <w:hyperlink w:anchor="__RefHeading___Toc15961_312338234" w:tooltip="美的集团 00300 HK">
            <w:r>
              <w:rPr>
                <w:rStyle w:val="Style5"/>
              </w:rPr>
              <w:t xml:space="preserve">美的集团 </w:t>
            </w:r>
            <w:r>
              <w:rPr>
                <w:rStyle w:val="Style5"/>
              </w:rPr>
              <w:t>00300 HK</w:t>
              <w:tab/>
              <w:t>65</w:t>
            </w:r>
          </w:hyperlink>
        </w:p>
        <w:p>
          <w:pPr>
            <w:pStyle w:val="TOC1"/>
            <w:tabs>
              <w:tab w:val="clear" w:pos="9858"/>
              <w:tab w:val="right" w:pos="9857" w:leader="dot"/>
            </w:tabs>
            <w:rPr/>
          </w:pPr>
          <w:hyperlink w:anchor="__RefHeading___Toc15963_312338234" w:tooltip="海尔生物 688139 SH">
            <w:r>
              <w:rPr>
                <w:rStyle w:val="Style5"/>
              </w:rPr>
              <w:t xml:space="preserve">海尔生物 </w:t>
            </w:r>
            <w:r>
              <w:rPr>
                <w:rStyle w:val="Style5"/>
              </w:rPr>
              <w:t>688139 SH</w:t>
              <w:tab/>
              <w:t>86</w:t>
            </w:r>
          </w:hyperlink>
        </w:p>
        <w:p>
          <w:pPr>
            <w:pStyle w:val="TOC1"/>
            <w:tabs>
              <w:tab w:val="clear" w:pos="9858"/>
              <w:tab w:val="right" w:pos="9857" w:leader="dot"/>
            </w:tabs>
            <w:rPr/>
          </w:pPr>
          <w:hyperlink w:anchor="__RefHeading___Toc15965_312338234" w:tooltip="翰森制药 03692 HK">
            <w:r>
              <w:rPr>
                <w:rStyle w:val="Style5"/>
              </w:rPr>
              <w:t xml:space="preserve">翰森制药 </w:t>
            </w:r>
            <w:r>
              <w:rPr>
                <w:rStyle w:val="Style5"/>
              </w:rPr>
              <w:t>03692 HK</w:t>
              <w:tab/>
              <w:t>107</w:t>
            </w:r>
          </w:hyperlink>
        </w:p>
        <w:p>
          <w:pPr>
            <w:pStyle w:val="TOC1"/>
            <w:tabs>
              <w:tab w:val="clear" w:pos="9858"/>
              <w:tab w:val="right" w:pos="9857" w:leader="dot"/>
            </w:tabs>
            <w:rPr/>
          </w:pPr>
          <w:hyperlink w:anchor="__RefHeading___Toc15967_312338234" w:tooltip="康龙化成 03759 HK">
            <w:r>
              <w:rPr>
                <w:rStyle w:val="Style5"/>
              </w:rPr>
              <w:t xml:space="preserve">康龙化成 </w:t>
            </w:r>
            <w:r>
              <w:rPr>
                <w:rStyle w:val="Style5"/>
              </w:rPr>
              <w:t>03759 HK</w:t>
              <w:tab/>
              <w:t>125</w:t>
            </w:r>
          </w:hyperlink>
        </w:p>
        <w:p>
          <w:pPr>
            <w:pStyle w:val="TOC1"/>
            <w:tabs>
              <w:tab w:val="clear" w:pos="9858"/>
              <w:tab w:val="right" w:pos="9857" w:leader="dot"/>
            </w:tabs>
            <w:rPr/>
          </w:pPr>
          <w:hyperlink w:anchor="__RefHeading___Toc15969_312338234" w:tooltip="京东健康 06618 HK">
            <w:r>
              <w:rPr>
                <w:rStyle w:val="Style5"/>
              </w:rPr>
              <w:t xml:space="preserve">京东健康 </w:t>
            </w:r>
            <w:r>
              <w:rPr>
                <w:rStyle w:val="Style5"/>
              </w:rPr>
              <w:t>06618 HK</w:t>
              <w:tab/>
              <w:t>146</w:t>
            </w:r>
          </w:hyperlink>
          <w:r>
            <w:rPr>
              <w:rStyle w:val="Style5"/>
            </w:rPr>
            <w:fldChar w:fldCharType="end"/>
          </w:r>
        </w:p>
      </w:sdtContent>
    </w:sdt>
    <w:p>
      <w:pPr>
        <w:pStyle w:val="Normal"/>
        <w:rPr/>
      </w:pPr>
      <w:r>
        <w:rPr/>
      </w:r>
      <w:r>
        <w:br w:type="page"/>
      </w:r>
    </w:p>
    <w:p>
      <w:pPr>
        <w:pStyle w:val="Heading1"/>
        <w:rPr/>
      </w:pPr>
      <w:bookmarkStart w:id="0" w:name="__RefHeading___Toc15955_312338234"/>
      <w:bookmarkEnd w:id="0"/>
      <w:r>
        <w:rPr>
          <w:color w:val="000000"/>
        </w:rPr>
        <w:t>ASMPT 00522 HK</w:t>
      </w:r>
    </w:p>
    <w:p>
      <w:pPr>
        <w:pStyle w:val="Normal"/>
        <w:rPr/>
      </w:pPr>
      <w:r>
        <w:rPr/>
        <w:t xml:space="preserve">00522.HK </w:t>
      </w:r>
      <w:r>
        <w:rPr/>
        <w:t xml:space="preserve">现价 </w:t>
      </w:r>
      <w:r>
        <w:rPr/>
        <w:t>161.30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199.58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+23.73%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+23.73%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245.89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+52.44%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+53.37%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310.57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+92.54%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+96.51%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347.54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+115.46%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+124.02%</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32.94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-79.58%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159.09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261.43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+62.08%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153.14HKD</w:t>
      </w:r>
      <w:r>
        <w:rPr/>
        <w:t>，期望股价回报</w:t>
      </w:r>
      <w:r>
        <w:rPr/>
        <w:t>-5.06%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21.91</w:t>
              <w:br/>
              <w:t>-86.42%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199.58</w:t>
              <w:br/>
              <w:t>+23.73%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330.09</w:t>
              <w:br/>
              <w:t>+104.64%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15.50</w:t>
              <w:br/>
              <w:t>-90.39%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245.89</w:t>
              <w:br/>
              <w:t>+52.44%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419.60</w:t>
              <w:br/>
              <w:t>+160.14%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9.59</w:t>
              <w:br/>
              <w:t>-94.05%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310.57</w:t>
              <w:br/>
              <w:t>+92.54%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622.41</w:t>
              <w:br/>
              <w:t>+285.87%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10.69</w:t>
              <w:br/>
              <w:t>-93.37%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347.54</w:t>
              <w:br/>
              <w:t>+115.46%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803.56</w:t>
              <w:br/>
              <w:t>+398.18%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+17.50%</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中：原件财务</w:t>
            </w:r>
            <w:r>
              <w:rPr>
                <w:rFonts w:eastAsia="微软雅黑" w:ascii="微软雅黑" w:hAnsi="微软雅黑"/>
                <w:sz w:val="17"/>
              </w:rPr>
              <w:t>/</w:t>
            </w:r>
            <w:r>
              <w:rPr>
                <w:rFonts w:ascii="微软雅黑" w:hAnsi="微软雅黑" w:eastAsia="微软雅黑"/>
                <w:sz w:val="17"/>
              </w:rPr>
              <w:t>行情高，经营指引与订单披露中高，远期份额毛利</w:t>
            </w:r>
            <w:r>
              <w:rPr>
                <w:rFonts w:eastAsia="微软雅黑" w:ascii="微软雅黑" w:hAnsi="微软雅黑"/>
                <w:sz w:val="17"/>
              </w:rPr>
              <w:t>/PE/</w:t>
            </w:r>
            <w:r>
              <w:rPr>
                <w:rFonts w:ascii="微软雅黑" w:hAnsi="微软雅黑" w:eastAsia="微软雅黑"/>
                <w:sz w:val="17"/>
              </w:rPr>
              <w:t>股数中低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+17.55%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+23.73%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+29.92%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+45.70%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+53.37%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+61.04%</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+86.68%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+96.51%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+106.34%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+112.82%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+124.02%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+135.22%</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I069</w:t>
      </w:r>
      <w:r>
        <w:rPr/>
        <w:t>，证券</w:t>
      </w:r>
      <w:r>
        <w:rPr/>
        <w:t>S079</w:t>
      </w:r>
      <w:r>
        <w:rPr/>
        <w:t>，</w:t>
      </w:r>
      <w:r>
        <w:rPr/>
        <w:t>00522.HK</w:t>
      </w:r>
      <w:r>
        <w:rPr/>
        <w:t>（用户</w:t>
      </w:r>
      <w:r>
        <w:rPr/>
        <w:t>0522.HK</w:t>
      </w:r>
      <w:r>
        <w:rPr/>
        <w:t>）。研究初版，价格及资料截止</w:t>
      </w:r>
      <w:r>
        <w:rPr/>
        <w:t>2026-10-09</w:t>
      </w:r>
      <w:r>
        <w:rPr/>
        <w:t>；锁定收盘价</w:t>
      </w:r>
      <w:r>
        <w:rPr/>
        <w:t>161.30</w:t>
      </w:r>
      <w:r>
        <w:rPr/>
        <w:t>港元。财务、收入、利润、</w:t>
      </w:r>
      <w:r>
        <w:rPr/>
        <w:t>EPS</w:t>
      </w:r>
      <w:r>
        <w:rPr/>
        <w:t>与目标价均为真实港币口径，无人民币盈利转换。标题、元数据、结论卡、表格、来源及共用宏观不计有效正文。活动模型</w:t>
      </w:r>
      <w:r>
        <w:rPr/>
        <w:t>asmpt-semi-smt-gross-normal-profit-HKD-v1.0</w:t>
      </w:r>
      <w:r>
        <w:rPr/>
        <w:t>。</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本章判断</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悲观／基准／乐观港元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订单转化与短中均线修复候选</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21.91</w:t>
            </w:r>
            <w:r>
              <w:rPr>
                <w:rFonts w:ascii="微软雅黑" w:hAnsi="微软雅黑" w:eastAsia="微软雅黑"/>
                <w:sz w:val="17"/>
              </w:rPr>
              <w:t>／</w:t>
            </w:r>
            <w:r>
              <w:rPr>
                <w:rFonts w:eastAsia="微软雅黑" w:ascii="微软雅黑" w:hAnsi="微软雅黑"/>
                <w:sz w:val="17"/>
              </w:rPr>
              <w:t>199.58</w:t>
            </w:r>
            <w:r>
              <w:rPr>
                <w:rFonts w:ascii="微软雅黑" w:hAnsi="微软雅黑" w:eastAsia="微软雅黑"/>
                <w:sz w:val="17"/>
              </w:rPr>
              <w:t>／</w:t>
            </w:r>
            <w:r>
              <w:rPr>
                <w:rFonts w:eastAsia="微软雅黑" w:ascii="微软雅黑" w:hAnsi="微软雅黑"/>
                <w:sz w:val="17"/>
              </w:rPr>
              <w:t>330.09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23.73%</w:t>
            </w:r>
            <w:r>
              <w:rPr>
                <w:rFonts w:ascii="微软雅黑" w:hAnsi="微软雅黑" w:eastAsia="微软雅黑"/>
                <w:sz w:val="17"/>
              </w:rPr>
              <w:t>／</w:t>
            </w:r>
            <w:r>
              <w:rPr>
                <w:rFonts w:eastAsia="微软雅黑" w:ascii="微软雅黑" w:hAnsi="微软雅黑"/>
                <w:sz w:val="17"/>
              </w:rPr>
              <w:t>23.73%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先进封装盈利扩张候选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15.50</w:t>
            </w:r>
            <w:r>
              <w:rPr>
                <w:rFonts w:ascii="微软雅黑" w:hAnsi="微软雅黑" w:eastAsia="微软雅黑"/>
                <w:sz w:val="17"/>
              </w:rPr>
              <w:t>／</w:t>
            </w:r>
            <w:r>
              <w:rPr>
                <w:rFonts w:eastAsia="微软雅黑" w:ascii="微软雅黑" w:hAnsi="微软雅黑"/>
                <w:sz w:val="17"/>
              </w:rPr>
              <w:t>245.89</w:t>
            </w:r>
            <w:r>
              <w:rPr>
                <w:rFonts w:ascii="微软雅黑" w:hAnsi="微软雅黑" w:eastAsia="微软雅黑"/>
                <w:sz w:val="17"/>
              </w:rPr>
              <w:t>／</w:t>
            </w:r>
            <w:r>
              <w:rPr>
                <w:rFonts w:eastAsia="微软雅黑" w:ascii="微软雅黑" w:hAnsi="微软雅黑"/>
                <w:sz w:val="17"/>
              </w:rPr>
              <w:t>419.60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52.44%</w:t>
            </w:r>
            <w:r>
              <w:rPr>
                <w:rFonts w:ascii="微软雅黑" w:hAnsi="微软雅黑" w:eastAsia="微软雅黑"/>
                <w:sz w:val="17"/>
              </w:rPr>
              <w:t>／</w:t>
            </w:r>
            <w:r>
              <w:rPr>
                <w:rFonts w:eastAsia="微软雅黑" w:ascii="微软雅黑" w:hAnsi="微软雅黑"/>
                <w:sz w:val="17"/>
              </w:rPr>
              <w:t>53.37%</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复杂封装与光互连技术平台候选</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9.59</w:t>
            </w:r>
            <w:r>
              <w:rPr>
                <w:rFonts w:ascii="微软雅黑" w:hAnsi="微软雅黑" w:eastAsia="微软雅黑"/>
                <w:sz w:val="17"/>
              </w:rPr>
              <w:t>／</w:t>
            </w:r>
            <w:r>
              <w:rPr>
                <w:rFonts w:eastAsia="微软雅黑" w:ascii="微软雅黑" w:hAnsi="微软雅黑"/>
                <w:sz w:val="17"/>
              </w:rPr>
              <w:t>310.57</w:t>
            </w:r>
            <w:r>
              <w:rPr>
                <w:rFonts w:ascii="微软雅黑" w:hAnsi="微软雅黑" w:eastAsia="微软雅黑"/>
                <w:sz w:val="17"/>
              </w:rPr>
              <w:t>／</w:t>
            </w:r>
            <w:r>
              <w:rPr>
                <w:rFonts w:eastAsia="微软雅黑" w:ascii="微软雅黑" w:hAnsi="微软雅黑"/>
                <w:sz w:val="17"/>
              </w:rPr>
              <w:t>622.41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92.54%</w:t>
            </w:r>
            <w:r>
              <w:rPr>
                <w:rFonts w:ascii="微软雅黑" w:hAnsi="微软雅黑" w:eastAsia="微软雅黑"/>
                <w:sz w:val="17"/>
              </w:rPr>
              <w:t>／</w:t>
            </w:r>
            <w:r>
              <w:rPr>
                <w:rFonts w:eastAsia="微软雅黑" w:ascii="微软雅黑" w:hAnsi="微软雅黑"/>
                <w:sz w:val="17"/>
              </w:rPr>
              <w:t>96.51%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持续技术回报须跨周期验证</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10.69</w:t>
            </w:r>
            <w:r>
              <w:rPr>
                <w:rFonts w:ascii="微软雅黑" w:hAnsi="微软雅黑" w:eastAsia="微软雅黑"/>
                <w:sz w:val="17"/>
              </w:rPr>
              <w:t>／</w:t>
            </w:r>
            <w:r>
              <w:rPr>
                <w:rFonts w:eastAsia="微软雅黑" w:ascii="微软雅黑" w:hAnsi="微软雅黑"/>
                <w:sz w:val="17"/>
              </w:rPr>
              <w:t>347.54</w:t>
            </w:r>
            <w:r>
              <w:rPr>
                <w:rFonts w:ascii="微软雅黑" w:hAnsi="微软雅黑" w:eastAsia="微软雅黑"/>
                <w:sz w:val="17"/>
              </w:rPr>
              <w:t>／</w:t>
            </w:r>
            <w:r>
              <w:rPr>
                <w:rFonts w:eastAsia="微软雅黑" w:ascii="微软雅黑" w:hAnsi="微软雅黑"/>
                <w:sz w:val="17"/>
              </w:rPr>
              <w:t>803.56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115.46%</w:t>
            </w:r>
            <w:r>
              <w:rPr>
                <w:rFonts w:ascii="微软雅黑" w:hAnsi="微软雅黑" w:eastAsia="微软雅黑"/>
                <w:sz w:val="17"/>
              </w:rPr>
              <w:t>／</w:t>
            </w:r>
            <w:r>
              <w:rPr>
                <w:rFonts w:eastAsia="微软雅黑" w:ascii="微软雅黑" w:hAnsi="微软雅黑"/>
                <w:sz w:val="17"/>
              </w:rPr>
              <w:t>124.02%</w:t>
            </w:r>
          </w:p>
        </w:tc>
      </w:tr>
    </w:tbl>
    <w:p>
      <w:pPr>
        <w:pStyle w:val="Normal"/>
        <w:rPr/>
      </w:pPr>
      <w:r>
        <w:rPr/>
      </w:r>
    </w:p>
    <w:p>
      <w:pPr>
        <w:pStyle w:val="Normal"/>
        <w:rPr/>
      </w:pPr>
      <w:r>
        <w:rPr/>
        <w:t>未来累计现金息半年</w:t>
      </w:r>
      <w:r>
        <w:rPr/>
        <w:t>0</w:t>
      </w:r>
      <w:r>
        <w:rPr/>
        <w:t>／</w:t>
      </w:r>
      <w:r>
        <w:rPr/>
        <w:t>0</w:t>
      </w:r>
      <w:r>
        <w:rPr/>
        <w:t>／</w:t>
      </w:r>
      <w:r>
        <w:rPr/>
        <w:t>0</w:t>
      </w:r>
      <w:r>
        <w:rPr/>
        <w:t>，一年</w:t>
      </w:r>
      <w:r>
        <w:rPr/>
        <w:t>0.5</w:t>
      </w:r>
      <w:r>
        <w:rPr/>
        <w:t>／</w:t>
      </w:r>
      <w:r>
        <w:rPr/>
        <w:t>1.5</w:t>
      </w:r>
      <w:r>
        <w:rPr/>
        <w:t>／</w:t>
      </w:r>
      <w:r>
        <w:rPr/>
        <w:t>2.4</w:t>
      </w:r>
      <w:r>
        <w:rPr/>
        <w:t>，三年</w:t>
      </w:r>
      <w:r>
        <w:rPr/>
        <w:t>1.7</w:t>
      </w:r>
      <w:r>
        <w:rPr/>
        <w:t>／</w:t>
      </w:r>
      <w:r>
        <w:rPr/>
        <w:t>6.4</w:t>
      </w:r>
      <w:r>
        <w:rPr/>
        <w:t>／</w:t>
      </w:r>
      <w:r>
        <w:rPr/>
        <w:t>11</w:t>
      </w:r>
      <w:r>
        <w:rPr/>
        <w:t>，五年</w:t>
      </w:r>
      <w:r>
        <w:rPr/>
        <w:t>3</w:t>
      </w:r>
      <w:r>
        <w:rPr/>
        <w:t>／</w:t>
      </w:r>
      <w:r>
        <w:rPr/>
        <w:t>13.8</w:t>
      </w:r>
      <w:r>
        <w:rPr/>
        <w:t>／</w:t>
      </w:r>
      <w:r>
        <w:rPr/>
        <w:t>24</w:t>
      </w:r>
      <w:r>
        <w:rPr/>
        <w:t>港元，均为研究假设。基准三年、五年含息年化</w:t>
      </w:r>
      <w:r>
        <w:rPr/>
        <w:t>25.25%</w:t>
      </w:r>
      <w:r>
        <w:rPr/>
        <w:t>、</w:t>
      </w:r>
      <w:r>
        <w:rPr/>
        <w:t>17.50%</w:t>
      </w:r>
      <w:r>
        <w:rPr/>
        <w:t>。</w:t>
      </w:r>
      <w:r>
        <w:rPr/>
        <w:t>FY2025</w:t>
      </w:r>
      <w:r>
        <w:rPr/>
        <w:t>末期</w:t>
      </w:r>
      <w:r>
        <w:rPr/>
        <w:t>0.34</w:t>
      </w:r>
      <w:r>
        <w:rPr/>
        <w:t>及特别</w:t>
      </w:r>
      <w:r>
        <w:rPr/>
        <w:t>0.79</w:t>
      </w:r>
      <w:r>
        <w:rPr/>
        <w:t>港元</w:t>
      </w:r>
      <w:r>
        <w:rPr/>
        <w:t>2026-05-12</w:t>
      </w:r>
      <w:r>
        <w:rPr/>
        <w:t>除息、</w:t>
      </w:r>
      <w:r>
        <w:rPr/>
        <w:t>5/29</w:t>
      </w:r>
      <w:r>
        <w:rPr/>
        <w:t>支付；</w:t>
      </w:r>
      <w:r>
        <w:rPr/>
        <w:t>H12026</w:t>
      </w:r>
      <w:r>
        <w:rPr/>
        <w:t>中期</w:t>
      </w:r>
      <w:r>
        <w:rPr/>
        <w:t>0.97</w:t>
      </w:r>
      <w:r>
        <w:rPr/>
        <w:t>港元</w:t>
      </w:r>
      <w:r>
        <w:rPr/>
        <w:t>8/11</w:t>
      </w:r>
      <w:r>
        <w:rPr/>
        <w:t>除息、</w:t>
      </w:r>
      <w:r>
        <w:rPr/>
        <w:t>8/31</w:t>
      </w:r>
      <w:r>
        <w:rPr/>
        <w:t>支付，全部早于基准日，不重复计未来。全名单名次与推荐梯队由总表统一计算，评分不是获利概率。</w:t>
      </w:r>
    </w:p>
    <w:p>
      <w:pPr>
        <w:pStyle w:val="Normal"/>
        <w:rPr/>
      </w:pPr>
      <w:r>
        <w:rPr/>
        <w:t>年底</w:t>
      </w:r>
      <w:r>
        <w:rPr/>
        <w:t>32.94</w:t>
      </w:r>
      <w:r>
        <w:rPr/>
        <w:t>／</w:t>
      </w:r>
      <w:r>
        <w:rPr/>
        <w:t>159.09</w:t>
      </w:r>
      <w:r>
        <w:rPr/>
        <w:t>／</w:t>
      </w:r>
      <w:r>
        <w:rPr/>
        <w:t>261.43</w:t>
      </w:r>
      <w:r>
        <w:rPr/>
        <w:t>港元，涨跌−</w:t>
      </w:r>
      <w:r>
        <w:rPr/>
        <w:t>79.58%</w:t>
      </w:r>
      <w:r>
        <w:rPr/>
        <w:t>／−</w:t>
      </w:r>
      <w:r>
        <w:rPr/>
        <w:t>1.37%</w:t>
      </w:r>
      <w:r>
        <w:rPr/>
        <w:t>／</w:t>
      </w:r>
      <w:r>
        <w:rPr/>
        <w:t>+62.08%</w:t>
      </w:r>
      <w:r>
        <w:rPr/>
        <w:t>；判断权重</w:t>
      </w:r>
      <w:r>
        <w:rPr/>
        <w:t>25%</w:t>
      </w:r>
      <w:r>
        <w:rPr/>
        <w:t>／</w:t>
      </w:r>
      <w:r>
        <w:rPr/>
        <w:t>50%</w:t>
      </w:r>
      <w:r>
        <w:rPr/>
        <w:t>／</w:t>
      </w:r>
      <w:r>
        <w:rPr/>
        <w:t>25%</w:t>
      </w:r>
      <w:r>
        <w:rPr/>
        <w:t>期望</w:t>
      </w:r>
      <w:r>
        <w:rPr/>
        <w:t>153.1375</w:t>
      </w:r>
      <w:r>
        <w:rPr/>
        <w:t>港元、−</w:t>
      </w:r>
      <w:r>
        <w:rPr/>
        <w:t>5.06%</w:t>
      </w:r>
      <w:r>
        <w:rPr/>
        <w:t>。防御</w:t>
      </w:r>
      <w:r>
        <w:rPr/>
        <w:t>40%</w:t>
      </w:r>
      <w:r>
        <w:rPr/>
        <w:t>／</w:t>
      </w:r>
      <w:r>
        <w:rPr/>
        <w:t>50%</w:t>
      </w:r>
      <w:r>
        <w:rPr/>
        <w:t>／</w:t>
      </w:r>
      <w:r>
        <w:rPr/>
        <w:t>10%</w:t>
      </w:r>
      <w:r>
        <w:rPr/>
        <w:t>期望</w:t>
      </w:r>
      <w:r>
        <w:rPr/>
        <w:t>118.864</w:t>
      </w:r>
      <w:r>
        <w:rPr/>
        <w:t>港元、−</w:t>
      </w:r>
      <w:r>
        <w:rPr/>
        <w:t>26.31%</w:t>
      </w:r>
      <w:r>
        <w:rPr/>
        <w:t>；积极</w:t>
      </w:r>
      <w:r>
        <w:rPr/>
        <w:t>10%</w:t>
      </w:r>
      <w:r>
        <w:rPr/>
        <w:t>／</w:t>
      </w:r>
      <w:r>
        <w:rPr/>
        <w:t>50%</w:t>
      </w:r>
      <w:r>
        <w:rPr/>
        <w:t>／</w:t>
      </w:r>
      <w:r>
        <w:rPr/>
        <w:t>40%</w:t>
      </w:r>
      <w:r>
        <w:rPr/>
        <w:t>为</w:t>
      </w:r>
      <w:r>
        <w:rPr/>
        <w:t>187.411</w:t>
      </w:r>
      <w:r>
        <w:rPr/>
        <w:t>港元、</w:t>
      </w:r>
      <w:r>
        <w:rPr/>
        <w:t>+16.19%</w:t>
      </w:r>
      <w:r>
        <w:rPr/>
        <w:t>。悲观值是订单、成本及估值同时恶化的结构压力情景，并非普通波动预测；区间不是统计置信区间、清算估值或最大损失界限。</w:t>
      </w:r>
    </w:p>
    <w:p>
      <w:pPr>
        <w:pStyle w:val="Normal"/>
        <w:rPr/>
      </w:pPr>
      <w:r>
        <w:rPr/>
        <w:t>主要风险：客户资本支出、订单取消和验收、先进工艺替代、出口管制和国内竞争、德国及全球最低税、现金转化、库存、持续研发和奖励成本、</w:t>
      </w:r>
      <w:r>
        <w:rPr/>
        <w:t>NEXX</w:t>
      </w:r>
      <w:r>
        <w:rPr/>
        <w:t>留置义务与</w:t>
      </w:r>
      <w:r>
        <w:rPr/>
        <w:t>SMT</w:t>
      </w:r>
      <w:r>
        <w:rPr/>
        <w:t>战略选项。推荐成立需订单转收入、正常毛利与现金共同改善，持续技术份额足以抵消成熟估值下降。可信度中：原件财务与锁定行情高，订单指引中高，长期份额、利润率、</w:t>
      </w:r>
      <w:r>
        <w:rPr/>
        <w:t>PE</w:t>
      </w:r>
      <w:r>
        <w:rPr/>
        <w:t>及股数中低。</w:t>
      </w:r>
    </w:p>
    <w:p>
      <w:pPr>
        <w:pStyle w:val="Heading2"/>
        <w:rPr/>
      </w:pPr>
      <w:r>
        <w:rPr>
          <w:color w:val="000000"/>
        </w:rPr>
        <w:t>一 价值来自工艺能力与客户资本回报</w:t>
      </w:r>
    </w:p>
    <w:p>
      <w:pPr>
        <w:pStyle w:val="Normal"/>
        <w:rPr/>
      </w:pPr>
      <w:r>
        <w:rPr/>
        <w:t>ASMPT</w:t>
      </w:r>
      <w:r>
        <w:rPr/>
        <w:t>的核心业务是把芯片和电子元件准确、稳定而高效率地装配成可工作的系统。半导体方案与表面贴装方案共同覆盖封装、连接、电子组装和部分先进应用，经济价值来自客户良率、产能和单位制造成本的改善。人工智能设备的计算和通信复杂度提高，为这些能力提供需求，但公司并不直接拥有所有人工智能收入，也不能从数据中心投资总额直接推导设备订单与利润。</w:t>
      </w:r>
    </w:p>
    <w:p>
      <w:pPr>
        <w:pStyle w:val="Normal"/>
        <w:rPr/>
      </w:pPr>
      <w:r>
        <w:rPr/>
        <w:t>公司适合进取研究框架，因为高难度工艺和主流设备复苏可能同时带来订单增长、产品组合改善和费用摊薄。它仍属于设备企业，客户完成一轮扩产后，下一轮工具购买可能下降，研发和服务成本却不能立即缩减。研究把收入、毛利、常态费用、税和经济股数逐层连接，检验成长是否落实为每股回报，而不是只用先进封装市场空间或最高历史股价判断便宜。</w:t>
      </w:r>
    </w:p>
    <w:p>
      <w:pPr>
        <w:pStyle w:val="Normal"/>
        <w:rPr/>
      </w:pPr>
      <w:r>
        <w:rPr/>
        <w:t>在四期限中，三年经营机会较突出，半年需要量价和订单兑现，一年可用完整业绩重新验证，五年更依赖技术持续性和资本配置。当前价格已经体现一定成长，年底基准接近现价说明短期估值并非明显低估。时间延长使盈利空间扩大，也增加工艺、客户预算和竞争不确定性，远期较高目标价必须与条件同时阅读，不能把持有更久当作必然降低风险。</w:t>
      </w:r>
    </w:p>
    <w:p>
      <w:pPr>
        <w:pStyle w:val="Heading2"/>
        <w:rPr/>
      </w:pPr>
      <w:r>
        <w:rPr>
          <w:color w:val="000000"/>
        </w:rPr>
        <w:t>二 证券 资料日期和企业边界</w:t>
      </w:r>
    </w:p>
    <w:p>
      <w:pPr>
        <w:pStyle w:val="Normal"/>
        <w:rPr/>
      </w:pPr>
      <w:r>
        <w:rPr/>
        <w:t>本章采用十月九日收盘一百六十一点三港元，并以锁定的日线、周线与双源核验作为技术输入。二零二五年业绩三月四日开市前公开，年报四月十日开市前公开；上半年业绩七月二十九日开市前公布，中期报告八月二十八日收盘后发布。资料的报告期与公开时间分别记录，截止后才出现的订单、业绩和价格变化均不回填，以免形成知道结果后的预测。</w:t>
      </w:r>
    </w:p>
    <w:p>
      <w:pPr>
        <w:pStyle w:val="Normal"/>
        <w:rPr/>
      </w:pPr>
      <w:r>
        <w:rPr/>
        <w:t>原二零二五年报的持续经营排除了汽车电子影像业务，但尚未按二零二六年出售</w:t>
      </w:r>
      <w:r>
        <w:rPr/>
        <w:t>NEXX</w:t>
      </w:r>
      <w:r>
        <w:rPr/>
        <w:t>重新列示。上半年报告已经移除</w:t>
      </w:r>
      <w:r>
        <w:rPr/>
        <w:t>NEXX</w:t>
      </w:r>
      <w:r>
        <w:rPr/>
        <w:t>并重列比较期，两个持续经营边界不完全相同。集团总收入、原年度持续收入和中期重列持续收入不能随意拼接同比，也不能把出售前业务继续放入未来。模型只用持续存在的半导体与表面贴装经营能力，历史数据用于解释而非机械外推。</w:t>
      </w:r>
    </w:p>
    <w:p>
      <w:pPr>
        <w:pStyle w:val="Normal"/>
        <w:rPr/>
      </w:pPr>
      <w:r>
        <w:rPr/>
        <w:t>五月披露</w:t>
      </w:r>
      <w:r>
        <w:rPr/>
        <w:t>NEXX</w:t>
      </w:r>
      <w:r>
        <w:rPr/>
        <w:t>出售、六月完成交易，六月另一子公司停止并表，均早于研究截止。表面贴装业务的战略选项一月已经公告，但截至本章核验的信息未形成可确定的出售、合营或分拆时程。公司名称中含半导体技术，并不意味着它与其他同名或相关设备企业拥有相同资产。证券对应、并表范围、关联投资和战略交易分别处理，避免把产业链中的不同公司价值混合。</w:t>
      </w:r>
    </w:p>
    <w:p>
      <w:pPr>
        <w:pStyle w:val="Heading2"/>
        <w:rPr/>
      </w:pPr>
      <w:r>
        <w:rPr>
          <w:color w:val="000000"/>
        </w:rPr>
        <w:t>三 半导体与表面贴装的收入结构</w:t>
      </w:r>
    </w:p>
    <w:p>
      <w:pPr>
        <w:pStyle w:val="Normal"/>
        <w:rPr/>
      </w:pPr>
      <w:r>
        <w:rPr/>
        <w:t>上半年持续收入八十九点零二六亿港元，半导体方案五十点三五六二六亿、表面贴装方案三十八点六六九七四亿。半导体方案覆盖固晶、焊线、先进封装和光子装配等，表面贴装负责电路板上的精密元件装配及相关生产方案。两部分面对不同工艺和客户预算，增长可以互补，也可能同受电子需求影响，不能把两个名称理解为完全独立、自然分散的现金流。</w:t>
      </w:r>
    </w:p>
    <w:p>
      <w:pPr>
        <w:pStyle w:val="Normal"/>
        <w:rPr/>
      </w:pPr>
      <w:r>
        <w:rPr/>
        <w:t>公司将先进封装作为跨分部产品组合，上半年约三亿三千九百万美元，占集团收入约三成，主要贡献包含热压键合、高精度表面贴装和光子方案。先进封装并不是在两个分部以外的第三份独立收入，估值若再把整份先进封装收入加到半导体和表面贴装，会重复计算。研究保留两分部活动毛利桥，用先进封装披露解释组合和订单质量，不另造未经披露的完整分部资产与现金。</w:t>
      </w:r>
    </w:p>
    <w:p>
      <w:pPr>
        <w:pStyle w:val="Normal"/>
        <w:rPr/>
      </w:pPr>
      <w:r>
        <w:rPr/>
        <w:t>终端计算应用约占收入三成三，消费约一成八，汽车接近一成二。计算增长既涉及热压键合和光子，也涉及服务器电路板，不应把所有增长都归因一种设备。汽车在中国电动车支持下改善，其他地区仍弱，主流消费需求也有周期性。收入按终端、地区和产品的分类存在交叉，研究不把分类百分比相加成新市场，亦不为未披露客户与设备售价补造精确明细。</w:t>
      </w:r>
    </w:p>
    <w:p>
      <w:pPr>
        <w:pStyle w:val="Heading2"/>
        <w:rPr/>
      </w:pPr>
      <w:r>
        <w:rPr>
          <w:color w:val="000000"/>
        </w:rPr>
        <w:t>四 热压键合的能力与竞争位置</w:t>
      </w:r>
    </w:p>
    <w:p>
      <w:pPr>
        <w:pStyle w:val="Normal"/>
        <w:rPr/>
      </w:pPr>
      <w:r>
        <w:rPr/>
        <w:t>热压键合需要在温度、压力、对准精度和速度之间达到可量产平衡。异质集成和更大的组合芯片使装配难度增加，客户不仅看实验室精度，也看良率、产出和长期维护。公司已有芯片对基板及芯片对晶圆等产品和客户项目，技术积累与现场工艺经验有进入门槛。能够满足更复杂封装是收入机会，但相同门槛也要求持续工程投入，不能把新增销售全部视为高增量利润。</w:t>
      </w:r>
    </w:p>
    <w:p>
      <w:pPr>
        <w:pStyle w:val="Normal"/>
        <w:rPr/>
      </w:pPr>
      <w:r>
        <w:rPr/>
        <w:t>七月二十九日正式披露，在七月收到来自封测客户超过五十台芯片对基板热压工具的大批订单。这个信息支持重复采购与工艺采用，却不是六月三十日前已经确认的收入；工具数也不是单价、毛利或收款金额。客户身份、配置、验收和交付节奏未充分公开，模型不能按传闻单台售价精确换算。订单应先通过交货、验收和现金证明，再纳入已实现的经营结果。</w:t>
      </w:r>
    </w:p>
    <w:p>
      <w:pPr>
        <w:pStyle w:val="Normal"/>
        <w:rPr/>
      </w:pPr>
      <w:r>
        <w:rPr/>
        <w:t>芯片对晶圆方面，公司披露第二季度取得一家全球整合器件制造商的批量订单，并向先进逻辑客户交付超细间距工具。这增加产品组合的适用性，但先进客户可能评估多种技术与供应商。独家联合评估也不能直接当作独家量产采购合同。三年基准容许份额和规模增长，悲观则包含认证失利和客户转换工艺，任何单一合作都不被解释为长期固定市场份额。</w:t>
      </w:r>
    </w:p>
    <w:p>
      <w:pPr>
        <w:pStyle w:val="Heading2"/>
        <w:rPr/>
      </w:pPr>
      <w:r>
        <w:rPr>
          <w:color w:val="000000"/>
        </w:rPr>
        <w:t>五 存储器封装与产品切换</w:t>
      </w:r>
    </w:p>
    <w:p>
      <w:pPr>
        <w:pStyle w:val="Normal"/>
        <w:rPr/>
      </w:pPr>
      <w:r>
        <w:rPr/>
        <w:t>高带宽存储器的堆叠复杂度提高，使键合精度、翘曲控制和产能效率更受重视。公司已披露重复订单，同时明确新工具购买取决于客户新产品推出进程。存储器厂先提高良率、再调整产能的节奏，会使设备需求与芯片销售不同步；产品延期可能推迟工具验收和采购。研究用订单转化情景处理，而不把全球存储器价格上涨直接乘成</w:t>
      </w:r>
      <w:r>
        <w:rPr/>
        <w:t>ASMPT</w:t>
      </w:r>
      <w:r>
        <w:rPr/>
        <w:t>相同比例收入增长。</w:t>
      </w:r>
    </w:p>
    <w:p>
      <w:pPr>
        <w:pStyle w:val="Normal"/>
        <w:rPr/>
      </w:pPr>
      <w:r>
        <w:rPr/>
        <w:t>高难度工具的客户切换成本通常较高，产线验证和维护经验能支持竞争地位，但仍取决于每代产品的工艺要求。存储器客户集中扩产会增加短期需求，也让收入更依赖几家客户的资本预算。新平台如果在旧工艺完成折旧前改变路线，设备供应商可能面对延后或替代。长期分析同时考察客户投入回报和公司工具竞争力，不能只把层数上升当作永久持续的设备增购。</w:t>
      </w:r>
    </w:p>
    <w:p>
      <w:pPr>
        <w:pStyle w:val="Normal"/>
        <w:rPr/>
      </w:pPr>
      <w:r>
        <w:rPr/>
        <w:t>公司与关键存储器客户开展联合评估，目标是形成优选生产标准，这属于商业化潜力而非已实现普及。模型中研究和工程费用随业务规模增加，保留为了下一代产品而发生的常态投入。若联合评估持续多年而缺少批量订单，相关收入和估值应下修；若批量订单增加但服务、返修和成本偏高，也不能仅凭工具数量继续提高利润率。验证阶段与成熟盈利阶段需要不同证据。</w:t>
      </w:r>
    </w:p>
    <w:p>
      <w:pPr>
        <w:pStyle w:val="Heading2"/>
        <w:rPr/>
      </w:pPr>
      <w:r>
        <w:rPr>
          <w:color w:val="000000"/>
        </w:rPr>
        <w:t>六 光子装配与高速通信</w:t>
      </w:r>
    </w:p>
    <w:p>
      <w:pPr>
        <w:pStyle w:val="Normal"/>
        <w:rPr/>
      </w:pPr>
      <w:r>
        <w:rPr/>
        <w:t>上半年可插拔光收发器方案收入约七千五百万美元，同比接近三倍，属于已披露实际而非完整光通信行业收入。高速数据传输需要精密对准、光学耦合和稳定封装，公司可以从客户升级产线获得设备需求。通信速率提高并不保证每个环节利润等比例增加，客户仍会选择可靠性、产能与单位成本最佳的路线。模型将光子组合贡献反映在半导体收入和毛利，不额外加一次独立估值。</w:t>
      </w:r>
    </w:p>
    <w:p>
      <w:pPr>
        <w:pStyle w:val="Normal"/>
        <w:rPr/>
      </w:pPr>
      <w:r>
        <w:rPr/>
        <w:t>可插拔模块与共封装光学的商业进程不同。前者已有增长数据，后者仍需客户系统采用、可靠性和量产验证。公司披露与多个共封装光学参与者合作，并提供高精度光子、热压和混合键合等工具，但没有给出可独立核算的未来收入和毛利。分析不能把全部数据中心互连支出都算为公司潜在订单，更不能把客户未来系统出货预测当作已签设备采购金额。</w:t>
      </w:r>
    </w:p>
    <w:p>
      <w:pPr>
        <w:pStyle w:val="Normal"/>
        <w:rPr/>
      </w:pPr>
      <w:r>
        <w:rPr/>
        <w:t>光子设备优势在于位置控制、复杂组件集成和工艺流程兼容，竞争也可能来自客户自研、其他精密装配平台或更简化设计。若生产从离散装配改为其他整合方式，设备价值分布会调整。三年乐观情景要求公司在真实产线上取得重复商业订单和高质量现金，而不是只有联合研发消息。五年估值适当下降，反映工艺成熟后竞争与客户议价对工具价格的压力。</w:t>
      </w:r>
    </w:p>
    <w:p>
      <w:pPr>
        <w:pStyle w:val="Heading2"/>
        <w:rPr/>
      </w:pPr>
      <w:r>
        <w:rPr>
          <w:color w:val="000000"/>
        </w:rPr>
        <w:t>七 混合键合与热压的替代关系</w:t>
      </w:r>
    </w:p>
    <w:p>
      <w:pPr>
        <w:pStyle w:val="Normal"/>
        <w:rPr/>
      </w:pPr>
      <w:r>
        <w:rPr/>
        <w:t>混合键合可能在更细互连和高性能集成场景中提升价值，同时对洁净、表面处理、精度和生产流程提出不同要求。公司第二代平台进入客户取样阶段，并将取样描述为潜在认证的重要一步。取样不等于认证完成，认证也不等于大规模盈利，市场采用速度、良率和资本成本都有不确定性。本章不为该平台单列未经披露的确定收入，而在远期情景中保留成功与失败路径。</w:t>
      </w:r>
    </w:p>
    <w:p>
      <w:pPr>
        <w:pStyle w:val="Normal"/>
        <w:rPr/>
      </w:pPr>
      <w:r>
        <w:rPr/>
        <w:t>热压和混合键合可能长期在不同场景共存，也可能在某些高端市场发生替代。公司若拥有两类工具，具备随客户路线调整的可能，却仍需赢得新工艺订单；旧业务份额不能自动迁移。新路线研发、培训和客户支持会先产生费用，商业化后才体现收益。把混合键合当作额外上涨空间的同时，应扣除对旧工具需求和价格的冲击，不能把所有路线都按互不侵蚀的增长相加。</w:t>
      </w:r>
    </w:p>
    <w:p>
      <w:pPr>
        <w:pStyle w:val="Normal"/>
        <w:rPr/>
      </w:pPr>
      <w:r>
        <w:rPr/>
        <w:t>反证重点是客户是否把公司平台采纳为可重复生产方案，以及项目能否覆盖持续成本。若客户最终选择竞争者、自产工具或其他技术，公司投入可能形成沉没成本和减值。悲观情景并非假定行业消失，而是公司在增长行业里取得较低经济回报。长期得分因此低于三年，说明技术更新既是成长来源，也可能使现有护城河衰减，不能以当前工具领先断言十年优势。</w:t>
      </w:r>
    </w:p>
    <w:p>
      <w:pPr>
        <w:pStyle w:val="Heading2"/>
        <w:rPr/>
      </w:pPr>
      <w:r>
        <w:rPr>
          <w:color w:val="000000"/>
        </w:rPr>
        <w:t>八 面板级封装与主流产品</w:t>
      </w:r>
    </w:p>
    <w:p>
      <w:pPr>
        <w:pStyle w:val="Normal"/>
        <w:rPr/>
      </w:pPr>
      <w:r>
        <w:rPr/>
        <w:t>公司披露新开发的四分之一面板芯片工具已送先进逻辑客户认证，并参与嵌入及表面硅桥相关方案开发。面板扩大可能提高产出、降低成本，也对翘曲、精度和材料处理提出挑战。送样体现技术方向，未必带来可预测的订单时间和收入规模。研究对面板需求保持条件性，不能把潜在总市场、客户试验和已经商业化的工具销售放在同一置信层级。</w:t>
      </w:r>
    </w:p>
    <w:p>
      <w:pPr>
        <w:pStyle w:val="Normal"/>
        <w:rPr/>
      </w:pPr>
      <w:r>
        <w:rPr/>
        <w:t>主流固晶和焊线设备上半年也在人工智能相关散热器件与消费需求支持下增长。成熟设备有广泛应用和客户基础，销售不只依赖最先进芯片。其价格和竞争通常更容易受产能、标准化及国内供应商影响，规模增收未必形成高难工具相同利润率。模型以分部正常毛利表示综合结构，若主流增长快于高端增长而拉低毛利，应修正组合，不能用先进封装最高估值覆盖全部销售。</w:t>
      </w:r>
    </w:p>
    <w:p>
      <w:pPr>
        <w:pStyle w:val="Normal"/>
        <w:rPr/>
      </w:pPr>
      <w:r>
        <w:rPr/>
        <w:t>散热和功率器件的需求来自高功率服务器、电动车及其他电子系统，公司可提供相应装配能力。终端需求变化经过器件厂、封测厂和设备采购的多层传导，可能先体现利用率后体现新增工具。既有产能余量足够时，客户产量增长不一定需要大量新设备。短期研究看实际订单与产线投资，长期则看每代技术增加的制造难度是否为公司带来可收费的工艺价值。</w:t>
      </w:r>
    </w:p>
    <w:p>
      <w:pPr>
        <w:pStyle w:val="Heading2"/>
        <w:rPr/>
      </w:pPr>
      <w:r>
        <w:rPr>
          <w:color w:val="000000"/>
        </w:rPr>
        <w:t>九 表面贴装的增长与战略选项</w:t>
      </w:r>
    </w:p>
    <w:p>
      <w:pPr>
        <w:pStyle w:val="Normal"/>
        <w:rPr/>
      </w:pPr>
      <w:r>
        <w:rPr/>
        <w:t>表面贴装工具需要在元件大小、定位、速度和生产线柔性之间平衡，服务器板复杂度、汽车电子和消费设备都影响需求。上半年该分部订单六十九点八四六亿港元，明显高于收入三十八点六六九七四亿，显示强采购意愿。它既有先进高精度需求，也有成熟电子装配资本周期，不能因为服务器客户增长就忽略汽车和消费需求较弱部分对组合与价格的影响。</w:t>
      </w:r>
    </w:p>
    <w:p>
      <w:pPr>
        <w:pStyle w:val="Normal"/>
        <w:rPr/>
      </w:pPr>
      <w:r>
        <w:rPr/>
        <w:t>一月战略评估包含保留、出售、合营、分拆等选项，未承诺固定进度或一定交易。若未来确实出售，需要知道价格、税费、负债与员工义务、营运资金调整和管理费用留存；若分拆，需看母公司归属、治理及融资。当前模型保留表面贴装盈利，不另加想象中的出售现金。用整个分部利润估值后再加整个出售价，会把同一资产价值计算两次。</w:t>
      </w:r>
    </w:p>
    <w:p>
      <w:pPr>
        <w:pStyle w:val="Normal"/>
        <w:rPr/>
      </w:pPr>
      <w:r>
        <w:rPr/>
        <w:t>战略选择也会影响研发与客户服务协同，纯粹分拆可能提升透明度，亦可能增加独立上市成本和协调负担。投资者不能只假设结构变化带来估值重估，却不考虑留下的集团费用和资金用途。若交易资料在截止后才公布，应在下一版单独建新模型，而不是替当前截止版补答案。在未确定阶段，催化剂评分只承认评估存在，远期收益仍由已存业务支持。</w:t>
      </w:r>
    </w:p>
    <w:p>
      <w:pPr>
        <w:pStyle w:val="Heading2"/>
        <w:rPr/>
      </w:pPr>
      <w:r>
        <w:rPr>
          <w:color w:val="000000"/>
        </w:rPr>
        <w:t>十 客户 地区与需求相关性</w:t>
      </w:r>
    </w:p>
    <w:p>
      <w:pPr>
        <w:pStyle w:val="Normal"/>
        <w:rPr/>
      </w:pPr>
      <w:r>
        <w:rPr/>
        <w:t>上半年中国地区收入占比约四成二，亚洲其他地区约三成六，欧洲和美洲合计约两成一。地理口径与最终产品消费地区不同，中国工厂购买设备可能服务海外终端，也可能使用海外设计芯片。不能据此精确推算关税、出口限制或海外收入敞口。经营风险应结合客户、技术来源、出口目的与生产地点分析，在披露不足时不填造每个国家的资本支出预测。</w:t>
      </w:r>
    </w:p>
    <w:p>
      <w:pPr>
        <w:pStyle w:val="Normal"/>
        <w:rPr/>
      </w:pPr>
      <w:r>
        <w:rPr/>
        <w:t>前五客户约占集团收入一成九，表面看单一客户集中度并不极端，但多家客户可能共同依赖相同人工智能产品或同一大终端客户。分散的采购法人不一定代表经济需求分散，封测、器件和模块厂预算可以同时波动。研究保留终端相关风险，不把多个客户数量自动等同稳健经营。先进应用的真实集中程度需要订单质量和项目分布继续验证，而非只看集团前五比例。</w:t>
      </w:r>
    </w:p>
    <w:p>
      <w:pPr>
        <w:pStyle w:val="Normal"/>
        <w:rPr/>
      </w:pPr>
      <w:r>
        <w:rPr/>
        <w:t>全球客户基础有助分散某一地区需求，亦带来汇率、劳动、税、出口审批和现场支持复杂度。产品需要现场验收，跨国工程组织的效率直接影响交付和成本。对长期质量的观察应包括地区收入增长、服务响应与现金，而不是只看销售覆盖。若某地区增长由低价竞争和宽松信用获得，收入分散可能并未改善股东回报，反而增加应收和维持产能的成本。</w:t>
      </w:r>
    </w:p>
    <w:p>
      <w:pPr>
        <w:pStyle w:val="Heading2"/>
        <w:rPr/>
      </w:pPr>
      <w:r>
        <w:rPr>
          <w:color w:val="000000"/>
        </w:rPr>
        <w:t>十一 订单金额与收入确认</w:t>
      </w:r>
    </w:p>
    <w:p>
      <w:pPr>
        <w:pStyle w:val="Normal"/>
        <w:rPr/>
      </w:pPr>
      <w:r>
        <w:rPr/>
        <w:t>上半年订单一百二十七点五三八亿港元，订单收入比约一点四三，是二零二一年上半年后较高水平。半导体订单五十七点六九三亿，表面贴装六十九点八四六亿，后者订单与收入的差距更明显。订单是未来需求的领先线索，却不是不可撤销现金，交付、验收、延期、取消和配置变化都会影响收入。研究不把订单总额直接加入当期收入，也不把订单收入比当作净利润率。</w:t>
      </w:r>
    </w:p>
    <w:p>
      <w:pPr>
        <w:pStyle w:val="Normal"/>
        <w:rPr/>
      </w:pPr>
      <w:r>
        <w:rPr/>
        <w:t>第二季度订单七十点八零四亿、收入四十九点三五八亿，较首季增长，核心经营利润也改善。这个组合支持增长进入交付期的可能，但订单快速增加时企业需要提前采购和备库存，现金压力可能在利润之前出现。客户预收有帮助，若订单调整，则库存与采购承诺未必同步消失。评价订单质量要同时看营运资金、收入、毛利和现金，不能只把增幅较大视为绝对积极。</w:t>
      </w:r>
    </w:p>
    <w:p>
      <w:pPr>
        <w:pStyle w:val="Normal"/>
        <w:rPr/>
      </w:pPr>
      <w:r>
        <w:rPr/>
        <w:t>七月正式指引第三季度收入六亿三千万至六亿九千万美元，订单环比高个位数增长，且承认部分材料交期较长。指引是管理层当时判断，截止模型未将未来正式财报当已公布。材料短缺可能延后确认、影响成本和客户计划，季度增长并非完全由需求决定。一年基准需要完整订单转化，若收入低于指引并伴随取消或毛利下降，应区别供给延迟和需求恶化后更新估值。</w:t>
      </w:r>
    </w:p>
    <w:p>
      <w:pPr>
        <w:pStyle w:val="Heading2"/>
        <w:rPr/>
      </w:pPr>
      <w:r>
        <w:rPr>
          <w:color w:val="000000"/>
        </w:rPr>
        <w:t>十二 二零二五的审计利润与正常经营</w:t>
      </w:r>
    </w:p>
    <w:p>
      <w:pPr>
        <w:pStyle w:val="Normal"/>
        <w:rPr/>
      </w:pPr>
      <w:r>
        <w:rPr/>
        <w:t>原年度持续收入一百三十七点三六二四三亿港元，比同口径前期增加；持续毛利五十一点八五八三八亿。销售、管理、研发分别十四点九零二六七、十一点四四九二七和十九点二五一四亿，扣后核心经营利润只有六点二五五零四亿。这个桥比总净利更能显示设备周期中的费用压力，说明高毛利并非全部可供股东的收益，全球研发与销售组织消耗相当部分毛利。</w:t>
      </w:r>
    </w:p>
    <w:p>
      <w:pPr>
        <w:pStyle w:val="Normal"/>
        <w:rPr/>
      </w:pPr>
      <w:r>
        <w:rPr/>
        <w:t>年度合营企业出售收益十一点一三五三八亿，高于核心经营利润，推动持续归母净利至十点八四七九八亿。集团全口径归母九点零二零三四亿，还包括终止经营损失。审计每股盈利与持续每股盈利分别约二点一七、二点六一港元，均不能直接理解为稳定设备盈利。交易收益不重复进入下一年，若用它计算低</w:t>
      </w:r>
      <w:r>
        <w:rPr/>
        <w:t>PE</w:t>
      </w:r>
      <w:r>
        <w:rPr/>
        <w:t>后再加入全部出售资产现金，会同时高估可持续盈利和资产价值。</w:t>
      </w:r>
    </w:p>
    <w:p>
      <w:pPr>
        <w:pStyle w:val="Normal"/>
        <w:rPr/>
      </w:pPr>
      <w:r>
        <w:rPr/>
        <w:t>公司调整持续利润四点六六七三五亿，剔出售收益并调整库存、减值、重组和税等，明显低于审计持续利润。调整口径仍需逐条判断：一次重组可剔出未来，但设备企业正常库存损耗与持续组织成本不能无限称一次性。模型不机械选最高利润数字，而在活动收入毛利桥中保留常态研发、销售、管理与奖励，允许经营恢复，却要求成本与利润同时具有经济合理性。</w:t>
      </w:r>
    </w:p>
    <w:p>
      <w:pPr>
        <w:pStyle w:val="Heading2"/>
        <w:rPr/>
      </w:pPr>
      <w:r>
        <w:rPr>
          <w:color w:val="000000"/>
        </w:rPr>
        <w:t>十三 上半年利润的改善来源</w:t>
      </w:r>
    </w:p>
    <w:p>
      <w:pPr>
        <w:pStyle w:val="Normal"/>
        <w:rPr/>
      </w:pPr>
      <w:r>
        <w:rPr/>
        <w:t>重列持续上半年收入八十九点零二六亿，毛利三十六点五八五三五亿，销售八点四八八七七、管理五点九六二六六、研发十点四一七四一亿。三类费用扣后核心经营利润十一点七一六五一亿，与官方经营口径一致，显示销售扩大带来费用摊薄。半导体毛利二十三点三四五七四亿，表面贴装十三点二三九六一亿，必须先扣集团费用再估值，不能对毛利直接使用</w:t>
      </w:r>
      <w:r>
        <w:rPr/>
        <w:t>PE</w:t>
      </w:r>
      <w:r>
        <w:rPr/>
        <w:t>。</w:t>
      </w:r>
    </w:p>
    <w:p>
      <w:pPr>
        <w:pStyle w:val="Normal"/>
        <w:rPr/>
      </w:pPr>
      <w:r>
        <w:rPr/>
        <w:t>持续税前十点九零三七一亿，税三点四八七三七亿，集团持续利润七点四一六三四亿，持续归母七点四七一一一亿，少数股东贡献为负。终止</w:t>
      </w:r>
      <w:r>
        <w:rPr/>
        <w:t>NEXX</w:t>
      </w:r>
      <w:r>
        <w:rPr/>
        <w:t>损失一点五八一五五亿后，全口径归母五点八八九五六亿。集团、归母、持续、全口径是四种不同分子，不能为提高增长率交替选用。经济模型采用正常归属利润，并对有限少数股东和财资净项作显式假设。</w:t>
      </w:r>
    </w:p>
    <w:p>
      <w:pPr>
        <w:pStyle w:val="Normal"/>
        <w:rPr/>
      </w:pPr>
      <w:r>
        <w:rPr/>
        <w:t>第二季度核心经营利润七点八六四七四亿，比首季明显增加，集团毛利率约四成二四。既有较强的订单与交付改善，也有高端结构和费用杠杆，不应把单季率立即年化到所有未来销售。特别是新工具爬坡、产品结构变化、材料和客户价格可能使季度毛利变化。基准正常毛利接近实际高端能力，但费用逐年增加，乐观利润还需要更强规模和组合支持。</w:t>
      </w:r>
    </w:p>
    <w:p>
      <w:pPr>
        <w:pStyle w:val="Heading2"/>
        <w:rPr/>
      </w:pPr>
      <w:r>
        <w:rPr>
          <w:color w:val="000000"/>
        </w:rPr>
        <w:t>十四 调整定义与股权费用</w:t>
      </w:r>
    </w:p>
    <w:p>
      <w:pPr>
        <w:pStyle w:val="Normal"/>
        <w:rPr/>
      </w:pPr>
      <w:r>
        <w:rPr/>
        <w:t>上半年调整持续利润九点七二七四八亿，从集团持续利润出发，加回股份支付、重组、视同处置损失及部分减值，调整或有对价和税。二零二五调整定义没有相同单列股份支付加回，因此不能把原年度与新中期数字直接拼接成同口径增速。报表调整有说明经营趋势的用途，却不是股东无成本利润，研究保留常态奖励，确保员工报酬在每股估值中有经济负担。</w:t>
      </w:r>
    </w:p>
    <w:p>
      <w:pPr>
        <w:pStyle w:val="Normal"/>
        <w:rPr/>
      </w:pPr>
      <w:r>
        <w:rPr/>
        <w:t>上半年持续股份支付七千零九十九点三万港元，终止经营另有六百七十六点六万。非现金确认并不代表没有成本，若通过新股支付会稀释，若通过市场购股会消耗现金。公司给员工长期奖励有留才价值，但股东仍需比较增长和奖励规模。模型的常态费用保留其成本，未来经济普通股逐步增加，而不同时把费用全加回、股数固定并假设无偿取得优秀人才。</w:t>
      </w:r>
    </w:p>
    <w:p>
      <w:pPr>
        <w:pStyle w:val="Normal"/>
        <w:rPr/>
      </w:pPr>
      <w:r>
        <w:rPr/>
        <w:t>部分调整涉及资产减值和重组，未来是否真正减少需看业务处置、团队整合和产品路线。一次失败投资可以剔出短期正常利润，却反映资本配置能力，不能从治理评价中删除。若公司连续出现新减值或重组，每次都称一次性，经营质量应降分并提高必要回报。研究区分估值利润正常化与历史资本损失，前者避免噪音，后者仍影响长期风险与管理层可信度。</w:t>
      </w:r>
    </w:p>
    <w:p>
      <w:pPr>
        <w:pStyle w:val="Heading2"/>
        <w:rPr/>
      </w:pPr>
      <w:r>
        <w:rPr>
          <w:color w:val="000000"/>
        </w:rPr>
        <w:t>十五 税率与全球经营</w:t>
      </w:r>
    </w:p>
    <w:p>
      <w:pPr>
        <w:pStyle w:val="Normal"/>
        <w:rPr/>
      </w:pPr>
      <w:r>
        <w:rPr/>
        <w:t>上半年实际税约占税前利润三成二，包含德国税、前期少提和全球最低税的影响。前期少提六千一百二十七点一万、最低税补足四千六百一十五点一万港元，不能简单将全部高税视作永远不会再有。全球生产和研发布局使税率取决于利润所在地区、税务优惠、抵扣和监管。模型税率二成八为研究假设，比部分低税地区法定率高，需在后续实际中复核。</w:t>
      </w:r>
    </w:p>
    <w:p>
      <w:pPr>
        <w:pStyle w:val="Normal"/>
        <w:rPr/>
      </w:pPr>
      <w:r>
        <w:rPr/>
        <w:t>利润向德国或其他较高税地区增加时，集团有效税可能升高；研发扣除和亏损结转可能缓冲，却受条件与时效约束。最低税规则会降低只用优惠法定税率外推的可靠性。正常化不能只剔前期补税，却忽略业务成长改变利润地区和全球税负。半年与一年模型应关注现金税和有效税变化，若持续高于假设，价格需同步下修，不把税差当作可忽略的小数。</w:t>
      </w:r>
    </w:p>
    <w:p>
      <w:pPr>
        <w:pStyle w:val="Normal"/>
        <w:rPr/>
      </w:pPr>
      <w:r>
        <w:rPr/>
        <w:t>以一年基准经营利润约四十七点八五亿计算，税率每增加一个百分点，正常归属利润约减少四千七百八十五万港元，按经济股数与三十倍</w:t>
      </w:r>
      <w:r>
        <w:rPr/>
        <w:t>PE</w:t>
      </w:r>
      <w:r>
        <w:rPr/>
        <w:t>可显著影响目标价。这个敏感性说明销售强并不能完全抵消税负。研究不声称能预知税务审查，也不为所有国家单设未经披露精确利润；用显式有效税与高税压力情景，比采用单一最低法定率更容易被实际业绩验证。</w:t>
      </w:r>
    </w:p>
    <w:p>
      <w:pPr>
        <w:pStyle w:val="Heading2"/>
        <w:rPr/>
      </w:pPr>
      <w:r>
        <w:rPr>
          <w:color w:val="000000"/>
        </w:rPr>
        <w:t>十六 经营现金与资本需求</w:t>
      </w:r>
    </w:p>
    <w:p>
      <w:pPr>
        <w:pStyle w:val="Normal"/>
        <w:rPr/>
      </w:pPr>
      <w:r>
        <w:rPr/>
        <w:t>年度经营净现金二点四二五一六亿，设备现金三点八一六二七亿、设备预付一点二一零二千万、无形一点零零二零九亿，另扣租赁本金和融资支付后，研究现金代理为负六点三九八三七亿。该口径包含终止经营，且融资支付与利息分类另行记录，不称纯持续自由现金。现金弱于利润提醒投资者，资产出售和会计收益可以提高报表，却不能替代长期经营收款。</w:t>
      </w:r>
    </w:p>
    <w:p>
      <w:pPr>
        <w:pStyle w:val="Normal"/>
        <w:rPr/>
      </w:pPr>
      <w:r>
        <w:rPr/>
        <w:t>上半年经营现金七点二七二五五亿，扣设备一点三一二一六亿、设备预付五百五十一点八万、租赁本金一点零九零八八亿与融资段利息七千五百零七万后，代理四点零六三六三亿。利息收入五千三百八十九点六万列在投资活动，不混入经营现金。改善值得肯定，但代理仍含集团终止业务并非未来持续业务精确自由现金，不能将其直接年化成长期现金估值而无营运资金解释。</w:t>
      </w:r>
    </w:p>
    <w:p>
      <w:pPr>
        <w:pStyle w:val="Normal"/>
        <w:rPr/>
      </w:pPr>
      <w:r>
        <w:rPr/>
        <w:t>设备企业不是必须建设客户所有晶圆厂的重资产模式，却仍需厂房、测试、工程、服务和采购备料。上半年资本承诺设备五千六百四十六点九万、其他投资六千二百五十四点五万港元，属于已披露未来义务而非已支付现金。资本需求随新平台和订单增长变化，不能假设收入数倍而资本现金永久不动。基准盈利模型需与现金趋势交叉验证，长期回报建立在收款和资本效率共同提升。</w:t>
      </w:r>
    </w:p>
    <w:p>
      <w:pPr>
        <w:pStyle w:val="Heading2"/>
        <w:rPr/>
      </w:pPr>
      <w:r>
        <w:rPr>
          <w:color w:val="000000"/>
        </w:rPr>
        <w:t>十七 库存 应收和客户预收</w:t>
      </w:r>
    </w:p>
    <w:p>
      <w:pPr>
        <w:pStyle w:val="Normal"/>
        <w:rPr/>
      </w:pPr>
      <w:r>
        <w:rPr/>
        <w:t>六月末库存七十二点四九六零一亿、其他及贸易应收五十四点三二九五七亿港元，数额对设备经营重要。存货可能用于长交期零部件、在制品和交付，既可支持增长，也在需求变弱时形成减值。应收总额并非全是同一种信用资产，研究不在缺详细周转口径时虚构精准收款天数。观察重点是收入增加后存货与应收是否持续快于销售，以及现金能否最终追上盈利。</w:t>
      </w:r>
    </w:p>
    <w:p>
      <w:pPr>
        <w:pStyle w:val="Normal"/>
        <w:rPr/>
      </w:pPr>
      <w:r>
        <w:rPr/>
        <w:t>客户预收十九点五三零六四亿、贸易及其他应付三十二点三零五三九亿，有助支持订单履约和营运资本，但预收不能永久当无成本现金。公司要交付工具和承担服务义务，取消或延期可能影响预收处理。应付延长也可能暂时改善现金却损害供应关系。研究保留现金与毛利双重条件，不把高预收全部作为可自由分红的额外资产，也不在</w:t>
      </w:r>
      <w:r>
        <w:rPr/>
        <w:t>PE</w:t>
      </w:r>
      <w:r>
        <w:rPr/>
        <w:t>利润外再次加入未来客户付款。</w:t>
      </w:r>
    </w:p>
    <w:p>
      <w:pPr>
        <w:pStyle w:val="Normal"/>
        <w:rPr/>
      </w:pPr>
      <w:r>
        <w:rPr/>
        <w:t>若新工具验收时间拉长，收入确认与收款可能错位，库存和应收的性质需要从原始附注更新。主流工具需求下降时，高端增长未必能消化低端备料，产品间可转用程度也有边界。悲观情景因此包含固定研发和销售成本留存、毛利承压及融资净项下降。增长公司可以在订单高峰出现现金压力，投资者应把这一风险理解为经营循环的一部分，而非只在亏损时才检查。</w:t>
      </w:r>
    </w:p>
    <w:p>
      <w:pPr>
        <w:pStyle w:val="Heading2"/>
        <w:rPr/>
      </w:pPr>
      <w:r>
        <w:rPr>
          <w:color w:val="000000"/>
        </w:rPr>
        <w:t>十八 现金债务与资产价值边界</w:t>
      </w:r>
    </w:p>
    <w:p>
      <w:pPr>
        <w:pStyle w:val="Normal"/>
        <w:rPr/>
      </w:pPr>
      <w:r>
        <w:rPr/>
        <w:t>六月末现金及等价物五十一点四三五四八亿，定存七点三二三一六亿，银行债二十二点五亿港元。当前与非当前租赁义务分别一点九零九九三、十五点一五四八八亿，另有退休义务。只扣银行债所得净现金与扣租赁等义务后的流动缓冲不同，不能声称所有账面现金均可分红。存款币种、地区、营运需要和债务到期共同决定真实资金灵活性。</w:t>
      </w:r>
    </w:p>
    <w:p>
      <w:pPr>
        <w:pStyle w:val="Normal"/>
        <w:rPr/>
      </w:pPr>
      <w:r>
        <w:rPr/>
        <w:t>归母权益一百七十三点零四七三八亿，按锁定价格和九月法律股数估算市值约六百七十六点五亿、账面倍数约三点九。权益包含厂房、商誉、投资、库存和应收，不是清算时确定可以实现的现金。较高账面倍数可以由技术回报支持，若正常盈利下降则难以仅用资产保障。悲观</w:t>
      </w:r>
      <w:r>
        <w:rPr/>
        <w:t>PE</w:t>
      </w:r>
      <w:r>
        <w:rPr/>
        <w:t>价格很低时，资产估值可作为另一个交叉验证，却不能因此宣布该价格是最大损失边界。</w:t>
      </w:r>
    </w:p>
    <w:p>
      <w:pPr>
        <w:pStyle w:val="Normal"/>
        <w:rPr/>
      </w:pPr>
      <w:r>
        <w:rPr/>
        <w:t>活动</w:t>
      </w:r>
      <w:r>
        <w:rPr/>
        <w:t>PE</w:t>
      </w:r>
      <w:r>
        <w:rPr/>
        <w:t>已包含有限税后利息、联营、融资与少数股东净项，未额外加入全现金、全部关联投资或</w:t>
      </w:r>
      <w:r>
        <w:rPr/>
        <w:t>NEXX</w:t>
      </w:r>
      <w:r>
        <w:rPr/>
        <w:t>出售对价。这样避免将产生财资收益的资产重复资本化。若未来改用纯经营企业价值方法，可在剔相应利息和联营收益后单独核净债与投资，但两套方法不能取较高项任意拼接。资产价值的交叉验证与本章单套活动模型分开，确保输入刷新可追溯。</w:t>
      </w:r>
    </w:p>
    <w:p>
      <w:pPr>
        <w:pStyle w:val="Heading2"/>
        <w:rPr/>
      </w:pPr>
      <w:r>
        <w:rPr>
          <w:color w:val="000000"/>
        </w:rPr>
        <w:t xml:space="preserve">十九 </w:t>
      </w:r>
      <w:r>
        <w:rPr>
          <w:color w:val="000000"/>
        </w:rPr>
        <w:t>NEXX</w:t>
      </w:r>
      <w:r>
        <w:rPr>
          <w:color w:val="000000"/>
        </w:rPr>
        <w:t>处置的现金与留置风险</w:t>
      </w:r>
    </w:p>
    <w:p>
      <w:pPr>
        <w:pStyle w:val="Normal"/>
        <w:rPr/>
      </w:pPr>
      <w:r>
        <w:rPr/>
        <w:t>NEXX</w:t>
      </w:r>
      <w:r>
        <w:rPr/>
        <w:t>合同四月三十日签订，五月四日开市前公告，六月三日完成，六月四日开市前确认。合同总价一亿二千万美元，其中一千八百万美元留置十八个月。中期确认净交易对价八点五一零九二亿港元，已收净交易七点一零零五一亿、递延一点四一零四一亿。扣被售企业现金后实际净现金四点九二三三五亿，不能把合同总价当全部新增可自由使用资金。</w:t>
      </w:r>
    </w:p>
    <w:p>
      <w:pPr>
        <w:pStyle w:val="Normal"/>
        <w:rPr/>
      </w:pPr>
      <w:r>
        <w:rPr/>
        <w:t>留置款预计在二零二七年十二月三日前按赔偿条件支付，仍取决于索赔与交易约定。它并非普通长期销售应收，也不是截止日已收现金，不能用于提前计算分红。处置收益一千三百七十二点二万港元属暂态，从正常经营利润剔出；出售前运行损失与收益合并形成终止经营亏损。未来收入不再包含</w:t>
      </w:r>
      <w:r>
        <w:rPr/>
        <w:t>NEXX</w:t>
      </w:r>
      <w:r>
        <w:rPr/>
        <w:t>，亏损减少的改善要与已失去的资产和实际对价一起理解。</w:t>
      </w:r>
    </w:p>
    <w:p>
      <w:pPr>
        <w:pStyle w:val="Normal"/>
        <w:rPr/>
      </w:pPr>
      <w:r>
        <w:rPr/>
        <w:t>处置有助聚焦业务与减少持续亏损，仍需验证管理层如何使用资金，以及是否存在后续保证和赔偿。交易不是先进封装整体放弃，也不能据一次处置推断所有资产都将出售。若资金被用于高回报研发、减少风险或分配，股东价值可能改善；若继续投资缺少纪律，处置现金未必提高每股回报。长期资本配置评分保留这一不确定性，而不把任何出售公告都自动视为积极催化。</w:t>
      </w:r>
    </w:p>
    <w:p>
      <w:pPr>
        <w:pStyle w:val="Heading2"/>
        <w:rPr/>
      </w:pPr>
      <w:r>
        <w:rPr>
          <w:color w:val="000000"/>
        </w:rPr>
        <w:t>二十 停止并表与关联投资</w:t>
      </w:r>
    </w:p>
    <w:p>
      <w:pPr>
        <w:pStyle w:val="Normal"/>
        <w:rPr/>
      </w:pPr>
      <w:r>
        <w:rPr/>
        <w:t>六月二十六日</w:t>
      </w:r>
      <w:r>
        <w:rPr/>
        <w:t>SWAT</w:t>
      </w:r>
      <w:r>
        <w:rPr/>
        <w:t>停止并表，视同处置亏损一点五二五一九亿港元，原权益储备二点五四九五四亿转入留存收益。储备转移属于权益内部重新分类，不是新现金利润，不能与处置亏损相抵后制造经营收益。处置产生现金流出八千四百一十二点六万，亦需纳入资本配置观察。模型正常化剔处置噪音，但不抹除历史资金损失对治理质量的影响。</w:t>
      </w:r>
    </w:p>
    <w:p>
      <w:pPr>
        <w:pStyle w:val="Normal"/>
        <w:rPr/>
      </w:pPr>
      <w:r>
        <w:rPr/>
        <w:t>上半年联营收益三千九百零九点二万，来自已披露投资的权益法归属，与全部被投企业净利或总市值不同。活动模型包含有限税后联营及财资净项，不能再把被投企业全部市值加入目标价。对关联投资应确认持股、限制、税费和可实现价值，公开市场价格只能作为参考。尚未取得新的截止股权和交易文件时，不根据新闻概念替公司补造可以出售的精确资产组合。</w:t>
      </w:r>
    </w:p>
    <w:p>
      <w:pPr>
        <w:pStyle w:val="Normal"/>
        <w:rPr/>
      </w:pPr>
      <w:r>
        <w:rPr/>
        <w:t>投资会带来技术生态和财务收益，也会分散管理精力、承受估值和治理风险。设备公司核心回报仍应来自工具、工程和服务，若利润越来越依赖关联资产出售，正常盈利质量就需重评。研究在成熟盈利模型中保留少量财资贡献，而不让它主导成长。三年和五年反证包括持续非核心投资损失、频繁处置掩盖核心下降及管理层资本使用不透明，均会降低推荐质量。</w:t>
      </w:r>
    </w:p>
    <w:p>
      <w:pPr>
        <w:pStyle w:val="Heading2"/>
        <w:rPr/>
      </w:pPr>
      <w:r>
        <w:rPr>
          <w:color w:val="000000"/>
        </w:rPr>
        <w:t>二十一 股数 信托奖励与分红</w:t>
      </w:r>
    </w:p>
    <w:p>
      <w:pPr>
        <w:pStyle w:val="Normal"/>
        <w:rPr/>
      </w:pPr>
      <w:r>
        <w:rPr/>
        <w:t>九月月报法律已发行普通股四亿一千九百四十万八千二百三十三，法律库存为零；上半年加权基本约四点一七七二五亿、摊薄四点一八六二七亿。法律、期间加权和未来经济普通股不同，不能选择最小数字永久计算</w:t>
      </w:r>
      <w:r>
        <w:rPr/>
        <w:t>EPS</w:t>
      </w:r>
      <w:r>
        <w:rPr/>
        <w:t>。模型基准从年底约四点二一亿逐步到五年四点四亿，包含常态奖励和经济稀释假设。未批准回购或未完成注销不被假设自动抵消。</w:t>
      </w:r>
    </w:p>
    <w:p>
      <w:pPr>
        <w:pStyle w:val="Normal"/>
        <w:rPr/>
      </w:pPr>
      <w:r>
        <w:rPr/>
        <w:t>五月员工奖励包含约一百五十一万七千三百股，归属涉及当年和以后数年，有绩效与留才不同条件。八月另授董事兼新任行政总裁五万九千五百股，其中绩效一万七千七百、留才四万一千八百，由信托在市场购买而非直接新发行。剩余可授额度二千三百九十八万余股是上限，并非已经授予或必然增加分母。股权费用与股数需对应，不能把所有额度立即算稀释又重复计现金购股。</w:t>
      </w:r>
    </w:p>
    <w:p>
      <w:pPr>
        <w:pStyle w:val="Normal"/>
        <w:rPr/>
      </w:pPr>
      <w:r>
        <w:rPr/>
        <w:t>年度末期零点三四和特别零点七九港元五月十二日除息、五月二十九日支付；中期零点九七八月十一日除息、八月三十一日支付，均早于十月基准。新买入者的未来回报不含这些已付现金，特别息也不必持续。未来累计分红是模型假设，半年保守零，一年以后随盈利和资金能力增加。分红承诺需在新公告确认，不能为了提高回报把过去现金和未来股价重复相加。</w:t>
      </w:r>
    </w:p>
    <w:p>
      <w:pPr>
        <w:pStyle w:val="Heading2"/>
        <w:rPr/>
      </w:pPr>
      <w:r>
        <w:rPr>
          <w:color w:val="000000"/>
        </w:rPr>
        <w:t>二十二 利率 汇率与资本支出传导</w:t>
      </w:r>
    </w:p>
    <w:p>
      <w:pPr>
        <w:pStyle w:val="Normal"/>
        <w:rPr/>
      </w:pPr>
      <w:r>
        <w:rPr/>
        <w:t>客户的数据中心和电子产线投资取决于资本成本、预期需求与项目回报。利率下降可能支持预算和成长估值，也可能发生在经济转弱时，客户仍缩减采购。公司自身债务、存款和多币种经营受利率影响，财资收益方向不一定与估值方向相同。半年研究应把利率影响拆成客户预算、融资成本与市场</w:t>
      </w:r>
      <w:r>
        <w:rPr/>
        <w:t>PE</w:t>
      </w:r>
      <w:r>
        <w:rPr/>
        <w:t>，而不是用单一降息新闻直接提高全部收入与目标价。</w:t>
      </w:r>
    </w:p>
    <w:p>
      <w:pPr>
        <w:pStyle w:val="Normal"/>
        <w:rPr/>
      </w:pPr>
      <w:r>
        <w:rPr/>
        <w:t>公司财务统一港币，但销售、采购、工资和现金在美元、欧元、人民币等币种间分布。欧元或人民币变化可以影响费用和折算，客户最终电子产品需求又可能受本地购买力影响。中期净收益含外汇远期变化，不能机械当长期高毛利。模型财资净项有限，保留汇率波动压力；没有完整敞口时不宣称港币报告货币意味着没有经营汇率风险。</w:t>
      </w:r>
    </w:p>
    <w:p>
      <w:pPr>
        <w:pStyle w:val="Normal"/>
        <w:rPr/>
      </w:pPr>
      <w:r>
        <w:rPr/>
        <w:t>人民币投资者另外承受港币兑人民币变化，港币本币目标不因此改成另一套公司盈利。总回报换算应使用本币资产回报与汇率乘积，不能简单相加或把人民币升值称公司盈利下降。客户资本开支还受电力、算力利用、材料交期和法规影响，投资总规模大不等于设备及时验收。各期限评估重点是这些约束如何影响订单、毛利、现金和估值，而不是共用宏观方向替代公司证据。</w:t>
      </w:r>
    </w:p>
    <w:p>
      <w:pPr>
        <w:pStyle w:val="Heading2"/>
        <w:rPr/>
      </w:pPr>
      <w:r>
        <w:rPr>
          <w:color w:val="000000"/>
        </w:rPr>
        <w:t>二十三 政策 出口与竞争风险</w:t>
      </w:r>
    </w:p>
    <w:p>
      <w:pPr>
        <w:pStyle w:val="Normal"/>
        <w:rPr/>
      </w:pPr>
      <w:r>
        <w:rPr/>
        <w:t>先进工具跨地区交付可能涉及出口许可、技术限制和客户资格，具体规则依工具技术、来源与目的而异。公司地区收入无法直接对应全部受限工具，研究不声称某项限制必然影响全部销售。政策扩大时可能造成延期、供应链调整和研发成本，也可能催生替代需求；净效果需要订单与毛利证据。三年和五年风险分保留全球监管变化，不把未知规则精确折算成固定损失率。</w:t>
      </w:r>
    </w:p>
    <w:p>
      <w:pPr>
        <w:pStyle w:val="Normal"/>
        <w:rPr/>
      </w:pPr>
      <w:r>
        <w:rPr/>
        <w:t>中国供应商在成熟固晶、焊线和部分高端路线持续投入，客户也愿意提高供应安全与价格竞争。</w:t>
      </w:r>
      <w:r>
        <w:rPr/>
        <w:t>ASMPT</w:t>
      </w:r>
      <w:r>
        <w:rPr/>
        <w:t>的全球经验和工艺能力有优势，客户第二供应和国产替代仍可能降低价格与份额。自主研发增加行业工具能力，也会压缩领先者超额回报。模型远期</w:t>
      </w:r>
      <w:r>
        <w:rPr/>
        <w:t>PE</w:t>
      </w:r>
      <w:r>
        <w:rPr/>
        <w:t>下降，毛利未无限扩张，反映技术成熟和竞争；若份额证据恶化，应下修收入与利润，不能只用市场增长抵消。</w:t>
      </w:r>
    </w:p>
    <w:p>
      <w:pPr>
        <w:pStyle w:val="Normal"/>
        <w:rPr/>
      </w:pPr>
      <w:r>
        <w:rPr/>
        <w:t>政策还涉及税、劳动、知识产权、网络与客户数据、跨国生产和投资审查。全球组织可以分散产地，却需要维护多个制度下的合规与现场能力。没有具体争议时不为公司设未经证实的处罚金额，亦不把所有支出都视为可剔除异常成本。持续合规和工程支持属于经营必要成本，长期投资质量取决于它们能否在合理资本回报下被客户愿意支付的技术价值覆盖。</w:t>
      </w:r>
    </w:p>
    <w:p>
      <w:pPr>
        <w:pStyle w:val="Heading2"/>
        <w:rPr/>
      </w:pPr>
      <w:r>
        <w:rPr>
          <w:color w:val="000000"/>
        </w:rPr>
        <w:t>二十四 日线均线与趋势证据</w:t>
      </w:r>
    </w:p>
    <w:p>
      <w:pPr>
        <w:pStyle w:val="Normal"/>
        <w:rPr/>
      </w:pPr>
      <w:r>
        <w:rPr/>
        <w:t>复权日线共有七百三十九个真实交易观察，按基准日名义价格归一。二十、六十、一百二十和二百五十日均线分别约一百六十五点六三、一百六十二点九七、一百七十二点六三和一百三十点九七港元；現价低于前三者，高于长期均线约两成三。这个结构支持长线升幅后的调整，不能直接叫所有均线多头排列或已确认突破，也不能仅因高于长期均线忽略短中期压力。</w:t>
      </w:r>
    </w:p>
    <w:p>
      <w:pPr>
        <w:pStyle w:val="Normal"/>
        <w:rPr/>
      </w:pPr>
      <w:r>
        <w:rPr/>
        <w:t>五个观察日的均线变动，二十日约升一点一八个百分点，六十日降零点六五，一百二十升一点一一，二百五十升一点四二。均线窗口不同、滞后不同，短期小幅上扬与价格仍在其下可以同时出现。现价距二十线约负二点六一、六十线负一点零三、一百二十线负六点五六，重返这些区域是观察条件，不是只要接近均线就必然获得支撑的因果结论。</w:t>
      </w:r>
    </w:p>
    <w:p>
      <w:pPr>
        <w:pStyle w:val="Normal"/>
        <w:rPr/>
      </w:pPr>
      <w:r>
        <w:rPr/>
        <w:t>近二十日回报负二点二四、六十日负八点六零，一百二十日正一成八、二百五十日接近九成二，说明此前积累很大涨幅。五十二周复权高约二百四十二点九八、低六十八点零五，现价距高低不同，最高日线回撤约四成三四。高点只是历史交易结果，不是估值锚或必然回归价格。短期技术得分中等，以反弹与震荡判断为主，不因远期盈利乐观把当前图形描述得更强。</w:t>
      </w:r>
    </w:p>
    <w:p>
      <w:pPr>
        <w:pStyle w:val="Heading2"/>
        <w:rPr/>
      </w:pPr>
      <w:r>
        <w:rPr>
          <w:color w:val="000000"/>
        </w:rPr>
        <w:t>二十五 成交量 成交额与观察条件</w:t>
      </w:r>
    </w:p>
    <w:p>
      <w:pPr>
        <w:pStyle w:val="Normal"/>
        <w:rPr/>
      </w:pPr>
      <w:r>
        <w:rPr/>
        <w:t>基准日成交二百八十六万一千九百四十五股，成交额约四亿五千三百三十四点六万港元，原始股数单位已经核验。五、二十和六十日均量约二百二十一点六、二百二十六点一、二百八十五点一万股。量比约一点三二使用此前二十日均量，不把包含当日的均量混成同一分母。量较短期均值增加，却接近六十日水平，不能仅此断言大资金持续流入。</w:t>
      </w:r>
    </w:p>
    <w:p>
      <w:pPr>
        <w:pStyle w:val="Normal"/>
        <w:rPr/>
      </w:pPr>
      <w:r>
        <w:rPr/>
        <w:t>近二十个交易日上涨八日、下跌十二日，上涨日量约二千一百三十五点三万股、下跌日二千三百八十七点三万，上下量比约零点八九。数据按收盘方向分组，不能识别主动买卖、机构身份或盘中资金意图。下跌量略多使突破质量仍需观察，但单一统计并不证明派发；量价解释与均线及相对表现结合，避免把类似动量指标重复给予独立高分。</w:t>
      </w:r>
    </w:p>
    <w:p>
      <w:pPr>
        <w:pStyle w:val="Normal"/>
        <w:rPr/>
      </w:pPr>
      <w:r>
        <w:rPr/>
        <w:t>若价格重收一百七十三附近中期均线，再突破一百八十二至一百八十四观察带，应看成交额与量是否高于此前常态、上涨能否持续以及回踩是否稳定。相反跌破一百五十三附近后，若反弹量弱且下跌放量，短期修复逻辑失效。没有逐笔、完整换手和精确筹码信息，本章不画声称真实成本密集区，也不从日线量直接断言主力吸筹。技术条件是可证伪观察，非机械买卖承诺。</w:t>
      </w:r>
    </w:p>
    <w:p>
      <w:pPr>
        <w:pStyle w:val="Heading2"/>
        <w:rPr/>
      </w:pPr>
      <w:r>
        <w:rPr>
          <w:color w:val="000000"/>
        </w:rPr>
        <w:t>二十六 周线与相对强弱</w:t>
      </w:r>
    </w:p>
    <w:p>
      <w:pPr>
        <w:pStyle w:val="Normal"/>
        <w:rPr/>
      </w:pPr>
      <w:r>
        <w:rPr/>
        <w:t>周线共一百五十七个观察，二十、六十和一百二十周均线约一百七十三点零六、一百二十三点八五、九十七点六三港元，二百五十周历史不足不补造。现价低于二十周，明显高于较长期周线；二十周斜率略负，六十与一百二十周仍升。周线指向长期上行中的回调，日线相同方向并不作为两份独立成长证据，只用于区分交易节奏与长期结构。</w:t>
      </w:r>
    </w:p>
    <w:p>
      <w:pPr>
        <w:pStyle w:val="Normal"/>
        <w:rPr/>
      </w:pPr>
      <w:r>
        <w:rPr/>
        <w:t>最近一周量比约零点六二，近二十周上涨与下跌量比约一点零三，接近均衡。国庆周交易日数受休市影响，周量少不能直接解释为所有投资者撤退。周指标</w:t>
      </w:r>
      <w:r>
        <w:rPr/>
        <w:t>MACD</w:t>
      </w:r>
      <w:r>
        <w:rPr/>
        <w:t>仍在正的差值区域但柱值负，反映较长动量减弱，日线微小正柱不足以完全改变周调整。周线需要价格重新收复短周均线和多周量价确认，不把单日反弹当中期新趋势建立。</w:t>
      </w:r>
    </w:p>
    <w:p>
      <w:pPr>
        <w:pStyle w:val="Normal"/>
        <w:rPr/>
      </w:pPr>
      <w:r>
        <w:rPr/>
        <w:t>二十日相对恒生指数略强约零点七四个百分点，六十日相对弱约五点四一；对恒生科技粗基准二十日强零点八二、六十日强四点五七。恒生科技并非专属半导体设备指数，其互联网和硬件权重会影响比较，不能声称公司击败全球同类设备。相对强弱混合支持中等技术评分，行业逻辑虽强，短期市场资金是否愿意重新支付高增长估值仍需验证。</w:t>
      </w:r>
    </w:p>
    <w:p>
      <w:pPr>
        <w:pStyle w:val="Heading2"/>
        <w:rPr/>
      </w:pPr>
      <w:r>
        <w:rPr>
          <w:color w:val="000000"/>
        </w:rPr>
        <w:t>二十七 支撑 阻力与辅助指标</w:t>
      </w:r>
    </w:p>
    <w:p>
      <w:pPr>
        <w:pStyle w:val="Normal"/>
        <w:rPr/>
      </w:pPr>
      <w:r>
        <w:rPr/>
        <w:t>近二十日最低一百五十三点二、最高一百八十二港元，距现价约负五点零二与正十二点八三；六十日最低复权一百二十五点二七、最高一百八十四点一，距离约负两成二三与正一成四一。它们属于窗口最高最低观察位，没有经过多次触碰筛选，不能称绝对支撑。跌破后可能跳空或继续下跌，上行触及也可能是假突破，资金安排应与公司价值和波动能力结合。</w:t>
      </w:r>
    </w:p>
    <w:p>
      <w:pPr>
        <w:pStyle w:val="Normal"/>
        <w:rPr/>
      </w:pPr>
      <w:r>
        <w:rPr/>
        <w:t>日线</w:t>
      </w:r>
      <w:r>
        <w:rPr/>
        <w:t>RSI</w:t>
      </w:r>
      <w:r>
        <w:rPr/>
        <w:t>约四十六点一六，处中性偏弱；</w:t>
      </w:r>
      <w:r>
        <w:rPr/>
        <w:t>MACD</w:t>
      </w:r>
      <w:r>
        <w:rPr/>
        <w:t>差值约一点三六、信号一点三四六，双倍柱约零点零三，接近零而非强动量。</w:t>
      </w:r>
      <w:r>
        <w:rPr/>
        <w:t>ATR</w:t>
      </w:r>
      <w:r>
        <w:rPr/>
        <w:t>约八点八八港元、占价五点五零，提示正常波动已不小。指标描述趋势和波动，不提供独立获利概率，</w:t>
      </w:r>
      <w:r>
        <w:rPr/>
        <w:t>RSI</w:t>
      </w:r>
      <w:r>
        <w:rPr/>
        <w:t>、</w:t>
      </w:r>
      <w:r>
        <w:rPr/>
        <w:t>MACD</w:t>
      </w:r>
      <w:r>
        <w:rPr/>
        <w:t>、均线不能因相近信息被三次加分。技术主结论仍由价位、成交与相对表现共同形成。</w:t>
      </w:r>
    </w:p>
    <w:p>
      <w:pPr>
        <w:pStyle w:val="Normal"/>
        <w:rPr/>
      </w:pPr>
      <w:r>
        <w:rPr/>
        <w:t>半年判断成立需观察一百五十三附近是否有效稳定，随后收复一百六十三至一百七十三带并提高上涨持续性。若订单和盈利兑现却价格持续低于中期均线、弱于市场，应检查估值或潜在预期差，而非认定市场必然错误。若股价上涨但毛利现金恶化，也应降低基本面信心。技术失效不自动推翻十年工艺需求，却会改变半年评分、入场条件与持有波动的成本。</w:t>
      </w:r>
    </w:p>
    <w:p>
      <w:pPr>
        <w:pStyle w:val="Heading2"/>
        <w:rPr/>
      </w:pPr>
      <w:r>
        <w:rPr>
          <w:color w:val="000000"/>
        </w:rPr>
        <w:t>二十八 活动估值与正常盈利桥</w:t>
      </w:r>
    </w:p>
    <w:p>
      <w:pPr>
        <w:pStyle w:val="Normal"/>
        <w:rPr/>
      </w:pPr>
      <w:r>
        <w:rPr/>
        <w:t>活动模型以目标时点未来十二个月的半导体与表面贴装收入，各乘正常毛利，扣持续研发、销售和管理，再按二成八税率计算，加入有限税后财资、联营、少数股东及融资净项，除经济普通股乘合理</w:t>
      </w:r>
      <w:r>
        <w:rPr/>
        <w:t>PE</w:t>
      </w:r>
      <w:r>
        <w:rPr/>
        <w:t>。这里财资字段是研究净项，不是报表某一原始单行。全部港币，无人民币兑港币转换；</w:t>
      </w:r>
      <w:r>
        <w:rPr/>
        <w:t>EPS</w:t>
      </w:r>
      <w:r>
        <w:rPr/>
        <w:t>保留六位、目标价两位，回报从锁定现价重新计算。</w:t>
      </w:r>
    </w:p>
    <w:p>
      <w:pPr>
        <w:pStyle w:val="Normal"/>
        <w:rPr/>
      </w:pPr>
      <w:r>
        <w:rPr/>
        <w:t>年底基准收入二百零一亿港元，半导体一百一十五亿、表面贴装八十六亿，毛利率分别四成六、三成五，扣研发二十一点五亿、销售十七点五亿、管理十二点二亿，核心经营利润三十一点八亿。税后加二千万净项、除四点二一亿股，</w:t>
      </w:r>
      <w:r>
        <w:rPr/>
        <w:t>EPS</w:t>
      </w:r>
      <w:r>
        <w:rPr/>
        <w:t>约五点四八六港元、</w:t>
      </w:r>
      <w:r>
        <w:rPr/>
        <w:t>PE</w:t>
      </w:r>
      <w:r>
        <w:rPr/>
        <w:t>二十九得一百五十九点零九。它是年底观察时点前瞻盈利估值，非二零二六已经审计全年净利。</w:t>
      </w:r>
    </w:p>
    <w:p>
      <w:pPr>
        <w:pStyle w:val="Normal"/>
        <w:rPr/>
      </w:pPr>
      <w:r>
        <w:rPr/>
        <w:t>一年基准收入二百五十五亿，半导体一百五十、表面贴装一百零五亿；正常毛利四成七五、三成六，持续费用六十一点二亿，核心利润四十七点八五亿。税后加三千万、除四点二四亿股，</w:t>
      </w:r>
      <w:r>
        <w:rPr/>
        <w:t>EPS</w:t>
      </w:r>
      <w:r>
        <w:rPr/>
        <w:t>约八点一九六、</w:t>
      </w:r>
      <w:r>
        <w:rPr/>
        <w:t>PE</w:t>
      </w:r>
      <w:r>
        <w:rPr/>
        <w:t>三十得二百四十五点八九。增长与费用杠杆假设较进取，不能称投行一致共识；到目标日需以实际新财报、订单和现金支持该未来十二个月盈利。</w:t>
      </w:r>
    </w:p>
    <w:p>
      <w:pPr>
        <w:pStyle w:val="Heading2"/>
        <w:rPr/>
      </w:pPr>
      <w:r>
        <w:rPr>
          <w:color w:val="000000"/>
        </w:rPr>
        <w:t>二十九 当前估值与敏感性</w:t>
      </w:r>
    </w:p>
    <w:p>
      <w:pPr>
        <w:pStyle w:val="Normal"/>
        <w:rPr/>
      </w:pPr>
      <w:r>
        <w:rPr/>
        <w:t>当前价除原年度持续审计</w:t>
      </w:r>
      <w:r>
        <w:rPr/>
        <w:t>EPS</w:t>
      </w:r>
      <w:r>
        <w:rPr/>
        <w:t>约六十一点八倍，除全口径</w:t>
      </w:r>
      <w:r>
        <w:rPr/>
        <w:t>EPS</w:t>
      </w:r>
      <w:r>
        <w:rPr/>
        <w:t>约七十四点三倍，但两个分子都受处置和终止业务影响。上半年持续</w:t>
      </w:r>
      <w:r>
        <w:rPr/>
        <w:t>EPS</w:t>
      </w:r>
      <w:r>
        <w:rPr/>
        <w:t>简单乘二约三点五八，表观约四十五倍；调整持续</w:t>
      </w:r>
      <w:r>
        <w:rPr/>
        <w:t>EPS</w:t>
      </w:r>
      <w:r>
        <w:rPr/>
        <w:t>乘二约四点六八，表观三十四点五倍，又涉及股权费加回与季节性。不同倍数不是可任意挑选的便宜证明，正常模型需要完整收入成本桥，不能把最低表观</w:t>
      </w:r>
      <w:r>
        <w:rPr/>
        <w:t>PE</w:t>
      </w:r>
      <w:r>
        <w:rPr/>
        <w:t>当最终结论。</w:t>
      </w:r>
    </w:p>
    <w:p>
      <w:pPr>
        <w:pStyle w:val="Normal"/>
        <w:rPr/>
      </w:pPr>
      <w:r>
        <w:rPr/>
        <w:t>以一年基准</w:t>
      </w:r>
      <w:r>
        <w:rPr/>
        <w:t>EPS</w:t>
      </w:r>
      <w:r>
        <w:rPr/>
        <w:t>八点一九六观察，</w:t>
      </w:r>
      <w:r>
        <w:rPr/>
        <w:t>PE</w:t>
      </w:r>
      <w:r>
        <w:rPr/>
        <w:t>二十五、三十和三十五会形成约二百零四点九、二百四十五点九和二百八十六点九港元。若盈利不达而</w:t>
      </w:r>
      <w:r>
        <w:rPr/>
        <w:t>PE</w:t>
      </w:r>
      <w:r>
        <w:rPr/>
        <w:t>也收缩，价格下降会被两因素共同放大。当前价对应年底前瞻基准约二十九点四倍，已经要求明显盈利改善，短期安全边际不是单纯从历史高点跌幅推得。估值应与正常现金回报和同类工具质量比较，而非仅凭成长行业名称。</w:t>
      </w:r>
    </w:p>
    <w:p>
      <w:pPr>
        <w:pStyle w:val="Normal"/>
        <w:rPr/>
      </w:pPr>
      <w:r>
        <w:rPr/>
        <w:t>一年基准半导体毛利每变一个百分点，税后每股约变零点二五五港元、三十倍目标约变七点六四；表面贴装一个点约影响五点三五港元。常态成本增加一亿、税后净项不变时，目标约减少五点一港元；股数增多也会减</w:t>
      </w:r>
      <w:r>
        <w:rPr/>
        <w:t>EPS</w:t>
      </w:r>
      <w:r>
        <w:rPr/>
        <w:t>。敏感性揭示盈利来源，不能只给单点目标却不解释哪些成本最关键。高端组合不及预期应改毛利，不能仍保留原</w:t>
      </w:r>
      <w:r>
        <w:rPr/>
        <w:t>EPS</w:t>
      </w:r>
      <w:r>
        <w:rPr/>
        <w:t>而仅降评分。</w:t>
      </w:r>
    </w:p>
    <w:p>
      <w:pPr>
        <w:pStyle w:val="Heading2"/>
        <w:rPr/>
      </w:pPr>
      <w:r>
        <w:rPr>
          <w:color w:val="000000"/>
        </w:rPr>
        <w:t>三十 年底情景与判断权重</w:t>
      </w:r>
    </w:p>
    <w:p>
      <w:pPr>
        <w:pStyle w:val="Normal"/>
        <w:rPr/>
      </w:pPr>
      <w:r>
        <w:rPr/>
        <w:t>年底悲观收入一百六十七亿，毛利约六十二点七四亿，持续费用五十点七亿后核心利润十二点零四亿；净项为负、股数增加，</w:t>
      </w:r>
      <w:r>
        <w:rPr/>
        <w:t>EPS</w:t>
      </w:r>
      <w:r>
        <w:rPr/>
        <w:t>约一点八三，</w:t>
      </w:r>
      <w:r>
        <w:rPr/>
        <w:t>PE</w:t>
      </w:r>
      <w:r>
        <w:rPr/>
        <w:t>十八得到三十二点九四港元。这个情景假设增长预期显著落空、成本难缩与估值同时重估，跌幅近八成，属于结构压力而非日常波动预测。资产回收与其他可能结果未定义损失底线，不能用它代表最大跌幅。</w:t>
      </w:r>
    </w:p>
    <w:p>
      <w:pPr>
        <w:pStyle w:val="Normal"/>
        <w:rPr/>
      </w:pPr>
      <w:r>
        <w:rPr/>
        <w:t>年底基准一百五十九点零九、乐观二百六十一点四三分别对应正常订单转化及更高交付组合与估值。乐观收入二百二十一亿，核心利润四十一点二五亿、</w:t>
      </w:r>
      <w:r>
        <w:rPr/>
        <w:t>EPS</w:t>
      </w:r>
      <w:r>
        <w:rPr/>
        <w:t>七点二六二、</w:t>
      </w:r>
      <w:r>
        <w:rPr/>
        <w:t>PE</w:t>
      </w:r>
      <w:r>
        <w:rPr/>
        <w:t>三十六，需要强盈利及市场认可共同发生。距离年底只有有限交易期，订单、指引、市场利率和技术修复更关键；机构一年目标不按剩余月份线性缩放，也不直接替年底信息集估值。</w:t>
      </w:r>
    </w:p>
    <w:p>
      <w:pPr>
        <w:pStyle w:val="Normal"/>
        <w:rPr/>
      </w:pPr>
      <w:r>
        <w:rPr/>
        <w:t>采用悲观四分之一、基准二分之一、乐观四分之一，期望一百五十三点一三七五港元，较现价负五点零六。权重是研究判断，没有统计估计的事件概率；防御与积极权重可使期望变为一百一十八点八六四或一百八十七点四一一。年底期望负而一年成长分高并不矛盾，短期价格已反映较多预期，远期需盈利兑现。不能只展示乐观上涨而隐藏权重和极端经营失败的影响。</w:t>
      </w:r>
    </w:p>
    <w:p>
      <w:pPr>
        <w:pStyle w:val="Heading2"/>
        <w:rPr/>
      </w:pPr>
      <w:r>
        <w:rPr>
          <w:color w:val="000000"/>
        </w:rPr>
        <w:t>三十一 半年投资逻辑与失败路径</w:t>
      </w:r>
    </w:p>
    <w:p>
      <w:pPr>
        <w:pStyle w:val="Normal"/>
        <w:rPr/>
      </w:pPr>
      <w:r>
        <w:rPr/>
        <w:t>半年基准目标一百九十九点五八港元，价幅两成三七，前瞻收入二百二十二亿、核心利润三十八点六四四五亿、</w:t>
      </w:r>
      <w:r>
        <w:rPr/>
        <w:t>EPS</w:t>
      </w:r>
      <w:r>
        <w:rPr/>
        <w:t>六点六五二七，</w:t>
      </w:r>
      <w:r>
        <w:rPr/>
        <w:t>PE</w:t>
      </w:r>
      <w:r>
        <w:rPr/>
        <w:t>三十。收益来自完整业绩确认、订单转化和适度利润杠杆，技术若收复中期均线可改善市场接受度。半年保守不假设尚未宣布并支付的新股息，也不把</w:t>
      </w:r>
      <w:r>
        <w:rPr/>
        <w:t>SMT</w:t>
      </w:r>
      <w:r>
        <w:rPr/>
        <w:t>潜在交易当必需增值，主要催化来自可以在报告和订单中检验的经营事实。</w:t>
      </w:r>
    </w:p>
    <w:p>
      <w:pPr>
        <w:pStyle w:val="Normal"/>
        <w:rPr/>
      </w:pPr>
      <w:r>
        <w:rPr/>
        <w:t>半年悲观二十一点九一、乐观三百三十点零九，分别体现资本周期下滑与强交付增长，范围很宽，不能解释为未来价格一定被夹在其中。悲观正常费用留存使利润对毛利高度敏感，乐观则需要</w:t>
      </w:r>
      <w:r>
        <w:rPr/>
        <w:t>TCB</w:t>
      </w:r>
      <w:r>
        <w:rPr/>
        <w:t>、光子和表面贴装共同扩张。价格短期可能因情绪高于盈利支持，也可能出现跳空跌幅超情景。评价进取候选需同时看基准空间与结构风险，不能把高上涨倍数当无代价机会。</w:t>
      </w:r>
    </w:p>
    <w:p>
      <w:pPr>
        <w:pStyle w:val="Normal"/>
        <w:rPr/>
      </w:pPr>
      <w:r>
        <w:rPr/>
        <w:t>半年评分七十一点八，估值三点四、技术三、经营四点二、行业四点三、催化四点四、风险三点四，按约定权重。技术没有满分因为短中均线未全收复，风险因订单现金和税负保留折扣。若收入连续低于指引且取消增多、毛利无法维持、营运现金与存货恶化，基本面评分应降；若只是交期延后但订单与现金稳定，可调整时间而非简单坚持原目标。</w:t>
      </w:r>
    </w:p>
    <w:p>
      <w:pPr>
        <w:pStyle w:val="Heading2"/>
        <w:rPr/>
      </w:pPr>
      <w:r>
        <w:rPr>
          <w:color w:val="000000"/>
        </w:rPr>
        <w:t>三十二 一年投资逻辑与机构参照</w:t>
      </w:r>
    </w:p>
    <w:p>
      <w:pPr>
        <w:pStyle w:val="Normal"/>
        <w:rPr/>
      </w:pPr>
      <w:r>
        <w:rPr/>
        <w:t>一年基准二百四十五点八九港元，股价空间五成二四，累计现金一港元五角使总回报五成三四。重点是正常归属盈利而非审计处置收益，目标时点未来十二个月收入和毛利需由当时可见订单支持。基准</w:t>
      </w:r>
      <w:r>
        <w:rPr/>
        <w:t>EPS</w:t>
      </w:r>
      <w:r>
        <w:rPr/>
        <w:t>比部分机构二零二七预测更高，但目标观察期也更晚，不能把两者直接称同年度分歧。模型本身仍进取，若订单和工艺采用较慢，应下修而不是借时间口径掩盖。</w:t>
      </w:r>
    </w:p>
    <w:p>
      <w:pPr>
        <w:pStyle w:val="Normal"/>
        <w:rPr/>
      </w:pPr>
      <w:r>
        <w:rPr/>
        <w:t>一年悲观十五点五、乐观四百一十九点六，对应</w:t>
      </w:r>
      <w:r>
        <w:rPr/>
        <w:t>PE</w:t>
      </w:r>
      <w:r>
        <w:rPr/>
        <w:t>十六和三十五，</w:t>
      </w:r>
      <w:r>
        <w:rPr/>
        <w:t>EPS</w:t>
      </w:r>
      <w:r>
        <w:rPr/>
        <w:t>约零点九六九与十一点九九。悲观并非销售归零，而是份额、利用率和毛利失利、持续成本与稀释共同挤压股东盈利；乐观则需收入三百零五亿、高端组合和费用效率显著兑现。两端都不是机构目标的简单最小最大，独立经营假设决定价格，不能把投行评级当作替代现金和利润桥的证据。</w:t>
      </w:r>
    </w:p>
    <w:p>
      <w:pPr>
        <w:pStyle w:val="Normal"/>
        <w:rPr/>
      </w:pPr>
      <w:r>
        <w:rPr/>
        <w:t>一年得分七十八点八，经营与行业权重提高，技术降低。应观察订单转收入、核心利润率、现金代理、正常税、研发转化和客户重复购买，能否形成可持续质量。若增长只有主流低价设备、先进工具认证停滞，集团收入强也需降低远期毛利假设；若财资或交易贡献占净利过高，正常盈利应重新定义。四期限排名最终由总表比较不同公司，不能仅因</w:t>
      </w:r>
      <w:r>
        <w:rPr/>
        <w:t>ASMPT</w:t>
      </w:r>
      <w:r>
        <w:rPr/>
        <w:t>单章分数高宣称全名单必然第一。</w:t>
      </w:r>
    </w:p>
    <w:p>
      <w:pPr>
        <w:pStyle w:val="Heading2"/>
        <w:rPr/>
      </w:pPr>
      <w:r>
        <w:rPr>
          <w:color w:val="000000"/>
        </w:rPr>
        <w:t>三十三 三年投资逻辑与资本效率</w:t>
      </w:r>
    </w:p>
    <w:p>
      <w:pPr>
        <w:pStyle w:val="Normal"/>
        <w:rPr/>
      </w:pPr>
      <w:r>
        <w:rPr/>
        <w:t>三年基准前瞻收入三百三十亿，半导体二百、表面贴装一百三十亿，正常毛利四成八与三成六；持续费用七十四点五亿、核心利润六十八点三亿。税后有限净项除四点三一亿经济股，</w:t>
      </w:r>
      <w:r>
        <w:rPr/>
        <w:t>EPS</w:t>
      </w:r>
      <w:r>
        <w:rPr/>
        <w:t>约十一点五零三，</w:t>
      </w:r>
      <w:r>
        <w:rPr/>
        <w:t>PE</w:t>
      </w:r>
      <w:r>
        <w:rPr/>
        <w:t>二十七，目标三百一十点五七。估值倍数低于一年，收益以经营成长覆盖成熟收缩，避免假设设备企业永久享受最高行业热度的估值。</w:t>
      </w:r>
    </w:p>
    <w:p>
      <w:pPr>
        <w:pStyle w:val="Normal"/>
        <w:rPr/>
      </w:pPr>
      <w:r>
        <w:rPr/>
        <w:t>基准累计现金六点四港元，含息三年回报约九成六五、年化二成五三。实现需要复杂封装、高速光互连与表面贴装需求逐步转化为真实收入和资本回报，持续研发不损害现金质量。年化数字是情景结果，不是每年固定收益，价格可能先涨后跌或长期震荡。客户扩产、路线改变和全球约束在三年内都有更大调整空间，应以滚动经营证据重估，不能仅按固定终点耐心等待。</w:t>
      </w:r>
    </w:p>
    <w:p>
      <w:pPr>
        <w:pStyle w:val="Normal"/>
        <w:rPr/>
      </w:pPr>
      <w:r>
        <w:rPr/>
        <w:t>三年得分八十二点一，反映技术平台机会，但风险三点一，仍有明显不确定。悲观九点五九是长期工艺与资本效率失败压力，乐观六百二十二点四一要求强份额、收入四百五十亿和高毛利工具兑现。若核心现金长期无法覆盖研发、资本与奖励，或者客户在新代工艺选择竞争者，即使行业增长也会推翻推荐。技术低权重不等于现金、估值和经营反证可被忽略。</w:t>
      </w:r>
    </w:p>
    <w:p>
      <w:pPr>
        <w:pStyle w:val="Heading2"/>
        <w:rPr/>
      </w:pPr>
      <w:r>
        <w:rPr>
          <w:color w:val="000000"/>
        </w:rPr>
        <w:t>三十四 五年与十年经营持续性</w:t>
      </w:r>
    </w:p>
    <w:p>
      <w:pPr>
        <w:pStyle w:val="Normal"/>
        <w:rPr/>
      </w:pPr>
      <w:r>
        <w:rPr/>
        <w:t>五年基准收入四百二十亿，半导体二百六十、表面贴装一百六十亿，正常毛利四成八与三成五，持续费用九十三亿、核心利润八十七点八亿。</w:t>
      </w:r>
      <w:r>
        <w:rPr/>
        <w:t>EPS</w:t>
      </w:r>
      <w:r>
        <w:rPr/>
        <w:t>约十四点四八一，</w:t>
      </w:r>
      <w:r>
        <w:rPr/>
        <w:t>PE</w:t>
      </w:r>
      <w:r>
        <w:rPr/>
        <w:t>二十四得三百四十七点五四，累计息十三点八、含息年化一成七五。相比三年，增长仍在但估值和竞争成熟约束更明显，不能把三年高年化永久延伸成十年相同回报。</w:t>
      </w:r>
    </w:p>
    <w:p>
      <w:pPr>
        <w:pStyle w:val="Normal"/>
        <w:rPr/>
      </w:pPr>
      <w:r>
        <w:rPr/>
        <w:t>五年得分七十七点九，商业质量权重四成、技术权重零，财务治理风险权重提高。悲观十点六九、乐观八百零三点五六，乐观收入六百三十亿、核心利润一百六十五点四亿，需要跨多代工艺成功和规模回报。预测越远证据越弱，不能把乐观高价称确定目标或用它建议忽略融资、政策和客户预算。每代新产品商业化和资本使用都要独立检验，过去成功只提供能力线索。</w:t>
      </w:r>
    </w:p>
    <w:p>
      <w:pPr>
        <w:pStyle w:val="Normal"/>
        <w:rPr/>
      </w:pPr>
      <w:r>
        <w:rPr/>
        <w:t>十年经营展望关注能否成为持续提供工艺、软件、服务与可靠产能的平台，而非只出售某一轮热门工具。更复杂互连、模块化系统和制造难度可能支持需求，客户自研、标准化、工艺替代与区域供应链也可能压低回报。公司需要在人才、知识产权、现场经验和资本纪律间保持优势。本章不计算缺证据的十年精确股价，长期成立条件是每股正常现金与研发回报持续增长。</w:t>
      </w:r>
    </w:p>
    <w:p>
      <w:pPr>
        <w:pStyle w:val="Heading2"/>
        <w:rPr/>
      </w:pPr>
      <w:r>
        <w:rPr>
          <w:color w:val="000000"/>
        </w:rPr>
        <w:t>三十五 外资目标价的使用边界</w:t>
      </w:r>
    </w:p>
    <w:p>
      <w:pPr>
        <w:pStyle w:val="Normal"/>
        <w:rPr/>
      </w:pPr>
      <w:r>
        <w:rPr/>
        <w:t>近九十日公开转述中，美银七月三十日目标三百一十港元、买入，引用二零二七至二零二八平均盈利四十倍</w:t>
      </w:r>
      <w:r>
        <w:rPr/>
        <w:t>PE</w:t>
      </w:r>
      <w:r>
        <w:rPr/>
        <w:t>；花旗七月二十九日二百五十、买入，使用二零二七四十倍。摩根大通七月十六日二百二十五、增持，高盛七月十四日二百零六、中性。它们体现市场分析路径和不同盈利倍数，但原始研报未取得，目标期限未明确，不能根据使用哪年</w:t>
      </w:r>
      <w:r>
        <w:rPr/>
        <w:t>EPS</w:t>
      </w:r>
      <w:r>
        <w:rPr/>
        <w:t>就擅自标成十二个月目标。</w:t>
      </w:r>
    </w:p>
    <w:p>
      <w:pPr>
        <w:pStyle w:val="Normal"/>
        <w:rPr/>
      </w:pPr>
      <w:r>
        <w:rPr/>
        <w:t>大华继显十月五日目标二百一十一、买入，已从跨股表核证券对应；华泰七月三十日二百零五、买入，作为中资国际来源单列。美银所转述盈利预测二零二六、二零二七、二零二八每股约四点二四、六点六二、九点四三，摩根大通二零二六、二零二七四点二七、六点五六，高盛后两年五点七五、六点八九。预测不是实际，评级方向与经营可信度要分开。</w:t>
      </w:r>
    </w:p>
    <w:p>
      <w:pPr>
        <w:pStyle w:val="Normal"/>
        <w:rPr/>
      </w:pPr>
      <w:r>
        <w:rPr/>
        <w:t>目标价差异来自观察期、正常化、订单增长和</w:t>
      </w:r>
      <w:r>
        <w:rPr/>
        <w:t>PE</w:t>
      </w:r>
      <w:r>
        <w:rPr/>
        <w:t>，最高价不等于最可靠价，也不能对所有目标简单平均后称真实价值。独立一年基准三十倍，低于部分机构采用四十倍，却用较积极的后续盈利，二者需要分别检验。缺目标期限的报告只作估值参照，年底另建信息集，不按月份线性折算。机构新闻发布时间、报告日期、原始研报与转述层级都保留，避免重复转载形成虚假共识。</w:t>
      </w:r>
    </w:p>
    <w:p>
      <w:pPr>
        <w:pStyle w:val="Heading2"/>
        <w:rPr/>
      </w:pPr>
      <w:r>
        <w:rPr>
          <w:color w:val="000000"/>
        </w:rPr>
        <w:t>三十六 可证伪结论与持续核验</w:t>
      </w:r>
    </w:p>
    <w:p>
      <w:pPr>
        <w:pStyle w:val="Normal"/>
        <w:rPr/>
      </w:pPr>
      <w:r>
        <w:rPr/>
        <w:t>经营推荐最直接反证是先进工具重复订单未兑现、客户认证失败或改用竞争路线，导致高端份额和毛利下降；其次是主流增长依赖低价和宽信用、现金长期落后盈利。税持续高于假设、股份成本与经济股数增长过快、非核心投资损失反复，也会减少每股价值。每项变化应进入活动输入并重新保存情景，不能仅在报告附加风险文字却保持原价与评分不变。</w:t>
      </w:r>
    </w:p>
    <w:p>
      <w:pPr>
        <w:pStyle w:val="Normal"/>
        <w:rPr/>
      </w:pPr>
      <w:r>
        <w:rPr/>
        <w:t>技术反证包括一百五十三观察位失守后无法收复、上涨成交不足、持续弱于市场或中期均线继续转弱；其作用主要在半年与一年节奏。基本面反证则跨所有期限，不能因技术反弹暂时掩盖现金问题。模型数字是研究假设与公开输入的可检验组合，字数增加不会提高预测确定性。全公司资料缺失项仍保留：精确设备单价和订单毛利、逐笔与完整换手、未公开研报期限、未来战略交易条款。</w:t>
      </w:r>
    </w:p>
    <w:p>
      <w:pPr>
        <w:pStyle w:val="Normal"/>
        <w:rPr/>
      </w:pPr>
      <w:r>
        <w:rPr/>
        <w:t>综合看，</w:t>
      </w:r>
      <w:r>
        <w:rPr/>
        <w:t>ASMPT</w:t>
      </w:r>
      <w:r>
        <w:rPr/>
        <w:t>在三年复杂封装与高速通信中有较强进取价值，当前价格及短中趋势使年底期望偏谨慎。合理做法是比较期限、利润桥和风险，而非仅看最乐观上涨。以后每份财报需核持续边界、常态费用、税、现金和股数，订单新资料需区分签订、交付和验收。只有真实正常每股回报及技术竞争力持续成立，较高长期目标才具有经营基础。</w:t>
      </w:r>
    </w:p>
    <w:p>
      <w:pPr>
        <w:pStyle w:val="Heading2"/>
        <w:rPr/>
      </w:pPr>
      <w:r>
        <w:rPr>
          <w:color w:val="000000"/>
        </w:rPr>
        <w:t>来源与模型核验</w:t>
      </w:r>
    </w:p>
    <w:p>
      <w:pPr>
        <w:pStyle w:val="Normal"/>
        <w:rPr/>
      </w:pPr>
      <w:r>
        <w:rPr/>
        <w:t>- [ASMPT-annual</w:t>
      </w:r>
      <w:r>
        <w:rPr/>
        <w:t>：</w:t>
      </w:r>
      <w:r>
        <w:rPr/>
        <w:t>FY2025</w:t>
      </w:r>
      <w:r>
        <w:rPr/>
        <w:t>年报，</w:t>
      </w:r>
      <w:r>
        <w:rPr/>
        <w:t>HKEX</w:t>
      </w:r>
      <w:r>
        <w:rPr/>
        <w:t>首次</w:t>
      </w:r>
      <w:r>
        <w:rPr/>
        <w:t>2026-04-10 06:16](https://www1.hkexnews.hk/listedco/listconews/sehk/2026/0410/2026041000019.pdf)</w:t>
      </w:r>
      <w:r>
        <w:rPr/>
        <w:t>。原持续边界排</w:t>
      </w:r>
      <w:r>
        <w:rPr/>
        <w:t>AEi</w:t>
      </w:r>
      <w:r>
        <w:rPr/>
        <w:t>、未按后售</w:t>
      </w:r>
      <w:r>
        <w:rPr/>
        <w:t>NEXX</w:t>
      </w:r>
      <w:r>
        <w:rPr/>
        <w:t>重列；港币千元转百万。</w:t>
      </w:r>
    </w:p>
    <w:p>
      <w:pPr>
        <w:pStyle w:val="Normal"/>
        <w:rPr/>
      </w:pPr>
      <w:r>
        <w:rPr/>
        <w:t>- [ASMPT-fyresults</w:t>
      </w:r>
      <w:r>
        <w:rPr/>
        <w:t>：</w:t>
      </w:r>
      <w:r>
        <w:rPr/>
        <w:t>FY</w:t>
      </w:r>
      <w:r>
        <w:rPr/>
        <w:t>业绩，</w:t>
      </w:r>
      <w:r>
        <w:rPr/>
        <w:t>2026-03-04 06:44](https://www1.hkexnews.hk/listedco/listconews/sehk/2026/0304/2026030400011.pdf)</w:t>
      </w:r>
      <w:r>
        <w:rPr/>
        <w:t>。公司文件内决议日和交易所公开日分别保留。</w:t>
      </w:r>
    </w:p>
    <w:p>
      <w:pPr>
        <w:pStyle w:val="Normal"/>
        <w:rPr/>
      </w:pPr>
      <w:r>
        <w:rPr/>
        <w:t>- [ASMPT-interim</w:t>
      </w:r>
      <w:r>
        <w:rPr/>
        <w:t>：</w:t>
      </w:r>
      <w:r>
        <w:rPr/>
        <w:t>H1</w:t>
      </w:r>
      <w:r>
        <w:rPr/>
        <w:t>中报，</w:t>
      </w:r>
      <w:r>
        <w:rPr/>
        <w:t>2026-08-28 16:44</w:t>
      </w:r>
      <w:r>
        <w:rPr/>
        <w:t>收盘后</w:t>
      </w:r>
      <w:r>
        <w:rPr/>
        <w:t>](https://www1.hkexnews.hk/listedco/listconews/sehk/2026/0828/2026082800691.pdf)</w:t>
      </w:r>
      <w:r>
        <w:rPr/>
        <w:t>。持续边界移除</w:t>
      </w:r>
      <w:r>
        <w:rPr/>
        <w:t>NEXX</w:t>
      </w:r>
      <w:r>
        <w:rPr/>
        <w:t>，调整定义含</w:t>
      </w:r>
      <w:r>
        <w:rPr/>
        <w:t>SBC</w:t>
      </w:r>
      <w:r>
        <w:rPr/>
        <w:t>加回。</w:t>
      </w:r>
    </w:p>
    <w:p>
      <w:pPr>
        <w:pStyle w:val="Normal"/>
        <w:rPr/>
      </w:pPr>
      <w:r>
        <w:rPr/>
        <w:t>- [ASMPT-h1results</w:t>
      </w:r>
      <w:r>
        <w:rPr/>
        <w:t>：</w:t>
      </w:r>
      <w:r>
        <w:rPr/>
        <w:t>H1</w:t>
      </w:r>
      <w:r>
        <w:rPr/>
        <w:t>业绩，</w:t>
      </w:r>
      <w:r>
        <w:rPr/>
        <w:t>2026-07-29 06:35](https://www1.hkexnews.hk/listedco/listconews/sehk/2026/0729/2026072900011.pdf)</w:t>
      </w:r>
      <w:r>
        <w:rPr/>
        <w:t>。</w:t>
      </w:r>
      <w:r>
        <w:rPr/>
        <w:t>Q3</w:t>
      </w:r>
      <w:r>
        <w:rPr/>
        <w:t>指引为当时前瞻，不是未来实际。</w:t>
      </w:r>
    </w:p>
    <w:p>
      <w:pPr>
        <w:pStyle w:val="Normal"/>
        <w:rPr/>
      </w:pPr>
      <w:r>
        <w:rPr/>
        <w:t>- [ASMPT-shares</w:t>
      </w:r>
      <w:r>
        <w:rPr/>
        <w:t>：九月月报，</w:t>
      </w:r>
      <w:r>
        <w:rPr/>
        <w:t>2026-10-02 17:16](https://www1.hkexnews.hk/listedco/listconews/sehk/2026/1002/2026100202466.pdf)</w:t>
      </w:r>
      <w:r>
        <w:rPr/>
        <w:t>。法律股</w:t>
      </w:r>
      <w:r>
        <w:rPr/>
        <w:t>419408233</w:t>
      </w:r>
      <w:r>
        <w:rPr/>
        <w:t>、法律库存</w:t>
      </w:r>
      <w:r>
        <w:rPr/>
        <w:t>0</w:t>
      </w:r>
      <w:r>
        <w:rPr/>
        <w:t>。</w:t>
      </w:r>
    </w:p>
    <w:p>
      <w:pPr>
        <w:pStyle w:val="Normal"/>
        <w:rPr/>
      </w:pPr>
      <w:r>
        <w:rPr/>
        <w:t>- [ASMPT-NEXXsale</w:t>
      </w:r>
      <w:r>
        <w:rPr/>
        <w:t>：交易公告，</w:t>
      </w:r>
      <w:r>
        <w:rPr/>
        <w:t>2026-05-04 08:00](https://www1.hkexnews.hk/listedco/listconews/sehk/2026/0504/2026050400065.pdf)</w:t>
      </w:r>
      <w:r>
        <w:rPr/>
        <w:t>；</w:t>
      </w:r>
      <w:r>
        <w:rPr/>
        <w:t>[</w:t>
      </w:r>
      <w:r>
        <w:rPr/>
        <w:t>完成公告，</w:t>
      </w:r>
      <w:r>
        <w:rPr/>
        <w:t>2026-06-04 08:01](https://www1.hkexnews.hk/listedco/listconews/sehk/2026/0604/2026060400142.pdf)</w:t>
      </w:r>
      <w:r>
        <w:rPr/>
        <w:t>。合同</w:t>
      </w:r>
      <w:r>
        <w:rPr/>
        <w:t>4/30</w:t>
      </w:r>
      <w:r>
        <w:rPr/>
        <w:t>，完成</w:t>
      </w:r>
      <w:r>
        <w:rPr/>
        <w:t>6/3</w:t>
      </w:r>
      <w:r>
        <w:rPr/>
        <w:t>。</w:t>
      </w:r>
    </w:p>
    <w:p>
      <w:pPr>
        <w:pStyle w:val="Normal"/>
        <w:rPr/>
      </w:pPr>
      <w:r>
        <w:rPr/>
        <w:t>- [ASMPT-SMToptions</w:t>
      </w:r>
      <w:r>
        <w:rPr/>
        <w:t>：战略评估，</w:t>
      </w:r>
      <w:r>
        <w:rPr/>
        <w:t>2026-01-21 07:04](https://www1.hkexnews.hk/listedco/listconews/sehk/2026/0121/2026012100025.pdf)</w:t>
      </w:r>
      <w:r>
        <w:rPr/>
        <w:t>。无固定时程及交易保证。</w:t>
      </w:r>
    </w:p>
    <w:p>
      <w:pPr>
        <w:pStyle w:val="Normal"/>
        <w:rPr/>
      </w:pPr>
      <w:r>
        <w:rPr/>
        <w:t>- [</w:t>
      </w:r>
      <w:r>
        <w:rPr/>
        <w:t>末期股息表，</w:t>
      </w:r>
      <w:r>
        <w:rPr/>
        <w:t>2026-03-04 06:46](https://www1.hkexnews.hk/listedco/listconews/sehk/2026/0304/2026030400013.pdf)</w:t>
      </w:r>
      <w:r>
        <w:rPr/>
        <w:t>；</w:t>
      </w:r>
      <w:r>
        <w:rPr/>
        <w:t>[</w:t>
      </w:r>
      <w:r>
        <w:rPr/>
        <w:t>特别股息表，</w:t>
      </w:r>
      <w:r>
        <w:rPr/>
        <w:t>2026-03-04 06:48](https://www1.hkexnews.hk/listedco/listconews/sehk/2026/0304/2026030400015.pdf)</w:t>
      </w:r>
      <w:r>
        <w:rPr/>
        <w:t>；</w:t>
      </w:r>
      <w:r>
        <w:rPr/>
        <w:t>[</w:t>
      </w:r>
      <w:r>
        <w:rPr/>
        <w:t>中期股息表，</w:t>
      </w:r>
      <w:r>
        <w:rPr/>
        <w:t>2026-07-29 06:37](https://www1.hkexnews.hk/listedco/listconews/sehk/2026/0729/2026072900013.pdf)</w:t>
      </w:r>
      <w:r>
        <w:rPr/>
        <w:t>。已付均不加未来。</w:t>
      </w:r>
    </w:p>
    <w:p>
      <w:pPr>
        <w:pStyle w:val="Normal"/>
        <w:rPr/>
      </w:pPr>
      <w:r>
        <w:rPr/>
        <w:t>- [</w:t>
      </w:r>
      <w:r>
        <w:rPr/>
        <w:t>八月奖励，</w:t>
      </w:r>
      <w:r>
        <w:rPr/>
        <w:t>2026-08-12 18:12</w:t>
      </w:r>
      <w:r>
        <w:rPr/>
        <w:t>收盘后</w:t>
      </w:r>
      <w:r>
        <w:rPr/>
        <w:t>](https://www1.hkexnews.hk/listedco/listconews/sehk/2026/0812/2026081200922.pdf)</w:t>
      </w:r>
      <w:r>
        <w:rPr/>
        <w:t>。</w:t>
      </w:r>
      <w:r>
        <w:rPr/>
        <w:t>59500</w:t>
      </w:r>
      <w:r>
        <w:rPr/>
        <w:t>由市场购入，剩余额度非已授新股。</w:t>
      </w:r>
    </w:p>
    <w:p>
      <w:pPr>
        <w:pStyle w:val="Normal"/>
        <w:rPr/>
      </w:pPr>
      <w:r>
        <w:rPr/>
        <w:t xml:space="preserve">- </w:t>
      </w:r>
      <w:r>
        <w:rPr/>
        <w:t>机构新闻链接、机构日期、评级、期限缺失与层级见</w:t>
      </w:r>
      <w:r>
        <w:rPr/>
        <w:t>data/asmpt_model.json</w:t>
      </w:r>
      <w:r>
        <w:rPr/>
        <w:t>及</w:t>
      </w:r>
      <w:r>
        <w:rPr/>
        <w:t>tech_evidence.json I069</w:t>
      </w:r>
      <w:r>
        <w:rPr/>
        <w:t>；全为公开转述，原研报未取得。</w:t>
      </w:r>
    </w:p>
    <w:p>
      <w:pPr>
        <w:pStyle w:val="Normal"/>
        <w:rPr/>
      </w:pPr>
      <w:r>
        <w:rPr/>
        <w:t xml:space="preserve">- </w:t>
      </w:r>
      <w:r>
        <w:rPr/>
        <w:t>行情来源</w:t>
      </w:r>
      <w:r>
        <w:rPr/>
        <w:t>Yahoo</w:t>
      </w:r>
      <w:r>
        <w:rPr/>
        <w:t>三年</w:t>
      </w:r>
      <w:r>
        <w:rPr/>
        <w:t>chart</w:t>
      </w:r>
      <w:r>
        <w:rPr/>
        <w:t>、</w:t>
      </w:r>
      <w:r>
        <w:rPr/>
        <w:t>Tencent</w:t>
      </w:r>
      <w:r>
        <w:rPr/>
        <w:t>复权日线、</w:t>
      </w:r>
      <w:r>
        <w:rPr/>
        <w:t>Tencent</w:t>
      </w:r>
      <w:r>
        <w:rPr/>
        <w:t>与</w:t>
      </w:r>
      <w:r>
        <w:rPr/>
        <w:t>Sina</w:t>
      </w:r>
      <w:r>
        <w:rPr/>
        <w:t>收盘，锁定</w:t>
      </w:r>
      <w:r>
        <w:rPr/>
        <w:t>data/market_snapshot_locked.json S079</w:t>
      </w:r>
      <w:r>
        <w:rPr/>
        <w:t>；</w:t>
      </w:r>
      <w:r>
        <w:rPr/>
        <w:t>739</w:t>
      </w:r>
      <w:r>
        <w:rPr/>
        <w:t>日、</w:t>
      </w:r>
      <w:r>
        <w:rPr/>
        <w:t>157</w:t>
      </w:r>
      <w:r>
        <w:rPr/>
        <w:t>周，股单位，复权按基准归一。</w:t>
      </w:r>
    </w:p>
    <w:p>
      <w:pPr>
        <w:pStyle w:val="Normal"/>
        <w:rPr/>
      </w:pPr>
      <w:r>
        <w:rPr/>
        <w:t xml:space="preserve">- </w:t>
      </w:r>
      <w:r>
        <w:rPr/>
        <w:t>独立</w:t>
      </w:r>
      <w:r>
        <w:rPr/>
        <w:t>QA</w:t>
      </w:r>
      <w:r>
        <w:rPr/>
        <w:t>：</w:t>
      </w:r>
      <w:r>
        <w:rPr/>
        <w:t>qa/asmpt_qa.json</w:t>
      </w:r>
      <w:r>
        <w:rPr/>
        <w:t>；重算</w:t>
      </w:r>
      <w:r>
        <w:rPr/>
        <w:t>15</w:t>
      </w:r>
      <w:r>
        <w:rPr/>
        <w:t>情景、四评分、收入毛利利润现金桥与字数；最终</w:t>
      </w:r>
      <w:r>
        <w:rPr/>
        <w:t>Word/PDF</w:t>
      </w:r>
      <w:r>
        <w:rPr/>
        <w:t>核心数与逐页检查由总报告集成验证。</w:t>
      </w:r>
      <w:r>
        <w:br w:type="page"/>
      </w:r>
    </w:p>
    <w:p>
      <w:pPr>
        <w:pStyle w:val="Heading1"/>
        <w:rPr/>
      </w:pPr>
      <w:bookmarkStart w:id="1" w:name="__RefHeading___Toc15957_312338234"/>
      <w:bookmarkEnd w:id="1"/>
      <w:r>
        <w:rPr>
          <w:color w:val="000000"/>
        </w:rPr>
        <w:t xml:space="preserve">网易 </w:t>
      </w:r>
      <w:r>
        <w:rPr>
          <w:color w:val="000000"/>
        </w:rPr>
        <w:t>09999 HK</w:t>
      </w:r>
    </w:p>
    <w:p>
      <w:pPr>
        <w:pStyle w:val="Normal"/>
        <w:rPr/>
      </w:pPr>
      <w:r>
        <w:rPr/>
        <w:t xml:space="preserve">09999.HK </w:t>
      </w:r>
      <w:r>
        <w:rPr/>
        <w:t xml:space="preserve">现价 </w:t>
      </w:r>
      <w:r>
        <w:rPr/>
        <w:t>193.50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233.75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+21.83%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257.40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+33.02%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+35.09%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299.20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+54.63%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+61.86%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334.40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+72.82%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+85.74%</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132.00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-31.78%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211.20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297.00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+53.49%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212.85HKD</w:t>
      </w:r>
      <w:r>
        <w:rPr/>
        <w:t>，期望股价回报</w:t>
      </w:r>
      <w:r>
        <w:rPr/>
        <w:t>+10.00%</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138.60</w:t>
              <w:br/>
              <w:t>-28.37%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233.75</w:t>
              <w:br/>
              <w:t>+20.80%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323.40</w:t>
              <w:br/>
              <w:t>+67.13%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145.20</w:t>
              <w:br/>
              <w:t>-24.96%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257.40</w:t>
              <w:br/>
              <w:t>+33.02%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363.00</w:t>
              <w:br/>
              <w:t>+87.60%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133.10</w:t>
              <w:br/>
              <w:t>-31.21%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299.20</w:t>
              <w:br/>
              <w:t>+54.63%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508.20</w:t>
              <w:br/>
              <w:t>+162.64%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+17.41%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110.00</w:t>
              <w:br/>
              <w:t>-43.15%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334.40</w:t>
              <w:br/>
              <w:t>+72.82%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677.60</w:t>
              <w:br/>
              <w:t>+250.18%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+13.18%</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primaryFundamentals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高（锁版独立</w:t>
            </w:r>
            <w:r>
              <w:rPr>
                <w:rFonts w:eastAsia="微软雅黑" w:ascii="微软雅黑" w:hAnsi="微软雅黑"/>
                <w:sz w:val="17"/>
              </w:rPr>
              <w:t>Yahoo</w:t>
            </w:r>
            <w:r>
              <w:rPr>
                <w:rFonts w:ascii="微软雅黑" w:hAnsi="微软雅黑" w:eastAsia="微软雅黑"/>
                <w:sz w:val="17"/>
              </w:rPr>
              <w:t>与</w:t>
            </w:r>
            <w:r>
              <w:rPr>
                <w:rFonts w:eastAsia="微软雅黑" w:ascii="微软雅黑" w:hAnsi="微软雅黑"/>
                <w:sz w:val="17"/>
              </w:rPr>
              <w:t>Tencent</w:t>
            </w:r>
            <w:r>
              <w:rPr>
                <w:rFonts w:ascii="微软雅黑" w:hAnsi="微软雅黑" w:eastAsia="微软雅黑"/>
                <w:sz w:val="17"/>
              </w:rPr>
              <w:t>报价）</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中低（研究盈利</w:t>
            </w:r>
            <w:r>
              <w:rPr>
                <w:rFonts w:eastAsia="微软雅黑" w:ascii="微软雅黑" w:hAnsi="微软雅黑"/>
                <w:sz w:val="17"/>
              </w:rPr>
              <w:t>/PE/FX</w:t>
            </w:r>
            <w:r>
              <w:rPr>
                <w:rFonts w:ascii="微软雅黑" w:hAnsi="微软雅黑" w:eastAsia="微软雅黑"/>
                <w:sz w:val="17"/>
              </w:rPr>
              <w:t>区间）</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brokerTargets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中（公开转载，部分经营文字与官网冲突，目标价主体匹配）</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+15.74%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+21.83%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+27.93%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+28.34%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+41.84%</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+53.77%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+61.86%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+69.95%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+76.45%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+85.74%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+95.02%</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Heading2"/>
        <w:rPr/>
      </w:pPr>
      <w:r>
        <w:rPr>
          <w:color w:val="000000"/>
        </w:rPr>
        <w:t>研究判断与期限差异</w:t>
      </w:r>
    </w:p>
    <w:p>
      <w:pPr>
        <w:pStyle w:val="Normal"/>
        <w:rPr/>
      </w:pPr>
      <w:r>
        <w:rPr/>
        <w:t>网易的推荐基础是已经形成规模的自研游戏、成熟产品长线运营、改善的渠道成本与较强现金来源。它有人工智能应用，却不需要依赖独立模型业务收回巨额训练投入才能维持主要盈利。目前的研究价值在于游戏经营利润改善与股价修复是否形成一致趋势；核心风险则是增长集中在内容产品、新品表现和渠道优势可能变化，以及非经营投资损益使合并利润与游戏表现分离。</w:t>
      </w:r>
    </w:p>
    <w:p>
      <w:pPr>
        <w:pStyle w:val="Normal"/>
        <w:rPr/>
      </w:pPr>
      <w:r>
        <w:rPr/>
        <w:t>半年角度，网易量价比腾讯更接近修复：价格站上二十、六十和一百二十日均线，当日上涨伴约一点四五倍成交量。但二百五十日线尚未收复，周线仍交错，不能宣称新的长期上升趋势已完全确认。一年角度，经营利润改善、新品投入与成熟游戏更新有较清楚的观察窗口；三年和五年则必须证明内容创新和玩家关系可以持续，否则利润的高毛利特征不能自动转化为长期高增长。</w:t>
      </w:r>
    </w:p>
    <w:p>
      <w:pPr>
        <w:pStyle w:val="Normal"/>
        <w:rPr/>
      </w:pPr>
      <w:r>
        <w:rPr/>
        <w:t>现价按二零二五年非公认会计原则摊薄每股收益</w:t>
      </w:r>
      <w:r>
        <w:rPr/>
        <w:t>11.60</w:t>
      </w:r>
      <w:r>
        <w:rPr/>
        <w:t>元人民币和研究汇率每人民币兑换</w:t>
      </w:r>
      <w:r>
        <w:rPr/>
        <w:t>1.10</w:t>
      </w:r>
      <w:r>
        <w:rPr/>
        <w:t>港元换算，约对应</w:t>
      </w:r>
      <w:r>
        <w:rPr/>
        <w:t>15.16</w:t>
      </w:r>
      <w:r>
        <w:rPr/>
        <w:t>倍历史市盈率。这是透明的历史估值起点，不是已核实的未来预测倍数。现金多使公司有调整产品和分配股东收益的能力，然而集团利润已经包含利息和投资收益，如果在整体每股收益估值之外再把全部净现金加上，就可能重复计算，应避免这种看似便宜的拆估。</w:t>
      </w:r>
    </w:p>
    <w:p>
      <w:pPr>
        <w:pStyle w:val="Normal"/>
        <w:rPr/>
      </w:pPr>
      <w:r>
        <w:rPr/>
        <w:t>本研究按目标时点未来十二个月摊薄非公认会计原则盈利估值，年底三情景价格</w:t>
      </w:r>
      <w:r>
        <w:rPr/>
        <w:t>132</w:t>
      </w:r>
      <w:r>
        <w:rPr/>
        <w:t>、</w:t>
      </w:r>
      <w:r>
        <w:rPr/>
        <w:t>211.2</w:t>
      </w:r>
      <w:r>
        <w:rPr/>
        <w:t>、</w:t>
      </w:r>
      <w:r>
        <w:rPr/>
        <w:t>297</w:t>
      </w:r>
      <w:r>
        <w:rPr/>
        <w:t>港元，相对现价负</w:t>
      </w:r>
      <w:r>
        <w:rPr/>
        <w:t>31.78%</w:t>
      </w:r>
      <w:r>
        <w:rPr/>
        <w:t>、正</w:t>
      </w:r>
      <w:r>
        <w:rPr/>
        <w:t>9.15%</w:t>
      </w:r>
      <w:r>
        <w:rPr/>
        <w:t>、正</w:t>
      </w:r>
      <w:r>
        <w:rPr/>
        <w:t>53.49%</w:t>
      </w:r>
      <w:r>
        <w:rPr/>
        <w:t>；半年</w:t>
      </w:r>
      <w:r>
        <w:rPr/>
        <w:t>138.6</w:t>
      </w:r>
      <w:r>
        <w:rPr/>
        <w:t>、</w:t>
      </w:r>
      <w:r>
        <w:rPr/>
        <w:t>233.75</w:t>
      </w:r>
      <w:r>
        <w:rPr/>
        <w:t>、</w:t>
      </w:r>
      <w:r>
        <w:rPr/>
        <w:t>323.4</w:t>
      </w:r>
      <w:r>
        <w:rPr/>
        <w:t>港元，对应负</w:t>
      </w:r>
      <w:r>
        <w:rPr/>
        <w:t>28.37%</w:t>
      </w:r>
      <w:r>
        <w:rPr/>
        <w:t>、正</w:t>
      </w:r>
      <w:r>
        <w:rPr/>
        <w:t>20.80%</w:t>
      </w:r>
      <w:r>
        <w:rPr/>
        <w:t>、正</w:t>
      </w:r>
      <w:r>
        <w:rPr/>
        <w:t>67.13%</w:t>
      </w:r>
      <w:r>
        <w:rPr/>
        <w:t>；一年</w:t>
      </w:r>
      <w:r>
        <w:rPr/>
        <w:t>145.2</w:t>
      </w:r>
      <w:r>
        <w:rPr/>
        <w:t>、</w:t>
      </w:r>
      <w:r>
        <w:rPr/>
        <w:t>257.4</w:t>
      </w:r>
      <w:r>
        <w:rPr/>
        <w:t>、</w:t>
      </w:r>
      <w:r>
        <w:rPr/>
        <w:t>363</w:t>
      </w:r>
      <w:r>
        <w:rPr/>
        <w:t>港元，对应负</w:t>
      </w:r>
      <w:r>
        <w:rPr/>
        <w:t>24.96%</w:t>
      </w:r>
      <w:r>
        <w:rPr/>
        <w:t>、正</w:t>
      </w:r>
      <w:r>
        <w:rPr/>
        <w:t>33.02%</w:t>
      </w:r>
      <w:r>
        <w:rPr/>
        <w:t>、正</w:t>
      </w:r>
      <w:r>
        <w:rPr/>
        <w:t>87.60%</w:t>
      </w:r>
      <w:r>
        <w:rPr/>
        <w:t>。三年</w:t>
      </w:r>
      <w:r>
        <w:rPr/>
        <w:t>133.1</w:t>
      </w:r>
      <w:r>
        <w:rPr/>
        <w:t>、</w:t>
      </w:r>
      <w:r>
        <w:rPr/>
        <w:t>299.2</w:t>
      </w:r>
      <w:r>
        <w:rPr/>
        <w:t>、</w:t>
      </w:r>
      <w:r>
        <w:rPr/>
        <w:t>508.2</w:t>
      </w:r>
      <w:r>
        <w:rPr/>
        <w:t>港元，对应负</w:t>
      </w:r>
      <w:r>
        <w:rPr/>
        <w:t>31.21%</w:t>
      </w:r>
      <w:r>
        <w:rPr/>
        <w:t>、正</w:t>
      </w:r>
      <w:r>
        <w:rPr/>
        <w:t>54.63%</w:t>
      </w:r>
      <w:r>
        <w:rPr/>
        <w:t>、正</w:t>
      </w:r>
      <w:r>
        <w:rPr/>
        <w:t>162.64%</w:t>
      </w:r>
      <w:r>
        <w:rPr/>
        <w:t>；五年</w:t>
      </w:r>
      <w:r>
        <w:rPr/>
        <w:t>110</w:t>
      </w:r>
      <w:r>
        <w:rPr/>
        <w:t>、</w:t>
      </w:r>
      <w:r>
        <w:rPr/>
        <w:t>334.4</w:t>
      </w:r>
      <w:r>
        <w:rPr/>
        <w:t>、</w:t>
      </w:r>
      <w:r>
        <w:rPr/>
        <w:t>677.6</w:t>
      </w:r>
      <w:r>
        <w:rPr/>
        <w:t>港元，对应负</w:t>
      </w:r>
      <w:r>
        <w:rPr/>
        <w:t>43.15%</w:t>
      </w:r>
      <w:r>
        <w:rPr/>
        <w:t>、正</w:t>
      </w:r>
      <w:r>
        <w:rPr/>
        <w:t>72.82%</w:t>
      </w:r>
      <w:r>
        <w:rPr/>
        <w:t>、正</w:t>
      </w:r>
      <w:r>
        <w:rPr/>
        <w:t>250.18%</w:t>
      </w:r>
      <w:r>
        <w:rPr/>
        <w:t>。</w:t>
      </w:r>
    </w:p>
    <w:p>
      <w:pPr>
        <w:pStyle w:val="Normal"/>
        <w:rPr/>
      </w:pPr>
      <w:r>
        <w:rPr/>
        <w:t>这些范围是经营与估值假设的输出，尚未校准为统计概率，长期悲观亏损更大说明期限延长也会放大内容竞争与估值压缩的影响。年底二十五、五十、二十五百分比权重下期望价</w:t>
      </w:r>
      <w:r>
        <w:rPr/>
        <w:t>212.85</w:t>
      </w:r>
      <w:r>
        <w:rPr/>
        <w:t>港元，期望回报百分之十。它并不意味着年底大概率恰好上涨百分之十，读者必须同时看三种价格、游戏产品条件、税与投资损益以及技术验证。</w:t>
      </w:r>
    </w:p>
    <w:p>
      <w:pPr>
        <w:pStyle w:val="Heading2"/>
        <w:rPr/>
      </w:pPr>
      <w:r>
        <w:rPr>
          <w:color w:val="000000"/>
        </w:rPr>
        <w:t>一 从游戏公司而不是主题标签理解网易</w:t>
      </w:r>
    </w:p>
    <w:p>
      <w:pPr>
        <w:pStyle w:val="Normal"/>
        <w:rPr/>
      </w:pPr>
      <w:r>
        <w:rPr/>
        <w:t>二零二六上半年网易净收入</w:t>
      </w:r>
      <w:r>
        <w:rPr/>
        <w:t>606.97827</w:t>
      </w:r>
      <w:r>
        <w:rPr/>
        <w:t>亿元人民币，其中游戏及相关增值服务</w:t>
      </w:r>
      <w:r>
        <w:rPr/>
        <w:t>507.35763</w:t>
      </w:r>
      <w:r>
        <w:rPr/>
        <w:t>亿元，占集团约百分之八十三点六。二零二五全年游戏收入约</w:t>
      </w:r>
      <w:r>
        <w:rPr/>
        <w:t>921</w:t>
      </w:r>
      <w:r>
        <w:rPr/>
        <w:t>亿元，集团收入</w:t>
      </w:r>
      <w:r>
        <w:rPr/>
        <w:t>1126.25807</w:t>
      </w:r>
      <w:r>
        <w:rPr/>
        <w:t>亿元。公司还拥有有道、云音乐和创新业务，但是股东盈利判断的中心仍然是游戏。用互联网、人工智能或消费等宽泛主题给它估值，容易淡化内容产品的特定周期和资本回报机制。</w:t>
      </w:r>
    </w:p>
    <w:p>
      <w:pPr>
        <w:pStyle w:val="Normal"/>
        <w:rPr/>
      </w:pPr>
      <w:r>
        <w:rPr/>
        <w:t>游戏业务的特点是研发费用在产品推出前发生，成功后内容可以多次运营，利润表现取决于玩家留存、付费方式与持续更新成本。高毛利并非没有成本，而是相当一部分研发营销费用列在毛利之后，评价一款产品不能只看销售毛利。网易长期自研能力让它比纯发行方更能控制产品和内容，也同时承担立项失败与研发周期延长的风险。</w:t>
      </w:r>
    </w:p>
    <w:p>
      <w:pPr>
        <w:pStyle w:val="Normal"/>
        <w:rPr/>
      </w:pPr>
      <w:r>
        <w:rPr/>
        <w:t>网易的产品组合覆盖不同年龄、玩法和平台，成熟产品、手游与电脑游戏互相分散风险。分散并不意味着各产品完全独立，玩家时间和预算存在竞争，同一公司新游戏可能分流旧游戏，营销资源与研发团队也会相互争用。研究需关注集团整体利润的增量，而不是把每个新品潜在流水全部相加，再默认存量产品收入永久不变。</w:t>
      </w:r>
    </w:p>
    <w:p>
      <w:pPr>
        <w:pStyle w:val="Normal"/>
        <w:rPr/>
      </w:pPr>
      <w:r>
        <w:rPr/>
        <w:t>高质量产品的竞争优势来自玩法、技术、艺术与长期运营的结合。角色、经济系统、玩家社区和赛事可以提高迁移成本，但游戏不是生活必需的社交基础设施。玩家能够同时体验多个作品，也可以离开某一类型。因而网易长期估值应有内容迭代风险折价，不能直接照搬具有更稳定高频基础入口的平台估值，哪怕某些季度净利率和现金流更好。</w:t>
      </w:r>
    </w:p>
    <w:p>
      <w:pPr>
        <w:pStyle w:val="Normal"/>
        <w:rPr/>
      </w:pPr>
      <w:r>
        <w:rPr/>
        <w:t>二零二六上半年游戏收入同比增长百分之八点三，集团总收入增长百分之七，毛利增长百分之十六点二，说明收入结构与成本有改善。判断应先从这些已经实现的财务事实出发，再评估游戏更新和新品是否能够延续。不能从行业市场规模很大直接推导公司每年高增长，增长必须对应具体玩家参与、产品生命周期、渠道和确认收入。</w:t>
      </w:r>
    </w:p>
    <w:p>
      <w:pPr>
        <w:pStyle w:val="Heading2"/>
        <w:rPr/>
      </w:pPr>
      <w:r>
        <w:rPr>
          <w:color w:val="000000"/>
        </w:rPr>
        <w:t>二 成熟游戏为何能够长线运营</w:t>
      </w:r>
    </w:p>
    <w:p>
      <w:pPr>
        <w:pStyle w:val="Normal"/>
        <w:rPr/>
      </w:pPr>
      <w:r>
        <w:rPr/>
        <w:t>公司第二季度披露梦幻西游系列、第五人格、蛋仔派对、逆水寒及燕云十六声通过内容更新、玩法创新和社区活动维持势头。成熟游戏的投资价值在于玩法与玩家关系已经验证，开发者可以围绕已有基础优化，不必每次都从零获客。稳定内容与运营系统可能让研发回报跨年兑现，这是现金来源可持续的一项理由。</w:t>
      </w:r>
    </w:p>
    <w:p>
      <w:pPr>
        <w:pStyle w:val="Normal"/>
        <w:rPr/>
      </w:pPr>
      <w:r>
        <w:rPr/>
        <w:t>长线运营的核心不是重复售卖同一种道具，而是给玩家持续可参与的目标和关系。如果新内容只提高付费强度却损害游戏平衡，短期收入可能增加，长期留存却会下降。网易作品涉及竞技、角色扮演、休闲和开放世界等不同类型，更新节奏和付费方式也不同。研究不能用同一玩家付费率模板套在所有产品上，应该从公司披露、产品反馈和经营结果交叉观察。</w:t>
      </w:r>
    </w:p>
    <w:p>
      <w:pPr>
        <w:pStyle w:val="Normal"/>
        <w:rPr/>
      </w:pPr>
      <w:r>
        <w:rPr/>
        <w:t>存量作品面对的风险包括玩法疲劳、经济系统膨胀、玩家年龄变化以及同类新作品竞争。某个多年产品继续收入增长可能源于版本更新，也可能源于新服务器或付费结构变化，两者对长期价值不同。公司披露成熟产品有活跃社区和持续内容支持，但未公开全部产品活跃付费拆分，本研究不补造每款作品的收入与利润。</w:t>
      </w:r>
    </w:p>
    <w:p>
      <w:pPr>
        <w:pStyle w:val="Normal"/>
        <w:rPr/>
      </w:pPr>
      <w:r>
        <w:rPr/>
        <w:t>长线游戏有较低的增量研发成本优势，但不是完全没有投入。新玩法、画面、跨平台和安全维护都需要技术人员，反作弊、未成年人保护及内容审核也随规模提高。若为了维持成熟产品收入不得不持续加大买量，经营效率可能低于表面毛利率。应该结合销售营销费用和研发支出变化，而不仅看某个游戏在商店排行榜的位置。</w:t>
      </w:r>
    </w:p>
    <w:p>
      <w:pPr>
        <w:pStyle w:val="Normal"/>
        <w:rPr/>
      </w:pPr>
      <w:r>
        <w:rPr/>
        <w:t>成熟产品与新产品之间的良好关系是前者提供现金，后者扩大玩家群和未来收入，而不是新产品不断消耗旧业务利润却没有形成回报。二零二六上半年经营利润同比增长约百分之二十七，说明当前成熟业务和成本改善确实支持了经营收益。不过如果未来游戏收入增速放缓、毛利改善停止而新品支出上升，这个优势也可能收窄，不能将当前增长当作永久水平。</w:t>
      </w:r>
    </w:p>
    <w:p>
      <w:pPr>
        <w:pStyle w:val="Heading2"/>
        <w:rPr/>
      </w:pPr>
      <w:r>
        <w:rPr>
          <w:color w:val="000000"/>
        </w:rPr>
        <w:t>三 新品流水 会计收入与玩家留存</w:t>
      </w:r>
    </w:p>
    <w:p>
      <w:pPr>
        <w:pStyle w:val="Normal"/>
        <w:rPr/>
      </w:pPr>
      <w:r>
        <w:rPr/>
        <w:t>网易二零二六中报提到遗忘之海七月在中国推出，无限大与</w:t>
      </w:r>
      <w:r>
        <w:rPr/>
        <w:t>Blood Message</w:t>
      </w:r>
      <w:r>
        <w:rPr/>
        <w:t>继续开发。二零二五年报和季度业绩稿也将燕云十六声、漫威争锋等新作品作为全球产品组合的一部分。研发管线说明公司有新的增长选择，但开发中与上市后商业化是两个阶段，不能把未给出明确排期的作品当成某个季度一定确认的销售额。</w:t>
      </w:r>
    </w:p>
    <w:p>
      <w:pPr>
        <w:pStyle w:val="Normal"/>
        <w:rPr/>
      </w:pPr>
      <w:r>
        <w:rPr/>
        <w:t>新品最容易造成预期偏差。首月下载、预约或直播热度能显示兴趣，却不能直接对应付费与长期留存。前期营销可能让下载快速增长，玩家随后是否留下、是否重复参与、内容供给能否跟上才决定现金价值。一年模型因此没有采用某一未上市作品必须达到百亿元流水的条件，即使公开机构报告存在这类预测，它仍是需要验证的机构假设。</w:t>
      </w:r>
    </w:p>
    <w:p>
      <w:pPr>
        <w:pStyle w:val="Normal"/>
        <w:rPr/>
      </w:pPr>
      <w:r>
        <w:rPr/>
        <w:t>游戏流水与收入确认也不同。虚拟货币、道具或服务可能按使用情况与预计玩家关系期间确认，现金收取和会计收入跨季度变化。二零二六第二季度合同负债现金流变化为减少约</w:t>
      </w:r>
      <w:r>
        <w:rPr/>
        <w:t>25.11</w:t>
      </w:r>
      <w:r>
        <w:rPr/>
        <w:t>亿元，上半年减少约</w:t>
      </w:r>
      <w:r>
        <w:rPr/>
        <w:t>11.27</w:t>
      </w:r>
      <w:r>
        <w:rPr/>
        <w:t>亿元，可能影响经营现金与收入时点的关系。不能仅凭递延减少便判断需求恶化，也不能忽略它而将全部收入增长都当新增现金收款，应与更新节奏和新品上线一起分析。</w:t>
      </w:r>
    </w:p>
    <w:p>
      <w:pPr>
        <w:pStyle w:val="Normal"/>
        <w:rPr/>
      </w:pPr>
      <w:r>
        <w:rPr/>
        <w:t>二季度游戏及相关收入</w:t>
      </w:r>
      <w:r>
        <w:rPr/>
        <w:t>250.22788</w:t>
      </w:r>
      <w:r>
        <w:rPr/>
        <w:t>亿元，相比一季度</w:t>
      </w:r>
      <w:r>
        <w:rPr/>
        <w:t>257.12975</w:t>
      </w:r>
      <w:r>
        <w:rPr/>
        <w:t>亿元略降，同比上升约百分之九点七。季度环比降低可能来自部分自研与授权游戏收入变化，公司已经给出解释。看短期新品成功与否，应该区分季节、前季活动高基数和真实玩家需求，单季环比下滑不必直接推翻长期判断，却需要验证后续版本和现金确认能否改善。</w:t>
      </w:r>
    </w:p>
    <w:p>
      <w:pPr>
        <w:pStyle w:val="Normal"/>
        <w:rPr/>
      </w:pPr>
      <w:r>
        <w:rPr/>
        <w:t>新产品成功还可能改变成本结构。自研电脑游戏通过直接渠道销售可以减少分成，授权产品则可能支付较高版权费。若新品销售额增长但主要依赖昂贵渠道或高授权成本，对集团盈利贡献不同。研究者应在预测中公开收入与利润率条件，而不是只给流水区间再乘一个来自其他作品的毛利率，本章用合并盈利情景保留这一不确定性。</w:t>
      </w:r>
    </w:p>
    <w:p>
      <w:pPr>
        <w:pStyle w:val="Heading2"/>
        <w:rPr/>
      </w:pPr>
      <w:r>
        <w:rPr>
          <w:color w:val="000000"/>
        </w:rPr>
        <w:t>四 渠道费用下降如何改变利润</w:t>
      </w:r>
    </w:p>
    <w:p>
      <w:pPr>
        <w:pStyle w:val="Normal"/>
        <w:rPr/>
      </w:pPr>
      <w:r>
        <w:rPr/>
        <w:t>二零二六第二季度游戏及相关毛利</w:t>
      </w:r>
      <w:r>
        <w:rPr/>
        <w:t>190.48823</w:t>
      </w:r>
      <w:r>
        <w:rPr/>
        <w:t>亿元，收入</w:t>
      </w:r>
      <w:r>
        <w:rPr/>
        <w:t>250.22788</w:t>
      </w:r>
      <w:r>
        <w:rPr/>
        <w:t>亿元，计算毛利率约百分之七十六点一。上年同期游戏毛利</w:t>
      </w:r>
      <w:r>
        <w:rPr/>
        <w:t>160.14219</w:t>
      </w:r>
      <w:r>
        <w:rPr/>
        <w:t>亿元、收入</w:t>
      </w:r>
      <w:r>
        <w:rPr/>
        <w:t>228.06459</w:t>
      </w:r>
      <w:r>
        <w:rPr/>
        <w:t>亿元，约百分之七十点二，改善约五点九个百分点。公司披露收入分成和产品成本下降，这是已实现毛利改善的重要原因，不能只把利润增长归于游戏市场总需求。</w:t>
      </w:r>
    </w:p>
    <w:p>
      <w:pPr>
        <w:pStyle w:val="Normal"/>
        <w:rPr/>
      </w:pPr>
      <w:r>
        <w:rPr/>
        <w:t>渠道关系决定每一元玩家支付有多少进入开发者。自有渠道、电脑端以及不同移动平台的费用安排有差异，产品组合变化会影响集团分成成本。网易有成熟产品和玩家基础，可以加强直接触达，但应用分发平台、支付规范和授权伙伴也有议价力。渠道费用降低可能带来结构性收益，是否永久维持取决于协议、平台规则与玩家使用习惯，不能一次提高毛利率后假设每年继续同幅上升。</w:t>
      </w:r>
    </w:p>
    <w:p>
      <w:pPr>
        <w:pStyle w:val="Normal"/>
        <w:rPr/>
      </w:pPr>
      <w:r>
        <w:rPr/>
        <w:t>减少渠道分成不一定免费。公司可能需要更多营销、客户服务或自有分发维护，如果毛利改善在毛利之后被费用抵销，净利润增量会较小。二季度销售营销</w:t>
      </w:r>
      <w:r>
        <w:rPr/>
        <w:t>36.78809</w:t>
      </w:r>
      <w:r>
        <w:rPr/>
        <w:t>亿元，同比较</w:t>
      </w:r>
      <w:r>
        <w:rPr/>
        <w:t>35.78174</w:t>
      </w:r>
      <w:r>
        <w:rPr/>
        <w:t>亿元温和增加，研发</w:t>
      </w:r>
      <w:r>
        <w:rPr/>
        <w:t>46.43910</w:t>
      </w:r>
      <w:r>
        <w:rPr/>
        <w:t>亿元，较</w:t>
      </w:r>
      <w:r>
        <w:rPr/>
        <w:t>43.56646</w:t>
      </w:r>
      <w:r>
        <w:rPr/>
        <w:t>亿元增加，上半年总经营费用</w:t>
      </w:r>
      <w:r>
        <w:rPr/>
        <w:t>176.88226</w:t>
      </w:r>
      <w:r>
        <w:rPr/>
        <w:t>亿元增长百分之三点九，当前毛利增长确实较费用更快。</w:t>
      </w:r>
    </w:p>
    <w:p>
      <w:pPr>
        <w:pStyle w:val="Normal"/>
        <w:rPr/>
      </w:pPr>
      <w:r>
        <w:rPr/>
        <w:t>二季度经营利润</w:t>
      </w:r>
      <w:r>
        <w:rPr/>
        <w:t>120.89338</w:t>
      </w:r>
      <w:r>
        <w:rPr/>
        <w:t>亿元，同比</w:t>
      </w:r>
      <w:r>
        <w:rPr/>
        <w:t>90.61084</w:t>
      </w:r>
      <w:r>
        <w:rPr/>
        <w:t>亿元增长约百分之三十三点四，上半年经营利润</w:t>
      </w:r>
      <w:r>
        <w:rPr/>
        <w:t>247.46171</w:t>
      </w:r>
      <w:r>
        <w:rPr/>
        <w:t>亿元，同比</w:t>
      </w:r>
      <w:r>
        <w:rPr/>
        <w:t>195.02243</w:t>
      </w:r>
      <w:r>
        <w:rPr/>
        <w:t>亿元增长约百分之二十六点九。这里使用法定经营利润，不把机构报告所说的经调整经营利润增长百分之二十九混成相同口径。经营改善是真实证据，最终合并净利却没有同步提高，需要下一层投资与税务解释。</w:t>
      </w:r>
    </w:p>
    <w:p>
      <w:pPr>
        <w:pStyle w:val="Normal"/>
        <w:rPr/>
      </w:pPr>
      <w:r>
        <w:rPr/>
        <w:t>渠道改善达到高位后，未来增长更多需要收入与费用效率，不能继续依赖毛利率无限提高。本章三年五年基准盈利假设只有中等增长，已考虑现有高毛利基础上新增改善空间较有限。乐观情景需要更多自研高质量产品和渠道优势持续，悲观则包括平台收费反弹、自有渠道获客成本上升、授权产品占比提高。若游戏毛利率连续明显回落而销售营销成本提高，应该调低盈利质量分。</w:t>
      </w:r>
    </w:p>
    <w:p>
      <w:pPr>
        <w:pStyle w:val="Heading2"/>
        <w:rPr/>
      </w:pPr>
      <w:r>
        <w:rPr>
          <w:color w:val="000000"/>
        </w:rPr>
        <w:t>五 海外游戏扩大市场 也提高执行复杂度</w:t>
      </w:r>
    </w:p>
    <w:p>
      <w:pPr>
        <w:pStyle w:val="Normal"/>
        <w:rPr/>
      </w:pPr>
      <w:r>
        <w:rPr/>
        <w:t>公司披露燕云十六声与漫威争锋持续在北美和欧洲等市场增加内容与社区活动。二零二五第四季度业绩稿提到燕云十六声累计玩家规模和多平台参与。国际产品为网易提供超出国内用户增长的机会，作品原创性和跨文化吸引力有价值，但公司未在本次中报提供完整海外收入与利润拆分，所以不能给一个看似精确的海外盈利预测。</w:t>
      </w:r>
    </w:p>
    <w:p>
      <w:pPr>
        <w:pStyle w:val="Normal"/>
        <w:rPr/>
      </w:pPr>
      <w:r>
        <w:rPr/>
        <w:t>全球内容竞争更重视玩法品质、技术稳定、发行沟通与长期更新。优秀中国游戏能够全球化不等于每个新品都能复制，不同地区玩家偏好、支付习惯、硬件和监管不同。网易需要兼顾开发者创意和发行执行，跨地域工作室也会增加管理难度。投资者应关注组合回报，而不是把工作室数量或者全球预约数当成持续盈利证据。</w:t>
      </w:r>
    </w:p>
    <w:p>
      <w:pPr>
        <w:pStyle w:val="Normal"/>
        <w:rPr/>
      </w:pPr>
      <w:r>
        <w:rPr/>
        <w:t>授权品牌和原创作品有不同权利结构。知名品牌有利于获客，却涉及授权期限、分成和内容限制；原创作品有较强权益控制，前期获客可能更难。全球组合中两类并存可以分散风险，但整体估值需考虑合约持续性。网易二零二五年报明确讨论授权商关系风险，不能因为某一授权产品近期表现良好就认定合作永久稳定。</w:t>
      </w:r>
    </w:p>
    <w:p>
      <w:pPr>
        <w:pStyle w:val="Normal"/>
        <w:rPr/>
      </w:pPr>
      <w:r>
        <w:rPr/>
        <w:t>海外收入也受币种和平台交易规则影响。报表以人民币计，美元等币种收入和成本会产生汇兑影响，公司季度披露的便民美元数字按六月底汇率转换，不等于当期真实所有交易兑换率。股票以港元交易，美国存托股以美元交易，个人持有回报还涉及最终账户币种。估值应该先确保每股比例和盈利币种正确，再讨论外汇敏感性，不能把美国存托股每股收益直接乘港元市盈率。</w:t>
      </w:r>
    </w:p>
    <w:p>
      <w:pPr>
        <w:pStyle w:val="Normal"/>
        <w:rPr/>
      </w:pPr>
      <w:r>
        <w:rPr/>
        <w:t>本研究对海外业务保持正面但有限的基准贡献，乐观情景要求国际作品形成長线运营而非短期爆款，悲观则包括新品营销成本高、全球同类产品竞争激烈和合作条件变化。若全球玩家规模增长却集团游戏收入和毛利没有改善，说明流量商业价值可能不足，需要重新判断。国际化适合三年五年观察，却不应单独作为半年高排名的理由。</w:t>
      </w:r>
    </w:p>
    <w:p>
      <w:pPr>
        <w:pStyle w:val="Heading2"/>
        <w:rPr/>
      </w:pPr>
      <w:r>
        <w:rPr>
          <w:color w:val="000000"/>
        </w:rPr>
        <w:t>六 人工智能应用的收益应怎样验证</w:t>
      </w:r>
    </w:p>
    <w:p>
      <w:pPr>
        <w:pStyle w:val="Normal"/>
        <w:rPr/>
      </w:pPr>
      <w:r>
        <w:rPr/>
        <w:t>网易二零二五年业绩稿披露人工智能已进入游戏开发与玩法创新周期，涉及美术、设计、编程、动画和质量保证。该方向有实际经济逻辑：大型内容作品需要大量重复制作与测试，工具效率提高可以减少部分成本或提高迭代速度。研究可以把它列为经营效率的可能来源，但没有单独披露节省金额时，不能把全部毛利改善归于人工智能。</w:t>
      </w:r>
    </w:p>
    <w:p>
      <w:pPr>
        <w:pStyle w:val="Normal"/>
        <w:rPr/>
      </w:pPr>
      <w:r>
        <w:rPr/>
        <w:t>游戏人工智能也可以改善角色互动、任务和内容变化，为玩家带来新的体验。价值取决于体验可靠、成本可管理、玩法与付费相适应。实时生成内容需要推理服务，玩家互动越多费用可能越高，如果没有对应收入或留存提高，创新功能不一定改善利润。网易当前现金来源更成熟，因此可进行应用试验，但股东仍需考察增量经济回报。</w:t>
      </w:r>
    </w:p>
    <w:p>
      <w:pPr>
        <w:pStyle w:val="Normal"/>
        <w:rPr/>
      </w:pPr>
      <w:r>
        <w:rPr/>
        <w:t>相比将公司当成独立大模型供应方，游戏中的人工智能更适合在已经有玩家的场景里验证：版本是否加快、内容质量是否提高、缺陷减少是否缩短上线时间、玩家是否更愿意留存。公司没有全部量化指标，本研究不虚构研发效率提高百分之多少。中报显示研发支出仍增长，意味着人工智能可能同时带来新投入与效率，不能仅计好处不计费用。</w:t>
      </w:r>
    </w:p>
    <w:p>
      <w:pPr>
        <w:pStyle w:val="Normal"/>
        <w:rPr/>
      </w:pPr>
      <w:r>
        <w:rPr/>
        <w:t>有道模型与代理是另一个场景。中报提到</w:t>
      </w:r>
      <w:r>
        <w:rPr/>
        <w:t>Confucius4</w:t>
      </w:r>
      <w:r>
        <w:rPr/>
        <w:t>的数学推理与推理成本改善，以及学习和工作任务代理。数学、教育和工具对准确性与信任要求较高，能力与成本是重要条件，用户愿意持续付费和合规经营同样关键。这一业务当前规模远小于游戏，不能把一个模型更新直接当集团净利润转折，也不能忽视它对教育产品长期竞争力的影响。</w:t>
      </w:r>
    </w:p>
    <w:p>
      <w:pPr>
        <w:pStyle w:val="Normal"/>
        <w:rPr/>
      </w:pPr>
      <w:r>
        <w:rPr/>
        <w:t>人工智能降低内容制作门槛也可能增加行业供给。网易可以提高效率，竞争者同样可以使用工具，新作品数量更多会争夺玩家时间。真正的护城河更可能在玩法、团队协作、社区运营和持续创意，而不是某一种所有开发商都可以采购的工具。五年估值必须同时考虑应用收益和内容供给竞争，不能用人工智能效率故事支持永远更高净利率。</w:t>
      </w:r>
    </w:p>
    <w:p>
      <w:pPr>
        <w:pStyle w:val="Heading2"/>
        <w:rPr/>
      </w:pPr>
      <w:r>
        <w:rPr>
          <w:color w:val="000000"/>
        </w:rPr>
        <w:t>七 有道 云音乐与创新业务的实际分量</w:t>
      </w:r>
    </w:p>
    <w:p>
      <w:pPr>
        <w:pStyle w:val="Normal"/>
        <w:rPr/>
      </w:pPr>
      <w:r>
        <w:rPr/>
        <w:t>二零二六上半年有道收入</w:t>
      </w:r>
      <w:r>
        <w:rPr/>
        <w:t>28.14883</w:t>
      </w:r>
      <w:r>
        <w:rPr/>
        <w:t>亿元，增长百分之三点六；云音乐收入</w:t>
      </w:r>
      <w:r>
        <w:rPr/>
        <w:t>39.58706</w:t>
      </w:r>
      <w:r>
        <w:rPr/>
        <w:t>亿元，增长百分之三点四；创新及其他</w:t>
      </w:r>
      <w:r>
        <w:rPr/>
        <w:t>31.88475</w:t>
      </w:r>
      <w:r>
        <w:rPr/>
        <w:t>亿元，下降百分之四。它们提供不同经营方向，却尚未改变游戏占集团大部分收入的结构。研究不能因为这些业务属于人工智能、音乐和消费便分别给高估值再全部加总，而忽略少数股东和合并口径。</w:t>
      </w:r>
    </w:p>
    <w:p>
      <w:pPr>
        <w:pStyle w:val="Normal"/>
        <w:rPr/>
      </w:pPr>
      <w:r>
        <w:rPr/>
        <w:t>有道涉及学习服务、广告与智能工具，不同业务受教育监管、用户需求和技术竞争影响。二季度有道毛利</w:t>
      </w:r>
      <w:r>
        <w:rPr/>
        <w:t>7.16875</w:t>
      </w:r>
      <w:r>
        <w:rPr/>
        <w:t>亿元，收入</w:t>
      </w:r>
      <w:r>
        <w:rPr/>
        <w:t>14.66861</w:t>
      </w:r>
      <w:r>
        <w:rPr/>
        <w:t>亿元，毛利率约百分之四十八点九，低于游戏业务。它可能通过人工智能工具改善毛利和使用价值，但集团盈利贡献要看分部研发营销与融资成本，中报没有足够资料让本研究独立计算有道自由现金流。</w:t>
      </w:r>
    </w:p>
    <w:p>
      <w:pPr>
        <w:pStyle w:val="Normal"/>
        <w:rPr/>
      </w:pPr>
      <w:r>
        <w:rPr/>
        <w:t>云音乐的优势更接近社区、内容与订阅。上半年在线音乐服务收入约</w:t>
      </w:r>
      <w:r>
        <w:rPr/>
        <w:t>30.67</w:t>
      </w:r>
      <w:r>
        <w:rPr/>
        <w:t>亿元，其他社交娱乐服务约</w:t>
      </w:r>
      <w:r>
        <w:rPr/>
        <w:t>8.91</w:t>
      </w:r>
      <w:r>
        <w:rPr/>
        <w:t>亿元，内容版权与音乐人生态影响差异化和成本。订阅增长可以带来更稳定收入，但用户同时使用多个音乐平台，版权竞争和用户付费意愿会影响利润。二季度云音乐毛利</w:t>
      </w:r>
      <w:r>
        <w:rPr/>
        <w:t>7.40241</w:t>
      </w:r>
      <w:r>
        <w:rPr/>
        <w:t>亿元，对集团游戏毛利</w:t>
      </w:r>
      <w:r>
        <w:rPr/>
        <w:t>190.48823</w:t>
      </w:r>
      <w:r>
        <w:rPr/>
        <w:t>亿元相比仍小，不能夸大其短期支撑。</w:t>
      </w:r>
    </w:p>
    <w:p>
      <w:pPr>
        <w:pStyle w:val="Normal"/>
        <w:rPr/>
      </w:pPr>
      <w:r>
        <w:rPr/>
        <w:t>创新业务包括严选等，二季度毛利</w:t>
      </w:r>
      <w:r>
        <w:rPr/>
        <w:t>7.11386</w:t>
      </w:r>
      <w:r>
        <w:rPr/>
        <w:t>亿元，收入</w:t>
      </w:r>
      <w:r>
        <w:rPr/>
        <w:t>16.39425</w:t>
      </w:r>
      <w:r>
        <w:rPr/>
        <w:t>亿元。消费品需要产品质量、渠道运营和库存管理，与游戏虚拟内容的成本逻辑不同。公司强调可持续发展和效率，是合理方向，但没有充分披露品类利润与库存周转时，本研究不以行业热度计算利润。创新业务的作用应根据集团实际贡献评价，而不是因为某个品类销量榜好看就认为提高整体价值很多。</w:t>
      </w:r>
    </w:p>
    <w:p>
      <w:pPr>
        <w:pStyle w:val="Normal"/>
        <w:rPr/>
      </w:pPr>
      <w:r>
        <w:rPr/>
        <w:t>网易拥有上市子公司，合并利润里需要扣除少数股东份额。一些季度子公司数据按不同会计准则或单独披露要求呈报，不能与网易合并报告直接相加。公司中报明确指出不同会计准则可能产生差异。本章主估值使用网易股东归属的摊薄盈利，不把全部子公司净利润都当网易股东所得，也不同时给子公司市值和其合并盈利重复估值。</w:t>
      </w:r>
    </w:p>
    <w:p>
      <w:pPr>
        <w:pStyle w:val="Heading2"/>
        <w:rPr/>
      </w:pPr>
      <w:r>
        <w:rPr>
          <w:color w:val="000000"/>
        </w:rPr>
        <w:t>八 经营利润强 合并净利润为何下降</w:t>
      </w:r>
    </w:p>
    <w:p>
      <w:pPr>
        <w:pStyle w:val="Normal"/>
        <w:rPr/>
      </w:pPr>
      <w:r>
        <w:rPr/>
        <w:t>二零二六上半年法定经营利润</w:t>
      </w:r>
      <w:r>
        <w:rPr/>
        <w:t>247.46171</w:t>
      </w:r>
      <w:r>
        <w:rPr/>
        <w:t>亿元增长约百分之二十六点九，但归属于公司股东的法定净利润</w:t>
      </w:r>
      <w:r>
        <w:rPr/>
        <w:t>176.54762</w:t>
      </w:r>
      <w:r>
        <w:rPr/>
        <w:t>亿元比上年</w:t>
      </w:r>
      <w:r>
        <w:rPr/>
        <w:t>189.02167</w:t>
      </w:r>
      <w:r>
        <w:rPr/>
        <w:t>亿元下降约百分之六点六；非公认会计原则归母</w:t>
      </w:r>
      <w:r>
        <w:rPr/>
        <w:t>190.21538</w:t>
      </w:r>
      <w:r>
        <w:rPr/>
        <w:t>亿元，比上年</w:t>
      </w:r>
      <w:r>
        <w:rPr/>
        <w:t>207.68658</w:t>
      </w:r>
      <w:r>
        <w:rPr/>
        <w:t>亿元下降约百分之八点四。二季度调整归母</w:t>
      </w:r>
      <w:r>
        <w:rPr/>
        <w:t>77.46714</w:t>
      </w:r>
      <w:r>
        <w:rPr/>
        <w:t>亿元，较上年</w:t>
      </w:r>
      <w:r>
        <w:rPr/>
        <w:t>95.31931</w:t>
      </w:r>
      <w:r>
        <w:rPr/>
        <w:t>亿元下降约百分之十八点七。仅看经营增长就写总净利润高增会产生实质错误。</w:t>
      </w:r>
    </w:p>
    <w:p>
      <w:pPr>
        <w:pStyle w:val="Normal"/>
        <w:rPr/>
      </w:pPr>
      <w:r>
        <w:rPr/>
        <w:t>二季度投资净损失约</w:t>
      </w:r>
      <w:r>
        <w:rPr/>
        <w:t>29.53671</w:t>
      </w:r>
      <w:r>
        <w:rPr/>
        <w:t>亿元，上年同期为投资净收入</w:t>
      </w:r>
      <w:r>
        <w:rPr/>
        <w:t>3.28444</w:t>
      </w:r>
      <w:r>
        <w:rPr/>
        <w:t>亿元；二季度净汇兑损失</w:t>
      </w:r>
      <w:r>
        <w:rPr/>
        <w:t>4.36492</w:t>
      </w:r>
      <w:r>
        <w:rPr/>
        <w:t>亿元，上年同期净收益</w:t>
      </w:r>
      <w:r>
        <w:rPr/>
        <w:t>1.14037</w:t>
      </w:r>
      <w:r>
        <w:rPr/>
        <w:t>亿元。中报说明投资公允价值下降与减值是主要原因。这类项目可能不消耗同期经营现金，但它们代表资产价值风险或报表变动，不能全部忽略，也不能把所有波动都归为正常游戏运营。</w:t>
      </w:r>
    </w:p>
    <w:p>
      <w:pPr>
        <w:pStyle w:val="Normal"/>
        <w:rPr/>
      </w:pPr>
      <w:r>
        <w:rPr/>
        <w:t>税务进一步影响净利。二季度税前利润</w:t>
      </w:r>
      <w:r>
        <w:rPr/>
        <w:t>96.25234</w:t>
      </w:r>
      <w:r>
        <w:rPr/>
        <w:t>亿元，所得税</w:t>
      </w:r>
      <w:r>
        <w:rPr/>
        <w:t>24.58674</w:t>
      </w:r>
      <w:r>
        <w:rPr/>
        <w:t>亿元，粗算有效税率约百分之二十五点五；上年同季约百分之十四点七。上半年所得税</w:t>
      </w:r>
      <w:r>
        <w:rPr/>
        <w:t>49.82512</w:t>
      </w:r>
      <w:r>
        <w:rPr/>
        <w:t>亿元，比上年</w:t>
      </w:r>
      <w:r>
        <w:rPr/>
        <w:t>34.659</w:t>
      </w:r>
      <w:r>
        <w:rPr/>
        <w:t>亿元提高，递延税项目也发生变化。一次季度高税率可能受投资与不同实体税率影响，不能永久外推，但如果模型仍用低税率时代净利率估未来，就会高估利润。</w:t>
      </w:r>
    </w:p>
    <w:p>
      <w:pPr>
        <w:pStyle w:val="Normal"/>
        <w:rPr/>
      </w:pPr>
      <w:r>
        <w:rPr/>
        <w:t>网易非公认会计原则只加回股份报酬，因此投资、汇兑及税变化仍影响调整净利。这个定义与某些平台剔除更多投资估值变动的调整利润不同，横向比较必须说明。机构报告经常额外关注经调整经营利润，本研究同时展示法定经营、法定归母与公司调整归母，让读者知道是在比较哪一层收益，避免把口径不同的增长数字拼成一个乐观故事。</w:t>
      </w:r>
    </w:p>
    <w:p>
      <w:pPr>
        <w:pStyle w:val="Normal"/>
        <w:rPr/>
      </w:pPr>
      <w:r>
        <w:rPr/>
        <w:t>当前证据支持游戏经营质量改善，尚不能证明集团净利润已经同步增长。自有年底每股收益基准</w:t>
      </w:r>
      <w:r>
        <w:rPr/>
        <w:t>12</w:t>
      </w:r>
      <w:r>
        <w:rPr/>
        <w:t>元仅比二零二五</w:t>
      </w:r>
      <w:r>
        <w:rPr/>
        <w:t>11.60</w:t>
      </w:r>
      <w:r>
        <w:rPr/>
        <w:t>元稍高，并没有把上半年经营增速直接乘到集团摊薄盈利上。若投资与税影响逐步正常化，未来归母盈利可能改善；若投资资产继续减值或税率维持较高，经营利润上升也可能被抵销，需在盈利情景中保留范围。</w:t>
      </w:r>
    </w:p>
    <w:p>
      <w:pPr>
        <w:pStyle w:val="Heading2"/>
        <w:rPr/>
      </w:pPr>
      <w:r>
        <w:rPr>
          <w:color w:val="000000"/>
        </w:rPr>
        <w:t>九 现金余额 自由现金与资金配置</w:t>
      </w:r>
    </w:p>
    <w:p>
      <w:pPr>
        <w:pStyle w:val="Normal"/>
        <w:rPr/>
      </w:pPr>
      <w:r>
        <w:rPr/>
        <w:t>二零二六六月底公司定义的净现金约</w:t>
      </w:r>
      <w:r>
        <w:rPr/>
        <w:t>1675</w:t>
      </w:r>
      <w:r>
        <w:rPr/>
        <w:t>亿元，相比二零二五年底</w:t>
      </w:r>
      <w:r>
        <w:rPr/>
        <w:t>1635</w:t>
      </w:r>
      <w:r>
        <w:rPr/>
        <w:t>亿元增加。定义包括现金等价物、不同期限存款、受限制现金及短期投资扣贷款，它并不是银行账户即时可自由分配的全部现金。六月底现金及等价物约</w:t>
      </w:r>
      <w:r>
        <w:rPr/>
        <w:t>228.14542</w:t>
      </w:r>
      <w:r>
        <w:rPr/>
        <w:t>亿元，部分广义现金以存款和产品形式存在。投资者要区分流动性、净金融资源和法律可分配现金，不能全部等价处理。</w:t>
      </w:r>
    </w:p>
    <w:p>
      <w:pPr>
        <w:pStyle w:val="Normal"/>
        <w:rPr/>
      </w:pPr>
      <w:r>
        <w:rPr/>
        <w:t>上半年经营活动现金净流入</w:t>
      </w:r>
      <w:r>
        <w:rPr/>
        <w:t>237.06</w:t>
      </w:r>
      <w:r>
        <w:rPr/>
        <w:t>亿元，比上年</w:t>
      </w:r>
      <w:r>
        <w:rPr/>
        <w:t>229.68515</w:t>
      </w:r>
      <w:r>
        <w:rPr/>
        <w:t>亿元增长约百分之三点二，二季度</w:t>
      </w:r>
      <w:r>
        <w:rPr/>
        <w:t>99.72929</w:t>
      </w:r>
      <w:r>
        <w:rPr/>
        <w:t>亿元，相比一季度</w:t>
      </w:r>
      <w:r>
        <w:rPr/>
        <w:t>137.33071</w:t>
      </w:r>
      <w:r>
        <w:rPr/>
        <w:t>亿元下降。这比调整净利润更能反映经营现金收款与付款，但受合同负债、税和薪酬付款时点影响。经营现金流仍强，不代表每季度都与经营利润同步，必须结合资产负债变化理解。</w:t>
      </w:r>
    </w:p>
    <w:p>
      <w:pPr>
        <w:pStyle w:val="Normal"/>
        <w:rPr/>
      </w:pPr>
      <w:r>
        <w:rPr/>
        <w:t>上半年购买物业设备软件现金</w:t>
      </w:r>
      <w:r>
        <w:rPr/>
        <w:t>3.30933</w:t>
      </w:r>
      <w:r>
        <w:rPr/>
        <w:t>亿元，购买无形资产内容和授权版权</w:t>
      </w:r>
      <w:r>
        <w:rPr/>
        <w:t>3.51573</w:t>
      </w:r>
      <w:r>
        <w:rPr/>
        <w:t>亿元。在一个明示的广义维护投入计算下，经营现金流减去这两项约</w:t>
      </w:r>
      <w:r>
        <w:rPr/>
        <w:t>230.23494</w:t>
      </w:r>
      <w:r>
        <w:rPr/>
        <w:t>亿元。这是本研究计算的现金近似指标，不是公司正式定义的自由现金流，不能与腾讯的公司自由现金口径无解释比较。游戏研发费用多数已经进入经营成本，不能把轻固定资产投入误认为研发完全没有现金开支。</w:t>
      </w:r>
    </w:p>
    <w:p>
      <w:pPr>
        <w:pStyle w:val="Normal"/>
        <w:rPr/>
      </w:pPr>
      <w:r>
        <w:rPr/>
        <w:t>二季度投资活动大量净流出主要涉及短期投资与存款配置，未必代表经营恶化。公司现金及受限现金余额下降的同时，广义净现金增加，就是资金从即时现金转向存款和金融资产的可能表现。判断现金安全需要看资产质量、期限和受限情况，而不仅看现金等价物一项突然下降。投资产品仍有对手方、市场与监管风险，不能把广义净现金设成股价不可跌破的底线。</w:t>
      </w:r>
    </w:p>
    <w:p>
      <w:pPr>
        <w:pStyle w:val="Normal"/>
        <w:rPr/>
      </w:pPr>
      <w:r>
        <w:rPr/>
        <w:t>二零二五全年经营现金流约</w:t>
      </w:r>
      <w:r>
        <w:rPr/>
        <w:t>507</w:t>
      </w:r>
      <w:r>
        <w:rPr/>
        <w:t>亿元，提供股息、回购和研发资源；今年上半年保持较大流入，使公司较能承受新品延迟。但公司可以把现金用于长期项目或投资，股东不一定立即获得。适合长期推荐的条件是资本投入有合理回报、控制股本稀释并对低回报项目有退出纪律，现金规模本身只能说明可选择空间，不能保证管理层每项决策正确。</w:t>
      </w:r>
    </w:p>
    <w:p>
      <w:pPr>
        <w:pStyle w:val="Heading2"/>
        <w:rPr/>
      </w:pPr>
      <w:r>
        <w:rPr>
          <w:color w:val="000000"/>
        </w:rPr>
        <w:t>十 分红 回购与美国存托股比例</w:t>
      </w:r>
    </w:p>
    <w:p>
      <w:pPr>
        <w:pStyle w:val="Normal"/>
        <w:rPr/>
      </w:pPr>
      <w:r>
        <w:rPr/>
        <w:t>公司二零二六第一季度批准每普通股</w:t>
      </w:r>
      <w:r>
        <w:rPr/>
        <w:t>0.144</w:t>
      </w:r>
      <w:r>
        <w:rPr/>
        <w:t>美元股息，二季度</w:t>
      </w:r>
      <w:r>
        <w:rPr/>
        <w:t>0.096</w:t>
      </w:r>
      <w:r>
        <w:rPr/>
        <w:t>美元，分别对应每美国存托股</w:t>
      </w:r>
      <w:r>
        <w:rPr/>
        <w:t>0.720</w:t>
      </w:r>
      <w:r>
        <w:rPr/>
        <w:t>与</w:t>
      </w:r>
      <w:r>
        <w:rPr/>
        <w:t>0.480</w:t>
      </w:r>
      <w:r>
        <w:rPr/>
        <w:t>美元。季度股息由董事会根据经营、盈利、现金流和财务状况决定，没有保证永久维持固定比例。二季度股息记录日九月三日，已在本研究价格基准之前，不能将这笔已除权支付的收益再次加入从十月九日起的预期回报。</w:t>
      </w:r>
    </w:p>
    <w:p>
      <w:pPr>
        <w:pStyle w:val="Normal"/>
        <w:rPr/>
      </w:pPr>
      <w:r>
        <w:rPr/>
        <w:t>美国存托股与港股普通股比例是最容易出现估值错误的地方。一份存托股对应五股普通股，报表列出每股与每存托股收益，机构也可能给美元存托股目标。把美元目标直接改成港元或漏除五，会使价值差错巨大。本章所有盈利按人民币普通股计算，再换港元；如果引用美国股价，必须先按币种和五股比例转换。</w:t>
      </w:r>
    </w:p>
    <w:p>
      <w:pPr>
        <w:pStyle w:val="Normal"/>
        <w:rPr/>
      </w:pPr>
      <w:r>
        <w:rPr/>
        <w:t>公司回购授权二零二五十一月延长至二零二九一月九日，总额度上限五十亿美元，是否执行取决于市场条件，可暂停。授权不是已投入现金，也不证明管理层保证股价上涨。回购能够减少流通股份或用于激励，实际每股价值影响取决于是否注销、股份报酬发行、买入价格和现金替代用途。模型已在摊薄每股收益里考虑股本结果，不额外把回购金额加到投资者总回报。</w:t>
      </w:r>
    </w:p>
    <w:p>
      <w:pPr>
        <w:pStyle w:val="Normal"/>
        <w:rPr/>
      </w:pPr>
      <w:r>
        <w:rPr/>
        <w:t>二零二五摊薄普通股加权股数约</w:t>
      </w:r>
      <w:r>
        <w:rPr/>
        <w:t>32.18174</w:t>
      </w:r>
      <w:r>
        <w:rPr/>
        <w:t>亿股，上半年二零二六约</w:t>
      </w:r>
      <w:r>
        <w:rPr/>
        <w:t>32.24495</w:t>
      </w:r>
      <w:r>
        <w:rPr/>
        <w:t>亿股，并没有因为有回购计划就自动持续减少。股权激励和其他股份变化可能抵销部分回购。非公认会计原则利润加回股份报酬并不代表这类成本无经济影响，投资者应观察净股数和资本配置，而不是只对回购额度给高分。</w:t>
      </w:r>
    </w:p>
    <w:p>
      <w:pPr>
        <w:pStyle w:val="Normal"/>
        <w:rPr/>
      </w:pPr>
      <w:r>
        <w:rPr/>
        <w:t>中报部分回购明细的存托股标签与每单位价格在初步读取中有比例疑点，本研究不使用这些价格计算管理层买入均价，也不据此判断股票支撑。正文使用现金流披露的回购及子公司股权购买合并付款项目时同样保留口径，不能将全部付款都认定为网易普通股注销。已知比例规则比任何自动提取数字更重要，疑点应先核验而非用近似填入。</w:t>
      </w:r>
    </w:p>
    <w:p>
      <w:pPr>
        <w:pStyle w:val="Heading2"/>
        <w:rPr/>
      </w:pPr>
      <w:r>
        <w:rPr>
          <w:color w:val="000000"/>
        </w:rPr>
        <w:t xml:space="preserve">十一 </w:t>
      </w:r>
      <w:r>
        <w:rPr>
          <w:color w:val="000000"/>
        </w:rPr>
        <w:t>K</w:t>
      </w:r>
      <w:r>
        <w:rPr>
          <w:color w:val="000000"/>
        </w:rPr>
        <w:t>线趋势与成交量的半年意义</w:t>
      </w:r>
    </w:p>
    <w:p>
      <w:pPr>
        <w:pStyle w:val="Normal"/>
        <w:rPr/>
      </w:pPr>
      <w:r>
        <w:rPr/>
        <w:t>十月九日网易开</w:t>
      </w:r>
      <w:r>
        <w:rPr/>
        <w:t>185.2</w:t>
      </w:r>
      <w:r>
        <w:rPr/>
        <w:t>港元，日内最低</w:t>
      </w:r>
      <w:r>
        <w:rPr/>
        <w:t>185.2</w:t>
      </w:r>
      <w:r>
        <w:rPr/>
        <w:t>，最高</w:t>
      </w:r>
      <w:r>
        <w:rPr/>
        <w:t>194.5</w:t>
      </w:r>
      <w:r>
        <w:rPr/>
        <w:t>，收</w:t>
      </w:r>
      <w:r>
        <w:rPr/>
        <w:t>193.5</w:t>
      </w:r>
      <w:r>
        <w:rPr/>
        <w:t>，相比前收</w:t>
      </w:r>
      <w:r>
        <w:rPr/>
        <w:t>186.5</w:t>
      </w:r>
      <w:r>
        <w:rPr/>
        <w:t>上涨百分之三点七五。收盘接近高位、从低开回升显示当日需求较强。近二十日归一复权收益正百分之五点六八，近六十日负百分之五点三八，近一百二十日正百分之六点二八，近二百五十日负百分之十九点二六。不同周期方向交错，应称为修复与震荡，不是整齐的长期上升通道。</w:t>
      </w:r>
    </w:p>
    <w:p>
      <w:pPr>
        <w:pStyle w:val="Normal"/>
        <w:rPr/>
      </w:pPr>
      <w:r>
        <w:rPr/>
        <w:t>二十日均线</w:t>
      </w:r>
      <w:r>
        <w:rPr/>
        <w:t>186.51</w:t>
      </w:r>
      <w:r>
        <w:rPr/>
        <w:t>港元，六十日</w:t>
      </w:r>
      <w:r>
        <w:rPr/>
        <w:t>192.91</w:t>
      </w:r>
      <w:r>
        <w:rPr/>
        <w:t>，一百二十日</w:t>
      </w:r>
      <w:r>
        <w:rPr/>
        <w:t>191.34</w:t>
      </w:r>
      <w:r>
        <w:rPr/>
        <w:t>，二百五十日</w:t>
      </w:r>
      <w:r>
        <w:rPr/>
        <w:t>198.49</w:t>
      </w:r>
      <w:r>
        <w:rPr/>
        <w:t>。现价高于前三条约百分之三点七五、零点三一、一点一三，低于二百五十日线约百分之二点五一。二十和一百二十日线近五日斜率略正，六十和二百五十日线仍向下。这比腾讯低于四条均线的结构有进步，长期压力还未消除。</w:t>
      </w:r>
    </w:p>
    <w:p>
      <w:pPr>
        <w:pStyle w:val="Normal"/>
        <w:rPr/>
      </w:pPr>
      <w:r>
        <w:rPr/>
        <w:t>日成交约</w:t>
      </w:r>
      <w:r>
        <w:rPr/>
        <w:t>777.78</w:t>
      </w:r>
      <w:r>
        <w:rPr/>
        <w:t>万股，成交额约</w:t>
      </w:r>
      <w:r>
        <w:rPr/>
        <w:t>14.94</w:t>
      </w:r>
      <w:r>
        <w:rPr/>
        <w:t>亿港元，前二十日平均约</w:t>
      </w:r>
      <w:r>
        <w:rPr/>
        <w:t>538.13</w:t>
      </w:r>
      <w:r>
        <w:rPr/>
        <w:t>万股，量比一点四四五。五、二十、六十日均量约</w:t>
      </w:r>
      <w:r>
        <w:rPr/>
        <w:t>406.12</w:t>
      </w:r>
      <w:r>
        <w:rPr/>
        <w:t>、</w:t>
      </w:r>
      <w:r>
        <w:rPr/>
        <w:t>539.02</w:t>
      </w:r>
      <w:r>
        <w:rPr/>
        <w:t>、</w:t>
      </w:r>
      <w:r>
        <w:rPr/>
        <w:t>663.15</w:t>
      </w:r>
      <w:r>
        <w:rPr/>
        <w:t>万股，说明当日反弹较近期平均活跃，但前期总体成交仍比六十日低。上涨放量是修复信号，只有后续价格推进与回踩表现配合，才更接近趋势转强。</w:t>
      </w:r>
    </w:p>
    <w:p>
      <w:pPr>
        <w:pStyle w:val="Normal"/>
        <w:rPr/>
      </w:pPr>
      <w:r>
        <w:rPr/>
        <w:t>最近二十日上涨日七个、下跌日十一个，另有平盘日；上涨日成交约</w:t>
      </w:r>
      <w:r>
        <w:rPr/>
        <w:t>4310.71</w:t>
      </w:r>
      <w:r>
        <w:rPr/>
        <w:t>万股，下跌日</w:t>
      </w:r>
      <w:r>
        <w:rPr/>
        <w:t>5759.13</w:t>
      </w:r>
      <w:r>
        <w:rPr/>
        <w:t>万股，累积比约零点七五。上涨日较少，累积成交比较不能直接断言卖方占优，更不能从该比推断机构进出。它提示仅一个强反弹日尚不足以改变整个区间成交分布，应看后续上涨是否延续、回落是否需要更少成交完成。</w:t>
      </w:r>
    </w:p>
    <w:p>
      <w:pPr>
        <w:pStyle w:val="Normal"/>
        <w:rPr/>
      </w:pPr>
      <w:r>
        <w:rPr/>
        <w:t>最近二十日区间低</w:t>
      </w:r>
      <w:r>
        <w:rPr/>
        <w:t>179</w:t>
      </w:r>
      <w:r>
        <w:rPr/>
        <w:t>港元、高</w:t>
      </w:r>
      <w:r>
        <w:rPr/>
        <w:t>194.5</w:t>
      </w:r>
      <w:r>
        <w:rPr/>
        <w:t>，现价距低点负百分之七点四九、距高点正百分之零点五二。最近六十日高约</w:t>
      </w:r>
      <w:r>
        <w:rPr/>
        <w:t>212.89</w:t>
      </w:r>
      <w:r>
        <w:rPr/>
        <w:t>，距离正百分之十点零二。</w:t>
      </w:r>
      <w:r>
        <w:rPr/>
        <w:t>179</w:t>
      </w:r>
      <w:r>
        <w:rPr/>
        <w:t>是近期风险观察区域，</w:t>
      </w:r>
      <w:r>
        <w:rPr/>
        <w:t>194.5</w:t>
      </w:r>
      <w:r>
        <w:rPr/>
        <w:t>是近端区间突破观察位，</w:t>
      </w:r>
      <w:r>
        <w:rPr/>
        <w:t>198.49</w:t>
      </w:r>
      <w:r>
        <w:rPr/>
        <w:t>附近为长期均线压力，</w:t>
      </w:r>
      <w:r>
        <w:rPr/>
        <w:t>212.89</w:t>
      </w:r>
      <w:r>
        <w:rPr/>
        <w:t>是更高区间观察位置。这些是机械区间高低，没有触碰次数或订单数据，不能写成必守支撑和必到目标。</w:t>
      </w:r>
    </w:p>
    <w:p>
      <w:pPr>
        <w:pStyle w:val="Normal"/>
        <w:rPr/>
      </w:pPr>
      <w:r>
        <w:rPr/>
        <w:t>十四日相对强弱指数约</w:t>
      </w:r>
      <w:r>
        <w:rPr/>
        <w:t>56.9</w:t>
      </w:r>
      <w:r>
        <w:rPr/>
        <w:t>，已有修复但未极端过热；日线快慢均线差约负</w:t>
      </w:r>
      <w:r>
        <w:rPr/>
        <w:t>0.23</w:t>
      </w:r>
      <w:r>
        <w:rPr/>
        <w:t>，信号负</w:t>
      </w:r>
      <w:r>
        <w:rPr/>
        <w:t>1.08</w:t>
      </w:r>
      <w:r>
        <w:rPr/>
        <w:t>，柱值正</w:t>
      </w:r>
      <w:r>
        <w:rPr/>
        <w:t>1.70</w:t>
      </w:r>
      <w:r>
        <w:rPr/>
        <w:t>，体现短期动能改善而绝对趋势尚未全面转正。平均真实波幅约</w:t>
      </w:r>
      <w:r>
        <w:rPr/>
        <w:t>5.45</w:t>
      </w:r>
      <w:r>
        <w:rPr/>
        <w:t>港元，占现价约百分之二点八二。接近</w:t>
      </w:r>
      <w:r>
        <w:rPr/>
        <w:t>194.5</w:t>
      </w:r>
      <w:r>
        <w:rPr/>
        <w:t>区间顶时日内波动足以改变位置，单日收复不应代替连续验证，不把正常波幅当损失概率或止损保证。</w:t>
      </w:r>
    </w:p>
    <w:p>
      <w:pPr>
        <w:pStyle w:val="Normal"/>
        <w:rPr/>
      </w:pPr>
      <w:r>
        <w:rPr/>
        <w:t>周线二十周均线</w:t>
      </w:r>
      <w:r>
        <w:rPr/>
        <w:t>193.87</w:t>
      </w:r>
      <w:r>
        <w:rPr/>
        <w:t>、六十周</w:t>
      </w:r>
      <w:r>
        <w:rPr/>
        <w:t>200.29</w:t>
      </w:r>
      <w:r>
        <w:rPr/>
        <w:t>、一百二十周</w:t>
      </w:r>
      <w:r>
        <w:rPr/>
        <w:t>179.08</w:t>
      </w:r>
      <w:r>
        <w:rPr/>
        <w:t>港元，现价略低二十周和六十周、高于一百二十周。周线相对强弱指数约</w:t>
      </w:r>
      <w:r>
        <w:rPr/>
        <w:t>51</w:t>
      </w:r>
      <w:r>
        <w:rPr/>
        <w:t>，二十周均线转升而六十周仍下降，日线修复领先于较慢周期。数据只有约三年，二百五十周均线不存在，不能补造。多年股息需要复权，不能用未复权老高点与当前归一指标混合讨论。</w:t>
      </w:r>
    </w:p>
    <w:p>
      <w:pPr>
        <w:pStyle w:val="Normal"/>
        <w:rPr/>
      </w:pPr>
      <w:r>
        <w:rPr/>
        <w:t>相对恒生指数近二十日超额约正百分之八点六六，近六十日负百分之二点一九；相对恒生科技约正百分之八点七四和七点七九。这说明最近修复较强，六十日仍略弱于大盘，却好于粗粒度科技指数。独立</w:t>
      </w:r>
      <w:r>
        <w:rPr/>
        <w:t>Yahoo</w:t>
      </w:r>
      <w:r>
        <w:rPr/>
        <w:t>复权日线与腾讯十月九日报价核验后可以支持这些计算，但指数成分与网易游戏行业不完全一致，应说明基准只提供相对参考。</w:t>
      </w:r>
    </w:p>
    <w:p>
      <w:pPr>
        <w:pStyle w:val="Normal"/>
        <w:rPr/>
      </w:pPr>
      <w:r>
        <w:rPr/>
        <w:t>半年趋势验证应先看价格能否带量突破</w:t>
      </w:r>
      <w:r>
        <w:rPr/>
        <w:t>194.5</w:t>
      </w:r>
      <w:r>
        <w:rPr/>
        <w:t>并持续站上</w:t>
      </w:r>
      <w:r>
        <w:rPr/>
        <w:t>198.49</w:t>
      </w:r>
      <w:r>
        <w:rPr/>
        <w:t>附近，再看回踩二十、六十日均线时成交是否降低且承接稳定。如果突破后很快放量回到</w:t>
      </w:r>
      <w:r>
        <w:rPr/>
        <w:t>192</w:t>
      </w:r>
      <w:r>
        <w:rPr/>
        <w:t>以下，或者接近</w:t>
      </w:r>
      <w:r>
        <w:rPr/>
        <w:t>179</w:t>
      </w:r>
      <w:r>
        <w:rPr/>
        <w:t>发生连续弱势，修复假设需要撤回。技术形态帮助选择观察时机，不解释公司真实内在价值，也不能把少于百分之八的区间距离称为完整下行风险。</w:t>
      </w:r>
    </w:p>
    <w:p>
      <w:pPr>
        <w:pStyle w:val="Heading2"/>
        <w:rPr/>
      </w:pPr>
      <w:r>
        <w:rPr>
          <w:color w:val="000000"/>
        </w:rPr>
        <w:t>十二 行业周期 经济与政策</w:t>
      </w:r>
    </w:p>
    <w:p>
      <w:pPr>
        <w:pStyle w:val="Normal"/>
        <w:rPr/>
      </w:pPr>
      <w:r>
        <w:rPr/>
        <w:t>游戏既有娱乐需求稳定的一面，也有消费者预算和内容供给变化的一面。弱经济不一定使游戏同比例下滑，因为部分线上娱乐成本较低，但玩家付费、广告和硬件消费仍可能受到影响。网易收入增长来自自研产品与渠道改善，不宜仅用宏观消费恢复预测。若宏观仍弱而游戏体验好，市场份额可能提高；若新品和玩家参与弱，经济改善也不能自动拯救。</w:t>
      </w:r>
    </w:p>
    <w:p>
      <w:pPr>
        <w:pStyle w:val="Normal"/>
        <w:rPr/>
      </w:pPr>
      <w:r>
        <w:rPr/>
        <w:t>游戏监管涉及版号、内容、未成年人保护和消费权益，稳定的审批节奏有利于排期，产品品质仍决定商业成功。网易规模和合规能力是相对优势，同时大型游戏承担更高社会责任。未来人工智能生成内容需要标签、审核和权利管理，研发效率提升可能增加治理成本，经营模型需考虑规则变化，而不是只在风险章节列一个政策词。</w:t>
      </w:r>
    </w:p>
    <w:p>
      <w:pPr>
        <w:pStyle w:val="Normal"/>
        <w:rPr/>
      </w:pPr>
      <w:r>
        <w:rPr/>
        <w:t>全球平台规则、知识产权和授权协议影响境外经营。自研技术和原创内容可以降低某些授权依赖，但并不能免除不同司法区域的隐私、支付与消费者权益要求。海外团队、发行和云服务也受地缘政治与跨境技术环境影响。相比需要大量先进算力训练的模型公司，网易的风险传导较间接，但不能认为完全没有算力和全球技术供应约束。</w:t>
      </w:r>
    </w:p>
    <w:p>
      <w:pPr>
        <w:pStyle w:val="Normal"/>
        <w:rPr/>
      </w:pPr>
      <w:r>
        <w:rPr/>
        <w:t>利率影响庞大存款与金融投资收益，也影响市场愿意给予的市盈率。降息可能提高长期利润折现价值，却降低利息收益。二零二六上半年净利息收入</w:t>
      </w:r>
      <w:r>
        <w:rPr/>
        <w:t>17.53468</w:t>
      </w:r>
      <w:r>
        <w:rPr/>
        <w:t>亿元，相比上年</w:t>
      </w:r>
      <w:r>
        <w:rPr/>
        <w:t>20.14376</w:t>
      </w:r>
      <w:r>
        <w:rPr/>
        <w:t>亿元下降，就是合并盈利中一个实际影响。研究模型用整体每股收益，应把利息变化放入盈利情景，不能同时给利率下行高估值利好而保持高利息收入不变。</w:t>
      </w:r>
    </w:p>
    <w:p>
      <w:pPr>
        <w:pStyle w:val="Normal"/>
        <w:rPr/>
      </w:pPr>
      <w:r>
        <w:rPr/>
        <w:t>汇率与资产价格影响投资和汇兑利润，公司上半年净汇兑损失</w:t>
      </w:r>
      <w:r>
        <w:rPr/>
        <w:t>10.586</w:t>
      </w:r>
      <w:r>
        <w:rPr/>
        <w:t>亿元，说明这不只是理论变量。现金与金融资产币种、境外业务收入和借款可能产生不同方向，外汇变动不能统一视为利好。采用每人民币兑换</w:t>
      </w:r>
      <w:r>
        <w:rPr/>
        <w:t>1.10</w:t>
      </w:r>
      <w:r>
        <w:rPr/>
        <w:t>港元的研究输入只为统一估值，实际人民币投资者还需计算港元资产终值转换，个人税费不计入本章模型。</w:t>
      </w:r>
    </w:p>
    <w:p>
      <w:pPr>
        <w:pStyle w:val="Heading2"/>
        <w:rPr/>
      </w:pPr>
      <w:r>
        <w:rPr>
          <w:color w:val="000000"/>
        </w:rPr>
        <w:t>十三 自有盈利假设与估值边界</w:t>
      </w:r>
    </w:p>
    <w:p>
      <w:pPr>
        <w:pStyle w:val="Normal"/>
        <w:rPr/>
      </w:pPr>
      <w:r>
        <w:rPr/>
        <w:t>年底目标时点未来十二个月摊薄调整每股收益分别为</w:t>
      </w:r>
      <w:r>
        <w:rPr/>
        <w:t>10</w:t>
      </w:r>
      <w:r>
        <w:rPr/>
        <w:t>、</w:t>
      </w:r>
      <w:r>
        <w:rPr/>
        <w:t>12</w:t>
      </w:r>
      <w:r>
        <w:rPr/>
        <w:t>、</w:t>
      </w:r>
      <w:r>
        <w:rPr/>
        <w:t>13.5</w:t>
      </w:r>
      <w:r>
        <w:rPr/>
        <w:t>元人民币，对应</w:t>
      </w:r>
      <w:r>
        <w:rPr/>
        <w:t>12</w:t>
      </w:r>
      <w:r>
        <w:rPr/>
        <w:t>、</w:t>
      </w:r>
      <w:r>
        <w:rPr/>
        <w:t>16</w:t>
      </w:r>
      <w:r>
        <w:rPr/>
        <w:t>、</w:t>
      </w:r>
      <w:r>
        <w:rPr/>
        <w:t>20</w:t>
      </w:r>
      <w:r>
        <w:rPr/>
        <w:t>倍市盈率。二零二五历史调整摊薄</w:t>
      </w:r>
      <w:r>
        <w:rPr/>
        <w:t>11.60</w:t>
      </w:r>
      <w:r>
        <w:rPr/>
        <w:t>元，上半年二零二六</w:t>
      </w:r>
      <w:r>
        <w:rPr/>
        <w:t>5.90</w:t>
      </w:r>
      <w:r>
        <w:rPr/>
        <w:t>元但同比下滑，年底基准</w:t>
      </w:r>
      <w:r>
        <w:rPr/>
        <w:t>12</w:t>
      </w:r>
      <w:r>
        <w:rPr/>
        <w:t>元并非按经营增速盲目上调。悲观包含投资税务或产品压力，乐观需要经营改善继续且非经营拖累减轻。目标时点未来十二个月口径不等于二零二六全年已实现利润。</w:t>
      </w:r>
    </w:p>
    <w:p>
      <w:pPr>
        <w:pStyle w:val="Normal"/>
        <w:rPr/>
      </w:pPr>
      <w:r>
        <w:rPr/>
        <w:t>半年每股收益</w:t>
      </w:r>
      <w:r>
        <w:rPr/>
        <w:t>10.5</w:t>
      </w:r>
      <w:r>
        <w:rPr/>
        <w:t>、</w:t>
      </w:r>
      <w:r>
        <w:rPr/>
        <w:t>12.5</w:t>
      </w:r>
      <w:r>
        <w:rPr/>
        <w:t>、</w:t>
      </w:r>
      <w:r>
        <w:rPr/>
        <w:t>14</w:t>
      </w:r>
      <w:r>
        <w:rPr/>
        <w:t>元配</w:t>
      </w:r>
      <w:r>
        <w:rPr/>
        <w:t>12</w:t>
      </w:r>
      <w:r>
        <w:rPr/>
        <w:t>、</w:t>
      </w:r>
      <w:r>
        <w:rPr/>
        <w:t>17</w:t>
      </w:r>
      <w:r>
        <w:rPr/>
        <w:t>、</w:t>
      </w:r>
      <w:r>
        <w:rPr/>
        <w:t>21</w:t>
      </w:r>
      <w:r>
        <w:rPr/>
        <w:t>倍；一年</w:t>
      </w:r>
      <w:r>
        <w:rPr/>
        <w:t>11</w:t>
      </w:r>
      <w:r>
        <w:rPr/>
        <w:t>、</w:t>
      </w:r>
      <w:r>
        <w:rPr/>
        <w:t>13</w:t>
      </w:r>
      <w:r>
        <w:rPr/>
        <w:t>、</w:t>
      </w:r>
      <w:r>
        <w:rPr/>
        <w:t>15</w:t>
      </w:r>
      <w:r>
        <w:rPr/>
        <w:t>元配</w:t>
      </w:r>
      <w:r>
        <w:rPr/>
        <w:t>12</w:t>
      </w:r>
      <w:r>
        <w:rPr/>
        <w:t>、</w:t>
      </w:r>
      <w:r>
        <w:rPr/>
        <w:t>18</w:t>
      </w:r>
      <w:r>
        <w:rPr/>
        <w:t>、</w:t>
      </w:r>
      <w:r>
        <w:rPr/>
        <w:t>22</w:t>
      </w:r>
      <w:r>
        <w:rPr/>
        <w:t>倍。基准需要游戏收入持续中等增长、渠道优势保持但不继续无限扩张、费用和税务趋于正常。乐观需要新作品与成熟产品共同提高收入，投放和研发保持效率，同时市场认可更高质量；悲观则包括新品表现弱、投资损失持续和高毛利回落。</w:t>
      </w:r>
    </w:p>
    <w:p>
      <w:pPr>
        <w:pStyle w:val="Normal"/>
        <w:rPr/>
      </w:pPr>
      <w:r>
        <w:rPr/>
        <w:t>三年每股收益</w:t>
      </w:r>
      <w:r>
        <w:rPr/>
        <w:t>11</w:t>
      </w:r>
      <w:r>
        <w:rPr/>
        <w:t>、</w:t>
      </w:r>
      <w:r>
        <w:rPr/>
        <w:t>16</w:t>
      </w:r>
      <w:r>
        <w:rPr/>
        <w:t>、</w:t>
      </w:r>
      <w:r>
        <w:rPr/>
        <w:t>21</w:t>
      </w:r>
      <w:r>
        <w:rPr/>
        <w:t>元配</w:t>
      </w:r>
      <w:r>
        <w:rPr/>
        <w:t>11</w:t>
      </w:r>
      <w:r>
        <w:rPr/>
        <w:t>、</w:t>
      </w:r>
      <w:r>
        <w:rPr/>
        <w:t>17</w:t>
      </w:r>
      <w:r>
        <w:rPr/>
        <w:t>、</w:t>
      </w:r>
      <w:r>
        <w:rPr/>
        <w:t>22</w:t>
      </w:r>
      <w:r>
        <w:rPr/>
        <w:t>倍，五年</w:t>
      </w:r>
      <w:r>
        <w:rPr/>
        <w:t>10</w:t>
      </w:r>
      <w:r>
        <w:rPr/>
        <w:t>、</w:t>
      </w:r>
      <w:r>
        <w:rPr/>
        <w:t>19</w:t>
      </w:r>
      <w:r>
        <w:rPr/>
        <w:t>、</w:t>
      </w:r>
      <w:r>
        <w:rPr/>
        <w:t>28</w:t>
      </w:r>
      <w:r>
        <w:rPr/>
        <w:t>元配</w:t>
      </w:r>
      <w:r>
        <w:rPr/>
        <w:t>10</w:t>
      </w:r>
      <w:r>
        <w:rPr/>
        <w:t>、</w:t>
      </w:r>
      <w:r>
        <w:rPr/>
        <w:t>16</w:t>
      </w:r>
      <w:r>
        <w:rPr/>
        <w:t>、</w:t>
      </w:r>
      <w:r>
        <w:rPr/>
        <w:t>22</w:t>
      </w:r>
      <w:r>
        <w:rPr/>
        <w:t>倍。五年基准相对二零二五</w:t>
      </w:r>
      <w:r>
        <w:rPr/>
        <w:t>11.60</w:t>
      </w:r>
      <w:r>
        <w:rPr/>
        <w:t>元约对应每股收益年均百分之十点四增长，乐观约百分之十九点三，悲观盈利下降。内容公司长期创新难度高，基准没有采用永久二十以上增长率，乐观作为强成功情景，悲观体现持续失去增长后低倍数和较低盈利同时发生。</w:t>
      </w:r>
    </w:p>
    <w:p>
      <w:pPr>
        <w:pStyle w:val="Normal"/>
        <w:rPr/>
      </w:pPr>
      <w:r>
        <w:rPr/>
        <w:t>本模型以集团归属每股收益为主，不另加净现金，因为集团收益包含利息和投资影响，也没有完整分部剥离。若后续进行净现金加总估值，必须先从经营收益剔除相关金融收入、考虑限制现金、税、少数股东以及投资损失，不能把同一资金价值计算两次。现有模型透明易复算，缺点是非经营波动直接进入每股收益范围，目标倍数因此需要更谨慎。</w:t>
      </w:r>
    </w:p>
    <w:p>
      <w:pPr>
        <w:pStyle w:val="Normal"/>
        <w:rPr/>
      </w:pPr>
      <w:r>
        <w:rPr/>
        <w:t>年底现价对基准</w:t>
      </w:r>
      <w:r>
        <w:rPr/>
        <w:t>12</w:t>
      </w:r>
      <w:r>
        <w:rPr/>
        <w:t>元按研究汇率换算约</w:t>
      </w:r>
      <w:r>
        <w:rPr/>
        <w:t>14.66</w:t>
      </w:r>
      <w:r>
        <w:rPr/>
        <w:t>倍，相比基准目标十六倍有一定重估空间。但低倍数不是保证收益，如果盈利降到</w:t>
      </w:r>
      <w:r>
        <w:rPr/>
        <w:t>10</w:t>
      </w:r>
      <w:r>
        <w:rPr/>
        <w:t>元并只获得十二倍，价格</w:t>
      </w:r>
      <w:r>
        <w:rPr/>
        <w:t>132</w:t>
      </w:r>
      <w:r>
        <w:rPr/>
        <w:t>港元、损失约百分之三十一点八。乐观</w:t>
      </w:r>
      <w:r>
        <w:rPr/>
        <w:t>297</w:t>
      </w:r>
      <w:r>
        <w:rPr/>
        <w:t>需要每股收益与倍数共同提高，对经营与市场条件要求高。讨论上涨空间应始终与其假设和悲观损失成对呈现。</w:t>
      </w:r>
    </w:p>
    <w:p>
      <w:pPr>
        <w:pStyle w:val="Normal"/>
        <w:rPr/>
      </w:pPr>
      <w:r>
        <w:rPr/>
        <w:t>研究汇率每人民币兑换</w:t>
      </w:r>
      <w:r>
        <w:rPr/>
        <w:t>1.10</w:t>
      </w:r>
      <w:r>
        <w:rPr/>
        <w:t>港元尚是统一假设，不是已核实基准日即期值。固定盈利与市盈率时，汇率下降百分之五，所有港元目标同步下降百分之五。年末基准</w:t>
      </w:r>
      <w:r>
        <w:rPr/>
        <w:t>211.2</w:t>
      </w:r>
      <w:r>
        <w:rPr/>
        <w:t>港元因此在该单项敏感性下约为</w:t>
      </w:r>
      <w:r>
        <w:rPr/>
        <w:t>200.64</w:t>
      </w:r>
      <w:r>
        <w:rPr/>
        <w:t>至</w:t>
      </w:r>
      <w:r>
        <w:rPr/>
        <w:t>221.76</w:t>
      </w:r>
      <w:r>
        <w:rPr/>
        <w:t>港元。未来报表盈利也会受业务和资产汇率影响，这与最终估值转换有关系但不能机械重复叠加。</w:t>
      </w:r>
    </w:p>
    <w:p>
      <w:pPr>
        <w:pStyle w:val="Heading2"/>
        <w:rPr/>
      </w:pPr>
      <w:r>
        <w:rPr>
          <w:color w:val="000000"/>
        </w:rPr>
        <w:t>十四 股价回报 股息与年底期望值</w:t>
      </w:r>
    </w:p>
    <w:p>
      <w:pPr>
        <w:pStyle w:val="Normal"/>
        <w:rPr/>
      </w:pPr>
      <w:r>
        <w:rPr/>
        <w:t>半年预计累计股息悲观</w:t>
      </w:r>
      <w:r>
        <w:rPr/>
        <w:t>1</w:t>
      </w:r>
      <w:r>
        <w:rPr/>
        <w:t>、基准</w:t>
      </w:r>
      <w:r>
        <w:rPr/>
        <w:t>2</w:t>
      </w:r>
      <w:r>
        <w:rPr/>
        <w:t>、乐观</w:t>
      </w:r>
      <w:r>
        <w:rPr/>
        <w:t>2.5</w:t>
      </w:r>
      <w:r>
        <w:rPr/>
        <w:t>港元，一年</w:t>
      </w:r>
      <w:r>
        <w:rPr/>
        <w:t>2</w:t>
      </w:r>
      <w:r>
        <w:rPr/>
        <w:t>、</w:t>
      </w:r>
      <w:r>
        <w:rPr/>
        <w:t>4</w:t>
      </w:r>
      <w:r>
        <w:rPr/>
        <w:t>、</w:t>
      </w:r>
      <w:r>
        <w:rPr/>
        <w:t>5</w:t>
      </w:r>
      <w:r>
        <w:rPr/>
        <w:t>港元，三年</w:t>
      </w:r>
      <w:r>
        <w:rPr/>
        <w:t>6</w:t>
      </w:r>
      <w:r>
        <w:rPr/>
        <w:t>、</w:t>
      </w:r>
      <w:r>
        <w:rPr/>
        <w:t>14</w:t>
      </w:r>
      <w:r>
        <w:rPr/>
        <w:t>、</w:t>
      </w:r>
      <w:r>
        <w:rPr/>
        <w:t>20</w:t>
      </w:r>
      <w:r>
        <w:rPr/>
        <w:t>港元，五年</w:t>
      </w:r>
      <w:r>
        <w:rPr/>
        <w:t>10</w:t>
      </w:r>
      <w:r>
        <w:rPr/>
        <w:t>、</w:t>
      </w:r>
      <w:r>
        <w:rPr/>
        <w:t>25</w:t>
      </w:r>
      <w:r>
        <w:rPr/>
        <w:t>、</w:t>
      </w:r>
      <w:r>
        <w:rPr/>
        <w:t>38</w:t>
      </w:r>
      <w:r>
        <w:rPr/>
        <w:t>港元；年底先设零。这些均为未来研究假设，历史已除权股息不计入。公司季度分红具有可调整性，模型没有假设固定分红收益率，更没有承诺每季度金额。个人所得税、交易费用和股息兑换成本另影响最终收益。</w:t>
      </w:r>
    </w:p>
    <w:p>
      <w:pPr>
        <w:pStyle w:val="Normal"/>
        <w:rPr/>
      </w:pPr>
      <w:r>
        <w:rPr/>
        <w:t>一年基准</w:t>
      </w:r>
      <w:r>
        <w:rPr/>
        <w:t>257.4</w:t>
      </w:r>
      <w:r>
        <w:rPr/>
        <w:t>港元加累计</w:t>
      </w:r>
      <w:r>
        <w:rPr/>
        <w:t>4</w:t>
      </w:r>
      <w:r>
        <w:rPr/>
        <w:t>港元现金分红，相对</w:t>
      </w:r>
      <w:r>
        <w:rPr/>
        <w:t>193.5</w:t>
      </w:r>
      <w:r>
        <w:rPr/>
        <w:t>总回报约百分之三十五点零九。三年</w:t>
      </w:r>
      <w:r>
        <w:rPr/>
        <w:t>299.2</w:t>
      </w:r>
      <w:r>
        <w:rPr/>
        <w:t>加</w:t>
      </w:r>
      <w:r>
        <w:rPr/>
        <w:t>14</w:t>
      </w:r>
      <w:r>
        <w:rPr/>
        <w:t>港元，总回报约百分之六十一点八六，简单年化约百分之十七点四一；五年</w:t>
      </w:r>
      <w:r>
        <w:rPr/>
        <w:t>334.4</w:t>
      </w:r>
      <w:r>
        <w:rPr/>
        <w:t>加</w:t>
      </w:r>
      <w:r>
        <w:rPr/>
        <w:t>25</w:t>
      </w:r>
      <w:r>
        <w:rPr/>
        <w:t>港元，总回报约百分之八十五点七四，简单年化约百分之十三点一八。分红按现金相加不再投资，不能把这些数误写成股价涨幅。</w:t>
      </w:r>
    </w:p>
    <w:p>
      <w:pPr>
        <w:pStyle w:val="Normal"/>
        <w:rPr/>
      </w:pPr>
      <w:r>
        <w:rPr/>
        <w:t>五年悲观</w:t>
      </w:r>
      <w:r>
        <w:rPr/>
        <w:t>110</w:t>
      </w:r>
      <w:r>
        <w:rPr/>
        <w:t>港元加</w:t>
      </w:r>
      <w:r>
        <w:rPr/>
        <w:t>10</w:t>
      </w:r>
      <w:r>
        <w:rPr/>
        <w:t>港元分红，总回报仍负百分之三十七点九八，说明现金分配不能抵销结构性盈利下降和倍数压缩。乐观五年</w:t>
      </w:r>
      <w:r>
        <w:rPr/>
        <w:t>677.6</w:t>
      </w:r>
      <w:r>
        <w:rPr/>
        <w:t>加</w:t>
      </w:r>
      <w:r>
        <w:rPr/>
        <w:t>38</w:t>
      </w:r>
      <w:r>
        <w:rPr/>
        <w:t>港元，总回报约百分之二百六十九点八二，要求新旧产品与长期股东回报共同成功。以进取标准排序可以重视成长空间，但不能只用最高目标压过产品生命周期与执行风险。</w:t>
      </w:r>
    </w:p>
    <w:p>
      <w:pPr>
        <w:pStyle w:val="Normal"/>
        <w:rPr/>
      </w:pPr>
      <w:r>
        <w:rPr/>
        <w:t>年底二十五、五十、二十五百分比判断权重下期望价</w:t>
      </w:r>
      <w:r>
        <w:rPr/>
        <w:t>212.85</w:t>
      </w:r>
      <w:r>
        <w:rPr/>
        <w:t>港元，期望回报百分之十。若悲观权重提高到百分之四十、基准五十、乐观十，期望价</w:t>
      </w:r>
      <w:r>
        <w:rPr/>
        <w:t>188.1</w:t>
      </w:r>
      <w:r>
        <w:rPr/>
        <w:t>港元，回报负百分之二点七九；若悲观十、基准五十、乐观四十，期望价</w:t>
      </w:r>
      <w:r>
        <w:rPr/>
        <w:t>237.6</w:t>
      </w:r>
      <w:r>
        <w:rPr/>
        <w:t>港元，回报百分之二十二点七九。权重假设能够显著改变结果，因此期望值是研究工具，不是经过概率校准的价格预测。</w:t>
      </w:r>
    </w:p>
    <w:p>
      <w:pPr>
        <w:pStyle w:val="Normal"/>
        <w:rPr/>
      </w:pPr>
      <w:r>
        <w:rPr/>
        <w:t>年底较短窗口主要依赖新信息如何改变盈利预期和倍数，不可能完整验证五年内容竞争。第三季度经营、游戏更新、新产品排期和投资税变化可能成为催化，但具体未公告日期不补造。若市场因主题情绪短暂提高倍数而盈利没有变化，价格可以上涨却未改善长期内在收益；模型更新应记录是盈利上修还是估值修复，不能混为公司业绩兑现。</w:t>
      </w:r>
    </w:p>
    <w:p>
      <w:pPr>
        <w:pStyle w:val="Heading2"/>
        <w:rPr/>
      </w:pPr>
      <w:r>
        <w:rPr>
          <w:color w:val="000000"/>
        </w:rPr>
        <w:t>十五 外资目标价的证据与冲突</w:t>
      </w:r>
    </w:p>
    <w:p>
      <w:pPr>
        <w:pStyle w:val="Normal"/>
        <w:rPr/>
      </w:pPr>
      <w:r>
        <w:rPr/>
        <w:t>高盛八月二十一日将网易目标从</w:t>
      </w:r>
      <w:r>
        <w:rPr/>
        <w:t>262</w:t>
      </w:r>
      <w:r>
        <w:rPr/>
        <w:t>升到</w:t>
      </w:r>
      <w:r>
        <w:rPr/>
        <w:t>263</w:t>
      </w:r>
      <w:r>
        <w:rPr/>
        <w:t>港元、维持买入，现价空间约百分之三十五点九二；美银同日将</w:t>
      </w:r>
      <w:r>
        <w:rPr/>
        <w:t>268</w:t>
      </w:r>
      <w:r>
        <w:rPr/>
        <w:t>升到</w:t>
      </w:r>
      <w:r>
        <w:rPr/>
        <w:t>272</w:t>
      </w:r>
      <w:r>
        <w:rPr/>
        <w:t>港元、买入，空间约百分之四十点五七；大和从</w:t>
      </w:r>
      <w:r>
        <w:rPr/>
        <w:t>257</w:t>
      </w:r>
      <w:r>
        <w:rPr/>
        <w:t>升到</w:t>
      </w:r>
      <w:r>
        <w:rPr/>
        <w:t>260</w:t>
      </w:r>
      <w:r>
        <w:rPr/>
        <w:t>港元、买入，空间约百分之三十四点三七。大华继显十月五日名单给</w:t>
      </w:r>
      <w:r>
        <w:rPr/>
        <w:t>252</w:t>
      </w:r>
      <w:r>
        <w:rPr/>
        <w:t>港元买入，空间约百分之三十点二三。公开转载未明确的目标期限保持缺失，不能统一当年底目标。</w:t>
      </w:r>
    </w:p>
    <w:p>
      <w:pPr>
        <w:pStyle w:val="Normal"/>
        <w:rPr/>
      </w:pPr>
      <w:r>
        <w:rPr/>
        <w:t>机构主要正面逻辑是游戏组合、渠道费用下降与经营效率，高盛同时下调部分收入和当年净利预测，美银关注经典作品与未来新品。买入评级与盈利预测下调可以同时存在，因为机构可能认为调整后估值仍有吸引力。独立研究应比较假设而不是只统计买入数量，也不将目标取平均后当自有价格，尤其机构可能用不同净现金加总方法。</w:t>
      </w:r>
    </w:p>
    <w:p>
      <w:pPr>
        <w:pStyle w:val="Normal"/>
        <w:rPr/>
      </w:pPr>
      <w:r>
        <w:rPr/>
        <w:t>公开转载存在实质数字冲突。美银稿说集团总收入增长百分之十，而公司官网二季度净收入同比约百分之七点九，百分之十更接近游戏收入。大和稿提到某游戏七月推出，与产品历史和当前其他材料的排期需要再核，不能当作新增事实。机构对“自由现金流创新高”的总结也需要与具体时间窗口和现金定义核对，本章实际引用官网现金流而不照抄判断。</w:t>
      </w:r>
    </w:p>
    <w:p>
      <w:pPr>
        <w:pStyle w:val="Normal"/>
        <w:rPr/>
      </w:pPr>
      <w:r>
        <w:rPr/>
        <w:t>高盛九月十七日偏好中国游戏娱乐并列网易买入，稿中给腾讯和阿里新目标，没有给网易新目标。它出现在网易相关新闻页面，不代表网易有一个与腾讯相同目标；自动抓取必须按正文公司名称与代码确认。多股票表里的</w:t>
      </w:r>
      <w:r>
        <w:rPr/>
        <w:t>252</w:t>
      </w:r>
      <w:r>
        <w:rPr/>
        <w:t>港元也必须从网易那一行读取，不能从页面其他相关报道里捕捉到更高价格便归于网易。</w:t>
      </w:r>
    </w:p>
    <w:p>
      <w:pPr>
        <w:pStyle w:val="Normal"/>
        <w:rPr/>
      </w:pPr>
      <w:r>
        <w:rPr/>
        <w:t>公开新闻有更新时间和动态相关内容，正文中插入的新影片或相关推荐不能被当成当时研究报告证据。所有机构记录应保存日期、原始链接、币种、普通股或存托股比例、评级和期限缺失，投行原始研报不可得就标为新闻转述。它们用于验证分歧与外部预期，不替代公司公告与自有财务模型。</w:t>
      </w:r>
    </w:p>
    <w:p>
      <w:pPr>
        <w:pStyle w:val="Heading2"/>
        <w:rPr/>
      </w:pPr>
      <w:r>
        <w:rPr>
          <w:color w:val="000000"/>
        </w:rPr>
        <w:t>十六 按四种投资期限给出条件判断</w:t>
      </w:r>
    </w:p>
    <w:p>
      <w:pPr>
        <w:pStyle w:val="Normal"/>
        <w:rPr/>
      </w:pPr>
      <w:r>
        <w:rPr/>
        <w:t>半年更有吸引力的条件是当前修复能够收复长期均线，并由游戏经营利润改善支持。该周期估值权重和技术权重较高，网易优于腾讯的量价状态可以得到较高技术分，却仍需承认上行空间在年底与半年不同。若新信息只确认成熟业务稳定而没有净利改善，年底基准约百分之九点一五上涨空间比一年小，应以期限匹配评估，不用一年投行目标制造年底大涨假设。</w:t>
      </w:r>
    </w:p>
    <w:p>
      <w:pPr>
        <w:pStyle w:val="Normal"/>
        <w:rPr/>
      </w:pPr>
      <w:r>
        <w:rPr/>
        <w:t>一年观察可以覆盖新品与成熟游戏一轮较完整运营，重点是经营利润能否传导到归母、税务和投资拖累是否正常化，以及研发费用是否取得对应产品成果。基准一年股价</w:t>
      </w:r>
      <w:r>
        <w:rPr/>
        <w:t>257.4</w:t>
      </w:r>
      <w:r>
        <w:rPr/>
        <w:t>港元与机构近期目标接近，但独立参数不同，不能因此称作被机构一致验证。新品排期延期、现金收款弱或高毛利回落，会使目标盈利和倍数都需要下调。</w:t>
      </w:r>
    </w:p>
    <w:p>
      <w:pPr>
        <w:pStyle w:val="Normal"/>
        <w:rPr/>
      </w:pPr>
      <w:r>
        <w:rPr/>
        <w:t>三年适合验证网易是否继续成为能稳定生产和运营高质量游戏的企业，而不是只拥有几个历史成功作品。基准</w:t>
      </w:r>
      <w:r>
        <w:rPr/>
        <w:t>16</w:t>
      </w:r>
      <w:r>
        <w:rPr/>
        <w:t>元每股收益需要成熟产品生命周期延长、新产品补充、海外贡献和合理资本配置。它不要求每个新品成为爆款，但必须有持续正的投资组合回报。若经营增长依赖越来越多预算维持旧作品，现金和利润率可能不能支持长期较高倍数。</w:t>
      </w:r>
    </w:p>
    <w:p>
      <w:pPr>
        <w:pStyle w:val="Normal"/>
        <w:rPr/>
      </w:pPr>
      <w:r>
        <w:rPr/>
        <w:t>五年重点是原创能力、玩家关系和组织效率。人工智能可能提高制作速度，也可能增加内容供给竞争；渠道优势可能持续，也可能被规则改变。网易长期收益来自能够不断提供区别于其他作品的高质量体验，历史品牌与现金有帮助但不能替代创意。基准五年收益有吸引力，证据确信度应低于近一年已披露经营趋势，长期评分不能只依据现金多和过去成功。</w:t>
      </w:r>
    </w:p>
    <w:p>
      <w:pPr>
        <w:pStyle w:val="Normal"/>
        <w:rPr/>
      </w:pPr>
      <w:r>
        <w:rPr/>
        <w:t>四期限综合定位是：半年到一年修复与经营证据相对较明确，三年五年仍有成长空间但内容迭代风险增加。与大型基础平台相比，网易较轻的固定资产投入和强经营现金带来资本弹性，单一内容行业集中使长期需求关系不如高频社交基础稳定。排序应同时体现这两面，避免为了追求进取型高回报而只突出游戏毛利和乐观目标。</w:t>
      </w:r>
    </w:p>
    <w:p>
      <w:pPr>
        <w:pStyle w:val="Heading2"/>
        <w:rPr/>
      </w:pPr>
      <w:r>
        <w:rPr>
          <w:color w:val="000000"/>
        </w:rPr>
        <w:t>十七 十年经营展望与反证</w:t>
      </w:r>
    </w:p>
    <w:p>
      <w:pPr>
        <w:pStyle w:val="Normal"/>
        <w:rPr/>
      </w:pPr>
      <w:r>
        <w:rPr/>
        <w:t>十年不提供精确股价，因为游戏类型、硬件、分发入口、生成式内容和用户年龄结构都可能改变。网易的潜在长久价值是研发与创作组织、玩法和品牌、长期玩家社区及全球发行能力；这些需要不断更新，而非某一当前游戏永久维持。未来可以在不同终端和人工智能内容中延续优势，也可能被新作品与新制作方式冲击，现金规模不能防止创作组织失去效率。</w:t>
      </w:r>
    </w:p>
    <w:p>
      <w:pPr>
        <w:pStyle w:val="Normal"/>
        <w:rPr/>
      </w:pPr>
      <w:r>
        <w:rPr/>
        <w:t>第一组反证是产品与玩家：如果成熟游戏参与持续减弱、新品多次高营销低留存，且集团游戏收入与合同负债都走弱，应撤回增长假设。首月榜单或单一版本反馈不是充分证据，连续运营表现与财务结果才更重要。若通过提高付费强度维持短期收入却损伤公平与社区，长期价值应降低而非提高利润率预测。</w:t>
      </w:r>
    </w:p>
    <w:p>
      <w:pPr>
        <w:pStyle w:val="Normal"/>
        <w:rPr/>
      </w:pPr>
      <w:r>
        <w:rPr/>
        <w:t>第二组反证是成本与收益：如果渠道费用反弹、研发和营销持续高增，游戏毛利率和经营利润同时下降，结构性毛利改善逻辑不再成立。人工智能应用没有改善制作与玩法，而只是增添推理成本，也应降低效率假设。公司可以有意加大研发以投资未来，必须随后用产品和玩家收益验证，否则长期现金来源会被消耗。</w:t>
      </w:r>
    </w:p>
    <w:p>
      <w:pPr>
        <w:pStyle w:val="Normal"/>
        <w:rPr/>
      </w:pPr>
      <w:r>
        <w:rPr/>
        <w:t>第三组反证是资本：若现金被大量投入难以理解的金融资产或低回报项目、投资减值反复、股息回购减少且摊薄股数增加，现金优势难以兑现给股东。非经营亏损有时只是价格波动，有时是资产永久损失，需要区分；不能一律调整掉。长期模型如果实际每股现金收益落后于公司利润规模，应下调估值倍数。</w:t>
      </w:r>
    </w:p>
    <w:p>
      <w:pPr>
        <w:pStyle w:val="Normal"/>
        <w:rPr/>
      </w:pPr>
      <w:r>
        <w:rPr/>
        <w:t>第四组反证是政策与生态：若重要授权关系、渠道规则或监管改变，产品排期和收入分成需要重算。若玩家把时间与预算迁移到新平台或玩法，历史自研强并不保证份额稳定。公司有资金可以尝试新方向，能否做出高质量体验仍需观察。合适的长期投资纪律是随着证据更新，而不是因为曾认定优质公司就将全部失败解释成暂时波动。</w:t>
      </w:r>
    </w:p>
    <w:p>
      <w:pPr>
        <w:pStyle w:val="Heading2"/>
        <w:rPr/>
      </w:pPr>
      <w:r>
        <w:rPr>
          <w:color w:val="000000"/>
        </w:rPr>
        <w:t>十八 研究结论的实际用途</w:t>
      </w:r>
    </w:p>
    <w:p>
      <w:pPr>
        <w:pStyle w:val="Normal"/>
        <w:rPr/>
      </w:pPr>
      <w:r>
        <w:rPr/>
        <w:t>网易现有证据支持游戏经营改善、渠道成本下降与较强现金来源，当前日线修复对半年选择时机有帮助。合并净利受投资、汇兑和税务影响下降，说明收入与经营利润并不能直接当股东最终收益。本研究因此采用温和基准盈利增长，长期对内容迭代保留折价，目标与股票普通股比例、币种和股息计算都公开可复算。</w:t>
      </w:r>
    </w:p>
    <w:p>
      <w:pPr>
        <w:pStyle w:val="Normal"/>
        <w:rPr/>
      </w:pPr>
      <w:r>
        <w:rPr/>
        <w:t>最应持续查看的不是公司是否属于热门主题，而是成熟作品与新品能否共同提高收入、毛利改善是否在费用之后仍兑现、经营现金是否跟随收入、股本与资金配置是否有纪律。技术上从</w:t>
      </w:r>
      <w:r>
        <w:rPr/>
        <w:t>194.5</w:t>
      </w:r>
      <w:r>
        <w:rPr/>
        <w:t>至</w:t>
      </w:r>
      <w:r>
        <w:rPr/>
        <w:t>198.49</w:t>
      </w:r>
      <w:r>
        <w:rPr/>
        <w:t>的区间验证能够改善短期证据，根本收益仍来自经营和合理估值。如果这些条件成立，半年与一年有研究吸引力；若反证出现，应降低情景盈利和倍数。</w:t>
      </w:r>
    </w:p>
    <w:p>
      <w:pPr>
        <w:pStyle w:val="Normal"/>
        <w:rPr/>
      </w:pPr>
      <w:r>
        <w:rPr/>
        <w:t>对进取型名单排序，网易适合与腾讯、其他游戏和消费平台比较，但要使用统一权重与证据口径。它有较高经营现金和较轻固定资产投入，同时面对内容集中和非经营利润波动。最终应给予四期限不同分数，不能用一颗星或同一个买入结论覆盖所有时间。年底期望百分之十是模型判断，三年五年较高空间是需经营持续兑现的条件结果。</w:t>
      </w:r>
    </w:p>
    <w:p>
      <w:pPr>
        <w:pStyle w:val="Heading2"/>
        <w:rPr/>
      </w:pPr>
      <w:r>
        <w:rPr>
          <w:color w:val="000000"/>
        </w:rPr>
        <w:t>来源与核验说明 不计正文汉字</w:t>
      </w:r>
    </w:p>
    <w:p>
      <w:pPr>
        <w:pStyle w:val="Normal"/>
        <w:rPr/>
      </w:pPr>
      <w:r>
        <w:rPr/>
        <w:t>- 2026Q2</w:t>
      </w:r>
      <w:r>
        <w:rPr/>
        <w:t>与</w:t>
      </w:r>
      <w:r>
        <w:rPr/>
        <w:t>H1</w:t>
      </w:r>
      <w:r>
        <w:rPr/>
        <w:t>官方财务稿，</w:t>
      </w:r>
      <w:r>
        <w:rPr/>
        <w:t>2026-08-20</w:t>
      </w:r>
      <w:r>
        <w:rPr/>
        <w:t>：</w:t>
      </w:r>
      <w:r>
        <w:rPr/>
        <w:t>https://ir.netease.com/static-files/6848caa4-627a-474c-9fce-934334ba3976</w:t>
      </w:r>
    </w:p>
    <w:p>
      <w:pPr>
        <w:pStyle w:val="Normal"/>
        <w:rPr/>
      </w:pPr>
      <w:r>
        <w:rPr/>
        <w:t>- 2026Q1</w:t>
      </w:r>
      <w:r>
        <w:rPr/>
        <w:t>官方稿：</w:t>
      </w:r>
      <w:r>
        <w:rPr/>
        <w:t>https://ir.netease.com/static-files/93a788ed-25f4-452a-9d1d-97bc3aca0a24</w:t>
      </w:r>
    </w:p>
    <w:p>
      <w:pPr>
        <w:pStyle w:val="Normal"/>
        <w:rPr/>
      </w:pPr>
      <w:r>
        <w:rPr/>
        <w:t>- 2025Q4</w:t>
      </w:r>
      <w:r>
        <w:rPr/>
        <w:t>及全年财务稿，</w:t>
      </w:r>
      <w:r>
        <w:rPr/>
        <w:t>2026-02-11</w:t>
      </w:r>
      <w:r>
        <w:rPr/>
        <w:t>：</w:t>
      </w:r>
      <w:r>
        <w:rPr/>
        <w:t>https://ir.netease.com/static-files/0c5eceec-d577-4822-a112-d23d7d3cf83a</w:t>
      </w:r>
    </w:p>
    <w:p>
      <w:pPr>
        <w:pStyle w:val="Normal"/>
        <w:rPr/>
      </w:pPr>
      <w:r>
        <w:rPr/>
        <w:t>- 2025</w:t>
      </w:r>
      <w:r>
        <w:rPr/>
        <w:t>年审计年报：</w:t>
      </w:r>
      <w:r>
        <w:rPr/>
        <w:t>https://ir.netease.com/static-files/12085e16-bfc8-4e2b-b110-cd5b861521ed</w:t>
      </w:r>
    </w:p>
    <w:p>
      <w:pPr>
        <w:pStyle w:val="Normal"/>
        <w:rPr/>
      </w:pPr>
      <w:r>
        <w:rPr/>
        <w:t xml:space="preserve">- </w:t>
      </w:r>
      <w:r>
        <w:rPr/>
        <w:t>高盛</w:t>
      </w:r>
      <w:r>
        <w:rPr/>
        <w:t>2026-08-21</w:t>
      </w:r>
      <w:r>
        <w:rPr/>
        <w:t>转载：</w:t>
      </w:r>
      <w:r>
        <w:rPr/>
        <w:t>https://www.aastocks.com/sc/stocks/analysis/stock-aafn-con/09999/AAFN/NOW.1539884/research-report</w:t>
      </w:r>
    </w:p>
    <w:p>
      <w:pPr>
        <w:pStyle w:val="Normal"/>
        <w:rPr/>
      </w:pPr>
      <w:r>
        <w:rPr/>
        <w:t xml:space="preserve">- </w:t>
      </w:r>
      <w:r>
        <w:rPr/>
        <w:t>美银</w:t>
      </w:r>
      <w:r>
        <w:rPr/>
        <w:t>2026-08-21</w:t>
      </w:r>
      <w:r>
        <w:rPr/>
        <w:t>转载：</w:t>
      </w:r>
      <w:r>
        <w:rPr/>
        <w:t>https://www.aastocks.com/sc/stocks/analysis/stock-aafn-con/09999/AAFN/NOW.1539851/research-report</w:t>
      </w:r>
    </w:p>
    <w:p>
      <w:pPr>
        <w:pStyle w:val="Normal"/>
        <w:rPr/>
      </w:pPr>
      <w:r>
        <w:rPr/>
        <w:t xml:space="preserve">- </w:t>
      </w:r>
      <w:r>
        <w:rPr/>
        <w:t>大和</w:t>
      </w:r>
      <w:r>
        <w:rPr/>
        <w:t>2026-08-21</w:t>
      </w:r>
      <w:r>
        <w:rPr/>
        <w:t>转载：</w:t>
      </w:r>
      <w:r>
        <w:rPr/>
        <w:t>https://www.aastocks.com/sc/stocks/analysis/stock-aafn-con/09999/AAFN/NOW.1539821/research-report</w:t>
      </w:r>
    </w:p>
    <w:p>
      <w:pPr>
        <w:pStyle w:val="Normal"/>
        <w:rPr/>
      </w:pPr>
      <w:r>
        <w:rPr/>
        <w:t xml:space="preserve">- </w:t>
      </w:r>
      <w:r>
        <w:rPr/>
        <w:t>大华继显</w:t>
      </w:r>
      <w:r>
        <w:rPr/>
        <w:t>2026-10-05</w:t>
      </w:r>
      <w:r>
        <w:rPr/>
        <w:t>目标表转载：</w:t>
      </w:r>
      <w:r>
        <w:rPr/>
        <w:t>https://www.aastocks.com/sc/stocks/analysis/stock-aafn-con/09999/AAFN/NOW.1547727/research-report</w:t>
      </w:r>
    </w:p>
    <w:p>
      <w:pPr>
        <w:pStyle w:val="Normal"/>
        <w:rPr/>
      </w:pPr>
      <w:r>
        <w:rPr/>
        <w:t xml:space="preserve">- </w:t>
      </w:r>
      <w:r>
        <w:rPr/>
        <w:t>行情与技术：</w:t>
      </w:r>
      <w:r>
        <w:rPr/>
        <w:t>data/market_snapshot_locked.json</w:t>
      </w:r>
      <w:r>
        <w:rPr/>
        <w:t>证券</w:t>
      </w:r>
      <w:r>
        <w:rPr/>
        <w:t>S074</w:t>
      </w:r>
      <w:r>
        <w:rPr/>
        <w:t>及</w:t>
      </w:r>
      <w:r>
        <w:rPr/>
        <w:t>data/history/S074.json</w:t>
      </w:r>
      <w:r>
        <w:rPr/>
        <w:t>，独立</w:t>
      </w:r>
      <w:r>
        <w:rPr/>
        <w:t>Yahoo</w:t>
      </w:r>
      <w:r>
        <w:rPr/>
        <w:t>复权行情与腾讯报价交叉，更新</w:t>
      </w:r>
      <w:r>
        <w:rPr/>
        <w:t>2026-10-10T09:14:29Z</w:t>
      </w:r>
      <w:r>
        <w:rPr/>
        <w:t>。</w:t>
      </w:r>
    </w:p>
    <w:p>
      <w:pPr>
        <w:pStyle w:val="Normal"/>
        <w:rPr/>
      </w:pPr>
      <w:r>
        <w:rPr/>
        <w:t xml:space="preserve">- </w:t>
      </w:r>
      <w:r>
        <w:rPr/>
        <w:t>情景模型：</w:t>
      </w:r>
      <w:r>
        <w:rPr/>
        <w:t>data/netease_model.json</w:t>
      </w:r>
      <w:r>
        <w:rPr/>
        <w:t>。累计现金股息不再投资、外汇固定输入与个人税费排除均明示。</w:t>
      </w:r>
      <w:r>
        <w:br w:type="page"/>
      </w:r>
    </w:p>
    <w:p>
      <w:pPr>
        <w:pStyle w:val="Heading1"/>
        <w:rPr/>
      </w:pPr>
      <w:bookmarkStart w:id="2" w:name="__RefHeading___Toc15959_312338234"/>
      <w:bookmarkEnd w:id="2"/>
      <w:r>
        <w:rPr>
          <w:color w:val="000000"/>
        </w:rPr>
        <w:t xml:space="preserve">恒瑞医药 </w:t>
      </w:r>
      <w:r>
        <w:rPr>
          <w:color w:val="000000"/>
        </w:rPr>
        <w:t>600276 SH 01276 HK</w:t>
      </w:r>
    </w:p>
    <w:p>
      <w:pPr>
        <w:pStyle w:val="Normal"/>
        <w:rPr/>
      </w:pPr>
      <w:r>
        <w:rPr/>
        <w:t xml:space="preserve">600276.SH </w:t>
      </w:r>
      <w:r>
        <w:rPr/>
        <w:t xml:space="preserve">现价 </w:t>
      </w:r>
      <w:r>
        <w:rPr/>
        <w:t>46.85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57.60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+22.95%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+22.95%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64.80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+38.31%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+38.85%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83.30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+79.72%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+121.99%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+125.72%</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-43.65%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49.30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+69.05%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51.05CNY</w:t>
      </w:r>
      <w:r>
        <w:rPr/>
        <w:t>，期望股价回报</w:t>
      </w:r>
      <w:r>
        <w:rPr/>
        <w:t>+8.96%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27.60</w:t>
              <w:br/>
              <w:t>-41.09%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57.60</w:t>
              <w:br/>
              <w:t>+22.95%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90.00</w:t>
              <w:br/>
              <w:t>+92.10%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30.00</w:t>
              <w:br/>
              <w:t>-35.97%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64.80</w:t>
              <w:br/>
              <w:t>+38.31%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108.10</w:t>
              <w:br/>
              <w:t>+130.74%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30.80</w:t>
              <w:br/>
              <w:t>-34.26%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83.30</w:t>
              <w:br/>
              <w:t>+77.80%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165.00</w:t>
              <w:br/>
              <w:t>+252.19%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+21.58%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30.00</w:t>
              <w:br/>
              <w:t>-35.97%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104.00</w:t>
              <w:br/>
              <w:t>+121.99%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226.80</w:t>
              <w:br/>
              <w:t>+384.10%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+17.68%</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financials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高：中报原始披露镜像页核验；</w:t>
            </w:r>
            <w:r>
              <w:rPr>
                <w:rFonts w:eastAsia="微软雅黑" w:ascii="微软雅黑" w:hAnsi="微软雅黑"/>
                <w:sz w:val="17"/>
              </w:rPr>
              <w:t>2025</w:t>
            </w:r>
            <w:r>
              <w:rPr>
                <w:rFonts w:ascii="微软雅黑" w:hAnsi="微软雅黑" w:eastAsia="微软雅黑"/>
                <w:sz w:val="17"/>
              </w:rPr>
              <w:t>全年原年报完整复核仍缺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最新二源报价；三年</w:t>
            </w:r>
            <w:r>
              <w:rPr>
                <w:rFonts w:eastAsia="微软雅黑" w:ascii="微软雅黑" w:hAnsi="微软雅黑"/>
                <w:sz w:val="17"/>
              </w:rPr>
              <w:t>provider</w:t>
            </w:r>
            <w:r>
              <w:rPr>
                <w:rFonts w:ascii="微软雅黑" w:hAnsi="微软雅黑" w:eastAsia="微软雅黑"/>
                <w:sz w:val="17"/>
              </w:rPr>
              <w:t>数量按锁版逐项标示</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w:t>
            </w:r>
            <w:r>
              <w:rPr>
                <w:rFonts w:eastAsia="微软雅黑" w:ascii="微软雅黑" w:hAnsi="微软雅黑"/>
                <w:sz w:val="17"/>
              </w:rPr>
              <w:t>EPS/PE/FX</w:t>
            </w:r>
            <w:r>
              <w:rPr>
                <w:rFonts w:ascii="微软雅黑" w:hAnsi="微软雅黑" w:eastAsia="微软雅黑"/>
                <w:sz w:val="17"/>
              </w:rPr>
              <w:t>判断假设，非机构一致预期</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clinical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中：中报及公开新闻，未建逐资产成功率模型</w:t>
            </w:r>
          </w:p>
        </w:tc>
      </w:tr>
    </w:tbl>
    <w:p>
      <w:pPr>
        <w:pStyle w:val="Normal"/>
        <w:rPr/>
      </w:pPr>
      <w:r>
        <w:rPr/>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01276.HK </w:t>
      </w:r>
      <w:r>
        <w:rPr/>
        <w:t xml:space="preserve">现价 </w:t>
      </w:r>
      <w:r>
        <w:rPr/>
        <w:t>48.00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59.84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+24.67%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+24.67%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69.30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+44.38%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+44.95%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88.94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+85.28%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+87.34%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110.83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+130.89%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+134.90%</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26.62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-44.54%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52.64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85.14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+77.38%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54.26HKD</w:t>
      </w:r>
      <w:r>
        <w:rPr/>
        <w:t>，期望股价回报</w:t>
      </w:r>
      <w:r>
        <w:rPr/>
        <w:t>+13.04%</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27.83</w:t>
              <w:br/>
              <w:t>-42.02%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59.84</w:t>
              <w:br/>
              <w:t>+24.67%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96.80</w:t>
              <w:br/>
              <w:t>+101.67%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30.25</w:t>
              <w:br/>
              <w:t>-36.98%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69.30</w:t>
              <w:br/>
              <w:t>+44.38%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116.33</w:t>
              <w:br/>
              <w:t>+142.34%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30.80</w:t>
              <w:br/>
              <w:t>-35.83%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88.94</w:t>
              <w:br/>
              <w:t>+85.28%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177.38</w:t>
              <w:br/>
              <w:t>+269.53%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+23.28%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29.70</w:t>
              <w:br/>
              <w:t>-38.12%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110.83</w:t>
              <w:br/>
              <w:t>+130.89%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243.54</w:t>
              <w:br/>
              <w:t>+407.38%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+18.62%</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financials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高：中报原始披露镜像页核验；</w:t>
            </w:r>
            <w:r>
              <w:rPr>
                <w:rFonts w:eastAsia="微软雅黑" w:ascii="微软雅黑" w:hAnsi="微软雅黑"/>
                <w:sz w:val="17"/>
              </w:rPr>
              <w:t>2025</w:t>
            </w:r>
            <w:r>
              <w:rPr>
                <w:rFonts w:ascii="微软雅黑" w:hAnsi="微软雅黑" w:eastAsia="微软雅黑"/>
                <w:sz w:val="17"/>
              </w:rPr>
              <w:t>全年原年报完整复核仍缺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最新二源报价；三年</w:t>
            </w:r>
            <w:r>
              <w:rPr>
                <w:rFonts w:eastAsia="微软雅黑" w:ascii="微软雅黑" w:hAnsi="微软雅黑"/>
                <w:sz w:val="17"/>
              </w:rPr>
              <w:t>provider</w:t>
            </w:r>
            <w:r>
              <w:rPr>
                <w:rFonts w:ascii="微软雅黑" w:hAnsi="微软雅黑" w:eastAsia="微软雅黑"/>
                <w:sz w:val="17"/>
              </w:rPr>
              <w:t>数量按锁版逐项标示</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w:t>
            </w:r>
            <w:r>
              <w:rPr>
                <w:rFonts w:eastAsia="微软雅黑" w:ascii="微软雅黑" w:hAnsi="微软雅黑"/>
                <w:sz w:val="17"/>
              </w:rPr>
              <w:t>EPS/PE/FX</w:t>
            </w:r>
            <w:r>
              <w:rPr>
                <w:rFonts w:ascii="微软雅黑" w:hAnsi="微软雅黑" w:eastAsia="微软雅黑"/>
                <w:sz w:val="17"/>
              </w:rPr>
              <w:t>判断假设，非机构一致预期</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clinical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中：中报及公开新闻，未建逐资产成功率模型</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+24.67%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+30.90%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+37.70%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+44.95%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+52.20%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+87.34%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+96.71%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+123.15%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+134.90%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+146.64%</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发行人 </w:t>
      </w:r>
      <w:r>
        <w:rPr/>
        <w:t>I011</w:t>
      </w:r>
      <w:r>
        <w:rPr/>
        <w:t>；</w:t>
      </w:r>
      <w:r>
        <w:rPr/>
        <w:t>A</w:t>
      </w:r>
      <w:r>
        <w:rPr/>
        <w:t>股</w:t>
      </w:r>
      <w:r>
        <w:rPr/>
        <w:t>600276.SH</w:t>
      </w:r>
      <w:r>
        <w:rPr/>
        <w:t>，基准</w:t>
      </w:r>
      <w:r>
        <w:rPr/>
        <w:t>46.85</w:t>
      </w:r>
      <w:r>
        <w:rPr/>
        <w:t>元；</w:t>
      </w:r>
      <w:r>
        <w:rPr/>
        <w:t>H</w:t>
      </w:r>
      <w:r>
        <w:rPr/>
        <w:t>股</w:t>
      </w:r>
      <w:r>
        <w:rPr/>
        <w:t>01276.HK</w:t>
      </w:r>
      <w:r>
        <w:rPr/>
        <w:t>，基准</w:t>
      </w:r>
      <w:r>
        <w:rPr/>
        <w:t>48.00</w:t>
      </w:r>
      <w:r>
        <w:rPr/>
        <w:t>港元。价格为</w:t>
      </w:r>
      <w:r>
        <w:rPr/>
        <w:t>2026</w:t>
      </w:r>
      <w:r>
        <w:rPr/>
        <w:t>年</w:t>
      </w:r>
      <w:r>
        <w:rPr/>
        <w:t>10</w:t>
      </w:r>
      <w:r>
        <w:rPr/>
        <w:t>月</w:t>
      </w:r>
      <w:r>
        <w:rPr/>
        <w:t>9</w:t>
      </w:r>
      <w:r>
        <w:rPr/>
        <w:t>日收盘。本文为独立研究初版，资料不晚于该日；中期报告发布于</w:t>
      </w:r>
      <w:r>
        <w:rPr/>
        <w:t>2026</w:t>
      </w:r>
      <w:r>
        <w:rPr/>
        <w:t>年</w:t>
      </w:r>
      <w:r>
        <w:rPr/>
        <w:t>8</w:t>
      </w:r>
      <w:r>
        <w:rPr/>
        <w:t>月</w:t>
      </w:r>
      <w:r>
        <w:rPr/>
        <w:t>19</w:t>
      </w:r>
      <w:r>
        <w:rPr/>
        <w:t>日</w:t>
      </w:r>
      <w:r>
        <w:rPr/>
        <w:t>21:35</w:t>
      </w:r>
      <w:r>
        <w:rPr/>
        <w:t>，属于公告当日收盘后信息。货币换算采用每人民币</w:t>
      </w:r>
      <w:r>
        <w:rPr/>
        <w:t>1.10</w:t>
      </w:r>
      <w:r>
        <w:rPr/>
        <w:t>港元的研究假设，未将它冒充基准日核验即期汇率。目标价是经营与估值假设的计算输出，不是兑现承诺。</w:t>
      </w:r>
    </w:p>
    <w:p>
      <w:pPr>
        <w:pStyle w:val="Heading2"/>
        <w:rPr/>
      </w:pPr>
      <w:r>
        <w:rPr>
          <w:color w:val="000000"/>
        </w:rPr>
        <w:t>投资结论及数字速览</w:t>
      </w:r>
    </w:p>
    <w:p>
      <w:pPr>
        <w:pStyle w:val="Normal"/>
        <w:rPr/>
      </w:pPr>
      <w:r>
        <w:rPr/>
        <w:t>恒瑞值得放入三年和五年的核心研究名单，一年也有可观赔率，但半年尚不具备已经完成反转的量价证据。进取型选择中优先研究</w:t>
      </w:r>
      <w:r>
        <w:rPr/>
        <w:t>H</w:t>
      </w:r>
      <w:r>
        <w:rPr/>
        <w:t>股，原因是同一公司的盈利与管线不因上市地点改变，而</w:t>
      </w:r>
      <w:r>
        <w:rPr/>
        <w:t>48</w:t>
      </w:r>
      <w:r>
        <w:rPr/>
        <w:t>港元在研究汇率下约等于</w:t>
      </w:r>
      <w:r>
        <w:rPr/>
        <w:t>43.64</w:t>
      </w:r>
      <w:r>
        <w:rPr/>
        <w:t>元，较</w:t>
      </w:r>
      <w:r>
        <w:rPr/>
        <w:t>A</w:t>
      </w:r>
      <w:r>
        <w:rPr/>
        <w:t>股</w:t>
      </w:r>
      <w:r>
        <w:rPr/>
        <w:t>46.85</w:t>
      </w:r>
      <w:r>
        <w:rPr/>
        <w:t>元低约</w:t>
      </w:r>
      <w:r>
        <w:rPr/>
        <w:t>6.9%</w:t>
      </w:r>
      <w:r>
        <w:rPr/>
        <w:t>；换一个表述，</w:t>
      </w:r>
      <w:r>
        <w:rPr/>
        <w:t>A</w:t>
      </w:r>
      <w:r>
        <w:rPr/>
        <w:t>股相对</w:t>
      </w:r>
      <w:r>
        <w:rPr/>
        <w:t>H</w:t>
      </w:r>
      <w:r>
        <w:rPr/>
        <w:t>股折算价溢价约</w:t>
      </w:r>
      <w:r>
        <w:rPr/>
        <w:t>7.4%</w:t>
      </w:r>
      <w:r>
        <w:rPr/>
        <w:t>。这不是必然收敛的套利。</w:t>
      </w:r>
      <w:r>
        <w:rPr/>
        <w:t>H</w:t>
      </w:r>
      <w:r>
        <w:rPr/>
        <w:t>股的流动性、国际风险偏好、持股税费和汇率风险均不同，投资者只有具备港股交易条件、接受更大波动，才能把这项价格差异转为实际选择优势。</w:t>
      </w:r>
    </w:p>
    <w:p>
      <w:pPr>
        <w:pStyle w:val="Normal"/>
        <w:rPr/>
      </w:pPr>
      <w:r>
        <w:rPr/>
        <w:t>四期限分数</w:t>
      </w:r>
      <w:r>
        <w:rPr/>
        <w:t>A</w:t>
      </w:r>
      <w:r>
        <w:rPr/>
        <w:t>股依次</w:t>
      </w:r>
      <w:r>
        <w:rPr/>
        <w:t>69.4</w:t>
      </w:r>
      <w:r>
        <w:rPr/>
        <w:t>、</w:t>
      </w:r>
      <w:r>
        <w:rPr/>
        <w:t>75.6</w:t>
      </w:r>
      <w:r>
        <w:rPr/>
        <w:t>、</w:t>
      </w:r>
      <w:r>
        <w:rPr/>
        <w:t>80.9</w:t>
      </w:r>
      <w:r>
        <w:rPr/>
        <w:t>、</w:t>
      </w:r>
      <w:r>
        <w:rPr/>
        <w:t>82.4</w:t>
      </w:r>
      <w:r>
        <w:rPr/>
        <w:t>分，</w:t>
      </w:r>
      <w:r>
        <w:rPr/>
        <w:t>H</w:t>
      </w:r>
      <w:r>
        <w:rPr/>
        <w:t>股依次</w:t>
      </w:r>
      <w:r>
        <w:rPr/>
        <w:t>72.5</w:t>
      </w:r>
      <w:r>
        <w:rPr/>
        <w:t>、</w:t>
      </w:r>
      <w:r>
        <w:rPr/>
        <w:t>77.8</w:t>
      </w:r>
      <w:r>
        <w:rPr/>
        <w:t>、</w:t>
      </w:r>
      <w:r>
        <w:rPr/>
        <w:t>82.0</w:t>
      </w:r>
      <w:r>
        <w:rPr/>
        <w:t>、</w:t>
      </w:r>
      <w:r>
        <w:rPr/>
        <w:t>82.9</w:t>
      </w:r>
      <w:r>
        <w:rPr/>
        <w:t>分。评分采用</w:t>
      </w:r>
      <w:r>
        <w:rPr/>
        <w:t>100</w:t>
      </w:r>
      <w:r>
        <w:rPr/>
        <w:t>分制，六维度依次为估值回报、技术强弱、增长质量、行业需求、催化剂、财务治理；权重与总报告一致。半年</w:t>
      </w:r>
      <w:r>
        <w:rPr/>
        <w:t>H</w:t>
      </w:r>
      <w:r>
        <w:rPr/>
        <w:t>股技术得分</w:t>
      </w:r>
      <w:r>
        <w:rPr/>
        <w:t>3.0</w:t>
      </w:r>
      <w:r>
        <w:rPr/>
        <w:t>分，高于</w:t>
      </w:r>
      <w:r>
        <w:rPr/>
        <w:t>A</w:t>
      </w:r>
      <w:r>
        <w:rPr/>
        <w:t>股</w:t>
      </w:r>
      <w:r>
        <w:rPr/>
        <w:t>2.7</w:t>
      </w:r>
      <w:r>
        <w:rPr/>
        <w:t>分，但这只表示近期反弹较强，不表示风险消失。长期技术权重归零，长期优劣主要取决于新药商业化、研发产出和股东每股现金收益。</w:t>
      </w:r>
    </w:p>
    <w:p>
      <w:pPr>
        <w:pStyle w:val="Normal"/>
        <w:rPr/>
      </w:pPr>
      <w:r>
        <w:rPr/>
        <w:t>基准情景半年目标</w:t>
      </w:r>
      <w:r>
        <w:rPr/>
        <w:t>A</w:t>
      </w:r>
      <w:r>
        <w:rPr/>
        <w:t>股</w:t>
      </w:r>
      <w:r>
        <w:rPr/>
        <w:t>57.60</w:t>
      </w:r>
      <w:r>
        <w:rPr/>
        <w:t>元、</w:t>
      </w:r>
      <w:r>
        <w:rPr/>
        <w:t>H</w:t>
      </w:r>
      <w:r>
        <w:rPr/>
        <w:t>股</w:t>
      </w:r>
      <w:r>
        <w:rPr/>
        <w:t>59.84</w:t>
      </w:r>
      <w:r>
        <w:rPr/>
        <w:t>港元，股价空间分别</w:t>
      </w:r>
      <w:r>
        <w:rPr/>
        <w:t>22.95%</w:t>
      </w:r>
      <w:r>
        <w:rPr/>
        <w:t>和</w:t>
      </w:r>
      <w:r>
        <w:rPr/>
        <w:t>24.67%</w:t>
      </w:r>
      <w:r>
        <w:rPr/>
        <w:t>；一年目标</w:t>
      </w:r>
      <w:r>
        <w:rPr/>
        <w:t>64.80</w:t>
      </w:r>
      <w:r>
        <w:rPr/>
        <w:t>元、</w:t>
      </w:r>
      <w:r>
        <w:rPr/>
        <w:t>69.30</w:t>
      </w:r>
      <w:r>
        <w:rPr/>
        <w:t>港元，空间</w:t>
      </w:r>
      <w:r>
        <w:rPr/>
        <w:t>38.31%</w:t>
      </w:r>
      <w:r>
        <w:rPr/>
        <w:t>和</w:t>
      </w:r>
      <w:r>
        <w:rPr/>
        <w:t>44.38%</w:t>
      </w:r>
      <w:r>
        <w:rPr/>
        <w:t>。三年目标</w:t>
      </w:r>
      <w:r>
        <w:rPr/>
        <w:t>83.30</w:t>
      </w:r>
      <w:r>
        <w:rPr/>
        <w:t>元、</w:t>
      </w:r>
      <w:r>
        <w:rPr/>
        <w:t>88.935</w:t>
      </w:r>
      <w:r>
        <w:rPr/>
        <w:t>港元，股价空间</w:t>
      </w:r>
      <w:r>
        <w:rPr/>
        <w:t>77.80%</w:t>
      </w:r>
      <w:r>
        <w:rPr/>
        <w:t>和</w:t>
      </w:r>
      <w:r>
        <w:rPr/>
        <w:t>85.28%</w:t>
      </w:r>
      <w:r>
        <w:rPr/>
        <w:t>；加入假设分红后的年化回报分别约</w:t>
      </w:r>
      <w:r>
        <w:rPr/>
        <w:t>21.58%</w:t>
      </w:r>
      <w:r>
        <w:rPr/>
        <w:t>和</w:t>
      </w:r>
      <w:r>
        <w:rPr/>
        <w:t>23.28%</w:t>
      </w:r>
      <w:r>
        <w:rPr/>
        <w:t>。五年目标</w:t>
      </w:r>
      <w:r>
        <w:rPr/>
        <w:t>104</w:t>
      </w:r>
      <w:r>
        <w:rPr/>
        <w:t>元、</w:t>
      </w:r>
      <w:r>
        <w:rPr/>
        <w:t>110.825</w:t>
      </w:r>
      <w:r>
        <w:rPr/>
        <w:t>港元，股价空间</w:t>
      </w:r>
      <w:r>
        <w:rPr/>
        <w:t>121.99%</w:t>
      </w:r>
      <w:r>
        <w:rPr/>
        <w:t>和</w:t>
      </w:r>
      <w:r>
        <w:rPr/>
        <w:t>130.89%</w:t>
      </w:r>
      <w:r>
        <w:rPr/>
        <w:t>；加入假设分红后年化约</w:t>
      </w:r>
      <w:r>
        <w:rPr/>
        <w:t>17.68%</w:t>
      </w:r>
      <w:r>
        <w:rPr/>
        <w:t>和</w:t>
      </w:r>
      <w:r>
        <w:rPr/>
        <w:t>18.62%</w:t>
      </w:r>
      <w:r>
        <w:rPr/>
        <w:t>。这些看似高的长期回报依赖正常化盈利增至当前规模数倍，也依赖市场愿意继续给予创新药龙头三十余倍盈利估值，两个条件缺一不可。</w:t>
      </w:r>
    </w:p>
    <w:p>
      <w:pPr>
        <w:pStyle w:val="Normal"/>
        <w:rPr/>
      </w:pPr>
      <w:r>
        <w:rPr/>
        <w:t>年底专项与一年目标分开。</w:t>
      </w:r>
      <w:r>
        <w:rPr/>
        <w:t>A</w:t>
      </w:r>
      <w:r>
        <w:rPr/>
        <w:t>股悲观</w:t>
      </w:r>
      <w:r>
        <w:rPr/>
        <w:t>26.40</w:t>
      </w:r>
      <w:r>
        <w:rPr/>
        <w:t>元、基准</w:t>
      </w:r>
      <w:r>
        <w:rPr/>
        <w:t>49.30</w:t>
      </w:r>
      <w:r>
        <w:rPr/>
        <w:t>元、乐观</w:t>
      </w:r>
      <w:r>
        <w:rPr/>
        <w:t>79.20</w:t>
      </w:r>
      <w:r>
        <w:rPr/>
        <w:t>元，相对</w:t>
      </w:r>
      <w:r>
        <w:rPr/>
        <w:t>46.85</w:t>
      </w:r>
      <w:r>
        <w:rPr/>
        <w:t>元为下跌</w:t>
      </w:r>
      <w:r>
        <w:rPr/>
        <w:t>43.65%</w:t>
      </w:r>
      <w:r>
        <w:rPr/>
        <w:t>、上涨</w:t>
      </w:r>
      <w:r>
        <w:rPr/>
        <w:t>5.23%</w:t>
      </w:r>
      <w:r>
        <w:rPr/>
        <w:t>、上涨</w:t>
      </w:r>
      <w:r>
        <w:rPr/>
        <w:t>69.05%</w:t>
      </w:r>
      <w:r>
        <w:rPr/>
        <w:t>；</w:t>
      </w:r>
      <w:r>
        <w:rPr/>
        <w:t>H</w:t>
      </w:r>
      <w:r>
        <w:rPr/>
        <w:t>股悲观</w:t>
      </w:r>
      <w:r>
        <w:rPr/>
        <w:t>26.62</w:t>
      </w:r>
      <w:r>
        <w:rPr/>
        <w:t>港元、基准</w:t>
      </w:r>
      <w:r>
        <w:rPr/>
        <w:t>52.635</w:t>
      </w:r>
      <w:r>
        <w:rPr/>
        <w:t>港元、乐观</w:t>
      </w:r>
      <w:r>
        <w:rPr/>
        <w:t>85.14</w:t>
      </w:r>
      <w:r>
        <w:rPr/>
        <w:t>港元，相对</w:t>
      </w:r>
      <w:r>
        <w:rPr/>
        <w:t>48</w:t>
      </w:r>
      <w:r>
        <w:rPr/>
        <w:t>港元为下跌</w:t>
      </w:r>
      <w:r>
        <w:rPr/>
        <w:t>44.54%</w:t>
      </w:r>
      <w:r>
        <w:rPr/>
        <w:t>、上涨</w:t>
      </w:r>
      <w:r>
        <w:rPr/>
        <w:t>9.66%</w:t>
      </w:r>
      <w:r>
        <w:rPr/>
        <w:t>、上涨</w:t>
      </w:r>
      <w:r>
        <w:rPr/>
        <w:t>77.38%</w:t>
      </w:r>
      <w:r>
        <w:rPr/>
        <w:t>。悲观</w:t>
      </w:r>
      <w:r>
        <w:rPr/>
        <w:t>25%</w:t>
      </w:r>
      <w:r>
        <w:rPr/>
        <w:t>、基准</w:t>
      </w:r>
      <w:r>
        <w:rPr/>
        <w:t>50%</w:t>
      </w:r>
      <w:r>
        <w:rPr/>
        <w:t>、乐观</w:t>
      </w:r>
      <w:r>
        <w:rPr/>
        <w:t>25%</w:t>
      </w:r>
      <w:r>
        <w:rPr/>
        <w:t>的判断权重给出期望价</w:t>
      </w:r>
      <w:r>
        <w:rPr/>
        <w:t>A</w:t>
      </w:r>
      <w:r>
        <w:rPr/>
        <w:t>股</w:t>
      </w:r>
      <w:r>
        <w:rPr/>
        <w:t>51.05</w:t>
      </w:r>
      <w:r>
        <w:rPr/>
        <w:t>元、</w:t>
      </w:r>
      <w:r>
        <w:rPr/>
        <w:t>H</w:t>
      </w:r>
      <w:r>
        <w:rPr/>
        <w:t>股</w:t>
      </w:r>
      <w:r>
        <w:rPr/>
        <w:t>54.2575</w:t>
      </w:r>
      <w:r>
        <w:rPr/>
        <w:t>港元，对应约</w:t>
      </w:r>
      <w:r>
        <w:rPr/>
        <w:t>8.96%</w:t>
      </w:r>
      <w:r>
        <w:rPr/>
        <w:t>、</w:t>
      </w:r>
      <w:r>
        <w:rPr/>
        <w:t>13.04%</w:t>
      </w:r>
      <w:r>
        <w:rPr/>
        <w:t>的期望涨幅。悲观幅度不是预计必然下跌四成，而是把正常化盈利偏弱与</w:t>
      </w:r>
      <w:r>
        <w:rPr/>
        <w:t>PE</w:t>
      </w:r>
      <w:r>
        <w:rPr/>
        <w:t>压缩叠加后展示风险压力；区间也不构成最大损失边界。</w:t>
      </w:r>
    </w:p>
    <w:p>
      <w:pPr>
        <w:pStyle w:val="Normal"/>
        <w:rPr/>
      </w:pPr>
      <w:r>
        <w:rPr/>
        <w:t>结论最重要的成立条件有三项：非肿瘤创新药需要继续高速放量，肿瘤业务需要抵消老品种降价与竞争，授权交易需要兑现现金而且逐渐形成可持续盈利。若创新销售的增长不断被仿制药收缩抵消、经营现金流持续显著落后归母利润、资本化开发增长快于实际上市产品的回报，三年高分应下调。单笔大交易新闻、一次强反弹、某家机构的极高目标价都不能代替这些经营条件。</w:t>
      </w:r>
    </w:p>
    <w:p>
      <w:pPr>
        <w:pStyle w:val="Heading2"/>
        <w:rPr/>
      </w:pPr>
      <w:r>
        <w:rPr>
          <w:color w:val="000000"/>
        </w:rPr>
        <w:t>从中报还原经营 而不是从药品数量推断价值</w:t>
      </w:r>
    </w:p>
    <w:p>
      <w:pPr>
        <w:pStyle w:val="Normal"/>
        <w:rPr/>
      </w:pPr>
      <w:r>
        <w:rPr/>
        <w:t>恒瑞是已有大规模经营现金来源、拥有持续研发能力的创新型制药集团，与只有一两个临床资产的研发型生物科技公司区别明显。</w:t>
      </w:r>
      <w:r>
        <w:rPr/>
        <w:t>2026</w:t>
      </w:r>
      <w:r>
        <w:rPr/>
        <w:t>中报披露公司已有</w:t>
      </w:r>
      <w:r>
        <w:rPr/>
        <w:t>26</w:t>
      </w:r>
      <w:r>
        <w:rPr/>
        <w:t>款一类创新药、</w:t>
      </w:r>
      <w:r>
        <w:rPr/>
        <w:t>6</w:t>
      </w:r>
      <w:r>
        <w:rPr/>
        <w:t>款二类新药在中国获批。数量体现研发组织能把项目推向审批，但不能把</w:t>
      </w:r>
      <w:r>
        <w:rPr/>
        <w:t>32</w:t>
      </w:r>
      <w:r>
        <w:rPr/>
        <w:t>款药视为</w:t>
      </w:r>
      <w:r>
        <w:rPr/>
        <w:t>32</w:t>
      </w:r>
      <w:r>
        <w:rPr/>
        <w:t>个等值现金流。药品需要分适应症、治疗线、患者数、售价、竞品疗效、医生认可和支付准入；其中一些成熟药受到医保续约降价，另一些新药仍在医院准入阶段。投资价值来自组合净增长，而不是产品数的宣传排序。</w:t>
      </w:r>
    </w:p>
    <w:p>
      <w:pPr>
        <w:pStyle w:val="Normal"/>
        <w:rPr/>
      </w:pPr>
      <w:r>
        <w:rPr/>
        <w:t>上半年收入</w:t>
      </w:r>
      <w:r>
        <w:rPr/>
        <w:t>154.56</w:t>
      </w:r>
      <w:r>
        <w:rPr/>
        <w:t>亿元，同比下降</w:t>
      </w:r>
      <w:r>
        <w:rPr/>
        <w:t>1.9%</w:t>
      </w:r>
      <w:r>
        <w:rPr/>
        <w:t>，归母净利润</w:t>
      </w:r>
      <w:r>
        <w:rPr/>
        <w:t>44.65</w:t>
      </w:r>
      <w:r>
        <w:rPr/>
        <w:t>亿元，仅增长</w:t>
      </w:r>
      <w:r>
        <w:rPr/>
        <w:t>0.3%</w:t>
      </w:r>
      <w:r>
        <w:rPr/>
        <w:t>。同期创新药销售</w:t>
      </w:r>
      <w:r>
        <w:rPr/>
        <w:t>88.09</w:t>
      </w:r>
      <w:r>
        <w:rPr/>
        <w:t>亿元，增长</w:t>
      </w:r>
      <w:r>
        <w:rPr/>
        <w:t>16.4%</w:t>
      </w:r>
      <w:r>
        <w:rPr/>
        <w:t>，占药品销售</w:t>
      </w:r>
      <w:r>
        <w:rPr/>
        <w:t>63.2%</w:t>
      </w:r>
      <w:r>
        <w:rPr/>
        <w:t>；仿制药</w:t>
      </w:r>
      <w:r>
        <w:rPr/>
        <w:t>51.39</w:t>
      </w:r>
      <w:r>
        <w:rPr/>
        <w:t>亿元，下降</w:t>
      </w:r>
      <w:r>
        <w:rPr/>
        <w:t>16.1%</w:t>
      </w:r>
      <w:r>
        <w:rPr/>
        <w:t>；授权收入</w:t>
      </w:r>
      <w:r>
        <w:rPr/>
        <w:t>14.22</w:t>
      </w:r>
      <w:r>
        <w:rPr/>
        <w:t>亿元，下降</w:t>
      </w:r>
      <w:r>
        <w:rPr/>
        <w:t>28.6%</w:t>
      </w:r>
      <w:r>
        <w:rPr/>
        <w:t>。这四组数字必须一起读。若只引用创新药增长，容易误以为公司整体利润处于加速期；若只引用总收入下降，又会遗漏组合正在从老仿制业务转向创新业务的进程。正确判断是新业务扩张确实发生，但旧业务和授权确认节奏仍造成财务上的抵消。</w:t>
      </w:r>
    </w:p>
    <w:p>
      <w:pPr>
        <w:pStyle w:val="Normal"/>
        <w:rPr/>
      </w:pPr>
      <w:r>
        <w:rPr/>
        <w:t>总收入除药品销售和授权外还有少量其他收入。模型没有把收入总额与创新收入、仿制收入简单相加到完全一致，也没有用新闻的四舍五入亿数硬配财报千元。公司披露产品销售</w:t>
      </w:r>
      <w:r>
        <w:rPr/>
        <w:t>139.48</w:t>
      </w:r>
      <w:r>
        <w:rPr/>
        <w:t>亿元，创新与仿制分项合计约</w:t>
      </w:r>
      <w:r>
        <w:rPr/>
        <w:t>139.48</w:t>
      </w:r>
      <w:r>
        <w:rPr/>
        <w:t>亿元。授权</w:t>
      </w:r>
      <w:r>
        <w:rPr/>
        <w:t>14.22</w:t>
      </w:r>
      <w:r>
        <w:rPr/>
        <w:t>亿元的占比不小，而且毛利很高，因此它每年的确认波动会明显影响整体增速和利润率。对一家研发公司，授权可以逐渐成为业务的一部分；但每笔首付和里程碑依然不是药品处方销售那样稳定的季度重复现金流。</w:t>
      </w:r>
    </w:p>
    <w:p>
      <w:pPr>
        <w:pStyle w:val="Normal"/>
        <w:rPr/>
      </w:pPr>
      <w:r>
        <w:rPr/>
        <w:t>肿瘤创新药收入</w:t>
      </w:r>
      <w:r>
        <w:rPr/>
        <w:t>62.65</w:t>
      </w:r>
      <w:r>
        <w:rPr/>
        <w:t>亿元，仅增长</w:t>
      </w:r>
      <w:r>
        <w:rPr/>
        <w:t>2.6%</w:t>
      </w:r>
      <w:r>
        <w:rPr/>
        <w:t>，占创新收入</w:t>
      </w:r>
      <w:r>
        <w:rPr/>
        <w:t>71.1%</w:t>
      </w:r>
      <w:r>
        <w:rPr/>
        <w:t>。这意味着恒瑞最成熟的创新业务尚未全面恢复高增长，非肿瘤虽然增长很快，目前规模仍只有</w:t>
      </w:r>
      <w:r>
        <w:rPr/>
        <w:t>25.45</w:t>
      </w:r>
      <w:r>
        <w:rPr/>
        <w:t>亿元。非肿瘤同比增长</w:t>
      </w:r>
      <w:r>
        <w:rPr/>
        <w:t>74.0%</w:t>
      </w:r>
      <w:r>
        <w:rPr/>
        <w:t>，对组合贡献重要，若这种结构改善继续两三年，单一肿瘤周期对集团的影响会下降。但</w:t>
      </w:r>
      <w:r>
        <w:rPr/>
        <w:t>74%</w:t>
      </w:r>
      <w:r>
        <w:rPr/>
        <w:t>的增速包含低基数和新医保上市加速效应，不能自动延伸五年。它最可能经历医院覆盖、处方扩张、同类竞争和续约降价的阶段切换。</w:t>
      </w:r>
    </w:p>
    <w:p>
      <w:pPr>
        <w:pStyle w:val="Normal"/>
        <w:rPr/>
      </w:pPr>
      <w:r>
        <w:rPr/>
        <w:t>公司的商业组织和研发组织互相支持。拥有既存学术推广渠道可以加快新品进院，多个治疗领域则可以提升医生关系与渠道的使用效率；但传统肿瘤推广体系不能自动服务于代谢、皮肤免疫和慢性病。不同领域的患者管理、医生决策、疗效测量和复购周期相差很大。增长质量应从产品销量、覆盖医院、持续用药和市场份额变化验证，而非把全国销售团队人数视为护城河。合规投入也是商业化成本的一部分，不是可以随意压缩的冗余费用。</w:t>
      </w:r>
    </w:p>
    <w:p>
      <w:pPr>
        <w:pStyle w:val="Heading2"/>
        <w:rPr/>
      </w:pPr>
      <w:r>
        <w:rPr>
          <w:color w:val="000000"/>
        </w:rPr>
        <w:t>肿瘤组合 成熟产品压力与新品接替</w:t>
      </w:r>
    </w:p>
    <w:p>
      <w:pPr>
        <w:pStyle w:val="Normal"/>
        <w:rPr/>
      </w:pPr>
      <w:r>
        <w:rPr/>
        <w:t>中报对肿瘤收入仅增长</w:t>
      </w:r>
      <w:r>
        <w:rPr/>
        <w:t>2.6%</w:t>
      </w:r>
      <w:r>
        <w:rPr/>
        <w:t>的解释很具体。瑞维鲁胺、达尔西利等医保内品种持续增长，氟唑帕利新适应症拓展，新进入医保的</w:t>
      </w:r>
      <w:r>
        <w:rPr/>
        <w:t>HER2 ADC</w:t>
      </w:r>
      <w:r>
        <w:rPr/>
        <w:t>瑞康曲妥珠单抗上市初期放量；另一面，吡咯替尼面对同类竞争，阿帕替尼和硫培非格司亭因医保续约价格调整收入下降。不能把收入下降统一归因为医生用量变少，价格变化和处方变化应拆开。成熟品种数量越多，续约降价与竞品替代会越像公司常态，而非只发生一次的压力。</w:t>
      </w:r>
    </w:p>
    <w:p>
      <w:pPr>
        <w:pStyle w:val="Normal"/>
        <w:rPr/>
      </w:pPr>
      <w:r>
        <w:rPr/>
        <w:t>达尔西利属于</w:t>
      </w:r>
      <w:r>
        <w:rPr/>
        <w:t>CDK4/6</w:t>
      </w:r>
      <w:r>
        <w:rPr/>
        <w:t>抑制剂，乳腺癌治疗的用药人群、治疗线和疗程决定可实现销售。中报提到乳腺癌辅助治疗适应症已经拓展，潜在用药人群扩大，但新增适应症不等于当季立即产生全部销售。医院药事会、医保支付条款、医生对长期安全和患者依从性的判断都需要时间。若市场已经提前把大人群纳入估值，正式获批后的收入兑现慢于预期仍会引发股价调整，甚至出现“好消息发布后下跌”。</w:t>
      </w:r>
    </w:p>
    <w:p>
      <w:pPr>
        <w:pStyle w:val="Normal"/>
        <w:rPr/>
      </w:pPr>
      <w:r>
        <w:rPr/>
        <w:t>瑞维鲁胺的价值不仅在于中国市场销售，还在于国际注册与国际医生对临床结果的接受。中报提到部分后期创新资产的海外注册稳步推进。海外获批涉及人群代表性、对照组标准、生产质量、监管检查和试验可复现性，不能用中国获批概率直接替代美国或欧洲成功概率。公司拥有合作方时，可以减轻部分全球商业化负担，但收益需要按权益地区与分成条款拆分。本文未取得每一产品完整合作合同，故没有给每款药一个看似精确的全球峰值销售和成功率。</w:t>
      </w:r>
    </w:p>
    <w:p>
      <w:pPr>
        <w:pStyle w:val="Normal"/>
        <w:rPr/>
      </w:pPr>
      <w:r>
        <w:rPr/>
        <w:t>HER2 ADC</w:t>
      </w:r>
      <w:r>
        <w:rPr/>
        <w:t>是强竞争领域。恒瑞的新</w:t>
      </w:r>
      <w:r>
        <w:rPr/>
        <w:t>ADC</w:t>
      </w:r>
      <w:r>
        <w:rPr/>
        <w:t>能够利用成熟肿瘤商业渠道，并通过医保扩大可及性；同时国际成熟产品、国内新进入者、治疗线前移与组合疗法都可能改变市场。评估竞争应比较相同治疗线、相同</w:t>
      </w:r>
      <w:r>
        <w:rPr/>
        <w:t>HER2</w:t>
      </w:r>
      <w:r>
        <w:rPr/>
        <w:t>表达标准、相同入组历史治疗，不宜把不同试验的缓解率直接排列。</w:t>
      </w:r>
      <w:r>
        <w:rPr/>
        <w:t>ADC</w:t>
      </w:r>
      <w:r>
        <w:rPr/>
        <w:t>的毒性、减量停药、生产一致性和持续供应会影响医生选择。较高的潜在销量不等于同样高的单位利润，医保价格、制造复杂度和渠道成本都需要进入模型。</w:t>
      </w:r>
    </w:p>
    <w:p>
      <w:pPr>
        <w:pStyle w:val="Normal"/>
        <w:rPr/>
      </w:pPr>
      <w:r>
        <w:rPr/>
        <w:t>卡瑞利珠单抗和阿得贝利单抗处在免疫治疗拥挤市场。</w:t>
      </w:r>
      <w:r>
        <w:rPr/>
        <w:t>PD-1</w:t>
      </w:r>
      <w:r>
        <w:rPr/>
        <w:t>和</w:t>
      </w:r>
      <w:r>
        <w:rPr/>
        <w:t>PD-L1</w:t>
      </w:r>
      <w:r>
        <w:rPr/>
        <w:t>的临床价值并未消失，但商业价值受到多款竞品、降价和新一代联合疗法影响。对恒瑞而言，免疫药仍是组合疗法平台和医生渠道中的重要组成，不应简单因成熟品种竞争就给整个肿瘤组合零估值。反过来，也不应该继续使用早期</w:t>
      </w:r>
      <w:r>
        <w:rPr/>
        <w:t>PD-1</w:t>
      </w:r>
      <w:r>
        <w:rPr/>
        <w:t>高峰市场想象去定价今天成熟的中国市场。需要判断每个适应症竞争位置和每个新增适应症的净增量，而不是重复计算同一患者。</w:t>
      </w:r>
    </w:p>
    <w:p>
      <w:pPr>
        <w:pStyle w:val="Normal"/>
        <w:rPr/>
      </w:pPr>
      <w:r>
        <w:rPr/>
        <w:t>肿瘤未来三年更有意义的目标，是新品及新增适应症的收入增量超过老品种的价格与竞争损失。假如成熟老药一年少掉</w:t>
      </w:r>
      <w:r>
        <w:rPr/>
        <w:t>10</w:t>
      </w:r>
      <w:r>
        <w:rPr/>
        <w:t>亿元，新药多出</w:t>
      </w:r>
      <w:r>
        <w:rPr/>
        <w:t>15</w:t>
      </w:r>
      <w:r>
        <w:rPr/>
        <w:t>亿元，集团净增量仍只是</w:t>
      </w:r>
      <w:r>
        <w:rPr/>
        <w:t>5</w:t>
      </w:r>
      <w:r>
        <w:rPr/>
        <w:t>亿元；把新药</w:t>
      </w:r>
      <w:r>
        <w:rPr/>
        <w:t>15</w:t>
      </w:r>
      <w:r>
        <w:rPr/>
        <w:t>亿元全当集团新增，预测会偏高。投资者应关注产品级贡献表，而不是只看“新药增长很快”的管理层表述。基准盈利路径需要肿瘤组合至少走出目前近乎持平的状态；乐观路径则要求多个重点品种同时成功，这也是乐观目标价较高而证据可信度不能同步提高的原因。</w:t>
      </w:r>
    </w:p>
    <w:p>
      <w:pPr>
        <w:pStyle w:val="Heading2"/>
        <w:rPr/>
      </w:pPr>
      <w:r>
        <w:rPr>
          <w:color w:val="000000"/>
        </w:rPr>
        <w:t>非肿瘤业务 第二增长引擎的证据与门槛</w:t>
      </w:r>
    </w:p>
    <w:p>
      <w:pPr>
        <w:pStyle w:val="Normal"/>
        <w:rPr/>
      </w:pPr>
      <w:r>
        <w:rPr/>
        <w:t>非肿瘤创新收入</w:t>
      </w:r>
      <w:r>
        <w:rPr/>
        <w:t>25.45</w:t>
      </w:r>
      <w:r>
        <w:rPr/>
        <w:t>亿元、同比增长</w:t>
      </w:r>
      <w:r>
        <w:rPr/>
        <w:t>74%</w:t>
      </w:r>
      <w:r>
        <w:rPr/>
        <w:t>，是中报最值得正面评价的实际经营证据。增长来自代谢、自身免疫、心血管以及麻醉镇痛的多个领域，并非只由一款药或一笔授权组成。恒格列净、瑞格列汀及相关复方产品、艾玛昔替尼、夫那奇珠单抗、瑞卡西单抗、瑞马唑仑和泰吉利定分别面对不同市场。组合多样化使收入驱动力更分散，也需要更复杂的产品推广与临床证据管理。</w:t>
      </w:r>
    </w:p>
    <w:p>
      <w:pPr>
        <w:pStyle w:val="Normal"/>
        <w:rPr/>
      </w:pPr>
      <w:r>
        <w:rPr/>
        <w:t>代谢慢病市场患者多、疗程长，具有良好的重复处方特征，但支付能力和市场价格更敏感。</w:t>
      </w:r>
      <w:r>
        <w:rPr/>
        <w:t>SGLT-2</w:t>
      </w:r>
      <w:r>
        <w:rPr/>
        <w:t>类已有成熟竞争与临床证据，恒格列净在中报中被称为国内第二市占的</w:t>
      </w:r>
      <w:r>
        <w:rPr/>
        <w:t>SGLT-2</w:t>
      </w:r>
      <w:r>
        <w:rPr/>
        <w:t>抑制剂，这属于公司披露的竞争位置，本文没有以独立处方数据库再次确认，不能当作完全无争议的市场事实。长期增长需依靠临床价值、可及性和医生持续采用，而非国产身份本身。慢病产品收入一旦有规模可以改善波动，却也容易面对大范围价格竞争。</w:t>
      </w:r>
    </w:p>
    <w:p>
      <w:pPr>
        <w:pStyle w:val="Normal"/>
        <w:rPr/>
      </w:pPr>
      <w:r>
        <w:rPr/>
        <w:t>自免药具有长疗程与专科用药特点。艾玛昔替尼作为</w:t>
      </w:r>
      <w:r>
        <w:rPr/>
        <w:t>JAK1</w:t>
      </w:r>
      <w:r>
        <w:rPr/>
        <w:t>抑制剂，夫那奇珠单抗作为</w:t>
      </w:r>
      <w:r>
        <w:rPr/>
        <w:t>IL-17A</w:t>
      </w:r>
      <w:r>
        <w:rPr/>
        <w:t>抑制剂，中报明确它们新进入医保后加速放量。医院覆盖增加是近期重要推动，但不同机制会面对不同安全监测、适应症拓展和竞品。</w:t>
      </w:r>
      <w:r>
        <w:rPr/>
        <w:t>JAK</w:t>
      </w:r>
      <w:r>
        <w:rPr/>
        <w:t>类需要关注长期安全评价与适用患者选择，生物制剂需要关注疗效持续性、免疫原性和注射依从性。若以患者长期留存和处方深度来验证销售，可信度比仅看某季度新增医院数更高。</w:t>
      </w:r>
    </w:p>
    <w:p>
      <w:pPr>
        <w:pStyle w:val="Normal"/>
        <w:rPr/>
      </w:pPr>
      <w:r>
        <w:rPr/>
        <w:t>2026</w:t>
      </w:r>
      <w:r>
        <w:rPr/>
        <w:t>年</w:t>
      </w:r>
      <w:r>
        <w:rPr/>
        <w:t>10</w:t>
      </w:r>
      <w:r>
        <w:rPr/>
        <w:t>月</w:t>
      </w:r>
      <w:r>
        <w:rPr/>
        <w:t>7</w:t>
      </w:r>
      <w:r>
        <w:rPr/>
        <w:t>日摩根大通公开报告转述关注</w:t>
      </w:r>
      <w:r>
        <w:rPr/>
        <w:t>EADV</w:t>
      </w:r>
      <w:r>
        <w:rPr/>
        <w:t>数据，涉及银屑病、结节性痒疹及斑秃，认为恒瑞正在建立更广的生物制剂与口服免疫产品能力，并预期明年有多款免疫管线获批。这说明市场的研究重点正在从“肿瘤销售加授权”转向“多治疗领域平台”。但机构预期不是监管承诺。</w:t>
      </w:r>
      <w:r>
        <w:rPr/>
        <w:t>SHR-1139</w:t>
      </w:r>
      <w:r>
        <w:rPr/>
        <w:t>可能启动国内及全球三期的说法意味着资本投入和试验规模也会提高，在全球临床尚未完成前，应将它视为研发扩张选项而非确定全球销售。</w:t>
      </w:r>
    </w:p>
    <w:p>
      <w:pPr>
        <w:pStyle w:val="Normal"/>
        <w:rPr/>
      </w:pPr>
      <w:r>
        <w:rPr/>
        <w:t>瑞卡西单抗属于</w:t>
      </w:r>
      <w:r>
        <w:rPr/>
        <w:t>PCSK9</w:t>
      </w:r>
      <w:r>
        <w:rPr/>
        <w:t>路径。患者基数大并不代表所有高血脂患者都适用高价生物药，现实渗透率取决于患者风险、既有降脂治疗、医生处方、支付条件和用药便利。医保准入可以扩大可及性，也伴随价格谈判。若销量迅速增长而毛利与费用组合恶化，收入曲线仍可能令人兴奋，但每股利润达不到预期。基准模型因此没有把所有非肿瘤业务按</w:t>
      </w:r>
      <w:r>
        <w:rPr/>
        <w:t>74%</w:t>
      </w:r>
      <w:r>
        <w:rPr/>
        <w:t>增速外推，而是要求集团正常化盈利逐步提高。</w:t>
      </w:r>
    </w:p>
    <w:p>
      <w:pPr>
        <w:pStyle w:val="Normal"/>
        <w:rPr/>
      </w:pPr>
      <w:r>
        <w:rPr/>
        <w:t>麻醉镇痛是公司具有传统优势的领域，也容易同时包含创新产品和受到集采冲击的老仿制产品。新产品在安全、苏醒、镇痛或临床流程上形成明确差异，才可能建立溢价。医院采购和使用习惯会影响放量速度，地方集采政策也可改变渠道。这个板块的投资价值在于稳态现金流与新药替代，而不是直接套用创新药平台高估值；需要防止因为同一公司已有高研发能力，就把每条产品线都赋予全球创新溢价。</w:t>
      </w:r>
    </w:p>
    <w:p>
      <w:pPr>
        <w:pStyle w:val="Heading2"/>
        <w:rPr/>
      </w:pPr>
      <w:r>
        <w:rPr>
          <w:color w:val="000000"/>
        </w:rPr>
        <w:t>GLP 1</w:t>
      </w:r>
      <w:r>
        <w:rPr>
          <w:color w:val="000000"/>
        </w:rPr>
        <w:t>与全球合作 大空间不意味着确定巨额价值</w:t>
      </w:r>
    </w:p>
    <w:p>
      <w:pPr>
        <w:pStyle w:val="Normal"/>
        <w:rPr/>
      </w:pPr>
      <w:r>
        <w:rPr/>
        <w:t>恒瑞在代谢管线中布局多个机制和给药方式，公开中报图谱列出</w:t>
      </w:r>
      <w:r>
        <w:rPr/>
        <w:t>GLP-1</w:t>
      </w:r>
      <w:r>
        <w:rPr/>
        <w:t>、</w:t>
      </w:r>
      <w:r>
        <w:rPr/>
        <w:t>GLP-1/GIP</w:t>
      </w:r>
      <w:r>
        <w:rPr/>
        <w:t>以及相关复方方向。</w:t>
      </w:r>
      <w:r>
        <w:rPr/>
        <w:t>2026</w:t>
      </w:r>
      <w:r>
        <w:rPr/>
        <w:t>年</w:t>
      </w:r>
      <w:r>
        <w:rPr/>
        <w:t>7</w:t>
      </w:r>
      <w:r>
        <w:rPr/>
        <w:t>月的瑞银公开新闻转述提到</w:t>
      </w:r>
      <w:r>
        <w:rPr/>
        <w:t>HRS-7535</w:t>
      </w:r>
      <w:r>
        <w:rPr/>
        <w:t>减重三期达到主要终点，</w:t>
      </w:r>
      <w:r>
        <w:rPr/>
        <w:t>44</w:t>
      </w:r>
      <w:r>
        <w:rPr/>
        <w:t>周</w:t>
      </w:r>
      <w:r>
        <w:rPr/>
        <w:t>180mg</w:t>
      </w:r>
      <w:r>
        <w:rPr/>
        <w:t>每日一次剂量组体重降幅</w:t>
      </w:r>
      <w:r>
        <w:rPr/>
        <w:t>9.8%</w:t>
      </w:r>
      <w:r>
        <w:rPr/>
        <w:t>，耐受性良好，并预期提交中国上市申请。这个结果构成药物开发推进的积极证据，但不能直接与另一款不同入组、不同安慰剂调整、不同随访长度的</w:t>
      </w:r>
      <w:r>
        <w:rPr/>
        <w:t>GLP-1</w:t>
      </w:r>
      <w:r>
        <w:rPr/>
        <w:t>药比较“谁最好”。需看完整试验设计、退出率、缺失数据处理、治疗相关不良事件及真正上市标签。</w:t>
      </w:r>
    </w:p>
    <w:p>
      <w:pPr>
        <w:pStyle w:val="Normal"/>
        <w:rPr/>
      </w:pPr>
      <w:r>
        <w:rPr/>
        <w:t>口服给药有机会改善患者接受度，但它也涉及服药频率、空腹要求、剂量、依从性、生产成本和疗效持续。周服与日服的便利性不同，注射药与口服药不一定简单相互替代。减重市场可能非常大，却也可能形成强头部竞争、价格下行和支付限制。美国与中国对肥胖治疗的保险覆盖和自费习惯差异显著，不能把全球峰值销售按中国人口比例分配，也不能把一家外国药企的品牌和渠道自动映射给恒瑞自主商业化。</w:t>
      </w:r>
    </w:p>
    <w:p>
      <w:pPr>
        <w:pStyle w:val="Normal"/>
        <w:rPr/>
      </w:pPr>
      <w:r>
        <w:rPr/>
        <w:t>9</w:t>
      </w:r>
      <w:r>
        <w:rPr/>
        <w:t>月</w:t>
      </w:r>
      <w:r>
        <w:rPr/>
        <w:t>30</w:t>
      </w:r>
      <w:r>
        <w:rPr/>
        <w:t>日大和报告公开转述称</w:t>
      </w:r>
      <w:r>
        <w:rPr/>
        <w:t>HRS-1596</w:t>
      </w:r>
      <w:r>
        <w:rPr/>
        <w:t>与诺和诺德达成中国以外开发生产商业化权利的许可，潜在总额</w:t>
      </w:r>
      <w:r>
        <w:rPr/>
        <w:t>26</w:t>
      </w:r>
      <w:r>
        <w:rPr/>
        <w:t>亿美元，包括</w:t>
      </w:r>
      <w:r>
        <w:rPr/>
        <w:t>3</w:t>
      </w:r>
      <w:r>
        <w:rPr/>
        <w:t>亿美元预付款，并描述为每周一次口服</w:t>
      </w:r>
      <w:r>
        <w:rPr/>
        <w:t>GLP-1</w:t>
      </w:r>
      <w:r>
        <w:rPr/>
        <w:t>。本研究取得的是公开机构新闻转述，尚未全文核对授权原公告和所有地区条款，因此将这项交易列为重要催化和外部验证，未把</w:t>
      </w:r>
      <w:r>
        <w:rPr/>
        <w:t>26</w:t>
      </w:r>
      <w:r>
        <w:rPr/>
        <w:t>亿美元作为确定现金，也未将</w:t>
      </w:r>
      <w:r>
        <w:rPr/>
        <w:t>3</w:t>
      </w:r>
      <w:r>
        <w:rPr/>
        <w:t>亿美元机械加进长期每年利润。金额再大也要区分现金到账、履约、里程碑和未来销售分成。</w:t>
      </w:r>
    </w:p>
    <w:p>
      <w:pPr>
        <w:pStyle w:val="Normal"/>
        <w:rPr/>
      </w:pPr>
      <w:r>
        <w:rPr/>
        <w:t>跨国合作方愿意支付首付通常代表其尽调后的风险资本判断，这有助于证实研发平台能够产生海外可交易资产。然而买方也会在后续根据试验结果、竞争和内部预算停止项目，交易并不是临床结果的担保。合作方拥有全球开发和商业化经验，可以改善成功后价值兑现的能力；同时恒瑞放弃部分地区权益，最终现金流只是合同规定的部分，不再拥有所有全球销售利润。分析时若既计全额自主销售，又加授权收益和合作方开发价值，就会重复计价。</w:t>
      </w:r>
    </w:p>
    <w:p>
      <w:pPr>
        <w:pStyle w:val="Normal"/>
        <w:rPr/>
      </w:pPr>
      <w:r>
        <w:rPr/>
        <w:t>GLP-1</w:t>
      </w:r>
      <w:r>
        <w:rPr/>
        <w:t>在本公司的五年乐观路径中有较大作用，但不是基准模型唯一支柱。基准盈利增长更依赖多产品组合、免疫心血管扩张和既有肿瘤净增长，避免把整个公司的回报绑定一款代谢药。若</w:t>
      </w:r>
      <w:r>
        <w:rPr/>
        <w:t>GLP-1</w:t>
      </w:r>
      <w:r>
        <w:rPr/>
        <w:t>推进遇挫，恒瑞不会像单资产公司那样业务归零，但估值仍会损失相应的成长选项。若代谢产品成功幅度超出预期，需要上调盈利模型而不是只提高</w:t>
      </w:r>
      <w:r>
        <w:rPr/>
        <w:t>PE</w:t>
      </w:r>
      <w:r>
        <w:rPr/>
        <w:t>，这样收益来源更容易被财务结果验证。</w:t>
      </w:r>
    </w:p>
    <w:p>
      <w:pPr>
        <w:pStyle w:val="Heading2"/>
        <w:rPr/>
      </w:pPr>
      <w:r>
        <w:rPr>
          <w:color w:val="000000"/>
        </w:rPr>
        <w:t>授权收入 首付款 里程碑和股权收益的四个抽屉</w:t>
      </w:r>
    </w:p>
    <w:p>
      <w:pPr>
        <w:pStyle w:val="Normal"/>
        <w:rPr/>
      </w:pPr>
      <w:r>
        <w:rPr/>
        <w:t>上半年</w:t>
      </w:r>
      <w:r>
        <w:rPr/>
        <w:t>14.22</w:t>
      </w:r>
      <w:r>
        <w:rPr/>
        <w:t>亿元许可收入主要包括</w:t>
      </w:r>
      <w:r>
        <w:rPr/>
        <w:t>GSK</w:t>
      </w:r>
      <w:r>
        <w:rPr/>
        <w:t>合作按履约进度确认的</w:t>
      </w:r>
      <w:r>
        <w:rPr/>
        <w:t>11.76</w:t>
      </w:r>
      <w:r>
        <w:rPr/>
        <w:t>亿元，以及</w:t>
      </w:r>
      <w:r>
        <w:rPr/>
        <w:t>Braveheart Bio</w:t>
      </w:r>
      <w:r>
        <w:rPr/>
        <w:t>里程碑等收入。去年同期授权收入</w:t>
      </w:r>
      <w:r>
        <w:rPr/>
        <w:t>19.91</w:t>
      </w:r>
      <w:r>
        <w:rPr/>
        <w:t>亿元，包含</w:t>
      </w:r>
      <w:r>
        <w:rPr/>
        <w:t>MSD</w:t>
      </w:r>
      <w:r>
        <w:rPr/>
        <w:t>及</w:t>
      </w:r>
      <w:r>
        <w:rPr/>
        <w:t>IDEAYA</w:t>
      </w:r>
      <w:r>
        <w:rPr/>
        <w:t>首付款，基数较高。中报直接说明确认节奏与履约义务有关，因此收到现金、确认收入和产生利润可能处在不同期间。集团可以有很好交易新闻和较大现金余额，同时收入同比下降；这不是必然造假或失败，而是不同会计时间线必须拆开。</w:t>
      </w:r>
    </w:p>
    <w:p>
      <w:pPr>
        <w:pStyle w:val="Normal"/>
        <w:rPr/>
      </w:pPr>
      <w:r>
        <w:rPr/>
        <w:t>BMS</w:t>
      </w:r>
      <w:r>
        <w:rPr/>
        <w:t>在</w:t>
      </w:r>
      <w:r>
        <w:rPr/>
        <w:t>2026</w:t>
      </w:r>
      <w:r>
        <w:rPr/>
        <w:t>年</w:t>
      </w:r>
      <w:r>
        <w:rPr/>
        <w:t>5</w:t>
      </w:r>
      <w:r>
        <w:rPr/>
        <w:t>月与恒瑞达成共同推进</w:t>
      </w:r>
      <w:r>
        <w:rPr/>
        <w:t>13</w:t>
      </w:r>
      <w:r>
        <w:rPr/>
        <w:t>款早期项目的全球战略合作及许可。公司披露潜在总交易额约</w:t>
      </w:r>
      <w:r>
        <w:rPr/>
        <w:t>152</w:t>
      </w:r>
      <w:r>
        <w:rPr/>
        <w:t>亿美元，相关付款最多</w:t>
      </w:r>
      <w:r>
        <w:rPr/>
        <w:t>9.5</w:t>
      </w:r>
      <w:r>
        <w:rPr/>
        <w:t>亿美元，包括</w:t>
      </w:r>
      <w:r>
        <w:rPr/>
        <w:t>6</w:t>
      </w:r>
      <w:r>
        <w:rPr/>
        <w:t>亿美元首付、第一笔</w:t>
      </w:r>
      <w:r>
        <w:rPr/>
        <w:t>1.75</w:t>
      </w:r>
      <w:r>
        <w:rPr/>
        <w:t>亿美元周年付款以及第二笔有条件的</w:t>
      </w:r>
      <w:r>
        <w:rPr/>
        <w:t>1.75</w:t>
      </w:r>
      <w:r>
        <w:rPr/>
        <w:t>亿美元周年付款。</w:t>
      </w:r>
      <w:r>
        <w:rPr/>
        <w:t>H1</w:t>
      </w:r>
      <w:r>
        <w:rPr/>
        <w:t>期末尚未确认收入，管理层预期第三季度收到</w:t>
      </w:r>
      <w:r>
        <w:rPr/>
        <w:t>6</w:t>
      </w:r>
      <w:r>
        <w:rPr/>
        <w:t>亿美元首付款。投资者不能从“</w:t>
      </w:r>
      <w:r>
        <w:rPr/>
        <w:t>152</w:t>
      </w:r>
      <w:r>
        <w:rPr/>
        <w:t>亿美元”直接折算公司市值，也不能把</w:t>
      </w:r>
      <w:r>
        <w:rPr/>
        <w:t>9.5</w:t>
      </w:r>
      <w:r>
        <w:rPr/>
        <w:t>亿美元全部当作</w:t>
      </w:r>
      <w:r>
        <w:rPr/>
        <w:t>2026</w:t>
      </w:r>
      <w:r>
        <w:rPr/>
        <w:t>年确定收入。早期项目通常有较高失败率，最大总额只有在多个开发和销售条件满足后才可能实现。</w:t>
      </w:r>
    </w:p>
    <w:p>
      <w:pPr>
        <w:pStyle w:val="Normal"/>
        <w:rPr/>
      </w:pPr>
      <w:r>
        <w:rPr/>
        <w:t>一个更合理的交易检验顺序是先确认合同生效条件和首付到账，再确认履约义务的会计分摊，随后跟踪开发里程碑，最后才是上市后权益金。对半年股价，首付到账和政策风险下降可能形成较强催化；对三年每股盈利，只有持续开发与组合成功才有真正贡献。若投资者将首付按一个季度高倍数</w:t>
      </w:r>
      <w:r>
        <w:rPr/>
        <w:t>PE</w:t>
      </w:r>
      <w:r>
        <w:rPr/>
        <w:t>资本化，再额外加完整</w:t>
      </w:r>
      <w:r>
        <w:rPr/>
        <w:t>rNPV</w:t>
      </w:r>
      <w:r>
        <w:rPr/>
        <w:t>，会高估同一资产。本文采用整公司正常化未来十二个月</w:t>
      </w:r>
      <w:r>
        <w:rPr/>
        <w:t>EPS</w:t>
      </w:r>
      <w:r>
        <w:rPr/>
        <w:t>的简化估值，未额外叠加授权合同最大额、现金或管线</w:t>
      </w:r>
      <w:r>
        <w:rPr/>
        <w:t>rNPV</w:t>
      </w:r>
      <w:r>
        <w:rPr/>
        <w:t>。</w:t>
      </w:r>
    </w:p>
    <w:p>
      <w:pPr>
        <w:pStyle w:val="Normal"/>
        <w:rPr/>
      </w:pPr>
      <w:r>
        <w:rPr/>
        <w:t>NewCo</w:t>
      </w:r>
      <w:r>
        <w:rPr/>
        <w:t>合作与普通授权不同。恒瑞持有</w:t>
      </w:r>
      <w:r>
        <w:rPr/>
        <w:t>Kailera</w:t>
      </w:r>
      <w:r>
        <w:rPr/>
        <w:t>权益，上半年因该公司纳斯达克上市确认</w:t>
      </w:r>
      <w:r>
        <w:rPr/>
        <w:t>8.207</w:t>
      </w:r>
      <w:r>
        <w:rPr/>
        <w:t>亿元公平价值变动收益，进入其他收入及收益。这提升归母利润但没有等量处方销售与经营现金。未来股价变化可能再次带来收益或损失；存在锁定安排、持股变现、税费和稀释等因素时，可变现价值也不等于当天上市市值。保留股权是一项有价值的资产，不过不能在估值中同时把公平价值收益永久化、加全额权益市值并计全部管线现金流。</w:t>
      </w:r>
    </w:p>
    <w:p>
      <w:pPr>
        <w:pStyle w:val="Normal"/>
        <w:rPr/>
      </w:pPr>
      <w:r>
        <w:rPr/>
        <w:t>公司美元现金产生的利息与汇兑变化又是另一条时间线。上半年其他收入增长，其中有美元现金利息和股权公平价值；其他开支则因美元现金头寸未实现汇兑损失大幅增加。若只剔除股权收益但不对汇兑损失作对应判断，正常化利润也可能偏低；反过来若把所有“其他开支”全部加回，又可能忽视实际经营及资本结构成本。完整正常化需要逐项检查，本文给出区间而不是声称从</w:t>
      </w:r>
      <w:r>
        <w:rPr/>
        <w:t>44.65</w:t>
      </w:r>
      <w:r>
        <w:rPr/>
        <w:t>亿元已精确得到唯一可持续半年利润。</w:t>
      </w:r>
    </w:p>
    <w:p>
      <w:pPr>
        <w:pStyle w:val="Heading2"/>
        <w:rPr/>
      </w:pPr>
      <w:r>
        <w:rPr>
          <w:color w:val="000000"/>
        </w:rPr>
        <w:t>现金流和研发资本化是估值的硬约束</w:t>
      </w:r>
    </w:p>
    <w:p>
      <w:pPr>
        <w:pStyle w:val="Normal"/>
        <w:rPr/>
      </w:pPr>
      <w:r>
        <w:rPr/>
        <w:t>归母</w:t>
      </w:r>
      <w:r>
        <w:rPr/>
        <w:t>44.65</w:t>
      </w:r>
      <w:r>
        <w:rPr/>
        <w:t>亿元，但经营现金流只有</w:t>
      </w:r>
      <w:r>
        <w:rPr/>
        <w:t>19.87</w:t>
      </w:r>
      <w:r>
        <w:rPr/>
        <w:t>亿元，同比减少</w:t>
      </w:r>
      <w:r>
        <w:rPr/>
        <w:t>23.13</w:t>
      </w:r>
      <w:r>
        <w:rPr/>
        <w:t>亿元。中报解释去年许可费收取较高，同时现金流表显示应收增加、贸易及其他应付款减少、合约负债减少等因素。现金流不是单纯净利润调整后的数字，合同负债下降表示此前现金进入后在本期履约确认，可能产生“有收入、少新增现金”。集团有足够现金，不代表经营现金转化问题可以忽略；如果这种落差持续多期，盈利高倍数的合理性会下降。</w:t>
      </w:r>
    </w:p>
    <w:p>
      <w:pPr>
        <w:pStyle w:val="Normal"/>
        <w:rPr/>
      </w:pPr>
      <w:r>
        <w:rPr/>
        <w:t>期末现金及银行结余</w:t>
      </w:r>
      <w:r>
        <w:rPr/>
        <w:t>387.22</w:t>
      </w:r>
      <w:r>
        <w:rPr/>
        <w:t>亿元，而现金及现金等价物</w:t>
      </w:r>
      <w:r>
        <w:rPr/>
        <w:t>380.32</w:t>
      </w:r>
      <w:r>
        <w:rPr/>
        <w:t>亿元，两者差额约</w:t>
      </w:r>
      <w:r>
        <w:rPr/>
        <w:t>6.90</w:t>
      </w:r>
      <w:r>
        <w:rPr/>
        <w:t>亿元为应收利息。本文不能把</w:t>
      </w:r>
      <w:r>
        <w:rPr/>
        <w:t>387.22</w:t>
      </w:r>
      <w:r>
        <w:rPr/>
        <w:t>亿元全部称为可随时使用现金等价物，也不把金融资产与现金混合成现金跑道。公司资产负债率</w:t>
      </w:r>
      <w:r>
        <w:rPr/>
        <w:t>8.2%</w:t>
      </w:r>
      <w:r>
        <w:rPr/>
        <w:t>，现金规模较大，短期融资生存风险明显低于多数未盈利生物科技公司。但现金丰厚也会降低资本回报率，股东应关心现金如何用于有效研发、合作投资、回购和分红，而不是只用现金规模证明股票必然便宜。</w:t>
      </w:r>
    </w:p>
    <w:p>
      <w:pPr>
        <w:pStyle w:val="Normal"/>
        <w:rPr/>
      </w:pPr>
      <w:r>
        <w:rPr/>
        <w:t>保守自由现金流口径用</w:t>
      </w:r>
      <w:r>
        <w:rPr/>
        <w:t>19.87</w:t>
      </w:r>
      <w:r>
        <w:rPr/>
        <w:t>亿元经营现金流扣除</w:t>
      </w:r>
      <w:r>
        <w:rPr/>
        <w:t>3.94</w:t>
      </w:r>
      <w:r>
        <w:rPr/>
        <w:t>亿元购置厂房设备、</w:t>
      </w:r>
      <w:r>
        <w:rPr/>
        <w:t>0.10</w:t>
      </w:r>
      <w:r>
        <w:rPr/>
        <w:t>亿元土地使用权、</w:t>
      </w:r>
      <w:r>
        <w:rPr/>
        <w:t>11.73</w:t>
      </w:r>
      <w:r>
        <w:rPr/>
        <w:t>亿元新增无形资产，约剩</w:t>
      </w:r>
      <w:r>
        <w:rPr/>
        <w:t>4.09</w:t>
      </w:r>
      <w:r>
        <w:rPr/>
        <w:t>亿元。这个口径并未把联营投资</w:t>
      </w:r>
      <w:r>
        <w:rPr/>
        <w:t>3.15</w:t>
      </w:r>
      <w:r>
        <w:rPr/>
        <w:t>亿元作为经营资本支出，也没有把现金利息或出售资产全部加入；它旨在看主营业务与开发投入后的现金留存。单看费用化研发</w:t>
      </w:r>
      <w:r>
        <w:rPr/>
        <w:t>34.93</w:t>
      </w:r>
      <w:r>
        <w:rPr/>
        <w:t>亿元会漏掉部分开发支出真现金，因为研发会计资本化只是费用确认的时间变化，不是资金没有花出去。</w:t>
      </w:r>
    </w:p>
    <w:p>
      <w:pPr>
        <w:pStyle w:val="Normal"/>
        <w:rPr/>
      </w:pPr>
      <w:r>
        <w:rPr/>
        <w:t>总研发投入</w:t>
      </w:r>
      <w:r>
        <w:rPr/>
        <w:t>46.05</w:t>
      </w:r>
      <w:r>
        <w:rPr/>
        <w:t>亿元，同比</w:t>
      </w:r>
      <w:r>
        <w:rPr/>
        <w:t>19%</w:t>
      </w:r>
      <w:r>
        <w:rPr/>
        <w:t>，费用化</w:t>
      </w:r>
      <w:r>
        <w:rPr/>
        <w:t>34.93</w:t>
      </w:r>
      <w:r>
        <w:rPr/>
        <w:t>亿元，同比</w:t>
      </w:r>
      <w:r>
        <w:rPr/>
        <w:t>8.2%</w:t>
      </w:r>
      <w:r>
        <w:rPr/>
        <w:t>；无形资产从</w:t>
      </w:r>
      <w:r>
        <w:rPr/>
        <w:t>62.29</w:t>
      </w:r>
      <w:r>
        <w:rPr/>
        <w:t>亿元增至</w:t>
      </w:r>
      <w:r>
        <w:rPr/>
        <w:t>73.17</w:t>
      </w:r>
      <w:r>
        <w:rPr/>
        <w:t>亿元，增</w:t>
      </w:r>
      <w:r>
        <w:rPr/>
        <w:t>17.5%</w:t>
      </w:r>
      <w:r>
        <w:rPr/>
        <w:t>，主要与资本化开发成本有关。这类研发能创造多年未来收益，不能一概视为坏事。风险在于项目资本化后收入和现金不及预期，则需要减值并降低未来每股盈利；研发投资越大，越应区分达到资本化标准与真正商业化回报。若投资者用费用化研发占比下降判断利润率改善，可能误读研发现金支出仍高速增长的事实。</w:t>
      </w:r>
    </w:p>
    <w:p>
      <w:pPr>
        <w:pStyle w:val="Normal"/>
        <w:rPr/>
      </w:pPr>
      <w:r>
        <w:rPr/>
        <w:t>以会计利润评估恒瑞时，需至少保留三条曲线：产品经营利润、包含授权及金融资产变化的归母利润、扣开发投入后的现金流。公司是成熟盈利药企，</w:t>
      </w:r>
      <w:r>
        <w:rPr/>
        <w:t>PE</w:t>
      </w:r>
      <w:r>
        <w:rPr/>
        <w:t>估值有实际基础；但</w:t>
      </w:r>
      <w:r>
        <w:rPr/>
        <w:t>PE</w:t>
      </w:r>
      <w:r>
        <w:rPr/>
        <w:t>分母必须是正常化未来盈利，而不是包含一次性股权收益的最高年度值。本文半年基准</w:t>
      </w:r>
      <w:r>
        <w:rPr/>
        <w:t>EPS1.60</w:t>
      </w:r>
      <w:r>
        <w:rPr/>
        <w:t>元对应未来十二个月归母约</w:t>
      </w:r>
      <w:r>
        <w:rPr/>
        <w:t>106.20</w:t>
      </w:r>
      <w:r>
        <w:rPr/>
        <w:t>亿元，一年基准</w:t>
      </w:r>
      <w:r>
        <w:rPr/>
        <w:t>1.80</w:t>
      </w:r>
      <w:r>
        <w:rPr/>
        <w:t>元对应</w:t>
      </w:r>
      <w:r>
        <w:rPr/>
        <w:t>119.47</w:t>
      </w:r>
      <w:r>
        <w:rPr/>
        <w:t>亿元，这些数字比</w:t>
      </w:r>
      <w:r>
        <w:rPr/>
        <w:t>H1</w:t>
      </w:r>
      <w:r>
        <w:rPr/>
        <w:t>机械年化</w:t>
      </w:r>
      <w:r>
        <w:rPr/>
        <w:t>89.31</w:t>
      </w:r>
      <w:r>
        <w:rPr/>
        <w:t>亿元更高，因而明确需要产品放量和授权组合兑现，不能当作已有事实。</w:t>
      </w:r>
    </w:p>
    <w:p>
      <w:pPr>
        <w:pStyle w:val="Heading2"/>
        <w:rPr/>
      </w:pPr>
      <w:r>
        <w:rPr>
          <w:color w:val="000000"/>
        </w:rPr>
        <w:t>治理 回购 激励与每股利益</w:t>
      </w:r>
    </w:p>
    <w:p>
      <w:pPr>
        <w:pStyle w:val="Normal"/>
        <w:rPr/>
      </w:pPr>
      <w:r>
        <w:rPr/>
        <w:t>中报披露总股数</w:t>
      </w:r>
      <w:r>
        <w:rPr/>
        <w:t>66.37199874</w:t>
      </w:r>
      <w:r>
        <w:rPr/>
        <w:t>亿股，其中</w:t>
      </w:r>
      <w:r>
        <w:rPr/>
        <w:t>A</w:t>
      </w:r>
      <w:r>
        <w:rPr/>
        <w:t>股</w:t>
      </w:r>
      <w:r>
        <w:rPr/>
        <w:t>63.79002274</w:t>
      </w:r>
      <w:r>
        <w:rPr/>
        <w:t>亿股、</w:t>
      </w:r>
      <w:r>
        <w:rPr/>
        <w:t>H</w:t>
      </w:r>
      <w:r>
        <w:rPr/>
        <w:t>股</w:t>
      </w:r>
      <w:r>
        <w:rPr/>
        <w:t>2.581976</w:t>
      </w:r>
      <w:r>
        <w:rPr/>
        <w:t>亿股。</w:t>
      </w:r>
      <w:r>
        <w:rPr/>
        <w:t>A/H</w:t>
      </w:r>
      <w:r>
        <w:rPr/>
        <w:t>两地持有人共同享有同一公司经济利益，计算</w:t>
      </w:r>
      <w:r>
        <w:rPr/>
        <w:t>EPS</w:t>
      </w:r>
      <w:r>
        <w:rPr/>
        <w:t>应使用总股数，不能用全部集团利润除以仅</w:t>
      </w:r>
      <w:r>
        <w:rPr/>
        <w:t>2.58</w:t>
      </w:r>
      <w:r>
        <w:rPr/>
        <w:t>亿</w:t>
      </w:r>
      <w:r>
        <w:rPr/>
        <w:t>H</w:t>
      </w:r>
      <w:r>
        <w:rPr/>
        <w:t>股。</w:t>
      </w:r>
      <w:r>
        <w:rPr/>
        <w:t>H</w:t>
      </w:r>
      <w:r>
        <w:rPr/>
        <w:t>股自由流通规模小而集团大，行情页面可能只显示</w:t>
      </w:r>
      <w:r>
        <w:rPr/>
        <w:t>H</w:t>
      </w:r>
      <w:r>
        <w:rPr/>
        <w:t>股类别市值，不能以此与集团全部收入或现金比较得出极低</w:t>
      </w:r>
      <w:r>
        <w:rPr/>
        <w:t>PS</w:t>
      </w:r>
      <w:r>
        <w:rPr/>
        <w:t>或“现金大于市值”。这种单位错误会把正常药企错误解释为巨额价值异常。</w:t>
      </w:r>
    </w:p>
    <w:p>
      <w:pPr>
        <w:pStyle w:val="Normal"/>
        <w:rPr/>
      </w:pPr>
      <w:r>
        <w:rPr/>
        <w:t>2026</w:t>
      </w:r>
      <w:r>
        <w:rPr/>
        <w:t>年</w:t>
      </w:r>
      <w:r>
        <w:rPr/>
        <w:t>8</w:t>
      </w:r>
      <w:r>
        <w:rPr/>
        <w:t>月披露拟用</w:t>
      </w:r>
      <w:r>
        <w:rPr/>
        <w:t>10</w:t>
      </w:r>
      <w:r>
        <w:rPr/>
        <w:t>亿至</w:t>
      </w:r>
      <w:r>
        <w:rPr/>
        <w:t>20</w:t>
      </w:r>
      <w:r>
        <w:rPr/>
        <w:t>亿元回购</w:t>
      </w:r>
      <w:r>
        <w:rPr/>
        <w:t>A</w:t>
      </w:r>
      <w:r>
        <w:rPr/>
        <w:t>股，最高价格不超过</w:t>
      </w:r>
      <w:r>
        <w:rPr/>
        <w:t>90.85</w:t>
      </w:r>
      <w:r>
        <w:rPr/>
        <w:t>元，用途为员工持股或股权激励。用于员工激励的回购与注销回购不同，不能假设每购一股都永久减少总股数并提高</w:t>
      </w:r>
      <w:r>
        <w:rPr/>
        <w:t>EPS</w:t>
      </w:r>
      <w:r>
        <w:rPr/>
        <w:t>。合理激励有助于保留科学家和商业团队，长期回报取决于业绩条件与授予价格；从股东角度，库存股回购是现金支出，后续授予可能重新进入流通，股份支付也有会计费用。本文固定已核验股数，不凭回购额度臆造缩股。</w:t>
      </w:r>
    </w:p>
    <w:p>
      <w:pPr>
        <w:pStyle w:val="Normal"/>
        <w:rPr/>
      </w:pPr>
      <w:r>
        <w:rPr/>
        <w:t>公司规模扩大且全球合作更复杂，决策与披露质量对估值影响会提高。重要交易的地区权益、首付到账、开发责任、条件性里程碑与关联安排需要清楚说明，投资者才能评估资金使用。药品商业化中的合规风险也不能用高毛利覆盖。医药反腐、学术推广规范和采购改革可能改变短期费用与进院节奏，但长期合规商业组织反而是大型药企的必要优势。分析治理应落在披露一致性、资本回报和激励约束，不凭企业知名度给满分。</w:t>
      </w:r>
    </w:p>
    <w:p>
      <w:pPr>
        <w:pStyle w:val="Normal"/>
        <w:rPr/>
      </w:pPr>
      <w:r>
        <w:rPr/>
        <w:t>现金多而分红比例较低的公司，长期收益多数仍来自盈利增长和股价重估。</w:t>
      </w:r>
      <w:r>
        <w:rPr/>
        <w:t>2025</w:t>
      </w:r>
      <w:r>
        <w:rPr/>
        <w:t>年度末期股息每股人民币</w:t>
      </w:r>
      <w:r>
        <w:rPr/>
        <w:t>0.20</w:t>
      </w:r>
      <w:r>
        <w:rPr/>
        <w:t>元对应公开约</w:t>
      </w:r>
      <w:r>
        <w:rPr/>
        <w:t>0.22828</w:t>
      </w:r>
      <w:r>
        <w:rPr/>
        <w:t>港元，该股息已在基准日前成为历史，不再计入未来一年回报。本文一年累计分红悲基乐采用人民币</w:t>
      </w:r>
      <w:r>
        <w:rPr/>
        <w:t>0.15</w:t>
      </w:r>
      <w:r>
        <w:rPr/>
        <w:t>、</w:t>
      </w:r>
      <w:r>
        <w:rPr/>
        <w:t>0.25</w:t>
      </w:r>
      <w:r>
        <w:rPr/>
        <w:t>、</w:t>
      </w:r>
      <w:r>
        <w:rPr/>
        <w:t>0.35</w:t>
      </w:r>
      <w:r>
        <w:rPr/>
        <w:t>元，三年</w:t>
      </w:r>
      <w:r>
        <w:rPr/>
        <w:t>0.50</w:t>
      </w:r>
      <w:r>
        <w:rPr/>
        <w:t>、</w:t>
      </w:r>
      <w:r>
        <w:rPr/>
        <w:t>0.90</w:t>
      </w:r>
      <w:r>
        <w:rPr/>
        <w:t>、</w:t>
      </w:r>
      <w:r>
        <w:rPr/>
        <w:t>1.40</w:t>
      </w:r>
      <w:r>
        <w:rPr/>
        <w:t>元，五年</w:t>
      </w:r>
      <w:r>
        <w:rPr/>
        <w:t>0.80</w:t>
      </w:r>
      <w:r>
        <w:rPr/>
        <w:t>、</w:t>
      </w:r>
      <w:r>
        <w:rPr/>
        <w:t>1.75</w:t>
      </w:r>
      <w:r>
        <w:rPr/>
        <w:t>、</w:t>
      </w:r>
      <w:r>
        <w:rPr/>
        <w:t>3.00</w:t>
      </w:r>
      <w:r>
        <w:rPr/>
        <w:t>元。它们是研究假设，没有把任何未来董事会决策当作已确定。</w:t>
      </w:r>
    </w:p>
    <w:p>
      <w:pPr>
        <w:pStyle w:val="Normal"/>
        <w:rPr/>
      </w:pPr>
      <w:r>
        <w:rPr/>
        <w:t>稀释敏感性也不可缺。假如未来总股数增</w:t>
      </w:r>
      <w:r>
        <w:rPr/>
        <w:t>2%</w:t>
      </w:r>
      <w:r>
        <w:rPr/>
        <w:t>，同一公司利润下</w:t>
      </w:r>
      <w:r>
        <w:rPr/>
        <w:t>EPS</w:t>
      </w:r>
      <w:r>
        <w:rPr/>
        <w:t>和目标价约下降</w:t>
      </w:r>
      <w:r>
        <w:rPr/>
        <w:t>1.96%</w:t>
      </w:r>
      <w:r>
        <w:rPr/>
        <w:t>；增</w:t>
      </w:r>
      <w:r>
        <w:rPr/>
        <w:t>5%</w:t>
      </w:r>
      <w:r>
        <w:rPr/>
        <w:t>则约下降</w:t>
      </w:r>
      <w:r>
        <w:rPr/>
        <w:t>4.76%</w:t>
      </w:r>
      <w:r>
        <w:rPr/>
        <w:t>。这不表示公司已宣布这种发行，而是提醒跨市场股份计划和长期激励会影响每股结果。新资本若带来更大的未来利润，稀释可以有正面价值；若只是维持高投入而产出不增，则持有人收益受损。三年五年模型需动态更新股本，不应只关心公司绝对收入。</w:t>
      </w:r>
    </w:p>
    <w:p>
      <w:pPr>
        <w:pStyle w:val="Heading2"/>
        <w:rPr/>
      </w:pPr>
      <w:r>
        <w:rPr>
          <w:color w:val="000000"/>
        </w:rPr>
        <w:t>宏观与行业周期如何具体影响恒瑞</w:t>
      </w:r>
    </w:p>
    <w:p>
      <w:pPr>
        <w:pStyle w:val="Normal"/>
        <w:rPr/>
      </w:pPr>
      <w:r>
        <w:rPr/>
        <w:t>恒瑞的需求不直接等于</w:t>
      </w:r>
      <w:r>
        <w:rPr/>
        <w:t>GDP</w:t>
      </w:r>
      <w:r>
        <w:rPr/>
        <w:t>增长。癌症、糖尿病、免疫和心血管需求有较强医学刚性，经济偏弱不使疾病消失；但患者自费能力、医院付款、商业保险覆盖和医保预算仍会改变实际收入。把医药称为完全防御会低估支付约束，把它称为纯经济周期行业又会遗漏疾病需求与研发周期。集团收入混合成熟医保产品、创新新品、授权和海外金融资产，因此宏观传导有多个渠道。</w:t>
      </w:r>
    </w:p>
    <w:p>
      <w:pPr>
        <w:pStyle w:val="Normal"/>
        <w:rPr/>
      </w:pPr>
      <w:r>
        <w:rPr/>
        <w:t>中国老龄化和慢病人群提供长期需求，但其转为利润需要可负担治疗与有效医疗资源分配。</w:t>
      </w:r>
      <w:r>
        <w:rPr/>
        <w:t>DRG/DIP</w:t>
      </w:r>
      <w:r>
        <w:rPr/>
        <w:t>支付约束会让医院更重视治疗成本和可量化临床价值，创新药需要展示患者获益、相对已有疗法的优势和合理经济性。医保扩展可以扩大销量，但谈判价格下调可能压低单价；“进入医保”既是增长催化也是价格重新定价。基准模型不能同时假定扩大覆盖和永远不降价。</w:t>
      </w:r>
    </w:p>
    <w:p>
      <w:pPr>
        <w:pStyle w:val="Normal"/>
        <w:rPr/>
      </w:pPr>
      <w:r>
        <w:rPr/>
        <w:t>集采影响仿制药是本期</w:t>
      </w:r>
      <w:r>
        <w:rPr/>
        <w:t>16.1%</w:t>
      </w:r>
      <w:r>
        <w:rPr/>
        <w:t>收入下降的直接因素。公司主动收缩低价值资源，有助于降低无效推广与改善研发聚焦，但老产品资金来源减少也会让新产品承担更高增长压力。“集采风险出清”是一个过程，不是某一年以后所有仿制品永久不再下降。特别是地方集采、续约和医院替代仍可能持续；应根据老产品比例逐步降低对集团总收入增速的拖累，而不是直接在模型里删掉旧业务所有风险。</w:t>
      </w:r>
    </w:p>
    <w:p>
      <w:pPr>
        <w:pStyle w:val="Normal"/>
        <w:rPr/>
      </w:pPr>
      <w:r>
        <w:rPr/>
        <w:t>全球利率影响估值和现金。长久期研发资产的现值对折现率敏感，市场无风险收益提高时，高成长药企</w:t>
      </w:r>
      <w:r>
        <w:rPr/>
        <w:t>PE</w:t>
      </w:r>
      <w:r>
        <w:rPr/>
        <w:t>可能压缩；现金多可获得利息收入，但利率下降也会减少收益。美元现金与人民币经营造成汇兑账面波动，</w:t>
      </w:r>
      <w:r>
        <w:rPr/>
        <w:t>H</w:t>
      </w:r>
      <w:r>
        <w:rPr/>
        <w:t>股投资者还面对港币与人民币变化。美元波动可能影响境外首付的人民币价值，海外研发和合作成本也可能变化。因此</w:t>
      </w:r>
      <w:r>
        <w:rPr/>
        <w:t>FX</w:t>
      </w:r>
      <w:r>
        <w:rPr/>
        <w:t>不只是股票最后一行的换算，而会进入财务利润和资本配置。</w:t>
      </w:r>
    </w:p>
    <w:p>
      <w:pPr>
        <w:pStyle w:val="Normal"/>
        <w:rPr/>
      </w:pPr>
      <w:r>
        <w:rPr/>
        <w:t>国际药企专利到期、研发补充和资产采购周期，为中国药企授权提供窗口。若跨国企业愿意买入高质量资产，恒瑞的研发平台能够变现全球价值；若采购预算收缩或项目越来越同质化，首付款和里程碑可能下调。行业总交易额还包含大量条件性金额，不能从交易总额增长推断所有参与者收入同步高增。恒瑞已取得大合作具备证据，但后续交易价格与兑现质量仍取决于具体临床差异。</w:t>
      </w:r>
    </w:p>
    <w:p>
      <w:pPr>
        <w:pStyle w:val="Normal"/>
        <w:rPr/>
      </w:pPr>
      <w:r>
        <w:rPr/>
        <w:t>美国对外投资与生物技术政策是重要尾部风险。</w:t>
      </w:r>
      <w:r>
        <w:rPr/>
        <w:t>9</w:t>
      </w:r>
      <w:r>
        <w:rPr/>
        <w:t>月机构公开转述讨论可能允许多数常规医药授权，但框架尚未最后定稿，未来立法也可能覆盖现行规则。本文把政策改善放进基准和乐观条件，不把它当作已生效的最终法律事实。恒瑞直接研发授权与</w:t>
      </w:r>
      <w:r>
        <w:rPr/>
        <w:t>CXO</w:t>
      </w:r>
      <w:r>
        <w:rPr/>
        <w:t>生产服务的政策路径也不同，不宜把另一家公司受到的政策风险原封不动搬给恒瑞。需按合同地区、支付、数据、临床及合作方逐项识别。</w:t>
      </w:r>
    </w:p>
    <w:p>
      <w:pPr>
        <w:pStyle w:val="Heading2"/>
        <w:rPr/>
      </w:pPr>
      <w:r>
        <w:rPr>
          <w:color w:val="000000"/>
        </w:rPr>
        <w:t>A</w:t>
      </w:r>
      <w:r>
        <w:rPr>
          <w:color w:val="000000"/>
        </w:rPr>
        <w:t xml:space="preserve">股半年量价 反弹出现 </w:t>
      </w:r>
      <w:r>
        <w:rPr>
          <w:color w:val="000000"/>
        </w:rPr>
        <w:t>60</w:t>
      </w:r>
      <w:r>
        <w:rPr>
          <w:color w:val="000000"/>
        </w:rPr>
        <w:t>日线尚未收复</w:t>
      </w:r>
    </w:p>
    <w:p>
      <w:pPr>
        <w:pStyle w:val="Normal"/>
        <w:rPr/>
      </w:pPr>
      <w:r>
        <w:rPr/>
        <w:t>A</w:t>
      </w:r>
      <w:r>
        <w:rPr/>
        <w:t>股</w:t>
      </w:r>
      <w:r>
        <w:rPr/>
        <w:t>46.85</w:t>
      </w:r>
      <w:r>
        <w:rPr/>
        <w:t>元高于</w:t>
      </w:r>
      <w:r>
        <w:rPr/>
        <w:t>20</w:t>
      </w:r>
      <w:r>
        <w:rPr/>
        <w:t>日均线</w:t>
      </w:r>
      <w:r>
        <w:rPr/>
        <w:t>44.9295</w:t>
      </w:r>
      <w:r>
        <w:rPr/>
        <w:t>元约</w:t>
      </w:r>
      <w:r>
        <w:rPr/>
        <w:t>4.27%</w:t>
      </w:r>
      <w:r>
        <w:rPr/>
        <w:t>，但低于</w:t>
      </w:r>
      <w:r>
        <w:rPr/>
        <w:t>60</w:t>
      </w:r>
      <w:r>
        <w:rPr/>
        <w:t>日</w:t>
      </w:r>
      <w:r>
        <w:rPr/>
        <w:t>49.7637</w:t>
      </w:r>
      <w:r>
        <w:rPr/>
        <w:t>元约</w:t>
      </w:r>
      <w:r>
        <w:rPr/>
        <w:t>5.86%</w:t>
      </w:r>
      <w:r>
        <w:rPr/>
        <w:t>，也低于</w:t>
      </w:r>
      <w:r>
        <w:rPr/>
        <w:t>120</w:t>
      </w:r>
      <w:r>
        <w:rPr/>
        <w:t>日</w:t>
      </w:r>
      <w:r>
        <w:rPr/>
        <w:t>50.8255</w:t>
      </w:r>
      <w:r>
        <w:rPr/>
        <w:t>元和</w:t>
      </w:r>
      <w:r>
        <w:rPr/>
        <w:t>250</w:t>
      </w:r>
      <w:r>
        <w:rPr/>
        <w:t>日</w:t>
      </w:r>
      <w:r>
        <w:rPr/>
        <w:t>55.8448</w:t>
      </w:r>
      <w:r>
        <w:rPr/>
        <w:t>元。</w:t>
      </w:r>
      <w:r>
        <w:rPr/>
        <w:t>20</w:t>
      </w:r>
      <w:r>
        <w:rPr/>
        <w:t>日均线最近</w:t>
      </w:r>
      <w:r>
        <w:rPr/>
        <w:t>5</w:t>
      </w:r>
      <w:r>
        <w:rPr/>
        <w:t>个交易日变化近零，</w:t>
      </w:r>
      <w:r>
        <w:rPr/>
        <w:t>60</w:t>
      </w:r>
      <w:r>
        <w:rPr/>
        <w:t>、</w:t>
      </w:r>
      <w:r>
        <w:rPr/>
        <w:t>120</w:t>
      </w:r>
      <w:r>
        <w:rPr/>
        <w:t>、</w:t>
      </w:r>
      <w:r>
        <w:rPr/>
        <w:t>250</w:t>
      </w:r>
      <w:r>
        <w:rPr/>
        <w:t>日斜率仍为负。这是短期修复与中长期趋势压力并存的形态。它比股价同时压在所有均线下方更好，但不能称为成熟上升趋势。半年得分将技术设为</w:t>
      </w:r>
      <w:r>
        <w:rPr/>
        <w:t>2.7</w:t>
      </w:r>
      <w:r>
        <w:rPr/>
        <w:t>分，就是承认已有反弹而未确认中期转向。</w:t>
      </w:r>
    </w:p>
    <w:p>
      <w:pPr>
        <w:pStyle w:val="Normal"/>
        <w:rPr/>
      </w:pPr>
      <w:r>
        <w:rPr/>
        <w:t>近</w:t>
      </w:r>
      <w:r>
        <w:rPr/>
        <w:t>20</w:t>
      </w:r>
      <w:r>
        <w:rPr/>
        <w:t>交易日涨</w:t>
      </w:r>
      <w:r>
        <w:rPr/>
        <w:t>1.94%</w:t>
      </w:r>
      <w:r>
        <w:rPr/>
        <w:t>，沪深</w:t>
      </w:r>
      <w:r>
        <w:rPr/>
        <w:t>300</w:t>
      </w:r>
      <w:r>
        <w:rPr/>
        <w:t>同期跌</w:t>
      </w:r>
      <w:r>
        <w:rPr/>
        <w:t>5.17%</w:t>
      </w:r>
      <w:r>
        <w:rPr/>
        <w:t>，</w:t>
      </w:r>
      <w:r>
        <w:rPr/>
        <w:t>A</w:t>
      </w:r>
      <w:r>
        <w:rPr/>
        <w:t>股恒瑞领先约</w:t>
      </w:r>
      <w:r>
        <w:rPr/>
        <w:t>7.11</w:t>
      </w:r>
      <w:r>
        <w:rPr/>
        <w:t>个百分点；近</w:t>
      </w:r>
      <w:r>
        <w:rPr/>
        <w:t>60</w:t>
      </w:r>
      <w:r>
        <w:rPr/>
        <w:t>日跌</w:t>
      </w:r>
      <w:r>
        <w:rPr/>
        <w:t>15.75%</w:t>
      </w:r>
      <w:r>
        <w:rPr/>
        <w:t>，同期沪深</w:t>
      </w:r>
      <w:r>
        <w:rPr/>
        <w:t>300</w:t>
      </w:r>
      <w:r>
        <w:rPr/>
        <w:t>跌</w:t>
      </w:r>
      <w:r>
        <w:rPr/>
        <w:t>11.46%</w:t>
      </w:r>
      <w:r>
        <w:rPr/>
        <w:t>，又落后约</w:t>
      </w:r>
      <w:r>
        <w:rPr/>
        <w:t>4.29</w:t>
      </w:r>
      <w:r>
        <w:rPr/>
        <w:t>个百分点。相对强弱的时间尺度不同，说明近期资金在修复此前落后，而不证明长期资金已经重新定价公司。若下一阶段股价能收复</w:t>
      </w:r>
      <w:r>
        <w:rPr/>
        <w:t>49.76</w:t>
      </w:r>
      <w:r>
        <w:rPr/>
        <w:t>元附近</w:t>
      </w:r>
      <w:r>
        <w:rPr/>
        <w:t>60</w:t>
      </w:r>
      <w:r>
        <w:rPr/>
        <w:t>日线并使均线转上，才有更扎实的中期改善证据。若只是向</w:t>
      </w:r>
      <w:r>
        <w:rPr/>
        <w:t>60</w:t>
      </w:r>
      <w:r>
        <w:rPr/>
        <w:t>日线反弹后再受压，当前上涨可能仍属于下降过程中的波段。</w:t>
      </w:r>
    </w:p>
    <w:p>
      <w:pPr>
        <w:pStyle w:val="Normal"/>
        <w:rPr/>
      </w:pPr>
      <w:r>
        <w:rPr/>
        <w:t>最新成交股数约</w:t>
      </w:r>
      <w:r>
        <w:rPr/>
        <w:t>6281.28</w:t>
      </w:r>
      <w:r>
        <w:rPr/>
        <w:t>万股，成交额</w:t>
      </w:r>
      <w:r>
        <w:rPr/>
        <w:t>29.25</w:t>
      </w:r>
      <w:r>
        <w:rPr/>
        <w:t>亿元，市场报价换手</w:t>
      </w:r>
      <w:r>
        <w:rPr/>
        <w:t>0.98%</w:t>
      </w:r>
      <w:r>
        <w:rPr/>
        <w:t>；当日量比约</w:t>
      </w:r>
      <w:r>
        <w:rPr/>
        <w:t>1.00</w:t>
      </w:r>
      <w:r>
        <w:rPr/>
        <w:t>倍，即当日成交接近此前</w:t>
      </w:r>
      <w:r>
        <w:rPr/>
        <w:t>20</w:t>
      </w:r>
      <w:r>
        <w:rPr/>
        <w:t>日平均。最近</w:t>
      </w:r>
      <w:r>
        <w:rPr/>
        <w:t>5</w:t>
      </w:r>
      <w:r>
        <w:rPr/>
        <w:t>日均量约</w:t>
      </w:r>
      <w:r>
        <w:rPr/>
        <w:t>7387.50</w:t>
      </w:r>
      <w:r>
        <w:rPr/>
        <w:t>万股，高于</w:t>
      </w:r>
      <w:r>
        <w:rPr/>
        <w:t>20</w:t>
      </w:r>
      <w:r>
        <w:rPr/>
        <w:t>日</w:t>
      </w:r>
      <w:r>
        <w:rPr/>
        <w:t>6342.85</w:t>
      </w:r>
      <w:r>
        <w:rPr/>
        <w:t>万股，显示最近数日交易活跃度有所提高；但最近</w:t>
      </w:r>
      <w:r>
        <w:rPr/>
        <w:t>20</w:t>
      </w:r>
      <w:r>
        <w:rPr/>
        <w:t>上涨日总量与下跌日总量之比</w:t>
      </w:r>
      <w:r>
        <w:rPr/>
        <w:t>0.755</w:t>
      </w:r>
      <w:r>
        <w:rPr/>
        <w:t>，跌日成交仍占优势。量能并没有提供强而一致的净买入证明，尤其不能把成交量增加直接叫作机构吸筹，因为每一笔成交同时有买卖双方。</w:t>
      </w:r>
    </w:p>
    <w:p>
      <w:pPr>
        <w:pStyle w:val="Normal"/>
        <w:rPr/>
      </w:pPr>
      <w:r>
        <w:rPr/>
        <w:t>20</w:t>
      </w:r>
      <w:r>
        <w:rPr/>
        <w:t>日观察区间</w:t>
      </w:r>
      <w:r>
        <w:rPr/>
        <w:t>41.89</w:t>
      </w:r>
      <w:r>
        <w:rPr/>
        <w:t>至</w:t>
      </w:r>
      <w:r>
        <w:rPr/>
        <w:t>47.58</w:t>
      </w:r>
      <w:r>
        <w:rPr/>
        <w:t>元，现价离上界仅约</w:t>
      </w:r>
      <w:r>
        <w:rPr/>
        <w:t>1.56%</w:t>
      </w:r>
      <w:r>
        <w:rPr/>
        <w:t>，离下界约</w:t>
      </w:r>
      <w:r>
        <w:rPr/>
        <w:t>10.59%</w:t>
      </w:r>
      <w:r>
        <w:rPr/>
        <w:t>；</w:t>
      </w:r>
      <w:r>
        <w:rPr/>
        <w:t>60</w:t>
      </w:r>
      <w:r>
        <w:rPr/>
        <w:t>日上界</w:t>
      </w:r>
      <w:r>
        <w:rPr/>
        <w:t>58</w:t>
      </w:r>
      <w:r>
        <w:rPr/>
        <w:t>元，离现价约</w:t>
      </w:r>
      <w:r>
        <w:rPr/>
        <w:t>23.80%</w:t>
      </w:r>
      <w:r>
        <w:rPr/>
        <w:t>。这些是近期高低点而非保证支撑。近处</w:t>
      </w:r>
      <w:r>
        <w:rPr/>
        <w:t>47.58</w:t>
      </w:r>
      <w:r>
        <w:rPr/>
        <w:t>元容易成为短期验证位置，若放量突破并在后续回踩维持，可提升半年技术分；如果跌回</w:t>
      </w:r>
      <w:r>
        <w:rPr/>
        <w:t>44.93</w:t>
      </w:r>
      <w:r>
        <w:rPr/>
        <w:t>元下并失守前低</w:t>
      </w:r>
      <w:r>
        <w:rPr/>
        <w:t>41.89</w:t>
      </w:r>
      <w:r>
        <w:rPr/>
        <w:t>元，则短期修复逻辑被破坏。用同一组点位可以描述机会和失效条件，但不能声称</w:t>
      </w:r>
      <w:r>
        <w:rPr/>
        <w:t>41.89</w:t>
      </w:r>
      <w:r>
        <w:rPr/>
        <w:t>元以下不存在进一步下跌。</w:t>
      </w:r>
    </w:p>
    <w:p>
      <w:pPr>
        <w:pStyle w:val="Normal"/>
        <w:rPr/>
      </w:pPr>
      <w:r>
        <w:rPr/>
        <w:t>RSI14</w:t>
      </w:r>
      <w:r>
        <w:rPr/>
        <w:t>约</w:t>
      </w:r>
      <w:r>
        <w:rPr/>
        <w:t>53.33</w:t>
      </w:r>
      <w:r>
        <w:rPr/>
        <w:t>，处于中性略强区；</w:t>
      </w:r>
      <w:r>
        <w:rPr/>
        <w:t>MACD</w:t>
      </w:r>
      <w:r>
        <w:rPr/>
        <w:t>的</w:t>
      </w:r>
      <w:r>
        <w:rPr/>
        <w:t>DIF</w:t>
      </w:r>
      <w:r>
        <w:rPr/>
        <w:t>仍负</w:t>
      </w:r>
      <w:r>
        <w:rPr/>
        <w:t>0.436</w:t>
      </w:r>
      <w:r>
        <w:rPr/>
        <w:t>而</w:t>
      </w:r>
      <w:r>
        <w:rPr/>
        <w:t>DEA</w:t>
      </w:r>
      <w:r>
        <w:rPr/>
        <w:t>为负</w:t>
      </w:r>
      <w:r>
        <w:rPr/>
        <w:t>1.033</w:t>
      </w:r>
      <w:r>
        <w:rPr/>
        <w:t>，柱为正</w:t>
      </w:r>
      <w:r>
        <w:rPr/>
        <w:t>1.193</w:t>
      </w:r>
      <w:r>
        <w:rPr/>
        <w:t>，表示短期动量正在修复但尚未形成充分向上的中期结构。</w:t>
      </w:r>
      <w:r>
        <w:rPr/>
        <w:t>ATR14</w:t>
      </w:r>
      <w:r>
        <w:rPr/>
        <w:t>约</w:t>
      </w:r>
      <w:r>
        <w:rPr/>
        <w:t>1.254</w:t>
      </w:r>
      <w:r>
        <w:rPr/>
        <w:t>元，占现价</w:t>
      </w:r>
      <w:r>
        <w:rPr/>
        <w:t>2.68%</w:t>
      </w:r>
      <w:r>
        <w:rPr/>
        <w:t>，这是近期平均真实波幅而不是一天必然振幅或止损距离。若用</w:t>
      </w:r>
      <w:r>
        <w:rPr/>
        <w:t>ATR</w:t>
      </w:r>
      <w:r>
        <w:rPr/>
        <w:t>看风险，几天的正常价格扰动就可能超过投资者希望控制的数个百分点。不能因</w:t>
      </w:r>
      <w:r>
        <w:rPr/>
        <w:t>MACD</w:t>
      </w:r>
      <w:r>
        <w:rPr/>
        <w:t>柱转正、</w:t>
      </w:r>
      <w:r>
        <w:rPr/>
        <w:t>RSI</w:t>
      </w:r>
      <w:r>
        <w:rPr/>
        <w:t>过</w:t>
      </w:r>
      <w:r>
        <w:rPr/>
        <w:t>50</w:t>
      </w:r>
      <w:r>
        <w:rPr/>
        <w:t>、站上</w:t>
      </w:r>
      <w:r>
        <w:rPr/>
        <w:t>20</w:t>
      </w:r>
      <w:r>
        <w:rPr/>
        <w:t>日线三个指标都指向反弹，就把同一动量改善重复加三次分。</w:t>
      </w:r>
    </w:p>
    <w:p>
      <w:pPr>
        <w:pStyle w:val="Normal"/>
        <w:rPr/>
      </w:pPr>
      <w:r>
        <w:rPr/>
        <w:t>A</w:t>
      </w:r>
      <w:r>
        <w:rPr/>
        <w:t>股近期技术基础可支持分阶段研究，而不支持仅靠形态给极高半年预期。最有价值的确认是价格收复关键均线时，基本面公告同步验证产品销售与授权兑现。假如股价已涨到</w:t>
      </w:r>
      <w:r>
        <w:rPr/>
        <w:t>57.6</w:t>
      </w:r>
      <w:r>
        <w:rPr/>
        <w:t>元基准目标附近，未来</w:t>
      </w:r>
      <w:r>
        <w:rPr/>
        <w:t>EPS</w:t>
      </w:r>
      <w:r>
        <w:rPr/>
        <w:t>没有提高，则剩余半年赔率下降，即便图形更好也不必继续给同样高的估值回报分。技术趋势和估值空间需要一起更新，不能把先上涨作为无限增加推荐等级的理由。</w:t>
      </w:r>
    </w:p>
    <w:p>
      <w:pPr>
        <w:pStyle w:val="Heading2"/>
        <w:rPr/>
      </w:pPr>
      <w:r>
        <w:rPr>
          <w:color w:val="000000"/>
        </w:rPr>
        <w:t>H</w:t>
      </w:r>
      <w:r>
        <w:rPr>
          <w:color w:val="000000"/>
        </w:rPr>
        <w:t>股半年量价 弹性更大 但波动也更大</w:t>
      </w:r>
    </w:p>
    <w:p>
      <w:pPr>
        <w:pStyle w:val="Normal"/>
        <w:rPr/>
      </w:pPr>
      <w:r>
        <w:rPr/>
        <w:t>H</w:t>
      </w:r>
      <w:r>
        <w:rPr/>
        <w:t>股</w:t>
      </w:r>
      <w:r>
        <w:rPr/>
        <w:t>48</w:t>
      </w:r>
      <w:r>
        <w:rPr/>
        <w:t>港元高于</w:t>
      </w:r>
      <w:r>
        <w:rPr/>
        <w:t>20</w:t>
      </w:r>
      <w:r>
        <w:rPr/>
        <w:t>日均线</w:t>
      </w:r>
      <w:r>
        <w:rPr/>
        <w:t>46.803</w:t>
      </w:r>
      <w:r>
        <w:rPr/>
        <w:t>约</w:t>
      </w:r>
      <w:r>
        <w:rPr/>
        <w:t>2.56%</w:t>
      </w:r>
      <w:r>
        <w:rPr/>
        <w:t>，</w:t>
      </w:r>
      <w:r>
        <w:rPr/>
        <w:t>20</w:t>
      </w:r>
      <w:r>
        <w:rPr/>
        <w:t>日线最近</w:t>
      </w:r>
      <w:r>
        <w:rPr/>
        <w:t>5</w:t>
      </w:r>
      <w:r>
        <w:rPr/>
        <w:t>交易日上升</w:t>
      </w:r>
      <w:r>
        <w:rPr/>
        <w:t>1.38%</w:t>
      </w:r>
      <w:r>
        <w:rPr/>
        <w:t>；</w:t>
      </w:r>
      <w:r>
        <w:rPr/>
        <w:t>60</w:t>
      </w:r>
      <w:r>
        <w:rPr/>
        <w:t>日</w:t>
      </w:r>
      <w:r>
        <w:rPr/>
        <w:t>50.7058</w:t>
      </w:r>
      <w:r>
        <w:rPr/>
        <w:t>、</w:t>
      </w:r>
      <w:r>
        <w:rPr/>
        <w:t>120</w:t>
      </w:r>
      <w:r>
        <w:rPr/>
        <w:t>日</w:t>
      </w:r>
      <w:r>
        <w:rPr/>
        <w:t>55.5338</w:t>
      </w:r>
      <w:r>
        <w:rPr/>
        <w:t>、</w:t>
      </w:r>
      <w:r>
        <w:rPr/>
        <w:t>250</w:t>
      </w:r>
      <w:r>
        <w:rPr/>
        <w:t>日</w:t>
      </w:r>
      <w:r>
        <w:rPr/>
        <w:t>63.7284</w:t>
      </w:r>
      <w:r>
        <w:rPr/>
        <w:t>均仍在现价上方，斜率分别为负。近</w:t>
      </w:r>
      <w:r>
        <w:rPr/>
        <w:t>20</w:t>
      </w:r>
      <w:r>
        <w:rPr/>
        <w:t>交易日回报</w:t>
      </w:r>
      <w:r>
        <w:rPr/>
        <w:t>9.19%</w:t>
      </w:r>
      <w:r>
        <w:rPr/>
        <w:t>，远强于</w:t>
      </w:r>
      <w:r>
        <w:rPr/>
        <w:t>A</w:t>
      </w:r>
      <w:r>
        <w:rPr/>
        <w:t>股，也领先恒指约</w:t>
      </w:r>
      <w:r>
        <w:rPr/>
        <w:t>12.17</w:t>
      </w:r>
      <w:r>
        <w:rPr/>
        <w:t>个百分点；</w:t>
      </w:r>
      <w:r>
        <w:rPr/>
        <w:t>60</w:t>
      </w:r>
      <w:r>
        <w:rPr/>
        <w:t>交易日仍跌</w:t>
      </w:r>
      <w:r>
        <w:rPr/>
        <w:t>17.17%</w:t>
      </w:r>
      <w:r>
        <w:rPr/>
        <w:t>，落后恒指约</w:t>
      </w:r>
      <w:r>
        <w:rPr/>
        <w:t>13.98</w:t>
      </w:r>
      <w:r>
        <w:rPr/>
        <w:t>个百分点。这是一段显著反弹，但前期下跌较深，</w:t>
      </w:r>
      <w:r>
        <w:rPr/>
        <w:t>H</w:t>
      </w:r>
      <w:r>
        <w:rPr/>
        <w:t>股波动会放大公司公告和外资风险偏好变化。</w:t>
      </w:r>
    </w:p>
    <w:p>
      <w:pPr>
        <w:pStyle w:val="Normal"/>
        <w:rPr/>
      </w:pPr>
      <w:r>
        <w:rPr/>
        <w:t>最新成交</w:t>
      </w:r>
      <w:r>
        <w:rPr/>
        <w:t>708.46</w:t>
      </w:r>
      <w:r>
        <w:rPr/>
        <w:t>万股，成交额约</w:t>
      </w:r>
      <w:r>
        <w:rPr/>
        <w:t>3.386</w:t>
      </w:r>
      <w:r>
        <w:rPr/>
        <w:t>亿港元，量比</w:t>
      </w:r>
      <w:r>
        <w:rPr/>
        <w:t>1.644</w:t>
      </w:r>
      <w:r>
        <w:rPr/>
        <w:t>，明显高于此前</w:t>
      </w:r>
      <w:r>
        <w:rPr/>
        <w:t>20</w:t>
      </w:r>
      <w:r>
        <w:rPr/>
        <w:t>日平均约</w:t>
      </w:r>
      <w:r>
        <w:rPr/>
        <w:t>430.90</w:t>
      </w:r>
      <w:r>
        <w:rPr/>
        <w:t>万股。</w:t>
      </w:r>
      <w:r>
        <w:rPr/>
        <w:t>20</w:t>
      </w:r>
      <w:r>
        <w:rPr/>
        <w:t>日均量</w:t>
      </w:r>
      <w:r>
        <w:rPr/>
        <w:t>447.28</w:t>
      </w:r>
      <w:r>
        <w:rPr/>
        <w:t>万、</w:t>
      </w:r>
      <w:r>
        <w:rPr/>
        <w:t>60</w:t>
      </w:r>
      <w:r>
        <w:rPr/>
        <w:t>日</w:t>
      </w:r>
      <w:r>
        <w:rPr/>
        <w:t>485.12</w:t>
      </w:r>
      <w:r>
        <w:rPr/>
        <w:t>万，最新量较活跃却没有让</w:t>
      </w:r>
      <w:r>
        <w:rPr/>
        <w:t>20</w:t>
      </w:r>
      <w:r>
        <w:rPr/>
        <w:t>日整体均量超过</w:t>
      </w:r>
      <w:r>
        <w:rPr/>
        <w:t>60</w:t>
      </w:r>
      <w:r>
        <w:rPr/>
        <w:t>日。最近</w:t>
      </w:r>
      <w:r>
        <w:rPr/>
        <w:t>20</w:t>
      </w:r>
      <w:r>
        <w:rPr/>
        <w:t>上涨日与下跌日总量比</w:t>
      </w:r>
      <w:r>
        <w:rPr/>
        <w:t>1.011</w:t>
      </w:r>
      <w:r>
        <w:rPr/>
        <w:t>，基本平衡，并非压倒性的上涨量优势。因此可以说当日参与度提高，不能说资金结构已经单向积极。</w:t>
      </w:r>
      <w:r>
        <w:rPr/>
        <w:t>H</w:t>
      </w:r>
      <w:r>
        <w:rPr/>
        <w:t>股总类别股数只有</w:t>
      </w:r>
      <w:r>
        <w:rPr/>
        <w:t>2.58</w:t>
      </w:r>
      <w:r>
        <w:rPr/>
        <w:t>亿规模，成交量占比也应按真正可交易流通和持仓结构理解，不能与全部</w:t>
      </w:r>
      <w:r>
        <w:rPr/>
        <w:t>A/H</w:t>
      </w:r>
      <w:r>
        <w:rPr/>
        <w:t>总股数随意比较。</w:t>
      </w:r>
    </w:p>
    <w:p>
      <w:pPr>
        <w:pStyle w:val="Normal"/>
        <w:rPr/>
      </w:pPr>
      <w:r>
        <w:rPr/>
        <w:t>20</w:t>
      </w:r>
      <w:r>
        <w:rPr/>
        <w:t>日观察支撑</w:t>
      </w:r>
      <w:r>
        <w:rPr/>
        <w:t>43.02</w:t>
      </w:r>
      <w:r>
        <w:rPr/>
        <w:t>、上界</w:t>
      </w:r>
      <w:r>
        <w:rPr/>
        <w:t>51</w:t>
      </w:r>
      <w:r>
        <w:rPr/>
        <w:t>港元，现价到上界</w:t>
      </w:r>
      <w:r>
        <w:rPr/>
        <w:t>6.25%</w:t>
      </w:r>
      <w:r>
        <w:rPr/>
        <w:t>、到下界负</w:t>
      </w:r>
      <w:r>
        <w:rPr/>
        <w:t>10.38%</w:t>
      </w:r>
      <w:r>
        <w:rPr/>
        <w:t>；</w:t>
      </w:r>
      <w:r>
        <w:rPr/>
        <w:t>60</w:t>
      </w:r>
      <w:r>
        <w:rPr/>
        <w:t>日上界</w:t>
      </w:r>
      <w:r>
        <w:rPr/>
        <w:t>60.30</w:t>
      </w:r>
      <w:r>
        <w:rPr/>
        <w:t>港元，相距</w:t>
      </w:r>
      <w:r>
        <w:rPr/>
        <w:t>25.62%</w:t>
      </w:r>
      <w:r>
        <w:rPr/>
        <w:t>。</w:t>
      </w:r>
      <w:r>
        <w:rPr/>
        <w:t>50.71</w:t>
      </w:r>
      <w:r>
        <w:rPr/>
        <w:t>元的</w:t>
      </w:r>
      <w:r>
        <w:rPr/>
        <w:t>60</w:t>
      </w:r>
      <w:r>
        <w:rPr/>
        <w:t>日均线与</w:t>
      </w:r>
      <w:r>
        <w:rPr/>
        <w:t>51</w:t>
      </w:r>
      <w:r>
        <w:rPr/>
        <w:t>元的近</w:t>
      </w:r>
      <w:r>
        <w:rPr/>
        <w:t>20</w:t>
      </w:r>
      <w:r>
        <w:rPr/>
        <w:t>日上界比较接近，形成下一段值得观察的区域。如果价格能在这一区域以上维持并使中期均线转向，技术证据会改善；若快速冲高后回到</w:t>
      </w:r>
      <w:r>
        <w:rPr/>
        <w:t>46.80</w:t>
      </w:r>
      <w:r>
        <w:rPr/>
        <w:t>以下并继续放量下跌，就可能只是利好带来的短期反抽。观察价是测量值，不是自动买卖指令。</w:t>
      </w:r>
    </w:p>
    <w:p>
      <w:pPr>
        <w:pStyle w:val="Normal"/>
        <w:rPr/>
      </w:pPr>
      <w:r>
        <w:rPr/>
        <w:t>H</w:t>
      </w:r>
      <w:r>
        <w:rPr/>
        <w:t>股</w:t>
      </w:r>
      <w:r>
        <w:rPr/>
        <w:t>RSI14</w:t>
      </w:r>
      <w:r>
        <w:rPr/>
        <w:t>约</w:t>
      </w:r>
      <w:r>
        <w:rPr/>
        <w:t>50.53</w:t>
      </w:r>
      <w:r>
        <w:rPr/>
        <w:t>，</w:t>
      </w:r>
      <w:r>
        <w:rPr/>
        <w:t>MACD</w:t>
      </w:r>
      <w:r>
        <w:rPr/>
        <w:t>的</w:t>
      </w:r>
      <w:r>
        <w:rPr/>
        <w:t>DIF</w:t>
      </w:r>
      <w:r>
        <w:rPr/>
        <w:t>约</w:t>
      </w:r>
      <w:r>
        <w:rPr/>
        <w:t>0.033</w:t>
      </w:r>
      <w:r>
        <w:rPr/>
        <w:t>、</w:t>
      </w:r>
      <w:r>
        <w:rPr/>
        <w:t>DEA</w:t>
      </w:r>
      <w:r>
        <w:rPr/>
        <w:t>负</w:t>
      </w:r>
      <w:r>
        <w:rPr/>
        <w:t>0.425</w:t>
      </w:r>
      <w:r>
        <w:rPr/>
        <w:t>、柱正</w:t>
      </w:r>
      <w:r>
        <w:rPr/>
        <w:t>0.915</w:t>
      </w:r>
      <w:r>
        <w:rPr/>
        <w:t>，短期动量较</w:t>
      </w:r>
      <w:r>
        <w:rPr/>
        <w:t>A</w:t>
      </w:r>
      <w:r>
        <w:rPr/>
        <w:t>股稍强，但</w:t>
      </w:r>
      <w:r>
        <w:rPr/>
        <w:t>ATR14</w:t>
      </w:r>
      <w:r>
        <w:rPr/>
        <w:t>约</w:t>
      </w:r>
      <w:r>
        <w:rPr/>
        <w:t>2.166</w:t>
      </w:r>
      <w:r>
        <w:rPr/>
        <w:t>港元，占现价</w:t>
      </w:r>
      <w:r>
        <w:rPr/>
        <w:t>4.51%</w:t>
      </w:r>
      <w:r>
        <w:rPr/>
        <w:t>，显著高于</w:t>
      </w:r>
      <w:r>
        <w:rPr/>
        <w:t>A</w:t>
      </w:r>
      <w:r>
        <w:rPr/>
        <w:t>股</w:t>
      </w:r>
      <w:r>
        <w:rPr/>
        <w:t>2.68%</w:t>
      </w:r>
      <w:r>
        <w:rPr/>
        <w:t>。若投资者选择</w:t>
      </w:r>
      <w:r>
        <w:rPr/>
        <w:t>H</w:t>
      </w:r>
      <w:r>
        <w:rPr/>
        <w:t>股是为折价和上行弹性，就必须同时接受更大正常波动。短期跌</w:t>
      </w:r>
      <w:r>
        <w:rPr/>
        <w:t>10%</w:t>
      </w:r>
      <w:r>
        <w:rPr/>
        <w:t>并不需要整个公司经营失败，只需几天正常波幅与情绪回落；而技术范围内的下跌也可能被真实临床或政策坏消息放大。</w:t>
      </w:r>
    </w:p>
    <w:p>
      <w:pPr>
        <w:pStyle w:val="Normal"/>
        <w:rPr/>
      </w:pPr>
      <w:r>
        <w:rPr/>
        <w:t>H</w:t>
      </w:r>
      <w:r>
        <w:rPr/>
        <w:t>股历史从</w:t>
      </w:r>
      <w:r>
        <w:rPr/>
        <w:t>2025</w:t>
      </w:r>
      <w:r>
        <w:rPr/>
        <w:t>年</w:t>
      </w:r>
      <w:r>
        <w:rPr/>
        <w:t>5</w:t>
      </w:r>
      <w:r>
        <w:rPr/>
        <w:t>月</w:t>
      </w:r>
      <w:r>
        <w:rPr/>
        <w:t>23</w:t>
      </w:r>
      <w:r>
        <w:rPr/>
        <w:t>日上市起真实</w:t>
      </w:r>
      <w:r>
        <w:rPr/>
        <w:t>343</w:t>
      </w:r>
      <w:r>
        <w:rPr/>
        <w:t>根日线，已有</w:t>
      </w:r>
      <w:r>
        <w:rPr/>
        <w:t>250</w:t>
      </w:r>
      <w:r>
        <w:rPr/>
        <w:t>日统计，但没有三年港股独立交易历史。</w:t>
      </w:r>
      <w:r>
        <w:rPr/>
        <w:t>A</w:t>
      </w:r>
      <w:r>
        <w:rPr/>
        <w:t>股长期历史不能直接拼接为港股</w:t>
      </w:r>
      <w:r>
        <w:rPr/>
        <w:t>K</w:t>
      </w:r>
      <w:r>
        <w:rPr/>
        <w:t>线，汇率、定价和投资者不同。对五年估值可以共享公司经营路径，对半年支撑阻力却必须各用本地交易数据。</w:t>
      </w:r>
      <w:r>
        <w:rPr/>
        <w:t>H</w:t>
      </w:r>
      <w:r>
        <w:rPr/>
        <w:t>股近一年从高位明显回撤，不能以“</w:t>
      </w:r>
      <w:r>
        <w:rPr/>
        <w:t>A</w:t>
      </w:r>
      <w:r>
        <w:rPr/>
        <w:t>股同公司曾经怎样走”为其确定底部；技术与估值都要接受跨市场差异。</w:t>
      </w:r>
    </w:p>
    <w:p>
      <w:pPr>
        <w:pStyle w:val="Heading2"/>
        <w:rPr/>
      </w:pPr>
      <w:r>
        <w:rPr>
          <w:color w:val="000000"/>
        </w:rPr>
        <w:t>估值模型 每个目标价背后的盈利与倍数</w:t>
      </w:r>
    </w:p>
    <w:p>
      <w:pPr>
        <w:pStyle w:val="Normal"/>
        <w:rPr/>
      </w:pPr>
      <w:r>
        <w:rPr/>
        <w:t>模型使用正常化目标时点未来十二个月</w:t>
      </w:r>
      <w:r>
        <w:rPr/>
        <w:t>EPS</w:t>
      </w:r>
      <w:r>
        <w:rPr/>
        <w:t>，</w:t>
      </w:r>
      <w:r>
        <w:rPr/>
        <w:t>A</w:t>
      </w:r>
      <w:r>
        <w:rPr/>
        <w:t>股乘人民币</w:t>
      </w:r>
      <w:r>
        <w:rPr/>
        <w:t>PE</w:t>
      </w:r>
      <w:r>
        <w:rPr/>
        <w:t>，</w:t>
      </w:r>
      <w:r>
        <w:rPr/>
        <w:t>H</w:t>
      </w:r>
      <w:r>
        <w:rPr/>
        <w:t>股再乘研究汇率。年底</w:t>
      </w:r>
      <w:r>
        <w:rPr/>
        <w:t>EPS</w:t>
      </w:r>
      <w:r>
        <w:rPr/>
        <w:t>悲基乐</w:t>
      </w:r>
      <w:r>
        <w:rPr/>
        <w:t>1.10</w:t>
      </w:r>
      <w:r>
        <w:rPr/>
        <w:t>、</w:t>
      </w:r>
      <w:r>
        <w:rPr/>
        <w:t>1.45</w:t>
      </w:r>
      <w:r>
        <w:rPr/>
        <w:t>、</w:t>
      </w:r>
      <w:r>
        <w:rPr/>
        <w:t>1.80</w:t>
      </w:r>
      <w:r>
        <w:rPr/>
        <w:t>元，</w:t>
      </w:r>
      <w:r>
        <w:rPr/>
        <w:t>A</w:t>
      </w:r>
      <w:r>
        <w:rPr/>
        <w:t>股</w:t>
      </w:r>
      <w:r>
        <w:rPr/>
        <w:t>PE24</w:t>
      </w:r>
      <w:r>
        <w:rPr/>
        <w:t>、</w:t>
      </w:r>
      <w:r>
        <w:rPr/>
        <w:t>34</w:t>
      </w:r>
      <w:r>
        <w:rPr/>
        <w:t>、</w:t>
      </w:r>
      <w:r>
        <w:rPr/>
        <w:t>44</w:t>
      </w:r>
      <w:r>
        <w:rPr/>
        <w:t>倍，</w:t>
      </w:r>
      <w:r>
        <w:rPr/>
        <w:t>H</w:t>
      </w:r>
      <w:r>
        <w:rPr/>
        <w:t>股</w:t>
      </w:r>
      <w:r>
        <w:rPr/>
        <w:t>PE22</w:t>
      </w:r>
      <w:r>
        <w:rPr/>
        <w:t>、</w:t>
      </w:r>
      <w:r>
        <w:rPr/>
        <w:t>33</w:t>
      </w:r>
      <w:r>
        <w:rPr/>
        <w:t>、</w:t>
      </w:r>
      <w:r>
        <w:rPr/>
        <w:t>43</w:t>
      </w:r>
      <w:r>
        <w:rPr/>
        <w:t>倍。半年</w:t>
      </w:r>
      <w:r>
        <w:rPr/>
        <w:t>EPS1.15</w:t>
      </w:r>
      <w:r>
        <w:rPr/>
        <w:t>、</w:t>
      </w:r>
      <w:r>
        <w:rPr/>
        <w:t>1.60</w:t>
      </w:r>
      <w:r>
        <w:rPr/>
        <w:t>、</w:t>
      </w:r>
      <w:r>
        <w:rPr/>
        <w:t>2.00</w:t>
      </w:r>
      <w:r>
        <w:rPr/>
        <w:t>元，</w:t>
      </w:r>
      <w:r>
        <w:rPr/>
        <w:t>A</w:t>
      </w:r>
      <w:r>
        <w:rPr/>
        <w:t>股</w:t>
      </w:r>
      <w:r>
        <w:rPr/>
        <w:t>PE24</w:t>
      </w:r>
      <w:r>
        <w:rPr/>
        <w:t>、</w:t>
      </w:r>
      <w:r>
        <w:rPr/>
        <w:t>36</w:t>
      </w:r>
      <w:r>
        <w:rPr/>
        <w:t>、</w:t>
      </w:r>
      <w:r>
        <w:rPr/>
        <w:t>45</w:t>
      </w:r>
      <w:r>
        <w:rPr/>
        <w:t>倍，</w:t>
      </w:r>
      <w:r>
        <w:rPr/>
        <w:t>H</w:t>
      </w:r>
      <w:r>
        <w:rPr/>
        <w:t>股</w:t>
      </w:r>
      <w:r>
        <w:rPr/>
        <w:t>22</w:t>
      </w:r>
      <w:r>
        <w:rPr/>
        <w:t>、</w:t>
      </w:r>
      <w:r>
        <w:rPr/>
        <w:t>34</w:t>
      </w:r>
      <w:r>
        <w:rPr/>
        <w:t>、</w:t>
      </w:r>
      <w:r>
        <w:rPr/>
        <w:t>44</w:t>
      </w:r>
      <w:r>
        <w:rPr/>
        <w:t>倍。一年</w:t>
      </w:r>
      <w:r>
        <w:rPr/>
        <w:t>EPS1.25</w:t>
      </w:r>
      <w:r>
        <w:rPr/>
        <w:t>、</w:t>
      </w:r>
      <w:r>
        <w:rPr/>
        <w:t>1.80</w:t>
      </w:r>
      <w:r>
        <w:rPr/>
        <w:t>、</w:t>
      </w:r>
      <w:r>
        <w:rPr/>
        <w:t>2.35</w:t>
      </w:r>
      <w:r>
        <w:rPr/>
        <w:t>元，</w:t>
      </w:r>
      <w:r>
        <w:rPr/>
        <w:t>A</w:t>
      </w:r>
      <w:r>
        <w:rPr/>
        <w:t>股</w:t>
      </w:r>
      <w:r>
        <w:rPr/>
        <w:t>24</w:t>
      </w:r>
      <w:r>
        <w:rPr/>
        <w:t>、</w:t>
      </w:r>
      <w:r>
        <w:rPr/>
        <w:t>36</w:t>
      </w:r>
      <w:r>
        <w:rPr/>
        <w:t>、</w:t>
      </w:r>
      <w:r>
        <w:rPr/>
        <w:t>46</w:t>
      </w:r>
      <w:r>
        <w:rPr/>
        <w:t>倍，</w:t>
      </w:r>
      <w:r>
        <w:rPr/>
        <w:t>H</w:t>
      </w:r>
      <w:r>
        <w:rPr/>
        <w:t>股</w:t>
      </w:r>
      <w:r>
        <w:rPr/>
        <w:t>22</w:t>
      </w:r>
      <w:r>
        <w:rPr/>
        <w:t>、</w:t>
      </w:r>
      <w:r>
        <w:rPr/>
        <w:t>35</w:t>
      </w:r>
      <w:r>
        <w:rPr/>
        <w:t>、</w:t>
      </w:r>
      <w:r>
        <w:rPr/>
        <w:t>45</w:t>
      </w:r>
      <w:r>
        <w:rPr/>
        <w:t>倍。每个输入是可更新的研究假设而不是公司指引。</w:t>
      </w:r>
    </w:p>
    <w:p>
      <w:pPr>
        <w:pStyle w:val="Normal"/>
        <w:rPr/>
      </w:pPr>
      <w:r>
        <w:rPr/>
        <w:t>把目标反推利润能判断假设强弱。年底基准</w:t>
      </w:r>
      <w:r>
        <w:rPr/>
        <w:t>EPS1.45</w:t>
      </w:r>
      <w:r>
        <w:rPr/>
        <w:t>对应年化正常化利润约</w:t>
      </w:r>
      <w:r>
        <w:rPr/>
        <w:t>96.24</w:t>
      </w:r>
      <w:r>
        <w:rPr/>
        <w:t>亿元，半年</w:t>
      </w:r>
      <w:r>
        <w:rPr/>
        <w:t>1.60</w:t>
      </w:r>
      <w:r>
        <w:rPr/>
        <w:t>对应</w:t>
      </w:r>
      <w:r>
        <w:rPr/>
        <w:t>106.20</w:t>
      </w:r>
      <w:r>
        <w:rPr/>
        <w:t>亿元，一年</w:t>
      </w:r>
      <w:r>
        <w:rPr/>
        <w:t>1.80</w:t>
      </w:r>
      <w:r>
        <w:rPr/>
        <w:t>对应</w:t>
      </w:r>
      <w:r>
        <w:rPr/>
        <w:t>119.47</w:t>
      </w:r>
      <w:r>
        <w:rPr/>
        <w:t>亿元。相比</w:t>
      </w:r>
      <w:r>
        <w:rPr/>
        <w:t>2026H1</w:t>
      </w:r>
      <w:r>
        <w:rPr/>
        <w:t>归母</w:t>
      </w:r>
      <w:r>
        <w:rPr/>
        <w:t>44.65</w:t>
      </w:r>
      <w:r>
        <w:rPr/>
        <w:t>亿元，增长不只靠费用改善，需要创新新品和收入组合变好。乐观一年</w:t>
      </w:r>
      <w:r>
        <w:rPr/>
        <w:t>EPS2.35</w:t>
      </w:r>
      <w:r>
        <w:rPr/>
        <w:t>意味着正常化归母约</w:t>
      </w:r>
      <w:r>
        <w:rPr/>
        <w:t>155.97</w:t>
      </w:r>
      <w:r>
        <w:rPr/>
        <w:t>亿元，属于更强的商业与交易同时兑现情景，不能把它视为只要公司不失败便自然达到的结果。悲观</w:t>
      </w:r>
      <w:r>
        <w:rPr/>
        <w:t>1.25</w:t>
      </w:r>
      <w:r>
        <w:rPr/>
        <w:t>虽然盈利仍存在，压低</w:t>
      </w:r>
      <w:r>
        <w:rPr/>
        <w:t>PE</w:t>
      </w:r>
      <w:r>
        <w:rPr/>
        <w:t>后</w:t>
      </w:r>
      <w:r>
        <w:rPr/>
        <w:t>H</w:t>
      </w:r>
      <w:r>
        <w:rPr/>
        <w:t>股目标也只有</w:t>
      </w:r>
      <w:r>
        <w:rPr/>
        <w:t>30.25</w:t>
      </w:r>
      <w:r>
        <w:rPr/>
        <w:t>港元，体现好公司也会因买入估值和成长失速而亏损。</w:t>
      </w:r>
    </w:p>
    <w:p>
      <w:pPr>
        <w:pStyle w:val="Normal"/>
        <w:rPr/>
      </w:pPr>
      <w:r>
        <w:rPr/>
        <w:t>三年</w:t>
      </w:r>
      <w:r>
        <w:rPr/>
        <w:t>EPS</w:t>
      </w:r>
      <w:r>
        <w:rPr/>
        <w:t>悲基乐</w:t>
      </w:r>
      <w:r>
        <w:rPr/>
        <w:t>1.40</w:t>
      </w:r>
      <w:r>
        <w:rPr/>
        <w:t>、</w:t>
      </w:r>
      <w:r>
        <w:rPr/>
        <w:t>2.45</w:t>
      </w:r>
      <w:r>
        <w:rPr/>
        <w:t>、</w:t>
      </w:r>
      <w:r>
        <w:rPr/>
        <w:t>3.75</w:t>
      </w:r>
      <w:r>
        <w:rPr/>
        <w:t>元，对应集团利润约</w:t>
      </w:r>
      <w:r>
        <w:rPr/>
        <w:t>92.92</w:t>
      </w:r>
      <w:r>
        <w:rPr/>
        <w:t>、</w:t>
      </w:r>
      <w:r>
        <w:rPr/>
        <w:t>162.61</w:t>
      </w:r>
      <w:r>
        <w:rPr/>
        <w:t>、</w:t>
      </w:r>
      <w:r>
        <w:rPr/>
        <w:t>248.89</w:t>
      </w:r>
      <w:r>
        <w:rPr/>
        <w:t>亿元；</w:t>
      </w:r>
      <w:r>
        <w:rPr/>
        <w:t>A</w:t>
      </w:r>
      <w:r>
        <w:rPr/>
        <w:t>股</w:t>
      </w:r>
      <w:r>
        <w:rPr/>
        <w:t>PE22</w:t>
      </w:r>
      <w:r>
        <w:rPr/>
        <w:t>、</w:t>
      </w:r>
      <w:r>
        <w:rPr/>
        <w:t>34</w:t>
      </w:r>
      <w:r>
        <w:rPr/>
        <w:t>、</w:t>
      </w:r>
      <w:r>
        <w:rPr/>
        <w:t>44</w:t>
      </w:r>
      <w:r>
        <w:rPr/>
        <w:t>，</w:t>
      </w:r>
      <w:r>
        <w:rPr/>
        <w:t>H</w:t>
      </w:r>
      <w:r>
        <w:rPr/>
        <w:t>股</w:t>
      </w:r>
      <w:r>
        <w:rPr/>
        <w:t>20</w:t>
      </w:r>
      <w:r>
        <w:rPr/>
        <w:t>、</w:t>
      </w:r>
      <w:r>
        <w:rPr/>
        <w:t>33</w:t>
      </w:r>
      <w:r>
        <w:rPr/>
        <w:t>、</w:t>
      </w:r>
      <w:r>
        <w:rPr/>
        <w:t>43</w:t>
      </w:r>
      <w:r>
        <w:rPr/>
        <w:t>。五年</w:t>
      </w:r>
      <w:r>
        <w:rPr/>
        <w:t>EPS1.50</w:t>
      </w:r>
      <w:r>
        <w:rPr/>
        <w:t>、</w:t>
      </w:r>
      <w:r>
        <w:rPr/>
        <w:t>3.25</w:t>
      </w:r>
      <w:r>
        <w:rPr/>
        <w:t>、</w:t>
      </w:r>
      <w:r>
        <w:rPr/>
        <w:t>5.40</w:t>
      </w:r>
      <w:r>
        <w:rPr/>
        <w:t>，对应</w:t>
      </w:r>
      <w:r>
        <w:rPr/>
        <w:t>99.56</w:t>
      </w:r>
      <w:r>
        <w:rPr/>
        <w:t>、</w:t>
      </w:r>
      <w:r>
        <w:rPr/>
        <w:t>215.71</w:t>
      </w:r>
      <w:r>
        <w:rPr/>
        <w:t>、</w:t>
      </w:r>
      <w:r>
        <w:rPr/>
        <w:t>358.41</w:t>
      </w:r>
      <w:r>
        <w:rPr/>
        <w:t>亿元；</w:t>
      </w:r>
      <w:r>
        <w:rPr/>
        <w:t>A</w:t>
      </w:r>
      <w:r>
        <w:rPr/>
        <w:t>股</w:t>
      </w:r>
      <w:r>
        <w:rPr/>
        <w:t>PE20</w:t>
      </w:r>
      <w:r>
        <w:rPr/>
        <w:t>、</w:t>
      </w:r>
      <w:r>
        <w:rPr/>
        <w:t>32</w:t>
      </w:r>
      <w:r>
        <w:rPr/>
        <w:t>、</w:t>
      </w:r>
      <w:r>
        <w:rPr/>
        <w:t>42</w:t>
      </w:r>
      <w:r>
        <w:rPr/>
        <w:t>，</w:t>
      </w:r>
      <w:r>
        <w:rPr/>
        <w:t>H</w:t>
      </w:r>
      <w:r>
        <w:rPr/>
        <w:t>股</w:t>
      </w:r>
      <w:r>
        <w:rPr/>
        <w:t>18</w:t>
      </w:r>
      <w:r>
        <w:rPr/>
        <w:t>、</w:t>
      </w:r>
      <w:r>
        <w:rPr/>
        <w:t>31</w:t>
      </w:r>
      <w:r>
        <w:rPr/>
        <w:t>、</w:t>
      </w:r>
      <w:r>
        <w:rPr/>
        <w:t>41</w:t>
      </w:r>
      <w:r>
        <w:rPr/>
        <w:t>。基准路径要求公司从当前新老业务抵消状态，转为多治疗领域驱动的稳健盈利增长；五年乐观利润规模更大，还要求全球授权和商业化价值发挥重要贡献，因此应该保留低可信度和宽范围。</w:t>
      </w:r>
    </w:p>
    <w:p>
      <w:pPr>
        <w:pStyle w:val="Normal"/>
        <w:rPr/>
      </w:pPr>
      <w:r>
        <w:rPr/>
        <w:t>采用盈利倍数不表示管线不重要，而是把管线对未来利润的影响统一反映在</w:t>
      </w:r>
      <w:r>
        <w:rPr/>
        <w:t>EPS</w:t>
      </w:r>
      <w:r>
        <w:rPr/>
        <w:t>路径中。本公司成熟产品和大型现金余额使</w:t>
      </w:r>
      <w:r>
        <w:rPr/>
        <w:t>PE</w:t>
      </w:r>
      <w:r>
        <w:rPr/>
        <w:t>可成为主模型，同时用现金流和研发资本化验证分母。完整逐药</w:t>
      </w:r>
      <w:r>
        <w:rPr/>
        <w:t>rNPV</w:t>
      </w:r>
      <w:r>
        <w:rPr/>
        <w:t>需要合同地区、峰值销售、竞争份额、临床成功率、研发义务和支付时点；本研究没有取得所有关键字段，故没有制造逐资产精确现值表。尤其不把最高合同总额直接作为</w:t>
      </w:r>
      <w:r>
        <w:rPr/>
        <w:t>rNPV</w:t>
      </w:r>
      <w:r>
        <w:rPr/>
        <w:t>。简化模型的可读性较好，但不能声称完成了全球管线价值的精确拆分。</w:t>
      </w:r>
    </w:p>
    <w:p>
      <w:pPr>
        <w:pStyle w:val="Normal"/>
        <w:rPr/>
      </w:pPr>
      <w:r>
        <w:rPr/>
        <w:t>估值最脆弱的变量往往是倍数。半年</w:t>
      </w:r>
      <w:r>
        <w:rPr/>
        <w:t>H</w:t>
      </w:r>
      <w:r>
        <w:rPr/>
        <w:t>股基准</w:t>
      </w:r>
      <w:r>
        <w:rPr/>
        <w:t>EPS1.60</w:t>
      </w:r>
      <w:r>
        <w:rPr/>
        <w:t>若</w:t>
      </w:r>
      <w:r>
        <w:rPr/>
        <w:t>PE</w:t>
      </w:r>
      <w:r>
        <w:rPr/>
        <w:t>从</w:t>
      </w:r>
      <w:r>
        <w:rPr/>
        <w:t>34</w:t>
      </w:r>
      <w:r>
        <w:rPr/>
        <w:t>降到</w:t>
      </w:r>
      <w:r>
        <w:rPr/>
        <w:t>28</w:t>
      </w:r>
      <w:r>
        <w:rPr/>
        <w:t>，目标由</w:t>
      </w:r>
      <w:r>
        <w:rPr/>
        <w:t>59.84</w:t>
      </w:r>
      <w:r>
        <w:rPr/>
        <w:t>降至</w:t>
      </w:r>
      <w:r>
        <w:rPr/>
        <w:t>49.28</w:t>
      </w:r>
      <w:r>
        <w:rPr/>
        <w:t>港元，几乎消耗全部基准上涨空间；若</w:t>
      </w:r>
      <w:r>
        <w:rPr/>
        <w:t>EPS</w:t>
      </w:r>
      <w:r>
        <w:rPr/>
        <w:t>提高</w:t>
      </w:r>
      <w:r>
        <w:rPr/>
        <w:t>10%</w:t>
      </w:r>
      <w:r>
        <w:rPr/>
        <w:t>而</w:t>
      </w:r>
      <w:r>
        <w:rPr/>
        <w:t>PE</w:t>
      </w:r>
      <w:r>
        <w:rPr/>
        <w:t>降低</w:t>
      </w:r>
      <w:r>
        <w:rPr/>
        <w:t>10%</w:t>
      </w:r>
      <w:r>
        <w:rPr/>
        <w:t>，两者约互相抵消。这解释为什么临床进展积极却股价仍可能下跌：市场可能此前给了过高的长期成长价。三年五年的高回报也需要届时成熟的恒瑞仍具持续新药增长，而不是到了目标年盈利兑现后被当作低成长成熟仿制公司。</w:t>
      </w:r>
    </w:p>
    <w:p>
      <w:pPr>
        <w:pStyle w:val="Normal"/>
        <w:rPr/>
      </w:pPr>
      <w:r>
        <w:rPr/>
        <w:t>现金对下行有帮助但不是可直接分配保障。现金等价物</w:t>
      </w:r>
      <w:r>
        <w:rPr/>
        <w:t>380</w:t>
      </w:r>
      <w:r>
        <w:rPr/>
        <w:t>亿元约每股</w:t>
      </w:r>
      <w:r>
        <w:rPr/>
        <w:t>5.73</w:t>
      </w:r>
      <w:r>
        <w:rPr/>
        <w:t>元，远低于现价，即便全部视为净可用现金，也无法覆盖股票的大部分价格。现金用于研发、激励、投资和分红，不一定全返还股东。模型没有把每股现金再加</w:t>
      </w:r>
      <w:r>
        <w:rPr/>
        <w:t>PE</w:t>
      </w:r>
      <w:r>
        <w:rPr/>
        <w:t>目标，避免盈利中的利息、研发与现金资产被重复定价。如果未来采用经营利润倍数加净现金的分部方法，就应同步从盈利中剔除相关利息和资产收益，不混用两套框架。</w:t>
      </w:r>
    </w:p>
    <w:p>
      <w:pPr>
        <w:pStyle w:val="Heading2"/>
        <w:rPr/>
      </w:pPr>
      <w:r>
        <w:rPr>
          <w:color w:val="000000"/>
        </w:rPr>
        <w:t>年底期望价 权重敏感性与投行对照</w:t>
      </w:r>
    </w:p>
    <w:p>
      <w:pPr>
        <w:pStyle w:val="Normal"/>
        <w:rPr/>
      </w:pPr>
      <w:r>
        <w:rPr/>
        <w:t>年末距离基准只有不足一季，股价主要变化来自最新经营预期、交易到账、免疫和代谢项目进展、政策措辞与风险偏好，而不是三年全部商业计划兑现。年底基准只给</w:t>
      </w:r>
      <w:r>
        <w:rPr/>
        <w:t>H</w:t>
      </w:r>
      <w:r>
        <w:rPr/>
        <w:t>股</w:t>
      </w:r>
      <w:r>
        <w:rPr/>
        <w:t>9.66%</w:t>
      </w:r>
      <w:r>
        <w:rPr/>
        <w:t>空间，低于一年</w:t>
      </w:r>
      <w:r>
        <w:rPr/>
        <w:t>44.38%</w:t>
      </w:r>
      <w:r>
        <w:rPr/>
        <w:t>，因为一年有更多经营证据和盈利扩张时间。把机构</w:t>
      </w:r>
      <w:r>
        <w:rPr/>
        <w:t>72.5</w:t>
      </w:r>
      <w:r>
        <w:rPr/>
        <w:t>港元目标直接当</w:t>
      </w:r>
      <w:r>
        <w:rPr/>
        <w:t>12</w:t>
      </w:r>
      <w:r>
        <w:rPr/>
        <w:t>月目标会在没有时间与盈利推导的情况下放大短期收益期望；同样，按剩余月份线性缩短一年涨幅也不合适，因为临床与授权催化并不按日均匀发生。</w:t>
      </w:r>
    </w:p>
    <w:p>
      <w:pPr>
        <w:pStyle w:val="Normal"/>
        <w:rPr/>
      </w:pPr>
      <w:r>
        <w:rPr/>
        <w:t>默认权重</w:t>
      </w:r>
      <w:r>
        <w:rPr/>
        <w:t>25%</w:t>
      </w:r>
      <w:r>
        <w:rPr/>
        <w:t>、</w:t>
      </w:r>
      <w:r>
        <w:rPr/>
        <w:t>50%</w:t>
      </w:r>
      <w:r>
        <w:rPr/>
        <w:t>、</w:t>
      </w:r>
      <w:r>
        <w:rPr/>
        <w:t>25%</w:t>
      </w:r>
      <w:r>
        <w:rPr/>
        <w:t>给</w:t>
      </w:r>
      <w:r>
        <w:rPr/>
        <w:t>H</w:t>
      </w:r>
      <w:r>
        <w:rPr/>
        <w:t>股</w:t>
      </w:r>
      <w:r>
        <w:rPr/>
        <w:t>54.2575</w:t>
      </w:r>
      <w:r>
        <w:rPr/>
        <w:t>港元。改为悲观</w:t>
      </w:r>
      <w:r>
        <w:rPr/>
        <w:t>40%</w:t>
      </w:r>
      <w:r>
        <w:rPr/>
        <w:t>、基准</w:t>
      </w:r>
      <w:r>
        <w:rPr/>
        <w:t>50%</w:t>
      </w:r>
      <w:r>
        <w:rPr/>
        <w:t>、乐观</w:t>
      </w:r>
      <w:r>
        <w:rPr/>
        <w:t>10%</w:t>
      </w:r>
      <w:r>
        <w:rPr/>
        <w:t>的偏谨慎权重，期望约</w:t>
      </w:r>
      <w:r>
        <w:rPr/>
        <w:t>45.4795</w:t>
      </w:r>
      <w:r>
        <w:rPr/>
        <w:t>港元；改为</w:t>
      </w:r>
      <w:r>
        <w:rPr/>
        <w:t>10%</w:t>
      </w:r>
      <w:r>
        <w:rPr/>
        <w:t>、</w:t>
      </w:r>
      <w:r>
        <w:rPr/>
        <w:t>50%</w:t>
      </w:r>
      <w:r>
        <w:rPr/>
        <w:t>、</w:t>
      </w:r>
      <w:r>
        <w:rPr/>
        <w:t>40%</w:t>
      </w:r>
      <w:r>
        <w:rPr/>
        <w:t>的积极权重，约</w:t>
      </w:r>
      <w:r>
        <w:rPr/>
        <w:t>63.0355</w:t>
      </w:r>
      <w:r>
        <w:rPr/>
        <w:t>港元。这组敏感性说明所谓期望值有很强判断成分，只有公开权重才能让读者评估结论。模型并没有建立多年临床成功率与市场估值变化的统计分布，因此“期望”不能解释成具有已验证概率的平均交易收益。</w:t>
      </w:r>
    </w:p>
    <w:p>
      <w:pPr>
        <w:pStyle w:val="Normal"/>
        <w:rPr/>
      </w:pPr>
      <w:r>
        <w:rPr/>
        <w:t>外资可核目标有两个近期值：汇丰</w:t>
      </w:r>
      <w:r>
        <w:rPr/>
        <w:t>2026</w:t>
      </w:r>
      <w:r>
        <w:rPr/>
        <w:t>年</w:t>
      </w:r>
      <w:r>
        <w:rPr/>
        <w:t>9</w:t>
      </w:r>
      <w:r>
        <w:rPr/>
        <w:t>月</w:t>
      </w:r>
      <w:r>
        <w:rPr/>
        <w:t>29</w:t>
      </w:r>
      <w:r>
        <w:rPr/>
        <w:t>日</w:t>
      </w:r>
      <w:r>
        <w:rPr/>
        <w:t>72.5</w:t>
      </w:r>
      <w:r>
        <w:rPr/>
        <w:t>港元，买入；摩根大通</w:t>
      </w:r>
      <w:r>
        <w:rPr/>
        <w:t>10</w:t>
      </w:r>
      <w:r>
        <w:rPr/>
        <w:t>月</w:t>
      </w:r>
      <w:r>
        <w:rPr/>
        <w:t>7</w:t>
      </w:r>
      <w:r>
        <w:rPr/>
        <w:t>日</w:t>
      </w:r>
      <w:r>
        <w:rPr/>
        <w:t>65</w:t>
      </w:r>
      <w:r>
        <w:rPr/>
        <w:t>港元，增持，分别相对</w:t>
      </w:r>
      <w:r>
        <w:rPr/>
        <w:t>48</w:t>
      </w:r>
      <w:r>
        <w:rPr/>
        <w:t>港元有</w:t>
      </w:r>
      <w:r>
        <w:rPr/>
        <w:t>51.04%</w:t>
      </w:r>
      <w:r>
        <w:rPr/>
        <w:t>和</w:t>
      </w:r>
      <w:r>
        <w:rPr/>
        <w:t>35.42%</w:t>
      </w:r>
      <w:r>
        <w:rPr/>
        <w:t>空间。本文一年基准</w:t>
      </w:r>
      <w:r>
        <w:rPr/>
        <w:t>69.30</w:t>
      </w:r>
      <w:r>
        <w:rPr/>
        <w:t>港元位于两者之间，但不是对机构简单平均后再找理由。模型先依据</w:t>
      </w:r>
      <w:r>
        <w:rPr/>
        <w:t>EPS1.80</w:t>
      </w:r>
      <w:r>
        <w:rPr/>
        <w:t>、</w:t>
      </w:r>
      <w:r>
        <w:rPr/>
        <w:t>PE35</w:t>
      </w:r>
      <w:r>
        <w:rPr/>
        <w:t>、汇率</w:t>
      </w:r>
      <w:r>
        <w:rPr/>
        <w:t>1.10</w:t>
      </w:r>
      <w:r>
        <w:rPr/>
        <w:t>计算，外资目标是参照检查。新闻没有给出明确目标日期，因此只能按常见中期研究范围对照，不能声称已取得他们完整十二个月模型。</w:t>
      </w:r>
    </w:p>
    <w:p>
      <w:pPr>
        <w:pStyle w:val="Normal"/>
        <w:rPr/>
      </w:pPr>
      <w:r>
        <w:rPr/>
        <w:t>旧目标必须淘汰。瑞银</w:t>
      </w:r>
      <w:r>
        <w:rPr/>
        <w:t>7</w:t>
      </w:r>
      <w:r>
        <w:rPr/>
        <w:t>月</w:t>
      </w:r>
      <w:r>
        <w:rPr/>
        <w:t>9</w:t>
      </w:r>
      <w:r>
        <w:rPr/>
        <w:t>日</w:t>
      </w:r>
      <w:r>
        <w:rPr/>
        <w:t>97.4</w:t>
      </w:r>
      <w:r>
        <w:rPr/>
        <w:t>港元曾见公开转述，后续列表标题显示中报后下调至</w:t>
      </w:r>
      <w:r>
        <w:rPr/>
        <w:t>81.7</w:t>
      </w:r>
      <w:r>
        <w:rPr/>
        <w:t>，完整正文与日期未取得，不能把</w:t>
      </w:r>
      <w:r>
        <w:rPr/>
        <w:t>97.4</w:t>
      </w:r>
      <w:r>
        <w:rPr/>
        <w:t>作为当前最新“机构支持”。野村</w:t>
      </w:r>
      <w:r>
        <w:rPr/>
        <w:t>7</w:t>
      </w:r>
      <w:r>
        <w:rPr/>
        <w:t>月</w:t>
      </w:r>
      <w:r>
        <w:rPr/>
        <w:t>82.18</w:t>
      </w:r>
      <w:r>
        <w:rPr/>
        <w:t>港元与其对二季度的较强盈利预测相关，而中报实际增速明显弱，后续新闻又承认预测不及预期，所以旧目标应作为分析预测风险的实例，而不是当前证据。花旗</w:t>
      </w:r>
      <w:r>
        <w:rPr/>
        <w:t>120</w:t>
      </w:r>
      <w:r>
        <w:rPr/>
        <w:t>和大摩</w:t>
      </w:r>
      <w:r>
        <w:rPr/>
        <w:t>82</w:t>
      </w:r>
      <w:r>
        <w:rPr/>
        <w:t>仅在列表标题出现，本文不把没有完整日期正文的标题值纳入机构统计。</w:t>
      </w:r>
    </w:p>
    <w:p>
      <w:pPr>
        <w:pStyle w:val="Normal"/>
        <w:rPr/>
      </w:pPr>
      <w:r>
        <w:rPr/>
        <w:t>机构报告的价值在于假设、渠道和临床解释，不只是一个目标数字。不同机构可能采用不同估值期、业务拆分、授权成功率和折现率，目标区间宽并不证明简单平均可靠。若目标价远高于现价，最需要追问的是哪些盈利、资产、全球权益或成长假设被市场与机构不同定价。若取得完整报告，应将其产品预测与本研究模型逐项对照；没有完整报告时，应明确引用层级为公开新闻转述，而不能冠以“国际投行一致预期”。</w:t>
      </w:r>
    </w:p>
    <w:p>
      <w:pPr>
        <w:pStyle w:val="Heading2"/>
        <w:rPr/>
      </w:pPr>
      <w:r>
        <w:rPr>
          <w:color w:val="000000"/>
        </w:rPr>
        <w:t>半年 一年 三年 五年分别如何持有这个判断</w:t>
      </w:r>
    </w:p>
    <w:p>
      <w:pPr>
        <w:pStyle w:val="Normal"/>
        <w:rPr/>
      </w:pPr>
      <w:r>
        <w:rPr/>
        <w:t>半年投资逻辑重在修复预期。中报总收入与利润平淡后，股价已经历明显压缩，若</w:t>
      </w:r>
      <w:r>
        <w:rPr/>
        <w:t>BMS</w:t>
      </w:r>
      <w:r>
        <w:rPr/>
        <w:t>收款与新产品放量、免疫数据和政策风险缓解得到验证，可能促使未来盈利预期提高。技术上需要</w:t>
      </w:r>
      <w:r>
        <w:rPr/>
        <w:t>H</w:t>
      </w:r>
      <w:r>
        <w:rPr/>
        <w:t>股收复</w:t>
      </w:r>
      <w:r>
        <w:rPr/>
        <w:t>50.7</w:t>
      </w:r>
      <w:r>
        <w:rPr/>
        <w:t>至</w:t>
      </w:r>
      <w:r>
        <w:rPr/>
        <w:t>51</w:t>
      </w:r>
      <w:r>
        <w:rPr/>
        <w:t>区域、</w:t>
      </w:r>
      <w:r>
        <w:rPr/>
        <w:t>A</w:t>
      </w:r>
      <w:r>
        <w:rPr/>
        <w:t>股收复</w:t>
      </w:r>
      <w:r>
        <w:rPr/>
        <w:t>49.76</w:t>
      </w:r>
      <w:r>
        <w:rPr/>
        <w:t>附近</w:t>
      </w:r>
      <w:r>
        <w:rPr/>
        <w:t>60</w:t>
      </w:r>
      <w:r>
        <w:rPr/>
        <w:t>日均线，才能提高对中期反弹的信心。半年基准</w:t>
      </w:r>
      <w:r>
        <w:rPr/>
        <w:t>H</w:t>
      </w:r>
      <w:r>
        <w:rPr/>
        <w:t>股</w:t>
      </w:r>
      <w:r>
        <w:rPr/>
        <w:t>59.84</w:t>
      </w:r>
      <w:r>
        <w:rPr/>
        <w:t>接近</w:t>
      </w:r>
      <w:r>
        <w:rPr/>
        <w:t>60</w:t>
      </w:r>
      <w:r>
        <w:rPr/>
        <w:t>日区间上界</w:t>
      </w:r>
      <w:r>
        <w:rPr/>
        <w:t>60.3</w:t>
      </w:r>
      <w:r>
        <w:rPr/>
        <w:t>，意味着需要一段持续修复而非只一两天反弹。最大失败路径是新品销售不及预期、授权确认延后，且市场对创新估值继续压缩。</w:t>
      </w:r>
    </w:p>
    <w:p>
      <w:pPr>
        <w:pStyle w:val="Normal"/>
        <w:rPr/>
      </w:pPr>
      <w:r>
        <w:rPr/>
        <w:t>一年能够覆盖更多业绩披露、医院准入和研发事件，是比年底更合理的盈利验证窗口。基准</w:t>
      </w:r>
      <w:r>
        <w:rPr/>
        <w:t>H</w:t>
      </w:r>
      <w:r>
        <w:rPr/>
        <w:t>股</w:t>
      </w:r>
      <w:r>
        <w:rPr/>
        <w:t>69.3</w:t>
      </w:r>
      <w:r>
        <w:rPr/>
        <w:t>、</w:t>
      </w:r>
      <w:r>
        <w:rPr/>
        <w:t>A</w:t>
      </w:r>
      <w:r>
        <w:rPr/>
        <w:t>股</w:t>
      </w:r>
      <w:r>
        <w:rPr/>
        <w:t>64.8</w:t>
      </w:r>
      <w:r>
        <w:rPr/>
        <w:t>依赖未来十二个月正常化盈利</w:t>
      </w:r>
      <w:r>
        <w:rPr/>
        <w:t>119</w:t>
      </w:r>
      <w:r>
        <w:rPr/>
        <w:t>亿元左右。这里应观察非肿瘤增速回落后能否维持较高净贡献，肿瘤新适应症是否真实增量，仿制拖累是否缩小，以及授权收益能否分散到多个项目而不是只靠一笔巨额交易。若一年期间</w:t>
      </w:r>
      <w:r>
        <w:rPr/>
        <w:t>EPS</w:t>
      </w:r>
      <w:r>
        <w:rPr/>
        <w:t>趋势只停在</w:t>
      </w:r>
      <w:r>
        <w:rPr/>
        <w:t>1.2</w:t>
      </w:r>
      <w:r>
        <w:rPr/>
        <w:t>元附近，基准目标不再成立，即便股价有短期主题反弹也应调整研究评级。</w:t>
      </w:r>
    </w:p>
    <w:p>
      <w:pPr>
        <w:pStyle w:val="Normal"/>
        <w:rPr/>
      </w:pPr>
      <w:r>
        <w:rPr/>
        <w:t>三年判断是恒瑞从国内肿瘤龙头转为多领域、可全球合作的创新平台。三年基准利润</w:t>
      </w:r>
      <w:r>
        <w:rPr/>
        <w:t>162.6</w:t>
      </w:r>
      <w:r>
        <w:rPr/>
        <w:t>亿元，要求盈利规模显著上移；更广的非肿瘤业务、新肿瘤品种、全球合作进入后期会共同贡献。时间较长可以缓冲单季授权波动，却不能缓冲连续几年研发效率差。三年悲观</w:t>
      </w:r>
      <w:r>
        <w:rPr/>
        <w:t>H</w:t>
      </w:r>
      <w:r>
        <w:rPr/>
        <w:t>股</w:t>
      </w:r>
      <w:r>
        <w:rPr/>
        <w:t>30.8</w:t>
      </w:r>
      <w:r>
        <w:rPr/>
        <w:t>表明经营不崩溃仍可出现超过三成投资损失；长持不自动消除估值风险，重点是每股利润与现金的增长是否符合原逻辑。</w:t>
      </w:r>
    </w:p>
    <w:p>
      <w:pPr>
        <w:pStyle w:val="Normal"/>
        <w:rPr/>
      </w:pPr>
      <w:r>
        <w:rPr/>
        <w:t>五年判断更强调可持续组织能力。任何现有明星产品都会面对生命周期，集团需要连续产生有临床差异和商业价值的新品。五年基准利润约</w:t>
      </w:r>
      <w:r>
        <w:rPr/>
        <w:t>215.7</w:t>
      </w:r>
      <w:r>
        <w:rPr/>
        <w:t>亿元，不要求每一管线成功，但要求创新投入稳定产出、海外合同收益逐步兑现、资本化项目能转为现金回报。五年乐观</w:t>
      </w:r>
      <w:r>
        <w:rPr/>
        <w:t>358.4</w:t>
      </w:r>
      <w:r>
        <w:rPr/>
        <w:t>亿元和</w:t>
      </w:r>
      <w:r>
        <w:rPr/>
        <w:t>H</w:t>
      </w:r>
      <w:r>
        <w:rPr/>
        <w:t>股</w:t>
      </w:r>
      <w:r>
        <w:rPr/>
        <w:t>243.54</w:t>
      </w:r>
      <w:r>
        <w:rPr/>
        <w:t>港元属于多条全球业务成功的远期上界压力测试，不宜用它制定确定财富目标。长期推荐分高，来自平台分散和持续研发证据；长远目标可信度反而应低于近期已披露财务。</w:t>
      </w:r>
    </w:p>
    <w:p>
      <w:pPr>
        <w:pStyle w:val="Normal"/>
        <w:rPr/>
      </w:pPr>
      <w:r>
        <w:rPr/>
        <w:t>十年展望不再适合给单一股价。关键问题是</w:t>
      </w:r>
      <w:r>
        <w:rPr/>
        <w:t>2036</w:t>
      </w:r>
      <w:r>
        <w:rPr/>
        <w:t>年前后集团能否持续升级研发技术，是否避免在热门机制上堆积低差异项目，是否建立真实国际临床及全球商业合作能力，是否让强现金逐步转为较高股东回报。病种、治疗技术和竞争企业会变化，今天的</w:t>
      </w:r>
      <w:r>
        <w:rPr/>
        <w:t>ADC</w:t>
      </w:r>
      <w:r>
        <w:rPr/>
        <w:t>、</w:t>
      </w:r>
      <w:r>
        <w:rPr/>
        <w:t>GLP-1</w:t>
      </w:r>
      <w:r>
        <w:rPr/>
        <w:t>和免疫机制也可能出现替代。最值得期待的是一个具有纪律的研发与商业系统，而不是某一技术永远流行。若组织能力保持，长期价值可持续；若靠短期交易新闻覆盖研发产出下降，十年逻辑会恶化。</w:t>
      </w:r>
    </w:p>
    <w:p>
      <w:pPr>
        <w:pStyle w:val="Heading2"/>
        <w:rPr/>
      </w:pPr>
      <w:r>
        <w:rPr>
          <w:color w:val="000000"/>
        </w:rPr>
        <w:t>必须持续跟踪的反证与更新规则</w:t>
      </w:r>
    </w:p>
    <w:p>
      <w:pPr>
        <w:pStyle w:val="Normal"/>
        <w:rPr/>
      </w:pPr>
      <w:r>
        <w:rPr/>
        <w:t>第一条反证是产品增长结构。若肿瘤增长持续低个位数而非肿瘤从高增速迅速降至低增速，仿制继续双位数下降，总收入恢复会明显慢于模型。更新时应下调正常化</w:t>
      </w:r>
      <w:r>
        <w:rPr/>
        <w:t>EPS</w:t>
      </w:r>
      <w:r>
        <w:rPr/>
        <w:t>而不是仅用更高</w:t>
      </w:r>
      <w:r>
        <w:rPr/>
        <w:t>PE</w:t>
      </w:r>
      <w:r>
        <w:rPr/>
        <w:t>抵消。第二条是现金转化，若经营现金长期只有利润的一小部分、应收与资本化开发同步扩大，则高毛利并未给股东带来对应现金，应降低财务及估值分。第三条是临床差异，若新项目只是同类疗效相近而价格竞争激烈，平台数量虽增加，价值增长未必增加。</w:t>
      </w:r>
    </w:p>
    <w:p>
      <w:pPr>
        <w:pStyle w:val="Normal"/>
        <w:rPr/>
      </w:pPr>
      <w:r>
        <w:rPr/>
        <w:t>第四条是授权质量。首付款按时收到、开发责任清楚、条件性里程碑适当是正面；合作方终止、权利回收但资金不足开发、只宣布最高潜在总额不解释首付与责任是风险。第五条是海外政策，如果最终规则限制关键交易或数据协作，应逐合同调整现金流和成功概率，而非把新闻情绪当作一日波动后自动消失。第六条是资本配置，大额现金是否投向有效项目、是否以激励回购之名增加持续股权负担，需要每年核查。</w:t>
      </w:r>
    </w:p>
    <w:p>
      <w:pPr>
        <w:pStyle w:val="Normal"/>
        <w:rPr/>
      </w:pPr>
      <w:r>
        <w:rPr/>
        <w:t>评分不是固定标签。半年技术可以因价格与量能确认快速上调，也可以因跌破观察区间下调；三年增长质量需要新的财务与研发结果才能改变。每次更新必须记录资料日期、模型</w:t>
      </w:r>
      <w:r>
        <w:rPr/>
        <w:t>EPS</w:t>
      </w:r>
      <w:r>
        <w:rPr/>
        <w:t>和</w:t>
      </w:r>
      <w:r>
        <w:rPr/>
        <w:t>PE</w:t>
      </w:r>
      <w:r>
        <w:rPr/>
        <w:t>版本、股数、汇率以及目标区间，避免让旧年度盈利目标混入新价格。若资料缺失，应保留空值和未知，不能为了在全名单榜上保持恒瑞名次而编造数据。公司好坏与买入收益应区分：出色公司在过高价格也可能没有好收益。</w:t>
      </w:r>
    </w:p>
    <w:p>
      <w:pPr>
        <w:pStyle w:val="Heading2"/>
        <w:rPr/>
      </w:pPr>
      <w:r>
        <w:rPr>
          <w:color w:val="000000"/>
        </w:rPr>
        <w:t>来源与可追溯范围</w:t>
      </w:r>
    </w:p>
    <w:p>
      <w:pPr>
        <w:pStyle w:val="Normal"/>
        <w:rPr/>
      </w:pPr>
      <w:r>
        <w:rPr/>
        <w:t>核心财务与经营内容源于</w:t>
      </w:r>
      <w:r>
        <w:rPr/>
        <w:t>2026</w:t>
      </w:r>
      <w:r>
        <w:rPr/>
        <w:t>中期报告原始披露内容镜像，</w:t>
      </w:r>
      <w:r>
        <w:rPr/>
        <w:t>PDF</w:t>
      </w:r>
      <w:r>
        <w:rPr/>
        <w:t>页</w:t>
      </w:r>
      <w:r>
        <w:rPr/>
        <w:t>8</w:t>
      </w:r>
      <w:r>
        <w:rPr/>
        <w:t>至</w:t>
      </w:r>
      <w:r>
        <w:rPr/>
        <w:t>11</w:t>
      </w:r>
      <w:r>
        <w:rPr/>
        <w:t>、</w:t>
      </w:r>
      <w:r>
        <w:rPr/>
        <w:t>32</w:t>
      </w:r>
      <w:r>
        <w:rPr/>
        <w:t>至</w:t>
      </w:r>
      <w:r>
        <w:rPr/>
        <w:t>34</w:t>
      </w:r>
      <w:r>
        <w:rPr/>
        <w:t>、</w:t>
      </w:r>
      <w:r>
        <w:rPr/>
        <w:t>53</w:t>
      </w:r>
      <w:r>
        <w:rPr/>
        <w:t>至</w:t>
      </w:r>
      <w:r>
        <w:rPr/>
        <w:t>58</w:t>
      </w:r>
      <w:r>
        <w:rPr/>
        <w:t>及股份信息相关页。报告</w:t>
      </w:r>
      <w:r>
        <w:rPr/>
        <w:t>URL</w:t>
      </w:r>
      <w:r>
        <w:rPr/>
        <w:t>：</w:t>
      </w:r>
      <w:r>
        <w:rPr/>
        <w:t>https://iis.aastocks.com/20260819/12291039-0.PDF</w:t>
      </w:r>
      <w:r>
        <w:rPr/>
        <w:t>。公开机构新闻为汇丰</w:t>
      </w:r>
      <w:r>
        <w:rPr/>
        <w:t>9</w:t>
      </w:r>
      <w:r>
        <w:rPr/>
        <w:t>月</w:t>
      </w:r>
      <w:r>
        <w:rPr/>
        <w:t>29</w:t>
      </w:r>
      <w:r>
        <w:rPr/>
        <w:t>日、摩通</w:t>
      </w:r>
      <w:r>
        <w:rPr/>
        <w:t>10</w:t>
      </w:r>
      <w:r>
        <w:rPr/>
        <w:t>月</w:t>
      </w:r>
      <w:r>
        <w:rPr/>
        <w:t>7</w:t>
      </w:r>
      <w:r>
        <w:rPr/>
        <w:t>日及代谢授权、政策相关文章；完整</w:t>
      </w:r>
      <w:r>
        <w:rPr/>
        <w:t>URL</w:t>
      </w:r>
      <w:r>
        <w:rPr/>
        <w:t>保存在</w:t>
      </w:r>
      <w:r>
        <w:rPr/>
        <w:t>data/hengrui_model.json</w:t>
      </w:r>
      <w:r>
        <w:rPr/>
        <w:t>，行情原响应及复权</w:t>
      </w:r>
      <w:r>
        <w:rPr/>
        <w:t>/</w:t>
      </w:r>
      <w:r>
        <w:rPr/>
        <w:t>单位校验保存在</w:t>
      </w:r>
      <w:r>
        <w:rPr/>
        <w:t>data/history/S012.json</w:t>
      </w:r>
      <w:r>
        <w:rPr/>
        <w:t>与</w:t>
      </w:r>
      <w:r>
        <w:rPr/>
        <w:t>S022.json</w:t>
      </w:r>
      <w:r>
        <w:rPr/>
        <w:t>。未全文复核</w:t>
      </w:r>
      <w:r>
        <w:rPr/>
        <w:t>2025</w:t>
      </w:r>
      <w:r>
        <w:rPr/>
        <w:t>全年年报、未建立逐资产成功率</w:t>
      </w:r>
      <w:r>
        <w:rPr/>
        <w:t>rNPV</w:t>
      </w:r>
      <w:r>
        <w:rPr/>
        <w:t>、未取得所有机构完整模型，因此本章为明确假设的独立初版，不能描述为所有输入完全验证后的最终投资结论。</w:t>
      </w:r>
      <w:r>
        <w:br w:type="page"/>
      </w:r>
    </w:p>
    <w:p>
      <w:pPr>
        <w:pStyle w:val="Heading1"/>
        <w:rPr/>
      </w:pPr>
      <w:bookmarkStart w:id="3" w:name="__RefHeading___Toc15961_312338234"/>
      <w:bookmarkEnd w:id="3"/>
      <w:r>
        <w:rPr>
          <w:color w:val="000000"/>
        </w:rPr>
        <w:t xml:space="preserve">美的集团 </w:t>
      </w:r>
      <w:r>
        <w:rPr>
          <w:color w:val="000000"/>
        </w:rPr>
        <w:t>00300 HK</w:t>
      </w:r>
    </w:p>
    <w:p>
      <w:pPr>
        <w:pStyle w:val="Normal"/>
        <w:rPr/>
      </w:pPr>
      <w:r>
        <w:rPr/>
        <w:t xml:space="preserve">00300.HK </w:t>
      </w:r>
      <w:r>
        <w:rPr/>
        <w:t xml:space="preserve">现价 </w:t>
      </w:r>
      <w:r>
        <w:rPr/>
        <w:t>93.65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118.86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+26.92%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+27.51%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131.88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+40.82%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+46.27%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171.53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+83.16%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+101.31%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212.29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+126.68%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+160.85%</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56.59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-39.57%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109.24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+16.65%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147.28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+57.27%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105.59HKD</w:t>
      </w:r>
      <w:r>
        <w:rPr/>
        <w:t>，期望股价回报</w:t>
      </w:r>
      <w:r>
        <w:rPr/>
        <w:t>+12.75%</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51.02</w:t>
              <w:br/>
              <w:t>-45.52%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118.86</w:t>
              <w:br/>
              <w:t>+26.92%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170.17</w:t>
              <w:br/>
              <w:t>+81.71%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47.44</w:t>
              <w:br/>
              <w:t>-49.34%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131.88</w:t>
              <w:br/>
              <w:t>+40.82%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198.41</w:t>
              <w:br/>
              <w:t>+111.86%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43.39</w:t>
              <w:br/>
              <w:t>-53.67%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171.53</w:t>
              <w:br/>
              <w:t>+83.16%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306.53</w:t>
              <w:br/>
              <w:t>+227.31%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+26.27%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39.93</w:t>
              <w:br/>
              <w:t>-57.36%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212.29</w:t>
              <w:br/>
              <w:t>+126.68%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453.06</w:t>
              <w:br/>
              <w:t>+383.78%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+21.14%</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financial</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H</w:t>
            </w:r>
            <w:r>
              <w:rPr>
                <w:rFonts w:ascii="微软雅黑" w:hAnsi="微软雅黑" w:eastAsia="微软雅黑"/>
                <w:sz w:val="17"/>
              </w:rPr>
              <w:t>股</w:t>
            </w:r>
            <w:r>
              <w:rPr>
                <w:rFonts w:eastAsia="微软雅黑" w:ascii="微软雅黑" w:hAnsi="微软雅黑"/>
                <w:sz w:val="17"/>
              </w:rPr>
              <w:t>IFRS</w:t>
            </w:r>
            <w:r>
              <w:rPr>
                <w:rFonts w:ascii="微软雅黑" w:hAnsi="微软雅黑" w:eastAsia="微软雅黑"/>
                <w:sz w:val="17"/>
              </w:rPr>
              <w:t>与</w:t>
            </w:r>
            <w:r>
              <w:rPr>
                <w:rFonts w:eastAsia="微软雅黑" w:ascii="微软雅黑" w:hAnsi="微软雅黑"/>
                <w:sz w:val="17"/>
              </w:rPr>
              <w:t>A</w:t>
            </w:r>
            <w:r>
              <w:rPr>
                <w:rFonts w:ascii="微软雅黑" w:hAnsi="微软雅黑" w:eastAsia="微软雅黑"/>
                <w:sz w:val="17"/>
              </w:rPr>
              <w:t>股准则保留差异，结果与年报核对）</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高（双来源；</w:t>
            </w:r>
            <w:r>
              <w:rPr>
                <w:rFonts w:eastAsia="微软雅黑" w:ascii="微软雅黑" w:hAnsi="微软雅黑"/>
                <w:sz w:val="17"/>
              </w:rPr>
              <w:t>H</w:t>
            </w:r>
            <w:r>
              <w:rPr>
                <w:rFonts w:ascii="微软雅黑" w:hAnsi="微软雅黑" w:eastAsia="微软雅黑"/>
                <w:sz w:val="17"/>
              </w:rPr>
              <w:t>股上市不足三年）</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中（收入、利润率、融资与回购路径是假设）</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broker</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中（公开新闻转述、期限不明）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+21.13%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+27.51%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+33.88%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+38.95%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+46.27%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+53.58%</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+91.25%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+101.31%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+111.38%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+147.81%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+160.85%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+173.90%</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I082</w:t>
      </w:r>
      <w:r>
        <w:rPr/>
        <w:t>，证券</w:t>
      </w:r>
      <w:r>
        <w:rPr/>
        <w:t>S093</w:t>
      </w:r>
      <w:r>
        <w:rPr/>
        <w:t>，</w:t>
      </w:r>
      <w:r>
        <w:rPr/>
        <w:t>00300.HK</w:t>
      </w:r>
      <w:r>
        <w:rPr/>
        <w:t>；独立研究初版。价格与资料截止</w:t>
      </w:r>
      <w:r>
        <w:rPr/>
        <w:t>2026</w:t>
      </w:r>
      <w:r>
        <w:rPr/>
        <w:t>年</w:t>
      </w:r>
      <w:r>
        <w:rPr/>
        <w:t>10</w:t>
      </w:r>
      <w:r>
        <w:rPr/>
        <w:t>月</w:t>
      </w:r>
      <w:r>
        <w:rPr/>
        <w:t>9</w:t>
      </w:r>
      <w:r>
        <w:rPr/>
        <w:t>日，收盘</w:t>
      </w:r>
      <w:r>
        <w:rPr/>
        <w:t>93.65</w:t>
      </w:r>
      <w:r>
        <w:rPr/>
        <w:t>港元。</w:t>
      </w:r>
      <w:r>
        <w:rPr/>
        <w:t>A</w:t>
      </w:r>
      <w:r>
        <w:rPr/>
        <w:t>股</w:t>
      </w:r>
      <w:r>
        <w:rPr/>
        <w:t>000333</w:t>
      </w:r>
      <w:r>
        <w:rPr/>
        <w:t>仅提供同一发行人基本面证据，不增列名单外证券。</w:t>
      </w:r>
      <w:r>
        <w:rPr/>
        <w:t>H</w:t>
      </w:r>
      <w:r>
        <w:rPr/>
        <w:t>股</w:t>
      </w:r>
      <w:r>
        <w:rPr/>
        <w:t>IFRS</w:t>
      </w:r>
      <w:r>
        <w:rPr/>
        <w:t>营业总收入与</w:t>
      </w:r>
      <w:r>
        <w:rPr/>
        <w:t>A</w:t>
      </w:r>
      <w:r>
        <w:rPr/>
        <w:t>股准则营业收入分开保存。有效正文排除结论卡、标题、表格、来源、图注与共同宏观材料。</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分数</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本章判断</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悲观／基准／乐观港元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经营较强、量价待修复</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51.02</w:t>
            </w:r>
            <w:r>
              <w:rPr>
                <w:rFonts w:ascii="微软雅黑" w:hAnsi="微软雅黑" w:eastAsia="微软雅黑"/>
                <w:sz w:val="17"/>
              </w:rPr>
              <w:t>／</w:t>
            </w:r>
            <w:r>
              <w:rPr>
                <w:rFonts w:eastAsia="微软雅黑" w:ascii="微软雅黑" w:hAnsi="微软雅黑"/>
                <w:sz w:val="17"/>
              </w:rPr>
              <w:t>118.86</w:t>
            </w:r>
            <w:r>
              <w:rPr>
                <w:rFonts w:ascii="微软雅黑" w:hAnsi="微软雅黑" w:eastAsia="微软雅黑"/>
                <w:sz w:val="17"/>
              </w:rPr>
              <w:t>／</w:t>
            </w:r>
            <w:r>
              <w:rPr>
                <w:rFonts w:eastAsia="微软雅黑" w:ascii="微软雅黑" w:hAnsi="微软雅黑"/>
                <w:sz w:val="17"/>
              </w:rPr>
              <w:t>170.17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26.92%</w:t>
            </w:r>
            <w:r>
              <w:rPr>
                <w:rFonts w:ascii="微软雅黑" w:hAnsi="微软雅黑" w:eastAsia="微软雅黑"/>
                <w:sz w:val="17"/>
              </w:rPr>
              <w:t>／</w:t>
            </w:r>
            <w:r>
              <w:rPr>
                <w:rFonts w:eastAsia="微软雅黑" w:ascii="微软雅黑" w:hAnsi="微软雅黑"/>
                <w:sz w:val="17"/>
              </w:rPr>
              <w:t>27.51%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有条件进取配置候选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47.44</w:t>
            </w:r>
            <w:r>
              <w:rPr>
                <w:rFonts w:ascii="微软雅黑" w:hAnsi="微软雅黑" w:eastAsia="微软雅黑"/>
                <w:sz w:val="17"/>
              </w:rPr>
              <w:t>／</w:t>
            </w:r>
            <w:r>
              <w:rPr>
                <w:rFonts w:eastAsia="微软雅黑" w:ascii="微软雅黑" w:hAnsi="微软雅黑"/>
                <w:sz w:val="17"/>
              </w:rPr>
              <w:t>131.88</w:t>
            </w:r>
            <w:r>
              <w:rPr>
                <w:rFonts w:ascii="微软雅黑" w:hAnsi="微软雅黑" w:eastAsia="微软雅黑"/>
                <w:sz w:val="17"/>
              </w:rPr>
              <w:t>／</w:t>
            </w:r>
            <w:r>
              <w:rPr>
                <w:rFonts w:eastAsia="微软雅黑" w:ascii="微软雅黑" w:hAnsi="微软雅黑"/>
                <w:sz w:val="17"/>
              </w:rPr>
              <w:t>198.41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40.82%</w:t>
            </w:r>
            <w:r>
              <w:rPr>
                <w:rFonts w:ascii="微软雅黑" w:hAnsi="微软雅黑" w:eastAsia="微软雅黑"/>
                <w:sz w:val="17"/>
              </w:rPr>
              <w:t>／</w:t>
            </w:r>
            <w:r>
              <w:rPr>
                <w:rFonts w:eastAsia="微软雅黑" w:ascii="微软雅黑" w:hAnsi="微软雅黑"/>
                <w:sz w:val="17"/>
              </w:rPr>
              <w:t>46.27%</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全球品牌与工业复利候选</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43.39</w:t>
            </w:r>
            <w:r>
              <w:rPr>
                <w:rFonts w:ascii="微软雅黑" w:hAnsi="微软雅黑" w:eastAsia="微软雅黑"/>
                <w:sz w:val="17"/>
              </w:rPr>
              <w:t>／</w:t>
            </w:r>
            <w:r>
              <w:rPr>
                <w:rFonts w:eastAsia="微软雅黑" w:ascii="微软雅黑" w:hAnsi="微软雅黑"/>
                <w:sz w:val="17"/>
              </w:rPr>
              <w:t>171.53</w:t>
            </w:r>
            <w:r>
              <w:rPr>
                <w:rFonts w:ascii="微软雅黑" w:hAnsi="微软雅黑" w:eastAsia="微软雅黑"/>
                <w:sz w:val="17"/>
              </w:rPr>
              <w:t>／</w:t>
            </w:r>
            <w:r>
              <w:rPr>
                <w:rFonts w:eastAsia="微软雅黑" w:ascii="微软雅黑" w:hAnsi="微软雅黑"/>
                <w:sz w:val="17"/>
              </w:rPr>
              <w:t>306.53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83.16%</w:t>
            </w:r>
            <w:r>
              <w:rPr>
                <w:rFonts w:ascii="微软雅黑" w:hAnsi="微软雅黑" w:eastAsia="微软雅黑"/>
                <w:sz w:val="17"/>
              </w:rPr>
              <w:t>／</w:t>
            </w:r>
            <w:r>
              <w:rPr>
                <w:rFonts w:eastAsia="微软雅黑" w:ascii="微软雅黑" w:hAnsi="微软雅黑"/>
                <w:sz w:val="17"/>
              </w:rPr>
              <w:t>101.31%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重视资本纪律的长期候选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39.93</w:t>
            </w:r>
            <w:r>
              <w:rPr>
                <w:rFonts w:ascii="微软雅黑" w:hAnsi="微软雅黑" w:eastAsia="微软雅黑"/>
                <w:sz w:val="17"/>
              </w:rPr>
              <w:t>／</w:t>
            </w:r>
            <w:r>
              <w:rPr>
                <w:rFonts w:eastAsia="微软雅黑" w:ascii="微软雅黑" w:hAnsi="微软雅黑"/>
                <w:sz w:val="17"/>
              </w:rPr>
              <w:t>212.29</w:t>
            </w:r>
            <w:r>
              <w:rPr>
                <w:rFonts w:ascii="微软雅黑" w:hAnsi="微软雅黑" w:eastAsia="微软雅黑"/>
                <w:sz w:val="17"/>
              </w:rPr>
              <w:t>／</w:t>
            </w:r>
            <w:r>
              <w:rPr>
                <w:rFonts w:eastAsia="微软雅黑" w:ascii="微软雅黑" w:hAnsi="微软雅黑"/>
                <w:sz w:val="17"/>
              </w:rPr>
              <w:t>453.06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126.68%</w:t>
            </w:r>
            <w:r>
              <w:rPr>
                <w:rFonts w:ascii="微软雅黑" w:hAnsi="微软雅黑" w:eastAsia="微软雅黑"/>
                <w:sz w:val="17"/>
              </w:rPr>
              <w:t>／</w:t>
            </w:r>
            <w:r>
              <w:rPr>
                <w:rFonts w:eastAsia="微软雅黑" w:ascii="微软雅黑" w:hAnsi="微软雅黑"/>
                <w:sz w:val="17"/>
              </w:rPr>
              <w:t>160.85%</w:t>
            </w:r>
          </w:p>
        </w:tc>
      </w:tr>
    </w:tbl>
    <w:p>
      <w:pPr>
        <w:pStyle w:val="Normal"/>
        <w:rPr/>
      </w:pPr>
      <w:r>
        <w:rPr/>
      </w:r>
    </w:p>
    <w:p>
      <w:pPr>
        <w:pStyle w:val="Normal"/>
        <w:rPr/>
      </w:pPr>
      <w:r>
        <w:rPr/>
        <w:t>未来累计现金股息半年</w:t>
      </w:r>
      <w:r>
        <w:rPr/>
        <w:t>0</w:t>
      </w:r>
      <w:r>
        <w:rPr/>
        <w:t>／</w:t>
      </w:r>
      <w:r>
        <w:rPr/>
        <w:t>0.55</w:t>
      </w:r>
      <w:r>
        <w:rPr/>
        <w:t>／</w:t>
      </w:r>
      <w:r>
        <w:rPr/>
        <w:t>0.60</w:t>
      </w:r>
      <w:r>
        <w:rPr/>
        <w:t>、一年</w:t>
      </w:r>
      <w:r>
        <w:rPr/>
        <w:t>3</w:t>
      </w:r>
      <w:r>
        <w:rPr/>
        <w:t>／</w:t>
      </w:r>
      <w:r>
        <w:rPr/>
        <w:t>5.1</w:t>
      </w:r>
      <w:r>
        <w:rPr/>
        <w:t>／</w:t>
      </w:r>
      <w:r>
        <w:rPr/>
        <w:t>6</w:t>
      </w:r>
      <w:r>
        <w:rPr/>
        <w:t>、三年</w:t>
      </w:r>
      <w:r>
        <w:rPr/>
        <w:t>9</w:t>
      </w:r>
      <w:r>
        <w:rPr/>
        <w:t>／</w:t>
      </w:r>
      <w:r>
        <w:rPr/>
        <w:t>17</w:t>
      </w:r>
      <w:r>
        <w:rPr/>
        <w:t>／</w:t>
      </w:r>
      <w:r>
        <w:rPr/>
        <w:t>22</w:t>
      </w:r>
      <w:r>
        <w:rPr/>
        <w:t>、五年</w:t>
      </w:r>
      <w:r>
        <w:rPr/>
        <w:t>15</w:t>
      </w:r>
      <w:r>
        <w:rPr/>
        <w:t>／</w:t>
      </w:r>
      <w:r>
        <w:rPr/>
        <w:t>32</w:t>
      </w:r>
      <w:r>
        <w:rPr/>
        <w:t>／</w:t>
      </w:r>
      <w:r>
        <w:rPr/>
        <w:t>46</w:t>
      </w:r>
      <w:r>
        <w:rPr/>
        <w:t>港元，均为研究假设；已在</w:t>
      </w:r>
      <w:r>
        <w:rPr/>
        <w:t>2026</w:t>
      </w:r>
      <w:r>
        <w:rPr/>
        <w:t>年</w:t>
      </w:r>
      <w:r>
        <w:rPr/>
        <w:t>7</w:t>
      </w:r>
      <w:r>
        <w:rPr/>
        <w:t>月支付的</w:t>
      </w:r>
      <w:r>
        <w:rPr/>
        <w:t>4.36734</w:t>
      </w:r>
      <w:r>
        <w:rPr/>
        <w:t>港元不计未来回报。</w:t>
      </w:r>
      <w:r>
        <w:rPr/>
        <w:t>2026</w:t>
      </w:r>
      <w:r>
        <w:rPr/>
        <w:t>中期拟派</w:t>
      </w:r>
      <w:r>
        <w:rPr/>
        <w:t>0.5</w:t>
      </w:r>
      <w:r>
        <w:rPr/>
        <w:t>人民币每股，截至基准日仍待</w:t>
      </w:r>
      <w:r>
        <w:rPr/>
        <w:t>10</w:t>
      </w:r>
      <w:r>
        <w:rPr/>
        <w:t>月</w:t>
      </w:r>
      <w:r>
        <w:rPr/>
        <w:t>13</w:t>
      </w:r>
      <w:r>
        <w:rPr/>
        <w:t>日股东会批准，港币换算、登记日和税务细节未确定。基准三年、五年含息年化</w:t>
      </w:r>
      <w:r>
        <w:rPr/>
        <w:t>26.27%</w:t>
      </w:r>
      <w:r>
        <w:rPr/>
        <w:t>、</w:t>
      </w:r>
      <w:r>
        <w:rPr/>
        <w:t>21.14%</w:t>
      </w:r>
      <w:r>
        <w:rPr/>
        <w:t>，来自进取增长和适度估值提升假设，非公司指引。</w:t>
      </w:r>
    </w:p>
    <w:p>
      <w:pPr>
        <w:pStyle w:val="Normal"/>
        <w:rPr/>
      </w:pPr>
      <w:r>
        <w:rPr/>
        <w:t>年底悲观／基准／乐观</w:t>
      </w:r>
      <w:r>
        <w:rPr/>
        <w:t>56.59</w:t>
      </w:r>
      <w:r>
        <w:rPr/>
        <w:t>／</w:t>
      </w:r>
      <w:r>
        <w:rPr/>
        <w:t>109.24</w:t>
      </w:r>
      <w:r>
        <w:rPr/>
        <w:t>／</w:t>
      </w:r>
      <w:r>
        <w:rPr/>
        <w:t>147.28</w:t>
      </w:r>
      <w:r>
        <w:rPr/>
        <w:t>港元，股价回报−</w:t>
      </w:r>
      <w:r>
        <w:rPr/>
        <w:t>39.57%</w:t>
      </w:r>
      <w:r>
        <w:rPr/>
        <w:t>／</w:t>
      </w:r>
      <w:r>
        <w:rPr/>
        <w:t>+16.65%</w:t>
      </w:r>
      <w:r>
        <w:rPr/>
        <w:t>／</w:t>
      </w:r>
      <w:r>
        <w:rPr/>
        <w:t>+57.27%</w:t>
      </w:r>
      <w:r>
        <w:rPr/>
        <w:t>。默认</w:t>
      </w:r>
      <w:r>
        <w:rPr/>
        <w:t>25%</w:t>
      </w:r>
      <w:r>
        <w:rPr/>
        <w:t>／</w:t>
      </w:r>
      <w:r>
        <w:rPr/>
        <w:t>50%</w:t>
      </w:r>
      <w:r>
        <w:rPr/>
        <w:t>／</w:t>
      </w:r>
      <w:r>
        <w:rPr/>
        <w:t>25%</w:t>
      </w:r>
      <w:r>
        <w:rPr/>
        <w:t>权重期望</w:t>
      </w:r>
      <w:r>
        <w:rPr/>
        <w:t>105.5875</w:t>
      </w:r>
      <w:r>
        <w:rPr/>
        <w:t>港元、</w:t>
      </w:r>
      <w:r>
        <w:rPr/>
        <w:t>+12.75%</w:t>
      </w:r>
      <w:r>
        <w:rPr/>
        <w:t>；防御权重</w:t>
      </w:r>
      <w:r>
        <w:rPr/>
        <w:t>40%</w:t>
      </w:r>
      <w:r>
        <w:rPr/>
        <w:t>／</w:t>
      </w:r>
      <w:r>
        <w:rPr/>
        <w:t>50%</w:t>
      </w:r>
      <w:r>
        <w:rPr/>
        <w:t>／</w:t>
      </w:r>
      <w:r>
        <w:rPr/>
        <w:t>10%</w:t>
      </w:r>
      <w:r>
        <w:rPr/>
        <w:t>期望</w:t>
      </w:r>
      <w:r>
        <w:rPr/>
        <w:t>91.984</w:t>
      </w:r>
      <w:r>
        <w:rPr/>
        <w:t>港元、−</w:t>
      </w:r>
      <w:r>
        <w:rPr/>
        <w:t>1.78%</w:t>
      </w:r>
      <w:r>
        <w:rPr/>
        <w:t>，积极</w:t>
      </w:r>
      <w:r>
        <w:rPr/>
        <w:t>10%</w:t>
      </w:r>
      <w:r>
        <w:rPr/>
        <w:t>／</w:t>
      </w:r>
      <w:r>
        <w:rPr/>
        <w:t>50%</w:t>
      </w:r>
      <w:r>
        <w:rPr/>
        <w:t>／</w:t>
      </w:r>
      <w:r>
        <w:rPr/>
        <w:t>40%</w:t>
      </w:r>
      <w:r>
        <w:rPr/>
        <w:t>期望</w:t>
      </w:r>
      <w:r>
        <w:rPr/>
        <w:t>119.191</w:t>
      </w:r>
      <w:r>
        <w:rPr/>
        <w:t>港元、</w:t>
      </w:r>
      <w:r>
        <w:rPr/>
        <w:t>+27.27%</w:t>
      </w:r>
      <w:r>
        <w:rPr/>
        <w:t>。权重属于判断假设；区间不表示置信区间或最大损失。</w:t>
      </w:r>
    </w:p>
    <w:p>
      <w:pPr>
        <w:pStyle w:val="Normal"/>
        <w:rPr/>
      </w:pPr>
      <w:r>
        <w:rPr/>
        <w:t>成立条件：海外自有品牌与国内零售效率改善，楼宇和工业业务增量能转为利润及现金，正常归母利润率保持韧性，回购不被激励或再融资完全抵消。主要风险：国内消费与渠道调整、原料与汇率、贸易政策、工业客户投资周期、海外并购整合、财务投资波动与股数稀释。全名单名次由总表计算，得分不解释为获利概率。</w:t>
      </w:r>
    </w:p>
    <w:p>
      <w:pPr>
        <w:pStyle w:val="Heading2"/>
        <w:rPr/>
      </w:pPr>
      <w:r>
        <w:rPr>
          <w:color w:val="000000"/>
        </w:rPr>
        <w:t>一 应当解决的投资问题</w:t>
      </w:r>
    </w:p>
    <w:p>
      <w:pPr>
        <w:pStyle w:val="Normal"/>
        <w:rPr/>
      </w:pPr>
      <w:r>
        <w:rPr/>
        <w:t>美的最有价值的研究问题是，成熟家电形成的现金是否能持续转化成全球品牌和工业能力，并最终提高普通股每股现金回报。国内大规模供应链、渠道、研发与制造基础已有较长历史，海外自有品牌和楼宇、机器人等业务又扩展了收入来源。规模并不自动创造复利，品牌推广、本土工厂、并购和工业项目都需要资本。推荐必须同时证明已有业务质量、增长投资回报和股东资本分配，而不能只根据集团跨越多个热门行业提高倍数。</w:t>
      </w:r>
    </w:p>
    <w:p>
      <w:pPr>
        <w:pStyle w:val="Normal"/>
        <w:rPr/>
      </w:pPr>
      <w:r>
        <w:rPr/>
        <w:t>价格九十三点六五港元代表一股</w:t>
      </w:r>
      <w:r>
        <w:rPr/>
        <w:t>H</w:t>
      </w:r>
      <w:r>
        <w:rPr/>
        <w:t>股，经济权益来自同一集团的全部业务。</w:t>
      </w:r>
      <w:r>
        <w:rPr/>
        <w:t>H</w:t>
      </w:r>
      <w:r>
        <w:rPr/>
        <w:t>股报价显示的流通市值只是港股这一部分股数乘价格，不是集团全部权益市场价值。现金、归母利润与总股数都属于集团层面，若将全部利润除</w:t>
      </w:r>
      <w:r>
        <w:rPr/>
        <w:t>H</w:t>
      </w:r>
      <w:r>
        <w:rPr/>
        <w:t>股股数，就会极大高估每股盈利。模型使用全部未来摊薄普通股，并单列</w:t>
      </w:r>
      <w:r>
        <w:rPr/>
        <w:t>H</w:t>
      </w:r>
      <w:r>
        <w:rPr/>
        <w:t>股证券的港币目标价。</w:t>
      </w:r>
      <w:r>
        <w:rPr/>
        <w:t>A</w:t>
      </w:r>
      <w:r>
        <w:rPr/>
        <w:t>股行情没有纳入本证券清单，也没有因两地上市而把同一个经营资产重复计算两次。</w:t>
      </w:r>
    </w:p>
    <w:p>
      <w:pPr>
        <w:pStyle w:val="Normal"/>
        <w:rPr/>
      </w:pPr>
      <w:r>
        <w:rPr/>
        <w:t>本章进取推荐并不追求最大的表面涨幅。美的经营和资本实力较强，但体量已大，未来收入翻倍比小型公司更需要市场份额、产品结构和长期投资支持。高质量成熟企业可能提供较稳健的复利，也可能因估值过高而几年回报有限。半年评分较长期低，原因是短期趋势和消费周期没有充分验证；五年评分较高，主要来自业务质量、全球需求与资本分配的可持续性，仍保留工业利润和海外品牌失败路径。</w:t>
      </w:r>
    </w:p>
    <w:p>
      <w:pPr>
        <w:pStyle w:val="Normal"/>
        <w:rPr/>
      </w:pPr>
      <w:r>
        <w:rPr/>
        <w:t>判断公司转型是否有效，需要观察它究竟卖出更多高利润产品，还是只通过收购扩大收入。家电、工业零部件、工程系统、机器人与医疗有不同客户、订单周期、交付责任和现金占用，不能统一用互联网平台的边际成本逻辑。集团有供应链、渠道和研发共享优势，业务之间仍可能存在资源争夺。持续扩大管理跨度会要求组织、内控和人才更强，本章把这种复杂性放入资本回报和风险评分，避免多元化只计好处。</w:t>
      </w:r>
    </w:p>
    <w:p>
      <w:pPr>
        <w:pStyle w:val="Heading2"/>
        <w:rPr/>
      </w:pPr>
      <w:r>
        <w:rPr>
          <w:color w:val="000000"/>
        </w:rPr>
        <w:t>二 业务口径与收入边界</w:t>
      </w:r>
    </w:p>
    <w:p>
      <w:pPr>
        <w:pStyle w:val="Normal"/>
        <w:rPr/>
      </w:pPr>
      <w:r>
        <w:rPr/>
        <w:t>二零二五年</w:t>
      </w:r>
      <w:r>
        <w:rPr/>
        <w:t>H</w:t>
      </w:r>
      <w:r>
        <w:rPr/>
        <w:t>股</w:t>
      </w:r>
      <w:r>
        <w:rPr/>
        <w:t>IFRS</w:t>
      </w:r>
      <w:r>
        <w:rPr/>
        <w:t>收入四千五百八十五点零二四亿元，</w:t>
      </w:r>
      <w:r>
        <w:rPr/>
        <w:t>A</w:t>
      </w:r>
      <w:r>
        <w:rPr/>
        <w:t>股准则营业收入四千五百六十四点五一七亿元，两者不能互换。</w:t>
      </w:r>
      <w:r>
        <w:rPr/>
        <w:t>IFRS</w:t>
      </w:r>
      <w:r>
        <w:rPr/>
        <w:t>总收入包含集团金融服务利息及手续费，</w:t>
      </w:r>
      <w:r>
        <w:rPr/>
        <w:t>A</w:t>
      </w:r>
      <w:r>
        <w:rPr/>
        <w:t>股营业收入的定义不同。二零二六半年</w:t>
      </w:r>
      <w:r>
        <w:rPr/>
        <w:t>IFRS</w:t>
      </w:r>
      <w:r>
        <w:rPr/>
        <w:t>总收入二千六百一十点五二四亿元，其中营业收入二千六百点四二五亿元、金融服务利息十点零九七亿元及少量手续费。估值采用总收入与相应正常归母利润率一致配对，历史</w:t>
      </w:r>
      <w:r>
        <w:rPr/>
        <w:t>A</w:t>
      </w:r>
      <w:r>
        <w:rPr/>
        <w:t>股扣非数据另作利润质量参考。</w:t>
      </w:r>
    </w:p>
    <w:p>
      <w:pPr>
        <w:pStyle w:val="Normal"/>
        <w:rPr/>
      </w:pPr>
      <w:r>
        <w:rPr/>
        <w:t>二零二五年管理产品口径智能家居收入二千九百九十九点二七二亿元，商业与工业解决方案一千二百二十七点五三零亿元。后者包括楼宇科技三百五十七点九零八亿元、机器人与自动化三百一十点一零九亿元、工业技术二百七十二点三二四亿元和其他业务。它们是同一组产品收入的拆分，不能再将</w:t>
      </w:r>
      <w:r>
        <w:rPr/>
        <w:t>ToB</w:t>
      </w:r>
      <w:r>
        <w:rPr/>
        <w:t>合计叠加四块收入。海外收入又是地域分类，与家居和工业交叉，不能在产品收入上再添加海外总额。</w:t>
      </w:r>
    </w:p>
    <w:p>
      <w:pPr>
        <w:pStyle w:val="Normal"/>
        <w:rPr/>
      </w:pPr>
      <w:r>
        <w:rPr/>
        <w:t>二零二六半年管理口径智能家居一千七百四十三点四零六亿元、商业与工业六百六十六点六六一亿元，分别增长百分之四点三和百分之三点三。楼宇二百一十六点二五一亿元、机器人一百六十六点二零八亿元、工业一百三十一点三七七亿元、其他商业一百五十二点八二五亿元，加起来是</w:t>
      </w:r>
      <w:r>
        <w:rPr/>
        <w:t>ToB</w:t>
      </w:r>
      <w:r>
        <w:rPr/>
        <w:t>合计。楼宇和机器人双位数增长，工业技术却下降百分之十二点七，说明业务组合有不同周期，不能把单个亮点推广成所有工业业务高速增长。</w:t>
      </w:r>
    </w:p>
    <w:p>
      <w:pPr>
        <w:pStyle w:val="Normal"/>
        <w:rPr/>
      </w:pPr>
      <w:r>
        <w:rPr/>
        <w:t>IFRS</w:t>
      </w:r>
      <w:r>
        <w:rPr/>
        <w:t>法定分部附注的外部收入智能家居一千九百零八点五八一亿元、楼宇二百零八点二七九亿元、工业一百六十二点六六四亿元、其他三百三十一点零零一亿元，与管理产品分类不同。分部还列内部收入及抵销，制造零部件可能既供集团也供外部，必须消除内部销售。产品表用于讨论需求结构，法定分部用于检验利润与资产归属。本章不把两套分部相加，也不以管理层口径利润率冒充法定分部利润率。</w:t>
      </w:r>
    </w:p>
    <w:p>
      <w:pPr>
        <w:pStyle w:val="Normal"/>
        <w:rPr/>
      </w:pPr>
      <w:r>
        <w:rPr/>
        <w:t>原材料销售及其他业务规模不能与自有品牌家电获得相同质量评价。原料转售或配套业务可能收入较大、利润率较低，增长可能没有同样的品牌或技术壁垒。金融服务收入依赖贷款和财资安排，不能理解成家电客户的重复订阅。模型总净利率综合反映组合变化，独立讨论每块收入的经济实质，避免营收增长被误读成所有收入都有同等现金价值。未来若低利润其他业务占比上升，总收入和每股利润可能明显分化。</w:t>
      </w:r>
    </w:p>
    <w:p>
      <w:pPr>
        <w:pStyle w:val="Heading2"/>
        <w:rPr/>
      </w:pPr>
      <w:r>
        <w:rPr>
          <w:color w:val="000000"/>
        </w:rPr>
        <w:t>三 国内家电的真实需求与竞争</w:t>
      </w:r>
    </w:p>
    <w:p>
      <w:pPr>
        <w:pStyle w:val="Normal"/>
        <w:rPr/>
      </w:pPr>
      <w:r>
        <w:rPr/>
        <w:t>国内家电主要依赖存量更新、家庭改善和部分新增住房需求。空调、冰洗与厨房设备寿命较长，更新意愿受收入预期、居住稳定性、使用体验与价格影响。补贴可以把需求提前，但不会使每个家庭每年新增一套家电；前年购买增加可能形成后年基期压力。美的产品和渠道范围较广，可通过市场份额与结构升级缓冲行业波动，仍无法完全摆脱总需求。研究要区分出厂、渠道补库存与终端消费，不只观察季度收入同比。</w:t>
      </w:r>
    </w:p>
    <w:p>
      <w:pPr>
        <w:pStyle w:val="Normal"/>
        <w:rPr/>
      </w:pPr>
      <w:r>
        <w:rPr/>
        <w:t>公司半年国内地域收入一千四百七十九点二五四亿元，增长约百分之一点九；该数字包括国内家电与工业等业务，不是纯国内家电增速。集团总收入仍增长，可能部分由海外及工业贡献，对国内消费判断不能直接套用集团增速。半年毛利率下降和工业零部件需求较弱均说明逆风存在。需求趋稳需要零售、渠道库存与利润同步证据，单靠炎热天气或节日促销，无法证明持续恢复。本章近端基准只要求渐进修复，未设全面繁荣。</w:t>
      </w:r>
    </w:p>
    <w:p>
      <w:pPr>
        <w:pStyle w:val="Normal"/>
        <w:rPr/>
      </w:pPr>
      <w:r>
        <w:rPr/>
        <w:t>传统白电竞争包括产品性能、制造效率、品牌、安装售后、渠道与价格。规模优势能降低采购与制造成本，消费者也可能愿意为可靠服务支付溢价；竞争者仍可以用低价或专用功能争夺市场。空调份额提升可能通过价格让利实现，如果市场份额增加而毛利持续下滑，每股利润未必更高。更有价值的优势是既留住消费者又保持合理收益，研究不根据品牌熟悉度直接给予永久定价权，也不把渠道覆盖当不可突破壁垒。</w:t>
      </w:r>
    </w:p>
    <w:p>
      <w:pPr>
        <w:pStyle w:val="Normal"/>
        <w:rPr/>
      </w:pPr>
      <w:r>
        <w:rPr/>
        <w:t>高端化需要差异化产品带来真实便利，而不是单纯提高型号价格。低噪音、节能、空间利用、清洁和安全等改进更容易形成消费理由，用户仍会比较同类产品。高价品牌若依赖大量营销、折扣和售后，毛利提高也可能被销售费用抵消。美的多品牌布局可以覆盖不同客群，但必须避免定位重叠和内部价格竞争。长期基准利润率提高建立在产品结构与渠道效率共同改善，若只有标价提高而实际成交价下降，应撤销相应改善假设。</w:t>
      </w:r>
    </w:p>
    <w:p>
      <w:pPr>
        <w:pStyle w:val="Normal"/>
        <w:rPr/>
      </w:pPr>
      <w:r>
        <w:rPr/>
        <w:t>消费趋于谨慎时，集团可能通过减少复杂型号、加强标准化和零售运营维持盈利。这样的降本具有价值，也有边界：过度削减品类可能丢失小众需求，过度降低营销可能影响海外品牌建设，削弱售后会伤害复购。半年研发和销售费用变化需要结合产品更新节奏理解，不能将每一次费用下降都视为永久效率提升。最强的证据是经过竞争与需求逆风仍有稳定现金、服务体验和市场份额，而非仅财务表上的当期费率更低。</w:t>
      </w:r>
    </w:p>
    <w:p>
      <w:pPr>
        <w:pStyle w:val="Heading2"/>
        <w:rPr/>
      </w:pPr>
      <w:r>
        <w:rPr>
          <w:color w:val="000000"/>
        </w:rPr>
        <w:t>四 渠道改革与国内盈利</w:t>
      </w:r>
    </w:p>
    <w:p>
      <w:pPr>
        <w:pStyle w:val="Normal"/>
        <w:rPr/>
      </w:pPr>
      <w:r>
        <w:rPr/>
        <w:t>传统家电链条涉及制造商、区域代理、经销商、零售店、平台与安装服务。各层库存和信用支持可以扩展销售，也可能遮蔽真实需求和放大冷年开盘波动。公司推进</w:t>
      </w:r>
      <w:r>
        <w:rPr/>
        <w:t>DTC</w:t>
      </w:r>
      <w:r>
        <w:rPr/>
        <w:t>改革，更靠近终端零售和用户，以数据优化补货、型号和定价，理论上可以减少中间成本。实际实现需要经销商重新分工、信息系统以及配送售后协同，渠道变革并非一项无成本软件升级。短期出厂节奏变化可能扰动收入，长期成功需要零售和现金改善。</w:t>
      </w:r>
    </w:p>
    <w:p>
      <w:pPr>
        <w:pStyle w:val="Normal"/>
        <w:rPr/>
      </w:pPr>
      <w:r>
        <w:rPr/>
        <w:t>半年销售与营销费用二百一十五点四五七亿元，比上年约二百三十点五二六亿元减少，费率约从百分之九点一降至百分之八点三。公司解释涉及缩短分销链、简化型号与数字效率。费用节约支持利润韧性，仍须辨别是结构效率、营销时间差，还是需求弱使费用减少。品牌与渠道关系维护不可完全取消，持续改善不能将所有费用下降重复外推。模型正常净利率只作综合假设，不逐条将公司披露的效率百分点再加到利润上。</w:t>
      </w:r>
    </w:p>
    <w:p>
      <w:pPr>
        <w:pStyle w:val="Normal"/>
        <w:rPr/>
      </w:pPr>
      <w:r>
        <w:rPr/>
        <w:t>近期摩根大通新闻讨论取消空调冷年开盘可能带来短期阵痛与渠道改善，本章把它视为机构关于渠道改革的观察，尚未取得完整公司制度原件。不能据此断言全年渠道库存已下降或终端毛利已提升。研究关注的验证问题是补货是否更贴近实际销售、经销商现金压力是否改善，以及新的激励是否减少一次性压货。若改革仅改变会计季节分布，长期估值不应因此单独提高；若真实降低库存和信用风险，才可提高经营质量判断。</w:t>
      </w:r>
    </w:p>
    <w:p>
      <w:pPr>
        <w:pStyle w:val="Normal"/>
        <w:rPr/>
      </w:pPr>
      <w:r>
        <w:rPr/>
        <w:t>线上、线下与直营不是简单替代关系。线上可以扩大触达和价格透明，线下仍提供体验、安装咨询与本地服务；大型电商平台会要求推广与促销支出。公司需要把不同渠道的数据和履约连接，避免同款价差损害经销商与品牌。直达消费者也可能增加公司承担的仓配、客服和售后义务。净渠道节约应看集团总费用及现金，而非只看减少一个代理环节，乐观情景需要低成本与服务质量同时成立。</w:t>
      </w:r>
    </w:p>
    <w:p>
      <w:pPr>
        <w:pStyle w:val="Heading2"/>
        <w:rPr/>
      </w:pPr>
      <w:r>
        <w:rPr>
          <w:color w:val="000000"/>
        </w:rPr>
        <w:t>五 海外自有品牌与本土经营</w:t>
      </w:r>
    </w:p>
    <w:p>
      <w:pPr>
        <w:pStyle w:val="Normal"/>
        <w:rPr/>
      </w:pPr>
      <w:r>
        <w:rPr/>
        <w:t>二零二五年</w:t>
      </w:r>
      <w:r>
        <w:rPr/>
        <w:t>A</w:t>
      </w:r>
      <w:r>
        <w:rPr/>
        <w:t>股地域口径海外收入一千九百五十九点四七七亿元，同比增长百分之十五点九二；二零二六半年</w:t>
      </w:r>
      <w:r>
        <w:rPr/>
        <w:t>IFRS</w:t>
      </w:r>
      <w:r>
        <w:rPr/>
        <w:t>其他地区收入一千一百三十一点二七零亿元，增长百分之五点五。基数、地域、产品组合和汇率不同，不能只用较高年度增速外推下一年。海外仍是集团的重要增长支柱，速度已有放缓。半年海外占总收入百分之四十三点三，提供地域多样性，又增加全球汇率、贸易与渠道风险，本章不将全球化完全视为周期对冲。</w:t>
      </w:r>
    </w:p>
    <w:p>
      <w:pPr>
        <w:pStyle w:val="Normal"/>
        <w:rPr/>
      </w:pPr>
      <w:r>
        <w:rPr/>
        <w:t>公司披露二零二五年智能家居海外</w:t>
      </w:r>
      <w:r>
        <w:rPr/>
        <w:t>OBM</w:t>
      </w:r>
      <w:r>
        <w:rPr/>
        <w:t>占比超过百分之四十五，半年提高至超过百分之五十。这是海外家居内部的自有品牌比例，不是集团海外全部收入，也不是自有品牌利润率。</w:t>
      </w:r>
      <w:r>
        <w:rPr/>
        <w:t>ODM</w:t>
      </w:r>
      <w:r>
        <w:rPr/>
        <w:t>业务提供制造规模和客户关系，自有品牌则承担品牌、渠道、库存和服务成本，长期可取得更多价值但转换初期未必立即增利。模型品牌增长需要零售和正常利润共同验证，不能将比例提高直接乘固定高倍数给独立资产加值。</w:t>
      </w:r>
    </w:p>
    <w:p>
      <w:pPr>
        <w:pStyle w:val="Normal"/>
        <w:rPr/>
      </w:pPr>
      <w:r>
        <w:rPr/>
        <w:t>东芝、美的和</w:t>
      </w:r>
      <w:r>
        <w:rPr/>
        <w:t>Comfee</w:t>
      </w:r>
      <w:r>
        <w:rPr/>
        <w:t>等品牌面向不同市场与客群，公司需要理解当地生活方式、尺寸、能源价格、渠道和服务标准。海外工厂与研发靠近用户，有助于提升适配并缓冲部分贸易障碍，也有工人、质量、本地管理和投资回报挑战。品牌转型需要长期积累消费者信任，单一国家增长不能保证其他市场复制。研究关注多国零售规模、渠道覆盖与本土服务是否同步发展，而不把海外收入都当成中国成本优势的无风险延伸。</w:t>
      </w:r>
    </w:p>
    <w:p>
      <w:pPr>
        <w:pStyle w:val="Normal"/>
        <w:rPr/>
      </w:pPr>
      <w:r>
        <w:rPr/>
        <w:t>欧洲机会包括空调渗透、建筑能效改造和暖通设备升级，气候、能源价格与监管共同影响需求。高能效产品可降低使用成本，消费者仍受初始购买预算限制；补贴、技术规范和建筑改造工程也可能变化。欧洲品牌整合提供本土渠道与技术，但不同产品标准、分销组织和工会安排需要协调。乐观估值中的海外增长必须有本土利润和现金，不能把欧洲总体节能投资金额直接当美的收入，更不能认为天气趋热就保证年年高增长。</w:t>
      </w:r>
    </w:p>
    <w:p>
      <w:pPr>
        <w:pStyle w:val="Normal"/>
        <w:rPr/>
      </w:pPr>
      <w:r>
        <w:rPr/>
        <w:t>北美市场涉及本土零售、渠道商、品牌与贸易政策，供应链布局可以分散关税暴露，不能彻底消除原产地、认证或行政限制。新闻出现的具体税率有商品类别、时间和政策适用差异，本章未以其作为已核永久税率。成本究竟由供应商、品牌、零售与消费者分担，取决于竞争和合同；提价可能降低销量，转移产地又增加投资。悲观情景同时降低正常利润率和估值，体现贸易逆风可能影响经营与风险溢价。</w:t>
      </w:r>
    </w:p>
    <w:p>
      <w:pPr>
        <w:pStyle w:val="Normal"/>
        <w:rPr/>
      </w:pPr>
      <w:r>
        <w:rPr/>
        <w:t>新兴市场提供城镇化、收入提升与空调普及机会，电力供应、汇率、融资和渠道信用也更不稳定。全球分布可减少依赖单一国家，却使集团管理多个信用与政策周期。收入以人民币换算时，本币增长可能被汇率抵消；当地成本匹配销售可形成自然对冲，进口零部件仍可能暴露。十年展望需要每个市场有可持续本地需求与盈利，不能仅按人口规模分配收入。本章未用未知国家订单填造精确远期增长。</w:t>
      </w:r>
    </w:p>
    <w:p>
      <w:pPr>
        <w:pStyle w:val="Heading2"/>
        <w:rPr/>
      </w:pPr>
      <w:r>
        <w:rPr>
          <w:color w:val="000000"/>
        </w:rPr>
        <w:t>六 楼宇科技与节能系统</w:t>
      </w:r>
    </w:p>
    <w:p>
      <w:pPr>
        <w:pStyle w:val="Normal"/>
        <w:rPr/>
      </w:pPr>
      <w:r>
        <w:rPr/>
        <w:t>楼宇科技半年管理口径收入二百一十六点二五一亿元，同比增长百分之十点八，毛利率约百分之二十九点六，略高于去年。它涵盖暖通、楼宇能源、控制与电梯等，多样需求包括医院、数据中心、工业与商业建筑。它比单纯住宅地产设备更分散，但项目仍受客户资本开支和施工付款影响。高毛利系统可以带来服务机会，工程延迟、质量责任和应收账款也更复杂。增长评分看现金转化，不能只根据该业务较高毛利给集团全额溢价。</w:t>
      </w:r>
    </w:p>
    <w:p>
      <w:pPr>
        <w:pStyle w:val="Normal"/>
        <w:rPr/>
      </w:pPr>
      <w:r>
        <w:rPr/>
        <w:t>能效升级价值来自降低客户运行电费、满足可靠性和排放要求。若设备与软件能够共同优化冷源、输配和控制，供应商可以从单机销售扩展到系统服务。客户会比较全生命周期费用、维护和停机风险，采购标准比家电更专业。美的制造和零部件基础有协同，竞争者也有项目经验和国际认证。方案规模扩张要保持售后与项目交付能力，长期基准不假设所有收入立即转为高利润订阅，也不把设备销售和服务重复计算。</w:t>
      </w:r>
    </w:p>
    <w:p>
      <w:pPr>
        <w:pStyle w:val="Normal"/>
        <w:rPr/>
      </w:pPr>
      <w:r>
        <w:rPr/>
        <w:t>数据中心液冷是关注度高的需求，公司半年披露冷源、</w:t>
      </w:r>
      <w:r>
        <w:rPr/>
        <w:t>CDU</w:t>
      </w:r>
      <w:r>
        <w:rPr/>
        <w:t>、终端与运维的技术矩阵及项目。技术覆盖证明产品与研发方向，并不提供本章可核的独立收入、订单毛利或市场份额。液冷客户重视可靠性、兼容、冗余和交付，早期项目可能有验证与定制成本。估值只把它包含在楼宇和集团正常增长假设，未再额外加一个</w:t>
      </w:r>
      <w:r>
        <w:rPr/>
        <w:t>AI</w:t>
      </w:r>
      <w:r>
        <w:rPr/>
        <w:t>资产市值。若未来实际订单与利润独立披露，可以重新分拆，现阶段不能用</w:t>
      </w:r>
      <w:r>
        <w:rPr/>
        <w:t>AI</w:t>
      </w:r>
      <w:r>
        <w:rPr/>
        <w:t>基础设施总投资估美的占比。</w:t>
      </w:r>
    </w:p>
    <w:p>
      <w:pPr>
        <w:pStyle w:val="Normal"/>
        <w:rPr/>
      </w:pPr>
      <w:r>
        <w:rPr/>
        <w:t>住宅与商用暖通受建筑开工、改造和能源政策影响，电梯还受房地产与维护需求。欧洲</w:t>
      </w:r>
      <w:r>
        <w:rPr/>
        <w:t>MBT Climate</w:t>
      </w:r>
      <w:r>
        <w:rPr/>
        <w:t>整合收购品牌能够扩大渠道和产品范围，旧组织、库存、保修与系统整合有实际成本。收购收入并表带来的增长需要与可比有机增长分开，利润率和资本回报更重要。若并购产生大量商誉却现金回款不改善，原有楼宇增长逻辑可能变成资产减值问题。模型没有把收购价格和未来利润价值同时添加到集团权益。</w:t>
      </w:r>
    </w:p>
    <w:p>
      <w:pPr>
        <w:pStyle w:val="Heading2"/>
        <w:rPr/>
      </w:pPr>
      <w:r>
        <w:rPr>
          <w:color w:val="000000"/>
        </w:rPr>
        <w:t>七 机器人 工业零部件与其他</w:t>
      </w:r>
      <w:r>
        <w:rPr>
          <w:color w:val="000000"/>
        </w:rPr>
        <w:t>ToB</w:t>
      </w:r>
    </w:p>
    <w:p>
      <w:pPr>
        <w:pStyle w:val="Normal"/>
        <w:rPr/>
      </w:pPr>
      <w:r>
        <w:rPr/>
        <w:t>机器人与自动化半年管理收入一百六十六点二零八亿元，增长百分之十点三，但毛利率约百分之二十点九，低于去年约百分之二十二点八。收入增长并不表示当期利润等比例增长，产品结构、项目交付和价格可能影响毛利。</w:t>
      </w:r>
      <w:r>
        <w:rPr/>
        <w:t>KUKA</w:t>
      </w:r>
      <w:r>
        <w:rPr/>
        <w:t>中国收入贡献超过集团该业务三成，公司引用行业数据称国内机器人份额提高。该统计需要保留其销售定义，不能直接成为全球份额或每台利润。本章把机器人看作制造周期与技术能力结合的业务，估值要求盈利质量。</w:t>
      </w:r>
    </w:p>
    <w:p>
      <w:pPr>
        <w:pStyle w:val="Normal"/>
        <w:rPr/>
      </w:pPr>
      <w:r>
        <w:rPr/>
        <w:t>工业机器人客户包括汽车、电池、电子、物流及其他制造，需求与产能投资、劳动力成本和工艺升级有关。客户投资高峰可能形成后续低谷，尤其汽车或电池产能过剩时订单会减少。机器人厂商要提供可靠设备、软件、集成和服务，也面对中国本地企业与国际同行竞争。集团内部工厂可验证产品并提供应用场景，但内部采购不能创造集团外部收入。增长模型只计外部经济价值，不将内部自动化节约和相关内部设备销售都作为新增利润。</w:t>
      </w:r>
    </w:p>
    <w:p>
      <w:pPr>
        <w:pStyle w:val="Normal"/>
        <w:rPr/>
      </w:pPr>
      <w:r>
        <w:rPr/>
        <w:t>工业机器人与人形机器人有部分技术共用，商业节奏并不相同。已有机器人有较明确工厂应用和交付标准，人形机器人仍需可靠性、成本与复杂环境泛化验证。参与技术研发或展示样机可以形成学习机会，不能直接推导未来巨额订单。美的拥有制造、执行与工业场景基础，仍应以真实客户支付和现金回报衡量。长期乐观已允许工业能力增长，不另外添加未经披露的人形机器人永续价值，防止同一技术前景在增长和估值重复过度计价。</w:t>
      </w:r>
    </w:p>
    <w:p>
      <w:pPr>
        <w:pStyle w:val="Normal"/>
        <w:rPr/>
      </w:pPr>
      <w:r>
        <w:rPr/>
        <w:t>工业技术涵盖压缩机、电机、控制与相关部件，对下游家电周期较敏感。半年收入下降百分之十二点七，管理层解释国内家电特别空调行业规模下降；毛利率约百分之十四点八，也低于去年。较大市场份额并不能隔绝客户需求和价格压力，零部件在行业低迷时可能承受更强议价。制造技术和规模可以提高恢复速度，研究需要订单、利用率、售价和资本开支证据。若用过去旺季利润估值，容易把周期高点当正常水平。</w:t>
      </w:r>
    </w:p>
    <w:p>
      <w:pPr>
        <w:pStyle w:val="Normal"/>
        <w:rPr/>
      </w:pPr>
      <w:r>
        <w:rPr/>
        <w:t>威灵汽车、储能、医疗和其他业务拓展客户与技术边界，利润结构各异。汽车零部件有验证周期和质量责任，储能有价格、技术和保修风险，医疗有监管和渠道要求。部分员工持股与子公司融资可能激励团队，也改变母公司经济归属。模型净利率已按归母口径和常态激励成本设定，没有把所有子公司未来利润全给上市母公司。若业务独立融资或分拆，必须更新持股、税和稀释，不能只将融资估值当额外股东收益。</w:t>
      </w:r>
    </w:p>
    <w:p>
      <w:pPr>
        <w:pStyle w:val="Normal"/>
        <w:rPr/>
      </w:pPr>
      <w:r>
        <w:rPr/>
        <w:t>ToB</w:t>
      </w:r>
      <w:r>
        <w:rPr/>
        <w:t>增长是否能提高集团估值取决于质量，而不是名称。半年商业与工业合计增长百分之三点三，楼宇和机器人较好，零部件弱，两者共同表明转型仍在跨周期验证。工程应收、服务、研发、资产利用与客户集中度会决定现金回报。长期本章支持逐渐多样化和技术升级，拒绝用一个统一高销售倍数替代真实利润。若新增工业收入占比提高而集团自由现金和每股盈利下降，应降低商业质量评分，而非因为跨入更多行业持续提高目标倍数。</w:t>
      </w:r>
    </w:p>
    <w:p>
      <w:pPr>
        <w:pStyle w:val="Heading2"/>
        <w:rPr/>
      </w:pPr>
      <w:r>
        <w:rPr>
          <w:color w:val="000000"/>
        </w:rPr>
        <w:t>八 研发 数字化与组织优势</w:t>
      </w:r>
    </w:p>
    <w:p>
      <w:pPr>
        <w:pStyle w:val="Normal"/>
        <w:rPr/>
      </w:pPr>
      <w:r>
        <w:rPr/>
        <w:t>二零二五年</w:t>
      </w:r>
      <w:r>
        <w:rPr/>
        <w:t>IFRS</w:t>
      </w:r>
      <w:r>
        <w:rPr/>
        <w:t>研发费用一百七十七点八七六亿元，半年八十四点六七四亿元，低于去年同期八十七点六六六亿元。研发不是一切投入，资本化开发与设备支出需要另外关注；本章不将费用下降直接视为技术实力下降，也不把管理层展示的项目数量当现金价值。产品平台、核心部件和系统技术能减少重复开发，仍需要持续投入。模型常态利润率保留研发与股份激励成本，没有像部分调整利润做法把它们永久加回。</w:t>
      </w:r>
    </w:p>
    <w:p>
      <w:pPr>
        <w:pStyle w:val="Normal"/>
        <w:rPr/>
      </w:pPr>
      <w:r>
        <w:rPr/>
        <w:t>数字化可以优化采购、排产、库存、渠道和售后，公司披露多种智能代理与工厂效率案例。案例说明组织应用方向，效果口径、基期与覆盖范围不同，不能把所有百分比相加成为集团利润率改善。若效率节约已进入当期费用和毛利，再单独加数字平台资产价值会重复。研究关注跨工厂推广后的现金、质量与交付稳定，而不是使用次数或数据量。长期技术优势需要员工、流程和数据纪律共同支持，购买模型服务本身不保证长期独占能力。</w:t>
      </w:r>
    </w:p>
    <w:p>
      <w:pPr>
        <w:pStyle w:val="Normal"/>
        <w:rPr/>
      </w:pPr>
      <w:r>
        <w:rPr/>
        <w:t>集团业务数量与全球地域增加后，管理层需平衡总部控制和本地自主。统一采购、质量与资金能够形成规模效率，过度集中可能妨碍本地产品适应和客户服务。多元化激励有助于经理人承担责任，也可能使短期利润目标压过长期研发和安全质量。研究把治理看作持续验证的经营系统，留意利润考核、资本回报、现金和合规是否一致。过去较好执行历史提供信心，不能免除未来并购、跨国项目和子公司股权安排的具体核查。</w:t>
      </w:r>
    </w:p>
    <w:p>
      <w:pPr>
        <w:pStyle w:val="Heading2"/>
        <w:rPr/>
      </w:pPr>
      <w:r>
        <w:rPr>
          <w:color w:val="000000"/>
        </w:rPr>
        <w:t>九 历史利润与当前经营压力</w:t>
      </w:r>
    </w:p>
    <w:p>
      <w:pPr>
        <w:pStyle w:val="Normal"/>
        <w:rPr/>
      </w:pPr>
      <w:r>
        <w:rPr/>
        <w:t>二零二五年归母利润四百三十九点四五四亿元，</w:t>
      </w:r>
      <w:r>
        <w:rPr/>
        <w:t>A</w:t>
      </w:r>
      <w:r>
        <w:rPr/>
        <w:t>股口径比二零二四年增长百分之十四点零三，营业收入增长百分之十二点一一。</w:t>
      </w:r>
      <w:r>
        <w:rPr/>
        <w:t>A</w:t>
      </w:r>
      <w:r>
        <w:rPr/>
        <w:t>股扣非归母四百一十二点六七二亿元，同比增长百分之十五点四六，说明年度改善并不完全来自非经常收益。二零二三年</w:t>
      </w:r>
      <w:r>
        <w:rPr/>
        <w:t>A</w:t>
      </w:r>
      <w:r>
        <w:rPr/>
        <w:t>股归母三百三十七点一九九亿元提供较早基数。</w:t>
      </w:r>
      <w:r>
        <w:rPr/>
        <w:t>H</w:t>
      </w:r>
      <w:r>
        <w:rPr/>
        <w:t>股二零二四年</w:t>
      </w:r>
      <w:r>
        <w:rPr/>
        <w:t>IFRS</w:t>
      </w:r>
      <w:r>
        <w:rPr/>
        <w:t>归母三百八十五点三九零亿元与</w:t>
      </w:r>
      <w:r>
        <w:rPr/>
        <w:t>A</w:t>
      </w:r>
      <w:r>
        <w:rPr/>
        <w:t>股略有差异，不能为了曲线整齐删除准则差异，本章不混合后称严格同口径三年复合增速。</w:t>
      </w:r>
    </w:p>
    <w:p>
      <w:pPr>
        <w:pStyle w:val="Normal"/>
        <w:rPr/>
      </w:pPr>
      <w:r>
        <w:rPr/>
        <w:t>半年归母二百六十四点四六零亿元，比去年二百六十点一三七亿元增长约百分之一点七；集团净利润二百六十五点八二九亿元略低于去年。少数股东利润下降有助于归母表现，归母增速不能完全代表整体经营改善。半年营业利润三百一十七点四三六亿元，比去年三百二十三点六六零亿元下降。利润表现体现毛利、费用、财资与归属多方面变化，研究不只看归母正增长就宣称核心经营已恢复高速增长。</w:t>
      </w:r>
    </w:p>
    <w:p>
      <w:pPr>
        <w:pStyle w:val="Normal"/>
        <w:rPr/>
      </w:pPr>
      <w:r>
        <w:rPr/>
        <w:t>半年毛利六百五十二点八六五亿元，比去年六百四十二点七三二亿元略升，毛利率约百分之二十五，比去年低约零点五个百分点。管理层解释包括国内平均售价下降、原料涨价、贸易政策与人民币升值。销售费用减少缓冲毛利压力，管理费用增加反映数字基础等投入。未来恢复应包含产品定价、成本与渠道真实改善，而非继续依赖削减营销。基准净利率逐渐提高，若原料和汇率逆风持续且费用节约用尽，需要回到悲观假设。</w:t>
      </w:r>
    </w:p>
    <w:p>
      <w:pPr>
        <w:pStyle w:val="Normal"/>
        <w:rPr/>
      </w:pPr>
      <w:r>
        <w:rPr/>
        <w:t>法定分部合计利润半年二百四十六点零二零亿元，去年三百一十三点一零八亿元；其他损益调节本期七十二点四二六亿元，去年仅约零点三二四亿元。分部核算与合并利润的调节项目必须理解，不能把合并利润稳定解释为所有产品贡献稳定。仅凭附注无法把调节全归某个投资，因此本章保留原始数字和缺口，不创造精确核心扣非半年利润。未来模型使用正常归母净利率，并明确它是分析代理而非法定披露分部利润。</w:t>
      </w:r>
    </w:p>
    <w:p>
      <w:pPr>
        <w:pStyle w:val="Normal"/>
        <w:rPr/>
      </w:pPr>
      <w:r>
        <w:rPr/>
        <w:t>集团当前市盈率需要自行配对利润与股数，第三方约十四点七倍只作筛查。按人民币兑港币一点一研究假设，价格折合八十五点一四人民币，以二零二五年摊薄每股五点七六计算约十四点七八倍。将年度归母加半年同比差额，得到滚动归母四百四十三点七七八亿元，再除半年摊薄七十五点四零三亿股，是约五点八八五元每股代理，约十四点四六倍。它没有逐期加权与</w:t>
      </w:r>
      <w:r>
        <w:rPr/>
        <w:t>EPS</w:t>
      </w:r>
      <w:r>
        <w:rPr/>
        <w:t>分子完全重建，只作估值交叉验证，不冒充公司正式滚动</w:t>
      </w:r>
      <w:r>
        <w:rPr/>
        <w:t>EPS</w:t>
      </w:r>
      <w:r>
        <w:rPr/>
        <w:t>。</w:t>
      </w:r>
    </w:p>
    <w:p>
      <w:pPr>
        <w:pStyle w:val="Normal"/>
        <w:rPr/>
      </w:pPr>
      <w:r>
        <w:rPr/>
        <w:t>用二零二五年</w:t>
      </w:r>
      <w:r>
        <w:rPr/>
        <w:t>A</w:t>
      </w:r>
      <w:r>
        <w:rPr/>
        <w:t>股扣非归母除同一半年股数代理，约十五点五六倍。分母时间不同、准则不同，不能称严格历史扣非</w:t>
      </w:r>
      <w:r>
        <w:rPr/>
        <w:t>PE</w:t>
      </w:r>
      <w:r>
        <w:rPr/>
        <w:t>；该计算表明去掉非经常收益后并非极端低估。现价仍要求长期稳定盈利与资本回报，若市场只给低增长制造商约十倍估值，下行可以较大。推荐理由是较好的业务质量与增长选择，加上可核现金，而不是仅靠较低表面</w:t>
      </w:r>
      <w:r>
        <w:rPr/>
        <w:t>PE</w:t>
      </w:r>
      <w:r>
        <w:rPr/>
        <w:t>。本章目标倍数高于悲观水平，需要经营兑现和市场风险偏好支持。</w:t>
      </w:r>
    </w:p>
    <w:p>
      <w:pPr>
        <w:pStyle w:val="Heading2"/>
        <w:rPr/>
      </w:pPr>
      <w:r>
        <w:rPr>
          <w:color w:val="000000"/>
        </w:rPr>
        <w:t>十 财资 汇率与非经常项目</w:t>
      </w:r>
    </w:p>
    <w:p>
      <w:pPr>
        <w:pStyle w:val="Normal"/>
        <w:rPr/>
      </w:pPr>
      <w:r>
        <w:rPr/>
        <w:t>半年其他收入四十六点九九零亿元，其中财务资产利息三十一点八九一亿元、政府补助十点三一五亿元、增值税加计抵减四点七八四亿元。部分财资有持续利息，补助与税收优惠依赖政策；它们属于合并盈利但不等同家电产品竞争优势。模型正常净利率包含有限可持续财资和政策收益，悲观水平允许下降，不以全部当期项目永久化。若将财资利息纳入利润</w:t>
      </w:r>
      <w:r>
        <w:rPr/>
        <w:t>PE</w:t>
      </w:r>
      <w:r>
        <w:rPr/>
        <w:t>，又加全部现金及金融资产，会重复计算对应经济收益，本章没有这样处理。</w:t>
      </w:r>
    </w:p>
    <w:p>
      <w:pPr>
        <w:pStyle w:val="Normal"/>
        <w:rPr/>
      </w:pPr>
      <w:r>
        <w:rPr/>
        <w:t>半年金融工具净收益六十七点九八五亿元，净汇兑损失五十八点八六三亿元，其他损益净额只有四点零四九亿元。工具收益与汇兑可能存在经济对冲关系，只选一边会误判经营质量。也不能假设它们完全一一对冲，时点、币种、合同与会计分类可能不同。研究保留两边原始数据，未来正常净利率避开未核的特别公允价值或处置收益。短期财报若利润受投资重估推动，目标更新需拆开现金和非现金，不直接提高长期经营增速。</w:t>
      </w:r>
    </w:p>
    <w:p>
      <w:pPr>
        <w:pStyle w:val="Normal"/>
        <w:rPr/>
      </w:pPr>
      <w:r>
        <w:rPr/>
        <w:t>新闻讨论长鑫相关投资上市、价值变化、解禁与未来分配，本章未完整取得截至基准日的持股、税基、解禁和处置原件。它可能形成额外股东价值，也可能有估值和流动性风险；不能依据一个机构标题就加入精确独立市值。美国关税退款同样有认定、商品、税务与支付时点，未取得完整原件时不视为确定现金。基准与乐观目标均不另加这两项资产，若未来证据完整，再更新模型和权重，不把传闻当已确认年底收益。</w:t>
      </w:r>
    </w:p>
    <w:p>
      <w:pPr>
        <w:pStyle w:val="Normal"/>
        <w:rPr/>
      </w:pPr>
      <w:r>
        <w:rPr/>
        <w:t>人民币升值对出口人民币收入、外币应收和生产成本有不同作用。海外当地制造可让成本与收入部分匹配，中国生产出口更受换算和竞争影响；财务对冲还涉及期限、成本和信用。港股股东最终持有港币计价权益，人民币每股利润换为港币的汇率变化与经营中汇率影响不能混为一项。本章一点一换算是假设，人民币兑港币变化百分之十会直接影响换算目标约百分之十，在经营收入净利率保持不变的条件下成立。</w:t>
      </w:r>
    </w:p>
    <w:p>
      <w:pPr>
        <w:pStyle w:val="Heading2"/>
        <w:rPr/>
      </w:pPr>
      <w:r>
        <w:rPr>
          <w:color w:val="000000"/>
        </w:rPr>
        <w:t>十一 现金 营运资金与资产负债</w:t>
      </w:r>
    </w:p>
    <w:p>
      <w:pPr>
        <w:pStyle w:val="Normal"/>
        <w:rPr/>
      </w:pPr>
      <w:r>
        <w:rPr/>
        <w:t>二零二五年经营现金五百三十三点四五九亿元，低于去年六百零五点一一六亿元，仍高于归母利润。购买固定、无形等资本资产现金一百一十一点四一九亿元，</w:t>
      </w:r>
      <w:r>
        <w:rPr/>
        <w:t>IFRS</w:t>
      </w:r>
      <w:r>
        <w:rPr/>
        <w:t>融资段租赁相关十五点八七零亿元。经营现金减这两项约四百零六点一七零亿元，是研究现金代理；再扣融资段已付利息二十点四三八亿元，约三百八十五点七三二亿元。它没有扣全部收购和财务投资，也非公司宣称自由现金流，经营租赁或利息不能跨口径重复扣。</w:t>
      </w:r>
    </w:p>
    <w:p>
      <w:pPr>
        <w:pStyle w:val="Normal"/>
        <w:rPr/>
      </w:pPr>
      <w:r>
        <w:rPr/>
        <w:t>半年经营现金三百七十五点五二一亿元，比去年略增，资本购买二十六点三四二亿元、租赁相关七点三八五亿元。扣这两项现金代理三百四十一点七九三亿元，再扣融资段利息四点七七三亿元约三百三十七点零二零亿元。半年资本现金较低可能有付款节奏，不能简单翻倍称全年正常资本开支。收购现金、联营投入、金融资产配置和股东回报另列，说明公司有较强经营现金，但仍有资本使用选择和季节性。</w:t>
      </w:r>
    </w:p>
    <w:p>
      <w:pPr>
        <w:pStyle w:val="Normal"/>
        <w:rPr/>
      </w:pPr>
      <w:r>
        <w:rPr/>
        <w:t>六月存货五百五十四点四一零亿元，低于年末六百四十六点二八八亿元；摊余成本贸易与票据应收六百八十一点八九一亿元，高于年末四百五十六点九六九亿元。公允价值其他综合收益的票据又从一百四十九点三五三降至七十六点五九七亿元，分类与季节性需要共同理解。存货下降不能单独证明终端售罄，应收增长也不能单凭总数断言坏账。账龄、票据、客户现金和终端渠道库存是后续验证重点，本章不造精确周转天数。</w:t>
      </w:r>
    </w:p>
    <w:p>
      <w:pPr>
        <w:pStyle w:val="Normal"/>
        <w:rPr/>
      </w:pPr>
      <w:r>
        <w:rPr/>
        <w:t>贸易与票据应付六月一千五百七十点三五八亿元，高于年末一千三百零八点零二四亿元，合同负债四百五十四点五八一亿元，其他应付及应计一千一百二十八点五九八亿元。供应链信用与客户预付款有助于现金，但不属于可永久免费分配的净现金。需求弱、供应商缩短信用或客户退订，可能释放反向现金压力。财务实力评分考虑供应链优势，也要求资金能够在周期下行维持，不以现金账户余额忽略营运负债。</w:t>
      </w:r>
    </w:p>
    <w:p>
      <w:pPr>
        <w:pStyle w:val="Normal"/>
        <w:rPr/>
      </w:pPr>
      <w:r>
        <w:rPr/>
        <w:t>六月现金及等价七百四十六点一四二亿元、定存与受限现金一百六十点二八五亿元，长短摊余金融资产合计二千二百七十七点四二六亿元，另有金融投资和贷款应收。借款八百零三点二七三亿元、租赁三十三点一二二亿元。不同期限、受限、信用和政策风险不能一律当即时现金，贷款也不等同银行存款。模型没有宣称全部可分配净金融资产的精确价值，更不以港股部分市值比较全部资金后说现金远超股价。</w:t>
      </w:r>
    </w:p>
    <w:p>
      <w:pPr>
        <w:pStyle w:val="Normal"/>
        <w:rPr/>
      </w:pPr>
      <w:r>
        <w:rPr/>
        <w:t>六月归母权益二千一百二十八点六一一亿元低于年末二千二百三十二点二一三亿元，分红回购、库存股和综合收益均可能影响。按九月扣库存总股数与研究汇率，现价市净率代理约二点九八倍，和第三方显示的一点二四字段有明显口径差异，后者未作为最终输入。资产质量需要关注商誉、无形资产、金融投资和递延税，不能用账面净资产作为价格硬底。成熟品牌账外价值与收购减值风险都存在，必须用利润现金交叉验证。</w:t>
      </w:r>
    </w:p>
    <w:p>
      <w:pPr>
        <w:pStyle w:val="Heading2"/>
        <w:rPr/>
      </w:pPr>
      <w:r>
        <w:rPr>
          <w:color w:val="000000"/>
        </w:rPr>
        <w:t>十二 股份 回购和股东现金回报</w:t>
      </w:r>
    </w:p>
    <w:p>
      <w:pPr>
        <w:pStyle w:val="Normal"/>
        <w:rPr/>
      </w:pPr>
      <w:r>
        <w:rPr/>
        <w:t>九月月报注册股本七十六点二九九亿股，其中</w:t>
      </w:r>
      <w:r>
        <w:rPr/>
        <w:t>H</w:t>
      </w:r>
      <w:r>
        <w:rPr/>
        <w:t>股六点五零八亿、</w:t>
      </w:r>
      <w:r>
        <w:rPr/>
        <w:t>A</w:t>
      </w:r>
      <w:r>
        <w:rPr/>
        <w:t>股六十九点七九一亿。扣</w:t>
      </w:r>
      <w:r>
        <w:rPr/>
        <w:t>H</w:t>
      </w:r>
      <w:r>
        <w:rPr/>
        <w:t>库存六十四点四五万股、</w:t>
      </w:r>
      <w:r>
        <w:rPr/>
        <w:t>A</w:t>
      </w:r>
      <w:r>
        <w:rPr/>
        <w:t>库存一亿八千七百六十五点零五万股，全部非库存股约七十四点四一六亿。未来摊薄股数并不等于注册股本或当日非库存股数，尚有激励、可转债、注销和新发行。模型每期限公开七十四亿左右的基准分母，并在悲观允许稀释、乐观允许净回购，不将当前库存全部视为永久注销。</w:t>
      </w:r>
    </w:p>
    <w:p>
      <w:pPr>
        <w:pStyle w:val="Normal"/>
        <w:rPr/>
      </w:pPr>
      <w:r>
        <w:rPr/>
        <w:t>十月八日变动单显示</w:t>
      </w:r>
      <w:r>
        <w:rPr/>
        <w:t>A</w:t>
      </w:r>
      <w:r>
        <w:rPr/>
        <w:t>股回购一百九十六点九七万股，同时期权行权新增十点九七三万股，</w:t>
      </w:r>
      <w:r>
        <w:rPr/>
        <w:t>A</w:t>
      </w:r>
      <w:r>
        <w:rPr/>
        <w:t>股非库存变为六十七点八九六亿、库存约一亿八千九百六十二万股。它证明回购与发行可以同时发生，只看回购新闻会夸大每股增厚。十月九日变动单文件日期与目录毫秒时间跨日，来源时区未独立核验，本章不把它作为收盘前已知输入。股数模型允许合理范围，但真实更新仍需月报和发行原件。</w:t>
      </w:r>
    </w:p>
    <w:p>
      <w:pPr>
        <w:pStyle w:val="Normal"/>
        <w:rPr/>
      </w:pPr>
      <w:r>
        <w:rPr/>
        <w:t>半年摊薄加权股数七十五点四零三亿，基本股数七十四点七零五亿；归母利润不是直接</w:t>
      </w:r>
      <w:r>
        <w:rPr/>
        <w:t>EPS</w:t>
      </w:r>
      <w:r>
        <w:rPr/>
        <w:t>分子。基本</w:t>
      </w:r>
      <w:r>
        <w:rPr/>
        <w:t>EPS</w:t>
      </w:r>
      <w:r>
        <w:rPr/>
        <w:t>扣预计归属限制股股息一点六五七亿元，摊薄分子二百六十三点八二零亿元，另有可转债与激励调整。未来模型净利率定义为正常归母</w:t>
      </w:r>
      <w:r>
        <w:rPr/>
        <w:t>EPS</w:t>
      </w:r>
      <w:r>
        <w:rPr/>
        <w:t>分子代理，已保留常态股份费用和分子调整储备，不能把普通归母除当前股数冒充精确摊薄</w:t>
      </w:r>
      <w:r>
        <w:rPr/>
        <w:t>EPS</w:t>
      </w:r>
      <w:r>
        <w:rPr/>
        <w:t>。只要激励、回购或可转债发生重大变化，就必须更新分子分母。</w:t>
      </w:r>
    </w:p>
    <w:p>
      <w:pPr>
        <w:pStyle w:val="Normal"/>
        <w:rPr/>
      </w:pPr>
      <w:r>
        <w:rPr/>
        <w:t>二零二五年股东已付现金股息三百零四点八七零亿元、回购与失效限制股退款一百一十六点九八七亿元，两者接近当年归母规模但不完全同类。回购退款中部分涉及激励安排，回购股份未来可能重新授予。现金回报高也不能多年超过经营现金而无代价，债务或减少投资都可能变化。模型把未来现金股息与股数变化分开，避免将同一笔回购既加作现金股息又通过减少股数再次全额计作含息回报。</w:t>
      </w:r>
    </w:p>
    <w:p>
      <w:pPr>
        <w:pStyle w:val="Normal"/>
        <w:rPr/>
      </w:pPr>
      <w:r>
        <w:rPr/>
        <w:t>二零二五末期每股三点八人民币，</w:t>
      </w:r>
      <w:r>
        <w:rPr/>
        <w:t>H</w:t>
      </w:r>
      <w:r>
        <w:rPr/>
        <w:t>股实际四点三六七三四港元，已于二零二六年七月十日支付。当前投资者不能追溯领取，因此所有未来回报排除此股息。拟二零二六中期每股零点五人民币还待股东会，通函期望批准后两个月内派付，本章年底基准零点五五港元只是研究换算。年底情景加权期望主要列价格，含息另外计算；批准、税和派付若不同，未来股息输入须刷新，不假设提案等于债务确认。</w:t>
      </w:r>
    </w:p>
    <w:p>
      <w:pPr>
        <w:pStyle w:val="Heading2"/>
        <w:rPr/>
      </w:pPr>
      <w:r>
        <w:rPr>
          <w:color w:val="000000"/>
        </w:rPr>
        <w:t>十三 半年日线和周线分析</w:t>
      </w:r>
    </w:p>
    <w:p>
      <w:pPr>
        <w:pStyle w:val="Normal"/>
        <w:rPr/>
      </w:pPr>
      <w:r>
        <w:rPr/>
        <w:t>锁定行情收盘九十三点六五港元，当日开九十三点八，高九十四点三五、低九十三点二，比前日涨百分之零点九二。二十日均线九十五点三九七、六十日九十六点七八八、一百二十日九十点八八三、二百五十日八十六点二六三。现价低于短中均线约百分之一点八三和三点二四，却高于长均线约百分之三点零四和八点五六。短期调整与长期上升并存，尚不能凭一天上涨认定已重新突破。</w:t>
      </w:r>
    </w:p>
    <w:p>
      <w:pPr>
        <w:pStyle w:val="Normal"/>
        <w:rPr/>
      </w:pPr>
      <w:r>
        <w:rPr/>
        <w:t>五日均线斜率比较显示二十日线下降约百分之一点九七，六十、一百二十与二百五十日分别微升约零点一三、零点四二与零点三三。价格位于相互交错均线之间，日线应定义为震荡或调整，长线向上提供观察背景。需要先站稳短线，再看中线恢复及成交配合，不能因为现价高于长均线就忽视短期卖压。若长期均线持续转负和业绩下修同时发生，半年技术与经营评分都需下降。</w:t>
      </w:r>
    </w:p>
    <w:p>
      <w:pPr>
        <w:pStyle w:val="Normal"/>
        <w:rPr/>
      </w:pPr>
      <w:r>
        <w:rPr/>
        <w:t>最近二十和六十交易日区间低点九十港元，观察距离约负百分之三点九零；高点约一百零一点三和一百零一点七，距现价约百分之八点一七和八点六零。这些是区间极值，未经触碰次数或成交密集核查，不能当精确支撑阻力。九十附近如出现缩量回踩与需求改善，可提高观察价值；若放量跌破且无法恢复，原有日线稳定假设失效。价格跳空可能穿过观察位，风险区间不构成最大损失保证。</w:t>
      </w:r>
    </w:p>
    <w:p>
      <w:pPr>
        <w:pStyle w:val="Normal"/>
        <w:rPr/>
      </w:pPr>
      <w:r>
        <w:rPr/>
        <w:t>五十二周复权高一百零一点七、低七十三点八二七，现价较高回撤约百分之七点九二、较低上涨约百分之二十六点八五；该窗口最大回撤约百分之十六点七二。低价经复权归一，不是原始成交价，不应与名义历史新闻直接比较。过去回撤较可控也不保证未来波动相同，经营、资金流和市场估值可能变化。半年目标一百一十八点八六高于已有窗口高点，需要新信息推动突破，不能从技术图形直接读出该目标。</w:t>
      </w:r>
    </w:p>
    <w:p>
      <w:pPr>
        <w:pStyle w:val="Normal"/>
        <w:rPr/>
      </w:pPr>
      <w:r>
        <w:rPr/>
        <w:t>H</w:t>
      </w:r>
      <w:r>
        <w:rPr/>
        <w:t>股有效日线本资料四百九十八根，始于二零二四年十月二日，上市二零二四年九月十七日，首两周缺失且不足三年。来源已排除明确上市前误记录，未补造历史。周线一百零六根，二十周均线九十二点二九七、六十周八十五点五二八，价格高于两者约百分之一点四七和九点五零；两线斜率向上。一百二十和二百五十周历史不足，必须留空，不能借</w:t>
      </w:r>
      <w:r>
        <w:rPr/>
        <w:t>A</w:t>
      </w:r>
      <w:r>
        <w:rPr/>
        <w:t>股图形替代</w:t>
      </w:r>
      <w:r>
        <w:rPr/>
        <w:t>H</w:t>
      </w:r>
      <w:r>
        <w:rPr/>
        <w:t>股长期交易行为。</w:t>
      </w:r>
    </w:p>
    <w:p>
      <w:pPr>
        <w:pStyle w:val="Normal"/>
        <w:rPr/>
      </w:pPr>
      <w:r>
        <w:rPr/>
        <w:t>周线二十周和六十周收益约百分之十点五八和二十二点七七，长期背景好于短期日线；周线</w:t>
      </w:r>
      <w:r>
        <w:rPr/>
        <w:t>MACD</w:t>
      </w:r>
      <w:r>
        <w:rPr/>
        <w:t>柱转弱又提示上升动能放缓。近端二十日跌百分之五点六九、六十日涨百分之二点零七，收益在窗口之间不同，不能选择较高窗口证明所有趋势强。半年评分量价仅二点八分，反映价格调整与周线基础并存，不根据机械图表新闻的三重顶或区域突破标题额外加分。</w:t>
      </w:r>
    </w:p>
    <w:p>
      <w:pPr>
        <w:pStyle w:val="Heading2"/>
        <w:rPr/>
      </w:pPr>
      <w:r>
        <w:rPr>
          <w:color w:val="000000"/>
        </w:rPr>
        <w:t>十四 成交 相对强弱与技术失效</w:t>
      </w:r>
    </w:p>
    <w:p>
      <w:pPr>
        <w:pStyle w:val="Normal"/>
        <w:rPr/>
      </w:pPr>
      <w:r>
        <w:rPr/>
        <w:t>当日成交八百四十八点九四万股，金额约七点九六零亿港元，股单位经独立日线核对，没有把股误当手。五日均量五百五十三点九四万、二十日五百五十二点五零万、六十日五百一十点一三万；当日相对前二十日均量约一点五八九倍。收阳且放量是当日改善信号，收盘较开盘微低又说明日内上方承压。单根量价不能证明资金身份或主动买卖，更不能据此直接说主力吸筹。</w:t>
      </w:r>
    </w:p>
    <w:p>
      <w:pPr>
        <w:pStyle w:val="Normal"/>
        <w:rPr/>
      </w:pPr>
      <w:r>
        <w:rPr/>
        <w:t>近二十日上涨日合量约四千八百万股、下跌日六千二百五十万股，比约零点七六八，九个上涨日与十一个下跌日。下跌累计量更大，提示短线调整尚需消化；它受天数与个别大成交影响，不是投资者真实净流入。周线二十周上跌量比约二点零五，与日线结论不同，体现观察尺度变化。模型不会把两组都当独立买入证据重复加分，成交只辅助价格趋势和基本面验证。</w:t>
      </w:r>
    </w:p>
    <w:p>
      <w:pPr>
        <w:pStyle w:val="Normal"/>
        <w:rPr/>
      </w:pPr>
      <w:r>
        <w:rPr/>
        <w:t>相对恒生指数二十日落后约二点七一百分点、六十日领先约五点二六百分点，近期表现变弱而中期仍有相对优势。恒生科技作粗参考，二十日落后二点六三、六十日领先十五点二四百分点，但美的是家电和工业企业，该指数不能充当精准行业基准。本章未取得同日统一方法家电行业指数，明确保留缺口。相对强弱如果转负且价格跌破长均线，半年评分应降低，不能把行业分类误差解释为强势证明。</w:t>
      </w:r>
    </w:p>
    <w:p>
      <w:pPr>
        <w:pStyle w:val="Normal"/>
        <w:rPr/>
      </w:pPr>
      <w:r>
        <w:rPr/>
        <w:t>日线</w:t>
      </w:r>
      <w:r>
        <w:rPr/>
        <w:t>RSI</w:t>
      </w:r>
      <w:r>
        <w:rPr/>
        <w:t>约四十三点七七，未达到明显强动量；</w:t>
      </w:r>
      <w:r>
        <w:rPr/>
        <w:t>MACD</w:t>
      </w:r>
      <w:r>
        <w:rPr/>
        <w:t>的</w:t>
      </w:r>
      <w:r>
        <w:rPr/>
        <w:t>DIF</w:t>
      </w:r>
      <w:r>
        <w:rPr/>
        <w:t>负一点六三、</w:t>
      </w:r>
      <w:r>
        <w:rPr/>
        <w:t>DEA</w:t>
      </w:r>
      <w:r>
        <w:rPr/>
        <w:t>负一点二九、双倍柱负零点六九，也没有确认上涨加速。</w:t>
      </w:r>
      <w:r>
        <w:rPr/>
        <w:t>ATR</w:t>
      </w:r>
      <w:r>
        <w:rPr/>
        <w:t>约一点七八七港元、约百分之一点九一，描述近期真实波幅而非上涨预测。指标都由同一价格序列派生，不能把</w:t>
      </w:r>
      <w:r>
        <w:rPr/>
        <w:t>RSI</w:t>
      </w:r>
      <w:r>
        <w:rPr/>
        <w:t>和</w:t>
      </w:r>
      <w:r>
        <w:rPr/>
        <w:t>MACD</w:t>
      </w:r>
      <w:r>
        <w:rPr/>
        <w:t>各算一项独立获利概率。周线</w:t>
      </w:r>
      <w:r>
        <w:rPr/>
        <w:t>RSI</w:t>
      </w:r>
      <w:r>
        <w:rPr/>
        <w:t>约五十三点三六、</w:t>
      </w:r>
      <w:r>
        <w:rPr/>
        <w:t>ATR</w:t>
      </w:r>
      <w:r>
        <w:rPr/>
        <w:t>约四点四九港元，观察周期更长，使用时要匹配止损和资金期限。</w:t>
      </w:r>
    </w:p>
    <w:p>
      <w:pPr>
        <w:pStyle w:val="Normal"/>
        <w:rPr/>
      </w:pPr>
      <w:r>
        <w:rPr/>
        <w:t>半年较强技术条件是价格恢复九十五至九十七附近均线带、二十日线止跌，之后测试一百零一点七时有持续成交与相对表现。若突破当日很强随后迅速跌回，属于需要验证的失败突破；若在九十至九十三附近缩量稳定，也只是建立观察而非确认底部。技术失效包括放量跌破九十、多个周线无法恢复二十周线、长期均线下降或基本面同步恶化。没有逐笔成交与准确换手原件，本章不绘制精确筹码分布或填造换手率。</w:t>
      </w:r>
    </w:p>
    <w:p>
      <w:pPr>
        <w:pStyle w:val="Heading2"/>
        <w:rPr/>
      </w:pPr>
      <w:r>
        <w:rPr>
          <w:color w:val="000000"/>
        </w:rPr>
        <w:t>十五 四期限估值与具体假设</w:t>
      </w:r>
    </w:p>
    <w:p>
      <w:pPr>
        <w:pStyle w:val="Normal"/>
        <w:rPr/>
      </w:pPr>
      <w:r>
        <w:rPr/>
        <w:t>单套活动模型采用目标时点未来十二个月营业总收入乘正常归母</w:t>
      </w:r>
      <w:r>
        <w:rPr/>
        <w:t>EPS</w:t>
      </w:r>
      <w:r>
        <w:rPr/>
        <w:t>分子代理净利率，除全公司未来摊薄股数，乘目标</w:t>
      </w:r>
      <w:r>
        <w:rPr/>
        <w:t>PE</w:t>
      </w:r>
      <w:r>
        <w:rPr/>
        <w:t>，再以一点一研究汇率换为港币。净利率包含税、常态股份费用、归属及有限财资收益，剔未核一次性重估、处置和退款，未额外加现金或子公司市值。三情景均能逐项重算，收入与股数单位为十亿人民币和十亿普通股。利润率是研究判断，不是公司公布指引，不能因保留六位</w:t>
      </w:r>
      <w:r>
        <w:rPr/>
        <w:t>EPS</w:t>
      </w:r>
      <w:r>
        <w:rPr/>
        <w:t>就声称预测精度很高。</w:t>
      </w:r>
    </w:p>
    <w:p>
      <w:pPr>
        <w:pStyle w:val="Normal"/>
        <w:rPr/>
      </w:pPr>
      <w:r>
        <w:rPr/>
        <w:t>年底收入悲观四千六百、基准四千九百、乐观五千亿人民币，正常净利率百分之八点五、九点五和十点五，股数七十六、七十五、七十四点五亿，</w:t>
      </w:r>
      <w:r>
        <w:rPr/>
        <w:t>PE</w:t>
      </w:r>
      <w:r>
        <w:rPr/>
        <w:t>十、十六和十九倍。结果五十六点五九、一百零九点二四、一百四十七点二八港元。基准体现正常盈利略改善，乐观同时依赖需求与估值，悲观并非极端清算。年底距离基准较近，市场可能提前或滞后反映下一年盈利，情景不能被理解为价格必定在某天触达。</w:t>
      </w:r>
    </w:p>
    <w:p>
      <w:pPr>
        <w:pStyle w:val="Normal"/>
        <w:rPr/>
      </w:pPr>
      <w:r>
        <w:rPr/>
        <w:t>半年收入四千五百、五千零五十、五千三百亿，正常净利率百分之八点三、九点七、十点八，摊薄七十六点五、七十四点八、七十四亿股，</w:t>
      </w:r>
      <w:r>
        <w:rPr/>
        <w:t>PE</w:t>
      </w:r>
      <w:r>
        <w:rPr/>
        <w:t>九点五、十六点五、二十倍。基准一百一十八点八六港元，要求年度业绩与下一年增长预期支持，普通中期股息获批也只能贡献约零点五五港元。较现价上涨百分之二十六点九二主要来自盈利与估值，技术图形尚未确认，若价格先反弹而经营无变化，预期回报反而会下降。</w:t>
      </w:r>
    </w:p>
    <w:p>
      <w:pPr>
        <w:pStyle w:val="Normal"/>
        <w:rPr/>
      </w:pPr>
      <w:r>
        <w:rPr/>
        <w:t>一年收入四千五百、五千三百、五千七百亿，净利率百分之八点二、九点九、十一，摊薄七十七、七十四点四、七十三亿股，</w:t>
      </w:r>
      <w:r>
        <w:rPr/>
        <w:t>PE</w:t>
      </w:r>
      <w:r>
        <w:rPr/>
        <w:t>九、十七、二十一。基准</w:t>
      </w:r>
      <w:r>
        <w:rPr/>
        <w:t>EPS</w:t>
      </w:r>
      <w:r>
        <w:rPr/>
        <w:t>约七点零五二人民币，目标一百三十一点八八港元；假设累计现金五点一港元，含息约百分之四十六点二七。基准需要海外品牌和工业增量抵消国内弱势，并保持合理回购，乐观要求多个经营因素同时改善。若下一年利润增速仍约百分之二，目标利润率和倍数需要共同下修。</w:t>
      </w:r>
    </w:p>
    <w:p>
      <w:pPr>
        <w:pStyle w:val="Normal"/>
        <w:rPr/>
      </w:pPr>
      <w:r>
        <w:rPr/>
        <w:t>三年收入四千七百、六千二百、七千六百亿，净利率百分之七点八、十点二、十一点五，股数七十九、七十三、六十九亿，</w:t>
      </w:r>
      <w:r>
        <w:rPr/>
        <w:t>PE</w:t>
      </w:r>
      <w:r>
        <w:rPr/>
        <w:t>八点五、十八、二十二。基准一百七十一点五三港元，含累计十七港元现金后收益约翻倍，年化百分之二十六点二七。该回报不只是收入成长，还依赖回购与倍数提升，不能称自然经营增长率。悲观价格四十三点三九即使有股息仍亏损，展示多元化、贸易或工业周期失败可能抵消成熟家电现金优势。</w:t>
      </w:r>
    </w:p>
    <w:p>
      <w:pPr>
        <w:pStyle w:val="Normal"/>
        <w:rPr/>
      </w:pPr>
      <w:r>
        <w:rPr/>
        <w:t>五年收入四千九百、七千二百五十、九千七百亿，净利率百分之七点五、十点五、十二，股数八十一、七十一、六十五亿，</w:t>
      </w:r>
      <w:r>
        <w:rPr/>
        <w:t>PE</w:t>
      </w:r>
      <w:r>
        <w:rPr/>
        <w:t>八、十八、二十三。基准二百一十二点二九港元，累计现金三十二港元，年化百分之二十一点一四；乐观四百五十三点零六需全球品牌和工业盈利持续较强，股数显著下降，属于多项进取条件叠加。悲观每股利润反而下降，长期持有本身不能避免亏损。五年估值没有使用十年末终值替代目标日盈利。</w:t>
      </w:r>
    </w:p>
    <w:p>
      <w:pPr>
        <w:pStyle w:val="Heading2"/>
        <w:rPr/>
      </w:pPr>
      <w:r>
        <w:rPr>
          <w:color w:val="000000"/>
        </w:rPr>
        <w:t>十六 敏感性 外资目标与年底期望</w:t>
      </w:r>
    </w:p>
    <w:p>
      <w:pPr>
        <w:pStyle w:val="Normal"/>
        <w:rPr/>
      </w:pPr>
      <w:r>
        <w:rPr/>
        <w:t>一年基准净利率九点九百分点，若降低一个百分点，在收入股数倍数汇率不变时，目标减少约十三点三二港元，约相当现价百分之十四点二二。倍数每减少一倍约减少七点七六港元；摊薄股数增加百分之十约使目标下降百分之九点一。利润率与倍数可能在同一逆风下同时变化，不能将它们当彼此独立的小误差。悲观情景允许联合下降，权重只为比较，不为全部尾部风险设界。</w:t>
      </w:r>
    </w:p>
    <w:p>
      <w:pPr>
        <w:pStyle w:val="Normal"/>
        <w:rPr/>
      </w:pPr>
      <w:r>
        <w:rPr/>
        <w:t>公开机构目标最近可核富瑞八月三十一日一百二十四港元、买入，使用</w:t>
      </w:r>
      <w:r>
        <w:rPr/>
        <w:t>DCF</w:t>
      </w:r>
      <w:r>
        <w:rPr/>
        <w:t>且在半年报后；里昂七月二十四日一百零三港元、跑赢大市；汇丰七月十七日正文明确美的一百一十港元，其新闻标题十四属于雅迪；花旗六月八日一百二十六点三港元、买入、以十九倍二零二六盈利作参照。花旗超过九十天且半年报前，里昂汇丰也在业绩前。本章没有把正文缺的野村</w:t>
      </w:r>
      <w:r>
        <w:rPr/>
        <w:t>A</w:t>
      </w:r>
      <w:r>
        <w:rPr/>
        <w:t>股目标当</w:t>
      </w:r>
      <w:r>
        <w:rPr/>
        <w:t>H</w:t>
      </w:r>
      <w:r>
        <w:rPr/>
        <w:t>股目标，没有将海尔二十五港元错给美的。</w:t>
      </w:r>
    </w:p>
    <w:p>
      <w:pPr>
        <w:pStyle w:val="Normal"/>
        <w:rPr/>
      </w:pPr>
      <w:r>
        <w:rPr/>
        <w:t>这些均为公开新闻转述，未取得完整原始研报，目标期限未明确，所以不能宣称已核十二个月共识。富瑞</w:t>
      </w:r>
      <w:r>
        <w:rPr/>
        <w:t>DCF</w:t>
      </w:r>
      <w:r>
        <w:rPr/>
        <w:t>与本章利润</w:t>
      </w:r>
      <w:r>
        <w:rPr/>
        <w:t>PE</w:t>
      </w:r>
      <w:r>
        <w:rPr/>
        <w:t>不同，比较可发现市场对长期现金和工业前景较积极，但差异不能自动证明本章目标更合理。机构关于长鑫或关税收益的评论不等同公司确认，本章未把它们加入额外价值。一年基准一百三十一点八八略高于公开几项目标，属于更进取增长假设，必须用未来经营验证而非诉诸权威。</w:t>
      </w:r>
    </w:p>
    <w:p>
      <w:pPr>
        <w:pStyle w:val="Normal"/>
        <w:rPr/>
      </w:pPr>
      <w:r>
        <w:rPr/>
        <w:t>年底三价默认权重得一百零五点五八七五港元，价格期望回报百分之十二点七五。提高悲观到百分之四十、乐观降至百分之十，价格期望九十一点九八四，低于现价约百分之一点七八；提高乐观到百分之四十、悲观降至百分之十，期望一百一十九点一九一，上涨百分之二十七点二七。权重变化能改变推荐优先级，说明短期并非显然高胜率。期望价格只是三种判断的算术平均，不是可交易无风险价或统计分布估计。</w:t>
      </w:r>
    </w:p>
    <w:p>
      <w:pPr>
        <w:pStyle w:val="Normal"/>
        <w:rPr/>
      </w:pPr>
      <w:r>
        <w:rPr/>
        <w:t>年底催化包括中期派息提案、后续季度经营、海外品牌和楼宇订单验证及渠道改革；这些有不同证据状态和时点。已公布股东会日期只确认计划召开，不能当已批准派息，季度业绩未来值也没有纳入已公开事实。下行因素包括国内价格、原料、汇率、贸易与投行预期兑现失败。模型年底用其时点</w:t>
      </w:r>
      <w:r>
        <w:rPr/>
        <w:t>NTM</w:t>
      </w:r>
      <w:r>
        <w:rPr/>
        <w:t>盈利和倍数重估，没有把一年的目标按剩余月份线性缩短，也没有将机构未知期限目标直接照搬到年底。</w:t>
      </w:r>
    </w:p>
    <w:p>
      <w:pPr>
        <w:pStyle w:val="Heading2"/>
        <w:rPr/>
      </w:pPr>
      <w:r>
        <w:rPr>
          <w:color w:val="000000"/>
        </w:rPr>
        <w:t>十七 评分 反证和长期经营持续性</w:t>
      </w:r>
    </w:p>
    <w:p>
      <w:pPr>
        <w:pStyle w:val="Normal"/>
        <w:rPr/>
      </w:pPr>
      <w:r>
        <w:rPr/>
        <w:t>半年六维分别三点四、二点八、四点三、三点四、三点五、四点一，按估值二十五、技术三十、增长十五、行业十、催化十、风险十权重得六十八点七。经营基础与现金较强，技术调整、消费与海外风险拖累近端。一年估值三点八、技术二点八、质量四点三、行业三点八、催化三点六、风险四点一，得七十五点七。分数差来自期限验证机会，不能解释为半年获利概率六成八或一年概率七成六。</w:t>
      </w:r>
    </w:p>
    <w:p>
      <w:pPr>
        <w:pStyle w:val="Normal"/>
        <w:rPr/>
      </w:pPr>
      <w:r>
        <w:rPr/>
        <w:t>三年估值四、技术二点八、经营四点四、行业四、催化三点七、风险四，得八十一点三；五年分别四、二点八、四点四、四点一、三点五、三点九，技术权重零，得八十二点八。长期强调品牌、工业空间与资本纪律，风险评分略降体现跨国和多元化不确定性累积。不同维度按统一零至五尺度：经营看已证能力，行业看空间，估值看价格与假设回报，风险看失败损失和财务缓冲，避免同一海外增长重复当六个好消息。</w:t>
      </w:r>
    </w:p>
    <w:p>
      <w:pPr>
        <w:pStyle w:val="Normal"/>
        <w:rPr/>
      </w:pPr>
      <w:r>
        <w:rPr/>
        <w:t>推翻推荐的第一组证据是核心价格和利润恶化：国内份额提升靠长期亏损定价、海外品牌费用超过增量毛利、正常归母净利率持续低于近端基准。第二组是资本回报恶化：经营现金靠增加应付支撑、应收账龄恶化、收购商誉减值、资本开支回报不达标、债务持续上升而现金分配依赖融资。第三组是治理与股数：回购被激励和融资抵消、子公司利益归属变化未披露清楚。出现这些证据必须改模型，不能把成熟品牌当免责理由。</w:t>
      </w:r>
    </w:p>
    <w:p>
      <w:pPr>
        <w:pStyle w:val="Normal"/>
        <w:rPr/>
      </w:pPr>
      <w:r>
        <w:rPr/>
        <w:t>增长逻辑的正面验证也必须具体：海外</w:t>
      </w:r>
      <w:r>
        <w:rPr/>
        <w:t>OBM</w:t>
      </w:r>
      <w:r>
        <w:rPr/>
        <w:t>有可比零售和利润，楼宇系统收入回款健康，机器人增长伴随毛利或现金改善，工业零部件订单和利用率恢复，渠道缩短降低集团总成本且售后质量稳定。短期技术恢复只提高入场观察，不独立提高长期经营价值。若美的涨到一年目标而预测利润没有上修，剩余空间减少，应重新排序；若股价下跌但盈利和现金稳定，估值改善才可能提高优先级，避免把涨跌自动当好坏公司标签。</w:t>
      </w:r>
    </w:p>
    <w:p>
      <w:pPr>
        <w:pStyle w:val="Normal"/>
        <w:rPr/>
      </w:pPr>
      <w:r>
        <w:rPr/>
        <w:t>十年经营展望集中于家庭耐用品、全球品牌、建筑节能和工业自动化的持续需求。美的的规模、研发、核心部件和制造应用场景提供竞争基础，但产品标准、能源技术、贸易、软件和客户采购都可能变化。智能家居未必产生互联网式订阅，数据中心液冷未必占集团很大比例，人形机器人仍需商业验证。十年成功应表现为普通股每股正常现金增长与客户持续选择，而不是业务名称更多。五年后没有另设精确十年股价，避免远期假设掩盖当前证据限制。</w:t>
      </w:r>
    </w:p>
    <w:p>
      <w:pPr>
        <w:pStyle w:val="Heading2"/>
        <w:rPr/>
      </w:pPr>
      <w:r>
        <w:rPr>
          <w:color w:val="000000"/>
        </w:rPr>
        <w:t>来源与版本记录</w:t>
      </w:r>
    </w:p>
    <w:p>
      <w:pPr>
        <w:pStyle w:val="Normal"/>
        <w:rPr/>
      </w:pPr>
      <w:r>
        <w:rPr/>
        <w:t>活动模型：</w:t>
      </w:r>
      <w:r>
        <w:rPr/>
        <w:t>data/midea_model.json</w:t>
      </w:r>
      <w:r>
        <w:rPr/>
        <w:t>，</w:t>
      </w:r>
      <w:r>
        <w:rPr/>
        <w:t>midea-normalized-owner-margin-v1.0</w:t>
      </w:r>
      <w:r>
        <w:rPr/>
        <w:t>；基准行情</w:t>
      </w:r>
      <w:r>
        <w:rPr/>
        <w:t>data/market_snapshot_locked.json</w:t>
      </w:r>
      <w:r>
        <w:rPr/>
        <w:t>。下列原件文件日期均早于截止日；</w:t>
      </w:r>
      <w:r>
        <w:rPr/>
        <w:t>Euroland</w:t>
      </w:r>
      <w:r>
        <w:rPr/>
        <w:t>目录毫秒时区未独立核验，保存原值但不视作确切香港发布时间。</w:t>
      </w:r>
    </w:p>
    <w:p>
      <w:pPr>
        <w:pStyle w:val="Normal"/>
        <w:rPr/>
      </w:pPr>
      <w:r>
        <w:rPr/>
        <w:t>- 2025 H</w:t>
      </w:r>
      <w:r>
        <w:rPr/>
        <w:t>股年报，</w:t>
      </w:r>
      <w:r>
        <w:rPr/>
        <w:t>2026-04-24</w:t>
      </w:r>
      <w:r>
        <w:rPr/>
        <w:t>：</w:t>
      </w:r>
      <w:r>
        <w:rPr/>
        <w:t>[</w:t>
      </w:r>
      <w:r>
        <w:rPr/>
        <w:t>原件</w:t>
      </w:r>
      <w:r>
        <w:rPr/>
        <w:t>](https://ea-cdn.eurolandir.com/press-releases-attachments/4021177/HKEX-EPS_20260424_12120496_0.PDF)</w:t>
      </w:r>
      <w:r>
        <w:rPr/>
        <w:t>。采用</w:t>
      </w:r>
      <w:r>
        <w:rPr/>
        <w:t>IFRS</w:t>
      </w:r>
      <w:r>
        <w:rPr/>
        <w:t>收入、利润、现金及</w:t>
      </w:r>
      <w:r>
        <w:rPr/>
        <w:t>EPS</w:t>
      </w:r>
      <w:r>
        <w:rPr/>
        <w:t>。中文</w:t>
      </w:r>
      <w:r>
        <w:rPr/>
        <w:t>A</w:t>
      </w:r>
      <w:r>
        <w:rPr/>
        <w:t>股年报用于营业收入与扣非，保留准则差异。</w:t>
      </w:r>
    </w:p>
    <w:p>
      <w:pPr>
        <w:pStyle w:val="Normal"/>
        <w:rPr/>
      </w:pPr>
      <w:r>
        <w:rPr/>
        <w:t>- 2026</w:t>
      </w:r>
      <w:r>
        <w:rPr/>
        <w:t>半年结果，文件</w:t>
      </w:r>
      <w:r>
        <w:rPr/>
        <w:t>2026-08-28</w:t>
      </w:r>
      <w:r>
        <w:rPr/>
        <w:t>：</w:t>
      </w:r>
      <w:r>
        <w:rPr/>
        <w:t>[</w:t>
      </w:r>
      <w:r>
        <w:rPr/>
        <w:t>原件</w:t>
      </w:r>
      <w:r>
        <w:rPr/>
        <w:t>](https://ea-cdn.eurolandir.com/press-releases-attachments/4172922/HKEX-EPS_20260828_12305700_0.PDF)</w:t>
      </w:r>
      <w:r>
        <w:rPr/>
        <w:t>；中报</w:t>
      </w:r>
      <w:r>
        <w:rPr/>
        <w:t>2026-09-15</w:t>
      </w:r>
      <w:r>
        <w:rPr/>
        <w:t>：</w:t>
      </w:r>
      <w:r>
        <w:rPr/>
        <w:t>[</w:t>
      </w:r>
      <w:r>
        <w:rPr/>
        <w:t>原件</w:t>
      </w:r>
      <w:r>
        <w:rPr/>
        <w:t>](https://ea-cdn.eurolandir.com/press-releases-attachments/4180184/HKEX-EPS_20260915_12332517_0.PDF)</w:t>
      </w:r>
      <w:r>
        <w:rPr/>
        <w:t>。两件核心数字核对一致。</w:t>
      </w:r>
    </w:p>
    <w:p>
      <w:pPr>
        <w:pStyle w:val="Normal"/>
        <w:rPr/>
      </w:pPr>
      <w:r>
        <w:rPr/>
        <w:t xml:space="preserve">- </w:t>
      </w:r>
      <w:r>
        <w:rPr/>
        <w:t>九月股数月报，文件</w:t>
      </w:r>
      <w:r>
        <w:rPr/>
        <w:t>2026-10-07</w:t>
      </w:r>
      <w:r>
        <w:rPr/>
        <w:t>：</w:t>
      </w:r>
      <w:r>
        <w:rPr/>
        <w:t>[</w:t>
      </w:r>
      <w:r>
        <w:rPr/>
        <w:t>原件</w:t>
      </w:r>
      <w:r>
        <w:rPr/>
        <w:t>](https://ea-cdn.eurolandir.com/press-releases-attachments/4192253/HKEX-EPS_20261007_12365200_0.PDF)</w:t>
      </w:r>
      <w:r>
        <w:rPr/>
        <w:t>；十月八日变动：</w:t>
      </w:r>
      <w:r>
        <w:rPr/>
        <w:t>[</w:t>
      </w:r>
      <w:r>
        <w:rPr/>
        <w:t>原件</w:t>
      </w:r>
      <w:r>
        <w:rPr/>
        <w:t>](https://ea-cdn.eurolandir.com/press-releases-attachments/4193271/HKEX-EPS_20261008_12366880_0.PDF)</w:t>
      </w:r>
      <w:r>
        <w:rPr/>
        <w:t>。十月九日文件目录跨日保留歧义，未作收盘前股数。</w:t>
      </w:r>
    </w:p>
    <w:p>
      <w:pPr>
        <w:pStyle w:val="Normal"/>
        <w:rPr/>
      </w:pPr>
      <w:r>
        <w:rPr/>
        <w:t xml:space="preserve">- </w:t>
      </w:r>
      <w:r>
        <w:rPr/>
        <w:t>中期股息提案</w:t>
      </w:r>
      <w:r>
        <w:rPr/>
        <w:t>2026-08-28</w:t>
      </w:r>
      <w:r>
        <w:rPr/>
        <w:t>：</w:t>
      </w:r>
      <w:r>
        <w:rPr/>
        <w:t>[</w:t>
      </w:r>
      <w:r>
        <w:rPr/>
        <w:t>原件</w:t>
      </w:r>
      <w:r>
        <w:rPr/>
        <w:t>](https://ea-cdn.eurolandir.com/press-releases-attachments/4172938/HKEX-EPS_20260828_12305740_0.PDF)</w:t>
      </w:r>
      <w:r>
        <w:rPr/>
        <w:t>；股东会通函</w:t>
      </w:r>
      <w:r>
        <w:rPr/>
        <w:t>2026-09-27</w:t>
      </w:r>
      <w:r>
        <w:rPr/>
        <w:t>：</w:t>
      </w:r>
      <w:r>
        <w:rPr/>
        <w:t>[</w:t>
      </w:r>
      <w:r>
        <w:rPr/>
        <w:t>原件</w:t>
      </w:r>
      <w:r>
        <w:rPr/>
        <w:t>](https://ea-cdn.eurolandir.com/press-releases-attachments/4184410/HKEX-EPS_20260927_12347689_0.PDF)</w:t>
      </w:r>
      <w:r>
        <w:rPr/>
        <w:t>。提案未作已获批准。</w:t>
      </w:r>
    </w:p>
    <w:p>
      <w:pPr>
        <w:pStyle w:val="Normal"/>
        <w:rPr/>
      </w:pPr>
      <w:r>
        <w:rPr/>
        <w:t xml:space="preserve">- </w:t>
      </w:r>
      <w:r>
        <w:rPr/>
        <w:t>富瑞</w:t>
      </w:r>
      <w:r>
        <w:rPr/>
        <w:t>2026-08-31</w:t>
      </w:r>
      <w:r>
        <w:rPr/>
        <w:t>：</w:t>
      </w:r>
      <w:r>
        <w:rPr/>
        <w:t>[</w:t>
      </w:r>
      <w:r>
        <w:rPr/>
        <w:t>新闻转述</w:t>
      </w:r>
      <w:r>
        <w:rPr/>
        <w:t>](https://www.aastocks.com/sc/stocks/analysis/stock-aafn-con/00300/AAFN/NOW.1542158/research-report)</w:t>
      </w:r>
      <w:r>
        <w:rPr/>
        <w:t>；里昂</w:t>
      </w:r>
      <w:r>
        <w:rPr/>
        <w:t>2026-07-24</w:t>
      </w:r>
      <w:r>
        <w:rPr/>
        <w:t>：</w:t>
      </w:r>
      <w:r>
        <w:rPr/>
        <w:t>[</w:t>
      </w:r>
      <w:r>
        <w:rPr/>
        <w:t>新闻转述</w:t>
      </w:r>
      <w:r>
        <w:rPr/>
        <w:t>](https://www.aastocks.com/sc/stocks/analysis/stock-aafn-con/00300/AAFN/NOW.1534845/research-report)</w:t>
      </w:r>
      <w:r>
        <w:rPr/>
        <w:t>；汇丰</w:t>
      </w:r>
      <w:r>
        <w:rPr/>
        <w:t>2026-07-17</w:t>
      </w:r>
      <w:r>
        <w:rPr/>
        <w:t>：</w:t>
      </w:r>
      <w:r>
        <w:rPr/>
        <w:t>[</w:t>
      </w:r>
      <w:r>
        <w:rPr/>
        <w:t>新闻转述</w:t>
      </w:r>
      <w:r>
        <w:rPr/>
        <w:t>](https://www.aastocks.com/sc/stocks/analysis/stock-aafn-con/00300/AAFN/NOW.1533781/research-report)</w:t>
      </w:r>
      <w:r>
        <w:rPr/>
        <w:t>；花旗</w:t>
      </w:r>
      <w:r>
        <w:rPr/>
        <w:t>2026-06-08</w:t>
      </w:r>
      <w:r>
        <w:rPr/>
        <w:t>：</w:t>
      </w:r>
      <w:r>
        <w:rPr/>
        <w:t>[</w:t>
      </w:r>
      <w:r>
        <w:rPr/>
        <w:t>新闻转述</w:t>
      </w:r>
      <w:r>
        <w:rPr/>
        <w:t>](https://www.aastocks.com/sc/stocks/analysis/stock-aafn-con/00300/AAFN/NOW.1527924/research-report)</w:t>
      </w:r>
      <w:r>
        <w:rPr/>
        <w:t>。明确目标期限均缺。</w:t>
      </w:r>
      <w:r>
        <w:br w:type="page"/>
      </w:r>
    </w:p>
    <w:p>
      <w:pPr>
        <w:pStyle w:val="Heading1"/>
        <w:rPr/>
      </w:pPr>
      <w:bookmarkStart w:id="4" w:name="__RefHeading___Toc15963_312338234"/>
      <w:bookmarkEnd w:id="4"/>
      <w:r>
        <w:rPr>
          <w:color w:val="000000"/>
        </w:rPr>
        <w:t xml:space="preserve">海尔生物 </w:t>
      </w:r>
      <w:r>
        <w:rPr>
          <w:color w:val="000000"/>
        </w:rPr>
        <w:t>688139 SH</w:t>
      </w:r>
    </w:p>
    <w:p>
      <w:pPr>
        <w:pStyle w:val="Normal"/>
        <w:rPr/>
      </w:pPr>
      <w:r>
        <w:rPr/>
        <w:t xml:space="preserve">688139.SH </w:t>
      </w:r>
      <w:r>
        <w:rPr/>
        <w:t xml:space="preserve">现价 </w:t>
      </w:r>
      <w:r>
        <w:rPr/>
        <w:t>35.13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38.88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45.50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+29.52%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+30.66%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62.40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+77.63%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+82.47%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79.50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+135.98%</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35.28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50.16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+42.78%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34.68CNY</w:t>
      </w:r>
      <w:r>
        <w:rPr/>
        <w:t>，期望股价回报</w:t>
      </w:r>
      <w:r>
        <w:rPr/>
        <w:t>-1.28%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18.75</w:t>
              <w:br/>
              <w:t>-46.63%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38.88</w:t>
              <w:br/>
              <w:t>+10.67%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59.40</w:t>
              <w:br/>
              <w:t>+69.09%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19.20</w:t>
              <w:br/>
              <w:t>-45.35%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45.50</w:t>
              <w:br/>
              <w:t>+29.52%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72.60</w:t>
              <w:br/>
              <w:t>+106.66%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20.90</w:t>
              <w:br/>
              <w:t>-40.51%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62.40</w:t>
              <w:br/>
              <w:t>+77.63%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120.00</w:t>
              <w:br/>
              <w:t>+241.59%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+22.20%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22.00</w:t>
              <w:br/>
              <w:t>-37.38%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79.50</w:t>
              <w:br/>
              <w:t>+126.30%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178.60</w:t>
              <w:br/>
              <w:t>+408.40%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+18.73%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高：原年报</w:t>
            </w:r>
            <w:r>
              <w:rPr>
                <w:rFonts w:eastAsia="微软雅黑" w:ascii="微软雅黑" w:hAnsi="微软雅黑"/>
                <w:sz w:val="17"/>
              </w:rPr>
              <w:t>/</w:t>
            </w:r>
            <w:r>
              <w:rPr>
                <w:rFonts w:ascii="微软雅黑" w:hAnsi="微软雅黑" w:eastAsia="微软雅黑"/>
                <w:sz w:val="17"/>
              </w:rPr>
              <w:t>中报与专项公告</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高：双行情源交叉；腾讯早期</w:t>
            </w:r>
            <w:r>
              <w:rPr>
                <w:rFonts w:eastAsia="微软雅黑" w:ascii="微软雅黑" w:hAnsi="微软雅黑"/>
                <w:sz w:val="17"/>
              </w:rPr>
              <w:t>10</w:t>
            </w:r>
            <w:r>
              <w:rPr>
                <w:rFonts w:ascii="微软雅黑" w:hAnsi="微软雅黑" w:eastAsia="微软雅黑"/>
                <w:sz w:val="17"/>
              </w:rPr>
              <w:t>天缺口不影响近期指标</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中低：收入、利润率和</w:t>
            </w:r>
            <w:r>
              <w:rPr>
                <w:rFonts w:eastAsia="微软雅黑" w:ascii="微软雅黑" w:hAnsi="微软雅黑"/>
                <w:sz w:val="17"/>
              </w:rPr>
              <w:t>PE</w:t>
            </w:r>
            <w:r>
              <w:rPr>
                <w:rFonts w:ascii="微软雅黑" w:hAnsi="微软雅黑" w:eastAsia="微软雅黑"/>
                <w:sz w:val="17"/>
              </w:rPr>
              <w:t>是情景判断</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缺失</w:t>
            </w:r>
          </w:p>
        </w:tc>
      </w:tr>
    </w:tbl>
    <w:p>
      <w:pPr>
        <w:pStyle w:val="Normal"/>
        <w:rPr/>
      </w:pPr>
      <w:r>
        <w:rPr/>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I001</w:t>
      </w:r>
      <w:r>
        <w:rPr/>
        <w:t>，证券</w:t>
      </w:r>
      <w:r>
        <w:rPr/>
        <w:t>S001</w:t>
      </w:r>
      <w:r>
        <w:rPr/>
        <w:t>，</w:t>
      </w:r>
      <w:r>
        <w:rPr/>
        <w:t>688139.SH</w:t>
      </w:r>
      <w:r>
        <w:rPr/>
        <w:t>。统一基准为</w:t>
      </w:r>
      <w:r>
        <w:rPr/>
        <w:t>2026</w:t>
      </w:r>
      <w:r>
        <w:rPr/>
        <w:t>年</w:t>
      </w:r>
      <w:r>
        <w:rPr/>
        <w:t>10</w:t>
      </w:r>
      <w:r>
        <w:rPr/>
        <w:t>月</w:t>
      </w:r>
      <w:r>
        <w:rPr/>
        <w:t>9</w:t>
      </w:r>
      <w:r>
        <w:rPr/>
        <w:t>日收盘</w:t>
      </w:r>
      <w:r>
        <w:rPr/>
        <w:t>35.13</w:t>
      </w:r>
      <w:r>
        <w:rPr/>
        <w:t>元，资料截止同日。本文为独立初版，经营数据以</w:t>
      </w:r>
      <w:r>
        <w:rPr/>
        <w:t>2025</w:t>
      </w:r>
      <w:r>
        <w:rPr/>
        <w:t>年报及</w:t>
      </w:r>
      <w:r>
        <w:rPr/>
        <w:t>2026</w:t>
      </w:r>
      <w:r>
        <w:rPr/>
        <w:t>半年报为锚，预测和情景权重属于研究假设。十月九日回购公告的精确发布时间尚未核实，保守列作可能收盘后披露的专项观察，不据此解释当日涨幅。正文与</w:t>
      </w:r>
      <w:r>
        <w:rPr/>
        <w:t>haier_bio_model.json</w:t>
      </w:r>
      <w:r>
        <w:rPr/>
        <w:t>同源，表格不计独立有效汉字。</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乐观目标价元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半年至</w:t>
            </w:r>
            <w:r>
              <w:rPr>
                <w:rFonts w:eastAsia="微软雅黑" w:ascii="微软雅黑" w:hAnsi="微软雅黑"/>
                <w:sz w:val="17"/>
              </w:rPr>
              <w:t>2027-04-09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18.75/38.88/59.40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一年至</w:t>
            </w:r>
            <w:r>
              <w:rPr>
                <w:rFonts w:eastAsia="微软雅黑" w:ascii="微软雅黑" w:hAnsi="微软雅黑"/>
                <w:sz w:val="17"/>
              </w:rPr>
              <w:t>2027-10-09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19.20/45.50/72.60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30.66%</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三年至</w:t>
            </w:r>
            <w:r>
              <w:rPr>
                <w:rFonts w:eastAsia="微软雅黑" w:ascii="微软雅黑" w:hAnsi="微软雅黑"/>
                <w:sz w:val="17"/>
              </w:rPr>
              <w:t>2029-10-09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20.90/62.40/120.00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77.63%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82.47%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五年至</w:t>
            </w:r>
            <w:r>
              <w:rPr>
                <w:rFonts w:eastAsia="微软雅黑" w:ascii="微软雅黑" w:hAnsi="微软雅黑"/>
                <w:sz w:val="17"/>
              </w:rPr>
              <w:t>2031-10-09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22.00/79.50/178.60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126.30%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135.98%</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不单列评分</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18.00/35.28/50.16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0.43%</w:t>
            </w:r>
          </w:p>
        </w:tc>
      </w:tr>
    </w:tbl>
    <w:p>
      <w:pPr>
        <w:pStyle w:val="Normal"/>
        <w:rPr/>
      </w:pPr>
      <w:r>
        <w:rPr/>
      </w:r>
    </w:p>
    <w:p>
      <w:pPr>
        <w:pStyle w:val="Heading2"/>
        <w:rPr/>
      </w:pPr>
      <w:r>
        <w:rPr>
          <w:color w:val="000000"/>
        </w:rPr>
        <w:t>投资结论</w:t>
      </w:r>
    </w:p>
    <w:p>
      <w:pPr>
        <w:pStyle w:val="Normal"/>
        <w:rPr/>
      </w:pPr>
      <w:r>
        <w:rPr/>
        <w:t>海尔生物适合作为进取型医药工具与自动化观察标的，三年逻辑优于单纯年底追涨逻辑。公司已经从低温设备延伸至实验室、智慧用药和血液技术，核心机会在于把制药企业、科研机构与医院的零散采购，转化为流程方案、耗材及售后关系。上半年收入增长</w:t>
      </w:r>
      <w:r>
        <w:rPr/>
        <w:t>8.45%</w:t>
      </w:r>
      <w:r>
        <w:rPr/>
        <w:t>、扣非归母增长</w:t>
      </w:r>
      <w:r>
        <w:rPr/>
        <w:t>11.39%</w:t>
      </w:r>
      <w:r>
        <w:rPr/>
        <w:t>，构成经营恢复的直接证据；但实际归母只增长</w:t>
      </w:r>
      <w:r>
        <w:rPr/>
        <w:t>3.28%</w:t>
      </w:r>
      <w:r>
        <w:rPr/>
        <w:t>，且当前股价相对二〇二五年每股收益已经约四十四倍，不能凭设备国产替代概念认定便宜。</w:t>
      </w:r>
    </w:p>
    <w:p>
      <w:pPr>
        <w:pStyle w:val="Normal"/>
        <w:rPr/>
      </w:pPr>
      <w:r>
        <w:rPr/>
        <w:t>半年得分七十二点六，主要受量价表现支撑；一年七十四点二，增长恢复与估值承担的风险相互制衡；三年七十八点一，产品矩阵和海外网络有更充分的兑现时间；五年七十七点九，未来扩张虽有空间，但资本回报、并购整合及技术更新不确定性更高。按分数相差不足三分归同梯队的规则，半年与一年在本公司内部属于接近区间，三年与五年也接近；跨公司推荐梯队与名次由总表统一计算，不自行宣称进入全名单前十。</w:t>
      </w:r>
    </w:p>
    <w:p>
      <w:pPr>
        <w:pStyle w:val="Normal"/>
        <w:rPr/>
      </w:pPr>
      <w:r>
        <w:rPr/>
        <w:t>年底默认悲观、基准、乐观目标分别为十八、三十五点二八、五十点一六元，相对现价为负四十八点七六、正零点四三、正四十二点七八个百分点。按二十五、五十、二十五的判断权重，加权期望为三十四点六八元，回报约负一点二八个百分点。这个结果说明，已经显著上涨后的价格，需要较强经营改善才能在短时间内产生进一步上行；积极场景的高涨幅并不能掩盖基准年底空间很小，也不能把期望值误读为最可能收盘价。</w:t>
      </w:r>
    </w:p>
    <w:p>
      <w:pPr>
        <w:pStyle w:val="Normal"/>
        <w:rPr/>
      </w:pPr>
      <w:r>
        <w:rPr/>
        <w:t>推荐成立的条件是低温与实验室持续增长、智慧用药订单形成真实交付、血液技术从采购扰动恢复，海外项目剔除效应逐步转化为报告收入增长，同时销售投入不再持续吞噬毛利增量。失败条件是收入虽扩张但扣非利润和现金回报停滞，医院项目依靠长账期换增长，自动化方案无法复制，或者公司长期维持低净资产回报而市场不再给成长溢价。技术层面上，跌破短中期均线伴随下跌量增加会削弱半年推荐，并不自动推翻已兑现的业务事实。</w:t>
      </w:r>
    </w:p>
    <w:p>
      <w:pPr>
        <w:pStyle w:val="Heading2"/>
        <w:rPr/>
      </w:pPr>
      <w:r>
        <w:rPr>
          <w:color w:val="000000"/>
        </w:rPr>
        <w:t>一 理解公司的收入与价值来源</w:t>
      </w:r>
    </w:p>
    <w:p>
      <w:pPr>
        <w:pStyle w:val="Normal"/>
        <w:rPr/>
      </w:pPr>
      <w:r>
        <w:rPr/>
        <w:t>公司不是创新药研发企业，没有以某款药物三期成功率决定全部价值的二元风险。它处在生命科学上游，为样本保存、药物研发生产、血液采集及医院用药流程提供设备、耗材、软件和服务。这样的生意一方面可以受益于多个药企同时研发或生产，不必押中单个分子；另一方面依赖客户真实资本开支与预算付款，创新药授权金额增加并不意味着设备订单同步等比例增长。把上游需求与药物产业繁荣之间的传导环节说明白，比给公司直接套用创新药估值更重要。</w:t>
      </w:r>
    </w:p>
    <w:p>
      <w:pPr>
        <w:pStyle w:val="Normal"/>
        <w:rPr/>
      </w:pPr>
      <w:r>
        <w:rPr/>
        <w:t>低温业务是理解技术积累的起点。生物样本、疫苗和血液所需温度不同，可靠性、温度均匀性、能耗、故障预警、数据追溯与维护响应共同构成采购选择。一次温控失败可能毁坏长期样本或高价值产品，用户不会只比较冰箱售价。这使验证记录、品牌和服务网络有价值；但采购方可以比较总拥有成本，竞争者也能够改善制冷效率，领先设备并不必然形成永久垄断。本文把技术优势当作提高中标与复购概率的证据，不当作任何价格都合理的依据。</w:t>
      </w:r>
    </w:p>
    <w:p>
      <w:pPr>
        <w:pStyle w:val="Normal"/>
        <w:rPr/>
      </w:pPr>
      <w:r>
        <w:rPr/>
        <w:t>从单设备向场景方案升级，是公司希望改变收入结构的方向。自动化样本库可能把储存、取放、识别、权限管理、追溯与系统集成连起来；医院药房方案把药品转运、配药和发放纳入流程。用户购买更完整的解决方案，会提高单项目金额和切换成本，也会增加验收、实施与后续维护的复杂性。投资者应同时看到较高用户价值与较长兑现周期，不能只用平均客单价增加来证明利润一定增加。</w:t>
      </w:r>
    </w:p>
    <w:p>
      <w:pPr>
        <w:pStyle w:val="Normal"/>
        <w:rPr/>
      </w:pPr>
      <w:r>
        <w:rPr/>
        <w:t>二〇二六半年报按四大产业讨论经营，但二〇二五年报的财务产品表仍分生命科学与医疗创新。全年两类主营收入分别约十一点一八亿元和十一点九八亿元，不能把其中一类直接当作新分类的低温或智慧用药收入。半年报公开了四类增速，没有提供可完全拆分的同口径收入及归母利润表。本文保留这一缺口，不用比例猜出四个分部的盈利贡献。没有分部现金流时，精准分部估值会产生伪精确，正常化整体盈利模型更可核算。</w:t>
      </w:r>
    </w:p>
    <w:p>
      <w:pPr>
        <w:pStyle w:val="Normal"/>
        <w:rPr/>
      </w:pPr>
      <w:r>
        <w:rPr/>
        <w:t>公司的内生研发与外延收购同时承担扩品类任务。内生研发有助于复用制冷、材料、环境控制和自动化能力，收购可以获得分析仪器、血液技术等进入新场景的基础。两者的收益都需要经过产品可靠性、市场准入、渠道销售与售后服务检验。品牌统一能节省获客成本，却无法自动解决子公司的技术差异和管理问题。长期分析将并购商誉、无形资产摊销及少数股权视为真实成本与权益约束，而非为提高利润随意剔除的项目。</w:t>
      </w:r>
    </w:p>
    <w:p>
      <w:pPr>
        <w:pStyle w:val="Heading2"/>
        <w:rPr/>
      </w:pPr>
      <w:r>
        <w:rPr>
          <w:color w:val="000000"/>
        </w:rPr>
        <w:t>二 低温产业的复苏及边界</w:t>
      </w:r>
    </w:p>
    <w:p>
      <w:pPr>
        <w:pStyle w:val="Normal"/>
        <w:rPr/>
      </w:pPr>
      <w:r>
        <w:rPr/>
        <w:t>上半年低温产业收入同比增长百分之十三，已经连续四个季度保持正增长。它说明传统主业正在恢复，尤其制药终端需求提供了提速来源。公司披露新突破海外十一家全球前二十五药企在英国、新加坡等地的研发生产基地，并进入国内头部药企供应链。这里的“突破”应理解为获得用户或项目关系，不代表覆盖全部基地或得到长期最低采购保证。客户是否追加订单、订单规模和实际回款，仍需要后续报告支持。</w:t>
      </w:r>
    </w:p>
    <w:p>
      <w:pPr>
        <w:pStyle w:val="Normal"/>
        <w:rPr/>
      </w:pPr>
      <w:r>
        <w:rPr/>
        <w:t>低温设备的更新需求既来自新增产能，也来自存量替换。节能技术和更严格温控要求可能让用户愿意更新设备，但替换周期取决于旧设备可靠性、预算和电费节约幅度。研究不能简单把全球设备存量乘一个快速替换率，尤其在资本支出收缩时，用户可以延长使用寿命。基准情景假设新增制药需求与高端替换共同支持温和增长，乐观情景才允许自动化方案更快升级收入结构，悲观情景则考虑客户延迟采购。</w:t>
      </w:r>
    </w:p>
    <w:p>
      <w:pPr>
        <w:pStyle w:val="Normal"/>
        <w:rPr/>
      </w:pPr>
      <w:r>
        <w:rPr/>
        <w:t>公司报告低温自动化方案在手订单同比增长超过百分之五十，这比纯市场空间口号更接近未来收入。但订单可能经历交付、验收和变更，且同比增速受到原有规模影响。应关注订单总量、交付节奏、毛利和预付款是否同步；若高增订单对应合同负债下降，需要解释客户付款条款或项目结构。本文没有把未披露绝对金额的订单直接加到营业收入预测，也没有将商机储备当作确定合同。</w:t>
      </w:r>
    </w:p>
    <w:p>
      <w:pPr>
        <w:pStyle w:val="Normal"/>
        <w:rPr/>
      </w:pPr>
      <w:r>
        <w:rPr/>
        <w:t>降温速度、能效与温控精度等性能改善，对制药合规与运行成本有实际意义。半年报披露新制冷技术和产品上市，部分指标属于公司技术及应用披露，本文未进行独立实测。采购竞争的关键并不只在实验室参数，还在大规模运行一致性、维修响应、备件与国际认证。若某种新技术性能显著但量产成本过高，它可能适合高价值细分用户，未必立即进入全部基础设备。合理增长预测需要匹配产品适用场景。</w:t>
      </w:r>
    </w:p>
    <w:p>
      <w:pPr>
        <w:pStyle w:val="Normal"/>
        <w:rPr/>
      </w:pPr>
      <w:r>
        <w:rPr/>
        <w:t>航空温控是低温技术向运输场景延伸的可观察尝试。鸿鹄航空取得公司披露的中美适航认证，并通过两款主流箱型研发向生物药运输服务扩展。认证降低进入门槛，却不等同航司规模采用或高利用率。租赁模式还需要投放资产、调度、返程与维护能力，箱体技术与物流网络必须共同形成回报。本文没有把每个认证型号换算为未公开的收入，也不把全球航空冷链市场全部分配给公司。</w:t>
      </w:r>
    </w:p>
    <w:p>
      <w:pPr>
        <w:pStyle w:val="Normal"/>
        <w:rPr/>
      </w:pPr>
      <w:r>
        <w:rPr/>
        <w:t>鸿鹄航空融资七千万元后，海尔生物持股从百分之七十二下降至百分之五十八点三八，仍保持控制并纳入合并。注资加强子公司的资金实力，却减少母公司分享未来利润的比例，且存在关联基金参与。公司不再优先认购是资本分配选择，应看新增资本能否提高业务成功机会。估值中只能计母公司权益或归母收益，不能既在整体利润中合并贡献，又额外把子公司全部融资估值再加一遍。</w:t>
      </w:r>
    </w:p>
    <w:p>
      <w:pPr>
        <w:pStyle w:val="Normal"/>
        <w:rPr/>
      </w:pPr>
      <w:r>
        <w:rPr/>
        <w:t>向半导体、量子计算和核聚变延伸的技术探索，有可能打开新的应用，但截至截止日仍以探索表述为主。不同领域需要的温度、振动、洁净与工程接口差异很大，原有生物医疗低温能力不能直接替代全部工业低温系统。本文给予研发方向定性观察价值，不纳入基准收入或单列资产价值。若以后有正式产品、客户验收和可核验订单，才在模型版本中加入具体贡献，这样可以避免以多个前沿名词叠加过高估值。</w:t>
      </w:r>
    </w:p>
    <w:p>
      <w:pPr>
        <w:pStyle w:val="Heading2"/>
        <w:rPr/>
      </w:pPr>
      <w:r>
        <w:rPr>
          <w:color w:val="000000"/>
        </w:rPr>
        <w:t>三 实验室解决方案的扩张质量</w:t>
      </w:r>
    </w:p>
    <w:p>
      <w:pPr>
        <w:pStyle w:val="Normal"/>
        <w:rPr/>
      </w:pPr>
      <w:r>
        <w:rPr/>
        <w:t>实验室产业上半年增长百分之十九，是四类业务中增长较快的部分。公司将总有机碳分析仪、分光光度计、培养箱、离心机和安全柜等融入工作流，在制药之外还拓展新能源、石化和检测场景。多场景需求有助于分散单一医院预算风险，但研发、认证及售后体系也更复杂。不同客户对设备精度、稳定性和软件接口的要求差异大，多品类并不天然意味着规模经济，必须看共同平台与渠道能够复用多少。</w:t>
      </w:r>
    </w:p>
    <w:p>
      <w:pPr>
        <w:pStyle w:val="Normal"/>
        <w:rPr/>
      </w:pPr>
      <w:r>
        <w:rPr/>
        <w:t>分析仪器的竞争优势通常需要长期使用记录，而不只在国产品牌中排名靠前。国际企业既有产品组合，也有验证方法、耗材、应用支持和用户信任。公司在国产替代过程中可以先通过性价比与服务进入，再提升高端型号和应用能力。投资者应区分国产排名与全球份额，半年报中的招标统计和第三方品牌认证也未必覆盖所有线下订单。本文把这些资料当作方向证据，不把口径不同的排名拼成精确全球市场占有率。</w:t>
      </w:r>
    </w:p>
    <w:p>
      <w:pPr>
        <w:pStyle w:val="Normal"/>
        <w:rPr/>
      </w:pPr>
      <w:r>
        <w:rPr/>
        <w:t>海外离心机、培养箱等品类翻倍增长，值得关注，但起点规模没有完整披露。若从较低基数扩张，翻倍能证明渠道开始发挥作用，尚不能说明集团收入即将倍增。未来关键在持续获得新用户并把售后质量标准化，避免第一批出口设备故障增加费用。基准情景依靠多品类渐进渗透，乐观情景要求高端应用带来的利润率和复购贡献得到验证，悲观情景考虑价格竞争与注册延迟。</w:t>
      </w:r>
    </w:p>
    <w:p>
      <w:pPr>
        <w:pStyle w:val="Normal"/>
        <w:rPr/>
      </w:pPr>
      <w:r>
        <w:rPr/>
        <w:t>超速离心机进入用户试用投放，具有技术进展意义，但试用和正式规模销售不同。样机需要在用户条件下验证可靠性、处理效果、软件与维护，实验室研究用户与生物药生产用户的合规要求也不同。若试用转正式采购时间过长，会延迟研发投入回收。本文不为未披露订单的高端新品设定确定收入，跟踪项目由研发阶段走到商业化的证据，比假设所有研发成功更有解释力。</w:t>
      </w:r>
    </w:p>
    <w:p>
      <w:pPr>
        <w:pStyle w:val="Normal"/>
        <w:rPr/>
      </w:pPr>
      <w:r>
        <w:rPr/>
        <w:t>类器官培养、外周血细胞提取与工艺开发工作站让公司接近生物研发流程。客户需要的不是设备数量本身，而是批次一致性、效率和质量记录。产品若显著减少人工误差，可能带来较高支付意愿，但生物工艺适配不同细胞和样本的过程很复杂。公司披露的细胞活率与效率提升属于具体应用结果，不可外推所有用户。成功验证、法规要求与真实生产使用会决定长期订单，而非单一示范指标。</w:t>
      </w:r>
    </w:p>
    <w:p>
      <w:pPr>
        <w:pStyle w:val="Normal"/>
        <w:rPr/>
      </w:pPr>
      <w:r>
        <w:rPr/>
        <w:t>实验室方案还可能增加耗材与服务收入。耗材如果与设备密切匹配，会提高复购可见度，但客户也会比较开放兼容性、价格和供应安全。把设备装机理解为未来全部耗材由公司独占，会高估利润。本文关注使用频率、可替换性、认证和售后支持，但目前缺少完整耗材收入及分部毛利表，未采用独立高倍数耗材估值。先看收入结构实际改变，再提高商业质量评分，能够减少概念提前兑现的风险。</w:t>
      </w:r>
    </w:p>
    <w:p>
      <w:pPr>
        <w:pStyle w:val="Heading2"/>
        <w:rPr/>
      </w:pPr>
      <w:r>
        <w:rPr>
          <w:color w:val="000000"/>
        </w:rPr>
        <w:t>四 智慧用药的订单 验收与经济性</w:t>
      </w:r>
    </w:p>
    <w:p>
      <w:pPr>
        <w:pStyle w:val="Normal"/>
        <w:rPr/>
      </w:pPr>
      <w:r>
        <w:rPr/>
        <w:t>智慧用药上半年增长百分之十一，医院需求与市场份额提升提供支持。公司披露方案已覆盖五百五十余家医院，其中超过一半为三甲医院。覆盖家数说明已有较广应用基础，却不代表每家都使用完整产品矩阵，也不代表存量医院每年产生同样收入。医院项目主要由首次设备和实施、后续维护及升级组成，新增用户与存量复购的经济模型不同，需要用实际订单和持续服务收入加以区分。</w:t>
      </w:r>
    </w:p>
    <w:p>
      <w:pPr>
        <w:pStyle w:val="Normal"/>
        <w:rPr/>
      </w:pPr>
      <w:r>
        <w:rPr/>
        <w:t>自动化药房可以减少人工拣选、提高追溯并优化药品库存，但购买理由必须落到医院流程。不同医院的药品结构、空间、信息系统和药师职责差别明显，方案实施可能需要定制与培训。医院越大，系统连接价值越高，验收要求也越复杂；县域医院预算和采购规模较小，模块化产品可能更适合。公司若能实现标准模块复用，扩张成本会下降，否则销售增长可能伴随较多现场工程人力，压低利润率。</w:t>
      </w:r>
    </w:p>
    <w:p>
      <w:pPr>
        <w:pStyle w:val="Normal"/>
        <w:rPr/>
      </w:pPr>
      <w:r>
        <w:rPr/>
        <w:t>欧洲自动化药房项目造成海外收入基数扰动，是本次研究的重要反证点。上半年海外真实增长只有百分之零点一七，而剔除项目影响后公司披露增长百分之十八。这两组数字可以同时成立，因为大项目确认集中、常规业务恢复；但不能以调整后数字替代实际财务结果。海外项目二期首单在八月披露，说明客户关系延续，后续订单释放仍是前瞻。年底模型并未假设整个二期项目都在剩余月份完成收入确认。</w:t>
      </w:r>
    </w:p>
    <w:p>
      <w:pPr>
        <w:pStyle w:val="Normal"/>
        <w:rPr/>
      </w:pPr>
      <w:r>
        <w:rPr/>
        <w:t>海外通用版发药机进入多个新国家，标准化有助于降低跨国复制难度，但药品规格、语言、医院信息系统和监管不同，仍需当地适配。第一批项目必须评估维护时效及备件供应，如果仅有设备出口而缺少服务支持，长期口碑可能受损。公司已有海外网络提供基础，网络数量与实际覆盖能力仍需验证。研究应追踪项目获客成本、平均交付时间与保修费用，而不是只比较新增国家数量。</w:t>
      </w:r>
    </w:p>
    <w:p>
      <w:pPr>
        <w:pStyle w:val="Normal"/>
        <w:rPr/>
      </w:pPr>
      <w:r>
        <w:rPr/>
        <w:t>智慧中药房和医院供应管理等方向可以扩展产品边界，但行业政策支持不等于每个医院立即立项。中药配制、追溯与共享模式涉及质量、执业、区域合作和使用习惯，必须看实际合同与验收。半年报披露相关在手订单超过千万级，可以作为初步商业化证据，规模相对集团仍有限。本文不按政策文件名推导巨额新增收入，也不把探索中的供应管理业务写成已经稳定盈利的分部。</w:t>
      </w:r>
    </w:p>
    <w:p>
      <w:pPr>
        <w:pStyle w:val="Normal"/>
        <w:rPr/>
      </w:pPr>
      <w:r>
        <w:rPr/>
        <w:t>医院项目的下行风险不仅在需求，也在付款。若公司为取得项目放宽账期，收入和利润可能先增长，应收和合同资产随后积累。需要比较回款、坏账、验收周期与客户资金状况，尤其公立医院预算拨付与单次工程项目有季节性。上半年整体回款改善值得肯定，但公司没有公开所有智慧用药项目的付款结构，不能证明该分部不存在信用风险。情景中保留营运资金压力，体现高客单项目的现金需求。</w:t>
      </w:r>
    </w:p>
    <w:p>
      <w:pPr>
        <w:pStyle w:val="Heading2"/>
        <w:rPr/>
      </w:pPr>
      <w:r>
        <w:rPr>
          <w:color w:val="000000"/>
        </w:rPr>
        <w:t>五 血液技术与经常性耗材</w:t>
      </w:r>
    </w:p>
    <w:p>
      <w:pPr>
        <w:pStyle w:val="Normal"/>
        <w:rPr/>
      </w:pPr>
      <w:r>
        <w:rPr/>
        <w:t>血液技术上半年下降百分之五，较一季度近两成下滑明显收窄；公司披露二季度恢复高个位数增长。这个轨迹提示采购节奏影响正在减弱，但上半年累计仍为下降，不应直接称全年全面复苏。血浆采集设备和专用耗材与下游采浆量、浆站扩张及设备更换有关，耗材通常更贴近使用量。需确认设备与耗材各自增长，才能判断恢复是补库存还是终端持续消耗，本报告没有未披露的细分销量。</w:t>
      </w:r>
    </w:p>
    <w:p>
      <w:pPr>
        <w:pStyle w:val="Normal"/>
        <w:rPr/>
      </w:pPr>
      <w:r>
        <w:rPr/>
        <w:t>采浆方案与耗材具备一定系统配套关系，长期合作和合规验证可形成优势。产品可靠性、血液安全和操作体验会影响用户选择，专用耗材供应也需要稳定产能与质量管理。公司披露国内市场份额超过百分之五十，来源为第三方和公开数据统计，本文保留其口径。即使具有较高份额，也会面临客户谈判、监管升级、替代产品和价格压力，高份额不能直接转化为无限利润率。</w:t>
      </w:r>
    </w:p>
    <w:p>
      <w:pPr>
        <w:pStyle w:val="Normal"/>
        <w:rPr/>
      </w:pPr>
      <w:r>
        <w:rPr/>
        <w:t>血袋新业务获得多个国内和海外订单，扩展了采集到制备的产品链条。它能够复用客户与质量管理经验，但材料工艺、灭菌、过滤性能及注册要求需要单独验证。新产品的毛利与成熟耗材可能不同，早期产量不足会增加单位成本。本文把订单当作发展起点，不假设所有血站迅速采用，也不将全球血袋需求乘公司既有采浆份额。新领域的竞争地位必须由真实销量和质量记录形成。</w:t>
      </w:r>
    </w:p>
    <w:p>
      <w:pPr>
        <w:pStyle w:val="Normal"/>
        <w:rPr/>
      </w:pPr>
      <w:r>
        <w:rPr/>
        <w:t>自主血小板分离机推进至公司披露的三期临床阶段，属于医疗器械注册和证据形成过程，不能直接套用创新药临床概率。设备终点、样本、可靠性和监管标准均有差异，目前本文没有取得完整临床方案和监管原始文档，未给出精确成功率。基准利润不依赖该设备迅速放量，乐观情景只允许经过批准、市场验证后的新品贡献。若临床或注册延迟，应降低催化评分，而不能以技术攻克表述替代获批。</w:t>
      </w:r>
    </w:p>
    <w:p>
      <w:pPr>
        <w:pStyle w:val="Normal"/>
        <w:rPr/>
      </w:pPr>
      <w:r>
        <w:rPr/>
        <w:t>上海莱士在半年报关联方名单中属于同一最终控制方企业，不是海尔生物合并报表中的同一公司。集团关系可能提供场景合作，但本文不把上海莱士的浆站、血液制品利润或市值直接并入海尔生物。关联采购需要市场价格与治理约束，不能仅因生态协同就给无成本增长。研究只认可海尔生物自身已确认收入、归母权益和披露合同，这也是避免集团概念重复估值的重要边界。</w:t>
      </w:r>
    </w:p>
    <w:p>
      <w:pPr>
        <w:pStyle w:val="Heading2"/>
        <w:rPr/>
      </w:pPr>
      <w:r>
        <w:rPr>
          <w:color w:val="000000"/>
        </w:rPr>
        <w:t>六 行业周期与宏观传导</w:t>
      </w:r>
    </w:p>
    <w:p>
      <w:pPr>
        <w:pStyle w:val="Normal"/>
        <w:rPr/>
      </w:pPr>
      <w:r>
        <w:rPr/>
        <w:t>生命科学上游需求既有长期科研与医疗趋势，也有短期资本开支周期。创新药融资恢复会提高部分企业研发、生产和质量控制投入，但资金可能优先用于临床、人员和现金储备，设备采购传导存在时滞。大型药企建设基地带来项目机会，小型企业现金紧张则可能取消订单。公司制药端上半年增长百分之二十三，对总体收入增幅贡献近三个百分点，说明传导已经出现，但尚不能解释全部集团增长。</w:t>
      </w:r>
    </w:p>
    <w:p>
      <w:pPr>
        <w:pStyle w:val="Normal"/>
        <w:rPr/>
      </w:pPr>
      <w:r>
        <w:rPr/>
        <w:t>医院与公共卫生需求属于不同预算链条。上半年公司国内制药、医院和科研用户增长，疾控与血站等公共卫生端则中个位数下降。这个结构说明国内并非全面同步复苏，也反映疫情期间集中设备采购后更新需求可能放缓。投资者应看新增医院与科研项目是否能够抵消公卫端不足，避免把个别终端改善外推全部医疗设备。政策投入最终需要经过采购、验收和拨付，宏观利好与公司收入之间不能省略这些步骤。</w:t>
      </w:r>
    </w:p>
    <w:p>
      <w:pPr>
        <w:pStyle w:val="Normal"/>
        <w:rPr/>
      </w:pPr>
      <w:r>
        <w:rPr/>
        <w:t>科研需求受政府经费、高校和国家实验室建设、企业研发预算共同影响。长期基础研究投入有利，但年度拨款节奏和设备审批可能造成季度波动。高端设备的国产替代需要性能满足研究用途，价格优势只是进入的条件之一。公司完整品类有助于提高一站式采购价值，仍需要持续应用支持。模型采用逐步渗透而非一次性替代所有进口设备的假设，以反映技术验证和用户习惯变化需要时间。</w:t>
      </w:r>
    </w:p>
    <w:p>
      <w:pPr>
        <w:pStyle w:val="Normal"/>
        <w:rPr/>
      </w:pPr>
      <w:r>
        <w:rPr/>
        <w:t>利率下降对公司既可能提高成长资产估值，也可能减少存款利息。公司保有较多存款、理财和长期金融资产，短期银行债务较低，因此利率降低并不会形成很大的财务费用节省。若市场用更低贴现率给予高倍数，但经营利润被利息减少抵消，股东回报仍可能低于预期。本文不把低利率只作为估值利好，基准盈利含正常金融收益，未来资金使用效率决定净资产回报改善程度。</w:t>
      </w:r>
    </w:p>
    <w:p>
      <w:pPr>
        <w:pStyle w:val="Normal"/>
        <w:rPr/>
      </w:pPr>
      <w:r>
        <w:rPr/>
        <w:t>汇率同时影响海外收入折算、货币资产损益和价格竞争。上半年汇兑损失约一千一百八十二万元，上一年同期为收益约四百七十八万元，变化约一千六百六十万元，对归母增速造成明显拖累。公司在海外建立当地团队，部分费用以当地货币发生，收入与成本并非全部单向敞口。本文没有用人民币每变动一百分点就固定利润变化的线性公式，而把汇率压力纳入盈利情景，并保留货币结构资料不足的限制。</w:t>
      </w:r>
    </w:p>
    <w:p>
      <w:pPr>
        <w:pStyle w:val="Normal"/>
        <w:rPr/>
      </w:pPr>
      <w:r>
        <w:rPr/>
        <w:t>贸易壁垒与国际注册会影响海外竞争。设备通过认证有助于进入市场，却不等于未来关税、采购规则和数据安全要求全部消除。不同产品可能适用不同法规，本文尚未完成全部法律原文与产品对应审查，不能宣称公司不受某项政策影响。海外在地化能改善售后与需求响应，也会增加固定费用，只有收入规模和毛利足够时才会形成经营杠杆。研究因此同时评价出海空间与成本，而非给所有海外增长高质量加分。</w:t>
      </w:r>
    </w:p>
    <w:p>
      <w:pPr>
        <w:pStyle w:val="Heading2"/>
        <w:rPr/>
      </w:pPr>
      <w:r>
        <w:rPr>
          <w:color w:val="000000"/>
        </w:rPr>
        <w:t>七 历史财务 恢复来自哪里</w:t>
      </w:r>
    </w:p>
    <w:p>
      <w:pPr>
        <w:pStyle w:val="Normal"/>
        <w:rPr/>
      </w:pPr>
      <w:r>
        <w:rPr/>
        <w:t>二〇二三、二〇二四、二〇二五年收入分别约二十二点八一、二十二点八四和二十三点二九亿元，三年收入总体停滞。同期归母利润从四点零六亿元下降到三点六七亿元，再降至二点五一亿元。这个历史说明产品扩张和海外发展尚未完全转化为整体股东利润增长。二〇二六的恢复起点是较低盈利基数，不能只看最新同比正增长就抹去前期下降；也不能因为历史利润高，就假设未来必然回到同样利润率。</w:t>
      </w:r>
    </w:p>
    <w:p>
      <w:pPr>
        <w:pStyle w:val="Normal"/>
        <w:rPr/>
      </w:pPr>
      <w:r>
        <w:rPr/>
        <w:t>二〇二五归母下降百分之三十一点六一，扣非下降百分之三十一点七四，两者方向一致，说明压力不是单一非经常项目造成。全年营业成本增长快于收入，销售费用增长百分之二十三点七八，研发与管理费用也增加。新工厂爬坡与海外投入可以解释部分压力，投资者仍要看是否能形成后续收入回报。把这些全部称作“战略投入”并永久加回，会导致低估真实扩张成本，本文保留在正常利润中。</w:t>
      </w:r>
    </w:p>
    <w:p>
      <w:pPr>
        <w:pStyle w:val="Normal"/>
        <w:rPr/>
      </w:pPr>
      <w:r>
        <w:rPr/>
        <w:t>二〇二五主营毛利率百分之四十六点八二，同比下降一点二二个百分点。外销毛利率百分之五十四点九，内销百分之四十二点一九，二者存在明显差异，但海外销售和售后投入也更高。不能只按毛利率比较就判断海外利润贡献更优。若出口产品与国内项目结构不同，毛利差异可能持续；若海外渠道费用增加，净利润改善会滞后。完整分部经营利润缺失时，本文不以毛利差直接推算净利润。</w:t>
      </w:r>
    </w:p>
    <w:p>
      <w:pPr>
        <w:pStyle w:val="Normal"/>
        <w:rPr/>
      </w:pPr>
      <w:r>
        <w:rPr/>
        <w:t>二〇二六上半年收入十二点九六亿元，同比增长百分之八点四五，成本约六点八五亿元，增长百分之六点七四，整体毛利率约百分之四十七点一三，较同期增加零点八五个百分点。结构优化提供了恢复证据，但销售费用增加百分之十八点九二，快于收入增速。管理费用略降、研发增长略低于收入，使部分效率改善抵消海外投入。长期投资要看到规模扩张后费用率稳定，而非只依赖毛利率的小幅提高。</w:t>
      </w:r>
    </w:p>
    <w:p>
      <w:pPr>
        <w:pStyle w:val="Normal"/>
        <w:rPr/>
      </w:pPr>
      <w:r>
        <w:rPr/>
        <w:t>归母利润一亿四千七百四十一万元，扣非一亿三千七百五十五万元，两者差额约九百八十七万元。报告列示政府补助、金融资产损益、其他营业外事项等构成非经常项目，本文以扣非检验持续业务趋势。政府相关收益有些按规则计入经常项目，并非扣非后就全部没有政策收益。研究需要同时阅读其他收益和税收安排，不能把扣非自动视为绝对纯经营现金利润。</w:t>
      </w:r>
    </w:p>
    <w:p>
      <w:pPr>
        <w:pStyle w:val="Normal"/>
        <w:rPr/>
      </w:pPr>
      <w:r>
        <w:rPr/>
        <w:t>上半年总净利润约一亿四千八百九十二万元，少数股东损益约一百五十万元；归母低于总净的差额真实存在。当前差额较小，但子公司融资与未来盈利改变后可能扩大。估值以归母稀释每股收益为核心，而不把总净利润除母公司股数。鸿鹄持股下降也说明，合并收入增加与母公司分享利润比例并不是同一件事，增长判断必须保留权益归属。</w:t>
      </w:r>
    </w:p>
    <w:p>
      <w:pPr>
        <w:pStyle w:val="Normal"/>
        <w:rPr/>
      </w:pPr>
      <w:r>
        <w:rPr/>
        <w:t>基本与稀释每股收益均为零点四七元，扣非基本每股收益零点四四元。上半年二倍年化会给出零点九四元，但季度项目验收、费用、汇率和下半年需求可能改变结果，不能作为全年确定预测。年底基准使用零点九八元，是结合恢复趋势的研究假设，略高于机械年化，仍显著低于二〇二三年的一点二八元。这一设置展示温和恢复与历史高盈利的区别，不把峰值利润当作正常值。</w:t>
      </w:r>
    </w:p>
    <w:p>
      <w:pPr>
        <w:pStyle w:val="Normal"/>
        <w:rPr/>
      </w:pPr>
      <w:r>
        <w:rPr/>
        <w:t>二〇二五季度数据显示，收入确认与利润存在明显季节和项目波动，第二季度利润较低，第四季度现金流集中回升。比较二〇二六上半年时应同时注意基数结构，不能把二季度恢复全解释为长期加速。本文没有取得全部二〇二六季度同口径业务利润拆分，因此仅采用公开半年事实与管理层对二季度的描述，不补造每个季度收入。新的季度报告会构成模型刷新事件，而不是在截止日提前纳入。</w:t>
      </w:r>
    </w:p>
    <w:p>
      <w:pPr>
        <w:pStyle w:val="Heading2"/>
        <w:rPr/>
      </w:pPr>
      <w:r>
        <w:rPr>
          <w:color w:val="000000"/>
        </w:rPr>
        <w:t>八 现金流 存款与资本回报</w:t>
      </w:r>
    </w:p>
    <w:p>
      <w:pPr>
        <w:pStyle w:val="Normal"/>
        <w:rPr/>
      </w:pPr>
      <w:r>
        <w:rPr/>
        <w:t>上半年经营现金流一亿四千四百二十八万元，同比增长约百分之三百零五，与归母利润接近。上一年同期现金流只有三千五百六十四万元，低基数放大增幅。现金改善仍有价值，说明销售回款与营运资金拖累减轻，但不能把三倍增长解释为现金创造能力未来永久翻倍。现金流补充表显示应收与应付仍带来占用，存货减少提供部分释放，需要区分持续现金收益与营运资金时间差。</w:t>
      </w:r>
    </w:p>
    <w:p>
      <w:pPr>
        <w:pStyle w:val="Normal"/>
        <w:rPr/>
      </w:pPr>
      <w:r>
        <w:rPr/>
        <w:t>以经营现金流扣除购建固定、无形及其他长期资产现金支出，半年粗自由现金流约一亿零八百四十八万元。这个口径不扣并购价款、全部投资支出或融资活动，只用于比较核心经营现金与固定投入。二〇二五同口径约一亿四千八百六十四万元，二〇二四约一亿六千四百九十六万元。现金利润并未显示历史上稳定高增长，长期估值需要未来现金回报改善，不能以账面利润单方面支撑高倍数。</w:t>
      </w:r>
    </w:p>
    <w:p>
      <w:pPr>
        <w:pStyle w:val="Normal"/>
        <w:rPr/>
      </w:pPr>
      <w:r>
        <w:rPr/>
        <w:t>货币资金约九点九八亿元，现金及现金等价物约七点二四亿元，两者差额来自保证金、三个月到一年存单及应计利息。受限保证金约四百零七万元，不能与可随时支付现金等同。资产中还有交易性金融资产及长短期存款，流动性和到期结构不同。本文不会把货币资金、现金等价物和存款重复相加，也不会把所有金融资产按零风险、随时可用的现金处理。</w:t>
      </w:r>
    </w:p>
    <w:p>
      <w:pPr>
        <w:pStyle w:val="Normal"/>
        <w:rPr/>
      </w:pPr>
      <w:r>
        <w:rPr/>
        <w:t>长期其他非流动资产中，期限超过一年定期存款本金约六点一亿元，另含应计利息；一年内到期资产也包含相关金融安排。较多金融资产降低融资紧迫性，但可能限制净资产回报，特别是在存款利率下行时。企业若长期把资金留在低收益资产而不分红或投入高回报项目，账面净现金不必然带来股价上涨。本文正常化盈利已经包含利息贡献，不再额外把全部净现金加到盈利倍数结果。</w:t>
      </w:r>
    </w:p>
    <w:p>
      <w:pPr>
        <w:pStyle w:val="Normal"/>
        <w:rPr/>
      </w:pPr>
      <w:r>
        <w:rPr/>
        <w:t>六月末短借约一千万元，一年内长期借款约九百九十九万元，银行债务合计约两千万元，另有含当前部分租赁负债约六百九十三万元。负债合计约十一点五七亿元的大部分并非银行借款，还包括应付、收购价款、合同及税务负债。不能把总负债全部作为净债扣减，也不能因为银行借款少就忽略其他现金承诺。近期股权收购对价约五千九百三十八万元需要付款，资本配置分析应体现。</w:t>
      </w:r>
    </w:p>
    <w:p>
      <w:pPr>
        <w:pStyle w:val="Normal"/>
        <w:rPr/>
      </w:pPr>
      <w:r>
        <w:rPr/>
        <w:t>应收账款约四点一一亿元，较年末四点零四亿元略增；存货约三点三四亿元，低于年末三点四五亿元，方向相对温和。应收款项融资增加到六千三百五十七万元，主要是电子债权凭证增加，经济上仍需关注付款与流动性。合同负债从约一点七一亿元下降至一点零五亿元，不能直接等同订单下降，但提示订单增长与预收款未完全一致。应结合交付、付款条款和项目结构核查，而不是仅凭管理层订单增速忽略资产表。</w:t>
      </w:r>
    </w:p>
    <w:p>
      <w:pPr>
        <w:pStyle w:val="Normal"/>
        <w:rPr/>
      </w:pPr>
      <w:r>
        <w:rPr/>
        <w:t>商誉约七点五八亿元，无形资产约三点三九亿元，体现过去收购形成的未来收益预期。商誉不会每期摊销，却可能在经营不达预期时减值；无形资产摊销则持续影响利润。若为抬高盈利把摊销全部加回，必须解释维持技术和客户关系需要的现金投入。本文保留常态摊销，商誉减值列为下行风险，尚未完成每个现金生成单元的独立压力模型，因此不声称并购价值已被充分证实。</w:t>
      </w:r>
    </w:p>
    <w:p>
      <w:pPr>
        <w:pStyle w:val="Normal"/>
        <w:rPr/>
      </w:pPr>
      <w:r>
        <w:rPr/>
        <w:t>上半年研发一亿七千二百五十万元，占收入百分之十三点三一，全部费用化，未出现资本化研发投入。这种处理提高当前费用的透明度，减少通过资本化美化利润的空间；但研发能否产生经济回报仍需商业化验证。专利和新品数量有参考价值，不能替代产品收入、毛利和现金。基准情景允许收入扩张后研发率适度稳定，悲观情景考虑维持竞争力需要持续高研发，利润率改善可能较慢。</w:t>
      </w:r>
    </w:p>
    <w:p>
      <w:pPr>
        <w:pStyle w:val="Heading2"/>
        <w:rPr/>
      </w:pPr>
      <w:r>
        <w:rPr>
          <w:color w:val="000000"/>
        </w:rPr>
        <w:t>九 股数 回购及治理</w:t>
      </w:r>
    </w:p>
    <w:p>
      <w:pPr>
        <w:pStyle w:val="Normal"/>
        <w:rPr/>
      </w:pPr>
      <w:r>
        <w:rPr/>
        <w:t>公司一月六日注销一百四十五万九千五百八十六股，股份从约三亿一千七百九十五万下降到三亿一千六百四十九万。注销比例约百分之零点四六，对每股收益有小幅帮助，但不足以解释大幅股价变化。模型用三亿一千六百四十九万两千九百二十二股作为核验基数，未来限制性股票归属、新增回购注销或融资会改变分母。每股估值的核心是实际权益分摊，不能永远固定当前股数。</w:t>
      </w:r>
    </w:p>
    <w:p>
      <w:pPr>
        <w:pStyle w:val="Normal"/>
        <w:rPr/>
      </w:pPr>
      <w:r>
        <w:rPr/>
        <w:t>二〇二六员工持股计划从回购账户过户一百一十二万五千股，占总股本约百分之零点三五五五。它属于库存股份转移，不与注销相同，也不能把所有回购现金都视为分给原股东。员工计划帮助利益绑定，同时涉及股份支付、锁定期和未来处置。半年报披露部分限制性股票作废及费用，研究保留正常股份支付成本，未把激励都加回盈利，也没有假设未来完全不存在稀释。</w:t>
      </w:r>
    </w:p>
    <w:p>
      <w:pPr>
        <w:pStyle w:val="Normal"/>
        <w:rPr/>
      </w:pPr>
      <w:r>
        <w:rPr/>
        <w:t>新回购方案拟用五千万至一亿元、全部减少注册资本，期限至二〇二七年七月十九日，价格上限四十六元。上限是法律方案中的执行范围，不能当作公司给出的合理目标价。十月九日公告披露九月末累计回购一百一十一万五千七百九十二股，金额约三千三百八十一万元，成交区间二十八点一五至三十一点五元。已购不等于已经注销，模型不提前永久减少股数；执行剩余额度和最终注销仍需新公告核验。</w:t>
      </w:r>
    </w:p>
    <w:p>
      <w:pPr>
        <w:pStyle w:val="Normal"/>
        <w:rPr/>
      </w:pPr>
      <w:r>
        <w:rPr/>
        <w:t>十月九日公告是截至研究日可取得的资料，但静态文件和日期不足以确认盘前、盘中或盘后发布时间。本文将其单独标明可能收盘后发布，且九月末股本与六月末一致，不用回购信息推断当日市场已知。这个处理保留研究截止日资料与价格形成时信息集的区别。以后取得交易所精确发布时刻，可以更新来源字段，无需把整个历史分析推倒，但不应现在填写未经核实的时间。</w:t>
      </w:r>
    </w:p>
    <w:p>
      <w:pPr>
        <w:pStyle w:val="Normal"/>
        <w:rPr/>
      </w:pPr>
      <w:r>
        <w:rPr/>
        <w:t>关联交易方面，上半年关联采购及服务约三千九百八十八万元，关联销售约二千七百零三万元，公司披露参考市场价格协商。相对总收入不占主导，但需要关注定价、资金与业务边界，尤其集团生态关系很多。现有披露不能证明交易不公平，也不能证明天然没有风险。研究看董事会程序、应收回款和实质服务，而不以集团品牌替代独立公司治理评价。</w:t>
      </w:r>
    </w:p>
    <w:p>
      <w:pPr>
        <w:pStyle w:val="Normal"/>
        <w:rPr/>
      </w:pPr>
      <w:r>
        <w:rPr/>
        <w:t>股东回报有连续分红记录，二〇二五分配每股零点三三元已于六月完成，早于当前价格锚，不再计入未来回报。半年度没有新派息方案，年底及半年情景不加入尚未宣布且预计目标前未支付的分红。一年和长期累计分红是研究假设，不是董事会承诺。现金分红是否增加要看真实自由现金流、资本投入和股数，不能只根据历史派息比机械外推。</w:t>
      </w:r>
    </w:p>
    <w:p>
      <w:pPr>
        <w:pStyle w:val="Heading2"/>
        <w:rPr/>
      </w:pPr>
      <w:r>
        <w:rPr>
          <w:color w:val="000000"/>
        </w:rPr>
        <w:t>十 人工智能的价值与核验边界</w:t>
      </w:r>
    </w:p>
    <w:p>
      <w:pPr>
        <w:pStyle w:val="Normal"/>
        <w:rPr/>
      </w:pPr>
      <w:r>
        <w:rPr/>
        <w:t>与纯概念企业相比，海尔生物披露人工智能相关业务已占半年收入百分之十八，较二〇二五年增加三个百分点。该口径包括带智能功能的硬件、场景方案与服务，不是独立订阅软件收入。若把这部分全部套用高软件收入倍数，再把设备业务整体估值一次，会重复计算。本文将人工智能理解为提高产品价值、获客和运营效率的工具，收益体现在整体收入、毛利与费用趋势中。</w:t>
      </w:r>
    </w:p>
    <w:p>
      <w:pPr>
        <w:pStyle w:val="Normal"/>
        <w:rPr/>
      </w:pPr>
      <w:r>
        <w:rPr/>
        <w:t>智能体、垂直模型与终端产品数量表明公司有持续研发和落地尝试，但数量无法直接比较商业规模。面向样本库与医院的模型需要准确性、数据安全、设备控制可靠性和用户流程匹配，错误可能带来运营损失。示范效率指标需要在更多用户和更长使用期间验证，尤其涉及生物工艺质量时。研究不把公司单场景效率提升当作普遍性能承诺，关键是用户付费、复购与维护成本是否持续改善。</w:t>
      </w:r>
    </w:p>
    <w:p>
      <w:pPr>
        <w:pStyle w:val="Normal"/>
        <w:rPr/>
      </w:pPr>
      <w:r>
        <w:rPr/>
        <w:t>管理费用率下降及制造效率提高，为人工智能提效提供间接经营证据，仍无法独立分解全部因果。人员结构、收入增长、费用时间和其他管理措施也会影响费用率。本文没有将管理费用下降全部归因人工智能，避免以相关性替代因果。若未来智能化导致产品定制更复杂、云服务与维护支出增加，净收益可能小于单项效率改善，模型需同步调整费用与现金支出。</w:t>
      </w:r>
    </w:p>
    <w:p>
      <w:pPr>
        <w:pStyle w:val="Normal"/>
        <w:rPr/>
      </w:pPr>
      <w:r>
        <w:rPr/>
        <w:t>数据与平台价值的长期形成，需要用户允许数据连接、接口标准和持续运行。设备与流程能够产生有用信息，但数据所有权、隐私和科研保密约束可能限制跨用户训练与商业化。公司必须在合规条件下提高工作流价值，不能假设拥有客户全部数据。本文不单列未经核验的数据资产市值，五年高增长情景主要来自产品与服务真实销售，而非未来未知的数据出售收益。</w:t>
      </w:r>
    </w:p>
    <w:p>
      <w:pPr>
        <w:pStyle w:val="Heading2"/>
        <w:rPr/>
      </w:pPr>
      <w:r>
        <w:rPr>
          <w:color w:val="000000"/>
        </w:rPr>
        <w:t>十一 半年日线量价分析</w:t>
      </w:r>
    </w:p>
    <w:p>
      <w:pPr>
        <w:pStyle w:val="Normal"/>
        <w:rPr/>
      </w:pPr>
      <w:r>
        <w:rPr/>
        <w:t>日线采用三年真实行情，以基准日名义价格归一的复权开高低收计算。现价三十五点一三元，二十、六十、一百二十和二百五十日均线分别约三十二点八八、三十点一五、三十点二三及三十一点三四元，价格高于全部均线。均线之间尚非完全长短期顺序排列，因为六十线略低于一百二十线，反映修复阶段的历史影响。趋势判断为中短期上升，而不是已经完成所有长期结构转换。</w:t>
      </w:r>
    </w:p>
    <w:p>
      <w:pPr>
        <w:pStyle w:val="Normal"/>
        <w:rPr/>
      </w:pPr>
      <w:r>
        <w:rPr/>
        <w:t>五日均线斜率的观察口径是相同均线相隔五个交易日变化，二十线约正百分之三点零九、六十线正百分之二点二三、一百二十线正百分之零点六一、二百五十线正百分之零点一七。短线斜率明显更陡，长期线刚开始转暖，表现出近期加速。这个组合支持半年技术加分，但价格高于六十线约百分之十六点五，也增加回踩风险。趋势好与买入时点回报好需要分别分析。</w:t>
      </w:r>
    </w:p>
    <w:p>
      <w:pPr>
        <w:pStyle w:val="Normal"/>
        <w:rPr/>
      </w:pPr>
      <w:r>
        <w:rPr/>
        <w:t>二十日回报约百分之十四点六五，六十日百分之三十点三零，一百二十日百分之十三点三七，二百五十日百分之九点一三。近六十日强于更长周期，说明目前主要是阶段恢复与加速，尚不能证明持续多年的复合增长已经形成。半年技术评分四分建立在这些实测结果和成交量上，长期技术权重为零，避免把同一波上涨重复计入经营和五年评分。</w:t>
      </w:r>
    </w:p>
    <w:p>
      <w:pPr>
        <w:pStyle w:val="Normal"/>
        <w:rPr/>
      </w:pPr>
      <w:r>
        <w:rPr/>
        <w:t>最新交易日上涨百分之一点零九，成交五百六十七万九千七百九十七股，金额约一点九六亿元，换手率第三方报价约百分之一点七九。成交量在本证券报价中已独立核验为股，不能沿用某些其他证券“手乘一百”的规则。日内高点三十五点三、低点三十三点六一，收盘接近高位，显示当日回升；没有逐笔委托数据，不能进一步声称特定机构在吸筹或操纵。</w:t>
      </w:r>
    </w:p>
    <w:p>
      <w:pPr>
        <w:pStyle w:val="Normal"/>
        <w:rPr/>
      </w:pPr>
      <w:r>
        <w:rPr/>
        <w:t>五、二十、六十日均量分别约五百一十万、四百三十五万和四百零二万股，最新量相对之前二十日均量约一点三四倍。短期均量高于中期，配合上涨属于量能改善，但一点三四并非极端放量。若突破阻力需要更有说服力的持续量价确认，不能只用一日高量判断。成交额受价格变化影响，量和额应一起观察，本文未把报价成交额与不同复权时期的历史额直接拼接成精确指标。</w:t>
      </w:r>
    </w:p>
    <w:p>
      <w:pPr>
        <w:pStyle w:val="Normal"/>
        <w:rPr/>
      </w:pPr>
      <w:r>
        <w:rPr/>
        <w:t>最近二十日上涨十二天、下跌八天，上涨日总量约五千九百八十四万股，下跌日约二千七百二十五万股，总量比约二点二零。上涨天数更多本身就会提高总量比，平均上涨日约四百九十九万股，下跌日约三百四十一万股，平均比约一点四六。这样拆解后仍支持上涨阶段参与度较强，且不夸大成平均量翻倍。不能据此识别账户身份，也不能断言未来下跌抛压必然很小。</w:t>
      </w:r>
    </w:p>
    <w:p>
      <w:pPr>
        <w:pStyle w:val="Normal"/>
        <w:rPr/>
      </w:pPr>
      <w:r>
        <w:rPr/>
        <w:t>最近二十日区间低点三十点三二元、高点三十六点二四元，现价距离低点约负百分之十三点六九、距离高点正百分之三点一六。高点是观察阻力，尚未按反复触碰次数独立确认；低点是区间支撑观察而非止损保证。价格距离上侧较近、到区间低点距离更大，意味着盲目追高的短线盈亏不对称。实际策略需要等待突破确认或回踩结构，而不是从长期目标直接推导任何价格买入。</w:t>
      </w:r>
    </w:p>
    <w:p>
      <w:pPr>
        <w:pStyle w:val="Normal"/>
        <w:rPr/>
      </w:pPr>
      <w:r>
        <w:rPr/>
        <w:t>六十日低点二十六点一八元，距现价约负百分之二十五点四八；五十二周复权高点约三十八点三三元、低点二十四点四元，现价距高点约负百分之八点三四。去年高点可能形成更高一级供应区，不能因为离高点不足一成就认定将必然突破。观察路径可依次看三十六点二四、三十八点三三附近的成交与收盘，若突破后迅速回落且量增加，应把假突破列为技术反证。</w:t>
      </w:r>
    </w:p>
    <w:p>
      <w:pPr>
        <w:pStyle w:val="Normal"/>
        <w:rPr/>
      </w:pPr>
      <w:r>
        <w:rPr/>
        <w:t>二十线附近三十二点八八元与六十、一百二十线附近三十点二元，是动态回踩参考。均线会随新价格移动，不能将本次点位永久固定。较温和回踩若成交缩小、收盘重新站稳，可能保持趋势；若价格连续跌破且下跌日量显著放大，技术支持降低。本文不规定所有投资者统一止损比例，技术失效条件用于刷新评分，不代表可以保证在指定价成交或把极端跳空损失限制住。</w:t>
      </w:r>
    </w:p>
    <w:p>
      <w:pPr>
        <w:pStyle w:val="Heading2"/>
        <w:rPr/>
      </w:pPr>
      <w:r>
        <w:rPr>
          <w:color w:val="000000"/>
        </w:rPr>
        <w:t>十二 周线 指标及相对表现</w:t>
      </w:r>
    </w:p>
    <w:p>
      <w:pPr>
        <w:pStyle w:val="Normal"/>
        <w:rPr/>
      </w:pPr>
      <w:r>
        <w:rPr/>
        <w:t>周线共有一百五十五个真实周样本，二十、六十和一百二十周均线约二十九点六五、三十一点五七、三十一点五二元，现价位于其上。二十及六十周线斜率为正，一百二十周线五周变化仍约负百分之零点五六，表明长期均值尚未完全转升。二百五十周均线历史不足，保留空值，不以日线样本冒充。长期图形是修复中的证据，需用后续高低点和经营表现确认。</w:t>
      </w:r>
    </w:p>
    <w:p>
      <w:pPr>
        <w:pStyle w:val="Normal"/>
        <w:rPr/>
      </w:pPr>
      <w:r>
        <w:rPr/>
        <w:t>最新周受到国庆休市影响，交易日少于正常整周，周成交量约二十日周均量的一半不能直接判定缩量上涨乏力。周量比较应统一交易日或用日均成交量，否则节假日会制造错误结论。最近二十周上涨日总周量与下跌周量比约零点七三，较短日线的量价关系弱，也提示过去仍有较多调整。不能仅取对推荐有利的日线总量，周线历史结构应一并展示。</w:t>
      </w:r>
    </w:p>
    <w:p>
      <w:pPr>
        <w:pStyle w:val="Normal"/>
        <w:rPr/>
      </w:pPr>
      <w:r>
        <w:rPr/>
        <w:t>日线相对强弱指标约六十六点五，处于较强区间但未到本文定义的极端程度；它反映上涨速度，不能证明估值合理。周线指标约六十三，也支持修复。指标可能在强趋势中长期维持较高，也可能在接近阻力时回落，独立预测能力有限。本文不会因相对强弱与均线同时看多就把同一动量重复加多个满分，技术维度整体四分仍考虑较高乖离和上侧阻力。</w:t>
      </w:r>
    </w:p>
    <w:p>
      <w:pPr>
        <w:pStyle w:val="Normal"/>
        <w:rPr/>
      </w:pPr>
      <w:r>
        <w:rPr/>
        <w:t>日线指数移动均线差约一点三八、信号线一点一九，按两倍差定义的柱约零点三八，正值支持近期动量。周线差约零点八九、信号线略负，柱约一点八二，提示中期修复。它们与均线都来自价格序列，不是不同独立事实。若价格创新高而动量变弱，只能提出需要观察的背离，必须结合成交、支撑和波动，不能凭指标一项断言顶部已确定。</w:t>
      </w:r>
    </w:p>
    <w:p>
      <w:pPr>
        <w:pStyle w:val="Normal"/>
        <w:rPr/>
      </w:pPr>
      <w:r>
        <w:rPr/>
        <w:t>日平均真实波幅约一点二五元，占现价百分之三点五五，周波幅约二点四四元、百分之六点九三。这样的波动意味着短线目标三十六点二四距离现价不到一个日平均波幅，普通交易波动就可能触及。技术区间的概率和实际滑点未估计，不能把触及阻力当作获利确定性。波幅用于理解价格噪声与风险容量，未用于构造声称覆盖全部路径的置信区间。</w:t>
      </w:r>
    </w:p>
    <w:p>
      <w:pPr>
        <w:pStyle w:val="Normal"/>
        <w:rPr/>
      </w:pPr>
      <w:r>
        <w:rPr/>
        <w:t>相对沪深三百，二十日超额约十九点八二个百分点，六十日约四十一点七七个百分点，市场同期下跌使公司独立强势更明显。这个比较是同窗口复权回报差，不是风险调整收益，也没有控制行业和市值因子。细分医药工具行业完整历史未取得，因此行业超额留空。不能从强于大盘直接推断强于所有同业，更不能据此给经营质量加分。</w:t>
      </w:r>
    </w:p>
    <w:p>
      <w:pPr>
        <w:pStyle w:val="Normal"/>
        <w:rPr/>
      </w:pPr>
      <w:r>
        <w:rPr/>
        <w:t>行情双来源最近六十日复权序列差异极小，最新报价与独立收盘一致，技术数据可信度较高。腾讯三年早期历史有十个市场交易日缺口，独立历史有数据，交叉配对存在限制；近期二百五十日以上指标未受那段早期缺口影响。本文保留警告，不声称所有三年逐日数据都已双源完整核验。公司分红复权、名义价锚与成交量单位分别记录，避免把历史除息变化当作真实跌幅。</w:t>
      </w:r>
    </w:p>
    <w:p>
      <w:pPr>
        <w:pStyle w:val="Heading2"/>
        <w:rPr/>
      </w:pPr>
      <w:r>
        <w:rPr>
          <w:color w:val="000000"/>
        </w:rPr>
        <w:t>十三 估值模型的经济含义</w:t>
      </w:r>
    </w:p>
    <w:p>
      <w:pPr>
        <w:pStyle w:val="Normal"/>
        <w:rPr/>
      </w:pPr>
      <w:r>
        <w:rPr/>
        <w:t>本公司采用目标时点正常化归母稀释每股收益乘合理市盈率，辅以净资产回报和粗现金收益检验。没有完整分产业现金流与订单金额，本文不声称已完成精细分部现金流估值。市盈率能直接展示盈利和倍数两项变量，但适用前提是公司已经盈利且盈利具有可持续性。利息、正常股份支付、并购摊销及销售研发投入保留，不能通过大量加回制造过高正常利润。</w:t>
      </w:r>
    </w:p>
    <w:p>
      <w:pPr>
        <w:pStyle w:val="Normal"/>
        <w:rPr/>
      </w:pPr>
      <w:r>
        <w:rPr/>
        <w:t>现价除二〇二五稀释每股收益零点八元，约四十三点九倍；除扣非基本每股收益零点七元约五十点二倍，后者分母口径区别明确。行情提供的市盈率四十三点五三没有核验具体盈利期间，只作筛查。六月归母净资产折算每股约十三点九七元，现价约二点五一倍市净率，而二〇二五净资产收益率不足百分之六。估值已经包含未来改善预期，单靠账面净现金不足以证明折价。</w:t>
      </w:r>
    </w:p>
    <w:p>
      <w:pPr>
        <w:pStyle w:val="Normal"/>
        <w:rPr/>
      </w:pPr>
      <w:r>
        <w:rPr/>
        <w:t>以二〇二五粗自由现金流约一点四九亿元对基准市值约一百一十一点一八亿元，收益率只有约百分之一点三四。半年现金改善若延续会提升收益，但机械年化半年自由现金流仍不是稳定全年值。这项交叉检验提示，成长溢价必须由后续现金扩张兑现。与高收益率成熟分红公司相比，公司当前的吸引力主要在增长选择，而不是即期现金回报；进取型标准允许这一差异，但要披露下行。</w:t>
      </w:r>
    </w:p>
    <w:p>
      <w:pPr>
        <w:pStyle w:val="Normal"/>
        <w:rPr/>
      </w:pPr>
      <w:r>
        <w:rPr/>
        <w:t>目标期每股收益是假设当时市场评价的年度正常化盈利，并非目标日前累计六个月利润。年底以二〇二六盈利预期为主，半年与一年逐渐切换到二〇二七经营，三年与五年采用目标附近可持续年度盈利。若财年报告尚未发布，市场可能按前瞻盈利定价，具体报告时点影响信息可信度。本文公开每个分母与倍数，让读者能调整，而不把时间跨度藏在一个最终目标数里。</w:t>
      </w:r>
    </w:p>
    <w:p>
      <w:pPr>
        <w:pStyle w:val="Normal"/>
        <w:rPr/>
      </w:pPr>
      <w:r>
        <w:rPr/>
        <w:t>年底悲观每股收益零点七二、倍数二十五；基准零点九八、三十六；乐观一点一四、四十四。悲观相对二〇二五仍可能下降，反映费用、采购与汇率同时不利；基准表示温和恢复，乐观要求下半年盈利更强。低倍数与低盈利叠加会产生较大跌幅，这不是预测必然出现，而是展示当前成长溢价消失的风险。区间不是最大损失边界，停牌、重大事件和市场流动性可能使实际价格更低。</w:t>
      </w:r>
    </w:p>
    <w:p>
      <w:pPr>
        <w:pStyle w:val="Normal"/>
        <w:rPr/>
      </w:pPr>
      <w:r>
        <w:rPr/>
        <w:t>半年每股收益零点七五、一点零八、一点三二，倍数二十五、三十六、四十五，得到十八点七五、三十八点八八、五十九点四元。一年每股收益零点八、一点三、一点六五，倍数二十四、三十五、四十四，得到十九点二、四十五点五、七十二点六元。时间延长让盈利恢复有更多机会，但乐观倍数仍很高，必须有真实产品与现金增长支持，不能把乐观目标当作公司合理必达价值。</w:t>
      </w:r>
    </w:p>
    <w:p>
      <w:pPr>
        <w:pStyle w:val="Normal"/>
        <w:rPr/>
      </w:pPr>
      <w:r>
        <w:rPr/>
        <w:t>三年每股收益零点九五、一点九五、三元，倍数二十二、三十二、四十，目标二十点九、六十二点四、一百二十元。基准盈利对应约六点一七亿元归母，比二〇二五高出较多，需要多产业同时扩张与利润率恢复。若收入只是温和增长且销售研发率维持，无法达到该利润。本文把三年基准视为积极但可检验的成长路径，分数七十八并不意味着八成概率成功。</w:t>
      </w:r>
    </w:p>
    <w:p>
      <w:pPr>
        <w:pStyle w:val="Normal"/>
        <w:rPr/>
      </w:pPr>
      <w:r>
        <w:rPr/>
        <w:t>五年每股收益一点一、二点六五、四点七，倍数二十、三十、三十八，目标二十二、七十九点五、一百七十八点六元。基准归母约八点三九亿元，乐观约十四点八七亿元，要求公司从目前规模实现明显升级。乐观值的高空间来自较高盈利与高倍数共同作用，脆弱性也更大。五年比三年略低分，是因为资本回报、产品替代及海外合规风险随跨度增加，而非人为让所有期限分数自动上升。</w:t>
      </w:r>
    </w:p>
    <w:p>
      <w:pPr>
        <w:pStyle w:val="Heading2"/>
        <w:rPr/>
      </w:pPr>
      <w:r>
        <w:rPr>
          <w:color w:val="000000"/>
        </w:rPr>
        <w:t>十四 回报 情景与敏感性</w:t>
      </w:r>
    </w:p>
    <w:p>
      <w:pPr>
        <w:pStyle w:val="Normal"/>
        <w:rPr/>
      </w:pPr>
      <w:r>
        <w:rPr/>
        <w:t>一年累计分红假设悲观零点二五、基准零点四、乐观零点五元；三年一点零、一点七、二点四；五年一点八、三点四、五点二。累计分红不再投资，不含税费和买卖成本，计算总回报时与终值价格相加。三年基准含分红回报约百分之八十二点四七，年化约百分之二十二点二零；五年基准总回报约百分之一百三十五点九八，年化百分之十八点七三。年化只描述假设终值，不保证每年顺序稳定。</w:t>
      </w:r>
    </w:p>
    <w:p>
      <w:pPr>
        <w:pStyle w:val="Normal"/>
        <w:rPr/>
      </w:pPr>
      <w:r>
        <w:rPr/>
        <w:t>股票涨幅用目标价除三十五点一三再减一，全部为人民币本币口径。海尔生物没有对应港股证券，不用港币兑人民币转换股价回报；外币收入汇率影响已经进入利润风险，而不是投资者另持港币的换算收益。两种汇率传导要区分，避免把人民币升值对海外盈利的影响再重复扣一次持仓汇兑。总报告的港币敏感性适用于港股持仓，本公司只需要经营汇率分析。</w:t>
      </w:r>
    </w:p>
    <w:p>
      <w:pPr>
        <w:pStyle w:val="Normal"/>
        <w:rPr/>
      </w:pPr>
      <w:r>
        <w:rPr/>
        <w:t>年底防御权重四十、五十、十，期望二十九点八五六元，相对现价约负百分之十五点零一；积极权重十、五十、四十，期望三十九点五零四元，约正百分之十二点四五。只改变判断权重就能明显改变结论，说明期望值依赖研究偏好和风险认知。默认二十五、五十、二十五并非历史频率校准，不应拿它衡量获利概率。读者可以按自己的事件判断调整权重，但不得删掉不喜欢的下行情景。</w:t>
      </w:r>
    </w:p>
    <w:p>
      <w:pPr>
        <w:pStyle w:val="Normal"/>
        <w:rPr/>
      </w:pPr>
      <w:r>
        <w:rPr/>
        <w:t>以一年基准每股收益一点三不变，市盈率三十、三十五、四十分别给三十九、四十五点五、五十二元，对现价上涨约十一点零、二十九点五、四十八点零个百分点。以三十五倍不变，每股收益一点一、一点三、一点五给三十八点五、四十五点五、五十二点五元。这个二维关系说明，相同目标可来自盈利超预期或估值扩张，但可持续性不同。优先希望盈利与现金兑现，而非只依赖市场提高倍数。</w:t>
      </w:r>
    </w:p>
    <w:p>
      <w:pPr>
        <w:pStyle w:val="Normal"/>
        <w:rPr/>
      </w:pPr>
      <w:r>
        <w:rPr/>
        <w:t>未来实际稀释股数若比模型基数增加百分之五、净利润不变，目标每股收益和价格约下降百分之四点七六；若减少百分之五，价格约增加百分之五点二六。回购还要花现金，不能同时保留原现金利息和全部注销收益而不调整。本文仅提供分母敏感性，未假设新回购全部用最大额度以最优价格完成。模型活动版本需要同步刷新盈利、现金与股数，否则静态目标会逐渐失真。</w:t>
      </w:r>
    </w:p>
    <w:p>
      <w:pPr>
        <w:pStyle w:val="Normal"/>
        <w:rPr/>
      </w:pPr>
      <w:r>
        <w:rPr/>
        <w:t>毛利和费用的经营杠杆也可以量化理解：在十二点九六亿元半年收入规模上，毛利率变化一个百分点约影响毛利一千二百九十六万元，税费、少数股和其他不变前才能进一步估计归母影响。若销售费率同时上升一个百分点，毛利改善就可能被抵消。它不是精确利润敏感度，因为产品、税率和地区会联动，仍有助于说明为什么小幅增长不能自动支撑盈利大幅提升。</w:t>
      </w:r>
    </w:p>
    <w:p>
      <w:pPr>
        <w:pStyle w:val="Heading2"/>
        <w:rPr/>
      </w:pPr>
      <w:r>
        <w:rPr>
          <w:color w:val="000000"/>
        </w:rPr>
        <w:t>十五 四期限的路径与反证</w:t>
      </w:r>
    </w:p>
    <w:p>
      <w:pPr>
        <w:pStyle w:val="Normal"/>
        <w:rPr/>
      </w:pPr>
      <w:r>
        <w:rPr/>
        <w:t>半年主要观察下一次季度经营和二〇二六全年预期，价格催化来自订单交付、血液采购恢复与盈利信心。当前趋势较强，却接近区间上沿；若年底信息没有明显超预期，估值可能限制短期上行。基准半年空间只有约一成，悲观损失接近一半，不能把“量价强”理解为短线风险小。技术四分与估值三分同时进入评分，正是为了保留这种不对称，而不是只推荐最强走势图。</w:t>
      </w:r>
    </w:p>
    <w:p>
      <w:pPr>
        <w:pStyle w:val="Normal"/>
        <w:rPr/>
      </w:pPr>
      <w:r>
        <w:rPr/>
        <w:t>一年需要确认国内医院与科研恢复有延续性、海外大项目基数效应淡化、低温与实验室新品维持增长，同时销售投入出现收入回报。基准每股收益一点三接近略高于二〇二三峰值，要求利润规模恢复且股数小幅优化。失败路径包括海外调整后增长始终不转化实际增长、国内恢复只是一次性采购、费用率保持高位。若二〇二七的经营证据不足，应下调盈利，而非为了维护原目标提高倍数补差。</w:t>
      </w:r>
    </w:p>
    <w:p>
      <w:pPr>
        <w:pStyle w:val="Normal"/>
        <w:rPr/>
      </w:pPr>
      <w:r>
        <w:rPr/>
        <w:t>三年逻辑主要来自产品矩阵、渠道复用、耗材与自动化规模。它要求公司从广泛产品布局走向较高用户价值与稳定现金回报，成长质量比新品数量更重要。基准利润翻升并非仅靠低温主业温和增长，应有实验室、智慧用药与血液业务共同贡献。若只有收入扩张而净资产回报未提高、并购持续消耗现金，三年推荐将被推翻，即使市占率叙述继续改善也不足以保留原分数。</w:t>
      </w:r>
    </w:p>
    <w:p>
      <w:pPr>
        <w:pStyle w:val="Normal"/>
        <w:rPr/>
      </w:pPr>
      <w:r>
        <w:rPr/>
        <w:t>五年关注企业是否形成全球生命科学工具平台。长周期有更多时间积累客户和研发，但也要面对技术代际、国际竞争、治理和资本分配变化。基准假设合理增长与利润率恢复，不要求进入全部前沿领域；乐观情景才包含多条新增业务成功。失败路径可能是产品过多造成组织复杂、国际服务成本难降、资本投入回报不足或核心技术被替代。长期不会因为品牌与集团资源就自然得到更高确定性。</w:t>
      </w:r>
    </w:p>
    <w:p>
      <w:pPr>
        <w:pStyle w:val="Normal"/>
        <w:rPr/>
      </w:pPr>
      <w:r>
        <w:rPr/>
        <w:t>十年经营展望不提供精确十年目标价。若公司持续保持可靠设备、应用支持与合规能力，并把设备用户转化为耗材、维护和流程合作，可以形成更稳收入基础；若只靠不断收购和新品上市维持增长，现金与组织压力可能加重。最有价值的长期指标是复购收入、同用户扩张、产品运行质量与资本回报，而不是年度宣布多少智能体。十年持续性需要不断验证，现有半年报告只能提供早期证据。</w:t>
      </w:r>
    </w:p>
    <w:p>
      <w:pPr>
        <w:pStyle w:val="Normal"/>
        <w:rPr/>
      </w:pPr>
      <w:r>
        <w:rPr/>
        <w:t>核心反证清单包括：连续报告实际海外增长低于管理层调整口径、四产业恢复不能传到扣非利润、经营现金流再次显著低于利润、应收和合同资产随项目快速增加、费用投入未出现规模收益、商誉减值或新融资明显稀释。临床器械注册若出现质量问题或长期延迟，也要减催化与商业评分。每个变化应映射到模型变量和权重，不能笼统称风险已经充分反映而拒绝更新。</w:t>
      </w:r>
    </w:p>
    <w:p>
      <w:pPr>
        <w:pStyle w:val="Normal"/>
        <w:rPr/>
      </w:pPr>
      <w:r>
        <w:rPr/>
        <w:t>技术反证与基本面反证有不同时间尺度。跌破二十日线可能只是普通回踩，持续跌破六十与一百二十线且下跌量扩大，会明显削弱半年时点；但经营兑现良好时不必直接取消五年逻辑。相反，股价仍创新高却经营、现金和治理恶化，需要降低长期分数。把价格与经营分别检验，能够减少涨了就加分、跌了就否定全部公司的循环论证。</w:t>
      </w:r>
    </w:p>
    <w:p>
      <w:pPr>
        <w:pStyle w:val="Heading2"/>
        <w:rPr/>
      </w:pPr>
      <w:r>
        <w:rPr>
          <w:color w:val="000000"/>
        </w:rPr>
        <w:t>十六 评分解释与研究更新</w:t>
      </w:r>
    </w:p>
    <w:p>
      <w:pPr>
        <w:pStyle w:val="Normal"/>
        <w:rPr/>
      </w:pPr>
      <w:r>
        <w:rPr/>
        <w:t>估值维度半年三分，一年三点四，三年三点七，五年三点六，反映基准空间随盈利增长扩张但即期估值偏高。技术全部四分，只按各期限规定权重进入，五年为零权重。经营质量从三点六到四点一，随着产品和渠道可能兑现增加，但这一递增是条件性判断，不意味着已实现。行业三点八到四点二，长期需求有空间，采购周期与竞争约束持续存在。</w:t>
      </w:r>
    </w:p>
    <w:p>
      <w:pPr>
        <w:pStyle w:val="Normal"/>
        <w:rPr/>
      </w:pPr>
      <w:r>
        <w:rPr/>
        <w:t>催化剂半年三点八、一年三点八、三年三点八、五年三点七，公开订单、海外二期及产品推进支撑，未把探索领域当确定事件。财务治理下行分别三点八、三点七、三点五、三点四，低借款、费用化研发和现金改善有利，较高商誉、低净资产回报及长期扩张增加风险。评分用统一零至五判断，不做任意整数星级包装；差异的证据与期限逻辑比一位小数本身更重要。</w:t>
      </w:r>
    </w:p>
    <w:p>
      <w:pPr>
        <w:pStyle w:val="Normal"/>
        <w:rPr/>
      </w:pPr>
      <w:r>
        <w:rPr/>
        <w:t>依据计划权重计算，半年估值二十五、技术三十、经营十五、行业十、催化十、风险十，合成七十二点六；一年技术降至十五、经营提高至二十五，合成七十四点二；三年经营三十五、行业二十、技术五，七十八点一；五年经营四十、风险十五、技术零，七十七点九。权重没有为了推高某家公司修改，各维度保留证据原因。总榜同分先看含分红基准回报，再看悲观损失，证据可信度独立列示。</w:t>
      </w:r>
    </w:p>
    <w:p>
      <w:pPr>
        <w:pStyle w:val="Normal"/>
        <w:rPr/>
      </w:pPr>
      <w:r>
        <w:rPr/>
        <w:t>财务与行情证据可信度较高，因为来自原报告与交叉行情；未来估值可信度中低，来自经营、盈利和倍数假设。公开可核验外资目标价尚缺，本文不填写传闻或无日期目标，也不为满足表格完整编造机构。后续如取得九十日内正式或公开转述研报，应记录机构、日期、币种、目标期限和评级，十二个月目标只作一年参照，不能直接作为年底值或按月份线性缩放。</w:t>
      </w:r>
    </w:p>
    <w:p>
      <w:pPr>
        <w:pStyle w:val="Normal"/>
        <w:rPr/>
      </w:pPr>
      <w:r>
        <w:rPr/>
        <w:t>本报告仍缺完整分产业现金流、各产业净利润、独立历史估值分位、全部海外政策法律适用及外资原研报。缺口影响精细模型可信度，已明确保留，不以许多小数掩盖。现有模型能够核算情景、回报、权重和评分，适合初版比较；后续经营资料可能改变总榜。完成字数验收不代表所有数据缺口消失，内容覆盖与模型成熟度必须分别看待。</w:t>
      </w:r>
    </w:p>
    <w:p>
      <w:pPr>
        <w:pStyle w:val="Normal"/>
        <w:rPr/>
      </w:pPr>
      <w:r>
        <w:rPr/>
        <w:t>每次更新应先锁价格和资料日期，再更新活动盈利、倍数、股数与分红，按悲观、基准、乐观顺序重算并保存快照。若只改输入不刷新总表和文稿，旧目标会误导读者，因此状态必须标注待刷新。后续季度报告、股份变化、重大订单、产品审批、并购与贸易规则变化都是刷新触发。原版保留以便解释推荐变化，不删除不利历史，也不以截止日之后资料倒填本版预测。</w:t>
      </w:r>
    </w:p>
    <w:p>
      <w:pPr>
        <w:pStyle w:val="Heading2"/>
        <w:rPr/>
      </w:pPr>
      <w:r>
        <w:rPr>
          <w:color w:val="000000"/>
        </w:rPr>
        <w:t>来源与核验索引</w:t>
      </w:r>
    </w:p>
    <w:p>
      <w:pPr>
        <w:pStyle w:val="Normal"/>
        <w:rPr/>
      </w:pPr>
      <w:r>
        <w:rPr/>
        <w:t>[2026</w:t>
      </w:r>
      <w:r>
        <w:rPr/>
        <w:t>半年报</w:t>
      </w:r>
      <w:r>
        <w:rPr/>
        <w:t>](https://static.cninfo.com.cn/finalpage/2026-08-20/1225482454.PDF)</w:t>
      </w:r>
      <w:r>
        <w:rPr/>
        <w:t>，</w:t>
      </w:r>
      <w:r>
        <w:rPr/>
        <w:t>209</w:t>
      </w:r>
      <w:r>
        <w:rPr/>
        <w:t>页，</w:t>
      </w:r>
      <w:r>
        <w:rPr/>
        <w:t>6–7</w:t>
      </w:r>
      <w:r>
        <w:rPr/>
        <w:t>核心与扣非，</w:t>
      </w:r>
      <w:r>
        <w:rPr/>
        <w:t>9–13</w:t>
      </w:r>
      <w:r>
        <w:rPr/>
        <w:t>业务，</w:t>
      </w:r>
      <w:r>
        <w:rPr/>
        <w:t>19–26</w:t>
      </w:r>
      <w:r>
        <w:rPr/>
        <w:t>经营与</w:t>
      </w:r>
      <w:r>
        <w:rPr/>
        <w:t>AI</w:t>
      </w:r>
      <w:r>
        <w:rPr/>
        <w:t>，</w:t>
      </w:r>
      <w:r>
        <w:rPr/>
        <w:t>35</w:t>
      </w:r>
      <w:r>
        <w:rPr/>
        <w:t>研发全部费用化，</w:t>
      </w:r>
      <w:r>
        <w:rPr/>
        <w:t>42–44</w:t>
      </w:r>
      <w:r>
        <w:rPr/>
        <w:t>财务变动，</w:t>
      </w:r>
      <w:r>
        <w:rPr/>
        <w:t>49–50</w:t>
      </w:r>
      <w:r>
        <w:rPr/>
        <w:t>激励，</w:t>
      </w:r>
      <w:r>
        <w:rPr/>
        <w:t>64</w:t>
      </w:r>
      <w:r>
        <w:rPr/>
        <w:t>股数，</w:t>
      </w:r>
      <w:r>
        <w:rPr/>
        <w:t>71–73</w:t>
      </w:r>
      <w:r>
        <w:rPr/>
        <w:t>资产负债，</w:t>
      </w:r>
      <w:r>
        <w:rPr/>
        <w:t>75–77</w:t>
      </w:r>
      <w:r>
        <w:rPr/>
        <w:t>利润，</w:t>
      </w:r>
      <w:r>
        <w:rPr/>
        <w:t>79–81</w:t>
      </w:r>
      <w:r>
        <w:rPr/>
        <w:t>现金流，</w:t>
      </w:r>
      <w:r>
        <w:rPr/>
        <w:t>141–142</w:t>
      </w:r>
      <w:r>
        <w:rPr/>
        <w:t>存款及受限，</w:t>
      </w:r>
      <w:r>
        <w:rPr/>
        <w:t>146–147</w:t>
      </w:r>
      <w:r>
        <w:rPr/>
        <w:t>借款与租赁，</w:t>
      </w:r>
      <w:r>
        <w:rPr/>
        <w:t>150</w:t>
      </w:r>
      <w:r>
        <w:rPr/>
        <w:t>库存股，</w:t>
      </w:r>
      <w:r>
        <w:rPr/>
        <w:t>155</w:t>
      </w:r>
      <w:r>
        <w:rPr/>
        <w:t>汇兑及收益，</w:t>
      </w:r>
      <w:r>
        <w:rPr/>
        <w:t>162–163</w:t>
      </w:r>
      <w:r>
        <w:rPr/>
        <w:t>现金构成，</w:t>
      </w:r>
      <w:r>
        <w:rPr/>
        <w:t>185</w:t>
      </w:r>
      <w:r>
        <w:rPr/>
        <w:t>关联交易，</w:t>
      </w:r>
      <w:r>
        <w:rPr/>
        <w:t>190</w:t>
      </w:r>
      <w:r>
        <w:rPr/>
        <w:t>股份支付。报告未经审计，披露日</w:t>
      </w:r>
      <w:r>
        <w:rPr/>
        <w:t>2026-08-20</w:t>
      </w:r>
      <w:r>
        <w:rPr/>
        <w:t>。</w:t>
      </w:r>
    </w:p>
    <w:p>
      <w:pPr>
        <w:pStyle w:val="Normal"/>
        <w:rPr/>
      </w:pPr>
      <w:r>
        <w:rPr/>
        <w:t>[2025</w:t>
      </w:r>
      <w:r>
        <w:rPr/>
        <w:t>年报</w:t>
      </w:r>
      <w:r>
        <w:rPr/>
        <w:t>](https://static.cninfo.com.cn/finalpage/2026-03-28/1225047839.PDF)</w:t>
      </w:r>
      <w:r>
        <w:rPr/>
        <w:t>，</w:t>
      </w:r>
      <w:r>
        <w:rPr/>
        <w:t>272</w:t>
      </w:r>
      <w:r>
        <w:rPr/>
        <w:t>页，</w:t>
      </w:r>
      <w:r>
        <w:rPr/>
        <w:t>7–8</w:t>
      </w:r>
      <w:r>
        <w:rPr/>
        <w:t>三年核心与季度，</w:t>
      </w:r>
      <w:r>
        <w:rPr/>
        <w:t>46–48</w:t>
      </w:r>
      <w:r>
        <w:rPr/>
        <w:t>产品</w:t>
      </w:r>
      <w:r>
        <w:rPr/>
        <w:t>/</w:t>
      </w:r>
      <w:r>
        <w:rPr/>
        <w:t>地区</w:t>
      </w:r>
      <w:r>
        <w:rPr/>
        <w:t>/</w:t>
      </w:r>
      <w:r>
        <w:rPr/>
        <w:t>成本，</w:t>
      </w:r>
      <w:r>
        <w:rPr/>
        <w:t>77</w:t>
      </w:r>
      <w:r>
        <w:rPr/>
        <w:t>分红，</w:t>
      </w:r>
      <w:r>
        <w:rPr/>
        <w:t>126</w:t>
      </w:r>
      <w:r>
        <w:rPr/>
        <w:t>起资产负债，</w:t>
      </w:r>
      <w:r>
        <w:rPr/>
        <w:t>134–135</w:t>
      </w:r>
      <w:r>
        <w:rPr/>
        <w:t>经营现金与资本开支。原表金额元或万元按表头统一到百万人民币，产品分类与</w:t>
      </w:r>
      <w:r>
        <w:rPr/>
        <w:t>2026</w:t>
      </w:r>
      <w:r>
        <w:rPr/>
        <w:t>四产业区别。</w:t>
      </w:r>
    </w:p>
    <w:p>
      <w:pPr>
        <w:pStyle w:val="Normal"/>
        <w:rPr/>
      </w:pPr>
      <w:r>
        <w:rPr/>
        <w:t>[10</w:t>
      </w:r>
      <w:r>
        <w:rPr/>
        <w:t>月</w:t>
      </w:r>
      <w:r>
        <w:rPr/>
        <w:t>9</w:t>
      </w:r>
      <w:r>
        <w:rPr/>
        <w:t>日回购进展</w:t>
      </w:r>
      <w:r>
        <w:rPr/>
        <w:t>](https://static.cninfo.com.cn/finalpage/2026-10-09/1225597000.PDF)</w:t>
      </w:r>
      <w:r>
        <w:rPr/>
        <w:t>，</w:t>
      </w:r>
      <w:r>
        <w:rPr/>
        <w:t>2</w:t>
      </w:r>
      <w:r>
        <w:rPr/>
        <w:t>页，</w:t>
      </w:r>
      <w:r>
        <w:rPr/>
        <w:t>9</w:t>
      </w:r>
      <w:r>
        <w:rPr/>
        <w:t>月末股数</w:t>
      </w:r>
      <w:r>
        <w:rPr/>
        <w:t>/</w:t>
      </w:r>
      <w:r>
        <w:rPr/>
        <w:t>累计回购</w:t>
      </w:r>
      <w:r>
        <w:rPr/>
        <w:t>/</w:t>
      </w:r>
      <w:r>
        <w:rPr/>
        <w:t>区间</w:t>
      </w:r>
      <w:r>
        <w:rPr/>
        <w:t>/</w:t>
      </w:r>
      <w:r>
        <w:rPr/>
        <w:t>金额。精确发布时刻未核验，标注可能收盘后。</w:t>
      </w:r>
      <w:r>
        <w:rPr/>
        <w:t>[7</w:t>
      </w:r>
      <w:r>
        <w:rPr/>
        <w:t>月</w:t>
      </w:r>
      <w:r>
        <w:rPr/>
        <w:t>21</w:t>
      </w:r>
      <w:r>
        <w:rPr/>
        <w:t>日回购报告书</w:t>
      </w:r>
      <w:r>
        <w:rPr/>
        <w:t>](https://static.cninfo.com.cn/finalpage/2026-07-21/1225432871.PDF)</w:t>
      </w:r>
      <w:r>
        <w:rPr/>
        <w:t>，</w:t>
      </w:r>
      <w:r>
        <w:rPr/>
        <w:t>12</w:t>
      </w:r>
      <w:r>
        <w:rPr/>
        <w:t>页；</w:t>
      </w:r>
      <w:r>
        <w:rPr/>
        <w:t>[8</w:t>
      </w:r>
      <w:r>
        <w:rPr/>
        <w:t>月</w:t>
      </w:r>
      <w:r>
        <w:rPr/>
        <w:t>1</w:t>
      </w:r>
      <w:r>
        <w:rPr/>
        <w:t>日鸿鹄增资</w:t>
      </w:r>
      <w:r>
        <w:rPr/>
        <w:t>](https://static.cninfo.com.cn/finalpage/2026-08-01/1225450297.PDF)</w:t>
      </w:r>
      <w:r>
        <w:rPr/>
        <w:t>，</w:t>
      </w:r>
      <w:r>
        <w:rPr/>
        <w:t>4</w:t>
      </w:r>
      <w:r>
        <w:rPr/>
        <w:t>页，股权</w:t>
      </w:r>
      <w:r>
        <w:rPr/>
        <w:t>72%</w:t>
      </w:r>
      <w:r>
        <w:rPr/>
        <w:t>至</w:t>
      </w:r>
      <w:r>
        <w:rPr/>
        <w:t>58.38%</w:t>
      </w:r>
      <w:r>
        <w:rPr/>
        <w:t>、投资者与金额。原资料缓存</w:t>
      </w:r>
      <w:r>
        <w:rPr/>
        <w:t>data/a_pharma_raw</w:t>
      </w:r>
      <w:r>
        <w:rPr/>
        <w:t>。</w:t>
      </w:r>
    </w:p>
    <w:p>
      <w:pPr>
        <w:pStyle w:val="Normal"/>
        <w:rPr/>
      </w:pPr>
      <w:r>
        <w:rPr/>
        <w:t>行情见</w:t>
      </w:r>
      <w:r>
        <w:rPr/>
        <w:t>data/market_snapshot_locked.json</w:t>
      </w:r>
      <w:r>
        <w:rPr/>
        <w:t>中</w:t>
      </w:r>
      <w:r>
        <w:rPr/>
        <w:t>S001</w:t>
      </w:r>
      <w:r>
        <w:rPr/>
        <w:t>及</w:t>
      </w:r>
      <w:r>
        <w:rPr/>
        <w:t>data/history/S001.json</w:t>
      </w:r>
      <w:r>
        <w:rPr/>
        <w:t>，</w:t>
      </w:r>
      <w:r>
        <w:rPr/>
        <w:t>2026-10-09</w:t>
      </w:r>
      <w:r>
        <w:rPr/>
        <w:t>腾讯</w:t>
      </w:r>
      <w:r>
        <w:rPr/>
        <w:t>/</w:t>
      </w:r>
      <w:r>
        <w:rPr/>
        <w:t>新浪名义收盘与</w:t>
      </w:r>
      <w:r>
        <w:rPr/>
        <w:t>Yahoo</w:t>
      </w:r>
      <w:r>
        <w:rPr/>
        <w:t>独立日线核验，三年</w:t>
      </w:r>
      <w:r>
        <w:rPr/>
        <w:t>Yahoo/Tencent</w:t>
      </w:r>
      <w:r>
        <w:rPr/>
        <w:t>配对</w:t>
      </w:r>
      <w:r>
        <w:rPr/>
        <w:t>718</w:t>
      </w:r>
      <w:r>
        <w:rPr/>
        <w:t>日，腾讯早期</w:t>
      </w:r>
      <w:r>
        <w:rPr/>
        <w:t>10</w:t>
      </w:r>
      <w:r>
        <w:rPr/>
        <w:t>日缺口保留。模型</w:t>
      </w:r>
      <w:r>
        <w:rPr/>
        <w:t>data/haier_bio_model.json</w:t>
      </w:r>
      <w:r>
        <w:rPr/>
        <w:t>，作者独立正文有效汉字与重复</w:t>
      </w:r>
      <w:r>
        <w:rPr/>
        <w:t>/</w:t>
      </w:r>
      <w:r>
        <w:rPr/>
        <w:t>公式验收见</w:t>
      </w:r>
      <w:r>
        <w:rPr/>
        <w:t>qa/haier_bio_qa.json</w:t>
      </w:r>
      <w:r>
        <w:rPr/>
        <w:t>。</w:t>
      </w:r>
      <w:r>
        <w:br w:type="page"/>
      </w:r>
    </w:p>
    <w:p>
      <w:pPr>
        <w:pStyle w:val="Heading1"/>
        <w:rPr/>
      </w:pPr>
      <w:bookmarkStart w:id="5" w:name="__RefHeading___Toc15965_312338234"/>
      <w:bookmarkEnd w:id="5"/>
      <w:r>
        <w:rPr>
          <w:color w:val="000000"/>
        </w:rPr>
        <w:t xml:space="preserve">翰森制药 </w:t>
      </w:r>
      <w:r>
        <w:rPr>
          <w:color w:val="000000"/>
        </w:rPr>
        <w:t>03692 HK</w:t>
      </w:r>
    </w:p>
    <w:p>
      <w:pPr>
        <w:pStyle w:val="Normal"/>
        <w:rPr/>
      </w:pPr>
      <w:r>
        <w:rPr/>
        <w:t xml:space="preserve">03692.HK </w:t>
      </w:r>
      <w:r>
        <w:rPr/>
        <w:t xml:space="preserve">现价 </w:t>
      </w:r>
      <w:r>
        <w:rPr/>
        <w:t>31.54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39.13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+24.07%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+24.07%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46.01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+45.88%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+47.62%</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54.90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+74.05%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+80.08%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70.46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+123.39%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+135.12%</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-29.35%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36.98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+17.23%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52.14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+65.31%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37.09HKD</w:t>
      </w:r>
      <w:r>
        <w:rPr/>
        <w:t>，期望股价回报</w:t>
      </w:r>
      <w:r>
        <w:rPr/>
        <w:t>+17.61%</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23.08</w:t>
              <w:br/>
              <w:t>-26.84%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39.13</w:t>
              <w:br/>
              <w:t>+24.07%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56.17</w:t>
              <w:br/>
              <w:t>+78.08%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23.51</w:t>
              <w:br/>
              <w:t>-25.46%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46.01</w:t>
              <w:br/>
              <w:t>+45.88%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70.98</w:t>
              <w:br/>
              <w:t>+125.05%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25.05</w:t>
              <w:br/>
              <w:t>-20.59%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54.90</w:t>
              <w:br/>
              <w:t>+74.05%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96.31</w:t>
              <w:br/>
              <w:t>+205.36%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+21.66%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25.97</w:t>
              <w:br/>
              <w:t>-17.66%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70.46</w:t>
              <w:br/>
              <w:t>+123.39%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130.76</w:t>
              <w:br/>
              <w:t>+314.58%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+18.65%</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+17.87%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+24.07%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+30.27%</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+40.24%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+47.62%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+55.00%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+71.07%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+80.08%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+89.08%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+123.37%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+135.12%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+146.88%</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31.54</w:t>
      </w:r>
      <w:r>
        <w:rPr/>
        <w:t>港元，发行人</w:t>
      </w:r>
      <w:r>
        <w:rPr/>
        <w:t>I029</w:t>
      </w:r>
      <w:r>
        <w:rPr/>
        <w:t>、证券</w:t>
      </w:r>
      <w:r>
        <w:rPr/>
        <w:t>S034</w:t>
      </w:r>
      <w:r>
        <w:rPr/>
        <w:t>；活动模型</w:t>
      </w:r>
      <w:r>
        <w:rPr/>
        <w:t>hansoh-v1</w:t>
      </w:r>
      <w:r>
        <w:rPr/>
        <w:t>，资料截至同日。主要原证据为</w:t>
      </w:r>
      <w:r>
        <w:rPr/>
        <w:t>2026</w:t>
      </w:r>
      <w:r>
        <w:rPr/>
        <w:t>年</w:t>
      </w:r>
      <w:r>
        <w:rPr/>
        <w:t>9</w:t>
      </w:r>
      <w:r>
        <w:rPr/>
        <w:t>月</w:t>
      </w:r>
      <w:r>
        <w:rPr/>
        <w:t>23</w:t>
      </w:r>
      <w:r>
        <w:rPr/>
        <w:t>日中期报告、</w:t>
      </w:r>
      <w:r>
        <w:rPr/>
        <w:t>8</w:t>
      </w:r>
      <w:r>
        <w:rPr/>
        <w:t>月</w:t>
      </w:r>
      <w:r>
        <w:rPr/>
        <w:t>26</w:t>
      </w:r>
      <w:r>
        <w:rPr/>
        <w:t>日中期业绩及可转债调整公告、</w:t>
      </w:r>
      <w:r>
        <w:rPr/>
        <w:t>7</w:t>
      </w:r>
      <w:r>
        <w:rPr/>
        <w:t>月至</w:t>
      </w:r>
      <w:r>
        <w:rPr/>
        <w:t>9</w:t>
      </w:r>
      <w:r>
        <w:rPr/>
        <w:t>月临床与注册公告。半年</w:t>
      </w:r>
      <w:r>
        <w:rPr/>
        <w:t>67.8</w:t>
      </w:r>
      <w:r>
        <w:rPr/>
        <w:t>分、一年</w:t>
      </w:r>
      <w:r>
        <w:rPr/>
        <w:t>77.1</w:t>
      </w:r>
      <w:r>
        <w:rPr/>
        <w:t>分、三年</w:t>
      </w:r>
      <w:r>
        <w:rPr/>
        <w:t>82.5</w:t>
      </w:r>
      <w:r>
        <w:rPr/>
        <w:t>分、五年</w:t>
      </w:r>
      <w:r>
        <w:rPr/>
        <w:t>82.0</w:t>
      </w:r>
      <w:r>
        <w:rPr/>
        <w:t>分。三年和五年列优先研究梯队，短期因价低于主要均线降低入场评分，四榜名次由总表统一比较。证据可信度中等，逐适应症海外</w:t>
      </w:r>
      <w:r>
        <w:rPr/>
        <w:t>rNPV</w:t>
      </w:r>
      <w:r>
        <w:rPr/>
        <w:t>和产品级利润拆分仍未完整。</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22.2835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36.9753</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52.1402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17.23%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17.23%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23.0755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39.1313</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56.1662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24.07%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24.07%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23.5107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46.0096</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70.9810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45.88%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47.62%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25.0462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54.8960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96.3117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74.05%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80.08%</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25.9714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70.4583</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130.7600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123.39%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135.12%</w:t>
            </w:r>
          </w:p>
        </w:tc>
      </w:tr>
    </w:tbl>
    <w:p>
      <w:pPr>
        <w:pStyle w:val="Normal"/>
        <w:rPr/>
      </w:pPr>
      <w:r>
        <w:rPr/>
      </w:r>
    </w:p>
    <w:p>
      <w:pPr>
        <w:pStyle w:val="Normal"/>
        <w:rPr/>
      </w:pPr>
      <w:r>
        <w:rPr/>
        <w:t>累计未来股息假设一年基准</w:t>
      </w:r>
      <w:r>
        <w:rPr/>
        <w:t>0.55</w:t>
      </w:r>
      <w:r>
        <w:rPr/>
        <w:t>、三年</w:t>
      </w:r>
      <w:r>
        <w:rPr/>
        <w:t>1.90</w:t>
      </w:r>
      <w:r>
        <w:rPr/>
        <w:t>、五年</w:t>
      </w:r>
      <w:r>
        <w:rPr/>
        <w:t>3.70</w:t>
      </w:r>
      <w:r>
        <w:rPr/>
        <w:t>港元，三年基准含息年化</w:t>
      </w:r>
      <w:r>
        <w:rPr/>
        <w:t>21.66%</w:t>
      </w:r>
      <w:r>
        <w:rPr/>
        <w:t>，五年</w:t>
      </w:r>
      <w:r>
        <w:rPr/>
        <w:t>18.65%</w:t>
      </w:r>
      <w:r>
        <w:rPr/>
        <w:t>。年底</w:t>
      </w:r>
      <w:r>
        <w:rPr/>
        <w:t>25%/50%/25%</w:t>
      </w:r>
      <w:r>
        <w:rPr/>
        <w:t>情景权重给期望价</w:t>
      </w:r>
      <w:r>
        <w:rPr/>
        <w:t>37.0936</w:t>
      </w:r>
      <w:r>
        <w:rPr/>
        <w:t>港元、回报</w:t>
      </w:r>
      <w:r>
        <w:rPr/>
        <w:t>17.61%</w:t>
      </w:r>
      <w:r>
        <w:rPr/>
        <w:t>。</w:t>
      </w:r>
      <w:r>
        <w:rPr/>
        <w:t>2026</w:t>
      </w:r>
      <w:r>
        <w:rPr/>
        <w:t>中期息</w:t>
      </w:r>
      <w:r>
        <w:rPr/>
        <w:t>0.285</w:t>
      </w:r>
      <w:r>
        <w:rPr/>
        <w:t>港元记录日在</w:t>
      </w:r>
      <w:r>
        <w:rPr/>
        <w:t>9</w:t>
      </w:r>
      <w:r>
        <w:rPr/>
        <w:t>月</w:t>
      </w:r>
      <w:r>
        <w:rPr/>
        <w:t>25</w:t>
      </w:r>
      <w:r>
        <w:rPr/>
        <w:t>日、支付在</w:t>
      </w:r>
      <w:r>
        <w:rPr/>
        <w:t>10</w:t>
      </w:r>
      <w:r>
        <w:rPr/>
        <w:t>月</w:t>
      </w:r>
      <w:r>
        <w:rPr/>
        <w:t>29</w:t>
      </w:r>
      <w:r>
        <w:rPr/>
        <w:t>日，基准日新买入者没有领取资格，故不计入未来回报。主要风险为核心产品竞争、医保定价、新药临床和审批、海外权益及现金配置；结论需产品现金销售与新一波上市同时兑现。</w:t>
      </w:r>
    </w:p>
    <w:p>
      <w:pPr>
        <w:pStyle w:val="Heading2"/>
        <w:rPr/>
      </w:pPr>
      <w:r>
        <w:rPr>
          <w:color w:val="000000"/>
        </w:rPr>
        <w:t>一 为何优先研究 又为何半年评分较低</w:t>
      </w:r>
    </w:p>
    <w:p>
      <w:pPr>
        <w:pStyle w:val="Normal"/>
        <w:rPr/>
      </w:pPr>
      <w:r>
        <w:rPr/>
        <w:t>翰森具备成熟商业化收入、较大现金缓冲和多个后期创新药，比只拥有早期临床资产的企业更容易建立盈利估值基础。</w:t>
      </w:r>
      <w:r>
        <w:rPr/>
        <w:t>2026</w:t>
      </w:r>
      <w:r>
        <w:rPr/>
        <w:t>上半年药品销售</w:t>
      </w:r>
      <w:r>
        <w:rPr/>
        <w:t>68.43069</w:t>
      </w:r>
      <w:r>
        <w:rPr/>
        <w:t>亿元，创新产品销售同比增长</w:t>
      </w:r>
      <w:r>
        <w:rPr/>
        <w:t>21.6%</w:t>
      </w:r>
      <w:r>
        <w:rPr/>
        <w:t>，销售费用增幅只有约</w:t>
      </w:r>
      <w:r>
        <w:rPr/>
        <w:t>2.3%</w:t>
      </w:r>
      <w:r>
        <w:rPr/>
        <w:t>，显示已有产品组合在增长同时改善经营效率。长期论点并非等待一家企业首次证明可以卖药，而是验证它能否由阿美乐等已有产品向肿瘤、代谢及自身免疫多产品平台延伸。</w:t>
      </w:r>
    </w:p>
    <w:p>
      <w:pPr>
        <w:pStyle w:val="Normal"/>
        <w:rPr/>
      </w:pPr>
      <w:r>
        <w:rPr/>
        <w:t>31.54</w:t>
      </w:r>
      <w:r>
        <w:rPr/>
        <w:t>港元对应的价格状态与近期香港医药中的强势平台不同。价位低于</w:t>
      </w:r>
      <w:r>
        <w:rPr/>
        <w:t>20</w:t>
      </w:r>
      <w:r>
        <w:rPr/>
        <w:t>、</w:t>
      </w:r>
      <w:r>
        <w:rPr/>
        <w:t>60</w:t>
      </w:r>
      <w:r>
        <w:rPr/>
        <w:t>、</w:t>
      </w:r>
      <w:r>
        <w:rPr/>
        <w:t>120</w:t>
      </w:r>
      <w:r>
        <w:rPr/>
        <w:t>和</w:t>
      </w:r>
      <w:r>
        <w:rPr/>
        <w:t>250</w:t>
      </w:r>
      <w:r>
        <w:rPr/>
        <w:t>日均线，</w:t>
      </w:r>
      <w:r>
        <w:rPr/>
        <w:t>RSI38.41</w:t>
      </w:r>
      <w:r>
        <w:rPr/>
        <w:t>，最近</w:t>
      </w:r>
      <w:r>
        <w:rPr/>
        <w:t>20</w:t>
      </w:r>
      <w:r>
        <w:rPr/>
        <w:t>与</w:t>
      </w:r>
      <w:r>
        <w:rPr/>
        <w:t>60</w:t>
      </w:r>
      <w:r>
        <w:rPr/>
        <w:t>日均跑输恒生指数。企业基本面可以逐步改善，股票仍可能因预期调整、机构持仓和市场政策担忧持续下行。半年评分中技术权重</w:t>
      </w:r>
      <w:r>
        <w:rPr/>
        <w:t>30%</w:t>
      </w:r>
      <w:r>
        <w:rPr/>
        <w:t>，这让即便存在估值空间，当前排序也低于一些经营增长和价格结构同步向上的公司。低于均线不证明企业价值差，却影响短期入场的回报损失比例。</w:t>
      </w:r>
    </w:p>
    <w:p>
      <w:pPr>
        <w:pStyle w:val="Normal"/>
        <w:rPr/>
      </w:pPr>
      <w:r>
        <w:rPr/>
        <w:t>本模型年底基准</w:t>
      </w:r>
      <w:r>
        <w:rPr/>
        <w:t>36.98</w:t>
      </w:r>
      <w:r>
        <w:rPr/>
        <w:t>港元、半年</w:t>
      </w:r>
      <w:r>
        <w:rPr/>
        <w:t>39.13</w:t>
      </w:r>
      <w:r>
        <w:rPr/>
        <w:t>、一年</w:t>
      </w:r>
      <w:r>
        <w:rPr/>
        <w:t>46.01</w:t>
      </w:r>
      <w:r>
        <w:rPr/>
        <w:t>。上涨空间较大是以剔除非持续收益后的未来盈利和超额净现金估算，并没有直接把报表</w:t>
      </w:r>
      <w:r>
        <w:rPr/>
        <w:t>42.58</w:t>
      </w:r>
      <w:r>
        <w:rPr/>
        <w:t>亿元半年利润乘二当作可持续利润。核心</w:t>
      </w:r>
      <w:r>
        <w:rPr/>
        <w:t>2027EPS0.98</w:t>
      </w:r>
      <w:r>
        <w:rPr/>
        <w:t>元与</w:t>
      </w:r>
      <w:r>
        <w:rPr/>
        <w:t>32</w:t>
      </w:r>
      <w:r>
        <w:rPr/>
        <w:t>倍</w:t>
      </w:r>
      <w:r>
        <w:rPr/>
        <w:t>PE</w:t>
      </w:r>
      <w:r>
        <w:rPr/>
        <w:t>，加</w:t>
      </w:r>
      <w:r>
        <w:rPr/>
        <w:t>260</w:t>
      </w:r>
      <w:r>
        <w:rPr/>
        <w:t>亿元净现金按股数分摊，得到半年</w:t>
      </w:r>
      <w:r>
        <w:rPr/>
        <w:t>39.13</w:t>
      </w:r>
      <w:r>
        <w:rPr/>
        <w:t>。若核心销售、注册或风险偏好不支持，悲观目标仍可低于现价。因此“便宜”只在明确盈利路径下成立，不能由与历史高点距离大就推出。</w:t>
      </w:r>
    </w:p>
    <w:p>
      <w:pPr>
        <w:pStyle w:val="Normal"/>
        <w:rPr/>
      </w:pPr>
      <w:r>
        <w:rPr/>
        <w:t>三年至五年得分超过</w:t>
      </w:r>
      <w:r>
        <w:rPr/>
        <w:t>82</w:t>
      </w:r>
      <w:r>
        <w:rPr/>
        <w:t>，主要来自已有商业体系和第二波产品的可能贡献。</w:t>
      </w:r>
      <w:r>
        <w:rPr/>
        <w:t>HS20093</w:t>
      </w:r>
      <w:r>
        <w:rPr/>
        <w:t>在小细胞肺癌及骨肉瘤已取得关键临床结果和申报进展，奥莱泊肽上市申请受理，</w:t>
      </w:r>
      <w:r>
        <w:rPr/>
        <w:t>TYK2</w:t>
      </w:r>
      <w:r>
        <w:rPr/>
        <w:t>抑制剂三期结果在</w:t>
      </w:r>
      <w:r>
        <w:rPr/>
        <w:t>9</w:t>
      </w:r>
      <w:r>
        <w:rPr/>
        <w:t>月公布。多个不同疾病资产可以分散单个技术失败风险，但相同平台相关性和持续研发预算仍在。模型长线</w:t>
      </w:r>
      <w:r>
        <w:rPr/>
        <w:t>PE</w:t>
      </w:r>
      <w:r>
        <w:rPr/>
        <w:t>逐步下降，收益更多来自每股核心盈利，而非假定市场永远提高估值倍数。</w:t>
      </w:r>
    </w:p>
    <w:p>
      <w:pPr>
        <w:pStyle w:val="Heading2"/>
        <w:rPr/>
      </w:pPr>
      <w:r>
        <w:rPr>
          <w:color w:val="000000"/>
        </w:rPr>
        <w:t>二 企业商业模式与收入的真实分层</w:t>
      </w:r>
    </w:p>
    <w:p>
      <w:pPr>
        <w:pStyle w:val="Normal"/>
        <w:rPr/>
      </w:pPr>
      <w:r>
        <w:rPr/>
        <w:t>公司重点领域包括肿瘤、中枢神经、代谢、自身免疫和抗感染，报告称中国有七款产生销售的创新药。研发从自主小分子和生物药拓展到</w:t>
      </w:r>
      <w:r>
        <w:rPr/>
        <w:t>ADC</w:t>
      </w:r>
      <w:r>
        <w:rPr/>
        <w:t>及其他平台，同时通过许可引入填补产品与技术能力。商业模式同时包含产品销售、授权合作、银行和投资收益。不同收入的可持续性、毛利和收款时点不同，不能用总利润高低代替产品竞争力。估值需要区分稳定上市药物、临床资产和现金投资活动。</w:t>
      </w:r>
    </w:p>
    <w:p>
      <w:pPr>
        <w:pStyle w:val="Normal"/>
        <w:rPr/>
      </w:pPr>
      <w:r>
        <w:rPr/>
        <w:t>中报总收入</w:t>
      </w:r>
      <w:r>
        <w:rPr/>
        <w:t>83.04007</w:t>
      </w:r>
      <w:r>
        <w:rPr/>
        <w:t>亿元，其中药品相关销售</w:t>
      </w:r>
      <w:r>
        <w:rPr/>
        <w:t>68.43069</w:t>
      </w:r>
      <w:r>
        <w:rPr/>
        <w:t>亿元，客户合同其他收入</w:t>
      </w:r>
      <w:r>
        <w:rPr/>
        <w:t>14.60938</w:t>
      </w:r>
      <w:r>
        <w:rPr/>
        <w:t>亿元。原摘要创新药收入约</w:t>
      </w:r>
      <w:r>
        <w:rPr/>
        <w:t>70.92</w:t>
      </w:r>
      <w:r>
        <w:rPr/>
        <w:t>亿元、占</w:t>
      </w:r>
      <w:r>
        <w:rPr/>
        <w:t>85.4%</w:t>
      </w:r>
      <w:r>
        <w:rPr/>
        <w:t>，而“创新药收入”并不等于所有创新药终端产品销售。公司和机构说明该口径含合作相关贡献。若将</w:t>
      </w:r>
      <w:r>
        <w:rPr/>
        <w:t>70.92</w:t>
      </w:r>
      <w:r>
        <w:rPr/>
        <w:t>亿元全部当作经销商产品收入，会同时高估产品占比及销售费用效率，也会误判未来增长对授权交易的依赖。</w:t>
      </w:r>
    </w:p>
    <w:p>
      <w:pPr>
        <w:pStyle w:val="Normal"/>
        <w:rPr/>
      </w:pPr>
      <w:r>
        <w:rPr/>
        <w:t>产品销售同比从</w:t>
      </w:r>
      <w:r>
        <w:rPr/>
        <w:t>59.85705</w:t>
      </w:r>
      <w:r>
        <w:rPr/>
        <w:t>亿元增加到</w:t>
      </w:r>
      <w:r>
        <w:rPr/>
        <w:t>68.43069</w:t>
      </w:r>
      <w:r>
        <w:rPr/>
        <w:t>亿元，增长约</w:t>
      </w:r>
      <w:r>
        <w:rPr/>
        <w:t>14.33%</w:t>
      </w:r>
      <w:r>
        <w:rPr/>
        <w:t>；创新产品销售增长</w:t>
      </w:r>
      <w:r>
        <w:rPr/>
        <w:t>21.6%</w:t>
      </w:r>
      <w:r>
        <w:rPr/>
        <w:t>，因此非创新或传统产品相对承压。其他客户合同收入</w:t>
      </w:r>
      <w:r>
        <w:rPr/>
        <w:t>14.60938</w:t>
      </w:r>
      <w:r>
        <w:rPr/>
        <w:t>亿元与去年</w:t>
      </w:r>
      <w:r>
        <w:rPr/>
        <w:t>14.47854</w:t>
      </w:r>
      <w:r>
        <w:rPr/>
        <w:t>亿元接近，仅增长约</w:t>
      </w:r>
      <w:r>
        <w:rPr/>
        <w:t>0.90%</w:t>
      </w:r>
      <w:r>
        <w:rPr/>
        <w:t>。总体收入增长</w:t>
      </w:r>
      <w:r>
        <w:rPr/>
        <w:t>11.7%</w:t>
      </w:r>
      <w:r>
        <w:rPr/>
        <w:t>同时包含结构迁移和授权基数效应。模型未来产品增长应从</w:t>
      </w:r>
      <w:r>
        <w:rPr/>
        <w:t>68.43</w:t>
      </w:r>
      <w:r>
        <w:rPr/>
        <w:t>亿元半年实际销售出发，不把所有合作收入以同一增速连续滚动，也不将其中一次首付款当作多年年金。</w:t>
      </w:r>
    </w:p>
    <w:p>
      <w:pPr>
        <w:pStyle w:val="Normal"/>
        <w:rPr/>
      </w:pPr>
      <w:r>
        <w:rPr/>
        <w:t>肿瘤领域报告收入约</w:t>
      </w:r>
      <w:r>
        <w:rPr/>
        <w:t>54.73</w:t>
      </w:r>
      <w:r>
        <w:rPr/>
        <w:t>亿元、占</w:t>
      </w:r>
      <w:r>
        <w:rPr/>
        <w:t>65.9%</w:t>
      </w:r>
      <w:r>
        <w:rPr/>
        <w:t>，非肿瘤</w:t>
      </w:r>
      <w:r>
        <w:rPr/>
        <w:t>28.31</w:t>
      </w:r>
      <w:r>
        <w:rPr/>
        <w:t>亿元、占</w:t>
      </w:r>
      <w:r>
        <w:rPr/>
        <w:t>34.1%</w:t>
      </w:r>
      <w:r>
        <w:rPr/>
        <w:t>。这仍是收入分类，未逐个产品披露完整销售和利润。阿美乐是重要商业资产，其他创新产品逐步形成组合，收入集中度仍需进一步核验。公司称没有单一客户贡献</w:t>
      </w:r>
      <w:r>
        <w:rPr/>
        <w:t>10%</w:t>
      </w:r>
      <w:r>
        <w:rPr/>
        <w:t>以上总收入，说明客户结算分散；它并不代表没有单一药物集中，因为同一产品可以向众多商业客户销售。</w:t>
      </w:r>
    </w:p>
    <w:p>
      <w:pPr>
        <w:pStyle w:val="Normal"/>
        <w:rPr/>
      </w:pPr>
      <w:r>
        <w:rPr/>
        <w:t>自主研发产品通常保留更多市场经济权益，也承担更长研发和生产风险；许可引入可以缩短商业路径，但需要支付首付、里程碑或权利金。对外授权帮助分担海外临床和商业化投入，代价是把部分销售利润转给合作方。评估平台价值必须按地区和合同权益拆分。不能看到一个全球市场很大，就把该药全球销售全部视为翰森收入；也不能因为海外由合作方开发便认为翰森没有履约或技术支持责任。</w:t>
      </w:r>
    </w:p>
    <w:p>
      <w:pPr>
        <w:pStyle w:val="Heading2"/>
        <w:rPr/>
      </w:pPr>
      <w:r>
        <w:rPr>
          <w:color w:val="000000"/>
        </w:rPr>
        <w:t>三 阿美乐 现有经营支柱的持续性</w:t>
      </w:r>
    </w:p>
    <w:p>
      <w:pPr>
        <w:pStyle w:val="Normal"/>
        <w:rPr/>
      </w:pPr>
      <w:r>
        <w:rPr/>
        <w:t>阿美乐为甲磺酸阿美替尼，是自主研发第三代</w:t>
      </w:r>
      <w:r>
        <w:rPr/>
        <w:t>EGFR</w:t>
      </w:r>
      <w:r>
        <w:rPr/>
        <w:t>抑制剂。</w:t>
      </w:r>
      <w:r>
        <w:rPr/>
        <w:t>2020</w:t>
      </w:r>
      <w:r>
        <w:rPr/>
        <w:t>年获批既往</w:t>
      </w:r>
      <w:r>
        <w:rPr/>
        <w:t>EGFR</w:t>
      </w:r>
      <w:r>
        <w:rPr/>
        <w:t>治疗后进展且</w:t>
      </w:r>
      <w:r>
        <w:rPr/>
        <w:t>T790M</w:t>
      </w:r>
      <w:r>
        <w:rPr/>
        <w:t>阳性患者，</w:t>
      </w:r>
      <w:r>
        <w:rPr/>
        <w:t>2021</w:t>
      </w:r>
      <w:r>
        <w:rPr/>
        <w:t>年取得经典突变晚期一线适应症，</w:t>
      </w:r>
      <w:r>
        <w:rPr/>
        <w:t>2025</w:t>
      </w:r>
      <w:r>
        <w:rPr/>
        <w:t>年拓展到局晚期放化疗后巩固和术后辅助，</w:t>
      </w:r>
      <w:r>
        <w:rPr/>
        <w:t>2026</w:t>
      </w:r>
      <w:r>
        <w:rPr/>
        <w:t>年</w:t>
      </w:r>
      <w:r>
        <w:rPr/>
        <w:t>1</w:t>
      </w:r>
      <w:r>
        <w:rPr/>
        <w:t>月第五项适应症为与培美曲塞及铂类化疗联合一线治疗。扩展意味着药物不仅靠后线患者增长，也可能更早介入疗程，支持使用人数及持续治疗需求。</w:t>
      </w:r>
    </w:p>
    <w:p>
      <w:pPr>
        <w:pStyle w:val="Normal"/>
        <w:rPr/>
      </w:pPr>
      <w:r>
        <w:rPr/>
        <w:t>更早线数不自动等于同比例销售增长。术后辅助与不可切除晚期患者的疗程、停止治疗原因、支付和医生决策不同；新适应症医保谈判也可能改变净价。第一至第四适应症已纳入国家医保目录，扩大可及性同时接受支付约束。估值不能把所有理论符合条件的患者乘以最高目录价格，需考虑确诊、基因检测、医保资格、实际治疗和用药持续时间。</w:t>
      </w:r>
    </w:p>
    <w:p>
      <w:pPr>
        <w:pStyle w:val="Normal"/>
        <w:rPr/>
      </w:pPr>
      <w:r>
        <w:rPr/>
        <w:t>报告列示</w:t>
      </w:r>
      <w:r>
        <w:rPr/>
        <w:t>ARTS</w:t>
      </w:r>
      <w:r>
        <w:rPr/>
        <w:t>研究改善完全切除患者无病生存，</w:t>
      </w:r>
      <w:r>
        <w:rPr/>
        <w:t>AENEAS2</w:t>
      </w:r>
      <w:r>
        <w:rPr/>
        <w:t>及</w:t>
      </w:r>
      <w:r>
        <w:rPr/>
        <w:t>ACROSS2</w:t>
      </w:r>
      <w:r>
        <w:rPr/>
        <w:t>显示联合方案改善</w:t>
      </w:r>
      <w:r>
        <w:rPr/>
        <w:t>PFS</w:t>
      </w:r>
      <w:r>
        <w:rPr/>
        <w:t>。这些支持临床位置，仍应关注成熟总生存、安全性和患者生活质量。不同联合方案增加抗肿瘤作用也可能增加治疗负担，临床价值不是只看单一终点的百分比。本文依据原中报报道的结果，不补造未读到的</w:t>
      </w:r>
      <w:r>
        <w:rPr/>
        <w:t>HR</w:t>
      </w:r>
      <w:r>
        <w:rPr/>
        <w:t>、样本量或统计区间；如果未来细节不足以支持相对于现有选择的净获益，需要降低增长假设。</w:t>
      </w:r>
    </w:p>
    <w:p>
      <w:pPr>
        <w:pStyle w:val="Normal"/>
        <w:rPr/>
      </w:pPr>
      <w:r>
        <w:rPr/>
        <w:t>ACTIVE</w:t>
      </w:r>
      <w:r>
        <w:rPr/>
        <w:t>为对奥希替尼不耐受患者的转药研究，报告称三个月转换成功</w:t>
      </w:r>
      <w:r>
        <w:rPr/>
        <w:t>70.6%</w:t>
      </w:r>
      <w:r>
        <w:rPr/>
        <w:t>，中位</w:t>
      </w:r>
      <w:r>
        <w:rPr/>
        <w:t>PFS11.6</w:t>
      </w:r>
      <w:r>
        <w:rPr/>
        <w:t>个月、疾病控制</w:t>
      </w:r>
      <w:r>
        <w:rPr/>
        <w:t>86.5%</w:t>
      </w:r>
      <w:r>
        <w:rPr/>
        <w:t>。这可以支持特定不耐受人群的选择，却不能证明相同患者直接比较中全面优于奥希替尼，也不能扩展成所有一线患者的最佳药物。真实世界研究、单臂试验和随机头对头有不同证据等级，投资估值要保留差异，避免将报告中的积极描述扩大为独占市场结论。</w:t>
      </w:r>
    </w:p>
    <w:p>
      <w:pPr>
        <w:pStyle w:val="Normal"/>
        <w:rPr/>
      </w:pPr>
      <w:r>
        <w:rPr/>
        <w:t>2025</w:t>
      </w:r>
      <w:r>
        <w:rPr/>
        <w:t>年英国批准、</w:t>
      </w:r>
      <w:r>
        <w:rPr/>
        <w:t>2026</w:t>
      </w:r>
      <w:r>
        <w:rPr/>
        <w:t>年</w:t>
      </w:r>
      <w:r>
        <w:rPr/>
        <w:t>2</w:t>
      </w:r>
      <w:r>
        <w:rPr/>
        <w:t>月欧盟批准，说明国内原研产品取得国际监管认可。但海外批准后还需要渠道、医保报销和竞争策略，欧洲成熟</w:t>
      </w:r>
      <w:r>
        <w:rPr/>
        <w:t>EGFR</w:t>
      </w:r>
      <w:r>
        <w:rPr/>
        <w:t>市场已经有强势产品和医生习惯。全球销售权益与合作成本必须按具体协议核验，不宜以批准消息直接推定全球收入大幅增加。阿美乐的国内渗透和适应症扩展仍是核心现金来源，国际进展是增量可能而非当前模型的全部依据。</w:t>
      </w:r>
    </w:p>
    <w:p>
      <w:pPr>
        <w:pStyle w:val="Normal"/>
        <w:rPr/>
      </w:pPr>
      <w:r>
        <w:rPr/>
        <w:t>花旗</w:t>
      </w:r>
      <w:r>
        <w:rPr/>
        <w:t>8</w:t>
      </w:r>
      <w:r>
        <w:rPr/>
        <w:t>月转述管理层维持</w:t>
      </w:r>
      <w:r>
        <w:rPr/>
        <w:t>2030</w:t>
      </w:r>
      <w:r>
        <w:rPr/>
        <w:t>年</w:t>
      </w:r>
      <w:r>
        <w:rPr/>
        <w:t>80</w:t>
      </w:r>
      <w:r>
        <w:rPr/>
        <w:t>亿元销售目标，之后有超过</w:t>
      </w:r>
      <w:r>
        <w:rPr/>
        <w:t>100</w:t>
      </w:r>
      <w:r>
        <w:rPr/>
        <w:t>亿元潜力。这是管理层经营目标，并非合同或确定预测。公司未在所读中报提供逐产品当期销售，本报告也不假装已完成目标路径验证。若阿美乐价格下降或同类竞争使实际收入显著弱于目标，公司仍可能通过新产品增长，但利润结构、费用和平台估值都要重新计算，不能保留旧目标再把其他产品增长叠加。</w:t>
      </w:r>
    </w:p>
    <w:p>
      <w:pPr>
        <w:pStyle w:val="Heading2"/>
        <w:rPr/>
      </w:pPr>
      <w:r>
        <w:rPr>
          <w:color w:val="000000"/>
        </w:rPr>
        <w:t>四 其余已上市产品 多样化与竞争的具体约束</w:t>
      </w:r>
    </w:p>
    <w:p>
      <w:pPr>
        <w:pStyle w:val="Normal"/>
        <w:rPr/>
      </w:pPr>
      <w:r>
        <w:rPr/>
        <w:t>氟马替尼用于慢性髓性白血病，</w:t>
      </w:r>
      <w:r>
        <w:rPr/>
        <w:t>2019</w:t>
      </w:r>
      <w:r>
        <w:rPr/>
        <w:t>年上市、</w:t>
      </w:r>
      <w:r>
        <w:rPr/>
        <w:t>2020</w:t>
      </w:r>
      <w:r>
        <w:rPr/>
        <w:t>年纳入医保并在</w:t>
      </w:r>
      <w:r>
        <w:rPr/>
        <w:t>2024</w:t>
      </w:r>
      <w:r>
        <w:rPr/>
        <w:t>年续约。慢病患者长期管理可以带来持续销量，疗效深度、耐受性和治疗转换需求决定竞争位置。相比某些传统</w:t>
      </w:r>
      <w:r>
        <w:rPr/>
        <w:t>TKI</w:t>
      </w:r>
      <w:r>
        <w:rPr/>
        <w:t>的不良反应特点，报告强调安全性优势，但不同研究人群和随访时间并不完全相同。商业化需要医生判断长期获益与费用，不能只依据药物创新分类推断价格长期不变。</w:t>
      </w:r>
    </w:p>
    <w:p>
      <w:pPr>
        <w:pStyle w:val="Normal"/>
        <w:rPr/>
      </w:pPr>
      <w:r>
        <w:rPr/>
        <w:t>CML</w:t>
      </w:r>
      <w:r>
        <w:rPr/>
        <w:t>治疗中深度分子缓解与治疗停药策略会改变使用量。更好疗效可能帮助产品夺取份额，却也可能在未来减少某些成功患者的治疗时间；新变构抑制剂引入还会改变不同</w:t>
      </w:r>
      <w:r>
        <w:rPr/>
        <w:t>TKI</w:t>
      </w:r>
      <w:r>
        <w:rPr/>
        <w:t>的位置。公司与许可引入</w:t>
      </w:r>
      <w:r>
        <w:rPr/>
        <w:t>HS10382</w:t>
      </w:r>
      <w:r>
        <w:rPr/>
        <w:t>探索单药和联合，形成组合思路。长期增长应允许这一技术迁移，不能把现有氟马替尼份额永久固定并忽略更先进竞争者。</w:t>
      </w:r>
    </w:p>
    <w:p>
      <w:pPr>
        <w:pStyle w:val="Normal"/>
        <w:rPr/>
      </w:pPr>
      <w:r>
        <w:rPr/>
        <w:t>昕越为许可引入的伊奈利珠单抗，国内已覆盖</w:t>
      </w:r>
      <w:r>
        <w:rPr/>
        <w:t>AQP4</w:t>
      </w:r>
      <w:r>
        <w:rPr/>
        <w:t>阳性视神经脊髓炎谱系、</w:t>
      </w:r>
      <w:r>
        <w:rPr/>
        <w:t>IgG4</w:t>
      </w:r>
      <w:r>
        <w:rPr/>
        <w:t>相关疾病和</w:t>
      </w:r>
      <w:r>
        <w:rPr/>
        <w:t>2026</w:t>
      </w:r>
      <w:r>
        <w:rPr/>
        <w:t>年</w:t>
      </w:r>
      <w:r>
        <w:rPr/>
        <w:t>3</w:t>
      </w:r>
      <w:r>
        <w:rPr/>
        <w:t>月获批的全身型重症肌无力。扩展适应症提高单一商业体系覆盖，罕见病和免疫疾病有明确未满足需求。许可地区与自主资产不同，商业利润应扣相应合同成本。患者人数较少但疾病负担高，价值还取决于筛查诊断、医生可及、医保和随访，不应简单把所有罕见病患者乘高价格。</w:t>
      </w:r>
    </w:p>
    <w:p>
      <w:pPr>
        <w:pStyle w:val="Normal"/>
        <w:rPr/>
      </w:pPr>
      <w:r>
        <w:rPr/>
        <w:t>B</w:t>
      </w:r>
      <w:r>
        <w:rPr/>
        <w:t>细胞耗竭治疗具有较长作用周期，也涉及感染、免疫监测和疫苗等管理。报告中真实世界研究支持疗效和生活质量改善，观察性资料不能替代所有疾病与药物的直接随机比较。对商业化而言，用药便利、复发控制和医疗机构流程会影响患者选择。新免疫治疗技术可能提高标准，企业必须持续投入适应症证据，不能把已获批状态看作竞争结束。</w:t>
      </w:r>
    </w:p>
    <w:p>
      <w:pPr>
        <w:pStyle w:val="Normal"/>
        <w:rPr/>
      </w:pPr>
      <w:r>
        <w:rPr/>
        <w:t>孚来美是聚乙二醇洛塞那肽周制剂，早年国内</w:t>
      </w:r>
      <w:r>
        <w:rPr/>
        <w:t>GLP1</w:t>
      </w:r>
      <w:r>
        <w:rPr/>
        <w:t>领域的产品经验支持销售渠道和医生教育。如今代谢领域更先进的双或多受体药物、减重适应症和心肾结果正在改变竞争。现有降糖销售可以持续产生收入，但旧产品增长不能按肥胖市场热度直接推高。公司新的奥莱泊肽若成功，将需要与自身旧产品协调，而非两者无成本地同时取得所有患者。</w:t>
      </w:r>
    </w:p>
    <w:p>
      <w:pPr>
        <w:pStyle w:val="Normal"/>
        <w:rPr/>
      </w:pPr>
      <w:r>
        <w:rPr/>
        <w:t>恒沐等抗感染、抗病毒资产与圣罗莱培莫沙肽提供其他收入来源。慢性肝病、肾性贫血和感染治疗需求相对稳定，定价与采购政策仍可能降低净销售。培莫沙肽长效特征和指南推荐可改善治疗便利，也要考虑传统促红素和其他新型药物竞争。多产品企业并非所有管线都必须高速增长，投资模型需要把成熟业务作为现金基础、把新产品作为增量，避免用创新标签掩盖传统产品的价格压力。</w:t>
      </w:r>
    </w:p>
    <w:p>
      <w:pPr>
        <w:pStyle w:val="Heading2"/>
        <w:rPr/>
      </w:pPr>
      <w:r>
        <w:rPr>
          <w:color w:val="000000"/>
        </w:rPr>
        <w:t xml:space="preserve">五 </w:t>
      </w:r>
      <w:r>
        <w:rPr>
          <w:color w:val="000000"/>
        </w:rPr>
        <w:t xml:space="preserve">HS20093 </w:t>
      </w:r>
      <w:r>
        <w:rPr>
          <w:color w:val="000000"/>
        </w:rPr>
        <w:t>关键临床验证与权益边界</w:t>
      </w:r>
    </w:p>
    <w:p>
      <w:pPr>
        <w:pStyle w:val="Normal"/>
        <w:rPr/>
      </w:pPr>
      <w:r>
        <w:rPr/>
        <w:t>HS20093</w:t>
      </w:r>
      <w:r>
        <w:rPr/>
        <w:t>又称瑞康立伏妥塔单抗或</w:t>
      </w:r>
      <w:r>
        <w:rPr/>
        <w:t>Ris-Rez</w:t>
      </w:r>
      <w:r>
        <w:rPr/>
        <w:t>，是靶向</w:t>
      </w:r>
      <w:r>
        <w:rPr/>
        <w:t>B7H3</w:t>
      </w:r>
      <w:r>
        <w:rPr/>
        <w:t>的</w:t>
      </w:r>
      <w:r>
        <w:rPr/>
        <w:t>ADC</w:t>
      </w:r>
      <w:r>
        <w:rPr/>
        <w:t>，连接抗体与拓扑异构酶抑制剂载荷。</w:t>
      </w:r>
      <w:r>
        <w:rPr/>
        <w:t>B7H3</w:t>
      </w:r>
      <w:r>
        <w:rPr/>
        <w:t>在多类肿瘤中提供治疗靶点，临床潜力较广，但表达、安全性和不同组织反应均需要分适应症验证。相同靶点的不同</w:t>
      </w:r>
      <w:r>
        <w:rPr/>
        <w:t>ADC</w:t>
      </w:r>
      <w:r>
        <w:rPr/>
        <w:t>载荷、连接和药物抗体比不同，不能由一款药成功推出其他药也成功，也不能依据某一个适应症结果给全部癌种相同成功率。</w:t>
      </w:r>
    </w:p>
    <w:p>
      <w:pPr>
        <w:pStyle w:val="Normal"/>
        <w:rPr/>
      </w:pPr>
      <w:r>
        <w:rPr/>
        <w:t>7</w:t>
      </w:r>
      <w:r>
        <w:rPr/>
        <w:t>月</w:t>
      </w:r>
      <w:r>
        <w:rPr/>
        <w:t>10</w:t>
      </w:r>
      <w:r>
        <w:rPr/>
        <w:t>日原公告确认</w:t>
      </w:r>
      <w:r>
        <w:rPr/>
        <w:t>ARTEMIS008</w:t>
      </w:r>
      <w:r>
        <w:rPr/>
        <w:t>在经含铂治疗后进展或复发的小细胞肺癌随机三期预设期中分析达到</w:t>
      </w:r>
      <w:r>
        <w:rPr/>
        <w:t>OS</w:t>
      </w:r>
      <w:r>
        <w:rPr/>
        <w:t>主要终点，相比托泊替康具有统计与临床意义改善，</w:t>
      </w:r>
      <w:r>
        <w:rPr/>
        <w:t>PFS</w:t>
      </w:r>
      <w:r>
        <w:rPr/>
        <w:t>等次要终点一致获益。该公告只提供定性结果，详细效应、样本量和成熟度未全部公布；本文不会补造具体</w:t>
      </w:r>
      <w:r>
        <w:rPr/>
        <w:t>HR</w:t>
      </w:r>
      <w:r>
        <w:rPr/>
        <w:t>。与较早单臂肿瘤缓解结果相比，随机</w:t>
      </w:r>
      <w:r>
        <w:rPr/>
        <w:t>OS</w:t>
      </w:r>
      <w:r>
        <w:rPr/>
        <w:t>验证显著降低注册风险，但仍需要完整数据、安全性和制造审查。</w:t>
      </w:r>
    </w:p>
    <w:p>
      <w:pPr>
        <w:pStyle w:val="Normal"/>
        <w:rPr/>
      </w:pPr>
      <w:r>
        <w:rPr/>
        <w:t>8</w:t>
      </w:r>
      <w:r>
        <w:rPr/>
        <w:t>月至</w:t>
      </w:r>
      <w:r>
        <w:rPr/>
        <w:t>9</w:t>
      </w:r>
      <w:r>
        <w:rPr/>
        <w:t>月该小细胞肺癌适应症纳入优先审评、上市申请受理，骨肉瘤三期</w:t>
      </w:r>
      <w:r>
        <w:rPr/>
        <w:t>7</w:t>
      </w:r>
      <w:r>
        <w:rPr/>
        <w:t>月达到</w:t>
      </w:r>
      <w:r>
        <w:rPr/>
        <w:t>IRC</w:t>
      </w:r>
      <w:r>
        <w:rPr/>
        <w:t>评估</w:t>
      </w:r>
      <w:r>
        <w:rPr/>
        <w:t>PFS</w:t>
      </w:r>
      <w:r>
        <w:rPr/>
        <w:t>主要终点，</w:t>
      </w:r>
      <w:r>
        <w:rPr/>
        <w:t>9</w:t>
      </w:r>
      <w:r>
        <w:rPr/>
        <w:t>月</w:t>
      </w:r>
      <w:r>
        <w:rPr/>
        <w:t>24</w:t>
      </w:r>
      <w:r>
        <w:rPr/>
        <w:t>日原公告确认≥</w:t>
      </w:r>
      <w:r>
        <w:rPr/>
        <w:t>12</w:t>
      </w:r>
      <w:r>
        <w:rPr/>
        <w:t>岁、至少二线失败患者申报受理。申报受理只是进入审查，优先程序也不保证批准日期。骨肉瘤未满足需求大，但患者数和商业规模不同于常见肺癌。平台临床价值和该适应症收入规模应分开判断，不能将罕见适应症批准自动等同于大额利润。</w:t>
      </w:r>
    </w:p>
    <w:p>
      <w:pPr>
        <w:pStyle w:val="Normal"/>
        <w:rPr/>
      </w:pPr>
      <w:r>
        <w:rPr/>
        <w:t>中国还在推进非鳞非小细胞肺癌、食管鳞癌及其他适应症，部分已进入三期。更早治疗线和联合方案可能扩大规模，也增加竞争与试验成本。小细胞肺癌结果为药物总体提供支持，不代表所有其他试验可免除失败风险。若更广泛临床未形成差异化，平台海外价值可能低于市场想象，即便国内一个产品顺利上市仍可创造收益。三年乐观情景要求多个权益逐步兑现，基准保留折扣。</w:t>
      </w:r>
    </w:p>
    <w:p>
      <w:pPr>
        <w:pStyle w:val="Normal"/>
        <w:rPr/>
      </w:pPr>
      <w:r>
        <w:rPr/>
        <w:t>2023</w:t>
      </w:r>
      <w:r>
        <w:rPr/>
        <w:t>年</w:t>
      </w:r>
      <w:r>
        <w:rPr/>
        <w:t>12</w:t>
      </w:r>
      <w:r>
        <w:rPr/>
        <w:t>月授予</w:t>
      </w:r>
      <w:r>
        <w:rPr/>
        <w:t>GSK</w:t>
      </w:r>
      <w:r>
        <w:rPr/>
        <w:t>中国内地、香港、澳门、台湾以外的全球权益。海外临床与商业化主要由合作方推进，翰森可能收里程碑及权利金，而非全部海外药品销售。合作降低自行建立全球销售的资金需求，同时让时间表和经营执行受伙伴决策影响。若合作方调整优先级、终止开发或市场不同步，国内已验证数据也不能保证海外现金收益。因此逐药权益估值需要合同和地区收入，而不是全球销售乘公司总净利率。</w:t>
      </w:r>
    </w:p>
    <w:p>
      <w:pPr>
        <w:pStyle w:val="Normal"/>
        <w:rPr/>
      </w:pPr>
      <w:r>
        <w:rPr/>
        <w:t>9</w:t>
      </w:r>
      <w:r>
        <w:rPr/>
        <w:t>月摩根大通新闻比较其他</w:t>
      </w:r>
      <w:r>
        <w:rPr/>
        <w:t>B7H3 ADC</w:t>
      </w:r>
      <w:r>
        <w:rPr/>
        <w:t>，指出不同试验设计和人群不宜直接头对头比较。报道引用</w:t>
      </w:r>
      <w:r>
        <w:rPr/>
        <w:t>Ris-Rez</w:t>
      </w:r>
      <w:r>
        <w:rPr/>
        <w:t>间质性肺病发生</w:t>
      </w:r>
      <w:r>
        <w:rPr/>
        <w:t>11.7%</w:t>
      </w:r>
      <w:r>
        <w:rPr/>
        <w:t>、未见</w:t>
      </w:r>
      <w:r>
        <w:rPr/>
        <w:t>4</w:t>
      </w:r>
      <w:r>
        <w:rPr/>
        <w:t>或</w:t>
      </w:r>
      <w:r>
        <w:rPr/>
        <w:t>5</w:t>
      </w:r>
      <w:r>
        <w:rPr/>
        <w:t>级事件，但相关数据属于新闻转述，未完整阅读原研究表格。安全性长期累积可能影响用药持续、监测成本和治疗位置。竞争者撤回申报是动态利好，也不是翰森获批保证；同靶点产品可以更换研究路径或后续补充资料。</w:t>
      </w:r>
    </w:p>
    <w:p>
      <w:pPr>
        <w:pStyle w:val="Heading2"/>
        <w:rPr/>
      </w:pPr>
      <w:r>
        <w:rPr>
          <w:color w:val="000000"/>
        </w:rPr>
        <w:t xml:space="preserve">六 </w:t>
      </w:r>
      <w:r>
        <w:rPr>
          <w:color w:val="000000"/>
        </w:rPr>
        <w:t xml:space="preserve">HS20089 </w:t>
      </w:r>
      <w:r>
        <w:rPr>
          <w:color w:val="000000"/>
        </w:rPr>
        <w:t>双抗和靶向小分子 平台不是单一赌注</w:t>
      </w:r>
    </w:p>
    <w:p>
      <w:pPr>
        <w:pStyle w:val="Normal"/>
        <w:rPr/>
      </w:pPr>
      <w:r>
        <w:rPr/>
        <w:t>HS20089</w:t>
      </w:r>
      <w:r>
        <w:rPr/>
        <w:t>为</w:t>
      </w:r>
      <w:r>
        <w:rPr/>
        <w:t>B7H4</w:t>
      </w:r>
      <w:r>
        <w:rPr/>
        <w:t>靶向</w:t>
      </w:r>
      <w:r>
        <w:rPr/>
        <w:t>ADC</w:t>
      </w:r>
      <w:r>
        <w:rPr/>
        <w:t>，</w:t>
      </w:r>
      <w:r>
        <w:rPr/>
        <w:t>2023</w:t>
      </w:r>
      <w:r>
        <w:rPr/>
        <w:t>年</w:t>
      </w:r>
      <w:r>
        <w:rPr/>
        <w:t>10</w:t>
      </w:r>
      <w:r>
        <w:rPr/>
        <w:t>月授权</w:t>
      </w:r>
      <w:r>
        <w:rPr/>
        <w:t>GSK</w:t>
      </w:r>
      <w:r>
        <w:rPr/>
        <w:t>海外，国内在铂耐药卵巢癌三期和其他实体瘤概念验证中推进。中报列示铂敏感复发卵巢癌早期联合研究</w:t>
      </w:r>
      <w:r>
        <w:rPr/>
        <w:t>cORR72.2%</w:t>
      </w:r>
      <w:r>
        <w:rPr/>
        <w:t>，另一二期</w:t>
      </w:r>
      <w:r>
        <w:rPr/>
        <w:t>cORR64.5%</w:t>
      </w:r>
      <w:r>
        <w:rPr/>
        <w:t>、中位</w:t>
      </w:r>
      <w:r>
        <w:rPr/>
        <w:t>PFS14.1</w:t>
      </w:r>
      <w:r>
        <w:rPr/>
        <w:t>个月。铂敏感患者与耐药患者的预后和疗效标准不同，不能把早期敏感人群数据直接套三期耐药人群。长线模型需保持每个适应症风险差异，不将同一药物所有试验当作完全独立成功。</w:t>
      </w:r>
    </w:p>
    <w:p>
      <w:pPr>
        <w:pStyle w:val="Normal"/>
        <w:rPr/>
      </w:pPr>
      <w:r>
        <w:rPr/>
        <w:t>ADC</w:t>
      </w:r>
      <w:r>
        <w:rPr/>
        <w:t>平台可以复用载荷、连接和制造经验，降低后续研发边际难度，但毒性和靶点的生物学仍各有不同。双载荷或双靶点设计提高理论效应，也可能增加开发、质量和剂量优化复杂度。</w:t>
      </w:r>
      <w:r>
        <w:rPr/>
        <w:t>HS20122</w:t>
      </w:r>
      <w:r>
        <w:rPr/>
        <w:t>基于许可引入的</w:t>
      </w:r>
      <w:r>
        <w:rPr/>
        <w:t>EGFR</w:t>
      </w:r>
      <w:r>
        <w:rPr/>
        <w:t>与</w:t>
      </w:r>
      <w:r>
        <w:rPr/>
        <w:t>cMET</w:t>
      </w:r>
      <w:r>
        <w:rPr/>
        <w:t>双抗技术，存在上游权益和成本。对其未来价值应扣授权及开发支付，不把外部平台引入当作完全自研且无需费用的资产。</w:t>
      </w:r>
    </w:p>
    <w:p>
      <w:pPr>
        <w:pStyle w:val="Normal"/>
        <w:rPr/>
      </w:pPr>
      <w:r>
        <w:rPr/>
        <w:t>达麦利替尼</w:t>
      </w:r>
      <w:r>
        <w:rPr/>
        <w:t>HS10241</w:t>
      </w:r>
      <w:r>
        <w:rPr/>
        <w:t>为高选择性</w:t>
      </w:r>
      <w:r>
        <w:rPr/>
        <w:t>cMET</w:t>
      </w:r>
      <w:r>
        <w:rPr/>
        <w:t>抑制剂，与阿美替尼联合用于既往</w:t>
      </w:r>
      <w:r>
        <w:rPr/>
        <w:t>EGFR</w:t>
      </w:r>
      <w:r>
        <w:rPr/>
        <w:t>治疗后</w:t>
      </w:r>
      <w:r>
        <w:rPr/>
        <w:t>MET</w:t>
      </w:r>
      <w:r>
        <w:rPr/>
        <w:t>扩增患者，</w:t>
      </w:r>
      <w:r>
        <w:rPr/>
        <w:t>2026</w:t>
      </w:r>
      <w:r>
        <w:rPr/>
        <w:t>年</w:t>
      </w:r>
      <w:r>
        <w:rPr/>
        <w:t>2</w:t>
      </w:r>
      <w:r>
        <w:rPr/>
        <w:t>月</w:t>
      </w:r>
      <w:r>
        <w:rPr/>
        <w:t>NDA</w:t>
      </w:r>
      <w:r>
        <w:rPr/>
        <w:t>受理。</w:t>
      </w:r>
      <w:r>
        <w:rPr/>
        <w:t>115</w:t>
      </w:r>
      <w:r>
        <w:rPr/>
        <w:t>名疗效可评估患者的</w:t>
      </w:r>
      <w:r>
        <w:rPr/>
        <w:t>Ib</w:t>
      </w:r>
      <w:r>
        <w:rPr/>
        <w:t>报告中位</w:t>
      </w:r>
      <w:r>
        <w:rPr/>
        <w:t>PFS7.4</w:t>
      </w:r>
      <w:r>
        <w:rPr/>
        <w:t>个月、</w:t>
      </w:r>
      <w:r>
        <w:rPr/>
        <w:t>OS25.4</w:t>
      </w:r>
      <w:r>
        <w:rPr/>
        <w:t>个月，多数既往接受三代</w:t>
      </w:r>
      <w:r>
        <w:rPr/>
        <w:t>EGFR</w:t>
      </w:r>
      <w:r>
        <w:rPr/>
        <w:t>治疗。这支持有明确耐药机制的组合治疗，但检验阈值、既往治疗和随访影响比较，不能以数字高低宣布胜过其他</w:t>
      </w:r>
      <w:r>
        <w:rPr/>
        <w:t>MET</w:t>
      </w:r>
      <w:r>
        <w:rPr/>
        <w:t>组合。实际可治疗市场取决于复检和检测可及性。</w:t>
      </w:r>
    </w:p>
    <w:p>
      <w:pPr>
        <w:pStyle w:val="Normal"/>
        <w:rPr/>
      </w:pPr>
      <w:r>
        <w:rPr/>
        <w:t>第四代</w:t>
      </w:r>
      <w:r>
        <w:rPr/>
        <w:t>EGFR</w:t>
      </w:r>
      <w:r>
        <w:rPr/>
        <w:t>抑制剂</w:t>
      </w:r>
      <w:r>
        <w:rPr/>
        <w:t>HS10504</w:t>
      </w:r>
      <w:r>
        <w:rPr/>
        <w:t>面向</w:t>
      </w:r>
      <w:r>
        <w:rPr/>
        <w:t>C797S</w:t>
      </w:r>
      <w:r>
        <w:rPr/>
        <w:t>耐药，已进入三期并获突破性认定。若能在现有治疗后提供新选择，有助于延长公司肺癌产品链；但耐药机制复杂，患者可能出现复合突变或多途径改变。一个精准亚型药物可以拥有临床价值而销售规模有限，不能把所有三代</w:t>
      </w:r>
      <w:r>
        <w:rPr/>
        <w:t>EGFR</w:t>
      </w:r>
      <w:r>
        <w:rPr/>
        <w:t>失败患者都算入。竞争者同样布局该方向，注册速度与安全性决定可持续位置。</w:t>
      </w:r>
    </w:p>
    <w:p>
      <w:pPr>
        <w:pStyle w:val="Normal"/>
        <w:rPr/>
      </w:pPr>
      <w:r>
        <w:rPr/>
        <w:t>RET</w:t>
      </w:r>
      <w:r>
        <w:rPr/>
        <w:t>抑制剂</w:t>
      </w:r>
      <w:r>
        <w:rPr/>
        <w:t>HS10365</w:t>
      </w:r>
      <w:r>
        <w:rPr/>
        <w:t>在</w:t>
      </w:r>
      <w:r>
        <w:rPr/>
        <w:t>2025</w:t>
      </w:r>
      <w:r>
        <w:rPr/>
        <w:t>年</w:t>
      </w:r>
      <w:r>
        <w:rPr/>
        <w:t>10</w:t>
      </w:r>
      <w:r>
        <w:rPr/>
        <w:t>月</w:t>
      </w:r>
      <w:r>
        <w:rPr/>
        <w:t>NDA</w:t>
      </w:r>
      <w:r>
        <w:rPr/>
        <w:t>受理，许可</w:t>
      </w:r>
      <w:r>
        <w:rPr/>
        <w:t>HS20117</w:t>
      </w:r>
      <w:r>
        <w:rPr/>
        <w:t>双抗和</w:t>
      </w:r>
      <w:r>
        <w:rPr/>
        <w:t>HS10382</w:t>
      </w:r>
      <w:r>
        <w:rPr/>
        <w:t>变构</w:t>
      </w:r>
      <w:r>
        <w:rPr/>
        <w:t>CML</w:t>
      </w:r>
      <w:r>
        <w:rPr/>
        <w:t>治疗也有临床进展。这些资产扩大组合而非仅增加名称数量。对投资价值，最关键的是临床证据是否足够、适应症是否可支付、药物与已有渠道能否协同。早期样本如</w:t>
      </w:r>
      <w:r>
        <w:rPr/>
        <w:t>22</w:t>
      </w:r>
      <w:r>
        <w:rPr/>
        <w:t>名</w:t>
      </w:r>
      <w:r>
        <w:rPr/>
        <w:t>EGFR</w:t>
      </w:r>
      <w:r>
        <w:rPr/>
        <w:t>外显子</w:t>
      </w:r>
      <w:r>
        <w:rPr/>
        <w:t>20</w:t>
      </w:r>
      <w:r>
        <w:rPr/>
        <w:t>插入患者的数据可提供信号，却难支持精确市场份额或长期疗程假设。本文保留管线贡献在经营情景中，完整产品</w:t>
      </w:r>
      <w:r>
        <w:rPr/>
        <w:t>rNPV</w:t>
      </w:r>
      <w:r>
        <w:rPr/>
        <w:t>仍需补充。</w:t>
      </w:r>
    </w:p>
    <w:p>
      <w:pPr>
        <w:pStyle w:val="Heading2"/>
        <w:rPr/>
      </w:pPr>
      <w:r>
        <w:rPr>
          <w:color w:val="000000"/>
        </w:rPr>
        <w:t>七 代谢与免疫的新产品周期</w:t>
      </w:r>
    </w:p>
    <w:p>
      <w:pPr>
        <w:pStyle w:val="Normal"/>
        <w:rPr/>
      </w:pPr>
      <w:r>
        <w:rPr/>
        <w:t>奥莱泊肽</w:t>
      </w:r>
      <w:r>
        <w:rPr/>
        <w:t>HS20094</w:t>
      </w:r>
      <w:r>
        <w:rPr/>
        <w:t>是每周一次</w:t>
      </w:r>
      <w:r>
        <w:rPr/>
        <w:t>GLP1</w:t>
      </w:r>
      <w:r>
        <w:rPr/>
        <w:t>与</w:t>
      </w:r>
      <w:r>
        <w:rPr/>
        <w:t>GIP</w:t>
      </w:r>
      <w:r>
        <w:rPr/>
        <w:t>双激动剂，原中报称</w:t>
      </w:r>
      <w:r>
        <w:rPr/>
        <w:t>2026</w:t>
      </w:r>
      <w:r>
        <w:rPr/>
        <w:t>年</w:t>
      </w:r>
      <w:r>
        <w:rPr/>
        <w:t>3</w:t>
      </w:r>
      <w:r>
        <w:rPr/>
        <w:t>月肥胖或超重三期达到共同主要终点，</w:t>
      </w:r>
      <w:r>
        <w:rPr/>
        <w:t>48</w:t>
      </w:r>
      <w:r>
        <w:rPr/>
        <w:t>周最高平均减重</w:t>
      </w:r>
      <w:r>
        <w:rPr/>
        <w:t>19.3%</w:t>
      </w:r>
      <w:r>
        <w:rPr/>
        <w:t>，≥</w:t>
      </w:r>
      <w:r>
        <w:rPr/>
        <w:t>5%</w:t>
      </w:r>
      <w:r>
        <w:rPr/>
        <w:t>减重比例</w:t>
      </w:r>
      <w:r>
        <w:rPr/>
        <w:t>97.2%</w:t>
      </w:r>
      <w:r>
        <w:rPr/>
        <w:t>，六月上市申请受理。这是已经取得的临床和注册进展，比只讨论理论代谢靶点更有价值；但“最高”对应特定剂量和分析，不能假定所有患者都取得同样减重，也需要核验估计目标、失访和停药处理。</w:t>
      </w:r>
    </w:p>
    <w:p>
      <w:pPr>
        <w:pStyle w:val="Normal"/>
        <w:rPr/>
      </w:pPr>
      <w:r>
        <w:rPr/>
        <w:t>公司报告恶心平均低于</w:t>
      </w:r>
      <w:r>
        <w:rPr/>
        <w:t>10%</w:t>
      </w:r>
      <w:r>
        <w:rPr/>
        <w:t>、呕吐低于</w:t>
      </w:r>
      <w:r>
        <w:rPr/>
        <w:t>5%</w:t>
      </w:r>
      <w:r>
        <w:rPr/>
        <w:t>，较某些已发布同类试验看似更好。跨试验比较受剂量递增、患者体重、糖尿病状态、观察周期和数据记录影响，不能直接认定其疗效安全性全球最优。真正商业差异还包括价格、针剂装置、供应、医生熟悉度和停药后体重维持。国内减重市场增长迅速，竞争也密集，理论患者规模不能直接等于付费持续用药规模。</w:t>
      </w:r>
    </w:p>
    <w:p>
      <w:pPr>
        <w:pStyle w:val="Normal"/>
        <w:rPr/>
      </w:pPr>
      <w:r>
        <w:rPr/>
        <w:t>上市后的代谢产品需要新增销售教育和患者管理，现有降糖渠道提供基础，却不能完全覆盖自费减重需求。若医保或商业支付受限，销量与净价之间会有显著折中。模型一年以后才增加更有意义的新产品贡献，避免申报当年立即确认全部峰值销售；乐观允许更快放量，悲观允许竞争和费用压低利润。生产规模也需要满足长期供货和质量，临床成功与商业成功不能视为同一个事件。</w:t>
      </w:r>
    </w:p>
    <w:p>
      <w:pPr>
        <w:pStyle w:val="Normal"/>
        <w:rPr/>
      </w:pPr>
      <w:r>
        <w:rPr/>
        <w:t>HS20118</w:t>
      </w:r>
      <w:r>
        <w:rPr/>
        <w:t>为口服环肽</w:t>
      </w:r>
      <w:r>
        <w:rPr/>
        <w:t>IL23</w:t>
      </w:r>
      <w:r>
        <w:rPr/>
        <w:t>受体拮抗剂，处于二期，初步研究出现</w:t>
      </w:r>
      <w:r>
        <w:rPr/>
        <w:t>PASI</w:t>
      </w:r>
      <w:r>
        <w:rPr/>
        <w:t>改善和每周给药潜力。小样本、剂量分组和短随访的信号不能代替大规模确认，尤其长期免疫调节需要更多安全资料。口服便利可以改善患者选择，但已有抗体与新口服竞争者疗效很强，企业需要证明临床获益、耐受与可支付性。不能只因“口服”给所有海外销售高成功率。</w:t>
      </w:r>
    </w:p>
    <w:p>
      <w:pPr>
        <w:pStyle w:val="Normal"/>
        <w:rPr/>
      </w:pPr>
      <w:r>
        <w:rPr/>
        <w:t>2026</w:t>
      </w:r>
      <w:r>
        <w:rPr/>
        <w:t>年六月与</w:t>
      </w:r>
      <w:r>
        <w:rPr/>
        <w:t>Avere</w:t>
      </w:r>
      <w:r>
        <w:rPr/>
        <w:t>订立海外独家许可，原中报记录总首付款</w:t>
      </w:r>
      <w:r>
        <w:rPr/>
        <w:t>1.2</w:t>
      </w:r>
      <w:r>
        <w:rPr/>
        <w:t>亿美元、最高开发销售里程碑</w:t>
      </w:r>
      <w:r>
        <w:rPr/>
        <w:t>21.8</w:t>
      </w:r>
      <w:r>
        <w:rPr/>
        <w:t>亿美元，权利金为中个位数至低双位数。首付款、最高里程碑和逐年销售权益有不同条件，</w:t>
      </w:r>
      <w:r>
        <w:rPr/>
        <w:t>22</w:t>
      </w:r>
      <w:r>
        <w:rPr/>
        <w:t>亿美元级潜在交易总额不是当期现金或企业市场价值。首付款若进入六月或以后现金和收入，需要按履约确认检查，不能同时在现金和未来</w:t>
      </w:r>
      <w:r>
        <w:rPr/>
        <w:t>rNPV</w:t>
      </w:r>
      <w:r>
        <w:rPr/>
        <w:t>重复加值。模型未单独加入未确认交易金额。</w:t>
      </w:r>
    </w:p>
    <w:p>
      <w:pPr>
        <w:pStyle w:val="Normal"/>
        <w:rPr/>
      </w:pPr>
      <w:r>
        <w:rPr/>
        <w:t>HS10374</w:t>
      </w:r>
      <w:r>
        <w:rPr/>
        <w:t>为</w:t>
      </w:r>
      <w:r>
        <w:rPr/>
        <w:t>TYK2</w:t>
      </w:r>
      <w:r>
        <w:rPr/>
        <w:t>选择性变构抑制剂，</w:t>
      </w:r>
      <w:r>
        <w:rPr/>
        <w:t>9</w:t>
      </w:r>
      <w:r>
        <w:rPr/>
        <w:t>月</w:t>
      </w:r>
      <w:r>
        <w:rPr/>
        <w:t>21</w:t>
      </w:r>
      <w:r>
        <w:rPr/>
        <w:t>日原公告确认成人中重度斑块银屑病三期</w:t>
      </w:r>
      <w:r>
        <w:rPr/>
        <w:t>16</w:t>
      </w:r>
      <w:r>
        <w:rPr/>
        <w:t>周</w:t>
      </w:r>
      <w:r>
        <w:rPr/>
        <w:t>PASI75</w:t>
      </w:r>
      <w:r>
        <w:rPr/>
        <w:t>及</w:t>
      </w:r>
      <w:r>
        <w:rPr/>
        <w:t>sPGA0</w:t>
      </w:r>
      <w:r>
        <w:rPr/>
        <w:t>或</w:t>
      </w:r>
      <w:r>
        <w:rPr/>
        <w:t>1</w:t>
      </w:r>
      <w:r>
        <w:rPr/>
        <w:t>共同终点显著优于安慰剂，超过半数</w:t>
      </w:r>
      <w:r>
        <w:rPr/>
        <w:t>PASI90</w:t>
      </w:r>
      <w:r>
        <w:rPr/>
        <w:t>、近三分之一</w:t>
      </w:r>
      <w:r>
        <w:rPr/>
        <w:t>PASI100</w:t>
      </w:r>
      <w:r>
        <w:rPr/>
        <w:t>。它补充中报后新证据，支持注册准备；精确组别、对照、长期安全和与同类比较仍未完整取得。近期学术会议计划公布不是截止日已完成，研究不补造完整数值或审批日期。</w:t>
      </w:r>
    </w:p>
    <w:p>
      <w:pPr>
        <w:pStyle w:val="Normal"/>
        <w:rPr/>
      </w:pPr>
      <w:r>
        <w:rPr/>
        <w:t>HS10506</w:t>
      </w:r>
      <w:r>
        <w:rPr/>
        <w:t>选择性食欲素</w:t>
      </w:r>
      <w:r>
        <w:rPr/>
        <w:t>OX2</w:t>
      </w:r>
      <w:r>
        <w:rPr/>
        <w:t>受体拮抗剂已进入失眠三期，二期客观睡眠潜伏期改善约</w:t>
      </w:r>
      <w:r>
        <w:rPr/>
        <w:t>13.7</w:t>
      </w:r>
      <w:r>
        <w:rPr/>
        <w:t>至</w:t>
      </w:r>
      <w:r>
        <w:rPr/>
        <w:t>18.8</w:t>
      </w:r>
      <w:r>
        <w:rPr/>
        <w:t>分钟，报告称无警觉、认知或反跳新信号。失眠需求大，药物选择多且长期管理复杂；疗效分钟数需要与患者主观质量、白天功能、安全和依从结合。</w:t>
      </w:r>
      <w:r>
        <w:rPr/>
        <w:t>HS10542</w:t>
      </w:r>
      <w:r>
        <w:rPr/>
        <w:t>补体因子</w:t>
      </w:r>
      <w:r>
        <w:rPr/>
        <w:t>B</w:t>
      </w:r>
      <w:r>
        <w:rPr/>
        <w:t>、</w:t>
      </w:r>
      <w:r>
        <w:rPr/>
        <w:t>HS10522</w:t>
      </w:r>
      <w:r>
        <w:rPr/>
        <w:t>高血压等更早资产提供十年研发延续，早期药代或安全信号并不等于最终患者疗效。</w:t>
      </w:r>
    </w:p>
    <w:p>
      <w:pPr>
        <w:pStyle w:val="Heading2"/>
        <w:rPr/>
      </w:pPr>
      <w:r>
        <w:rPr>
          <w:color w:val="000000"/>
        </w:rPr>
        <w:t>八 政策 经济与国际化的实际传导</w:t>
      </w:r>
    </w:p>
    <w:p>
      <w:pPr>
        <w:pStyle w:val="Normal"/>
        <w:rPr/>
      </w:pPr>
      <w:r>
        <w:rPr/>
        <w:t>国内医药需求由疾病患病、诊断与支付决定，和一般消费周期并不完全同步。肿瘤及重症患者需求相对刚性，但家庭收入和医院预算会影响自费创新药的持续使用。医保扩容可以提高患者覆盖，价格谈判也可能降低每名患者收入。模型的产品增长和净利率因此要同时考虑销量、适应症和价格，不能单纯以患病人数增长推定利润增长。</w:t>
      </w:r>
    </w:p>
    <w:p>
      <w:pPr>
        <w:pStyle w:val="Normal"/>
        <w:rPr/>
      </w:pPr>
      <w:r>
        <w:rPr/>
        <w:t>药品销售反腐和学术活动规范影响商业渠道与费用。公司销售费用率下降可以来自更有效的推广，也可能来自合作收入分母扩大或会议节奏；仅一个半年不够证明长期营销成本永久下降。合规改善可以有利于具备证据和研发能力的企业，但政策执行和医院采购行为仍有波动。投资应观察实际产品销售、医院准入和应收回款，而非把政策支持口号转为固定盈利增长。</w:t>
      </w:r>
    </w:p>
    <w:p>
      <w:pPr>
        <w:pStyle w:val="Normal"/>
        <w:rPr/>
      </w:pPr>
      <w:r>
        <w:rPr/>
        <w:t>研发税收优惠与高新技术资格影响利润。中报主要中国子公司正在申请更新</w:t>
      </w:r>
      <w:r>
        <w:rPr/>
        <w:t>2026</w:t>
      </w:r>
      <w:r>
        <w:rPr/>
        <w:t>年前后资格，当前综合税率约</w:t>
      </w:r>
      <w:r>
        <w:rPr/>
        <w:t>15%</w:t>
      </w:r>
      <w:r>
        <w:rPr/>
        <w:t>，长期模型不能永远套最优惠水平而不检验地区变化。全球最低税、海外权益和知识产权安排都可能影响现金税。税率提高时，收入没有变化也会降低</w:t>
      </w:r>
      <w:r>
        <w:rPr/>
        <w:t>EPS</w:t>
      </w:r>
      <w:r>
        <w:rPr/>
        <w:t>；当股价按高成长</w:t>
      </w:r>
      <w:r>
        <w:rPr/>
        <w:t>PE</w:t>
      </w:r>
      <w:r>
        <w:rPr/>
        <w:t>估值，这种利润差异可能被放大。财务风险维度保留了这一不确定性。</w:t>
      </w:r>
    </w:p>
    <w:p>
      <w:pPr>
        <w:pStyle w:val="Normal"/>
        <w:rPr/>
      </w:pPr>
      <w:r>
        <w:rPr/>
        <w:t>国内利率降低可能改善创新融资、估值和医院系统需求，同时减少</w:t>
      </w:r>
      <w:r>
        <w:rPr/>
        <w:t>373</w:t>
      </w:r>
      <w:r>
        <w:rPr/>
        <w:t>亿元存款产生的利息。模型剔除银行利息后再给超额现金价值，可以避免把降息导致报表利润减少直接当作产品经营恶化。公司现金充足，短期融资成本不是主要压力，真正影响可能是高成长价值的折现率和合作方投入预算。股价对利率反应不能完全从财报借款计算。</w:t>
      </w:r>
    </w:p>
    <w:p>
      <w:pPr>
        <w:pStyle w:val="Normal"/>
        <w:rPr/>
      </w:pPr>
      <w:r>
        <w:rPr/>
        <w:t>海外授权使中国研发得以接触更大的市场，也受伙伴的全球临床、投资和采购制度影响。国际政策变动可能作用于投资、技术许可、制造或数据合作，具体规则需要原监管资料核验。</w:t>
      </w:r>
      <w:r>
        <w:rPr/>
        <w:t>9</w:t>
      </w:r>
      <w:r>
        <w:rPr/>
        <w:t>月新闻关于某些可能限制与谈判是动态信息，不能宣称政策风险已经解除。企业保留国内产品可分散部分风险，但较高长期估值中若包含海外增长，仍需相应政策折扣。</w:t>
      </w:r>
    </w:p>
    <w:p>
      <w:pPr>
        <w:pStyle w:val="Normal"/>
        <w:rPr/>
      </w:pPr>
      <w:r>
        <w:rPr/>
        <w:t>汇率有公司层面和投资者层面。公司现金与资产涉及人民币和美元，境外经营换算在权益中出现</w:t>
      </w:r>
      <w:r>
        <w:rPr/>
        <w:t>8.71912</w:t>
      </w:r>
      <w:r>
        <w:rPr/>
        <w:t>亿元负差异，不等同于损益汇兑净损失</w:t>
      </w:r>
      <w:r>
        <w:rPr/>
        <w:t>3,117.1</w:t>
      </w:r>
      <w:r>
        <w:rPr/>
        <w:t>万元。港币股价目标用人民币模型转港币，人民币投资者最终又需兑换持仓和股息，两层不能重复相加。美元收入或授权现金的升贬，会影响财务和未来利润，不是简单由港币人民币换算能覆盖的全部风险。</w:t>
      </w:r>
    </w:p>
    <w:p>
      <w:pPr>
        <w:pStyle w:val="Heading2"/>
        <w:rPr/>
      </w:pPr>
      <w:r>
        <w:rPr>
          <w:color w:val="000000"/>
        </w:rPr>
        <w:t>九 法定利润与核心利润的拆分</w:t>
      </w:r>
    </w:p>
    <w:p>
      <w:pPr>
        <w:pStyle w:val="Normal"/>
        <w:rPr/>
      </w:pPr>
      <w:r>
        <w:rPr/>
        <w:t>2026</w:t>
      </w:r>
      <w:r>
        <w:rPr/>
        <w:t>上半年毛利</w:t>
      </w:r>
      <w:r>
        <w:rPr/>
        <w:t>76.32924</w:t>
      </w:r>
      <w:r>
        <w:rPr/>
        <w:t>亿元、毛利率约</w:t>
      </w:r>
      <w:r>
        <w:rPr/>
        <w:t>91.92%</w:t>
      </w:r>
      <w:r>
        <w:rPr/>
        <w:t>，销售</w:t>
      </w:r>
      <w:r>
        <w:rPr/>
        <w:t>18.60652</w:t>
      </w:r>
      <w:r>
        <w:rPr/>
        <w:t>亿元、行政</w:t>
      </w:r>
      <w:r>
        <w:rPr/>
        <w:t>3.26441</w:t>
      </w:r>
      <w:r>
        <w:rPr/>
        <w:t>亿元、研发</w:t>
      </w:r>
      <w:r>
        <w:rPr/>
        <w:t>17.39380</w:t>
      </w:r>
      <w:r>
        <w:rPr/>
        <w:t>亿元。高毛利同时反映创新产品与授权等收入结构，不代表每个药品都能取得同样毛利。将高毛利乘所有未来销售并忽略研发和市场维护，会过度推高净利率。企业的核心竞争力需要持续投资，研发不是可以每年加回的非经常支出。</w:t>
      </w:r>
    </w:p>
    <w:p>
      <w:pPr>
        <w:pStyle w:val="Normal"/>
        <w:rPr/>
      </w:pPr>
      <w:r>
        <w:rPr/>
        <w:t>税前利润</w:t>
      </w:r>
      <w:r>
        <w:rPr/>
        <w:t>50.09342</w:t>
      </w:r>
      <w:r>
        <w:rPr/>
        <w:t>亿元，净利润</w:t>
      </w:r>
      <w:r>
        <w:rPr/>
        <w:t>42.57941</w:t>
      </w:r>
      <w:r>
        <w:rPr/>
        <w:t>亿元；其他收入</w:t>
      </w:r>
      <w:r>
        <w:rPr/>
        <w:t>13.18260</w:t>
      </w:r>
      <w:r>
        <w:rPr/>
        <w:t>亿元，包含投资收益</w:t>
      </w:r>
      <w:r>
        <w:rPr/>
        <w:t>6.31083</w:t>
      </w:r>
      <w:r>
        <w:rPr/>
        <w:t>亿元、银行利息</w:t>
      </w:r>
      <w:r>
        <w:rPr/>
        <w:t>6.30498</w:t>
      </w:r>
      <w:r>
        <w:rPr/>
        <w:t>亿元和补助</w:t>
      </w:r>
      <w:r>
        <w:rPr/>
        <w:t>5,639.7</w:t>
      </w:r>
      <w:r>
        <w:rPr/>
        <w:t>万元。其他开支另有非上市投资公允收益</w:t>
      </w:r>
      <w:r>
        <w:rPr/>
        <w:t>7,455.1</w:t>
      </w:r>
      <w:r>
        <w:rPr/>
        <w:t>万元、理财</w:t>
      </w:r>
      <w:r>
        <w:rPr/>
        <w:t>267</w:t>
      </w:r>
      <w:r>
        <w:rPr/>
        <w:t>万元、设备出售收益</w:t>
      </w:r>
      <w:r>
        <w:rPr/>
        <w:t>1,109.5</w:t>
      </w:r>
      <w:r>
        <w:rPr/>
        <w:t>万元等。法定利润高增长中相当一部分来自投资和现金收益；产品经营仍改善，但不能把</w:t>
      </w:r>
      <w:r>
        <w:rPr/>
        <w:t>35.8%</w:t>
      </w:r>
      <w:r>
        <w:rPr/>
        <w:t>全部作为未来可持续核心增速。</w:t>
      </w:r>
    </w:p>
    <w:p>
      <w:pPr>
        <w:pStyle w:val="Normal"/>
        <w:rPr/>
      </w:pPr>
      <w:r>
        <w:rPr/>
        <w:t>将税前利润直接减</w:t>
      </w:r>
      <w:r>
        <w:rPr/>
        <w:t>631.083</w:t>
      </w:r>
      <w:r>
        <w:rPr/>
        <w:t>百万元投资收益、</w:t>
      </w:r>
      <w:r>
        <w:rPr/>
        <w:t>630.498</w:t>
      </w:r>
      <w:r>
        <w:rPr/>
        <w:t>百万元利息、</w:t>
      </w:r>
      <w:r>
        <w:rPr/>
        <w:t>74.818</w:t>
      </w:r>
      <w:r>
        <w:rPr/>
        <w:t>百万元公允收益、</w:t>
      </w:r>
      <w:r>
        <w:rPr/>
        <w:t>11.095</w:t>
      </w:r>
      <w:r>
        <w:rPr/>
        <w:t>百万元设备收益，余约</w:t>
      </w:r>
      <w:r>
        <w:rPr/>
        <w:t>36.61848</w:t>
      </w:r>
      <w:r>
        <w:rPr/>
        <w:t>亿元，再按明确假设</w:t>
      </w:r>
      <w:r>
        <w:rPr/>
        <w:t>17%</w:t>
      </w:r>
      <w:r>
        <w:rPr/>
        <w:t>正常税率约</w:t>
      </w:r>
      <w:r>
        <w:rPr/>
        <w:t>30.39334</w:t>
      </w:r>
      <w:r>
        <w:rPr/>
        <w:t>亿元。若还去除</w:t>
      </w:r>
      <w:r>
        <w:rPr/>
        <w:t>14.60938</w:t>
      </w:r>
      <w:r>
        <w:rPr/>
        <w:t>亿元其他合同收入而未调整对应成本，余约</w:t>
      </w:r>
      <w:r>
        <w:rPr/>
        <w:t>18.26755</w:t>
      </w:r>
      <w:r>
        <w:rPr/>
        <w:t>亿元税后。两个粗略结果展示核心拆分的不确定性，不是公司公布核心利润；准确产品利润需相应履约、研发和商业成本分配。</w:t>
      </w:r>
    </w:p>
    <w:p>
      <w:pPr>
        <w:pStyle w:val="Normal"/>
        <w:rPr/>
      </w:pPr>
      <w:r>
        <w:rPr/>
        <w:t>本估值没有用这个粗略剩余直接机械年化，而从未来产品及经风险折扣的持续销售权益构造经营情景。</w:t>
      </w:r>
      <w:r>
        <w:rPr/>
        <w:t>2027</w:t>
      </w:r>
      <w:r>
        <w:rPr/>
        <w:t>基准核心利润</w:t>
      </w:r>
      <w:r>
        <w:rPr/>
        <w:t>60.466</w:t>
      </w:r>
      <w:r>
        <w:rPr/>
        <w:t>亿元，相比不同核心拆分有较强增长要求，必须由现有产品和新上市贡献支持。一次性首付可能帮助现金，却不能假装每年固定重复。长期经营假设中的持续权益收入另列，避免把它既计</w:t>
      </w:r>
      <w:r>
        <w:rPr/>
        <w:t>EPS</w:t>
      </w:r>
      <w:r>
        <w:rPr/>
        <w:t>又加相同药物</w:t>
      </w:r>
      <w:r>
        <w:rPr/>
        <w:t>rNPV</w:t>
      </w:r>
      <w:r>
        <w:rPr/>
        <w:t>。</w:t>
      </w:r>
    </w:p>
    <w:p>
      <w:pPr>
        <w:pStyle w:val="Normal"/>
        <w:rPr/>
      </w:pPr>
      <w:r>
        <w:rPr/>
        <w:t>股份支付附注损益成本</w:t>
      </w:r>
      <w:r>
        <w:rPr/>
        <w:t>7,905.8</w:t>
      </w:r>
      <w:r>
        <w:rPr/>
        <w:t>万元，权益变动和现金流非现金调整</w:t>
      </w:r>
      <w:r>
        <w:rPr/>
        <w:t>5,685</w:t>
      </w:r>
      <w:r>
        <w:rPr/>
        <w:t>万元，两者口径不同，不应互换。本文保留持续股份酬金于盈利，没有为提高</w:t>
      </w:r>
      <w:r>
        <w:rPr/>
        <w:t>EPS</w:t>
      </w:r>
      <w:r>
        <w:rPr/>
        <w:t>全额加回；同时未来股数继续上升体现实际权益分摊。非现金薪酬不要求当期现金支付，却转移股东权益或耗用回购现金，是实际经济成本。盈利估值若不扣费用还不增加股数，会双重高估。</w:t>
      </w:r>
    </w:p>
    <w:p>
      <w:pPr>
        <w:pStyle w:val="Normal"/>
        <w:rPr/>
      </w:pPr>
      <w:r>
        <w:rPr/>
        <w:t>销售费用同比只增</w:t>
      </w:r>
      <w:r>
        <w:rPr/>
        <w:t>2.3%</w:t>
      </w:r>
      <w:r>
        <w:rPr/>
        <w:t>，药品销售增</w:t>
      </w:r>
      <w:r>
        <w:rPr/>
        <w:t>14.3%</w:t>
      </w:r>
      <w:r>
        <w:rPr/>
        <w:t>，支持经营杠杆。行政费用下降</w:t>
      </w:r>
      <w:r>
        <w:rPr/>
        <w:t>4.8%</w:t>
      </w:r>
      <w:r>
        <w:rPr/>
        <w:t>，研发增长</w:t>
      </w:r>
      <w:r>
        <w:rPr/>
        <w:t>20.7%</w:t>
      </w:r>
      <w:r>
        <w:rPr/>
        <w:t>，体现把效率部分重新投入管线。核心盈利改善需要在多个报告期维持，而不是把省下的所有费用永久留存；新药上市后销售队伍、教育和真实世界证据可能增加费用。模型净利率从约</w:t>
      </w:r>
      <w:r>
        <w:rPr/>
        <w:t>32%</w:t>
      </w:r>
      <w:r>
        <w:rPr/>
        <w:t>逐步提高到</w:t>
      </w:r>
      <w:r>
        <w:rPr/>
        <w:t>36%</w:t>
      </w:r>
      <w:r>
        <w:rPr/>
        <w:t>要求结构和效率改善，不能作为无需验证的天然结果。</w:t>
      </w:r>
    </w:p>
    <w:p>
      <w:pPr>
        <w:pStyle w:val="Heading2"/>
        <w:rPr/>
      </w:pPr>
      <w:r>
        <w:rPr>
          <w:color w:val="000000"/>
        </w:rPr>
        <w:t>十 现金流 存款与可转债要对称计算</w:t>
      </w:r>
    </w:p>
    <w:p>
      <w:pPr>
        <w:pStyle w:val="Normal"/>
        <w:rPr/>
      </w:pPr>
      <w:r>
        <w:rPr/>
        <w:t>半年经营现金</w:t>
      </w:r>
      <w:r>
        <w:rPr/>
        <w:t>23.37103</w:t>
      </w:r>
      <w:r>
        <w:rPr/>
        <w:t>亿元，低于去年同期</w:t>
      </w:r>
      <w:r>
        <w:rPr/>
        <w:t>36.05480</w:t>
      </w:r>
      <w:r>
        <w:rPr/>
        <w:t>亿元，也明显低于本期净利润</w:t>
      </w:r>
      <w:r>
        <w:rPr/>
        <w:t>42.57941</w:t>
      </w:r>
      <w:r>
        <w:rPr/>
        <w:t>亿元。主要原因之一是合同负债减少</w:t>
      </w:r>
      <w:r>
        <w:rPr/>
        <w:t>10.87630</w:t>
      </w:r>
      <w:r>
        <w:rPr/>
        <w:t>亿元，说明此前预收款在本期确认或履约，利润与现金到期不同步。不能因利润高就断言现金质量很强，也不能因经营现金下降就判定产品销售虚假。应该检查许可交易收款、履约与产品应收的时点，对连续多个期间现金表现作判断。</w:t>
      </w:r>
    </w:p>
    <w:p>
      <w:pPr>
        <w:pStyle w:val="Normal"/>
        <w:rPr/>
      </w:pPr>
      <w:r>
        <w:rPr/>
        <w:t>净利润中的投资收益在投资现金流列收到</w:t>
      </w:r>
      <w:r>
        <w:rPr/>
        <w:t>6.79716</w:t>
      </w:r>
      <w:r>
        <w:rPr/>
        <w:t>亿元，与损益</w:t>
      </w:r>
      <w:r>
        <w:rPr/>
        <w:t>631.083</w:t>
      </w:r>
      <w:r>
        <w:rPr/>
        <w:t>百万元不完全同额，可能包含不同期间或交易项目。长期存款利息收现金</w:t>
      </w:r>
      <w:r>
        <w:rPr/>
        <w:t>1.92155</w:t>
      </w:r>
      <w:r>
        <w:rPr/>
        <w:t>亿元也不同于已确认</w:t>
      </w:r>
      <w:r>
        <w:rPr/>
        <w:t>5.79251</w:t>
      </w:r>
      <w:r>
        <w:rPr/>
        <w:t>亿元相关应计利息。应计收益和现金到账时点不同，说明不能按利润表全部收益视为可当期分配。银行利息既属于合法利润，也与制造研发能力分开；估值核心剔除后仍可以给可用现金价值，但不能重复计相同收益。</w:t>
      </w:r>
    </w:p>
    <w:p>
      <w:pPr>
        <w:pStyle w:val="Normal"/>
        <w:rPr/>
      </w:pPr>
      <w:r>
        <w:rPr/>
        <w:t>财务回顾资本开支约</w:t>
      </w:r>
      <w:r>
        <w:rPr/>
        <w:t>3.03</w:t>
      </w:r>
      <w:r>
        <w:rPr/>
        <w:t>亿元，具体现金流显示厂房设备现金</w:t>
      </w:r>
      <w:r>
        <w:rPr/>
        <w:t>2.50514</w:t>
      </w:r>
      <w:r>
        <w:rPr/>
        <w:t>亿元、无形现金</w:t>
      </w:r>
      <w:r>
        <w:rPr/>
        <w:t>1.36906</w:t>
      </w:r>
      <w:r>
        <w:rPr/>
        <w:t>亿元，合计</w:t>
      </w:r>
      <w:r>
        <w:rPr/>
        <w:t>3.87420</w:t>
      </w:r>
      <w:r>
        <w:rPr/>
        <w:t>亿元，定义不同。经营现金扣这两项约</w:t>
      </w:r>
      <w:r>
        <w:rPr/>
        <w:t>19.49683</w:t>
      </w:r>
      <w:r>
        <w:rPr/>
        <w:t>亿元，为一个注明定义的简化资本后现金。它没有扣未来合同、股份奖酬、许可引入及所有其他支出，不能等同全部股东自由现金流。模型现金桥保留准备金并明确未完成逐年展开，而不会把单期净现金直接乘五年。</w:t>
      </w:r>
    </w:p>
    <w:p>
      <w:pPr>
        <w:pStyle w:val="Normal"/>
        <w:rPr/>
      </w:pPr>
      <w:r>
        <w:rPr/>
        <w:t>6</w:t>
      </w:r>
      <w:r>
        <w:rPr/>
        <w:t>月末现银行和存款</w:t>
      </w:r>
      <w:r>
        <w:rPr/>
        <w:t>373.82899</w:t>
      </w:r>
      <w:r>
        <w:rPr/>
        <w:t>亿元，其中即时未受限现金</w:t>
      </w:r>
      <w:r>
        <w:rPr/>
        <w:t>24.57241</w:t>
      </w:r>
      <w:r>
        <w:rPr/>
        <w:t>亿元、初始三个月以内定存</w:t>
      </w:r>
      <w:r>
        <w:rPr/>
        <w:t>21.99904</w:t>
      </w:r>
      <w:r>
        <w:rPr/>
        <w:t>亿元，现金等价物</w:t>
      </w:r>
      <w:r>
        <w:rPr/>
        <w:t>46.57145</w:t>
      </w:r>
      <w:r>
        <w:rPr/>
        <w:t>亿元；其余</w:t>
      </w:r>
      <w:r>
        <w:rPr/>
        <w:t>327.25754</w:t>
      </w:r>
      <w:r>
        <w:rPr/>
        <w:t>亿元是初始超过三个月存款。存款无质押、未逾期和减值，但利率、到期时间与即时银行现金不同。把</w:t>
      </w:r>
      <w:r>
        <w:rPr/>
        <w:t>373.8</w:t>
      </w:r>
      <w:r>
        <w:rPr/>
        <w:t>亿元全部称为现金等价物是不准确的，若发生研发或合作大额付款，企业需要按到期和提款条件安排。</w:t>
      </w:r>
    </w:p>
    <w:p>
      <w:pPr>
        <w:pStyle w:val="Normal"/>
        <w:rPr/>
      </w:pPr>
      <w:r>
        <w:rPr/>
        <w:t>半年现金银行总余额增加</w:t>
      </w:r>
      <w:r>
        <w:rPr/>
        <w:t>58.34231</w:t>
      </w:r>
      <w:r>
        <w:rPr/>
        <w:t>亿元，其中新可转债收到人民币</w:t>
      </w:r>
      <w:r>
        <w:rPr/>
        <w:t>41.37287</w:t>
      </w:r>
      <w:r>
        <w:rPr/>
        <w:t>亿元是重要来源。融资现金提高资产，也增加债权或潜在股份义务，不是经营改善自动创造的股东价值。</w:t>
      </w:r>
      <w:r>
        <w:rPr/>
        <w:t>2026</w:t>
      </w:r>
      <w:r>
        <w:rPr/>
        <w:t>年</w:t>
      </w:r>
      <w:r>
        <w:rPr/>
        <w:t>2</w:t>
      </w:r>
      <w:r>
        <w:rPr/>
        <w:t>月</w:t>
      </w:r>
      <w:r>
        <w:rPr/>
        <w:t>3</w:t>
      </w:r>
      <w:r>
        <w:rPr/>
        <w:t>日发行本金</w:t>
      </w:r>
      <w:r>
        <w:rPr/>
        <w:t>46.8</w:t>
      </w:r>
      <w:r>
        <w:rPr/>
        <w:t>亿港元、</w:t>
      </w:r>
      <w:r>
        <w:rPr/>
        <w:t>2033</w:t>
      </w:r>
      <w:r>
        <w:rPr/>
        <w:t>到期零息可转债，账面合计</w:t>
      </w:r>
      <w:r>
        <w:rPr/>
        <w:t>40.84806</w:t>
      </w:r>
      <w:r>
        <w:rPr/>
        <w:t>亿元人民币包含债务和衍生工具；零息是现金票息，并不意味着无融资成本，损益仍确认会计利息和公允变化。</w:t>
      </w:r>
    </w:p>
    <w:p>
      <w:pPr>
        <w:pStyle w:val="Normal"/>
        <w:rPr/>
      </w:pPr>
      <w:r>
        <w:rPr/>
        <w:t>可转债原转股价</w:t>
      </w:r>
      <w:r>
        <w:rPr/>
        <w:t>57.39</w:t>
      </w:r>
      <w:r>
        <w:rPr/>
        <w:t>港元，按</w:t>
      </w:r>
      <w:r>
        <w:rPr/>
        <w:t>8</w:t>
      </w:r>
      <w:r>
        <w:rPr/>
        <w:t>月</w:t>
      </w:r>
      <w:r>
        <w:rPr/>
        <w:t>26</w:t>
      </w:r>
      <w:r>
        <w:rPr/>
        <w:t>日公告于</w:t>
      </w:r>
      <w:r>
        <w:rPr/>
        <w:t>9</w:t>
      </w:r>
      <w:r>
        <w:rPr/>
        <w:t>月</w:t>
      </w:r>
      <w:r>
        <w:rPr/>
        <w:t>28</w:t>
      </w:r>
      <w:r>
        <w:rPr/>
        <w:t>日降为</w:t>
      </w:r>
      <w:r>
        <w:rPr/>
        <w:t>56.54</w:t>
      </w:r>
      <w:r>
        <w:rPr/>
        <w:t>，全额可能发行</w:t>
      </w:r>
      <w:r>
        <w:rPr/>
        <w:t>82,773,258</w:t>
      </w:r>
      <w:r>
        <w:rPr/>
        <w:t>股。转换选择、赎回和期权价值影响普通股结果。当前</w:t>
      </w:r>
      <w:r>
        <w:rPr/>
        <w:t>31.54</w:t>
      </w:r>
      <w:r>
        <w:rPr/>
        <w:t>低于转股价，不能假定所有债券已经转成股份而无需还本金；远期股价上升时可选择转换，但现金债务与股数须一致。本情景保守保留本金现金责任，预测股数体现其他激励与融资选择，不同时加全转换股份还扣全债务以制造人为损失。</w:t>
      </w:r>
    </w:p>
    <w:p>
      <w:pPr>
        <w:pStyle w:val="Normal"/>
        <w:rPr/>
      </w:pPr>
      <w:r>
        <w:rPr/>
        <w:t>6</w:t>
      </w:r>
      <w:r>
        <w:rPr/>
        <w:t>月末账面可转债被列流动，原报告解释因为持有人可以选择转换，不代表本息必定一年内现金到期。研究应该把合同到期、选择权与会计分类区别，不由流动比率下降认定短期债务危机。中期基本加权</w:t>
      </w:r>
      <w:r>
        <w:rPr/>
        <w:t>60.56678630</w:t>
      </w:r>
      <w:r>
        <w:rPr/>
        <w:t>亿股，摊薄</w:t>
      </w:r>
      <w:r>
        <w:rPr/>
        <w:t>61.38226777</w:t>
      </w:r>
      <w:r>
        <w:rPr/>
        <w:t>亿股，包括期权或受限单位和加权可转债影响；</w:t>
      </w:r>
      <w:r>
        <w:rPr/>
        <w:t>2027</w:t>
      </w:r>
      <w:r>
        <w:rPr/>
        <w:t>基准</w:t>
      </w:r>
      <w:r>
        <w:rPr/>
        <w:t>61.7</w:t>
      </w:r>
      <w:r>
        <w:rPr/>
        <w:t>亿、</w:t>
      </w:r>
      <w:r>
        <w:rPr/>
        <w:t>2031</w:t>
      </w:r>
      <w:r>
        <w:rPr/>
        <w:t>为</w:t>
      </w:r>
      <w:r>
        <w:rPr/>
        <w:t>66</w:t>
      </w:r>
      <w:r>
        <w:rPr/>
        <w:t>亿，未来实际股份变化需更新，不能长期使用上市初股数。</w:t>
      </w:r>
    </w:p>
    <w:p>
      <w:pPr>
        <w:pStyle w:val="Normal"/>
        <w:rPr/>
      </w:pPr>
      <w:r>
        <w:rPr/>
        <w:t>2025</w:t>
      </w:r>
      <w:r>
        <w:rPr/>
        <w:t>年公司还曾配售</w:t>
      </w:r>
      <w:r>
        <w:rPr/>
        <w:t>1.08</w:t>
      </w:r>
      <w:r>
        <w:rPr/>
        <w:t>亿股、净筹约</w:t>
      </w:r>
      <w:r>
        <w:rPr/>
        <w:t>38.9654</w:t>
      </w:r>
      <w:r>
        <w:rPr/>
        <w:t>亿港元，</w:t>
      </w:r>
      <w:r>
        <w:rPr/>
        <w:t>6</w:t>
      </w:r>
      <w:r>
        <w:rPr/>
        <w:t>月末仍有部分资金未用，计划研发和技术许可、设施及营运用途。大量现金并不代表管理层准备马上分配，已有未来使用路线。股东应评估新资金使用效率，若不断融资却每股核心盈利没有提高，企业收入增长不能弥补稀释。治理与资本配置评分低于经营评分，正是为这些长期选择保留风险。</w:t>
      </w:r>
    </w:p>
    <w:p>
      <w:pPr>
        <w:pStyle w:val="Normal"/>
        <w:rPr/>
      </w:pPr>
      <w:r>
        <w:rPr/>
        <w:t>现金模型以</w:t>
      </w:r>
      <w:r>
        <w:rPr/>
        <w:t>6</w:t>
      </w:r>
      <w:r>
        <w:rPr/>
        <w:t>月末</w:t>
      </w:r>
      <w:r>
        <w:rPr/>
        <w:t>373.82899</w:t>
      </w:r>
      <w:r>
        <w:rPr/>
        <w:t>亿元为起点，扣按模型汇率换算本金</w:t>
      </w:r>
      <w:r>
        <w:rPr/>
        <w:t>42.54545</w:t>
      </w:r>
      <w:r>
        <w:rPr/>
        <w:t>亿元、租赁</w:t>
      </w:r>
      <w:r>
        <w:rPr/>
        <w:t>1.48742</w:t>
      </w:r>
      <w:r>
        <w:rPr/>
        <w:t>亿元、已宣</w:t>
      </w:r>
      <w:r>
        <w:rPr/>
        <w:t>2025</w:t>
      </w:r>
      <w:r>
        <w:rPr/>
        <w:t>末期息</w:t>
      </w:r>
      <w:r>
        <w:rPr/>
        <w:t>10.53405</w:t>
      </w:r>
      <w:r>
        <w:rPr/>
        <w:t>亿元、基准日之前已形成领取资格的中期息估算</w:t>
      </w:r>
      <w:r>
        <w:rPr/>
        <w:t>15.71166</w:t>
      </w:r>
      <w:r>
        <w:rPr/>
        <w:t>亿元，另留</w:t>
      </w:r>
      <w:r>
        <w:rPr/>
        <w:t>50</w:t>
      </w:r>
      <w:r>
        <w:rPr/>
        <w:t>亿元营运研发准备，初始超额净现金约</w:t>
      </w:r>
      <w:r>
        <w:rPr/>
        <w:t>253.55040</w:t>
      </w:r>
      <w:r>
        <w:rPr/>
        <w:t>亿元。该准备为研究假设、并非冻结资金。已宣股息支付仍耗现金，但</w:t>
      </w:r>
      <w:r>
        <w:rPr/>
        <w:t>10</w:t>
      </w:r>
      <w:r>
        <w:rPr/>
        <w:t>月</w:t>
      </w:r>
      <w:r>
        <w:rPr/>
        <w:t>9</w:t>
      </w:r>
      <w:r>
        <w:rPr/>
        <w:t>日新买入者不享有过去资格，不能将这部分同时算作未来收益。</w:t>
      </w:r>
    </w:p>
    <w:p>
      <w:pPr>
        <w:pStyle w:val="Normal"/>
        <w:rPr/>
      </w:pPr>
      <w:r>
        <w:rPr/>
        <w:t>目标超额净现金年底和半年基准</w:t>
      </w:r>
      <w:r>
        <w:rPr/>
        <w:t>260</w:t>
      </w:r>
      <w:r>
        <w:rPr/>
        <w:t>亿元，一年</w:t>
      </w:r>
      <w:r>
        <w:rPr/>
        <w:t>270</w:t>
      </w:r>
      <w:r>
        <w:rPr/>
        <w:t>、三年</w:t>
      </w:r>
      <w:r>
        <w:rPr/>
        <w:t>290</w:t>
      </w:r>
      <w:r>
        <w:rPr/>
        <w:t>、五年</w:t>
      </w:r>
      <w:r>
        <w:rPr/>
        <w:t>350</w:t>
      </w:r>
      <w:r>
        <w:rPr/>
        <w:t>。它们来自初始净现金加未来经营投资融资净变化，扣未来情景累计股息，模型逐项保存可复算桥。合计净变化尚未按每年产品、研发、资本和交易展开，是明确限制，不能宣称已完成三张表现金流。只有未来实际经营现金持续产生、资本和许可投入受控时，净现金假设才成立；现金减少需同步降低目标。</w:t>
      </w:r>
    </w:p>
    <w:p>
      <w:pPr>
        <w:pStyle w:val="Heading2"/>
        <w:rPr/>
      </w:pPr>
      <w:r>
        <w:rPr>
          <w:color w:val="000000"/>
        </w:rPr>
        <w:t>十一 半年量价 弱趋势与估值机会分别判断</w:t>
      </w:r>
    </w:p>
    <w:p>
      <w:pPr>
        <w:pStyle w:val="Normal"/>
        <w:rPr/>
      </w:pPr>
      <w:r>
        <w:rPr/>
        <w:t>截止日收盘</w:t>
      </w:r>
      <w:r>
        <w:rPr/>
        <w:t>31.54</w:t>
      </w:r>
      <w:r>
        <w:rPr/>
        <w:t>由腾讯、新浪与独立日线交叉核验。研究三年日线</w:t>
      </w:r>
      <w:r>
        <w:rPr/>
        <w:t>739</w:t>
      </w:r>
      <w:r>
        <w:rPr/>
        <w:t>根、聚合周线</w:t>
      </w:r>
      <w:r>
        <w:rPr/>
        <w:t>157</w:t>
      </w:r>
      <w:r>
        <w:rPr/>
        <w:t>根，历史足以计算</w:t>
      </w:r>
      <w:r>
        <w:rPr/>
        <w:t>250</w:t>
      </w:r>
      <w:r>
        <w:rPr/>
        <w:t>日，所取窗口不够</w:t>
      </w:r>
      <w:r>
        <w:rPr/>
        <w:t>250</w:t>
      </w:r>
      <w:r>
        <w:rPr/>
        <w:t>周，因此周</w:t>
      </w:r>
      <w:r>
        <w:rPr/>
        <w:t>250</w:t>
      </w:r>
      <w:r>
        <w:rPr/>
        <w:t>保持空值。日线采用以基准价归一复权</w:t>
      </w:r>
      <w:r>
        <w:rPr/>
        <w:t>OHLC</w:t>
      </w:r>
      <w:r>
        <w:rPr/>
        <w:t>，派息有公司行动记录，不能将除息日名义价格缺口当作纯卖压。两根原</w:t>
      </w:r>
      <w:r>
        <w:rPr/>
        <w:t>Yahoo</w:t>
      </w:r>
      <w:r>
        <w:rPr/>
        <w:t>逻辑不一致记录用腾讯同日完整</w:t>
      </w:r>
      <w:r>
        <w:rPr/>
        <w:t>bar</w:t>
      </w:r>
      <w:r>
        <w:rPr/>
        <w:t>修复，原字段与依据保留，并非按主观涨跌删数据。</w:t>
      </w:r>
    </w:p>
    <w:p>
      <w:pPr>
        <w:pStyle w:val="Normal"/>
        <w:rPr/>
      </w:pPr>
      <w:r>
        <w:rPr/>
        <w:t>20</w:t>
      </w:r>
      <w:r>
        <w:rPr/>
        <w:t>日均线</w:t>
      </w:r>
      <w:r>
        <w:rPr/>
        <w:t>33.8801</w:t>
      </w:r>
      <w:r>
        <w:rPr/>
        <w:t>港元、</w:t>
      </w:r>
      <w:r>
        <w:rPr/>
        <w:t>60</w:t>
      </w:r>
      <w:r>
        <w:rPr/>
        <w:t>日</w:t>
      </w:r>
      <w:r>
        <w:rPr/>
        <w:t>33.4097</w:t>
      </w:r>
      <w:r>
        <w:rPr/>
        <w:t>、</w:t>
      </w:r>
      <w:r>
        <w:rPr/>
        <w:t>120</w:t>
      </w:r>
      <w:r>
        <w:rPr/>
        <w:t>日</w:t>
      </w:r>
      <w:r>
        <w:rPr/>
        <w:t>33.0889</w:t>
      </w:r>
      <w:r>
        <w:rPr/>
        <w:t>、</w:t>
      </w:r>
      <w:r>
        <w:rPr/>
        <w:t>250</w:t>
      </w:r>
      <w:r>
        <w:rPr/>
        <w:t>日</w:t>
      </w:r>
      <w:r>
        <w:rPr/>
        <w:t>35.0499</w:t>
      </w:r>
      <w:r>
        <w:rPr/>
        <w:t>，现价分别低</w:t>
      </w:r>
      <w:r>
        <w:rPr/>
        <w:t>6.91%</w:t>
      </w:r>
      <w:r>
        <w:rPr/>
        <w:t>、</w:t>
      </w:r>
      <w:r>
        <w:rPr/>
        <w:t>5.60%</w:t>
      </w:r>
      <w:r>
        <w:rPr/>
        <w:t>、</w:t>
      </w:r>
      <w:r>
        <w:rPr/>
        <w:t>4.68%</w:t>
      </w:r>
      <w:r>
        <w:rPr/>
        <w:t>和</w:t>
      </w:r>
      <w:r>
        <w:rPr/>
        <w:t>10.01%</w:t>
      </w:r>
      <w:r>
        <w:rPr/>
        <w:t>。</w:t>
      </w:r>
      <w:r>
        <w:rPr/>
        <w:t>20</w:t>
      </w:r>
      <w:r>
        <w:rPr/>
        <w:t>日线最近五日下降</w:t>
      </w:r>
      <w:r>
        <w:rPr/>
        <w:t>1.32%</w:t>
      </w:r>
      <w:r>
        <w:rPr/>
        <w:t>，</w:t>
      </w:r>
      <w:r>
        <w:rPr/>
        <w:t>60</w:t>
      </w:r>
      <w:r>
        <w:rPr/>
        <w:t>日略升</w:t>
      </w:r>
      <w:r>
        <w:rPr/>
        <w:t>0.23%</w:t>
      </w:r>
      <w:r>
        <w:rPr/>
        <w:t>，</w:t>
      </w:r>
      <w:r>
        <w:rPr/>
        <w:t>120</w:t>
      </w:r>
      <w:r>
        <w:rPr/>
        <w:t>与</w:t>
      </w:r>
      <w:r>
        <w:rPr/>
        <w:t>250</w:t>
      </w:r>
      <w:r>
        <w:rPr/>
        <w:t>分别下降</w:t>
      </w:r>
      <w:r>
        <w:rPr/>
        <w:t>0.68%</w:t>
      </w:r>
      <w:r>
        <w:rPr/>
        <w:t>和</w:t>
      </w:r>
      <w:r>
        <w:rPr/>
        <w:t>0.13%</w:t>
      </w:r>
      <w:r>
        <w:rPr/>
        <w:t>。中期均线交错，但价格低于全部主要线，近期动能偏弱。不能称为已经形成多头突破，也不能只因</w:t>
      </w:r>
      <w:r>
        <w:rPr/>
        <w:t>60</w:t>
      </w:r>
      <w:r>
        <w:rPr/>
        <w:t>日线微升就判定反转成功。</w:t>
      </w:r>
    </w:p>
    <w:p>
      <w:pPr>
        <w:pStyle w:val="Normal"/>
        <w:rPr/>
      </w:pPr>
      <w:r>
        <w:rPr/>
        <w:t>最近</w:t>
      </w:r>
      <w:r>
        <w:rPr/>
        <w:t>20</w:t>
      </w:r>
      <w:r>
        <w:rPr/>
        <w:t>日回报负</w:t>
      </w:r>
      <w:r>
        <w:rPr/>
        <w:t>4.63%</w:t>
      </w:r>
      <w:r>
        <w:rPr/>
        <w:t>，</w:t>
      </w:r>
      <w:r>
        <w:rPr/>
        <w:t>60</w:t>
      </w:r>
      <w:r>
        <w:rPr/>
        <w:t>日负</w:t>
      </w:r>
      <w:r>
        <w:rPr/>
        <w:t>4.12%</w:t>
      </w:r>
      <w:r>
        <w:rPr/>
        <w:t>，</w:t>
      </w:r>
      <w:r>
        <w:rPr/>
        <w:t>120</w:t>
      </w:r>
      <w:r>
        <w:rPr/>
        <w:t>日负</w:t>
      </w:r>
      <w:r>
        <w:rPr/>
        <w:t>19.52%</w:t>
      </w:r>
      <w:r>
        <w:rPr/>
        <w:t>，</w:t>
      </w:r>
      <w:r>
        <w:rPr/>
        <w:t>250</w:t>
      </w:r>
      <w:r>
        <w:rPr/>
        <w:t>日负</w:t>
      </w:r>
      <w:r>
        <w:rPr/>
        <w:t>15.71%</w:t>
      </w:r>
      <w:r>
        <w:rPr/>
        <w:t>。复权</w:t>
      </w:r>
      <w:r>
        <w:rPr/>
        <w:t>52</w:t>
      </w:r>
      <w:r>
        <w:rPr/>
        <w:t>周高</w:t>
      </w:r>
      <w:r>
        <w:rPr/>
        <w:t>43.5873</w:t>
      </w:r>
      <w:r>
        <w:rPr/>
        <w:t>、低</w:t>
      </w:r>
      <w:r>
        <w:rPr/>
        <w:t>27.6585</w:t>
      </w:r>
      <w:r>
        <w:rPr/>
        <w:t>，现价较高低约负</w:t>
      </w:r>
      <w:r>
        <w:rPr/>
        <w:t>27.64%</w:t>
      </w:r>
      <w:r>
        <w:rPr/>
        <w:t>和正</w:t>
      </w:r>
      <w:r>
        <w:rPr/>
        <w:t>14.03%</w:t>
      </w:r>
      <w:r>
        <w:rPr/>
        <w:t>，区间最大回撤</w:t>
      </w:r>
      <w:r>
        <w:rPr/>
        <w:t>34.13%</w:t>
      </w:r>
      <w:r>
        <w:rPr/>
        <w:t>。高点距离大说明已有估值或预期收缩，也体现持有期间波动；回到高点不是自动目标，因为原高点可能定价了尚未兑现的未来收益。价值判断必须另由经营模型提供。</w:t>
      </w:r>
    </w:p>
    <w:p>
      <w:pPr>
        <w:pStyle w:val="Normal"/>
        <w:rPr/>
      </w:pPr>
      <w:r>
        <w:rPr/>
        <w:t>近期</w:t>
      </w:r>
      <w:r>
        <w:rPr/>
        <w:t>20</w:t>
      </w:r>
      <w:r>
        <w:rPr/>
        <w:t>日低</w:t>
      </w:r>
      <w:r>
        <w:rPr/>
        <w:t>31.18</w:t>
      </w:r>
      <w:r>
        <w:rPr/>
        <w:t>只比现价低</w:t>
      </w:r>
      <w:r>
        <w:rPr/>
        <w:t>1.14%</w:t>
      </w:r>
      <w:r>
        <w:rPr/>
        <w:t>，</w:t>
      </w:r>
      <w:r>
        <w:rPr/>
        <w:t>60</w:t>
      </w:r>
      <w:r>
        <w:rPr/>
        <w:t>日低</w:t>
      </w:r>
      <w:r>
        <w:rPr/>
        <w:t>30.4936</w:t>
      </w:r>
      <w:r>
        <w:rPr/>
        <w:t>低</w:t>
      </w:r>
      <w:r>
        <w:rPr/>
        <w:t>3.32%</w:t>
      </w:r>
      <w:r>
        <w:rPr/>
        <w:t>；相应高</w:t>
      </w:r>
      <w:r>
        <w:rPr/>
        <w:t>36.00</w:t>
      </w:r>
      <w:r>
        <w:rPr/>
        <w:t>与</w:t>
      </w:r>
      <w:r>
        <w:rPr/>
        <w:t>36.8622</w:t>
      </w:r>
      <w:r>
        <w:rPr/>
        <w:t>，距离</w:t>
      </w:r>
      <w:r>
        <w:rPr/>
        <w:t>14.14%</w:t>
      </w:r>
      <w:r>
        <w:rPr/>
        <w:t>与</w:t>
      </w:r>
      <w:r>
        <w:rPr/>
        <w:t>16.87%</w:t>
      </w:r>
      <w:r>
        <w:rPr/>
        <w:t>。这些是窗口极值观察位，未经触碰次数筛选，不称精确支撑阻力。如果有效跌破</w:t>
      </w:r>
      <w:r>
        <w:rPr/>
        <w:t>31.18</w:t>
      </w:r>
      <w:r>
        <w:rPr/>
        <w:t>和</w:t>
      </w:r>
      <w:r>
        <w:rPr/>
        <w:t>30.49</w:t>
      </w:r>
      <w:r>
        <w:rPr/>
        <w:t>，仍可能向</w:t>
      </w:r>
      <w:r>
        <w:rPr/>
        <w:t>27.66</w:t>
      </w:r>
      <w:r>
        <w:rPr/>
        <w:t>年度低点区域延伸。若重新收于</w:t>
      </w:r>
      <w:r>
        <w:rPr/>
        <w:t>33.1</w:t>
      </w:r>
      <w:r>
        <w:rPr/>
        <w:t>至</w:t>
      </w:r>
      <w:r>
        <w:rPr/>
        <w:t>33.9</w:t>
      </w:r>
      <w:r>
        <w:rPr/>
        <w:t>均线簇上方并保持，再观察</w:t>
      </w:r>
      <w:r>
        <w:rPr/>
        <w:t>35.05</w:t>
      </w:r>
      <w:r>
        <w:rPr/>
        <w:t>和</w:t>
      </w:r>
      <w:r>
        <w:rPr/>
        <w:t>36</w:t>
      </w:r>
      <w:r>
        <w:rPr/>
        <w:t>区间，短线评分才有理由改善。</w:t>
      </w:r>
    </w:p>
    <w:p>
      <w:pPr>
        <w:pStyle w:val="Normal"/>
        <w:rPr/>
      </w:pPr>
      <w:r>
        <w:rPr/>
        <w:t>成交</w:t>
      </w:r>
      <w:r>
        <w:rPr/>
        <w:t>995.5354</w:t>
      </w:r>
      <w:r>
        <w:rPr/>
        <w:t>万股、额</w:t>
      </w:r>
      <w:r>
        <w:rPr/>
        <w:t>3.14162</w:t>
      </w:r>
      <w:r>
        <w:rPr/>
        <w:t>亿元港币，量比相对此前</w:t>
      </w:r>
      <w:r>
        <w:rPr/>
        <w:t>20</w:t>
      </w:r>
      <w:r>
        <w:rPr/>
        <w:t>日</w:t>
      </w:r>
      <w:r>
        <w:rPr/>
        <w:t>875.2966</w:t>
      </w:r>
      <w:r>
        <w:rPr/>
        <w:t>万股为</w:t>
      </w:r>
      <w:r>
        <w:rPr/>
        <w:t>1.1374</w:t>
      </w:r>
      <w:r>
        <w:rPr/>
        <w:t>。</w:t>
      </w:r>
      <w:r>
        <w:rPr/>
        <w:t>5</w:t>
      </w:r>
      <w:r>
        <w:rPr/>
        <w:t>日均量</w:t>
      </w:r>
      <w:r>
        <w:rPr/>
        <w:t>683.0664</w:t>
      </w:r>
      <w:r>
        <w:rPr/>
        <w:t>万、</w:t>
      </w:r>
      <w:r>
        <w:rPr/>
        <w:t>20</w:t>
      </w:r>
      <w:r>
        <w:rPr/>
        <w:t>日</w:t>
      </w:r>
      <w:r>
        <w:rPr/>
        <w:t>865.3825</w:t>
      </w:r>
      <w:r>
        <w:rPr/>
        <w:t>万、</w:t>
      </w:r>
      <w:r>
        <w:rPr/>
        <w:t>60</w:t>
      </w:r>
      <w:r>
        <w:rPr/>
        <w:t>日</w:t>
      </w:r>
      <w:r>
        <w:rPr/>
        <w:t>1,054.8941</w:t>
      </w:r>
      <w:r>
        <w:rPr/>
        <w:t>万，近期交易活跃度低于</w:t>
      </w:r>
      <w:r>
        <w:rPr/>
        <w:t>60</w:t>
      </w:r>
      <w:r>
        <w:rPr/>
        <w:t>日。成交量是股，不能再乘每手单位，金额单位港币元。公开换手分母未取得一致可靠定义，本文保持缺失；用总股数粗算的比率不是经过核验的流通换手。</w:t>
      </w:r>
    </w:p>
    <w:p>
      <w:pPr>
        <w:pStyle w:val="Normal"/>
        <w:rPr/>
      </w:pPr>
      <w:r>
        <w:rPr/>
        <w:t>20</w:t>
      </w:r>
      <w:r>
        <w:rPr/>
        <w:t>日上涨</w:t>
      </w:r>
      <w:r>
        <w:rPr/>
        <w:t>8</w:t>
      </w:r>
      <w:r>
        <w:rPr/>
        <w:t>天、累计量</w:t>
      </w:r>
      <w:r>
        <w:rPr/>
        <w:t>7,577.7376</w:t>
      </w:r>
      <w:r>
        <w:rPr/>
        <w:t>万股，下跌</w:t>
      </w:r>
      <w:r>
        <w:rPr/>
        <w:t>12</w:t>
      </w:r>
      <w:r>
        <w:rPr/>
        <w:t>天</w:t>
      </w:r>
      <w:r>
        <w:rPr/>
        <w:t>9,729.9128</w:t>
      </w:r>
      <w:r>
        <w:rPr/>
        <w:t>万，累计比</w:t>
      </w:r>
      <w:r>
        <w:rPr/>
        <w:t>0.7788</w:t>
      </w:r>
      <w:r>
        <w:rPr/>
        <w:t>。按每交易日，上涨均量约</w:t>
      </w:r>
      <w:r>
        <w:rPr/>
        <w:t>947.22</w:t>
      </w:r>
      <w:r>
        <w:rPr/>
        <w:t>万，下跌约</w:t>
      </w:r>
      <w:r>
        <w:rPr/>
        <w:t>810.83</w:t>
      </w:r>
      <w:r>
        <w:rPr/>
        <w:t>万，方向与单纯累计比较不同。它显示成交结构有分歧而不能推断特定资金主体。没有逐笔和账户资料，量价不能证明主力吸筹，也不能用成交活跃说明所有抛售已经结束。技术评分以整体趋势和相对强弱为主，量能只辅助。</w:t>
      </w:r>
    </w:p>
    <w:p>
      <w:pPr>
        <w:pStyle w:val="Normal"/>
        <w:rPr/>
      </w:pPr>
      <w:r>
        <w:rPr/>
        <w:t>日</w:t>
      </w:r>
      <w:r>
        <w:rPr/>
        <w:t>RSI38.41</w:t>
      </w:r>
      <w:r>
        <w:rPr/>
        <w:t>表明近期下行强于上行，尚不能因接近所谓超卖就自动买入。</w:t>
      </w:r>
      <w:r>
        <w:rPr/>
        <w:t>MACD DIF</w:t>
      </w:r>
      <w:r>
        <w:rPr/>
        <w:t>负</w:t>
      </w:r>
      <w:r>
        <w:rPr/>
        <w:t>0.2472</w:t>
      </w:r>
      <w:r>
        <w:rPr/>
        <w:t>、</w:t>
      </w:r>
      <w:r>
        <w:rPr/>
        <w:t>DEA0.0462</w:t>
      </w:r>
      <w:r>
        <w:rPr/>
        <w:t>，按两倍差柱负</w:t>
      </w:r>
      <w:r>
        <w:rPr/>
        <w:t>0.5866</w:t>
      </w:r>
      <w:r>
        <w:rPr/>
        <w:t>，与主要均线下方一致。</w:t>
      </w:r>
      <w:r>
        <w:rPr/>
        <w:t>ATR1.4356</w:t>
      </w:r>
      <w:r>
        <w:rPr/>
        <w:t>港元、约</w:t>
      </w:r>
      <w:r>
        <w:rPr/>
        <w:t>4.55%</w:t>
      </w:r>
      <w:r>
        <w:rPr/>
        <w:t>，正常波动可以超过近期观察低点距离。把观察低点当保证止损位会低估消息与缺口风险；若价格快速越过支撑，实际可执行损失可能明显更大。</w:t>
      </w:r>
    </w:p>
    <w:p>
      <w:pPr>
        <w:pStyle w:val="Normal"/>
        <w:rPr/>
      </w:pPr>
      <w:r>
        <w:rPr/>
        <w:t>周</w:t>
      </w:r>
      <w:r>
        <w:rPr/>
        <w:t>20</w:t>
      </w:r>
      <w:r>
        <w:rPr/>
        <w:t>均</w:t>
      </w:r>
      <w:r>
        <w:rPr/>
        <w:t>32.2174</w:t>
      </w:r>
      <w:r>
        <w:rPr/>
        <w:t>、</w:t>
      </w:r>
      <w:r>
        <w:rPr/>
        <w:t>60</w:t>
      </w:r>
      <w:r>
        <w:rPr/>
        <w:t>均</w:t>
      </w:r>
      <w:r>
        <w:rPr/>
        <w:t>35.1443</w:t>
      </w:r>
      <w:r>
        <w:rPr/>
        <w:t>、</w:t>
      </w:r>
      <w:r>
        <w:rPr/>
        <w:t>120</w:t>
      </w:r>
      <w:r>
        <w:rPr/>
        <w:t>均</w:t>
      </w:r>
      <w:r>
        <w:rPr/>
        <w:t>28.2436</w:t>
      </w:r>
      <w:r>
        <w:rPr/>
        <w:t>，价格低于前两条而高于</w:t>
      </w:r>
      <w:r>
        <w:rPr/>
        <w:t>120</w:t>
      </w:r>
      <w:r>
        <w:rPr/>
        <w:t>周</w:t>
      </w:r>
      <w:r>
        <w:rPr/>
        <w:t>11.67%</w:t>
      </w:r>
      <w:r>
        <w:rPr/>
        <w:t>。周</w:t>
      </w:r>
      <w:r>
        <w:rPr/>
        <w:t>RSI44.90</w:t>
      </w:r>
      <w:r>
        <w:rPr/>
        <w:t>、</w:t>
      </w:r>
      <w:r>
        <w:rPr/>
        <w:t>MACD DIF</w:t>
      </w:r>
      <w:r>
        <w:rPr/>
        <w:t>负</w:t>
      </w:r>
      <w:r>
        <w:rPr/>
        <w:t>0.1968</w:t>
      </w:r>
      <w:r>
        <w:rPr/>
        <w:t>高于</w:t>
      </w:r>
      <w:r>
        <w:rPr/>
        <w:t>DEA</w:t>
      </w:r>
      <w:r>
        <w:rPr/>
        <w:t>负</w:t>
      </w:r>
      <w:r>
        <w:rPr/>
        <w:t>0.3235</w:t>
      </w:r>
      <w:r>
        <w:rPr/>
        <w:t>、柱</w:t>
      </w:r>
      <w:r>
        <w:rPr/>
        <w:t>0.2533</w:t>
      </w:r>
      <w:r>
        <w:rPr/>
        <w:t>，表示长期修复可能仍在但近期下降未结束。</w:t>
      </w:r>
      <w:r>
        <w:rPr/>
        <w:t>20</w:t>
      </w:r>
      <w:r>
        <w:rPr/>
        <w:t>周上跌量比</w:t>
      </w:r>
      <w:r>
        <w:rPr/>
        <w:t>0.6798</w:t>
      </w:r>
      <w:r>
        <w:rPr/>
        <w:t>，截止周量比</w:t>
      </w:r>
      <w:r>
        <w:rPr/>
        <w:t>0.5950</w:t>
      </w:r>
      <w:r>
        <w:rPr/>
        <w:t>，缺乏一致强势证据。周图不能因为</w:t>
      </w:r>
      <w:r>
        <w:rPr/>
        <w:t>MACD</w:t>
      </w:r>
      <w:r>
        <w:rPr/>
        <w:t>轻微为正而覆盖日图弱势，两个时间层级共同限制半年得分。</w:t>
      </w:r>
    </w:p>
    <w:p>
      <w:pPr>
        <w:pStyle w:val="Normal"/>
        <w:rPr/>
      </w:pPr>
      <w:r>
        <w:rPr/>
        <w:t>相对恒指</w:t>
      </w:r>
      <w:r>
        <w:rPr/>
        <w:t>20</w:t>
      </w:r>
      <w:r>
        <w:rPr/>
        <w:t>日超额负</w:t>
      </w:r>
      <w:r>
        <w:rPr/>
        <w:t>1.66</w:t>
      </w:r>
      <w:r>
        <w:rPr/>
        <w:t>个百分点、</w:t>
      </w:r>
      <w:r>
        <w:rPr/>
        <w:t>60</w:t>
      </w:r>
      <w:r>
        <w:rPr/>
        <w:t>日负</w:t>
      </w:r>
      <w:r>
        <w:rPr/>
        <w:t>0.93</w:t>
      </w:r>
      <w:r>
        <w:rPr/>
        <w:t>，说明即便市场也调整，公司没有近期相对领先。行业基准数据尚缺失，不能把恒指跑输理解为已跑输所有创新药。未来若新数据公告后收复均线且转为持续市场超额，技术层面可提高；若基本面好消息持续未带来价格修复，应关注市场隐含更低盈利或政策折扣，并核验原因。短线失效条件是放量跌破</w:t>
      </w:r>
      <w:r>
        <w:rPr/>
        <w:t>30.49</w:t>
      </w:r>
      <w:r>
        <w:rPr/>
        <w:t>且不能修复，长线价值仍另看经营反证。</w:t>
      </w:r>
    </w:p>
    <w:p>
      <w:pPr>
        <w:pStyle w:val="Heading2"/>
        <w:rPr/>
      </w:pPr>
      <w:r>
        <w:rPr>
          <w:color w:val="000000"/>
        </w:rPr>
        <w:t>十二 估值输入与敏感性</w:t>
      </w:r>
    </w:p>
    <w:p>
      <w:pPr>
        <w:pStyle w:val="Normal"/>
        <w:rPr/>
      </w:pPr>
      <w:r>
        <w:rPr/>
        <w:t>目标价格按核心</w:t>
      </w:r>
      <w:r>
        <w:rPr/>
        <w:t>EPS</w:t>
      </w:r>
      <w:r>
        <w:rPr/>
        <w:t>乘合理</w:t>
      </w:r>
      <w:r>
        <w:rPr/>
        <w:t>PE</w:t>
      </w:r>
      <w:r>
        <w:rPr/>
        <w:t>，加目标超额净现金每股，再用每人民币</w:t>
      </w:r>
      <w:r>
        <w:rPr/>
        <w:t>1.10</w:t>
      </w:r>
      <w:r>
        <w:rPr/>
        <w:t>港元换算。现金对应未用于经营的额外资金，核心盈利已去非经营利息，避免同一现金既通过利息</w:t>
      </w:r>
      <w:r>
        <w:rPr/>
        <w:t>PE</w:t>
      </w:r>
      <w:r>
        <w:rPr/>
        <w:t>又按面值加入。未来海外持续权益收入包含在核心经营模型，未再加相同管线</w:t>
      </w:r>
      <w:r>
        <w:rPr/>
        <w:t>rNPV</w:t>
      </w:r>
      <w:r>
        <w:rPr/>
        <w:t>。未确定首付款和里程碑不作为永久核心</w:t>
      </w:r>
      <w:r>
        <w:rPr/>
        <w:t>EPS</w:t>
      </w:r>
      <w:r>
        <w:rPr/>
        <w:t>。完整逐产品现金流、临床成功率和合作成本仍待补，这一模型属于透明可复核的简化情景。</w:t>
      </w:r>
    </w:p>
    <w:p>
      <w:pPr>
        <w:pStyle w:val="Normal"/>
        <w:rPr/>
      </w:pPr>
      <w:r>
        <w:rPr/>
        <w:t>2027</w:t>
      </w:r>
      <w:r>
        <w:rPr/>
        <w:t>基准产品收入</w:t>
      </w:r>
      <w:r>
        <w:rPr/>
        <w:t>188</w:t>
      </w:r>
      <w:r>
        <w:rPr/>
        <w:t>亿元、持续权益假设暂零、稀释</w:t>
      </w:r>
      <w:r>
        <w:rPr/>
        <w:t>61.7</w:t>
      </w:r>
      <w:r>
        <w:rPr/>
        <w:t>亿股、</w:t>
      </w:r>
      <w:r>
        <w:rPr/>
        <w:t>EPS0.98</w:t>
      </w:r>
      <w:r>
        <w:rPr/>
        <w:t>，核心利润</w:t>
      </w:r>
      <w:r>
        <w:rPr/>
        <w:t>60.466</w:t>
      </w:r>
      <w:r>
        <w:rPr/>
        <w:t>亿元、净利率</w:t>
      </w:r>
      <w:r>
        <w:rPr/>
        <w:t>32.16%</w:t>
      </w:r>
      <w:r>
        <w:rPr/>
        <w:t>；</w:t>
      </w:r>
      <w:r>
        <w:rPr/>
        <w:t>2028</w:t>
      </w:r>
      <w:r>
        <w:rPr/>
        <w:t>产品</w:t>
      </w:r>
      <w:r>
        <w:rPr/>
        <w:t>230</w:t>
      </w:r>
      <w:r>
        <w:rPr/>
        <w:t>亿元、经风险折扣持续权益</w:t>
      </w:r>
      <w:r>
        <w:rPr/>
        <w:t>3</w:t>
      </w:r>
      <w:r>
        <w:rPr/>
        <w:t>亿元、</w:t>
      </w:r>
      <w:r>
        <w:rPr/>
        <w:t>EPS1.25</w:t>
      </w:r>
      <w:r>
        <w:rPr/>
        <w:t>、股数</w:t>
      </w:r>
      <w:r>
        <w:rPr/>
        <w:t>62.4</w:t>
      </w:r>
      <w:r>
        <w:rPr/>
        <w:t>亿，利润</w:t>
      </w:r>
      <w:r>
        <w:rPr/>
        <w:t>78</w:t>
      </w:r>
      <w:r>
        <w:rPr/>
        <w:t>亿元、净利率</w:t>
      </w:r>
      <w:r>
        <w:rPr/>
        <w:t>33.48%</w:t>
      </w:r>
      <w:r>
        <w:rPr/>
        <w:t>。这要求新产品逐步放量和已有产品效率维持，不能仅靠一笔授权首付。悲观</w:t>
      </w:r>
      <w:r>
        <w:rPr/>
        <w:t>2027</w:t>
      </w:r>
      <w:r>
        <w:rPr/>
        <w:t>产品</w:t>
      </w:r>
      <w:r>
        <w:rPr/>
        <w:t>165</w:t>
      </w:r>
      <w:r>
        <w:rPr/>
        <w:t>亿元、</w:t>
      </w:r>
      <w:r>
        <w:rPr/>
        <w:t>EPS0.72</w:t>
      </w:r>
      <w:r>
        <w:rPr/>
        <w:t>，乐观</w:t>
      </w:r>
      <w:r>
        <w:rPr/>
        <w:t>215</w:t>
      </w:r>
      <w:r>
        <w:rPr/>
        <w:t>亿元、</w:t>
      </w:r>
      <w:r>
        <w:rPr/>
        <w:t>EPS1.22</w:t>
      </w:r>
      <w:r>
        <w:rPr/>
        <w:t>，分别净利率</w:t>
      </w:r>
      <w:r>
        <w:rPr/>
        <w:t>27.14%</w:t>
      </w:r>
      <w:r>
        <w:rPr/>
        <w:t>和</w:t>
      </w:r>
      <w:r>
        <w:rPr/>
        <w:t>35.01%</w:t>
      </w:r>
      <w:r>
        <w:rPr/>
        <w:t>。</w:t>
      </w:r>
    </w:p>
    <w:p>
      <w:pPr>
        <w:pStyle w:val="Normal"/>
        <w:rPr/>
      </w:pPr>
      <w:r>
        <w:rPr/>
        <w:t>2029</w:t>
      </w:r>
      <w:r>
        <w:rPr/>
        <w:t>基准产品</w:t>
      </w:r>
      <w:r>
        <w:rPr/>
        <w:t>290</w:t>
      </w:r>
      <w:r>
        <w:rPr/>
        <w:t>亿元、持续权益</w:t>
      </w:r>
      <w:r>
        <w:rPr/>
        <w:t>10</w:t>
      </w:r>
      <w:r>
        <w:rPr/>
        <w:t>亿元、股数</w:t>
      </w:r>
      <w:r>
        <w:rPr/>
        <w:t>63.8</w:t>
      </w:r>
      <w:r>
        <w:rPr/>
        <w:t>亿、</w:t>
      </w:r>
      <w:r>
        <w:rPr/>
        <w:t>EPS1.62</w:t>
      </w:r>
      <w:r>
        <w:rPr/>
        <w:t>，核心利润</w:t>
      </w:r>
      <w:r>
        <w:rPr/>
        <w:t>103.356</w:t>
      </w:r>
      <w:r>
        <w:rPr/>
        <w:t>亿元；</w:t>
      </w:r>
      <w:r>
        <w:rPr/>
        <w:t>2031</w:t>
      </w:r>
      <w:r>
        <w:rPr/>
        <w:t>产品</w:t>
      </w:r>
      <w:r>
        <w:rPr/>
        <w:t>400</w:t>
      </w:r>
      <w:r>
        <w:rPr/>
        <w:t>亿元、持续权益</w:t>
      </w:r>
      <w:r>
        <w:rPr/>
        <w:t>30</w:t>
      </w:r>
      <w:r>
        <w:rPr/>
        <w:t>亿元、股数</w:t>
      </w:r>
      <w:r>
        <w:rPr/>
        <w:t>66</w:t>
      </w:r>
      <w:r>
        <w:rPr/>
        <w:t>亿、</w:t>
      </w:r>
      <w:r>
        <w:rPr/>
        <w:t>EPS2.35</w:t>
      </w:r>
      <w:r>
        <w:rPr/>
        <w:t>，利润</w:t>
      </w:r>
      <w:r>
        <w:rPr/>
        <w:t>155.1</w:t>
      </w:r>
      <w:r>
        <w:rPr/>
        <w:t>亿元。相对</w:t>
      </w:r>
      <w:r>
        <w:rPr/>
        <w:t>2025</w:t>
      </w:r>
      <w:r>
        <w:rPr/>
        <w:t>约</w:t>
      </w:r>
      <w:r>
        <w:rPr/>
        <w:t>150.28</w:t>
      </w:r>
      <w:r>
        <w:rPr/>
        <w:t>亿元总收入，多年产品和持续权益增长仍强，但不是把包含授权的总收入简单翻倍。新产品迟缓或海外权益失败时，悲观</w:t>
      </w:r>
      <w:r>
        <w:rPr/>
        <w:t>2031</w:t>
      </w:r>
      <w:r>
        <w:rPr/>
        <w:t>产品</w:t>
      </w:r>
      <w:r>
        <w:rPr/>
        <w:t>260</w:t>
      </w:r>
      <w:r>
        <w:rPr/>
        <w:t>亿元、持续权益</w:t>
      </w:r>
      <w:r>
        <w:rPr/>
        <w:t>5</w:t>
      </w:r>
      <w:r>
        <w:rPr/>
        <w:t>亿元、</w:t>
      </w:r>
      <w:r>
        <w:rPr/>
        <w:t>EPS1.18</w:t>
      </w:r>
      <w:r>
        <w:rPr/>
        <w:t>仍有经营增长，却因估值下降给较弱股东回报。</w:t>
      </w:r>
    </w:p>
    <w:p>
      <w:pPr>
        <w:pStyle w:val="Normal"/>
        <w:rPr/>
      </w:pPr>
      <w:r>
        <w:rPr/>
        <w:t>基准半年的</w:t>
      </w:r>
      <w:r>
        <w:rPr/>
        <w:t>32</w:t>
      </w:r>
      <w:r>
        <w:rPr/>
        <w:t>倍核心</w:t>
      </w:r>
      <w:r>
        <w:rPr/>
        <w:t>PE</w:t>
      </w:r>
      <w:r>
        <w:rPr/>
        <w:t>、一年</w:t>
      </w:r>
      <w:r>
        <w:rPr/>
        <w:t>30</w:t>
      </w:r>
      <w:r>
        <w:rPr/>
        <w:t>倍、三年</w:t>
      </w:r>
      <w:r>
        <w:rPr/>
        <w:t>28</w:t>
      </w:r>
      <w:r>
        <w:rPr/>
        <w:t>倍、五年</w:t>
      </w:r>
      <w:r>
        <w:rPr/>
        <w:t>25</w:t>
      </w:r>
      <w:r>
        <w:rPr/>
        <w:t>倍逐步降低，反映随着增长成熟，资本市场不一定维持高溢价。乐观采用</w:t>
      </w:r>
      <w:r>
        <w:rPr/>
        <w:t>38</w:t>
      </w:r>
      <w:r>
        <w:rPr/>
        <w:t>、</w:t>
      </w:r>
      <w:r>
        <w:rPr/>
        <w:t>36</w:t>
      </w:r>
      <w:r>
        <w:rPr/>
        <w:t>、</w:t>
      </w:r>
      <w:r>
        <w:rPr/>
        <w:t>34</w:t>
      </w:r>
      <w:r>
        <w:rPr/>
        <w:t>、</w:t>
      </w:r>
      <w:r>
        <w:rPr/>
        <w:t>31</w:t>
      </w:r>
      <w:r>
        <w:rPr/>
        <w:t>倍，需临床、产品销售和全球权益同时改善；悲观为</w:t>
      </w:r>
      <w:r>
        <w:rPr/>
        <w:t>24</w:t>
      </w:r>
      <w:r>
        <w:rPr/>
        <w:t>、</w:t>
      </w:r>
      <w:r>
        <w:rPr/>
        <w:t>22</w:t>
      </w:r>
      <w:r>
        <w:rPr/>
        <w:t>、</w:t>
      </w:r>
      <w:r>
        <w:rPr/>
        <w:t>20</w:t>
      </w:r>
      <w:r>
        <w:rPr/>
        <w:t>、</w:t>
      </w:r>
      <w:r>
        <w:rPr/>
        <w:t>18</w:t>
      </w:r>
      <w:r>
        <w:rPr/>
        <w:t>倍。公司高毛利和现金基础可以支持研发平台估值，但若逐步变为竞争激烈的成熟药企，更低倍数也有可能，悲观</w:t>
      </w:r>
      <w:r>
        <w:rPr/>
        <w:t>PE</w:t>
      </w:r>
      <w:r>
        <w:rPr/>
        <w:t>不是绝对底部。</w:t>
      </w:r>
    </w:p>
    <w:p>
      <w:pPr>
        <w:pStyle w:val="Normal"/>
        <w:rPr/>
      </w:pPr>
      <w:r>
        <w:rPr/>
        <w:t>按现价</w:t>
      </w:r>
      <w:r>
        <w:rPr/>
        <w:t>31.54</w:t>
      </w:r>
      <w:r>
        <w:rPr/>
        <w:t>，扣半年基准现金每股约</w:t>
      </w:r>
      <w:r>
        <w:rPr/>
        <w:t>4.6353</w:t>
      </w:r>
      <w:r>
        <w:rPr/>
        <w:t>港元后，价格对应</w:t>
      </w:r>
      <w:r>
        <w:rPr/>
        <w:t>2027</w:t>
      </w:r>
      <w:r>
        <w:rPr/>
        <w:t>核心</w:t>
      </w:r>
      <w:r>
        <w:rPr/>
        <w:t>EPS0.98</w:t>
      </w:r>
      <w:r>
        <w:rPr/>
        <w:t>的隐含</w:t>
      </w:r>
      <w:r>
        <w:rPr/>
        <w:t>PE</w:t>
      </w:r>
      <w:r>
        <w:rPr/>
        <w:t>约</w:t>
      </w:r>
      <w:r>
        <w:rPr/>
        <w:t>24.96</w:t>
      </w:r>
      <w:r>
        <w:rPr/>
        <w:t>倍，低于本模型</w:t>
      </w:r>
      <w:r>
        <w:rPr/>
        <w:t>32</w:t>
      </w:r>
      <w:r>
        <w:rPr/>
        <w:t>倍。这是估值空间的重要来源，也需要经营与市场重评支持。对全年核心利润增长保留怀疑的投资者可能选择更低合理倍数，股价就不一定回到</w:t>
      </w:r>
      <w:r>
        <w:rPr/>
        <w:t>39</w:t>
      </w:r>
      <w:r>
        <w:rPr/>
        <w:t>港元。任何目标都不是因机构目标高就有效，它必须与自有盈利、现金和风险口径一致。</w:t>
      </w:r>
    </w:p>
    <w:p>
      <w:pPr>
        <w:pStyle w:val="Normal"/>
        <w:rPr/>
      </w:pPr>
      <w:r>
        <w:rPr/>
        <w:t>一年基准</w:t>
      </w:r>
      <w:r>
        <w:rPr/>
        <w:t>46.0096</w:t>
      </w:r>
      <w:r>
        <w:rPr/>
        <w:t>港元包含经营</w:t>
      </w:r>
      <w:r>
        <w:rPr/>
        <w:t>41.25</w:t>
      </w:r>
      <w:r>
        <w:rPr/>
        <w:t>港元与超额现金</w:t>
      </w:r>
      <w:r>
        <w:rPr/>
        <w:t>4.7596</w:t>
      </w:r>
      <w:r>
        <w:rPr/>
        <w:t>。核心</w:t>
      </w:r>
      <w:r>
        <w:rPr/>
        <w:t>EPS</w:t>
      </w:r>
      <w:r>
        <w:rPr/>
        <w:t>降低</w:t>
      </w:r>
      <w:r>
        <w:rPr/>
        <w:t>20%</w:t>
      </w:r>
      <w:r>
        <w:rPr/>
        <w:t>而现金不变，目标约</w:t>
      </w:r>
      <w:r>
        <w:rPr/>
        <w:t>37.7596</w:t>
      </w:r>
      <w:r>
        <w:rPr/>
        <w:t>；提高</w:t>
      </w:r>
      <w:r>
        <w:rPr/>
        <w:t>20%</w:t>
      </w:r>
      <w:r>
        <w:rPr/>
        <w:t>为</w:t>
      </w:r>
      <w:r>
        <w:rPr/>
        <w:t>54.2596</w:t>
      </w:r>
      <w:r>
        <w:rPr/>
        <w:t>。</w:t>
      </w:r>
      <w:r>
        <w:rPr/>
        <w:t>PE</w:t>
      </w:r>
      <w:r>
        <w:rPr/>
        <w:t>从</w:t>
      </w:r>
      <w:r>
        <w:rPr/>
        <w:t>30</w:t>
      </w:r>
      <w:r>
        <w:rPr/>
        <w:t>降</w:t>
      </w:r>
      <w:r>
        <w:rPr/>
        <w:t>24</w:t>
      </w:r>
      <w:r>
        <w:rPr/>
        <w:t>或升</w:t>
      </w:r>
      <w:r>
        <w:rPr/>
        <w:t>36</w:t>
      </w:r>
      <w:r>
        <w:rPr/>
        <w:t>，会得到同样变化，因为公式线性，但盈利与倍数同时降时风险更大。目标超额现金增减</w:t>
      </w:r>
      <w:r>
        <w:rPr/>
        <w:t>50</w:t>
      </w:r>
      <w:r>
        <w:rPr/>
        <w:t>亿元人民币，则一年目标约增减</w:t>
      </w:r>
      <w:r>
        <w:rPr/>
        <w:t>0.8814</w:t>
      </w:r>
      <w:r>
        <w:rPr/>
        <w:t>港元；经营利润比现金微调更影响远期估值，现金只是缓冲而非所有上涨来源。</w:t>
      </w:r>
    </w:p>
    <w:p>
      <w:pPr>
        <w:pStyle w:val="Normal"/>
        <w:rPr/>
      </w:pPr>
      <w:r>
        <w:rPr/>
        <w:t>模型汇率</w:t>
      </w:r>
      <w:r>
        <w:rPr/>
        <w:t>1.10</w:t>
      </w:r>
      <w:r>
        <w:rPr/>
        <w:t>改</w:t>
      </w:r>
      <w:r>
        <w:rPr/>
        <w:t>1.05</w:t>
      </w:r>
      <w:r>
        <w:rPr/>
        <w:t>或</w:t>
      </w:r>
      <w:r>
        <w:rPr/>
        <w:t>1.15</w:t>
      </w:r>
      <w:r>
        <w:rPr/>
        <w:t>，在人民币盈利和现金不变下，港币目标约降或升</w:t>
      </w:r>
      <w:r>
        <w:rPr/>
        <w:t>4.55%</w:t>
      </w:r>
      <w:r>
        <w:rPr/>
        <w:t>。人民币投资者持仓还受实际港币兑人民币影响，一年本币股价</w:t>
      </w:r>
      <w:r>
        <w:rPr/>
        <w:t>45.88%</w:t>
      </w:r>
      <w:r>
        <w:rPr/>
        <w:t>与港币相对人民币升</w:t>
      </w:r>
      <w:r>
        <w:rPr/>
        <w:t>5%</w:t>
      </w:r>
      <w:r>
        <w:rPr/>
        <w:t>合成约</w:t>
      </w:r>
      <w:r>
        <w:rPr/>
        <w:t>53.17%</w:t>
      </w:r>
      <w:r>
        <w:rPr/>
        <w:t>，贬</w:t>
      </w:r>
      <w:r>
        <w:rPr/>
        <w:t>5%</w:t>
      </w:r>
      <w:r>
        <w:rPr/>
        <w:t>约</w:t>
      </w:r>
      <w:r>
        <w:rPr/>
        <w:t>38.58%</w:t>
      </w:r>
      <w:r>
        <w:rPr/>
        <w:t>；含股息还需各次现金按实际汇率。企业美元现金汇兑另有财报影响，不能拿同一个</w:t>
      </w:r>
      <w:r>
        <w:rPr/>
        <w:t>5%</w:t>
      </w:r>
      <w:r>
        <w:rPr/>
        <w:t>反复加在收益上。核心模型与投资者换算分开，更便于审查。</w:t>
      </w:r>
    </w:p>
    <w:p>
      <w:pPr>
        <w:pStyle w:val="Heading2"/>
        <w:rPr/>
      </w:pPr>
      <w:r>
        <w:rPr>
          <w:color w:val="000000"/>
        </w:rPr>
        <w:t>十三 期限结论与年底期望</w:t>
      </w:r>
    </w:p>
    <w:p>
      <w:pPr>
        <w:pStyle w:val="Normal"/>
        <w:rPr/>
      </w:pPr>
      <w:r>
        <w:rPr/>
        <w:t>半年主要催化是年报核心增长、</w:t>
      </w:r>
      <w:r>
        <w:rPr/>
        <w:t>2027</w:t>
      </w:r>
      <w:r>
        <w:rPr/>
        <w:t>产品上市推进和临床完整数据，当前量价弱导致入场标准偏严格。悲观</w:t>
      </w:r>
      <w:r>
        <w:rPr/>
        <w:t>23.0755</w:t>
      </w:r>
      <w:r>
        <w:rPr/>
        <w:t>、基准</w:t>
      </w:r>
      <w:r>
        <w:rPr/>
        <w:t>39.1313</w:t>
      </w:r>
      <w:r>
        <w:rPr/>
        <w:t>、乐观</w:t>
      </w:r>
      <w:r>
        <w:rPr/>
        <w:t>56.1662</w:t>
      </w:r>
      <w:r>
        <w:rPr/>
        <w:t>，对现价约负</w:t>
      </w:r>
      <w:r>
        <w:rPr/>
        <w:t>26.84%</w:t>
      </w:r>
      <w:r>
        <w:rPr/>
        <w:t>、正</w:t>
      </w:r>
      <w:r>
        <w:rPr/>
        <w:t>24.07%</w:t>
      </w:r>
      <w:r>
        <w:rPr/>
        <w:t>、正</w:t>
      </w:r>
      <w:r>
        <w:rPr/>
        <w:t>78.08%</w:t>
      </w:r>
      <w:r>
        <w:rPr/>
        <w:t>。基准需要经营证据使隐含估值由约</w:t>
      </w:r>
      <w:r>
        <w:rPr/>
        <w:t>25</w:t>
      </w:r>
      <w:r>
        <w:rPr/>
        <w:t>倍转</w:t>
      </w:r>
      <w:r>
        <w:rPr/>
        <w:t>32</w:t>
      </w:r>
      <w:r>
        <w:rPr/>
        <w:t>倍；若只有一次利润增长而产品现金没有改善，重评理由不足。半年收益与趋势的不一致应明确展示，不能为了推荐把技术判断写成看涨。</w:t>
      </w:r>
    </w:p>
    <w:p>
      <w:pPr>
        <w:pStyle w:val="Normal"/>
        <w:rPr/>
      </w:pPr>
      <w:r>
        <w:rPr/>
        <w:t>一年进入</w:t>
      </w:r>
      <w:r>
        <w:rPr/>
        <w:t>2028</w:t>
      </w:r>
      <w:r>
        <w:rPr/>
        <w:t>盈利定价，新产品商业爬坡开始影响，目标</w:t>
      </w:r>
      <w:r>
        <w:rPr/>
        <w:t>23.5107</w:t>
      </w:r>
      <w:r>
        <w:rPr/>
        <w:t>、</w:t>
      </w:r>
      <w:r>
        <w:rPr/>
        <w:t>46.0096</w:t>
      </w:r>
      <w:r>
        <w:rPr/>
        <w:t>、</w:t>
      </w:r>
      <w:r>
        <w:rPr/>
        <w:t>70.9810</w:t>
      </w:r>
      <w:r>
        <w:rPr/>
        <w:t>，基准股价</w:t>
      </w:r>
      <w:r>
        <w:rPr/>
        <w:t>45.88%</w:t>
      </w:r>
      <w:r>
        <w:rPr/>
        <w:t>、含假设</w:t>
      </w:r>
      <w:r>
        <w:rPr/>
        <w:t>0.55</w:t>
      </w:r>
      <w:r>
        <w:rPr/>
        <w:t>息</w:t>
      </w:r>
      <w:r>
        <w:rPr/>
        <w:t>47.62%</w:t>
      </w:r>
      <w:r>
        <w:rPr/>
        <w:t>。若注册延期或销售成本高于预期，产品数增加也未必显著增加核心</w:t>
      </w:r>
      <w:r>
        <w:rPr/>
        <w:t>EPS</w:t>
      </w:r>
      <w:r>
        <w:rPr/>
        <w:t>。三年目标</w:t>
      </w:r>
      <w:r>
        <w:rPr/>
        <w:t>25.0462</w:t>
      </w:r>
      <w:r>
        <w:rPr/>
        <w:t>、</w:t>
      </w:r>
      <w:r>
        <w:rPr/>
        <w:t>54.8960</w:t>
      </w:r>
      <w:r>
        <w:rPr/>
        <w:t>、</w:t>
      </w:r>
      <w:r>
        <w:rPr/>
        <w:t>96.3117</w:t>
      </w:r>
      <w:r>
        <w:rPr/>
        <w:t>，基准含</w:t>
      </w:r>
      <w:r>
        <w:rPr/>
        <w:t>1.90</w:t>
      </w:r>
      <w:r>
        <w:rPr/>
        <w:t>息总回报</w:t>
      </w:r>
      <w:r>
        <w:rPr/>
        <w:t>80.08%</w:t>
      </w:r>
      <w:r>
        <w:rPr/>
        <w:t>、年化</w:t>
      </w:r>
      <w:r>
        <w:rPr/>
        <w:t>21.66%</w:t>
      </w:r>
      <w:r>
        <w:rPr/>
        <w:t>；核心逻辑是多产品现金组合替代单一主产品和交易收入。</w:t>
      </w:r>
    </w:p>
    <w:p>
      <w:pPr>
        <w:pStyle w:val="Normal"/>
        <w:rPr/>
      </w:pPr>
      <w:r>
        <w:rPr/>
        <w:t>五年目标</w:t>
      </w:r>
      <w:r>
        <w:rPr/>
        <w:t>25.9714</w:t>
      </w:r>
      <w:r>
        <w:rPr/>
        <w:t>、</w:t>
      </w:r>
      <w:r>
        <w:rPr/>
        <w:t>70.4583</w:t>
      </w:r>
      <w:r>
        <w:rPr/>
        <w:t>、</w:t>
      </w:r>
      <w:r>
        <w:rPr/>
        <w:t>130.76</w:t>
      </w:r>
      <w:r>
        <w:rPr/>
        <w:t>，基准含</w:t>
      </w:r>
      <w:r>
        <w:rPr/>
        <w:t>3.70</w:t>
      </w:r>
      <w:r>
        <w:rPr/>
        <w:t>息总回报</w:t>
      </w:r>
      <w:r>
        <w:rPr/>
        <w:t>135.12%</w:t>
      </w:r>
      <w:r>
        <w:rPr/>
        <w:t>、年化</w:t>
      </w:r>
      <w:r>
        <w:rPr/>
        <w:t>18.65%</w:t>
      </w:r>
      <w:r>
        <w:rPr/>
        <w:t>。悲观依然可能低于现价，即便企业继续增长，因为研发、竞争和估值成熟会抵消收入。未来十年需要观察专利和产品更新是否维持、海外伙伴能否持续转换权益、人员与技术平台是否迭代。十年展望不编精确股价，以研发产出和可分配现金的持续性为评价中心。</w:t>
      </w:r>
    </w:p>
    <w:p>
      <w:pPr>
        <w:pStyle w:val="Normal"/>
        <w:rPr/>
      </w:pPr>
      <w:r>
        <w:rPr/>
        <w:t>年底悲观</w:t>
      </w:r>
      <w:r>
        <w:rPr/>
        <w:t>22.2835</w:t>
      </w:r>
      <w:r>
        <w:rPr/>
        <w:t>、基准</w:t>
      </w:r>
      <w:r>
        <w:rPr/>
        <w:t>36.9753</w:t>
      </w:r>
      <w:r>
        <w:rPr/>
        <w:t>、乐观</w:t>
      </w:r>
      <w:r>
        <w:rPr/>
        <w:t>52.1402</w:t>
      </w:r>
      <w:r>
        <w:rPr/>
        <w:t>，相对现价负</w:t>
      </w:r>
      <w:r>
        <w:rPr/>
        <w:t>29.35%</w:t>
      </w:r>
      <w:r>
        <w:rPr/>
        <w:t>、正</w:t>
      </w:r>
      <w:r>
        <w:rPr/>
        <w:t>17.23%</w:t>
      </w:r>
      <w:r>
        <w:rPr/>
        <w:t>、正</w:t>
      </w:r>
      <w:r>
        <w:rPr/>
        <w:t>65.31%</w:t>
      </w:r>
      <w:r>
        <w:rPr/>
        <w:t>。三种值用</w:t>
      </w:r>
      <w:r>
        <w:rPr/>
        <w:t>2027</w:t>
      </w:r>
      <w:r>
        <w:rPr/>
        <w:t>盈利和年底信息环境重新定</w:t>
      </w:r>
      <w:r>
        <w:rPr/>
        <w:t>PE</w:t>
      </w:r>
      <w:r>
        <w:rPr/>
        <w:t>，未套</w:t>
      </w:r>
      <w:r>
        <w:rPr/>
        <w:t>12</w:t>
      </w:r>
      <w:r>
        <w:rPr/>
        <w:t>个月机构目标，也未按剩余月份缩放。</w:t>
      </w:r>
      <w:r>
        <w:rPr/>
        <w:t>25%/50%/25%</w:t>
      </w:r>
      <w:r>
        <w:rPr/>
        <w:t>权重给</w:t>
      </w:r>
      <w:r>
        <w:rPr/>
        <w:t>37.0936</w:t>
      </w:r>
      <w:r>
        <w:rPr/>
        <w:t>、回报</w:t>
      </w:r>
      <w:r>
        <w:rPr/>
        <w:t>17.61%</w:t>
      </w:r>
      <w:r>
        <w:rPr/>
        <w:t>；</w:t>
      </w:r>
      <w:r>
        <w:rPr/>
        <w:t>40%/40%/20%</w:t>
      </w:r>
      <w:r>
        <w:rPr/>
        <w:t>给</w:t>
      </w:r>
      <w:r>
        <w:rPr/>
        <w:t>34.1316</w:t>
      </w:r>
      <w:r>
        <w:rPr/>
        <w:t>、</w:t>
      </w:r>
      <w:r>
        <w:rPr/>
        <w:t>8.22%</w:t>
      </w:r>
      <w:r>
        <w:rPr/>
        <w:t>，</w:t>
      </w:r>
      <w:r>
        <w:rPr/>
        <w:t>20%/40%/40%</w:t>
      </w:r>
      <w:r>
        <w:rPr/>
        <w:t>给</w:t>
      </w:r>
      <w:r>
        <w:rPr/>
        <w:t>40.1029</w:t>
      </w:r>
      <w:r>
        <w:rPr/>
        <w:t>、</w:t>
      </w:r>
      <w:r>
        <w:rPr/>
        <w:t>27.15%</w:t>
      </w:r>
      <w:r>
        <w:rPr/>
        <w:t>。权重是判断，区间不是置信边界或最大损失。</w:t>
      </w:r>
    </w:p>
    <w:p>
      <w:pPr>
        <w:pStyle w:val="Heading2"/>
        <w:rPr/>
      </w:pPr>
      <w:r>
        <w:rPr>
          <w:color w:val="000000"/>
        </w:rPr>
        <w:t>十四 机构目标 评分与推翻条件</w:t>
      </w:r>
    </w:p>
    <w:p>
      <w:pPr>
        <w:pStyle w:val="Normal"/>
        <w:rPr/>
      </w:pPr>
      <w:r>
        <w:rPr/>
        <w:t>9</w:t>
      </w:r>
      <w:r>
        <w:rPr/>
        <w:t>月</w:t>
      </w:r>
      <w:r>
        <w:rPr/>
        <w:t>29</w:t>
      </w:r>
      <w:r>
        <w:rPr/>
        <w:t>日汇丰</w:t>
      </w:r>
      <w:r>
        <w:rPr/>
        <w:t>49.5</w:t>
      </w:r>
      <w:r>
        <w:rPr/>
        <w:t>港元、买入，</w:t>
      </w:r>
      <w:r>
        <w:rPr/>
        <w:t>9</w:t>
      </w:r>
      <w:r>
        <w:rPr/>
        <w:t>月</w:t>
      </w:r>
      <w:r>
        <w:rPr/>
        <w:t>28</w:t>
      </w:r>
      <w:r>
        <w:rPr/>
        <w:t>日摩根大通</w:t>
      </w:r>
      <w:r>
        <w:rPr/>
        <w:t>50</w:t>
      </w:r>
      <w:r>
        <w:rPr/>
        <w:t>、增持，</w:t>
      </w:r>
      <w:r>
        <w:rPr/>
        <w:t>9</w:t>
      </w:r>
      <w:r>
        <w:rPr/>
        <w:t>月</w:t>
      </w:r>
      <w:r>
        <w:rPr/>
        <w:t>11</w:t>
      </w:r>
      <w:r>
        <w:rPr/>
        <w:t>日高盛</w:t>
      </w:r>
      <w:r>
        <w:rPr/>
        <w:t>52.7</w:t>
      </w:r>
      <w:r>
        <w:rPr/>
        <w:t>、买入；新增核验瑞银</w:t>
      </w:r>
      <w:r>
        <w:rPr/>
        <w:t>9</w:t>
      </w:r>
      <w:r>
        <w:rPr/>
        <w:t>月</w:t>
      </w:r>
      <w:r>
        <w:rPr/>
        <w:t>14</w:t>
      </w:r>
      <w:r>
        <w:rPr/>
        <w:t>日</w:t>
      </w:r>
      <w:r>
        <w:rPr/>
        <w:t>50.8</w:t>
      </w:r>
      <w:r>
        <w:rPr/>
        <w:t>、花旗</w:t>
      </w:r>
      <w:r>
        <w:rPr/>
        <w:t>8</w:t>
      </w:r>
      <w:r>
        <w:rPr/>
        <w:t>月</w:t>
      </w:r>
      <w:r>
        <w:rPr/>
        <w:t>27</w:t>
      </w:r>
      <w:r>
        <w:rPr/>
        <w:t>日</w:t>
      </w:r>
      <w:r>
        <w:rPr/>
        <w:t>52</w:t>
      </w:r>
      <w:r>
        <w:rPr/>
        <w:t>、摩根士丹利</w:t>
      </w:r>
      <w:r>
        <w:rPr/>
        <w:t>8</w:t>
      </w:r>
      <w:r>
        <w:rPr/>
        <w:t>月</w:t>
      </w:r>
      <w:r>
        <w:rPr/>
        <w:t>27</w:t>
      </w:r>
      <w:r>
        <w:rPr/>
        <w:t>日</w:t>
      </w:r>
      <w:r>
        <w:rPr/>
        <w:t>48</w:t>
      </w:r>
      <w:r>
        <w:rPr/>
        <w:t>、美银</w:t>
      </w:r>
      <w:r>
        <w:rPr/>
        <w:t>9</w:t>
      </w:r>
      <w:r>
        <w:rPr/>
        <w:t>月</w:t>
      </w:r>
      <w:r>
        <w:rPr/>
        <w:t>21</w:t>
      </w:r>
      <w:r>
        <w:rPr/>
        <w:t>日</w:t>
      </w:r>
      <w:r>
        <w:rPr/>
        <w:t>45.3</w:t>
      </w:r>
      <w:r>
        <w:rPr/>
        <w:t>、里昂</w:t>
      </w:r>
      <w:r>
        <w:rPr/>
        <w:t>8</w:t>
      </w:r>
      <w:r>
        <w:rPr/>
        <w:t>月</w:t>
      </w:r>
      <w:r>
        <w:rPr/>
        <w:t>31</w:t>
      </w:r>
      <w:r>
        <w:rPr/>
        <w:t>日</w:t>
      </w:r>
      <w:r>
        <w:rPr/>
        <w:t>43.7</w:t>
      </w:r>
      <w:r>
        <w:rPr/>
        <w:t>、野村</w:t>
      </w:r>
      <w:r>
        <w:rPr/>
        <w:t>7</w:t>
      </w:r>
      <w:r>
        <w:rPr/>
        <w:t>月</w:t>
      </w:r>
      <w:r>
        <w:rPr/>
        <w:t>27</w:t>
      </w:r>
      <w:r>
        <w:rPr/>
        <w:t>日</w:t>
      </w:r>
      <w:r>
        <w:rPr/>
        <w:t>37.24</w:t>
      </w:r>
      <w:r>
        <w:rPr/>
        <w:t>。各机构相同记录保留最新，旧预估在半年业绩后未更新者注明事件前属性。里昂按中国控制国际券商标记，新闻转述与原始研报分开，目标期限多数没有明确不能自动补一年。</w:t>
      </w:r>
    </w:p>
    <w:p>
      <w:pPr>
        <w:pStyle w:val="Normal"/>
        <w:rPr/>
      </w:pPr>
      <w:r>
        <w:rPr/>
        <w:t>机构目标相对现价高约</w:t>
      </w:r>
      <w:r>
        <w:rPr/>
        <w:t>18%</w:t>
      </w:r>
      <w:r>
        <w:rPr/>
        <w:t>至</w:t>
      </w:r>
      <w:r>
        <w:rPr/>
        <w:t>67%</w:t>
      </w:r>
      <w:r>
        <w:rPr/>
        <w:t>，但主要受盈利口径、研发费用、一次投资、全球管线与估值差异影响。野村</w:t>
      </w:r>
      <w:r>
        <w:rPr/>
        <w:t>7</w:t>
      </w:r>
      <w:r>
        <w:rPr/>
        <w:t>月报告预期研发拖累后再看到实际业绩，会面临数据更新需要；不能把旧预测与新报告平等平均后称为共识。美银和摩根大通对管线与商业执行积极，同样没有排除医保和竞争。研究参考它们的论点，再用自有口径测算，不由目标家数投票产生收益概率。</w:t>
      </w:r>
    </w:p>
    <w:p>
      <w:pPr>
        <w:pStyle w:val="Normal"/>
        <w:rPr/>
      </w:pPr>
      <w:r>
        <w:rPr/>
        <w:t>统一维度半年估值</w:t>
      </w:r>
      <w:r>
        <w:rPr/>
        <w:t>3.8</w:t>
      </w:r>
      <w:r>
        <w:rPr/>
        <w:t>、技术</w:t>
      </w:r>
      <w:r>
        <w:rPr/>
        <w:t>1.8</w:t>
      </w:r>
      <w:r>
        <w:rPr/>
        <w:t>、经营</w:t>
      </w:r>
      <w:r>
        <w:rPr/>
        <w:t>4.2</w:t>
      </w:r>
      <w:r>
        <w:rPr/>
        <w:t>、周期</w:t>
      </w:r>
      <w:r>
        <w:rPr/>
        <w:t>4.3</w:t>
      </w:r>
      <w:r>
        <w:rPr/>
        <w:t>、催化</w:t>
      </w:r>
      <w:r>
        <w:rPr/>
        <w:t>4.4</w:t>
      </w:r>
      <w:r>
        <w:rPr/>
        <w:t>、风险</w:t>
      </w:r>
      <w:r>
        <w:rPr/>
        <w:t>4.0</w:t>
      </w:r>
      <w:r>
        <w:rPr/>
        <w:t>，按</w:t>
      </w:r>
      <w:r>
        <w:rPr/>
        <w:t>25</w:t>
      </w:r>
      <w:r>
        <w:rPr/>
        <w:t>、</w:t>
      </w:r>
      <w:r>
        <w:rPr/>
        <w:t>30</w:t>
      </w:r>
      <w:r>
        <w:rPr/>
        <w:t>、</w:t>
      </w:r>
      <w:r>
        <w:rPr/>
        <w:t>15</w:t>
      </w:r>
      <w:r>
        <w:rPr/>
        <w:t>、</w:t>
      </w:r>
      <w:r>
        <w:rPr/>
        <w:t>10</w:t>
      </w:r>
      <w:r>
        <w:rPr/>
        <w:t>、</w:t>
      </w:r>
      <w:r>
        <w:rPr/>
        <w:t>10</w:t>
      </w:r>
      <w:r>
        <w:rPr/>
        <w:t>、</w:t>
      </w:r>
      <w:r>
        <w:rPr/>
        <w:t>10</w:t>
      </w:r>
      <w:r>
        <w:rPr/>
        <w:t>权重得</w:t>
      </w:r>
      <w:r>
        <w:rPr/>
        <w:t>67.8</w:t>
      </w:r>
      <w:r>
        <w:rPr/>
        <w:t>。技术弱显著拖累，风险较好来自现金和商业基础但非满分。一年估值</w:t>
      </w:r>
      <w:r>
        <w:rPr/>
        <w:t>4.0</w:t>
      </w:r>
      <w:r>
        <w:rPr/>
        <w:t>、技术</w:t>
      </w:r>
      <w:r>
        <w:rPr/>
        <w:t>1.8</w:t>
      </w:r>
      <w:r>
        <w:rPr/>
        <w:t>、经营</w:t>
      </w:r>
      <w:r>
        <w:rPr/>
        <w:t>4.3</w:t>
      </w:r>
      <w:r>
        <w:rPr/>
        <w:t>、周期</w:t>
      </w:r>
      <w:r>
        <w:rPr/>
        <w:t>4.4</w:t>
      </w:r>
      <w:r>
        <w:rPr/>
        <w:t>、催化</w:t>
      </w:r>
      <w:r>
        <w:rPr/>
        <w:t>4.5</w:t>
      </w:r>
      <w:r>
        <w:rPr/>
        <w:t>、风险</w:t>
      </w:r>
      <w:r>
        <w:rPr/>
        <w:t>4.0</w:t>
      </w:r>
      <w:r>
        <w:rPr/>
        <w:t>，按</w:t>
      </w:r>
      <w:r>
        <w:rPr/>
        <w:t>25</w:t>
      </w:r>
      <w:r>
        <w:rPr/>
        <w:t>、</w:t>
      </w:r>
      <w:r>
        <w:rPr/>
        <w:t>15</w:t>
      </w:r>
      <w:r>
        <w:rPr/>
        <w:t>、</w:t>
      </w:r>
      <w:r>
        <w:rPr/>
        <w:t>25</w:t>
      </w:r>
      <w:r>
        <w:rPr/>
        <w:t>、</w:t>
      </w:r>
      <w:r>
        <w:rPr/>
        <w:t>15</w:t>
      </w:r>
      <w:r>
        <w:rPr/>
        <w:t>、</w:t>
      </w:r>
      <w:r>
        <w:rPr/>
        <w:t>10</w:t>
      </w:r>
      <w:r>
        <w:rPr/>
        <w:t>、</w:t>
      </w:r>
      <w:r>
        <w:rPr/>
        <w:t>10</w:t>
      </w:r>
      <w:r>
        <w:rPr/>
        <w:t>得</w:t>
      </w:r>
      <w:r>
        <w:rPr/>
        <w:t>77.1</w:t>
      </w:r>
      <w:r>
        <w:rPr/>
        <w:t>；三年与五年技术权重降低，经营多元化和增长成为主要来源。</w:t>
      </w:r>
    </w:p>
    <w:p>
      <w:pPr>
        <w:pStyle w:val="Normal"/>
        <w:rPr/>
      </w:pPr>
      <w:r>
        <w:rPr/>
        <w:t>三年维度</w:t>
      </w:r>
      <w:r>
        <w:rPr/>
        <w:t>4.1</w:t>
      </w:r>
      <w:r>
        <w:rPr/>
        <w:t>、</w:t>
      </w:r>
      <w:r>
        <w:rPr/>
        <w:t>1.8</w:t>
      </w:r>
      <w:r>
        <w:rPr/>
        <w:t>、</w:t>
      </w:r>
      <w:r>
        <w:rPr/>
        <w:t>4.4</w:t>
      </w:r>
      <w:r>
        <w:rPr/>
        <w:t>、</w:t>
      </w:r>
      <w:r>
        <w:rPr/>
        <w:t>4.4</w:t>
      </w:r>
      <w:r>
        <w:rPr/>
        <w:t>、</w:t>
      </w:r>
      <w:r>
        <w:rPr/>
        <w:t>4.2</w:t>
      </w:r>
      <w:r>
        <w:rPr/>
        <w:t>、</w:t>
      </w:r>
      <w:r>
        <w:rPr/>
        <w:t>3.8</w:t>
      </w:r>
      <w:r>
        <w:rPr/>
        <w:t>，权重</w:t>
      </w:r>
      <w:r>
        <w:rPr/>
        <w:t>25</w:t>
      </w:r>
      <w:r>
        <w:rPr/>
        <w:t>、</w:t>
      </w:r>
      <w:r>
        <w:rPr/>
        <w:t>5</w:t>
      </w:r>
      <w:r>
        <w:rPr/>
        <w:t>、</w:t>
      </w:r>
      <w:r>
        <w:rPr/>
        <w:t>35</w:t>
      </w:r>
      <w:r>
        <w:rPr/>
        <w:t>、</w:t>
      </w:r>
      <w:r>
        <w:rPr/>
        <w:t>20</w:t>
      </w:r>
      <w:r>
        <w:rPr/>
        <w:t>、</w:t>
      </w:r>
      <w:r>
        <w:rPr/>
        <w:t>5</w:t>
      </w:r>
      <w:r>
        <w:rPr/>
        <w:t>、</w:t>
      </w:r>
      <w:r>
        <w:rPr/>
        <w:t>10</w:t>
      </w:r>
      <w:r>
        <w:rPr/>
        <w:t>得</w:t>
      </w:r>
      <w:r>
        <w:rPr/>
        <w:t>82.5</w:t>
      </w:r>
      <w:r>
        <w:rPr/>
        <w:t>；五年估值</w:t>
      </w:r>
      <w:r>
        <w:rPr/>
        <w:t>3.9</w:t>
      </w:r>
      <w:r>
        <w:rPr/>
        <w:t>、经营</w:t>
      </w:r>
      <w:r>
        <w:rPr/>
        <w:t>4.3</w:t>
      </w:r>
      <w:r>
        <w:rPr/>
        <w:t>、周期</w:t>
      </w:r>
      <w:r>
        <w:rPr/>
        <w:t>4.3</w:t>
      </w:r>
      <w:r>
        <w:rPr/>
        <w:t>、催化</w:t>
      </w:r>
      <w:r>
        <w:rPr/>
        <w:t>4.0</w:t>
      </w:r>
      <w:r>
        <w:rPr/>
        <w:t>、风险</w:t>
      </w:r>
      <w:r>
        <w:rPr/>
        <w:t>3.6</w:t>
      </w:r>
      <w:r>
        <w:rPr/>
        <w:t>，技术权重零，其他权重</w:t>
      </w:r>
      <w:r>
        <w:rPr/>
        <w:t>20</w:t>
      </w:r>
      <w:r>
        <w:rPr/>
        <w:t>、</w:t>
      </w:r>
      <w:r>
        <w:rPr/>
        <w:t>40</w:t>
      </w:r>
      <w:r>
        <w:rPr/>
        <w:t>、</w:t>
      </w:r>
      <w:r>
        <w:rPr/>
        <w:t>20</w:t>
      </w:r>
      <w:r>
        <w:rPr/>
        <w:t>、</w:t>
      </w:r>
      <w:r>
        <w:rPr/>
        <w:t>5</w:t>
      </w:r>
      <w:r>
        <w:rPr/>
        <w:t>、</w:t>
      </w:r>
      <w:r>
        <w:rPr/>
        <w:t>15</w:t>
      </w:r>
      <w:r>
        <w:rPr/>
        <w:t>得</w:t>
      </w:r>
      <w:r>
        <w:rPr/>
        <w:t>82.0</w:t>
      </w:r>
      <w:r>
        <w:rPr/>
        <w:t>。四个分数是相对推荐评价，不能当获利概率。</w:t>
      </w:r>
      <w:r>
        <w:rPr/>
        <w:t>0</w:t>
      </w:r>
      <w:r>
        <w:rPr/>
        <w:t>至</w:t>
      </w:r>
      <w:r>
        <w:rPr/>
        <w:t>5</w:t>
      </w:r>
      <w:r>
        <w:rPr/>
        <w:t>中</w:t>
      </w:r>
      <w:r>
        <w:rPr/>
        <w:t>3</w:t>
      </w:r>
      <w:r>
        <w:rPr/>
        <w:t>代表证据和风险平衡，</w:t>
      </w:r>
      <w:r>
        <w:rPr/>
        <w:t>4</w:t>
      </w:r>
      <w:r>
        <w:rPr/>
        <w:t>代表多项经营依据支持，接近</w:t>
      </w:r>
      <w:r>
        <w:rPr/>
        <w:t>5</w:t>
      </w:r>
      <w:r>
        <w:rPr/>
        <w:t>要求优势在期限内有更强验证；临床和政策未完全解决，因此没有给满分。</w:t>
      </w:r>
    </w:p>
    <w:p>
      <w:pPr>
        <w:pStyle w:val="Normal"/>
        <w:rPr/>
      </w:pPr>
      <w:r>
        <w:rPr/>
        <w:t>推翻推荐需要具体经营反证：阿美乐销量和净价下降且新药不能接替，产品现金增速持续低于模型，</w:t>
      </w:r>
      <w:r>
        <w:rPr/>
        <w:t>ADC</w:t>
      </w:r>
      <w:r>
        <w:rPr/>
        <w:t>完整安全性或临床效果不足以支持上市与差异化，奥莱泊肽实际商业化远低于可支付需求，或海外合作终止导致持续权益假设失效。现金大量用于低回报收购和技术许可、股份发行显著超过预测也应降低评分。股价跌不是唯一反证，股价涨也不是经营验证，每次更新应以原公告、财务和市场共同核验。</w:t>
      </w:r>
    </w:p>
    <w:p>
      <w:pPr>
        <w:pStyle w:val="Normal"/>
        <w:rPr/>
      </w:pPr>
      <w:r>
        <w:rPr/>
        <w:t>本报告支持三年至五年优先研究，半年先等待价格修复或核心数据改变回报关系。公司已经有可重复产品销售、临床后期进展与较大存款，足以开展完整研究，但没有完成所有产品</w:t>
      </w:r>
      <w:r>
        <w:rPr/>
        <w:t>rNPV</w:t>
      </w:r>
      <w:r>
        <w:rPr/>
        <w:t>与现金流展开，当前模型诚实保持中可信度。后续研究应把药物及地区权益、每年研发资本、股息和债务进一步展开，发现重要差异同步修改总表。仅补字数或重复宏观不能提升证据，核心价值在可追溯输入与反证。</w:t>
      </w:r>
    </w:p>
    <w:p>
      <w:pPr>
        <w:pStyle w:val="Heading2"/>
        <w:rPr/>
      </w:pPr>
      <w:r>
        <w:rPr>
          <w:color w:val="000000"/>
        </w:rPr>
        <w:t>来源与复核记录</w:t>
      </w:r>
    </w:p>
    <w:p>
      <w:pPr>
        <w:pStyle w:val="Normal"/>
        <w:rPr/>
      </w:pPr>
      <w:r>
        <w:rPr/>
        <w:t>- [2026</w:t>
      </w:r>
      <w:r>
        <w:rPr/>
        <w:t>年中期报告</w:t>
      </w:r>
      <w:r>
        <w:rPr/>
        <w:t>](https://iis.aastocks.com/20260923/12342815-0.PDF)</w:t>
      </w:r>
      <w:r>
        <w:rPr/>
        <w:t>，</w:t>
      </w:r>
      <w:r>
        <w:rPr/>
        <w:t>2026</w:t>
      </w:r>
      <w:r>
        <w:rPr/>
        <w:t>年</w:t>
      </w:r>
      <w:r>
        <w:rPr/>
        <w:t>9</w:t>
      </w:r>
      <w:r>
        <w:rPr/>
        <w:t>月</w:t>
      </w:r>
      <w:r>
        <w:rPr/>
        <w:t>23</w:t>
      </w:r>
      <w:r>
        <w:rPr/>
        <w:t>日，业务与管线原页</w:t>
      </w:r>
      <w:r>
        <w:rPr/>
        <w:t>4—24</w:t>
      </w:r>
      <w:r>
        <w:rPr/>
        <w:t>，财务</w:t>
      </w:r>
      <w:r>
        <w:rPr/>
        <w:t>26—29</w:t>
      </w:r>
      <w:r>
        <w:rPr/>
        <w:t>、</w:t>
      </w:r>
      <w:r>
        <w:rPr/>
        <w:t>52—58</w:t>
      </w:r>
      <w:r>
        <w:rPr/>
        <w:t>、</w:t>
      </w:r>
      <w:r>
        <w:rPr/>
        <w:t>61—75</w:t>
      </w:r>
      <w:r>
        <w:rPr/>
        <w:t>、股息</w:t>
      </w:r>
      <w:r>
        <w:rPr/>
        <w:t>46</w:t>
      </w:r>
      <w:r>
        <w:rPr/>
        <w:t>；本地</w:t>
      </w:r>
      <w:r>
        <w:rPr/>
        <w:t>PDFium</w:t>
      </w:r>
      <w:r>
        <w:rPr/>
        <w:t>页码比原印页大一页。</w:t>
      </w:r>
    </w:p>
    <w:p>
      <w:pPr>
        <w:pStyle w:val="Normal"/>
        <w:rPr/>
      </w:pPr>
      <w:r>
        <w:rPr/>
        <w:t>- [</w:t>
      </w:r>
      <w:r>
        <w:rPr/>
        <w:t>可转债换股价调整</w:t>
      </w:r>
      <w:r>
        <w:rPr/>
        <w:t>](https://iis.aastocks.com/20260826/12300976-0.PDF)</w:t>
      </w:r>
      <w:r>
        <w:rPr/>
        <w:t>，</w:t>
      </w:r>
      <w:r>
        <w:rPr/>
        <w:t>2026</w:t>
      </w:r>
      <w:r>
        <w:rPr/>
        <w:t>年</w:t>
      </w:r>
      <w:r>
        <w:rPr/>
        <w:t>8</w:t>
      </w:r>
      <w:r>
        <w:rPr/>
        <w:t>月</w:t>
      </w:r>
      <w:r>
        <w:rPr/>
        <w:t>26</w:t>
      </w:r>
      <w:r>
        <w:rPr/>
        <w:t>日，</w:t>
      </w:r>
      <w:r>
        <w:rPr/>
        <w:t>56.54</w:t>
      </w:r>
      <w:r>
        <w:rPr/>
        <w:t>港元、</w:t>
      </w:r>
      <w:r>
        <w:rPr/>
        <w:t>82,773,258</w:t>
      </w:r>
      <w:r>
        <w:rPr/>
        <w:t>股及</w:t>
      </w:r>
      <w:r>
        <w:rPr/>
        <w:t>9</w:t>
      </w:r>
      <w:r>
        <w:rPr/>
        <w:t>月</w:t>
      </w:r>
      <w:r>
        <w:rPr/>
        <w:t>28</w:t>
      </w:r>
      <w:r>
        <w:rPr/>
        <w:t>日生效。</w:t>
      </w:r>
    </w:p>
    <w:p>
      <w:pPr>
        <w:pStyle w:val="Normal"/>
        <w:rPr/>
      </w:pPr>
      <w:r>
        <w:rPr/>
        <w:t>- [</w:t>
      </w:r>
      <w:r>
        <w:rPr/>
        <w:t>小细胞肺癌三期达到</w:t>
      </w:r>
      <w:r>
        <w:rPr/>
        <w:t>OS</w:t>
      </w:r>
      <w:r>
        <w:rPr/>
        <w:t>终点</w:t>
      </w:r>
      <w:r>
        <w:rPr/>
        <w:t>](https://iis.aastocks.com/20260710/12241528-0.PDF)</w:t>
      </w:r>
      <w:r>
        <w:rPr/>
        <w:t>，</w:t>
      </w:r>
      <w:r>
        <w:rPr/>
        <w:t>2026</w:t>
      </w:r>
      <w:r>
        <w:rPr/>
        <w:t>年</w:t>
      </w:r>
      <w:r>
        <w:rPr/>
        <w:t>7</w:t>
      </w:r>
      <w:r>
        <w:rPr/>
        <w:t>月</w:t>
      </w:r>
      <w:r>
        <w:rPr/>
        <w:t>10</w:t>
      </w:r>
      <w:r>
        <w:rPr/>
        <w:t>日</w:t>
      </w:r>
      <w:r>
        <w:rPr/>
        <w:t>19:36</w:t>
      </w:r>
      <w:r>
        <w:rPr/>
        <w:t>，收盘后发布，早于截止日；</w:t>
      </w:r>
      <w:r>
        <w:rPr/>
        <w:t>[TYK2</w:t>
      </w:r>
      <w:r>
        <w:rPr/>
        <w:t>三期主要终点</w:t>
      </w:r>
      <w:r>
        <w:rPr/>
        <w:t>](https://iis.aastocks.com/20260921/12338832-0.PDF)</w:t>
      </w:r>
      <w:r>
        <w:rPr/>
        <w:t>，</w:t>
      </w:r>
      <w:r>
        <w:rPr/>
        <w:t>9</w:t>
      </w:r>
      <w:r>
        <w:rPr/>
        <w:t>月</w:t>
      </w:r>
      <w:r>
        <w:rPr/>
        <w:t>21</w:t>
      </w:r>
      <w:r>
        <w:rPr/>
        <w:t>日；</w:t>
      </w:r>
      <w:r>
        <w:rPr/>
        <w:t>[</w:t>
      </w:r>
      <w:r>
        <w:rPr/>
        <w:t>骨肉瘤</w:t>
      </w:r>
      <w:r>
        <w:rPr/>
        <w:t>NDA</w:t>
      </w:r>
      <w:r>
        <w:rPr/>
        <w:t>受理</w:t>
      </w:r>
      <w:r>
        <w:rPr/>
        <w:t>](https://iis.aastocks.com/20260924/12345893-0.PDF)</w:t>
      </w:r>
      <w:r>
        <w:rPr/>
        <w:t>，</w:t>
      </w:r>
      <w:r>
        <w:rPr/>
        <w:t>9</w:t>
      </w:r>
      <w:r>
        <w:rPr/>
        <w:t>月</w:t>
      </w:r>
      <w:r>
        <w:rPr/>
        <w:t>24</w:t>
      </w:r>
      <w:r>
        <w:rPr/>
        <w:t>日。</w:t>
      </w:r>
    </w:p>
    <w:p>
      <w:pPr>
        <w:pStyle w:val="Normal"/>
        <w:rPr/>
      </w:pPr>
      <w:r>
        <w:rPr/>
        <w:t>- [</w:t>
      </w:r>
      <w:r>
        <w:rPr/>
        <w:t>汇丰</w:t>
      </w:r>
      <w:r>
        <w:rPr/>
        <w:t>9</w:t>
      </w:r>
      <w:r>
        <w:rPr/>
        <w:t>月</w:t>
      </w:r>
      <w:r>
        <w:rPr/>
        <w:t>29</w:t>
      </w:r>
      <w:r>
        <w:rPr/>
        <w:t>日公开转述</w:t>
      </w:r>
      <w:r>
        <w:rPr/>
        <w:t>](https://www.aastocks.com/tc/stocks/analysis/stock-aafn-con/03692/AAFN/NOW.1547010/research-report)</w:t>
      </w:r>
      <w:r>
        <w:rPr/>
        <w:t>，</w:t>
      </w:r>
      <w:r>
        <w:rPr/>
        <w:t>[</w:t>
      </w:r>
      <w:r>
        <w:rPr/>
        <w:t>摩根大通</w:t>
      </w:r>
      <w:r>
        <w:rPr/>
        <w:t>9</w:t>
      </w:r>
      <w:r>
        <w:rPr/>
        <w:t>月</w:t>
      </w:r>
      <w:r>
        <w:rPr/>
        <w:t>28</w:t>
      </w:r>
      <w:r>
        <w:rPr/>
        <w:t>日</w:t>
      </w:r>
      <w:r>
        <w:rPr/>
        <w:t>](https://www.aastocks.com/tc/stocks/analysis/stock-aafn-con/03692/AAFN/NOW.1546650/research-report)</w:t>
      </w:r>
      <w:r>
        <w:rPr/>
        <w:t>，</w:t>
      </w:r>
      <w:r>
        <w:rPr/>
        <w:t>[</w:t>
      </w:r>
      <w:r>
        <w:rPr/>
        <w:t>高盛</w:t>
      </w:r>
      <w:r>
        <w:rPr/>
        <w:t>9</w:t>
      </w:r>
      <w:r>
        <w:rPr/>
        <w:t>月</w:t>
      </w:r>
      <w:r>
        <w:rPr/>
        <w:t>11</w:t>
      </w:r>
      <w:r>
        <w:rPr/>
        <w:t>日</w:t>
      </w:r>
      <w:r>
        <w:rPr/>
        <w:t>](https://www.aastocks.com/tc/stocks/analysis/stock-aafn-con/02268/AAFN/NOW.1544113/research-report)</w:t>
      </w:r>
      <w:r>
        <w:rPr/>
        <w:t>表内逐公司核验。</w:t>
      </w:r>
    </w:p>
    <w:p>
      <w:pPr>
        <w:pStyle w:val="Normal"/>
        <w:rPr/>
      </w:pPr>
      <w:r>
        <w:rPr/>
        <w:t>- [</w:t>
      </w:r>
      <w:r>
        <w:rPr/>
        <w:t>瑞银</w:t>
      </w:r>
      <w:r>
        <w:rPr/>
        <w:t>](https://www.aastocks.com/tc/stocks/analysis/stock-aafn-con/03692/AAFN/NOW.1544325/research-report)</w:t>
      </w:r>
      <w:r>
        <w:rPr/>
        <w:t>，</w:t>
      </w:r>
      <w:r>
        <w:rPr/>
        <w:t>[</w:t>
      </w:r>
      <w:r>
        <w:rPr/>
        <w:t>花旗</w:t>
      </w:r>
      <w:r>
        <w:rPr/>
        <w:t>](https://www.aastocks.com/tc/stocks/analysis/stock-aafn-con/03692/AAFN/NOW.1541308/research-report)</w:t>
      </w:r>
      <w:r>
        <w:rPr/>
        <w:t>，</w:t>
      </w:r>
      <w:r>
        <w:rPr/>
        <w:t>[</w:t>
      </w:r>
      <w:r>
        <w:rPr/>
        <w:t>摩根士丹利</w:t>
      </w:r>
      <w:r>
        <w:rPr/>
        <w:t>](https://www.aastocks.com/tc/stocks/analysis/stock-aafn-con/03692/AAFN/NOW.1541204/research-report)</w:t>
      </w:r>
      <w:r>
        <w:rPr/>
        <w:t>，</w:t>
      </w:r>
      <w:r>
        <w:rPr/>
        <w:t>[</w:t>
      </w:r>
      <w:r>
        <w:rPr/>
        <w:t>美银</w:t>
      </w:r>
      <w:r>
        <w:rPr/>
        <w:t>](https://www.aastocks.com/tc/stocks/analysis/stock-aafn-con/03692/AAFN/NOW.1545493/research-report)</w:t>
      </w:r>
      <w:r>
        <w:rPr/>
        <w:t>，</w:t>
      </w:r>
      <w:r>
        <w:rPr/>
        <w:t>[</w:t>
      </w:r>
      <w:r>
        <w:rPr/>
        <w:t>里昂</w:t>
      </w:r>
      <w:r>
        <w:rPr/>
        <w:t>](https://www.aastocks.com/tc/stocks/analysis/stock-aafn-con/03692/AAFN/NOW.1542140/research-report)</w:t>
      </w:r>
      <w:r>
        <w:rPr/>
        <w:t>，</w:t>
      </w:r>
      <w:r>
        <w:rPr/>
        <w:t>[</w:t>
      </w:r>
      <w:r>
        <w:rPr/>
        <w:t>野村</w:t>
      </w:r>
      <w:r>
        <w:rPr/>
        <w:t>](https://www.aastocks.com/tc/stocks/analysis/stock-aafn-con/03692/AAFN/NOW.1535076/research-report)</w:t>
      </w:r>
      <w:r>
        <w:rPr/>
        <w:t>为新闻转述，原件及期限缺失。</w:t>
      </w:r>
    </w:p>
    <w:p>
      <w:pPr>
        <w:pStyle w:val="Normal"/>
        <w:rPr/>
      </w:pPr>
      <w:r>
        <w:rPr/>
        <w:t xml:space="preserve">- </w:t>
      </w:r>
      <w:r>
        <w:rPr/>
        <w:t>财务原始文本</w:t>
      </w:r>
      <w:r>
        <w:rPr/>
        <w:t>data/pharma_raw/03692_12342815-0.pdfium.txt</w:t>
      </w:r>
      <w:r>
        <w:rPr/>
        <w:t>；额外公告</w:t>
      </w:r>
      <w:r>
        <w:rPr/>
        <w:t>data/hansoh_extra_sources.json</w:t>
      </w:r>
      <w:r>
        <w:rPr/>
        <w:t>；量价</w:t>
      </w:r>
      <w:r>
        <w:rPr/>
        <w:t>data/history/S034.json</w:t>
      </w:r>
      <w:r>
        <w:rPr/>
        <w:t>及</w:t>
      </w:r>
      <w:r>
        <w:rPr/>
        <w:t>market_snapshot</w:t>
      </w:r>
      <w:r>
        <w:rPr/>
        <w:t>；活动模型</w:t>
      </w:r>
      <w:r>
        <w:rPr/>
        <w:t>data/hansoh_model.json</w:t>
      </w:r>
      <w:r>
        <w:rPr/>
        <w:t>；正文与</w:t>
      </w:r>
      <w:r>
        <w:rPr/>
        <w:t>QA</w:t>
      </w:r>
      <w:r>
        <w:rPr/>
        <w:t>独立保存，</w:t>
      </w:r>
      <w:r>
        <w:rPr/>
        <w:t>Word/PDF</w:t>
      </w:r>
      <w:r>
        <w:rPr/>
        <w:t>版式由总报告流程另验。</w:t>
      </w:r>
      <w:r>
        <w:br w:type="page"/>
      </w:r>
    </w:p>
    <w:p>
      <w:pPr>
        <w:pStyle w:val="Heading1"/>
        <w:rPr/>
      </w:pPr>
      <w:bookmarkStart w:id="6" w:name="__RefHeading___Toc15967_312338234"/>
      <w:bookmarkEnd w:id="6"/>
      <w:r>
        <w:rPr>
          <w:color w:val="000000"/>
        </w:rPr>
        <w:t xml:space="preserve">康龙化成 </w:t>
      </w:r>
      <w:r>
        <w:rPr>
          <w:color w:val="000000"/>
        </w:rPr>
        <w:t>03759 HK</w:t>
      </w:r>
    </w:p>
    <w:p>
      <w:pPr>
        <w:pStyle w:val="Normal"/>
        <w:rPr/>
      </w:pPr>
      <w:r>
        <w:rPr/>
        <w:t xml:space="preserve">03759.HK </w:t>
      </w:r>
      <w:r>
        <w:rPr/>
        <w:t xml:space="preserve">现价 </w:t>
      </w:r>
      <w:r>
        <w:rPr/>
        <w:t>30.60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41.44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+35.42%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+35.42%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51.12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+67.06%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+67.93%</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58.73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+91.92%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+95.44%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70.73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+131.14%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+138.83%</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-46.42%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38.68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+26.39%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64.45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+110.63%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39.55HKD</w:t>
      </w:r>
      <w:r>
        <w:rPr/>
        <w:t>，期望股价回报</w:t>
      </w:r>
      <w:r>
        <w:rPr/>
        <w:t>+29.25%</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14.26</w:t>
              <w:br/>
              <w:t>-53.41%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41.44</w:t>
              <w:br/>
              <w:t>+35.42%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70.31</w:t>
              <w:br/>
              <w:t>+129.78%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13.81</w:t>
              <w:br/>
              <w:t>-54.87%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51.12</w:t>
              <w:br/>
              <w:t>+67.06%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96.65</w:t>
              <w:br/>
              <w:t>+215.85%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14.47</w:t>
              <w:br/>
              <w:t>-52.70%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58.73</w:t>
              <w:br/>
              <w:t>+91.92%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119.96</w:t>
              <w:br/>
              <w:t>+292.02%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14.68</w:t>
              <w:br/>
              <w:t>-52.02%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70.73</w:t>
              <w:br/>
              <w:t>+131.14%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164.81</w:t>
              <w:br/>
              <w:t>+438.60%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+19.02%</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+35.42%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+42.19%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+59.53%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+67.93%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+76.32%</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+85.67%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+95.44%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+105.21%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+126.89%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+138.83%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+150.77%</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30.60</w:t>
      </w:r>
      <w:r>
        <w:rPr/>
        <w:t>港元，发行人</w:t>
      </w:r>
      <w:r>
        <w:rPr/>
        <w:t>I022</w:t>
      </w:r>
      <w:r>
        <w:rPr/>
        <w:t>，证券</w:t>
      </w:r>
      <w:r>
        <w:rPr/>
        <w:t>S027</w:t>
      </w:r>
      <w:r>
        <w:rPr/>
        <w:t>；模型</w:t>
      </w:r>
      <w:r>
        <w:rPr/>
        <w:t>pharmaron-v1-segment-normal-profit-cashroll-CBchoice</w:t>
      </w:r>
      <w:r>
        <w:rPr/>
        <w:t>。中期业绩</w:t>
      </w:r>
      <w:r>
        <w:rPr/>
        <w:t>8</w:t>
      </w:r>
      <w:r>
        <w:rPr/>
        <w:t>月</w:t>
      </w:r>
      <w:r>
        <w:rPr/>
        <w:t>20</w:t>
      </w:r>
      <w:r>
        <w:rPr/>
        <w:t>日首次公开、</w:t>
      </w:r>
      <w:r>
        <w:rPr/>
        <w:t>9</w:t>
      </w:r>
      <w:r>
        <w:rPr/>
        <w:t>月</w:t>
      </w:r>
      <w:r>
        <w:rPr/>
        <w:t>23</w:t>
      </w:r>
      <w:r>
        <w:rPr/>
        <w:t>日中报；资料截止</w:t>
      </w:r>
      <w:r>
        <w:rPr/>
        <w:t>10</w:t>
      </w:r>
      <w:r>
        <w:rPr/>
        <w:t>月</w:t>
      </w:r>
      <w:r>
        <w:rPr/>
        <w:t>9</w:t>
      </w:r>
      <w:r>
        <w:rPr/>
        <w:t>日。半年</w:t>
      </w:r>
      <w:r>
        <w:rPr/>
        <w:t>72.4</w:t>
      </w:r>
      <w:r>
        <w:rPr/>
        <w:t>分、一年</w:t>
      </w:r>
      <w:r>
        <w:rPr/>
        <w:t>75.8</w:t>
      </w:r>
      <w:r>
        <w:rPr/>
        <w:t>分、三年</w:t>
      </w:r>
      <w:r>
        <w:rPr/>
        <w:t>78.1</w:t>
      </w:r>
      <w:r>
        <w:rPr/>
        <w:t>分、五年</w:t>
      </w:r>
      <w:r>
        <w:rPr/>
        <w:t>78.5</w:t>
      </w:r>
      <w:r>
        <w:rPr/>
        <w:t>分，属于进取型成长候选，具体全名单名次与梯队由总表统一排序。证据可信度中等，财务及行情较高，未来订单、毛利、股数和融资判断为研究假设。</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基准含分红总回报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16.396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38.676</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64.454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26.39%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26.39%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14.257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41.438</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70.314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35.42%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35.42%</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13.809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51.122</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96.651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67.06%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67.93%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14.474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58.727</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119.958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91.92%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95.44%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14.681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70.728</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164.811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131.14%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138.83%</w:t>
            </w:r>
          </w:p>
        </w:tc>
      </w:tr>
    </w:tbl>
    <w:p>
      <w:pPr>
        <w:pStyle w:val="Normal"/>
        <w:rPr/>
      </w:pPr>
      <w:r>
        <w:rPr/>
      </w:r>
    </w:p>
    <w:p>
      <w:pPr>
        <w:pStyle w:val="Normal"/>
        <w:rPr/>
      </w:pPr>
      <w:r>
        <w:rPr/>
        <w:t>基准未来累计股息年底及半年零、一年</w:t>
      </w:r>
      <w:r>
        <w:rPr/>
        <w:t>0.264</w:t>
      </w:r>
      <w:r>
        <w:rPr/>
        <w:t>港元、三年</w:t>
      </w:r>
      <w:r>
        <w:rPr/>
        <w:t>1.078</w:t>
      </w:r>
      <w:r>
        <w:rPr/>
        <w:t>、五年</w:t>
      </w:r>
      <w:r>
        <w:rPr/>
        <w:t>2.354</w:t>
      </w:r>
      <w:r>
        <w:rPr/>
        <w:t>，均为税前模型假设，非已宣派。三年含息年化</w:t>
      </w:r>
      <w:r>
        <w:rPr/>
        <w:t>25.03%</w:t>
      </w:r>
      <w:r>
        <w:rPr/>
        <w:t>、五年</w:t>
      </w:r>
      <w:r>
        <w:rPr/>
        <w:t>19.02%</w:t>
      </w:r>
      <w:r>
        <w:rPr/>
        <w:t>。年底</w:t>
      </w:r>
      <w:r>
        <w:rPr/>
        <w:t>25%/50%/25%</w:t>
      </w:r>
      <w:r>
        <w:rPr/>
        <w:t>判断权重期望</w:t>
      </w:r>
      <w:r>
        <w:rPr/>
        <w:t>39.550398</w:t>
      </w:r>
      <w:r>
        <w:rPr/>
        <w:t>港元、</w:t>
      </w:r>
      <w:r>
        <w:rPr/>
        <w:t>29.25%</w:t>
      </w:r>
      <w:r>
        <w:rPr/>
        <w:t>；</w:t>
      </w:r>
      <w:r>
        <w:rPr/>
        <w:t>40%/40%/20%</w:t>
      </w:r>
      <w:r>
        <w:rPr/>
        <w:t>为</w:t>
      </w:r>
      <w:r>
        <w:rPr/>
        <w:t>34.919525</w:t>
      </w:r>
      <w:r>
        <w:rPr/>
        <w:t>港元、</w:t>
      </w:r>
      <w:r>
        <w:rPr/>
        <w:t>14.12%</w:t>
      </w:r>
      <w:r>
        <w:rPr/>
        <w:t>，</w:t>
      </w:r>
      <w:r>
        <w:rPr/>
        <w:t>20%/40%/40%</w:t>
      </w:r>
      <w:r>
        <w:rPr/>
        <w:t>为</w:t>
      </w:r>
      <w:r>
        <w:rPr/>
        <w:t>44.531168</w:t>
      </w:r>
      <w:r>
        <w:rPr/>
        <w:t>港元、</w:t>
      </w:r>
      <w:r>
        <w:rPr/>
        <w:t>45.53%</w:t>
      </w:r>
      <w:r>
        <w:rPr/>
        <w:t>。情景不是统计置信区间或最大损失边界；主要风险是融资与资本开支、产能利用不足、客户项目失败和跨境政策、汇率、价格及治理。结论成立需要订单转换成现金利润，商业化项目维持增长且</w:t>
      </w:r>
      <w:r>
        <w:rPr/>
        <w:t>2027</w:t>
      </w:r>
      <w:r>
        <w:rPr/>
        <w:t>年债务安排落实。</w:t>
      </w:r>
    </w:p>
    <w:p>
      <w:pPr>
        <w:pStyle w:val="Heading2"/>
        <w:rPr/>
      </w:pPr>
      <w:r>
        <w:rPr>
          <w:color w:val="000000"/>
        </w:rPr>
        <w:t>一 推荐结论与投资逻辑</w:t>
      </w:r>
    </w:p>
    <w:p>
      <w:pPr>
        <w:pStyle w:val="Normal"/>
        <w:rPr/>
      </w:pPr>
      <w:r>
        <w:rPr/>
        <w:t>康龙化成在这份名单中提供的是药物研究与生产服务投资机会。它既参与早期发现，也向工艺开发、临床和商业生产扩展，不主要依靠自己持有的新药上市权益。客户项目成功能够延长合作与增加服务额，客户失败则减少未来订单，但不会像单管线创新药公司一样必然令全部公司价值同时归零。这种业务结构有分散优势，也使资本、人力、服务价格和交付效率成为核心投资变量。</w:t>
      </w:r>
    </w:p>
    <w:p>
      <w:pPr>
        <w:pStyle w:val="Normal"/>
        <w:rPr/>
      </w:pPr>
      <w:r>
        <w:rPr/>
        <w:t>截至研究日，能够支持推荐的事实是上半年收入增长</w:t>
      </w:r>
      <w:r>
        <w:rPr/>
        <w:t>17.9%</w:t>
      </w:r>
      <w:r>
        <w:rPr/>
        <w:t>，其中</w:t>
      </w:r>
      <w:r>
        <w:rPr/>
        <w:t>CDMO</w:t>
      </w:r>
      <w:r>
        <w:rPr/>
        <w:t>增</w:t>
      </w:r>
      <w:r>
        <w:rPr/>
        <w:t>32.8%</w:t>
      </w:r>
      <w:r>
        <w:rPr/>
        <w:t>，新签订单增长超过三成、</w:t>
      </w:r>
      <w:r>
        <w:rPr/>
        <w:t>CDMO</w:t>
      </w:r>
      <w:r>
        <w:rPr/>
        <w:t>新订单超过五成，管理层将全年收入增长指引提高至</w:t>
      </w:r>
      <w:r>
        <w:rPr/>
        <w:t>15%</w:t>
      </w:r>
      <w:r>
        <w:rPr/>
        <w:t>至</w:t>
      </w:r>
      <w:r>
        <w:rPr/>
        <w:t>20%</w:t>
      </w:r>
      <w:r>
        <w:rPr/>
        <w:t>。实验室业务与大型客户也在增长。股价处于四条日均线之上，二十及六十日显著跑赢恒指。这些经营与技术证据相互支持，适合列入进取型观察，而非仅因为板块名称属于创新药就推荐。</w:t>
      </w:r>
    </w:p>
    <w:p>
      <w:pPr>
        <w:pStyle w:val="Normal"/>
        <w:rPr/>
      </w:pPr>
      <w:r>
        <w:rPr/>
        <w:t>限制同样明确：归母利润增长</w:t>
      </w:r>
      <w:r>
        <w:rPr/>
        <w:t>7%</w:t>
      </w:r>
      <w:r>
        <w:rPr/>
        <w:t>，少于收入增长；经营现金流下降</w:t>
      </w:r>
      <w:r>
        <w:rPr/>
        <w:t>23%</w:t>
      </w:r>
      <w:r>
        <w:rPr/>
        <w:t>，上半年资本开支使自由现金为负；银行借款约</w:t>
      </w:r>
      <w:r>
        <w:rPr/>
        <w:t>64.74</w:t>
      </w:r>
      <w:r>
        <w:rPr/>
        <w:t>亿元，新可转债约</w:t>
      </w:r>
      <w:r>
        <w:rPr/>
        <w:t>21.8</w:t>
      </w:r>
      <w:r>
        <w:rPr/>
        <w:t>亿元于</w:t>
      </w:r>
      <w:r>
        <w:rPr/>
        <w:t>2027</w:t>
      </w:r>
      <w:r>
        <w:rPr/>
        <w:t>年到期。新增设施和员工带来未来交付能力，也带来现金需求。股价已有较大阶段涨幅，不能把所有订单改善都视作尚未被市场反映。本章采用分部正常盈利与融资现金桥，避免低估资金成本。</w:t>
      </w:r>
    </w:p>
    <w:p>
      <w:pPr>
        <w:pStyle w:val="Normal"/>
        <w:rPr/>
      </w:pPr>
      <w:r>
        <w:rPr/>
        <w:t>半年基准上涨</w:t>
      </w:r>
      <w:r>
        <w:rPr/>
        <w:t>35.42%</w:t>
      </w:r>
      <w:r>
        <w:rPr/>
        <w:t>依赖</w:t>
      </w:r>
      <w:r>
        <w:rPr/>
        <w:t>2027</w:t>
      </w:r>
      <w:r>
        <w:rPr/>
        <w:t>年正常盈利和三十倍</w:t>
      </w:r>
      <w:r>
        <w:rPr/>
        <w:t>PE</w:t>
      </w:r>
      <w:r>
        <w:rPr/>
        <w:t>逐渐获得认可；一年和三年收益更多来自收入增长、</w:t>
      </w:r>
      <w:r>
        <w:rPr/>
        <w:t>CDMO</w:t>
      </w:r>
      <w:r>
        <w:rPr/>
        <w:t>成熟及费用效率。远期空间明显，同时悲观路径可能跌超过一半，因此得分没有因很高乐观目标升至最高等级。投资者需要同时接受回报条件与失败条件。若资本投入长期不能转现金，平台广度与技术故事不足以维护推荐。</w:t>
      </w:r>
    </w:p>
    <w:p>
      <w:pPr>
        <w:pStyle w:val="Heading2"/>
        <w:rPr/>
      </w:pPr>
      <w:r>
        <w:rPr>
          <w:color w:val="000000"/>
        </w:rPr>
        <w:t>二 发行人 证券与分部重组</w:t>
      </w:r>
    </w:p>
    <w:p>
      <w:pPr>
        <w:pStyle w:val="Normal"/>
        <w:rPr/>
      </w:pPr>
      <w:r>
        <w:rPr/>
        <w:t>公司</w:t>
      </w:r>
      <w:r>
        <w:rPr/>
        <w:t>2004</w:t>
      </w:r>
      <w:r>
        <w:rPr/>
        <w:t>年成立，现为中国、英国、美国和新加坡经营的医药研发服务平台，国内</w:t>
      </w:r>
      <w:r>
        <w:rPr/>
        <w:t>A</w:t>
      </w:r>
      <w:r>
        <w:rPr/>
        <w:t>股</w:t>
      </w:r>
      <w:r>
        <w:rPr/>
        <w:t>300759</w:t>
      </w:r>
      <w:r>
        <w:rPr/>
        <w:t>、香港</w:t>
      </w:r>
      <w:r>
        <w:rPr/>
        <w:t>H</w:t>
      </w:r>
      <w:r>
        <w:rPr/>
        <w:t>股</w:t>
      </w:r>
      <w:r>
        <w:rPr/>
        <w:t>3759</w:t>
      </w:r>
      <w:r>
        <w:rPr/>
        <w:t>属于同一发行人。用户名单只包含</w:t>
      </w:r>
      <w:r>
        <w:rPr/>
        <w:t>H</w:t>
      </w:r>
      <w:r>
        <w:rPr/>
        <w:t>股，分析与排名使用港元</w:t>
      </w:r>
      <w:r>
        <w:rPr/>
        <w:t>30.60</w:t>
      </w:r>
      <w:r>
        <w:rPr/>
        <w:t>基准。公司全体盈利归属在</w:t>
      </w:r>
      <w:r>
        <w:rPr/>
        <w:t>A/H</w:t>
      </w:r>
      <w:r>
        <w:rPr/>
        <w:t>普通股之间，不仅归香港流通股。本章每股分母采用全公司股份，不能用约</w:t>
      </w:r>
      <w:r>
        <w:rPr/>
        <w:t>3.58</w:t>
      </w:r>
      <w:r>
        <w:rPr/>
        <w:t>亿</w:t>
      </w:r>
      <w:r>
        <w:rPr/>
        <w:t>H</w:t>
      </w:r>
      <w:r>
        <w:rPr/>
        <w:t>股直接除集团净利制造很高</w:t>
      </w:r>
      <w:r>
        <w:rPr/>
        <w:t>EPS</w:t>
      </w:r>
      <w:r>
        <w:rPr/>
        <w:t>。</w:t>
      </w:r>
    </w:p>
    <w:p>
      <w:pPr>
        <w:pStyle w:val="Normal"/>
        <w:rPr/>
      </w:pPr>
      <w:r>
        <w:rPr/>
        <w:t>从</w:t>
      </w:r>
      <w:r>
        <w:rPr/>
        <w:t>2026</w:t>
      </w:r>
      <w:r>
        <w:rPr/>
        <w:t>年第二季度起，公司将原实验室、</w:t>
      </w:r>
      <w:r>
        <w:rPr/>
        <w:t>CMC</w:t>
      </w:r>
      <w:r>
        <w:rPr/>
        <w:t>、小分子以外的大分子及细胞基因治疗、临床等四板块重组为实验室、综合</w:t>
      </w:r>
      <w:r>
        <w:rPr/>
        <w:t>CDMO</w:t>
      </w:r>
      <w:r>
        <w:rPr/>
        <w:t>与临床三大平台，另列其他。</w:t>
      </w:r>
      <w:r>
        <w:rPr/>
        <w:t>2026</w:t>
      </w:r>
      <w:r>
        <w:rPr/>
        <w:t>中报把</w:t>
      </w:r>
      <w:r>
        <w:rPr/>
        <w:t>2025</w:t>
      </w:r>
      <w:r>
        <w:rPr/>
        <w:t>半年比较数据追溯重列。新</w:t>
      </w:r>
      <w:r>
        <w:rPr/>
        <w:t>CDMO</w:t>
      </w:r>
      <w:r>
        <w:rPr/>
        <w:t>的</w:t>
      </w:r>
      <w:r>
        <w:rPr/>
        <w:t>32.8%</w:t>
      </w:r>
      <w:r>
        <w:rPr/>
        <w:t>增长不能直接与旧年报</w:t>
      </w:r>
      <w:r>
        <w:rPr/>
        <w:t>CMC</w:t>
      </w:r>
      <w:r>
        <w:rPr/>
        <w:t>收入比较，否则范围差异会混入增长率。旧基因治疗亏损被归入新分部后也没有消失，只是由更宽范围业务共同呈现。</w:t>
      </w:r>
    </w:p>
    <w:p>
      <w:pPr>
        <w:pStyle w:val="Normal"/>
        <w:rPr/>
      </w:pPr>
      <w:r>
        <w:rPr/>
        <w:t>重组的商业逻辑是分子类型交叉与服务阶段协作。实验室覆盖不同药物的设计和验证，</w:t>
      </w:r>
      <w:r>
        <w:rPr/>
        <w:t>CDMO</w:t>
      </w:r>
      <w:r>
        <w:rPr/>
        <w:t>处理相应工艺与生产，临床研究承担试验及数据。重组能够改善内部资源协调，但财务披露粒度有所减少，读者更难直接追踪旧大分子及基因治疗的盈亏。因此研究保留旧口径的亏损警示，同时使用新可比数据预测，不推断业务重组本身已提高集团利润。</w:t>
      </w:r>
    </w:p>
    <w:p>
      <w:pPr>
        <w:pStyle w:val="Normal"/>
        <w:rPr/>
      </w:pPr>
      <w:r>
        <w:rPr/>
        <w:t>2026</w:t>
      </w:r>
      <w:r>
        <w:rPr/>
        <w:t>半年集团营收</w:t>
      </w:r>
      <w:r>
        <w:rPr/>
        <w:t>75.95424</w:t>
      </w:r>
      <w:r>
        <w:rPr/>
        <w:t>亿元，其中实验室</w:t>
      </w:r>
      <w:r>
        <w:rPr/>
        <w:t>46.33511</w:t>
      </w:r>
      <w:r>
        <w:rPr/>
        <w:t>、</w:t>
      </w:r>
      <w:r>
        <w:rPr/>
        <w:t>CDMO18.84103</w:t>
      </w:r>
      <w:r>
        <w:rPr/>
        <w:t>、临床</w:t>
      </w:r>
      <w:r>
        <w:rPr/>
        <w:t>10.68521</w:t>
      </w:r>
      <w:r>
        <w:rPr/>
        <w:t>、其他</w:t>
      </w:r>
      <w:r>
        <w:rPr/>
        <w:t>0.09289</w:t>
      </w:r>
      <w:r>
        <w:rPr/>
        <w:t>亿元；毛利</w:t>
      </w:r>
      <w:r>
        <w:rPr/>
        <w:t>24.74869</w:t>
      </w:r>
      <w:r>
        <w:rPr/>
        <w:t>亿元。分部业绩在该表是毛利层面，尚未扣未分配的行政、销售、研发、减值及融资成本，不能把分部毛利当净利润。估值必须将这些费用扣回，并处理少数股东归属。</w:t>
      </w:r>
    </w:p>
    <w:p>
      <w:pPr>
        <w:pStyle w:val="Heading2"/>
        <w:rPr/>
      </w:pPr>
      <w:r>
        <w:rPr>
          <w:color w:val="000000"/>
        </w:rPr>
        <w:t>三 实验室服务的商业质量</w:t>
      </w:r>
    </w:p>
    <w:p>
      <w:pPr>
        <w:pStyle w:val="Normal"/>
        <w:rPr/>
      </w:pPr>
      <w:r>
        <w:rPr/>
        <w:t>实验室服务是现有利润基础，收入增长</w:t>
      </w:r>
      <w:r>
        <w:rPr/>
        <w:t>13.7%</w:t>
      </w:r>
      <w:r>
        <w:rPr/>
        <w:t>，毛利率</w:t>
      </w:r>
      <w:r>
        <w:rPr/>
        <w:t>40.7%</w:t>
      </w:r>
      <w:r>
        <w:rPr/>
        <w:t>，较重列</w:t>
      </w:r>
      <w:r>
        <w:rPr/>
        <w:t>2025</w:t>
      </w:r>
      <w:r>
        <w:rPr/>
        <w:t>同期下降</w:t>
      </w:r>
      <w:r>
        <w:rPr/>
        <w:t>1.7</w:t>
      </w:r>
      <w:r>
        <w:rPr/>
        <w:t>个百分点。它涵盖药物化学、合成、分析、计算辅助设计以及蛋白、结构、药代、生物分析和安全性评价，面对多种新药分子。客户购买的不只是化合物或工时，而是符合质量要求、能进入下一研发决策的数据与材料。经验与跨学科协作可以形成黏性，但不能消除报价竞争。</w:t>
      </w:r>
    </w:p>
    <w:p>
      <w:pPr>
        <w:pStyle w:val="Normal"/>
        <w:rPr/>
      </w:pPr>
      <w:r>
        <w:rPr/>
        <w:t>实验室收入中生物科学占比超过六成，说明业务不应简单等同传统化学合成。多肽、寡核苷酸、诱导邻近药物与生物偶联等复杂分子增加特定研发任务，却也需要新方法与设备。公司既可从新分子需求受益，也可能因不同团队投入先于订单而损失效率。毛利率是否稳定，比只宣称新分子占比增加更能检验平台经济价值。</w:t>
      </w:r>
    </w:p>
    <w:p>
      <w:pPr>
        <w:pStyle w:val="Normal"/>
        <w:rPr/>
      </w:pPr>
      <w:r>
        <w:rPr/>
        <w:t>上半年该板块新订单增长超过两成，员工</w:t>
      </w:r>
      <w:r>
        <w:rPr/>
        <w:t>12,528</w:t>
      </w:r>
      <w:r>
        <w:rPr/>
        <w:t>人、较重列年末增加</w:t>
      </w:r>
      <w:r>
        <w:rPr/>
        <w:t>432</w:t>
      </w:r>
      <w:r>
        <w:rPr/>
        <w:t>；化学研究员超过</w:t>
      </w:r>
      <w:r>
        <w:rPr/>
        <w:t>7200</w:t>
      </w:r>
      <w:r>
        <w:rPr/>
        <w:t>。参与</w:t>
      </w:r>
      <w:r>
        <w:rPr/>
        <w:t>811</w:t>
      </w:r>
      <w:r>
        <w:rPr/>
        <w:t>个发现项目提供广泛需求基础，但项目规模差异很大，不能用项目数等权乘一个平均未来商业订单。早期项目淘汰是药物研发常态。研究预测实验室收入保持增长，仍保留商业失败、</w:t>
      </w:r>
      <w:r>
        <w:rPr/>
        <w:t>FTE</w:t>
      </w:r>
      <w:r>
        <w:rPr/>
        <w:t>缩减和服务价格压力，没有给每个项目另加新药</w:t>
      </w:r>
      <w:r>
        <w:rPr/>
        <w:t>rNPV</w:t>
      </w:r>
      <w:r>
        <w:rPr/>
        <w:t>。</w:t>
      </w:r>
    </w:p>
    <w:p>
      <w:pPr>
        <w:pStyle w:val="Normal"/>
        <w:rPr/>
      </w:pPr>
      <w:r>
        <w:rPr/>
        <w:t>实验室可以采用全职等效员工或成果收费。前者较依赖客户持续购买研究资源，后者更依赖任务验收和工时效率。</w:t>
      </w:r>
      <w:r>
        <w:rPr/>
        <w:t>AI</w:t>
      </w:r>
      <w:r>
        <w:rPr/>
        <w:t>与自动化若减少相同任务成本，有利毛利；客户若要求降价或减少</w:t>
      </w:r>
      <w:r>
        <w:rPr/>
        <w:t>FTE</w:t>
      </w:r>
      <w:r>
        <w:rPr/>
        <w:t>人数，则生产率提高可能部分让渡给客户。实际商业结果取决于合同结构、质量与协商能力。本章未把研发自动化宣传直接计为独立高倍数业务。</w:t>
      </w:r>
    </w:p>
    <w:p>
      <w:pPr>
        <w:pStyle w:val="Heading2"/>
        <w:rPr/>
      </w:pPr>
      <w:r>
        <w:rPr>
          <w:color w:val="000000"/>
        </w:rPr>
        <w:t xml:space="preserve">四 </w:t>
      </w:r>
      <w:r>
        <w:rPr>
          <w:color w:val="000000"/>
        </w:rPr>
        <w:t>CDMO</w:t>
      </w:r>
      <w:r>
        <w:rPr>
          <w:color w:val="000000"/>
        </w:rPr>
        <w:t>成长与项目成熟度</w:t>
      </w:r>
    </w:p>
    <w:p>
      <w:pPr>
        <w:pStyle w:val="Normal"/>
        <w:rPr/>
      </w:pPr>
      <w:r>
        <w:rPr/>
        <w:t>综合</w:t>
      </w:r>
      <w:r>
        <w:rPr/>
        <w:t>CDMO</w:t>
      </w:r>
      <w:r>
        <w:rPr/>
        <w:t>半年收入</w:t>
      </w:r>
      <w:r>
        <w:rPr/>
        <w:t>18.84</w:t>
      </w:r>
      <w:r>
        <w:rPr/>
        <w:t>亿元、增长</w:t>
      </w:r>
      <w:r>
        <w:rPr/>
        <w:t>32.8%</w:t>
      </w:r>
      <w:r>
        <w:rPr/>
        <w:t>，毛利率</w:t>
      </w:r>
      <w:r>
        <w:rPr/>
        <w:t>25.6%</w:t>
      </w:r>
      <w:r>
        <w:rPr/>
        <w:t>、上升</w:t>
      </w:r>
      <w:r>
        <w:rPr/>
        <w:t>2.7</w:t>
      </w:r>
      <w:r>
        <w:rPr/>
        <w:t>个百分点，新订单增逾五成。较高增长与毛利改善支持上行周期，但目前毛利仍明显低于实验室。原因可能包括旧亏损业务、未完全利用的新产能及项目结构。研究只将毛利率逐步提升作为条件，不将传统小分子高毛利套到包括所有分子类型的综合板块。</w:t>
      </w:r>
    </w:p>
    <w:p>
      <w:pPr>
        <w:pStyle w:val="Normal"/>
        <w:rPr/>
      </w:pPr>
      <w:r>
        <w:rPr/>
        <w:t>小分子服务涉及</w:t>
      </w:r>
      <w:r>
        <w:rPr/>
        <w:t>782</w:t>
      </w:r>
      <w:r>
        <w:rPr/>
        <w:t>个分子或中间体，其中工艺验证及商业化</w:t>
      </w:r>
      <w:r>
        <w:rPr/>
        <w:t>45</w:t>
      </w:r>
      <w:r>
        <w:rPr/>
        <w:t>、三期</w:t>
      </w:r>
      <w:r>
        <w:rPr/>
        <w:t>51</w:t>
      </w:r>
      <w:r>
        <w:rPr/>
        <w:t>、一二期</w:t>
      </w:r>
      <w:r>
        <w:rPr/>
        <w:t>238</w:t>
      </w:r>
      <w:r>
        <w:rPr/>
        <w:t>、临床前</w:t>
      </w:r>
      <w:r>
        <w:rPr/>
        <w:t>448</w:t>
      </w:r>
      <w:r>
        <w:rPr/>
        <w:t>。晚期项目有更大批次和商业生产机会，也会因客户临床或市场失败停止。分子或中间体计数不等于独立药物数，更不等于已获批商业品种。</w:t>
      </w:r>
      <w:r>
        <w:rPr/>
        <w:t>45</w:t>
      </w:r>
      <w:r>
        <w:rPr/>
        <w:t>个工艺验证及商业组包含不同状态，不能全部写成</w:t>
      </w:r>
      <w:r>
        <w:rPr/>
        <w:t>45</w:t>
      </w:r>
      <w:r>
        <w:rPr/>
        <w:t>个已商业上市药物。</w:t>
      </w:r>
    </w:p>
    <w:p>
      <w:pPr>
        <w:pStyle w:val="Normal"/>
        <w:rPr/>
      </w:pPr>
      <w:r>
        <w:rPr/>
        <w:t>超过</w:t>
      </w:r>
      <w:r>
        <w:rPr/>
        <w:t>85%CDMO</w:t>
      </w:r>
      <w:r>
        <w:rPr/>
        <w:t>收入来自药物发现服务现有客户，是平台协作的重要证据。公司早期掌握分子特征和客户需求，后续工艺交接可能更顺畅，转换成本也有利客户关系。该比例只描述收入来源，不能等同</w:t>
      </w:r>
      <w:r>
        <w:rPr/>
        <w:t>85%</w:t>
      </w:r>
      <w:r>
        <w:rPr/>
        <w:t>的早期项目都转化为</w:t>
      </w:r>
      <w:r>
        <w:rPr/>
        <w:t>CDMO</w:t>
      </w:r>
      <w:r>
        <w:rPr/>
        <w:t>。客户也可能分拆供应商以降低集中风险，服务平台要持续凭价格、交付和质量获得合作。</w:t>
      </w:r>
    </w:p>
    <w:p>
      <w:pPr>
        <w:pStyle w:val="Normal"/>
        <w:rPr/>
      </w:pPr>
      <w:r>
        <w:rPr/>
        <w:t>晚期及商业生产对厂房、验证、质量体系和批次一致性要求高，扩张不能只增加化学家人数。已有</w:t>
      </w:r>
      <w:r>
        <w:rPr/>
        <w:t>API</w:t>
      </w:r>
      <w:r>
        <w:rPr/>
        <w:t>项目的批准前检查与美国商业供应记录降低一定执行不确定性，但一个设施或品种成功不能证明新车间全部达到相同状态。持续审核、重大偏差、原料质量和客户供应链变动均可能影响收入。模型把商业量提升放入收入毛利，未另加同一</w:t>
      </w:r>
      <w:r>
        <w:rPr/>
        <w:t>FDA</w:t>
      </w:r>
      <w:r>
        <w:rPr/>
        <w:t>事件溢价。</w:t>
      </w:r>
    </w:p>
    <w:p>
      <w:pPr>
        <w:pStyle w:val="Heading2"/>
        <w:rPr/>
      </w:pPr>
      <w:r>
        <w:rPr>
          <w:color w:val="000000"/>
        </w:rPr>
        <w:t>五 口服</w:t>
      </w:r>
      <w:r>
        <w:rPr>
          <w:color w:val="000000"/>
        </w:rPr>
        <w:t>GLP 1</w:t>
      </w:r>
      <w:r>
        <w:rPr>
          <w:color w:val="000000"/>
        </w:rPr>
        <w:t>机会的范围</w:t>
      </w:r>
    </w:p>
    <w:p>
      <w:pPr>
        <w:pStyle w:val="Normal"/>
        <w:rPr/>
      </w:pPr>
      <w:r>
        <w:rPr/>
        <w:t>公司披露</w:t>
      </w:r>
      <w:r>
        <w:rPr/>
        <w:t>2026</w:t>
      </w:r>
      <w:r>
        <w:rPr/>
        <w:t>年</w:t>
      </w:r>
      <w:r>
        <w:rPr/>
        <w:t>3</w:t>
      </w:r>
      <w:r>
        <w:rPr/>
        <w:t>月与一家国际大型药企达成首个申报注册口服小分子</w:t>
      </w:r>
      <w:r>
        <w:rPr/>
        <w:t>GLP-1</w:t>
      </w:r>
      <w:r>
        <w:rPr/>
        <w:t>受体激动剂的制剂商业生产合作。它有助于制剂</w:t>
      </w:r>
      <w:r>
        <w:rPr/>
        <w:t>CDMO</w:t>
      </w:r>
      <w:r>
        <w:rPr/>
        <w:t>从临床供药走向更长期商业需求。中报表述强调服务中国患者，未披露完整合同地区、保证采购量、生产售价和单品利润，因此不能直接将全球药品销量按公司收入估值。客户的全球商业成功与公司可得制造服务额需要分别建模。</w:t>
      </w:r>
    </w:p>
    <w:p>
      <w:pPr>
        <w:pStyle w:val="Normal"/>
        <w:rPr/>
      </w:pPr>
      <w:r>
        <w:rPr/>
        <w:t>口服小分子与注射多肽的合成和制剂需求不同。康龙可从小分子及制剂技能受益，不能把所有全球</w:t>
      </w:r>
      <w:r>
        <w:rPr/>
        <w:t>GLP-1</w:t>
      </w:r>
      <w:r>
        <w:rPr/>
        <w:t>市场增长统一按多肽产能推算。小分子原料、制剂生产、分析与包装可能有不同供应商和利润。合作仍可能因注册、需求、价格、供应商分配与自产策略变化而调整。研究把其作为推动</w:t>
      </w:r>
      <w:r>
        <w:rPr/>
        <w:t>CDMO</w:t>
      </w:r>
      <w:r>
        <w:rPr/>
        <w:t>中期增长的重要可能性，而非保证高额独占收入。</w:t>
      </w:r>
    </w:p>
    <w:p>
      <w:pPr>
        <w:pStyle w:val="Normal"/>
        <w:rPr/>
      </w:pPr>
      <w:r>
        <w:rPr/>
        <w:t>同类疗法增长可能持续多年，也可能受到竞品、支付、耐受性和长期疗效影响。对于服务公司，客户药物价格下降不一定同比压服务价，却会改变采购谈判与商业量。厂房投入依赖预期需求，若销量少于准备产能，固定费用和折旧可能使毛利回落。因此乐观模型要求商业批量增长与产能效率同步，不能只把客户研发或注册成功当康龙利润成功。</w:t>
      </w:r>
    </w:p>
    <w:p>
      <w:pPr>
        <w:pStyle w:val="Normal"/>
        <w:rPr/>
      </w:pPr>
      <w:r>
        <w:rPr/>
        <w:t>本章未公开点名未在所取得原文件明示的客户或品名，也未将媒体推测包装为已核验合同。后续若取得正式商业合同范围与生产容量，可以更细拆分</w:t>
      </w:r>
      <w:r>
        <w:rPr/>
        <w:t>CDMO</w:t>
      </w:r>
      <w:r>
        <w:rPr/>
        <w:t>预测。当前基准</w:t>
      </w:r>
      <w:r>
        <w:rPr/>
        <w:t>2027</w:t>
      </w:r>
      <w:r>
        <w:rPr/>
        <w:t>年</w:t>
      </w:r>
      <w:r>
        <w:rPr/>
        <w:t>CDMO56.5</w:t>
      </w:r>
      <w:r>
        <w:rPr/>
        <w:t>亿元、</w:t>
      </w:r>
      <w:r>
        <w:rPr/>
        <w:t>2029</w:t>
      </w:r>
      <w:r>
        <w:rPr/>
        <w:t>年</w:t>
      </w:r>
      <w:r>
        <w:rPr/>
        <w:t>88</w:t>
      </w:r>
      <w:r>
        <w:rPr/>
        <w:t>亿元、</w:t>
      </w:r>
      <w:r>
        <w:rPr/>
        <w:t>2031</w:t>
      </w:r>
      <w:r>
        <w:rPr/>
        <w:t>年</w:t>
      </w:r>
      <w:r>
        <w:rPr/>
        <w:t>123</w:t>
      </w:r>
      <w:r>
        <w:rPr/>
        <w:t>亿元是所有相应项目的合计研究路径，</w:t>
      </w:r>
      <w:r>
        <w:rPr/>
        <w:t>GLP-1</w:t>
      </w:r>
      <w:r>
        <w:rPr/>
        <w:t>已包含其中，不另加一次。</w:t>
      </w:r>
    </w:p>
    <w:p>
      <w:pPr>
        <w:pStyle w:val="Heading2"/>
        <w:rPr/>
      </w:pPr>
      <w:r>
        <w:rPr>
          <w:color w:val="000000"/>
        </w:rPr>
        <w:t xml:space="preserve">六 大分子 </w:t>
      </w:r>
      <w:r>
        <w:rPr>
          <w:color w:val="000000"/>
        </w:rPr>
        <w:t>ADC</w:t>
      </w:r>
      <w:r>
        <w:rPr>
          <w:color w:val="000000"/>
        </w:rPr>
        <w:t>与基因治疗</w:t>
      </w:r>
    </w:p>
    <w:p>
      <w:pPr>
        <w:pStyle w:val="Normal"/>
        <w:rPr/>
      </w:pPr>
      <w:r>
        <w:rPr/>
        <w:t>康龙的大分子</w:t>
      </w:r>
      <w:r>
        <w:rPr/>
        <w:t>CDMO</w:t>
      </w:r>
      <w:r>
        <w:rPr/>
        <w:t>包括细胞株、上下游工艺、制剂与灌装、分析，生产规模从</w:t>
      </w:r>
      <w:r>
        <w:rPr/>
        <w:t>200</w:t>
      </w:r>
      <w:r>
        <w:rPr/>
        <w:t>至</w:t>
      </w:r>
      <w:r>
        <w:rPr/>
        <w:t>2000</w:t>
      </w:r>
      <w:r>
        <w:rPr/>
        <w:t>升；生物偶联结合抗体、小分子载荷及连接子技能。多疗法可让已有客户购买更完整服务，技术流程也更复杂。</w:t>
      </w:r>
      <w:r>
        <w:rPr/>
        <w:t>ADC</w:t>
      </w:r>
      <w:r>
        <w:rPr/>
        <w:t>价值来自质量、批次和工艺掌控，不能因客户</w:t>
      </w:r>
      <w:r>
        <w:rPr/>
        <w:t>ADC</w:t>
      </w:r>
      <w:r>
        <w:rPr/>
        <w:t>授权交易很大就推断服务费同比很大。授权买卖的资产价值不归研发服务商。</w:t>
      </w:r>
    </w:p>
    <w:p>
      <w:pPr>
        <w:pStyle w:val="Normal"/>
        <w:rPr/>
      </w:pPr>
      <w:r>
        <w:rPr/>
        <w:t>基因治疗由英国利物浦实验室与工厂提供服务，半年</w:t>
      </w:r>
      <w:r>
        <w:rPr/>
        <w:t>15</w:t>
      </w:r>
      <w:r>
        <w:rPr/>
        <w:t>个项目，其中</w:t>
      </w:r>
      <w:r>
        <w:rPr/>
        <w:t>9</w:t>
      </w:r>
      <w:r>
        <w:rPr/>
        <w:t>个一二期与</w:t>
      </w:r>
      <w:r>
        <w:rPr/>
        <w:t>6</w:t>
      </w:r>
      <w:r>
        <w:rPr/>
        <w:t>个临床前。项目仍早，行业经历融资和安全性波动，特定疗法商业采用不保证稳定。公司拥有相关生产许可有利执行，但市场需求与固定设施利用率要另看。模型没有把</w:t>
      </w:r>
      <w:r>
        <w:rPr/>
        <w:t>15</w:t>
      </w:r>
      <w:r>
        <w:rPr/>
        <w:t>个项目逐一当必然上市，也不假定该平台短期可以达到成熟小分子的盈利水平。</w:t>
      </w:r>
    </w:p>
    <w:p>
      <w:pPr>
        <w:pStyle w:val="Normal"/>
        <w:rPr/>
      </w:pPr>
      <w:r>
        <w:rPr/>
        <w:t>第一季旧口径大分子及细胞基因治疗收入约</w:t>
      </w:r>
      <w:r>
        <w:rPr/>
        <w:t>0.878</w:t>
      </w:r>
      <w:r>
        <w:rPr/>
        <w:t>亿元、毛利率−</w:t>
      </w:r>
      <w:r>
        <w:rPr/>
        <w:t>92.8%</w:t>
      </w:r>
      <w:r>
        <w:rPr/>
        <w:t>，清楚显示此前投入与产能负担。重组后相应活动进入实验室与</w:t>
      </w:r>
      <w:r>
        <w:rPr/>
        <w:t>CDMO</w:t>
      </w:r>
      <w:r>
        <w:rPr/>
        <w:t>，读者无法直接从合并</w:t>
      </w:r>
      <w:r>
        <w:rPr/>
        <w:t>CDMO</w:t>
      </w:r>
      <w:r>
        <w:rPr/>
        <w:t>毛利看出该部分是否盈亏平衡。研究维持较保守综合毛利率，要求新的分子项目提高收入利用率。组织重组只是管理措施，只有真实成本降低及客户交付证明改善。</w:t>
      </w:r>
    </w:p>
    <w:p>
      <w:pPr>
        <w:pStyle w:val="Normal"/>
        <w:rPr/>
      </w:pPr>
      <w:r>
        <w:rPr/>
        <w:t>公司正建设更大多肽固相合成车间，并探索液相路线、中后期</w:t>
      </w:r>
      <w:r>
        <w:rPr/>
        <w:t>ADC</w:t>
      </w:r>
      <w:r>
        <w:rPr/>
        <w:t>与制剂能力。技术拓展可以打开新增长，同时占用资金与研发资源。与专门多肽或</w:t>
      </w:r>
      <w:r>
        <w:rPr/>
        <w:t>ADC</w:t>
      </w:r>
      <w:r>
        <w:rPr/>
        <w:t>龙头比较，康龙的全流程客户网络是优势，具体规模与商业验证仍需逐项审查。本章不为所有新技术设置高估值终值；它们必须通过已有分部收入、毛利与现金效率兑现。</w:t>
      </w:r>
    </w:p>
    <w:p>
      <w:pPr>
        <w:pStyle w:val="Heading2"/>
        <w:rPr/>
      </w:pPr>
      <w:r>
        <w:rPr>
          <w:color w:val="000000"/>
        </w:rPr>
        <w:t>七 临床研究与数字化</w:t>
      </w:r>
    </w:p>
    <w:p>
      <w:pPr>
        <w:pStyle w:val="Normal"/>
        <w:rPr/>
      </w:pPr>
      <w:r>
        <w:rPr/>
        <w:t>临床研究半年收入</w:t>
      </w:r>
      <w:r>
        <w:rPr/>
        <w:t>10.69</w:t>
      </w:r>
      <w:r>
        <w:rPr/>
        <w:t>亿元、增长</w:t>
      </w:r>
      <w:r>
        <w:rPr/>
        <w:t>13.8%</w:t>
      </w:r>
      <w:r>
        <w:rPr/>
        <w:t>，毛利率</w:t>
      </w:r>
      <w:r>
        <w:rPr/>
        <w:t>9.8%</w:t>
      </w:r>
      <w:r>
        <w:rPr/>
        <w:t>、下降</w:t>
      </w:r>
      <w:r>
        <w:rPr/>
        <w:t>2.5</w:t>
      </w:r>
      <w:r>
        <w:rPr/>
        <w:t>个百分点。新订单增超过三成与收入增长支持需求，但较低毛利表明竞争、扩张或交付成本仍重。业务包含国内临床</w:t>
      </w:r>
      <w:r>
        <w:rPr/>
        <w:t>CRO</w:t>
      </w:r>
      <w:r>
        <w:rPr/>
        <w:t>与现场管理、海外放射标记及早期人体研究。它与实验室和</w:t>
      </w:r>
      <w:r>
        <w:rPr/>
        <w:t>CDMO</w:t>
      </w:r>
      <w:r>
        <w:rPr/>
        <w:t>互补，不能因订单增长而自动成为集团利润的高倍数来源。</w:t>
      </w:r>
    </w:p>
    <w:p>
      <w:pPr>
        <w:pStyle w:val="Normal"/>
        <w:rPr/>
      </w:pPr>
      <w:r>
        <w:rPr/>
        <w:t>公司临床</w:t>
      </w:r>
      <w:r>
        <w:rPr/>
        <w:t>CRO</w:t>
      </w:r>
      <w:r>
        <w:rPr/>
        <w:t>进行中</w:t>
      </w:r>
      <w:r>
        <w:rPr/>
        <w:t>1357</w:t>
      </w:r>
      <w:r>
        <w:rPr/>
        <w:t>个项目，其中三期</w:t>
      </w:r>
      <w:r>
        <w:rPr/>
        <w:t>132</w:t>
      </w:r>
      <w:r>
        <w:rPr/>
        <w:t>、一二期</w:t>
      </w:r>
      <w:r>
        <w:rPr/>
        <w:t>589</w:t>
      </w:r>
      <w:r>
        <w:rPr/>
        <w:t>、其他</w:t>
      </w:r>
      <w:r>
        <w:rPr/>
        <w:t>636</w:t>
      </w:r>
      <w:r>
        <w:rPr/>
        <w:t>。</w:t>
      </w:r>
      <w:r>
        <w:rPr/>
        <w:t>SMO</w:t>
      </w:r>
      <w:r>
        <w:rPr/>
        <w:t>与</w:t>
      </w:r>
      <w:r>
        <w:rPr/>
        <w:t>150</w:t>
      </w:r>
      <w:r>
        <w:rPr/>
        <w:t>余城市、</w:t>
      </w:r>
      <w:r>
        <w:rPr/>
        <w:t>700</w:t>
      </w:r>
      <w:r>
        <w:rPr/>
        <w:t>余医院和中心合作，进行项目超过</w:t>
      </w:r>
      <w:r>
        <w:rPr/>
        <w:t>2200</w:t>
      </w:r>
      <w:r>
        <w:rPr/>
        <w:t>。</w:t>
      </w:r>
      <w:r>
        <w:rPr/>
        <w:t>CRO</w:t>
      </w:r>
      <w:r>
        <w:rPr/>
        <w:t>和</w:t>
      </w:r>
      <w:r>
        <w:rPr/>
        <w:t>SMO</w:t>
      </w:r>
      <w:r>
        <w:rPr/>
        <w:t>可以服务同一个临床项目，两个项目数不能相加当独立研发管线数。患者招募、现场记录、数据质量及合同付款决定交付效率，城市或医院覆盖很大也不表示每个站点持续贡献利润。</w:t>
      </w:r>
    </w:p>
    <w:p>
      <w:pPr>
        <w:pStyle w:val="Normal"/>
        <w:rPr/>
      </w:pPr>
      <w:r>
        <w:rPr/>
        <w:t>临床团队</w:t>
      </w:r>
      <w:r>
        <w:rPr/>
        <w:t>5586</w:t>
      </w:r>
      <w:r>
        <w:rPr/>
        <w:t>人、较年末增</w:t>
      </w:r>
      <w:r>
        <w:rPr/>
        <w:t>697</w:t>
      </w:r>
      <w:r>
        <w:rPr/>
        <w:t>，其中海外超过</w:t>
      </w:r>
      <w:r>
        <w:rPr/>
        <w:t>400</w:t>
      </w:r>
      <w:r>
        <w:rPr/>
        <w:t>，马里兰独立中心</w:t>
      </w:r>
      <w:r>
        <w:rPr/>
        <w:t>96</w:t>
      </w:r>
      <w:r>
        <w:rPr/>
        <w:t>床。增加团队有助承接需求，也使费用先发生而验收延后。海外放射标记、</w:t>
      </w:r>
      <w:r>
        <w:rPr/>
        <w:t>ADME</w:t>
      </w:r>
      <w:r>
        <w:rPr/>
        <w:t>和跨种族桥接属于专业差异，直接与所有大型全球临床</w:t>
      </w:r>
      <w:r>
        <w:rPr/>
        <w:t>CRO</w:t>
      </w:r>
      <w:r>
        <w:rPr/>
        <w:t>比较需考虑范围。国内临床服务价格及客户回款的变化可能抵消订单，研究基准毛利由</w:t>
      </w:r>
      <w:r>
        <w:rPr/>
        <w:t>2026</w:t>
      </w:r>
      <w:r>
        <w:rPr/>
        <w:t>约</w:t>
      </w:r>
      <w:r>
        <w:rPr/>
        <w:t>10.8%</w:t>
      </w:r>
      <w:r>
        <w:rPr/>
        <w:t>逐步升至</w:t>
      </w:r>
      <w:r>
        <w:rPr/>
        <w:t>2031</w:t>
      </w:r>
      <w:r>
        <w:rPr/>
        <w:t>约</w:t>
      </w:r>
      <w:r>
        <w:rPr/>
        <w:t>16.5%</w:t>
      </w:r>
      <w:r>
        <w:rPr/>
        <w:t>，必须靠效率确认。</w:t>
      </w:r>
    </w:p>
    <w:p>
      <w:pPr>
        <w:pStyle w:val="Normal"/>
        <w:rPr/>
      </w:pPr>
      <w:r>
        <w:rPr/>
        <w:t>海心智惠患者管理、真实世界研究及</w:t>
      </w:r>
      <w:r>
        <w:rPr/>
        <w:t>AI</w:t>
      </w:r>
      <w:r>
        <w:rPr/>
        <w:t>工具可提高招募、分析和项目服务。公司重组后直接持有其</w:t>
      </w:r>
      <w:r>
        <w:rPr/>
        <w:t>70.44%</w:t>
      </w:r>
      <w:r>
        <w:rPr/>
        <w:t>权益，订单尚初具规模，完整产品收入和经常利润未单独披露。医疗数据具有隐私、可用性与同意范围要求，数据量不是可自由出售的资产。研究不单独加高销售倍数的</w:t>
      </w:r>
      <w:r>
        <w:rPr/>
        <w:t>AI</w:t>
      </w:r>
      <w:r>
        <w:rPr/>
        <w:t>估值，而让未来盈利受分部费用和收入共同检验。</w:t>
      </w:r>
    </w:p>
    <w:p>
      <w:pPr>
        <w:pStyle w:val="Heading2"/>
        <w:rPr/>
      </w:pPr>
      <w:r>
        <w:rPr>
          <w:color w:val="000000"/>
        </w:rPr>
        <w:t>八 客户基础与集中风险</w:t>
      </w:r>
    </w:p>
    <w:p>
      <w:pPr>
        <w:pStyle w:val="Normal"/>
        <w:rPr/>
      </w:pPr>
      <w:r>
        <w:rPr/>
        <w:t>连续十二个月服务全球客户超过</w:t>
      </w:r>
      <w:r>
        <w:rPr/>
        <w:t>3400</w:t>
      </w:r>
      <w:r>
        <w:rPr/>
        <w:t>家，半年新增超过</w:t>
      </w:r>
      <w:r>
        <w:rPr/>
        <w:t>470</w:t>
      </w:r>
      <w:r>
        <w:rPr/>
        <w:t>家、收入</w:t>
      </w:r>
      <w:r>
        <w:rPr/>
        <w:t>1.376</w:t>
      </w:r>
      <w:r>
        <w:rPr/>
        <w:t>亿元、占</w:t>
      </w:r>
      <w:r>
        <w:rPr/>
        <w:t>1.8%</w:t>
      </w:r>
      <w:r>
        <w:rPr/>
        <w:t>；原客户贡献</w:t>
      </w:r>
      <w:r>
        <w:rPr/>
        <w:t>98.2%</w:t>
      </w:r>
      <w:r>
        <w:rPr/>
        <w:t>、收入增长</w:t>
      </w:r>
      <w:r>
        <w:rPr/>
        <w:t>18.1%</w:t>
      </w:r>
      <w:r>
        <w:rPr/>
        <w:t>。这说明当前增长主要来自旧客户扩大合作，而非简单依靠新客户数量。旧客收入可以体现信任和扩单，也受到个别大项目与客户预算影响。客户数量多有分散作用，却不足以单独判断收入集中度和稳定性。</w:t>
      </w:r>
    </w:p>
    <w:p>
      <w:pPr>
        <w:pStyle w:val="Normal"/>
        <w:rPr/>
      </w:pPr>
      <w:r>
        <w:rPr/>
        <w:t>使用多个业务板块客户贡献</w:t>
      </w:r>
      <w:r>
        <w:rPr/>
        <w:t>55.908</w:t>
      </w:r>
      <w:r>
        <w:rPr/>
        <w:t>亿元、占</w:t>
      </w:r>
      <w:r>
        <w:rPr/>
        <w:t>73.6%</w:t>
      </w:r>
      <w:r>
        <w:rPr/>
        <w:t>；全球前二十大药企贡献</w:t>
      </w:r>
      <w:r>
        <w:rPr/>
        <w:t>15.41</w:t>
      </w:r>
      <w:r>
        <w:rPr/>
        <w:t>亿元、增长</w:t>
      </w:r>
      <w:r>
        <w:rPr/>
        <w:t>32%</w:t>
      </w:r>
      <w:r>
        <w:rPr/>
        <w:t>、占</w:t>
      </w:r>
      <w:r>
        <w:rPr/>
        <w:t>20.3%</w:t>
      </w:r>
      <w:r>
        <w:rPr/>
        <w:t>。大型客户有资金与长期项目优势，服务商也可能面临较强采购议价、严格质量要求和多供应商安排。</w:t>
      </w:r>
      <w:r>
        <w:rPr/>
        <w:t>20.3%</w:t>
      </w:r>
      <w:r>
        <w:rPr/>
        <w:t>是前二十大药企这一客户群的合计，不是康龙自己最大的二十名客户集中度，不能混成集中风险指标。</w:t>
      </w:r>
    </w:p>
    <w:p>
      <w:pPr>
        <w:pStyle w:val="Normal"/>
        <w:rPr/>
      </w:pPr>
      <w:r>
        <w:rPr/>
        <w:t>北美客户收入</w:t>
      </w:r>
      <w:r>
        <w:rPr/>
        <w:t>46.752</w:t>
      </w:r>
      <w:r>
        <w:rPr/>
        <w:t>亿元、占</w:t>
      </w:r>
      <w:r>
        <w:rPr/>
        <w:t>61.6%</w:t>
      </w:r>
      <w:r>
        <w:rPr/>
        <w:t>、增长</w:t>
      </w:r>
      <w:r>
        <w:rPr/>
        <w:t>14.8%</w:t>
      </w:r>
      <w:r>
        <w:rPr/>
        <w:t>；欧洲</w:t>
      </w:r>
      <w:r>
        <w:rPr/>
        <w:t>13.079</w:t>
      </w:r>
      <w:r>
        <w:rPr/>
        <w:t>亿元、占</w:t>
      </w:r>
      <w:r>
        <w:rPr/>
        <w:t>17.2%</w:t>
      </w:r>
      <w:r>
        <w:rPr/>
        <w:t>、增</w:t>
      </w:r>
      <w:r>
        <w:rPr/>
        <w:t>6%</w:t>
      </w:r>
      <w:r>
        <w:rPr/>
        <w:t>；中国大陆</w:t>
      </w:r>
      <w:r>
        <w:rPr/>
        <w:t>13.811</w:t>
      </w:r>
      <w:r>
        <w:rPr/>
        <w:t>亿元、占</w:t>
      </w:r>
      <w:r>
        <w:rPr/>
        <w:t>18.2%</w:t>
      </w:r>
      <w:r>
        <w:rPr/>
        <w:t>、增</w:t>
      </w:r>
      <w:r>
        <w:rPr/>
        <w:t>41.9%</w:t>
      </w:r>
      <w:r>
        <w:rPr/>
        <w:t>。中国创新药国际合作和融资改善可以推动服务需求，北美仍主导。客户地区是客户所在地，不能等同生产厂所在地或收入货币。按此表把所有北美收入标为美国境内生产会误判地缘风险与成本。</w:t>
      </w:r>
    </w:p>
    <w:p>
      <w:pPr>
        <w:pStyle w:val="Normal"/>
        <w:rPr/>
      </w:pPr>
      <w:r>
        <w:rPr/>
        <w:t>海外子公司交付半年</w:t>
      </w:r>
      <w:r>
        <w:rPr/>
        <w:t>7.866</w:t>
      </w:r>
      <w:r>
        <w:rPr/>
        <w:t>亿元、同比−</w:t>
      </w:r>
      <w:r>
        <w:rPr/>
        <w:t>1.9%</w:t>
      </w:r>
      <w:r>
        <w:rPr/>
        <w:t>、占</w:t>
      </w:r>
      <w:r>
        <w:rPr/>
        <w:t>10.4%</w:t>
      </w:r>
      <w:r>
        <w:rPr/>
        <w:t>，与北美客户增长并存。这说明公司很多海外客户由中国设施交付，海外设施存在不同需求与效率问题。国际运营可以满足地域偏好和监管需求，但通常成本较高。若新增海外产能需要长期补贴，国际化可能降低资本回报。本章经营评分保留这一反证，不能用“全球布局”单词替代盈利证据。</w:t>
      </w:r>
    </w:p>
    <w:p>
      <w:pPr>
        <w:pStyle w:val="Heading2"/>
        <w:rPr/>
      </w:pPr>
      <w:r>
        <w:rPr>
          <w:color w:val="000000"/>
        </w:rPr>
        <w:t>九 订单周期与收入确认</w:t>
      </w:r>
    </w:p>
    <w:p>
      <w:pPr>
        <w:pStyle w:val="Normal"/>
        <w:rPr/>
      </w:pPr>
      <w:r>
        <w:rPr/>
        <w:t>新签订单超过三成是领先信号，</w:t>
      </w:r>
      <w:r>
        <w:rPr/>
        <w:t>CDMO</w:t>
      </w:r>
      <w:r>
        <w:rPr/>
        <w:t>超过五成比实验室超过两成更强。增长率没有披露全部绝对金额、取消率、回款条件或成熟期，因此不能据此推算确定订单覆盖几年的收入。</w:t>
      </w:r>
      <w:r>
        <w:rPr/>
        <w:t>FTE</w:t>
      </w:r>
      <w:r>
        <w:rPr/>
        <w:t>和部分短期成果服务使用收入准则实际权宜处理，不披露完整未履约金额。本章不填造在手订单总额，也不把新签增长直接设成所有未来收入增长。</w:t>
      </w:r>
    </w:p>
    <w:p>
      <w:pPr>
        <w:pStyle w:val="Normal"/>
        <w:rPr/>
      </w:pPr>
      <w:r>
        <w:rPr/>
        <w:t>CDMO</w:t>
      </w:r>
      <w:r>
        <w:rPr/>
        <w:t>订单可能受到大批量商业合同签订时间影响，年报曾说明</w:t>
      </w:r>
      <w:r>
        <w:rPr/>
        <w:t>2025</w:t>
      </w:r>
      <w:r>
        <w:rPr/>
        <w:t>后段订单增速受签订时点影响、相应订单到</w:t>
      </w:r>
      <w:r>
        <w:rPr/>
        <w:t>2026</w:t>
      </w:r>
      <w:r>
        <w:rPr/>
        <w:t>第一季签下。这样的大项目使两个相邻年度增速变化，不必意味着终端需求在几个月内同幅改变。比较订单时应看多期累计、交付周期和真实取消风险，避免把基数与时间效应全部解读为可长期维持的五成增长。</w:t>
      </w:r>
    </w:p>
    <w:p>
      <w:pPr>
        <w:pStyle w:val="Normal"/>
        <w:rPr/>
      </w:pPr>
      <w:r>
        <w:rPr/>
        <w:t>中报即点转让服务收入</w:t>
      </w:r>
      <w:r>
        <w:rPr/>
        <w:t>40.741</w:t>
      </w:r>
      <w:r>
        <w:rPr/>
        <w:t>亿元、随时间转让</w:t>
      </w:r>
      <w:r>
        <w:rPr/>
        <w:t>35.213</w:t>
      </w:r>
      <w:r>
        <w:rPr/>
        <w:t>亿元。即点与随时间并不等同现金收取时间，合同资产、应收和预收都影响现金。订单执行快可提高收入，也可能增加材料、生产与人力垫款。客户临床失败、预算变动和验收延后会改变收入和现金不同步。研究以收入及营运资本两条假设展开，不仅凭会计增长推断现金同步增长。</w:t>
      </w:r>
    </w:p>
    <w:p>
      <w:pPr>
        <w:pStyle w:val="Normal"/>
        <w:rPr/>
      </w:pPr>
      <w:r>
        <w:rPr/>
        <w:t>需求周期涉及生物科技一级融资、药企研发预算、专利到期、外包比例与药物模态。融资增加往往先提高早期订单，再逐步转换到后期生产，时间有差异。客户</w:t>
      </w:r>
      <w:r>
        <w:rPr/>
        <w:t>BD</w:t>
      </w:r>
      <w:r>
        <w:rPr/>
        <w:t>首付提供研发资金，却未必全部购买康龙服务。外资行业新闻可以提供背景，原数据库未取得时相关融资数字属于二手转述。本章公司的增长证据以发行人订单和收入为主。</w:t>
      </w:r>
    </w:p>
    <w:p>
      <w:pPr>
        <w:pStyle w:val="Heading2"/>
        <w:rPr/>
      </w:pPr>
      <w:r>
        <w:rPr>
          <w:color w:val="000000"/>
        </w:rPr>
        <w:t>十 经济 利率与跨境政策</w:t>
      </w:r>
    </w:p>
    <w:p>
      <w:pPr>
        <w:pStyle w:val="Normal"/>
        <w:rPr/>
      </w:pPr>
      <w:r>
        <w:rPr/>
        <w:t>中国消费景气对康龙影响主要经过患者支付、药企产品回报预期和生物科技融资，少于零售消费企业的直接销量变化。全球疾病需求与研发不因一个季度放缓完全停止，客户仍会调整项目组合。大药企专利到期压力可能支持外包，但自身利润与并购整合亦会压研发。研究在长期给予行业空间分，仍不认为每年订单能够不受周期影响。</w:t>
      </w:r>
    </w:p>
    <w:p>
      <w:pPr>
        <w:pStyle w:val="Normal"/>
        <w:rPr/>
      </w:pPr>
      <w:r>
        <w:rPr/>
        <w:t>利率上升同时影响生物科技融资和长久期估值，但已融资、有后期项目的客户与早期公司敏感度不同。康龙较高银行债也直接受融资成本影响，其境内部分利率较低，不意味着全部未来再融资没有风险。研究净利扣普通融资成本，悲观路径增加利息和银行融资需求。低利率若改善客户预算是助力，不能单独抵消产能投入失败。</w:t>
      </w:r>
    </w:p>
    <w:p>
      <w:pPr>
        <w:pStyle w:val="Normal"/>
        <w:rPr/>
      </w:pPr>
      <w:r>
        <w:rPr/>
        <w:t>中国来源数据、医药合作和美国对外投资规则存在讨论与更新，研究日所取得机构新闻仍强调部分规则未最终确定。康龙既有中国交付也有海外设施，风险与纯资产许可公司不同。不能把提案当全面生效禁令，也不能因近期机构乐观便把跨境风险删除。应跟踪具体客户、业务、地域、官方名单和生效日期，再调整收入份额与融资成本。</w:t>
      </w:r>
    </w:p>
    <w:p>
      <w:pPr>
        <w:pStyle w:val="Normal"/>
        <w:rPr/>
      </w:pPr>
      <w:r>
        <w:rPr/>
        <w:t>政策最坏变化可能使客户重选供应商、需要海外迁移、费用上升或数据复做。海外设施可提供应对选项，却未必拥有足够相应规模，迁移也可能降低毛利。模型悲观收入与利润体现一般压力，没有假设所有风险在具体概率上量化。极端监管和客户流失仍可能超过悲观目标，必须明确情景范围与法律风险不同。</w:t>
      </w:r>
    </w:p>
    <w:p>
      <w:pPr>
        <w:pStyle w:val="Heading2"/>
        <w:rPr/>
      </w:pPr>
      <w:r>
        <w:rPr>
          <w:color w:val="000000"/>
        </w:rPr>
        <w:t>十一 汇率与利润质量</w:t>
      </w:r>
    </w:p>
    <w:p>
      <w:pPr>
        <w:pStyle w:val="Normal"/>
        <w:rPr/>
      </w:pPr>
      <w:r>
        <w:rPr/>
        <w:t>实验室毛利率下降，发行人说明人民币兑美元升值是主要影响之一。外币收入换成人民币变少，而多数中国成本仍以人民币计，毛利承压；海外外币成本能提供部分自然对冲。会计汇兑损益、海外净资产折算与营收换算又有不同路径。不能只剔除损益表汇兑损失就认为公司已经没有汇率影响。</w:t>
      </w:r>
    </w:p>
    <w:p>
      <w:pPr>
        <w:pStyle w:val="Normal"/>
        <w:rPr/>
      </w:pPr>
      <w:r>
        <w:rPr/>
        <w:t>半年其他费用中的汇兑净损失约</w:t>
      </w:r>
      <w:r>
        <w:rPr/>
        <w:t>1.16895</w:t>
      </w:r>
      <w:r>
        <w:rPr/>
        <w:t>亿元，调整后盈利桥剔除归母影响</w:t>
      </w:r>
      <w:r>
        <w:rPr/>
        <w:t>1.03574</w:t>
      </w:r>
      <w:r>
        <w:rPr/>
        <w:t>亿元，金额不相同，涉及税与归属口径。发行人还使用远期合约对冲预测美元销售，现金流套期储备和重新分类影响收入或其他费用。套保减少某些波动，但有金额、时间和基差，不能保证锁定全部长期利润。研究基准正常汇率损失保留，而非一律设零。</w:t>
      </w:r>
    </w:p>
    <w:p>
      <w:pPr>
        <w:pStyle w:val="Normal"/>
        <w:rPr/>
      </w:pPr>
      <w:r>
        <w:rPr/>
        <w:t>模型人民币兑港币采用</w:t>
      </w:r>
      <w:r>
        <w:rPr/>
        <w:t>1.10</w:t>
      </w:r>
      <w:r>
        <w:rPr/>
        <w:t>，是估值换算假设，已宣派</w:t>
      </w:r>
      <w:r>
        <w:rPr/>
        <w:t>2025</w:t>
      </w:r>
      <w:r>
        <w:rPr/>
        <w:t>年股息采用</w:t>
      </w:r>
      <w:r>
        <w:rPr/>
        <w:t>1.149637</w:t>
      </w:r>
      <w:r>
        <w:rPr/>
        <w:t>官方换算另列。未来</w:t>
      </w:r>
      <w:r>
        <w:rPr/>
        <w:t>HKD</w:t>
      </w:r>
      <w:r>
        <w:rPr/>
        <w:t>目标与人民币投资者回报也不同：投资者总回报乘港币兑人民币变化后才是人民币回报。公司人民币盈利的港元换算与投资者换汇两层效应可能相反。总表另做敏感性，不能把固定汇率模型误标为截止真实汇率预测。</w:t>
      </w:r>
    </w:p>
    <w:p>
      <w:pPr>
        <w:pStyle w:val="Normal"/>
        <w:rPr/>
      </w:pPr>
      <w:r>
        <w:rPr/>
        <w:t>净母盈利</w:t>
      </w:r>
      <w:r>
        <w:rPr/>
        <w:t>PE</w:t>
      </w:r>
      <w:r>
        <w:rPr/>
        <w:t>已经包括正常银行利息与费用，不能在每股目标后再扣全部债务，同时还用扣债后的净利。相似地，本章没有额外加全部现金，因为多数需要营运、扩产与负债安排。通过年度资金桥检验融资假设，避免余额双算。未来若改为企业价值或独立超额现金模型，必须同时改盈利成本和股数口径，不能只挑更高目标的部分。</w:t>
      </w:r>
    </w:p>
    <w:p>
      <w:pPr>
        <w:pStyle w:val="Heading2"/>
        <w:rPr/>
      </w:pPr>
      <w:r>
        <w:rPr>
          <w:color w:val="000000"/>
        </w:rPr>
        <w:t>十二 历史财务与经营杠杆</w:t>
      </w:r>
    </w:p>
    <w:p>
      <w:pPr>
        <w:pStyle w:val="Normal"/>
        <w:rPr/>
      </w:pPr>
      <w:r>
        <w:rPr/>
        <w:t>2025</w:t>
      </w:r>
      <w:r>
        <w:rPr/>
        <w:t>年收入约</w:t>
      </w:r>
      <w:r>
        <w:rPr/>
        <w:t>140.951</w:t>
      </w:r>
      <w:r>
        <w:rPr/>
        <w:t>亿元、增长</w:t>
      </w:r>
      <w:r>
        <w:rPr/>
        <w:t>14.8%</w:t>
      </w:r>
      <w:r>
        <w:rPr/>
        <w:t>，调整后归母</w:t>
      </w:r>
      <w:r>
        <w:rPr/>
        <w:t>18.161</w:t>
      </w:r>
      <w:r>
        <w:rPr/>
        <w:t>亿元、增长</w:t>
      </w:r>
      <w:r>
        <w:rPr/>
        <w:t>13%</w:t>
      </w:r>
      <w:r>
        <w:rPr/>
        <w:t>，法定归母</w:t>
      </w:r>
      <w:r>
        <w:rPr/>
        <w:t>16.639</w:t>
      </w:r>
      <w:r>
        <w:rPr/>
        <w:t>亿元、下降</w:t>
      </w:r>
      <w:r>
        <w:rPr/>
        <w:t>7.2%</w:t>
      </w:r>
      <w:r>
        <w:rPr/>
        <w:t>。下降主要受</w:t>
      </w:r>
      <w:r>
        <w:rPr/>
        <w:t>2024</w:t>
      </w:r>
      <w:r>
        <w:rPr/>
        <w:t>年处置</w:t>
      </w:r>
      <w:r>
        <w:rPr/>
        <w:t>PROTEOLOGIX</w:t>
      </w:r>
      <w:r>
        <w:rPr/>
        <w:t>产生较高投资收益的比较影响，不表示主营收入下跌。反过来，剔除一次收益后的增长也不能仅以调整数字判定质量，须查看股份报酬、汇率和并购摊销是否真实经常成本。</w:t>
      </w:r>
    </w:p>
    <w:p>
      <w:pPr>
        <w:pStyle w:val="Normal"/>
        <w:rPr/>
      </w:pPr>
      <w:r>
        <w:rPr/>
        <w:t>2025</w:t>
      </w:r>
      <w:r>
        <w:rPr/>
        <w:t>年经营现金约</w:t>
      </w:r>
      <w:r>
        <w:rPr/>
        <w:t>32.21</w:t>
      </w:r>
      <w:r>
        <w:rPr/>
        <w:t>亿元、增长</w:t>
      </w:r>
      <w:r>
        <w:rPr/>
        <w:t>25%</w:t>
      </w:r>
      <w:r>
        <w:rPr/>
        <w:t>，管理层自由现金口径约</w:t>
      </w:r>
      <w:r>
        <w:rPr/>
        <w:t>5.52</w:t>
      </w:r>
      <w:r>
        <w:rPr/>
        <w:t>亿元；进入</w:t>
      </w:r>
      <w:r>
        <w:rPr/>
        <w:t>2026</w:t>
      </w:r>
      <w:r>
        <w:rPr/>
        <w:t>半年经营现金</w:t>
      </w:r>
      <w:r>
        <w:rPr/>
        <w:t>10.846</w:t>
      </w:r>
      <w:r>
        <w:rPr/>
        <w:t>亿元、下降</w:t>
      </w:r>
      <w:r>
        <w:rPr/>
        <w:t>23%</w:t>
      </w:r>
      <w:r>
        <w:rPr/>
        <w:t>。全年与半年季节不同，不能机械据此宣布全年现金崩溃，但需要解释增长期营运资本与资本支出。历史现金改善证明平台有产生现金能力，近期下降提醒订单复苏也可能先消耗现金。推荐逻辑需要两者同时成立。</w:t>
      </w:r>
    </w:p>
    <w:p>
      <w:pPr>
        <w:pStyle w:val="Normal"/>
        <w:rPr/>
      </w:pPr>
      <w:r>
        <w:rPr/>
        <w:t>2026</w:t>
      </w:r>
      <w:r>
        <w:rPr/>
        <w:t>半年毛利增长</w:t>
      </w:r>
      <w:r>
        <w:rPr/>
        <w:t>13.9%</w:t>
      </w:r>
      <w:r>
        <w:rPr/>
        <w:t>，少于营收</w:t>
      </w:r>
      <w:r>
        <w:rPr/>
        <w:t>17.9%</w:t>
      </w:r>
      <w:r>
        <w:rPr/>
        <w:t>，集团毛利率</w:t>
      </w:r>
      <w:r>
        <w:rPr/>
        <w:t>32.58%</w:t>
      </w:r>
      <w:r>
        <w:rPr/>
        <w:t>。销售</w:t>
      </w:r>
      <w:r>
        <w:rPr/>
        <w:t>1.694</w:t>
      </w:r>
      <w:r>
        <w:rPr/>
        <w:t>亿元、行政</w:t>
      </w:r>
      <w:r>
        <w:rPr/>
        <w:t>9.948</w:t>
      </w:r>
      <w:r>
        <w:rPr/>
        <w:t>亿元、研发</w:t>
      </w:r>
      <w:r>
        <w:rPr/>
        <w:t>2.958</w:t>
      </w:r>
      <w:r>
        <w:rPr/>
        <w:t>亿元，均随规模投入；税前</w:t>
      </w:r>
      <w:r>
        <w:rPr/>
        <w:t>9.262</w:t>
      </w:r>
      <w:r>
        <w:rPr/>
        <w:t>亿元、集团净利</w:t>
      </w:r>
      <w:r>
        <w:rPr/>
        <w:t>7.117</w:t>
      </w:r>
      <w:r>
        <w:rPr/>
        <w:t>亿元、归母</w:t>
      </w:r>
      <w:r>
        <w:rPr/>
        <w:t>7.502</w:t>
      </w:r>
      <w:r>
        <w:rPr/>
        <w:t>亿元。归母大于集团是少数股东亏损约</w:t>
      </w:r>
      <w:r>
        <w:rPr/>
        <w:t>0.385</w:t>
      </w:r>
      <w:r>
        <w:rPr/>
        <w:t>亿元的归属结果，不能把多出的金额当现金收入。模型保留少数亏损归属桥，远期逐渐收敛。</w:t>
      </w:r>
    </w:p>
    <w:p>
      <w:pPr>
        <w:pStyle w:val="Normal"/>
        <w:rPr/>
      </w:pPr>
      <w:r>
        <w:rPr/>
        <w:t>业绩增长不保证每股同幅，</w:t>
      </w:r>
      <w:r>
        <w:rPr/>
        <w:t>2026</w:t>
      </w:r>
      <w:r>
        <w:rPr/>
        <w:t>年</w:t>
      </w:r>
      <w:r>
        <w:rPr/>
        <w:t>1</w:t>
      </w:r>
      <w:r>
        <w:rPr/>
        <w:t>月配售</w:t>
      </w:r>
      <w:r>
        <w:rPr/>
        <w:t>5844</w:t>
      </w:r>
      <w:r>
        <w:rPr/>
        <w:t>万股、已有激励也改变分母。半年基本</w:t>
      </w:r>
      <w:r>
        <w:rPr/>
        <w:t>EPS0.4138</w:t>
      </w:r>
      <w:r>
        <w:rPr/>
        <w:t>、增长</w:t>
      </w:r>
      <w:r>
        <w:rPr/>
        <w:t>3.9%</w:t>
      </w:r>
      <w:r>
        <w:rPr/>
        <w:t>，低于归母</w:t>
      </w:r>
      <w:r>
        <w:rPr/>
        <w:t>7%</w:t>
      </w:r>
      <w:r>
        <w:rPr/>
        <w:t>。未来转债约</w:t>
      </w:r>
      <w:r>
        <w:rPr/>
        <w:t>7048</w:t>
      </w:r>
      <w:r>
        <w:rPr/>
        <w:t>万股若转股，再增加总股数约</w:t>
      </w:r>
      <w:r>
        <w:rPr/>
        <w:t>3.84%</w:t>
      </w:r>
      <w:r>
        <w:rPr/>
        <w:t>相对当前不含库存股。研究对每年全公司股数预测独立列示，不能用利润增速直接宣称每股或股价增速。</w:t>
      </w:r>
    </w:p>
    <w:p>
      <w:pPr>
        <w:pStyle w:val="Heading2"/>
        <w:rPr/>
      </w:pPr>
      <w:r>
        <w:rPr>
          <w:color w:val="000000"/>
        </w:rPr>
        <w:t>十三 调整后盈利与持续成本</w:t>
      </w:r>
    </w:p>
    <w:p>
      <w:pPr>
        <w:pStyle w:val="Normal"/>
        <w:rPr/>
      </w:pPr>
      <w:r>
        <w:rPr/>
        <w:t>半年归母</w:t>
      </w:r>
      <w:r>
        <w:rPr/>
        <w:t>7.50194</w:t>
      </w:r>
      <w:r>
        <w:rPr/>
        <w:t>亿元，加股份报酬</w:t>
      </w:r>
      <w:r>
        <w:rPr/>
        <w:t>0.37482</w:t>
      </w:r>
      <w:r>
        <w:rPr/>
        <w:t>亿元、外汇</w:t>
      </w:r>
      <w:r>
        <w:rPr/>
        <w:t>1.03574</w:t>
      </w:r>
      <w:r>
        <w:rPr/>
        <w:t>亿元、并购无形摊销</w:t>
      </w:r>
      <w:r>
        <w:rPr/>
        <w:t>0.14496</w:t>
      </w:r>
      <w:r>
        <w:rPr/>
        <w:t>亿元和重组</w:t>
      </w:r>
      <w:r>
        <w:rPr/>
        <w:t>0.34051</w:t>
      </w:r>
      <w:r>
        <w:rPr/>
        <w:t>亿元，减投资收益</w:t>
      </w:r>
      <w:r>
        <w:rPr/>
        <w:t>0.30784</w:t>
      </w:r>
      <w:r>
        <w:rPr/>
        <w:t>亿元，得到调整后归母</w:t>
      </w:r>
      <w:r>
        <w:rPr/>
        <w:t>9.09013</w:t>
      </w:r>
      <w:r>
        <w:rPr/>
        <w:t>亿元。金额归属要清楚：股份报酬总集团</w:t>
      </w:r>
      <w:r>
        <w:rPr/>
        <w:t>0.43067</w:t>
      </w:r>
      <w:r>
        <w:rPr/>
        <w:t>亿元与该桥归母</w:t>
      </w:r>
      <w:r>
        <w:rPr/>
        <w:t>0.37482</w:t>
      </w:r>
      <w:r>
        <w:rPr/>
        <w:t>亿元不同。将归母调整与集团费用混合，会使盈利与现金桥失真。</w:t>
      </w:r>
    </w:p>
    <w:p>
      <w:pPr>
        <w:pStyle w:val="Normal"/>
        <w:rPr/>
      </w:pPr>
      <w:r>
        <w:rPr/>
        <w:t>汇率虽然波动，并不是经济上可以永久忽略的成本；股份报酬是人才成本，即便当期少用现金也导致权益转移。并购摊销不是当期新支付现金，原收购却花钱；长期完全不计并购资本回报容易夸大平台价值。重组也可能是真一次费用，若年年发生则更接近正常组织成本。本章通过分部毛利和正常费用重新估算，保留股份酬金在成本中，不直接将调整后净利全额年化。</w:t>
      </w:r>
    </w:p>
    <w:p>
      <w:pPr>
        <w:pStyle w:val="Normal"/>
        <w:rPr/>
      </w:pPr>
      <w:r>
        <w:rPr/>
        <w:t>其他收入包含银行利息、政府补贴、投资公允值、生物资产估值和终止租赁等。研究正常利润不加这些不确定或非核心收益，也不把股权投资账面值再贴到</w:t>
      </w:r>
      <w:r>
        <w:rPr/>
        <w:t>PE</w:t>
      </w:r>
      <w:r>
        <w:rPr/>
        <w:t>目标。关联投资能够带来技术或客户关系，利润可能波动。未来实际现金退出可以改变融资桥，但投资估值上升不是经营服务现金，不能替代订单回款。</w:t>
      </w:r>
    </w:p>
    <w:p>
      <w:pPr>
        <w:pStyle w:val="Normal"/>
        <w:rPr/>
      </w:pPr>
      <w:r>
        <w:rPr/>
        <w:t>估值对不同盈利口径很敏感。用当前全公司不含法定库存股分母、</w:t>
      </w:r>
      <w:r>
        <w:rPr/>
        <w:t>1.10</w:t>
      </w:r>
      <w:r>
        <w:rPr/>
        <w:t>换算，</w:t>
      </w:r>
      <w:r>
        <w:rPr/>
        <w:t>2025</w:t>
      </w:r>
      <w:r>
        <w:rPr/>
        <w:t>法定约</w:t>
      </w:r>
      <w:r>
        <w:rPr/>
        <w:t>30.69</w:t>
      </w:r>
      <w:r>
        <w:rPr/>
        <w:t>倍</w:t>
      </w:r>
      <w:r>
        <w:rPr/>
        <w:t>PE</w:t>
      </w:r>
      <w:r>
        <w:rPr/>
        <w:t>、调整约</w:t>
      </w:r>
      <w:r>
        <w:rPr/>
        <w:t>28.11</w:t>
      </w:r>
      <w:r>
        <w:rPr/>
        <w:t>倍；半年简单翻倍法定约</w:t>
      </w:r>
      <w:r>
        <w:rPr/>
        <w:t>34.03</w:t>
      </w:r>
      <w:r>
        <w:rPr/>
        <w:t>、调整约</w:t>
      </w:r>
      <w:r>
        <w:rPr/>
        <w:t>28.08</w:t>
      </w:r>
      <w:r>
        <w:rPr/>
        <w:t>倍。它们是可比较的筛查示例，不是准确预测全年盈利或历史估值分位。第三方行情</w:t>
      </w:r>
      <w:r>
        <w:rPr/>
        <w:t>PE30.49</w:t>
      </w:r>
      <w:r>
        <w:rPr/>
        <w:t>和</w:t>
      </w:r>
      <w:r>
        <w:rPr/>
        <w:t>PB7.68</w:t>
      </w:r>
      <w:r>
        <w:rPr/>
        <w:t>的口径未核验，不能直接作为本章估值依据。</w:t>
      </w:r>
    </w:p>
    <w:p>
      <w:pPr>
        <w:pStyle w:val="Heading2"/>
        <w:rPr/>
      </w:pPr>
      <w:r>
        <w:rPr>
          <w:color w:val="000000"/>
        </w:rPr>
        <w:t>十四 经营现金 合同成本与回款</w:t>
      </w:r>
    </w:p>
    <w:p>
      <w:pPr>
        <w:pStyle w:val="Normal"/>
        <w:rPr/>
      </w:pPr>
      <w:r>
        <w:rPr/>
        <w:t>上半年报告经营现金</w:t>
      </w:r>
      <w:r>
        <w:rPr/>
        <w:t>10.84645</w:t>
      </w:r>
      <w:r>
        <w:rPr/>
        <w:t>亿元，购建</w:t>
      </w:r>
      <w:r>
        <w:rPr/>
        <w:t>PPE13.34692</w:t>
      </w:r>
      <w:r>
        <w:rPr/>
        <w:t>亿元、无形资产</w:t>
      </w:r>
      <w:r>
        <w:rPr/>
        <w:t>0.33632</w:t>
      </w:r>
      <w:r>
        <w:rPr/>
        <w:t>亿元，简单相减为负</w:t>
      </w:r>
      <w:r>
        <w:rPr/>
        <w:t>2.83679</w:t>
      </w:r>
      <w:r>
        <w:rPr/>
        <w:t>亿元。香港报表将银行利息</w:t>
      </w:r>
      <w:r>
        <w:rPr/>
        <w:t>1.02838</w:t>
      </w:r>
      <w:r>
        <w:rPr/>
        <w:t>亿元和租赁支付</w:t>
      </w:r>
      <w:r>
        <w:rPr/>
        <w:t>0.93343</w:t>
      </w:r>
      <w:r>
        <w:rPr/>
        <w:t>亿元置融资现金，若再扣这些普通付款，相关现金余额消耗约</w:t>
      </w:r>
      <w:r>
        <w:rPr/>
        <w:t>4.7986</w:t>
      </w:r>
      <w:r>
        <w:rPr/>
        <w:t>亿元。此处是明确口径的计算，不与管理层其他自由现金定义混用，也不能据一次半年负值断言公司失去持续经营能力。</w:t>
      </w:r>
    </w:p>
    <w:p>
      <w:pPr>
        <w:pStyle w:val="Normal"/>
        <w:rPr/>
      </w:pPr>
      <w:r>
        <w:rPr/>
        <w:t>现金流调整前经营现金约</w:t>
      </w:r>
      <w:r>
        <w:rPr/>
        <w:t>18.308</w:t>
      </w:r>
      <w:r>
        <w:rPr/>
        <w:t>亿元，库存增</w:t>
      </w:r>
      <w:r>
        <w:rPr/>
        <w:t>1.69776</w:t>
      </w:r>
      <w:r>
        <w:rPr/>
        <w:t>、合同成本增</w:t>
      </w:r>
      <w:r>
        <w:rPr/>
        <w:t>2.91453</w:t>
      </w:r>
      <w:r>
        <w:rPr/>
        <w:t>、应收票据与账款增</w:t>
      </w:r>
      <w:r>
        <w:rPr/>
        <w:t>2.27954</w:t>
      </w:r>
      <w:r>
        <w:rPr/>
        <w:t>、预付款等增</w:t>
      </w:r>
      <w:r>
        <w:rPr/>
        <w:t>2.63606</w:t>
      </w:r>
      <w:r>
        <w:rPr/>
        <w:t>、合同资产增</w:t>
      </w:r>
      <w:r>
        <w:rPr/>
        <w:t>0.64158</w:t>
      </w:r>
      <w:r>
        <w:rPr/>
        <w:t>亿元等消耗资金；预收、应付等增加抵消部分。增长与批量交付可能使材料、在制和工程垫款上升，也可能体现执行效率或回款问题。应追踪下一期转化，不能把所有占用都认作增长健康或全部认作坏账。</w:t>
      </w:r>
    </w:p>
    <w:p>
      <w:pPr>
        <w:pStyle w:val="Normal"/>
        <w:rPr/>
      </w:pPr>
      <w:r>
        <w:rPr/>
        <w:t>资产负债表应收及票据</w:t>
      </w:r>
      <w:r>
        <w:rPr/>
        <w:t>28.649</w:t>
      </w:r>
      <w:r>
        <w:rPr/>
        <w:t>亿元、合同资产</w:t>
      </w:r>
      <w:r>
        <w:rPr/>
        <w:t>5.246</w:t>
      </w:r>
      <w:r>
        <w:rPr/>
        <w:t>亿元、合同成本</w:t>
      </w:r>
      <w:r>
        <w:rPr/>
        <w:t>7.133</w:t>
      </w:r>
      <w:r>
        <w:rPr/>
        <w:t>亿元、库存</w:t>
      </w:r>
      <w:r>
        <w:rPr/>
        <w:t>8.033</w:t>
      </w:r>
      <w:r>
        <w:rPr/>
        <w:t>亿元。不同项目对应已开票、未开票履约、未来结算成本和材料，不能全部按应收天数简单解释。收入约一半即点确认也使交付时间产生波动。估值预测以独立营运资本现金投入约束收入增长，未补造准确各项目周转天数。</w:t>
      </w:r>
    </w:p>
    <w:p>
      <w:pPr>
        <w:pStyle w:val="Normal"/>
        <w:rPr/>
      </w:pPr>
      <w:r>
        <w:rPr/>
        <w:t>金融及合同资产减值</w:t>
      </w:r>
      <w:r>
        <w:rPr/>
        <w:t>0.1697</w:t>
      </w:r>
      <w:r>
        <w:rPr/>
        <w:t>亿元较去年</w:t>
      </w:r>
      <w:r>
        <w:rPr/>
        <w:t>0.37143</w:t>
      </w:r>
      <w:r>
        <w:rPr/>
        <w:t>下降，对当期利润有利，却不表示信用风险归零。客户中有融资敏感的生物科技公司，临床失败后支付也可能受限。若收入增长而应收、合同成本增长更快、减值又需增加，应下调现金转化和毛利。订单与会计收入先改善而现金迟迟不改善，是推翻推荐的核心反证之一。</w:t>
      </w:r>
    </w:p>
    <w:p>
      <w:pPr>
        <w:pStyle w:val="Heading2"/>
        <w:rPr/>
      </w:pPr>
      <w:r>
        <w:rPr>
          <w:color w:val="000000"/>
        </w:rPr>
        <w:t>十五 流动性与资本结构</w:t>
      </w:r>
    </w:p>
    <w:p>
      <w:pPr>
        <w:pStyle w:val="Normal"/>
        <w:rPr/>
      </w:pPr>
      <w:r>
        <w:rPr/>
        <w:t>半年现金及等价物</w:t>
      </w:r>
      <w:r>
        <w:rPr/>
        <w:t>14.5757</w:t>
      </w:r>
      <w:r>
        <w:rPr/>
        <w:t>亿元，计入损益理财</w:t>
      </w:r>
      <w:r>
        <w:rPr/>
        <w:t>8.76199</w:t>
      </w:r>
      <w:r>
        <w:rPr/>
        <w:t>亿元、按摊销成本金融资产</w:t>
      </w:r>
      <w:r>
        <w:rPr/>
        <w:t>3.70127</w:t>
      </w:r>
      <w:r>
        <w:rPr/>
        <w:t>亿元，可形成</w:t>
      </w:r>
      <w:r>
        <w:rPr/>
        <w:t>27.03896</w:t>
      </w:r>
      <w:r>
        <w:rPr/>
        <w:t>亿元液态金融资产研究锚。并非每笔完全没有信用与期限风险，模型合计使用是回收假设；已抵押</w:t>
      </w:r>
      <w:r>
        <w:rPr/>
        <w:t>1.18555</w:t>
      </w:r>
      <w:r>
        <w:rPr/>
        <w:t>亿元不加。股权投资</w:t>
      </w:r>
      <w:r>
        <w:rPr/>
        <w:t>6.97466</w:t>
      </w:r>
      <w:r>
        <w:rPr/>
        <w:t>亿元、联营</w:t>
      </w:r>
      <w:r>
        <w:rPr/>
        <w:t>7.90785</w:t>
      </w:r>
      <w:r>
        <w:rPr/>
        <w:t>亿元不能当即期现金。中报现金流末行</w:t>
      </w:r>
      <w:r>
        <w:rPr/>
        <w:t>14.57336</w:t>
      </w:r>
      <w:r>
        <w:rPr/>
        <w:t>亿元与余额差</w:t>
      </w:r>
      <w:r>
        <w:rPr/>
        <w:t>0.00234</w:t>
      </w:r>
      <w:r>
        <w:rPr/>
        <w:t>亿元，原因未确认，保留差异而不擅称透支。</w:t>
      </w:r>
    </w:p>
    <w:p>
      <w:pPr>
        <w:pStyle w:val="Normal"/>
        <w:rPr/>
      </w:pPr>
      <w:r>
        <w:rPr/>
        <w:t>银行债</w:t>
      </w:r>
      <w:r>
        <w:rPr/>
        <w:t>64.74413</w:t>
      </w:r>
      <w:r>
        <w:rPr/>
        <w:t>亿元，其中</w:t>
      </w:r>
      <w:r>
        <w:rPr/>
        <w:t>45.53914</w:t>
      </w:r>
      <w:r>
        <w:rPr/>
        <w:t>亿元一年内到期、</w:t>
      </w:r>
      <w:r>
        <w:rPr/>
        <w:t>19.20499</w:t>
      </w:r>
      <w:r>
        <w:rPr/>
        <w:t>亿元更长。资产流动比率约</w:t>
      </w:r>
      <w:r>
        <w:rPr/>
        <w:t>1.02</w:t>
      </w:r>
      <w:r>
        <w:rPr/>
        <w:t>，但流动资产含应收、成本和库存，不能等同现金全覆盖短债。需要依靠回款、理财变现和银行续借。公司规模和业务现金提供融资基础，债务期限集中仍使进取型风险分仅约</w:t>
      </w:r>
      <w:r>
        <w:rPr/>
        <w:t>2.7</w:t>
      </w:r>
      <w:r>
        <w:rPr/>
        <w:t>，不因总资产大就认为短债没有风险。</w:t>
      </w:r>
    </w:p>
    <w:p>
      <w:pPr>
        <w:pStyle w:val="Normal"/>
        <w:rPr/>
      </w:pPr>
      <w:r>
        <w:rPr/>
        <w:t>PPE126.546</w:t>
      </w:r>
      <w:r>
        <w:rPr/>
        <w:t>亿元、商誉</w:t>
      </w:r>
      <w:r>
        <w:rPr/>
        <w:t>35.076</w:t>
      </w:r>
      <w:r>
        <w:rPr/>
        <w:t>亿元、归母权益</w:t>
      </w:r>
      <w:r>
        <w:rPr/>
        <w:t>163.488</w:t>
      </w:r>
      <w:r>
        <w:rPr/>
        <w:t>亿元。设施和并购代表长期投入，可以支持订单，也不能轻易变现用于到期偿债。商誉占归母权益相当比例，海外或收购业务低于预期可能减值。减值本身非新现金支出，却反映原投资未兑现，并可能影响融资条款与估值。</w:t>
      </w:r>
      <w:r>
        <w:rPr/>
        <w:t>PB</w:t>
      </w:r>
      <w:r>
        <w:rPr/>
        <w:t>约</w:t>
      </w:r>
      <w:r>
        <w:rPr/>
        <w:t>3.12</w:t>
      </w:r>
      <w:r>
        <w:rPr/>
        <w:t>按同币种归母权益计算，仅作交叉验证，不是资产清算保障。</w:t>
      </w:r>
    </w:p>
    <w:p>
      <w:pPr>
        <w:pStyle w:val="Normal"/>
        <w:rPr/>
      </w:pPr>
      <w:r>
        <w:rPr/>
        <w:t>杭州计划</w:t>
      </w:r>
      <w:r>
        <w:rPr/>
        <w:t>20</w:t>
      </w:r>
      <w:r>
        <w:rPr/>
        <w:t>亿元、绍兴第二园区</w:t>
      </w:r>
      <w:r>
        <w:rPr/>
        <w:t>30</w:t>
      </w:r>
      <w:r>
        <w:rPr/>
        <w:t>亿元、后者年产</w:t>
      </w:r>
      <w:r>
        <w:rPr/>
        <w:t>200</w:t>
      </w:r>
      <w:r>
        <w:rPr/>
        <w:t>吨中间体与</w:t>
      </w:r>
      <w:r>
        <w:rPr/>
        <w:t>API</w:t>
      </w:r>
      <w:r>
        <w:rPr/>
        <w:t>，是分期规划而非全当期合同承诺。中报</w:t>
      </w:r>
      <w:r>
        <w:rPr/>
        <w:t>PPE</w:t>
      </w:r>
      <w:r>
        <w:rPr/>
        <w:t>合同承诺</w:t>
      </w:r>
      <w:r>
        <w:rPr/>
        <w:t>9.352</w:t>
      </w:r>
      <w:r>
        <w:rPr/>
        <w:t>亿元、联营资本</w:t>
      </w:r>
      <w:r>
        <w:rPr/>
        <w:t>3.99388</w:t>
      </w:r>
      <w:r>
        <w:rPr/>
        <w:t>亿元，与上述总计划不能机械相加当明日全部应付款。资金模型预测</w:t>
      </w:r>
      <w:r>
        <w:rPr/>
        <w:t>2026</w:t>
      </w:r>
      <w:r>
        <w:rPr/>
        <w:t>至</w:t>
      </w:r>
      <w:r>
        <w:rPr/>
        <w:t>2031</w:t>
      </w:r>
      <w:r>
        <w:rPr/>
        <w:t>资本开支，明确其中假设。若扩产规模或付款时间超过模型，需重算现金和融资，而不能只提高产能收入。</w:t>
      </w:r>
    </w:p>
    <w:p>
      <w:pPr>
        <w:pStyle w:val="Heading2"/>
        <w:rPr/>
      </w:pPr>
      <w:r>
        <w:rPr>
          <w:color w:val="000000"/>
        </w:rPr>
        <w:t xml:space="preserve">十六 </w:t>
      </w:r>
      <w:r>
        <w:rPr>
          <w:color w:val="000000"/>
        </w:rPr>
        <w:t>2027</w:t>
      </w:r>
      <w:r>
        <w:rPr>
          <w:color w:val="000000"/>
        </w:rPr>
        <w:t>到期可转债与稀释</w:t>
      </w:r>
    </w:p>
    <w:p>
      <w:pPr>
        <w:pStyle w:val="Normal"/>
        <w:rPr/>
      </w:pPr>
      <w:r>
        <w:rPr/>
        <w:t>9</w:t>
      </w:r>
      <w:r>
        <w:rPr/>
        <w:t>月</w:t>
      </w:r>
      <w:r>
        <w:rPr/>
        <w:t>2</w:t>
      </w:r>
      <w:r>
        <w:rPr/>
        <w:t>日已完成发行人民币</w:t>
      </w:r>
      <w:r>
        <w:rPr/>
        <w:t>21.8</w:t>
      </w:r>
      <w:r>
        <w:rPr/>
        <w:t>亿元、美元结算零息可转债，发行价为本金</w:t>
      </w:r>
      <w:r>
        <w:rPr/>
        <w:t>102%</w:t>
      </w:r>
      <w:r>
        <w:rPr/>
        <w:t>，净所得约</w:t>
      </w:r>
      <w:r>
        <w:rPr/>
        <w:t>3.272</w:t>
      </w:r>
      <w:r>
        <w:rPr/>
        <w:t>亿美元，</w:t>
      </w:r>
      <w:r>
        <w:rPr/>
        <w:t>2027</w:t>
      </w:r>
      <w:r>
        <w:rPr/>
        <w:t>年</w:t>
      </w:r>
      <w:r>
        <w:rPr/>
        <w:t>8</w:t>
      </w:r>
      <w:r>
        <w:rPr/>
        <w:t>月</w:t>
      </w:r>
      <w:r>
        <w:rPr/>
        <w:t>31</w:t>
      </w:r>
      <w:r>
        <w:rPr/>
        <w:t>日前后到期。零票息表示不支付常规利息，不表示本金不用偿还或没有稀释。发行溢价与费用也不等同免费资金。初始转换价</w:t>
      </w:r>
      <w:r>
        <w:rPr/>
        <w:t>36.08</w:t>
      </w:r>
      <w:r>
        <w:rPr/>
        <w:t>港元、理论转换</w:t>
      </w:r>
      <w:r>
        <w:rPr/>
        <w:t>7047.8579</w:t>
      </w:r>
      <w:r>
        <w:rPr/>
        <w:t>万新</w:t>
      </w:r>
      <w:r>
        <w:rPr/>
        <w:t>H</w:t>
      </w:r>
      <w:r>
        <w:rPr/>
        <w:t>股，须按合同调整及汇率条件理解。</w:t>
      </w:r>
    </w:p>
    <w:p>
      <w:pPr>
        <w:pStyle w:val="Normal"/>
        <w:rPr/>
      </w:pPr>
      <w:r>
        <w:rPr/>
        <w:t>若没有提前转股、赎回或回购注销，需到期支付未偿本金美元等值。转换价</w:t>
      </w:r>
      <w:r>
        <w:rPr/>
        <w:t>36.08</w:t>
      </w:r>
      <w:r>
        <w:rPr/>
        <w:t>较基准</w:t>
      </w:r>
      <w:r>
        <w:rPr/>
        <w:t>30.60</w:t>
      </w:r>
      <w:r>
        <w:rPr/>
        <w:t>高</w:t>
      </w:r>
      <w:r>
        <w:rPr/>
        <w:t>17.91%</w:t>
      </w:r>
      <w:r>
        <w:rPr/>
        <w:t>，当前不能认定债主必然转股；即便股价到达该价，也涉及时间、汇率、持有人选择和条款。新债约七成支持实验室与</w:t>
      </w:r>
      <w:r>
        <w:rPr/>
        <w:t>CDMO</w:t>
      </w:r>
      <w:r>
        <w:rPr/>
        <w:t>扩张、两成旧债再融资、一成一般用途。这意味着资金可能用于长期设施，却在不到一年到期，融资安排必须跟踪。</w:t>
      </w:r>
    </w:p>
    <w:p>
      <w:pPr>
        <w:pStyle w:val="Normal"/>
        <w:rPr/>
      </w:pPr>
      <w:r>
        <w:rPr/>
        <w:t>本章悲观</w:t>
      </w:r>
      <w:r>
        <w:rPr/>
        <w:t>2027</w:t>
      </w:r>
      <w:r>
        <w:rPr/>
        <w:t>年现金偿还</w:t>
      </w:r>
      <w:r>
        <w:rPr/>
        <w:t>21.8</w:t>
      </w:r>
      <w:r>
        <w:rPr/>
        <w:t>亿元、不加转债股数；基准乐观全转股，增</w:t>
      </w:r>
      <w:r>
        <w:rPr/>
        <w:t>7047.8579</w:t>
      </w:r>
      <w:r>
        <w:rPr/>
        <w:t>万股、不再现金还同笔本金。普通银行借款利息仍从利润扣。此处是路径假设，不能同时全转股、全额还本金再扣同债，否则双算。年底与半年价格用</w:t>
      </w:r>
      <w:r>
        <w:rPr/>
        <w:t>2027</w:t>
      </w:r>
      <w:r>
        <w:rPr/>
        <w:t>全年盈利的预计转股分母，但实际截至该目标日债可能仍存在，不能把前瞻每股口径当已经去债事实。</w:t>
      </w:r>
    </w:p>
    <w:p>
      <w:pPr>
        <w:pStyle w:val="Normal"/>
        <w:rPr/>
      </w:pPr>
      <w:r>
        <w:rPr/>
        <w:t>合同还有连续交易日价格达到按汇率调整转换价</w:t>
      </w:r>
      <w:r>
        <w:rPr/>
        <w:t>120%</w:t>
      </w:r>
      <w:r>
        <w:rPr/>
        <w:t>的发行人早赎条件，控制权变化、长期停牌或退市等事件可以触发相关权利。不是股价一触</w:t>
      </w:r>
      <w:r>
        <w:rPr/>
        <w:t>36.08</w:t>
      </w:r>
      <w:r>
        <w:rPr/>
        <w:t>就强制转，也不是永久债务展期。研究未数值模拟所有固定和即期汇率、调价与早赎路径，明确保留法律缺口。若基准转股未实现，现金与利润受新融资成本影响，需要更新目标和分数。</w:t>
      </w:r>
    </w:p>
    <w:p>
      <w:pPr>
        <w:pStyle w:val="Heading2"/>
        <w:rPr/>
      </w:pPr>
      <w:r>
        <w:rPr>
          <w:color w:val="000000"/>
        </w:rPr>
        <w:t>十七 股权融资 奖励与治理</w:t>
      </w:r>
    </w:p>
    <w:p>
      <w:pPr>
        <w:pStyle w:val="Normal"/>
        <w:rPr/>
      </w:pPr>
      <w:r>
        <w:rPr/>
        <w:t>2026</w:t>
      </w:r>
      <w:r>
        <w:rPr/>
        <w:t>年</w:t>
      </w:r>
      <w:r>
        <w:rPr/>
        <w:t>1</w:t>
      </w:r>
      <w:r>
        <w:rPr/>
        <w:t>月</w:t>
      </w:r>
      <w:r>
        <w:rPr/>
        <w:t>22</w:t>
      </w:r>
      <w:r>
        <w:rPr/>
        <w:t>日完成</w:t>
      </w:r>
      <w:r>
        <w:rPr/>
        <w:t>5844.0762</w:t>
      </w:r>
      <w:r>
        <w:rPr/>
        <w:t>万新</w:t>
      </w:r>
      <w:r>
        <w:rPr/>
        <w:t>H</w:t>
      </w:r>
      <w:r>
        <w:rPr/>
        <w:t>股配售、每股</w:t>
      </w:r>
      <w:r>
        <w:rPr/>
        <w:t>22.82</w:t>
      </w:r>
      <w:r>
        <w:rPr/>
        <w:t>，净款约</w:t>
      </w:r>
      <w:r>
        <w:rPr/>
        <w:t>11.845</w:t>
      </w:r>
      <w:r>
        <w:rPr/>
        <w:t>亿元，七成建设、一成偿债、两成营运。它在中报现金与股数中已存在，不能在截止估值再加一次。配售改善融资能力同时稀释持股，后续项目需要证明每股资本回报。股价后来高于发行价，并不自行证明新资金所有投资都已成功。</w:t>
      </w:r>
    </w:p>
    <w:p>
      <w:pPr>
        <w:pStyle w:val="Normal"/>
        <w:rPr/>
      </w:pPr>
      <w:r>
        <w:rPr/>
        <w:t>九月月报法定总股</w:t>
      </w:r>
      <w:r>
        <w:rPr/>
        <w:t>18.37283628</w:t>
      </w:r>
      <w:r>
        <w:rPr/>
        <w:t>亿，</w:t>
      </w:r>
      <w:r>
        <w:rPr/>
        <w:t>H</w:t>
      </w:r>
      <w:r>
        <w:rPr/>
        <w:t>股含库存</w:t>
      </w:r>
      <w:r>
        <w:rPr/>
        <w:t>3.59977887</w:t>
      </w:r>
      <w:r>
        <w:rPr/>
        <w:t>亿，</w:t>
      </w:r>
      <w:r>
        <w:rPr/>
        <w:t>H</w:t>
      </w:r>
      <w:r>
        <w:rPr/>
        <w:t>法定库存</w:t>
      </w:r>
      <w:r>
        <w:rPr/>
        <w:t>186.683</w:t>
      </w:r>
      <w:r>
        <w:rPr/>
        <w:t>万，</w:t>
      </w:r>
      <w:r>
        <w:rPr/>
        <w:t>A</w:t>
      </w:r>
      <w:r>
        <w:rPr/>
        <w:t>股</w:t>
      </w:r>
      <w:r>
        <w:rPr/>
        <w:t>14.77305741</w:t>
      </w:r>
      <w:r>
        <w:rPr/>
        <w:t>亿；不含法定库存总股</w:t>
      </w:r>
      <w:r>
        <w:rPr/>
        <w:t>18.35416798</w:t>
      </w:r>
      <w:r>
        <w:rPr/>
        <w:t>亿。另有</w:t>
      </w:r>
      <w:r>
        <w:rPr/>
        <w:t>IFRS</w:t>
      </w:r>
      <w:r>
        <w:rPr/>
        <w:t>奖励信托股份与尚未归属激励，不与法律库存定义完全一致。模型正常分母</w:t>
      </w:r>
      <w:r>
        <w:rPr/>
        <w:t>2026</w:t>
      </w:r>
      <w:r>
        <w:rPr/>
        <w:t>约</w:t>
      </w:r>
      <w:r>
        <w:rPr/>
        <w:t>18.45</w:t>
      </w:r>
      <w:r>
        <w:rPr/>
        <w:t>亿，再逐步加未来奖励，转债股份另加。回购用于奖励可能重新归属，不当永久注销减少分母。</w:t>
      </w:r>
    </w:p>
    <w:p>
      <w:pPr>
        <w:pStyle w:val="Normal"/>
        <w:rPr/>
      </w:pPr>
      <w:r>
        <w:rPr/>
        <w:t>9</w:t>
      </w:r>
      <w:r>
        <w:rPr/>
        <w:t>月</w:t>
      </w:r>
      <w:r>
        <w:rPr/>
        <w:t>18</w:t>
      </w:r>
      <w:r>
        <w:rPr/>
        <w:t>日根据</w:t>
      </w:r>
      <w:r>
        <w:rPr/>
        <w:t>2026H</w:t>
      </w:r>
      <w:r>
        <w:rPr/>
        <w:t>计划授</w:t>
      </w:r>
      <w:r>
        <w:rPr/>
        <w:t>149.1475</w:t>
      </w:r>
      <w:r>
        <w:rPr/>
        <w:t>万股，并有</w:t>
      </w:r>
      <w:r>
        <w:rPr/>
        <w:t>2025</w:t>
      </w:r>
      <w:r>
        <w:rPr/>
        <w:t>计划及</w:t>
      </w:r>
      <w:r>
        <w:rPr/>
        <w:t>A</w:t>
      </w:r>
      <w:r>
        <w:rPr/>
        <w:t>股奖励。人才资本是研发服务核心，激励可稳定团队，也会转移部分价值。应关注业绩条件、离职取消、归属与真正新增股份，不能只看计划最高额度就全当立刻增发，也不能因为库存转让就称没有股东成本。利润模型留正常报酬费用，现金桥加回非现金部分但股数保留。</w:t>
      </w:r>
    </w:p>
    <w:p>
      <w:pPr>
        <w:pStyle w:val="Normal"/>
        <w:rPr/>
      </w:pPr>
      <w:r>
        <w:rPr/>
        <w:t>10</w:t>
      </w:r>
      <w:r>
        <w:rPr/>
        <w:t>月</w:t>
      </w:r>
      <w:r>
        <w:rPr/>
        <w:t>9</w:t>
      </w:r>
      <w:r>
        <w:rPr/>
        <w:t>日</w:t>
      </w:r>
      <w:r>
        <w:rPr/>
        <w:t>21</w:t>
      </w:r>
      <w:r>
        <w:rPr/>
        <w:t>时</w:t>
      </w:r>
      <w:r>
        <w:rPr/>
        <w:t>24</w:t>
      </w:r>
      <w:r>
        <w:rPr/>
        <w:t>分公布员工平台</w:t>
      </w:r>
      <w:r>
        <w:rPr/>
        <w:t>Pharmaron Holdings</w:t>
      </w:r>
      <w:r>
        <w:rPr/>
        <w:t>拟</w:t>
      </w:r>
      <w:r>
        <w:rPr/>
        <w:t>A</w:t>
      </w:r>
      <w:r>
        <w:rPr/>
        <w:t>股询价转让</w:t>
      </w:r>
      <w:r>
        <w:rPr/>
        <w:t>1837.3</w:t>
      </w:r>
      <w:r>
        <w:rPr/>
        <w:t>万股、</w:t>
      </w:r>
      <w:r>
        <w:rPr/>
        <w:t>1%</w:t>
      </w:r>
      <w:r>
        <w:rPr/>
        <w:t>总股、自身资金需求；受让机构六个月不得转让，方式不属于集中竞价或大宗市场减持。它是旧股交易，公司没有新发行收款或当期稀释。与实际控制人的一致行动关系值得跟踪，但收盘后公告不能用来解释当天已经发生的跌幅，也不能据减持直接断言经营恶化。</w:t>
      </w:r>
    </w:p>
    <w:p>
      <w:pPr>
        <w:pStyle w:val="Heading2"/>
        <w:rPr/>
      </w:pPr>
      <w:r>
        <w:rPr>
          <w:color w:val="000000"/>
        </w:rPr>
        <w:t>十八 正常盈利模型与基准假设</w:t>
      </w:r>
    </w:p>
    <w:p>
      <w:pPr>
        <w:pStyle w:val="Normal"/>
        <w:rPr/>
      </w:pPr>
      <w:r>
        <w:rPr/>
        <w:t>本章采用实验室、</w:t>
      </w:r>
      <w:r>
        <w:rPr/>
        <w:t>CDMO</w:t>
      </w:r>
      <w:r>
        <w:rPr/>
        <w:t>、临床收入乘各自毛利，扣销售、行政、研发、减值、正常汇率损失和普通银行利息，按税率得集团正常净利，再加少数亏损归属形成母净利。股份酬金与设施折旧留在分部成本和正常费用，不再另加非经常投资或政府收益。这个桥可由每项输入复算，独立于发行人调整后盈利定义，不能称机构一致预期。</w:t>
      </w:r>
    </w:p>
    <w:p>
      <w:pPr>
        <w:pStyle w:val="Normal"/>
        <w:rPr/>
      </w:pPr>
      <w:r>
        <w:rPr/>
        <w:t>2026</w:t>
      </w:r>
      <w:r>
        <w:rPr/>
        <w:t>基准实验室</w:t>
      </w:r>
      <w:r>
        <w:rPr/>
        <w:t>100</w:t>
      </w:r>
      <w:r>
        <w:rPr/>
        <w:t>亿元、</w:t>
      </w:r>
      <w:r>
        <w:rPr/>
        <w:t>CDMO43</w:t>
      </w:r>
      <w:r>
        <w:rPr/>
        <w:t>亿元、临床</w:t>
      </w:r>
      <w:r>
        <w:rPr/>
        <w:t>23.8</w:t>
      </w:r>
      <w:r>
        <w:rPr/>
        <w:t>亿元、其他</w:t>
      </w:r>
      <w:r>
        <w:rPr/>
        <w:t>0.2</w:t>
      </w:r>
      <w:r>
        <w:rPr/>
        <w:t>亿元，合计</w:t>
      </w:r>
      <w:r>
        <w:rPr/>
        <w:t>167</w:t>
      </w:r>
      <w:r>
        <w:rPr/>
        <w:t>亿元、相对</w:t>
      </w:r>
      <w:r>
        <w:rPr/>
        <w:t>2025</w:t>
      </w:r>
      <w:r>
        <w:rPr/>
        <w:t>约</w:t>
      </w:r>
      <w:r>
        <w:rPr/>
        <w:t>18.5%</w:t>
      </w:r>
      <w:r>
        <w:rPr/>
        <w:t>增长，位于管理层</w:t>
      </w:r>
      <w:r>
        <w:rPr/>
        <w:t>15%</w:t>
      </w:r>
      <w:r>
        <w:rPr/>
        <w:t>至</w:t>
      </w:r>
      <w:r>
        <w:rPr/>
        <w:t>20%</w:t>
      </w:r>
      <w:r>
        <w:rPr/>
        <w:t>指引内。毛利率</w:t>
      </w:r>
      <w:r>
        <w:rPr/>
        <w:t>41.8%</w:t>
      </w:r>
      <w:r>
        <w:rPr/>
        <w:t>、</w:t>
      </w:r>
      <w:r>
        <w:rPr/>
        <w:t>28.8%</w:t>
      </w:r>
      <w:r>
        <w:rPr/>
        <w:t>、</w:t>
      </w:r>
      <w:r>
        <w:rPr/>
        <w:t>10.8%</w:t>
      </w:r>
      <w:r>
        <w:rPr/>
        <w:t>，毛利</w:t>
      </w:r>
      <w:r>
        <w:rPr/>
        <w:t>56.7744</w:t>
      </w:r>
      <w:r>
        <w:rPr/>
        <w:t>亿元，正常母净</w:t>
      </w:r>
      <w:r>
        <w:rPr/>
        <w:t>17.718</w:t>
      </w:r>
      <w:r>
        <w:rPr/>
        <w:t>亿元。后半收入和毛利需要改善才能达成，不能把它当已披露全年。悲观</w:t>
      </w:r>
      <w:r>
        <w:rPr/>
        <w:t>159.7</w:t>
      </w:r>
      <w:r>
        <w:rPr/>
        <w:t>亿元、乐观</w:t>
      </w:r>
      <w:r>
        <w:rPr/>
        <w:t>173.2</w:t>
      </w:r>
      <w:r>
        <w:rPr/>
        <w:t>亿元说明偏離指引的边界。</w:t>
      </w:r>
    </w:p>
    <w:p>
      <w:pPr>
        <w:pStyle w:val="Normal"/>
        <w:rPr/>
      </w:pPr>
      <w:r>
        <w:rPr/>
        <w:t>2027</w:t>
      </w:r>
      <w:r>
        <w:rPr/>
        <w:t>基准收入</w:t>
      </w:r>
      <w:r>
        <w:rPr/>
        <w:t>200.5</w:t>
      </w:r>
      <w:r>
        <w:rPr/>
        <w:t>亿元，实验室</w:t>
      </w:r>
      <w:r>
        <w:rPr/>
        <w:t>116.5</w:t>
      </w:r>
      <w:r>
        <w:rPr/>
        <w:t>、</w:t>
      </w:r>
      <w:r>
        <w:rPr/>
        <w:t>CDMO56.5</w:t>
      </w:r>
      <w:r>
        <w:rPr/>
        <w:t>、临床</w:t>
      </w:r>
      <w:r>
        <w:rPr/>
        <w:t>27.3</w:t>
      </w:r>
      <w:r>
        <w:rPr/>
        <w:t>亿元；相应毛利</w:t>
      </w:r>
      <w:r>
        <w:rPr/>
        <w:t>42%</w:t>
      </w:r>
      <w:r>
        <w:rPr/>
        <w:t>、</w:t>
      </w:r>
      <w:r>
        <w:rPr/>
        <w:t>31%</w:t>
      </w:r>
      <w:r>
        <w:rPr/>
        <w:t>、</w:t>
      </w:r>
      <w:r>
        <w:rPr/>
        <w:t>11.5%</w:t>
      </w:r>
      <w:r>
        <w:rPr/>
        <w:t>，集团毛利</w:t>
      </w:r>
      <w:r>
        <w:rPr/>
        <w:t>69.6045</w:t>
      </w:r>
      <w:r>
        <w:rPr/>
        <w:t>亿元。扣销售</w:t>
      </w:r>
      <w:r>
        <w:rPr/>
        <w:t>4.3</w:t>
      </w:r>
      <w:r>
        <w:rPr/>
        <w:t>、行政</w:t>
      </w:r>
      <w:r>
        <w:rPr/>
        <w:t>24</w:t>
      </w:r>
      <w:r>
        <w:rPr/>
        <w:t>、研发</w:t>
      </w:r>
      <w:r>
        <w:rPr/>
        <w:t>7.5</w:t>
      </w:r>
      <w:r>
        <w:rPr/>
        <w:t>、减值</w:t>
      </w:r>
      <w:r>
        <w:rPr/>
        <w:t>0.6</w:t>
      </w:r>
      <w:r>
        <w:rPr/>
        <w:t>、汇率</w:t>
      </w:r>
      <w:r>
        <w:rPr/>
        <w:t>0.5</w:t>
      </w:r>
      <w:r>
        <w:rPr/>
        <w:t>、利息</w:t>
      </w:r>
      <w:r>
        <w:rPr/>
        <w:t>2.3</w:t>
      </w:r>
      <w:r>
        <w:rPr/>
        <w:t>亿元，税前</w:t>
      </w:r>
      <w:r>
        <w:rPr/>
        <w:t>30.4045</w:t>
      </w:r>
      <w:r>
        <w:rPr/>
        <w:t>亿元、税</w:t>
      </w:r>
      <w:r>
        <w:rPr/>
        <w:t>22%</w:t>
      </w:r>
      <w:r>
        <w:rPr/>
        <w:t>，加少数归属</w:t>
      </w:r>
      <w:r>
        <w:rPr/>
        <w:t>0.4</w:t>
      </w:r>
      <w:r>
        <w:rPr/>
        <w:t>亿元得母净</w:t>
      </w:r>
      <w:r>
        <w:rPr/>
        <w:t>24.11551</w:t>
      </w:r>
      <w:r>
        <w:rPr/>
        <w:t>亿元。分母</w:t>
      </w:r>
      <w:r>
        <w:rPr/>
        <w:t>19.20478579</w:t>
      </w:r>
      <w:r>
        <w:rPr/>
        <w:t>亿，</w:t>
      </w:r>
      <w:r>
        <w:rPr/>
        <w:t>EPS1.255703</w:t>
      </w:r>
      <w:r>
        <w:rPr/>
        <w:t>元；半年三十倍及</w:t>
      </w:r>
      <w:r>
        <w:rPr/>
        <w:t>1.10</w:t>
      </w:r>
      <w:r>
        <w:rPr/>
        <w:t>换算得到</w:t>
      </w:r>
      <w:r>
        <w:rPr/>
        <w:t>41.438204</w:t>
      </w:r>
      <w:r>
        <w:rPr/>
        <w:t>港元。</w:t>
      </w:r>
    </w:p>
    <w:p>
      <w:pPr>
        <w:pStyle w:val="Normal"/>
        <w:rPr/>
      </w:pPr>
      <w:r>
        <w:rPr/>
        <w:t>2028</w:t>
      </w:r>
      <w:r>
        <w:rPr/>
        <w:t>基准</w:t>
      </w:r>
      <w:r>
        <w:rPr/>
        <w:t>234.7</w:t>
      </w:r>
      <w:r>
        <w:rPr/>
        <w:t>亿元收入、母净</w:t>
      </w:r>
      <w:r>
        <w:rPr/>
        <w:t>31.01718</w:t>
      </w:r>
      <w:r>
        <w:rPr/>
        <w:t>亿元、</w:t>
      </w:r>
      <w:r>
        <w:rPr/>
        <w:t>EPS1.602559</w:t>
      </w:r>
      <w:r>
        <w:rPr/>
        <w:t>元；</w:t>
      </w:r>
      <w:r>
        <w:rPr/>
        <w:t>2029</w:t>
      </w:r>
      <w:r>
        <w:rPr/>
        <w:t>收入</w:t>
      </w:r>
      <w:r>
        <w:rPr/>
        <w:t>271.6</w:t>
      </w:r>
      <w:r>
        <w:rPr/>
        <w:t>亿元、母净</w:t>
      </w:r>
      <w:r>
        <w:rPr/>
        <w:t>38.56742</w:t>
      </w:r>
      <w:r>
        <w:rPr/>
        <w:t>亿元、</w:t>
      </w:r>
      <w:r>
        <w:rPr/>
        <w:t>EPS1.977331</w:t>
      </w:r>
      <w:r>
        <w:rPr/>
        <w:t>元；</w:t>
      </w:r>
      <w:r>
        <w:rPr/>
        <w:t>2031</w:t>
      </w:r>
      <w:r>
        <w:rPr/>
        <w:t>收入</w:t>
      </w:r>
      <w:r>
        <w:rPr/>
        <w:t>348.1</w:t>
      </w:r>
      <w:r>
        <w:rPr/>
        <w:t>亿元、母净</w:t>
      </w:r>
      <w:r>
        <w:rPr/>
        <w:t>53.05872</w:t>
      </w:r>
      <w:r>
        <w:rPr/>
        <w:t>亿元、</w:t>
      </w:r>
      <w:r>
        <w:rPr/>
        <w:t>EPS2.679086</w:t>
      </w:r>
      <w:r>
        <w:rPr/>
        <w:t>元。增长需要</w:t>
      </w:r>
      <w:r>
        <w:rPr/>
        <w:t>CDMO</w:t>
      </w:r>
      <w:r>
        <w:rPr/>
        <w:t>规模、实验室现金基础和临床效率改善共同成立。模型远期没有让税率无限下降或管理费用固定不增长，分母也逐步增加，限制每股回报。</w:t>
      </w:r>
    </w:p>
    <w:p>
      <w:pPr>
        <w:pStyle w:val="Heading2"/>
        <w:rPr/>
      </w:pPr>
      <w:r>
        <w:rPr>
          <w:color w:val="000000"/>
        </w:rPr>
        <w:t>十九 悲观乐观与估值敏感性</w:t>
      </w:r>
    </w:p>
    <w:p>
      <w:pPr>
        <w:pStyle w:val="Normal"/>
        <w:rPr/>
      </w:pPr>
      <w:r>
        <w:rPr/>
        <w:t>悲观</w:t>
      </w:r>
      <w:r>
        <w:rPr/>
        <w:t>2027</w:t>
      </w:r>
      <w:r>
        <w:rPr/>
        <w:t>收入</w:t>
      </w:r>
      <w:r>
        <w:rPr/>
        <w:t>170</w:t>
      </w:r>
      <w:r>
        <w:rPr/>
        <w:t>亿元，综合毛利约</w:t>
      </w:r>
      <w:r>
        <w:rPr/>
        <w:t>31.92%</w:t>
      </w:r>
      <w:r>
        <w:rPr/>
        <w:t>，正常母净</w:t>
      </w:r>
      <w:r>
        <w:rPr/>
        <w:t>12.054</w:t>
      </w:r>
      <w:r>
        <w:rPr/>
        <w:t>亿元、</w:t>
      </w:r>
      <w:r>
        <w:rPr/>
        <w:t>EPS0.648065</w:t>
      </w:r>
      <w:r>
        <w:rPr/>
        <w:t>元；债现金偿还且再融资、正常汇兑及利息较高，二十倍半年价</w:t>
      </w:r>
      <w:r>
        <w:rPr/>
        <w:t>14.257</w:t>
      </w:r>
      <w:r>
        <w:rPr/>
        <w:t>港元。到</w:t>
      </w:r>
      <w:r>
        <w:rPr/>
        <w:t>2031</w:t>
      </w:r>
      <w:r>
        <w:rPr/>
        <w:t>收入</w:t>
      </w:r>
      <w:r>
        <w:rPr/>
        <w:t>219.2</w:t>
      </w:r>
      <w:r>
        <w:rPr/>
        <w:t>亿元、</w:t>
      </w:r>
      <w:r>
        <w:rPr/>
        <w:t>EPS0.889756</w:t>
      </w:r>
      <w:r>
        <w:rPr/>
        <w:t>、十五倍价</w:t>
      </w:r>
      <w:r>
        <w:rPr/>
        <w:t>14.681</w:t>
      </w:r>
      <w:r>
        <w:rPr/>
        <w:t>港元。仍有收入增长却每股回报弱，说明平台规模不自动等于高股东回报，毛利与资本成本才是决定变量。</w:t>
      </w:r>
    </w:p>
    <w:p>
      <w:pPr>
        <w:pStyle w:val="Normal"/>
        <w:rPr/>
      </w:pPr>
      <w:r>
        <w:rPr/>
        <w:t>乐观</w:t>
      </w:r>
      <w:r>
        <w:rPr/>
        <w:t>2027</w:t>
      </w:r>
      <w:r>
        <w:rPr/>
        <w:t>收入</w:t>
      </w:r>
      <w:r>
        <w:rPr/>
        <w:t>215.4</w:t>
      </w:r>
      <w:r>
        <w:rPr/>
        <w:t>亿元、母净</w:t>
      </w:r>
      <w:r>
        <w:rPr/>
        <w:t>34.10</w:t>
      </w:r>
      <w:r>
        <w:rPr/>
        <w:t>亿元、</w:t>
      </w:r>
      <w:r>
        <w:rPr/>
        <w:t>EPS1.775599</w:t>
      </w:r>
      <w:r>
        <w:rPr/>
        <w:t>元，毛利提升和费用效率更强，三十六倍半年</w:t>
      </w:r>
      <w:r>
        <w:rPr/>
        <w:t>70.314</w:t>
      </w:r>
      <w:r>
        <w:rPr/>
        <w:t>港元。</w:t>
      </w:r>
      <w:r>
        <w:rPr/>
        <w:t>2031</w:t>
      </w:r>
      <w:r>
        <w:rPr/>
        <w:t>收入</w:t>
      </w:r>
      <w:r>
        <w:rPr/>
        <w:t>473</w:t>
      </w:r>
      <w:r>
        <w:rPr/>
        <w:t>亿元、</w:t>
      </w:r>
      <w:r>
        <w:rPr/>
        <w:t>EPS4.994268</w:t>
      </w:r>
      <w:r>
        <w:rPr/>
        <w:t>、三十倍</w:t>
      </w:r>
      <w:r>
        <w:rPr/>
        <w:t>164.811</w:t>
      </w:r>
      <w:r>
        <w:rPr/>
        <w:t>港元。它要求多个服务业务长期增长、</w:t>
      </w:r>
      <w:r>
        <w:rPr/>
        <w:t>CDMO</w:t>
      </w:r>
      <w:r>
        <w:rPr/>
        <w:t>商业量显著兑现、临床利润提升与有限融资，不能把最高价当单一合作事件便可达到。高收入、高利润和高倍数联合使尾部很宽。</w:t>
      </w:r>
    </w:p>
    <w:p>
      <w:pPr>
        <w:pStyle w:val="Normal"/>
        <w:rPr/>
      </w:pPr>
      <w:r>
        <w:rPr/>
        <w:t>2027</w:t>
      </w:r>
      <w:r>
        <w:rPr/>
        <w:t>基准每提高一倍</w:t>
      </w:r>
      <w:r>
        <w:rPr/>
        <w:t>PE</w:t>
      </w:r>
      <w:r>
        <w:rPr/>
        <w:t>约增加</w:t>
      </w:r>
      <w:r>
        <w:rPr/>
        <w:t>1.3813</w:t>
      </w:r>
      <w:r>
        <w:rPr/>
        <w:t>港元；集团毛利率提高一个百分点、其他不变，按税</w:t>
      </w:r>
      <w:r>
        <w:rPr/>
        <w:t>22%</w:t>
      </w:r>
      <w:r>
        <w:rPr/>
        <w:t>、分母和三十倍，目标约增</w:t>
      </w:r>
      <w:r>
        <w:rPr/>
        <w:t>2.6873</w:t>
      </w:r>
      <w:r>
        <w:rPr/>
        <w:t>港元。多维同时变化会更大。实验室毛利、</w:t>
      </w:r>
      <w:r>
        <w:rPr/>
        <w:t>CDMO</w:t>
      </w:r>
      <w:r>
        <w:rPr/>
        <w:t>利用率、人民币成本和管理费用都影响这个桥。敏感性是固定其他变量的数学检验，实际收入和费用相关，不能将多个独立加值无条件累积。</w:t>
      </w:r>
    </w:p>
    <w:p>
      <w:pPr>
        <w:pStyle w:val="Normal"/>
        <w:rPr/>
      </w:pPr>
      <w:r>
        <w:rPr/>
        <w:t>现价对</w:t>
      </w:r>
      <w:r>
        <w:rPr/>
        <w:t>2026</w:t>
      </w:r>
      <w:r>
        <w:rPr/>
        <w:t>基准正常</w:t>
      </w:r>
      <w:r>
        <w:rPr/>
        <w:t>EPS</w:t>
      </w:r>
      <w:r>
        <w:rPr/>
        <w:t>约</w:t>
      </w:r>
      <w:r>
        <w:rPr/>
        <w:t>28.97</w:t>
      </w:r>
      <w:r>
        <w:rPr/>
        <w:t>倍，对</w:t>
      </w:r>
      <w:r>
        <w:rPr/>
        <w:t>2027</w:t>
      </w:r>
      <w:r>
        <w:rPr/>
        <w:t>基准约</w:t>
      </w:r>
      <w:r>
        <w:rPr/>
        <w:t>22.15</w:t>
      </w:r>
      <w:r>
        <w:rPr/>
        <w:t>倍；半年目标三十倍、一年</w:t>
      </w:r>
      <w:r>
        <w:rPr/>
        <w:t>2028</w:t>
      </w:r>
      <w:r>
        <w:rPr/>
        <w:t>二十九倍、三年二十七倍、五年二十四倍。较远倍数收敛反映公司成熟与资本密集，不给无限平台溢价。最近公开外资一年参照</w:t>
      </w:r>
      <w:r>
        <w:rPr/>
        <w:t>30.8</w:t>
      </w:r>
      <w:r>
        <w:rPr/>
        <w:t>至</w:t>
      </w:r>
      <w:r>
        <w:rPr/>
        <w:t>38.5</w:t>
      </w:r>
      <w:r>
        <w:rPr/>
        <w:t>港元提供估值交叉，本章一年</w:t>
      </w:r>
      <w:r>
        <w:rPr/>
        <w:t>51.12</w:t>
      </w:r>
      <w:r>
        <w:rPr/>
        <w:t>更高，应由</w:t>
      </w:r>
      <w:r>
        <w:rPr/>
        <w:t>2028</w:t>
      </w:r>
      <w:r>
        <w:rPr/>
        <w:t>盈利增长依据承担责任，不能以机构意见替自身模型背书。</w:t>
      </w:r>
    </w:p>
    <w:p>
      <w:pPr>
        <w:pStyle w:val="Heading2"/>
        <w:rPr/>
      </w:pPr>
      <w:r>
        <w:rPr>
          <w:color w:val="000000"/>
        </w:rPr>
        <w:t>二十 现金预测与模型有效范围</w:t>
      </w:r>
    </w:p>
    <w:p>
      <w:pPr>
        <w:pStyle w:val="Normal"/>
        <w:rPr/>
      </w:pPr>
      <w:r>
        <w:rPr/>
        <w:t>年度现金桥从</w:t>
      </w:r>
      <w:r>
        <w:rPr/>
        <w:t>2026</w:t>
      </w:r>
      <w:r>
        <w:rPr/>
        <w:t>六月液态金融资产</w:t>
      </w:r>
      <w:r>
        <w:rPr/>
        <w:t>27.03896</w:t>
      </w:r>
      <w:r>
        <w:rPr/>
        <w:t>亿元和银行债</w:t>
      </w:r>
      <w:r>
        <w:rPr/>
        <w:t>64.74413</w:t>
      </w:r>
      <w:r>
        <w:rPr/>
        <w:t>亿元开始，增加下半年扣普通融资成本后的经营现金，减剩余资本支出、租赁本金、投资和实际已宣派股息，再加</w:t>
      </w:r>
      <w:r>
        <w:rPr/>
        <w:t>9</w:t>
      </w:r>
      <w:r>
        <w:rPr/>
        <w:t>月债净款。香港报告经营现金未扣融资银行利息，而预测从净利已扣利息出发，故下半年计算先将上半年</w:t>
      </w:r>
      <w:r>
        <w:rPr/>
        <w:t>10.84645</w:t>
      </w:r>
      <w:r>
        <w:rPr/>
        <w:t>减已付</w:t>
      </w:r>
      <w:r>
        <w:rPr/>
        <w:t>1.02838</w:t>
      </w:r>
      <w:r>
        <w:rPr/>
        <w:t>亿元重分类，避免重复扣息。</w:t>
      </w:r>
    </w:p>
    <w:p>
      <w:pPr>
        <w:pStyle w:val="Normal"/>
        <w:rPr/>
      </w:pPr>
      <w:r>
        <w:rPr/>
        <w:t>基准</w:t>
      </w:r>
      <w:r>
        <w:rPr/>
        <w:t>2026</w:t>
      </w:r>
      <w:r>
        <w:rPr/>
        <w:t>全年扣息经营现金</w:t>
      </w:r>
      <w:r>
        <w:rPr/>
        <w:t>23.518</w:t>
      </w:r>
      <w:r>
        <w:rPr/>
        <w:t>亿元、资本支出</w:t>
      </w:r>
      <w:r>
        <w:rPr/>
        <w:t>30</w:t>
      </w:r>
      <w:r>
        <w:rPr/>
        <w:t>亿元，年底液态资产约</w:t>
      </w:r>
      <w:r>
        <w:rPr/>
        <w:t>40.452</w:t>
      </w:r>
      <w:r>
        <w:rPr/>
        <w:t>亿元，其中包含新债净现金，不是经营赚到全部。</w:t>
      </w:r>
      <w:r>
        <w:rPr/>
        <w:t>2027</w:t>
      </w:r>
      <w:r>
        <w:rPr/>
        <w:t>扣息经营</w:t>
      </w:r>
      <w:r>
        <w:rPr/>
        <w:t>30.116</w:t>
      </w:r>
      <w:r>
        <w:rPr/>
        <w:t>亿元、资本开支</w:t>
      </w:r>
      <w:r>
        <w:rPr/>
        <w:t>32</w:t>
      </w:r>
      <w:r>
        <w:rPr/>
        <w:t>亿元，加租赁投资分红后流动金融资产约</w:t>
      </w:r>
      <w:r>
        <w:rPr/>
        <w:t>28.959</w:t>
      </w:r>
      <w:r>
        <w:rPr/>
        <w:t>亿元；</w:t>
      </w:r>
      <w:r>
        <w:rPr/>
        <w:t>2028</w:t>
      </w:r>
      <w:r>
        <w:rPr/>
        <w:t>约</w:t>
      </w:r>
      <w:r>
        <w:rPr/>
        <w:t>20.582</w:t>
      </w:r>
      <w:r>
        <w:rPr/>
        <w:t>、</w:t>
      </w:r>
      <w:r>
        <w:rPr/>
        <w:t>2029</w:t>
      </w:r>
      <w:r>
        <w:rPr/>
        <w:t>约</w:t>
      </w:r>
      <w:r>
        <w:rPr/>
        <w:t>18.958</w:t>
      </w:r>
      <w:r>
        <w:rPr/>
        <w:t>亿元。现金虽仍为正，扩产阶段余量减小，不能说公司无融资风险。</w:t>
      </w:r>
    </w:p>
    <w:p>
      <w:pPr>
        <w:pStyle w:val="Normal"/>
        <w:rPr/>
      </w:pPr>
      <w:r>
        <w:rPr/>
        <w:t>基准</w:t>
      </w:r>
      <w:r>
        <w:rPr/>
        <w:t>2031</w:t>
      </w:r>
      <w:r>
        <w:rPr/>
        <w:t>液态现金约</w:t>
      </w:r>
      <w:r>
        <w:rPr/>
        <w:t>32.244</w:t>
      </w:r>
      <w:r>
        <w:rPr/>
        <w:t>亿元、银行债</w:t>
      </w:r>
      <w:r>
        <w:rPr/>
        <w:t>38.744</w:t>
      </w:r>
      <w:r>
        <w:rPr/>
        <w:t>亿元，净债尚约</w:t>
      </w:r>
      <w:r>
        <w:rPr/>
        <w:t>6.5</w:t>
      </w:r>
      <w:r>
        <w:rPr/>
        <w:t>亿元；随着经营规模和资本开支降低，现金才逐渐改善。悲观</w:t>
      </w:r>
      <w:r>
        <w:rPr/>
        <w:t>2027</w:t>
      </w:r>
      <w:r>
        <w:rPr/>
        <w:t>为约</w:t>
      </w:r>
      <w:r>
        <w:rPr/>
        <w:t>19.26</w:t>
      </w:r>
      <w:r>
        <w:rPr/>
        <w:t>亿元液态现金，但需要新增银行净融资</w:t>
      </w:r>
      <w:r>
        <w:rPr/>
        <w:t>19</w:t>
      </w:r>
      <w:r>
        <w:rPr/>
        <w:t>亿元、现金还转债</w:t>
      </w:r>
      <w:r>
        <w:rPr/>
        <w:t>21.8</w:t>
      </w:r>
      <w:r>
        <w:rPr/>
        <w:t>亿元。假定银行融资能够得到是条件，不是证据；若续借失败或代价更高，悲观价格可能进一步下修。</w:t>
      </w:r>
    </w:p>
    <w:p>
      <w:pPr>
        <w:pStyle w:val="Normal"/>
        <w:rPr/>
      </w:pPr>
      <w:r>
        <w:rPr/>
        <w:t>桥未完成收入、全部应付预收、资产负债和现金流三张表的逐科目预测。它用于检验主要投资及融资需求，不能称准确现金跑道。流动理财回收、币种、税、投资付款、</w:t>
      </w:r>
      <w:r>
        <w:rPr/>
        <w:t>CB</w:t>
      </w:r>
      <w:r>
        <w:rPr/>
        <w:t>条款和信托分红均有细节限制。模型保留输入和每年记录，修改价格或收入需全量刷新，不能只更新总表目标却让债现金和股数继续沿旧数据。</w:t>
      </w:r>
    </w:p>
    <w:p>
      <w:pPr>
        <w:pStyle w:val="Heading2"/>
        <w:rPr/>
      </w:pPr>
      <w:r>
        <w:rPr>
          <w:color w:val="000000"/>
        </w:rPr>
        <w:t>二十一 年底情景与外资投行</w:t>
      </w:r>
    </w:p>
    <w:p>
      <w:pPr>
        <w:pStyle w:val="Normal"/>
        <w:rPr/>
      </w:pPr>
      <w:r>
        <w:rPr/>
        <w:t>年底三个目标</w:t>
      </w:r>
      <w:r>
        <w:rPr/>
        <w:t>16.396</w:t>
      </w:r>
      <w:r>
        <w:rPr/>
        <w:t>、</w:t>
      </w:r>
      <w:r>
        <w:rPr/>
        <w:t>38.676</w:t>
      </w:r>
      <w:r>
        <w:rPr/>
        <w:t>、</w:t>
      </w:r>
      <w:r>
        <w:rPr/>
        <w:t>64.454</w:t>
      </w:r>
      <w:r>
        <w:rPr/>
        <w:t>港元分别约−</w:t>
      </w:r>
      <w:r>
        <w:rPr/>
        <w:t>46.42%</w:t>
      </w:r>
      <w:r>
        <w:rPr/>
        <w:t>、</w:t>
      </w:r>
      <w:r>
        <w:rPr/>
        <w:t>+26.39%</w:t>
      </w:r>
      <w:r>
        <w:rPr/>
        <w:t>、</w:t>
      </w:r>
      <w:r>
        <w:rPr/>
        <w:t>+110.63%</w:t>
      </w:r>
      <w:r>
        <w:rPr/>
        <w:t>，采用</w:t>
      </w:r>
      <w:r>
        <w:rPr/>
        <w:t>2027</w:t>
      </w:r>
      <w:r>
        <w:rPr/>
        <w:t>正常盈利与二十三、二十八、三十三倍</w:t>
      </w:r>
      <w:r>
        <w:rPr/>
        <w:t>PE</w:t>
      </w:r>
      <w:r>
        <w:rPr/>
        <w:t>。年底仍只有不到三个月，尾部代表市场在重要订单、数据和融资信息变化下对全年盈利的重新定价，不预测价格每日平稳走向目标。若年底没有足够信息支持盈利，市场可能维持现有估值，基准也未必实现。</w:t>
      </w:r>
    </w:p>
    <w:p>
      <w:pPr>
        <w:pStyle w:val="Normal"/>
        <w:rPr/>
      </w:pPr>
      <w:r>
        <w:rPr/>
        <w:t>悲观需要订单延迟、汇率与成本压力及债务预期同时恶化，乐观需要后期交付、商业量和现金增长显著超预期，基准则要求正常执行和</w:t>
      </w:r>
      <w:r>
        <w:rPr/>
        <w:t>2027</w:t>
      </w:r>
      <w:r>
        <w:rPr/>
        <w:t>前景更可见。年底没有直接采用机构十二个月价，也没有按剩余月数缩放。</w:t>
      </w:r>
      <w:r>
        <w:rPr/>
        <w:t>25/50/25</w:t>
      </w:r>
      <w:r>
        <w:rPr/>
        <w:t>权重期望</w:t>
      </w:r>
      <w:r>
        <w:rPr/>
        <w:t>39.55</w:t>
      </w:r>
      <w:r>
        <w:rPr/>
        <w:t>，上下权重改变至</w:t>
      </w:r>
      <w:r>
        <w:rPr/>
        <w:t>40/40/20</w:t>
      </w:r>
      <w:r>
        <w:rPr/>
        <w:t>只剩</w:t>
      </w:r>
      <w:r>
        <w:rPr/>
        <w:t>14.12%</w:t>
      </w:r>
      <w:r>
        <w:rPr/>
        <w:t>期望回报，表明期望对研究判断有敏感性。</w:t>
      </w:r>
    </w:p>
    <w:p>
      <w:pPr>
        <w:pStyle w:val="Normal"/>
        <w:rPr/>
      </w:pPr>
      <w:r>
        <w:rPr/>
        <w:t>高盛</w:t>
      </w:r>
      <w:r>
        <w:rPr/>
        <w:t>9</w:t>
      </w:r>
      <w:r>
        <w:rPr/>
        <w:t>月</w:t>
      </w:r>
      <w:r>
        <w:rPr/>
        <w:t>30</w:t>
      </w:r>
      <w:r>
        <w:rPr/>
        <w:t>日</w:t>
      </w:r>
      <w:r>
        <w:rPr/>
        <w:t>37.2</w:t>
      </w:r>
      <w:r>
        <w:rPr/>
        <w:t>港元、买入；大和</w:t>
      </w:r>
      <w:r>
        <w:rPr/>
        <w:t>8</w:t>
      </w:r>
      <w:r>
        <w:rPr/>
        <w:t>月</w:t>
      </w:r>
      <w:r>
        <w:rPr/>
        <w:t>24</w:t>
      </w:r>
      <w:r>
        <w:rPr/>
        <w:t>日</w:t>
      </w:r>
      <w:r>
        <w:rPr/>
        <w:t>38.5</w:t>
      </w:r>
      <w:r>
        <w:rPr/>
        <w:t>、美银同日</w:t>
      </w:r>
      <w:r>
        <w:rPr/>
        <w:t>38.4</w:t>
      </w:r>
      <w:r>
        <w:rPr/>
        <w:t>、买入；大摩</w:t>
      </w:r>
      <w:r>
        <w:rPr/>
        <w:t>8</w:t>
      </w:r>
      <w:r>
        <w:rPr/>
        <w:t>月</w:t>
      </w:r>
      <w:r>
        <w:rPr/>
        <w:t>21</w:t>
      </w:r>
      <w:r>
        <w:rPr/>
        <w:t>日</w:t>
      </w:r>
      <w:r>
        <w:rPr/>
        <w:t>35.6</w:t>
      </w:r>
      <w:r>
        <w:rPr/>
        <w:t>、增持；野村</w:t>
      </w:r>
      <w:r>
        <w:rPr/>
        <w:t>7</w:t>
      </w:r>
      <w:r>
        <w:rPr/>
        <w:t>月</w:t>
      </w:r>
      <w:r>
        <w:rPr/>
        <w:t>27</w:t>
      </w:r>
      <w:r>
        <w:rPr/>
        <w:t>日</w:t>
      </w:r>
      <w:r>
        <w:rPr/>
        <w:t>32.2</w:t>
      </w:r>
      <w:r>
        <w:rPr/>
        <w:t>、汇丰</w:t>
      </w:r>
      <w:r>
        <w:rPr/>
        <w:t>7</w:t>
      </w:r>
      <w:r>
        <w:rPr/>
        <w:t>月</w:t>
      </w:r>
      <w:r>
        <w:rPr/>
        <w:t>16</w:t>
      </w:r>
      <w:r>
        <w:rPr/>
        <w:t>日</w:t>
      </w:r>
      <w:r>
        <w:rPr/>
        <w:t>30.8</w:t>
      </w:r>
      <w:r>
        <w:rPr/>
        <w:t>、瑞银</w:t>
      </w:r>
      <w:r>
        <w:rPr/>
        <w:t>7</w:t>
      </w:r>
      <w:r>
        <w:rPr/>
        <w:t>月</w:t>
      </w:r>
      <w:r>
        <w:rPr/>
        <w:t>14</w:t>
      </w:r>
      <w:r>
        <w:rPr/>
        <w:t>日</w:t>
      </w:r>
      <w:r>
        <w:rPr/>
        <w:t>31.8</w:t>
      </w:r>
      <w:r>
        <w:rPr/>
        <w:t>、买入。相对</w:t>
      </w:r>
      <w:r>
        <w:rPr/>
        <w:t>30.6</w:t>
      </w:r>
      <w:r>
        <w:rPr/>
        <w:t>上行约</w:t>
      </w:r>
      <w:r>
        <w:rPr/>
        <w:t>21.57%</w:t>
      </w:r>
      <w:r>
        <w:rPr/>
        <w:t>、</w:t>
      </w:r>
      <w:r>
        <w:rPr/>
        <w:t>25.82%</w:t>
      </w:r>
      <w:r>
        <w:rPr/>
        <w:t>、</w:t>
      </w:r>
      <w:r>
        <w:rPr/>
        <w:t>25.49%</w:t>
      </w:r>
      <w:r>
        <w:rPr/>
        <w:t>、</w:t>
      </w:r>
      <w:r>
        <w:rPr/>
        <w:t>16.34%</w:t>
      </w:r>
      <w:r>
        <w:rPr/>
        <w:t>、</w:t>
      </w:r>
      <w:r>
        <w:rPr/>
        <w:t>5.23%</w:t>
      </w:r>
      <w:r>
        <w:rPr/>
        <w:t>、</w:t>
      </w:r>
      <w:r>
        <w:rPr/>
        <w:t>0.65%</w:t>
      </w:r>
      <w:r>
        <w:rPr/>
        <w:t>和</w:t>
      </w:r>
      <w:r>
        <w:rPr/>
        <w:t>3.92%</w:t>
      </w:r>
      <w:r>
        <w:rPr/>
        <w:t>。同机构旧目标已去重，只保留最近可核验条目。</w:t>
      </w:r>
    </w:p>
    <w:p>
      <w:pPr>
        <w:pStyle w:val="Normal"/>
        <w:rPr/>
      </w:pPr>
      <w:r>
        <w:rPr/>
        <w:t>所有目标来自财经新闻转述、不是完整原研报，确切目标日期未公开，作为一年估值参照而非年底保证。高盛九月上调较八月</w:t>
      </w:r>
      <w:r>
        <w:rPr/>
        <w:t>33.2</w:t>
      </w:r>
      <w:r>
        <w:rPr/>
        <w:t>更新，美银八月</w:t>
      </w:r>
      <w:r>
        <w:rPr/>
        <w:t>24</w:t>
      </w:r>
      <w:r>
        <w:rPr/>
        <w:t>日</w:t>
      </w:r>
      <w:r>
        <w:rPr/>
        <w:t>38.4</w:t>
      </w:r>
      <w:r>
        <w:rPr/>
        <w:t>替八月</w:t>
      </w:r>
      <w:r>
        <w:rPr/>
        <w:t>12</w:t>
      </w:r>
      <w:r>
        <w:rPr/>
        <w:t>日</w:t>
      </w:r>
      <w:r>
        <w:rPr/>
        <w:t>32.3</w:t>
      </w:r>
      <w:r>
        <w:rPr/>
        <w:t>。机构多看订单、</w:t>
      </w:r>
      <w:r>
        <w:rPr/>
        <w:t>CDMO</w:t>
      </w:r>
      <w:r>
        <w:rPr/>
        <w:t>成熟和新疗法外包，也提示汇率压力。机构普遍正面可帮助检验市场预期，却不能把一致评级当获利概率，尤其本章远期盈利假设较高。</w:t>
      </w:r>
    </w:p>
    <w:p>
      <w:pPr>
        <w:pStyle w:val="Heading2"/>
        <w:rPr/>
      </w:pPr>
      <w:r>
        <w:rPr>
          <w:color w:val="000000"/>
        </w:rPr>
        <w:t>二十二 日线趋势与支撑阻力</w:t>
      </w:r>
    </w:p>
    <w:p>
      <w:pPr>
        <w:pStyle w:val="Normal"/>
        <w:rPr/>
      </w:pPr>
      <w:r>
        <w:rPr/>
        <w:t>行情有</w:t>
      </w:r>
      <w:r>
        <w:rPr/>
        <w:t>739</w:t>
      </w:r>
      <w:r>
        <w:rPr/>
        <w:t>个真实日、</w:t>
      </w:r>
      <w:r>
        <w:rPr/>
        <w:t>157</w:t>
      </w:r>
      <w:r>
        <w:rPr/>
        <w:t>个周，自</w:t>
      </w:r>
      <w:r>
        <w:rPr/>
        <w:t>2023</w:t>
      </w:r>
      <w:r>
        <w:rPr/>
        <w:t>年</w:t>
      </w:r>
      <w:r>
        <w:rPr/>
        <w:t>10</w:t>
      </w:r>
      <w:r>
        <w:rPr/>
        <w:t>月</w:t>
      </w:r>
      <w:r>
        <w:rPr/>
        <w:t>9</w:t>
      </w:r>
      <w:r>
        <w:rPr/>
        <w:t>日至基准日，最新收盘与腾讯、新浪及独立日线核对。两根</w:t>
      </w:r>
      <w:r>
        <w:rPr/>
        <w:t>Yahoo OHLC</w:t>
      </w:r>
      <w:r>
        <w:rPr/>
        <w:t>内部逻辑不一致经腾讯同日完整</w:t>
      </w:r>
      <w:r>
        <w:rPr/>
        <w:t>bar</w:t>
      </w:r>
      <w:r>
        <w:rPr/>
        <w:t>修复，保留原始记录。指标使用归一到当前名义价格的复权</w:t>
      </w:r>
      <w:r>
        <w:rPr/>
        <w:t>OHLC</w:t>
      </w:r>
      <w:r>
        <w:rPr/>
        <w:t>，现金股息行动明确。复权历史高低与行情展示未必一致，不能混合不同调整口径判断假突破。</w:t>
      </w:r>
    </w:p>
    <w:p>
      <w:pPr>
        <w:pStyle w:val="Normal"/>
        <w:rPr/>
      </w:pPr>
      <w:r>
        <w:rPr/>
        <w:t>二十、六十、一百二十、二百五十日均线</w:t>
      </w:r>
      <w:r>
        <w:rPr/>
        <w:t>30.359</w:t>
      </w:r>
      <w:r>
        <w:rPr/>
        <w:t>、</w:t>
      </w:r>
      <w:r>
        <w:rPr/>
        <w:t>28.443</w:t>
      </w:r>
      <w:r>
        <w:rPr/>
        <w:t>、</w:t>
      </w:r>
      <w:r>
        <w:rPr/>
        <w:t>23.508612</w:t>
      </w:r>
      <w:r>
        <w:rPr/>
        <w:t>、</w:t>
      </w:r>
      <w:r>
        <w:rPr/>
        <w:t>22.465203</w:t>
      </w:r>
      <w:r>
        <w:rPr/>
        <w:t>港元，现价分别高</w:t>
      </w:r>
      <w:r>
        <w:rPr/>
        <w:t>0.79%</w:t>
      </w:r>
      <w:r>
        <w:rPr/>
        <w:t>、</w:t>
      </w:r>
      <w:r>
        <w:rPr/>
        <w:t>7.58%</w:t>
      </w:r>
      <w:r>
        <w:rPr/>
        <w:t>、</w:t>
      </w:r>
      <w:r>
        <w:rPr/>
        <w:t>30.17%</w:t>
      </w:r>
      <w:r>
        <w:rPr/>
        <w:t>和</w:t>
      </w:r>
      <w:r>
        <w:rPr/>
        <w:t>36.21%</w:t>
      </w:r>
      <w:r>
        <w:rPr/>
        <w:t>。五期斜率约</w:t>
      </w:r>
      <w:r>
        <w:rPr/>
        <w:t>+2.58%</w:t>
      </w:r>
      <w:r>
        <w:rPr/>
        <w:t>、</w:t>
      </w:r>
      <w:r>
        <w:rPr/>
        <w:t>+2.41%</w:t>
      </w:r>
      <w:r>
        <w:rPr/>
        <w:t>、</w:t>
      </w:r>
      <w:r>
        <w:rPr/>
        <w:t>+1.92%</w:t>
      </w:r>
      <w:r>
        <w:rPr/>
        <w:t>、</w:t>
      </w:r>
      <w:r>
        <w:rPr/>
        <w:t>+0.39%</w:t>
      </w:r>
      <w:r>
        <w:rPr/>
        <w:t>，全部向上。结构支持中短期上升，但现价只比二十日高不到一百分点，短线回踩即可失守，不适合称完全确认新突破。</w:t>
      </w:r>
    </w:p>
    <w:p>
      <w:pPr>
        <w:pStyle w:val="Normal"/>
        <w:rPr/>
      </w:pPr>
      <w:r>
        <w:rPr/>
        <w:t>二十日涨</w:t>
      </w:r>
      <w:r>
        <w:rPr/>
        <w:t>8.20%</w:t>
      </w:r>
      <w:r>
        <w:rPr/>
        <w:t>、六十日</w:t>
      </w:r>
      <w:r>
        <w:rPr/>
        <w:t>22.60%</w:t>
      </w:r>
      <w:r>
        <w:rPr/>
        <w:t>、一百二十日</w:t>
      </w:r>
      <w:r>
        <w:rPr/>
        <w:t>45.83%</w:t>
      </w:r>
      <w:r>
        <w:rPr/>
        <w:t>、二百五十日</w:t>
      </w:r>
      <w:r>
        <w:rPr/>
        <w:t>3.50%</w:t>
      </w:r>
      <w:r>
        <w:rPr/>
        <w:t>。中期复苏强于更长一年收益，说明此前回撤和后段上涨同时存在，不能只取一百二十日高收益声称任何时间买入都好。现价距复权一年高</w:t>
      </w:r>
      <w:r>
        <w:rPr/>
        <w:t>34.86</w:t>
      </w:r>
      <w:r>
        <w:rPr/>
        <w:t>低</w:t>
      </w:r>
      <w:r>
        <w:rPr/>
        <w:t>12.22%</w:t>
      </w:r>
      <w:r>
        <w:rPr/>
        <w:t>，较复权低</w:t>
      </w:r>
      <w:r>
        <w:rPr/>
        <w:t>14.28856</w:t>
      </w:r>
      <w:r>
        <w:rPr/>
        <w:t>高</w:t>
      </w:r>
      <w:r>
        <w:rPr/>
        <w:t>114.16%</w:t>
      </w:r>
      <w:r>
        <w:rPr/>
        <w:t>，日收盘最大回撤约</w:t>
      </w:r>
      <w:r>
        <w:rPr/>
        <w:t>50.07%</w:t>
      </w:r>
      <w:r>
        <w:rPr/>
        <w:t>；历史路径本身显示高风险。</w:t>
      </w:r>
    </w:p>
    <w:p>
      <w:pPr>
        <w:pStyle w:val="Normal"/>
        <w:rPr/>
      </w:pPr>
      <w:r>
        <w:rPr/>
        <w:t>最近二十日最低</w:t>
      </w:r>
      <w:r>
        <w:rPr/>
        <w:t>27.02</w:t>
      </w:r>
      <w:r>
        <w:rPr/>
        <w:t>、最高</w:t>
      </w:r>
      <w:r>
        <w:rPr/>
        <w:t>33.06</w:t>
      </w:r>
      <w:r>
        <w:rPr/>
        <w:t>，现价距离−</w:t>
      </w:r>
      <w:r>
        <w:rPr/>
        <w:t>11.70%</w:t>
      </w:r>
      <w:r>
        <w:rPr/>
        <w:t>、</w:t>
      </w:r>
      <w:r>
        <w:rPr/>
        <w:t>+8.04%</w:t>
      </w:r>
      <w:r>
        <w:rPr/>
        <w:t>；六十日最低</w:t>
      </w:r>
      <w:r>
        <w:rPr/>
        <w:t>21.92</w:t>
      </w:r>
      <w:r>
        <w:rPr/>
        <w:t>、最高</w:t>
      </w:r>
      <w:r>
        <w:rPr/>
        <w:t>34.86</w:t>
      </w:r>
      <w:r>
        <w:rPr/>
        <w:t>，距离−</w:t>
      </w:r>
      <w:r>
        <w:rPr/>
        <w:t>28.37%</w:t>
      </w:r>
      <w:r>
        <w:rPr/>
        <w:t>、</w:t>
      </w:r>
      <w:r>
        <w:rPr/>
        <w:t>+13.92%</w:t>
      </w:r>
      <w:r>
        <w:rPr/>
        <w:t>。</w:t>
      </w:r>
      <w:r>
        <w:rPr/>
        <w:t>28.44</w:t>
      </w:r>
      <w:r>
        <w:rPr/>
        <w:t>附近六十日均线及</w:t>
      </w:r>
      <w:r>
        <w:rPr/>
        <w:t>27.02</w:t>
      </w:r>
      <w:r>
        <w:rPr/>
        <w:t>阶段低是回踩观察区，</w:t>
      </w:r>
      <w:r>
        <w:rPr/>
        <w:t>33.06</w:t>
      </w:r>
      <w:r>
        <w:rPr/>
        <w:t>与</w:t>
      </w:r>
      <w:r>
        <w:rPr/>
        <w:t>34.86</w:t>
      </w:r>
      <w:r>
        <w:rPr/>
        <w:t>是上方观察高点，未经多次触碰筛选不能说精确强支撑。若持续跌</w:t>
      </w:r>
      <w:r>
        <w:rPr/>
        <w:t>28.4</w:t>
      </w:r>
      <w:r>
        <w:rPr/>
        <w:t>并伴现金订单恶化，趋势判断需撤销，远期空间不能代替止损逻辑。</w:t>
      </w:r>
    </w:p>
    <w:p>
      <w:pPr>
        <w:pStyle w:val="Heading2"/>
        <w:rPr/>
      </w:pPr>
      <w:r>
        <w:rPr>
          <w:color w:val="000000"/>
        </w:rPr>
        <w:t>二十三 量能 当日走势与相对强弱</w:t>
      </w:r>
    </w:p>
    <w:p>
      <w:pPr>
        <w:pStyle w:val="Normal"/>
        <w:rPr/>
      </w:pPr>
      <w:r>
        <w:rPr/>
        <w:t>基准日开</w:t>
      </w:r>
      <w:r>
        <w:rPr/>
        <w:t>31.30</w:t>
      </w:r>
      <w:r>
        <w:rPr/>
        <w:t>、高</w:t>
      </w:r>
      <w:r>
        <w:rPr/>
        <w:t>31.40</w:t>
      </w:r>
      <w:r>
        <w:rPr/>
        <w:t>、低</w:t>
      </w:r>
      <w:r>
        <w:rPr/>
        <w:t>29.00</w:t>
      </w:r>
      <w:r>
        <w:rPr/>
        <w:t>、收</w:t>
      </w:r>
      <w:r>
        <w:rPr/>
        <w:t>30.60</w:t>
      </w:r>
      <w:r>
        <w:rPr/>
        <w:t>，跌</w:t>
      </w:r>
      <w:r>
        <w:rPr/>
        <w:t>2.11%</w:t>
      </w:r>
      <w:r>
        <w:rPr/>
        <w:t>，成交</w:t>
      </w:r>
      <w:r>
        <w:rPr/>
        <w:t>748.2568</w:t>
      </w:r>
      <w:r>
        <w:rPr/>
        <w:t>万股、金额</w:t>
      </w:r>
      <w:r>
        <w:rPr/>
        <w:t>2.24028</w:t>
      </w:r>
      <w:r>
        <w:rPr/>
        <w:t>亿港元。收盘离低点</w:t>
      </w:r>
      <w:r>
        <w:rPr/>
        <w:t>1.60</w:t>
      </w:r>
      <w:r>
        <w:rPr/>
        <w:t>，显示日内一定回升，但仍低于开盘与上日，不能只看下影称强势反转。当日相对前二十日均量</w:t>
      </w:r>
      <w:r>
        <w:rPr/>
        <w:t>1.4352</w:t>
      </w:r>
      <w:r>
        <w:rPr/>
        <w:t>，放量发生在下跌日，提示分歧增加，需要后续价格是否保持和量能共同判断。</w:t>
      </w:r>
    </w:p>
    <w:p>
      <w:pPr>
        <w:pStyle w:val="Normal"/>
        <w:rPr/>
      </w:pPr>
      <w:r>
        <w:rPr/>
        <w:t>五日均量</w:t>
      </w:r>
      <w:r>
        <w:rPr/>
        <w:t>464.233</w:t>
      </w:r>
      <w:r>
        <w:rPr/>
        <w:t>万、二十</w:t>
      </w:r>
      <w:r>
        <w:rPr/>
        <w:t>544.734</w:t>
      </w:r>
      <w:r>
        <w:rPr/>
        <w:t>万、六十</w:t>
      </w:r>
      <w:r>
        <w:rPr/>
        <w:t>789.664</w:t>
      </w:r>
      <w:r>
        <w:rPr/>
        <w:t>万股，短均量低于长窗口，反映近期交易热度收敛；当天虽放量，未形成持续多日增长。二十日上涨十天下跌九天，分别成交</w:t>
      </w:r>
      <w:r>
        <w:rPr/>
        <w:t>5724.3053</w:t>
      </w:r>
      <w:r>
        <w:rPr/>
        <w:t>万、</w:t>
      </w:r>
      <w:r>
        <w:rPr/>
        <w:t>4780.4166</w:t>
      </w:r>
      <w:r>
        <w:rPr/>
        <w:t>万股，平盘</w:t>
      </w:r>
      <w:r>
        <w:rPr/>
        <w:t>389.955</w:t>
      </w:r>
      <w:r>
        <w:rPr/>
        <w:t>万；总量比</w:t>
      </w:r>
      <w:r>
        <w:rPr/>
        <w:t>1.197</w:t>
      </w:r>
      <w:r>
        <w:rPr/>
        <w:t>，按平均日约</w:t>
      </w:r>
      <w:r>
        <w:rPr/>
        <w:t>1.078</w:t>
      </w:r>
      <w:r>
        <w:rPr/>
        <w:t>倍。两种量口径区分，不能选总量比便断言机构持续吸筹。</w:t>
      </w:r>
    </w:p>
    <w:p>
      <w:pPr>
        <w:pStyle w:val="Normal"/>
        <w:rPr/>
      </w:pPr>
      <w:r>
        <w:rPr/>
        <w:t>相对恒指二十日跑赢</w:t>
      </w:r>
      <w:r>
        <w:rPr/>
        <w:t>11.18</w:t>
      </w:r>
      <w:r>
        <w:rPr/>
        <w:t>个百分点、六十日</w:t>
      </w:r>
      <w:r>
        <w:rPr/>
        <w:t>25.78</w:t>
      </w:r>
      <w:r>
        <w:rPr/>
        <w:t>，因市场同期约−</w:t>
      </w:r>
      <w:r>
        <w:rPr/>
        <w:t>2.98%</w:t>
      </w:r>
      <w:r>
        <w:rPr/>
        <w:t>、−</w:t>
      </w:r>
      <w:r>
        <w:rPr/>
        <w:t>3.19%</w:t>
      </w:r>
      <w:r>
        <w:rPr/>
        <w:t>。这支持资金偏好公司与</w:t>
      </w:r>
      <w:r>
        <w:rPr/>
        <w:t>CXO</w:t>
      </w:r>
      <w:r>
        <w:rPr/>
        <w:t>恢复，但未取得匹配</w:t>
      </w:r>
      <w:r>
        <w:rPr/>
        <w:t>CXO</w:t>
      </w:r>
      <w:r>
        <w:rPr/>
        <w:t>行业基准全历史，本章行业超额留空，不把创新药股价指数冒充服务行业。没有逐笔成交或完整持股资料，不绘制精确筹码分布，也不以量价声称主力身份或真实净流入。</w:t>
      </w:r>
    </w:p>
    <w:p>
      <w:pPr>
        <w:pStyle w:val="Normal"/>
        <w:rPr/>
      </w:pPr>
      <w:r>
        <w:rPr/>
        <w:t>H</w:t>
      </w:r>
      <w:r>
        <w:rPr/>
        <w:t>股不含法定库存约</w:t>
      </w:r>
      <w:r>
        <w:rPr/>
        <w:t>3.58111</w:t>
      </w:r>
      <w:r>
        <w:rPr/>
        <w:t>亿，当日成交占该法律股份口径约</w:t>
      </w:r>
      <w:r>
        <w:rPr/>
        <w:t>2.09%</w:t>
      </w:r>
      <w:r>
        <w:rPr/>
        <w:t>，不是实际自由流通换手，因为其中含战略、奖励和长期持股。用全公司股数又会降至不同水平，不能混成精确换手率。成交单位经两源为股，不是手。突破确认需多日站稳</w:t>
      </w:r>
      <w:r>
        <w:rPr/>
        <w:t>33.06</w:t>
      </w:r>
      <w:r>
        <w:rPr/>
        <w:t>至</w:t>
      </w:r>
      <w:r>
        <w:rPr/>
        <w:t>34.86</w:t>
      </w:r>
      <w:r>
        <w:rPr/>
        <w:t>、成交与相对线持续，不以单日量比代替所有判断。</w:t>
      </w:r>
    </w:p>
    <w:p>
      <w:pPr>
        <w:pStyle w:val="Heading2"/>
        <w:rPr/>
      </w:pPr>
      <w:r>
        <w:rPr>
          <w:color w:val="000000"/>
        </w:rPr>
        <w:t>二十四 周线与辅助动量</w:t>
      </w:r>
    </w:p>
    <w:p>
      <w:pPr>
        <w:pStyle w:val="Normal"/>
        <w:rPr/>
      </w:pPr>
      <w:r>
        <w:rPr/>
        <w:t>二十、六十、一百二十周均线</w:t>
      </w:r>
      <w:r>
        <w:rPr/>
        <w:t>24.522772</w:t>
      </w:r>
      <w:r>
        <w:rPr/>
        <w:t>、</w:t>
      </w:r>
      <w:r>
        <w:rPr/>
        <w:t>22.609987</w:t>
      </w:r>
      <w:r>
        <w:rPr/>
        <w:t>、</w:t>
      </w:r>
      <w:r>
        <w:rPr/>
        <w:t>18.263276</w:t>
      </w:r>
      <w:r>
        <w:rPr/>
        <w:t>港元，现价分别高</w:t>
      </w:r>
      <w:r>
        <w:rPr/>
        <w:t>24.78%</w:t>
      </w:r>
      <w:r>
        <w:rPr/>
        <w:t>、</w:t>
      </w:r>
      <w:r>
        <w:rPr/>
        <w:t>35.34%</w:t>
      </w:r>
      <w:r>
        <w:rPr/>
        <w:t>、</w:t>
      </w:r>
      <w:r>
        <w:rPr/>
        <w:t>67.55%</w:t>
      </w:r>
      <w:r>
        <w:rPr/>
        <w:t>，五期斜率</w:t>
      </w:r>
      <w:r>
        <w:rPr/>
        <w:t>+11.78%</w:t>
      </w:r>
      <w:r>
        <w:rPr/>
        <w:t>、</w:t>
      </w:r>
      <w:r>
        <w:rPr/>
        <w:t>+3.41%</w:t>
      </w:r>
      <w:r>
        <w:rPr/>
        <w:t>、</w:t>
      </w:r>
      <w:r>
        <w:rPr/>
        <w:t>+4.93%</w:t>
      </w:r>
      <w:r>
        <w:rPr/>
        <w:t>，说明周结构向上。只有</w:t>
      </w:r>
      <w:r>
        <w:rPr/>
        <w:t>157</w:t>
      </w:r>
      <w:r>
        <w:rPr/>
        <w:t>周，不能补造二百五十周线。周价格离均线较远，趋势强和回踩空间大可以同时存在，不表示越远离周均线越应追涨。</w:t>
      </w:r>
    </w:p>
    <w:p>
      <w:pPr>
        <w:pStyle w:val="Normal"/>
        <w:rPr/>
      </w:pPr>
      <w:r>
        <w:rPr/>
        <w:t>日</w:t>
      </w:r>
      <w:r>
        <w:rPr/>
        <w:t>RSI51.97</w:t>
      </w:r>
      <w:r>
        <w:rPr/>
        <w:t>、</w:t>
      </w:r>
      <w:r>
        <w:rPr/>
        <w:t>MACD</w:t>
      </w:r>
      <w:r>
        <w:rPr/>
        <w:t>差</w:t>
      </w:r>
      <w:r>
        <w:rPr/>
        <w:t>0.741096</w:t>
      </w:r>
      <w:r>
        <w:rPr/>
        <w:t>、信号</w:t>
      </w:r>
      <w:r>
        <w:rPr/>
        <w:t>0.736214</w:t>
      </w:r>
      <w:r>
        <w:rPr/>
        <w:t>、双倍差柱</w:t>
      </w:r>
      <w:r>
        <w:rPr/>
        <w:t>0.009764</w:t>
      </w:r>
      <w:r>
        <w:rPr/>
        <w:t>，动量大致中性至略正；周</w:t>
      </w:r>
      <w:r>
        <w:rPr/>
        <w:t>RSI64.95</w:t>
      </w:r>
      <w:r>
        <w:rPr/>
        <w:t>、柱</w:t>
      </w:r>
      <w:r>
        <w:rPr/>
        <w:t>1.120059</w:t>
      </w:r>
      <w:r>
        <w:rPr/>
        <w:t>更强。日级动量放缓与周趋势强并不矛盾，可是趋势内整理。相近指标来自同一价格数据，只在技术维度综合判断，不作为多类独立因子重复加分，也不因</w:t>
      </w:r>
      <w:r>
        <w:rPr/>
        <w:t>RSI</w:t>
      </w:r>
      <w:r>
        <w:rPr/>
        <w:t>未到某数就保证上涨。</w:t>
      </w:r>
    </w:p>
    <w:p>
      <w:pPr>
        <w:pStyle w:val="Normal"/>
        <w:rPr/>
      </w:pPr>
      <w:r>
        <w:rPr/>
        <w:t>日</w:t>
      </w:r>
      <w:r>
        <w:rPr/>
        <w:t>ATR1.605433</w:t>
      </w:r>
      <w:r>
        <w:rPr/>
        <w:t>港元、占</w:t>
      </w:r>
      <w:r>
        <w:rPr/>
        <w:t>5.25%</w:t>
      </w:r>
      <w:r>
        <w:rPr/>
        <w:t>，周</w:t>
      </w:r>
      <w:r>
        <w:rPr/>
        <w:t>ATR3.017661</w:t>
      </w:r>
      <w:r>
        <w:rPr/>
        <w:t>、占</w:t>
      </w:r>
      <w:r>
        <w:rPr/>
        <w:t>9.86%</w:t>
      </w:r>
      <w:r>
        <w:rPr/>
        <w:t>。二十日均线距离仅</w:t>
      </w:r>
      <w:r>
        <w:rPr/>
        <w:t>0.79%</w:t>
      </w:r>
      <w:r>
        <w:rPr/>
        <w:t>远小于日波动，单日失守不宜机械当中期趋势终结；反过来，公司公告可能跳空超</w:t>
      </w:r>
      <w:r>
        <w:rPr/>
        <w:t>ATR</w:t>
      </w:r>
      <w:r>
        <w:rPr/>
        <w:t>，不能按固定波幅保证卖出价格。风险管理需要资金承受和情景损失一起衡量，技术价位只是观察，不是合约保护。</w:t>
      </w:r>
    </w:p>
    <w:p>
      <w:pPr>
        <w:pStyle w:val="Normal"/>
        <w:rPr/>
      </w:pPr>
      <w:r>
        <w:rPr/>
        <w:t>近五周均量</w:t>
      </w:r>
      <w:r>
        <w:rPr/>
        <w:t>2505</w:t>
      </w:r>
      <w:r>
        <w:rPr/>
        <w:t>万、二十周</w:t>
      </w:r>
      <w:r>
        <w:rPr/>
        <w:t>3828</w:t>
      </w:r>
      <w:r>
        <w:rPr/>
        <w:t>万、六十周</w:t>
      </w:r>
      <w:r>
        <w:rPr/>
        <w:t>3525</w:t>
      </w:r>
      <w:r>
        <w:rPr/>
        <w:t>万股，近期收敛；二十周上涨十一、下跌九，总量比</w:t>
      </w:r>
      <w:r>
        <w:rPr/>
        <w:t>1.929</w:t>
      </w:r>
      <w:r>
        <w:rPr/>
        <w:t>，平均每周约</w:t>
      </w:r>
      <w:r>
        <w:rPr/>
        <w:t>1.579</w:t>
      </w:r>
      <w:r>
        <w:rPr/>
        <w:t>。上行周量较大支持复苏过程，但基准周假期和交易天数影响周量，不能等同完整周同比。若突破伴持续量且现金证据改善可提高技术分，若冲高后快速跌回均线则须下调。</w:t>
      </w:r>
    </w:p>
    <w:p>
      <w:pPr>
        <w:pStyle w:val="Heading2"/>
        <w:rPr/>
      </w:pPr>
      <w:r>
        <w:rPr>
          <w:color w:val="000000"/>
        </w:rPr>
        <w:t>二十五 半年判断与反证</w:t>
      </w:r>
    </w:p>
    <w:p>
      <w:pPr>
        <w:pStyle w:val="Normal"/>
        <w:rPr/>
      </w:pPr>
      <w:r>
        <w:rPr/>
        <w:t>半年</w:t>
      </w:r>
      <w:r>
        <w:rPr/>
        <w:t>41.438</w:t>
      </w:r>
      <w:r>
        <w:rPr/>
        <w:t>港元基准、</w:t>
      </w:r>
      <w:r>
        <w:rPr/>
        <w:t>35.42%</w:t>
      </w:r>
      <w:r>
        <w:rPr/>
        <w:t>回报，悲观</w:t>
      </w:r>
      <w:r>
        <w:rPr/>
        <w:t>14.257</w:t>
      </w:r>
      <w:r>
        <w:rPr/>
        <w:t>、乐观</w:t>
      </w:r>
      <w:r>
        <w:rPr/>
        <w:t>70.314</w:t>
      </w:r>
      <w:r>
        <w:rPr/>
        <w:t>；评分</w:t>
      </w:r>
      <w:r>
        <w:rPr/>
        <w:t>72.4</w:t>
      </w:r>
      <w:r>
        <w:rPr/>
        <w:t>。估值</w:t>
      </w:r>
      <w:r>
        <w:rPr/>
        <w:t>3.3</w:t>
      </w:r>
      <w:r>
        <w:rPr/>
        <w:t>、技术</w:t>
      </w:r>
      <w:r>
        <w:rPr/>
        <w:t>3.7</w:t>
      </w:r>
      <w:r>
        <w:rPr/>
        <w:t>、经营</w:t>
      </w:r>
      <w:r>
        <w:rPr/>
        <w:t>3.9</w:t>
      </w:r>
      <w:r>
        <w:rPr/>
        <w:t>、周期</w:t>
      </w:r>
      <w:r>
        <w:rPr/>
        <w:t>4.2</w:t>
      </w:r>
      <w:r>
        <w:rPr/>
        <w:t>、催化</w:t>
      </w:r>
      <w:r>
        <w:rPr/>
        <w:t>4.1</w:t>
      </w:r>
      <w:r>
        <w:rPr/>
        <w:t>、风险</w:t>
      </w:r>
      <w:r>
        <w:rPr/>
        <w:t>2.7</w:t>
      </w:r>
      <w:r>
        <w:rPr/>
        <w:t>按统一权重计算。逻辑是</w:t>
      </w:r>
      <w:r>
        <w:rPr/>
        <w:t>2026</w:t>
      </w:r>
      <w:r>
        <w:rPr/>
        <w:t>年报与</w:t>
      </w:r>
      <w:r>
        <w:rPr/>
        <w:t>2027</w:t>
      </w:r>
      <w:r>
        <w:rPr/>
        <w:t>订单支持正常盈利、</w:t>
      </w:r>
      <w:r>
        <w:rPr/>
        <w:t>CDMO</w:t>
      </w:r>
      <w:r>
        <w:rPr/>
        <w:t>利润率修复和上行趋势延续。尚无高置信订单金额、产能利用与自由现金改善保证，因此低于最强推荐梯队。</w:t>
      </w:r>
    </w:p>
    <w:p>
      <w:pPr>
        <w:pStyle w:val="Normal"/>
        <w:rPr/>
      </w:pPr>
      <w:r>
        <w:rPr/>
        <w:t>期限内应观察年报收入是否达到增长指引、毛利变化来自哪种分子、经营现金与合同比例、资本开支和再融资安排。年报证明经营改善，可以让市场提高</w:t>
      </w:r>
      <w:r>
        <w:rPr/>
        <w:t>2027PE</w:t>
      </w:r>
      <w:r>
        <w:rPr/>
        <w:t>；如果仍主要靠股权或债务填投资，需维持融资折扣。股价突破</w:t>
      </w:r>
      <w:r>
        <w:rPr/>
        <w:t>33</w:t>
      </w:r>
      <w:r>
        <w:rPr/>
        <w:t>至</w:t>
      </w:r>
      <w:r>
        <w:rPr/>
        <w:t>35</w:t>
      </w:r>
      <w:r>
        <w:rPr/>
        <w:t>而同期数据没有改善可能只是估值情绪，不能再用同一走势加一轮基本面得分。</w:t>
      </w:r>
    </w:p>
    <w:p>
      <w:pPr>
        <w:pStyle w:val="Normal"/>
        <w:rPr/>
      </w:pPr>
      <w:r>
        <w:rPr/>
        <w:t>半年反证是全年收入或订单明显低预期、临床与海外成本不改善、人民币压力扩大、产能支出增加及银行融资条件恶化。技术失效包括持续跌破</w:t>
      </w:r>
      <w:r>
        <w:rPr/>
        <w:t>28.4</w:t>
      </w:r>
      <w:r>
        <w:rPr/>
        <w:t>与</w:t>
      </w:r>
      <w:r>
        <w:rPr/>
        <w:t>27.02</w:t>
      </w:r>
      <w:r>
        <w:rPr/>
        <w:t>观察区并有量或相对弱确认，单日波动不必立即推翻经营。若订单继续好而现金持续坏，应降低估值输入，而不是用下一年项目加值掩盖半年判断失败。</w:t>
      </w:r>
    </w:p>
    <w:p>
      <w:pPr>
        <w:pStyle w:val="Heading2"/>
        <w:rPr/>
      </w:pPr>
      <w:r>
        <w:rPr>
          <w:color w:val="000000"/>
        </w:rPr>
        <w:t>二十六 一年与三年判断</w:t>
      </w:r>
    </w:p>
    <w:p>
      <w:pPr>
        <w:pStyle w:val="Normal"/>
        <w:rPr/>
      </w:pPr>
      <w:r>
        <w:rPr/>
        <w:t>一年基准</w:t>
      </w:r>
      <w:r>
        <w:rPr/>
        <w:t>51.122</w:t>
      </w:r>
      <w:r>
        <w:rPr/>
        <w:t>港元、股价</w:t>
      </w:r>
      <w:r>
        <w:rPr/>
        <w:t>67.06%</w:t>
      </w:r>
      <w:r>
        <w:rPr/>
        <w:t>、含息</w:t>
      </w:r>
      <w:r>
        <w:rPr/>
        <w:t>67.93%</w:t>
      </w:r>
      <w:r>
        <w:rPr/>
        <w:t>，评分</w:t>
      </w:r>
      <w:r>
        <w:rPr/>
        <w:t>75.8</w:t>
      </w:r>
      <w:r>
        <w:rPr/>
        <w:t>，使用</w:t>
      </w:r>
      <w:r>
        <w:rPr/>
        <w:t>2028</w:t>
      </w:r>
      <w:r>
        <w:rPr/>
        <w:t>盈利和二十九倍。比近期机构目标高，必须依靠新一年收入与盈利加速而非称目标价一致。</w:t>
      </w:r>
      <w:r>
        <w:rPr/>
        <w:t>2027</w:t>
      </w:r>
      <w:r>
        <w:rPr/>
        <w:t>年到期债应有明确转股或偿还，国内外商业供应、持续客户扩单及毛利率足够支撑</w:t>
      </w:r>
      <w:r>
        <w:rPr/>
        <w:t>2028EPS1.60</w:t>
      </w:r>
      <w:r>
        <w:rPr/>
        <w:t>。若转股价因汇率调整或价格不足而未实现，需把债现金和融资利息重算。</w:t>
      </w:r>
    </w:p>
    <w:p>
      <w:pPr>
        <w:pStyle w:val="Normal"/>
        <w:rPr/>
      </w:pPr>
      <w:r>
        <w:rPr/>
        <w:t>一年失败路径包括客户临床或商业化需求不达、</w:t>
      </w:r>
      <w:r>
        <w:rPr/>
        <w:t>GLP-1</w:t>
      </w:r>
      <w:r>
        <w:rPr/>
        <w:t>供应额低于预期、新分子订单小而设施固定成本大、客户压价、海外亏损与政策限制。还要看少数股东和激励分母；利润超过预测但股数也超过预测可能使每股回报不足。真正收益来源是普通股每股持续盈利增加，不能只凭总收入或订单百分数。</w:t>
      </w:r>
    </w:p>
    <w:p>
      <w:pPr>
        <w:pStyle w:val="Normal"/>
        <w:rPr/>
      </w:pPr>
      <w:r>
        <w:rPr/>
        <w:t>三年基准</w:t>
      </w:r>
      <w:r>
        <w:rPr/>
        <w:t>58.727</w:t>
      </w:r>
      <w:r>
        <w:rPr/>
        <w:t>港元、含息</w:t>
      </w:r>
      <w:r>
        <w:rPr/>
        <w:t>95.44%</w:t>
      </w:r>
      <w:r>
        <w:rPr/>
        <w:t>、年化</w:t>
      </w:r>
      <w:r>
        <w:rPr/>
        <w:t>25.03%</w:t>
      </w:r>
      <w:r>
        <w:rPr/>
        <w:t>，</w:t>
      </w:r>
      <w:r>
        <w:rPr/>
        <w:t>78.1</w:t>
      </w:r>
      <w:r>
        <w:rPr/>
        <w:t>分。到</w:t>
      </w:r>
      <w:r>
        <w:rPr/>
        <w:t>2029</w:t>
      </w:r>
      <w:r>
        <w:rPr/>
        <w:t>收入</w:t>
      </w:r>
      <w:r>
        <w:rPr/>
        <w:t>271.6</w:t>
      </w:r>
      <w:r>
        <w:rPr/>
        <w:t>亿元、毛利约</w:t>
      </w:r>
      <w:r>
        <w:rPr/>
        <w:t>36.19%</w:t>
      </w:r>
      <w:r>
        <w:rPr/>
        <w:t>，正常母净</w:t>
      </w:r>
      <w:r>
        <w:rPr/>
        <w:t>38.57</w:t>
      </w:r>
      <w:r>
        <w:rPr/>
        <w:t>亿元，有赖</w:t>
      </w:r>
      <w:r>
        <w:rPr/>
        <w:t>CDMO</w:t>
      </w:r>
      <w:r>
        <w:rPr/>
        <w:t>后期项目和临床效率、实验室技术需求维持。二十七倍较短期收敛，防止把每年增长都给越来越高倍数。现金逐步覆盖资本投入是必须条件，商业生产增长不能伴随无限银行债。</w:t>
      </w:r>
    </w:p>
    <w:p>
      <w:pPr>
        <w:pStyle w:val="Normal"/>
        <w:rPr/>
      </w:pPr>
      <w:r>
        <w:rPr/>
        <w:t>三年反证是新设施利用不足、净服务价持续下移、研发与管理费用长期比收入更快、客户分散供应导致平台转化降低和商业订单高度集中。若</w:t>
      </w:r>
      <w:r>
        <w:rPr/>
        <w:t>AI</w:t>
      </w:r>
      <w:r>
        <w:rPr/>
        <w:t>提高行业效率但收费下降，公司未必全享技术红利。政策或数据限制导致更多海外生产又使成本上升，应重设利润率。三年延长给执行时间，不授权忽视近年失败证据。</w:t>
      </w:r>
    </w:p>
    <w:p>
      <w:pPr>
        <w:pStyle w:val="Heading2"/>
        <w:rPr/>
      </w:pPr>
      <w:r>
        <w:rPr>
          <w:color w:val="000000"/>
        </w:rPr>
        <w:t>二十七 五年与十年持续性</w:t>
      </w:r>
    </w:p>
    <w:p>
      <w:pPr>
        <w:pStyle w:val="Normal"/>
        <w:rPr/>
      </w:pPr>
      <w:r>
        <w:rPr/>
        <w:t>五年基准</w:t>
      </w:r>
      <w:r>
        <w:rPr/>
        <w:t>70.728</w:t>
      </w:r>
      <w:r>
        <w:rPr/>
        <w:t>港元、股价</w:t>
      </w:r>
      <w:r>
        <w:rPr/>
        <w:t>131.14%</w:t>
      </w:r>
      <w:r>
        <w:rPr/>
        <w:t>、含息</w:t>
      </w:r>
      <w:r>
        <w:rPr/>
        <w:t>138.83%</w:t>
      </w:r>
      <w:r>
        <w:rPr/>
        <w:t>、年化</w:t>
      </w:r>
      <w:r>
        <w:rPr/>
        <w:t>19.02%</w:t>
      </w:r>
      <w:r>
        <w:rPr/>
        <w:t>，</w:t>
      </w:r>
      <w:r>
        <w:rPr/>
        <w:t>78.5</w:t>
      </w:r>
      <w:r>
        <w:rPr/>
        <w:t>分。目标</w:t>
      </w:r>
      <w:r>
        <w:rPr/>
        <w:t>2031</w:t>
      </w:r>
      <w:r>
        <w:rPr/>
        <w:t>收入</w:t>
      </w:r>
      <w:r>
        <w:rPr/>
        <w:t>348.1</w:t>
      </w:r>
      <w:r>
        <w:rPr/>
        <w:t>亿元、正常母净</w:t>
      </w:r>
      <w:r>
        <w:rPr/>
        <w:t>53.06</w:t>
      </w:r>
      <w:r>
        <w:rPr/>
        <w:t>亿元、约</w:t>
      </w:r>
      <w:r>
        <w:rPr/>
        <w:t>19.80</w:t>
      </w:r>
      <w:r>
        <w:rPr/>
        <w:t>亿股及二十四倍。利润增长来自业务成熟与交付效率，</w:t>
      </w:r>
      <w:r>
        <w:rPr/>
        <w:t>PE</w:t>
      </w:r>
      <w:r>
        <w:rPr/>
        <w:t>下降抵消部分收益。这一复利需要多个服务分部和客户连续贡献，不靠特定药物一次成功或某年股权公允值收益。</w:t>
      </w:r>
    </w:p>
    <w:p>
      <w:pPr>
        <w:pStyle w:val="Normal"/>
        <w:rPr/>
      </w:pPr>
      <w:r>
        <w:rPr/>
        <w:t>十年机会在于全流程平台拥有多种分子技能、全球质量体系与真实客户协作记录，能够随研发技术和外包需求迭代。公司要持续培训人才、更新设备、支持新方法，允许部分旧设施或业务缩减。新分子和</w:t>
      </w:r>
      <w:r>
        <w:rPr/>
        <w:t>AI</w:t>
      </w:r>
      <w:r>
        <w:rPr/>
        <w:t>不应变成每个周期都追逐高投入概念，而要形成单位资本收益与稳定客户价值。经营规模达到更高水平后，分红与再投资纪律更重要。</w:t>
      </w:r>
    </w:p>
    <w:p>
      <w:pPr>
        <w:pStyle w:val="Normal"/>
        <w:rPr/>
      </w:pPr>
      <w:r>
        <w:rPr/>
        <w:t>十年反证是平台组织复杂导致费用上升，自动化和新方法压低可收费工时，设施误配与并购资产减值，国际客户因供应链偏好离开，或每轮新机会都需要大量增发才维持。创新研发需求长期存在，不保证康龙始终获份额与高利润。只有新增客户合同、持续现金、资本回报和每股记录支持，才可把十年技术故事转成长期推荐。</w:t>
      </w:r>
    </w:p>
    <w:p>
      <w:pPr>
        <w:pStyle w:val="Heading2"/>
        <w:rPr/>
      </w:pPr>
      <w:r>
        <w:rPr>
          <w:color w:val="000000"/>
        </w:rPr>
        <w:t>二十八 执行观察与证据边界</w:t>
      </w:r>
    </w:p>
    <w:p>
      <w:pPr>
        <w:pStyle w:val="Normal"/>
        <w:rPr/>
      </w:pPr>
      <w:r>
        <w:rPr/>
        <w:t>实际跟踪应把订单、收入与现金排列起来：先看新签和成熟项目，再看交付与毛利，最后看回款、资本支出、债务和股数。三者不同步时查具体合同与营运资本，不能立即把所有好消息加分。技术观察以二十和六十日均线、</w:t>
      </w:r>
      <w:r>
        <w:rPr/>
        <w:t>33</w:t>
      </w:r>
      <w:r>
        <w:rPr/>
        <w:t>至</w:t>
      </w:r>
      <w:r>
        <w:rPr/>
        <w:t>35</w:t>
      </w:r>
      <w:r>
        <w:rPr/>
        <w:t>高点及相对恒指为主，行业基准缺失明确，避免用不匹配的指数制造精确比较。</w:t>
      </w:r>
    </w:p>
    <w:p>
      <w:pPr>
        <w:pStyle w:val="Normal"/>
        <w:rPr/>
      </w:pPr>
      <w:r>
        <w:rPr/>
        <w:t>本章完成业务、财务、周期、量价、四期限、年底与外资参照，预测仍是三分部正常盈利和简化年度资金桥。完整项目订单金额、利用率、</w:t>
      </w:r>
      <w:r>
        <w:rPr/>
        <w:t>GLP-1</w:t>
      </w:r>
      <w:r>
        <w:rPr/>
        <w:t>合同额、</w:t>
      </w:r>
      <w:r>
        <w:rPr/>
        <w:t>CB</w:t>
      </w:r>
      <w:r>
        <w:rPr/>
        <w:t>汇率法律路径及三张财务预测缺失保留。字数与计算检查通过不等于这些限制消失。后续源数据改变须更新模型版本、同源总表与文件，避免未刷新的旧目标被误读为最新建议。</w:t>
      </w:r>
    </w:p>
    <w:p>
      <w:pPr>
        <w:pStyle w:val="Heading2"/>
        <w:rPr/>
      </w:pPr>
      <w:r>
        <w:rPr>
          <w:color w:val="000000"/>
        </w:rPr>
        <w:t>来源与复核记录</w:t>
      </w:r>
    </w:p>
    <w:p>
      <w:pPr>
        <w:pStyle w:val="Normal"/>
        <w:rPr/>
      </w:pPr>
      <w:r>
        <w:rPr/>
        <w:t>- [2026</w:t>
      </w:r>
      <w:r>
        <w:rPr/>
        <w:t>中期报告</w:t>
      </w:r>
      <w:r>
        <w:rPr/>
        <w:t>9</w:t>
      </w:r>
      <w:r>
        <w:rPr/>
        <w:t>月</w:t>
      </w:r>
      <w:r>
        <w:rPr/>
        <w:t>23</w:t>
      </w:r>
      <w:r>
        <w:rPr/>
        <w:t>日</w:t>
      </w:r>
      <w:r>
        <w:rPr/>
        <w:t>](https://iis.aastocks.com/20260923/12343058-0.PDF)</w:t>
      </w:r>
      <w:r>
        <w:rPr/>
        <w:t>、</w:t>
      </w:r>
      <w:r>
        <w:rPr/>
        <w:t>[8</w:t>
      </w:r>
      <w:r>
        <w:rPr/>
        <w:t>月</w:t>
      </w:r>
      <w:r>
        <w:rPr/>
        <w:t>20</w:t>
      </w:r>
      <w:r>
        <w:rPr/>
        <w:t>日首次业绩</w:t>
      </w:r>
      <w:r>
        <w:rPr/>
        <w:t>](https://iis.aastocks.com/20260820/12293223-0.PDF)</w:t>
      </w:r>
      <w:r>
        <w:rPr/>
        <w:t>、</w:t>
      </w:r>
      <w:r>
        <w:rPr/>
        <w:t>[A</w:t>
      </w:r>
      <w:r>
        <w:rPr/>
        <w:t>股半年度全文</w:t>
      </w:r>
      <w:r>
        <w:rPr/>
        <w:t>](https://iis.aastocks.com/20260820/12293294-0.PDF)</w:t>
      </w:r>
      <w:r>
        <w:rPr/>
        <w:t>。新分部重列、毛利、收入、现金、债务、股数和费用。以香港</w:t>
      </w:r>
      <w:r>
        <w:rPr/>
        <w:t>IFRS</w:t>
      </w:r>
      <w:r>
        <w:rPr/>
        <w:t>主桥，不混</w:t>
      </w:r>
      <w:r>
        <w:rPr/>
        <w:t>PRC</w:t>
      </w:r>
      <w:r>
        <w:rPr/>
        <w:t>成本。</w:t>
      </w:r>
    </w:p>
    <w:p>
      <w:pPr>
        <w:pStyle w:val="Normal"/>
        <w:rPr/>
      </w:pPr>
      <w:r>
        <w:rPr/>
        <w:t>- [2025</w:t>
      </w:r>
      <w:r>
        <w:rPr/>
        <w:t>年报</w:t>
      </w:r>
      <w:r>
        <w:rPr/>
        <w:t>4</w:t>
      </w:r>
      <w:r>
        <w:rPr/>
        <w:t>月</w:t>
      </w:r>
      <w:r>
        <w:rPr/>
        <w:t>28</w:t>
      </w:r>
      <w:r>
        <w:rPr/>
        <w:t>日</w:t>
      </w:r>
      <w:r>
        <w:rPr/>
        <w:t>](https://iis.aastocks.com/20260428/12128639-0.PDF)</w:t>
      </w:r>
      <w:r>
        <w:rPr/>
        <w:t>、</w:t>
      </w:r>
      <w:r>
        <w:rPr/>
        <w:t>[</w:t>
      </w:r>
      <w:r>
        <w:rPr/>
        <w:t>全年业绩</w:t>
      </w:r>
      <w:r>
        <w:rPr/>
        <w:t>3</w:t>
      </w:r>
      <w:r>
        <w:rPr/>
        <w:t>月</w:t>
      </w:r>
      <w:r>
        <w:rPr/>
        <w:t>30</w:t>
      </w:r>
      <w:r>
        <w:rPr/>
        <w:t>日</w:t>
      </w:r>
      <w:r>
        <w:rPr/>
        <w:t>](https://iis.aastocks.com/20260330/12080158-0.PDF)</w:t>
      </w:r>
      <w:r>
        <w:rPr/>
        <w:t>、</w:t>
      </w:r>
      <w:r>
        <w:rPr/>
        <w:t>[2026</w:t>
      </w:r>
      <w:r>
        <w:rPr/>
        <w:t>第一季</w:t>
      </w:r>
      <w:r>
        <w:rPr/>
        <w:t>4</w:t>
      </w:r>
      <w:r>
        <w:rPr/>
        <w:t>月</w:t>
      </w:r>
      <w:r>
        <w:rPr/>
        <w:t>28</w:t>
      </w:r>
      <w:r>
        <w:rPr/>
        <w:t>日</w:t>
      </w:r>
      <w:r>
        <w:rPr/>
        <w:t>](https://iis.aastocks.com/20260428/12129025-0.PDF)</w:t>
      </w:r>
      <w:r>
        <w:rPr/>
        <w:t>。旧分部和一次投资比较保留。</w:t>
      </w:r>
    </w:p>
    <w:p>
      <w:pPr>
        <w:pStyle w:val="Normal"/>
        <w:rPr/>
      </w:pPr>
      <w:r>
        <w:rPr/>
        <w:t>- [</w:t>
      </w:r>
      <w:r>
        <w:rPr/>
        <w:t>可转债建议</w:t>
      </w:r>
      <w:r>
        <w:rPr/>
        <w:t>8</w:t>
      </w:r>
      <w:r>
        <w:rPr/>
        <w:t>月</w:t>
      </w:r>
      <w:r>
        <w:rPr/>
        <w:t>27</w:t>
      </w:r>
      <w:r>
        <w:rPr/>
        <w:t>日</w:t>
      </w:r>
      <w:r>
        <w:rPr/>
        <w:t>](https://iis.aastocks.com/20260827/12301470-0.PDF)</w:t>
      </w:r>
      <w:r>
        <w:rPr/>
        <w:t>、</w:t>
      </w:r>
      <w:r>
        <w:rPr/>
        <w:t>[</w:t>
      </w:r>
      <w:r>
        <w:rPr/>
        <w:t>完成</w:t>
      </w:r>
      <w:r>
        <w:rPr/>
        <w:t>9</w:t>
      </w:r>
      <w:r>
        <w:rPr/>
        <w:t>月</w:t>
      </w:r>
      <w:r>
        <w:rPr/>
        <w:t>2</w:t>
      </w:r>
      <w:r>
        <w:rPr/>
        <w:t>日</w:t>
      </w:r>
      <w:r>
        <w:rPr/>
        <w:t>](https://iis.aastocks.com/20260902/12316747-0.PDF)</w:t>
      </w:r>
      <w:r>
        <w:rPr/>
        <w:t>、</w:t>
      </w:r>
      <w:r>
        <w:rPr/>
        <w:t>[</w:t>
      </w:r>
      <w:r>
        <w:rPr/>
        <w:t>九月股份月报</w:t>
      </w:r>
      <w:r>
        <w:rPr/>
        <w:t>10</w:t>
      </w:r>
      <w:r>
        <w:rPr/>
        <w:t>月</w:t>
      </w:r>
      <w:r>
        <w:rPr/>
        <w:t>7</w:t>
      </w:r>
      <w:r>
        <w:rPr/>
        <w:t>日</w:t>
      </w:r>
      <w:r>
        <w:rPr/>
        <w:t>](https://iis.aastocks.com/20261007/12365059-0.PDF)</w:t>
      </w:r>
      <w:r>
        <w:rPr/>
        <w:t>。本金、转股、到期、</w:t>
      </w:r>
      <w:r>
        <w:rPr/>
        <w:t>102%</w:t>
      </w:r>
      <w:r>
        <w:rPr/>
        <w:t>发行与不同情景分母。</w:t>
      </w:r>
    </w:p>
    <w:p>
      <w:pPr>
        <w:pStyle w:val="Normal"/>
        <w:rPr/>
      </w:pPr>
      <w:r>
        <w:rPr/>
        <w:t>- [</w:t>
      </w:r>
      <w:r>
        <w:rPr/>
        <w:t>股息更新</w:t>
      </w:r>
      <w:r>
        <w:rPr/>
        <w:t>6</w:t>
      </w:r>
      <w:r>
        <w:rPr/>
        <w:t>月</w:t>
      </w:r>
      <w:r>
        <w:rPr/>
        <w:t>12</w:t>
      </w:r>
      <w:r>
        <w:rPr/>
        <w:t>日</w:t>
      </w:r>
      <w:r>
        <w:rPr/>
        <w:t>](https://iis.aastocks.com/20260612/12201584-0.PDF)</w:t>
      </w:r>
      <w:r>
        <w:rPr/>
        <w:t>。每股</w:t>
      </w:r>
      <w:r>
        <w:rPr/>
        <w:t>0.2299274</w:t>
      </w:r>
      <w:r>
        <w:rPr/>
        <w:t>港元、</w:t>
      </w:r>
      <w:r>
        <w:rPr/>
        <w:t>7</w:t>
      </w:r>
      <w:r>
        <w:rPr/>
        <w:t>月</w:t>
      </w:r>
      <w:r>
        <w:rPr/>
        <w:t>7</w:t>
      </w:r>
      <w:r>
        <w:rPr/>
        <w:t>日除净、</w:t>
      </w:r>
      <w:r>
        <w:rPr/>
        <w:t>7</w:t>
      </w:r>
      <w:r>
        <w:rPr/>
        <w:t>月</w:t>
      </w:r>
      <w:r>
        <w:rPr/>
        <w:t>15</w:t>
      </w:r>
      <w:r>
        <w:rPr/>
        <w:t>日记录、</w:t>
      </w:r>
      <w:r>
        <w:rPr/>
        <w:t>8</w:t>
      </w:r>
      <w:r>
        <w:rPr/>
        <w:t>月</w:t>
      </w:r>
      <w:r>
        <w:rPr/>
        <w:t>7</w:t>
      </w:r>
      <w:r>
        <w:rPr/>
        <w:t>日支付，在基准前排除收益。</w:t>
      </w:r>
    </w:p>
    <w:p>
      <w:pPr>
        <w:pStyle w:val="Normal"/>
        <w:rPr/>
      </w:pPr>
      <w:r>
        <w:rPr/>
        <w:t>- [</w:t>
      </w:r>
      <w:r>
        <w:rPr/>
        <w:t>奖励</w:t>
      </w:r>
      <w:r>
        <w:rPr/>
        <w:t>9</w:t>
      </w:r>
      <w:r>
        <w:rPr/>
        <w:t>月</w:t>
      </w:r>
      <w:r>
        <w:rPr/>
        <w:t>18</w:t>
      </w:r>
      <w:r>
        <w:rPr/>
        <w:t>日</w:t>
      </w:r>
      <w:r>
        <w:rPr/>
        <w:t>](https://iis.aastocks.com/20260918/12337967-0.PDF)</w:t>
      </w:r>
      <w:r>
        <w:rPr/>
        <w:t>、</w:t>
      </w:r>
      <w:r>
        <w:rPr/>
        <w:t>[</w:t>
      </w:r>
      <w:r>
        <w:rPr/>
        <w:t>股东询价转让</w:t>
      </w:r>
      <w:r>
        <w:rPr/>
        <w:t>10</w:t>
      </w:r>
      <w:r>
        <w:rPr/>
        <w:t>月</w:t>
      </w:r>
      <w:r>
        <w:rPr/>
        <w:t>9</w:t>
      </w:r>
      <w:r>
        <w:rPr/>
        <w:t>日</w:t>
      </w:r>
      <w:r>
        <w:rPr/>
        <w:t>](https://iis.aastocks.com/20261009/12369030-0.PDF)</w:t>
      </w:r>
      <w:r>
        <w:rPr/>
        <w:t>。后者网页时间</w:t>
      </w:r>
      <w:r>
        <w:rPr/>
        <w:t>21:24</w:t>
      </w:r>
      <w:r>
        <w:rPr/>
        <w:t>，收盘后信息。</w:t>
      </w:r>
    </w:p>
    <w:p>
      <w:pPr>
        <w:pStyle w:val="Normal"/>
        <w:rPr/>
      </w:pPr>
      <w:r>
        <w:rPr/>
        <w:t xml:space="preserve">- </w:t>
      </w:r>
      <w:r>
        <w:rPr/>
        <w:t>外资公开转述：</w:t>
      </w:r>
      <w:r>
        <w:rPr/>
        <w:t>[</w:t>
      </w:r>
      <w:r>
        <w:rPr/>
        <w:t>高盛</w:t>
      </w:r>
      <w:r>
        <w:rPr/>
        <w:t>9</w:t>
      </w:r>
      <w:r>
        <w:rPr/>
        <w:t>月</w:t>
      </w:r>
      <w:r>
        <w:rPr/>
        <w:t>30</w:t>
      </w:r>
      <w:r>
        <w:rPr/>
        <w:t>日</w:t>
      </w:r>
      <w:r>
        <w:rPr/>
        <w:t>](https://www.aastocks.com/tc/stocks/analysis/stock-aafn-con/03759/AAFN/NOW.1547187/research-report)</w:t>
      </w:r>
      <w:r>
        <w:rPr/>
        <w:t>、</w:t>
      </w:r>
      <w:r>
        <w:rPr/>
        <w:t>[</w:t>
      </w:r>
      <w:r>
        <w:rPr/>
        <w:t>大和</w:t>
      </w:r>
      <w:r>
        <w:rPr/>
        <w:t>8</w:t>
      </w:r>
      <w:r>
        <w:rPr/>
        <w:t>月</w:t>
      </w:r>
      <w:r>
        <w:rPr/>
        <w:t>24</w:t>
      </w:r>
      <w:r>
        <w:rPr/>
        <w:t>日</w:t>
      </w:r>
      <w:r>
        <w:rPr/>
        <w:t>](https://www.aastocks.com/tc/stocks/analysis/stock-aafn-con/03759/AAFN/NOW.1540277/research-report)</w:t>
      </w:r>
      <w:r>
        <w:rPr/>
        <w:t>、</w:t>
      </w:r>
      <w:r>
        <w:rPr/>
        <w:t>[</w:t>
      </w:r>
      <w:r>
        <w:rPr/>
        <w:t>美银</w:t>
      </w:r>
      <w:r>
        <w:rPr/>
        <w:t>8</w:t>
      </w:r>
      <w:r>
        <w:rPr/>
        <w:t>月</w:t>
      </w:r>
      <w:r>
        <w:rPr/>
        <w:t>24</w:t>
      </w:r>
      <w:r>
        <w:rPr/>
        <w:t>日</w:t>
      </w:r>
      <w:r>
        <w:rPr/>
        <w:t>](https://www.aastocks.com/tc/stocks/analysis/stock-aafn-con/03759/AAFN/NOW.1540273/research-report)</w:t>
      </w:r>
      <w:r>
        <w:rPr/>
        <w:t>、</w:t>
      </w:r>
      <w:r>
        <w:rPr/>
        <w:t>[</w:t>
      </w:r>
      <w:r>
        <w:rPr/>
        <w:t>大摩</w:t>
      </w:r>
      <w:r>
        <w:rPr/>
        <w:t>8</w:t>
      </w:r>
      <w:r>
        <w:rPr/>
        <w:t>月</w:t>
      </w:r>
      <w:r>
        <w:rPr/>
        <w:t>21</w:t>
      </w:r>
      <w:r>
        <w:rPr/>
        <w:t>日</w:t>
      </w:r>
      <w:r>
        <w:rPr/>
        <w:t>](https://www.aastocks.com/tc/stocks/analysis/stock-aafn-con/03759/AAFN/NOW.1539898/research-report)</w:t>
      </w:r>
      <w:r>
        <w:rPr/>
        <w:t>、</w:t>
      </w:r>
      <w:r>
        <w:rPr/>
        <w:t>[</w:t>
      </w:r>
      <w:r>
        <w:rPr/>
        <w:t>野村</w:t>
      </w:r>
      <w:r>
        <w:rPr/>
        <w:t>7</w:t>
      </w:r>
      <w:r>
        <w:rPr/>
        <w:t>月</w:t>
      </w:r>
      <w:r>
        <w:rPr/>
        <w:t>27</w:t>
      </w:r>
      <w:r>
        <w:rPr/>
        <w:t>日</w:t>
      </w:r>
      <w:r>
        <w:rPr/>
        <w:t>](https://www.aastocks.com/tc/stocks/analysis/stock-aafn-con/03759/AAFN/NOW.1535082/research-report)</w:t>
      </w:r>
      <w:r>
        <w:rPr/>
        <w:t>、</w:t>
      </w:r>
      <w:r>
        <w:rPr/>
        <w:t>[</w:t>
      </w:r>
      <w:r>
        <w:rPr/>
        <w:t>汇丰</w:t>
      </w:r>
      <w:r>
        <w:rPr/>
        <w:t>7</w:t>
      </w:r>
      <w:r>
        <w:rPr/>
        <w:t>月</w:t>
      </w:r>
      <w:r>
        <w:rPr/>
        <w:t>16</w:t>
      </w:r>
      <w:r>
        <w:rPr/>
        <w:t>日</w:t>
      </w:r>
      <w:r>
        <w:rPr/>
        <w:t>](https://www.aastocks.com/tc/stocks/analysis/stock-aafn-con/03759/AAFN/NOW.1533556/research-report)</w:t>
      </w:r>
      <w:r>
        <w:rPr/>
        <w:t>、</w:t>
      </w:r>
      <w:r>
        <w:rPr/>
        <w:t>[</w:t>
      </w:r>
      <w:r>
        <w:rPr/>
        <w:t>瑞银</w:t>
      </w:r>
      <w:r>
        <w:rPr/>
        <w:t>7</w:t>
      </w:r>
      <w:r>
        <w:rPr/>
        <w:t>月</w:t>
      </w:r>
      <w:r>
        <w:rPr/>
        <w:t>14</w:t>
      </w:r>
      <w:r>
        <w:rPr/>
        <w:t>日</w:t>
      </w:r>
      <w:r>
        <w:rPr/>
        <w:t>](https://www.aastocks.com/tc/stocks/analysis/stock-aafn-con/03759/AAFN/NOW.1533130/research-report)</w:t>
      </w:r>
      <w:r>
        <w:rPr/>
        <w:t>。原研报和精确目标时点缺失。</w:t>
      </w:r>
    </w:p>
    <w:p>
      <w:pPr>
        <w:pStyle w:val="Normal"/>
        <w:rPr/>
      </w:pPr>
      <w:r>
        <w:rPr/>
        <w:t xml:space="preserve">- </w:t>
      </w:r>
      <w:r>
        <w:rPr/>
        <w:t>原生预测和每年现金桥存</w:t>
      </w:r>
      <w:r>
        <w:rPr/>
        <w:t>data/pharmaron_model.json</w:t>
      </w:r>
      <w:r>
        <w:rPr/>
        <w:t>；原文件及正文提取存</w:t>
      </w:r>
      <w:r>
        <w:rPr/>
        <w:t>pharmaron_sources</w:t>
      </w:r>
      <w:r>
        <w:rPr/>
        <w:t>、</w:t>
      </w:r>
      <w:r>
        <w:rPr/>
        <w:t>pharmaron_historical_sources</w:t>
      </w:r>
      <w:r>
        <w:rPr/>
        <w:t>。行情</w:t>
      </w:r>
      <w:r>
        <w:rPr/>
        <w:t>S027</w:t>
      </w:r>
      <w:r>
        <w:rPr/>
        <w:t>见</w:t>
      </w:r>
      <w:r>
        <w:rPr/>
        <w:t>market_snapshot_locked</w:t>
      </w:r>
      <w:r>
        <w:rPr/>
        <w:t>及</w:t>
      </w:r>
      <w:r>
        <w:rPr/>
        <w:t>history/S027</w:t>
      </w:r>
      <w:r>
        <w:rPr/>
        <w:t>，成交股单位与两根</w:t>
      </w:r>
      <w:r>
        <w:rPr/>
        <w:t>OHLC</w:t>
      </w:r>
      <w:r>
        <w:rPr/>
        <w:t>修复可追溯。</w:t>
      </w:r>
      <w:r>
        <w:br w:type="page"/>
      </w:r>
    </w:p>
    <w:p>
      <w:pPr>
        <w:pStyle w:val="Heading1"/>
        <w:rPr/>
      </w:pPr>
      <w:bookmarkStart w:id="7" w:name="__RefHeading___Toc15969_312338234"/>
      <w:bookmarkEnd w:id="7"/>
      <w:r>
        <w:rPr>
          <w:color w:val="000000"/>
        </w:rPr>
        <w:t xml:space="preserve">京东健康 </w:t>
      </w:r>
      <w:r>
        <w:rPr>
          <w:color w:val="000000"/>
        </w:rPr>
        <w:t>06618 HK</w:t>
      </w:r>
    </w:p>
    <w:p>
      <w:pPr>
        <w:pStyle w:val="Normal"/>
        <w:rPr/>
      </w:pPr>
      <w:r>
        <w:rPr/>
        <w:t xml:space="preserve">06618.HK </w:t>
      </w:r>
      <w:r>
        <w:rPr/>
        <w:t xml:space="preserve">现价 </w:t>
      </w:r>
      <w:r>
        <w:rPr/>
        <w:t>36.08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50.37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+39.61%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+39.61%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61.04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+69.18%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+69.18%</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88.86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+146.29%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+149.06%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112.63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+212.17%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+220.48%</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-51.80%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43.32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65.38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+81.21%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42.35HKD</w:t>
      </w:r>
      <w:r>
        <w:rPr/>
        <w:t>，期望股价回报</w:t>
      </w:r>
      <w:r>
        <w:rPr/>
        <w:t>+17.38%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14.37</w:t>
              <w:br/>
              <w:t>-60.17%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50.37</w:t>
              <w:br/>
              <w:t>+39.61%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81.23</w:t>
              <w:br/>
              <w:t>+125.14%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11.99</w:t>
              <w:br/>
              <w:t>-66.77%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61.04</w:t>
              <w:br/>
              <w:t>+69.18%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100.42</w:t>
              <w:br/>
              <w:t>+178.33%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9.21</w:t>
              <w:br/>
              <w:t>-74.47%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88.86</w:t>
              <w:br/>
              <w:t>+146.29%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175.98</w:t>
              <w:br/>
              <w:t>+387.75%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+35.55%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6.78</w:t>
              <w:br/>
              <w:t>-81.21%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112.63</w:t>
              <w:br/>
              <w:t>+212.17%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249.94</w:t>
              <w:br/>
              <w:t>+592.74%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+26.23%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中：报表</w:t>
            </w:r>
            <w:r>
              <w:rPr>
                <w:rFonts w:eastAsia="微软雅黑" w:ascii="微软雅黑" w:hAnsi="微软雅黑"/>
                <w:sz w:val="17"/>
              </w:rPr>
              <w:t>/</w:t>
            </w:r>
            <w:r>
              <w:rPr>
                <w:rFonts w:ascii="微软雅黑" w:hAnsi="微软雅黑" w:eastAsia="微软雅黑"/>
                <w:sz w:val="17"/>
              </w:rPr>
              <w:t>行情高，正常营业率、服务增长、财资税率和长期稀释中低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+32.63%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+39.61%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+46.59%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+60.72%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+69.18%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+77.64%</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+136.60%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+149.06%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+161.51%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+204.46%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+220.48%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+236.51%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I074</w:t>
      </w:r>
      <w:r>
        <w:rPr/>
        <w:t>，证券</w:t>
      </w:r>
      <w:r>
        <w:rPr/>
        <w:t>S085</w:t>
      </w:r>
      <w:r>
        <w:rPr/>
        <w:t>，</w:t>
      </w:r>
      <w:r>
        <w:rPr/>
        <w:t>06618.HK</w:t>
      </w:r>
      <w:r>
        <w:rPr/>
        <w:t>（用户代码</w:t>
      </w:r>
      <w:r>
        <w:rPr/>
        <w:t>6618.HK</w:t>
      </w:r>
      <w:r>
        <w:rPr/>
        <w:t>）；研究初版。统一收盘与信息截止</w:t>
      </w:r>
      <w:r>
        <w:rPr/>
        <w:t>2026-10-09</w:t>
      </w:r>
      <w:r>
        <w:rPr/>
        <w:t>，现价</w:t>
      </w:r>
      <w:r>
        <w:rPr/>
        <w:t>36.08</w:t>
      </w:r>
      <w:r>
        <w:rPr/>
        <w:t>港元，主要财务人民币；人民币兑港币</w:t>
      </w:r>
      <w:r>
        <w:rPr/>
        <w:t>1.10</w:t>
      </w:r>
      <w:r>
        <w:rPr/>
        <w:t>为研究假设。标题、元数据、结论卡、表格、来源及共用宏观不计有效正文。本公司实际经营、财务、技术和期限判断作为独立正文。</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本章判断</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悲观／基准／乐观港元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经营改善、量价确认不足</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14.37</w:t>
            </w:r>
            <w:r>
              <w:rPr>
                <w:rFonts w:ascii="微软雅黑" w:hAnsi="微软雅黑" w:eastAsia="微软雅黑"/>
                <w:sz w:val="17"/>
              </w:rPr>
              <w:t>／</w:t>
            </w:r>
            <w:r>
              <w:rPr>
                <w:rFonts w:eastAsia="微软雅黑" w:ascii="微软雅黑" w:hAnsi="微软雅黑"/>
                <w:sz w:val="17"/>
              </w:rPr>
              <w:t>50.37</w:t>
            </w:r>
            <w:r>
              <w:rPr>
                <w:rFonts w:ascii="微软雅黑" w:hAnsi="微软雅黑" w:eastAsia="微软雅黑"/>
                <w:sz w:val="17"/>
              </w:rPr>
              <w:t>／</w:t>
            </w:r>
            <w:r>
              <w:rPr>
                <w:rFonts w:eastAsia="微软雅黑" w:ascii="微软雅黑" w:hAnsi="微软雅黑"/>
                <w:sz w:val="17"/>
              </w:rPr>
              <w:t>81.23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39.61%</w:t>
            </w:r>
            <w:r>
              <w:rPr>
                <w:rFonts w:ascii="微软雅黑" w:hAnsi="微软雅黑" w:eastAsia="微软雅黑"/>
                <w:sz w:val="17"/>
              </w:rPr>
              <w:t>／</w:t>
            </w:r>
            <w:r>
              <w:rPr>
                <w:rFonts w:eastAsia="微软雅黑" w:ascii="微软雅黑" w:hAnsi="微软雅黑"/>
                <w:sz w:val="17"/>
              </w:rPr>
              <w:t>39.61%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供应链利润与复购成长候选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11.99</w:t>
            </w:r>
            <w:r>
              <w:rPr>
                <w:rFonts w:ascii="微软雅黑" w:hAnsi="微软雅黑" w:eastAsia="微软雅黑"/>
                <w:sz w:val="17"/>
              </w:rPr>
              <w:t>／</w:t>
            </w:r>
            <w:r>
              <w:rPr>
                <w:rFonts w:eastAsia="微软雅黑" w:ascii="微软雅黑" w:hAnsi="微软雅黑"/>
                <w:sz w:val="17"/>
              </w:rPr>
              <w:t>61.04</w:t>
            </w:r>
            <w:r>
              <w:rPr>
                <w:rFonts w:ascii="微软雅黑" w:hAnsi="微软雅黑" w:eastAsia="微软雅黑"/>
                <w:sz w:val="17"/>
              </w:rPr>
              <w:t>／</w:t>
            </w:r>
            <w:r>
              <w:rPr>
                <w:rFonts w:eastAsia="微软雅黑" w:ascii="微软雅黑" w:hAnsi="微软雅黑"/>
                <w:sz w:val="17"/>
              </w:rPr>
              <w:t>100.42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69.18%</w:t>
            </w:r>
            <w:r>
              <w:rPr>
                <w:rFonts w:ascii="微软雅黑" w:hAnsi="微软雅黑" w:eastAsia="微软雅黑"/>
                <w:sz w:val="17"/>
              </w:rPr>
              <w:t>／</w:t>
            </w:r>
            <w:r>
              <w:rPr>
                <w:rFonts w:eastAsia="微软雅黑" w:ascii="微软雅黑" w:hAnsi="微软雅黑"/>
                <w:sz w:val="17"/>
              </w:rPr>
              <w:t>69.18%</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有条件院外供应链核心成长</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9.21</w:t>
            </w:r>
            <w:r>
              <w:rPr>
                <w:rFonts w:ascii="微软雅黑" w:hAnsi="微软雅黑" w:eastAsia="微软雅黑"/>
                <w:sz w:val="17"/>
              </w:rPr>
              <w:t>／</w:t>
            </w:r>
            <w:r>
              <w:rPr>
                <w:rFonts w:eastAsia="微软雅黑" w:ascii="微软雅黑" w:hAnsi="微软雅黑"/>
                <w:sz w:val="17"/>
              </w:rPr>
              <w:t>88.86</w:t>
            </w:r>
            <w:r>
              <w:rPr>
                <w:rFonts w:ascii="微软雅黑" w:hAnsi="微软雅黑" w:eastAsia="微软雅黑"/>
                <w:sz w:val="17"/>
              </w:rPr>
              <w:t>／</w:t>
            </w:r>
            <w:r>
              <w:rPr>
                <w:rFonts w:eastAsia="微软雅黑" w:ascii="微软雅黑" w:hAnsi="微软雅黑"/>
                <w:sz w:val="17"/>
              </w:rPr>
              <w:t>175.98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146.29%</w:t>
            </w:r>
            <w:r>
              <w:rPr>
                <w:rFonts w:ascii="微软雅黑" w:hAnsi="微软雅黑" w:eastAsia="微软雅黑"/>
                <w:sz w:val="17"/>
              </w:rPr>
              <w:t>／</w:t>
            </w:r>
            <w:r>
              <w:rPr>
                <w:rFonts w:eastAsia="微软雅黑" w:ascii="微软雅黑" w:hAnsi="微软雅黑"/>
                <w:sz w:val="17"/>
              </w:rPr>
              <w:t>149.06%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需持续验证渠道和现金质量</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6.78</w:t>
            </w:r>
            <w:r>
              <w:rPr>
                <w:rFonts w:ascii="微软雅黑" w:hAnsi="微软雅黑" w:eastAsia="微软雅黑"/>
                <w:sz w:val="17"/>
              </w:rPr>
              <w:t>／</w:t>
            </w:r>
            <w:r>
              <w:rPr>
                <w:rFonts w:eastAsia="微软雅黑" w:ascii="微软雅黑" w:hAnsi="微软雅黑"/>
                <w:sz w:val="17"/>
              </w:rPr>
              <w:t>112.63</w:t>
            </w:r>
            <w:r>
              <w:rPr>
                <w:rFonts w:ascii="微软雅黑" w:hAnsi="微软雅黑" w:eastAsia="微软雅黑"/>
                <w:sz w:val="17"/>
              </w:rPr>
              <w:t>／</w:t>
            </w:r>
            <w:r>
              <w:rPr>
                <w:rFonts w:eastAsia="微软雅黑" w:ascii="微软雅黑" w:hAnsi="微软雅黑"/>
                <w:sz w:val="17"/>
              </w:rPr>
              <w:t>249.94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212.17%</w:t>
            </w:r>
            <w:r>
              <w:rPr>
                <w:rFonts w:ascii="微软雅黑" w:hAnsi="微软雅黑" w:eastAsia="微软雅黑"/>
                <w:sz w:val="17"/>
              </w:rPr>
              <w:t>／</w:t>
            </w:r>
            <w:r>
              <w:rPr>
                <w:rFonts w:eastAsia="微软雅黑" w:ascii="微软雅黑" w:hAnsi="微软雅黑"/>
                <w:sz w:val="17"/>
              </w:rPr>
              <w:t>220.48%</w:t>
            </w:r>
          </w:p>
        </w:tc>
      </w:tr>
    </w:tbl>
    <w:p>
      <w:pPr>
        <w:pStyle w:val="Normal"/>
        <w:rPr/>
      </w:pPr>
      <w:r>
        <w:rPr/>
      </w:r>
    </w:p>
    <w:p>
      <w:pPr>
        <w:pStyle w:val="Normal"/>
        <w:rPr/>
      </w:pPr>
      <w:r>
        <w:rPr/>
        <w:t>未来累计股息半年</w:t>
      </w:r>
      <w:r>
        <w:rPr/>
        <w:t>0</w:t>
      </w:r>
      <w:r>
        <w:rPr/>
        <w:t>／</w:t>
      </w:r>
      <w:r>
        <w:rPr/>
        <w:t>0</w:t>
      </w:r>
      <w:r>
        <w:rPr/>
        <w:t>／</w:t>
      </w:r>
      <w:r>
        <w:rPr/>
        <w:t>0</w:t>
      </w:r>
      <w:r>
        <w:rPr/>
        <w:t>、一年</w:t>
      </w:r>
      <w:r>
        <w:rPr/>
        <w:t>0</w:t>
      </w:r>
      <w:r>
        <w:rPr/>
        <w:t>／</w:t>
      </w:r>
      <w:r>
        <w:rPr/>
        <w:t>0</w:t>
      </w:r>
      <w:r>
        <w:rPr/>
        <w:t>／</w:t>
      </w:r>
      <w:r>
        <w:rPr/>
        <w:t>0.15</w:t>
      </w:r>
      <w:r>
        <w:rPr/>
        <w:t>、三年</w:t>
      </w:r>
      <w:r>
        <w:rPr/>
        <w:t>0</w:t>
      </w:r>
      <w:r>
        <w:rPr/>
        <w:t>／</w:t>
      </w:r>
      <w:r>
        <w:rPr/>
        <w:t>1</w:t>
      </w:r>
      <w:r>
        <w:rPr/>
        <w:t>／</w:t>
      </w:r>
      <w:r>
        <w:rPr/>
        <w:t>2.5</w:t>
      </w:r>
      <w:r>
        <w:rPr/>
        <w:t>、五年</w:t>
      </w:r>
      <w:r>
        <w:rPr/>
        <w:t>0</w:t>
      </w:r>
      <w:r>
        <w:rPr/>
        <w:t>／</w:t>
      </w:r>
      <w:r>
        <w:rPr/>
        <w:t>3</w:t>
      </w:r>
      <w:r>
        <w:rPr/>
        <w:t>／</w:t>
      </w:r>
      <w:r>
        <w:rPr/>
        <w:t>7</w:t>
      </w:r>
      <w:r>
        <w:rPr/>
        <w:t>港元，均研究假设。基准三年、五年含息年化</w:t>
      </w:r>
      <w:r>
        <w:rPr/>
        <w:t>35.55%</w:t>
      </w:r>
      <w:r>
        <w:rPr/>
        <w:t>、</w:t>
      </w:r>
      <w:r>
        <w:rPr/>
        <w:t>26.23%</w:t>
      </w:r>
      <w:r>
        <w:rPr/>
        <w:t>。全名单名次、梯队和优先排序由总表计算，分差小于</w:t>
      </w:r>
      <w:r>
        <w:rPr/>
        <w:t>3</w:t>
      </w:r>
      <w:r>
        <w:rPr/>
        <w:t>分归同梯队，得分并非获利概率。</w:t>
      </w:r>
    </w:p>
    <w:p>
      <w:pPr>
        <w:pStyle w:val="Normal"/>
        <w:rPr/>
      </w:pPr>
      <w:r>
        <w:rPr/>
        <w:t>年底</w:t>
      </w:r>
      <w:r>
        <w:rPr/>
        <w:t>17.39</w:t>
      </w:r>
      <w:r>
        <w:rPr/>
        <w:t>／</w:t>
      </w:r>
      <w:r>
        <w:rPr/>
        <w:t>43.32</w:t>
      </w:r>
      <w:r>
        <w:rPr/>
        <w:t>／</w:t>
      </w:r>
      <w:r>
        <w:rPr/>
        <w:t>65.38</w:t>
      </w:r>
      <w:r>
        <w:rPr/>
        <w:t>港元，涨跌−</w:t>
      </w:r>
      <w:r>
        <w:rPr/>
        <w:t>51.80%</w:t>
      </w:r>
      <w:r>
        <w:rPr/>
        <w:t>／</w:t>
      </w:r>
      <w:r>
        <w:rPr/>
        <w:t>+20.07%</w:t>
      </w:r>
      <w:r>
        <w:rPr/>
        <w:t>／</w:t>
      </w:r>
      <w:r>
        <w:rPr/>
        <w:t>+81.21%</w:t>
      </w:r>
      <w:r>
        <w:rPr/>
        <w:t>。判断权重</w:t>
      </w:r>
      <w:r>
        <w:rPr/>
        <w:t>25%</w:t>
      </w:r>
      <w:r>
        <w:rPr/>
        <w:t>／</w:t>
      </w:r>
      <w:r>
        <w:rPr/>
        <w:t>50%</w:t>
      </w:r>
      <w:r>
        <w:rPr/>
        <w:t>／</w:t>
      </w:r>
      <w:r>
        <w:rPr/>
        <w:t>25%</w:t>
      </w:r>
      <w:r>
        <w:rPr/>
        <w:t>期望</w:t>
      </w:r>
      <w:r>
        <w:rPr/>
        <w:t>42.3525</w:t>
      </w:r>
      <w:r>
        <w:rPr/>
        <w:t>港元、</w:t>
      </w:r>
      <w:r>
        <w:rPr/>
        <w:t>+17.38%</w:t>
      </w:r>
      <w:r>
        <w:rPr/>
        <w:t>；防御</w:t>
      </w:r>
      <w:r>
        <w:rPr/>
        <w:t>40%</w:t>
      </w:r>
      <w:r>
        <w:rPr/>
        <w:t>／</w:t>
      </w:r>
      <w:r>
        <w:rPr/>
        <w:t>50%</w:t>
      </w:r>
      <w:r>
        <w:rPr/>
        <w:t>／</w:t>
      </w:r>
      <w:r>
        <w:rPr/>
        <w:t>10%</w:t>
      </w:r>
      <w:r>
        <w:rPr/>
        <w:t>为</w:t>
      </w:r>
      <w:r>
        <w:rPr/>
        <w:t>35.154</w:t>
      </w:r>
      <w:r>
        <w:rPr/>
        <w:t>港元、−</w:t>
      </w:r>
      <w:r>
        <w:rPr/>
        <w:t>2.57%</w:t>
      </w:r>
      <w:r>
        <w:rPr/>
        <w:t>；积极</w:t>
      </w:r>
      <w:r>
        <w:rPr/>
        <w:t>10%</w:t>
      </w:r>
      <w:r>
        <w:rPr/>
        <w:t>／</w:t>
      </w:r>
      <w:r>
        <w:rPr/>
        <w:t>50%</w:t>
      </w:r>
      <w:r>
        <w:rPr/>
        <w:t>／</w:t>
      </w:r>
      <w:r>
        <w:rPr/>
        <w:t>40%</w:t>
      </w:r>
      <w:r>
        <w:rPr/>
        <w:t>为</w:t>
      </w:r>
      <w:r>
        <w:rPr/>
        <w:t>49.551</w:t>
      </w:r>
      <w:r>
        <w:rPr/>
        <w:t>港元、</w:t>
      </w:r>
      <w:r>
        <w:rPr/>
        <w:t>+37.34%</w:t>
      </w:r>
      <w:r>
        <w:rPr/>
        <w:t>。情景区间非统计置信区间或最大损失边界。</w:t>
      </w:r>
    </w:p>
    <w:p>
      <w:pPr>
        <w:pStyle w:val="Normal"/>
        <w:rPr/>
      </w:pPr>
      <w:r>
        <w:rPr/>
        <w:t>核心风险为健康品监管及器械补贴基数、药价竞争、母公司流量与关联定价、财资降息及税负、供应商账期、线下租赁与</w:t>
      </w:r>
      <w:r>
        <w:rPr/>
        <w:t>AI</w:t>
      </w:r>
      <w:r>
        <w:rPr/>
        <w:t>研发、医疗责任及股份激励。结论需商品和服务收入增长覆盖常态股份薪酬及履约，核心营业率改善能够转为可持续现金，不能靠理财收益或延长应付账款。证据可信度中：行情和报表高，正常营业率、长期增长及股数假设中低。</w:t>
      </w:r>
    </w:p>
    <w:p>
      <w:pPr>
        <w:pStyle w:val="Heading2"/>
        <w:rPr/>
      </w:pPr>
      <w:r>
        <w:rPr>
          <w:color w:val="000000"/>
        </w:rPr>
        <w:t>一 投资判断的焦点</w:t>
      </w:r>
    </w:p>
    <w:p>
      <w:pPr>
        <w:pStyle w:val="Normal"/>
        <w:rPr/>
      </w:pPr>
      <w:r>
        <w:rPr/>
        <w:t>京东健康的价值来自可信药品和健康产品供应链，以及围绕这些产品形成的专业服务和商户经营生态。它已经具有真实盈利和经营现金，研究重点不是证明互联网医疗存在需求，而是辨认收入增长如何转成普通股收益。商品销售按总额确认，平台广告和部分服务按佣金或收费确认，增长质量不能仅凭总收入判断。供应链效率、费用纪律和财资归属需要分别分析，再连接到每股正常盈利。</w:t>
      </w:r>
    </w:p>
    <w:p>
      <w:pPr>
        <w:pStyle w:val="Normal"/>
        <w:rPr/>
      </w:pPr>
      <w:r>
        <w:rPr/>
        <w:t>二零二五年收入七百三十四点四一四八七亿元，归母盈利五十三点七五四零五亿元；二零二六年上半年收入四百零八点八七八八四亿元，归母盈利三十四点三六八零四亿元。经营规模与利润都已越过早期概念阶段，但集团利润仍包含存款、理财、其他收入和投资变化。进取型研究可以认可院外药市场扩张及平台效率，却不应把调整盈利全额乘高估值后再加全部现金，这会重复计算财资价值。</w:t>
      </w:r>
    </w:p>
    <w:p>
      <w:pPr>
        <w:pStyle w:val="Normal"/>
        <w:rPr/>
      </w:pPr>
      <w:r>
        <w:rPr/>
        <w:t>半年、一年与三年得分存在明显差异，是因为时间允许验证的信息不同。半年股价仍低于多条下降均线，当前量能不足以证明趋势反转；一年能够看到完整年度与后续半年利润，商品、服务和税负更容易分清；三年有机会检验慢病复购和线上渗透，经营权重提高。五年进一步面对渠道替代和医疗责任，不能因目标价更高就认为风险自动下降，未来经营增长需要接受更严格的持续性检验。</w:t>
      </w:r>
    </w:p>
    <w:p>
      <w:pPr>
        <w:pStyle w:val="Normal"/>
        <w:rPr/>
      </w:pPr>
      <w:r>
        <w:rPr/>
        <w:t>本章较偏好一年和三年的有条件成长逻辑，但并不把价格相对历史高点的折扣当作便宜证据。过去高位可能反映过高增长预期、补贴和风险偏好，不能作为应回归的内在价值。现在需要观察毛利率改善能否在常态研发、流量、物流和股份激励后留下利润，同时判断现金是否来自正常商品周转。技术转强可改善半年进入条件，却不能替代财务兑现；长期基本面也不能免除短期估值压缩。</w:t>
      </w:r>
    </w:p>
    <w:p>
      <w:pPr>
        <w:pStyle w:val="Heading2"/>
        <w:rPr/>
      </w:pPr>
      <w:r>
        <w:rPr>
          <w:color w:val="000000"/>
        </w:rPr>
        <w:t>二 商品与服务的收入结构</w:t>
      </w:r>
    </w:p>
    <w:p>
      <w:pPr>
        <w:pStyle w:val="Normal"/>
        <w:rPr/>
      </w:pPr>
      <w:r>
        <w:rPr/>
        <w:t>上半年药品及健康产品商品收入三百三十九点零三五零八亿元，市场、广告及其他服务六十九点八四三七六亿元，分别较去年增加约一成六和一成七。商品占主要规模，服务增长则有较高利润弹性潜力。不过公司只有一个报告分部，未披露完整商品与服务各自营业利润。研究按两类收入建立合并利润桥，不把服务全部假设成高毛利纯利润，也不虚构独立诊疗和人工智能收入数值。</w:t>
      </w:r>
    </w:p>
    <w:p>
      <w:pPr>
        <w:pStyle w:val="Normal"/>
        <w:rPr/>
      </w:pPr>
      <w:r>
        <w:rPr/>
        <w:t>商品业务通过直接采购、库存和履约承担质量与周转责任，收入规模大并不意味着单位资本回报低。有效采购、库存组合、质量管理和及时送达可以降低总成本并支持信任，反过来需要仓储、人员、系统和售后投入。商品价格透明使毛利受到竞争约束，不能无限扩张。估值应连接毛利、履约和营销费用的合计变化，而不是孤立看商品销售额；低毛利高周转与高毛利低周转可能产生不同现金回报。</w:t>
      </w:r>
    </w:p>
    <w:p>
      <w:pPr>
        <w:pStyle w:val="Normal"/>
        <w:rPr/>
      </w:pPr>
      <w:r>
        <w:rPr/>
        <w:t>服务收入含市场、广告和其他服务，不能等同付费医疗服务规模。财报说明增长主要由广告客户数和市场交易增加推动，意味着商户收入与商品需求有关联。平台收入可以由第三方商家贡献，但也依赖广告预算、收费规则和流量效果。若交易疲弱而平台提高收费，短期利润可能改善，长期商户会削减投放或迁移。基准假设服务随真实交易和用户价值扩张，不通过无限提高广告负荷推导长期利润率。</w:t>
      </w:r>
    </w:p>
    <w:p>
      <w:pPr>
        <w:pStyle w:val="Normal"/>
        <w:rPr/>
      </w:pPr>
      <w:r>
        <w:rPr/>
        <w:t>公司年度活跃用户二零二五年约二亿一千七百七十万，定义为过去十二个月至少完成一次购买的用户账户。这个指标不是每天活跃患者，也不是付费医疗会员，更不能等同唯一自然人数。高用户基础可降低跨品类扩张成本，但低频购买和补贴用户对持续利润贡献不同。未来应结合复购、品类结构和获客成本观察增长，本章不凭活跃账户乘任意单用户价值估算独立平台市值，以免与商品服务盈利重复。</w:t>
      </w:r>
    </w:p>
    <w:p>
      <w:pPr>
        <w:pStyle w:val="Heading2"/>
        <w:rPr/>
      </w:pPr>
      <w:r>
        <w:rPr>
          <w:color w:val="000000"/>
        </w:rPr>
        <w:t>三 院外药需求与药品经营</w:t>
      </w:r>
    </w:p>
    <w:p>
      <w:pPr>
        <w:pStyle w:val="Normal"/>
        <w:rPr/>
      </w:pPr>
      <w:r>
        <w:rPr/>
        <w:t>慢病和日常药品的重复需求较稳定，在线购买便利、选择范围和价格比较能够推动院外渠道扩张。京东健康需要持续保证处方合规、药品真伪、储存和配送质量，才可能把一次性交易转为复购。需求稳定也不等于药店利润稳定，药品降价、同品比价、品牌直销和医院渠道会影响毛利。研究把长期需求作为行业支持，将采购能力和单位履约成本作为公司优势是否兑现的关键，而不是把人口趋势直接换成利润增长。</w:t>
      </w:r>
    </w:p>
    <w:p>
      <w:pPr>
        <w:pStyle w:val="Normal"/>
        <w:rPr/>
      </w:pPr>
      <w:r>
        <w:rPr/>
        <w:t>二零二六年上半年公司称上线六十五款新药，涉及慢病和代谢、皮肤、肿瘤及女性健康，并继续与国内外药企合作。这些合作扩大选择并可能提高用户信任，真正商业贡献仍受适应症、支付能力、诊疗规范和供货稳定影响。平台不是这些药物的专利拥有者，不能把药企全球销售潜力全额计入渠道。合作消息只支持商品组合改善，不直接形成独立管线估值；新药收入也不能假定全部是高利润率独家销售。</w:t>
      </w:r>
    </w:p>
    <w:p>
      <w:pPr>
        <w:pStyle w:val="Normal"/>
        <w:rPr/>
      </w:pPr>
      <w:r>
        <w:rPr/>
        <w:t>创新药院外供应需要药事支持、专业咨询和持续跟踪，较普通健康品有更强服务需求。若平台能降低患者寻找信息和合规购药的成本，药企可能更愿意合作，患者复购也更稳定。不过肿瘤或罕见病治疗复杂，互联网平台不能替代线下诊断、化验和医师决策。服务边界需清楚，否则便利性会变成医疗责任风险。估值允许高价值药品改善收入结构，但持续计入药师、患者支持、冷链和合规成本。</w:t>
      </w:r>
    </w:p>
    <w:p>
      <w:pPr>
        <w:pStyle w:val="Normal"/>
        <w:rPr/>
      </w:pPr>
      <w:r>
        <w:rPr/>
        <w:t>集采、医保谈判及仿制药竞争会降低部分药品价格，一方面增加可负担性与交易量，另一方面压低单位销售和绝对毛利。平台需要更多订单或更高采购效率弥补价降，不能把销量增长等同收入同幅增加。商品组合向创新药转移也受支付和处方来源限制。本章不设统一药价永久上涨，基准收入与利润率均需要后续财报支撑，悲观情景包含价降、渠道竞争和费用不易随收入同步降低。</w:t>
      </w:r>
    </w:p>
    <w:p>
      <w:pPr>
        <w:pStyle w:val="Heading2"/>
        <w:rPr/>
      </w:pPr>
      <w:r>
        <w:rPr>
          <w:color w:val="000000"/>
        </w:rPr>
        <w:t>四 健康品与医疗器械的周期</w:t>
      </w:r>
    </w:p>
    <w:p>
      <w:pPr>
        <w:pStyle w:val="Normal"/>
        <w:rPr/>
      </w:pPr>
      <w:r>
        <w:rPr/>
        <w:t>健康营养品兼具消费与健康属性，购买会受收入预期、品牌信任、宣传规范和跨境监管影响。药品需求相对必要，并不保证营养品同样稳健。公开机构材料指出营养品受到监管逆风，本章将其视为待观察风险，未将机构预测当公司已经实现结果。产品合规、营销话术和证据强度需要持续审核，平台不能为了收入接受不适当健康承诺。合规供应商替换和消费者教育可能先增加成本，再带来长期信任。</w:t>
      </w:r>
    </w:p>
    <w:p>
      <w:pPr>
        <w:pStyle w:val="Normal"/>
        <w:rPr/>
      </w:pPr>
      <w:r>
        <w:rPr/>
        <w:t>公司上半年推出健康金选产品线，并与五十余家品牌合作；六一八期间超过一百个相关产品销售超过百万元，是商品推广和选择范围的证据。促销销售额不等于新增利润，产品可能包含原有用户迁移、折扣和推广费用。研究需区分平台筛选、独家组合和真正自主品牌，不能把共同推广称为全部拥有产品研发和品牌产权。长期价值在于降低用户挑选成本和退货，而不是一次大促突破本身。</w:t>
      </w:r>
    </w:p>
    <w:p>
      <w:pPr>
        <w:pStyle w:val="Normal"/>
        <w:rPr/>
      </w:pPr>
      <w:r>
        <w:rPr/>
        <w:t>医疗器械收入可能受补贴及前期高基数影响，家庭监测产品也有较长更换周期。连续血糖监测、睡眠与其他居家设备能与健康管理服务连接，但硬件采购不是永久订阅。平台需要评估售后、数据兼容、适用人群和专业解释责任，设备增长若主要来自补贴，下一年度可能放缓。基准允许高基数逐渐消退并伴随正常需求增长，不把每一项医疗设备政策变动都当长期收入加速的确定原因。</w:t>
      </w:r>
    </w:p>
    <w:p>
      <w:pPr>
        <w:pStyle w:val="Normal"/>
        <w:rPr/>
      </w:pPr>
      <w:r>
        <w:rPr/>
        <w:t>公司把智能手表、连续血糖和呼吸支持等设备接入应用，并以人工智能助手提供数据解释和咨询入口。设备数据对复购和管理有用，前提是用户同意、可靠测量和正确解读。多品牌接口维护需要研发和合作费用，错误建议可能增加声誉和医疗风险。本章把硬件、服务和人工智能收入统一放在已披露两类收入之内，避免同一用户购买设备、使用助手及咨询被拆成三份未经核实独立估值。</w:t>
      </w:r>
    </w:p>
    <w:p>
      <w:pPr>
        <w:pStyle w:val="Heading2"/>
        <w:rPr/>
      </w:pPr>
      <w:r>
        <w:rPr>
          <w:color w:val="000000"/>
        </w:rPr>
        <w:t>五 供应链竞争优势与边界</w:t>
      </w:r>
    </w:p>
    <w:p>
      <w:pPr>
        <w:pStyle w:val="Normal"/>
        <w:rPr/>
      </w:pPr>
      <w:r>
        <w:rPr/>
        <w:t>自营药品供应链能够在货源、储存、配送和售后建立较强控制，尤其适合强调可靠性和时效的需求。规模采购与库存预测可能提高毛利，仓储网络和订单密度也可能降低单位物流成本。优势需要持续投入，竞争者同样能与品牌合作、建设履约网络或使用第三方物流。因此本章以财报毛利和费用结果检验优势，不仅凭公司规模声称不可替代。真正可持续的优势应体现在用户愿意复购且供应商愿意保持合理合作条款。</w:t>
      </w:r>
    </w:p>
    <w:p>
      <w:pPr>
        <w:pStyle w:val="Normal"/>
        <w:rPr/>
      </w:pPr>
      <w:r>
        <w:rPr/>
        <w:t>市场平台和自营之间存在互补，也存在利益冲突。更多第三方商家扩大选择和价格竞争，可能增加广告与佣金；自营承担质量和库存，却要与平台商家共同争取用户。收费政策过强会伤害商家，过度支持自营又可能影响市场公平和监管。研究假设平台通过服务效率扩大整体交易，不能依靠无限压缩第三方利润。服务增长和自营毛利同时上升时，需要核实是否来自真实需求与成本改善，而非短期流量分配。</w:t>
      </w:r>
    </w:p>
    <w:p>
      <w:pPr>
        <w:pStyle w:val="Normal"/>
        <w:rPr/>
      </w:pPr>
      <w:r>
        <w:rPr/>
        <w:t>线下药店和即时配送适合急需药品，但订单小、时间要求高，单位履约成本可能高于集中配送。即时交易可以加强用户认知，也会让平台进入更直接的本地价格和补贴竞争。应按门店覆盖、订单密度和单位贡献观察，不能把门店数当成已盈利客户资产。若门店利用率低，租赁和人力成本需要先承受。基准利润率包含线下常态成本，悲观考虑扩张速度快于订单密度，造成固定费用负担。</w:t>
      </w:r>
    </w:p>
    <w:p>
      <w:pPr>
        <w:pStyle w:val="Normal"/>
        <w:rPr/>
      </w:pPr>
      <w:r>
        <w:rPr/>
        <w:t>医药零售不只与另一家互联网平台竞争，还与线下连锁、医院、药企直销、本地配送和综合电商竞争。各渠道在可信度、价格、处方和时效上有不同长处，用户可以同时使用多种渠道。京东健康的份额提高需要证明总成本与体验优势，而不是假设线上渗透全部归它。长期预测保持成熟估值下降，承认竞争可能限制收费和利润率；即使行业总体增长，公司也可能因渠道位置变化而获得低于行业的回报。</w:t>
      </w:r>
    </w:p>
    <w:p>
      <w:pPr>
        <w:pStyle w:val="Heading2"/>
        <w:rPr/>
      </w:pPr>
      <w:r>
        <w:rPr>
          <w:color w:val="000000"/>
        </w:rPr>
        <w:t>六 医保与全渠道</w:t>
      </w:r>
    </w:p>
    <w:p>
      <w:pPr>
        <w:pStyle w:val="Normal"/>
        <w:rPr/>
      </w:pPr>
      <w:r>
        <w:rPr/>
        <w:t>上半年公司称医保支付覆盖四十个城市，线下京东药房超过四百五十家、覆盖十个城市。它与二零二五年底三百余家自营药房及二十九个医保城市是不同时间的披露，不能互相替代。支付覆盖改善便利性，但不代表所有城市、所有药品、所有用户都可无条件医保结算。研究需要考虑地方政策、支付审核和门店资格，不能把覆盖城市人口全部视为可立即变现客户。扩展后应观察交易、成本和纠纷，而不仅是城市数。</w:t>
      </w:r>
    </w:p>
    <w:p>
      <w:pPr>
        <w:pStyle w:val="Normal"/>
        <w:rPr/>
      </w:pPr>
      <w:r>
        <w:rPr/>
        <w:t>医保能够降低患者自费压力，并增强平台与线下服务连接，但支付合规、风控和数据接口也带来成本。报销标准和采购价格变化可能限制商品毛利，平台不能仅用医保覆盖增加推导高增长。若支付结算速度变慢，会改变应收和现金周转。公司总体商品应收较少提供一定支持，但新增医保业务可能有不同账期。模型没有假设永久零应收，应把未来结算和渠道变化作为现金质量反证的重要来源。</w:t>
      </w:r>
    </w:p>
    <w:p>
      <w:pPr>
        <w:pStyle w:val="Normal"/>
        <w:rPr/>
      </w:pPr>
      <w:r>
        <w:rPr/>
        <w:t>全渠道的合理目的应是匹配不同需求，而不是简单把所有线上用户搬到自有门店。急需、慢病补充、专业咨询和体检具有不同服务流程，能共享用户与库存才可能产生协同。重复建设导致渠道互抢或闲置，会提高单位成本。门店扩张应比较订单密度、服务复购及租赁期限，避免靠总网点数量证明长期价值。公司未披露完整独立门店利润，本章不虚构单店收入、回收期和同店增速，只用合并费用与租赁核实负担。</w:t>
      </w:r>
    </w:p>
    <w:p>
      <w:pPr>
        <w:pStyle w:val="Normal"/>
        <w:rPr/>
      </w:pPr>
      <w:r>
        <w:rPr/>
        <w:t>门店及医疗中心具有医疗质量和人员资质要求，不能照搬普通消费电商的扩张速度。上半年北京综合医疗中心拓展体检、牙科和医美等服务，能够延长健康管理关系，也可能增加专业责任和监管复杂度。不同服务不能共享同一风险判断，医美与基础药品的需求周期也不相同。基准不单独给新中心巨大估值，而要求它在合并收入和费用中体现正常回报；若亏损持续扩大，应降低远期利润率。</w:t>
      </w:r>
    </w:p>
    <w:p>
      <w:pPr>
        <w:pStyle w:val="Heading2"/>
        <w:rPr/>
      </w:pPr>
      <w:r>
        <w:rPr>
          <w:color w:val="000000"/>
        </w:rPr>
        <w:t>七 医疗服务与人工智能</w:t>
      </w:r>
    </w:p>
    <w:p>
      <w:pPr>
        <w:pStyle w:val="Normal"/>
        <w:rPr/>
      </w:pPr>
      <w:r>
        <w:rPr/>
        <w:t>在线医疗服务有助把交易入口延伸到咨询、检查、诊断及购药流程，但各环节需要合规衔接。健康问题复杂，用户信任依赖正确引导和专业人员，免费咨询数量不能直接转成医疗收入。本章只以披露服务收入及合并利润建模，不估算每次人工智能问答的虚拟收费。患者关系若能提高适当复购，价值已反映在商品和服务增长中；同一关系不再另列数据资产或互联网医院独立市值，以避免重复。</w:t>
      </w:r>
    </w:p>
    <w:p>
      <w:pPr>
        <w:pStyle w:val="Normal"/>
        <w:rPr/>
      </w:pPr>
      <w:r>
        <w:rPr/>
        <w:t>京医千询、京东知医、京东卓医和大为医生面向用户、医师及医院的场景不同。医生助手可支持文献与临床资料查询，医院解决方案可支持院外健康管理，用户助手可降低获取信息的门槛。工具是否准确、及时、可解释及受到专业监督，决定能否进入持续流程。公开材料未提供各产品完整收入、成本和续约，本章将应用进展作为催化候选，不能把产品名称或合作医院数视为已经成立的高利润订阅业务。</w:t>
      </w:r>
    </w:p>
    <w:p>
      <w:pPr>
        <w:pStyle w:val="Normal"/>
        <w:rPr/>
      </w:pPr>
      <w:r>
        <w:rPr/>
        <w:t>人工智能可能降低客服、咨询整理、推荐和商品经营成本，也会增加模型研发、计算、质量验证与数据保护费用。医疗领域错误的代价比普通商品推荐更高，需要保留人工复核和合规设计。上半年研发费用增长较收入更快，已说明效率收益不能提前全额计入。本章保留正常研发及股份薪酬，允许三年后效率提高，但必须由单位成本、收入和现金共同验证。用户量增长不等于模型投入已经获得充分资本回报。</w:t>
      </w:r>
    </w:p>
    <w:p>
      <w:pPr>
        <w:pStyle w:val="Normal"/>
        <w:rPr/>
      </w:pPr>
      <w:r>
        <w:rPr/>
        <w:t>公司称大为医生六一八期间服务用户数量同比接近四倍，是特定促销期间的使用证据。它不是全年独立活跃、付费人数，也不能代表咨询质量提高同幅度。免费工具可能引导正确医疗，也可能只是替代原有搜索，不必然增加交易。研究应观察复购、投诉、医生使用和付费服务留存，不能把问答次数乘广告价格估值。若工具要求高补贴或产生错误责任，即使使用增长也应降低催化和经营质量评分。</w:t>
      </w:r>
    </w:p>
    <w:p>
      <w:pPr>
        <w:pStyle w:val="Heading2"/>
        <w:rPr/>
      </w:pPr>
      <w:r>
        <w:rPr>
          <w:color w:val="000000"/>
        </w:rPr>
        <w:t>八 财务增长与核心利润</w:t>
      </w:r>
    </w:p>
    <w:p>
      <w:pPr>
        <w:pStyle w:val="Normal"/>
        <w:rPr/>
      </w:pPr>
      <w:r>
        <w:rPr/>
        <w:t>收入从二零二三年五百三十五点二九九四一亿元、二零二四年五百八十一点五九八八一亿元增至二零二五年七百三十四点四一四八七亿元，说明增长并非均匀直线。商品、健康品需求与行业政策会改变各年度节奏，不能用单个高速年度永久外推。二零二六上半年增速约一成六，低于上一全年，但利润率改善仍较强。研究将规模增长与效率提升分开，同时承认增速放缓会使高估值要求更难满足。</w:t>
      </w:r>
    </w:p>
    <w:p>
      <w:pPr>
        <w:pStyle w:val="Normal"/>
        <w:rPr/>
      </w:pPr>
      <w:r>
        <w:rPr/>
        <w:t>二零二五年毛利一百八十一点九九一六二亿元，扣履约、营销、研发和管理后，核心营业利润计算约三十九点四零七八二亿元。这个计算不包含其他收入、财资和投资变化，并保留财报中的股份薪酬。上半年同样核心利润约三十一点六八零一八亿元，利润率约百分之七点七五。核心盈利已经明显改善，但半年季节性及促销不同，不能简单乘二称全年已实现，目标模型明确属于未来正常盈利假设。</w:t>
      </w:r>
    </w:p>
    <w:p>
      <w:pPr>
        <w:pStyle w:val="Normal"/>
        <w:rPr/>
      </w:pPr>
      <w:r>
        <w:rPr/>
        <w:t>上半年毛利率约百分之二十六点一三，较去年约二十五点二提高；公司解释主要来自商品供应链毛利改善。履约率约百分之十，营销率约四点六，研发约二点二，管理约一点六。毛利和营销共同推动核心营业率改善，而研发继续投入。研究需要辨认改善是否有重复性，若采购议价、商品结构或短期优惠变化不能维持，利润率也会回落。基准不是把当前每个有利变化永久化，而设可核实的正常费用边界。</w:t>
      </w:r>
    </w:p>
    <w:p>
      <w:pPr>
        <w:pStyle w:val="Normal"/>
        <w:rPr/>
      </w:pPr>
      <w:r>
        <w:rPr/>
        <w:t>上半年非国际财务准则经营利润按核心营业利润加股份薪酬计算约三十四点七七一二八亿元，公司披露约三十五亿元、同比增加约四成。调整集团净利三十八点七二六三一亿元与法定三十四点三五四零八亿元是不同口径。调整项含股份薪酬、投资损益及税，不能把两者混称净利润增长。公司费用明细部分股份薪酬为负数转回，但管理为正数，本章按合计保留正常经济成本，不认为所有转回会每年重复。</w:t>
      </w:r>
    </w:p>
    <w:p>
      <w:pPr>
        <w:pStyle w:val="Heading2"/>
        <w:rPr/>
      </w:pPr>
      <w:r>
        <w:rPr>
          <w:color w:val="000000"/>
        </w:rPr>
        <w:t>九 财资 税与利润质量</w:t>
      </w:r>
    </w:p>
    <w:p>
      <w:pPr>
        <w:pStyle w:val="Normal"/>
        <w:rPr/>
      </w:pPr>
      <w:r>
        <w:rPr/>
        <w:t>上半年财资收入六点三六零零九亿元，低于去年八点零八五六三亿元；全年二零二五年十五点三七五三四亿元亦低于上一年十九点六零五零二亿元。降息和资金配置变化都会影响利润，即使商品经营改善也可能被财资减少部分抵销。利息并非无风险永续增长，部分收益来自期限存款和摊余成本理财。模型只纳入有限税后财资净项，再应用普通盈利估值，不把所有资产本金另外加一次。</w:t>
      </w:r>
    </w:p>
    <w:p>
      <w:pPr>
        <w:pStyle w:val="Normal"/>
        <w:rPr/>
      </w:pPr>
      <w:r>
        <w:rPr/>
        <w:t>财报其他收入净项与财资收入不同，上半年其他收入四点七八五六四亿元，全年二零二五年七点六九六一三亿元。理财公允价值变动、外汇和其他项目可能进入不同报表行，不能只剔财资行就称已完全扣除非经营收益。本章核心营业率不含其他收入，税后净项只纳入研究定义的正常有限收益，避免把一次性投资变化全额年化。未来应逐项核实投资变动和业务利润，不能以净利润增长单独确认主营优势。</w:t>
      </w:r>
    </w:p>
    <w:p>
      <w:pPr>
        <w:pStyle w:val="Normal"/>
        <w:rPr/>
      </w:pPr>
      <w:r>
        <w:rPr/>
        <w:t>上半年所得税八点一五三六八亿元，其中当期五点五二三零五、递延二点六三零六三亿元；法定税前利润四十二点五零七七六亿元。税负较去年明显上升，解释了核心经营增长和调整净利增长的差异。递延税不是当前现金支付，却可能影响未来普通股可用收益。目标模型采用百分之二十二正常税因子，属于假设，不把二零二五年较低有效税率永久保留，也不把递延税全额当无成本非现金调整。</w:t>
      </w:r>
    </w:p>
    <w:p>
      <w:pPr>
        <w:pStyle w:val="Normal"/>
        <w:rPr/>
      </w:pPr>
      <w:r>
        <w:rPr/>
        <w:t>二零二五年调整净利含投资损失加回八点四二七零二亿元，股份薪酬五点九零七二四亿元，税调整为扣除二点六七五三一亿元。上半年投资调整则接近小额净收益，不能用上一年较大加回推导未来纯利。调整利润有比较价值，股东实际收益仍受到激励和投资资产风险影响。本章使用正常核心利润和有限财资桥，要求盈利增长能在现金、股数和税负中重现，而不是挑选所有调整项最有利版本。</w:t>
      </w:r>
    </w:p>
    <w:p>
      <w:pPr>
        <w:pStyle w:val="Heading2"/>
        <w:rPr/>
      </w:pPr>
      <w:r>
        <w:rPr>
          <w:color w:val="000000"/>
        </w:rPr>
        <w:t>十 现金流与营运资金</w:t>
      </w:r>
    </w:p>
    <w:p>
      <w:pPr>
        <w:pStyle w:val="Normal"/>
        <w:rPr/>
      </w:pPr>
      <w:r>
        <w:rPr/>
        <w:t>二零二五年经营现金流一百零一点七三九四九亿元，明显高于二零二四年四十三点三二三六七亿元，也高于法定利润。财报解释部分来自营运负债增加，尤其贸易和其他应付，不能把超额现金全称为营业利润现金转换。规模增长可带来供应商融资便利，但应付款终究需要结算。研究需观察增长减慢时现金是否回吐，现金流高于利润是支持证据，也是分析营运资金来源的起点，不是永久高自由现金保证。</w:t>
      </w:r>
    </w:p>
    <w:p>
      <w:pPr>
        <w:pStyle w:val="Normal"/>
        <w:rPr/>
      </w:pPr>
      <w:r>
        <w:rPr/>
        <w:t>上半年经营现金四十四点六一零三亿元，低于去年六十二点四四七二一亿元，法定利润同时增长。这说明期间现金时点和营运资金不同，不能只根据利润给现金质量最高分。收到利息七点七五五四八四亿元已包括在经营现金，支付税五点一九零五亿元。若研究剔财资比较主营现金，需要对收到利息和其他投资调整一致处理；本章现金代理保留披露经营口径，清楚注明财资与账期的贡献。</w:t>
      </w:r>
    </w:p>
    <w:p>
      <w:pPr>
        <w:pStyle w:val="Normal"/>
        <w:rPr/>
      </w:pPr>
      <w:r>
        <w:rPr/>
        <w:t>公司现金流把租赁本金和支付利息列融资，设备及使用权支出列投资，因此本章从经营现金再扣这些项目。二零二五年扣资本及使用权一点五一零零九、租赁本金零点六八零五三、利息零点一一零九八亿元后约九十九点四三七八九亿元。上半年扣零点九零五一三、零点五六二一一和零点零八七四四亿元后约四十三点零五五六二亿元。代理不是无条件可分配现金，尚受营运需求、激励、未来扩张和付款时点限制。</w:t>
      </w:r>
    </w:p>
    <w:p>
      <w:pPr>
        <w:pStyle w:val="Normal"/>
        <w:rPr/>
      </w:pPr>
      <w:r>
        <w:rPr/>
        <w:t>上半年存货七十三点八三五三九亿元，高于年末六十八点五八二一三亿元；贸易应付一百四十四点四九八五一亿元，高于年末一百三十二点零九五四五亿元。较大的应付能减少自有营运资金需求，但库存包括商品结构和备货，不能用单一末期比率判断全年周转优劣。季节性大促亦影响端点。本章不凭期末存货和半年成本直接称精确常态周转天数，而观察同口径走势与后续现金结算。</w:t>
      </w:r>
    </w:p>
    <w:p>
      <w:pPr>
        <w:pStyle w:val="Heading2"/>
        <w:rPr/>
      </w:pPr>
      <w:r>
        <w:rPr>
          <w:color w:val="000000"/>
        </w:rPr>
        <w:t>十一 供应商融资与财务资产</w:t>
      </w:r>
    </w:p>
    <w:p>
      <w:pPr>
        <w:pStyle w:val="Normal"/>
        <w:rPr/>
      </w:pPr>
      <w:r>
        <w:rPr/>
        <w:t>贸易应付中约二十一点九六四九五亿元处于供应商融资安排，供应商已获得金融机构提前支付，京东健康原有付款条款、金额和义务不变。它不是可以再次加到现金的独立筹资收益，也不应把同一应付同时再扣一笔银行债务。财报把相关结算列经营现金，研究尊重其会计口径，同时在流动性压力中观察金融机构服务是否收缩。如果供应商要求更快结算，未来经营现金可能下降，主因是付款时间而非突然新增两次债务。</w:t>
      </w:r>
    </w:p>
    <w:p>
      <w:pPr>
        <w:pStyle w:val="Normal"/>
        <w:rPr/>
      </w:pPr>
      <w:r>
        <w:rPr/>
        <w:t>公司称贸易应付信用期主要三十至九十日，大多数余额在三个月以内，提供一定结算正常支持。账龄正常也不能排除增长放缓时余额减少造成现金回吐，更不能保证供应商愿意永久延长信用。若平台用账期弥补价格竞争，会损害供货合作和谈判。推荐反证包括应付快速增加而采购及订单无对应改善，或供应商反馈与账龄恶化。现金分析需要同时看经营结果与对手方关系，不能仅凭没有银行借款认定无流动性风险。</w:t>
      </w:r>
    </w:p>
    <w:p>
      <w:pPr>
        <w:pStyle w:val="Normal"/>
        <w:rPr/>
      </w:pPr>
      <w:r>
        <w:rPr/>
        <w:t>上半年现金等价二百零四点四五五六四亿元，定期存款一百三十七点二六一三七亿元；公允价值计损益金融资产流动一百三十二点四四零五九亿元、非流动二百零九点三四七五五亿元。另有摊余成本理财流动十八点五七四五二和非流动十三点七六一三三亿元。资产类别很重要，非流动理财和非上市股权不能都视为明日可分配现金。模型不按简单现金总额给股价地板，必须考虑可取用性、市场变化和经营用途。</w:t>
      </w:r>
    </w:p>
    <w:p>
      <w:pPr>
        <w:pStyle w:val="Normal"/>
        <w:rPr/>
      </w:pPr>
      <w:r>
        <w:rPr/>
        <w:t>公允价值理财主要由银行及金融机构发行，没有保证收益，披露预期回报范围不是未来必得利息。摊余成本理财也有期限和对手风险，不能因会计分类更稳定就认为等同活期现金。公司还有已全额减值的关联应收约三点零一五五三亿元，说明关联资产风险并非纯理论。该应收净账面已受减值，不能重新把原额扣成第二次损失，但也不能从历史忽视治理和投资审慎性。推荐保留一定财务和治理风险折扣。</w:t>
      </w:r>
    </w:p>
    <w:p>
      <w:pPr>
        <w:pStyle w:val="Heading2"/>
        <w:rPr/>
      </w:pPr>
      <w:r>
        <w:rPr>
          <w:color w:val="000000"/>
        </w:rPr>
        <w:t>十二 母公司关联关系</w:t>
      </w:r>
    </w:p>
    <w:p>
      <w:pPr>
        <w:pStyle w:val="Normal"/>
        <w:rPr/>
      </w:pPr>
      <w:r>
        <w:rPr/>
        <w:t>京东集团为控股方，提供流量、品牌、物流及后台支持，同时也是京东健康部分服务收入客户。平台能利用成熟基础设施，减少重复建设；利益分配和定价也受集团关系影响。二零二五年底京东集团间接持股约六成七，普通股东无法按自身偏好决定所有战略。研究不把母公司物流和电商资产直接加到京东健康估值，京东健康支付费用才获得服务，相关优势需通过本公司利润和现金体现。</w:t>
      </w:r>
    </w:p>
    <w:p>
      <w:pPr>
        <w:pStyle w:val="Normal"/>
        <w:rPr/>
      </w:pPr>
      <w:r>
        <w:rPr/>
        <w:t>上半年向京东集团提供营销服务收入二十二点一四七亿元，另有其他服务；收到集团物流仓储服务费用二十七点零二五九二亿元，技术流量十五点零六八零八亿元，营销七点一四四二亿元。双向交易规模较大，不能只把关联收入当高质量增长而忽略关联成本。公司说明按协商规则定价，研究仍需比较收入和费用比例、审批及上限变化。内部协同可以有价值，但必须证明本公司外部需求和成本效率，而不是集团转移收入的表面增长。</w:t>
      </w:r>
    </w:p>
    <w:p>
      <w:pPr>
        <w:pStyle w:val="Normal"/>
        <w:rPr/>
      </w:pPr>
      <w:r>
        <w:rPr/>
        <w:t>技术与流量服务部分按集团平台完成订单金额固定比例收费，使费用随业务增长，而非纯固定成本。规模增长因此不会让这部分费用自动趋零，正常利润率假设需要保留。集团也可能调整支持或业务优先级，带来用户入口变化。基准允许其他运营效率改善，不假设全部流量免费永久供给；悲观纳入流量成本上升或外部竞争加剧。若关联费用率持续提高且不能以复购和利润弥补，应下降经营质量和长期得分。</w:t>
      </w:r>
    </w:p>
    <w:p>
      <w:pPr>
        <w:pStyle w:val="Normal"/>
        <w:rPr/>
      </w:pPr>
      <w:r>
        <w:rPr/>
        <w:t>关联服务还包括支付、共享支持和集团授予员工的奖励。集团股份奖励不必直接增加京东健康股数，却是公司员工经济成本的一部分，不能因为母公司承担授予就从正常费用完全删除。研究要区分本公司股权稀释、母公司激励和会计资本贡献，不能将所有股份薪酬都加成同样股数。当前模型从财报核心率保留常态成本，同时经济分母设本公司未来激励储备，以覆盖股东实际承担的分子和分母压力。</w:t>
      </w:r>
    </w:p>
    <w:p>
      <w:pPr>
        <w:pStyle w:val="Heading2"/>
        <w:rPr/>
      </w:pPr>
      <w:r>
        <w:rPr>
          <w:color w:val="000000"/>
        </w:rPr>
        <w:t>十三 资本结构与普通股</w:t>
      </w:r>
    </w:p>
    <w:p>
      <w:pPr>
        <w:pStyle w:val="Normal"/>
        <w:rPr/>
      </w:pPr>
      <w:r>
        <w:rPr/>
        <w:t>九月月报截至月底已发行、排除法律库存股共三十一亿九千零四十八万一千零十一股，法律库存为零，十月七日提交。上半年财报已发行约三十二点一一零七五亿股，包含信托和当时待注销回购，两个时点不能混用。上半年回购二千一百五十四万四千一百股，七月注销，是余额下降的主要解释。模型以截止日前最新月报作资本锚，再设未来经济股数，避免用半年加权平均直接计算当前市值。</w:t>
      </w:r>
    </w:p>
    <w:p>
      <w:pPr>
        <w:pStyle w:val="Normal"/>
        <w:rPr/>
      </w:pPr>
      <w:r>
        <w:rPr/>
        <w:t>财报信托库存股份会计账面负七点五七七零二亿元，不等于月报法律库存股数量。公司控制奖励信托，因此把信托持有股份在合并财报作库存处理；法律发行登记仍可能包含相关已发股份。每股利润分母又按加权平均与潜在稀释计算，这三种口径具有不同目的。本章分别记录而不互相替代，尤其不能拿会计账面金额直接除现价扣出所谓确定未流通股数，实际奖励履行和登记情况需要逐项核实。</w:t>
      </w:r>
    </w:p>
    <w:p>
      <w:pPr>
        <w:pStyle w:val="Normal"/>
        <w:rPr/>
      </w:pPr>
      <w:r>
        <w:rPr/>
        <w:t>月报前上市期权余额约九百四十二万四千零十份，通过既有信托股份履约，不要求新发。后上市期权已授未行使余额为零，而三亿一千二百七十万八千二百一十一是未来全部可授发行上限；不能把上限当成已确定稀释。后上市奖股安排月报可发行约一千三百五十六万四千五百六十七股，还需要与信托已发及未归属奖励核重叠。经济分母作透明假设，不将方案上限一次性全加后声称必发生。</w:t>
      </w:r>
    </w:p>
    <w:p>
      <w:pPr>
        <w:pStyle w:val="Normal"/>
        <w:rPr/>
      </w:pPr>
      <w:r>
        <w:rPr/>
        <w:t>上半年摊薄加权股数约三十二点零四三六二亿，法定摊薄每股收益人民币一点零七元；全年二零二五年约三十一点九六二五一亿、每股一点六八元。加权股数不能代表未来目标日总股数，本章基准多年保持约三十二亿量级并保留激励和回购条件。悲观股数逐年增加体现融资和持续奖励压力，乐观也不假设无止境回购。回购使用现金会减少财资收入，因此资本回报不能同时享有最大回购与全部现金永续利息。</w:t>
      </w:r>
    </w:p>
    <w:p>
      <w:pPr>
        <w:pStyle w:val="Heading2"/>
        <w:rPr/>
      </w:pPr>
      <w:r>
        <w:rPr>
          <w:color w:val="000000"/>
        </w:rPr>
        <w:t>十四 估值方法与当前水平</w:t>
      </w:r>
    </w:p>
    <w:p>
      <w:pPr>
        <w:pStyle w:val="Normal"/>
        <w:rPr/>
      </w:pPr>
      <w:r>
        <w:rPr/>
        <w:t>用二零二五年审计摊薄每股人民币一点六八元、研究汇率一点一零，现价对应约十九点五二倍历史盈利。这与供应商行情市盈率约十九点三四接近，但数据源口径和期间未核，不作为模型输入。上半年摊薄一点零七元简单翻倍对应较低倍数，季节性和财资变动使翻倍不能称正式全年预测。估值比较必须使用同一税、股份薪酬及股数口径，否则历史与前瞻看似便宜可能只是剔除成本造成。</w:t>
      </w:r>
    </w:p>
    <w:p>
      <w:pPr>
        <w:pStyle w:val="Normal"/>
        <w:rPr/>
      </w:pPr>
      <w:r>
        <w:rPr/>
        <w:t>本章目标价格采用目标时点未来十二个月正常商品与服务合并收入，乘正常核心营业率、百分之七十八税后因子，再加有限税后财资、联营、归属及储备净项，除经济摊薄股数，乘合理市盈率及研究汇率。每股人民币先保留六位、价格最后两位，回报由该价格计算。财资净项不是财报某一行原样年化，含对配置、降息、税、融资及投资不确定性的研究判断，全部假设在模型单列。</w:t>
      </w:r>
    </w:p>
    <w:p>
      <w:pPr>
        <w:pStyle w:val="Normal"/>
        <w:rPr/>
      </w:pPr>
      <w:r>
        <w:rPr/>
        <w:t>核心营业率继续扣履约、营销、研发、管理和常态股份薪酬，不包含其他收入及公允价值变化。商品与服务已经涵盖人工智能、市场和医疗业务，不再加独立人工智能现值。模型有限财资进入每股盈利，存款及理财不再额外加全本金。若改为剔财资的企业现金流估值，必须同时调整营业资金、可分配资产、税和模型倍数，不能只取较高结果。单套活动模型保证同一资产只计算一次，并能追溯情景变动。</w:t>
      </w:r>
    </w:p>
    <w:p>
      <w:pPr>
        <w:pStyle w:val="Normal"/>
        <w:rPr/>
      </w:pPr>
      <w:r>
        <w:rPr/>
        <w:t>正常利润率是估值中最敏感且证据较弱的输入。当前半年核心约百分之七点七五，三年基准十点五、五年十一点五意味着服务比重、采购和费用效率持续改善；不是已经披露指引。合并商品仍占大头，高利润率需要履约和流量成本稳定。若收入增长同时要求大量补贴和线下扩张，利润率不可能照表自动提升。本章使用较低悲观利润率及倍数体现这种失败，避免只用销售增长绘制单向上行。</w:t>
      </w:r>
    </w:p>
    <w:p>
      <w:pPr>
        <w:pStyle w:val="Heading2"/>
        <w:rPr/>
      </w:pPr>
      <w:r>
        <w:rPr>
          <w:color w:val="000000"/>
        </w:rPr>
        <w:t>十五 情景经营假设与敏感性</w:t>
      </w:r>
    </w:p>
    <w:p>
      <w:pPr>
        <w:pStyle w:val="Normal"/>
        <w:rPr/>
      </w:pPr>
      <w:r>
        <w:rPr/>
        <w:t>年底悲观、基准、乐观正常商品收入分别六百五十、七百、七百四十亿元，服务一百三十、一百五十、一百六十亿元；正常核心率百分之五点八、八、九点五。它们属于年底市场所估目标时点未来一年盈利，不是二零二六年已核全年收入。市盈率十三、十九、二十三倍，税后财资净项四、十三点五、十六亿元，股数三十二点三、三十二点一、三十二亿量级。价格差来自经营及风险溢价共同改变，不是同一利润乘随意涨跌百分比。</w:t>
      </w:r>
    </w:p>
    <w:p>
      <w:pPr>
        <w:pStyle w:val="Normal"/>
        <w:rPr/>
      </w:pPr>
      <w:r>
        <w:rPr/>
        <w:t>半年基准商品七百六十、服务一百六十五亿元，正常核心率百分之八点三，有限净项十三点五亿元，经济股数三十二点零五亿，市盈率二十倍。目标期已有全年业绩及新年信息，合理性需要验证增长和税负后现金。悲观商品和服务合计七百五十五亿元，核心率五点五、倍数十二，表示监管和价格战使经营承压。乐观一千零二十亿元收入与十点二核心率要求药品和服务较强兑现，不能当高概率结果。</w:t>
      </w:r>
    </w:p>
    <w:p>
      <w:pPr>
        <w:pStyle w:val="Normal"/>
        <w:rPr/>
      </w:pPr>
      <w:r>
        <w:rPr/>
        <w:t>一年基准商品八百二十、服务一百八十五亿元，核心率百分之九、有限净项十四亿元、经济股数三十二亿、市盈率二十一倍。三年基准商品一千一百二十、服务二百八十亿元，核心率十点五，倍数二十；五年一千四百五十与四百二十亿元、核心率十一点五、倍数十八。远期收入与利润率增长一起推动回报，成熟估值则下降。如果服务增长低于假设或单位履约未改善，应下调每股盈利，不能单靠延长目标期限保留高上涨空间。</w:t>
      </w:r>
    </w:p>
    <w:p>
      <w:pPr>
        <w:pStyle w:val="Normal"/>
        <w:rPr/>
      </w:pPr>
      <w:r>
        <w:rPr/>
        <w:t>以一年基准为例，收入一千零五亿元、核心率提高或降低一个百分点，税后正常盈利改变约七点八三九亿元，除三十二亿股后影响每股人民币约零点二四五，再乘二十一倍与汇率，股价约变动五点六六港元。其他输入不变时，合理倍数改变一倍约影响二点九一港元。这个示例揭示利润率和风险偏好对价格都重要，不是精确概率。模型输入改变要重新生成三种快照，旧目标不能自动视为已更新。</w:t>
      </w:r>
    </w:p>
    <w:p>
      <w:pPr>
        <w:pStyle w:val="Heading2"/>
        <w:rPr/>
      </w:pPr>
      <w:r>
        <w:rPr>
          <w:color w:val="000000"/>
        </w:rPr>
        <w:t>十六 半年日线与均线</w:t>
      </w:r>
    </w:p>
    <w:p>
      <w:pPr>
        <w:pStyle w:val="Normal"/>
        <w:rPr/>
      </w:pPr>
      <w:r>
        <w:rPr/>
        <w:t>价格三十六点零八港元，站上二十日均线三十五点三九五，约高百分之一点九四；仍低于六十日三十七点一三四三三、百二十日三十八点六二七八三及二百五十日四十九点零九二六四，距离约负二点八四、负六点六零和负二十六点五一。短期反弹已经存在，中长期价格位置仍弱。不能因为站上一条短线就称多头排列，均线不同周期表达不同成本趋势，半年建议需要更完整的确认。</w:t>
      </w:r>
    </w:p>
    <w:p>
      <w:pPr>
        <w:pStyle w:val="Normal"/>
        <w:rPr/>
      </w:pPr>
      <w:r>
        <w:rPr/>
        <w:t>五个交易日均线斜率二十、六十、百二十、二百五十分别约负零点五零、负零点四九、负一点三八、负一点二五个百分点。全部向下说明历史高价仍影响平均，短弹尚未扭转下降。斜率不是未来回报预测，却使突破后的持续性更重要。若价格短时上穿六十日又跌回，不能机械提高趋势得分。观察条件应包括多个收盘维持、量能和市场相对表现，而不是日内某个瞬间触及均线。</w:t>
      </w:r>
    </w:p>
    <w:p>
      <w:pPr>
        <w:pStyle w:val="Normal"/>
        <w:rPr/>
      </w:pPr>
      <w:r>
        <w:rPr/>
        <w:t>最近二十日最低约三十三点三八、最高三十七点五八，为未经触碰次数筛选的区间观察位，现价距离分别负百分之七点四八和正四点一六。六十日高约四十二点三，距约百分之十七点二四，较远的突破需要消化更广泛历史交易。区间高低点不是精确筹码和必守支撑，消息或市场跳空可以穿越。技术计划应将价格持续性与成交结合，避免把观察位当最大损失或确定卖压。</w:t>
      </w:r>
    </w:p>
    <w:p>
      <w:pPr>
        <w:pStyle w:val="Normal"/>
        <w:rPr/>
      </w:pPr>
      <w:r>
        <w:rPr/>
        <w:t>过去五十二周高约七十一点七、低三十一点八四，现价离高约负四十九点六八、离低正十三点三二；最大区间回撤约百分之五十四点零八。大幅回撤说明风险曾实际发生，但不能判断现价已无下跌空间。低位仍可能因利润下修和倍数压缩再跌，悲观模型甚至低于历史低。技术和估值需要共同评估：历史高位不可当目标锚，历史低位也不可当现金地板，后续信息可能改变整个合理价格范围。</w:t>
      </w:r>
    </w:p>
    <w:p>
      <w:pPr>
        <w:pStyle w:val="Heading2"/>
        <w:rPr/>
      </w:pPr>
      <w:r>
        <w:rPr>
          <w:color w:val="000000"/>
        </w:rPr>
        <w:t>十七 成交量 动量与相对强弱</w:t>
      </w:r>
    </w:p>
    <w:p>
      <w:pPr>
        <w:pStyle w:val="Normal"/>
        <w:rPr/>
      </w:pPr>
      <w:r>
        <w:rPr/>
        <w:t>基准日成交四百九十七万一千四百二十股，成交额约一点七八四六亿元港币，腾讯与新浪对收盘和股数一致；历史与独立日线也核对单位。五、二十、六十日均量约三百二十四点五、六百五十六点四、八百零六点八万股，当日与前二十日均量比约零点七三。五日量明显较弱，短弹尚无放量确认。成交额受价格影响，股数与金额分别看，不能把低量反弹直接称主力吸筹。</w:t>
      </w:r>
    </w:p>
    <w:p>
      <w:pPr>
        <w:pStyle w:val="Normal"/>
        <w:rPr/>
      </w:pPr>
      <w:r>
        <w:rPr/>
        <w:t>最近二十日上涨日总量约七千八百零三万、下跌日四千七百八十二万，比例约一点六三；上涨十二天、下跌七天，另有平日。因此总量偏上部分来自上涨日更多，按日平均后差异需谨慎。涨日总量强于跌日并不自动证明持续资金流入，所有交易有买卖双方。没有逐笔和持仓数据，本章不画精确成交量价格分布，不声称某一价位主力成本；量能只用于验证价格走势参与程度。</w:t>
      </w:r>
    </w:p>
    <w:p>
      <w:pPr>
        <w:pStyle w:val="Normal"/>
        <w:rPr/>
      </w:pPr>
      <w:r>
        <w:rPr/>
        <w:t>日线相对强弱指标约五十二点零六，接近中性；移动平均收敛差值的差离负零点三零八、信号负零点四二四、双倍柱正零点二三一，表示下降动量减轻但尚处负轴。平均真实波幅约一点二五二港元、占价三点四七百分比，短期日常波动不小。这些辅助指标共同说明修复阶段，不应因三个相近动量信号重复加分。评分以价格趋势、量能和相对表现为主，指标用于说明而非自动预测。</w:t>
      </w:r>
    </w:p>
    <w:p>
      <w:pPr>
        <w:pStyle w:val="Normal"/>
        <w:rPr/>
      </w:pPr>
      <w:r>
        <w:rPr/>
        <w:t>二十日股票上涨约百分之四点一六、六十日下降七点九六；相对恒生指数超额约正七点一三、负四点七七，近月改善尚未覆盖较长窗口。对恒生科技参考超额约正七点二二、正五点二一，但恒科不是专属医药零售指数，其自身亦有弱势。研究清楚标明粗粒度参考，不将相对弱指数跑赢称全面市场强势。半年提高技术评分需要持续赢过合理市场基准，并有经营信息支持，而非仅与某个最弱板块比较。</w:t>
      </w:r>
    </w:p>
    <w:p>
      <w:pPr>
        <w:pStyle w:val="Heading2"/>
        <w:rPr/>
      </w:pPr>
      <w:r>
        <w:rPr>
          <w:color w:val="000000"/>
        </w:rPr>
        <w:t>十八 周线与失效条件</w:t>
      </w:r>
    </w:p>
    <w:p>
      <w:pPr>
        <w:pStyle w:val="Normal"/>
        <w:rPr/>
      </w:pPr>
      <w:r>
        <w:rPr/>
        <w:t>周线二十、六十、百二十均线约三十六点七九一、五十点七零六七、四十一点六四，现价均在下方；对应五周斜率约负五点八七、负二点六二、正一点零二。短中期周线仍下降，百二十周略升也不能抵销价格低于它的事实。三年历史只能生成约一百五十七周，二百五十周均线缺失不补造。日线反弹与周线弱势共存，解释半年技术得分较低，也提示短线确认需要跨周观察。</w:t>
      </w:r>
    </w:p>
    <w:p>
      <w:pPr>
        <w:pStyle w:val="Normal"/>
        <w:rPr/>
      </w:pPr>
      <w:r>
        <w:rPr/>
        <w:t>周线近期五、二十、六十平均周量约三千四百二十二、四千六百三十九、四千一百四十万股，最新周与前二十周量比约零点三三。交易日数量和假期会影响周量，不能把未满常态交易周的量比机械当资金撤离。最近二十周涨量约三点一六亿、跌量六点一二亿，上涨七周、下跌十三周，比例约零点五一五。中期量价比日线更弱，缺乏持续趋势反转确认，未来应观察完整交易周和突破后的保持能力。</w:t>
      </w:r>
    </w:p>
    <w:p>
      <w:pPr>
        <w:pStyle w:val="Normal"/>
        <w:rPr/>
      </w:pPr>
      <w:r>
        <w:rPr/>
        <w:t>技术改善条件是价格先稳于二十日均线，再持续越过六十日与三十七点五八观察高，突破伴随高于正常量而非孤立跳空；回踩需仍保持前期结构，并逐步恢复周线二十均线。进一步到三十八点六三与四十二点三附近，需用同一方法验证。这里的放量参考只是比较历史均量，不设能保证盈利的魔法阈值。新财报或监管消息有时可使价格重新定价，即使技术突破也需要核实经营。</w:t>
      </w:r>
    </w:p>
    <w:p>
      <w:pPr>
        <w:pStyle w:val="Normal"/>
        <w:rPr/>
      </w:pPr>
      <w:r>
        <w:rPr/>
        <w:t>失效观察包括跌回三十三点三八且连续弱收盘、下跌量扩大、相对恒指继续走弱，或跌破三十一点八四同时盈利预期下修。失效不等于固定止损承诺，跳空、滑点和市场流动性可使实际损失超过观察范围。若只是低量短回撤而核心利润稳定，技术暂弱可能适合继续等待信息；若利润与现金同时变差，就应重估基本面。半年逻辑不能用五年愿景自动豁免任何失败信号，期限内证据需独立成立。</w:t>
      </w:r>
    </w:p>
    <w:p>
      <w:pPr>
        <w:pStyle w:val="Heading2"/>
        <w:rPr/>
      </w:pPr>
      <w:r>
        <w:rPr>
          <w:color w:val="000000"/>
        </w:rPr>
        <w:t>十九 半年与一年逻辑</w:t>
      </w:r>
    </w:p>
    <w:p>
      <w:pPr>
        <w:pStyle w:val="Normal"/>
        <w:rPr/>
      </w:pPr>
      <w:r>
        <w:rPr/>
        <w:t>半年基准目标五十点三七港元、涨幅约三成九点六，需要正常盈利扩张及市场认可二十倍估值共同发生。催化包括双十一商品服务表现、器械和营养品监管影响的变化、全年财报以及回购后的资本资料。大促实际财务尚未公开，不提前称表现强劲；财报确认时间也不固定为必涨窗口。半年投资的主要失败是销量不足、费用回升或市场仍压低倍数，即使长期行业需求稳定，短期收益仍可能与基本面方向不同。</w:t>
      </w:r>
    </w:p>
    <w:p>
      <w:pPr>
        <w:pStyle w:val="Normal"/>
        <w:rPr/>
      </w:pPr>
      <w:r>
        <w:rPr/>
        <w:t>半年悲观十四点三七港元约负六成，反映核心率下降、有限财资减少、稀释和估值十二倍，远低于当前技术观察位。这样的模型差异是盈利和风险溢价压力，不代表未来一定到达，亦不代表损失封顶。乐观八十一点二三约正一倍二成五，需要收入、服务和利润率强于基准，技术持续转强只是配合条件。进取标准应看到上行，同时理解上行依赖多项输入一起兑现，不能把乐观目标视为理应回归的历史水平。</w:t>
      </w:r>
    </w:p>
    <w:p>
      <w:pPr>
        <w:pStyle w:val="Normal"/>
        <w:rPr/>
      </w:pPr>
      <w:r>
        <w:rPr/>
        <w:t>一年基准六十一点零四港元、涨幅约六成九点二，与部分公开外资参考接近，但来自独立经营桥和二十一倍估值，并非机构平均简单复制。一年允许核实供应链改善的持续性、服务广告收费、财资配置及实际税率，证据更丰富。推荐成立需商品和服务增长覆盖常态成本，同时经营现金稳定；如果核心率只有当前或更低，目标应下调。盈利改善不是等候市盈率无限提高，模型主要收益来自每股正常盈利增长。</w:t>
      </w:r>
    </w:p>
    <w:p>
      <w:pPr>
        <w:pStyle w:val="Normal"/>
        <w:rPr/>
      </w:pPr>
      <w:r>
        <w:rPr/>
        <w:t>一年失败路径包括营养品恢复不及预期、器械补贴基数结束却无正常增长、药品价格战或供应商条件收紧。若商品增长靠折扣且服务广告没有现金支持，合并毛利改善可能难维持。股价低倍数可能是风险补偿，并非市场必会纠正的错误。技术得分仍低于经营得分，进入条件需要结合自身波动承受能力；本章提供统一研究排名而不假设用户具体资金、负债或持仓，不能把公司得分直接转换成应满仓比例。</w:t>
      </w:r>
    </w:p>
    <w:p>
      <w:pPr>
        <w:pStyle w:val="Heading2"/>
        <w:rPr/>
      </w:pPr>
      <w:r>
        <w:rPr>
          <w:color w:val="000000"/>
        </w:rPr>
        <w:t>二十 三年 五年与十年经营</w:t>
      </w:r>
    </w:p>
    <w:p>
      <w:pPr>
        <w:pStyle w:val="Normal"/>
        <w:rPr/>
      </w:pPr>
      <w:r>
        <w:rPr/>
        <w:t>三年基准八十八点八六港元、含息总回报約一倍四成九，年化约三成五点五五。经营逻辑是院外药和专业服务增加复购，服务占比和供应链效率改善，同时估值二十倍较一年下降。实现它需要长期收入持续增长，并不是只把同一年盈利延后三年。累积现金股息一港元为研究假设，公司尚未承诺相关政策；现金回报若通过回购，也要同步调整财资和股数，不能把相同现金重复计成股息与无限回购收益。</w:t>
      </w:r>
    </w:p>
    <w:p>
      <w:pPr>
        <w:pStyle w:val="Normal"/>
        <w:rPr/>
      </w:pPr>
      <w:r>
        <w:rPr/>
        <w:t>三年失败最值得观察的是渠道议价能力。医院和药企直销、其他平台或本地药房可能通过处方与支付入口掌握用户，使京东健康承担物流却收不到充分服务价值。平台规模仍增但利润率停滞，将明显压低三年目标。人工智能若让咨询更容易获得，也可能削弱原有入口，而不只降低成本。长期评分因此不能仅按市场空间，必须反复检验公司在价值链中的分配地位，以及每股经营收益是否比收入增长更可靠。</w:t>
      </w:r>
    </w:p>
    <w:p>
      <w:pPr>
        <w:pStyle w:val="Normal"/>
        <w:rPr/>
      </w:pPr>
      <w:r>
        <w:rPr/>
        <w:t>五年基准一百一十二点六三港元、累积假设股息三港元，含息总回报约二倍二成零、年化二成六点二三。基准要求商品与健康管理关系更成熟，服务扩张又保持医疗信任，正常核心率十一点五。合理倍数十八反映企业逐步成熟，不让远期高增长和无限高倍数同时存在。五年悲观六点七八说明竞争与股数压力可持续侵蚀回报，不是净资产清算估值；投资者不能把期末现金资源按现值永久冻结。</w:t>
      </w:r>
    </w:p>
    <w:p>
      <w:pPr>
        <w:pStyle w:val="Normal"/>
        <w:rPr/>
      </w:pPr>
      <w:r>
        <w:rPr/>
        <w:t>十年经营持续性应从三个可验证问题出发：平台能否保持合规可靠供货，能否通过服务建立自愿复购，能否在多渠道和人工智能变化中保留合理收益分配。人口健康需求可能增长，渠道形式却会变化，产品价格也受公共支付约束。本章不提供未经核实十年精确股价，经营展望以条件和反证为主。若平台逐渐成为低毛利通用配送商，收入仍有规模而投资回报下降；若服务具有信任与效率，长期每股现金才有持续价值。</w:t>
      </w:r>
    </w:p>
    <w:p>
      <w:pPr>
        <w:pStyle w:val="Heading2"/>
        <w:rPr/>
      </w:pPr>
      <w:r>
        <w:rPr>
          <w:color w:val="000000"/>
        </w:rPr>
        <w:t>二十一 年底专项与外资目标</w:t>
      </w:r>
    </w:p>
    <w:p>
      <w:pPr>
        <w:pStyle w:val="Normal"/>
        <w:rPr/>
      </w:pPr>
      <w:r>
        <w:rPr/>
        <w:t>年底距研究截止较近，目标主要反映剩余信息和风险偏好对未来正常盈利的重估，不把一年目标按月份线性缩放。年底基准四十三点三二港元，对应正常每股人民币约二点零七二九及十九倍，较现价约两成上行；悲观十七点三九和乐观六十五点三八覆盖经营及估值改变。未公开全年结果仍需通过交易趋势与公告逐步验证，不能称年底市场会提前掌握全部未来业绩。估值与短期价格偏离仍可能明显。</w:t>
      </w:r>
    </w:p>
    <w:p>
      <w:pPr>
        <w:pStyle w:val="Normal"/>
        <w:rPr/>
      </w:pPr>
      <w:r>
        <w:rPr/>
        <w:t>默认悲观四分之一、基准二分之一、乐观四分之一计算期望四十二点三五二五港元，约正百分之十七点三八。改为防御四成、五成、一成，期望降至三十五点一五四港元、约负二点五七；积极一成、五成、四成则升四十九点五五一港元、约正三十七点三四。权重差异足以改变期望正负，说明结论依赖研究判断，不能把加权期望称获利概率或统计保证。相同情景下也可能出现区间外价格。</w:t>
      </w:r>
    </w:p>
    <w:p>
      <w:pPr>
        <w:pStyle w:val="Normal"/>
        <w:rPr/>
      </w:pPr>
      <w:r>
        <w:rPr/>
        <w:t>公开新闻转述中，八月十七日野村六十、高盛五十九港元，八月十四日美银五十七、里昂六十一港元，均与当时业绩后假设有关。野村、高盛、美银维持买入，里昂跑赢大市。瑞银七月六日六十一点九港元、买入，超过九十天且在半年业绩之前，参考权重较低。材料未明确原始研报目标期限，本章保留缺失，不因预测年度或常见做法把它们自动称十二个月目标；转载发布日期也不等同原始报告精确日期。</w:t>
      </w:r>
    </w:p>
    <w:p>
      <w:pPr>
        <w:pStyle w:val="Normal"/>
        <w:rPr/>
      </w:pPr>
      <w:r>
        <w:rPr/>
        <w:t>美银材料称折现率从百分之十五升至十八，即使仍认可经营增长，风险溢价变化也会降低估值。高盛称平均目标市盈率由二十五降至二十二，药品服务部分由二十九降至二十六，这些是估值盈利年份而不是价格到达日期。研究用它们交叉检验风险偏好与倍数，不直接借用全部分部估值。十月二日里昂三点七港元实际属于阿里健康，新闻仅提偏好京东健康，必须排除；否则搜索同代码新闻会严重污染公司目标价。</w:t>
      </w:r>
    </w:p>
    <w:p>
      <w:pPr>
        <w:pStyle w:val="Heading2"/>
        <w:rPr/>
      </w:pPr>
      <w:r>
        <w:rPr>
          <w:color w:val="000000"/>
        </w:rPr>
        <w:t>二十二 回报 汇率与反证清单</w:t>
      </w:r>
    </w:p>
    <w:p>
      <w:pPr>
        <w:pStyle w:val="Normal"/>
        <w:rPr/>
      </w:pPr>
      <w:r>
        <w:rPr/>
        <w:t>股价回报统一为目标价除三十六点零八再减一，含息回报加入未来累积现金股息，三年五年按对应年数取复合年化。股息采用本币且没有假设再投资，税和交易成本未自动纳入；若评估实际净收益需另按投资者身份和费用调整。公司二零二五年不派末期、上半年未建议股息，基准远期股息不是管理层指引。模型将分红与股价分别展示，避免把回购金额直接当持有者获得同额现金。</w:t>
      </w:r>
    </w:p>
    <w:p>
      <w:pPr>
        <w:pStyle w:val="Normal"/>
        <w:rPr/>
      </w:pPr>
      <w:r>
        <w:rPr/>
        <w:t>人民币经营、港币价格意味着两个层次的汇率风险。公司报表和财资有外币配置及汇兑影响，人民币兑港币研究比率改变会影响正常盈利转换；人民币投资者持港股还面对港币兑人民币的持有期变化。若本币含息总财富倍数为一年基准约一点六九二，港币相对人民币升或跌百分之五，人民币总回报约七十七点六四或六十点七二百分比。这个示例仅是二次换算，不把研究一点一零称已核即期，也不重复加入同一汇率影响。</w:t>
      </w:r>
    </w:p>
    <w:p>
      <w:pPr>
        <w:pStyle w:val="Normal"/>
        <w:rPr/>
      </w:pPr>
      <w:r>
        <w:rPr/>
        <w:t>经营推荐的直接反证是商品和服务需求转弱、核心毛利改善被履约营销抵销，或现金持续低于正常利润且不能用季节性解释。医疗质量事件、处方合规和商品监管变化会影响信任；关联收费恶化和投资损失会影响普通股收益分配。若研发增长始终不能提高服务效率，远期正常率需下调。研究不能只等股价跌才找理由，反证应按报表、公告和业务指标提前检验，重要差异同步修改总表与模型版本。</w:t>
      </w:r>
    </w:p>
    <w:p>
      <w:pPr>
        <w:pStyle w:val="Normal"/>
        <w:rPr/>
      </w:pPr>
      <w:r>
        <w:rPr/>
        <w:t>更新时先保存新财报期间、币种、单位、公告时间和来源，再核商品及服务口径、现金流分类、股数与信托奖励。接着用同一活动模型重算悲观、基准、乐观，记录输入版本和快照，复算得分及回报，最后同步正文和总表。新增资料晚于截止不能混入本初版，只作为后续版本。当前较高三年成长评分来自经营和行业证据，而半年技术弱及财资、治理、利润率敏感性仍需完整展示，形成可以复核和推翻的结论。</w:t>
      </w:r>
    </w:p>
    <w:p>
      <w:pPr>
        <w:pStyle w:val="Heading2"/>
        <w:rPr/>
      </w:pPr>
      <w:r>
        <w:rPr>
          <w:color w:val="000000"/>
        </w:rPr>
        <w:t>二十三 经济传导与法律结构</w:t>
      </w:r>
    </w:p>
    <w:p>
      <w:pPr>
        <w:pStyle w:val="Normal"/>
        <w:rPr/>
      </w:pPr>
      <w:r>
        <w:rPr/>
        <w:t>利率下降对京东健康具有双向作用：风险溢价和权益折现可能改善，但大额财资的存款及理财收益会减少。上半年财资已经下降，不能只计算估值倍数升高的有利部分。经济预期偏弱时，必要药品需求可能较稳，而营养品、器械和部分医美体检更受可选消费影响；商户广告预算也可能下降。公司需要凭采购与服务效率应对这些变化，模型有限财资和不同收入情景使宏观传导落实到本公司，而非复用泛化市场口号。</w:t>
      </w:r>
    </w:p>
    <w:p>
      <w:pPr>
        <w:pStyle w:val="Normal"/>
        <w:rPr/>
      </w:pPr>
      <w:r>
        <w:rPr/>
        <w:t>人民币收入主要来自境内经营，进口药品、跨境健康品和外币财资又使汇率影响并非单一方向。人民币走弱可能提高进口成本和商品价格，影响需求与毛利；外币资产汇兑可能对利润或其他综合收益产生不同效果。财报二零二五年及上半年现金汇率调整为负，不能把它直接当所有经营汇兑损失，也不能只取外币资产对冲好处。研究以人民币正常利润、明确港币转换和单独汇率敏感性展示，后续需核配置与采购条款。</w:t>
      </w:r>
    </w:p>
    <w:p>
      <w:pPr>
        <w:pStyle w:val="Normal"/>
        <w:rPr/>
      </w:pPr>
      <w:r>
        <w:rPr/>
        <w:t>公司采用境外控股与境内协议控制安排，持有港股不等于直接持有全部境内经营许可证和资产。年报说明协议安排使相关实体并表，合法性、执行和未来监管变化可能影响控制与现金上划。二零二五年相关实体收入和资产已计入合并财报，不能另外加其价值。推荐必须保留结构风险，并观察医疗及互联网业务的资质、合同和政策更新；当前财报审计及并表存在不意味着未来法律执行风险为零。</w:t>
      </w:r>
    </w:p>
    <w:p>
      <w:pPr>
        <w:pStyle w:val="Normal"/>
        <w:rPr/>
      </w:pPr>
      <w:r>
        <w:rPr/>
        <w:t>年报还记录二零二六年三月二十六日境内控股实体登记股东调整，其中三成份额从原登记人转移至集团另一管理人员，并同步重签、终止旧协议。公司称主要条款相同且继续并表，这属于结构与合同更新，不等于京东健康公开发行股份新增或普通股股权转移。研究保留该事件在截止前已公开的状态，不拿登记股东份额乘公司市值称新融资。后续应核协议执行、人员变更和审批，不能以条款克隆便认为法律风险永久消除。</w:t>
      </w:r>
    </w:p>
    <w:p>
      <w:pPr>
        <w:pStyle w:val="Normal"/>
        <w:rPr/>
      </w:pPr>
      <w:r>
        <w:rPr/>
        <w:t>数据和医疗广告监管也会影响服务变现。健康资料比一般商品兴趣更敏感，使用人工智能和商户营销需要授权、用途限制和安全管理；平台不能为提高广告效率无限利用病症数据。更严格规则可能增加研发和合规成本，却也有利于可信平台排除不合规竞争。结论成立条件是信任和效率共同提高，如果持续发生商品宣传、处方或数据责任事件，即使短期收入增长也应降低商业质量和长期评分，不能只用流量规模抵销。</w:t>
      </w:r>
    </w:p>
    <w:p>
      <w:pPr>
        <w:pStyle w:val="Heading2"/>
        <w:rPr/>
      </w:pPr>
      <w:r>
        <w:rPr>
          <w:color w:val="000000"/>
        </w:rPr>
        <w:t>来源与模型核验</w:t>
      </w:r>
    </w:p>
    <w:p>
      <w:pPr>
        <w:pStyle w:val="Normal"/>
        <w:rPr/>
      </w:pPr>
      <w:r>
        <w:rPr/>
        <w:t>原始文件：</w:t>
      </w:r>
    </w:p>
    <w:p>
      <w:pPr>
        <w:pStyle w:val="Normal"/>
        <w:rPr/>
      </w:pPr>
      <w:r>
        <w:rPr/>
        <w:t>- FY2025</w:t>
      </w:r>
      <w:r>
        <w:rPr/>
        <w:t>年报：</w:t>
      </w:r>
      <w:r>
        <w:rPr/>
        <w:t>[</w:t>
      </w:r>
      <w:r>
        <w:rPr/>
        <w:t>公司</w:t>
      </w:r>
      <w:r>
        <w:rPr/>
        <w:t>PDF](https://manager.wisdomir.com/files/586/2026/0424/20260424171501_75649801_en.pdf)</w:t>
      </w:r>
      <w:r>
        <w:rPr/>
        <w:t>，公司文件目录</w:t>
      </w:r>
      <w:r>
        <w:rPr/>
        <w:t>2026-04-24</w:t>
      </w:r>
      <w:r>
        <w:rPr/>
        <w:t>；</w:t>
      </w:r>
      <w:r>
        <w:rPr/>
        <w:t>CEO</w:t>
      </w:r>
      <w:r>
        <w:rPr/>
        <w:t>信</w:t>
      </w:r>
      <w:r>
        <w:rPr/>
        <w:t>/</w:t>
      </w:r>
      <w:r>
        <w:rPr/>
        <w:t>财务批准</w:t>
      </w:r>
      <w:r>
        <w:rPr/>
        <w:t>2026-03-05</w:t>
      </w:r>
      <w:r>
        <w:rPr/>
        <w:t>，财务表</w:t>
      </w:r>
      <w:r>
        <w:rPr/>
        <w:t>95</w:t>
      </w:r>
      <w:r>
        <w:rPr/>
        <w:t>、现金流</w:t>
      </w:r>
      <w:r>
        <w:rPr/>
        <w:t>100</w:t>
      </w:r>
      <w:r>
        <w:rPr/>
        <w:t>、收入</w:t>
      </w:r>
      <w:r>
        <w:rPr/>
        <w:t>122</w:t>
      </w:r>
      <w:r>
        <w:rPr/>
        <w:t>、</w:t>
      </w:r>
      <w:r>
        <w:rPr/>
        <w:t>EPS130</w:t>
      </w:r>
      <w:r>
        <w:rPr/>
        <w:t>、关联</w:t>
      </w:r>
      <w:r>
        <w:rPr/>
        <w:t>/VIE</w:t>
      </w:r>
      <w:r>
        <w:rPr/>
        <w:t>附注。</w:t>
      </w:r>
    </w:p>
    <w:p>
      <w:pPr>
        <w:pStyle w:val="Normal"/>
        <w:rPr/>
      </w:pPr>
      <w:r>
        <w:rPr/>
        <w:t>- H1 2026</w:t>
      </w:r>
      <w:r>
        <w:rPr/>
        <w:t>中报：</w:t>
      </w:r>
      <w:r>
        <w:rPr/>
        <w:t>[</w:t>
      </w:r>
      <w:r>
        <w:rPr/>
        <w:t>公司</w:t>
      </w:r>
      <w:r>
        <w:rPr/>
        <w:t>PDF](https://manager.wisdomir.com/files/586/2026/0904/20260904164501_77326722_en.pdf)</w:t>
      </w:r>
      <w:r>
        <w:rPr/>
        <w:t>，</w:t>
      </w:r>
      <w:r>
        <w:rPr/>
        <w:t>2026-09-04</w:t>
      </w:r>
      <w:r>
        <w:rPr/>
        <w:t>；财务</w:t>
      </w:r>
      <w:r>
        <w:rPr/>
        <w:t>30–35</w:t>
      </w:r>
      <w:r>
        <w:rPr/>
        <w:t>、收入</w:t>
      </w:r>
      <w:r>
        <w:rPr/>
        <w:t>38</w:t>
      </w:r>
      <w:r>
        <w:rPr/>
        <w:t>、财资</w:t>
      </w:r>
      <w:r>
        <w:rPr/>
        <w:t>39</w:t>
      </w:r>
      <w:r>
        <w:rPr/>
        <w:t>、</w:t>
      </w:r>
      <w:r>
        <w:rPr/>
        <w:t>EPS40</w:t>
      </w:r>
      <w:r>
        <w:rPr/>
        <w:t>、理财</w:t>
      </w:r>
      <w:r>
        <w:rPr/>
        <w:t>41–42</w:t>
      </w:r>
      <w:r>
        <w:rPr/>
        <w:t>、股本</w:t>
      </w:r>
      <w:r>
        <w:rPr/>
        <w:t>44</w:t>
      </w:r>
      <w:r>
        <w:rPr/>
        <w:t>、贸易融资</w:t>
      </w:r>
      <w:r>
        <w:rPr/>
        <w:t>49</w:t>
      </w:r>
      <w:r>
        <w:rPr/>
        <w:t>、关联</w:t>
      </w:r>
      <w:r>
        <w:rPr/>
        <w:t>54</w:t>
      </w:r>
      <w:r>
        <w:rPr/>
        <w:t>。</w:t>
      </w:r>
    </w:p>
    <w:p>
      <w:pPr>
        <w:pStyle w:val="Normal"/>
        <w:rPr/>
      </w:pPr>
      <w:r>
        <w:rPr/>
        <w:t>- H1</w:t>
      </w:r>
      <w:r>
        <w:rPr/>
        <w:t>业绩公告：</w:t>
      </w:r>
      <w:r>
        <w:rPr/>
        <w:t>[</w:t>
      </w:r>
      <w:r>
        <w:rPr/>
        <w:t>公司</w:t>
      </w:r>
      <w:r>
        <w:rPr/>
        <w:t>PDF](https://manager.wisdomir.com/files/586/2026/0813/20260813164501_80478687_en.pdf)</w:t>
      </w:r>
      <w:r>
        <w:rPr/>
        <w:t>，末页</w:t>
      </w:r>
      <w:r>
        <w:rPr/>
        <w:t>2026-08-13</w:t>
      </w:r>
      <w:r>
        <w:rPr/>
        <w:t>，新闻</w:t>
      </w:r>
      <w:r>
        <w:rPr/>
        <w:t>8/14</w:t>
      </w:r>
      <w:r>
        <w:rPr/>
        <w:t>市场反应不得替代公告日期。官网目录带时间字符串但时区未独立确认，未据此推定精确发布时点。</w:t>
      </w:r>
    </w:p>
    <w:p>
      <w:pPr>
        <w:pStyle w:val="Normal"/>
        <w:rPr/>
      </w:pPr>
      <w:r>
        <w:rPr/>
        <w:t xml:space="preserve">- </w:t>
      </w:r>
      <w:r>
        <w:rPr/>
        <w:t>九月月报：</w:t>
      </w:r>
      <w:r>
        <w:rPr/>
        <w:t>[</w:t>
      </w:r>
      <w:r>
        <w:rPr/>
        <w:t>公司</w:t>
      </w:r>
      <w:r>
        <w:rPr/>
        <w:t>PDF](https://manager.wisdomir.com/files/586/2026/1007/20261007164501_39216733_en.pdf)</w:t>
      </w:r>
      <w:r>
        <w:rPr/>
        <w:t>，</w:t>
      </w:r>
      <w:r>
        <w:rPr/>
        <w:t>2026-10-07</w:t>
      </w:r>
      <w:r>
        <w:rPr/>
        <w:t>提交。</w:t>
      </w:r>
    </w:p>
    <w:p>
      <w:pPr>
        <w:pStyle w:val="Normal"/>
        <w:rPr/>
      </w:pPr>
      <w:r>
        <w:rPr/>
        <w:t xml:space="preserve">- </w:t>
      </w:r>
      <w:r>
        <w:rPr/>
        <w:t>外资新闻转述逐条保存于</w:t>
      </w:r>
      <w:r>
        <w:rPr/>
        <w:t>data/tech_evidence.json I074</w:t>
      </w:r>
      <w:r>
        <w:rPr/>
        <w:t>及</w:t>
      </w:r>
      <w:r>
        <w:rPr/>
        <w:t>data/jdhealth_model.json targets</w:t>
      </w:r>
      <w:r>
        <w:rPr/>
        <w:t>；原始研报、原始报告精确日期及目标期限均未取得。八月十四日美银新闻</w:t>
      </w:r>
      <w:r>
        <w:rPr/>
        <w:t>17:41</w:t>
      </w:r>
      <w:r>
        <w:rPr/>
        <w:t>晚于香港收盘，属于该日收盘后公开转述，截止日前可用。</w:t>
      </w:r>
    </w:p>
    <w:p>
      <w:pPr>
        <w:pStyle w:val="Normal"/>
        <w:rPr/>
      </w:pPr>
      <w:r>
        <w:rPr/>
        <w:t xml:space="preserve">- </w:t>
      </w:r>
      <w:r>
        <w:rPr/>
        <w:t>行情为</w:t>
      </w:r>
      <w:r>
        <w:rPr/>
        <w:t>data/market_snapshot_locked.json S085</w:t>
      </w:r>
      <w:r>
        <w:rPr/>
        <w:t>；三年</w:t>
      </w:r>
      <w:r>
        <w:rPr/>
        <w:t>739</w:t>
      </w:r>
      <w:r>
        <w:rPr/>
        <w:t>个日线，</w:t>
      </w:r>
      <w:r>
        <w:rPr/>
        <w:t>Yahoo/Tencent</w:t>
      </w:r>
      <w:r>
        <w:rPr/>
        <w:t>交叉核，腾讯</w:t>
      </w:r>
      <w:r>
        <w:rPr/>
        <w:t>/</w:t>
      </w:r>
      <w:r>
        <w:rPr/>
        <w:t>新浪截止收盘</w:t>
      </w:r>
      <w:r>
        <w:rPr/>
        <w:t>36.08</w:t>
      </w:r>
      <w:r>
        <w:rPr/>
        <w:t>、量</w:t>
      </w:r>
      <w:r>
        <w:rPr/>
        <w:t>4971420</w:t>
      </w:r>
      <w:r>
        <w:rPr/>
        <w:t>股、金额</w:t>
      </w:r>
      <w:r>
        <w:rPr/>
        <w:t>178455539.1</w:t>
      </w:r>
      <w:r>
        <w:rPr/>
        <w:t>港元相符。复权</w:t>
      </w:r>
      <w:r>
        <w:rPr/>
        <w:t>OHLC</w:t>
      </w:r>
      <w:r>
        <w:rPr/>
        <w:t>以截止名义价归一，公司行动清单本窗口为空，成交量股单位确认；换手原始字段未核，未提供精确换手或筹码分布。</w:t>
      </w:r>
    </w:p>
    <w:p>
      <w:pPr>
        <w:pStyle w:val="Normal"/>
        <w:widowControl/>
        <w:bidi w:val="0"/>
        <w:spacing w:lineRule="auto" w:line="336" w:before="0" w:after="140"/>
        <w:jc w:val="start"/>
        <w:rPr/>
      </w:pPr>
      <w:r>
        <w:rPr/>
        <w:t>模型</w:t>
      </w:r>
      <w:r>
        <w:rPr/>
        <w:t>tools/jdhealth_model.mjs→data/jdhealth_model.json</w:t>
      </w:r>
      <w:r>
        <w:rPr/>
        <w:t>，版本</w:t>
      </w:r>
      <w:r>
        <w:rPr/>
        <w:t>jdhealth-products-services-normalized-profit-v1.0</w:t>
      </w:r>
      <w:r>
        <w:rPr/>
        <w:t>；研究正文</w:t>
      </w:r>
      <w:r>
        <w:rPr/>
        <w:t>research/jdhealth_deep.md</w:t>
      </w:r>
      <w:r>
        <w:rPr/>
        <w:t>；独立</w:t>
      </w:r>
      <w:r>
        <w:rPr/>
        <w:t>QA tools/jdhealth_qa.mjs→qa/jdhealth_qa.json</w:t>
      </w:r>
      <w:r>
        <w:rPr/>
        <w:t>。每股人民币</w:t>
      </w:r>
      <w:r>
        <w:rPr/>
        <w:t>6</w:t>
      </w:r>
      <w:r>
        <w:rPr/>
        <w:t>位、价格末端</w:t>
      </w:r>
      <w:r>
        <w:rPr/>
        <w:t>2</w:t>
      </w:r>
      <w:r>
        <w:rPr/>
        <w:t>位、总回报与年化由快照计算；常态</w:t>
      </w:r>
      <w:r>
        <w:rPr/>
        <w:t>SBC</w:t>
      </w:r>
      <w:r>
        <w:rPr/>
        <w:t>保留，财资不重复加全现金，法律股数与会计信托库存分开。最终</w:t>
      </w:r>
      <w:r>
        <w:rPr/>
        <w:t>Word/PDF</w:t>
      </w:r>
      <w:r>
        <w:rPr/>
        <w:t>逐页及跨文件一致性由总报告集成流程核验。</w:t>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40"/>
      <w:jc w:val="start"/>
    </w:pPr>
    <w:rPr>
      <w:rFonts w:ascii="宋体" w:hAnsi="宋体"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keepNext w:val="false"/>
      <w:tabs>
        <w:tab w:val="clear" w:pos="720"/>
        <w:tab w:val="right" w:pos="9858" w:leader="dot"/>
      </w:tabs>
      <w:spacing w:before="0" w:after="0"/>
      <w:ind w:hanging="0" w:start="0"/>
    </w:pPr>
    <w:rPr>
      <w:sz w:val="18"/>
    </w:rPr>
  </w:style>
  <w:style w:type="paragraph" w:styleId="TOC2">
    <w:name w:val="toc 2"/>
    <w:basedOn w:val="Style7"/>
    <w:pPr>
      <w:keepNext w:val="false"/>
      <w:tabs>
        <w:tab w:val="clear" w:pos="720"/>
        <w:tab w:val="right" w:pos="9575" w:leader="dot"/>
      </w:tabs>
      <w:spacing w:before="0" w:after="0"/>
      <w:ind w:hanging="0" w:start="283"/>
    </w:pPr>
    <w:rPr>
      <w:sz w:val="18"/>
    </w:rPr>
  </w:style>
  <w:style w:type="paragraph" w:styleId="TOC3">
    <w:name w:val="toc 3"/>
    <w:basedOn w:val="Style7"/>
    <w:pPr>
      <w:keepNext w:val="false"/>
      <w:tabs>
        <w:tab w:val="clear" w:pos="720"/>
        <w:tab w:val="right" w:pos="9291" w:leader="dot"/>
      </w:tabs>
      <w:spacing w:before="0" w:after="0"/>
      <w:ind w:hanging="0" w:start="567"/>
    </w:pPr>
    <w:rPr>
      <w:sz w:val="18"/>
    </w:rPr>
  </w:style>
  <w:style w:type="numbering" w:styleId="Style9" w:default="1">
    <w:name w:val="无列表"/>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2026-10-11T15:19:03Z</dcterms:modified>
  <cp:revision>2</cp:revision>
  <dc:subject>研究数据版本 f94f3d19b4e62e0b</dc:subject>
  <dc:title>公司深研 · 第02卷</dc:title>
</cp:coreProperties>
</file>

<file path=docProps/custom.xml><?xml version="1.0" encoding="utf-8"?>
<Properties xmlns="http://schemas.openxmlformats.org/officeDocument/2006/custom-properties" xmlns:vt="http://schemas.openxmlformats.org/officeDocument/2006/docPropsVTypes"/>
</file>