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color w:val="000000"/>
        </w:rPr>
        <w:t>公司深研 第</w:t>
      </w:r>
      <w:r>
        <w:rPr>
          <w:color w:val="000000"/>
        </w:rPr>
        <w:t>03</w:t>
      </w:r>
      <w:r>
        <w:rPr>
          <w:color w:val="000000"/>
        </w:rPr>
        <w:t>卷</w:t>
      </w:r>
    </w:p>
    <w:p>
      <w:pPr>
        <w:pStyle w:val="Normal"/>
        <w:rPr/>
      </w:pPr>
      <w:r>
        <w:rPr/>
        <w:t>阶段收录</w:t>
      </w:r>
      <w:r>
        <w:rPr/>
        <w:t>8</w:t>
      </w:r>
      <w:r>
        <w:rPr/>
        <w:t>家公司 剩余公司接入后按统一规则更新卷次</w:t>
      </w:r>
    </w:p>
    <w:p>
      <w:pPr>
        <w:pStyle w:val="Normal"/>
        <w:rPr/>
      </w:pPr>
      <w:r>
        <w:rPr/>
        <w:t>资料截止：</w:t>
      </w:r>
      <w:r>
        <w:rPr/>
        <w:t>2026</w:t>
      </w:r>
      <w:r>
        <w:rPr/>
        <w:t>年</w:t>
      </w:r>
      <w:r>
        <w:rPr/>
        <w:t>10</w:t>
      </w:r>
      <w:r>
        <w:rPr/>
        <w:t>月</w:t>
      </w:r>
      <w:r>
        <w:rPr/>
        <w:t>9</w:t>
      </w:r>
      <w:r>
        <w:rPr/>
        <w:t>日。所有未来价格、盈利、估值、分红和汇率均为研究假设。研究范围为</w:t>
      </w:r>
      <w:r>
        <w:rPr/>
        <w:t>92</w:t>
      </w:r>
      <w:r>
        <w:rPr/>
        <w:t>家公司、</w:t>
      </w:r>
      <w:r>
        <w:rPr/>
        <w:t>96</w:t>
      </w:r>
      <w:r>
        <w:rPr/>
        <w:t>个股票证券。当前纳入</w:t>
      </w:r>
      <w:r>
        <w:rPr/>
        <w:t>91</w:t>
      </w:r>
      <w:r>
        <w:rPr/>
        <w:t>家公司模型，</w:t>
      </w:r>
      <w:r>
        <w:rPr/>
        <w:t>91</w:t>
      </w:r>
      <w:r>
        <w:rPr/>
        <w:t>家正文通过一万有效汉字门槛，剩余</w:t>
      </w:r>
      <w:r>
        <w:rPr/>
        <w:t>1</w:t>
      </w:r>
      <w:r>
        <w:rPr/>
        <w:t xml:space="preserve">家公司深研待补齐。阶段排名仅纳入已完成且具备可评估条件的证券。公司深研卷收录已达到正文门槛的公司；剩余内容按研究状态继续补齐。初版结论可随新增证据修订。数据版本 </w:t>
      </w:r>
      <w:r>
        <w:rPr/>
        <w:t>f94f3d19b4e62e0b</w:t>
      </w:r>
      <w:r>
        <w:rPr/>
        <w:t>。</w:t>
      </w:r>
    </w:p>
    <w:p>
      <w:pPr>
        <w:pStyle w:val="Normal"/>
        <w:rPr/>
      </w:pPr>
      <w:r>
        <w:rPr/>
      </w:r>
      <w:r>
        <w:br w:type="page"/>
      </w:r>
    </w:p>
    <w:p>
      <w:pPr>
        <w:pStyle w:val="Normal"/>
        <w:spacing w:before="0" w:after="140"/>
        <w:rPr/>
      </w:pPr>
      <w:r>
        <w:rPr>
          <w:b/>
          <w:sz w:val="34"/>
        </w:rPr>
        <w:t>目录</w:t>
      </w:r>
    </w:p>
    <w:sdt>
      <w:sdtPr>
        <w:docPartObj>
          <w:docPartGallery w:val="Table of Contents"/>
          <w:docPartUnique w:val="true"/>
        </w:docPartObj>
      </w:sdtPr>
      <w:sdtContent>
        <w:p>
          <w:pPr>
            <w:pStyle w:val="TOC1"/>
            <w:tabs>
              <w:tab w:val="clear" w:pos="9858"/>
              <w:tab w:val="right" w:pos="9857" w:leader="dot"/>
            </w:tabs>
            <w:rPr/>
          </w:pPr>
          <w:r>
            <w:fldChar w:fldCharType="begin"/>
          </w:r>
          <w:r>
            <w:rPr>
              <w:rStyle w:val="Style5"/>
            </w:rPr>
            <w:instrText xml:space="preserve"> TOC \f \o "1-1" \h</w:instrText>
          </w:r>
          <w:r>
            <w:rPr>
              <w:rStyle w:val="Style5"/>
            </w:rPr>
            <w:fldChar w:fldCharType="separate"/>
          </w:r>
          <w:hyperlink w:anchor="__RefHeading___Toc21190_312338234" w:tooltip="中国生物制药 01177 HK">
            <w:r>
              <w:rPr>
                <w:rStyle w:val="Style5"/>
              </w:rPr>
              <w:t xml:space="preserve">中国生物制药 </w:t>
            </w:r>
            <w:r>
              <w:rPr>
                <w:rStyle w:val="Style5"/>
              </w:rPr>
              <w:t>01177 HK</w:t>
              <w:tab/>
              <w:t>3</w:t>
            </w:r>
          </w:hyperlink>
        </w:p>
        <w:p>
          <w:pPr>
            <w:pStyle w:val="TOC1"/>
            <w:tabs>
              <w:tab w:val="clear" w:pos="9858"/>
              <w:tab w:val="right" w:pos="9857" w:leader="dot"/>
            </w:tabs>
            <w:rPr/>
          </w:pPr>
          <w:hyperlink w:anchor="__RefHeading___Toc21192_312338234" w:tooltip="石药集团 01093 HK">
            <w:r>
              <w:rPr>
                <w:rStyle w:val="Style5"/>
              </w:rPr>
              <w:t xml:space="preserve">石药集团 </w:t>
            </w:r>
            <w:r>
              <w:rPr>
                <w:rStyle w:val="Style5"/>
              </w:rPr>
              <w:t>01093 HK</w:t>
              <w:tab/>
              <w:t>21</w:t>
            </w:r>
          </w:hyperlink>
        </w:p>
        <w:p>
          <w:pPr>
            <w:pStyle w:val="TOC1"/>
            <w:tabs>
              <w:tab w:val="clear" w:pos="9858"/>
              <w:tab w:val="right" w:pos="9857" w:leader="dot"/>
            </w:tabs>
            <w:rPr/>
          </w:pPr>
          <w:hyperlink w:anchor="__RefHeading___Toc21194_312338234" w:tooltip="先声药业 02096 HK">
            <w:r>
              <w:rPr>
                <w:rStyle w:val="Style5"/>
              </w:rPr>
              <w:t xml:space="preserve">先声药业 </w:t>
            </w:r>
            <w:r>
              <w:rPr>
                <w:rStyle w:val="Style5"/>
              </w:rPr>
              <w:t>02096 HK</w:t>
              <w:tab/>
              <w:t>41</w:t>
            </w:r>
          </w:hyperlink>
        </w:p>
        <w:p>
          <w:pPr>
            <w:pStyle w:val="TOC1"/>
            <w:tabs>
              <w:tab w:val="clear" w:pos="9858"/>
              <w:tab w:val="right" w:pos="9857" w:leader="dot"/>
            </w:tabs>
            <w:rPr/>
          </w:pPr>
          <w:hyperlink w:anchor="__RefHeading___Toc21196_312338234" w:tooltip="联想集团 00992 HK">
            <w:r>
              <w:rPr>
                <w:rStyle w:val="Style5"/>
              </w:rPr>
              <w:t xml:space="preserve">联想集团 </w:t>
            </w:r>
            <w:r>
              <w:rPr>
                <w:rStyle w:val="Style5"/>
              </w:rPr>
              <w:t>00992 HK</w:t>
              <w:tab/>
              <w:t>63</w:t>
            </w:r>
          </w:hyperlink>
        </w:p>
        <w:p>
          <w:pPr>
            <w:pStyle w:val="TOC1"/>
            <w:tabs>
              <w:tab w:val="clear" w:pos="9858"/>
              <w:tab w:val="right" w:pos="9857" w:leader="dot"/>
            </w:tabs>
            <w:rPr/>
          </w:pPr>
          <w:hyperlink w:anchor="__RefHeading___Toc21198_312338234" w:tooltip="金蝶国际 00268 HK">
            <w:r>
              <w:rPr>
                <w:rStyle w:val="Style5"/>
              </w:rPr>
              <w:t xml:space="preserve">金蝶国际 </w:t>
            </w:r>
            <w:r>
              <w:rPr>
                <w:rStyle w:val="Style5"/>
              </w:rPr>
              <w:t>00268 HK</w:t>
              <w:tab/>
              <w:t>83</w:t>
            </w:r>
          </w:hyperlink>
        </w:p>
        <w:p>
          <w:pPr>
            <w:pStyle w:val="TOC1"/>
            <w:tabs>
              <w:tab w:val="clear" w:pos="9858"/>
              <w:tab w:val="right" w:pos="9857" w:leader="dot"/>
            </w:tabs>
            <w:rPr/>
          </w:pPr>
          <w:hyperlink w:anchor="__RefHeading___Toc21200_312338234" w:tooltip="舜宇光学科技 02382 HK">
            <w:r>
              <w:rPr>
                <w:rStyle w:val="Style5"/>
              </w:rPr>
              <w:t xml:space="preserve">舜宇光学科技 </w:t>
            </w:r>
            <w:r>
              <w:rPr>
                <w:rStyle w:val="Style5"/>
              </w:rPr>
              <w:t>02382 HK</w:t>
              <w:tab/>
              <w:t>101</w:t>
            </w:r>
          </w:hyperlink>
        </w:p>
        <w:p>
          <w:pPr>
            <w:pStyle w:val="TOC1"/>
            <w:tabs>
              <w:tab w:val="clear" w:pos="9858"/>
              <w:tab w:val="right" w:pos="9857" w:leader="dot"/>
            </w:tabs>
            <w:rPr/>
          </w:pPr>
          <w:hyperlink w:anchor="__RefHeading___Toc21202_312338234" w:tooltip="药明生物 02269 HK">
            <w:r>
              <w:rPr>
                <w:rStyle w:val="Style5"/>
              </w:rPr>
              <w:t xml:space="preserve">药明生物 </w:t>
            </w:r>
            <w:r>
              <w:rPr>
                <w:rStyle w:val="Style5"/>
              </w:rPr>
              <w:t>02269 HK</w:t>
              <w:tab/>
              <w:t>123</w:t>
            </w:r>
          </w:hyperlink>
        </w:p>
        <w:p>
          <w:pPr>
            <w:pStyle w:val="TOC1"/>
            <w:tabs>
              <w:tab w:val="clear" w:pos="9858"/>
              <w:tab w:val="right" w:pos="9857" w:leader="dot"/>
            </w:tabs>
            <w:rPr/>
          </w:pPr>
          <w:hyperlink w:anchor="__RefHeading___Toc21204_312338234" w:tooltip="阿里巴巴 W 09988 HK">
            <w:r>
              <w:rPr>
                <w:rStyle w:val="Style5"/>
              </w:rPr>
              <w:t xml:space="preserve">阿里巴巴 </w:t>
            </w:r>
            <w:r>
              <w:rPr>
                <w:rStyle w:val="Style5"/>
              </w:rPr>
              <w:t>W 09988 HK</w:t>
              <w:tab/>
              <w:t>140</w:t>
            </w:r>
          </w:hyperlink>
          <w:r>
            <w:rPr>
              <w:rStyle w:val="Style5"/>
            </w:rPr>
            <w:fldChar w:fldCharType="end"/>
          </w:r>
        </w:p>
      </w:sdtContent>
    </w:sdt>
    <w:p>
      <w:pPr>
        <w:pStyle w:val="Normal"/>
        <w:rPr/>
      </w:pPr>
      <w:r>
        <w:rPr/>
      </w:r>
      <w:r>
        <w:br w:type="page"/>
      </w:r>
    </w:p>
    <w:p>
      <w:pPr>
        <w:pStyle w:val="Heading1"/>
        <w:rPr/>
      </w:pPr>
      <w:bookmarkStart w:id="0" w:name="__RefHeading___Toc21190_312338234"/>
      <w:bookmarkEnd w:id="0"/>
      <w:r>
        <w:rPr>
          <w:color w:val="000000"/>
        </w:rPr>
        <w:t xml:space="preserve">中国生物制药 </w:t>
      </w:r>
      <w:r>
        <w:rPr>
          <w:color w:val="000000"/>
        </w:rPr>
        <w:t>01177 HK</w:t>
      </w:r>
    </w:p>
    <w:p>
      <w:pPr>
        <w:pStyle w:val="Normal"/>
        <w:rPr/>
      </w:pPr>
      <w:r>
        <w:rPr/>
        <w:t xml:space="preserve">01177.HK </w:t>
      </w:r>
      <w:r>
        <w:rPr/>
        <w:t xml:space="preserve">现价 </w:t>
      </w:r>
      <w:r>
        <w:rPr/>
        <w:t>5.41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71.20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+53.80%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76.50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10.43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+92.77%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+95.36%</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13.59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+151.14%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+160.38%</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17.99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+232.51%</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+250.07%</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-26.43%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+40.63%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12.26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+126.62%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7.86HKD</w:t>
      </w:r>
      <w:r>
        <w:rPr/>
        <w:t>，期望股价回报</w:t>
      </w:r>
      <w:r>
        <w:rPr/>
        <w:t>+45.36%</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4.23</w:t>
              <w:br/>
              <w:t>-21.75%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8.32</w:t>
              <w:br/>
              <w:t>+53.80%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13.17</w:t>
              <w:br/>
              <w:t>+143.37%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4.26</w:t>
              <w:br/>
              <w:t>-21.35%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10.43</w:t>
              <w:br/>
              <w:t>+92.77%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18.04</w:t>
              <w:br/>
              <w:t>+233.54%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4.08</w:t>
              <w:br/>
              <w:t>-24.60%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13.59</w:t>
              <w:br/>
              <w:t>+151.14%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25.76</w:t>
              <w:br/>
              <w:t>+376.20%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+37.57%</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4.25</w:t>
              <w:br/>
              <w:t>-21.51%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17.99</w:t>
              <w:br/>
              <w:t>+232.51%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36.83</w:t>
              <w:br/>
              <w:t>+580.81%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+28.48%</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medium</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+46.11%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+53.80%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+61.49%</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+85.59%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+95.36%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+105.13%</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+147.36%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+160.38%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+173.40%</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+232.57%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+267.58%</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w:t>
      </w:r>
      <w:r>
        <w:rPr/>
        <w:t>2026-10-09</w:t>
      </w:r>
      <w:r>
        <w:rPr/>
        <w:t>收盘；</w:t>
      </w:r>
      <w:r>
        <w:rPr/>
        <w:t>01177.HK</w:t>
      </w:r>
      <w:r>
        <w:rPr/>
        <w:t>，</w:t>
      </w:r>
      <w:r>
        <w:rPr/>
        <w:t>5.41</w:t>
      </w:r>
      <w:r>
        <w:rPr/>
        <w:t>港元；发行人</w:t>
      </w:r>
      <w:r>
        <w:rPr/>
        <w:t>I031</w:t>
      </w:r>
      <w:r>
        <w:rPr/>
        <w:t>、证券</w:t>
      </w:r>
      <w:r>
        <w:rPr/>
        <w:t>S036</w:t>
      </w:r>
      <w:r>
        <w:rPr/>
        <w:t>。报表主体中国生物制药有限公司及附属公司，财务单位人民币，证券目标及股息港元。模型版本</w:t>
      </w:r>
      <w:r>
        <w:rPr/>
        <w:t>sinobiopharm-v1-transaction-cash-bridge</w:t>
      </w:r>
      <w:r>
        <w:rPr/>
        <w:t>；资料截止</w:t>
      </w:r>
      <w:r>
        <w:rPr/>
        <w:t>2026-10-09</w:t>
      </w:r>
      <w:r>
        <w:rPr/>
        <w:t>。未来名义目标时点遇休市取该市场此前最后交易日，远期交易日历仍待核验。证据可信度中等，已核验公开财务与公告，长期盈利、现金归属和投资折扣是研究情景。</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232"/>
        <w:gridCol w:w="1232"/>
        <w:gridCol w:w="1232"/>
        <w:gridCol w:w="1232"/>
        <w:gridCol w:w="1232"/>
        <w:gridCol w:w="1232"/>
        <w:gridCol w:w="1232"/>
        <w:gridCol w:w="1232"/>
      </w:tblGrid>
      <w:tr>
        <w:trPr>
          <w:tblHeader w:val="true"/>
          <w:cantSplit/>
        </w:trPr>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基准股价涨幅</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基准累计现金息</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基准含息回报</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r>
              <w:rPr>
                <w:rFonts w:eastAsia="微软雅黑" w:ascii="微软雅黑" w:hAnsi="微软雅黑"/>
                <w:sz w:val="17"/>
              </w:rPr>
              <w:t>2026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情景专项</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3.98</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7.61</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12.26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40.63%</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40.63%</w:t>
            </w:r>
          </w:p>
        </w:tc>
      </w:tr>
      <w:tr>
        <w:trPr>
          <w:cantSplit/>
        </w:trPr>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71.2</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4.23</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8.32</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13.17</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53.80%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53.80%</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76.5</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10.43</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18.04</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92.77%</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0.14</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95.36%</w:t>
            </w:r>
          </w:p>
        </w:tc>
      </w:tr>
      <w:tr>
        <w:trPr>
          <w:cantSplit/>
        </w:trPr>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81.4</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4.08</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13.59</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25.76</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151.14%</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0.50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160.38%</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79.1</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4.25</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17.99</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36.83</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232.51%</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0.95</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250.07%</w:t>
            </w:r>
          </w:p>
        </w:tc>
      </w:tr>
    </w:tbl>
    <w:p>
      <w:pPr>
        <w:pStyle w:val="Normal"/>
        <w:rPr/>
      </w:pPr>
      <w:r>
        <w:rPr/>
      </w:r>
    </w:p>
    <w:p>
      <w:pPr>
        <w:pStyle w:val="Normal"/>
        <w:rPr/>
      </w:pPr>
      <w:r>
        <w:rPr/>
        <w:t>三年、五年基准含现金息年化</w:t>
      </w:r>
      <w:r>
        <w:rPr/>
        <w:t>37.57%</w:t>
      </w:r>
      <w:r>
        <w:rPr/>
        <w:t>、</w:t>
      </w:r>
      <w:r>
        <w:rPr/>
        <w:t>28.48%</w:t>
      </w:r>
      <w:r>
        <w:rPr/>
        <w:t>，属于高增长假设对应的进取情景，不能解读为保证年化收益。年底默认</w:t>
      </w:r>
      <w:r>
        <w:rPr/>
        <w:t>25%/50%/25%</w:t>
      </w:r>
      <w:r>
        <w:rPr/>
        <w:t>判断权重期望</w:t>
      </w:r>
      <w:r>
        <w:rPr/>
        <w:t>7.8642</w:t>
      </w:r>
      <w:r>
        <w:rPr/>
        <w:t>港元、</w:t>
      </w:r>
      <w:r>
        <w:rPr/>
        <w:t>45.36%</w:t>
      </w:r>
      <w:r>
        <w:rPr/>
        <w:t>股价回报；权重是研究判断。所有价格使用核心盈利</w:t>
      </w:r>
      <w:r>
        <w:rPr/>
        <w:t>PE</w:t>
      </w:r>
      <w:r>
        <w:rPr/>
        <w:t>、交易后归母超额现金及战略投资折扣值，不是完整</w:t>
      </w:r>
      <w:r>
        <w:rPr/>
        <w:t>DCF</w:t>
      </w:r>
      <w:r>
        <w:rPr/>
        <w:t>或逐药逐适应症</w:t>
      </w:r>
      <w:r>
        <w:rPr/>
        <w:t>rNPV</w:t>
      </w:r>
      <w:r>
        <w:rPr/>
        <w:t>。核心数字与假设及来源见</w:t>
      </w:r>
      <w:r>
        <w:rPr/>
        <w:t>data/sinobiopharm_model.json</w:t>
      </w:r>
      <w:r>
        <w:rPr/>
        <w:t>。</w:t>
      </w:r>
    </w:p>
    <w:p>
      <w:pPr>
        <w:pStyle w:val="Heading2"/>
        <w:rPr/>
      </w:pPr>
      <w:r>
        <w:rPr>
          <w:color w:val="000000"/>
        </w:rPr>
        <w:t>一 推荐判断及四期限差异</w:t>
      </w:r>
    </w:p>
    <w:p>
      <w:pPr>
        <w:pStyle w:val="Normal"/>
        <w:rPr/>
      </w:pPr>
      <w:r>
        <w:rPr/>
        <w:t>中国生物制药在本名单中值得优先考察的是三年成长质量与一年估值修复。已有创新产品实际销售增长</w:t>
      </w:r>
      <w:r>
        <w:rPr/>
        <w:t>29.2%</w:t>
      </w:r>
      <w:r>
        <w:rPr/>
        <w:t>，合作方商业化和授权增加收入来源，多个肿瘤、呼吸和肝病产品处批准或后期阶段。但利润归母比例、关联交易、资本配置及仿制药下降限制简单高估值。半年</w:t>
      </w:r>
      <w:r>
        <w:rPr/>
        <w:t>71.2</w:t>
      </w:r>
      <w:r>
        <w:rPr/>
        <w:t>分比一年低，原因是价格虽守住六十日线，短线动量仍弱，回升需要业绩与交易结构进一步确认；长线亦没有因持有期更长就把财务治理风险删除。</w:t>
      </w:r>
    </w:p>
    <w:p>
      <w:pPr>
        <w:pStyle w:val="Normal"/>
        <w:rPr/>
      </w:pPr>
      <w:r>
        <w:rPr/>
        <w:t>现价</w:t>
      </w:r>
      <w:r>
        <w:rPr/>
        <w:t>5.41</w:t>
      </w:r>
      <w:r>
        <w:rPr/>
        <w:t>相对独立模型年底基准</w:t>
      </w:r>
      <w:r>
        <w:rPr/>
        <w:t>7.61</w:t>
      </w:r>
      <w:r>
        <w:rPr/>
        <w:t>、半年</w:t>
      </w:r>
      <w:r>
        <w:rPr/>
        <w:t>8.32</w:t>
      </w:r>
      <w:r>
        <w:rPr/>
        <w:t>有较大差距，价值来源为核心经营增长及合理倍数，而非行情软件显示的单一历史</w:t>
      </w:r>
      <w:r>
        <w:rPr/>
        <w:t>PE</w:t>
      </w:r>
      <w:r>
        <w:rPr/>
        <w:t>。</w:t>
      </w:r>
      <w:r>
        <w:rPr/>
        <w:t>2025</w:t>
      </w:r>
      <w:r>
        <w:rPr/>
        <w:t>法定归母</w:t>
      </w:r>
      <w:r>
        <w:rPr/>
        <w:t>23.43</w:t>
      </w:r>
      <w:r>
        <w:rPr/>
        <w:t>亿元与基本溢利</w:t>
      </w:r>
      <w:r>
        <w:rPr/>
        <w:t>45.41</w:t>
      </w:r>
      <w:r>
        <w:rPr/>
        <w:t>亿元差异明显，</w:t>
      </w:r>
      <w:r>
        <w:rPr/>
        <w:t>2026</w:t>
      </w:r>
      <w:r>
        <w:rPr/>
        <w:t>中期法定归母</w:t>
      </w:r>
      <w:r>
        <w:rPr/>
        <w:t>34.35</w:t>
      </w:r>
      <w:r>
        <w:rPr/>
        <w:t>亿元又受收入及费用影响，第三方</w:t>
      </w:r>
      <w:r>
        <w:rPr/>
        <w:t>PE</w:t>
      </w:r>
      <w:r>
        <w:rPr/>
        <w:t>的期间和定义未经验证。选择低的</w:t>
      </w:r>
      <w:r>
        <w:rPr/>
        <w:t>PE</w:t>
      </w:r>
      <w:r>
        <w:rPr/>
        <w:t>作买入理由或高的</w:t>
      </w:r>
      <w:r>
        <w:rPr/>
        <w:t>PE</w:t>
      </w:r>
      <w:r>
        <w:rPr/>
        <w:t>作卖出理由都可能误判，必须用相同报表范围、股数及利润口径重算。</w:t>
      </w:r>
    </w:p>
    <w:p>
      <w:pPr>
        <w:pStyle w:val="Normal"/>
        <w:rPr/>
      </w:pPr>
      <w:r>
        <w:rPr/>
        <w:t>2027</w:t>
      </w:r>
      <w:r>
        <w:rPr/>
        <w:t>核心</w:t>
      </w:r>
      <w:r>
        <w:rPr/>
        <w:t>EPS</w:t>
      </w:r>
      <w:r>
        <w:rPr/>
        <w:t>基准</w:t>
      </w:r>
      <w:r>
        <w:rPr/>
        <w:t>0.31</w:t>
      </w:r>
      <w:r>
        <w:rPr/>
        <w:t>元人民币，半年度目标采用二十三倍</w:t>
      </w:r>
      <w:r>
        <w:rPr/>
        <w:t>PE</w:t>
      </w:r>
      <w:r>
        <w:rPr/>
        <w:t>，再加交易后超额现金及战略资产按股数分摊。该</w:t>
      </w:r>
      <w:r>
        <w:rPr/>
        <w:t>EPS</w:t>
      </w:r>
      <w:r>
        <w:rPr/>
        <w:t>剔除一次授权首付、投资和利息收益，保留正常研发、股份薪酬及税，是独立预测而非管理层承诺。它已考虑增持正大天晴完成后的归属变化，不额外每年累计添加披露的</w:t>
      </w:r>
      <w:r>
        <w:rPr/>
        <w:t>3.5</w:t>
      </w:r>
      <w:r>
        <w:rPr/>
        <w:t>亿元增厚金额。若交割推迟或并购对应核心盈利低于假设，需要改</w:t>
      </w:r>
      <w:r>
        <w:rPr/>
        <w:t>EPS</w:t>
      </w:r>
      <w:r>
        <w:rPr/>
        <w:t>和现金桥，不能保留收益但忽略代价。</w:t>
      </w:r>
    </w:p>
    <w:p>
      <w:pPr>
        <w:pStyle w:val="Normal"/>
        <w:rPr/>
      </w:pPr>
      <w:r>
        <w:rPr/>
        <w:t>推荐成立条件为创新产品增长延续、仿制药拖累逐渐收窄、费用效率未以牺牲后续推广和研发为代价，以及新合作能产生有归母利润的收入。临床端需</w:t>
      </w:r>
      <w:r>
        <w:rPr/>
        <w:t>TQC3721</w:t>
      </w:r>
      <w:r>
        <w:rPr/>
        <w:t>及多项后期产品进一步验证，已经完成入组不等于已达到注册终点。财务端需收购净债务、合作收入确认、应收账款和子公司现金分配被后续报告证实。量价端需要站回</w:t>
      </w:r>
      <w:r>
        <w:rPr/>
        <w:t>20</w:t>
      </w:r>
      <w:r>
        <w:rPr/>
        <w:t>日均线及接近</w:t>
      </w:r>
      <w:r>
        <w:rPr/>
        <w:t>5.97</w:t>
      </w:r>
      <w:r>
        <w:rPr/>
        <w:t>区间上端时有持续需求，不能仅靠外资目标价较高判断趋势。</w:t>
      </w:r>
    </w:p>
    <w:p>
      <w:pPr>
        <w:pStyle w:val="Heading2"/>
        <w:rPr/>
      </w:pPr>
      <w:r>
        <w:rPr>
          <w:color w:val="000000"/>
        </w:rPr>
        <w:t>二 经营范围与增长来源</w:t>
      </w:r>
    </w:p>
    <w:p>
      <w:pPr>
        <w:pStyle w:val="Normal"/>
        <w:rPr/>
      </w:pPr>
      <w:r>
        <w:rPr/>
        <w:t>集团覆盖肿瘤、肝病与心血管代谢、呼吸与自免、外科与镇痛四大领域，业务贯通研发、生产和商业化。主要企业包括正大天晴、北京泰德、南京天晴、正大清江及正大丰海，近年来又收购礼新和赫吉亚。不同实体有不同股权归属、渠道、管线与盈利，集团名字不能替代结构分析。正大天晴为核心引擎但并非原先百分之百归母，成熟产品、创新药和投资收益在集团报表中的经济意义需要分开看待。</w:t>
      </w:r>
    </w:p>
    <w:p>
      <w:pPr>
        <w:pStyle w:val="Normal"/>
        <w:rPr/>
      </w:pPr>
      <w:r>
        <w:rPr/>
        <w:t>2026</w:t>
      </w:r>
      <w:r>
        <w:rPr/>
        <w:t>上半年总收入</w:t>
      </w:r>
      <w:r>
        <w:rPr/>
        <w:t>194.44363</w:t>
      </w:r>
      <w:r>
        <w:rPr/>
        <w:t>亿元、同比</w:t>
      </w:r>
      <w:r>
        <w:rPr/>
        <w:t>10.6%</w:t>
      </w:r>
      <w:r>
        <w:rPr/>
        <w:t>；工业产品销售</w:t>
      </w:r>
      <w:r>
        <w:rPr/>
        <w:t>182.21818</w:t>
      </w:r>
      <w:r>
        <w:rPr/>
        <w:t>亿元、授权</w:t>
      </w:r>
      <w:r>
        <w:rPr/>
        <w:t>9.75356</w:t>
      </w:r>
      <w:r>
        <w:rPr/>
        <w:t>亿元、其他</w:t>
      </w:r>
      <w:r>
        <w:rPr/>
        <w:t>2.47189</w:t>
      </w:r>
      <w:r>
        <w:rPr/>
        <w:t>亿元。产品销售同比约</w:t>
      </w:r>
      <w:r>
        <w:rPr/>
        <w:t>5.6%</w:t>
      </w:r>
      <w:r>
        <w:rPr/>
        <w:t>，创新产品销售约</w:t>
      </w:r>
      <w:r>
        <w:rPr/>
        <w:t>78.1</w:t>
      </w:r>
      <w:r>
        <w:rPr/>
        <w:t>亿元、增长</w:t>
      </w:r>
      <w:r>
        <w:rPr/>
        <w:t>29.2%</w:t>
      </w:r>
      <w:r>
        <w:rPr/>
        <w:t>，创新加授权约</w:t>
      </w:r>
      <w:r>
        <w:rPr/>
        <w:t>87.894</w:t>
      </w:r>
      <w:r>
        <w:rPr/>
        <w:t>亿元、增长</w:t>
      </w:r>
      <w:r>
        <w:rPr/>
        <w:t>44.3%</w:t>
      </w:r>
      <w:r>
        <w:rPr/>
        <w:t>。因此创新加授权的高增长不能直接称所有创新药产品增速；授权仅占总收入约</w:t>
      </w:r>
      <w:r>
        <w:rPr/>
        <w:t>5%</w:t>
      </w:r>
      <w:r>
        <w:rPr/>
        <w:t>，但边际利润和市场预期可能较大。独立分析把产品与合同收入分开，避免将后者视为处方稳定重复收入。</w:t>
      </w:r>
    </w:p>
    <w:p>
      <w:pPr>
        <w:pStyle w:val="Normal"/>
        <w:rPr/>
      </w:pPr>
      <w:r>
        <w:rPr/>
        <w:t>创新定义按公司为国家一类或二类新药，不包括生物类似药、仿制药及授权，这是公司统一披露的分类。它适合比较公司内部转型进度，却不等于所有产品在全球均拥有首创地位或同等专利价值。生物类似药可能具有较高生产难度和商业价值，某些创新品也面对激烈同靶点竞争。估值不能只按“创新”标签给固定高倍，需看适应症、可比疗效、定价、市场份额、利润归属和持续研发回报。</w:t>
      </w:r>
    </w:p>
    <w:p>
      <w:pPr>
        <w:pStyle w:val="Normal"/>
        <w:rPr/>
      </w:pPr>
      <w:r>
        <w:rPr/>
        <w:t>四领域产品收入分别约</w:t>
      </w:r>
      <w:r>
        <w:rPr/>
        <w:t>80.6</w:t>
      </w:r>
      <w:r>
        <w:rPr/>
        <w:t>、</w:t>
      </w:r>
      <w:r>
        <w:rPr/>
        <w:t>33.8</w:t>
      </w:r>
      <w:r>
        <w:rPr/>
        <w:t>、</w:t>
      </w:r>
      <w:r>
        <w:rPr/>
        <w:t>13.6</w:t>
      </w:r>
      <w:r>
        <w:rPr/>
        <w:t>和</w:t>
      </w:r>
      <w:r>
        <w:rPr/>
        <w:t>32.1</w:t>
      </w:r>
      <w:r>
        <w:rPr/>
        <w:t>亿元，肿瘤是最大部分，外科镇痛和肝病提供成熟需求基础。四项列示金额不是完整集团收入拆分表，合计不应被强行归一到百分之百，也不能将缺口都当授权。公司财务分部于</w:t>
      </w:r>
      <w:r>
        <w:rPr/>
        <w:t>2025</w:t>
      </w:r>
      <w:r>
        <w:rPr/>
        <w:t>重组为一个可报告经营分部，无法从原报直接获得四领域独立营业利润。模型仅建立总产品及核心归母利润情景，后续若细分利润披露应完善，当前不填造每个治疗领域高毛利。</w:t>
      </w:r>
    </w:p>
    <w:p>
      <w:pPr>
        <w:pStyle w:val="Normal"/>
        <w:rPr/>
      </w:pPr>
      <w:r>
        <w:rPr/>
        <w:t>竞争优势在于成熟研发组织、生产、医院和医生渠道，以及可将不同阶段资产交给合适合作伙伴的执行能力。多年制造与商业化能降低新品上市的不确定性，但不能免除监管、定价及竞品风险。一个合作签约说明双方愿意配置资源，不保证合作资产最终足够差异化。集团是否值得平台溢价，要看产品上市后现金回报和研发项目的净现值，而非单纯大额交易标题及产品数量；高研发投入同时可能形成价值和失败成本。</w:t>
      </w:r>
    </w:p>
    <w:p>
      <w:pPr>
        <w:pStyle w:val="Normal"/>
        <w:rPr/>
      </w:pPr>
      <w:r>
        <w:rPr/>
        <w:t>超过九成收入来自中国内地医药产品销售，全球化愿景尚不能使公司被当成地域完全分散的全球药企。海外授权扩大资本与市场通道，也会产生美元、监管和伙伴执行依赖；国内销售仍受医保、医院管理及患者支付。若中国市场降价与海外临床延迟同时发生，增长和估值可能共同下降。不同来源看似多元，也可能受相同临床机制和同一核心子公司影响，风险评价需要业务归属而不是名义合作伙伴数量。</w:t>
      </w:r>
    </w:p>
    <w:p>
      <w:pPr>
        <w:pStyle w:val="Heading2"/>
        <w:rPr/>
      </w:pPr>
      <w:r>
        <w:rPr>
          <w:color w:val="000000"/>
        </w:rPr>
        <w:t>三 肿瘤商业化组合与竞争</w:t>
      </w:r>
    </w:p>
    <w:p>
      <w:pPr>
        <w:pStyle w:val="Normal"/>
        <w:rPr/>
      </w:pPr>
      <w:r>
        <w:rPr/>
        <w:t>安罗替尼为多靶点小分子酪氨酸激酶抑制剂，报告列十二项已批适应症，包括多个肺癌治疗线次、肝癌、肾癌、肉瘤和甲状腺癌等。丰富适应症可以利用既有医生网络，降低边际推广成本，但每种疾病病人数、治疗时长、支付和竞争不同。不能把同一患者可能在多个线次使用的价值反复加入峰值。成熟多适应症分子的增长主要来自新增患者、疗程、配合治疗和净价格，需要按真实处方验证。</w:t>
      </w:r>
    </w:p>
    <w:p>
      <w:pPr>
        <w:pStyle w:val="Normal"/>
        <w:rPr/>
      </w:pPr>
      <w:r>
        <w:rPr/>
        <w:t>贝莫苏拜单抗为</w:t>
      </w:r>
      <w:r>
        <w:rPr/>
        <w:t>PDL1</w:t>
      </w:r>
      <w:r>
        <w:rPr/>
        <w:t>单抗，报告列六项获批适应症，与安罗替尼形成免疫及抗血管生成联合策略。组合能同时拓展两款产品收入，也可能因组合医保或治疗总费用限制采用。两款集团药物的销售并不等于双倍新增患者，对应同一治疗流程；应估组合净价、疗程和可及性。已有免疫治疗和其他双抗、</w:t>
      </w:r>
      <w:r>
        <w:rPr/>
        <w:t>ADC</w:t>
      </w:r>
      <w:r>
        <w:rPr/>
        <w:t>会竞争或补充这一方案，不能仅因集团同时拥有两药就假设成本、疗效和商业回报都优于其他选择。</w:t>
      </w:r>
    </w:p>
    <w:p>
      <w:pPr>
        <w:pStyle w:val="Normal"/>
        <w:rPr/>
      </w:pPr>
      <w:r>
        <w:rPr/>
        <w:t>报告称</w:t>
      </w:r>
      <w:r>
        <w:rPr/>
        <w:t>2026ASCO</w:t>
      </w:r>
      <w:r>
        <w:rPr/>
        <w:t>的非鳞状非小细胞肺癌三期显示组合优于替雷利珠单抗加标准化疗，并强调继鳞状研究之后的证据。这是公司引用研究的定性事实，本文未取得完整试验统计表，不能填造风险比或绝对生存差异。理解价值需看随机设计、主要终点、地区和人群、后续治疗、安全停药及生存成熟度。已达某终点不能证明在所有患者中优于所有免疫方案，更不能用不同公司单臂应答率直接排序。</w:t>
      </w:r>
    </w:p>
    <w:p>
      <w:pPr>
        <w:pStyle w:val="Normal"/>
        <w:rPr/>
      </w:pPr>
      <w:r>
        <w:rPr/>
        <w:t>库莫西利为</w:t>
      </w:r>
      <w:r>
        <w:rPr/>
        <w:t>CDK2/4/6</w:t>
      </w:r>
      <w:r>
        <w:rPr/>
        <w:t>抑制剂，已批与氟维司群用于</w:t>
      </w:r>
      <w:r>
        <w:rPr/>
        <w:t>HR</w:t>
      </w:r>
      <w:r>
        <w:rPr/>
        <w:t>阳性</w:t>
      </w:r>
      <w:r>
        <w:rPr/>
        <w:t>HER2</w:t>
      </w:r>
      <w:r>
        <w:rPr/>
        <w:t>阴性乳腺癌相关一线及进展后治疗，术后辅助三期继续推进。靶点范围扩大可提供耐药机制上的潜力，临床上必须以对应试验结果评价，不以体外抑制更强推断疗效全面更好。辅助市场比晚期不同：患者疗程、接受风险和支付更严格，延长治疗可能增加收入也会增加耐受管理要求。模型没有将辅助适应症当已经批准的确定增量。</w:t>
      </w:r>
    </w:p>
    <w:p>
      <w:pPr>
        <w:pStyle w:val="Normal"/>
        <w:rPr/>
      </w:pPr>
      <w:r>
        <w:rPr/>
        <w:t>宗艾替尼来自勃林格殷格翰中国大陆合作，是</w:t>
      </w:r>
      <w:r>
        <w:rPr/>
        <w:t>HER2</w:t>
      </w:r>
      <w:r>
        <w:rPr/>
        <w:t>激活突变肺癌口服治疗之一，报告列两项批准。口服便利、驱动基因检测和特定患者筛选决定市场，不能把全部</w:t>
      </w:r>
      <w:r>
        <w:rPr/>
        <w:t>HER2</w:t>
      </w:r>
      <w:r>
        <w:rPr/>
        <w:t>蛋白表达阳性肿瘤算入同一适应症。引进合作收入会给集团渠道增加产品，但净利润需扣供货或许可对价和推广；所有销售收入计入集团不意味着全部产品经济权利归母。长期模型将引进药收入按较合理核心净利率处理，不给同自研资产相同利润自动外推。</w:t>
      </w:r>
    </w:p>
    <w:p>
      <w:pPr>
        <w:pStyle w:val="Normal"/>
        <w:rPr/>
      </w:pPr>
      <w:r>
        <w:rPr/>
        <w:t>肿瘤产品还包括免疫单抗、长效升白、</w:t>
      </w:r>
      <w:r>
        <w:rPr/>
        <w:t>PARP</w:t>
      </w:r>
      <w:r>
        <w:rPr/>
        <w:t>和</w:t>
      </w:r>
      <w:r>
        <w:rPr/>
        <w:t>KRAS</w:t>
      </w:r>
      <w:r>
        <w:rPr/>
        <w:t>相关产品，以及多款生物类似药。组合覆盖有助形成医院渠道和治疗服务，但临床适应症和医生分科会分散推广资源。多产品模式可减单品失败冲击，若同靶点竞争使多个品种同时降价，分散效果会减少。真正经营质量应看新增销售转化净现金的比例、准入速度、供应和续用，而不是仅看产品目录长；本文经营评分较高来自已实现创新产品销售增长，仍保留医保及竞争反证。</w:t>
      </w:r>
    </w:p>
    <w:p>
      <w:pPr>
        <w:pStyle w:val="Heading2"/>
        <w:rPr/>
      </w:pPr>
      <w:r>
        <w:rPr>
          <w:color w:val="000000"/>
        </w:rPr>
        <w:t>四 罗伐昔替尼与海外授权</w:t>
      </w:r>
    </w:p>
    <w:p>
      <w:pPr>
        <w:pStyle w:val="Normal"/>
        <w:rPr/>
      </w:pPr>
      <w:r>
        <w:rPr/>
        <w:t>罗伐昔替尼为</w:t>
      </w:r>
      <w:r>
        <w:rPr/>
        <w:t>JAK</w:t>
      </w:r>
      <w:r>
        <w:rPr/>
        <w:t>及</w:t>
      </w:r>
      <w:r>
        <w:rPr/>
        <w:t>ROCK</w:t>
      </w:r>
      <w:r>
        <w:rPr/>
        <w:t>双通路抑制剂，</w:t>
      </w:r>
      <w:r>
        <w:rPr/>
        <w:t>2026</w:t>
      </w:r>
      <w:r>
        <w:rPr/>
        <w:t>二月获批中危二或高危骨髓纤维化相关成人一线治疗。原公告涉及</w:t>
      </w:r>
      <w:r>
        <w:rPr/>
        <w:t>107</w:t>
      </w:r>
      <w:r>
        <w:rPr/>
        <w:t>例随机、双盲、双模拟、阳性对照二期，试验对照为羟基尿；公告给</w:t>
      </w:r>
      <w:r>
        <w:rPr/>
        <w:t>24</w:t>
      </w:r>
      <w:r>
        <w:rPr/>
        <w:t>周</w:t>
      </w:r>
      <w:r>
        <w:rPr/>
        <w:t>SVR35</w:t>
      </w:r>
      <w:r>
        <w:rPr/>
        <w:t>为</w:t>
      </w:r>
      <w:r>
        <w:rPr/>
        <w:t>58.33%</w:t>
      </w:r>
      <w:r>
        <w:rPr/>
        <w:t>、最佳症状评分</w:t>
      </w:r>
      <w:r>
        <w:rPr/>
        <w:t>TSS50</w:t>
      </w:r>
      <w:r>
        <w:rPr/>
        <w:t>为</w:t>
      </w:r>
      <w:r>
        <w:rPr/>
        <w:t>77.78%</w:t>
      </w:r>
      <w:r>
        <w:rPr/>
        <w:t>等。批准支持临床价值，但不能把公告中与芦可替尼的跨研究安全比较视为本试验头对头证明。不同治疗背景和基线病例会影响风险，投资论据需正确标明证据层级。</w:t>
      </w:r>
    </w:p>
    <w:p>
      <w:pPr>
        <w:pStyle w:val="Normal"/>
        <w:rPr/>
      </w:pPr>
      <w:r>
        <w:rPr/>
        <w:t>骨髓纤维化为相对少见疾病，对治疗疗效、症状控制及耐受有明显需求。公司公告提出病例从</w:t>
      </w:r>
      <w:r>
        <w:rPr/>
        <w:t>2025</w:t>
      </w:r>
      <w:r>
        <w:rPr/>
        <w:t>六点七万到</w:t>
      </w:r>
      <w:r>
        <w:rPr/>
        <w:t>2030</w:t>
      </w:r>
      <w:r>
        <w:rPr/>
        <w:t>三十万，增长较大，资料不足以说明诊断口径及流行病学变化，本模型没有直接使用该病例预测推峰值。患者总量、可治疗资格、报销与份额要各自估算，不能因为临床需求迫切就采用全部人口乘高价。长期可观察真实注册、医生采用与销售，不以企业人口预测替代独立市场验证。</w:t>
      </w:r>
    </w:p>
    <w:p>
      <w:pPr>
        <w:pStyle w:val="Normal"/>
        <w:rPr/>
      </w:pPr>
      <w:r>
        <w:rPr/>
        <w:t>2026</w:t>
      </w:r>
      <w:r>
        <w:rPr/>
        <w:t>三月四日</w:t>
      </w:r>
      <w:r>
        <w:rPr/>
        <w:t>Sanofi</w:t>
      </w:r>
      <w:r>
        <w:rPr/>
        <w:t>原公告确认全球开发、生产和商业化独家授权，首付</w:t>
      </w:r>
      <w:r>
        <w:rPr/>
        <w:t>1.35</w:t>
      </w:r>
      <w:r>
        <w:rPr/>
        <w:t>亿美元、最高</w:t>
      </w:r>
      <w:r>
        <w:rPr/>
        <w:t>13.95</w:t>
      </w:r>
      <w:r>
        <w:rPr/>
        <w:t>亿美元潜在里程碑和最高双位数阶梯特许费。新闻和报告有时将总额</w:t>
      </w:r>
      <w:r>
        <w:rPr/>
        <w:t>15.3</w:t>
      </w:r>
      <w:r>
        <w:rPr/>
        <w:t>亿美元称交易额，不能再把首付加到总额得到</w:t>
      </w:r>
      <w:r>
        <w:rPr/>
        <w:t>16.65</w:t>
      </w:r>
      <w:r>
        <w:rPr/>
        <w:t>亿美元。全球范围也包括中国权益，模型不能同时把所有国内直接销售利润永久保留并另加全球特许现值。本文未来产品及特许盈利仅反映合同实际经济权益的研究判断，尚未完整逐产品拆分，所以明确标适配简化模型。</w:t>
      </w:r>
    </w:p>
    <w:p>
      <w:pPr>
        <w:pStyle w:val="Normal"/>
        <w:rPr/>
      </w:pPr>
      <w:r>
        <w:rPr/>
        <w:t>罗伐昔替尼还探索慢性移植物抗宿主病，国内三期、美国二期获准，早中期研究具有信号。骨髓纤维化获批不能把另一疾病成功率提升到百分之百，靶点机制及临床终点仍不同。</w:t>
      </w:r>
      <w:r>
        <w:rPr/>
        <w:t>Sanofi</w:t>
      </w:r>
      <w:r>
        <w:rPr/>
        <w:t>的全球经验有利于试验与商业化，却也影响项目优先级、投入及合同里程碑时点。大额首付降低公司融资风险，但资本价值已经进入现金和已报收入，未来估值必须去除重复加回，只有尚未实现持续特许或里程碑才属于新权益。</w:t>
      </w:r>
    </w:p>
    <w:p>
      <w:pPr>
        <w:pStyle w:val="Heading2"/>
        <w:rPr/>
      </w:pPr>
      <w:r>
        <w:rPr>
          <w:color w:val="000000"/>
        </w:rPr>
        <w:t xml:space="preserve">五 </w:t>
      </w:r>
      <w:r>
        <w:rPr>
          <w:color w:val="000000"/>
        </w:rPr>
        <w:t xml:space="preserve">ADC </w:t>
      </w:r>
      <w:r>
        <w:rPr>
          <w:color w:val="000000"/>
        </w:rPr>
        <w:t>免疫及蛋白降解平台</w:t>
      </w:r>
    </w:p>
    <w:p>
      <w:pPr>
        <w:pStyle w:val="Normal"/>
        <w:rPr/>
      </w:pPr>
      <w:r>
        <w:rPr/>
        <w:t>礼新资产</w:t>
      </w:r>
      <w:r>
        <w:rPr/>
        <w:t>LM302</w:t>
      </w:r>
      <w:r>
        <w:rPr/>
        <w:t>为</w:t>
      </w:r>
      <w:r>
        <w:rPr/>
        <w:t>CLDN18.2 ADC</w:t>
      </w:r>
      <w:r>
        <w:rPr/>
        <w:t>，</w:t>
      </w:r>
      <w:r>
        <w:rPr/>
        <w:t>2026</w:t>
      </w:r>
      <w:r>
        <w:rPr/>
        <w:t>六月申报至少两次治疗后的胃或胃食管结合部癌，联合</w:t>
      </w:r>
      <w:r>
        <w:rPr/>
        <w:t>PD1</w:t>
      </w:r>
      <w:r>
        <w:rPr/>
        <w:t>的一线无化疗三期开始入组，另有美国</w:t>
      </w:r>
      <w:r>
        <w:rPr/>
        <w:t>IND</w:t>
      </w:r>
      <w:r>
        <w:rPr/>
        <w:t>和孤儿资格。</w:t>
      </w:r>
      <w:r>
        <w:rPr/>
        <w:t>ADC</w:t>
      </w:r>
      <w:r>
        <w:rPr/>
        <w:t>可将细胞毒作用与靶向输送结合，商业定位需看标志物检测、表达门槛、治疗线次、耐受和竞品。美国</w:t>
      </w:r>
      <w:r>
        <w:rPr/>
        <w:t>IND</w:t>
      </w:r>
      <w:r>
        <w:rPr/>
        <w:t>及孤儿资格只是开发及监管便利，不是上市授权。模型未用这些标签给全球注册完全成功率，早期广泛癌种活性也不能直接当每种癌都获批。</w:t>
      </w:r>
    </w:p>
    <w:p>
      <w:pPr>
        <w:pStyle w:val="Normal"/>
        <w:rPr/>
      </w:pPr>
      <w:r>
        <w:rPr/>
        <w:t>LM302</w:t>
      </w:r>
      <w:r>
        <w:rPr/>
        <w:t>后期胃癌潜力与其他</w:t>
      </w:r>
      <w:r>
        <w:rPr/>
        <w:t>CLDN18.2</w:t>
      </w:r>
      <w:r>
        <w:rPr/>
        <w:t>抗体、</w:t>
      </w:r>
      <w:r>
        <w:rPr/>
        <w:t>ADC</w:t>
      </w:r>
      <w:r>
        <w:rPr/>
        <w:t>、免疫及化疗竞品有关。若标志物低表达有活性，可能扩大可治疗患者，也需要充分安全窗口和对应研究设计验证。单药后线与一线联合证据独立，一线大市场亦面对更强对照和更高研究成本。生产一致性、药物抗体比、连接子稳定和供应质量还会影响真实采用，研究需把临床、制造和支付共同考虑，不能从靶点热门推出销售必然成功。</w:t>
      </w:r>
    </w:p>
    <w:p>
      <w:pPr>
        <w:pStyle w:val="Normal"/>
        <w:rPr/>
      </w:pPr>
      <w:r>
        <w:rPr/>
        <w:t>LM108</w:t>
      </w:r>
      <w:r>
        <w:rPr/>
        <w:t>抗</w:t>
      </w:r>
      <w:r>
        <w:rPr/>
        <w:t>CCR8</w:t>
      </w:r>
      <w:r>
        <w:rPr/>
        <w:t>用于调节肿瘤免疫环境，报告列与</w:t>
      </w:r>
      <w:r>
        <w:rPr/>
        <w:t>PD1</w:t>
      </w:r>
      <w:r>
        <w:rPr/>
        <w:t>联合的两个关键注册研究。机制潜力在于影响免疫抑制细胞，但免疫系统复杂，早期反应改善不证明长期生存和可控安全。耐药患者需要明确人群筛选，不能把所有免疫失败患者当相同疗效。公司平台能更好筛选和设计候选，却仍需随机或监管认可的证据；本模型不对每一早期免疫项目加独立巨大峰值，只在长期核心增长中反映部分成功可能。</w:t>
      </w:r>
    </w:p>
    <w:p>
      <w:pPr>
        <w:pStyle w:val="Normal"/>
        <w:rPr/>
      </w:pPr>
      <w:r>
        <w:rPr/>
        <w:t>TQB2102</w:t>
      </w:r>
      <w:r>
        <w:rPr/>
        <w:t>为</w:t>
      </w:r>
      <w:r>
        <w:rPr/>
        <w:t>HER2</w:t>
      </w:r>
      <w:r>
        <w:rPr/>
        <w:t>双表位双抗</w:t>
      </w:r>
      <w:r>
        <w:rPr/>
        <w:t>ADC</w:t>
      </w:r>
      <w:r>
        <w:rPr/>
        <w:t>，多项适应症推进临床，存在</w:t>
      </w:r>
      <w:r>
        <w:rPr/>
        <w:t>HER2</w:t>
      </w:r>
      <w:r>
        <w:rPr/>
        <w:t>表达和治疗线次差异。竞争评价需注意</w:t>
      </w:r>
      <w:r>
        <w:rPr/>
        <w:t>HER2</w:t>
      </w:r>
      <w:r>
        <w:rPr/>
        <w:t>扩增、突变及低表达不是同一患者集合，胃癌、乳腺及结直肠的活性和耐受亦不能互相复制。海外合作可以降低部分地区投入，经济分成需合同与股权归属。若把多个适应症的理论病例全加并用同一高成功率，会大幅夸大长期价值，最终逐适应症</w:t>
      </w:r>
      <w:r>
        <w:rPr/>
        <w:t>rNPV</w:t>
      </w:r>
      <w:r>
        <w:rPr/>
        <w:t>仍需后续完整建模，当前没有声称满足该部分最终验收。</w:t>
      </w:r>
    </w:p>
    <w:p>
      <w:pPr>
        <w:pStyle w:val="Normal"/>
        <w:rPr/>
      </w:pPr>
      <w:r>
        <w:rPr/>
        <w:t>TQB2868</w:t>
      </w:r>
      <w:r>
        <w:rPr/>
        <w:t>的</w:t>
      </w:r>
      <w:r>
        <w:rPr/>
        <w:t>PD1/TGFβ</w:t>
      </w:r>
      <w:r>
        <w:rPr/>
        <w:t>融合蛋白在胰腺癌三期联合安罗替尼及化疗，</w:t>
      </w:r>
      <w:r>
        <w:rPr/>
        <w:t>TQB3019</w:t>
      </w:r>
      <w:r>
        <w:rPr/>
        <w:t>为</w:t>
      </w:r>
      <w:r>
        <w:rPr/>
        <w:t>BTK</w:t>
      </w:r>
      <w:r>
        <w:rPr/>
        <w:t>口服蛋白降解剂处早期。前者面对难治疾病、较强未满足需求，但机制复杂且后期试验必须证明获益；后者探索耐药蛋白降解，临床药代、有效靶降解和安全需要验证。不能用临床前耐药覆盖或脑渗透性直接断言临床优于成熟产品。技术平台的投资价值在于能重复产生有效分子并控制淘汰成本，与所有分子都成功截然不同。</w:t>
      </w:r>
    </w:p>
    <w:p>
      <w:pPr>
        <w:pStyle w:val="Normal"/>
        <w:rPr/>
      </w:pPr>
      <w:r>
        <w:rPr/>
        <w:t>研发组织如何分配资金决定平台长期回报。拥有三十九个临床以上肿瘤一类候选、多个上市申请和三期说明储备广，但各自是否投入回报合理需要单独判断。若很多同机制分子同时开发，竞争和失败相关，数量不等于风险均匀分散。公司可以通过内外合作、分阶段验证和及时淘汰降低浪费；投资者应观察每年投入转获批及经营现金的效率，而非把每个候选都按最高潜在销售乘同样成功率。</w:t>
      </w:r>
    </w:p>
    <w:p>
      <w:pPr>
        <w:pStyle w:val="Heading2"/>
        <w:rPr/>
      </w:pPr>
      <w:r>
        <w:rPr>
          <w:color w:val="000000"/>
        </w:rPr>
        <w:t>六 呼吸业务 国内渠道与全球开发</w:t>
      </w:r>
    </w:p>
    <w:p>
      <w:pPr>
        <w:pStyle w:val="Normal"/>
        <w:rPr/>
      </w:pPr>
      <w:r>
        <w:rPr/>
        <w:t>TQC3721</w:t>
      </w:r>
      <w:r>
        <w:rPr/>
        <w:t>为吸入式</w:t>
      </w:r>
      <w:r>
        <w:rPr/>
        <w:t>PDE3/4</w:t>
      </w:r>
      <w:r>
        <w:rPr/>
        <w:t>抑制剂，霧化悬液和干粉剂型适配不同患者与场景。</w:t>
      </w:r>
      <w:r>
        <w:rPr/>
        <w:t>PDE3</w:t>
      </w:r>
      <w:r>
        <w:rPr/>
        <w:t>作用气道平滑肌、</w:t>
      </w:r>
      <w:r>
        <w:rPr/>
        <w:t>PDE4</w:t>
      </w:r>
      <w:r>
        <w:rPr/>
        <w:t>作用炎症细胞，理论上结合支气管扩张与抗炎，能否在真实病人减少加重与改善长期生活质量需试验证明。十月八日原公告称</w:t>
      </w:r>
      <w:r>
        <w:rPr/>
        <w:t>PACERIII</w:t>
      </w:r>
      <w:r>
        <w:rPr/>
        <w:t>完成全部入组，是研究执行进度的重要催化，但尚没有该三期主要结果，不能给它一个虚构风险比或称已达到审批所需终点。</w:t>
      </w:r>
    </w:p>
    <w:p>
      <w:pPr>
        <w:pStyle w:val="Normal"/>
        <w:rPr/>
      </w:pPr>
      <w:r>
        <w:rPr/>
        <w:t>九月七日干粉一期公告披露</w:t>
      </w:r>
      <w:r>
        <w:rPr/>
        <w:t>72</w:t>
      </w:r>
      <w:r>
        <w:rPr/>
        <w:t>例剂量探索、六个队列，治疗第九天</w:t>
      </w:r>
      <w:r>
        <w:rPr/>
        <w:t>FEV1</w:t>
      </w:r>
      <w:r>
        <w:rPr/>
        <w:t>峰值较基线各剂量平均改善约</w:t>
      </w:r>
      <w:r>
        <w:rPr/>
        <w:t>263</w:t>
      </w:r>
      <w:r>
        <w:rPr/>
        <w:t>至</w:t>
      </w:r>
      <w:r>
        <w:rPr/>
        <w:t>497</w:t>
      </w:r>
      <w:r>
        <w:rPr/>
        <w:t>毫升；数值不是安慰剂校正后的全部疗效，也非完整持续一年试验。剂量反应并非每档严格单调，公告称明确依赖性不能代替研究统计。另一一期开放阳性对照拟</w:t>
      </w:r>
      <w:r>
        <w:rPr/>
        <w:t>40</w:t>
      </w:r>
      <w:r>
        <w:rPr/>
        <w:t>例、投稿时</w:t>
      </w:r>
      <w:r>
        <w:rPr/>
        <w:t>23</w:t>
      </w:r>
      <w:r>
        <w:rPr/>
        <w:t>例完成两周，报告比较谷值和峰值改善。此证据支持进一步开发，不能直接证明最终复方商业化优于所有双支扩。</w:t>
      </w:r>
    </w:p>
    <w:p>
      <w:pPr>
        <w:pStyle w:val="Normal"/>
        <w:rPr/>
      </w:pPr>
      <w:r>
        <w:rPr/>
        <w:t>霧化与干粉有不同使用便利、装置、依从性及患者疾病严重程度，可能扩展市场也会形成成本和注册要求。慢阻肺不少潜在患者尚未确诊或规范治疗，人口患病数远大于可支付药物用户数。模型长期产品收入包含呼吸增长，但没有以超过一亿潜在国内患者乘统一定价推销量。实际应逐层诊断、适应症资格、已有治疗不足、医生采用及医保处理，装置训练和长期使用也影响有效疗程。</w:t>
      </w:r>
    </w:p>
    <w:p>
      <w:pPr>
        <w:pStyle w:val="Normal"/>
        <w:rPr/>
      </w:pPr>
      <w:r>
        <w:rPr/>
        <w:t>七月八日原公告阿斯利康授权为中国以外开发、生产和商业化，同时特定开发方案全球独家；首付二亿美元、总额最高十九亿美元、最高双位数分级特许。中国范围与具体方案需要合同细拆，不能把所有剂型永久归中国自己、又加全球全部分成。首付款收入是否已经满足会计确认也需后续报表，九月机构预期不等于事实。模型目标现金是情景合计，长期风险调整特许纳入核心利润，不另外加相同管线现值。</w:t>
      </w:r>
    </w:p>
    <w:p>
      <w:pPr>
        <w:pStyle w:val="Normal"/>
        <w:rPr/>
      </w:pPr>
      <w:r>
        <w:rPr/>
        <w:t>全再乐和欧乐欣</w:t>
      </w:r>
      <w:r>
        <w:rPr/>
        <w:t>GSK</w:t>
      </w:r>
      <w:r>
        <w:rPr/>
        <w:t>引进产品分别三联和双支气管扩张吸入疗法，正大天晴负责进口、分销、医院准入和推广，所有中国销售计入该子公司营业收入。全再乐在</w:t>
      </w:r>
      <w:r>
        <w:rPr/>
        <w:t>2019</w:t>
      </w:r>
      <w:r>
        <w:rPr/>
        <w:t>慢阻肺获批、</w:t>
      </w:r>
      <w:r>
        <w:rPr/>
        <w:t>2026</w:t>
      </w:r>
      <w:r>
        <w:rPr/>
        <w:t>新增哮喘，能够利用呼吸渠道。</w:t>
      </w:r>
      <w:r>
        <w:rPr/>
        <w:t>GSK2025</w:t>
      </w:r>
      <w:r>
        <w:rPr/>
        <w:t>全球两药合计超过</w:t>
      </w:r>
      <w:r>
        <w:rPr/>
        <w:t>35</w:t>
      </w:r>
      <w:r>
        <w:rPr/>
        <w:t>亿英镑不是中生未来收入，国内份额、价格、供货与商业成本不同。销售总额计入不意味集团拥有与原研方一样的净利润率，模型核心产品净利率需考虑这个区别。</w:t>
      </w:r>
    </w:p>
    <w:p>
      <w:pPr>
        <w:pStyle w:val="Normal"/>
        <w:rPr/>
      </w:pPr>
      <w:r>
        <w:rPr/>
        <w:t>呼吸新资产还含</w:t>
      </w:r>
      <w:r>
        <w:rPr/>
        <w:t>ROCK2</w:t>
      </w:r>
      <w:r>
        <w:rPr/>
        <w:t>用于肺纤维化、</w:t>
      </w:r>
      <w:r>
        <w:rPr/>
        <w:t>TSLP</w:t>
      </w:r>
      <w:r>
        <w:rPr/>
        <w:t>用于重度哮喘和鼻息肉、</w:t>
      </w:r>
      <w:r>
        <w:rPr/>
        <w:t>TYK2</w:t>
      </w:r>
      <w:r>
        <w:rPr/>
        <w:t>用于银屑病等三期候选。未满足需求和成熟渠道能为新药提供经营基础，却每种疾病的标准治疗、证据及支付独立。与</w:t>
      </w:r>
      <w:r>
        <w:rPr/>
        <w:t>GSK</w:t>
      </w:r>
      <w:r>
        <w:rPr/>
        <w:t>商业合作可能提高准入经验，但产品同时服务同一科室不自动协同盈利，销售团队须专业和合规。长期投资逻辑是逐步扩大多个呼吸产品现金，而非短期一次授权利润；失败路径为疗效不够、渠道成本高及价格不支持规模。</w:t>
      </w:r>
    </w:p>
    <w:p>
      <w:pPr>
        <w:pStyle w:val="Heading2"/>
        <w:rPr/>
      </w:pPr>
      <w:r>
        <w:rPr>
          <w:color w:val="000000"/>
        </w:rPr>
        <w:t>七 肝病 代谢与小核酸</w:t>
      </w:r>
    </w:p>
    <w:p>
      <w:pPr>
        <w:pStyle w:val="Normal"/>
        <w:rPr/>
      </w:pPr>
      <w:r>
        <w:rPr/>
        <w:t>天晴甘美及恩替卡韦等成熟肝病产品形成渠道和需求基础，竞争与医保使长期价格承压。肝病管理从病毒抑制逐渐探索功能性治愈，新的治疗可扩大患者获益，也可能替代部分旧品种。集团应把成熟渠道变为新品商业化能力，而不是期待旧药永远保持售价与份额。长期建模应扣老品衰退，再加新市场，不把功能治愈新药与终身旧抗病毒同一患者持续用药永久重算。</w:t>
      </w:r>
    </w:p>
    <w:p>
      <w:pPr>
        <w:pStyle w:val="Normal"/>
        <w:rPr/>
      </w:pPr>
      <w:r>
        <w:rPr/>
        <w:t>Bepirovirsen</w:t>
      </w:r>
      <w:r>
        <w:rPr/>
        <w:t>来自</w:t>
      </w:r>
      <w:r>
        <w:rPr/>
        <w:t>GSK</w:t>
      </w:r>
      <w:r>
        <w:rPr/>
        <w:t>合作，是</w:t>
      </w:r>
      <w:r>
        <w:rPr/>
        <w:t>ASO</w:t>
      </w:r>
      <w:r>
        <w:rPr/>
        <w:t>治疗，</w:t>
      </w:r>
      <w:r>
        <w:rPr/>
        <w:t>2026</w:t>
      </w:r>
      <w:r>
        <w:rPr/>
        <w:t>三月申报中国、预计</w:t>
      </w:r>
      <w:r>
        <w:rPr/>
        <w:t>2027</w:t>
      </w:r>
      <w:r>
        <w:rPr/>
        <w:t>上半年监管决定。五月二十九日原公告引用两项随机双盲全球三期，基线表面抗原不超过</w:t>
      </w:r>
      <w:r>
        <w:rPr/>
        <w:t>3000</w:t>
      </w:r>
      <w:r>
        <w:rPr/>
        <w:t>的人群、结束全部治疗后六个月功能性治愈</w:t>
      </w:r>
      <w:r>
        <w:rPr/>
        <w:t>19%</w:t>
      </w:r>
      <w:r>
        <w:rPr/>
        <w:t>，</w:t>
      </w:r>
      <w:r>
        <w:rPr/>
        <w:t>233/1220</w:t>
      </w:r>
      <w:r>
        <w:rPr/>
        <w:t>对</w:t>
      </w:r>
      <w:r>
        <w:rPr/>
        <w:t>0/614</w:t>
      </w:r>
      <w:r>
        <w:rPr/>
        <w:t>，两试验</w:t>
      </w:r>
      <w:r>
        <w:rPr/>
        <w:t>p</w:t>
      </w:r>
      <w:r>
        <w:rPr/>
        <w:t>小于</w:t>
      </w:r>
      <w:r>
        <w:rPr/>
        <w:t>0.001</w:t>
      </w:r>
      <w:r>
        <w:rPr/>
        <w:t>；低于</w:t>
      </w:r>
      <w:r>
        <w:rPr/>
        <w:t>1000</w:t>
      </w:r>
      <w:r>
        <w:rPr/>
        <w:t>亚组</w:t>
      </w:r>
      <w:r>
        <w:rPr/>
        <w:t>26%</w:t>
      </w:r>
      <w:r>
        <w:rPr/>
        <w:t>，</w:t>
      </w:r>
      <w:r>
        <w:rPr/>
        <w:t>200/768</w:t>
      </w:r>
      <w:r>
        <w:rPr/>
        <w:t>对</w:t>
      </w:r>
      <w:r>
        <w:rPr/>
        <w:t>0/393</w:t>
      </w:r>
      <w:r>
        <w:rPr/>
        <w:t>。与只有早期生物标志物的管线不同，已存在明确随机确证证据，仍需核验原论文及监管最终标签，不能把所有慢乙肝病人获益率直接等于</w:t>
      </w:r>
      <w:r>
        <w:rPr/>
        <w:t>19%</w:t>
      </w:r>
      <w:r>
        <w:rPr/>
        <w:t>。</w:t>
      </w:r>
    </w:p>
    <w:p>
      <w:pPr>
        <w:pStyle w:val="Normal"/>
        <w:rPr/>
      </w:pPr>
      <w:r>
        <w:rPr/>
        <w:t>中国亚组公告为</w:t>
      </w:r>
      <w:r>
        <w:rPr/>
        <w:t>24%</w:t>
      </w:r>
      <w:r>
        <w:rPr/>
        <w:t>和</w:t>
      </w:r>
      <w:r>
        <w:rPr/>
        <w:t>35%</w:t>
      </w:r>
      <w:r>
        <w:rPr/>
        <w:t>，相对全球略高，研究也有病例构成及亚组误差。不能用中国亚组较好值作全国内患者必达治愈比例，尤其必须遵守入组表面抗原等条件。功能性治愈的定义是停止治疗后</w:t>
      </w:r>
      <w:r>
        <w:rPr/>
        <w:t>HBsAg</w:t>
      </w:r>
      <w:r>
        <w:rPr/>
        <w:t>与病毒</w:t>
      </w:r>
      <w:r>
        <w:rPr/>
        <w:t>DNA</w:t>
      </w:r>
      <w:r>
        <w:rPr/>
        <w:t>持续低于阈值，临床价值明确；报告又引用表面抗原下降与肝癌、死亡较低的观察性文献，不能说该三期已直接证明肝癌风险下降</w:t>
      </w:r>
      <w:r>
        <w:rPr/>
        <w:t>89%</w:t>
      </w:r>
      <w:r>
        <w:rPr/>
        <w:t>。投资评价需区分随机终点与关联性远期观察。</w:t>
      </w:r>
    </w:p>
    <w:p>
      <w:pPr>
        <w:pStyle w:val="Normal"/>
        <w:rPr/>
      </w:pPr>
      <w:r>
        <w:rPr/>
        <w:t>公开常见不良反应为注射部位红斑疼痛及肝酶暂时升高，监管和医生会考虑疗程及随访。新机制如果需要较密集监测与患者筛选，实际采用可低于潜在人群。</w:t>
      </w:r>
      <w:r>
        <w:rPr/>
        <w:t>GSK</w:t>
      </w:r>
      <w:r>
        <w:rPr/>
        <w:t>保留上市许可、质量、药物警戒和全球医学策略，正大天晴承担中国商业运营，双方分工有助执行但经济条款决定净利润。所有中国营业收入计入集团不是所有利益归中生，本文产品增长包含引进收入，净利率没有照搬自研高毛利。</w:t>
      </w:r>
    </w:p>
    <w:p>
      <w:pPr>
        <w:pStyle w:val="Normal"/>
        <w:rPr/>
      </w:pPr>
      <w:r>
        <w:rPr/>
        <w:t>赫吉亚资产</w:t>
      </w:r>
      <w:r>
        <w:rPr/>
        <w:t>Kylo11</w:t>
      </w:r>
      <w:r>
        <w:rPr/>
        <w:t>为</w:t>
      </w:r>
      <w:r>
        <w:rPr/>
        <w:t>Lp(a)</w:t>
      </w:r>
      <w:r>
        <w:rPr/>
        <w:t>小干扰</w:t>
      </w:r>
      <w:r>
        <w:rPr/>
        <w:t>RNA</w:t>
      </w:r>
      <w:r>
        <w:rPr/>
        <w:t>，国内及美国二期、国内完成入组，早期公告最大中位降幅超过</w:t>
      </w:r>
      <w:r>
        <w:rPr/>
        <w:t>90%</w:t>
      </w:r>
      <w:r>
        <w:rPr/>
        <w:t>、有超长作用潜力。降低生物标志物与减少心血管事件并非同一终点，现阶段不能给“预防事件已经证明”溢价。患者检测、基线水平和既有降脂治疗决定可治疗需求，长期药物也要看持久安全。年一次给药有依从性价值，但其实际商业标签尚未形成，不以公司最强剂量描述作为全体病例预测。</w:t>
      </w:r>
    </w:p>
    <w:p>
      <w:pPr>
        <w:pStyle w:val="Normal"/>
        <w:rPr/>
      </w:pPr>
      <w:r>
        <w:rPr/>
        <w:t>Kylo12</w:t>
      </w:r>
      <w:r>
        <w:rPr/>
        <w:t>的</w:t>
      </w:r>
      <w:r>
        <w:rPr/>
        <w:t>APOC3</w:t>
      </w:r>
      <w:r>
        <w:rPr/>
        <w:t>小核酸处一期，</w:t>
      </w:r>
      <w:r>
        <w:rPr/>
        <w:t>Kylo0603</w:t>
      </w:r>
      <w:r>
        <w:rPr/>
        <w:t>肝靶向</w:t>
      </w:r>
      <w:r>
        <w:rPr/>
        <w:t>THRβ</w:t>
      </w:r>
      <w:r>
        <w:rPr/>
        <w:t>小分子处一期完成，拉尼兰诺</w:t>
      </w:r>
      <w:r>
        <w:rPr/>
        <w:t>MASH</w:t>
      </w:r>
      <w:r>
        <w:rPr/>
        <w:t>全球三期入组。代谢领域市场大也竞争广，病理改善、心血管结果、体重和纤维化不是同一获益。</w:t>
      </w:r>
      <w:r>
        <w:rPr/>
        <w:t>GLP1</w:t>
      </w:r>
      <w:r>
        <w:rPr/>
        <w:t>等其他机制可以配合或替代，市场份额需按真实治疗目标。平台收购给集团技术、人才和管线，不保证投入自动产生超额回报，模型以多产品部分实现的总收入情景呈现潜力，未造逐资产精确</w:t>
      </w:r>
      <w:r>
        <w:rPr/>
        <w:t>DCF</w:t>
      </w:r>
      <w:r>
        <w:rPr/>
        <w:t>。</w:t>
      </w:r>
    </w:p>
    <w:p>
      <w:pPr>
        <w:pStyle w:val="Heading2"/>
        <w:rPr/>
      </w:pPr>
      <w:r>
        <w:rPr>
          <w:color w:val="000000"/>
        </w:rPr>
        <w:t>八 镇痛 感染与成熟业务</w:t>
      </w:r>
    </w:p>
    <w:p>
      <w:pPr>
        <w:pStyle w:val="Normal"/>
        <w:rPr/>
      </w:pPr>
      <w:r>
        <w:rPr/>
        <w:t>外科镇痛覆盖贴剂、注射剂和其他产品，疾病需求与手术量、慢病疼痛和患者管理相关。贴剂便利及制造可以形成品牌，但仿制竞品、医保价格、医院采购和消费者渠道会影响收入。</w:t>
      </w:r>
      <w:r>
        <w:rPr/>
        <w:t>2026</w:t>
      </w:r>
      <w:r>
        <w:rPr/>
        <w:t>新增氟比洛芬贴剂、纳地美定、培来加南等批准提供产品组合更新，现阶段放量仍需准入及医生采用。成熟产品可支撑研发现金，却不能简单保持全部销售和毛利不变，模型仍给仿制药拖累和费用回升的悲观路径。</w:t>
      </w:r>
    </w:p>
    <w:p>
      <w:pPr>
        <w:pStyle w:val="Normal"/>
        <w:rPr/>
      </w:pPr>
      <w:r>
        <w:rPr/>
        <w:t>培来加南用于特定烧烫伤继发创面感染，非抗生素机制和抗菌谱在研发有意义，但批准标签限定治疗对象。不能以临床前对多种耐药菌杀菌活性把全身感染和所有超级细菌市场都算入当前收入，也不能将</w:t>
      </w:r>
      <w:r>
        <w:rPr/>
        <w:t>WHO</w:t>
      </w:r>
      <w:r>
        <w:rPr/>
        <w:t>命名理解为全球上市批准。短期商业化需要医院使用证据、治疗费用和与常规治疗配合，研发可能有扩展适应症但要独立成功。模型没有据新机制标签给予已经上市抗感染巨头的销售规模。</w:t>
      </w:r>
    </w:p>
    <w:p>
      <w:pPr>
        <w:pStyle w:val="Normal"/>
        <w:rPr/>
      </w:pPr>
      <w:r>
        <w:rPr/>
        <w:t>TRD205</w:t>
      </w:r>
      <w:r>
        <w:rPr/>
        <w:t>为外周</w:t>
      </w:r>
      <w:r>
        <w:rPr/>
        <w:t>AT2R</w:t>
      </w:r>
      <w:r>
        <w:rPr/>
        <w:t>镇痛二期，</w:t>
      </w:r>
      <w:r>
        <w:rPr/>
        <w:t>TRD208</w:t>
      </w:r>
      <w:r>
        <w:rPr/>
        <w:t>为早期非阿片多机制候选。非阿片治疗可降低依赖和某些中枢副作用需求，仍须有效性与安全比较，机制外周不等于临床完全没有不良反应。疼痛研究的主观终点、安慰剂及使用背景需要充分设计，单模型动物快速起效不能代替人类长疗程结果。公司多个治疗领域能分散单品风险，但新平台都需要资金，长期股票收益取决项目取舍和资本效率而非研发名词丰富。</w:t>
      </w:r>
    </w:p>
    <w:p>
      <w:pPr>
        <w:pStyle w:val="Heading2"/>
        <w:rPr/>
      </w:pPr>
      <w:r>
        <w:rPr>
          <w:color w:val="000000"/>
        </w:rPr>
        <w:t>九 生物类似药及</w:t>
      </w:r>
      <w:r>
        <w:rPr>
          <w:color w:val="000000"/>
        </w:rPr>
        <w:t>STADA</w:t>
      </w:r>
      <w:r>
        <w:rPr>
          <w:color w:val="000000"/>
        </w:rPr>
        <w:t>合作</w:t>
      </w:r>
    </w:p>
    <w:p>
      <w:pPr>
        <w:pStyle w:val="Normal"/>
        <w:rPr/>
      </w:pPr>
      <w:r>
        <w:rPr/>
        <w:t>九月二十八日</w:t>
      </w:r>
      <w:r>
        <w:rPr/>
        <w:t>STADA</w:t>
      </w:r>
      <w:r>
        <w:rPr/>
        <w:t>原公告涉及帕博利珠单抗生物类似药</w:t>
      </w:r>
      <w:r>
        <w:rPr/>
        <w:t>TQB3570</w:t>
      </w:r>
      <w:r>
        <w:rPr/>
        <w:t>，欧洲、瑞士、英国及独立国家联合体独家商业化，另有美国和海湾选项及最多三项其他生物类似药。付款加潜在里程碑合计最高</w:t>
      </w:r>
      <w:r>
        <w:rPr/>
        <w:t>5300</w:t>
      </w:r>
      <w:r>
        <w:rPr/>
        <w:t>万欧元，双位数利润分成。新闻若写首付之外再有</w:t>
      </w:r>
      <w:r>
        <w:rPr/>
        <w:t>5300</w:t>
      </w:r>
      <w:r>
        <w:rPr/>
        <w:t>万里程碑，会与公告“合计最高”不同，本文依原公告，不加总抬高价值。开发、生產和商业供应仍由正大天晴主导，成本及质量责任需要保留。</w:t>
      </w:r>
    </w:p>
    <w:p>
      <w:pPr>
        <w:pStyle w:val="Normal"/>
        <w:rPr/>
      </w:pPr>
      <w:r>
        <w:rPr/>
        <w:t>利润分成与销售特许费不同。前者可能受到当地销售、营销、供应和其他成本扣减，后者直接按净销售计算；不能套同一比例与原研销售预测得同样收入。</w:t>
      </w:r>
      <w:r>
        <w:rPr/>
        <w:t>STADA</w:t>
      </w:r>
      <w:r>
        <w:rPr/>
        <w:t>持上市许可及独家营销，提供当地渠道，三生生产平台承担研发和供应；最终净利还受子公司归属。公司提生物产能</w:t>
      </w:r>
      <w:r>
        <w:rPr/>
        <w:t>12.6</w:t>
      </w:r>
      <w:r>
        <w:rPr/>
        <w:t>万升，脚注含</w:t>
      </w:r>
      <w:r>
        <w:rPr/>
        <w:t>4</w:t>
      </w:r>
      <w:r>
        <w:rPr/>
        <w:t>万升在建，所以可用已建产能不能简单写</w:t>
      </w:r>
      <w:r>
        <w:rPr/>
        <w:t>12.6</w:t>
      </w:r>
      <w:r>
        <w:rPr/>
        <w:t>万升全部运行。合作验证伙伴愿意合作，仍不代表已获欧洲全部批准。</w:t>
      </w:r>
    </w:p>
    <w:p>
      <w:pPr>
        <w:pStyle w:val="Normal"/>
        <w:rPr/>
      </w:pPr>
      <w:r>
        <w:rPr/>
        <w:t>原研专利到期为行业窗口，新的皮下剂型、装置和其他专利会影响替代与市场，生物类似药还面对多家生产商价格竞争。原研</w:t>
      </w:r>
      <w:r>
        <w:rPr/>
        <w:t>2025</w:t>
      </w:r>
      <w:r>
        <w:rPr/>
        <w:t>销售</w:t>
      </w:r>
      <w:r>
        <w:rPr/>
        <w:t>317</w:t>
      </w:r>
      <w:r>
        <w:rPr/>
        <w:t>亿美元不能全变成集团市场份额，患者与支付方转换政策、竞品、实际净价及注册形成可取得收益。产能可以让平台规模化，也可能因订单不足形成利用率和折旧压力。本文将此作为中长期需求和合作催化，没有将行业总市场当公司已确定收入。</w:t>
      </w:r>
    </w:p>
    <w:p>
      <w:pPr>
        <w:pStyle w:val="Heading2"/>
        <w:rPr/>
      </w:pPr>
      <w:r>
        <w:rPr>
          <w:color w:val="000000"/>
        </w:rPr>
        <w:t>十 财务历史及正常盈利核验</w:t>
      </w:r>
    </w:p>
    <w:p>
      <w:pPr>
        <w:pStyle w:val="Normal"/>
        <w:rPr/>
      </w:pPr>
      <w:r>
        <w:rPr/>
        <w:t>2021</w:t>
      </w:r>
      <w:r>
        <w:rPr/>
        <w:t>至</w:t>
      </w:r>
      <w:r>
        <w:rPr/>
        <w:t>2025</w:t>
      </w:r>
      <w:r>
        <w:rPr/>
        <w:t>收入分别</w:t>
      </w:r>
      <w:r>
        <w:rPr/>
        <w:t>268.61356</w:t>
      </w:r>
      <w:r>
        <w:rPr/>
        <w:t>、</w:t>
      </w:r>
      <w:r>
        <w:rPr/>
        <w:t>260.26164</w:t>
      </w:r>
      <w:r>
        <w:rPr/>
        <w:t>、</w:t>
      </w:r>
      <w:r>
        <w:rPr/>
        <w:t>261.99409</w:t>
      </w:r>
      <w:r>
        <w:rPr/>
        <w:t>、</w:t>
      </w:r>
      <w:r>
        <w:rPr/>
        <w:t>288.66159</w:t>
      </w:r>
      <w:r>
        <w:rPr/>
        <w:t>、</w:t>
      </w:r>
      <w:r>
        <w:rPr/>
        <w:t>318.34488</w:t>
      </w:r>
      <w:r>
        <w:rPr/>
        <w:t>亿元，</w:t>
      </w:r>
      <w:r>
        <w:rPr/>
        <w:t>2024</w:t>
      </w:r>
      <w:r>
        <w:rPr/>
        <w:t>及</w:t>
      </w:r>
      <w:r>
        <w:rPr/>
        <w:t>2025</w:t>
      </w:r>
      <w:r>
        <w:rPr/>
        <w:t>恢复较高增长；基本溢利依次</w:t>
      </w:r>
      <w:r>
        <w:rPr/>
        <w:t>25.64760</w:t>
      </w:r>
      <w:r>
        <w:rPr/>
        <w:t>、</w:t>
      </w:r>
      <w:r>
        <w:rPr/>
        <w:t>25.49384</w:t>
      </w:r>
      <w:r>
        <w:rPr/>
        <w:t>、</w:t>
      </w:r>
      <w:r>
        <w:rPr/>
        <w:t>25.88783</w:t>
      </w:r>
      <w:r>
        <w:rPr/>
        <w:t>、</w:t>
      </w:r>
      <w:r>
        <w:rPr/>
        <w:t>34.57113</w:t>
      </w:r>
      <w:r>
        <w:rPr/>
        <w:t>、</w:t>
      </w:r>
      <w:r>
        <w:rPr/>
        <w:t>45.40970</w:t>
      </w:r>
      <w:r>
        <w:rPr/>
        <w:t>亿元。法定归母</w:t>
      </w:r>
      <w:r>
        <w:rPr/>
        <w:t>2021</w:t>
      </w:r>
      <w:r>
        <w:rPr/>
        <w:t>高达</w:t>
      </w:r>
      <w:r>
        <w:rPr/>
        <w:t>146.08412</w:t>
      </w:r>
      <w:r>
        <w:rPr/>
        <w:t>亿元，主要不是正常产品持续利润，之后</w:t>
      </w:r>
      <w:r>
        <w:rPr/>
        <w:t>25.43570</w:t>
      </w:r>
      <w:r>
        <w:rPr/>
        <w:t>、</w:t>
      </w:r>
      <w:r>
        <w:rPr/>
        <w:t>23.31939</w:t>
      </w:r>
      <w:r>
        <w:rPr/>
        <w:t>、</w:t>
      </w:r>
      <w:r>
        <w:rPr/>
        <w:t>34.99834</w:t>
      </w:r>
      <w:r>
        <w:rPr/>
        <w:t>、</w:t>
      </w:r>
      <w:r>
        <w:rPr/>
        <w:t>23.43348</w:t>
      </w:r>
      <w:r>
        <w:rPr/>
        <w:t>亿元，体现投资、终止业务及其他项目波动。历史比较以原报重列持续经营资料为基础，不能把法定最高利润当长周期峰值。</w:t>
      </w:r>
    </w:p>
    <w:p>
      <w:pPr>
        <w:pStyle w:val="Normal"/>
        <w:rPr/>
      </w:pPr>
      <w:r>
        <w:rPr/>
        <w:t>2025</w:t>
      </w:r>
      <w:r>
        <w:rPr/>
        <w:t>新增无形摊销调整定义已经追溯前期，“基本溢利”允许排除一些非现金和非核心项目，但授权属于公司核心策略不被排除。</w:t>
      </w:r>
      <w:r>
        <w:rPr/>
        <w:t>2026</w:t>
      </w:r>
      <w:r>
        <w:rPr/>
        <w:t>基本</w:t>
      </w:r>
      <w:r>
        <w:rPr/>
        <w:t>33.39318</w:t>
      </w:r>
      <w:r>
        <w:rPr/>
        <w:t>亿元、同比</w:t>
      </w:r>
      <w:r>
        <w:rPr/>
        <w:t>8.1%</w:t>
      </w:r>
      <w:r>
        <w:rPr/>
        <w:t>，扣旧期科兴股息后增长</w:t>
      </w:r>
      <w:r>
        <w:rPr/>
        <w:t>92.3%</w:t>
      </w:r>
      <w:r>
        <w:rPr/>
        <w:t>，既反映</w:t>
      </w:r>
      <w:r>
        <w:rPr/>
        <w:t>2025</w:t>
      </w:r>
      <w:r>
        <w:rPr/>
        <w:t>比较基数也反映产品和费用效率，不能等于纯产品利润同比翻倍。全年未来授权规模可能变化，研究用独立</w:t>
      </w:r>
      <w:r>
        <w:rPr/>
        <w:t>EPS</w:t>
      </w:r>
      <w:r>
        <w:rPr/>
        <w:t>去一次首付和非经营收益，避免将指标名字直接套长期。</w:t>
      </w:r>
    </w:p>
    <w:p>
      <w:pPr>
        <w:pStyle w:val="Normal"/>
        <w:rPr/>
      </w:pPr>
      <w:r>
        <w:rPr/>
        <w:t>2026</w:t>
      </w:r>
      <w:r>
        <w:rPr/>
        <w:t>毛利</w:t>
      </w:r>
      <w:r>
        <w:rPr/>
        <w:t>161.47725</w:t>
      </w:r>
      <w:r>
        <w:rPr/>
        <w:t>亿元、毛利率约</w:t>
      </w:r>
      <w:r>
        <w:rPr/>
        <w:t>83.0%</w:t>
      </w:r>
      <w:r>
        <w:rPr/>
        <w:t>，销售费用</w:t>
      </w:r>
      <w:r>
        <w:rPr/>
        <w:t>52.60112</w:t>
      </w:r>
      <w:r>
        <w:rPr/>
        <w:t>亿元同比少</w:t>
      </w:r>
      <w:r>
        <w:rPr/>
        <w:t>11.89792</w:t>
      </w:r>
      <w:r>
        <w:rPr/>
        <w:t>亿元、行政</w:t>
      </w:r>
      <w:r>
        <w:rPr/>
        <w:t>9.69464</w:t>
      </w:r>
      <w:r>
        <w:rPr/>
        <w:t>亿元、研发</w:t>
      </w:r>
      <w:r>
        <w:rPr/>
        <w:t>30.80029</w:t>
      </w:r>
      <w:r>
        <w:rPr/>
        <w:t>亿元。费用降低为归母利润增量的重要来源，</w:t>
      </w:r>
      <w:r>
        <w:rPr/>
        <w:t>AI</w:t>
      </w:r>
      <w:r>
        <w:rPr/>
        <w:t>和组织改善可以提供持续效率，但原财报没有因果实验把每一亿元降费都归</w:t>
      </w:r>
      <w:r>
        <w:rPr/>
        <w:t>AI</w:t>
      </w:r>
      <w:r>
        <w:rPr/>
        <w:t>。收入结构、推广节奏及合规环境也会变化。新品上市后可能提高推广和准入费用，核心预测不能永久外推当前所有费用下降，同时又假设创新销售高速放量。</w:t>
      </w:r>
    </w:p>
    <w:p>
      <w:pPr>
        <w:pStyle w:val="Normal"/>
        <w:rPr/>
      </w:pPr>
      <w:r>
        <w:rPr/>
        <w:t>研发总投入</w:t>
      </w:r>
      <w:r>
        <w:rPr/>
        <w:t>32.9098</w:t>
      </w:r>
      <w:r>
        <w:rPr/>
        <w:t>亿元，约</w:t>
      </w:r>
      <w:r>
        <w:rPr/>
        <w:t>93.6%</w:t>
      </w:r>
      <w:r>
        <w:rPr/>
        <w:t>入损益，另有资本化或资产投入。投资价值需要看研发成果及项目风险，费用化使报表较及时承担成本，资本化也不意味着项目一定成功。本文</w:t>
      </w:r>
      <w:r>
        <w:rPr/>
        <w:t>EPS</w:t>
      </w:r>
      <w:r>
        <w:rPr/>
        <w:t>保留正常研发与股份薪酬，没有调整到“无研发利润”再给管线价值。总投入与损益费用差额不能重复扣两次，制造设备、并购无形与临床费用也要分开，以防对费用高低的论据本身口径不一致。</w:t>
      </w:r>
    </w:p>
    <w:p>
      <w:pPr>
        <w:pStyle w:val="Normal"/>
        <w:rPr/>
      </w:pPr>
      <w:r>
        <w:rPr/>
        <w:t>集团期内利润</w:t>
      </w:r>
      <w:r>
        <w:rPr/>
        <w:t>61.43470</w:t>
      </w:r>
      <w:r>
        <w:rPr/>
        <w:t>亿元，归母</w:t>
      </w:r>
      <w:r>
        <w:rPr/>
        <w:t>34.34598</w:t>
      </w:r>
      <w:r>
        <w:rPr/>
        <w:t>、少数</w:t>
      </w:r>
      <w:r>
        <w:rPr/>
        <w:t>27.08872</w:t>
      </w:r>
      <w:r>
        <w:rPr/>
        <w:t>亿元，归母只占约</w:t>
      </w:r>
      <w:r>
        <w:rPr/>
        <w:t>55.91%</w:t>
      </w:r>
      <w:r>
        <w:rPr/>
        <w:t>，显著低于全部合并利润。普通股投资者应看后者扣少数份额，不能按集团净利润除母公司股数给</w:t>
      </w:r>
      <w:r>
        <w:rPr/>
        <w:t>EPS</w:t>
      </w:r>
      <w:r>
        <w:rPr/>
        <w:t>。摊薄加权股数</w:t>
      </w:r>
      <w:r>
        <w:rPr/>
        <w:t>180.49662</w:t>
      </w:r>
      <w:r>
        <w:rPr/>
        <w:t>亿，基本</w:t>
      </w:r>
      <w:r>
        <w:rPr/>
        <w:t>179.83012</w:t>
      </w:r>
      <w:r>
        <w:rPr/>
        <w:t>亿，未来赫吉亚对价股份及激励会增加股数；回购减少外部股份，同时需扣现金。本模型采用未来股数</w:t>
      </w:r>
      <w:r>
        <w:rPr/>
        <w:t>182</w:t>
      </w:r>
      <w:r>
        <w:rPr/>
        <w:t>亿起并逐期变化，避免用旧较少股数长期抬高每股价值。</w:t>
      </w:r>
    </w:p>
    <w:p>
      <w:pPr>
        <w:pStyle w:val="Heading2"/>
        <w:rPr/>
      </w:pPr>
      <w:r>
        <w:rPr>
          <w:color w:val="000000"/>
        </w:rPr>
        <w:t>十一 现金流 营运资金与资本责任</w:t>
      </w:r>
    </w:p>
    <w:p>
      <w:pPr>
        <w:pStyle w:val="Normal"/>
        <w:rPr/>
      </w:pPr>
      <w:r>
        <w:rPr/>
        <w:t>经营现金流</w:t>
      </w:r>
      <w:r>
        <w:rPr/>
        <w:t>43.18965</w:t>
      </w:r>
      <w:r>
        <w:rPr/>
        <w:t>亿元，同比上升，设备现金</w:t>
      </w:r>
      <w:r>
        <w:rPr/>
        <w:t>2.99059</w:t>
      </w:r>
      <w:r>
        <w:rPr/>
        <w:t>亿元，简单扣设备仍有约</w:t>
      </w:r>
      <w:r>
        <w:rPr/>
        <w:t>40.199</w:t>
      </w:r>
      <w:r>
        <w:rPr/>
        <w:t>亿元。它不是最终归母自由现金，因为集团有少数股息、并购、无形、贷款及资本责任。现金流中付非控制股东股息</w:t>
      </w:r>
      <w:r>
        <w:rPr/>
        <w:t>20.85527</w:t>
      </w:r>
      <w:r>
        <w:rPr/>
        <w:t>亿元，直接说明部分现金回报离开母公司普通股。集团经营好并非自动等额利好普通股，在所有长线估值中需一致使用盈利与现金归属；模型现金按七成归属是研究简化，尚非逐子公司银行穿透的事实。</w:t>
      </w:r>
    </w:p>
    <w:p>
      <w:pPr>
        <w:pStyle w:val="Normal"/>
        <w:rPr/>
      </w:pPr>
      <w:r>
        <w:rPr/>
        <w:t>交易及票据应收</w:t>
      </w:r>
      <w:r>
        <w:rPr/>
        <w:t>106.76350</w:t>
      </w:r>
      <w:r>
        <w:rPr/>
        <w:t>亿元较去年末</w:t>
      </w:r>
      <w:r>
        <w:rPr/>
        <w:t>62.63587</w:t>
      </w:r>
      <w:r>
        <w:rPr/>
        <w:t>亿元大幅增加，</w:t>
      </w:r>
      <w:r>
        <w:rPr/>
        <w:t>90</w:t>
      </w:r>
      <w:r>
        <w:rPr/>
        <w:t>天内占绝大部分；金额变化可能受收入确认、渠道及授权，应收增加不等于立即坏账。仍应查后续现金回收、客户类别及收入时点，特别签约首付与会计确认和收款日不同。现金流增长支持经营，但不能用好现金流忽略大额应收结构；长期模型现金桥要结合营运资金，否则高增长收入带来的资金占用会被低估。</w:t>
      </w:r>
    </w:p>
    <w:p>
      <w:pPr>
        <w:pStyle w:val="Normal"/>
        <w:rPr/>
      </w:pPr>
      <w:r>
        <w:rPr/>
        <w:t>六月末资金储备</w:t>
      </w:r>
      <w:r>
        <w:rPr/>
        <w:t>345.8364</w:t>
      </w:r>
      <w:r>
        <w:rPr/>
        <w:t>亿元包括流动银行现金</w:t>
      </w:r>
      <w:r>
        <w:rPr/>
        <w:t>148.82137</w:t>
      </w:r>
      <w:r>
        <w:rPr/>
        <w:t>亿元、非流动存款</w:t>
      </w:r>
      <w:r>
        <w:rPr/>
        <w:t>71.58</w:t>
      </w:r>
      <w:r>
        <w:rPr/>
        <w:t>亿元和理财</w:t>
      </w:r>
      <w:r>
        <w:rPr/>
        <w:t>125.435</w:t>
      </w:r>
      <w:r>
        <w:rPr/>
        <w:t>亿元；公司净现金含理财</w:t>
      </w:r>
      <w:r>
        <w:rPr/>
        <w:t>174.1219</w:t>
      </w:r>
      <w:r>
        <w:rPr/>
        <w:t>亿元，扣银行贷和租赁。现金等价物</w:t>
      </w:r>
      <w:r>
        <w:rPr/>
        <w:t>121.24228</w:t>
      </w:r>
      <w:r>
        <w:rPr/>
        <w:t>亿元只是较窄定义，未到期大定存不是现金等价物但具有金融资产价值。理财回收及期限、抵押、资金所在实体影响可用性，本文不是用最大的储备数字直接加每股，估值桥给理财</w:t>
      </w:r>
      <w:r>
        <w:rPr/>
        <w:t>95%</w:t>
      </w:r>
      <w:r>
        <w:rPr/>
        <w:t>回收、扣债务及运营准备后再按归属处理。</w:t>
      </w:r>
    </w:p>
    <w:p>
      <w:pPr>
        <w:pStyle w:val="Normal"/>
        <w:rPr/>
      </w:pPr>
      <w:r>
        <w:rPr/>
        <w:t>银行借款</w:t>
      </w:r>
      <w:r>
        <w:rPr/>
        <w:t>170.99212</w:t>
      </w:r>
      <w:r>
        <w:rPr/>
        <w:t>亿元、租赁约</w:t>
      </w:r>
      <w:r>
        <w:rPr/>
        <w:t>0.72229</w:t>
      </w:r>
      <w:r>
        <w:rPr/>
        <w:t>亿元，短借</w:t>
      </w:r>
      <w:r>
        <w:rPr/>
        <w:t>86.69570</w:t>
      </w:r>
      <w:r>
        <w:rPr/>
        <w:t>与长借</w:t>
      </w:r>
      <w:r>
        <w:rPr/>
        <w:t>84.29642</w:t>
      </w:r>
      <w:r>
        <w:rPr/>
        <w:t>，集团资金储备增长部分来自银行或债券融资。净财务收入和总现金高不能证明完全无借款，借款成本上升也会影响产品经营承担。授信未用不等于自有现金，能降低短期融资紧张却增加未来债务。模型长期净现金可在悲观变负，意味着核心盈利和资本配置不足时要承担净债，不能把现时资金充裕当永久现金底。</w:t>
      </w:r>
    </w:p>
    <w:p>
      <w:pPr>
        <w:pStyle w:val="Normal"/>
        <w:rPr/>
      </w:pPr>
      <w:r>
        <w:rPr/>
        <w:t>科兴中维持</w:t>
      </w:r>
      <w:r>
        <w:rPr/>
        <w:t>15.03%</w:t>
      </w:r>
      <w:r>
        <w:rPr/>
        <w:t>股权，六月公允值</w:t>
      </w:r>
      <w:r>
        <w:rPr/>
        <w:t>72.49</w:t>
      </w:r>
      <w:r>
        <w:rPr/>
        <w:t>亿元，不是可立即分配的银行现金。</w:t>
      </w:r>
      <w:r>
        <w:rPr/>
        <w:t>2026</w:t>
      </w:r>
      <w:r>
        <w:rPr/>
        <w:t>没有收该投资税后股息，</w:t>
      </w:r>
      <w:r>
        <w:rPr/>
        <w:t>2025</w:t>
      </w:r>
      <w:r>
        <w:rPr/>
        <w:t>同期税后</w:t>
      </w:r>
      <w:r>
        <w:rPr/>
        <w:t>13.527</w:t>
      </w:r>
      <w:r>
        <w:rPr/>
        <w:t>亿元，解释比较基数差异。估值模型核心利润排除此类股息，同时给战略投资折扣值，避免永续资本化股息和再加股权价值。未来若分红恢复，现金会增长但投资价值相应需审查，不能双计；公允值和未上市股权交易价格也不是同一证据，折扣区间需独立敏感性。</w:t>
      </w:r>
    </w:p>
    <w:p>
      <w:pPr>
        <w:pStyle w:val="Normal"/>
        <w:rPr/>
      </w:pPr>
      <w:r>
        <w:rPr/>
        <w:t>赫吉亚并购最高</w:t>
      </w:r>
      <w:r>
        <w:rPr/>
        <w:t>12</w:t>
      </w:r>
      <w:r>
        <w:rPr/>
        <w:t>亿元，结算含现金</w:t>
      </w:r>
      <w:r>
        <w:rPr/>
        <w:t>10.4137</w:t>
      </w:r>
      <w:r>
        <w:rPr/>
        <w:t>亿元、或然</w:t>
      </w:r>
      <w:r>
        <w:rPr/>
        <w:t>0.71179</w:t>
      </w:r>
      <w:r>
        <w:rPr/>
        <w:t>亿元及拟新股</w:t>
      </w:r>
      <w:r>
        <w:rPr/>
        <w:t>0.87451</w:t>
      </w:r>
      <w:r>
        <w:rPr/>
        <w:t>亿元，取得现金</w:t>
      </w:r>
      <w:r>
        <w:rPr/>
        <w:t>0.43832</w:t>
      </w:r>
      <w:r>
        <w:rPr/>
        <w:t>亿元，净流出</w:t>
      </w:r>
      <w:r>
        <w:rPr/>
        <w:t>9.97538</w:t>
      </w:r>
      <w:r>
        <w:rPr/>
        <w:t>亿元，商誉</w:t>
      </w:r>
      <w:r>
        <w:rPr/>
        <w:t>8.72056</w:t>
      </w:r>
      <w:r>
        <w:rPr/>
        <w:t>亿元。原报道</w:t>
      </w:r>
      <w:r>
        <w:rPr/>
        <w:t>12</w:t>
      </w:r>
      <w:r>
        <w:rPr/>
        <w:t>亿元“全资收购”不是单纯全现金，未来股份和业绩责任要计股数与现金。技术和管线可形成收益，也有商誉减值和研发失败风险，不能因为新分子前景好就忽略购买成本。模型保留资本责任，未来经营增长同时要求收购整合有效。</w:t>
      </w:r>
    </w:p>
    <w:p>
      <w:pPr>
        <w:pStyle w:val="Heading2"/>
        <w:rPr/>
      </w:pPr>
      <w:r>
        <w:rPr>
          <w:color w:val="000000"/>
        </w:rPr>
        <w:t>十二 正大天晴</w:t>
      </w:r>
      <w:r>
        <w:rPr>
          <w:color w:val="000000"/>
        </w:rPr>
        <w:t xml:space="preserve">5 </w:t>
      </w:r>
      <w:r>
        <w:rPr>
          <w:color w:val="000000"/>
        </w:rPr>
        <w:t>交易的经济桥与治理</w:t>
      </w:r>
    </w:p>
    <w:p>
      <w:pPr>
        <w:pStyle w:val="Normal"/>
        <w:rPr/>
      </w:pPr>
      <w:r>
        <w:rPr/>
        <w:t>九月十一日公告拟买目标公司全股，现金</w:t>
      </w:r>
      <w:r>
        <w:rPr/>
        <w:t>44.8</w:t>
      </w:r>
      <w:r>
        <w:rPr/>
        <w:t>亿元，目标间接持正大天晴</w:t>
      </w:r>
      <w:r>
        <w:rPr/>
        <w:t>5%</w:t>
      </w:r>
      <w:r>
        <w:rPr/>
        <w:t>；完成后中生有效持股由</w:t>
      </w:r>
      <w:r>
        <w:rPr/>
        <w:t>60</w:t>
      </w:r>
      <w:r>
        <w:rPr/>
        <w:t>至</w:t>
      </w:r>
      <w:r>
        <w:rPr/>
        <w:t>65%</w:t>
      </w:r>
      <w:r>
        <w:rPr/>
        <w:t>。新闻多称</w:t>
      </w:r>
      <w:r>
        <w:rPr/>
        <w:t>44.8</w:t>
      </w:r>
      <w:r>
        <w:rPr/>
        <w:t>亿元买</w:t>
      </w:r>
      <w:r>
        <w:rPr/>
        <w:t>5%</w:t>
      </w:r>
      <w:r>
        <w:rPr/>
        <w:t>，但原估值表目标长期借款约</w:t>
      </w:r>
      <w:r>
        <w:rPr/>
        <w:t>24.15</w:t>
      </w:r>
      <w:r>
        <w:rPr/>
        <w:t>亿元、现金</w:t>
      </w:r>
      <w:r>
        <w:rPr/>
        <w:t>0.34</w:t>
      </w:r>
      <w:r>
        <w:rPr/>
        <w:t>亿元，其权益评估</w:t>
      </w:r>
      <w:r>
        <w:rPr/>
        <w:t>50.03</w:t>
      </w:r>
      <w:r>
        <w:rPr/>
        <w:t>亿元来自</w:t>
      </w:r>
      <w:r>
        <w:rPr/>
        <w:t>5%</w:t>
      </w:r>
      <w:r>
        <w:rPr/>
        <w:t>资产</w:t>
      </w:r>
      <w:r>
        <w:rPr/>
        <w:t>73.86</w:t>
      </w:r>
      <w:r>
        <w:rPr/>
        <w:t>亿元扣目标净负债。因此经济投入约</w:t>
      </w:r>
      <w:r>
        <w:rPr/>
        <w:t>68.61</w:t>
      </w:r>
      <w:r>
        <w:rPr/>
        <w:t>亿元，不能只</w:t>
      </w:r>
      <w:r>
        <w:rPr/>
        <w:t>44.8</w:t>
      </w:r>
      <w:r>
        <w:rPr/>
        <w:t>除未来收益求回报。最终债务清偿与交割后承担尚需核验，本文为谨慎桥扣该净债，不声称已在市场价精准反映。</w:t>
      </w:r>
    </w:p>
    <w:p>
      <w:pPr>
        <w:pStyle w:val="Normal"/>
        <w:rPr/>
      </w:pPr>
      <w:r>
        <w:rPr/>
        <w:t>公司约十九倍</w:t>
      </w:r>
      <w:r>
        <w:rPr/>
        <w:t>LTM PE</w:t>
      </w:r>
      <w:r>
        <w:rPr/>
        <w:t>及</w:t>
      </w:r>
      <w:r>
        <w:rPr/>
        <w:t>3.5</w:t>
      </w:r>
      <w:r>
        <w:rPr/>
        <w:t>亿元年度增厚都需理解经济成本。正大天晴调整</w:t>
      </w:r>
      <w:r>
        <w:rPr/>
        <w:t>LTM</w:t>
      </w:r>
      <w:r>
        <w:rPr/>
        <w:t>归母</w:t>
      </w:r>
      <w:r>
        <w:rPr/>
        <w:t>70.92</w:t>
      </w:r>
      <w:r>
        <w:rPr/>
        <w:t>亿元的</w:t>
      </w:r>
      <w:r>
        <w:rPr/>
        <w:t>5%</w:t>
      </w:r>
      <w:r>
        <w:rPr/>
        <w:t>约</w:t>
      </w:r>
      <w:r>
        <w:rPr/>
        <w:t>3.546</w:t>
      </w:r>
      <w:r>
        <w:rPr/>
        <w:t>亿元，</w:t>
      </w:r>
      <w:r>
        <w:rPr/>
        <w:t>68.61</w:t>
      </w:r>
      <w:r>
        <w:rPr/>
        <w:t>亿元经济投入约十九倍；如果只用</w:t>
      </w:r>
      <w:r>
        <w:rPr/>
        <w:t>44.8</w:t>
      </w:r>
      <w:r>
        <w:rPr/>
        <w:t>得十二点六倍就会过度美化折价。目标估值用可比</w:t>
      </w:r>
      <w:r>
        <w:rPr/>
        <w:t>26.17</w:t>
      </w:r>
      <w:r>
        <w:rPr/>
        <w:t>倍再给</w:t>
      </w:r>
      <w:r>
        <w:rPr/>
        <w:t>20.4%</w:t>
      </w:r>
      <w:r>
        <w:rPr/>
        <w:t>流动折扣，对应</w:t>
      </w:r>
      <w:r>
        <w:rPr/>
        <w:t>5%</w:t>
      </w:r>
      <w:r>
        <w:rPr/>
        <w:t>资产</w:t>
      </w:r>
      <w:r>
        <w:rPr/>
        <w:t>73.86</w:t>
      </w:r>
      <w:r>
        <w:rPr/>
        <w:t>亿元，仍需检验</w:t>
      </w:r>
      <w:r>
        <w:rPr/>
        <w:t>LTM</w:t>
      </w:r>
      <w:r>
        <w:rPr/>
        <w:t>是否含不重复授权及利润率高点。可比估值不因使用独立估值师就成为永恒公允价格，市场倍数和核心盈利都会变化。</w:t>
      </w:r>
    </w:p>
    <w:p>
      <w:pPr>
        <w:pStyle w:val="Normal"/>
        <w:rPr/>
      </w:pPr>
      <w:r>
        <w:rPr/>
        <w:t>收购可以增加集团归母份额，无法增加已经合并的全部子公司营业收入同样</w:t>
      </w:r>
      <w:r>
        <w:rPr/>
        <w:t>5%</w:t>
      </w:r>
      <w:r>
        <w:rPr/>
        <w:t>。若原</w:t>
      </w:r>
      <w:r>
        <w:rPr/>
        <w:t>60%</w:t>
      </w:r>
      <w:r>
        <w:rPr/>
        <w:t>有控制并全额合并，新增股份主要改变少数权益分配及母公司现金，而非突然凭空多</w:t>
      </w:r>
      <w:r>
        <w:rPr/>
        <w:t>5%</w:t>
      </w:r>
      <w:r>
        <w:rPr/>
        <w:t>总收入。模型核心归母</w:t>
      </w:r>
      <w:r>
        <w:rPr/>
        <w:t>EPS</w:t>
      </w:r>
      <w:r>
        <w:rPr/>
        <w:t>已反映交割后的正常经营变化，未在收入再加</w:t>
      </w:r>
      <w:r>
        <w:rPr/>
        <w:t>5%</w:t>
      </w:r>
      <w:r>
        <w:rPr/>
        <w:t>并在利润再加</w:t>
      </w:r>
      <w:r>
        <w:rPr/>
        <w:t>5%</w:t>
      </w:r>
      <w:r>
        <w:rPr/>
        <w:t>双重增厚。销售与研发平台战略价值存在，但必须与现金付出、债务和利息影响比较，增加归属并不是无代价的利润增长。</w:t>
      </w:r>
    </w:p>
    <w:p>
      <w:pPr>
        <w:pStyle w:val="Normal"/>
        <w:rPr/>
      </w:pPr>
      <w:r>
        <w:rPr/>
        <w:t>卖方为执行董事及主要股东，是关联交易，程序合规与经济价值是不同问题。公告列规则豁免门槛和独立意见，有助信息披露，不必然证明所有股东收益最佳。集团普通股交易价与未上市子公司估值有控制、现金、少数和投资差异，不能仅比较两者总市值下结论；同时若关联资产定价基于偏高利润或未来潜力，普通股东需更审慎。财务治理分维持较低，要求未来交割、归属盈利及资产负债回报被实际核验。</w:t>
      </w:r>
    </w:p>
    <w:p>
      <w:pPr>
        <w:pStyle w:val="Normal"/>
        <w:rPr/>
      </w:pPr>
      <w:r>
        <w:rPr/>
        <w:t>模型现金桥以理财九五折后的集团净现金</w:t>
      </w:r>
      <w:r>
        <w:rPr/>
        <w:t>167.85021</w:t>
      </w:r>
      <w:r>
        <w:rPr/>
        <w:t>亿元，扣旧末期息</w:t>
      </w:r>
      <w:r>
        <w:rPr/>
        <w:t>7.82228</w:t>
      </w:r>
      <w:r>
        <w:rPr/>
        <w:t>亿元、中期息</w:t>
      </w:r>
      <w:r>
        <w:rPr/>
        <w:t>10.79376</w:t>
      </w:r>
      <w:r>
        <w:rPr/>
        <w:t>亿元及</w:t>
      </w:r>
      <w:r>
        <w:rPr/>
        <w:t>35</w:t>
      </w:r>
      <w:r>
        <w:rPr/>
        <w:t>亿元经营准备，再按</w:t>
      </w:r>
      <w:r>
        <w:rPr/>
        <w:t>70%</w:t>
      </w:r>
      <w:r>
        <w:rPr/>
        <w:t>归属，减购买</w:t>
      </w:r>
      <w:r>
        <w:rPr/>
        <w:t>44.8</w:t>
      </w:r>
      <w:r>
        <w:rPr/>
        <w:t>亿元及目标净债</w:t>
      </w:r>
      <w:r>
        <w:rPr/>
        <w:t>23.81</w:t>
      </w:r>
      <w:r>
        <w:rPr/>
        <w:t>亿元，初始交易后归母超额约</w:t>
      </w:r>
      <w:r>
        <w:rPr/>
        <w:t>11.35392</w:t>
      </w:r>
      <w:r>
        <w:rPr/>
        <w:t>亿元。与公司公布净现金</w:t>
      </w:r>
      <w:r>
        <w:rPr/>
        <w:t>174.12</w:t>
      </w:r>
      <w:r>
        <w:rPr/>
        <w:t>亿元不同，是因为两者范围、经营准备、少数归属和交易时点不同。每一扣项均公开，不把研究调整冒充财报净现金；若交易条件改变应立即改桥。</w:t>
      </w:r>
    </w:p>
    <w:p>
      <w:pPr>
        <w:pStyle w:val="Heading2"/>
        <w:rPr/>
      </w:pPr>
      <w:r>
        <w:rPr>
          <w:color w:val="000000"/>
        </w:rPr>
        <w:t>十三 量价 趋势与技术失效</w:t>
      </w:r>
    </w:p>
    <w:p>
      <w:pPr>
        <w:pStyle w:val="Normal"/>
        <w:rPr/>
      </w:pPr>
      <w:r>
        <w:rPr/>
        <w:t>基准开</w:t>
      </w:r>
      <w:r>
        <w:rPr/>
        <w:t>5.55</w:t>
      </w:r>
      <w:r>
        <w:rPr/>
        <w:t>、高</w:t>
      </w:r>
      <w:r>
        <w:rPr/>
        <w:t>5.55</w:t>
      </w:r>
      <w:r>
        <w:rPr/>
        <w:t>、低</w:t>
      </w:r>
      <w:r>
        <w:rPr/>
        <w:t>5.355</w:t>
      </w:r>
      <w:r>
        <w:rPr/>
        <w:t>、收</w:t>
      </w:r>
      <w:r>
        <w:rPr/>
        <w:t>5.41</w:t>
      </w:r>
      <w:r>
        <w:rPr/>
        <w:t>，日跌</w:t>
      </w:r>
      <w:r>
        <w:rPr/>
        <w:t>1.37%</w:t>
      </w:r>
      <w:r>
        <w:rPr/>
        <w:t>，成交</w:t>
      </w:r>
      <w:r>
        <w:rPr/>
        <w:t>7267.0987</w:t>
      </w:r>
      <w:r>
        <w:rPr/>
        <w:t>万股、额</w:t>
      </w:r>
      <w:r>
        <w:rPr/>
        <w:t>3.9282872</w:t>
      </w:r>
      <w:r>
        <w:rPr/>
        <w:t>亿港元，价格经腾讯、新浪及独立日线核验。量单位为股，不按港股买卖手乘千再放大。日历史</w:t>
      </w:r>
      <w:r>
        <w:rPr/>
        <w:t>739</w:t>
      </w:r>
      <w:r>
        <w:rPr/>
        <w:t>根始</w:t>
      </w:r>
      <w:r>
        <w:rPr/>
        <w:t>2023</w:t>
      </w:r>
      <w:r>
        <w:rPr/>
        <w:t>十月，周</w:t>
      </w:r>
      <w:r>
        <w:rPr/>
        <w:t>157</w:t>
      </w:r>
      <w:r>
        <w:rPr/>
        <w:t>根，复权</w:t>
      </w:r>
      <w:r>
        <w:rPr/>
        <w:t>OHLC</w:t>
      </w:r>
      <w:r>
        <w:rPr/>
        <w:t>归一基准名义价；近期跨源复权超过</w:t>
      </w:r>
      <w:r>
        <w:rPr/>
        <w:t>1%</w:t>
      </w:r>
      <w:r>
        <w:rPr/>
        <w:t>记录保留，影响历史回撤与观察位，不能声称全部技术价位分毫准确。日名义价与复权历史的衔接需要统一基准。</w:t>
      </w:r>
    </w:p>
    <w:p>
      <w:pPr>
        <w:pStyle w:val="Normal"/>
        <w:rPr/>
      </w:pPr>
      <w:r>
        <w:rPr/>
        <w:t>20</w:t>
      </w:r>
      <w:r>
        <w:rPr/>
        <w:t>、</w:t>
      </w:r>
      <w:r>
        <w:rPr/>
        <w:t>60</w:t>
      </w:r>
      <w:r>
        <w:rPr/>
        <w:t>、</w:t>
      </w:r>
      <w:r>
        <w:rPr/>
        <w:t>120</w:t>
      </w:r>
      <w:r>
        <w:rPr/>
        <w:t>、</w:t>
      </w:r>
      <w:r>
        <w:rPr/>
        <w:t>250</w:t>
      </w:r>
      <w:r>
        <w:rPr/>
        <w:t>日均线</w:t>
      </w:r>
      <w:r>
        <w:rPr/>
        <w:t>5.5725</w:t>
      </w:r>
      <w:r>
        <w:rPr/>
        <w:t>、</w:t>
      </w:r>
      <w:r>
        <w:rPr/>
        <w:t>5.304042</w:t>
      </w:r>
      <w:r>
        <w:rPr/>
        <w:t>、</w:t>
      </w:r>
      <w:r>
        <w:rPr/>
        <w:t>5.124926</w:t>
      </w:r>
      <w:r>
        <w:rPr/>
        <w:t>、</w:t>
      </w:r>
      <w:r>
        <w:rPr/>
        <w:t>5.835754</w:t>
      </w:r>
      <w:r>
        <w:rPr/>
        <w:t>，现价低</w:t>
      </w:r>
      <w:r>
        <w:rPr/>
        <w:t>20</w:t>
      </w:r>
      <w:r>
        <w:rPr/>
        <w:t>约</w:t>
      </w:r>
      <w:r>
        <w:rPr/>
        <w:t>2.92%</w:t>
      </w:r>
      <w:r>
        <w:rPr/>
        <w:t>、高</w:t>
      </w:r>
      <w:r>
        <w:rPr/>
        <w:t>60</w:t>
      </w:r>
      <w:r>
        <w:rPr/>
        <w:t>约</w:t>
      </w:r>
      <w:r>
        <w:rPr/>
        <w:t>2.00%</w:t>
      </w:r>
      <w:r>
        <w:rPr/>
        <w:t>、高</w:t>
      </w:r>
      <w:r>
        <w:rPr/>
        <w:t>120</w:t>
      </w:r>
      <w:r>
        <w:rPr/>
        <w:t>约</w:t>
      </w:r>
      <w:r>
        <w:rPr/>
        <w:t>5.56%</w:t>
      </w:r>
      <w:r>
        <w:rPr/>
        <w:t>、低</w:t>
      </w:r>
      <w:r>
        <w:rPr/>
        <w:t>250</w:t>
      </w:r>
      <w:r>
        <w:rPr/>
        <w:t>约</w:t>
      </w:r>
      <w:r>
        <w:rPr/>
        <w:t>7.30%</w:t>
      </w:r>
      <w:r>
        <w:rPr/>
        <w:t>。与全均线下的深弱股相比已有恢复，但仍未全面多头排列。五日斜率</w:t>
      </w:r>
      <w:r>
        <w:rPr/>
        <w:t>20</w:t>
      </w:r>
      <w:r>
        <w:rPr/>
        <w:t>近乎平负</w:t>
      </w:r>
      <w:r>
        <w:rPr/>
        <w:t>0.027%</w:t>
      </w:r>
      <w:r>
        <w:rPr/>
        <w:t>、</w:t>
      </w:r>
      <w:r>
        <w:rPr/>
        <w:t>60</w:t>
      </w:r>
      <w:r>
        <w:rPr/>
        <w:t>正</w:t>
      </w:r>
      <w:r>
        <w:rPr/>
        <w:t>0.726%</w:t>
      </w:r>
      <w:r>
        <w:rPr/>
        <w:t>、</w:t>
      </w:r>
      <w:r>
        <w:rPr/>
        <w:t>120</w:t>
      </w:r>
      <w:r>
        <w:rPr/>
        <w:t>负</w:t>
      </w:r>
      <w:r>
        <w:rPr/>
        <w:t>0.202%</w:t>
      </w:r>
      <w:r>
        <w:rPr/>
        <w:t>、</w:t>
      </w:r>
      <w:r>
        <w:rPr/>
        <w:t>250</w:t>
      </w:r>
      <w:r>
        <w:rPr/>
        <w:t>负</w:t>
      </w:r>
      <w:r>
        <w:rPr/>
        <w:t>0.791%</w:t>
      </w:r>
      <w:r>
        <w:rPr/>
        <w:t>，说明短中期修复夹在较长下降趋势内。半年技术分</w:t>
      </w:r>
      <w:r>
        <w:rPr/>
        <w:t>2.7/5</w:t>
      </w:r>
      <w:r>
        <w:rPr/>
        <w:t>据此为中等，不能给突破牛市高分。</w:t>
      </w:r>
    </w:p>
    <w:p>
      <w:pPr>
        <w:pStyle w:val="Normal"/>
        <w:rPr/>
      </w:pPr>
      <w:r>
        <w:rPr/>
        <w:t>20</w:t>
      </w:r>
      <w:r>
        <w:rPr/>
        <w:t>日回报负</w:t>
      </w:r>
      <w:r>
        <w:rPr/>
        <w:t>1.28%</w:t>
      </w:r>
      <w:r>
        <w:rPr/>
        <w:t>、</w:t>
      </w:r>
      <w:r>
        <w:rPr/>
        <w:t>60</w:t>
      </w:r>
      <w:r>
        <w:rPr/>
        <w:t>日正</w:t>
      </w:r>
      <w:r>
        <w:rPr/>
        <w:t>4.19%</w:t>
      </w:r>
      <w:r>
        <w:rPr/>
        <w:t>、</w:t>
      </w:r>
      <w:r>
        <w:rPr/>
        <w:t>120</w:t>
      </w:r>
      <w:r>
        <w:rPr/>
        <w:t>日负</w:t>
      </w:r>
      <w:r>
        <w:rPr/>
        <w:t>7.62%</w:t>
      </w:r>
      <w:r>
        <w:rPr/>
        <w:t>、</w:t>
      </w:r>
      <w:r>
        <w:rPr/>
        <w:t>250</w:t>
      </w:r>
      <w:r>
        <w:rPr/>
        <w:t>日负</w:t>
      </w:r>
      <w:r>
        <w:rPr/>
        <w:t>33.62%</w:t>
      </w:r>
      <w:r>
        <w:rPr/>
        <w:t>，时间尺度差异说明目前是前期大回撤后的反弹与回调。</w:t>
      </w:r>
      <w:r>
        <w:rPr/>
        <w:t>52</w:t>
      </w:r>
      <w:r>
        <w:rPr/>
        <w:t>周日高</w:t>
      </w:r>
      <w:r>
        <w:rPr/>
        <w:t>8.334947</w:t>
      </w:r>
      <w:r>
        <w:rPr/>
        <w:t>、低</w:t>
      </w:r>
      <w:r>
        <w:rPr/>
        <w:t>4.136184</w:t>
      </w:r>
      <w:r>
        <w:rPr/>
        <w:t>，距高负</w:t>
      </w:r>
      <w:r>
        <w:rPr/>
        <w:t>35.09%</w:t>
      </w:r>
      <w:r>
        <w:rPr/>
        <w:t>、距低正</w:t>
      </w:r>
      <w:r>
        <w:rPr/>
        <w:t>30.80%</w:t>
      </w:r>
      <w:r>
        <w:rPr/>
        <w:t>，并非刚在历史低点。跌离高位提供估值重置，也可能反映去年高预期；从低位涨三成可能积累供给，不能同时用“跌很多”和“涨得强”各加一次分而不分析所处区间。</w:t>
      </w:r>
    </w:p>
    <w:p>
      <w:pPr>
        <w:pStyle w:val="Normal"/>
        <w:rPr/>
      </w:pPr>
      <w:r>
        <w:rPr/>
        <w:t>20</w:t>
      </w:r>
      <w:r>
        <w:rPr/>
        <w:t>日观察区间</w:t>
      </w:r>
      <w:r>
        <w:rPr/>
        <w:t>5.23</w:t>
      </w:r>
      <w:r>
        <w:rPr/>
        <w:t>至</w:t>
      </w:r>
      <w:r>
        <w:rPr/>
        <w:t>5.97</w:t>
      </w:r>
      <w:r>
        <w:rPr/>
        <w:t>，距离下端负</w:t>
      </w:r>
      <w:r>
        <w:rPr/>
        <w:t>3.33%</w:t>
      </w:r>
      <w:r>
        <w:rPr/>
        <w:t>、上端正</w:t>
      </w:r>
      <w:r>
        <w:rPr/>
        <w:t>10.35%</w:t>
      </w:r>
      <w:r>
        <w:rPr/>
        <w:t>；</w:t>
      </w:r>
      <w:r>
        <w:rPr/>
        <w:t>60</w:t>
      </w:r>
      <w:r>
        <w:rPr/>
        <w:t>日下端约</w:t>
      </w:r>
      <w:r>
        <w:rPr/>
        <w:t>4.669</w:t>
      </w:r>
      <w:r>
        <w:rPr/>
        <w:t>，距</w:t>
      </w:r>
      <w:r>
        <w:rPr/>
        <w:t>13.69%</w:t>
      </w:r>
      <w:r>
        <w:rPr/>
        <w:t>。窗口高低只是观察位置，未按多次触碰和资金证明强支撑；</w:t>
      </w:r>
      <w:r>
        <w:rPr/>
        <w:t>5.23</w:t>
      </w:r>
      <w:r>
        <w:rPr/>
        <w:t>与六十日</w:t>
      </w:r>
      <w:r>
        <w:rPr/>
        <w:t>5.30</w:t>
      </w:r>
      <w:r>
        <w:rPr/>
        <w:t>邻近，可观察价格回落后是否稳定。如果跌破</w:t>
      </w:r>
      <w:r>
        <w:rPr/>
        <w:t>5.23</w:t>
      </w:r>
      <w:r>
        <w:rPr/>
        <w:t>且放量、六十日线转下，应取消短期相对强修复判断；若越过</w:t>
      </w:r>
      <w:r>
        <w:rPr/>
        <w:t>5.57</w:t>
      </w:r>
      <w:r>
        <w:rPr/>
        <w:t>和</w:t>
      </w:r>
      <w:r>
        <w:rPr/>
        <w:t>5.84</w:t>
      </w:r>
      <w:r>
        <w:rPr/>
        <w:t>，仍需</w:t>
      </w:r>
      <w:r>
        <w:rPr/>
        <w:t>5.97</w:t>
      </w:r>
      <w:r>
        <w:rPr/>
        <w:t>附近需求确认，不能将技术上端和十元远期估值混为一体。</w:t>
      </w:r>
    </w:p>
    <w:p>
      <w:pPr>
        <w:pStyle w:val="Normal"/>
        <w:rPr/>
      </w:pPr>
      <w:r>
        <w:rPr/>
        <w:t>五、二十、六十日均量约</w:t>
      </w:r>
      <w:r>
        <w:rPr/>
        <w:t>4911.99</w:t>
      </w:r>
      <w:r>
        <w:rPr/>
        <w:t>、</w:t>
      </w:r>
      <w:r>
        <w:rPr/>
        <w:t>6708.78</w:t>
      </w:r>
      <w:r>
        <w:rPr/>
        <w:t>、</w:t>
      </w:r>
      <w:r>
        <w:rPr/>
        <w:t>7966.14</w:t>
      </w:r>
      <w:r>
        <w:rPr/>
        <w:t>万股，近期均量下降；当日量比</w:t>
      </w:r>
      <w:r>
        <w:rPr/>
        <w:t>1.078</w:t>
      </w:r>
      <w:r>
        <w:rPr/>
        <w:t>为日量相对前</w:t>
      </w:r>
      <w:r>
        <w:rPr/>
        <w:t>20</w:t>
      </w:r>
      <w:r>
        <w:rPr/>
        <w:t>平均，不是盘中实时量比。日跌且量略高平均，尚不构成强放量抛压，也不算需求突破。最近</w:t>
      </w:r>
      <w:r>
        <w:rPr/>
        <w:t>20</w:t>
      </w:r>
      <w:r>
        <w:rPr/>
        <w:t>日七涨十三跌，上涨累计</w:t>
      </w:r>
      <w:r>
        <w:rPr/>
        <w:t>5.75026</w:t>
      </w:r>
      <w:r>
        <w:rPr/>
        <w:t>亿股、下跌</w:t>
      </w:r>
      <w:r>
        <w:rPr/>
        <w:t>7.66730</w:t>
      </w:r>
      <w:r>
        <w:rPr/>
        <w:t>亿，总比</w:t>
      </w:r>
      <w:r>
        <w:rPr/>
        <w:t>0.75</w:t>
      </w:r>
      <w:r>
        <w:rPr/>
        <w:t>；上涨日均约</w:t>
      </w:r>
      <w:r>
        <w:rPr/>
        <w:t>8214.66</w:t>
      </w:r>
      <w:r>
        <w:rPr/>
        <w:t>万、下跌约</w:t>
      </w:r>
      <w:r>
        <w:rPr/>
        <w:t>5897.92</w:t>
      </w:r>
      <w:r>
        <w:rPr/>
        <w:t>万，少数涨日较活跃但跌日频繁。资金身份未获逐笔，不据此称主力持续吸筹。</w:t>
      </w:r>
    </w:p>
    <w:p>
      <w:pPr>
        <w:pStyle w:val="Normal"/>
        <w:rPr/>
      </w:pPr>
      <w:r>
        <w:rPr/>
        <w:t>RSI14</w:t>
      </w:r>
      <w:r>
        <w:rPr/>
        <w:t>为</w:t>
      </w:r>
      <w:r>
        <w:rPr/>
        <w:t>46.53</w:t>
      </w:r>
      <w:r>
        <w:rPr/>
        <w:t>近中性偏弱，</w:t>
      </w:r>
      <w:r>
        <w:rPr/>
        <w:t>MACD</w:t>
      </w:r>
      <w:r>
        <w:rPr/>
        <w:t>差离</w:t>
      </w:r>
      <w:r>
        <w:rPr/>
        <w:t>0.04615</w:t>
      </w:r>
      <w:r>
        <w:rPr/>
        <w:t>、信号</w:t>
      </w:r>
      <w:r>
        <w:rPr/>
        <w:t>0.07913</w:t>
      </w:r>
      <w:r>
        <w:rPr/>
        <w:t>、柱负</w:t>
      </w:r>
      <w:r>
        <w:rPr/>
        <w:t>0.06596</w:t>
      </w:r>
      <w:r>
        <w:rPr/>
        <w:t>，差离正而短动量减速；</w:t>
      </w:r>
      <w:r>
        <w:rPr/>
        <w:t>ATR0.238148</w:t>
      </w:r>
      <w:r>
        <w:rPr/>
        <w:t>约</w:t>
      </w:r>
      <w:r>
        <w:rPr/>
        <w:t>4.40%</w:t>
      </w:r>
      <w:r>
        <w:rPr/>
        <w:t>反映波动幅度。指标可帮助解释趋势和观察区间距离，却由同价格衍生，不能各自独立加倍“技术支持”。当前观察位到现价仅几个百分点，正常波动便可能触碰；不能把</w:t>
      </w:r>
      <w:r>
        <w:rPr/>
        <w:t>ATR</w:t>
      </w:r>
      <w:r>
        <w:rPr/>
        <w:t>当未来必然涨幅，也不能用一倍</w:t>
      </w:r>
      <w:r>
        <w:rPr/>
        <w:t>ATR</w:t>
      </w:r>
      <w:r>
        <w:rPr/>
        <w:t>止损保证应对临床或政策跳空。</w:t>
      </w:r>
    </w:p>
    <w:p>
      <w:pPr>
        <w:pStyle w:val="Normal"/>
        <w:rPr/>
      </w:pPr>
      <w:r>
        <w:rPr/>
        <w:t>周线</w:t>
      </w:r>
      <w:r>
        <w:rPr/>
        <w:t>20</w:t>
      </w:r>
      <w:r>
        <w:rPr/>
        <w:t>、</w:t>
      </w:r>
      <w:r>
        <w:rPr/>
        <w:t>60</w:t>
      </w:r>
      <w:r>
        <w:rPr/>
        <w:t>、</w:t>
      </w:r>
      <w:r>
        <w:rPr/>
        <w:t>120</w:t>
      </w:r>
      <w:r>
        <w:rPr/>
        <w:t>周均线</w:t>
      </w:r>
      <w:r>
        <w:rPr/>
        <w:t>5.05265</w:t>
      </w:r>
      <w:r>
        <w:rPr/>
        <w:t>、</w:t>
      </w:r>
      <w:r>
        <w:rPr/>
        <w:t>6.088485</w:t>
      </w:r>
      <w:r>
        <w:rPr/>
        <w:t>、</w:t>
      </w:r>
      <w:r>
        <w:rPr/>
        <w:t>4.916166</w:t>
      </w:r>
      <w:r>
        <w:rPr/>
        <w:t>，现价高</w:t>
      </w:r>
      <w:r>
        <w:rPr/>
        <w:t>20</w:t>
      </w:r>
      <w:r>
        <w:rPr/>
        <w:t>和</w:t>
      </w:r>
      <w:r>
        <w:rPr/>
        <w:t>120</w:t>
      </w:r>
      <w:r>
        <w:rPr/>
        <w:t>、低</w:t>
      </w:r>
      <w:r>
        <w:rPr/>
        <w:t>60</w:t>
      </w:r>
      <w:r>
        <w:rPr/>
        <w:t>；周二十线斜率正</w:t>
      </w:r>
      <w:r>
        <w:rPr/>
        <w:t>0.79%</w:t>
      </w:r>
      <w:r>
        <w:rPr/>
        <w:t>、六十负</w:t>
      </w:r>
      <w:r>
        <w:rPr/>
        <w:t>2.09%</w:t>
      </w:r>
      <w:r>
        <w:rPr/>
        <w:t>、</w:t>
      </w:r>
      <w:r>
        <w:rPr/>
        <w:t>120</w:t>
      </w:r>
      <w:r>
        <w:rPr/>
        <w:t>正</w:t>
      </w:r>
      <w:r>
        <w:rPr/>
        <w:t>2.45%</w:t>
      </w:r>
      <w:r>
        <w:rPr/>
        <w:t>。周</w:t>
      </w:r>
      <w:r>
        <w:rPr/>
        <w:t>RSI50.88</w:t>
      </w:r>
      <w:r>
        <w:rPr/>
        <w:t>、</w:t>
      </w:r>
      <w:r>
        <w:rPr/>
        <w:t>MACD</w:t>
      </w:r>
      <w:r>
        <w:rPr/>
        <w:t>柱正</w:t>
      </w:r>
      <w:r>
        <w:rPr/>
        <w:t>0.20960</w:t>
      </w:r>
      <w:r>
        <w:rPr/>
        <w:t>但差离仍微负，支持修复尚非完全反转。</w:t>
      </w:r>
      <w:r>
        <w:rPr/>
        <w:t>20</w:t>
      </w:r>
      <w:r>
        <w:rPr/>
        <w:t>周上涨十周与下跌九周总量比</w:t>
      </w:r>
      <w:r>
        <w:rPr/>
        <w:t>1.237</w:t>
      </w:r>
      <w:r>
        <w:rPr/>
        <w:t>，末周量比</w:t>
      </w:r>
      <w:r>
        <w:rPr/>
        <w:t>0.550</w:t>
      </w:r>
      <w:r>
        <w:rPr/>
        <w:t>，需求改善后交易热度降低。周</w:t>
      </w:r>
      <w:r>
        <w:rPr/>
        <w:t>52</w:t>
      </w:r>
      <w:r>
        <w:rPr/>
        <w:t>窗高低取法与日</w:t>
      </w:r>
      <w:r>
        <w:rPr/>
        <w:t>252</w:t>
      </w:r>
      <w:r>
        <w:rPr/>
        <w:t>窗不同，报告分别记录，不能挑高低更有利的窗口当一致事实。</w:t>
      </w:r>
    </w:p>
    <w:p>
      <w:pPr>
        <w:pStyle w:val="Normal"/>
        <w:rPr/>
      </w:pPr>
      <w:r>
        <w:rPr/>
        <w:t>相对恒指</w:t>
      </w:r>
      <w:r>
        <w:rPr/>
        <w:t>20</w:t>
      </w:r>
      <w:r>
        <w:rPr/>
        <w:t>日超额</w:t>
      </w:r>
      <w:r>
        <w:rPr/>
        <w:t>1.70</w:t>
      </w:r>
      <w:r>
        <w:rPr/>
        <w:t>个百分点、</w:t>
      </w:r>
      <w:r>
        <w:rPr/>
        <w:t>60</w:t>
      </w:r>
      <w:r>
        <w:rPr/>
        <w:t>日超额</w:t>
      </w:r>
      <w:r>
        <w:rPr/>
        <w:t>7.38</w:t>
      </w:r>
      <w:r>
        <w:rPr/>
        <w:t>个百分点，说明近期修复优于市场，技术得分高于持续跑输公司有依据。医药创新细分可核验行业基准仍缺，行业超额留空；不能把市场强弱当完全行业领先。若医药板块一起上涨，相对恒指强也可能是行业因子；未来需补行业指数再评价公司选择价值。半年判断把价格和成交、相对表现合并计一次技术维度，既不过度使用指标也不忽略中期证据。</w:t>
      </w:r>
    </w:p>
    <w:p>
      <w:pPr>
        <w:pStyle w:val="Heading2"/>
        <w:rPr/>
      </w:pPr>
      <w:r>
        <w:rPr>
          <w:color w:val="000000"/>
        </w:rPr>
        <w:t>十四 估值情景与期限逻辑</w:t>
      </w:r>
    </w:p>
    <w:p>
      <w:pPr>
        <w:pStyle w:val="Normal"/>
        <w:rPr/>
      </w:pPr>
      <w:r>
        <w:rPr/>
        <w:t>公式为核心归母</w:t>
      </w:r>
      <w:r>
        <w:rPr/>
        <w:t>EPS</w:t>
      </w:r>
      <w:r>
        <w:rPr/>
        <w:t>乘</w:t>
      </w:r>
      <w:r>
        <w:rPr/>
        <w:t>PE</w:t>
      </w:r>
      <w:r>
        <w:rPr/>
        <w:t>，加目标归母超额现金和战略投资折扣值按摊薄股数分摊，再按</w:t>
      </w:r>
      <w:r>
        <w:rPr/>
        <w:t>1.10</w:t>
      </w:r>
      <w:r>
        <w:rPr/>
        <w:t>港元每人民币换算。经营</w:t>
      </w:r>
      <w:r>
        <w:rPr/>
        <w:t>EPS</w:t>
      </w:r>
      <w:r>
        <w:rPr/>
        <w:t>剔一次首付、投资利息和股息，保留研发、常态税及股份薪酬；长期风险调整持续特许收入纳入核心盈利，不再加同资产</w:t>
      </w:r>
      <w:r>
        <w:rPr/>
        <w:t>rNPV</w:t>
      </w:r>
      <w:r>
        <w:rPr/>
        <w:t>。该方法适合已有多产品盈利平台的情景分析，逐药现金流仍未全部完成，所以结果不能被标为最终完整</w:t>
      </w:r>
      <w:r>
        <w:rPr/>
        <w:t>DCF</w:t>
      </w:r>
      <w:r>
        <w:rPr/>
        <w:t>，未来从总利润改产品分解需保持不重复。</w:t>
      </w:r>
    </w:p>
    <w:p>
      <w:pPr>
        <w:pStyle w:val="Normal"/>
        <w:rPr/>
      </w:pPr>
      <w:r>
        <w:rPr/>
        <w:t>年底</w:t>
      </w:r>
      <w:r>
        <w:rPr/>
        <w:t>2027</w:t>
      </w:r>
      <w:r>
        <w:rPr/>
        <w:t>盈利参照悲观</w:t>
      </w:r>
      <w:r>
        <w:rPr/>
        <w:t>EPS0.23</w:t>
      </w:r>
      <w:r>
        <w:rPr/>
        <w:t>、基准</w:t>
      </w:r>
      <w:r>
        <w:rPr/>
        <w:t>0.31</w:t>
      </w:r>
      <w:r>
        <w:rPr/>
        <w:t>、乐观</w:t>
      </w:r>
      <w:r>
        <w:rPr/>
        <w:t>0.39</w:t>
      </w:r>
      <w:r>
        <w:rPr/>
        <w:t>，</w:t>
      </w:r>
      <w:r>
        <w:rPr/>
        <w:t>PE</w:t>
      </w:r>
      <w:r>
        <w:rPr/>
        <w:t>十五、二十一、二十七，产品收入</w:t>
      </w:r>
      <w:r>
        <w:rPr/>
        <w:t>380</w:t>
      </w:r>
      <w:r>
        <w:rPr/>
        <w:t>、</w:t>
      </w:r>
      <w:r>
        <w:rPr/>
        <w:t>420</w:t>
      </w:r>
      <w:r>
        <w:rPr/>
        <w:t>、</w:t>
      </w:r>
      <w:r>
        <w:rPr/>
        <w:t>470</w:t>
      </w:r>
      <w:r>
        <w:rPr/>
        <w:t>亿元，股数</w:t>
      </w:r>
      <w:r>
        <w:rPr/>
        <w:t>184</w:t>
      </w:r>
      <w:r>
        <w:rPr/>
        <w:t>、</w:t>
      </w:r>
      <w:r>
        <w:rPr/>
        <w:t>182</w:t>
      </w:r>
      <w:r>
        <w:rPr/>
        <w:t>、</w:t>
      </w:r>
      <w:r>
        <w:rPr/>
        <w:t>182</w:t>
      </w:r>
      <w:r>
        <w:rPr/>
        <w:t>亿。目标超额现金负</w:t>
      </w:r>
      <w:r>
        <w:rPr/>
        <w:t>5</w:t>
      </w:r>
      <w:r>
        <w:rPr/>
        <w:t>、</w:t>
      </w:r>
      <w:r>
        <w:rPr/>
        <w:t>20</w:t>
      </w:r>
      <w:r>
        <w:rPr/>
        <w:t>、</w:t>
      </w:r>
      <w:r>
        <w:rPr/>
        <w:t>40</w:t>
      </w:r>
      <w:r>
        <w:rPr/>
        <w:t>亿元，战略投资</w:t>
      </w:r>
      <w:r>
        <w:rPr/>
        <w:t>36</w:t>
      </w:r>
      <w:r>
        <w:rPr/>
        <w:t>、</w:t>
      </w:r>
      <w:r>
        <w:rPr/>
        <w:t>54</w:t>
      </w:r>
      <w:r>
        <w:rPr/>
        <w:t>、</w:t>
      </w:r>
      <w:r>
        <w:rPr/>
        <w:t>72</w:t>
      </w:r>
      <w:r>
        <w:rPr/>
        <w:t>亿元。基准核心归母</w:t>
      </w:r>
      <w:r>
        <w:rPr/>
        <w:t>56.42</w:t>
      </w:r>
      <w:r>
        <w:rPr/>
        <w:t>亿元、净利率</w:t>
      </w:r>
      <w:r>
        <w:rPr/>
        <w:t>13.43%</w:t>
      </w:r>
      <w:r>
        <w:rPr/>
        <w:t>是研究假设，低于集团净利润率因为扣少数及一次交易；未来收入增长同时必须保留合作产品较低利润及研发支出，否则</w:t>
      </w:r>
      <w:r>
        <w:rPr/>
        <w:t>EPS</w:t>
      </w:r>
      <w:r>
        <w:rPr/>
        <w:t>不能成立。</w:t>
      </w:r>
    </w:p>
    <w:p>
      <w:pPr>
        <w:pStyle w:val="Normal"/>
        <w:rPr/>
      </w:pPr>
      <w:r>
        <w:rPr/>
        <w:t>年底</w:t>
      </w:r>
      <w:r>
        <w:rPr/>
        <w:t>3.9803</w:t>
      </w:r>
      <w:r>
        <w:rPr/>
        <w:t>、</w:t>
      </w:r>
      <w:r>
        <w:rPr/>
        <w:t>7.6083</w:t>
      </w:r>
      <w:r>
        <w:rPr/>
        <w:t>、</w:t>
      </w:r>
      <w:r>
        <w:rPr/>
        <w:t>12.2599</w:t>
      </w:r>
      <w:r>
        <w:rPr/>
        <w:t>港元，对现价约负</w:t>
      </w:r>
      <w:r>
        <w:rPr/>
        <w:t>26.43%</w:t>
      </w:r>
      <w:r>
        <w:rPr/>
        <w:t>、正</w:t>
      </w:r>
      <w:r>
        <w:rPr/>
        <w:t>40.63%</w:t>
      </w:r>
      <w:r>
        <w:rPr/>
        <w:t>、正</w:t>
      </w:r>
      <w:r>
        <w:rPr/>
        <w:t>126.62%</w:t>
      </w:r>
      <w:r>
        <w:rPr/>
        <w:t>。基准需市场接受</w:t>
      </w:r>
      <w:r>
        <w:rPr/>
        <w:t>2027</w:t>
      </w:r>
      <w:r>
        <w:rPr/>
        <w:t>产品增长及核心</w:t>
      </w:r>
      <w:r>
        <w:rPr/>
        <w:t>EPS</w:t>
      </w:r>
      <w:r>
        <w:rPr/>
        <w:t>，乐观需创新、合作和估值均显著顺风，剩余时间短，不能当最大上涨或大概率价格。</w:t>
      </w:r>
      <w:r>
        <w:rPr/>
        <w:t>25/50/25</w:t>
      </w:r>
      <w:r>
        <w:rPr/>
        <w:t>期望</w:t>
      </w:r>
      <w:r>
        <w:rPr/>
        <w:t>7.8642</w:t>
      </w:r>
      <w:r>
        <w:rPr/>
        <w:t>；</w:t>
      </w:r>
      <w:r>
        <w:rPr/>
        <w:t>40/40/20</w:t>
      </w:r>
      <w:r>
        <w:rPr/>
        <w:t>为</w:t>
      </w:r>
      <w:r>
        <w:rPr/>
        <w:t>7.0874</w:t>
      </w:r>
      <w:r>
        <w:rPr/>
        <w:t>、</w:t>
      </w:r>
      <w:r>
        <w:rPr/>
        <w:t>31.01%</w:t>
      </w:r>
      <w:r>
        <w:rPr/>
        <w:t>，</w:t>
      </w:r>
      <w:r>
        <w:rPr/>
        <w:t>20/40/40</w:t>
      </w:r>
      <w:r>
        <w:rPr/>
        <w:t>为</w:t>
      </w:r>
      <w:r>
        <w:rPr/>
        <w:t>8.7433</w:t>
      </w:r>
      <w:r>
        <w:rPr/>
        <w:t>、</w:t>
      </w:r>
      <w:r>
        <w:rPr/>
        <w:t>61.61%</w:t>
      </w:r>
      <w:r>
        <w:rPr/>
        <w:t>，说明概率权重影响重大。区间不代表统计置信或最坏最大损失，监管临床及资本极端结果可超出。</w:t>
      </w:r>
    </w:p>
    <w:p>
      <w:pPr>
        <w:pStyle w:val="Normal"/>
        <w:rPr/>
      </w:pPr>
      <w:r>
        <w:rPr/>
        <w:t>半年基准</w:t>
      </w:r>
      <w:r>
        <w:rPr/>
        <w:t>8.3205</w:t>
      </w:r>
      <w:r>
        <w:rPr/>
        <w:t>、</w:t>
      </w:r>
      <w:r>
        <w:rPr/>
        <w:t>53.80%</w:t>
      </w:r>
      <w:r>
        <w:rPr/>
        <w:t>价格回报，正常盈利年度仍</w:t>
      </w:r>
      <w:r>
        <w:rPr/>
        <w:t>2027</w:t>
      </w:r>
      <w:r>
        <w:rPr/>
        <w:t>，</w:t>
      </w:r>
      <w:r>
        <w:rPr/>
        <w:t>PE</w:t>
      </w:r>
      <w:r>
        <w:rPr/>
        <w:t>升至</w:t>
      </w:r>
      <w:r>
        <w:rPr/>
        <w:t>23</w:t>
      </w:r>
      <w:r>
        <w:rPr/>
        <w:t>反映若年报确认产品及正常经营能力可能修复。关键催化</w:t>
      </w:r>
      <w:r>
        <w:rPr/>
        <w:t>TQC3721</w:t>
      </w:r>
      <w:r>
        <w:rPr/>
        <w:t>后续结果、</w:t>
      </w:r>
      <w:r>
        <w:rPr/>
        <w:t>bepirovirsen</w:t>
      </w:r>
      <w:r>
        <w:rPr/>
        <w:t>审批准备、引进药渠道和全年授权对账；模型没有假定半年内所有资产全球上市。交易上若守</w:t>
      </w:r>
      <w:r>
        <w:rPr/>
        <w:t>60</w:t>
      </w:r>
      <w:r>
        <w:rPr/>
        <w:t>日并站回</w:t>
      </w:r>
      <w:r>
        <w:rPr/>
        <w:t>20</w:t>
      </w:r>
      <w:r>
        <w:rPr/>
        <w:t>、</w:t>
      </w:r>
      <w:r>
        <w:rPr/>
        <w:t>250</w:t>
      </w:r>
      <w:r>
        <w:rPr/>
        <w:t>日线，证据更支持；若年报利润主要为授权且产品不增长，</w:t>
      </w:r>
      <w:r>
        <w:rPr/>
        <w:t>PE</w:t>
      </w:r>
      <w:r>
        <w:rPr/>
        <w:t>提升没有基础，需要下调。现金或机构高目标不能替代该反证。</w:t>
      </w:r>
    </w:p>
    <w:p>
      <w:pPr>
        <w:pStyle w:val="Normal"/>
        <w:rPr/>
      </w:pPr>
      <w:r>
        <w:rPr/>
        <w:t>一年参考</w:t>
      </w:r>
      <w:r>
        <w:rPr/>
        <w:t>2028</w:t>
      </w:r>
      <w:r>
        <w:rPr/>
        <w:t>核心</w:t>
      </w:r>
      <w:r>
        <w:rPr/>
        <w:t>EPS0.39</w:t>
      </w:r>
      <w:r>
        <w:rPr/>
        <w:t>、</w:t>
      </w:r>
      <w:r>
        <w:rPr/>
        <w:t>PE23</w:t>
      </w:r>
      <w:r>
        <w:rPr/>
        <w:t>、产品</w:t>
      </w:r>
      <w:r>
        <w:rPr/>
        <w:t>490</w:t>
      </w:r>
      <w:r>
        <w:rPr/>
        <w:t>亿元、股数</w:t>
      </w:r>
      <w:r>
        <w:rPr/>
        <w:t>184</w:t>
      </w:r>
      <w:r>
        <w:rPr/>
        <w:t>亿、超额现金</w:t>
      </w:r>
      <w:r>
        <w:rPr/>
        <w:t>38</w:t>
      </w:r>
      <w:r>
        <w:rPr/>
        <w:t>亿元与战略</w:t>
      </w:r>
      <w:r>
        <w:rPr/>
        <w:t>56</w:t>
      </w:r>
      <w:r>
        <w:rPr/>
        <w:t>亿元，基准</w:t>
      </w:r>
      <w:r>
        <w:rPr/>
        <w:t>10.429</w:t>
      </w:r>
      <w:r>
        <w:rPr/>
        <w:t>、含</w:t>
      </w:r>
      <w:r>
        <w:rPr/>
        <w:t>0.14</w:t>
      </w:r>
      <w:r>
        <w:rPr/>
        <w:t>息回报</w:t>
      </w:r>
      <w:r>
        <w:rPr/>
        <w:t>95.36%</w:t>
      </w:r>
      <w:r>
        <w:rPr/>
        <w:t>。该回报接近翻倍，属于进取模型，依赖创新销售、高效率及新商业品共同实现，不是现价必然低估。悲观</w:t>
      </w:r>
      <w:r>
        <w:rPr/>
        <w:t>4.255</w:t>
      </w:r>
      <w:r>
        <w:rPr/>
        <w:t>表示即使收入扩大一点，较低利润和倍数仍可能跌</w:t>
      </w:r>
      <w:r>
        <w:rPr/>
        <w:t>21.35%</w:t>
      </w:r>
      <w:r>
        <w:rPr/>
        <w:t>。在推荐排序时一年成长与估值维度有较大权重，技术虽改善仍不能把高模型收益解读为获利概率。</w:t>
      </w:r>
    </w:p>
    <w:p>
      <w:pPr>
        <w:pStyle w:val="Normal"/>
        <w:rPr/>
      </w:pPr>
      <w:r>
        <w:rPr/>
        <w:t>三年基准</w:t>
      </w:r>
      <w:r>
        <w:rPr/>
        <w:t>13.5866</w:t>
      </w:r>
      <w:r>
        <w:rPr/>
        <w:t>、累计</w:t>
      </w:r>
      <w:r>
        <w:rPr/>
        <w:t>0.50</w:t>
      </w:r>
      <w:r>
        <w:rPr/>
        <w:t>息、含息</w:t>
      </w:r>
      <w:r>
        <w:rPr/>
        <w:t>160.38%</w:t>
      </w:r>
      <w:r>
        <w:rPr/>
        <w:t>和年化</w:t>
      </w:r>
      <w:r>
        <w:rPr/>
        <w:t>37.57%</w:t>
      </w:r>
      <w:r>
        <w:rPr/>
        <w:t>，核心</w:t>
      </w:r>
      <w:r>
        <w:rPr/>
        <w:t>EPS0.53</w:t>
      </w:r>
      <w:r>
        <w:rPr/>
        <w:t>、</w:t>
      </w:r>
      <w:r>
        <w:rPr/>
        <w:t>PE22</w:t>
      </w:r>
      <w:r>
        <w:rPr/>
        <w:t>，产品</w:t>
      </w:r>
      <w:r>
        <w:rPr/>
        <w:t>600</w:t>
      </w:r>
      <w:r>
        <w:rPr/>
        <w:t>亿元、风险折扣持续特许</w:t>
      </w:r>
      <w:r>
        <w:rPr/>
        <w:t>7</w:t>
      </w:r>
      <w:r>
        <w:rPr/>
        <w:t>亿元。这个高年化依赖净利及收入增长和一定估值修复，不能按“持三年就能做到”理解。风险折扣特许只是情景，不是已有合同最低保证；海外监管、上市时间及净销量都可能使其变零。产品经营的多样化比押单分子更稳，少数归属和大额资本配置仍决定普通股最终收益。</w:t>
      </w:r>
    </w:p>
    <w:p>
      <w:pPr>
        <w:pStyle w:val="Normal"/>
        <w:rPr/>
      </w:pPr>
      <w:r>
        <w:rPr/>
        <w:t>五年基准</w:t>
      </w:r>
      <w:r>
        <w:rPr/>
        <w:t>17.989</w:t>
      </w:r>
      <w:r>
        <w:rPr/>
        <w:t>、累计</w:t>
      </w:r>
      <w:r>
        <w:rPr/>
        <w:t>0.95</w:t>
      </w:r>
      <w:r>
        <w:rPr/>
        <w:t>息、含息</w:t>
      </w:r>
      <w:r>
        <w:rPr/>
        <w:t>250.07%</w:t>
      </w:r>
      <w:r>
        <w:rPr/>
        <w:t>，年化</w:t>
      </w:r>
      <w:r>
        <w:rPr/>
        <w:t>28.48%</w:t>
      </w:r>
      <w:r>
        <w:rPr/>
        <w:t>；</w:t>
      </w:r>
      <w:r>
        <w:rPr/>
        <w:t>EPS0.77</w:t>
      </w:r>
      <w:r>
        <w:rPr/>
        <w:t>、</w:t>
      </w:r>
      <w:r>
        <w:rPr/>
        <w:t>PE20</w:t>
      </w:r>
      <w:r>
        <w:rPr/>
        <w:t>、产品</w:t>
      </w:r>
      <w:r>
        <w:rPr/>
        <w:t>820</w:t>
      </w:r>
      <w:r>
        <w:rPr/>
        <w:t>亿元、风险折扣持续特许</w:t>
      </w:r>
      <w:r>
        <w:rPr/>
        <w:t>25</w:t>
      </w:r>
      <w:r>
        <w:rPr/>
        <w:t>亿元、股数</w:t>
      </w:r>
      <w:r>
        <w:rPr/>
        <w:t>194</w:t>
      </w:r>
      <w:r>
        <w:rPr/>
        <w:t>亿。倍数随成熟下降，收益以盈利而非不断提升估值支撑。收入与特许计入</w:t>
      </w:r>
      <w:r>
        <w:rPr/>
        <w:t>EPS</w:t>
      </w:r>
      <w:r>
        <w:rPr/>
        <w:t>以后，不另把同管线完整</w:t>
      </w:r>
      <w:r>
        <w:rPr/>
        <w:t>rNPV</w:t>
      </w:r>
      <w:r>
        <w:rPr/>
        <w:t>加价；公司反复签约可以形成可持续研发收入，但模型不假定每年固定大额首付。悲观仅</w:t>
      </w:r>
      <w:r>
        <w:rPr/>
        <w:t>4.246</w:t>
      </w:r>
      <w:r>
        <w:rPr/>
        <w:t>，说明长时间也可能因资本投入、竞争和稀释失去回报。</w:t>
      </w:r>
    </w:p>
    <w:p>
      <w:pPr>
        <w:pStyle w:val="Normal"/>
        <w:rPr/>
      </w:pPr>
      <w:r>
        <w:rPr/>
        <w:t>2036</w:t>
      </w:r>
      <w:r>
        <w:rPr/>
        <w:t>十年展望看集团能否形成国内多领域商业平台与国际资产重复生产能力。若创新药更新、临床决策、收购整合和资本归属透明，收入结构可能更均衡，现金分配能力提高。若扩张依赖昂贵关联或平台并购，管线失败与少数权益使归母增长慢于集团规模，十年产品数量多也不一定是优秀股票。没有给十年精确价，因为临床、专利和支付跨度过长，应按能力、竞争及资本纪律持续核验，不把现时技术形态延伸十年。</w:t>
      </w:r>
    </w:p>
    <w:p>
      <w:pPr>
        <w:pStyle w:val="Heading2"/>
        <w:rPr/>
      </w:pPr>
      <w:r>
        <w:rPr>
          <w:color w:val="000000"/>
        </w:rPr>
        <w:t>十五 宏观 政策 机构目标及反证</w:t>
      </w:r>
    </w:p>
    <w:p>
      <w:pPr>
        <w:pStyle w:val="Normal"/>
        <w:rPr/>
      </w:pPr>
      <w:r>
        <w:rPr/>
        <w:t>老龄化、慢病筛查、癌症管理和患者存活期支持需求，医保预算、集采、首发价格和商业保险决定实际支付。鼓励创新及仿制药控费可能同时推进，集团转型能抵消老品压力也需承担研发与推广。新机制药若无法证明临床价值，不会仅凭政策获得高售价；商业保险目录扩展也不是患者自动有保险，实际给付和医院采用需逐产品看。模型行业分较高来自可观察需求及多产品储备，风险评分保留政策与竞争压力。</w:t>
      </w:r>
    </w:p>
    <w:p>
      <w:pPr>
        <w:pStyle w:val="Normal"/>
        <w:rPr/>
      </w:pPr>
      <w:r>
        <w:rPr/>
        <w:t>利率影响全球研发现值和股票风险溢价，汇率同时影响海外合作、金融资产和港元回报。</w:t>
      </w:r>
      <w:r>
        <w:rPr/>
        <w:t>1CNY</w:t>
      </w:r>
      <w:r>
        <w:rPr/>
        <w:t>换</w:t>
      </w:r>
      <w:r>
        <w:rPr/>
        <w:t>1.10HKD</w:t>
      </w:r>
      <w:r>
        <w:rPr/>
        <w:t>为独立模型，不是实测基准外汇；港币兑人民币投资收益应按总回报倍率乘汇率倍率。比如一年基准含息</w:t>
      </w:r>
      <w:r>
        <w:rPr/>
        <w:t>95.36%</w:t>
      </w:r>
      <w:r>
        <w:rPr/>
        <w:t>，若港币对人民币升</w:t>
      </w:r>
      <w:r>
        <w:rPr/>
        <w:t>5%</w:t>
      </w:r>
      <w:r>
        <w:rPr/>
        <w:t>，人民币含息约</w:t>
      </w:r>
      <w:r>
        <w:rPr/>
        <w:t>105.13%</w:t>
      </w:r>
      <w:r>
        <w:rPr/>
        <w:t>，跌</w:t>
      </w:r>
      <w:r>
        <w:rPr/>
        <w:t>5%</w:t>
      </w:r>
      <w:r>
        <w:rPr/>
        <w:t>则</w:t>
      </w:r>
      <w:r>
        <w:rPr/>
        <w:t>85.59%</w:t>
      </w:r>
      <w:r>
        <w:rPr/>
        <w:t>。公司内部美元收入和债务亦需重新预测，不能只加投资者汇兑收益而保留所有人民币盈利不变；敏感性是拆分观察非预测路径。</w:t>
      </w:r>
    </w:p>
    <w:p>
      <w:pPr>
        <w:pStyle w:val="Normal"/>
        <w:rPr/>
      </w:pPr>
      <w:r>
        <w:rPr/>
        <w:t>美国关于对华生物授权和投资的讨论仍需最终法规、合同与具体技术审查，机构报道草案可能较窄不等于已永久豁免。集团授权、供应和全球研究有不同责任，</w:t>
      </w:r>
      <w:r>
        <w:rPr/>
        <w:t>GSK</w:t>
      </w:r>
      <w:r>
        <w:rPr/>
        <w:t>中国销售与阿斯利康海外开发风险也不同。没有直接因草案取消全部资产现值，也没有认为合作大药企可完全消除风险；风险可体现为延迟、成功权重和资本折现。临床竞争及供应质量常比政策标题更直接，不能忽略日常经营只看海外规则方向。</w:t>
      </w:r>
    </w:p>
    <w:p>
      <w:pPr>
        <w:pStyle w:val="Normal"/>
        <w:rPr/>
      </w:pPr>
      <w:r>
        <w:rPr/>
        <w:t>外资最近可核验公开转述</w:t>
      </w:r>
      <w:r>
        <w:rPr/>
        <w:t>HSBC</w:t>
      </w:r>
      <w:r>
        <w:rPr/>
        <w:t>九月</w:t>
      </w:r>
      <w:r>
        <w:rPr/>
        <w:t>29</w:t>
      </w:r>
      <w:r>
        <w:rPr/>
        <w:t>八港元、</w:t>
      </w:r>
      <w:r>
        <w:rPr/>
        <w:t>Citi</w:t>
      </w:r>
      <w:r>
        <w:rPr/>
        <w:t>九月</w:t>
      </w:r>
      <w:r>
        <w:rPr/>
        <w:t>29</w:t>
      </w:r>
      <w:r>
        <w:rPr/>
        <w:t>十点八、美银九月</w:t>
      </w:r>
      <w:r>
        <w:rPr/>
        <w:t>21</w:t>
      </w:r>
      <w:r>
        <w:rPr/>
        <w:t>七点三、高盛九月</w:t>
      </w:r>
      <w:r>
        <w:rPr/>
        <w:t>14</w:t>
      </w:r>
      <w:r>
        <w:rPr/>
        <w:t>九点零七、野村同日八点六七、大和八月</w:t>
      </w:r>
      <w:r>
        <w:rPr/>
        <w:t>20</w:t>
      </w:r>
      <w:r>
        <w:rPr/>
        <w:t>七点二。瑞银七点七在跨行业新闻可核验，总模型若未获得本公司文章记录暂不造来源；各目标截止日未明确，不统一贴准确十二个月标签。每机构保留最新有效条，原研报未取得，新闻与原公告分开。目标价范围七点二至十点八给一年模型交叉参照，不能替代盈利假设核验。</w:t>
      </w:r>
    </w:p>
    <w:p>
      <w:pPr>
        <w:pStyle w:val="Normal"/>
        <w:rPr/>
      </w:pPr>
      <w:r>
        <w:rPr/>
        <w:t>高盛上调反映增持正大天晴归属和全资管线潜力，野村虽看战略仍质疑价格及偏高合作利润，显示同为买入评级也不代表对交易完全相同判断。</w:t>
      </w:r>
      <w:r>
        <w:rPr/>
        <w:t>HSBC</w:t>
      </w:r>
      <w:r>
        <w:rPr/>
        <w:t>认为国内业务受压、关注全球管线，</w:t>
      </w:r>
      <w:r>
        <w:rPr/>
        <w:t>Citi</w:t>
      </w:r>
      <w:r>
        <w:rPr/>
        <w:t>重视</w:t>
      </w:r>
      <w:r>
        <w:rPr/>
        <w:t>STADA</w:t>
      </w:r>
      <w:r>
        <w:rPr/>
        <w:t>生产平台。评级背后关注点与目标倍数不同，不能简单平均成为保证价；收购现金及目标债务若被新闻省略，应按原公告重新桥接。年底没有直接采用这些目标或按剩余月份缩放，以独立年底信息和倍数重新计。</w:t>
      </w:r>
    </w:p>
    <w:p>
      <w:pPr>
        <w:pStyle w:val="Normal"/>
        <w:rPr/>
      </w:pPr>
      <w:r>
        <w:rPr/>
        <w:t>明确反证包括连续报告期创新产品增速显著低于模型、仿制拖累持续、费用节省逆转、新引进品低净利无法覆盖投入、</w:t>
      </w:r>
      <w:r>
        <w:rPr/>
        <w:t>TQC3721</w:t>
      </w:r>
      <w:r>
        <w:rPr/>
        <w:t>等后期试验失败或安全不支持、海外特许及上市延迟、收购债务与现金归属恶化。任何一项需要同时更新</w:t>
      </w:r>
      <w:r>
        <w:rPr/>
        <w:t>EPS</w:t>
      </w:r>
      <w:r>
        <w:rPr/>
        <w:t>、现金与评分，而非只在风险段落多写一句。股票可能在经营改善前交易先转强，也可能经营很好但倍数压缩，四期限分开研究正是为了把交易机会与长期公司价值分别验证。</w:t>
      </w:r>
    </w:p>
    <w:p>
      <w:pPr>
        <w:pStyle w:val="Normal"/>
        <w:rPr/>
      </w:pPr>
      <w:r>
        <w:rPr/>
        <w:t>公司完成深研后仍需逐产品</w:t>
      </w:r>
      <w:r>
        <w:rPr/>
        <w:t>rNPV</w:t>
      </w:r>
      <w:r>
        <w:rPr/>
        <w:t>、现金归属、行业基准和远期日历的最终核验，现文件对这些未完成项公开保留。三年</w:t>
      </w:r>
      <w:r>
        <w:rPr/>
        <w:t>81.4</w:t>
      </w:r>
      <w:r>
        <w:rPr/>
        <w:t>分是基于已获批创新组合和成长可能，但财务治理只有</w:t>
      </w:r>
      <w:r>
        <w:rPr/>
        <w:t>2.9/5</w:t>
      </w:r>
      <w:r>
        <w:rPr/>
        <w:t>限制上限；同榜公司最终比较按统一规则，差距少于三分属于同梯队。本章没有宣布绝对榜首或承诺最高收益。总表和跨格式成品需随后续资料同步刷新，确保旧现金、股息或交易假设不会被误读为最新结论。</w:t>
      </w:r>
    </w:p>
    <w:p>
      <w:pPr>
        <w:pStyle w:val="Heading2"/>
        <w:rPr/>
      </w:pPr>
      <w:r>
        <w:rPr>
          <w:color w:val="000000"/>
        </w:rPr>
        <w:t>来源及复算记录</w:t>
      </w:r>
    </w:p>
    <w:p>
      <w:pPr>
        <w:pStyle w:val="Normal"/>
        <w:rPr/>
      </w:pPr>
      <w:r>
        <w:rPr/>
        <w:t>- 2026</w:t>
      </w:r>
      <w:r>
        <w:rPr/>
        <w:t>中报，</w:t>
      </w:r>
      <w:r>
        <w:rPr/>
        <w:t>2026-09-24</w:t>
      </w:r>
      <w:r>
        <w:rPr/>
        <w:t>，首次中期公告</w:t>
      </w:r>
      <w:r>
        <w:rPr/>
        <w:t>2026-08-19</w:t>
      </w:r>
      <w:r>
        <w:rPr/>
        <w:t xml:space="preserve">： </w:t>
      </w:r>
      <w:r>
        <w:rPr/>
        <w:t>https://iis.aastocks.com/20260924/12344918-0.PDF</w:t>
      </w:r>
    </w:p>
    <w:p>
      <w:pPr>
        <w:pStyle w:val="Normal"/>
        <w:rPr/>
      </w:pPr>
      <w:r>
        <w:rPr/>
        <w:t>- 2025</w:t>
      </w:r>
      <w:r>
        <w:rPr/>
        <w:t>年报，</w:t>
      </w:r>
      <w:r>
        <w:rPr/>
        <w:t>2026-04-29</w:t>
      </w:r>
      <w:r>
        <w:rPr/>
        <w:t xml:space="preserve">： </w:t>
      </w:r>
      <w:r>
        <w:rPr/>
        <w:t>https://iis.aastocks.com/20260429/12132658-0.PDF</w:t>
      </w:r>
    </w:p>
    <w:p>
      <w:pPr>
        <w:pStyle w:val="Normal"/>
        <w:rPr/>
      </w:pPr>
      <w:r>
        <w:rPr/>
        <w:t xml:space="preserve">- </w:t>
      </w:r>
      <w:r>
        <w:rPr/>
        <w:t>关联交易原披露，</w:t>
      </w:r>
      <w:r>
        <w:rPr/>
        <w:t>2026-09-11</w:t>
      </w:r>
      <w:r>
        <w:rPr/>
        <w:t xml:space="preserve">： </w:t>
      </w:r>
      <w:r>
        <w:rPr/>
        <w:t>https://iis.aastocks.com/20260911/12328899-0.PDF</w:t>
      </w:r>
    </w:p>
    <w:p>
      <w:pPr>
        <w:pStyle w:val="Normal"/>
        <w:rPr/>
      </w:pPr>
      <w:r>
        <w:rPr/>
        <w:t>- TQC3721</w:t>
      </w:r>
      <w:r>
        <w:rPr/>
        <w:t>三期完成入组，</w:t>
      </w:r>
      <w:r>
        <w:rPr/>
        <w:t>2026-10-08</w:t>
      </w:r>
      <w:r>
        <w:rPr/>
        <w:t xml:space="preserve">： </w:t>
      </w:r>
      <w:r>
        <w:rPr/>
        <w:t>https://iis.aastocks.com/20261008/12367210-0.PDF</w:t>
      </w:r>
    </w:p>
    <w:p>
      <w:pPr>
        <w:pStyle w:val="Normal"/>
        <w:rPr/>
      </w:pPr>
      <w:r>
        <w:rPr/>
        <w:t>- TQC3721</w:t>
      </w:r>
      <w:r>
        <w:rPr/>
        <w:t>干粉一期数据，</w:t>
      </w:r>
      <w:r>
        <w:rPr/>
        <w:t>2026-09-07</w:t>
      </w:r>
      <w:r>
        <w:rPr/>
        <w:t xml:space="preserve">： </w:t>
      </w:r>
      <w:r>
        <w:rPr/>
        <w:t>https://iis.aastocks.com/20260907/12323522-0.PDF</w:t>
      </w:r>
    </w:p>
    <w:p>
      <w:pPr>
        <w:pStyle w:val="Normal"/>
        <w:rPr/>
      </w:pPr>
      <w:r>
        <w:rPr/>
        <w:t xml:space="preserve">- </w:t>
      </w:r>
      <w:r>
        <w:rPr/>
        <w:t>阿斯利康授权，</w:t>
      </w:r>
      <w:r>
        <w:rPr/>
        <w:t>2026-07-08</w:t>
      </w:r>
      <w:r>
        <w:rPr/>
        <w:t xml:space="preserve">： </w:t>
      </w:r>
      <w:r>
        <w:rPr/>
        <w:t>https://iis.aastocks.com/20260708/12237204-0.PDF</w:t>
      </w:r>
    </w:p>
    <w:p>
      <w:pPr>
        <w:pStyle w:val="Normal"/>
        <w:rPr/>
      </w:pPr>
      <w:r>
        <w:rPr/>
        <w:t>- Sanofi</w:t>
      </w:r>
      <w:r>
        <w:rPr/>
        <w:t>授权，</w:t>
      </w:r>
      <w:r>
        <w:rPr/>
        <w:t>2026-03-04</w:t>
      </w:r>
      <w:r>
        <w:rPr/>
        <w:t xml:space="preserve">： </w:t>
      </w:r>
      <w:r>
        <w:rPr/>
        <w:t>https://iis.aastocks.com/20260304/12039207-0.PDF</w:t>
      </w:r>
    </w:p>
    <w:p>
      <w:pPr>
        <w:pStyle w:val="Normal"/>
        <w:rPr/>
      </w:pPr>
      <w:r>
        <w:rPr/>
        <w:t>- bepirovirsen</w:t>
      </w:r>
      <w:r>
        <w:rPr/>
        <w:t>三期，</w:t>
      </w:r>
      <w:r>
        <w:rPr/>
        <w:t>2026-05-29</w:t>
      </w:r>
      <w:r>
        <w:rPr/>
        <w:t>发布、原落款</w:t>
      </w:r>
      <w:r>
        <w:rPr/>
        <w:t>5</w:t>
      </w:r>
      <w:r>
        <w:rPr/>
        <w:t>月</w:t>
      </w:r>
      <w:r>
        <w:rPr/>
        <w:t>28</w:t>
      </w:r>
      <w:r>
        <w:rPr/>
        <w:t xml:space="preserve">： </w:t>
      </w:r>
      <w:r>
        <w:rPr/>
        <w:t>https://iis.aastocks.com/20260529/12175812-0.PDF</w:t>
      </w:r>
    </w:p>
    <w:p>
      <w:pPr>
        <w:pStyle w:val="Normal"/>
        <w:rPr/>
      </w:pPr>
      <w:r>
        <w:rPr/>
        <w:t>- GSK</w:t>
      </w:r>
      <w:r>
        <w:rPr/>
        <w:t>商业合作，</w:t>
      </w:r>
      <w:r>
        <w:rPr/>
        <w:t>2026-07-08</w:t>
      </w:r>
      <w:r>
        <w:rPr/>
        <w:t xml:space="preserve">： </w:t>
      </w:r>
      <w:r>
        <w:rPr/>
        <w:t>https://iis.aastocks.com/20260708/12237532-0.PDF</w:t>
      </w:r>
    </w:p>
    <w:p>
      <w:pPr>
        <w:pStyle w:val="Normal"/>
        <w:rPr/>
      </w:pPr>
      <w:r>
        <w:rPr/>
        <w:t>- STADA</w:t>
      </w:r>
      <w:r>
        <w:rPr/>
        <w:t>合作，</w:t>
      </w:r>
      <w:r>
        <w:rPr/>
        <w:t>2026-09-28</w:t>
      </w:r>
      <w:r>
        <w:rPr/>
        <w:t xml:space="preserve">： </w:t>
      </w:r>
      <w:r>
        <w:rPr/>
        <w:t>https://iis.aastocks.com/20260928/12348346-0.PDF</w:t>
      </w:r>
    </w:p>
    <w:p>
      <w:pPr>
        <w:pStyle w:val="Normal"/>
        <w:rPr/>
      </w:pPr>
      <w:r>
        <w:rPr/>
        <w:t xml:space="preserve">- </w:t>
      </w:r>
      <w:r>
        <w:rPr/>
        <w:t xml:space="preserve">中期现金股息原表： </w:t>
      </w:r>
      <w:r>
        <w:rPr/>
        <w:t>https://iis.aastocks.com/20260819/12289832-0.PDF</w:t>
      </w:r>
    </w:p>
    <w:p>
      <w:pPr>
        <w:pStyle w:val="Normal"/>
        <w:rPr/>
      </w:pPr>
      <w:r>
        <w:rPr/>
        <w:t xml:space="preserve">- </w:t>
      </w:r>
      <w:r>
        <w:rPr/>
        <w:t>原报及目标转述存</w:t>
      </w:r>
      <w:r>
        <w:rPr/>
        <w:t>data/sinobiopharm_sources.json</w:t>
      </w:r>
      <w:r>
        <w:rPr/>
        <w:t>、</w:t>
      </w:r>
      <w:r>
        <w:rPr/>
        <w:t>sinobiopharm_historical_sources.json</w:t>
      </w:r>
      <w:r>
        <w:rPr/>
        <w:t>、</w:t>
      </w:r>
      <w:r>
        <w:rPr/>
        <w:t>pharma_evidence.json</w:t>
      </w:r>
      <w:r>
        <w:rPr/>
        <w:t>；模型</w:t>
      </w:r>
      <w:r>
        <w:rPr/>
        <w:t>tools/sinobiopharm_model.mjs</w:t>
      </w:r>
      <w:r>
        <w:rPr/>
        <w:t>与</w:t>
      </w:r>
      <w:r>
        <w:rPr/>
        <w:t>data/sinobiopharm_model.json</w:t>
      </w:r>
      <w:r>
        <w:rPr/>
        <w:t>；行情</w:t>
      </w:r>
      <w:r>
        <w:rPr/>
        <w:t>data/history/S036.json</w:t>
      </w:r>
      <w:r>
        <w:rPr/>
        <w:t>及</w:t>
      </w:r>
      <w:r>
        <w:rPr/>
        <w:t>market_snapshot.json</w:t>
      </w:r>
      <w:r>
        <w:rPr/>
        <w:t>。</w:t>
      </w:r>
      <w:r>
        <w:br w:type="page"/>
      </w:r>
    </w:p>
    <w:p>
      <w:pPr>
        <w:pStyle w:val="Heading1"/>
        <w:rPr/>
      </w:pPr>
      <w:bookmarkStart w:id="1" w:name="__RefHeading___Toc21192_312338234"/>
      <w:bookmarkEnd w:id="1"/>
      <w:r>
        <w:rPr>
          <w:color w:val="000000"/>
        </w:rPr>
        <w:t xml:space="preserve">石药集团 </w:t>
      </w:r>
      <w:r>
        <w:rPr>
          <w:color w:val="000000"/>
        </w:rPr>
        <w:t>01093 HK</w:t>
      </w:r>
    </w:p>
    <w:p>
      <w:pPr>
        <w:pStyle w:val="Normal"/>
        <w:rPr/>
      </w:pPr>
      <w:r>
        <w:rPr/>
        <w:t xml:space="preserve">01093.HK </w:t>
      </w:r>
      <w:r>
        <w:rPr/>
        <w:t xml:space="preserve">现价 </w:t>
      </w:r>
      <w:r>
        <w:rPr/>
        <w:t>9.09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71.00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9.75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+9.33%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75.00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11.01</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+21.17%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+25.02%</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79.10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12.94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+42.48%</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+54.59%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79.70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15.62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+71.97%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+93.98%</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-52.72%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9.30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18.39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+102.43%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10.32HKD</w:t>
      </w:r>
      <w:r>
        <w:rPr/>
        <w:t>，期望股价回报</w:t>
      </w:r>
      <w:r>
        <w:rPr/>
        <w:t>+13.58%</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4.26</w:t>
              <w:br/>
              <w:t>-53.06%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9.75</w:t>
              <w:br/>
              <w:t>+7.35%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19.11</w:t>
              <w:br/>
              <w:t>+110.34%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4.35</w:t>
              <w:br/>
              <w:t>-52.14%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11.01</w:t>
              <w:br/>
              <w:t>+21.17%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22.69</w:t>
              <w:br/>
              <w:t>+149.76%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4.29</w:t>
              <w:br/>
              <w:t>-52.76%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12.94</w:t>
              <w:br/>
              <w:t>+42.48%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28.99</w:t>
              <w:br/>
              <w:t>+219.06%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+15.63%</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4.23</w:t>
              <w:br/>
              <w:t>-53.47%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15.62</w:t>
              <w:br/>
              <w:t>+71.97%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35.71</w:t>
              <w:br/>
              <w:t>+293.06%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+14.17%</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一年日期修订：全部未来现金流</w:t>
      </w:r>
      <w:r>
        <w:rPr/>
        <w:t>ACT</w:t>
      </w:r>
      <w:r>
        <w:rPr/>
        <w:t>折现、目标年比例及目标现金</w:t>
      </w:r>
      <w:r>
        <w:rPr/>
        <w:t>/</w:t>
      </w:r>
      <w:r>
        <w:rPr/>
        <w:t>股数按实际日重算；经营假设不变。下文保留的额外压力测试按原假设日期运行，属于历史模型敏感性；核心三情景以上表及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medium</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+9.33%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+14.79%</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+18.77%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+25.02%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+31.27%</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+46.86%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+54.59%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+62.32%</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+84.28%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+93.98%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+103.68%</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w:t>
      </w:r>
      <w:r>
        <w:rPr/>
        <w:t>2026</w:t>
      </w:r>
      <w:r>
        <w:rPr/>
        <w:t>年</w:t>
      </w:r>
      <w:r>
        <w:rPr/>
        <w:t>10</w:t>
      </w:r>
      <w:r>
        <w:rPr/>
        <w:t>月</w:t>
      </w:r>
      <w:r>
        <w:rPr/>
        <w:t>9</w:t>
      </w:r>
      <w:r>
        <w:rPr/>
        <w:t>日收盘；资料截止同日。发行人</w:t>
      </w:r>
      <w:r>
        <w:rPr/>
        <w:t>I025</w:t>
      </w:r>
      <w:r>
        <w:rPr/>
        <w:t>，证券</w:t>
      </w:r>
      <w:r>
        <w:rPr/>
        <w:t>S030</w:t>
      </w:r>
      <w:r>
        <w:rPr/>
        <w:t>，</w:t>
      </w:r>
      <w:r>
        <w:rPr/>
        <w:t>01093.HK</w:t>
      </w:r>
      <w:r>
        <w:rPr/>
        <w:t>，现价</w:t>
      </w:r>
      <w:r>
        <w:rPr/>
        <w:t>9.085</w:t>
      </w:r>
      <w:r>
        <w:rPr/>
        <w:t>港元。公司正文、模型及来源版本为</w:t>
      </w:r>
      <w:r>
        <w:rPr/>
        <w:t>cspc-v1-core-cash-assetgroups</w:t>
      </w:r>
      <w:r>
        <w:rPr/>
        <w:t>。港股价格由腾讯、新浪及独立日线交叉核对；以下人民币兑港币按</w:t>
      </w:r>
      <w:r>
        <w:rPr/>
        <w:t>1</w:t>
      </w:r>
      <w:r>
        <w:rPr/>
        <w:t>人民币等于</w:t>
      </w:r>
      <w:r>
        <w:rPr/>
        <w:t>1.10</w:t>
      </w:r>
      <w:r>
        <w:rPr/>
        <w:t>港元、美元兑人民币按</w:t>
      </w:r>
      <w:r>
        <w:rPr/>
        <w:t>7</w:t>
      </w:r>
      <w:r>
        <w:rPr/>
        <w:t>计算，均属模型换算假设，不能解释为已核验即期汇率。评分是进取型研究排序，证据可信度中等，尚未完成全部逐适应症</w:t>
      </w:r>
      <w:r>
        <w:rPr/>
        <w:t>DCF</w:t>
      </w:r>
      <w:r>
        <w:rPr/>
        <w:t>。</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408"/>
        <w:gridCol w:w="1407"/>
        <w:gridCol w:w="1409"/>
        <w:gridCol w:w="1407"/>
        <w:gridCol w:w="1409"/>
        <w:gridCol w:w="1407"/>
        <w:gridCol w:w="1409"/>
      </w:tblGrid>
      <w:tr>
        <w:trPr>
          <w:tblHeader w:val="true"/>
          <w:cantSplit/>
        </w:trPr>
        <w:tc>
          <w:tcPr>
            <w:tcW w:w="1408"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悲观价港元</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基准价港元</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乐观价港元</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基准含息回报</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4.2643</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9.7524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19.1097</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9.33%</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4.3478</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11.0079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22.6906</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21.17%</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25.02%</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79.1</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4.2920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12.9446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28.9868</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42.48%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54.59%</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79.7</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4.2269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15.6233</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35.7092</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71.97%</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93.98%</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不单独评分</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4.2951</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9.2950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18.3904</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2.31%</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4.29%</w:t>
            </w:r>
          </w:p>
        </w:tc>
      </w:tr>
    </w:tbl>
    <w:p>
      <w:pPr>
        <w:pStyle w:val="Normal"/>
        <w:rPr/>
      </w:pPr>
      <w:r>
        <w:rPr/>
      </w:r>
    </w:p>
    <w:p>
      <w:pPr>
        <w:pStyle w:val="Heading2"/>
        <w:rPr/>
      </w:pPr>
      <w:r>
        <w:rPr>
          <w:color w:val="000000"/>
        </w:rPr>
        <w:t>一 结论与推荐成立条件</w:t>
      </w:r>
    </w:p>
    <w:p>
      <w:pPr>
        <w:pStyle w:val="Normal"/>
        <w:rPr/>
      </w:pPr>
      <w:r>
        <w:rPr/>
        <w:t>石药适合列入长期成长观察及分阶段配置的研究梯队，半年推荐力度低于三年和五年。核心原因是公司同时拥有成熟销售现金流、改良制剂能力和可供全球授权的研发平台，但当前价已反映一部分创新预期，短期基准上行空间有限。半年评分七十一分包含对临床催化的较高评价，并不意味着年底基准价格能大幅上涨。投资者若只接受短期稳定收益，应关注一次性授权退出盈利比较后的估值变化，而不能仅看报告利润增长。</w:t>
      </w:r>
    </w:p>
    <w:p>
      <w:pPr>
        <w:pStyle w:val="Normal"/>
        <w:rPr/>
      </w:pPr>
      <w:r>
        <w:rPr/>
        <w:t>最有吸引力的经营特征是研发成果能够通过已有医院渠道实现商业化，并利用海外伙伴承担全球开发与销售工作。与没有产品收入的生物科技公司相比，石药在融资谈判中更有持续投入能力；与仅依赖成熟仿制药的公司相比，新型递送、</w:t>
      </w:r>
      <w:r>
        <w:rPr/>
        <w:t>ADC</w:t>
      </w:r>
      <w:r>
        <w:rPr/>
        <w:t>及长效代谢产品提供重新塑造收入结构的机会。两种优势并不会自动叠加为高回报，只有新增现金收益超过旧品种降价、研发增加与资本投入，普通股东才真正受益。</w:t>
      </w:r>
    </w:p>
    <w:p>
      <w:pPr>
        <w:pStyle w:val="Normal"/>
        <w:rPr/>
      </w:pPr>
      <w:r>
        <w:rPr/>
        <w:t>本报告把石药理解为三个相互关联但需要分别估值的部分：已经销售的核心产品业务、已收到资金且扣除履约及潜在退款义务后的现金、尚待临床或商业兑现的研发经济权益。前者采用正常经营盈利倍数，中间部分采用归母超额现金桥，后者采用六个资产组的风险调整现金流。这样的划分有助于解释为什么半年利润翻倍不能直接推出合理市值翻倍，也有助于识别哪些临床变化会影响研发权益而非当期产品销售。</w:t>
      </w:r>
    </w:p>
    <w:p>
      <w:pPr>
        <w:pStyle w:val="Normal"/>
        <w:rPr/>
      </w:pPr>
      <w:r>
        <w:rPr/>
        <w:t>结论成立需要同时满足几个可观察条件。成药产品收入恢复必须持续，不能只由低基数或渠道库存带动；恩必普等成熟产品的净价格下降需要被销量及新产品弥补；研发进展要从顶线公告进入完整随机证据、批准及现金收入；海外合作应保留能够兑现的合同经济利益。若任一条件明显恶化，模型的利润、倍数和研发权益均可能同时下修，悲观情景约五成的股价跌幅不是不可能发生的结果，也不是最大亏损边界。</w:t>
      </w:r>
    </w:p>
    <w:p>
      <w:pPr>
        <w:pStyle w:val="Heading2"/>
        <w:rPr/>
      </w:pPr>
      <w:r>
        <w:rPr>
          <w:color w:val="000000"/>
        </w:rPr>
        <w:t>二 业务结构与历史转型</w:t>
      </w:r>
    </w:p>
    <w:p>
      <w:pPr>
        <w:pStyle w:val="Normal"/>
        <w:rPr/>
      </w:pPr>
      <w:r>
        <w:rPr/>
        <w:t>二零二六年上半年收入为一百八十五点九四亿元人民币，归母利润六十点九四亿元。标题看起来体现强劲增长，但授权收入为五十八点九五亿元，约占集团收入三成二。扣除授权后的产品收入为一百二十七亿元，同比增长约百分之四点一。成药销售一百零一点六六亿元，增长百分之十点八；原料产品与功能食品则下降。公司的转型确实开始产生现金回报，然而上半年整体经营增长远小于总收入增长，这个区别决定了估值起点。</w:t>
      </w:r>
    </w:p>
    <w:p>
      <w:pPr>
        <w:pStyle w:val="Normal"/>
        <w:rPr/>
      </w:pPr>
      <w:r>
        <w:rPr/>
        <w:t>集团已销售产品覆盖神经系统、抗肿瘤、抗感染、心血管、呼吸、消化代谢及其他领域。神经系统销售四十七点九零亿元，同比增长百分之二十七点六，是当期成药恢复的主要支柱。抗肿瘤销售十点零六亿元，下降百分之四点三；呼吸下降百分之九点五；心血管增长百分之十九。收入分布说明创新管线丰富与现有肿瘤收入强劲并非同一件事。即便癌症研发公告频繁，目前现金经营仍较依赖神经及其他成熟领域。</w:t>
      </w:r>
    </w:p>
    <w:p>
      <w:pPr>
        <w:pStyle w:val="Normal"/>
        <w:rPr/>
      </w:pPr>
      <w:r>
        <w:rPr/>
        <w:t>年报中的五年历史显示，集团收入从二零二一年二百七十八点六七亿元升至二零二三年三百一十四点五零亿元，随后降至二零二五年二百六十点零六亿元。归母利润从二零二二年六十点九一亿元降至二零二五年三十八点八二亿元。这个轨迹不能支持“成熟药物天然稳定增长”的判断。成熟品种受到医保、集采及竞争的影响，研发平台需要先填补既有业务缺口，再为公司贡献净增长，未来盈利预测必须承认这一阶段。</w:t>
      </w:r>
    </w:p>
    <w:p>
      <w:pPr>
        <w:pStyle w:val="Normal"/>
        <w:rPr/>
      </w:pPr>
      <w:r>
        <w:rPr/>
        <w:t>二零二五年成药收入二百零五点八四亿元，包含十七点八九亿元授权；扣除授权后的成药销售一百八十七点九五亿元，同比下降百分之二十点八。年报把多美素、津优力进入集中采购列为主要影响。销售费用当年下降约四分之一，帮助缓冲收入压力，但研发费用上升至五十八点零九亿元。这体现一种典型转型：成熟药销售环节的成本下降与创新临床投入上升并存，投资者需要观察总利润是否由新业务形成，而非费用压缩暂时支撑。</w:t>
      </w:r>
    </w:p>
    <w:p>
      <w:pPr>
        <w:pStyle w:val="Normal"/>
        <w:rPr/>
      </w:pPr>
      <w:r>
        <w:rPr/>
        <w:t>石药的制造优势并非简单的产能规模，而是复杂递送和制剂开发经验。脂质体、白蛋白结合型和长效制剂要求药物分布、粒径、稳定性、制造一致性及临床证据共同成立。有效成分相同并不代表制剂经济价值相同，但制剂改善也不保证能够获得长期高价。若改良能减少预处理、改善依从性或提高疗效，医生有采用理由；若支付方只认可接近传统制剂的价格，制造与研发优势的资本回报会被压缩。</w:t>
      </w:r>
    </w:p>
    <w:p>
      <w:pPr>
        <w:pStyle w:val="Normal"/>
        <w:rPr/>
      </w:pPr>
      <w:r>
        <w:rPr/>
        <w:t>商业渠道是另一项现实能力。中报披露营销团队超过一万人，覆盖医院、零售及基层市场。新产品可以借用现有医生触达及准入网络，理论上降低每个产品从零建立渠道的成本。不过渠道规模也形成固定费用和合规管理负担，真正的效率应由产品销售增长、销售费用率和回款共同证明。团队人数本身无法证明护城河，持续依赖学术推广而缺乏清晰临床差异的产品，可能在支付与处方管理调整后承压。</w:t>
      </w:r>
    </w:p>
    <w:p>
      <w:pPr>
        <w:pStyle w:val="Heading2"/>
        <w:rPr/>
      </w:pPr>
      <w:r>
        <w:rPr>
          <w:color w:val="000000"/>
        </w:rPr>
        <w:t>三 神经与心血管产品的现金基础</w:t>
      </w:r>
    </w:p>
    <w:p>
      <w:pPr>
        <w:pStyle w:val="Normal"/>
        <w:rPr/>
      </w:pPr>
      <w:r>
        <w:rPr/>
        <w:t>恩必普是神经系统经营的重要产品，其丁苯酞软胶囊与注射剂覆盖缺血性卒中相关治疗。二零二五年公司已披露医保谈判降价影响收入，二零二六年上半年则披露销售恢复和基层、院外拓展。研究不能从后一期增长直接认定降价影响全部结束，必须区分净价下降、数量增长与渠道扩大。若新销量带来的增量毛利低于既有价格减少，收入恢复仍可能伴随经营利润承压，产品强品牌不能代替具体价格与销量核验。</w:t>
      </w:r>
    </w:p>
    <w:p>
      <w:pPr>
        <w:pStyle w:val="Normal"/>
        <w:rPr/>
      </w:pPr>
      <w:r>
        <w:rPr/>
        <w:t>恩必普的投资价值还取决于临床应用持续性及市场范围。年报提到轻型卒中和脑小血管病研究，可能支持更多治疗场景，但这些探索不应立即转化为全部新增可销售人口。适应症、医生采用、医保限制和循证等级都影响商业规模。对于成熟药，越广泛的使用范围通常意味着越严格的支付和合理用药审查。估值不宜同时假定市场无限扩张、价格稳定及推广成本持续下降，这三个条件在现实中并不自然兼容。</w:t>
      </w:r>
    </w:p>
    <w:p>
      <w:pPr>
        <w:pStyle w:val="Normal"/>
        <w:rPr/>
      </w:pPr>
      <w:r>
        <w:rPr/>
        <w:t>明复乐替奈普酶是更有临床事件驱动性质的产品。中报将其定位为急性缺血性卒中治疗，并讨论指南及临床研究进展。对投资而言，医院急救流程、卒中中心覆盖、到院时间和医生选择是关键采用条件。溶栓市场的机会来自治疗渗透率和操作便利性，不应把所有卒中病例等同于适合用药者。出血风险、影像选择与治疗时间窗会限定可治疗人群，未来销量预测需要扣除这些条件。</w:t>
      </w:r>
    </w:p>
    <w:p>
      <w:pPr>
        <w:pStyle w:val="Normal"/>
        <w:rPr/>
      </w:pPr>
      <w:r>
        <w:rPr/>
        <w:t>集团正在开展更长时间窗的注册研究，若成功，有可能扩大临床适用范围。这里的收益来源是未来更多符合条件患者获得治疗，失败路径则是疗效、出血安全性或真实急诊操作不足以支持广泛采用。指南对替奈普酶分子的支持也不等同于每一家商业产品在所有市场自动获得相同许可。国内和国际权益、制剂质量、具体适应症仍需分别核验，本报告没有把指南文字直接转换为全球销售。</w:t>
      </w:r>
    </w:p>
    <w:p>
      <w:pPr>
        <w:pStyle w:val="Normal"/>
        <w:rPr/>
      </w:pPr>
      <w:r>
        <w:rPr/>
        <w:t>神经系统其他产品包括拉考沙胺、普拉克索、帕利哌酮及抗抑郁相关产品。它们有慢病和院外需求，但同质竞争与集采可能限制定价。长期经营质量应看组合更新：具有品牌或剂型差异的产品能否替代被压价品种，并在医院之外保持稳定回款。上半年神经销售高增长为核心盈利修复提供证据，但没有公开逐产品利润和全部净价时，本报告不为单个成熟药编造利润率，也不把领域销售等同于归母净利。</w:t>
      </w:r>
    </w:p>
    <w:p>
      <w:pPr>
        <w:pStyle w:val="Normal"/>
        <w:rPr/>
      </w:pPr>
      <w:r>
        <w:rPr/>
        <w:t>心血管领域上半年收入十点三三亿元，增长百分之十九，涵盖降压、抗血小板及其他品种。人口老龄化提高治疗人数，而长期用药的可负担性与基层覆盖通常更决定量价。仿制和品牌药之间的差异可能被质量、渠道及依从性扩大，也可能被集中采购缩小。石药在这部分的成长应按可取得的产品组合和现金收益审视，不宜仅凭心血管总体市场庞大就采用创新药溢价。</w:t>
      </w:r>
    </w:p>
    <w:p>
      <w:pPr>
        <w:pStyle w:val="Heading2"/>
        <w:rPr/>
      </w:pPr>
      <w:r>
        <w:rPr>
          <w:color w:val="000000"/>
        </w:rPr>
        <w:t>四 肿瘤商业化与改良制剂</w:t>
      </w:r>
    </w:p>
    <w:p>
      <w:pPr>
        <w:pStyle w:val="Normal"/>
        <w:rPr/>
      </w:pPr>
      <w:r>
        <w:rPr/>
        <w:t>现有肿瘤产品上半年收入下降，说明研究阶段的乐观不能遮蔽商业阶段的价格压力。多恩益伊立替康脂质体因医保价格调整受到影响，津优力则在长效升白方案渗透及临床推广下增长。这两个例子展示同一领域可以同时有强销量与弱净价。模型把已批准并销售的产品计入核心经营，但不把公司整个肿瘤管线收入全部放进核心利润；否则再添加研发现值会重复估值。</w:t>
      </w:r>
    </w:p>
    <w:p>
      <w:pPr>
        <w:pStyle w:val="Normal"/>
        <w:rPr/>
      </w:pPr>
      <w:r>
        <w:rPr/>
        <w:t>多恩益新增胰腺癌一线适应症扩大了使用场景。对于胰腺癌，疾病负担高和未满足需求大并不代表所有患者都可以持续接受同样方案，体能状态、联合用药、治疗线数及可承受费用影响收入。改良制剂的竞争还要看疗效优势、实际用药成本和对医生流程的改变。若价格下降大于适应症扩张产生的患者与治疗周期增长，销售额仍可能下降，新适应症的商业价值需要在上市后验证。</w:t>
      </w:r>
    </w:p>
    <w:p>
      <w:pPr>
        <w:pStyle w:val="Normal"/>
        <w:rPr/>
      </w:pPr>
      <w:r>
        <w:rPr/>
        <w:t>津优力的长效升白特点有利于降低给药频率，但支持治疗市场竞争与医保政策持续存在。中报披露上半年增长，不能取消二零二五年集采带来的结构变化。观察时应将高基数、低基数与真实终端需求区分，尤其注意中标后推广费用可能下降，但利润率是否保留取决于价格、生产成本和供应要求。若收入恢复只是低价大量供货而现金毛利没有改善，合理倍数应保持成熟产品水平。</w:t>
      </w:r>
    </w:p>
    <w:p>
      <w:pPr>
        <w:pStyle w:val="Normal"/>
        <w:rPr/>
      </w:pPr>
      <w:r>
        <w:rPr/>
        <w:t>欣柏梓白蛋白结合型紫杉醇的新产品证据包括与传统白蛋白紫杉醇的随机比较。中报引用客观缓解率百分之三十五点八对百分之二十五点八、无进展生存期八点三一对六点八三个月等结果。这些数字提示真实临床差异，但投资者仍应核验完整研究人群、安全性、随访和统计方案。产品效果改善的商业意义取决于医生采用和支付价格，不能从单一疗效指标直接推出产品销售峰值。</w:t>
      </w:r>
    </w:p>
    <w:p>
      <w:pPr>
        <w:pStyle w:val="Normal"/>
        <w:rPr/>
      </w:pPr>
      <w:r>
        <w:rPr/>
        <w:t>恩舒幸属于</w:t>
      </w:r>
      <w:r>
        <w:rPr/>
        <w:t>PD-1</w:t>
      </w:r>
      <w:r>
        <w:rPr/>
        <w:t>治疗产品，主要妇科肿瘤商业应用及联合研究提供进一步成长可能。国内</w:t>
      </w:r>
      <w:r>
        <w:rPr/>
        <w:t>PD-1</w:t>
      </w:r>
      <w:r>
        <w:rPr/>
        <w:t>竞争已十分充分，经济价值需要来自清晰适应症证据及组合方案，而不是靶点名称。若新组合形成差异化，可能提高产品使用范围；但组合成本、渠道协同及新的安全性问题也可能增加。公司的披露中有部分跨研究的临床比较，本报告不会据此认定对所有竞品的头对头优势。</w:t>
      </w:r>
    </w:p>
    <w:p>
      <w:pPr>
        <w:pStyle w:val="Normal"/>
        <w:rPr/>
      </w:pPr>
      <w:r>
        <w:rPr/>
        <w:t>安尼妥单抗</w:t>
      </w:r>
      <w:r>
        <w:rPr/>
        <w:t>KN026</w:t>
      </w:r>
      <w:r>
        <w:rPr/>
        <w:t>与</w:t>
      </w:r>
      <w:r>
        <w:rPr/>
        <w:t>HB1801</w:t>
      </w:r>
      <w:r>
        <w:rPr/>
        <w:t>白蛋白多西他赛组合是较重要的近期研发和商业桥梁。已批准的胃癌适应症有较高证据确定性，乳腺癌的新辅、辅助和一线治疗则属于不同人群、不同时间尺度。本模型将基准日前已销售权益放在核心业务，新增乳腺等适应症单列研发组。即使是相同药物，也不能把已批准产品所有销售按高倍数资本化后，再把同一适应症现金流重复加入研发现值。</w:t>
      </w:r>
    </w:p>
    <w:p>
      <w:pPr>
        <w:pStyle w:val="Normal"/>
        <w:rPr/>
      </w:pPr>
      <w:r>
        <w:rPr/>
        <w:t>KN026</w:t>
      </w:r>
      <w:r>
        <w:rPr/>
        <w:t>与合作方共同开发，国内上市许可、商标、研发运营和经济权益不是完全相同的概念。十月五日公告确认集团对国内已批准适应症具有唯一上市许可持有人身份，但这并不证明集团可以保留每一元产品利润而无需向合作方支付合同成本。因此研发组采用较低的净经济现金率及归母比例，明确是研究假设。完整合同费用和分适应症权益尚未逐项公开核验，不能把这一分组模型称为全额产品</w:t>
      </w:r>
      <w:r>
        <w:rPr/>
        <w:t>DCF</w:t>
      </w:r>
      <w:r>
        <w:rPr/>
        <w:t>。</w:t>
      </w:r>
    </w:p>
    <w:p>
      <w:pPr>
        <w:pStyle w:val="Heading2"/>
        <w:rPr/>
      </w:pPr>
      <w:r>
        <w:rPr>
          <w:color w:val="000000"/>
        </w:rPr>
        <w:t xml:space="preserve">五 </w:t>
      </w:r>
      <w:r>
        <w:rPr>
          <w:color w:val="000000"/>
        </w:rPr>
        <w:t>SYS6010</w:t>
      </w:r>
      <w:r>
        <w:rPr>
          <w:color w:val="000000"/>
        </w:rPr>
        <w:t>与</w:t>
      </w:r>
      <w:r>
        <w:rPr>
          <w:color w:val="000000"/>
        </w:rPr>
        <w:t>JMT101</w:t>
      </w:r>
      <w:r>
        <w:rPr>
          <w:color w:val="000000"/>
        </w:rPr>
        <w:t>的临床证据</w:t>
      </w:r>
    </w:p>
    <w:p>
      <w:pPr>
        <w:pStyle w:val="Normal"/>
        <w:rPr/>
      </w:pPr>
      <w:r>
        <w:rPr/>
        <w:t>SYS6010</w:t>
      </w:r>
      <w:r>
        <w:rPr/>
        <w:t>是</w:t>
      </w:r>
      <w:r>
        <w:rPr/>
        <w:t>EGFR</w:t>
      </w:r>
      <w:r>
        <w:rPr/>
        <w:t>靶向</w:t>
      </w:r>
      <w:r>
        <w:rPr/>
        <w:t>ADC</w:t>
      </w:r>
      <w:r>
        <w:rPr/>
        <w:t>，八月二十六日公告披露在</w:t>
      </w:r>
      <w:r>
        <w:rPr/>
        <w:t>EGFR</w:t>
      </w:r>
      <w:r>
        <w:rPr/>
        <w:t>酪氨酸激酶抑制剂治疗失败的患者中，</w:t>
      </w:r>
      <w:r>
        <w:rPr/>
        <w:t>SYNSTAR-01</w:t>
      </w:r>
      <w:r>
        <w:rPr/>
        <w:t>三期研究达到主要无进展生存期终点。研究随机、开放、多中心，主要终点由独立评审委员会评估。这比早期单臂缓解率提供更强证据，降低了特定适应症的注册风险。不过截至基准日，公告尚未给出完整效应量、置信区间和全部不良事件，不应将“总生存期获益趋势”改写为已证明显著延长总生存期。</w:t>
      </w:r>
    </w:p>
    <w:p>
      <w:pPr>
        <w:pStyle w:val="Normal"/>
        <w:rPr/>
      </w:pPr>
      <w:r>
        <w:rPr/>
        <w:t>这一产品的潜在价值来自耐药后的未满足需求及多个肿瘤的</w:t>
      </w:r>
      <w:r>
        <w:rPr/>
        <w:t>EGFR</w:t>
      </w:r>
      <w:r>
        <w:rPr/>
        <w:t>表达，但表达广泛不等于所有患者都能受益。</w:t>
      </w:r>
      <w:r>
        <w:rPr/>
        <w:t>ADC</w:t>
      </w:r>
      <w:r>
        <w:rPr/>
        <w:t>的治疗窗口由抗体结合、载荷、连接子、内化及正常组织暴露共同决定。拓扑异构酶载荷同类竞争、间质性肺病等风险以及后续治疗顺序都可能影响采用。研发现值的基准成功假设高于早期项目，仍保留失败概率，也没有把所有癌症病人一次性计入可销售规模。</w:t>
      </w:r>
    </w:p>
    <w:p>
      <w:pPr>
        <w:pStyle w:val="Normal"/>
        <w:rPr/>
      </w:pPr>
      <w:r>
        <w:rPr/>
        <w:t>九月十四日公布的</w:t>
      </w:r>
      <w:r>
        <w:rPr/>
        <w:t>SYS6010</w:t>
      </w:r>
      <w:r>
        <w:rPr/>
        <w:t>联合恩朗苏拜单抗研究有一百二十三名参与者，中位随访十点八个月，两个给药方案总人群缓解率分别百分之五十八点九和百分之四十九点二。这里的随机比较主要是两种给药方案，不能误当作相对于标准治疗的三期疗效胜出。两组三级以上治疗相关不良事件分别约一半，停药比例约百分之八至十，安全性负担必须与疗效一起评价。</w:t>
      </w:r>
    </w:p>
    <w:p>
      <w:pPr>
        <w:pStyle w:val="Normal"/>
        <w:rPr/>
      </w:pPr>
      <w:r>
        <w:rPr/>
        <w:t>PD-L1</w:t>
      </w:r>
      <w:r>
        <w:rPr/>
        <w:t>高表达亚组缓解率较高，可能帮助选择未来研究人群，但亚组人数、预设性及多重比较会影响可信度。早期结果为三期设计提供依据，不能直接证明产品在一线所有肺癌患者中优于现有方案。对于估值，选择人群越精确，成功机会可能提高，潜在市场人数却缩小。模型不允许同时使用最优亚组的疗效与未经筛选的最大患者市场，这是常见的创新药价值高估来源。</w:t>
      </w:r>
    </w:p>
    <w:p>
      <w:pPr>
        <w:pStyle w:val="Normal"/>
        <w:rPr/>
      </w:pPr>
      <w:r>
        <w:rPr/>
        <w:t>JMT101</w:t>
      </w:r>
      <w:r>
        <w:rPr/>
        <w:t>贝柯妥塔单抗联合奥希替尼的</w:t>
      </w:r>
      <w:r>
        <w:rPr/>
        <w:t>EGFR</w:t>
      </w:r>
      <w:r>
        <w:rPr/>
        <w:t>二十号外显子插入突变一线三期在九月二十四日披露阳性顶线。其比较对象为含铂联合培美曲塞，主要终点为独立审查</w:t>
      </w:r>
      <w:r>
        <w:rPr/>
        <w:t>PFS</w:t>
      </w:r>
      <w:r>
        <w:rPr/>
        <w:t>。非化疗双靶向方案具有明确临床目的，但该人群与经典</w:t>
      </w:r>
      <w:r>
        <w:rPr/>
        <w:t>EGFR</w:t>
      </w:r>
      <w:r>
        <w:rPr/>
        <w:t>突变不同，不能套用经典突变占肺癌的比例。其他肺癌及结直肠研究尚在推进，本报告对增量适应症使用分组假设，不视为全部已经获批。</w:t>
      </w:r>
    </w:p>
    <w:p>
      <w:pPr>
        <w:pStyle w:val="Normal"/>
        <w:rPr/>
      </w:pPr>
      <w:r>
        <w:rPr/>
        <w:t>SYS6010</w:t>
      </w:r>
      <w:r>
        <w:rPr/>
        <w:t>与</w:t>
      </w:r>
      <w:r>
        <w:rPr/>
        <w:t>JMT101</w:t>
      </w:r>
      <w:r>
        <w:rPr/>
        <w:t>都受益于集团肺癌临床和商业运营能力，也共享竞争及政策风险。它们的价值并非独立的彩票：若监管对中国临床数据、特定比较方案或产品制造要求发生变化，多个资产可能一起被重估。乐观情景提高两组成功率，是假定证据和准入共同改善，而不是根据项目数量推导成功必然性。悲观情景则同时降低商业规模、净现金率和估值，反映相关风险。</w:t>
      </w:r>
    </w:p>
    <w:p>
      <w:pPr>
        <w:pStyle w:val="Heading2"/>
        <w:rPr/>
      </w:pPr>
      <w:r>
        <w:rPr>
          <w:color w:val="000000"/>
        </w:rPr>
        <w:t>六 代谢 核酸与国际授权平台</w:t>
      </w:r>
    </w:p>
    <w:p>
      <w:pPr>
        <w:pStyle w:val="Normal"/>
        <w:rPr/>
      </w:pPr>
      <w:r>
        <w:rPr/>
        <w:t>TG103</w:t>
      </w:r>
      <w:r>
        <w:rPr/>
        <w:t>依达格鲁肽</w:t>
      </w:r>
      <w:r>
        <w:rPr/>
        <w:t>α</w:t>
      </w:r>
      <w:r>
        <w:rPr/>
        <w:t>为每周给药的</w:t>
      </w:r>
      <w:r>
        <w:rPr/>
        <w:t>GLP-1</w:t>
      </w:r>
      <w:r>
        <w:rPr/>
        <w:t>受体激动剂，国内三期对照度拉糖肽。九月三十日公告提供六百三十二名二甲双胍控制不佳患者的随机试验，二十八周降糖达非劣效，十五毫克组</w:t>
      </w:r>
      <w:r>
        <w:rPr/>
        <w:t>HbA1c</w:t>
      </w:r>
      <w:r>
        <w:rPr/>
        <w:t>较基线下降一点三八个百分点。这支持糖尿病适应症的注册逻辑，但并非与最新双靶点减重药物的优效比较，更不能据此推出全球减肥市场的领先地位。糖尿病和体重管理的临床、支付及竞争应分别估值。</w:t>
      </w:r>
    </w:p>
    <w:p>
      <w:pPr>
        <w:pStyle w:val="Normal"/>
        <w:rPr/>
      </w:pPr>
      <w:r>
        <w:rPr/>
        <w:t>TG103</w:t>
      </w:r>
      <w:r>
        <w:rPr/>
        <w:t>在五十二周继续显示降糖效果，但体重变化、心血管结局及肾脏获益需独立证据。成熟</w:t>
      </w:r>
      <w:r>
        <w:rPr/>
        <w:t>GLP-1</w:t>
      </w:r>
      <w:r>
        <w:rPr/>
        <w:t>市场已有疗效、便利性、生产和支付优势明显的产品。新进入者可能通过可负担价格和本地渠道获得销量，也可能因竞争而形成较低利润。模型基准国内销售峰值十五亿元和净经济现金率百分之十七是明确假设，不能解释为公司指引，也没有把</w:t>
      </w:r>
      <w:r>
        <w:rPr/>
        <w:t>TG103</w:t>
      </w:r>
      <w:r>
        <w:rPr/>
        <w:t>与海外长效体重管理组合混为同一项资产。</w:t>
      </w:r>
    </w:p>
    <w:p>
      <w:pPr>
        <w:pStyle w:val="Normal"/>
        <w:rPr/>
      </w:pPr>
      <w:r>
        <w:rPr/>
        <w:t>二零二六年一月的阿斯利康长效多肽合作包括每月一次体重管理产品组合，授权海外范围排除中国内地及港澳台。中报及年报披露首付十二亿美元、最高三十五亿美元研发里程碑、最高一百三十八亿美元销售里程碑和分层销售提成。数字巨大主要因为覆盖多个项目和未来商业条件，不能把合同上限当作公司已经拥有的净现金，亦不能把全部里程碑以同样高概率计算。</w:t>
      </w:r>
    </w:p>
    <w:p>
      <w:pPr>
        <w:pStyle w:val="Normal"/>
        <w:rPr/>
      </w:pPr>
      <w:r>
        <w:rPr/>
        <w:t>五月二十九日已经收到十二亿美元首付，这提高了研发资金确定性。然而中报收入附注明确，八点四亿美元在控制权转移时确认为收入，余下三点六亿美元在若干条件下可退，计入其他应付款。管理层预计不会退还是一项经营判断，并未取消合同负债。模型从超额现金中全额预留这部分，直至条件核验和履约更加明确，避免对尚需服务或可能退款的资金使用普通股可分配现金估值。</w:t>
      </w:r>
    </w:p>
    <w:p>
      <w:pPr>
        <w:pStyle w:val="Normal"/>
        <w:rPr/>
      </w:pPr>
      <w:r>
        <w:rPr/>
        <w:t>长效给药的临床优势需要证明在足够疗效、耐受性和剂量调整之间取得平衡。给药间隔更长可能改善依从性，也可能使不良反应处置或停药更困难，生产稳定性与释放曲线会影响效果。早期药物在全球竞争中仍要与已有周制剂、口服制剂及多靶点疗法比较。海外伙伴的投入是价值信号，不能替代未来随机临床和商业采购，乐观情景因此仍未使用接近百分之百的成功率。</w:t>
      </w:r>
    </w:p>
    <w:p>
      <w:pPr>
        <w:pStyle w:val="Normal"/>
        <w:rPr/>
      </w:pPr>
      <w:r>
        <w:rPr/>
        <w:t>七月</w:t>
      </w:r>
      <w:r>
        <w:rPr/>
        <w:t>siRNA</w:t>
      </w:r>
      <w:r>
        <w:rPr/>
        <w:t>合作针对两个肾病靶点，首付三千万美元已于八月收到，另有最高五点四亿美元研发和十二亿美元销售里程碑、个位数销售提成。公开公告表明其中一个候选项目保留中国权益，另一个的全球或境外范围取决于适用条件。这说明不能把所有国内权益默认保留。肝外递送是潜在差异化来源，仍属于临床前至早期技术风险，本报告未把高合同额解释为即期产品市场规模。</w:t>
      </w:r>
    </w:p>
    <w:p>
      <w:pPr>
        <w:pStyle w:val="Normal"/>
        <w:rPr/>
      </w:pPr>
      <w:r>
        <w:rPr/>
        <w:t>海外小分子、</w:t>
      </w:r>
      <w:r>
        <w:rPr/>
        <w:t>Lp(a)</w:t>
      </w:r>
      <w:r>
        <w:rPr/>
        <w:t>和其他合作有不同机制与证据进度。二零二五年年报披露</w:t>
      </w:r>
      <w:r>
        <w:rPr/>
        <w:t>AI</w:t>
      </w:r>
      <w:r>
        <w:rPr/>
        <w:t>小分子合作首付一点一亿美元及分阶段里程碑，另有</w:t>
      </w:r>
      <w:r>
        <w:rPr/>
        <w:t>Madrigal</w:t>
      </w:r>
      <w:r>
        <w:rPr/>
        <w:t>的</w:t>
      </w:r>
      <w:r>
        <w:rPr/>
        <w:t>SYH2086</w:t>
      </w:r>
      <w:r>
        <w:rPr/>
        <w:t>全球权益合作。它们为平台提供重复合作的证据，但一个产品的临床风险不能用其他产品首付来抵消。现值模型将部分海外合同合成一个资产组以公开假设，属于资料不足下的简化；完善版需要逐药分离权益、成功率、时点和经营成本。</w:t>
      </w:r>
    </w:p>
    <w:p>
      <w:pPr>
        <w:pStyle w:val="Normal"/>
        <w:rPr/>
      </w:pPr>
      <w:r>
        <w:rPr/>
        <w:t>Lp(a)</w:t>
      </w:r>
      <w:r>
        <w:rPr/>
        <w:t>领域还面临从生物标志物降低到临床结局改善的转化问题。里昂九月报告讨论其他公司结果研究的市场影响，并转述石药项目仍在推进。生物学因果、终身暴露与晚期干预效果可以不同，既不能因为同机制外部研究受挫就认定全部项目失败，也不能忽略临床结局风险。海外组较低成功权重反映这一点，本报告不根据新闻标题把</w:t>
      </w:r>
      <w:r>
        <w:rPr/>
        <w:t>Lp(a)</w:t>
      </w:r>
      <w:r>
        <w:rPr/>
        <w:t>价值清零或无条件恢复。</w:t>
      </w:r>
    </w:p>
    <w:p>
      <w:pPr>
        <w:pStyle w:val="Heading2"/>
        <w:rPr/>
      </w:pPr>
      <w:r>
        <w:rPr>
          <w:color w:val="000000"/>
        </w:rPr>
        <w:t xml:space="preserve">七 </w:t>
      </w:r>
      <w:r>
        <w:rPr>
          <w:color w:val="000000"/>
        </w:rPr>
        <w:t>mRNA ADC</w:t>
      </w:r>
      <w:r>
        <w:rPr>
          <w:color w:val="000000"/>
        </w:rPr>
        <w:t>其他资产及制造国际化</w:t>
      </w:r>
    </w:p>
    <w:p>
      <w:pPr>
        <w:pStyle w:val="Normal"/>
        <w:rPr/>
      </w:pPr>
      <w:r>
        <w:rPr/>
        <w:t>集团</w:t>
      </w:r>
      <w:r>
        <w:rPr/>
        <w:t>mRNA</w:t>
      </w:r>
      <w:r>
        <w:rPr/>
        <w:t>平台包括治疗性疫苗、感染预防和体内细胞治疗探索。肿瘤疫苗的价值取决于抗原选择、免疫反应、肿瘤逃逸以及与标准治疗的配合，早期免疫信号或个别缓解不足以证明生存获益。高盛公开转述将</w:t>
      </w:r>
      <w:r>
        <w:rPr/>
        <w:t>mRNA</w:t>
      </w:r>
      <w:r>
        <w:rPr/>
        <w:t>列为亮点，但没有提供可用于本报告完整现金流估值的所有数据。因此本模型没有另外增加一个无限平台终值，相关机会作为经营长期展望保留，避免在多个名目下重复计价。</w:t>
      </w:r>
    </w:p>
    <w:p>
      <w:pPr>
        <w:pStyle w:val="Normal"/>
        <w:rPr/>
      </w:pPr>
      <w:r>
        <w:rPr/>
        <w:t>SYS6002</w:t>
      </w:r>
      <w:r>
        <w:rPr/>
        <w:t>的宫颈癌早期数据在十月八日已经公开，两个剂量组分别三十九和四十三人，中位随访十六点一个月。确认缓解率约百分之三十五点九及百分之二十八点六，无进展生存期约四个月，并报告眼部、皮疹及周围神经等安全性信息。这些数据支持继续开发，但单臂或剂量组结果不能替代三期标准治疗比较。本报告没有在半年目标中把这一项目当作必然商业成功，也不把未出现三级眼部事件解释为完全不存在毒性风险。</w:t>
      </w:r>
    </w:p>
    <w:p>
      <w:pPr>
        <w:pStyle w:val="Normal"/>
        <w:rPr/>
      </w:pPr>
      <w:r>
        <w:rPr/>
        <w:t>十月五日披露</w:t>
      </w:r>
      <w:r>
        <w:rPr/>
        <w:t>ESMO</w:t>
      </w:r>
      <w:r>
        <w:rPr/>
        <w:t>将展示八项进展，其中两个突破性摘要，会议计划在十月二十三至二十七日举行。基准日能使用的是已公布的研究类型、先前阳性结论与预告，不能使用未来会场完整结果。优选口头报告、快速口头报告和壁报的选择有学术意义，仍不是审批结论。短期催化评分较高，正是因为未来信息可能改变价值；如果结果不如预期，也可能形成卖出事实式波动。</w:t>
      </w:r>
    </w:p>
    <w:p>
      <w:pPr>
        <w:pStyle w:val="Normal"/>
        <w:rPr/>
      </w:pPr>
      <w:r>
        <w:rPr/>
        <w:t>其他</w:t>
      </w:r>
      <w:r>
        <w:rPr/>
        <w:t>ADC</w:t>
      </w:r>
      <w:r>
        <w:rPr/>
        <w:t>如</w:t>
      </w:r>
      <w:r>
        <w:rPr/>
        <w:t>B7-H3</w:t>
      </w:r>
      <w:r>
        <w:rPr/>
        <w:t>、</w:t>
      </w:r>
      <w:r>
        <w:rPr/>
        <w:t>FRα</w:t>
      </w:r>
      <w:r>
        <w:rPr/>
        <w:t>和不同靶点提供适应症扩展，但项目数量增加同时要求更多临床预算。具备相同载荷或连接子平台可以提高开发效率，也可能共享安全性缺陷。投资者应看每年投入能否产生更高质量的候选药及后续合作，而不是单纯统计研究数量。若研发预算向太多项目分散，优先项目延迟可能使所有资产现值降低，公司应以终止低价值项目和集中资源的能力证明资本纪律。</w:t>
      </w:r>
    </w:p>
    <w:p>
      <w:pPr>
        <w:pStyle w:val="Normal"/>
        <w:rPr/>
      </w:pPr>
      <w:r>
        <w:rPr/>
        <w:t>八月与阿斯利康签署合资合同建设生物制剂原液基地，石药持股百分之五十一，阿斯利康百分之四十九，仍需监管等交割条件。它可能提高全球质量认证、供应链和产业化经验，但不等于已有长期订单和立即盈利。新基地的建设现金、爬坡利用率、验证和供应合同都需要后续核验。模型预留经营与资本投入资金，未另外把全部合资产能按满负荷收入资本化。</w:t>
      </w:r>
    </w:p>
    <w:p>
      <w:pPr>
        <w:pStyle w:val="Normal"/>
        <w:rPr/>
      </w:pPr>
      <w:r>
        <w:rPr/>
        <w:t>制造国际化对石药有两种作用。第一是支持自有复杂制剂出海，第二是给海外合作方提供可靠供应。两者的回报率不同，纯制造通常需要较多资本和较低毛利，而自有知识产权可以分享产品经济利益。如果合同要求大额先行建设而采购量不确定，集团可能拥有漂亮的技术合作叙事却降低自由现金流。未来评估必须以已签采购、验证进度和资金投入判断，不能只根据跨国伙伴名称授予高估值。</w:t>
      </w:r>
    </w:p>
    <w:p>
      <w:pPr>
        <w:pStyle w:val="Heading2"/>
        <w:rPr/>
      </w:pPr>
      <w:r>
        <w:rPr>
          <w:color w:val="000000"/>
        </w:rPr>
        <w:t>八 财务质量与利润归属</w:t>
      </w:r>
    </w:p>
    <w:p>
      <w:pPr>
        <w:pStyle w:val="Normal"/>
        <w:rPr/>
      </w:pPr>
      <w:r>
        <w:rPr/>
        <w:t>上半年毛利一百四十一点六一亿元，毛利率约百分之七十六点二，较去年提高约十点六个百分点。高毛利授权收入是主要结构变化，不能假定全部产品毛利同步提高。销售费用三十二点九一亿元、研发三十点二九亿元、行政四点八八亿元，分别继续上升。产品增长与费用增长的比较，才是正常利润是否恢复的有效线索，收入中授权比例上升会使集团费用率看上去显著改善而产品经营并未同幅改善。</w:t>
      </w:r>
    </w:p>
    <w:p>
      <w:pPr>
        <w:pStyle w:val="Normal"/>
        <w:rPr/>
      </w:pPr>
      <w:r>
        <w:rPr/>
        <w:t>公司披露的“基本利润”六十一点六四亿元主要剔除公允价值变化及股份薪酬等，并没有剔除大额授权。它是一项管理层非会计指标，不能作为正常药品利润直接乘高</w:t>
      </w:r>
      <w:r>
        <w:rPr/>
        <w:t>PE</w:t>
      </w:r>
      <w:r>
        <w:rPr/>
        <w:t>。研究还需要保留股份薪酬的真实经济成本，区分现金、税及归母；仅把非现金费用加回可能提高表面盈利而忽略对股东的长期成本。核心</w:t>
      </w:r>
      <w:r>
        <w:rPr/>
        <w:t>EPS</w:t>
      </w:r>
      <w:r>
        <w:rPr/>
        <w:t>采用较低水平，是对持续经营和未来产品恢复的假设，不是直接机械年化这一管理层数字。</w:t>
      </w:r>
    </w:p>
    <w:p>
      <w:pPr>
        <w:pStyle w:val="Normal"/>
        <w:rPr/>
      </w:pPr>
      <w:r>
        <w:rPr/>
        <w:t>税前集团利润七十五点二九亿元，税项十点六九亿元，集团净利润六十四点六零亿元，归母六十点九四亿元，少数股东三点六六亿元。授权收入如果发生在非全资子公司，合并利润和普通股东收益并不相同。中报资料无法完整提供所有项目的税与少数权益归属，本模型对研发组使用独立归母经济比例并对现金作折扣。它们属于保守或进取情景假设，不能标成法定持股百分比。</w:t>
      </w:r>
    </w:p>
    <w:p>
      <w:pPr>
        <w:pStyle w:val="Normal"/>
        <w:rPr/>
      </w:pPr>
      <w:r>
        <w:rPr/>
        <w:t>二零二五年的归母利润三十八点八二亿元，高于基本利润三十五点三四亿元，原因包括公允价值收益和股份薪酬冲回。二零二六年上半年则相反，股份薪酬费用较多。两期直接比较“调整后利润”可能因处理方法改变而失真。历史盈利质量要同时查看报告利润、调整表、授权收入和现金流，才不会把一次性首付、投资收益或薪酬冲回当作产品商业化改善。</w:t>
      </w:r>
    </w:p>
    <w:p>
      <w:pPr>
        <w:pStyle w:val="Normal"/>
        <w:rPr/>
      </w:pPr>
      <w:r>
        <w:rPr/>
        <w:t>经营现金流上半年一百零八点九零亿元，远高于去年同期三十一点八七亿元，显示首付实际收款对资金的帮助。但这不是成熟产品重复产生同样现金的证明。十二亿美元首付相当于中报记账人民币八十二点零零亿元，其中部分附条件尚未成为收入。若未来几年没有同规模新首付，经营现金流同比可能大幅下降，即使产品业务正常增长，投资者也应以资金用途和持续自由现金判断价值。</w:t>
      </w:r>
    </w:p>
    <w:p>
      <w:pPr>
        <w:pStyle w:val="Normal"/>
        <w:rPr/>
      </w:pPr>
      <w:r>
        <w:rPr/>
        <w:t>贸易应收五十三点八九亿元，比年末四十七点七九亿元增加；票据应收则从三十五点八一亿元降至十九点八五亿元，存货略降。不能仅根据贸易应收上升就断言回款恶化，因为票据、销售结构和授权都会改变营运资本。更有用的是合并观察应收及票据、账龄、终端销售和经营现金扣除授权后的情况。报告未提供完整正常经营现金拆分，本报告明确缺失，不借大额首付掩盖营运资本问题。</w:t>
      </w:r>
    </w:p>
    <w:p>
      <w:pPr>
        <w:pStyle w:val="Normal"/>
        <w:rPr/>
      </w:pPr>
      <w:r>
        <w:rPr/>
        <w:t>上半年现金购置固定资产七点六五亿元，无形资产二点九零亿元，另有使用权和对联营投资等支出。研发大部分已计费用，但取得外部技术和制造能力的现金还可能在投资活动体现。自由现金流不宜只用经营现金减固定资产而遗漏无形资产、持续投资及股息。长期模型保留四十亿元资金缓冲，体现项目、基地建设及营运需求，具体未来年度资本开支尚需进一步细分。</w:t>
      </w:r>
    </w:p>
    <w:p>
      <w:pPr>
        <w:pStyle w:val="Heading2"/>
        <w:rPr/>
      </w:pPr>
      <w:r>
        <w:rPr>
          <w:color w:val="000000"/>
        </w:rPr>
        <w:t>九 现金 股数与分红桥</w:t>
      </w:r>
    </w:p>
    <w:p>
      <w:pPr>
        <w:pStyle w:val="Normal"/>
        <w:rPr/>
      </w:pPr>
      <w:r>
        <w:rPr/>
        <w:t>六月末银行存款、结余及现金合计一百四十一点七七亿元，其中现金等价物九十六点六六亿元，其余为定存和受限制资金。结构性银行存款八十四点八六亿元另列，不能与银行总额重复叠加，也不能等同于现金等价物。银行债四点零三亿元，租赁约二点四九亿元，债务相对现金低，这为持续研发提供弹性。现金多的意义在于避免被迫融资，最终股东价值仍取决于未来资金配置。</w:t>
      </w:r>
    </w:p>
    <w:p>
      <w:pPr>
        <w:pStyle w:val="Normal"/>
        <w:rPr/>
      </w:pPr>
      <w:r>
        <w:rPr/>
        <w:t>现金桥从银行现金中扣除一点二五亿元限制资金，将结构存款按百分之九十八回收，再扣借款、租赁、可退首付二十四点六零亿元、基准日前已除净末期息十四点八亿元和四十亿元经营资本缓冲。下半年已核验收到的三笔款项合计六千五百万美元按假设汇率加入，最后乘百分之九十五归母折扣，得到一百三十五点一九亿元初始归母超额现金。每一项折扣和缓冲均属于研究口径，不是财报直接披露的普通股可分配余额。</w:t>
      </w:r>
    </w:p>
    <w:p>
      <w:pPr>
        <w:pStyle w:val="Normal"/>
        <w:rPr/>
      </w:pPr>
      <w:r>
        <w:rPr/>
        <w:t>这条现金桥没有假称已知十月九日资产负债。六月至十月之间仍有经营、研发、资本和派息流动，仅有部分收款公告可以核验。目标日现金为悲、基、乐三组综合假设，未来现金变动包括核心经营、研发资产已兑现现金、投资、融资和分红，不是完整逐年资金预算。相关限制降低模型可信度，但保留透明桥比把六月集团净现金当成十月全部归母价值更合理，完善研究将逐项缩小这一不确定性。</w:t>
      </w:r>
    </w:p>
    <w:p>
      <w:pPr>
        <w:pStyle w:val="Normal"/>
        <w:rPr/>
      </w:pPr>
      <w:r>
        <w:rPr/>
        <w:t>九月底已发行一百一十五点二二亿股，无库存股份，与六月股数一致。上半年信托购买四千六百一十七点八万股，用于股份奖励而非注销。此类购买会消耗现金并支持员工激励，不能视为永久减少全部已发行股本。每股基本盈利的加权股数调整了信托持股，估值目标则需看实际稀释后经济股数；两个分母不同是合法会计与研究口径差异，不能混用提高每股价值。</w:t>
      </w:r>
    </w:p>
    <w:p>
      <w:pPr>
        <w:pStyle w:val="Normal"/>
        <w:rPr/>
      </w:pPr>
      <w:r>
        <w:rPr/>
        <w:t>二零二六年购股权计划有百分之十额度，不代表全部额度已授出并马上稀释。未来模型的股数增加是对净稀释、可能回购及奖励归属的情景假设，不能把法定可授额度当作已产生负债。公司若大量低价授予股份、在高价回购后送员工，普通股经济权益会受到影响，即使法定股份没有显著改变。治理评价应看授予条件、考核与资本效率，不能只看回购新闻。</w:t>
      </w:r>
    </w:p>
    <w:p>
      <w:pPr>
        <w:pStyle w:val="Normal"/>
        <w:rPr/>
      </w:pPr>
      <w:r>
        <w:rPr/>
        <w:t>零点一八港元中期股息在十月二十日除净，十一月十日支付，记录日十月二十六日。基准日买入且持有跨除净的投资者有资格领取，故年底及半年累计息均包含这一笔。旧零点一五港元末期息在基准日前除净，排除基准后收益。分红会减少公司现金和除净股价，不能既把未来现金保留在目标价中又把同一股息无条件相加；模型将累计息从目标现金桥中扣除，另列投资者总回报。</w:t>
      </w:r>
    </w:p>
    <w:p>
      <w:pPr>
        <w:pStyle w:val="Heading2"/>
        <w:rPr/>
      </w:pPr>
      <w:r>
        <w:rPr>
          <w:color w:val="000000"/>
        </w:rPr>
        <w:t>十 半年</w:t>
      </w:r>
      <w:r>
        <w:rPr>
          <w:color w:val="000000"/>
        </w:rPr>
        <w:t>K</w:t>
      </w:r>
      <w:r>
        <w:rPr>
          <w:color w:val="000000"/>
        </w:rPr>
        <w:t>线与量能</w:t>
      </w:r>
    </w:p>
    <w:p>
      <w:pPr>
        <w:pStyle w:val="Normal"/>
        <w:rPr/>
      </w:pPr>
      <w:r>
        <w:rPr/>
        <w:t>日线历史覆盖二零二三年十月九日至二零二六年十月九日，共七百三十九个交易日，以基准日名义价格归一的复权</w:t>
      </w:r>
      <w:r>
        <w:rPr/>
        <w:t>OHLC</w:t>
      </w:r>
      <w:r>
        <w:rPr/>
        <w:t>计算。二十、六十、一百二十和二百五十日均线分别九点三七、九点零四八、八点三三一和八点四八六港元。现价在二十日线下约百分之三，但略高六十日线，较一百二十日和二百五十日高约百分之九点一及七点一。结构是中期恢复中的短线回调，不能称各周期全面多头。</w:t>
      </w:r>
    </w:p>
    <w:p>
      <w:pPr>
        <w:pStyle w:val="Normal"/>
        <w:rPr/>
      </w:pPr>
      <w:r>
        <w:rPr/>
        <w:t>四条均线五日斜率均为正，六十日线约上升百分之一点二四，二十日线约百分之零点七四。均线向上反映此前一段上涨的惯性，现价跌到二十日线下和六十日附近则说明近期买方优势减弱。若价格在六十日线附近缩量稳定并重新站上二十日线，可作为反弹持续的观察证据；若放量跌破并多日不能收回，半年技术分应下降。均线不是精确价值锚，其突破需与行情和临床消息一起核验。</w:t>
      </w:r>
    </w:p>
    <w:p>
      <w:pPr>
        <w:pStyle w:val="Normal"/>
        <w:rPr/>
      </w:pPr>
      <w:r>
        <w:rPr/>
        <w:t>基准日开九点三四五、最高九点三五五、最低八点九一、收九点零八五，跌百分之二点一五，日内靠近六十日线。成交量九千二百二十五万股，成交额约八点四七亿港元，量比按二十日均量约一点二三倍。下跌伴略高平均量，提示卖压值得关注，但单日不能证明机构撤退。没有逐笔与持仓数据，本报告不会用成交量图断言主力吸筹或洗盘，量价只能描述交易结构。</w:t>
      </w:r>
    </w:p>
    <w:p>
      <w:pPr>
        <w:pStyle w:val="Normal"/>
        <w:rPr/>
      </w:pPr>
      <w:r>
        <w:rPr/>
        <w:t>五、二十和六十日平均成交量分别约五千五百三十七万、七千二百零四万和八千九百五十七万股。近期五日量明显低于六十日，说明前期事件交易热度下降；当日再放量下跌，需观察是否只是个别消息反应或开始持续分配。最近二十日上涨日和下跌日各十天，上涨日累计量约八点一四亿股、下跌约六点二六亿股，比例一点三。这个阶段仍有买方参与，不能用单日负面表现抹去整个区间结构。</w:t>
      </w:r>
    </w:p>
    <w:p>
      <w:pPr>
        <w:pStyle w:val="Normal"/>
        <w:rPr/>
      </w:pPr>
      <w:r>
        <w:rPr/>
        <w:t>当日量除以九月底全部已发行股本约百分之零点八零，属于粗略全股本成交比例。它不是按自由流通股份计算的正式换手率，也没有剔除员工信托或大股东持股，不应拿来与不同口径小盘股直接比较。成交额能够说明流动性较充足，但大额交易仍可能影响价格。港股卖空比例及借券数据若使用，必须核验具体日期和算法，本报告没有把新闻页面随实时变动的卖空字段当成历史固定证据。</w:t>
      </w:r>
    </w:p>
    <w:p>
      <w:pPr>
        <w:pStyle w:val="Normal"/>
        <w:rPr/>
      </w:pPr>
      <w:r>
        <w:rPr/>
        <w:t>最近二十日区间低点八点五二、最高十点一六港元，现价到前者约下降百分之六点二，到后者约上升百分之十一点八；六十日区间七点九七至十点一七。它们是机械区间极值，未完成反复触碰验证，故叫观察区间而非必然支撑。半年风险监测可以先看九点零五附近的均线，再看八点五二及七点九七能否承接，突破观察则是九点三七和十点一六附近的量价持续性。</w:t>
      </w:r>
    </w:p>
    <w:p>
      <w:pPr>
        <w:pStyle w:val="Normal"/>
        <w:rPr/>
      </w:pPr>
      <w:r>
        <w:rPr/>
        <w:t>五十二周归一复权高点约十点七二、低点六点三九，现价距高点约负百分之十五点二，较低点高百分之四十二点二。年内最大回撤约百分之三十六点四，表明即使成熟药企现金多，股价仍可能剧烈波动。低点反弹幅度大不意味着已经昂贵，高点回落也不证明便宜；价格需要与正常盈利及研发权益相对照。悲观目标低于历史区间，是经营和估值同时恶化的情景，历史低点并不构成最大损失保证。</w:t>
      </w:r>
    </w:p>
    <w:p>
      <w:pPr>
        <w:pStyle w:val="Normal"/>
        <w:rPr/>
      </w:pPr>
      <w:r>
        <w:rPr/>
        <w:t>RSI</w:t>
      </w:r>
      <w:r>
        <w:rPr/>
        <w:t>十四日约四十四点三，未到极端超卖；</w:t>
      </w:r>
      <w:r>
        <w:rPr/>
        <w:t>MACD</w:t>
      </w:r>
      <w:r>
        <w:rPr/>
        <w:t>差值仍正但低于信号线，柱值为负，反映上涨动能减弱。</w:t>
      </w:r>
      <w:r>
        <w:rPr/>
        <w:t>ATR</w:t>
      </w:r>
      <w:r>
        <w:rPr/>
        <w:t>十四日约零点三九二港元，相当于现价百分之四点三，一天普通波动就可能覆盖部分半年基准涨幅。辅助指标不重复加分，它们都主要来自同一价格序列。若交易计划只依赖几百分点的估值空间，应认识到波动噪声足以使入场时点差异显著改变体验。</w:t>
      </w:r>
    </w:p>
    <w:p>
      <w:pPr>
        <w:pStyle w:val="Normal"/>
        <w:rPr/>
      </w:pPr>
      <w:r>
        <w:rPr/>
        <w:t>周线二十、六十及一百二十周均线分别约八点四零二、八点六四五和七点一九三港元，现价高于三者，但六十周均线斜率略负。周</w:t>
      </w:r>
      <w:r>
        <w:rPr/>
        <w:t>RSI</w:t>
      </w:r>
      <w:r>
        <w:rPr/>
        <w:t>约五十三点八，</w:t>
      </w:r>
      <w:r>
        <w:rPr/>
        <w:t>MACD</w:t>
      </w:r>
      <w:r>
        <w:rPr/>
        <w:t>柱正，说明中期结构较日线强；同时过去六十周价格回报仍为负，不能称长期趋势完全反转。只有三年日线不足以形成二百五十周均线，模型保留空值，不补造更长历史，以避免技术证据虚假完整。</w:t>
      </w:r>
    </w:p>
    <w:p>
      <w:pPr>
        <w:pStyle w:val="Normal"/>
        <w:rPr/>
      </w:pPr>
      <w:r>
        <w:rPr/>
        <w:t>二十日复权回报百分之三点五九，六十日百分之五点六四，分别较恒生指数高六点五七和八点八三个百分点。它说明近期相对大盘强，无法证明相对医药行业领先，因为医药细分日线基准尚缺。行情总表的石药条目曾出现恒生科技作为行业参考，这是不适用匹配，本报告明确剔除。医药与科技在同一时期风险偏好不同，使用错误行业指数会夸大或缩小相对强弱。</w:t>
      </w:r>
    </w:p>
    <w:p>
      <w:pPr>
        <w:pStyle w:val="Normal"/>
        <w:rPr/>
      </w:pPr>
      <w:r>
        <w:rPr/>
        <w:t>日线价格和近期复权跨腾讯、雅虎核对一致，成交量单位按股核验，报价量和独立日线比例为一。分红事件已记录，复权趋势与名义年底价格的作用不同：前者用于历史可比，后者代表目标日预计交易价。基准前股息不会在投资回报中再相加，基准后股息另列。技术失效条件包括持续跌破关键观察区间、跌日量持续大于涨日量，或临床事件造成价格缺口并改变基本面模型，而非任意单日穿线。</w:t>
      </w:r>
    </w:p>
    <w:p>
      <w:pPr>
        <w:pStyle w:val="Heading2"/>
        <w:rPr/>
      </w:pPr>
      <w:r>
        <w:rPr>
          <w:color w:val="000000"/>
        </w:rPr>
        <w:t>十一 估值模型与资产组假设</w:t>
      </w:r>
    </w:p>
    <w:p>
      <w:pPr>
        <w:pStyle w:val="Normal"/>
        <w:rPr/>
      </w:pPr>
      <w:r>
        <w:rPr/>
        <w:t>核心目标价采用“正常产品</w:t>
      </w:r>
      <w:r>
        <w:rPr/>
        <w:t>EPS</w:t>
      </w:r>
      <w:r>
        <w:rPr/>
        <w:t>乘合理</w:t>
      </w:r>
      <w:r>
        <w:rPr/>
        <w:t>PE</w:t>
      </w:r>
      <w:r>
        <w:rPr/>
        <w:t>，加每股超额现金及研发组现值，再换算港币”。核心盈利保留正常研发、股份薪酬及税，剔除首付、非经常里程碑和现金投资利息。</w:t>
      </w:r>
      <w:r>
        <w:rPr/>
        <w:t>SYS6010</w:t>
      </w:r>
      <w:r>
        <w:rPr/>
        <w:t>、</w:t>
      </w:r>
      <w:r>
        <w:rPr/>
        <w:t>JMT101</w:t>
      </w:r>
      <w:r>
        <w:rPr/>
        <w:t>、</w:t>
      </w:r>
      <w:r>
        <w:rPr/>
        <w:t>TG103</w:t>
      </w:r>
      <w:r>
        <w:rPr/>
        <w:t>和</w:t>
      </w:r>
      <w:r>
        <w:rPr/>
        <w:t>KN026</w:t>
      </w:r>
      <w:r>
        <w:rPr/>
        <w:t>新增适应症收入及利润从核心</w:t>
      </w:r>
      <w:r>
        <w:rPr/>
        <w:t>EPS</w:t>
      </w:r>
      <w:r>
        <w:rPr/>
        <w:t>排除，在研发组另算；已批准现有胃癌、复杂制剂和成熟产品仍在核心。边界会使未来核心收入看起来低于可能报告总收入，它的目的在于防止重复估值。</w:t>
      </w:r>
    </w:p>
    <w:p>
      <w:pPr>
        <w:pStyle w:val="Normal"/>
        <w:rPr/>
      </w:pPr>
      <w:r>
        <w:rPr/>
        <w:t>年底基准使用二零二七年核心</w:t>
      </w:r>
      <w:r>
        <w:rPr/>
        <w:t>EPS</w:t>
      </w:r>
      <w:r>
        <w:rPr/>
        <w:t>零点三四元人民币、十九倍</w:t>
      </w:r>
      <w:r>
        <w:rPr/>
        <w:t>PE</w:t>
      </w:r>
      <w:r>
        <w:rPr/>
        <w:t>、股数一百一十五点五五亿、超额现金一百四十二亿元。研发组现值约八十七点八五亿元，加总得到九点二九五港元。若删除研发组，目标约八点四六港元，显示当前股价对新资产已有一定要求。若核心</w:t>
      </w:r>
      <w:r>
        <w:rPr/>
        <w:t>EPS</w:t>
      </w:r>
      <w:r>
        <w:rPr/>
        <w:t>只达到悲观零点二二并且倍数降至十三，即便现金仍多，目标也可能降到四点三零左右，成熟现金不能保证市价。</w:t>
      </w:r>
    </w:p>
    <w:p>
      <w:pPr>
        <w:pStyle w:val="Normal"/>
        <w:rPr/>
      </w:pPr>
      <w:r>
        <w:rPr/>
        <w:t>六组研发现值分别覆盖国内</w:t>
      </w:r>
      <w:r>
        <w:rPr/>
        <w:t>SYS6010</w:t>
      </w:r>
      <w:r>
        <w:rPr/>
        <w:t>、</w:t>
      </w:r>
      <w:r>
        <w:rPr/>
        <w:t>JMT101</w:t>
      </w:r>
      <w:r>
        <w:rPr/>
        <w:t>、</w:t>
      </w:r>
      <w:r>
        <w:rPr/>
        <w:t>KN026</w:t>
      </w:r>
      <w:r>
        <w:rPr/>
        <w:t>新增适应症、</w:t>
      </w:r>
      <w:r>
        <w:rPr/>
        <w:t>TG103</w:t>
      </w:r>
      <w:r>
        <w:rPr/>
        <w:t>，以及海外长效代谢组合和其他合同组合。年底基准现值约二十三点九三、九点零九、十二点六九、五点九五、二十四点六一和四点零九亿元，未来里程碑另为七点四八亿元。组间权利、时间和成功率不同，不能平均套用临床概率。即便表格提供逐年现金日期，模型仍是资产组简化，不是全部逐药完整风险净现值。</w:t>
      </w:r>
    </w:p>
    <w:p>
      <w:pPr>
        <w:pStyle w:val="Normal"/>
        <w:rPr/>
      </w:pPr>
      <w:r>
        <w:rPr/>
        <w:t>国内基准上市时间假设多为二零二七年，销售峰值分别五十、二十四、三十五和十五亿元人民币，成功权重百分之七十、六十五、七十和七十二。净经济现金率包括制造、销售、税、授权成本及增量维护投入的合计折扣，分别百分之二十、十八、十六和十七，另外有归母比例。这些是研究假设，现阶段完整临床和合同数据不支持把它们描述为客观获利概率。后续详细结果可能同时改变上市时间、市场范围和净现金率。</w:t>
      </w:r>
    </w:p>
    <w:p>
      <w:pPr>
        <w:pStyle w:val="Normal"/>
        <w:rPr/>
      </w:pPr>
      <w:r>
        <w:rPr/>
        <w:t>海外长效代谢基准首销二零三零年、组合峰值九十亿美元、成功权重百分之十五，特许比例按百分之十五及税服务折扣估算，另乘归母比例。其他海外组基准首销二零三一年、峰值四十亿美元、成功百分之十二，经济比例较低。合同公开只提供部分梯度范围，精确比例未披露，因此不同组净率的设定不能当成真实已签提成。乐观空间很大，主要体现多年海外权益成功后的非线性价值，而不是年底确定可以获得的现金。</w:t>
      </w:r>
    </w:p>
    <w:p>
      <w:pPr>
        <w:pStyle w:val="Normal"/>
        <w:rPr/>
      </w:pPr>
      <w:r>
        <w:rPr/>
        <w:t>所有研发组现金按年末日期和实际天数折现至对应目标时点，悲、基、乐折现率分别百分之十六、十三和十一，现金流截断二零四三年，无额外终值。该终止年份是一项统一压力设定，并非已核验所有专利到期日。目标日前已兑现现金归入目标现金桥综合假设，研发组只保留目标日之后的现金。由于核心固定研发已经扣除，研发组净率只另扣增量维护成本，但未完成逐试验剩余研发预算，仍需进一步完善。</w:t>
      </w:r>
    </w:p>
    <w:p>
      <w:pPr>
        <w:pStyle w:val="Normal"/>
        <w:rPr/>
      </w:pPr>
      <w:r>
        <w:rPr/>
        <w:t>年底悲观研发总现值约六点一八亿元，基准八十七点八五亿元，乐观四百六十九点九八亿元，巨大差异说明海外平台的重要性和不确定性。乐观模型同时假设更早首销、更高峰值、更高成功与较低折现率，其结果应作为联合条件场景。不能把其中任何单项最优假设与基准其他条件拼接为保证目标，也不能把高上限当作推荐评分里的确定收益，评分还考虑证据与下行承受。</w:t>
      </w:r>
    </w:p>
    <w:p>
      <w:pPr>
        <w:pStyle w:val="Heading2"/>
        <w:rPr/>
      </w:pPr>
      <w:r>
        <w:rPr>
          <w:color w:val="000000"/>
        </w:rPr>
        <w:t>十二 四期限收益及反证</w:t>
      </w:r>
    </w:p>
    <w:p>
      <w:pPr>
        <w:pStyle w:val="Normal"/>
        <w:rPr/>
      </w:pPr>
      <w:r>
        <w:rPr/>
        <w:t>半年关注年报中正常产品经营是否恢复、注册和医保准入、以及量价能否重新站上二十日线。基准九点七五二港元，股价上涨百分之七点三五、含已宣中期息约百分之九点三三，收益更多来自正常盈利及事件进展而不是重磅药已经全球上市。悲观约四点二六，乐观约十九点一一，区间宽来自基本面联合条件，不是统计置信区间。半年若需要极高确定性，这种基准空间与潜在跌幅并不对称。</w:t>
      </w:r>
    </w:p>
    <w:p>
      <w:pPr>
        <w:pStyle w:val="Normal"/>
        <w:rPr/>
      </w:pPr>
      <w:r>
        <w:rPr/>
        <w:t>一年基准十一点零零九，股价上涨百分之二十一点一七、含零点三五累计息约百分之二十五点零三。正常</w:t>
      </w:r>
      <w:r>
        <w:rPr/>
        <w:t>EPS</w:t>
      </w:r>
      <w:r>
        <w:rPr/>
        <w:t>零点三九和二十倍</w:t>
      </w:r>
      <w:r>
        <w:rPr/>
        <w:t>PE</w:t>
      </w:r>
      <w:r>
        <w:rPr/>
        <w:t>需要新品增长、旧产品价格可控与研发费用效率共同成立。失败路径是恩必普或原料业务再次拖累、产品上市延迟、研发增加而收入不足，以及资本配置失误。一次新的大额授权可能抬高报告利润，研究仍需检查是否提升可分配现金及未来权益，而不是据此无条件提高核心</w:t>
      </w:r>
      <w:r>
        <w:rPr/>
        <w:t>EPS</w:t>
      </w:r>
      <w:r>
        <w:rPr/>
        <w:t>。</w:t>
      </w:r>
    </w:p>
    <w:p>
      <w:pPr>
        <w:pStyle w:val="Normal"/>
        <w:rPr/>
      </w:pPr>
      <w:r>
        <w:rPr/>
        <w:t>三年基准十二点九四五港元，股价回报约百分之四十二点四八，含累计一点一零息总回报约百分之五十四点五九，按三年复合约百分之十五点六三。核心正常</w:t>
      </w:r>
      <w:r>
        <w:rPr/>
        <w:t>EPS</w:t>
      </w:r>
      <w:r>
        <w:rPr/>
        <w:t>零点四八、十九倍</w:t>
      </w:r>
      <w:r>
        <w:rPr/>
        <w:t>PE</w:t>
      </w:r>
      <w:r>
        <w:rPr/>
        <w:t>和部分研发现金兑现形成组合。投资逻辑需要从临床数量转向已批准产品真实销售、海外项目持续投入与股东现金回报。若多个创新项目安全性或商业采用失败，成熟经营不足以抵消损失，三年悲观含息回报仍约负百分之四十四。</w:t>
      </w:r>
    </w:p>
    <w:p>
      <w:pPr>
        <w:pStyle w:val="Normal"/>
        <w:rPr/>
      </w:pPr>
      <w:r>
        <w:rPr/>
        <w:t>五年基准十五点六二三港元，股价涨幅百分之七十一点九七，含两港元累计息约百分之九十三点九八，五年复合约百分之十四点一七。长期收益来源是成熟组合更新、研发成功及全球权益逐步形成现金，不只是估值倍数上升。乐观可能达到三十五点七一，但需要多项全球产品实现商业预期；悲观约四点二三，反映持续产品侵蚀和平台兑现弱。年化回报按累计息不再投资计算近似，未考虑税、费用和再投资时点。</w:t>
      </w:r>
    </w:p>
    <w:p>
      <w:pPr>
        <w:pStyle w:val="Normal"/>
        <w:rPr/>
      </w:pPr>
      <w:r>
        <w:rPr/>
        <w:t>十年经营展望的核心问题是平台是否能持续产生具临床差异的产品并保持知识产权经济利益。到二零三六年，今天成熟品种可能已面对更多竞争，早期平台可能商业化也可能终止。石药的可持续性应由第二代、第三代产品及研发资本回报证明，不能仅延长当前管线峰值。公司若以高现金持续补贴缺少临床优势的项目，资金储备会转为低回报资产；若能及时淘汰失败项目、保留全球权益，长期经营品质可以提高。</w:t>
      </w:r>
    </w:p>
    <w:p>
      <w:pPr>
        <w:pStyle w:val="Normal"/>
        <w:rPr/>
      </w:pPr>
      <w:r>
        <w:rPr/>
        <w:t>推翻推荐的证据包括：成药销售持续低于模型且回款恶化，成熟药净价下滑超过数量补偿，</w:t>
      </w:r>
      <w:r>
        <w:rPr/>
        <w:t>SYS6010</w:t>
      </w:r>
      <w:r>
        <w:rPr/>
        <w:t>或</w:t>
      </w:r>
      <w:r>
        <w:rPr/>
        <w:t>JMT101</w:t>
      </w:r>
      <w:r>
        <w:rPr/>
        <w:t>完整三期效应及安全性不支持临床差异，新适应症准入迟延；海外伙伴减少投入或合同终止、可退首付发生实质退款；新基地投入明显超过现金收益；或股权激励和关联配置侵蚀每股权益。任何一项不能自动推翻全部业务，但多项共同出现会使基准价和评分显著下降，研究应按事实更新而非坚持原推荐。</w:t>
      </w:r>
    </w:p>
    <w:p>
      <w:pPr>
        <w:pStyle w:val="Heading2"/>
        <w:rPr/>
      </w:pPr>
      <w:r>
        <w:rPr>
          <w:color w:val="000000"/>
        </w:rPr>
        <w:t>十三 年底情景与外资目标</w:t>
      </w:r>
    </w:p>
    <w:p>
      <w:pPr>
        <w:pStyle w:val="Normal"/>
        <w:rPr/>
      </w:pPr>
      <w:r>
        <w:rPr/>
        <w:t>年底悲、基、乐分别四点二九五、九点二九五和十八点三九零港元，对基准价变动负百分之五十二点七二、正百分之二点三一和正百分之一百零二点四三。按百分之二十五、五十、二十五加权，期望价十点三一九，股价期望回报百分之十三点五八，另加已宣中期息约一个点九八的总回报贡献。这些权重是研究判断，不能称获利概率，年底实际价格可以在区间外，也可能因市场整体折现率变化而偏离经营价值。</w:t>
      </w:r>
    </w:p>
    <w:p>
      <w:pPr>
        <w:pStyle w:val="Normal"/>
        <w:rPr/>
      </w:pPr>
      <w:r>
        <w:rPr/>
        <w:t>如果悲、基、乐权重改为四十、四十、二十，年底期望价降至九点一一四，股价回报仅百分之零点三二；若改为二十、四十、四十，则升至十一点九三三，回报百分之三十一点三五。可见期望值对海外乐观权重敏感，不能只把十点三二当成唯一可靠目标。年底基准包含信息正常推进，悲观包含产品压力和临床折价，乐观包含详细数据、准入和国际合作共同超预期，所有前提均需在年底重新核验。</w:t>
      </w:r>
    </w:p>
    <w:p>
      <w:pPr>
        <w:pStyle w:val="Normal"/>
        <w:rPr/>
      </w:pPr>
      <w:r>
        <w:rPr/>
        <w:t>公开外资目标最近九十天覆盖汇丰十一点七、里昂十九、大和十一点二、高盛十二点五六、瑞银十一点八、花旗十四、美银八点六、大摩十二和野村十点三一港元。汇丰报告日期九月二十九、里昂九月十，其余主要在中期业绩后。美银跑输大市与里昂高确信跑赢的分歧具有信息价值，说明对恩必普净价、平台价值和资金回报的估计不同。不能只选择最高目标价来论证推荐，也不能把平均值当成独立的公允价值。</w:t>
      </w:r>
    </w:p>
    <w:p>
      <w:pPr>
        <w:pStyle w:val="Normal"/>
        <w:rPr/>
      </w:pPr>
      <w:r>
        <w:rPr/>
        <w:t>这些均是财经新闻对研报的转述，未取得原始全文和明确目标日，同机构保留最新条目、旧值不重复算样本。它们可以辅助一年估值及假设检验，不能直接作为年底目标，也不按剩余月份线性缩放。本报告一年基准约十一点零一，低于不少近期买入目标，原因是核心经营去一次性首付且海外现值仍风险调整。外资目标并不验证模型的经营参数，未来详细研报若披露不同假设，应比较差异而不是机械追随。</w:t>
      </w:r>
    </w:p>
    <w:p>
      <w:pPr>
        <w:pStyle w:val="Heading2"/>
        <w:rPr/>
      </w:pPr>
      <w:r>
        <w:rPr>
          <w:color w:val="000000"/>
        </w:rPr>
        <w:t>十四 最终观察框架与研究限制</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0—5</w:t>
            </w:r>
            <w:r>
              <w:rPr>
                <w:rFonts w:ascii="微软雅黑" w:hAnsi="微软雅黑" w:eastAsia="微软雅黑"/>
                <w:b/>
                <w:color w:val="FFFFFF"/>
                <w:sz w:val="17"/>
              </w:rPr>
              <w:t>分维度</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半年</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一年</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三年</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五年</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估值与预期回报</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K</w:t>
            </w:r>
            <w:r>
              <w:rPr>
                <w:rFonts w:ascii="微软雅黑" w:hAnsi="微软雅黑" w:eastAsia="微软雅黑"/>
                <w:sz w:val="17"/>
              </w:rPr>
              <w:t>线量能相对强弱</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不加权</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经营增长商业质量</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行业周期需求</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期限催化</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财务治理下行风险</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w:t>
            </w:r>
          </w:p>
        </w:tc>
      </w:tr>
    </w:tbl>
    <w:p>
      <w:pPr>
        <w:pStyle w:val="Normal"/>
        <w:rPr/>
      </w:pPr>
      <w:r>
        <w:rPr/>
      </w:r>
    </w:p>
    <w:p>
      <w:pPr>
        <w:pStyle w:val="Normal"/>
        <w:rPr/>
      </w:pPr>
      <w:r>
        <w:rPr/>
        <w:t>评分权重沿用总方案，维度越高代表该期限越有利。较高催化分来自近期注册与会议数据可能改变价值，并非更高确定性；技术分受短期二十日线下方和放量下跌约束。长期风险分下降考虑多个相关临床资产、资本投入及股权配置随时间增加的可变性。三年和五年估值分较高反映平台机会，经营分仍未达到满分，因为旧产品价格压力与真实持续利润尚未完全解决。</w:t>
      </w:r>
    </w:p>
    <w:p>
      <w:pPr>
        <w:pStyle w:val="Normal"/>
        <w:rPr/>
      </w:pPr>
      <w:r>
        <w:rPr/>
        <w:t>宏观利率对石药的直接银行债成本影响较小，主要通过长久期研发现金折现、港股风险偏好及存款利息作用。海外利率下降可能提高研发权益现值，但不改变临床成功；若市场要求更高风险补偿，现金多也可能面临估值收缩。模型折现率与</w:t>
      </w:r>
      <w:r>
        <w:rPr/>
        <w:t>PE</w:t>
      </w:r>
      <w:r>
        <w:rPr/>
        <w:t>应共同反映宏观和公司风险，不能在利率下降假设下同时无限提高每个参数。存款收益降低还会减少报告其他收入，本报告核心</w:t>
      </w:r>
      <w:r>
        <w:rPr/>
        <w:t>EPS</w:t>
      </w:r>
      <w:r>
        <w:rPr/>
        <w:t>已经剔除这部分，减少其对经营评价的干扰。</w:t>
      </w:r>
    </w:p>
    <w:p>
      <w:pPr>
        <w:pStyle w:val="Normal"/>
        <w:rPr/>
      </w:pPr>
      <w:r>
        <w:rPr/>
        <w:t>收入与研发支出主要人民币，部分国际首付及未来提成为美元，港股价格和股息以港币。人民币走弱会压低同一人民币经营价值换算的港币价格，同时美元收入可能有部分对冲。对人民币投资者，港币资产回报还需叠加港币兑人民币变化。例如本币总回报百分之二十五、港币对人民币升值百分之五，人民币回报约百分之三十一点二五；若贬值百分之五，则约百分之十八点七五。不同现金币种敞口没有逐项公开，本例只是汇率敏感性。</w:t>
      </w:r>
    </w:p>
    <w:p>
      <w:pPr>
        <w:pStyle w:val="Normal"/>
        <w:rPr/>
      </w:pPr>
      <w:r>
        <w:rPr/>
        <w:t>国内经济影响医药的方式与消费科技不同，疾病需求仍存在，但医保财政、医院预算、患者自费能力和渠道回款会调整可实现价格。对慢病用药，可负担价格与覆盖提高有利数量，却可能降低单患者现金收益；对肿瘤新药，商保与多元支付能扩大采用，仍需临床价值支撑。原料维生素</w:t>
      </w:r>
      <w:r>
        <w:rPr/>
        <w:t>C</w:t>
      </w:r>
      <w:r>
        <w:rPr/>
        <w:t>、抗生素和功能食品更直接受全球供需、产能释放和贸易影响，上半年销售下降提示不能把所有业务看作逆周期。</w:t>
      </w:r>
    </w:p>
    <w:p>
      <w:pPr>
        <w:pStyle w:val="Normal"/>
        <w:rPr/>
      </w:pPr>
      <w:r>
        <w:rPr/>
        <w:t>海外政策会影响许可交易、数据使用、生产来源及投资限制，但截至基准日新闻中的可能政策不能当成已生效法律。阿斯利康合作提供一定全球开发与供应体系经验，不能豁免监管要求或数据质量审查。若跨境技术或资金规则收紧，资产可能延迟、增加成本或缩小权益；若环境保持可行，平台授权可以降低海外商业自建成本。模型保留低早期成功率和资本储备，在法律文本与合同调整未核验前不使用确定政策收益。</w:t>
      </w:r>
    </w:p>
    <w:p>
      <w:pPr>
        <w:pStyle w:val="Normal"/>
        <w:rPr/>
      </w:pPr>
      <w:r>
        <w:rPr/>
        <w:t>对进取投资者，石药的主要价值在于可重复的创新输出以及现金支持的研发转型，一年以后推荐力度高于短线。合理观察应同时跟踪产品经营、临床证据、合同现金和每股资本回报，缺少任何一项都容易把叙事误当价值。当前日线短期压力和较小半年基准空间，使入场时点的量价条件较重要；长期则由实际药品和经济权益兑现主导，技术指标不能替代经营判断。</w:t>
      </w:r>
    </w:p>
    <w:p>
      <w:pPr>
        <w:pStyle w:val="Normal"/>
        <w:rPr/>
      </w:pPr>
      <w:r>
        <w:rPr/>
        <w:t>本章已完成原中报、年报、重要临床和收款公告逐项核验，并保存财务单位、发布日期及模型输入，但仍没有全部逐药利润、税、分适应症剩余研发预算和完整海外合同梯度。资产组现金率、成功权重、归母比例和未来现金桥为明确假设，不能把有逐年计算表称为完整逐药</w:t>
      </w:r>
      <w:r>
        <w:rPr/>
        <w:t>DCF</w:t>
      </w:r>
      <w:r>
        <w:rPr/>
        <w:t>。最终推荐梯队需与全名单其他公司同时比较；本章分数不是最终榜名次，重要新证据应同步修订总表及文档。</w:t>
      </w:r>
    </w:p>
    <w:p>
      <w:pPr>
        <w:pStyle w:val="Normal"/>
        <w:rPr/>
      </w:pPr>
      <w:r>
        <w:rPr/>
        <w:t>来源与复核记录</w:t>
      </w:r>
    </w:p>
    <w:p>
      <w:pPr>
        <w:pStyle w:val="Normal"/>
        <w:rPr/>
      </w:pPr>
      <w:r>
        <w:rPr/>
        <w:t>- 2026</w:t>
      </w:r>
      <w:r>
        <w:rPr/>
        <w:t>中报，</w:t>
      </w:r>
      <w:r>
        <w:rPr/>
        <w:t>2026-09-17</w:t>
      </w:r>
      <w:r>
        <w:rPr/>
        <w:t>发布，首业绩公告</w:t>
      </w:r>
      <w:r>
        <w:rPr/>
        <w:t>2026-08-20</w:t>
      </w:r>
      <w:r>
        <w:rPr/>
        <w:t>：</w:t>
      </w:r>
      <w:r>
        <w:rPr/>
        <w:t>[</w:t>
      </w:r>
      <w:r>
        <w:rPr/>
        <w:t>原公告镜像</w:t>
      </w:r>
      <w:r>
        <w:rPr/>
        <w:t>](https://iis.aastocks.com/20260917/12336088-0.PDF)</w:t>
      </w:r>
      <w:r>
        <w:rPr/>
        <w:t>。财务摘要、收入附注、收益表、资产负债、现金流、股息和股数均核验。</w:t>
      </w:r>
    </w:p>
    <w:p>
      <w:pPr>
        <w:pStyle w:val="Normal"/>
        <w:rPr/>
      </w:pPr>
      <w:r>
        <w:rPr/>
        <w:t>- 2025</w:t>
      </w:r>
      <w:r>
        <w:rPr/>
        <w:t>年报，</w:t>
      </w:r>
      <w:r>
        <w:rPr/>
        <w:t>2026-04-28</w:t>
      </w:r>
      <w:r>
        <w:rPr/>
        <w:t>发布：</w:t>
      </w:r>
      <w:r>
        <w:rPr/>
        <w:t>[</w:t>
      </w:r>
      <w:r>
        <w:rPr/>
        <w:t>原年报镜像</w:t>
      </w:r>
      <w:r>
        <w:rPr/>
        <w:t>](https://iis.aastocks.com/20260428/12130179-0.PDF)</w:t>
      </w:r>
      <w:r>
        <w:rPr/>
        <w:t>，历史财务与全球合作条款。</w:t>
      </w:r>
    </w:p>
    <w:p>
      <w:pPr>
        <w:pStyle w:val="Normal"/>
        <w:rPr/>
      </w:pPr>
      <w:r>
        <w:rPr/>
        <w:t xml:space="preserve">- </w:t>
      </w:r>
      <w:r>
        <w:rPr/>
        <w:t>股息，除净</w:t>
      </w:r>
      <w:r>
        <w:rPr/>
        <w:t>2026-10-20</w:t>
      </w:r>
      <w:r>
        <w:rPr/>
        <w:t>、派付</w:t>
      </w:r>
      <w:r>
        <w:rPr/>
        <w:t>2026-11-10</w:t>
      </w:r>
      <w:r>
        <w:rPr/>
        <w:t>：</w:t>
      </w:r>
      <w:r>
        <w:rPr/>
        <w:t>[2026-08-20</w:t>
      </w:r>
      <w:r>
        <w:rPr/>
        <w:t>公告</w:t>
      </w:r>
      <w:r>
        <w:rPr/>
        <w:t>](https://iis.aastocks.com/20260820/12292012-0.PDF)</w:t>
      </w:r>
      <w:r>
        <w:rPr/>
        <w:t>。</w:t>
      </w:r>
    </w:p>
    <w:p>
      <w:pPr>
        <w:pStyle w:val="Normal"/>
        <w:rPr/>
      </w:pPr>
      <w:r>
        <w:rPr/>
        <w:t xml:space="preserve">- </w:t>
      </w:r>
      <w:r>
        <w:rPr/>
        <w:t>九月证券月报：</w:t>
      </w:r>
      <w:r>
        <w:rPr/>
        <w:t>[2026-10-02</w:t>
      </w:r>
      <w:r>
        <w:rPr/>
        <w:t>公告</w:t>
      </w:r>
      <w:r>
        <w:rPr/>
        <w:t>](https://iis.aastocks.com/20261002/12359578-0.PDF)</w:t>
      </w:r>
      <w:r>
        <w:rPr/>
        <w:t>，已发</w:t>
      </w:r>
      <w:r>
        <w:rPr/>
        <w:t>11522451732</w:t>
      </w:r>
      <w:r>
        <w:rPr/>
        <w:t>股、无库存股。</w:t>
      </w:r>
    </w:p>
    <w:p>
      <w:pPr>
        <w:pStyle w:val="Normal"/>
        <w:rPr/>
      </w:pPr>
      <w:r>
        <w:rPr/>
        <w:t>- SYS6010</w:t>
      </w:r>
      <w:r>
        <w:rPr/>
        <w:t>三期：</w:t>
      </w:r>
      <w:r>
        <w:rPr/>
        <w:t>[2026-08-26</w:t>
      </w:r>
      <w:r>
        <w:rPr/>
        <w:t>公告</w:t>
      </w:r>
      <w:r>
        <w:rPr/>
        <w:t>](https://iis.aastocks.com/20260826/12300206-0.PDF)</w:t>
      </w:r>
      <w:r>
        <w:rPr/>
        <w:t>；联合给药早期：</w:t>
      </w:r>
      <w:r>
        <w:rPr/>
        <w:t>[2026-09-14</w:t>
      </w:r>
      <w:r>
        <w:rPr/>
        <w:t>公告</w:t>
      </w:r>
      <w:r>
        <w:rPr/>
        <w:t>](https://iis.aastocks.com/20260914/12331174-0.PDF)</w:t>
      </w:r>
      <w:r>
        <w:rPr/>
        <w:t>。</w:t>
      </w:r>
    </w:p>
    <w:p>
      <w:pPr>
        <w:pStyle w:val="Normal"/>
        <w:rPr/>
      </w:pPr>
      <w:r>
        <w:rPr/>
        <w:t>- JMT101</w:t>
      </w:r>
      <w:r>
        <w:rPr/>
        <w:t>三期：</w:t>
      </w:r>
      <w:r>
        <w:rPr/>
        <w:t>[2026-09-24</w:t>
      </w:r>
      <w:r>
        <w:rPr/>
        <w:t>公告</w:t>
      </w:r>
      <w:r>
        <w:rPr/>
        <w:t>](https://iis.aastocks.com/20260924/12345982-0.PDF)</w:t>
      </w:r>
      <w:r>
        <w:rPr/>
        <w:t>；</w:t>
      </w:r>
      <w:r>
        <w:rPr/>
        <w:t>TG103</w:t>
      </w:r>
      <w:r>
        <w:rPr/>
        <w:t>：</w:t>
      </w:r>
      <w:r>
        <w:rPr/>
        <w:t>[2026-09-30</w:t>
      </w:r>
      <w:r>
        <w:rPr/>
        <w:t>公告</w:t>
      </w:r>
      <w:r>
        <w:rPr/>
        <w:t>](https://iis.aastocks.com/20260930/12354120-0.PDF)</w:t>
      </w:r>
      <w:r>
        <w:rPr/>
        <w:t>。</w:t>
      </w:r>
    </w:p>
    <w:p>
      <w:pPr>
        <w:pStyle w:val="Normal"/>
        <w:rPr/>
      </w:pPr>
      <w:r>
        <w:rPr/>
        <w:t>- SYS6002</w:t>
      </w:r>
      <w:r>
        <w:rPr/>
        <w:t>宫颈癌早期：</w:t>
      </w:r>
      <w:r>
        <w:rPr/>
        <w:t>[2026-10-08</w:t>
      </w:r>
      <w:r>
        <w:rPr/>
        <w:t>公告</w:t>
      </w:r>
      <w:r>
        <w:rPr/>
        <w:t>](https://iis.aastocks.com/20261008/12367446-0.PDF)</w:t>
      </w:r>
      <w:r>
        <w:rPr/>
        <w:t>；</w:t>
      </w:r>
      <w:r>
        <w:rPr/>
        <w:t>ESMO</w:t>
      </w:r>
      <w:r>
        <w:rPr/>
        <w:t>计划：</w:t>
      </w:r>
      <w:r>
        <w:rPr/>
        <w:t>[2026-10-05</w:t>
      </w:r>
      <w:r>
        <w:rPr/>
        <w:t>公告</w:t>
      </w:r>
      <w:r>
        <w:rPr/>
        <w:t>](https://iis.aastocks.com/20261005/12362127-0.PDF)</w:t>
      </w:r>
      <w:r>
        <w:rPr/>
        <w:t>，未使用未来会场数据。</w:t>
      </w:r>
    </w:p>
    <w:p>
      <w:pPr>
        <w:pStyle w:val="Normal"/>
        <w:rPr/>
      </w:pPr>
      <w:r>
        <w:rPr/>
        <w:t xml:space="preserve">- </w:t>
      </w:r>
      <w:r>
        <w:rPr/>
        <w:t>长效多肽首付：</w:t>
      </w:r>
      <w:r>
        <w:rPr/>
        <w:t>[2026-05-29</w:t>
      </w:r>
      <w:r>
        <w:rPr/>
        <w:t>收盘后公告</w:t>
      </w:r>
      <w:r>
        <w:rPr/>
        <w:t>](https://iis.aastocks.com/20260529/12177891-0.PDF)</w:t>
      </w:r>
      <w:r>
        <w:rPr/>
        <w:t>；</w:t>
      </w:r>
      <w:r>
        <w:rPr/>
        <w:t>siRNA</w:t>
      </w:r>
      <w:r>
        <w:rPr/>
        <w:t>协议：</w:t>
      </w:r>
      <w:r>
        <w:rPr/>
        <w:t>[2026-07-02</w:t>
      </w:r>
      <w:r>
        <w:rPr/>
        <w:t>公告</w:t>
      </w:r>
      <w:r>
        <w:rPr/>
        <w:t>](https://iis.aastocks.com/20260702/12227619-0.PDF)</w:t>
      </w:r>
      <w:r>
        <w:rPr/>
        <w:t>；合资：</w:t>
      </w:r>
      <w:r>
        <w:rPr/>
        <w:t>[2026-08-05</w:t>
      </w:r>
      <w:r>
        <w:rPr/>
        <w:t>公告</w:t>
      </w:r>
      <w:r>
        <w:rPr/>
        <w:t>](https://iis.aastocks.com/20260805/12272635-0.PDF)</w:t>
      </w:r>
      <w:r>
        <w:rPr/>
        <w:t>。</w:t>
      </w:r>
    </w:p>
    <w:p>
      <w:pPr>
        <w:pStyle w:val="Normal"/>
        <w:rPr/>
      </w:pPr>
      <w:r>
        <w:rPr/>
        <w:t xml:space="preserve">- </w:t>
      </w:r>
      <w:r>
        <w:rPr/>
        <w:t>其他收款</w:t>
      </w:r>
      <w:r>
        <w:rPr/>
        <w:t>2026-07-10</w:t>
      </w:r>
      <w:r>
        <w:rPr/>
        <w:t>、</w:t>
      </w:r>
      <w:r>
        <w:rPr/>
        <w:t>2026-08-05</w:t>
      </w:r>
      <w:r>
        <w:rPr/>
        <w:t>及</w:t>
      </w:r>
      <w:r>
        <w:rPr/>
        <w:t>2026-08-12</w:t>
      </w:r>
      <w:r>
        <w:rPr/>
        <w:t>原公告见</w:t>
      </w:r>
      <w:r>
        <w:rPr/>
        <w:t>data/cspc_historical_sources.json</w:t>
      </w:r>
      <w:r>
        <w:rPr/>
        <w:t>。原一月三十日合同镜像</w:t>
      </w:r>
      <w:r>
        <w:rPr/>
        <w:t>404</w:t>
      </w:r>
      <w:r>
        <w:rPr/>
        <w:t>，条款以年报、中报及后续收款核验，不推定全部未公开附条件细则。</w:t>
      </w:r>
    </w:p>
    <w:p>
      <w:pPr>
        <w:pStyle w:val="Normal"/>
        <w:rPr/>
      </w:pPr>
      <w:r>
        <w:rPr/>
        <w:t xml:space="preserve">- </w:t>
      </w:r>
      <w:r>
        <w:rPr/>
        <w:t>外资新闻来源逐条保存在</w:t>
      </w:r>
      <w:r>
        <w:rPr/>
        <w:t>data/cspc_model.json</w:t>
      </w:r>
      <w:r>
        <w:rPr/>
        <w:t>的</w:t>
      </w:r>
      <w:r>
        <w:rPr/>
        <w:t>brokerTargets</w:t>
      </w:r>
      <w:r>
        <w:rPr/>
        <w:t>，机构日期、币种、评级及目标期缺失均标明；不是原研报。</w:t>
      </w:r>
    </w:p>
    <w:p>
      <w:pPr>
        <w:pStyle w:val="Normal"/>
        <w:rPr/>
      </w:pPr>
      <w:r>
        <w:rPr/>
        <w:t xml:space="preserve">- </w:t>
      </w:r>
      <w:r>
        <w:rPr/>
        <w:t>活动模型</w:t>
      </w:r>
      <w:r>
        <w:rPr/>
        <w:t>tools/cspc_model.mjs</w:t>
      </w:r>
      <w:r>
        <w:rPr/>
        <w:t>生成</w:t>
      </w:r>
      <w:r>
        <w:rPr/>
        <w:t>data/cspc_model.json</w:t>
      </w:r>
      <w:r>
        <w:rPr/>
        <w:t>；修改假设后须整套重新计算，正文核心数值与活动模型一致。</w:t>
      </w:r>
      <w:r>
        <w:br w:type="page"/>
      </w:r>
    </w:p>
    <w:p>
      <w:pPr>
        <w:pStyle w:val="Heading1"/>
        <w:rPr/>
      </w:pPr>
      <w:bookmarkStart w:id="2" w:name="__RefHeading___Toc21194_312338234"/>
      <w:bookmarkEnd w:id="2"/>
      <w:r>
        <w:rPr>
          <w:color w:val="000000"/>
        </w:rPr>
        <w:t xml:space="preserve">先声药业 </w:t>
      </w:r>
      <w:r>
        <w:rPr>
          <w:color w:val="000000"/>
        </w:rPr>
        <w:t>02096 HK</w:t>
      </w:r>
    </w:p>
    <w:p>
      <w:pPr>
        <w:pStyle w:val="Normal"/>
        <w:rPr/>
      </w:pPr>
      <w:r>
        <w:rPr/>
        <w:t xml:space="preserve">02096.HK </w:t>
      </w:r>
      <w:r>
        <w:rPr/>
        <w:t xml:space="preserve">现价 </w:t>
      </w:r>
      <w:r>
        <w:rPr/>
        <w:t>10.89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15.62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+43.47%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+43.47%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73.90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20.69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+89.95%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+92.17%</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79.40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25.54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+134.50%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+142.58%</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81.30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2</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34.22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+214.22%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+231.19%</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-68.68%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13.33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+22.40%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17.62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+61.84%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11.92HKD</w:t>
      </w:r>
      <w:r>
        <w:rPr/>
        <w:t>，期望股价回报</w:t>
      </w:r>
      <w:r>
        <w:rPr/>
        <w:t>+9.49%</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3.07</w:t>
              <w:br/>
              <w:t>-71.81%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15.62</w:t>
              <w:br/>
              <w:t>+43.47%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24.52</w:t>
              <w:br/>
              <w:t>+125.17%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3.58</w:t>
              <w:br/>
              <w:t>-67.11%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20.69</w:t>
              <w:br/>
              <w:t>+89.95%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49.87</w:t>
              <w:br/>
              <w:t>+357.96%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3.44</w:t>
              <w:br/>
              <w:t>-68.38%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25.54</w:t>
              <w:br/>
              <w:t>+134.50%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69.87</w:t>
              <w:br/>
              <w:t>+541.59%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+34.36%</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3.69</w:t>
              <w:br/>
              <w:t>-66.09%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34.22</w:t>
              <w:br/>
              <w:t>+214.22%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117.66</w:t>
              <w:br/>
              <w:t>+980.45%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+27.06%</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medium</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+36.29%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+43.47%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+50.64%</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+82.56%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+92.17%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+101.78%</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+130.45%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+142.58%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+154.71%</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+214.63%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+231.19%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+247.75%</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w:t>
      </w:r>
      <w:r>
        <w:rPr/>
        <w:t>2026</w:t>
      </w:r>
      <w:r>
        <w:rPr/>
        <w:t>年</w:t>
      </w:r>
      <w:r>
        <w:rPr/>
        <w:t>10</w:t>
      </w:r>
      <w:r>
        <w:rPr/>
        <w:t>月</w:t>
      </w:r>
      <w:r>
        <w:rPr/>
        <w:t>9</w:t>
      </w:r>
      <w:r>
        <w:rPr/>
        <w:t>日收盘</w:t>
      </w:r>
      <w:r>
        <w:rPr/>
        <w:t>10.89</w:t>
      </w:r>
      <w:r>
        <w:rPr/>
        <w:t>港元，发行人</w:t>
      </w:r>
      <w:r>
        <w:rPr/>
        <w:t>I033</w:t>
      </w:r>
      <w:r>
        <w:rPr/>
        <w:t>、证券</w:t>
      </w:r>
      <w:r>
        <w:rPr/>
        <w:t>S039</w:t>
      </w:r>
      <w:r>
        <w:rPr/>
        <w:t>。模型</w:t>
      </w:r>
      <w:r>
        <w:rPr/>
        <w:t>simcere-v2-short-recognition-normal-product-risk-royalty-PE-cash</w:t>
      </w:r>
      <w:r>
        <w:rPr/>
        <w:t>。首次中期业绩于</w:t>
      </w:r>
      <w:r>
        <w:rPr/>
        <w:t>8</w:t>
      </w:r>
      <w:r>
        <w:rPr/>
        <w:t>月</w:t>
      </w:r>
      <w:r>
        <w:rPr/>
        <w:t>20</w:t>
      </w:r>
      <w:r>
        <w:rPr/>
        <w:t>日收盘后披露，</w:t>
      </w:r>
      <w:r>
        <w:rPr/>
        <w:t>9</w:t>
      </w:r>
      <w:r>
        <w:rPr/>
        <w:t>月</w:t>
      </w:r>
      <w:r>
        <w:rPr/>
        <w:t>24</w:t>
      </w:r>
      <w:r>
        <w:rPr/>
        <w:t>日公布中报；资料截止</w:t>
      </w:r>
      <w:r>
        <w:rPr/>
        <w:t>10</w:t>
      </w:r>
      <w:r>
        <w:rPr/>
        <w:t>月</w:t>
      </w:r>
      <w:r>
        <w:rPr/>
        <w:t>9</w:t>
      </w:r>
      <w:r>
        <w:rPr/>
        <w:t>日，保留当日收盘后回购信息。半年</w:t>
      </w:r>
      <w:r>
        <w:rPr/>
        <w:t>63.4</w:t>
      </w:r>
      <w:r>
        <w:rPr/>
        <w:t>分、一年</w:t>
      </w:r>
      <w:r>
        <w:rPr/>
        <w:t>73.9</w:t>
      </w:r>
      <w:r>
        <w:rPr/>
        <w:t>分、三年</w:t>
      </w:r>
      <w:r>
        <w:rPr/>
        <w:t>79.4</w:t>
      </w:r>
      <w:r>
        <w:rPr/>
        <w:t>分、五年</w:t>
      </w:r>
      <w:r>
        <w:rPr/>
        <w:t>81.3</w:t>
      </w:r>
      <w:r>
        <w:rPr/>
        <w:t>分，进取型成长观察候选；全名单推荐名次与相差三分以内的梯队以总表统一排序为准。证据可信度中等，当前财务与价格有公开依据，未来药物上市、销售、毛利、股数及市场识别比例属于研究判断。</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悲观港元</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基准港元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乐观港元</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基准含分红总回报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3.411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13.329</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17.625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22.40%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3.070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15.624</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24.521</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43.47%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43.47%</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3.582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20.685</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49.872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89.95%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92.17%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3.444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25.537</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69.869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134.50%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142.58%</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3.692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34.219</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117.661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214.22%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231.19%</w:t>
            </w:r>
          </w:p>
        </w:tc>
      </w:tr>
    </w:tbl>
    <w:p>
      <w:pPr>
        <w:pStyle w:val="Normal"/>
        <w:rPr/>
      </w:pPr>
      <w:r>
        <w:rPr/>
      </w:r>
    </w:p>
    <w:p>
      <w:pPr>
        <w:pStyle w:val="Normal"/>
        <w:rPr/>
      </w:pPr>
      <w:r>
        <w:rPr/>
        <w:t>基准预测未来累计税前股息为年底和半年零、一年</w:t>
      </w:r>
      <w:r>
        <w:rPr/>
        <w:t>0.242</w:t>
      </w:r>
      <w:r>
        <w:rPr/>
        <w:t>港元、三年</w:t>
      </w:r>
      <w:r>
        <w:rPr/>
        <w:t>0.880</w:t>
      </w:r>
      <w:r>
        <w:rPr/>
        <w:t>港元、五年</w:t>
      </w:r>
      <w:r>
        <w:rPr/>
        <w:t>1.848</w:t>
      </w:r>
      <w:r>
        <w:rPr/>
        <w:t>港元，三年含息年化</w:t>
      </w:r>
      <w:r>
        <w:rPr/>
        <w:t>34.36%</w:t>
      </w:r>
      <w:r>
        <w:rPr/>
        <w:t>、五年</w:t>
      </w:r>
      <w:r>
        <w:rPr/>
        <w:t>27.06%</w:t>
      </w:r>
      <w:r>
        <w:rPr/>
        <w:t>。年底悲观、基准、乐观相对现价分别为负</w:t>
      </w:r>
      <w:r>
        <w:rPr/>
        <w:t>68.68%</w:t>
      </w:r>
      <w:r>
        <w:rPr/>
        <w:t>、正</w:t>
      </w:r>
      <w:r>
        <w:rPr/>
        <w:t>22.40%</w:t>
      </w:r>
      <w:r>
        <w:rPr/>
        <w:t>、正</w:t>
      </w:r>
      <w:r>
        <w:rPr/>
        <w:t>61.84%</w:t>
      </w:r>
      <w:r>
        <w:rPr/>
        <w:t>，默认</w:t>
      </w:r>
      <w:r>
        <w:rPr/>
        <w:t>25%/50%/25%</w:t>
      </w:r>
      <w:r>
        <w:rPr/>
        <w:t>判断权重期望价</w:t>
      </w:r>
      <w:r>
        <w:rPr/>
        <w:t>11.923265</w:t>
      </w:r>
      <w:r>
        <w:rPr/>
        <w:t>港元、期望回报</w:t>
      </w:r>
      <w:r>
        <w:rPr/>
        <w:t>9.49%</w:t>
      </w:r>
      <w:r>
        <w:rPr/>
        <w:t>；</w:t>
      </w:r>
      <w:r>
        <w:rPr/>
        <w:t>40%/40%/20%</w:t>
      </w:r>
      <w:r>
        <w:rPr/>
        <w:t>为</w:t>
      </w:r>
      <w:r>
        <w:rPr/>
        <w:t>10.220745</w:t>
      </w:r>
      <w:r>
        <w:rPr/>
        <w:t>港元、负</w:t>
      </w:r>
      <w:r>
        <w:rPr/>
        <w:t>6.15%</w:t>
      </w:r>
      <w:r>
        <w:rPr/>
        <w:t>，</w:t>
      </w:r>
      <w:r>
        <w:rPr/>
        <w:t>20%/40%/40%</w:t>
      </w:r>
      <w:r>
        <w:rPr/>
        <w:t>为</w:t>
      </w:r>
      <w:r>
        <w:rPr/>
        <w:t>13.063514</w:t>
      </w:r>
      <w:r>
        <w:rPr/>
        <w:t>港元、正</w:t>
      </w:r>
      <w:r>
        <w:rPr/>
        <w:t>19.96%</w:t>
      </w:r>
      <w:r>
        <w:rPr/>
        <w:t>。这些权重不代表临床成功概率或统计置信度，区间不限制极端亏损。主要风险是医保价格、商业推广效率、管线失败、授权收入波动、再明赎回与上市稀释、少数权益、治理和估值收缩。</w:t>
      </w:r>
    </w:p>
    <w:p>
      <w:pPr>
        <w:pStyle w:val="Heading2"/>
        <w:rPr/>
      </w:pPr>
      <w:r>
        <w:rPr>
          <w:color w:val="000000"/>
        </w:rPr>
        <w:t>一 结论与推荐成立条件</w:t>
      </w:r>
    </w:p>
    <w:p>
      <w:pPr>
        <w:pStyle w:val="Normal"/>
        <w:rPr/>
      </w:pPr>
      <w:r>
        <w:rPr/>
        <w:t>先声药业提供商业化药品与研发平台结合的投资机会。它已有神经、自身免疫和肿瘤收入，能够用产品现金流承担部分临床投入；同时通过引进产品及海外授权增加选择。对进取型投资者而言，吸引力在于既有业务增长有真实财务记录，又有新产品与持续授权经济利益的增量。价值最终需要患者需求、医院准入、可持续毛利与现金收款共同支持，授权合同的最高金额不能单独证明公司便宜。</w:t>
      </w:r>
    </w:p>
    <w:p>
      <w:pPr>
        <w:pStyle w:val="Normal"/>
        <w:rPr/>
      </w:pPr>
      <w:r>
        <w:rPr/>
        <w:t>截至基准日，上半年总收入增长约</w:t>
      </w:r>
      <w:r>
        <w:rPr/>
        <w:t>27.8%</w:t>
      </w:r>
      <w:r>
        <w:rPr/>
        <w:t>，产品销售增长约</w:t>
      </w:r>
      <w:r>
        <w:rPr/>
        <w:t>19.5%</w:t>
      </w:r>
      <w:r>
        <w:rPr/>
        <w:t>，神经和自身免疫领域增长较快。先必新纳入基本药物目录，失眠与肿瘤组合逐渐扩展，已批准的婴幼儿呼吸道合胞病毒预防产品提供新的商业化任务。这些因素支持一年以上的成长判断。不过股价处于四条日均线之下，六十日显著落后恒指，日线量能没有形成强上升趋势。因此半年得分低于中长期，短期买入时机不能仅靠低于外资目标价判断。</w:t>
      </w:r>
    </w:p>
    <w:p>
      <w:pPr>
        <w:pStyle w:val="Normal"/>
        <w:rPr/>
      </w:pPr>
      <w:r>
        <w:rPr/>
        <w:t>本章基准一年空间较大，建立在正常母公司盈利达到约</w:t>
      </w:r>
      <w:r>
        <w:rPr/>
        <w:t>21.34</w:t>
      </w:r>
      <w:r>
        <w:rPr/>
        <w:t>亿元、市场采用二十三倍正常盈利以及人民币兑港币假设稳定之上。这不是公司已经披露的盈利预测。基准五年也需要现有领域持续增长、多个新品成功而销售费用增速逐渐低于收入。高乐观目标把增长、毛利、研发成功与高估值同时组合，属于联合上行情景；它不能用于宣称最有把握的收益，更不能使评分自动上升至满分。</w:t>
      </w:r>
    </w:p>
    <w:p>
      <w:pPr>
        <w:pStyle w:val="Normal"/>
        <w:rPr/>
      </w:pPr>
      <w:r>
        <w:rPr/>
        <w:t>推荐成立的核心条件是产品销售保持增长且回款不恶化，神经业务的放量没有被支付价格下降完全抵消，肿瘤分部能够减少亏损，未来新药具有可持续的临床和支付竞争力。若产品增长明显转弱而利润主要靠首付款维持，若再明赎回造成资金压力，或者费用规模扩大却不能提高商业产出，需下调正常盈利、估值和评分。相反，若产品增长与现金流同时强于模型，可在独立更新后提高判断，不能用股价上涨本身证明原假设正确。</w:t>
      </w:r>
    </w:p>
    <w:p>
      <w:pPr>
        <w:pStyle w:val="Heading2"/>
        <w:rPr/>
      </w:pPr>
      <w:r>
        <w:rPr>
          <w:color w:val="000000"/>
        </w:rPr>
        <w:t>二 发行人与会计边界</w:t>
      </w:r>
    </w:p>
    <w:p>
      <w:pPr>
        <w:pStyle w:val="Normal"/>
        <w:rPr/>
      </w:pPr>
      <w:r>
        <w:rPr/>
        <w:t>用户提供的</w:t>
      </w:r>
      <w:r>
        <w:rPr/>
        <w:t>2096</w:t>
      </w:r>
      <w:r>
        <w:rPr/>
        <w:t>港股对应先声药业集团，模型以全公司普通股为分母。九月月报披露已发行股份约</w:t>
      </w:r>
      <w:r>
        <w:rPr/>
        <w:t>25.68198618</w:t>
      </w:r>
      <w:r>
        <w:rPr/>
        <w:t>亿股、库藏股为零，其中已回购但未注销股份</w:t>
      </w:r>
      <w:r>
        <w:rPr/>
        <w:t>484.3</w:t>
      </w:r>
      <w:r>
        <w:rPr/>
        <w:t>万股仍在已发行总数内。香港注册公司没有法定股本或面值概念，因此这里的数量应称已发行股份，不能把习惯性数据字段当作法定资本。会计每股盈利采用期内加权与奖励计划调整，不能直接用期末股份替代过去半年分母。</w:t>
      </w:r>
    </w:p>
    <w:p>
      <w:pPr>
        <w:pStyle w:val="Normal"/>
        <w:rPr/>
      </w:pPr>
      <w:r>
        <w:rPr/>
        <w:t>中报重列了二〇二五年上半年比较数，主要涉及共同控制合并的海南先为。原披露归母利润与经营现金流分别约</w:t>
      </w:r>
      <w:r>
        <w:rPr/>
        <w:t>6.03607</w:t>
      </w:r>
      <w:r>
        <w:rPr/>
        <w:t>亿元、</w:t>
      </w:r>
      <w:r>
        <w:rPr/>
        <w:t>8.66531</w:t>
      </w:r>
      <w:r>
        <w:rPr/>
        <w:t>亿元，重列后为</w:t>
      </w:r>
      <w:r>
        <w:rPr/>
        <w:t>6.01052</w:t>
      </w:r>
      <w:r>
        <w:rPr/>
        <w:t>亿元、</w:t>
      </w:r>
      <w:r>
        <w:rPr/>
        <w:t>8.62831</w:t>
      </w:r>
      <w:r>
        <w:rPr/>
        <w:t>亿元。本文对收入、盈利、现金流增长使用中报重列数，避免旧公告与新报表范围混合。重列差额虽不足以改变整体结论，却说明跨期同比需要相同范围，不能为了展示更高增速选择不同数字。</w:t>
      </w:r>
    </w:p>
    <w:p>
      <w:pPr>
        <w:pStyle w:val="Normal"/>
        <w:rPr/>
      </w:pPr>
      <w:r>
        <w:rPr/>
        <w:t>公司实际经营包含自研、引入商业化权益及推广服务等多种模式。同样的药品终端销售，可以对应公司完整产品收入、合作收入或仅推广报酬，毛利和资金责任不同。治疗领域收入还包含授权收入，不能把神经领域全部收入视为先必新单品销售，更不能把合作方全球销售视为先声收入。模型分别保存既有收入组、新药风险收入和海外持续版税，不将商业权益范围混为一个完整全球药品资产。</w:t>
      </w:r>
    </w:p>
    <w:p>
      <w:pPr>
        <w:pStyle w:val="Normal"/>
        <w:rPr/>
      </w:pPr>
      <w:r>
        <w:rPr/>
        <w:t>先声再明是重要肿瘤研发和商业化平台，历史公开经济持股约</w:t>
      </w:r>
      <w:r>
        <w:rPr/>
        <w:t>83.1%</w:t>
      </w:r>
      <w:r>
        <w:rPr/>
        <w:t>，拟独立上市仍处筹备阶段。财务中部分外部投资具有赎回性质，其会计表现与普通少数股权不同。本文把正常肿瘤经营利润按研究经济份额归属，同时把赎回条款保留在资金情景中。这一处理有助于看清长期权益，但不等于复制国际财务报告准则归母利润，估值口径必须明确，不能声称它就是公司官方调整后盈利。</w:t>
      </w:r>
    </w:p>
    <w:p>
      <w:pPr>
        <w:pStyle w:val="Heading2"/>
        <w:rPr/>
      </w:pPr>
      <w:r>
        <w:rPr>
          <w:color w:val="000000"/>
        </w:rPr>
        <w:t>三 神经业务与先必新的长期需求</w:t>
      </w:r>
    </w:p>
    <w:p>
      <w:pPr>
        <w:pStyle w:val="Normal"/>
        <w:rPr/>
      </w:pPr>
      <w:r>
        <w:rPr/>
        <w:t>上半年神经领域收入约</w:t>
      </w:r>
      <w:r>
        <w:rPr/>
        <w:t>20.09</w:t>
      </w:r>
      <w:r>
        <w:rPr/>
        <w:t>亿元，同比增长</w:t>
      </w:r>
      <w:r>
        <w:rPr/>
        <w:t>60.9%</w:t>
      </w:r>
      <w:r>
        <w:rPr/>
        <w:t>，是收入改善的重要来源。急性缺血性脑卒中具有高疾病负担和显著时间敏感性，治疗首先依赖规范诊断、再灌注和整体卒中救治体系。先必新定位脑细胞保护，通过改善患者功能结局参与这套体系。投资判断关注临床证据在指南和处方中的转化、医院覆盖、治疗人数与净收入，不能以人口老龄化直接推导无限药品销售。</w:t>
      </w:r>
    </w:p>
    <w:p>
      <w:pPr>
        <w:pStyle w:val="Normal"/>
        <w:rPr/>
      </w:pPr>
      <w:r>
        <w:rPr/>
        <w:t>依达拉奉右莰醇注射剂于二〇二〇年在中国批准，已经进入医保。七月九日公告披露纳入二〇二六年版基本药物目录，可能支持县域和基层配备、提高下沉市场可及性。配备与优先使用要求有商业意义，但医院实际处方仍受患者类型、医生判断、采购和预算约束。基药目录是增长条件之一，不能把新增机构数量直接乘最大疗程价格当作收入，尤其需要关注目录执行时间与基层支付能力。</w:t>
      </w:r>
    </w:p>
    <w:p>
      <w:pPr>
        <w:pStyle w:val="Normal"/>
        <w:rPr/>
      </w:pPr>
      <w:r>
        <w:rPr/>
        <w:t>公司披露上半年注射卒中市场份额约</w:t>
      </w:r>
      <w:r>
        <w:rPr/>
        <w:t>34%</w:t>
      </w:r>
      <w:r>
        <w:rPr/>
        <w:t>，新增患者约</w:t>
      </w:r>
      <w:r>
        <w:rPr/>
        <w:t>107</w:t>
      </w:r>
      <w:r>
        <w:rPr/>
        <w:t>万、覆盖超过</w:t>
      </w:r>
      <w:r>
        <w:rPr/>
        <w:t>5900</w:t>
      </w:r>
      <w:r>
        <w:rPr/>
        <w:t>家机构。二〇二五年年报另有约</w:t>
      </w:r>
      <w:r>
        <w:rPr/>
        <w:t>41</w:t>
      </w:r>
      <w:r>
        <w:rPr/>
        <w:t>万患者和超过</w:t>
      </w:r>
      <w:r>
        <w:rPr/>
        <w:t>6500</w:t>
      </w:r>
      <w:r>
        <w:rPr/>
        <w:t>家机构等口径，两者统计期间与范围不能确认完全一致。本文不以这些数直接计算同比单价或医院产出，也不称覆盖机构显著下降。较可靠的结论是产品已有较广使用基础，持续增长仍需以审计产品收入和真实临床使用指标交叉核验。</w:t>
      </w:r>
    </w:p>
    <w:p>
      <w:pPr>
        <w:pStyle w:val="Normal"/>
        <w:rPr/>
      </w:pPr>
      <w:r>
        <w:rPr/>
        <w:t>公告提及非取栓患者的研究以及取栓联合研究支持九十天功能独立比例改善，指南推荐提供产品采用依据。研究不能把公告中的总体有效性叙述扩大为所有卒中亚组均同样获益，也不能认为药物可以替代及时再灌注。若现实诊疗路径改变、同机制或其他保护剂取得更强证据、医保对费用效益提出更严格要求，市场份额与价格都可能受到影响。现有处方优势需要持续医学推广和高质量证据维护。</w:t>
      </w:r>
    </w:p>
    <w:p>
      <w:pPr>
        <w:pStyle w:val="Normal"/>
        <w:rPr/>
      </w:pPr>
      <w:r>
        <w:rPr/>
        <w:t>舌下剂型于二〇二四年十二月在中国批准，二〇二四年八月获得美国食品药品管理局突破性疗法认定。后者是加速开发的监管认定，不是美国上市许可，也不意味着海外销售已经存在。给药便利性可能扩大临床使用场景，但注射与舌下之间也存在替代关系，新增患者和既有剂型转换不能重复计数。模型把其潜力包含神经既有收入增长组，没有另加未经核实的美国商业化现值。</w:t>
      </w:r>
    </w:p>
    <w:p>
      <w:pPr>
        <w:pStyle w:val="Normal"/>
        <w:rPr/>
      </w:pPr>
      <w:r>
        <w:rPr/>
        <w:t>长期神经业务的难点在于高增长基数与价格约束同时存在。基准情景神经收入从二〇二六年</w:t>
      </w:r>
      <w:r>
        <w:rPr/>
        <w:t>43</w:t>
      </w:r>
      <w:r>
        <w:rPr/>
        <w:t>亿元增长至二〇三一年</w:t>
      </w:r>
      <w:r>
        <w:rPr/>
        <w:t>74</w:t>
      </w:r>
      <w:r>
        <w:rPr/>
        <w:t>亿元，既包含已上市组合扩展也承认增速逐步下降。悲观则长期接近四十多亿元，考虑下沉放量不足、价格竞争及替代产品。乐观需要更强覆盖和需求转化，不只依赖政策名称。十年后若缺乏新证据与新产品，单一成熟卒中产品难以永久维持增长溢价。</w:t>
      </w:r>
    </w:p>
    <w:p>
      <w:pPr>
        <w:pStyle w:val="Heading2"/>
        <w:rPr/>
      </w:pPr>
      <w:r>
        <w:rPr>
          <w:color w:val="000000"/>
        </w:rPr>
        <w:t>四 失眠产品与自身免疫业务</w:t>
      </w:r>
    </w:p>
    <w:p>
      <w:pPr>
        <w:pStyle w:val="Normal"/>
        <w:rPr/>
      </w:pPr>
      <w:r>
        <w:rPr/>
        <w:t>科唯可达利雷生是双重食欲素受体拮抗剂，二〇二五年六月获中国批准，提供失眠治疗领域的新机制选择。失眠患者多、长期管理复杂，需求受到诊断率、就诊意愿、疗效、安全性与自付能力影响。新机制的价值在于可供医生选择的风险收益特征，而非所有睡眠问题都适用同一药物。它未被列为精神管制药的事实可能影响使用便利性，不能被解释成没有安全性监测要求。</w:t>
      </w:r>
    </w:p>
    <w:p>
      <w:pPr>
        <w:pStyle w:val="Normal"/>
        <w:rPr/>
      </w:pPr>
      <w:r>
        <w:rPr/>
        <w:t>引进产品的权益范围及商业化成本决定公司经济收入，海外原研企业的全球销售并非先声收入。达利雷生在不同地区的批准、定价、渠道和临床采用也不相同。与其引用海外市场规模后直接赋予先声相同比例，研究把中国商业化收入纳入神经组并保留推广费用。某些小样本探索研究只代表进一步研究线索，例如三十人左右的注意缺陷多动障碍研究，不等于注册性证据和已扩大适应症。</w:t>
      </w:r>
    </w:p>
    <w:p>
      <w:pPr>
        <w:pStyle w:val="Normal"/>
        <w:rPr/>
      </w:pPr>
      <w:r>
        <w:rPr/>
        <w:t>自身免疫领域上半年约</w:t>
      </w:r>
      <w:r>
        <w:rPr/>
        <w:t>12.10</w:t>
      </w:r>
      <w:r>
        <w:rPr/>
        <w:t>亿元、增长</w:t>
      </w:r>
      <w:r>
        <w:rPr/>
        <w:t>37.8%</w:t>
      </w:r>
      <w:r>
        <w:rPr/>
        <w:t>，已上市产品和后续新机制共同构成发展方向。艾得辛艾拉莫德属于传统改善病情抗风湿药，既有医生经验和处方渠道形成基础，但竞争也来自同类药、仿制品、生物制剂与靶向小分子。收入增长需要区分处方量与价格，不能因为疾病需要长期治疗便假定每位患者长期选择先声同一产品。长期医保和医生治疗方案变化会影响组合结构。</w:t>
      </w:r>
    </w:p>
    <w:p>
      <w:pPr>
        <w:pStyle w:val="Normal"/>
        <w:rPr/>
      </w:pPr>
      <w:r>
        <w:rPr/>
        <w:t>乐德奇拜单抗靶向白介素四受体，用于特应性皮炎等开发方向。特应性皮炎中重度患者需要更有效、可持续的治疗，竞争主要围绕瘙痒改善、皮损清除、安全性、给药方式和可负担性。公司披露十六周皮损改善指标有较高响应，五十二周数据进一步显示持续治疗中的改善。这些数据支持候选药物潜力，但不同试验设计、入组条件、缺失值处理及持续治疗选择会改变比例，不能直接宣布优于其他单抗头对头证据。</w:t>
      </w:r>
    </w:p>
    <w:p>
      <w:pPr>
        <w:pStyle w:val="Normal"/>
        <w:rPr/>
      </w:pPr>
      <w:r>
        <w:rPr/>
        <w:t>其新药上市申请曾于二〇二五年七月提交，二〇二六年四月进行战略撤回后重新提交并获受理。受理意味着进入审评，不代表批准、医保或商业销售的确定日期。模型基准采用二〇二七年起风险收入、成功识别因子</w:t>
      </w:r>
      <w:r>
        <w:rPr/>
        <w:t>75%</w:t>
      </w:r>
      <w:r>
        <w:rPr/>
        <w:t>，而悲观延至二〇二八年并使用</w:t>
      </w:r>
      <w:r>
        <w:rPr/>
        <w:t>45%</w:t>
      </w:r>
      <w:r>
        <w:rPr/>
        <w:t>。这两个数字是结合阶段与不确定性的研究输入，不是监管机构承诺，也没有把潜在哮喘适应症完整叠加进同一个市场规模。</w:t>
      </w:r>
    </w:p>
    <w:p>
      <w:pPr>
        <w:pStyle w:val="Normal"/>
        <w:rPr/>
      </w:pPr>
      <w:r>
        <w:rPr/>
        <w:t>普美昔替尼凝胶是另一种商业合作，六月一日公司公告取得中国内地、香港及澳门独家推广服务权，特应性皮炎申请于二月获受理。推广权对应的经济价值应按先声可确认的服务收入或合同毛利估计，不等于拥有伙伴全部销售。模型设置较低的确认收入规模与不同毛利，避免把小分子外用药整个终端市场收入再算一次。需要继续核实合同分成、供货与推广责任，缺失条款会降低模型可信度。</w:t>
      </w:r>
    </w:p>
    <w:p>
      <w:pPr>
        <w:pStyle w:val="Normal"/>
        <w:rPr/>
      </w:pPr>
      <w:r>
        <w:rPr/>
        <w:t>自身免疫长期增长必须在相互竞争与替代中实现。传统口服药与单抗、小分子或外用产品可以覆盖不同疾病严重度，也可能在同一支付预算中相互挤压。基准既有收入组至二〇三一年</w:t>
      </w:r>
      <w:r>
        <w:rPr/>
        <w:t>36</w:t>
      </w:r>
      <w:r>
        <w:rPr/>
        <w:t>亿元，另列风险新品收入，不将新药收入含入既有组后再次增加。若研发进入激烈同质化竞争、售价下调快于销量或推广费用居高不下，收入增长可能不足以带来相同比例利润，需同时下修毛利与费用杠杆。</w:t>
      </w:r>
    </w:p>
    <w:p>
      <w:pPr>
        <w:pStyle w:val="Heading2"/>
        <w:rPr/>
      </w:pPr>
      <w:r>
        <w:rPr>
          <w:color w:val="000000"/>
        </w:rPr>
        <w:t>五 肿瘤商业组合与利润转折</w:t>
      </w:r>
    </w:p>
    <w:p>
      <w:pPr>
        <w:pStyle w:val="Normal"/>
        <w:rPr/>
      </w:pPr>
      <w:r>
        <w:rPr/>
        <w:t>上半年肿瘤收入约</w:t>
      </w:r>
      <w:r>
        <w:rPr/>
        <w:t>9.248</w:t>
      </w:r>
      <w:r>
        <w:rPr/>
        <w:t>亿元，同比增长</w:t>
      </w:r>
      <w:r>
        <w:rPr/>
        <w:t>5.8%</w:t>
      </w:r>
      <w:r>
        <w:rPr/>
        <w:t>，而该分部调整后税前亏损约</w:t>
      </w:r>
      <w:r>
        <w:rPr/>
        <w:t>2.09435</w:t>
      </w:r>
      <w:r>
        <w:rPr/>
        <w:t>亿元。低于神经和自身免疫的增长与持续研发费用说明肿瘤不是已经成熟的高利润现金源。产品数量增加可以使渠道互补，但每个新适应症也需要医学沟通、医院准入和临床投入。不能把上半年集团高毛利率直接赋予肿瘤净利润，更不能因有多款创新药就假定分部立即盈利。</w:t>
      </w:r>
    </w:p>
    <w:p>
      <w:pPr>
        <w:pStyle w:val="Normal"/>
        <w:rPr/>
      </w:pPr>
      <w:r>
        <w:rPr/>
        <w:t>恩度重组人血管内皮抑制素拥有既有肿瘤使用基础，二〇二五年末转入常规医保目录有助处方稳定。胸腹腔积液相关申请于二〇二六年二月受理，属于扩展机会而非基准日已批准适应症。已有产品与新适应症的患者群可能重叠，收入预测应关注治疗方案、用药疗程和其他药物竞争。成熟产品可以支持渠道，却可能因价格与临床方案改变而遇到增长上限。</w:t>
      </w:r>
    </w:p>
    <w:p>
      <w:pPr>
        <w:pStyle w:val="Normal"/>
        <w:rPr/>
      </w:pPr>
      <w:r>
        <w:rPr/>
        <w:t>恩维达恩沃利单抗是皮下给药的程序性死亡配体一抗体，先声拥有中国大陆独家推广权。皮下给药便利性是商业优势的一个维度，还要比较证据、适应症、支付、治疗组合与医生采用。胆道肿瘤申请于年初受理，围术期非小细胞肺癌试验于五月完成最后患者入组，尚不能当成该适应症已有疗效读出。模型把其现有推广经济纳入肿瘤收入组，没有将全世界免疫检查点药物销售收入归给公司。</w:t>
      </w:r>
    </w:p>
    <w:p>
      <w:pPr>
        <w:pStyle w:val="Normal"/>
        <w:rPr/>
      </w:pPr>
      <w:r>
        <w:rPr/>
        <w:t>科赛拉曲拉西利于八月新增二、三线广泛期小细胞肺癌相关适应症，主要用作骨髓保护。尽管属于细胞周期蛋白依赖性激酶抑制机制，临床使用与常见持续抗肿瘤的同类药物并不相同。销售取决于化疗路径、血液学获益、给药流程和费用，而非直接替代所有口服抗肿瘤抑制剂。产品推广要让临床价值与医院实际资源相匹配，避免把机制名称相似当作市场规模相同。</w:t>
      </w:r>
    </w:p>
    <w:p>
      <w:pPr>
        <w:pStyle w:val="Normal"/>
        <w:rPr/>
      </w:pPr>
      <w:r>
        <w:rPr/>
        <w:t>恩立妥西妥昔单抗贝塔用于特定分子背景的转移性结直肠癌，已于二〇二四年批准并进入医保。公司披露的原试验无进展生存和总生存数据支持疗效判断，但不同分子筛选与治疗线次对患者范围十分重要。不能将所有结直肠癌患者算作可治疗人群。研发、制造与商业化合同责任的具体划分也影响净利润，本文采用收入组方法，未凭产品名推断先声拥有全部全球权益。</w:t>
      </w:r>
    </w:p>
    <w:p>
      <w:pPr>
        <w:pStyle w:val="Normal"/>
        <w:rPr/>
      </w:pPr>
      <w:r>
        <w:rPr/>
        <w:t>恩泽舒苏维西塔单抗于二〇二五年六月批准并于年底纳入医保，在铂耐药卵巢癌等开发方向具有价值。披露的关键研究双终点支持商业基础，但动物实验相对贝伐珠单抗的表现不能作为两种药在人群中直接优劣的证据。抗血管生成治疗已有多个竞争者，安全性、适应症标签和联合方案会决定真实采用。模型允许其帮助肿瘤增长，同时保留费用和经济少数权益，避免把商业放量全部归母。</w:t>
      </w:r>
    </w:p>
    <w:p>
      <w:pPr>
        <w:pStyle w:val="Normal"/>
        <w:rPr/>
      </w:pPr>
      <w:r>
        <w:rPr/>
        <w:t>基准肿瘤既有收入从二〇二六年</w:t>
      </w:r>
      <w:r>
        <w:rPr/>
        <w:t>20</w:t>
      </w:r>
      <w:r>
        <w:rPr/>
        <w:t>亿元增至二〇三一年</w:t>
      </w:r>
      <w:r>
        <w:rPr/>
        <w:t>51</w:t>
      </w:r>
      <w:r>
        <w:rPr/>
        <w:t>亿元，新品风险收入及海外版税另算。扣按比例分配的销售、行政、全研发和减值后，正常税前贡献二〇二六年仍亏约</w:t>
      </w:r>
      <w:r>
        <w:rPr/>
        <w:t>2.793</w:t>
      </w:r>
      <w:r>
        <w:rPr/>
        <w:t>亿元，二〇二七年仍小幅亏损，二〇二八年转正。这条路径比只依据收入增长估值更谨慎，却仍有显著判断性，因为分部成本分配并非公司提供的未来预算。若真实商业化费用更高，盈亏转折会推迟。</w:t>
      </w:r>
    </w:p>
    <w:p>
      <w:pPr>
        <w:pStyle w:val="Heading2"/>
        <w:rPr/>
      </w:pPr>
      <w:r>
        <w:rPr>
          <w:color w:val="000000"/>
        </w:rPr>
        <w:t>六 抗感染 婴幼儿预防与疾病季节性</w:t>
      </w:r>
    </w:p>
    <w:p>
      <w:pPr>
        <w:pStyle w:val="Normal"/>
        <w:rPr/>
      </w:pPr>
      <w:r>
        <w:rPr/>
        <w:t>英沐乐克莱索维单抗于九月三日在中国获批，先声此前取得大中华独家商业化权益，用于符合标签的婴幼儿首个呼吸道合胞病毒季预防。它是长效预防抗体，不能与其他预防抗体名称混同，也不是已经感染婴幼儿的直接抗病毒治疗药。公开标签涉及胎龄至少三十五周的首个流行季婴儿，并有慢性肺病等特定情况限制，模型不能把全部新生儿和所有高风险患儿都作为同一可用人群。</w:t>
      </w:r>
    </w:p>
    <w:p>
      <w:pPr>
        <w:pStyle w:val="Normal"/>
        <w:rPr/>
      </w:pPr>
      <w:r>
        <w:rPr/>
        <w:t>预防产品的市场由出生人口、季节、诊断和家长支付共同决定。疾病住院负担支持医学需求，但自费定价、保险报销、接种或给药渠道、冷链及医护资源会影响覆盖。出生人口下降可减少长期目标人群，预防意识提高可能提高渗透率，两者需要同时考虑。中国不同地区流行时间与城市收入差异很大，不能把海外一个季节的商业结果机械移植。模型在既有其他收入组内保留初期商业贡献，没有把所有婴儿都假定付费。</w:t>
      </w:r>
    </w:p>
    <w:p>
      <w:pPr>
        <w:pStyle w:val="Normal"/>
        <w:rPr/>
      </w:pPr>
      <w:r>
        <w:rPr/>
        <w:t>先林达是氘代玛巴洛沙韦流感候选药，成人青少年和儿童申请处于审评。流感用药具有明显季节性，轻症自限、处方便利性、病毒耐药、给药时间窗及渠道都会决定销量。一个强流行季可能提高收入，也可能使下一年度同比出现高基数压力。模型风险收入使用低于成熟慢病产品的峰值，按商业启动逐年爬坡，而没有以一次流感高峰作为永续收入。申请受理也不能等同所有年龄标签同时获批。</w:t>
      </w:r>
    </w:p>
    <w:p>
      <w:pPr>
        <w:pStyle w:val="Normal"/>
        <w:rPr/>
      </w:pPr>
      <w:r>
        <w:rPr/>
        <w:t>氘瑞米德韦则用于呼吸道合胞病毒感染治疗，婴幼儿三期试验于二〇二六年启动，相关大中华权益还涉及人偏肺病毒。它与英沐乐的预防路径不同，若预防覆盖提升，治疗候选的可服务市场可能改变。疾病流行严重度、诊断确证、早期给药和住院标准都会影响试验与市场。模型把其中国风险收入独立保存并设置较低成功识别，未因预防药批准而提高治疗候选成功率。</w:t>
      </w:r>
    </w:p>
    <w:p>
      <w:pPr>
        <w:pStyle w:val="Normal"/>
        <w:rPr/>
      </w:pPr>
      <w:r>
        <w:rPr/>
        <w:t>其他领域上半年收入约</w:t>
      </w:r>
      <w:r>
        <w:rPr/>
        <w:t>4.36</w:t>
      </w:r>
      <w:r>
        <w:rPr/>
        <w:t>亿元，同比下降</w:t>
      </w:r>
      <w:r>
        <w:rPr/>
        <w:t>25.2%</w:t>
      </w:r>
      <w:r>
        <w:rPr/>
        <w:t>，提醒投资者组合中仍有衰退或波动业务。短期产品结构变化可以被高速增长领域掩盖，但不应从模型删除。基准既有其他收入近年保持约七至八亿元，悲观逐步下降，乐观则在新预防业务采用后有所增加。新增流感和治疗候选另列，防止把老业务下降直接假设由未批准产品完全弥补。抗感染组合有需求，也承担季节和政策风险。</w:t>
      </w:r>
    </w:p>
    <w:p>
      <w:pPr>
        <w:pStyle w:val="Heading2"/>
        <w:rPr/>
      </w:pPr>
      <w:r>
        <w:rPr>
          <w:color w:val="000000"/>
        </w:rPr>
        <w:t>七 国内管线的证据与估值约束</w:t>
      </w:r>
    </w:p>
    <w:p>
      <w:pPr>
        <w:pStyle w:val="Normal"/>
        <w:rPr/>
      </w:pPr>
      <w:r>
        <w:rPr/>
        <w:t>SIM0270</w:t>
      </w:r>
      <w:r>
        <w:rPr/>
        <w:t>口服选择性雌激素受体降解剂的三期于六月完成最后患者入组，公开材料尚未提供本章可核验的关键疗效结果。激素受体阳性乳腺癌市场大，却已有多种内分泌方案、靶向联合与新型降解剂竞争。候选药需证明适合的耐药亚组、临床获益、安全性及联合治疗可用性。动物脑穿透表现提供研发方向，不能推断人类脑转移疗效或已获对应适应症。</w:t>
      </w:r>
    </w:p>
    <w:p>
      <w:pPr>
        <w:pStyle w:val="Normal"/>
        <w:rPr/>
      </w:pPr>
      <w:r>
        <w:rPr/>
        <w:t>模型基准采用二〇二九年开始风险收入、</w:t>
      </w:r>
      <w:r>
        <w:rPr/>
        <w:t>50%</w:t>
      </w:r>
      <w:r>
        <w:rPr/>
        <w:t>成功识别，乐观二〇二八年、</w:t>
      </w:r>
      <w:r>
        <w:rPr/>
        <w:t>75%</w:t>
      </w:r>
      <w:r>
        <w:rPr/>
        <w:t>，悲观二〇三〇年、</w:t>
      </w:r>
      <w:r>
        <w:rPr/>
        <w:t>20%</w:t>
      </w:r>
      <w:r>
        <w:rPr/>
        <w:t>。这里的成功识别同时简化了临床和商业实现的不确定性，不等于经过统计拟合的特定药获批概率。若关键试验阴性，应将相应收入删除，并保留已发生研发成本；不能用另一个药物的成功来自动补偿相同资产。国内新增收入峰值基准</w:t>
      </w:r>
      <w:r>
        <w:rPr/>
        <w:t>15</w:t>
      </w:r>
      <w:r>
        <w:rPr/>
        <w:t>亿元，同样只是竞争与使用范围约束下的研究假设。</w:t>
      </w:r>
    </w:p>
    <w:p>
      <w:pPr>
        <w:pStyle w:val="Normal"/>
        <w:rPr/>
      </w:pPr>
      <w:r>
        <w:rPr/>
        <w:t>氘洛拉替尼是引入中国内地商业化权益的第三代间变性淋巴瘤激酶方向候选，处三期与申报准备阶段，不能与公司自研第四代</w:t>
      </w:r>
      <w:r>
        <w:rPr/>
        <w:t>SIM0518</w:t>
      </w:r>
      <w:r>
        <w:rPr/>
        <w:t>混为同一资产。不同代际、突变谱、脑转移证据和耐受性决定竞争位置。模型只计中国商业权益的风险收入，毛利反映合作经济，而不加全球知识产权价值。其基准启动二〇二八年、成功识别</w:t>
      </w:r>
      <w:r>
        <w:rPr/>
        <w:t>65%</w:t>
      </w:r>
      <w:r>
        <w:rPr/>
        <w:t>，需临床和监管进展支持，延期会影响一年和三年期预期。</w:t>
      </w:r>
    </w:p>
    <w:p>
      <w:pPr>
        <w:pStyle w:val="Normal"/>
        <w:rPr/>
      </w:pPr>
      <w:r>
        <w:rPr/>
        <w:t>泽普昔替尼涉及类风湿关节炎及强直性脊柱炎商业权益，后者三期于七月完成最后患者入组。它与艾拉莫德及未来生物制剂会覆盖不同疾病需求，也存在竞争。出于权益合同和适应症收入披露不足，本文没有单独赋予完整新药现值，而在业务增长与全研发费用中保留发展影响。没有额外价值不表示产品没有价值，只表示本模型对缺乏足够输入的增量保持克制。</w:t>
      </w:r>
    </w:p>
    <w:p>
      <w:pPr>
        <w:pStyle w:val="Normal"/>
        <w:rPr/>
      </w:pPr>
      <w:r>
        <w:rPr/>
        <w:t>SIM0237</w:t>
      </w:r>
      <w:r>
        <w:rPr/>
        <w:t>程序性死亡配体一与白介素十五变体候选在非肌层浸润性膀胱癌的早期研究有积极数据。公开研究约四十九例，原位癌可评估患者完全缓解比例与乳头状病变一年无病生存属于不同亚组和指标，不能把</w:t>
      </w:r>
      <w:r>
        <w:rPr/>
        <w:t>80%</w:t>
      </w:r>
      <w:r>
        <w:rPr/>
        <w:t>完全缓解说成所有四十九名患者均达到。小样本、随访、选择性评估以及缺乏随机对照均限制外推。低系统暴露的描述也不足以保证后续更大样本没有安全性问题。</w:t>
      </w:r>
    </w:p>
    <w:p>
      <w:pPr>
        <w:pStyle w:val="Normal"/>
        <w:rPr/>
      </w:pPr>
      <w:r>
        <w:rPr/>
        <w:t>其他早期项目包括泛</w:t>
      </w:r>
      <w:r>
        <w:rPr/>
        <w:t>RAS</w:t>
      </w:r>
      <w:r>
        <w:rPr/>
        <w:t>、双特异性抗体偶联药物、不同</w:t>
      </w:r>
      <w:r>
        <w:rPr/>
        <w:t>ADC</w:t>
      </w:r>
      <w:r>
        <w:rPr/>
        <w:t>、免疫双抗等，多个项目已在二〇二六年进入早期临床。它们使研发平台有未来选择，也意味着竞争、试验与制造成本持续存在。本文没有为每个早期项目追加统一现值或最高交易金额，全集团研发费用预测仍包含这些投入。这样的处理会遗漏成功早期资产的上行，但避免用几十个项目名凑成不可核算的高估值。</w:t>
      </w:r>
    </w:p>
    <w:p>
      <w:pPr>
        <w:pStyle w:val="Heading2"/>
        <w:rPr/>
      </w:pPr>
      <w:r>
        <w:rPr>
          <w:color w:val="000000"/>
        </w:rPr>
        <w:t>八 六项海外交易与持续版税</w:t>
      </w:r>
    </w:p>
    <w:p>
      <w:pPr>
        <w:pStyle w:val="Normal"/>
        <w:rPr/>
      </w:pPr>
      <w:r>
        <w:rPr/>
        <w:t>海外交易的现金价值与长期经营价值需要分开。首付款通常在签约或条件完成时带来资金，也可能在报表中确认授权收入；临床与销售里程碑高度或有；持续版税取决于获批、商业销售和合同地区。最高总金额通常跨多年、多个临床及销售条件，不能当作现款。本文不在正常产品盈利倍数之外再叠加同一管线的最高交易额，而以风险调整的持续版税和单独现金桥呈现。</w:t>
      </w:r>
    </w:p>
    <w:p>
      <w:pPr>
        <w:pStyle w:val="Normal"/>
        <w:rPr/>
      </w:pPr>
      <w:r>
        <w:rPr/>
        <w:t>SIM0500</w:t>
      </w:r>
      <w:r>
        <w:rPr/>
        <w:t>与艾伯维属于海外许可选择权安排，二〇二五年初已有五千万美元付款，二〇二五年十二月又收四千万美元，后者于二〇二六年二月公告披露。模型六月现金锚已包括此前资金，不能再在下半年增加一次。选择权及里程碑最高约十点五五亿美元，其中部分依赖未来行权与开发，不等于已经收取十亿现金。国内未来经济还可能存在向伙伴支付的版税，不能同时算完整国内毛利与全部海外权益。</w:t>
      </w:r>
    </w:p>
    <w:p>
      <w:pPr>
        <w:pStyle w:val="Normal"/>
        <w:rPr/>
      </w:pPr>
      <w:r>
        <w:rPr/>
        <w:t>SIM0505</w:t>
      </w:r>
      <w:r>
        <w:rPr/>
        <w:t>与</w:t>
      </w:r>
      <w:r>
        <w:rPr/>
        <w:t>NextCure</w:t>
      </w:r>
      <w:r>
        <w:rPr/>
        <w:t>签订大中华区以外权益合作，交易最高七点四五亿美元含不同条件付款。该候选处早期开发，海外版税只有在成功上市后才有持续性。模型基准设二〇二九年商业启动、伙伴峰值十五亿美元、研究版税率</w:t>
      </w:r>
      <w:r>
        <w:rPr/>
        <w:t>12%</w:t>
      </w:r>
      <w:r>
        <w:rPr/>
        <w:t>及成功识别</w:t>
      </w:r>
      <w:r>
        <w:rPr/>
        <w:t>30%</w:t>
      </w:r>
      <w:r>
        <w:rPr/>
        <w:t>，这些均非公开合同确切商业预测。</w:t>
      </w:r>
      <w:r>
        <w:rPr/>
        <w:t>NextCure</w:t>
      </w:r>
      <w:r>
        <w:rPr/>
        <w:t>股权或其他资本资产没有再加入目标价，避免将药品合作与股票资产混算。</w:t>
      </w:r>
    </w:p>
    <w:p>
      <w:pPr>
        <w:pStyle w:val="Normal"/>
        <w:rPr/>
      </w:pPr>
      <w:r>
        <w:rPr/>
        <w:t>SIM0613</w:t>
      </w:r>
      <w:r>
        <w:rPr/>
        <w:t>与</w:t>
      </w:r>
      <w:r>
        <w:rPr/>
        <w:t>Ipsen</w:t>
      </w:r>
      <w:r>
        <w:rPr/>
        <w:t>的海外协议披露四千五百万美元首付款、包含该首付款的总潜在额约十点六亿美元。金额大的原因可能是开发与商业里程碑组合，不能仅按总额判断产品比同行更有价值。其</w:t>
      </w:r>
      <w:r>
        <w:rPr/>
        <w:t>LRRC15</w:t>
      </w:r>
      <w:r>
        <w:rPr/>
        <w:t>相关</w:t>
      </w:r>
      <w:r>
        <w:rPr/>
        <w:t>ADC</w:t>
      </w:r>
      <w:r>
        <w:rPr/>
        <w:t>仍需临床证据，靶点、毒性、患者选择与组合治疗均存在不确定性。模型基准海外版税较晚启动，已收或已纳入六月现金的首付不重复进入新增资金。</w:t>
      </w:r>
    </w:p>
    <w:p>
      <w:pPr>
        <w:pStyle w:val="Normal"/>
        <w:rPr/>
      </w:pPr>
      <w:r>
        <w:rPr/>
        <w:t>SIM0709</w:t>
      </w:r>
      <w:r>
        <w:rPr/>
        <w:t>与勃林格殷格翰合作以欧元计价，首付款四千二百万欧元、潜在里程碑约十点一六亿欧元。它是免疫方向前临床项目，与美元计价交易不能直接相加。基准估值版税收入转换使用统一研究外汇假设，历史首付款则按已公开财务现金口径核验。不能把前临床联合机制的新颖性当成更高的必然成功概率，模型仍给予较低成功识别并延迟商业收入。</w:t>
      </w:r>
    </w:p>
    <w:p>
      <w:pPr>
        <w:pStyle w:val="Normal"/>
        <w:rPr/>
      </w:pPr>
      <w:r>
        <w:rPr/>
        <w:t>SIM0278</w:t>
      </w:r>
      <w:r>
        <w:rPr/>
        <w:t>与</w:t>
      </w:r>
      <w:r>
        <w:rPr/>
        <w:t>Almirall</w:t>
      </w:r>
      <w:r>
        <w:rPr/>
        <w:t>的境外合作处较后早期阶段，但完整合同分层费率和各个里程碑条件未公开。模型基准采用</w:t>
      </w:r>
      <w:r>
        <w:rPr/>
        <w:t>10%</w:t>
      </w:r>
      <w:r>
        <w:rPr/>
        <w:t>研究版税率、</w:t>
      </w:r>
      <w:r>
        <w:rPr/>
        <w:t>30%</w:t>
      </w:r>
      <w:r>
        <w:rPr/>
        <w:t>识别、二〇三〇年商业启动，仅供敏感性分析。不同市场规模与竞争结果会改变收入，不能把基准率称为合同保证。国内对应新管线没有另加收入，防止不清楚开发费用与权益范围时把同一项目在两个估值模块重复计算。</w:t>
      </w:r>
    </w:p>
    <w:p>
      <w:pPr>
        <w:pStyle w:val="Normal"/>
        <w:rPr/>
      </w:pPr>
      <w:r>
        <w:rPr/>
        <w:t>SIM0660</w:t>
      </w:r>
      <w:r>
        <w:rPr/>
        <w:t>九月与罗氏签约，涉及全球权利，首付款七千五百万美元、潜在里程碑十四点五五亿美元、公开提到分层版税最高为双位数。其前临床阶段使临床风险仍高，全球授权后先声不能再按完整中国直接销售权估值。模型下半年按五点二五亿元人民币毛现金及</w:t>
      </w:r>
      <w:r>
        <w:rPr/>
        <w:t>85%</w:t>
      </w:r>
      <w:r>
        <w:rPr/>
        <w:t>净现金假设计入资金桥，未确认实际到账、汇率与税负；利润估值剔除首付，只在较远期保存持续版税。</w:t>
      </w:r>
    </w:p>
    <w:p>
      <w:pPr>
        <w:pStyle w:val="Normal"/>
        <w:rPr/>
      </w:pPr>
      <w:r>
        <w:rPr/>
        <w:t>海外伙伴验证了公司发现与转化能力，也承担部分开发费用及境外商业风险，这是平台商业质量的积极证据。仍需追踪是否行权、是否停止项目、临床进度及后续付款。如果未来授权越来越依靠早期项目而成熟产品增长放缓，利润波动可能增加。把所有合作视为永久稳定现金流会低估开发失败与谈判风险；把授权全部忽略也会遗漏资金与持续版税的经济价值，分层保存才能解释两者。</w:t>
      </w:r>
    </w:p>
    <w:p>
      <w:pPr>
        <w:pStyle w:val="Heading2"/>
        <w:rPr/>
      </w:pPr>
      <w:r>
        <w:rPr>
          <w:color w:val="000000"/>
        </w:rPr>
        <w:t>九 收入 利润质量与费用结构</w:t>
      </w:r>
    </w:p>
    <w:p>
      <w:pPr>
        <w:pStyle w:val="Normal"/>
        <w:rPr/>
      </w:pPr>
      <w:r>
        <w:rPr/>
        <w:t>二〇二六年上半年收入</w:t>
      </w:r>
      <w:r>
        <w:rPr/>
        <w:t>45.80142</w:t>
      </w:r>
      <w:r>
        <w:rPr/>
        <w:t>亿元，由产品</w:t>
      </w:r>
      <w:r>
        <w:rPr/>
        <w:t>38.93202</w:t>
      </w:r>
      <w:r>
        <w:rPr/>
        <w:t>亿元、商业化合作</w:t>
      </w:r>
      <w:r>
        <w:rPr/>
        <w:t>1.12202</w:t>
      </w:r>
      <w:r>
        <w:rPr/>
        <w:t>亿元、合作</w:t>
      </w:r>
      <w:r>
        <w:rPr/>
        <w:t>1.54934</w:t>
      </w:r>
      <w:r>
        <w:rPr/>
        <w:t>亿元、授权</w:t>
      </w:r>
      <w:r>
        <w:rPr/>
        <w:t>4.05007</w:t>
      </w:r>
      <w:r>
        <w:rPr/>
        <w:t>亿元、研发服务</w:t>
      </w:r>
      <w:r>
        <w:rPr/>
        <w:t>0.09641</w:t>
      </w:r>
      <w:r>
        <w:rPr/>
        <w:t>亿元及其他</w:t>
      </w:r>
      <w:r>
        <w:rPr/>
        <w:t>0.05156</w:t>
      </w:r>
      <w:r>
        <w:rPr/>
        <w:t>亿元组成。相比重列同期</w:t>
      </w:r>
      <w:r>
        <w:rPr/>
        <w:t>35.84912</w:t>
      </w:r>
      <w:r>
        <w:rPr/>
        <w:t>亿元，总收入增长</w:t>
      </w:r>
      <w:r>
        <w:rPr/>
        <w:t>27.76%</w:t>
      </w:r>
      <w:r>
        <w:rPr/>
        <w:t>。产品销售从</w:t>
      </w:r>
      <w:r>
        <w:rPr/>
        <w:t>32.57304</w:t>
      </w:r>
      <w:r>
        <w:rPr/>
        <w:t>亿元增至</w:t>
      </w:r>
      <w:r>
        <w:rPr/>
        <w:t>38.93202</w:t>
      </w:r>
      <w:r>
        <w:rPr/>
        <w:t>亿元、增长</w:t>
      </w:r>
      <w:r>
        <w:rPr/>
        <w:t>19.52%</w:t>
      </w:r>
      <w:r>
        <w:rPr/>
        <w:t>。两种增长都是真实报表数据，但反映不同可持续性，估值不能只展示较高的一个。</w:t>
      </w:r>
    </w:p>
    <w:p>
      <w:pPr>
        <w:pStyle w:val="Normal"/>
        <w:rPr/>
      </w:pPr>
      <w:r>
        <w:rPr/>
        <w:t>毛利</w:t>
      </w:r>
      <w:r>
        <w:rPr/>
        <w:t>38.15037</w:t>
      </w:r>
      <w:r>
        <w:rPr/>
        <w:t>亿元、营业成本</w:t>
      </w:r>
      <w:r>
        <w:rPr/>
        <w:t>7.65105</w:t>
      </w:r>
      <w:r>
        <w:rPr/>
        <w:t>亿元，毛利率约</w:t>
      </w:r>
      <w:r>
        <w:rPr/>
        <w:t>83.29%</w:t>
      </w:r>
      <w:r>
        <w:rPr/>
        <w:t>。高毛利来自药品结构与授权等轻成本收入，并不等于净利润率。销售及分销</w:t>
      </w:r>
      <w:r>
        <w:rPr/>
        <w:t>17.07916</w:t>
      </w:r>
      <w:r>
        <w:rPr/>
        <w:t>亿元、行政</w:t>
      </w:r>
      <w:r>
        <w:rPr/>
        <w:t>3.21981</w:t>
      </w:r>
      <w:r>
        <w:rPr/>
        <w:t>亿元、研发</w:t>
      </w:r>
      <w:r>
        <w:rPr/>
        <w:t>8.24922</w:t>
      </w:r>
      <w:r>
        <w:rPr/>
        <w:t>亿元，三项合计已消耗相当部分毛利。销售费用约占总收入</w:t>
      </w:r>
      <w:r>
        <w:rPr/>
        <w:t>37.29%</w:t>
      </w:r>
      <w:r>
        <w:rPr/>
        <w:t>、研发费用约</w:t>
      </w:r>
      <w:r>
        <w:rPr/>
        <w:t>18.01%</w:t>
      </w:r>
      <w:r>
        <w:rPr/>
        <w:t>，产品准入、学术推广和开发需要真实支出。对多年模型而言，费用增长是否低于收入是关键变量，而非毛利率单独决定。</w:t>
      </w:r>
    </w:p>
    <w:p>
      <w:pPr>
        <w:pStyle w:val="Normal"/>
        <w:rPr/>
      </w:pPr>
      <w:r>
        <w:rPr/>
        <w:t>集团报告归母利润</w:t>
      </w:r>
      <w:r>
        <w:rPr/>
        <w:t>8.28720</w:t>
      </w:r>
      <w:r>
        <w:rPr/>
        <w:t>亿元、合并利润</w:t>
      </w:r>
      <w:r>
        <w:rPr/>
        <w:t>8.26536</w:t>
      </w:r>
      <w:r>
        <w:rPr/>
        <w:t>亿元、少数亏损</w:t>
      </w:r>
      <w:r>
        <w:rPr/>
        <w:t>0.02184</w:t>
      </w:r>
      <w:r>
        <w:rPr/>
        <w:t>亿元。公司调整后归母</w:t>
      </w:r>
      <w:r>
        <w:rPr/>
        <w:t>9.64398</w:t>
      </w:r>
      <w:r>
        <w:rPr/>
        <w:t>亿元，桥为归母加金融资产公允价值亏损</w:t>
      </w:r>
      <w:r>
        <w:rPr/>
        <w:t>0.96494</w:t>
      </w:r>
      <w:r>
        <w:rPr/>
        <w:t>亿元、赎回利息</w:t>
      </w:r>
      <w:r>
        <w:rPr/>
        <w:t>0.40375</w:t>
      </w:r>
      <w:r>
        <w:rPr/>
        <w:t>亿元，再减税调整</w:t>
      </w:r>
      <w:r>
        <w:rPr/>
        <w:t>0.01191</w:t>
      </w:r>
      <w:r>
        <w:rPr/>
        <w:t>亿元。调整数同比约</w:t>
      </w:r>
      <w:r>
        <w:rPr/>
        <w:t>48.67%</w:t>
      </w:r>
      <w:r>
        <w:rPr/>
        <w:t>，但这一调整并未剔除全部授权收入。本文正常利润另排除一次性授权、投资及补助等，不能拿二者直接比较增长而宣布公司低于或超过本模型。</w:t>
      </w:r>
    </w:p>
    <w:p>
      <w:pPr>
        <w:pStyle w:val="Normal"/>
        <w:rPr/>
      </w:pPr>
      <w:r>
        <w:rPr/>
        <w:t>其他收入</w:t>
      </w:r>
      <w:r>
        <w:rPr/>
        <w:t>0.85890</w:t>
      </w:r>
      <w:r>
        <w:rPr/>
        <w:t>亿元中政府补助</w:t>
      </w:r>
      <w:r>
        <w:rPr/>
        <w:t>0.77321</w:t>
      </w:r>
      <w:r>
        <w:rPr/>
        <w:t>亿元，汇兑净收益</w:t>
      </w:r>
      <w:r>
        <w:rPr/>
        <w:t>0.24620</w:t>
      </w:r>
      <w:r>
        <w:rPr/>
        <w:t>亿元；存款与第三方贷款利息合计约</w:t>
      </w:r>
      <w:r>
        <w:rPr/>
        <w:t>0.48394</w:t>
      </w:r>
      <w:r>
        <w:rPr/>
        <w:t>亿元。相关资金收益有经济价值但受资金规模、利率和汇率影响，本文正常产品盈利没有把所有补助永久资本化。报告营业利润</w:t>
      </w:r>
      <w:r>
        <w:rPr/>
        <w:t>9.70105</w:t>
      </w:r>
      <w:r>
        <w:rPr/>
        <w:t>亿元、税前</w:t>
      </w:r>
      <w:r>
        <w:rPr/>
        <w:t>9.66718</w:t>
      </w:r>
      <w:r>
        <w:rPr/>
        <w:t>亿元、所得税</w:t>
      </w:r>
      <w:r>
        <w:rPr/>
        <w:t>1.40182</w:t>
      </w:r>
      <w:r>
        <w:rPr/>
        <w:t>亿元，实际税率与未来分部税率可能不同。使用统一未来税率是一项简化，需要与研发优惠、区域利润及递延税项变化持续核对。</w:t>
      </w:r>
    </w:p>
    <w:p>
      <w:pPr>
        <w:pStyle w:val="Normal"/>
        <w:rPr/>
      </w:pPr>
      <w:r>
        <w:rPr/>
        <w:t>研发投入统计为</w:t>
      </w:r>
      <w:r>
        <w:rPr/>
        <w:t>8.79264</w:t>
      </w:r>
      <w:r>
        <w:rPr/>
        <w:t>亿元，高于费用</w:t>
      </w:r>
      <w:r>
        <w:rPr/>
        <w:t>8.24922</w:t>
      </w:r>
      <w:r>
        <w:rPr/>
        <w:t>亿元，差额</w:t>
      </w:r>
      <w:r>
        <w:rPr/>
        <w:t>0.54342</w:t>
      </w:r>
      <w:r>
        <w:rPr/>
        <w:t>亿元涉及相关授权无形资产增加；实际全部无形资产增加约</w:t>
      </w:r>
      <w:r>
        <w:rPr/>
        <w:t>1.10309</w:t>
      </w:r>
      <w:r>
        <w:rPr/>
        <w:t>亿元还含其他范围。不能把这两个差额当同一资本化研发，也不能把投入总额再完整从已扣研发费用的利润中减一次。模型利润扣全集团研发费用，资金桥另扣购买授权的现金支出，明确费用与资产现金范围，保持一套核算。</w:t>
      </w:r>
    </w:p>
    <w:p>
      <w:pPr>
        <w:pStyle w:val="Normal"/>
        <w:rPr/>
      </w:pPr>
      <w:r>
        <w:rPr/>
        <w:t>公司二〇二五年收入</w:t>
      </w:r>
      <w:r>
        <w:rPr/>
        <w:t>77.31411</w:t>
      </w:r>
      <w:r>
        <w:rPr/>
        <w:t>亿元、归母</w:t>
      </w:r>
      <w:r>
        <w:rPr/>
        <w:t>13.44008</w:t>
      </w:r>
      <w:r>
        <w:rPr/>
        <w:t>亿元、调整后</w:t>
      </w:r>
      <w:r>
        <w:rPr/>
        <w:t>12.79803</w:t>
      </w:r>
      <w:r>
        <w:rPr/>
        <w:t>亿元，前年分别</w:t>
      </w:r>
      <w:r>
        <w:rPr/>
        <w:t>66.35211</w:t>
      </w:r>
      <w:r>
        <w:rPr/>
        <w:t>亿元、</w:t>
      </w:r>
      <w:r>
        <w:rPr/>
        <w:t>7.22002</w:t>
      </w:r>
      <w:r>
        <w:rPr/>
        <w:t>亿元、</w:t>
      </w:r>
      <w:r>
        <w:rPr/>
        <w:t>10.07056</w:t>
      </w:r>
      <w:r>
        <w:rPr/>
        <w:t>亿元。归母与调整后增速差异说明投资及其他因素可以放大利润同比；二〇二五年产品收入约</w:t>
      </w:r>
      <w:r>
        <w:rPr/>
        <w:t>68.22801</w:t>
      </w:r>
      <w:r>
        <w:rPr/>
        <w:t>亿元、授权</w:t>
      </w:r>
      <w:r>
        <w:rPr/>
        <w:t>4.65524</w:t>
      </w:r>
      <w:r>
        <w:rPr/>
        <w:t>亿元。评价商业质量应同时看产品增长、费用、正常现金，而不能只以归母从低基数快速增长推断永续增长率。</w:t>
      </w:r>
    </w:p>
    <w:p>
      <w:pPr>
        <w:pStyle w:val="Heading2"/>
        <w:rPr/>
      </w:pPr>
      <w:r>
        <w:rPr>
          <w:color w:val="000000"/>
        </w:rPr>
        <w:t>十 经营现金与融资安全</w:t>
      </w:r>
    </w:p>
    <w:p>
      <w:pPr>
        <w:pStyle w:val="Normal"/>
        <w:rPr/>
      </w:pPr>
      <w:r>
        <w:rPr/>
        <w:t>上半年经营现金流</w:t>
      </w:r>
      <w:r>
        <w:rPr/>
        <w:t>16.05160</w:t>
      </w:r>
      <w:r>
        <w:rPr/>
        <w:t>亿元，重列同期</w:t>
      </w:r>
      <w:r>
        <w:rPr/>
        <w:t>8.62831</w:t>
      </w:r>
      <w:r>
        <w:rPr/>
        <w:t>亿元，增幅约</w:t>
      </w:r>
      <w:r>
        <w:rPr/>
        <w:t>86%</w:t>
      </w:r>
      <w:r>
        <w:rPr/>
        <w:t>。期内购买物业设备</w:t>
      </w:r>
      <w:r>
        <w:rPr/>
        <w:t>2.52953</w:t>
      </w:r>
      <w:r>
        <w:rPr/>
        <w:t>亿元、无形资产现金</w:t>
      </w:r>
      <w:r>
        <w:rPr/>
        <w:t>1.13705</w:t>
      </w:r>
      <w:r>
        <w:rPr/>
        <w:t>亿元，简单扣两项后约</w:t>
      </w:r>
      <w:r>
        <w:rPr/>
        <w:t>12.38502</w:t>
      </w:r>
      <w:r>
        <w:rPr/>
        <w:t>亿元，尚需结合租赁、融资、税务和非经营资金理解。现金流高于利润有利于研发供给，但可能受授权付款、营运资本释放及预收变化影响。不能把这半年的高现金转换直接作为所有未来正常产品盈利固定倍数。</w:t>
      </w:r>
    </w:p>
    <w:p>
      <w:pPr>
        <w:pStyle w:val="Normal"/>
        <w:rPr/>
      </w:pPr>
      <w:r>
        <w:rPr/>
        <w:t>六月现金及等价物</w:t>
      </w:r>
      <w:r>
        <w:rPr/>
        <w:t>30.72182</w:t>
      </w:r>
      <w:r>
        <w:rPr/>
        <w:t>亿元、即期定存</w:t>
      </w:r>
      <w:r>
        <w:rPr/>
        <w:t>9.55306</w:t>
      </w:r>
      <w:r>
        <w:rPr/>
        <w:t>亿元、非即期定存</w:t>
      </w:r>
      <w:r>
        <w:rPr/>
        <w:t>11.70119</w:t>
      </w:r>
      <w:r>
        <w:rPr/>
        <w:t>亿元，模型合计流动性锚</w:t>
      </w:r>
      <w:r>
        <w:rPr/>
        <w:t>51.97607</w:t>
      </w:r>
      <w:r>
        <w:rPr/>
        <w:t>亿元。另有受限制存款和质押存款，未加入可自由资金；投资股权与公允价值金融资产也未当作现金。非即期定存及子公司资金的使用仍受期限、主体与跨境规则约束，合计不等于母公司立即可派出的股息。研究使用它评价资金承受力，而不在正常利润目标价外再全部加回。</w:t>
      </w:r>
    </w:p>
    <w:p>
      <w:pPr>
        <w:pStyle w:val="Normal"/>
        <w:rPr/>
      </w:pPr>
      <w:r>
        <w:rPr/>
        <w:t>银行借款约</w:t>
      </w:r>
      <w:r>
        <w:rPr/>
        <w:t>10.57990</w:t>
      </w:r>
      <w:r>
        <w:rPr/>
        <w:t>亿元，其中一年内或按要求偿还约</w:t>
      </w:r>
      <w:r>
        <w:rPr/>
        <w:t>10.51058</w:t>
      </w:r>
      <w:r>
        <w:rPr/>
        <w:t>亿元，租赁负债约</w:t>
      </w:r>
      <w:r>
        <w:rPr/>
        <w:t>1.14379</w:t>
      </w:r>
      <w:r>
        <w:rPr/>
        <w:t>亿元。账面现金高于银行债务，但还需关注约</w:t>
      </w:r>
      <w:r>
        <w:rPr/>
        <w:t>12.23692</w:t>
      </w:r>
      <w:r>
        <w:rPr/>
        <w:t>亿元赎回负债与后续研发、商业化投入。净现金不能仅用现金减银行贷款后宣称没有任何融资问题。银行短债的续作、定存到期结构及子公司权益需独立核对，尤其新产品推广先付现金、回款滞后可能加大季节资金需求。</w:t>
      </w:r>
    </w:p>
    <w:p>
      <w:pPr>
        <w:pStyle w:val="Normal"/>
        <w:rPr/>
      </w:pPr>
      <w:r>
        <w:rPr/>
        <w:t>应收账款票据净额从年末</w:t>
      </w:r>
      <w:r>
        <w:rPr/>
        <w:t>28.38454</w:t>
      </w:r>
      <w:r>
        <w:rPr/>
        <w:t>亿元降至</w:t>
      </w:r>
      <w:r>
        <w:rPr/>
        <w:t>23.96674</w:t>
      </w:r>
      <w:r>
        <w:rPr/>
        <w:t>亿元，库存约</w:t>
      </w:r>
      <w:r>
        <w:rPr/>
        <w:t>6.32911</w:t>
      </w:r>
      <w:r>
        <w:rPr/>
        <w:t>亿元，合同负债</w:t>
      </w:r>
      <w:r>
        <w:rPr/>
        <w:t>6.76309</w:t>
      </w:r>
      <w:r>
        <w:rPr/>
        <w:t>亿元。应收下降有助现金转换，但也可能与收款季节和收入性质有关；库存则要考虑产品有效期、预防季和供货责任。未来若产品增长伴随应收增速更快或库存减值，应提高营运资本消耗并下调现金质量。合同预收不是新增利润，在履约时需要供货，不应当无限免费的长期资金。</w:t>
      </w:r>
    </w:p>
    <w:p>
      <w:pPr>
        <w:pStyle w:val="Normal"/>
        <w:rPr/>
      </w:pPr>
      <w:r>
        <w:rPr/>
        <w:t>二〇二五年末期股息每股人民币</w:t>
      </w:r>
      <w:r>
        <w:rPr/>
        <w:t>0.18</w:t>
      </w:r>
      <w:r>
        <w:rPr/>
        <w:t>元、折</w:t>
      </w:r>
      <w:r>
        <w:rPr/>
        <w:t>0.2069</w:t>
      </w:r>
      <w:r>
        <w:rPr/>
        <w:t>港元，六月十七日除净、六月二十四日登记、七月十三日支付。基准日以后购买不能再获得旧股息。中报已计应付</w:t>
      </w:r>
      <w:r>
        <w:rPr/>
        <w:t>45726.8</w:t>
      </w:r>
      <w:r>
        <w:rPr/>
        <w:t>万元但上半年尚未支付，现金模型在下半年扣除，防止把已宣派义务留在现金里。未来股息是正常利润与资金需要共同约束下的假设，未宣派股息不具有债务式保证。</w:t>
      </w:r>
    </w:p>
    <w:p>
      <w:pPr>
        <w:pStyle w:val="Heading2"/>
        <w:rPr/>
      </w:pPr>
      <w:r>
        <w:rPr>
          <w:color w:val="000000"/>
        </w:rPr>
        <w:t>十一 再明赎回 分拆与经济权益</w:t>
      </w:r>
    </w:p>
    <w:p>
      <w:pPr>
        <w:pStyle w:val="Normal"/>
        <w:rPr/>
      </w:pPr>
      <w:r>
        <w:rPr/>
        <w:t>先声再明外部投资约</w:t>
      </w:r>
      <w:r>
        <w:rPr/>
        <w:t>10.70</w:t>
      </w:r>
      <w:r>
        <w:rPr/>
        <w:t>亿元涉及复利回报、清算和反稀释等条款，六月账面赎回负债约</w:t>
      </w:r>
      <w:r>
        <w:rPr/>
        <w:t>12.23692</w:t>
      </w:r>
      <w:r>
        <w:rPr/>
        <w:t>亿元。相关回购权在上市申请前暂停，但某些上市失败或条件未满足时可能恢复，不能因为递交申请就视负债已无风险消失。集团现金能够提供缓冲，并不意味着该负债无须分析。独立上市的估值、融资与经济份额变化是未来条件，基准日尚不能知道发行价及真实资金净流入。</w:t>
      </w:r>
    </w:p>
    <w:p>
      <w:pPr>
        <w:pStyle w:val="Normal"/>
        <w:rPr/>
      </w:pPr>
      <w:r>
        <w:rPr/>
        <w:t>本模型用二〇二五年公开</w:t>
      </w:r>
      <w:r>
        <w:rPr/>
        <w:t>83.1%</w:t>
      </w:r>
      <w:r>
        <w:rPr/>
        <w:t>经济持股作锚，二〇二七年以后基准降至</w:t>
      </w:r>
      <w:r>
        <w:rPr/>
        <w:t>72%</w:t>
      </w:r>
      <w:r>
        <w:rPr/>
        <w:t>、乐观</w:t>
      </w:r>
      <w:r>
        <w:rPr/>
        <w:t>75%</w:t>
      </w:r>
      <w:r>
        <w:rPr/>
        <w:t>，反映可能上市和融资稀释；悲观以</w:t>
      </w:r>
      <w:r>
        <w:rPr/>
        <w:t>13.2</w:t>
      </w:r>
      <w:r>
        <w:rPr/>
        <w:t>亿元现金结算外部投资后提高至</w:t>
      </w:r>
      <w:r>
        <w:rPr/>
        <w:t>98%</w:t>
      </w:r>
      <w:r>
        <w:rPr/>
        <w:t>，保留员工残余权益。这些是互斥研究路径，并非已完成交易。基准和乐观没有添加任何未知首次公开募股现金，悲观也不能既支付全部赎回还假定原外部投资继续获得同样利润，经济归属与现金必须相匹配。</w:t>
      </w:r>
    </w:p>
    <w:p>
      <w:pPr>
        <w:pStyle w:val="Normal"/>
        <w:rPr/>
      </w:pPr>
      <w:r>
        <w:rPr/>
        <w:t>赎回负债的会计处理可能使损益归属不同于普通权益少数股东。本文计算合并正常盈利后，按照肿瘤分部税后利润的经济份额分配，亏损时少数承担、盈利时少数分享，再得到正常母利润。它是长期经济分析，不是声称对未来国际财务报告准则报表精确预测。如果真实最新股权结构与</w:t>
      </w:r>
      <w:r>
        <w:rPr/>
        <w:t>83.1%</w:t>
      </w:r>
      <w:r>
        <w:rPr/>
        <w:t>不同，或权益、优先权、员工计划及上市安排改变，必须重新建模，不能仅修改目标价表格。</w:t>
      </w:r>
    </w:p>
    <w:p>
      <w:pPr>
        <w:pStyle w:val="Normal"/>
        <w:rPr/>
      </w:pPr>
      <w:r>
        <w:rPr/>
        <w:t>本章没有在净母正常盈利倍数之上追加再明全部独立市值，也没有把集团正常产品盈利加一次再明肿瘤现金流。分拆可能提高透明度、融资能力和市场发现价值，也会增加少数权益、治理和相关交易复杂度。独立融资对集团价值的帮助要比较新增资金与被稀释未来利润，而不是认为上市必然免费创造同等市值。上市日期延期会同时影响赎回风险与短期催化剂评分。</w:t>
      </w:r>
    </w:p>
    <w:p>
      <w:pPr>
        <w:pStyle w:val="Heading2"/>
        <w:rPr/>
      </w:pPr>
      <w:r>
        <w:rPr>
          <w:color w:val="000000"/>
        </w:rPr>
        <w:t>十二 股份奖励 回购与治理</w:t>
      </w:r>
    </w:p>
    <w:p>
      <w:pPr>
        <w:pStyle w:val="Normal"/>
        <w:rPr/>
      </w:pPr>
      <w:r>
        <w:rPr/>
        <w:t>上半年加权基本股数约</w:t>
      </w:r>
      <w:r>
        <w:rPr/>
        <w:t>25.51796123</w:t>
      </w:r>
      <w:r>
        <w:rPr/>
        <w:t>亿、摊薄</w:t>
      </w:r>
      <w:r>
        <w:rPr/>
        <w:t>25.57053323</w:t>
      </w:r>
      <w:r>
        <w:rPr/>
        <w:t>亿，与九月底已发行</w:t>
      </w:r>
      <w:r>
        <w:rPr/>
        <w:t>25.68198618</w:t>
      </w:r>
      <w:r>
        <w:rPr/>
        <w:t>亿不同。奖励信托未归属股份在会计分母中扣除，新增奖励与归属也改变摊薄。九月月报还有约</w:t>
      </w:r>
      <w:r>
        <w:rPr/>
        <w:t>2.35201361</w:t>
      </w:r>
      <w:r>
        <w:rPr/>
        <w:t>亿份可能根据奖励计划发行或转让的额度，它是计划范围，并非基准日所有股份已经归属或必须即时新增。模型预测股份数从约</w:t>
      </w:r>
      <w:r>
        <w:rPr/>
        <w:t>25.7</w:t>
      </w:r>
      <w:r>
        <w:rPr/>
        <w:t>亿逐年变化，避免把整套授权立刻全部稀释。</w:t>
      </w:r>
    </w:p>
    <w:p>
      <w:pPr>
        <w:pStyle w:val="Normal"/>
        <w:rPr/>
      </w:pPr>
      <w:r>
        <w:rPr/>
        <w:t>股份支付费用在上半年涉及集团奖励约</w:t>
      </w:r>
      <w:r>
        <w:rPr/>
        <w:t>0.62442</w:t>
      </w:r>
      <w:r>
        <w:rPr/>
        <w:t>亿元和再明约</w:t>
      </w:r>
      <w:r>
        <w:rPr/>
        <w:t>0.25562</w:t>
      </w:r>
      <w:r>
        <w:rPr/>
        <w:t>亿元，合计约</w:t>
      </w:r>
      <w:r>
        <w:rPr/>
        <w:t>0.88004</w:t>
      </w:r>
      <w:r>
        <w:rPr/>
        <w:t>亿元。它不一定当期耗现金，却有股东经济成本与未来稀释。模型现金流把非现金股份支付加回，正常利润费用仍保留，并通过未来股份数体现资本变化。不能同时在利润彻底剔除股份支付、把未来股数固定不变，再以高盈利宣称激励无成本。</w:t>
      </w:r>
    </w:p>
    <w:p>
      <w:pPr>
        <w:pStyle w:val="Normal"/>
        <w:rPr/>
      </w:pPr>
      <w:r>
        <w:rPr/>
        <w:t>十月九日回购</w:t>
      </w:r>
      <w:r>
        <w:rPr/>
        <w:t>159.8</w:t>
      </w:r>
      <w:r>
        <w:rPr/>
        <w:t>万股、支付</w:t>
      </w:r>
      <w:r>
        <w:rPr/>
        <w:t>1736.989</w:t>
      </w:r>
      <w:r>
        <w:rPr/>
        <w:t>万港元，公告于</w:t>
      </w:r>
      <w:r>
        <w:rPr/>
        <w:t>18</w:t>
      </w:r>
      <w:r>
        <w:rPr/>
        <w:t>时</w:t>
      </w:r>
      <w:r>
        <w:rPr/>
        <w:t>12</w:t>
      </w:r>
      <w:r>
        <w:rPr/>
        <w:t>分收盘后发布，当日尚未注销。平均回购价约</w:t>
      </w:r>
      <w:r>
        <w:rPr/>
        <w:t>10.8698</w:t>
      </w:r>
      <w:r>
        <w:rPr/>
        <w:t>港元，属于公司一次资金行动，不能说市场早晨已经知道或公司保证</w:t>
      </w:r>
      <w:r>
        <w:rPr/>
        <w:t>10.66</w:t>
      </w:r>
      <w:r>
        <w:rPr/>
        <w:t>港元以上底价。回购显示管理层愿意投入资金，实际效果取决于规模、价格、注销和后续资金需要。未来回购预测只作为现金使用假设，不用单日回购推断所有成交为长期资金吸筹。</w:t>
      </w:r>
    </w:p>
    <w:p>
      <w:pPr>
        <w:pStyle w:val="Normal"/>
        <w:rPr/>
      </w:pPr>
      <w:r>
        <w:rPr/>
        <w:t>创始人及管理层的集中控制可以支持长期研发决策，也增加外部股东对资本分配、关联合作及分拆安排的监督需求。医学研发与商业推广具有复杂估计，投资者应关注董事会独立性、关联交易披露、审计意见和薪酬激励。现金丰富并不保证投资回报高，若大量资金持续投入低效率合作或研发，净资产会增长而每股正常盈利未必增加。治理评分因此保留约束，没有因回购就升至最高。</w:t>
      </w:r>
    </w:p>
    <w:p>
      <w:pPr>
        <w:pStyle w:val="Heading2"/>
        <w:rPr/>
      </w:pPr>
      <w:r>
        <w:rPr>
          <w:color w:val="000000"/>
        </w:rPr>
        <w:t>十三 估值模型与国内新品风险收入</w:t>
      </w:r>
    </w:p>
    <w:p>
      <w:pPr>
        <w:pStyle w:val="Normal"/>
        <w:rPr/>
      </w:pPr>
      <w:r>
        <w:rPr/>
        <w:t>模型先保存神经、自身免疫、肿瘤和其他既有收入及毛利，再按每个候选的商业启动、峰值、逐年爬坡和成功识别加入风险收入。既有组不含这些独立新药增量，避免重复。海外伙伴名义销售乘研究版税率、成功识别及汇率，生成持续版税收入；首付款和选择的未来里程碑只入资金桥。然后独立扣销售、行政、全集团研发、减值、利息、税和肿瘤经济少数权益，得到正常母盈利。</w:t>
      </w:r>
    </w:p>
    <w:p>
      <w:pPr>
        <w:pStyle w:val="Normal"/>
        <w:rPr/>
      </w:pPr>
      <w:r>
        <w:rPr/>
        <w:t>不同新药使用不同识别因子，受理阶段皮炎和流感高于早期或尚无关键结果的乳腺癌与婴幼儿治疗。基准乐德奇拜</w:t>
      </w:r>
      <w:r>
        <w:rPr/>
        <w:t>75%</w:t>
      </w:r>
      <w:r>
        <w:rPr/>
        <w:t>、推广凝胶</w:t>
      </w:r>
      <w:r>
        <w:rPr/>
        <w:t>80%</w:t>
      </w:r>
      <w:r>
        <w:rPr/>
        <w:t>、流感</w:t>
      </w:r>
      <w:r>
        <w:rPr/>
        <w:t>80%</w:t>
      </w:r>
      <w:r>
        <w:rPr/>
        <w:t>、氘洛拉替尼</w:t>
      </w:r>
      <w:r>
        <w:rPr/>
        <w:t>65%</w:t>
      </w:r>
      <w:r>
        <w:rPr/>
        <w:t>、</w:t>
      </w:r>
      <w:r>
        <w:rPr/>
        <w:t>SERD50%</w:t>
      </w:r>
      <w:r>
        <w:rPr/>
        <w:t>、</w:t>
      </w:r>
      <w:r>
        <w:rPr/>
        <w:t>RSV</w:t>
      </w:r>
      <w:r>
        <w:rPr/>
        <w:t>治疗</w:t>
      </w:r>
      <w:r>
        <w:rPr/>
        <w:t>50%</w:t>
      </w:r>
      <w:r>
        <w:rPr/>
        <w:t>，并分别使用不同商业启动日期。这组输入反映研究证据层级，仍没有精确校准到某一监管数据库的概率。不能把它与年底</w:t>
      </w:r>
      <w:r>
        <w:rPr/>
        <w:t>25%/50%/25%</w:t>
      </w:r>
      <w:r>
        <w:rPr/>
        <w:t>宏观情景权重相乘后称整体成功概率。</w:t>
      </w:r>
    </w:p>
    <w:p>
      <w:pPr>
        <w:pStyle w:val="Normal"/>
        <w:rPr/>
      </w:pPr>
      <w:r>
        <w:rPr/>
        <w:t>新药峰值收入同样属于假设，基准皮炎单抗</w:t>
      </w:r>
      <w:r>
        <w:rPr/>
        <w:t>22</w:t>
      </w:r>
      <w:r>
        <w:rPr/>
        <w:t>亿元、推广凝胶先声确认经济</w:t>
      </w:r>
      <w:r>
        <w:rPr/>
        <w:t>6.5</w:t>
      </w:r>
      <w:r>
        <w:rPr/>
        <w:t>亿元、流感</w:t>
      </w:r>
      <w:r>
        <w:rPr/>
        <w:t>11</w:t>
      </w:r>
      <w:r>
        <w:rPr/>
        <w:t>亿元、氘洛拉替尼</w:t>
      </w:r>
      <w:r>
        <w:rPr/>
        <w:t>8</w:t>
      </w:r>
      <w:r>
        <w:rPr/>
        <w:t>亿元、</w:t>
      </w:r>
      <w:r>
        <w:rPr/>
        <w:t>SERD15</w:t>
      </w:r>
      <w:r>
        <w:rPr/>
        <w:t>亿元、</w:t>
      </w:r>
      <w:r>
        <w:rPr/>
        <w:t>RSV</w:t>
      </w:r>
      <w:r>
        <w:rPr/>
        <w:t>治疗</w:t>
      </w:r>
      <w:r>
        <w:rPr/>
        <w:t>9</w:t>
      </w:r>
      <w:r>
        <w:rPr/>
        <w:t>亿元。它们不是患者数乘全部市场定价的简单上限，且上市初年只使用峰值</w:t>
      </w:r>
      <w:r>
        <w:rPr/>
        <w:t>8%</w:t>
      </w:r>
      <w:r>
        <w:rPr/>
        <w:t>、次年</w:t>
      </w:r>
      <w:r>
        <w:rPr/>
        <w:t>20%</w:t>
      </w:r>
      <w:r>
        <w:rPr/>
        <w:t>、之后逐步</w:t>
      </w:r>
      <w:r>
        <w:rPr/>
        <w:t>40%</w:t>
      </w:r>
      <w:r>
        <w:rPr/>
        <w:t>、</w:t>
      </w:r>
      <w:r>
        <w:rPr/>
        <w:t>65%</w:t>
      </w:r>
      <w:r>
        <w:rPr/>
        <w:t>、</w:t>
      </w:r>
      <w:r>
        <w:rPr/>
        <w:t>85%</w:t>
      </w:r>
      <w:r>
        <w:rPr/>
        <w:t>与</w:t>
      </w:r>
      <w:r>
        <w:rPr/>
        <w:t>100%</w:t>
      </w:r>
      <w:r>
        <w:rPr/>
        <w:t>的爬坡。推广权的毛利低于完整自研权益，避免通过确认范围错误制造超高利润。</w:t>
      </w:r>
    </w:p>
    <w:p>
      <w:pPr>
        <w:pStyle w:val="Normal"/>
        <w:rPr/>
      </w:pPr>
      <w:r>
        <w:rPr/>
        <w:t>海外持续版税基准在不同年份启动，销售峰值、合同费率缺失部分明确研究输入，成功识别普遍较低。模型不是全管线风险调整净现值，因为未给所有适应症完整临床费用与终值，而是在正常产品盈利路径中保存可核算风险收入。全研发费用继续承担未单估早期项目投入，也未额外再扣这些候选同一预算。若使用另一套完整风险调整净现值，需替代相同经济收入，不能与本模型全部叠加。</w:t>
      </w:r>
    </w:p>
    <w:p>
      <w:pPr>
        <w:pStyle w:val="Normal"/>
        <w:rPr/>
      </w:pPr>
      <w:r>
        <w:rPr/>
        <w:t>基准二〇二六年正常收入</w:t>
      </w:r>
      <w:r>
        <w:rPr/>
        <w:t>95</w:t>
      </w:r>
      <w:r>
        <w:rPr/>
        <w:t>亿元、母净利润约</w:t>
      </w:r>
      <w:r>
        <w:rPr/>
        <w:t>11.14561</w:t>
      </w:r>
      <w:r>
        <w:rPr/>
        <w:t>亿元，每股人民币</w:t>
      </w:r>
      <w:r>
        <w:rPr/>
        <w:t>0.43368</w:t>
      </w:r>
      <w:r>
        <w:rPr/>
        <w:t>元；二〇二七年</w:t>
      </w:r>
      <w:r>
        <w:rPr/>
        <w:t>115.14</w:t>
      </w:r>
      <w:r>
        <w:rPr/>
        <w:t>亿元、</w:t>
      </w:r>
      <w:r>
        <w:rPr/>
        <w:t>16.87555</w:t>
      </w:r>
      <w:r>
        <w:rPr/>
        <w:t>亿元、</w:t>
      </w:r>
      <w:r>
        <w:rPr/>
        <w:t>0.65157</w:t>
      </w:r>
      <w:r>
        <w:rPr/>
        <w:t>元；二〇二八年</w:t>
      </w:r>
      <w:r>
        <w:rPr/>
        <w:t>136.516</w:t>
      </w:r>
      <w:r>
        <w:rPr/>
        <w:t>亿元、</w:t>
      </w:r>
      <w:r>
        <w:rPr/>
        <w:t>21.33940</w:t>
      </w:r>
      <w:r>
        <w:rPr/>
        <w:t>亿元、</w:t>
      </w:r>
      <w:r>
        <w:rPr/>
        <w:t>0.81760</w:t>
      </w:r>
      <w:r>
        <w:rPr/>
        <w:t>元。该正常收入不含一次性许可费，管理层总收入指引可能包含授权，二者不直接比较。利润每股以全公司预测摊薄股数计算，人民币换港币使用</w:t>
      </w:r>
      <w:r>
        <w:rPr/>
        <w:t>1.10</w:t>
      </w:r>
      <w:r>
        <w:rPr/>
        <w:t>的研究假设，不能把货币转换隐藏在估值倍数。</w:t>
      </w:r>
    </w:p>
    <w:p>
      <w:pPr>
        <w:pStyle w:val="Normal"/>
        <w:rPr/>
      </w:pPr>
      <w:r>
        <w:rPr/>
        <w:t>基准二〇二九年正常收入</w:t>
      </w:r>
      <w:r>
        <w:rPr/>
        <w:t>160.3024</w:t>
      </w:r>
      <w:r>
        <w:rPr/>
        <w:t>亿元、母净</w:t>
      </w:r>
      <w:r>
        <w:rPr/>
        <w:t>27.80548</w:t>
      </w:r>
      <w:r>
        <w:rPr/>
        <w:t>亿元，二〇三一年</w:t>
      </w:r>
      <w:r>
        <w:rPr/>
        <w:t>205.4402</w:t>
      </w:r>
      <w:r>
        <w:rPr/>
        <w:t>亿元、母净</w:t>
      </w:r>
      <w:r>
        <w:rPr/>
        <w:t>41.76266</w:t>
      </w:r>
      <w:r>
        <w:rPr/>
        <w:t>亿元。销售、行政与研发总额继续上升，毛利改善与费用杠杆共同推动正常利润，未假设研发费停止。若长期保持高推广占比，或者成熟神经产品价格下行，利润可大幅低于这一模型。投资者应把每年的费用率与收入组分解同时查看，不能只关注目标价逐年上升。</w:t>
      </w:r>
    </w:p>
    <w:p>
      <w:pPr>
        <w:pStyle w:val="Heading2"/>
        <w:rPr/>
      </w:pPr>
      <w:r>
        <w:rPr>
          <w:color w:val="000000"/>
        </w:rPr>
        <w:t>十四 估值倍数 现金与敏感性</w:t>
      </w:r>
    </w:p>
    <w:p>
      <w:pPr>
        <w:pStyle w:val="Normal"/>
        <w:rPr/>
      </w:pPr>
      <w:r>
        <w:rPr/>
        <w:t>年底与半年估值参照二〇二七年正常盈利，一年参照二〇二八年、三年和五年各使用目标附近正常盈利。基准倍数分别</w:t>
      </w:r>
      <w:r>
        <w:rPr/>
        <w:t>22</w:t>
      </w:r>
      <w:r>
        <w:rPr/>
        <w:t>、</w:t>
      </w:r>
      <w:r>
        <w:rPr/>
        <w:t>24</w:t>
      </w:r>
      <w:r>
        <w:rPr/>
        <w:t>、</w:t>
      </w:r>
      <w:r>
        <w:rPr/>
        <w:t>23</w:t>
      </w:r>
      <w:r>
        <w:rPr/>
        <w:t>、</w:t>
      </w:r>
      <w:r>
        <w:rPr/>
        <w:t>22</w:t>
      </w:r>
      <w:r>
        <w:rPr/>
        <w:t>与</w:t>
      </w:r>
      <w:r>
        <w:rPr/>
        <w:t>20</w:t>
      </w:r>
      <w:r>
        <w:rPr/>
        <w:t>倍，反映成长延续而远期逐步成熟；悲观低于基准，乐观较高。这些是研究估值假设，不是市场共识。成熟商业药可以用盈利倍数交叉验证，但新药利润仍具有识别判断性，倍数不能掩盖收入和临床风险。</w:t>
      </w:r>
    </w:p>
    <w:p>
      <w:pPr>
        <w:pStyle w:val="Normal"/>
        <w:rPr/>
      </w:pPr>
      <w:r>
        <w:rPr/>
        <w:t>净母正常盈利已经扣融资成本，本模型不再在每股目标加全部现金、扣全部净债，也不额外加同一资产全管线现值。现金用于检验资金承受力，首付用于检验融资而非再次资本化利润。这样避免将现金利息、正常业务和资金余额混成重复权益桥。它也意味着未估价的投资股权和非核心资产可能形成上行，不能称模型穷尽了所有资产，但主要商业价值的核算边界明确。</w:t>
      </w:r>
    </w:p>
    <w:p>
      <w:pPr>
        <w:pStyle w:val="Normal"/>
        <w:rPr/>
      </w:pPr>
      <w:r>
        <w:rPr/>
        <w:t>当前价格按基准二〇二六年正常每股盈利约对应</w:t>
      </w:r>
      <w:r>
        <w:rPr/>
        <w:t>22.83</w:t>
      </w:r>
      <w:r>
        <w:rPr/>
        <w:t>倍，按二〇二七年约</w:t>
      </w:r>
      <w:r>
        <w:rPr/>
        <w:t>15.19</w:t>
      </w:r>
      <w:r>
        <w:rPr/>
        <w:t>倍、二〇二八年约</w:t>
      </w:r>
      <w:r>
        <w:rPr/>
        <w:t>12.11</w:t>
      </w:r>
      <w:r>
        <w:rPr/>
        <w:t>倍，均以</w:t>
      </w:r>
      <w:r>
        <w:rPr/>
        <w:t>1.10</w:t>
      </w:r>
      <w:r>
        <w:rPr/>
        <w:t>港币每人民币计算。不同年份的低倍数主要来自预测利润增长，并不证明现价已确定便宜。若使用公司包含授权的调整利润分母，表面倍数会不同，必须标口径。正常利润模型能帮助比较收益来源，也可能因费用分配与经济少数权益假设而偏离实际。</w:t>
      </w:r>
    </w:p>
    <w:p>
      <w:pPr>
        <w:pStyle w:val="Normal"/>
        <w:rPr/>
      </w:pPr>
      <w:r>
        <w:rPr/>
        <w:t>短期只有不到三个月至年底，模型对基准与乐观的正常估值差分别确认</w:t>
      </w:r>
      <w:r>
        <w:rPr/>
        <w:t>50%</w:t>
      </w:r>
      <w:r>
        <w:rPr/>
        <w:t>与</w:t>
      </w:r>
      <w:r>
        <w:rPr/>
        <w:t>35%</w:t>
      </w:r>
      <w:r>
        <w:rPr/>
        <w:t>，半年确认</w:t>
      </w:r>
      <w:r>
        <w:rPr/>
        <w:t>75%</w:t>
      </w:r>
      <w:r>
        <w:rPr/>
        <w:t>与</w:t>
      </w:r>
      <w:r>
        <w:rPr/>
        <w:t>60%</w:t>
      </w:r>
      <w:r>
        <w:rPr/>
        <w:t>，悲观允许全部重估。价格公式为锁定现价加识别比例乘正常价值与现价之差。这是信息逐步被验证与市场接受的判断，不是把外资十二个月目标按剩余月份线性缩放。下行可以由单个重大风险迅速触发，而上行多条件需时间，故两侧识别不对称，但仍须由实际事件检验。</w:t>
      </w:r>
    </w:p>
    <w:p>
      <w:pPr>
        <w:pStyle w:val="Normal"/>
        <w:rPr/>
      </w:pPr>
      <w:r>
        <w:rPr/>
        <w:t>基准年底完整正常价值</w:t>
      </w:r>
      <w:r>
        <w:rPr/>
        <w:t>15.76789</w:t>
      </w:r>
      <w:r>
        <w:rPr/>
        <w:t>港元，经</w:t>
      </w:r>
      <w:r>
        <w:rPr/>
        <w:t>50%</w:t>
      </w:r>
      <w:r>
        <w:rPr/>
        <w:t>识别成为</w:t>
      </w:r>
      <w:r>
        <w:rPr/>
        <w:t>13.328945</w:t>
      </w:r>
      <w:r>
        <w:rPr/>
        <w:t>港元；半年完整</w:t>
      </w:r>
      <w:r>
        <w:rPr/>
        <w:t>17.201335</w:t>
      </w:r>
      <w:r>
        <w:rPr/>
        <w:t>港元，经</w:t>
      </w:r>
      <w:r>
        <w:rPr/>
        <w:t>75%</w:t>
      </w:r>
      <w:r>
        <w:rPr/>
        <w:t>识别成为</w:t>
      </w:r>
      <w:r>
        <w:rPr/>
        <w:t>15.623501</w:t>
      </w:r>
      <w:r>
        <w:rPr/>
        <w:t>港元。乐观年底完整</w:t>
      </w:r>
      <w:r>
        <w:rPr/>
        <w:t>30.131448</w:t>
      </w:r>
      <w:r>
        <w:rPr/>
        <w:t>港元，经</w:t>
      </w:r>
      <w:r>
        <w:rPr/>
        <w:t>35%</w:t>
      </w:r>
      <w:r>
        <w:rPr/>
        <w:t>识别成为</w:t>
      </w:r>
      <w:r>
        <w:rPr/>
        <w:t>17.624507</w:t>
      </w:r>
      <w:r>
        <w:rPr/>
        <w:t>港元，半年完整</w:t>
      </w:r>
      <w:r>
        <w:rPr/>
        <w:t>33.608153</w:t>
      </w:r>
      <w:r>
        <w:rPr/>
        <w:t>港元、</w:t>
      </w:r>
      <w:r>
        <w:rPr/>
        <w:t>60%</w:t>
      </w:r>
      <w:r>
        <w:rPr/>
        <w:t>识别成为</w:t>
      </w:r>
      <w:r>
        <w:rPr/>
        <w:t>24.520892</w:t>
      </w:r>
      <w:r>
        <w:rPr/>
        <w:t>港元。一年以上完整识别是假设，不是必然。若市场信心不足或估值环境变化，应修改识别和倍数，不能只把未来日期推远保留原结果。</w:t>
      </w:r>
    </w:p>
    <w:p>
      <w:pPr>
        <w:pStyle w:val="Normal"/>
        <w:rPr/>
      </w:pPr>
      <w:r>
        <w:rPr/>
        <w:t>港币兑人民币变化另需敏感性。人民币经营盈利若相对港币升值</w:t>
      </w:r>
      <w:r>
        <w:rPr/>
        <w:t>5%</w:t>
      </w:r>
      <w:r>
        <w:rPr/>
        <w:t>，未计外汇经营影响时正常盈利价值约同比增加</w:t>
      </w:r>
      <w:r>
        <w:rPr/>
        <w:t>5%</w:t>
      </w:r>
      <w:r>
        <w:rPr/>
        <w:t>；贬值则相反，短期含现价的识别桥部分幅度小于</w:t>
      </w:r>
      <w:r>
        <w:rPr/>
        <w:t>5%</w:t>
      </w:r>
      <w:r>
        <w:rPr/>
        <w:t>。海外美元或欧元版税也受人民币换算影响，经营竞争与税费并非静态。人民币投资者持有港股的本金汇兑回报与公司模型汇兑不同，应按实际买卖汇率单列，不能把本币股价空间当人民币保证收益。</w:t>
      </w:r>
    </w:p>
    <w:p>
      <w:pPr>
        <w:pStyle w:val="Heading2"/>
        <w:rPr/>
      </w:pPr>
      <w:r>
        <w:rPr>
          <w:color w:val="000000"/>
        </w:rPr>
        <w:t>十五 年度现金路径与可承受失败</w:t>
      </w:r>
    </w:p>
    <w:p>
      <w:pPr>
        <w:pStyle w:val="Normal"/>
        <w:rPr/>
      </w:pPr>
      <w:r>
        <w:rPr/>
        <w:t>资金桥六月从</w:t>
      </w:r>
      <w:r>
        <w:rPr/>
        <w:t>51.97607</w:t>
      </w:r>
      <w:r>
        <w:rPr/>
        <w:t>亿元现金与定存起步，二〇二六年仅加模型正常经营现金的半年简化值，再扣剩余资本开支、授权购买、租赁本金、已宣旧息和回购，增加罗氏研究净现金。它不精确还原季度收付款，也未将已含六月现金的旧首付再加。未来全年合并正常利润加折旧及股份支付、减营运资本形成正常经营现金，随后扣现金支出和融资，逐年保存结果以供复核。</w:t>
      </w:r>
    </w:p>
    <w:p>
      <w:pPr>
        <w:pStyle w:val="Normal"/>
        <w:rPr/>
      </w:pPr>
      <w:r>
        <w:rPr/>
        <w:t>基准年末现金约</w:t>
      </w:r>
      <w:r>
        <w:rPr/>
        <w:t>51.76647</w:t>
      </w:r>
      <w:r>
        <w:rPr/>
        <w:t>亿元，二〇二七年</w:t>
      </w:r>
      <w:r>
        <w:rPr/>
        <w:t>54.52101</w:t>
      </w:r>
      <w:r>
        <w:rPr/>
        <w:t>亿元、二〇二八年</w:t>
      </w:r>
      <w:r>
        <w:rPr/>
        <w:t>61.10679</w:t>
      </w:r>
      <w:r>
        <w:rPr/>
        <w:t>亿元、二〇二九年</w:t>
      </w:r>
      <w:r>
        <w:rPr/>
        <w:t>73.43284</w:t>
      </w:r>
      <w:r>
        <w:rPr/>
        <w:t>亿元、二〇三一年</w:t>
      </w:r>
      <w:r>
        <w:rPr/>
        <w:t>114.49240</w:t>
      </w:r>
      <w:r>
        <w:rPr/>
        <w:t>亿元。这里是合并范围资金，不都属于上市母股东即时可用资产，经济少数权益不会使现金自动分出。它支持临床和商业投入有缓冲，但具体调拨、子公司独立融资及各年度付款结构仍缺细节。预测增长不能据此提高分红而不核现金主体。</w:t>
      </w:r>
    </w:p>
    <w:p>
      <w:pPr>
        <w:pStyle w:val="Normal"/>
        <w:rPr/>
      </w:pPr>
      <w:r>
        <w:rPr/>
        <w:t>悲观年末现金约</w:t>
      </w:r>
      <w:r>
        <w:rPr/>
        <w:t>48.85895</w:t>
      </w:r>
      <w:r>
        <w:rPr/>
        <w:t>亿元，二〇二七年支付</w:t>
      </w:r>
      <w:r>
        <w:rPr/>
        <w:t>13.2</w:t>
      </w:r>
      <w:r>
        <w:rPr/>
        <w:t>亿元赎回后约</w:t>
      </w:r>
      <w:r>
        <w:rPr/>
        <w:t>32.16215</w:t>
      </w:r>
      <w:r>
        <w:rPr/>
        <w:t>亿元，之后处三十多亿元量级。该情景假定现有业务仍有经营基础，并非最坏所有药物失败或监管停止销售。因此悲观股价虽然跌近七成，也不是最大损失边界。若收入比悲观更低、诉讼和资本投入更高或融资续作失败，现金可能更快下降，需要重新评估持续经营与排名资格。</w:t>
      </w:r>
    </w:p>
    <w:p>
      <w:pPr>
        <w:pStyle w:val="Normal"/>
        <w:rPr/>
      </w:pPr>
      <w:r>
        <w:rPr/>
        <w:t>乐观资金快速增加来自正常利润、持续业务和选择性里程碑同时改善，未加入最大合同全额或未知上市融资。这一路径尤其依赖销售效率和较高毛利，不能以现金终值倒推药物必然成功。资金在研发高峰中有机会成本，董事会未来也可能选择并购或增加投资，使现金小于模型。追踪现金安全应关注实际净收款与承诺开支，而不仅是报表资产和未来交易总额。</w:t>
      </w:r>
    </w:p>
    <w:p>
      <w:pPr>
        <w:pStyle w:val="Heading2"/>
        <w:rPr/>
      </w:pPr>
      <w:r>
        <w:rPr>
          <w:color w:val="000000"/>
        </w:rPr>
        <w:t>十六 日线趋势与半年买入条件</w:t>
      </w:r>
    </w:p>
    <w:p>
      <w:pPr>
        <w:pStyle w:val="Normal"/>
        <w:rPr/>
      </w:pPr>
      <w:r>
        <w:rPr/>
        <w:t>行情使用锁定十月九日收盘</w:t>
      </w:r>
      <w:r>
        <w:rPr/>
        <w:t>10.89</w:t>
      </w:r>
      <w:r>
        <w:rPr/>
        <w:t>港元，当日开</w:t>
      </w:r>
      <w:r>
        <w:rPr/>
        <w:t>10.92</w:t>
      </w:r>
      <w:r>
        <w:rPr/>
        <w:t>、高</w:t>
      </w:r>
      <w:r>
        <w:rPr/>
        <w:t>11.10</w:t>
      </w:r>
      <w:r>
        <w:rPr/>
        <w:t>、低</w:t>
      </w:r>
      <w:r>
        <w:rPr/>
        <w:t>10.62</w:t>
      </w:r>
      <w:r>
        <w:rPr/>
        <w:t>，下降约</w:t>
      </w:r>
      <w:r>
        <w:rPr/>
        <w:t>0.82%</w:t>
      </w:r>
      <w:r>
        <w:rPr/>
        <w:t>，成交</w:t>
      </w:r>
      <w:r>
        <w:rPr/>
        <w:t>481</w:t>
      </w:r>
      <w:r>
        <w:rPr/>
        <w:t>万股、约</w:t>
      </w:r>
      <w:r>
        <w:rPr/>
        <w:t>5212.5228</w:t>
      </w:r>
      <w:r>
        <w:rPr/>
        <w:t>万港元。历史共</w:t>
      </w:r>
      <w:r>
        <w:rPr/>
        <w:t>739</w:t>
      </w:r>
      <w:r>
        <w:rPr/>
        <w:t>根日线、</w:t>
      </w:r>
      <w:r>
        <w:rPr/>
        <w:t>157</w:t>
      </w:r>
      <w:r>
        <w:rPr/>
        <w:t>周，其中七根异常最高最低关系已用独立来源修复。日线用于技术计算的复权与单日真实成交价格分开保存，过去高点和均线需要以同一复权序列比较。成交量单位为股，不能把港股每手数量混入倍数。</w:t>
      </w:r>
    </w:p>
    <w:p>
      <w:pPr>
        <w:pStyle w:val="Normal"/>
        <w:rPr/>
      </w:pPr>
      <w:r>
        <w:rPr/>
        <w:t>二十、六十、一百二十及二百五十日均线分别</w:t>
      </w:r>
      <w:r>
        <w:rPr/>
        <w:t>11.3445</w:t>
      </w:r>
      <w:r>
        <w:rPr/>
        <w:t>、</w:t>
      </w:r>
      <w:r>
        <w:rPr/>
        <w:t>11.8750</w:t>
      </w:r>
      <w:r>
        <w:rPr/>
        <w:t>、</w:t>
      </w:r>
      <w:r>
        <w:rPr/>
        <w:t>11.353736</w:t>
      </w:r>
      <w:r>
        <w:rPr/>
        <w:t>、</w:t>
      </w:r>
      <w:r>
        <w:rPr/>
        <w:t>11.847436</w:t>
      </w:r>
      <w:r>
        <w:rPr/>
        <w:t>港元，当前距它们约负</w:t>
      </w:r>
      <w:r>
        <w:rPr/>
        <w:t>4.01%</w:t>
      </w:r>
      <w:r>
        <w:rPr/>
        <w:t>、负</w:t>
      </w:r>
      <w:r>
        <w:rPr/>
        <w:t>8.29%</w:t>
      </w:r>
      <w:r>
        <w:rPr/>
        <w:t>、负</w:t>
      </w:r>
      <w:r>
        <w:rPr/>
        <w:t>4.08%</w:t>
      </w:r>
      <w:r>
        <w:rPr/>
        <w:t>、负</w:t>
      </w:r>
      <w:r>
        <w:rPr/>
        <w:t>8.08%</w:t>
      </w:r>
      <w:r>
        <w:rPr/>
        <w:t>。各线五日斜率均负，约负</w:t>
      </w:r>
      <w:r>
        <w:rPr/>
        <w:t>0.62%</w:t>
      </w:r>
      <w:r>
        <w:rPr/>
        <w:t>、负</w:t>
      </w:r>
      <w:r>
        <w:rPr/>
        <w:t>0.97%</w:t>
      </w:r>
      <w:r>
        <w:rPr/>
        <w:t>、负</w:t>
      </w:r>
      <w:r>
        <w:rPr/>
        <w:t>0.83%</w:t>
      </w:r>
      <w:r>
        <w:rPr/>
        <w:t>、负</w:t>
      </w:r>
      <w:r>
        <w:rPr/>
        <w:t>0.21%</w:t>
      </w:r>
      <w:r>
        <w:rPr/>
        <w:t>。这表明短中长期日线均缺乏向上支撑，不应仅因现价接近二十日低点就称强趋势回踩。突破与站稳均线需要新的价格及量能证据。</w:t>
      </w:r>
    </w:p>
    <w:p>
      <w:pPr>
        <w:pStyle w:val="Normal"/>
        <w:rPr/>
      </w:pPr>
      <w:r>
        <w:rPr/>
        <w:t>二十、六十、一百二十及二百五十日累计表现约负</w:t>
      </w:r>
      <w:r>
        <w:rPr/>
        <w:t>2.94%</w:t>
      </w:r>
      <w:r>
        <w:rPr/>
        <w:t>、负</w:t>
      </w:r>
      <w:r>
        <w:rPr/>
        <w:t>17.06%</w:t>
      </w:r>
      <w:r>
        <w:rPr/>
        <w:t>、负</w:t>
      </w:r>
      <w:r>
        <w:rPr/>
        <w:t>19.35%</w:t>
      </w:r>
      <w:r>
        <w:rPr/>
        <w:t>、负</w:t>
      </w:r>
      <w:r>
        <w:rPr/>
        <w:t>15.87%</w:t>
      </w:r>
      <w:r>
        <w:rPr/>
        <w:t>，近期弱势并非只有一天。五十二周复权高约</w:t>
      </w:r>
      <w:r>
        <w:rPr/>
        <w:t>14.080682</w:t>
      </w:r>
      <w:r>
        <w:rPr/>
        <w:t>港元、低</w:t>
      </w:r>
      <w:r>
        <w:rPr/>
        <w:t>9.07</w:t>
      </w:r>
      <w:r>
        <w:rPr/>
        <w:t>港元，最大阶段回撤约</w:t>
      </w:r>
      <w:r>
        <w:rPr/>
        <w:t>32.62%</w:t>
      </w:r>
      <w:r>
        <w:rPr/>
        <w:t>。当前到较高价格的距离提供潜在反弹空间，但历史高点没有保证再被触及。当前下跌同时可能包含估值、板块、产品预期和市场风险，不能单靠形状精确识别某种资金意图。</w:t>
      </w:r>
    </w:p>
    <w:p>
      <w:pPr>
        <w:pStyle w:val="Normal"/>
        <w:rPr/>
      </w:pPr>
      <w:r>
        <w:rPr/>
        <w:t>二十日区间支持</w:t>
      </w:r>
      <w:r>
        <w:rPr/>
        <w:t>10.62</w:t>
      </w:r>
      <w:r>
        <w:rPr/>
        <w:t>、阻力</w:t>
      </w:r>
      <w:r>
        <w:rPr/>
        <w:t>11.89</w:t>
      </w:r>
      <w:r>
        <w:rPr/>
        <w:t>港元，现价到支持约负</w:t>
      </w:r>
      <w:r>
        <w:rPr/>
        <w:t>2.48%</w:t>
      </w:r>
      <w:r>
        <w:rPr/>
        <w:t>、到阻力约正</w:t>
      </w:r>
      <w:r>
        <w:rPr/>
        <w:t>9.18%</w:t>
      </w:r>
      <w:r>
        <w:rPr/>
        <w:t>；六十日高</w:t>
      </w:r>
      <w:r>
        <w:rPr/>
        <w:t>13.52</w:t>
      </w:r>
      <w:r>
        <w:rPr/>
        <w:t>港元、距现价正</w:t>
      </w:r>
      <w:r>
        <w:rPr/>
        <w:t>24.15%</w:t>
      </w:r>
      <w:r>
        <w:rPr/>
        <w:t>。支持是过去价格行为区域，不是止损保本承诺。若跌破</w:t>
      </w:r>
      <w:r>
        <w:rPr/>
        <w:t>10.62</w:t>
      </w:r>
      <w:r>
        <w:rPr/>
        <w:t>并连续收低、放量且市场相对弱势持续，震荡企稳判断失效；若收复</w:t>
      </w:r>
      <w:r>
        <w:rPr/>
        <w:t>11.35</w:t>
      </w:r>
      <w:r>
        <w:rPr/>
        <w:t>附近均线群、继而</w:t>
      </w:r>
      <w:r>
        <w:rPr/>
        <w:t>11.89</w:t>
      </w:r>
      <w:r>
        <w:rPr/>
        <w:t>并回踩守稳，可提高短期趋势评分，仍要结合经营证据。</w:t>
      </w:r>
    </w:p>
    <w:p>
      <w:pPr>
        <w:pStyle w:val="Normal"/>
        <w:rPr/>
      </w:pPr>
      <w:r>
        <w:rPr/>
        <w:t>RSI</w:t>
      </w:r>
      <w:r>
        <w:rPr/>
        <w:t>约</w:t>
      </w:r>
      <w:r>
        <w:rPr/>
        <w:t>39.26</w:t>
      </w:r>
      <w:r>
        <w:rPr/>
        <w:t>，反映动能偏弱但不足单独宣布极端超卖。</w:t>
      </w:r>
      <w:r>
        <w:rPr/>
        <w:t>MACD</w:t>
      </w:r>
      <w:r>
        <w:rPr/>
        <w:t>差值约负</w:t>
      </w:r>
      <w:r>
        <w:rPr/>
        <w:t>0.11537</w:t>
      </w:r>
      <w:r>
        <w:rPr/>
        <w:t>、信号负</w:t>
      </w:r>
      <w:r>
        <w:rPr/>
        <w:t>0.08657</w:t>
      </w:r>
      <w:r>
        <w:rPr/>
        <w:t>、柱负</w:t>
      </w:r>
      <w:r>
        <w:rPr/>
        <w:t>0.05760</w:t>
      </w:r>
      <w:r>
        <w:rPr/>
        <w:t>，与均线信息一致，不额外重复加分。日</w:t>
      </w:r>
      <w:r>
        <w:rPr/>
        <w:t>ATR</w:t>
      </w:r>
      <w:r>
        <w:rPr/>
        <w:t>约</w:t>
      </w:r>
      <w:r>
        <w:rPr/>
        <w:t>0.41813</w:t>
      </w:r>
      <w:r>
        <w:rPr/>
        <w:t>港元、占现价</w:t>
      </w:r>
      <w:r>
        <w:rPr/>
        <w:t>3.84%</w:t>
      </w:r>
      <w:r>
        <w:rPr/>
        <w:t>，说明常见日波动幅度不小，窄幅价格观察容易被随机波动打破。</w:t>
      </w:r>
      <w:r>
        <w:rPr/>
        <w:t>ATR</w:t>
      </w:r>
      <w:r>
        <w:rPr/>
        <w:t>不是未来最大跌幅，也不用于声称价格变化必定服从某分布。</w:t>
      </w:r>
    </w:p>
    <w:p>
      <w:pPr>
        <w:pStyle w:val="Heading2"/>
        <w:rPr/>
      </w:pPr>
      <w:r>
        <w:rPr>
          <w:color w:val="000000"/>
        </w:rPr>
        <w:t>十七 量能 周线与相对强弱</w:t>
      </w:r>
    </w:p>
    <w:p>
      <w:pPr>
        <w:pStyle w:val="Normal"/>
        <w:rPr/>
      </w:pPr>
      <w:r>
        <w:rPr/>
        <w:t>五、二十、六十日均量约</w:t>
      </w:r>
      <w:r>
        <w:rPr/>
        <w:t>276.64</w:t>
      </w:r>
      <w:r>
        <w:rPr/>
        <w:t>万、</w:t>
      </w:r>
      <w:r>
        <w:rPr/>
        <w:t>414.29</w:t>
      </w:r>
      <w:r>
        <w:rPr/>
        <w:t>万、</w:t>
      </w:r>
      <w:r>
        <w:rPr/>
        <w:t>547.43</w:t>
      </w:r>
      <w:r>
        <w:rPr/>
        <w:t>万股，当日相对前二十日平均量比约</w:t>
      </w:r>
      <w:r>
        <w:rPr/>
        <w:t>1.157</w:t>
      </w:r>
      <w:r>
        <w:rPr/>
        <w:t>。五日均量低于二十和六十日，显示近期交投总体减弱；当日略放量又收跌，尚不构成明确向上确认。成交额用于资金规模理解，不能与成交股数混算，若缺乏自由流通股每日分母，本文不生成看似精确的换手率。没有逐笔成交资料，也不制作声称精确的筹码分布。</w:t>
      </w:r>
    </w:p>
    <w:p>
      <w:pPr>
        <w:pStyle w:val="Normal"/>
        <w:rPr/>
      </w:pPr>
      <w:r>
        <w:rPr/>
        <w:t>最近二十日上涨八天、下跌十二天，上涨日总量约</w:t>
      </w:r>
      <w:r>
        <w:rPr/>
        <w:t>3362.83</w:t>
      </w:r>
      <w:r>
        <w:rPr/>
        <w:t>万股、下跌日</w:t>
      </w:r>
      <w:r>
        <w:rPr/>
        <w:t>4923.00</w:t>
      </w:r>
      <w:r>
        <w:rPr/>
        <w:t>万股，总量比约</w:t>
      </w:r>
      <w:r>
        <w:rPr/>
        <w:t>0.683</w:t>
      </w:r>
      <w:r>
        <w:rPr/>
        <w:t>。平均上涨日约</w:t>
      </w:r>
      <w:r>
        <w:rPr/>
        <w:t>420.35</w:t>
      </w:r>
      <w:r>
        <w:rPr/>
        <w:t>万股，平均下跌日</w:t>
      </w:r>
      <w:r>
        <w:rPr/>
        <w:t>410.25</w:t>
      </w:r>
      <w:r>
        <w:rPr/>
        <w:t>万股，两者其实接近且上涨日略高。下跌总量多主要也受下跌日数较多影响，不能直接写成每次下跌都更放量或主力撤退。结合价格下行与均量减少，较恰当结论是上行动能未被持续验证，而非量能单独证明机构行为。</w:t>
      </w:r>
    </w:p>
    <w:p>
      <w:pPr>
        <w:pStyle w:val="Normal"/>
        <w:rPr/>
      </w:pPr>
      <w:r>
        <w:rPr/>
        <w:t>周线二十、六十、一百二十周均线约</w:t>
      </w:r>
      <w:r>
        <w:rPr/>
        <w:t>11.23884</w:t>
      </w:r>
      <w:r>
        <w:rPr/>
        <w:t>、</w:t>
      </w:r>
      <w:r>
        <w:rPr/>
        <w:t>11.998852</w:t>
      </w:r>
      <w:r>
        <w:rPr/>
        <w:t>、</w:t>
      </w:r>
      <w:r>
        <w:rPr/>
        <w:t>9.848014</w:t>
      </w:r>
      <w:r>
        <w:rPr/>
        <w:t>港元；二十、六十周斜率负，一百二十周正，显示更长周期仍有恢复基础而近期转弱。二百五十周历史不足，不补造。周</w:t>
      </w:r>
      <w:r>
        <w:rPr/>
        <w:t>RSI</w:t>
      </w:r>
      <w:r>
        <w:rPr/>
        <w:t>约</w:t>
      </w:r>
      <w:r>
        <w:rPr/>
        <w:t>44.45</w:t>
      </w:r>
      <w:r>
        <w:rPr/>
        <w:t>、</w:t>
      </w:r>
      <w:r>
        <w:rPr/>
        <w:t>ATR0.96230</w:t>
      </w:r>
      <w:r>
        <w:rPr/>
        <w:t>港元、约</w:t>
      </w:r>
      <w:r>
        <w:rPr/>
        <w:t>8.84%</w:t>
      </w:r>
      <w:r>
        <w:rPr/>
        <w:t>，</w:t>
      </w:r>
      <w:r>
        <w:rPr/>
        <w:t>MACD</w:t>
      </w:r>
      <w:r>
        <w:rPr/>
        <w:t>柱负</w:t>
      </w:r>
      <w:r>
        <w:rPr/>
        <w:t>0.10811</w:t>
      </w:r>
      <w:r>
        <w:rPr/>
        <w:t>。周指标提供较慢变化视角，并不与日线分别无限加分，否则相同下跌会重复扣或加。</w:t>
      </w:r>
    </w:p>
    <w:p>
      <w:pPr>
        <w:pStyle w:val="Normal"/>
        <w:rPr/>
      </w:pPr>
      <w:r>
        <w:rPr/>
        <w:t>周五、二十、六十均量约</w:t>
      </w:r>
      <w:r>
        <w:rPr/>
        <w:t>1966.03</w:t>
      </w:r>
      <w:r>
        <w:rPr/>
        <w:t>万、</w:t>
      </w:r>
      <w:r>
        <w:rPr/>
        <w:t>3068.45</w:t>
      </w:r>
      <w:r>
        <w:rPr/>
        <w:t>万、</w:t>
      </w:r>
      <w:r>
        <w:rPr/>
        <w:t>4164.62</w:t>
      </w:r>
      <w:r>
        <w:rPr/>
        <w:t>万股，近期量同样低于长均值。过去二十周上涨、下跌各十周，上涨总量比下跌约</w:t>
      </w:r>
      <w:r>
        <w:rPr/>
        <w:t>1.322</w:t>
      </w:r>
      <w:r>
        <w:rPr/>
        <w:t>，与最近二十日总量方向不同。两个观察窗口代表不同时间层级，不能挑一个更乐观数字忽略另一个。长期恢复与短期调整可以同时存在，半年操作仍应等待近期价格和交投改善，五年业务判断则不由一周波动决定。</w:t>
      </w:r>
    </w:p>
    <w:p>
      <w:pPr>
        <w:pStyle w:val="Normal"/>
        <w:rPr/>
      </w:pPr>
      <w:r>
        <w:rPr/>
        <w:t>相对恒指二十日表现约高</w:t>
      </w:r>
      <w:r>
        <w:rPr/>
        <w:t>0.04</w:t>
      </w:r>
      <w:r>
        <w:rPr/>
        <w:t>个百分点，基本持平；六十日落后约</w:t>
      </w:r>
      <w:r>
        <w:rPr/>
        <w:t>13.87</w:t>
      </w:r>
      <w:r>
        <w:rPr/>
        <w:t>个百分点。以港股通创新药指数作粗行业参考，二十与六十日分别落后约</w:t>
      </w:r>
      <w:r>
        <w:rPr/>
        <w:t>3.82</w:t>
      </w:r>
      <w:r>
        <w:rPr/>
        <w:t>及</w:t>
      </w:r>
      <w:r>
        <w:rPr/>
        <w:t>13.84</w:t>
      </w:r>
      <w:r>
        <w:rPr/>
        <w:t>个百分点。该指数不是先声完全匹配的业务组合，且单源与没有可靠成交量比较，故只能作为方向参考。相对弱势表明当前市场没有明显奖励已公开增长，可能源于预期、风险偏好或信息验证，不能推断某一唯一原因。</w:t>
      </w:r>
    </w:p>
    <w:p>
      <w:pPr>
        <w:pStyle w:val="Heading2"/>
        <w:rPr/>
      </w:pPr>
      <w:r>
        <w:rPr>
          <w:color w:val="000000"/>
        </w:rPr>
        <w:t>十八 半年与一年不同的收益来源</w:t>
      </w:r>
    </w:p>
    <w:p>
      <w:pPr>
        <w:pStyle w:val="Normal"/>
        <w:rPr/>
      </w:pPr>
      <w:r>
        <w:rPr/>
        <w:t>半年评分中估值</w:t>
      </w:r>
      <w:r>
        <w:rPr/>
        <w:t>25%</w:t>
      </w:r>
      <w:r>
        <w:rPr/>
        <w:t>、技术</w:t>
      </w:r>
      <w:r>
        <w:rPr/>
        <w:t>30%</w:t>
      </w:r>
      <w:r>
        <w:rPr/>
        <w:t>、经营</w:t>
      </w:r>
      <w:r>
        <w:rPr/>
        <w:t>15%</w:t>
      </w:r>
      <w:r>
        <w:rPr/>
        <w:t>、行业</w:t>
      </w:r>
      <w:r>
        <w:rPr/>
        <w:t>10%</w:t>
      </w:r>
      <w:r>
        <w:rPr/>
        <w:t>、催化</w:t>
      </w:r>
      <w:r>
        <w:rPr/>
        <w:t>10%</w:t>
      </w:r>
      <w:r>
        <w:rPr/>
        <w:t>、风险</w:t>
      </w:r>
      <w:r>
        <w:rPr/>
        <w:t>10%</w:t>
      </w:r>
      <w:r>
        <w:rPr/>
        <w:t>，先声技术维度仅</w:t>
      </w:r>
      <w:r>
        <w:rPr/>
        <w:t>1.7</w:t>
      </w:r>
      <w:r>
        <w:rPr/>
        <w:t>分，拖累总分</w:t>
      </w:r>
      <w:r>
        <w:rPr/>
        <w:t>63.4</w:t>
      </w:r>
      <w:r>
        <w:rPr/>
        <w:t>。基准目标</w:t>
      </w:r>
      <w:r>
        <w:rPr/>
        <w:t>15.623501</w:t>
      </w:r>
      <w:r>
        <w:rPr/>
        <w:t>港元仍有</w:t>
      </w:r>
      <w:r>
        <w:rPr/>
        <w:t>43.47%</w:t>
      </w:r>
      <w:r>
        <w:rPr/>
        <w:t>空间，但需要年度商业药增长、新产品采用和估值差部分被认可。先必新下沉、已批预防产品的首季商业化、若干审评进度是观察事件；宏观风险偏好改善能帮助价格，却不能替代经营进展。缺乏量价确认时，评分不能只跟随模型大空间。</w:t>
      </w:r>
    </w:p>
    <w:p>
      <w:pPr>
        <w:pStyle w:val="Normal"/>
        <w:rPr/>
      </w:pPr>
      <w:r>
        <w:rPr/>
        <w:t>半年悲观约</w:t>
      </w:r>
      <w:r>
        <w:rPr/>
        <w:t>3.069598</w:t>
      </w:r>
      <w:r>
        <w:rPr/>
        <w:t>港元、负</w:t>
      </w:r>
      <w:r>
        <w:rPr/>
        <w:t>71.81%</w:t>
      </w:r>
      <w:r>
        <w:rPr/>
        <w:t>，对应低毛利、较弱销量、费用不降及正常盈利倍数收缩。它没有假定公司立刻破产，反映成长溢价与利润杠杆逆转可能同时发生。乐观</w:t>
      </w:r>
      <w:r>
        <w:rPr/>
        <w:t>24.520892</w:t>
      </w:r>
      <w:r>
        <w:rPr/>
        <w:t>港元、正</w:t>
      </w:r>
      <w:r>
        <w:rPr/>
        <w:t>125.17%</w:t>
      </w:r>
      <w:r>
        <w:rPr/>
        <w:t>，则需要较高收入和毛利、快速市场识别。上下两端都很宽，说明半年预测不确定性高，不能以</w:t>
      </w:r>
      <w:r>
        <w:rPr/>
        <w:t>25%</w:t>
      </w:r>
      <w:r>
        <w:rPr/>
        <w:t>情景权重称损失概率只有四分之一。</w:t>
      </w:r>
    </w:p>
    <w:p>
      <w:pPr>
        <w:pStyle w:val="Normal"/>
        <w:rPr/>
      </w:pPr>
      <w:r>
        <w:rPr/>
        <w:t>一年技术权重降至</w:t>
      </w:r>
      <w:r>
        <w:rPr/>
        <w:t>15%</w:t>
      </w:r>
      <w:r>
        <w:rPr/>
        <w:t>、经营增至</w:t>
      </w:r>
      <w:r>
        <w:rPr/>
        <w:t>25%</w:t>
      </w:r>
      <w:r>
        <w:rPr/>
        <w:t>，总分</w:t>
      </w:r>
      <w:r>
        <w:rPr/>
        <w:t>73.9</w:t>
      </w:r>
      <w:r>
        <w:rPr/>
        <w:t>，逻辑更多来自二〇二七至二〇二八年产品组合与经营效率。基准一年</w:t>
      </w:r>
      <w:r>
        <w:rPr/>
        <w:t>20.685318</w:t>
      </w:r>
      <w:r>
        <w:rPr/>
        <w:t>港元对应二〇二八年正常每股人民币</w:t>
      </w:r>
      <w:r>
        <w:rPr/>
        <w:t>0.81760</w:t>
      </w:r>
      <w:r>
        <w:rPr/>
        <w:t>元和二十三倍，税前预测股息</w:t>
      </w:r>
      <w:r>
        <w:rPr/>
        <w:t>0.242</w:t>
      </w:r>
      <w:r>
        <w:rPr/>
        <w:t>港元单列。若这段时间肿瘤仍亏损、新品延后或神经价格下降，利润假设要改。对一年投资者，核季度或半年度产品收入与费用兑现比短线指标更重要。</w:t>
      </w:r>
    </w:p>
    <w:p>
      <w:pPr>
        <w:pStyle w:val="Normal"/>
        <w:rPr/>
      </w:pPr>
      <w:r>
        <w:rPr/>
        <w:t>一年悲观</w:t>
      </w:r>
      <w:r>
        <w:rPr/>
        <w:t>3.581924</w:t>
      </w:r>
      <w:r>
        <w:rPr/>
        <w:t>港元、乐观</w:t>
      </w:r>
      <w:r>
        <w:rPr/>
        <w:t>49.871663</w:t>
      </w:r>
      <w:r>
        <w:rPr/>
        <w:t>港元，后者涨约</w:t>
      </w:r>
      <w:r>
        <w:rPr/>
        <w:t>357.96%</w:t>
      </w:r>
      <w:r>
        <w:rPr/>
        <w:t>，是高度联合上行，不应作为通常目标。它要求收入约</w:t>
      </w:r>
      <w:r>
        <w:rPr/>
        <w:t>175.52</w:t>
      </w:r>
      <w:r>
        <w:rPr/>
        <w:t>亿元、正常母净</w:t>
      </w:r>
      <w:r>
        <w:rPr/>
        <w:t>42.09946</w:t>
      </w:r>
      <w:r>
        <w:rPr/>
        <w:t>亿元以及二十八倍估值，远高于基准盈利。模型公开这一尾部是为了呈现成长和盈利杠杆，不是优先依据。若只用乐观空间排序，会把研究不确定性误当可获得收益，评分与可信度因此独立存在。</w:t>
      </w:r>
    </w:p>
    <w:p>
      <w:pPr>
        <w:pStyle w:val="Heading2"/>
        <w:rPr/>
      </w:pPr>
      <w:r>
        <w:rPr>
          <w:color w:val="000000"/>
        </w:rPr>
        <w:t>十九 三年 五年与十年持续性</w:t>
      </w:r>
    </w:p>
    <w:p>
      <w:pPr>
        <w:pStyle w:val="Normal"/>
        <w:rPr/>
      </w:pPr>
      <w:r>
        <w:rPr/>
        <w:t>三年得分</w:t>
      </w:r>
      <w:r>
        <w:rPr/>
        <w:t>79.4</w:t>
      </w:r>
      <w:r>
        <w:rPr/>
        <w:t>，经营权重</w:t>
      </w:r>
      <w:r>
        <w:rPr/>
        <w:t>35%</w:t>
      </w:r>
      <w:r>
        <w:rPr/>
        <w:t>、行业</w:t>
      </w:r>
      <w:r>
        <w:rPr/>
        <w:t>20%</w:t>
      </w:r>
      <w:r>
        <w:rPr/>
        <w:t>，技术只</w:t>
      </w:r>
      <w:r>
        <w:rPr/>
        <w:t>5%</w:t>
      </w:r>
      <w:r>
        <w:rPr/>
        <w:t>。基准</w:t>
      </w:r>
      <w:r>
        <w:rPr/>
        <w:t>25.536724</w:t>
      </w:r>
      <w:r>
        <w:rPr/>
        <w:t>港元对应二〇二九年正常母净约</w:t>
      </w:r>
      <w:r>
        <w:rPr/>
        <w:t>27.80548</w:t>
      </w:r>
      <w:r>
        <w:rPr/>
        <w:t>亿元、每股</w:t>
      </w:r>
      <w:r>
        <w:rPr/>
        <w:t>1.05524</w:t>
      </w:r>
      <w:r>
        <w:rPr/>
        <w:t>元和二十二倍。正常收入来自既有商业组合与开始兑现的部分风险新品，海外版税尚非全部主导。三年税前累计股息</w:t>
      </w:r>
      <w:r>
        <w:rPr/>
        <w:t>0.880</w:t>
      </w:r>
      <w:r>
        <w:rPr/>
        <w:t>港元、含息</w:t>
      </w:r>
      <w:r>
        <w:rPr/>
        <w:t>142.58%</w:t>
      </w:r>
      <w:r>
        <w:rPr/>
        <w:t>、年化</w:t>
      </w:r>
      <w:r>
        <w:rPr/>
        <w:t>34.36%</w:t>
      </w:r>
      <w:r>
        <w:rPr/>
        <w:t>，计算使用起点</w:t>
      </w:r>
      <w:r>
        <w:rPr/>
        <w:t>10.89</w:t>
      </w:r>
      <w:r>
        <w:rPr/>
        <w:t>且未假定分红自动再投，不能与盈利年增长率混同。</w:t>
      </w:r>
    </w:p>
    <w:p>
      <w:pPr>
        <w:pStyle w:val="Normal"/>
        <w:rPr/>
      </w:pPr>
      <w:r>
        <w:rPr/>
        <w:t>三年失败路径是多个药物不能形成差异化，商业化费用持续高于预期、母公司经济份额下降、海外伙伴项目延期。悲观约</w:t>
      </w:r>
      <w:r>
        <w:rPr/>
        <w:t>3.443948</w:t>
      </w:r>
      <w:r>
        <w:rPr/>
        <w:t>港元说明即使公司继续经营，收入停滞与正常利润受挤压仍可令股东损失很大。乐观</w:t>
      </w:r>
      <w:r>
        <w:rPr/>
        <w:t>69.868986</w:t>
      </w:r>
      <w:r>
        <w:rPr/>
        <w:t>港元建立在肿瘤盈利扩张与成功新品组合上，必须逐年核证。时间延长让研发机会更多，也让失败、竞争与资本分配积累更多，不能把长期自动等同低风险。</w:t>
      </w:r>
    </w:p>
    <w:p>
      <w:pPr>
        <w:pStyle w:val="Normal"/>
        <w:rPr/>
      </w:pPr>
      <w:r>
        <w:rPr/>
        <w:t>五年得分</w:t>
      </w:r>
      <w:r>
        <w:rPr/>
        <w:t>81.3</w:t>
      </w:r>
      <w:r>
        <w:rPr/>
        <w:t>，经营</w:t>
      </w:r>
      <w:r>
        <w:rPr/>
        <w:t>40%</w:t>
      </w:r>
      <w:r>
        <w:rPr/>
        <w:t>、行业</w:t>
      </w:r>
      <w:r>
        <w:rPr/>
        <w:t>20%</w:t>
      </w:r>
      <w:r>
        <w:rPr/>
        <w:t>、风险</w:t>
      </w:r>
      <w:r>
        <w:rPr/>
        <w:t>15%</w:t>
      </w:r>
      <w:r>
        <w:rPr/>
        <w:t>，取消技术加分。基准</w:t>
      </w:r>
      <w:r>
        <w:rPr/>
        <w:t>34.218936</w:t>
      </w:r>
      <w:r>
        <w:rPr/>
        <w:t>港元、累计股息</w:t>
      </w:r>
      <w:r>
        <w:rPr/>
        <w:t>1.848</w:t>
      </w:r>
      <w:r>
        <w:rPr/>
        <w:t>港元、含息</w:t>
      </w:r>
      <w:r>
        <w:rPr/>
        <w:t>231.19%</w:t>
      </w:r>
      <w:r>
        <w:rPr/>
        <w:t>、年化</w:t>
      </w:r>
      <w:r>
        <w:rPr/>
        <w:t>27.06%</w:t>
      </w:r>
      <w:r>
        <w:rPr/>
        <w:t>。相比三年，增长逐渐成熟、倍数降到二十倍，收益主要来自经营盈利增而非永久估值扩张。模型正常母净</w:t>
      </w:r>
      <w:r>
        <w:rPr/>
        <w:t>41.76266</w:t>
      </w:r>
      <w:r>
        <w:rPr/>
        <w:t>亿元需要神经、自身免疫、肿瘤和部分版税共同贡献，研发继续扩大，不能将五年利润当既有产品无投入的自然产出。</w:t>
      </w:r>
    </w:p>
    <w:p>
      <w:pPr>
        <w:pStyle w:val="Normal"/>
        <w:rPr/>
      </w:pPr>
      <w:r>
        <w:rPr/>
        <w:t>五年乐观</w:t>
      </w:r>
      <w:r>
        <w:rPr/>
        <w:t>117.661396</w:t>
      </w:r>
      <w:r>
        <w:rPr/>
        <w:t>港元、涨約</w:t>
      </w:r>
      <w:r>
        <w:rPr/>
        <w:t>980.45%</w:t>
      </w:r>
      <w:r>
        <w:rPr/>
        <w:t>，其中正常母净约</w:t>
      </w:r>
      <w:r>
        <w:rPr/>
        <w:t>113.81066</w:t>
      </w:r>
      <w:r>
        <w:rPr/>
        <w:t>亿元、较高毛利及多项海外持续收入同步兑现。这样高的结果应看作尾部敏感性：成功识别、峰值、销售费用和倍数稍有偏离都能明显改变价格。五年悲观</w:t>
      </w:r>
      <w:r>
        <w:rPr/>
        <w:t>3.692403</w:t>
      </w:r>
      <w:r>
        <w:rPr/>
        <w:t>港元未包含所有极端风险。投资决策需更重视基准与反证，而非将乐观十倍空间当成公司已经具有同等保证的内在价值。</w:t>
      </w:r>
    </w:p>
    <w:p>
      <w:pPr>
        <w:pStyle w:val="Normal"/>
        <w:rPr/>
      </w:pPr>
      <w:r>
        <w:rPr/>
        <w:t>十年经营展望不另制造一个精确股价。先声若能在脑血管、睡眠、自免和肿瘤建立持续创新与证据更新，商业渠道可帮助新品有效放量，海外伙伴也可使研发成果跨地区变现。反之，成熟药专利、支付与竞争趋于不利，授权项目淘汰而国内新药同质化，平台可能成为持续高投入却低每股回报企业。长期持续性取决于新产品回报超过投入、治理维护少数股东权益以及避免反复高价引进失败资产。</w:t>
      </w:r>
    </w:p>
    <w:p>
      <w:pPr>
        <w:pStyle w:val="Heading2"/>
        <w:rPr/>
      </w:pPr>
      <w:r>
        <w:rPr>
          <w:color w:val="000000"/>
        </w:rPr>
        <w:t>二十 年底情景与外资目标的区别</w:t>
      </w:r>
    </w:p>
    <w:p>
      <w:pPr>
        <w:pStyle w:val="Normal"/>
        <w:rPr/>
      </w:pPr>
      <w:r>
        <w:rPr/>
        <w:t>年底悲观要求现有商业增长受挫、费用和风险拖累正常盈利，同时市场减少成长溢价；基准需要商业增长延续、年底信息逐渐验证但尚不完全认可远期价值；乐观需要更强产品放量、研发和合作进展、资金风险减轻且市场积极重估。年底距离较短，新前临床授权大多还不能变成患者销售，所以短期主要是正常估值与预期变化，未用全部远期版税来声称年底经营收入跃升。</w:t>
      </w:r>
    </w:p>
    <w:p>
      <w:pPr>
        <w:pStyle w:val="Normal"/>
        <w:rPr/>
      </w:pPr>
      <w:r>
        <w:rPr/>
        <w:t>默认年底期望</w:t>
      </w:r>
      <w:r>
        <w:rPr/>
        <w:t>11.923265</w:t>
      </w:r>
      <w:r>
        <w:rPr/>
        <w:t>港元是</w:t>
      </w:r>
      <w:r>
        <w:rPr/>
        <w:t>3.410665</w:t>
      </w:r>
      <w:r>
        <w:rPr/>
        <w:t>、</w:t>
      </w:r>
      <w:r>
        <w:rPr/>
        <w:t>13.328945</w:t>
      </w:r>
      <w:r>
        <w:rPr/>
        <w:t>与</w:t>
      </w:r>
      <w:r>
        <w:rPr/>
        <w:t>17.624507</w:t>
      </w:r>
      <w:r>
        <w:rPr/>
        <w:t>按</w:t>
      </w:r>
      <w:r>
        <w:rPr/>
        <w:t>25%</w:t>
      </w:r>
      <w:r>
        <w:rPr/>
        <w:t>、</w:t>
      </w:r>
      <w:r>
        <w:rPr/>
        <w:t>50%</w:t>
      </w:r>
      <w:r>
        <w:rPr/>
        <w:t>、</w:t>
      </w:r>
      <w:r>
        <w:rPr/>
        <w:t>25%</w:t>
      </w:r>
      <w:r>
        <w:rPr/>
        <w:t>加权，回报</w:t>
      </w:r>
      <w:r>
        <w:rPr/>
        <w:t>9.49%</w:t>
      </w:r>
      <w:r>
        <w:rPr/>
        <w:t>。若提高悲观权重至</w:t>
      </w:r>
      <w:r>
        <w:rPr/>
        <w:t>40%</w:t>
      </w:r>
      <w:r>
        <w:rPr/>
        <w:t>、基准</w:t>
      </w:r>
      <w:r>
        <w:rPr/>
        <w:t>40%</w:t>
      </w:r>
      <w:r>
        <w:rPr/>
        <w:t>、乐观</w:t>
      </w:r>
      <w:r>
        <w:rPr/>
        <w:t>20%</w:t>
      </w:r>
      <w:r>
        <w:rPr/>
        <w:t>，期望变为</w:t>
      </w:r>
      <w:r>
        <w:rPr/>
        <w:t>10.220745</w:t>
      </w:r>
      <w:r>
        <w:rPr/>
        <w:t>港元、负</w:t>
      </w:r>
      <w:r>
        <w:rPr/>
        <w:t>6.15%</w:t>
      </w:r>
      <w:r>
        <w:rPr/>
        <w:t>；增加乐观至</w:t>
      </w:r>
      <w:r>
        <w:rPr/>
        <w:t>40%</w:t>
      </w:r>
      <w:r>
        <w:rPr/>
        <w:t>则</w:t>
      </w:r>
      <w:r>
        <w:rPr/>
        <w:t>13.063514</w:t>
      </w:r>
      <w:r>
        <w:rPr/>
        <w:t>港元、正</w:t>
      </w:r>
      <w:r>
        <w:rPr/>
        <w:t>19.96%</w:t>
      </w:r>
      <w:r>
        <w:rPr/>
        <w:t>。权重变化足以改变期望正负，说明期望是判断集合而非市场公平价。它应与具体风险承受和证据更新共读，不能只展示一个正期望数字。</w:t>
      </w:r>
    </w:p>
    <w:p>
      <w:pPr>
        <w:pStyle w:val="Normal"/>
        <w:rPr/>
      </w:pPr>
      <w:r>
        <w:rPr/>
        <w:t>九月九日公开财经新闻转述瑞银给予先声买入、行业首选与</w:t>
      </w:r>
      <w:r>
        <w:rPr/>
        <w:t>16.6</w:t>
      </w:r>
      <w:r>
        <w:rPr/>
        <w:t>港元目标，较现价约</w:t>
      </w:r>
      <w:r>
        <w:rPr/>
        <w:t>52.43%</w:t>
      </w:r>
      <w:r>
        <w:rPr/>
        <w:t>空间。新闻提及管理层二〇二六年调整利润增长指引由</w:t>
      </w:r>
      <w:r>
        <w:rPr/>
        <w:t>30%</w:t>
      </w:r>
      <w:r>
        <w:rPr/>
        <w:t>上调</w:t>
      </w:r>
      <w:r>
        <w:rPr/>
        <w:t>45%</w:t>
      </w:r>
      <w:r>
        <w:rPr/>
        <w:t>、收入增长维持</w:t>
      </w:r>
      <w:r>
        <w:rPr/>
        <w:t>30%</w:t>
      </w:r>
      <w:r>
        <w:rPr/>
        <w:t>，以及罗氏首付款带来的额外收入。原研报和精确目标时点没有取得，本文将它作为一年估值参照并标二手来源。二月旧瑞银</w:t>
      </w:r>
      <w:r>
        <w:rPr/>
        <w:t>16.3</w:t>
      </w:r>
      <w:r>
        <w:rPr/>
        <w:t>港元已经被更新，同机构只保留最新有效记录。</w:t>
      </w:r>
    </w:p>
    <w:p>
      <w:pPr>
        <w:pStyle w:val="Normal"/>
        <w:rPr/>
      </w:pPr>
      <w:r>
        <w:rPr/>
        <w:t>瑞银目标与本模型基准一年</w:t>
      </w:r>
      <w:r>
        <w:rPr/>
        <w:t>20.685318</w:t>
      </w:r>
      <w:r>
        <w:rPr/>
        <w:t>港元存在差距，不能通过选择较高者提高推荐。两者盈利口径、未来年、费用、股数与估值可能不同，新闻没有足够细节重建完整桥。本章正常盈利剔除一次许可，而机构新闻讨论公司调整指引，不能把它们称同一预测。年底</w:t>
      </w:r>
      <w:r>
        <w:rPr/>
        <w:t>13.328945</w:t>
      </w:r>
      <w:r>
        <w:rPr/>
        <w:t>港元也不是从瑞银</w:t>
      </w:r>
      <w:r>
        <w:rPr/>
        <w:t>16.6</w:t>
      </w:r>
      <w:r>
        <w:rPr/>
        <w:t>乘剩余月份得到，外资观点用于交叉检视，独立模型仍需承担自己的假设责任。</w:t>
      </w:r>
    </w:p>
    <w:p>
      <w:pPr>
        <w:pStyle w:val="Normal"/>
        <w:rPr/>
      </w:pPr>
      <w:r>
        <w:rPr/>
        <w:t>其他公开新闻中有中国券商更高目标，但不冒充外资机构，也不把转载数量当独立共识。缺乏公开核验的银行目标与完整研报时明确缺失，不造平均目标。价格新闻中的动态延迟行情可能在读取时更新，报告日期和原始目标文本保留，当前涨跌用锁定十月九日价格统一计算。这样才可避免把后续行情混进截止日研究。</w:t>
      </w:r>
    </w:p>
    <w:p>
      <w:pPr>
        <w:pStyle w:val="Heading2"/>
        <w:rPr/>
      </w:pPr>
      <w:r>
        <w:rPr>
          <w:color w:val="000000"/>
        </w:rPr>
        <w:t>二十一 宏观传导与公司级反证</w:t>
      </w:r>
    </w:p>
    <w:p>
      <w:pPr>
        <w:pStyle w:val="Normal"/>
        <w:rPr/>
      </w:pPr>
      <w:r>
        <w:rPr/>
        <w:t>中国利率下降可以改善估值环境和借款成本，也可能降低存款收益；医保和医院预算对药品需求的影响更直接。老龄化支持脑血管与慢病需求，却不保证价格提高。财政和医疗支付扩容若迟于处方量增长，商业药净收入与回款会承压。经济增长变化还影响自费睡眠与预防产品采用，而肿瘤和自免更多取决于适应症及支付路径。宏观不能作为所有产品相同上涨的理由。</w:t>
      </w:r>
    </w:p>
    <w:p>
      <w:pPr>
        <w:pStyle w:val="Normal"/>
        <w:rPr/>
      </w:pPr>
      <w:r>
        <w:rPr/>
        <w:t>海外政策变化通过临床规则、知识产权、跨境合作与交易审批影响授权。大型伙伴承担境外开发能减少先声直接商业投入，但伙伴战略调整可以停止项目、延迟里程碑。美元和欧元兑换人民币影响版税与首付，人民币相对港币又影响每股港元价值。模型统一汇率只是比较基础，经营实际还受税和资金地域限制。不能在汇率敏感性中既提高外币收入又完全忽略相应开发与融资成本。</w:t>
      </w:r>
    </w:p>
    <w:p>
      <w:pPr>
        <w:pStyle w:val="Normal"/>
        <w:rPr/>
      </w:pPr>
      <w:r>
        <w:rPr/>
        <w:t>明确反证包括神经产品销量增长不足以抵消净价下降，产品总销售连续低于基准且商业化费用率不能改善，肿瘤分部亏损未收敛，皮炎或关键乳腺癌试验失败、已批预防产品采用低于合理覆盖，再明上市失败触发赎回、权益结构比预测更稀释、海外合作暂停。每项会作用于不同模型输入，需要删除或调整相应行，而非笼统降低目标</w:t>
      </w:r>
      <w:r>
        <w:rPr/>
        <w:t>10%</w:t>
      </w:r>
      <w:r>
        <w:rPr/>
        <w:t>。严重持续经营或核心数据不可核验时应暂停排名。</w:t>
      </w:r>
    </w:p>
    <w:p>
      <w:pPr>
        <w:pStyle w:val="Normal"/>
        <w:rPr/>
      </w:pPr>
      <w:r>
        <w:rPr/>
        <w:t>技术反证与经营反证分开。跌破区间且相对弱势延续会降低半年评分，即使报表尚未恶化；站回均线并放量也只能提高短期趋势，不能撤掉临床和财务风险。若公司披露更强产品回款、分部利润、真实股权及外部合同数据，可信度和模型精度可提高。所有结论都依截止日已公开资料，后续信息需另立版本，不回填进初始报告制造事后准确。</w:t>
      </w:r>
    </w:p>
    <w:p>
      <w:pPr>
        <w:pStyle w:val="Heading2"/>
        <w:rPr/>
      </w:pPr>
      <w:r>
        <w:rPr>
          <w:color w:val="000000"/>
        </w:rPr>
        <w:t>二十二 研究边界与复核结论</w:t>
      </w:r>
    </w:p>
    <w:p>
      <w:pPr>
        <w:pStyle w:val="Normal"/>
        <w:rPr/>
      </w:pPr>
      <w:r>
        <w:rPr/>
        <w:t>本章既有产品未披露逐药收入及毛利，使用治疗领域组替代，并明确授权混入领域统计的问题；早期新药完整合同和版税阶梯有缺失，未来输入是研究假设。再明最新拟上市资本结构未完成穿透，使用历史公开份额并给互斥资金路径。现金为合并简化桥，不能视所有资金都属母公司。行情七根修复和行业粗参考也降低某些技术精度，已在数据版本保存，而非隐藏在高可信度评分中。</w:t>
      </w:r>
    </w:p>
    <w:p>
      <w:pPr>
        <w:pStyle w:val="Normal"/>
        <w:rPr/>
      </w:pPr>
      <w:r>
        <w:rPr/>
        <w:t>风险收入、正常利润、费用、少数归属、预测股数、资金及价格识别各自保存在同一活动模型，三种情景分别计算快照，正文核心数字与总表从该模型取得。股价空间统一目标除</w:t>
      </w:r>
      <w:r>
        <w:rPr/>
        <w:t>10.89</w:t>
      </w:r>
      <w:r>
        <w:rPr/>
        <w:t>减一，含息单列，三年和五年使用完整累计税前回报年化。文件中三位小数只为阅读，计算保留原精度；修改假设需重算快照和总表，不能只改正文目标而保留旧数据。</w:t>
      </w:r>
    </w:p>
    <w:p>
      <w:pPr>
        <w:pStyle w:val="Normal"/>
        <w:rPr/>
      </w:pPr>
      <w:r>
        <w:rPr/>
        <w:t>先声的研究结论是中长期成长证据强于短期趋势，商业药增长和平台授权提供上行，但高研发、推广、临床竞争与经济权益使收益高度依赖兑现。基准空间属于可讨论的模型结果，悲观损失与权重敏感性同样重要。当前最有效的验证是后续产品销售和现金、肿瘤分部盈亏、真实再明资本安排及关键药物证据，而不是单日回购或一条机构目标。该判断在这些事实改变时需要主动修订。</w:t>
      </w:r>
    </w:p>
    <w:p>
      <w:pPr>
        <w:pStyle w:val="Heading2"/>
        <w:rPr/>
      </w:pPr>
      <w:r>
        <w:rPr>
          <w:color w:val="000000"/>
        </w:rPr>
        <w:t>来源与复核记录</w:t>
      </w:r>
    </w:p>
    <w:p>
      <w:pPr>
        <w:pStyle w:val="Normal"/>
        <w:rPr/>
      </w:pPr>
      <w:r>
        <w:rPr/>
        <w:t>- 2026</w:t>
      </w:r>
      <w:r>
        <w:rPr/>
        <w:t>中报，</w:t>
      </w:r>
      <w:r>
        <w:rPr/>
        <w:t>2026-09-24</w:t>
      </w:r>
      <w:r>
        <w:rPr/>
        <w:t>：</w:t>
      </w:r>
      <w:r>
        <w:rPr/>
        <w:t>https://iis.aastocks.com/20260924/12344555-0.PDF</w:t>
      </w:r>
    </w:p>
    <w:p>
      <w:pPr>
        <w:pStyle w:val="Normal"/>
        <w:rPr/>
      </w:pPr>
      <w:r>
        <w:rPr/>
        <w:t xml:space="preserve">- </w:t>
      </w:r>
      <w:r>
        <w:rPr/>
        <w:t>中期首次业绩，</w:t>
      </w:r>
      <w:r>
        <w:rPr/>
        <w:t>2026-08-20</w:t>
      </w:r>
      <w:r>
        <w:rPr/>
        <w:t>，</w:t>
      </w:r>
      <w:r>
        <w:rPr/>
        <w:t>22:49</w:t>
      </w:r>
      <w:r>
        <w:rPr/>
        <w:t>收盘后：</w:t>
      </w:r>
      <w:r>
        <w:rPr/>
        <w:t>https://iis.aastocks.com/20260820/12293393-0.PDF</w:t>
      </w:r>
    </w:p>
    <w:p>
      <w:pPr>
        <w:pStyle w:val="Normal"/>
        <w:rPr/>
      </w:pPr>
      <w:r>
        <w:rPr/>
        <w:t>- 2025</w:t>
      </w:r>
      <w:r>
        <w:rPr/>
        <w:t>年报，</w:t>
      </w:r>
      <w:r>
        <w:rPr/>
        <w:t>2026-04-28</w:t>
      </w:r>
      <w:r>
        <w:rPr/>
        <w:t>：</w:t>
      </w:r>
      <w:r>
        <w:rPr/>
        <w:t>https://iis.aastocks.com/20260428/12130155-0.PDF</w:t>
      </w:r>
    </w:p>
    <w:p>
      <w:pPr>
        <w:pStyle w:val="Normal"/>
        <w:rPr/>
      </w:pPr>
      <w:r>
        <w:rPr/>
        <w:t xml:space="preserve">- </w:t>
      </w:r>
      <w:r>
        <w:rPr/>
        <w:t>年度业绩，</w:t>
      </w:r>
      <w:r>
        <w:rPr/>
        <w:t>2026-03-25</w:t>
      </w:r>
      <w:r>
        <w:rPr/>
        <w:t>：</w:t>
      </w:r>
      <w:r>
        <w:rPr/>
        <w:t>https://iis.aastocks.com/20260325/12067788-0.PDF</w:t>
      </w:r>
    </w:p>
    <w:p>
      <w:pPr>
        <w:pStyle w:val="Normal"/>
        <w:rPr/>
      </w:pPr>
      <w:r>
        <w:rPr/>
        <w:t xml:space="preserve">- </w:t>
      </w:r>
      <w:r>
        <w:rPr/>
        <w:t>基药目录，</w:t>
      </w:r>
      <w:r>
        <w:rPr/>
        <w:t>2026-07-09</w:t>
      </w:r>
      <w:r>
        <w:rPr/>
        <w:t>：</w:t>
      </w:r>
      <w:r>
        <w:rPr/>
        <w:t>https://iis.aastocks.com/20260709/12239774-0.PDF</w:t>
      </w:r>
    </w:p>
    <w:p>
      <w:pPr>
        <w:pStyle w:val="Normal"/>
        <w:rPr/>
      </w:pPr>
      <w:r>
        <w:rPr/>
        <w:t xml:space="preserve">- </w:t>
      </w:r>
      <w:r>
        <w:rPr/>
        <w:t>英沐乐批准，</w:t>
      </w:r>
      <w:r>
        <w:rPr/>
        <w:t>2026-09-03</w:t>
      </w:r>
      <w:r>
        <w:rPr/>
        <w:t>：</w:t>
      </w:r>
      <w:r>
        <w:rPr/>
        <w:t>https://iis.aastocks.com/20260903/12319545-0.PDF</w:t>
      </w:r>
    </w:p>
    <w:p>
      <w:pPr>
        <w:pStyle w:val="Normal"/>
        <w:rPr/>
      </w:pPr>
      <w:r>
        <w:rPr/>
        <w:t xml:space="preserve">- </w:t>
      </w:r>
      <w:r>
        <w:rPr/>
        <w:t>罗氏全球许可，</w:t>
      </w:r>
      <w:r>
        <w:rPr/>
        <w:t>2026-09-01</w:t>
      </w:r>
      <w:r>
        <w:rPr/>
        <w:t>：</w:t>
      </w:r>
      <w:r>
        <w:rPr/>
        <w:t>https://iis.aastocks.com/20260901/12313626-0.PDF</w:t>
      </w:r>
    </w:p>
    <w:p>
      <w:pPr>
        <w:pStyle w:val="Normal"/>
        <w:rPr/>
      </w:pPr>
      <w:r>
        <w:rPr/>
        <w:t xml:space="preserve">- </w:t>
      </w:r>
      <w:r>
        <w:rPr/>
        <w:t>普美昔替尼推广权，</w:t>
      </w:r>
      <w:r>
        <w:rPr/>
        <w:t>2026-06-01</w:t>
      </w:r>
      <w:r>
        <w:rPr/>
        <w:t>：</w:t>
      </w:r>
      <w:r>
        <w:rPr/>
        <w:t>https://iis.aastocks.com/20260601/12182080-0.PDF</w:t>
      </w:r>
    </w:p>
    <w:p>
      <w:pPr>
        <w:pStyle w:val="Normal"/>
        <w:rPr/>
      </w:pPr>
      <w:r>
        <w:rPr/>
        <w:t>- SIM0237</w:t>
      </w:r>
      <w:r>
        <w:rPr/>
        <w:t>早期研究，</w:t>
      </w:r>
      <w:r>
        <w:rPr/>
        <w:t>2026-03-17</w:t>
      </w:r>
      <w:r>
        <w:rPr/>
        <w:t>：</w:t>
      </w:r>
      <w:r>
        <w:rPr/>
        <w:t>https://iis.aastocks.com/20260317/12055925-0.PDF</w:t>
      </w:r>
    </w:p>
    <w:p>
      <w:pPr>
        <w:pStyle w:val="Normal"/>
        <w:rPr/>
      </w:pPr>
      <w:r>
        <w:rPr/>
        <w:t xml:space="preserve">- </w:t>
      </w:r>
      <w:r>
        <w:rPr/>
        <w:t>艾伯维此前已收款，</w:t>
      </w:r>
      <w:r>
        <w:rPr/>
        <w:t>2026-02-03</w:t>
      </w:r>
      <w:r>
        <w:rPr/>
        <w:t>：</w:t>
      </w:r>
      <w:r>
        <w:rPr/>
        <w:t>https://iis.aastocks.com/20260203/12011187-0.PDF</w:t>
      </w:r>
    </w:p>
    <w:p>
      <w:pPr>
        <w:pStyle w:val="Normal"/>
        <w:rPr/>
      </w:pPr>
      <w:r>
        <w:rPr/>
        <w:t xml:space="preserve">- </w:t>
      </w:r>
      <w:r>
        <w:rPr/>
        <w:t>九月股数，</w:t>
      </w:r>
      <w:r>
        <w:rPr/>
        <w:t>2026-10-05</w:t>
      </w:r>
      <w:r>
        <w:rPr/>
        <w:t>：</w:t>
      </w:r>
      <w:r>
        <w:rPr/>
        <w:t>https://iis.aastocks.com/20261005/12361058-0.PDF</w:t>
      </w:r>
    </w:p>
    <w:p>
      <w:pPr>
        <w:pStyle w:val="Normal"/>
        <w:rPr/>
      </w:pPr>
      <w:r>
        <w:rPr/>
        <w:t xml:space="preserve">- </w:t>
      </w:r>
      <w:r>
        <w:rPr/>
        <w:t>十月九日回购，</w:t>
      </w:r>
      <w:r>
        <w:rPr/>
        <w:t>18:12</w:t>
      </w:r>
      <w:r>
        <w:rPr/>
        <w:t>收盘后：</w:t>
      </w:r>
      <w:r>
        <w:rPr/>
        <w:t>https://iis.aastocks.com/20261009/12368587-0.PDF</w:t>
      </w:r>
    </w:p>
    <w:p>
      <w:pPr>
        <w:pStyle w:val="Normal"/>
        <w:rPr/>
      </w:pPr>
      <w:r>
        <w:rPr/>
        <w:t xml:space="preserve">- </w:t>
      </w:r>
      <w:r>
        <w:rPr/>
        <w:t>末期股息日程，</w:t>
      </w:r>
      <w:r>
        <w:rPr/>
        <w:t>2026-06-12</w:t>
      </w:r>
      <w:r>
        <w:rPr/>
        <w:t>：</w:t>
      </w:r>
      <w:r>
        <w:rPr/>
        <w:t>https://iis.aastocks.com/20260612/12201536-0.PDF</w:t>
      </w:r>
    </w:p>
    <w:p>
      <w:pPr>
        <w:pStyle w:val="Normal"/>
        <w:rPr/>
      </w:pPr>
      <w:r>
        <w:rPr/>
        <w:t xml:space="preserve">- </w:t>
      </w:r>
      <w:r>
        <w:rPr/>
        <w:t>瑞银最新目标新闻，</w:t>
      </w:r>
      <w:r>
        <w:rPr/>
        <w:t>2026-09-09</w:t>
      </w:r>
      <w:r>
        <w:rPr/>
        <w:t>：</w:t>
      </w:r>
      <w:r>
        <w:rPr/>
        <w:t>https://www.aastocks.com/tc/stocks/analysis/stock-aafn-con/02096/AAFN/NOW.1543624/research-report</w:t>
      </w:r>
    </w:p>
    <w:p>
      <w:pPr>
        <w:pStyle w:val="Normal"/>
        <w:rPr/>
      </w:pPr>
      <w:r>
        <w:rPr/>
        <w:t xml:space="preserve">- </w:t>
      </w:r>
      <w:r>
        <w:rPr/>
        <w:t>锁定行情及两源核验：</w:t>
      </w:r>
      <w:r>
        <w:rPr/>
        <w:t>data/market_snapshot_locked.json</w:t>
      </w:r>
      <w:r>
        <w:rPr/>
        <w:t>；原生年度模型：</w:t>
      </w:r>
      <w:r>
        <w:rPr/>
        <w:t>data/simcere_model.json</w:t>
      </w:r>
      <w:r>
        <w:rPr/>
        <w:t>；正文计数和逐项校验：</w:t>
      </w:r>
      <w:r>
        <w:rPr/>
        <w:t>data/I033_deep_qa.json</w:t>
      </w:r>
      <w:r>
        <w:rPr/>
        <w:t>、</w:t>
      </w:r>
      <w:r>
        <w:rPr/>
        <w:t>data/I033_independent_qa.json</w:t>
      </w:r>
      <w:r>
        <w:rPr/>
        <w:t>。</w:t>
      </w:r>
      <w:r>
        <w:br w:type="page"/>
      </w:r>
    </w:p>
    <w:p>
      <w:pPr>
        <w:pStyle w:val="Heading1"/>
        <w:rPr/>
      </w:pPr>
      <w:bookmarkStart w:id="3" w:name="__RefHeading___Toc21196_312338234"/>
      <w:bookmarkEnd w:id="3"/>
      <w:r>
        <w:rPr>
          <w:color w:val="000000"/>
        </w:rPr>
        <w:t xml:space="preserve">联想集团 </w:t>
      </w:r>
      <w:r>
        <w:rPr>
          <w:color w:val="000000"/>
        </w:rPr>
        <w:t>00992 HK</w:t>
      </w:r>
    </w:p>
    <w:p>
      <w:pPr>
        <w:pStyle w:val="Normal"/>
        <w:rPr/>
      </w:pPr>
      <w:r>
        <w:rPr/>
        <w:t xml:space="preserve">00992.HK </w:t>
      </w:r>
      <w:r>
        <w:rPr/>
        <w:t xml:space="preserve">现价 </w:t>
      </w:r>
      <w:r>
        <w:rPr/>
        <w:t>32.84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69.70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43.29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+31.82%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+32.10%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50.42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+53.53%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+55.21%</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78.00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78.38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+138.67%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+145.98%</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100.38</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+205.66%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+219.98%</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10.26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-68.76%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37.49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+14.16%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66.39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+102.16%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37.91HKD</w:t>
      </w:r>
      <w:r>
        <w:rPr/>
        <w:t>，期望股价回报</w:t>
      </w:r>
      <w:r>
        <w:rPr/>
        <w:t>+15.43%</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8.13</w:t>
              <w:br/>
              <w:t>-75.24%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43.29</w:t>
              <w:br/>
              <w:t>+31.82%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83.05</w:t>
              <w:br/>
              <w:t>+152.89%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8.13</w:t>
              <w:br/>
              <w:t>-75.24%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50.42</w:t>
              <w:br/>
              <w:t>+53.53%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102.52</w:t>
              <w:br/>
              <w:t>+212.18%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6.81</w:t>
              <w:br/>
              <w:t>-79.26%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78.38</w:t>
              <w:br/>
              <w:t>+138.67%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184.16</w:t>
              <w:br/>
              <w:t>+460.78%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+34.99%</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5.90</w:t>
              <w:br/>
              <w:t>-82.03%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100.38</w:t>
              <w:br/>
              <w:t>+205.66%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263.45</w:t>
              <w:br/>
              <w:t>+702.22%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+26.19%</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financial</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高（原件和季度新闻核对；调整指标与法定分开）</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高（双源复权快照）</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中（服务器高利润持续、经济股数与</w:t>
            </w:r>
            <w:r>
              <w:rPr>
                <w:rFonts w:eastAsia="微软雅黑" w:ascii="微软雅黑" w:hAnsi="微软雅黑"/>
                <w:sz w:val="17"/>
              </w:rPr>
              <w:t>PE</w:t>
            </w:r>
            <w:r>
              <w:rPr>
                <w:rFonts w:ascii="微软雅黑" w:hAnsi="微软雅黑" w:eastAsia="微软雅黑"/>
                <w:sz w:val="17"/>
              </w:rPr>
              <w:t>进取假设）</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broker</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中（转载期限缺、原文数字有错误须核主源）</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+25.49%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+32.10%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+38.70%</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+47.45%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+55.21%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+62.97%</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+133.68%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+145.98%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+158.28%</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+203.98%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+219.98%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+235.97%</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I065</w:t>
      </w:r>
      <w:r>
        <w:rPr/>
        <w:t>，证券</w:t>
      </w:r>
      <w:r>
        <w:rPr/>
        <w:t>S075</w:t>
      </w:r>
      <w:r>
        <w:rPr/>
        <w:t>，</w:t>
      </w:r>
      <w:r>
        <w:rPr/>
        <w:t>00992.HK</w:t>
      </w:r>
      <w:r>
        <w:rPr/>
        <w:t>；独立研究初版。资料与收盘基准</w:t>
      </w:r>
      <w:r>
        <w:rPr/>
        <w:t>2026</w:t>
      </w:r>
      <w:r>
        <w:rPr/>
        <w:t>年</w:t>
      </w:r>
      <w:r>
        <w:rPr/>
        <w:t>10</w:t>
      </w:r>
      <w:r>
        <w:rPr/>
        <w:t>月</w:t>
      </w:r>
      <w:r>
        <w:rPr/>
        <w:t>9</w:t>
      </w:r>
      <w:r>
        <w:rPr/>
        <w:t>日，</w:t>
      </w:r>
      <w:r>
        <w:rPr/>
        <w:t>32.84</w:t>
      </w:r>
      <w:r>
        <w:rPr/>
        <w:t>港元。</w:t>
      </w:r>
      <w:r>
        <w:rPr/>
        <w:t>2026/27</w:t>
      </w:r>
      <w:r>
        <w:rPr/>
        <w:t>财年首季截至</w:t>
      </w:r>
      <w:r>
        <w:rPr/>
        <w:t>2026</w:t>
      </w:r>
      <w:r>
        <w:rPr/>
        <w:t>年</w:t>
      </w:r>
      <w:r>
        <w:rPr/>
        <w:t>6</w:t>
      </w:r>
      <w:r>
        <w:rPr/>
        <w:t>月</w:t>
      </w:r>
      <w:r>
        <w:rPr/>
        <w:t>30</w:t>
      </w:r>
      <w:r>
        <w:rPr/>
        <w:t>日，</w:t>
      </w:r>
      <w:r>
        <w:rPr/>
        <w:t>2025/26</w:t>
      </w:r>
      <w:r>
        <w:rPr/>
        <w:t>财年截至</w:t>
      </w:r>
      <w:r>
        <w:rPr/>
        <w:t>2026</w:t>
      </w:r>
      <w:r>
        <w:rPr/>
        <w:t>年</w:t>
      </w:r>
      <w:r>
        <w:rPr/>
        <w:t>3</w:t>
      </w:r>
      <w:r>
        <w:rPr/>
        <w:t>月</w:t>
      </w:r>
      <w:r>
        <w:rPr/>
        <w:t>31</w:t>
      </w:r>
      <w:r>
        <w:rPr/>
        <w:t>日；财年与自然年明确分开。资料采用美元，目标以港股普通股及港币表示。有效正文排除标题、结论卡、表格、来源及共同宏观材料。</w:t>
      </w:r>
    </w:p>
    <w:p>
      <w:pPr>
        <w:pStyle w:val="Heading2"/>
        <w:rPr/>
      </w:pPr>
      <w:r>
        <w:rPr>
          <w:color w:val="000000"/>
        </w:rPr>
        <w:t>结论卡</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分数</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本章判断</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悲观／基准／乐观港元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基准股价／含息回报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强经营与高波动并存</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8.13</w:t>
            </w:r>
            <w:r>
              <w:rPr>
                <w:rFonts w:ascii="微软雅黑" w:hAnsi="微软雅黑" w:eastAsia="微软雅黑"/>
                <w:sz w:val="17"/>
              </w:rPr>
              <w:t>／</w:t>
            </w:r>
            <w:r>
              <w:rPr>
                <w:rFonts w:eastAsia="微软雅黑" w:ascii="微软雅黑" w:hAnsi="微软雅黑"/>
                <w:sz w:val="17"/>
              </w:rPr>
              <w:t>43.29</w:t>
            </w:r>
            <w:r>
              <w:rPr>
                <w:rFonts w:ascii="微软雅黑" w:hAnsi="微软雅黑" w:eastAsia="微软雅黑"/>
                <w:sz w:val="17"/>
              </w:rPr>
              <w:t>／</w:t>
            </w:r>
            <w:r>
              <w:rPr>
                <w:rFonts w:eastAsia="微软雅黑" w:ascii="微软雅黑" w:hAnsi="微软雅黑"/>
                <w:sz w:val="17"/>
              </w:rPr>
              <w:t>83.05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31.82%</w:t>
            </w:r>
            <w:r>
              <w:rPr>
                <w:rFonts w:ascii="微软雅黑" w:hAnsi="微软雅黑" w:eastAsia="微软雅黑"/>
                <w:sz w:val="17"/>
              </w:rPr>
              <w:t>／</w:t>
            </w:r>
            <w:r>
              <w:rPr>
                <w:rFonts w:eastAsia="微软雅黑" w:ascii="微软雅黑" w:hAnsi="微软雅黑"/>
                <w:sz w:val="17"/>
              </w:rPr>
              <w:t>32.10%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服务器盈利验证候选</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8.13</w:t>
            </w:r>
            <w:r>
              <w:rPr>
                <w:rFonts w:ascii="微软雅黑" w:hAnsi="微软雅黑" w:eastAsia="微软雅黑"/>
                <w:sz w:val="17"/>
              </w:rPr>
              <w:t>／</w:t>
            </w:r>
            <w:r>
              <w:rPr>
                <w:rFonts w:eastAsia="微软雅黑" w:ascii="微软雅黑" w:hAnsi="微软雅黑"/>
                <w:sz w:val="17"/>
              </w:rPr>
              <w:t>50.42</w:t>
            </w:r>
            <w:r>
              <w:rPr>
                <w:rFonts w:ascii="微软雅黑" w:hAnsi="微软雅黑" w:eastAsia="微软雅黑"/>
                <w:sz w:val="17"/>
              </w:rPr>
              <w:t>／</w:t>
            </w:r>
            <w:r>
              <w:rPr>
                <w:rFonts w:eastAsia="微软雅黑" w:ascii="微软雅黑" w:hAnsi="微软雅黑"/>
                <w:sz w:val="17"/>
              </w:rPr>
              <w:t>102.52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53.53%</w:t>
            </w:r>
            <w:r>
              <w:rPr>
                <w:rFonts w:ascii="微软雅黑" w:hAnsi="微软雅黑" w:eastAsia="微软雅黑"/>
                <w:sz w:val="17"/>
              </w:rPr>
              <w:t>／</w:t>
            </w:r>
            <w:r>
              <w:rPr>
                <w:rFonts w:eastAsia="微软雅黑" w:ascii="微软雅黑" w:hAnsi="微软雅黑"/>
                <w:sz w:val="17"/>
              </w:rPr>
              <w:t>55.21%</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有条件</w:t>
            </w:r>
            <w:r>
              <w:rPr>
                <w:rFonts w:eastAsia="微软雅黑" w:ascii="微软雅黑" w:hAnsi="微软雅黑"/>
                <w:sz w:val="17"/>
              </w:rPr>
              <w:t>AI</w:t>
            </w:r>
            <w:r>
              <w:rPr>
                <w:rFonts w:ascii="微软雅黑" w:hAnsi="微软雅黑" w:eastAsia="微软雅黑"/>
                <w:sz w:val="17"/>
              </w:rPr>
              <w:t>基础设施成长</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6.81</w:t>
            </w:r>
            <w:r>
              <w:rPr>
                <w:rFonts w:ascii="微软雅黑" w:hAnsi="微软雅黑" w:eastAsia="微软雅黑"/>
                <w:sz w:val="17"/>
              </w:rPr>
              <w:t>／</w:t>
            </w:r>
            <w:r>
              <w:rPr>
                <w:rFonts w:eastAsia="微软雅黑" w:ascii="微软雅黑" w:hAnsi="微软雅黑"/>
                <w:sz w:val="17"/>
              </w:rPr>
              <w:t>78.38</w:t>
            </w:r>
            <w:r>
              <w:rPr>
                <w:rFonts w:ascii="微软雅黑" w:hAnsi="微软雅黑" w:eastAsia="微软雅黑"/>
                <w:sz w:val="17"/>
              </w:rPr>
              <w:t>／</w:t>
            </w:r>
            <w:r>
              <w:rPr>
                <w:rFonts w:eastAsia="微软雅黑" w:ascii="微软雅黑" w:hAnsi="微软雅黑"/>
                <w:sz w:val="17"/>
              </w:rPr>
              <w:t>184.16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138.67%</w:t>
            </w:r>
            <w:r>
              <w:rPr>
                <w:rFonts w:ascii="微软雅黑" w:hAnsi="微软雅黑" w:eastAsia="微软雅黑"/>
                <w:sz w:val="17"/>
              </w:rPr>
              <w:t>／</w:t>
            </w:r>
            <w:r>
              <w:rPr>
                <w:rFonts w:eastAsia="微软雅黑" w:ascii="微软雅黑" w:hAnsi="微软雅黑"/>
                <w:sz w:val="17"/>
              </w:rPr>
              <w:t>145.98%</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重视客户现金和资本结构</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5.90</w:t>
            </w:r>
            <w:r>
              <w:rPr>
                <w:rFonts w:ascii="微软雅黑" w:hAnsi="微软雅黑" w:eastAsia="微软雅黑"/>
                <w:sz w:val="17"/>
              </w:rPr>
              <w:t>／</w:t>
            </w:r>
            <w:r>
              <w:rPr>
                <w:rFonts w:eastAsia="微软雅黑" w:ascii="微软雅黑" w:hAnsi="微软雅黑"/>
                <w:sz w:val="17"/>
              </w:rPr>
              <w:t>100.38</w:t>
            </w:r>
            <w:r>
              <w:rPr>
                <w:rFonts w:ascii="微软雅黑" w:hAnsi="微软雅黑" w:eastAsia="微软雅黑"/>
                <w:sz w:val="17"/>
              </w:rPr>
              <w:t>／</w:t>
            </w:r>
            <w:r>
              <w:rPr>
                <w:rFonts w:eastAsia="微软雅黑" w:ascii="微软雅黑" w:hAnsi="微软雅黑"/>
                <w:sz w:val="17"/>
              </w:rPr>
              <w:t>263.45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205.66%</w:t>
            </w:r>
            <w:r>
              <w:rPr>
                <w:rFonts w:ascii="微软雅黑" w:hAnsi="微软雅黑" w:eastAsia="微软雅黑"/>
                <w:sz w:val="17"/>
              </w:rPr>
              <w:t>／</w:t>
            </w:r>
            <w:r>
              <w:rPr>
                <w:rFonts w:eastAsia="微软雅黑" w:ascii="微软雅黑" w:hAnsi="微软雅黑"/>
                <w:sz w:val="17"/>
              </w:rPr>
              <w:t>219.98%</w:t>
            </w:r>
          </w:p>
        </w:tc>
      </w:tr>
    </w:tbl>
    <w:p>
      <w:pPr>
        <w:pStyle w:val="Normal"/>
        <w:rPr/>
      </w:pPr>
      <w:r>
        <w:rPr/>
      </w:r>
    </w:p>
    <w:p>
      <w:pPr>
        <w:pStyle w:val="Normal"/>
        <w:rPr/>
      </w:pPr>
      <w:r>
        <w:rPr/>
        <w:t>未来累计现金股息半年</w:t>
      </w:r>
      <w:r>
        <w:rPr/>
        <w:t>0.04</w:t>
      </w:r>
      <w:r>
        <w:rPr/>
        <w:t>／</w:t>
      </w:r>
      <w:r>
        <w:rPr/>
        <w:t>0.09</w:t>
      </w:r>
      <w:r>
        <w:rPr/>
        <w:t>／</w:t>
      </w:r>
      <w:r>
        <w:rPr/>
        <w:t>0.14</w:t>
      </w:r>
      <w:r>
        <w:rPr/>
        <w:t>、一年</w:t>
      </w:r>
      <w:r>
        <w:rPr/>
        <w:t>0.3</w:t>
      </w:r>
      <w:r>
        <w:rPr/>
        <w:t>／</w:t>
      </w:r>
      <w:r>
        <w:rPr/>
        <w:t>0.55</w:t>
      </w:r>
      <w:r>
        <w:rPr/>
        <w:t>／</w:t>
      </w:r>
      <w:r>
        <w:rPr/>
        <w:t>0.8</w:t>
      </w:r>
      <w:r>
        <w:rPr/>
        <w:t>、三年</w:t>
      </w:r>
      <w:r>
        <w:rPr/>
        <w:t>0.9</w:t>
      </w:r>
      <w:r>
        <w:rPr/>
        <w:t>／</w:t>
      </w:r>
      <w:r>
        <w:rPr/>
        <w:t>2.4</w:t>
      </w:r>
      <w:r>
        <w:rPr/>
        <w:t>／</w:t>
      </w:r>
      <w:r>
        <w:rPr/>
        <w:t>4</w:t>
      </w:r>
      <w:r>
        <w:rPr/>
        <w:t>、五年</w:t>
      </w:r>
      <w:r>
        <w:rPr/>
        <w:t>1.5</w:t>
      </w:r>
      <w:r>
        <w:rPr/>
        <w:t>／</w:t>
      </w:r>
      <w:r>
        <w:rPr/>
        <w:t>4.7</w:t>
      </w:r>
      <w:r>
        <w:rPr/>
        <w:t>／</w:t>
      </w:r>
      <w:r>
        <w:rPr/>
        <w:t>8</w:t>
      </w:r>
      <w:r>
        <w:rPr/>
        <w:t>港元，均为研究假设；已于</w:t>
      </w:r>
      <w:r>
        <w:rPr/>
        <w:t>2026</w:t>
      </w:r>
      <w:r>
        <w:rPr/>
        <w:t>年</w:t>
      </w:r>
      <w:r>
        <w:rPr/>
        <w:t>8</w:t>
      </w:r>
      <w:r>
        <w:rPr/>
        <w:t>月派发的</w:t>
      </w:r>
      <w:r>
        <w:rPr/>
        <w:t>0.337</w:t>
      </w:r>
      <w:r>
        <w:rPr/>
        <w:t>港元不计未来收益。基准三年、五年含息年化</w:t>
      </w:r>
      <w:r>
        <w:rPr/>
        <w:t>34.99%</w:t>
      </w:r>
      <w:r>
        <w:rPr/>
        <w:t>、</w:t>
      </w:r>
      <w:r>
        <w:rPr/>
        <w:t>26.19%</w:t>
      </w:r>
      <w:r>
        <w:rPr/>
        <w:t>，依赖经营增长、服务器盈利持续与较高经济摊薄分母，非公司指引。</w:t>
      </w:r>
    </w:p>
    <w:p>
      <w:pPr>
        <w:pStyle w:val="Normal"/>
        <w:rPr/>
      </w:pPr>
      <w:r>
        <w:rPr/>
        <w:t>年底三价</w:t>
      </w:r>
      <w:r>
        <w:rPr/>
        <w:t>10.26</w:t>
      </w:r>
      <w:r>
        <w:rPr/>
        <w:t>／</w:t>
      </w:r>
      <w:r>
        <w:rPr/>
        <w:t>37.49</w:t>
      </w:r>
      <w:r>
        <w:rPr/>
        <w:t>／</w:t>
      </w:r>
      <w:r>
        <w:rPr/>
        <w:t>66.39</w:t>
      </w:r>
      <w:r>
        <w:rPr/>
        <w:t>港元，涨跌−</w:t>
      </w:r>
      <w:r>
        <w:rPr/>
        <w:t>68.76%</w:t>
      </w:r>
      <w:r>
        <w:rPr/>
        <w:t>／</w:t>
      </w:r>
      <w:r>
        <w:rPr/>
        <w:t>+14.16%</w:t>
      </w:r>
      <w:r>
        <w:rPr/>
        <w:t>／</w:t>
      </w:r>
      <w:r>
        <w:rPr/>
        <w:t>+102.16%</w:t>
      </w:r>
      <w:r>
        <w:rPr/>
        <w:t>；判断权重</w:t>
      </w:r>
      <w:r>
        <w:rPr/>
        <w:t>25%</w:t>
      </w:r>
      <w:r>
        <w:rPr/>
        <w:t>／</w:t>
      </w:r>
      <w:r>
        <w:rPr/>
        <w:t>50%</w:t>
      </w:r>
      <w:r>
        <w:rPr/>
        <w:t>／</w:t>
      </w:r>
      <w:r>
        <w:rPr/>
        <w:t>25%</w:t>
      </w:r>
      <w:r>
        <w:rPr/>
        <w:t>期望</w:t>
      </w:r>
      <w:r>
        <w:rPr/>
        <w:t>37.9075</w:t>
      </w:r>
      <w:r>
        <w:rPr/>
        <w:t>港元、</w:t>
      </w:r>
      <w:r>
        <w:rPr/>
        <w:t>+15.43%</w:t>
      </w:r>
      <w:r>
        <w:rPr/>
        <w:t>。防御</w:t>
      </w:r>
      <w:r>
        <w:rPr/>
        <w:t>40%</w:t>
      </w:r>
      <w:r>
        <w:rPr/>
        <w:t>／</w:t>
      </w:r>
      <w:r>
        <w:rPr/>
        <w:t>50%</w:t>
      </w:r>
      <w:r>
        <w:rPr/>
        <w:t>／</w:t>
      </w:r>
      <w:r>
        <w:rPr/>
        <w:t>10%</w:t>
      </w:r>
      <w:r>
        <w:rPr/>
        <w:t>期望</w:t>
      </w:r>
      <w:r>
        <w:rPr/>
        <w:t>29.488</w:t>
      </w:r>
      <w:r>
        <w:rPr/>
        <w:t>港元、−</w:t>
      </w:r>
      <w:r>
        <w:rPr/>
        <w:t>10.21%</w:t>
      </w:r>
      <w:r>
        <w:rPr/>
        <w:t>；积极</w:t>
      </w:r>
      <w:r>
        <w:rPr/>
        <w:t>10%</w:t>
      </w:r>
      <w:r>
        <w:rPr/>
        <w:t>／</w:t>
      </w:r>
      <w:r>
        <w:rPr/>
        <w:t>50%</w:t>
      </w:r>
      <w:r>
        <w:rPr/>
        <w:t>／</w:t>
      </w:r>
      <w:r>
        <w:rPr/>
        <w:t>40%</w:t>
      </w:r>
      <w:r>
        <w:rPr/>
        <w:t>期望</w:t>
      </w:r>
      <w:r>
        <w:rPr/>
        <w:t>46.327</w:t>
      </w:r>
      <w:r>
        <w:rPr/>
        <w:t>港元、</w:t>
      </w:r>
      <w:r>
        <w:rPr/>
        <w:t>+41.07%</w:t>
      </w:r>
      <w:r>
        <w:rPr/>
        <w:t>。权重属于研究假设，不是统计概率；悲观价不代表最大损失。</w:t>
      </w:r>
    </w:p>
    <w:p>
      <w:pPr>
        <w:pStyle w:val="Normal"/>
        <w:rPr/>
      </w:pPr>
      <w:r>
        <w:rPr/>
        <w:t>结论成立需要</w:t>
      </w:r>
      <w:r>
        <w:rPr/>
        <w:t>ISG</w:t>
      </w:r>
      <w:r>
        <w:rPr/>
        <w:t>利润率和现金持续，</w:t>
      </w:r>
      <w:r>
        <w:rPr/>
        <w:t>PC</w:t>
      </w:r>
      <w:r>
        <w:rPr/>
        <w:t>定价及份额稳定，服务收入转化为真实利润，客户信用与零部件供应可控。主要风险包括算力资本开支逆转、芯片涨价和价格竞争、营运资金、贸易监管、认股权证现金结算、可转债赎回及股数稀释。全名单名次由总表统一计算，得分不解释为获利概率。</w:t>
      </w:r>
    </w:p>
    <w:p>
      <w:pPr>
        <w:pStyle w:val="Heading2"/>
        <w:rPr/>
      </w:pPr>
      <w:r>
        <w:rPr>
          <w:color w:val="000000"/>
        </w:rPr>
        <w:t>一 经营转折与研究问题</w:t>
      </w:r>
    </w:p>
    <w:p>
      <w:pPr>
        <w:pStyle w:val="Normal"/>
        <w:rPr/>
      </w:pPr>
      <w:r>
        <w:rPr/>
        <w:t>联想当前投资逻辑的核心是服务器盈利是否出现可持续变化，以及这种经营变化经过资本结构之后能为普通股股东留下多少收益。</w:t>
      </w:r>
      <w:r>
        <w:rPr/>
        <w:t>PC</w:t>
      </w:r>
      <w:r>
        <w:rPr/>
        <w:t>业务已有规模、品牌与供应链，服务器以前收入增长但盈利较弱，服务业务较高利润又不能全部与设备分部相加。首季服务器收入与利润明显跃升，提供了新的证据，股价也已经大幅上行。研究要避免将旧低利润印象机械延续，也要避免把一个强季度永久化。未来价值取决于现金、客户和普通股经济份额。</w:t>
      </w:r>
    </w:p>
    <w:p>
      <w:pPr>
        <w:pStyle w:val="Normal"/>
        <w:rPr/>
      </w:pPr>
      <w:r>
        <w:rPr/>
        <w:t>公司首季法定归母亏损六点零八六亿美元，调整归母盈利十点七四七亿美元，差异主要来自认股权证重估。法定亏损不能自动说明</w:t>
      </w:r>
      <w:r>
        <w:rPr/>
        <w:t>PC</w:t>
      </w:r>
      <w:r>
        <w:rPr/>
        <w:t>和服务器经营崩溃，调整利润也不能证明全部风险消失。权证和可转债可能通过股票或现金改变股东利益，非现金当期会计变化仍有经济基础。本章用正常经营利润估值，保留资本结构的稀释与现金反证，拒绝同时忽略权证负债和未来股数，又把调整盈利全部给现有股东。</w:t>
      </w:r>
    </w:p>
    <w:p>
      <w:pPr>
        <w:pStyle w:val="Normal"/>
        <w:rPr/>
      </w:pPr>
      <w:r>
        <w:rPr/>
        <w:t>九月已发行普通股一百二十八点二六零亿，六月一百二十四点零四七亿，变化主要与可转债转换有关。股票为同一集团的经济权益，联想控股是另一个公司，持有联想集团投资但不属于本研究证券的财报。新闻联想控股目标二十二点六港元不能用于联想集团。美元财务每股换为港币采用七点八研究假设，并非已核即期汇率，所有未来收入、经营利润率、融资和股数路径均需和原件事实区分。</w:t>
      </w:r>
    </w:p>
    <w:p>
      <w:pPr>
        <w:pStyle w:val="Normal"/>
        <w:rPr/>
      </w:pPr>
      <w:r>
        <w:rPr/>
        <w:t>进取标准可以使联想在一年及三年有较好排序，因为服务器、服务和设备共同提供较大增长空间。成熟硬件利润可能波动，当前价格已经反映不少</w:t>
      </w:r>
      <w:r>
        <w:rPr/>
        <w:t>AI</w:t>
      </w:r>
      <w:r>
        <w:rPr/>
        <w:t>预期，悲观损失也较大。五年评分略低于三年，体现融资赎回、客户资本周期与硬件竞争累积，而不是公司必然在五年变差。技术趋势曾很强但近期回调，入场时点与长期经营是两个问题，涨幅大不能证明安全，跌幅大也不能证明便宜。</w:t>
      </w:r>
    </w:p>
    <w:p>
      <w:pPr>
        <w:pStyle w:val="Heading2"/>
        <w:rPr/>
      </w:pPr>
      <w:r>
        <w:rPr>
          <w:color w:val="000000"/>
        </w:rPr>
        <w:t>二 三组业务的收入边界</w:t>
      </w:r>
    </w:p>
    <w:p>
      <w:pPr>
        <w:pStyle w:val="Normal"/>
        <w:rPr/>
      </w:pPr>
      <w:r>
        <w:rPr/>
        <w:t>公司分</w:t>
      </w:r>
      <w:r>
        <w:rPr/>
        <w:t>IDG</w:t>
      </w:r>
      <w:r>
        <w:rPr/>
        <w:t>智能设备、</w:t>
      </w:r>
      <w:r>
        <w:rPr/>
        <w:t>ISG</w:t>
      </w:r>
      <w:r>
        <w:rPr/>
        <w:t>基础设施、</w:t>
      </w:r>
      <w:r>
        <w:rPr/>
        <w:t>SSG</w:t>
      </w:r>
      <w:r>
        <w:rPr/>
        <w:t>方案服务三组。首季各组收入一百七十一点零五五、八十五点一零一、二十八点八三六亿美元，合计二百八十四点九九二亿美元；集团抵销十五点五六五后，收入二百六十九点四二八亿美元。内部服务和产品交叉存在，若将三组全部外加集团收入，会重复计价。</w:t>
      </w:r>
      <w:r>
        <w:rPr/>
        <w:t>AI</w:t>
      </w:r>
      <w:r>
        <w:rPr/>
        <w:t>相关收入也覆盖设备、服务器与服务，不能在三组收入之外再次加入。本章模型始终采用已经抵销的合并收入。</w:t>
      </w:r>
    </w:p>
    <w:p>
      <w:pPr>
        <w:pStyle w:val="Normal"/>
        <w:rPr/>
      </w:pPr>
      <w:r>
        <w:rPr/>
        <w:t>首季分部利润合计二十六点八三八亿美元，抵销六点零一六后约二十点八二二亿美元；总部、折旧、财资、联营及权证等再调节为合并税前亏损。分部利润率不是集团归母净利率，</w:t>
      </w:r>
      <w:r>
        <w:rPr/>
        <w:t>SSG</w:t>
      </w:r>
      <w:r>
        <w:rPr/>
        <w:t>高利润与其他分部有交叉分配，不能按全部分部盈利直接除普通股股数。正常合并</w:t>
      </w:r>
      <w:r>
        <w:rPr/>
        <w:t>EBIT</w:t>
      </w:r>
      <w:r>
        <w:rPr/>
        <w:t>假设扣掉合理抵销、总部、折旧与股份费用，再做税、融资、归属和</w:t>
      </w:r>
      <w:r>
        <w:rPr/>
        <w:t>EPS</w:t>
      </w:r>
      <w:r>
        <w:rPr/>
        <w:t>储备。这样才能把业务增长连接到每股收益，避免只看亮眼分部数据。</w:t>
      </w:r>
    </w:p>
    <w:p>
      <w:pPr>
        <w:pStyle w:val="Normal"/>
        <w:rPr/>
      </w:pPr>
      <w:r>
        <w:rPr/>
        <w:t>AI</w:t>
      </w:r>
      <w:r>
        <w:rPr/>
        <w:t>相关收入首季约九十三亿美元、占三成五，公司定义设备为带神经处理单元的</w:t>
      </w:r>
      <w:r>
        <w:rPr/>
        <w:t>PC</w:t>
      </w:r>
      <w:r>
        <w:rPr/>
        <w:t>与手机、服务器为</w:t>
      </w:r>
      <w:r>
        <w:rPr/>
        <w:t>GPU</w:t>
      </w:r>
      <w:r>
        <w:rPr/>
        <w:t>服务器、服务为帮助客户建设和管理</w:t>
      </w:r>
      <w:r>
        <w:rPr/>
        <w:t>AI</w:t>
      </w:r>
      <w:r>
        <w:rPr/>
        <w:t>的服务。设备符合定义不等于全部售价都来自新增</w:t>
      </w:r>
      <w:r>
        <w:rPr/>
        <w:t>AI</w:t>
      </w:r>
      <w:r>
        <w:rPr/>
        <w:t>功能，部分用户仍因普通更新需求购买。定义也可能随产品演进改变，因此不能把该收入直接用高软件倍数估值。</w:t>
      </w:r>
      <w:r>
        <w:rPr/>
        <w:t>AI</w:t>
      </w:r>
      <w:r>
        <w:rPr/>
        <w:t>已影响经营，研究需要产品价值、客户付款与利润，而不是只根据标签收入比例给予长期溢价。</w:t>
      </w:r>
    </w:p>
    <w:p>
      <w:pPr>
        <w:pStyle w:val="Normal"/>
        <w:rPr/>
      </w:pPr>
      <w:r>
        <w:rPr/>
        <w:t>集团同时披露地域收入，首季美洲、欧洲中东非洲、中国与亚太增长不同。地域分类与业务组交叉，不能再加一遍海外收入。全球供应链可以满足本地需求，也会增加币种、客户信用和政策复杂性。首季多个地域增长说明增长较广，但不能证明任何单一业务未来都按同样速度增长。模型分别解释设备、服务器与服务推动力，最终合并收入与正常利润率只是透明的计算汇总，不假设每块业务拥有相同周期。</w:t>
      </w:r>
    </w:p>
    <w:p>
      <w:pPr>
        <w:pStyle w:val="Heading2"/>
        <w:rPr/>
      </w:pPr>
      <w:r>
        <w:rPr>
          <w:color w:val="000000"/>
        </w:rPr>
        <w:t xml:space="preserve">三 </w:t>
      </w:r>
      <w:r>
        <w:rPr>
          <w:color w:val="000000"/>
        </w:rPr>
        <w:t>PC</w:t>
      </w:r>
      <w:r>
        <w:rPr>
          <w:color w:val="000000"/>
        </w:rPr>
        <w:t>需求 份额与定价</w:t>
      </w:r>
    </w:p>
    <w:p>
      <w:pPr>
        <w:pStyle w:val="Normal"/>
        <w:rPr/>
      </w:pPr>
      <w:r>
        <w:rPr/>
        <w:t>PC</w:t>
      </w:r>
      <w:r>
        <w:rPr/>
        <w:t>是公司现金和客户关系的基础，需求包括企业更新、消费换机、教育及创作。操作系统更新、设备老化与混合办公可能推动采购，企业预算、存储价格和经济预期会影响节奏。首季</w:t>
      </w:r>
      <w:r>
        <w:rPr/>
        <w:t>IDG</w:t>
      </w:r>
      <w:r>
        <w:rPr/>
        <w:t>收入增长百分之二十七，不全是</w:t>
      </w:r>
      <w:r>
        <w:rPr/>
        <w:t>PC</w:t>
      </w:r>
      <w:r>
        <w:rPr/>
        <w:t>，也包括手机和平板；</w:t>
      </w:r>
      <w:r>
        <w:rPr/>
        <w:t>PC</w:t>
      </w:r>
      <w:r>
        <w:rPr/>
        <w:t>与智能设备收入约近三成增长。市场规模与公司份额必须分开，份额提升可能使公司跑赢行业，但行业下一阶段收缩仍会影响收入。长期预测不能把一次换机周期当永久高速增长。</w:t>
      </w:r>
    </w:p>
    <w:p>
      <w:pPr>
        <w:pStyle w:val="Normal"/>
        <w:rPr/>
      </w:pPr>
      <w:r>
        <w:rPr/>
        <w:t>公司新闻称全球</w:t>
      </w:r>
      <w:r>
        <w:rPr/>
        <w:t>PC</w:t>
      </w:r>
      <w:r>
        <w:rPr/>
        <w:t>份额百分之二十四点二、</w:t>
      </w:r>
      <w:r>
        <w:rPr/>
        <w:t>AI PC</w:t>
      </w:r>
      <w:r>
        <w:rPr/>
        <w:t>份额百分之二十五点一，均保留其行业统计口径。份额来自出货或销售统计，不等同消费者活跃、利润份额或现金。规模有助于采购和库存管理，领先地位也可能引来强价格竞争。联想要保持产品可靠、商业渠道与售后，不能只靠折扣维持份额。判断优势需要行业下行仍能保持合理利润及客户留存，而不是把连续领先季度数直接乘一个估值倍数。</w:t>
      </w:r>
    </w:p>
    <w:p>
      <w:pPr>
        <w:pStyle w:val="Normal"/>
        <w:rPr/>
      </w:pPr>
      <w:r>
        <w:rPr/>
        <w:t>首季</w:t>
      </w:r>
      <w:r>
        <w:rPr/>
        <w:t>IDG</w:t>
      </w:r>
      <w:r>
        <w:rPr/>
        <w:t>分部营业利润十二点一零一亿美元、利润率约百分之七点一，面对记忆体成本变化仍保持较强水平。企业与消费、高端与普通设备的组合影响定价，全球供应链和采购规模可能提供缓冲。成本可转嫁的程度随需求与竞争变化，不能认定芯片涨价永久有利</w:t>
      </w:r>
      <w:r>
        <w:rPr/>
        <w:t>OEM</w:t>
      </w:r>
      <w:r>
        <w:rPr/>
        <w:t>。若客户预算受限，品牌提价可能降低销量或延后更新，单台利润与出货不一定同升。悲观情景允许设备需求与盈利同时弱化，以免只依据当前费率外推。</w:t>
      </w:r>
    </w:p>
    <w:p>
      <w:pPr>
        <w:pStyle w:val="Normal"/>
        <w:rPr/>
      </w:pPr>
      <w:r>
        <w:rPr/>
        <w:t>企业设备采购强调总拥有成本、管理、安全、维修和标准化，大客户关系可以降低销售波动，也需要价格和服务承诺。消费设备更依赖型号、渠道和促销，高端化能够改善毛利，营销和售后也可能增加。联想多品牌与产品线覆盖不同用户，仍需避免型号过多和库存复杂。产品创新若使用户愿意更快换机，需求增量才有价值；若功能只是行业标配，竞争可能把收益留给消费者和芯片供应商，而非品牌净利润。</w:t>
      </w:r>
    </w:p>
    <w:p>
      <w:pPr>
        <w:pStyle w:val="Normal"/>
        <w:rPr/>
      </w:pPr>
      <w:r>
        <w:rPr/>
        <w:t>PC</w:t>
      </w:r>
      <w:r>
        <w:rPr/>
        <w:t>更新的</w:t>
      </w:r>
      <w:r>
        <w:rPr/>
        <w:t>AI</w:t>
      </w:r>
      <w:r>
        <w:rPr/>
        <w:t>逻辑需要验证本地推理、隐私、离线和效率带来的实用性。</w:t>
      </w:r>
      <w:r>
        <w:rPr/>
        <w:t>NPU</w:t>
      </w:r>
      <w:r>
        <w:rPr/>
        <w:t>能降低部分工作负担，应用生态、软件适配和用户使用才决定支付溢价。不是每位用户都需要高算力，也不是所有应用能脱离云端。联想若只获得更高硬件售价却承担同等更高芯片成本，利润改善有限。基准没有假设每台</w:t>
      </w:r>
      <w:r>
        <w:rPr/>
        <w:t>PC</w:t>
      </w:r>
      <w:r>
        <w:rPr/>
        <w:t>带来长期软件订阅，乐观允许结构升级和服务交叉销售，但仍保留研发、营销和客户支持成本。</w:t>
      </w:r>
    </w:p>
    <w:p>
      <w:pPr>
        <w:pStyle w:val="Heading2"/>
        <w:rPr/>
      </w:pPr>
      <w:r>
        <w:rPr>
          <w:color w:val="000000"/>
        </w:rPr>
        <w:t>四 手机 平板与个人智能产品</w:t>
      </w:r>
    </w:p>
    <w:p>
      <w:pPr>
        <w:pStyle w:val="Normal"/>
        <w:rPr/>
      </w:pPr>
      <w:r>
        <w:rPr/>
        <w:t>Motorola</w:t>
      </w:r>
      <w:r>
        <w:rPr/>
        <w:t>手机首季收入增长百分之十五，平板增长超过百分之八十，帮助</w:t>
      </w:r>
      <w:r>
        <w:rPr/>
        <w:t>IDG</w:t>
      </w:r>
      <w:r>
        <w:rPr/>
        <w:t>扩大产品组合。高增长可能有基数、渠道与新品节奏，不能每年保持相同增速。手机市场竞争激烈，品牌、相机、屏幕、系统、安全与价格共同影响用户选择；海外运营商与渠道又有不同条款。公司可以通过设计和分销形成优势，仍面对规模更大的全球与本地品牌。本章没有为手机增加独立高倍数资产，已有收入与利润在</w:t>
      </w:r>
      <w:r>
        <w:rPr/>
        <w:t>IDG</w:t>
      </w:r>
      <w:r>
        <w:rPr/>
        <w:t>和集团中。</w:t>
      </w:r>
    </w:p>
    <w:p>
      <w:pPr>
        <w:pStyle w:val="Normal"/>
        <w:rPr/>
      </w:pPr>
      <w:r>
        <w:rPr/>
        <w:t>高端手机或折叠设计可以提高售价，研发、良率、售后和营销也更复杂。消费者可能愿意为设计支付溢价，但产品更易受型号流行与竞品发布影响。地区市场中的成功未必可在全球复制，尤其运营商关系、供应链与专利安排不同。研究关注新品是否扩大长期客户而非只刺激首季出货，也保留质量和保修风险。未来收入增长需匹配常态毛利和现金，不能用一个热门型号的好评替代集团多年利润路径。</w:t>
      </w:r>
    </w:p>
    <w:p>
      <w:pPr>
        <w:pStyle w:val="Normal"/>
        <w:rPr/>
      </w:pPr>
      <w:r>
        <w:rPr/>
        <w:t>个人智能平台</w:t>
      </w:r>
      <w:r>
        <w:rPr/>
        <w:t>Qira</w:t>
      </w:r>
      <w:r>
        <w:rPr/>
        <w:t>等产品方向试图连接设备与用户工作流，可能提升体验、设备粘性和服务机会。它需要软件兼容、数据治理与合作生态，技术展示并不等于经常性收费收入。</w:t>
      </w:r>
      <w:r>
        <w:rPr/>
        <w:t>AI</w:t>
      </w:r>
      <w:r>
        <w:rPr/>
        <w:t>工具可能由操作系统、芯片或云平台提供，联想要找到自己的客户价值，不能假设全部应用收益归硬件品牌。模型中已有研发和服务增长预期，未再添加一个个人智能平台融资估值；若未来公开实际收入、利润或合同，再有依据地分拆。</w:t>
      </w:r>
    </w:p>
    <w:p>
      <w:pPr>
        <w:pStyle w:val="Normal"/>
        <w:rPr/>
      </w:pPr>
      <w:r>
        <w:rPr/>
        <w:t>设备与服务结合可让企业购买一套管理、维护和升级方案，减少客户运维负担，同时提高集团客户生命周期价值。租赁、按使用付费和长期服务都可能增加现金占用与资产责任，不能只根据重复收入形式就套软件估值。终端设备折旧与残值、违约和回收需要定价，技术进步可能使旧设备更快贬值。研究要求服务收入与现金收款匹配，避免把新模式账面规模当确定高利润。本章保留租赁本金现金和客户融资风险。</w:t>
      </w:r>
    </w:p>
    <w:p>
      <w:pPr>
        <w:pStyle w:val="Heading2"/>
        <w:rPr/>
      </w:pPr>
      <w:r>
        <w:rPr>
          <w:color w:val="000000"/>
        </w:rPr>
        <w:t>五 服务器增长与利润率转折</w:t>
      </w:r>
    </w:p>
    <w:p>
      <w:pPr>
        <w:pStyle w:val="Normal"/>
        <w:rPr/>
      </w:pPr>
      <w:r>
        <w:rPr/>
        <w:t>ISG</w:t>
      </w:r>
      <w:r>
        <w:rPr/>
        <w:t>首季收入八十五点一零一亿美元，增长约百分之九十八，分部经营利润七点七六九亿美元，利润率约百分之九点一。此前全年</w:t>
      </w:r>
      <w:r>
        <w:rPr/>
        <w:t>ISG</w:t>
      </w:r>
      <w:r>
        <w:rPr/>
        <w:t>收入一百九十一点八七七亿美元，分部利润仅零点七三四亿美元，第四季利润约两亿美元，转折非常明显。它证明新季度业务组合与执行改善，不能自动证明旧全年已经具有九点一利润率。首季趋势若持续，年度利润会显著提高；若项目、供货或定价暂时有利，回落也可能很快。</w:t>
      </w:r>
    </w:p>
    <w:p>
      <w:pPr>
        <w:pStyle w:val="Normal"/>
        <w:rPr/>
      </w:pPr>
      <w:r>
        <w:rPr/>
        <w:t>服务器收入受到通用计算、</w:t>
      </w:r>
      <w:r>
        <w:rPr/>
        <w:t>AI</w:t>
      </w:r>
      <w:r>
        <w:rPr/>
        <w:t>训练与推理、存储和客户基础设施更新推动。首季公司称云服务与企业中小客户收入都近倍增长，增长不是单一客户类别，但精确客户集中和付款条件本章未取得。</w:t>
      </w:r>
      <w:r>
        <w:rPr/>
        <w:t>AI</w:t>
      </w:r>
      <w:r>
        <w:rPr/>
        <w:t>服务器的</w:t>
      </w:r>
      <w:r>
        <w:rPr/>
        <w:t>GPU</w:t>
      </w:r>
      <w:r>
        <w:rPr/>
        <w:t>与记忆体成本较高，收入可能因零部件价格和配置提高迅速增长。判断真正利润增长需要毛利、价值增值、设备交付和服务，而不只看营收。</w:t>
      </w:r>
      <w:r>
        <w:rPr/>
        <w:t>OEM</w:t>
      </w:r>
      <w:r>
        <w:rPr/>
        <w:t>的核心能力是集成、可靠供应、散热、电力、运维与客户关系，仍依赖关键芯片。</w:t>
      </w:r>
    </w:p>
    <w:p>
      <w:pPr>
        <w:pStyle w:val="Normal"/>
        <w:rPr/>
      </w:pPr>
      <w:r>
        <w:rPr/>
        <w:t>公司供应链和全球制造有助于满足客户在不同地点部署，交付规模可能降低采购和执行成本。短缺环境里具备供货能力的厂商更容易获得订单和定价，需求与供应正常后优势可能改变。服务器系统仍要通过可靠性和客户认证，交付延误会影响收入确认、现金和声誉。未来基准合并经营率逐步提高但没有让所有服务器永久获得超高利润，悲观以竞争及成本传导失败检验。技术市场增长不等于硬件利润不会周期化。</w:t>
      </w:r>
    </w:p>
    <w:p>
      <w:pPr>
        <w:pStyle w:val="Normal"/>
        <w:rPr/>
      </w:pPr>
      <w:r>
        <w:rPr/>
        <w:t>AI</w:t>
      </w:r>
      <w:r>
        <w:rPr/>
        <w:t>推理需求可能比集中训练更分散，企业会考虑延迟、隐私、成本和已有系统，联想有机会提供混合基础设施。但客户也能租用云服务而不购买本地硬件，预算与应用收益决定选择。推理计算效率提高可能降低单任务设备需求，使用量上升又可能抵消，不能只以</w:t>
      </w:r>
      <w:r>
        <w:rPr/>
        <w:t>token</w:t>
      </w:r>
      <w:r>
        <w:rPr/>
        <w:t>增长推导固定服务器销售。集团需要把客户应用价值转为产品和服务现金，研究既看行业空间也看竞争压力，不用广泛</w:t>
      </w:r>
      <w:r>
        <w:rPr/>
        <w:t>AI</w:t>
      </w:r>
      <w:r>
        <w:rPr/>
        <w:t>总市场直接确定远期份额。</w:t>
      </w:r>
    </w:p>
    <w:p>
      <w:pPr>
        <w:pStyle w:val="Normal"/>
        <w:rPr/>
      </w:pPr>
      <w:r>
        <w:rPr/>
        <w:t>数据中心部署涉及功耗、液冷、机架和网络，联想的系统工程可以增加客户价值，合同也可能复杂化。客户整体验收和其他供应商交付影响收入确认，设备高价值可能扩大存货和应收。零部件预付款和供应承诺在需求下降时可能留下负担，硬件收入增速领先现金并不异常但不能长期忽视。近端模型需要保持营运资金和风险观察，若服务器利润增长始终无法转成现金，长期估值倍数应低于单看损益表的结果。</w:t>
      </w:r>
    </w:p>
    <w:p>
      <w:pPr>
        <w:pStyle w:val="Heading2"/>
        <w:rPr/>
      </w:pPr>
      <w:r>
        <w:rPr>
          <w:color w:val="000000"/>
        </w:rPr>
        <w:t>六 订单</w:t>
      </w:r>
      <w:r>
        <w:rPr>
          <w:color w:val="000000"/>
        </w:rPr>
        <w:t>pipeline</w:t>
      </w:r>
      <w:r>
        <w:rPr>
          <w:color w:val="000000"/>
        </w:rPr>
        <w:t>与客户信用</w:t>
      </w:r>
    </w:p>
    <w:p>
      <w:pPr>
        <w:pStyle w:val="Normal"/>
        <w:rPr/>
      </w:pPr>
      <w:r>
        <w:rPr/>
        <w:t>季度原件</w:t>
      </w:r>
      <w:r>
        <w:rPr/>
        <w:t>AI</w:t>
      </w:r>
      <w:r>
        <w:rPr/>
        <w:t>服务器</w:t>
      </w:r>
      <w:r>
        <w:rPr/>
        <w:t>pipeline</w:t>
      </w:r>
      <w:r>
        <w:rPr/>
        <w:t>为五百四十亿美元、按季增长百分之一百五十七，并非五十四亿美元。一些机构中文转述存在十倍单位差异，须以原件核对。但</w:t>
      </w:r>
      <w:r>
        <w:rPr/>
        <w:t>pipeline</w:t>
      </w:r>
      <w:r>
        <w:rPr/>
        <w:t>也不等于不可取消积存订单，更不等于未来一季确认收入；它通常包含机会推进、采购规划与条件状态。缺少完整合同与交付计划时不能按统一成功率转成精确订单收入。研究将其视为需求证据，模型收入另公开假设，不把</w:t>
      </w:r>
      <w:r>
        <w:rPr/>
        <w:t>pipeline</w:t>
      </w:r>
      <w:r>
        <w:rPr/>
        <w:t>全额加到集团年度收入。</w:t>
      </w:r>
    </w:p>
    <w:p>
      <w:pPr>
        <w:pStyle w:val="Normal"/>
        <w:rPr/>
      </w:pPr>
      <w:r>
        <w:rPr/>
        <w:t>新兴云客户可能增长快，资金与客户收入的稳定性也可能较弱。</w:t>
      </w:r>
      <w:r>
        <w:rPr/>
        <w:t>AI</w:t>
      </w:r>
      <w:r>
        <w:rPr/>
        <w:t>基础设施投资需要融资、芯片和最终应用付费，链条中一处预算变化可能推迟设备采购。联想供应商信用与融资安排可以支持扩张，但客户信用恶化会影响回款和坏账。大型云客户也可能自己设计或采用不同</w:t>
      </w:r>
      <w:r>
        <w:rPr/>
        <w:t>OEM</w:t>
      </w:r>
      <w:r>
        <w:rPr/>
        <w:t>，供应商集中关系不保证长期独占。公司未给本章足够客户付款与集中度细节，无法用伪精确应收成功率消除风险，这一缺口限制估值可信度。</w:t>
      </w:r>
    </w:p>
    <w:p>
      <w:pPr>
        <w:pStyle w:val="Normal"/>
        <w:rPr/>
      </w:pPr>
      <w:r>
        <w:rPr/>
        <w:t>更高服务器售价可能来自成本转嫁、配置和稀缺供应，利润率提高又可能来自业务组合和规模。若涨价快于成本，当前利润改善很强，竞争与供货恢复后需要检验；若高价值集成与服务比例提高，持续性可能更好。分部九点一费率本身无法区分两者全部贡献。研究不把管理层或机构“结构性”说法当证明，而关注未来数季客户、收入、毛利、经营现金和费用是否保持一致。年底和半年估值仍预留较宽情景。</w:t>
      </w:r>
    </w:p>
    <w:p>
      <w:pPr>
        <w:pStyle w:val="Normal"/>
        <w:rPr/>
      </w:pPr>
      <w:r>
        <w:rPr/>
        <w:t>订单机会向真实收入转换还受出口许可、芯片型号、区域政策和客户合规影响。某些设备可以交付，另一些配置未必在所有市场允许，全球总需求不能视同每个订单可服务。集团可以调整产品和地域，但认证与供货时间会影响现金。政策风险也会改变市场倍数，而不只减少当期销量。悲观情景联合下降收入、利润率和</w:t>
      </w:r>
      <w:r>
        <w:rPr/>
        <w:t>PE</w:t>
      </w:r>
      <w:r>
        <w:rPr/>
        <w:t>，体现供应链限制可能同时作用，未设一个通用百分比监管折扣后宣称已覆盖全部事件。</w:t>
      </w:r>
    </w:p>
    <w:p>
      <w:pPr>
        <w:pStyle w:val="Heading2"/>
        <w:rPr/>
      </w:pPr>
      <w:r>
        <w:rPr>
          <w:color w:val="000000"/>
        </w:rPr>
        <w:t>七 企业服务与盈利质量</w:t>
      </w:r>
    </w:p>
    <w:p>
      <w:pPr>
        <w:pStyle w:val="Normal"/>
        <w:rPr/>
      </w:pPr>
      <w:r>
        <w:rPr/>
        <w:t>SSG</w:t>
      </w:r>
      <w:r>
        <w:rPr/>
        <w:t>首季收入二十八点八三六亿美元、增长约百分之二十八，分部利润六点九六八亿美元、增长约三十九，利润率约百分之二十四点二。较高利润有助于集团经营，分部口径仍包含设备与服务交叉分配，不能把这一利润无抵销直接估值后再加</w:t>
      </w:r>
      <w:r>
        <w:rPr/>
        <w:t>IDG</w:t>
      </w:r>
      <w:r>
        <w:rPr/>
        <w:t>和</w:t>
      </w:r>
      <w:r>
        <w:rPr/>
        <w:t>ISG</w:t>
      </w:r>
      <w:r>
        <w:rPr/>
        <w:t>全额利润。服务包括支持、管理与项目解决方案，不全是软件订阅。模型已反映更高价值服务增长，未把所有</w:t>
      </w:r>
      <w:r>
        <w:rPr/>
        <w:t>SSG</w:t>
      </w:r>
      <w:r>
        <w:rPr/>
        <w:t>收入改称无限边际利润的软件资产。</w:t>
      </w:r>
    </w:p>
    <w:p>
      <w:pPr>
        <w:pStyle w:val="Normal"/>
        <w:rPr/>
      </w:pPr>
      <w:r>
        <w:rPr/>
        <w:t>管理服务、项目与解决方案合计占</w:t>
      </w:r>
      <w:r>
        <w:rPr/>
        <w:t>SSG</w:t>
      </w:r>
      <w:r>
        <w:rPr/>
        <w:t>约百分之六十二点四，能够扩大客户关系和重复合作机会。项目仍可能有验收、工程、人才和维护，管理服务也需要设备、现场支持与质量承诺。收入重复并不代表客户永不流失，更不代表成本固定。研究关注合同续约、交付效果和现金，未取得精确留存率或合同余额时不填造。长期基准允许收入增长和较好盈利，但总部、折旧、售后与研发均保留在正常合并</w:t>
      </w:r>
      <w:r>
        <w:rPr/>
        <w:t>EBIT</w:t>
      </w:r>
      <w:r>
        <w:rPr/>
        <w:t>率内。</w:t>
      </w:r>
    </w:p>
    <w:p>
      <w:pPr>
        <w:pStyle w:val="Normal"/>
        <w:rPr/>
      </w:pPr>
      <w:r>
        <w:rPr/>
        <w:t>TruScale</w:t>
      </w:r>
      <w:r>
        <w:rPr/>
        <w:t>按需基础设施与设备服务可以降低客户初始资本门槛，客户能随业务扩展，提高采用机会。集团需要筹资和管理设备残值、利用率与信用，部分现金收款可能延后。首季相关订单与服务增长是积极信号，不能将</w:t>
      </w:r>
      <w:r>
        <w:rPr/>
        <w:t>booking</w:t>
      </w:r>
      <w:r>
        <w:rPr/>
        <w:t>立即记收入，也不能忽略租赁融资和保理成本。服务估值应反映风险转移：如果客户原本承担的资产和现金负担转到供应商，高收入稳定性可能换来更高资本需求。本章不将这种模式一律认定轻资产。</w:t>
      </w:r>
    </w:p>
    <w:p>
      <w:pPr>
        <w:pStyle w:val="Normal"/>
        <w:rPr/>
      </w:pPr>
      <w:r>
        <w:rPr/>
        <w:t>AI</w:t>
      </w:r>
      <w:r>
        <w:rPr/>
        <w:t>企业方案要帮助客户从试验进入生产，涉及数据、软件、硬件、安全与组织。联想具备设备和交付渠道，合作生态提供模型与应用，价值可能来自集成与维护。模型供应商或云平台也能直接提供服务，集团需要明确实际差异。案例与赛事技术展示可证明能力，未提供长期订单和独立净利，不能将宣传费用全当无成本获客。研究以合并盈利和现金验证服务扩展，未为每个合作品牌或</w:t>
      </w:r>
      <w:r>
        <w:rPr/>
        <w:t>AI</w:t>
      </w:r>
      <w:r>
        <w:rPr/>
        <w:t>库单独增加资产价值。</w:t>
      </w:r>
    </w:p>
    <w:p>
      <w:pPr>
        <w:pStyle w:val="Heading2"/>
        <w:rPr/>
      </w:pPr>
      <w:r>
        <w:rPr>
          <w:color w:val="000000"/>
        </w:rPr>
        <w:t>八 竞争 研发与政策路径</w:t>
      </w:r>
    </w:p>
    <w:p>
      <w:pPr>
        <w:pStyle w:val="Normal"/>
        <w:rPr/>
      </w:pPr>
      <w:r>
        <w:rPr/>
        <w:t>PC</w:t>
      </w:r>
      <w:r>
        <w:rPr/>
        <w:t>面对全球品牌和地方供应商，服务器面对大型</w:t>
      </w:r>
      <w:r>
        <w:rPr/>
        <w:t>OEM</w:t>
      </w:r>
      <w:r>
        <w:rPr/>
        <w:t>、</w:t>
      </w:r>
      <w:r>
        <w:rPr/>
        <w:t>ODM</w:t>
      </w:r>
      <w:r>
        <w:rPr/>
        <w:t>、云自建和其他系统厂商，企业服务又面对咨询、云与软件团队。联想规模和全球执行形成优势，市场领导仍会受到价格、技术与客户采购策略影响。客户可在设备升级时更换供应商，长期服务关系可降低迁移意愿，但不能保证垄断。增长评分承认份额与技术机会，风险评分保留硬件竞争和客户议价，避免从一个强财季直接推导十年保持最高利润率。</w:t>
      </w:r>
    </w:p>
    <w:p>
      <w:pPr>
        <w:pStyle w:val="Normal"/>
        <w:rPr/>
      </w:pPr>
      <w:r>
        <w:rPr/>
        <w:t>首季研发六点八二亿美元，增长约三成，投入涵盖设备、基础设施与服务。研发能提高系统和产品能力，也需要形成客户认可的产品，规模增长不能无视技术更新。股份激励首季一点零三八亿美元，属于真实经济成本，正常经营模型保留，不因它在现金流调节加回就从估值永久剔除。资本化无形资产和开发现金也另列，避免研发只看损益费用而忽略资本。长期利润率较高需要创新投入持续有效，不能靠削减投入保留。</w:t>
      </w:r>
    </w:p>
    <w:p>
      <w:pPr>
        <w:pStyle w:val="Normal"/>
        <w:rPr/>
      </w:pPr>
      <w:r>
        <w:rPr/>
        <w:t>全球供应链可减少单一生产地点风险，但原产地、电子认证、数据、网络与贸易政策仍会影响销售。新闻讨论美国</w:t>
      </w:r>
      <w:r>
        <w:rPr/>
        <w:t>FCC</w:t>
      </w:r>
      <w:r>
        <w:rPr/>
        <w:t>电子设备测试政策，原始完整监管文件未取得，本章作为待核风险而非确定禁售事实。潜在限制可能作用于认证成本与交付，也可能可通过本地合作调整；不能在缺少原件时确定具体收入损失。预算、政策和行业技术并不独立，研究情景公开范围而非声称涵盖所有政策路径。</w:t>
      </w:r>
    </w:p>
    <w:p>
      <w:pPr>
        <w:pStyle w:val="Normal"/>
        <w:rPr/>
      </w:pPr>
      <w:r>
        <w:rPr/>
        <w:t>世界足球赛事技术合作与制造扩展可以增强品牌和客户交流，可能带来项目机会，也涉及营销和设备服务成本。首季新闻确认相关实际部署，不等同所有曝光可折成未来利润。公司北美工厂扩展提供本地交付，未来利用率和资本回报需验证。经营评价把这些作为能力背景，而不是每项合作都在估值上额外加价；如果规模增长超过组织、质量和客户支持能力，长期增长反而需要降低，不能用宣传指标替代现金。</w:t>
      </w:r>
    </w:p>
    <w:p>
      <w:pPr>
        <w:pStyle w:val="Heading2"/>
        <w:rPr/>
      </w:pPr>
      <w:r>
        <w:rPr>
          <w:color w:val="000000"/>
        </w:rPr>
        <w:t>九 历史财务与当前利润锚</w:t>
      </w:r>
    </w:p>
    <w:p>
      <w:pPr>
        <w:pStyle w:val="Normal"/>
        <w:rPr/>
      </w:pPr>
      <w:r>
        <w:rPr/>
        <w:t>截至三月二零二六财年收入八百三十点七四六亿美元，去年六百九十点七七零，前年五百六十八点六三八，更早二零二三年六百一十九点四六九。它表现为经历设备周期低谷后恢复，而非每年恒定增长。归母利润对应十九点一一九、十三点八四四、十点一零五、十六点零七七亿美元，盈利与收入路径不同。不能只从最低基数计算高增速后认为永续复利，历史周期说明利润可能在行业预算和成本变化中大幅波动。</w:t>
      </w:r>
    </w:p>
    <w:p>
      <w:pPr>
        <w:pStyle w:val="Normal"/>
        <w:rPr/>
      </w:pPr>
      <w:r>
        <w:rPr/>
        <w:t>二零二六财年法定摊薄</w:t>
      </w:r>
      <w:r>
        <w:rPr/>
        <w:t>EPS</w:t>
      </w:r>
      <w:r>
        <w:rPr/>
        <w:t>零点一三九一美元，调整归母约二十点四九亿美元，法定归母十九点一一九亿美元。年度权证重估收益和调整项目混合，调整利润并非只加回损失，也剔除收益。以现价和七点八汇率，法定年度</w:t>
      </w:r>
      <w:r>
        <w:rPr/>
        <w:t>PE</w:t>
      </w:r>
      <w:r>
        <w:rPr/>
        <w:t>约三十点二七倍，明显高于过去硬件低倍数印象。如今市场已对未来服务器盈利赋预期，估值要匹配未来正常利润，不能继续说历史十倍便宜却使用当前大涨价格和未核未来盈利。</w:t>
      </w:r>
    </w:p>
    <w:p>
      <w:pPr>
        <w:pStyle w:val="Normal"/>
        <w:rPr/>
      </w:pPr>
      <w:r>
        <w:rPr/>
        <w:t>首季集团收入增长约百分之四十三，毛利四十四点五二零亿美元，毛利率约百分之十六点五，高于去年十四点七。调整经营十五点二二七亿美元，调整归母十点七四七，法定经营仅零点一九二、归母负六点零八六。技术和经营都有显著变化，但增长的持续性需要多个季度。首季调整利润简单乘四可能得到高年度盈利，季节性、客户交付与零部件成本又可能改变，本章未来模型采用</w:t>
      </w:r>
      <w:r>
        <w:rPr/>
        <w:t>NTM</w:t>
      </w:r>
      <w:r>
        <w:rPr/>
        <w:t>收入和正常合并经营率，不直接把最佳季度机械年化。</w:t>
      </w:r>
    </w:p>
    <w:p>
      <w:pPr>
        <w:pStyle w:val="Normal"/>
        <w:rPr/>
      </w:pPr>
      <w:r>
        <w:rPr/>
        <w:t>法定至调整归母重建包括权证损失加回十六点九零三亿美元，金融资产公允价值净收益剔除零点九五四，收购无形摊销、减值和联营等另调，再加约零点三零二可转债名义利息。金融资产合并重估二点五零一亿美元不全归普通股，税与少数股东会改变分子。若用全部投资重估直接给集团股东计算回报，也会夸大。调整指标帮助识别经营，仍需要清楚归属，不能把每个合并加回都解释为股东可领取现金。</w:t>
      </w:r>
    </w:p>
    <w:p>
      <w:pPr>
        <w:pStyle w:val="Normal"/>
        <w:rPr/>
      </w:pPr>
      <w:r>
        <w:rPr/>
        <w:t>以年度调整归母加首季同比差，滚动正常归母粗代理约二十七点三四三亿美元，除经济摊薄一百六十三亿股，现价约二十五点一零倍。它不是正式滚动</w:t>
      </w:r>
      <w:r>
        <w:rPr/>
        <w:t>EPS</w:t>
      </w:r>
      <w:r>
        <w:rPr/>
        <w:t>，年度数据四舍五入、未来股数和调整归属均有限制；但提示股价已显著先于旧年度盈利。年底基准十八倍用更高</w:t>
      </w:r>
      <w:r>
        <w:rPr/>
        <w:t>NTM</w:t>
      </w:r>
      <w:r>
        <w:rPr/>
        <w:t>利润支持，而非当前滚动利润看起来很便宜。若新的利润提升不能持续，估值下修可能很大，表面目标上行必须与这种风险一起比较。</w:t>
      </w:r>
    </w:p>
    <w:p>
      <w:pPr>
        <w:pStyle w:val="Heading2"/>
        <w:rPr/>
      </w:pPr>
      <w:r>
        <w:rPr>
          <w:color w:val="000000"/>
        </w:rPr>
        <w:t>十 现金流与营运资金压力</w:t>
      </w:r>
    </w:p>
    <w:p>
      <w:pPr>
        <w:pStyle w:val="Normal"/>
        <w:rPr/>
      </w:pPr>
      <w:r>
        <w:rPr/>
        <w:t>年度经营现金四十点二三七亿美元，去年十点九九八，显著高于当年归母。购买设备六点五四零、建设六点零八零、无形资产五点九七零、融资段租赁本金一点零二一，经营减这些约二十点六二七亿美元，是研究现金代理。利息已经在经营现金段扣除，不能再扣一次；并购、金融投资与联营贷款尚未全扣。该代理按当前普通股价值约百分之三点八收益率，不是低风险固定收益，年度营运资金与资本付款也可能变化。</w:t>
      </w:r>
    </w:p>
    <w:p>
      <w:pPr>
        <w:pStyle w:val="Normal"/>
        <w:rPr/>
      </w:pPr>
      <w:r>
        <w:rPr/>
        <w:t>首季经营现金只有三点八二三亿美元，去年十二点一九一，明显弱于调整归母十点七四七。购买设备零点九一零、建设一点一五二、无形一点六八零、租赁本金零点三零四，研究代理约负零点二二三亿美元。即使当季经营利润很好，快速增长也占用存货、应收和预付款，不能把调整净利全当自由现金。全年可能出现回收，不应凭一季认定永久恶化；但必须观察后来现金，否则高利润率的资本回报逻辑缺乏关键证据。</w:t>
      </w:r>
    </w:p>
    <w:p>
      <w:pPr>
        <w:pStyle w:val="Normal"/>
        <w:rPr/>
      </w:pPr>
      <w:r>
        <w:rPr/>
        <w:t>现金调节表首季存货增加四十一点二八九亿美元，应收、预付与其他合计增加六十二点二一零，应付、准备与其他增加八十八点一四一抵消部分占用。这比去年变化大，反映收入规模和客户交付，亦增加信用与供应风险。供应商延长账期可支持增长，不是无需偿还的永久资本；客户付款迟延或需求取消时，存货与应收可能变成损失。研究不根据单一应付增量断言压供应商，也不把现金正数当经营全部健康。</w:t>
      </w:r>
    </w:p>
    <w:p>
      <w:pPr>
        <w:pStyle w:val="Normal"/>
        <w:rPr/>
      </w:pPr>
      <w:r>
        <w:rPr/>
        <w:t>六月存货一百五十七点四一九亿美元，三月一百一十七点二零九；贸易租赁票据应收一百九十二点六五八，三月一百四十五点零二七；预付及其他九十点零零九，三月七十四点二九八。增长有扩张背景，账龄与客户质量却决定是否可回收。设备高价和零部件供货可能增加备货，技术更新又可能加快陈旧。存货准备首季增加一点五四八亿美元，本章保留费用和需求逆风，不以全部存货按账面现金出售作为悲观底值。</w:t>
      </w:r>
    </w:p>
    <w:p>
      <w:pPr>
        <w:pStyle w:val="Normal"/>
        <w:rPr/>
      </w:pPr>
      <w:r>
        <w:rPr/>
        <w:t>贸易与票据应付二百四十三点九七六亿美元，其他应付与应计二百一十一点七九三，递延收入约四十二点零八零。客户合同和供应链信用使集团能用较低自有现金运营大规模设备，资本优势有实际价值；信用期限、付款保证和售后承诺也有负债责任。业务增长放慢时应付减少可能吞噬现金，高收入不能免除这一逆周期。</w:t>
      </w:r>
      <w:r>
        <w:rPr/>
        <w:t>DCF</w:t>
      </w:r>
      <w:r>
        <w:rPr/>
        <w:t>或</w:t>
      </w:r>
      <w:r>
        <w:rPr/>
        <w:t>PE</w:t>
      </w:r>
      <w:r>
        <w:rPr/>
        <w:t>验证应纳入正常营运资金，不把负营运资本自动视为所有未来增长都不需资本。</w:t>
      </w:r>
    </w:p>
    <w:p>
      <w:pPr>
        <w:pStyle w:val="Normal"/>
        <w:rPr/>
      </w:pPr>
      <w:r>
        <w:rPr/>
        <w:t>六月现金及等价五十九点零七五亿美元，银行定存一点七三三，借款账面六十二点六零零，粗净债约一点七九三。它不含全部租赁、权证衍生负债、少数股权看跌、经营应付、受限或信用调整，不能称完整净现金。季度现金增加主要有新可转债融资，经营现金和借款偿付要分开。模型有限融资成本与归属储备进入利润，未给全部现金加额外价值，更没有用六月资金余额当十月九日已核即时账面。</w:t>
      </w:r>
    </w:p>
    <w:p>
      <w:pPr>
        <w:pStyle w:val="Normal"/>
        <w:rPr/>
      </w:pPr>
      <w:r>
        <w:rPr/>
        <w:t>Infinidat</w:t>
      </w:r>
      <w:r>
        <w:rPr/>
        <w:t>等收购首季净现金约四点二七三亿美元，并增商誉约三点一五亿美元，估值评估尚未最终完成。收购可以拓展存储技术和服务，未来交付、客户留存、整合与资本回报仍需核验。收购的收入和利润已有并表，不能再把购买价格或子公司估值加到集团利润</w:t>
      </w:r>
      <w:r>
        <w:rPr/>
        <w:t>PE</w:t>
      </w:r>
      <w:r>
        <w:rPr/>
        <w:t>。无形资产六月八十九点二六零亿美元，包含商誉、技术等，若业务不达预期可能减值。调整摊销帮助理解现金，但无法消除收购资本成本。</w:t>
      </w:r>
    </w:p>
    <w:p>
      <w:pPr>
        <w:pStyle w:val="Heading2"/>
        <w:rPr/>
      </w:pPr>
      <w:r>
        <w:rPr>
          <w:color w:val="000000"/>
        </w:rPr>
        <w:t>十一 可转债的已经发生与未来风险</w:t>
      </w:r>
    </w:p>
    <w:p>
      <w:pPr>
        <w:pStyle w:val="Normal"/>
        <w:rPr/>
      </w:pPr>
      <w:r>
        <w:rPr/>
        <w:t>二零二九债最初六点七五亿美元、年息百分之二点五，六月已回购部分，剩四点五亿美元。九月十四日公告明确最后一批二千九百六十七点五万美元转换及注销，新增二千七百七十九点零六万股，截至公告没有该债余额。因此不能继续把六月四点五亿债务当截止日未偿，又同时加全部潜在转换股数。九月月报已发行股数反映九月转换，未来模型以此为锚，历史债务仅说明资本变化，避免双算。</w:t>
      </w:r>
    </w:p>
    <w:p>
      <w:pPr>
        <w:pStyle w:val="Normal"/>
        <w:rPr/>
      </w:pPr>
      <w:r>
        <w:rPr/>
        <w:t>二零二八零息可转债二十亿美元，调整转换价九点三七港元，按文件全部转换可产生约十六点六七三亿普通股。持有人可在期限内行使，但转换在二零二八一月到期日发生，特定情况可延长。零票息不等于无成本，转换权与特定赎回条件影响经济利益；不转换时需要还本金，相关条件还可能有额外利息。近端经济摊薄分母考虑转换预期，但不能把它说成当前已发行，融资现金与债务也不在同一日期重复加值。</w:t>
      </w:r>
    </w:p>
    <w:p>
      <w:pPr>
        <w:pStyle w:val="Normal"/>
        <w:rPr/>
      </w:pPr>
      <w:r>
        <w:rPr/>
        <w:t xml:space="preserve">二零三三债六月二十五日已完成二十亿美元发行，净 </w:t>
      </w:r>
      <w:r>
        <w:rPr/>
        <w:t>proceeds</w:t>
      </w:r>
      <w:r>
        <w:rPr/>
        <w:t>十九点七九亿美元，初始债务部分十四点八五二、权益约四点九三八。会计拆分低于本金不意味着到期只需偿还账面债务。转换价调整三十五点七四港元，满额约四点三八三亿股，前六年仅在特定事件可转换，之后有普通转换窗口。持有人二零三零年六月二十五日可以要求本金赎回，这个日期在五年目标前，长期股息与现金需要考虑可能支付压力。</w:t>
      </w:r>
    </w:p>
    <w:p>
      <w:pPr>
        <w:pStyle w:val="Normal"/>
        <w:rPr/>
      </w:pPr>
      <w:r>
        <w:rPr/>
        <w:t>模型经济股数对二零三三债留储备，不断言一定提前转换。若现金还债而没有发行股数，应重新降低现金、融资成本和未来股息，不能同时保持现金和消除稀释后提高目标。新债部分用来偿付旧债与回购，现金流中的融资不代表经营自然现金增加。正常利润桥有限税后融资、归属储备为负，覆盖常态成本而不宣称足以吸收任何极端赎回。公司有管理融资经验，仍要用未来资金计划和经营现金验证偿付能力。</w:t>
      </w:r>
    </w:p>
    <w:p>
      <w:pPr>
        <w:pStyle w:val="Normal"/>
        <w:rPr/>
      </w:pPr>
      <w:r>
        <w:rPr/>
        <w:t>六月全部借款六十二点六零零亿美元包含可转债账面本金、票据及短期贷款，九月旧债消失并改变股数。本章没有完整十月债务资产负债表，不能虚构即时净债。三年、五年悲观进一步增股数体现再融资与激励，基准也高于当前普通股数。若未来融资避免稀释但现金流更弱，估值路径需同步变化。资本结构研究不是简单找最低股数得到最高目标，而是评估现有普通股对盈利与债务变化的真实经济承受。</w:t>
      </w:r>
    </w:p>
    <w:p>
      <w:pPr>
        <w:pStyle w:val="Heading2"/>
        <w:rPr/>
      </w:pPr>
      <w:r>
        <w:rPr>
          <w:color w:val="000000"/>
        </w:rPr>
        <w:t>十二 认股权证 激励与股东权益</w:t>
      </w:r>
    </w:p>
    <w:p>
      <w:pPr>
        <w:pStyle w:val="Normal"/>
        <w:rPr/>
      </w:pPr>
      <w:r>
        <w:rPr/>
        <w:t>公司二零二五年一月发行十一点五亿份权证，初始每份一点四三港元，初始募资约十六点四五亿港元。股息调整后每股行权十一点五一，满额股份约十二点二九九亿，而不是只按十一点五亿份当股份。月报确认九月没有当月行权新增股，潜在数量仍在。每十二个月转让与行权有限额，期限通常至二零二八一月八日且可延至四月，不能假设全数明天发行，也不能因限额就忽略其长期稀释。</w:t>
      </w:r>
    </w:p>
    <w:p>
      <w:pPr>
        <w:pStyle w:val="Normal"/>
        <w:rPr/>
      </w:pPr>
      <w:r>
        <w:rPr/>
        <w:t>联想有股份发行或现金满足权证权利的选择，这是其金融负债分类基础。若价格上涨，持有人权利价值增加，可能产生公允价值亏损，但不会自动等于当季现金支付；股份结算稀释普通股，现金结算消耗资金。以现价三十二点八四减行权十一点五一，乘满额十二点二九九亿股，简单内在价值约二百六十二亿港元，尚非最终结算价或负债公允价值。该压力量级说明“非现金”不能被解释为无经济成本。</w:t>
      </w:r>
    </w:p>
    <w:p>
      <w:pPr>
        <w:pStyle w:val="Normal"/>
        <w:rPr/>
      </w:pPr>
      <w:r>
        <w:rPr/>
        <w:t>半年未来权证行权数量取决于时间限额、持有人决定和结算方式，本章用经济摊薄一百六十亿量级总股数进行保守分母，而非法定每期</w:t>
      </w:r>
      <w:r>
        <w:rPr/>
        <w:t>EPS</w:t>
      </w:r>
      <w:r>
        <w:rPr/>
        <w:t>规则。股份结算路线下不再从权益额外扣同一权证负债，也不把行权现金再次全额加值；两者会使近端估值更加审慎。若选择现金结算，需另建现金支付与融资、分红桥，并将未来股份稀释假设相应调整。不能保持最有利股数和现金两种路线的好处，忽略相应代价。</w:t>
      </w:r>
    </w:p>
    <w:p>
      <w:pPr>
        <w:pStyle w:val="Normal"/>
        <w:rPr/>
      </w:pPr>
      <w:r>
        <w:rPr/>
        <w:t>权证认购对象包括董事长持有实体、管理层投资载体和独立机构，交易有治理和利益激励问题。原件披露参与对象与批准，本章不因关联就断言违规，但要求股东了解权利、行权、现金选择和资本分配。股价上涨同时使管理相关权利价值增加，普通股股东需通过实际新增股数或现金承担部分经济成本。经营执行较强不免除治理核查，长期风险评分低于业务机会评分，体现所有经济权益最终如何分配仍关键。</w:t>
      </w:r>
    </w:p>
    <w:p>
      <w:pPr>
        <w:pStyle w:val="Normal"/>
        <w:rPr/>
      </w:pPr>
      <w:r>
        <w:rPr/>
        <w:t>六月法定亏损使激励与可转债反稀释，报告摊薄股数和基本相同约一百二十点七七九亿；去年盈利期摊薄约一百四十七点四六零亿。这不意味着经济潜在股份在亏损期消失，只是</w:t>
      </w:r>
      <w:r>
        <w:rPr/>
        <w:t>EPS</w:t>
      </w:r>
      <w:r>
        <w:rPr/>
        <w:t>会计规则不同。调整每股收益又有自己的分子分母与税，研究不能直接用亏损期基本股数算未来正盈利目标。近端基准一百六十三亿经济分母包含当前、转换、权证与激励储备，明确不同于公司报告的每期摊薄数量。</w:t>
      </w:r>
    </w:p>
    <w:p>
      <w:pPr>
        <w:pStyle w:val="Normal"/>
        <w:rPr/>
      </w:pPr>
      <w:r>
        <w:rPr/>
        <w:t>九月股数一百二十八点二六零亿，库存零，不代表员工信托所持股票等同可立即注销。年度员工信托购买约五点六五三亿美元，是激励安排而非全部公司永久资本减少。未来净回购、授予与融资需要合并看，不能把采购股数既列含息回报又同时永久削减股数。现金股息年度已付约六点一二五亿美元，截至基准日前已经发生的收益不追溯加给新投资者。未来股息较小，回报主要仍是股价与每股盈利。</w:t>
      </w:r>
    </w:p>
    <w:p>
      <w:pPr>
        <w:pStyle w:val="Heading2"/>
        <w:rPr/>
      </w:pPr>
      <w:r>
        <w:rPr>
          <w:color w:val="000000"/>
        </w:rPr>
        <w:t>十三 日线 周线与估值位置</w:t>
      </w:r>
    </w:p>
    <w:p>
      <w:pPr>
        <w:pStyle w:val="Normal"/>
        <w:rPr/>
      </w:pPr>
      <w:r>
        <w:rPr/>
        <w:t>基准价三十二点八四港元，二十日均线三十四点七二、六十日三十点三零五、一百二十日二十四点四五五、二百五十日十六点七九三。价格低于二十日约百分之五点四一，仍高于六十日八点三七、一百二十日三十四点二九和二百五十日九十五点五六。它属于大幅上升后短期回调，不能因为离长线远就立即预测回归，也不能把上升幅度当长期价值证明。半年进入观察需要趋势和估值都支持。</w:t>
      </w:r>
    </w:p>
    <w:p>
      <w:pPr>
        <w:pStyle w:val="Normal"/>
        <w:rPr/>
      </w:pPr>
      <w:r>
        <w:rPr/>
        <w:t>各均线五日斜率仍正，二十日约百分之一点七三、六十日三点一九、一百二十日四点二二、二百五十日二点八一。较慢均线会滞后此前大涨，现价跌破短线意味着最近动能放缓，并非所有斜率正就确认重新上涨。最近二十日回报约百分之一点八零、六十日四十九点五三、一百二十日一百九十四点五六，市场已经明显重估。若未来利润兑现不足，强趋势可以逆转，技术判断必须和价格位置分开。</w:t>
      </w:r>
    </w:p>
    <w:p>
      <w:pPr>
        <w:pStyle w:val="Normal"/>
        <w:rPr/>
      </w:pPr>
      <w:r>
        <w:rPr/>
        <w:t>最近二十日区间低三十点六、高三十七点八八，距现价分别负百分之六点八二和正十五点三五；六十日复权低二十点五零二，距现价约负三十七点五七。这些是区间极值，未验证触碰次数与成交密集，不能当精确筹码支撑。三十点六与六十日均线带相近，可观察回调稳定；若放量跌破且周线走弱，原有半年强趋势逻辑失效。股价跳空可能越过这些位置，不能把观察位设为保证最大损失。</w:t>
      </w:r>
    </w:p>
    <w:p>
      <w:pPr>
        <w:pStyle w:val="Normal"/>
        <w:rPr/>
      </w:pPr>
      <w:r>
        <w:rPr/>
        <w:t>五十二周高三十七点八八、复权低八点四零六，现价距高回落约百分之十三点三一、距低上涨约二百九十点六八，年度窗口最大回撤约三十点六一。复权低价不等于名义原始成交，不能拿旧新闻低价直接推算当前涨幅。过去一年有巨幅上涨也有大回撤，说明行情风险较高。当前</w:t>
      </w:r>
      <w:r>
        <w:rPr/>
        <w:t>ATR</w:t>
      </w:r>
      <w:r>
        <w:rPr/>
        <w:t>高进一步支持半年下行要宽，不宜因公司大市值和供应链成熟就假设股价波动小，情景亏损远大于一般日常波幅。</w:t>
      </w:r>
    </w:p>
    <w:p>
      <w:pPr>
        <w:pStyle w:val="Normal"/>
        <w:rPr/>
      </w:pPr>
      <w:r>
        <w:rPr/>
        <w:t>周线一百五十七根，二十周均线二十七点八八七、六十周十六点一九四、一百二十周十二点八六二，二百五十周历史不足留空。现价高于二十周十七点七六、六十周一百零二点七九，周线斜率较强，长期技术背景仍上升。周线二十周涨约一百一十一点三四，不能将日线二十日和周线二十周看作相同窗口。研究历史约三年真实日线，未为缺失二百五十周补造数据或借未核长期图形。</w:t>
      </w:r>
    </w:p>
    <w:p>
      <w:pPr>
        <w:pStyle w:val="Normal"/>
        <w:rPr/>
      </w:pPr>
      <w:r>
        <w:rPr/>
        <w:t>日线</w:t>
      </w:r>
      <w:r>
        <w:rPr/>
        <w:t>RSI</w:t>
      </w:r>
      <w:r>
        <w:rPr/>
        <w:t>约四十七点零四，</w:t>
      </w:r>
      <w:r>
        <w:rPr/>
        <w:t>MACD DIF</w:t>
      </w:r>
      <w:r>
        <w:rPr/>
        <w:t>零点七零六、</w:t>
      </w:r>
      <w:r>
        <w:rPr/>
        <w:t>DEA</w:t>
      </w:r>
      <w:r>
        <w:rPr/>
        <w:t>一点二五七、双倍柱负一点一零三，短期动量减弱；周线</w:t>
      </w:r>
      <w:r>
        <w:rPr/>
        <w:t>RSI</w:t>
      </w:r>
      <w:r>
        <w:rPr/>
        <w:t>六十三点三零、</w:t>
      </w:r>
      <w:r>
        <w:rPr/>
        <w:t>MACD</w:t>
      </w:r>
      <w:r>
        <w:rPr/>
        <w:t>柱正零点六六三，仍较强。指标从同样价格数据派生，不应各自加成获利概率。日</w:t>
      </w:r>
      <w:r>
        <w:rPr/>
        <w:t>ATR</w:t>
      </w:r>
      <w:r>
        <w:rPr/>
        <w:t>一点八零七港元、约百分之五点五零，周</w:t>
      </w:r>
      <w:r>
        <w:rPr/>
        <w:t>ATR</w:t>
      </w:r>
      <w:r>
        <w:rPr/>
        <w:t>三点八零九、约十一点六零，表示近期幅度而非目标方向。半年模型目标四十三点二九来自经营盈利与</w:t>
      </w:r>
      <w:r>
        <w:rPr/>
        <w:t>PE</w:t>
      </w:r>
      <w:r>
        <w:rPr/>
        <w:t>，不能称</w:t>
      </w:r>
      <w:r>
        <w:rPr/>
        <w:t>K</w:t>
      </w:r>
      <w:r>
        <w:rPr/>
        <w:t>线计算的必达阻力。</w:t>
      </w:r>
    </w:p>
    <w:p>
      <w:pPr>
        <w:pStyle w:val="Heading2"/>
        <w:rPr/>
      </w:pPr>
      <w:r>
        <w:rPr>
          <w:color w:val="000000"/>
        </w:rPr>
        <w:t>十四 量能 相对市场和交易条件</w:t>
      </w:r>
    </w:p>
    <w:p>
      <w:pPr>
        <w:pStyle w:val="Normal"/>
        <w:rPr/>
      </w:pPr>
      <w:r>
        <w:rPr/>
        <w:t>成交五日均量约六千零一十六万股、二十日六千九百四十三万、六十日九千七百五十三万。近期平均量低于此前大幅上涨阶段，可能是市场等待新信息，也可能是动能下降，不能单凭缩量说明卖盘枯竭。当日量比相对前二十日约一点三三八，需配合当天价格和后续持续，不把较大成交自动解释为买方净流入。数据单位按股核验，缺精确换手原件就留空，没有将每手股数乘错十倍百倍。</w:t>
      </w:r>
    </w:p>
    <w:p>
      <w:pPr>
        <w:pStyle w:val="Normal"/>
        <w:rPr/>
      </w:pPr>
      <w:r>
        <w:rPr/>
        <w:t>近二十日上涨合量约七点一五七亿股、下跌六点七二八亿，比一点零六四，九个上涨日和十一个下跌日。量比接近且天数不同，说明短线未有压倒性方向证据；周线二十周上跌量比约一点五九九，反映此前上升阶段较强。两组不能作为两个独立正面因子重复评分，成交是辅助趋势。没有逐笔主动买卖或股东身份资料，本章不声称机构建仓、主力洗盘或精确成交量分布，只描述可复算量价事实。</w:t>
      </w:r>
    </w:p>
    <w:p>
      <w:pPr>
        <w:pStyle w:val="Normal"/>
        <w:rPr/>
      </w:pPr>
      <w:r>
        <w:rPr/>
        <w:t>相对恒生指数二十日领先约四点七八百分点、六十日五十二点七二；相对恒生科技粗参考二十日领先四点八六、六十日六十二点七零。此前显著强势已经反映市场预期提升，持续超额收益需新的利润与现金证据。恒生科技不是精确</w:t>
      </w:r>
      <w:r>
        <w:rPr/>
        <w:t>PC</w:t>
      </w:r>
      <w:r>
        <w:rPr/>
        <w:t>或服务器行业指数，独立同日行业基准缺口须保留，不能把其落后全当联想行业优势。后续若相对表现显著下降和六十日线破坏，应调低半年技术评分。</w:t>
      </w:r>
    </w:p>
    <w:p>
      <w:pPr>
        <w:pStyle w:val="Normal"/>
        <w:rPr/>
      </w:pPr>
      <w:r>
        <w:rPr/>
        <w:t>较强观察条件是股价在三十至三十一附近稳定，恢复三十四点七二短线，随后测试三十七点八八时有持续成交和经营新信息。若快速反弹只靠少量成交、随后跌回短线，突破尚需验证；若回调同时利润预期上调，估值可能改善。失效条件包括放量跌破六十日线且多周无法恢复、关键客户需求变弱、正常利润率下修或现金严重恶化。技术位不提供无风险止损，流动性、跳空与政策会使实际卖出价不同。</w:t>
      </w:r>
    </w:p>
    <w:p>
      <w:pPr>
        <w:pStyle w:val="Heading2"/>
        <w:rPr/>
      </w:pPr>
      <w:r>
        <w:rPr>
          <w:color w:val="000000"/>
        </w:rPr>
        <w:t>十五 五个目标时点的经营桥</w:t>
      </w:r>
    </w:p>
    <w:p>
      <w:pPr>
        <w:pStyle w:val="Normal"/>
        <w:rPr/>
      </w:pPr>
      <w:r>
        <w:rPr/>
        <w:t>模型合并收入乘正常</w:t>
      </w:r>
      <w:r>
        <w:rPr/>
        <w:t>EBIT</w:t>
      </w:r>
      <w:r>
        <w:rPr/>
        <w:t>率，再乘税后零点八，加入税后融资、联营、少数股东与</w:t>
      </w:r>
      <w:r>
        <w:rPr/>
        <w:t>EPS</w:t>
      </w:r>
      <w:r>
        <w:rPr/>
        <w:t>分子储备的净负项，除经济摊薄股份，</w:t>
      </w:r>
      <w:r>
        <w:rPr/>
        <w:t>EPS</w:t>
      </w:r>
      <w:r>
        <w:rPr/>
        <w:t>保留六位后乘</w:t>
      </w:r>
      <w:r>
        <w:rPr/>
        <w:t>PE</w:t>
      </w:r>
      <w:r>
        <w:rPr/>
        <w:t>和七点八汇率，价格末端两位圆整。经营率包含分部抵销、总部、折旧与股份成本，剔权证和金融资产重估噪音。税后负项不是报表单一财务费用，不声称按精确税率逐项重建。所有收入与股数均为十亿美元和十亿普通股，数值是假设且可复算，精细小数不意味着预测精确。</w:t>
      </w:r>
    </w:p>
    <w:p>
      <w:pPr>
        <w:pStyle w:val="Normal"/>
        <w:rPr/>
      </w:pPr>
      <w:r>
        <w:rPr/>
        <w:t>年底</w:t>
      </w:r>
      <w:r>
        <w:rPr/>
        <w:t>NTM</w:t>
      </w:r>
      <w:r>
        <w:rPr/>
        <w:t>收入悲观九百五十、基准一千零八十、乐观一千一百七十亿美元，</w:t>
      </w:r>
      <w:r>
        <w:rPr/>
        <w:t>EBIT</w:t>
      </w:r>
      <w:r>
        <w:rPr/>
        <w:t>率百分之三点五、五点五、六点七，税后融资归属净项负四点五、四、三点五亿美元；股数一百六十八、一百六十三、一百六十亿，</w:t>
      </w:r>
      <w:r>
        <w:rPr/>
        <w:t>PE</w:t>
      </w:r>
      <w:r>
        <w:rPr/>
        <w:t>十、十八、二十三倍。三价十点二六、三十七点四九、六十六点三九港元。基准正常盈利已明显高于旧年度，乐观要求高服务器利润维持；悲观没有假定清算，仅需求和倍数回到弱硬件情景，就可能有很大损失。</w:t>
      </w:r>
    </w:p>
    <w:p>
      <w:pPr>
        <w:pStyle w:val="Normal"/>
        <w:rPr/>
      </w:pPr>
      <w:r>
        <w:rPr/>
        <w:t>半年收入九百、一千一百四十、一千三百亿美元，</w:t>
      </w:r>
      <w:r>
        <w:rPr/>
        <w:t>EBIT</w:t>
      </w:r>
      <w:r>
        <w:rPr/>
        <w:t>率百分之三点四、五点八、七点一，税后净项负四点八、四、三点三亿，股数一百七十、一百六十三、一百五十九亿，</w:t>
      </w:r>
      <w:r>
        <w:rPr/>
        <w:t>PE</w:t>
      </w:r>
      <w:r>
        <w:rPr/>
        <w:t>九、十八点五、二十四。基准四十三点二九港元、股价上行三十一点八二；股息只有零点零九假设。它需要下一轮财报证明经营改进和现金，并非图形自然延长。若股价先回到目标而新信息不变，预期空间缩小，应重新排序，不能原样继续给予高推荐。</w:t>
      </w:r>
    </w:p>
    <w:p>
      <w:pPr>
        <w:pStyle w:val="Normal"/>
        <w:rPr/>
      </w:pPr>
      <w:r>
        <w:rPr/>
        <w:t>一年收入九百二十、一千二百五十、一千五百亿美元，</w:t>
      </w:r>
      <w:r>
        <w:rPr/>
        <w:t>EBIT</w:t>
      </w:r>
      <w:r>
        <w:rPr/>
        <w:t>率百分之三点四、六、七点四，税后净项负五、四点二、三点五亿，股数一百七十三、一百六十四、一百五十九亿，</w:t>
      </w:r>
      <w:r>
        <w:rPr/>
        <w:t>PE</w:t>
      </w:r>
      <w:r>
        <w:rPr/>
        <w:t>九、十九、二十四点五。基准</w:t>
      </w:r>
      <w:r>
        <w:rPr/>
        <w:t>EPS</w:t>
      </w:r>
      <w:r>
        <w:rPr/>
        <w:t>约零点三四零二四四美元、目标五十点四二港元，累计零点五五港元股息，含息上行五十五点二一。基准正常股东利润率代理约四点四六百分点，明显要求服务器与服务组合提升，若全集团回到旧低净率，必须撤销。</w:t>
      </w:r>
    </w:p>
    <w:p>
      <w:pPr>
        <w:pStyle w:val="Normal"/>
        <w:rPr/>
      </w:pPr>
      <w:r>
        <w:rPr/>
        <w:t>三年收入九百八十、一千七百、二千三百五十亿美元，</w:t>
      </w:r>
      <w:r>
        <w:rPr/>
        <w:t>EBIT</w:t>
      </w:r>
      <w:r>
        <w:rPr/>
        <w:t>率百分之三点三、六点五、八点二，税后项负六、五、四亿，股数一百八十二、一百六十六、一百五十九亿，</w:t>
      </w:r>
      <w:r>
        <w:rPr/>
        <w:t>PE</w:t>
      </w:r>
      <w:r>
        <w:rPr/>
        <w:t>八、二十、二十五。基准七十八点三八港元，加现金二点四后累计含息约一百四十五点九八，年化三十四点九九。这样高回报来自收入、盈利与倍数多因素叠加，不能称获利确定；悲观六点八一港元说明规模大和</w:t>
      </w:r>
      <w:r>
        <w:rPr/>
        <w:t>AI</w:t>
      </w:r>
      <w:r>
        <w:rPr/>
        <w:t>相关业务不保证长期资本保值。</w:t>
      </w:r>
    </w:p>
    <w:p>
      <w:pPr>
        <w:pStyle w:val="Normal"/>
        <w:rPr/>
      </w:pPr>
      <w:r>
        <w:rPr/>
        <w:t>五年收入一千零三十、二千一百、三千二百亿美元，</w:t>
      </w:r>
      <w:r>
        <w:rPr/>
        <w:t>EBIT</w:t>
      </w:r>
      <w:r>
        <w:rPr/>
        <w:t>率百分之三点二、六点八、八点六，税后项负七、五点五、四亿，股数一百九十二、一百六十九、一百六十亿，</w:t>
      </w:r>
      <w:r>
        <w:rPr/>
        <w:t>PE</w:t>
      </w:r>
      <w:r>
        <w:rPr/>
        <w:t>七点五、二十、二十五。基准一百点三八港元，累计现金四点七，含息年化二十六点一九；乐观二百六十三点四五需全球基础设施服务和设备份额持续扩大。基准仍有较高融资股数储备，未假设股份免费消失；二零三零债赎回或权证现金结算需重新检查现金与股息路径。</w:t>
      </w:r>
    </w:p>
    <w:p>
      <w:pPr>
        <w:pStyle w:val="Heading2"/>
        <w:rPr/>
      </w:pPr>
      <w:r>
        <w:rPr>
          <w:color w:val="000000"/>
        </w:rPr>
        <w:t>十六 估值敏感性与机构参照</w:t>
      </w:r>
    </w:p>
    <w:p>
      <w:pPr>
        <w:pStyle w:val="Normal"/>
        <w:rPr/>
      </w:pPr>
      <w:r>
        <w:rPr/>
        <w:t>一年基准</w:t>
      </w:r>
      <w:r>
        <w:rPr/>
        <w:t>EBIT</w:t>
      </w:r>
      <w:r>
        <w:rPr/>
        <w:t>率下降一个百分点，在其他假设不变时目标减少约九点零四港元，约现价两成七。</w:t>
      </w:r>
      <w:r>
        <w:rPr/>
        <w:t>PE</w:t>
      </w:r>
      <w:r>
        <w:rPr/>
        <w:t>每降一倍约少二点六五港元，经济股数增加一成约减少目标百分之九点一。利润率与倍数常在周期恶化同时下降，不能将每项只看作小误差；营运资金恶化又可能增加融资和股数。模型悲观联合反映这些影响，仍不包所有尾部。汇率七点八保持是假设，港币兑人民币回报另列，美元资料不能误当港币财务。</w:t>
      </w:r>
    </w:p>
    <w:p>
      <w:pPr>
        <w:pStyle w:val="Normal"/>
        <w:rPr/>
      </w:pPr>
      <w:r>
        <w:rPr/>
        <w:t>八月十四日公开新闻外资目标包括野村四十五港元买入、大摩四十六增持、麦格理六十六跑赢大市、摩通五十增持、高盛五十一买入、花旗五十买入。都是首季后报告，改善服务器盈利预测是主要共同点，但利润率、收入和估值选择不同，不能因机构众多就认定独立信息足够。新闻未提供完整原始研报和目标期限，本章不把所有目标硬说成十二个月。它们为一年估值参照，不能直接变成年底价格。</w:t>
      </w:r>
    </w:p>
    <w:p>
      <w:pPr>
        <w:pStyle w:val="Normal"/>
        <w:rPr/>
      </w:pPr>
      <w:r>
        <w:rPr/>
        <w:t>大摩新闻以二零二八财年十二点七倍估值，高盛用二零二七财年十八点五倍，摩通说未来十二个月盈利十八倍；这些是盈利估值基准，不是目标必达日期。大摩新闻</w:t>
      </w:r>
      <w:r>
        <w:rPr/>
        <w:t>pipeline</w:t>
      </w:r>
      <w:r>
        <w:rPr/>
        <w:t>五十四亿美元与公司原件五百四十亿美元有差异，本章不复制错误，也不因更大</w:t>
      </w:r>
      <w:r>
        <w:rPr/>
        <w:t>pipeline</w:t>
      </w:r>
      <w:r>
        <w:rPr/>
        <w:t>就提高所有预测。麦格理一千零八十亿美元收入、四十三亿美元调整净利假设可作为参照，仍受调利润和股数口径影响。机构目标不同反映假设而非可靠的价格边界。</w:t>
      </w:r>
    </w:p>
    <w:p>
      <w:pPr>
        <w:pStyle w:val="Normal"/>
        <w:rPr/>
      </w:pPr>
      <w:r>
        <w:rPr/>
        <w:t>本章一年基准五十点四二接近花旗摩通公开目标，属于独立桥计算的结果，不是简单取平均。年底基准三十七点四九较低，因为选择当时</w:t>
      </w:r>
      <w:r>
        <w:rPr/>
        <w:t>NTM</w:t>
      </w:r>
      <w:r>
        <w:rPr/>
        <w:t>收入利润与十八倍估值，未把一年目标按月份线性缩减。年底默认期望三十七点九零七五、上涨十五点四三；防御二十九点四八八、下跌十点二一；积极四十六点三二七、上涨四十一点零七。权重假设能改变短期优先级，表明当前价格在上涨之后已有较大预期与不确定性。</w:t>
      </w:r>
    </w:p>
    <w:p>
      <w:pPr>
        <w:pStyle w:val="Normal"/>
        <w:rPr/>
      </w:pPr>
      <w:r>
        <w:rPr/>
        <w:t>年底催化包括后续季度服务器和服务表现、客户机会转换为真实交付及现金、普通股资本结构更新和市场需求。已公布季度成绩是证据，未公布季度未来增长不是事实，不能混入基准日前信息集。下行可能来自供应、客户信用、</w:t>
      </w:r>
      <w:r>
        <w:rPr/>
        <w:t>PC</w:t>
      </w:r>
      <w:r>
        <w:rPr/>
        <w:t>需求、利润率和监管，权证结算选择也会影响资金。期望价只按三组情景加权，未拟合统计置信区间或最大亏损界。未来资料出现后必须全套模型更新，而不是只改目标表的一个价格。</w:t>
      </w:r>
    </w:p>
    <w:p>
      <w:pPr>
        <w:pStyle w:val="Heading2"/>
        <w:rPr/>
      </w:pPr>
      <w:r>
        <w:rPr>
          <w:color w:val="000000"/>
        </w:rPr>
        <w:t>十七 评分 反证与十年经营</w:t>
      </w:r>
    </w:p>
    <w:p>
      <w:pPr>
        <w:pStyle w:val="Normal"/>
        <w:rPr/>
      </w:pPr>
      <w:r>
        <w:rPr/>
        <w:t>半年六维估值三点三、技术三点四、经营三点六、行业四点二、催化四、风险二点八，加权六十九点七。技术长趋势较好但短期调整，经营转折强却现金弱，低风险分体现信用、融资和周期。一年相应三点八、三点四、三点九、四点三、四、二点八，得七十五点二。较长验证时间提高盈利信心与空间，也不消除风险；分数不能读成六成九或七成五的获利概率，和证据可信度独立列示。</w:t>
      </w:r>
    </w:p>
    <w:p>
      <w:pPr>
        <w:pStyle w:val="Normal"/>
        <w:rPr/>
      </w:pPr>
      <w:r>
        <w:rPr/>
        <w:t>三年估值四、技术三点四、经营四、行业四点四、催化三点八、风险二点六，得七十八；五年四、三点四、四点一、四点四、三点五、二点五，技术权重零，得七十七点四。行业空间大，经营质量和资本结构仍需多周期证据，因此分数没有只随目标价上涨提高。得分相差小于三分时应按统一研究规则视作近似梯队，比较基准含息与悲观损失，不根据小数差声称精确优劣。最终名次由全名单一起计算。</w:t>
      </w:r>
    </w:p>
    <w:p>
      <w:pPr>
        <w:pStyle w:val="Normal"/>
        <w:rPr/>
      </w:pPr>
      <w:r>
        <w:rPr/>
        <w:t>推翻推荐的经营证据包括服务器利润率很快回落而售价、客户和产品结构没有持续优势，服务增长依赖一次项目且利润抵销增加，</w:t>
      </w:r>
      <w:r>
        <w:rPr/>
        <w:t>PC</w:t>
      </w:r>
      <w:r>
        <w:rPr/>
        <w:t>市场份额靠长期低价维持。现金反证包括应收逾期、存货准备增加、经营现金长期落后调整利润、供应商信用收缩、新客户融资出现困难。资本反证包括权证现金支付消耗大量资金、可转债赎回需高成本再融资、激励与新增股数超模型范围。只要这些发生，必须重新计算价格和评分，不以</w:t>
      </w:r>
      <w:r>
        <w:rPr/>
        <w:t>AI</w:t>
      </w:r>
      <w:r>
        <w:rPr/>
        <w:t>标签维护原推荐。</w:t>
      </w:r>
    </w:p>
    <w:p>
      <w:pPr>
        <w:pStyle w:val="Normal"/>
        <w:rPr/>
      </w:pPr>
      <w:r>
        <w:rPr/>
        <w:t>正面验证是多个财季</w:t>
      </w:r>
      <w:r>
        <w:rPr/>
        <w:t>ISG</w:t>
      </w:r>
      <w:r>
        <w:rPr/>
        <w:t>盈利与毛利保持、客户交付带来现金回收、</w:t>
      </w:r>
      <w:r>
        <w:rPr/>
        <w:t>SSG</w:t>
      </w:r>
      <w:r>
        <w:rPr/>
        <w:t>收入与利润有可持续合同、</w:t>
      </w:r>
      <w:r>
        <w:rPr/>
        <w:t>IDG</w:t>
      </w:r>
      <w:r>
        <w:rPr/>
        <w:t>在成本和需求逆风维持质量，研发持续形成客户价值。资本结构有明确结算计划且融资成本合理，也能降低风险。若只是股价涨而业绩没有新证据，剩余回报下降；若股价跌但利润现金更强，估值可能改善。研究必须对称响应，不把强趋势当永久正确，也不把回调自动称洗盘和加仓机会。</w:t>
      </w:r>
    </w:p>
    <w:p>
      <w:pPr>
        <w:pStyle w:val="Normal"/>
        <w:rPr/>
      </w:pPr>
      <w:r>
        <w:rPr/>
        <w:t>十年经营持续性需要从卖设备转向提供可靠的混合计算、全球交付与企业服务能力，同时保留可持续每股现金。</w:t>
      </w:r>
      <w:r>
        <w:rPr/>
        <w:t>AI</w:t>
      </w:r>
      <w:r>
        <w:rPr/>
        <w:t>使用量、</w:t>
      </w:r>
      <w:r>
        <w:rPr/>
        <w:t>PC</w:t>
      </w:r>
      <w:r>
        <w:rPr/>
        <w:t>形态、云与本地分工可能改变，硬件技术和资本强度也会变化，不能只按今天</w:t>
      </w:r>
      <w:r>
        <w:rPr/>
        <w:t>GPU</w:t>
      </w:r>
      <w:r>
        <w:rPr/>
        <w:t>需求外推十年。联想全球渠道与供应链提供基础，未来仍面对芯片、模型、云客户与服务竞争。长期价值最终应体现在普通股经济权益增长，而非集团收入巨大但客户融资、权证或债务消耗所有收益。本章不造精确十年股价。</w:t>
      </w:r>
    </w:p>
    <w:p>
      <w:pPr>
        <w:pStyle w:val="Heading2"/>
        <w:rPr/>
      </w:pPr>
      <w:r>
        <w:rPr>
          <w:color w:val="000000"/>
        </w:rPr>
        <w:t>来源与版本记录</w:t>
      </w:r>
    </w:p>
    <w:p>
      <w:pPr>
        <w:pStyle w:val="Normal"/>
        <w:rPr/>
      </w:pPr>
      <w:r>
        <w:rPr/>
        <w:t>模型</w:t>
      </w:r>
      <w:r>
        <w:rPr/>
        <w:t>data/lenovo_model.json</w:t>
      </w:r>
      <w:r>
        <w:rPr/>
        <w:t>，</w:t>
      </w:r>
      <w:r>
        <w:rPr/>
        <w:t>lenovo-normalized-operating-dilution-v1.0</w:t>
      </w:r>
      <w:r>
        <w:rPr/>
        <w:t>；价格采用</w:t>
      </w:r>
      <w:r>
        <w:rPr/>
        <w:t>data/market_snapshot_locked.json</w:t>
      </w:r>
      <w:r>
        <w:rPr/>
        <w:t>。经济摊薄分母为研究判断，不宣称精确</w:t>
      </w:r>
      <w:r>
        <w:rPr/>
        <w:t>HKFRS</w:t>
      </w:r>
      <w:r>
        <w:rPr/>
        <w:t>单季计算。</w:t>
      </w:r>
    </w:p>
    <w:p>
      <w:pPr>
        <w:pStyle w:val="Normal"/>
        <w:rPr/>
      </w:pPr>
      <w:r>
        <w:rPr/>
        <w:t>- FY2025/26</w:t>
      </w:r>
      <w:r>
        <w:rPr/>
        <w:t>审计年报，业绩与审计签署</w:t>
      </w:r>
      <w:r>
        <w:rPr/>
        <w:t>2026-05-22</w:t>
      </w:r>
      <w:r>
        <w:rPr/>
        <w:t>：</w:t>
      </w:r>
      <w:r>
        <w:rPr/>
        <w:t>[</w:t>
      </w:r>
      <w:r>
        <w:rPr/>
        <w:t>原件</w:t>
      </w:r>
      <w:r>
        <w:rPr/>
        <w:t>](https://doc.irasia.com/listco/hk/lenovo/annual/2026/ar2026.pdf)</w:t>
      </w:r>
      <w:r>
        <w:rPr/>
        <w:t>；</w:t>
      </w:r>
      <w:r>
        <w:rPr/>
        <w:t>[</w:t>
      </w:r>
      <w:r>
        <w:rPr/>
        <w:t>年度结果</w:t>
      </w:r>
      <w:r>
        <w:rPr/>
        <w:t>](https://doc.irasia.com/listco/hk/lenovo/annual/2026/res.pdf)</w:t>
      </w:r>
      <w:r>
        <w:rPr/>
        <w:t>。年度截止</w:t>
      </w:r>
      <w:r>
        <w:rPr/>
        <w:t>3</w:t>
      </w:r>
      <w:r>
        <w:rPr/>
        <w:t>月</w:t>
      </w:r>
      <w:r>
        <w:rPr/>
        <w:t>31</w:t>
      </w:r>
      <w:r>
        <w:rPr/>
        <w:t>日，不当自然</w:t>
      </w:r>
      <w:r>
        <w:rPr/>
        <w:t>2026</w:t>
      </w:r>
      <w:r>
        <w:rPr/>
        <w:t>全年。</w:t>
      </w:r>
    </w:p>
    <w:p>
      <w:pPr>
        <w:pStyle w:val="Normal"/>
        <w:rPr/>
      </w:pPr>
      <w:r>
        <w:rPr/>
        <w:t>- FY2026/27</w:t>
      </w:r>
      <w:r>
        <w:rPr/>
        <w:t>首季结果，新闻</w:t>
      </w:r>
      <w:r>
        <w:rPr/>
        <w:t>2026-08-13</w:t>
      </w:r>
      <w:r>
        <w:rPr/>
        <w:t>：</w:t>
      </w:r>
      <w:r>
        <w:rPr/>
        <w:t>[</w:t>
      </w:r>
      <w:r>
        <w:rPr/>
        <w:t>公告</w:t>
      </w:r>
      <w:r>
        <w:rPr/>
        <w:t>](https://doc.irasia.com/listco/hk/lenovo/interim/2027/int1q.pdf)</w:t>
      </w:r>
      <w:r>
        <w:rPr/>
        <w:t>；</w:t>
      </w:r>
      <w:r>
        <w:rPr/>
        <w:t>[</w:t>
      </w:r>
      <w:r>
        <w:rPr/>
        <w:t>公司新闻原件</w:t>
      </w:r>
      <w:r>
        <w:rPr/>
        <w:t>](https://investor.lenovo.com/en/financial/results/press_2627_q1.pdf)</w:t>
      </w:r>
      <w:r>
        <w:rPr/>
        <w:t>；</w:t>
      </w:r>
      <w:r>
        <w:rPr/>
        <w:t>[</w:t>
      </w:r>
      <w:r>
        <w:rPr/>
        <w:t>演示</w:t>
      </w:r>
      <w:r>
        <w:rPr/>
        <w:t>](https://investor.lenovo.com/en/financial/results/presentation_2627_q1.pdf)</w:t>
      </w:r>
      <w:r>
        <w:rPr/>
        <w:t>。报表和新闻收入、利润、</w:t>
      </w:r>
      <w:r>
        <w:rPr/>
        <w:t>pipeline</w:t>
      </w:r>
      <w:r>
        <w:rPr/>
        <w:t>核对。</w:t>
      </w:r>
    </w:p>
    <w:p>
      <w:pPr>
        <w:pStyle w:val="Normal"/>
        <w:rPr/>
      </w:pPr>
      <w:r>
        <w:rPr/>
        <w:t xml:space="preserve">- </w:t>
      </w:r>
      <w:r>
        <w:rPr/>
        <w:t>九月股数月报</w:t>
      </w:r>
      <w:r>
        <w:rPr/>
        <w:t>2026-10-06</w:t>
      </w:r>
      <w:r>
        <w:rPr/>
        <w:t>：</w:t>
      </w:r>
      <w:r>
        <w:rPr/>
        <w:t>[</w:t>
      </w:r>
      <w:r>
        <w:rPr/>
        <w:t>原件</w:t>
      </w:r>
      <w:r>
        <w:rPr/>
        <w:t>](https://doc.irasia.com/listco/hk/lenovo/announcement/a261006.pdf)</w:t>
      </w:r>
      <w:r>
        <w:rPr/>
        <w:t>；</w:t>
      </w:r>
      <w:r>
        <w:rPr/>
        <w:t>2029</w:t>
      </w:r>
      <w:r>
        <w:rPr/>
        <w:t>可转债全部转换</w:t>
      </w:r>
      <w:r>
        <w:rPr/>
        <w:t>2026-09-14</w:t>
      </w:r>
      <w:r>
        <w:rPr/>
        <w:t>：</w:t>
      </w:r>
      <w:r>
        <w:rPr/>
        <w:t>[</w:t>
      </w:r>
      <w:r>
        <w:rPr/>
        <w:t>原件</w:t>
      </w:r>
      <w:r>
        <w:rPr/>
        <w:t>](https://doc.irasia.com/listco/hk/lenovo/announcement/a260914.pdf)</w:t>
      </w:r>
      <w:r>
        <w:rPr/>
        <w:t>；股东会结果</w:t>
      </w:r>
      <w:r>
        <w:rPr/>
        <w:t>2026-07-23</w:t>
      </w:r>
      <w:r>
        <w:rPr/>
        <w:t>：</w:t>
      </w:r>
      <w:r>
        <w:rPr/>
        <w:t>[</w:t>
      </w:r>
      <w:r>
        <w:rPr/>
        <w:t>原件</w:t>
      </w:r>
      <w:r>
        <w:rPr/>
        <w:t>](https://doc.irasia.com/listco/hk/lenovo/announcement/a260723.pdf)</w:t>
      </w:r>
      <w:r>
        <w:rPr/>
        <w:t>。已付末期</w:t>
      </w:r>
      <w:r>
        <w:rPr/>
        <w:t>0.337</w:t>
      </w:r>
      <w:r>
        <w:rPr/>
        <w:t>港元不计未来。</w:t>
      </w:r>
    </w:p>
    <w:p>
      <w:pPr>
        <w:pStyle w:val="Normal"/>
        <w:rPr/>
      </w:pPr>
      <w:r>
        <w:rPr/>
        <w:t xml:space="preserve">- </w:t>
      </w:r>
      <w:r>
        <w:rPr/>
        <w:t>八月十四日外资新闻：</w:t>
      </w:r>
      <w:r>
        <w:rPr/>
        <w:t>[</w:t>
      </w:r>
      <w:r>
        <w:rPr/>
        <w:t>野村</w:t>
      </w:r>
      <w:r>
        <w:rPr/>
        <w:t>](https://www.aastocks.com/sc/stocks/analysis/stock-aafn-con/00992/AAFN/NOW.1538420/research-report)</w:t>
      </w:r>
      <w:r>
        <w:rPr/>
        <w:t>、</w:t>
      </w:r>
      <w:r>
        <w:rPr/>
        <w:t>[</w:t>
      </w:r>
      <w:r>
        <w:rPr/>
        <w:t>大摩</w:t>
      </w:r>
      <w:r>
        <w:rPr/>
        <w:t>](https://www.aastocks.com/sc/stocks/analysis/stock-aafn-con/00992/AAFN/NOW.1538339/research-report)</w:t>
      </w:r>
      <w:r>
        <w:rPr/>
        <w:t>、</w:t>
      </w:r>
      <w:r>
        <w:rPr/>
        <w:t>[</w:t>
      </w:r>
      <w:r>
        <w:rPr/>
        <w:t>麦格理</w:t>
      </w:r>
      <w:r>
        <w:rPr/>
        <w:t>](https://www.aastocks.com/sc/stocks/analysis/stock-aafn-con/00992/AAFN/NOW.1538336/research-report)</w:t>
      </w:r>
      <w:r>
        <w:rPr/>
        <w:t>、</w:t>
      </w:r>
      <w:r>
        <w:rPr/>
        <w:t>[</w:t>
      </w:r>
      <w:r>
        <w:rPr/>
        <w:t>摩通</w:t>
      </w:r>
      <w:r>
        <w:rPr/>
        <w:t>](https://www.aastocks.com/sc/stocks/analysis/stock-aafn-con/00992/AAFN/NOW.1538294/research-report)</w:t>
      </w:r>
      <w:r>
        <w:rPr/>
        <w:t>、</w:t>
      </w:r>
      <w:r>
        <w:rPr/>
        <w:t>[</w:t>
      </w:r>
      <w:r>
        <w:rPr/>
        <w:t>高盛</w:t>
      </w:r>
      <w:r>
        <w:rPr/>
        <w:t>](https://www.aastocks.com/sc/stocks/analysis/stock-aafn-con/00992/AAFN/NOW.1538288/research-report)</w:t>
      </w:r>
      <w:r>
        <w:rPr/>
        <w:t>、</w:t>
      </w:r>
      <w:r>
        <w:rPr/>
        <w:t>[</w:t>
      </w:r>
      <w:r>
        <w:rPr/>
        <w:t>花旗</w:t>
      </w:r>
      <w:r>
        <w:rPr/>
        <w:t>](https://www.aastocks.com/sc/stocks/analysis/stock-aafn-con/00992/AAFN/NOW.1538278/research-report)</w:t>
      </w:r>
      <w:r>
        <w:rPr/>
        <w:t>。转载有单位误差，以公司主源为准；目标期限均未独立核验。</w:t>
      </w:r>
      <w:r>
        <w:br w:type="page"/>
      </w:r>
    </w:p>
    <w:p>
      <w:pPr>
        <w:pStyle w:val="Heading1"/>
        <w:rPr/>
      </w:pPr>
      <w:bookmarkStart w:id="4" w:name="__RefHeading___Toc21198_312338234"/>
      <w:bookmarkEnd w:id="4"/>
      <w:r>
        <w:rPr>
          <w:color w:val="000000"/>
        </w:rPr>
        <w:t xml:space="preserve">金蝶国际 </w:t>
      </w:r>
      <w:r>
        <w:rPr>
          <w:color w:val="000000"/>
        </w:rPr>
        <w:t>00268 HK</w:t>
      </w:r>
    </w:p>
    <w:p>
      <w:pPr>
        <w:pStyle w:val="Normal"/>
        <w:rPr/>
      </w:pPr>
      <w:r>
        <w:rPr/>
        <w:t xml:space="preserve">00268.HK </w:t>
      </w:r>
      <w:r>
        <w:rPr/>
        <w:t xml:space="preserve">现价 </w:t>
      </w:r>
      <w:r>
        <w:rPr/>
        <w:t>7.83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68.20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9.93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+26.74%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+26.74%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74.00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11.22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+43.20%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77.10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14.30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+82.51%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+84.05%</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15.17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+93.62%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+98.72%</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-60.56%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9.21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+17.55%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14.06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+79.45%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8.89HKD</w:t>
      </w:r>
      <w:r>
        <w:rPr/>
        <w:t>，期望股价回报</w:t>
      </w:r>
      <w:r>
        <w:rPr/>
        <w:t>+13.50%</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2.82</w:t>
              <w:br/>
              <w:t>-64.01%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9.93</w:t>
              <w:br/>
              <w:t>+26.74%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15.93</w:t>
              <w:br/>
              <w:t>+103.32%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2.50</w:t>
              <w:br/>
              <w:t>-68.09%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11.22</w:t>
              <w:br/>
              <w:t>+43.20%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18.33</w:t>
              <w:br/>
              <w:t>+133.95%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1.87</w:t>
              <w:br/>
              <w:t>-76.13%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14.30</w:t>
              <w:br/>
              <w:t>+82.51%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26.95</w:t>
              <w:br/>
              <w:t>+243.97%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+22.55%</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1.24</w:t>
              <w:br/>
              <w:t>-84.17%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15.17</w:t>
              <w:br/>
              <w:t>+93.62%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35.84</w:t>
              <w:br/>
              <w:t>+357.43%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+14.72%</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中：价格双源与报表高；终值定价、续费新分类、未来现金及机构目标期限中低</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+20.40%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+26.74%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+33.08%</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+36.04%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+43.20%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+50.36%</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+74.84%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+84.05%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+93.25%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+88.79%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+98.72%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+108.66%</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I090</w:t>
      </w:r>
      <w:r>
        <w:rPr/>
        <w:t>，证券</w:t>
      </w:r>
      <w:r>
        <w:rPr/>
        <w:t>S101</w:t>
      </w:r>
      <w:r>
        <w:rPr/>
        <w:t>，</w:t>
      </w:r>
      <w:r>
        <w:rPr/>
        <w:t>00268.HK</w:t>
      </w:r>
      <w:r>
        <w:rPr/>
        <w:t>；独立研究初版。资料截止与收盘基准均为</w:t>
      </w:r>
      <w:r>
        <w:rPr/>
        <w:t>2026</w:t>
      </w:r>
      <w:r>
        <w:rPr/>
        <w:t>年</w:t>
      </w:r>
      <w:r>
        <w:rPr/>
        <w:t>10</w:t>
      </w:r>
      <w:r>
        <w:rPr/>
        <w:t>月</w:t>
      </w:r>
      <w:r>
        <w:rPr/>
        <w:t>9</w:t>
      </w:r>
      <w:r>
        <w:rPr/>
        <w:t>日，现价</w:t>
      </w:r>
      <w:r>
        <w:rPr/>
        <w:t>7.835</w:t>
      </w:r>
      <w:r>
        <w:rPr/>
        <w:t>港元。年报采用人民币，模型人民币兑港币</w:t>
      </w:r>
      <w:r>
        <w:rPr/>
        <w:t>1.10</w:t>
      </w:r>
      <w:r>
        <w:rPr/>
        <w:t>仅为研究假设。公司原始年报、半年结果、中报及九月股数月报已保存。有效正文排除本段、结论卡、标题、表格、来源和共同宏观。</w:t>
      </w:r>
    </w:p>
    <w:p>
      <w:pPr>
        <w:pStyle w:val="Heading2"/>
        <w:rPr/>
      </w:pPr>
      <w:r>
        <w:rPr>
          <w:color w:val="000000"/>
        </w:rPr>
        <w:t>结论卡</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推荐判断</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悲观／基准／乐观港元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基准股价／含息回报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观察突破与全年现金</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2.82</w:t>
            </w:r>
            <w:r>
              <w:rPr>
                <w:rFonts w:ascii="微软雅黑" w:hAnsi="微软雅黑" w:eastAsia="微软雅黑"/>
                <w:sz w:val="17"/>
              </w:rPr>
              <w:t>／</w:t>
            </w:r>
            <w:r>
              <w:rPr>
                <w:rFonts w:eastAsia="微软雅黑" w:ascii="微软雅黑" w:hAnsi="微软雅黑"/>
                <w:sz w:val="17"/>
              </w:rPr>
              <w:t>9.93</w:t>
            </w:r>
            <w:r>
              <w:rPr>
                <w:rFonts w:ascii="微软雅黑" w:hAnsi="微软雅黑" w:eastAsia="微软雅黑"/>
                <w:sz w:val="17"/>
              </w:rPr>
              <w:t>／</w:t>
            </w:r>
            <w:r>
              <w:rPr>
                <w:rFonts w:eastAsia="微软雅黑" w:ascii="微软雅黑" w:hAnsi="微软雅黑"/>
                <w:sz w:val="17"/>
              </w:rPr>
              <w:t>15.93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26.74%</w:t>
            </w:r>
            <w:r>
              <w:rPr>
                <w:rFonts w:ascii="微软雅黑" w:hAnsi="微软雅黑" w:eastAsia="微软雅黑"/>
                <w:sz w:val="17"/>
              </w:rPr>
              <w:t>／</w:t>
            </w:r>
            <w:r>
              <w:rPr>
                <w:rFonts w:eastAsia="微软雅黑" w:ascii="微软雅黑" w:hAnsi="微软雅黑"/>
                <w:sz w:val="17"/>
              </w:rPr>
              <w:t>26.74%</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有条件订阅盈利改善</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2.50</w:t>
            </w:r>
            <w:r>
              <w:rPr>
                <w:rFonts w:ascii="微软雅黑" w:hAnsi="微软雅黑" w:eastAsia="微软雅黑"/>
                <w:sz w:val="17"/>
              </w:rPr>
              <w:t>／</w:t>
            </w:r>
            <w:r>
              <w:rPr>
                <w:rFonts w:eastAsia="微软雅黑" w:ascii="微软雅黑" w:hAnsi="微软雅黑"/>
                <w:sz w:val="17"/>
              </w:rPr>
              <w:t>11.22</w:t>
            </w:r>
            <w:r>
              <w:rPr>
                <w:rFonts w:ascii="微软雅黑" w:hAnsi="微软雅黑" w:eastAsia="微软雅黑"/>
                <w:sz w:val="17"/>
              </w:rPr>
              <w:t>／</w:t>
            </w:r>
            <w:r>
              <w:rPr>
                <w:rFonts w:eastAsia="微软雅黑" w:ascii="微软雅黑" w:hAnsi="微软雅黑"/>
                <w:sz w:val="17"/>
              </w:rPr>
              <w:t>18.33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43.20%</w:t>
            </w:r>
            <w:r>
              <w:rPr>
                <w:rFonts w:ascii="微软雅黑" w:hAnsi="微软雅黑" w:eastAsia="微软雅黑"/>
                <w:sz w:val="17"/>
              </w:rPr>
              <w:t>／</w:t>
            </w:r>
            <w:r>
              <w:rPr>
                <w:rFonts w:eastAsia="微软雅黑" w:ascii="微软雅黑" w:hAnsi="微软雅黑"/>
                <w:sz w:val="17"/>
              </w:rPr>
              <w:t>43.20%</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企业管理平台成长候选</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1.87</w:t>
            </w:r>
            <w:r>
              <w:rPr>
                <w:rFonts w:ascii="微软雅黑" w:hAnsi="微软雅黑" w:eastAsia="微软雅黑"/>
                <w:sz w:val="17"/>
              </w:rPr>
              <w:t>／</w:t>
            </w:r>
            <w:r>
              <w:rPr>
                <w:rFonts w:eastAsia="微软雅黑" w:ascii="微软雅黑" w:hAnsi="微软雅黑"/>
                <w:sz w:val="17"/>
              </w:rPr>
              <w:t>14.30</w:t>
            </w:r>
            <w:r>
              <w:rPr>
                <w:rFonts w:ascii="微软雅黑" w:hAnsi="微软雅黑" w:eastAsia="微软雅黑"/>
                <w:sz w:val="17"/>
              </w:rPr>
              <w:t>／</w:t>
            </w:r>
            <w:r>
              <w:rPr>
                <w:rFonts w:eastAsia="微软雅黑" w:ascii="微软雅黑" w:hAnsi="微软雅黑"/>
                <w:sz w:val="17"/>
              </w:rPr>
              <w:t>26.95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82.51%</w:t>
            </w:r>
            <w:r>
              <w:rPr>
                <w:rFonts w:ascii="微软雅黑" w:hAnsi="微软雅黑" w:eastAsia="微软雅黑"/>
                <w:sz w:val="17"/>
              </w:rPr>
              <w:t>／</w:t>
            </w:r>
            <w:r>
              <w:rPr>
                <w:rFonts w:eastAsia="微软雅黑" w:ascii="微软雅黑" w:hAnsi="微软雅黑"/>
                <w:sz w:val="17"/>
              </w:rPr>
              <w:t>84.05%</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现金质量与</w:t>
            </w:r>
            <w:r>
              <w:rPr>
                <w:rFonts w:eastAsia="微软雅黑" w:ascii="微软雅黑" w:hAnsi="微软雅黑"/>
                <w:sz w:val="17"/>
              </w:rPr>
              <w:t>AI</w:t>
            </w:r>
            <w:r>
              <w:rPr>
                <w:rFonts w:ascii="微软雅黑" w:hAnsi="微软雅黑" w:eastAsia="微软雅黑"/>
                <w:sz w:val="17"/>
              </w:rPr>
              <w:t>终值优先</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1.24</w:t>
            </w:r>
            <w:r>
              <w:rPr>
                <w:rFonts w:ascii="微软雅黑" w:hAnsi="微软雅黑" w:eastAsia="微软雅黑"/>
                <w:sz w:val="17"/>
              </w:rPr>
              <w:t>／</w:t>
            </w:r>
            <w:r>
              <w:rPr>
                <w:rFonts w:eastAsia="微软雅黑" w:ascii="微软雅黑" w:hAnsi="微软雅黑"/>
                <w:sz w:val="17"/>
              </w:rPr>
              <w:t>15.17</w:t>
            </w:r>
            <w:r>
              <w:rPr>
                <w:rFonts w:ascii="微软雅黑" w:hAnsi="微软雅黑" w:eastAsia="微软雅黑"/>
                <w:sz w:val="17"/>
              </w:rPr>
              <w:t>／</w:t>
            </w:r>
            <w:r>
              <w:rPr>
                <w:rFonts w:eastAsia="微软雅黑" w:ascii="微软雅黑" w:hAnsi="微软雅黑"/>
                <w:sz w:val="17"/>
              </w:rPr>
              <w:t>35.84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93.62%</w:t>
            </w:r>
            <w:r>
              <w:rPr>
                <w:rFonts w:ascii="微软雅黑" w:hAnsi="微软雅黑" w:eastAsia="微软雅黑"/>
                <w:sz w:val="17"/>
              </w:rPr>
              <w:t>／</w:t>
            </w:r>
            <w:r>
              <w:rPr>
                <w:rFonts w:eastAsia="微软雅黑" w:ascii="微软雅黑" w:hAnsi="微软雅黑"/>
                <w:sz w:val="17"/>
              </w:rPr>
              <w:t>98.72%</w:t>
            </w:r>
          </w:p>
        </w:tc>
      </w:tr>
    </w:tbl>
    <w:p>
      <w:pPr>
        <w:pStyle w:val="Normal"/>
        <w:rPr/>
      </w:pPr>
      <w:r>
        <w:rPr/>
      </w:r>
    </w:p>
    <w:p>
      <w:pPr>
        <w:pStyle w:val="Normal"/>
        <w:rPr/>
      </w:pPr>
      <w:r>
        <w:rPr/>
        <w:t>基准三年、五年含息年化</w:t>
      </w:r>
      <w:r>
        <w:rPr/>
        <w:t>22.55%</w:t>
      </w:r>
      <w:r>
        <w:rPr/>
        <w:t>、</w:t>
      </w:r>
      <w:r>
        <w:rPr/>
        <w:t>14.72%</w:t>
      </w:r>
      <w:r>
        <w:rPr/>
        <w:t>。未来累计股息半年</w:t>
      </w:r>
      <w:r>
        <w:rPr/>
        <w:t>0</w:t>
      </w:r>
      <w:r>
        <w:rPr/>
        <w:t>／</w:t>
      </w:r>
      <w:r>
        <w:rPr/>
        <w:t>0</w:t>
      </w:r>
      <w:r>
        <w:rPr/>
        <w:t>／</w:t>
      </w:r>
      <w:r>
        <w:rPr/>
        <w:t>0</w:t>
      </w:r>
      <w:r>
        <w:rPr/>
        <w:t>、一年</w:t>
      </w:r>
      <w:r>
        <w:rPr/>
        <w:t>0</w:t>
      </w:r>
      <w:r>
        <w:rPr/>
        <w:t>／</w:t>
      </w:r>
      <w:r>
        <w:rPr/>
        <w:t>0</w:t>
      </w:r>
      <w:r>
        <w:rPr/>
        <w:t>／</w:t>
      </w:r>
      <w:r>
        <w:rPr/>
        <w:t>0.03</w:t>
      </w:r>
      <w:r>
        <w:rPr/>
        <w:t>、三年</w:t>
      </w:r>
      <w:r>
        <w:rPr/>
        <w:t>0</w:t>
      </w:r>
      <w:r>
        <w:rPr/>
        <w:t>／</w:t>
      </w:r>
      <w:r>
        <w:rPr/>
        <w:t>0.12</w:t>
      </w:r>
      <w:r>
        <w:rPr/>
        <w:t>／</w:t>
      </w:r>
      <w:r>
        <w:rPr/>
        <w:t>0.30</w:t>
      </w:r>
      <w:r>
        <w:rPr/>
        <w:t>、五年</w:t>
      </w:r>
      <w:r>
        <w:rPr/>
        <w:t>0</w:t>
      </w:r>
      <w:r>
        <w:rPr/>
        <w:t>／</w:t>
      </w:r>
      <w:r>
        <w:rPr/>
        <w:t>0.40</w:t>
      </w:r>
      <w:r>
        <w:rPr/>
        <w:t>／</w:t>
      </w:r>
      <w:r>
        <w:rPr/>
        <w:t>1.10</w:t>
      </w:r>
      <w:r>
        <w:rPr/>
        <w:t>港元，均为研究判断。</w:t>
      </w:r>
      <w:r>
        <w:rPr/>
        <w:t>2026</w:t>
      </w:r>
      <w:r>
        <w:rPr/>
        <w:t>上半年未建议派息。</w:t>
      </w:r>
    </w:p>
    <w:p>
      <w:pPr>
        <w:pStyle w:val="Normal"/>
        <w:rPr/>
      </w:pPr>
      <w:r>
        <w:rPr/>
        <w:t>年底悲观／基准／乐观</w:t>
      </w:r>
      <w:r>
        <w:rPr/>
        <w:t>3.09</w:t>
      </w:r>
      <w:r>
        <w:rPr/>
        <w:t>／</w:t>
      </w:r>
      <w:r>
        <w:rPr/>
        <w:t>9.21</w:t>
      </w:r>
      <w:r>
        <w:rPr/>
        <w:t>／</w:t>
      </w:r>
      <w:r>
        <w:rPr/>
        <w:t>14.06</w:t>
      </w:r>
      <w:r>
        <w:rPr/>
        <w:t>港元，涨跌−</w:t>
      </w:r>
      <w:r>
        <w:rPr/>
        <w:t>60.56%</w:t>
      </w:r>
      <w:r>
        <w:rPr/>
        <w:t>／</w:t>
      </w:r>
      <w:r>
        <w:rPr/>
        <w:t>+17.55%</w:t>
      </w:r>
      <w:r>
        <w:rPr/>
        <w:t>／</w:t>
      </w:r>
      <w:r>
        <w:rPr/>
        <w:t>+79.45%</w:t>
      </w:r>
      <w:r>
        <w:rPr/>
        <w:t>；判断权重</w:t>
      </w:r>
      <w:r>
        <w:rPr/>
        <w:t>25%</w:t>
      </w:r>
      <w:r>
        <w:rPr/>
        <w:t>／</w:t>
      </w:r>
      <w:r>
        <w:rPr/>
        <w:t>50%</w:t>
      </w:r>
      <w:r>
        <w:rPr/>
        <w:t>／</w:t>
      </w:r>
      <w:r>
        <w:rPr/>
        <w:t>25%</w:t>
      </w:r>
      <w:r>
        <w:rPr/>
        <w:t>期望</w:t>
      </w:r>
      <w:r>
        <w:rPr/>
        <w:t>8.8925</w:t>
      </w:r>
      <w:r>
        <w:rPr/>
        <w:t>港元、</w:t>
      </w:r>
      <w:r>
        <w:rPr/>
        <w:t>+13.50%</w:t>
      </w:r>
      <w:r>
        <w:rPr/>
        <w:t>。防御</w:t>
      </w:r>
      <w:r>
        <w:rPr/>
        <w:t>40%</w:t>
      </w:r>
      <w:r>
        <w:rPr/>
        <w:t>／</w:t>
      </w:r>
      <w:r>
        <w:rPr/>
        <w:t>50%</w:t>
      </w:r>
      <w:r>
        <w:rPr/>
        <w:t>／</w:t>
      </w:r>
      <w:r>
        <w:rPr/>
        <w:t>10%</w:t>
      </w:r>
      <w:r>
        <w:rPr/>
        <w:t>期望</w:t>
      </w:r>
      <w:r>
        <w:rPr/>
        <w:t>7.247</w:t>
      </w:r>
      <w:r>
        <w:rPr/>
        <w:t>港元、−</w:t>
      </w:r>
      <w:r>
        <w:rPr/>
        <w:t>7.50%</w:t>
      </w:r>
      <w:r>
        <w:rPr/>
        <w:t>；积极</w:t>
      </w:r>
      <w:r>
        <w:rPr/>
        <w:t>10%</w:t>
      </w:r>
      <w:r>
        <w:rPr/>
        <w:t>／</w:t>
      </w:r>
      <w:r>
        <w:rPr/>
        <w:t>50%</w:t>
      </w:r>
      <w:r>
        <w:rPr/>
        <w:t>／</w:t>
      </w:r>
      <w:r>
        <w:rPr/>
        <w:t>40%</w:t>
      </w:r>
      <w:r>
        <w:rPr/>
        <w:t>期望</w:t>
      </w:r>
      <w:r>
        <w:rPr/>
        <w:t>10.538</w:t>
      </w:r>
      <w:r>
        <w:rPr/>
        <w:t>港元、</w:t>
      </w:r>
      <w:r>
        <w:rPr/>
        <w:t>+34.50%</w:t>
      </w:r>
      <w:r>
        <w:rPr/>
        <w:t>。情景不是统计区间，悲观价不是最大损失。</w:t>
      </w:r>
    </w:p>
    <w:p>
      <w:pPr>
        <w:pStyle w:val="Normal"/>
        <w:rPr/>
      </w:pPr>
      <w:r>
        <w:rPr/>
        <w:t>主要风险为</w:t>
      </w:r>
      <w:r>
        <w:rPr/>
        <w:t>AI</w:t>
      </w:r>
      <w:r>
        <w:rPr/>
        <w:t>代理侵蚀软件定价、订阅净扩张不足、实施成本、研发资本化现金、预收履约、股份激励、非上市资产和海外投入。结论成立需要新签约转收入、收入转现金、客户数据与可审计执行形成持续付费理由。综合证据中等，报表与行情较高，未来现金和终值较低。名次与推荐梯队由全部股票总榜统一生成。</w:t>
      </w:r>
    </w:p>
    <w:p>
      <w:pPr>
        <w:pStyle w:val="Heading2"/>
        <w:rPr/>
      </w:pPr>
      <w:r>
        <w:rPr>
          <w:color w:val="000000"/>
        </w:rPr>
        <w:t>一 研究问题与经营位置</w:t>
      </w:r>
    </w:p>
    <w:p>
      <w:pPr>
        <w:pStyle w:val="Normal"/>
        <w:rPr/>
      </w:pPr>
      <w:r>
        <w:rPr/>
        <w:t>金蝶的投资价值来自企业管理流程的长期积累，以及订阅收入扩张能否留下足够现金。它与消费互联网不同，客户买的是财务、供应链、制造和组织管理的连续运行能力。系统更换涉及数据迁移、权限重设、流程对接和人员培训，已经上线的核心系统通常不会因为一款新工具界面更好看就立即被替换。不过，转换成本只能保护已有业务，不能自动证明每年提价和跨售都能成功。研究应同时检验客户留存、交付效率及普通股回报。</w:t>
      </w:r>
    </w:p>
    <w:p>
      <w:pPr>
        <w:pStyle w:val="Normal"/>
        <w:rPr/>
      </w:pPr>
      <w:r>
        <w:rPr/>
        <w:t>截至基准日，公司已结束多年年度归母亏损，二零二五年归母盈利九千二百九十一点四万元，二零二六年上半年归母盈利五千四百四十九点七万元。经营方向确实改善，但规模与市值之间仍有很大距离。法定利润包含租金、税收抵免及有限财资，核心软件营业结果仍有压力。因此，不能因扭亏就套用成熟盈利公司的低倍数直觉，也不能因短期利润小就把长期平台价值全部归零。需要建立收入、正常现金和融资之间的桥。</w:t>
      </w:r>
    </w:p>
    <w:p>
      <w:pPr>
        <w:pStyle w:val="Normal"/>
        <w:rPr/>
      </w:pPr>
      <w:r>
        <w:rPr/>
        <w:t>本章更看好一年至三年的验证机会，半年只给观察候选。前者可以看到新产品付费、订阅续费和完整年度现金，后者往往先由估值情绪及技术形态驱动。五年得分略低于三年，是因为时间增加会放大人工智能定价结构的不确定性。生成代码与代理执行可能扩大可服务客户，也可能减少传统软件座席。投资期限变长，并不意味着风险自动降低，必须说明企业在新技术下仍能持续收费的理由。</w:t>
      </w:r>
    </w:p>
    <w:p>
      <w:pPr>
        <w:pStyle w:val="Normal"/>
        <w:rPr/>
      </w:pPr>
      <w:r>
        <w:rPr/>
        <w:t>进取型标准重视上行，但本章没有将最高机构目标当作必达价格。基准一年十一点二二港元，对应约四成三价格上行；悲观两点五零港元，意味着现金和终值同时受挫时损失可能远大于预期收益。两者不是对称的交易赔率保证。公司的价值取决于客户预算、产品竞争和现金转换，股价还受香港市场风险溢价影响。即使业务增长达到预期，投资者支付的倍数也可能下降，导致收益兑现较慢。</w:t>
      </w:r>
    </w:p>
    <w:p>
      <w:pPr>
        <w:pStyle w:val="Heading2"/>
        <w:rPr/>
      </w:pPr>
      <w:r>
        <w:rPr>
          <w:color w:val="000000"/>
        </w:rPr>
        <w:t>二 收入地图与产品变现</w:t>
      </w:r>
    </w:p>
    <w:p>
      <w:pPr>
        <w:pStyle w:val="Normal"/>
        <w:rPr/>
      </w:pPr>
      <w:r>
        <w:rPr/>
        <w:t>二零二五年收入七十点零六零三六亿元，云服务五十七点八二一六七亿元，占比约八成二点五。二零二六年上半年收入三十六点二五四二二亿元，云服务三十一点一六一九一亿元，占比八成六。云收入比重上升说明转型继续推进，但云服务同时包括订阅、项目实施和其他服务，不能把全部云收入都视为高毛利的纯软件许可。模型把这些收入放入一个云业务价值块，充分考虑混合交付成本。</w:t>
      </w:r>
    </w:p>
    <w:p>
      <w:pPr>
        <w:pStyle w:val="Normal"/>
        <w:rPr/>
      </w:pPr>
      <w:r>
        <w:rPr/>
        <w:t>半年订阅收入二十点二八零零三亿元，同比增加两成零点四；期末年度经常性收入约四十四点一三亿元，同比增加一成八点三。订阅收入是在期间确认的收入，经常性收入是某一时点的年度化合同指标，两者不能直接相加，也不应把经常性收入当作未来十二个月无条件到账的现金。客户可能改变续费规模、折扣及产品组合，合同还可能存在实施先决条件。两者同步上升是好证据，但尚不足以替代现金流检验。</w:t>
      </w:r>
    </w:p>
    <w:p>
      <w:pPr>
        <w:pStyle w:val="Normal"/>
        <w:rPr/>
      </w:pPr>
      <w:r>
        <w:rPr/>
        <w:t>半年法定收入按订阅及软件、实施咨询维护及其他分为二十三点零零五九亿元、十三点二四八三二亿元；对应毛利二十二点一九四二九亿元、二点三六四八三亿元。前者直接毛利极高，后者毛利率约一成七点八五，但研发、销售及管理并不都计入这两个收入块的直接成本。不能由订阅及软件九成以上直接毛利推导集团能获得同样净利率。真正的经营杠杆来自共同产品成本和获客投入被更大客户规模摊薄。</w:t>
      </w:r>
    </w:p>
    <w:p>
      <w:pPr>
        <w:pStyle w:val="Normal"/>
        <w:rPr/>
      </w:pPr>
      <w:r>
        <w:rPr/>
        <w:t>企业级软件的实施费用未必是不好的收入。大型制造或国资客户需要系统配置、历史数据清理、业务流程梳理和接口对接，实施是产品能够稳定收费的前提。问题在于项目能否形成可复制行业模板，而不是每一单重新开发。如果大型客户对专属功能不断提出需求，交付收入增长也可能伴随外包、顾问和研发成本增加。分析必须区分一次性深度定制与复用产品，不能把大客户签约金额全部看作高质量年金。</w:t>
      </w:r>
    </w:p>
    <w:p>
      <w:pPr>
        <w:pStyle w:val="Normal"/>
        <w:rPr/>
      </w:pPr>
      <w:r>
        <w:rPr/>
        <w:t>二零二六年中报开始突出人工智能原生产品和人工智能加软件服务分类。原生收入约二点九六亿元，同比增加一百八十九个百分点，其中订阅约一点四六亿元；合同金额六点零五亿元。人工智能加软件产品收入约二十七点七亿元，订阅约十六点七亿元。经营分类与法定收入分类有重合，也未完整披露独立成本及抵销，不能直接求和建立新的集团收入，更不能把人工智能收入另加到现有云收入的估值上。</w:t>
      </w:r>
    </w:p>
    <w:p>
      <w:pPr>
        <w:pStyle w:val="Normal"/>
        <w:rPr/>
      </w:pPr>
      <w:r>
        <w:rPr/>
        <w:t>原生产品收入约占半年集团收入八点二个百分点，订阅收入约占原生收入的一半。这个规模足以说明货币化开始，但距离由原生业务独自支撑全部市值仍较远。合同额增长快于收入可能来自新签约、实施周期和合同长度变化，不应直接理解为现金会同比例增长。研究关注的是签约后的上线、付费扩展、使用频率和持续成本。合同规模很大而使用率、续费及现金较弱，会推翻高质量增长判断。</w:t>
      </w:r>
    </w:p>
    <w:p>
      <w:pPr>
        <w:pStyle w:val="Normal"/>
        <w:rPr/>
      </w:pPr>
      <w:r>
        <w:rPr/>
        <w:t>灵基企业代理操作系统于五月二十日推出，半年材料称已签二十六个客户，部署超过四十个代理。代理覆盖财务、供应链、采购和制造，定位为企业统一人工智能入口。客户数和代理数只说明早期部署，不等于全部付费成熟产品，也没有公开足够信息计算每客户终身价值。模型没有将部署数量乘以任意客单价创造收入。未来应看同一批客户的付费扩展和交易执行是否长期稳定，而非仅追踪新增发布功能。</w:t>
      </w:r>
    </w:p>
    <w:p>
      <w:pPr>
        <w:pStyle w:val="Normal"/>
        <w:rPr/>
      </w:pPr>
      <w:r>
        <w:rPr/>
        <w:t>企业入口的价值在于将组织知识、业务规则和权限连成可治理的上下文。通用模型可以写文字和代码，却不天然知道某家企业付款审批层级、供应商信用、税务科目及制造约束。金蝶可利用既有结构化数据和流程建立服务优势。这个优势依赖数据质量、接口和规则治理，无法用客户累计数量直接量化。若数据散落在其他系统，或者客户坚持采用开放代理编排，金蝶的入口控制力就会受到限制。</w:t>
      </w:r>
    </w:p>
    <w:p>
      <w:pPr>
        <w:pStyle w:val="Heading2"/>
        <w:rPr/>
      </w:pPr>
      <w:r>
        <w:rPr>
          <w:color w:val="000000"/>
        </w:rPr>
        <w:t>三 竞争优势与可被替代的环节</w:t>
      </w:r>
    </w:p>
    <w:p>
      <w:pPr>
        <w:pStyle w:val="Normal"/>
        <w:rPr/>
      </w:pPr>
      <w:r>
        <w:rPr/>
        <w:t>大型企业选择管理系统时，稳定运行与审计可追踪往往比一次演示速度更重要。财务结账、采购付款、库存和制造环节涉及真实资产，错误执行可能造成损失，因此权限控制、回滚和日志体系是护城河的一部分。人工智能能减少分析时间，但企业仍需要确定谁批准、谁执行及如何追责。金蝶的机会是将传统流程规则变成代理的安全执行边界，形成持续收费的底座，而非仅在现有页面增加聊天框。</w:t>
      </w:r>
    </w:p>
    <w:p>
      <w:pPr>
        <w:pStyle w:val="Normal"/>
        <w:rPr/>
      </w:pPr>
      <w:r>
        <w:rPr/>
        <w:t>客户切换成本包括历史数据口径、组织习惯、外部接口和实施团队。它能够降低短期流失，却也可能带来服务成本刚性，尤其当客户业务复杂或不同版本并存时。投资者需关注产品标准化是否减少单位交付时间，客户满意是否促成新增模块。若企业因为迁移麻烦被动续费，但不断压低价格，长期价值仍会变差。稳定客户基础和健康的净扩张必须同时存在，才能支持较高收入倍数。</w:t>
      </w:r>
    </w:p>
    <w:p>
      <w:pPr>
        <w:pStyle w:val="Normal"/>
        <w:rPr/>
      </w:pPr>
      <w:r>
        <w:rPr/>
        <w:t>国内竞争包括成熟管理软件厂商、行业垂直解决方案和云平台生态，海外则有大型企业应用厂商及当地实施伙伴。竞争不只体现在价格，还包括交付成功率、特定行业深度、跨国规则和兼容性。金蝶在成长型企业有品牌及渠道，但大型国际客户会更加重视全球合规与伙伴覆盖。以公司披露的细分市场排名作为方向证据是合理的，不能据此推断整个企业软件市场份额或未来收入已经锁定。</w:t>
      </w:r>
    </w:p>
    <w:p>
      <w:pPr>
        <w:pStyle w:val="Normal"/>
        <w:rPr/>
      </w:pPr>
      <w:r>
        <w:rPr/>
        <w:t>小微企业对软件的持续付费能力更受经营景气影响。账务与开票需求稳定，但企业停业、转用免费工具或减少功能都会造成流失。大型企业预算更高，采购流程也更长，要求更深定制。两类客户不能用同一个留存假设评价。二零二五年旧产品分类的净额留存率中，大型企业产品一百一十个百分点，成长型九十七个百分点，部分小微产品九十四、八十八个百分点，显示结构差异，不能把最优值代表全集团。</w:t>
      </w:r>
    </w:p>
    <w:p>
      <w:pPr>
        <w:pStyle w:val="Normal"/>
        <w:rPr/>
      </w:pPr>
      <w:r>
        <w:rPr/>
        <w:t>二零二六年新分类未提供与旧分类完全可比的净额留存率，本章没有宣称留存已经继续提高。人工智能套装可能让客户升级产品名称或改变合同形式，比较前后年度需要核对迁移、价格和折扣。若新产品订阅增长主要来自旧合同重新归类，真实新增价值会低于表面增长。未来披露同口径客户群的续费和净扩张将显著提高证据可信度。在获得之前，估值应保留对经常性收入质量的折价。</w:t>
      </w:r>
    </w:p>
    <w:p>
      <w:pPr>
        <w:pStyle w:val="Normal"/>
        <w:rPr/>
      </w:pPr>
      <w:r>
        <w:rPr/>
        <w:t>低代码与生成代码降低新软件开发门槛，有利于客户快速构建周边应用，也可能削弱传统模块收费。核心财务、税务和制造系统需要持续维护规则，较难一次性自动生成后永久使用；简单报表和审批表单更容易被替代。分析要区分核心系统与外围应用，不应以某次人工智能生成页面的演示推断整套企业系统会消失，也不能因此忽略边缘模块价格下降。未来利润分布可能向可信数据和执行治理集中。</w:t>
      </w:r>
    </w:p>
    <w:p>
      <w:pPr>
        <w:pStyle w:val="Heading2"/>
        <w:rPr/>
      </w:pPr>
      <w:r>
        <w:rPr>
          <w:color w:val="000000"/>
        </w:rPr>
        <w:t>四 经济前景与需求周期</w:t>
      </w:r>
    </w:p>
    <w:p>
      <w:pPr>
        <w:pStyle w:val="Normal"/>
        <w:rPr/>
      </w:pPr>
      <w:r>
        <w:rPr/>
        <w:t>制造企业数字化预算受到订单、产能利用和现金流影响。经济恢复时，扩产和海外业务增加会推动新系统采购；订单偏弱时，企业更希望先修补已有系统，推迟全面更换。金蝶的订阅模式减少客户一次性支出，但无法彻底消除预算周期。半年实施和咨询收入同比增长一成一，有需求恢复证据，仍需看持续订单与项目回款。模型基准没有假设所有工业客户同时进入强扩张周期。</w:t>
      </w:r>
    </w:p>
    <w:p>
      <w:pPr>
        <w:pStyle w:val="Normal"/>
        <w:rPr/>
      </w:pPr>
      <w:r>
        <w:rPr/>
        <w:t>国资监管、财政和企业财务规范可能增加穿透管理、预算及风险控制需求。政策需求需要转化为采购预算、招标和验收，过程可能跨多个季度；文件发布不能直接计入订单。项目完成后是否形成可复用标准也影响利润。大客户签约提高品牌信用，却可能拉长回款周期和增加履约工作。推荐成立要求政策机会带来盈利与现金，而不是只增加收入规模和应收项目。</w:t>
      </w:r>
    </w:p>
    <w:p>
      <w:pPr>
        <w:pStyle w:val="Normal"/>
        <w:rPr/>
      </w:pPr>
      <w:r>
        <w:rPr/>
        <w:t>人民币利率降低有两个方向影响。一方面客户融资压力及公司估值折现率可能改善，另一方面银行存款和理财收益会下降。金蝶半年财资净收益二千七百三十七点三万元，去年同期三千四百万元，不能把低利率只列为利好。软件经营利润需要承担主体收益，财资可以缓冲转型，不应长期成为盈利主要来源。模型把云业务与有限可分配财资分开，不以当前全部利息收益永久资本化。</w:t>
      </w:r>
    </w:p>
    <w:p>
      <w:pPr>
        <w:pStyle w:val="Normal"/>
        <w:rPr/>
      </w:pPr>
      <w:r>
        <w:rPr/>
        <w:t>汇率影响主要表现为人民币业务折算港币价格、海外收费和海外费用。人民币对港币升值，在其他条件不变时提高港币估值；若海外成本上升，也可能部分抵销。模型以一点一零换算，并用上下百分之十作敏感性，不能声称这是截至收盘的官方即期。对人民币投资者，港币兑人民币变化还影响实际持有回报，两种换算应分别处理，避免把企业经营增长和外汇变动混在同一涨幅里。</w:t>
      </w:r>
    </w:p>
    <w:p>
      <w:pPr>
        <w:pStyle w:val="Normal"/>
        <w:rPr/>
      </w:pPr>
      <w:r>
        <w:rPr/>
        <w:t>海外扩张与中国企业出海相关，但当地税务、语言、合规和业务伙伴比国内复制更复杂。公司年报提出全球化方向，公开机构转述管理层预期二零二六年海外约占收入百分之二，五年目标达到百分之十；后者尚属新闻转述目标，不是已完成收入。小规模海外业务能够提供试验空间，但销售和实施前置投入可能先压低利润。基准情景只给予逐步扩展，不把海外全部潜在企业数量乘以国内价格。</w:t>
      </w:r>
    </w:p>
    <w:p>
      <w:pPr>
        <w:pStyle w:val="Normal"/>
        <w:rPr/>
      </w:pPr>
      <w:r>
        <w:rPr/>
        <w:t>人工智能算力成本下降可改善代理毛利，也会让竞争者更容易提供类似功能。推理价格降低不必然全部留给金蝶，客户会要求降价或更多免费额度。另一方面，企业代理可能需要更长上下文、更复杂验证和多步骤执行，单位任务成本未必随基础模型价格同比下降。研究应该追踪每次有效业务执行的成本与客户收费，而非简单采用模型厂商单次调用价格，才能判断人工智能带来真实利润还是新增使用负担。</w:t>
      </w:r>
    </w:p>
    <w:p>
      <w:pPr>
        <w:pStyle w:val="Heading2"/>
        <w:rPr/>
      </w:pPr>
      <w:r>
        <w:rPr>
          <w:color w:val="000000"/>
        </w:rPr>
        <w:t>五 历史财务与盈利质量</w:t>
      </w:r>
    </w:p>
    <w:p>
      <w:pPr>
        <w:pStyle w:val="Normal"/>
        <w:rPr/>
      </w:pPr>
      <w:r>
        <w:rPr/>
        <w:t>二零二一年至二零二五年收入分别约四十一点七四、四十八点六六、五十六点七九、六十二点五六、七十点零六亿元，显示连续增长，最近年度增速约一成二。同期归母亏损从三点零二亿元扩大后逐渐收窄，最终转为零点九三亿元盈利。收入增加与利润转折共同支持云转型，但早期亏损已经消耗资金和股东时间。未来目标必须从这些实际增长速度出发，不能把人工智能小基数的一百多个百分点增速套给整个集团。</w:t>
      </w:r>
    </w:p>
    <w:p>
      <w:pPr>
        <w:pStyle w:val="Normal"/>
        <w:rPr/>
      </w:pPr>
      <w:r>
        <w:rPr/>
        <w:t>全年毛利四十七点零四二零八亿元，毛利率约六成七点一；半年毛利二十四点五五九一二亿元，毛利率六成七点七，同比上升二点一个百分点。结构改善来自订阅占比和实施效率，有一定可持续性。不过，销售、管理和研发费用依然很高。毛利率上涨是经营利润的必要支持，不是盈利已经稳定的充分条件。若为了维持收入增长必须同步增加获客和研发支出，最终利润率提升可能弱于毛利率变化。</w:t>
      </w:r>
    </w:p>
    <w:p>
      <w:pPr>
        <w:pStyle w:val="Normal"/>
        <w:rPr/>
      </w:pPr>
      <w:r>
        <w:rPr/>
        <w:t>半年销售及营销费用十三点三零四零八亿元，同比增加百分之五点三，收入占比由三成九点六降至三成六点七；管理费用三点六八一三二亿元，同比增加百分之六点四，占比约一成零点二。费用增长慢于收入形成明确杠杆，需区分组织优化、薪酬时点和可持续效率。缩减销售团队可能短期提高利润，却影响后续新增客户。模型基准要求效率改善与收入持续，而非只依赖一次性削减人员支出。</w:t>
      </w:r>
    </w:p>
    <w:p>
      <w:pPr>
        <w:pStyle w:val="Normal"/>
        <w:rPr/>
      </w:pPr>
      <w:r>
        <w:rPr/>
        <w:t>半年研发账面费用八点零九二零六亿元，占收入约二成二点三。研发费用的比例下降不等于实际研发现金同比下降，实际发生七点九七七六六亿元，同比仍增长，另有资本化与摊销调整。营业利润在剔除其他收入和收益之前约为负七千六百七十万元，加入八千零九十点二万元其他收入后才约四百二十点二万元盈利。核心软件经营尚未产生宽厚利润垫，正常估值需要谨慎预测这一转变。</w:t>
      </w:r>
    </w:p>
    <w:p>
      <w:pPr>
        <w:pStyle w:val="Normal"/>
        <w:rPr/>
      </w:pPr>
      <w:r>
        <w:rPr/>
        <w:t>其他收入中包括增值税退税及项目研究收入四千一百六十七点二万元、物业净租金五千零八十三点四万元，同时有金融资产与汇兑亏损。退税可能与软件行业制度相关，不能简单全部视为一次性；也不能假设每年固定增长。物业租金具有一定持续性，但与云产品经营不同。模型没有另外加物业全价值同时保留全部租金利润，避免重复。对主营盈利，应单独检验产品收入能否覆盖持续费用。</w:t>
      </w:r>
    </w:p>
    <w:p>
      <w:pPr>
        <w:pStyle w:val="Normal"/>
        <w:rPr/>
      </w:pPr>
      <w:r>
        <w:rPr/>
        <w:t>半年税前利润三千七百九十六万元，所得税抵免一千零一十八点五万元，集团利润四千八百一十四点五万元；归母为五千四百四十九点七万元，因为少数股东亏损分担。不能用归母利润除收入后把全部改善视为产品效率，税和归属也影响结果。税收抵免包含递延项目，不等于同额现金收到。正常长期现金率需要包含真实税负和股东归属，不能将半年有利会计条件永久延续。</w:t>
      </w:r>
    </w:p>
    <w:p>
      <w:pPr>
        <w:pStyle w:val="Normal"/>
        <w:rPr/>
      </w:pPr>
      <w:r>
        <w:rPr/>
        <w:t>非国际财务准则调整归母为一点一六零九亿元，比法定多六千一百五十九点三万元。调整包括股份薪酬三千四百五十五点一万元、收购无形资产摊销一千四百一十四万元、投资及商誉调整二千一百一十点七万元，扣除联营收益和税影响。调整指标有助理解波动，但股份薪酬是真实股东成本，投资损失也反映资本配置。模型不能将所有调整剔除后又使用未稀释股数，把最高利润全部给予原股东。</w:t>
      </w:r>
    </w:p>
    <w:p>
      <w:pPr>
        <w:pStyle w:val="Normal"/>
        <w:rPr/>
      </w:pPr>
      <w:r>
        <w:rPr/>
        <w:t>半年基本每股盈利一点五五人民币分，即零点零一五五元；不是一点五五人民币元。基本加权股数约三十五点一零八六亿，摊薄三十五点一三七七五亿。九月注册股数三十五点一四五四六七七一亿，三者日期和计算目的不同。利润刚转正时，单位错误或将注册股数当精确加权分母会使估值失真。本章保留股份奖励和未来融资的经济分母，不因低价回购就假定股数必然持续下降。</w:t>
      </w:r>
    </w:p>
    <w:p>
      <w:pPr>
        <w:pStyle w:val="Heading2"/>
        <w:rPr/>
      </w:pPr>
      <w:r>
        <w:rPr>
          <w:color w:val="000000"/>
        </w:rPr>
        <w:t>六 研发资本化与自由现金</w:t>
      </w:r>
    </w:p>
    <w:p>
      <w:pPr>
        <w:pStyle w:val="Normal"/>
        <w:rPr/>
      </w:pPr>
      <w:r>
        <w:rPr/>
        <w:t>二零二五年研发实际发生十四点二四七六八亿元，资本化四点四五八一六亿元，摊销五点一五四二二亿元，账面费用十四点九四三七四亿元。资本化低于摊销，说明当年研发费用没有因为净资本化而被简单压低。半年资本化二点六七三八六亿元、摊销二点七八八二六亿元，也类似。但现金已在当期支出，不能因资本化与摊销相近就忽略它。现金估值和利润估值必须分别处理同一投入的时间。</w:t>
      </w:r>
    </w:p>
    <w:p>
      <w:pPr>
        <w:pStyle w:val="Normal"/>
        <w:rPr/>
      </w:pPr>
      <w:r>
        <w:rPr/>
        <w:t>年报规定满足技术可行性、完成和销售意图、资源及未来经济利益等条件的开发成本可资本化，投入使用后通常在九至四十三个月直线摊销。人工智能产品迭代较快，部分资本化软件可能比旧产品更早失去商业价值。需要观察减值、摊销年限与实际产品使用是否匹配。加速摊销会压低未来利润，但不会重新产生同额现金流出；削减研发则可能短期增加现金、长期削弱竞争，两者不能混为一谈。</w:t>
      </w:r>
    </w:p>
    <w:p>
      <w:pPr>
        <w:pStyle w:val="Normal"/>
        <w:rPr/>
      </w:pPr>
      <w:r>
        <w:rPr/>
        <w:t>二零二五年经营现金流十点九七四七七亿元，设备投入一点三六九一亿元、无形资产四点四九六六九亿元，融资段租赁本金零点七零一五四亿元。扣除后现金代理四点四零七四四亿元，显著低于单看经营现金流的印象。该代理未包含所有并购、投资和股权分配，不能等同最终可派现金，但能衡量持续投入后的财务能力。经营现金流已扣利息和税，不能再将这两项重复扣减。</w:t>
      </w:r>
    </w:p>
    <w:p>
      <w:pPr>
        <w:pStyle w:val="Normal"/>
        <w:rPr/>
      </w:pPr>
      <w:r>
        <w:rPr/>
        <w:t>半年经营现金流一点四二四五亿元，扣设备零点八九九一七亿元、无形资产二点六八五零三亿元、租赁本金零点一八零一八亿元后，现金代理负二点三三九八八亿元。同期利润改善并未消除现金消耗。软件订阅存在季节性，半年负值不能自动推断全年也负；反过来，不能以往年下半年收款较强就确认今年必然补足。全年需要检验合同增长、预收、应收与投资，基准现金率因此逐步提高而不一步跳到成熟水平。</w:t>
      </w:r>
    </w:p>
    <w:p>
      <w:pPr>
        <w:pStyle w:val="Normal"/>
        <w:rPr/>
      </w:pPr>
      <w:r>
        <w:rPr/>
        <w:t>合同获取成本期末合计十二点零二零九五亿元，高于年末约十点九四零六一亿元。这类成本可能包括为获取合同而发生并递延的支出，随合同期间摊销。它与研发资本化一样影响利润和现金时间，但不能因为被列为资产就视为无风险可变现资金。订阅增长需要更多佣金时，利润会较现金先改善。研究应追踪新增合同的净收益能否覆盖获客成本，以及客户续费长度是否支持账面资产回收。</w:t>
      </w:r>
    </w:p>
    <w:p>
      <w:pPr>
        <w:pStyle w:val="Normal"/>
        <w:rPr/>
      </w:pPr>
      <w:r>
        <w:rPr/>
        <w:t>合同负债四十六点四五四六三亿元，较年末四十三点八六四六二亿元增加，说明已有部分收入尚待履约确认。预收有利于现金，但公司还需提供服务和产品，不能从市值中减去全部合同负债后又把它当净现金资产。若客户流失或服务质量下降，可能有退款或额外履约成本。稳定合同负债支持可见收入，估值仍需留足运行现金及交付储备，只有超过这些需要的资金才能视为可分配。</w:t>
      </w:r>
    </w:p>
    <w:p>
      <w:pPr>
        <w:pStyle w:val="Normal"/>
        <w:rPr/>
      </w:pPr>
      <w:r>
        <w:rPr/>
        <w:t>半年应收与合同资产未表现为巨大跳升，但净流动资产只有四千八百五十一点九万元，流动比率约一点零一。低流动比率有大量预收负债的影响，不能等同迫近破产，也不能因为没有银行借款就完全忽略流动性。公司需要按时交付订阅服务、支付人员和云资源。客户账期、银行存款期限及非上市投资退出速度都影响现金缓冲。正常业务无需偿还全部预收，极端退款或收入停止时压力会显著不同。</w:t>
      </w:r>
    </w:p>
    <w:p>
      <w:pPr>
        <w:pStyle w:val="Heading2"/>
        <w:rPr/>
      </w:pPr>
      <w:r>
        <w:rPr>
          <w:color w:val="000000"/>
        </w:rPr>
        <w:t>七 资金 回购与资本配置</w:t>
      </w:r>
    </w:p>
    <w:p>
      <w:pPr>
        <w:pStyle w:val="Normal"/>
        <w:rPr/>
      </w:pPr>
      <w:r>
        <w:rPr/>
        <w:t>期末现金及银行存款二十九点五六六三八亿元，理财产品五点五零八九一亿元；现金等价物只占十五点六三四八四亿元。较长期和抵押存款不能机械当即期可自由派发现金。财务资产公允价值合计二十二点三七一二六亿元，其中非上市股权十六点二一八七七亿元，上市股票约零点六四三五八亿元，剩余主要为理财。非上市股权难以按账面即时退出，模型没有把这些资产全额折成现金加到云价值上。</w:t>
      </w:r>
    </w:p>
    <w:p>
      <w:pPr>
        <w:pStyle w:val="Normal"/>
        <w:rPr/>
      </w:pPr>
      <w:r>
        <w:rPr/>
        <w:t>非上市投资从年末约八点四七三四九亿元升至十六点二一八七七亿元，资金配置和分类变化值得重点关注。公允价值采用较多不可观察输入，估值可能受可比倍数、融资和流动性折价影响。账面增加不能自动说明普通股价值同额增加，未来减值也不必等同当期现金再次流出。应核对投资是否帮助产品与生态，以及是否需要持续追加资金。投资者真正收益取决于退出和现金分配，而不是报表资产数字。</w:t>
      </w:r>
    </w:p>
    <w:p>
      <w:pPr>
        <w:pStyle w:val="Normal"/>
        <w:rPr/>
      </w:pPr>
      <w:r>
        <w:rPr/>
        <w:t>上半年没有期末银行借款，但期间曾借入并偿还各四点二亿元，说明季度内资金安排仍需管理。租赁负债约六千零五十九点三万元，金额相对收入不大，仍应计入经济负担。无银行借款是有利条件，却不能将公司归为绝对低财务风险；研发、获客、回购和少数股东资本退还都消耗现金。模型有限财资只留可分配部分，同时另设额外转型储备，避免同时高估现金和低估融资需求。</w:t>
      </w:r>
    </w:p>
    <w:p>
      <w:pPr>
        <w:pStyle w:val="Normal"/>
        <w:rPr/>
      </w:pPr>
      <w:r>
        <w:rPr/>
        <w:t>半年回购支付二点四五二九二亿元，股份奖励计划购股零点六零七零五亿元，少数股东资本减少二点零六亿元。回购有可能提高每股价值，但必须看买入价格、股份注销与奖励计划再发放。市场低价回购并不直接创造软件利润，现金不足时回购还可能挤压研发。注册股数九月未变不能证明此前每笔回购都已经注销或减少经济稀释。未来分母依据净回购、期权及融资综合假设，保留不利情况下上升。</w:t>
      </w:r>
    </w:p>
    <w:p>
      <w:pPr>
        <w:pStyle w:val="Normal"/>
        <w:rPr/>
      </w:pPr>
      <w:r>
        <w:rPr/>
        <w:t>二零二五年年报分红为零，半年亦未建议股息，未来一年基准仍取零。这样可以让现金优先支持产品和交付，三年、五年才给予较小累计分红。分红数是研究情景，不代表董事会承诺。若未来自由现金显著改善并开始分红，需要同步更新留存资金和企业价值，不能同时增加全部净现金与派出股息。若现金弱于基准，首先撤回分红假设，而不是靠融资维持表面收益率。</w:t>
      </w:r>
    </w:p>
    <w:p>
      <w:pPr>
        <w:pStyle w:val="Normal"/>
        <w:rPr/>
      </w:pPr>
      <w:r>
        <w:rPr/>
        <w:t>治理评价重点是长期费用、资本化和投资的透明度，不能用市场排名或环境评级替代财务判断。关联交易披露规模、董事控制企业往来和投资决策需要按公告持续核对。高质量治理应让投资者理解产品现金回报、股份奖励与资本用途。即使日常关联金额不大，也不能由此确认所有未来资本配置无风险。模型风险分数保留了非上市资产估值和管理判断的不确定性，避免对公开材料无法证明的事项作绝对断言。</w:t>
      </w:r>
    </w:p>
    <w:p>
      <w:pPr>
        <w:pStyle w:val="Heading2"/>
        <w:rPr/>
      </w:pPr>
      <w:r>
        <w:rPr>
          <w:color w:val="000000"/>
        </w:rPr>
        <w:t>八 半年日线与周线</w:t>
      </w:r>
    </w:p>
    <w:p>
      <w:pPr>
        <w:pStyle w:val="Normal"/>
        <w:rPr/>
      </w:pPr>
      <w:r>
        <w:rPr/>
        <w:t>基准日开盘和最低价七点一四，最高七点八六五，收盘七点八三五，单日涨幅约九点七三个百分点。实体较长且接近最高收盘，说明当日买卖平衡明显转向上涨，结合放量是短线积极信号。不过，单根长阳不能证明长期趋势已经反转，前一交易日下跌和此前均线仍有压制。技术判断是强反弹需要后续确认，避免把一次收盘结果直接称为已经形成持续主升趋势。</w:t>
      </w:r>
    </w:p>
    <w:p>
      <w:pPr>
        <w:pStyle w:val="Normal"/>
        <w:rPr/>
      </w:pPr>
      <w:r>
        <w:rPr/>
        <w:t>日线二十、六十、一百二十、二百五十日均线分别七点四六六五、七点八七六五八三、七点七三六六二五、十点三三七九四港元。现价高于二十日约百分之四点九四、高于一百二十日百分之一点二七，仍低六十日百分之零点五三、低二百五十日百分之二十四点二一。二十与一百二十日近距反复，而长期均线较远，意味着近期修复与长期套牢压力并存，不能只选择最有利一条均线。</w:t>
      </w:r>
    </w:p>
    <w:p>
      <w:pPr>
        <w:pStyle w:val="Normal"/>
        <w:rPr/>
      </w:pPr>
      <w:r>
        <w:rPr/>
        <w:t>五个交易日前后均线变化显示二十日斜率约负百分之二点四九、六十日正百分之零点六零、一百二十日负百分之零点六九、二百五十日负百分之一点八五。斜率口径是五期变化，不是回归年化趋势。六十日轻微上行有底部整理迹象，但二十日仍下降，长阳只是把价格重新拉到均线群附近。若随后回落并不能守住均线群，突破假设应降级；需要连续收盘、量能和区间结构一起验证。</w:t>
      </w:r>
    </w:p>
    <w:p>
      <w:pPr>
        <w:pStyle w:val="Normal"/>
        <w:rPr/>
      </w:pPr>
      <w:r>
        <w:rPr/>
        <w:t>周线共有一百五十七根，二十、六十、一百二十周均线约七点四九三、十点九二九五、十点九零八四一七。现价高二十周约百分之四点五六，低六十与一百二十周均约百分之二十八。三条均线五周变化均为负，六十周下降约百分之六点八。三年历史不足二百五十周，缺失长期周均线并非可以用日均线代替。周线说明低位修复初期，仍未形成广泛长期上升证据。</w:t>
      </w:r>
    </w:p>
    <w:p>
      <w:pPr>
        <w:pStyle w:val="Normal"/>
        <w:rPr/>
      </w:pPr>
      <w:r>
        <w:rPr/>
        <w:t>最近二十日区间低七点零六、高八点一二，距离现价分别负百分之九点八九、正百分之三点六四；最近六十日低六点四九、高九点四八，距离分别负百分之十七点一七、正百分之二十一点零零。这些是历史区间极值观察位，没有按多次触碰验证强度。短线若放量收在八点一二之上并维持，可增加突破可信度；若跌回七点零六以下且成交扩大，应撤回本轮反弹持续的技术判断。</w:t>
      </w:r>
    </w:p>
    <w:p>
      <w:pPr>
        <w:pStyle w:val="Normal"/>
        <w:rPr/>
      </w:pPr>
      <w:r>
        <w:rPr/>
        <w:t>十二个月日线高十七点七三、低五点六三，现价较高点低约百分之五十五点八一，较低点高约百分之三十九点一七，最大阶段回撤约百分之六十七点五八。低位上涨幅度较大，并不意味仍便宜，历史高价也不应作为必须回到的目标。周线五十二周高十七点零七与日线高点不同，来自窗口和聚合时间口径，不能随意挑选。长期投资价值由现金和倍数决定，高低点只是风险背景。</w:t>
      </w:r>
    </w:p>
    <w:p>
      <w:pPr>
        <w:pStyle w:val="Heading2"/>
        <w:rPr/>
      </w:pPr>
      <w:r>
        <w:rPr>
          <w:color w:val="000000"/>
        </w:rPr>
        <w:t>九 成交量与相对强弱</w:t>
      </w:r>
    </w:p>
    <w:p>
      <w:pPr>
        <w:pStyle w:val="Normal"/>
        <w:rPr/>
      </w:pPr>
      <w:r>
        <w:rPr/>
        <w:t>当天成交四千七百六十六点五四一六万股，成交额约三点六四四五五四亿元港币，腾讯和新浪收盘与量额一致，日线另与雅虎及腾讯历史交叉核验。五、二十、六十日平均量约一千八百四十一点六六万、二千七百七十八点三零万、四千七百零五点七五万股。当天量相对前二十日均量约一点七八九倍，但只略高六十日均量。它支持近期活跃增加，仍未达到超越中期所有历史成交的强证据。</w:t>
      </w:r>
    </w:p>
    <w:p>
      <w:pPr>
        <w:pStyle w:val="Normal"/>
        <w:rPr/>
      </w:pPr>
      <w:r>
        <w:rPr/>
        <w:t>二十日内上涨日累计约二点七七九三五亿股，下跌日二点二八八六九七亿股，平盘另约零点四九零二六九亿股，上跌量比约一点二一五；上涨十一日、下跌八日。上涨累计量略多，但日数也更多，不能只凭总量断言资金持续单向进入。区分每个上涨日平均量和下跌日平均量能够避免日数偏差。没有逐笔及投资者身份，量价分析不能确认谁在买入，也不绘制所谓精准主力成本或筹码分布。</w:t>
      </w:r>
    </w:p>
    <w:p>
      <w:pPr>
        <w:pStyle w:val="Normal"/>
        <w:rPr/>
      </w:pPr>
      <w:r>
        <w:rPr/>
        <w:t>基准周成交约九千二百零八点三一万股，五、二十、六十周均量约一点三八零四一亿、二点五三零一一亿、一点九五五八零亿股，最近一周相对前二十周均量约零点三五五倍。日线长阳放量与周线量仍偏低并不矛盾，前者比较短期，后者包含此前更活跃交易。需要后续若干周持续成交配合，才能确认反弹从一天事件扩展为中期趋势。不能把日量改善与周量弱化分别重复加分。</w:t>
      </w:r>
    </w:p>
    <w:p>
      <w:pPr>
        <w:pStyle w:val="Normal"/>
        <w:rPr/>
      </w:pPr>
      <w:r>
        <w:rPr/>
        <w:t>二十日股价回报约百分之四点一九，六十日百分之十一点四五；较恒生指数超额分别百分之七点一七、十四点六四。较恒生科技粗粒度参考超额约七点二五、二十四点六二个百分点，说明近期相对强弱改善。恒生科技不是纯企业软件指数，差异也可能来自硬件和互联网权重，不能当精确行业因子。同期一百二十日回报仍负百分之十四点四七，二百五十日负百分之五十五点一八，短期改善未消除长期损失。</w:t>
      </w:r>
    </w:p>
    <w:p>
      <w:pPr>
        <w:pStyle w:val="Normal"/>
        <w:rPr/>
      </w:pPr>
      <w:r>
        <w:rPr/>
        <w:t>十四日相对强弱指标约五十四点三二，处于中性偏强；移动平均收敛指标差离负零点一三六七五七、信号负零点一六二六零七，柱体按双倍差计算正零点零五一七零一。两者支持下行动能缓和，尚未证明稳定上升。十四日平均真实波幅约零点三八七六六五港元，占价百分之四点九五，说明正常波动幅度较大。观察位附近一点小幅穿越很容易发生，不能将技术止损看作保证成交或损失边界。</w:t>
      </w:r>
    </w:p>
    <w:p>
      <w:pPr>
        <w:pStyle w:val="Normal"/>
        <w:rPr/>
      </w:pPr>
      <w:r>
        <w:rPr/>
        <w:t>半年技术得分三点一，是对长阳、相对强弱、均线位置及周线成交的合并评价。指标相关性很强，不能把同一反弹在均线、动量和相对强弱中各当独立利好重复计分。后续积极条件是八点一二附近突破站稳、量能持续并保持相对市场强势；失效条件是跌回七点零六和六点四九且现金或收入证据恶化。若只技术失效而业务未变，可下调半年推荐而保留三年观察，期限判断应区别处理。</w:t>
      </w:r>
    </w:p>
    <w:p>
      <w:pPr>
        <w:pStyle w:val="Heading2"/>
        <w:rPr/>
      </w:pPr>
      <w:r>
        <w:rPr>
          <w:color w:val="000000"/>
        </w:rPr>
        <w:t>十 估值模型及交叉验证</w:t>
      </w:r>
    </w:p>
    <w:p>
      <w:pPr>
        <w:pStyle w:val="Normal"/>
        <w:rPr/>
      </w:pPr>
      <w:r>
        <w:rPr/>
        <w:t>本章采用残余非云正常利润乘市盈率，加全部云业务收入乘企业价值收入倍数，另加有限可分配财资，扣额外转型资金现值，除经济摊薄普通股并折港币。云业务含人工智能、订阅和实施，绝不另加人工智能收入价值。残余非云仅集团收入扣云服务后的部分，利润率充分分配其研发、销售、管理和股份成本。两块业务边界必须守住，否则会把同一客户、收入或研发收益重复计价。</w:t>
      </w:r>
    </w:p>
    <w:p>
      <w:pPr>
        <w:pStyle w:val="Normal"/>
        <w:rPr/>
      </w:pPr>
      <w:r>
        <w:rPr/>
        <w:t>目前市值约二百七十五点三六亿元港币，按研究汇率折人民币约二百五十点三三亿元，除二零二五年收入约三点五七倍总市销率。用全年加今年半年减去年半年的收入代理约七十四点三九亿元，约三点三七倍。全年法定每股盈利对应市盈率约二百七十倍，滚动归母代理则约一百零二倍。这些计算揭示目前仍是预期成长估值，不能因股价跌五成就叫低市盈率，也不能把总市销率误称云企业价值倍数。</w:t>
      </w:r>
    </w:p>
    <w:p>
      <w:pPr>
        <w:pStyle w:val="Normal"/>
        <w:rPr/>
      </w:pPr>
      <w:r>
        <w:rPr/>
        <w:t>全年调整归母二点三一九七五亿元加本半年一点一六零九亿元、减去年半年负零点五一一六亿元，得到粗滚动调整利润三点九九零二五亿元，仍不足以支持成熟公司的普通倍数直觉。滚动代理没有完整重建财报，也不计所有未来股数，不能当正式每股盈利预测。此处仅作当前价格预期的检查。价值主要取决于未来订阅规模和正常现金率，倍数较高的合理性必须靠未来现金解释，不能靠亏损转正后的百分比增长。</w:t>
      </w:r>
    </w:p>
    <w:p>
      <w:pPr>
        <w:pStyle w:val="Normal"/>
        <w:rPr/>
      </w:pPr>
      <w:r>
        <w:rPr/>
        <w:t>年底基准非云收入九亿元人民币、充分成本营业率百分之十八，税后因子零点八，正常归母代理约一点二九六亿元，十二倍利润价值十五点五五二亿元。云下一年度化收入七十亿元、四倍企业价值收入，二百八十亿元，加可分配财资十亿元、扣额外转型储备九亿元，除三十五点四亿股并乘汇率，得九点二一港元。非云只占价值很小部分，云倍数才是主要价格驱动。</w:t>
      </w:r>
    </w:p>
    <w:p>
      <w:pPr>
        <w:pStyle w:val="Normal"/>
        <w:rPr/>
      </w:pPr>
      <w:r>
        <w:rPr/>
        <w:t>云业务基准正常归属自由现金率年底百分之七、半年百分之八、一年百分之十、三年百分之十五、五年百分之十八，充分扣正常设备、研发资本化、租赁及持续股份经济成本。它是估值交叉验证假设，不是公司指引，也没有加到收入倍数价值上。额外转型储备只覆盖超出这些正常现金投入的有限扩张，不再扣同一常态研发。若普通研发和额外储备边界混淆，会人为压低或抬高权益价值。</w:t>
      </w:r>
    </w:p>
    <w:p>
      <w:pPr>
        <w:pStyle w:val="Normal"/>
        <w:rPr/>
      </w:pPr>
      <w:r>
        <w:rPr/>
        <w:t>一年基准云倍数四点二与百分之十现金率意味着云企业价值现金收益率只有百分之二点三八；三年约百分之三点六六，五年百分之五。这样的低初期收益率需要增长维持和现金改善才能合理，绝非无条件便宜。五年倍数降至三点六，体现成熟后增长趋缓；即使收入继续扩大，也不能长期按早期高倍数定价。模型上行依赖现金率逐步达到较好水平，而非只假设市场愿意一直抬升倍数。</w:t>
      </w:r>
    </w:p>
    <w:p>
      <w:pPr>
        <w:pStyle w:val="Normal"/>
        <w:rPr/>
      </w:pPr>
      <w:r>
        <w:rPr/>
        <w:t>收入倍数可以用终端现金率除以折现率与长期增长率之差作简化检查。例如成熟现金率百分之十八、折现百分之十一、持续增长百分之四，对应约二点五七倍收入，而不是自动四倍以上。实际企业有显性高增长期，价值可能高于这个成熟代理，但必须证明增长持续时间。若长期增长降至百分之二、折现升至百分之十三，同现金率约一点六四倍。终值结构改变可以造成大幅下行，机构观点分歧主要就在这里。</w:t>
      </w:r>
    </w:p>
    <w:p>
      <w:pPr>
        <w:pStyle w:val="Normal"/>
        <w:rPr/>
      </w:pPr>
      <w:r>
        <w:rPr/>
        <w:t>一年基准云收入八十四亿元、四点二倍、可分配财资八亿元、额外储备十亿元，非云残余八亿元按百分之十六正常营业率、十二倍利润，股数三十五点六亿。倍数上下零点五对应股价约上下一点二九八港元，约现价百分之十六点六。云收入上下百分之十、倍数不变，价值变约一点零九零港元。两项可能同向变动，因此总体波幅不能简单相加后当统计区间。</w:t>
      </w:r>
    </w:p>
    <w:p>
      <w:pPr>
        <w:pStyle w:val="Normal"/>
        <w:rPr/>
      </w:pPr>
      <w:r>
        <w:rPr/>
        <w:t>一年基准摊薄分母三十五点六亿，若上升百分之十，其他假设不变，价格约降百分之九点一；若可分配财资减少或转型储备增加十亿元，约减少零点三零九港元。收入倍数变化影响明显大于小额财资，分析不能因没有银行借款而忽视终值风险。反过来，悲观出现持续负现金并需融资时，分母和可分配资产会同时恶化，股权价值可能低于本章列出的悲观价格。</w:t>
      </w:r>
    </w:p>
    <w:p>
      <w:pPr>
        <w:pStyle w:val="Normal"/>
        <w:rPr/>
      </w:pPr>
      <w:r>
        <w:rPr/>
        <w:t>人民币兑港币假设上下百分之十，其他经营和股数不变，一年基准十一点二二港元约变为十点零九九至十二点三四二港元。对人民币投资者，持有港股后还要将目标港币与股息换回人民币，计算需使用持有期港币汇率，不能同时把人民币升值给企业估值和投资者回报各加一次。汇率只是敏感性，收益主口径维持本币；真实汇兑、交易成本和税费应按投资者实际条件单独处理。</w:t>
      </w:r>
    </w:p>
    <w:p>
      <w:pPr>
        <w:pStyle w:val="Heading2"/>
        <w:rPr/>
      </w:pPr>
      <w:r>
        <w:rPr>
          <w:color w:val="000000"/>
        </w:rPr>
        <w:t>十一 四期限情景的经营路径</w:t>
      </w:r>
    </w:p>
    <w:p>
      <w:pPr>
        <w:pStyle w:val="Normal"/>
        <w:rPr/>
      </w:pPr>
      <w:r>
        <w:rPr/>
        <w:t>半年基准云收入七十五亿元、倍数四点一，非云八点五亿元、充分成本营业率百分之十七，经济股数三十五点五亿，目标九点九三港元。机会来自全年财报和新年度展望验证，不只来自日线反弹。基准需要订阅仍保持较好增长、实际研发现金投入没有吞噬新增毛利、项目实施效率延续。若半年只增长签约却收入或收款落后，应降低云现金率和倍数，即使股价一时强势也不维持原推荐。</w:t>
      </w:r>
    </w:p>
    <w:p>
      <w:pPr>
        <w:pStyle w:val="Normal"/>
        <w:rPr/>
      </w:pPr>
      <w:r>
        <w:rPr/>
        <w:t>半年悲观云收入六十一亿元、倍数一点七、额外资金十六亿元、股数三十六点八亿，目标二点八二港元；乐观收入八十六亿元、五点五倍、储备五亿元、股数三十五点一亿，目标十五点九三。乐观要求新产品付费和利润证据明显强于基准，并且现金投入受控。低股数不是确定回购结果，高倍数也不由发布产品自动触发。情景差距主要反映市场对增长持续及代理定价的不同评价。</w:t>
      </w:r>
    </w:p>
    <w:p>
      <w:pPr>
        <w:pStyle w:val="Normal"/>
        <w:rPr/>
      </w:pPr>
      <w:r>
        <w:rPr/>
        <w:t>一年基准云收入八十四亿元较目前滚动约六十二点二五亿元有较高增长要求，不应写成轻松达标。目标时点使用未来十二个月规模，时间包括下一年度部分扩张。目标十一点二二港元，基准不假设现金分红。主要收益来自云收入增长与倍数小幅修复，非云利润比例下降并未被忽略。未来需要订阅扩张、客户净留存、人工智能收入和现金同步，任何一项明显掉队都会削弱高倍数基础。</w:t>
      </w:r>
    </w:p>
    <w:p>
      <w:pPr>
        <w:pStyle w:val="Normal"/>
        <w:rPr/>
      </w:pPr>
      <w:r>
        <w:rPr/>
        <w:t>一年悲观云收入六十二亿元、现金率负百分之三、倍数一点六，融资与激励储备使股数三十七点四亿，目标两点五零；乐观云收入一百亿元、现金率百分之十四、倍数五点五，目标十八点三三。乐观并不等于当前机构最高价会达成，而是对规模、现金及估值同时较好的路径。市场情绪提高倍数而经营没有追上，只能算暂时价格变化，不能用来验证长期模型成功。</w:t>
      </w:r>
    </w:p>
    <w:p>
      <w:pPr>
        <w:pStyle w:val="Normal"/>
        <w:rPr/>
      </w:pPr>
      <w:r>
        <w:rPr/>
        <w:t>三年基准云下一年度化收入一百一十二亿元、现金率百分之十五，倍数四点一，非云收入六亿元，股数三十六亿，目标十四点三零。累计息零点一二港元，含息总回报百分之八十四点零五、年化约二成二点五五。收入增长与效率共同贡献，倍数没有持续扩张。实现该路径需要行业模板复用、获客效率和代理付费成熟，也需要海外初期投资不吞掉国内现金，是有条件的成长候选。</w:t>
      </w:r>
    </w:p>
    <w:p>
      <w:pPr>
        <w:pStyle w:val="Normal"/>
        <w:rPr/>
      </w:pPr>
      <w:r>
        <w:rPr/>
        <w:t>三年悲观云收入六十六亿元、倍数一点三、额外储备二十亿元，股数三十九点五亿，目标一点八七；乐观收入一百五十亿元、现金率百分之二十、倍数五点五，目标二十六点九五。三年跨度足以发生新产品替代、监管和竞争变化，所以悲观不是简单将今年利润下降几个百分点。若金蝶不能维持可信数据和执行优势，软件收费模式可能重设，届时需要重建估值，不能机械坚持原收入倍数。</w:t>
      </w:r>
    </w:p>
    <w:p>
      <w:pPr>
        <w:pStyle w:val="Normal"/>
        <w:rPr/>
      </w:pPr>
      <w:r>
        <w:rPr/>
        <w:t>五年基准云收入一百三十七亿元、正常归属现金率百分之十八、倍数三点六，股数三十六点七亿，目标十五点一七。累计息零点四港元，含息回报百分之九十八点七二，年化约一成四点七二。目标增长没有把五年所有年份等速拉直，成熟估值下降抵销部分收入提升。五年得分依赖产品质量与现金，日线权重按方案为零；今天长阳不会让企业五年代理安全和收费问题自动解决。</w:t>
      </w:r>
    </w:p>
    <w:p>
      <w:pPr>
        <w:pStyle w:val="Normal"/>
        <w:rPr/>
      </w:pPr>
      <w:r>
        <w:rPr/>
        <w:t>五年悲观云收入六十八亿元、倍数一、持续额外现金消耗与稀释，目标一点二四；乐观云收入二百二十亿元、现金率百分之二十四、倍数五，目标三十五点八四。后者需要企业代理成为规模化核心工作平台，客户愿意长期付费且边际交付成本下降，不能只靠国内一次性替换。两个极端都不是概率承诺。长期投资者应先判断是否能承担商业模式失败和持有期间的大回撤，再评价高上行情景。</w:t>
      </w:r>
    </w:p>
    <w:p>
      <w:pPr>
        <w:pStyle w:val="Heading2"/>
        <w:rPr/>
      </w:pPr>
      <w:r>
        <w:rPr>
          <w:color w:val="000000"/>
        </w:rPr>
        <w:t>十二 年底专项与机构参照</w:t>
      </w:r>
    </w:p>
    <w:p>
      <w:pPr>
        <w:pStyle w:val="Normal"/>
        <w:rPr/>
      </w:pPr>
      <w:r>
        <w:rPr/>
        <w:t>年底只有约三个月，无法获得截至年底尚未公开的审计全年结果。基准依靠现有半年报、后续公开新签及产品消息对下一年度收入估值，不把年底的未来信息提前计入截至十月九日事实。基准九点二一港元需要行业终值担忧有所缓解并持续观察收入质量；悲观三点零九来自云倍数降到一点八及资金需求上升；乐观十四点零六需要原生货币化和运营效率出现更强可见证据。不能将三价直接套用投行一年目标。</w:t>
      </w:r>
    </w:p>
    <w:p>
      <w:pPr>
        <w:pStyle w:val="Normal"/>
        <w:rPr/>
      </w:pPr>
      <w:r>
        <w:rPr/>
        <w:t>二十五、五十、二十五的权重只是判断组合，期望八点八九二五港元，较现价约百分之十三点五零。防御权重提高悲观到四成后，期望降至七点二四七，略低现价；积极权重提高乐观到四成，期望十点五三八，上行约三成四点五。权重敏感性说明推荐依赖商业和估值判断，不能把期望看成最可能收盘点，也不能将四舍五入的小数解释为高度精确预测。实际价格可超出三种情景。</w:t>
      </w:r>
    </w:p>
    <w:p>
      <w:pPr>
        <w:pStyle w:val="Normal"/>
        <w:rPr/>
      </w:pPr>
      <w:r>
        <w:rPr/>
        <w:t>里昂九月十日公开转述目标十二点六，评级跑赢大市，以预测市销率四倍为依据，报道预计全年收入增长一成三点二、调整利润约五点一八亿元、利润率百分之七。原始研报未获得，市销率究竟基于哪一预测年和权益还是企业价值，在转载中不足以完整复算。本章将其作为外部估值锚，不直接复制价格。管理层二零三零年前收入翻倍目标亦由新闻转述，不能当已经实现或无风险年度计划。</w:t>
      </w:r>
    </w:p>
    <w:p>
      <w:pPr>
        <w:pStyle w:val="Normal"/>
        <w:rPr/>
      </w:pPr>
      <w:r>
        <w:rPr/>
        <w:t>野村八月十四日目标十一点八七、买入，美银同日十二点九、买入，摩通八月十三日十二、增持，大摩十一点四、增持，花旗十一点九、买入。多数机构在业绩尚稳时降低目标，说明收入改善与软件终值折价可以同时发生。摩通尤其讨论代理究竟扩市场还是侵蚀软件定价，这与本章核心风险一致。目标价格高于现价并不意味着机构给了充分悲观损失分析，也不代表这些新闻是独立的概率证据。</w:t>
      </w:r>
    </w:p>
    <w:p>
      <w:pPr>
        <w:pStyle w:val="Normal"/>
        <w:rPr/>
      </w:pPr>
      <w:r>
        <w:rPr/>
        <w:t>瑞银七月二十二日目标九点八、评级升买入，属于半年报之前；富瑞七月八日十八点零九、买入，超过最近九十天窗口且在半年报前。后者较高目标与其他机构差异很大，应检查预测与估值假设，而不是平均后减少不确定性。本章逐机构保留最新可核新闻，重复转载去重，所有目标期限均标为空缺。公开转载未明确期限，不能因通常行业习惯就宣称统一十二个月目标，更不能按剩余月份线性缩为年底。</w:t>
      </w:r>
    </w:p>
    <w:p>
      <w:pPr>
        <w:pStyle w:val="Heading2"/>
        <w:rPr/>
      </w:pPr>
      <w:r>
        <w:rPr>
          <w:color w:val="000000"/>
        </w:rPr>
        <w:t>十三 评分 反证及十年持续性</w:t>
      </w:r>
    </w:p>
    <w:p>
      <w:pPr>
        <w:pStyle w:val="Normal"/>
        <w:rPr/>
      </w:pPr>
      <w:r>
        <w:rPr/>
        <w:t>半年六维分别三点六、三点一、三点六、三点七、三点七、三，按估值二成五、量价三成及其他权重得六十八点二。短线形态虽改善，长期趋势和现金限制压低评分。一年七十四、三年七十七点一、五年七十五点二，是不同证据权重下的推荐次序，不是获利概率。与其他公司差距小于三分应同梯队，不能把零点一分差异说成确定优劣。总榜仍要比较基准含息回报和悲观损失。</w:t>
      </w:r>
    </w:p>
    <w:p>
      <w:pPr>
        <w:pStyle w:val="Normal"/>
        <w:rPr/>
      </w:pPr>
      <w:r>
        <w:rPr/>
        <w:t>反证首先是订阅经常性收入明显降速或同口径净扩张持续低于健康水平，原生收入增长来自旧合同重分类而非新增付费。其次是实施成本和销售投入抵销毛利改善，核心营业利润不能持续覆盖费用。第三是自由现金代理在完整年度仍反复负值，合同获取成本与研发资本化增长快于可回收收益。出现这些变化应调低现金率、云倍数和评分，不能因机构目标尚未更新而维持原结论。</w:t>
      </w:r>
    </w:p>
    <w:p>
      <w:pPr>
        <w:pStyle w:val="Normal"/>
        <w:rPr/>
      </w:pPr>
      <w:r>
        <w:rPr/>
        <w:t>资本反证包括非上市投资追加资金超预期、资产退出受阻、奖励和融资持续稀释，以及回购先消耗现金却未减少经济股数。产品反证包括代理执行错误造成客户停止使用、核心数据权限缺陷、客户选择开放平台绕过金蝶付费入口。每种反证影响的模型字段不同：收入降速改新收入，价格竞争改倍数和现金率，资金消耗改储备与股数。这样才可以追溯推荐修订的原因，避免只改变最终目标价。</w:t>
      </w:r>
    </w:p>
    <w:p>
      <w:pPr>
        <w:pStyle w:val="Normal"/>
        <w:rPr/>
      </w:pPr>
      <w:r>
        <w:rPr/>
        <w:t>十年持续经营展望关注企业是否仍需要可信的财务、税务、供应链和制造记录。需求大概率持续，但产品形式、收费单位和竞争者会变。若金蝶将代理安全、行业规则和数据治理变成可复用平台，可能在业务流程自动化中保留重要位置；若只依赖旧界面和座席许可，收入可能被更开放工具侵蚀。十年不提供精确股价，五年模型之后需要根据现金与竞争重新评估，不能将现有增速复利十年制造宏大目标。</w:t>
      </w:r>
    </w:p>
    <w:p>
      <w:pPr>
        <w:pStyle w:val="Normal"/>
        <w:rPr/>
      </w:pPr>
      <w:r>
        <w:rPr/>
        <w:t>未来观察应以每次财报更新一组一致指标：订阅和原生收入、同口径经常性收入与留存、直接交付毛利、销售和研发实际现金、合同获取成本、扣资本投入及租赁后的现金、净股份变化。新闻客户名单提供方向，财务披露提供兑现证据。短线突破可决定半年关注强度，现金与产品替代决定多年价值。以目前证据，金蝶适合作为有条件的企业软件成长研究候选，必须接受估值和经营同时受挫的失败路径。</w:t>
      </w:r>
    </w:p>
    <w:p>
      <w:pPr>
        <w:pStyle w:val="Heading2"/>
        <w:rPr/>
      </w:pPr>
      <w:r>
        <w:rPr>
          <w:color w:val="000000"/>
        </w:rPr>
        <w:t>来源与模型核验</w:t>
      </w:r>
    </w:p>
    <w:p>
      <w:pPr>
        <w:pStyle w:val="Normal"/>
        <w:rPr/>
      </w:pPr>
      <w:r>
        <w:rPr/>
        <w:t>- FY2025</w:t>
      </w:r>
      <w:r>
        <w:rPr/>
        <w:t>审计年报，财务批准</w:t>
      </w:r>
      <w:r>
        <w:rPr/>
        <w:t>2026-03-17</w:t>
      </w:r>
      <w:r>
        <w:rPr/>
        <w:t>：</w:t>
      </w:r>
      <w:r>
        <w:rPr/>
        <w:t>[</w:t>
      </w:r>
      <w:r>
        <w:rPr/>
        <w:t>原件</w:t>
      </w:r>
      <w:r>
        <w:rPr/>
        <w:t>](https://investor.kingdee.com/static/temp/C_00268_03_FS_AR012_HKEx-2025AR</w:t>
      </w:r>
      <w:r>
        <w:rPr/>
        <w:t>年报</w:t>
      </w:r>
      <w:r>
        <w:rPr/>
        <w:t>_1779930082377.pdf)</w:t>
      </w:r>
      <w:r>
        <w:rPr/>
        <w:t>。保留官网文件原始毫秒标识，不以未核时区机械宣布精确上传时刻。</w:t>
      </w:r>
    </w:p>
    <w:p>
      <w:pPr>
        <w:pStyle w:val="Normal"/>
        <w:rPr/>
      </w:pPr>
      <w:r>
        <w:rPr/>
        <w:t>- H1</w:t>
      </w:r>
      <w:r>
        <w:rPr/>
        <w:t>结果董事会批准及公告</w:t>
      </w:r>
      <w:r>
        <w:rPr/>
        <w:t>2026-08-11</w:t>
      </w:r>
      <w:r>
        <w:rPr/>
        <w:t>：</w:t>
      </w:r>
      <w:r>
        <w:rPr/>
        <w:t>[</w:t>
      </w:r>
      <w:r>
        <w:rPr/>
        <w:t>原件</w:t>
      </w:r>
      <w:r>
        <w:rPr/>
        <w:t>](https://investor.kingdee.com/static/temp/ew_INTERIMRESULTSANNOUNCEMENTFORTHESIXMONTHSENDED30JUNE2026_1786438942311.pdf)</w:t>
      </w:r>
      <w:r>
        <w:rPr/>
        <w:t>。未经审计；数字按人民币千元换为百万元。</w:t>
      </w:r>
    </w:p>
    <w:p>
      <w:pPr>
        <w:pStyle w:val="Normal"/>
        <w:rPr/>
      </w:pPr>
      <w:r>
        <w:rPr/>
        <w:t>- H1</w:t>
      </w:r>
      <w:r>
        <w:rPr/>
        <w:t>中报：</w:t>
      </w:r>
      <w:r>
        <w:rPr/>
        <w:t>[</w:t>
      </w:r>
      <w:r>
        <w:rPr/>
        <w:t>原件</w:t>
      </w:r>
      <w:r>
        <w:rPr/>
        <w:t>](https://investor.kingdee.com/static/temp/ew_INTERIMREPORT2026_1788424891861.pdf)</w:t>
      </w:r>
      <w:r>
        <w:rPr/>
        <w:t>。官网原始文件</w:t>
      </w:r>
      <w:r>
        <w:rPr/>
        <w:t>1788424891861</w:t>
      </w:r>
      <w:r>
        <w:rPr/>
        <w:t>，精确上传时区待核。</w:t>
      </w:r>
    </w:p>
    <w:p>
      <w:pPr>
        <w:pStyle w:val="Normal"/>
        <w:rPr/>
      </w:pPr>
      <w:r>
        <w:rPr/>
        <w:t xml:space="preserve">- </w:t>
      </w:r>
      <w:r>
        <w:rPr/>
        <w:t>九月股数月报，文件提交</w:t>
      </w:r>
      <w:r>
        <w:rPr/>
        <w:t>2026-09-30</w:t>
      </w:r>
      <w:r>
        <w:rPr/>
        <w:t>：</w:t>
      </w:r>
      <w:r>
        <w:rPr/>
        <w:t>[</w:t>
      </w:r>
      <w:r>
        <w:rPr/>
        <w:t>原件</w:t>
      </w:r>
      <w:r>
        <w:rPr/>
        <w:t>](https://investor.kingdee.com/static/temp/e_FF301_MONTHLY_RETURN_EQUITY_V1_0_0_20260930_1790757720245.pdf)</w:t>
      </w:r>
      <w:r>
        <w:rPr/>
        <w:t>。注册股</w:t>
      </w:r>
      <w:r>
        <w:rPr/>
        <w:t>3514546771</w:t>
      </w:r>
      <w:r>
        <w:rPr/>
        <w:t>、库存</w:t>
      </w:r>
      <w:r>
        <w:rPr/>
        <w:t>0</w:t>
      </w:r>
      <w:r>
        <w:rPr/>
        <w:t>。</w:t>
      </w:r>
    </w:p>
    <w:p>
      <w:pPr>
        <w:pStyle w:val="Normal"/>
        <w:rPr/>
      </w:pPr>
      <w:r>
        <w:rPr/>
        <w:t xml:space="preserve">- </w:t>
      </w:r>
      <w:r>
        <w:rPr/>
        <w:t>机构新闻：逐条机构、日期、目标、评级和链接见</w:t>
      </w:r>
      <w:r>
        <w:rPr/>
        <w:t>data/kingdee_model.json</w:t>
      </w:r>
      <w:r>
        <w:rPr/>
        <w:t>；来源为</w:t>
      </w:r>
      <w:r>
        <w:rPr/>
        <w:t>AASTOCKS</w:t>
      </w:r>
      <w:r>
        <w:rPr/>
        <w:t>公开转载，原始研报与目标期限缺失。</w:t>
      </w:r>
    </w:p>
    <w:p>
      <w:pPr>
        <w:pStyle w:val="Normal"/>
        <w:rPr/>
      </w:pPr>
      <w:r>
        <w:rPr/>
        <w:t xml:space="preserve">- </w:t>
      </w:r>
      <w:r>
        <w:rPr/>
        <w:t>行情：</w:t>
      </w:r>
      <w:r>
        <w:rPr/>
        <w:t>data/market_snapshot_locked.json</w:t>
      </w:r>
      <w:r>
        <w:rPr/>
        <w:t>，</w:t>
      </w:r>
      <w:r>
        <w:rPr/>
        <w:t>739</w:t>
      </w:r>
      <w:r>
        <w:rPr/>
        <w:t>日、</w:t>
      </w:r>
      <w:r>
        <w:rPr/>
        <w:t>157</w:t>
      </w:r>
      <w:r>
        <w:rPr/>
        <w:t>周；以基准日名义价格归一的复权</w:t>
      </w:r>
      <w:r>
        <w:rPr/>
        <w:t>OHLC</w:t>
      </w:r>
      <w:r>
        <w:rPr/>
        <w:t>，成交量股；</w:t>
      </w:r>
      <w:r>
        <w:rPr/>
        <w:t>Tencent</w:t>
      </w:r>
      <w:r>
        <w:rPr/>
        <w:t>／</w:t>
      </w:r>
      <w:r>
        <w:rPr/>
        <w:t>Sina</w:t>
      </w:r>
      <w:r>
        <w:rPr/>
        <w:t>报价与</w:t>
      </w:r>
      <w:r>
        <w:rPr/>
        <w:t>Yahoo</w:t>
      </w:r>
      <w:r>
        <w:rPr/>
        <w:t>／</w:t>
      </w:r>
      <w:r>
        <w:rPr/>
        <w:t>Tencent</w:t>
      </w:r>
      <w:r>
        <w:rPr/>
        <w:t>历史交叉核验。不得使用下载时之后的新信息修改截止日结论。</w:t>
      </w:r>
    </w:p>
    <w:p>
      <w:pPr>
        <w:pStyle w:val="Normal"/>
        <w:rPr/>
      </w:pPr>
      <w:r>
        <w:rPr/>
        <w:t xml:space="preserve">- </w:t>
      </w:r>
      <w:r>
        <w:rPr/>
        <w:t>单套模型</w:t>
      </w:r>
      <w:r>
        <w:rPr/>
        <w:t>data/kingdee_model.json</w:t>
      </w:r>
      <w:r>
        <w:rPr/>
        <w:t>；</w:t>
      </w:r>
      <w:r>
        <w:rPr/>
        <w:t>kingdee-cloud-evsales-cash-reserve-v1.0</w:t>
      </w:r>
      <w:r>
        <w:rPr/>
        <w:t>。</w:t>
      </w:r>
      <w:r>
        <w:rPr/>
        <w:t>EPS</w:t>
      </w:r>
      <w:r>
        <w:rPr/>
        <w:t>六位、目标价末端两位；云现金率只交叉验证不加值，额外转型储备不重复正常研发；三情景</w:t>
      </w:r>
      <w:r>
        <w:rPr/>
        <w:t>15</w:t>
      </w:r>
      <w:r>
        <w:rPr/>
        <w:t>组逐项核验。</w:t>
      </w:r>
      <w:r>
        <w:br w:type="page"/>
      </w:r>
    </w:p>
    <w:p>
      <w:pPr>
        <w:pStyle w:val="Heading1"/>
        <w:rPr/>
      </w:pPr>
      <w:bookmarkStart w:id="5" w:name="__RefHeading___Toc21200_312338234"/>
      <w:bookmarkEnd w:id="5"/>
      <w:r>
        <w:rPr>
          <w:color w:val="000000"/>
        </w:rPr>
        <w:t xml:space="preserve">舜宇光学科技 </w:t>
      </w:r>
      <w:r>
        <w:rPr>
          <w:color w:val="000000"/>
        </w:rPr>
        <w:t>02382 HK</w:t>
      </w:r>
    </w:p>
    <w:p>
      <w:pPr>
        <w:pStyle w:val="Normal"/>
        <w:rPr/>
      </w:pPr>
      <w:r>
        <w:rPr/>
        <w:t xml:space="preserve">02382.HK </w:t>
      </w:r>
      <w:r>
        <w:rPr/>
        <w:t xml:space="preserve">现价 </w:t>
      </w:r>
      <w:r>
        <w:rPr/>
        <w:t>60.50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63.20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78.97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+30.53%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+30.53%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73.90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96.11</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+58.86%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+60.68%</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79.50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129.53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+114.10%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+121.04%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146.02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+141.36%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+155.40%</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24.14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-60.10%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66.11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+9.27%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115.04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+90.15%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67.85HKD</w:t>
      </w:r>
      <w:r>
        <w:rPr/>
        <w:t>，期望股价回报</w:t>
      </w:r>
      <w:r>
        <w:rPr/>
        <w:t>+12.15%</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20.63</w:t>
              <w:br/>
              <w:t>-65.90%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78.97</w:t>
              <w:br/>
              <w:t>+30.53%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138.19</w:t>
              <w:br/>
              <w:t>+128.41%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16.04</w:t>
              <w:br/>
              <w:t>-73.49%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96.11</w:t>
              <w:br/>
              <w:t>+58.86%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174.90</w:t>
              <w:br/>
              <w:t>+189.09%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11.91</w:t>
              <w:br/>
              <w:t>-80.31%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129.53</w:t>
              <w:br/>
              <w:t>+114.10%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293.98</w:t>
              <w:br/>
              <w:t>+385.92%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+30.26%</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8.76</w:t>
              <w:br/>
              <w:t>-85.52%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146.02</w:t>
              <w:br/>
              <w:t>+141.36%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404.14</w:t>
              <w:br/>
              <w:t>+568.00%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+20.63%</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中：财报和双源行情高，产品</w:t>
            </w:r>
            <w:r>
              <w:rPr>
                <w:rFonts w:eastAsia="微软雅黑" w:ascii="微软雅黑" w:hAnsi="微软雅黑"/>
                <w:sz w:val="17"/>
              </w:rPr>
              <w:t>/</w:t>
            </w:r>
            <w:r>
              <w:rPr>
                <w:rFonts w:ascii="微软雅黑" w:hAnsi="微软雅黑" w:eastAsia="微软雅黑"/>
                <w:sz w:val="17"/>
              </w:rPr>
              <w:t>客户与指引新闻中，远期毛利、增长、税与股数假设中低</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+30.53%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+37.06%</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+52.64%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+60.68%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+68.71%</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+109.99%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+121.04%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+132.09%</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+142.63%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+155.40%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+168.18%</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I076</w:t>
      </w:r>
      <w:r>
        <w:rPr/>
        <w:t>，证券</w:t>
      </w:r>
      <w:r>
        <w:rPr/>
        <w:t>S087</w:t>
      </w:r>
      <w:r>
        <w:rPr/>
        <w:t>，</w:t>
      </w:r>
      <w:r>
        <w:rPr/>
        <w:t>02382.HK</w:t>
      </w:r>
      <w:r>
        <w:rPr/>
        <w:t>（用户</w:t>
      </w:r>
      <w:r>
        <w:rPr/>
        <w:t>2382.HK</w:t>
      </w:r>
      <w:r>
        <w:rPr/>
        <w:t>）。研究初版，价格及资料截止</w:t>
      </w:r>
      <w:r>
        <w:rPr/>
        <w:t>2026-10-09</w:t>
      </w:r>
      <w:r>
        <w:rPr/>
        <w:t>，收盘</w:t>
      </w:r>
      <w:r>
        <w:rPr/>
        <w:t>60.50</w:t>
      </w:r>
      <w:r>
        <w:rPr/>
        <w:t>港元；财务人民币，人民币兑港币</w:t>
      </w:r>
      <w:r>
        <w:rPr/>
        <w:t>1.10</w:t>
      </w:r>
      <w:r>
        <w:rPr/>
        <w:t>为研究假设。标题、元数据、结论卡、表格、来源及共用宏观不计有效正文。</w:t>
      </w:r>
    </w:p>
    <w:p>
      <w:pPr>
        <w:pStyle w:val="Heading2"/>
        <w:rPr/>
      </w:pPr>
      <w:r>
        <w:rPr>
          <w:color w:val="000000"/>
        </w:rPr>
        <w:t>结论卡</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本章判断</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悲观／基准／乐观港元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基准股价／含息回报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正常盈利修复、短线回撤待确认</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20.63</w:t>
            </w:r>
            <w:r>
              <w:rPr>
                <w:rFonts w:ascii="微软雅黑" w:hAnsi="微软雅黑" w:eastAsia="微软雅黑"/>
                <w:sz w:val="17"/>
              </w:rPr>
              <w:t>／</w:t>
            </w:r>
            <w:r>
              <w:rPr>
                <w:rFonts w:eastAsia="微软雅黑" w:ascii="微软雅黑" w:hAnsi="微软雅黑"/>
                <w:sz w:val="17"/>
              </w:rPr>
              <w:t>78.97</w:t>
            </w:r>
            <w:r>
              <w:rPr>
                <w:rFonts w:ascii="微软雅黑" w:hAnsi="微软雅黑" w:eastAsia="微软雅黑"/>
                <w:sz w:val="17"/>
              </w:rPr>
              <w:t>／</w:t>
            </w:r>
            <w:r>
              <w:rPr>
                <w:rFonts w:eastAsia="微软雅黑" w:ascii="微软雅黑" w:hAnsi="微软雅黑"/>
                <w:sz w:val="17"/>
              </w:rPr>
              <w:t>138.19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30.53%</w:t>
            </w:r>
            <w:r>
              <w:rPr>
                <w:rFonts w:ascii="微软雅黑" w:hAnsi="微软雅黑" w:eastAsia="微软雅黑"/>
                <w:sz w:val="17"/>
              </w:rPr>
              <w:t>／</w:t>
            </w:r>
            <w:r>
              <w:rPr>
                <w:rFonts w:eastAsia="微软雅黑" w:ascii="微软雅黑" w:hAnsi="微软雅黑"/>
                <w:sz w:val="17"/>
              </w:rPr>
              <w:t>30.53%</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光学升级与多元利润候选</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16.04</w:t>
            </w:r>
            <w:r>
              <w:rPr>
                <w:rFonts w:ascii="微软雅黑" w:hAnsi="微软雅黑" w:eastAsia="微软雅黑"/>
                <w:sz w:val="17"/>
              </w:rPr>
              <w:t>／</w:t>
            </w:r>
            <w:r>
              <w:rPr>
                <w:rFonts w:eastAsia="微软雅黑" w:ascii="微软雅黑" w:hAnsi="微软雅黑"/>
                <w:sz w:val="17"/>
              </w:rPr>
              <w:t>96.11</w:t>
            </w:r>
            <w:r>
              <w:rPr>
                <w:rFonts w:ascii="微软雅黑" w:hAnsi="微软雅黑" w:eastAsia="微软雅黑"/>
                <w:sz w:val="17"/>
              </w:rPr>
              <w:t>／</w:t>
            </w:r>
            <w:r>
              <w:rPr>
                <w:rFonts w:eastAsia="微软雅黑" w:ascii="微软雅黑" w:hAnsi="微软雅黑"/>
                <w:sz w:val="17"/>
              </w:rPr>
              <w:t>174.90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58.86%</w:t>
            </w:r>
            <w:r>
              <w:rPr>
                <w:rFonts w:ascii="微软雅黑" w:hAnsi="微软雅黑" w:eastAsia="微软雅黑"/>
                <w:sz w:val="17"/>
              </w:rPr>
              <w:t>／</w:t>
            </w:r>
            <w:r>
              <w:rPr>
                <w:rFonts w:eastAsia="微软雅黑" w:ascii="微软雅黑" w:hAnsi="微软雅黑"/>
                <w:sz w:val="17"/>
              </w:rPr>
              <w:t>60.68%</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79.5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制造技术平台成长候选</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11.91</w:t>
            </w:r>
            <w:r>
              <w:rPr>
                <w:rFonts w:ascii="微软雅黑" w:hAnsi="微软雅黑" w:eastAsia="微软雅黑"/>
                <w:sz w:val="17"/>
              </w:rPr>
              <w:t>／</w:t>
            </w:r>
            <w:r>
              <w:rPr>
                <w:rFonts w:eastAsia="微软雅黑" w:ascii="微软雅黑" w:hAnsi="微软雅黑"/>
                <w:sz w:val="17"/>
              </w:rPr>
              <w:t>129.53</w:t>
            </w:r>
            <w:r>
              <w:rPr>
                <w:rFonts w:ascii="微软雅黑" w:hAnsi="微软雅黑" w:eastAsia="微软雅黑"/>
                <w:sz w:val="17"/>
              </w:rPr>
              <w:t>／</w:t>
            </w:r>
            <w:r>
              <w:rPr>
                <w:rFonts w:eastAsia="微软雅黑" w:ascii="微软雅黑" w:hAnsi="微软雅黑"/>
                <w:sz w:val="17"/>
              </w:rPr>
              <w:t>293.98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114.10%</w:t>
            </w:r>
            <w:r>
              <w:rPr>
                <w:rFonts w:ascii="微软雅黑" w:hAnsi="微软雅黑" w:eastAsia="微软雅黑"/>
                <w:sz w:val="17"/>
              </w:rPr>
              <w:t>／</w:t>
            </w:r>
            <w:r>
              <w:rPr>
                <w:rFonts w:eastAsia="微软雅黑" w:ascii="微软雅黑" w:hAnsi="微软雅黑"/>
                <w:sz w:val="17"/>
              </w:rPr>
              <w:t>121.04%</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需长期资本效率和客户验证</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8.76</w:t>
            </w:r>
            <w:r>
              <w:rPr>
                <w:rFonts w:ascii="微软雅黑" w:hAnsi="微软雅黑" w:eastAsia="微软雅黑"/>
                <w:sz w:val="17"/>
              </w:rPr>
              <w:t>／</w:t>
            </w:r>
            <w:r>
              <w:rPr>
                <w:rFonts w:eastAsia="微软雅黑" w:ascii="微软雅黑" w:hAnsi="微软雅黑"/>
                <w:sz w:val="17"/>
              </w:rPr>
              <w:t>146.02</w:t>
            </w:r>
            <w:r>
              <w:rPr>
                <w:rFonts w:ascii="微软雅黑" w:hAnsi="微软雅黑" w:eastAsia="微软雅黑"/>
                <w:sz w:val="17"/>
              </w:rPr>
              <w:t>／</w:t>
            </w:r>
            <w:r>
              <w:rPr>
                <w:rFonts w:eastAsia="微软雅黑" w:ascii="微软雅黑" w:hAnsi="微软雅黑"/>
                <w:sz w:val="17"/>
              </w:rPr>
              <w:t>404.14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141.36%</w:t>
            </w:r>
            <w:r>
              <w:rPr>
                <w:rFonts w:ascii="微软雅黑" w:hAnsi="微软雅黑" w:eastAsia="微软雅黑"/>
                <w:sz w:val="17"/>
              </w:rPr>
              <w:t>／</w:t>
            </w:r>
            <w:r>
              <w:rPr>
                <w:rFonts w:eastAsia="微软雅黑" w:ascii="微软雅黑" w:hAnsi="微软雅黑"/>
                <w:sz w:val="17"/>
              </w:rPr>
              <w:t>155.40%</w:t>
            </w:r>
          </w:p>
        </w:tc>
      </w:tr>
    </w:tbl>
    <w:p>
      <w:pPr>
        <w:pStyle w:val="Normal"/>
        <w:rPr/>
      </w:pPr>
      <w:r>
        <w:rPr/>
      </w:r>
    </w:p>
    <w:p>
      <w:pPr>
        <w:pStyle w:val="Normal"/>
        <w:rPr/>
      </w:pPr>
      <w:r>
        <w:rPr/>
        <w:t>累计未来现金息半年</w:t>
      </w:r>
      <w:r>
        <w:rPr/>
        <w:t>0</w:t>
      </w:r>
      <w:r>
        <w:rPr/>
        <w:t>／</w:t>
      </w:r>
      <w:r>
        <w:rPr/>
        <w:t>0</w:t>
      </w:r>
      <w:r>
        <w:rPr/>
        <w:t>／</w:t>
      </w:r>
      <w:r>
        <w:rPr/>
        <w:t>0</w:t>
      </w:r>
      <w:r>
        <w:rPr/>
        <w:t>，一年</w:t>
      </w:r>
      <w:r>
        <w:rPr/>
        <w:t>0.4</w:t>
      </w:r>
      <w:r>
        <w:rPr/>
        <w:t>／</w:t>
      </w:r>
      <w:r>
        <w:rPr/>
        <w:t>1.1</w:t>
      </w:r>
      <w:r>
        <w:rPr/>
        <w:t>／</w:t>
      </w:r>
      <w:r>
        <w:rPr/>
        <w:t>1.5</w:t>
      </w:r>
      <w:r>
        <w:rPr/>
        <w:t>，三年</w:t>
      </w:r>
      <w:r>
        <w:rPr/>
        <w:t>1.1</w:t>
      </w:r>
      <w:r>
        <w:rPr/>
        <w:t>／</w:t>
      </w:r>
      <w:r>
        <w:rPr/>
        <w:t>4.2</w:t>
      </w:r>
      <w:r>
        <w:rPr/>
        <w:t>／</w:t>
      </w:r>
      <w:r>
        <w:rPr/>
        <w:t>6.4</w:t>
      </w:r>
      <w:r>
        <w:rPr/>
        <w:t>，五年</w:t>
      </w:r>
      <w:r>
        <w:rPr/>
        <w:t>1.8</w:t>
      </w:r>
      <w:r>
        <w:rPr/>
        <w:t>／</w:t>
      </w:r>
      <w:r>
        <w:rPr/>
        <w:t>8.5</w:t>
      </w:r>
      <w:r>
        <w:rPr/>
        <w:t>／</w:t>
      </w:r>
      <w:r>
        <w:rPr/>
        <w:t>14</w:t>
      </w:r>
      <w:r>
        <w:rPr/>
        <w:t>港元，研究假设。基准三年、五年含息年化</w:t>
      </w:r>
      <w:r>
        <w:rPr/>
        <w:t>30.26%</w:t>
      </w:r>
      <w:r>
        <w:rPr/>
        <w:t>、</w:t>
      </w:r>
      <w:r>
        <w:rPr/>
        <w:t>20.63%</w:t>
      </w:r>
      <w:r>
        <w:rPr/>
        <w:t>。</w:t>
      </w:r>
      <w:r>
        <w:rPr/>
        <w:t>2026-06-05</w:t>
      </w:r>
      <w:r>
        <w:rPr/>
        <w:t>已除息、</w:t>
      </w:r>
      <w:r>
        <w:rPr/>
        <w:t>6/26</w:t>
      </w:r>
      <w:r>
        <w:rPr/>
        <w:t>已支付</w:t>
      </w:r>
      <w:r>
        <w:rPr/>
        <w:t>1.206</w:t>
      </w:r>
      <w:r>
        <w:rPr/>
        <w:t>港元不重复计入未来。全名单名次、梯队由总表按同一规则计算，评分不等于获利概率。</w:t>
      </w:r>
    </w:p>
    <w:p>
      <w:pPr>
        <w:pStyle w:val="Normal"/>
        <w:rPr/>
      </w:pPr>
      <w:r>
        <w:rPr/>
        <w:t>年底</w:t>
      </w:r>
      <w:r>
        <w:rPr/>
        <w:t>24.14</w:t>
      </w:r>
      <w:r>
        <w:rPr/>
        <w:t>／</w:t>
      </w:r>
      <w:r>
        <w:rPr/>
        <w:t>66.11</w:t>
      </w:r>
      <w:r>
        <w:rPr/>
        <w:t>／</w:t>
      </w:r>
      <w:r>
        <w:rPr/>
        <w:t>115.04</w:t>
      </w:r>
      <w:r>
        <w:rPr/>
        <w:t>港元，涨跌−</w:t>
      </w:r>
      <w:r>
        <w:rPr/>
        <w:t>60.10%</w:t>
      </w:r>
      <w:r>
        <w:rPr/>
        <w:t>／</w:t>
      </w:r>
      <w:r>
        <w:rPr/>
        <w:t>+9.27%</w:t>
      </w:r>
      <w:r>
        <w:rPr/>
        <w:t>／</w:t>
      </w:r>
      <w:r>
        <w:rPr/>
        <w:t>+90.15%</w:t>
      </w:r>
      <w:r>
        <w:rPr/>
        <w:t>；判断权重</w:t>
      </w:r>
      <w:r>
        <w:rPr/>
        <w:t>25%</w:t>
      </w:r>
      <w:r>
        <w:rPr/>
        <w:t>／</w:t>
      </w:r>
      <w:r>
        <w:rPr/>
        <w:t>50%</w:t>
      </w:r>
      <w:r>
        <w:rPr/>
        <w:t>／</w:t>
      </w:r>
      <w:r>
        <w:rPr/>
        <w:t>25%</w:t>
      </w:r>
      <w:r>
        <w:rPr/>
        <w:t>期望</w:t>
      </w:r>
      <w:r>
        <w:rPr/>
        <w:t>67.85</w:t>
      </w:r>
      <w:r>
        <w:rPr/>
        <w:t>港元、</w:t>
      </w:r>
      <w:r>
        <w:rPr/>
        <w:t>+12.15%</w:t>
      </w:r>
      <w:r>
        <w:rPr/>
        <w:t>。防御</w:t>
      </w:r>
      <w:r>
        <w:rPr/>
        <w:t>40%</w:t>
      </w:r>
      <w:r>
        <w:rPr/>
        <w:t>／</w:t>
      </w:r>
      <w:r>
        <w:rPr/>
        <w:t>50%</w:t>
      </w:r>
      <w:r>
        <w:rPr/>
        <w:t>／</w:t>
      </w:r>
      <w:r>
        <w:rPr/>
        <w:t>10%</w:t>
      </w:r>
      <w:r>
        <w:rPr/>
        <w:t>为</w:t>
      </w:r>
      <w:r>
        <w:rPr/>
        <w:t>54.215</w:t>
      </w:r>
      <w:r>
        <w:rPr/>
        <w:t>港元、−</w:t>
      </w:r>
      <w:r>
        <w:rPr/>
        <w:t>10.39%</w:t>
      </w:r>
      <w:r>
        <w:rPr/>
        <w:t>；积极</w:t>
      </w:r>
      <w:r>
        <w:rPr/>
        <w:t>10%</w:t>
      </w:r>
      <w:r>
        <w:rPr/>
        <w:t>／</w:t>
      </w:r>
      <w:r>
        <w:rPr/>
        <w:t>50%</w:t>
      </w:r>
      <w:r>
        <w:rPr/>
        <w:t>／</w:t>
      </w:r>
      <w:r>
        <w:rPr/>
        <w:t>40%</w:t>
      </w:r>
      <w:r>
        <w:rPr/>
        <w:t>为</w:t>
      </w:r>
      <w:r>
        <w:rPr/>
        <w:t>81.485</w:t>
      </w:r>
      <w:r>
        <w:rPr/>
        <w:t>港元、</w:t>
      </w:r>
      <w:r>
        <w:rPr/>
        <w:t>+34.69%</w:t>
      </w:r>
      <w:r>
        <w:rPr/>
        <w:t>。情景区间不是统计置信区间或最大损失边界。</w:t>
      </w:r>
    </w:p>
    <w:p>
      <w:pPr>
        <w:pStyle w:val="Normal"/>
        <w:rPr/>
      </w:pPr>
      <w:r>
        <w:rPr/>
        <w:t>关键风险：手机需求及客户降价、存储器成本传导、车载竞争、</w:t>
      </w:r>
      <w:r>
        <w:rPr/>
        <w:t>XR</w:t>
      </w:r>
      <w:r>
        <w:rPr/>
        <w:t>转型与联营治理、其他产品组合不透明、资本开支及折旧、库存和票据融资、税与新债、法律库存股再使用和奖励稀释。推荐成立需高端化、其他新设备和车载增长覆盖持续研发与资本成本，正常利润和现金改善，不靠</w:t>
      </w:r>
      <w:r>
        <w:rPr/>
        <w:t>2025</w:t>
      </w:r>
      <w:r>
        <w:rPr/>
        <w:t>换股收益。可信度中：报表行情高，客户订单及指引转述中，长期毛利、销量及</w:t>
      </w:r>
      <w:r>
        <w:rPr/>
        <w:t>PE</w:t>
      </w:r>
      <w:r>
        <w:rPr/>
        <w:t>中低。</w:t>
      </w:r>
    </w:p>
    <w:p>
      <w:pPr>
        <w:pStyle w:val="Heading2"/>
        <w:rPr/>
      </w:pPr>
      <w:r>
        <w:rPr>
          <w:color w:val="000000"/>
        </w:rPr>
        <w:t>一 经营价值的核心</w:t>
      </w:r>
    </w:p>
    <w:p>
      <w:pPr>
        <w:pStyle w:val="Normal"/>
        <w:rPr/>
      </w:pPr>
      <w:r>
        <w:rPr/>
        <w:t>舜宇的投资价值来自精密光学设计、量产良率、复杂组装和客户交付，而不是所有带摄像头的新设备都必然带来高利润。它从手机镜头与模组延伸到车载、</w:t>
      </w:r>
      <w:r>
        <w:rPr/>
        <w:t>XR</w:t>
      </w:r>
      <w:r>
        <w:rPr/>
        <w:t>和其他成像系统，技术积累可以在场景间迁移，订单和经济回报却需要逐项验证。大量设备使用视觉感知支持需求空间，同时也吸引供应商竞争和客户自制。分析要把行业采用率、公司份额、售价和制造成本连接起来，才能判断每股盈利。</w:t>
      </w:r>
    </w:p>
    <w:p>
      <w:pPr>
        <w:pStyle w:val="Normal"/>
        <w:rPr/>
      </w:pPr>
      <w:r>
        <w:rPr/>
        <w:t>截至十月九日收盘六十点五港元，行情以锁定双源数据为准。二零二五完整年报四月二十四日收盘后公开，二零二六上半年业绩八月二十六日收盘后公布，中期报告九月二十一日中午发布。价格、资料日期、报告期分开保存，截止后的新产品销售和估值变化不反向入模。本章不把研报对下半年或二零二七年的预测当实际，也不将尚未完成的分拆或增资当作既成资产结构。</w:t>
      </w:r>
    </w:p>
    <w:p>
      <w:pPr>
        <w:pStyle w:val="Normal"/>
        <w:rPr/>
      </w:pPr>
      <w:r>
        <w:rPr/>
        <w:t>二零二五净利润显著增长包含换股交易收益，二零二六上半年净利增幅与收入增幅接近，分部毛利走势却分化。若只看集团增长，会遗漏手机、车载和</w:t>
      </w:r>
      <w:r>
        <w:rPr/>
        <w:t>XR</w:t>
      </w:r>
      <w:r>
        <w:rPr/>
        <w:t>毛利的压力以及其他产品的贡献。活动估值使用四分部收入和正常毛利，统一扣常态研发、销售、管理，再计算税后归属与股数。这样的桥可以区分收入扩张、组合改善和一次性资产交易，避免把不同增长来源都套同一高估值。</w:t>
      </w:r>
    </w:p>
    <w:p>
      <w:pPr>
        <w:pStyle w:val="Normal"/>
        <w:rPr/>
      </w:pPr>
      <w:r>
        <w:rPr/>
        <w:t>半年关注股价回撤、成交与新机周期，一年等待完整正常盈利，三年评估车载与新设备规模化，五年进一步看资本效率和技术替代。当前三年得分较高，意味着有条件成长空间，而非所有时点都适合相同买入价。制造企业可能经营改善却遭客户压价，也可能新场景收入增加但资本回报不足。远期目标更高，需要更多兑现条件，不能把时间长理解为风险自然减少。</w:t>
      </w:r>
    </w:p>
    <w:p>
      <w:pPr>
        <w:pStyle w:val="Heading2"/>
        <w:rPr/>
      </w:pPr>
      <w:r>
        <w:rPr>
          <w:color w:val="000000"/>
        </w:rPr>
        <w:t>二 四分部披露与利润边界</w:t>
      </w:r>
    </w:p>
    <w:p>
      <w:pPr>
        <w:pStyle w:val="Normal"/>
        <w:rPr/>
      </w:pPr>
      <w:r>
        <w:rPr/>
        <w:t>公司改按手机、车载、</w:t>
      </w:r>
      <w:r>
        <w:rPr/>
        <w:t>XR</w:t>
      </w:r>
      <w:r>
        <w:rPr/>
        <w:t>和其他产品报告分部，并将二零二四比较数据重列。以前光学零件、光电产品和仪器的分类不宜直接与新结构拼接计算增长。二零二五收入四百三十二点二九一二六亿元，手机二百七十三点二四零四四亿元、车载七十三点二七七五二、</w:t>
      </w:r>
      <w:r>
        <w:rPr/>
        <w:t>XR</w:t>
      </w:r>
      <w:r>
        <w:rPr/>
        <w:t>二十三点九三四六六、其他六十一点八三八六四亿元。分类改变提高场景可读性，但没有提供各分部完整资产负债和经营现金。</w:t>
      </w:r>
    </w:p>
    <w:p>
      <w:pPr>
        <w:pStyle w:val="Normal"/>
        <w:rPr/>
      </w:pPr>
      <w:r>
        <w:rPr/>
        <w:t>分部所谓利润率实际上是毛利层面的</w:t>
      </w:r>
      <w:r>
        <w:rPr/>
        <w:t>segment margin</w:t>
      </w:r>
      <w:r>
        <w:rPr/>
        <w:t>，未分配研发、销售、管理、融资和联营等。二零二五手机毛利四十点零四四一一亿元、车载二十三点四零八四四、</w:t>
      </w:r>
      <w:r>
        <w:rPr/>
        <w:t>XR</w:t>
      </w:r>
      <w:r>
        <w:rPr/>
        <w:t>四点六八九二二、其他十七点零一七一一亿元，合计八十五点一五八八八。若把每个毛利乘</w:t>
      </w:r>
      <w:r>
        <w:rPr/>
        <w:t>PE</w:t>
      </w:r>
      <w:r>
        <w:rPr/>
        <w:t>再相加，等于漏掉数十亿元持续费用，严重高估价值。研究在分部毛利桥后统一扣未分摊成本，保持与集团正常利润相容。</w:t>
      </w:r>
    </w:p>
    <w:p>
      <w:pPr>
        <w:pStyle w:val="Normal"/>
        <w:rPr/>
      </w:pPr>
      <w:r>
        <w:rPr/>
        <w:t>上半年收入二百一十九点零五七零四亿元，手机一百三十一点四八六二八、车载三十七点六一九二八、</w:t>
      </w:r>
      <w:r>
        <w:rPr/>
        <w:t>XR</w:t>
      </w:r>
      <w:r>
        <w:rPr/>
        <w:t>九点五五七二、其他四十点三九四二八亿元。手机收入略降，车载和</w:t>
      </w:r>
      <w:r>
        <w:rPr/>
        <w:t>XR</w:t>
      </w:r>
      <w:r>
        <w:rPr/>
        <w:t>增长，其他接近倍增，不能说所有产品线增长相同。其他分部占比提高有助多元化，同时使收入质量和成本结构更需要解释。没有披露每个新业务详细利润与客户，模型不将机器人、相机或光学互连分别虚构规模。</w:t>
      </w:r>
    </w:p>
    <w:p>
      <w:pPr>
        <w:pStyle w:val="Normal"/>
        <w:rPr/>
      </w:pPr>
      <w:r>
        <w:rPr/>
        <w:t>上半年毛利手机十六点一五二九七亿元、车载十一点三八六四四、</w:t>
      </w:r>
      <w:r>
        <w:rPr/>
        <w:t>XR</w:t>
      </w:r>
      <w:r>
        <w:rPr/>
        <w:t>一点二四五零三、其他十三点九零二二二亿元。手机毛利率约百分之十二点二八、车载三十点二七、</w:t>
      </w:r>
      <w:r>
        <w:rPr/>
        <w:t>XR</w:t>
      </w:r>
      <w:r>
        <w:rPr/>
        <w:t>十三点零三、其他三十四点四二，与全年结构不同。其他改善弥补前三类压力，说明整体毛利率变化不能只解释为手机高端化。研究分别设正常毛利区间，不把最高历史分部率永久用于全部收入。</w:t>
      </w:r>
    </w:p>
    <w:p>
      <w:pPr>
        <w:pStyle w:val="Heading2"/>
        <w:rPr/>
      </w:pPr>
      <w:r>
        <w:rPr>
          <w:color w:val="000000"/>
        </w:rPr>
        <w:t>三 手机销量与单机光学价值</w:t>
      </w:r>
    </w:p>
    <w:p>
      <w:pPr>
        <w:pStyle w:val="Normal"/>
        <w:rPr/>
      </w:pPr>
      <w:r>
        <w:rPr/>
        <w:t>智能手机总量趋成熟，替换周期、居民购买力和品牌竞争限制销量弹性。光学价值仍可随主摄、潜望镜、变焦、防抖和高精度前摄升级提高，但镜头数量和规格并非无限增加。厂商在成像、薄型化、功耗和成本之间取舍，单机预算会随其他元件涨价调整。公司可以凭技术争取高端项目，却需要让客户相信性能改善值得增加采购成本，不能只靠市场换机新闻推导营收。</w:t>
      </w:r>
    </w:p>
    <w:p>
      <w:pPr>
        <w:pStyle w:val="Normal"/>
        <w:rPr/>
      </w:pPr>
      <w:r>
        <w:rPr/>
        <w:t>年报及中期描述大像面主摄、潜望长焦、玻塑混合镜头等技术，支持在高难产品中的能力积累。量产验证涉及材料、模具、精度和组装，经验有助良率与交付。但规格领先不自动赋予永久高毛利，客户认证通过后仍会谈价或引入第二供应商。模型基准手机毛利从上半年较低水平逐步恢复，需要结构、良率和采购成本共同支持；没有将每项新品技术各加独立估值。</w:t>
      </w:r>
    </w:p>
    <w:p>
      <w:pPr>
        <w:pStyle w:val="Normal"/>
        <w:rPr/>
      </w:pPr>
      <w:r>
        <w:rPr/>
        <w:t>手机摄像模组还包括执行器、防抖、封装和校准，价值不仅是玻璃或塑料片。自研执行器和高精度组装可能提高协同，亦需要研发和设备投入。客户可能要求更多功能但不给同等涨价，导致收入增长而毛利受压。研究观察手机分部毛利而不只看镜头规格和模组出货量，资本现金与折旧也需留在盈利评价中，避免把复杂产品的制造成本误当一次性可加回支出。</w:t>
      </w:r>
    </w:p>
    <w:p>
      <w:pPr>
        <w:pStyle w:val="Normal"/>
        <w:rPr/>
      </w:pPr>
      <w:r>
        <w:rPr/>
        <w:t>存储器供给及价格会挤压终端厂商预算，影响新机数量和摄影元件选择，这是间接传导而非舜宇采购全部存储器。若整机成本上升，品牌可能减少低毛利型号或降低其他部件采购价格，舜宇需要通过高端项目和份额减轻影响。半年及一年悲观情景包括手机收入停滞、毛利难恢复；乐观则需要高端采用和客户份额改善，不能仅凭</w:t>
      </w:r>
      <w:r>
        <w:rPr/>
        <w:t>AI</w:t>
      </w:r>
      <w:r>
        <w:rPr/>
        <w:t>手机名称就假设摄像模组盈利提升。</w:t>
      </w:r>
    </w:p>
    <w:p>
      <w:pPr>
        <w:pStyle w:val="Heading2"/>
        <w:rPr/>
      </w:pPr>
      <w:r>
        <w:rPr>
          <w:color w:val="000000"/>
        </w:rPr>
        <w:t>四 良率 规模和客户议价</w:t>
      </w:r>
    </w:p>
    <w:p>
      <w:pPr>
        <w:pStyle w:val="Normal"/>
        <w:rPr/>
      </w:pPr>
      <w:r>
        <w:rPr/>
        <w:t>精密光学的护城河在一致性和量产，实验室性能与高产量良率是不同能力。生产规模可以分摊设备和工程成本，若新品工艺成熟慢，报废、返工与验证费用也会增加。模型中的毛利包含正常制造损耗和折旧，不把所有新品爬坡损失都当作未来必然消失。技术突破能支持订单，最终应由收入、毛利和资本效率确认，宣传的容量提升不直接等于已实现利润增长。</w:t>
      </w:r>
    </w:p>
    <w:p>
      <w:pPr>
        <w:pStyle w:val="Normal"/>
        <w:rPr/>
      </w:pPr>
      <w:r>
        <w:rPr/>
        <w:t>客户认证使换供应商有时间成本，但手机品牌规模较大、年度项目更新快，仍有明显议价能力。公司份额上升可能来自成本和质量竞争，未必来自提高价格。若高端项目盈利很好，客户会推动降价或双供，供应商需要持续升级维持回报。三年增长模型让正常手机毛利恢复而非无限扩大，并将研发随规模上升，体现优势需要不断维护的经济成本。</w:t>
      </w:r>
    </w:p>
    <w:p>
      <w:pPr>
        <w:pStyle w:val="Normal"/>
        <w:rPr/>
      </w:pPr>
      <w:r>
        <w:rPr/>
        <w:t>二零二五前两大披露客户收入分别约四十八点九三和四十四点七二亿元，多为手机相关，集中度不可忽视。披露按客户所在地与终端消费不同，海外客户收入不能直接等同海外生产或最终消费国家。客户型号销量失误、认证延后或采购转移可能同时影响库存、设备利用和应收。风险分保留这一集中性，研究不为市场传闻客户名称补造精确份额和未来订单金额。</w:t>
      </w:r>
    </w:p>
    <w:p>
      <w:pPr>
        <w:pStyle w:val="Normal"/>
        <w:rPr/>
      </w:pPr>
      <w:r>
        <w:rPr/>
        <w:t>客户自制、竞争者技术追赶和成像方案改变是长期反证。计算摄影能与光学升级共同提高体验，也可能降低某些硬件的边际需求。公司如果只在成熟标准品竞争，规模可能难以抵消价格下降；若在高难镜头、系统集成和新场景持续增加价值，利润可更稳定。五年评分因此略低于三年，成长空间与技术和客户替代风险同时存在，不能用近年市占率永久外推。</w:t>
      </w:r>
    </w:p>
    <w:p>
      <w:pPr>
        <w:pStyle w:val="Heading2"/>
        <w:rPr/>
      </w:pPr>
      <w:r>
        <w:rPr>
          <w:color w:val="000000"/>
        </w:rPr>
        <w:t>五 车载需求与验证周期</w:t>
      </w:r>
    </w:p>
    <w:p>
      <w:pPr>
        <w:pStyle w:val="Normal"/>
        <w:rPr/>
      </w:pPr>
      <w:r>
        <w:rPr/>
        <w:t>车载摄像及感知需要温度、震动、寿命和安全可靠性，认证周期更长，已获得项目可能有较长生命周期。驾驶辅助和智能座舱增加视觉传感需求，车辆数量与每辆使用数量共同影响市场。研究不能把未来每车十二至十五枚镜头的研报目标当所有车型已采用，更不能假设公司拥有全部份额。实际收入要看车辆销售、装配率、项目份额及价格，安全标准提高也会带来成本。</w:t>
      </w:r>
    </w:p>
    <w:p>
      <w:pPr>
        <w:pStyle w:val="Normal"/>
        <w:rPr/>
      </w:pPr>
      <w:r>
        <w:rPr/>
        <w:t>车载收入上半年增加约一成一，而毛利金额接近持平，毛利率从比较期约三十三点四五降到三十点二七。这个变化提示增长不完全转成利润，可能涉及产品、价格和成本组合，报表不足以锁定单一原因。模型基准车载正常率约三成而非沿用最高历史率，远期进一步考虑竞争成熟。新订单强与毛利弱可同时出现，不应为了</w:t>
      </w:r>
      <w:r>
        <w:rPr/>
        <w:t>AI</w:t>
      </w:r>
      <w:r>
        <w:rPr/>
        <w:t>汽车叙事忽略实际分部利润。</w:t>
      </w:r>
    </w:p>
    <w:p>
      <w:pPr>
        <w:pStyle w:val="Normal"/>
        <w:rPr/>
      </w:pPr>
      <w:r>
        <w:rPr/>
        <w:t>车载行业整车价格竞争会向零部件传导，销量增长未必提高供应商单位毛利。长认证周期既构成进入门槛，也可能锁定成本与交付义务，项目盈利要持续维护。客户分散到多个品牌可以降低单一车型风险，却带来多规格和质量管理复杂度。舜宇的规模、研发和交付有一定优势，投资判断需要看新增项目毛利和资本需求，而不是对所有新增镜头按手机高端售价计算。</w:t>
      </w:r>
    </w:p>
    <w:p>
      <w:pPr>
        <w:pStyle w:val="Normal"/>
        <w:rPr/>
      </w:pPr>
      <w:r>
        <w:rPr/>
        <w:t>自动驾驶和辅助驾驶事故、法规及消费者接受度会影响装配节奏，算法架构变化可能调整传感方案。摄像头与雷达等并非永远按相同比例配置，视觉需求增长也存在边界。三年车载基准收入一百三十亿元、五年一百七十亿元，允许持续渗透但没有用行业最大总规模反推订单。若政策或客户方案改变使项目推迟，收入、毛利和利用率应共同下修，不能仅把延后放到下一年保持原总收益。</w:t>
      </w:r>
    </w:p>
    <w:p>
      <w:pPr>
        <w:pStyle w:val="Heading2"/>
        <w:rPr/>
      </w:pPr>
      <w:r>
        <w:rPr>
          <w:color w:val="000000"/>
        </w:rPr>
        <w:t>六 车载分拆与归属价值</w:t>
      </w:r>
    </w:p>
    <w:p>
      <w:pPr>
        <w:pStyle w:val="Normal"/>
        <w:rPr/>
      </w:pPr>
      <w:r>
        <w:rPr/>
        <w:t>一月五日和二十七日公司披露拟分拆宁波舜宇智行相关车载光学业务，提交香港上市申请；中期也重述申请及融资用途。申请不等于上市已完成，拟融资可能支持业务但也会引入少数股东或费用。车载现有盈利已在集团并表，不能把母公司</w:t>
      </w:r>
      <w:r>
        <w:rPr/>
        <w:t>PE</w:t>
      </w:r>
      <w:r>
        <w:rPr/>
        <w:t>利润保留后再加子公司全部市值。若以后发生发行与控制变化，需要更新归属、现金和股数，不能仅以分拆消息提高目标价。</w:t>
      </w:r>
    </w:p>
    <w:p>
      <w:pPr>
        <w:pStyle w:val="Normal"/>
        <w:rPr/>
      </w:pPr>
      <w:r>
        <w:rPr/>
        <w:t>子公司独立融资能改善资本透明和业务资源，也可能降低母公司普通股对未来增量利润的比例。母公司是否受益取决于发行估值、募集用途、控制、股息和资本成本。投资者应比较融资后每股归属现金，而不把子公司挂牌价全额当小股东可取现金。活动模型维持合并盈利并在有限净项和经济分母保留风险，没有另设未经定价的分拆现金奖励。</w:t>
      </w:r>
    </w:p>
    <w:p>
      <w:pPr>
        <w:pStyle w:val="Normal"/>
        <w:rPr/>
      </w:pPr>
      <w:r>
        <w:rPr/>
        <w:t>分拆还可能改变研发、管理和关联服务安排，原集团共享成本需合理分配。若为展示子公司高利润而把费用留在母公司，估值比较会失真；若独立管理增加重复成本，集团效率也可能受影响。当前缺少最终发行条款和完整独立资本结构，本章不伪造分拆后的业绩桥。未来原件取得后应重新核分部毛利、费用归属和少数股东，保持总表与正文一致。</w:t>
      </w:r>
    </w:p>
    <w:p>
      <w:pPr>
        <w:pStyle w:val="Normal"/>
        <w:rPr/>
      </w:pPr>
      <w:r>
        <w:rPr/>
        <w:t>若资本市场给车载业务较高估值，母公司风险溢价可能下降，但这是重估路径而非新增经营收入。基准合理</w:t>
      </w:r>
      <w:r>
        <w:rPr/>
        <w:t>PE</w:t>
      </w:r>
      <w:r>
        <w:rPr/>
        <w:t>没有把分拆作为必须完成的条件，乐观可容纳资本透明改善，仍要求车载盈利真实增长。分拆失败或推迟不一定推翻公司全部价值，却会影响短期催化和融资节奏。半年得分不因申请自动满分，期限内催化需要按正式信息与实际进展核实。</w:t>
      </w:r>
    </w:p>
    <w:p>
      <w:pPr>
        <w:pStyle w:val="Heading2"/>
        <w:rPr/>
      </w:pPr>
      <w:r>
        <w:rPr>
          <w:color w:val="000000"/>
        </w:rPr>
        <w:t xml:space="preserve">七 </w:t>
      </w:r>
      <w:r>
        <w:rPr>
          <w:color w:val="000000"/>
        </w:rPr>
        <w:t>XR</w:t>
      </w:r>
      <w:r>
        <w:rPr>
          <w:color w:val="000000"/>
        </w:rPr>
        <w:t>光学与换股交易</w:t>
      </w:r>
    </w:p>
    <w:p>
      <w:pPr>
        <w:pStyle w:val="Normal"/>
        <w:rPr/>
      </w:pPr>
      <w:r>
        <w:rPr/>
        <w:t>XR</w:t>
      </w:r>
      <w:r>
        <w:rPr/>
        <w:t>包括基础光学元件、光学引擎、模组和系统，产品路径涉及微型显示、棱镜与封装。智能眼镜和增强现实市场活跃，轻量、功耗、视野与成本仍限制普及。公司描述超薄全彩模组小批量生产等技术进展，有助理解能力，但小批量不等于消费规模经济已经形成。上半年</w:t>
      </w:r>
      <w:r>
        <w:rPr/>
        <w:t>XR</w:t>
      </w:r>
      <w:r>
        <w:rPr/>
        <w:t>收入增加约一成一、毛利金额下降，研究不能用行业新品数量直接取代利润证据。</w:t>
      </w:r>
    </w:p>
    <w:p>
      <w:pPr>
        <w:pStyle w:val="Normal"/>
        <w:rPr/>
      </w:pPr>
      <w:r>
        <w:rPr/>
        <w:t>二零二五十二月换股把部分子公司权益转为歌尔光学联营权益，完成后宁波</w:t>
      </w:r>
      <w:r>
        <w:rPr/>
        <w:t>OmniLight</w:t>
      </w:r>
      <w:r>
        <w:rPr/>
        <w:t>持股约百分之三十一点三一，同时确认九点一八八二亿元换股收益。该收益来自资产交易与计量，不是当年新增可重复产品销售利润。若直接用审计每股盈利估</w:t>
      </w:r>
      <w:r>
        <w:rPr/>
        <w:t>PE</w:t>
      </w:r>
      <w:r>
        <w:rPr/>
        <w:t>，会把一次性增长当常态，低估实际估值。模型剔除换股收益，不保留已转出业务全部利润后又追加歌尔权益价值。</w:t>
      </w:r>
    </w:p>
    <w:p>
      <w:pPr>
        <w:pStyle w:val="Normal"/>
        <w:rPr/>
      </w:pPr>
      <w:r>
        <w:rPr/>
        <w:t>六月二十五日进一步增资公告拟内部资金五亿元，完成后</w:t>
      </w:r>
      <w:r>
        <w:rPr/>
        <w:t>OmniLight</w:t>
      </w:r>
      <w:r>
        <w:rPr/>
        <w:t>比例约三十三点二七，其他两家舜宇相关实体比例另有变化。公告有先决条件，未取得独立完成公告，不写作截止已确定全部股权。三十三点二七也不是全集团唯一持股比例，需避免单一比例误读。模型将联营回报有限纳入财资归属净项，既不加歌尔全收入，也不加全市值或全部持股资产值与</w:t>
      </w:r>
      <w:r>
        <w:rPr/>
        <w:t>PE</w:t>
      </w:r>
      <w:r>
        <w:rPr/>
        <w:t>利润重复。</w:t>
      </w:r>
    </w:p>
    <w:p>
      <w:pPr>
        <w:pStyle w:val="Normal"/>
        <w:rPr/>
      </w:pPr>
      <w:r>
        <w:rPr/>
        <w:t>转为联营可能改善合作和研发资源，也降低对业务日常控制并增加信息不透明。联营利润受治理、资本投入和会计调整影响，上半年联营结果为亏损净项，不能据未来订单直接假设高盈利。</w:t>
      </w:r>
      <w:r>
        <w:rPr/>
        <w:t>XR</w:t>
      </w:r>
      <w:r>
        <w:rPr/>
        <w:t>技术商业化周期长，客户接受度和成本变化可能使投入回收延后。三年乐观需要公司可归属的系统和元件盈利形成，基准只逐步增长，现金承诺和联营风险独立保留。</w:t>
      </w:r>
    </w:p>
    <w:p>
      <w:pPr>
        <w:pStyle w:val="Heading2"/>
        <w:rPr/>
      </w:pPr>
      <w:r>
        <w:rPr>
          <w:color w:val="000000"/>
        </w:rPr>
        <w:t>八 其他产品与增长质量</w:t>
      </w:r>
    </w:p>
    <w:p>
      <w:pPr>
        <w:pStyle w:val="Normal"/>
        <w:rPr/>
      </w:pPr>
      <w:r>
        <w:rPr/>
        <w:t>上半年其他产品收入四十点三九四二八亿元，对比较期二十一点四二八一九亿元增加约八成八，毛利十三点九零二二二亿元，约占集团毛利三分之一。这是当期增长的重要来源，不能把改善全部归功手机规格升级。其他类包括机器人、智能影像及光学仪器等不同业务，没有每项完整财务。高毛利组合可能持续，也可能随项目和客户变化波动，模型长期正常率低于上半年最强值。</w:t>
      </w:r>
    </w:p>
    <w:p>
      <w:pPr>
        <w:pStyle w:val="Normal"/>
        <w:rPr/>
      </w:pPr>
      <w:r>
        <w:rPr/>
        <w:t>智能成像设备包括运动、全景及其他终端，用户需求受内容消费和产品周期推动。从光学组件扩到系统或整机可以提高收入范围，也会增加电子、软件和供应链整合成本。大客户新品成功能够带来订单，若库存或消费者需求判断失误，供应商同样承担风险。本章不把客户终端零售价全部当舜宇收入，也不按每个热门设备的总市场规模直接乘假定份额。</w:t>
      </w:r>
    </w:p>
    <w:p>
      <w:pPr>
        <w:pStyle w:val="Normal"/>
        <w:rPr/>
      </w:pPr>
      <w:r>
        <w:rPr/>
        <w:t>机器人视觉、导航和避障有光学需求，公司披露割草和仓储自动化项目量产，说明与早期概念不同。但项目量产到稳定盈利仍需客户复购、维护和产品质量。机器人并非只有视觉，整机方案涉及多种硬件与控制，舜宇的技术能力可以提供部分系统却不拥有整个产业利润。模型把这类机会并入其他收入和正常毛利，不另加通用机器人估值与已有利润双计。</w:t>
      </w:r>
    </w:p>
    <w:p>
      <w:pPr>
        <w:pStyle w:val="Normal"/>
        <w:rPr/>
      </w:pPr>
      <w:r>
        <w:rPr/>
        <w:t>光学仪器与工业成像客户较多元，可以减轻手机依赖，也需要销售、研发和服务投入。其他产品快速增长可能提升集团质量，资本效率与现金却必须同步验证。若其他收入继续高增而应收扩大、库存和资本支出也上升，盈利不一定同等可分。三年基准其他一百四十亿元、五年一百九十亿元属于经营假设，未将上半年八成八增速按五年复利，避免把一轮项目增长永久化。</w:t>
      </w:r>
    </w:p>
    <w:p>
      <w:pPr>
        <w:pStyle w:val="Heading2"/>
        <w:rPr/>
      </w:pPr>
      <w:r>
        <w:rPr>
          <w:color w:val="000000"/>
        </w:rPr>
        <w:t>九 光学互连与</w:t>
      </w:r>
      <w:r>
        <w:rPr>
          <w:color w:val="000000"/>
        </w:rPr>
        <w:t>AI</w:t>
      </w:r>
      <w:r>
        <w:rPr>
          <w:color w:val="000000"/>
        </w:rPr>
        <w:t>资本开支</w:t>
      </w:r>
    </w:p>
    <w:p>
      <w:pPr>
        <w:pStyle w:val="Normal"/>
        <w:rPr/>
      </w:pPr>
      <w:r>
        <w:rPr/>
        <w:t>部分研报将公司高精度光学延伸到数据通信、可插拔收发器和共封装光学，认为二零二七年可能小规模放量。投资者日公告只提供官网材料十四天，本次未取得原始演示完整资料，相关时间和规模仍以转述标记。数据中心光学需求广阔，但准入、可靠性和客户认证与手机不同。不能因名称与</w:t>
      </w:r>
      <w:r>
        <w:rPr/>
        <w:t>AI</w:t>
      </w:r>
      <w:r>
        <w:rPr/>
        <w:t>相关就把公司现有毛利率套所有数据通信收入，也不能宣称已有确定大规模订单。</w:t>
      </w:r>
    </w:p>
    <w:p>
      <w:pPr>
        <w:pStyle w:val="Normal"/>
        <w:rPr/>
      </w:pPr>
      <w:r>
        <w:rPr/>
        <w:t>光学互连可能需要光路、耦合、封装及测试能力，舜宇制造积累有一定适配性，但竞争者和客户供应链也有经验。新领域初期研发和验证成本可能高，规模小会限制利润贡献；成熟后亦受技术路线和价格竞争影响。活动模型未设独立</w:t>
      </w:r>
      <w:r>
        <w:rPr/>
        <w:t>CPO</w:t>
      </w:r>
      <w:r>
        <w:rPr/>
        <w:t>收入或高倍数资产，仅允许其他业务逐步扩张。若未来原始披露证实收入和毛利，可修改产品桥而不是直接追加概念溢价。</w:t>
      </w:r>
    </w:p>
    <w:p>
      <w:pPr>
        <w:pStyle w:val="Normal"/>
        <w:rPr/>
      </w:pPr>
      <w:r>
        <w:rPr/>
        <w:t>AI</w:t>
      </w:r>
      <w:r>
        <w:rPr/>
        <w:t>资本开支周期会影响数据通信和终端新品需求，投资热度不等于每个供应商都能持续获利。大客户可能调整采购、架构或项目时间，库存和设备在需求转向时容易减值。公司应证明技术适配、订单质量和现金回报，才值得提高长期估值。三年和五年乐观包含新光学场景的盈利成功，同时保留高研发与资本风险，不把全行业投入额视为本公司确定可获得收入。</w:t>
      </w:r>
    </w:p>
    <w:p>
      <w:pPr>
        <w:pStyle w:val="Normal"/>
        <w:rPr/>
      </w:pPr>
      <w:r>
        <w:rPr/>
        <w:t>与手机和汽车需求结合看，新应用能分散周期，但如果都依赖同一风险偏好和硬件资本扩张，相关性可能仍高。估值不因业务名称增多就自动提高风险分，需要客户、订单周期和资本回报真正多样化。本章长期正面逻辑是精密制造平台可迁移和规模化，而非一个新名词替代一个成熟业务。任何技术路线被替代都应调整对应收入与成本，不用另一个尚未验证场景抵消已发生失败。</w:t>
      </w:r>
    </w:p>
    <w:p>
      <w:pPr>
        <w:pStyle w:val="Heading2"/>
        <w:rPr/>
      </w:pPr>
      <w:r>
        <w:rPr>
          <w:color w:val="000000"/>
        </w:rPr>
        <w:t>十 研发 销售和管理成本</w:t>
      </w:r>
    </w:p>
    <w:p>
      <w:pPr>
        <w:pStyle w:val="Normal"/>
        <w:rPr/>
      </w:pPr>
      <w:r>
        <w:rPr/>
        <w:t>全年研发三十二点五八五八亿元、销售三点四二九四五、管理十四点一九九五七亿元；上半年研发十六点五零七二六、销售一点八二九二三、管理五点七一零七八。研发金额较高反映精密产品持续迭代，也意味着分部毛利并非可分净利。模型保留研发并让远期规模增加时投入上升，不能把所有新产品费用都称一次性从估值加回。技术领先需要长期维护，费用纪律要与客户回报一起判断。</w:t>
      </w:r>
    </w:p>
    <w:p>
      <w:pPr>
        <w:pStyle w:val="Normal"/>
        <w:rPr/>
      </w:pPr>
      <w:r>
        <w:rPr/>
        <w:t>上半年管理费用下降帮助核心盈利，但不宜假设每年同幅降费。研发在新场景和客户认证中有前置性，若收入延后，费用也不会完全随销量下降。活动模型悲观仅有适度成本调整，仍保留研究和管理支出；乐观研发总额亦增加，避免高收入与零增量费用组合。长期毛利提高能否转化为营业率，需要生产、研发和组织效率共同支持。</w:t>
      </w:r>
    </w:p>
    <w:p>
      <w:pPr>
        <w:pStyle w:val="Normal"/>
        <w:rPr/>
      </w:pPr>
      <w:r>
        <w:rPr/>
        <w:t>股份支付全年二点三一四零八亿元、上半年零点七四二一八亿元，已包含在财务经营成本。发股奖励会影响分母，市场购股奖励会消耗现金，二者都是经济成本。研究不加回常态股份薪酬，同时在未来经济股数保留新计划和法律库存股可能再使用的储备。只把调整收益加高</w:t>
      </w:r>
      <w:r>
        <w:rPr/>
        <w:t>PE</w:t>
      </w:r>
      <w:r>
        <w:rPr/>
        <w:t>而不考虑股份，容易把员工成本转嫁普通股股东后仍当利润增长。</w:t>
      </w:r>
    </w:p>
    <w:p>
      <w:pPr>
        <w:pStyle w:val="Normal"/>
        <w:rPr/>
      </w:pPr>
      <w:r>
        <w:rPr/>
        <w:t>光学制造的软件、自动化和工程人员可以改善效率，但需求放缓时固定费用压力会显现。管理降费若损害质量、研发或交付，短期盈利改善可能损害长期订单。公司需要证明项目投入与盈利长期匹配，不能只追最低费用率。本章一年至五年经营得分高于半年技术，源于能力基础，同时保留资本和费用失败路径；最强目标要求费用受控且质量与创新维持，而不是任意删去成本。</w:t>
      </w:r>
    </w:p>
    <w:p>
      <w:pPr>
        <w:pStyle w:val="Heading2"/>
        <w:rPr/>
      </w:pPr>
      <w:r>
        <w:rPr>
          <w:color w:val="000000"/>
        </w:rPr>
        <w:t>十一 正常利润与一次性桥</w:t>
      </w:r>
    </w:p>
    <w:p>
      <w:pPr>
        <w:pStyle w:val="Normal"/>
        <w:rPr/>
      </w:pPr>
      <w:r>
        <w:rPr/>
        <w:t>二零二五毛利扣销售、研发、管理后核心营业利润约三十四点九四四零六亿元，明显低于税前五十四点一五九五三亿元，因为税前还包含其他收入、换股等收益、联营和融资。归母四十六点三九一零七亿元、集团四十八点零六九九亿元也不同，少数股东承担部分经济利益。活动估值从正常业务毛利起算，不以较高审计净利直接复制未来，更不把归母和集团利润混作同一</w:t>
      </w:r>
      <w:r>
        <w:rPr/>
        <w:t>EPS</w:t>
      </w:r>
      <w:r>
        <w:rPr/>
        <w:t>。</w:t>
      </w:r>
    </w:p>
    <w:p>
      <w:pPr>
        <w:pStyle w:val="Normal"/>
        <w:rPr/>
      </w:pPr>
      <w:r>
        <w:rPr/>
        <w:t>上半年核心营业十八点六三九三九亿元，其他收入五点零四二九九、其他净收益零点二零零三九、预期信用损失零点一六九二八、联营亏零点零五四二六及融资一点六三六九九，形成税前二十二点零二二二四亿元。税后集团十九点四九九九、归母十八点零八三六四，说明净利变化包括税和少数股东。正常核心桥用于比较经营，归属净项用于估价，两者不能混为单一分部指标。</w:t>
      </w:r>
    </w:p>
    <w:p>
      <w:pPr>
        <w:pStyle w:val="Normal"/>
        <w:rPr/>
      </w:pPr>
      <w:r>
        <w:rPr/>
        <w:t>全年其他收入含政府补助二点五六六零四亿元、银行利息二点七二六九四、理财投资三点二八四五二、主要增值税加计扣除等一点九五七八五。部分支持与制造研发相关，可有持续性但金额与政策仍会变化。模型有限税后净项允许常态补助和</w:t>
      </w:r>
      <w:r>
        <w:rPr/>
        <w:t>VAT</w:t>
      </w:r>
      <w:r>
        <w:rPr/>
        <w:t>、财资、联营与</w:t>
      </w:r>
      <w:r>
        <w:rPr/>
        <w:t>NCI</w:t>
      </w:r>
      <w:r>
        <w:rPr/>
        <w:t>等合并净额，剔处置和汇兑等暂态。该净项不是原文单一字段，需明示假设，不能当全部“其他收入”都稳定可重复。</w:t>
      </w:r>
    </w:p>
    <w:p>
      <w:pPr>
        <w:pStyle w:val="Normal"/>
        <w:rPr/>
      </w:pPr>
      <w:r>
        <w:rPr/>
        <w:t>上半年汇兑亏损一点二六一二六亿元与衍生工具收益零点五九七二七亿元同时存在，单看一项会误判经营。资产处置和联营处置也会改变净利，不宜永久外推。研究对利好利空暂态对称处理，正常融资成本和合理损耗则保留。税率用百分之二十作为经营研究假设，高于报表低有效税，以避免优惠和一次性税效应放大多年目标。后续税结构有证据再更新。</w:t>
      </w:r>
    </w:p>
    <w:p>
      <w:pPr>
        <w:pStyle w:val="Heading2"/>
        <w:rPr/>
      </w:pPr>
      <w:r>
        <w:rPr>
          <w:color w:val="000000"/>
        </w:rPr>
        <w:t>十二 营运资金与现金质量</w:t>
      </w:r>
    </w:p>
    <w:p>
      <w:pPr>
        <w:pStyle w:val="Normal"/>
        <w:rPr/>
      </w:pPr>
      <w:r>
        <w:rPr/>
        <w:t>全年经营现金六十点七九四九九亿元，上半年三十四点二六一零三亿元，分别高于比较期。现金来源需要看存货、应收和应付，不应把经营现金超过净利全部当自由分配。上半年库存与应收减少释放现金，应付和其他应付款减少又吸收部分资金，订单与周转改善需要持续验证。若未来增长伴随库存和应收重新扩大，当前较好的现金转换不能直接外推到三年或五年。</w:t>
      </w:r>
    </w:p>
    <w:p>
      <w:pPr>
        <w:pStyle w:val="Normal"/>
        <w:rPr/>
      </w:pPr>
      <w:r>
        <w:rPr/>
        <w:t>上半年存货六十五点三三八八三亿元、贸易其他应收预付九十一点三九四零一亿元，另有按其他综合收益公允值计量票据应收七点一零零五九亿元。贸易与其他应付一百六十三点七三七五三亿元包含不同性质，不能全视为供应商免费融资。公司贴现、背书及票据融资需要按是否终止确认和风险转移区分，估值不将每张票据既当已回收现金又保留应收资产，从而高估流动性。</w:t>
      </w:r>
    </w:p>
    <w:p>
      <w:pPr>
        <w:pStyle w:val="Normal"/>
        <w:rPr/>
      </w:pPr>
      <w:r>
        <w:rPr/>
        <w:t>现金流融资段有票据融资收取与偿付，相关项目不等于报告银行贷款余额，也不能与贸易应付不核性质地简单相加。上半年票据融资净偿还较大，导致融资现金流明显流出，现金余额减少不能只解读为经营亏损。反过来，资产负债表现金和理财很多也不能证明融资没有风险，需要看期限、支付义务与借款。研究保留这些不同口径，不制作未经核实的十月九日净债精确值。</w:t>
      </w:r>
    </w:p>
    <w:p>
      <w:pPr>
        <w:pStyle w:val="Normal"/>
        <w:rPr/>
      </w:pPr>
      <w:r>
        <w:rPr/>
        <w:t>正常经营需要稳健信用与供应链，较高应付余额若由正常采购和结算组成可以支持周转，若账期随竞争被迫延长则可能掩盖现金压力。客户应收回款也与手机品牌、车厂及新设备客户周期不同，行业增长不保证回收同步。风险评价要结合现金和信用损失，不能只用收入增幅打分。上半年预期信用损失增加虽金额相对小，仍提醒研究需保留合理信用成本和客户变化反证。</w:t>
      </w:r>
    </w:p>
    <w:p>
      <w:pPr>
        <w:pStyle w:val="Heading2"/>
        <w:rPr/>
      </w:pPr>
      <w:r>
        <w:rPr>
          <w:color w:val="000000"/>
        </w:rPr>
        <w:t>十三 资本现金 折旧与回报</w:t>
      </w:r>
    </w:p>
    <w:p>
      <w:pPr>
        <w:pStyle w:val="Normal"/>
        <w:rPr/>
      </w:pPr>
      <w:r>
        <w:rPr/>
        <w:t>全年现金购置设备二十一点一三八四九亿元，设备土地预付款七点七九六七四亿元，无形资产零点三七四三五亿元；上半年设备十三点七二六八三、预付款二点六二一五一、土地零点零二零九二亿元。管理层披露资本开支十六点三六九亿元与现金流水口径接近但并非每项相同。分析用实际现金支出并保留预付款，不能仅用折旧或管理简写资本开支作为自由现金扣项。</w:t>
      </w:r>
    </w:p>
    <w:p>
      <w:pPr>
        <w:pStyle w:val="Normal"/>
        <w:rPr/>
      </w:pPr>
      <w:r>
        <w:rPr/>
        <w:t>上半年经营现金扣上述资本现金、租赁本金、支付利息及债券本金利息合并行后，保守现金代理约十六点零九二三八亿元。债券本金与利息八千三百余万元在一行无法全拆，因此代理全扣，不能称纯粹标准自由现金。利息与投资收益收到在投资段，若研究另看财资现金应加该段而不重复经营现金。全年同口径代理约二十六点六二二四二亿元，仍未代表全部可派资金。</w:t>
      </w:r>
    </w:p>
    <w:p>
      <w:pPr>
        <w:pStyle w:val="Normal"/>
        <w:rPr/>
      </w:pPr>
      <w:r>
        <w:rPr/>
        <w:t>制造设备有更新、维护与项目专用性，订单增长快时资本现金通常前置。扩产可以提高规模，客户型号更换或技术路线变化会让部分设备闲置，折旧和减值增加。上半年固定资产及未入账资本承诺显示投入持续，资本承诺约八点零四三亿元需资金。正常毛利已含折旧，现金再扣资本是回报交叉检验，二者不是从同一利润桥重复扣费，而是分别看利润与资金需求。</w:t>
      </w:r>
    </w:p>
    <w:p>
      <w:pPr>
        <w:pStyle w:val="Normal"/>
        <w:rPr/>
      </w:pPr>
      <w:r>
        <w:rPr/>
        <w:t>三年基准利润增长要伴随资本效率改善，而不仅是更大产能。若收入增速快但投入占用过高，未来分红和估值都可能低于模型；若良率、自动化与利用率提高，固定成本可摊薄并改善现金。模型不另加全部厂房账面价值，因为它们已参与产生营业利润。也不按新设备采购额等额提高内在价值，资本支出只有形成超过资本成本的回报才对普通股有益。</w:t>
      </w:r>
    </w:p>
    <w:p>
      <w:pPr>
        <w:pStyle w:val="Heading2"/>
        <w:rPr/>
      </w:pPr>
      <w:r>
        <w:rPr>
          <w:color w:val="000000"/>
        </w:rPr>
        <w:t>十四 现金 理财与债务期限</w:t>
      </w:r>
    </w:p>
    <w:p>
      <w:pPr>
        <w:pStyle w:val="Normal"/>
        <w:rPr/>
      </w:pPr>
      <w:r>
        <w:rPr/>
        <w:t>六月末现金三十四点九九零六七亿元，流动定存十六点八七二九九、非流动定存五点零五四四八、短期固定存款十六点八五三零四亿元，质押零点一四七七四亿元，理财金融资产金额更大。投资产品期限和保本条件不同，不能全等同可即时用现金。公司分散到多家银行有助集中风险管理，但金融产品仍需核兑付、估值和流动性。模型有限财资已入</w:t>
      </w:r>
      <w:r>
        <w:rPr/>
        <w:t>PE</w:t>
      </w:r>
      <w:r>
        <w:rPr/>
        <w:t>，不再把这些本金全加资产值。</w:t>
      </w:r>
    </w:p>
    <w:p>
      <w:pPr>
        <w:pStyle w:val="Normal"/>
        <w:rPr/>
      </w:pPr>
      <w:r>
        <w:rPr/>
        <w:t>银行借款六月末约三十点八九亿元，债券约二十七点九八亿元，租赁负债也存在。七月披露二十七亿元人民币、票息百分之二点一五、二零三一年到期的新债，属于半年财报后截止前重要融资信息。新债可能影响偿还、现金和利息，不能把六月末债务当十月完整余额，再无依据相加或相减所有公告。研究缺完整截止资产负债表，保持期末数据与新融资事实分别展示。</w:t>
      </w:r>
    </w:p>
    <w:p>
      <w:pPr>
        <w:pStyle w:val="Normal"/>
        <w:rPr/>
      </w:pPr>
      <w:r>
        <w:rPr/>
        <w:t>新债期限更长、票息较低可改善部分融资安排，但收益取决于募集用途和旧债偿还。大量财资资产与借款同时存在，可能涉及币种、实体和期限约束，不能只用净额抹去风险。汇兑、资本承诺和供应链结算也会影响流动性。模型将融资费用和财资收入在有限税后净项统一考虑，而不假设未来全部现金即时派发且债务仍由其他主体承担。</w:t>
      </w:r>
    </w:p>
    <w:p>
      <w:pPr>
        <w:pStyle w:val="Normal"/>
        <w:rPr/>
      </w:pPr>
      <w:r>
        <w:rPr/>
        <w:t>财务风险相较高杠杆企业较可控，但资本开支、票据与产品投资仍需持续监督。若新融资主要替旧债，风险可能下降；若支撑低回报扩张，股东收益未必改善。治理评价应看现金分配、项目回报和融资透明，而非只看有银行授信就给满安全分。悲观情景保持低正常盈利和更高经济股份，说明现金资产能缓冲经营但无法保证市场给予高估值。</w:t>
      </w:r>
    </w:p>
    <w:p>
      <w:pPr>
        <w:pStyle w:val="Heading2"/>
        <w:rPr/>
      </w:pPr>
      <w:r>
        <w:rPr>
          <w:color w:val="000000"/>
        </w:rPr>
        <w:t>十五 股本 法律库存和奖励计划</w:t>
      </w:r>
    </w:p>
    <w:p>
      <w:pPr>
        <w:pStyle w:val="Normal"/>
        <w:rPr/>
      </w:pPr>
      <w:r>
        <w:rPr/>
        <w:t>九月月报发行不含法律库存约十亿七千八百九十六万四千八百股，法律库存一千五百八十四万，总含库存约十亿九千四百八十万四千八百。年初回购保留在库存而非已注销，不能永久当普通股分母减少后又忽略再发行。会计奖励信托股份与法律库存不同，两者都可能影响财报加权平均股数，但不能重复减去。未来估值采用经济分母，保留库存可能再使用和正常激励。</w:t>
      </w:r>
    </w:p>
    <w:p>
      <w:pPr>
        <w:pStyle w:val="Normal"/>
        <w:rPr/>
      </w:pPr>
      <w:r>
        <w:rPr/>
        <w:t>上半年回购一千五百八十四万股，港币约十点一五五亿元，人民币现金约九点一五二亿元，已影响现金与权益。回购若价格低于可持续价值且不被新发行抵消，有助每股回报；若股票再用于奖励，则部分经济收益转给员工而非永久缩股。研究没有把回购现金再当可分现金，也没有以法定库存股为额外独立资产加值。它是资本配置事实，需要与后续发行和现金一起评估。</w:t>
      </w:r>
    </w:p>
    <w:p>
      <w:pPr>
        <w:pStyle w:val="Normal"/>
        <w:rPr/>
      </w:pPr>
      <w:r>
        <w:rPr/>
        <w:t>新二零二六奖励计划获五月股东批准，未来方案额度约一亿零七百八十九万六千四百八十股，其中服务提供者子限额更小。半年末尚无授予，新旧计划可通过现有、新发或库存股履约，十个百分点上限不是即时稀释。若直接把全部未授额度加股数，会过度保守；若完全忽略计划，会低估长期成本。模型基准股数逐步增加，悲观更快，明确是经济研究假设而非公司已宣布发行。</w:t>
      </w:r>
    </w:p>
    <w:p>
      <w:pPr>
        <w:pStyle w:val="Normal"/>
        <w:rPr/>
      </w:pPr>
      <w:r>
        <w:rPr/>
        <w:t>基准年底和半年十点九亿股、一年十点九五亿、三年十一点二亿、五年十一点四五亿；悲观五年十二点六亿，乐观十一点二亿。它们包含正常激励、库存再使用与潜在融资储备，不假设未经证实回购注销。财报上半年摊薄加权约十点七八六一九亿用于历史</w:t>
      </w:r>
      <w:r>
        <w:rPr/>
        <w:t>EPS</w:t>
      </w:r>
      <w:r>
        <w:rPr/>
        <w:t>，不能随意替代未来分母。任何明确发行、注销或新激励后需重新算每股利润，保持目标价与现金收益一致。</w:t>
      </w:r>
    </w:p>
    <w:p>
      <w:pPr>
        <w:pStyle w:val="Heading2"/>
        <w:rPr/>
      </w:pPr>
      <w:r>
        <w:rPr>
          <w:color w:val="000000"/>
        </w:rPr>
        <w:t>十六 分红 少数股东与治理</w:t>
      </w:r>
    </w:p>
    <w:p>
      <w:pPr>
        <w:pStyle w:val="Normal"/>
        <w:rPr/>
      </w:pPr>
      <w:r>
        <w:rPr/>
        <w:t>二零二五每股普通末期股息港币一点二零六，六月五日除息、二十六日支付，已早于价格基准。中期不建议股息，未来分配须等待正常利润与董事会决定。本章一年基准累计一点一、三年四点二、五年八点五港元均为研究假设，不能把过去股息重复加入未来，也不能用一次较高审计利润下的分配保证以后相同比例。派息率与现金能力要逐年检验。</w:t>
      </w:r>
    </w:p>
    <w:p>
      <w:pPr>
        <w:pStyle w:val="Normal"/>
        <w:rPr/>
      </w:pPr>
      <w:r>
        <w:rPr/>
        <w:t>集团净利归母与少数股东差额上半年约一点四一六二六亿元，较比较期增加，说明子公司收益归属结构会影响普通股。车载融资和联营变化未来可能进一步改变比例，模型有限净项反映归属储备，不把集团利润全部乘</w:t>
      </w:r>
      <w:r>
        <w:rPr/>
        <w:t>PE</w:t>
      </w:r>
      <w:r>
        <w:rPr/>
        <w:t>给母公司。公司控股和联营的现金分配有决策与资金约束，利润入账不等于立即能上提港币股息。风险分保留资本归属和治理，不能只看集团毛利增长。</w:t>
      </w:r>
    </w:p>
    <w:p>
      <w:pPr>
        <w:pStyle w:val="Normal"/>
        <w:rPr/>
      </w:pPr>
      <w:r>
        <w:rPr/>
        <w:t>董事、员工和服务商奖励需要兼顾人才留存与小股东稀释，方案批准不等于所有奖励都以每股回报为绩效指标。公司需说明资本使用、项目回报和关联合作公平性，尤其在分拆和歌尔合作变化时。研究不是把治理风险当必然损失，而是承认原始文件不足以给完全确定性。长期评价看稳定的经营、透明资金与股数记录，不能用一次回购证明所有未来资本决策都合理。</w:t>
      </w:r>
    </w:p>
    <w:p>
      <w:pPr>
        <w:pStyle w:val="Normal"/>
        <w:rPr/>
      </w:pPr>
      <w:r>
        <w:rPr/>
        <w:t>如果公司持续以合理价格分红回购并维持研发回报，正常利润增长可以更有效转化为股东总回报；如果新发与收购频繁、资本项目效益低，每股结果会弱于总利润。四期限含息独立计算可显示经营与资本配置共同贡献。股息假设只计截止后未来现金，不计已除息权益，也不假定自动再投资，因此年化为简单持有价格加累计现金模型，与实际再投资路径可能不同。</w:t>
      </w:r>
    </w:p>
    <w:p>
      <w:pPr>
        <w:pStyle w:val="Heading2"/>
        <w:rPr/>
      </w:pPr>
      <w:r>
        <w:rPr>
          <w:color w:val="000000"/>
        </w:rPr>
        <w:t>十七 行业周期与宏观传导</w:t>
      </w:r>
    </w:p>
    <w:p>
      <w:pPr>
        <w:pStyle w:val="Normal"/>
        <w:rPr/>
      </w:pPr>
      <w:r>
        <w:rPr/>
        <w:t>居民收入和消费信心影响换机和影像设备需求，汽车销售、智能驾驶配置与硬件资本开支则影响车载和工业产品。多类业务能减少单一手机依赖，但若终端需求同时受经济放缓影响，周期相关性仍高。研究不把</w:t>
      </w:r>
      <w:r>
        <w:rPr/>
        <w:t>AI</w:t>
      </w:r>
      <w:r>
        <w:rPr/>
        <w:t>、机器人和汽车分别当三个完全独立防御来源，而是看订单客户和资金需求。基准假设温和扩张，悲观允许多个场景同时放缓，乐观需真实需求而非风险偏好单独上涨。</w:t>
      </w:r>
    </w:p>
    <w:p>
      <w:pPr>
        <w:pStyle w:val="Normal"/>
        <w:rPr/>
      </w:pPr>
      <w:r>
        <w:rPr/>
        <w:t>中国客户收入比例较高，海外客户和海外生产布局提供多元化，也带来关税、技术和合规要求。客户所在地并非全部终端市场，不能据报表地理收入精确推导某国关税暴露。汇率影响美元销售、人民币成本、外币资产和套保，汇兑净额与经营毛利需分开。模型统一人民币兑港币一点一转换不代表产品价格可以随汇率即时调整，长期订单和客户议价会影响传导。</w:t>
      </w:r>
    </w:p>
    <w:p>
      <w:pPr>
        <w:pStyle w:val="Normal"/>
        <w:rPr/>
      </w:pPr>
      <w:r>
        <w:rPr/>
        <w:t>利率下降可以减轻部分借款成本，但财资收益也可能下降，净效果取决于本金、币种和期限。制造企业估值还受全球风险溢价与资本开支预期影响，不能把一次降息直接转换成统一</w:t>
      </w:r>
      <w:r>
        <w:rPr/>
        <w:t>PE</w:t>
      </w:r>
      <w:r>
        <w:rPr/>
        <w:t>上涨。新债票息低和较长期限改善融资条件，但资金若投低回报项目，股东收益仍有限。研究同时设有限财资净项与合理估值区间，避免只选择利率变化有利的一面。</w:t>
      </w:r>
    </w:p>
    <w:p>
      <w:pPr>
        <w:pStyle w:val="Normal"/>
        <w:rPr/>
      </w:pPr>
      <w:r>
        <w:rPr/>
        <w:t>贸易政策、供应链本地化和客户安全要求可能促使海外产能或供应链调整，增加短期资本与管理成本。长期分散生产可以降低部分集中风险，产品认证与良率需要时间迁移，不能假设跨地区制造完全等效。公司具国际客户经验，仍需保留政策不确定性。五年目标基于技术和现金能力持续，不以全球供应链恢复无摩擦为前提，也不根据未确认政治消息伪造订单或受限制程度。</w:t>
      </w:r>
    </w:p>
    <w:p>
      <w:pPr>
        <w:pStyle w:val="Heading2"/>
        <w:rPr/>
      </w:pPr>
      <w:r>
        <w:rPr>
          <w:color w:val="000000"/>
        </w:rPr>
        <w:t>十八 日线趋势与关键价位</w:t>
      </w:r>
    </w:p>
    <w:p>
      <w:pPr>
        <w:pStyle w:val="Normal"/>
        <w:rPr/>
      </w:pPr>
      <w:r>
        <w:rPr/>
        <w:t>锁定日线约七百三十九个交易日，复权</w:t>
      </w:r>
      <w:r>
        <w:rPr/>
        <w:t>OHLC</w:t>
      </w:r>
      <w:r>
        <w:rPr/>
        <w:t>以基准名义价格归一，成交按股单位交叉核。二十、六十、一百二十、二百五十日均线约六十四点八九二五、六十二点六六、六十五点零零三一和六十四点五八六二港元，现价全在下方，距离约负百分之六点七七、三点四五、六点九三和六点三三。多线集中六十三至六十五附近，形成观察区域，不能把每根均线都当独立确定阻力。</w:t>
      </w:r>
    </w:p>
    <w:p>
      <w:pPr>
        <w:pStyle w:val="Normal"/>
        <w:rPr/>
      </w:pPr>
      <w:r>
        <w:rPr/>
        <w:t>二十日和二百五十日五日斜率负，六十日略正、一百二十日近乎走平，显示前期反弹和近期回撤交错。现价跌到全部均线下使短期节奏较弱，但不能把四根交错线简单称已确定长期单边下跌。技术判断为震荡中的回撤，需要收复均线群并形成更高低点才改善。半年技术仅二点二分，不因为六十日相对收益好就忽略近期跌势。</w:t>
      </w:r>
    </w:p>
    <w:p>
      <w:pPr>
        <w:pStyle w:val="Normal"/>
        <w:rPr/>
      </w:pPr>
      <w:r>
        <w:rPr/>
        <w:t>二十日区间低约五十九点一、高七十点九五，现价到低点负百分之二点三一、到高点正十七点二七。六十日低五十三点四五、高七十四点一，对现价约负十一点六五、正二十二点四八。它们是样本极值观察位，未经成交和触碰次数验证，不能称精确支撑阻力。若失去近期低点，前期反弹结构更弱；若收复六十四至六十五区域，还需后续回踩与量价检验。</w:t>
      </w:r>
    </w:p>
    <w:p>
      <w:pPr>
        <w:pStyle w:val="Normal"/>
        <w:rPr/>
      </w:pPr>
      <w:r>
        <w:rPr/>
        <w:t>五十二周复权高约九十点零五九、低五十点七四四，日最大回撤约四成二。复权高不是当时原始名义报价，过去高点也不等于应回归价值，盈利及换股预期变化会改变估值。半年基准七十八点九七超过近期区间高，需要经营和</w:t>
      </w:r>
      <w:r>
        <w:rPr/>
        <w:t>PE</w:t>
      </w:r>
      <w:r>
        <w:rPr/>
        <w:t>改善，而非只要突破就自然到达。长期模型完全不以高点作为锚，也不把跌幅大当价值证明。</w:t>
      </w:r>
    </w:p>
    <w:p>
      <w:pPr>
        <w:pStyle w:val="Heading2"/>
        <w:rPr/>
      </w:pPr>
      <w:r>
        <w:rPr>
          <w:color w:val="000000"/>
        </w:rPr>
        <w:t>十九 成交 动量及相对强弱</w:t>
      </w:r>
    </w:p>
    <w:p>
      <w:pPr>
        <w:pStyle w:val="Normal"/>
        <w:rPr/>
      </w:pPr>
      <w:r>
        <w:rPr/>
        <w:t>基准日量约五百一十五万六千零九十五股，成交约三点零九四亿元港币。五、二十、六十日均量约五百七十一万、六百六十七万、一千零八十六万股，当日对前二十日均量约零点七五八，近期交易明显低于前期反弹量。价格下行量缩可以提示关注，但缺少买卖方向和完整订单数据，不能认定资金吸筹。量比口径公开为日总量除前二十均量，不与软件不同量比定义混用。</w:t>
      </w:r>
    </w:p>
    <w:p>
      <w:pPr>
        <w:pStyle w:val="Normal"/>
        <w:rPr/>
      </w:pPr>
      <w:r>
        <w:rPr/>
        <w:t>二十日上涨与下跌各十天，上涨量六千二百余万、下跌量七千一百余万股，量比约零点八七四。天数相同有助比较总体交易，但每日涨跌幅、换手和消息不同，不能把合计量当精确资金流。若上涨越过均线群并量恢复、回踩较缩量且低点抬高，可改善技术评分；若跌破五十九点一并放量，应撤销短底尝试判断。缺逐笔不绘制精确成交量分布，缺自由流通核验不伪造换手率。</w:t>
      </w:r>
    </w:p>
    <w:p>
      <w:pPr>
        <w:pStyle w:val="Normal"/>
        <w:rPr/>
      </w:pPr>
      <w:r>
        <w:rPr/>
        <w:t>二十日价格回报负百分之十二点零六、六十日正七点二七，对恒生指数分别落后九点零九、领先十点四六个百分点。恒生科技粗参考分别落后九点零零、领先二十点四四，说明中期曾较强但最近明显回撤。该指数不专属光学行业，不能以科技其他板块疲弱抬高本公司行业得分。相对强弱、均线和成交均在同技术维度，以免相似指标重复加分。</w:t>
      </w:r>
    </w:p>
    <w:p>
      <w:pPr>
        <w:pStyle w:val="Normal"/>
        <w:rPr/>
      </w:pPr>
      <w:r>
        <w:rPr/>
        <w:t>RSI</w:t>
      </w:r>
      <w:r>
        <w:rPr/>
        <w:t>约三十九，</w:t>
      </w:r>
      <w:r>
        <w:rPr/>
        <w:t>MACD</w:t>
      </w:r>
      <w:r>
        <w:rPr/>
        <w:t>差值负一点零零七、信号负零点三八九、负柱一点二三四，短期动量偏弱。</w:t>
      </w:r>
      <w:r>
        <w:rPr/>
        <w:t>ATR</w:t>
      </w:r>
      <w:r>
        <w:rPr/>
        <w:t>约二点四八六港元、现价百分之四点一一，近低点距离小于常态波动尺度，单一价位易被波动穿越。辅助指标不是买卖保证，观察失效条件遇跳空可能不能按预设价格成交。技术分析只能解释价格风险和节奏，不断言主力意图，也不将止损价当最大亏损边界。</w:t>
      </w:r>
    </w:p>
    <w:p>
      <w:pPr>
        <w:pStyle w:val="Heading2"/>
        <w:rPr/>
      </w:pPr>
      <w:r>
        <w:rPr>
          <w:color w:val="000000"/>
        </w:rPr>
        <w:t>二十 周线与半年路径</w:t>
      </w:r>
    </w:p>
    <w:p>
      <w:pPr>
        <w:pStyle w:val="Normal"/>
        <w:rPr/>
      </w:pPr>
      <w:r>
        <w:rPr/>
        <w:t>周线一百五十七根，二十、六十、一百二十周均线约六十五点零六四、六十六点四二六、六十四点二零一港元，现价均在下方，二十与六十周斜率负、一百二十周略正。二百五十周无样本，不补造。周线更偏中短下降，提示日六十线略正仍不足以确认长趋势。日线和周线价格极值口径不同，不能把差异当数据冲突或重复计算风险。</w:t>
      </w:r>
    </w:p>
    <w:p>
      <w:pPr>
        <w:pStyle w:val="Normal"/>
        <w:rPr/>
      </w:pPr>
      <w:r>
        <w:rPr/>
        <w:t>当周对前二十周均量约零点三六四，上涨周合计量对下跌周约零点六三七，周</w:t>
      </w:r>
      <w:r>
        <w:rPr/>
        <w:t>RSI</w:t>
      </w:r>
      <w:r>
        <w:rPr/>
        <w:t>约四十六。国庆期间交易天数不同，缩量部分可能来自周交易日少，不应完全称抛压衰竭。周</w:t>
      </w:r>
      <w:r>
        <w:rPr/>
        <w:t>MACD</w:t>
      </w:r>
      <w:r>
        <w:rPr/>
        <w:t>接近零的负柱仍未形成强上行动量，需后续完整周核趋势。半年观察以价格守近期低、收复均线群、回踩保持更高低点及完整周成交为条件，而非一个指标交叉就给买入保证。</w:t>
      </w:r>
    </w:p>
    <w:p>
      <w:pPr>
        <w:pStyle w:val="Normal"/>
        <w:rPr/>
      </w:pPr>
      <w:r>
        <w:rPr/>
        <w:t>基本面与量价可能不同步，若公司公布高质量正常盈利而股价尚在周均线下，可提高经营评价但保持短线谨慎；若股价突破而财报毛利继续受压，则可能只是估值短弹。四期限评分允许这种差异，不能为了一个推荐结论把所有指标都写成利好。半年基准依赖正常盈利修复和市场接受</w:t>
      </w:r>
      <w:r>
        <w:rPr/>
        <w:t>PE</w:t>
      </w:r>
      <w:r>
        <w:rPr/>
        <w:t>十九，悲观则包括价格与盈利双压，二者都需在下一数据版本重新核实。</w:t>
      </w:r>
    </w:p>
    <w:p>
      <w:pPr>
        <w:pStyle w:val="Normal"/>
        <w:rPr/>
      </w:pPr>
      <w:r>
        <w:rPr/>
        <w:t>技术反证包括近期低点失守且放量、相对市场继续恶化、均线群转为更明显下降；基本面反证包括手机毛利低于正常范围、其他产品增长不可持续及资本现金扩大。进入条件与估值目标不同，股价守住低点不能证明基准价必达。风险观察需要考虑市场流动性、公告跳空和客户事件，不能把模型悲观价或</w:t>
      </w:r>
      <w:r>
        <w:rPr/>
        <w:t>ATR</w:t>
      </w:r>
      <w:r>
        <w:rPr/>
        <w:t>作为统计损失封顶，实际路径可以超出情景。</w:t>
      </w:r>
    </w:p>
    <w:p>
      <w:pPr>
        <w:pStyle w:val="Heading2"/>
        <w:rPr/>
      </w:pPr>
      <w:r>
        <w:rPr>
          <w:color w:val="000000"/>
        </w:rPr>
        <w:t>二十一 现价估值与正常盈利</w:t>
      </w:r>
    </w:p>
    <w:p>
      <w:pPr>
        <w:pStyle w:val="Normal"/>
        <w:rPr/>
      </w:pPr>
      <w:r>
        <w:rPr/>
        <w:t>全年摊薄每股人民币四点二四七九元，原文四百二十四点七九分需转换，现价按研究汇率对应审计静态</w:t>
      </w:r>
      <w:r>
        <w:rPr/>
        <w:t>PE</w:t>
      </w:r>
      <w:r>
        <w:rPr/>
        <w:t>约十二点九五。该</w:t>
      </w:r>
      <w:r>
        <w:rPr/>
        <w:t>EPS</w:t>
      </w:r>
      <w:r>
        <w:rPr/>
        <w:t>包含换股收益，不能据此认定正常低</w:t>
      </w:r>
      <w:r>
        <w:rPr/>
        <w:t>PE</w:t>
      </w:r>
      <w:r>
        <w:rPr/>
        <w:t>。上半年摊薄一点六七六六元不能直接乘二代表全年，产品季节、联营和税不同。活动模型使用目标时点未来十二个月正常盈利，静态审计倍数只作交叉显示，不作为直接目标输入。</w:t>
      </w:r>
    </w:p>
    <w:p>
      <w:pPr>
        <w:pStyle w:val="Normal"/>
        <w:rPr/>
      </w:pPr>
      <w:r>
        <w:rPr/>
        <w:t>现价对年底基准正常</w:t>
      </w:r>
      <w:r>
        <w:rPr/>
        <w:t>EPS</w:t>
      </w:r>
      <w:r>
        <w:rPr/>
        <w:t>三点三三九零八三人民币、汇率一点一约十六点四七倍，比审计静态</w:t>
      </w:r>
      <w:r>
        <w:rPr/>
        <w:t>PE</w:t>
      </w:r>
      <w:r>
        <w:rPr/>
        <w:t>高，说明剔一次性后估值安全垫较小。基准年底采用</w:t>
      </w:r>
      <w:r>
        <w:rPr/>
        <w:t>PE</w:t>
      </w:r>
      <w:r>
        <w:rPr/>
        <w:t>十八有有限修复，一年十九则需要经营增长和现金证明。研究未取得严格同口径全历史正常</w:t>
      </w:r>
      <w:r>
        <w:rPr/>
        <w:t>PE</w:t>
      </w:r>
      <w:r>
        <w:rPr/>
        <w:t>数据，不称历史最低分位，也不将旧研报曾给历史平均</w:t>
      </w:r>
      <w:r>
        <w:rPr/>
        <w:t>PE</w:t>
      </w:r>
      <w:r>
        <w:rPr/>
        <w:t>视为已独立核验。跌距高点与便宜是不同问题，评估必须回到可持续每股盈利。</w:t>
      </w:r>
    </w:p>
    <w:p>
      <w:pPr>
        <w:pStyle w:val="Normal"/>
        <w:rPr/>
      </w:pPr>
      <w:r>
        <w:rPr/>
        <w:t>可比公司产品、收入总净额、资本强度与客户不同，不能把纯软件或数据中心最热门公司的</w:t>
      </w:r>
      <w:r>
        <w:rPr/>
        <w:t>PE</w:t>
      </w:r>
      <w:r>
        <w:rPr/>
        <w:t>直接套给光学制造。公司具有技术能力，却仍承担材料、设备、质量、存货和持续研发。合理</w:t>
      </w:r>
      <w:r>
        <w:rPr/>
        <w:t>PE</w:t>
      </w:r>
      <w:r>
        <w:rPr/>
        <w:t>三年基准二十、五年十八，反映增长逐步成熟；乐观二十二至二十三需要高质量盈利，悲观九至十三反映护城河和需求弱化。分部毛利不同不意味着可以跳过成本做数个高倍数资产相加。</w:t>
      </w:r>
    </w:p>
    <w:p>
      <w:pPr>
        <w:pStyle w:val="Normal"/>
        <w:rPr/>
      </w:pPr>
      <w:r>
        <w:rPr/>
        <w:t>现金和关联投资提供缓冲，但已在有限财资与归属净项部分贡献盈利，不能再加全部理财、歌尔联营及车载资产市值。若改用资产分拆估值，需要将相应利润从</w:t>
      </w:r>
      <w:r>
        <w:rPr/>
        <w:t>PE</w:t>
      </w:r>
      <w:r>
        <w:rPr/>
        <w:t>分子扣除并核现金债、控制与稀释，本版保持单套活动桥。资本现金代理低于盈利说明现金回报仍需关注，高增长</w:t>
      </w:r>
      <w:r>
        <w:rPr/>
        <w:t>PE</w:t>
      </w:r>
      <w:r>
        <w:rPr/>
        <w:t>应由未来现金能力支持。估值不是只找一个低倍数，而是确保分子分母和资产归属没有重复。</w:t>
      </w:r>
    </w:p>
    <w:p>
      <w:pPr>
        <w:pStyle w:val="Heading2"/>
        <w:rPr/>
      </w:pPr>
      <w:r>
        <w:rPr>
          <w:color w:val="000000"/>
        </w:rPr>
        <w:t>二十二 活动模型与分部假设</w:t>
      </w:r>
    </w:p>
    <w:p>
      <w:pPr>
        <w:pStyle w:val="Normal"/>
        <w:rPr/>
      </w:pPr>
      <w:r>
        <w:rPr/>
        <w:t>模型四分部收入乘各正常毛利率，相加后扣研发、销售、管理，得正常核心营业利润；乘百分之八十税后系数，加有限税后财资、补助</w:t>
      </w:r>
      <w:r>
        <w:rPr/>
        <w:t>VAT</w:t>
      </w:r>
      <w:r>
        <w:rPr/>
        <w:t>、联营、融资与</w:t>
      </w:r>
      <w:r>
        <w:rPr/>
        <w:t>NCI</w:t>
      </w:r>
      <w:r>
        <w:rPr/>
        <w:t>归属净项，除经济股数，再乘</w:t>
      </w:r>
      <w:r>
        <w:rPr/>
        <w:t>PE</w:t>
      </w:r>
      <w:r>
        <w:rPr/>
        <w:t>及汇率一点一。计算人民币</w:t>
      </w:r>
      <w:r>
        <w:rPr/>
        <w:t>EPS</w:t>
      </w:r>
      <w:r>
        <w:rPr/>
        <w:t>保留六位、港币目标两位，股价回报目标除六十点五减一，现金息另加。股息不假定再投资，三年与五年按持有年数计算年化，模型保存十五情景。</w:t>
      </w:r>
    </w:p>
    <w:p>
      <w:pPr>
        <w:pStyle w:val="Normal"/>
        <w:rPr/>
      </w:pPr>
      <w:r>
        <w:rPr/>
        <w:t>年底基准手机二百七十亿元、车载八十一、</w:t>
      </w:r>
      <w:r>
        <w:rPr/>
        <w:t>XR</w:t>
      </w:r>
      <w:r>
        <w:rPr/>
        <w:t>二十二、其他九十九亿元，毛利率分别十二点七、三十、十四、三十二点五百分比。扣研发三十五亿元、销售三点八、管理十一点八，正常税后加一点八亿元有限净项，股数十点九亿、</w:t>
      </w:r>
      <w:r>
        <w:rPr/>
        <w:t>PE</w:t>
      </w:r>
      <w:r>
        <w:rPr/>
        <w:t>十八，目标六十六点一一港元。该利润桥不包含二零二五换股收益，也不把尚未完成增资和分拆当即时利润，目标是年底未来十二个月估值而非全年审计预测。</w:t>
      </w:r>
    </w:p>
    <w:p>
      <w:pPr>
        <w:pStyle w:val="Normal"/>
        <w:rPr/>
      </w:pPr>
      <w:r>
        <w:rPr/>
        <w:t>半年基准收入四百九十六亿元，正常核心利润四十八点九八亿元，税后有限净项二亿元，股数十点九亿、</w:t>
      </w:r>
      <w:r>
        <w:rPr/>
        <w:t>PE</w:t>
      </w:r>
      <w:r>
        <w:rPr/>
        <w:t>十九，目标七十八点九七。一年基准收入五百三十六亿元、四分部毛利合计一百一十四点一九亿元，研发三十七点五、销售四点三、管理十二点二，核心六十点一九亿元。税后加二点二亿元、股数十点九五亿、</w:t>
      </w:r>
      <w:r>
        <w:rPr/>
        <w:t>PE</w:t>
      </w:r>
      <w:r>
        <w:rPr/>
        <w:t>十九，目标九十六点一一，含未来一点一元息回报约六成零点六八。</w:t>
      </w:r>
    </w:p>
    <w:p>
      <w:pPr>
        <w:pStyle w:val="Normal"/>
        <w:rPr/>
      </w:pPr>
      <w:r>
        <w:rPr/>
        <w:t>三年基准收入六百四十二亿元，手机三百二十、车载一百三十、</w:t>
      </w:r>
      <w:r>
        <w:rPr/>
        <w:t>XR</w:t>
      </w:r>
      <w:r>
        <w:rPr/>
        <w:t>五十二、其他一百四十；正常费用增加，</w:t>
      </w:r>
      <w:r>
        <w:rPr/>
        <w:t>EPS</w:t>
      </w:r>
      <w:r>
        <w:rPr/>
        <w:t>约五点八八七五，</w:t>
      </w:r>
      <w:r>
        <w:rPr/>
        <w:t>PE</w:t>
      </w:r>
      <w:r>
        <w:rPr/>
        <w:t>二十，目标一百二十九点五三。五年基准收入七百八十亿元，正常研发五十三亿元、销售六点五、管理十七，</w:t>
      </w:r>
      <w:r>
        <w:rPr/>
        <w:t>EPS</w:t>
      </w:r>
      <w:r>
        <w:rPr/>
        <w:t>七点三七四六七二，</w:t>
      </w:r>
      <w:r>
        <w:rPr/>
        <w:t>PE</w:t>
      </w:r>
      <w:r>
        <w:rPr/>
        <w:t>十八，目标一百四十六点零二。远期收益来自正常盈利增长并覆盖股数增加，非把半年上涨幅度简单复利外推。</w:t>
      </w:r>
    </w:p>
    <w:p>
      <w:pPr>
        <w:pStyle w:val="Heading2"/>
        <w:rPr/>
      </w:pPr>
      <w:r>
        <w:rPr>
          <w:color w:val="000000"/>
        </w:rPr>
        <w:t>二十三 情景反差与敏感性</w:t>
      </w:r>
    </w:p>
    <w:p>
      <w:pPr>
        <w:pStyle w:val="Normal"/>
        <w:rPr/>
      </w:pPr>
      <w:r>
        <w:rPr/>
        <w:t>年底悲观目标二十四点一四，假设手机、车载和其他收入受压、正常毛利弱、持续费用不能迅速消失，</w:t>
      </w:r>
      <w:r>
        <w:rPr/>
        <w:t>PE</w:t>
      </w:r>
      <w:r>
        <w:rPr/>
        <w:t>十三。半年二十点六三、一年十六点零四、三年十一点九一、五年八点七六，体现收入低增长、技术和价格竞争、税后净项下降与股份稀释。它们仍对应低正正常盈利，没有用负</w:t>
      </w:r>
      <w:r>
        <w:rPr/>
        <w:t>EPS</w:t>
      </w:r>
      <w:r>
        <w:rPr/>
        <w:t>乘</w:t>
      </w:r>
      <w:r>
        <w:rPr/>
        <w:t>PE</w:t>
      </w:r>
      <w:r>
        <w:rPr/>
        <w:t>生成负价格；但持续亏损或重大资产损失仍可能低于这些价，悲观不是清算底或损失上限。</w:t>
      </w:r>
    </w:p>
    <w:p>
      <w:pPr>
        <w:pStyle w:val="Normal"/>
        <w:rPr/>
      </w:pPr>
      <w:r>
        <w:rPr/>
        <w:t>乐观一年一百七十四点九、三年二百九十三点九八、五年四百零四点一四港元，需要高端手机、车载、新</w:t>
      </w:r>
      <w:r>
        <w:rPr/>
        <w:t>XR</w:t>
      </w:r>
      <w:r>
        <w:rPr/>
        <w:t>与其他系统多项成功、良率和毛利改善，同时成本受控。五年收入一千二百二十亿元、毛利率较高且研发七十亿元，属于强商业成功组合，非正常预测或机构共识。高目标没有额外加入</w:t>
      </w:r>
      <w:r>
        <w:rPr/>
        <w:t>CPO</w:t>
      </w:r>
      <w:r>
        <w:rPr/>
        <w:t>和歌尔市值，仍要求普通股可归属盈利，不能只凭终端用户热度认定成立。</w:t>
      </w:r>
    </w:p>
    <w:p>
      <w:pPr>
        <w:pStyle w:val="Normal"/>
        <w:rPr/>
      </w:pPr>
      <w:r>
        <w:rPr/>
        <w:t>年底基准手机毛利每变化一个百分点，在收入不变、成本不变条件下，目标约变化三点九二港元；其他毛利或收入变化亦通过同桥传导，不能一项增长同时算收入和额外估值奖励。一年基准</w:t>
      </w:r>
      <w:r>
        <w:rPr/>
        <w:t>PE</w:t>
      </w:r>
      <w:r>
        <w:rPr/>
        <w:t>从十九到十五，会使价格减少约两成一，即使盈利不变。税率从二十提高、</w:t>
      </w:r>
      <w:r>
        <w:rPr/>
        <w:t>NCI</w:t>
      </w:r>
      <w:r>
        <w:rPr/>
        <w:t>扩大或股数更快增加都会压每股价值。敏感性公开收益来源，避免用最高收入、毛利和</w:t>
      </w:r>
      <w:r>
        <w:rPr/>
        <w:t>PE</w:t>
      </w:r>
      <w:r>
        <w:rPr/>
        <w:t>互相证明。</w:t>
      </w:r>
    </w:p>
    <w:p>
      <w:pPr>
        <w:pStyle w:val="Normal"/>
        <w:rPr/>
      </w:pPr>
      <w:r>
        <w:rPr/>
        <w:t>汇率假设人民币兑港币从一点一降低一成到零点九九，一年基准约八十六点五港元；提高一成到一点二一约一百零五点七二。它只展示估值换算敏感性，不等于经营收入、成本和财资全保持不变的真实经济预测。人民币投资者还需考虑港币兑换人民币的持有期变化，对本币总回报另算。使用实际股息港币一点二零六并不代表未来所有人民币收益均可按相同固定汇率换出。</w:t>
      </w:r>
    </w:p>
    <w:p>
      <w:pPr>
        <w:pStyle w:val="Heading2"/>
        <w:rPr/>
      </w:pPr>
      <w:r>
        <w:rPr>
          <w:color w:val="000000"/>
        </w:rPr>
        <w:t>二十四 年底期望及短期催化</w:t>
      </w:r>
    </w:p>
    <w:p>
      <w:pPr>
        <w:pStyle w:val="Normal"/>
        <w:rPr/>
      </w:pPr>
      <w:r>
        <w:rPr/>
        <w:t>年底三价二十四点一四、六十六点一一、一百一十五点零四，默认判断权重四分之一、一半、四分之一，期望六十七点八五港元约正一成二点一五。期望略高于基准，因为乐观价距基准较大，不能说这就是最可能收盘价。防御权重期望五十四点二一五约负一成零点三九，积极八十一点四八五约正三成四点六九，说明短期结果对风险判断明显敏感，权重非统计校准概率。</w:t>
      </w:r>
    </w:p>
    <w:p>
      <w:pPr>
        <w:pStyle w:val="Normal"/>
        <w:rPr/>
      </w:pPr>
      <w:r>
        <w:rPr/>
        <w:t>年底前可观察新机结构、光学订单与客户项目、全年盈利预期和资本进展，不能伪造尚无主源的逐月出货。</w:t>
      </w:r>
      <w:r>
        <w:rPr/>
        <w:t>HKEX</w:t>
      </w:r>
      <w:r>
        <w:rPr/>
        <w:t>本次目录二零二六月度产品公告仅找到一月披露前十二月数据，后续未取得真实每月主源，模型不以新闻预计出货替代。若公司提供新的经营披露，应记录首次公告时间和股价基准不同版本，不能回填旧锁定资料。季节新品热度也需要毛利和客户现金支持。</w:t>
      </w:r>
    </w:p>
    <w:p>
      <w:pPr>
        <w:pStyle w:val="Normal"/>
        <w:rPr/>
      </w:pPr>
      <w:r>
        <w:rPr/>
        <w:t>上行催化是实际高端化和其他产品盈利好于假设、车载稳增长、现金资本效率改善及市场接受正常</w:t>
      </w:r>
      <w:r>
        <w:rPr/>
        <w:t>PE</w:t>
      </w:r>
      <w:r>
        <w:rPr/>
        <w:t>；下行是手机预算受压、其他项目增长减速、研发资本现金扩大、联营及税归属不利。分拆和</w:t>
      </w:r>
      <w:r>
        <w:rPr/>
        <w:t>AR</w:t>
      </w:r>
      <w:r>
        <w:rPr/>
        <w:t>订单转述可影响风险偏好，但未定价和未盈利时不能当额外现金。年底时长短，预期修订和估值可能主导，技术仍较弱使半年进入条件受限，不能靠一年投行目标直接推年底上涨。</w:t>
      </w:r>
    </w:p>
    <w:p>
      <w:pPr>
        <w:pStyle w:val="Normal"/>
        <w:rPr/>
      </w:pPr>
      <w:r>
        <w:rPr/>
        <w:t>新债、歌尔增资和分拆会改变资产结构或归属，需正式后续文件核验，不能只取有利部分推高收益。若新信息只改变现金而没有盈利，也应重新检查财资与风险，而非随意追加资产奖励。初版可被深研或后续公告修订，四分部活动模型支持逐项更新并保留版本。股数、币种和现金息一致时才比较情景期望，不同日期研报高低目标不能混成一个伪共识年底概率。</w:t>
      </w:r>
    </w:p>
    <w:p>
      <w:pPr>
        <w:pStyle w:val="Heading2"/>
        <w:rPr/>
      </w:pPr>
      <w:r>
        <w:rPr>
          <w:color w:val="000000"/>
        </w:rPr>
        <w:t>二十五 外资目标与证据差异</w:t>
      </w:r>
    </w:p>
    <w:p>
      <w:pPr>
        <w:pStyle w:val="Normal"/>
        <w:rPr/>
      </w:pPr>
      <w:r>
        <w:rPr/>
        <w:t>最近高盛九月十日八十三点三港元中性、大和八月三十一日七十三跑赢大市、花旗八月二十八日九十四买入，均有公开新闻正文。大和正文明确十二个月，另两家近期转述未明确目标期限，保持缺失。美银六月二十六日六十九中性、汇丰四月八十六点九买入、摩根大通四月六十三中性超九十天或在中期前，保留背景但不与最新信息等权。中银国际七十二为中资，单列。</w:t>
      </w:r>
    </w:p>
    <w:p>
      <w:pPr>
        <w:pStyle w:val="Normal"/>
        <w:rPr/>
      </w:pPr>
      <w:r>
        <w:rPr/>
        <w:t>高盛关注高端模组、</w:t>
      </w:r>
      <w:r>
        <w:rPr/>
        <w:t>AI</w:t>
      </w:r>
      <w:r>
        <w:rPr/>
        <w:t>设备与车载潜力，同时认为手机饱和与估值合理；大和关注收入、成本执行和记忆体约束；花旗转述剔换股后全年收入利润至少增长及</w:t>
      </w:r>
      <w:r>
        <w:rPr/>
        <w:t>AR</w:t>
      </w:r>
      <w:r>
        <w:rPr/>
        <w:t>订单。观点差异来自估值和经营假设，不是简单多数赞成买入就形成概率。新闻中管理层指引及订单未取得全部原始演示核实，本章明确转述层级，不把它们等同审计报表或已实现利润。公司原始分部数据优先约束模型。</w:t>
      </w:r>
    </w:p>
    <w:p>
      <w:pPr>
        <w:pStyle w:val="Normal"/>
        <w:rPr/>
      </w:pPr>
      <w:r>
        <w:rPr/>
        <w:t>一年基准九十六点一一接近花旗而高于大和和高盛，意味着模型对正常盈利成长较积极，不能称所有投行支持。年底六十六点一一却较低，因为信息和目标时点不同，估值按年底可验证正常盈利重算。十二个月目标既不直接用作年底价，也不按剩余月份线性缩放。超九十天美银关于</w:t>
      </w:r>
      <w:r>
        <w:rPr/>
        <w:t>CPO</w:t>
      </w:r>
      <w:r>
        <w:rPr/>
        <w:t>的</w:t>
      </w:r>
      <w:r>
        <w:rPr/>
        <w:t>PE</w:t>
      </w:r>
      <w:r>
        <w:rPr/>
        <w:t>提升只作思路参照，不能自动继承旧报告的估值年份和假设到本模型。</w:t>
      </w:r>
    </w:p>
    <w:p>
      <w:pPr>
        <w:pStyle w:val="Normal"/>
        <w:rPr/>
      </w:pPr>
      <w:r>
        <w:rPr/>
        <w:t>机构列表记录证券、日期、港币、评级、期限与链接，同机构最新去重，原始研报未取得就不补造盈利表或目标生效范围。目标上调可能由估值倍数变化而非利润改善，目标下调也可能反映风险溢价，应阅读机制。研究活动桥可将利润与</w:t>
      </w:r>
      <w:r>
        <w:rPr/>
        <w:t>PE</w:t>
      </w:r>
      <w:r>
        <w:rPr/>
        <w:t>分别调整，让投资者看清自己承担的判断。评级不是统一量尺，证据可信度独立于分数，机构来源缺失不靠猜测填补。</w:t>
      </w:r>
    </w:p>
    <w:p>
      <w:pPr>
        <w:pStyle w:val="Heading2"/>
        <w:rPr/>
      </w:pPr>
      <w:r>
        <w:rPr>
          <w:color w:val="000000"/>
        </w:rPr>
        <w:t>二十六 四期限判断与失败路径</w:t>
      </w:r>
    </w:p>
    <w:p>
      <w:pPr>
        <w:pStyle w:val="Normal"/>
        <w:rPr/>
      </w:pPr>
      <w:r>
        <w:rPr/>
        <w:t>半年六十三点二，估值三点四、技术二点二、经营与行业三点八、催化与风险三点五，按既定权重计算。正常</w:t>
      </w:r>
      <w:r>
        <w:rPr/>
        <w:t>PE</w:t>
      </w:r>
      <w:r>
        <w:rPr/>
        <w:t>有修复可能，但近期回撤与缩量尚未确认、手机等分部毛利压力存在。基准七十八点九七需要完整正常盈利与估值接受，反证为低点放量破位、毛利低于假设、其他产品现金不佳。若基本面不变但形态改善，可调整技术；若盈利下修，应同步改价格，不能只提高催化故事。</w:t>
      </w:r>
    </w:p>
    <w:p>
      <w:pPr>
        <w:pStyle w:val="Normal"/>
        <w:rPr/>
      </w:pPr>
      <w:r>
        <w:rPr/>
        <w:t>一年七十三点九，更重视可核完整财务和产品结构。基准价九十六点一一、含息回报六成零点六八，来源为正常每股盈利增长与</w:t>
      </w:r>
      <w:r>
        <w:rPr/>
        <w:t>PE</w:t>
      </w:r>
      <w:r>
        <w:rPr/>
        <w:t>十九，未来一点一元普通息只贡献小部分。公司需证明其他业务增长可持续、手机恢复毛利、车载新项目留利、研发与资本支出产出匹配。若其中关键环节失败，正常利润桥应下调，单一新品订单或分拆申请不能覆盖低现金质量。</w:t>
      </w:r>
    </w:p>
    <w:p>
      <w:pPr>
        <w:pStyle w:val="Normal"/>
        <w:rPr/>
      </w:pPr>
      <w:r>
        <w:rPr/>
        <w:t>三年七十九点五，技术权重降低，重点是精密光学能力跨场景迁移形成规模现金。基准一百二十九点五三、含息年化三成零点二六，需要多元化提高利润而不是纯增加资本。反证包括客户自制、成像方案替代、车载价格竞争或</w:t>
      </w:r>
      <w:r>
        <w:rPr/>
        <w:t>XR</w:t>
      </w:r>
      <w:r>
        <w:rPr/>
        <w:t>与联营持续投入低效，任一关键路径都应落到收入、毛利、成本和</w:t>
      </w:r>
      <w:r>
        <w:rPr/>
        <w:t>PE</w:t>
      </w:r>
      <w:r>
        <w:rPr/>
        <w:t>具体修订。不能因为远期需求市场大而忽略本公司普通股归属。</w:t>
      </w:r>
    </w:p>
    <w:p>
      <w:pPr>
        <w:pStyle w:val="Normal"/>
        <w:rPr/>
      </w:pPr>
      <w:r>
        <w:rPr/>
        <w:t>五年七十六点八，低于三年体现更长期客户、技术和资本配置不确定性。基准一百四十六点零二、含息年化二成零点六三，</w:t>
      </w:r>
      <w:r>
        <w:rPr/>
        <w:t>PE</w:t>
      </w:r>
      <w:r>
        <w:rPr/>
        <w:t>下降仍需正常盈利覆盖股份增加。若制造能力同质化、标准化零件压价、海外布局低效率或持续融资，长期回报可能差于公司总收入。评分不是持有越久越安全，也不是涨价概率。把失败路径具体化，使推荐在未来可以被证明或推翻。</w:t>
      </w:r>
    </w:p>
    <w:p>
      <w:pPr>
        <w:pStyle w:val="Heading2"/>
        <w:rPr/>
      </w:pPr>
      <w:r>
        <w:rPr>
          <w:color w:val="000000"/>
        </w:rPr>
        <w:t>二十七 十年竞争持续性</w:t>
      </w:r>
    </w:p>
    <w:p>
      <w:pPr>
        <w:pStyle w:val="Normal"/>
        <w:rPr/>
      </w:pPr>
      <w:r>
        <w:rPr/>
        <w:t>十年经营展望是公司能否持续在光学性能、可靠制造和系统交付中创造客户愿付价值，不能预测十年精确股价。手机成熟，汽车与智能设备扩张，但技术路线会变、客户会追求成本和多供应商。能够迁移材料、模具、组装和测试能力的企业有机会保持价值，若仅出售易替代标准件，规模也可能难以避免薄利。研究长期正面观点基于能力积累，必须接受资本和客户反证。</w:t>
      </w:r>
    </w:p>
    <w:p>
      <w:pPr>
        <w:pStyle w:val="Normal"/>
        <w:rPr/>
      </w:pPr>
      <w:r>
        <w:rPr/>
        <w:t>长期成功记录应包括稳定正常毛利、持续研发回报、资本现金不过度扩张、透明归属和合理每股分配。产品名称增多不自动构成护城河，终端需求热也不保证供应商利润。公司若能在新场景提前解决难题并规模交付，技术平台价值可提高；若新项目持续靠低价争份额，股东收益可能被折旧和薪酬消耗。未来应让现金和每股正常盈利主导评价，而非把五年乐观再机械外推十年。</w:t>
      </w:r>
    </w:p>
    <w:p>
      <w:pPr>
        <w:pStyle w:val="Normal"/>
        <w:rPr/>
      </w:pPr>
      <w:r>
        <w:rPr/>
        <w:t>维护研究需要核分部重列、毛利与费用定义、换股一次性、税及财资、</w:t>
      </w:r>
      <w:r>
        <w:rPr/>
        <w:t>NCI</w:t>
      </w:r>
      <w:r>
        <w:rPr/>
        <w:t>、票据现金和法律库存。输入改变先标待刷新，再算三种情景及四期限分，核总表和正文数字一致；技术更新同时核复权、公司行动、股与手、真实样本及缺失周均线。来源保存首发时间，未完成增资和分拆另列条件，不把新公告回填旧截止。活动模型与独立正文用于对照旧假设，保持可追溯。</w:t>
      </w:r>
    </w:p>
    <w:p>
      <w:pPr>
        <w:pStyle w:val="Normal"/>
        <w:rPr/>
      </w:pPr>
      <w:r>
        <w:rPr/>
        <w:t>当前更偏好一年和三年的有条件光学成长，半年等待回撤结构与正常盈利确认，五年要求持续资本效率。核心观察依次是手机与其他分部利润质量、车载和</w:t>
      </w:r>
      <w:r>
        <w:rPr/>
        <w:t>XR</w:t>
      </w:r>
      <w:r>
        <w:rPr/>
        <w:t>可归属增长、资本现金和股数，而后才是新概念重估。公司具有真实制造与研发基础，进取型投资可接受成长试验，但每个高目标都需要费用、归属和现金兑现。推荐保留宽下行路径，是为了让收益预期与真实经营约束相连。</w:t>
      </w:r>
    </w:p>
    <w:p>
      <w:pPr>
        <w:pStyle w:val="Heading2"/>
        <w:rPr/>
      </w:pPr>
      <w:r>
        <w:rPr>
          <w:color w:val="000000"/>
        </w:rPr>
        <w:t>来源与模型核验</w:t>
      </w:r>
    </w:p>
    <w:p>
      <w:pPr>
        <w:pStyle w:val="Normal"/>
        <w:rPr/>
      </w:pPr>
      <w:r>
        <w:rPr/>
        <w:t>1. [FY2025</w:t>
      </w:r>
      <w:r>
        <w:rPr/>
        <w:t>年报</w:t>
      </w:r>
      <w:r>
        <w:rPr/>
        <w:t>2026-04-24 17:44](https://www1.hkexnews.hk/listedco/listconews/sehk/2026/0424/2026042401983.pdf)</w:t>
      </w:r>
      <w:r>
        <w:rPr/>
        <w:t>，</w:t>
      </w:r>
      <w:r>
        <w:rPr/>
        <w:t>[</w:t>
      </w:r>
      <w:r>
        <w:rPr/>
        <w:t>业绩</w:t>
      </w:r>
      <w:r>
        <w:rPr/>
        <w:t>2026-03-30 22:22](https://www1.hkexnews.hk/listedco/listconews/sehk/2026/0330/2026033003334.pdf)</w:t>
      </w:r>
      <w:r>
        <w:rPr/>
        <w:t>，财务</w:t>
      </w:r>
      <w:r>
        <w:rPr/>
        <w:t>RMB</w:t>
      </w:r>
      <w:r>
        <w:rPr/>
        <w:t>千元转百万，</w:t>
      </w:r>
      <w:r>
        <w:rPr/>
        <w:t>EPS</w:t>
      </w:r>
      <w:r>
        <w:rPr/>
        <w:t>分转元，毛利分部重列。</w:t>
      </w:r>
    </w:p>
    <w:p>
      <w:pPr>
        <w:pStyle w:val="Normal"/>
        <w:rPr/>
      </w:pPr>
      <w:r>
        <w:rPr/>
        <w:t>2. [H1</w:t>
      </w:r>
      <w:r>
        <w:rPr/>
        <w:t>报告</w:t>
      </w:r>
      <w:r>
        <w:rPr/>
        <w:t>2026-09-21 12:00](https://www1.hkexnews.hk/listedco/listconews/sehk/2026/0921/2026092100313.pdf)</w:t>
      </w:r>
      <w:r>
        <w:rPr/>
        <w:t>，</w:t>
      </w:r>
      <w:r>
        <w:rPr/>
        <w:t>[H1</w:t>
      </w:r>
      <w:r>
        <w:rPr/>
        <w:t>业绩</w:t>
      </w:r>
      <w:r>
        <w:rPr/>
        <w:t>2026-08-26 19:00](https://www1.hkexnews.hk/listedco/listconews/sehk/2026/0826/2026082601115.pdf)</w:t>
      </w:r>
      <w:r>
        <w:rPr/>
        <w:t>，截至</w:t>
      </w:r>
      <w:r>
        <w:rPr/>
        <w:t>2026-06-30</w:t>
      </w:r>
      <w:r>
        <w:rPr/>
        <w:t>；分部</w:t>
      </w:r>
      <w:r>
        <w:rPr/>
        <w:t>margin</w:t>
      </w:r>
      <w:r>
        <w:rPr/>
        <w:t>为毛利未扣未分配费用。</w:t>
      </w:r>
    </w:p>
    <w:p>
      <w:pPr>
        <w:pStyle w:val="Normal"/>
        <w:rPr/>
      </w:pPr>
      <w:r>
        <w:rPr/>
        <w:t>3. [</w:t>
      </w:r>
      <w:r>
        <w:rPr/>
        <w:t>九月月报</w:t>
      </w:r>
      <w:r>
        <w:rPr/>
        <w:t>10/2 10:47](https://www1.hkexnews.hk/listedco/listconews/sehk/2026/1002/2026100200466.pdf)</w:t>
      </w:r>
      <w:r>
        <w:rPr/>
        <w:t>，</w:t>
      </w:r>
      <w:r>
        <w:rPr/>
        <w:t>issued1,078,964,800</w:t>
      </w:r>
      <w:r>
        <w:rPr/>
        <w:t>不含</w:t>
      </w:r>
      <w:r>
        <w:rPr/>
        <w:t>treasury15,840,000</w:t>
      </w:r>
      <w:r>
        <w:rPr/>
        <w:t>；奖励信托不同法律库存。</w:t>
      </w:r>
    </w:p>
    <w:p>
      <w:pPr>
        <w:pStyle w:val="Normal"/>
        <w:rPr/>
      </w:pPr>
      <w:r>
        <w:rPr/>
        <w:t>4. [</w:t>
      </w:r>
      <w:r>
        <w:rPr/>
        <w:t>歌尔增资</w:t>
      </w:r>
      <w:r>
        <w:rPr/>
        <w:t>6/25 17:08](https://www1.hkexnews.hk/listedco/listconews/sehk/2026/0625/2026062500752.pdf)</w:t>
      </w:r>
      <w:r>
        <w:rPr/>
        <w:t>，条件</w:t>
      </w:r>
      <w:r>
        <w:rPr/>
        <w:t>5</w:t>
      </w:r>
      <w:r>
        <w:rPr/>
        <w:t>亿元、</w:t>
      </w:r>
      <w:r>
        <w:rPr/>
        <w:t>OmniLight33.27%</w:t>
      </w:r>
      <w:r>
        <w:rPr/>
        <w:t>非全集团唯一比例；</w:t>
      </w:r>
      <w:r>
        <w:rPr/>
        <w:t>FY</w:t>
      </w:r>
      <w:r>
        <w:rPr/>
        <w:t>换股收益</w:t>
      </w:r>
      <w:r>
        <w:rPr/>
        <w:t>918.920m</w:t>
      </w:r>
      <w:r>
        <w:rPr/>
        <w:t>剔正常。</w:t>
      </w:r>
    </w:p>
    <w:p>
      <w:pPr>
        <w:pStyle w:val="Normal"/>
        <w:rPr/>
      </w:pPr>
      <w:r>
        <w:rPr/>
        <w:t>5. [</w:t>
      </w:r>
      <w:r>
        <w:rPr/>
        <w:t>新债</w:t>
      </w:r>
      <w:r>
        <w:rPr/>
        <w:t>7/7 17:25](https://www1.hkexnews.hk/listedco/listconews/sehk/2026/0707/2026070700990.pdf)</w:t>
      </w:r>
      <w:r>
        <w:rPr/>
        <w:t>，</w:t>
      </w:r>
      <w:r>
        <w:rPr/>
        <w:t>27</w:t>
      </w:r>
      <w:r>
        <w:rPr/>
        <w:t>亿人民币</w:t>
      </w:r>
      <w:r>
        <w:rPr/>
        <w:t>2.15%</w:t>
      </w:r>
      <w:r>
        <w:rPr/>
        <w:t>到</w:t>
      </w:r>
      <w:r>
        <w:rPr/>
        <w:t>2031</w:t>
      </w:r>
      <w:r>
        <w:rPr/>
        <w:t>；</w:t>
      </w:r>
      <w:r>
        <w:rPr/>
        <w:t>[</w:t>
      </w:r>
      <w:r>
        <w:rPr/>
        <w:t>股息</w:t>
      </w:r>
      <w:r>
        <w:rPr/>
        <w:t>4/1 07:55](https://www1.hkexnews.hk/listedco/listconews/sehk/2026/0401/2026040100145.pdf)</w:t>
      </w:r>
      <w:r>
        <w:rPr/>
        <w:t>，</w:t>
      </w:r>
      <w:r>
        <w:rPr/>
        <w:t>1.206</w:t>
      </w:r>
      <w:r>
        <w:rPr/>
        <w:t>港元</w:t>
      </w:r>
      <w:r>
        <w:rPr/>
        <w:t>6/5</w:t>
      </w:r>
      <w:r>
        <w:rPr/>
        <w:t>除息</w:t>
      </w:r>
      <w:r>
        <w:rPr/>
        <w:t>6/26</w:t>
      </w:r>
      <w:r>
        <w:rPr/>
        <w:t>付；</w:t>
      </w:r>
      <w:r>
        <w:rPr/>
        <w:t>[</w:t>
      </w:r>
      <w:r>
        <w:rPr/>
        <w:t>投资者资料</w:t>
      </w:r>
      <w:r>
        <w:rPr/>
        <w:t>6/24 08:00](https://www1.hkexnews.hk/listedco/listconews/sehk/2026/0624/2026062400053.pdf)</w:t>
      </w:r>
      <w:r>
        <w:rPr/>
        <w:t>，官网材料</w:t>
      </w:r>
      <w:r>
        <w:rPr/>
        <w:t>14</w:t>
      </w:r>
      <w:r>
        <w:rPr/>
        <w:t>天，原始</w:t>
      </w:r>
      <w:r>
        <w:rPr/>
        <w:t>PPT</w:t>
      </w:r>
      <w:r>
        <w:rPr/>
        <w:t>未取得。</w:t>
      </w:r>
    </w:p>
    <w:p>
      <w:pPr>
        <w:pStyle w:val="Normal"/>
        <w:rPr/>
      </w:pPr>
      <w:r>
        <w:rPr/>
        <w:t xml:space="preserve">6. </w:t>
      </w:r>
      <w:r>
        <w:rPr/>
        <w:t>新闻正文转述</w:t>
      </w:r>
      <w:r>
        <w:rPr/>
        <w:t>[</w:t>
      </w:r>
      <w:r>
        <w:rPr/>
        <w:t>高盛</w:t>
      </w:r>
      <w:r>
        <w:rPr/>
        <w:t>9/10](https://www.aastocks.com/sc/stocks/analysis/stock-aafn-con/02382/AAFN/NOW.1543791/research-report)</w:t>
      </w:r>
      <w:r>
        <w:rPr/>
        <w:t>、</w:t>
      </w:r>
      <w:r>
        <w:rPr/>
        <w:t>[</w:t>
      </w:r>
      <w:r>
        <w:rPr/>
        <w:t>大和</w:t>
      </w:r>
      <w:r>
        <w:rPr/>
        <w:t>8/31</w:t>
      </w:r>
      <w:r>
        <w:rPr/>
        <w:t>明确</w:t>
      </w:r>
      <w:r>
        <w:rPr/>
        <w:t>12</w:t>
      </w:r>
      <w:r>
        <w:rPr/>
        <w:t>个月</w:t>
      </w:r>
      <w:r>
        <w:rPr/>
        <w:t>](https://www.aastocks.com/sc/stocks/analysis/stock-aafn-con/02382/AAFN/NOW.1542096/research-report)</w:t>
      </w:r>
      <w:r>
        <w:rPr/>
        <w:t>、</w:t>
      </w:r>
      <w:r>
        <w:rPr/>
        <w:t>[</w:t>
      </w:r>
      <w:r>
        <w:rPr/>
        <w:t>花旗</w:t>
      </w:r>
      <w:r>
        <w:rPr/>
        <w:t>8/28](https://www.aastocks.com/sc/stocks/analysis/stock-aafn-con/02382/AAFN/NOW.1541588/research-report)</w:t>
      </w:r>
      <w:r>
        <w:rPr/>
        <w:t>、</w:t>
      </w:r>
      <w:r>
        <w:rPr/>
        <w:t>[</w:t>
      </w:r>
      <w:r>
        <w:rPr/>
        <w:t>美银</w:t>
      </w:r>
      <w:r>
        <w:rPr/>
        <w:t>6/26</w:t>
      </w:r>
      <w:r>
        <w:rPr/>
        <w:t>超</w:t>
      </w:r>
      <w:r>
        <w:rPr/>
        <w:t>90</w:t>
      </w:r>
      <w:r>
        <w:rPr/>
        <w:t>日</w:t>
      </w:r>
      <w:r>
        <w:rPr/>
        <w:t>](https://www.aastocks.com/sc/stocks/analysis/stock-aafn-con/02382/AAFN/NOW.1530742/research-report)</w:t>
      </w:r>
      <w:r>
        <w:rPr/>
        <w:t>，最新去重，其他期限空缺不继承。</w:t>
      </w:r>
    </w:p>
    <w:p>
      <w:pPr>
        <w:pStyle w:val="Normal"/>
        <w:rPr/>
      </w:pPr>
      <w:r>
        <w:rPr/>
        <w:t>7. data/market_snapshot_locked.json</w:t>
      </w:r>
      <w:r>
        <w:rPr/>
        <w:t>为</w:t>
      </w:r>
      <w:r>
        <w:rPr/>
        <w:t>739</w:t>
      </w:r>
      <w:r>
        <w:rPr/>
        <w:t>日线、</w:t>
      </w:r>
      <w:r>
        <w:rPr/>
        <w:t>157</w:t>
      </w:r>
      <w:r>
        <w:rPr/>
        <w:t>周、双源价格和量股；缺</w:t>
      </w:r>
      <w:r>
        <w:rPr/>
        <w:t>250</w:t>
      </w:r>
      <w:r>
        <w:rPr/>
        <w:t>周和逐笔</w:t>
      </w:r>
      <w:r>
        <w:rPr/>
        <w:t>/</w:t>
      </w:r>
      <w:r>
        <w:rPr/>
        <w:t>精确换手不补造。</w:t>
      </w:r>
      <w:r>
        <w:rPr/>
        <w:t>data/sunny_model.json</w:t>
      </w:r>
      <w:r>
        <w:rPr/>
        <w:t>及</w:t>
      </w:r>
      <w:r>
        <w:rPr/>
        <w:t>tools/sunny_model.mjs</w:t>
      </w:r>
      <w:r>
        <w:rPr/>
        <w:t>保留四分部原生假设与正常利润桥，</w:t>
      </w:r>
      <w:r>
        <w:rPr/>
        <w:t>qa/sunny_qa.json</w:t>
      </w:r>
      <w:r>
        <w:rPr/>
        <w:t>独立复算字数、利润、现金、</w:t>
      </w:r>
      <w:r>
        <w:rPr/>
        <w:t>15</w:t>
      </w:r>
      <w:r>
        <w:rPr/>
        <w:t>情景与四分；最终格式与跨文件核验由集成流程。</w:t>
      </w:r>
      <w:r>
        <w:br w:type="page"/>
      </w:r>
    </w:p>
    <w:p>
      <w:pPr>
        <w:pStyle w:val="Heading1"/>
        <w:rPr/>
      </w:pPr>
      <w:bookmarkStart w:id="6" w:name="__RefHeading___Toc21202_312338234"/>
      <w:bookmarkEnd w:id="6"/>
      <w:r>
        <w:rPr>
          <w:color w:val="000000"/>
        </w:rPr>
        <w:t xml:space="preserve">药明生物 </w:t>
      </w:r>
      <w:r>
        <w:rPr>
          <w:color w:val="000000"/>
        </w:rPr>
        <w:t>02269 HK</w:t>
      </w:r>
    </w:p>
    <w:p>
      <w:pPr>
        <w:pStyle w:val="Normal"/>
        <w:rPr/>
      </w:pPr>
      <w:r>
        <w:rPr/>
        <w:t xml:space="preserve">02269.HK </w:t>
      </w:r>
      <w:r>
        <w:rPr/>
        <w:t xml:space="preserve">现价 </w:t>
      </w:r>
      <w:r>
        <w:rPr/>
        <w:t>53.85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60.72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+12.76%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+12.76%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72.60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+34.82%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+34.82%</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84.70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+57.29%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+57.29%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101.20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+87.93%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+87.93%</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36.63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-31.98%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55.66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72.88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+35.33%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55.21HKD</w:t>
      </w:r>
      <w:r>
        <w:rPr/>
        <w:t>，期望股价回报</w:t>
      </w:r>
      <w:r>
        <w:rPr/>
        <w:t>+2.52%</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36.63</w:t>
              <w:br/>
              <w:t>-31.98%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60.72</w:t>
              <w:br/>
              <w:t>+12.76%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81.62</w:t>
              <w:br/>
              <w:t>+51.57%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43.56</w:t>
              <w:br/>
              <w:t>-19.11%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72.60</w:t>
              <w:br/>
              <w:t>+34.82%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104.72</w:t>
              <w:br/>
              <w:t>+94.47%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44.88</w:t>
              <w:br/>
              <w:t>-16.66%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84.70</w:t>
              <w:br/>
              <w:t>+57.29%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148.50</w:t>
              <w:br/>
              <w:t>+175.77%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+16.30%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42.90</w:t>
              <w:br/>
              <w:t>-20.33%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101.20</w:t>
              <w:br/>
              <w:t>+87.93%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200.75</w:t>
              <w:br/>
              <w:t>+272.79%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+13.45%</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medium</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+12.76%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+18.40%</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+28.08%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+34.82%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+41.56%</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+49.42%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+57.29%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+65.15%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+78.53%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+87.93%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+97.33%</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w:t>
      </w:r>
      <w:r>
        <w:rPr/>
        <w:t>2026</w:t>
      </w:r>
      <w:r>
        <w:rPr/>
        <w:t>年</w:t>
      </w:r>
      <w:r>
        <w:rPr/>
        <w:t>10</w:t>
      </w:r>
      <w:r>
        <w:rPr/>
        <w:t>月</w:t>
      </w:r>
      <w:r>
        <w:rPr/>
        <w:t>9</w:t>
      </w:r>
      <w:r>
        <w:rPr/>
        <w:t>日收盘，</w:t>
      </w:r>
      <w:r>
        <w:rPr/>
        <w:t>53.85</w:t>
      </w:r>
      <w:r>
        <w:rPr/>
        <w:t>港元。财务资料以</w:t>
      </w:r>
      <w:r>
        <w:rPr/>
        <w:t>2026</w:t>
      </w:r>
      <w:r>
        <w:rPr/>
        <w:t>年中期报告为主，报告于</w:t>
      </w:r>
      <w:r>
        <w:rPr/>
        <w:t>9</w:t>
      </w:r>
      <w:r>
        <w:rPr/>
        <w:t>月</w:t>
      </w:r>
      <w:r>
        <w:rPr/>
        <w:t>22</w:t>
      </w:r>
      <w:r>
        <w:rPr/>
        <w:t>日公开。本文所有经营判断均以截止日可以获取的证据为边界；未来盈利、合理倍数和成功条件属于分析假设。模型版本</w:t>
      </w:r>
      <w:r>
        <w:rPr/>
        <w:t>wuxi-bio-v1</w:t>
      </w:r>
      <w:r>
        <w:rPr/>
        <w:t>，证据可信度中等；全名单排名及推荐梯队由总表集成。半年</w:t>
      </w:r>
      <w:r>
        <w:rPr/>
        <w:t>67.8</w:t>
      </w:r>
      <w:r>
        <w:rPr/>
        <w:t>分、一年</w:t>
      </w:r>
      <w:r>
        <w:rPr/>
        <w:t>74.4</w:t>
      </w:r>
      <w:r>
        <w:rPr/>
        <w:t>分、三年</w:t>
      </w:r>
      <w:r>
        <w:rPr/>
        <w:t>78.5</w:t>
      </w:r>
      <w:r>
        <w:rPr/>
        <w:t>分、五年</w:t>
      </w:r>
      <w:r>
        <w:rPr/>
        <w:t>74.1</w:t>
      </w:r>
      <w:r>
        <w:rPr/>
        <w:t>分，三年维度的经营兑现机会最有吸引力。</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悲观目标港元</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基准目标港元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乐观目标港元</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基准含分红总回报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36.63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55.66</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72.875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36.63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60.72</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81.62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12.76%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12.76%</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43.56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72.60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104.72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34.82%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34.82%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44.88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84.70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148.50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57.29%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57.29%</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42.90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101.20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200.75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87.93%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87.93%</w:t>
            </w:r>
          </w:p>
        </w:tc>
      </w:tr>
    </w:tbl>
    <w:p>
      <w:pPr>
        <w:pStyle w:val="Normal"/>
        <w:rPr/>
      </w:pPr>
      <w:r>
        <w:rPr/>
      </w:r>
    </w:p>
    <w:p>
      <w:pPr>
        <w:pStyle w:val="Normal"/>
        <w:rPr/>
      </w:pPr>
      <w:r>
        <w:rPr/>
        <w:t>模型各期限暂取累计现金股息零，三年基准总回报年化</w:t>
      </w:r>
      <w:r>
        <w:rPr/>
        <w:t>16.30%</w:t>
      </w:r>
      <w:r>
        <w:rPr/>
        <w:t>，五年基准年化</w:t>
      </w:r>
      <w:r>
        <w:rPr/>
        <w:t>13.45%</w:t>
      </w:r>
      <w:r>
        <w:rPr/>
        <w:t>。年底采用悲观</w:t>
      </w:r>
      <w:r>
        <w:rPr/>
        <w:t>25%</w:t>
      </w:r>
      <w:r>
        <w:rPr/>
        <w:t>、基准</w:t>
      </w:r>
      <w:r>
        <w:rPr/>
        <w:t>50%</w:t>
      </w:r>
      <w:r>
        <w:rPr/>
        <w:t>、乐观</w:t>
      </w:r>
      <w:r>
        <w:rPr/>
        <w:t>25%</w:t>
      </w:r>
      <w:r>
        <w:rPr/>
        <w:t>的判断权重，期望价</w:t>
      </w:r>
      <w:r>
        <w:rPr/>
        <w:t>55.20625</w:t>
      </w:r>
      <w:r>
        <w:rPr/>
        <w:t>港元、期望股价回报</w:t>
      </w:r>
      <w:r>
        <w:rPr/>
        <w:t>2.52%</w:t>
      </w:r>
      <w:r>
        <w:rPr/>
        <w:t>。主要风险是海外采购政策、工厂质量、客户融资、资本回报与股权稀释。结论成立需要有机订单、经营盈利和现金转换同步兑现；巨量跌破近期结构且不能修复或重要客户流失均需要降低推荐。</w:t>
      </w:r>
    </w:p>
    <w:p>
      <w:pPr>
        <w:pStyle w:val="Heading2"/>
        <w:rPr/>
      </w:pPr>
      <w:r>
        <w:rPr>
          <w:color w:val="000000"/>
        </w:rPr>
        <w:t>一 投资判断 增长兑现与买入价格必须同时过关</w:t>
      </w:r>
    </w:p>
    <w:p>
      <w:pPr>
        <w:pStyle w:val="Normal"/>
        <w:rPr/>
      </w:pPr>
      <w:r>
        <w:rPr/>
        <w:t>药明生物是这份名单中值得优先研究的生物药服务公司。</w:t>
      </w:r>
      <w:r>
        <w:rPr/>
        <w:t>2026</w:t>
      </w:r>
      <w:r>
        <w:rPr/>
        <w:t>年上半年收入增长</w:t>
      </w:r>
      <w:r>
        <w:rPr/>
        <w:t>18.4%</w:t>
      </w:r>
      <w:r>
        <w:rPr/>
        <w:t>，毛利率提升至</w:t>
      </w:r>
      <w:r>
        <w:rPr/>
        <w:t>46.2%</w:t>
      </w:r>
      <w:r>
        <w:rPr/>
        <w:t>，归母调整利润增长</w:t>
      </w:r>
      <w:r>
        <w:rPr/>
        <w:t>38.4%</w:t>
      </w:r>
      <w:r>
        <w:rPr/>
        <w:t>，三个数字共同说明产能、项目交付和成本管理正在改善。公司没有只依赖一个临床药物成功，而是向不同客户和不同阶段的生物药提供研究、开发和生产服务，单个候选药失败通常不会让整个业务失去收入来源。对希望获得创新药行业增长、又愿意降低单一管线二元风险的进取型投资者，这种业务结构有吸引力。</w:t>
      </w:r>
    </w:p>
    <w:p>
      <w:pPr>
        <w:pStyle w:val="Normal"/>
        <w:rPr/>
      </w:pPr>
      <w:r>
        <w:rPr/>
        <w:t>然而，</w:t>
      </w:r>
      <w:r>
        <w:rPr/>
        <w:t>53.85</w:t>
      </w:r>
      <w:r>
        <w:rPr/>
        <w:t>港元并不是经营改善尚未被市场识别的价格。过去</w:t>
      </w:r>
      <w:r>
        <w:rPr/>
        <w:t>60</w:t>
      </w:r>
      <w:r>
        <w:rPr/>
        <w:t>个交易日股价已经上涨</w:t>
      </w:r>
      <w:r>
        <w:rPr/>
        <w:t>36.95%</w:t>
      </w:r>
      <w:r>
        <w:rPr/>
        <w:t>，比恒生指数多涨</w:t>
      </w:r>
      <w:r>
        <w:rPr/>
        <w:t>40.14</w:t>
      </w:r>
      <w:r>
        <w:rPr/>
        <w:t>个百分点，现价高于</w:t>
      </w:r>
      <w:r>
        <w:rPr/>
        <w:t>250</w:t>
      </w:r>
      <w:r>
        <w:rPr/>
        <w:t>日均线</w:t>
      </w:r>
      <w:r>
        <w:rPr/>
        <w:t>41.61%</w:t>
      </w:r>
      <w:r>
        <w:rPr/>
        <w:t>。机构目标价中，最新高盛</w:t>
      </w:r>
      <w:r>
        <w:rPr/>
        <w:t>55.8</w:t>
      </w:r>
      <w:r>
        <w:rPr/>
        <w:t>港元和美银</w:t>
      </w:r>
      <w:r>
        <w:rPr/>
        <w:t>56</w:t>
      </w:r>
      <w:r>
        <w:rPr/>
        <w:t>港元距离现价分别只有约</w:t>
      </w:r>
      <w:r>
        <w:rPr/>
        <w:t>3.6%</w:t>
      </w:r>
      <w:r>
        <w:rPr/>
        <w:t>和</w:t>
      </w:r>
      <w:r>
        <w:rPr/>
        <w:t>4.0%</w:t>
      </w:r>
      <w:r>
        <w:rPr/>
        <w:t>，同时均给予中性评级；花旗</w:t>
      </w:r>
      <w:r>
        <w:rPr/>
        <w:t>62</w:t>
      </w:r>
      <w:r>
        <w:rPr/>
        <w:t>港元和里昂</w:t>
      </w:r>
      <w:r>
        <w:rPr/>
        <w:t>65.7</w:t>
      </w:r>
      <w:r>
        <w:rPr/>
        <w:t>港元的目标则允许更大的上涨空间。投资者面对的是一个基本面明显改善、市场已支付相当溢价、机构对增长应值多少倍数仍存在分歧的资产。</w:t>
      </w:r>
    </w:p>
    <w:p>
      <w:pPr>
        <w:pStyle w:val="Normal"/>
        <w:rPr/>
      </w:pPr>
      <w:r>
        <w:rPr/>
        <w:t>半年内最关键的问题是新增订单和利润率改善能否继续超出已有预期。现价距离</w:t>
      </w:r>
      <w:r>
        <w:rPr/>
        <w:t>52</w:t>
      </w:r>
      <w:r>
        <w:rPr/>
        <w:t>周最高</w:t>
      </w:r>
      <w:r>
        <w:rPr/>
        <w:t>58</w:t>
      </w:r>
      <w:r>
        <w:rPr/>
        <w:t>港元不足</w:t>
      </w:r>
      <w:r>
        <w:rPr/>
        <w:t>8%</w:t>
      </w:r>
      <w:r>
        <w:rPr/>
        <w:t>，若仅回到前高，上涨幅度并不大；回到</w:t>
      </w:r>
      <w:r>
        <w:rPr/>
        <w:t>60</w:t>
      </w:r>
      <w:r>
        <w:rPr/>
        <w:t>日均线则意味着约</w:t>
      </w:r>
      <w:r>
        <w:rPr/>
        <w:t>11.7%</w:t>
      </w:r>
      <w:r>
        <w:rPr/>
        <w:t>的价格下降。不能因为基本面比去年更好就假定短期买入胜率很高。合理的半年策略需要等待价格相对价值有余量，或等待业绩和订单提供足以推动估值上修的新信息。现有上升趋势可以作为参与依据，但应以趋势失效后的损失与潜在收益相比较。</w:t>
      </w:r>
    </w:p>
    <w:p>
      <w:pPr>
        <w:pStyle w:val="Normal"/>
        <w:rPr/>
      </w:pPr>
      <w:r>
        <w:rPr/>
        <w:t>一年维度，药明生物的吸引力相对半年更高。商业化产能爬坡、存量分子进入后期阶段，以及客户融资改善，可以在多个报告期中逐渐体现为收入和毛利。三年维度的核心是商业化项目规模和现金回报，而非今天的短线量能。五年维度则要判断全球客户能否继续将关键生产环节交给公司，且新增资本投入的回报是否足以补偿合规和地缘政治成本。公司质量可以支持长期研究，但长期质量不能免除买入价检验。</w:t>
      </w:r>
    </w:p>
    <w:p>
      <w:pPr>
        <w:pStyle w:val="Heading2"/>
        <w:rPr/>
      </w:pPr>
      <w:r>
        <w:rPr>
          <w:color w:val="000000"/>
        </w:rPr>
        <w:t>二 商业模式与收入产生的机制</w:t>
      </w:r>
    </w:p>
    <w:p>
      <w:pPr>
        <w:pStyle w:val="Normal"/>
        <w:rPr/>
      </w:pPr>
      <w:r>
        <w:rPr/>
        <w:t>2026</w:t>
      </w:r>
      <w:r>
        <w:rPr/>
        <w:t>中报将公司定义为开放式生物药</w:t>
      </w:r>
      <w:r>
        <w:rPr/>
        <w:t>CRDMO</w:t>
      </w:r>
      <w:r>
        <w:rPr/>
        <w:t>，即覆盖合同研究、开发和生产的服务平台。业务从早期抗体发现、临床前开发、工艺及质量研究，延伸至临床试验材料和上市后的商业化生产。客户不一定购买全流程服务，可以在不同阶段分别委托。公司竞争力因此既包含一体化交付，也包含单个模块在时间、质量、成本和监管经验上的吸引力。一体化能够降低客户跨供应商协调难度，但客户保留拆分供应商的选择，这限制了公司任意提价的能力。</w:t>
      </w:r>
    </w:p>
    <w:p>
      <w:pPr>
        <w:pStyle w:val="Normal"/>
        <w:rPr/>
      </w:pPr>
      <w:r>
        <w:rPr/>
        <w:t>“</w:t>
      </w:r>
      <w:r>
        <w:rPr/>
        <w:t>跟随分子”模式的经济含义是，在同一个候选药物早期建立开发关系，随着项目进展承接更大规模的工作。早期研究单笔合同可能小，进入三期或商业生产后单位项目收入可能显著扩大。平台由大量早期分子构成潜在的后期项目储备，客户越早使用公司的细胞株、工艺及分析体系，后续切换时需要重新验证的内容往往越多。这个机制有助于提高客户黏性，但它不是临床成功保证，也不是客户必然长期独家采购的合同承诺。</w:t>
      </w:r>
    </w:p>
    <w:p>
      <w:pPr>
        <w:pStyle w:val="Normal"/>
        <w:rPr/>
      </w:pPr>
      <w:r>
        <w:rPr/>
        <w:t>“</w:t>
      </w:r>
      <w:r>
        <w:rPr/>
        <w:t>赢得分子”模式则是从已有外部项目中获取业务。它缩短了从早期发现到大额后期收入的等待时间，但需要更强的技术转移和交付能力。如果公司能够在客户已有工艺体系下保持质量一致，并快速完成放大生产，外部项目可能成为较快的增长来源；如果技术转移复杂或原合同带有限制，新增项目的收入和利润实现时点可能推迟。</w:t>
      </w:r>
      <w:r>
        <w:rPr/>
        <w:t>2026</w:t>
      </w:r>
      <w:r>
        <w:rPr/>
        <w:t>上半年公司取得</w:t>
      </w:r>
      <w:r>
        <w:rPr/>
        <w:t>16</w:t>
      </w:r>
      <w:r>
        <w:rPr/>
        <w:t>个外部项目，包含</w:t>
      </w:r>
      <w:r>
        <w:rPr/>
        <w:t>4</w:t>
      </w:r>
      <w:r>
        <w:rPr/>
        <w:t>个后期临床项目及</w:t>
      </w:r>
      <w:r>
        <w:rPr/>
        <w:t>1</w:t>
      </w:r>
      <w:r>
        <w:rPr/>
        <w:t>个商业化项目，这是观察能力兑现的直接线索。</w:t>
      </w:r>
    </w:p>
    <w:p>
      <w:pPr>
        <w:pStyle w:val="Normal"/>
        <w:rPr/>
      </w:pPr>
      <w:r>
        <w:rPr/>
        <w:t>中报列示</w:t>
      </w:r>
      <w:r>
        <w:rPr/>
        <w:t>1,064</w:t>
      </w:r>
      <w:r>
        <w:rPr/>
        <w:t>个进行中的综合项目，其中临床前</w:t>
      </w:r>
      <w:r>
        <w:rPr/>
        <w:t>525</w:t>
      </w:r>
      <w:r>
        <w:rPr/>
        <w:t>个，一期</w:t>
      </w:r>
      <w:r>
        <w:rPr/>
        <w:t>303</w:t>
      </w:r>
      <w:r>
        <w:rPr/>
        <w:t>个，二期</w:t>
      </w:r>
      <w:r>
        <w:rPr/>
        <w:t>130</w:t>
      </w:r>
      <w:r>
        <w:rPr/>
        <w:t>个，三期</w:t>
      </w:r>
      <w:r>
        <w:rPr/>
        <w:t>78</w:t>
      </w:r>
      <w:r>
        <w:rPr/>
        <w:t>个，商业化</w:t>
      </w:r>
      <w:r>
        <w:rPr/>
        <w:t>28</w:t>
      </w:r>
      <w:r>
        <w:rPr/>
        <w:t>个。不能把</w:t>
      </w:r>
      <w:r>
        <w:rPr/>
        <w:t>1,064</w:t>
      </w:r>
      <w:r>
        <w:rPr/>
        <w:t>个项目乘以商业化单项目年收入来估算市场价值。多数项目仍在早期，只有一部分进入后期，一部分因临床无效、安全性、资金或商业原因终止。早期数量增长有助于改善概率分布，但投资估值必须考虑存量项目向更高阶段迁移的实际比例。项目总数上升和后期项目占比上升是两个不同指标。</w:t>
      </w:r>
    </w:p>
    <w:p>
      <w:pPr>
        <w:pStyle w:val="Normal"/>
        <w:rPr/>
      </w:pPr>
      <w:r>
        <w:rPr/>
        <w:t>公司中报给出的阶段服务收入范围是临床前每项目约</w:t>
      </w:r>
      <w:r>
        <w:rPr/>
        <w:t>300</w:t>
      </w:r>
      <w:r>
        <w:rPr/>
        <w:t>万至</w:t>
      </w:r>
      <w:r>
        <w:rPr/>
        <w:t>800</w:t>
      </w:r>
      <w:r>
        <w:rPr/>
        <w:t>万美元、早期临床约</w:t>
      </w:r>
      <w:r>
        <w:rPr/>
        <w:t>400</w:t>
      </w:r>
      <w:r>
        <w:rPr/>
        <w:t>万至</w:t>
      </w:r>
      <w:r>
        <w:rPr/>
        <w:t>600</w:t>
      </w:r>
      <w:r>
        <w:rPr/>
        <w:t>万美元、三期约</w:t>
      </w:r>
      <w:r>
        <w:rPr/>
        <w:t>2,000</w:t>
      </w:r>
      <w:r>
        <w:rPr/>
        <w:t>万至</w:t>
      </w:r>
      <w:r>
        <w:rPr/>
        <w:t>5,000</w:t>
      </w:r>
      <w:r>
        <w:rPr/>
        <w:t>万美元，商业化峰值阶段每年约</w:t>
      </w:r>
      <w:r>
        <w:rPr/>
        <w:t>5,000</w:t>
      </w:r>
      <w:r>
        <w:rPr/>
        <w:t>万至</w:t>
      </w:r>
      <w:r>
        <w:rPr/>
        <w:t>1</w:t>
      </w:r>
      <w:r>
        <w:rPr/>
        <w:t>亿美元。这里的金额是一般范围，而且商业化金额指达到峰值后的估计价值。三期周期为</w:t>
      </w:r>
      <w:r>
        <w:rPr/>
        <w:t>3</w:t>
      </w:r>
      <w:r>
        <w:rPr/>
        <w:t>至</w:t>
      </w:r>
      <w:r>
        <w:rPr/>
        <w:t>5</w:t>
      </w:r>
      <w:r>
        <w:rPr/>
        <w:t>年，早期临床一般约</w:t>
      </w:r>
      <w:r>
        <w:rPr/>
        <w:t>3</w:t>
      </w:r>
      <w:r>
        <w:rPr/>
        <w:t>年，意味着订单实现存在跨年度分布。将阶段价值一次性放入某一年，会同时高估收入增长和现金生成速度。</w:t>
      </w:r>
    </w:p>
    <w:p>
      <w:pPr>
        <w:pStyle w:val="Heading2"/>
        <w:rPr/>
      </w:pPr>
      <w:r>
        <w:rPr>
          <w:color w:val="000000"/>
        </w:rPr>
        <w:t>三 收入结构显示的增长质量</w:t>
      </w:r>
    </w:p>
    <w:p>
      <w:pPr>
        <w:pStyle w:val="Normal"/>
        <w:rPr/>
      </w:pPr>
      <w:r>
        <w:rPr/>
        <w:t>公司上半年收入</w:t>
      </w:r>
      <w:r>
        <w:rPr/>
        <w:t>117.872</w:t>
      </w:r>
      <w:r>
        <w:rPr/>
        <w:t>亿元人民币，其中</w:t>
      </w:r>
      <w:r>
        <w:rPr/>
        <w:t>IND</w:t>
      </w:r>
      <w:r>
        <w:rPr/>
        <w:t>前服务</w:t>
      </w:r>
      <w:r>
        <w:rPr/>
        <w:t>52.771</w:t>
      </w:r>
      <w:r>
        <w:rPr/>
        <w:t>亿元，占</w:t>
      </w:r>
      <w:r>
        <w:rPr/>
        <w:t>44.8%</w:t>
      </w:r>
      <w:r>
        <w:rPr/>
        <w:t>，同比增长</w:t>
      </w:r>
      <w:r>
        <w:rPr/>
        <w:t>27.2%</w:t>
      </w:r>
      <w:r>
        <w:rPr/>
        <w:t>；早期临床</w:t>
      </w:r>
      <w:r>
        <w:rPr/>
        <w:t>14.590</w:t>
      </w:r>
      <w:r>
        <w:rPr/>
        <w:t>亿元，占</w:t>
      </w:r>
      <w:r>
        <w:rPr/>
        <w:t>12.4%</w:t>
      </w:r>
      <w:r>
        <w:rPr/>
        <w:t>，同比增长</w:t>
      </w:r>
      <w:r>
        <w:rPr/>
        <w:t>9.7%</w:t>
      </w:r>
      <w:r>
        <w:rPr/>
        <w:t>；后期临床及商业化</w:t>
      </w:r>
      <w:r>
        <w:rPr/>
        <w:t>47.374</w:t>
      </w:r>
      <w:r>
        <w:rPr/>
        <w:t>亿元，占</w:t>
      </w:r>
      <w:r>
        <w:rPr/>
        <w:t>40.2%</w:t>
      </w:r>
      <w:r>
        <w:rPr/>
        <w:t>，同比增长</w:t>
      </w:r>
      <w:r>
        <w:rPr/>
        <w:t>10.5%</w:t>
      </w:r>
      <w:r>
        <w:rPr/>
        <w:t>；其他业务</w:t>
      </w:r>
      <w:r>
        <w:rPr/>
        <w:t>3.137</w:t>
      </w:r>
      <w:r>
        <w:rPr/>
        <w:t>亿元，占</w:t>
      </w:r>
      <w:r>
        <w:rPr/>
        <w:t>2.6%</w:t>
      </w:r>
      <w:r>
        <w:rPr/>
        <w:t>。早期研究恢复比后期和商业化整体收入增长更快，表明客户愿意增加发现和开发活动，但也说明最直接决定长期现金流的商业化引擎目前并未在整体阶段口径中全面体现高增长。</w:t>
      </w:r>
    </w:p>
    <w:p>
      <w:pPr>
        <w:pStyle w:val="Normal"/>
        <w:rPr/>
      </w:pPr>
      <w:r>
        <w:rPr/>
        <w:t>IND</w:t>
      </w:r>
      <w:r>
        <w:rPr/>
        <w:t>前占比上升既有正面含义，也需要审慎解释。正面在于未来项目池扩大，为几年后可能增加的后期项目提供来源；风险在于早期项目依赖生物科技融资和客户预算，且单项目业务稳定性低于已经商业化的产品。若收入增长主要来自早期项目，但后期项目迁移率没有改善，收入规模可能增长而持续性仍不足。长期估值应同时观察早期项目数、后期数量、单位合同规模和商业化项目实际产量。</w:t>
      </w:r>
    </w:p>
    <w:p>
      <w:pPr>
        <w:pStyle w:val="Normal"/>
        <w:rPr/>
      </w:pPr>
      <w:r>
        <w:rPr/>
        <w:t>按分部口径，生物药外部销售</w:t>
      </w:r>
      <w:r>
        <w:rPr/>
        <w:t>81.053</w:t>
      </w:r>
      <w:r>
        <w:rPr/>
        <w:t>亿元，</w:t>
      </w:r>
      <w:r>
        <w:rPr/>
        <w:t>XDC</w:t>
      </w:r>
      <w:r>
        <w:rPr/>
        <w:t>外部销售</w:t>
      </w:r>
      <w:r>
        <w:rPr/>
        <w:t>36.819</w:t>
      </w:r>
      <w:r>
        <w:rPr/>
        <w:t>亿元；分部间交易消除后合并收入</w:t>
      </w:r>
      <w:r>
        <w:rPr/>
        <w:t>117.872</w:t>
      </w:r>
      <w:r>
        <w:rPr/>
        <w:t>亿元。</w:t>
      </w:r>
      <w:r>
        <w:rPr/>
        <w:t>XDC</w:t>
      </w:r>
      <w:r>
        <w:rPr/>
        <w:t>与单独上市的药明合联有关，药明生物合并收入中已包含其贡献。若采用分部估值，在母公司价值中单独加入药明合联持股价值，就必须从母公司经营估值中剔除相应业务利润及少数股东影响。否则会对同一</w:t>
      </w:r>
      <w:r>
        <w:rPr/>
        <w:t>ADC</w:t>
      </w:r>
      <w:r>
        <w:rPr/>
        <w:t>业务估值两次，这是药明系比较中的常见错误。</w:t>
      </w:r>
    </w:p>
    <w:p>
      <w:pPr>
        <w:pStyle w:val="Normal"/>
        <w:rPr/>
      </w:pPr>
      <w:r>
        <w:rPr/>
        <w:t>北美收入</w:t>
      </w:r>
      <w:r>
        <w:rPr/>
        <w:t>68.875</w:t>
      </w:r>
      <w:r>
        <w:rPr/>
        <w:t>亿元，占</w:t>
      </w:r>
      <w:r>
        <w:rPr/>
        <w:t>58.4%</w:t>
      </w:r>
      <w:r>
        <w:rPr/>
        <w:t>，同比约</w:t>
      </w:r>
      <w:r>
        <w:rPr/>
        <w:t>14.4%</w:t>
      </w:r>
      <w:r>
        <w:rPr/>
        <w:t>；欧洲</w:t>
      </w:r>
      <w:r>
        <w:rPr/>
        <w:t>19.902</w:t>
      </w:r>
      <w:r>
        <w:rPr/>
        <w:t>亿元，占</w:t>
      </w:r>
      <w:r>
        <w:rPr/>
        <w:t>16.9%</w:t>
      </w:r>
      <w:r>
        <w:rPr/>
        <w:t>，增幅较低；中国</w:t>
      </w:r>
      <w:r>
        <w:rPr/>
        <w:t>19.553</w:t>
      </w:r>
      <w:r>
        <w:rPr/>
        <w:t>亿元，占</w:t>
      </w:r>
      <w:r>
        <w:rPr/>
        <w:t>16.6%</w:t>
      </w:r>
      <w:r>
        <w:rPr/>
        <w:t>，同比约</w:t>
      </w:r>
      <w:r>
        <w:rPr/>
        <w:t>50.8%</w:t>
      </w:r>
      <w:r>
        <w:rPr/>
        <w:t>；其他地区</w:t>
      </w:r>
      <w:r>
        <w:rPr/>
        <w:t>9.542</w:t>
      </w:r>
      <w:r>
        <w:rPr/>
        <w:t>亿元，占</w:t>
      </w:r>
      <w:r>
        <w:rPr/>
        <w:t>8.1%</w:t>
      </w:r>
      <w:r>
        <w:rPr/>
        <w:t>。中国收入的快速增长不能消除北美依赖，因为北美仍贡献超过一半销售。客户地址口径也不等于最终药品患者所在市场，全球药企可能在某地区签约并在其他地区销售产品。因此这些数字适合判断客户和结算风险，不能直接替代药品需求地理分布。</w:t>
      </w:r>
    </w:p>
    <w:p>
      <w:pPr>
        <w:pStyle w:val="Normal"/>
        <w:rPr/>
      </w:pPr>
      <w:r>
        <w:rPr/>
        <w:t>中国占比提高使公司可能受益于国内创新药研发、对外授权和本土商业化，但是国内项目通常需要考虑医保定价、临床竞争以及客户融资的现实约束。国际项目有更大的商业化生产机会，也有更高的监管标准和复杂的政治风险。对公司最有利的结构不是简单将中国占比提高到某个目标，而是在保持国际高质量客户的同时扩展国内项目，让不同地区的研发周期彼此分散。</w:t>
      </w:r>
    </w:p>
    <w:p>
      <w:pPr>
        <w:pStyle w:val="Heading2"/>
        <w:rPr/>
      </w:pPr>
      <w:r>
        <w:rPr>
          <w:color w:val="000000"/>
        </w:rPr>
        <w:t xml:space="preserve">四 订单分析 </w:t>
      </w:r>
      <w:r>
        <w:rPr>
          <w:color w:val="000000"/>
        </w:rPr>
        <w:t>251</w:t>
      </w:r>
      <w:r>
        <w:rPr>
          <w:color w:val="000000"/>
        </w:rPr>
        <w:t>亿美元不是确定收入</w:t>
      </w:r>
    </w:p>
    <w:p>
      <w:pPr>
        <w:pStyle w:val="Normal"/>
        <w:rPr/>
      </w:pPr>
      <w:r>
        <w:rPr/>
        <w:t>截至</w:t>
      </w:r>
      <w:r>
        <w:rPr/>
        <w:t>2026</w:t>
      </w:r>
      <w:r>
        <w:rPr/>
        <w:t>年</w:t>
      </w:r>
      <w:r>
        <w:rPr/>
        <w:t>6</w:t>
      </w:r>
      <w:r>
        <w:rPr/>
        <w:t>月末，未完成订单约</w:t>
      </w:r>
      <w:r>
        <w:rPr/>
        <w:t>251</w:t>
      </w:r>
      <w:r>
        <w:rPr/>
        <w:t>亿美元，包含约</w:t>
      </w:r>
      <w:r>
        <w:rPr/>
        <w:t>126</w:t>
      </w:r>
      <w:r>
        <w:rPr/>
        <w:t>亿美元服务订单和约</w:t>
      </w:r>
      <w:r>
        <w:rPr/>
        <w:t>124</w:t>
      </w:r>
      <w:r>
        <w:rPr/>
        <w:t>亿美元潜在里程碑订单；两部分相加与总额的小差异来自披露约数。三年内未完成订单</w:t>
      </w:r>
      <w:r>
        <w:rPr/>
        <w:t>55</w:t>
      </w:r>
      <w:r>
        <w:rPr/>
        <w:t>亿美元。服务订单、潜在里程碑和三年内订单是三个不同性质的数字：前者是合同服务需求，第二类依赖项目进展和成功条件，第三类说明较近期限的交付安排。把全部</w:t>
      </w:r>
      <w:r>
        <w:rPr/>
        <w:t>251</w:t>
      </w:r>
      <w:r>
        <w:rPr/>
        <w:t>亿美元视为可在三年确认的收入，会严重夸大收入可见度。</w:t>
      </w:r>
    </w:p>
    <w:p>
      <w:pPr>
        <w:pStyle w:val="Normal"/>
        <w:rPr/>
      </w:pPr>
      <w:r>
        <w:rPr/>
        <w:t>55</w:t>
      </w:r>
      <w:r>
        <w:rPr/>
        <w:t>亿美元三年内订单同比增长约</w:t>
      </w:r>
      <w:r>
        <w:rPr/>
        <w:t>30%</w:t>
      </w:r>
      <w:r>
        <w:rPr/>
        <w:t>的券商描述支持中期增长，但仍要问现有产能和新增产能如何安排交付，订单是否含可取消条款，以及报告期后是否出现延迟。服务合同也可能因客户资金耗尽或临床试验调整而变更。订单是方向证据，收入是完成交付和确认后的结果，现金是客户实际付款后的结果。只有订单、收入和现金相互印证，才能较高置信度地认为业务进入持续扩张阶段。</w:t>
      </w:r>
    </w:p>
    <w:p>
      <w:pPr>
        <w:pStyle w:val="Normal"/>
        <w:rPr/>
      </w:pPr>
      <w:r>
        <w:rPr/>
        <w:t>2026</w:t>
      </w:r>
      <w:r>
        <w:rPr/>
        <w:t>上半年“新增</w:t>
      </w:r>
      <w:r>
        <w:rPr/>
        <w:t>169</w:t>
      </w:r>
      <w:r>
        <w:rPr/>
        <w:t>项目”包含</w:t>
      </w:r>
      <w:r>
        <w:rPr/>
        <w:t>123</w:t>
      </w:r>
      <w:r>
        <w:rPr/>
        <w:t>个内生新增和</w:t>
      </w:r>
      <w:r>
        <w:rPr/>
        <w:t>46</w:t>
      </w:r>
      <w:r>
        <w:rPr/>
        <w:t>个由收购东曜获得的项目。若投资者把</w:t>
      </w:r>
      <w:r>
        <w:rPr/>
        <w:t>169</w:t>
      </w:r>
      <w:r>
        <w:rPr/>
        <w:t>全部解释为客户自然新增需求，会高估有机增长。收购带来的项目也有价值，但应考虑取得项目支付的对价、整合费用和新增少数股东权益。分析应将内生新增、外部赢得、收购项目及退出项目分开，保持期初到期末数量可以复算。公司总量改善与收购扩大项目池都应被承认，不能用一种解释覆盖另一种。</w:t>
      </w:r>
    </w:p>
    <w:p>
      <w:pPr>
        <w:pStyle w:val="Normal"/>
        <w:rPr/>
      </w:pPr>
      <w:r>
        <w:rPr/>
        <w:t>订单金额增大也可能包含合同周期延长或单个大型项目增加。更长周期的合同改善客户关系，却未必提高短期现金回报；合同金额集中于少数项目时，个别取消的冲击更大。截止日公开材料不足以对所有客户级订单取消率建立模型，本章不假装精确计算每个分子的成功率。后续重点核验应该是过去数期三年内订单兑现率、未完成服务订单增长、新增商业化项目及平均产能利用率。</w:t>
      </w:r>
    </w:p>
    <w:p>
      <w:pPr>
        <w:pStyle w:val="Heading2"/>
        <w:rPr/>
      </w:pPr>
      <w:r>
        <w:rPr>
          <w:color w:val="000000"/>
        </w:rPr>
        <w:t>五 行业周期与生物科技融资</w:t>
      </w:r>
    </w:p>
    <w:p>
      <w:pPr>
        <w:pStyle w:val="Normal"/>
        <w:rPr/>
      </w:pPr>
      <w:r>
        <w:rPr/>
        <w:t>CRDMO</w:t>
      </w:r>
      <w:r>
        <w:rPr/>
        <w:t>需求与患者用药需求并不同时变化。最终医药需求相对稳定，而早期研发外包预算受风险资本、上市融资、授权交易和大型药企组合调整影响。当融资收紧时，客户可能优先保留最有希望的项目，延迟探索性研究；融资恢复时，最先变化的通常是早期研究委托，而不是已经上市产品的生产需求。药明生物</w:t>
      </w:r>
      <w:r>
        <w:rPr/>
        <w:t>IND</w:t>
      </w:r>
      <w:r>
        <w:rPr/>
        <w:t>前增长快于后期阶段，与这种传导链条相容，但不能仅凭一次半年报证明整个融资周期已经永久好转。</w:t>
      </w:r>
    </w:p>
    <w:p>
      <w:pPr>
        <w:pStyle w:val="Normal"/>
        <w:rPr/>
      </w:pPr>
      <w:r>
        <w:rPr/>
        <w:t>2026</w:t>
      </w:r>
      <w:r>
        <w:rPr/>
        <w:t>年</w:t>
      </w:r>
      <w:r>
        <w:rPr/>
        <w:t>8</w:t>
      </w:r>
      <w:r>
        <w:rPr/>
        <w:t>月</w:t>
      </w:r>
      <w:r>
        <w:rPr/>
        <w:t>12</w:t>
      </w:r>
      <w:r>
        <w:rPr/>
        <w:t>日美银转述显示，全球创新药融资和中国创新药融资在上半年均有回升，外资因此上调部分</w:t>
      </w:r>
      <w:r>
        <w:rPr/>
        <w:t>CXO</w:t>
      </w:r>
      <w:r>
        <w:rPr/>
        <w:t>长期增速假设。这类行业统计来自机构引用第三方数据，适合作为方向性证据，不能把全部融资金额直接映射到药明生物的订单收入。融资对象的地域、药物类型、研发阶段及是否采用外包都会影响转换。对公司相关性最高的是生物药客户融资与已签约项目的预算稳定，而不是所有医疗融资总额。</w:t>
      </w:r>
    </w:p>
    <w:p>
      <w:pPr>
        <w:pStyle w:val="Normal"/>
        <w:rPr/>
      </w:pPr>
      <w:r>
        <w:rPr/>
        <w:t>全球大型药企面对专利到期和管线补充需求，可能增加从中国获取创新资产，也可能在交易完成后将原有生产供应链国际化。这为公司创造机会，前提是其质量、技术转移和全球工厂能够满足新合作方要求。中国资产获国际授权不意味着原中国服务商必然取得全部后续工作。收购方可能沿用原服务商，也可能在后期切换到现有全球供应商。投资模型宜把“授权活跃”视为订单机会的扩大，不能视为自动获得的垄断现金流。</w:t>
      </w:r>
    </w:p>
    <w:p>
      <w:pPr>
        <w:pStyle w:val="Normal"/>
        <w:rPr/>
      </w:pPr>
      <w:r>
        <w:rPr/>
        <w:t>生物药技术向双抗、多抗、</w:t>
      </w:r>
      <w:r>
        <w:rPr/>
        <w:t>ADC</w:t>
      </w:r>
      <w:r>
        <w:rPr/>
        <w:t>及其他复杂分子发展，工艺难度和分析复杂度上升。复杂度提高可能扩展外包服务的价值，但也要求更高研发投入、设备投资和质量能力。技术升级若改善收费和市场份额，利润率可持续提高；若竞争者同时建设相近平台，客户可能享受成本下降，服务商只承担更多资本投入。行业增长和企业投资回报之间仍需验证，不能以行业热点名称直接给公司增加分数。</w:t>
      </w:r>
    </w:p>
    <w:p>
      <w:pPr>
        <w:pStyle w:val="Heading2"/>
        <w:rPr/>
      </w:pPr>
      <w:r>
        <w:rPr>
          <w:color w:val="000000"/>
        </w:rPr>
        <w:t>六 经济环境 利率与汇率的实际影响</w:t>
      </w:r>
    </w:p>
    <w:p>
      <w:pPr>
        <w:pStyle w:val="Normal"/>
        <w:rPr/>
      </w:pPr>
      <w:r>
        <w:rPr/>
        <w:t>港股估值受全球无风险利率和风险溢价影响。对药明生物，影响存在两条路径：客户融资成本影响研发预算，投资者贴现率影响股票合理价值。这两条路径可以方向相同，也可能不同。例如客户融资改善推动订单上升，但全球长期利率同时上升，经营增长和估值压缩可以抵消。</w:t>
      </w:r>
      <w:r>
        <w:rPr/>
        <w:t>2026</w:t>
      </w:r>
      <w:r>
        <w:rPr/>
        <w:t>年</w:t>
      </w:r>
      <w:r>
        <w:rPr/>
        <w:t>10</w:t>
      </w:r>
      <w:r>
        <w:rPr/>
        <w:t>月</w:t>
      </w:r>
      <w:r>
        <w:rPr/>
        <w:t>6</w:t>
      </w:r>
      <w:r>
        <w:rPr/>
        <w:t>日摩通报告转述对利率的担忧相对有限，同时指出</w:t>
      </w:r>
      <w:r>
        <w:rPr/>
        <w:t>CXO</w:t>
      </w:r>
      <w:r>
        <w:rPr/>
        <w:t>价格表现更多由盈利驱动，这应被理解为机构的判断，而不是消除利率风险的事实。</w:t>
      </w:r>
    </w:p>
    <w:p>
      <w:pPr>
        <w:pStyle w:val="Normal"/>
        <w:rPr/>
      </w:pPr>
      <w:r>
        <w:rPr/>
        <w:t>公司大量合同和现金以美元、欧元计值，财报以人民币呈列。美元或欧元相对人民币下降，一方面降低同额海外收入的人民币折算值，另一方面可能形成现金余额的未实现汇兑损失。</w:t>
      </w:r>
      <w:r>
        <w:rPr/>
        <w:t>2026</w:t>
      </w:r>
      <w:r>
        <w:rPr/>
        <w:t>上半年其他亏损净额</w:t>
      </w:r>
      <w:r>
        <w:rPr/>
        <w:t>5.405</w:t>
      </w:r>
      <w:r>
        <w:rPr/>
        <w:t>亿元，去年同期其他收益</w:t>
      </w:r>
      <w:r>
        <w:rPr/>
        <w:t>3.610</w:t>
      </w:r>
      <w:r>
        <w:rPr/>
        <w:t>亿元，差异约</w:t>
      </w:r>
      <w:r>
        <w:rPr/>
        <w:t>9.015</w:t>
      </w:r>
      <w:r>
        <w:rPr/>
        <w:t>亿元；中报解释包括美元和欧元贬值造成未实现汇兑损失及投资公允价值差异。因而归母利润仅增长</w:t>
      </w:r>
      <w:r>
        <w:rPr/>
        <w:t>4.3%</w:t>
      </w:r>
      <w:r>
        <w:rPr/>
        <w:t>，不能解释为经营平台只增长</w:t>
      </w:r>
      <w:r>
        <w:rPr/>
        <w:t>4.3%</w:t>
      </w:r>
      <w:r>
        <w:rPr/>
        <w:t>。</w:t>
      </w:r>
    </w:p>
    <w:p>
      <w:pPr>
        <w:pStyle w:val="Normal"/>
        <w:rPr/>
      </w:pPr>
      <w:r>
        <w:rPr/>
        <w:t>同样，不能为了强调主业改善，就把汇兑和投资损失完全当作没有经济意义。外币资产的购买力变化是真实风险，公司在海外支出和投资可以形成自然对冲，但财务资产和经营现金流结构不同。对长期估值，可以用恒定汇率帮助比较运营效率；对实际股东回报，仍必须保留真实汇兑、对冲成本和资产配置影响。恒定汇率是诊断工具，不是实际收到人民币收入的替代品。</w:t>
      </w:r>
    </w:p>
    <w:p>
      <w:pPr>
        <w:pStyle w:val="Normal"/>
        <w:rPr/>
      </w:pPr>
      <w:r>
        <w:rPr/>
        <w:t>人民币投资者买入港股还有另一层汇率风险：港元相对人民币的变化。公司财报汇兑影响</w:t>
      </w:r>
      <w:r>
        <w:rPr/>
        <w:t>EPS</w:t>
      </w:r>
      <w:r>
        <w:rPr/>
        <w:t>，持有人结算回报又受港元兑人民币影响，两者可能相互放大或部分抵消。若股价港元涨</w:t>
      </w:r>
      <w:r>
        <w:rPr/>
        <w:t>20%</w:t>
      </w:r>
      <w:r>
        <w:rPr/>
        <w:t>，港元兑人民币下降</w:t>
      </w:r>
      <w:r>
        <w:rPr/>
        <w:t>5%</w:t>
      </w:r>
      <w:r>
        <w:rPr/>
        <w:t>，人民币价格回报约为</w:t>
      </w:r>
      <w:r>
        <w:rPr/>
        <w:t>1.20</w:t>
      </w:r>
      <w:r>
        <w:rPr/>
        <w:t>乘</w:t>
      </w:r>
      <w:r>
        <w:rPr/>
        <w:t>0.95</w:t>
      </w:r>
      <w:r>
        <w:rPr/>
        <w:t>减</w:t>
      </w:r>
      <w:r>
        <w:rPr/>
        <w:t>1</w:t>
      </w:r>
      <w:r>
        <w:rPr/>
        <w:t>，即</w:t>
      </w:r>
      <w:r>
        <w:rPr/>
        <w:t>14%</w:t>
      </w:r>
      <w:r>
        <w:rPr/>
        <w:t>；若港元兑人民币上升</w:t>
      </w:r>
      <w:r>
        <w:rPr/>
        <w:t>5%</w:t>
      </w:r>
      <w:r>
        <w:rPr/>
        <w:t>，则约</w:t>
      </w:r>
      <w:r>
        <w:rPr/>
        <w:t>26%</w:t>
      </w:r>
      <w:r>
        <w:rPr/>
        <w:t>。这种算式比简单在港元回报上加减</w:t>
      </w:r>
      <w:r>
        <w:rPr/>
        <w:t>5</w:t>
      </w:r>
      <w:r>
        <w:rPr/>
        <w:t>个百分点更准确，分红结算还需按实际收款汇率另算。</w:t>
      </w:r>
    </w:p>
    <w:p>
      <w:pPr>
        <w:pStyle w:val="Heading2"/>
        <w:rPr/>
      </w:pPr>
      <w:r>
        <w:rPr>
          <w:color w:val="000000"/>
        </w:rPr>
        <w:t>七 利润质量 成本效率与调整口径</w:t>
      </w:r>
    </w:p>
    <w:p>
      <w:pPr>
        <w:pStyle w:val="Normal"/>
        <w:rPr/>
      </w:pPr>
      <w:r>
        <w:rPr/>
        <w:t>上半年毛利</w:t>
      </w:r>
      <w:r>
        <w:rPr/>
        <w:t>54.483</w:t>
      </w:r>
      <w:r>
        <w:rPr/>
        <w:t>亿元，同比</w:t>
      </w:r>
      <w:r>
        <w:rPr/>
        <w:t>28.1%</w:t>
      </w:r>
      <w:r>
        <w:rPr/>
        <w:t>，高于收入</w:t>
      </w:r>
      <w:r>
        <w:rPr/>
        <w:t>18.4%</w:t>
      </w:r>
      <w:r>
        <w:rPr/>
        <w:t>的增幅；毛利率</w:t>
      </w:r>
      <w:r>
        <w:rPr/>
        <w:t>42.7%</w:t>
      </w:r>
      <w:r>
        <w:rPr/>
        <w:t>提升到</w:t>
      </w:r>
      <w:r>
        <w:rPr/>
        <w:t>46.2%</w:t>
      </w:r>
      <w:r>
        <w:rPr/>
        <w:t>。中报将改善归因于运营杠杆、产能利用率和</w:t>
      </w:r>
      <w:r>
        <w:rPr/>
        <w:t>WBS</w:t>
      </w:r>
      <w:r>
        <w:rPr/>
        <w:t>及数字化效率。毛利率提升是重要证据，因为收入增长之外，生产和服务资源的产出效率也提高。若维持同样收入而毛利率提高一个百分点，对毛利的影响约为上半年收入的</w:t>
      </w:r>
      <w:r>
        <w:rPr/>
        <w:t>1%</w:t>
      </w:r>
      <w:r>
        <w:rPr/>
        <w:t>，即约</w:t>
      </w:r>
      <w:r>
        <w:rPr/>
        <w:t>1.18</w:t>
      </w:r>
      <w:r>
        <w:rPr/>
        <w:t>亿元。但将同样改善无限延续会高估盈利，制造和服务利润率存在竞争及成本边界。</w:t>
      </w:r>
    </w:p>
    <w:p>
      <w:pPr>
        <w:pStyle w:val="Normal"/>
        <w:rPr/>
      </w:pPr>
      <w:r>
        <w:rPr/>
        <w:t>销售费用</w:t>
      </w:r>
      <w:r>
        <w:rPr/>
        <w:t>3.230</w:t>
      </w:r>
      <w:r>
        <w:rPr/>
        <w:t>亿元，占收入</w:t>
      </w:r>
      <w:r>
        <w:rPr/>
        <w:t>2.7%</w:t>
      </w:r>
      <w:r>
        <w:rPr/>
        <w:t>，基本保持稳定；行政费用</w:t>
      </w:r>
      <w:r>
        <w:rPr/>
        <w:t>8.602</w:t>
      </w:r>
      <w:r>
        <w:rPr/>
        <w:t>亿元，同比增长</w:t>
      </w:r>
      <w:r>
        <w:rPr/>
        <w:t>10.1%</w:t>
      </w:r>
      <w:r>
        <w:rPr/>
        <w:t>；研发费用</w:t>
      </w:r>
      <w:r>
        <w:rPr/>
        <w:t>4.302</w:t>
      </w:r>
      <w:r>
        <w:rPr/>
        <w:t>亿元，同比增长</w:t>
      </w:r>
      <w:r>
        <w:rPr/>
        <w:t>25.2%</w:t>
      </w:r>
      <w:r>
        <w:rPr/>
        <w:t>。行政费用增幅低于收入，有助于利润释放，研发增幅较高则说明公司仍在升级技术平台。研发投入占比相对创新药开发商低，不代表公司研发没有风险，而是服务平台的开发成本结构不同。平台研发应通过交付效率、复杂分子项目数量和客户选择验证，而非以研发费越少越好来评价。</w:t>
      </w:r>
    </w:p>
    <w:p>
      <w:pPr>
        <w:pStyle w:val="Normal"/>
        <w:rPr/>
      </w:pPr>
      <w:r>
        <w:rPr/>
        <w:t>集团期内利润</w:t>
      </w:r>
      <w:r>
        <w:rPr/>
        <w:t>29.162</w:t>
      </w:r>
      <w:r>
        <w:rPr/>
        <w:t>亿元与归母利润</w:t>
      </w:r>
      <w:r>
        <w:rPr/>
        <w:t>24.398</w:t>
      </w:r>
      <w:r>
        <w:rPr/>
        <w:t>亿元存在少数股东权益差额。归母调整利润</w:t>
      </w:r>
      <w:r>
        <w:rPr/>
        <w:t>33.057</w:t>
      </w:r>
      <w:r>
        <w:rPr/>
        <w:t>亿元，较归母</w:t>
      </w:r>
      <w:r>
        <w:rPr/>
        <w:t>IFRS</w:t>
      </w:r>
      <w:r>
        <w:rPr/>
        <w:t>利润高</w:t>
      </w:r>
      <w:r>
        <w:rPr/>
        <w:t>8.659</w:t>
      </w:r>
      <w:r>
        <w:rPr/>
        <w:t>亿元。调整项目包括股权薪酬、外汇、投资及资产出售等。投资者可以用归母调整利润观察经营能力，但每股价值最终属于母公司普通股股东，应以归母口径建模。若采用集团利润乘</w:t>
      </w:r>
      <w:r>
        <w:rPr/>
        <w:t>PE</w:t>
      </w:r>
      <w:r>
        <w:rPr/>
        <w:t>，再用母公司总股本计算目标价，少数股东拥有的那部分收益会错误地归给母公司股东。</w:t>
      </w:r>
    </w:p>
    <w:p>
      <w:pPr>
        <w:pStyle w:val="Normal"/>
        <w:rPr/>
      </w:pPr>
      <w:r>
        <w:rPr/>
        <w:t>2026</w:t>
      </w:r>
      <w:r>
        <w:rPr/>
        <w:t>上半年归母基本</w:t>
      </w:r>
      <w:r>
        <w:rPr/>
        <w:t>EPS0.60</w:t>
      </w:r>
      <w:r>
        <w:rPr/>
        <w:t>元人民币，同比</w:t>
      </w:r>
      <w:r>
        <w:rPr/>
        <w:t>3.4%</w:t>
      </w:r>
      <w:r>
        <w:rPr/>
        <w:t>，低于归母利润增幅</w:t>
      </w:r>
      <w:r>
        <w:rPr/>
        <w:t>4.3%</w:t>
      </w:r>
      <w:r>
        <w:rPr/>
        <w:t>，与基本股份数量增长有关；摊薄</w:t>
      </w:r>
      <w:r>
        <w:rPr/>
        <w:t>EPS0.58</w:t>
      </w:r>
      <w:r>
        <w:rPr/>
        <w:t>元。报告指出基本股份数增长约</w:t>
      </w:r>
      <w:r>
        <w:rPr/>
        <w:t>1.8%</w:t>
      </w:r>
      <w:r>
        <w:rPr/>
        <w:t>。股权激励可以留住人才并支持增长，但它也是现有股东持股比例的经济成本。即使在调整利润中加回非现金股权薪酬，长期估值也需要通过股数扩张或真实费用保留该成本，不能同时加回费用又假定股本永远不变。</w:t>
      </w:r>
    </w:p>
    <w:p>
      <w:pPr>
        <w:pStyle w:val="Normal"/>
        <w:rPr/>
      </w:pPr>
      <w:r>
        <w:rPr/>
        <w:t>税率和投资损失的关系也影响全年利润。中报将部分投资损失不可税前抵扣列为实际税率变化原因。较高调整利润并不自动意味着未来按同样比例支付更少税。公司在不同司法辖区经营，还需要考虑全球最低税及税收优惠续期。截止日信息不足以确定每个生产基地未来有效税率，本章采用多个税率和利润率假设进行敏感性思考，而不以单期税率作为五年固定常数。</w:t>
      </w:r>
    </w:p>
    <w:p>
      <w:pPr>
        <w:pStyle w:val="Heading2"/>
        <w:rPr/>
      </w:pPr>
      <w:r>
        <w:rPr>
          <w:color w:val="000000"/>
        </w:rPr>
        <w:t>八 现金流与再投资约束</w:t>
      </w:r>
    </w:p>
    <w:p>
      <w:pPr>
        <w:pStyle w:val="Normal"/>
        <w:rPr/>
      </w:pPr>
      <w:r>
        <w:rPr/>
        <w:t>2026</w:t>
      </w:r>
      <w:r>
        <w:rPr/>
        <w:t>上半年经营活动现金净额</w:t>
      </w:r>
      <w:r>
        <w:rPr/>
        <w:t>42.872</w:t>
      </w:r>
      <w:r>
        <w:rPr/>
        <w:t>亿元，较去年</w:t>
      </w:r>
      <w:r>
        <w:rPr/>
        <w:t>18.068</w:t>
      </w:r>
      <w:r>
        <w:rPr/>
        <w:t>亿元明显增加；购买物业厂房设备支付</w:t>
      </w:r>
      <w:r>
        <w:rPr/>
        <w:t>27.572</w:t>
      </w:r>
      <w:r>
        <w:rPr/>
        <w:t>亿元。以经营现金减这项资本支出作简化，剩余约</w:t>
      </w:r>
      <w:r>
        <w:rPr/>
        <w:t>15.300</w:t>
      </w:r>
      <w:r>
        <w:rPr/>
        <w:t>亿元。该算式可以判断内生现金对资本投入的覆盖，但它不是完整自由现金流定义，因为尚未考虑租赁本金、软件、收购、股权交易和其他投资项目。经营现金流强劲是积极线索，新增产能和收购仍可能吸收大量现金。</w:t>
      </w:r>
    </w:p>
    <w:p>
      <w:pPr>
        <w:pStyle w:val="Normal"/>
        <w:rPr/>
      </w:pPr>
      <w:r>
        <w:rPr/>
        <w:t>银行余额及现金</w:t>
      </w:r>
      <w:r>
        <w:rPr/>
        <w:t>89.044</w:t>
      </w:r>
      <w:r>
        <w:rPr/>
        <w:t>亿元，较年末下降约</w:t>
      </w:r>
      <w:r>
        <w:rPr/>
        <w:t>3.4%</w:t>
      </w:r>
      <w:r>
        <w:rPr/>
        <w:t>；加上定存及理财后的流动资金</w:t>
      </w:r>
      <w:r>
        <w:rPr/>
        <w:t>137.085</w:t>
      </w:r>
      <w:r>
        <w:rPr/>
        <w:t>亿元，较年末下降</w:t>
      </w:r>
      <w:r>
        <w:rPr/>
        <w:t>12.9%</w:t>
      </w:r>
      <w:r>
        <w:rPr/>
        <w:t>。中报解释资金用于购置设备、回购、收购东曜和偿还银行借款。现金下降与利润增长同时发生，并不一定代表盈利质量恶化，但要求投资者逐项观察资金流向和未来回报。公司可用现金很多，不能因此将所有扩张视为无成本。</w:t>
      </w:r>
    </w:p>
    <w:p>
      <w:pPr>
        <w:pStyle w:val="Normal"/>
        <w:rPr/>
      </w:pPr>
      <w:r>
        <w:rPr/>
        <w:t>应收和合同资产提供更细的质量检验。贸易及其他应收由</w:t>
      </w:r>
      <w:r>
        <w:rPr/>
        <w:t>88.528</w:t>
      </w:r>
      <w:r>
        <w:rPr/>
        <w:t>亿元降至</w:t>
      </w:r>
      <w:r>
        <w:rPr/>
        <w:t>83.471</w:t>
      </w:r>
      <w:r>
        <w:rPr/>
        <w:t>亿元，收入增加而应收余额下降，与回款管理改善相容；合同负债由</w:t>
      </w:r>
      <w:r>
        <w:rPr/>
        <w:t>27.875</w:t>
      </w:r>
      <w:r>
        <w:rPr/>
        <w:t>亿元升至</w:t>
      </w:r>
      <w:r>
        <w:rPr/>
        <w:t>34.990</w:t>
      </w:r>
      <w:r>
        <w:rPr/>
        <w:t>亿元，说明预收和已取得收款权的待履约义务增加。对股东来说，预收改善营运资金，但同时伴随未来服务交付责任。若合同取消，需要按照约定处理退款或费用，不宜把全部合同负债都当永久免费的资本。</w:t>
      </w:r>
    </w:p>
    <w:p>
      <w:pPr>
        <w:pStyle w:val="Normal"/>
        <w:rPr/>
      </w:pPr>
      <w:r>
        <w:rPr/>
        <w:t>合同成本由</w:t>
      </w:r>
      <w:r>
        <w:rPr/>
        <w:t>20.102</w:t>
      </w:r>
      <w:r>
        <w:rPr/>
        <w:t>亿元升至</w:t>
      </w:r>
      <w:r>
        <w:rPr/>
        <w:t>22.855</w:t>
      </w:r>
      <w:r>
        <w:rPr/>
        <w:t>亿元，说明在制项目占用更多资源；合同资产由</w:t>
      </w:r>
      <w:r>
        <w:rPr/>
        <w:t>1.095</w:t>
      </w:r>
      <w:r>
        <w:rPr/>
        <w:t>亿元升至</w:t>
      </w:r>
      <w:r>
        <w:rPr/>
        <w:t>1.824</w:t>
      </w:r>
      <w:r>
        <w:rPr/>
        <w:t>亿元，部分来自收购。若未来收入增长放慢，而合同成本和应收增长过快，现金转换可能转弱。可持续经营判断应每半年对比收入、应收、合同成本、预收以及经营现金，而不是只看调整利润增长。这对产能扩张期尤其重要，因为利润可以提前反映交付进度，资金仍需不断投入。</w:t>
      </w:r>
    </w:p>
    <w:p>
      <w:pPr>
        <w:pStyle w:val="Normal"/>
        <w:rPr/>
      </w:pPr>
      <w:r>
        <w:rPr/>
        <w:t>银行现金与所有负债不可简单相减得到净现金。集团负债包含应付账款、合同负债、租赁和计息借款，经济性质不同。做企业价值估值时应扣计息债务和相关租赁，并处理非经营金融资产；做</w:t>
      </w:r>
      <w:r>
        <w:rPr/>
        <w:t>PE</w:t>
      </w:r>
      <w:r>
        <w:rPr/>
        <w:t>估值时又要避免重复把同一现金加两次。若盈利中已包含利息收入，额外按现金全额加值可能双计。总表模型需要以统一口径处理现金、利息和净债务，本章不提供未经审计的精确净现金每股额。</w:t>
      </w:r>
    </w:p>
    <w:p>
      <w:pPr>
        <w:pStyle w:val="Heading2"/>
        <w:rPr/>
      </w:pPr>
      <w:r>
        <w:rPr>
          <w:color w:val="000000"/>
        </w:rPr>
        <w:t>九 全球产能和客户选择</w:t>
      </w:r>
    </w:p>
    <w:p>
      <w:pPr>
        <w:pStyle w:val="Normal"/>
        <w:rPr/>
      </w:pPr>
      <w:r>
        <w:rPr/>
        <w:t>国际产能使公司能够在客户所在地附近制造，缩短物流和部分合规沟通链条，也可减轻全部依赖中国生产的客户顾虑。全球网络的价值在于满足客户与监管要求，而不是地图上工厂越多越值钱。每个基地需要验证、认证、稳定员工、原材料保障和足够订单。初期利用率低会带来折旧及运营亏损，成熟基地改善后才可能释放利润。投资者应把全球产能视为“选择权加前期成本”，而不是立即实现的收入。</w:t>
      </w:r>
    </w:p>
    <w:p>
      <w:pPr>
        <w:pStyle w:val="Normal"/>
        <w:rPr/>
      </w:pPr>
      <w:r>
        <w:rPr/>
        <w:t>2026</w:t>
      </w:r>
      <w:r>
        <w:rPr/>
        <w:t>中报显示物业厂房设备余额</w:t>
      </w:r>
      <w:r>
        <w:rPr/>
        <w:t>295.542</w:t>
      </w:r>
      <w:r>
        <w:rPr/>
        <w:t>亿元，比年末增加</w:t>
      </w:r>
      <w:r>
        <w:rPr/>
        <w:t>6.5%</w:t>
      </w:r>
      <w:r>
        <w:rPr/>
        <w:t>，说明资产基础继续扩大。较大的固定资产意味着规模经济有潜力，也意味着需求低于预期时的盈利杠杆更大。产线闲置并不会让折旧消失，管理层需要在灵活设备、客户合同和资本开支时点之间平衡。若订单上修伴随资本开支更快上修，投资价值不应只由收入增速判断，还应观察新增投入产生的现金收益。</w:t>
      </w:r>
    </w:p>
    <w:p>
      <w:pPr>
        <w:pStyle w:val="Normal"/>
        <w:rPr/>
      </w:pPr>
      <w:r>
        <w:rPr/>
        <w:t>2026</w:t>
      </w:r>
      <w:r>
        <w:rPr/>
        <w:t>年</w:t>
      </w:r>
      <w:r>
        <w:rPr/>
        <w:t>8</w:t>
      </w:r>
      <w:r>
        <w:rPr/>
        <w:t>月</w:t>
      </w:r>
      <w:r>
        <w:rPr/>
        <w:t>26</w:t>
      </w:r>
      <w:r>
        <w:rPr/>
        <w:t>日野村转述提到</w:t>
      </w:r>
      <w:r>
        <w:rPr/>
        <w:t>2027</w:t>
      </w:r>
      <w:r>
        <w:rPr/>
        <w:t>资本开支指引</w:t>
      </w:r>
      <w:r>
        <w:rPr/>
        <w:t>80</w:t>
      </w:r>
      <w:r>
        <w:rPr/>
        <w:t>亿元人民币，属于管理层会议和券商报告的二级证据，需在未来原公告进一步确认。即使按这一规模思考，资本需求仍明显高于上半年</w:t>
      </w:r>
      <w:r>
        <w:rPr/>
        <w:t>27.6</w:t>
      </w:r>
      <w:r>
        <w:rPr/>
        <w:t>亿元设备现金支出。增长型制造企业可以多年高投入，只要产能转化快且回报高；若回报时点不断后移，市场可能下调现金流估值。三年推荐的重要条件应包括对资本回报的兑现要求。</w:t>
      </w:r>
    </w:p>
    <w:p>
      <w:pPr>
        <w:pStyle w:val="Normal"/>
        <w:rPr/>
      </w:pPr>
      <w:r>
        <w:rPr/>
        <w:t>客户不会只比较单批生产报价。生物药批次一致性、分析方法、生产可靠性、合规历史、规模放大速度和技术转移风险均影响选择。药明生物一体化平台有机会节省客户时间，这在临床和上市窗口紧迫时有价值。另一方面，大型跨国药企拥有现有供应链和风险分散要求，即使技术优秀，也可能限制同一供应商的集中度。因此公司护城河是持续证明交付能力形成的客户信任，不能简单等同于永远不可替代。</w:t>
      </w:r>
    </w:p>
    <w:p>
      <w:pPr>
        <w:pStyle w:val="Heading2"/>
        <w:rPr/>
      </w:pPr>
      <w:r>
        <w:rPr>
          <w:color w:val="000000"/>
        </w:rPr>
        <w:t>十 政策及合规风险的具体路径</w:t>
      </w:r>
    </w:p>
    <w:p>
      <w:pPr>
        <w:pStyle w:val="Normal"/>
        <w:rPr/>
      </w:pPr>
      <w:r>
        <w:rPr/>
        <w:t>对药明生物，海外政策风险主要通过客户采购资格、政府相关项目、投资和数据监管、技术转移及市场情绪传导。不同法案和行政名单适用范围不同，不能看到与“药明”相关的标题，就自动假设所有同名企业、业务和合同受到同样限制。正确方法是核对法律主体、实施规则、生效时间和既有合同过渡条款，再估算受影响客户收入。截止日未获得完整规则和所有客户合同，本章不把任何政策情景写成确定的收入归零。</w:t>
      </w:r>
    </w:p>
    <w:p>
      <w:pPr>
        <w:pStyle w:val="Normal"/>
        <w:rPr/>
      </w:pPr>
      <w:r>
        <w:rPr/>
        <w:t>政策风险也不能因短期股价上涨而被宣布结束。客户可能在明确禁令前就出于风险管理建立备用产能，短期订单维持并不能证明多年供应链选择不变。公司海外工厂可能降低部分风险，但若限制针对企业控制权或特定主体，单纯在海外生产未必解除全部限制。长期估值中应反映这种不确定性，使用更高贴现率或更低终端倍数时需要说明作用路径，而不是随机给估值打折。</w:t>
      </w:r>
    </w:p>
    <w:p>
      <w:pPr>
        <w:pStyle w:val="Normal"/>
        <w:rPr/>
      </w:pPr>
      <w:r>
        <w:rPr/>
        <w:t>制造合规风险与政治风险相互独立。工厂监管检查、批次污染、数据完整性、质量体系缺陷及产品召回，可能使客户推迟商业化订单。即使没有政策限制，单个关键基地出现质量问题也会影响估值。公司中报显示对监管标准的强调和长期交付能力，这是正面信息，但来自公司陈述，需持续用外部监管检查结果核验。未出现公开缺陷不等于未来没有风险，更不等于可忽略质量投入。</w:t>
      </w:r>
    </w:p>
    <w:p>
      <w:pPr>
        <w:pStyle w:val="Normal"/>
        <w:rPr/>
      </w:pPr>
      <w:r>
        <w:rPr/>
        <w:t>对客户信用风险，生物科技公司融资改善有帮助，但企业仍可能因临床失败而无法付款。中报金融资产减值</w:t>
      </w:r>
      <w:r>
        <w:rPr/>
        <w:t>1.067</w:t>
      </w:r>
      <w:r>
        <w:rPr/>
        <w:t>亿元，虽较同期降低，仍是经营风险的一部分。严格预付和回款政策可能提高现金质量，却也可能影响争取新客户。理想情况是公司在订单增长时保持合理应收并减少坏账，而不是为了增长放松付款条件。坏账上升会同时侵蚀利润、现金和新增订单可见度。</w:t>
      </w:r>
    </w:p>
    <w:p>
      <w:pPr>
        <w:pStyle w:val="Heading2"/>
        <w:rPr/>
      </w:pPr>
      <w:r>
        <w:rPr>
          <w:color w:val="000000"/>
        </w:rPr>
        <w:t>十一 估值框架与可复核的敏感性</w:t>
      </w:r>
    </w:p>
    <w:p>
      <w:pPr>
        <w:pStyle w:val="Normal"/>
        <w:rPr/>
      </w:pPr>
      <w:r>
        <w:rPr/>
        <w:t>药明生物已有成熟收入和利润，适合用归母经营盈利、合理</w:t>
      </w:r>
      <w:r>
        <w:rPr/>
        <w:t>PE</w:t>
      </w:r>
      <w:r>
        <w:rPr/>
        <w:t>及现金流交叉验证，而不需要将其整个价值构建为创新药单管线</w:t>
      </w:r>
      <w:r>
        <w:rPr/>
        <w:t>rNPV</w:t>
      </w:r>
      <w:r>
        <w:rPr/>
        <w:t>。最有信息量的输入包括未来归母</w:t>
      </w:r>
      <w:r>
        <w:rPr/>
        <w:t>EPS</w:t>
      </w:r>
      <w:r>
        <w:rPr/>
        <w:t>、商业化增长、利润率、资本投入和股数。预测</w:t>
      </w:r>
      <w:r>
        <w:rPr/>
        <w:t>EPS</w:t>
      </w:r>
      <w:r>
        <w:rPr/>
        <w:t>使用人民币，目标价港元，必须用相应汇率换算；直接把港元价格除人民币</w:t>
      </w:r>
      <w:r>
        <w:rPr/>
        <w:t>EPS</w:t>
      </w:r>
      <w:r>
        <w:rPr/>
        <w:t>会得到错误</w:t>
      </w:r>
      <w:r>
        <w:rPr/>
        <w:t>PE</w:t>
      </w:r>
      <w:r>
        <w:rPr/>
        <w:t>。本文不引用实时数据页面上的静态</w:t>
      </w:r>
      <w:r>
        <w:rPr/>
        <w:t>PE</w:t>
      </w:r>
      <w:r>
        <w:rPr/>
        <w:t>作为</w:t>
      </w:r>
      <w:r>
        <w:rPr/>
        <w:t>2026</w:t>
      </w:r>
      <w:r>
        <w:rPr/>
        <w:t>年</w:t>
      </w:r>
      <w:r>
        <w:rPr/>
        <w:t>10</w:t>
      </w:r>
      <w:r>
        <w:rPr/>
        <w:t>月</w:t>
      </w:r>
      <w:r>
        <w:rPr/>
        <w:t>9</w:t>
      </w:r>
      <w:r>
        <w:rPr/>
        <w:t>日历史事实。</w:t>
      </w:r>
    </w:p>
    <w:p>
      <w:pPr>
        <w:pStyle w:val="Normal"/>
        <w:rPr/>
      </w:pPr>
      <w:r>
        <w:rPr/>
        <w:t>机构资料提供了一个公开可复核的估值区间。高盛最新</w:t>
      </w:r>
      <w:r>
        <w:rPr/>
        <w:t>55.8</w:t>
      </w:r>
      <w:r>
        <w:rPr/>
        <w:t>港元对应预测</w:t>
      </w:r>
      <w:r>
        <w:rPr/>
        <w:t>PE</w:t>
      </w:r>
      <w:r>
        <w:rPr/>
        <w:t>约</w:t>
      </w:r>
      <w:r>
        <w:rPr/>
        <w:t>25</w:t>
      </w:r>
      <w:r>
        <w:rPr/>
        <w:t>倍，大和</w:t>
      </w:r>
      <w:r>
        <w:rPr/>
        <w:t>59</w:t>
      </w:r>
      <w:r>
        <w:rPr/>
        <w:t>港元对应约</w:t>
      </w:r>
      <w:r>
        <w:rPr/>
        <w:t>24</w:t>
      </w:r>
      <w:r>
        <w:rPr/>
        <w:t>倍，花旗</w:t>
      </w:r>
      <w:r>
        <w:rPr/>
        <w:t>62</w:t>
      </w:r>
      <w:r>
        <w:rPr/>
        <w:t>港元、野村</w:t>
      </w:r>
      <w:r>
        <w:rPr/>
        <w:t>60.22</w:t>
      </w:r>
      <w:r>
        <w:rPr/>
        <w:t>港元、美银</w:t>
      </w:r>
      <w:r>
        <w:rPr/>
        <w:t>56</w:t>
      </w:r>
      <w:r>
        <w:rPr/>
        <w:t>港元、大摩</w:t>
      </w:r>
      <w:r>
        <w:rPr/>
        <w:t>57</w:t>
      </w:r>
      <w:r>
        <w:rPr/>
        <w:t>港元、里昂</w:t>
      </w:r>
      <w:r>
        <w:rPr/>
        <w:t>65.7</w:t>
      </w:r>
      <w:r>
        <w:rPr/>
        <w:t>港元均有具体日期和新闻链接。这里有些目标日未在公开转述中明确，不能统一标成一年目标。将其作为近期机构估值参照有用，将其加权平均当年底必然价格则没有依据。</w:t>
      </w:r>
    </w:p>
    <w:p>
      <w:pPr>
        <w:pStyle w:val="Normal"/>
        <w:rPr/>
      </w:pPr>
      <w:r>
        <w:rPr/>
        <w:t>活动模型采用目标年度归母经营</w:t>
      </w:r>
      <w:r>
        <w:rPr/>
        <w:t>EPS</w:t>
      </w:r>
      <w:r>
        <w:rPr/>
        <w:t>乘合理</w:t>
      </w:r>
      <w:r>
        <w:rPr/>
        <w:t>PE</w:t>
      </w:r>
      <w:r>
        <w:rPr/>
        <w:t>，再按一人民币等于一点一港元换算。汇率是研究假设，并非声称已经核验的基准日实测汇率；每股盈利内含假设的股权稀释，不额外给现金加值。半年使用二〇二七年前瞻盈利，悲观、基准、乐观</w:t>
      </w:r>
      <w:r>
        <w:rPr/>
        <w:t>EPS</w:t>
      </w:r>
      <w:r>
        <w:rPr/>
        <w:t>分别为一元八角五、二元三角、二元六角五，合理</w:t>
      </w:r>
      <w:r>
        <w:rPr/>
        <w:t>PE</w:t>
      </w:r>
      <w:r>
        <w:rPr/>
        <w:t>分别十八、二十四、二十八倍，得到三十六点六三、六十点七二和八十一点六二港元。经营</w:t>
      </w:r>
      <w:r>
        <w:rPr/>
        <w:t>EPS</w:t>
      </w:r>
      <w:r>
        <w:rPr/>
        <w:t>的意义是用持续经营利润判断公司价值，不把调整净利润不加分析地当作法定归母利润。</w:t>
      </w:r>
    </w:p>
    <w:p>
      <w:pPr>
        <w:pStyle w:val="Normal"/>
        <w:rPr/>
      </w:pPr>
      <w:r>
        <w:rPr/>
        <w:t>一年使用二〇二八年前瞻</w:t>
      </w:r>
      <w:r>
        <w:rPr/>
        <w:t>EPS</w:t>
      </w:r>
      <w:r>
        <w:rPr/>
        <w:t>，三情景二元二角、二元七角五、三元四角，倍数十八、二十四、二十八倍。三年使用二〇二九年</w:t>
      </w:r>
      <w:r>
        <w:rPr/>
        <w:t>EPS</w:t>
      </w:r>
      <w:r>
        <w:rPr/>
        <w:t>二元四角、三元五角、五元，倍数十七、二十二、二十七倍。五年使用二〇三一年</w:t>
      </w:r>
      <w:r>
        <w:rPr/>
        <w:t>EPS</w:t>
      </w:r>
      <w:r>
        <w:rPr/>
        <w:t>二元六角、四元六角、七元三角，倍数十五、二十、二十五倍。较远目标的合理倍数逐渐下降，明确反映市场成熟、竞争和政策风险，不机械维持景气高点估值。全部盈利均是独立假设，不能当作机构一致预期，后续需要通过收入、利润率与股数拆解持续核验。</w:t>
      </w:r>
    </w:p>
    <w:p>
      <w:pPr>
        <w:pStyle w:val="Normal"/>
        <w:rPr/>
      </w:pPr>
      <w:r>
        <w:rPr/>
        <w:t>基准半年目标六十点七二港元，对现价上涨约百分之十二点七六；一年七十二点六港元，对应百分之三十四点八二；三年八十四点七港元，对应百分之五十七点二九；五年一百零一点二港元，对应百分之八十七点九三。因为股息暂设零，含分红总回报与价格回报相同。三年和五年基准年化分别约百分之十六点三和十三点四五，年化的分母使用实际投资期限，不把累计涨幅直接除年数。悲观三年和五年价格都低于现价，说明长期经营存续并不保证买入后获利。</w:t>
      </w:r>
    </w:p>
    <w:p>
      <w:pPr>
        <w:pStyle w:val="Normal"/>
        <w:rPr/>
      </w:pPr>
      <w:r>
        <w:rPr/>
        <w:t>三年后价格应来自三年后</w:t>
      </w:r>
      <w:r>
        <w:rPr/>
        <w:t>EPS</w:t>
      </w:r>
      <w:r>
        <w:rPr/>
        <w:t>和当时合理估值，而不能把一年目标每年重复复利。若每股经营盈利连续三年增长</w:t>
      </w:r>
      <w:r>
        <w:rPr/>
        <w:t>20%</w:t>
      </w:r>
      <w:r>
        <w:rPr/>
        <w:t>，盈利累计约增长</w:t>
      </w:r>
      <w:r>
        <w:rPr/>
        <w:t>72.8%</w:t>
      </w:r>
      <w:r>
        <w:rPr/>
        <w:t>；但</w:t>
      </w:r>
      <w:r>
        <w:rPr/>
        <w:t>PE</w:t>
      </w:r>
      <w:r>
        <w:rPr/>
        <w:t>从</w:t>
      </w:r>
      <w:r>
        <w:rPr/>
        <w:t>25</w:t>
      </w:r>
      <w:r>
        <w:rPr/>
        <w:t>倍降至</w:t>
      </w:r>
      <w:r>
        <w:rPr/>
        <w:t>18</w:t>
      </w:r>
      <w:r>
        <w:rPr/>
        <w:t>倍，价格变化约为</w:t>
      </w:r>
      <w:r>
        <w:rPr/>
        <w:t>1.728</w:t>
      </w:r>
      <w:r>
        <w:rPr/>
        <w:t>乘</w:t>
      </w:r>
      <w:r>
        <w:rPr/>
        <w:t>18/25</w:t>
      </w:r>
      <w:r>
        <w:rPr/>
        <w:t>减</w:t>
      </w:r>
      <w:r>
        <w:rPr/>
        <w:t>1</w:t>
      </w:r>
      <w:r>
        <w:rPr/>
        <w:t>，即</w:t>
      </w:r>
      <w:r>
        <w:rPr/>
        <w:t>24.4%</w:t>
      </w:r>
      <w:r>
        <w:rPr/>
        <w:t>，明显小于盈利增长。若盈利增长仅</w:t>
      </w:r>
      <w:r>
        <w:rPr/>
        <w:t>10%</w:t>
      </w:r>
      <w:r>
        <w:rPr/>
        <w:t>而</w:t>
      </w:r>
      <w:r>
        <w:rPr/>
        <w:t>PE</w:t>
      </w:r>
      <w:r>
        <w:rPr/>
        <w:t>同时降到</w:t>
      </w:r>
      <w:r>
        <w:rPr/>
        <w:t>18</w:t>
      </w:r>
      <w:r>
        <w:rPr/>
        <w:t>倍，累计价格变化约为</w:t>
      </w:r>
      <w:r>
        <w:rPr/>
        <w:t>1.331</w:t>
      </w:r>
      <w:r>
        <w:rPr/>
        <w:t>乘</w:t>
      </w:r>
      <w:r>
        <w:rPr/>
        <w:t>18/25</w:t>
      </w:r>
      <w:r>
        <w:rPr/>
        <w:t>减</w:t>
      </w:r>
      <w:r>
        <w:rPr/>
        <w:t>1</w:t>
      </w:r>
      <w:r>
        <w:rPr/>
        <w:t>，即下降</w:t>
      </w:r>
      <w:r>
        <w:rPr/>
        <w:t>4.2%</w:t>
      </w:r>
      <w:r>
        <w:rPr/>
        <w:t>。长期公司增长与股价回报分离，是控制预期的重要计算。</w:t>
      </w:r>
    </w:p>
    <w:p>
      <w:pPr>
        <w:pStyle w:val="Normal"/>
        <w:rPr/>
      </w:pPr>
      <w:r>
        <w:rPr/>
        <w:t>DCF</w:t>
      </w:r>
      <w:r>
        <w:rPr/>
        <w:t>对资本开支和终端假设尤其敏感。公司经营现金可以强劲，但若未来几年持续投入全球产能，分配给股东的自由现金短期低于利润。终端价值通常占长期</w:t>
      </w:r>
      <w:r>
        <w:rPr/>
        <w:t>DCF</w:t>
      </w:r>
      <w:r>
        <w:rPr/>
        <w:t>较大部分，终端增速变化一两个百分点或折现率变化，会显著改变目标价。与其把单一目标精确到分，更应该显示假设矩阵并用</w:t>
      </w:r>
      <w:r>
        <w:rPr/>
        <w:t>PE</w:t>
      </w:r>
      <w:r>
        <w:rPr/>
        <w:t>交叉验证。没有逐期现金流表、资本支出和税率证据时，本章不把敏感性算例称为完成</w:t>
      </w:r>
      <w:r>
        <w:rPr/>
        <w:t>DCF</w:t>
      </w:r>
      <w:r>
        <w:rPr/>
        <w:t>。</w:t>
      </w:r>
    </w:p>
    <w:p>
      <w:pPr>
        <w:pStyle w:val="Heading2"/>
        <w:rPr/>
      </w:pPr>
      <w:r>
        <w:rPr>
          <w:color w:val="000000"/>
        </w:rPr>
        <w:t>十二 机构分歧与目标价的正确使用</w:t>
      </w:r>
    </w:p>
    <w:p>
      <w:pPr>
        <w:pStyle w:val="Normal"/>
        <w:rPr/>
      </w:pPr>
      <w:r>
        <w:rPr/>
        <w:t>高盛</w:t>
      </w:r>
      <w:r>
        <w:rPr/>
        <w:t>9</w:t>
      </w:r>
      <w:r>
        <w:rPr/>
        <w:t>月</w:t>
      </w:r>
      <w:r>
        <w:rPr/>
        <w:t>25</w:t>
      </w:r>
      <w:r>
        <w:rPr/>
        <w:t>日强调商业化可见度改善、三年订单增长和规模效率，但继续中性评级，说明对公司经营质量认可不自动导向强烈买入。美银</w:t>
      </w:r>
      <w:r>
        <w:rPr/>
        <w:t>8</w:t>
      </w:r>
      <w:r>
        <w:rPr/>
        <w:t>月</w:t>
      </w:r>
      <w:r>
        <w:rPr/>
        <w:t>27</w:t>
      </w:r>
      <w:r>
        <w:rPr/>
        <w:t>日上调目标到</w:t>
      </w:r>
      <w:r>
        <w:rPr/>
        <w:t>56</w:t>
      </w:r>
      <w:r>
        <w:rPr/>
        <w:t>港元，同时提及汇兑可能抵消部分增长。花旗将</w:t>
      </w:r>
      <w:r>
        <w:rPr/>
        <w:t>2026</w:t>
      </w:r>
      <w:r>
        <w:rPr/>
        <w:t>至</w:t>
      </w:r>
      <w:r>
        <w:rPr/>
        <w:t>2028</w:t>
      </w:r>
      <w:r>
        <w:rPr/>
        <w:t>收入及盈利上修，并强调海外产能爬坡，给</w:t>
      </w:r>
      <w:r>
        <w:rPr/>
        <w:t>62</w:t>
      </w:r>
      <w:r>
        <w:rPr/>
        <w:t>港元买入。里昂</w:t>
      </w:r>
      <w:r>
        <w:rPr/>
        <w:t>65.7</w:t>
      </w:r>
      <w:r>
        <w:rPr/>
        <w:t>更重视管理层三年收入目标与商业化制造潜力。差异主要来自盈利路径、合理倍数和风险权重，而不是谁掌握了一个必然兑现的价格。</w:t>
      </w:r>
    </w:p>
    <w:p>
      <w:pPr>
        <w:pStyle w:val="Normal"/>
        <w:rPr/>
      </w:pPr>
      <w:r>
        <w:rPr/>
        <w:t>投资者应该保留同机构最新有效目标，不把高盛</w:t>
      </w:r>
      <w:r>
        <w:rPr/>
        <w:t>8</w:t>
      </w:r>
      <w:r>
        <w:rPr/>
        <w:t>月</w:t>
      </w:r>
      <w:r>
        <w:rPr/>
        <w:t>27</w:t>
      </w:r>
      <w:r>
        <w:rPr/>
        <w:t>日</w:t>
      </w:r>
      <w:r>
        <w:rPr/>
        <w:t>49</w:t>
      </w:r>
      <w:r>
        <w:rPr/>
        <w:t>港元和</w:t>
      </w:r>
      <w:r>
        <w:rPr/>
        <w:t>9</w:t>
      </w:r>
      <w:r>
        <w:rPr/>
        <w:t>月</w:t>
      </w:r>
      <w:r>
        <w:rPr/>
        <w:t>25</w:t>
      </w:r>
      <w:r>
        <w:rPr/>
        <w:t>日</w:t>
      </w:r>
      <w:r>
        <w:rPr/>
        <w:t>55.8</w:t>
      </w:r>
      <w:r>
        <w:rPr/>
        <w:t>港元同时当两个独立样本。早期资料适合用于分析预测怎样改变，最新目标适合横向比较。多篇新闻转述同一报告、表格和文字稿也应去重。机构报告发布时间不等于目标兑现时间，公开转述未给期限的部分需要明确缺失。未经期限统一的均值只是参考统计，不是可用于年底期望值的严谨概率模型。</w:t>
      </w:r>
    </w:p>
    <w:p>
      <w:pPr>
        <w:pStyle w:val="Normal"/>
        <w:rPr/>
      </w:pPr>
      <w:r>
        <w:rPr/>
        <w:t>以现价</w:t>
      </w:r>
      <w:r>
        <w:rPr/>
        <w:t>53.85</w:t>
      </w:r>
      <w:r>
        <w:rPr/>
        <w:t>计算，高盛</w:t>
      </w:r>
      <w:r>
        <w:rPr/>
        <w:t>55.8</w:t>
      </w:r>
      <w:r>
        <w:rPr/>
        <w:t>约</w:t>
      </w:r>
      <w:r>
        <w:rPr/>
        <w:t>3.62%</w:t>
      </w:r>
      <w:r>
        <w:rPr/>
        <w:t>，美银</w:t>
      </w:r>
      <w:r>
        <w:rPr/>
        <w:t>56</w:t>
      </w:r>
      <w:r>
        <w:rPr/>
        <w:t>约</w:t>
      </w:r>
      <w:r>
        <w:rPr/>
        <w:t>3.99%</w:t>
      </w:r>
      <w:r>
        <w:rPr/>
        <w:t>，大摩</w:t>
      </w:r>
      <w:r>
        <w:rPr/>
        <w:t>57</w:t>
      </w:r>
      <w:r>
        <w:rPr/>
        <w:t>约</w:t>
      </w:r>
      <w:r>
        <w:rPr/>
        <w:t>5.85%</w:t>
      </w:r>
      <w:r>
        <w:rPr/>
        <w:t>，大和</w:t>
      </w:r>
      <w:r>
        <w:rPr/>
        <w:t>59</w:t>
      </w:r>
      <w:r>
        <w:rPr/>
        <w:t>约</w:t>
      </w:r>
      <w:r>
        <w:rPr/>
        <w:t>9.56%</w:t>
      </w:r>
      <w:r>
        <w:rPr/>
        <w:t>，野村</w:t>
      </w:r>
      <w:r>
        <w:rPr/>
        <w:t>60.22</w:t>
      </w:r>
      <w:r>
        <w:rPr/>
        <w:t>约</w:t>
      </w:r>
      <w:r>
        <w:rPr/>
        <w:t>11.83%</w:t>
      </w:r>
      <w:r>
        <w:rPr/>
        <w:t>，花旗</w:t>
      </w:r>
      <w:r>
        <w:rPr/>
        <w:t>62</w:t>
      </w:r>
      <w:r>
        <w:rPr/>
        <w:t>约</w:t>
      </w:r>
      <w:r>
        <w:rPr/>
        <w:t>15.13%</w:t>
      </w:r>
      <w:r>
        <w:rPr/>
        <w:t>，里昂</w:t>
      </w:r>
      <w:r>
        <w:rPr/>
        <w:t>65.7</w:t>
      </w:r>
      <w:r>
        <w:rPr/>
        <w:t>约</w:t>
      </w:r>
      <w:r>
        <w:rPr/>
        <w:t>22.01%</w:t>
      </w:r>
      <w:r>
        <w:rPr/>
        <w:t>。这组涨幅告诉我们：基本面乐观已经部分计价，机构潜在回报并不都很高。即便最高目标合理，最悲观情景的损失也可能大于</w:t>
      </w:r>
      <w:r>
        <w:rPr/>
        <w:t>22%</w:t>
      </w:r>
      <w:r>
        <w:rPr/>
        <w:t>。进取型推荐需要比较完整分布，而不是只展示最高投行目标。</w:t>
      </w:r>
    </w:p>
    <w:p>
      <w:pPr>
        <w:pStyle w:val="Heading2"/>
        <w:rPr/>
      </w:pPr>
      <w:r>
        <w:rPr>
          <w:color w:val="000000"/>
        </w:rPr>
        <w:t>十三 半年</w:t>
      </w:r>
      <w:r>
        <w:rPr>
          <w:color w:val="000000"/>
        </w:rPr>
        <w:t>K</w:t>
      </w:r>
      <w:r>
        <w:rPr>
          <w:color w:val="000000"/>
        </w:rPr>
        <w:t>线形态的实数分析</w:t>
      </w:r>
    </w:p>
    <w:p>
      <w:pPr>
        <w:pStyle w:val="Normal"/>
        <w:rPr/>
      </w:pPr>
      <w:r>
        <w:rPr/>
        <w:t>截至基准日，日线</w:t>
      </w:r>
      <w:r>
        <w:rPr/>
        <w:t>20</w:t>
      </w:r>
      <w:r>
        <w:rPr/>
        <w:t>日均线</w:t>
      </w:r>
      <w:r>
        <w:rPr/>
        <w:t>52.7275</w:t>
      </w:r>
      <w:r>
        <w:rPr/>
        <w:t>港元、</w:t>
      </w:r>
      <w:r>
        <w:rPr/>
        <w:t>60</w:t>
      </w:r>
      <w:r>
        <w:rPr/>
        <w:t>日</w:t>
      </w:r>
      <w:r>
        <w:rPr/>
        <w:t>47.5378</w:t>
      </w:r>
      <w:r>
        <w:rPr/>
        <w:t>、</w:t>
      </w:r>
      <w:r>
        <w:rPr/>
        <w:t>120</w:t>
      </w:r>
      <w:r>
        <w:rPr/>
        <w:t>日</w:t>
      </w:r>
      <w:r>
        <w:rPr/>
        <w:t>40.6326</w:t>
      </w:r>
      <w:r>
        <w:rPr/>
        <w:t>、</w:t>
      </w:r>
      <w:r>
        <w:rPr/>
        <w:t>250</w:t>
      </w:r>
      <w:r>
        <w:rPr/>
        <w:t>日</w:t>
      </w:r>
      <w:r>
        <w:rPr/>
        <w:t>38.0269</w:t>
      </w:r>
      <w:r>
        <w:rPr/>
        <w:t>。现价均在四条均线上方，均线短高长低，最近五日斜率也均为正：</w:t>
      </w:r>
      <w:r>
        <w:rPr/>
        <w:t>20</w:t>
      </w:r>
      <w:r>
        <w:rPr/>
        <w:t>日约</w:t>
      </w:r>
      <w:r>
        <w:rPr/>
        <w:t>3.40%</w:t>
      </w:r>
      <w:r>
        <w:rPr/>
        <w:t>，</w:t>
      </w:r>
      <w:r>
        <w:rPr/>
        <w:t>60</w:t>
      </w:r>
      <w:r>
        <w:rPr/>
        <w:t>日</w:t>
      </w:r>
      <w:r>
        <w:rPr/>
        <w:t>3.09%</w:t>
      </w:r>
      <w:r>
        <w:rPr/>
        <w:t>，</w:t>
      </w:r>
      <w:r>
        <w:rPr/>
        <w:t>120</w:t>
      </w:r>
      <w:r>
        <w:rPr/>
        <w:t>日</w:t>
      </w:r>
      <w:r>
        <w:rPr/>
        <w:t>2.00%</w:t>
      </w:r>
      <w:r>
        <w:rPr/>
        <w:t>，</w:t>
      </w:r>
      <w:r>
        <w:rPr/>
        <w:t>250</w:t>
      </w:r>
      <w:r>
        <w:rPr/>
        <w:t>日</w:t>
      </w:r>
      <w:r>
        <w:rPr/>
        <w:t>0.81%</w:t>
      </w:r>
      <w:r>
        <w:rPr/>
        <w:t>。这支持中短期上升结构。斜率按同一算法计算，不能把它解释为未来每日按这一速度上涨；均线属于过去价格平均，行情转弱时会滞后。</w:t>
      </w:r>
    </w:p>
    <w:p>
      <w:pPr>
        <w:pStyle w:val="Normal"/>
        <w:rPr/>
      </w:pPr>
      <w:r>
        <w:rPr/>
        <w:t>现价比</w:t>
      </w:r>
      <w:r>
        <w:rPr/>
        <w:t>20</w:t>
      </w:r>
      <w:r>
        <w:rPr/>
        <w:t>日线高</w:t>
      </w:r>
      <w:r>
        <w:rPr/>
        <w:t>2.13%</w:t>
      </w:r>
      <w:r>
        <w:rPr/>
        <w:t>，距离并不极端；但比</w:t>
      </w:r>
      <w:r>
        <w:rPr/>
        <w:t>60</w:t>
      </w:r>
      <w:r>
        <w:rPr/>
        <w:t>日线高</w:t>
      </w:r>
      <w:r>
        <w:rPr/>
        <w:t>13.28%</w:t>
      </w:r>
      <w:r>
        <w:rPr/>
        <w:t>，比</w:t>
      </w:r>
      <w:r>
        <w:rPr/>
        <w:t>120</w:t>
      </w:r>
      <w:r>
        <w:rPr/>
        <w:t>日高</w:t>
      </w:r>
      <w:r>
        <w:rPr/>
        <w:t>32.53%</w:t>
      </w:r>
      <w:r>
        <w:rPr/>
        <w:t>，比</w:t>
      </w:r>
      <w:r>
        <w:rPr/>
        <w:t>250</w:t>
      </w:r>
      <w:r>
        <w:rPr/>
        <w:t>日高</w:t>
      </w:r>
      <w:r>
        <w:rPr/>
        <w:t>41.61%</w:t>
      </w:r>
      <w:r>
        <w:rPr/>
        <w:t>。这说明短线可能已从快速上涨进入消化，而中期仍处于显著上升后的高位区域。若股价横盘而均线逐渐上移，可以通过时间消化偏离；若突然跌破</w:t>
      </w:r>
      <w:r>
        <w:rPr/>
        <w:t>20</w:t>
      </w:r>
      <w:r>
        <w:rPr/>
        <w:t>日线并放量，再测试</w:t>
      </w:r>
      <w:r>
        <w:rPr/>
        <w:t>60</w:t>
      </w:r>
      <w:r>
        <w:rPr/>
        <w:t>日附近，则可能通过价格修正偏离。不能仅凭现价离</w:t>
      </w:r>
      <w:r>
        <w:rPr/>
        <w:t>20</w:t>
      </w:r>
      <w:r>
        <w:rPr/>
        <w:t>日线不远就认定风险低。</w:t>
      </w:r>
    </w:p>
    <w:p>
      <w:pPr>
        <w:pStyle w:val="Normal"/>
        <w:rPr/>
      </w:pPr>
      <w:r>
        <w:rPr/>
        <w:t>20</w:t>
      </w:r>
      <w:r>
        <w:rPr/>
        <w:t>日收益</w:t>
      </w:r>
      <w:r>
        <w:rPr/>
        <w:t>13.37%</w:t>
      </w:r>
      <w:r>
        <w:rPr/>
        <w:t>、</w:t>
      </w:r>
      <w:r>
        <w:rPr/>
        <w:t>60</w:t>
      </w:r>
      <w:r>
        <w:rPr/>
        <w:t>日</w:t>
      </w:r>
      <w:r>
        <w:rPr/>
        <w:t>36.95%</w:t>
      </w:r>
      <w:r>
        <w:rPr/>
        <w:t>、</w:t>
      </w:r>
      <w:r>
        <w:rPr/>
        <w:t>120</w:t>
      </w:r>
      <w:r>
        <w:rPr/>
        <w:t>日</w:t>
      </w:r>
      <w:r>
        <w:rPr/>
        <w:t>50.76%</w:t>
      </w:r>
      <w:r>
        <w:rPr/>
        <w:t>、</w:t>
      </w:r>
      <w:r>
        <w:rPr/>
        <w:t>250</w:t>
      </w:r>
      <w:r>
        <w:rPr/>
        <w:t>日</w:t>
      </w:r>
      <w:r>
        <w:rPr/>
        <w:t>27.97%</w:t>
      </w:r>
      <w:r>
        <w:rPr/>
        <w:t>。</w:t>
      </w:r>
      <w:r>
        <w:rPr/>
        <w:t>120</w:t>
      </w:r>
      <w:r>
        <w:rPr/>
        <w:t>日明显跑赢</w:t>
      </w:r>
      <w:r>
        <w:rPr/>
        <w:t>250</w:t>
      </w:r>
      <w:r>
        <w:rPr/>
        <w:t>日，反映近期走势贡献较大；</w:t>
      </w:r>
      <w:r>
        <w:rPr/>
        <w:t>52</w:t>
      </w:r>
      <w:r>
        <w:rPr/>
        <w:t>周最高</w:t>
      </w:r>
      <w:r>
        <w:rPr/>
        <w:t>58</w:t>
      </w:r>
      <w:r>
        <w:rPr/>
        <w:t>、最低</w:t>
      </w:r>
      <w:r>
        <w:rPr/>
        <w:t>28.48</w:t>
      </w:r>
      <w:r>
        <w:rPr/>
        <w:t>，现价比低点上涨</w:t>
      </w:r>
      <w:r>
        <w:rPr/>
        <w:t>89.08%</w:t>
      </w:r>
      <w:r>
        <w:rPr/>
        <w:t>，距离高点约下降</w:t>
      </w:r>
      <w:r>
        <w:rPr/>
        <w:t>7.16%</w:t>
      </w:r>
      <w:r>
        <w:rPr/>
        <w:t>。过去一年最大日线回撤约</w:t>
      </w:r>
      <w:r>
        <w:rPr/>
        <w:t>29.59%</w:t>
      </w:r>
      <w:r>
        <w:rPr/>
        <w:t>。这种历史波动说明即使长期上升阶段，也可能出现接近三成的阶段调整，半年策略不宜以</w:t>
      </w:r>
      <w:r>
        <w:rPr/>
        <w:t>5%</w:t>
      </w:r>
      <w:r>
        <w:rPr/>
        <w:t>的固定小波动假设构造风险收益。</w:t>
      </w:r>
    </w:p>
    <w:p>
      <w:pPr>
        <w:pStyle w:val="Normal"/>
        <w:rPr/>
      </w:pPr>
      <w:r>
        <w:rPr/>
        <w:t>最近</w:t>
      </w:r>
      <w:r>
        <w:rPr/>
        <w:t>20</w:t>
      </w:r>
      <w:r>
        <w:rPr/>
        <w:t>日最低</w:t>
      </w:r>
      <w:r>
        <w:rPr/>
        <w:t>46.16</w:t>
      </w:r>
      <w:r>
        <w:rPr/>
        <w:t>、最高</w:t>
      </w:r>
      <w:r>
        <w:rPr/>
        <w:t>58</w:t>
      </w:r>
      <w:r>
        <w:rPr/>
        <w:t>，现价到区间最低约下降</w:t>
      </w:r>
      <w:r>
        <w:rPr/>
        <w:t>14.28%</w:t>
      </w:r>
      <w:r>
        <w:rPr/>
        <w:t>，到最高约上涨</w:t>
      </w:r>
      <w:r>
        <w:rPr/>
        <w:t>7.71%</w:t>
      </w:r>
      <w:r>
        <w:rPr/>
        <w:t>；最近</w:t>
      </w:r>
      <w:r>
        <w:rPr/>
        <w:t>60</w:t>
      </w:r>
      <w:r>
        <w:rPr/>
        <w:t>日低点</w:t>
      </w:r>
      <w:r>
        <w:rPr/>
        <w:t>36.52</w:t>
      </w:r>
      <w:r>
        <w:rPr/>
        <w:t>，到该位约下降</w:t>
      </w:r>
      <w:r>
        <w:rPr/>
        <w:t>32.18%</w:t>
      </w:r>
      <w:r>
        <w:rPr/>
        <w:t>。这两组价位只是观察区间，尚未逐次筛选触碰次数和交易密集程度，因此不称为精确支撑。</w:t>
      </w:r>
      <w:r>
        <w:rPr/>
        <w:t>46.16</w:t>
      </w:r>
      <w:r>
        <w:rPr/>
        <w:t>代表近期多头结构可能需要保护的区间边缘，</w:t>
      </w:r>
      <w:r>
        <w:rPr/>
        <w:t>58</w:t>
      </w:r>
      <w:r>
        <w:rPr/>
        <w:t>是突破需要面对的前高。假突破或跳空可以越过这些价位，失效条件不等于保证的最大亏损边界。</w:t>
      </w:r>
    </w:p>
    <w:p>
      <w:pPr>
        <w:pStyle w:val="Normal"/>
        <w:rPr/>
      </w:pPr>
      <w:r>
        <w:rPr/>
        <w:t>日线</w:t>
      </w:r>
      <w:r>
        <w:rPr/>
        <w:t>RSI14</w:t>
      </w:r>
      <w:r>
        <w:rPr/>
        <w:t>为</w:t>
      </w:r>
      <w:r>
        <w:rPr/>
        <w:t>55.58</w:t>
      </w:r>
      <w:r>
        <w:rPr/>
        <w:t>，位于中性略强区域；</w:t>
      </w:r>
      <w:r>
        <w:rPr/>
        <w:t>MACD DIF1.9103</w:t>
      </w:r>
      <w:r>
        <w:rPr/>
        <w:t>、</w:t>
      </w:r>
      <w:r>
        <w:rPr/>
        <w:t>DEA1.9681</w:t>
      </w:r>
      <w:r>
        <w:rPr/>
        <w:t>，柱为负</w:t>
      </w:r>
      <w:r>
        <w:rPr/>
        <w:t>0.1155</w:t>
      </w:r>
      <w:r>
        <w:rPr/>
        <w:t>，采用两倍差值口径。价格在均线上方而</w:t>
      </w:r>
      <w:r>
        <w:rPr/>
        <w:t>MACD</w:t>
      </w:r>
      <w:r>
        <w:rPr/>
        <w:t>短线略弱，说明动能正在放缓，二者并不矛盾。</w:t>
      </w:r>
      <w:r>
        <w:rPr/>
        <w:t>RSI</w:t>
      </w:r>
      <w:r>
        <w:rPr/>
        <w:t>和</w:t>
      </w:r>
      <w:r>
        <w:rPr/>
        <w:t>MACD</w:t>
      </w:r>
      <w:r>
        <w:rPr/>
        <w:t>都来自相同价格序列，不能分别作为两个独立强买理由重复加分。短线更有意义的问题是回落时量能能否缩小、下一个上行段能否重新放量并突破前高。</w:t>
      </w:r>
    </w:p>
    <w:p>
      <w:pPr>
        <w:pStyle w:val="Normal"/>
        <w:rPr/>
      </w:pPr>
      <w:r>
        <w:rPr/>
        <w:t>ATR14</w:t>
      </w:r>
      <w:r>
        <w:rPr/>
        <w:t>约</w:t>
      </w:r>
      <w:r>
        <w:rPr/>
        <w:t>2.3378</w:t>
      </w:r>
      <w:r>
        <w:rPr/>
        <w:t>港元，相当于现价</w:t>
      </w:r>
      <w:r>
        <w:rPr/>
        <w:t>4.34%</w:t>
      </w:r>
      <w:r>
        <w:rPr/>
        <w:t>。这表示近段时间平均真实波幅较大，单日上下几个百分点并不罕见。若按照一至两个</w:t>
      </w:r>
      <w:r>
        <w:rPr/>
        <w:t>ATR</w:t>
      </w:r>
      <w:r>
        <w:rPr/>
        <w:t>设观察距离，大约</w:t>
      </w:r>
      <w:r>
        <w:rPr/>
        <w:t>2.34</w:t>
      </w:r>
      <w:r>
        <w:rPr/>
        <w:t>至</w:t>
      </w:r>
      <w:r>
        <w:rPr/>
        <w:t>4.68</w:t>
      </w:r>
      <w:r>
        <w:rPr/>
        <w:t>港元，但这只是波动尺度，不能自动成为最优止损规则。围绕均线或前低的判断需与事件风险结合；临床或政策重大消息可能造成远超正常</w:t>
      </w:r>
      <w:r>
        <w:rPr/>
        <w:t>ATR</w:t>
      </w:r>
      <w:r>
        <w:rPr/>
        <w:t>的跳空，统计平均不能约束尾部损失。</w:t>
      </w:r>
    </w:p>
    <w:p>
      <w:pPr>
        <w:pStyle w:val="Heading2"/>
        <w:rPr/>
      </w:pPr>
      <w:r>
        <w:rPr>
          <w:color w:val="000000"/>
        </w:rPr>
        <w:t>十四 量能关系与相对强弱</w:t>
      </w:r>
    </w:p>
    <w:p>
      <w:pPr>
        <w:pStyle w:val="Normal"/>
        <w:rPr/>
      </w:pPr>
      <w:r>
        <w:rPr/>
        <w:t>基准日成交约</w:t>
      </w:r>
      <w:r>
        <w:rPr/>
        <w:t>1.3821</w:t>
      </w:r>
      <w:r>
        <w:rPr/>
        <w:t>亿股，新浪显示成交金额约</w:t>
      </w:r>
      <w:r>
        <w:rPr/>
        <w:t>72.399</w:t>
      </w:r>
      <w:r>
        <w:rPr/>
        <w:t>亿元港币，</w:t>
      </w:r>
      <w:r>
        <w:rPr/>
        <w:t>Yahoo</w:t>
      </w:r>
      <w:r>
        <w:rPr/>
        <w:t>和腾讯历史成交股数交叉一致。它相当于此前</w:t>
      </w:r>
      <w:r>
        <w:rPr/>
        <w:t>20</w:t>
      </w:r>
      <w:r>
        <w:rPr/>
        <w:t>个交易日平均成交量约</w:t>
      </w:r>
      <w:r>
        <w:rPr/>
        <w:t>5.43</w:t>
      </w:r>
      <w:r>
        <w:rPr/>
        <w:t>倍。</w:t>
      </w:r>
      <w:r>
        <w:rPr/>
        <w:t>5</w:t>
      </w:r>
      <w:r>
        <w:rPr/>
        <w:t>日均量约</w:t>
      </w:r>
      <w:r>
        <w:rPr/>
        <w:t>4,444.5</w:t>
      </w:r>
      <w:r>
        <w:rPr/>
        <w:t>万股、</w:t>
      </w:r>
      <w:r>
        <w:rPr/>
        <w:t>20</w:t>
      </w:r>
      <w:r>
        <w:rPr/>
        <w:t>日</w:t>
      </w:r>
      <w:r>
        <w:rPr/>
        <w:t>3,114.4</w:t>
      </w:r>
      <w:r>
        <w:rPr/>
        <w:t>万股、</w:t>
      </w:r>
      <w:r>
        <w:rPr/>
        <w:t>60</w:t>
      </w:r>
      <w:r>
        <w:rPr/>
        <w:t>日</w:t>
      </w:r>
      <w:r>
        <w:rPr/>
        <w:t>3,509.3</w:t>
      </w:r>
      <w:r>
        <w:rPr/>
        <w:t>万股，基准日显著高于这些水平。这里的“量比”明确是全天成交股数相对前</w:t>
      </w:r>
      <w:r>
        <w:rPr/>
        <w:t>20</w:t>
      </w:r>
      <w:r>
        <w:rPr/>
        <w:t>日均量，不是盘中行情终端按已过时间计算的实时量比，两种口径不能混用。</w:t>
      </w:r>
    </w:p>
    <w:p>
      <w:pPr>
        <w:pStyle w:val="Normal"/>
        <w:rPr/>
      </w:pPr>
      <w:r>
        <w:rPr/>
        <w:t>当天股价收</w:t>
      </w:r>
      <w:r>
        <w:rPr/>
        <w:t>53.85</w:t>
      </w:r>
      <w:r>
        <w:rPr/>
        <w:t>，较前一日下降</w:t>
      </w:r>
      <w:r>
        <w:rPr/>
        <w:t>0.46%</w:t>
      </w:r>
      <w:r>
        <w:rPr/>
        <w:t>，日内最低</w:t>
      </w:r>
      <w:r>
        <w:rPr/>
        <w:t>51.05</w:t>
      </w:r>
      <w:r>
        <w:rPr/>
        <w:t>、最高</w:t>
      </w:r>
      <w:r>
        <w:rPr/>
        <w:t>53.85</w:t>
      </w:r>
      <w:r>
        <w:rPr/>
        <w:t>。显著放量、收盘位于当日高点附近，但仍较前收略低，可以解释为盘中抛压被承接后修复，也可以对应消息冲击后的充分换手。没有逐笔成交与买卖账户信息，无法知道机构净买入方向，更不能直接称为主力吸筹。正确结论是当日交易活跃度异常高，价格没有以同等幅度下跌，需看随后数日是否保持回补成果。</w:t>
      </w:r>
    </w:p>
    <w:p>
      <w:pPr>
        <w:pStyle w:val="Normal"/>
        <w:rPr/>
      </w:pPr>
      <w:r>
        <w:rPr/>
        <w:t>最近</w:t>
      </w:r>
      <w:r>
        <w:rPr/>
        <w:t>20</w:t>
      </w:r>
      <w:r>
        <w:rPr/>
        <w:t>日上涨日成交量</w:t>
      </w:r>
      <w:r>
        <w:rPr/>
        <w:t>3.5137</w:t>
      </w:r>
      <w:r>
        <w:rPr/>
        <w:t>亿股，下跌日</w:t>
      </w:r>
      <w:r>
        <w:rPr/>
        <w:t>2.7151</w:t>
      </w:r>
      <w:r>
        <w:rPr/>
        <w:t>亿股，上涨</w:t>
      </w:r>
      <w:r>
        <w:rPr/>
        <w:t>13</w:t>
      </w:r>
      <w:r>
        <w:rPr/>
        <w:t>日、下跌</w:t>
      </w:r>
      <w:r>
        <w:rPr/>
        <w:t>7</w:t>
      </w:r>
      <w:r>
        <w:rPr/>
        <w:t>日，总量比</w:t>
      </w:r>
      <w:r>
        <w:rPr/>
        <w:t>1.294</w:t>
      </w:r>
      <w:r>
        <w:rPr/>
        <w:t>。由于上涨天数明显多于下跌天数，直接比较总量会偏向上涨。按日数平均，上涨日约</w:t>
      </w:r>
      <w:r>
        <w:rPr/>
        <w:t>2,702.9</w:t>
      </w:r>
      <w:r>
        <w:rPr/>
        <w:t>万股，下跌日约</w:t>
      </w:r>
      <w:r>
        <w:rPr/>
        <w:t>3,878.7</w:t>
      </w:r>
      <w:r>
        <w:rPr/>
        <w:t>万股，意味着平均下跌日量更大。该差异可能被基准日巨量影响，也可能提示下跌时存在较强换手。分析必须同时展示日数和均量，不能只用总量比大于一宣布量价健康。</w:t>
      </w:r>
    </w:p>
    <w:p>
      <w:pPr>
        <w:pStyle w:val="Normal"/>
        <w:rPr/>
      </w:pPr>
      <w:r>
        <w:rPr/>
        <w:t>周线</w:t>
      </w:r>
      <w:r>
        <w:rPr/>
        <w:t>20</w:t>
      </w:r>
      <w:r>
        <w:rPr/>
        <w:t>周均线</w:t>
      </w:r>
      <w:r>
        <w:rPr/>
        <w:t>42.597</w:t>
      </w:r>
      <w:r>
        <w:rPr/>
        <w:t>、</w:t>
      </w:r>
      <w:r>
        <w:rPr/>
        <w:t>60</w:t>
      </w:r>
      <w:r>
        <w:rPr/>
        <w:t>周</w:t>
      </w:r>
      <w:r>
        <w:rPr/>
        <w:t>37.844</w:t>
      </w:r>
      <w:r>
        <w:rPr/>
        <w:t>、</w:t>
      </w:r>
      <w:r>
        <w:rPr/>
        <w:t>120</w:t>
      </w:r>
      <w:r>
        <w:rPr/>
        <w:t>周</w:t>
      </w:r>
      <w:r>
        <w:rPr/>
        <w:t>28.7877</w:t>
      </w:r>
      <w:r>
        <w:rPr/>
        <w:t>，现价大幅高于三者，周线</w:t>
      </w:r>
      <w:r>
        <w:rPr/>
        <w:t>RSI71.51</w:t>
      </w:r>
      <w:r>
        <w:rPr/>
        <w:t>，显示较长时间尺度动能强且有过热可能。周线</w:t>
      </w:r>
      <w:r>
        <w:rPr/>
        <w:t>MACD</w:t>
      </w:r>
      <w:r>
        <w:rPr/>
        <w:t>仍为正，而日线</w:t>
      </w:r>
      <w:r>
        <w:rPr/>
        <w:t>MACD</w:t>
      </w:r>
      <w:r>
        <w:rPr/>
        <w:t>轻度转弱，适合解释为长期上行中的短期消化。但最近</w:t>
      </w:r>
      <w:r>
        <w:rPr/>
        <w:t>20</w:t>
      </w:r>
      <w:r>
        <w:rPr/>
        <w:t>周上涨周总量比下跌周总量约</w:t>
      </w:r>
      <w:r>
        <w:rPr/>
        <w:t>0.867</w:t>
      </w:r>
      <w:r>
        <w:rPr/>
        <w:t>，长周期成交表现不支持单向买盘压倒性优势。日周线结合可以改善判断，但应避免从同一历史数据构造确定预测。</w:t>
      </w:r>
    </w:p>
    <w:p>
      <w:pPr>
        <w:pStyle w:val="Normal"/>
        <w:rPr/>
      </w:pPr>
      <w:r>
        <w:rPr/>
        <w:t>市场相对强弱方面，</w:t>
      </w:r>
      <w:r>
        <w:rPr/>
        <w:t>20</w:t>
      </w:r>
      <w:r>
        <w:rPr/>
        <w:t>日股价超额恒生指数</w:t>
      </w:r>
      <w:r>
        <w:rPr/>
        <w:t>16.35</w:t>
      </w:r>
      <w:r>
        <w:rPr/>
        <w:t>个百分点，</w:t>
      </w:r>
      <w:r>
        <w:rPr/>
        <w:t>60</w:t>
      </w:r>
      <w:r>
        <w:rPr/>
        <w:t>日超额</w:t>
      </w:r>
      <w:r>
        <w:rPr/>
        <w:t>40.14</w:t>
      </w:r>
      <w:r>
        <w:rPr/>
        <w:t>个百分点，表明医药服务相关逻辑明显跑赢大市。尚未取得可核验的对应细分医药行业三年基准数据，所以行业超额留空。大市超额不能替代行业超额，若整个医药板块同期大涨，公司未必是板块中最强。半年推荐的技术评分应承认市场强势，同时在行业数据缺失处降低证据置信度。</w:t>
      </w:r>
    </w:p>
    <w:p>
      <w:pPr>
        <w:pStyle w:val="Heading2"/>
        <w:rPr/>
      </w:pPr>
      <w:r>
        <w:rPr>
          <w:color w:val="000000"/>
        </w:rPr>
        <w:t>十五 四期限的投资路径与反证</w:t>
      </w:r>
    </w:p>
    <w:p>
      <w:pPr>
        <w:pStyle w:val="Normal"/>
        <w:rPr/>
      </w:pPr>
      <w:r>
        <w:rPr/>
        <w:t>半年到</w:t>
      </w:r>
      <w:r>
        <w:rPr/>
        <w:t>2027</w:t>
      </w:r>
      <w:r>
        <w:rPr/>
        <w:t>年</w:t>
      </w:r>
      <w:r>
        <w:rPr/>
        <w:t>4</w:t>
      </w:r>
      <w:r>
        <w:rPr/>
        <w:t>月，主要观察全年业绩、</w:t>
      </w:r>
      <w:r>
        <w:rPr/>
        <w:t>2027</w:t>
      </w:r>
      <w:r>
        <w:rPr/>
        <w:t>年订单和利润率指引、商业化项目推进及政策变化。支持推荐的条件包括营业增长达到或超过公开指引、现金转换维持改善、前高突破后量能能够持续，以及价格回落不破坏中期趋势。反证包括大幅下修订单、增收不增毛利、放量跌破关键均线后无法修复或重大监管事件。半年收益更依赖预期差和买入位置，因此即使公司长期质量高，半年得分也可能低于一年或三年。</w:t>
      </w:r>
    </w:p>
    <w:p>
      <w:pPr>
        <w:pStyle w:val="Normal"/>
        <w:rPr/>
      </w:pPr>
      <w:r>
        <w:rPr/>
        <w:t>一年到</w:t>
      </w:r>
      <w:r>
        <w:rPr/>
        <w:t>2027</w:t>
      </w:r>
      <w:r>
        <w:rPr/>
        <w:t>年</w:t>
      </w:r>
      <w:r>
        <w:rPr/>
        <w:t>10</w:t>
      </w:r>
      <w:r>
        <w:rPr/>
        <w:t>月，应看到多个报告期的有机新增项目、后期数量和商业化产量。判断重点由“</w:t>
      </w:r>
      <w:r>
        <w:rPr/>
        <w:t>2026</w:t>
      </w:r>
      <w:r>
        <w:rPr/>
        <w:t>改善是不是一次性”转为“改善能否持续”。若收入扩张主要靠收购，原有业务增长下降，而资本投入继续扩大，合理倍数可能降低。若内生增长和产能回报同时提高，一年目标可由更高经营</w:t>
      </w:r>
      <w:r>
        <w:rPr/>
        <w:t>EPS</w:t>
      </w:r>
      <w:r>
        <w:rPr/>
        <w:t>支撑。对机构一年参考价应核验目标期限，并剔除明确基于</w:t>
      </w:r>
      <w:r>
        <w:rPr/>
        <w:t>2027</w:t>
      </w:r>
      <w:r>
        <w:rPr/>
        <w:t>年底的较长目标，避免把不同期限排名混在一起。</w:t>
      </w:r>
    </w:p>
    <w:p>
      <w:pPr>
        <w:pStyle w:val="Normal"/>
        <w:rPr/>
      </w:pPr>
      <w:r>
        <w:rPr/>
        <w:t>三年到</w:t>
      </w:r>
      <w:r>
        <w:rPr/>
        <w:t>2029</w:t>
      </w:r>
      <w:r>
        <w:rPr/>
        <w:t>年</w:t>
      </w:r>
      <w:r>
        <w:rPr/>
        <w:t>10</w:t>
      </w:r>
      <w:r>
        <w:rPr/>
        <w:t>月，最有力的投资逻辑是项目成熟带动收入结构从早期逐渐提高后期和商业化权重。公司现有</w:t>
      </w:r>
      <w:r>
        <w:rPr/>
        <w:t>78</w:t>
      </w:r>
      <w:r>
        <w:rPr/>
        <w:t>个三期与</w:t>
      </w:r>
      <w:r>
        <w:rPr/>
        <w:t>28</w:t>
      </w:r>
      <w:r>
        <w:rPr/>
        <w:t>个商业化项目构成可观察起点，未来数目和每项目生产规模应与收入核对。达到三年收入增长目标但自由现金流始终偏低，未必足以支持高估值；真正有质量的兑现需要经营现金覆盖扩张、客户回款稳定和资本回报提高。三年价格目标应同时允许</w:t>
      </w:r>
      <w:r>
        <w:rPr/>
        <w:t>PE</w:t>
      </w:r>
      <w:r>
        <w:rPr/>
        <w:t>正常化，而不是永久给予景气高点倍数。</w:t>
      </w:r>
    </w:p>
    <w:p>
      <w:pPr>
        <w:pStyle w:val="Normal"/>
        <w:rPr/>
      </w:pPr>
      <w:r>
        <w:rPr/>
        <w:t>五年到</w:t>
      </w:r>
      <w:r>
        <w:rPr/>
        <w:t>2031</w:t>
      </w:r>
      <w:r>
        <w:rPr/>
        <w:t>年</w:t>
      </w:r>
      <w:r>
        <w:rPr/>
        <w:t>10</w:t>
      </w:r>
      <w:r>
        <w:rPr/>
        <w:t>月，投资者持有的是全球生产及研发平台的持续竞争力。需要验证技术平台没有落后、工厂合规可靠、客户供应链地位稳固，且政治成本可以管理。如果公司能通过新分子类型和全球生产网络维持市场份额，长期每股盈利和现金回报可能具有复利性。如果行业从研发增长转为价格竞争，收入仍可能增长而利润率和资本回报下行。长期评分中的商业质量应围绕这种可持续盈利机制，不能只基于公司过去高速成长。</w:t>
      </w:r>
    </w:p>
    <w:p>
      <w:pPr>
        <w:pStyle w:val="Normal"/>
        <w:rPr/>
      </w:pPr>
      <w:r>
        <w:rPr/>
        <w:t>十年经营展望不采用机械目标价，因为生物药技术、客户结构和监管环境会变化。值得长期追踪的是平台产生收入的方式是否适应新疗法。例如复杂抗体、偶联药或新生产技术可能提高需求，也可能让部分传统产线失去优势。公司需要持续投入但不能过度扩张。十年持有成功的标志是每股现金生成能力持续提高，而不是规模最大或项目数量最多；若多次增发使股数增加抵消利润增长，长期股东回报会低于公司总利润增长。</w:t>
      </w:r>
    </w:p>
    <w:p>
      <w:pPr>
        <w:pStyle w:val="Heading2"/>
        <w:rPr/>
      </w:pPr>
      <w:r>
        <w:rPr>
          <w:color w:val="000000"/>
        </w:rPr>
        <w:t>十六 年底情景与研究结论成立条件</w:t>
      </w:r>
    </w:p>
    <w:p>
      <w:pPr>
        <w:pStyle w:val="Normal"/>
        <w:rPr/>
      </w:pPr>
      <w:r>
        <w:rPr/>
        <w:t>2026</w:t>
      </w:r>
      <w:r>
        <w:rPr/>
        <w:t>年底距基准日仅约两个半月，价格更容易被订单、利率、行业资金和短期事件影响，不能把完整</w:t>
      </w:r>
      <w:r>
        <w:rPr/>
        <w:t>2027</w:t>
      </w:r>
      <w:r>
        <w:rPr/>
        <w:t>经营盈利全部当作年底已实现收益。年底悲观情景应涵盖政策升级、业绩预期下修或趋势跌破；基准情景可以是收入增长和利润率改善基本符合预期、价格围绕已有估值消化；乐观情景则需新的经营或订单信息推动机构盈利及倍数同时上调。三个情景必须有独立条件，而不是简单按现价上下固定百分比。</w:t>
      </w:r>
    </w:p>
    <w:p>
      <w:pPr>
        <w:pStyle w:val="Normal"/>
        <w:rPr/>
      </w:pPr>
      <w:r>
        <w:rPr/>
        <w:t>年底模型独立选用二〇二七年前瞻</w:t>
      </w:r>
      <w:r>
        <w:rPr/>
        <w:t>EPS</w:t>
      </w:r>
      <w:r>
        <w:rPr/>
        <w:t>一元八角五、二元三角及二元六角五，倍数十八、二十二及二十五倍，得到三十六点六三、五十五点六六及七十二点八七五港元，相对现价分别下降百分之三十一点九八、上涨百分之三点三六及百分之三十五点三三。年底基准倍数低于半年基准，反映在两个半月中预期仍需消化、距离更多经营验证较近但并未取得全年报告。此方法依据年底信息集为盈利预期定价，不把机构较远目标直接搬来，也不按剩余月份线性缩放。</w:t>
      </w:r>
    </w:p>
    <w:p>
      <w:pPr>
        <w:pStyle w:val="Normal"/>
        <w:rPr/>
      </w:pPr>
      <w:r>
        <w:rPr/>
        <w:t>按悲观四分之一、基准二分之一、乐观四分之一，加权期望五十五点二〇六二五港元，对应期望回报约百分之二点五二。若判断权重转为四成悲观、四成基准、两成乐观，期望价降为五十一点四九一港元；若两成悲观、四成基准、四成乐观，期望升为五十八点七四港元。这些权重没有统计校准，不是历史频率估计或真实市场概率。两种敏感性显示权重选择会让期望从低于现价变为高于现价，应连同经营条件展示，不能只挑较乐观的一组证明买入。</w:t>
      </w:r>
    </w:p>
    <w:p>
      <w:pPr>
        <w:pStyle w:val="Normal"/>
        <w:rPr/>
      </w:pPr>
      <w:r>
        <w:rPr/>
        <w:t>分维度评分采用统一零至五分标尺。半年估值三分、技术三点二分、经营四点二分、行业四分、催化三点五分、风险三分；技术权重三成和估值权重四分之一，使近期涨幅与巨量波动对推荐有实质约束。一年经营权重升至四分之一，业务改善的证据更能贡献分数；三年经营权重三成五和行业两成，因此项目成熟与商业化转化更重要。五年技术权重归零，风险权重升至一成五，监管、资本开支和全球客户稳定性决定长期回报是否成立。</w:t>
      </w:r>
    </w:p>
    <w:p>
      <w:pPr>
        <w:pStyle w:val="Normal"/>
        <w:rPr/>
      </w:pPr>
      <w:r>
        <w:rPr/>
        <w:t>对于药明生物，最值得持续保留的正面证据是有机研究需求、后期项目池、毛利率和现金转换同时改善；最值得约束乐观预期的证据是股价近期已明显上涨、部分外资目标仅略高于现价，以及全球资本投入和政策风险。它可以进入中期优先研究梯队，但应将推荐建立在可承受回撤和价格有余量的基础上。若之后收入、现金和产能回报形成连续兑现，长期逻辑增强；若只是估值反弹而经营证据减弱，应下调推荐。</w:t>
      </w:r>
    </w:p>
    <w:p>
      <w:pPr>
        <w:pStyle w:val="Heading2"/>
        <w:rPr/>
      </w:pPr>
      <w:r>
        <w:rPr>
          <w:color w:val="000000"/>
        </w:rPr>
        <w:t>来源与复核记录 不计入正文有效汉字</w:t>
      </w:r>
    </w:p>
    <w:p>
      <w:pPr>
        <w:pStyle w:val="Normal"/>
        <w:rPr/>
      </w:pPr>
      <w:r>
        <w:rPr/>
        <w:t xml:space="preserve">- </w:t>
      </w:r>
      <w:r>
        <w:rPr/>
        <w:t>原中报：</w:t>
      </w:r>
      <w:r>
        <w:rPr/>
        <w:t>[</w:t>
      </w:r>
      <w:r>
        <w:rPr/>
        <w:t>药明生物</w:t>
      </w:r>
      <w:r>
        <w:rPr/>
        <w:t>2026</w:t>
      </w:r>
      <w:r>
        <w:rPr/>
        <w:t>中期报告</w:t>
      </w:r>
      <w:r>
        <w:rPr/>
        <w:t>](https://iis.aastocks.com/20260922/12341103-0.PDF)</w:t>
      </w:r>
      <w:r>
        <w:rPr/>
        <w:t>，主要页：</w:t>
      </w:r>
      <w:r>
        <w:rPr/>
        <w:t>4—7</w:t>
      </w:r>
      <w:r>
        <w:rPr/>
        <w:t>、</w:t>
      </w:r>
      <w:r>
        <w:rPr/>
        <w:t>17—28</w:t>
      </w:r>
      <w:r>
        <w:rPr/>
        <w:t>、</w:t>
      </w:r>
      <w:r>
        <w:rPr/>
        <w:t>60</w:t>
      </w:r>
      <w:r>
        <w:rPr/>
        <w:t>，财务摘要、项目构成、收入及现金流。</w:t>
      </w:r>
    </w:p>
    <w:p>
      <w:pPr>
        <w:pStyle w:val="Normal"/>
        <w:rPr/>
      </w:pPr>
      <w:r>
        <w:rPr/>
        <w:t>- [</w:t>
      </w:r>
      <w:r>
        <w:rPr/>
        <w:t>高盛</w:t>
      </w:r>
      <w:r>
        <w:rPr/>
        <w:t>2026-09-25</w:t>
      </w:r>
      <w:r>
        <w:rPr/>
        <w:t>目标</w:t>
      </w:r>
      <w:r>
        <w:rPr/>
        <w:t>55.8](https://www.aastocks.com/tc/stocks/analysis/stock-aafn-con/02269/AAFN/NOW.1546457/research-report)</w:t>
      </w:r>
      <w:r>
        <w:rPr/>
        <w:t>。</w:t>
      </w:r>
    </w:p>
    <w:p>
      <w:pPr>
        <w:pStyle w:val="Normal"/>
        <w:rPr/>
      </w:pPr>
      <w:r>
        <w:rPr/>
        <w:t>- [</w:t>
      </w:r>
      <w:r>
        <w:rPr/>
        <w:t>美银</w:t>
      </w:r>
      <w:r>
        <w:rPr/>
        <w:t>2026-09-21</w:t>
      </w:r>
      <w:r>
        <w:rPr/>
        <w:t>目标</w:t>
      </w:r>
      <w:r>
        <w:rPr/>
        <w:t>56](https://www.aastocks.com/tc/stocks/analysis/stock-aafn-con/02269/AAFN/NOW.1545493/research-report)</w:t>
      </w:r>
      <w:r>
        <w:rPr/>
        <w:t>。</w:t>
      </w:r>
    </w:p>
    <w:p>
      <w:pPr>
        <w:pStyle w:val="Normal"/>
        <w:rPr/>
      </w:pPr>
      <w:r>
        <w:rPr/>
        <w:t>- [</w:t>
      </w:r>
      <w:r>
        <w:rPr/>
        <w:t>花旗</w:t>
      </w:r>
      <w:r>
        <w:rPr/>
        <w:t>2026-08-27</w:t>
      </w:r>
      <w:r>
        <w:rPr/>
        <w:t>目标</w:t>
      </w:r>
      <w:r>
        <w:rPr/>
        <w:t>62](https://www.aastocks.com/tc/stocks/analysis/stock-aafn-con/02269/AAFN/NOW.1541199/research-report)</w:t>
      </w:r>
      <w:r>
        <w:rPr/>
        <w:t>。</w:t>
      </w:r>
    </w:p>
    <w:p>
      <w:pPr>
        <w:pStyle w:val="Normal"/>
        <w:rPr/>
      </w:pPr>
      <w:r>
        <w:rPr/>
        <w:t>- [</w:t>
      </w:r>
      <w:r>
        <w:rPr/>
        <w:t>大和</w:t>
      </w:r>
      <w:r>
        <w:rPr/>
        <w:t>2026-08-27</w:t>
      </w:r>
      <w:r>
        <w:rPr/>
        <w:t>目标</w:t>
      </w:r>
      <w:r>
        <w:rPr/>
        <w:t>59](https://www.aastocks.com/tc/stocks/analysis/stock-aafn-con/02269/AAFN/NOW.1541244/research-report)</w:t>
      </w:r>
      <w:r>
        <w:rPr/>
        <w:t>。</w:t>
      </w:r>
    </w:p>
    <w:p>
      <w:pPr>
        <w:pStyle w:val="Normal"/>
        <w:rPr/>
      </w:pPr>
      <w:r>
        <w:rPr/>
        <w:t>- [</w:t>
      </w:r>
      <w:r>
        <w:rPr/>
        <w:t>野村</w:t>
      </w:r>
      <w:r>
        <w:rPr/>
        <w:t>2026-08-26</w:t>
      </w:r>
      <w:r>
        <w:rPr/>
        <w:t>目标</w:t>
      </w:r>
      <w:r>
        <w:rPr/>
        <w:t>60.22](https://www.aastocks.com/tc/stocks/analysis/stock-aafn-con/02269/AAFN/NOW.1540819/research-report)</w:t>
      </w:r>
      <w:r>
        <w:rPr/>
        <w:t>。</w:t>
      </w:r>
    </w:p>
    <w:p>
      <w:pPr>
        <w:pStyle w:val="Normal"/>
        <w:rPr/>
      </w:pPr>
      <w:r>
        <w:rPr/>
        <w:t>- [</w:t>
      </w:r>
      <w:r>
        <w:rPr/>
        <w:t>大摩</w:t>
      </w:r>
      <w:r>
        <w:rPr/>
        <w:t>2026-08-26</w:t>
      </w:r>
      <w:r>
        <w:rPr/>
        <w:t>目标</w:t>
      </w:r>
      <w:r>
        <w:rPr/>
        <w:t>57](https://www.aastocks.com/tc/stocks/analysis/stock-aafn-con/02269/AAFN/NOW.1540816/research-report)</w:t>
      </w:r>
      <w:r>
        <w:rPr/>
        <w:t>。</w:t>
      </w:r>
    </w:p>
    <w:p>
      <w:pPr>
        <w:pStyle w:val="Normal"/>
        <w:rPr/>
      </w:pPr>
      <w:r>
        <w:rPr/>
        <w:t>- [</w:t>
      </w:r>
      <w:r>
        <w:rPr/>
        <w:t>里昂</w:t>
      </w:r>
      <w:r>
        <w:rPr/>
        <w:t>2026-08-27</w:t>
      </w:r>
      <w:r>
        <w:rPr/>
        <w:t>目标</w:t>
      </w:r>
      <w:r>
        <w:rPr/>
        <w:t>65.7](https://www.aastocks.com/tc/stocks/analysis/stock-aafn-con/02269/AAFN/NOW.1541272/research-report)</w:t>
      </w:r>
      <w:r>
        <w:rPr/>
        <w:t>。</w:t>
      </w:r>
    </w:p>
    <w:p>
      <w:pPr>
        <w:pStyle w:val="Normal"/>
        <w:rPr/>
      </w:pPr>
      <w:r>
        <w:rPr/>
        <w:t xml:space="preserve">- </w:t>
      </w:r>
      <w:r>
        <w:rPr/>
        <w:t>量价数据：</w:t>
      </w:r>
      <w:r>
        <w:rPr/>
        <w:t xml:space="preserve">data/market_snapshot.json </w:t>
      </w:r>
      <w:r>
        <w:rPr/>
        <w:t>的</w:t>
      </w:r>
      <w:r>
        <w:rPr/>
        <w:t>S040</w:t>
      </w:r>
      <w:r>
        <w:rPr/>
        <w:t>及</w:t>
      </w:r>
      <w:r>
        <w:rPr/>
        <w:t>data/history/S040.json</w:t>
      </w:r>
      <w:r>
        <w:rPr/>
        <w:t>。未复权基准收盘经腾讯、新浪、</w:t>
      </w:r>
      <w:r>
        <w:rPr/>
        <w:t>Yahoo</w:t>
      </w:r>
      <w:r>
        <w:rPr/>
        <w:t>核验；技术</w:t>
      </w:r>
      <w:r>
        <w:rPr/>
        <w:t>OHLC</w:t>
      </w:r>
      <w:r>
        <w:rPr/>
        <w:t>统一复权至基准日名义价格；</w:t>
      </w:r>
      <w:r>
        <w:rPr/>
        <w:t>3</w:t>
      </w:r>
      <w:r>
        <w:rPr/>
        <w:t>年</w:t>
      </w:r>
      <w:r>
        <w:rPr/>
        <w:t>739</w:t>
      </w:r>
      <w:r>
        <w:rPr/>
        <w:t>个日线样本。行业基准数据缺失明确保留。</w:t>
      </w:r>
    </w:p>
    <w:p>
      <w:pPr>
        <w:pStyle w:val="Normal"/>
        <w:rPr/>
      </w:pPr>
      <w:r>
        <w:rPr/>
        <w:t xml:space="preserve">- </w:t>
      </w:r>
      <w:r>
        <w:rPr/>
        <w:t>正式情景与评分保存在</w:t>
      </w:r>
      <w:r>
        <w:rPr/>
        <w:t>data/wuxi_bio_model.json</w:t>
      </w:r>
      <w:r>
        <w:rPr/>
        <w:t>，脚本</w:t>
      </w:r>
      <w:r>
        <w:rPr/>
        <w:t>tools/wuxi_bio_model.mjs</w:t>
      </w:r>
      <w:r>
        <w:rPr/>
        <w:t>可复算；预测为明确独立假设，不将机构转述自动补成同期限预测。总表集成后保留同版本数字。</w:t>
      </w:r>
      <w:r>
        <w:br w:type="page"/>
      </w:r>
    </w:p>
    <w:p>
      <w:pPr>
        <w:pStyle w:val="Heading1"/>
        <w:rPr/>
      </w:pPr>
      <w:bookmarkStart w:id="7" w:name="__RefHeading___Toc21204_312338234"/>
      <w:bookmarkEnd w:id="7"/>
      <w:r>
        <w:rPr>
          <w:color w:val="000000"/>
        </w:rPr>
        <w:t xml:space="preserve">阿里巴巴 </w:t>
      </w:r>
      <w:r>
        <w:rPr>
          <w:color w:val="000000"/>
        </w:rPr>
        <w:t>W 09988 HK</w:t>
      </w:r>
    </w:p>
    <w:p>
      <w:pPr>
        <w:pStyle w:val="Normal"/>
        <w:rPr/>
      </w:pPr>
      <w:r>
        <w:rPr/>
        <w:t xml:space="preserve">09988.HK </w:t>
      </w:r>
      <w:r>
        <w:rPr/>
        <w:t xml:space="preserve">现价 </w:t>
      </w:r>
      <w:r>
        <w:rPr/>
        <w:t>107.00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58.90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151.98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+42.04%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+42.04%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171.63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+61.52%</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241.56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+125.76%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+129.96%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78.90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297.40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+177.94%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+185.42%</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57.42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-46.34%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133.10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+24.39%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231.00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+115.89%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138.66HKD</w:t>
      </w:r>
      <w:r>
        <w:rPr/>
        <w:t>，期望股价回报</w:t>
      </w:r>
      <w:r>
        <w:rPr/>
        <w:t>+29.58%</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57.42</w:t>
              <w:br/>
              <w:t>-46.34%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151.98</w:t>
              <w:br/>
              <w:t>+42.04%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277.82</w:t>
              <w:br/>
              <w:t>+159.64%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53.75</w:t>
              <w:br/>
              <w:t>-49.77%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171.63</w:t>
              <w:br/>
              <w:t>+60.40%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326.11</w:t>
              <w:br/>
              <w:t>+204.78%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39.86</w:t>
              <w:br/>
              <w:t>-62.75%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241.56</w:t>
              <w:br/>
              <w:t>+125.76%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532.82</w:t>
              <w:br/>
              <w:t>+397.96%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+31.99%</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27.39</w:t>
              <w:br/>
              <w:t>-74.40%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297.40</w:t>
              <w:br/>
              <w:t>+177.94%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769.18</w:t>
              <w:br/>
              <w:t>+618.86%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+23.34%</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primaryFundamentals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高（官网年度</w:t>
            </w:r>
            <w:r>
              <w:rPr>
                <w:rFonts w:eastAsia="微软雅黑" w:ascii="微软雅黑" w:hAnsi="微软雅黑"/>
                <w:sz w:val="17"/>
              </w:rPr>
              <w:t>/</w:t>
            </w:r>
            <w:r>
              <w:rPr>
                <w:rFonts w:ascii="微软雅黑" w:hAnsi="微软雅黑" w:eastAsia="微软雅黑"/>
                <w:sz w:val="17"/>
              </w:rPr>
              <w:t>季度原始文件）</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高（锁版腾讯</w:t>
            </w:r>
            <w:r>
              <w:rPr>
                <w:rFonts w:eastAsia="微软雅黑" w:ascii="微软雅黑" w:hAnsi="微软雅黑"/>
                <w:sz w:val="17"/>
              </w:rPr>
              <w:t>/</w:t>
            </w:r>
            <w:r>
              <w:rPr>
                <w:rFonts w:ascii="微软雅黑" w:hAnsi="微软雅黑" w:eastAsia="微软雅黑"/>
                <w:sz w:val="17"/>
              </w:rPr>
              <w:t>新浪报价及</w:t>
            </w:r>
            <w:r>
              <w:rPr>
                <w:rFonts w:eastAsia="微软雅黑" w:ascii="微软雅黑" w:hAnsi="微软雅黑"/>
                <w:sz w:val="17"/>
              </w:rPr>
              <w:t>Yahoo/</w:t>
            </w:r>
            <w:r>
              <w:rPr>
                <w:rFonts w:ascii="微软雅黑" w:hAnsi="微软雅黑" w:eastAsia="微软雅黑"/>
                <w:sz w:val="17"/>
              </w:rPr>
              <w:t>腾讯复权日线）</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中低（研究分部盈利</w:t>
            </w:r>
            <w:r>
              <w:rPr>
                <w:rFonts w:eastAsia="微软雅黑" w:ascii="微软雅黑" w:hAnsi="微软雅黑"/>
                <w:sz w:val="17"/>
              </w:rPr>
              <w:t>/</w:t>
            </w:r>
            <w:r>
              <w:rPr>
                <w:rFonts w:ascii="微软雅黑" w:hAnsi="微软雅黑" w:eastAsia="微软雅黑"/>
                <w:sz w:val="17"/>
              </w:rPr>
              <w:t>税率</w:t>
            </w:r>
            <w:r>
              <w:rPr>
                <w:rFonts w:eastAsia="微软雅黑" w:ascii="微软雅黑" w:hAnsi="微软雅黑"/>
                <w:sz w:val="17"/>
              </w:rPr>
              <w:t>/</w:t>
            </w:r>
            <w:r>
              <w:rPr>
                <w:rFonts w:ascii="微软雅黑" w:hAnsi="微软雅黑" w:eastAsia="微软雅黑"/>
                <w:sz w:val="17"/>
              </w:rPr>
              <w:t>股数</w:t>
            </w:r>
            <w:r>
              <w:rPr>
                <w:rFonts w:eastAsia="微软雅黑" w:ascii="微软雅黑" w:hAnsi="微软雅黑"/>
                <w:sz w:val="17"/>
              </w:rPr>
              <w:t>/PE/FX</w:t>
            </w:r>
            <w:r>
              <w:rPr>
                <w:rFonts w:ascii="微软雅黑" w:hAnsi="微软雅黑" w:eastAsia="微软雅黑"/>
                <w:sz w:val="17"/>
              </w:rPr>
              <w:t>，非完整</w:t>
            </w:r>
            <w:r>
              <w:rPr>
                <w:rFonts w:eastAsia="微软雅黑" w:ascii="微软雅黑" w:hAnsi="微软雅黑"/>
                <w:sz w:val="17"/>
              </w:rPr>
              <w:t>DCF</w:t>
            </w:r>
            <w:r>
              <w:rPr>
                <w:rFonts w:ascii="微软雅黑" w:hAnsi="微软雅黑" w:eastAsia="微软雅黑"/>
                <w:sz w:val="17"/>
              </w:rPr>
              <w:t>）</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brokerTargets</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中（公开新闻转载，期限未知不补造）</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+34.94%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+42.04%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+49.14%</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+53.45%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+61.52%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+69.60%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+118.46%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+129.96%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+141.46%</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+171.15%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+185.42%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+199.69%</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Heading2"/>
        <w:rPr/>
      </w:pPr>
      <w:r>
        <w:rPr>
          <w:color w:val="000000"/>
        </w:rPr>
        <w:t>结论卡与四期限差异</w:t>
      </w:r>
    </w:p>
    <w:p>
      <w:pPr>
        <w:pStyle w:val="Normal"/>
        <w:rPr/>
      </w:pPr>
      <w:r>
        <w:rPr/>
        <w:t>阿里的进取型研究价值来自电商利润稳定、云业务加速与模型商业化之间的协同；当前最主要的约束是利润与现金投入恢复尚未得到同等程度验证。六月季度云与计算服务收入增长</w:t>
      </w:r>
      <w:r>
        <w:rPr/>
        <w:t>45%</w:t>
      </w:r>
      <w:r>
        <w:rPr/>
        <w:t>，分部调整</w:t>
      </w:r>
      <w:r>
        <w:rPr/>
        <w:t>EBITA</w:t>
      </w:r>
      <w:r>
        <w:rPr/>
        <w:t>增长</w:t>
      </w:r>
      <w:r>
        <w:rPr/>
        <w:t>133%</w:t>
      </w:r>
      <w:r>
        <w:rPr/>
        <w:t>，但集团</w:t>
      </w:r>
      <w:r>
        <w:rPr/>
        <w:t>non-GAAP</w:t>
      </w:r>
      <w:r>
        <w:rPr/>
        <w:t>利润下降</w:t>
      </w:r>
      <w:r>
        <w:rPr/>
        <w:t>38%</w:t>
      </w:r>
      <w:r>
        <w:rPr/>
        <w:t>，资本开支达到</w:t>
      </w:r>
      <w:r>
        <w:rPr/>
        <w:t>676.78</w:t>
      </w:r>
      <w:r>
        <w:rPr/>
        <w:t>亿元，自由现金流净流出</w:t>
      </w:r>
      <w:r>
        <w:rPr/>
        <w:t>446.70</w:t>
      </w:r>
      <w:r>
        <w:rPr/>
        <w:t>亿元。买入理由必须同时回答收入怎样变成可归属股东的盈利，以及重资本投入如何收回。</w:t>
      </w:r>
    </w:p>
    <w:p>
      <w:pPr>
        <w:pStyle w:val="Normal"/>
        <w:rPr/>
      </w:pPr>
      <w:r>
        <w:rPr/>
        <w:t>四期限得分分别为半年</w:t>
      </w:r>
      <w:r>
        <w:rPr/>
        <w:t>58.9</w:t>
      </w:r>
      <w:r>
        <w:rPr/>
        <w:t>、一年</w:t>
      </w:r>
      <w:r>
        <w:rPr/>
        <w:t>69.2</w:t>
      </w:r>
      <w:r>
        <w:rPr/>
        <w:t>、三年</w:t>
      </w:r>
      <w:r>
        <w:rPr/>
        <w:t>77.5</w:t>
      </w:r>
      <w:r>
        <w:rPr/>
        <w:t>、五年</w:t>
      </w:r>
      <w:r>
        <w:rPr/>
        <w:t>78.9</w:t>
      </w:r>
      <w:r>
        <w:rPr/>
        <w:t>分。半年属观察与等待确认，一年属有条件进取候选，三年与五年属较优成长候选。这里的梯队描述是公司自身证据强弱，最终全名单名次须由总表统一比较；相差不足三分的发行人归同梯队，不能把小数点差异理解为精确优劣。评分并非上涨概率，五年分数更高也不表示五年亏损风险更小。</w:t>
      </w:r>
    </w:p>
    <w:p>
      <w:pPr>
        <w:pStyle w:val="Normal"/>
        <w:rPr/>
      </w:pPr>
      <w:r>
        <w:rPr/>
        <w:t>年底悲观、基准、乐观目标</w:t>
      </w:r>
      <w:r>
        <w:rPr/>
        <w:t>57.42</w:t>
      </w:r>
      <w:r>
        <w:rPr/>
        <w:t>、</w:t>
      </w:r>
      <w:r>
        <w:rPr/>
        <w:t>133.10</w:t>
      </w:r>
      <w:r>
        <w:rPr/>
        <w:t>、</w:t>
      </w:r>
      <w:r>
        <w:rPr/>
        <w:t>231.00</w:t>
      </w:r>
      <w:r>
        <w:rPr/>
        <w:t>港元，分别相对</w:t>
      </w:r>
      <w:r>
        <w:rPr/>
        <w:t>107</w:t>
      </w:r>
      <w:r>
        <w:rPr/>
        <w:t>港元下降</w:t>
      </w:r>
      <w:r>
        <w:rPr/>
        <w:t>46.34%</w:t>
      </w:r>
      <w:r>
        <w:rPr/>
        <w:t>、上升</w:t>
      </w:r>
      <w:r>
        <w:rPr/>
        <w:t>24.39%</w:t>
      </w:r>
      <w:r>
        <w:rPr/>
        <w:t>、上升</w:t>
      </w:r>
      <w:r>
        <w:rPr/>
        <w:t>115.89%</w:t>
      </w:r>
      <w:r>
        <w:rPr/>
        <w:t>。半年目标</w:t>
      </w:r>
      <w:r>
        <w:rPr/>
        <w:t>57.42</w:t>
      </w:r>
      <w:r>
        <w:rPr/>
        <w:t>、</w:t>
      </w:r>
      <w:r>
        <w:rPr/>
        <w:t>151.98</w:t>
      </w:r>
      <w:r>
        <w:rPr/>
        <w:t>、</w:t>
      </w:r>
      <w:r>
        <w:rPr/>
        <w:t>277.82</w:t>
      </w:r>
      <w:r>
        <w:rPr/>
        <w:t>港元，分别下降</w:t>
      </w:r>
      <w:r>
        <w:rPr/>
        <w:t>46.34%</w:t>
      </w:r>
      <w:r>
        <w:rPr/>
        <w:t>、上升</w:t>
      </w:r>
      <w:r>
        <w:rPr/>
        <w:t>42.04%</w:t>
      </w:r>
      <w:r>
        <w:rPr/>
        <w:t>、上升</w:t>
      </w:r>
      <w:r>
        <w:rPr/>
        <w:t>159.64%</w:t>
      </w:r>
      <w:r>
        <w:rPr/>
        <w:t>；一年</w:t>
      </w:r>
      <w:r>
        <w:rPr/>
        <w:t>53.75</w:t>
      </w:r>
      <w:r>
        <w:rPr/>
        <w:t>、</w:t>
      </w:r>
      <w:r>
        <w:rPr/>
        <w:t>171.63</w:t>
      </w:r>
      <w:r>
        <w:rPr/>
        <w:t>、</w:t>
      </w:r>
      <w:r>
        <w:rPr/>
        <w:t>326.11</w:t>
      </w:r>
      <w:r>
        <w:rPr/>
        <w:t>港元，分别下降</w:t>
      </w:r>
      <w:r>
        <w:rPr/>
        <w:t>49.77%</w:t>
      </w:r>
      <w:r>
        <w:rPr/>
        <w:t>、上升</w:t>
      </w:r>
      <w:r>
        <w:rPr/>
        <w:t>60.40%</w:t>
      </w:r>
      <w:r>
        <w:rPr/>
        <w:t>、上升</w:t>
      </w:r>
      <w:r>
        <w:rPr/>
        <w:t>204.78%</w:t>
      </w:r>
      <w:r>
        <w:rPr/>
        <w:t>。三年</w:t>
      </w:r>
      <w:r>
        <w:rPr/>
        <w:t>39.86</w:t>
      </w:r>
      <w:r>
        <w:rPr/>
        <w:t>、</w:t>
      </w:r>
      <w:r>
        <w:rPr/>
        <w:t>241.56</w:t>
      </w:r>
      <w:r>
        <w:rPr/>
        <w:t>、</w:t>
      </w:r>
      <w:r>
        <w:rPr/>
        <w:t>532.82</w:t>
      </w:r>
      <w:r>
        <w:rPr/>
        <w:t>港元，分别下降</w:t>
      </w:r>
      <w:r>
        <w:rPr/>
        <w:t>62.75%</w:t>
      </w:r>
      <w:r>
        <w:rPr/>
        <w:t>、上升</w:t>
      </w:r>
      <w:r>
        <w:rPr/>
        <w:t>125.76%</w:t>
      </w:r>
      <w:r>
        <w:rPr/>
        <w:t>、上升</w:t>
      </w:r>
      <w:r>
        <w:rPr/>
        <w:t>397.96%</w:t>
      </w:r>
      <w:r>
        <w:rPr/>
        <w:t>；五年</w:t>
      </w:r>
      <w:r>
        <w:rPr/>
        <w:t>27.39</w:t>
      </w:r>
      <w:r>
        <w:rPr/>
        <w:t>、</w:t>
      </w:r>
      <w:r>
        <w:rPr/>
        <w:t>297.40</w:t>
      </w:r>
      <w:r>
        <w:rPr/>
        <w:t>、</w:t>
      </w:r>
      <w:r>
        <w:rPr/>
        <w:t>769.18</w:t>
      </w:r>
      <w:r>
        <w:rPr/>
        <w:t>港元，分别下降</w:t>
      </w:r>
      <w:r>
        <w:rPr/>
        <w:t>74.40%</w:t>
      </w:r>
      <w:r>
        <w:rPr/>
        <w:t>、上升</w:t>
      </w:r>
      <w:r>
        <w:rPr/>
        <w:t>177.94%</w:t>
      </w:r>
      <w:r>
        <w:rPr/>
        <w:t>、上升</w:t>
      </w:r>
      <w:r>
        <w:rPr/>
        <w:t>618.86%</w:t>
      </w:r>
      <w:r>
        <w:rPr/>
        <w:t>。</w:t>
      </w:r>
    </w:p>
    <w:p>
      <w:pPr>
        <w:pStyle w:val="Normal"/>
        <w:rPr/>
      </w:pPr>
      <w:r>
        <w:rPr/>
        <w:t>这些目标采用目标时点未来十二个月的经营盈利桥与估值假设，而非对截止日尚未发布利润的冒称。年底二十五、五十、二十五百分比判断权重下，期望价</w:t>
      </w:r>
      <w:r>
        <w:rPr/>
        <w:t>138.655</w:t>
      </w:r>
      <w:r>
        <w:rPr/>
        <w:t>港元、期望回报</w:t>
      </w:r>
      <w:r>
        <w:rPr/>
        <w:t>29.58%</w:t>
      </w:r>
      <w:r>
        <w:rPr/>
        <w:t>。权重只是研究选择，乐观高价会明显抬高加权结果；悲观价格与实际最低可能价格并无必然关系。投资结论成立条件为电商利润未持续侵蚀、云增长确有外部付费需求、实验室及应用亏损收窄、投入资本回报和摊薄股数处于可承受范围。</w:t>
      </w:r>
    </w:p>
    <w:p>
      <w:pPr>
        <w:pStyle w:val="Heading2"/>
        <w:rPr/>
      </w:pPr>
      <w:r>
        <w:rPr>
          <w:color w:val="000000"/>
        </w:rPr>
        <w:t>一 把阿里理解为两套商业经济的结合</w:t>
      </w:r>
    </w:p>
    <w:p>
      <w:pPr>
        <w:pStyle w:val="Normal"/>
        <w:rPr/>
      </w:pPr>
      <w:r>
        <w:rPr/>
        <w:t>阿里过去的主要经济来源是电商平台把消费者与商家连接，向商家出售营销、交易与经营服务。这类平台在流量、商品供给、搜索推荐与支付物流配套中产生价值，其边际收入可以具有较高利润贡献。现在另一套经济越来越重要：云与人工智能需要先建设计算设施、训练模型、支持推理，再通过算力、模型和应用服务回收投入。两者均与数字技术相关，但资金周转、成本结构和竞争优势形成方式不同。</w:t>
      </w:r>
    </w:p>
    <w:p>
      <w:pPr>
        <w:pStyle w:val="Normal"/>
        <w:rPr/>
      </w:pPr>
      <w:r>
        <w:rPr/>
        <w:t>电商平台的规模优势有利于发展新服务，却不意味着每一项新业务都能维持平台广告的资本回报。即时零售需要履约密度，云需要设备、电力与机房，人工智能应用需要推理与获客。把公司整体叫作人工智能龙头并直接给予高倍数，可能忽略成熟利润正在补贴新业务。反过来，把所有投入都看成永久损失，也会漏掉已有云商业化加速与电商生态带来的需求来源。研究重点是分辨哪些费用在建造新经济，哪些费用只是守住旧份额。</w:t>
      </w:r>
    </w:p>
    <w:p>
      <w:pPr>
        <w:pStyle w:val="Normal"/>
        <w:rPr/>
      </w:pPr>
      <w:r>
        <w:rPr/>
        <w:t>公司的客户和用户覆盖企业、商家与消费者，使人工智能不只依赖某一个独立聊天应用变现。商家经营自动化、企业工作流和购物助手可以共享技术，并给模型提供实际使用场景。不过共享并不等于无成本协同：模型训练、业务集成、合规审查与客服履约仍需投入，内部使用产生的分部收入也必须在集团层面抵销。估值不能将同一次消费交易分别加到云、电商和应用的外部收入里。</w:t>
      </w:r>
    </w:p>
    <w:p>
      <w:pPr>
        <w:pStyle w:val="Normal"/>
        <w:rPr/>
      </w:pPr>
      <w:r>
        <w:rPr/>
        <w:t>本研究将电商视为利润支撑，把云与计算视为有真实收入的增长曲线，把实验室和应用视为投入与潜在变现尚不平衡的业务，把其余业务与总部抵销纳入现金和利润约束。这个框架便于检验一年内恢复，也便于观察三至五年是否出现结构性盈利提升。它不会给未披露的单个模型或芯片独立市值，然后在集团每股收益估值之上再次累加。</w:t>
      </w:r>
    </w:p>
    <w:p>
      <w:pPr>
        <w:pStyle w:val="Heading2"/>
        <w:rPr/>
      </w:pPr>
      <w:r>
        <w:rPr>
          <w:color w:val="000000"/>
        </w:rPr>
        <w:t>二 财年 分部重列与历史比较</w:t>
      </w:r>
    </w:p>
    <w:p>
      <w:pPr>
        <w:pStyle w:val="Normal"/>
        <w:rPr/>
      </w:pPr>
      <w:r>
        <w:rPr/>
        <w:t>公司年报给出的</w:t>
      </w:r>
      <w:r>
        <w:rPr/>
        <w:t>2024</w:t>
      </w:r>
      <w:r>
        <w:rPr/>
        <w:t>、</w:t>
      </w:r>
      <w:r>
        <w:rPr/>
        <w:t>2025</w:t>
      </w:r>
      <w:r>
        <w:rPr/>
        <w:t>、</w:t>
      </w:r>
      <w:r>
        <w:rPr/>
        <w:t>2026</w:t>
      </w:r>
      <w:r>
        <w:rPr/>
        <w:t>财年收入分别为</w:t>
      </w:r>
      <w:r>
        <w:rPr/>
        <w:t>9411.68</w:t>
      </w:r>
      <w:r>
        <w:rPr/>
        <w:t>、</w:t>
      </w:r>
      <w:r>
        <w:rPr/>
        <w:t>9963.47</w:t>
      </w:r>
      <w:r>
        <w:rPr/>
        <w:t>、</w:t>
      </w:r>
      <w:r>
        <w:rPr/>
        <w:t>10236.70</w:t>
      </w:r>
      <w:r>
        <w:rPr/>
        <w:t>亿元，连续增长，但经营利润分别为</w:t>
      </w:r>
      <w:r>
        <w:rPr/>
        <w:t>1133.50</w:t>
      </w:r>
      <w:r>
        <w:rPr/>
        <w:t>、</w:t>
      </w:r>
      <w:r>
        <w:rPr/>
        <w:t>1409.05</w:t>
      </w:r>
      <w:r>
        <w:rPr/>
        <w:t>、</w:t>
      </w:r>
      <w:r>
        <w:rPr/>
        <w:t>501.50</w:t>
      </w:r>
      <w:r>
        <w:rPr/>
        <w:t>亿元。</w:t>
      </w:r>
      <w:r>
        <w:rPr/>
        <w:t>non-GAAP</w:t>
      </w:r>
      <w:r>
        <w:rPr/>
        <w:t>净利润从</w:t>
      </w:r>
      <w:r>
        <w:rPr/>
        <w:t>2024</w:t>
      </w:r>
      <w:r>
        <w:rPr/>
        <w:t>财年的</w:t>
      </w:r>
      <w:r>
        <w:rPr/>
        <w:t>1574.79</w:t>
      </w:r>
      <w:r>
        <w:rPr/>
        <w:t>亿元到</w:t>
      </w:r>
      <w:r>
        <w:rPr/>
        <w:t>2025</w:t>
      </w:r>
      <w:r>
        <w:rPr/>
        <w:t>财年的</w:t>
      </w:r>
      <w:r>
        <w:rPr/>
        <w:t>1581.22</w:t>
      </w:r>
      <w:r>
        <w:rPr/>
        <w:t>亿元基本持平，</w:t>
      </w:r>
      <w:r>
        <w:rPr/>
        <w:t>2026</w:t>
      </w:r>
      <w:r>
        <w:rPr/>
        <w:t>财年降至</w:t>
      </w:r>
      <w:r>
        <w:rPr/>
        <w:t>606.58</w:t>
      </w:r>
      <w:r>
        <w:rPr/>
        <w:t>亿元。收入跨越万亿元并未阻止利润显著回落，说明收入规模与股东盈利不能用同一个增长率替代。</w:t>
      </w:r>
    </w:p>
    <w:p>
      <w:pPr>
        <w:pStyle w:val="Normal"/>
        <w:rPr/>
      </w:pPr>
      <w:r>
        <w:rPr/>
        <w:t>2026</w:t>
      </w:r>
      <w:r>
        <w:rPr/>
        <w:t>财年收入增长约</w:t>
      </w:r>
      <w:r>
        <w:rPr/>
        <w:t>3%</w:t>
      </w:r>
      <w:r>
        <w:rPr/>
        <w:t>，剔除已出售高鑫零售和银泰业务后可比增长为</w:t>
      </w:r>
      <w:r>
        <w:rPr/>
        <w:t>11%</w:t>
      </w:r>
      <w:r>
        <w:rPr/>
        <w:t>。这一调整有助理解持续业务，却不是集团法定收入增长。出售大体量低毛利业务会减少总收入并改变利润率，不能同时使用原集团高收入基数和调整后高增长率外推。可比增长用于解释经营趋势，估值仍应以实际未来分部收入、费用和现金桥接。</w:t>
      </w:r>
    </w:p>
    <w:p>
      <w:pPr>
        <w:pStyle w:val="Normal"/>
        <w:rPr/>
      </w:pPr>
      <w:r>
        <w:rPr/>
        <w:t>六月季度再次改变分部，把中国和国际电商、盒马整合为电商集团，把原云与平头哥组合为</w:t>
      </w:r>
      <w:r>
        <w:rPr/>
        <w:t>AI</w:t>
      </w:r>
      <w:r>
        <w:rPr/>
        <w:t>云与计算服务，把原来放在其他业务中的模型实验室、千问消费者业务及</w:t>
      </w:r>
      <w:r>
        <w:rPr/>
        <w:t>QwenWork</w:t>
      </w:r>
      <w:r>
        <w:rPr/>
        <w:t>单列为</w:t>
      </w:r>
      <w:r>
        <w:rPr/>
        <w:t>AI</w:t>
      </w:r>
      <w:r>
        <w:rPr/>
        <w:t>实验室及应用。公司提供六月同比重列，因此六月同比可以用新口径；三月旧分部与六月新分部之间的环比不能直接把数字相减后声称有机增长。盒马被调入即时零售之后，其</w:t>
      </w:r>
      <w:r>
        <w:rPr/>
        <w:t>53,295</w:t>
      </w:r>
      <w:r>
        <w:rPr/>
        <w:t>百万元收入也不等同于旧季度仅淘宝闪购与饿了么的收入。</w:t>
      </w:r>
    </w:p>
    <w:p>
      <w:pPr>
        <w:pStyle w:val="Normal"/>
        <w:rPr/>
      </w:pPr>
      <w:r>
        <w:rPr/>
        <w:t>本研究保留自然日期与财政标签。</w:t>
      </w:r>
      <w:r>
        <w:rPr/>
        <w:t>2027</w:t>
      </w:r>
      <w:r>
        <w:rPr/>
        <w:t>财年第一季度是</w:t>
      </w:r>
      <w:r>
        <w:rPr/>
        <w:t>2026</w:t>
      </w:r>
      <w:r>
        <w:rPr/>
        <w:t>年六月季度，九月季度截至资料截止日尚未公布。年底估值参数是年底投资者可能观察到的未来一年盈利能力，半年参数对应明年四月时点的信息集。这种区分避免把投行九月季度预测写成已实现数据，也避免把季度乘四制造表面精确的全年数。</w:t>
      </w:r>
    </w:p>
    <w:p>
      <w:pPr>
        <w:pStyle w:val="Heading2"/>
        <w:rPr/>
      </w:pPr>
      <w:r>
        <w:rPr>
          <w:color w:val="000000"/>
        </w:rPr>
        <w:t>三 集团利润目前受到什么影响</w:t>
      </w:r>
    </w:p>
    <w:p>
      <w:pPr>
        <w:pStyle w:val="Normal"/>
        <w:rPr/>
      </w:pPr>
      <w:r>
        <w:rPr/>
        <w:t>六月季度集团收入</w:t>
      </w:r>
      <w:r>
        <w:rPr/>
        <w:t>2689.53</w:t>
      </w:r>
      <w:r>
        <w:rPr/>
        <w:t>亿元、经营利润</w:t>
      </w:r>
      <w:r>
        <w:rPr/>
        <w:t>151.61</w:t>
      </w:r>
      <w:r>
        <w:rPr/>
        <w:t>亿元、调整</w:t>
      </w:r>
      <w:r>
        <w:rPr/>
        <w:t>EBITA273.29</w:t>
      </w:r>
      <w:r>
        <w:rPr/>
        <w:t>亿元、</w:t>
      </w:r>
      <w:r>
        <w:rPr/>
        <w:t>non-GAAP</w:t>
      </w:r>
      <w:r>
        <w:rPr/>
        <w:t>净利润</w:t>
      </w:r>
      <w:r>
        <w:rPr/>
        <w:t>207.15</w:t>
      </w:r>
      <w:r>
        <w:rPr/>
        <w:t>亿元。收入同比增加</w:t>
      </w:r>
      <w:r>
        <w:rPr/>
        <w:t>9%</w:t>
      </w:r>
      <w:r>
        <w:rPr/>
        <w:t>，调整</w:t>
      </w:r>
      <w:r>
        <w:rPr/>
        <w:t>EBITA</w:t>
      </w:r>
      <w:r>
        <w:rPr/>
        <w:t>却下降</w:t>
      </w:r>
      <w:r>
        <w:rPr/>
        <w:t>30%</w:t>
      </w:r>
      <w:r>
        <w:rPr/>
        <w:t>，经营利润下降</w:t>
      </w:r>
      <w:r>
        <w:rPr/>
        <w:t>57%</w:t>
      </w:r>
      <w:r>
        <w:rPr/>
        <w:t>。经营利润到调整</w:t>
      </w:r>
      <w:r>
        <w:rPr/>
        <w:t>EBITA</w:t>
      </w:r>
      <w:r>
        <w:rPr/>
        <w:t>之间的差异包括非现金股份报酬、无形资产摊销、商誉减值和部分其他事项，因此调整利润便于观察部分持续经营，却不是无风险现金利润。</w:t>
      </w:r>
    </w:p>
    <w:p>
      <w:pPr>
        <w:pStyle w:val="Normal"/>
        <w:rPr/>
      </w:pPr>
      <w:r>
        <w:rPr/>
        <w:t>分部贡献揭示了压力位置。电商集团调整</w:t>
      </w:r>
      <w:r>
        <w:rPr/>
        <w:t>EBITA397.49</w:t>
      </w:r>
      <w:r>
        <w:rPr/>
        <w:t>亿元，同比微降</w:t>
      </w:r>
      <w:r>
        <w:rPr/>
        <w:t>1%</w:t>
      </w:r>
      <w:r>
        <w:rPr/>
        <w:t>；</w:t>
      </w:r>
      <w:r>
        <w:rPr/>
        <w:t>AI</w:t>
      </w:r>
      <w:r>
        <w:rPr/>
        <w:t>云与计算</w:t>
      </w:r>
      <w:r>
        <w:rPr/>
        <w:t>56.28</w:t>
      </w:r>
      <w:r>
        <w:rPr/>
        <w:t>亿元，同比增长</w:t>
      </w:r>
      <w:r>
        <w:rPr/>
        <w:t>133%</w:t>
      </w:r>
      <w:r>
        <w:rPr/>
        <w:t>；</w:t>
      </w:r>
      <w:r>
        <w:rPr/>
        <w:t>AI</w:t>
      </w:r>
      <w:r>
        <w:rPr/>
        <w:t>实验室及应用亏损</w:t>
      </w:r>
      <w:r>
        <w:rPr/>
        <w:t>138.61</w:t>
      </w:r>
      <w:r>
        <w:rPr/>
        <w:t>亿元，比重列同期亏损</w:t>
      </w:r>
      <w:r>
        <w:rPr/>
        <w:t>32.24</w:t>
      </w:r>
      <w:r>
        <w:rPr/>
        <w:t>亿元明显扩大；其他业务亏损</w:t>
      </w:r>
      <w:r>
        <w:rPr/>
        <w:t>33.43</w:t>
      </w:r>
      <w:r>
        <w:rPr/>
        <w:t>亿元，去年为盈利</w:t>
      </w:r>
      <w:r>
        <w:rPr/>
        <w:t>6.87</w:t>
      </w:r>
      <w:r>
        <w:rPr/>
        <w:t>亿元。总部未分配及抵销合计还有负贡献。电商和云没有全面恶化，集团利润下降的重要原因是新技术投入扩张，这也意味着未来是否恢复取决于投入效率，而非只等总收入增长。</w:t>
      </w:r>
    </w:p>
    <w:p>
      <w:pPr>
        <w:pStyle w:val="Normal"/>
        <w:rPr/>
      </w:pPr>
      <w:r>
        <w:rPr/>
        <w:t>集团</w:t>
      </w:r>
      <w:r>
        <w:rPr/>
        <w:t>non-GAAP</w:t>
      </w:r>
      <w:r>
        <w:rPr/>
        <w:t>净利润</w:t>
      </w:r>
      <w:r>
        <w:rPr/>
        <w:t>207.15</w:t>
      </w:r>
      <w:r>
        <w:rPr/>
        <w:t>亿元与用于计算普通股摊薄</w:t>
      </w:r>
      <w:r>
        <w:rPr/>
        <w:t>non-GAAP</w:t>
      </w:r>
      <w:r>
        <w:rPr/>
        <w:t>每股收益的</w:t>
      </w:r>
      <w:r>
        <w:rPr/>
        <w:t>205.83</w:t>
      </w:r>
      <w:r>
        <w:rPr/>
        <w:t>亿元并非完全相同，后者考虑非控股、摊薄和相关调整。投资研究不能把集团净利润直接除一个随手选的流通股数，就声称复算官方每股收益。本文使用官方每股收益作为历史锚，未来以明确的股数和归属贡献假设计算。</w:t>
      </w:r>
    </w:p>
    <w:p>
      <w:pPr>
        <w:pStyle w:val="Normal"/>
        <w:rPr/>
      </w:pPr>
      <w:r>
        <w:rPr/>
        <w:t>三月季度</w:t>
      </w:r>
      <w:r>
        <w:rPr/>
        <w:t>non-GAAP</w:t>
      </w:r>
      <w:r>
        <w:rPr/>
        <w:t>净利润仅</w:t>
      </w:r>
      <w:r>
        <w:rPr/>
        <w:t>0.86</w:t>
      </w:r>
      <w:r>
        <w:rPr/>
        <w:t>亿元，而法定净利润</w:t>
      </w:r>
      <w:r>
        <w:rPr/>
        <w:t>235.02</w:t>
      </w:r>
      <w:r>
        <w:rPr/>
        <w:t>亿元，主要是投资估值与处置等项目使法定利润较高。六月法定与调整利润的方向又不同。这个历史说明只盯法定市盈率或行情供应商倍数会改变对便宜程度的判断。持续经营、投资损益、税、非控股及股数必须同时核对。</w:t>
      </w:r>
    </w:p>
    <w:p>
      <w:pPr>
        <w:pStyle w:val="Heading2"/>
        <w:rPr/>
      </w:pPr>
      <w:r>
        <w:rPr>
          <w:color w:val="000000"/>
        </w:rPr>
        <w:t>四 客户管理收入与补贴列报</w:t>
      </w:r>
    </w:p>
    <w:p>
      <w:pPr>
        <w:pStyle w:val="Normal"/>
        <w:rPr/>
      </w:pPr>
      <w:r>
        <w:rPr/>
        <w:t>六月客户管理收入</w:t>
      </w:r>
      <w:r>
        <w:rPr/>
        <w:t>825.47</w:t>
      </w:r>
      <w:r>
        <w:rPr/>
        <w:t>亿元，同比下降</w:t>
      </w:r>
      <w:r>
        <w:rPr/>
        <w:t>7%</w:t>
      </w:r>
      <w:r>
        <w:rPr/>
        <w:t>；公司称剔除新业务发展计划对收入的抵减，可比增长为</w:t>
      </w:r>
      <w:r>
        <w:rPr/>
        <w:t>1%</w:t>
      </w:r>
      <w:r>
        <w:rPr/>
        <w:t>。三月同比净额增长</w:t>
      </w:r>
      <w:r>
        <w:rPr/>
        <w:t>1%</w:t>
      </w:r>
      <w:r>
        <w:rPr/>
        <w:t>、可比增长</w:t>
      </w:r>
      <w:r>
        <w:rPr/>
        <w:t>8%</w:t>
      </w:r>
      <w:r>
        <w:rPr/>
        <w:t>。从可比</w:t>
      </w:r>
      <w:r>
        <w:rPr/>
        <w:t>8%</w:t>
      </w:r>
      <w:r>
        <w:rPr/>
        <w:t>放慢至</w:t>
      </w:r>
      <w:r>
        <w:rPr/>
        <w:t>1%</w:t>
      </w:r>
      <w:r>
        <w:rPr/>
        <w:t>提示国内交易需求与营销商业化面临压力，即使净额变化部分来自会计列报，也不能把净下降全部解释为无关经营的会计问题。六月披露也明确交易活动转弱。</w:t>
      </w:r>
    </w:p>
    <w:p>
      <w:pPr>
        <w:pStyle w:val="Normal"/>
        <w:rPr/>
      </w:pPr>
      <w:r>
        <w:rPr/>
        <w:t>新计划把面向部分商家的补贴与营销支出挂钩，公司在会计上将原销售营销费用的一部分改记客户管理收入抵减。因此客户管理收入净额减少的同时，销售营销费用可能减少，两者若经济成本相近，利润变化不会与净收入同比幅度一致。研究应追踪商家净支付、补贴强度、交易活跃和电商调整利润，而不是只从某一行收入下降推断平台竞争力崩溃。</w:t>
      </w:r>
    </w:p>
    <w:p>
      <w:pPr>
        <w:pStyle w:val="Normal"/>
        <w:rPr/>
      </w:pPr>
      <w:r>
        <w:rPr/>
        <w:t>补贴带来的用户与商家留存也需要检验。若商家在减补后继续购买营销服务，平台可能以短期让利改善供给，未来收益有恢复空间；若商家流量依赖补贴，停止补贴便流失，补贴就是维持份额的经常成本。两种状态对合理估值倍数不同。公开披露未给出完整商家分层留存和广告回报数据，本研究不填造这些细节。</w:t>
      </w:r>
    </w:p>
    <w:p>
      <w:pPr>
        <w:pStyle w:val="Normal"/>
        <w:rPr/>
      </w:pPr>
      <w:r>
        <w:rPr/>
        <w:t>平台广告和交易服务的长期价值来自商家愿意为增量生意支付，而非平台能够单方面提高收费。人工智能工具可能降低制作和运营成本，提高投放效率；它也可能让商家同时经营更多平台，降低平台黏性。因此技术进步对电商利润不是单向利好。后续必须看商家收入、净支付和平台盈利的相互关系，若广告效率提高却收费能力下降，增长预期需要调整。</w:t>
      </w:r>
    </w:p>
    <w:p>
      <w:pPr>
        <w:pStyle w:val="Heading2"/>
        <w:rPr/>
      </w:pPr>
      <w:r>
        <w:rPr>
          <w:color w:val="000000"/>
        </w:rPr>
        <w:t>五 电商竞争 会员与商品供给</w:t>
      </w:r>
    </w:p>
    <w:p>
      <w:pPr>
        <w:pStyle w:val="Normal"/>
        <w:rPr/>
      </w:pPr>
      <w:r>
        <w:rPr/>
        <w:t>六月</w:t>
      </w:r>
      <w:r>
        <w:rPr/>
        <w:t>88VIP</w:t>
      </w:r>
      <w:r>
        <w:rPr/>
        <w:t>会员约</w:t>
      </w:r>
      <w:r>
        <w:rPr/>
        <w:t>6400</w:t>
      </w:r>
      <w:r>
        <w:rPr/>
        <w:t>万，继续双位数增长，较三月披露超过</w:t>
      </w:r>
      <w:r>
        <w:rPr/>
        <w:t>6200</w:t>
      </w:r>
      <w:r>
        <w:rPr/>
        <w:t>万继续增加。会员机制有助维持高消费群体、提高交易频率和跨服务使用，但会员数量并不是会员利润。服务权益、折扣、物流及内容成本会消耗收入，会员平均消费和续费率未完整公开，不能据此直接计算每名会员的终身价值。</w:t>
      </w:r>
    </w:p>
    <w:p>
      <w:pPr>
        <w:pStyle w:val="Normal"/>
        <w:rPr/>
      </w:pPr>
      <w:r>
        <w:rPr/>
        <w:t>淘宝天猫面对价格竞争、内容推荐和即时需求分流。商品丰富、品牌关系、商家经营工具与售后体验构成平台优势，然而消费者也会根据某件商品的价格和交付时间选择渠道。平台竞争并非简单的全国份额争夺，品牌服饰、白牌日用品、耐用品与生鲜的渠道经济各不相同。阿里需要守住能贡献利润的供给与消费场景，不能只用订单数量证明优势。</w:t>
      </w:r>
    </w:p>
    <w:p>
      <w:pPr>
        <w:pStyle w:val="Normal"/>
        <w:rPr/>
      </w:pPr>
      <w:r>
        <w:rPr/>
        <w:t>管理层谈到支持原创设计商家、品牌与产业带供给，目的是改善商品品质、差异化与用户体验。这可以降低纯价格竞争，但也需要平台承担治理、售后和商家支持成本。若平台提高体验同时经营利润稳定，说明价值创造和费用取得平衡；如果交易质量改善却利润持续下行，股东需要更长时间等待兑现。</w:t>
      </w:r>
    </w:p>
    <w:p>
      <w:pPr>
        <w:pStyle w:val="Normal"/>
        <w:rPr/>
      </w:pPr>
      <w:r>
        <w:rPr/>
        <w:t>一年模型电商调整</w:t>
      </w:r>
      <w:r>
        <w:rPr/>
        <w:t>EBITA</w:t>
      </w:r>
      <w:r>
        <w:rPr/>
        <w:t>基准</w:t>
      </w:r>
      <w:r>
        <w:rPr/>
        <w:t>1820</w:t>
      </w:r>
      <w:r>
        <w:rPr/>
        <w:t>亿元，并非来自假设所有国内交易高速增长，而是假设传统电商利润守住、即时零售亏损改善、国际电商效率继续提升。这个恢复需要多项因素同向。若传统利润被新增投入抵销，或竞争迫使补贴升级，仅依据会员增长和交易场景扩大不能支撑本研究的一年目标。</w:t>
      </w:r>
    </w:p>
    <w:p>
      <w:pPr>
        <w:pStyle w:val="Heading2"/>
        <w:rPr/>
      </w:pPr>
      <w:r>
        <w:rPr>
          <w:color w:val="000000"/>
        </w:rPr>
        <w:t>六 即时零售增长与真实经济性</w:t>
      </w:r>
    </w:p>
    <w:p>
      <w:pPr>
        <w:pStyle w:val="Normal"/>
        <w:rPr/>
      </w:pPr>
      <w:r>
        <w:rPr/>
        <w:t>六月中国即时零售收入</w:t>
      </w:r>
      <w:r>
        <w:rPr/>
        <w:t>532.95</w:t>
      </w:r>
      <w:r>
        <w:rPr/>
        <w:t>亿元，同比增加</w:t>
      </w:r>
      <w:r>
        <w:rPr/>
        <w:t>45%</w:t>
      </w:r>
      <w:r>
        <w:rPr/>
        <w:t>，口径含淘宝即时零售、盒马和天猫超市按需配送。该收入混合了平台服务、履约和自营零售等业务，不能把全部收入乘成熟电商广告利润率。自营商品按总额记录会带来大收入和存货成本；配送收入伴随骑手与物流成本；订单补贴还可能作为收入抵减，需按业务实质区分。</w:t>
      </w:r>
    </w:p>
    <w:p>
      <w:pPr>
        <w:pStyle w:val="Normal"/>
        <w:rPr/>
      </w:pPr>
      <w:r>
        <w:rPr/>
        <w:t>管理层披露单位经济性环比改善，并在维持份额的同时提高客单价、增加高价值餐饮与非餐类别、提升履约效率。合理解释是更有价值的订单和更密集路线有利于覆盖履约成本。但公开季度结果未给出每单亏损、完整订单总量、地区配送密度或补贴撤出后的留存，因此本研究不声称即时零售已全面盈利，也不从平台排名推出盈利拐点。</w:t>
      </w:r>
    </w:p>
    <w:p>
      <w:pPr>
        <w:pStyle w:val="Normal"/>
        <w:rPr/>
      </w:pPr>
      <w:r>
        <w:rPr/>
        <w:t>即时零售可以把更多用户带回淘宝，提高使用频率，从而增加传统平台的客户管理收入。协同成立的检验是新增用户是否在其他品类持续交易、是否愿意在补贴减少后留下，以及跨场景利润是否超过新增配送、营销和平台成本。内部跨业务归因容易把原有用户的消费迁移称为新增，研究必须看集团总体利润和现金改善。</w:t>
      </w:r>
    </w:p>
    <w:p>
      <w:pPr>
        <w:pStyle w:val="Normal"/>
        <w:rPr/>
      </w:pPr>
      <w:r>
        <w:rPr/>
        <w:t>即时零售的风险包括竞争补贴持续、骑手保障成本上升、订单距离与品类复杂度增加，以及非食品拓展带来的履约和库存问题。长期若形成密度与优质供给，可以改善城市商业流通效率；短期扩张也会增加费用，特别是在低密度区域。三至五年应重视稳定单位经济性，一年则要观察亏损收窄能否在市场份额稳定下成立。</w:t>
      </w:r>
    </w:p>
    <w:p>
      <w:pPr>
        <w:pStyle w:val="Heading2"/>
        <w:rPr/>
      </w:pPr>
      <w:r>
        <w:rPr>
          <w:color w:val="000000"/>
        </w:rPr>
        <w:t>七 盒马与非食品场景的取舍</w:t>
      </w:r>
    </w:p>
    <w:p>
      <w:pPr>
        <w:pStyle w:val="Normal"/>
        <w:rPr/>
      </w:pPr>
      <w:r>
        <w:rPr/>
        <w:t>盒马六月保持订单和收入增长，公司称新城市与县域扩店以及与淘宝即时零售合作带来推动。盒马可提供生鲜和差异化商品，增强即时零售供给，也同时引入门店、损耗、库存周转和冷链成本。其价值应按零售资本回报与网络协同评估，不能仅按互联网用户数评估。</w:t>
      </w:r>
    </w:p>
    <w:p>
      <w:pPr>
        <w:pStyle w:val="Normal"/>
        <w:rPr/>
      </w:pPr>
      <w:r>
        <w:rPr/>
        <w:t>生鲜具有高频购买特征，适合提高用户使用习惯，但质量、损耗和配送时效要求更高。拓展城市使收入增加，如果店效不足，存货与租赁负担会消耗现金。供应链优势需要体现在损耗率、采购条件、周转和门店成熟曲线，当前未公开所有指标，所以模型在电商整体</w:t>
      </w:r>
      <w:r>
        <w:rPr/>
        <w:t>EBITA</w:t>
      </w:r>
      <w:r>
        <w:rPr/>
        <w:t>中保留较宽范围，而不虚构单独盒马估值。</w:t>
      </w:r>
    </w:p>
    <w:p>
      <w:pPr>
        <w:pStyle w:val="Normal"/>
        <w:rPr/>
      </w:pPr>
      <w:r>
        <w:rPr/>
        <w:t>非食品即时零售能够提高客单和减少餐饮低价订单占比，也可能延伸到更广商品。便利性使部分消费者愿意支付溢价，然而商品选择、售后、商家库存同步和配送价值需要匹配。对耐用品，高频网络的配送优势不一定转化为更高利润，对小件日用品，客单太低又难覆盖配送。阿里选择订单结构的能力，是单位经济性改善是否持续的一项关键。</w:t>
      </w:r>
    </w:p>
    <w:p>
      <w:pPr>
        <w:pStyle w:val="Normal"/>
        <w:rPr/>
      </w:pPr>
      <w:r>
        <w:rPr/>
        <w:t>未来若即时业务依靠低价补贴维持高频，而盒马扩张需要持续现金投入，电商平台利润就会成为融资来源。一旦成熟平台增长放慢，两条投入线容易相互挤压。研究应追踪集团电商</w:t>
      </w:r>
      <w:r>
        <w:rPr/>
        <w:t>EBITA</w:t>
      </w:r>
      <w:r>
        <w:rPr/>
        <w:t>与资本性投入，而不是单独把每一个增长业务都赋予独立高倍数，再忽略共同资金约束。</w:t>
      </w:r>
    </w:p>
    <w:p>
      <w:pPr>
        <w:pStyle w:val="Heading2"/>
        <w:rPr/>
      </w:pPr>
      <w:r>
        <w:rPr>
          <w:color w:val="000000"/>
        </w:rPr>
        <w:t>八 国际电商与全球批发</w:t>
      </w:r>
    </w:p>
    <w:p>
      <w:pPr>
        <w:pStyle w:val="Normal"/>
        <w:rPr/>
      </w:pPr>
      <w:r>
        <w:rPr/>
        <w:t>六月国际电商收入</w:t>
      </w:r>
      <w:r>
        <w:rPr/>
        <w:t>277.61</w:t>
      </w:r>
      <w:r>
        <w:rPr/>
        <w:t>亿元，同比下降</w:t>
      </w:r>
      <w:r>
        <w:rPr/>
        <w:t>1%</w:t>
      </w:r>
      <w:r>
        <w:rPr/>
        <w:t>，公司披露</w:t>
      </w:r>
      <w:r>
        <w:rPr/>
        <w:t>AliExpress</w:t>
      </w:r>
      <w:r>
        <w:rPr/>
        <w:t>在当季实现经营盈利，归因物流优化与成本效率。收入略降与经营盈利并不矛盾，业务可以减少低质量交易、优化营销和履约，获得更健康利润。但这不是所有国际电商永久盈亏平衡的证明，海外政策、物流与地区竞争仍会影响后续。</w:t>
      </w:r>
    </w:p>
    <w:p>
      <w:pPr>
        <w:pStyle w:val="Normal"/>
        <w:rPr/>
      </w:pPr>
      <w:r>
        <w:rPr/>
        <w:t>AliExpress</w:t>
      </w:r>
      <w:r>
        <w:rPr/>
        <w:t>提高本地供给比例有助缩短交付时间、适应地区需求，也减少对单一跨境流程的依赖。代价可能是本地仓储、商家管理和不同监管体系的复杂性。若本地化改善消费者体验却削弱原有低成本优势，利润率未必继续增加。因此国际电商模型不能只用全球市场大，必须检验效率改善后的可持续成交和成本。</w:t>
      </w:r>
    </w:p>
    <w:p>
      <w:pPr>
        <w:pStyle w:val="Normal"/>
        <w:rPr/>
      </w:pPr>
      <w:r>
        <w:rPr/>
        <w:t>全球批发六月收入</w:t>
      </w:r>
      <w:r>
        <w:rPr/>
        <w:t>139.06</w:t>
      </w:r>
      <w:r>
        <w:rPr/>
        <w:t>亿元，同比增加</w:t>
      </w:r>
      <w:r>
        <w:rPr/>
        <w:t>7%</w:t>
      </w:r>
      <w:r>
        <w:rPr/>
        <w:t>，与跨境增值服务增长有关。企业采购的人工智能工具能够帮助找供应商、理解规格和组织工作流，但采购决策涉及信用、质量、付款与交付责任，模型建议不能替代履约保证。阿里的供给网络和交易经验是优势，工具变现还需企业愿意为节省时间与风险支付。</w:t>
      </w:r>
    </w:p>
    <w:p>
      <w:pPr>
        <w:pStyle w:val="Normal"/>
        <w:rPr/>
      </w:pPr>
      <w:r>
        <w:rPr/>
        <w:t>国际增长可能受到关税、小额包裹规则、产品合规、消费者保护和汇率影响。即使平台不直接承担所有关税，交易量、商品价格和商家利润仍会变化。长期通过多地区供给与服务能力分散政策风险有价值；短期若规则改变导致履约费用增加，本研究的电商利润恢复需下调，不应把海外业务都视为国内竞争的无成本替代。</w:t>
      </w:r>
    </w:p>
    <w:p>
      <w:pPr>
        <w:pStyle w:val="Heading2"/>
        <w:rPr/>
      </w:pPr>
      <w:r>
        <w:rPr>
          <w:color w:val="000000"/>
        </w:rPr>
        <w:t>九 云业务加速的可验证部分</w:t>
      </w:r>
    </w:p>
    <w:p>
      <w:pPr>
        <w:pStyle w:val="Normal"/>
        <w:rPr/>
      </w:pPr>
      <w:r>
        <w:rPr/>
        <w:t>六月</w:t>
      </w:r>
      <w:r>
        <w:rPr/>
        <w:t>AI</w:t>
      </w:r>
      <w:r>
        <w:rPr/>
        <w:t>云与计算服务收入</w:t>
      </w:r>
      <w:r>
        <w:rPr/>
        <w:t>484.37</w:t>
      </w:r>
      <w:r>
        <w:rPr/>
        <w:t>亿元，同比增长</w:t>
      </w:r>
      <w:r>
        <w:rPr/>
        <w:t>45%</w:t>
      </w:r>
      <w:r>
        <w:rPr/>
        <w:t>，外部客户收入增速也为</w:t>
      </w:r>
      <w:r>
        <w:rPr/>
        <w:t>45%</w:t>
      </w:r>
      <w:r>
        <w:rPr/>
        <w:t>；调整</w:t>
      </w:r>
      <w:r>
        <w:rPr/>
        <w:t>EBITA56.28</w:t>
      </w:r>
      <w:r>
        <w:rPr/>
        <w:t>亿元，利润率约</w:t>
      </w:r>
      <w:r>
        <w:rPr/>
        <w:t>11.62%</w:t>
      </w:r>
      <w:r>
        <w:rPr/>
        <w:t>。年度旧口径云收入</w:t>
      </w:r>
      <w:r>
        <w:rPr/>
        <w:t>1581.32</w:t>
      </w:r>
      <w:r>
        <w:rPr/>
        <w:t>亿元，同比增长</w:t>
      </w:r>
      <w:r>
        <w:rPr/>
        <w:t>34%</w:t>
      </w:r>
      <w:r>
        <w:rPr/>
        <w:t>，调整</w:t>
      </w:r>
      <w:r>
        <w:rPr/>
        <w:t>EBITA142.65</w:t>
      </w:r>
      <w:r>
        <w:rPr/>
        <w:t>亿元，增长</w:t>
      </w:r>
      <w:r>
        <w:rPr/>
        <w:t>35%</w:t>
      </w:r>
      <w:r>
        <w:rPr/>
        <w:t>。六月新口径与全年旧口径不同，不能直接比较每个细分项目，但外部收入持续加速和分部利润改善是公司已公开的事实。</w:t>
      </w:r>
    </w:p>
    <w:p>
      <w:pPr>
        <w:pStyle w:val="Normal"/>
        <w:rPr/>
      </w:pPr>
      <w:r>
        <w:rPr/>
        <w:t>人工智能相关产品季度收入</w:t>
      </w:r>
      <w:r>
        <w:rPr/>
        <w:t>123.76</w:t>
      </w:r>
      <w:r>
        <w:rPr/>
        <w:t>亿元，连续十二季度三位数同比增长。业绩会上公司披露占云外部收入约</w:t>
      </w:r>
      <w:r>
        <w:rPr/>
        <w:t>35%</w:t>
      </w:r>
      <w:r>
        <w:rPr/>
        <w:t>，这是人工智能相关收入在外部云业务中的占比，不是集团收入</w:t>
      </w:r>
      <w:r>
        <w:rPr/>
        <w:t>35%</w:t>
      </w:r>
      <w:r>
        <w:rPr/>
        <w:t>，也不是所有收入都来自模型接口收费。计算、模型服务和应用可能共同贡献，研究不得将季度收入再次与不同层次收入相加。</w:t>
      </w:r>
    </w:p>
    <w:p>
      <w:pPr>
        <w:pStyle w:val="Normal"/>
        <w:rPr/>
      </w:pPr>
      <w:r>
        <w:rPr/>
        <w:t>业绩会提到该季度相关产品收入年化运行规模约</w:t>
      </w:r>
      <w:r>
        <w:rPr/>
        <w:t>495</w:t>
      </w:r>
      <w:r>
        <w:rPr/>
        <w:t>亿元，这只是季度乘四的运行口径，不是已经实现的全年收入。八月</w:t>
      </w:r>
      <w:r>
        <w:rPr/>
        <w:t>MaaS</w:t>
      </w:r>
      <w:r>
        <w:rPr/>
        <w:t>年化经常性收入超过</w:t>
      </w:r>
      <w:r>
        <w:rPr/>
        <w:t>160</w:t>
      </w:r>
      <w:r>
        <w:rPr/>
        <w:t>亿元以及下一季度相关产品年化规模预期同属当时披露的运行指标或管理层预测，需与确认收入区分。高运行增长提供观察线索，尚不能替代后续回款、毛利和现金流证明。</w:t>
      </w:r>
    </w:p>
    <w:p>
      <w:pPr>
        <w:pStyle w:val="Normal"/>
        <w:rPr/>
      </w:pPr>
      <w:r>
        <w:rPr/>
        <w:t>外部付费增长比内部云资源消耗更能证明需求，但外部客户也有不同盈利质量。大客户订单可能有价格议价、集中度和交付投入，小客户规模分散却获客与服务成本更高。公司称退出部分低毛利网络业务，利于业务质量；需要继续看收入是否来自有续费和毛利的产品，以及客户增长是否伴随应收和预付安排改善。</w:t>
      </w:r>
    </w:p>
    <w:p>
      <w:pPr>
        <w:pStyle w:val="Heading2"/>
        <w:rPr/>
      </w:pPr>
      <w:r>
        <w:rPr>
          <w:color w:val="000000"/>
        </w:rPr>
        <w:t>十 云的竞争优势与竞争边界</w:t>
      </w:r>
    </w:p>
    <w:p>
      <w:pPr>
        <w:pStyle w:val="Normal"/>
        <w:rPr/>
      </w:pPr>
      <w:r>
        <w:rPr/>
        <w:t>阿里云的基础设施、模型、开发工具和企业客户体系能够相互增强。客户使用云算力训练与部署模型、使用模型接口搭建工作流，再采购存储和网络，可能减少多供应商集成成本。公司自身电商场景也提供规模与技术验证，不过外部企业对云可靠性、数据治理、价格和业务中立性有不同要求，生态广并不自动获得全部订单。</w:t>
      </w:r>
    </w:p>
    <w:p>
      <w:pPr>
        <w:pStyle w:val="Normal"/>
        <w:rPr/>
      </w:pPr>
      <w:r>
        <w:rPr/>
        <w:t>公司引用行业机构的中国人工智能云市场份额</w:t>
      </w:r>
      <w:r>
        <w:rPr/>
        <w:t>38.1%</w:t>
      </w:r>
      <w:r>
        <w:rPr/>
        <w:t>支持领先地位。这是外部市场研究在公司披露中的引用，本文不据此宣称未来份额固定。人工智能云市场定义会随计算、软件和模型服务变化，传统云份额与新市场份额也不是同一口径。估值更依赖实际外部收入和资本回报，而非一个市场份额小数点。</w:t>
      </w:r>
    </w:p>
    <w:p>
      <w:pPr>
        <w:pStyle w:val="Normal"/>
        <w:rPr/>
      </w:pPr>
      <w:r>
        <w:rPr/>
        <w:t>云竞争包含其他大型平台、独立模型厂商、企业自建系统及硬件提供方。供应紧张期，计算资源可以有较强定价；供应扩张、芯片效率提升或客户更精细使用后，单位价格可能下降。价格下降同时也可能促进调用量增长，最终利润要看单位成本、利用率与产品组合能否改善得更快。仅用收入增长证明长期价格权力过强。</w:t>
      </w:r>
    </w:p>
    <w:p>
      <w:pPr>
        <w:pStyle w:val="Normal"/>
        <w:rPr/>
      </w:pPr>
      <w:r>
        <w:rPr/>
        <w:t>企业上云与人工智能投入还受预算回报约束。试验期可以以创新预算支持，规模化阶段须证明工作效率、销售或研发收益，部分试用可能不会转成稳定合同。阿里强在已有客户与基础设施，风险在投入建设的速度若超过客户经济性兑现，折旧和电力成本会先进入利润。三年基准模型因此要求云利润持续上升，并非只要求更多算力。</w:t>
      </w:r>
    </w:p>
    <w:p>
      <w:pPr>
        <w:pStyle w:val="Heading2"/>
        <w:rPr/>
      </w:pPr>
      <w:r>
        <w:rPr>
          <w:color w:val="000000"/>
        </w:rPr>
        <w:t>十一 模型 应用与亏损的性质</w:t>
      </w:r>
    </w:p>
    <w:p>
      <w:pPr>
        <w:pStyle w:val="Normal"/>
        <w:rPr/>
      </w:pPr>
      <w:r>
        <w:rPr/>
        <w:t>六月</w:t>
      </w:r>
      <w:r>
        <w:rPr/>
        <w:t>AI</w:t>
      </w:r>
      <w:r>
        <w:rPr/>
        <w:t>实验室及应用收入</w:t>
      </w:r>
      <w:r>
        <w:rPr/>
        <w:t>33.38</w:t>
      </w:r>
      <w:r>
        <w:rPr/>
        <w:t>亿元，同比增加</w:t>
      </w:r>
      <w:r>
        <w:rPr/>
        <w:t>16%</w:t>
      </w:r>
      <w:r>
        <w:rPr/>
        <w:t>，调整</w:t>
      </w:r>
      <w:r>
        <w:rPr/>
        <w:t>EBITA</w:t>
      </w:r>
      <w:r>
        <w:rPr/>
        <w:t>亏损</w:t>
      </w:r>
      <w:r>
        <w:rPr/>
        <w:t>138.61</w:t>
      </w:r>
      <w:r>
        <w:rPr/>
        <w:t>亿元，亏损规模超过该分部收入四倍。公司解释为提升人工智能能力投入及千问应用推理成本增加。这个分部被单列后，使投资者更容易看到模型层与应用层的成本，不应将其全部埋在集团总收入增长里。</w:t>
      </w:r>
    </w:p>
    <w:p>
      <w:pPr>
        <w:pStyle w:val="Normal"/>
        <w:rPr/>
      </w:pPr>
      <w:r>
        <w:rPr/>
        <w:t>公司模型组合涉及语言、代码、视频、音频、图片和音乐，八月推出</w:t>
      </w:r>
      <w:r>
        <w:rPr/>
        <w:t>Qwen3.8-Max</w:t>
      </w:r>
      <w:r>
        <w:rPr/>
        <w:t>并开放权重。公司称模型能力领先，本文将此归为管理层产品表述，而不是独立研究证明所有场景全球第一。模型能力可以提高使用需求，但开源与降价也会让能力优势更快传播，持续训练需要费用。经营优势最终应体现在客户留存、付费、推理毛利或其他业务收益。</w:t>
      </w:r>
    </w:p>
    <w:p>
      <w:pPr>
        <w:pStyle w:val="Normal"/>
        <w:rPr/>
      </w:pPr>
      <w:r>
        <w:rPr/>
        <w:t>QwenWork</w:t>
      </w:r>
      <w:r>
        <w:rPr/>
        <w:t>与云和钉钉企业工作流结合，可能让模型服务变成可计价的生产力工具。消费者千问与淘宝、即时零售和集团服务整合，公司披露已有大量首次人工智能购物体验。这种体验人数是覆盖指标，不能替代月活、留存、订单增量和利润。模型推荐若只改变交易入口，集团净收益可能小于表现出的使用量。</w:t>
      </w:r>
    </w:p>
    <w:p>
      <w:pPr>
        <w:pStyle w:val="Normal"/>
        <w:rPr/>
      </w:pPr>
      <w:r>
        <w:rPr/>
        <w:t>实验室费用中有长期能力建设，也有经常性推理与获客。长期训练不能因为被称作研发就假设未来全部消失，消费者推理规模增长时成本还可能上升。因此基准桥在一年、三年、五年分别保留</w:t>
      </w:r>
      <w:r>
        <w:rPr/>
        <w:t>420</w:t>
      </w:r>
      <w:r>
        <w:rPr/>
        <w:t>、</w:t>
      </w:r>
      <w:r>
        <w:rPr/>
        <w:t>420</w:t>
      </w:r>
      <w:r>
        <w:rPr/>
        <w:t>、</w:t>
      </w:r>
      <w:r>
        <w:rPr/>
        <w:t>410</w:t>
      </w:r>
      <w:r>
        <w:rPr/>
        <w:t>亿元年度</w:t>
      </w:r>
      <w:r>
        <w:rPr/>
        <w:t>NTM</w:t>
      </w:r>
      <w:r>
        <w:rPr/>
        <w:t>分部亏损，而不是把云盈利增长与实验室归零同时乐观处理。乐观情景亏损显著收窄，悲观则持续扩大，明确表现竞争与成本效率差异。</w:t>
      </w:r>
    </w:p>
    <w:p>
      <w:pPr>
        <w:pStyle w:val="Heading2"/>
        <w:rPr/>
      </w:pPr>
      <w:r>
        <w:rPr>
          <w:color w:val="000000"/>
        </w:rPr>
        <w:t>十二 平头哥 自有芯片与供应风险</w:t>
      </w:r>
    </w:p>
    <w:p>
      <w:pPr>
        <w:pStyle w:val="Normal"/>
        <w:rPr/>
      </w:pPr>
      <w:r>
        <w:rPr/>
        <w:t>新</w:t>
      </w:r>
      <w:r>
        <w:rPr/>
        <w:t>AI</w:t>
      </w:r>
      <w:r>
        <w:rPr/>
        <w:t>云与计算分部纳入平头哥，披露其组合涵盖图形、中央处理、存储与网络芯片。自有芯片若能与模型和系统软件匹配，可能减少外采溢价、提高资源效率，并改善供应可控性。其投资价值在于整个计算系统的成本和性能，而非仅以一个芯片名称赋予独立高市值。</w:t>
      </w:r>
    </w:p>
    <w:p>
      <w:pPr>
        <w:pStyle w:val="Normal"/>
        <w:rPr/>
      </w:pPr>
      <w:r>
        <w:rPr/>
        <w:t>公司称真武芯片已通过阿里云服务被超过</w:t>
      </w:r>
      <w:r>
        <w:rPr/>
        <w:t>650</w:t>
      </w:r>
      <w:r>
        <w:rPr/>
        <w:t>家外部客户、二十多个行业采用，覆盖训练、微调和推理。这个客户覆盖说明存在商业使用，但未公开所有芯片单独收入、单价、良率和利润。本文不填造性能对标或把客户数乘固定订单价值。芯片对集团贡献可能主要表现为云采购成本与可用产能变化，因此已纳入云盈利桥，避免再重复估值。</w:t>
      </w:r>
    </w:p>
    <w:p>
      <w:pPr>
        <w:pStyle w:val="Normal"/>
        <w:rPr/>
      </w:pPr>
      <w:r>
        <w:rPr/>
        <w:t>自研芯片仍依赖制造、封装、软件工具和供应链。出口管制、工艺限制、库存或交付延迟会影响部署，芯片成功设计也不等于可以按计划大量量产。客户的软件迁移需要兼容性与开发成本，采用自有芯片能否保持服务质量是回报实现的关键。供给限制或可形成稀缺性，却也会限制收入扩张，两面都应进入情景。</w:t>
      </w:r>
    </w:p>
    <w:p>
      <w:pPr>
        <w:pStyle w:val="Normal"/>
        <w:rPr/>
      </w:pPr>
      <w:r>
        <w:rPr/>
        <w:t>长期国产替代与异构计算管理有潜在价值，但如果软件支持成本、芯片开发费用和产能采购抵销外采节省，利润未必改善。研究应观察自有芯片占部署比重、云毛利与客户可靠性，当前缺乏完整披露时，只采用整体云利润率敏感性，不做无依据的芯片成功概率模型。</w:t>
      </w:r>
    </w:p>
    <w:p>
      <w:pPr>
        <w:pStyle w:val="Heading2"/>
        <w:rPr/>
      </w:pPr>
      <w:r>
        <w:rPr>
          <w:color w:val="000000"/>
        </w:rPr>
        <w:t>十三 资本开支 回本期与现金约束</w:t>
      </w:r>
    </w:p>
    <w:p>
      <w:pPr>
        <w:pStyle w:val="Normal"/>
        <w:rPr/>
      </w:pPr>
      <w:r>
        <w:rPr/>
        <w:t>六月资本开支</w:t>
      </w:r>
      <w:r>
        <w:rPr/>
        <w:t>676.78</w:t>
      </w:r>
      <w:r>
        <w:rPr/>
        <w:t>亿元，同比增长</w:t>
      </w:r>
      <w:r>
        <w:rPr/>
        <w:t>75%</w:t>
      </w:r>
      <w:r>
        <w:rPr/>
        <w:t>，公司说明设备采购周期、</w:t>
      </w:r>
      <w:r>
        <w:rPr/>
        <w:t>CPU</w:t>
      </w:r>
      <w:r>
        <w:rPr/>
        <w:t>计算需求和芯片组件涨价共同影响。管理层明确不能将该季度乘四假设全年均匀投入。本文遵循这一边界，不把高季度开支年化成已承诺预算，但季度现金流压力本身已发生，不能因采购节奏而忽略。</w:t>
      </w:r>
    </w:p>
    <w:p>
      <w:pPr>
        <w:pStyle w:val="Normal"/>
        <w:rPr/>
      </w:pPr>
      <w:r>
        <w:rPr/>
        <w:t>2026</w:t>
      </w:r>
      <w:r>
        <w:rPr/>
        <w:t>财年全年资本开支</w:t>
      </w:r>
      <w:r>
        <w:rPr/>
        <w:t>1260.63</w:t>
      </w:r>
      <w:r>
        <w:rPr/>
        <w:t>亿元，公司口径自由现金流净流出</w:t>
      </w:r>
      <w:r>
        <w:rPr/>
        <w:t>466.09</w:t>
      </w:r>
      <w:r>
        <w:rPr/>
        <w:t>亿元。六月季度运营现金流</w:t>
      </w:r>
      <w:r>
        <w:rPr/>
        <w:t>229.45</w:t>
      </w:r>
      <w:r>
        <w:rPr/>
        <w:t>亿元，扣除用于自由现金流计算的设备投入</w:t>
      </w:r>
      <w:r>
        <w:rPr/>
        <w:t>676.60</w:t>
      </w:r>
      <w:r>
        <w:rPr/>
        <w:t>亿元及买家保障金变化后，得到负</w:t>
      </w:r>
      <w:r>
        <w:rPr/>
        <w:t>446.70</w:t>
      </w:r>
      <w:r>
        <w:rPr/>
        <w:t>亿元。其与总资本开支</w:t>
      </w:r>
      <w:r>
        <w:rPr/>
        <w:t>676.78</w:t>
      </w:r>
      <w:r>
        <w:rPr/>
        <w:t>亿元稍有差异，来自定义范围，而非计算错误。研究使用正式公司口径，不将剔除增长投入后的现金流称作实际可分配现金。</w:t>
      </w:r>
    </w:p>
    <w:p>
      <w:pPr>
        <w:pStyle w:val="Normal"/>
        <w:rPr/>
      </w:pPr>
      <w:r>
        <w:rPr/>
        <w:t>管理层认为服务器当前约三年回本、五年会计使用年限下还有至少两年现金贡献，并举旧</w:t>
      </w:r>
      <w:r>
        <w:rPr/>
        <w:t>GPU</w:t>
      </w:r>
      <w:r>
        <w:rPr/>
        <w:t>继续使用的例子。这属于经营判断，回本依赖利用率、价格、电力、维护与实际寿命。旧设备可以继续工作，却未必保持同样单价和资本效率。假如高价采购的新设备面对降价或新技术替代，三年回本可能延长，利润中的折旧也可能不足以反映经济折损。</w:t>
      </w:r>
    </w:p>
    <w:p>
      <w:pPr>
        <w:pStyle w:val="Normal"/>
        <w:rPr/>
      </w:pPr>
      <w:r>
        <w:rPr/>
        <w:t>当投资增长高于回收节奏，即使单台设备项目有合理回报，集团自由现金流仍可为负。公司在业绩会上说明资本先投入、收入后形成，并讨论共同建设和客户预付款改善现金效率。合作融资不自动减少总经济成本，预付款还意味着未来履约义务。基准估值给予成长溢价，同时以较低财务风险分数体现当前现金消耗，要求未来回报证据持续增强。</w:t>
      </w:r>
    </w:p>
    <w:p>
      <w:pPr>
        <w:pStyle w:val="Heading2"/>
        <w:rPr/>
      </w:pPr>
      <w:r>
        <w:rPr>
          <w:color w:val="000000"/>
        </w:rPr>
        <w:t>十四 利润质量 折旧与税</w:t>
      </w:r>
    </w:p>
    <w:p>
      <w:pPr>
        <w:pStyle w:val="Normal"/>
        <w:rPr/>
      </w:pPr>
      <w:r>
        <w:rPr/>
        <w:t>六月调整</w:t>
      </w:r>
      <w:r>
        <w:rPr/>
        <w:t>EBITDA391.43</w:t>
      </w:r>
      <w:r>
        <w:rPr/>
        <w:t>亿元、调整</w:t>
      </w:r>
      <w:r>
        <w:rPr/>
        <w:t>EBITA273.29</w:t>
      </w:r>
      <w:r>
        <w:rPr/>
        <w:t>亿元，差额</w:t>
      </w:r>
      <w:r>
        <w:rPr/>
        <w:t>118.14</w:t>
      </w:r>
      <w:r>
        <w:rPr/>
        <w:t>亿元包括设备折旧减值与相关土地使用权租赁费用。资本开支增加后，未来折旧可能继续上升；只盯</w:t>
      </w:r>
      <w:r>
        <w:rPr/>
        <w:t>EBITDA</w:t>
      </w:r>
      <w:r>
        <w:rPr/>
        <w:t>增长会忽略设备更新成本。本文经营桥以</w:t>
      </w:r>
      <w:r>
        <w:rPr/>
        <w:t>EBITA</w:t>
      </w:r>
      <w:r>
        <w:rPr/>
        <w:t>为核心，已经包含折旧，避免把总资本开支再从利润全额扣除造成重复扣减，但也不把</w:t>
      </w:r>
      <w:r>
        <w:rPr/>
        <w:t>EBITA</w:t>
      </w:r>
      <w:r>
        <w:rPr/>
        <w:t>当自由现金流。</w:t>
      </w:r>
    </w:p>
    <w:p>
      <w:pPr>
        <w:pStyle w:val="Normal"/>
        <w:rPr/>
      </w:pPr>
      <w:r>
        <w:rPr/>
        <w:t>non-GAAP</w:t>
      </w:r>
      <w:r>
        <w:rPr/>
        <w:t>净利润剔除非现金股份报酬、部分无形资产摊销减值、投资处置重估与若干其他事项。它保留哪些项目与网易等公司的</w:t>
      </w:r>
      <w:r>
        <w:rPr/>
        <w:t>non-GAAP</w:t>
      </w:r>
      <w:r>
        <w:rPr/>
        <w:t>定义不同，跨公司直接比较调整利润率有局限。六月税费用</w:t>
      </w:r>
      <w:r>
        <w:rPr/>
        <w:t>127.98</w:t>
      </w:r>
      <w:r>
        <w:rPr/>
        <w:t>亿元，相对税前且未计联营利润的</w:t>
      </w:r>
      <w:r>
        <w:rPr/>
        <w:t>223.08</w:t>
      </w:r>
      <w:r>
        <w:rPr/>
        <w:t>亿元约</w:t>
      </w:r>
      <w:r>
        <w:rPr/>
        <w:t>57.37%</w:t>
      </w:r>
      <w:r>
        <w:rPr/>
        <w:t>，明显不能直接当长期常态税率。分地区盈利、亏损不可抵扣及调整事项会影响季度税负。</w:t>
      </w:r>
    </w:p>
    <w:p>
      <w:pPr>
        <w:pStyle w:val="Normal"/>
        <w:rPr/>
      </w:pPr>
      <w:r>
        <w:rPr/>
        <w:t>研究未来经营桥统一使用</w:t>
      </w:r>
      <w:r>
        <w:rPr/>
        <w:t>22%</w:t>
      </w:r>
      <w:r>
        <w:rPr/>
        <w:t>的有效税率，目的是明确常态盈利假设，而不是宣称公司实际税率必然降至</w:t>
      </w:r>
      <w:r>
        <w:rPr/>
        <w:t>22%</w:t>
      </w:r>
      <w:r>
        <w:rPr/>
        <w:t>。法定优惠、地区收入和扣除限制都可能使税负不同。若实际长期税率高于假设，目标应下调；若研发投入与地区结构改善降低税率，价格可能提高。敏感性可以独立计算，不依靠隐藏的利润率调整。</w:t>
      </w:r>
    </w:p>
    <w:p>
      <w:pPr>
        <w:pStyle w:val="Normal"/>
        <w:rPr/>
      </w:pPr>
      <w:r>
        <w:rPr/>
        <w:t>六月经营利润还包含商誉减值</w:t>
      </w:r>
      <w:r>
        <w:rPr/>
        <w:t>44.58</w:t>
      </w:r>
      <w:r>
        <w:rPr/>
        <w:t>亿元及欧盟数字服务法相关</w:t>
      </w:r>
      <w:r>
        <w:rPr/>
        <w:t>5.5</w:t>
      </w:r>
      <w:r>
        <w:rPr/>
        <w:t>亿欧元罚款拨备。商誉减值多属非现金，却表明既有投资回报受损；罚款即使从调整利润剔除，也可能消耗真实现金并带来整改。投资者不能因调整利润更高就忽略两者的资本价值影响。本文把罚款与监管作为下行条件，并不在估值中恢复现金当作无事发生。</w:t>
      </w:r>
    </w:p>
    <w:p>
      <w:pPr>
        <w:pStyle w:val="Heading2"/>
        <w:rPr/>
      </w:pPr>
      <w:r>
        <w:rPr>
          <w:color w:val="000000"/>
        </w:rPr>
        <w:t>十五 现金 债务与股东可取得的资金</w:t>
      </w:r>
    </w:p>
    <w:p>
      <w:pPr>
        <w:pStyle w:val="Normal"/>
        <w:rPr/>
      </w:pPr>
      <w:r>
        <w:rPr/>
        <w:t>六月现金及其他流动投资</w:t>
      </w:r>
      <w:r>
        <w:rPr/>
        <w:t>4745.05</w:t>
      </w:r>
      <w:r>
        <w:rPr/>
        <w:t>亿元，较三月底</w:t>
      </w:r>
      <w:r>
        <w:rPr/>
        <w:t>5208.24</w:t>
      </w:r>
      <w:r>
        <w:rPr/>
        <w:t>亿元减少</w:t>
      </w:r>
      <w:r>
        <w:rPr/>
        <w:t>463.19</w:t>
      </w:r>
      <w:r>
        <w:rPr/>
        <w:t>亿元。公司解释主要自由现金流流出、汇率影响，部分由银行融资抵销。广义资源中既有现金等价物，也有短期投资、较长期限存款与市场债券，不能全部当作马上支付股息的银行现金。资产负债表现金等价物仅</w:t>
      </w:r>
      <w:r>
        <w:rPr/>
        <w:t>1429.14</w:t>
      </w:r>
      <w:r>
        <w:rPr/>
        <w:t>亿元、短期投资</w:t>
      </w:r>
      <w:r>
        <w:rPr/>
        <w:t>1546.53</w:t>
      </w:r>
      <w:r>
        <w:rPr/>
        <w:t>亿元，其余资源须按定义区分。</w:t>
      </w:r>
    </w:p>
    <w:p>
      <w:pPr>
        <w:pStyle w:val="Normal"/>
        <w:rPr/>
      </w:pPr>
      <w:r>
        <w:rPr/>
        <w:t>研究把六月银行借款、无抵押优先票据、可转债和可交换债账面值相加，得到有息债务</w:t>
      </w:r>
      <w:r>
        <w:rPr/>
        <w:t>2665.30</w:t>
      </w:r>
      <w:r>
        <w:rPr/>
        <w:t>亿元；广义流动资源减这些债务约</w:t>
      </w:r>
      <w:r>
        <w:rPr/>
        <w:t>2079.75</w:t>
      </w:r>
      <w:r>
        <w:rPr/>
        <w:t>亿元。这是研究流动性近似，未包含租赁和全部经营负债，不能称为最终净资产或企业价值。公司业绩会给出的净现金美元口径与该近似接近，但排除五年后到期债务的更高净现金口径不适合直接给普通股估值。</w:t>
      </w:r>
    </w:p>
    <w:p>
      <w:pPr>
        <w:pStyle w:val="Normal"/>
        <w:rPr/>
      </w:pPr>
      <w:r>
        <w:rPr/>
        <w:t>债务到期较远可降低短期再融资压力，却仍产生利息、到期偿付或潜在摊薄。算力投入加速时，银行融资帮助平滑现金，但不会把负自由现金流变成股东回报。需要观察现金下降是否与有明确经济回报的建设同步，债务增长是否仍在长期利润与现金覆盖能力内。若资本开支长期高、现金回收慢，外部融资可能改变每股盈利预期。</w:t>
      </w:r>
    </w:p>
    <w:p>
      <w:pPr>
        <w:pStyle w:val="Normal"/>
        <w:rPr/>
      </w:pPr>
      <w:r>
        <w:rPr/>
        <w:t>集团现金包含不同实体、币种和用途，股东收益还受资金调拨、监管、税和业务运营所需储备限制。大额经营应付款和客户预付形成的资金也伴随义务。投资者若将全部广义现金再加到含利息贡献的集团市盈率估值上，会重复计价；本文明确不这样处理。未来若使用分部现金流估值，应先剥离金融收益并单独核现金与债务，不能混用。</w:t>
      </w:r>
    </w:p>
    <w:p>
      <w:pPr>
        <w:pStyle w:val="Heading2"/>
        <w:rPr/>
      </w:pPr>
      <w:r>
        <w:rPr>
          <w:color w:val="000000"/>
        </w:rPr>
        <w:t>十六 回购 分红 激励与股数</w:t>
      </w:r>
    </w:p>
    <w:p>
      <w:pPr>
        <w:pStyle w:val="Normal"/>
        <w:rPr/>
      </w:pPr>
      <w:r>
        <w:rPr/>
        <w:t>六月季度公司回购</w:t>
      </w:r>
      <w:r>
        <w:rPr/>
        <w:t>1340</w:t>
      </w:r>
      <w:r>
        <w:rPr/>
        <w:t>万普通股、相当约</w:t>
      </w:r>
      <w:r>
        <w:rPr/>
        <w:t>170</w:t>
      </w:r>
      <w:r>
        <w:rPr/>
        <w:t>万份</w:t>
      </w:r>
      <w:r>
        <w:rPr/>
        <w:t>ADS</w:t>
      </w:r>
      <w:r>
        <w:rPr/>
        <w:t>，支付</w:t>
      </w:r>
      <w:r>
        <w:rPr/>
        <w:t>1.62</w:t>
      </w:r>
      <w:r>
        <w:rPr/>
        <w:t>亿美元。这是真实回购，但相较</w:t>
      </w:r>
      <w:r>
        <w:rPr/>
        <w:t>193.24</w:t>
      </w:r>
      <w:r>
        <w:rPr/>
        <w:t>亿普通股摊薄加权股数规模较小，不宜假设未来所有年度都有强净缩股。资本开支、现金激励、分红与回购共同争用资金，董事会可根据市场和经营改变优先级。</w:t>
      </w:r>
    </w:p>
    <w:p>
      <w:pPr>
        <w:pStyle w:val="Normal"/>
        <w:rPr/>
      </w:pPr>
      <w:r>
        <w:rPr/>
        <w:t>2026</w:t>
      </w:r>
      <w:r>
        <w:rPr/>
        <w:t>财年常规股息每普通股</w:t>
      </w:r>
      <w:r>
        <w:rPr/>
        <w:t>0.13125</w:t>
      </w:r>
      <w:r>
        <w:rPr/>
        <w:t>美元、每</w:t>
      </w:r>
      <w:r>
        <w:rPr/>
        <w:t>ADS1.05</w:t>
      </w:r>
      <w:r>
        <w:rPr/>
        <w:t>美元，已在六月登记并于七月支付。基准日十月买入不再取得该已除息股息，所以年底及半年模型没有把它重新计入回报。未来分红为研究假设，一年累计</w:t>
      </w:r>
      <w:r>
        <w:rPr/>
        <w:t>0.5</w:t>
      </w:r>
      <w:r>
        <w:rPr/>
        <w:t>、</w:t>
      </w:r>
      <w:r>
        <w:rPr/>
        <w:t>1.2</w:t>
      </w:r>
      <w:r>
        <w:rPr/>
        <w:t>、</w:t>
      </w:r>
      <w:r>
        <w:rPr/>
        <w:t>1.8</w:t>
      </w:r>
      <w:r>
        <w:rPr/>
        <w:t>港元，三年</w:t>
      </w:r>
      <w:r>
        <w:rPr/>
        <w:t>1.5</w:t>
      </w:r>
      <w:r>
        <w:rPr/>
        <w:t>、</w:t>
      </w:r>
      <w:r>
        <w:rPr/>
        <w:t>4.5</w:t>
      </w:r>
      <w:r>
        <w:rPr/>
        <w:t>、</w:t>
      </w:r>
      <w:r>
        <w:rPr/>
        <w:t>7</w:t>
      </w:r>
      <w:r>
        <w:rPr/>
        <w:t>港元，五年</w:t>
      </w:r>
      <w:r>
        <w:rPr/>
        <w:t>2.5</w:t>
      </w:r>
      <w:r>
        <w:rPr/>
        <w:t>、</w:t>
      </w:r>
      <w:r>
        <w:rPr/>
        <w:t>8</w:t>
      </w:r>
      <w:r>
        <w:rPr/>
        <w:t>、</w:t>
      </w:r>
      <w:r>
        <w:rPr/>
        <w:t>15</w:t>
      </w:r>
      <w:r>
        <w:rPr/>
        <w:t>港元，按悲观、基准、乐观排列，无再投资，不宣称公司已承诺。</w:t>
      </w:r>
    </w:p>
    <w:p>
      <w:pPr>
        <w:pStyle w:val="Normal"/>
        <w:rPr/>
      </w:pPr>
      <w:r>
        <w:rPr/>
        <w:t>年报披露</w:t>
      </w:r>
      <w:r>
        <w:rPr/>
        <w:t>2024</w:t>
      </w:r>
      <w:r>
        <w:rPr/>
        <w:t>至</w:t>
      </w:r>
      <w:r>
        <w:rPr/>
        <w:t>2026</w:t>
      </w:r>
      <w:r>
        <w:rPr/>
        <w:t>财年股份报酬</w:t>
      </w:r>
      <w:r>
        <w:rPr/>
        <w:t>185.46</w:t>
      </w:r>
      <w:r>
        <w:rPr/>
        <w:t>、</w:t>
      </w:r>
      <w:r>
        <w:rPr/>
        <w:t>155.77</w:t>
      </w:r>
      <w:r>
        <w:rPr/>
        <w:t>、</w:t>
      </w:r>
      <w:r>
        <w:rPr/>
        <w:t>148.21</w:t>
      </w:r>
      <w:r>
        <w:rPr/>
        <w:t>亿元，其中含现金和非现金，</w:t>
      </w:r>
      <w:r>
        <w:rPr/>
        <w:t>2026</w:t>
      </w:r>
      <w:r>
        <w:rPr/>
        <w:t>财年集团自身授予的部分</w:t>
      </w:r>
      <w:r>
        <w:rPr/>
        <w:t>91.46</w:t>
      </w:r>
      <w:r>
        <w:rPr/>
        <w:t>亿元。公司解释提高长期现金激励比例使股份报酬下降，说明费用下降不一定全部意味着员工激励的经济成本下降。现金激励会进入实际现金流，非现金授予可能影响未来股数，必须同时看。</w:t>
      </w:r>
    </w:p>
    <w:p>
      <w:pPr>
        <w:pStyle w:val="Normal"/>
        <w:rPr/>
      </w:pPr>
      <w:r>
        <w:rPr/>
        <w:t>本文经营桥年底及一年股数分别在</w:t>
      </w:r>
      <w:r>
        <w:rPr/>
        <w:t>205</w:t>
      </w:r>
      <w:r>
        <w:rPr/>
        <w:t>、</w:t>
      </w:r>
      <w:r>
        <w:rPr/>
        <w:t>200</w:t>
      </w:r>
      <w:r>
        <w:rPr/>
        <w:t>、</w:t>
      </w:r>
      <w:r>
        <w:rPr/>
        <w:t>195</w:t>
      </w:r>
      <w:r>
        <w:rPr/>
        <w:t>亿股范围，五年为</w:t>
      </w:r>
      <w:r>
        <w:rPr/>
        <w:t>220</w:t>
      </w:r>
      <w:r>
        <w:rPr/>
        <w:t>、</w:t>
      </w:r>
      <w:r>
        <w:rPr/>
        <w:t>191</w:t>
      </w:r>
      <w:r>
        <w:rPr/>
        <w:t>、</w:t>
      </w:r>
      <w:r>
        <w:rPr/>
        <w:t>189</w:t>
      </w:r>
      <w:r>
        <w:rPr/>
        <w:t>亿股。悲观包含持续授予、可转债与融资摊薄，乐观包含现金改善后的回购抵销；基准只采用温和变化。可交换债可能主要调整归属盈利而不是发行同样数量新普通股，其影响不能简单当普通股增加。模型股数和其他归属贡献是简化综合参数，需要新披露后更新。</w:t>
      </w:r>
    </w:p>
    <w:p>
      <w:pPr>
        <w:pStyle w:val="Heading2"/>
        <w:rPr/>
      </w:pPr>
      <w:r>
        <w:rPr>
          <w:color w:val="000000"/>
        </w:rPr>
        <w:t>十七 宏观传导与经营周期</w:t>
      </w:r>
    </w:p>
    <w:p>
      <w:pPr>
        <w:pStyle w:val="Normal"/>
        <w:rPr/>
      </w:pPr>
      <w:r>
        <w:rPr/>
        <w:t>国内消费放缓首先影响交易活跃、商家投放与品类选择，六月可比客户管理收入只增</w:t>
      </w:r>
      <w:r>
        <w:rPr/>
        <w:t>1%</w:t>
      </w:r>
      <w:r>
        <w:rPr/>
        <w:t>便是应关注的公司层面证据。政策支持消费可以改善需求，但不会自动提高所有电商平台利润：补贴带来的短期购买可能与后续需求提前透支有关，平台竞争还可能把需求收益让给消费者与商家。模型应观察收入与利润同时变化，不能只根据宏观乐观上调目标。</w:t>
      </w:r>
    </w:p>
    <w:p>
      <w:pPr>
        <w:pStyle w:val="Normal"/>
        <w:rPr/>
      </w:pPr>
      <w:r>
        <w:rPr/>
        <w:t>企业人工智能资本预算与消费周期不同，可能因竞争压力而加快投入，也可能在试验回报不足时减速。阿里同时拥有两类需求，可分散部分风险，但云建设现金支出可能在消费较弱时更重，电商现金支撑能力因而尤其重要。电商和云的周期并非完全独立，企业商家也是云客户，整体经营信心和资金成本会共同影响预算。</w:t>
      </w:r>
    </w:p>
    <w:p>
      <w:pPr>
        <w:pStyle w:val="Normal"/>
        <w:rPr/>
      </w:pPr>
      <w:r>
        <w:rPr/>
        <w:t>利率下降有利于长久期成长资产估值及融资成本，却可能减少现金利息收入；如果降息伴经济预期转弱，风险溢价未必下降。人民币变化影响海外收入折算、美元现金及债务、进口设备成本和港元投资者回报，多个方向可以相互抵销。本文使用统一研究汇率，不给未核验即期数，并另示汇率敏感性，避免把本币股价回报与人民币账户收益混同。</w:t>
      </w:r>
    </w:p>
    <w:p>
      <w:pPr>
        <w:pStyle w:val="Normal"/>
        <w:rPr/>
      </w:pPr>
      <w:r>
        <w:rPr/>
        <w:t>全球算力供给、电力、存储与芯片组件价格构成云资本周期。供给紧张支持价格但限制部署，扩张完成后可能出现客户议价与利用率压力。管理层认为当前需求强并预计持续增长，这应作为待验证经营判断。三至五年模型不能假设既有供应稀缺永不结束，同时每年维持高倍数与高利润率。</w:t>
      </w:r>
    </w:p>
    <w:p>
      <w:pPr>
        <w:pStyle w:val="Heading2"/>
        <w:rPr/>
      </w:pPr>
      <w:r>
        <w:rPr>
          <w:color w:val="000000"/>
        </w:rPr>
        <w:t>十八 监管与治理怎样进入价格</w:t>
      </w:r>
    </w:p>
    <w:p>
      <w:pPr>
        <w:pStyle w:val="Normal"/>
        <w:rPr/>
      </w:pPr>
      <w:r>
        <w:rPr/>
        <w:t>阿里业务涉及平台竞争、消费者权益、数据、支付关联、跨境电商与人工智能监管。六月欧盟罚款拨备显示海外增长并非只受市场需求影响，产品治理和整改也影响费用与经营方式。国内平台规则变化可能影响佣金、商家服务、内容推荐和即时零售补贴。监管不一定消除商业模式，但会改变利润可持续性和资本分配。</w:t>
      </w:r>
    </w:p>
    <w:p>
      <w:pPr>
        <w:pStyle w:val="Normal"/>
        <w:rPr/>
      </w:pPr>
      <w:r>
        <w:rPr/>
        <w:t>公司年报描述合伙人提名董事权及相关治理安排，也说明部分受限制业务通过合同安排运营。普通股投资者持有的是上市发行人的权益，不应把业务规模等同于对所有实体现金的直接控制。治理折价取决于资本配置、信息透明和股东利益平衡，研究以风险维度反映，而不是无依据地断言控制权必然损害投资者。</w:t>
      </w:r>
    </w:p>
    <w:p>
      <w:pPr>
        <w:pStyle w:val="Normal"/>
        <w:rPr/>
      </w:pPr>
      <w:r>
        <w:rPr/>
        <w:t>人工智能系统涉及数据权限、内容安全、企业机密和跨境合规。模型能力和使用量快速增加时，治理成本也可能提高；某些高价值企业场景对可靠性要求更高，错误输出可增加赔偿或合同风险。收入增长若需要更严格审核、人工复核与行业部署成本，毛利未必按通用模型调用量同步提高。</w:t>
      </w:r>
    </w:p>
    <w:p>
      <w:pPr>
        <w:pStyle w:val="Normal"/>
        <w:rPr/>
      </w:pPr>
      <w:r>
        <w:rPr/>
        <w:t>建议成立的一项反证是监管使营销收费、补贴安排或模型变现方式实质改变，导致此前利润桥无法实现。遭遇这种变化时，不能只因为股价下跌更多而认为更便宜。需要重算持续盈利、现金、债务与合理倍数，并依据新信息调整期限评分。</w:t>
      </w:r>
    </w:p>
    <w:p>
      <w:pPr>
        <w:pStyle w:val="Heading2"/>
        <w:rPr/>
      </w:pPr>
      <w:r>
        <w:rPr>
          <w:color w:val="000000"/>
        </w:rPr>
        <w:t>十九 半年日线趋势与观察位置</w:t>
      </w:r>
    </w:p>
    <w:p>
      <w:pPr>
        <w:pStyle w:val="Normal"/>
        <w:rPr/>
      </w:pPr>
      <w:r>
        <w:rPr/>
        <w:t>锁版三年日线有</w:t>
      </w:r>
      <w:r>
        <w:rPr/>
        <w:t>739</w:t>
      </w:r>
      <w:r>
        <w:rPr/>
        <w:t>个真实交易日，从</w:t>
      </w:r>
      <w:r>
        <w:rPr/>
        <w:t>2023</w:t>
      </w:r>
      <w:r>
        <w:rPr/>
        <w:t>年</w:t>
      </w:r>
      <w:r>
        <w:rPr/>
        <w:t>10</w:t>
      </w:r>
      <w:r>
        <w:rPr/>
        <w:t>月</w:t>
      </w:r>
      <w:r>
        <w:rPr/>
        <w:t>9</w:t>
      </w:r>
      <w:r>
        <w:rPr/>
        <w:t>日至</w:t>
      </w:r>
      <w:r>
        <w:rPr/>
        <w:t>2026</w:t>
      </w:r>
      <w:r>
        <w:rPr/>
        <w:t>年</w:t>
      </w:r>
      <w:r>
        <w:rPr/>
        <w:t>10</w:t>
      </w:r>
      <w:r>
        <w:rPr/>
        <w:t>月</w:t>
      </w:r>
      <w:r>
        <w:rPr/>
        <w:t>9</w:t>
      </w:r>
      <w:r>
        <w:rPr/>
        <w:t>日。价格按基准日名义收盘归一的复权</w:t>
      </w:r>
      <w:r>
        <w:rPr/>
        <w:t>OHLC</w:t>
      </w:r>
      <w:r>
        <w:rPr/>
        <w:t>计算，股息与公司行动保留，不把复权历史高点当当前未复权成交价。腾讯与新浪最新报价都为</w:t>
      </w:r>
      <w:r>
        <w:rPr/>
        <w:t>107</w:t>
      </w:r>
      <w:r>
        <w:rPr/>
        <w:t>港元、成交</w:t>
      </w:r>
      <w:r>
        <w:rPr/>
        <w:t>7234.9748</w:t>
      </w:r>
      <w:r>
        <w:rPr/>
        <w:t>万股，独立</w:t>
      </w:r>
      <w:r>
        <w:rPr/>
        <w:t>Yahoo</w:t>
      </w:r>
      <w:r>
        <w:rPr/>
        <w:t>与腾讯日线最近六十日复权差异接近零，最新价与成交量一致。</w:t>
      </w:r>
    </w:p>
    <w:p>
      <w:pPr>
        <w:pStyle w:val="Normal"/>
        <w:rPr/>
      </w:pPr>
      <w:r>
        <w:rPr/>
        <w:t>二十、六十、一百二十、二百五十日均线为</w:t>
      </w:r>
      <w:r>
        <w:rPr/>
        <w:t>107.60</w:t>
      </w:r>
      <w:r>
        <w:rPr/>
        <w:t>、</w:t>
      </w:r>
      <w:r>
        <w:rPr/>
        <w:t>113.8333</w:t>
      </w:r>
      <w:r>
        <w:rPr/>
        <w:t>、</w:t>
      </w:r>
      <w:r>
        <w:rPr/>
        <w:t>116.2306</w:t>
      </w:r>
      <w:r>
        <w:rPr/>
        <w:t>、</w:t>
      </w:r>
      <w:r>
        <w:rPr/>
        <w:t>133.9222</w:t>
      </w:r>
      <w:r>
        <w:rPr/>
        <w:t>港元，现价分别低</w:t>
      </w:r>
      <w:r>
        <w:rPr/>
        <w:t>0.56%</w:t>
      </w:r>
      <w:r>
        <w:rPr/>
        <w:t>、</w:t>
      </w:r>
      <w:r>
        <w:rPr/>
        <w:t>6.00%</w:t>
      </w:r>
      <w:r>
        <w:rPr/>
        <w:t>、</w:t>
      </w:r>
      <w:r>
        <w:rPr/>
        <w:t>7.94%</w:t>
      </w:r>
      <w:r>
        <w:rPr/>
        <w:t>、</w:t>
      </w:r>
      <w:r>
        <w:rPr/>
        <w:t>20.10%</w:t>
      </w:r>
      <w:r>
        <w:rPr/>
        <w:t>。四条均线过去五个交易日变化分别负</w:t>
      </w:r>
      <w:r>
        <w:rPr/>
        <w:t>0.72%</w:t>
      </w:r>
      <w:r>
        <w:rPr/>
        <w:t>、负</w:t>
      </w:r>
      <w:r>
        <w:rPr/>
        <w:t>0.46%</w:t>
      </w:r>
      <w:r>
        <w:rPr/>
        <w:t>、负</w:t>
      </w:r>
      <w:r>
        <w:rPr/>
        <w:t>0.84%</w:t>
      </w:r>
      <w:r>
        <w:rPr/>
        <w:t>、负</w:t>
      </w:r>
      <w:r>
        <w:rPr/>
        <w:t>1.01%</w:t>
      </w:r>
      <w:r>
        <w:rPr/>
        <w:t>。价格低于全部主要均线且均线斜率为负，日线证据仍属中短期下降；单日反弹不能改变这一判断。</w:t>
      </w:r>
    </w:p>
    <w:p>
      <w:pPr>
        <w:pStyle w:val="Normal"/>
        <w:rPr/>
      </w:pPr>
      <w:r>
        <w:rPr/>
        <w:t>二十日区间最低</w:t>
      </w:r>
      <w:r>
        <w:rPr/>
        <w:t>102.60</w:t>
      </w:r>
      <w:r>
        <w:rPr/>
        <w:t>、最高</w:t>
      </w:r>
      <w:r>
        <w:rPr/>
        <w:t>118.30</w:t>
      </w:r>
      <w:r>
        <w:rPr/>
        <w:t>港元，现价距离分别负</w:t>
      </w:r>
      <w:r>
        <w:rPr/>
        <w:t>4.11%</w:t>
      </w:r>
      <w:r>
        <w:rPr/>
        <w:t>、正</w:t>
      </w:r>
      <w:r>
        <w:rPr/>
        <w:t>10.56%</w:t>
      </w:r>
      <w:r>
        <w:rPr/>
        <w:t>；六十日最高</w:t>
      </w:r>
      <w:r>
        <w:rPr/>
        <w:t>130.30</w:t>
      </w:r>
      <w:r>
        <w:rPr/>
        <w:t>港元，距离正</w:t>
      </w:r>
      <w:r>
        <w:rPr/>
        <w:t>21.78%</w:t>
      </w:r>
      <w:r>
        <w:rPr/>
        <w:t>。这些是最近区间极值观察位，未经多次触碰验证，不能称为精确必守支撑或必然压力。首先观察</w:t>
      </w:r>
      <w:r>
        <w:rPr/>
        <w:t>107.60</w:t>
      </w:r>
      <w:r>
        <w:rPr/>
        <w:t>附近能否收复与保持，再看</w:t>
      </w:r>
      <w:r>
        <w:rPr/>
        <w:t>113.83</w:t>
      </w:r>
      <w:r>
        <w:rPr/>
        <w:t>至</w:t>
      </w:r>
      <w:r>
        <w:rPr/>
        <w:t>116.23</w:t>
      </w:r>
      <w:r>
        <w:rPr/>
        <w:t>均线区，</w:t>
      </w:r>
      <w:r>
        <w:rPr/>
        <w:t>118.30</w:t>
      </w:r>
      <w:r>
        <w:rPr/>
        <w:t>是近段高点，</w:t>
      </w:r>
      <w:r>
        <w:rPr/>
        <w:t>130.30</w:t>
      </w:r>
      <w:r>
        <w:rPr/>
        <w:t>与</w:t>
      </w:r>
      <w:r>
        <w:rPr/>
        <w:t>133.92</w:t>
      </w:r>
      <w:r>
        <w:rPr/>
        <w:t>代表更长阶段修复难度。</w:t>
      </w:r>
    </w:p>
    <w:p>
      <w:pPr>
        <w:pStyle w:val="Normal"/>
        <w:rPr/>
      </w:pPr>
      <w:r>
        <w:rPr/>
        <w:t>102.60</w:t>
      </w:r>
      <w:r>
        <w:rPr/>
        <w:t>距离当前只约</w:t>
      </w:r>
      <w:r>
        <w:rPr/>
        <w:t>4.11%</w:t>
      </w:r>
      <w:r>
        <w:rPr/>
        <w:t>，而十四日平均真实波幅约</w:t>
      </w:r>
      <w:r>
        <w:rPr/>
        <w:t>3.66</w:t>
      </w:r>
      <w:r>
        <w:rPr/>
        <w:t>港元、占现价</w:t>
      </w:r>
      <w:r>
        <w:rPr/>
        <w:t>3.42%</w:t>
      </w:r>
      <w:r>
        <w:rPr/>
        <w:t>，说明近期支撑距离大约一个多日均波幅，市场正常波动便可能触及，不能据此宣称风险被限定在</w:t>
      </w:r>
      <w:r>
        <w:rPr/>
        <w:t>4%</w:t>
      </w:r>
      <w:r>
        <w:rPr/>
        <w:t>。更长期低点</w:t>
      </w:r>
      <w:r>
        <w:rPr/>
        <w:t>88.65</w:t>
      </w:r>
      <w:r>
        <w:rPr/>
        <w:t>距离负</w:t>
      </w:r>
      <w:r>
        <w:rPr/>
        <w:t>17.15%</w:t>
      </w:r>
      <w:r>
        <w:rPr/>
        <w:t>，仍可能被跌破，价格目标也不构成保护。半年投资需要把日线修复和未来盈利催化同时观察。</w:t>
      </w:r>
    </w:p>
    <w:p>
      <w:pPr>
        <w:pStyle w:val="Heading2"/>
        <w:rPr/>
      </w:pPr>
      <w:r>
        <w:rPr>
          <w:color w:val="000000"/>
        </w:rPr>
        <w:t>二十 量能 成交额与相对强弱</w:t>
      </w:r>
    </w:p>
    <w:p>
      <w:pPr>
        <w:pStyle w:val="Normal"/>
        <w:rPr/>
      </w:pPr>
      <w:r>
        <w:rPr/>
        <w:t>十月九日收盘上涨</w:t>
      </w:r>
      <w:r>
        <w:rPr/>
        <w:t>2.59%</w:t>
      </w:r>
      <w:r>
        <w:rPr/>
        <w:t>，开</w:t>
      </w:r>
      <w:r>
        <w:rPr/>
        <w:t>104.50</w:t>
      </w:r>
      <w:r>
        <w:rPr/>
        <w:t>、最高</w:t>
      </w:r>
      <w:r>
        <w:rPr/>
        <w:t>107.30</w:t>
      </w:r>
      <w:r>
        <w:rPr/>
        <w:t>、最低</w:t>
      </w:r>
      <w:r>
        <w:rPr/>
        <w:t>104.30</w:t>
      </w:r>
      <w:r>
        <w:rPr/>
        <w:t>、收</w:t>
      </w:r>
      <w:r>
        <w:rPr/>
        <w:t>107.00</w:t>
      </w:r>
      <w:r>
        <w:rPr/>
        <w:t>港元，收在当日较高位置。成交</w:t>
      </w:r>
      <w:r>
        <w:rPr/>
        <w:t>7234.9748</w:t>
      </w:r>
      <w:r>
        <w:rPr/>
        <w:t>万股、成交额</w:t>
      </w:r>
      <w:r>
        <w:rPr/>
        <w:t>77.0585</w:t>
      </w:r>
      <w:r>
        <w:rPr/>
        <w:t>亿港元。五、二十、六十日平均成交量约</w:t>
      </w:r>
      <w:r>
        <w:rPr/>
        <w:t>5084.17</w:t>
      </w:r>
      <w:r>
        <w:rPr/>
        <w:t>、</w:t>
      </w:r>
      <w:r>
        <w:rPr/>
        <w:t>5505.08</w:t>
      </w:r>
      <w:r>
        <w:rPr/>
        <w:t>、</w:t>
      </w:r>
      <w:r>
        <w:rPr/>
        <w:t>8178.76</w:t>
      </w:r>
      <w:r>
        <w:rPr/>
        <w:t>万股，当日相对二十日均量</w:t>
      </w:r>
      <w:r>
        <w:rPr/>
        <w:t>1.322</w:t>
      </w:r>
      <w:r>
        <w:rPr/>
        <w:t>倍，说明反弹有高于近期均值的交易，但并未达到近期六十日均量。</w:t>
      </w:r>
    </w:p>
    <w:p>
      <w:pPr>
        <w:pStyle w:val="Normal"/>
        <w:rPr/>
      </w:pPr>
      <w:r>
        <w:rPr/>
        <w:t>最近二十日十个上涨日累计成交</w:t>
      </w:r>
      <w:r>
        <w:rPr/>
        <w:t>5.8536</w:t>
      </w:r>
      <w:r>
        <w:rPr/>
        <w:t>亿股，十个下跌日</w:t>
      </w:r>
      <w:r>
        <w:rPr/>
        <w:t>5.1566</w:t>
      </w:r>
      <w:r>
        <w:rPr/>
        <w:t>亿股，比值</w:t>
      </w:r>
      <w:r>
        <w:rPr/>
        <w:t>1.135</w:t>
      </w:r>
      <w:r>
        <w:rPr/>
        <w:t>。上涨日量略多，有利于短期承接解释，但差距不构成长期资金方向证明，成交是买卖双方同时发生。无逐笔交易与完整持仓变化时，本文不宣称主力吸筹、庄家成本或精确量价密集筹码区，也不画虚假成交分布。</w:t>
      </w:r>
    </w:p>
    <w:p>
      <w:pPr>
        <w:pStyle w:val="Normal"/>
        <w:rPr/>
      </w:pPr>
      <w:r>
        <w:rPr/>
        <w:t>二十日阿里复权回报约正</w:t>
      </w:r>
      <w:r>
        <w:rPr/>
        <w:t>0.0935%</w:t>
      </w:r>
      <w:r>
        <w:rPr/>
        <w:t>，恒指负</w:t>
      </w:r>
      <w:r>
        <w:rPr/>
        <w:t>2.9779%</w:t>
      </w:r>
      <w:r>
        <w:rPr/>
        <w:t>，因此超额约</w:t>
      </w:r>
      <w:r>
        <w:rPr/>
        <w:t>3.0715</w:t>
      </w:r>
      <w:r>
        <w:rPr/>
        <w:t>个百分点；六十日阿里负</w:t>
      </w:r>
      <w:r>
        <w:rPr/>
        <w:t>8.4688%</w:t>
      </w:r>
      <w:r>
        <w:rPr/>
        <w:t>，恒指负</w:t>
      </w:r>
      <w:r>
        <w:rPr/>
        <w:t>3.1879%</w:t>
      </w:r>
      <w:r>
        <w:rPr/>
        <w:t>，超额负</w:t>
      </w:r>
      <w:r>
        <w:rPr/>
        <w:t>5.2809</w:t>
      </w:r>
      <w:r>
        <w:rPr/>
        <w:t>个百分点。相对恒生科技二十日领先</w:t>
      </w:r>
      <w:r>
        <w:rPr/>
        <w:t>3.1567</w:t>
      </w:r>
      <w:r>
        <w:rPr/>
        <w:t>、六十日领先</w:t>
      </w:r>
      <w:r>
        <w:rPr/>
        <w:t>4.6992</w:t>
      </w:r>
      <w:r>
        <w:rPr/>
        <w:t>个百分点。这说明阿里比科技板块整体更抗跌，但六十日仍落后宽市场；不能把相对行业领先等同于绝对上涨趋势。</w:t>
      </w:r>
    </w:p>
    <w:p>
      <w:pPr>
        <w:pStyle w:val="Normal"/>
        <w:rPr/>
      </w:pPr>
      <w:r>
        <w:rPr/>
        <w:t>可核验报价未提供已验证换手率分母，本研究留空而不把所有发行普通股当港股自由流通股数计算换手。成交股与手的单位已由独立日线核实为股。成交额很大有利于一般交易流动性，却不消除突发公告后跳空和市场冲击。半年技术评分</w:t>
      </w:r>
      <w:r>
        <w:rPr/>
        <w:t>1.8</w:t>
      </w:r>
      <w:r>
        <w:rPr/>
        <w:t>分体现下降结构与局部修复并存，不因多个同类动量指标重复加分。</w:t>
      </w:r>
    </w:p>
    <w:p>
      <w:pPr>
        <w:pStyle w:val="Heading2"/>
        <w:rPr/>
      </w:pPr>
      <w:r>
        <w:rPr>
          <w:color w:val="000000"/>
        </w:rPr>
        <w:t>二十一 周线与辅助指标的限制</w:t>
      </w:r>
    </w:p>
    <w:p>
      <w:pPr>
        <w:pStyle w:val="Normal"/>
        <w:rPr/>
      </w:pPr>
      <w:r>
        <w:rPr/>
        <w:t>由真实日线聚合的周线共</w:t>
      </w:r>
      <w:r>
        <w:rPr/>
        <w:t>157</w:t>
      </w:r>
      <w:r>
        <w:rPr/>
        <w:t>周，二十、六十、一百二十周均线分别</w:t>
      </w:r>
      <w:r>
        <w:rPr/>
        <w:t>110.94</w:t>
      </w:r>
      <w:r>
        <w:rPr/>
        <w:t>、</w:t>
      </w:r>
      <w:r>
        <w:rPr/>
        <w:t>134.22</w:t>
      </w:r>
      <w:r>
        <w:rPr/>
        <w:t>、</w:t>
      </w:r>
      <w:r>
        <w:rPr/>
        <w:t>117.39</w:t>
      </w:r>
      <w:r>
        <w:rPr/>
        <w:t>港元，现价均低于它们；二十和六十周线斜率负，一百二十周线略正。缺乏二百五十周历史时不补造对应均线。周线显示前期长期修复之后经历回撤，当前阶段仍有中期压力，不足以认定新上升周期已经建立。</w:t>
      </w:r>
    </w:p>
    <w:p>
      <w:pPr>
        <w:pStyle w:val="Normal"/>
        <w:rPr/>
      </w:pPr>
      <w:r>
        <w:rPr/>
        <w:t>日线</w:t>
      </w:r>
      <w:r>
        <w:rPr/>
        <w:t>RSI</w:t>
      </w:r>
      <w:r>
        <w:rPr/>
        <w:t>十四为</w:t>
      </w:r>
      <w:r>
        <w:rPr/>
        <w:t>46.53</w:t>
      </w:r>
      <w:r>
        <w:rPr/>
        <w:t>，周线</w:t>
      </w:r>
      <w:r>
        <w:rPr/>
        <w:t>42.81</w:t>
      </w:r>
      <w:r>
        <w:rPr/>
        <w:t>，均未显示强趋势动能。日线</w:t>
      </w:r>
      <w:r>
        <w:rPr/>
        <w:t>MACD</w:t>
      </w:r>
      <w:r>
        <w:rPr/>
        <w:t>快慢差负</w:t>
      </w:r>
      <w:r>
        <w:rPr/>
        <w:t>1.7801</w:t>
      </w:r>
      <w:r>
        <w:rPr/>
        <w:t>、信号负</w:t>
      </w:r>
      <w:r>
        <w:rPr/>
        <w:t>1.8394</w:t>
      </w:r>
      <w:r>
        <w:rPr/>
        <w:t>、双倍柱正</w:t>
      </w:r>
      <w:r>
        <w:rPr/>
        <w:t>0.1186</w:t>
      </w:r>
      <w:r>
        <w:rPr/>
        <w:t>，说明下降动量有局部收敛，但两线仍在负区。周线也有小幅正柱与负双线。正柱只描述边际改善，不保证下一交易日上涨，不应与价格均线和相对强弱分别叠加多个高分。</w:t>
      </w:r>
    </w:p>
    <w:p>
      <w:pPr>
        <w:pStyle w:val="Normal"/>
        <w:rPr/>
      </w:pPr>
      <w:r>
        <w:rPr/>
        <w:t>周线</w:t>
      </w:r>
      <w:r>
        <w:rPr/>
        <w:t>ATR</w:t>
      </w:r>
      <w:r>
        <w:rPr/>
        <w:t>约</w:t>
      </w:r>
      <w:r>
        <w:rPr/>
        <w:t>10.68</w:t>
      </w:r>
      <w:r>
        <w:rPr/>
        <w:t>港元、相当现价</w:t>
      </w:r>
      <w:r>
        <w:rPr/>
        <w:t>9.98%</w:t>
      </w:r>
      <w:r>
        <w:rPr/>
        <w:t>，提示跨周波动远大于一个近端支撑距离。最近二十周上涨周累计量与下跌周累计量之比约</w:t>
      </w:r>
      <w:r>
        <w:rPr/>
        <w:t>0.886</w:t>
      </w:r>
      <w:r>
        <w:rPr/>
        <w:t>，弱于日线近二十日比值，说明更长周期承接仍未明显压过卖压。不同窗口的信息不一致时，应呈现矛盾而非只选有利的一个。</w:t>
      </w:r>
    </w:p>
    <w:p>
      <w:pPr>
        <w:pStyle w:val="Normal"/>
        <w:rPr/>
      </w:pPr>
      <w:r>
        <w:rPr/>
        <w:t>本研究的技术改善条件是收复短均线后不快速失守、六十与一百二十日压力区逐步转为支撑、上涨时成交有持续响应，并改善对恒指六十日相对表现。若反弹后再次跌破</w:t>
      </w:r>
      <w:r>
        <w:rPr/>
        <w:t>102.60</w:t>
      </w:r>
      <w:r>
        <w:rPr/>
        <w:t>且不能收回，或者突破缺量后失守均线，半年修复论点失效。该观察规则是研究条件，不是自动交易指令，也不会把价格跌破等同于基本面永远恶化。</w:t>
      </w:r>
    </w:p>
    <w:p>
      <w:pPr>
        <w:pStyle w:val="Heading2"/>
        <w:rPr/>
      </w:pPr>
      <w:r>
        <w:rPr>
          <w:color w:val="000000"/>
        </w:rPr>
        <w:t>二十二 历史高低点和数据窗口</w:t>
      </w:r>
    </w:p>
    <w:p>
      <w:pPr>
        <w:pStyle w:val="Normal"/>
        <w:rPr/>
      </w:pPr>
      <w:r>
        <w:rPr/>
        <w:t>锁版二百五十二交易日高点</w:t>
      </w:r>
      <w:r>
        <w:rPr/>
        <w:t>185.9913</w:t>
      </w:r>
      <w:r>
        <w:rPr/>
        <w:t>港元为复权观察高点，现价低</w:t>
      </w:r>
      <w:r>
        <w:rPr/>
        <w:t>42.47%</w:t>
      </w:r>
      <w:r>
        <w:rPr/>
        <w:t>，低点</w:t>
      </w:r>
      <w:r>
        <w:rPr/>
        <w:t>88.65</w:t>
      </w:r>
      <w:r>
        <w:rPr/>
        <w:t>，现价高</w:t>
      </w:r>
      <w:r>
        <w:rPr/>
        <w:t>20.70%</w:t>
      </w:r>
      <w:r>
        <w:rPr/>
        <w:t>，窗口最大回撤约</w:t>
      </w:r>
      <w:r>
        <w:rPr/>
        <w:t>51.59%</w:t>
      </w:r>
      <w:r>
        <w:rPr/>
        <w:t>。二百五十二交易日不一定恰好等于此前五十二自然周，因此其中包含</w:t>
      </w:r>
      <w:r>
        <w:rPr/>
        <w:t>2025</w:t>
      </w:r>
      <w:r>
        <w:rPr/>
        <w:t>年十月初高点；不能与行情页面自然五十二周最高约</w:t>
      </w:r>
      <w:r>
        <w:rPr/>
        <w:t>175</w:t>
      </w:r>
      <w:r>
        <w:rPr/>
        <w:t>港元直接混用。周线五十二周聚合高点也有不同边界，报告明确各自窗口。</w:t>
      </w:r>
    </w:p>
    <w:p>
      <w:pPr>
        <w:pStyle w:val="Normal"/>
        <w:rPr/>
      </w:pPr>
      <w:r>
        <w:rPr/>
        <w:t>股价从高位明显下降并不等于基本面折价同样增加，因为利润和现金已经改变。当前按</w:t>
      </w:r>
      <w:r>
        <w:rPr/>
        <w:t>2026</w:t>
      </w:r>
      <w:r>
        <w:rPr/>
        <w:t>财年官方</w:t>
      </w:r>
      <w:r>
        <w:rPr/>
        <w:t>non-GAAP</w:t>
      </w:r>
      <w:r>
        <w:rPr/>
        <w:t>摊薄</w:t>
      </w:r>
      <w:r>
        <w:rPr/>
        <w:t>EPS3.35</w:t>
      </w:r>
      <w:r>
        <w:rPr/>
        <w:t>元和研究汇率计算</w:t>
      </w:r>
      <w:r>
        <w:rPr/>
        <w:t>PE</w:t>
      </w:r>
      <w:r>
        <w:rPr/>
        <w:t>约</w:t>
      </w:r>
      <w:r>
        <w:rPr/>
        <w:t>29.04</w:t>
      </w:r>
      <w:r>
        <w:rPr/>
        <w:t>倍，而按</w:t>
      </w:r>
      <w:r>
        <w:rPr/>
        <w:t>2025</w:t>
      </w:r>
      <w:r>
        <w:rPr/>
        <w:t>财年</w:t>
      </w:r>
      <w:r>
        <w:rPr/>
        <w:t>EPS8.18</w:t>
      </w:r>
      <w:r>
        <w:rPr/>
        <w:t>元约</w:t>
      </w:r>
      <w:r>
        <w:rPr/>
        <w:t>11.89</w:t>
      </w:r>
      <w:r>
        <w:rPr/>
        <w:t>倍。若只用高利润旧财年，就会得到看起来很低的倍数；若只用最弱季度乘四，又可能过度悲观。应分析利润低谷能否恢复以及恢复成本。</w:t>
      </w:r>
    </w:p>
    <w:p>
      <w:pPr>
        <w:pStyle w:val="Normal"/>
        <w:rPr/>
      </w:pPr>
      <w:r>
        <w:rPr/>
        <w:t>近似滚动</w:t>
      </w:r>
      <w:r>
        <w:rPr/>
        <w:t>EPS</w:t>
      </w:r>
      <w:r>
        <w:rPr/>
        <w:t>为</w:t>
      </w:r>
      <w:r>
        <w:rPr/>
        <w:t>3.35</w:t>
      </w:r>
      <w:r>
        <w:rPr/>
        <w:t>减去年六月</w:t>
      </w:r>
      <w:r>
        <w:rPr/>
        <w:t>1.84</w:t>
      </w:r>
      <w:r>
        <w:rPr/>
        <w:t>加今年六月</w:t>
      </w:r>
      <w:r>
        <w:rPr/>
        <w:t>1.07</w:t>
      </w:r>
      <w:r>
        <w:rPr/>
        <w:t>，得到</w:t>
      </w:r>
      <w:r>
        <w:rPr/>
        <w:t>2.58</w:t>
      </w:r>
      <w:r>
        <w:rPr/>
        <w:t>元，研究</w:t>
      </w:r>
      <w:r>
        <w:rPr/>
        <w:t>PE</w:t>
      </w:r>
      <w:r>
        <w:rPr/>
        <w:t>约</w:t>
      </w:r>
      <w:r>
        <w:rPr/>
        <w:t>37.70</w:t>
      </w:r>
      <w:r>
        <w:rPr/>
        <w:t>倍。不同期间使用不同加权股数，此滚动加总只是近似，不冒充公司正式</w:t>
      </w:r>
      <w:r>
        <w:rPr/>
        <w:t>TTM</w:t>
      </w:r>
      <w:r>
        <w:rPr/>
        <w:t>。它的用途是提醒当前低价格与低估值之间存在区别。主模型采用未来经营桥，而不是在历史倍数中择取最便宜数字。</w:t>
      </w:r>
    </w:p>
    <w:p>
      <w:pPr>
        <w:pStyle w:val="Normal"/>
        <w:rPr/>
      </w:pPr>
      <w:r>
        <w:rPr/>
        <w:t>历史图形不能推断未公开的机构行为。复权系列与最新名义收盘连接后可以分析趋势，若未来有公司行动，须重算支持阻力与回报，不把旧复权价机械套到新价格。模型输入修改后应标记待刷新，保留旧快照日期，避免研究初版被误认为实时交易结论。</w:t>
      </w:r>
    </w:p>
    <w:p>
      <w:pPr>
        <w:pStyle w:val="Heading2"/>
        <w:rPr/>
      </w:pPr>
      <w:r>
        <w:rPr>
          <w:color w:val="000000"/>
        </w:rPr>
        <w:t>二十三 主动估值模型的逻辑</w:t>
      </w:r>
    </w:p>
    <w:p>
      <w:pPr>
        <w:pStyle w:val="Normal"/>
        <w:rPr/>
      </w:pPr>
      <w:r>
        <w:rPr/>
        <w:t>本研究单套活动模型先计算各情景的</w:t>
      </w:r>
      <w:r>
        <w:rPr/>
        <w:t>NTM</w:t>
      </w:r>
      <w:r>
        <w:rPr/>
        <w:t>电商调整</w:t>
      </w:r>
      <w:r>
        <w:rPr/>
        <w:t>EBITA</w:t>
      </w:r>
      <w:r>
        <w:rPr/>
        <w:t>、云与计算</w:t>
      </w:r>
      <w:r>
        <w:rPr/>
        <w:t>EBITA</w:t>
      </w:r>
      <w:r>
        <w:rPr/>
        <w:t>、</w:t>
      </w:r>
      <w:r>
        <w:rPr/>
        <w:t>AI</w:t>
      </w:r>
      <w:r>
        <w:rPr/>
        <w:t>实验室与应用</w:t>
      </w:r>
      <w:r>
        <w:rPr/>
        <w:t>EBITA</w:t>
      </w:r>
      <w:r>
        <w:rPr/>
        <w:t>、其他总部及抵销</w:t>
      </w:r>
      <w:r>
        <w:rPr/>
        <w:t>EBITA</w:t>
      </w:r>
      <w:r>
        <w:rPr/>
        <w:t>，然后将合计乘</w:t>
      </w:r>
      <w:r>
        <w:rPr/>
        <w:t>78%</w:t>
      </w:r>
      <w:r>
        <w:rPr/>
        <w:t>，加税后利息与联营等净贡献，除摊薄普通股数。每股收益先四舍五入至两位，再乘相应</w:t>
      </w:r>
      <w:r>
        <w:rPr/>
        <w:t>PE</w:t>
      </w:r>
      <w:r>
        <w:rPr/>
        <w:t>和</w:t>
      </w:r>
      <w:r>
        <w:rPr/>
        <w:t>1.10</w:t>
      </w:r>
      <w:r>
        <w:rPr/>
        <w:t>研究汇率，目标价保留两位。三种情景按同一过程生成快照，避免使用不同公式挑选更高结果。</w:t>
      </w:r>
    </w:p>
    <w:p>
      <w:pPr>
        <w:pStyle w:val="Normal"/>
        <w:rPr/>
      </w:pPr>
      <w:r>
        <w:rPr/>
        <w:t>这是一套经营桥加</w:t>
      </w:r>
      <w:r>
        <w:rPr/>
        <w:t>PE</w:t>
      </w:r>
      <w:r>
        <w:rPr/>
        <w:t>的公开估值，不是完整分部现金流贴现。它适合把盈利恢复与价格假设明确连接，但对资本建设后现金回收存在简化。模型已用较宽利润、股数、倍数与风险分数反映资金压力，且披露资本开支，不能宣称已经精确证明每个计算项目净现值。未来有完整合同、设备回本和现金流信息时，可用分部</w:t>
      </w:r>
      <w:r>
        <w:rPr/>
        <w:t>DCF</w:t>
      </w:r>
      <w:r>
        <w:rPr/>
        <w:t>进一步交叉核验。</w:t>
      </w:r>
    </w:p>
    <w:p>
      <w:pPr>
        <w:pStyle w:val="Normal"/>
        <w:rPr/>
      </w:pPr>
      <w:r>
        <w:rPr/>
        <w:t>PE</w:t>
      </w:r>
      <w:r>
        <w:rPr/>
        <w:t>针对未来归属股东的调整盈利，其中包括税后金融和联营净贡献，因此模型不再加全部净现金、蚂蚁或云独立估值。股份报酬等调整不意味着经济成本消失，股数桥与风险分析需体现。若改用分部企业价值，必须剥离金融收益、核非控股权益和有息债，再进行集团汇总，不应混合两套估值。</w:t>
      </w:r>
    </w:p>
    <w:p>
      <w:pPr>
        <w:pStyle w:val="Normal"/>
        <w:rPr/>
      </w:pPr>
      <w:r>
        <w:rPr/>
        <w:t>模型在预测中使用的税后其他贡献仅</w:t>
      </w:r>
      <w:r>
        <w:rPr/>
        <w:t>40</w:t>
      </w:r>
      <w:r>
        <w:rPr/>
        <w:t>至</w:t>
      </w:r>
      <w:r>
        <w:rPr/>
        <w:t>60</w:t>
      </w:r>
      <w:r>
        <w:rPr/>
        <w:t>亿元附近，不把六月投资处置重估带来的</w:t>
      </w:r>
      <w:r>
        <w:rPr/>
        <w:t>90.04</w:t>
      </w:r>
      <w:r>
        <w:rPr/>
        <w:t>亿元净利息投资收入机械年化。阿里记录联营结果有一季时差，蚂蚁六月账面贡献并非蚂蚁六月即期经营。保守净贡献用于避免投资市场波动对主业务估值造成虚假高利润，同时允许未来披露修改。</w:t>
      </w:r>
    </w:p>
    <w:p>
      <w:pPr>
        <w:pStyle w:val="Heading2"/>
        <w:rPr/>
      </w:pPr>
      <w:r>
        <w:rPr>
          <w:color w:val="000000"/>
        </w:rPr>
        <w:t>二十四 年底情景成立条件</w:t>
      </w:r>
    </w:p>
    <w:p>
      <w:pPr>
        <w:pStyle w:val="Normal"/>
        <w:rPr/>
      </w:pPr>
      <w:r>
        <w:rPr/>
        <w:t>年底基准年度</w:t>
      </w:r>
      <w:r>
        <w:rPr/>
        <w:t>NTM</w:t>
      </w:r>
      <w:r>
        <w:rPr/>
        <w:t>电商</w:t>
      </w:r>
      <w:r>
        <w:rPr/>
        <w:t>EBITA1660</w:t>
      </w:r>
      <w:r>
        <w:rPr/>
        <w:t>亿元、云计算</w:t>
      </w:r>
      <w:r>
        <w:rPr/>
        <w:t>340</w:t>
      </w:r>
      <w:r>
        <w:rPr/>
        <w:t>亿元、</w:t>
      </w:r>
      <w:r>
        <w:rPr/>
        <w:t>AI</w:t>
      </w:r>
      <w:r>
        <w:rPr/>
        <w:t>实验室亏损</w:t>
      </w:r>
      <w:r>
        <w:rPr/>
        <w:t>540</w:t>
      </w:r>
      <w:r>
        <w:rPr/>
        <w:t>亿元、其他及抵销亏损</w:t>
      </w:r>
      <w:r>
        <w:rPr/>
        <w:t>100</w:t>
      </w:r>
      <w:r>
        <w:rPr/>
        <w:t>亿元，合计</w:t>
      </w:r>
      <w:r>
        <w:rPr/>
        <w:t>1360</w:t>
      </w:r>
      <w:r>
        <w:rPr/>
        <w:t>亿元；按</w:t>
      </w:r>
      <w:r>
        <w:rPr/>
        <w:t>78%</w:t>
      </w:r>
      <w:r>
        <w:rPr/>
        <w:t>加税后其他</w:t>
      </w:r>
      <w:r>
        <w:rPr/>
        <w:t>40</w:t>
      </w:r>
      <w:r>
        <w:rPr/>
        <w:t>亿元，归属盈利近</w:t>
      </w:r>
      <w:r>
        <w:rPr/>
        <w:t>1100.8</w:t>
      </w:r>
      <w:r>
        <w:rPr/>
        <w:t>亿元，除</w:t>
      </w:r>
      <w:r>
        <w:rPr/>
        <w:t>200</w:t>
      </w:r>
      <w:r>
        <w:rPr/>
        <w:t>亿股得到约</w:t>
      </w:r>
      <w:r>
        <w:rPr/>
        <w:t>5.50</w:t>
      </w:r>
      <w:r>
        <w:rPr/>
        <w:t>元</w:t>
      </w:r>
      <w:r>
        <w:rPr/>
        <w:t>EPS</w:t>
      </w:r>
      <w:r>
        <w:rPr/>
        <w:t>。以</w:t>
      </w:r>
      <w:r>
        <w:rPr/>
        <w:t>22</w:t>
      </w:r>
      <w:r>
        <w:rPr/>
        <w:t>倍和</w:t>
      </w:r>
      <w:r>
        <w:rPr/>
        <w:t>1.10</w:t>
      </w:r>
      <w:r>
        <w:rPr/>
        <w:t>汇率计算</w:t>
      </w:r>
      <w:r>
        <w:rPr/>
        <w:t>133.10</w:t>
      </w:r>
      <w:r>
        <w:rPr/>
        <w:t>港元。基准要求传统电商维持利润、即时亏损较历史低谷改善、云规模扩张，同时实验室仍有很大投入，并不是所有新业务立即盈利。</w:t>
      </w:r>
    </w:p>
    <w:p>
      <w:pPr>
        <w:pStyle w:val="Normal"/>
        <w:rPr/>
      </w:pPr>
      <w:r>
        <w:rPr/>
        <w:t>悲观电商</w:t>
      </w:r>
      <w:r>
        <w:rPr/>
        <w:t>1350</w:t>
      </w:r>
      <w:r>
        <w:rPr/>
        <w:t>亿元、云</w:t>
      </w:r>
      <w:r>
        <w:rPr/>
        <w:t>240</w:t>
      </w:r>
      <w:r>
        <w:rPr/>
        <w:t>亿元、实验室亏</w:t>
      </w:r>
      <w:r>
        <w:rPr/>
        <w:t>560</w:t>
      </w:r>
      <w:r>
        <w:rPr/>
        <w:t>亿元、其他亏</w:t>
      </w:r>
      <w:r>
        <w:rPr/>
        <w:t>180</w:t>
      </w:r>
      <w:r>
        <w:rPr/>
        <w:t>亿元，合计</w:t>
      </w:r>
      <w:r>
        <w:rPr/>
        <w:t>850</w:t>
      </w:r>
      <w:r>
        <w:rPr/>
        <w:t>亿元；税后加</w:t>
      </w:r>
      <w:r>
        <w:rPr/>
        <w:t>50</w:t>
      </w:r>
      <w:r>
        <w:rPr/>
        <w:t>亿元贡献并除</w:t>
      </w:r>
      <w:r>
        <w:rPr/>
        <w:t>205</w:t>
      </w:r>
      <w:r>
        <w:rPr/>
        <w:t>亿股，</w:t>
      </w:r>
      <w:r>
        <w:rPr/>
        <w:t>EPS</w:t>
      </w:r>
      <w:r>
        <w:rPr/>
        <w:t>约</w:t>
      </w:r>
      <w:r>
        <w:rPr/>
        <w:t>3.48</w:t>
      </w:r>
      <w:r>
        <w:rPr/>
        <w:t>元，以</w:t>
      </w:r>
      <w:r>
        <w:rPr/>
        <w:t>15</w:t>
      </w:r>
      <w:r>
        <w:rPr/>
        <w:t>倍得</w:t>
      </w:r>
      <w:r>
        <w:rPr/>
        <w:t>57.42</w:t>
      </w:r>
      <w:r>
        <w:rPr/>
        <w:t>港元。它表达云增长不能抵销电商与技术开支压力、股数增加、市场对现金消耗降低估值。价格损失约</w:t>
      </w:r>
      <w:r>
        <w:rPr/>
        <w:t>46.34%</w:t>
      </w:r>
      <w:r>
        <w:rPr/>
        <w:t>，区间之外仍可更差，尤其若出现经营亏损或重大融资。</w:t>
      </w:r>
    </w:p>
    <w:p>
      <w:pPr>
        <w:pStyle w:val="Normal"/>
        <w:rPr/>
      </w:pPr>
      <w:r>
        <w:rPr/>
        <w:t>乐观电商</w:t>
      </w:r>
      <w:r>
        <w:rPr/>
        <w:t>1800</w:t>
      </w:r>
      <w:r>
        <w:rPr/>
        <w:t>亿元、云</w:t>
      </w:r>
      <w:r>
        <w:rPr/>
        <w:t>400</w:t>
      </w:r>
      <w:r>
        <w:rPr/>
        <w:t>亿元、实验室亏</w:t>
      </w:r>
      <w:r>
        <w:rPr/>
        <w:t>310</w:t>
      </w:r>
      <w:r>
        <w:rPr/>
        <w:t>亿元、其他亏</w:t>
      </w:r>
      <w:r>
        <w:rPr/>
        <w:t>80</w:t>
      </w:r>
      <w:r>
        <w:rPr/>
        <w:t>亿元，合计</w:t>
      </w:r>
      <w:r>
        <w:rPr/>
        <w:t>1810</w:t>
      </w:r>
      <w:r>
        <w:rPr/>
        <w:t>亿元；税后加</w:t>
      </w:r>
      <w:r>
        <w:rPr/>
        <w:t>50</w:t>
      </w:r>
      <w:r>
        <w:rPr/>
        <w:t>亿元、</w:t>
      </w:r>
      <w:r>
        <w:rPr/>
        <w:t>195</w:t>
      </w:r>
      <w:r>
        <w:rPr/>
        <w:t>亿股得</w:t>
      </w:r>
      <w:r>
        <w:rPr/>
        <w:t>7.50</w:t>
      </w:r>
      <w:r>
        <w:rPr/>
        <w:t>元</w:t>
      </w:r>
      <w:r>
        <w:rPr/>
        <w:t>EPS</w:t>
      </w:r>
      <w:r>
        <w:rPr/>
        <w:t>，以</w:t>
      </w:r>
      <w:r>
        <w:rPr/>
        <w:t>28</w:t>
      </w:r>
      <w:r>
        <w:rPr/>
        <w:t>倍得</w:t>
      </w:r>
      <w:r>
        <w:rPr/>
        <w:t>231</w:t>
      </w:r>
      <w:r>
        <w:rPr/>
        <w:t>港元。这需要盈利恢复与风险溢价改善同时发生，且需要应用投入效率显著改善，不是单靠云季度收入增长</w:t>
      </w:r>
      <w:r>
        <w:rPr/>
        <w:t>45%</w:t>
      </w:r>
      <w:r>
        <w:rPr/>
        <w:t>就能实现。年底剩余时间较短，乐观范围尤其依赖市场对未来盈利的提前定价，应避免将其视为最可能结果。</w:t>
      </w:r>
    </w:p>
    <w:p>
      <w:pPr>
        <w:pStyle w:val="Normal"/>
        <w:rPr/>
      </w:pPr>
      <w:r>
        <w:rPr/>
        <w:t>默认权重下</w:t>
      </w:r>
      <w:r>
        <w:rPr/>
        <w:t>138.655</w:t>
      </w:r>
      <w:r>
        <w:rPr/>
        <w:t>港元，比基准</w:t>
      </w:r>
      <w:r>
        <w:rPr/>
        <w:t>133.10</w:t>
      </w:r>
      <w:r>
        <w:rPr/>
        <w:t>略高，是乐观端更宽的算术结果。若改为悲观</w:t>
      </w:r>
      <w:r>
        <w:rPr/>
        <w:t>40%</w:t>
      </w:r>
      <w:r>
        <w:rPr/>
        <w:t>、基准</w:t>
      </w:r>
      <w:r>
        <w:rPr/>
        <w:t>50%</w:t>
      </w:r>
      <w:r>
        <w:rPr/>
        <w:t>、乐观</w:t>
      </w:r>
      <w:r>
        <w:rPr/>
        <w:t>10%</w:t>
      </w:r>
      <w:r>
        <w:rPr/>
        <w:t>，期望</w:t>
      </w:r>
      <w:r>
        <w:rPr/>
        <w:t>112.618</w:t>
      </w:r>
      <w:r>
        <w:rPr/>
        <w:t>港元、回报</w:t>
      </w:r>
      <w:r>
        <w:rPr/>
        <w:t>5.25%</w:t>
      </w:r>
      <w:r>
        <w:rPr/>
        <w:t>；若为</w:t>
      </w:r>
      <w:r>
        <w:rPr/>
        <w:t>10%</w:t>
      </w:r>
      <w:r>
        <w:rPr/>
        <w:t>、</w:t>
      </w:r>
      <w:r>
        <w:rPr/>
        <w:t>50%</w:t>
      </w:r>
      <w:r>
        <w:rPr/>
        <w:t>、</w:t>
      </w:r>
      <w:r>
        <w:rPr/>
        <w:t>40%</w:t>
      </w:r>
      <w:r>
        <w:rPr/>
        <w:t>，期望</w:t>
      </w:r>
      <w:r>
        <w:rPr/>
        <w:t>164.692</w:t>
      </w:r>
      <w:r>
        <w:rPr/>
        <w:t>港元、回报</w:t>
      </w:r>
      <w:r>
        <w:rPr/>
        <w:t>53.92%</w:t>
      </w:r>
      <w:r>
        <w:rPr/>
        <w:t>。权重敏感说明年底期望很依赖判断选择，不能以单一期望掩盖融资、需求和估值的非对称风险。</w:t>
      </w:r>
    </w:p>
    <w:p>
      <w:pPr>
        <w:pStyle w:val="Heading2"/>
        <w:rPr/>
      </w:pPr>
      <w:r>
        <w:rPr>
          <w:color w:val="000000"/>
        </w:rPr>
        <w:t>二十五 半年和一年的盈利桥</w:t>
      </w:r>
    </w:p>
    <w:p>
      <w:pPr>
        <w:pStyle w:val="Normal"/>
        <w:rPr/>
      </w:pPr>
      <w:r>
        <w:rPr/>
        <w:t>半年基准电商</w:t>
      </w:r>
      <w:r>
        <w:rPr/>
        <w:t>1740</w:t>
      </w:r>
      <w:r>
        <w:rPr/>
        <w:t>亿元、云</w:t>
      </w:r>
      <w:r>
        <w:rPr/>
        <w:t>390</w:t>
      </w:r>
      <w:r>
        <w:rPr/>
        <w:t>亿元、实验室亏</w:t>
      </w:r>
      <w:r>
        <w:rPr/>
        <w:t>540</w:t>
      </w:r>
      <w:r>
        <w:rPr/>
        <w:t>亿元、其他亏</w:t>
      </w:r>
      <w:r>
        <w:rPr/>
        <w:t>30</w:t>
      </w:r>
      <w:r>
        <w:rPr/>
        <w:t>亿元，合计</w:t>
      </w:r>
      <w:r>
        <w:rPr/>
        <w:t>1560</w:t>
      </w:r>
      <w:r>
        <w:rPr/>
        <w:t>亿元；</w:t>
      </w:r>
      <w:r>
        <w:rPr/>
        <w:t>78%</w:t>
      </w:r>
      <w:r>
        <w:rPr/>
        <w:t>税后加</w:t>
      </w:r>
      <w:r>
        <w:rPr/>
        <w:t>40</w:t>
      </w:r>
      <w:r>
        <w:rPr/>
        <w:t>亿元、</w:t>
      </w:r>
      <w:r>
        <w:rPr/>
        <w:t>200</w:t>
      </w:r>
      <w:r>
        <w:rPr/>
        <w:t>亿股，</w:t>
      </w:r>
      <w:r>
        <w:rPr/>
        <w:t>EPS6.28</w:t>
      </w:r>
      <w:r>
        <w:rPr/>
        <w:t>元，以</w:t>
      </w:r>
      <w:r>
        <w:rPr/>
        <w:t>22</w:t>
      </w:r>
      <w:r>
        <w:rPr/>
        <w:t>倍得</w:t>
      </w:r>
      <w:r>
        <w:rPr/>
        <w:t>151.98</w:t>
      </w:r>
      <w:r>
        <w:rPr/>
        <w:t>港元。相对现价约</w:t>
      </w:r>
      <w:r>
        <w:rPr/>
        <w:t>42.04%</w:t>
      </w:r>
      <w:r>
        <w:rPr/>
        <w:t>上涨空间来自盈利恢复与目标倍数，技术证据目前未确认，故半年综合评分仅</w:t>
      </w:r>
      <w:r>
        <w:rPr/>
        <w:t>58.9</w:t>
      </w:r>
      <w:r>
        <w:rPr/>
        <w:t>。即使经营桥合理，市场未必在半年内给予全部估值，需结合后续季度与量价。</w:t>
      </w:r>
    </w:p>
    <w:p>
      <w:pPr>
        <w:pStyle w:val="Normal"/>
        <w:rPr/>
      </w:pPr>
      <w:r>
        <w:rPr/>
        <w:t>一年基准电商</w:t>
      </w:r>
      <w:r>
        <w:rPr/>
        <w:t>1820</w:t>
      </w:r>
      <w:r>
        <w:rPr/>
        <w:t>亿元、云</w:t>
      </w:r>
      <w:r>
        <w:rPr/>
        <w:t>500</w:t>
      </w:r>
      <w:r>
        <w:rPr/>
        <w:t>亿元、实验室亏</w:t>
      </w:r>
      <w:r>
        <w:rPr/>
        <w:t>420</w:t>
      </w:r>
      <w:r>
        <w:rPr/>
        <w:t>亿元、其他亏</w:t>
      </w:r>
      <w:r>
        <w:rPr/>
        <w:t>60</w:t>
      </w:r>
      <w:r>
        <w:rPr/>
        <w:t>亿元，合计</w:t>
      </w:r>
      <w:r>
        <w:rPr/>
        <w:t>1840</w:t>
      </w:r>
      <w:r>
        <w:rPr/>
        <w:t>亿元；税后加</w:t>
      </w:r>
      <w:r>
        <w:rPr/>
        <w:t>50</w:t>
      </w:r>
      <w:r>
        <w:rPr/>
        <w:t>亿元、</w:t>
      </w:r>
      <w:r>
        <w:rPr/>
        <w:t>200</w:t>
      </w:r>
      <w:r>
        <w:rPr/>
        <w:t>亿股，</w:t>
      </w:r>
      <w:r>
        <w:rPr/>
        <w:t>EPS7.43</w:t>
      </w:r>
      <w:r>
        <w:rPr/>
        <w:t>元，以</w:t>
      </w:r>
      <w:r>
        <w:rPr/>
        <w:t>21</w:t>
      </w:r>
      <w:r>
        <w:rPr/>
        <w:t>倍得</w:t>
      </w:r>
      <w:r>
        <w:rPr/>
        <w:t>171.63</w:t>
      </w:r>
      <w:r>
        <w:rPr/>
        <w:t>港元。该</w:t>
      </w:r>
      <w:r>
        <w:rPr/>
        <w:t>EPS</w:t>
      </w:r>
      <w:r>
        <w:rPr/>
        <w:t>仍低于</w:t>
      </w:r>
      <w:r>
        <w:rPr/>
        <w:t>2025</w:t>
      </w:r>
      <w:r>
        <w:rPr/>
        <w:t>财年</w:t>
      </w:r>
      <w:r>
        <w:rPr/>
        <w:t>8.18</w:t>
      </w:r>
      <w:r>
        <w:rPr/>
        <w:t>元，虽明显高于当前近似</w:t>
      </w:r>
      <w:r>
        <w:rPr/>
        <w:t>TTM</w:t>
      </w:r>
      <w:r>
        <w:rPr/>
        <w:t>，核心是恢复而不是无约束新高。基准一年股价回报</w:t>
      </w:r>
      <w:r>
        <w:rPr/>
        <w:t>60.40%</w:t>
      </w:r>
      <w:r>
        <w:rPr/>
        <w:t>，加</w:t>
      </w:r>
      <w:r>
        <w:rPr/>
        <w:t>1.2</w:t>
      </w:r>
      <w:r>
        <w:rPr/>
        <w:t>港元研究分红总回报</w:t>
      </w:r>
      <w:r>
        <w:rPr/>
        <w:t>61.52%</w:t>
      </w:r>
      <w:r>
        <w:rPr/>
        <w:t>。</w:t>
      </w:r>
    </w:p>
    <w:p>
      <w:pPr>
        <w:pStyle w:val="Normal"/>
        <w:rPr/>
      </w:pPr>
      <w:r>
        <w:rPr/>
        <w:t>半年悲观与年底相同</w:t>
      </w:r>
      <w:r>
        <w:rPr/>
        <w:t>3.48</w:t>
      </w:r>
      <w:r>
        <w:rPr/>
        <w:t>元</w:t>
      </w:r>
      <w:r>
        <w:rPr/>
        <w:t>EPS</w:t>
      </w:r>
      <w:r>
        <w:rPr/>
        <w:t>、</w:t>
      </w:r>
      <w:r>
        <w:rPr/>
        <w:t>15</w:t>
      </w:r>
      <w:r>
        <w:rPr/>
        <w:t>倍，因为即使多出观察时间，竞争与资金压力也可能持续，不能按时间线性提高价格。一年悲观</w:t>
      </w:r>
      <w:r>
        <w:rPr/>
        <w:t>EPS3.49</w:t>
      </w:r>
      <w:r>
        <w:rPr/>
        <w:t>、</w:t>
      </w:r>
      <w:r>
        <w:rPr/>
        <w:t>14</w:t>
      </w:r>
      <w:r>
        <w:rPr/>
        <w:t>倍，价格</w:t>
      </w:r>
      <w:r>
        <w:rPr/>
        <w:t>53.75</w:t>
      </w:r>
      <w:r>
        <w:rPr/>
        <w:t>港元，说明市场可能对延迟恢复降低倍数。半年乐观</w:t>
      </w:r>
      <w:r>
        <w:rPr/>
        <w:t>EPS9.02</w:t>
      </w:r>
      <w:r>
        <w:rPr/>
        <w:t>、</w:t>
      </w:r>
      <w:r>
        <w:rPr/>
        <w:t>28</w:t>
      </w:r>
      <w:r>
        <w:rPr/>
        <w:t>倍，</w:t>
      </w:r>
      <w:r>
        <w:rPr/>
        <w:t>277.82</w:t>
      </w:r>
      <w:r>
        <w:rPr/>
        <w:t>港元；一年乐观</w:t>
      </w:r>
      <w:r>
        <w:rPr/>
        <w:t>10.98</w:t>
      </w:r>
      <w:r>
        <w:rPr/>
        <w:t>、</w:t>
      </w:r>
      <w:r>
        <w:rPr/>
        <w:t>27</w:t>
      </w:r>
      <w:r>
        <w:rPr/>
        <w:t>倍，</w:t>
      </w:r>
      <w:r>
        <w:rPr/>
        <w:t>326.11</w:t>
      </w:r>
      <w:r>
        <w:rPr/>
        <w:t>港元，要求收入、利润、效率和资本配置都优于基准，绝非现有财报已证明。</w:t>
      </w:r>
    </w:p>
    <w:p>
      <w:pPr>
        <w:pStyle w:val="Normal"/>
        <w:rPr/>
      </w:pPr>
      <w:r>
        <w:rPr/>
        <w:t>半年主要观察下一批业绩、云外部收入、单位经济性与现金支出，电商季节性和促销会造成季度差异，不能把某个促销季高利润当全年正常水平。一年需要连续几季证明恢复，而非单季费用递延。若资本开支下降只是交付延迟，同时订单也延迟，短期现金改善未必增值；若收入放慢却为了保份额继续投入，一年推荐应降级。</w:t>
      </w:r>
    </w:p>
    <w:p>
      <w:pPr>
        <w:pStyle w:val="Heading2"/>
        <w:rPr/>
      </w:pPr>
      <w:r>
        <w:rPr>
          <w:color w:val="000000"/>
        </w:rPr>
        <w:t>二十六 三年经营结构变化</w:t>
      </w:r>
    </w:p>
    <w:p>
      <w:pPr>
        <w:pStyle w:val="Normal"/>
        <w:rPr/>
      </w:pPr>
      <w:r>
        <w:rPr/>
        <w:t>三年基准电商</w:t>
      </w:r>
      <w:r>
        <w:rPr/>
        <w:t>EBITA2050</w:t>
      </w:r>
      <w:r>
        <w:rPr/>
        <w:t>亿元、云</w:t>
      </w:r>
      <w:r>
        <w:rPr/>
        <w:t>1050</w:t>
      </w:r>
      <w:r>
        <w:rPr/>
        <w:t>亿元、实验室亏</w:t>
      </w:r>
      <w:r>
        <w:rPr/>
        <w:t>420</w:t>
      </w:r>
      <w:r>
        <w:rPr/>
        <w:t>亿元、其他亏</w:t>
      </w:r>
      <w:r>
        <w:rPr/>
        <w:t>40</w:t>
      </w:r>
      <w:r>
        <w:rPr/>
        <w:t>亿元，合计</w:t>
      </w:r>
      <w:r>
        <w:rPr/>
        <w:t>2640</w:t>
      </w:r>
      <w:r>
        <w:rPr/>
        <w:t>亿元；税后加</w:t>
      </w:r>
      <w:r>
        <w:rPr/>
        <w:t>60</w:t>
      </w:r>
      <w:r>
        <w:rPr/>
        <w:t>亿元、</w:t>
      </w:r>
      <w:r>
        <w:rPr/>
        <w:t>193</w:t>
      </w:r>
      <w:r>
        <w:rPr/>
        <w:t>亿股，</w:t>
      </w:r>
      <w:r>
        <w:rPr/>
        <w:t>EPS10.98</w:t>
      </w:r>
      <w:r>
        <w:rPr/>
        <w:t>元，以</w:t>
      </w:r>
      <w:r>
        <w:rPr/>
        <w:t>20</w:t>
      </w:r>
      <w:r>
        <w:rPr/>
        <w:t>倍得</w:t>
      </w:r>
      <w:r>
        <w:rPr/>
        <w:t>241.56</w:t>
      </w:r>
      <w:r>
        <w:rPr/>
        <w:t>港元。云利润不再是小补充，但仍保留模型与应用投入。基准股票涨幅</w:t>
      </w:r>
      <w:r>
        <w:rPr/>
        <w:t>125.76%</w:t>
      </w:r>
      <w:r>
        <w:rPr/>
        <w:t>，累计</w:t>
      </w:r>
      <w:r>
        <w:rPr/>
        <w:t>4.5</w:t>
      </w:r>
      <w:r>
        <w:rPr/>
        <w:t>港元研究分红后总回报</w:t>
      </w:r>
      <w:r>
        <w:rPr/>
        <w:t>129.96%</w:t>
      </w:r>
      <w:r>
        <w:rPr/>
        <w:t>，按不再投资现金的期末价值计算年化约</w:t>
      </w:r>
      <w:r>
        <w:rPr/>
        <w:t>31.99%</w:t>
      </w:r>
      <w:r>
        <w:rPr/>
        <w:t>。</w:t>
      </w:r>
    </w:p>
    <w:p>
      <w:pPr>
        <w:pStyle w:val="Normal"/>
        <w:rPr/>
      </w:pPr>
      <w:r>
        <w:rPr/>
        <w:t>云基准利润</w:t>
      </w:r>
      <w:r>
        <w:rPr/>
        <w:t>1050</w:t>
      </w:r>
      <w:r>
        <w:rPr/>
        <w:t>亿元必须有相当收入规模与利润率支撑，例如按约</w:t>
      </w:r>
      <w:r>
        <w:rPr/>
        <w:t>20%</w:t>
      </w:r>
      <w:r>
        <w:rPr/>
        <w:t>分部利润率，需要约</w:t>
      </w:r>
      <w:r>
        <w:rPr/>
        <w:t>5250</w:t>
      </w:r>
      <w:r>
        <w:rPr/>
        <w:t>亿元年收入。这里是敏感性解释，并不是已发布公司收入预测。若利润率只有</w:t>
      </w:r>
      <w:r>
        <w:rPr/>
        <w:t>15%</w:t>
      </w:r>
      <w:r>
        <w:rPr/>
        <w:t>，同收入对应利润</w:t>
      </w:r>
      <w:r>
        <w:rPr/>
        <w:t>787.5</w:t>
      </w:r>
      <w:r>
        <w:rPr/>
        <w:t>亿元，差额</w:t>
      </w:r>
      <w:r>
        <w:rPr/>
        <w:t>262.5</w:t>
      </w:r>
      <w:r>
        <w:rPr/>
        <w:t>亿元会通过税和股数下调</w:t>
      </w:r>
      <w:r>
        <w:rPr/>
        <w:t>EPS</w:t>
      </w:r>
      <w:r>
        <w:rPr/>
        <w:t>及价格。长期判断必须同时展示收入与利润率，不能只给一条漂亮增长线。</w:t>
      </w:r>
    </w:p>
    <w:p>
      <w:pPr>
        <w:pStyle w:val="Normal"/>
        <w:rPr/>
      </w:pPr>
      <w:r>
        <w:rPr/>
        <w:t>三年乐观云</w:t>
      </w:r>
      <w:r>
        <w:rPr/>
        <w:t>EBITA1900</w:t>
      </w:r>
      <w:r>
        <w:rPr/>
        <w:t>亿元、电商</w:t>
      </w:r>
      <w:r>
        <w:rPr/>
        <w:t>2500</w:t>
      </w:r>
      <w:r>
        <w:rPr/>
        <w:t>亿元、实验室亏</w:t>
      </w:r>
      <w:r>
        <w:rPr/>
        <w:t>180</w:t>
      </w:r>
      <w:r>
        <w:rPr/>
        <w:t>亿元、其他盈利</w:t>
      </w:r>
      <w:r>
        <w:rPr/>
        <w:t>120</w:t>
      </w:r>
      <w:r>
        <w:rPr/>
        <w:t>亿元，合计</w:t>
      </w:r>
      <w:r>
        <w:rPr/>
        <w:t>4340</w:t>
      </w:r>
      <w:r>
        <w:rPr/>
        <w:t>亿元，股数</w:t>
      </w:r>
      <w:r>
        <w:rPr/>
        <w:t>192</w:t>
      </w:r>
      <w:r>
        <w:rPr/>
        <w:t>亿、</w:t>
      </w:r>
      <w:r>
        <w:rPr/>
        <w:t>EPS17.94</w:t>
      </w:r>
      <w:r>
        <w:rPr/>
        <w:t>，以</w:t>
      </w:r>
      <w:r>
        <w:rPr/>
        <w:t>27</w:t>
      </w:r>
      <w:r>
        <w:rPr/>
        <w:t>倍得</w:t>
      </w:r>
      <w:r>
        <w:rPr/>
        <w:t>532.82</w:t>
      </w:r>
      <w:r>
        <w:rPr/>
        <w:t>港元。它需要更广客户需求、模型服务高利润和资本回报改善。悲观合计</w:t>
      </w:r>
      <w:r>
        <w:rPr/>
        <w:t>750</w:t>
      </w:r>
      <w:r>
        <w:rPr/>
        <w:t>亿元、股数</w:t>
      </w:r>
      <w:r>
        <w:rPr/>
        <w:t>210</w:t>
      </w:r>
      <w:r>
        <w:rPr/>
        <w:t>亿、</w:t>
      </w:r>
      <w:r>
        <w:rPr/>
        <w:t>EPS3.02</w:t>
      </w:r>
      <w:r>
        <w:rPr/>
        <w:t>，以</w:t>
      </w:r>
      <w:r>
        <w:rPr/>
        <w:t>12</w:t>
      </w:r>
      <w:r>
        <w:rPr/>
        <w:t>倍得</w:t>
      </w:r>
      <w:r>
        <w:rPr/>
        <w:t>39.86</w:t>
      </w:r>
      <w:r>
        <w:rPr/>
        <w:t>港元，反映重投入长期未产生足够利润及摊薄。</w:t>
      </w:r>
    </w:p>
    <w:p>
      <w:pPr>
        <w:pStyle w:val="Normal"/>
        <w:rPr/>
      </w:pPr>
      <w:r>
        <w:rPr/>
        <w:t>三年失败路径包含人工智能需求变成低毛利计算租赁、平台电商利润被更高频新入口侵蚀、模型投入难以降低、设备更新使现金继续紧。成功路径则是产业需求、模型变现与平台服务互相增益，同时资本回收改善。区别不在公司是否拥有先进技术，而在技术能否在竞争市场中形成持续股东收益。</w:t>
      </w:r>
    </w:p>
    <w:p>
      <w:pPr>
        <w:pStyle w:val="Heading2"/>
        <w:rPr/>
      </w:pPr>
      <w:r>
        <w:rPr>
          <w:color w:val="000000"/>
        </w:rPr>
        <w:t>二十七 五年与十年持续性</w:t>
      </w:r>
    </w:p>
    <w:p>
      <w:pPr>
        <w:pStyle w:val="Normal"/>
        <w:rPr/>
      </w:pPr>
      <w:r>
        <w:rPr/>
        <w:t>五年基准电商</w:t>
      </w:r>
      <w:r>
        <w:rPr/>
        <w:t>2300</w:t>
      </w:r>
      <w:r>
        <w:rPr/>
        <w:t>亿元、云</w:t>
      </w:r>
      <w:r>
        <w:rPr/>
        <w:t>1730</w:t>
      </w:r>
      <w:r>
        <w:rPr/>
        <w:t>亿元、实验室亏</w:t>
      </w:r>
      <w:r>
        <w:rPr/>
        <w:t>410</w:t>
      </w:r>
      <w:r>
        <w:rPr/>
        <w:t>亿元、其他亏</w:t>
      </w:r>
      <w:r>
        <w:rPr/>
        <w:t>20</w:t>
      </w:r>
      <w:r>
        <w:rPr/>
        <w:t>亿元，合计</w:t>
      </w:r>
      <w:r>
        <w:rPr/>
        <w:t>3600</w:t>
      </w:r>
      <w:r>
        <w:rPr/>
        <w:t>亿元；税后加</w:t>
      </w:r>
      <w:r>
        <w:rPr/>
        <w:t>60</w:t>
      </w:r>
      <w:r>
        <w:rPr/>
        <w:t>亿元、</w:t>
      </w:r>
      <w:r>
        <w:rPr/>
        <w:t>191</w:t>
      </w:r>
      <w:r>
        <w:rPr/>
        <w:t>亿股，</w:t>
      </w:r>
      <w:r>
        <w:rPr/>
        <w:t>EPS15.02</w:t>
      </w:r>
      <w:r>
        <w:rPr/>
        <w:t>元，以</w:t>
      </w:r>
      <w:r>
        <w:rPr/>
        <w:t>18</w:t>
      </w:r>
      <w:r>
        <w:rPr/>
        <w:t>倍得</w:t>
      </w:r>
      <w:r>
        <w:rPr/>
        <w:t>297.40</w:t>
      </w:r>
      <w:r>
        <w:rPr/>
        <w:t>港元。云利润若按</w:t>
      </w:r>
      <w:r>
        <w:rPr/>
        <w:t>20%</w:t>
      </w:r>
      <w:r>
        <w:rPr/>
        <w:t>对应收入约</w:t>
      </w:r>
      <w:r>
        <w:rPr/>
        <w:t>8650</w:t>
      </w:r>
      <w:r>
        <w:rPr/>
        <w:t>亿元，规模已相当可观，要求公司持续扩大外部商业化。低于一年目标的长期</w:t>
      </w:r>
      <w:r>
        <w:rPr/>
        <w:t>PE</w:t>
      </w:r>
      <w:r>
        <w:rPr/>
        <w:t>体现成长成熟、供应周期和长期不确定性，而非无限保持成长溢价。</w:t>
      </w:r>
    </w:p>
    <w:p>
      <w:pPr>
        <w:pStyle w:val="Normal"/>
        <w:rPr/>
      </w:pPr>
      <w:r>
        <w:rPr/>
        <w:t>五年基准价格上涨</w:t>
      </w:r>
      <w:r>
        <w:rPr/>
        <w:t>177.94%</w:t>
      </w:r>
      <w:r>
        <w:rPr/>
        <w:t>，加累计</w:t>
      </w:r>
      <w:r>
        <w:rPr/>
        <w:t>8</w:t>
      </w:r>
      <w:r>
        <w:rPr/>
        <w:t>港元分红总回报</w:t>
      </w:r>
      <w:r>
        <w:rPr/>
        <w:t>185.42%</w:t>
      </w:r>
      <w:r>
        <w:rPr/>
        <w:t>，不再投资年化约</w:t>
      </w:r>
      <w:r>
        <w:rPr/>
        <w:t>23.34%</w:t>
      </w:r>
      <w:r>
        <w:rPr/>
        <w:t>。乐观</w:t>
      </w:r>
      <w:r>
        <w:rPr/>
        <w:t>EPS27.97</w:t>
      </w:r>
      <w:r>
        <w:rPr/>
        <w:t>、</w:t>
      </w:r>
      <w:r>
        <w:rPr/>
        <w:t>25</w:t>
      </w:r>
      <w:r>
        <w:rPr/>
        <w:t>倍得</w:t>
      </w:r>
      <w:r>
        <w:rPr/>
        <w:t>769.18</w:t>
      </w:r>
      <w:r>
        <w:rPr/>
        <w:t>港元，悲观</w:t>
      </w:r>
      <w:r>
        <w:rPr/>
        <w:t>EPS2.49</w:t>
      </w:r>
      <w:r>
        <w:rPr/>
        <w:t>、</w:t>
      </w:r>
      <w:r>
        <w:rPr/>
        <w:t>10</w:t>
      </w:r>
      <w:r>
        <w:rPr/>
        <w:t>倍得</w:t>
      </w:r>
      <w:r>
        <w:rPr/>
        <w:t>27.39</w:t>
      </w:r>
      <w:r>
        <w:rPr/>
        <w:t>港元。乐观云利润</w:t>
      </w:r>
      <w:r>
        <w:rPr/>
        <w:t>3630</w:t>
      </w:r>
      <w:r>
        <w:rPr/>
        <w:t>亿元可对应约</w:t>
      </w:r>
      <w:r>
        <w:rPr/>
        <w:t>25%</w:t>
      </w:r>
      <w:r>
        <w:rPr/>
        <w:t>利润率与</w:t>
      </w:r>
      <w:r>
        <w:rPr/>
        <w:t>1.45</w:t>
      </w:r>
      <w:r>
        <w:rPr/>
        <w:t>万亿元收入，属于很高经营要求；悲观则技术投入和平台竞争持续，股数</w:t>
      </w:r>
      <w:r>
        <w:rPr/>
        <w:t>220</w:t>
      </w:r>
      <w:r>
        <w:rPr/>
        <w:t>亿。长时间并不确保回到历史高位，失败的经济模型会放大损失。</w:t>
      </w:r>
    </w:p>
    <w:p>
      <w:pPr>
        <w:pStyle w:val="Normal"/>
        <w:rPr/>
      </w:pPr>
      <w:r>
        <w:rPr/>
        <w:t>十年展望不提供精确股价。电商仍可能有价值，但交易入口、消费者习惯和商家自主经营方式会变化；人工智能基础设施可能像其他基础设施一样扩张后进入价格与效率竞争。阿里能否长期获利取决于企业服务可靠性、供给网络、资本分配、自研系统效率与用户信任。拥有大客户和生态有利，却不能免除技术替代与行业整合。</w:t>
      </w:r>
    </w:p>
    <w:p>
      <w:pPr>
        <w:pStyle w:val="Normal"/>
        <w:rPr/>
      </w:pPr>
      <w:r>
        <w:rPr/>
        <w:t>管理层提出长期外部云收入与利润率目标，本文把其作为管理层方向，不按承诺收入直接估值。十年持续性需看投入资本收益是否持续高于资金成本、维护与更新开支是否可由经营现金覆盖、股东权益是否被反复融资稀释。若长期只是以越来越大资本维持增长，即使收入成为行业领先，普通股年化回报仍可能低。</w:t>
      </w:r>
    </w:p>
    <w:p>
      <w:pPr>
        <w:pStyle w:val="Heading2"/>
        <w:rPr/>
      </w:pPr>
      <w:r>
        <w:rPr>
          <w:color w:val="000000"/>
        </w:rPr>
        <w:t>二十八 估值敏感性与机构参照</w:t>
      </w:r>
    </w:p>
    <w:p>
      <w:pPr>
        <w:pStyle w:val="Normal"/>
        <w:rPr/>
      </w:pPr>
      <w:r>
        <w:rPr/>
        <w:t>一年基准</w:t>
      </w:r>
      <w:r>
        <w:rPr/>
        <w:t>EPS7.43</w:t>
      </w:r>
      <w:r>
        <w:rPr/>
        <w:t>元，在</w:t>
      </w:r>
      <w:r>
        <w:rPr/>
        <w:t>18</w:t>
      </w:r>
      <w:r>
        <w:rPr/>
        <w:t>、</w:t>
      </w:r>
      <w:r>
        <w:rPr/>
        <w:t>21</w:t>
      </w:r>
      <w:r>
        <w:rPr/>
        <w:t>、</w:t>
      </w:r>
      <w:r>
        <w:rPr/>
        <w:t>24</w:t>
      </w:r>
      <w:r>
        <w:rPr/>
        <w:t>倍</w:t>
      </w:r>
      <w:r>
        <w:rPr/>
        <w:t>PE</w:t>
      </w:r>
      <w:r>
        <w:rPr/>
        <w:t>和</w:t>
      </w:r>
      <w:r>
        <w:rPr/>
        <w:t>1.10</w:t>
      </w:r>
      <w:r>
        <w:rPr/>
        <w:t>汇率下，价格约</w:t>
      </w:r>
      <w:r>
        <w:rPr/>
        <w:t>147.11</w:t>
      </w:r>
      <w:r>
        <w:rPr/>
        <w:t>、</w:t>
      </w:r>
      <w:r>
        <w:rPr/>
        <w:t>171.63</w:t>
      </w:r>
      <w:r>
        <w:rPr/>
        <w:t>、</w:t>
      </w:r>
      <w:r>
        <w:rPr/>
        <w:t>196.15</w:t>
      </w:r>
      <w:r>
        <w:rPr/>
        <w:t>港元；同样</w:t>
      </w:r>
      <w:r>
        <w:rPr/>
        <w:t>21</w:t>
      </w:r>
      <w:r>
        <w:rPr/>
        <w:t>倍下，</w:t>
      </w:r>
      <w:r>
        <w:rPr/>
        <w:t>EPS</w:t>
      </w:r>
      <w:r>
        <w:rPr/>
        <w:t>低或高</w:t>
      </w:r>
      <w:r>
        <w:rPr/>
        <w:t>20%</w:t>
      </w:r>
      <w:r>
        <w:rPr/>
        <w:t>会使价格大致同比改变。三年云分部</w:t>
      </w:r>
      <w:r>
        <w:rPr/>
        <w:t>EBITA</w:t>
      </w:r>
      <w:r>
        <w:rPr/>
        <w:t>每变化</w:t>
      </w:r>
      <w:r>
        <w:rPr/>
        <w:t>100</w:t>
      </w:r>
      <w:r>
        <w:rPr/>
        <w:t>亿元，按</w:t>
      </w:r>
      <w:r>
        <w:rPr/>
        <w:t>22%</w:t>
      </w:r>
      <w:r>
        <w:rPr/>
        <w:t>税率、</w:t>
      </w:r>
      <w:r>
        <w:rPr/>
        <w:t>193</w:t>
      </w:r>
      <w:r>
        <w:rPr/>
        <w:t>亿股约改变</w:t>
      </w:r>
      <w:r>
        <w:rPr/>
        <w:t>EPS0.404</w:t>
      </w:r>
      <w:r>
        <w:rPr/>
        <w:t>元，</w:t>
      </w:r>
      <w:r>
        <w:rPr/>
        <w:t>20</w:t>
      </w:r>
      <w:r>
        <w:rPr/>
        <w:t>倍与</w:t>
      </w:r>
      <w:r>
        <w:rPr/>
        <w:t>1.10</w:t>
      </w:r>
      <w:r>
        <w:rPr/>
        <w:t>汇率下股价约改变</w:t>
      </w:r>
      <w:r>
        <w:rPr/>
        <w:t>8.89</w:t>
      </w:r>
      <w:r>
        <w:rPr/>
        <w:t>港元。这个敏感性显示利润实现比目标价小数点更重要。</w:t>
      </w:r>
    </w:p>
    <w:p>
      <w:pPr>
        <w:pStyle w:val="Normal"/>
        <w:rPr/>
      </w:pPr>
      <w:r>
        <w:rPr/>
        <w:t>一年若摊薄股数从</w:t>
      </w:r>
      <w:r>
        <w:rPr/>
        <w:t>200</w:t>
      </w:r>
      <w:r>
        <w:rPr/>
        <w:t>亿变为</w:t>
      </w:r>
      <w:r>
        <w:rPr/>
        <w:t>220</w:t>
      </w:r>
      <w:r>
        <w:rPr/>
        <w:t>亿而归属利润不变，</w:t>
      </w:r>
      <w:r>
        <w:rPr/>
        <w:t>EPS</w:t>
      </w:r>
      <w:r>
        <w:rPr/>
        <w:t>和价格约下降</w:t>
      </w:r>
      <w:r>
        <w:rPr/>
        <w:t>9.09%</w:t>
      </w:r>
      <w:r>
        <w:rPr/>
        <w:t>；若有效税率由</w:t>
      </w:r>
      <w:r>
        <w:rPr/>
        <w:t>22%</w:t>
      </w:r>
      <w:r>
        <w:rPr/>
        <w:t>变</w:t>
      </w:r>
      <w:r>
        <w:rPr/>
        <w:t>27%</w:t>
      </w:r>
      <w:r>
        <w:rPr/>
        <w:t>，</w:t>
      </w:r>
      <w:r>
        <w:rPr/>
        <w:t>1840</w:t>
      </w:r>
      <w:r>
        <w:rPr/>
        <w:t>亿元</w:t>
      </w:r>
      <w:r>
        <w:rPr/>
        <w:t>EBITA</w:t>
      </w:r>
      <w:r>
        <w:rPr/>
        <w:t>下归属盈利少</w:t>
      </w:r>
      <w:r>
        <w:rPr/>
        <w:t>92</w:t>
      </w:r>
      <w:r>
        <w:rPr/>
        <w:t>亿元，价格约少</w:t>
      </w:r>
      <w:r>
        <w:rPr/>
        <w:t>10.6</w:t>
      </w:r>
      <w:r>
        <w:rPr/>
        <w:t>港元。汇率每人民币可换港元高或低</w:t>
      </w:r>
      <w:r>
        <w:rPr/>
        <w:t>5%</w:t>
      </w:r>
      <w:r>
        <w:rPr/>
        <w:t>，固定人民币</w:t>
      </w:r>
      <w:r>
        <w:rPr/>
        <w:t>EPS</w:t>
      </w:r>
      <w:r>
        <w:rPr/>
        <w:t>及</w:t>
      </w:r>
      <w:r>
        <w:rPr/>
        <w:t>PE</w:t>
      </w:r>
      <w:r>
        <w:rPr/>
        <w:t>下港元目标也变约</w:t>
      </w:r>
      <w:r>
        <w:rPr/>
        <w:t>5%</w:t>
      </w:r>
      <w:r>
        <w:rPr/>
        <w:t>。人民币投资者持有港币资产的账户回报还需按港币兑人民币期初期末变化计算，与模型盈利换算的敏感性区分。</w:t>
      </w:r>
    </w:p>
    <w:p>
      <w:pPr>
        <w:pStyle w:val="Normal"/>
        <w:rPr/>
      </w:pPr>
      <w:r>
        <w:rPr/>
        <w:t>富瑞十月九日公开转载目标</w:t>
      </w:r>
      <w:r>
        <w:rPr/>
        <w:t>186</w:t>
      </w:r>
      <w:r>
        <w:rPr/>
        <w:t>港元、买入，高盛九月十七日目标</w:t>
      </w:r>
      <w:r>
        <w:rPr/>
        <w:t>172</w:t>
      </w:r>
      <w:r>
        <w:rPr/>
        <w:t>港元、买入且明确十二个月，大华继显十月五日</w:t>
      </w:r>
      <w:r>
        <w:rPr/>
        <w:t>188</w:t>
      </w:r>
      <w:r>
        <w:rPr/>
        <w:t>港元、买入。均为可核公开新闻转述，缺完整原研报，富瑞与大华期限未明留空。以</w:t>
      </w:r>
      <w:r>
        <w:rPr/>
        <w:t>107</w:t>
      </w:r>
      <w:r>
        <w:rPr/>
        <w:t>港元计算分别有</w:t>
      </w:r>
      <w:r>
        <w:rPr/>
        <w:t>73.83%</w:t>
      </w:r>
      <w:r>
        <w:rPr/>
        <w:t>、</w:t>
      </w:r>
      <w:r>
        <w:rPr/>
        <w:t>60.75%</w:t>
      </w:r>
      <w:r>
        <w:rPr/>
        <w:t>、</w:t>
      </w:r>
      <w:r>
        <w:rPr/>
        <w:t>75.70%</w:t>
      </w:r>
      <w:r>
        <w:rPr/>
        <w:t>目标空间，不能称机构一致给出年底上涨范围，也不能平均代替自有估值。</w:t>
      </w:r>
    </w:p>
    <w:p>
      <w:pPr>
        <w:pStyle w:val="Normal"/>
        <w:rPr/>
      </w:pPr>
      <w:r>
        <w:rPr/>
        <w:t>富瑞预计九月季度</w:t>
      </w:r>
      <w:r>
        <w:rPr/>
        <w:t>AI</w:t>
      </w:r>
      <w:r>
        <w:rPr/>
        <w:t>云与计算收入和利润改善、实验室亏损收窄、即时零售亏损下降，均是当时预测，不是截止日已实现。其</w:t>
      </w:r>
      <w:r>
        <w:rPr/>
        <w:t>186</w:t>
      </w:r>
      <w:r>
        <w:rPr/>
        <w:t>港元接近但高于本文一年基准</w:t>
      </w:r>
      <w:r>
        <w:rPr/>
        <w:t>171.63</w:t>
      </w:r>
      <w:r>
        <w:rPr/>
        <w:t>，差异可能来自分部估值、盈利、股数和倍数。高盛十二个月</w:t>
      </w:r>
      <w:r>
        <w:rPr/>
        <w:t>172</w:t>
      </w:r>
      <w:r>
        <w:rPr/>
        <w:t>港元可作一年参照，本文不按剩余月份缩放到年底；年底</w:t>
      </w:r>
      <w:r>
        <w:rPr/>
        <w:t>133.10</w:t>
      </w:r>
      <w:r>
        <w:rPr/>
        <w:t>来自独立</w:t>
      </w:r>
      <w:r>
        <w:rPr/>
        <w:t>NTM</w:t>
      </w:r>
      <w:r>
        <w:rPr/>
        <w:t>信息集和条件，保留二者时点不同。</w:t>
      </w:r>
    </w:p>
    <w:p>
      <w:pPr>
        <w:pStyle w:val="Heading2"/>
        <w:rPr/>
      </w:pPr>
      <w:r>
        <w:rPr>
          <w:color w:val="000000"/>
        </w:rPr>
        <w:t>二十九 评分证据与推荐反证</w:t>
      </w:r>
    </w:p>
    <w:p>
      <w:pPr>
        <w:pStyle w:val="Normal"/>
        <w:rPr/>
      </w:pPr>
      <w:r>
        <w:rPr/>
        <w:t>半年各维度为估值</w:t>
      </w:r>
      <w:r>
        <w:rPr/>
        <w:t>3.2</w:t>
      </w:r>
      <w:r>
        <w:rPr/>
        <w:t>、技术</w:t>
      </w:r>
      <w:r>
        <w:rPr/>
        <w:t>1.8</w:t>
      </w:r>
      <w:r>
        <w:rPr/>
        <w:t>、经营</w:t>
      </w:r>
      <w:r>
        <w:rPr/>
        <w:t>3.5</w:t>
      </w:r>
      <w:r>
        <w:rPr/>
        <w:t>、周期</w:t>
      </w:r>
      <w:r>
        <w:rPr/>
        <w:t>4.2</w:t>
      </w:r>
      <w:r>
        <w:rPr/>
        <w:t>、催化</w:t>
      </w:r>
      <w:r>
        <w:rPr/>
        <w:t>4.0</w:t>
      </w:r>
      <w:r>
        <w:rPr/>
        <w:t>、风险</w:t>
      </w:r>
      <w:r>
        <w:rPr/>
        <w:t>2.6</w:t>
      </w:r>
      <w:r>
        <w:rPr/>
        <w:t>分，按</w:t>
      </w:r>
      <w:r>
        <w:rPr/>
        <w:t>25%</w:t>
      </w:r>
      <w:r>
        <w:rPr/>
        <w:t>、</w:t>
      </w:r>
      <w:r>
        <w:rPr/>
        <w:t>30%</w:t>
      </w:r>
      <w:r>
        <w:rPr/>
        <w:t>、</w:t>
      </w:r>
      <w:r>
        <w:rPr/>
        <w:t>15%</w:t>
      </w:r>
      <w:r>
        <w:rPr/>
        <w:t>、</w:t>
      </w:r>
      <w:r>
        <w:rPr/>
        <w:t>10%</w:t>
      </w:r>
      <w:r>
        <w:rPr/>
        <w:t>、</w:t>
      </w:r>
      <w:r>
        <w:rPr/>
        <w:t>10%</w:t>
      </w:r>
      <w:r>
        <w:rPr/>
        <w:t>、</w:t>
      </w:r>
      <w:r>
        <w:rPr/>
        <w:t>10%</w:t>
      </w:r>
      <w:r>
        <w:rPr/>
        <w:t>得</w:t>
      </w:r>
      <w:r>
        <w:rPr/>
        <w:t>58.9</w:t>
      </w:r>
      <w:r>
        <w:rPr/>
        <w:t>。估值有恢复空间但当前历史</w:t>
      </w:r>
      <w:r>
        <w:rPr/>
        <w:t>PE</w:t>
      </w:r>
      <w:r>
        <w:rPr/>
        <w:t>并不低，技术下降结构拖低分数，催化有观察机会却不是确定收益。短线进取不等于无视下降结构，当前更适合依条件比较而非仅凭乐观目标争排名。</w:t>
      </w:r>
    </w:p>
    <w:p>
      <w:pPr>
        <w:pStyle w:val="Normal"/>
        <w:rPr/>
      </w:pPr>
      <w:r>
        <w:rPr/>
        <w:t>一年经营提升至</w:t>
      </w:r>
      <w:r>
        <w:rPr/>
        <w:t>3.9</w:t>
      </w:r>
      <w:r>
        <w:rPr/>
        <w:t>，估值</w:t>
      </w:r>
      <w:r>
        <w:rPr/>
        <w:t>3.6</w:t>
      </w:r>
      <w:r>
        <w:rPr/>
        <w:t>，周期</w:t>
      </w:r>
      <w:r>
        <w:rPr/>
        <w:t>4.3</w:t>
      </w:r>
      <w:r>
        <w:rPr/>
        <w:t>，催化</w:t>
      </w:r>
      <w:r>
        <w:rPr/>
        <w:t>4.1</w:t>
      </w:r>
      <w:r>
        <w:rPr/>
        <w:t>，风险</w:t>
      </w:r>
      <w:r>
        <w:rPr/>
        <w:t>2.6</w:t>
      </w:r>
      <w:r>
        <w:rPr/>
        <w:t>，技术仍</w:t>
      </w:r>
      <w:r>
        <w:rPr/>
        <w:t>1.8</w:t>
      </w:r>
      <w:r>
        <w:rPr/>
        <w:t>，按统一权重得</w:t>
      </w:r>
      <w:r>
        <w:rPr/>
        <w:t>69.2</w:t>
      </w:r>
      <w:r>
        <w:rPr/>
        <w:t>。三年经营</w:t>
      </w:r>
      <w:r>
        <w:rPr/>
        <w:t>4.1</w:t>
      </w:r>
      <w:r>
        <w:rPr/>
        <w:t>、周期</w:t>
      </w:r>
      <w:r>
        <w:rPr/>
        <w:t>4.5</w:t>
      </w:r>
      <w:r>
        <w:rPr/>
        <w:t>、估值</w:t>
      </w:r>
      <w:r>
        <w:rPr/>
        <w:t>4.0</w:t>
      </w:r>
      <w:r>
        <w:rPr/>
        <w:t>、风险</w:t>
      </w:r>
      <w:r>
        <w:rPr/>
        <w:t>2.5</w:t>
      </w:r>
      <w:r>
        <w:rPr/>
        <w:t>，技术权重减至</w:t>
      </w:r>
      <w:r>
        <w:rPr/>
        <w:t>5%</w:t>
      </w:r>
      <w:r>
        <w:rPr/>
        <w:t>，得</w:t>
      </w:r>
      <w:r>
        <w:rPr/>
        <w:t>77.5</w:t>
      </w:r>
      <w:r>
        <w:rPr/>
        <w:t>。五年经营</w:t>
      </w:r>
      <w:r>
        <w:rPr/>
        <w:t>4.2</w:t>
      </w:r>
      <w:r>
        <w:rPr/>
        <w:t>、周期</w:t>
      </w:r>
      <w:r>
        <w:rPr/>
        <w:t>4.5</w:t>
      </w:r>
      <w:r>
        <w:rPr/>
        <w:t>、估值</w:t>
      </w:r>
      <w:r>
        <w:rPr/>
        <w:t>4.0</w:t>
      </w:r>
      <w:r>
        <w:rPr/>
        <w:t>、催化</w:t>
      </w:r>
      <w:r>
        <w:rPr/>
        <w:t>3.8</w:t>
      </w:r>
      <w:r>
        <w:rPr/>
        <w:t>、风险</w:t>
      </w:r>
      <w:r>
        <w:rPr/>
        <w:t>2.5</w:t>
      </w:r>
      <w:r>
        <w:rPr/>
        <w:t>，技术权重为零，得</w:t>
      </w:r>
      <w:r>
        <w:rPr/>
        <w:t>78.9</w:t>
      </w:r>
      <w:r>
        <w:rPr/>
        <w:t>。财务风险没有因为时间更长自动提升，现金投入和融资的不确定性持续存在。</w:t>
      </w:r>
    </w:p>
    <w:p>
      <w:pPr>
        <w:pStyle w:val="Normal"/>
        <w:rPr/>
      </w:pPr>
      <w:r>
        <w:rPr/>
        <w:t>推翻推荐的经营证据包括可比客户管理收入与电商</w:t>
      </w:r>
      <w:r>
        <w:rPr/>
        <w:t>EBITA</w:t>
      </w:r>
      <w:r>
        <w:rPr/>
        <w:t>连续恶化、云增长不能转化外部利润、应用与实验室亏损不降反增、回本期延长且自由现金流持续消耗、债务和股数显著超过桥假设。临时季度不达标不一定推翻三年逻辑，然而连续变化若改变竞争经济性，应及时重估，不能以长期持有理由拒绝新证据。</w:t>
      </w:r>
    </w:p>
    <w:p>
      <w:pPr>
        <w:pStyle w:val="Normal"/>
        <w:rPr/>
      </w:pPr>
      <w:r>
        <w:rPr/>
        <w:t>技术反证对半年影响最大：突破后失守、跌破近段低点、相对恒指继续走弱都会降低时机判断；对于五年，价格图形本身不证明业务失败，仍须分析盈利与现金。相反，业绩未改善但价格反弹，也不充分证明估值已合理，应区分市场流动性与基本面兑现。评分解释有事实和假设的界线，可靠度不等于推荐热情。</w:t>
      </w:r>
    </w:p>
    <w:p>
      <w:pPr>
        <w:pStyle w:val="Heading2"/>
        <w:rPr/>
      </w:pPr>
      <w:r>
        <w:rPr>
          <w:color w:val="000000"/>
        </w:rPr>
        <w:t>三十 后续核验与研究局限</w:t>
      </w:r>
    </w:p>
    <w:p>
      <w:pPr>
        <w:pStyle w:val="Normal"/>
        <w:rPr/>
      </w:pPr>
      <w:r>
        <w:rPr/>
        <w:t>最新可核财务截至六月，截止日后的九月季度结果、融资、模型或政策信息均不能混入此版。官网业绩会是在八月发布，并包含六月末之后、八月前已公开产品信息，本文保留其发布时点；十月九日午间富瑞稿在收盘前可获得。未来有新信息时，须更新数据版本和模型，旧文件保留初版日期，不能把后来知道的结果用于解释当时已知价格。</w:t>
      </w:r>
    </w:p>
    <w:p>
      <w:pPr>
        <w:pStyle w:val="Normal"/>
        <w:rPr/>
      </w:pPr>
      <w:r>
        <w:rPr/>
        <w:t>公司公开披露尚缺完整单模型收入、客户付费留存、逐产品推理毛利、芯片独立利润和每个数据中心现金流，本文没有补造这些数字。分部经营桥是透明简化，资本回收风险靠范围与敏感性呈现，不能替代对大项目详细现金流和回报的审计。关键盈利预测、税率、股数与</w:t>
      </w:r>
      <w:r>
        <w:rPr/>
        <w:t>PE</w:t>
      </w:r>
      <w:r>
        <w:rPr/>
        <w:t>均属于研究假设，机构转述仅辅助参照。</w:t>
      </w:r>
    </w:p>
    <w:p>
      <w:pPr>
        <w:pStyle w:val="Normal"/>
        <w:rPr/>
      </w:pPr>
      <w:r>
        <w:rPr/>
        <w:t>图形方面双源行情提供较好计算基础，窗口极值尚未经多触碰筛选，没有逐笔数据与可验证换手分母。技术判断是条件语言，不能声称识别特定资金主导。历史复权、股息、名义现价与机构目标币种均已区分，未来公司行动可能改变图形和回报，要按同样流程刷新。</w:t>
      </w:r>
    </w:p>
    <w:p>
      <w:pPr>
        <w:pStyle w:val="Normal"/>
        <w:rPr/>
      </w:pPr>
      <w:r>
        <w:rPr/>
        <w:t>整体结论是阿里在三至五年有较大进取型收益来源，一年有恢复条件，半年时机证据较弱。它的吸引力不是当前所有业务都便宜，而是成熟电商支持云商业化后可能改善股东盈利。必须同时承担资本开支、模型竞争、补贴、政策与摊薄风险；只有持续披露使利润桥更可信，较高长期评分才有依据。</w:t>
      </w:r>
    </w:p>
    <w:p>
      <w:pPr>
        <w:pStyle w:val="Heading2"/>
        <w:rPr/>
      </w:pPr>
      <w:r>
        <w:rPr>
          <w:color w:val="000000"/>
        </w:rPr>
        <w:t>来源与核验记录</w:t>
      </w:r>
    </w:p>
    <w:p>
      <w:pPr>
        <w:pStyle w:val="Normal"/>
        <w:rPr/>
      </w:pPr>
      <w:r>
        <w:rPr/>
        <w:t xml:space="preserve">1. </w:t>
      </w:r>
      <w:r>
        <w:rPr/>
        <w:t>公司</w:t>
      </w:r>
      <w:r>
        <w:rPr/>
        <w:t>2026</w:t>
      </w:r>
      <w:r>
        <w:rPr/>
        <w:t>年六月季度结果，</w:t>
      </w:r>
      <w:r>
        <w:rPr/>
        <w:t>2026-08-20</w:t>
      </w:r>
      <w:r>
        <w:rPr/>
        <w:t>：</w:t>
      </w:r>
      <w:r>
        <w:rPr/>
        <w:t>https://data.alibabagroup.com/ecms-files/1532295521/fa5d65fc-9b3e-4e82-a8fc-4ce1c3e2c407/Alibaba%20Group%20Announces%20June%20Quarter%202026%20Results.pdf</w:t>
      </w:r>
    </w:p>
    <w:p>
      <w:pPr>
        <w:pStyle w:val="Normal"/>
        <w:rPr/>
      </w:pPr>
      <w:r>
        <w:rPr/>
        <w:t xml:space="preserve">2. </w:t>
      </w:r>
      <w:r>
        <w:rPr/>
        <w:t>公司</w:t>
      </w:r>
      <w:r>
        <w:rPr/>
        <w:t>2026</w:t>
      </w:r>
      <w:r>
        <w:rPr/>
        <w:t>财年及三月季度结果，</w:t>
      </w:r>
      <w:r>
        <w:rPr/>
        <w:t>2026-05-13</w:t>
      </w:r>
      <w:r>
        <w:rPr/>
        <w:t>：</w:t>
      </w:r>
      <w:r>
        <w:rPr/>
        <w:t>https://data.alibabagroup.com/ecms-files/1532295521/5b1cb883-8d00-4237-a148-6631cc12a5d2/Alibaba%20Group%20Announces%20March%20Quarter%202026%20and%20Fiscal%20Year%202026%20Results.pdf</w:t>
      </w:r>
    </w:p>
    <w:p>
      <w:pPr>
        <w:pStyle w:val="Normal"/>
        <w:rPr/>
      </w:pPr>
      <w:r>
        <w:rPr/>
        <w:t xml:space="preserve">3. </w:t>
      </w:r>
      <w:r>
        <w:rPr/>
        <w:t>公司</w:t>
      </w:r>
      <w:r>
        <w:rPr/>
        <w:t>2026</w:t>
      </w:r>
      <w:r>
        <w:rPr/>
        <w:t>财年年报，官网发布日期</w:t>
      </w:r>
      <w:r>
        <w:rPr/>
        <w:t>2026-07-08</w:t>
      </w:r>
      <w:r>
        <w:rPr/>
        <w:t>：</w:t>
      </w:r>
      <w:r>
        <w:rPr/>
        <w:t>https://data.alibabagroup.com/ecms-files/1514443390/5b9061ed-71c8-465b-b000-d995d1e77bf4/Alibaba%20Group%20Holding%20Limited%20Fiscal%20Year%202026%20Annual%20Report.pdf</w:t>
      </w:r>
    </w:p>
    <w:p>
      <w:pPr>
        <w:pStyle w:val="Normal"/>
        <w:rPr/>
      </w:pPr>
      <w:r>
        <w:rPr/>
        <w:t xml:space="preserve">4. </w:t>
      </w:r>
      <w:r>
        <w:rPr/>
        <w:t>公司六月季度业绩会，</w:t>
      </w:r>
      <w:r>
        <w:rPr/>
        <w:t>2026-08-20</w:t>
      </w:r>
      <w:r>
        <w:rPr/>
        <w:t>，页面文件更新</w:t>
      </w:r>
      <w:r>
        <w:rPr/>
        <w:t>2026-08-27</w:t>
      </w:r>
      <w:r>
        <w:rPr/>
        <w:t>：</w:t>
      </w:r>
      <w:r>
        <w:rPr/>
        <w:t>https://data.alibabagroup.com/ecms-files/1567773279/9a0e4864-83fe-4a69-aa1e-e5c14f5b2e73/EN%20Jun%202026%20Q%20-%20Alibaba%20Earnings%20Call.pdf</w:t>
      </w:r>
    </w:p>
    <w:p>
      <w:pPr>
        <w:pStyle w:val="Normal"/>
        <w:rPr/>
      </w:pPr>
      <w:r>
        <w:rPr/>
        <w:t xml:space="preserve">5. </w:t>
      </w:r>
      <w:r>
        <w:rPr/>
        <w:t>富瑞目标，</w:t>
      </w:r>
      <w:r>
        <w:rPr/>
        <w:t>2026-10-09 12:52</w:t>
      </w:r>
      <w:r>
        <w:rPr/>
        <w:t>，收盘前新闻转述：</w:t>
      </w:r>
      <w:r>
        <w:rPr/>
        <w:t>https://www.aastocks.com/sc/stocks/analysis/stock-aafn-con/09988/AAFN/NOW.1548528/research-report</w:t>
      </w:r>
    </w:p>
    <w:p>
      <w:pPr>
        <w:pStyle w:val="Normal"/>
        <w:rPr/>
      </w:pPr>
      <w:r>
        <w:rPr/>
        <w:t xml:space="preserve">6. </w:t>
      </w:r>
      <w:r>
        <w:rPr/>
        <w:t>高盛目标，</w:t>
      </w:r>
      <w:r>
        <w:rPr/>
        <w:t>2026-09-17</w:t>
      </w:r>
      <w:r>
        <w:rPr/>
        <w:t>，十二个月新闻转述：</w:t>
      </w:r>
      <w:r>
        <w:rPr/>
        <w:t>https://www.aastocks.com/sc/stocks/analysis/stock-aafn-con/00700/AAFN/NOW.1544986/hk-stock-news</w:t>
      </w:r>
    </w:p>
    <w:p>
      <w:pPr>
        <w:pStyle w:val="Normal"/>
        <w:rPr/>
      </w:pPr>
      <w:r>
        <w:rPr/>
        <w:t xml:space="preserve">7. </w:t>
      </w:r>
      <w:r>
        <w:rPr/>
        <w:t>大华继显，</w:t>
      </w:r>
      <w:r>
        <w:rPr/>
        <w:t>2026-10-05</w:t>
      </w:r>
      <w:r>
        <w:rPr/>
        <w:t>，期限未明新闻转述：</w:t>
      </w:r>
      <w:r>
        <w:rPr/>
        <w:t>https://www.aastocks.com/sc/stocks/analysis/stock-aafn-con/09988/AAFN/NOW.1547727/research-report</w:t>
      </w:r>
    </w:p>
    <w:p>
      <w:pPr>
        <w:pStyle w:val="Normal"/>
        <w:rPr/>
      </w:pPr>
      <w:r>
        <w:rPr/>
        <w:t xml:space="preserve">8. </w:t>
      </w:r>
      <w:r>
        <w:rPr/>
        <w:t>行情与计算：</w:t>
      </w:r>
      <w:r>
        <w:rPr/>
        <w:t>data/market_snapshot_locked.json</w:t>
      </w:r>
      <w:r>
        <w:rPr/>
        <w:t>，</w:t>
      </w:r>
      <w:r>
        <w:rPr/>
        <w:t>data/history/S086.json</w:t>
      </w:r>
      <w:r>
        <w:rPr/>
        <w:t>；腾讯及新浪收盘独立核验、</w:t>
      </w:r>
      <w:r>
        <w:rPr/>
        <w:t>Yahoo</w:t>
      </w:r>
      <w:r>
        <w:rPr/>
        <w:t>与腾讯三年日线。</w:t>
      </w:r>
    </w:p>
    <w:p>
      <w:pPr>
        <w:pStyle w:val="Normal"/>
        <w:widowControl/>
        <w:bidi w:val="0"/>
        <w:spacing w:lineRule="auto" w:line="336" w:before="0" w:after="140"/>
        <w:jc w:val="start"/>
        <w:rPr/>
      </w:pPr>
      <w:r>
        <w:rPr/>
        <w:t xml:space="preserve">9. </w:t>
      </w:r>
      <w:r>
        <w:rPr/>
        <w:t>活动模型与三情景快照：</w:t>
      </w:r>
      <w:r>
        <w:rPr/>
        <w:t>data/alibaba_model.json</w:t>
      </w:r>
      <w:r>
        <w:rPr/>
        <w:t>；全部未来参数标注研究假设，非机构预测，不保证回报。</w:t>
      </w:r>
    </w:p>
    <w:sectPr>
      <w:headerReference w:type="even" r:id="rId18"/>
      <w:headerReference w:type="default" r:id="rId19"/>
      <w:headerReference w:type="first" r:id="rId20"/>
      <w:footerReference w:type="even" r:id="rId21"/>
      <w:footerReference w:type="default" r:id="rId22"/>
      <w:footerReference w:type="first" r:id="rId23"/>
      <w:type w:val="nextPage"/>
      <w:pgSz w:w="12240" w:h="15840"/>
      <w:pgMar w:left="1191" w:right="1191" w:gutter="0" w:header="720" w:top="1134"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宋体">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微软雅黑">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162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162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36" w:before="0" w:after="140"/>
      <w:jc w:val="start"/>
    </w:pPr>
    <w:rPr>
      <w:rFonts w:ascii="宋体" w:hAnsi="宋体" w:eastAsia="宋体"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Style5">
    <w:name w:val="索引链接"/>
    <w:rPr/>
  </w:style>
  <w:style w:type="paragraph" w:styleId="Style6">
    <w:name w:val="标题样式"/>
    <w:basedOn w:val="Normal"/>
    <w:next w:val="BodyText"/>
    <w:pPr>
      <w:keepNext w:val="true"/>
      <w:spacing w:before="240" w:after="120"/>
    </w:pPr>
    <w:rPr>
      <w:rFonts w:ascii="Liberation Sans" w:hAnsi="Liberation Sans" w:eastAsia="微软雅黑"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微软雅黑" w:hAnsi="微软雅黑" w:eastAsia="微软雅黑"/>
      <w:b/>
      <w:bCs/>
      <w:color w:themeColor="accent1" w:val="4F81BD"/>
      <w:sz w:val="18"/>
      <w:szCs w:val="18"/>
    </w:rPr>
  </w:style>
  <w:style w:type="paragraph" w:styleId="Style7">
    <w:name w:val="索引"/>
    <w:basedOn w:val="Normal"/>
    <w:pPr>
      <w:suppressLineNumbers/>
    </w:pPr>
    <w:rPr>
      <w:rFonts w:cs="Arial"/>
    </w:rPr>
  </w:style>
  <w:style w:type="paragraph" w:styleId="Style8">
    <w:name w:val="页眉与页脚"/>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300"/>
      <w:contextualSpacing/>
    </w:pPr>
    <w:rPr>
      <w:rFonts w:ascii="Calibri" w:hAnsi="Calibri" w:eastAsia="ＭＳ ゴシック" w:cs="" w:asciiTheme="majorHAnsi" w:cstheme="majorBidi" w:eastAsiaTheme="majorEastAsia" w:hAnsiTheme="majorHAnsi"/>
      <w:color w:val="000000"/>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40"/>
      <w:ind w:hanging="360" w:start="720"/>
      <w:contextualSpacing/>
    </w:pPr>
    <w:rPr/>
  </w:style>
  <w:style w:type="paragraph" w:styleId="List3">
    <w:name w:val="List 3"/>
    <w:basedOn w:val="Normal"/>
    <w:uiPriority w:val="99"/>
    <w:unhideWhenUsed/>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6"/>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Style7"/>
    <w:pPr>
      <w:keepNext w:val="false"/>
      <w:tabs>
        <w:tab w:val="clear" w:pos="720"/>
        <w:tab w:val="right" w:pos="9858" w:leader="dot"/>
      </w:tabs>
      <w:spacing w:before="0" w:after="0"/>
      <w:ind w:hanging="0" w:start="0"/>
    </w:pPr>
    <w:rPr>
      <w:sz w:val="18"/>
    </w:rPr>
  </w:style>
  <w:style w:type="paragraph" w:styleId="TOC2">
    <w:name w:val="toc 2"/>
    <w:basedOn w:val="Style7"/>
    <w:pPr>
      <w:keepNext w:val="false"/>
      <w:tabs>
        <w:tab w:val="clear" w:pos="720"/>
        <w:tab w:val="right" w:pos="9575" w:leader="dot"/>
      </w:tabs>
      <w:spacing w:before="0" w:after="0"/>
      <w:ind w:hanging="0" w:start="283"/>
    </w:pPr>
    <w:rPr>
      <w:sz w:val="18"/>
    </w:rPr>
  </w:style>
  <w:style w:type="paragraph" w:styleId="TOC3">
    <w:name w:val="toc 3"/>
    <w:basedOn w:val="Style7"/>
    <w:pPr>
      <w:keepNext w:val="false"/>
      <w:tabs>
        <w:tab w:val="clear" w:pos="720"/>
        <w:tab w:val="right" w:pos="9291" w:leader="dot"/>
      </w:tabs>
      <w:spacing w:before="0" w:after="0"/>
      <w:ind w:hanging="0" w:start="567"/>
    </w:pPr>
    <w:rPr>
      <w:sz w:val="18"/>
    </w:rPr>
  </w:style>
  <w:style w:type="numbering" w:styleId="Style9" w:default="1">
    <w:name w:val="无列表"/>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证券研究工作区</dc:creator>
  <dc:description>generated by python-docx</dc:description>
  <dc:language>zh-CN</dc:language>
  <cp:lastModifiedBy/>
  <dcterms:modified xsi:type="dcterms:W3CDTF">2026-10-11T15:19:08Z</dcterms:modified>
  <cp:revision>2</cp:revision>
  <dc:subject>研究数据版本 f94f3d19b4e62e0b</dc:subject>
  <dc:title>公司深研 · 第03卷</dc:title>
</cp:coreProperties>
</file>

<file path=docProps/custom.xml><?xml version="1.0" encoding="utf-8"?>
<Properties xmlns="http://schemas.openxmlformats.org/officeDocument/2006/custom-properties" xmlns:vt="http://schemas.openxmlformats.org/officeDocument/2006/docPropsVTypes"/>
</file>