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color w:val="000000"/>
        </w:rPr>
        <w:t>公司深研 第</w:t>
      </w:r>
      <w:r>
        <w:rPr>
          <w:color w:val="000000"/>
        </w:rPr>
        <w:t>04</w:t>
      </w:r>
      <w:r>
        <w:rPr>
          <w:color w:val="000000"/>
        </w:rPr>
        <w:t>卷</w:t>
      </w:r>
    </w:p>
    <w:p>
      <w:pPr>
        <w:pStyle w:val="Normal"/>
        <w:rPr/>
      </w:pPr>
      <w:r>
        <w:rPr/>
        <w:t>阶段收录</w:t>
      </w:r>
      <w:r>
        <w:rPr/>
        <w:t>8</w:t>
      </w:r>
      <w:r>
        <w:rPr/>
        <w:t>家公司 剩余公司接入后按统一规则更新卷次</w:t>
      </w:r>
    </w:p>
    <w:p>
      <w:pPr>
        <w:pStyle w:val="Normal"/>
        <w:rPr/>
      </w:pPr>
      <w:r>
        <w:rPr/>
        <w:t>资料截止：</w:t>
      </w:r>
      <w:r>
        <w:rPr/>
        <w:t>2026</w:t>
      </w:r>
      <w:r>
        <w:rPr/>
        <w:t>年</w:t>
      </w:r>
      <w:r>
        <w:rPr/>
        <w:t>10</w:t>
      </w:r>
      <w:r>
        <w:rPr/>
        <w:t>月</w:t>
      </w:r>
      <w:r>
        <w:rPr/>
        <w:t>9</w:t>
      </w:r>
      <w:r>
        <w:rPr/>
        <w:t>日。所有未来价格、盈利、估值、分红和汇率均为研究假设。研究范围为</w:t>
      </w:r>
      <w:r>
        <w:rPr/>
        <w:t>92</w:t>
      </w:r>
      <w:r>
        <w:rPr/>
        <w:t>家公司、</w:t>
      </w:r>
      <w:r>
        <w:rPr/>
        <w:t>96</w:t>
      </w:r>
      <w:r>
        <w:rPr/>
        <w:t>个股票证券。当前纳入</w:t>
      </w:r>
      <w:r>
        <w:rPr/>
        <w:t>91</w:t>
      </w:r>
      <w:r>
        <w:rPr/>
        <w:t>家公司模型，</w:t>
      </w:r>
      <w:r>
        <w:rPr/>
        <w:t>91</w:t>
      </w:r>
      <w:r>
        <w:rPr/>
        <w:t>家正文通过一万有效汉字门槛，剩余</w:t>
      </w:r>
      <w:r>
        <w:rPr/>
        <w:t>1</w:t>
      </w:r>
      <w:r>
        <w:rPr/>
        <w:t xml:space="preserve">家公司深研待补齐。阶段排名仅纳入已完成且具备可评估条件的证券。公司深研卷收录已达到正文门槛的公司；剩余内容按研究状态继续补齐。初版结论可随新增证据修订。数据版本 </w:t>
      </w:r>
      <w:r>
        <w:rPr/>
        <w:t>f94f3d19b4e62e0b</w:t>
      </w:r>
      <w:r>
        <w:rPr/>
        <w:t>。</w:t>
      </w:r>
    </w:p>
    <w:p>
      <w:pPr>
        <w:pStyle w:val="Normal"/>
        <w:rPr/>
      </w:pPr>
      <w:r>
        <w:rPr/>
      </w:r>
      <w:r>
        <w:br w:type="page"/>
      </w:r>
    </w:p>
    <w:p>
      <w:pPr>
        <w:pStyle w:val="Normal"/>
        <w:spacing w:before="0" w:after="140"/>
        <w:rPr/>
      </w:pPr>
      <w:r>
        <w:rPr>
          <w:b/>
          <w:sz w:val="34"/>
        </w:rPr>
        <w:t>目录</w:t>
      </w:r>
    </w:p>
    <w:sdt>
      <w:sdtPr>
        <w:docPartObj>
          <w:docPartGallery w:val="Table of Contents"/>
          <w:docPartUnique w:val="true"/>
        </w:docPartObj>
      </w:sdtPr>
      <w:sdtContent>
        <w:p>
          <w:pPr>
            <w:pStyle w:val="TOC1"/>
            <w:tabs>
              <w:tab w:val="clear" w:pos="9858"/>
              <w:tab w:val="right" w:pos="9857" w:leader="dot"/>
            </w:tabs>
            <w:rPr/>
          </w:pPr>
          <w:r>
            <w:fldChar w:fldCharType="begin"/>
          </w:r>
          <w:r>
            <w:rPr>
              <w:rStyle w:val="Style5"/>
            </w:rPr>
            <w:instrText xml:space="preserve"> TOC \f \o "1-1" \h</w:instrText>
          </w:r>
          <w:r>
            <w:rPr>
              <w:rStyle w:val="Style5"/>
            </w:rPr>
            <w:fldChar w:fldCharType="separate"/>
          </w:r>
          <w:hyperlink w:anchor="__RefHeading___Toc26817_312338234" w:tooltip="康哲药业 00867 HK">
            <w:r>
              <w:rPr>
                <w:rStyle w:val="Style5"/>
              </w:rPr>
              <w:t xml:space="preserve">康哲药业 </w:t>
            </w:r>
            <w:r>
              <w:rPr>
                <w:rStyle w:val="Style5"/>
              </w:rPr>
              <w:t>00867 HK</w:t>
              <w:tab/>
              <w:t>3</w:t>
            </w:r>
          </w:hyperlink>
        </w:p>
        <w:p>
          <w:pPr>
            <w:pStyle w:val="TOC1"/>
            <w:tabs>
              <w:tab w:val="clear" w:pos="9858"/>
              <w:tab w:val="right" w:pos="9857" w:leader="dot"/>
            </w:tabs>
            <w:rPr/>
          </w:pPr>
          <w:hyperlink w:anchor="__RefHeading___Toc26819_312338234" w:tooltip="金山软件 03888 HK">
            <w:r>
              <w:rPr>
                <w:rStyle w:val="Style5"/>
              </w:rPr>
              <w:t xml:space="preserve">金山软件 </w:t>
            </w:r>
            <w:r>
              <w:rPr>
                <w:rStyle w:val="Style5"/>
              </w:rPr>
              <w:t>03888 HK</w:t>
              <w:tab/>
              <w:t>24</w:t>
            </w:r>
          </w:hyperlink>
        </w:p>
        <w:p>
          <w:pPr>
            <w:pStyle w:val="TOC1"/>
            <w:tabs>
              <w:tab w:val="clear" w:pos="9858"/>
              <w:tab w:val="right" w:pos="9857" w:leader="dot"/>
            </w:tabs>
            <w:rPr/>
          </w:pPr>
          <w:hyperlink w:anchor="__RefHeading___Toc26821_312338234" w:tooltip="比亚迪股份 01211 HK">
            <w:r>
              <w:rPr>
                <w:rStyle w:val="Style5"/>
              </w:rPr>
              <w:t xml:space="preserve">比亚迪股份 </w:t>
            </w:r>
            <w:r>
              <w:rPr>
                <w:rStyle w:val="Style5"/>
              </w:rPr>
              <w:t>01211 HK</w:t>
              <w:tab/>
              <w:t>42</w:t>
            </w:r>
          </w:hyperlink>
        </w:p>
        <w:p>
          <w:pPr>
            <w:pStyle w:val="TOC1"/>
            <w:tabs>
              <w:tab w:val="clear" w:pos="9858"/>
              <w:tab w:val="right" w:pos="9857" w:leader="dot"/>
            </w:tabs>
            <w:rPr/>
          </w:pPr>
          <w:hyperlink w:anchor="__RefHeading___Toc26823_312338234" w:tooltip="云顶新耀 01952 HK">
            <w:r>
              <w:rPr>
                <w:rStyle w:val="Style5"/>
              </w:rPr>
              <w:t xml:space="preserve">云顶新耀 </w:t>
            </w:r>
            <w:r>
              <w:rPr>
                <w:rStyle w:val="Style5"/>
              </w:rPr>
              <w:t>01952 HK</w:t>
              <w:tab/>
              <w:t>60</w:t>
            </w:r>
          </w:hyperlink>
        </w:p>
        <w:p>
          <w:pPr>
            <w:pStyle w:val="TOC1"/>
            <w:tabs>
              <w:tab w:val="clear" w:pos="9858"/>
              <w:tab w:val="right" w:pos="9857" w:leader="dot"/>
            </w:tabs>
            <w:rPr/>
          </w:pPr>
          <w:hyperlink w:anchor="__RefHeading___Toc26825_312338234" w:tooltip="海尔智家 06690 HK">
            <w:r>
              <w:rPr>
                <w:rStyle w:val="Style5"/>
              </w:rPr>
              <w:t xml:space="preserve">海尔智家 </w:t>
            </w:r>
            <w:r>
              <w:rPr>
                <w:rStyle w:val="Style5"/>
              </w:rPr>
              <w:t>06690 HK</w:t>
              <w:tab/>
              <w:t>79</w:t>
            </w:r>
          </w:hyperlink>
        </w:p>
        <w:p>
          <w:pPr>
            <w:pStyle w:val="TOC1"/>
            <w:tabs>
              <w:tab w:val="clear" w:pos="9858"/>
              <w:tab w:val="right" w:pos="9857" w:leader="dot"/>
            </w:tabs>
            <w:rPr/>
          </w:pPr>
          <w:hyperlink w:anchor="__RefHeading___Toc26827_312338234" w:tooltip="美团 W 03690 HK">
            <w:r>
              <w:rPr>
                <w:rStyle w:val="Style5"/>
              </w:rPr>
              <w:t xml:space="preserve">美团 </w:t>
            </w:r>
            <w:r>
              <w:rPr>
                <w:rStyle w:val="Style5"/>
              </w:rPr>
              <w:t>W 03690 HK</w:t>
              <w:tab/>
              <w:t>97</w:t>
            </w:r>
          </w:hyperlink>
        </w:p>
        <w:p>
          <w:pPr>
            <w:pStyle w:val="TOC1"/>
            <w:tabs>
              <w:tab w:val="clear" w:pos="9858"/>
              <w:tab w:val="right" w:pos="9857" w:leader="dot"/>
            </w:tabs>
            <w:rPr/>
          </w:pPr>
          <w:hyperlink w:anchor="__RefHeading___Toc26829_312338234" w:tooltip="时代天使 06699 HK">
            <w:r>
              <w:rPr>
                <w:rStyle w:val="Style5"/>
              </w:rPr>
              <w:t xml:space="preserve">时代天使 </w:t>
            </w:r>
            <w:r>
              <w:rPr>
                <w:rStyle w:val="Style5"/>
              </w:rPr>
              <w:t>06699 HK</w:t>
              <w:tab/>
              <w:t>120</w:t>
            </w:r>
          </w:hyperlink>
        </w:p>
        <w:p>
          <w:pPr>
            <w:pStyle w:val="TOC1"/>
            <w:tabs>
              <w:tab w:val="clear" w:pos="9858"/>
              <w:tab w:val="right" w:pos="9857" w:leader="dot"/>
            </w:tabs>
            <w:rPr/>
          </w:pPr>
          <w:hyperlink w:anchor="__RefHeading___Toc26831_312338234" w:tooltip="和黄医药 00013 HK">
            <w:r>
              <w:rPr>
                <w:rStyle w:val="Style5"/>
              </w:rPr>
              <w:t xml:space="preserve">和黄医药 </w:t>
            </w:r>
            <w:r>
              <w:rPr>
                <w:rStyle w:val="Style5"/>
              </w:rPr>
              <w:t>00013 HK</w:t>
              <w:tab/>
              <w:t>140</w:t>
            </w:r>
          </w:hyperlink>
          <w:r>
            <w:rPr>
              <w:rStyle w:val="Style5"/>
            </w:rPr>
            <w:fldChar w:fldCharType="end"/>
          </w:r>
        </w:p>
      </w:sdtContent>
    </w:sdt>
    <w:p>
      <w:pPr>
        <w:pStyle w:val="Normal"/>
        <w:rPr/>
      </w:pPr>
      <w:r>
        <w:rPr/>
      </w:r>
      <w:r>
        <w:br w:type="page"/>
      </w:r>
    </w:p>
    <w:p>
      <w:pPr>
        <w:pStyle w:val="Heading1"/>
        <w:rPr/>
      </w:pPr>
      <w:bookmarkStart w:id="0" w:name="__RefHeading___Toc26817_312338234"/>
      <w:bookmarkEnd w:id="0"/>
      <w:r>
        <w:rPr>
          <w:color w:val="000000"/>
        </w:rPr>
        <w:t xml:space="preserve">康哲药业 </w:t>
      </w:r>
      <w:r>
        <w:rPr>
          <w:color w:val="000000"/>
        </w:rPr>
        <w:t>00867 HK</w:t>
      </w:r>
    </w:p>
    <w:p>
      <w:pPr>
        <w:pStyle w:val="Normal"/>
        <w:rPr/>
      </w:pPr>
      <w:r>
        <w:rPr/>
        <w:t xml:space="preserve">00867.HK </w:t>
      </w:r>
      <w:r>
        <w:rPr/>
        <w:t xml:space="preserve">现价 </w:t>
      </w:r>
      <w:r>
        <w:rPr/>
        <w:t>10.54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14.37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+36.31%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+36.31%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18.11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+71.79%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+75.20%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22.40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+112.55%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+126.30%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+138.03%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+165.07%</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-52.79%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12.89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+22.34%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+92.84%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12.77HKD</w:t>
      </w:r>
      <w:r>
        <w:rPr/>
        <w:t>，期望股价回报</w:t>
      </w:r>
      <w:r>
        <w:rPr/>
        <w:t>+21.18%</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3.85</w:t>
              <w:br/>
              <w:t>-63.43%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14.37</w:t>
              <w:br/>
              <w:t>+36.31%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22.72</w:t>
              <w:br/>
              <w:t>+115.57%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3.25</w:t>
              <w:br/>
              <w:t>-69.15%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18.11</w:t>
              <w:br/>
              <w:t>+71.79%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28.67</w:t>
              <w:br/>
              <w:t>+172.05%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1.58</w:t>
              <w:br/>
              <w:t>-84.99%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22.40</w:t>
              <w:br/>
              <w:t>+112.55%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39.19</w:t>
              <w:br/>
              <w:t>+271.83%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+31.29%</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0.36</w:t>
              <w:br/>
              <w:t>-96.62%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25.09</w:t>
              <w:br/>
              <w:t>+138.03%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49.14</w:t>
              <w:br/>
              <w:t>+366.21%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+21.53%</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HKEX</w:t>
            </w:r>
            <w:r>
              <w:rPr>
                <w:rFonts w:ascii="微软雅黑" w:hAnsi="微软雅黑" w:eastAsia="微软雅黑"/>
                <w:sz w:val="17"/>
              </w:rPr>
              <w:t>原件财务、审批、股息与分拆条款；完整临床注册记录与产品收入未取得</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中高：</w:t>
            </w:r>
            <w:r>
              <w:rPr>
                <w:rFonts w:eastAsia="微软雅黑" w:ascii="微软雅黑" w:hAnsi="微软雅黑"/>
                <w:sz w:val="17"/>
              </w:rPr>
              <w:t>market-v1.6</w:t>
            </w:r>
            <w:r>
              <w:rPr>
                <w:rFonts w:ascii="微软雅黑" w:hAnsi="微软雅黑" w:eastAsia="微软雅黑"/>
                <w:sz w:val="17"/>
              </w:rPr>
              <w:t>三年</w:t>
            </w:r>
            <w:r>
              <w:rPr>
                <w:rFonts w:eastAsia="微软雅黑" w:ascii="微软雅黑" w:hAnsi="微软雅黑"/>
                <w:sz w:val="17"/>
              </w:rPr>
              <w:t>739</w:t>
            </w:r>
            <w:r>
              <w:rPr>
                <w:rFonts w:ascii="微软雅黑" w:hAnsi="微软雅黑" w:eastAsia="微软雅黑"/>
                <w:sz w:val="17"/>
              </w:rPr>
              <w:t>日</w:t>
            </w:r>
            <w:r>
              <w:rPr>
                <w:rFonts w:eastAsia="微软雅黑" w:ascii="微软雅黑" w:hAnsi="微软雅黑"/>
                <w:sz w:val="17"/>
              </w:rPr>
              <w:t>157</w:t>
            </w:r>
            <w:r>
              <w:rPr>
                <w:rFonts w:ascii="微软雅黑" w:hAnsi="微软雅黑" w:eastAsia="微软雅黑"/>
                <w:sz w:val="17"/>
              </w:rPr>
              <w:t>周，价格多源一致，复权</w:t>
            </w:r>
            <w:r>
              <w:rPr>
                <w:rFonts w:eastAsia="微软雅黑" w:ascii="微软雅黑" w:hAnsi="微软雅黑"/>
                <w:sz w:val="17"/>
              </w:rPr>
              <w:t>60</w:t>
            </w:r>
            <w:r>
              <w:rPr>
                <w:rFonts w:ascii="微软雅黑" w:hAnsi="微软雅黑" w:eastAsia="微软雅黑"/>
                <w:sz w:val="17"/>
              </w:rPr>
              <w:t>日最大差</w:t>
            </w:r>
            <w:r>
              <w:rPr>
                <w:rFonts w:eastAsia="微软雅黑" w:ascii="微软雅黑" w:hAnsi="微软雅黑"/>
                <w:sz w:val="17"/>
              </w:rPr>
              <w:t>1.67%</w:t>
            </w:r>
            <w:r>
              <w:rPr>
                <w:rFonts w:ascii="微软雅黑" w:hAnsi="微软雅黑" w:eastAsia="微软雅黑"/>
                <w:sz w:val="17"/>
              </w:rPr>
              <w:t>、一根</w:t>
            </w:r>
            <w:r>
              <w:rPr>
                <w:rFonts w:eastAsia="微软雅黑" w:ascii="微软雅黑" w:hAnsi="微软雅黑"/>
                <w:sz w:val="17"/>
              </w:rPr>
              <w:t>OHLC</w:t>
            </w:r>
            <w:r>
              <w:rPr>
                <w:rFonts w:ascii="微软雅黑" w:hAnsi="微软雅黑" w:eastAsia="微软雅黑"/>
                <w:sz w:val="17"/>
              </w:rPr>
              <w:t>有留痕修复</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中：可编辑正常集团</w:t>
            </w:r>
            <w:r>
              <w:rPr>
                <w:rFonts w:eastAsia="微软雅黑" w:ascii="微软雅黑" w:hAnsi="微软雅黑"/>
                <w:sz w:val="17"/>
              </w:rPr>
              <w:t>PE</w:t>
            </w:r>
            <w:r>
              <w:rPr>
                <w:rFonts w:ascii="微软雅黑" w:hAnsi="微软雅黑" w:eastAsia="微软雅黑"/>
                <w:sz w:val="17"/>
              </w:rPr>
              <w:t>，产品分收入未披露而原子预测为研究假设；分拆完成需重建</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institutionTargets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w:t>
            </w:r>
            <w:r>
              <w:rPr>
                <w:rFonts w:eastAsia="微软雅黑" w:ascii="微软雅黑" w:hAnsi="微软雅黑"/>
                <w:sz w:val="17"/>
              </w:rPr>
              <w:t>2</w:t>
            </w:r>
            <w:r>
              <w:rPr>
                <w:rFonts w:ascii="微软雅黑" w:hAnsi="微软雅黑" w:eastAsia="微软雅黑"/>
                <w:sz w:val="17"/>
              </w:rPr>
              <w:t>条</w:t>
            </w:r>
            <w:r>
              <w:rPr>
                <w:rFonts w:eastAsia="微软雅黑" w:ascii="微软雅黑" w:hAnsi="微软雅黑"/>
                <w:sz w:val="17"/>
              </w:rPr>
              <w:t>90</w:t>
            </w:r>
            <w:r>
              <w:rPr>
                <w:rFonts w:ascii="微软雅黑" w:hAnsi="微软雅黑" w:eastAsia="微软雅黑"/>
                <w:sz w:val="17"/>
              </w:rPr>
              <w:t>天内新闻可核，原研报及精确目标期限缺</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+29.50%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+36.31%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+43.13%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+66.44%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+75.20%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+83.96%</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+114.99%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+126.30%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+137.62%</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+151.81%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+165.07%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+178.32%</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Heading2"/>
        <w:rPr/>
      </w:pPr>
      <w:r>
        <w:rPr>
          <w:color w:val="000000"/>
        </w:rPr>
        <w:t>投资结论</w:t>
      </w:r>
    </w:p>
    <w:p>
      <w:pPr>
        <w:pStyle w:val="Normal"/>
        <w:rPr/>
      </w:pPr>
      <w:r>
        <w:rPr/>
        <w:t>康哲药业的优势在于已经拥有能产生现金的专科商业化平台，又有一批进入上市和申请阶段的创新产品。对进取型投资者，一年至三年的产品更替比未来两个月的价格反弹更值得研究。当前</w:t>
      </w:r>
      <w:r>
        <w:rPr/>
        <w:t>10.54</w:t>
      </w:r>
      <w:r>
        <w:rPr/>
        <w:t>港元对应按正式财报重算的过去十二个月归母市盈率约</w:t>
      </w:r>
      <w:r>
        <w:rPr/>
        <w:t>15.20</w:t>
      </w:r>
      <w:r>
        <w:rPr/>
        <w:t>倍，按本章正常化二〇二七年基准利润对应约</w:t>
      </w:r>
      <w:r>
        <w:rPr/>
        <w:t>10.63</w:t>
      </w:r>
      <w:r>
        <w:rPr/>
        <w:t>倍，有一定估值修复空间；但四条日均线均向下，近六十日明显弱于恒指，半年维度的推荐强度受到量价证据约束。低股价提供了赔率，并没有自动提供趋势确认。</w:t>
      </w:r>
    </w:p>
    <w:p>
      <w:pPr>
        <w:pStyle w:val="Normal"/>
        <w:rPr/>
      </w:pPr>
      <w:r>
        <w:rPr/>
        <w:t>独立评分为半年</w:t>
      </w:r>
      <w:r>
        <w:rPr/>
        <w:t>63.4</w:t>
      </w:r>
      <w:r>
        <w:rPr/>
        <w:t>、一年</w:t>
      </w:r>
      <w:r>
        <w:rPr/>
        <w:t>72.1</w:t>
      </w:r>
      <w:r>
        <w:rPr/>
        <w:t>、三年</w:t>
      </w:r>
      <w:r>
        <w:rPr/>
        <w:t>77.5</w:t>
      </w:r>
      <w:r>
        <w:rPr/>
        <w:t>、五年</w:t>
      </w:r>
      <w:r>
        <w:rPr/>
        <w:t>78.6</w:t>
      </w:r>
      <w:r>
        <w:rPr/>
        <w:t>分。评分衡量不同期限中的估值、业务和风险匹配程度，不能解读为成功概率。本章把半年列为“有条件观察”、一年列为“成长修复候选”、三年与五年列为“较优成长候选”。全名单名次和相差不足三分的正式梯队由总表统一确定，本章不自行宣布它必然进入前十。康哲既不是只有临床故事的研发企业，也不能简单当作稳定高股息公司，研究核心是旧产品现金与新产品投资之间能否形成良性转换。</w:t>
      </w:r>
    </w:p>
    <w:p>
      <w:pPr>
        <w:pStyle w:val="Normal"/>
        <w:rPr/>
      </w:pPr>
      <w:r>
        <w:rPr/>
        <w:t>推荐成立需要三个条件同时改善。首先，创新与独家产品必须在上市后形成真实处方和复购，抵消心肾代谢及中枢神经产品的下降。其次，销售费用率的改善不能以减少必要医学教育、质量和合规投入为代价，研发增长也要逐步转化为产品价值。最后，现金流必须在授权预付款、产业投资和分红之后仍维持足够缓冲。若利润主要来自投资公允价值上涨，或者新药销售只形成经销渠道存货，增长质量和合理市盈率都应下调。</w:t>
      </w:r>
    </w:p>
    <w:p>
      <w:pPr>
        <w:pStyle w:val="Normal"/>
        <w:rPr/>
      </w:pPr>
      <w:r>
        <w:rPr/>
        <w:t>一个重大边界是</w:t>
      </w:r>
      <w:r>
        <w:rPr/>
        <w:t>Dermavon</w:t>
      </w:r>
      <w:r>
        <w:rPr/>
        <w:t>拟分拆。二〇二五年四月二十二日原公告计划将康哲所持该公司全部股份实物分派，完成后康哲不再持有权益，皮肤业务不再合并。截至资料截止日，本章取得的最新正式公告仍描述其申请独立上市，未核到完成和分派比例。因此以下价格、收益和排名是“未完成分拆、持续合并”的条件模型。分拆一旦完成，必须分别计算保留集团股票和分派证券，不能把母股除权后的价差认作全部投资损失，也不能把子公司价值重复叠加在母集团市盈率之上。</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期限及条件目标日</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悲观价／涨跌</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基准价／涨跌</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乐观价／涨跌</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基准累计现金息</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4.98</w:t>
            </w:r>
            <w:r>
              <w:rPr>
                <w:rFonts w:ascii="微软雅黑" w:hAnsi="微软雅黑" w:eastAsia="微软雅黑"/>
                <w:sz w:val="17"/>
              </w:rPr>
              <w:t>／−</w:t>
            </w:r>
            <w:r>
              <w:rPr>
                <w:rFonts w:eastAsia="微软雅黑" w:ascii="微软雅黑" w:hAnsi="微软雅黑"/>
                <w:sz w:val="17"/>
              </w:rPr>
              <w:t>52.79%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12.89</w:t>
            </w:r>
            <w:r>
              <w:rPr>
                <w:rFonts w:ascii="微软雅黑" w:hAnsi="微软雅黑" w:eastAsia="微软雅黑"/>
                <w:sz w:val="17"/>
              </w:rPr>
              <w:t>／</w:t>
            </w:r>
            <w:r>
              <w:rPr>
                <w:rFonts w:eastAsia="微软雅黑" w:ascii="微软雅黑" w:hAnsi="微软雅黑"/>
                <w:sz w:val="17"/>
              </w:rPr>
              <w:t>+22.34%</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20.33</w:t>
            </w:r>
            <w:r>
              <w:rPr>
                <w:rFonts w:ascii="微软雅黑" w:hAnsi="微软雅黑" w:eastAsia="微软雅黑"/>
                <w:sz w:val="17"/>
              </w:rPr>
              <w:t>／</w:t>
            </w:r>
            <w:r>
              <w:rPr>
                <w:rFonts w:eastAsia="微软雅黑" w:ascii="微软雅黑" w:hAnsi="微软雅黑"/>
                <w:sz w:val="17"/>
              </w:rPr>
              <w:t>+92.84%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+22.34%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3.85</w:t>
            </w:r>
            <w:r>
              <w:rPr>
                <w:rFonts w:ascii="微软雅黑" w:hAnsi="微软雅黑" w:eastAsia="微软雅黑"/>
                <w:sz w:val="17"/>
              </w:rPr>
              <w:t>／−</w:t>
            </w:r>
            <w:r>
              <w:rPr>
                <w:rFonts w:eastAsia="微软雅黑" w:ascii="微软雅黑" w:hAnsi="微软雅黑"/>
                <w:sz w:val="17"/>
              </w:rPr>
              <w:t>63.43%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14.37</w:t>
            </w:r>
            <w:r>
              <w:rPr>
                <w:rFonts w:ascii="微软雅黑" w:hAnsi="微软雅黑" w:eastAsia="微软雅黑"/>
                <w:sz w:val="17"/>
              </w:rPr>
              <w:t>／</w:t>
            </w:r>
            <w:r>
              <w:rPr>
                <w:rFonts w:eastAsia="微软雅黑" w:ascii="微软雅黑" w:hAnsi="微软雅黑"/>
                <w:sz w:val="17"/>
              </w:rPr>
              <w:t>+36.31%</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22.72</w:t>
            </w:r>
            <w:r>
              <w:rPr>
                <w:rFonts w:ascii="微软雅黑" w:hAnsi="微软雅黑" w:eastAsia="微软雅黑"/>
                <w:sz w:val="17"/>
              </w:rPr>
              <w:t>／</w:t>
            </w:r>
            <w:r>
              <w:rPr>
                <w:rFonts w:eastAsia="微软雅黑" w:ascii="微软雅黑" w:hAnsi="微软雅黑"/>
                <w:sz w:val="17"/>
              </w:rPr>
              <w:t>+115.57%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+36.31%</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3.25</w:t>
            </w:r>
            <w:r>
              <w:rPr>
                <w:rFonts w:ascii="微软雅黑" w:hAnsi="微软雅黑" w:eastAsia="微软雅黑"/>
                <w:sz w:val="17"/>
              </w:rPr>
              <w:t>／−</w:t>
            </w:r>
            <w:r>
              <w:rPr>
                <w:rFonts w:eastAsia="微软雅黑" w:ascii="微软雅黑" w:hAnsi="微软雅黑"/>
                <w:sz w:val="17"/>
              </w:rPr>
              <w:t>69.15%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18.11</w:t>
            </w:r>
            <w:r>
              <w:rPr>
                <w:rFonts w:ascii="微软雅黑" w:hAnsi="微软雅黑" w:eastAsia="微软雅黑"/>
                <w:sz w:val="17"/>
              </w:rPr>
              <w:t>／</w:t>
            </w:r>
            <w:r>
              <w:rPr>
                <w:rFonts w:eastAsia="微软雅黑" w:ascii="微软雅黑" w:hAnsi="微软雅黑"/>
                <w:sz w:val="17"/>
              </w:rPr>
              <w:t>+71.79%</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28.67</w:t>
            </w:r>
            <w:r>
              <w:rPr>
                <w:rFonts w:ascii="微软雅黑" w:hAnsi="微软雅黑" w:eastAsia="微软雅黑"/>
                <w:sz w:val="17"/>
              </w:rPr>
              <w:t>／</w:t>
            </w:r>
            <w:r>
              <w:rPr>
                <w:rFonts w:eastAsia="微软雅黑" w:ascii="微软雅黑" w:hAnsi="微软雅黑"/>
                <w:sz w:val="17"/>
              </w:rPr>
              <w:t>+172.05%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0.36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+75.20%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1.58</w:t>
            </w:r>
            <w:r>
              <w:rPr>
                <w:rFonts w:ascii="微软雅黑" w:hAnsi="微软雅黑" w:eastAsia="微软雅黑"/>
                <w:sz w:val="17"/>
              </w:rPr>
              <w:t>／−</w:t>
            </w:r>
            <w:r>
              <w:rPr>
                <w:rFonts w:eastAsia="微软雅黑" w:ascii="微软雅黑" w:hAnsi="微软雅黑"/>
                <w:sz w:val="17"/>
              </w:rPr>
              <w:t>84.99%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22.40</w:t>
            </w:r>
            <w:r>
              <w:rPr>
                <w:rFonts w:ascii="微软雅黑" w:hAnsi="微软雅黑" w:eastAsia="微软雅黑"/>
                <w:sz w:val="17"/>
              </w:rPr>
              <w:t>／</w:t>
            </w:r>
            <w:r>
              <w:rPr>
                <w:rFonts w:eastAsia="微软雅黑" w:ascii="微软雅黑" w:hAnsi="微软雅黑"/>
                <w:sz w:val="17"/>
              </w:rPr>
              <w:t>+112.55%</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39.19</w:t>
            </w:r>
            <w:r>
              <w:rPr>
                <w:rFonts w:ascii="微软雅黑" w:hAnsi="微软雅黑" w:eastAsia="微软雅黑"/>
                <w:sz w:val="17"/>
              </w:rPr>
              <w:t>／</w:t>
            </w:r>
            <w:r>
              <w:rPr>
                <w:rFonts w:eastAsia="微软雅黑" w:ascii="微软雅黑" w:hAnsi="微软雅黑"/>
                <w:sz w:val="17"/>
              </w:rPr>
              <w:t>+271.83%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+126.30%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0.36</w:t>
            </w:r>
            <w:r>
              <w:rPr>
                <w:rFonts w:ascii="微软雅黑" w:hAnsi="微软雅黑" w:eastAsia="微软雅黑"/>
                <w:sz w:val="17"/>
              </w:rPr>
              <w:t>／−</w:t>
            </w:r>
            <w:r>
              <w:rPr>
                <w:rFonts w:eastAsia="微软雅黑" w:ascii="微软雅黑" w:hAnsi="微软雅黑"/>
                <w:sz w:val="17"/>
              </w:rPr>
              <w:t>96.62%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25.09</w:t>
            </w:r>
            <w:r>
              <w:rPr>
                <w:rFonts w:ascii="微软雅黑" w:hAnsi="微软雅黑" w:eastAsia="微软雅黑"/>
                <w:sz w:val="17"/>
              </w:rPr>
              <w:t>／</w:t>
            </w:r>
            <w:r>
              <w:rPr>
                <w:rFonts w:eastAsia="微软雅黑" w:ascii="微软雅黑" w:hAnsi="微软雅黑"/>
                <w:sz w:val="17"/>
              </w:rPr>
              <w:t>+138.03%</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49.14</w:t>
            </w:r>
            <w:r>
              <w:rPr>
                <w:rFonts w:ascii="微软雅黑" w:hAnsi="微软雅黑" w:eastAsia="微软雅黑"/>
                <w:sz w:val="17"/>
              </w:rPr>
              <w:t>／</w:t>
            </w:r>
            <w:r>
              <w:rPr>
                <w:rFonts w:eastAsia="微软雅黑" w:ascii="微软雅黑" w:hAnsi="微软雅黑"/>
                <w:sz w:val="17"/>
              </w:rPr>
              <w:t>+366.21%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+165.07%</w:t>
            </w:r>
          </w:p>
        </w:tc>
      </w:tr>
    </w:tbl>
    <w:p>
      <w:pPr>
        <w:pStyle w:val="Normal"/>
        <w:rPr/>
      </w:pPr>
      <w:r>
        <w:rPr/>
      </w:r>
    </w:p>
    <w:p>
      <w:pPr>
        <w:pStyle w:val="Normal"/>
        <w:rPr/>
      </w:pPr>
      <w:r>
        <w:rPr/>
        <w:t>上述悲观价来自持续低增长、固定研发销售成本、税负提高及融资稀释共同作用的正常利润市盈率模型，尤其远期利润接近盈亏平衡时，市盈率目标会很低。它们不是资产清算估值、统计区间或最大损失线。长期悲观情景不能代表管理层不会调整费用，也不代表现金与产品权利没有价值；它说明若商业化效率持续恶化，本次采用的经营收益估值会失去支撑。出现负利润时应改用资产与现金流模型，而不能继续机械给负市盈率价格。</w:t>
      </w:r>
    </w:p>
    <w:p>
      <w:pPr>
        <w:pStyle w:val="Heading2"/>
        <w:rPr/>
      </w:pPr>
      <w:r>
        <w:rPr>
          <w:color w:val="000000"/>
        </w:rPr>
        <w:t>商业模式与集团边界</w:t>
      </w:r>
    </w:p>
    <w:p>
      <w:pPr>
        <w:pStyle w:val="Normal"/>
        <w:rPr/>
      </w:pPr>
      <w:r>
        <w:rPr/>
        <w:t>康哲的商业模式是识别具有差异化临床用途的产品，取得区域权利，开展本地注册、市场准入和专业推广，再通过专科网络把药品销售做成规模。它的重要能力不是一次性把货卖给经销商，而是持续连接医生对治疗方案的认知、患者可负担性及药房的供给。产品来源同时包括引进合作、自主研发和产业投资。三种来源各有不同资本回报：引进产品节省早期研发时间，却产生里程碑和版税；自研可取得更完整权益，却更耗时且失败风险更大；参股企业可产生投资收益，但不能与本集团控制的商业化现金混同。</w:t>
      </w:r>
    </w:p>
    <w:p>
      <w:pPr>
        <w:pStyle w:val="Normal"/>
        <w:rPr/>
      </w:pPr>
      <w:r>
        <w:rPr/>
        <w:t>正式中报将收入分为药品直接销售与推广收入。上半年直销为</w:t>
      </w:r>
      <w:r>
        <w:rPr/>
        <w:t>35.58</w:t>
      </w:r>
      <w:r>
        <w:rPr/>
        <w:t>亿元，推广收入为</w:t>
      </w:r>
      <w:r>
        <w:rPr/>
        <w:t>9.43</w:t>
      </w:r>
      <w:r>
        <w:rPr/>
        <w:t>亿元，合计</w:t>
      </w:r>
      <w:r>
        <w:rPr/>
        <w:t>45.01</w:t>
      </w:r>
      <w:r>
        <w:rPr/>
        <w:t>亿元。推广收入通常是服务和商业化能力的净收入呈列，而非全部终端药品销售额。管理层另外展示“若所有药品均由集团直销”的销售</w:t>
      </w:r>
      <w:r>
        <w:rPr/>
        <w:t>53.41</w:t>
      </w:r>
      <w:r>
        <w:rPr/>
        <w:t>亿元，帮助理解终端业务规模，但这个管理口径不能直接配上财报</w:t>
      </w:r>
      <w:r>
        <w:rPr/>
        <w:t>12.80</w:t>
      </w:r>
      <w:r>
        <w:rPr/>
        <w:t>亿元销售成本计算毛利。只有在收入和成本同时转换、并完整解释抵销时才能比较，不然会凭空制造更高利润。</w:t>
      </w:r>
    </w:p>
    <w:p>
      <w:pPr>
        <w:pStyle w:val="Normal"/>
        <w:rPr/>
      </w:pPr>
      <w:r>
        <w:rPr/>
        <w:t>对康哲而言，净推广和直销比例变化会影响报表收入增速，却不一定按同等比例影响毛利、现金或产品需求。这也是眼科报表收入增长</w:t>
      </w:r>
      <w:r>
        <w:rPr/>
        <w:t>32.0%</w:t>
      </w:r>
      <w:r>
        <w:rPr/>
        <w:t>、全直销口径销售增长</w:t>
      </w:r>
      <w:r>
        <w:rPr/>
        <w:t>96.8%</w:t>
      </w:r>
      <w:r>
        <w:rPr/>
        <w:t>不能直接看成同一经济量的原因。本章活动模型保留两项收入原子，未来成本按财报边界估算，不用把管理销售乘统一净利率来替代全部利润桥。判断公司能否获得成长估值，重点看同一口径下毛利增长、经营现金和终端销量，而非只挑更高的管理收入增幅。</w:t>
      </w:r>
    </w:p>
    <w:p>
      <w:pPr>
        <w:pStyle w:val="Normal"/>
        <w:rPr/>
      </w:pPr>
      <w:r>
        <w:rPr/>
        <w:t>上半年集团有综合药品组合与皮肤健康两个报告分部。综合分部外部收入</w:t>
      </w:r>
      <w:r>
        <w:rPr/>
        <w:t>37.08</w:t>
      </w:r>
      <w:r>
        <w:rPr/>
        <w:t>亿元，皮肤外部收入</w:t>
      </w:r>
      <w:r>
        <w:rPr/>
        <w:t>7.93</w:t>
      </w:r>
      <w:r>
        <w:rPr/>
        <w:t>亿元，两者合计财报收入。分部之间还有</w:t>
      </w:r>
      <w:r>
        <w:rPr/>
        <w:t>434.7</w:t>
      </w:r>
      <w:r>
        <w:rPr/>
        <w:t>万元内部收入，合并时全部抵销。毛利表的综合</w:t>
      </w:r>
      <w:r>
        <w:rPr/>
        <w:t>26.60</w:t>
      </w:r>
      <w:r>
        <w:rPr/>
        <w:t>亿元与皮肤</w:t>
      </w:r>
      <w:r>
        <w:rPr/>
        <w:t>5.65</w:t>
      </w:r>
      <w:r>
        <w:rPr/>
        <w:t>亿元，要扣</w:t>
      </w:r>
      <w:r>
        <w:rPr/>
        <w:t>433.8</w:t>
      </w:r>
      <w:r>
        <w:rPr/>
        <w:t>万元分部抵销才能得到集团</w:t>
      </w:r>
      <w:r>
        <w:rPr/>
        <w:t>32.21</w:t>
      </w:r>
      <w:r>
        <w:rPr/>
        <w:t>亿元。投资者把各分部毛利直接相加，或者在皮肤快速增长时忘记内部贸易，会轻微高估集团成绩，并在未来分拆估值里扩大错误。</w:t>
      </w:r>
    </w:p>
    <w:p>
      <w:pPr>
        <w:pStyle w:val="Normal"/>
        <w:rPr/>
      </w:pPr>
      <w:r>
        <w:rPr/>
        <w:t>康哲不是可以无条件复制的大型跨国制药公司。其优势主要在特定专科和区域，产品权利也有地域、适应症和生产许可边界。一个产品在美国获批不代表康哲可以在全球收取现金，也不保证中国准入速度、定价和医生采用同步。集团将中国市场的注册与推广能力向东南亚复制，可能拓宽收入来源，但当地监管、经销商能力、医疗支付和患者结构会改变回报。国际化应依据注册、处方、回款逐段评价，不能把新加坡二次上市本身当作新增经营利润。</w:t>
      </w:r>
    </w:p>
    <w:p>
      <w:pPr>
        <w:pStyle w:val="Heading2"/>
        <w:rPr/>
      </w:pPr>
      <w:r>
        <w:rPr>
          <w:color w:val="000000"/>
        </w:rPr>
        <w:t>历史周期与当前增长构成</w:t>
      </w:r>
    </w:p>
    <w:p>
      <w:pPr>
        <w:pStyle w:val="Normal"/>
        <w:rPr/>
      </w:pPr>
      <w:r>
        <w:rPr/>
        <w:t>二〇二三年至二〇二五年财报收入分别为</w:t>
      </w:r>
      <w:r>
        <w:rPr/>
        <w:t>80.13</w:t>
      </w:r>
      <w:r>
        <w:rPr/>
        <w:t>、</w:t>
      </w:r>
      <w:r>
        <w:rPr/>
        <w:t>74.69</w:t>
      </w:r>
      <w:r>
        <w:rPr/>
        <w:t>和</w:t>
      </w:r>
      <w:r>
        <w:rPr/>
        <w:t>82.12</w:t>
      </w:r>
      <w:r>
        <w:rPr/>
        <w:t>亿元，归母利润分别为</w:t>
      </w:r>
      <w:r>
        <w:rPr/>
        <w:t>24.01</w:t>
      </w:r>
      <w:r>
        <w:rPr/>
        <w:t>、</w:t>
      </w:r>
      <w:r>
        <w:rPr/>
        <w:t>16.20</w:t>
      </w:r>
      <w:r>
        <w:rPr/>
        <w:t>和</w:t>
      </w:r>
      <w:r>
        <w:rPr/>
        <w:t>14.89</w:t>
      </w:r>
      <w:r>
        <w:rPr/>
        <w:t>亿元。收入先下滑再恢复，而归母利润尚未恢复到较早高位，反映集采、费用投入和非经营因素共同影响。仅以二〇二五年收入增长</w:t>
      </w:r>
      <w:r>
        <w:rPr/>
        <w:t>9.9%</w:t>
      </w:r>
      <w:r>
        <w:rPr/>
        <w:t>宣布盈利进入顺畅上升周期，会忽略研发费用从二〇二三年</w:t>
      </w:r>
      <w:r>
        <w:rPr/>
        <w:t>1.95</w:t>
      </w:r>
      <w:r>
        <w:rPr/>
        <w:t>亿元增至二〇二五年</w:t>
      </w:r>
      <w:r>
        <w:rPr/>
        <w:t>5.85</w:t>
      </w:r>
      <w:r>
        <w:rPr/>
        <w:t>亿元，以及税项与公允价值波动。增长引擎正在更换，利润弹性需要重新验证。</w:t>
      </w:r>
    </w:p>
    <w:p>
      <w:pPr>
        <w:pStyle w:val="Normal"/>
        <w:rPr/>
      </w:pPr>
      <w:r>
        <w:rPr/>
        <w:t>二〇二六年上半年收入同比增长</w:t>
      </w:r>
      <w:r>
        <w:rPr/>
        <w:t>12.5%</w:t>
      </w:r>
      <w:r>
        <w:rPr/>
        <w:t>，归母利润增长约</w:t>
      </w:r>
      <w:r>
        <w:rPr/>
        <w:t>4.8%</w:t>
      </w:r>
      <w:r>
        <w:rPr/>
        <w:t>，全集团净利润增长</w:t>
      </w:r>
      <w:r>
        <w:rPr/>
        <w:t>4.3%</w:t>
      </w:r>
      <w:r>
        <w:rPr/>
        <w:t>。集团净利润</w:t>
      </w:r>
      <w:r>
        <w:rPr/>
        <w:t>9.71</w:t>
      </w:r>
      <w:r>
        <w:rPr/>
        <w:t>亿元低于归母</w:t>
      </w:r>
      <w:r>
        <w:rPr/>
        <w:t>9.86</w:t>
      </w:r>
      <w:r>
        <w:rPr/>
        <w:t>亿元，因为少数股东对应亏损</w:t>
      </w:r>
      <w:r>
        <w:rPr/>
        <w:t>1461.7</w:t>
      </w:r>
      <w:r>
        <w:rPr/>
        <w:t>万元。将</w:t>
      </w:r>
      <w:r>
        <w:rPr/>
        <w:t>9.71</w:t>
      </w:r>
      <w:r>
        <w:rPr/>
        <w:t>亿元直接作为市盈率分子会低估归属于上市公司股东的利润；反过来，未来少数业务转盈后，归母可能不再享有这部分亏损差额，不能假定归母永远高于集团净利润。本章每个情景保留少数损益独立输入。</w:t>
      </w:r>
    </w:p>
    <w:p>
      <w:pPr>
        <w:pStyle w:val="Normal"/>
        <w:rPr/>
      </w:pPr>
      <w:r>
        <w:rPr/>
        <w:t>创新与独家产品上半年财报收入</w:t>
      </w:r>
      <w:r>
        <w:rPr/>
        <w:t>16.99</w:t>
      </w:r>
      <w:r>
        <w:rPr/>
        <w:t>亿元，同比增长</w:t>
      </w:r>
      <w:r>
        <w:rPr/>
        <w:t>19.7%</w:t>
      </w:r>
      <w:r>
        <w:rPr/>
        <w:t>，占收入</w:t>
      </w:r>
      <w:r>
        <w:rPr/>
        <w:t>37.7%</w:t>
      </w:r>
      <w:r>
        <w:rPr/>
        <w:t>。这为新增长提供了实际财务证据，但“创新与独家”是组合分类，不是全部产品都拥有同等专利壁垒，也不是全部增长都来自首次上市新药。独家进口或推广权可以产生稳定现金，却可能面临授权续期、仿制竞争和集采变化；真正的新机制产品还要经历准入与患者教育。对两类经济特征分别思考，才能避免把整个组合统一给予高风险创新药的远期销售倍数。</w:t>
      </w:r>
    </w:p>
    <w:p>
      <w:pPr>
        <w:pStyle w:val="Normal"/>
        <w:rPr/>
      </w:pPr>
      <w:r>
        <w:rPr/>
        <w:t>三款受集采影响的成熟产品</w:t>
      </w:r>
      <w:r>
        <w:rPr/>
        <w:t>Deanxit</w:t>
      </w:r>
      <w:r>
        <w:rPr/>
        <w:t>、</w:t>
      </w:r>
      <w:r>
        <w:rPr/>
        <w:t>Ursofalk</w:t>
      </w:r>
      <w:r>
        <w:rPr/>
        <w:t>与</w:t>
      </w:r>
      <w:r>
        <w:rPr/>
        <w:t>Plendil</w:t>
      </w:r>
      <w:r>
        <w:rPr/>
        <w:t>合计收入</w:t>
      </w:r>
      <w:r>
        <w:rPr/>
        <w:t>10.98</w:t>
      </w:r>
      <w:r>
        <w:rPr/>
        <w:t>亿元，同比增长</w:t>
      </w:r>
      <w:r>
        <w:rPr/>
        <w:t>4.6%</w:t>
      </w:r>
      <w:r>
        <w:rPr/>
        <w:t>，占收入</w:t>
      </w:r>
      <w:r>
        <w:rPr/>
        <w:t>24.4%</w:t>
      </w:r>
      <w:r>
        <w:rPr/>
        <w:t>。这意味着上一轮冲击后收入出现稳定迹象，有利于集团用老产品现金支持新药投放。稳定不能等同价格永远固定，续约、地方采购与竞争可能继续改变份额。在基准情景中，老产品提供经营底座而非重新高速增长；乐观情景的收益主要由新产品和专科效率产生，不用老药恢复旧价格来凑增长。</w:t>
      </w:r>
    </w:p>
    <w:p>
      <w:pPr>
        <w:pStyle w:val="Normal"/>
        <w:rPr/>
      </w:pPr>
      <w:r>
        <w:rPr/>
        <w:t>心肾代谢与中枢神经产品收入</w:t>
      </w:r>
      <w:r>
        <w:rPr/>
        <w:t>14.86</w:t>
      </w:r>
      <w:r>
        <w:rPr/>
        <w:t>亿元，同比下降</w:t>
      </w:r>
      <w:r>
        <w:rPr/>
        <w:t>3.4%</w:t>
      </w:r>
      <w:r>
        <w:rPr/>
        <w:t>；消化及自身免疫相关产品</w:t>
      </w:r>
      <w:r>
        <w:rPr/>
        <w:t>14.84</w:t>
      </w:r>
      <w:r>
        <w:rPr/>
        <w:t>亿元，增长</w:t>
      </w:r>
      <w:r>
        <w:rPr/>
        <w:t>5.1%</w:t>
      </w:r>
      <w:r>
        <w:rPr/>
        <w:t>；眼科</w:t>
      </w:r>
      <w:r>
        <w:rPr/>
        <w:t>4.73</w:t>
      </w:r>
      <w:r>
        <w:rPr/>
        <w:t>亿元，增长</w:t>
      </w:r>
      <w:r>
        <w:rPr/>
        <w:t>32.0%</w:t>
      </w:r>
      <w:r>
        <w:rPr/>
        <w:t>。这些方向说明集团增长并不均匀。眼科和皮肤的高增速可以稀释旧产品下降，却同时需要新的商业化资源。产品线收入是管理分类，财报报告分部又是另一边界，本章不把产品线和报告分部当作两套可叠加收入。能否扩张最终要看集团合并后的毛利和现金增量。</w:t>
      </w:r>
    </w:p>
    <w:p>
      <w:pPr>
        <w:pStyle w:val="Normal"/>
        <w:rPr/>
      </w:pPr>
      <w:r>
        <w:rPr/>
        <w:t>皮肤业务管理层报告增长</w:t>
      </w:r>
      <w:r>
        <w:rPr/>
        <w:t>59.1%</w:t>
      </w:r>
      <w:r>
        <w:rPr/>
        <w:t>，使用去年分部总收入</w:t>
      </w:r>
      <w:r>
        <w:rPr/>
        <w:t>4.98</w:t>
      </w:r>
      <w:r>
        <w:rPr/>
        <w:t>亿元作为比较；财报今年外部</w:t>
      </w:r>
      <w:r>
        <w:rPr/>
        <w:t>7.93</w:t>
      </w:r>
      <w:r>
        <w:rPr/>
        <w:t>亿元与去年外部</w:t>
      </w:r>
      <w:r>
        <w:rPr/>
        <w:t>4.73</w:t>
      </w:r>
      <w:r>
        <w:rPr/>
        <w:t>亿元比较，增幅约</w:t>
      </w:r>
      <w:r>
        <w:rPr/>
        <w:t>67.4%</w:t>
      </w:r>
      <w:r>
        <w:rPr/>
        <w:t>。差异来自上期内部收入和比较口径，不应把</w:t>
      </w:r>
      <w:r>
        <w:rPr/>
        <w:t>59.1%</w:t>
      </w:r>
      <w:r>
        <w:rPr/>
        <w:t>或</w:t>
      </w:r>
      <w:r>
        <w:rPr/>
        <w:t>67.4%</w:t>
      </w:r>
      <w:r>
        <w:rPr/>
        <w:t>任选一个再配另一个基数。这种细节影响未来假设：内部业务减少并不会自动创造同样比例的终端增量，因此活动模型不把更高外部增长机械延续五年。皮肤增长仍然突出，但应沿真实外部销售和付款路径核查。</w:t>
      </w:r>
    </w:p>
    <w:p>
      <w:pPr>
        <w:pStyle w:val="Heading2"/>
        <w:rPr/>
      </w:pPr>
      <w:r>
        <w:rPr>
          <w:color w:val="000000"/>
        </w:rPr>
        <w:t>专科平台与市场渗透</w:t>
      </w:r>
    </w:p>
    <w:p>
      <w:pPr>
        <w:pStyle w:val="Normal"/>
        <w:rPr/>
      </w:pPr>
      <w:r>
        <w:rPr/>
        <w:t>集团中报披露推广网络覆盖六万家以上医院与医疗机构，约三十二万家零售药房，包含约一千家</w:t>
      </w:r>
      <w:r>
        <w:rPr/>
        <w:t>DTP</w:t>
      </w:r>
      <w:r>
        <w:rPr/>
        <w:t>药房，以及七个主要电商与即时零售平台。广泛覆盖有助于新品借助现有触点进入市场，减少完全从零建设的时间。然而覆盖数量并不能证明所有终端持续采购，也不能代表每个渠道对所有适应症都有效。精神神经急救、肾病处方、眼底注射与皮肤外用的医学流程不同，需要不同销售队伍与患者支持。网络规模应通过单位人员毛利和回款验证。</w:t>
      </w:r>
    </w:p>
    <w:p>
      <w:pPr>
        <w:pStyle w:val="Normal"/>
        <w:rPr/>
      </w:pPr>
      <w:r>
        <w:rPr/>
        <w:t>对医生主导的处方药，产品证据、指南地位和准入决定销量基础。康哲可通过上市后研究、医学教育与患者管理推动采用，这类投入有助于建立品牌与专业认知，但必须持续合规。若以学术推广名义承担不当激励，短期销量可能增加，长期却引入停院、处罚与声誉损失。模型的销售费用率下降是假设流程效率和专科复用改善，不是假设公司可以大幅撤掉真实医学和合规工作。</w:t>
      </w:r>
    </w:p>
    <w:p>
      <w:pPr>
        <w:pStyle w:val="Normal"/>
        <w:rPr/>
      </w:pPr>
      <w:r>
        <w:rPr/>
        <w:t>院外渠道的机会是慢病复购、患者便利和自费选择，但并非天然具有更高盈利质量。电商流量成本、价格透明、平台规则和退货会挤压毛利，消费者可能在不同品牌之间频繁切换。康哲的皮肤与眼科产品拥有医生认知和品牌基础，可能比完全依靠广告的消费品更有优势；不过处方限制、适应症表达和药品广告监管仍必须遵守。零售排名是渠道表现线索，本章不把单个平台的排名直接推算成全中国市场占有率。</w:t>
      </w:r>
    </w:p>
    <w:p>
      <w:pPr>
        <w:pStyle w:val="Normal"/>
        <w:rPr/>
      </w:pPr>
      <w:r>
        <w:rPr/>
        <w:t>眼科平台的逻辑需要区分院内眼底治疗与院外视觉疲劳需求。眼底注射通常要求医院和专业医生，使用次数、疗效、安全以及支付影响回款；滴眼液更依赖持续购买、品牌和药房推荐。将两者放在同一业务平台可复用部分医学资源，却不能自动共享同一毛利或获客成本。上半年眼科增长很快，但未来能否降低集团销售费用率，还取决于引进产品的权益结构和费用分摊。</w:t>
      </w:r>
    </w:p>
    <w:p>
      <w:pPr>
        <w:pStyle w:val="Normal"/>
        <w:rPr/>
      </w:pPr>
      <w:r>
        <w:rPr/>
        <w:t>消化道与免疫领域具有长期慢病需求，部分成熟品牌已经形成渠道基础。与此同时，指南变化、国产替代和不同剂型的药物经济性可能改变处方。品牌历史有助于信任，却不等于在同类产品里永久独占。对消化组合，本章基准采用温和增长，避免以当前细分市场排名直接推导高终值。若未来高价产品被更便宜且证据充分的替代方案挤出，收入韧性、库存与销售网络效率要同时下修。</w:t>
      </w:r>
    </w:p>
    <w:p>
      <w:pPr>
        <w:pStyle w:val="Heading2"/>
        <w:rPr/>
      </w:pPr>
      <w:r>
        <w:rPr>
          <w:color w:val="000000"/>
        </w:rPr>
        <w:t>Lumirix</w:t>
      </w:r>
      <w:r>
        <w:rPr>
          <w:color w:val="000000"/>
        </w:rPr>
        <w:t>的临床 权利与商业化</w:t>
      </w:r>
    </w:p>
    <w:p>
      <w:pPr>
        <w:pStyle w:val="Normal"/>
        <w:rPr/>
      </w:pPr>
      <w:r>
        <w:rPr/>
        <w:t>Lumirix</w:t>
      </w:r>
      <w:r>
        <w:rPr/>
        <w:t>是康哲近期最重要的新增商业化证据之一。其白癜风适应症于一月批准，九月又获轻中度特应性皮炎适应症。本章取得的九月三日正式公告注明九月二日批准、三日取得注册证、三日</w:t>
      </w:r>
      <w:r>
        <w:rPr/>
        <w:t>17</w:t>
      </w:r>
      <w:r>
        <w:rPr/>
        <w:t>时</w:t>
      </w:r>
      <w:r>
        <w:rPr/>
        <w:t>54</w:t>
      </w:r>
      <w:r>
        <w:rPr/>
        <w:t>分公开，三种时间必须区分。九月批件不是截至六月中报的已上市范围，中报中“仍在申请”的描述应更新；但这一新增适应症还是同一药物，不能再把公司新上市分子数量增加一款。</w:t>
      </w:r>
    </w:p>
    <w:p>
      <w:pPr>
        <w:pStyle w:val="Normal"/>
        <w:rPr/>
      </w:pPr>
      <w:r>
        <w:rPr/>
        <w:t>中国特应性皮炎标签适用于二岁及以上、非免疫功能受损、对局部处方治疗控制不足或不宜采用此类治疗的轻中度患者，定位为短期及非连续慢性局部治疗。这个限制会影响实际可治疗人数和年用药次数。公司公告引用庞大患病人数，只能说明潜在需求，不能将所有患者乘以全年连续用药价格得到可实现市场。诊断率、既往治疗、皮损范围、可负担性、标签限制与医生选择必须逐层过滤。</w:t>
      </w:r>
    </w:p>
    <w:p>
      <w:pPr>
        <w:pStyle w:val="Normal"/>
        <w:rPr/>
      </w:pPr>
      <w:r>
        <w:rPr/>
        <w:t>公司披露中国随机、双盲、安慰剂对照三期试验在第八周主要终点上，</w:t>
      </w:r>
      <w:r>
        <w:rPr/>
        <w:t>IGA</w:t>
      </w:r>
      <w:r>
        <w:rPr/>
        <w:t>达到零或一且较基线降低至少两级的比例为</w:t>
      </w:r>
      <w:r>
        <w:rPr/>
        <w:t>63.0%</w:t>
      </w:r>
      <w:r>
        <w:rPr/>
        <w:t>，安慰剂</w:t>
      </w:r>
      <w:r>
        <w:rPr/>
        <w:t>9.2%</w:t>
      </w:r>
      <w:r>
        <w:rPr/>
        <w:t>；关键次要终点</w:t>
      </w:r>
      <w:r>
        <w:rPr/>
        <w:t>EASI</w:t>
      </w:r>
      <w:r>
        <w:rPr/>
        <w:t>改善至少</w:t>
      </w:r>
      <w:r>
        <w:rPr/>
        <w:t>75%</w:t>
      </w:r>
      <w:r>
        <w:rPr/>
        <w:t>为</w:t>
      </w:r>
      <w:r>
        <w:rPr/>
        <w:t>78.0%</w:t>
      </w:r>
      <w:r>
        <w:rPr/>
        <w:t>，安慰剂</w:t>
      </w:r>
      <w:r>
        <w:rPr/>
        <w:t>15.4%</w:t>
      </w:r>
      <w:r>
        <w:rPr/>
        <w:t>，均有显著统计差异。这支持产品具有明确疗效信号。完整样本构成、脱落、分层和长期安全原始数据未在本章全部核实，不能由短期疗效推断所有年龄、皮损部位和长期使用均具有同样效果。</w:t>
      </w:r>
    </w:p>
    <w:p>
      <w:pPr>
        <w:pStyle w:val="Normal"/>
        <w:rPr/>
      </w:pPr>
      <w:r>
        <w:rPr/>
        <w:t>公告报告治疗期出现的不良事件大多轻中度，没有导致停药的治疗期不良事件。这是已披露范围内的积极信息，但“没有停药”与“没有任何风险”含义不同，实际处方仍依赖完整说明书和临床判断。竞争也不只是同类局部</w:t>
      </w:r>
      <w:r>
        <w:rPr/>
        <w:t>JAK</w:t>
      </w:r>
      <w:r>
        <w:rPr/>
        <w:t>药物，还包括激素、钙调神经磷酸酶抑制剂、不同免疫靶点、口服和生物药。投资判断应比较患者分层、长期可接受性和实际费用，不能跨试验用响应率宣布本品全面领先所有方案。</w:t>
      </w:r>
    </w:p>
    <w:p>
      <w:pPr>
        <w:pStyle w:val="Normal"/>
        <w:rPr/>
      </w:pPr>
      <w:r>
        <w:rPr/>
        <w:t>Lumirix</w:t>
      </w:r>
      <w:r>
        <w:rPr/>
        <w:t>权益来自与</w:t>
      </w:r>
      <w:r>
        <w:rPr/>
        <w:t>Incyte</w:t>
      </w:r>
      <w:r>
        <w:rPr/>
        <w:t>的许可协议，覆盖大陆、港澳台与十一国东南亚区域，生产为非独家许可。大陆以外相关权利已经由</w:t>
      </w:r>
      <w:r>
        <w:rPr/>
        <w:t>Dermavon</w:t>
      </w:r>
      <w:r>
        <w:rPr/>
        <w:t>再许可给保留集团。这使分拆后的经济边界更复杂：大陆皮肤销售可能随子公司离开，而部分区域权利仍在康哲保留集团。即使知道最初持股比例，也不能直接按整个全球产品价值分派。需未来正式文件核实各区域许可、费用、往来和控制权，才能重建母子模型。</w:t>
      </w:r>
    </w:p>
    <w:p>
      <w:pPr>
        <w:pStyle w:val="Normal"/>
        <w:rPr/>
      </w:pPr>
      <w:r>
        <w:rPr/>
        <w:t>商业化上，外用药有机会通过医院诊断与院外复购扩大可及性，但白癜风复色周期和特应性皮炎间歇治疗不同，患者坚持使用和费用敏感性也不同。上市后的关键证据是覆盖医院增长之后，重复购买、每患者疗程与净回款是否同步，而非一次性首批发货。若正式批准之后几个季度销售低于基准、渠道库存提高或价格促销频繁，市场可能下调原本赋予该产品的增长溢价。本章没有未公开单品收入，因而不虚构精确销售爬坡曲线。</w:t>
      </w:r>
    </w:p>
    <w:p>
      <w:pPr>
        <w:pStyle w:val="Heading2"/>
        <w:rPr/>
      </w:pPr>
      <w:r>
        <w:rPr>
          <w:color w:val="000000"/>
        </w:rPr>
        <w:t>其他上市产品与后期申请</w:t>
      </w:r>
    </w:p>
    <w:p>
      <w:pPr>
        <w:pStyle w:val="Normal"/>
        <w:rPr/>
      </w:pPr>
      <w:r>
        <w:rPr/>
        <w:t>Desidustat</w:t>
      </w:r>
      <w:r>
        <w:rPr/>
        <w:t>是三月中国获批的口服</w:t>
      </w:r>
      <w:r>
        <w:rPr/>
        <w:t>HIF-PHI</w:t>
      </w:r>
      <w:r>
        <w:rPr/>
        <w:t>产品，适用于非透析成人慢性肾病贫血。需求与慢性肾病诊断、贫血管理和肾科医疗支付相关，存在长疗程市场，但同类机制及传统治疗竞争需要正面面对。产品获批消除了部分注册风险，并没有消除疗效安全对照、医生采用、医保准入和采购风险。基准情景给予新品组合增量，未假定</w:t>
      </w:r>
      <w:r>
        <w:rPr/>
        <w:t>Desidustat</w:t>
      </w:r>
      <w:r>
        <w:rPr/>
        <w:t>独占贫血市场；需上市后处方和安全监测来确定长期权重。</w:t>
      </w:r>
    </w:p>
    <w:p>
      <w:pPr>
        <w:pStyle w:val="Normal"/>
        <w:rPr/>
      </w:pPr>
      <w:r>
        <w:rPr/>
        <w:t>Silevimig</w:t>
      </w:r>
      <w:r>
        <w:rPr/>
        <w:t>于六月获批，为针对狂犬病毒的双表位抗体。其商业化价值与暴露后处置流程、医疗机构可及性、供给质量和患者支付有关，不适合用普通慢病年复购模式建销售。公司对创新定位的表述可作为产品机制事实来源，实际替代价值还要比较既有暴露后处理方案、标签和成本。紧急需求不等同不受价格约束，若供应稳定性、院内路径或政策采购不利，批准后的收入仍可能低于市场期待。</w:t>
      </w:r>
    </w:p>
    <w:p>
      <w:pPr>
        <w:pStyle w:val="Normal"/>
        <w:rPr/>
      </w:pPr>
      <w:r>
        <w:rPr/>
        <w:t>Monofer</w:t>
      </w:r>
      <w:r>
        <w:rPr/>
        <w:t>与</w:t>
      </w:r>
      <w:r>
        <w:rPr/>
        <w:t>Cosmofer</w:t>
      </w:r>
      <w:r>
        <w:rPr/>
        <w:t>来自四月和</w:t>
      </w:r>
      <w:r>
        <w:rPr/>
        <w:t>Pharmacosmos</w:t>
      </w:r>
      <w:r>
        <w:rPr/>
        <w:t>的合作，属于中国已上市静脉铁产品。前者的单次大剂量补铁与后者医保目录地位可以成为医生选择线索，商业化增量具有比早期管线更短的时间路径。然而合作产品的净收益取决于采购成本、推广权、供货和权益条件，不能用全部终端销售推康哲利润。技术与质量要求提高替代门槛，却不足以证明永远没有仿制或竞争制剂，本章保持成本率和市场竞争约束。</w:t>
      </w:r>
    </w:p>
    <w:p>
      <w:pPr>
        <w:pStyle w:val="Normal"/>
        <w:rPr/>
      </w:pPr>
      <w:r>
        <w:rPr/>
        <w:t>MG-K10</w:t>
      </w:r>
      <w:r>
        <w:rPr/>
        <w:t>亦称</w:t>
      </w:r>
      <w:r>
        <w:rPr/>
        <w:t>Comekibart</w:t>
      </w:r>
      <w:r>
        <w:rPr/>
        <w:t>，覆盖多个免疫相关适应症。特应性皮炎和季节性过敏性鼻炎申请已被受理，鼻炎申请于四月公开。长效给药可能改善依从性，但不同疾病严重度和可支付金额差异很大，鼻炎患者总量不能直接变成愿意接受生物药注射的人数。产品还面临同靶点成熟治疗和其他机制竞争。受理属于监管进程，不能当作最终获批、批准标签或已经实现销售。</w:t>
      </w:r>
    </w:p>
    <w:p>
      <w:pPr>
        <w:pStyle w:val="Normal"/>
        <w:rPr/>
      </w:pPr>
      <w:r>
        <w:rPr/>
        <w:t>合作权益包括大陆、港澳台及新加坡，共同开发权对特应性皮炎存在排除，而商业化权益与开发权边界不同；中国大陆皮肤适应症权益又与</w:t>
      </w:r>
      <w:r>
        <w:rPr/>
        <w:t>Dermavon</w:t>
      </w:r>
      <w:r>
        <w:rPr/>
        <w:t>相关。模型不能只看到“共同开发”便默认每种适应症享有全部全球经济权益。对于价值最大的后期产品，未来应把区域、适应症、里程碑、版税与成本负担分别登记，尤其在分拆之后重新确认往来。未取得的合同细项列为缺口，不用统一假设掩盖。</w:t>
      </w:r>
    </w:p>
    <w:p>
      <w:pPr>
        <w:pStyle w:val="Normal"/>
        <w:rPr/>
      </w:pPr>
      <w:r>
        <w:rPr/>
        <w:t>Loberamisal</w:t>
      </w:r>
      <w:r>
        <w:rPr/>
        <w:t>即</w:t>
      </w:r>
      <w:r>
        <w:rPr/>
        <w:t>Y-3</w:t>
      </w:r>
      <w:r>
        <w:rPr/>
        <w:t>注射剂用于急性缺血性卒中，属于后期申请产品。公司披露三期研究第九十天优秀功能结局差异约十三个百分点，风险比</w:t>
      </w:r>
      <w:r>
        <w:rPr/>
        <w:t>1.24</w:t>
      </w:r>
      <w:r>
        <w:rPr/>
        <w:t>、置信区间</w:t>
      </w:r>
      <w:r>
        <w:rPr/>
        <w:t>1.12</w:t>
      </w:r>
      <w:r>
        <w:rPr/>
        <w:t>至</w:t>
      </w:r>
      <w:r>
        <w:rPr/>
        <w:t>1.36</w:t>
      </w:r>
      <w:r>
        <w:rPr/>
        <w:t>，是需要认真跟踪的临床信号。卒中治疗的采用还取决于时间窗、与现有再灌注治疗关系、医院流程、安全与支付。探索性抑郁焦虑结果不能替代预设主要终点，也不能扩展成已获批新适应症。本章不按探索分析再创造第二个成熟现金流。</w:t>
      </w:r>
    </w:p>
    <w:p>
      <w:pPr>
        <w:pStyle w:val="Normal"/>
        <w:rPr/>
      </w:pPr>
      <w:r>
        <w:rPr/>
        <w:t>ZUNVEYL</w:t>
      </w:r>
      <w:r>
        <w:rPr/>
        <w:t>为</w:t>
      </w:r>
      <w:r>
        <w:rPr/>
        <w:t>benzgalantamine</w:t>
      </w:r>
      <w:r>
        <w:rPr/>
        <w:t>改良制剂，定位阿尔茨海默病症状治疗。美国批准和新制剂特征可以降低部分机制理解风险，却不能当作疾病修饰药物或证明延缓病理进展。康哲权益覆盖亚洲的特定范围并排除日本及中东等地域，应依据正式协议边界分析。收入机会在诊断、症状管理及依从性，实际竞争包括成熟廉价治疗与新治疗组合；社会老龄化只能扩大需求背景，不能使任何新制剂天然获得高利润。</w:t>
      </w:r>
    </w:p>
    <w:p>
      <w:pPr>
        <w:pStyle w:val="Heading2"/>
        <w:rPr/>
      </w:pPr>
      <w:r>
        <w:rPr>
          <w:color w:val="000000"/>
        </w:rPr>
        <w:t>早期管线与资本选择</w:t>
      </w:r>
    </w:p>
    <w:p>
      <w:pPr>
        <w:pStyle w:val="Normal"/>
        <w:rPr/>
      </w:pPr>
      <w:r>
        <w:rPr/>
        <w:t>ABP-671</w:t>
      </w:r>
      <w:r>
        <w:rPr/>
        <w:t>为</w:t>
      </w:r>
      <w:r>
        <w:rPr/>
        <w:t>URAT1</w:t>
      </w:r>
      <w:r>
        <w:rPr/>
        <w:t>抑制剂，六月启动中国三期研究，计划入组八百人以上。公司披露二期特定剂量第八周尿酸达标比例，支持进入后期开发的理由，但剂量、患者特征、肾功能和研究时间决定可比较性。高达标率不能代替长期安全证据，也不能跨不同试验声称优于所有竞争药。该项目对三年判断的重要性高于年底判断：未来注册、标签与商业化仍需多个节点，半年内可能有进度信息而不一定形成可分配利润。</w:t>
      </w:r>
    </w:p>
    <w:p>
      <w:pPr>
        <w:pStyle w:val="Normal"/>
        <w:rPr/>
      </w:pPr>
      <w:r>
        <w:rPr/>
        <w:t>CMS-D001</w:t>
      </w:r>
      <w:r>
        <w:rPr/>
        <w:t>为高选择性</w:t>
      </w:r>
      <w:r>
        <w:rPr/>
        <w:t>TYK2</w:t>
      </w:r>
      <w:r>
        <w:rPr/>
        <w:t>抑制剂。其银屑病及特应性皮炎处于已披露临床阶段，溃疡性结肠炎与克罗恩病五月获临床许可，系统性红斑狼疮九月获临床许可。选择性与机制的学术合理性不能直接化为全适应症成功。不同疾病需要不同终点、时间和安全容忍度；多个临床许可反映可拓展方向，并不等于已经取得多个上市批准。因此本章不以适应症数量乘同一成功率，把所有开发选项当确定盈利。</w:t>
      </w:r>
    </w:p>
    <w:p>
      <w:pPr>
        <w:pStyle w:val="Normal"/>
        <w:rPr/>
      </w:pPr>
      <w:r>
        <w:rPr/>
        <w:t>CMS-D017</w:t>
      </w:r>
      <w:r>
        <w:rPr/>
        <w:t>为补体因子</w:t>
      </w:r>
      <w:r>
        <w:rPr/>
        <w:t>B</w:t>
      </w:r>
      <w:r>
        <w:rPr/>
        <w:t>抑制剂，已获阵发性睡眠性血红蛋白尿、补体介导肾病及年龄相关黄斑变性相关临床许可。系统性与眼科应用可能涉及不同用药和安全要求，不能因同一分子就忽略开发成本。行业竞品已证明部分补体靶点具有临床价值，但后来者还需展示差异、疗效与风险控制。对康哲的三年模型，它更多体现组合选择权；五年乐观情景允许早期项目中部分贡献增长，未假定所有领域同时商业化。</w:t>
      </w:r>
    </w:p>
    <w:p>
      <w:pPr>
        <w:pStyle w:val="Normal"/>
        <w:rPr/>
      </w:pPr>
      <w:r>
        <w:rPr/>
        <w:t>CMS-D008</w:t>
      </w:r>
      <w:r>
        <w:rPr/>
        <w:t>为抑制</w:t>
      </w:r>
      <w:r>
        <w:rPr/>
        <w:t>INHBE</w:t>
      </w:r>
      <w:r>
        <w:rPr/>
        <w:t>的</w:t>
      </w:r>
      <w:r>
        <w:rPr/>
        <w:t>siRNA</w:t>
      </w:r>
      <w:r>
        <w:rPr/>
        <w:t>早期项目，三月取得超重或肥胖临床试验批准。降低脂肪、保留肌肉等机制设想吸引关注，现阶段必须区分动物与人类证据。体重减轻、代谢、肝功能和停药后的维持都需要真实临床数据。肥胖赛道需求很大，竞争也正在快速提高疗效和支付标准。若以热门赛道和动物数据直接赋予成熟商业药销售倍数，会把最不确定的输入变成最高确定性的价格，本章对此不作单品高额加值。</w:t>
      </w:r>
    </w:p>
    <w:p>
      <w:pPr>
        <w:pStyle w:val="Normal"/>
        <w:rPr/>
      </w:pPr>
      <w:r>
        <w:rPr/>
        <w:t>管线价值的关键不是将数十个项目平均成功率相乘后得到一个漂亮总数，而是逐项分清权利、阶段、研究证据和资本需求。对康哲这类已经盈利的集团，正常集团市盈率可以捕捉部分组合增长，但不能替代完善的分药风险调整净现值。本章没有取得足够完整的产品级成本、里程碑和销售数据，因此不宣称已经完成精确的全管线估值。后续若补齐原子数据，应只对未进入经营模型的额外选项单列价值，避免与已计利润重复。</w:t>
      </w:r>
    </w:p>
    <w:p>
      <w:pPr>
        <w:pStyle w:val="Normal"/>
        <w:rPr/>
      </w:pPr>
      <w:r>
        <w:rPr/>
        <w:t>投入选择会决定长期股东回报。研发预算增长可能带来更多资产，也可能延长亏损并造成机会成本；引进成熟产品能较快销售，却可能提高无形资产和摊销。管理层需要在内部开发、合作授权和产业参股之间比较风险后的现金回报。投资者应追踪停止项目的纪律、失败许可预付款减值和新产品回报，而非只奖励新增管线数量。若每年投入持续增加但可见商业化贡献不升，五年评分应降低，即使科学叙事更丰富。</w:t>
      </w:r>
    </w:p>
    <w:p>
      <w:pPr>
        <w:pStyle w:val="Heading2"/>
        <w:rPr/>
      </w:pPr>
      <w:r>
        <w:rPr>
          <w:color w:val="000000"/>
        </w:rPr>
        <w:t>利润质量 费用与税务</w:t>
      </w:r>
    </w:p>
    <w:p>
      <w:pPr>
        <w:pStyle w:val="Normal"/>
        <w:rPr/>
      </w:pPr>
      <w:r>
        <w:rPr/>
        <w:t>上半年销售成本</w:t>
      </w:r>
      <w:r>
        <w:rPr/>
        <w:t>12.80</w:t>
      </w:r>
      <w:r>
        <w:rPr/>
        <w:t>亿元、毛利</w:t>
      </w:r>
      <w:r>
        <w:rPr/>
        <w:t>32.21</w:t>
      </w:r>
      <w:r>
        <w:rPr/>
        <w:t>亿元，财报毛利率约</w:t>
      </w:r>
      <w:r>
        <w:rPr/>
        <w:t>71.56%</w:t>
      </w:r>
      <w:r>
        <w:rPr/>
        <w:t>。由于推广收入以净额呈列，毛利率天然受到销售模式结构影响，不能与一家全部自有制造直销药企简单比较。销售费用</w:t>
      </w:r>
      <w:r>
        <w:rPr/>
        <w:t>14.31</w:t>
      </w:r>
      <w:r>
        <w:rPr/>
        <w:t>亿元接近收入</w:t>
      </w:r>
      <w:r>
        <w:rPr/>
        <w:t>31.8%</w:t>
      </w:r>
      <w:r>
        <w:rPr/>
        <w:t>，管理费用</w:t>
      </w:r>
      <w:r>
        <w:rPr/>
        <w:t>4.40</w:t>
      </w:r>
      <w:r>
        <w:rPr/>
        <w:t>亿元，研发</w:t>
      </w:r>
      <w:r>
        <w:rPr/>
        <w:t>3.57</w:t>
      </w:r>
      <w:r>
        <w:rPr/>
        <w:t>亿元。高毛利并不代表高自由现金回报：从毛利到净利润之间，公司仍须持续承担医学推广、研发、授权摊销、税与少数利益。</w:t>
      </w:r>
    </w:p>
    <w:p>
      <w:pPr>
        <w:pStyle w:val="Normal"/>
        <w:rPr/>
      </w:pPr>
      <w:r>
        <w:rPr/>
        <w:t>研发费用同比增长</w:t>
      </w:r>
      <w:r>
        <w:rPr/>
        <w:t>76.1%</w:t>
      </w:r>
      <w:r>
        <w:rPr/>
        <w:t>，明显快于收入。短期这会压低盈利增速，长期可能改善产品权利和持续性。研发费用全部加回当“正常利润”不合理，因为康哲的增长本来就依靠新产品补充，停止研发会改变未来业务。活动模型在基准和乐观情景里仍保留较高研发预算，悲观情景假设低销售效率与投入刚性同时发生。评价研发要看现金、科学证据、申请进展与产品销售转换，而不是用费用率高低一项判断好坏。</w:t>
      </w:r>
    </w:p>
    <w:p>
      <w:pPr>
        <w:pStyle w:val="Normal"/>
        <w:rPr/>
      </w:pPr>
      <w:r>
        <w:rPr/>
        <w:t>销售费用上半年变化较小，使费用率较去年下降，是净利润韧性的重要来源。但公司新药扩张早期仍需医生教育、准入和渠道建设，费用率不可能无限下降。基准情景从绝对销售预算与收入一起推导利润，长期销售预算继续增长；乐观情景只是收入增长较快和平台复用改善。若新增产品需要独立高成本队伍，预期的规模效应应推迟，合理市盈率也不应因收入增长自动提高。</w:t>
      </w:r>
    </w:p>
    <w:p>
      <w:pPr>
        <w:pStyle w:val="Normal"/>
        <w:rPr/>
      </w:pPr>
      <w:r>
        <w:rPr/>
        <w:t>其他收入</w:t>
      </w:r>
      <w:r>
        <w:rPr/>
        <w:t>1.17</w:t>
      </w:r>
      <w:r>
        <w:rPr/>
        <w:t>亿元中利息为</w:t>
      </w:r>
      <w:r>
        <w:rPr/>
        <w:t>2479.5</w:t>
      </w:r>
      <w:r>
        <w:rPr/>
        <w:t>万元，其余大部分不能无条件看作同等持续的产品现金。其他损益为亏损</w:t>
      </w:r>
      <w:r>
        <w:rPr/>
        <w:t>7802.8</w:t>
      </w:r>
      <w:r>
        <w:rPr/>
        <w:t>万元，包含投资收益下降与汇兑损失增加，汇兑损失约</w:t>
      </w:r>
      <w:r>
        <w:rPr/>
        <w:t>3028.5</w:t>
      </w:r>
      <w:r>
        <w:rPr/>
        <w:t>万元。二〇二五年则有</w:t>
      </w:r>
      <w:r>
        <w:rPr/>
        <w:t>2.31</w:t>
      </w:r>
      <w:r>
        <w:rPr/>
        <w:t>亿元金融资产公允价值收益及</w:t>
      </w:r>
      <w:r>
        <w:rPr/>
        <w:t>1959.4</w:t>
      </w:r>
      <w:r>
        <w:rPr/>
        <w:t>万元处置子公司收益。正负公允价值都会影响财报表现，正常经营估值将其归零，同时保留正常减值与费用约束，不能只剔除亏损、保留盈利。</w:t>
      </w:r>
    </w:p>
    <w:p>
      <w:pPr>
        <w:pStyle w:val="Normal"/>
        <w:rPr/>
      </w:pPr>
      <w:r>
        <w:rPr/>
        <w:t>二〇二五年年报提供全集团正常化净利润</w:t>
      </w:r>
      <w:r>
        <w:rPr/>
        <w:t>17.76</w:t>
      </w:r>
      <w:r>
        <w:rPr/>
        <w:t>亿元，而报告净利润</w:t>
      </w:r>
      <w:r>
        <w:rPr/>
        <w:t>14.43</w:t>
      </w:r>
      <w:r>
        <w:rPr/>
        <w:t>亿元。公司说明主要排除约</w:t>
      </w:r>
      <w:r>
        <w:rPr/>
        <w:t>2.79</w:t>
      </w:r>
      <w:r>
        <w:rPr/>
        <w:t>亿元历史地方税优惠返还及相关滞纳金，但两个数的差额约</w:t>
      </w:r>
      <w:r>
        <w:rPr/>
        <w:t>3.32</w:t>
      </w:r>
      <w:r>
        <w:rPr/>
        <w:t>亿元，不能把“主要”当作唯一完整调节。归母与集团净利润又不同。本章没有用新闻里的一个正常化数替换整个原子桥，也不声称全部调节已经逐项核清。估值分子始终登记归母，并直接披露正常化口径限制。</w:t>
      </w:r>
    </w:p>
    <w:p>
      <w:pPr>
        <w:pStyle w:val="Normal"/>
        <w:rPr/>
      </w:pPr>
      <w:r>
        <w:rPr/>
        <w:t>原年报说明税优惠变化主体是西藏康哲药业发展有限公司，自二〇二五年适用税率从</w:t>
      </w:r>
      <w:r>
        <w:rPr/>
        <w:t>9%</w:t>
      </w:r>
      <w:r>
        <w:rPr/>
        <w:t>提高到</w:t>
      </w:r>
      <w:r>
        <w:rPr/>
        <w:t>15%</w:t>
      </w:r>
      <w:r>
        <w:rPr/>
        <w:t>，并在税务桥列示新增税</w:t>
      </w:r>
      <w:r>
        <w:rPr/>
        <w:t>2.238</w:t>
      </w:r>
      <w:r>
        <w:rPr/>
        <w:t>亿元。部分新闻将原因描述为西藏药业，主体与原件不同，必须以正式年报为准。历史返还和滞纳金可以是一次性冲击，但未来</w:t>
      </w:r>
      <w:r>
        <w:rPr/>
        <w:t>15%</w:t>
      </w:r>
      <w:r>
        <w:rPr/>
        <w:t>的税率变化具有持续性质。把一次性支出排除后再恢复旧</w:t>
      </w:r>
      <w:r>
        <w:rPr/>
        <w:t>9%</w:t>
      </w:r>
      <w:r>
        <w:rPr/>
        <w:t>税率，会同时高估未来利润和估值，本章税率与税调分别保留。</w:t>
      </w:r>
    </w:p>
    <w:p>
      <w:pPr>
        <w:pStyle w:val="Normal"/>
        <w:rPr/>
      </w:pPr>
      <w:r>
        <w:rPr/>
        <w:t>联营和合营贡献上半年税后权益法利润约</w:t>
      </w:r>
      <w:r>
        <w:rPr/>
        <w:t>1.67</w:t>
      </w:r>
      <w:r>
        <w:rPr/>
        <w:t>亿元，集团经营所得税不能再对同一税后利润机械征收一次。活动模型计算税基时剔除联营合营结果，再以独立税调整捕捉分派预提、优惠到期及不同地域因素。模型不是精确报税预测，但这个结构比把全部税前利润乘统一税率更合理。对税负的判断要依据利润地域和主体，不应用一个低历史有效税率永久覆盖不断扩张的海外业务。</w:t>
      </w:r>
    </w:p>
    <w:p>
      <w:pPr>
        <w:pStyle w:val="Heading2"/>
        <w:rPr/>
      </w:pPr>
      <w:r>
        <w:rPr>
          <w:color w:val="000000"/>
        </w:rPr>
        <w:t>现金流 资本结构与资金约束</w:t>
      </w:r>
    </w:p>
    <w:p>
      <w:pPr>
        <w:pStyle w:val="Normal"/>
        <w:rPr/>
      </w:pPr>
      <w:r>
        <w:rPr/>
        <w:t>上半年经营现金流</w:t>
      </w:r>
      <w:r>
        <w:rPr/>
        <w:t>6.93</w:t>
      </w:r>
      <w:r>
        <w:rPr/>
        <w:t>亿元，较去年同期</w:t>
      </w:r>
      <w:r>
        <w:rPr/>
        <w:t>5.57</w:t>
      </w:r>
      <w:r>
        <w:rPr/>
        <w:t>亿元改善，但只有归母利润约七成。固定资产投资</w:t>
      </w:r>
      <w:r>
        <w:rPr/>
        <w:t>3375.9</w:t>
      </w:r>
      <w:r>
        <w:rPr/>
        <w:t>万元，简单扣除后现金余量</w:t>
      </w:r>
      <w:r>
        <w:rPr/>
        <w:t>6.59</w:t>
      </w:r>
      <w:r>
        <w:rPr/>
        <w:t>亿元；再扣当期授权等无形资产预付款</w:t>
      </w:r>
      <w:r>
        <w:rPr/>
        <w:t>4.68</w:t>
      </w:r>
      <w:r>
        <w:rPr/>
        <w:t>亿元，剩约</w:t>
      </w:r>
      <w:r>
        <w:rPr/>
        <w:t>1.91</w:t>
      </w:r>
      <w:r>
        <w:rPr/>
        <w:t>亿元。这仍未包含新增金融资产、联营注资与股东分红。药企的固定资产不一定很多，产品权利的现金投入却非常重要，因此本章同时展示两个口径，避免用“轻资产”掩盖取得药物权利所需资金。</w:t>
      </w:r>
    </w:p>
    <w:p>
      <w:pPr>
        <w:pStyle w:val="Normal"/>
        <w:rPr/>
      </w:pPr>
      <w:r>
        <w:rPr/>
        <w:t>同期金融资产投资</w:t>
      </w:r>
      <w:r>
        <w:rPr/>
        <w:t>1.33</w:t>
      </w:r>
      <w:r>
        <w:rPr/>
        <w:t>亿元、其他综合收益股权投资</w:t>
      </w:r>
      <w:r>
        <w:rPr/>
        <w:t>3431.4</w:t>
      </w:r>
      <w:r>
        <w:rPr/>
        <w:t>万元、联营注资</w:t>
      </w:r>
      <w:r>
        <w:rPr/>
        <w:t>9451.3</w:t>
      </w:r>
      <w:r>
        <w:rPr/>
        <w:t>万元。收到利息、联营和金融资产分红是现金支持，但部分投资仍有较长回收期。投资净现金流流出</w:t>
      </w:r>
      <w:r>
        <w:rPr/>
        <w:t>5.73</w:t>
      </w:r>
      <w:r>
        <w:rPr/>
        <w:t>亿元，融资净流出</w:t>
      </w:r>
      <w:r>
        <w:rPr/>
        <w:t>2.23</w:t>
      </w:r>
      <w:r>
        <w:rPr/>
        <w:t>亿元，汇率再减少现金</w:t>
      </w:r>
      <w:r>
        <w:rPr/>
        <w:t>2624.9</w:t>
      </w:r>
      <w:r>
        <w:rPr/>
        <w:t>万元，期末现金从</w:t>
      </w:r>
      <w:r>
        <w:rPr/>
        <w:t>27.01</w:t>
      </w:r>
      <w:r>
        <w:rPr/>
        <w:t>亿元降至</w:t>
      </w:r>
      <w:r>
        <w:rPr/>
        <w:t>25.72</w:t>
      </w:r>
      <w:r>
        <w:rPr/>
        <w:t>亿元。盈利与现金下降可以同时存在，问题是这类投入能否形成足够高的后续现金，而不是看到现金减少就自动宣布危机。</w:t>
      </w:r>
    </w:p>
    <w:p>
      <w:pPr>
        <w:pStyle w:val="Normal"/>
        <w:rPr/>
      </w:pPr>
      <w:r>
        <w:rPr/>
        <w:t>全部银行借款</w:t>
      </w:r>
      <w:r>
        <w:rPr/>
        <w:t>8.35</w:t>
      </w:r>
      <w:r>
        <w:rPr/>
        <w:t>亿元，租赁负债约</w:t>
      </w:r>
      <w:r>
        <w:rPr/>
        <w:t>4826.1</w:t>
      </w:r>
      <w:r>
        <w:rPr/>
        <w:t>万元，现金在狭义上高于这些融资负债，提供了缓冲。银行借款均为流动负债，平均借款利率约</w:t>
      </w:r>
      <w:r>
        <w:rPr/>
        <w:t>1.9%</w:t>
      </w:r>
      <w:r>
        <w:rPr/>
        <w:t>，仍需关注续贷和期限。集团总负债</w:t>
      </w:r>
      <w:r>
        <w:rPr/>
        <w:t>15.93</w:t>
      </w:r>
      <w:r>
        <w:rPr/>
        <w:t>亿元不等于全部有息债，也不能把所有总负债再次从已含融资成本的股权市盈率价值扣除。风险分析列出债务和现金，活动估值选择全股盈利方法后避免第二次扣净债。</w:t>
      </w:r>
    </w:p>
    <w:p>
      <w:pPr>
        <w:pStyle w:val="Normal"/>
        <w:rPr/>
      </w:pPr>
      <w:r>
        <w:rPr/>
        <w:t>本章现金验证从</w:t>
      </w:r>
      <w:r>
        <w:rPr/>
        <w:t>25.72</w:t>
      </w:r>
      <w:r>
        <w:rPr/>
        <w:t>亿元期初缓冲推算，基准假设二〇二六年下半年经营流入</w:t>
      </w:r>
      <w:r>
        <w:rPr/>
        <w:t>7.5</w:t>
      </w:r>
      <w:r>
        <w:rPr/>
        <w:t>亿元，同时授权投入</w:t>
      </w:r>
      <w:r>
        <w:rPr/>
        <w:t>4.3</w:t>
      </w:r>
      <w:r>
        <w:rPr/>
        <w:t>亿元、分红回购</w:t>
      </w:r>
      <w:r>
        <w:rPr/>
        <w:t>4.6</w:t>
      </w:r>
      <w:r>
        <w:rPr/>
        <w:t>亿元、产业投资净投入</w:t>
      </w:r>
      <w:r>
        <w:rPr/>
        <w:t>2.2</w:t>
      </w:r>
      <w:r>
        <w:rPr/>
        <w:t>亿元等，期末约</w:t>
      </w:r>
      <w:r>
        <w:rPr/>
        <w:t>23.87</w:t>
      </w:r>
      <w:r>
        <w:rPr/>
        <w:t>亿元。二〇二七和二〇二八年经营流入进一步增长，但持续授权、研发对应付款和分红继续消耗现金，期末缓冲约</w:t>
      </w:r>
      <w:r>
        <w:rPr/>
        <w:t>23.17</w:t>
      </w:r>
      <w:r>
        <w:rPr/>
        <w:t>和</w:t>
      </w:r>
      <w:r>
        <w:rPr/>
        <w:t>24.27</w:t>
      </w:r>
      <w:r>
        <w:rPr/>
        <w:t>亿元。它是清楚登记的研究现金桥，未冒充完整资产负债表预测，也不假设所有投资资产随时变现。</w:t>
      </w:r>
    </w:p>
    <w:p>
      <w:pPr>
        <w:pStyle w:val="Normal"/>
        <w:rPr/>
      </w:pPr>
      <w:r>
        <w:rPr/>
        <w:t>资金风险的早期信号包括经营现金长期落后利润、应收账龄变长、产品权利预付款增加而上市推迟，以及融资余额不断上升。当前净应收</w:t>
      </w:r>
      <w:r>
        <w:rPr/>
        <w:t>15.11</w:t>
      </w:r>
      <w:r>
        <w:rPr/>
        <w:t>亿元中大部分在九十天内，历史账龄暂未显示大规模长账期压力，但期末分布只提供一个截面。还需核对期后收款和客户集中度。经销商提前采购可以短期提高现金，不保证终端需求稳定；医院回款延迟也可能使产品增长暂时难以转成可分配现金。</w:t>
      </w:r>
    </w:p>
    <w:p>
      <w:pPr>
        <w:pStyle w:val="Heading2"/>
        <w:rPr/>
      </w:pPr>
      <w:r>
        <w:rPr>
          <w:color w:val="000000"/>
        </w:rPr>
        <w:t>投资资产 股东回报与治理</w:t>
      </w:r>
    </w:p>
    <w:p>
      <w:pPr>
        <w:pStyle w:val="Normal"/>
        <w:rPr/>
      </w:pPr>
      <w:r>
        <w:rPr/>
        <w:t>期末金融资产公允价值</w:t>
      </w:r>
      <w:r>
        <w:rPr/>
        <w:t>31.81</w:t>
      </w:r>
      <w:r>
        <w:rPr/>
        <w:t>亿元，其中上市股权仅约</w:t>
      </w:r>
      <w:r>
        <w:rPr/>
        <w:t>106.5</w:t>
      </w:r>
      <w:r>
        <w:rPr/>
        <w:t>万元，资本基金</w:t>
      </w:r>
      <w:r>
        <w:rPr/>
        <w:t>11.99</w:t>
      </w:r>
      <w:r>
        <w:rPr/>
        <w:t>亿元、二级估值非上市股权</w:t>
      </w:r>
      <w:r>
        <w:rPr/>
        <w:t>14.83</w:t>
      </w:r>
      <w:r>
        <w:rPr/>
        <w:t>亿元、可转债</w:t>
      </w:r>
      <w:r>
        <w:rPr/>
        <w:t>1.70</w:t>
      </w:r>
      <w:r>
        <w:rPr/>
        <w:t>亿元、三级非上市股权</w:t>
      </w:r>
      <w:r>
        <w:rPr/>
        <w:t>3.28</w:t>
      </w:r>
      <w:r>
        <w:rPr/>
        <w:t>亿元。它并非一篮子可立即用于派息的无风险理财。二级估值可能参考近期不活跃市场交易，三级使用市场比较与底层投资价格，均存在估值和流动性不确定。大额金融资产有战略价值，也会把集团利润暴露于医药融资市场和未上市资产价格。</w:t>
      </w:r>
    </w:p>
    <w:p>
      <w:pPr>
        <w:pStyle w:val="Normal"/>
        <w:rPr/>
      </w:pPr>
      <w:r>
        <w:rPr/>
        <w:t>另有其他综合收益计量股权</w:t>
      </w:r>
      <w:r>
        <w:rPr/>
        <w:t>3.81</w:t>
      </w:r>
      <w:r>
        <w:rPr/>
        <w:t>亿元、联营账面价值</w:t>
      </w:r>
      <w:r>
        <w:rPr/>
        <w:t>36.37</w:t>
      </w:r>
      <w:r>
        <w:rPr/>
        <w:t>亿元和合营</w:t>
      </w:r>
      <w:r>
        <w:rPr/>
        <w:t>1.73</w:t>
      </w:r>
      <w:r>
        <w:rPr/>
        <w:t>亿元。康哲持有西藏药业</w:t>
      </w:r>
      <w:r>
        <w:rPr/>
        <w:t>37.82%</w:t>
      </w:r>
      <w:r>
        <w:rPr/>
        <w:t>，中报引用的上市市值约</w:t>
      </w:r>
      <w:r>
        <w:rPr/>
        <w:t>45.02</w:t>
      </w:r>
      <w:r>
        <w:rPr/>
        <w:t>亿元，不同于账面。联营盈利已经计入本章集团估值，故不能再把</w:t>
      </w:r>
      <w:r>
        <w:rPr/>
        <w:t>45.02</w:t>
      </w:r>
      <w:r>
        <w:rPr/>
        <w:t>亿元股权市值全部加上；如果改用分部法，就需先从经营盈利和净利息中移除对应贡献，并逐项处理税、持股和资金。本章使用一套活动模型，避免两种方法混用抬高目标。</w:t>
      </w:r>
    </w:p>
    <w:p>
      <w:pPr>
        <w:pStyle w:val="Normal"/>
        <w:rPr/>
      </w:pPr>
      <w:r>
        <w:rPr/>
        <w:t>无形资产</w:t>
      </w:r>
      <w:r>
        <w:rPr/>
        <w:t>26.94</w:t>
      </w:r>
      <w:r>
        <w:rPr/>
        <w:t>亿元、无形资产预付款余额</w:t>
      </w:r>
      <w:r>
        <w:rPr/>
        <w:t>13.65</w:t>
      </w:r>
      <w:r>
        <w:rPr/>
        <w:t>亿元、商誉</w:t>
      </w:r>
      <w:r>
        <w:rPr/>
        <w:t>15.11</w:t>
      </w:r>
      <w:r>
        <w:rPr/>
        <w:t>亿元，合计在资产中占有显著比例。它们代表既有业务和未来权利，不等同现金；若产品需求、注册或合同经济恶化，需要评估摊销和减值。资产负债表较强可以帮助公司承受失败，但不能把过去投入的账面成本当作未来必然回收价值。终值估计尤其要保留授权到期、替代产品和再投入，避免以当前资产余额给永久利润背书。</w:t>
      </w:r>
    </w:p>
    <w:p>
      <w:pPr>
        <w:pStyle w:val="Normal"/>
        <w:rPr/>
      </w:pPr>
      <w:r>
        <w:rPr/>
        <w:t>上半年回购</w:t>
      </w:r>
      <w:r>
        <w:rPr/>
        <w:t>639.7</w:t>
      </w:r>
      <w:r>
        <w:rPr/>
        <w:t>万股，代价</w:t>
      </w:r>
      <w:r>
        <w:rPr/>
        <w:t>6789.5</w:t>
      </w:r>
      <w:r>
        <w:rPr/>
        <w:t>万港元，约</w:t>
      </w:r>
      <w:r>
        <w:rPr/>
        <w:t>5914.9</w:t>
      </w:r>
      <w:r>
        <w:rPr/>
        <w:t>万元人民币，未注销而作为库存持有。九月底法律全股</w:t>
      </w:r>
      <w:r>
        <w:rPr/>
        <w:t>24.39528512</w:t>
      </w:r>
      <w:r>
        <w:rPr/>
        <w:t>亿，外部</w:t>
      </w:r>
      <w:r>
        <w:rPr/>
        <w:t>24.33131512</w:t>
      </w:r>
      <w:r>
        <w:rPr/>
        <w:t>亿，两者相差正是库存。活动模型用外部股份作当前归母收益分母，不再次减同一信托股份。半年加权</w:t>
      </w:r>
      <w:r>
        <w:rPr/>
        <w:t>24.19645984</w:t>
      </w:r>
      <w:r>
        <w:rPr/>
        <w:t>亿与期末不同，属于期间及信托会计处理差异线索，不能凭差额断言有新增发行。本章未来股数增加全部作为显式融资或激励假设。</w:t>
      </w:r>
    </w:p>
    <w:p>
      <w:pPr>
        <w:pStyle w:val="Normal"/>
        <w:rPr/>
      </w:pPr>
      <w:r>
        <w:rPr/>
        <w:t>二〇二五年末期每股人民币</w:t>
      </w:r>
      <w:r>
        <w:rPr/>
        <w:t>0.1366</w:t>
      </w:r>
      <w:r>
        <w:rPr/>
        <w:t>，香港支付港币</w:t>
      </w:r>
      <w:r>
        <w:rPr/>
        <w:t>0.155</w:t>
      </w:r>
      <w:r>
        <w:rPr/>
        <w:t>，四月二十七日除净、五月七日支付；二〇二六年中期人民币</w:t>
      </w:r>
      <w:r>
        <w:rPr/>
        <w:t>0.1634</w:t>
      </w:r>
      <w:r>
        <w:rPr/>
        <w:t>，港币</w:t>
      </w:r>
      <w:r>
        <w:rPr/>
        <w:t>0.189</w:t>
      </w:r>
      <w:r>
        <w:rPr/>
        <w:t>，八月二十八日除净、九月八日支付。两笔均早于价格基准，不能再加进从十月九日开始的未来收益。半年目标在四月九日，早于上一年度末期的惯常除净月份，故本章保守将半年未来息设零。一年以后的现金息是预测，没有取得未来董事会决定。</w:t>
      </w:r>
    </w:p>
    <w:p>
      <w:pPr>
        <w:pStyle w:val="Normal"/>
        <w:rPr/>
      </w:pPr>
      <w:r>
        <w:rPr/>
        <w:t>公司和子公司的激励可能提升产品开发动力，也可能使少数股东和集团归母权益变化。</w:t>
      </w:r>
      <w:r>
        <w:rPr/>
        <w:t>Dermavon</w:t>
      </w:r>
      <w:r>
        <w:rPr/>
        <w:t>最初公告有</w:t>
      </w:r>
      <w:r>
        <w:rPr/>
        <w:t>9.2%</w:t>
      </w:r>
      <w:r>
        <w:rPr/>
        <w:t>员工平台持有，康哲持</w:t>
      </w:r>
      <w:r>
        <w:rPr/>
        <w:t>90.8%</w:t>
      </w:r>
      <w:r>
        <w:rPr/>
        <w:t>；这一历史比例不是截止日新核的完整股权表。未来分拆既影响估值透明度，也改变现金、研发资金和商业化协同。本章关注治理的实质是权益与资本分配是否清楚，不以独立上市的标题自动提高推荐；透明的条件、关联交易和费用分摊比宣传价值释放更重要。</w:t>
      </w:r>
    </w:p>
    <w:p>
      <w:pPr>
        <w:pStyle w:val="Heading2"/>
        <w:rPr/>
      </w:pPr>
      <w:r>
        <w:rPr>
          <w:color w:val="000000"/>
        </w:rPr>
        <w:t>半年日线形态与关键区间</w:t>
      </w:r>
    </w:p>
    <w:p>
      <w:pPr>
        <w:pStyle w:val="Normal"/>
        <w:rPr/>
      </w:pPr>
      <w:r>
        <w:rPr/>
        <w:t>日线采用三年</w:t>
      </w:r>
      <w:r>
        <w:rPr/>
        <w:t>739</w:t>
      </w:r>
      <w:r>
        <w:rPr/>
        <w:t>个真实交易日，统一至基准日名义价格的复权开高低收。腾讯、新浪和独立日线收盘及成交量均可核到</w:t>
      </w:r>
      <w:r>
        <w:rPr/>
        <w:t>10.54</w:t>
      </w:r>
      <w:r>
        <w:rPr/>
        <w:t>港元和</w:t>
      </w:r>
      <w:r>
        <w:rPr/>
        <w:t>418.5</w:t>
      </w:r>
      <w:r>
        <w:rPr/>
        <w:t>万股。历史有一根雅虎开高低收逻辑异常，锁定版本用腾讯同日完整柱修复并保留记录；近六十日复权收盘跨源最大差约</w:t>
      </w:r>
      <w:r>
        <w:rPr/>
        <w:t>1.67%</w:t>
      </w:r>
      <w:r>
        <w:rPr/>
        <w:t>。因此本章把关键价位作为观察区间，不制造精确到一分钱的必然支撑，也不把历史名义高点与复权高点混用。</w:t>
      </w:r>
    </w:p>
    <w:p>
      <w:pPr>
        <w:pStyle w:val="Normal"/>
        <w:rPr/>
      </w:pPr>
      <w:r>
        <w:rPr/>
        <w:t>二十、六十、一百二十及二百五十日均线分别为</w:t>
      </w:r>
      <w:r>
        <w:rPr/>
        <w:t>10.748</w:t>
      </w:r>
      <w:r>
        <w:rPr/>
        <w:t>、</w:t>
      </w:r>
      <w:r>
        <w:rPr/>
        <w:t>11.307</w:t>
      </w:r>
      <w:r>
        <w:rPr/>
        <w:t>、</w:t>
      </w:r>
      <w:r>
        <w:rPr/>
        <w:t>11.336</w:t>
      </w:r>
      <w:r>
        <w:rPr/>
        <w:t>和</w:t>
      </w:r>
      <w:r>
        <w:rPr/>
        <w:t>12.405</w:t>
      </w:r>
      <w:r>
        <w:rPr/>
        <w:t>港元。现价分别低约</w:t>
      </w:r>
      <w:r>
        <w:rPr/>
        <w:t>1.94%</w:t>
      </w:r>
      <w:r>
        <w:rPr/>
        <w:t>、</w:t>
      </w:r>
      <w:r>
        <w:rPr/>
        <w:t>6.78%</w:t>
      </w:r>
      <w:r>
        <w:rPr/>
        <w:t>、</w:t>
      </w:r>
      <w:r>
        <w:rPr/>
        <w:t>7.02%</w:t>
      </w:r>
      <w:r>
        <w:rPr/>
        <w:t>和</w:t>
      </w:r>
      <w:r>
        <w:rPr/>
        <w:t>15.03%</w:t>
      </w:r>
      <w:r>
        <w:rPr/>
        <w:t>，五日均线变化分别为−</w:t>
      </w:r>
      <w:r>
        <w:rPr/>
        <w:t>0.99%</w:t>
      </w:r>
      <w:r>
        <w:rPr/>
        <w:t>、−</w:t>
      </w:r>
      <w:r>
        <w:rPr/>
        <w:t>1.15%</w:t>
      </w:r>
      <w:r>
        <w:rPr/>
        <w:t>、−</w:t>
      </w:r>
      <w:r>
        <w:rPr/>
        <w:t>1.12%</w:t>
      </w:r>
      <w:r>
        <w:rPr/>
        <w:t>和−</w:t>
      </w:r>
      <w:r>
        <w:rPr/>
        <w:t>0.50%</w:t>
      </w:r>
      <w:r>
        <w:rPr/>
        <w:t>。价格在全部均线下方，均线仍向下，是中短期下降趋势的具体依据。二十日线离价格较近，只需较小反弹就可穿越，单独穿越它的证据强度有限，需要六十与一百二十日线的形态共同改善。</w:t>
      </w:r>
    </w:p>
    <w:p>
      <w:pPr>
        <w:pStyle w:val="Normal"/>
        <w:rPr/>
      </w:pPr>
      <w:r>
        <w:rPr/>
        <w:t>最近二十日与六十日区间低点均约</w:t>
      </w:r>
      <w:r>
        <w:rPr/>
        <w:t>10.11</w:t>
      </w:r>
      <w:r>
        <w:rPr/>
        <w:t>港元，现价距离约−</w:t>
      </w:r>
      <w:r>
        <w:rPr/>
        <w:t>4.08%</w:t>
      </w:r>
      <w:r>
        <w:rPr/>
        <w:t>；二十日区间高点</w:t>
      </w:r>
      <w:r>
        <w:rPr/>
        <w:t>11.47</w:t>
      </w:r>
      <w:r>
        <w:rPr/>
        <w:t>港元，向上距离约</w:t>
      </w:r>
      <w:r>
        <w:rPr/>
        <w:t>8.82%</w:t>
      </w:r>
      <w:r>
        <w:rPr/>
        <w:t>；六十日高点</w:t>
      </w:r>
      <w:r>
        <w:rPr/>
        <w:t>12.44</w:t>
      </w:r>
      <w:r>
        <w:rPr/>
        <w:t>港元，约</w:t>
      </w:r>
      <w:r>
        <w:rPr/>
        <w:t>18.05%</w:t>
      </w:r>
      <w:r>
        <w:rPr/>
        <w:t>。区间统计没有逐次触碰验证，因而只能用于观察、不能称为经多次交易确认的强支撑。若价格跌破</w:t>
      </w:r>
      <w:r>
        <w:rPr/>
        <w:t>10.11</w:t>
      </w:r>
      <w:r>
        <w:rPr/>
        <w:t>并伴成交扩大，当前小幅反弹观察失效；若恢复</w:t>
      </w:r>
      <w:r>
        <w:rPr/>
        <w:t>11.3</w:t>
      </w:r>
      <w:r>
        <w:rPr/>
        <w:t>至</w:t>
      </w:r>
      <w:r>
        <w:rPr/>
        <w:t>11.5</w:t>
      </w:r>
      <w:r>
        <w:rPr/>
        <w:t>区间并获得持续量能，才有理由讨论阶段下降的改变。</w:t>
      </w:r>
    </w:p>
    <w:p>
      <w:pPr>
        <w:pStyle w:val="Normal"/>
        <w:rPr/>
      </w:pPr>
      <w:r>
        <w:rPr/>
        <w:t>过去一年复权区间高</w:t>
      </w:r>
      <w:r>
        <w:rPr/>
        <w:t>15.09</w:t>
      </w:r>
      <w:r>
        <w:rPr/>
        <w:t>、低</w:t>
      </w:r>
      <w:r>
        <w:rPr/>
        <w:t>9.35</w:t>
      </w:r>
      <w:r>
        <w:rPr/>
        <w:t>港元，现价距高约−</w:t>
      </w:r>
      <w:r>
        <w:rPr/>
        <w:t>30.14%</w:t>
      </w:r>
      <w:r>
        <w:rPr/>
        <w:t>，距低约</w:t>
      </w:r>
      <w:r>
        <w:rPr/>
        <w:t>12.68%</w:t>
      </w:r>
      <w:r>
        <w:rPr/>
        <w:t>；最大日线回撤约</w:t>
      </w:r>
      <w:r>
        <w:rPr/>
        <w:t>34.93%</w:t>
      </w:r>
      <w:r>
        <w:rPr/>
        <w:t>。下跌幅度大可以降低部分乐观预期，但不能单独证明价格已经低估或没有继续下跌空间。</w:t>
      </w:r>
      <w:r>
        <w:rPr/>
        <w:t>9.35</w:t>
      </w:r>
      <w:r>
        <w:rPr/>
        <w:t>至</w:t>
      </w:r>
      <w:r>
        <w:rPr/>
        <w:t>10.11</w:t>
      </w:r>
      <w:r>
        <w:rPr/>
        <w:t>是历史区间观察带，不是保本带；价格失守后市场可能重新按更低盈利和倍数定价。相同逻辑下，返回</w:t>
      </w:r>
      <w:r>
        <w:rPr/>
        <w:t>15</w:t>
      </w:r>
      <w:r>
        <w:rPr/>
        <w:t>港元也不是简单“回到以前”，而要靠新信息支持对应利润与市盈率。</w:t>
      </w:r>
    </w:p>
    <w:p>
      <w:pPr>
        <w:pStyle w:val="Normal"/>
        <w:rPr/>
      </w:pPr>
      <w:r>
        <w:rPr/>
        <w:t>十月九日开</w:t>
      </w:r>
      <w:r>
        <w:rPr/>
        <w:t>11.00</w:t>
      </w:r>
      <w:r>
        <w:rPr/>
        <w:t>、高</w:t>
      </w:r>
      <w:r>
        <w:rPr/>
        <w:t>11.00</w:t>
      </w:r>
      <w:r>
        <w:rPr/>
        <w:t>、低</w:t>
      </w:r>
      <w:r>
        <w:rPr/>
        <w:t>10.30</w:t>
      </w:r>
      <w:r>
        <w:rPr/>
        <w:t>、收</w:t>
      </w:r>
      <w:r>
        <w:rPr/>
        <w:t>10.54</w:t>
      </w:r>
      <w:r>
        <w:rPr/>
        <w:t>，虽然收盘较前日上涨</w:t>
      </w:r>
      <w:r>
        <w:rPr/>
        <w:t>0.96%</w:t>
      </w:r>
      <w:r>
        <w:rPr/>
        <w:t>，却低于当日开盘，呈现开高后回落。这个蜡烛形态显示较高位置承接仍未充分确认，不能仅凭涨幅标成强势反转。日内最低与收盘之间有回升，但没有逐笔买卖方向信息，无法据此识别资金主体。后续应观察</w:t>
      </w:r>
      <w:r>
        <w:rPr/>
        <w:t>11</w:t>
      </w:r>
      <w:r>
        <w:rPr/>
        <w:t>港元附近能否被重新收复、回踩是否收窄，避免给一根日线赋予超过它实际信息的解释。</w:t>
      </w:r>
    </w:p>
    <w:p>
      <w:pPr>
        <w:pStyle w:val="Heading2"/>
        <w:rPr/>
      </w:pPr>
      <w:r>
        <w:rPr>
          <w:color w:val="000000"/>
        </w:rPr>
        <w:t>半年量能 周线与相对强弱</w:t>
      </w:r>
    </w:p>
    <w:p>
      <w:pPr>
        <w:pStyle w:val="Normal"/>
        <w:rPr/>
      </w:pPr>
      <w:r>
        <w:rPr/>
        <w:t>基准日成交</w:t>
      </w:r>
      <w:r>
        <w:rPr/>
        <w:t>418.5</w:t>
      </w:r>
      <w:r>
        <w:rPr/>
        <w:t>万股、成交额</w:t>
      </w:r>
      <w:r>
        <w:rPr/>
        <w:t>4354.67</w:t>
      </w:r>
      <w:r>
        <w:rPr/>
        <w:t>万港元，成交量单位为股，已与独立日线一致，不能把</w:t>
      </w:r>
      <w:r>
        <w:rPr/>
        <w:t>418.5</w:t>
      </w:r>
      <w:r>
        <w:rPr/>
        <w:t>万误当手再乘一百或一千。五、二十、六十日均量约</w:t>
      </w:r>
      <w:r>
        <w:rPr/>
        <w:t>233.4</w:t>
      </w:r>
      <w:r>
        <w:rPr/>
        <w:t>、</w:t>
      </w:r>
      <w:r>
        <w:rPr/>
        <w:t>485.5</w:t>
      </w:r>
      <w:r>
        <w:rPr/>
        <w:t>和</w:t>
      </w:r>
      <w:r>
        <w:rPr/>
        <w:t>576.1</w:t>
      </w:r>
      <w:r>
        <w:rPr/>
        <w:t>万股；当天对此前二十日均量的比值约</w:t>
      </w:r>
      <w:r>
        <w:rPr/>
        <w:t>0.81</w:t>
      </w:r>
      <w:r>
        <w:rPr/>
        <w:t>。近期短均量低于长均量，反弹并没有形成清晰持续放量。成交额受价位影响，须与股数一起看；不能因为股价较低使成交额下降就单独断言关注度消失。</w:t>
      </w:r>
    </w:p>
    <w:p>
      <w:pPr>
        <w:pStyle w:val="Normal"/>
        <w:rPr/>
      </w:pPr>
      <w:r>
        <w:rPr/>
        <w:t>近二十日上涨日累计量约</w:t>
      </w:r>
      <w:r>
        <w:rPr/>
        <w:t>4173.5</w:t>
      </w:r>
      <w:r>
        <w:rPr/>
        <w:t>万股，下跌日</w:t>
      </w:r>
      <w:r>
        <w:rPr/>
        <w:t>4979.6</w:t>
      </w:r>
      <w:r>
        <w:rPr/>
        <w:t>万股，上下量比</w:t>
      </w:r>
      <w:r>
        <w:rPr/>
        <w:t>0.84</w:t>
      </w:r>
      <w:r>
        <w:rPr/>
        <w:t>，八个上涨日对十一个下跌日。量能结构偏向下跌交易日，不能支持“已确认吸筹”的判断。日线总量本身并不显示机构还是个人，也不能区分主动买单与被动成交。报告不绘制精确筹码分布，不以收盘量价宣称主力行为。若后续上行阶段量持续超过下行阶段且价格保持在中期均线上方，才可能为趋势改善提供辅助证据。</w:t>
      </w:r>
    </w:p>
    <w:p>
      <w:pPr>
        <w:pStyle w:val="Normal"/>
        <w:rPr/>
      </w:pPr>
      <w:r>
        <w:rPr/>
        <w:t>周线有</w:t>
      </w:r>
      <w:r>
        <w:rPr/>
        <w:t>157</w:t>
      </w:r>
      <w:r>
        <w:rPr/>
        <w:t>周真实历史，没有二百五十周均线。二十周约</w:t>
      </w:r>
      <w:r>
        <w:rPr/>
        <w:t>11.06</w:t>
      </w:r>
      <w:r>
        <w:rPr/>
        <w:t>、六十周</w:t>
      </w:r>
      <w:r>
        <w:rPr/>
        <w:t>12.54</w:t>
      </w:r>
      <w:r>
        <w:rPr/>
        <w:t>、一百二十周</w:t>
      </w:r>
      <w:r>
        <w:rPr/>
        <w:t>10.35</w:t>
      </w:r>
      <w:r>
        <w:rPr/>
        <w:t>，现价低于前两条而略高于后一条。二十与六十周线下降，一百二十周线仍上升，说明更长周期底部修复尚有残留，但中期处于调整。不能把缺失的二百五十周数据补成平滑趋势，也不能因价格高于一百二十周线便忽略短中周线压力。季度产品证据和周线转折须互相核对。</w:t>
      </w:r>
    </w:p>
    <w:p>
      <w:pPr>
        <w:pStyle w:val="Normal"/>
        <w:rPr/>
      </w:pPr>
      <w:r>
        <w:rPr/>
        <w:t>近二十周上涨周量约</w:t>
      </w:r>
      <w:r>
        <w:rPr/>
        <w:t>2.65</w:t>
      </w:r>
      <w:r>
        <w:rPr/>
        <w:t>亿股，下跌周约</w:t>
      </w:r>
      <w:r>
        <w:rPr/>
        <w:t>3.36</w:t>
      </w:r>
      <w:r>
        <w:rPr/>
        <w:t>亿股，上下量比</w:t>
      </w:r>
      <w:r>
        <w:rPr/>
        <w:t>0.79</w:t>
      </w:r>
      <w:r>
        <w:rPr/>
        <w:t>，周线同样没有显示明显偏向上涨的量能。当前周量相对此前二十周均量约</w:t>
      </w:r>
      <w:r>
        <w:rPr/>
        <w:t>0.38</w:t>
      </w:r>
      <w:r>
        <w:rPr/>
        <w:t>，周样本的低量需结合周内节假日和有效交易日理解。本章不拿单周低量与日量比重复给分。周线关注的是多周是否形成更高低点和均线斜率改善，短暂日线突破若被周线迅速吞回，半年技术判断仍然维持谨慎。</w:t>
      </w:r>
    </w:p>
    <w:p>
      <w:pPr>
        <w:pStyle w:val="Normal"/>
        <w:rPr/>
      </w:pPr>
      <w:r>
        <w:rPr/>
        <w:t>RSI</w:t>
      </w:r>
      <w:r>
        <w:rPr/>
        <w:t>十四日约</w:t>
      </w:r>
      <w:r>
        <w:rPr/>
        <w:t>42.58</w:t>
      </w:r>
      <w:r>
        <w:rPr/>
        <w:t>，处于弱势而非极端超卖；日</w:t>
      </w:r>
      <w:r>
        <w:rPr/>
        <w:t>MACD</w:t>
      </w:r>
      <w:r>
        <w:rPr/>
        <w:t>差值与信号均为负，柱值小幅转正，代表短期跌速收敛的可能，尚不是中期趋势已经转正。周</w:t>
      </w:r>
      <w:r>
        <w:rPr/>
        <w:t>RSI</w:t>
      </w:r>
      <w:r>
        <w:rPr/>
        <w:t>约</w:t>
      </w:r>
      <w:r>
        <w:rPr/>
        <w:t>40.51</w:t>
      </w:r>
      <w:r>
        <w:rPr/>
        <w:t>，</w:t>
      </w:r>
      <w:r>
        <w:rPr/>
        <w:t>MACD</w:t>
      </w:r>
      <w:r>
        <w:rPr/>
        <w:t>柱仍负，更支持“观察修复”。这些指标都由价格变换产生，不能每个指标分别加一份独立分数。评分把均线、相对强弱和成交结构合并评价，避免把同一反弹信息包装成多个确认信号。</w:t>
      </w:r>
    </w:p>
    <w:p>
      <w:pPr>
        <w:pStyle w:val="Normal"/>
        <w:rPr/>
      </w:pPr>
      <w:r>
        <w:rPr/>
        <w:t>十四日真实波幅约</w:t>
      </w:r>
      <w:r>
        <w:rPr/>
        <w:t>0.453</w:t>
      </w:r>
      <w:r>
        <w:rPr/>
        <w:t>港元，占现价</w:t>
      </w:r>
      <w:r>
        <w:rPr/>
        <w:t>4.30%</w:t>
      </w:r>
      <w:r>
        <w:rPr/>
        <w:t>，说明一个普通波动单位已经接近</w:t>
      </w:r>
      <w:r>
        <w:rPr/>
        <w:t>10.11</w:t>
      </w:r>
      <w:r>
        <w:rPr/>
        <w:t>观察低点与现价距离。过窄的技术失效设置容易被正常波动触发，过宽又会承担较大损失。研究区间用于理解风险幅度，不替代个人仓位和交易规则。年底基准上行</w:t>
      </w:r>
      <w:r>
        <w:rPr/>
        <w:t>22.34%</w:t>
      </w:r>
      <w:r>
        <w:rPr/>
        <w:t>约需五个日波幅单位，但这种比值仅表示幅度，没有时间和概率含义，不能据此计算年底达到目标的统计机会。</w:t>
      </w:r>
    </w:p>
    <w:p>
      <w:pPr>
        <w:pStyle w:val="Normal"/>
        <w:rPr/>
      </w:pPr>
      <w:r>
        <w:rPr/>
        <w:t>股票近二十日复权收益−</w:t>
      </w:r>
      <w:r>
        <w:rPr/>
        <w:t>3.13%</w:t>
      </w:r>
      <w:r>
        <w:rPr/>
        <w:t>，恒指约−</w:t>
      </w:r>
      <w:r>
        <w:rPr/>
        <w:t>2.98%</w:t>
      </w:r>
      <w:r>
        <w:rPr/>
        <w:t>，相对落后约</w:t>
      </w:r>
      <w:r>
        <w:rPr/>
        <w:t>0.15</w:t>
      </w:r>
      <w:r>
        <w:rPr/>
        <w:t>个百分点；六十日股票−</w:t>
      </w:r>
      <w:r>
        <w:rPr/>
        <w:t>14.95%</w:t>
      </w:r>
      <w:r>
        <w:rPr/>
        <w:t>，恒指−</w:t>
      </w:r>
      <w:r>
        <w:rPr/>
        <w:t>3.19%</w:t>
      </w:r>
      <w:r>
        <w:rPr/>
        <w:t>，落后约</w:t>
      </w:r>
      <w:r>
        <w:rPr/>
        <w:t>11.76</w:t>
      </w:r>
      <w:r>
        <w:rPr/>
        <w:t>个百分点。短期已经接近市场但中期仍弱，是技术维度只给</w:t>
      </w:r>
      <w:r>
        <w:rPr/>
        <w:t>1.8</w:t>
      </w:r>
      <w:r>
        <w:rPr/>
        <w:t>分的原因之一。综合药企没有在本锁定数据中取得合适专属行业指数，恒生科技不可代用；报告明确保留行业相对强弱缺口。不能声称已经证明康哲比全部医药股强或弱。</w:t>
      </w:r>
    </w:p>
    <w:p>
      <w:pPr>
        <w:pStyle w:val="Normal"/>
        <w:rPr/>
      </w:pPr>
      <w:r>
        <w:rPr/>
        <w:t>技术观察优先级是</w:t>
      </w:r>
      <w:r>
        <w:rPr/>
        <w:t>10.11</w:t>
      </w:r>
      <w:r>
        <w:rPr/>
        <w:t>附近的低点稳定、</w:t>
      </w:r>
      <w:r>
        <w:rPr/>
        <w:t>10.7</w:t>
      </w:r>
      <w:r>
        <w:rPr/>
        <w:t>至</w:t>
      </w:r>
      <w:r>
        <w:rPr/>
        <w:t>11.0</w:t>
      </w:r>
      <w:r>
        <w:rPr/>
        <w:t>的短线压力、</w:t>
      </w:r>
      <w:r>
        <w:rPr/>
        <w:t>11.3</w:t>
      </w:r>
      <w:r>
        <w:rPr/>
        <w:t>至</w:t>
      </w:r>
      <w:r>
        <w:rPr/>
        <w:t>11.5</w:t>
      </w:r>
      <w:r>
        <w:rPr/>
        <w:t>中期均线与区间高点，随后才是</w:t>
      </w:r>
      <w:r>
        <w:rPr/>
        <w:t>12.4</w:t>
      </w:r>
      <w:r>
        <w:rPr/>
        <w:t>至</w:t>
      </w:r>
      <w:r>
        <w:rPr/>
        <w:t>12.6</w:t>
      </w:r>
      <w:r>
        <w:rPr/>
        <w:t>周日压力带。有效突破应同时看持续收盘、回踩幅度、成交相对过去基准和产品信息，并非一个固定量比必然成功。若产品证据改善而价格暂未突破，可维持研究候选；若放量上行但财务和估值恶化，也不能仅凭图形提升长期评分。</w:t>
      </w:r>
    </w:p>
    <w:p>
      <w:pPr>
        <w:pStyle w:val="Heading2"/>
        <w:rPr/>
      </w:pPr>
      <w:r>
        <w:rPr>
          <w:color w:val="000000"/>
        </w:rPr>
        <w:t>估值活动模型与收益来源</w:t>
      </w:r>
    </w:p>
    <w:p>
      <w:pPr>
        <w:pStyle w:val="Normal"/>
        <w:rPr/>
      </w:pPr>
      <w:r>
        <w:rPr/>
        <w:t>活动估值按正常集团归母利润乘目标市盈率，再以每人民币</w:t>
      </w:r>
      <w:r>
        <w:rPr/>
        <w:t>1.1</w:t>
      </w:r>
      <w:r>
        <w:rPr/>
        <w:t>港元换算。每个时点都保留直销、推广、销售成本、销售管理研发、正常其他收入、财务费用、联营合营、减值、税、少数与股份，不直接填一个目标每股收益。金融公允价值和处置收益在活动模型归零。现金、基金和</w:t>
      </w:r>
      <w:r>
        <w:rPr/>
        <w:t>Dermavon</w:t>
      </w:r>
      <w:r>
        <w:rPr/>
        <w:t>价值不再额外加上，融资债务不再二次扣除。估值结构明确后，读者可以改变原子输入，并按同一流程刷新三种快照。</w:t>
      </w:r>
    </w:p>
    <w:p>
      <w:pPr>
        <w:pStyle w:val="Normal"/>
        <w:rPr/>
      </w:pPr>
      <w:r>
        <w:rPr/>
        <w:t>过去十二个月归母利润按二〇二五全年</w:t>
      </w:r>
      <w:r>
        <w:rPr/>
        <w:t>14.88892</w:t>
      </w:r>
      <w:r>
        <w:rPr/>
        <w:t>亿元，加二〇二六上半年</w:t>
      </w:r>
      <w:r>
        <w:rPr/>
        <w:t>9.86101</w:t>
      </w:r>
      <w:r>
        <w:rPr/>
        <w:t>亿元，减二〇二五同期</w:t>
      </w:r>
      <w:r>
        <w:rPr/>
        <w:t>9.41178</w:t>
      </w:r>
      <w:r>
        <w:rPr/>
        <w:t>亿元，得到</w:t>
      </w:r>
      <w:r>
        <w:rPr/>
        <w:t>15.33815</w:t>
      </w:r>
      <w:r>
        <w:rPr/>
        <w:t>亿元。以当前外部股数和模型汇率重算，市盈率</w:t>
      </w:r>
      <w:r>
        <w:rPr/>
        <w:t>15.20</w:t>
      </w:r>
      <w:r>
        <w:rPr/>
        <w:t>倍；二〇二五年报告利润对应</w:t>
      </w:r>
      <w:r>
        <w:rPr/>
        <w:t>15.66</w:t>
      </w:r>
      <w:r>
        <w:rPr/>
        <w:t>倍。上半年简单年化则约</w:t>
      </w:r>
      <w:r>
        <w:rPr/>
        <w:t>11.82</w:t>
      </w:r>
      <w:r>
        <w:rPr/>
        <w:t>倍，不能当作可靠全年预测，因为税、研发、新品投放与公允价值具有季节性。第三方行情给出的其他市盈率字段期间未核，本章不把它作最终输入。</w:t>
      </w:r>
    </w:p>
    <w:p>
      <w:pPr>
        <w:pStyle w:val="Normal"/>
        <w:rPr/>
      </w:pPr>
      <w:r>
        <w:rPr/>
        <w:t>归母净资产</w:t>
      </w:r>
      <w:r>
        <w:rPr/>
        <w:t>179.47</w:t>
      </w:r>
      <w:r>
        <w:rPr/>
        <w:t>亿元对应本模型市净率约</w:t>
      </w:r>
      <w:r>
        <w:rPr/>
        <w:t>1.30</w:t>
      </w:r>
      <w:r>
        <w:rPr/>
        <w:t>倍，与行情界面未核口径的字段可能明显不同。净资产含大额非上市投资、无形权利和商誉，并不全部能清算变现，所以低市净率不能独立验证便宜。市盈率以经营回报为核心，市净率用于检查资本回报要求与资产风险。若未来高研发、高授权投入维持较低净资产收益率，低市净率也可能长期存在，需要业务现金改善而非单纯等折价修复。</w:t>
      </w:r>
    </w:p>
    <w:p>
      <w:pPr>
        <w:pStyle w:val="Normal"/>
        <w:rPr/>
      </w:pPr>
      <w:r>
        <w:rPr/>
        <w:t>年底基准前瞻二〇二七年财报收入</w:t>
      </w:r>
      <w:r>
        <w:rPr/>
        <w:t>105</w:t>
      </w:r>
      <w:r>
        <w:rPr/>
        <w:t>亿元，其中直销</w:t>
      </w:r>
      <w:r>
        <w:rPr/>
        <w:t>85</w:t>
      </w:r>
      <w:r>
        <w:rPr/>
        <w:t>、推广</w:t>
      </w:r>
      <w:r>
        <w:rPr/>
        <w:t>20</w:t>
      </w:r>
      <w:r>
        <w:rPr/>
        <w:t>亿元；成本</w:t>
      </w:r>
      <w:r>
        <w:rPr/>
        <w:t>31</w:t>
      </w:r>
      <w:r>
        <w:rPr/>
        <w:t>亿元，销售</w:t>
      </w:r>
      <w:r>
        <w:rPr/>
        <w:t>31</w:t>
      </w:r>
      <w:r>
        <w:rPr/>
        <w:t>亿元，管理</w:t>
      </w:r>
      <w:r>
        <w:rPr/>
        <w:t>9.9</w:t>
      </w:r>
      <w:r>
        <w:rPr/>
        <w:t>亿元，研发</w:t>
      </w:r>
      <w:r>
        <w:rPr/>
        <w:t>9.5</w:t>
      </w:r>
      <w:r>
        <w:rPr/>
        <w:t>亿元，正常其他收入</w:t>
      </w:r>
      <w:r>
        <w:rPr/>
        <w:t>1.3</w:t>
      </w:r>
      <w:r>
        <w:rPr/>
        <w:t>亿元，融资费用</w:t>
      </w:r>
      <w:r>
        <w:rPr/>
        <w:t>0.25</w:t>
      </w:r>
      <w:r>
        <w:rPr/>
        <w:t>亿元，联营合营约</w:t>
      </w:r>
      <w:r>
        <w:rPr/>
        <w:t>3.74</w:t>
      </w:r>
      <w:r>
        <w:rPr/>
        <w:t>亿元，正常减值</w:t>
      </w:r>
      <w:r>
        <w:rPr/>
        <w:t>0.9</w:t>
      </w:r>
      <w:r>
        <w:rPr/>
        <w:t>亿元。经营税基按</w:t>
      </w:r>
      <w:r>
        <w:rPr/>
        <w:t>20%</w:t>
      </w:r>
      <w:r>
        <w:rPr/>
        <w:t>加</w:t>
      </w:r>
      <w:r>
        <w:rPr/>
        <w:t>0.6</w:t>
      </w:r>
      <w:r>
        <w:rPr/>
        <w:t>亿元税调，少数</w:t>
      </w:r>
      <w:r>
        <w:rPr/>
        <w:t>0.2</w:t>
      </w:r>
      <w:r>
        <w:rPr/>
        <w:t>亿元，得归母</w:t>
      </w:r>
      <w:r>
        <w:rPr/>
        <w:t>21.94</w:t>
      </w:r>
      <w:r>
        <w:rPr/>
        <w:t>亿元、每股人民币</w:t>
      </w:r>
      <w:r>
        <w:rPr/>
        <w:t>0.9017</w:t>
      </w:r>
      <w:r>
        <w:rPr/>
        <w:t>。这个收入假设高于当前简单年化，要求新药组合确实加速，不能当作已有公司盈利指引。</w:t>
      </w:r>
    </w:p>
    <w:p>
      <w:pPr>
        <w:pStyle w:val="Normal"/>
        <w:rPr/>
      </w:pPr>
      <w:r>
        <w:rPr/>
        <w:t>年底基准给十三倍正常盈利，得</w:t>
      </w:r>
      <w:r>
        <w:rPr/>
        <w:t>12.89</w:t>
      </w:r>
      <w:r>
        <w:rPr/>
        <w:t>港元；不是将当前报告利润乘更高市盈率。悲观前瞻收入</w:t>
      </w:r>
      <w:r>
        <w:rPr/>
        <w:t>88</w:t>
      </w:r>
      <w:r>
        <w:rPr/>
        <w:t>亿元、利润</w:t>
      </w:r>
      <w:r>
        <w:rPr/>
        <w:t>11.04</w:t>
      </w:r>
      <w:r>
        <w:rPr/>
        <w:t>亿元，十倍得</w:t>
      </w:r>
      <w:r>
        <w:rPr/>
        <w:t>4.98</w:t>
      </w:r>
      <w:r>
        <w:rPr/>
        <w:t>港元；乐观收入</w:t>
      </w:r>
      <w:r>
        <w:rPr/>
        <w:t>114</w:t>
      </w:r>
      <w:r>
        <w:rPr/>
        <w:t>亿元、利润</w:t>
      </w:r>
      <w:r>
        <w:rPr/>
        <w:t>28.10</w:t>
      </w:r>
      <w:r>
        <w:rPr/>
        <w:t>亿元，十六倍得</w:t>
      </w:r>
      <w:r>
        <w:rPr/>
        <w:t>20.33</w:t>
      </w:r>
      <w:r>
        <w:rPr/>
        <w:t>港元。短期极宽幅度体现市场会同时改变销售预期、费用效率和估值，而非只观察当年实际利润。年底前可公开数据有限，因此可信度低于历史财报，尤其乐观倍数需要政策与新药销售证据支持。</w:t>
      </w:r>
    </w:p>
    <w:p>
      <w:pPr>
        <w:pStyle w:val="Normal"/>
        <w:rPr/>
      </w:pPr>
      <w:r>
        <w:rPr/>
        <w:t>半年基准将正常前瞻收入微调至</w:t>
      </w:r>
      <w:r>
        <w:rPr/>
        <w:t>106.5</w:t>
      </w:r>
      <w:r>
        <w:rPr/>
        <w:t>亿元，利润</w:t>
      </w:r>
      <w:r>
        <w:rPr/>
        <w:t>22.70</w:t>
      </w:r>
      <w:r>
        <w:rPr/>
        <w:t>亿元，十四倍得到</w:t>
      </w:r>
      <w:r>
        <w:rPr/>
        <w:t>14.37</w:t>
      </w:r>
      <w:r>
        <w:rPr/>
        <w:t>港元。相比年底，新增证据来自年度业绩和上市产品早期销售，而非月份自动增长。半年悲观利润</w:t>
      </w:r>
      <w:r>
        <w:rPr/>
        <w:t>9.00</w:t>
      </w:r>
      <w:r>
        <w:rPr/>
        <w:t>亿元对应</w:t>
      </w:r>
      <w:r>
        <w:rPr/>
        <w:t>3.85</w:t>
      </w:r>
      <w:r>
        <w:rPr/>
        <w:t>港元，乐观</w:t>
      </w:r>
      <w:r>
        <w:rPr/>
        <w:t>29.56</w:t>
      </w:r>
      <w:r>
        <w:rPr/>
        <w:t>亿元对应</w:t>
      </w:r>
      <w:r>
        <w:rPr/>
        <w:t>22.72</w:t>
      </w:r>
      <w:r>
        <w:rPr/>
        <w:t>港元。半年高空间并不抵消下降图形风险：它意味着满足基准经营假设及合理重估后有收益机会，未确认量价使评分仍低于一年，进取不等同忽略当前承接薄弱。</w:t>
      </w:r>
    </w:p>
    <w:p>
      <w:pPr>
        <w:pStyle w:val="Normal"/>
        <w:rPr/>
      </w:pPr>
      <w:r>
        <w:rPr/>
        <w:t>一年以二〇二八年正常前瞻收入</w:t>
      </w:r>
      <w:r>
        <w:rPr/>
        <w:t>120</w:t>
      </w:r>
      <w:r>
        <w:rPr/>
        <w:t>亿元、归母</w:t>
      </w:r>
      <w:r>
        <w:rPr/>
        <w:t>26.70</w:t>
      </w:r>
      <w:r>
        <w:rPr/>
        <w:t>亿元、十五倍得</w:t>
      </w:r>
      <w:r>
        <w:rPr/>
        <w:t>18.11</w:t>
      </w:r>
      <w:r>
        <w:rPr/>
        <w:t>港元。利润较年底基准增长约</w:t>
      </w:r>
      <w:r>
        <w:rPr/>
        <w:t>22%</w:t>
      </w:r>
      <w:r>
        <w:rPr/>
        <w:t>，要求创新产品销售、平台复用和研发效率共同改善，税率与少数仍保留。悲观情景收入</w:t>
      </w:r>
      <w:r>
        <w:rPr/>
        <w:t>92.5</w:t>
      </w:r>
      <w:r>
        <w:rPr/>
        <w:t>亿元却受较高研发、费用和税负压制，归母</w:t>
      </w:r>
      <w:r>
        <w:rPr/>
        <w:t>8.15</w:t>
      </w:r>
      <w:r>
        <w:rPr/>
        <w:t>亿元；乐观归母</w:t>
      </w:r>
      <w:r>
        <w:rPr/>
        <w:t>35.24</w:t>
      </w:r>
      <w:r>
        <w:rPr/>
        <w:t>亿元。历史后期产品申请提供方向，但无法验证如此精确的未来数，目标只用于可复算的条件比较。</w:t>
      </w:r>
    </w:p>
    <w:p>
      <w:pPr>
        <w:pStyle w:val="Normal"/>
        <w:rPr/>
      </w:pPr>
      <w:r>
        <w:rPr/>
        <w:t>三年基准前瞻二〇三〇年收入</w:t>
      </w:r>
      <w:r>
        <w:rPr/>
        <w:t>157</w:t>
      </w:r>
      <w:r>
        <w:rPr/>
        <w:t>亿元、归母</w:t>
      </w:r>
      <w:r>
        <w:rPr/>
        <w:t>35.79</w:t>
      </w:r>
      <w:r>
        <w:rPr/>
        <w:t>亿元，十四倍得</w:t>
      </w:r>
      <w:r>
        <w:rPr/>
        <w:t>22.40</w:t>
      </w:r>
      <w:r>
        <w:rPr/>
        <w:t>港元；五年基准前瞻二〇三二年收入</w:t>
      </w:r>
      <w:r>
        <w:rPr/>
        <w:t>196</w:t>
      </w:r>
      <w:r>
        <w:rPr/>
        <w:t>亿元、归母</w:t>
      </w:r>
      <w:r>
        <w:rPr/>
        <w:t>43.69</w:t>
      </w:r>
      <w:r>
        <w:rPr/>
        <w:t>亿元，十三倍得</w:t>
      </w:r>
      <w:r>
        <w:rPr/>
        <w:t>25.09</w:t>
      </w:r>
      <w:r>
        <w:rPr/>
        <w:t>港元。远期倍数随规模成熟下降，收益主要来自经营利润而非永久倍数抬升。三年和五年基准含息回报年化约</w:t>
      </w:r>
      <w:r>
        <w:rPr/>
        <w:t>31.29%</w:t>
      </w:r>
      <w:r>
        <w:rPr/>
        <w:t>和</w:t>
      </w:r>
      <w:r>
        <w:rPr/>
        <w:t>21.53%</w:t>
      </w:r>
      <w:r>
        <w:rPr/>
        <w:t>，高回报建立在当前估值折价、新品扩张及持续合并条件。若分拆先发生，这些数应作为原组合经济假设重新拆分，不能直接视为母股必达价格。</w:t>
      </w:r>
    </w:p>
    <w:p>
      <w:pPr>
        <w:pStyle w:val="Heading2"/>
        <w:rPr/>
      </w:pPr>
      <w:r>
        <w:rPr>
          <w:color w:val="000000"/>
        </w:rPr>
        <w:t>年底权重与敏感性</w:t>
      </w:r>
    </w:p>
    <w:p>
      <w:pPr>
        <w:pStyle w:val="Normal"/>
        <w:rPr/>
      </w:pPr>
      <w:r>
        <w:rPr/>
        <w:t>年底悲观、基准、乐观采用</w:t>
      </w:r>
      <w:r>
        <w:rPr/>
        <w:t>25%</w:t>
      </w:r>
      <w:r>
        <w:rPr/>
        <w:t>、</w:t>
      </w:r>
      <w:r>
        <w:rPr/>
        <w:t>50%</w:t>
      </w:r>
      <w:r>
        <w:rPr/>
        <w:t>、</w:t>
      </w:r>
      <w:r>
        <w:rPr/>
        <w:t>25%</w:t>
      </w:r>
      <w:r>
        <w:rPr/>
        <w:t>的判断权重，加权期望价</w:t>
      </w:r>
      <w:r>
        <w:rPr/>
        <w:t>12.77</w:t>
      </w:r>
      <w:r>
        <w:rPr/>
        <w:t>港元，相对</w:t>
      </w:r>
      <w:r>
        <w:rPr/>
        <w:t>10.54</w:t>
      </w:r>
      <w:r>
        <w:rPr/>
        <w:t>为</w:t>
      </w:r>
      <w:r>
        <w:rPr/>
        <w:t>+21.18%</w:t>
      </w:r>
      <w:r>
        <w:rPr/>
        <w:t>。“期望”仅是三种研究情景的加权结果，并非通过历史分布估出的统计期望。乐观与悲观具有很大价格差距，因此改变判断权重明显影响答案。研究报告公开权重，是为了让读者看到结论对信念的依赖，而不是用一个精确小数掩盖不确定。</w:t>
      </w:r>
    </w:p>
    <w:p>
      <w:pPr>
        <w:pStyle w:val="Normal"/>
        <w:rPr/>
      </w:pPr>
      <w:r>
        <w:rPr/>
        <w:t>将权重改为</w:t>
      </w:r>
      <w:r>
        <w:rPr/>
        <w:t>40%</w:t>
      </w:r>
      <w:r>
        <w:rPr/>
        <w:t>、</w:t>
      </w:r>
      <w:r>
        <w:rPr/>
        <w:t>50%</w:t>
      </w:r>
      <w:r>
        <w:rPr/>
        <w:t>、</w:t>
      </w:r>
      <w:r>
        <w:rPr/>
        <w:t>10%</w:t>
      </w:r>
      <w:r>
        <w:rPr/>
        <w:t>，期望价降至</w:t>
      </w:r>
      <w:r>
        <w:rPr/>
        <w:t>10.47</w:t>
      </w:r>
      <w:r>
        <w:rPr/>
        <w:t>港元，约−</w:t>
      </w:r>
      <w:r>
        <w:rPr/>
        <w:t>0.66%</w:t>
      </w:r>
      <w:r>
        <w:rPr/>
        <w:t>；改为</w:t>
      </w:r>
      <w:r>
        <w:rPr/>
        <w:t>10%</w:t>
      </w:r>
      <w:r>
        <w:rPr/>
        <w:t>、</w:t>
      </w:r>
      <w:r>
        <w:rPr/>
        <w:t>50%</w:t>
      </w:r>
      <w:r>
        <w:rPr/>
        <w:t>、</w:t>
      </w:r>
      <w:r>
        <w:rPr/>
        <w:t>40%</w:t>
      </w:r>
      <w:r>
        <w:rPr/>
        <w:t>，升至</w:t>
      </w:r>
      <w:r>
        <w:rPr/>
        <w:t>15.08</w:t>
      </w:r>
      <w:r>
        <w:rPr/>
        <w:t>港元，约</w:t>
      </w:r>
      <w:r>
        <w:rPr/>
        <w:t>+43.03%</w:t>
      </w:r>
      <w:r>
        <w:rPr/>
        <w:t>。这说明年底推荐对乐观商业化及估值权重敏感。未来两个月可以看到新品准入、公开注册与行业资金变化，但难以完整验证全年销售效率，故实际短期决策不应只读取</w:t>
      </w:r>
      <w:r>
        <w:rPr/>
        <w:t>+21.18%</w:t>
      </w:r>
      <w:r>
        <w:rPr/>
        <w:t>这一单数。若药企板块估值下调，而公司经营尚未发布新证据，短期价格可能先反映悲观预期。</w:t>
      </w:r>
    </w:p>
    <w:p>
      <w:pPr>
        <w:pStyle w:val="Normal"/>
        <w:rPr/>
      </w:pPr>
      <w:r>
        <w:rPr/>
        <w:t>估值和利润双敏感也应拆开。以年底基准每股收益</w:t>
      </w:r>
      <w:r>
        <w:rPr/>
        <w:t>0.9017</w:t>
      </w:r>
      <w:r>
        <w:rPr/>
        <w:t>人民币，市盈率十、十三、十六倍对应约</w:t>
      </w:r>
      <w:r>
        <w:rPr/>
        <w:t>9.92</w:t>
      </w:r>
      <w:r>
        <w:rPr/>
        <w:t>、</w:t>
      </w:r>
      <w:r>
        <w:rPr/>
        <w:t>12.89</w:t>
      </w:r>
      <w:r>
        <w:rPr/>
        <w:t>、</w:t>
      </w:r>
      <w:r>
        <w:rPr/>
        <w:t>15.87</w:t>
      </w:r>
      <w:r>
        <w:rPr/>
        <w:t>港元；维持十三倍而利润较基准降低或提高</w:t>
      </w:r>
      <w:r>
        <w:rPr/>
        <w:t>20%</w:t>
      </w:r>
      <w:r>
        <w:rPr/>
        <w:t>，价格约</w:t>
      </w:r>
      <w:r>
        <w:rPr/>
        <w:t>10.32</w:t>
      </w:r>
      <w:r>
        <w:rPr/>
        <w:t>或</w:t>
      </w:r>
      <w:r>
        <w:rPr/>
        <w:t>15.47</w:t>
      </w:r>
      <w:r>
        <w:rPr/>
        <w:t>港元。低倍数与利润下降同时出现会放大损失，市场不会只改变其中一个输入。另一方面，产品上市兑现而市场倍数不恢复，投资回报仍可能低于本章基准，须分清增长回报与估值修复两条路径。</w:t>
      </w:r>
    </w:p>
    <w:p>
      <w:pPr>
        <w:pStyle w:val="Normal"/>
        <w:rPr/>
      </w:pPr>
      <w:r>
        <w:rPr/>
        <w:t>人民币经营收入换成港币目标的</w:t>
      </w:r>
      <w:r>
        <w:rPr/>
        <w:t>1.1</w:t>
      </w:r>
      <w:r>
        <w:rPr/>
        <w:t>是模型假设，不是使用未来汇率预言。对人民币投资者，港币兑人民币另下降或上升</w:t>
      </w:r>
      <w:r>
        <w:rPr/>
        <w:t>5%</w:t>
      </w:r>
      <w:r>
        <w:rPr/>
        <w:t>，一年基准含息</w:t>
      </w:r>
      <w:r>
        <w:rPr/>
        <w:t>75.20%</w:t>
      </w:r>
      <w:r>
        <w:rPr/>
        <w:t>会变为约</w:t>
      </w:r>
      <w:r>
        <w:rPr/>
        <w:t>66.44%</w:t>
      </w:r>
      <w:r>
        <w:rPr/>
        <w:t>或</w:t>
      </w:r>
      <w:r>
        <w:rPr/>
        <w:t>83.96%</w:t>
      </w:r>
      <w:r>
        <w:rPr/>
        <w:t>；计算把港币总回报乘</w:t>
      </w:r>
      <w:r>
        <w:rPr/>
        <w:t>0.95</w:t>
      </w:r>
      <w:r>
        <w:rPr/>
        <w:t>或</w:t>
      </w:r>
      <w:r>
        <w:rPr/>
        <w:t>1.05</w:t>
      </w:r>
      <w:r>
        <w:rPr/>
        <w:t>后再减一。汇率同时可能影响采购、许可付款和集团利润，这个简单外部投资回报敏感未覆盖全部经营传导。本币回报仍为主口径，避免把汇率收益混成企业经营能力。</w:t>
      </w:r>
    </w:p>
    <w:p>
      <w:pPr>
        <w:pStyle w:val="Heading2"/>
        <w:rPr/>
      </w:pPr>
      <w:r>
        <w:rPr>
          <w:color w:val="000000"/>
        </w:rPr>
        <w:t>外资机构目标价及使用限制</w:t>
      </w:r>
    </w:p>
    <w:p>
      <w:pPr>
        <w:pStyle w:val="Normal"/>
        <w:rPr/>
      </w:pPr>
      <w:r>
        <w:rPr/>
        <w:t>汇丰九月二十九日公开新闻维持买入，将康哲目标从</w:t>
      </w:r>
      <w:r>
        <w:rPr/>
        <w:t>17</w:t>
      </w:r>
      <w:r>
        <w:rPr/>
        <w:t>降至</w:t>
      </w:r>
      <w:r>
        <w:rPr/>
        <w:t>15.45</w:t>
      </w:r>
      <w:r>
        <w:rPr/>
        <w:t>港元；高盛八月十九日维持买入，目标由</w:t>
      </w:r>
      <w:r>
        <w:rPr/>
        <w:t>19.5</w:t>
      </w:r>
      <w:r>
        <w:rPr/>
        <w:t>降至</w:t>
      </w:r>
      <w:r>
        <w:rPr/>
        <w:t>17.96</w:t>
      </w:r>
      <w:r>
        <w:rPr/>
        <w:t>港元。两条均在最近九十天且中报之后，较三月报告更能反映研发加速与收入增长放缓。新闻中的即时报价会随网站更新，本章只用文字中目标、评级和首次发布日期，不拿动态股价作为研报日价格。原始研报和完整目标期限尚缺，证据标为可核新闻转述。</w:t>
      </w:r>
    </w:p>
    <w:p>
      <w:pPr>
        <w:pStyle w:val="Normal"/>
        <w:rPr/>
      </w:pPr>
      <w:r>
        <w:rPr/>
        <w:t>高盛新闻指出上半年收入增长</w:t>
      </w:r>
      <w:r>
        <w:rPr/>
        <w:t>12.5%</w:t>
      </w:r>
      <w:r>
        <w:rPr/>
        <w:t>低于其</w:t>
      </w:r>
      <w:r>
        <w:rPr/>
        <w:t>18%</w:t>
      </w:r>
      <w:r>
        <w:rPr/>
        <w:t>预期，核心集采产品较好、销售费用较低使利润大致符合预期；同时二〇二六至二〇二八盈利预测分别下调。这解释了为何公司业务可以增长、目标价却降低。新闻转述管理层全年收入增长指引调整至</w:t>
      </w:r>
      <w:r>
        <w:rPr/>
        <w:t>15%</w:t>
      </w:r>
      <w:r>
        <w:rPr/>
        <w:t>至</w:t>
      </w:r>
      <w:r>
        <w:rPr/>
        <w:t>20%</w:t>
      </w:r>
      <w:r>
        <w:rPr/>
        <w:t>，本章未取得该指引独立完整原件，故不把它冒充正式公司预测。机构观点有助于理解市场预期差，不能代替自己的现金与成本验证。</w:t>
      </w:r>
    </w:p>
    <w:p>
      <w:pPr>
        <w:pStyle w:val="Normal"/>
        <w:rPr/>
      </w:pPr>
      <w:r>
        <w:rPr/>
        <w:t>里昂三月十九日目标</w:t>
      </w:r>
      <w:r>
        <w:rPr/>
        <w:t>16.5</w:t>
      </w:r>
      <w:r>
        <w:rPr/>
        <w:t>港元、跑赢大市，新闻使用二〇二七年十五倍市盈率；花旗三月十八日目标</w:t>
      </w:r>
      <w:r>
        <w:rPr/>
        <w:t>17.5</w:t>
      </w:r>
      <w:r>
        <w:rPr/>
        <w:t>、买入。两条已超过九十天，作为历史参照保留，不与同机构后来报告重复计算共识。花旗新闻对税务主体与正常化数字呈列有混淆，说明转载即使能核到目标也不能自动认证全部财务表述。本章对机构目标本身登记来源，对财务原因优先采用</w:t>
      </w:r>
      <w:r>
        <w:rPr/>
        <w:t>HKEX</w:t>
      </w:r>
      <w:r>
        <w:rPr/>
        <w:t>原件。</w:t>
      </w:r>
    </w:p>
    <w:p>
      <w:pPr>
        <w:pStyle w:val="Normal"/>
        <w:rPr/>
      </w:pPr>
      <w:r>
        <w:rPr/>
        <w:t>四条目标对当前价格的上行参照约为</w:t>
      </w:r>
      <w:r>
        <w:rPr/>
        <w:t>46.6%</w:t>
      </w:r>
      <w:r>
        <w:rPr/>
        <w:t>至</w:t>
      </w:r>
      <w:r>
        <w:rPr/>
        <w:t>70.4%</w:t>
      </w:r>
      <w:r>
        <w:rPr/>
        <w:t>，但这并不等于年底上涨空间。公开新闻未明确精确目标日，通常估值期限也比年底两个月更长；目标未包含本章条件分拆后的母子变化。本章年底</w:t>
      </w:r>
      <w:r>
        <w:rPr/>
        <w:t>12.89</w:t>
      </w:r>
      <w:r>
        <w:rPr/>
        <w:t>基准低于机构区间，一年</w:t>
      </w:r>
      <w:r>
        <w:rPr/>
        <w:t>18.11</w:t>
      </w:r>
      <w:r>
        <w:rPr/>
        <w:t>略高于区间上沿，原因是自建不同前瞻利润和倍数假设。它们是交叉检查，不能按剩余月份线性缩放，也不能平均后称作公司确定价值。</w:t>
      </w:r>
    </w:p>
    <w:p>
      <w:pPr>
        <w:pStyle w:val="Heading2"/>
        <w:rPr/>
      </w:pPr>
      <w:r>
        <w:rPr>
          <w:color w:val="000000"/>
        </w:rPr>
        <w:t>四期限判断 失败路径与十年展望</w:t>
      </w:r>
    </w:p>
    <w:p>
      <w:pPr>
        <w:pStyle w:val="Normal"/>
        <w:rPr/>
      </w:pPr>
      <w:r>
        <w:rPr/>
        <w:t>半年最大的正面因素是正式获批的新适应症和后期产品，让市场有机会在年度业绩前重新判断增长。但半年也是图形下降、量能不足和公开销量验证有限的期限。若价格收复中期均线同时看到新品回款和销售费用效率，短期推荐可以提高；若跌破阶段观察低点且公司仅强调未实现的管线数量，基准逻辑应暂停。评分中技术权重三成，体现时间匹配，不能用五年科学潜力掩盖半年缺乏承接。</w:t>
      </w:r>
    </w:p>
    <w:p>
      <w:pPr>
        <w:pStyle w:val="Normal"/>
        <w:rPr/>
      </w:pPr>
      <w:r>
        <w:rPr/>
        <w:t>一年看的是一个较完整商业化年度能否证明增长引擎切换。创新独家收入应继续比成熟组合快，皮肤利润和眼科毛利要同步改善，研发增长需要有可解释进展，现金应在权利投入后维持缓冲。若经营收入达到预期而费用、税、少数或回款恶化，归母仍会低于模型，不应只用收入超预期维持目标。取得价格收益与分红需要真实经营落地，本章在一年预算了适度现金息，没有假设所有利润都能分配。</w:t>
      </w:r>
    </w:p>
    <w:p>
      <w:pPr>
        <w:pStyle w:val="Normal"/>
        <w:rPr/>
      </w:pPr>
      <w:r>
        <w:rPr/>
        <w:t>三年重点是专科平台的产品复用能否形成结构性效率，新进入商业化的药物是否能补偿旧权利的成熟与下降。中后期产品提供更可见的增长机会，部分早期管线可增加选项，但临床失败应通过产品选择和资本调整吸收。若多款产品共享医生网络仍未降低单位毛利对应费用，平台优势应受到质疑。三年高回报不是产品数目多的自动结果，需要稳定总毛利、投入回报与合规体系共同支持。</w:t>
      </w:r>
    </w:p>
    <w:p>
      <w:pPr>
        <w:pStyle w:val="Normal"/>
        <w:rPr/>
      </w:pPr>
      <w:r>
        <w:rPr/>
        <w:t>五年与十年要关注授权持续性、研发生产能力与国际复制。现有成熟品牌可以支撑起点，却无法单靠今天的合同和排名维持十年。公司需要不断引进或开发有临床差异的资产，同时在东南亚等区域证明注册、销售及回款能力，建立能够承受中国产品价格变化的组合。十年经营展望不提供精确十年股价，因为未来权益边界、药品周期与资本结构差异远大于短期可核输入。</w:t>
      </w:r>
    </w:p>
    <w:p>
      <w:pPr>
        <w:pStyle w:val="Normal"/>
        <w:rPr/>
      </w:pPr>
      <w:r>
        <w:rPr/>
        <w:t>长期持续性的良性路径是老产品提供现金，优先投向后期证据较清楚且商业化网络可复用的新品，失败项目及时终止，成功品种再为研发和适度分红融资。恶性路径是不断扩大早期项目与产业参股，现金和人才被分散，销售网络以更高费用维持收入，利润又依赖投资公允价值。两条路径都可能伴随漂亮的管线发布，区别在于持续经营现金和产品回报。董事会的资本纪律将比单个热点品种更决定十年价值。</w:t>
      </w:r>
    </w:p>
    <w:p>
      <w:pPr>
        <w:pStyle w:val="Normal"/>
        <w:rPr/>
      </w:pPr>
      <w:r>
        <w:rPr/>
        <w:t>本章的反证清单包括：创新与独家收入增速持续低于成熟业务且没有价格口径解释；新获批药物多个季度缺乏终端复购；销售费用率改善伴合规或医疗支持问题；研发大幅增长却没有临床质量与后期申请进展；授权预付款减值、应收账龄和借款同时上升；主要利润来自公允价值；分拆最终条件不利于原股东经济权益。任何一项都应触发重新核模型，不等所有问题暴露后才改评级。</w:t>
      </w:r>
    </w:p>
    <w:p>
      <w:pPr>
        <w:pStyle w:val="Normal"/>
        <w:rPr/>
      </w:pPr>
      <w:r>
        <w:rPr/>
        <w:t>具体风险不能被一张悲观表穷尽。临床与药物安全事件、重大合规调查、许可终止、供货中断、税务追溯和资产减值都可能使实际损失超过所列价格。活动市盈率没有计算极端资产破产回收，技术低点也不是损失下界。进取型筛选意味着接受成长不确定性以寻找回报，不意味着将现金跑道、权益、定价和安全信息当作次要问题。康哲的投资价值在于已有经营基础与创新机会并存，验证工作必须沿这两个方向同时进行。</w:t>
      </w:r>
    </w:p>
    <w:p>
      <w:pPr>
        <w:pStyle w:val="Heading2"/>
        <w:rPr/>
      </w:pPr>
      <w:r>
        <w:rPr>
          <w:color w:val="000000"/>
        </w:rPr>
        <w:t>来源</w:t>
      </w:r>
    </w:p>
    <w:p>
      <w:pPr>
        <w:pStyle w:val="Normal"/>
        <w:rPr/>
      </w:pPr>
      <w:r>
        <w:rPr/>
        <w:t>正式源索引保存在</w:t>
      </w:r>
      <w:r>
        <w:rPr/>
        <w:t>data/cms_sources.json</w:t>
      </w:r>
      <w:r>
        <w:rPr/>
        <w:t>与</w:t>
      </w:r>
      <w:r>
        <w:rPr/>
        <w:t>data/cms_supplement.json</w:t>
      </w:r>
      <w:r>
        <w:rPr/>
        <w:t>，具体时间以交易所标题记录为准，模型及独立核验见</w:t>
      </w:r>
      <w:r>
        <w:rPr/>
        <w:t>data/cms_model.json</w:t>
      </w:r>
      <w:r>
        <w:rPr/>
        <w:t>、</w:t>
      </w:r>
      <w:r>
        <w:rPr/>
        <w:t>qa/cms_qa.json</w:t>
      </w:r>
      <w:r>
        <w:rPr/>
        <w:t>。原始文本保存在</w:t>
      </w:r>
      <w:r>
        <w:rPr/>
        <w:t>data/pharma_raw</w:t>
      </w:r>
      <w:r>
        <w:rPr/>
        <w:t>。核心来源如下：</w:t>
      </w:r>
    </w:p>
    <w:p>
      <w:pPr>
        <w:pStyle w:val="Normal"/>
        <w:rPr/>
      </w:pPr>
      <w:r>
        <w:rPr/>
        <w:t>1. [2026H1</w:t>
      </w:r>
      <w:r>
        <w:rPr/>
        <w:t>结果，</w:t>
      </w:r>
      <w:r>
        <w:rPr/>
        <w:t>2026-08-17 21:22</w:t>
      </w:r>
      <w:r>
        <w:rPr/>
        <w:t>，收盘后</w:t>
      </w:r>
      <w:r>
        <w:rPr/>
        <w:t>](https://www1.hkexnews.hk/listedco/listconews/sehk/2026/0817/2026081701623.pdf)</w:t>
      </w:r>
      <w:r>
        <w:rPr/>
        <w:t>。</w:t>
      </w:r>
    </w:p>
    <w:p>
      <w:pPr>
        <w:pStyle w:val="Normal"/>
        <w:rPr/>
      </w:pPr>
      <w:r>
        <w:rPr/>
        <w:t>2. [2026</w:t>
      </w:r>
      <w:r>
        <w:rPr/>
        <w:t>完整中报，</w:t>
      </w:r>
      <w:r>
        <w:rPr/>
        <w:t>2026-09-01 17:10</w:t>
      </w:r>
      <w:r>
        <w:rPr/>
        <w:t>，收盘后</w:t>
      </w:r>
      <w:r>
        <w:rPr/>
        <w:t>](https://www1.hkexnews.hk/listedco/listconews/sehk/2026/0901/2026090102311.pdf)</w:t>
      </w:r>
      <w:r>
        <w:rPr/>
        <w:t>：财务及现金流物理页</w:t>
      </w:r>
      <w:r>
        <w:rPr/>
        <w:t>33—47</w:t>
      </w:r>
      <w:r>
        <w:rPr/>
        <w:t>，分部物理页</w:t>
      </w:r>
      <w:r>
        <w:rPr/>
        <w:t>39</w:t>
      </w:r>
      <w:r>
        <w:rPr/>
        <w:t>，产品线页</w:t>
      </w:r>
      <w:r>
        <w:rPr/>
        <w:t>19</w:t>
      </w:r>
      <w:r>
        <w:rPr/>
        <w:t>。</w:t>
      </w:r>
    </w:p>
    <w:p>
      <w:pPr>
        <w:pStyle w:val="Normal"/>
        <w:rPr/>
      </w:pPr>
      <w:r>
        <w:rPr/>
        <w:t>3. [2025</w:t>
      </w:r>
      <w:r>
        <w:rPr/>
        <w:t>结果，首次</w:t>
      </w:r>
      <w:r>
        <w:rPr/>
        <w:t>2026-03-16 22:43](https://www1.hkexnews.hk/listedco/listconews/sehk/2026/0316/2026031602212.pdf)</w:t>
      </w:r>
      <w:r>
        <w:rPr/>
        <w:t>。</w:t>
      </w:r>
      <w:r>
        <w:rPr/>
        <w:t>3</w:t>
      </w:r>
      <w:r>
        <w:rPr/>
        <w:t>月</w:t>
      </w:r>
      <w:r>
        <w:rPr/>
        <w:t>17</w:t>
      </w:r>
      <w:r>
        <w:rPr/>
        <w:t>日</w:t>
      </w:r>
      <w:r>
        <w:rPr/>
        <w:t>17:03</w:t>
      </w:r>
      <w:r>
        <w:rPr/>
        <w:t>转载替代不作首次。</w:t>
      </w:r>
    </w:p>
    <w:p>
      <w:pPr>
        <w:pStyle w:val="Normal"/>
        <w:rPr/>
      </w:pPr>
      <w:r>
        <w:rPr/>
        <w:t>4. [2025</w:t>
      </w:r>
      <w:r>
        <w:rPr/>
        <w:t>完整年报，</w:t>
      </w:r>
      <w:r>
        <w:rPr/>
        <w:t>2026-04-01 18:54](https://www1.hkexnews.hk/listedco/listconews/sehk/2026/0401/2026040103498.pdf)</w:t>
      </w:r>
      <w:r>
        <w:rPr/>
        <w:t>：损益物理页</w:t>
      </w:r>
      <w:r>
        <w:rPr/>
        <w:t>82</w:t>
      </w:r>
      <w:r>
        <w:rPr/>
        <w:t>、现金</w:t>
      </w:r>
      <w:r>
        <w:rPr/>
        <w:t>87—88</w:t>
      </w:r>
      <w:r>
        <w:rPr/>
        <w:t>、其他损益</w:t>
      </w:r>
      <w:r>
        <w:rPr/>
        <w:t>119</w:t>
      </w:r>
      <w:r>
        <w:rPr/>
        <w:t>、税</w:t>
      </w:r>
      <w:r>
        <w:rPr/>
        <w:t>122—124</w:t>
      </w:r>
      <w:r>
        <w:rPr/>
        <w:t>。</w:t>
      </w:r>
    </w:p>
    <w:p>
      <w:pPr>
        <w:pStyle w:val="Normal"/>
        <w:rPr/>
      </w:pPr>
      <w:r>
        <w:rPr/>
        <w:t>5. [2024</w:t>
      </w:r>
      <w:r>
        <w:rPr/>
        <w:t>年报，</w:t>
      </w:r>
      <w:r>
        <w:rPr/>
        <w:t>2025-04-02 17:39](https://www1.hkexnews.hk/listedco/listconews/sehk/2025/0402/2025040201509.pdf)</w:t>
      </w:r>
      <w:r>
        <w:rPr/>
        <w:t>：</w:t>
      </w:r>
      <w:r>
        <w:rPr/>
        <w:t>2023—2024</w:t>
      </w:r>
      <w:r>
        <w:rPr/>
        <w:t>财务比较。</w:t>
      </w:r>
    </w:p>
    <w:p>
      <w:pPr>
        <w:pStyle w:val="Normal"/>
        <w:rPr/>
      </w:pPr>
      <w:r>
        <w:rPr/>
        <w:t>6. [Dermavon</w:t>
      </w:r>
      <w:r>
        <w:rPr/>
        <w:t>拟分拆首次，</w:t>
      </w:r>
      <w:r>
        <w:rPr/>
        <w:t>2025-04-22 21:32](https://www1.hkexnews.hk/listedco/listconews/sehk/2025/0422/2025042201899.pdf)</w:t>
      </w:r>
      <w:r>
        <w:rPr/>
        <w:t>。</w:t>
      </w:r>
    </w:p>
    <w:p>
      <w:pPr>
        <w:pStyle w:val="Normal"/>
        <w:rPr/>
      </w:pPr>
      <w:r>
        <w:rPr/>
        <w:t>7. [Lumirix</w:t>
      </w:r>
      <w:r>
        <w:rPr/>
        <w:t>新增</w:t>
      </w:r>
      <w:r>
        <w:rPr/>
        <w:t>AD</w:t>
      </w:r>
      <w:r>
        <w:rPr/>
        <w:t>批准，</w:t>
      </w:r>
      <w:r>
        <w:rPr/>
        <w:t>2026-09-03 17:54](https://www1.hkexnews.hk/listedco/listconews/sehk/2026/0903/2026090301761.pdf)</w:t>
      </w:r>
      <w:r>
        <w:rPr/>
        <w:t>：</w:t>
      </w:r>
      <w:r>
        <w:rPr/>
        <w:t>9</w:t>
      </w:r>
      <w:r>
        <w:rPr/>
        <w:t>月</w:t>
      </w:r>
      <w:r>
        <w:rPr/>
        <w:t>2</w:t>
      </w:r>
      <w:r>
        <w:rPr/>
        <w:t>批准，</w:t>
      </w:r>
      <w:r>
        <w:rPr/>
        <w:t>9</w:t>
      </w:r>
      <w:r>
        <w:rPr/>
        <w:t>月</w:t>
      </w:r>
      <w:r>
        <w:rPr/>
        <w:t>3</w:t>
      </w:r>
      <w:r>
        <w:rPr/>
        <w:t>取得注册证及公开。</w:t>
      </w:r>
    </w:p>
    <w:p>
      <w:pPr>
        <w:pStyle w:val="Normal"/>
        <w:rPr/>
      </w:pPr>
      <w:r>
        <w:rPr/>
        <w:t>8. [2026</w:t>
      </w:r>
      <w:r>
        <w:rPr/>
        <w:t>中期股息修订，</w:t>
      </w:r>
      <w:r>
        <w:rPr/>
        <w:t>2026-08-18 12:12</w:t>
      </w:r>
      <w:r>
        <w:rPr/>
        <w:t>，盘中</w:t>
      </w:r>
      <w:r>
        <w:rPr/>
        <w:t>](https://www1.hkexnews.hk/listedco/listconews/sehk/2026/0818/2026081800283.pdf)</w:t>
      </w:r>
      <w:r>
        <w:rPr/>
        <w:t>。</w:t>
      </w:r>
    </w:p>
    <w:p>
      <w:pPr>
        <w:pStyle w:val="Normal"/>
        <w:rPr/>
      </w:pPr>
      <w:r>
        <w:rPr/>
        <w:t>9. [2025</w:t>
      </w:r>
      <w:r>
        <w:rPr/>
        <w:t>末期股息，</w:t>
      </w:r>
      <w:r>
        <w:rPr/>
        <w:t>2026-03-17 07:00</w:t>
      </w:r>
      <w:r>
        <w:rPr/>
        <w:t>，开市前</w:t>
      </w:r>
      <w:r>
        <w:rPr/>
        <w:t>](https://www1.hkexnews.hk/listedco/listconews/sehk/2026/0317/2026031700017.pdf)</w:t>
      </w:r>
      <w:r>
        <w:rPr/>
        <w:t>。</w:t>
      </w:r>
    </w:p>
    <w:p>
      <w:pPr>
        <w:pStyle w:val="Normal"/>
        <w:rPr/>
      </w:pPr>
      <w:r>
        <w:rPr/>
        <w:t>10. [2026</w:t>
      </w:r>
      <w:r>
        <w:rPr/>
        <w:t>九月月报，</w:t>
      </w:r>
      <w:r>
        <w:rPr/>
        <w:t>2026-09-30 17:31</w:t>
      </w:r>
      <w:r>
        <w:rPr/>
        <w:t>，收盘后</w:t>
      </w:r>
      <w:r>
        <w:rPr/>
        <w:t>](https://www1.hkexnews.hk/listedco/listconews/sehk/2026/0930/2026093001444.pdf)</w:t>
      </w:r>
      <w:r>
        <w:rPr/>
        <w:t>。</w:t>
      </w:r>
    </w:p>
    <w:p>
      <w:pPr>
        <w:pStyle w:val="Normal"/>
        <w:rPr/>
      </w:pPr>
      <w:r>
        <w:rPr/>
        <w:t>11. [</w:t>
      </w:r>
      <w:r>
        <w:rPr/>
        <w:t>汇丰目标价新闻，</w:t>
      </w:r>
      <w:r>
        <w:rPr/>
        <w:t>2026-09-29 17:28](https://www.aastocks.com/tc/stocks/analysis/stock-aafn-con/00867/AAFN/NOW.1547010/research-report)</w:t>
      </w:r>
      <w:r>
        <w:rPr/>
        <w:t>。</w:t>
      </w:r>
    </w:p>
    <w:p>
      <w:pPr>
        <w:pStyle w:val="Normal"/>
        <w:rPr/>
      </w:pPr>
      <w:r>
        <w:rPr/>
        <w:t>12. [</w:t>
      </w:r>
      <w:r>
        <w:rPr/>
        <w:t>高盛目标价新闻，</w:t>
      </w:r>
      <w:r>
        <w:rPr/>
        <w:t>2026-08-19 13:16](https://www.aastocks.com/tc/stocks/analysis/stock-aafn-con/00867/AAFN/NOW.1539248/research-report)</w:t>
      </w:r>
      <w:r>
        <w:rPr/>
        <w:t>。</w:t>
      </w:r>
    </w:p>
    <w:p>
      <w:pPr>
        <w:pStyle w:val="Normal"/>
        <w:rPr/>
      </w:pPr>
      <w:r>
        <w:rPr/>
        <w:t>13. [</w:t>
      </w:r>
      <w:r>
        <w:rPr/>
        <w:t>里昂目标价新闻，</w:t>
      </w:r>
      <w:r>
        <w:rPr/>
        <w:t>2026-03-19 10:12](https://www.aastocks.com/tc/stocks/analysis/stock-aafn-con/00867/AAFN/NOW.1510414/research-report)</w:t>
      </w:r>
      <w:r>
        <w:rPr/>
        <w:t>。</w:t>
      </w:r>
    </w:p>
    <w:p>
      <w:pPr>
        <w:pStyle w:val="Normal"/>
        <w:rPr/>
      </w:pPr>
      <w:r>
        <w:rPr/>
        <w:t>14. [</w:t>
      </w:r>
      <w:r>
        <w:rPr/>
        <w:t>花旗目标价新闻，</w:t>
      </w:r>
      <w:r>
        <w:rPr/>
        <w:t>2026-03-18 10:06](https://www.aastocks.com/tc/stocks/analysis/stock-aafn-con/00867/AAFN/NOW.1510031/research-report)</w:t>
      </w:r>
      <w:r>
        <w:rPr/>
        <w:t>。</w:t>
      </w:r>
    </w:p>
    <w:p>
      <w:pPr>
        <w:pStyle w:val="Normal"/>
        <w:rPr/>
      </w:pPr>
      <w:r>
        <w:rPr/>
        <w:t xml:space="preserve">15. </w:t>
      </w:r>
      <w:r>
        <w:rPr/>
        <w:t>锁定</w:t>
      </w:r>
      <w:r>
        <w:rPr/>
        <w:t>market-v1.6</w:t>
      </w:r>
      <w:r>
        <w:rPr/>
        <w:t>中腾讯、新浪收盘与雅虎／腾讯复权日线，详见</w:t>
      </w:r>
      <w:r>
        <w:rPr/>
        <w:t>data/history/S058.json</w:t>
      </w:r>
      <w:r>
        <w:rPr/>
        <w:t>及</w:t>
      </w:r>
      <w:r>
        <w:rPr/>
        <w:t>data/market_snapshot_locked.json</w:t>
      </w:r>
      <w:r>
        <w:rPr/>
        <w:t>。现价多源一致，复权算法差异和一根修复均保留。</w:t>
      </w:r>
      <w:r>
        <w:br w:type="page"/>
      </w:r>
    </w:p>
    <w:p>
      <w:pPr>
        <w:pStyle w:val="Heading1"/>
        <w:rPr/>
      </w:pPr>
      <w:bookmarkStart w:id="1" w:name="__RefHeading___Toc26819_312338234"/>
      <w:bookmarkEnd w:id="1"/>
      <w:r>
        <w:rPr>
          <w:color w:val="000000"/>
        </w:rPr>
        <w:t xml:space="preserve">金山软件 </w:t>
      </w:r>
      <w:r>
        <w:rPr>
          <w:color w:val="000000"/>
        </w:rPr>
        <w:t>03888 HK</w:t>
      </w:r>
    </w:p>
    <w:p>
      <w:pPr>
        <w:pStyle w:val="Normal"/>
        <w:rPr/>
      </w:pPr>
      <w:r>
        <w:rPr/>
        <w:t xml:space="preserve">03888.HK </w:t>
      </w:r>
      <w:r>
        <w:rPr/>
        <w:t xml:space="preserve">现价 </w:t>
      </w:r>
      <w:r>
        <w:rPr/>
        <w:t>25.62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28.19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31.16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+21.62%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+22.21%</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77.00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37.50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+46.37%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+49.49%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72.50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37.25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+45.39%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+52.03%</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-66.08%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26.77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48.51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+89.34%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27.68HKD</w:t>
      </w:r>
      <w:r>
        <w:rPr/>
        <w:t>，期望股价回报</w:t>
      </w:r>
      <w:r>
        <w:rPr/>
        <w:t>+8.06%</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6.09</w:t>
              <w:br/>
              <w:t>-76.23%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28.19</w:t>
              <w:br/>
              <w:t>+10.03%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58.68</w:t>
              <w:br/>
              <w:t>+129.04%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4.66</w:t>
              <w:br/>
              <w:t>-81.81%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31.16</w:t>
              <w:br/>
              <w:t>+21.62%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73.00</w:t>
              <w:br/>
              <w:t>+184.93%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2.13</w:t>
              <w:br/>
              <w:t>-91.69%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37.50</w:t>
              <w:br/>
              <w:t>+46.37%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103.52</w:t>
              <w:br/>
              <w:t>+304.06%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+14.34%</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0.38</w:t>
              <w:br/>
              <w:t>-98.52%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37.25</w:t>
              <w:br/>
              <w:t>+45.39%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119.48</w:t>
              <w:br/>
              <w:t>+366.35%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+8.74%</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中：交易所</w:t>
            </w:r>
            <w:r>
              <w:rPr>
                <w:rFonts w:eastAsia="微软雅黑" w:ascii="微软雅黑" w:hAnsi="微软雅黑"/>
                <w:sz w:val="17"/>
              </w:rPr>
              <w:t>IFRS</w:t>
            </w:r>
            <w:r>
              <w:rPr>
                <w:rFonts w:ascii="微软雅黑" w:hAnsi="微软雅黑" w:eastAsia="微软雅黑"/>
                <w:sz w:val="17"/>
              </w:rPr>
              <w:t>分部</w:t>
            </w:r>
            <w:r>
              <w:rPr>
                <w:rFonts w:eastAsia="微软雅黑" w:ascii="微软雅黑" w:hAnsi="微软雅黑"/>
                <w:sz w:val="17"/>
              </w:rPr>
              <w:t>/</w:t>
            </w:r>
            <w:r>
              <w:rPr>
                <w:rFonts w:ascii="微软雅黑" w:hAnsi="微软雅黑" w:eastAsia="微软雅黑"/>
                <w:sz w:val="17"/>
              </w:rPr>
              <w:t>现金股数</w:t>
            </w:r>
            <w:r>
              <w:rPr>
                <w:rFonts w:eastAsia="微软雅黑" w:ascii="微软雅黑" w:hAnsi="微软雅黑"/>
                <w:sz w:val="17"/>
              </w:rPr>
              <w:t>/</w:t>
            </w:r>
            <w:r>
              <w:rPr>
                <w:rFonts w:ascii="微软雅黑" w:hAnsi="微软雅黑" w:eastAsia="微软雅黑"/>
                <w:sz w:val="17"/>
              </w:rPr>
              <w:t>量价高；费用分配和非现金</w:t>
            </w:r>
            <w:r>
              <w:rPr>
                <w:rFonts w:eastAsia="微软雅黑" w:ascii="微软雅黑" w:hAnsi="微软雅黑"/>
                <w:sz w:val="17"/>
              </w:rPr>
              <w:t>NAV</w:t>
            </w:r>
            <w:r>
              <w:rPr>
                <w:rFonts w:ascii="微软雅黑" w:hAnsi="微软雅黑" w:eastAsia="微软雅黑"/>
                <w:sz w:val="17"/>
              </w:rPr>
              <w:t>归属</w:t>
            </w:r>
            <w:r>
              <w:rPr>
                <w:rFonts w:eastAsia="微软雅黑" w:ascii="微软雅黑" w:hAnsi="微软雅黑"/>
                <w:sz w:val="17"/>
              </w:rPr>
              <w:t>/</w:t>
            </w:r>
            <w:r>
              <w:rPr>
                <w:rFonts w:ascii="微软雅黑" w:hAnsi="微软雅黑" w:eastAsia="微软雅黑"/>
                <w:sz w:val="17"/>
              </w:rPr>
              <w:t>实现</w:t>
            </w:r>
            <w:r>
              <w:rPr>
                <w:rFonts w:eastAsia="微软雅黑" w:ascii="微软雅黑" w:hAnsi="微软雅黑"/>
                <w:sz w:val="17"/>
              </w:rPr>
              <w:t>/</w:t>
            </w:r>
            <w:r>
              <w:rPr>
                <w:rFonts w:ascii="微软雅黑" w:hAnsi="微软雅黑" w:eastAsia="微软雅黑"/>
                <w:sz w:val="17"/>
              </w:rPr>
              <w:t>折价假设中低；不以未实现投资收益支撑</w:t>
            </w:r>
            <w:r>
              <w:rPr>
                <w:rFonts w:eastAsia="微软雅黑" w:ascii="微软雅黑" w:hAnsi="微软雅黑"/>
                <w:sz w:val="17"/>
              </w:rPr>
              <w:t>PE</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+15.53%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+16.10%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+22.21%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+28.32%</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+42.02%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+49.49%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+56.97%</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+44.43%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+52.03%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+59.63%</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I091</w:t>
      </w:r>
      <w:r>
        <w:rPr/>
        <w:t>，证券</w:t>
      </w:r>
      <w:r>
        <w:rPr/>
        <w:t>S102</w:t>
      </w:r>
      <w:r>
        <w:rPr/>
        <w:t>，代码</w:t>
      </w:r>
      <w:r>
        <w:rPr/>
        <w:t>03888.HK</w:t>
      </w:r>
      <w:r>
        <w:rPr/>
        <w:t>，</w:t>
      </w:r>
      <w:r>
        <w:rPr/>
        <w:t>2026</w:t>
      </w:r>
      <w:r>
        <w:rPr/>
        <w:t>年</w:t>
      </w:r>
      <w:r>
        <w:rPr/>
        <w:t>10</w:t>
      </w:r>
      <w:r>
        <w:rPr/>
        <w:t>月</w:t>
      </w:r>
      <w:r>
        <w:rPr/>
        <w:t>9</w:t>
      </w:r>
      <w:r>
        <w:rPr/>
        <w:t>日收盘</w:t>
      </w:r>
      <w:r>
        <w:rPr/>
        <w:t>25.62</w:t>
      </w:r>
      <w:r>
        <w:rPr/>
        <w:t>港元。資料截止该日。证据可信度中：交易所</w:t>
      </w:r>
      <w:r>
        <w:rPr/>
        <w:t>IFRS</w:t>
      </w:r>
      <w:r>
        <w:rPr/>
        <w:t>财务、股数、行情高；分部完整费用分配、投资归母及实现折价假设中低。进取型判断采用统一四榜，推荐梯队以全名单总表为准。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w:t>
            </w:r>
            <w:r>
              <w:rPr>
                <w:rFonts w:eastAsia="微软雅黑" w:ascii="微软雅黑" w:hAnsi="微软雅黑"/>
                <w:b/>
                <w:color w:val="FFFFFF"/>
                <w:sz w:val="17"/>
              </w:rPr>
              <w:t>HKD</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累计基准现金息</w:t>
            </w:r>
            <w:r>
              <w:rPr>
                <w:rFonts w:eastAsia="微软雅黑" w:ascii="微软雅黑" w:hAnsi="微软雅黑"/>
                <w:b/>
                <w:color w:val="FFFFFF"/>
                <w:sz w:val="17"/>
              </w:rPr>
              <w:t>HKD</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6.09/28.19/58.68</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4.66/31.16/73.00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21.62%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0.15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22.21%</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2.13/37.50/103.52</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46.37%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49.49%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0.38/37.25/119.48</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45.39%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52.03%</w:t>
            </w:r>
          </w:p>
        </w:tc>
      </w:tr>
    </w:tbl>
    <w:p>
      <w:pPr>
        <w:pStyle w:val="Normal"/>
        <w:rPr/>
      </w:pPr>
      <w:r>
        <w:rPr/>
      </w:r>
    </w:p>
    <w:p>
      <w:pPr>
        <w:pStyle w:val="Normal"/>
        <w:rPr/>
      </w:pPr>
      <w:r>
        <w:rPr/>
        <w:t>三年、五年基准含息年化</w:t>
      </w:r>
      <w:r>
        <w:rPr/>
        <w:t>14.34%</w:t>
      </w:r>
      <w:r>
        <w:rPr/>
        <w:t>、</w:t>
      </w:r>
      <w:r>
        <w:rPr/>
        <w:t>8.74%</w:t>
      </w:r>
      <w:r>
        <w:rPr/>
        <w:t>。年底</w:t>
      </w:r>
      <w:r>
        <w:rPr/>
        <w:t>8.69/26.77/48.51</w:t>
      </w:r>
      <w:r>
        <w:rPr/>
        <w:t>港元，相对现价−</w:t>
      </w:r>
      <w:r>
        <w:rPr/>
        <w:t>66.08%/+4.49%/+89.34%</w:t>
      </w:r>
      <w:r>
        <w:rPr/>
        <w:t>；</w:t>
      </w:r>
      <w:r>
        <w:rPr/>
        <w:t>25/50/25</w:t>
      </w:r>
      <w:r>
        <w:rPr/>
        <w:t>判断权重期望</w:t>
      </w:r>
      <w:r>
        <w:rPr/>
        <w:t>27.685</w:t>
      </w:r>
      <w:r>
        <w:rPr/>
        <w:t>港元、</w:t>
      </w:r>
      <w:r>
        <w:rPr/>
        <w:t>+8.06%</w:t>
      </w:r>
      <w:r>
        <w:rPr/>
        <w:t>；防御</w:t>
      </w:r>
      <w:r>
        <w:rPr/>
        <w:t>40/50/10</w:t>
      </w:r>
      <w:r>
        <w:rPr/>
        <w:t>期望</w:t>
      </w:r>
      <w:r>
        <w:rPr/>
        <w:t>21.712</w:t>
      </w:r>
      <w:r>
        <w:rPr/>
        <w:t>港元、−</w:t>
      </w:r>
      <w:r>
        <w:rPr/>
        <w:t>15.25%</w:t>
      </w:r>
      <w:r>
        <w:rPr/>
        <w:t>；积极</w:t>
      </w:r>
      <w:r>
        <w:rPr/>
        <w:t>10/50/40</w:t>
      </w:r>
      <w:r>
        <w:rPr/>
        <w:t>期望</w:t>
      </w:r>
      <w:r>
        <w:rPr/>
        <w:t>33.658</w:t>
      </w:r>
      <w:r>
        <w:rPr/>
        <w:t>港元、</w:t>
      </w:r>
      <w:r>
        <w:rPr/>
        <w:t>+31.37%</w:t>
      </w:r>
      <w:r>
        <w:rPr/>
        <w:t>。情景不是置信区间或最大跌幅。</w:t>
      </w:r>
    </w:p>
    <w:p>
      <w:pPr>
        <w:pStyle w:val="Normal"/>
        <w:rPr/>
      </w:pPr>
      <w:r>
        <w:rPr/>
        <w:t>结论条件：</w:t>
      </w:r>
      <w:r>
        <w:rPr/>
        <w:t>WPS</w:t>
      </w:r>
      <w:r>
        <w:rPr/>
        <w:t>个人和企业业务增长能转成扣算力、研发、股酬及税后的利润，游戏逐渐改善，投资权益可实现价值与归属可核，回购分红成本和母子稀释受控。反证：办公增长失速或毛利持续下降、游戏亏损无法停止、非现金投资价值大幅回落、母子资本分配显著损害每股收益。</w:t>
      </w:r>
    </w:p>
    <w:p>
      <w:pPr>
        <w:pStyle w:val="Heading2"/>
        <w:rPr/>
      </w:pPr>
      <w:r>
        <w:rPr>
          <w:color w:val="000000"/>
        </w:rPr>
        <w:t>一 先区分上市公司与业务资产</w:t>
      </w:r>
    </w:p>
    <w:p>
      <w:pPr>
        <w:pStyle w:val="Normal"/>
        <w:rPr/>
      </w:pPr>
      <w:r>
        <w:rPr/>
        <w:t>金山软件的合并收入主要由办公软件与游戏组成。金山云已经分拆上市、按联营处理，其全部收入并不合并到</w:t>
      </w:r>
      <w:r>
        <w:rPr/>
        <w:t>03888</w:t>
      </w:r>
      <w:r>
        <w:rPr/>
        <w:t>报表。公司还持有合营及联营股权投资，产生的价值变化可以大幅影响利润。研究这只港股必须沿不同产权路径分析，不能把办公、游戏、云和全部投资收益视为一家全资经营公司的统一利润。</w:t>
      </w:r>
    </w:p>
    <w:p>
      <w:pPr>
        <w:pStyle w:val="Normal"/>
        <w:rPr/>
      </w:pPr>
      <w:r>
        <w:rPr/>
        <w:t>2025</w:t>
      </w:r>
      <w:r>
        <w:rPr/>
        <w:t>年集团办公收入</w:t>
      </w:r>
      <w:r>
        <w:rPr/>
        <w:t>59.28745</w:t>
      </w:r>
      <w:r>
        <w:rPr/>
        <w:t>亿元、游戏及其他</w:t>
      </w:r>
      <w:r>
        <w:rPr/>
        <w:t>37.54136</w:t>
      </w:r>
      <w:r>
        <w:rPr/>
        <w:t>亿元，总</w:t>
      </w:r>
      <w:r>
        <w:rPr/>
        <w:t>96.82881</w:t>
      </w:r>
      <w:r>
        <w:rPr/>
        <w:t>亿元。</w:t>
      </w:r>
      <w:r>
        <w:rPr/>
        <w:t>2026</w:t>
      </w:r>
      <w:r>
        <w:rPr/>
        <w:t>上半年办公</w:t>
      </w:r>
      <w:r>
        <w:rPr/>
        <w:t>33.13262</w:t>
      </w:r>
      <w:r>
        <w:rPr/>
        <w:t>亿元、游戏</w:t>
      </w:r>
      <w:r>
        <w:rPr/>
        <w:t>16.13870</w:t>
      </w:r>
      <w:r>
        <w:rPr/>
        <w:t>亿元，总</w:t>
      </w:r>
      <w:r>
        <w:rPr/>
        <w:t>49.27132</w:t>
      </w:r>
      <w:r>
        <w:rPr/>
        <w:t>亿元。办公增长约</w:t>
      </w:r>
      <w:r>
        <w:rPr/>
        <w:t>25%</w:t>
      </w:r>
      <w:r>
        <w:rPr/>
        <w:t>，游戏下降约</w:t>
      </w:r>
      <w:r>
        <w:rPr/>
        <w:t>19%</w:t>
      </w:r>
      <w:r>
        <w:rPr/>
        <w:t>，两者合并仅增长约</w:t>
      </w:r>
      <w:r>
        <w:rPr/>
        <w:t>6%</w:t>
      </w:r>
      <w:r>
        <w:rPr/>
        <w:t>。公司总体增长慢并不代表办公需求弱，也不能用办公高增长掩盖游戏老产品衰退。收入结构变化同时影响研发资源和整体利润率。</w:t>
      </w:r>
    </w:p>
    <w:p>
      <w:pPr>
        <w:pStyle w:val="Normal"/>
        <w:rPr/>
      </w:pPr>
      <w:r>
        <w:rPr/>
        <w:t>年报列主要办公实体约</w:t>
      </w:r>
      <w:r>
        <w:rPr/>
        <w:t>52%</w:t>
      </w:r>
      <w:r>
        <w:rPr/>
        <w:t>有效权益，西山居相关约</w:t>
      </w:r>
      <w:r>
        <w:rPr/>
        <w:t>72%</w:t>
      </w:r>
      <w:r>
        <w:rPr/>
        <w:t>、世游相关</w:t>
      </w:r>
      <w:r>
        <w:rPr/>
        <w:t>76%</w:t>
      </w:r>
      <w:r>
        <w:rPr/>
        <w:t>，亦有全资游戏及物业实体。这意味着办公盈利增长会有相当部分归少数股东，游戏亏损和恢复也不按统一份额。模型给办公、游戏分别的归母比例，未来激励逐步降低，游戏混合份额是研究假设。报表控制权和上市股东可享利润须分开。</w:t>
      </w:r>
    </w:p>
    <w:p>
      <w:pPr>
        <w:pStyle w:val="Normal"/>
        <w:rPr/>
      </w:pPr>
      <w:r>
        <w:rPr/>
        <w:t>本章使用一套</w:t>
      </w:r>
      <w:r>
        <w:rPr/>
        <w:t>SOTP</w:t>
      </w:r>
      <w:r>
        <w:rPr/>
        <w:t>活动估值。办公和游戏的正常税后归属利润分别乘合理倍数，正常归母财资低倍数资本化，金山云及其他股权投资按所持权益净值和可实现折价计入。被单独列为股权净值的未实现收益不再计入</w:t>
      </w:r>
      <w:r>
        <w:rPr/>
        <w:t>PE</w:t>
      </w:r>
      <w:r>
        <w:rPr/>
        <w:t>盈利，银行现金亦不再重复相加。不同资产用不同方法，最终只形成一套母公司每股结果。</w:t>
      </w:r>
    </w:p>
    <w:p>
      <w:pPr>
        <w:pStyle w:val="Heading2"/>
        <w:rPr/>
      </w:pPr>
      <w:r>
        <w:rPr>
          <w:color w:val="000000"/>
        </w:rPr>
        <w:t>二 办公业务的真实增长与使用基础</w:t>
      </w:r>
    </w:p>
    <w:p>
      <w:pPr>
        <w:pStyle w:val="Normal"/>
        <w:rPr/>
      </w:pPr>
      <w:r>
        <w:rPr/>
        <w:t>第二季度</w:t>
      </w:r>
      <w:r>
        <w:rPr/>
        <w:t>WPS</w:t>
      </w:r>
      <w:r>
        <w:rPr/>
        <w:t>个人收入</w:t>
      </w:r>
      <w:r>
        <w:rPr/>
        <w:t>10.387</w:t>
      </w:r>
      <w:r>
        <w:rPr/>
        <w:t>亿元，同比增长</w:t>
      </w:r>
      <w:r>
        <w:rPr/>
        <w:t>17%</w:t>
      </w:r>
      <w:r>
        <w:rPr/>
        <w:t>；国内累计年度付费个人用户</w:t>
      </w:r>
      <w:r>
        <w:rPr/>
        <w:t>4825</w:t>
      </w:r>
      <w:r>
        <w:rPr/>
        <w:t>万，同比增长</w:t>
      </w:r>
      <w:r>
        <w:rPr/>
        <w:t>15%</w:t>
      </w:r>
      <w:r>
        <w:rPr/>
        <w:t>。累计年度付费人数不等于某个月付费用户、也不等于新增用户，不能与游戏月付费数据直接比。它说明个人服务已有付费基础，但仍需观察续费、价格及</w:t>
      </w:r>
      <w:r>
        <w:rPr/>
        <w:t>AI</w:t>
      </w:r>
      <w:r>
        <w:rPr/>
        <w:t>服务附加价值是否提高每个用户贡献。</w:t>
      </w:r>
    </w:p>
    <w:p>
      <w:pPr>
        <w:pStyle w:val="Normal"/>
        <w:rPr/>
      </w:pPr>
      <w:r>
        <w:rPr/>
        <w:t>WPS</w:t>
      </w:r>
      <w:r>
        <w:rPr/>
        <w:t>个人产品把文档编辑、阅读、格式转换和云服务放入常用工作场景，长期使用有助于形成习惯。文件兼容、模板、跨设备同步和文档准确性会影响用户愿不愿意继续付费。办公与社交娱乐的使用动机不同，效率工具若确实节省时间，有机会维持较稳定需求。但产品功能相似和免费替代也限制单纯提高订阅价的能力。</w:t>
      </w:r>
    </w:p>
    <w:p>
      <w:pPr>
        <w:pStyle w:val="Normal"/>
        <w:rPr/>
      </w:pPr>
      <w:r>
        <w:rPr/>
        <w:t>公司提到海外</w:t>
      </w:r>
      <w:r>
        <w:rPr/>
        <w:t>WPS</w:t>
      </w:r>
      <w:r>
        <w:rPr/>
        <w:t>提供云端和设备协同、嵌入式</w:t>
      </w:r>
      <w:r>
        <w:rPr/>
        <w:t>AI</w:t>
      </w:r>
      <w:r>
        <w:rPr/>
        <w:t>文档助理，含多语种翻译、拼写及写作增强。这些可以扩大用户场景，但国内付费优势不能自动移到海外。当地支付习惯、语言质量、成熟办公生态和企业采购制度不同，海外规模必须用收入和现金验证。模型没有为每个语言市场创造未披露单价或份额。</w:t>
      </w:r>
    </w:p>
    <w:p>
      <w:pPr>
        <w:pStyle w:val="Normal"/>
        <w:rPr/>
      </w:pPr>
      <w:r>
        <w:rPr/>
        <w:t>办公整体</w:t>
      </w:r>
      <w:r>
        <w:rPr/>
        <w:t>33.13262</w:t>
      </w:r>
      <w:r>
        <w:rPr/>
        <w:t>亿元半年收入，与中国准则子公司</w:t>
      </w:r>
      <w:r>
        <w:rPr/>
        <w:t>33.13263</w:t>
      </w:r>
      <w:r>
        <w:rPr/>
        <w:t>亿元相近，但利润口径不同。港股办公正式分部利润</w:t>
      </w:r>
      <w:r>
        <w:rPr/>
        <w:t>8.72926</w:t>
      </w:r>
      <w:r>
        <w:rPr/>
        <w:t>亿元，不等于中国准则子公司归母</w:t>
      </w:r>
      <w:r>
        <w:rPr/>
        <w:t>25.17594</w:t>
      </w:r>
      <w:r>
        <w:rPr/>
        <w:t>亿元。后者有投资及不同准则和合并范围，公告明确不能全面反映港股集团。本研究以</w:t>
      </w:r>
      <w:r>
        <w:rPr/>
        <w:t>IFRS</w:t>
      </w:r>
      <w:r>
        <w:rPr/>
        <w:t>经营分部校准正常收益，避免因收入接近就直接换入更高利润。</w:t>
      </w:r>
    </w:p>
    <w:p>
      <w:pPr>
        <w:pStyle w:val="Heading2"/>
        <w:rPr/>
      </w:pPr>
      <w:r>
        <w:rPr>
          <w:color w:val="000000"/>
        </w:rPr>
        <w:t>三 企业协同与国产替代的需求</w:t>
      </w:r>
    </w:p>
    <w:p>
      <w:pPr>
        <w:pStyle w:val="Normal"/>
        <w:rPr/>
      </w:pPr>
      <w:r>
        <w:rPr/>
        <w:t>第二季度</w:t>
      </w:r>
      <w:r>
        <w:rPr/>
        <w:t>WPS365</w:t>
      </w:r>
      <w:r>
        <w:rPr/>
        <w:t>收入</w:t>
      </w:r>
      <w:r>
        <w:rPr/>
        <w:t>2.531</w:t>
      </w:r>
      <w:r>
        <w:rPr/>
        <w:t>亿元，同比增长</w:t>
      </w:r>
      <w:r>
        <w:rPr/>
        <w:t>61%</w:t>
      </w:r>
      <w:r>
        <w:rPr/>
        <w:t>，软件业务</w:t>
      </w:r>
      <w:r>
        <w:rPr/>
        <w:t>3.758</w:t>
      </w:r>
      <w:r>
        <w:rPr/>
        <w:t>亿元，同比增长</w:t>
      </w:r>
      <w:r>
        <w:rPr/>
        <w:t>34%</w:t>
      </w:r>
      <w:r>
        <w:rPr/>
        <w:t>。企业协同和机构软件增速高于个人，说明收入组合正在变化。高增长体量目前相对个人仍小，若保持成功有助于多条收入引擎，但企业业务的销售、集成、实施和维护成本也较复杂。增长不能只看金额，还要看部署后能否持续续费及扩席。</w:t>
      </w:r>
    </w:p>
    <w:p>
      <w:pPr>
        <w:pStyle w:val="Normal"/>
        <w:rPr/>
      </w:pPr>
      <w:r>
        <w:rPr/>
        <w:t>机构采购涉及文档格式、权限、合规、私有或公共云架构、现有系统接口和员工培训。国产替代需求可以提供入口，却不能保证长期竞争优势。产品需要稳定兼容并减少切换摩擦，客户才会在完成采购后继续使用。项目收入还可能受验收和付款节奏影响，与消费者按月订阅现金方式不同。模型费用和营运资本因此随规模增加。</w:t>
      </w:r>
    </w:p>
    <w:p>
      <w:pPr>
        <w:pStyle w:val="Normal"/>
        <w:rPr/>
      </w:pPr>
      <w:r>
        <w:rPr/>
        <w:t>公司从央企及国企扩展到民企、跨国和地方企业，并建设渠道。客户覆盖增加能减少单群体依赖，也要求销售团队、合作伙伴及行业知识。渠道增加若只是更多订单而回款和实施利润弱，会降低经营质量。研究当前缺少完整企业续费率、净扩张及席位数据，不虚构</w:t>
      </w:r>
      <w:r>
        <w:rPr/>
        <w:t>SaaS</w:t>
      </w:r>
      <w:r>
        <w:rPr/>
        <w:t>指标来提高商业评分。</w:t>
      </w:r>
    </w:p>
    <w:p>
      <w:pPr>
        <w:pStyle w:val="Normal"/>
        <w:rPr/>
      </w:pPr>
      <w:r>
        <w:rPr/>
        <w:t>经济前景对机构需求主要通过预算与项目优先级传导。政府和大型企业的替代部署可能保持，但民企可能延迟新增席位，</w:t>
      </w:r>
      <w:r>
        <w:rPr/>
        <w:t>AI</w:t>
      </w:r>
      <w:r>
        <w:rPr/>
        <w:t>项目若回报尚未证明更易被推迟。公司要以可衡量效率和安全性赢得预算，不能仅凭宏观数字化口号预测固定高增长。三年基准办公</w:t>
      </w:r>
      <w:r>
        <w:rPr/>
        <w:t>118</w:t>
      </w:r>
      <w:r>
        <w:rPr/>
        <w:t>亿元正常年率要求多类客户形成持续收入，而非一轮集中采购。</w:t>
      </w:r>
    </w:p>
    <w:p>
      <w:pPr>
        <w:pStyle w:val="Heading2"/>
        <w:rPr/>
      </w:pPr>
      <w:r>
        <w:rPr>
          <w:color w:val="000000"/>
        </w:rPr>
        <w:t xml:space="preserve">四 灵犀 </w:t>
      </w:r>
      <w:r>
        <w:rPr>
          <w:color w:val="000000"/>
        </w:rPr>
        <w:t>Comate</w:t>
      </w:r>
      <w:r>
        <w:rPr>
          <w:color w:val="000000"/>
        </w:rPr>
        <w:t>和收费模型</w:t>
      </w:r>
    </w:p>
    <w:p>
      <w:pPr>
        <w:pStyle w:val="Normal"/>
        <w:rPr/>
      </w:pPr>
      <w:r>
        <w:rPr/>
        <w:t>WPS</w:t>
      </w:r>
      <w:r>
        <w:rPr/>
        <w:t>灵犀定位个人办公助理，覆盖理解信息、内容生成和交付可编辑原生文档。相较只生成文字，格式和可复查文档有实用价值；但需要正确公式、排版、文件兼容和来源准确才能成为可靠工具。用户是否愿意支付额外费用取决于输出可直接使用的程度，而不是对话能力本身。报告不将所有</w:t>
      </w:r>
      <w:r>
        <w:rPr/>
        <w:t>AI</w:t>
      </w:r>
      <w:r>
        <w:rPr/>
        <w:t>用户当未来新增付费。</w:t>
      </w:r>
    </w:p>
    <w:p>
      <w:pPr>
        <w:pStyle w:val="Normal"/>
        <w:rPr/>
      </w:pPr>
      <w:r>
        <w:rPr/>
        <w:t>Comate</w:t>
      </w:r>
      <w:r>
        <w:rPr/>
        <w:t>面向企业知识理解、数据分析、业务协作与任务执行，并有专家和应用模块。已部署</w:t>
      </w:r>
      <w:r>
        <w:rPr/>
        <w:t>26</w:t>
      </w:r>
      <w:r>
        <w:rPr/>
        <w:t>个代表场景、涉及</w:t>
      </w:r>
      <w:r>
        <w:rPr/>
        <w:t>11</w:t>
      </w:r>
      <w:r>
        <w:rPr/>
        <w:t>类职能，体现试验覆盖范围。场景数量没有说明合同价格、活跃员工或续费，不能当作</w:t>
      </w:r>
      <w:r>
        <w:rPr/>
        <w:t>26</w:t>
      </w:r>
      <w:r>
        <w:rPr/>
        <w:t>个等额商业订单。企业正式使用还需权限治理、数据边界、系统联通和组织变更，规模推广可能慢于演示进展。</w:t>
      </w:r>
    </w:p>
    <w:p>
      <w:pPr>
        <w:pStyle w:val="Normal"/>
        <w:rPr/>
      </w:pPr>
      <w:r>
        <w:rPr/>
        <w:t>公司探索个人“订阅加</w:t>
      </w:r>
      <w:r>
        <w:rPr/>
        <w:t>AI</w:t>
      </w:r>
      <w:r>
        <w:rPr/>
        <w:t>使用”、机构“席位加</w:t>
      </w:r>
      <w:r>
        <w:rPr/>
        <w:t>AI</w:t>
      </w:r>
      <w:r>
        <w:rPr/>
        <w:t>使用”，有助于让收入匹配算力消耗。但截止日仍属探索方向，不能把未来每次调用收入作为已确定合同。若固定订阅包大量</w:t>
      </w:r>
      <w:r>
        <w:rPr/>
        <w:t>AI</w:t>
      </w:r>
      <w:r>
        <w:rPr/>
        <w:t>功能，活跃用户上升可能先提高成本；按使用收费能缓解，却也可能让用户减少调用。模型毛利率包含这一商业选择的不确定性。</w:t>
      </w:r>
    </w:p>
    <w:p>
      <w:pPr>
        <w:pStyle w:val="Normal"/>
        <w:rPr/>
      </w:pPr>
      <w:r>
        <w:rPr/>
        <w:t>企业现场工程师模式把产品深入客户流程，能解决通用产品难以覆盖的实际需求，亦增加人工服务与交付成本。若每个客户都需长期专属团队，业务不像纯软件那样轻资产扩张。要观察标准化程度、复用工具与部署时间。长期模型允许研发和销售扩大，但不假设企业</w:t>
      </w:r>
      <w:r>
        <w:rPr/>
        <w:t>AI</w:t>
      </w:r>
      <w:r>
        <w:rPr/>
        <w:t>所有新增收入都保持近零边际成本。</w:t>
      </w:r>
    </w:p>
    <w:p>
      <w:pPr>
        <w:pStyle w:val="Heading2"/>
        <w:rPr/>
      </w:pPr>
      <w:r>
        <w:rPr>
          <w:color w:val="000000"/>
        </w:rPr>
        <w:t>五 算力 研发与办公利润率</w:t>
      </w:r>
    </w:p>
    <w:p>
      <w:pPr>
        <w:pStyle w:val="Normal"/>
        <w:rPr/>
      </w:pPr>
      <w:r>
        <w:rPr/>
        <w:t>上半年集团毛利</w:t>
      </w:r>
      <w:r>
        <w:rPr/>
        <w:t>39.01505</w:t>
      </w:r>
      <w:r>
        <w:rPr/>
        <w:t>亿元，毛利率约</w:t>
      </w:r>
      <w:r>
        <w:rPr/>
        <w:t>79%</w:t>
      </w:r>
      <w:r>
        <w:rPr/>
        <w:t>，较同期下降约两个百分点。成本增长</w:t>
      </w:r>
      <w:r>
        <w:rPr/>
        <w:t>17%</w:t>
      </w:r>
      <w:r>
        <w:rPr/>
        <w:t>，快于收入</w:t>
      </w:r>
      <w:r>
        <w:rPr/>
        <w:t>6%</w:t>
      </w:r>
      <w:r>
        <w:rPr/>
        <w:t>，公司解释</w:t>
      </w:r>
      <w:r>
        <w:rPr/>
        <w:t>AI</w:t>
      </w:r>
      <w:r>
        <w:rPr/>
        <w:t>功能使用、服务器和带宽以及游戏分成。</w:t>
      </w:r>
      <w:r>
        <w:rPr/>
        <w:t>AI</w:t>
      </w:r>
      <w:r>
        <w:rPr/>
        <w:t>使用增长既可能提高产品价值，也可能侵蚀毛利。估值时不能一方面高估付费转换，一方面完全忽略推理和服务资源成本。</w:t>
      </w:r>
    </w:p>
    <w:p>
      <w:pPr>
        <w:pStyle w:val="Normal"/>
        <w:rPr/>
      </w:pPr>
      <w:r>
        <w:rPr/>
        <w:t>上半年集团研发</w:t>
      </w:r>
      <w:r>
        <w:rPr/>
        <w:t>18.72629</w:t>
      </w:r>
      <w:r>
        <w:rPr/>
        <w:t>亿元，同比增长</w:t>
      </w:r>
      <w:r>
        <w:rPr/>
        <w:t>11%</w:t>
      </w:r>
      <w:r>
        <w:rPr/>
        <w:t>，约占收入</w:t>
      </w:r>
      <w:r>
        <w:rPr/>
        <w:t>38%</w:t>
      </w:r>
      <w:r>
        <w:rPr/>
        <w:t>。办公增加员工以推进技术投入，是高增长能否维持的关键。持续研发属于正常经营成本，不应因为现金报酬与股酬混合或存在</w:t>
      </w:r>
      <w:r>
        <w:rPr/>
        <w:t>AI</w:t>
      </w:r>
      <w:r>
        <w:rPr/>
        <w:t>战略就全部加回。模型分别给办公及游戏研发绝对数，让收入增长与资源需求同步，不把组织能力当免费资本。</w:t>
      </w:r>
    </w:p>
    <w:p>
      <w:pPr>
        <w:pStyle w:val="Normal"/>
        <w:rPr/>
      </w:pPr>
      <w:r>
        <w:rPr/>
        <w:t>办公正式分部结果</w:t>
      </w:r>
      <w:r>
        <w:rPr/>
        <w:t>8.72926</w:t>
      </w:r>
      <w:r>
        <w:rPr/>
        <w:t>亿元，含分部费用及租赁利息、排除一些集团财资和投资项。模型年底基准办公收入</w:t>
      </w:r>
      <w:r>
        <w:rPr/>
        <w:t>71.5</w:t>
      </w:r>
      <w:r>
        <w:rPr/>
        <w:t>亿元年率，毛利</w:t>
      </w:r>
      <w:r>
        <w:rPr/>
        <w:t>81%</w:t>
      </w:r>
      <w:r>
        <w:rPr/>
        <w:t>，研发</w:t>
      </w:r>
      <w:r>
        <w:rPr/>
        <w:t>25</w:t>
      </w:r>
      <w:r>
        <w:rPr/>
        <w:t>亿元、销售</w:t>
      </w:r>
      <w:r>
        <w:rPr/>
        <w:t>10</w:t>
      </w:r>
      <w:r>
        <w:rPr/>
        <w:t>亿元、行政</w:t>
      </w:r>
      <w:r>
        <w:rPr/>
        <w:t>4.6</w:t>
      </w:r>
      <w:r>
        <w:rPr/>
        <w:t>亿元、股酬</w:t>
      </w:r>
      <w:r>
        <w:rPr/>
        <w:t>2.6</w:t>
      </w:r>
      <w:r>
        <w:rPr/>
        <w:t>亿元、正常其他</w:t>
      </w:r>
      <w:r>
        <w:rPr/>
        <w:t>2</w:t>
      </w:r>
      <w:r>
        <w:rPr/>
        <w:t>亿元与租息，正常税前</w:t>
      </w:r>
      <w:r>
        <w:rPr/>
        <w:t>17.685</w:t>
      </w:r>
      <w:r>
        <w:rPr/>
        <w:t>亿元。费用分配是估计，但合计逻辑公开、可以与未来正式经营结果核对。</w:t>
      </w:r>
    </w:p>
    <w:p>
      <w:pPr>
        <w:pStyle w:val="Normal"/>
        <w:rPr/>
      </w:pPr>
      <w:r>
        <w:rPr/>
        <w:t>扣</w:t>
      </w:r>
      <w:r>
        <w:rPr/>
        <w:t>15%</w:t>
      </w:r>
      <w:r>
        <w:rPr/>
        <w:t>正常税再乘</w:t>
      </w:r>
      <w:r>
        <w:rPr/>
        <w:t>52%</w:t>
      </w:r>
      <w:r>
        <w:rPr/>
        <w:t>份额，年底基准办公归母</w:t>
      </w:r>
      <w:r>
        <w:rPr/>
        <w:t>7.81677</w:t>
      </w:r>
      <w:r>
        <w:rPr/>
        <w:t>亿元。一年收入</w:t>
      </w:r>
      <w:r>
        <w:rPr/>
        <w:t>85</w:t>
      </w:r>
      <w:r>
        <w:rPr/>
        <w:t>亿元、毛利</w:t>
      </w:r>
      <w:r>
        <w:rPr/>
        <w:t>82%</w:t>
      </w:r>
      <w:r>
        <w:rPr/>
        <w:t>，研发</w:t>
      </w:r>
      <w:r>
        <w:rPr/>
        <w:t>29.5</w:t>
      </w:r>
      <w:r>
        <w:rPr/>
        <w:t>亿、销售</w:t>
      </w:r>
      <w:r>
        <w:rPr/>
        <w:t>11.8</w:t>
      </w:r>
      <w:r>
        <w:rPr/>
        <w:t>亿、行政</w:t>
      </w:r>
      <w:r>
        <w:rPr/>
        <w:t>5.5</w:t>
      </w:r>
      <w:r>
        <w:rPr/>
        <w:t>亿和股酬</w:t>
      </w:r>
      <w:r>
        <w:rPr/>
        <w:t>3.2</w:t>
      </w:r>
      <w:r>
        <w:rPr/>
        <w:t>亿等，归母约</w:t>
      </w:r>
      <w:r>
        <w:rPr/>
        <w:t>9.35167</w:t>
      </w:r>
      <w:r>
        <w:rPr/>
        <w:t>亿元。归母利润增长慢于全分部收入并不矛盾，因为费用、税和权益份额共同作用。读者不能把</w:t>
      </w:r>
      <w:r>
        <w:rPr/>
        <w:t>85</w:t>
      </w:r>
      <w:r>
        <w:rPr/>
        <w:t>亿元收入套全公司无少数净利率。</w:t>
      </w:r>
    </w:p>
    <w:p>
      <w:pPr>
        <w:pStyle w:val="Heading2"/>
        <w:rPr/>
      </w:pPr>
      <w:r>
        <w:rPr>
          <w:color w:val="000000"/>
        </w:rPr>
        <w:t>六 游戏老产品的生命周期</w:t>
      </w:r>
    </w:p>
    <w:p>
      <w:pPr>
        <w:pStyle w:val="Normal"/>
        <w:rPr/>
      </w:pPr>
      <w:r>
        <w:rPr/>
        <w:t>游戏上半年收入</w:t>
      </w:r>
      <w:r>
        <w:rPr/>
        <w:t>16.13870</w:t>
      </w:r>
      <w:r>
        <w:rPr/>
        <w:t>亿元，比上年</w:t>
      </w:r>
      <w:r>
        <w:rPr/>
        <w:t>19.88285</w:t>
      </w:r>
      <w:r>
        <w:rPr/>
        <w:t>亿元下降</w:t>
      </w:r>
      <w:r>
        <w:rPr/>
        <w:t>19%</w:t>
      </w:r>
      <w:r>
        <w:rPr/>
        <w:t>，第二季度仍下降约</w:t>
      </w:r>
      <w:r>
        <w:rPr/>
        <w:t>15%</w:t>
      </w:r>
      <w:r>
        <w:rPr/>
        <w:t>。公司归因为既有游戏生命周期和竞争，新游戏仅部分抵消。正式娱乐分部亏损</w:t>
      </w:r>
      <w:r>
        <w:rPr/>
        <w:t>0.63697</w:t>
      </w:r>
      <w:r>
        <w:rPr/>
        <w:t>亿元，去年同期利润</w:t>
      </w:r>
      <w:r>
        <w:rPr/>
        <w:t>3.26435</w:t>
      </w:r>
      <w:r>
        <w:rPr/>
        <w:t>亿元，显示收入回落已经影响成本吸收。正常盈利模型必须给游戏修复留时间，不能用</w:t>
      </w:r>
      <w:r>
        <w:rPr/>
        <w:t>2024</w:t>
      </w:r>
      <w:r>
        <w:rPr/>
        <w:t>高点利润作为当前可持续年率。</w:t>
      </w:r>
    </w:p>
    <w:p>
      <w:pPr>
        <w:pStyle w:val="Normal"/>
        <w:rPr/>
      </w:pPr>
      <w:r>
        <w:rPr/>
        <w:t>2024</w:t>
      </w:r>
      <w:r>
        <w:rPr/>
        <w:t>游戏收入</w:t>
      </w:r>
      <w:r>
        <w:rPr/>
        <w:t>51.96829</w:t>
      </w:r>
      <w:r>
        <w:rPr/>
        <w:t>亿元，</w:t>
      </w:r>
      <w:r>
        <w:rPr/>
        <w:t>2025</w:t>
      </w:r>
      <w:r>
        <w:rPr/>
        <w:t>为</w:t>
      </w:r>
      <w:r>
        <w:rPr/>
        <w:t>37.54136</w:t>
      </w:r>
      <w:r>
        <w:rPr/>
        <w:t>亿元，年末弱势继续进入</w:t>
      </w:r>
      <w:r>
        <w:rPr/>
        <w:t>2026</w:t>
      </w:r>
      <w:r>
        <w:rPr/>
        <w:t>。经典</w:t>
      </w:r>
      <w:r>
        <w:rPr/>
        <w:t>IP</w:t>
      </w:r>
      <w:r>
        <w:rPr/>
        <w:t>拥有社区和历史内容，但玩家会因版本、付费结构、竞争及时间变化离开。老</w:t>
      </w:r>
      <w:r>
        <w:rPr/>
        <w:t>IP</w:t>
      </w:r>
      <w:r>
        <w:rPr/>
        <w:t>收益可持续需要维护，通常不能长期削减研发而保持流水。当前集团深化资源调整，长期投入回核心剑侠系列，表明短期盈利压力可能伴随必要的内容修复。</w:t>
      </w:r>
    </w:p>
    <w:p>
      <w:pPr>
        <w:pStyle w:val="Normal"/>
        <w:rPr/>
      </w:pPr>
      <w:r>
        <w:rPr/>
        <w:t>剑网</w:t>
      </w:r>
      <w:r>
        <w:rPr/>
        <w:t>3</w:t>
      </w:r>
      <w:r>
        <w:rPr/>
        <w:t>多年运营可形成玩家关系、角色资产和熟悉玩法，是相对优势；同时长运营会产生技术、画面和新用户门槛。四月新资料片改善留存是公司定性描述，未给完整日活及单作收入，本报告不补造。未来能否更新成功需要看到稳定回流和付费，不能只用资料片名称认定经营拐点已至。</w:t>
      </w:r>
    </w:p>
    <w:p>
      <w:pPr>
        <w:pStyle w:val="Normal"/>
        <w:rPr/>
      </w:pPr>
      <w:r>
        <w:rPr/>
        <w:t>美银摘要提到</w:t>
      </w:r>
      <w:r>
        <w:rPr/>
        <w:t>2027</w:t>
      </w:r>
      <w:r>
        <w:rPr/>
        <w:t>引擎和画面升级，这是可核外部计划转述，截止日没有称已完成。升级可改善体验，也可能伴随迁移、设备兼容及开发成本。半年至一年目标把缓慢恢复作为基准，完整乐观要多产品成功和高毛利。不能因预计升级日期明确就把全部新利润提前计入截至十月实际经营。</w:t>
      </w:r>
    </w:p>
    <w:p>
      <w:pPr>
        <w:pStyle w:val="Heading2"/>
        <w:rPr/>
      </w:pPr>
      <w:r>
        <w:rPr>
          <w:color w:val="000000"/>
        </w:rPr>
        <w:t>七 新游戏 鹅鸭杀和组合策略</w:t>
      </w:r>
    </w:p>
    <w:p>
      <w:pPr>
        <w:pStyle w:val="Normal"/>
        <w:rPr/>
      </w:pPr>
      <w:r>
        <w:rPr/>
        <w:t>鹅鸭杀手游于</w:t>
      </w:r>
      <w:r>
        <w:rPr/>
        <w:t>2026</w:t>
      </w:r>
      <w:r>
        <w:rPr/>
        <w:t>年</w:t>
      </w:r>
      <w:r>
        <w:rPr/>
        <w:t>1</w:t>
      </w:r>
      <w:r>
        <w:rPr/>
        <w:t>月</w:t>
      </w:r>
      <w:r>
        <w:rPr/>
        <w:t>7</w:t>
      </w:r>
      <w:r>
        <w:rPr/>
        <w:t>日公测，公司转述</w:t>
      </w:r>
      <w:r>
        <w:rPr/>
        <w:t>QuestMobile</w:t>
      </w:r>
      <w:r>
        <w:rPr/>
        <w:t>六月数据称新上线游戏月活排名前三。四月甄嬛传合作及七月西游记合作带动商店排名，显示社交差异化可能获得用户。排名并不提供精确流水、付费率及留存，社交游戏也可能高活跃低付费。模型不把排名直接换成与核心老作同规模盈利。</w:t>
      </w:r>
    </w:p>
    <w:p>
      <w:pPr>
        <w:pStyle w:val="Normal"/>
        <w:rPr/>
      </w:pPr>
      <w:r>
        <w:rPr/>
        <w:t>社交玩法能通过朋友关系增加传播，降低部分获客成本；它也容易受流行周期及同类模仿影响。内容更新要让多人体验保持新意，并平衡免费参与与付费设计。</w:t>
      </w:r>
      <w:r>
        <w:rPr/>
        <w:t>IP</w:t>
      </w:r>
      <w:r>
        <w:rPr/>
        <w:t>合作可获得短期注意，但合作费、维护和推广支出需要收入覆盖。研究将新品放在游戏整体收入和毛利，不单列虚假的独立长期估值。</w:t>
      </w:r>
    </w:p>
    <w:p>
      <w:pPr>
        <w:pStyle w:val="Normal"/>
        <w:rPr/>
      </w:pPr>
      <w:r>
        <w:rPr/>
        <w:t>公司计划在</w:t>
      </w:r>
      <w:r>
        <w:rPr/>
        <w:t>AI</w:t>
      </w:r>
      <w:r>
        <w:rPr/>
        <w:t>帮助下改进内容生产，可能缩短资产、美术和测试周期，却不能替代玩法设计与社区运营。若工具提高每位开发者产出，长期成本效率会改善；若团队不断制作更多未成功项目，绝对成本仍增。模型三年游戏研发</w:t>
      </w:r>
      <w:r>
        <w:rPr/>
        <w:t>18.5</w:t>
      </w:r>
      <w:r>
        <w:rPr/>
        <w:t>亿元、五年</w:t>
      </w:r>
      <w:r>
        <w:rPr/>
        <w:t>21</w:t>
      </w:r>
      <w:r>
        <w:rPr/>
        <w:t>亿元，允许组织扩展并要求收入增长吸收，未假设</w:t>
      </w:r>
      <w:r>
        <w:rPr/>
        <w:t>AI</w:t>
      </w:r>
      <w:r>
        <w:rPr/>
        <w:t>出现后研发永久减半。</w:t>
      </w:r>
    </w:p>
    <w:p>
      <w:pPr>
        <w:pStyle w:val="Normal"/>
        <w:rPr/>
      </w:pPr>
      <w:r>
        <w:rPr/>
        <w:t>游戏产品组合应观察不同阶段资金需求。新作测试、推出和推广先花钱，成熟作品维护产生现金，衰退作品可能停止或缩减。当前新作未完全抵老作，应在现金和资源安排上承担空窗风险。三年基准游戏</w:t>
      </w:r>
      <w:r>
        <w:rPr/>
        <w:t>50</w:t>
      </w:r>
      <w:r>
        <w:rPr/>
        <w:t>亿元正常年率，已高于当前水平，但仍略低</w:t>
      </w:r>
      <w:r>
        <w:rPr/>
        <w:t>2024</w:t>
      </w:r>
      <w:r>
        <w:rPr/>
        <w:t>高点，不依赖所有新类别都成为大型收入。</w:t>
      </w:r>
    </w:p>
    <w:p>
      <w:pPr>
        <w:pStyle w:val="Heading2"/>
        <w:rPr/>
      </w:pPr>
      <w:r>
        <w:rPr>
          <w:color w:val="000000"/>
        </w:rPr>
        <w:t>八 分部利润与集团投资收益</w:t>
      </w:r>
    </w:p>
    <w:p>
      <w:pPr>
        <w:pStyle w:val="Normal"/>
        <w:rPr/>
      </w:pPr>
      <w:r>
        <w:rPr/>
        <w:t>上半年办公分部</w:t>
      </w:r>
      <w:r>
        <w:rPr/>
        <w:t>8.72926</w:t>
      </w:r>
      <w:r>
        <w:rPr/>
        <w:t>亿元、娱乐分部−</w:t>
      </w:r>
      <w:r>
        <w:rPr/>
        <w:t>0.63697</w:t>
      </w:r>
      <w:r>
        <w:rPr/>
        <w:t>亿元，合计</w:t>
      </w:r>
      <w:r>
        <w:rPr/>
        <w:t>8.09229</w:t>
      </w:r>
      <w:r>
        <w:rPr/>
        <w:t>亿元，与集团经营</w:t>
      </w:r>
      <w:r>
        <w:rPr/>
        <w:t>8.13972</w:t>
      </w:r>
      <w:r>
        <w:rPr/>
        <w:t>亿元差异主要为分部租息处理。集团税前却有</w:t>
      </w:r>
      <w:r>
        <w:rPr/>
        <w:t>34.91724</w:t>
      </w:r>
      <w:r>
        <w:rPr/>
        <w:t>亿元，远高经营利润，主要新增合营收益</w:t>
      </w:r>
      <w:r>
        <w:rPr/>
        <w:t>21.10255</w:t>
      </w:r>
      <w:r>
        <w:rPr/>
        <w:t>亿元及联营</w:t>
      </w:r>
      <w:r>
        <w:rPr/>
        <w:t>1.52717</w:t>
      </w:r>
      <w:r>
        <w:rPr/>
        <w:t>亿元。原件说明这些主要为股权投资未实现收益，所以不能当作办公效率突增。</w:t>
      </w:r>
    </w:p>
    <w:p>
      <w:pPr>
        <w:pStyle w:val="Normal"/>
        <w:rPr/>
      </w:pPr>
      <w:r>
        <w:rPr/>
        <w:t>归母</w:t>
      </w:r>
      <w:r>
        <w:rPr/>
        <w:t>16.39276</w:t>
      </w:r>
      <w:r>
        <w:rPr/>
        <w:t>亿元，同比增长约一倍；少数</w:t>
      </w:r>
      <w:r>
        <w:rPr/>
        <w:t>15.16198</w:t>
      </w:r>
      <w:r>
        <w:rPr/>
        <w:t>亿元同样大幅增长，集团净利润</w:t>
      </w:r>
      <w:r>
        <w:rPr/>
        <w:t>31.55474</w:t>
      </w:r>
      <w:r>
        <w:rPr/>
        <w:t>亿元。较高少数份额说明资产归属很重要，不能把合营</w:t>
      </w:r>
      <w:r>
        <w:rPr/>
        <w:t>21</w:t>
      </w:r>
      <w:r>
        <w:rPr/>
        <w:t>亿元全部视为港股母公司现金。集团分部增长、资产重估和少数分配共同决定</w:t>
      </w:r>
      <w:r>
        <w:rPr/>
        <w:t>EPS</w:t>
      </w:r>
      <w:r>
        <w:rPr/>
        <w:t>，本研究正常经营与股权净值分别建模，避免重复。</w:t>
      </w:r>
    </w:p>
    <w:p>
      <w:pPr>
        <w:pStyle w:val="Normal"/>
        <w:rPr/>
      </w:pPr>
      <w:r>
        <w:rPr/>
        <w:t>2025</w:t>
      </w:r>
      <w:r>
        <w:rPr/>
        <w:t>经营</w:t>
      </w:r>
      <w:r>
        <w:rPr/>
        <w:t>17.75097</w:t>
      </w:r>
      <w:r>
        <w:rPr/>
        <w:t>亿元，同比下降</w:t>
      </w:r>
      <w:r>
        <w:rPr/>
        <w:t>51%</w:t>
      </w:r>
      <w:r>
        <w:rPr/>
        <w:t>，归母</w:t>
      </w:r>
      <w:r>
        <w:rPr/>
        <w:t>20.04388</w:t>
      </w:r>
      <w:r>
        <w:rPr/>
        <w:t>亿元却增长</w:t>
      </w:r>
      <w:r>
        <w:rPr/>
        <w:t>29%</w:t>
      </w:r>
      <w:r>
        <w:rPr/>
        <w:t>，当年视作处置联营及其他投资收益也显著。连续两期法定净利与经营趋势分化，使报价</w:t>
      </w:r>
      <w:r>
        <w:rPr/>
        <w:t>PE</w:t>
      </w:r>
      <w:r>
        <w:rPr/>
        <w:t>筛查有误导风险。当前行情字段</w:t>
      </w:r>
      <w:r>
        <w:rPr/>
        <w:t>15.87</w:t>
      </w:r>
      <w:r>
        <w:rPr/>
        <w:t>倍没有核实分母期间及调整，本章不用该字段直接断定估值合理，也不将历史法定</w:t>
      </w:r>
      <w:r>
        <w:rPr/>
        <w:t>EPS</w:t>
      </w:r>
      <w:r>
        <w:rPr/>
        <w:t>全部外推。</w:t>
      </w:r>
    </w:p>
    <w:p>
      <w:pPr>
        <w:pStyle w:val="Normal"/>
        <w:rPr/>
      </w:pPr>
      <w:r>
        <w:rPr/>
        <w:t>公司非</w:t>
      </w:r>
      <w:r>
        <w:rPr/>
        <w:t>IFRS</w:t>
      </w:r>
      <w:r>
        <w:rPr/>
        <w:t>调整包括股酬、公允价值、汇兑及大部分非金山云投资收益和税效。上半年调整归母</w:t>
      </w:r>
      <w:r>
        <w:rPr/>
        <w:t>5.80575</w:t>
      </w:r>
      <w:r>
        <w:rPr/>
        <w:t>亿元，去年</w:t>
      </w:r>
      <w:r>
        <w:rPr/>
        <w:t>6.66417</w:t>
      </w:r>
      <w:r>
        <w:rPr/>
        <w:t>亿元，约下降</w:t>
      </w:r>
      <w:r>
        <w:rPr/>
        <w:t>12.9%</w:t>
      </w:r>
      <w:r>
        <w:rPr/>
        <w:t>，与法定净利方向相反。非</w:t>
      </w:r>
      <w:r>
        <w:rPr/>
        <w:t>IFRS</w:t>
      </w:r>
      <w:r>
        <w:rPr/>
        <w:t>有助解释投资项，但仍加回股酬并对金山云用不同措施，不能无条件视作正常净利润。本模型保留常态股酬，重新预测经济利润。</w:t>
      </w:r>
    </w:p>
    <w:p>
      <w:pPr>
        <w:pStyle w:val="Heading2"/>
        <w:rPr/>
      </w:pPr>
      <w:r>
        <w:rPr>
          <w:color w:val="000000"/>
        </w:rPr>
        <w:t>九 金山云的权益与资本回报</w:t>
      </w:r>
    </w:p>
    <w:p>
      <w:pPr>
        <w:pStyle w:val="Normal"/>
        <w:rPr/>
      </w:pPr>
      <w:r>
        <w:rPr/>
        <w:t>六月集团持金山云</w:t>
      </w:r>
      <w:r>
        <w:rPr/>
        <w:t>1492621584</w:t>
      </w:r>
      <w:r>
        <w:rPr/>
        <w:t>股、约</w:t>
      </w:r>
      <w:r>
        <w:rPr/>
        <w:t>32.94%</w:t>
      </w:r>
      <w:r>
        <w:rPr/>
        <w:t>投票权，原件估所持权益市场价值</w:t>
      </w:r>
      <w:r>
        <w:rPr/>
        <w:t>61.335</w:t>
      </w:r>
      <w:r>
        <w:rPr/>
        <w:t>亿元、账面</w:t>
      </w:r>
      <w:r>
        <w:rPr/>
        <w:t>29.15</w:t>
      </w:r>
      <w:r>
        <w:rPr/>
        <w:t>亿元。两者是集团所持资产，不是金山云全部市值，且六月市价不是十月现价。模型直接把目标所持权益</w:t>
      </w:r>
      <w:r>
        <w:rPr/>
        <w:t>NAV</w:t>
      </w:r>
      <w:r>
        <w:rPr/>
        <w:t>作为研究假设，避免引用未锁定云证券报价冒充本任务价格基准。</w:t>
      </w:r>
    </w:p>
    <w:p>
      <w:pPr>
        <w:pStyle w:val="Normal"/>
        <w:rPr/>
      </w:pPr>
      <w:r>
        <w:rPr/>
        <w:t>金山云独立上半年净亏</w:t>
      </w:r>
      <w:r>
        <w:rPr/>
        <w:t>4.187</w:t>
      </w:r>
      <w:r>
        <w:rPr/>
        <w:t>亿元，亏损比同期缩小，仍非全面盈利。云业务获</w:t>
      </w:r>
      <w:r>
        <w:rPr/>
        <w:t>AI</w:t>
      </w:r>
      <w:r>
        <w:rPr/>
        <w:t>推理需求和生态客户机会，但算力、服务器、运营和资金成本高。高收入增长未必有良好资本回报，尤其折旧、资本采购和</w:t>
      </w:r>
      <w:r>
        <w:rPr/>
        <w:t>GPU</w:t>
      </w:r>
      <w:r>
        <w:rPr/>
        <w:t>利用率可能滞后反映。报告不把其调整盈利当</w:t>
      </w:r>
      <w:r>
        <w:rPr/>
        <w:t>IFRS</w:t>
      </w:r>
      <w:r>
        <w:rPr/>
        <w:t>全部归母，也不把母公司采购云服务当外部新增合并收入。</w:t>
      </w:r>
    </w:p>
    <w:p>
      <w:pPr>
        <w:pStyle w:val="Normal"/>
        <w:rPr/>
      </w:pPr>
      <w:r>
        <w:rPr/>
        <w:t>集团向联营购云服务上半年</w:t>
      </w:r>
      <w:r>
        <w:rPr/>
        <w:t>2.27524</w:t>
      </w:r>
      <w:r>
        <w:rPr/>
        <w:t>亿元、去年</w:t>
      </w:r>
      <w:r>
        <w:rPr/>
        <w:t>1.77618</w:t>
      </w:r>
      <w:r>
        <w:rPr/>
        <w:t>亿元，表明生态协作已经产生真实关联支出。协作可方便产品落地，价格和服务质量仍需对比外部选择，不能把同一交易同时记母公司利润和云股权收益。</w:t>
      </w:r>
      <w:r>
        <w:rPr/>
        <w:t>SOTP</w:t>
      </w:r>
      <w:r>
        <w:rPr/>
        <w:t>金山云项只表达所持股权价值，办公经营成本里仍保留云和</w:t>
      </w:r>
      <w:r>
        <w:rPr/>
        <w:t>AI</w:t>
      </w:r>
      <w:r>
        <w:rPr/>
        <w:t>成本。</w:t>
      </w:r>
    </w:p>
    <w:p>
      <w:pPr>
        <w:pStyle w:val="Normal"/>
        <w:rPr/>
      </w:pPr>
      <w:r>
        <w:rPr/>
        <w:t>模型年底基准金山云所持</w:t>
      </w:r>
      <w:r>
        <w:rPr/>
        <w:t>NAV61</w:t>
      </w:r>
      <w:r>
        <w:rPr/>
        <w:t>亿元、一年</w:t>
      </w:r>
      <w:r>
        <w:rPr/>
        <w:t>70</w:t>
      </w:r>
      <w:r>
        <w:rPr/>
        <w:t>亿元、三年</w:t>
      </w:r>
      <w:r>
        <w:rPr/>
        <w:t>90</w:t>
      </w:r>
      <w:r>
        <w:rPr/>
        <w:t>亿元、五年</w:t>
      </w:r>
      <w:r>
        <w:rPr/>
        <w:t>100</w:t>
      </w:r>
      <w:r>
        <w:rPr/>
        <w:t>亿元，乐观最高</w:t>
      </w:r>
      <w:r>
        <w:rPr/>
        <w:t>260</w:t>
      </w:r>
      <w:r>
        <w:rPr/>
        <w:t>亿元，悲观降至</w:t>
      </w:r>
      <w:r>
        <w:rPr/>
        <w:t>10</w:t>
      </w:r>
      <w:r>
        <w:rPr/>
        <w:t>亿元。全部是经营和资本市场条件假设，未实现股权涨幅不作为年度经常盈利。集团内归母份额单列，基准</w:t>
      </w:r>
      <w:r>
        <w:rPr/>
        <w:t>100%</w:t>
      </w:r>
      <w:r>
        <w:rPr/>
        <w:t>、悲观</w:t>
      </w:r>
      <w:r>
        <w:rPr/>
        <w:t>90%</w:t>
      </w:r>
      <w:r>
        <w:rPr/>
        <w:t>体现持股路径及损失假设，不将投票权</w:t>
      </w:r>
      <w:r>
        <w:rPr/>
        <w:t>32.94%</w:t>
      </w:r>
      <w:r>
        <w:rPr/>
        <w:t>再次乘已经是所持</w:t>
      </w:r>
      <w:r>
        <w:rPr/>
        <w:t>NAV</w:t>
      </w:r>
      <w:r>
        <w:rPr/>
        <w:t>。</w:t>
      </w:r>
    </w:p>
    <w:p>
      <w:pPr>
        <w:pStyle w:val="Heading2"/>
        <w:rPr/>
      </w:pPr>
      <w:r>
        <w:rPr>
          <w:color w:val="000000"/>
        </w:rPr>
        <w:t xml:space="preserve">十 </w:t>
      </w:r>
      <w:r>
        <w:rPr>
          <w:color w:val="000000"/>
        </w:rPr>
        <w:t>AI</w:t>
      </w:r>
      <w:r>
        <w:rPr>
          <w:color w:val="000000"/>
        </w:rPr>
        <w:t>基金与可实现净值</w:t>
      </w:r>
    </w:p>
    <w:p>
      <w:pPr>
        <w:pStyle w:val="Normal"/>
        <w:rPr/>
      </w:pPr>
      <w:r>
        <w:rPr/>
        <w:t>中报列顺金顺盈合营投资成本</w:t>
      </w:r>
      <w:r>
        <w:rPr/>
        <w:t>7</w:t>
      </w:r>
      <w:r>
        <w:rPr/>
        <w:t>亿元，集团为唯一有限合伙人、合伙份额</w:t>
      </w:r>
      <w:r>
        <w:rPr/>
        <w:t>99.9986%</w:t>
      </w:r>
      <w:r>
        <w:rPr/>
        <w:t>，重大投资和退出需一致同意，因此按合营处理。六月所持合伙权益价值约</w:t>
      </w:r>
      <w:r>
        <w:rPr/>
        <w:t>30.476</w:t>
      </w:r>
      <w:r>
        <w:rPr/>
        <w:t>亿元，半年收益约</w:t>
      </w:r>
      <w:r>
        <w:rPr/>
        <w:t>21.242</w:t>
      </w:r>
      <w:r>
        <w:rPr/>
        <w:t>亿元。合伙份额近</w:t>
      </w:r>
      <w:r>
        <w:rPr/>
        <w:t>100%</w:t>
      </w:r>
      <w:r>
        <w:rPr/>
        <w:t>说明集团对基金权利范围，不能证明香港上市股东对集团内持有主体享同样比例。</w:t>
      </w:r>
    </w:p>
    <w:p>
      <w:pPr>
        <w:pStyle w:val="Normal"/>
        <w:rPr/>
      </w:pPr>
      <w:r>
        <w:rPr/>
        <w:t>基金投资大模型和</w:t>
      </w:r>
      <w:r>
        <w:rPr/>
        <w:t>AIGC</w:t>
      </w:r>
      <w:r>
        <w:rPr/>
        <w:t>企业，上市或估值变化可能带来账面收益。私有融资价格不保证全部持股能立即出售，退出时间、优先权、税和管理安排影响现金。原件没有给全部被投项目和流动性细节，本章不猜测具体企业，也不按单个热门</w:t>
      </w:r>
      <w:r>
        <w:rPr/>
        <w:t>AI</w:t>
      </w:r>
      <w:r>
        <w:rPr/>
        <w:t>公司估值拟造组合。模型</w:t>
      </w:r>
      <w:r>
        <w:rPr/>
        <w:t>otherNAV</w:t>
      </w:r>
      <w:r>
        <w:rPr/>
        <w:t>把非金山云投资合并，明确未来净值假设。</w:t>
      </w:r>
    </w:p>
    <w:p>
      <w:pPr>
        <w:pStyle w:val="Normal"/>
        <w:rPr/>
      </w:pPr>
      <w:r>
        <w:rPr/>
        <w:t>办公子公司中国准则归母大增与集团合营收益同现，但时间相近不足以确认每笔股权持有层级。</w:t>
      </w:r>
      <w:r>
        <w:rPr/>
        <w:t>SSE</w:t>
      </w:r>
      <w:r>
        <w:rPr/>
        <w:t>中文中报检索得到公告发布时间，</w:t>
      </w:r>
      <w:r>
        <w:rPr/>
        <w:t>PDF</w:t>
      </w:r>
      <w:r>
        <w:rPr/>
        <w:t>入口却返回</w:t>
      </w:r>
      <w:r>
        <w:rPr/>
        <w:t>HTML</w:t>
      </w:r>
      <w:r>
        <w:rPr/>
        <w:t>，未取得完整原文；</w:t>
      </w:r>
      <w:r>
        <w:rPr/>
        <w:t>HKEX</w:t>
      </w:r>
      <w:r>
        <w:rPr/>
        <w:t>摘要和</w:t>
      </w:r>
      <w:r>
        <w:rPr/>
        <w:t>IFRS</w:t>
      </w:r>
      <w:r>
        <w:rPr/>
        <w:t>中报保留足够经营数据，归属不明部分按研究份额单列。基准</w:t>
      </w:r>
      <w:r>
        <w:rPr/>
        <w:t>otherNAV</w:t>
      </w:r>
      <w:r>
        <w:rPr/>
        <w:t>归母</w:t>
      </w:r>
      <w:r>
        <w:rPr/>
        <w:t>52%</w:t>
      </w:r>
      <w:r>
        <w:rPr/>
        <w:t>、可实现</w:t>
      </w:r>
      <w:r>
        <w:rPr/>
        <w:t>60%</w:t>
      </w:r>
      <w:r>
        <w:rPr/>
        <w:t>，不能把该份额写成已审计精确值。</w:t>
      </w:r>
    </w:p>
    <w:p>
      <w:pPr>
        <w:pStyle w:val="Normal"/>
        <w:rPr/>
      </w:pPr>
      <w:r>
        <w:rPr/>
        <w:t>年底基准其他合营联营</w:t>
      </w:r>
      <w:r>
        <w:rPr/>
        <w:t>NAV48.3</w:t>
      </w:r>
      <w:r>
        <w:rPr/>
        <w:t>亿元，归母</w:t>
      </w:r>
      <w:r>
        <w:rPr/>
        <w:t>52%</w:t>
      </w:r>
      <w:r>
        <w:rPr/>
        <w:t>乘可实现</w:t>
      </w:r>
      <w:r>
        <w:rPr/>
        <w:t>60%</w:t>
      </w:r>
      <w:r>
        <w:rPr/>
        <w:t>，计</w:t>
      </w:r>
      <w:r>
        <w:rPr/>
        <w:t>15.0696</w:t>
      </w:r>
      <w:r>
        <w:rPr/>
        <w:t>亿元，再适用整体控股折价。该值包含非现金股权而不含现金理财，避免与正常财资价值相叠。悲观归属</w:t>
      </w:r>
      <w:r>
        <w:rPr/>
        <w:t>50%</w:t>
      </w:r>
      <w:r>
        <w:rPr/>
        <w:t>、可实现</w:t>
      </w:r>
      <w:r>
        <w:rPr/>
        <w:t>45%</w:t>
      </w:r>
      <w:r>
        <w:rPr/>
        <w:t>，乐观</w:t>
      </w:r>
      <w:r>
        <w:rPr/>
        <w:t>60%</w:t>
      </w:r>
      <w:r>
        <w:rPr/>
        <w:t>和</w:t>
      </w:r>
      <w:r>
        <w:rPr/>
        <w:t>75%</w:t>
      </w:r>
      <w:r>
        <w:rPr/>
        <w:t>，充分展示敏感性。深研若取得完整持股路径应更新假设和总表，而不是永远保留方便的比例。</w:t>
      </w:r>
    </w:p>
    <w:p>
      <w:pPr>
        <w:pStyle w:val="Heading2"/>
        <w:rPr/>
      </w:pPr>
      <w:r>
        <w:rPr>
          <w:color w:val="000000"/>
        </w:rPr>
        <w:t>十一 现金 存款与母公司可用资金</w:t>
      </w:r>
    </w:p>
    <w:p>
      <w:pPr>
        <w:pStyle w:val="Normal"/>
        <w:rPr/>
      </w:pPr>
      <w:r>
        <w:rPr/>
        <w:t>六月现金和银行存款</w:t>
      </w:r>
      <w:r>
        <w:rPr/>
        <w:t>244.94092</w:t>
      </w:r>
      <w:r>
        <w:rPr/>
        <w:t>亿元，但现金等价仅</w:t>
      </w:r>
      <w:r>
        <w:rPr/>
        <w:t>38.26569</w:t>
      </w:r>
      <w:r>
        <w:rPr/>
        <w:t>亿元，差别主要是原期限超过三个月存款</w:t>
      </w:r>
      <w:r>
        <w:rPr/>
        <w:t>206.67523</w:t>
      </w:r>
      <w:r>
        <w:rPr/>
        <w:t>亿元。集团现金资源定义还含部分理财和摊余金融资产，总约</w:t>
      </w:r>
      <w:r>
        <w:rPr/>
        <w:t>271.566</w:t>
      </w:r>
      <w:r>
        <w:rPr/>
        <w:t>亿元。把全部称银行活期或把全部金额当立刻可分红，都会错误描述流动性和权益。原期限、资产类别及持有主体应保留。</w:t>
      </w:r>
    </w:p>
    <w:p>
      <w:pPr>
        <w:pStyle w:val="Normal"/>
        <w:rPr/>
      </w:pPr>
      <w:r>
        <w:rPr/>
        <w:t>现金厚度降低融资迫切性，但办公和其他实体有少数股东、合同负债及法定储备。现金不是全归</w:t>
      </w:r>
      <w:r>
        <w:rPr/>
        <w:t>03888</w:t>
      </w:r>
      <w:r>
        <w:rPr/>
        <w:t>可抽取，且企业运作和持续研发需要占用。年报说明境内利润法定拨备与外汇兑换安排，投资者应考虑分派及换汇程序。本模型不加全部集团净现金，只把归母正常税后財资收入低倍数资本化。</w:t>
      </w:r>
    </w:p>
    <w:p>
      <w:pPr>
        <w:pStyle w:val="Normal"/>
        <w:rPr/>
      </w:pPr>
      <w:r>
        <w:rPr/>
        <w:t>上半年财资收入</w:t>
      </w:r>
      <w:r>
        <w:rPr/>
        <w:t>2.95272</w:t>
      </w:r>
      <w:r>
        <w:rPr/>
        <w:t>亿元，全年</w:t>
      </w:r>
      <w:r>
        <w:rPr/>
        <w:t>2025</w:t>
      </w:r>
      <w:r>
        <w:rPr/>
        <w:t>为</w:t>
      </w:r>
      <w:r>
        <w:rPr/>
        <w:t>6.60257</w:t>
      </w:r>
      <w:r>
        <w:rPr/>
        <w:t>亿元，部分利息在经营现金流、部分在投资现金流。利率下降会降低收益，回购分红也减少本金，不能用过去高存款利息长期不变。模型归母税后财资基准年底</w:t>
      </w:r>
      <w:r>
        <w:rPr/>
        <w:t>3.8</w:t>
      </w:r>
      <w:r>
        <w:rPr/>
        <w:t>亿元、一年</w:t>
      </w:r>
      <w:r>
        <w:rPr/>
        <w:t>4.2</w:t>
      </w:r>
      <w:r>
        <w:rPr/>
        <w:t>亿元、三年</w:t>
      </w:r>
      <w:r>
        <w:rPr/>
        <w:t>4.8</w:t>
      </w:r>
      <w:r>
        <w:rPr/>
        <w:t>亿元、五年</w:t>
      </w:r>
      <w:r>
        <w:rPr/>
        <w:t>5.2</w:t>
      </w:r>
      <w:r>
        <w:rPr/>
        <w:t>亿元，来源为现金规模与权益分配估计。</w:t>
      </w:r>
    </w:p>
    <w:p>
      <w:pPr>
        <w:pStyle w:val="Normal"/>
        <w:rPr/>
      </w:pPr>
      <w:r>
        <w:rPr/>
        <w:t>财资低</w:t>
      </w:r>
      <w:r>
        <w:rPr/>
        <w:t>PE12</w:t>
      </w:r>
      <w:r>
        <w:rPr/>
        <w:t>倍等得到的是未来资本派发前收益资产估值，然后</w:t>
      </w:r>
      <w:r>
        <w:rPr/>
        <w:t>SOTP</w:t>
      </w:r>
      <w:r>
        <w:rPr/>
        <w:t>明确减累计额外回购及现金股息本金。股数同时因回购减少，防止回购被当成免费提高每股价值。既然没有再加全现金，这套方法偏保守，但能够清晰表达资金收益与派发成本。若改净现金法，必须先删除财资</w:t>
      </w:r>
      <w:r>
        <w:rPr/>
        <w:t>PE</w:t>
      </w:r>
      <w:r>
        <w:rPr/>
        <w:t>并核运营现金及归属，不能两法相加。</w:t>
      </w:r>
    </w:p>
    <w:p>
      <w:pPr>
        <w:pStyle w:val="Heading2"/>
        <w:rPr/>
      </w:pPr>
      <w:r>
        <w:rPr>
          <w:color w:val="000000"/>
        </w:rPr>
        <w:t>十二 现金流质量和合同负债</w:t>
      </w:r>
    </w:p>
    <w:p>
      <w:pPr>
        <w:pStyle w:val="Normal"/>
        <w:rPr/>
      </w:pPr>
      <w:r>
        <w:rPr/>
        <w:t>上半年经营现金</w:t>
      </w:r>
      <w:r>
        <w:rPr/>
        <w:t>7.09645</w:t>
      </w:r>
      <w:r>
        <w:rPr/>
        <w:t>亿元，相较集团净利</w:t>
      </w:r>
      <w:r>
        <w:rPr/>
        <w:t>31.55474</w:t>
      </w:r>
      <w:r>
        <w:rPr/>
        <w:t>亿元仅约</w:t>
      </w:r>
      <w:r>
        <w:rPr/>
        <w:t>22.5%</w:t>
      </w:r>
      <w:r>
        <w:rPr/>
        <w:t>，主要因投资未实现收益为非现金。现金流把合营</w:t>
      </w:r>
      <w:r>
        <w:rPr/>
        <w:t>21.10255</w:t>
      </w:r>
      <w:r>
        <w:rPr/>
        <w:t>亿及联营</w:t>
      </w:r>
      <w:r>
        <w:rPr/>
        <w:t>1.52717</w:t>
      </w:r>
      <w:r>
        <w:rPr/>
        <w:t>亿等从税前扣出，显示法定盈利不能用于无条件回购预算。经营现金较去年</w:t>
      </w:r>
      <w:r>
        <w:rPr/>
        <w:t>6.64862</w:t>
      </w:r>
      <w:r>
        <w:rPr/>
        <w:t>亿元略增，反映核心经营尚有现金，而非与法定利润同比翻倍。</w:t>
      </w:r>
    </w:p>
    <w:p>
      <w:pPr>
        <w:pStyle w:val="Normal"/>
        <w:rPr/>
      </w:pPr>
      <w:r>
        <w:rPr/>
        <w:t>2025</w:t>
      </w:r>
      <w:r>
        <w:rPr/>
        <w:t>经营现金</w:t>
      </w:r>
      <w:r>
        <w:rPr/>
        <w:t>22.9162</w:t>
      </w:r>
      <w:r>
        <w:rPr/>
        <w:t>亿元，去年</w:t>
      </w:r>
      <w:r>
        <w:rPr/>
        <w:t>45.8716</w:t>
      </w:r>
      <w:r>
        <w:rPr/>
        <w:t>亿元，下降与游戏及经营压力一致。扣</w:t>
      </w:r>
      <w:r>
        <w:rPr/>
        <w:t>PPE3.14024</w:t>
      </w:r>
      <w:r>
        <w:rPr/>
        <w:t>亿元、无形</w:t>
      </w:r>
      <w:r>
        <w:rPr/>
        <w:t>0.28047</w:t>
      </w:r>
      <w:r>
        <w:rPr/>
        <w:t>亿元、租赁本金</w:t>
      </w:r>
      <w:r>
        <w:rPr/>
        <w:t>0.23362</w:t>
      </w:r>
      <w:r>
        <w:rPr/>
        <w:t>亿元、付息</w:t>
      </w:r>
      <w:r>
        <w:rPr/>
        <w:t>0.03754</w:t>
      </w:r>
      <w:r>
        <w:rPr/>
        <w:t>亿元，代理约</w:t>
      </w:r>
      <w:r>
        <w:rPr/>
        <w:t>19.22433</w:t>
      </w:r>
      <w:r>
        <w:rPr/>
        <w:t>亿元；上半年同口径</w:t>
      </w:r>
      <w:r>
        <w:rPr/>
        <w:t>5.67337</w:t>
      </w:r>
      <w:r>
        <w:rPr/>
        <w:t>亿元。投资段收到的利息另列，不混到该代理中，集团金额仍不等严格归母可分派现金。</w:t>
      </w:r>
    </w:p>
    <w:p>
      <w:pPr>
        <w:pStyle w:val="Normal"/>
        <w:rPr/>
      </w:pPr>
      <w:r>
        <w:rPr/>
        <w:t>六月应收</w:t>
      </w:r>
      <w:r>
        <w:rPr/>
        <w:t>9.66422</w:t>
      </w:r>
      <w:r>
        <w:rPr/>
        <w:t>亿元、上年末</w:t>
      </w:r>
      <w:r>
        <w:rPr/>
        <w:t>7.88145</w:t>
      </w:r>
      <w:r>
        <w:rPr/>
        <w:t>亿元，增长约</w:t>
      </w:r>
      <w:r>
        <w:rPr/>
        <w:t>22.6%</w:t>
      </w:r>
      <w:r>
        <w:rPr/>
        <w:t>，高于收入增长。机构项目和验收账期可能解释部分差异，需持续看账龄与回款，不凭增长认定坏账。合同负债当期</w:t>
      </w:r>
      <w:r>
        <w:rPr/>
        <w:t>32.21249</w:t>
      </w:r>
      <w:r>
        <w:rPr/>
        <w:t>亿、长期</w:t>
      </w:r>
      <w:r>
        <w:rPr/>
        <w:t>12.18597</w:t>
      </w:r>
      <w:r>
        <w:rPr/>
        <w:t>亿，合计约</w:t>
      </w:r>
      <w:r>
        <w:rPr/>
        <w:t>44.40</w:t>
      </w:r>
      <w:r>
        <w:rPr/>
        <w:t>亿元，其中相当部分代表未来软件服务义务。预收增强现金同时承担交付，不能视作多余净资产。</w:t>
      </w:r>
    </w:p>
    <w:p>
      <w:pPr>
        <w:pStyle w:val="Normal"/>
        <w:rPr/>
      </w:pPr>
      <w:r>
        <w:rPr/>
        <w:t>集团资本现金半年</w:t>
      </w:r>
      <w:r>
        <w:rPr/>
        <w:t>1.14209</w:t>
      </w:r>
      <w:r>
        <w:rPr/>
        <w:t>亿元，低于上年同期</w:t>
      </w:r>
      <w:r>
        <w:rPr/>
        <w:t>2.02632</w:t>
      </w:r>
      <w:r>
        <w:rPr/>
        <w:t>亿元；武汉园区建成带来更多折旧，资本现金减少不等全部资源成本减少。年度研发费用大且费用化，现金代理中仍已含研发。模型年度归母</w:t>
      </w:r>
      <w:r>
        <w:rPr/>
        <w:t>DA</w:t>
      </w:r>
      <w:r>
        <w:rPr/>
        <w:t>、资本现金、营运增量及现金股酬另给交叉，但不声称完整预测每个目标日现金余额或精确</w:t>
      </w:r>
      <w:r>
        <w:rPr/>
        <w:t>DCF</w:t>
      </w:r>
      <w:r>
        <w:rPr/>
        <w:t>。</w:t>
      </w:r>
    </w:p>
    <w:p>
      <w:pPr>
        <w:pStyle w:val="Heading2"/>
        <w:rPr/>
      </w:pPr>
      <w:r>
        <w:rPr>
          <w:color w:val="000000"/>
        </w:rPr>
        <w:t>十三 银行债 可转债和激励</w:t>
      </w:r>
    </w:p>
    <w:p>
      <w:pPr>
        <w:pStyle w:val="Normal"/>
        <w:rPr/>
      </w:pPr>
      <w:r>
        <w:rPr/>
        <w:t>六月银行借款</w:t>
      </w:r>
      <w:r>
        <w:rPr/>
        <w:t>1000</w:t>
      </w:r>
      <w:r>
        <w:rPr/>
        <w:t>万元，租赁负债</w:t>
      </w:r>
      <w:r>
        <w:rPr/>
        <w:t>2.58367</w:t>
      </w:r>
      <w:r>
        <w:rPr/>
        <w:t>亿元，所以“现金多”不能写成完全无负债。旧</w:t>
      </w:r>
      <w:r>
        <w:rPr/>
        <w:t>2020</w:t>
      </w:r>
      <w:r>
        <w:rPr/>
        <w:t>可转债</w:t>
      </w:r>
      <w:r>
        <w:rPr/>
        <w:t>2025</w:t>
      </w:r>
      <w:r>
        <w:rPr/>
        <w:t>四月转股并最终赎回，新增</w:t>
      </w:r>
      <w:r>
        <w:rPr/>
        <w:t>65401193</w:t>
      </w:r>
      <w:r>
        <w:rPr/>
        <w:t>股，调整转股价</w:t>
      </w:r>
      <w:r>
        <w:rPr/>
        <w:t>34.77</w:t>
      </w:r>
      <w:r>
        <w:rPr/>
        <w:t>港元，剩余全赎后无旧债。</w:t>
      </w:r>
      <w:r>
        <w:rPr/>
        <w:t>2026</w:t>
      </w:r>
      <w:r>
        <w:rPr/>
        <w:t>估值不能继续扣旧可转债，也不能忽略其已经改变的法定股数。存续负债与历史融资分开记录。</w:t>
      </w:r>
    </w:p>
    <w:p>
      <w:pPr>
        <w:pStyle w:val="Normal"/>
        <w:rPr/>
      </w:pPr>
      <w:r>
        <w:rPr/>
        <w:t>九月法定股</w:t>
      </w:r>
      <w:r>
        <w:rPr/>
        <w:t>1374440310</w:t>
      </w:r>
      <w:r>
        <w:rPr/>
        <w:t>股、库藏零，月内不变；月报无其他待注销动作。本模型从法定股开始，未来额外回购和正常稀释另算。上半年基本加权</w:t>
      </w:r>
      <w:r>
        <w:rPr/>
        <w:t>13.73220</w:t>
      </w:r>
      <w:r>
        <w:rPr/>
        <w:t>亿、稀释</w:t>
      </w:r>
      <w:r>
        <w:rPr/>
        <w:t>13.76564</w:t>
      </w:r>
      <w:r>
        <w:rPr/>
        <w:t>亿，历史加权分母不是九月末股份。子公司激励还可减少母公司利润权利，不能仅看母公司新增几百万股就说全部稀释很小。</w:t>
      </w:r>
    </w:p>
    <w:p>
      <w:pPr>
        <w:pStyle w:val="Normal"/>
        <w:rPr/>
      </w:pPr>
      <w:r>
        <w:rPr/>
        <w:t>上半年集团股酬</w:t>
      </w:r>
      <w:r>
        <w:rPr/>
        <w:t>1.82424</w:t>
      </w:r>
      <w:r>
        <w:rPr/>
        <w:t>亿元，同比增长</w:t>
      </w:r>
      <w:r>
        <w:rPr/>
        <w:t>46%</w:t>
      </w:r>
      <w:r>
        <w:rPr/>
        <w:t>，属于分开列示的经营费用，不能因其非现金便在正常利润中全删。子公司股酬、母公司奖励和期权对应不同经济权利，模型办公及游戏费用各保留。未来办公归母由</w:t>
      </w:r>
      <w:r>
        <w:rPr/>
        <w:t>52%</w:t>
      </w:r>
      <w:r>
        <w:rPr/>
        <w:t>逐步降至五年</w:t>
      </w:r>
      <w:r>
        <w:rPr/>
        <w:t>47.5%</w:t>
      </w:r>
      <w:r>
        <w:rPr/>
        <w:t>，游戏混合由</w:t>
      </w:r>
      <w:r>
        <w:rPr/>
        <w:t>74%</w:t>
      </w:r>
      <w:r>
        <w:rPr/>
        <w:t>降</w:t>
      </w:r>
      <w:r>
        <w:rPr/>
        <w:t>70%</w:t>
      </w:r>
      <w:r>
        <w:rPr/>
        <w:t>，母公司正常股数亦增加，完整承受激励。</w:t>
      </w:r>
    </w:p>
    <w:p>
      <w:pPr>
        <w:pStyle w:val="Normal"/>
        <w:rPr/>
      </w:pPr>
      <w:r>
        <w:rPr/>
        <w:t>九月已有期权包括旧计划</w:t>
      </w:r>
      <w:r>
        <w:rPr/>
        <w:t>2529800</w:t>
      </w:r>
      <w:r>
        <w:rPr/>
        <w:t>和</w:t>
      </w:r>
      <w:r>
        <w:rPr/>
        <w:t>4400000</w:t>
      </w:r>
      <w:r>
        <w:rPr/>
        <w:t>股、新计划</w:t>
      </w:r>
      <w:r>
        <w:rPr/>
        <w:t>250000</w:t>
      </w:r>
      <w:r>
        <w:rPr/>
        <w:t>股；</w:t>
      </w:r>
      <w:r>
        <w:rPr/>
        <w:t>133666711</w:t>
      </w:r>
      <w:r>
        <w:rPr/>
        <w:t>股计划容量未授，不能全部当已发。六月授期权行权价</w:t>
      </w:r>
      <w:r>
        <w:rPr/>
        <w:t>23.48</w:t>
      </w:r>
      <w:r>
        <w:rPr/>
        <w:t>港元不构成价格保证。若员工行权资金增加可缓解部分资本成本，但仍需按实际数量和经济归属处理。未来没有公开获批新增融资时不补造配股日期及价格。</w:t>
      </w:r>
    </w:p>
    <w:p>
      <w:pPr>
        <w:pStyle w:val="Heading2"/>
        <w:rPr/>
      </w:pPr>
      <w:r>
        <w:rPr>
          <w:color w:val="000000"/>
        </w:rPr>
        <w:t>十四 回购分红与资本配置</w:t>
      </w:r>
    </w:p>
    <w:p>
      <w:pPr>
        <w:pStyle w:val="Normal"/>
        <w:rPr/>
      </w:pPr>
      <w:r>
        <w:rPr/>
        <w:t>上半年回购现金</w:t>
      </w:r>
      <w:r>
        <w:rPr/>
        <w:t>3.36747</w:t>
      </w:r>
      <w:r>
        <w:rPr/>
        <w:t>亿元，发行人注销用途</w:t>
      </w:r>
      <w:r>
        <w:rPr/>
        <w:t>3.18882</w:t>
      </w:r>
      <w:r>
        <w:rPr/>
        <w:t>亿、奖励市场购买</w:t>
      </w:r>
      <w:r>
        <w:rPr/>
        <w:t>0.17865</w:t>
      </w:r>
      <w:r>
        <w:rPr/>
        <w:t>亿。受托奖励购买通常不是等量新发，不能一边扣现金再把全部买入当新股。股酬费用和未来期权仍保留。历史回购价格与当前折价应评价长期资本效率，而不是宣布回购天然利好。</w:t>
      </w:r>
    </w:p>
    <w:p>
      <w:pPr>
        <w:pStyle w:val="Normal"/>
        <w:rPr/>
      </w:pPr>
      <w:r>
        <w:rPr/>
        <w:t>2025</w:t>
      </w:r>
      <w:r>
        <w:rPr/>
        <w:t>末息</w:t>
      </w:r>
      <w:r>
        <w:rPr/>
        <w:t>0.13</w:t>
      </w:r>
      <w:r>
        <w:rPr/>
        <w:t>港元于</w:t>
      </w:r>
      <w:r>
        <w:rPr/>
        <w:t>2026</w:t>
      </w:r>
      <w:r>
        <w:rPr/>
        <w:t>六月实际支付，已经在基准日前完成，不计入未来累计回报。中期没有股息；模型半年零、一年基准</w:t>
      </w:r>
      <w:r>
        <w:rPr/>
        <w:t>0.15</w:t>
      </w:r>
      <w:r>
        <w:rPr/>
        <w:t>、三年累计</w:t>
      </w:r>
      <w:r>
        <w:rPr/>
        <w:t>0.8</w:t>
      </w:r>
      <w:r>
        <w:rPr/>
        <w:t>、五年</w:t>
      </w:r>
      <w:r>
        <w:rPr/>
        <w:t>1.7</w:t>
      </w:r>
      <w:r>
        <w:rPr/>
        <w:t>港元为研究假设，不是公司承诺。母子现金分红也不同，集团向少数支付</w:t>
      </w:r>
      <w:r>
        <w:rPr/>
        <w:t>2.50418</w:t>
      </w:r>
      <w:r>
        <w:rPr/>
        <w:t>亿元现金不能当作上市股东收益。</w:t>
      </w:r>
    </w:p>
    <w:p>
      <w:pPr>
        <w:pStyle w:val="Normal"/>
        <w:rPr/>
      </w:pPr>
      <w:r>
        <w:rPr/>
        <w:t>一年基准未来回购</w:t>
      </w:r>
      <w:r>
        <w:rPr/>
        <w:t>4.5</w:t>
      </w:r>
      <w:r>
        <w:rPr/>
        <w:t>亿港元以</w:t>
      </w:r>
      <w:r>
        <w:rPr/>
        <w:t>31</w:t>
      </w:r>
      <w:r>
        <w:rPr/>
        <w:t>元平均价，三年</w:t>
      </w:r>
      <w:r>
        <w:rPr/>
        <w:t>15</w:t>
      </w:r>
      <w:r>
        <w:rPr/>
        <w:t>亿以</w:t>
      </w:r>
      <w:r>
        <w:rPr/>
        <w:t>42</w:t>
      </w:r>
      <w:r>
        <w:rPr/>
        <w:t>元，五年</w:t>
      </w:r>
      <w:r>
        <w:rPr/>
        <w:t>28</w:t>
      </w:r>
      <w:r>
        <w:rPr/>
        <w:t>亿以</w:t>
      </w:r>
      <w:r>
        <w:rPr/>
        <w:t>52</w:t>
      </w:r>
      <w:r>
        <w:rPr/>
        <w:t>元，股份减少同时</w:t>
      </w:r>
      <w:r>
        <w:rPr/>
        <w:t>SOTP</w:t>
      </w:r>
      <w:r>
        <w:rPr/>
        <w:t>扣本金。正常新增稀释分别</w:t>
      </w:r>
      <w:r>
        <w:rPr/>
        <w:t>0.25</w:t>
      </w:r>
      <w:r>
        <w:rPr/>
        <w:t>、</w:t>
      </w:r>
      <w:r>
        <w:rPr/>
        <w:t>0.9</w:t>
      </w:r>
      <w:r>
        <w:rPr/>
        <w:t>、</w:t>
      </w:r>
      <w:r>
        <w:rPr/>
        <w:t>1.5</w:t>
      </w:r>
      <w:r>
        <w:rPr/>
        <w:t>亿股，使基准五年经济股份</w:t>
      </w:r>
      <w:r>
        <w:rPr/>
        <w:t>14.70594</w:t>
      </w:r>
      <w:r>
        <w:rPr/>
        <w:t>亿仍超过现时。资金分派和股份变动一并计价，可防止长期预测只选回购益处忽略薪酬与现金代价。</w:t>
      </w:r>
    </w:p>
    <w:p>
      <w:pPr>
        <w:pStyle w:val="Normal"/>
        <w:rPr/>
      </w:pPr>
      <w:r>
        <w:rPr/>
        <w:t>资本配置还包括投资基金、云股权和业务研发，三者预期回报与风险不同。管理层若把现金持续投向回报差的项目，当前财务厚度会逐步减少；若有纪律终止低效项目，经营和投资收益可改善。报告关注关联交易、项目回报及非现金增值兑现，不能仅因生态同属雷军相关公司就认定所有投资都有协同溢价。</w:t>
      </w:r>
    </w:p>
    <w:p>
      <w:pPr>
        <w:pStyle w:val="Heading2"/>
        <w:rPr/>
      </w:pPr>
      <w:r>
        <w:rPr>
          <w:color w:val="000000"/>
        </w:rPr>
        <w:t xml:space="preserve">十五 </w:t>
      </w:r>
      <w:r>
        <w:rPr>
          <w:color w:val="000000"/>
        </w:rPr>
        <w:t>SOTP</w:t>
      </w:r>
      <w:r>
        <w:rPr>
          <w:color w:val="000000"/>
        </w:rPr>
        <w:t>正常利润假设与估值倍数</w:t>
      </w:r>
    </w:p>
    <w:p>
      <w:pPr>
        <w:pStyle w:val="Normal"/>
        <w:rPr/>
      </w:pPr>
      <w:r>
        <w:rPr/>
        <w:t>年底办公</w:t>
      </w:r>
      <w:r>
        <w:rPr/>
        <w:t>35</w:t>
      </w:r>
      <w:r>
        <w:rPr/>
        <w:t>倍归母正常利润、游戏盈利</w:t>
      </w:r>
      <w:r>
        <w:rPr/>
        <w:t>10</w:t>
      </w:r>
      <w:r>
        <w:rPr/>
        <w:t>倍或亏损两年资金准备、财资</w:t>
      </w:r>
      <w:r>
        <w:rPr/>
        <w:t>12</w:t>
      </w:r>
      <w:r>
        <w:rPr/>
        <w:t>倍，再加非现金投资归属净值，整体控股折价</w:t>
      </w:r>
      <w:r>
        <w:rPr/>
        <w:t>15%</w:t>
      </w:r>
      <w:r>
        <w:rPr/>
        <w:t>。一年办公</w:t>
      </w:r>
      <w:r>
        <w:rPr/>
        <w:t>34</w:t>
      </w:r>
      <w:r>
        <w:rPr/>
        <w:t>倍、游戏</w:t>
      </w:r>
      <w:r>
        <w:rPr/>
        <w:t>11</w:t>
      </w:r>
      <w:r>
        <w:rPr/>
        <w:t>倍，三年</w:t>
      </w:r>
      <w:r>
        <w:rPr/>
        <w:t>31</w:t>
      </w:r>
      <w:r>
        <w:rPr/>
        <w:t>倍、五年</w:t>
      </w:r>
      <w:r>
        <w:rPr/>
        <w:t>28</w:t>
      </w:r>
      <w:r>
        <w:rPr/>
        <w:t>倍，表达规模成长后估值成熟。办公高倍数要求持续付费增长，游戏较低倍数反映生命周期，不能把同一倍数套全部资产。</w:t>
      </w:r>
    </w:p>
    <w:p>
      <w:pPr>
        <w:pStyle w:val="Normal"/>
        <w:rPr/>
      </w:pPr>
      <w:r>
        <w:rPr/>
        <w:t>模型正式财务仅给分部结果，完整研发、销售、行政及股酬分配并未公开，因此经营费用桶是研究估计。读者可以修改办公和游戏费用，检查归母及估值变化。亏损游戏不将负净利乘正</w:t>
      </w:r>
      <w:r>
        <w:rPr/>
        <w:t>PE</w:t>
      </w:r>
      <w:r>
        <w:rPr/>
        <w:t>当巨大负资产，而按维持若干年的资金准备扣减，明确悲观资金消耗。若有终止或清算证据，要另改剩余成本而非机械继续。</w:t>
      </w:r>
    </w:p>
    <w:p>
      <w:pPr>
        <w:pStyle w:val="Normal"/>
        <w:rPr/>
      </w:pPr>
      <w:r>
        <w:rPr/>
        <w:t>一年基准办公正常税前</w:t>
      </w:r>
      <w:r>
        <w:rPr/>
        <w:t>21.96</w:t>
      </w:r>
      <w:r>
        <w:rPr/>
        <w:t>亿元，扣</w:t>
      </w:r>
      <w:r>
        <w:rPr/>
        <w:t>16.5%</w:t>
      </w:r>
      <w:r>
        <w:rPr/>
        <w:t>税及</w:t>
      </w:r>
      <w:r>
        <w:rPr/>
        <w:t>51%</w:t>
      </w:r>
      <w:r>
        <w:rPr/>
        <w:t>归属，归母</w:t>
      </w:r>
      <w:r>
        <w:rPr/>
        <w:t>9.351666</w:t>
      </w:r>
      <w:r>
        <w:rPr/>
        <w:t>亿元；游戏税前</w:t>
      </w:r>
      <w:r>
        <w:rPr/>
        <w:t>2.06</w:t>
      </w:r>
      <w:r>
        <w:rPr/>
        <w:t>亿元，扣</w:t>
      </w:r>
      <w:r>
        <w:rPr/>
        <w:t>20%</w:t>
      </w:r>
      <w:r>
        <w:rPr/>
        <w:t>税及</w:t>
      </w:r>
      <w:r>
        <w:rPr/>
        <w:t>73.5%</w:t>
      </w:r>
      <w:r>
        <w:rPr/>
        <w:t>归属，归母</w:t>
      </w:r>
      <w:r>
        <w:rPr/>
        <w:t>1.21128</w:t>
      </w:r>
      <w:r>
        <w:rPr/>
        <w:t>亿元；财资</w:t>
      </w:r>
      <w:r>
        <w:rPr/>
        <w:t>4.2</w:t>
      </w:r>
      <w:r>
        <w:rPr/>
        <w:t>亿元，合计正常归母</w:t>
      </w:r>
      <w:r>
        <w:rPr/>
        <w:t>14.762946</w:t>
      </w:r>
      <w:r>
        <w:rPr/>
        <w:t>亿元。加权经营净值与正常总利润不同，股权投资净值也不是经常经营分母。</w:t>
      </w:r>
    </w:p>
    <w:p>
      <w:pPr>
        <w:pStyle w:val="Normal"/>
        <w:rPr/>
      </w:pPr>
      <w:r>
        <w:rPr/>
        <w:t>办公价值</w:t>
      </w:r>
      <w:r>
        <w:rPr/>
        <w:t>317.956644</w:t>
      </w:r>
      <w:r>
        <w:rPr/>
        <w:t>亿元、游戏</w:t>
      </w:r>
      <w:r>
        <w:rPr/>
        <w:t>13.32408</w:t>
      </w:r>
      <w:r>
        <w:rPr/>
        <w:t>亿元、财资</w:t>
      </w:r>
      <w:r>
        <w:rPr/>
        <w:t>50.4</w:t>
      </w:r>
      <w:r>
        <w:rPr/>
        <w:t>亿元、金山云</w:t>
      </w:r>
      <w:r>
        <w:rPr/>
        <w:t>70</w:t>
      </w:r>
      <w:r>
        <w:rPr/>
        <w:t>亿元、其他归属可实现</w:t>
      </w:r>
      <w:r>
        <w:rPr/>
        <w:t>16.848</w:t>
      </w:r>
      <w:r>
        <w:rPr/>
        <w:t>亿元，共</w:t>
      </w:r>
      <w:r>
        <w:rPr/>
        <w:t>468.528724</w:t>
      </w:r>
      <w:r>
        <w:rPr/>
        <w:t>亿元。控股折价</w:t>
      </w:r>
      <w:r>
        <w:rPr/>
        <w:t>15%</w:t>
      </w:r>
      <w:r>
        <w:rPr/>
        <w:t>，减回购及股息本金，母权益</w:t>
      </w:r>
      <w:r>
        <w:rPr/>
        <w:t>392.269973</w:t>
      </w:r>
      <w:r>
        <w:rPr/>
        <w:t>亿元，经济股</w:t>
      </w:r>
      <w:r>
        <w:rPr/>
        <w:t>13.849242</w:t>
      </w:r>
      <w:r>
        <w:rPr/>
        <w:t>亿，转换</w:t>
      </w:r>
      <w:r>
        <w:rPr/>
        <w:t>1.10</w:t>
      </w:r>
      <w:r>
        <w:rPr/>
        <w:t>得</w:t>
      </w:r>
      <w:r>
        <w:rPr/>
        <w:t>31.16</w:t>
      </w:r>
      <w:r>
        <w:rPr/>
        <w:t>港元。每步可追溯，不能拿它反推成公司统一</w:t>
      </w:r>
      <w:r>
        <w:rPr/>
        <w:t>PE</w:t>
      </w:r>
      <w:r>
        <w:rPr/>
        <w:t>然后重复加净值。</w:t>
      </w:r>
    </w:p>
    <w:p>
      <w:pPr>
        <w:pStyle w:val="Heading2"/>
        <w:rPr/>
      </w:pPr>
      <w:r>
        <w:rPr>
          <w:color w:val="000000"/>
        </w:rPr>
        <w:t>十六 控股折让与</w:t>
      </w:r>
      <w:r>
        <w:rPr>
          <w:color w:val="000000"/>
        </w:rPr>
        <w:t>A</w:t>
      </w:r>
      <w:r>
        <w:rPr>
          <w:color w:val="000000"/>
        </w:rPr>
        <w:t>股办公价值</w:t>
      </w:r>
    </w:p>
    <w:p>
      <w:pPr>
        <w:pStyle w:val="Normal"/>
        <w:rPr/>
      </w:pPr>
      <w:r>
        <w:rPr/>
        <w:t>港股母公司持</w:t>
      </w:r>
      <w:r>
        <w:rPr/>
        <w:t>A</w:t>
      </w:r>
      <w:r>
        <w:rPr/>
        <w:t>股办公资产，但投资者不能通过持</w:t>
      </w:r>
      <w:r>
        <w:rPr/>
        <w:t>03888</w:t>
      </w:r>
      <w:r>
        <w:rPr/>
        <w:t>直接把对应</w:t>
      </w:r>
      <w:r>
        <w:rPr/>
        <w:t>A</w:t>
      </w:r>
      <w:r>
        <w:rPr/>
        <w:t>股出售。资金分红、持股控制、税和管理决策造成价值实现距离。控股折让有时因业务协同或资本动作缩小，也可能因指数剔除和流动性扩大。模型基准保留</w:t>
      </w:r>
      <w:r>
        <w:rPr/>
        <w:t>15%</w:t>
      </w:r>
      <w:r>
        <w:rPr/>
        <w:t>至</w:t>
      </w:r>
      <w:r>
        <w:rPr/>
        <w:t>14%</w:t>
      </w:r>
      <w:r>
        <w:rPr/>
        <w:t>，不认为业务有</w:t>
      </w:r>
      <w:r>
        <w:rPr/>
        <w:t>AI</w:t>
      </w:r>
      <w:r>
        <w:rPr/>
        <w:t>战略就自动消失。</w:t>
      </w:r>
    </w:p>
    <w:p>
      <w:pPr>
        <w:pStyle w:val="Normal"/>
        <w:rPr/>
      </w:pPr>
      <w:r>
        <w:rPr/>
        <w:t>中金最新公开摘要把综合企业折让从</w:t>
      </w:r>
      <w:r>
        <w:rPr/>
        <w:t>60%</w:t>
      </w:r>
      <w:r>
        <w:rPr/>
        <w:t>降</w:t>
      </w:r>
      <w:r>
        <w:rPr/>
        <w:t>50%</w:t>
      </w:r>
      <w:r>
        <w:rPr/>
        <w:t>并给</w:t>
      </w:r>
      <w:r>
        <w:rPr/>
        <w:t>33</w:t>
      </w:r>
      <w:r>
        <w:rPr/>
        <w:t>港元，那是其独立</w:t>
      </w:r>
      <w:r>
        <w:rPr/>
        <w:t>SOTP</w:t>
      </w:r>
      <w:r>
        <w:rPr/>
        <w:t>及</w:t>
      </w:r>
      <w:r>
        <w:rPr/>
        <w:t>A</w:t>
      </w:r>
      <w:r>
        <w:rPr/>
        <w:t>股估值体系，不能直接把其折价数字换到本模型。本模型办公用正常归母盈利倍数、现金用收益资本化，资产基数已不同。比较要先核资产值、利润和归属，再看折扣，不能因折价数字较小就判本报告更乐观。</w:t>
      </w:r>
    </w:p>
    <w:p>
      <w:pPr>
        <w:pStyle w:val="Normal"/>
        <w:rPr/>
      </w:pPr>
      <w:r>
        <w:rPr/>
        <w:t>若办公</w:t>
      </w:r>
      <w:r>
        <w:rPr/>
        <w:t>A</w:t>
      </w:r>
      <w:r>
        <w:rPr/>
        <w:t>股涨价由高风险偏好驱动，而正常利润没有改善，母公司价值兑现未必同幅。相反，母公司市场折价可能在回购、业务稳定和分红后缩小。研究不以未锁定</w:t>
      </w:r>
      <w:r>
        <w:rPr/>
        <w:t>A</w:t>
      </w:r>
      <w:r>
        <w:rPr/>
        <w:t>股报价替代经营模型，交叉讨论只指出两地定价差异。正常利润、控股权利和现金归属更适于跨期限一致估值。</w:t>
      </w:r>
    </w:p>
    <w:p>
      <w:pPr>
        <w:pStyle w:val="Normal"/>
        <w:rPr/>
      </w:pPr>
      <w:r>
        <w:rPr/>
        <w:t>折价乘资产总和后再扣未来资本派发，能让派发成本完整反映在母公司权益。若股价低于内在值，回购减少股份可能仍提高每股价值，但不是零成本提升。基金及云净值只有按归属和实现折扣之后进入总和，避免整体控股折价成为掩盖每项身份不清的唯一修正。</w:t>
      </w:r>
    </w:p>
    <w:p>
      <w:pPr>
        <w:pStyle w:val="Heading2"/>
        <w:rPr/>
      </w:pPr>
      <w:r>
        <w:rPr>
          <w:color w:val="000000"/>
        </w:rPr>
        <w:t>十七 年底情景与期望值</w:t>
      </w:r>
    </w:p>
    <w:p>
      <w:pPr>
        <w:pStyle w:val="Normal"/>
        <w:rPr/>
      </w:pPr>
      <w:r>
        <w:rPr/>
        <w:t>年底基准</w:t>
      </w:r>
      <w:r>
        <w:rPr/>
        <w:t>26.77</w:t>
      </w:r>
      <w:r>
        <w:rPr/>
        <w:t>港元，价涨</w:t>
      </w:r>
      <w:r>
        <w:rPr/>
        <w:t>4.49%</w:t>
      </w:r>
      <w:r>
        <w:rPr/>
        <w:t>，要求办公继续约现时增速、游戏接近盈亏平衡及投资权益维持。年底之前可能没有完整年度财报，市场依据季度和经营更新估正常年率，不能称已知道全年利润。目标不是把一年</w:t>
      </w:r>
      <w:r>
        <w:rPr/>
        <w:t>31.16</w:t>
      </w:r>
      <w:r>
        <w:rPr/>
        <w:t>按剩余月份线性缩回，更没有直接借用机构一年价。</w:t>
      </w:r>
    </w:p>
    <w:p>
      <w:pPr>
        <w:pStyle w:val="Normal"/>
        <w:rPr/>
      </w:pPr>
      <w:r>
        <w:rPr/>
        <w:t>年底悲观</w:t>
      </w:r>
      <w:r>
        <w:rPr/>
        <w:t>8.69</w:t>
      </w:r>
      <w:r>
        <w:rPr/>
        <w:t>港元，价跌</w:t>
      </w:r>
      <w:r>
        <w:rPr/>
        <w:t>66.08%</w:t>
      </w:r>
      <w:r>
        <w:rPr/>
        <w:t>，来自办公收入</w:t>
      </w:r>
      <w:r>
        <w:rPr/>
        <w:t>66</w:t>
      </w:r>
      <w:r>
        <w:rPr/>
        <w:t>亿元年率、毛利</w:t>
      </w:r>
      <w:r>
        <w:rPr/>
        <w:t>77%</w:t>
      </w:r>
      <w:r>
        <w:rPr/>
        <w:t>、费用及</w:t>
      </w:r>
      <w:r>
        <w:rPr/>
        <w:t>22%</w:t>
      </w:r>
      <w:r>
        <w:rPr/>
        <w:t>税、游戏亏损、投资净值下降和</w:t>
      </w:r>
      <w:r>
        <w:rPr/>
        <w:t>25%</w:t>
      </w:r>
      <w:r>
        <w:rPr/>
        <w:t>控股折价。多个条件共振才有该值，不能说这是预计普通波动下限。现金支持资金调整但不能保证资产和盈利估值不会下修，三情景不覆盖所有流动性及业务极端事件。</w:t>
      </w:r>
    </w:p>
    <w:p>
      <w:pPr>
        <w:pStyle w:val="Normal"/>
        <w:rPr/>
      </w:pPr>
      <w:r>
        <w:rPr/>
        <w:t>年底乐观</w:t>
      </w:r>
      <w:r>
        <w:rPr/>
        <w:t>48.51</w:t>
      </w:r>
      <w:r>
        <w:rPr/>
        <w:t>港元，涨</w:t>
      </w:r>
      <w:r>
        <w:rPr/>
        <w:t>89.34%</w:t>
      </w:r>
      <w:r>
        <w:rPr/>
        <w:t>，要求办公</w:t>
      </w:r>
      <w:r>
        <w:rPr/>
        <w:t>76</w:t>
      </w:r>
      <w:r>
        <w:rPr/>
        <w:t>亿元年率和较高毛利、游戏恢复、云和</w:t>
      </w:r>
      <w:r>
        <w:rPr/>
        <w:t>AI</w:t>
      </w:r>
      <w:r>
        <w:rPr/>
        <w:t>净值强势、控股折价收窄。对只剩数月的时长，这要求经营与风险偏好同时改善，资料可信度低于实际财务。高目标展示条件上限，不应当默认买入后必达，也不应依赖基金估值上涨替代业务现金。</w:t>
      </w:r>
    </w:p>
    <w:p>
      <w:pPr>
        <w:pStyle w:val="Normal"/>
        <w:rPr/>
      </w:pPr>
      <w:r>
        <w:rPr/>
        <w:t>25/50/25</w:t>
      </w:r>
      <w:r>
        <w:rPr/>
        <w:t>权重得到期望</w:t>
      </w:r>
      <w:r>
        <w:rPr/>
        <w:t>27.685</w:t>
      </w:r>
      <w:r>
        <w:rPr/>
        <w:t>港元、</w:t>
      </w:r>
      <w:r>
        <w:rPr/>
        <w:t>8.06%</w:t>
      </w:r>
      <w:r>
        <w:rPr/>
        <w:t>，高于基准因为右尾较大；防御权重期望</w:t>
      </w:r>
      <w:r>
        <w:rPr/>
        <w:t>21.712</w:t>
      </w:r>
      <w:r>
        <w:rPr/>
        <w:t>、负</w:t>
      </w:r>
      <w:r>
        <w:rPr/>
        <w:t>15.25%</w:t>
      </w:r>
      <w:r>
        <w:rPr/>
        <w:t>，积极</w:t>
      </w:r>
      <w:r>
        <w:rPr/>
        <w:t>33.658</w:t>
      </w:r>
      <w:r>
        <w:rPr/>
        <w:t>、</w:t>
      </w:r>
      <w:r>
        <w:rPr/>
        <w:t>31.37%</w:t>
      </w:r>
      <w:r>
        <w:rPr/>
        <w:t>。选择权重属于研究判断，不是统计概率。两个敏感性结果说明推荐排序不能只看正期望，要同时看基准收益和悲观损失，尤其短期尚存在游戏恢复不确定性。</w:t>
      </w:r>
    </w:p>
    <w:p>
      <w:pPr>
        <w:pStyle w:val="Heading2"/>
        <w:rPr/>
      </w:pPr>
      <w:r>
        <w:rPr>
          <w:color w:val="000000"/>
        </w:rPr>
        <w:t>十八 日线 均线与真实成交</w:t>
      </w:r>
    </w:p>
    <w:p>
      <w:pPr>
        <w:pStyle w:val="Normal"/>
        <w:rPr/>
      </w:pPr>
      <w:r>
        <w:rPr/>
        <w:t>日线</w:t>
      </w:r>
      <w:r>
        <w:rPr/>
        <w:t>739</w:t>
      </w:r>
      <w:r>
        <w:rPr/>
        <w:t>根、周线</w:t>
      </w:r>
      <w:r>
        <w:rPr/>
        <w:t>157</w:t>
      </w:r>
      <w:r>
        <w:rPr/>
        <w:t>根，供应商历史</w:t>
      </w:r>
      <w:r>
        <w:rPr/>
        <w:t>OHLC</w:t>
      </w:r>
      <w:r>
        <w:rPr/>
        <w:t>无需修复，价格按基准名义价归一复权。两来源行情核对一致，成交量按股。</w:t>
      </w:r>
      <w:r>
        <w:rPr/>
        <w:t>10</w:t>
      </w:r>
      <w:r>
        <w:rPr/>
        <w:t>月</w:t>
      </w:r>
      <w:r>
        <w:rPr/>
        <w:t>9</w:t>
      </w:r>
      <w:r>
        <w:rPr/>
        <w:t>日开</w:t>
      </w:r>
      <w:r>
        <w:rPr/>
        <w:t>24.74</w:t>
      </w:r>
      <w:r>
        <w:rPr/>
        <w:t>、低</w:t>
      </w:r>
      <w:r>
        <w:rPr/>
        <w:t>24.46</w:t>
      </w:r>
      <w:r>
        <w:rPr/>
        <w:t>、高</w:t>
      </w:r>
      <w:r>
        <w:rPr/>
        <w:t>25.68</w:t>
      </w:r>
      <w:r>
        <w:rPr/>
        <w:t>、收</w:t>
      </w:r>
      <w:r>
        <w:rPr/>
        <w:t>25.62</w:t>
      </w:r>
      <w:r>
        <w:rPr/>
        <w:t>港元，涨</w:t>
      </w:r>
      <w:r>
        <w:rPr/>
        <w:t>4.23%</w:t>
      </w:r>
      <w:r>
        <w:rPr/>
        <w:t>，成交</w:t>
      </w:r>
      <w:r>
        <w:rPr/>
        <w:t>6976091</w:t>
      </w:r>
      <w:r>
        <w:rPr/>
        <w:t>股，成交额</w:t>
      </w:r>
      <w:r>
        <w:rPr/>
        <w:t>1.762600034</w:t>
      </w:r>
      <w:r>
        <w:rPr/>
        <w:t>亿港元来源独立报价，不用收盘乘量冒充精确金额。</w:t>
      </w:r>
    </w:p>
    <w:p>
      <w:pPr>
        <w:pStyle w:val="Normal"/>
        <w:rPr/>
      </w:pPr>
      <w:r>
        <w:rPr/>
        <w:t>日</w:t>
      </w:r>
      <w:r>
        <w:rPr/>
        <w:t>20/60/120/250</w:t>
      </w:r>
      <w:r>
        <w:rPr/>
        <w:t>均线</w:t>
      </w:r>
      <w:r>
        <w:rPr/>
        <w:t>24.771</w:t>
      </w:r>
      <w:r>
        <w:rPr/>
        <w:t>、</w:t>
      </w:r>
      <w:r>
        <w:rPr/>
        <w:t>25.280333</w:t>
      </w:r>
      <w:r>
        <w:rPr/>
        <w:t>、</w:t>
      </w:r>
      <w:r>
        <w:rPr/>
        <w:t>24.160817</w:t>
      </w:r>
      <w:r>
        <w:rPr/>
        <w:t>、</w:t>
      </w:r>
      <w:r>
        <w:rPr/>
        <w:t>26.419096</w:t>
      </w:r>
      <w:r>
        <w:rPr/>
        <w:t>，当前高前三分别</w:t>
      </w:r>
      <w:r>
        <w:rPr/>
        <w:t>3.43%</w:t>
      </w:r>
      <w:r>
        <w:rPr/>
        <w:t>、</w:t>
      </w:r>
      <w:r>
        <w:rPr/>
        <w:t>1.34%</w:t>
      </w:r>
      <w:r>
        <w:rPr/>
        <w:t>、</w:t>
      </w:r>
      <w:r>
        <w:rPr/>
        <w:t>6.04%</w:t>
      </w:r>
      <w:r>
        <w:rPr/>
        <w:t>，低年线</w:t>
      </w:r>
      <w:r>
        <w:rPr/>
        <w:t>3.02%</w:t>
      </w:r>
      <w:r>
        <w:rPr/>
        <w:t>。前三五日斜率为正，约</w:t>
      </w:r>
      <w:r>
        <w:rPr/>
        <w:t>0.30%</w:t>
      </w:r>
      <w:r>
        <w:rPr/>
        <w:t>、</w:t>
      </w:r>
      <w:r>
        <w:rPr/>
        <w:t>0.33%</w:t>
      </w:r>
      <w:r>
        <w:rPr/>
        <w:t>、</w:t>
      </w:r>
      <w:r>
        <w:rPr/>
        <w:t>0.25%</w:t>
      </w:r>
      <w:r>
        <w:rPr/>
        <w:t>，</w:t>
      </w:r>
      <w:r>
        <w:rPr/>
        <w:t>250</w:t>
      </w:r>
      <w:r>
        <w:rPr/>
        <w:t>日仍−</w:t>
      </w:r>
      <w:r>
        <w:rPr/>
        <w:t>0.70%</w:t>
      </w:r>
      <w:r>
        <w:rPr/>
        <w:t>。中短期修复已经比心动更有一致性，但全年下降尚未完全逆转，因此技术给</w:t>
      </w:r>
      <w:r>
        <w:rPr/>
        <w:t>3.3</w:t>
      </w:r>
      <w:r>
        <w:rPr/>
        <w:t>而不是最高档。</w:t>
      </w:r>
    </w:p>
    <w:p>
      <w:pPr>
        <w:pStyle w:val="Normal"/>
        <w:rPr/>
      </w:pPr>
      <w:r>
        <w:rPr/>
        <w:t>最近</w:t>
      </w:r>
      <w:r>
        <w:rPr/>
        <w:t>20</w:t>
      </w:r>
      <w:r>
        <w:rPr/>
        <w:t>日低</w:t>
      </w:r>
      <w:r>
        <w:rPr/>
        <w:t>23.82</w:t>
      </w:r>
      <w:r>
        <w:rPr/>
        <w:t>、高</w:t>
      </w:r>
      <w:r>
        <w:rPr/>
        <w:t>25.68</w:t>
      </w:r>
      <w:r>
        <w:rPr/>
        <w:t>，距价−</w:t>
      </w:r>
      <w:r>
        <w:rPr/>
        <w:t>7.03%</w:t>
      </w:r>
      <w:r>
        <w:rPr/>
        <w:t>、</w:t>
      </w:r>
      <w:r>
        <w:rPr/>
        <w:t>+0.23%</w:t>
      </w:r>
      <w:r>
        <w:rPr/>
        <w:t>；</w:t>
      </w:r>
      <w:r>
        <w:rPr/>
        <w:t>60</w:t>
      </w:r>
      <w:r>
        <w:rPr/>
        <w:t>日低</w:t>
      </w:r>
      <w:r>
        <w:rPr/>
        <w:t>23.18</w:t>
      </w:r>
      <w:r>
        <w:rPr/>
        <w:t>、高</w:t>
      </w:r>
      <w:r>
        <w:rPr/>
        <w:t>29.26</w:t>
      </w:r>
      <w:r>
        <w:rPr/>
        <w:t>，距价−</w:t>
      </w:r>
      <w:r>
        <w:rPr/>
        <w:t>9.52%</w:t>
      </w:r>
      <w:r>
        <w:rPr/>
        <w:t>、</w:t>
      </w:r>
      <w:r>
        <w:rPr/>
        <w:t>+14.21%</w:t>
      </w:r>
      <w:r>
        <w:rPr/>
        <w:t>。当日收盘接近区间高位，下一步要看能否持续突破、回踩是否保留。区间极值尚未经触碰次数筛选，只当观察位，不能声称</w:t>
      </w:r>
      <w:r>
        <w:rPr/>
        <w:t>25.68</w:t>
      </w:r>
      <w:r>
        <w:rPr/>
        <w:t>是精确主力成本或</w:t>
      </w:r>
      <w:r>
        <w:rPr/>
        <w:t>29.26</w:t>
      </w:r>
      <w:r>
        <w:rPr/>
        <w:t>必然卖压。</w:t>
      </w:r>
    </w:p>
    <w:p>
      <w:pPr>
        <w:pStyle w:val="Normal"/>
        <w:rPr/>
      </w:pPr>
      <w:r>
        <w:rPr/>
        <w:t>52</w:t>
      </w:r>
      <w:r>
        <w:rPr/>
        <w:t>周复权高</w:t>
      </w:r>
      <w:r>
        <w:rPr/>
        <w:t>37.965535</w:t>
      </w:r>
      <w:r>
        <w:rPr/>
        <w:t>、低</w:t>
      </w:r>
      <w:r>
        <w:rPr/>
        <w:t>20.374174</w:t>
      </w:r>
      <w:r>
        <w:rPr/>
        <w:t>，距高−</w:t>
      </w:r>
      <w:r>
        <w:rPr/>
        <w:t>32.52%</w:t>
      </w:r>
      <w:r>
        <w:rPr/>
        <w:t>、距低</w:t>
      </w:r>
      <w:r>
        <w:rPr/>
        <w:t>+25.75%</w:t>
      </w:r>
      <w:r>
        <w:rPr/>
        <w:t>，近期修复仍在旧高下。名义历史高</w:t>
      </w:r>
      <w:r>
        <w:rPr/>
        <w:t>38.2</w:t>
      </w:r>
      <w:r>
        <w:rPr/>
        <w:t>与复权高差异来自分红处理，应保持图形计算同口径。历史低点不是估值地板，投资</w:t>
      </w:r>
      <w:r>
        <w:rPr/>
        <w:t>NAV</w:t>
      </w:r>
      <w:r>
        <w:rPr/>
        <w:t>和利润变化可以使支撑失效。</w:t>
      </w:r>
      <w:r>
        <w:rPr/>
        <w:t>ATR0.77639</w:t>
      </w:r>
      <w:r>
        <w:rPr/>
        <w:t>港元、</w:t>
      </w:r>
      <w:r>
        <w:rPr/>
        <w:t>3.03%</w:t>
      </w:r>
      <w:r>
        <w:rPr/>
        <w:t>，普通日波动已超过短线距突破空间。</w:t>
      </w:r>
    </w:p>
    <w:p>
      <w:pPr>
        <w:pStyle w:val="Heading2"/>
        <w:rPr/>
      </w:pPr>
      <w:r>
        <w:rPr>
          <w:color w:val="000000"/>
        </w:rPr>
        <w:t>十九 量能 周线和相对表现</w:t>
      </w:r>
    </w:p>
    <w:p>
      <w:pPr>
        <w:pStyle w:val="Normal"/>
        <w:rPr/>
      </w:pPr>
      <w:r>
        <w:rPr/>
        <w:t>当日量较此前</w:t>
      </w:r>
      <w:r>
        <w:rPr/>
        <w:t>20</w:t>
      </w:r>
      <w:r>
        <w:rPr/>
        <w:t>日均</w:t>
      </w:r>
      <w:r>
        <w:rPr/>
        <w:t>5772746</w:t>
      </w:r>
      <w:r>
        <w:rPr/>
        <w:t>股为</w:t>
      </w:r>
      <w:r>
        <w:rPr/>
        <w:t>1.208453</w:t>
      </w:r>
      <w:r>
        <w:rPr/>
        <w:t>倍，</w:t>
      </w:r>
      <w:r>
        <w:rPr/>
        <w:t>5/20/60</w:t>
      </w:r>
      <w:r>
        <w:rPr/>
        <w:t>均量约</w:t>
      </w:r>
      <w:r>
        <w:rPr/>
        <w:t>3462760</w:t>
      </w:r>
      <w:r>
        <w:rPr/>
        <w:t>、</w:t>
      </w:r>
      <w:r>
        <w:rPr/>
        <w:t>5765011</w:t>
      </w:r>
      <w:r>
        <w:rPr/>
        <w:t>、</w:t>
      </w:r>
      <w:r>
        <w:rPr/>
        <w:t>9123460</w:t>
      </w:r>
      <w:r>
        <w:rPr/>
        <w:t>股。它有温和量增，仍低于</w:t>
      </w:r>
      <w:r>
        <w:rPr/>
        <w:t>60</w:t>
      </w:r>
      <w:r>
        <w:rPr/>
        <w:t>日均，不能称空前资金进入。假期影响</w:t>
      </w:r>
      <w:r>
        <w:rPr/>
        <w:t>5</w:t>
      </w:r>
      <w:r>
        <w:rPr/>
        <w:t>日及周量比较，须在正常交易周确认。最近</w:t>
      </w:r>
      <w:r>
        <w:rPr/>
        <w:t>20</w:t>
      </w:r>
      <w:r>
        <w:rPr/>
        <w:t>日涨</w:t>
      </w:r>
      <w:r>
        <w:rPr/>
        <w:t>9</w:t>
      </w:r>
      <w:r>
        <w:rPr/>
        <w:t>跌</w:t>
      </w:r>
      <w:r>
        <w:rPr/>
        <w:t>11</w:t>
      </w:r>
      <w:r>
        <w:rPr/>
        <w:t>，上涨量</w:t>
      </w:r>
      <w:r>
        <w:rPr/>
        <w:t>64585196</w:t>
      </w:r>
      <w:r>
        <w:rPr/>
        <w:t>、下跌</w:t>
      </w:r>
      <w:r>
        <w:rPr/>
        <w:t>50715021</w:t>
      </w:r>
      <w:r>
        <w:rPr/>
        <w:t>股，比</w:t>
      </w:r>
      <w:r>
        <w:rPr/>
        <w:t>1.273492</w:t>
      </w:r>
      <w:r>
        <w:rPr/>
        <w:t>，短期量价偏改善。</w:t>
      </w:r>
    </w:p>
    <w:p>
      <w:pPr>
        <w:pStyle w:val="Normal"/>
        <w:rPr/>
      </w:pPr>
      <w:r>
        <w:rPr/>
        <w:t>周</w:t>
      </w:r>
      <w:r>
        <w:rPr/>
        <w:t>20</w:t>
      </w:r>
      <w:r>
        <w:rPr/>
        <w:t>均</w:t>
      </w:r>
      <w:r>
        <w:rPr/>
        <w:t>24.2935</w:t>
      </w:r>
      <w:r>
        <w:rPr/>
        <w:t>，现价上方</w:t>
      </w:r>
      <w:r>
        <w:rPr/>
        <w:t>5.46%</w:t>
      </w:r>
      <w:r>
        <w:rPr/>
        <w:t>，斜率约</w:t>
      </w:r>
      <w:r>
        <w:rPr/>
        <w:t>1.69%</w:t>
      </w:r>
      <w:r>
        <w:rPr/>
        <w:t>；周</w:t>
      </w:r>
      <w:r>
        <w:rPr/>
        <w:t>60</w:t>
      </w:r>
      <w:r>
        <w:rPr/>
        <w:t>均</w:t>
      </w:r>
      <w:r>
        <w:rPr/>
        <w:t>27.090539</w:t>
      </w:r>
      <w:r>
        <w:rPr/>
        <w:t>、</w:t>
      </w:r>
      <w:r>
        <w:rPr/>
        <w:t>120</w:t>
      </w:r>
      <w:r>
        <w:rPr/>
        <w:t>均</w:t>
      </w:r>
      <w:r>
        <w:rPr/>
        <w:t>29.607436</w:t>
      </w:r>
      <w:r>
        <w:rPr/>
        <w:t>，当前仍低</w:t>
      </w:r>
      <w:r>
        <w:rPr/>
        <w:t>5.43%</w:t>
      </w:r>
      <w:r>
        <w:rPr/>
        <w:t>、</w:t>
      </w:r>
      <w:r>
        <w:rPr/>
        <w:t>13.47%</w:t>
      </w:r>
      <w:r>
        <w:rPr/>
        <w:t>，两条长期周线未明显改善。</w:t>
      </w:r>
      <w:r>
        <w:rPr/>
        <w:t>157</w:t>
      </w:r>
      <w:r>
        <w:rPr/>
        <w:t>周历史不提供</w:t>
      </w:r>
      <w:r>
        <w:rPr/>
        <w:t>250</w:t>
      </w:r>
      <w:r>
        <w:rPr/>
        <w:t>周均线。短周上涨和长期周线偏弱说明修复仍分阶段，不能把日线阳线写成已经走出全面多年趋势。</w:t>
      </w:r>
    </w:p>
    <w:p>
      <w:pPr>
        <w:pStyle w:val="Normal"/>
        <w:rPr/>
      </w:pPr>
      <w:r>
        <w:rPr/>
        <w:t>20</w:t>
      </w:r>
      <w:r>
        <w:rPr/>
        <w:t>周上涨量</w:t>
      </w:r>
      <w:r>
        <w:rPr/>
        <w:t>843465666</w:t>
      </w:r>
      <w:r>
        <w:rPr/>
        <w:t>、下跌</w:t>
      </w:r>
      <w:r>
        <w:rPr/>
        <w:t>490149206</w:t>
      </w:r>
      <w:r>
        <w:rPr/>
        <w:t>股，比</w:t>
      </w:r>
      <w:r>
        <w:rPr/>
        <w:t>1.720835</w:t>
      </w:r>
      <w:r>
        <w:rPr/>
        <w:t>，较日量统计更强；本周量比</w:t>
      </w:r>
      <w:r>
        <w:rPr/>
        <w:t>0.250425</w:t>
      </w:r>
      <w:r>
        <w:rPr/>
        <w:t>却受休市和交易日较少影响，不能据此否定所有修复。量能统计无法识别机构与个人持仓，没有逐笔和完整换手资料，不绘声称精确筹码峰。价格行为与真实资金身份需保持边界。</w:t>
      </w:r>
    </w:p>
    <w:p>
      <w:pPr>
        <w:pStyle w:val="Normal"/>
        <w:rPr/>
      </w:pPr>
      <w:r>
        <w:rPr/>
        <w:t>20/60</w:t>
      </w:r>
      <w:r>
        <w:rPr/>
        <w:t>日回报</w:t>
      </w:r>
      <w:r>
        <w:rPr/>
        <w:t>5.87%</w:t>
      </w:r>
      <w:r>
        <w:rPr/>
        <w:t>、</w:t>
      </w:r>
      <w:r>
        <w:rPr/>
        <w:t>3.81%</w:t>
      </w:r>
      <w:r>
        <w:rPr/>
        <w:t>，相对恒生指数好</w:t>
      </w:r>
      <w:r>
        <w:rPr/>
        <w:t>8.85</w:t>
      </w:r>
      <w:r>
        <w:rPr/>
        <w:t>、</w:t>
      </w:r>
      <w:r>
        <w:rPr/>
        <w:t>7.00</w:t>
      </w:r>
      <w:r>
        <w:rPr/>
        <w:t>个百分点；相对恒生科技好</w:t>
      </w:r>
      <w:r>
        <w:rPr/>
        <w:t>8.93</w:t>
      </w:r>
      <w:r>
        <w:rPr/>
        <w:t>、</w:t>
      </w:r>
      <w:r>
        <w:rPr/>
        <w:t>16.98</w:t>
      </w:r>
      <w:r>
        <w:rPr/>
        <w:t>个百分点。基准为粗科技指标，金山已受指数调整影响，不是专属软件或游戏行业。相对强弱改善对半年有帮助，三年仍主要取经营，不能因指数更弱就把绝对涨幅夸大。</w:t>
      </w:r>
    </w:p>
    <w:p>
      <w:pPr>
        <w:pStyle w:val="Heading2"/>
        <w:rPr/>
      </w:pPr>
      <w:r>
        <w:rPr>
          <w:color w:val="000000"/>
        </w:rPr>
        <w:t>二十 技术辅助与半年条件</w:t>
      </w:r>
    </w:p>
    <w:p>
      <w:pPr>
        <w:pStyle w:val="Normal"/>
        <w:rPr/>
      </w:pPr>
      <w:r>
        <w:rPr/>
        <w:t>RSI14</w:t>
      </w:r>
      <w:r>
        <w:rPr/>
        <w:t>约</w:t>
      </w:r>
      <w:r>
        <w:rPr/>
        <w:t>58.20</w:t>
      </w:r>
      <w:r>
        <w:rPr/>
        <w:t>，偏改善但不极端；</w:t>
      </w:r>
      <w:r>
        <w:rPr/>
        <w:t>MACD DIF0.042352</w:t>
      </w:r>
      <w:r>
        <w:rPr/>
        <w:t>、</w:t>
      </w:r>
      <w:r>
        <w:rPr/>
        <w:t>DEA−0.034814</w:t>
      </w:r>
      <w:r>
        <w:rPr/>
        <w:t>，二倍差柱</w:t>
      </w:r>
      <w:r>
        <w:rPr/>
        <w:t>0.154331</w:t>
      </w:r>
      <w:r>
        <w:rPr/>
        <w:t>，短动能转好且接近零轴。这些与短均线一致，属于相近反弹证据，评分不会重复加分。周</w:t>
      </w:r>
      <w:r>
        <w:rPr/>
        <w:t>RSI52.35</w:t>
      </w:r>
      <w:r>
        <w:rPr/>
        <w:t>，周</w:t>
      </w:r>
      <w:r>
        <w:rPr/>
        <w:t>DIF</w:t>
      </w:r>
      <w:r>
        <w:rPr/>
        <w:t>仍略负，也说明长期动能需要更多价格和经营信息累积。</w:t>
      </w:r>
    </w:p>
    <w:p>
      <w:pPr>
        <w:pStyle w:val="Normal"/>
        <w:rPr/>
      </w:pPr>
      <w:r>
        <w:rPr/>
        <w:t>观察</w:t>
      </w:r>
      <w:r>
        <w:rPr/>
        <w:t>25.68</w:t>
      </w:r>
      <w:r>
        <w:rPr/>
        <w:t>区间高及</w:t>
      </w:r>
      <w:r>
        <w:rPr/>
        <w:t>26.419</w:t>
      </w:r>
      <w:r>
        <w:rPr/>
        <w:t>年线，突破后若正常量增、短均线保持正斜率并回踩不破，半年技术可改善；如果迅速跌回</w:t>
      </w:r>
      <w:r>
        <w:rPr/>
        <w:t>23.82</w:t>
      </w:r>
      <w:r>
        <w:rPr/>
        <w:t>下并不能收复，当前修复解释失效。持续收于</w:t>
      </w:r>
      <w:r>
        <w:rPr/>
        <w:t>23.18</w:t>
      </w:r>
      <w:r>
        <w:rPr/>
        <w:t>下还会损伤</w:t>
      </w:r>
      <w:r>
        <w:rPr/>
        <w:t>60</w:t>
      </w:r>
      <w:r>
        <w:rPr/>
        <w:t>日区间。条件是未来检验，不能预先宣称突破已完成或给保证成交价。</w:t>
      </w:r>
    </w:p>
    <w:p>
      <w:pPr>
        <w:pStyle w:val="Normal"/>
        <w:rPr/>
      </w:pPr>
      <w:r>
        <w:rPr/>
        <w:t>半年基准</w:t>
      </w:r>
      <w:r>
        <w:rPr/>
        <w:t>28.19</w:t>
      </w:r>
      <w:r>
        <w:rPr/>
        <w:t>港元，股价回报</w:t>
      </w:r>
      <w:r>
        <w:rPr/>
        <w:t>10.03%</w:t>
      </w:r>
      <w:r>
        <w:rPr/>
        <w:t>，目标高于年线并接近</w:t>
      </w:r>
      <w:r>
        <w:rPr/>
        <w:t>60</w:t>
      </w:r>
      <w:r>
        <w:rPr/>
        <w:t>日高</w:t>
      </w:r>
      <w:r>
        <w:rPr/>
        <w:t>29.26</w:t>
      </w:r>
      <w:r>
        <w:rPr/>
        <w:t>。实际触达可以由风险偏好或经营改善推动，但估值成立需要正常办公和游戏回报。若只是基金消息短涨、后续利润不达，价格容易反复。半年收益空间相对悲观损失并不特别优，因此不会靠图形改善强行推到最高推荐。</w:t>
      </w:r>
    </w:p>
    <w:p>
      <w:pPr>
        <w:pStyle w:val="Normal"/>
        <w:rPr/>
      </w:pPr>
      <w:r>
        <w:rPr/>
        <w:t>任何技术损失限制都不能保证执行，业绩和投资减值可能使开盘跳过观察价。模型悲观来自经济驱动而不被</w:t>
      </w:r>
      <w:r>
        <w:rPr/>
        <w:t>23.18</w:t>
      </w:r>
      <w:r>
        <w:rPr/>
        <w:t>支撑机械截断。成交量并无精确谁在买卖，波动也不等于利益受损。半年仍应跟踪季度税、股酬和收入变化，让短线信号与企业信息互相检验。</w:t>
      </w:r>
    </w:p>
    <w:p>
      <w:pPr>
        <w:pStyle w:val="Heading2"/>
        <w:rPr/>
      </w:pPr>
      <w:r>
        <w:rPr>
          <w:color w:val="000000"/>
        </w:rPr>
        <w:t>二十一 一年催化与失败路径</w:t>
      </w:r>
    </w:p>
    <w:p>
      <w:pPr>
        <w:pStyle w:val="Normal"/>
        <w:rPr/>
      </w:pPr>
      <w:r>
        <w:rPr/>
        <w:t>一年办公</w:t>
      </w:r>
      <w:r>
        <w:rPr/>
        <w:t>85</w:t>
      </w:r>
      <w:r>
        <w:rPr/>
        <w:t>亿元、游戏</w:t>
      </w:r>
      <w:r>
        <w:rPr/>
        <w:t>38</w:t>
      </w:r>
      <w:r>
        <w:rPr/>
        <w:t>亿元正常年率，核心利润与资本动作共同给</w:t>
      </w:r>
      <w:r>
        <w:rPr/>
        <w:t>31.16</w:t>
      </w:r>
      <w:r>
        <w:rPr/>
        <w:t>港元，含</w:t>
      </w:r>
      <w:r>
        <w:rPr/>
        <w:t>0.15</w:t>
      </w:r>
      <w:r>
        <w:rPr/>
        <w:t>研究股息总回报</w:t>
      </w:r>
      <w:r>
        <w:rPr/>
        <w:t>22.21%</w:t>
      </w:r>
      <w:r>
        <w:rPr/>
        <w:t>。有时间观察</w:t>
      </w:r>
      <w:r>
        <w:rPr/>
        <w:t>2026</w:t>
      </w:r>
      <w:r>
        <w:rPr/>
        <w:t>全年正常费用、</w:t>
      </w:r>
      <w:r>
        <w:rPr/>
        <w:t>2027</w:t>
      </w:r>
      <w:r>
        <w:rPr/>
        <w:t>游戏维护及</w:t>
      </w:r>
      <w:r>
        <w:rPr/>
        <w:t>AI</w:t>
      </w:r>
      <w:r>
        <w:rPr/>
        <w:t>收费模式。盈利和股数需同步更新，不能只因旧游戏下一年恢复就保持办公高增、低成本和高投资净值全部不变。</w:t>
      </w:r>
    </w:p>
    <w:p>
      <w:pPr>
        <w:pStyle w:val="Normal"/>
        <w:rPr/>
      </w:pPr>
      <w:r>
        <w:rPr/>
        <w:t>一年催化包括付费个人续费、</w:t>
      </w:r>
      <w:r>
        <w:rPr/>
        <w:t>WPS365</w:t>
      </w:r>
      <w:r>
        <w:rPr/>
        <w:t>实际新增合同、使用收费转换、经典游戏升级及新品运营。基金及云股权价格也会影响资本市场，但账面重估需要退出及分红才成可用资金。若收入增长显著但算力、现场工程师与营销成本同步增，利润恢复弱，应该降低分部净利和估值，而不是只在风险段提一句。</w:t>
      </w:r>
    </w:p>
    <w:p>
      <w:pPr>
        <w:pStyle w:val="Normal"/>
        <w:rPr/>
      </w:pPr>
      <w:r>
        <w:rPr/>
        <w:t>一年悲观</w:t>
      </w:r>
      <w:r>
        <w:rPr/>
        <w:t>4.66</w:t>
      </w:r>
      <w:r>
        <w:rPr/>
        <w:t>港元是办公增长弱、费用高、游戏持续亏损及</w:t>
      </w:r>
      <w:r>
        <w:rPr/>
        <w:t>NAV</w:t>
      </w:r>
      <w:r>
        <w:rPr/>
        <w:t>压缩的组合；乐观</w:t>
      </w:r>
      <w:r>
        <w:rPr/>
        <w:t>73</w:t>
      </w:r>
      <w:r>
        <w:rPr/>
        <w:t>港元是办公增长更快、毛利</w:t>
      </w:r>
      <w:r>
        <w:rPr/>
        <w:t>85%</w:t>
      </w:r>
      <w:r>
        <w:rPr/>
        <w:t>、游戏新增成功、投资价值改善及较高倍数的组合。区间宽来自控股资产及产品不确定性，不表示股价将在任何情况下被这两个数限制。重要的是公开经营和权益假设，而非小数位精确程度。</w:t>
      </w:r>
    </w:p>
    <w:p>
      <w:pPr>
        <w:pStyle w:val="Normal"/>
        <w:rPr/>
      </w:pPr>
      <w:r>
        <w:rPr/>
        <w:t>如果全年显示游戏亏损继续扩大，办公个人增长降到个位数且企业收入回款弱，一年基准应重估。若办公和游戏均改善，而基金估值下跌，可逐字段算中间结果，不能仍称完整乐观。单套活动模型支持这种交叉情况，情景快照只保存某组输入结果；修改后需标待刷新，避免把旧目标当新模型。</w:t>
      </w:r>
    </w:p>
    <w:p>
      <w:pPr>
        <w:pStyle w:val="Heading2"/>
        <w:rPr/>
      </w:pPr>
      <w:r>
        <w:rPr>
          <w:color w:val="000000"/>
        </w:rPr>
        <w:t>二十二 三年与五年的投资判断</w:t>
      </w:r>
    </w:p>
    <w:p>
      <w:pPr>
        <w:pStyle w:val="Normal"/>
        <w:rPr/>
      </w:pPr>
      <w:r>
        <w:rPr/>
        <w:t>三年基准办公</w:t>
      </w:r>
      <w:r>
        <w:rPr/>
        <w:t>118</w:t>
      </w:r>
      <w:r>
        <w:rPr/>
        <w:t>亿元、游戏</w:t>
      </w:r>
      <w:r>
        <w:rPr/>
        <w:t>50</w:t>
      </w:r>
      <w:r>
        <w:rPr/>
        <w:t>亿元，正常归母</w:t>
      </w:r>
      <w:r>
        <w:rPr/>
        <w:t>20.493514</w:t>
      </w:r>
      <w:r>
        <w:rPr/>
        <w:t>亿元，经济股</w:t>
      </w:r>
      <w:r>
        <w:rPr/>
        <w:t>14.28726</w:t>
      </w:r>
      <w:r>
        <w:rPr/>
        <w:t>亿，目标</w:t>
      </w:r>
      <w:r>
        <w:rPr/>
        <w:t>37.50</w:t>
      </w:r>
      <w:r>
        <w:rPr/>
        <w:t>港元。累计股息</w:t>
      </w:r>
      <w:r>
        <w:rPr/>
        <w:t>0.8</w:t>
      </w:r>
      <w:r>
        <w:rPr/>
        <w:t>，总回报</w:t>
      </w:r>
      <w:r>
        <w:rPr/>
        <w:t>49.49%</w:t>
      </w:r>
      <w:r>
        <w:rPr/>
        <w:t>，年化</w:t>
      </w:r>
      <w:r>
        <w:rPr/>
        <w:t>14.34%</w:t>
      </w:r>
      <w:r>
        <w:rPr/>
        <w:t>。主要来源办公规模、游戏从低谷恢复及合理投资权益增长，办公倍数降</w:t>
      </w:r>
      <w:r>
        <w:rPr/>
        <w:t>31</w:t>
      </w:r>
      <w:r>
        <w:rPr/>
        <w:t>，仍有控股折价，未用永续更高</w:t>
      </w:r>
      <w:r>
        <w:rPr/>
        <w:t>PE</w:t>
      </w:r>
      <w:r>
        <w:rPr/>
        <w:t>支撑复利。</w:t>
      </w:r>
    </w:p>
    <w:p>
      <w:pPr>
        <w:pStyle w:val="Normal"/>
        <w:rPr/>
      </w:pPr>
      <w:r>
        <w:rPr/>
        <w:t>三年收入计划要求企业和个人同时增长，以及</w:t>
      </w:r>
      <w:r>
        <w:rPr/>
        <w:t>AI</w:t>
      </w:r>
      <w:r>
        <w:rPr/>
        <w:t>从附加功能成为真正付费工具。公司还要控制推理成本、减少定制项目过度耗人，研发持续投入产生可复用产品。游戏</w:t>
      </w:r>
      <w:r>
        <w:rPr/>
        <w:t>50</w:t>
      </w:r>
      <w:r>
        <w:rPr/>
        <w:t>亿元需要经典</w:t>
      </w:r>
      <w:r>
        <w:rPr/>
        <w:t>IP</w:t>
      </w:r>
      <w:r>
        <w:rPr/>
        <w:t>和新作组合恢复到接近</w:t>
      </w:r>
      <w:r>
        <w:rPr/>
        <w:t>2024</w:t>
      </w:r>
      <w:r>
        <w:rPr/>
        <w:t>水平，不属自动周期反转。公司具基础但执行仍待验证，经营维度</w:t>
      </w:r>
      <w:r>
        <w:rPr/>
        <w:t>4</w:t>
      </w:r>
      <w:r>
        <w:rPr/>
        <w:t>分为有条件高评分。</w:t>
      </w:r>
    </w:p>
    <w:p>
      <w:pPr>
        <w:pStyle w:val="Normal"/>
        <w:rPr/>
      </w:pPr>
      <w:r>
        <w:rPr/>
        <w:t>五年基准办公</w:t>
      </w:r>
      <w:r>
        <w:rPr/>
        <w:t>148</w:t>
      </w:r>
      <w:r>
        <w:rPr/>
        <w:t>亿元、游戏</w:t>
      </w:r>
      <w:r>
        <w:rPr/>
        <w:t>58</w:t>
      </w:r>
      <w:r>
        <w:rPr/>
        <w:t>亿元，正常归母</w:t>
      </w:r>
      <w:r>
        <w:rPr/>
        <w:t>23.769273</w:t>
      </w:r>
      <w:r>
        <w:rPr/>
        <w:t>亿元，目标</w:t>
      </w:r>
      <w:r>
        <w:rPr/>
        <w:t>37.25</w:t>
      </w:r>
      <w:r>
        <w:rPr/>
        <w:t>港元，含累计</w:t>
      </w:r>
      <w:r>
        <w:rPr/>
        <w:t>1.7</w:t>
      </w:r>
      <w:r>
        <w:rPr/>
        <w:t>股息年化</w:t>
      </w:r>
      <w:r>
        <w:rPr/>
        <w:t>8.74%</w:t>
      </w:r>
      <w:r>
        <w:rPr/>
        <w:t>。股价低于三年基准不等经营退步：办公倍数降</w:t>
      </w:r>
      <w:r>
        <w:rPr/>
        <w:t>28</w:t>
      </w:r>
      <w:r>
        <w:rPr/>
        <w:t>、子公司及母公司稀释、回购分红资金及投资成熟，抵消增量利润。长期收益主要由真实每股增长而不是静态资产全部兑现决定。</w:t>
      </w:r>
    </w:p>
    <w:p>
      <w:pPr>
        <w:pStyle w:val="Normal"/>
        <w:rPr/>
      </w:pPr>
      <w:r>
        <w:rPr/>
        <w:t>五年悲观</w:t>
      </w:r>
      <w:r>
        <w:rPr/>
        <w:t>0.38</w:t>
      </w:r>
      <w:r>
        <w:rPr/>
        <w:t>港元伴正常归母亏损约</w:t>
      </w:r>
      <w:r>
        <w:rPr/>
        <w:t>2.13</w:t>
      </w:r>
      <w:r>
        <w:rPr/>
        <w:t>亿元、游戏资金准备和</w:t>
      </w:r>
      <w:r>
        <w:rPr/>
        <w:t>NAV</w:t>
      </w:r>
      <w:r>
        <w:rPr/>
        <w:t>衰减，是非常不利组合，不能称现金清算价值。乐观</w:t>
      </w:r>
      <w:r>
        <w:rPr/>
        <w:t>119.48</w:t>
      </w:r>
      <w:r>
        <w:rPr/>
        <w:t>需办公</w:t>
      </w:r>
      <w:r>
        <w:rPr/>
        <w:t>240</w:t>
      </w:r>
      <w:r>
        <w:rPr/>
        <w:t>亿元、游戏</w:t>
      </w:r>
      <w:r>
        <w:rPr/>
        <w:t>100</w:t>
      </w:r>
      <w:r>
        <w:rPr/>
        <w:t>亿元和投资权益大增，以及仍好的盈利率。公司若终止亏损业务或改资本配置，实际结果可显著不同，应重算条件而不是认为两值是固定边界。</w:t>
      </w:r>
    </w:p>
    <w:p>
      <w:pPr>
        <w:pStyle w:val="Heading2"/>
        <w:rPr/>
      </w:pPr>
      <w:r>
        <w:rPr>
          <w:color w:val="000000"/>
        </w:rPr>
        <w:t>二十三 十年竞争与治理反证</w:t>
      </w:r>
    </w:p>
    <w:p>
      <w:pPr>
        <w:pStyle w:val="Normal"/>
        <w:rPr/>
      </w:pPr>
      <w:r>
        <w:rPr/>
        <w:t>十年办公需求仍存在，但用户入口和制作方式可能改变。</w:t>
      </w:r>
      <w:r>
        <w:rPr/>
        <w:t>AI</w:t>
      </w:r>
      <w:r>
        <w:rPr/>
        <w:t>助手可能直接完成文档与分析，传统界面和席位付费会被挑战；</w:t>
      </w:r>
      <w:r>
        <w:rPr/>
        <w:t>WPS</w:t>
      </w:r>
      <w:r>
        <w:rPr/>
        <w:t>也能把文档兼容、企业权限和数据治理转成新价值。长期核心是可信生产力及客户关系，而不是“办公软件必需”就保证某企业持续高利润。本报告不给</w:t>
      </w:r>
      <w:r>
        <w:rPr/>
        <w:t>2036</w:t>
      </w:r>
      <w:r>
        <w:rPr/>
        <w:t>精确股价。</w:t>
      </w:r>
    </w:p>
    <w:p>
      <w:pPr>
        <w:pStyle w:val="Normal"/>
        <w:rPr/>
      </w:pPr>
      <w:r>
        <w:rPr/>
        <w:t>研发、云与办公协同如果降低交付成本并提高企业使用，可形成优势；如果生态内部交易遮蔽真实外部价格和回报，反而损害股东。关联许可、租赁、云采购和投资基金均有披露，需要按金额、价格及退出检查。常规关联不等违法，亦不等必有协同，长期风险评分保留资本配置的不确定性。</w:t>
      </w:r>
    </w:p>
    <w:p>
      <w:pPr>
        <w:pStyle w:val="Normal"/>
        <w:rPr/>
      </w:pPr>
      <w:r>
        <w:rPr/>
        <w:t>游戏</w:t>
      </w:r>
      <w:r>
        <w:rPr/>
        <w:t>IP</w:t>
      </w:r>
      <w:r>
        <w:rPr/>
        <w:t>会跨代更新，内容人才与项目纪律影响现金回报。</w:t>
      </w:r>
      <w:r>
        <w:rPr/>
        <w:t>AI</w:t>
      </w:r>
      <w:r>
        <w:rPr/>
        <w:t>可以帮助制作，却不能保证经典玩家永不离开或新作品成功。经营反证是老作流水持续减、新作不能覆盖完整研发、取消项目和授权资产减值；资本反证是稀释高、回购价错或现金持续转低效投资。这些会直接推翻三年及五年分数。</w:t>
      </w:r>
    </w:p>
    <w:p>
      <w:pPr>
        <w:pStyle w:val="Normal"/>
        <w:rPr/>
      </w:pPr>
      <w:r>
        <w:rPr/>
        <w:t>投资基金退出、云资本回报和办公子公司分派是长期母公司价值实现路径。只看到资产估值涨而没有现金和利润归属改善，应提高折价及降低可实现比例。若取得新完整原件证实基金归属与假设不同，所有目标必须修订。现阶段归属不明部分已公开，不能把来源可信度“中”解释成确定持股证明。</w:t>
      </w:r>
    </w:p>
    <w:p>
      <w:pPr>
        <w:pStyle w:val="Heading2"/>
        <w:rPr/>
      </w:pPr>
      <w:r>
        <w:rPr>
          <w:color w:val="000000"/>
        </w:rPr>
        <w:t>二十四 机构目标 评分与最终研究定位</w:t>
      </w:r>
    </w:p>
    <w:p>
      <w:pPr>
        <w:pStyle w:val="Normal"/>
        <w:rPr/>
      </w:pPr>
      <w:r>
        <w:rPr/>
        <w:t>美银</w:t>
      </w:r>
      <w:r>
        <w:rPr/>
        <w:t>2026</w:t>
      </w:r>
      <w:r>
        <w:rPr/>
        <w:t>年</w:t>
      </w:r>
      <w:r>
        <w:rPr/>
        <w:t>8</w:t>
      </w:r>
      <w:r>
        <w:rPr/>
        <w:t>月</w:t>
      </w:r>
      <w:r>
        <w:rPr/>
        <w:t>21</w:t>
      </w:r>
      <w:r>
        <w:rPr/>
        <w:t>日</w:t>
      </w:r>
      <w:r>
        <w:rPr/>
        <w:t>26</w:t>
      </w:r>
      <w:r>
        <w:rPr/>
        <w:t>港元、中性，调整费用和联营预期并提示游戏短期弱；花旗</w:t>
      </w:r>
      <w:r>
        <w:rPr/>
        <w:t>6</w:t>
      </w:r>
      <w:r>
        <w:rPr/>
        <w:t>月</w:t>
      </w:r>
      <w:r>
        <w:rPr/>
        <w:t>8</w:t>
      </w:r>
      <w:r>
        <w:rPr/>
        <w:t>日</w:t>
      </w:r>
      <w:r>
        <w:rPr/>
        <w:t>33</w:t>
      </w:r>
      <w:r>
        <w:rPr/>
        <w:t>、买入，里昂</w:t>
      </w:r>
      <w:r>
        <w:rPr/>
        <w:t>4</w:t>
      </w:r>
      <w:r>
        <w:rPr/>
        <w:t>月</w:t>
      </w:r>
      <w:r>
        <w:rPr/>
        <w:t>8</w:t>
      </w:r>
      <w:r>
        <w:rPr/>
        <w:t>日</w:t>
      </w:r>
      <w:r>
        <w:rPr/>
        <w:t>29.1</w:t>
      </w:r>
      <w:r>
        <w:rPr/>
        <w:t>、跑赢，大摩</w:t>
      </w:r>
      <w:r>
        <w:rPr/>
        <w:t>2025</w:t>
      </w:r>
      <w:r>
        <w:rPr/>
        <w:t>年</w:t>
      </w:r>
      <w:r>
        <w:rPr/>
        <w:t>11</w:t>
      </w:r>
      <w:r>
        <w:rPr/>
        <w:t>月</w:t>
      </w:r>
      <w:r>
        <w:rPr/>
        <w:t>28</w:t>
      </w:r>
      <w:r>
        <w:rPr/>
        <w:t>日</w:t>
      </w:r>
      <w:r>
        <w:rPr/>
        <w:t>33</w:t>
      </w:r>
      <w:r>
        <w:rPr/>
        <w:t>、与大市同步。中金</w:t>
      </w:r>
      <w:r>
        <w:rPr/>
        <w:t>8</w:t>
      </w:r>
      <w:r>
        <w:rPr/>
        <w:t>月</w:t>
      </w:r>
      <w:r>
        <w:rPr/>
        <w:t>25</w:t>
      </w:r>
      <w:r>
        <w:rPr/>
        <w:t>日</w:t>
      </w:r>
      <w:r>
        <w:rPr/>
        <w:t>33</w:t>
      </w:r>
      <w:r>
        <w:rPr/>
        <w:t>、跑赢行业，中资单列。除美银及中金较近，其余超过</w:t>
      </w:r>
      <w:r>
        <w:rPr/>
        <w:t>90</w:t>
      </w:r>
      <w:r>
        <w:rPr/>
        <w:t>天；全部新闻转述、目标期未明，不人为补</w:t>
      </w:r>
      <w:r>
        <w:rPr/>
        <w:t>12</w:t>
      </w:r>
      <w:r>
        <w:rPr/>
        <w:t>个月。</w:t>
      </w:r>
    </w:p>
    <w:p>
      <w:pPr>
        <w:pStyle w:val="Normal"/>
        <w:rPr/>
      </w:pPr>
      <w:r>
        <w:rPr/>
        <w:t>机构对金山云的独立评级不属于</w:t>
      </w:r>
      <w:r>
        <w:rPr/>
        <w:t>03888</w:t>
      </w:r>
      <w:r>
        <w:rPr/>
        <w:t>母公司目标，不能混用。中金因投资收益上调年度归母预测并收控股折让，美银更偏游戏与费用改善，差异解释资产净值和短期利润并不统一。本模型正常利润不含一次性收益，机构数字只是参照，年底仍基于年底信息集独立计算而非直接采用报告价。</w:t>
      </w:r>
    </w:p>
    <w:p>
      <w:pPr>
        <w:pStyle w:val="Normal"/>
        <w:rPr/>
      </w:pPr>
      <w:r>
        <w:rPr/>
        <w:t>半年六维</w:t>
      </w:r>
      <w:r>
        <w:rPr/>
        <w:t>3.2/3.3/3.4/4.0/3.5/3.3</w:t>
      </w:r>
      <w:r>
        <w:rPr/>
        <w:t>，按统一权重得</w:t>
      </w:r>
      <w:r>
        <w:rPr/>
        <w:t>67.6</w:t>
      </w:r>
      <w:r>
        <w:rPr/>
        <w:t>；一年</w:t>
      </w:r>
      <w:r>
        <w:rPr/>
        <w:t>3.7/3.3/3.7/4.1/3.8/3.2</w:t>
      </w:r>
      <w:r>
        <w:rPr/>
        <w:t>，得</w:t>
      </w:r>
      <w:r>
        <w:rPr/>
        <w:t>73.2</w:t>
      </w:r>
      <w:r>
        <w:rPr/>
        <w:t>；三年</w:t>
      </w:r>
      <w:r>
        <w:rPr/>
        <w:t>3.8/3.3/4.0/4.2/3.7/3.1</w:t>
      </w:r>
      <w:r>
        <w:rPr/>
        <w:t>，得</w:t>
      </w:r>
      <w:r>
        <w:rPr/>
        <w:t>77</w:t>
      </w:r>
      <w:r>
        <w:rPr/>
        <w:t>；五年</w:t>
      </w:r>
      <w:r>
        <w:rPr/>
        <w:t>3.5/3.3/3.8/4.0/3.4/2.9</w:t>
      </w:r>
      <w:r>
        <w:rPr/>
        <w:t>，得</w:t>
      </w:r>
      <w:r>
        <w:rPr/>
        <w:t>72.5</w:t>
      </w:r>
      <w:r>
        <w:rPr/>
        <w:t>。分数是相对推荐，证据可信度独立，不能当成功概率或遮蔽基金归属限制。</w:t>
      </w:r>
    </w:p>
    <w:p>
      <w:pPr>
        <w:pStyle w:val="Normal"/>
        <w:rPr/>
      </w:pPr>
      <w:r>
        <w:rPr/>
        <w:t>研究定位为三年重点比较、一年有条件关注、半年收益与风险需谨慎权衡、长期观察</w:t>
      </w:r>
      <w:r>
        <w:rPr/>
        <w:t>AI</w:t>
      </w:r>
      <w:r>
        <w:rPr/>
        <w:t>办公竞争和资本配置。最重要反证是</w:t>
      </w:r>
      <w:r>
        <w:rPr/>
        <w:t>WPS</w:t>
      </w:r>
      <w:r>
        <w:rPr/>
        <w:t>不能将增长转成扣完整算力股酬的利润，游戏亏损长期无解，投资</w:t>
      </w:r>
      <w:r>
        <w:rPr/>
        <w:t>NAV</w:t>
      </w:r>
      <w:r>
        <w:rPr/>
        <w:t>和归属无法兑现，资本动作使每股收益弱于基准。总表按四榜最高排名编卷，本章不擅自改统一排序规则。</w:t>
      </w:r>
    </w:p>
    <w:p>
      <w:pPr>
        <w:pStyle w:val="Heading2"/>
        <w:rPr/>
      </w:pPr>
      <w:r>
        <w:rPr>
          <w:color w:val="000000"/>
        </w:rPr>
        <w:t>二十五 税与汇率敏感性的具体含义</w:t>
      </w:r>
    </w:p>
    <w:p>
      <w:pPr>
        <w:pStyle w:val="Normal"/>
        <w:rPr/>
      </w:pPr>
      <w:r>
        <w:rPr/>
        <w:t>上半年集团税前</w:t>
      </w:r>
      <w:r>
        <w:rPr/>
        <w:t>34.91724</w:t>
      </w:r>
      <w:r>
        <w:rPr/>
        <w:t>亿元、税</w:t>
      </w:r>
      <w:r>
        <w:rPr/>
        <w:t>3.36250</w:t>
      </w:r>
      <w:r>
        <w:rPr/>
        <w:t>亿元，表面实际税率约</w:t>
      </w:r>
      <w:r>
        <w:rPr/>
        <w:t>9.63%</w:t>
      </w:r>
      <w:r>
        <w:rPr/>
        <w:t>，但分母有大量权益法与未实现投资收益，不能据此给办公和游戏统一低税。模型办公一年</w:t>
      </w:r>
      <w:r>
        <w:rPr/>
        <w:t>16.5%</w:t>
      </w:r>
      <w:r>
        <w:rPr/>
        <w:t>、游戏</w:t>
      </w:r>
      <w:r>
        <w:rPr/>
        <w:t>20%</w:t>
      </w:r>
      <w:r>
        <w:rPr/>
        <w:t>，对亏损不立即确认税益；投资</w:t>
      </w:r>
      <w:r>
        <w:rPr/>
        <w:t>NAV</w:t>
      </w:r>
      <w:r>
        <w:rPr/>
        <w:t>另外用可实现折扣承担税和流动性。中国软件税收优惠、研发扣除和全球最低税适用需要持续确认，不能把一次低税永续资本化。</w:t>
      </w:r>
    </w:p>
    <w:p>
      <w:pPr>
        <w:pStyle w:val="Normal"/>
        <w:rPr/>
      </w:pPr>
      <w:r>
        <w:rPr/>
        <w:t>集团中报说明处于第二支柱全球最低税规则范围，并在评估以后补足税影响。适用实体、地区和计算口径尚未完整量化，因此研究不造具体补税金额。若以后公开增加税负，可直接提高对应分部有效税率或降低</w:t>
      </w:r>
      <w:r>
        <w:rPr/>
        <w:t>NAV</w:t>
      </w:r>
      <w:r>
        <w:rPr/>
        <w:t>实现比例。两者作用于不同收益来源，避免同一笔税既从利润扣又从已净值投资重复扣。</w:t>
      </w:r>
    </w:p>
    <w:p>
      <w:pPr>
        <w:pStyle w:val="Normal"/>
        <w:rPr/>
      </w:pPr>
      <w:r>
        <w:rPr/>
        <w:t>按一年基准，办公正常税前</w:t>
      </w:r>
      <w:r>
        <w:rPr/>
        <w:t>21.96</w:t>
      </w:r>
      <w:r>
        <w:rPr/>
        <w:t>亿元，税率每升一个百分点、其余不变，归母盈利约少</w:t>
      </w:r>
      <w:r>
        <w:rPr/>
        <w:t>0.112</w:t>
      </w:r>
      <w:r>
        <w:rPr/>
        <w:t>亿元，</w:t>
      </w:r>
      <w:r>
        <w:rPr/>
        <w:t>34</w:t>
      </w:r>
      <w:r>
        <w:rPr/>
        <w:t>倍办公资本价值约少</w:t>
      </w:r>
      <w:r>
        <w:rPr/>
        <w:t>3.81</w:t>
      </w:r>
      <w:r>
        <w:rPr/>
        <w:t>亿元，再经控股折价和股数影响目标价。税率敏感性比集团表面</w:t>
      </w:r>
      <w:r>
        <w:rPr/>
        <w:t>9.63%</w:t>
      </w:r>
      <w:r>
        <w:rPr/>
        <w:t>更能解释投资收益。实际税务变化也可能与收入地区有关，不应所有分部无区别增加。</w:t>
      </w:r>
    </w:p>
    <w:p>
      <w:pPr>
        <w:pStyle w:val="Normal"/>
        <w:rPr/>
      </w:pPr>
      <w:r>
        <w:rPr/>
        <w:t>港元每人民币</w:t>
      </w:r>
      <w:r>
        <w:rPr/>
        <w:t>1.10</w:t>
      </w:r>
      <w:r>
        <w:rPr/>
        <w:t>为统一估值转换假设，经营与资本价值先用人民币计算。股价本币回报还会受香港风险偏好，人民币投资者的最终回报则另乘港币人民币相对变化。例如一年基准含息</w:t>
      </w:r>
      <w:r>
        <w:rPr/>
        <w:t>22.21%</w:t>
      </w:r>
      <w:r>
        <w:rPr/>
        <w:t>，港币折人民币价值下降</w:t>
      </w:r>
      <w:r>
        <w:rPr/>
        <w:t>5%</w:t>
      </w:r>
      <w:r>
        <w:rPr/>
        <w:t>，约变</w:t>
      </w:r>
      <w:r>
        <w:rPr/>
        <w:t>16.10%</w:t>
      </w:r>
      <w:r>
        <w:rPr/>
        <w:t>；若上升</w:t>
      </w:r>
      <w:r>
        <w:rPr/>
        <w:t>5%</w:t>
      </w:r>
      <w:r>
        <w:rPr/>
        <w:t>，约</w:t>
      </w:r>
      <w:r>
        <w:rPr/>
        <w:t>28.32%</w:t>
      </w:r>
      <w:r>
        <w:rPr/>
        <w:t>。这不是公司汇兑损益，而是持有者计价转换。</w:t>
      </w:r>
    </w:p>
    <w:p>
      <w:pPr>
        <w:pStyle w:val="Heading2"/>
        <w:rPr/>
      </w:pPr>
      <w:r>
        <w:rPr>
          <w:color w:val="000000"/>
        </w:rPr>
        <w:t>二十六 从驱动识别目标价误差</w:t>
      </w:r>
    </w:p>
    <w:p>
      <w:pPr>
        <w:pStyle w:val="Normal"/>
        <w:rPr/>
      </w:pPr>
      <w:r>
        <w:rPr/>
        <w:t>一年办公毛利每升一个百分点，收入</w:t>
      </w:r>
      <w:r>
        <w:rPr/>
        <w:t>85</w:t>
      </w:r>
      <w:r>
        <w:rPr/>
        <w:t>亿元不变，税前多</w:t>
      </w:r>
      <w:r>
        <w:rPr/>
        <w:t>0.85</w:t>
      </w:r>
      <w:r>
        <w:rPr/>
        <w:t>亿元，扣</w:t>
      </w:r>
      <w:r>
        <w:rPr/>
        <w:t>16.5%</w:t>
      </w:r>
      <w:r>
        <w:rPr/>
        <w:t>税及</w:t>
      </w:r>
      <w:r>
        <w:rPr/>
        <w:t>51%</w:t>
      </w:r>
      <w:r>
        <w:rPr/>
        <w:t>归属后归母多约</w:t>
      </w:r>
      <w:r>
        <w:rPr/>
        <w:t>0.362</w:t>
      </w:r>
      <w:r>
        <w:rPr/>
        <w:t>亿元。</w:t>
      </w:r>
      <w:r>
        <w:rPr/>
        <w:t>34</w:t>
      </w:r>
      <w:r>
        <w:rPr/>
        <w:t>倍价值、</w:t>
      </w:r>
      <w:r>
        <w:rPr/>
        <w:t>15%</w:t>
      </w:r>
      <w:r>
        <w:rPr/>
        <w:t>控股折价和目标股数转换可使价增加约</w:t>
      </w:r>
      <w:r>
        <w:rPr/>
        <w:t>0.83</w:t>
      </w:r>
      <w:r>
        <w:rPr/>
        <w:t>港元。这体现推理成本和收入结构的重要性，不能只说毛利改善“利好”而没有量化。收入变化时仍需同时改成本、客户和人员，敏感性仅为局部分析。</w:t>
      </w:r>
    </w:p>
    <w:p>
      <w:pPr>
        <w:pStyle w:val="Normal"/>
        <w:rPr/>
      </w:pPr>
      <w:r>
        <w:rPr/>
        <w:t>同一期正常办公研发每多</w:t>
      </w:r>
      <w:r>
        <w:rPr/>
        <w:t>1</w:t>
      </w:r>
      <w:r>
        <w:rPr/>
        <w:t>亿元，其他不变，税后归母减少约</w:t>
      </w:r>
      <w:r>
        <w:rPr/>
        <w:t>0.426</w:t>
      </w:r>
      <w:r>
        <w:rPr/>
        <w:t>亿元，</w:t>
      </w:r>
      <w:r>
        <w:rPr/>
        <w:t>SOTP</w:t>
      </w:r>
      <w:r>
        <w:rPr/>
        <w:t>目标大约下降</w:t>
      </w:r>
      <w:r>
        <w:rPr/>
        <w:t>0.98</w:t>
      </w:r>
      <w:r>
        <w:rPr/>
        <w:t>港元。若新增研发带来更高收入，则不能只把成本损失长期保持，应该改相应收入路径。模型单套活动让投入和收益分别透明，投资者可测试合理组合，而不会因有</w:t>
      </w:r>
      <w:r>
        <w:rPr/>
        <w:t>AI</w:t>
      </w:r>
      <w:r>
        <w:rPr/>
        <w:t>名词就自动给所有研发正估值。</w:t>
      </w:r>
    </w:p>
    <w:p>
      <w:pPr>
        <w:pStyle w:val="Normal"/>
        <w:rPr/>
      </w:pPr>
      <w:r>
        <w:rPr/>
        <w:t>基准其他投资</w:t>
      </w:r>
      <w:r>
        <w:rPr/>
        <w:t>NAV54</w:t>
      </w:r>
      <w:r>
        <w:rPr/>
        <w:t>亿元，归属</w:t>
      </w:r>
      <w:r>
        <w:rPr/>
        <w:t>52%</w:t>
      </w:r>
      <w:r>
        <w:rPr/>
        <w:t>、可实现</w:t>
      </w:r>
      <w:r>
        <w:rPr/>
        <w:t>60%</w:t>
      </w:r>
      <w:r>
        <w:rPr/>
        <w:t>，只计</w:t>
      </w:r>
      <w:r>
        <w:rPr/>
        <w:t>16.848</w:t>
      </w:r>
      <w:r>
        <w:rPr/>
        <w:t>亿元，若完整归属突然确认</w:t>
      </w:r>
      <w:r>
        <w:rPr/>
        <w:t>100%</w:t>
      </w:r>
      <w:r>
        <w:rPr/>
        <w:t>而其余不变，价值会多</w:t>
      </w:r>
      <w:r>
        <w:rPr/>
        <w:t>15.552</w:t>
      </w:r>
      <w:r>
        <w:rPr/>
        <w:t>亿元，但这需要原件证明而非乐观猜测。若可实现比例由</w:t>
      </w:r>
      <w:r>
        <w:rPr/>
        <w:t>60%</w:t>
      </w:r>
      <w:r>
        <w:rPr/>
        <w:t>降</w:t>
      </w:r>
      <w:r>
        <w:rPr/>
        <w:t>40%</w:t>
      </w:r>
      <w:r>
        <w:rPr/>
        <w:t>，值少</w:t>
      </w:r>
      <w:r>
        <w:rPr/>
        <w:t>5.616</w:t>
      </w:r>
      <w:r>
        <w:rPr/>
        <w:t>亿元，会显著影响目标，仍小于把全部</w:t>
      </w:r>
      <w:r>
        <w:rPr/>
        <w:t>54</w:t>
      </w:r>
      <w:r>
        <w:rPr/>
        <w:t>亿元随意加入造成的误差。产权和退出证据是该公司估值必需输入。</w:t>
      </w:r>
    </w:p>
    <w:p>
      <w:pPr>
        <w:pStyle w:val="Normal"/>
        <w:rPr/>
      </w:pPr>
      <w:r>
        <w:rPr/>
        <w:t>控股折价变化影响整套资产，但不改变经营利润，不能把折价收窄写成办公收入增长。已知资本分派和股份减少可让价值更容易实现，却会减少本金；市场流动性、指数地位和治理也能改变折价。模型每个情景分别保存输入签名，后续修改要重新计算再抓取快照，避免旧目标仍显示为最新。最终排序差小于三分归梯队，不能以小数目标价制造虚假推荐精度。</w:t>
      </w:r>
    </w:p>
    <w:p>
      <w:pPr>
        <w:pStyle w:val="Heading2"/>
        <w:rPr/>
      </w:pPr>
      <w:r>
        <w:rPr>
          <w:color w:val="000000"/>
        </w:rPr>
        <w:t>来源与模型核验</w:t>
      </w:r>
    </w:p>
    <w:p>
      <w:pPr>
        <w:pStyle w:val="Normal"/>
        <w:rPr/>
      </w:pPr>
      <w:r>
        <w:rPr/>
        <w:t>- [2025</w:t>
      </w:r>
      <w:r>
        <w:rPr/>
        <w:t>年报</w:t>
      </w:r>
      <w:r>
        <w:rPr/>
        <w:t>](https://www1.hkexnews.hk/listedco/listconews/sehk/2026/0422/2026042200390.pdf)</w:t>
      </w:r>
      <w:r>
        <w:rPr/>
        <w:t>，</w:t>
      </w:r>
      <w:r>
        <w:rPr/>
        <w:t>4</w:t>
      </w:r>
      <w:r>
        <w:rPr/>
        <w:t>月</w:t>
      </w:r>
      <w:r>
        <w:rPr/>
        <w:t>22</w:t>
      </w:r>
      <w:r>
        <w:rPr/>
        <w:t>日</w:t>
      </w:r>
      <w:r>
        <w:rPr/>
        <w:t>16:30</w:t>
      </w:r>
      <w:r>
        <w:rPr/>
        <w:t>收盘后；业务五年表、分部</w:t>
      </w:r>
      <w:r>
        <w:rPr/>
        <w:t>107</w:t>
      </w:r>
      <w:r>
        <w:rPr/>
        <w:t>、子公司</w:t>
      </w:r>
      <w:r>
        <w:rPr/>
        <w:t>79—80</w:t>
      </w:r>
      <w:r>
        <w:rPr/>
        <w:t>、少数</w:t>
      </w:r>
      <w:r>
        <w:rPr/>
        <w:t>165—166</w:t>
      </w:r>
      <w:r>
        <w:rPr/>
        <w:t>、现金</w:t>
      </w:r>
      <w:r>
        <w:rPr/>
        <w:t>76—78</w:t>
      </w:r>
      <w:r>
        <w:rPr/>
        <w:t>。</w:t>
      </w:r>
    </w:p>
    <w:p>
      <w:pPr>
        <w:pStyle w:val="Normal"/>
        <w:rPr/>
      </w:pPr>
      <w:r>
        <w:rPr/>
        <w:t>- [2026</w:t>
      </w:r>
      <w:r>
        <w:rPr/>
        <w:t>中报</w:t>
      </w:r>
      <w:r>
        <w:rPr/>
        <w:t>](https://www1.hkexnews.hk/listedco/listconews/sehk/2026/0923/2026092300330.pdf)</w:t>
      </w:r>
      <w:r>
        <w:rPr/>
        <w:t>，</w:t>
      </w:r>
      <w:r>
        <w:rPr/>
        <w:t>9</w:t>
      </w:r>
      <w:r>
        <w:rPr/>
        <w:t>月</w:t>
      </w:r>
      <w:r>
        <w:rPr/>
        <w:t>23</w:t>
      </w:r>
      <w:r>
        <w:rPr/>
        <w:t>日</w:t>
      </w:r>
      <w:r>
        <w:rPr/>
        <w:t>16:31</w:t>
      </w:r>
      <w:r>
        <w:rPr/>
        <w:t>收盘后；经营</w:t>
      </w:r>
      <w:r>
        <w:rPr/>
        <w:t>5—17</w:t>
      </w:r>
      <w:r>
        <w:rPr/>
        <w:t>、财务</w:t>
      </w:r>
      <w:r>
        <w:rPr/>
        <w:t>34—41</w:t>
      </w:r>
      <w:r>
        <w:rPr/>
        <w:t>、分部</w:t>
      </w:r>
      <w:r>
        <w:rPr/>
        <w:t>43—44</w:t>
      </w:r>
      <w:r>
        <w:rPr/>
        <w:t>、现金</w:t>
      </w:r>
      <w:r>
        <w:rPr/>
        <w:t>50</w:t>
      </w:r>
      <w:r>
        <w:rPr/>
        <w:t>、激励</w:t>
      </w:r>
      <w:r>
        <w:rPr/>
        <w:t>52—60</w:t>
      </w:r>
      <w:r>
        <w:rPr/>
        <w:t>、可转</w:t>
      </w:r>
      <w:r>
        <w:rPr/>
        <w:t>61</w:t>
      </w:r>
      <w:r>
        <w:rPr/>
        <w:t>、关联</w:t>
      </w:r>
      <w:r>
        <w:rPr/>
        <w:t>63</w:t>
      </w:r>
      <w:r>
        <w:rPr/>
        <w:t>。</w:t>
      </w:r>
    </w:p>
    <w:p>
      <w:pPr>
        <w:pStyle w:val="Normal"/>
        <w:rPr/>
      </w:pPr>
      <w:r>
        <w:rPr/>
        <w:t>- [</w:t>
      </w:r>
      <w:r>
        <w:rPr/>
        <w:t>二季度及半年业绩</w:t>
      </w:r>
      <w:r>
        <w:rPr/>
        <w:t>](https://www1.hkexnews.hk/listedco/listconews/sehk/2026/0819/2026081901069.pdf)</w:t>
      </w:r>
      <w:r>
        <w:rPr/>
        <w:t>，</w:t>
      </w:r>
      <w:r>
        <w:rPr/>
        <w:t>8</w:t>
      </w:r>
      <w:r>
        <w:rPr/>
        <w:t>月</w:t>
      </w:r>
      <w:r>
        <w:rPr/>
        <w:t>19</w:t>
      </w:r>
      <w:r>
        <w:rPr/>
        <w:t>日</w:t>
      </w:r>
      <w:r>
        <w:rPr/>
        <w:t>18:34</w:t>
      </w:r>
      <w:r>
        <w:rPr/>
        <w:t>收盘后；</w:t>
      </w:r>
      <w:r>
        <w:rPr/>
        <w:t>[</w:t>
      </w:r>
      <w:r>
        <w:rPr/>
        <w:t>办公中国准则摘要</w:t>
      </w:r>
      <w:r>
        <w:rPr/>
        <w:t>](https://www1.hkexnews.hk/listedco/listconews/sehk/2026/0819/2026081901183.pdf)</w:t>
      </w:r>
      <w:r>
        <w:rPr/>
        <w:t>，同日</w:t>
      </w:r>
      <w:r>
        <w:rPr/>
        <w:t>19:06</w:t>
      </w:r>
      <w:r>
        <w:rPr/>
        <w:t>收盘后，明确子公司不同范围。</w:t>
      </w:r>
    </w:p>
    <w:p>
      <w:pPr>
        <w:pStyle w:val="Normal"/>
        <w:rPr/>
      </w:pPr>
      <w:r>
        <w:rPr/>
        <w:t>- [</w:t>
      </w:r>
      <w:r>
        <w:rPr/>
        <w:t>九月月报</w:t>
      </w:r>
      <w:r>
        <w:rPr/>
        <w:t>](https://www1.hkexnews.hk/listedco/listconews/sehk/2026/1007/2026100700858.pdf)</w:t>
      </w:r>
      <w:r>
        <w:rPr/>
        <w:t>，</w:t>
      </w:r>
      <w:r>
        <w:rPr/>
        <w:t>10</w:t>
      </w:r>
      <w:r>
        <w:rPr/>
        <w:t>月</w:t>
      </w:r>
      <w:r>
        <w:rPr/>
        <w:t>7</w:t>
      </w:r>
      <w:r>
        <w:rPr/>
        <w:t>日</w:t>
      </w:r>
      <w:r>
        <w:rPr/>
        <w:t>16:36</w:t>
      </w:r>
      <w:r>
        <w:rPr/>
        <w:t>收盘后，法定股及期权容量。旧可转全部结束，不补造负债。</w:t>
      </w:r>
    </w:p>
    <w:p>
      <w:pPr>
        <w:pStyle w:val="Normal"/>
        <w:rPr/>
      </w:pPr>
      <w:r>
        <w:rPr/>
        <w:t>- [</w:t>
      </w:r>
      <w:r>
        <w:rPr/>
        <w:t>美银</w:t>
      </w:r>
      <w:r>
        <w:rPr/>
        <w:t>](https://www.aastocks.com/sc/stocks/analysis/stock-aafn-con/03888/AAFN/NOW.1539922/research-report)</w:t>
      </w:r>
      <w:r>
        <w:rPr/>
        <w:t>、</w:t>
      </w:r>
      <w:r>
        <w:rPr/>
        <w:t>[</w:t>
      </w:r>
      <w:r>
        <w:rPr/>
        <w:t>花旗</w:t>
      </w:r>
      <w:r>
        <w:rPr/>
        <w:t>](https://www.aastocks.com/sc/stocks/analysis/stock-aafn-con/03888/AAFN/NOW.1527934/research-report)</w:t>
      </w:r>
      <w:r>
        <w:rPr/>
        <w:t>、</w:t>
      </w:r>
      <w:r>
        <w:rPr/>
        <w:t>[</w:t>
      </w:r>
      <w:r>
        <w:rPr/>
        <w:t>里昂</w:t>
      </w:r>
      <w:r>
        <w:rPr/>
        <w:t>](https://www.aastocks.com/sc/stocks/analysis/stock-aafn-con/03888/AAFN/NOW.1516176/research-report)</w:t>
      </w:r>
      <w:r>
        <w:rPr/>
        <w:t>、</w:t>
      </w:r>
      <w:r>
        <w:rPr/>
        <w:t>[</w:t>
      </w:r>
      <w:r>
        <w:rPr/>
        <w:t>大摩</w:t>
      </w:r>
      <w:r>
        <w:rPr/>
        <w:t>](https://www.aastocks.com/sc/stocks/analysis/stock-aafn-con/03888/AAFN/NOW.1487034/research-report)</w:t>
      </w:r>
      <w:r>
        <w:rPr/>
        <w:t>，均公开转述、期限及原始研报缺失；中金独立记录。</w:t>
      </w:r>
    </w:p>
    <w:p>
      <w:pPr>
        <w:pStyle w:val="Normal"/>
        <w:rPr/>
      </w:pPr>
      <w:r>
        <w:rPr/>
        <w:t xml:space="preserve">- </w:t>
      </w:r>
      <w:r>
        <w:rPr/>
        <w:t>行情固定快照及</w:t>
      </w:r>
      <w:r>
        <w:rPr/>
        <w:t>S102</w:t>
      </w:r>
      <w:r>
        <w:rPr/>
        <w:t>历史；来源字段保存日期币种单位；中文</w:t>
      </w:r>
      <w:r>
        <w:rPr/>
        <w:t>SSE</w:t>
      </w:r>
      <w:r>
        <w:rPr/>
        <w:t>中报</w:t>
      </w:r>
      <w:r>
        <w:rPr/>
        <w:t>PDF</w:t>
      </w:r>
      <w:r>
        <w:rPr/>
        <w:t>访问未得原件，检索记录及限制保存。公司正文、独立财务和</w:t>
      </w:r>
      <w:r>
        <w:rPr/>
        <w:t>15</w:t>
      </w:r>
      <w:r>
        <w:rPr/>
        <w:t>情景</w:t>
      </w:r>
      <w:r>
        <w:rPr/>
        <w:t>QA</w:t>
      </w:r>
      <w:r>
        <w:rPr/>
        <w:t>另存；</w:t>
      </w:r>
      <w:r>
        <w:rPr/>
        <w:t>Word/PDF</w:t>
      </w:r>
      <w:r>
        <w:rPr/>
        <w:t>及总表数字一致性由全集成核验。</w:t>
      </w:r>
      <w:r>
        <w:br w:type="page"/>
      </w:r>
    </w:p>
    <w:p>
      <w:pPr>
        <w:pStyle w:val="Heading1"/>
        <w:rPr/>
      </w:pPr>
      <w:bookmarkStart w:id="2" w:name="__RefHeading___Toc26821_312338234"/>
      <w:bookmarkEnd w:id="2"/>
      <w:r>
        <w:rPr>
          <w:color w:val="000000"/>
        </w:rPr>
        <w:t xml:space="preserve">比亚迪股份 </w:t>
      </w:r>
      <w:r>
        <w:rPr>
          <w:color w:val="000000"/>
        </w:rPr>
        <w:t>01211 HK</w:t>
      </w:r>
    </w:p>
    <w:p>
      <w:pPr>
        <w:pStyle w:val="Normal"/>
        <w:rPr/>
      </w:pPr>
      <w:r>
        <w:rPr/>
        <w:t xml:space="preserve">01211.HK </w:t>
      </w:r>
      <w:r>
        <w:rPr/>
        <w:t xml:space="preserve">现价 </w:t>
      </w:r>
      <w:r>
        <w:rPr/>
        <w:t>75.60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115.92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+53.33%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+53.33%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126.38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+67.17%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+67.83%</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168.20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+122.49%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+125.13%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199.73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+164.19%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+169.48%</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25.83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-65.83%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103.18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+36.48%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216.85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+186.84%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112.26HKD</w:t>
      </w:r>
      <w:r>
        <w:rPr/>
        <w:t>，期望股价回报</w:t>
      </w:r>
      <w:r>
        <w:rPr/>
        <w:t>+48.49%</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25.91</w:t>
              <w:br/>
              <w:t>-65.73%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115.92</w:t>
              <w:br/>
              <w:t>+53.33%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249.71</w:t>
              <w:br/>
              <w:t>+230.30%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23.56</w:t>
              <w:br/>
              <w:t>-68.84%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126.38</w:t>
              <w:br/>
              <w:t>+67.17%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275.91</w:t>
              <w:br/>
              <w:t>+264.96%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20.02</w:t>
              <w:br/>
              <w:t>-73.52%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168.20</w:t>
              <w:br/>
              <w:t>+122.49%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396.42</w:t>
              <w:br/>
              <w:t>+424.37%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+31.06%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16.65</w:t>
              <w:br/>
              <w:t>-77.98%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199.73</w:t>
              <w:br/>
              <w:t>+164.19%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519.50</w:t>
              <w:br/>
              <w:t>+587.17%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+21.93%</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primaryFundamentals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高（巨潮原半年、年报和月销量；</w:t>
            </w:r>
            <w:r>
              <w:rPr>
                <w:rFonts w:eastAsia="微软雅黑" w:ascii="微软雅黑" w:hAnsi="微软雅黑"/>
                <w:sz w:val="17"/>
              </w:rPr>
              <w:t>H</w:t>
            </w:r>
            <w:r>
              <w:rPr>
                <w:rFonts w:ascii="微软雅黑" w:hAnsi="微软雅黑" w:eastAsia="微软雅黑"/>
                <w:sz w:val="17"/>
              </w:rPr>
              <w:t>股原分派</w:t>
            </w:r>
            <w:r>
              <w:rPr>
                <w:rFonts w:eastAsia="微软雅黑" w:ascii="微软雅黑" w:hAnsi="微软雅黑"/>
                <w:sz w:val="17"/>
              </w:rPr>
              <w:t>PDF</w:t>
            </w:r>
            <w:r>
              <w:rPr>
                <w:rFonts w:ascii="微软雅黑" w:hAnsi="微软雅黑" w:eastAsia="微软雅黑"/>
                <w:sz w:val="17"/>
              </w:rPr>
              <w:t>视觉核验）</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高（锁版双源与</w:t>
            </w:r>
            <w:r>
              <w:rPr>
                <w:rFonts w:eastAsia="微软雅黑" w:ascii="微软雅黑" w:hAnsi="微软雅黑"/>
                <w:sz w:val="17"/>
              </w:rPr>
              <w:t>H</w:t>
            </w:r>
            <w:r>
              <w:rPr>
                <w:rFonts w:ascii="微软雅黑" w:hAnsi="微软雅黑" w:eastAsia="微软雅黑"/>
                <w:sz w:val="17"/>
              </w:rPr>
              <w:t>除净日期核），换手未核</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中低（分地区单车归母利润、销量、股数、</w:t>
            </w:r>
            <w:r>
              <w:rPr>
                <w:rFonts w:eastAsia="微软雅黑" w:ascii="微软雅黑" w:hAnsi="微软雅黑"/>
                <w:sz w:val="17"/>
              </w:rPr>
              <w:t>PE</w:t>
            </w:r>
            <w:r>
              <w:rPr>
                <w:rFonts w:ascii="微软雅黑" w:hAnsi="微软雅黑" w:eastAsia="微软雅黑"/>
                <w:sz w:val="17"/>
              </w:rPr>
              <w:t>与</w:t>
            </w:r>
            <w:r>
              <w:rPr>
                <w:rFonts w:eastAsia="微软雅黑" w:ascii="微软雅黑" w:hAnsi="微软雅黑"/>
                <w:sz w:val="17"/>
              </w:rPr>
              <w:t>FX</w:t>
            </w:r>
            <w:r>
              <w:rPr>
                <w:rFonts w:ascii="微软雅黑" w:hAnsi="微软雅黑" w:eastAsia="微软雅黑"/>
                <w:sz w:val="17"/>
              </w:rPr>
              <w:t>假设，公开未提供精确分地区单车盈利）</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brokerTargets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中（新闻转述，部分财务增长与主源冲突明确不用）</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+45.67%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+53.33%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+61.00%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+59.44%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+67.83%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+76.22%</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+113.88%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+125.13%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+136.39%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+156.01%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+169.48%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+182.96%</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Heading2"/>
        <w:rPr/>
      </w:pPr>
      <w:r>
        <w:rPr>
          <w:color w:val="000000"/>
        </w:rPr>
        <w:t>结论卡与推荐条件</w:t>
      </w:r>
    </w:p>
    <w:p>
      <w:pPr>
        <w:pStyle w:val="Normal"/>
        <w:rPr/>
      </w:pPr>
      <w:r>
        <w:rPr/>
        <w:t>比亚迪的长期机会是电池、制造、整车和海外布局形成成本与产品优势，国际销售及高端组合帮助对冲国内价格压力。短期不能沿用历史高增长：</w:t>
      </w:r>
      <w:r>
        <w:rPr/>
        <w:t>2026H1</w:t>
      </w:r>
      <w:r>
        <w:rPr/>
        <w:t>收入下降</w:t>
      </w:r>
      <w:r>
        <w:rPr/>
        <w:t>7.13%</w:t>
      </w:r>
      <w:r>
        <w:rPr/>
        <w:t>、归母下降</w:t>
      </w:r>
      <w:r>
        <w:rPr/>
        <w:t>20.54%</w:t>
      </w:r>
      <w:r>
        <w:rPr/>
        <w:t>，研发资本化增加、汇兑和资本开支又影响利润质量。九月销量恢复而累计仍下降，价值取决于未来销量和每车利润同时改善。</w:t>
      </w:r>
    </w:p>
    <w:p>
      <w:pPr>
        <w:pStyle w:val="Normal"/>
        <w:rPr/>
      </w:pPr>
      <w:r>
        <w:rPr/>
        <w:t>半年、一年、三年、五年评分</w:t>
      </w:r>
      <w:r>
        <w:rPr/>
        <w:t>62.6</w:t>
      </w:r>
      <w:r>
        <w:rPr/>
        <w:t>、</w:t>
      </w:r>
      <w:r>
        <w:rPr/>
        <w:t>71.1</w:t>
      </w:r>
      <w:r>
        <w:rPr/>
        <w:t>、</w:t>
      </w:r>
      <w:r>
        <w:rPr/>
        <w:t>77.7</w:t>
      </w:r>
      <w:r>
        <w:rPr/>
        <w:t>、</w:t>
      </w:r>
      <w:r>
        <w:rPr/>
        <w:t>78.2</w:t>
      </w:r>
      <w:r>
        <w:rPr/>
        <w:t>，依次为时机待确认、有条件进取、较优成长候选、较优成长候选。全公司排名由总表统一。现价处于全部主要日均线下方，半年技术偏弱；长期空间必须由海外本地化、国内利润及现金验证，而非仅依据新能源渗透主题。</w:t>
      </w:r>
    </w:p>
    <w:p>
      <w:pPr>
        <w:pStyle w:val="Normal"/>
        <w:rPr/>
      </w:pPr>
      <w:r>
        <w:rPr/>
        <w:t>年底三情景</w:t>
      </w:r>
      <w:r>
        <w:rPr/>
        <w:t>25.83</w:t>
      </w:r>
      <w:r>
        <w:rPr/>
        <w:t>、</w:t>
      </w:r>
      <w:r>
        <w:rPr/>
        <w:t>103.18</w:t>
      </w:r>
      <w:r>
        <w:rPr/>
        <w:t>、</w:t>
      </w:r>
      <w:r>
        <w:rPr/>
        <w:t>216.85</w:t>
      </w:r>
      <w:r>
        <w:rPr/>
        <w:t>港元，涨跌负</w:t>
      </w:r>
      <w:r>
        <w:rPr/>
        <w:t>65.83%</w:t>
      </w:r>
      <w:r>
        <w:rPr/>
        <w:t>、正</w:t>
      </w:r>
      <w:r>
        <w:rPr/>
        <w:t>36.48%</w:t>
      </w:r>
      <w:r>
        <w:rPr/>
        <w:t>、正</w:t>
      </w:r>
      <w:r>
        <w:rPr/>
        <w:t>186.84%</w:t>
      </w:r>
      <w:r>
        <w:rPr/>
        <w:t>；半年</w:t>
      </w:r>
      <w:r>
        <w:rPr/>
        <w:t>25.91</w:t>
      </w:r>
      <w:r>
        <w:rPr/>
        <w:t>、</w:t>
      </w:r>
      <w:r>
        <w:rPr/>
        <w:t>115.92</w:t>
      </w:r>
      <w:r>
        <w:rPr/>
        <w:t>、</w:t>
      </w:r>
      <w:r>
        <w:rPr/>
        <w:t>249.71</w:t>
      </w:r>
      <w:r>
        <w:rPr/>
        <w:t>，负</w:t>
      </w:r>
      <w:r>
        <w:rPr/>
        <w:t>65.73%</w:t>
      </w:r>
      <w:r>
        <w:rPr/>
        <w:t>、正</w:t>
      </w:r>
      <w:r>
        <w:rPr/>
        <w:t>53.33%</w:t>
      </w:r>
      <w:r>
        <w:rPr/>
        <w:t>、正</w:t>
      </w:r>
      <w:r>
        <w:rPr/>
        <w:t>230.30%</w:t>
      </w:r>
      <w:r>
        <w:rPr/>
        <w:t>；一年</w:t>
      </w:r>
      <w:r>
        <w:rPr/>
        <w:t>23.56</w:t>
      </w:r>
      <w:r>
        <w:rPr/>
        <w:t>、</w:t>
      </w:r>
      <w:r>
        <w:rPr/>
        <w:t>126.38</w:t>
      </w:r>
      <w:r>
        <w:rPr/>
        <w:t>、</w:t>
      </w:r>
      <w:r>
        <w:rPr/>
        <w:t>275.91</w:t>
      </w:r>
      <w:r>
        <w:rPr/>
        <w:t>，负</w:t>
      </w:r>
      <w:r>
        <w:rPr/>
        <w:t>68.84%</w:t>
      </w:r>
      <w:r>
        <w:rPr/>
        <w:t>、正</w:t>
      </w:r>
      <w:r>
        <w:rPr/>
        <w:t>67.17%</w:t>
      </w:r>
      <w:r>
        <w:rPr/>
        <w:t>、正</w:t>
      </w:r>
      <w:r>
        <w:rPr/>
        <w:t>264.96%</w:t>
      </w:r>
      <w:r>
        <w:rPr/>
        <w:t>。三年</w:t>
      </w:r>
      <w:r>
        <w:rPr/>
        <w:t>20.02</w:t>
      </w:r>
      <w:r>
        <w:rPr/>
        <w:t>、</w:t>
      </w:r>
      <w:r>
        <w:rPr/>
        <w:t>168.20</w:t>
      </w:r>
      <w:r>
        <w:rPr/>
        <w:t>、</w:t>
      </w:r>
      <w:r>
        <w:rPr/>
        <w:t>396.42</w:t>
      </w:r>
      <w:r>
        <w:rPr/>
        <w:t>，负</w:t>
      </w:r>
      <w:r>
        <w:rPr/>
        <w:t>73.52%</w:t>
      </w:r>
      <w:r>
        <w:rPr/>
        <w:t>、正</w:t>
      </w:r>
      <w:r>
        <w:rPr/>
        <w:t>122.49%</w:t>
      </w:r>
      <w:r>
        <w:rPr/>
        <w:t>、正</w:t>
      </w:r>
      <w:r>
        <w:rPr/>
        <w:t>424.37%</w:t>
      </w:r>
      <w:r>
        <w:rPr/>
        <w:t>；五年</w:t>
      </w:r>
      <w:r>
        <w:rPr/>
        <w:t>16.65</w:t>
      </w:r>
      <w:r>
        <w:rPr/>
        <w:t>、</w:t>
      </w:r>
      <w:r>
        <w:rPr/>
        <w:t>199.73</w:t>
      </w:r>
      <w:r>
        <w:rPr/>
        <w:t>、</w:t>
      </w:r>
      <w:r>
        <w:rPr/>
        <w:t>519.50</w:t>
      </w:r>
      <w:r>
        <w:rPr/>
        <w:t>，负</w:t>
      </w:r>
      <w:r>
        <w:rPr/>
        <w:t>77.98%</w:t>
      </w:r>
      <w:r>
        <w:rPr/>
        <w:t>、正</w:t>
      </w:r>
      <w:r>
        <w:rPr/>
        <w:t>164.19%</w:t>
      </w:r>
      <w:r>
        <w:rPr/>
        <w:t>、正</w:t>
      </w:r>
      <w:r>
        <w:rPr/>
        <w:t>587.17%</w:t>
      </w:r>
      <w:r>
        <w:rPr/>
        <w:t>。</w:t>
      </w:r>
    </w:p>
    <w:p>
      <w:pPr>
        <w:pStyle w:val="Normal"/>
        <w:rPr/>
      </w:pPr>
      <w:r>
        <w:rPr/>
        <w:t>年底</w:t>
      </w:r>
      <w:r>
        <w:rPr/>
        <w:t>25%</w:t>
      </w:r>
      <w:r>
        <w:rPr/>
        <w:t>、</w:t>
      </w:r>
      <w:r>
        <w:rPr/>
        <w:t>50%</w:t>
      </w:r>
      <w:r>
        <w:rPr/>
        <w:t>、</w:t>
      </w:r>
      <w:r>
        <w:rPr/>
        <w:t>25%</w:t>
      </w:r>
      <w:r>
        <w:rPr/>
        <w:t>期望</w:t>
      </w:r>
      <w:r>
        <w:rPr/>
        <w:t>112.26</w:t>
      </w:r>
      <w:r>
        <w:rPr/>
        <w:t>港元、回报</w:t>
      </w:r>
      <w:r>
        <w:rPr/>
        <w:t>48.49%</w:t>
      </w:r>
      <w:r>
        <w:rPr/>
        <w:t>；防御</w:t>
      </w:r>
      <w:r>
        <w:rPr/>
        <w:t>40%</w:t>
      </w:r>
      <w:r>
        <w:rPr/>
        <w:t>、</w:t>
      </w:r>
      <w:r>
        <w:rPr/>
        <w:t>50%</w:t>
      </w:r>
      <w:r>
        <w:rPr/>
        <w:t>、</w:t>
      </w:r>
      <w:r>
        <w:rPr/>
        <w:t>10%</w:t>
      </w:r>
      <w:r>
        <w:rPr/>
        <w:t>为</w:t>
      </w:r>
      <w:r>
        <w:rPr/>
        <w:t>83.607</w:t>
      </w:r>
      <w:r>
        <w:rPr/>
        <w:t>、正</w:t>
      </w:r>
      <w:r>
        <w:rPr/>
        <w:t>10.59%</w:t>
      </w:r>
      <w:r>
        <w:rPr/>
        <w:t>，积极</w:t>
      </w:r>
      <w:r>
        <w:rPr/>
        <w:t>10%</w:t>
      </w:r>
      <w:r>
        <w:rPr/>
        <w:t>、</w:t>
      </w:r>
      <w:r>
        <w:rPr/>
        <w:t>50%</w:t>
      </w:r>
      <w:r>
        <w:rPr/>
        <w:t>、</w:t>
      </w:r>
      <w:r>
        <w:rPr/>
        <w:t>40%</w:t>
      </w:r>
      <w:r>
        <w:rPr/>
        <w:t>为</w:t>
      </w:r>
      <w:r>
        <w:rPr/>
        <w:t>140.913</w:t>
      </w:r>
      <w:r>
        <w:rPr/>
        <w:t>、正</w:t>
      </w:r>
      <w:r>
        <w:rPr/>
        <w:t>86.39%</w:t>
      </w:r>
      <w:r>
        <w:rPr/>
        <w:t>。一年、三年、五年基准累计研究股息</w:t>
      </w:r>
      <w:r>
        <w:rPr/>
        <w:t>0.5</w:t>
      </w:r>
      <w:r>
        <w:rPr/>
        <w:t>、</w:t>
      </w:r>
      <w:r>
        <w:rPr/>
        <w:t>2</w:t>
      </w:r>
      <w:r>
        <w:rPr/>
        <w:t>、</w:t>
      </w:r>
      <w:r>
        <w:rPr/>
        <w:t>4</w:t>
      </w:r>
      <w:r>
        <w:rPr/>
        <w:t>港元，总回报</w:t>
      </w:r>
      <w:r>
        <w:rPr/>
        <w:t>67.83%</w:t>
      </w:r>
      <w:r>
        <w:rPr/>
        <w:t>、</w:t>
      </w:r>
      <w:r>
        <w:rPr/>
        <w:t>125.13%</w:t>
      </w:r>
      <w:r>
        <w:rPr/>
        <w:t>、</w:t>
      </w:r>
      <w:r>
        <w:rPr/>
        <w:t>169.48%</w:t>
      </w:r>
      <w:r>
        <w:rPr/>
        <w:t>，三五年含分红年化</w:t>
      </w:r>
      <w:r>
        <w:rPr/>
        <w:t>31.06%</w:t>
      </w:r>
      <w:r>
        <w:rPr/>
        <w:t>、</w:t>
      </w:r>
      <w:r>
        <w:rPr/>
        <w:t>21.93%</w:t>
      </w:r>
      <w:r>
        <w:rPr/>
        <w:t>。权重非概率，价格区间非置信或最大损失；乐观要求多项经营条件同时兑现。</w:t>
      </w:r>
    </w:p>
    <w:p>
      <w:pPr>
        <w:pStyle w:val="Heading2"/>
        <w:rPr/>
      </w:pPr>
      <w:r>
        <w:rPr>
          <w:color w:val="000000"/>
        </w:rPr>
        <w:t>一 投资价值与业务边界</w:t>
      </w:r>
    </w:p>
    <w:p>
      <w:pPr>
        <w:pStyle w:val="Normal"/>
        <w:rPr/>
      </w:pPr>
      <w:r>
        <w:rPr/>
        <w:t>比亚迪覆盖新能源汽车、电池、电子及相关制造，核心竞争来自工程、供应链、成本和产品迭代。整车业务约占收入八成，不能把公司纯归类为互联网科技或只估电池。电池和部分零件内部制造可以降低协调成本，提高供应可控性，但也增加固定资本与技术投入，价值要通过整车利润和外部销售兑现。</w:t>
      </w:r>
    </w:p>
    <w:p>
      <w:pPr>
        <w:pStyle w:val="Normal"/>
        <w:rPr/>
      </w:pPr>
      <w:r>
        <w:rPr/>
        <w:t>主模型将国内与海外汽车销量乘各自正常归母单车利润，另加入不重复的外部电池储能、电子和其他归母贡献。内部电池利润已经包含在汽车单位经济性，不再次给电池市值；比亚迪电子贡献按归母经济权益，不能再将上市子公司全部市值加回。多业务协同有价值，但估值不能同一现金流算两遍。</w:t>
      </w:r>
    </w:p>
    <w:p>
      <w:pPr>
        <w:pStyle w:val="Normal"/>
        <w:rPr/>
      </w:pPr>
      <w:r>
        <w:rPr/>
        <w:t>进取型推荐重视海外、新车型和技术的长期空间，同时需要接受国内竞争与资本支出风险。公司已经有盈利制造基础，并非只靠远期故事，但当前利润下降意味着增长并不连续。股东收益来自正常每股盈利、分红和合理估值，销量冠军、专利或研发人数都只能解释经营能力，不能直接转换成获利概率。</w:t>
      </w:r>
    </w:p>
    <w:p>
      <w:pPr>
        <w:pStyle w:val="Heading2"/>
        <w:rPr/>
      </w:pPr>
      <w:r>
        <w:rPr>
          <w:color w:val="000000"/>
        </w:rPr>
        <w:t>二 历史规模与利润转折</w:t>
      </w:r>
    </w:p>
    <w:p>
      <w:pPr>
        <w:pStyle w:val="Normal"/>
        <w:rPr/>
      </w:pPr>
      <w:r>
        <w:rPr/>
        <w:t>二零二三、二零二四、二零二五收入分别</w:t>
      </w:r>
      <w:r>
        <w:rPr/>
        <w:t>6023.15</w:t>
      </w:r>
      <w:r>
        <w:rPr/>
        <w:t>、</w:t>
      </w:r>
      <w:r>
        <w:rPr/>
        <w:t>7771.02</w:t>
      </w:r>
      <w:r>
        <w:rPr/>
        <w:t>、</w:t>
      </w:r>
      <w:r>
        <w:rPr/>
        <w:t>8039.65</w:t>
      </w:r>
      <w:r>
        <w:rPr/>
        <w:t>亿元，后一年收入仅增长百分之三点四六。归母净利</w:t>
      </w:r>
      <w:r>
        <w:rPr/>
        <w:t>300.41</w:t>
      </w:r>
      <w:r>
        <w:rPr/>
        <w:t>、</w:t>
      </w:r>
      <w:r>
        <w:rPr/>
        <w:t>402.54</w:t>
      </w:r>
      <w:r>
        <w:rPr/>
        <w:t>、</w:t>
      </w:r>
      <w:r>
        <w:rPr/>
        <w:t>326.19</w:t>
      </w:r>
      <w:r>
        <w:rPr/>
        <w:t>亿元，二零二五同比下降百分之十八点九七。高基数、竞争、研发与组合等共同改变盈利，不能把前几年快速增长永久外推为每年两位数高增长。</w:t>
      </w:r>
    </w:p>
    <w:p>
      <w:pPr>
        <w:pStyle w:val="Normal"/>
        <w:rPr/>
      </w:pPr>
      <w:r>
        <w:rPr/>
        <w:t>二零二五汽车相关收入约</w:t>
      </w:r>
      <w:r>
        <w:rPr/>
        <w:t>6486.46</w:t>
      </w:r>
      <w:r>
        <w:rPr/>
        <w:t>亿元，电子及其他约</w:t>
      </w:r>
      <w:r>
        <w:rPr/>
        <w:t>1552.37</w:t>
      </w:r>
      <w:r>
        <w:rPr/>
        <w:t>亿元，两者毛利和资本需求不同。总毛利</w:t>
      </w:r>
      <w:r>
        <w:rPr/>
        <w:t>1426.60</w:t>
      </w:r>
      <w:r>
        <w:rPr/>
        <w:t>亿元低于上一年</w:t>
      </w:r>
      <w:r>
        <w:rPr/>
        <w:t>1510.56</w:t>
      </w:r>
      <w:r>
        <w:rPr/>
        <w:t>，收入增而毛利下降是利润压力直接证据。成熟规模与技术并未消除行业价格和成本变化，本研究更关注正常利润修复及海外经济性，而不是仅用历史收入排名推荐。</w:t>
      </w:r>
    </w:p>
    <w:p>
      <w:pPr>
        <w:pStyle w:val="Normal"/>
        <w:rPr/>
      </w:pPr>
      <w:r>
        <w:rPr/>
        <w:t>历史比较还需处理三倍股份送转。官网二零二四</w:t>
      </w:r>
      <w:r>
        <w:rPr/>
        <w:t>EPS13.84</w:t>
      </w:r>
      <w:r>
        <w:rPr/>
        <w:t>为旧股数基础，二零二五</w:t>
      </w:r>
      <w:r>
        <w:rPr/>
        <w:t>3.58</w:t>
      </w:r>
      <w:r>
        <w:rPr/>
        <w:t>已使用调整股数，不能直接说</w:t>
      </w:r>
      <w:r>
        <w:rPr/>
        <w:t>EPS</w:t>
      </w:r>
      <w:r>
        <w:rPr/>
        <w:t>跌近四分之三。财报归母同比与正确重列每股表现应分别核。股数变化同时含融资和库存等因素，送转本身不创造利润，也不使原股东经济价值自动增加。</w:t>
      </w:r>
    </w:p>
    <w:p>
      <w:pPr>
        <w:pStyle w:val="Heading2"/>
        <w:rPr/>
      </w:pPr>
      <w:r>
        <w:rPr>
          <w:color w:val="000000"/>
        </w:rPr>
        <w:t>三 上半年经营与真实数据</w:t>
      </w:r>
    </w:p>
    <w:p>
      <w:pPr>
        <w:pStyle w:val="Normal"/>
        <w:rPr/>
      </w:pPr>
      <w:r>
        <w:rPr/>
        <w:t>上半年收入</w:t>
      </w:r>
      <w:r>
        <w:rPr/>
        <w:t>3448.15</w:t>
      </w:r>
      <w:r>
        <w:rPr/>
        <w:t>亿元，归母</w:t>
      </w:r>
      <w:r>
        <w:rPr/>
        <w:t>123.25</w:t>
      </w:r>
      <w:r>
        <w:rPr/>
        <w:t>亿元、扣非</w:t>
      </w:r>
      <w:r>
        <w:rPr/>
        <w:t>123.73</w:t>
      </w:r>
      <w:r>
        <w:rPr/>
        <w:t>亿元，分别同比负百分之七点一三、二十点五四、九点零二。扣非比法定稍高，说明非经常净影响略负，不能认为法定下滑主要是单一正收益基数；正常经营、汇兑及研发列报共同影响。集团净利与归母差别本期较小，未来电子和合作业务仍需考虑。</w:t>
      </w:r>
    </w:p>
    <w:p>
      <w:pPr>
        <w:pStyle w:val="Normal"/>
        <w:rPr/>
      </w:pPr>
      <w:r>
        <w:rPr/>
        <w:t>国内收入</w:t>
      </w:r>
      <w:r>
        <w:rPr/>
        <w:t>1635.47</w:t>
      </w:r>
      <w:r>
        <w:rPr/>
        <w:t>亿元同比下降百分之三十点六八，境外</w:t>
      </w:r>
      <w:r>
        <w:rPr/>
        <w:t>1812.68</w:t>
      </w:r>
      <w:r>
        <w:rPr/>
        <w:t>亿元增百分之三十三点九二，集团地域结构明显改变。海外集团收入含电子及其他，不全是出口汽车。用境外收入除汽车出口数量计算精确单车售价，会将不同业务混合，研究不这样做。汽车出口与当地生产和会计地域又有差别。</w:t>
      </w:r>
    </w:p>
    <w:p>
      <w:pPr>
        <w:pStyle w:val="Normal"/>
        <w:rPr/>
      </w:pPr>
      <w:r>
        <w:rPr/>
        <w:t>上半年毛利率与利润变化并不一致：汽车相关毛利率百分之二十二点三三，同比改善一点九八个百分点，电子毛利百分之五点零四下降二点六七。毛利组合改善不保证净利增加，财务费用、正常研发、税及资本化会改变结果。必须从收入到现金逐层判断，不能选择最有利一行代表全部经营。</w:t>
      </w:r>
    </w:p>
    <w:p>
      <w:pPr>
        <w:pStyle w:val="Heading2"/>
        <w:rPr/>
      </w:pPr>
      <w:r>
        <w:rPr>
          <w:color w:val="000000"/>
        </w:rPr>
        <w:t>四 国内需求和价格竞争</w:t>
      </w:r>
    </w:p>
    <w:p>
      <w:pPr>
        <w:pStyle w:val="Normal"/>
        <w:rPr/>
      </w:pPr>
      <w:r>
        <w:rPr/>
        <w:t>国内汽车消费受收入、就业、换购、融资成本和政策影响。新能源渗透上升并不保证每家车厂收入增长，价格下降、渠道库存与产品竞争会改变收益分配。国内集团收入大幅下降需要核车型与电子地区结构，不能全部解释为新能源需求不再增长，也不能全部归因短期促销而忽略竞争。</w:t>
      </w:r>
    </w:p>
    <w:p>
      <w:pPr>
        <w:pStyle w:val="Normal"/>
        <w:rPr/>
      </w:pPr>
      <w:r>
        <w:rPr/>
        <w:t>比亚迪产品覆盖多个价格和使用场景，规模有助采购与研发摊薄，但大量产品也增加营销、库存与渠道管理。价格调整可以维持销量或抢份额，却可能降低单车利润；竞争者也会回应，长期成本优势不能自动转换成高利润。国内模型基准单车归母利润逐年提高，需要产品结构和效率支持。</w:t>
      </w:r>
    </w:p>
    <w:p>
      <w:pPr>
        <w:pStyle w:val="Normal"/>
        <w:rPr/>
      </w:pPr>
      <w:r>
        <w:rPr/>
        <w:t>悲观保留国内销量停滞、单位利润低，避免只因海外增长就忽视国内基础。若新技术推出后销量恢复但价格与毛利持续下行，不能上调每车利润；若高端车型增长、渠道库存与折扣下降，才有更强证据。国内需求恢复与公司份额提升是不同问题，都应通过实际产销、收入和现金核验。</w:t>
      </w:r>
    </w:p>
    <w:p>
      <w:pPr>
        <w:pStyle w:val="Heading2"/>
        <w:rPr/>
      </w:pPr>
      <w:r>
        <w:rPr>
          <w:color w:val="000000"/>
        </w:rPr>
        <w:t>五 车型矩阵与高端化</w:t>
      </w:r>
    </w:p>
    <w:p>
      <w:pPr>
        <w:pStyle w:val="Normal"/>
        <w:rPr/>
      </w:pPr>
      <w:r>
        <w:rPr/>
        <w:t>上半年方程豹、腾势、仰望合计销量同比增长百分之六十一，占乘用车总量百分之十二点八。高端组合有助平均售价与品牌，但高端车成本、研发、渠道和售后也高，不能直接以收入倍数给更高净利。公司不同品牌有不同客户场景，产品成功需要持续可靠性和用户体验，而非只靠一次热度。</w:t>
      </w:r>
    </w:p>
    <w:p>
      <w:pPr>
        <w:pStyle w:val="Normal"/>
        <w:rPr/>
      </w:pPr>
      <w:r>
        <w:rPr/>
        <w:t>主品牌规模提供供应链与成本基础，高端产品可以将技术转成溢价，同时可能发生内部车型替代。新车频繁发布有助覆盖需求，也可能造成旧车库存折扣和消费者等待。研究不把新车型数目直接作为增长指标，应观察销量结构、交付周期、订单取消、售价和长期客户评价。</w:t>
      </w:r>
    </w:p>
    <w:p>
      <w:pPr>
        <w:pStyle w:val="Normal"/>
        <w:rPr/>
      </w:pPr>
      <w:r>
        <w:rPr/>
        <w:t>三年基准国内单车净利七千元、五年八千元，不是把全部车辆按高端车利润处理。乐观才允许更高组合和效率，悲观保留竞争低利。若高端增长依赖过度营销、亏本促销或新平台资本增加，模型需要扣相应成本。品牌扩展的意义是持续归母现金收益，不能仅凭高售价证明高资本回报。</w:t>
      </w:r>
    </w:p>
    <w:p>
      <w:pPr>
        <w:pStyle w:val="Heading2"/>
        <w:rPr/>
      </w:pPr>
      <w:r>
        <w:rPr>
          <w:color w:val="000000"/>
        </w:rPr>
        <w:t>六 技术与垂直制造优势</w:t>
      </w:r>
    </w:p>
    <w:p>
      <w:pPr>
        <w:pStyle w:val="Normal"/>
        <w:rPr/>
      </w:pPr>
      <w:r>
        <w:rPr/>
        <w:t>电池、电驱、控制、整车工程及部分电子制造协同，可以缩短开发、改善成本与供应稳定。公司长期投入形成技术和规模，供应链可控性对快速迭代有帮助。垂直制造也意味着更重资产，需求变化时产能调整未必灵活，技术路线更新又可能使旧设备效率下降，不能只强调自供而不看资本负担。</w:t>
      </w:r>
    </w:p>
    <w:p>
      <w:pPr>
        <w:pStyle w:val="Normal"/>
        <w:rPr/>
      </w:pPr>
      <w:r>
        <w:rPr/>
        <w:t>刀片电池、混合动力、闪充与底盘等产品披露有具体业务方向，公司能力表述需与可靠测试和量产适配区分。宣传的性能与使用条件可能不同，不能根据单项指标断言所有产品全球领先。投资判断需要成本、质量、使用体验和销量毛利支持，不给技术名称单独追加无依据市值。</w:t>
      </w:r>
    </w:p>
    <w:p>
      <w:pPr>
        <w:pStyle w:val="Normal"/>
        <w:rPr/>
      </w:pPr>
      <w:r>
        <w:rPr/>
        <w:t>正常单车利润含持续研发与折旧，防止将垂直制造的持续技术投入全部当可加回费用。成本优势若转给消费者，股东仍可通过份额和规模受益，但利润率未必上升。模型将规模和单位收益分别设定，避免默认每多卖一辆都沿用过去最优单车利润。</w:t>
      </w:r>
    </w:p>
    <w:p>
      <w:pPr>
        <w:pStyle w:val="Heading2"/>
        <w:rPr/>
      </w:pPr>
      <w:r>
        <w:rPr>
          <w:color w:val="000000"/>
        </w:rPr>
        <w:t>七 电池与储能业务</w:t>
      </w:r>
    </w:p>
    <w:p>
      <w:pPr>
        <w:pStyle w:val="Normal"/>
        <w:rPr/>
      </w:pPr>
      <w:r>
        <w:rPr/>
        <w:t>电池既服务内部整车，也有外部销售与储能，需求受车辆、能源系统、成本、补贴和安全影响。内部电池规模可支撑制造与研发，但不能与外部收入混合估值。储能协议和项目具有机会，收入确认、交付、付款和毛利随项目节奏，不可把协议容量乘未经核验单价直接造收入。</w:t>
      </w:r>
    </w:p>
    <w:p>
      <w:pPr>
        <w:pStyle w:val="Normal"/>
        <w:rPr/>
      </w:pPr>
      <w:r>
        <w:rPr/>
        <w:t>上半年公司报告提到与</w:t>
      </w:r>
      <w:r>
        <w:rPr/>
        <w:t>Masdar</w:t>
      </w:r>
      <w:r>
        <w:rPr/>
        <w:t>的储能供货协议及项目进展，这是截止日前公开事项，但不代表协议价值已全部形成当期利润。储能竞争包含电芯寿命、安全、系统控制、服务与价格，市场扩张可能伴随降价。高出货排名有助解释规模，利润要看单位经济性和客户现金回收。</w:t>
      </w:r>
    </w:p>
    <w:p>
      <w:pPr>
        <w:pStyle w:val="Normal"/>
        <w:rPr/>
      </w:pPr>
      <w:r>
        <w:rPr/>
        <w:t>主模型其他归母利润基准年底二十五亿元、一年三十、三年四十五、五年六十，覆盖外部电池、储能和电子等非重复部分。公开未给完整各项归母净利，数字是明确研究假设，不能称公司预测。若外部业务需要更高资本和低价竞争，应降低贡献，而非在整车利润上又加一次主题价值。</w:t>
      </w:r>
    </w:p>
    <w:p>
      <w:pPr>
        <w:pStyle w:val="Heading2"/>
        <w:rPr/>
      </w:pPr>
      <w:r>
        <w:rPr>
          <w:color w:val="000000"/>
        </w:rPr>
        <w:t>八 电子业务与归母价值</w:t>
      </w:r>
    </w:p>
    <w:p>
      <w:pPr>
        <w:pStyle w:val="Normal"/>
        <w:rPr/>
      </w:pPr>
      <w:r>
        <w:rPr/>
        <w:t>上半年电子及其他收入</w:t>
      </w:r>
      <w:r>
        <w:rPr/>
        <w:t>694.05</w:t>
      </w:r>
      <w:r>
        <w:rPr/>
        <w:t>亿元、同比增百分之零点九六，毛利率降至百分之五点零四。报告提及零部件受规格变化影响、组装受海外客户支持，以及服务器等新业务进展。收入稳定而毛利下降限制集团利润，不能将服务器与人工智能相关字眼转成纯软件高毛利估值。</w:t>
      </w:r>
    </w:p>
    <w:p>
      <w:pPr>
        <w:pStyle w:val="Normal"/>
        <w:rPr/>
      </w:pPr>
      <w:r>
        <w:rPr/>
        <w:t>电子制造需要客户、工程与供应链能力，客户集中、产品周期和议价也会影响利润。上市子公司比亚迪电子有独立公众股东，其集团全利润并不全部属于母公司。集团合并收入包含全业务，归母模型应体现持股和少数权益；不能把其市值全加到母公司再保留同利润。</w:t>
      </w:r>
    </w:p>
    <w:p>
      <w:pPr>
        <w:pStyle w:val="Normal"/>
        <w:rPr/>
      </w:pPr>
      <w:r>
        <w:rPr/>
        <w:t>本报告没有为电子单独给不可追溯精细模型，合并在其他归母贡献中，并在风险和证据可信度注明。电子周期可分散汽车需求，却也受海外科技客户、关税和汇率影响，可能与汽车同方向受压。其他贡献提高需要实际订单、毛利和现金，不只看一项产品进入量产。</w:t>
      </w:r>
    </w:p>
    <w:p>
      <w:pPr>
        <w:pStyle w:val="Heading2"/>
        <w:rPr/>
      </w:pPr>
      <w:r>
        <w:rPr>
          <w:color w:val="000000"/>
        </w:rPr>
        <w:t>九 海外增长与出口事实</w:t>
      </w:r>
    </w:p>
    <w:p>
      <w:pPr>
        <w:pStyle w:val="Normal"/>
        <w:rPr/>
      </w:pPr>
      <w:r>
        <w:rPr/>
        <w:t>上半年汽车出口约</w:t>
      </w:r>
      <w:r>
        <w:rPr/>
        <w:t>79.2</w:t>
      </w:r>
      <w:r>
        <w:rPr/>
        <w:t>万辆，同比增长百分之六十七点八；集团境外收入增长较低而基数和业务不同，不能混用两个增速。公司业务覆盖多个地区，海外车型、售价、关税和物流不同，不宜以全球统一利润率概括。出口销量是真实扩张证据，仍需核当地终端与渠道库存，不等于全部车辆已售给消费者。</w:t>
      </w:r>
    </w:p>
    <w:p>
      <w:pPr>
        <w:pStyle w:val="Normal"/>
        <w:rPr/>
      </w:pPr>
      <w:r>
        <w:rPr/>
        <w:t>海外消费者需求取决于价格、充电、服务、政策和品牌信任，国内成功经验需适配当地习惯。渠道、融资、售后与零件供应形成成本，销售初期可能需要更多投入。规模出口有利于成本和产品覆盖，但不同地区汇率、关税及本地生产要求会改变单位利润，不能将高价市场利润永久复制。</w:t>
      </w:r>
    </w:p>
    <w:p>
      <w:pPr>
        <w:pStyle w:val="Normal"/>
        <w:rPr/>
      </w:pPr>
      <w:r>
        <w:rPr/>
        <w:t>主模型海外基准单位净利一万五至一万七千元，比部分新闻转述二万元更低，但仍高于国内，需要持续海外组合和效率支持。这是估值最重要假设之一，缺少官方分地区净利不能称已核。若海外销量增长而单位收益被本地化和费用削弱，目标应下降，即使年度总销量达到预期。</w:t>
      </w:r>
    </w:p>
    <w:p>
      <w:pPr>
        <w:pStyle w:val="Heading2"/>
        <w:rPr/>
      </w:pPr>
      <w:r>
        <w:rPr>
          <w:color w:val="000000"/>
        </w:rPr>
        <w:t>十 海外本地化与资本回报</w:t>
      </w:r>
    </w:p>
    <w:p>
      <w:pPr>
        <w:pStyle w:val="Normal"/>
        <w:rPr/>
      </w:pPr>
      <w:r>
        <w:rPr/>
        <w:t>巴西、泰国等工厂已运营，更多海外布局与物流渠道推进，报告提到八艘滚装船投入运营。生产与运输资产增强供应，初期资本和固定成本也增加。船队不代表零物流成本，工厂不代表立即成熟利用率；海外销量和制造地点需要按经济性匹配，避免全球扩张掩盖低回报资产。</w:t>
      </w:r>
    </w:p>
    <w:p>
      <w:pPr>
        <w:pStyle w:val="Normal"/>
        <w:rPr/>
      </w:pPr>
      <w:r>
        <w:rPr/>
        <w:t>本地生产可以缓解关税和供应限制，但当地工资、材料、质量、税务、法规及工程协同与国内不同。爬坡期间效率可能较低，资金占用和售后先发生。模型基准海外单位利润包括本地化成本，不假设所有新增销量都从国内低成本工厂高价出口，乐观才允许更好的成熟效率。</w:t>
      </w:r>
    </w:p>
    <w:p>
      <w:pPr>
        <w:pStyle w:val="Normal"/>
        <w:rPr/>
      </w:pPr>
      <w:r>
        <w:rPr/>
        <w:t>海外布局能分散单一市场，也可能使资金和管理更复杂。长期收益需要稳定销量、工厂利用和渠道服务，资本回报优于融资成本。若海外工厂需求不足或政策改变，资产减值和额外融资影响公司价值；不能把本地化只解释为风险消除，它改变风险结构，需要持续财务验证。</w:t>
      </w:r>
    </w:p>
    <w:p>
      <w:pPr>
        <w:pStyle w:val="Heading2"/>
        <w:rPr/>
      </w:pPr>
      <w:r>
        <w:rPr>
          <w:color w:val="000000"/>
        </w:rPr>
        <w:t>十一 关税 贸易与汇率</w:t>
      </w:r>
    </w:p>
    <w:p>
      <w:pPr>
        <w:pStyle w:val="Normal"/>
        <w:rPr/>
      </w:pPr>
      <w:r>
        <w:rPr/>
        <w:t>海外政策可通过关税、本地含量、补贴资格、出口税务、认证与数据规则影响售价和成本。公开投行报道提到潜在调整，属于预测或政策讨论，不全作为截至日已经生效的公司成本。研究不统一填造各地区未来税率，应核具体商品、地点、实施日和销售方式，再进入模型。</w:t>
      </w:r>
    </w:p>
    <w:p>
      <w:pPr>
        <w:pStyle w:val="Normal"/>
        <w:rPr/>
      </w:pPr>
      <w:r>
        <w:rPr/>
        <w:t>人民币走强可能降低美元或其他货币收入折算、增加海外应收汇兑压力，同时影响进口采购与借款。上半年财务费用</w:t>
      </w:r>
      <w:r>
        <w:rPr/>
        <w:t>50.96</w:t>
      </w:r>
      <w:r>
        <w:rPr/>
        <w:t>亿元，去年为净收益</w:t>
      </w:r>
      <w:r>
        <w:rPr/>
        <w:t>32.47</w:t>
      </w:r>
      <w:r>
        <w:rPr/>
        <w:t>亿元，报告解释主要由汇兑损失替代收益。收入增长和汇兑可以相互抵消，不能把全部净利变化都归于车价，也不能机械剔除全部汇兑当无经济成本。</w:t>
      </w:r>
    </w:p>
    <w:p>
      <w:pPr>
        <w:pStyle w:val="Normal"/>
        <w:rPr/>
      </w:pPr>
      <w:r>
        <w:rPr/>
        <w:t>研究换算每人民币</w:t>
      </w:r>
      <w:r>
        <w:rPr/>
        <w:t>1.10</w:t>
      </w:r>
      <w:r>
        <w:rPr/>
        <w:t>港元变化百分之五，港价目标单项相应变百分之五，但经营汇率还会改变净利润，真实敏感性更复杂。模型正常单车利润包含有限常态金融及汇率成本，重大汇兑或贸易冲击需要重新建桥。外资目标币种为港元，人民币</w:t>
      </w:r>
      <w:r>
        <w:rPr/>
        <w:t>A</w:t>
      </w:r>
      <w:r>
        <w:rPr/>
        <w:t>股目标不得移用。</w:t>
      </w:r>
    </w:p>
    <w:p>
      <w:pPr>
        <w:pStyle w:val="Heading2"/>
        <w:rPr/>
      </w:pPr>
      <w:r>
        <w:rPr>
          <w:color w:val="000000"/>
        </w:rPr>
        <w:t>十二 销量九月恢复与累计限制</w:t>
      </w:r>
    </w:p>
    <w:p>
      <w:pPr>
        <w:pStyle w:val="Normal"/>
        <w:rPr/>
      </w:pPr>
      <w:r>
        <w:rPr/>
        <w:t>九月新能源销量</w:t>
      </w:r>
      <w:r>
        <w:rPr/>
        <w:t>463561</w:t>
      </w:r>
      <w:r>
        <w:rPr/>
        <w:t>辆，去年</w:t>
      </w:r>
      <w:r>
        <w:rPr/>
        <w:t>396270</w:t>
      </w:r>
      <w:r>
        <w:rPr/>
        <w:t>，约同比增长百分之十六点九八，乘用车</w:t>
      </w:r>
      <w:r>
        <w:rPr/>
        <w:t>456713</w:t>
      </w:r>
      <w:r>
        <w:rPr/>
        <w:t>，出口</w:t>
      </w:r>
      <w:r>
        <w:rPr/>
        <w:t>180700</w:t>
      </w:r>
      <w:r>
        <w:rPr/>
        <w:t>。累计</w:t>
      </w:r>
      <w:r>
        <w:rPr/>
        <w:t>3131576</w:t>
      </w:r>
      <w:r>
        <w:rPr/>
        <w:t>辆，比去年</w:t>
      </w:r>
      <w:r>
        <w:rPr/>
        <w:t>3260146</w:t>
      </w:r>
      <w:r>
        <w:rPr/>
        <w:t>下降百分之三点九四；纯电累计增长百分之一点五零，插混下降十点一九。单月恢复是真实积极证据，累计仍弱说明不能宣称全年已恢复高速增长。</w:t>
      </w:r>
    </w:p>
    <w:p>
      <w:pPr>
        <w:pStyle w:val="Normal"/>
        <w:rPr/>
      </w:pPr>
      <w:r>
        <w:rPr/>
        <w:t>公告董事会署名十月七日、巨潮十月八日披露，数据未经审核及审计师确认，可能调整。它在截止日前可用，但精确盘中时点未核，不假设所有投资者已在某日开盘前获知。月度产销与收入、净利存在价格、地域、确认和库存差别，不能将九月销量乘固定利润当实际季度财报。</w:t>
      </w:r>
    </w:p>
    <w:p>
      <w:pPr>
        <w:pStyle w:val="Normal"/>
        <w:rPr/>
      </w:pPr>
      <w:r>
        <w:rPr/>
        <w:t>截至九月累计与全年</w:t>
      </w:r>
      <w:r>
        <w:rPr/>
        <w:t>470</w:t>
      </w:r>
      <w:r>
        <w:rPr/>
        <w:t>万辆新闻目标相比，剩余所需销量要由最后季度验证，模型不是公司承诺。年底基准未来十二个月国内</w:t>
      </w:r>
      <w:r>
        <w:rPr/>
        <w:t>270</w:t>
      </w:r>
      <w:r>
        <w:rPr/>
        <w:t>万、海外</w:t>
      </w:r>
      <w:r>
        <w:rPr/>
        <w:t>190</w:t>
      </w:r>
      <w:r>
        <w:rPr/>
        <w:t>万，总</w:t>
      </w:r>
      <w:r>
        <w:rPr/>
        <w:t>460</w:t>
      </w:r>
      <w:r>
        <w:rPr/>
        <w:t>万，代表目标时点常态需求估计，不是直接断言二零二六全年实现。季度期间、目标</w:t>
      </w:r>
      <w:r>
        <w:rPr/>
        <w:t>NTM</w:t>
      </w:r>
      <w:r>
        <w:rPr/>
        <w:t>和年度销量要明确区分。</w:t>
      </w:r>
    </w:p>
    <w:p>
      <w:pPr>
        <w:pStyle w:val="Heading2"/>
        <w:rPr/>
      </w:pPr>
      <w:r>
        <w:rPr>
          <w:color w:val="000000"/>
        </w:rPr>
        <w:t>十三 收入 售价与单位利润桥</w:t>
      </w:r>
    </w:p>
    <w:p>
      <w:pPr>
        <w:pStyle w:val="Normal"/>
        <w:rPr/>
      </w:pPr>
      <w:r>
        <w:rPr/>
        <w:t>销量、收入和净利各受不同变量影响。国内外车型、电子业务和电池外销使集团收入不能直接除全部整车销量得到精确</w:t>
      </w:r>
      <w:r>
        <w:rPr/>
        <w:t>ASP</w:t>
      </w:r>
      <w:r>
        <w:rPr/>
        <w:t>；毛利又包含不同产品，公开缺少完整车型地区利润。单位利润模型不是宣称官方已公布每车净利，而是用透明假设检验经营条件，避免只靠收入乘固定净利率。</w:t>
      </w:r>
    </w:p>
    <w:p>
      <w:pPr>
        <w:pStyle w:val="Normal"/>
        <w:rPr/>
      </w:pPr>
      <w:r>
        <w:rPr/>
        <w:t>正常单车归母净利包括材料、制造、研发、折旧、售后、销售行政、融资、税和少数权益经济归属。主模型不再给额外净现金值，防止现金利息及融资收益重复。其他贡献仅非重复外部业务，税已在单车净利中，不在模型外再统一扣一次税，避免混淆</w:t>
      </w:r>
      <w:r>
        <w:rPr/>
        <w:t>EBIT</w:t>
      </w:r>
      <w:r>
        <w:rPr/>
        <w:t>和净利。</w:t>
      </w:r>
    </w:p>
    <w:p>
      <w:pPr>
        <w:pStyle w:val="Normal"/>
        <w:rPr/>
      </w:pPr>
      <w:r>
        <w:rPr/>
        <w:t>年底基准国内</w:t>
      </w:r>
      <w:r>
        <w:rPr/>
        <w:t>270</w:t>
      </w:r>
      <w:r>
        <w:rPr/>
        <w:t>万乘</w:t>
      </w:r>
      <w:r>
        <w:rPr/>
        <w:t>4500</w:t>
      </w:r>
      <w:r>
        <w:rPr/>
        <w:t>元得到</w:t>
      </w:r>
      <w:r>
        <w:rPr/>
        <w:t>121.5</w:t>
      </w:r>
      <w:r>
        <w:rPr/>
        <w:t>亿元，海外</w:t>
      </w:r>
      <w:r>
        <w:rPr/>
        <w:t>190</w:t>
      </w:r>
      <w:r>
        <w:rPr/>
        <w:t>万乘</w:t>
      </w:r>
      <w:r>
        <w:rPr/>
        <w:t>15000</w:t>
      </w:r>
      <w:r>
        <w:rPr/>
        <w:t>元得</w:t>
      </w:r>
      <w:r>
        <w:rPr/>
        <w:t>285</w:t>
      </w:r>
      <w:r>
        <w:rPr/>
        <w:t>亿元，其他</w:t>
      </w:r>
      <w:r>
        <w:rPr/>
        <w:t>25</w:t>
      </w:r>
      <w:r>
        <w:rPr/>
        <w:t>亿元，总归母</w:t>
      </w:r>
      <w:r>
        <w:rPr/>
        <w:t>431.5</w:t>
      </w:r>
      <w:r>
        <w:rPr/>
        <w:t>亿元。这个正常未来盈利高于二零二五</w:t>
      </w:r>
      <w:r>
        <w:rPr/>
        <w:t>326.19</w:t>
      </w:r>
      <w:r>
        <w:rPr/>
        <w:t>，也高于最新半年年化，需要海外、国内和费用共同修复。每项假设公开，失败时可以具体降低，不用高目标反推必定成功。</w:t>
      </w:r>
    </w:p>
    <w:p>
      <w:pPr>
        <w:pStyle w:val="Heading2"/>
        <w:rPr/>
      </w:pPr>
      <w:r>
        <w:rPr>
          <w:color w:val="000000"/>
        </w:rPr>
        <w:t>十四 毛利改善与净利压力</w:t>
      </w:r>
    </w:p>
    <w:p>
      <w:pPr>
        <w:pStyle w:val="Normal"/>
        <w:rPr/>
      </w:pPr>
      <w:r>
        <w:rPr/>
        <w:t>上半年汽车相关毛利率二十二点三三，国内集团毛利十五点六七、境外二十一点七一，毛利组合有改善。境外高毛利帮助集团，电子较低毛利和其他费用限制净利。地域包含不同业务，不直接认为海外汽车毛利就是二十一点七一；净利润更不是毛利减一项税即可计算。</w:t>
      </w:r>
    </w:p>
    <w:p>
      <w:pPr>
        <w:pStyle w:val="Normal"/>
        <w:rPr/>
      </w:pPr>
      <w:r>
        <w:rPr/>
        <w:t>销售费用</w:t>
      </w:r>
      <w:r>
        <w:rPr/>
        <w:t>125.23</w:t>
      </w:r>
      <w:r>
        <w:rPr/>
        <w:t>亿元略增、行政</w:t>
      </w:r>
      <w:r>
        <w:rPr/>
        <w:t>103.65</w:t>
      </w:r>
      <w:r>
        <w:rPr/>
        <w:t>亿元略降，研发费用</w:t>
      </w:r>
      <w:r>
        <w:rPr/>
        <w:t>233.07</w:t>
      </w:r>
      <w:r>
        <w:rPr/>
        <w:t>亿元下降而总研发</w:t>
      </w:r>
      <w:r>
        <w:rPr/>
        <w:t>288.61</w:t>
      </w:r>
      <w:r>
        <w:rPr/>
        <w:t>亿元下降较少。财务费用与其他收益、减值又影响净利。上半年收入下降时费用效率需要观察，毛利率提高可以来自组合而不是所有产品提价，不能沿用到每个国内车型。</w:t>
      </w:r>
    </w:p>
    <w:p>
      <w:pPr>
        <w:pStyle w:val="Normal"/>
        <w:rPr/>
      </w:pPr>
      <w:r>
        <w:rPr/>
        <w:t>有力修复应在销量、产品结构、毛利、正常研发和现金同步出现。若毛利改善主要来自研发资本化或地区会计变化，正常单车盈利应更谨慎。基准未来净利修复有条件，悲观保持低国内每车收益，乐观需要毛利改善和费用控制而不是单靠海外收入增速。</w:t>
      </w:r>
    </w:p>
    <w:p>
      <w:pPr>
        <w:pStyle w:val="Heading2"/>
        <w:rPr/>
      </w:pPr>
      <w:r>
        <w:rPr>
          <w:color w:val="000000"/>
        </w:rPr>
        <w:t>十五 研发资本化与盈利质量</w:t>
      </w:r>
    </w:p>
    <w:p>
      <w:pPr>
        <w:pStyle w:val="Normal"/>
        <w:rPr/>
      </w:pPr>
      <w:r>
        <w:rPr/>
        <w:t>上半年研发总额</w:t>
      </w:r>
      <w:r>
        <w:rPr/>
        <w:t>288.61</w:t>
      </w:r>
      <w:r>
        <w:rPr/>
        <w:t>亿元，费用</w:t>
      </w:r>
      <w:r>
        <w:rPr/>
        <w:t>233.07</w:t>
      </w:r>
      <w:r>
        <w:rPr/>
        <w:t>、资本化</w:t>
      </w:r>
      <w:r>
        <w:rPr/>
        <w:t>55.54</w:t>
      </w:r>
      <w:r>
        <w:rPr/>
        <w:t>亿元，资本化比约百分之十九点二四；上一年同期资本化</w:t>
      </w:r>
      <w:r>
        <w:rPr/>
        <w:t>12.84</w:t>
      </w:r>
      <w:r>
        <w:rPr/>
        <w:t>亿元，占总额约百分之四点一六。资本化增加会降低当期费用、未来转为摊销，不能把费用下降全部解释为研发效率提升。总投入同比下降百分之六点五四，比费用下降幅度小。</w:t>
      </w:r>
    </w:p>
    <w:p>
      <w:pPr>
        <w:pStyle w:val="Normal"/>
        <w:rPr/>
      </w:pPr>
      <w:r>
        <w:rPr/>
        <w:t>资本化符合条件不自动有问题，它反映项目阶段和未来利益判断，但现金真实发生，风险延至以后。汽车项目上半年内部开发</w:t>
      </w:r>
      <w:r>
        <w:rPr/>
        <w:t>55.54</w:t>
      </w:r>
      <w:r>
        <w:rPr/>
        <w:t>亿元，转入无形</w:t>
      </w:r>
      <w:r>
        <w:rPr/>
        <w:t>50.41</w:t>
      </w:r>
      <w:r>
        <w:rPr/>
        <w:t>亿元，期末开发支出</w:t>
      </w:r>
      <w:r>
        <w:rPr/>
        <w:t>64.84</w:t>
      </w:r>
      <w:r>
        <w:rPr/>
        <w:t>。研究需要看可收回性、摊销年限及产品回报，不能将研发资产全部视作无限使用的现金资产。</w:t>
      </w:r>
    </w:p>
    <w:p>
      <w:pPr>
        <w:pStyle w:val="Normal"/>
        <w:rPr/>
      </w:pPr>
      <w:r>
        <w:rPr/>
        <w:t>主模型单车净利含正常经济研发成本，不直接把最新费用低点永久年化。若资本化继续升而销售和产品回报未改善，正常盈利应低于法定显示；若项目产生持续价值，也需扣后续研发与摊销。简单把资本化全部当坏账同样过度，模型通过不同单位收益和资本风险表达不确定。</w:t>
      </w:r>
    </w:p>
    <w:p>
      <w:pPr>
        <w:pStyle w:val="Heading2"/>
        <w:rPr/>
      </w:pPr>
      <w:r>
        <w:rPr>
          <w:color w:val="000000"/>
        </w:rPr>
        <w:t>十六 折旧 工厂和质量成本</w:t>
      </w:r>
    </w:p>
    <w:p>
      <w:pPr>
        <w:pStyle w:val="Normal"/>
        <w:rPr/>
      </w:pPr>
      <w:r>
        <w:rPr/>
        <w:t>上半年现金桥固定资产折旧</w:t>
      </w:r>
      <w:r>
        <w:rPr/>
        <w:t>364.64</w:t>
      </w:r>
      <w:r>
        <w:rPr/>
        <w:t>亿元、使用权折旧</w:t>
      </w:r>
      <w:r>
        <w:rPr/>
        <w:t>12.96</w:t>
      </w:r>
      <w:r>
        <w:rPr/>
        <w:t>、无形摊销</w:t>
      </w:r>
      <w:r>
        <w:rPr/>
        <w:t>16.92</w:t>
      </w:r>
      <w:r>
        <w:rPr/>
        <w:t>、长待摊</w:t>
      </w:r>
      <w:r>
        <w:rPr/>
        <w:t>10.26</w:t>
      </w:r>
      <w:r>
        <w:rPr/>
        <w:t>亿元，重资产经济成本显著。折旧不当期现金支付，但对应过去和未来设备投入，不能全部加回后用高倍数称真正利润。新工厂利用率、车型更新和设备适配会影响折旧效率。</w:t>
      </w:r>
    </w:p>
    <w:p>
      <w:pPr>
        <w:pStyle w:val="Normal"/>
        <w:rPr/>
      </w:pPr>
      <w:r>
        <w:rPr/>
        <w:t>六月产品质量保证预计负债</w:t>
      </w:r>
      <w:r>
        <w:rPr/>
        <w:t>340.44</w:t>
      </w:r>
      <w:r>
        <w:rPr/>
        <w:t>亿元，年末</w:t>
      </w:r>
      <w:r>
        <w:rPr/>
        <w:t>312.73</w:t>
      </w:r>
      <w:r>
        <w:rPr/>
        <w:t>，涵盖汽车及其他保修产品。金额变化依据销售和历史维修估计，不能直接转换成当期事故率或全部现金费用。售后与质量责任有时间差，销量快速扩张可能在以后体现，研究需核官方监管、召回和财表，不用网络个案推断系统性比例。</w:t>
      </w:r>
    </w:p>
    <w:p>
      <w:pPr>
        <w:pStyle w:val="Normal"/>
        <w:rPr/>
      </w:pPr>
      <w:r>
        <w:rPr/>
        <w:t>正常单车净利扣售后和固定成本，悲观包含更多质量与产能压力。海外车型与服务网络扩张也可能提高初期质量成本，不能只强调高海外售价。出现实质可靠性或监管问题时，利润与</w:t>
      </w:r>
      <w:r>
        <w:rPr/>
        <w:t>PE</w:t>
      </w:r>
      <w:r>
        <w:rPr/>
        <w:t>可同时降，风险不只是一笔罚款；长期品牌和复购依赖持续可信的产品体验。</w:t>
      </w:r>
    </w:p>
    <w:p>
      <w:pPr>
        <w:pStyle w:val="Heading2"/>
        <w:rPr/>
      </w:pPr>
      <w:r>
        <w:rPr>
          <w:color w:val="000000"/>
        </w:rPr>
        <w:t>十七 经营现金流与利润差别</w:t>
      </w:r>
    </w:p>
    <w:p>
      <w:pPr>
        <w:pStyle w:val="Normal"/>
        <w:rPr/>
      </w:pPr>
      <w:r>
        <w:rPr/>
        <w:t>上半年经营现金</w:t>
      </w:r>
      <w:r>
        <w:rPr/>
        <w:t>373.35</w:t>
      </w:r>
      <w:r>
        <w:rPr/>
        <w:t>亿元，同比增长百分之十七点二八，高于归母利润，现金回收有积极变化；二零二五全年</w:t>
      </w:r>
      <w:r>
        <w:rPr/>
        <w:t>591.36</w:t>
      </w:r>
      <w:r>
        <w:rPr/>
        <w:t>亿元，同比下降百分之五十五点六九，又显示现金长期波动。不能只选上半年改善忽视年度弱，也不能认为现金高于利润必然证明所有利润高质量。折旧和营运资金造成较大差异。</w:t>
      </w:r>
    </w:p>
    <w:p>
      <w:pPr>
        <w:pStyle w:val="Normal"/>
        <w:rPr/>
      </w:pPr>
      <w:r>
        <w:rPr/>
        <w:t>上半年现金桥存货增加</w:t>
      </w:r>
      <w:r>
        <w:rPr/>
        <w:t>532.31</w:t>
      </w:r>
      <w:r>
        <w:rPr/>
        <w:t>亿元，经营应收增加</w:t>
      </w:r>
      <w:r>
        <w:rPr/>
        <w:t>49.05</w:t>
      </w:r>
      <w:r>
        <w:rPr/>
        <w:t>，经营应付增加</w:t>
      </w:r>
      <w:r>
        <w:rPr/>
        <w:t>431.96</w:t>
      </w:r>
      <w:r>
        <w:rPr/>
        <w:t>，折旧等支撑经营现金。这些变化与资产负债表净额还受汇率和其他项目影响，不能简单相减重建表。现金流改善一部分来自付款和客户安排，不完全等于可分配自由现金，未来账期变化可能反转。</w:t>
      </w:r>
    </w:p>
    <w:p>
      <w:pPr>
        <w:pStyle w:val="Normal"/>
        <w:rPr/>
      </w:pPr>
      <w:r>
        <w:rPr/>
        <w:t>有力证据是库存与销售匹配、应收回收和现金形成持续；反证是库存和应收持续上升、经营现金依赖延长应付或更高合同款。研究不虚构公司精确现金跑道，因为它已有经营、贷款和金融资产，资金可用性复杂。模型需要年度资本需求与资源共同验证，不能仅靠净利推融资安全。</w:t>
      </w:r>
    </w:p>
    <w:p>
      <w:pPr>
        <w:pStyle w:val="Heading2"/>
        <w:rPr/>
      </w:pPr>
      <w:r>
        <w:rPr>
          <w:color w:val="000000"/>
        </w:rPr>
        <w:t>十八 库存 合同款与供应商资金</w:t>
      </w:r>
    </w:p>
    <w:p>
      <w:pPr>
        <w:pStyle w:val="Normal"/>
        <w:rPr/>
      </w:pPr>
      <w:r>
        <w:rPr/>
        <w:t>六月存货</w:t>
      </w:r>
      <w:r>
        <w:rPr/>
        <w:t>1899.91</w:t>
      </w:r>
      <w:r>
        <w:rPr/>
        <w:t>亿元，年末</w:t>
      </w:r>
      <w:r>
        <w:rPr/>
        <w:t>1384.21</w:t>
      </w:r>
      <w:r>
        <w:rPr/>
        <w:t>，增幅明显；应收</w:t>
      </w:r>
      <w:r>
        <w:rPr/>
        <w:t>501.26</w:t>
      </w:r>
      <w:r>
        <w:rPr/>
        <w:t>亿元，年末</w:t>
      </w:r>
      <w:r>
        <w:rPr/>
        <w:t>370.05</w:t>
      </w:r>
      <w:r>
        <w:rPr/>
        <w:t>。汽车、电子和在制材料不同，库存增长可以为交付和产品备货，也可能积累需求及折价风险。公开没有完整国内渠道和海外各车型库存，研究不把全部库存称已锁定订单，也不猜精确周转天数。</w:t>
      </w:r>
    </w:p>
    <w:p>
      <w:pPr>
        <w:pStyle w:val="Normal"/>
        <w:rPr/>
      </w:pPr>
      <w:r>
        <w:rPr/>
        <w:t>应付账款</w:t>
      </w:r>
      <w:r>
        <w:rPr/>
        <w:t>1763.56</w:t>
      </w:r>
      <w:r>
        <w:rPr/>
        <w:t>亿元、票据</w:t>
      </w:r>
      <w:r>
        <w:rPr/>
        <w:t>534.13</w:t>
      </w:r>
      <w:r>
        <w:rPr/>
        <w:t>亿元，合同负债</w:t>
      </w:r>
      <w:r>
        <w:rPr/>
        <w:t>797.97</w:t>
      </w:r>
      <w:r>
        <w:rPr/>
        <w:t>亿元，外部其他往来</w:t>
      </w:r>
      <w:r>
        <w:rPr/>
        <w:t>1009.22</w:t>
      </w:r>
      <w:r>
        <w:rPr/>
        <w:t>亿元。这些支持营运，但不能全称有息银行债，也不能称无成本永久资本。合同负债对应履约，供应商款有付款责任，往来款性质和期限需核。净债比率若忽略巨额营运责任会过度乐观。</w:t>
      </w:r>
    </w:p>
    <w:p>
      <w:pPr>
        <w:pStyle w:val="Normal"/>
        <w:rPr/>
      </w:pPr>
      <w:r>
        <w:rPr/>
        <w:t>规模制造有议价能力，延长账期又可能影响供应商健康和后续价格，研究不从应付款增加直接断言效率或负面事件。关注订单、交付、质量和支付协调，现金改善如果主要靠账期无法持续，就降低财务分。长期成长需要供应链稳定，不能把上下游资金压力当无风险杠杆。</w:t>
      </w:r>
    </w:p>
    <w:p>
      <w:pPr>
        <w:pStyle w:val="Heading2"/>
        <w:rPr/>
      </w:pPr>
      <w:r>
        <w:rPr>
          <w:color w:val="000000"/>
        </w:rPr>
        <w:t>十九 资本开支与自由现金</w:t>
      </w:r>
    </w:p>
    <w:p>
      <w:pPr>
        <w:pStyle w:val="Normal"/>
        <w:rPr/>
      </w:pPr>
      <w:r>
        <w:rPr/>
        <w:t>二零二五现金购建固定、无形及其他长期资产</w:t>
      </w:r>
      <w:r>
        <w:rPr/>
        <w:t>1568.08</w:t>
      </w:r>
      <w:r>
        <w:rPr/>
        <w:t>亿元，经营现金</w:t>
      </w:r>
      <w:r>
        <w:rPr/>
        <w:t>591.36</w:t>
      </w:r>
      <w:r>
        <w:rPr/>
        <w:t>，研究自由现金代理负</w:t>
      </w:r>
      <w:r>
        <w:rPr/>
        <w:t>976.72</w:t>
      </w:r>
      <w:r>
        <w:rPr/>
        <w:t>亿元。上半年同类现金</w:t>
      </w:r>
      <w:r>
        <w:rPr/>
        <w:t>447.03</w:t>
      </w:r>
      <w:r>
        <w:rPr/>
        <w:t>亿元、经营</w:t>
      </w:r>
      <w:r>
        <w:rPr/>
        <w:t>373.35</w:t>
      </w:r>
      <w:r>
        <w:rPr/>
        <w:t>，代理负</w:t>
      </w:r>
      <w:r>
        <w:rPr/>
        <w:t>73.68</w:t>
      </w:r>
      <w:r>
        <w:rPr/>
        <w:t>亿元，较上一年同期大额投入缓和但仍负。它只是现金定义代理，未扣全部投资、租赁或融资，不声称公司全部自由现金。</w:t>
      </w:r>
    </w:p>
    <w:p>
      <w:pPr>
        <w:pStyle w:val="Normal"/>
        <w:rPr/>
      </w:pPr>
      <w:r>
        <w:rPr/>
        <w:t>资本开支可以建设国内、海外和技术能力，回报在后续发生，低自由现金不必然证明战略失败。但持续负现金需要借款、权益或资产管理支持，不能依靠规模自动解决。汽车、电子和能源设备都有更新成本，未来折旧增加可能压利润。主模型单位盈利是扣正常成本后，不假设投资完成后再无资本需要。</w:t>
      </w:r>
    </w:p>
    <w:p>
      <w:pPr>
        <w:pStyle w:val="Normal"/>
        <w:rPr/>
      </w:pPr>
      <w:r>
        <w:rPr/>
        <w:t>三五年基准要求现金转化改善，不能永远以融资推动销量。若新增工厂利用不足、资本投入继续高于经营现金且没有盈利提高，股数与财务风险需更悲观。未取得完整逐厂项目</w:t>
      </w:r>
      <w:r>
        <w:rPr/>
        <w:t>IRR</w:t>
      </w:r>
      <w:r>
        <w:rPr/>
        <w:t>，研究不填造，资本回报通过利润、现金和资产增长逐期核验，比给每个项目一个伪精确回报率更可靠。</w:t>
      </w:r>
    </w:p>
    <w:p>
      <w:pPr>
        <w:pStyle w:val="Heading2"/>
        <w:rPr/>
      </w:pPr>
      <w:r>
        <w:rPr>
          <w:color w:val="000000"/>
        </w:rPr>
        <w:t>二十 现金 金融资产与债务</w:t>
      </w:r>
    </w:p>
    <w:p>
      <w:pPr>
        <w:pStyle w:val="Normal"/>
        <w:rPr/>
      </w:pPr>
      <w:r>
        <w:rPr/>
        <w:t>六月现金等价</w:t>
      </w:r>
      <w:r>
        <w:rPr/>
        <w:t>556.19</w:t>
      </w:r>
      <w:r>
        <w:rPr/>
        <w:t>亿元，货币资金</w:t>
      </w:r>
      <w:r>
        <w:rPr/>
        <w:t>587.38</w:t>
      </w:r>
      <w:r>
        <w:rPr/>
        <w:t>，差额包含</w:t>
      </w:r>
      <w:r>
        <w:rPr/>
        <w:t>28.82</w:t>
      </w:r>
      <w:r>
        <w:rPr/>
        <w:t>亿元受限保证金及专用资金、</w:t>
      </w:r>
      <w:r>
        <w:rPr/>
        <w:t>2.37</w:t>
      </w:r>
      <w:r>
        <w:rPr/>
        <w:t>亿元应计利息。交易性金融资产</w:t>
      </w:r>
      <w:r>
        <w:rPr/>
        <w:t>699.40</w:t>
      </w:r>
      <w:r>
        <w:rPr/>
        <w:t>亿元另列，并非全部无风险活期。资源与债务需要同币种期限匹配，不可把货币资金加全部金融投资后称所有可以立刻派股息。</w:t>
      </w:r>
    </w:p>
    <w:p>
      <w:pPr>
        <w:pStyle w:val="Normal"/>
        <w:rPr/>
      </w:pPr>
      <w:r>
        <w:rPr/>
        <w:t>研究有息借款与债券合计约</w:t>
      </w:r>
      <w:r>
        <w:rPr/>
        <w:t>1200.55</w:t>
      </w:r>
      <w:r>
        <w:rPr/>
        <w:t>亿元，包括短借、长借、当前到期和超短债；租赁约</w:t>
      </w:r>
      <w:r>
        <w:rPr/>
        <w:t>108.72</w:t>
      </w:r>
      <w:r>
        <w:rPr/>
        <w:t>亿元另列。总负债</w:t>
      </w:r>
      <w:r>
        <w:rPr/>
        <w:t>6679.08</w:t>
      </w:r>
      <w:r>
        <w:rPr/>
        <w:t>亿元包含供应商、合同、税费和其他，不能全部当银行有息债。相反只看净借款也会遗漏营运和保修责任，财务安全须以现金、履约与资本支出共同判断。</w:t>
      </w:r>
    </w:p>
    <w:p>
      <w:pPr>
        <w:pStyle w:val="Normal"/>
        <w:rPr/>
      </w:pPr>
      <w:r>
        <w:rPr/>
        <w:t>模型单车利润含正常金融成本和收益，不额外加净现金与投资市值。若将来改成企业价值现金流模型，可另做一致债务和资产桥，但需要去掉重复金融收益。当前多口径现金都清楚保存，不能用最广资产值给低端保底、用同资产利息又给高端利润，让情景不对称。</w:t>
      </w:r>
    </w:p>
    <w:p>
      <w:pPr>
        <w:pStyle w:val="Heading2"/>
        <w:rPr/>
      </w:pPr>
      <w:r>
        <w:rPr>
          <w:color w:val="000000"/>
        </w:rPr>
        <w:t>二十一 永续资本与融资稀释</w:t>
      </w:r>
    </w:p>
    <w:p>
      <w:pPr>
        <w:pStyle w:val="Normal"/>
        <w:rPr/>
      </w:pPr>
      <w:r>
        <w:rPr/>
        <w:t>其他权益工具中的永续金额约</w:t>
      </w:r>
      <w:r>
        <w:rPr/>
        <w:t>208.47</w:t>
      </w:r>
      <w:r>
        <w:rPr/>
        <w:t>亿元，会计列权益但存在利息、赎回和普通股分红相关条款。它不是无需成本的永久资本，上半年融资流入其他权益</w:t>
      </w:r>
      <w:r>
        <w:rPr/>
        <w:t>193</w:t>
      </w:r>
      <w:r>
        <w:rPr/>
        <w:t>亿元、赎回</w:t>
      </w:r>
      <w:r>
        <w:rPr/>
        <w:t>170</w:t>
      </w:r>
      <w:r>
        <w:rPr/>
        <w:t>亿元、支付利息</w:t>
      </w:r>
      <w:r>
        <w:rPr/>
        <w:t>2.70</w:t>
      </w:r>
      <w:r>
        <w:rPr/>
        <w:t>亿元，显示资金周转与经济成本。普通股</w:t>
      </w:r>
      <w:r>
        <w:rPr/>
        <w:t>EPS</w:t>
      </w:r>
      <w:r>
        <w:rPr/>
        <w:t>可能需要对应期间分配扣减，不能直接从权益分类认定没有风险。</w:t>
      </w:r>
    </w:p>
    <w:p>
      <w:pPr>
        <w:pStyle w:val="Normal"/>
        <w:rPr/>
      </w:pPr>
      <w:r>
        <w:rPr/>
        <w:t>二零二五</w:t>
      </w:r>
      <w:r>
        <w:rPr/>
        <w:t>H</w:t>
      </w:r>
      <w:r>
        <w:rPr/>
        <w:t>股配售支持资源，融资可以用于扩张，同时稀释。股票送转三倍与融资增股是不同经济事件，送转不改变原股东比例，配售可能改变。未来股数基准约</w:t>
      </w:r>
      <w:r>
        <w:rPr/>
        <w:t>92</w:t>
      </w:r>
      <w:r>
        <w:rPr/>
        <w:t>至</w:t>
      </w:r>
      <w:r>
        <w:rPr/>
        <w:t>94</w:t>
      </w:r>
      <w:r>
        <w:rPr/>
        <w:t>亿，悲观增至更高，反映授予及融资风险，不假设持续净缩股。股价低于配售价不证明未来回升有保障。</w:t>
      </w:r>
    </w:p>
    <w:p>
      <w:pPr>
        <w:pStyle w:val="Normal"/>
        <w:rPr/>
      </w:pPr>
      <w:r>
        <w:rPr/>
        <w:t>现金不足时公司可以调整资本计划、融资或回购，但不同选择影响成长和每股价值。研究不能将所有融资都视为负面，也不能只看融资增强现金；关键是新资金回报超过成本。长期財务分比短期低，体现更长海外建设、产业投入和治理资本分配的不确定。</w:t>
      </w:r>
    </w:p>
    <w:p>
      <w:pPr>
        <w:pStyle w:val="Heading2"/>
        <w:rPr/>
      </w:pPr>
      <w:r>
        <w:rPr>
          <w:color w:val="000000"/>
        </w:rPr>
        <w:t xml:space="preserve">二十二 股数 </w:t>
      </w:r>
      <w:r>
        <w:rPr>
          <w:color w:val="000000"/>
        </w:rPr>
        <w:t>EPS</w:t>
      </w:r>
      <w:r>
        <w:rPr>
          <w:color w:val="000000"/>
        </w:rPr>
        <w:t>与公司行动核验</w:t>
      </w:r>
    </w:p>
    <w:p>
      <w:pPr>
        <w:pStyle w:val="Normal"/>
        <w:rPr/>
      </w:pPr>
      <w:r>
        <w:rPr/>
        <w:t>六月发行在外总股</w:t>
      </w:r>
      <w:r>
        <w:rPr/>
        <w:t>9117197565</w:t>
      </w:r>
      <w:r>
        <w:rPr/>
        <w:t>，</w:t>
      </w:r>
      <w:r>
        <w:rPr/>
        <w:t>EPS</w:t>
      </w:r>
      <w:r>
        <w:rPr/>
        <w:t>加权普通股</w:t>
      </w:r>
      <w:r>
        <w:rPr/>
        <w:t>90.85053</w:t>
      </w:r>
      <w:r>
        <w:rPr/>
        <w:t>亿，限制和库存股份造成差异。半年基本与稀释</w:t>
      </w:r>
      <w:r>
        <w:rPr/>
        <w:t>EPS</w:t>
      </w:r>
      <w:r>
        <w:rPr/>
        <w:t>均</w:t>
      </w:r>
      <w:r>
        <w:rPr/>
        <w:t>1.35</w:t>
      </w:r>
      <w:r>
        <w:rPr/>
        <w:t>，未来模型显式用情景股数，不永久复制分母。公司利润分配和股份激励还会改变现金与股数，</w:t>
      </w:r>
      <w:r>
        <w:rPr/>
        <w:t>EPS</w:t>
      </w:r>
      <w:r>
        <w:rPr/>
        <w:t>增长必须区分总盈利与分母，不以送转导致名义股价下降作为低估值证据。</w:t>
      </w:r>
    </w:p>
    <w:p>
      <w:pPr>
        <w:pStyle w:val="Normal"/>
        <w:rPr/>
      </w:pPr>
      <w:r>
        <w:rPr/>
        <w:t>H</w:t>
      </w:r>
      <w:r>
        <w:rPr/>
        <w:t>股原红股</w:t>
      </w:r>
      <w:r>
        <w:rPr/>
        <w:t>PDF</w:t>
      </w:r>
      <w:r>
        <w:rPr/>
        <w:t>视觉核验明确除净二零二五六月十日、记录六月十七日、寄发七月二十九、红股首交易七月三十。</w:t>
      </w:r>
      <w:r>
        <w:rPr/>
        <w:t>A</w:t>
      </w:r>
      <w:r>
        <w:rPr/>
        <w:t>股年报明确记录七月二十八、实施七月二十九。两地除净与实施时点不同并非矛盾，不能用</w:t>
      </w:r>
      <w:r>
        <w:rPr/>
        <w:t>A</w:t>
      </w:r>
      <w:r>
        <w:rPr/>
        <w:t>股实施日否定</w:t>
      </w:r>
      <w:r>
        <w:rPr/>
        <w:t>H</w:t>
      </w:r>
      <w:r>
        <w:rPr/>
        <w:t>历史复权。锁版</w:t>
      </w:r>
      <w:r>
        <w:rPr/>
        <w:t>H</w:t>
      </w:r>
      <w:r>
        <w:rPr/>
        <w:t>股三比一行动与全公司股份三倍相符。</w:t>
      </w:r>
    </w:p>
    <w:p>
      <w:pPr>
        <w:pStyle w:val="Normal"/>
        <w:rPr/>
      </w:pPr>
      <w:r>
        <w:rPr/>
        <w:t>官方方案每十股送八、资本公积转十二，送转后股份三倍。</w:t>
      </w:r>
      <w:r>
        <w:rPr/>
        <w:t>H</w:t>
      </w:r>
      <w:r>
        <w:rPr/>
        <w:t>公告文本提取缺字体，已渲染看图，不把提取失败当原文件没有日期。价格、均线与回撤用</w:t>
      </w:r>
      <w:r>
        <w:rPr/>
        <w:t>H</w:t>
      </w:r>
      <w:r>
        <w:rPr/>
        <w:t>股归一复权，历史名义</w:t>
      </w:r>
      <w:r>
        <w:rPr/>
        <w:t>EPS</w:t>
      </w:r>
      <w:r>
        <w:rPr/>
        <w:t>应重列。技术和财务对应股数处理不一致会造成错误趋势和虚假低</w:t>
      </w:r>
      <w:r>
        <w:rPr/>
        <w:t>PE</w:t>
      </w:r>
      <w:r>
        <w:rPr/>
        <w:t>，这是本章的关键核验。</w:t>
      </w:r>
    </w:p>
    <w:p>
      <w:pPr>
        <w:pStyle w:val="Heading2"/>
        <w:rPr/>
      </w:pPr>
      <w:r>
        <w:rPr>
          <w:color w:val="000000"/>
        </w:rPr>
        <w:t>二十三 股息与回报口径</w:t>
      </w:r>
    </w:p>
    <w:p>
      <w:pPr>
        <w:pStyle w:val="Normal"/>
        <w:rPr/>
      </w:pPr>
      <w:r>
        <w:rPr/>
        <w:t>二零二五末期每十股人民币</w:t>
      </w:r>
      <w:r>
        <w:rPr/>
        <w:t>3.58</w:t>
      </w:r>
      <w:r>
        <w:rPr/>
        <w:t>元，是</w:t>
      </w:r>
      <w:r>
        <w:rPr/>
        <w:t>0.358</w:t>
      </w:r>
      <w:r>
        <w:rPr/>
        <w:t>元每股，不是</w:t>
      </w:r>
      <w:r>
        <w:rPr/>
        <w:t>3.58</w:t>
      </w:r>
      <w:r>
        <w:rPr/>
        <w:t>元每股。对应已发生派息不加入基准日以后未来回报。上半年不派息，模型年底与半年暂零，一年悲基乐累计</w:t>
      </w:r>
      <w:r>
        <w:rPr/>
        <w:t>0.25</w:t>
      </w:r>
      <w:r>
        <w:rPr/>
        <w:t>、</w:t>
      </w:r>
      <w:r>
        <w:rPr/>
        <w:t>0.5</w:t>
      </w:r>
      <w:r>
        <w:rPr/>
        <w:t>、</w:t>
      </w:r>
      <w:r>
        <w:rPr/>
        <w:t>0.9</w:t>
      </w:r>
      <w:r>
        <w:rPr/>
        <w:t>港元，三年</w:t>
      </w:r>
      <w:r>
        <w:rPr/>
        <w:t>0.8</w:t>
      </w:r>
      <w:r>
        <w:rPr/>
        <w:t>、</w:t>
      </w:r>
      <w:r>
        <w:rPr/>
        <w:t>2</w:t>
      </w:r>
      <w:r>
        <w:rPr/>
        <w:t>、</w:t>
      </w:r>
      <w:r>
        <w:rPr/>
        <w:t>3.5</w:t>
      </w:r>
      <w:r>
        <w:rPr/>
        <w:t>，五年</w:t>
      </w:r>
      <w:r>
        <w:rPr/>
        <w:t>1.5</w:t>
      </w:r>
      <w:r>
        <w:rPr/>
        <w:t>、</w:t>
      </w:r>
      <w:r>
        <w:rPr/>
        <w:t>4</w:t>
      </w:r>
      <w:r>
        <w:rPr/>
        <w:t>、</w:t>
      </w:r>
      <w:r>
        <w:rPr/>
        <w:t>7</w:t>
      </w:r>
      <w:r>
        <w:rPr/>
        <w:t>，全是研究假设，非公司承诺。</w:t>
      </w:r>
    </w:p>
    <w:p>
      <w:pPr>
        <w:pStyle w:val="Normal"/>
        <w:rPr/>
      </w:pPr>
      <w:r>
        <w:rPr/>
        <w:t>总回报等于目标价加累计现金股息除现价减一，不假设再投资，也不把回购另外当现金收入。股息提高需要现金和资本计划支持，低自由现金与永续条款可限制派息。含分红收益与股价上涨空间分开展示，既不忽略现金，也不让旧股息重复增加未来结果。</w:t>
      </w:r>
    </w:p>
    <w:p>
      <w:pPr>
        <w:pStyle w:val="Normal"/>
        <w:rPr/>
      </w:pPr>
      <w:r>
        <w:rPr/>
        <w:t>三年基准股价涨</w:t>
      </w:r>
      <w:r>
        <w:rPr/>
        <w:t>122.49%</w:t>
      </w:r>
      <w:r>
        <w:rPr/>
        <w:t>、含股息</w:t>
      </w:r>
      <w:r>
        <w:rPr/>
        <w:t>125.13%</w:t>
      </w:r>
      <w:r>
        <w:rPr/>
        <w:t>，五年</w:t>
      </w:r>
      <w:r>
        <w:rPr/>
        <w:t>164.19%</w:t>
      </w:r>
      <w:r>
        <w:rPr/>
        <w:t>、含股息</w:t>
      </w:r>
      <w:r>
        <w:rPr/>
        <w:t>169.48%</w:t>
      </w:r>
      <w:r>
        <w:rPr/>
        <w:t>，年化</w:t>
      </w:r>
      <w:r>
        <w:rPr/>
        <w:t>31.06</w:t>
      </w:r>
      <w:r>
        <w:rPr/>
        <w:t>、</w:t>
      </w:r>
      <w:r>
        <w:rPr/>
        <w:t>21.93</w:t>
      </w:r>
      <w:r>
        <w:rPr/>
        <w:t>。收益很高主要来自正常盈利扩张而非分红，因而不适合按稳定股息品种理解。未来分红政策或股数变化出现时，</w:t>
      </w:r>
      <w:r>
        <w:rPr/>
        <w:t>EPS</w:t>
      </w:r>
      <w:r>
        <w:rPr/>
        <w:t>、现金和总回报要一起更新，不能只加股息而不检查资本约束。</w:t>
      </w:r>
    </w:p>
    <w:p>
      <w:pPr>
        <w:pStyle w:val="Heading2"/>
        <w:rPr/>
      </w:pPr>
      <w:r>
        <w:rPr>
          <w:color w:val="000000"/>
        </w:rPr>
        <w:t>二十四 治理 激励与持续经营</w:t>
      </w:r>
    </w:p>
    <w:p>
      <w:pPr>
        <w:pStyle w:val="Normal"/>
        <w:rPr/>
      </w:pPr>
      <w:r>
        <w:rPr/>
        <w:t>公司技术和制造文化支持长期投入，创始人和产业战略也影响资本配置。普通股东收益可能与扩大产业规模不是同一速度，需要关注融资、关联安排、股权激励和项目回报。研发与工厂有合理性，但高战略投入不能无限延后每股现金回报，研究要求盈利和现金逐步匹配。</w:t>
      </w:r>
    </w:p>
    <w:p>
      <w:pPr>
        <w:pStyle w:val="Normal"/>
        <w:rPr/>
      </w:pPr>
      <w:r>
        <w:rPr/>
        <w:t>员工持股与限制股票经济成本包含授予、股份报酬和未来分母，低名义授予价和会计公允成本不同。公司报告对未解锁股份影响</w:t>
      </w:r>
      <w:r>
        <w:rPr/>
        <w:t>EPS</w:t>
      </w:r>
      <w:r>
        <w:rPr/>
        <w:t>有专门扣项，不能认为没有稀释便没有成本。模型以正常单位利润和情景股数保留约束，不把激励剔除后又假设永久不增股。</w:t>
      </w:r>
    </w:p>
    <w:p>
      <w:pPr>
        <w:pStyle w:val="Normal"/>
        <w:rPr/>
      </w:pPr>
      <w:r>
        <w:rPr/>
        <w:t>主报告未有严重持续经营结论不代表没有市场风险，制造行业仍面临需求、质量、资本和政策变化。研究不额外创造持续经营危机，也不以标准保证条文当盈利保证。反证来自具体经营和现金，不是笼统危言：连续弱需求、低利用、现金投入失衡与融资过多都足以改变推荐。</w:t>
      </w:r>
    </w:p>
    <w:p>
      <w:pPr>
        <w:pStyle w:val="Heading2"/>
        <w:rPr/>
      </w:pPr>
      <w:r>
        <w:rPr>
          <w:color w:val="000000"/>
        </w:rPr>
        <w:t>二十五 日线与均线结构</w:t>
      </w:r>
    </w:p>
    <w:p>
      <w:pPr>
        <w:pStyle w:val="Normal"/>
        <w:rPr/>
      </w:pPr>
      <w:r>
        <w:rPr/>
        <w:t>锁版</w:t>
      </w:r>
      <w:r>
        <w:rPr/>
        <w:t>739</w:t>
      </w:r>
      <w:r>
        <w:rPr/>
        <w:t>根日线，收盘</w:t>
      </w:r>
      <w:r>
        <w:rPr/>
        <w:t>75.60</w:t>
      </w:r>
      <w:r>
        <w:rPr/>
        <w:t>，二十、六十、一百二十、二百五十日均线</w:t>
      </w:r>
      <w:r>
        <w:rPr/>
        <w:t>77.8275</w:t>
      </w:r>
      <w:r>
        <w:rPr/>
        <w:t>、</w:t>
      </w:r>
      <w:r>
        <w:rPr/>
        <w:t>85.675</w:t>
      </w:r>
      <w:r>
        <w:rPr/>
        <w:t>、</w:t>
      </w:r>
      <w:r>
        <w:rPr/>
        <w:t>88.1939</w:t>
      </w:r>
      <w:r>
        <w:rPr/>
        <w:t>、</w:t>
      </w:r>
      <w:r>
        <w:rPr/>
        <w:t>93.9921</w:t>
      </w:r>
      <w:r>
        <w:rPr/>
        <w:t>。价格全部在下方，距离负百分之二点八六、十一点七六、十四点二八、十九点五七，均线近五日斜率全负。公司长期成长与当前技术弱势并存，不能用产业优势直接宣布底部完成。</w:t>
      </w:r>
    </w:p>
    <w:p>
      <w:pPr>
        <w:pStyle w:val="Normal"/>
        <w:rPr/>
      </w:pPr>
      <w:r>
        <w:rPr/>
        <w:t>十月九日涨百分之三点七零，形成短期反弹，但二十日收益负百分之四点九七、六十日负百分之十六点八八，一百二十日负三十一点八一，二百五十日负三十三点三一。一个交易日不能改变长期回撤，半年技术分一点九反映尚需确认。若继续回到二十日线，亦需要六十日趋势减缓。</w:t>
      </w:r>
    </w:p>
    <w:p>
      <w:pPr>
        <w:pStyle w:val="Normal"/>
        <w:rPr/>
      </w:pPr>
      <w:r>
        <w:rPr/>
        <w:t>技术分析以基准价格归一复权</w:t>
      </w:r>
      <w:r>
        <w:rPr/>
        <w:t>OHLC</w:t>
      </w:r>
      <w:r>
        <w:rPr/>
        <w:t>，送转与分红已在历史处理，不能将除净落差当崩跌。观察交易结构与经营变化共同验证，不把多条相关均线重复加分。价格先于利润改善可能发生，价格反弹后财报不兑现也可能发生，投资结论始终依赖条件而非单一形态。</w:t>
      </w:r>
    </w:p>
    <w:p>
      <w:pPr>
        <w:pStyle w:val="Heading2"/>
        <w:rPr/>
      </w:pPr>
      <w:r>
        <w:rPr>
          <w:color w:val="000000"/>
        </w:rPr>
        <w:t>二十六 量能与上涨下跌成交</w:t>
      </w:r>
    </w:p>
    <w:p>
      <w:pPr>
        <w:pStyle w:val="Normal"/>
        <w:rPr/>
      </w:pPr>
      <w:r>
        <w:rPr/>
        <w:t>当日成交</w:t>
      </w:r>
      <w:r>
        <w:rPr/>
        <w:t>20054046</w:t>
      </w:r>
      <w:r>
        <w:rPr/>
        <w:t>股、</w:t>
      </w:r>
      <w:r>
        <w:rPr/>
        <w:t>15.12</w:t>
      </w:r>
      <w:r>
        <w:rPr/>
        <w:t>亿港元，量比</w:t>
      </w:r>
      <w:r>
        <w:rPr/>
        <w:t>1.232541</w:t>
      </w:r>
      <w:r>
        <w:rPr/>
        <w:t>，以此前二十日均量约</w:t>
      </w:r>
      <w:r>
        <w:rPr/>
        <w:t>1627.05</w:t>
      </w:r>
      <w:r>
        <w:rPr/>
        <w:t>万股为分母。五、二十、六十日均量约</w:t>
      </w:r>
      <w:r>
        <w:rPr/>
        <w:t>1298.63</w:t>
      </w:r>
      <w:r>
        <w:rPr/>
        <w:t>、</w:t>
      </w:r>
      <w:r>
        <w:rPr/>
        <w:t>1596.04</w:t>
      </w:r>
      <w:r>
        <w:rPr/>
        <w:t>、</w:t>
      </w:r>
      <w:r>
        <w:rPr/>
        <w:t>1764.44</w:t>
      </w:r>
      <w:r>
        <w:rPr/>
        <w:t>万股，反弹活跃度较近期提高，但没有形成远高于长期的异常量。成交额本币港元、量以股，手数和股数未混用。</w:t>
      </w:r>
    </w:p>
    <w:p>
      <w:pPr>
        <w:pStyle w:val="Normal"/>
        <w:rPr/>
      </w:pPr>
      <w:r>
        <w:rPr/>
        <w:t>二十日九个上涨、十一个下跌，上涨总量</w:t>
      </w:r>
      <w:r>
        <w:rPr/>
        <w:t>1.46321</w:t>
      </w:r>
      <w:r>
        <w:rPr/>
        <w:t>亿股、下跌</w:t>
      </w:r>
      <w:r>
        <w:rPr/>
        <w:t>1.72887</w:t>
      </w:r>
      <w:r>
        <w:rPr/>
        <w:t>亿，比例</w:t>
      </w:r>
      <w:r>
        <w:rPr/>
        <w:t>0.846338</w:t>
      </w:r>
      <w:r>
        <w:rPr/>
        <w:t>。近期下跌成交仍较多，单日上涨不证明资金已经持续转向。周二十期比例更弱，窗口不同但支持中期压力。成交是双边交易，不从总量直接认定机构净买或特定资金行动。</w:t>
      </w:r>
    </w:p>
    <w:p>
      <w:pPr>
        <w:pStyle w:val="Normal"/>
        <w:rPr/>
      </w:pPr>
      <w:r>
        <w:rPr/>
        <w:t>缺少可核自由流通换手率和逐笔身份，保持空值，不用零代替，不绘制精确筹码或主力成本分布。量能适合看突破参与、回踩强弱和波动，不能解释为保证收益。若价格反弹而成交长期缩弱，或下跌持续放量，技术分需降；若突破配合稳定量价，才逐步提高。</w:t>
      </w:r>
    </w:p>
    <w:p>
      <w:pPr>
        <w:pStyle w:val="Heading2"/>
        <w:rPr/>
      </w:pPr>
      <w:r>
        <w:rPr>
          <w:color w:val="000000"/>
        </w:rPr>
        <w:t>二十七 支撑 阻力与回撤</w:t>
      </w:r>
    </w:p>
    <w:p>
      <w:pPr>
        <w:pStyle w:val="Normal"/>
        <w:rPr/>
      </w:pPr>
      <w:r>
        <w:rPr/>
        <w:t>二十与六十日最低</w:t>
      </w:r>
      <w:r>
        <w:rPr/>
        <w:t>72.75</w:t>
      </w:r>
      <w:r>
        <w:rPr/>
        <w:t>港元，距现价负百分之三点七七；二十日最高</w:t>
      </w:r>
      <w:r>
        <w:rPr/>
        <w:t>82</w:t>
      </w:r>
      <w:r>
        <w:rPr/>
        <w:t>、正百分之八点四六，六十日最高</w:t>
      </w:r>
      <w:r>
        <w:rPr/>
        <w:t>96.65</w:t>
      </w:r>
      <w:r>
        <w:rPr/>
        <w:t>、正百分之二十七点八四。区间高低未经触碰筛选，只是观察位置，不能当必然支撑或阻力。近期首先观察七十二点七五附近与二十日线，远期高目标不能替代时机。</w:t>
      </w:r>
    </w:p>
    <w:p>
      <w:pPr>
        <w:pStyle w:val="Normal"/>
        <w:rPr/>
      </w:pPr>
      <w:r>
        <w:rPr/>
        <w:t>最近</w:t>
      </w:r>
      <w:r>
        <w:rPr/>
        <w:t>252</w:t>
      </w:r>
      <w:r>
        <w:rPr/>
        <w:t>交易日高约</w:t>
      </w:r>
      <w:r>
        <w:rPr/>
        <w:t>114.16</w:t>
      </w:r>
      <w:r>
        <w:rPr/>
        <w:t>、低</w:t>
      </w:r>
      <w:r>
        <w:rPr/>
        <w:t>71.40</w:t>
      </w:r>
      <w:r>
        <w:rPr/>
        <w:t>，现价较高负百分之三十三点七七、较低正五点八八，最大回撤约百分之三十六点零九。日线、周线滚动窗口略不同，不混网页高点。现价靠近低区可以提供观察，但回撤并不能证明</w:t>
      </w:r>
      <w:r>
        <w:rPr/>
        <w:t>PE</w:t>
      </w:r>
      <w:r>
        <w:rPr/>
        <w:t>低，近期利润下降可能使同价估值反而提高。</w:t>
      </w:r>
    </w:p>
    <w:p>
      <w:pPr>
        <w:pStyle w:val="Normal"/>
        <w:rPr/>
      </w:pPr>
      <w:r>
        <w:rPr/>
        <w:t>若跌破七十二点七五并继续放量，短期反弹假设失效；若回到八十二与六十日线之后回踩稳定，可提高技术分。基本面失败可以在价格仍守位时发生，也可能导致跳空，支撑不是最大损失保护。研究用价位给具体检查条件，不宣称某区一定有主力护盘。</w:t>
      </w:r>
    </w:p>
    <w:p>
      <w:pPr>
        <w:pStyle w:val="Heading2"/>
        <w:rPr/>
      </w:pPr>
      <w:r>
        <w:rPr>
          <w:color w:val="000000"/>
        </w:rPr>
        <w:t>二十八 周线与辅助指标</w:t>
      </w:r>
    </w:p>
    <w:p>
      <w:pPr>
        <w:pStyle w:val="Normal"/>
        <w:rPr/>
      </w:pPr>
      <w:r>
        <w:rPr/>
        <w:t>周线</w:t>
      </w:r>
      <w:r>
        <w:rPr/>
        <w:t>157</w:t>
      </w:r>
      <w:r>
        <w:rPr/>
        <w:t>根，二十、六十、一百二十周均线</w:t>
      </w:r>
      <w:r>
        <w:rPr/>
        <w:t>84.9645</w:t>
      </w:r>
      <w:r>
        <w:rPr/>
        <w:t>、</w:t>
      </w:r>
      <w:r>
        <w:rPr/>
        <w:t>95.3665</w:t>
      </w:r>
      <w:r>
        <w:rPr/>
        <w:t>、</w:t>
      </w:r>
      <w:r>
        <w:rPr/>
        <w:t>99.3345</w:t>
      </w:r>
      <w:r>
        <w:rPr/>
        <w:t>，价格均低于，前两条斜率下降，一百二十周略升。二百五十周历史不足保持空值。周线结构比单日反弹更弱，半年判断需要日周逐步协调，不能只因日线止跌便认定一年趋势已经上升。</w:t>
      </w:r>
    </w:p>
    <w:p>
      <w:pPr>
        <w:pStyle w:val="Normal"/>
        <w:rPr/>
      </w:pPr>
      <w:r>
        <w:rPr/>
        <w:t>日</w:t>
      </w:r>
      <w:r>
        <w:rPr/>
        <w:t>RSI</w:t>
      </w:r>
      <w:r>
        <w:rPr/>
        <w:t>约</w:t>
      </w:r>
      <w:r>
        <w:rPr/>
        <w:t>37.62</w:t>
      </w:r>
      <w:r>
        <w:rPr/>
        <w:t>、</w:t>
      </w:r>
      <w:r>
        <w:rPr/>
        <w:t>MACD</w:t>
      </w:r>
      <w:r>
        <w:rPr/>
        <w:t>柱负</w:t>
      </w:r>
      <w:r>
        <w:rPr/>
        <w:t>0.1167</w:t>
      </w:r>
      <w:r>
        <w:rPr/>
        <w:t>，日</w:t>
      </w:r>
      <w:r>
        <w:rPr/>
        <w:t>ATR</w:t>
      </w:r>
      <w:r>
        <w:rPr/>
        <w:t>约</w:t>
      </w:r>
      <w:r>
        <w:rPr/>
        <w:t>2.30</w:t>
      </w:r>
      <w:r>
        <w:rPr/>
        <w:t>港元、占百分之三点零四；周</w:t>
      </w:r>
      <w:r>
        <w:rPr/>
        <w:t>RSI37.45</w:t>
      </w:r>
      <w:r>
        <w:rPr/>
        <w:t>、</w:t>
      </w:r>
      <w:r>
        <w:rPr/>
        <w:t>MACD</w:t>
      </w:r>
      <w:r>
        <w:rPr/>
        <w:t>柱负</w:t>
      </w:r>
      <w:r>
        <w:rPr/>
        <w:t>2.0803</w:t>
      </w:r>
      <w:r>
        <w:rPr/>
        <w:t>，</w:t>
      </w:r>
      <w:r>
        <w:rPr/>
        <w:t>ATR6.6274</w:t>
      </w:r>
      <w:r>
        <w:rPr/>
        <w:t>港元、百分之八点七七。动能弱与波动可以同时存在，低</w:t>
      </w:r>
      <w:r>
        <w:rPr/>
        <w:t>RSI</w:t>
      </w:r>
      <w:r>
        <w:rPr/>
        <w:t>不是自动买入理由。</w:t>
      </w:r>
      <w:r>
        <w:rPr/>
        <w:t>ATR</w:t>
      </w:r>
      <w:r>
        <w:rPr/>
        <w:t>用作观察尺度，不能当最大跌幅或止损成交保证。</w:t>
      </w:r>
    </w:p>
    <w:p>
      <w:pPr>
        <w:pStyle w:val="Normal"/>
        <w:rPr/>
      </w:pPr>
      <w:r>
        <w:rPr/>
        <w:t>辅助指标彼此相关，不与均线多次累加同一事实。半年技术权重三成而长期为零，长期业务分不被当前</w:t>
      </w:r>
      <w:r>
        <w:rPr/>
        <w:t>RSI</w:t>
      </w:r>
      <w:r>
        <w:rPr/>
        <w:t>抬高；若周线回升和经营利润改善，短期排名会提高。技术信号可能错误，推荐失效条件与盈利反证同时列出，使投资判断可调整而非固守图形解释。</w:t>
      </w:r>
    </w:p>
    <w:p>
      <w:pPr>
        <w:pStyle w:val="Heading2"/>
        <w:rPr/>
      </w:pPr>
      <w:r>
        <w:rPr>
          <w:color w:val="000000"/>
        </w:rPr>
        <w:t>二十九 相对市场与行业</w:t>
      </w:r>
    </w:p>
    <w:p>
      <w:pPr>
        <w:pStyle w:val="Normal"/>
        <w:rPr/>
      </w:pPr>
      <w:r>
        <w:rPr/>
        <w:t>二十日相对恒指落后</w:t>
      </w:r>
      <w:r>
        <w:rPr/>
        <w:t>1.988</w:t>
      </w:r>
      <w:r>
        <w:rPr/>
        <w:t>个百分点，相对恒科落后</w:t>
      </w:r>
      <w:r>
        <w:rPr/>
        <w:t>1.902</w:t>
      </w:r>
      <w:r>
        <w:rPr/>
        <w:t>；六十日相对恒指落后</w:t>
      </w:r>
      <w:r>
        <w:rPr/>
        <w:t>13.690</w:t>
      </w:r>
      <w:r>
        <w:rPr/>
        <w:t>、恒科落后</w:t>
      </w:r>
      <w:r>
        <w:rPr/>
        <w:t>3.709</w:t>
      </w:r>
      <w:r>
        <w:rPr/>
        <w:t>。公司最近弱于市场和科技粗基准，不能只归因港股整体下跌。良好行业主题也可能已反映在过去估值，经营压力和股数风险使股价迟迟弱于基准，有其合理解释空间。</w:t>
      </w:r>
    </w:p>
    <w:p>
      <w:pPr>
        <w:pStyle w:val="Normal"/>
        <w:rPr/>
      </w:pPr>
      <w:r>
        <w:rPr/>
        <w:t>恒生科技不是专属新能源车指数，公司多业务结构难以用一个指数完整解释。当前专属汽车行业基准未核，明确限制而不填造更有利相对数。竞争公司股价受到不同资本结构和盈利，比较时不能只看谁涨得多。相对强弱帮助判断市场定价，不能证明技术或经营实力。</w:t>
      </w:r>
    </w:p>
    <w:p>
      <w:pPr>
        <w:pStyle w:val="Normal"/>
        <w:rPr/>
      </w:pPr>
      <w:r>
        <w:rPr/>
        <w:t>若随后行业与市场修复而公司继续落后，应核利润与政策担忧；若公司领先则要看成交和经营配合，避免题材上涨直接提高财务分。相对、均线和量能共同支持当前时机待确认，长期较高评分来自经营空间，四个期限排序可以不同，符合投资问题本身。</w:t>
      </w:r>
    </w:p>
    <w:p>
      <w:pPr>
        <w:pStyle w:val="Heading2"/>
        <w:rPr/>
      </w:pPr>
      <w:r>
        <w:rPr>
          <w:color w:val="000000"/>
        </w:rPr>
        <w:t>三十 半年与一年推荐依据</w:t>
      </w:r>
    </w:p>
    <w:p>
      <w:pPr>
        <w:pStyle w:val="Normal"/>
        <w:rPr/>
      </w:pPr>
      <w:r>
        <w:rPr/>
        <w:t>半年基准正常归母</w:t>
      </w:r>
      <w:r>
        <w:rPr/>
        <w:t>484.75</w:t>
      </w:r>
      <w:r>
        <w:rPr/>
        <w:t>亿元、</w:t>
      </w:r>
      <w:r>
        <w:rPr/>
        <w:t>EPS5.269</w:t>
      </w:r>
      <w:r>
        <w:rPr/>
        <w:t>元、二十倍</w:t>
      </w:r>
      <w:r>
        <w:rPr/>
        <w:t>PE</w:t>
      </w:r>
      <w:r>
        <w:rPr/>
        <w:t>，价格</w:t>
      </w:r>
      <w:r>
        <w:rPr/>
        <w:t>115.92</w:t>
      </w:r>
      <w:r>
        <w:rPr/>
        <w:t>、上涨</w:t>
      </w:r>
      <w:r>
        <w:rPr/>
        <w:t>53.33%</w:t>
      </w:r>
      <w:r>
        <w:rPr/>
        <w:t>。国内</w:t>
      </w:r>
      <w:r>
        <w:rPr/>
        <w:t>280</w:t>
      </w:r>
      <w:r>
        <w:rPr/>
        <w:t>万每车五千元，海外</w:t>
      </w:r>
      <w:r>
        <w:rPr/>
        <w:t>205</w:t>
      </w:r>
      <w:r>
        <w:rPr/>
        <w:t>万每车</w:t>
      </w:r>
      <w:r>
        <w:rPr/>
        <w:t>15500</w:t>
      </w:r>
      <w:r>
        <w:rPr/>
        <w:t>，其他</w:t>
      </w:r>
      <w:r>
        <w:rPr/>
        <w:t>27</w:t>
      </w:r>
      <w:r>
        <w:rPr/>
        <w:t>亿元，股数</w:t>
      </w:r>
      <w:r>
        <w:rPr/>
        <w:t>92</w:t>
      </w:r>
      <w:r>
        <w:rPr/>
        <w:t>亿。与当前半年盈利差距较大，需要海外组合、国内恢复和费用现金共同改善，不能以乐观单月销量直接保证。</w:t>
      </w:r>
    </w:p>
    <w:p>
      <w:pPr>
        <w:pStyle w:val="Normal"/>
        <w:rPr/>
      </w:pPr>
      <w:r>
        <w:rPr/>
        <w:t>一年基准归母</w:t>
      </w:r>
      <w:r>
        <w:rPr/>
        <w:t>557.5</w:t>
      </w:r>
      <w:r>
        <w:rPr/>
        <w:t>亿元、</w:t>
      </w:r>
      <w:r>
        <w:rPr/>
        <w:t>EPS6.047</w:t>
      </w:r>
      <w:r>
        <w:rPr/>
        <w:t>元、十九倍，价格</w:t>
      </w:r>
      <w:r>
        <w:rPr/>
        <w:t>126.38</w:t>
      </w:r>
      <w:r>
        <w:rPr/>
        <w:t>，上涨</w:t>
      </w:r>
      <w:r>
        <w:rPr/>
        <w:t>67.17%</w:t>
      </w:r>
      <w:r>
        <w:rPr/>
        <w:t>，含研究股息</w:t>
      </w:r>
      <w:r>
        <w:rPr/>
        <w:t>67.83</w:t>
      </w:r>
      <w:r>
        <w:rPr/>
        <w:t>。国内</w:t>
      </w:r>
      <w:r>
        <w:rPr/>
        <w:t>290</w:t>
      </w:r>
      <w:r>
        <w:rPr/>
        <w:t>万每车</w:t>
      </w:r>
      <w:r>
        <w:rPr/>
        <w:t>5500</w:t>
      </w:r>
      <w:r>
        <w:rPr/>
        <w:t>、海外</w:t>
      </w:r>
      <w:r>
        <w:rPr/>
        <w:t>230</w:t>
      </w:r>
      <w:r>
        <w:rPr/>
        <w:t>万每车</w:t>
      </w:r>
      <w:r>
        <w:rPr/>
        <w:t>16000</w:t>
      </w:r>
      <w:r>
        <w:rPr/>
        <w:t>、其他</w:t>
      </w:r>
      <w:r>
        <w:rPr/>
        <w:t>30</w:t>
      </w:r>
      <w:r>
        <w:rPr/>
        <w:t>亿元，股数</w:t>
      </w:r>
      <w:r>
        <w:rPr/>
        <w:t>92.2</w:t>
      </w:r>
      <w:r>
        <w:rPr/>
        <w:t>亿。更多验证时间提高经营分，一年并不自动消除海外关税、研发和资本风险；盈利需要真实实现。</w:t>
      </w:r>
    </w:p>
    <w:p>
      <w:pPr>
        <w:pStyle w:val="Normal"/>
        <w:rPr/>
      </w:pPr>
      <w:r>
        <w:rPr/>
        <w:t>半年悲观</w:t>
      </w:r>
      <w:r>
        <w:rPr/>
        <w:t>25.91</w:t>
      </w:r>
      <w:r>
        <w:rPr/>
        <w:t>、乐观</w:t>
      </w:r>
      <w:r>
        <w:rPr/>
        <w:t>249.71</w:t>
      </w:r>
      <w:r>
        <w:rPr/>
        <w:t>，一年</w:t>
      </w:r>
      <w:r>
        <w:rPr/>
        <w:t>23.56</w:t>
      </w:r>
      <w:r>
        <w:rPr/>
        <w:t>、</w:t>
      </w:r>
      <w:r>
        <w:rPr/>
        <w:t>275.91</w:t>
      </w:r>
      <w:r>
        <w:rPr/>
        <w:t>，价格和盈利组合跨度大。上半年弱数据限制评分，不按最高上涨空间给第一名。催化是后续季报、销量结构、价格、研发资本化和正式现金；如果量增但单车利润未改善，基准应下降，不能只把目标推迟而保留原增长。</w:t>
      </w:r>
    </w:p>
    <w:p>
      <w:pPr>
        <w:pStyle w:val="Heading2"/>
        <w:rPr/>
      </w:pPr>
      <w:r>
        <w:rPr>
          <w:color w:val="000000"/>
        </w:rPr>
        <w:t>三十一 三年与五年经营持续性</w:t>
      </w:r>
    </w:p>
    <w:p>
      <w:pPr>
        <w:pStyle w:val="Normal"/>
        <w:rPr/>
      </w:pPr>
      <w:r>
        <w:rPr/>
        <w:t>三年基准国内</w:t>
      </w:r>
      <w:r>
        <w:rPr/>
        <w:t>310</w:t>
      </w:r>
      <w:r>
        <w:rPr/>
        <w:t>万每车七千、海外</w:t>
      </w:r>
      <w:r>
        <w:rPr/>
        <w:t>320</w:t>
      </w:r>
      <w:r>
        <w:rPr/>
        <w:t>万每车</w:t>
      </w:r>
      <w:r>
        <w:rPr/>
        <w:t>16500</w:t>
      </w:r>
      <w:r>
        <w:rPr/>
        <w:t>、其他</w:t>
      </w:r>
      <w:r>
        <w:rPr/>
        <w:t>45</w:t>
      </w:r>
      <w:r>
        <w:rPr/>
        <w:t>亿元，归母</w:t>
      </w:r>
      <w:r>
        <w:rPr/>
        <w:t>790</w:t>
      </w:r>
      <w:r>
        <w:rPr/>
        <w:t>亿元，股数</w:t>
      </w:r>
      <w:r>
        <w:rPr/>
        <w:t>93</w:t>
      </w:r>
      <w:r>
        <w:rPr/>
        <w:t>亿、</w:t>
      </w:r>
      <w:r>
        <w:rPr/>
        <w:t>EPS8.495</w:t>
      </w:r>
      <w:r>
        <w:rPr/>
        <w:t>元、十八倍，目标</w:t>
      </w:r>
      <w:r>
        <w:rPr/>
        <w:t>168.20</w:t>
      </w:r>
      <w:r>
        <w:rPr/>
        <w:t>。需要全球产品、制造和渠道达到更成熟规模，净利约为二零二五两倍多，不是仅出口数量增长；研发、折旧和服务都在单位盈利里。</w:t>
      </w:r>
    </w:p>
    <w:p>
      <w:pPr>
        <w:pStyle w:val="Normal"/>
        <w:rPr/>
      </w:pPr>
      <w:r>
        <w:rPr/>
        <w:t>五年基准国内</w:t>
      </w:r>
      <w:r>
        <w:rPr/>
        <w:t>330</w:t>
      </w:r>
      <w:r>
        <w:rPr/>
        <w:t>万、海外</w:t>
      </w:r>
      <w:r>
        <w:rPr/>
        <w:t>400</w:t>
      </w:r>
      <w:r>
        <w:rPr/>
        <w:t>万，单位八千与一万七千元，其他</w:t>
      </w:r>
      <w:r>
        <w:rPr/>
        <w:t>60</w:t>
      </w:r>
      <w:r>
        <w:rPr/>
        <w:t>亿元，总归母</w:t>
      </w:r>
      <w:r>
        <w:rPr/>
        <w:t>1004</w:t>
      </w:r>
      <w:r>
        <w:rPr/>
        <w:t>亿元，股数</w:t>
      </w:r>
      <w:r>
        <w:rPr/>
        <w:t>94</w:t>
      </w:r>
      <w:r>
        <w:rPr/>
        <w:t>亿，</w:t>
      </w:r>
      <w:r>
        <w:rPr/>
        <w:t>EPS10.681</w:t>
      </w:r>
      <w:r>
        <w:rPr/>
        <w:t>、十七倍，目标</w:t>
      </w:r>
      <w:r>
        <w:rPr/>
        <w:t>199.73</w:t>
      </w:r>
      <w:r>
        <w:rPr/>
        <w:t>。倍数随成熟下降，收益依赖经营增长。对海外销量和利润的假设显著，无法由当前地域收入精确证明，未来每年应重新验证。</w:t>
      </w:r>
    </w:p>
    <w:p>
      <w:pPr>
        <w:pStyle w:val="Normal"/>
        <w:rPr/>
      </w:pPr>
      <w:r>
        <w:rPr/>
        <w:t>三五年悲观</w:t>
      </w:r>
      <w:r>
        <w:rPr/>
        <w:t>20.02</w:t>
      </w:r>
      <w:r>
        <w:rPr/>
        <w:t>、</w:t>
      </w:r>
      <w:r>
        <w:rPr/>
        <w:t>16.65</w:t>
      </w:r>
      <w:r>
        <w:rPr/>
        <w:t>，乐观</w:t>
      </w:r>
      <w:r>
        <w:rPr/>
        <w:t>396.42</w:t>
      </w:r>
      <w:r>
        <w:rPr/>
        <w:t>、</w:t>
      </w:r>
      <w:r>
        <w:rPr/>
        <w:t>519.50</w:t>
      </w:r>
      <w:r>
        <w:rPr/>
        <w:t>。悲观保留价格压力和融资，乐观需要更高销量、组合、利润与较高倍数同时实现，不是最可能结果。十年展望关注技术、用户、海外运营和资本效率能否跨多产品周期持续，不给无证据确定股价，长期推荐并非买入后无需跟踪。</w:t>
      </w:r>
    </w:p>
    <w:p>
      <w:pPr>
        <w:pStyle w:val="Heading2"/>
        <w:rPr/>
      </w:pPr>
      <w:r>
        <w:rPr>
          <w:color w:val="000000"/>
        </w:rPr>
        <w:t>三十二 年底期望与敏感性</w:t>
      </w:r>
    </w:p>
    <w:p>
      <w:pPr>
        <w:pStyle w:val="Normal"/>
        <w:rPr/>
      </w:pPr>
      <w:r>
        <w:rPr/>
        <w:t>年底基准</w:t>
      </w:r>
      <w:r>
        <w:rPr/>
        <w:t>EPS4.690</w:t>
      </w:r>
      <w:r>
        <w:rPr/>
        <w:t>元、二十倍、</w:t>
      </w:r>
      <w:r>
        <w:rPr/>
        <w:t>1.10</w:t>
      </w:r>
      <w:r>
        <w:rPr/>
        <w:t>汇率，价</w:t>
      </w:r>
      <w:r>
        <w:rPr/>
        <w:t>103.18</w:t>
      </w:r>
      <w:r>
        <w:rPr/>
        <w:t>，正常归母</w:t>
      </w:r>
      <w:r>
        <w:rPr/>
        <w:t>431.5</w:t>
      </w:r>
      <w:r>
        <w:rPr/>
        <w:t>亿元。这里是年底对未来十二个月利润定价，不要求年底已赚取全额。悲观归母</w:t>
      </w:r>
      <w:r>
        <w:rPr/>
        <w:t>184</w:t>
      </w:r>
      <w:r>
        <w:rPr/>
        <w:t>亿元、</w:t>
      </w:r>
      <w:r>
        <w:rPr/>
        <w:t>EPS1.957</w:t>
      </w:r>
      <w:r>
        <w:rPr/>
        <w:t>、十二倍价</w:t>
      </w:r>
      <w:r>
        <w:rPr/>
        <w:t>25.83</w:t>
      </w:r>
      <w:r>
        <w:rPr/>
        <w:t>，乐观</w:t>
      </w:r>
      <w:r>
        <w:rPr/>
        <w:t>690</w:t>
      </w:r>
      <w:r>
        <w:rPr/>
        <w:t>亿元、</w:t>
      </w:r>
      <w:r>
        <w:rPr/>
        <w:t>EPS7.582</w:t>
      </w:r>
      <w:r>
        <w:rPr/>
        <w:t>、二十六倍价</w:t>
      </w:r>
      <w:r>
        <w:rPr/>
        <w:t>216.85</w:t>
      </w:r>
      <w:r>
        <w:rPr/>
        <w:t>。它反映经营和倍数变化，未按机构年度目标线性缩短。</w:t>
      </w:r>
    </w:p>
    <w:p>
      <w:pPr>
        <w:pStyle w:val="Normal"/>
        <w:rPr/>
      </w:pPr>
      <w:r>
        <w:rPr/>
        <w:t>年底加权期望</w:t>
      </w:r>
      <w:r>
        <w:rPr/>
        <w:t>112.26</w:t>
      </w:r>
      <w:r>
        <w:rPr/>
        <w:t>高于基准，乐观端更宽造成，不等于最可能价。防御</w:t>
      </w:r>
      <w:r>
        <w:rPr/>
        <w:t>83.607</w:t>
      </w:r>
      <w:r>
        <w:rPr/>
        <w:t>和积极</w:t>
      </w:r>
      <w:r>
        <w:rPr/>
        <w:t>140.913</w:t>
      </w:r>
      <w:r>
        <w:rPr/>
        <w:t>显示权重敏感，判断期望非统计概率。短期真实价格可能超范围，融资、政策和事故尾部未用此区间封顶。年底主要看销量、单位经济性与现金能否支持更高常态利润，不只看技术反弹。</w:t>
      </w:r>
    </w:p>
    <w:p>
      <w:pPr>
        <w:pStyle w:val="Normal"/>
        <w:rPr/>
      </w:pPr>
      <w:r>
        <w:rPr/>
        <w:t>一年海外</w:t>
      </w:r>
      <w:r>
        <w:rPr/>
        <w:t>230</w:t>
      </w:r>
      <w:r>
        <w:rPr/>
        <w:t>万辆下每车净利变一千元，归母利润变</w:t>
      </w:r>
      <w:r>
        <w:rPr/>
        <w:t>23</w:t>
      </w:r>
      <w:r>
        <w:rPr/>
        <w:t>亿元，按</w:t>
      </w:r>
      <w:r>
        <w:rPr/>
        <w:t>92.2</w:t>
      </w:r>
      <w:r>
        <w:rPr/>
        <w:t>亿股、十九倍和</w:t>
      </w:r>
      <w:r>
        <w:rPr/>
        <w:t>1.10</w:t>
      </w:r>
      <w:r>
        <w:rPr/>
        <w:t>汇率，理论价格约变</w:t>
      </w:r>
      <w:r>
        <w:rPr/>
        <w:t>5.21</w:t>
      </w:r>
      <w:r>
        <w:rPr/>
        <w:t>港元。国内单位变化同理，缺少官方精确单车净利使估值敏感。</w:t>
      </w:r>
      <w:r>
        <w:rPr/>
        <w:t>EPS</w:t>
      </w:r>
      <w:r>
        <w:rPr/>
        <w:t>三位、价格两位舍入会微变；模型不是先定目标后找假设，而是公开最关键可推翻变量。</w:t>
      </w:r>
    </w:p>
    <w:p>
      <w:pPr>
        <w:pStyle w:val="Heading2"/>
        <w:rPr/>
      </w:pPr>
      <w:r>
        <w:rPr>
          <w:color w:val="000000"/>
        </w:rPr>
        <w:t>三十三 估值与外资目标参照</w:t>
      </w:r>
    </w:p>
    <w:p>
      <w:pPr>
        <w:pStyle w:val="Normal"/>
        <w:rPr/>
      </w:pPr>
      <w:r>
        <w:rPr/>
        <w:t>现价按二零二五</w:t>
      </w:r>
      <w:r>
        <w:rPr/>
        <w:t>EPS3.58</w:t>
      </w:r>
      <w:r>
        <w:rPr/>
        <w:t>研究</w:t>
      </w:r>
      <w:r>
        <w:rPr/>
        <w:t>PE</w:t>
      </w:r>
      <w:r>
        <w:rPr/>
        <w:t>约</w:t>
      </w:r>
      <w:r>
        <w:rPr/>
        <w:t>19.20</w:t>
      </w:r>
      <w:r>
        <w:rPr/>
        <w:t>，按半年</w:t>
      </w:r>
      <w:r>
        <w:rPr/>
        <w:t>EPS1.35</w:t>
      </w:r>
      <w:r>
        <w:rPr/>
        <w:t>简单年化约</w:t>
      </w:r>
      <w:r>
        <w:rPr/>
        <w:t>25.45</w:t>
      </w:r>
      <w:r>
        <w:rPr/>
        <w:t>，后者只示压力并非正式</w:t>
      </w:r>
      <w:r>
        <w:rPr/>
        <w:t>NTM</w:t>
      </w:r>
      <w:r>
        <w:rPr/>
        <w:t>。估值需盈利修复，不可声称历史底，当前没有完整一致历史</w:t>
      </w:r>
      <w:r>
        <w:rPr/>
        <w:t>PE</w:t>
      </w:r>
      <w:r>
        <w:rPr/>
        <w:t>分布。主模型一年十九倍较当前弱盈利年化更低，增长主要由盈利而非扩张倍数，风险则在单位利润能否恢复。</w:t>
      </w:r>
    </w:p>
    <w:p>
      <w:pPr>
        <w:pStyle w:val="Normal"/>
        <w:rPr/>
      </w:pPr>
      <w:r>
        <w:rPr/>
        <w:t>公开转述大华继显十月五目标</w:t>
      </w:r>
      <w:r>
        <w:rPr/>
        <w:t>150</w:t>
      </w:r>
      <w:r>
        <w:rPr/>
        <w:t>港元买入，里昂九月二十八</w:t>
      </w:r>
      <w:r>
        <w:rPr/>
        <w:t>120</w:t>
      </w:r>
      <w:r>
        <w:rPr/>
        <w:t>高度确信跑赢，大摩九月十六</w:t>
      </w:r>
      <w:r>
        <w:rPr/>
        <w:t>114</w:t>
      </w:r>
      <w:r>
        <w:rPr/>
        <w:t>增持，距现价</w:t>
      </w:r>
      <w:r>
        <w:rPr/>
        <w:t>98.41%</w:t>
      </w:r>
      <w:r>
        <w:rPr/>
        <w:t>、</w:t>
      </w:r>
      <w:r>
        <w:rPr/>
        <w:t>58.73%</w:t>
      </w:r>
      <w:r>
        <w:rPr/>
        <w:t>、</w:t>
      </w:r>
      <w:r>
        <w:rPr/>
        <w:t>50.79%</w:t>
      </w:r>
      <w:r>
        <w:rPr/>
        <w:t>。目标期限未在完整原研报核到保持空值，不全称十二个月。大摩新闻部分利润增长表述与公司上半年主财表冲突，明确不用于经营数据。</w:t>
      </w:r>
    </w:p>
    <w:p>
      <w:pPr>
        <w:pStyle w:val="Normal"/>
        <w:rPr/>
      </w:pPr>
      <w:r>
        <w:rPr/>
        <w:t>里昂转述全年</w:t>
      </w:r>
      <w:r>
        <w:rPr/>
        <w:t>470</w:t>
      </w:r>
      <w:r>
        <w:rPr/>
        <w:t>万与海外</w:t>
      </w:r>
      <w:r>
        <w:rPr/>
        <w:t>190</w:t>
      </w:r>
      <w:r>
        <w:rPr/>
        <w:t>万、海外每车二万元，是机构或管理交流预期，非公司已实现；本研究基准海外单位利润更低仍需验证。机构目标不替代自有模型，不取平均当获利概率或年底期望，同机构新有效报告覆盖旧记录。原研报缺失与公开转载分别标注，日期、币种和证券可追溯。</w:t>
      </w:r>
    </w:p>
    <w:p>
      <w:pPr>
        <w:pStyle w:val="Heading2"/>
        <w:rPr/>
      </w:pPr>
      <w:r>
        <w:rPr>
          <w:color w:val="000000"/>
        </w:rPr>
        <w:t>三十四 评分与推荐被推翻的条件</w:t>
      </w:r>
    </w:p>
    <w:p>
      <w:pPr>
        <w:pStyle w:val="Normal"/>
        <w:rPr/>
      </w:pPr>
      <w:r>
        <w:rPr/>
        <w:t>半年六维</w:t>
      </w:r>
      <w:r>
        <w:rPr/>
        <w:t>3.7</w:t>
      </w:r>
      <w:r>
        <w:rPr/>
        <w:t>、</w:t>
      </w:r>
      <w:r>
        <w:rPr/>
        <w:t>1.9</w:t>
      </w:r>
      <w:r>
        <w:rPr/>
        <w:t>、</w:t>
      </w:r>
      <w:r>
        <w:rPr/>
        <w:t>3.7</w:t>
      </w:r>
      <w:r>
        <w:rPr/>
        <w:t>、</w:t>
      </w:r>
      <w:r>
        <w:rPr/>
        <w:t>4.0</w:t>
      </w:r>
      <w:r>
        <w:rPr/>
        <w:t>、</w:t>
      </w:r>
      <w:r>
        <w:rPr/>
        <w:t>4.0</w:t>
      </w:r>
      <w:r>
        <w:rPr/>
        <w:t>、</w:t>
      </w:r>
      <w:r>
        <w:rPr/>
        <w:t>2.8</w:t>
      </w:r>
      <w:r>
        <w:rPr/>
        <w:t>，一年</w:t>
      </w:r>
      <w:r>
        <w:rPr/>
        <w:t>3.9</w:t>
      </w:r>
      <w:r>
        <w:rPr/>
        <w:t>、</w:t>
      </w:r>
      <w:r>
        <w:rPr/>
        <w:t>1.9</w:t>
      </w:r>
      <w:r>
        <w:rPr/>
        <w:t>、</w:t>
      </w:r>
      <w:r>
        <w:rPr/>
        <w:t>4.0</w:t>
      </w:r>
      <w:r>
        <w:rPr/>
        <w:t>、</w:t>
      </w:r>
      <w:r>
        <w:rPr/>
        <w:t>4.1</w:t>
      </w:r>
      <w:r>
        <w:rPr/>
        <w:t>、</w:t>
      </w:r>
      <w:r>
        <w:rPr/>
        <w:t>4.0</w:t>
      </w:r>
      <w:r>
        <w:rPr/>
        <w:t>、</w:t>
      </w:r>
      <w:r>
        <w:rPr/>
        <w:t>2.8</w:t>
      </w:r>
      <w:r>
        <w:rPr/>
        <w:t>，三年</w:t>
      </w:r>
      <w:r>
        <w:rPr/>
        <w:t>4.0</w:t>
      </w:r>
      <w:r>
        <w:rPr/>
        <w:t>、</w:t>
      </w:r>
      <w:r>
        <w:rPr/>
        <w:t>1.9</w:t>
      </w:r>
      <w:r>
        <w:rPr/>
        <w:t>、</w:t>
      </w:r>
      <w:r>
        <w:rPr/>
        <w:t>4.2</w:t>
      </w:r>
      <w:r>
        <w:rPr/>
        <w:t>、</w:t>
      </w:r>
      <w:r>
        <w:rPr/>
        <w:t>4.3</w:t>
      </w:r>
      <w:r>
        <w:rPr/>
        <w:t>、</w:t>
      </w:r>
      <w:r>
        <w:rPr/>
        <w:t>4.0</w:t>
      </w:r>
      <w:r>
        <w:rPr/>
        <w:t>、</w:t>
      </w:r>
      <w:r>
        <w:rPr/>
        <w:t>2.6</w:t>
      </w:r>
      <w:r>
        <w:rPr/>
        <w:t>，五年</w:t>
      </w:r>
      <w:r>
        <w:rPr/>
        <w:t>3.9</w:t>
      </w:r>
      <w:r>
        <w:rPr/>
        <w:t>、</w:t>
      </w:r>
      <w:r>
        <w:rPr/>
        <w:t>1.9</w:t>
      </w:r>
      <w:r>
        <w:rPr/>
        <w:t>、</w:t>
      </w:r>
      <w:r>
        <w:rPr/>
        <w:t>4.3</w:t>
      </w:r>
      <w:r>
        <w:rPr/>
        <w:t>、</w:t>
      </w:r>
      <w:r>
        <w:rPr/>
        <w:t>4.3</w:t>
      </w:r>
      <w:r>
        <w:rPr/>
        <w:t>、</w:t>
      </w:r>
      <w:r>
        <w:rPr/>
        <w:t>3.8</w:t>
      </w:r>
      <w:r>
        <w:rPr/>
        <w:t>、</w:t>
      </w:r>
      <w:r>
        <w:rPr/>
        <w:t>2.4</w:t>
      </w:r>
      <w:r>
        <w:rPr/>
        <w:t>。统一权重得</w:t>
      </w:r>
      <w:r>
        <w:rPr/>
        <w:t>62.6</w:t>
      </w:r>
      <w:r>
        <w:rPr/>
        <w:t>、</w:t>
      </w:r>
      <w:r>
        <w:rPr/>
        <w:t>71.1</w:t>
      </w:r>
      <w:r>
        <w:rPr/>
        <w:t>、</w:t>
      </w:r>
      <w:r>
        <w:rPr/>
        <w:t>77.7</w:t>
      </w:r>
      <w:r>
        <w:rPr/>
        <w:t>、</w:t>
      </w:r>
      <w:r>
        <w:rPr/>
        <w:t>78.2</w:t>
      </w:r>
      <w:r>
        <w:rPr/>
        <w:t>，成长空间较优而技术、财务压分，分差小于三由总表同梯队，评分不是胜率。</w:t>
      </w:r>
    </w:p>
    <w:p>
      <w:pPr>
        <w:pStyle w:val="Normal"/>
        <w:rPr/>
      </w:pPr>
      <w:r>
        <w:rPr/>
        <w:t>长期推荐会被持续国内低利润、海外单位收益不达、工厂利用不足、质量信任受损、研发资本化掩盖经济成本、现金不足或融资超过利润增长推翻。技术跌破观察位降低时机，经营失败降低全期限价值。不能因为公司是行业龙头而否认反证，也不能因为一季弱而假设长期机会全部消失。</w:t>
      </w:r>
    </w:p>
    <w:p>
      <w:pPr>
        <w:pStyle w:val="Normal"/>
        <w:rPr/>
      </w:pPr>
      <w:r>
        <w:rPr/>
        <w:t>十年持续性需要成本和技术优势、用户信任、全球合规服务与资本回报，成功可将多业务规模转为每股现金；失败可能在高规模下长期低利和融资，市场增长未充分归股东。更新先核原公告期间、币种、股数、公司行动和现金，再刷新情景与排名。研究初版有明确条件，不以字数和价格精度包装确定性。</w:t>
      </w:r>
    </w:p>
    <w:p>
      <w:pPr>
        <w:pStyle w:val="Heading2"/>
        <w:rPr/>
      </w:pPr>
      <w:r>
        <w:rPr>
          <w:color w:val="000000"/>
        </w:rPr>
        <w:t>来源与核验记录 不计有效正文</w:t>
      </w:r>
    </w:p>
    <w:p>
      <w:pPr>
        <w:pStyle w:val="Normal"/>
        <w:rPr/>
      </w:pPr>
      <w:r>
        <w:rPr/>
        <w:t xml:space="preserve">- </w:t>
      </w:r>
      <w:r>
        <w:rPr/>
        <w:t>巨潮</w:t>
      </w:r>
      <w:r>
        <w:rPr/>
        <w:t>2026</w:t>
      </w:r>
      <w:r>
        <w:rPr/>
        <w:t>半年原报告，</w:t>
      </w:r>
      <w:r>
        <w:rPr/>
        <w:t>2026</w:t>
      </w:r>
      <w:r>
        <w:rPr/>
        <w:t>年</w:t>
      </w:r>
      <w:r>
        <w:rPr/>
        <w:t>8</w:t>
      </w:r>
      <w:r>
        <w:rPr/>
        <w:t>月</w:t>
      </w:r>
      <w:r>
        <w:rPr/>
        <w:t>29</w:t>
      </w:r>
      <w:r>
        <w:rPr/>
        <w:t>日：</w:t>
      </w:r>
      <w:r>
        <w:rPr/>
        <w:t>[PDF](https://static.cninfo.com.cn/finalpage/2026-08-29/1225531835.PDF)</w:t>
      </w:r>
      <w:r>
        <w:rPr/>
        <w:t>，本地</w:t>
      </w:r>
      <w:r>
        <w:rPr/>
        <w:t>byd_2026interim.pdf/txt</w:t>
      </w:r>
      <w:r>
        <w:rPr/>
        <w:t>，摘要元、财表千元分别处理。</w:t>
      </w:r>
    </w:p>
    <w:p>
      <w:pPr>
        <w:pStyle w:val="Normal"/>
        <w:rPr/>
      </w:pPr>
      <w:r>
        <w:rPr/>
        <w:t>- 2025</w:t>
      </w:r>
      <w:r>
        <w:rPr/>
        <w:t>原年报，</w:t>
      </w:r>
      <w:r>
        <w:rPr/>
        <w:t>2026</w:t>
      </w:r>
      <w:r>
        <w:rPr/>
        <w:t>年</w:t>
      </w:r>
      <w:r>
        <w:rPr/>
        <w:t>3</w:t>
      </w:r>
      <w:r>
        <w:rPr/>
        <w:t>月</w:t>
      </w:r>
      <w:r>
        <w:rPr/>
        <w:t>28</w:t>
      </w:r>
      <w:r>
        <w:rPr/>
        <w:t>日：</w:t>
      </w:r>
      <w:r>
        <w:rPr/>
        <w:t>[PDF](https://static.cninfo.com.cn/finalpage/2026-03-28/1225045351.PDF)</w:t>
      </w:r>
      <w:r>
        <w:rPr/>
        <w:t>，本地</w:t>
      </w:r>
      <w:r>
        <w:rPr/>
        <w:t>byd_2025annual.pdf/txt</w:t>
      </w:r>
      <w:r>
        <w:rPr/>
        <w:t>；</w:t>
      </w:r>
      <w:r>
        <w:rPr/>
        <w:t>[</w:t>
      </w:r>
      <w:r>
        <w:rPr/>
        <w:t>官网财务摘要</w:t>
      </w:r>
      <w:r>
        <w:rPr/>
        <w:t>](https://www.bydglobal.com/cn/investor-relations)</w:t>
      </w:r>
      <w:r>
        <w:rPr/>
        <w:t>。</w:t>
      </w:r>
    </w:p>
    <w:p>
      <w:pPr>
        <w:pStyle w:val="Normal"/>
        <w:rPr/>
      </w:pPr>
      <w:r>
        <w:rPr/>
        <w:t xml:space="preserve">- </w:t>
      </w:r>
      <w:r>
        <w:rPr/>
        <w:t>九月产销署名</w:t>
      </w:r>
      <w:r>
        <w:rPr/>
        <w:t>2026</w:t>
      </w:r>
      <w:r>
        <w:rPr/>
        <w:t>年</w:t>
      </w:r>
      <w:r>
        <w:rPr/>
        <w:t>10</w:t>
      </w:r>
      <w:r>
        <w:rPr/>
        <w:t>月</w:t>
      </w:r>
      <w:r>
        <w:rPr/>
        <w:t>7</w:t>
      </w:r>
      <w:r>
        <w:rPr/>
        <w:t>日、巨潮</w:t>
      </w:r>
      <w:r>
        <w:rPr/>
        <w:t>10</w:t>
      </w:r>
      <w:r>
        <w:rPr/>
        <w:t>月</w:t>
      </w:r>
      <w:r>
        <w:rPr/>
        <w:t>8</w:t>
      </w:r>
      <w:r>
        <w:rPr/>
        <w:t>日：</w:t>
      </w:r>
      <w:r>
        <w:rPr/>
        <w:t>[PDF](https://static.cninfo.com.cn/finalpage/2026-10-08/1225595402.PDF)</w:t>
      </w:r>
      <w:r>
        <w:rPr/>
        <w:t>，本地</w:t>
      </w:r>
      <w:r>
        <w:rPr/>
        <w:t>byd_202609sales.pdf/txt</w:t>
      </w:r>
      <w:r>
        <w:rPr/>
        <w:t>。未经审核，精确盘中时点未核。</w:t>
      </w:r>
    </w:p>
    <w:p>
      <w:pPr>
        <w:pStyle w:val="Normal"/>
        <w:rPr/>
      </w:pPr>
      <w:r>
        <w:rPr/>
        <w:t>- H</w:t>
      </w:r>
      <w:r>
        <w:rPr/>
        <w:t>红股</w:t>
      </w:r>
      <w:r>
        <w:rPr/>
        <w:t>2025</w:t>
      </w:r>
      <w:r>
        <w:rPr/>
        <w:t>年</w:t>
      </w:r>
      <w:r>
        <w:rPr/>
        <w:t>5</w:t>
      </w:r>
      <w:r>
        <w:rPr/>
        <w:t>月</w:t>
      </w:r>
      <w:r>
        <w:rPr/>
        <w:t>7</w:t>
      </w:r>
      <w:r>
        <w:rPr/>
        <w:t>日署名、巨潮</w:t>
      </w:r>
      <w:r>
        <w:rPr/>
        <w:t>5</w:t>
      </w:r>
      <w:r>
        <w:rPr/>
        <w:t>月</w:t>
      </w:r>
      <w:r>
        <w:rPr/>
        <w:t>8</w:t>
      </w:r>
      <w:r>
        <w:rPr/>
        <w:t>日：</w:t>
      </w:r>
      <w:r>
        <w:rPr/>
        <w:t>[</w:t>
      </w:r>
      <w:r>
        <w:rPr/>
        <w:t>原</w:t>
      </w:r>
      <w:r>
        <w:rPr/>
        <w:t>PDF](https://static.cninfo.com.cn/finalpage/2025-05-08/1223489779.PDF)</w:t>
      </w:r>
      <w:r>
        <w:rPr/>
        <w:t>，第</w:t>
      </w:r>
      <w:r>
        <w:rPr/>
        <w:t>1</w:t>
      </w:r>
      <w:r>
        <w:rPr/>
        <w:t>页视觉核验</w:t>
      </w:r>
      <w:r>
        <w:rPr/>
        <w:t>data/tech_raw/byd_2025Hbonus_p1.png</w:t>
      </w:r>
      <w:r>
        <w:rPr/>
        <w:t>。</w:t>
      </w:r>
      <w:r>
        <w:rPr/>
        <w:t>H</w:t>
      </w:r>
      <w:r>
        <w:rPr/>
        <w:t>除净</w:t>
      </w:r>
      <w:r>
        <w:rPr/>
        <w:t>2025-06-10</w:t>
      </w:r>
      <w:r>
        <w:rPr/>
        <w:t>，</w:t>
      </w:r>
      <w:r>
        <w:rPr/>
        <w:t>A</w:t>
      </w:r>
      <w:r>
        <w:rPr/>
        <w:t>实施</w:t>
      </w:r>
      <w:r>
        <w:rPr/>
        <w:t>7/29</w:t>
      </w:r>
      <w:r>
        <w:rPr/>
        <w:t>，日期用途不同，锁版</w:t>
      </w:r>
      <w:r>
        <w:rPr/>
        <w:t>H</w:t>
      </w:r>
      <w:r>
        <w:rPr/>
        <w:t>复权保留。</w:t>
      </w:r>
    </w:p>
    <w:p>
      <w:pPr>
        <w:pStyle w:val="Normal"/>
        <w:rPr/>
      </w:pPr>
      <w:r>
        <w:rPr/>
        <w:t>- [</w:t>
      </w:r>
      <w:r>
        <w:rPr/>
        <w:t>里昂</w:t>
      </w:r>
      <w:r>
        <w:rPr/>
        <w:t>](https://www.aastocks.com/sc/stocks/analysis/stock-aafn-con/01211/AAFN/NOW.1546646/research-report)</w:t>
      </w:r>
      <w:r>
        <w:rPr/>
        <w:t>、</w:t>
      </w:r>
      <w:r>
        <w:rPr/>
        <w:t>[</w:t>
      </w:r>
      <w:r>
        <w:rPr/>
        <w:t>大摩</w:t>
      </w:r>
      <w:r>
        <w:rPr/>
        <w:t>](https://www.aastocks.com/sc/stocks/analysis/stock-aafn-con/01211/AAFN/NOW.1544829/research-report)</w:t>
      </w:r>
      <w:r>
        <w:rPr/>
        <w:t>、</w:t>
      </w:r>
      <w:r>
        <w:rPr/>
        <w:t>[</w:t>
      </w:r>
      <w:r>
        <w:rPr/>
        <w:t>大华继显</w:t>
      </w:r>
      <w:r>
        <w:rPr/>
        <w:t>](https://www.aastocks.com/sc/stocks/analysis/stock-aafn-con/01211/AAFN/NOW.1547727/research-report)</w:t>
      </w:r>
      <w:r>
        <w:rPr/>
        <w:t>。公开转载非原研报，期限未核；利润转述冲突主源优先。</w:t>
      </w:r>
    </w:p>
    <w:p>
      <w:pPr>
        <w:pStyle w:val="Normal"/>
        <w:rPr/>
      </w:pPr>
      <w:r>
        <w:rPr/>
        <w:t xml:space="preserve">- </w:t>
      </w:r>
      <w:r>
        <w:rPr/>
        <w:t>锁版</w:t>
      </w:r>
      <w:r>
        <w:rPr/>
        <w:t>data/market_snapshot_locked.json</w:t>
      </w:r>
      <w:r>
        <w:rPr/>
        <w:t>、</w:t>
      </w:r>
      <w:r>
        <w:rPr/>
        <w:t>data/history/S071.json</w:t>
      </w:r>
      <w:r>
        <w:rPr/>
        <w:t>；模型</w:t>
      </w:r>
      <w:r>
        <w:rPr/>
        <w:t>data/byd_model.json</w:t>
      </w:r>
      <w:r>
        <w:rPr/>
        <w:t>；</w:t>
      </w:r>
      <w:r>
        <w:rPr/>
        <w:t>qa/byd_qa.json</w:t>
      </w:r>
      <w:r>
        <w:rPr/>
        <w:t>。未来销量、单位盈利、其他贡献、股数、</w:t>
      </w:r>
      <w:r>
        <w:rPr/>
        <w:t>PE</w:t>
      </w:r>
      <w:r>
        <w:rPr/>
        <w:t>、分红和</w:t>
      </w:r>
      <w:r>
        <w:rPr/>
        <w:t>FX</w:t>
      </w:r>
      <w:r>
        <w:rPr/>
        <w:t>全为研究假设。</w:t>
      </w:r>
      <w:r>
        <w:br w:type="page"/>
      </w:r>
    </w:p>
    <w:p>
      <w:pPr>
        <w:pStyle w:val="Heading1"/>
        <w:rPr/>
      </w:pPr>
      <w:bookmarkStart w:id="3" w:name="__RefHeading___Toc26823_312338234"/>
      <w:bookmarkEnd w:id="3"/>
      <w:r>
        <w:rPr>
          <w:color w:val="000000"/>
        </w:rPr>
        <w:t xml:space="preserve">云顶新耀 </w:t>
      </w:r>
      <w:r>
        <w:rPr>
          <w:color w:val="000000"/>
        </w:rPr>
        <w:t>01952 HK</w:t>
      </w:r>
    </w:p>
    <w:p>
      <w:pPr>
        <w:pStyle w:val="Normal"/>
        <w:rPr/>
      </w:pPr>
      <w:r>
        <w:rPr/>
        <w:t xml:space="preserve">01952.HK </w:t>
      </w:r>
      <w:r>
        <w:rPr/>
        <w:t xml:space="preserve">现价 </w:t>
      </w:r>
      <w:r>
        <w:rPr/>
        <w:t>29.60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67.00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35.51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+19.96%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+19.96%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38.66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+30.60%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46.85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+58.27%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+58.27%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70.50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55.16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+86.34%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+86.65%</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-76.20%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33.64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+13.66%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70.33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+137.59%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36.16HKD</w:t>
      </w:r>
      <w:r>
        <w:rPr/>
        <w:t>，期望股价回报</w:t>
      </w:r>
      <w:r>
        <w:rPr/>
        <w:t>+22.18%</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7.26</w:t>
              <w:br/>
              <w:t>-75.47%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35.51</w:t>
              <w:br/>
              <w:t>+19.96%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97.70</w:t>
              <w:br/>
              <w:t>+230.06%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7.72</w:t>
              <w:br/>
              <w:t>-73.93%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38.66</w:t>
              <w:br/>
              <w:t>+30.60%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139.88</w:t>
              <w:br/>
              <w:t>+372.56%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9.88</w:t>
              <w:br/>
              <w:t>-66.62%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46.85</w:t>
              <w:br/>
              <w:t>+58.27%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163.50</w:t>
              <w:br/>
              <w:t>+452.37%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+16.54%</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11.91</w:t>
              <w:br/>
              <w:t>-59.78%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55.16</w:t>
              <w:br/>
              <w:t>+86.34%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187.45</w:t>
              <w:br/>
              <w:t>+533.28%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+13.29%</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一年日期修订：全部未来现金流</w:t>
      </w:r>
      <w:r>
        <w:rPr/>
        <w:t>ACT</w:t>
      </w:r>
      <w:r>
        <w:rPr/>
        <w:t>折现、目标年比例及目标现金</w:t>
      </w:r>
      <w:r>
        <w:rPr/>
        <w:t>/</w:t>
      </w:r>
      <w:r>
        <w:rPr/>
        <w:t>股数按实际日重算；经营假设不变。下文保留的额外压力测试按原假设日期运行，属于历史模型敏感性；核心三情景以上表及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+19.96%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+25.96%</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+30.60%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+37.13%</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+50.36%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+58.27%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+66.19%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+77.31%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+86.65%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+95.98%</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日香港收盘，</w:t>
      </w:r>
      <w:r>
        <w:rPr/>
        <w:t>01952.HK</w:t>
      </w:r>
      <w:r>
        <w:rPr/>
        <w:t>，</w:t>
      </w:r>
      <w:r>
        <w:rPr/>
        <w:t>29.60</w:t>
      </w:r>
      <w:r>
        <w:rPr/>
        <w:t>港元。发行人</w:t>
      </w:r>
      <w:r>
        <w:rPr/>
        <w:t>I040</w:t>
      </w:r>
      <w:r>
        <w:rPr/>
        <w:t>，证券</w:t>
      </w:r>
      <w:r>
        <w:rPr/>
        <w:t>S047</w:t>
      </w:r>
      <w:r>
        <w:rPr/>
        <w:t>。资料截止同日。模型</w:t>
      </w:r>
      <w:r>
        <w:rPr/>
        <w:t>everest-v2-fullLicenseCash-finiteFCFF-contractnet-debt</w:t>
      </w:r>
      <w:r>
        <w:rPr/>
        <w:t>，有限现金流截至</w:t>
      </w:r>
      <w:r>
        <w:rPr/>
        <w:t>2041</w:t>
      </w:r>
      <w:r>
        <w:rPr/>
        <w:t>年，无终值。财务人民币，证券估值港币；人民币兑港币</w:t>
      </w:r>
      <w:r>
        <w:rPr/>
        <w:t>1.10</w:t>
      </w:r>
      <w:r>
        <w:rPr/>
        <w:t>、美元兑人民币</w:t>
      </w:r>
      <w:r>
        <w:rPr/>
        <w:t>7.00</w:t>
      </w:r>
      <w:r>
        <w:rPr/>
        <w:t>均为研究假设。</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408"/>
        <w:gridCol w:w="1407"/>
        <w:gridCol w:w="1409"/>
        <w:gridCol w:w="1407"/>
        <w:gridCol w:w="1409"/>
        <w:gridCol w:w="1407"/>
        <w:gridCol w:w="1409"/>
      </w:tblGrid>
      <w:tr>
        <w:trPr>
          <w:tblHeader w:val="true"/>
          <w:cantSplit/>
        </w:trPr>
        <w:tc>
          <w:tcPr>
            <w:tcW w:w="1408"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评分</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悲观价港元</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基准价港元</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乐观价港元</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基准涨幅</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基准含息年化</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r>
              <w:rPr>
                <w:rFonts w:eastAsia="微软雅黑" w:ascii="微软雅黑" w:hAnsi="微软雅黑"/>
                <w:sz w:val="17"/>
              </w:rPr>
              <w:t>2026-12-31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专项</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7.0452</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33.6433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70.3253</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13.66%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不适用</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7.2622</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35.5092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97.6966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19.96%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不适用</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7.7158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38.6564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139.8771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30.60%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不适用</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9.8795</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46.8487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163.5011</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58.27%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16.54%</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11.9056</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55.1570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187.4509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86.34%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13.29%</w:t>
            </w:r>
          </w:p>
        </w:tc>
      </w:tr>
    </w:tbl>
    <w:p>
      <w:pPr>
        <w:pStyle w:val="Normal"/>
        <w:rPr/>
      </w:pPr>
      <w:r>
        <w:rPr/>
      </w:r>
    </w:p>
    <w:p>
      <w:pPr>
        <w:pStyle w:val="Heading2"/>
        <w:rPr/>
      </w:pPr>
      <w:r>
        <w:rPr>
          <w:color w:val="000000"/>
        </w:rPr>
        <w:t>一 推荐结论与逻辑边界</w:t>
      </w:r>
    </w:p>
    <w:p>
      <w:pPr>
        <w:pStyle w:val="Normal"/>
        <w:rPr/>
      </w:pPr>
      <w:r>
        <w:rPr/>
        <w:t>云顶新耀适合作为进取型名单中的商业化扩张候选，其优势是已有真实药品收入和专科推广队伍，未来几年有多款接近注册或已获批产品加入。当前价格与基准现金流估值之间存在一定空间，但这不是仅靠低估值即可兑现的投资。收入组合变得复杂，许可收付款、并购尾款和营运资金需求都会影响股东最终获得的现金。四个期限中三年分数最高，因为该时期更有机会观察维适平、星必妥、老视滴眼液及肾科新产品的经营结果；半年则仍受量价与政策窗口制约。</w:t>
      </w:r>
    </w:p>
    <w:p>
      <w:pPr>
        <w:pStyle w:val="Normal"/>
        <w:rPr/>
      </w:pPr>
      <w:r>
        <w:rPr/>
        <w:t>本章给予</w:t>
      </w:r>
      <w:r>
        <w:rPr/>
        <w:t>67.0</w:t>
      </w:r>
      <w:r>
        <w:rPr/>
        <w:t>、</w:t>
      </w:r>
      <w:r>
        <w:rPr/>
        <w:t>69.9</w:t>
      </w:r>
      <w:r>
        <w:rPr/>
        <w:t>、</w:t>
      </w:r>
      <w:r>
        <w:rPr/>
        <w:t>71.8</w:t>
      </w:r>
      <w:r>
        <w:rPr/>
        <w:t>和</w:t>
      </w:r>
      <w:r>
        <w:rPr/>
        <w:t>70.5</w:t>
      </w:r>
      <w:r>
        <w:rPr/>
        <w:t>分，属于需要业绩与资金验证的中高推荐梯队，最终全名单名次由统一总表形成。评分没有采用乐观价格直接反推高分。乐观情景包含多款产品获得商业成功、费用率改善和亚洲平台扩张，价格跨度非常大；与之相对，悲观情景即使及时收缩费用，也显示超过六成的长周期价格损失。把这些情景平均后得到的期望值，不能视为稳定获利概率，更不能因此忽略单一公司可能融资、经营收缩或发生永久性损失。</w:t>
      </w:r>
    </w:p>
    <w:p>
      <w:pPr>
        <w:pStyle w:val="Normal"/>
        <w:rPr/>
      </w:pPr>
      <w:r>
        <w:rPr/>
        <w:t>结论成立需要满足几项可查条件：耐赋康在医保后的销量增长可以抵消价格压力；维适平上市后形成重复处方和合理回款；新并入的海森亚洲业务完成整合；对外许可现金到位且没有被不断扩张的引进预算全部耗尽；临床项目按证据推进。若药品收入增长主要依靠渠道库存，应收和经营现金流恶化，或者关联资产价格持续高于其独立现金创造能力，应下调推荐。若短期股价涨到接近乐观估值，而这些证据尚未出现，预期回报维度同样需要降低。</w:t>
      </w:r>
    </w:p>
    <w:p>
      <w:pPr>
        <w:pStyle w:val="Heading2"/>
        <w:rPr/>
      </w:pPr>
      <w:r>
        <w:rPr>
          <w:color w:val="000000"/>
        </w:rPr>
        <w:t>二 公司是什么样的业务</w:t>
      </w:r>
    </w:p>
    <w:p>
      <w:pPr>
        <w:pStyle w:val="Normal"/>
        <w:rPr/>
      </w:pPr>
      <w:r>
        <w:rPr/>
        <w:t>云顶不是单纯依靠某一自主发现分子的早期生物技术公司，也不是传统仿制药企业。其核心模式是获得创新药在中国及亚洲的区域权利，完成临床开发、注册、医保准入、供应链与商业推广，同时投入自主研发平台。耐赋康、依嘉和维适平已提供现实的商业基础；新加入的心血管、眼科和肾科品种提供下一轮增长机会。该模式能减少从零发现药物的部分科学风险，但必须向原始开发方支付首付、里程碑和版税，产品收入并不等于归属于云顶的全部经济价值。</w:t>
      </w:r>
    </w:p>
    <w:p>
      <w:pPr>
        <w:pStyle w:val="Normal"/>
        <w:rPr/>
      </w:pPr>
      <w:r>
        <w:rPr/>
        <w:t>判断这一模式应看四个环节能否接续。首先是挑选产品，既要考虑临床差异，也要看中国可支付价格及竞争。其次是拿到合理合同，过高的首付与销量门槛会降低资本回报。第三是注册与供应，外国产品在海外批准后，仍可能需要本地试验、质量审核及生产安排。第四是商业化执行，专科医生覆盖、患者可及性、依从性和回款缺一不可。公司的收入加速说明部分执行能力已经形成，但并不证明所有新增治疗领域都能复制耐赋康的成绩。</w:t>
      </w:r>
    </w:p>
    <w:p>
      <w:pPr>
        <w:pStyle w:val="Heading2"/>
        <w:rPr/>
      </w:pPr>
      <w:r>
        <w:rPr>
          <w:color w:val="000000"/>
        </w:rPr>
        <w:t>三 收入组合已经发生变化</w:t>
      </w:r>
    </w:p>
    <w:p>
      <w:pPr>
        <w:pStyle w:val="Normal"/>
        <w:rPr/>
      </w:pPr>
      <w:r>
        <w:rPr/>
        <w:t>2026</w:t>
      </w:r>
      <w:r>
        <w:rPr/>
        <w:t>年上半年收入</w:t>
      </w:r>
      <w:r>
        <w:rPr/>
        <w:t>11.47840</w:t>
      </w:r>
      <w:r>
        <w:rPr/>
        <w:t>亿元，对比上年同期</w:t>
      </w:r>
      <w:r>
        <w:rPr/>
        <w:t>4.46123</w:t>
      </w:r>
      <w:r>
        <w:rPr/>
        <w:t>亿元增长约</w:t>
      </w:r>
      <w:r>
        <w:rPr/>
        <w:t>157.3%</w:t>
      </w:r>
      <w:r>
        <w:rPr/>
        <w:t>。财报附注明确其中药品销售</w:t>
      </w:r>
      <w:r>
        <w:rPr/>
        <w:t>10.03038</w:t>
      </w:r>
      <w:r>
        <w:rPr/>
        <w:t>亿元，服务收入</w:t>
      </w:r>
      <w:r>
        <w:rPr/>
        <w:t>1.44802</w:t>
      </w:r>
      <w:r>
        <w:rPr/>
        <w:t>亿元。若只比较药品销售，增幅约</w:t>
      </w:r>
      <w:r>
        <w:rPr/>
        <w:t>124.8%</w:t>
      </w:r>
      <w:r>
        <w:rPr/>
        <w:t>，仍然很快，但应与总收入增长区分。新增服务来自商业化合作，对方产品终端销售额不是云顶的收入；云顶按约定比例获得服务费。本模型把确认服务收入单列，不把对方全部卖药金额再加到云顶收入，也没有把服务抽成比例当作毛利率。</w:t>
      </w:r>
    </w:p>
    <w:p>
      <w:pPr>
        <w:pStyle w:val="Normal"/>
        <w:rPr/>
      </w:pPr>
      <w:r>
        <w:rPr/>
        <w:t>公司未在所核验的中报财务附注中公布每个药品的精确销售分项，模型耐赋康、依嘉和维适平的年度分配属于研究假设。</w:t>
      </w:r>
      <w:r>
        <w:rPr/>
        <w:t>2026</w:t>
      </w:r>
      <w:r>
        <w:rPr/>
        <w:t>年基准收入设为</w:t>
      </w:r>
      <w:r>
        <w:rPr/>
        <w:t>28.10</w:t>
      </w:r>
      <w:r>
        <w:rPr/>
        <w:t>亿元，其中耐赋康</w:t>
      </w:r>
      <w:r>
        <w:rPr/>
        <w:t>17.80</w:t>
      </w:r>
      <w:r>
        <w:rPr/>
        <w:t>亿元、依嘉</w:t>
      </w:r>
      <w:r>
        <w:rPr/>
        <w:t>3.10</w:t>
      </w:r>
      <w:r>
        <w:rPr/>
        <w:t>亿元、维适平</w:t>
      </w:r>
      <w:r>
        <w:rPr/>
        <w:t>0.80</w:t>
      </w:r>
      <w:r>
        <w:rPr/>
        <w:t>亿元、商业化服务</w:t>
      </w:r>
      <w:r>
        <w:rPr/>
        <w:t>3.30</w:t>
      </w:r>
      <w:r>
        <w:rPr/>
        <w:t>亿元和海森亚洲</w:t>
      </w:r>
      <w:r>
        <w:rPr/>
        <w:t>3.10</w:t>
      </w:r>
      <w:r>
        <w:rPr/>
        <w:t>亿元，星必妥尚未计显著收入。这样的分配可以用于检验经营逻辑，不能冒充中报已披露数据。后续公司若发布产品销售额，应逐项替换假设，而不是在旧数字上叠加新公告。</w:t>
      </w:r>
    </w:p>
    <w:p>
      <w:pPr>
        <w:pStyle w:val="Heading2"/>
        <w:rPr/>
      </w:pPr>
      <w:r>
        <w:rPr>
          <w:color w:val="000000"/>
        </w:rPr>
        <w:t>四 耐赋康的临床价值与适用人群</w:t>
      </w:r>
    </w:p>
    <w:p>
      <w:pPr>
        <w:pStyle w:val="Normal"/>
        <w:rPr/>
      </w:pPr>
      <w:r>
        <w:rPr/>
        <w:t>耐赋康为靶向释放的布地奈德制剂，用于原发性</w:t>
      </w:r>
      <w:r>
        <w:rPr/>
        <w:t>IgA</w:t>
      </w:r>
      <w:r>
        <w:rPr/>
        <w:t>肾病。其设计目标是作用于肠道黏膜免疫机制，减少致病免疫过程，并维持较高首过代谢。中国</w:t>
      </w:r>
      <w:r>
        <w:rPr/>
        <w:t>2023</w:t>
      </w:r>
      <w:r>
        <w:rPr/>
        <w:t>年批准、</w:t>
      </w:r>
      <w:r>
        <w:rPr/>
        <w:t>2024</w:t>
      </w:r>
      <w:r>
        <w:rPr/>
        <w:t>年商业上市、</w:t>
      </w:r>
      <w:r>
        <w:rPr/>
        <w:t>2025</w:t>
      </w:r>
      <w:r>
        <w:rPr/>
        <w:t>年进入医保并获得完全批准，使其从高价自费产品转为更多患者可以使用的专科药物。疾病长期负担和对肾功能保护的需要，是该产品可以持续放量的基本理由，但治疗人数还要受确诊、专科转诊、适用条件、医生决策和患者负担限制。</w:t>
      </w:r>
    </w:p>
    <w:p>
      <w:pPr>
        <w:pStyle w:val="Normal"/>
        <w:rPr/>
      </w:pPr>
      <w:r>
        <w:rPr/>
        <w:t>原始</w:t>
      </w:r>
      <w:r>
        <w:rPr/>
        <w:t>NefIgArd</w:t>
      </w:r>
      <w:r>
        <w:rPr/>
        <w:t>随机三期研究共有</w:t>
      </w:r>
      <w:r>
        <w:rPr/>
        <w:t>364</w:t>
      </w:r>
      <w:r>
        <w:rPr/>
        <w:t>名患者，两组各</w:t>
      </w:r>
      <w:r>
        <w:rPr/>
        <w:t>182</w:t>
      </w:r>
      <w:r>
        <w:rPr/>
        <w:t>名；给药九个月，随后停药观察十五个月。两年时间加权肾小球滤过率的组间差为每</w:t>
      </w:r>
      <w:r>
        <w:rPr/>
        <w:t>1.73</w:t>
      </w:r>
      <w:r>
        <w:rPr/>
        <w:t>平方米</w:t>
      </w:r>
      <w:r>
        <w:rPr/>
        <w:t>5.05</w:t>
      </w:r>
      <w:r>
        <w:rPr/>
        <w:t>毫升每分钟，具有统计学意义。这个结果支持延缓肾功能下降，而不是证明所有患者都停止疾病进展。试验基线肾功能和蛋白尿有入组限制，不能把任何晚期肾病患者都视为同等受益者。投资估值如果把全国所有</w:t>
      </w:r>
      <w:r>
        <w:rPr/>
        <w:t>IgA</w:t>
      </w:r>
      <w:r>
        <w:rPr/>
        <w:t>肾病患病人数直接乘以疗程价格，会远高于真实可达销售市场。</w:t>
      </w:r>
    </w:p>
    <w:p>
      <w:pPr>
        <w:pStyle w:val="Heading2"/>
        <w:rPr/>
      </w:pPr>
      <w:r>
        <w:rPr>
          <w:color w:val="000000"/>
        </w:rPr>
        <w:t>五 不能把长期模型结果当成已发生疗效</w:t>
      </w:r>
    </w:p>
    <w:p>
      <w:pPr>
        <w:pStyle w:val="Normal"/>
        <w:rPr/>
      </w:pPr>
      <w:r>
        <w:rPr/>
        <w:t>中报引用减少约一半肾功能下降、中国人群更大比例改善以及预计延迟透析或移植</w:t>
      </w:r>
      <w:r>
        <w:rPr/>
        <w:t>12.8</w:t>
      </w:r>
      <w:r>
        <w:rPr/>
        <w:t>年的表述。应分别识别相对变化、亚组分析和长期外推。所核验随机试验观察期为两年，</w:t>
      </w:r>
      <w:r>
        <w:rPr/>
        <w:t>12.8</w:t>
      </w:r>
      <w:r>
        <w:rPr/>
        <w:t>年不是十二年以上实际追踪到的确定结果。模型可以根据肾功能斜率推算进入终末期的时间，但它取决于斜率持续性、后续治疗、死亡竞争风险和重复疗程。推荐理由应建立在已观察的肾功能保护证据上，长期外推可用来说明潜在价值，不应当作为保证。</w:t>
      </w:r>
    </w:p>
    <w:p>
      <w:pPr>
        <w:pStyle w:val="Normal"/>
        <w:rPr/>
      </w:pPr>
      <w:r>
        <w:rPr/>
        <w:t>安全性也不能因为局部作用便被省略。原始试验中水肿、高血压、肌肉痉挛、痤疮等事件在治疗组更常见，局部制剂仍属于具有糖皮质激素活性的治疗。真实世界研究有助于理解中国用药模式，但病例系列、观察队列和会议摘要的证据强度各不相同。研究数量增加不等于同等数量的随机对照试验。未来重复疗程和不同肾功能患者的长期结果，会影响医生使用范围、续方和医保评价，从而影响本模型的收入持续时间。</w:t>
      </w:r>
    </w:p>
    <w:p>
      <w:pPr>
        <w:pStyle w:val="Heading2"/>
        <w:rPr/>
      </w:pPr>
      <w:r>
        <w:rPr>
          <w:color w:val="000000"/>
        </w:rPr>
        <w:t>六 竞争 仿制与耐赋康收入持续性</w:t>
      </w:r>
    </w:p>
    <w:p>
      <w:pPr>
        <w:pStyle w:val="Normal"/>
        <w:rPr/>
      </w:pPr>
      <w:r>
        <w:rPr/>
        <w:t>IgA</w:t>
      </w:r>
      <w:r>
        <w:rPr/>
        <w:t>肾病治疗不只一种机制。支持治疗、血压和蛋白尿控制、其他免疫调节以及靶向补体或</w:t>
      </w:r>
      <w:r>
        <w:rPr/>
        <w:t>B</w:t>
      </w:r>
      <w:r>
        <w:rPr/>
        <w:t>细胞相关的新药，都可能改变治疗路径。不同机制可形成联合，也可能争夺预算与治疗顺序。本研究没有因为耐赋康有先发地位就设定永久独占。基准年度收入在</w:t>
      </w:r>
      <w:r>
        <w:rPr/>
        <w:t>2032</w:t>
      </w:r>
      <w:r>
        <w:rPr/>
        <w:t>年前逐步增长，其后采用较低增长，并自</w:t>
      </w:r>
      <w:r>
        <w:rPr/>
        <w:t>2035</w:t>
      </w:r>
      <w:r>
        <w:rPr/>
        <w:t>年按衰减系数降低既有组合收入，体现产品替代、价格压缩和成熟化。这个简化并不等于核定每项专利的真实到期日。</w:t>
      </w:r>
    </w:p>
    <w:p>
      <w:pPr>
        <w:pStyle w:val="Normal"/>
        <w:rPr/>
      </w:pPr>
      <w:r>
        <w:rPr/>
        <w:t>2026</w:t>
      </w:r>
      <w:r>
        <w:rPr/>
        <w:t>年</w:t>
      </w:r>
      <w:r>
        <w:rPr/>
        <w:t>6</w:t>
      </w:r>
      <w:r>
        <w:rPr/>
        <w:t>月</w:t>
      </w:r>
      <w:r>
        <w:rPr/>
        <w:t>24</w:t>
      </w:r>
      <w:r>
        <w:rPr/>
        <w:t>日公告披露与海南合瑞合作，其布地奈德肠溶胶囊已于</w:t>
      </w:r>
      <w:r>
        <w:rPr/>
        <w:t>2025</w:t>
      </w:r>
      <w:r>
        <w:rPr/>
        <w:t>年</w:t>
      </w:r>
      <w:r>
        <w:rPr/>
        <w:t>12</w:t>
      </w:r>
      <w:r>
        <w:rPr/>
        <w:t>月获批，云顶负责商业化并提供技术指导和质量审核，合作还需满足常规条件。这项事实说明竞争产品并非纯粹远期假想。共同商业化可能拓宽价格分层和患者覆盖，也可能分流原品牌及降低平均单价。合作经济分成没有在所见公告中完整公开，因此不额外编造独立高利润收入。若后续证实价格大幅降低且新患者增量不足，应削减耐赋康销售假设而非仅提高销量。</w:t>
      </w:r>
    </w:p>
    <w:p>
      <w:pPr>
        <w:pStyle w:val="Heading2"/>
        <w:rPr/>
      </w:pPr>
      <w:r>
        <w:rPr>
          <w:color w:val="000000"/>
        </w:rPr>
        <w:t>七 维适平的证据与商业机会</w:t>
      </w:r>
    </w:p>
    <w:p>
      <w:pPr>
        <w:pStyle w:val="Normal"/>
        <w:rPr/>
      </w:pPr>
      <w:r>
        <w:rPr/>
        <w:t>维适平为口服</w:t>
      </w:r>
      <w:r>
        <w:rPr/>
        <w:t>S1P</w:t>
      </w:r>
      <w:r>
        <w:rPr/>
        <w:t>受体调节剂艾曲莫德，用于对传统或生物治疗应答不充分、失应答或不耐受的中重度活动性溃疡性结肠炎成人。</w:t>
      </w:r>
      <w:r>
        <w:rPr/>
        <w:t>2026</w:t>
      </w:r>
      <w:r>
        <w:rPr/>
        <w:t>年</w:t>
      </w:r>
      <w:r>
        <w:rPr/>
        <w:t>2</w:t>
      </w:r>
      <w:r>
        <w:rPr/>
        <w:t>月中国批准、</w:t>
      </w:r>
      <w:r>
        <w:rPr/>
        <w:t>3</w:t>
      </w:r>
      <w:r>
        <w:rPr/>
        <w:t>月首张处方，意味着主要注册风险已经发生变化。其每日一次口服形式有助于提高便利性，潜在商业机会来自需要更进一步治疗且愿意持续用药的患者。它不是可以无条件覆盖全部肠道炎症患者的药物，也不能因口服就认为优于所有注射生物制剂。</w:t>
      </w:r>
    </w:p>
    <w:p>
      <w:pPr>
        <w:pStyle w:val="Normal"/>
        <w:rPr/>
      </w:pPr>
      <w:r>
        <w:rPr/>
        <w:t>亚洲</w:t>
      </w:r>
      <w:r>
        <w:rPr/>
        <w:t>ENLIGHT</w:t>
      </w:r>
      <w:r>
        <w:rPr/>
        <w:t>研究随机</w:t>
      </w:r>
      <w:r>
        <w:rPr/>
        <w:t>340</w:t>
      </w:r>
      <w:r>
        <w:rPr/>
        <w:t>人，诱导十二周临床缓解为</w:t>
      </w:r>
      <w:r>
        <w:rPr/>
        <w:t>25.0%</w:t>
      </w:r>
      <w:r>
        <w:rPr/>
        <w:t>对</w:t>
      </w:r>
      <w:r>
        <w:rPr/>
        <w:t>5.4%</w:t>
      </w:r>
      <w:r>
        <w:rPr/>
        <w:t>；进入维持期的是诱导有应答后再次随机的</w:t>
      </w:r>
      <w:r>
        <w:rPr/>
        <w:t>157</w:t>
      </w:r>
      <w:r>
        <w:rPr/>
        <w:t>人，维持期四十周缓解</w:t>
      </w:r>
      <w:r>
        <w:rPr/>
        <w:t>48.1%</w:t>
      </w:r>
      <w:r>
        <w:rPr/>
        <w:t>对</w:t>
      </w:r>
      <w:r>
        <w:rPr/>
        <w:t>12.5%</w:t>
      </w:r>
      <w:r>
        <w:rPr/>
        <w:t>。后者是经过应答筛选的人群，不能直接当作所有初始用药患者一年缓解率。全球</w:t>
      </w:r>
      <w:r>
        <w:rPr/>
        <w:t>ELEVATE</w:t>
      </w:r>
      <w:r>
        <w:rPr/>
        <w:t>研究也支持诱导和维持有效性，但设计、患者历史和分析集不完全相同。投资判断应同时看到临床证据和其适用条件，以免将宣传摘要中的高比例误用于商业渗透率。</w:t>
      </w:r>
    </w:p>
    <w:p>
      <w:pPr>
        <w:pStyle w:val="Heading2"/>
        <w:rPr/>
      </w:pPr>
      <w:r>
        <w:rPr>
          <w:color w:val="000000"/>
        </w:rPr>
        <w:t>八 维适平的支付与竞争限制</w:t>
      </w:r>
    </w:p>
    <w:p>
      <w:pPr>
        <w:pStyle w:val="Normal"/>
        <w:rPr/>
      </w:pPr>
      <w:r>
        <w:rPr/>
        <w:t>公司计划参加</w:t>
      </w:r>
      <w:r>
        <w:rPr/>
        <w:t>2026</w:t>
      </w:r>
      <w:r>
        <w:rPr/>
        <w:t>年下半年的医保谈判。进入医保可能降低价格但增加适用患者和续方；未进入或谈判条件苛刻，则商业扩张可能延后。基准收入</w:t>
      </w:r>
      <w:r>
        <w:rPr/>
        <w:t>2027</w:t>
      </w:r>
      <w:r>
        <w:rPr/>
        <w:t>年</w:t>
      </w:r>
      <w:r>
        <w:rPr/>
        <w:t>4.70</w:t>
      </w:r>
      <w:r>
        <w:rPr/>
        <w:t>亿元、</w:t>
      </w:r>
      <w:r>
        <w:rPr/>
        <w:t>2029</w:t>
      </w:r>
      <w:r>
        <w:rPr/>
        <w:t>年</w:t>
      </w:r>
      <w:r>
        <w:rPr/>
        <w:t>13.20</w:t>
      </w:r>
      <w:r>
        <w:rPr/>
        <w:t>亿元、</w:t>
      </w:r>
      <w:r>
        <w:rPr/>
        <w:t>2031</w:t>
      </w:r>
      <w:r>
        <w:rPr/>
        <w:t>年</w:t>
      </w:r>
      <w:r>
        <w:rPr/>
        <w:t>21.80</w:t>
      </w:r>
      <w:r>
        <w:rPr/>
        <w:t>亿元，体现逐步准入和市场教育，并未直接采用管理层或历史投行所提峰值。乐观情景</w:t>
      </w:r>
      <w:r>
        <w:rPr/>
        <w:t>2031</w:t>
      </w:r>
      <w:r>
        <w:rPr/>
        <w:t>年</w:t>
      </w:r>
      <w:r>
        <w:rPr/>
        <w:t>34.70</w:t>
      </w:r>
      <w:r>
        <w:rPr/>
        <w:t>亿元，对支付、市场份额和长期维持有更高要求；悲观情景同年</w:t>
      </w:r>
      <w:r>
        <w:rPr/>
        <w:t>7.20</w:t>
      </w:r>
      <w:r>
        <w:rPr/>
        <w:t>亿元，代表竞争及准入阻碍。</w:t>
      </w:r>
    </w:p>
    <w:p>
      <w:pPr>
        <w:pStyle w:val="Normal"/>
        <w:rPr/>
      </w:pPr>
      <w:r>
        <w:rPr/>
        <w:t>溃疡性结肠炎有成熟生物制剂、</w:t>
      </w:r>
      <w:r>
        <w:rPr/>
        <w:t>JAK</w:t>
      </w:r>
      <w:r>
        <w:rPr/>
        <w:t>抑制剂和其他口服治疗可供选择，医生会结合既往治疗、感染风险、心血管情况与监测要求。</w:t>
      </w:r>
      <w:r>
        <w:rPr/>
        <w:t>S1P</w:t>
      </w:r>
      <w:r>
        <w:rPr/>
        <w:t>机制的起始心率、传导和相关风险不能因便利性被忽略。对老年及多重合并症患者，关键试验证据的代表性也有限。本模型把维适平毛利作为扣除供应和经济版税后的研究水平，销售队伍扩张放在完整费用内。若收入比基准少三成，一年估值降至约</w:t>
      </w:r>
      <w:r>
        <w:rPr/>
        <w:t>31.71</w:t>
      </w:r>
      <w:r>
        <w:rPr/>
        <w:t>港元，半年上行仅约</w:t>
      </w:r>
      <w:r>
        <w:rPr/>
        <w:t>1.59%</w:t>
      </w:r>
      <w:r>
        <w:rPr/>
        <w:t>，说明该产品对推荐具有实际影响。</w:t>
      </w:r>
    </w:p>
    <w:p>
      <w:pPr>
        <w:pStyle w:val="Heading2"/>
        <w:rPr/>
      </w:pPr>
      <w:r>
        <w:rPr>
          <w:color w:val="000000"/>
        </w:rPr>
        <w:t>九 依嘉及抗感染产品的投资角色</w:t>
      </w:r>
    </w:p>
    <w:p>
      <w:pPr>
        <w:pStyle w:val="Normal"/>
        <w:rPr/>
      </w:pPr>
      <w:r>
        <w:rPr/>
        <w:t>依嘉为依拉环素，用于复杂性腹腔内感染，覆盖部分重症和耐药菌治疗需要。其临床价值与医院重症用药需求有关，商业路径更依赖医院准入、感染科及相关科室使用、抗菌药管理和供应保障。抗感染产品可以增加商业团队利用率和收入稳定性，但不应按慢性病持续续方模式估值。疗程、病原检验、院内药事和替代抗生素价格都会限制销量。公司计划推进医保及生产本地化，若落实可改善可及性与供货。</w:t>
      </w:r>
    </w:p>
    <w:p>
      <w:pPr>
        <w:pStyle w:val="Normal"/>
        <w:rPr/>
      </w:pPr>
      <w:r>
        <w:rPr/>
        <w:t>新增头孢吡肟他尼硼巴坦项目在管线中处于申报准备阶段，全球监管、生产质量及本地要求仍需跟踪。模型给予分阶段风险收入，不把它等同已上市。与其相关的</w:t>
      </w:r>
      <w:r>
        <w:rPr/>
        <w:t>Venatorx</w:t>
      </w:r>
      <w:r>
        <w:rPr/>
        <w:t>金融投资在</w:t>
      </w:r>
      <w:r>
        <w:rPr/>
        <w:t>2025</w:t>
      </w:r>
      <w:r>
        <w:rPr/>
        <w:t>年报已减至零，也提醒投资者科学或监管挫折会产生真实减值。依嘉和新增抗感染药物可共享部分医院网络，但对不同感染适应症和细菌机制需要分别教育；不能把两药的潜在使用患者完全相加后宣称收入相互独立。</w:t>
      </w:r>
    </w:p>
    <w:p>
      <w:pPr>
        <w:pStyle w:val="Heading2"/>
        <w:rPr/>
      </w:pPr>
      <w:r>
        <w:rPr>
          <w:color w:val="000000"/>
        </w:rPr>
        <w:t>十 星必妥已获批后的兑现问题</w:t>
      </w:r>
    </w:p>
    <w:p>
      <w:pPr>
        <w:pStyle w:val="Normal"/>
        <w:rPr/>
      </w:pPr>
      <w:r>
        <w:rPr/>
        <w:t>2026</w:t>
      </w:r>
      <w:r>
        <w:rPr/>
        <w:t>年</w:t>
      </w:r>
      <w:r>
        <w:rPr/>
        <w:t>9</w:t>
      </w:r>
      <w:r>
        <w:rPr/>
        <w:t>月</w:t>
      </w:r>
      <w:r>
        <w:rPr/>
        <w:t>3</w:t>
      </w:r>
      <w:r>
        <w:rPr/>
        <w:t>日公告确认星必妥艾曲帕米鼻喷雾在中国获批，用于成人阵发性室上性心动过速急性症状发作转复。该消息在当日</w:t>
      </w:r>
      <w:r>
        <w:rPr/>
        <w:t>20</w:t>
      </w:r>
      <w:r>
        <w:rPr/>
        <w:t>时</w:t>
      </w:r>
      <w:r>
        <w:rPr/>
        <w:t>05</w:t>
      </w:r>
      <w:r>
        <w:rPr/>
        <w:t>分发布，属于收盘后信息，但早于本研究截止日，已纳入。其独特性在于符合条件患者可以自行给药，减少部分急诊处置需求。获批降低注册风险，却没有自动解决患者筛选、处方流程、使用培训、复购频率和价格接受度。不同心律失常并非同一适应症，房颤快心室率仍需另外临床与注册支持。</w:t>
      </w:r>
    </w:p>
    <w:p>
      <w:pPr>
        <w:pStyle w:val="Normal"/>
        <w:rPr/>
      </w:pPr>
      <w:r>
        <w:rPr/>
        <w:t>原始</w:t>
      </w:r>
      <w:r>
        <w:rPr/>
        <w:t>RAPID</w:t>
      </w:r>
      <w:r>
        <w:rPr/>
        <w:t>研究中确认事件并自行使用研究药物者</w:t>
      </w:r>
      <w:r>
        <w:rPr/>
        <w:t>184</w:t>
      </w:r>
      <w:r>
        <w:rPr/>
        <w:t>人，药物</w:t>
      </w:r>
      <w:r>
        <w:rPr/>
        <w:t>99</w:t>
      </w:r>
      <w:r>
        <w:rPr/>
        <w:t>人、安慰剂</w:t>
      </w:r>
      <w:r>
        <w:rPr/>
        <w:t>85</w:t>
      </w:r>
      <w:r>
        <w:rPr/>
        <w:t>人；三十分钟转复估计约</w:t>
      </w:r>
      <w:r>
        <w:rPr/>
        <w:t>64%</w:t>
      </w:r>
      <w:r>
        <w:rPr/>
        <w:t>对</w:t>
      </w:r>
      <w:r>
        <w:rPr/>
        <w:t>31%</w:t>
      </w:r>
      <w:r>
        <w:rPr/>
        <w:t>，转复中位时间</w:t>
      </w:r>
      <w:r>
        <w:rPr/>
        <w:t>17.2</w:t>
      </w:r>
      <w:r>
        <w:rPr/>
        <w:t>分钟对</w:t>
      </w:r>
      <w:r>
        <w:rPr/>
        <w:t>53.5</w:t>
      </w:r>
      <w:r>
        <w:rPr/>
        <w:t>分钟。研究先进行耐受测试，患者按症状和程序使用，因此现实推广要保留安全筛选及监测条件。鼻部不适等给药部位事件较常见。不能将</w:t>
      </w:r>
      <w:r>
        <w:rPr/>
        <w:t>64%</w:t>
      </w:r>
      <w:r>
        <w:rPr/>
        <w:t>理解为所有使用者都免除后续医疗，也不能将总随机人数与实际确认事件人数混为一谈。基准从</w:t>
      </w:r>
      <w:r>
        <w:rPr/>
        <w:t>2027</w:t>
      </w:r>
      <w:r>
        <w:rPr/>
        <w:t>年</w:t>
      </w:r>
      <w:r>
        <w:rPr/>
        <w:t>1.30</w:t>
      </w:r>
      <w:r>
        <w:rPr/>
        <w:t>亿元逐步增至</w:t>
      </w:r>
      <w:r>
        <w:rPr/>
        <w:t>2031</w:t>
      </w:r>
      <w:r>
        <w:rPr/>
        <w:t>年</w:t>
      </w:r>
      <w:r>
        <w:rPr/>
        <w:t>10.60</w:t>
      </w:r>
      <w:r>
        <w:rPr/>
        <w:t>亿元，仍属商业假设。</w:t>
      </w:r>
    </w:p>
    <w:p>
      <w:pPr>
        <w:pStyle w:val="Heading2"/>
        <w:rPr/>
      </w:pPr>
      <w:r>
        <w:rPr>
          <w:color w:val="000000"/>
        </w:rPr>
        <w:t>十一 星必妥的许可价格不是一个数字</w:t>
      </w:r>
    </w:p>
    <w:p>
      <w:pPr>
        <w:pStyle w:val="Normal"/>
        <w:rPr/>
      </w:pPr>
      <w:r>
        <w:rPr/>
        <w:t>2026</w:t>
      </w:r>
      <w:r>
        <w:rPr/>
        <w:t>年</w:t>
      </w:r>
      <w:r>
        <w:rPr/>
        <w:t>3</w:t>
      </w:r>
      <w:r>
        <w:rPr/>
        <w:t>月资产购买合同列明向转让方最多支付</w:t>
      </w:r>
      <w:r>
        <w:rPr/>
        <w:t>5000</w:t>
      </w:r>
      <w:r>
        <w:rPr/>
        <w:t>万美元，其中首付</w:t>
      </w:r>
      <w:r>
        <w:rPr/>
        <w:t>3000</w:t>
      </w:r>
      <w:r>
        <w:rPr/>
        <w:t>万美元，批准</w:t>
      </w:r>
      <w:r>
        <w:rPr/>
        <w:t>PSVT</w:t>
      </w:r>
      <w:r>
        <w:rPr/>
        <w:t>后</w:t>
      </w:r>
      <w:r>
        <w:rPr/>
        <w:t>1500</w:t>
      </w:r>
      <w:r>
        <w:rPr/>
        <w:t>万美元，首次达到特定医保条件</w:t>
      </w:r>
      <w:r>
        <w:rPr/>
        <w:t>200</w:t>
      </w:r>
      <w:r>
        <w:rPr/>
        <w:t>万美元及本地制造申报</w:t>
      </w:r>
      <w:r>
        <w:rPr/>
        <w:t>300</w:t>
      </w:r>
      <w:r>
        <w:rPr/>
        <w:t>万美元。云顶还承担原许可框架中交割后发生的付款，包括最多</w:t>
      </w:r>
      <w:r>
        <w:rPr/>
        <w:t>800</w:t>
      </w:r>
      <w:r>
        <w:rPr/>
        <w:t>万美元开发里程碑、</w:t>
      </w:r>
      <w:r>
        <w:rPr/>
        <w:t>9200</w:t>
      </w:r>
      <w:r>
        <w:rPr/>
        <w:t>万美元销售里程碑和低至高双位数版税。最大金额不等于全部应立即支付，但也不能只记</w:t>
      </w:r>
      <w:r>
        <w:rPr/>
        <w:t>3000</w:t>
      </w:r>
      <w:r>
        <w:rPr/>
        <w:t>万美元便认为成本完结。</w:t>
      </w:r>
      <w:r>
        <w:rPr/>
        <w:t>9</w:t>
      </w:r>
      <w:r>
        <w:rPr/>
        <w:t>月批准已使其中一个付款触发事件发生，实际支付状态尚须现金或合同后续披露核对。</w:t>
      </w:r>
    </w:p>
    <w:p>
      <w:pPr>
        <w:pStyle w:val="Normal"/>
        <w:rPr/>
      </w:pPr>
      <w:r>
        <w:rPr/>
        <w:t>3</w:t>
      </w:r>
      <w:r>
        <w:rPr/>
        <w:t>月英文原公告一处付款方向文字与前文约定义务不一致，本研究依前文买方付款义务及交易总结构理解，并把异常保留在证据记录，没有据该单句推算云顶收到批准奖励。</w:t>
      </w:r>
      <w:r>
        <w:rPr/>
        <w:t>2026</w:t>
      </w:r>
      <w:r>
        <w:rPr/>
        <w:t>年许可预算包括已发生半年</w:t>
      </w:r>
      <w:r>
        <w:rPr/>
        <w:t>4.48136</w:t>
      </w:r>
      <w:r>
        <w:rPr/>
        <w:t>亿元付款及其后额外预算；期末现金以六月余额为起点，只扣后半年的剩余款。避免既把半年首付从现金再扣一次，又漏掉未来里程碑。若公司后续逐药披露金额，应将总预算拆成明确事件付款，减少当前估值的不确定性。</w:t>
      </w:r>
    </w:p>
    <w:p>
      <w:pPr>
        <w:pStyle w:val="Heading2"/>
        <w:rPr/>
      </w:pPr>
      <w:r>
        <w:rPr>
          <w:color w:val="000000"/>
        </w:rPr>
        <w:t>十二 老视滴眼液与消费支付</w:t>
      </w:r>
    </w:p>
    <w:p>
      <w:pPr>
        <w:pStyle w:val="Normal"/>
        <w:rPr/>
      </w:pPr>
      <w:r>
        <w:rPr/>
        <w:t>2026</w:t>
      </w:r>
      <w:r>
        <w:rPr/>
        <w:t>年</w:t>
      </w:r>
      <w:r>
        <w:rPr/>
        <w:t>6</w:t>
      </w:r>
      <w:r>
        <w:rPr/>
        <w:t>月引进</w:t>
      </w:r>
      <w:r>
        <w:rPr/>
        <w:t>LNZ100</w:t>
      </w:r>
      <w:r>
        <w:rPr/>
        <w:t>醋克利定滴眼液的大中华权利，包括开发、制造和商业化。其缩瞳机制通过针孔效应改善近视力，属于每日使用的处方治疗。美国</w:t>
      </w:r>
      <w:r>
        <w:rPr/>
        <w:t>2025</w:t>
      </w:r>
      <w:r>
        <w:rPr/>
        <w:t>年批准不等于中国已获批，中国产品申报在</w:t>
      </w:r>
      <w:r>
        <w:rPr/>
        <w:t>2025</w:t>
      </w:r>
      <w:r>
        <w:rPr/>
        <w:t>年</w:t>
      </w:r>
      <w:r>
        <w:rPr/>
        <w:t>9</w:t>
      </w:r>
      <w:r>
        <w:rPr/>
        <w:t>月提出，公司当时预期</w:t>
      </w:r>
      <w:r>
        <w:rPr/>
        <w:t>2027</w:t>
      </w:r>
      <w:r>
        <w:rPr/>
        <w:t>年获批。人口老化带来大量潜在人群，但老视不等于每人都购买处方滴眼液。眼镜、隐形眼镜及其他矫正方式成本低，效果体验、安全筛选和患者支付意愿决定实际市场。</w:t>
      </w:r>
    </w:p>
    <w:p>
      <w:pPr>
        <w:pStyle w:val="Normal"/>
        <w:rPr/>
      </w:pPr>
      <w:r>
        <w:rPr/>
        <w:t>模型基准按</w:t>
      </w:r>
      <w:r>
        <w:rPr/>
        <w:t>2027</w:t>
      </w:r>
      <w:r>
        <w:rPr/>
        <w:t>年开始商业化、峰值</w:t>
      </w:r>
      <w:r>
        <w:rPr/>
        <w:t>12</w:t>
      </w:r>
      <w:r>
        <w:rPr/>
        <w:t>亿元和</w:t>
      </w:r>
      <w:r>
        <w:rPr/>
        <w:t>90%</w:t>
      </w:r>
      <w:r>
        <w:rPr/>
        <w:t>的注册及商业起步风险因子进行测算，长期销量仍通过渐进曲线形成。这里的</w:t>
      </w:r>
      <w:r>
        <w:rPr/>
        <w:t>90%</w:t>
      </w:r>
      <w:r>
        <w:rPr/>
        <w:t>不是最终成功概率声明，而是与美国已批准及中国申报阶段相适应的研究输入。公开公告没有列出完整首付和版税数值，因此本章没有编造精确合同利润率，而在全公司许可预算中保留支出。若售价偏高、使用体验影响复购或推广需要另建高成本眼科渠道，即使顺利批准也会降低自由现金流，老视庞大患病基数不能抵消这些因素。</w:t>
      </w:r>
    </w:p>
    <w:p>
      <w:pPr>
        <w:pStyle w:val="Heading2"/>
        <w:rPr/>
      </w:pPr>
      <w:r>
        <w:rPr>
          <w:color w:val="000000"/>
        </w:rPr>
        <w:t>十三 萊达西贝普与心血管竞争</w:t>
      </w:r>
    </w:p>
    <w:p>
      <w:pPr>
        <w:pStyle w:val="Normal"/>
        <w:rPr/>
      </w:pPr>
      <w:r>
        <w:rPr/>
        <w:t>乐瑞泊萊达西贝普为</w:t>
      </w:r>
      <w:r>
        <w:rPr/>
        <w:t>PCSK9</w:t>
      </w:r>
      <w:r>
        <w:rPr/>
        <w:t>相关蛋白治疗，商业卖点包括每月给药、小体积和室温稳定性。中国上市申请于</w:t>
      </w:r>
      <w:r>
        <w:rPr/>
        <w:t>2026</w:t>
      </w:r>
      <w:r>
        <w:rPr/>
        <w:t>年</w:t>
      </w:r>
      <w:r>
        <w:rPr/>
        <w:t>6</w:t>
      </w:r>
      <w:r>
        <w:rPr/>
        <w:t>月获受理，海外批准及中国试验降低部分开发风险。降</w:t>
      </w:r>
      <w:r>
        <w:rPr/>
        <w:t>LDL</w:t>
      </w:r>
      <w:r>
        <w:rPr/>
        <w:t>证据支持其生物学作用，但不能把降低胆固醇直接写成已证明减少中国患者长期心血管死亡。</w:t>
      </w:r>
      <w:r>
        <w:rPr/>
        <w:t>PCSK9</w:t>
      </w:r>
      <w:r>
        <w:rPr/>
        <w:t>领域已有其他治疗，医院和医保会比较价格、注射频率、长期结果和依从性。患者总量大不等于新增药物可以轻易获得高份额。</w:t>
      </w:r>
    </w:p>
    <w:p>
      <w:pPr>
        <w:pStyle w:val="Normal"/>
        <w:rPr/>
      </w:pPr>
      <w:r>
        <w:rPr/>
        <w:t>2025</w:t>
      </w:r>
      <w:r>
        <w:rPr/>
        <w:t>年</w:t>
      </w:r>
      <w:r>
        <w:rPr/>
        <w:t>12</w:t>
      </w:r>
      <w:r>
        <w:rPr/>
        <w:t>月与海森有关的许可合同首付</w:t>
      </w:r>
      <w:r>
        <w:rPr/>
        <w:t>2900</w:t>
      </w:r>
      <w:r>
        <w:rPr/>
        <w:t>万美元、开发注册里程碑最多</w:t>
      </w:r>
      <w:r>
        <w:rPr/>
        <w:t>3000</w:t>
      </w:r>
      <w:r>
        <w:rPr/>
        <w:t>万美元、销售里程碑最多</w:t>
      </w:r>
      <w:r>
        <w:rPr/>
        <w:t>2.8</w:t>
      </w:r>
      <w:r>
        <w:rPr/>
        <w:t>亿美元，并有从高个位数至低中双位数的版税。相关首付发生在六月资金锚之前的可能性及已披露年度付款不能重复扣除；未来支出保留预算。基准峰值销售</w:t>
      </w:r>
      <w:r>
        <w:rPr/>
        <w:t>11</w:t>
      </w:r>
      <w:r>
        <w:rPr/>
        <w:t>亿元，商业收入扣风险和供应成本后进入现金流。若需通过大幅降价进入市场，销量增长的表面速度可能很快，毛利和销售效率却不一定改善。心血管平台能带来交叉覆盖，但其资本回报仍应逐产品检验。</w:t>
      </w:r>
    </w:p>
    <w:p>
      <w:pPr>
        <w:pStyle w:val="Heading2"/>
        <w:rPr/>
      </w:pPr>
      <w:r>
        <w:rPr>
          <w:color w:val="000000"/>
        </w:rPr>
        <w:t xml:space="preserve">十四 </w:t>
      </w:r>
      <w:r>
        <w:rPr>
          <w:color w:val="000000"/>
        </w:rPr>
        <w:t>MT1013</w:t>
      </w:r>
      <w:r>
        <w:rPr>
          <w:color w:val="000000"/>
        </w:rPr>
        <w:t>的临床和费用承担</w:t>
      </w:r>
    </w:p>
    <w:p>
      <w:pPr>
        <w:pStyle w:val="Normal"/>
        <w:rPr/>
      </w:pPr>
      <w:r>
        <w:rPr/>
        <w:t>MT1013</w:t>
      </w:r>
      <w:r>
        <w:rPr/>
        <w:t>围绕透析患者继发性甲状旁腺功能亢进及骨代谢相关需要，通过双靶点机制开发。公司</w:t>
      </w:r>
      <w:r>
        <w:rPr/>
        <w:t>2026</w:t>
      </w:r>
      <w:r>
        <w:rPr/>
        <w:t>年</w:t>
      </w:r>
      <w:r>
        <w:rPr/>
        <w:t>2</w:t>
      </w:r>
      <w:r>
        <w:rPr/>
        <w:t>月引进商业化权利，合同首付</w:t>
      </w:r>
      <w:r>
        <w:rPr/>
        <w:t>2</w:t>
      </w:r>
      <w:r>
        <w:rPr/>
        <w:t>亿元人民币，潜在注册商业里程碑最多</w:t>
      </w:r>
      <w:r>
        <w:rPr/>
        <w:t>10.4</w:t>
      </w:r>
      <w:r>
        <w:rPr/>
        <w:t>亿元。三期研究以西那卡塞为阳性对照，</w:t>
      </w:r>
      <w:r>
        <w:rPr/>
        <w:t>4</w:t>
      </w:r>
      <w:r>
        <w:rPr/>
        <w:t>月完成入组。入组结束说明执行进度，不代表终点成功；</w:t>
      </w:r>
      <w:r>
        <w:rPr/>
        <w:t>PTH</w:t>
      </w:r>
      <w:r>
        <w:rPr/>
        <w:t>、骨代谢、安全、治疗持续性和对已有低价方案的差异，都影响产品可支付价值。</w:t>
      </w:r>
    </w:p>
    <w:p>
      <w:pPr>
        <w:pStyle w:val="Normal"/>
        <w:rPr/>
      </w:pPr>
      <w:r>
        <w:rPr/>
        <w:t>许可公告明确相关开发费用由麦科奥特承担。模型没有在每个适应症上重复加一整套外部开发费，但保留云顶完整内部研发、注册、医学和平台费用，以及未来许可支付。基准设</w:t>
      </w:r>
      <w:r>
        <w:rPr/>
        <w:t>2028</w:t>
      </w:r>
      <w:r>
        <w:rPr/>
        <w:t>年商业化、风险因子</w:t>
      </w:r>
      <w:r>
        <w:rPr/>
        <w:t>67%</w:t>
      </w:r>
      <w:r>
        <w:rPr/>
        <w:t>、峰值</w:t>
      </w:r>
      <w:r>
        <w:rPr/>
        <w:t>9</w:t>
      </w:r>
      <w:r>
        <w:rPr/>
        <w:t>亿元，低于全体慢性肾病或</w:t>
      </w:r>
      <w:r>
        <w:rPr/>
        <w:t>SHPT</w:t>
      </w:r>
      <w:r>
        <w:rPr/>
        <w:t>人数乘价的粗略推算。透析患者集中在医疗机构可有推广效率，但医保与医院采购议价也强。若三期只证明非劣而无明确临床或便利性优势，商业价格和份额须低于当前基准，不能用全球病人数填补价值缺口。</w:t>
      </w:r>
    </w:p>
    <w:p>
      <w:pPr>
        <w:pStyle w:val="Heading2"/>
        <w:rPr/>
      </w:pPr>
      <w:r>
        <w:rPr>
          <w:color w:val="000000"/>
        </w:rPr>
        <w:t xml:space="preserve">十五 </w:t>
      </w:r>
      <w:r>
        <w:rPr>
          <w:color w:val="000000"/>
        </w:rPr>
        <w:t>DMX200</w:t>
      </w:r>
      <w:r>
        <w:rPr>
          <w:color w:val="000000"/>
        </w:rPr>
        <w:t>与肾病适应症异质性</w:t>
      </w:r>
    </w:p>
    <w:p>
      <w:pPr>
        <w:pStyle w:val="Normal"/>
        <w:rPr/>
      </w:pPr>
      <w:r>
        <w:rPr/>
        <w:t>DMX200</w:t>
      </w:r>
      <w:r>
        <w:rPr/>
        <w:t>为</w:t>
      </w:r>
      <w:r>
        <w:rPr/>
        <w:t>CCR2</w:t>
      </w:r>
      <w:r>
        <w:rPr/>
        <w:t>小分子抑制剂，正在全球</w:t>
      </w:r>
      <w:r>
        <w:rPr/>
        <w:t>ACTION3</w:t>
      </w:r>
      <w:r>
        <w:rPr/>
        <w:t>关键三期研究中评估</w:t>
      </w:r>
      <w:r>
        <w:rPr/>
        <w:t>FSGS</w:t>
      </w:r>
      <w:r>
        <w:rPr/>
        <w:t>。云顶获得大中华、韩国和若干东南亚权利，合同</w:t>
      </w:r>
      <w:r>
        <w:rPr/>
        <w:t>1000</w:t>
      </w:r>
      <w:r>
        <w:rPr/>
        <w:t>万美元首付、最多</w:t>
      </w:r>
      <w:r>
        <w:rPr/>
        <w:t>3000</w:t>
      </w:r>
      <w:r>
        <w:rPr/>
        <w:t>万美元开发注册里程碑、</w:t>
      </w:r>
      <w:r>
        <w:rPr/>
        <w:t>3</w:t>
      </w:r>
      <w:r>
        <w:rPr/>
        <w:t>亿美元销售里程碑及</w:t>
      </w:r>
      <w:r>
        <w:rPr/>
        <w:t>10%</w:t>
      </w:r>
      <w:r>
        <w:rPr/>
        <w:t>至</w:t>
      </w:r>
      <w:r>
        <w:rPr/>
        <w:t>15%</w:t>
      </w:r>
      <w:r>
        <w:rPr/>
        <w:t>版税。孤儿药资格表明疾病负担与开发政策支持，不是疗效证明。</w:t>
      </w:r>
      <w:r>
        <w:rPr/>
        <w:t>FSGS</w:t>
      </w:r>
      <w:r>
        <w:rPr/>
        <w:t>包括不同病因和疾病进程，对所有患者统一预测疗效和市场份额风险较大。对照基础治疗、蛋白尿变化与肾功能长期结果应一并观察。</w:t>
      </w:r>
    </w:p>
    <w:p>
      <w:pPr>
        <w:pStyle w:val="Normal"/>
        <w:rPr/>
      </w:pPr>
      <w:r>
        <w:rPr/>
        <w:t>基准商业化年份为</w:t>
      </w:r>
      <w:r>
        <w:rPr/>
        <w:t>2029</w:t>
      </w:r>
      <w:r>
        <w:rPr/>
        <w:t>年，风险因子</w:t>
      </w:r>
      <w:r>
        <w:rPr/>
        <w:t>52%</w:t>
      </w:r>
      <w:r>
        <w:rPr/>
        <w:t>，峰值</w:t>
      </w:r>
      <w:r>
        <w:rPr/>
        <w:t>8</w:t>
      </w:r>
      <w:r>
        <w:rPr/>
        <w:t>亿元；与</w:t>
      </w:r>
      <w:r>
        <w:rPr/>
        <w:t>EVER001</w:t>
      </w:r>
      <w:r>
        <w:rPr/>
        <w:t>在免疫介导</w:t>
      </w:r>
      <w:r>
        <w:rPr/>
        <w:t>FSGS</w:t>
      </w:r>
      <w:r>
        <w:rPr/>
        <w:t>的潜在使用存在一定竞争或组合关系，因此后者只按较小免疫亚群增量处理。若全球三期未达到要求，公司仍需承担已付首付与部分固定费用，模型反证应下调收入并保留预算。若研究成功，但本地区审批和医保花费较长时间，三年窗口的催化价值也可能减弱。这种项目适合提高长期选择权，不宜以即将出现的确定盈利来给半年评分。</w:t>
      </w:r>
    </w:p>
    <w:p>
      <w:pPr>
        <w:pStyle w:val="Heading2"/>
        <w:rPr/>
      </w:pPr>
      <w:r>
        <w:rPr>
          <w:color w:val="000000"/>
        </w:rPr>
        <w:t xml:space="preserve">十六 </w:t>
      </w:r>
      <w:r>
        <w:rPr>
          <w:color w:val="000000"/>
        </w:rPr>
        <w:t>EVER001</w:t>
      </w:r>
      <w:r>
        <w:rPr>
          <w:color w:val="000000"/>
        </w:rPr>
        <w:t>的真实证据强度</w:t>
      </w:r>
    </w:p>
    <w:p>
      <w:pPr>
        <w:pStyle w:val="Normal"/>
        <w:rPr/>
      </w:pPr>
      <w:r>
        <w:rPr/>
        <w:t>希布替尼</w:t>
      </w:r>
      <w:r>
        <w:rPr/>
        <w:t>EVER001</w:t>
      </w:r>
      <w:r>
        <w:rPr/>
        <w:t>为共价可逆</w:t>
      </w:r>
      <w:r>
        <w:rPr/>
        <w:t>BTK</w:t>
      </w:r>
      <w:r>
        <w:rPr/>
        <w:t>抑制剂，主要围绕自身免疫性肾病。公司</w:t>
      </w:r>
      <w:r>
        <w:rPr/>
        <w:t>2025</w:t>
      </w:r>
      <w:r>
        <w:rPr/>
        <w:t>年报给出原发性膜性肾病早期队列的抗</w:t>
      </w:r>
      <w:r>
        <w:rPr/>
        <w:t>PLA2R</w:t>
      </w:r>
      <w:r>
        <w:rPr/>
        <w:t>抗体和蛋白尿下降，以及随访期间肾功能稳定。部分低剂量或高剂量患者完成</w:t>
      </w:r>
      <w:r>
        <w:rPr/>
        <w:t>52</w:t>
      </w:r>
      <w:r>
        <w:rPr/>
        <w:t>周观察，样本仍小且缺少随机关键对照。蛋白尿和免疫学变化有开发意义，但受既往治疗、自然病程及小样本波动影响，不能直接声称胜过其他膜性肾病治疗。</w:t>
      </w:r>
      <w:r>
        <w:rPr/>
        <w:t>2026</w:t>
      </w:r>
      <w:r>
        <w:rPr/>
        <w:t>年继续披露</w:t>
      </w:r>
      <w:r>
        <w:rPr/>
        <w:t>52</w:t>
      </w:r>
      <w:r>
        <w:rPr/>
        <w:t>周数据和篮式研究，适应症拓展仍属探索。</w:t>
      </w:r>
    </w:p>
    <w:p>
      <w:pPr>
        <w:pStyle w:val="Normal"/>
        <w:rPr/>
      </w:pPr>
      <w:r>
        <w:rPr/>
        <w:t>本模型将保留亚洲</w:t>
      </w:r>
      <w:r>
        <w:rPr/>
        <w:t>PMN</w:t>
      </w:r>
      <w:r>
        <w:rPr/>
        <w:t>商业化基准放在</w:t>
      </w:r>
      <w:r>
        <w:rPr/>
        <w:t>2030</w:t>
      </w:r>
      <w:r>
        <w:rPr/>
        <w:t>年，风险因子</w:t>
      </w:r>
      <w:r>
        <w:rPr/>
        <w:t>43%</w:t>
      </w:r>
      <w:r>
        <w:rPr/>
        <w:t>，峰值</w:t>
      </w:r>
      <w:r>
        <w:rPr/>
        <w:t>13</w:t>
      </w:r>
      <w:r>
        <w:rPr/>
        <w:t>亿元。</w:t>
      </w:r>
      <w:r>
        <w:rPr/>
        <w:t>IgA</w:t>
      </w:r>
      <w:r>
        <w:rPr/>
        <w:t>、</w:t>
      </w:r>
      <w:r>
        <w:rPr/>
        <w:t>MCD</w:t>
      </w:r>
      <w:r>
        <w:rPr/>
        <w:t>和免疫</w:t>
      </w:r>
      <w:r>
        <w:rPr/>
        <w:t>FSGS</w:t>
      </w:r>
      <w:r>
        <w:rPr/>
        <w:t>采用更晚商业年份及更低因子，因为不能把</w:t>
      </w:r>
      <w:r>
        <w:rPr/>
        <w:t>PMN</w:t>
      </w:r>
      <w:r>
        <w:rPr/>
        <w:t>的早期疗效迁移为其他疾病的确定结果。所有风险因子只作用于收入，内部研发费用不按成功概率打折。病人级分组和完整试验成本尚未逐项公开，故这是一套有限收入与费用桥，不是声称已经完成每个适应症真实临床预算的模型。后续随机数据或安全性问题应改变概率和上市年，而不是仅调整目标价。</w:t>
      </w:r>
    </w:p>
    <w:p>
      <w:pPr>
        <w:pStyle w:val="Heading2"/>
        <w:rPr/>
      </w:pPr>
      <w:r>
        <w:rPr>
          <w:color w:val="000000"/>
        </w:rPr>
        <w:t xml:space="preserve">十七 </w:t>
      </w:r>
      <w:r>
        <w:rPr>
          <w:color w:val="000000"/>
        </w:rPr>
        <w:t>Travere</w:t>
      </w:r>
      <w:r>
        <w:rPr>
          <w:color w:val="000000"/>
        </w:rPr>
        <w:t>交易带来现金但不消除临床风险</w:t>
      </w:r>
    </w:p>
    <w:p>
      <w:pPr>
        <w:pStyle w:val="Normal"/>
        <w:rPr/>
      </w:pPr>
      <w:r>
        <w:rPr/>
        <w:t>6</w:t>
      </w:r>
      <w:r>
        <w:rPr/>
        <w:t>月</w:t>
      </w:r>
      <w:r>
        <w:rPr/>
        <w:t>2</w:t>
      </w:r>
      <w:r>
        <w:rPr/>
        <w:t>日签约、</w:t>
      </w:r>
      <w:r>
        <w:rPr/>
        <w:t>7</w:t>
      </w:r>
      <w:r>
        <w:rPr/>
        <w:t>月</w:t>
      </w:r>
      <w:r>
        <w:rPr/>
        <w:t>7</w:t>
      </w:r>
      <w:r>
        <w:rPr/>
        <w:t>日公告交割完成，合作方为</w:t>
      </w:r>
      <w:r>
        <w:rPr/>
        <w:t>Travere Therapeutics</w:t>
      </w:r>
      <w:r>
        <w:rPr/>
        <w:t>。云顶许可全球除大中华及部分东亚、东南亚国家外的区域，合同首付</w:t>
      </w:r>
      <w:r>
        <w:rPr/>
        <w:t>1.125</w:t>
      </w:r>
      <w:r>
        <w:rPr/>
        <w:t>亿美元、最多五个适应症合计</w:t>
      </w:r>
      <w:r>
        <w:rPr/>
        <w:t>10.3</w:t>
      </w:r>
      <w:r>
        <w:rPr/>
        <w:t>亿美元开发注册销售里程碑，以及高个位数到双位数阶梯版税。签约与交割是两件事，交割公告原文仍写将收到首付，并没有给出银行到账凭证。模型在</w:t>
      </w:r>
      <w:r>
        <w:rPr/>
        <w:t>2026</w:t>
      </w:r>
      <w:r>
        <w:rPr/>
        <w:t>年后半年假设首付兑现，并明确净留存因子</w:t>
      </w:r>
      <w:r>
        <w:rPr/>
        <w:t>65%</w:t>
      </w:r>
      <w:r>
        <w:rPr/>
        <w:t>、</w:t>
      </w:r>
      <w:r>
        <w:rPr/>
        <w:t>80%</w:t>
      </w:r>
      <w:r>
        <w:rPr/>
        <w:t>、</w:t>
      </w:r>
      <w:r>
        <w:rPr/>
        <w:t>90%</w:t>
      </w:r>
      <w:r>
        <w:rPr/>
        <w:t>，体现税及上游经济负担预算，不将其当作合同披露的实际分成。</w:t>
      </w:r>
    </w:p>
    <w:p>
      <w:pPr>
        <w:pStyle w:val="Normal"/>
        <w:rPr/>
      </w:pPr>
      <w:r>
        <w:rPr/>
        <w:t>公司最初从信诺维和中国抗体取得权利，公开资料中的完整上游分成未取得。因而本模型没有把</w:t>
      </w:r>
      <w:r>
        <w:rPr/>
        <w:t>1.125</w:t>
      </w:r>
      <w:r>
        <w:rPr/>
        <w:t>亿美元和全部</w:t>
      </w:r>
      <w:r>
        <w:rPr/>
        <w:t>10.3</w:t>
      </w:r>
      <w:r>
        <w:rPr/>
        <w:t>亿美元无条件加入现金，也没有把全球销售全部当作云顶自销收入。海外部分以已经扣假设上游负担的净版税收入建模，开发里程碑只取较小选定年度现金预算，放在资金桥内。海外与保留亚洲适应症临床成功高度相关，不能把多个地区看作独立分散风险。合作方的腎科经验可以改善开发执行，但不能将失败概率降为零。</w:t>
      </w:r>
    </w:p>
    <w:p>
      <w:pPr>
        <w:pStyle w:val="Heading2"/>
        <w:rPr/>
      </w:pPr>
      <w:r>
        <w:rPr>
          <w:color w:val="000000"/>
        </w:rPr>
        <w:t>十八 亚洲新品与地域权利边界</w:t>
      </w:r>
    </w:p>
    <w:p>
      <w:pPr>
        <w:pStyle w:val="Normal"/>
        <w:rPr/>
      </w:pPr>
      <w:r>
        <w:rPr/>
        <w:t>倍捷欣奥妥珠单抗</w:t>
      </w:r>
      <w:r>
        <w:rPr/>
        <w:t>β</w:t>
      </w:r>
      <w:r>
        <w:rPr/>
        <w:t>的中国批准是药物已有临床和监管基础的重要信号，但云顶所获得区域主要为东南亚、印度、韩国、澳新及港澳台，不包含中国大陆的商业化销售权。模型仅列非大陆亚洲</w:t>
      </w:r>
      <w:r>
        <w:rPr/>
        <w:t>PMN</w:t>
      </w:r>
      <w:r>
        <w:rPr/>
        <w:t>和</w:t>
      </w:r>
      <w:r>
        <w:rPr/>
        <w:t>NMOSD</w:t>
      </w:r>
      <w:r>
        <w:rPr/>
        <w:t>收入，未把大陆庞大患者市场重复加入。各国注册路径、可支付价格和商业网络不同，中国已批准不代表这些区域自动获批。新药如果需要当地试验、进口与冷链安排，放量速度可能慢于中国案例。</w:t>
      </w:r>
    </w:p>
    <w:p>
      <w:pPr>
        <w:pStyle w:val="Normal"/>
        <w:rPr/>
      </w:pPr>
      <w:r>
        <w:rPr/>
        <w:t>维卡格雷许可也覆盖指定亚洲地区，并非中国大陆全市场；对抗血小板治疗的开发，需要关心临床事件、出血、安全性和与低价氯吡格雷的差异，不能只按代谢机制改进给予大市场份额。</w:t>
      </w:r>
      <w:r>
        <w:rPr/>
        <w:t>VIS101</w:t>
      </w:r>
      <w:r>
        <w:rPr/>
        <w:t>则为双功能眼科生物药，早期数据提示持久性，但成熟眼科竞争已有高标准，关键验证是随机试验、给药间隔和视力结果。模型没有把湿</w:t>
      </w:r>
      <w:r>
        <w:rPr/>
        <w:t>AMD</w:t>
      </w:r>
      <w:r>
        <w:rPr/>
        <w:t>、</w:t>
      </w:r>
      <w:r>
        <w:rPr/>
        <w:t>DME</w:t>
      </w:r>
      <w:r>
        <w:rPr/>
        <w:t>、</w:t>
      </w:r>
      <w:r>
        <w:rPr/>
        <w:t>RVO</w:t>
      </w:r>
      <w:r>
        <w:rPr/>
        <w:t>分别都设成成熟大单品，也未将公开未披露的授权成本忽略，而是保留全公司现金预算。</w:t>
      </w:r>
    </w:p>
    <w:p>
      <w:pPr>
        <w:pStyle w:val="Heading2"/>
        <w:rPr/>
      </w:pPr>
      <w:r>
        <w:rPr>
          <w:color w:val="000000"/>
        </w:rPr>
        <w:t>十九 自主</w:t>
      </w:r>
      <w:r>
        <w:rPr>
          <w:color w:val="000000"/>
        </w:rPr>
        <w:t>mRNA</w:t>
      </w:r>
      <w:r>
        <w:rPr>
          <w:color w:val="000000"/>
        </w:rPr>
        <w:t>平台的十年选择权</w:t>
      </w:r>
    </w:p>
    <w:p>
      <w:pPr>
        <w:pStyle w:val="Normal"/>
        <w:rPr/>
      </w:pPr>
      <w:r>
        <w:rPr/>
        <w:t>公司自主平台包括个体化肿瘤疫苗、肿瘤相关抗原疫苗以及体内生成</w:t>
      </w:r>
      <w:r>
        <w:rPr/>
        <w:t>CAR-T</w:t>
      </w:r>
      <w:r>
        <w:rPr/>
        <w:t>等项目。</w:t>
      </w:r>
      <w:r>
        <w:rPr/>
        <w:t>2026</w:t>
      </w:r>
      <w:r>
        <w:rPr/>
        <w:t>年已披露</w:t>
      </w:r>
      <w:r>
        <w:rPr/>
        <w:t>EVM16</w:t>
      </w:r>
      <w:r>
        <w:rPr/>
        <w:t>首次人体研究的安全、免疫原性和初步疗效信号，部分其他项目处在临床前、</w:t>
      </w:r>
      <w:r>
        <w:rPr/>
        <w:t>IIT</w:t>
      </w:r>
      <w:r>
        <w:rPr/>
        <w:t>或申报准备。免疫原性证明生物过程发生，并不等同足够的抗肿瘤效果；联合</w:t>
      </w:r>
      <w:r>
        <w:rPr/>
        <w:t>PD1</w:t>
      </w:r>
      <w:r>
        <w:rPr/>
        <w:t>时，还要识别疫苗自身贡献。个体化制造涉及样本、测序、算法、批次交付和监管质量，不能因使用</w:t>
      </w:r>
      <w:r>
        <w:rPr/>
        <w:t>AI</w:t>
      </w:r>
      <w:r>
        <w:rPr/>
        <w:t>便认为单位成本低或可以马上规模化。</w:t>
      </w:r>
    </w:p>
    <w:p>
      <w:pPr>
        <w:pStyle w:val="Normal"/>
        <w:rPr/>
      </w:pPr>
      <w:r>
        <w:rPr/>
        <w:t>这些平台能够扩展公司长期创新能力，却可能持续吸收经营现金。基准把</w:t>
      </w:r>
      <w:r>
        <w:rPr/>
        <w:t>mRNA</w:t>
      </w:r>
      <w:r>
        <w:rPr/>
        <w:t>和体内</w:t>
      </w:r>
      <w:r>
        <w:rPr/>
        <w:t>CAR-T</w:t>
      </w:r>
      <w:r>
        <w:rPr/>
        <w:t>组合在</w:t>
      </w:r>
      <w:r>
        <w:rPr/>
        <w:t>2036</w:t>
      </w:r>
      <w:r>
        <w:rPr/>
        <w:t>年后开始少量风险收入，风险因子</w:t>
      </w:r>
      <w:r>
        <w:rPr/>
        <w:t>9%</w:t>
      </w:r>
      <w:r>
        <w:rPr/>
        <w:t>，不分别生成数个确定爆款；完整研发从</w:t>
      </w:r>
      <w:r>
        <w:rPr/>
        <w:t>2026</w:t>
      </w:r>
      <w:r>
        <w:rPr/>
        <w:t>年的</w:t>
      </w:r>
      <w:r>
        <w:rPr/>
        <w:t>5.70</w:t>
      </w:r>
      <w:r>
        <w:rPr/>
        <w:t>亿元增加至</w:t>
      </w:r>
      <w:r>
        <w:rPr/>
        <w:t>2032</w:t>
      </w:r>
      <w:r>
        <w:rPr/>
        <w:t>年的</w:t>
      </w:r>
      <w:r>
        <w:rPr/>
        <w:t>11</w:t>
      </w:r>
      <w:r>
        <w:rPr/>
        <w:t>亿元，未按低成功率一起削减。若平台需要更大资本开支和临床预算，估值应下降。若获得强随机疗效、可重复制造和合理全球合作，才可提高峰值与概率。十年展望真正关键是从区域引进者变成有持续自研产出的公司，而不是在叙事中把所有平台都资本化。</w:t>
      </w:r>
    </w:p>
    <w:p>
      <w:pPr>
        <w:pStyle w:val="Heading2"/>
        <w:rPr/>
      </w:pPr>
      <w:r>
        <w:rPr>
          <w:color w:val="000000"/>
        </w:rPr>
        <w:t>二十 海森亚洲并购的资本回报</w:t>
      </w:r>
    </w:p>
    <w:p>
      <w:pPr>
        <w:pStyle w:val="Normal"/>
        <w:rPr/>
      </w:pPr>
      <w:r>
        <w:rPr/>
        <w:t>2026</w:t>
      </w:r>
      <w:r>
        <w:rPr/>
        <w:t>年</w:t>
      </w:r>
      <w:r>
        <w:rPr/>
        <w:t>6</w:t>
      </w:r>
      <w:r>
        <w:rPr/>
        <w:t>月</w:t>
      </w:r>
      <w:r>
        <w:rPr/>
        <w:t>30</w:t>
      </w:r>
      <w:r>
        <w:rPr/>
        <w:t>日完成海森新加坡全部股权收购，取得</w:t>
      </w:r>
      <w:r>
        <w:rPr/>
        <w:t>14</w:t>
      </w:r>
      <w:r>
        <w:rPr/>
        <w:t>个品牌慢性病产品及亚太商业权利。</w:t>
      </w:r>
      <w:r>
        <w:rPr/>
        <w:t>4</w:t>
      </w:r>
      <w:r>
        <w:rPr/>
        <w:t>月交易公告给出标的</w:t>
      </w:r>
      <w:r>
        <w:rPr/>
        <w:t>2025</w:t>
      </w:r>
      <w:r>
        <w:rPr/>
        <w:t>年正常化收入</w:t>
      </w:r>
      <w:r>
        <w:rPr/>
        <w:t>8223.2</w:t>
      </w:r>
      <w:r>
        <w:rPr/>
        <w:t>万美元、</w:t>
      </w:r>
      <w:r>
        <w:rPr/>
        <w:t>EBITDA2727.3</w:t>
      </w:r>
      <w:r>
        <w:rPr/>
        <w:t>万美元，属于交易定义的正常化口径，不是云顶收购后已经实现的全年收入。合并时间在半年最后一日，因此不能把标的过去年度收入直接算进云顶上半年增长。报告披露若年初并入，标的半年收入约</w:t>
      </w:r>
      <w:r>
        <w:rPr/>
        <w:t>1.61519</w:t>
      </w:r>
      <w:r>
        <w:rPr/>
        <w:t>亿元、亏损约</w:t>
      </w:r>
      <w:r>
        <w:rPr/>
        <w:t>494.5</w:t>
      </w:r>
      <w:r>
        <w:rPr/>
        <w:t>万元，与交易正常化</w:t>
      </w:r>
      <w:r>
        <w:rPr/>
        <w:t>EBITDA</w:t>
      </w:r>
      <w:r>
        <w:rPr/>
        <w:t>口径差异需结合会计和费用理解。</w:t>
      </w:r>
    </w:p>
    <w:p>
      <w:pPr>
        <w:pStyle w:val="Normal"/>
        <w:rPr/>
      </w:pPr>
      <w:r>
        <w:rPr/>
        <w:t>总价为</w:t>
      </w:r>
      <w:r>
        <w:rPr/>
        <w:t>2.5</w:t>
      </w:r>
      <w:r>
        <w:rPr/>
        <w:t>亿美元分期支付，收购时支付</w:t>
      </w:r>
      <w:r>
        <w:rPr/>
        <w:t>1.5</w:t>
      </w:r>
      <w:r>
        <w:rPr/>
        <w:t>亿美元，</w:t>
      </w:r>
      <w:r>
        <w:rPr/>
        <w:t>2028</w:t>
      </w:r>
      <w:r>
        <w:rPr/>
        <w:t>和</w:t>
      </w:r>
      <w:r>
        <w:rPr/>
        <w:t>2029</w:t>
      </w:r>
      <w:r>
        <w:rPr/>
        <w:t>各付</w:t>
      </w:r>
      <w:r>
        <w:rPr/>
        <w:t>5000</w:t>
      </w:r>
      <w:r>
        <w:rPr/>
        <w:t>万美元；六月财报记录总对价现值</w:t>
      </w:r>
      <w:r>
        <w:rPr/>
        <w:t>16.69482</w:t>
      </w:r>
      <w:r>
        <w:rPr/>
        <w:t>亿元，其中形成商誉</w:t>
      </w:r>
      <w:r>
        <w:rPr/>
        <w:t>6.51247</w:t>
      </w:r>
      <w:r>
        <w:rPr/>
        <w:t>亿元及取得无形资产</w:t>
      </w:r>
      <w:r>
        <w:rPr/>
        <w:t>9.86738</w:t>
      </w:r>
      <w:r>
        <w:rPr/>
        <w:t>亿元。不能将商誉加到</w:t>
      </w:r>
      <w:r>
        <w:rPr/>
        <w:t>DCF</w:t>
      </w:r>
      <w:r>
        <w:rPr/>
        <w:t>又给它独立资产估值。区域平台可以提供渠道和法规能力，并协助原有产品进入东南亚，但整合费用、品牌专利或市场成熟、汇率和关联定价都是风险。未来应以整合后收入、现金</w:t>
      </w:r>
      <w:r>
        <w:rPr/>
        <w:t>EBITDA</w:t>
      </w:r>
      <w:r>
        <w:rPr/>
        <w:t>和现金回款检验交易价格，而不是靠资产账面扩大解释投资回报。</w:t>
      </w:r>
    </w:p>
    <w:p>
      <w:pPr>
        <w:pStyle w:val="Heading2"/>
        <w:rPr/>
      </w:pPr>
      <w:r>
        <w:rPr>
          <w:color w:val="000000"/>
        </w:rPr>
        <w:t>二十一 关联商业化服务与治理</w:t>
      </w:r>
    </w:p>
    <w:p>
      <w:pPr>
        <w:pStyle w:val="Normal"/>
        <w:rPr/>
      </w:pPr>
      <w:r>
        <w:rPr/>
        <w:t>2025</w:t>
      </w:r>
      <w:r>
        <w:rPr/>
        <w:t>年</w:t>
      </w:r>
      <w:r>
        <w:rPr/>
        <w:t>12</w:t>
      </w:r>
      <w:r>
        <w:rPr/>
        <w:t>月商业化服务合同按对方每产品终端净销售额</w:t>
      </w:r>
      <w:r>
        <w:rPr/>
        <w:t>20%</w:t>
      </w:r>
      <w:r>
        <w:rPr/>
        <w:t>至</w:t>
      </w:r>
      <w:r>
        <w:rPr/>
        <w:t>55%</w:t>
      </w:r>
      <w:r>
        <w:rPr/>
        <w:t>收取服务费，并根据销售表现进行小幅调整。该比例是收入计算条件，不是云顶扣除销售团队后保留的利润率；年度交易上限</w:t>
      </w:r>
      <w:r>
        <w:rPr/>
        <w:t>2026</w:t>
      </w:r>
      <w:r>
        <w:rPr/>
        <w:t>至</w:t>
      </w:r>
      <w:r>
        <w:rPr/>
        <w:t>2028</w:t>
      </w:r>
      <w:r>
        <w:rPr/>
        <w:t>年分别</w:t>
      </w:r>
      <w:r>
        <w:rPr/>
        <w:t>5.60</w:t>
      </w:r>
      <w:r>
        <w:rPr/>
        <w:t>、</w:t>
      </w:r>
      <w:r>
        <w:rPr/>
        <w:t>6.16</w:t>
      </w:r>
      <w:r>
        <w:rPr/>
        <w:t>、</w:t>
      </w:r>
      <w:r>
        <w:rPr/>
        <w:t>6.77</w:t>
      </w:r>
      <w:r>
        <w:rPr/>
        <w:t>亿元，不等于收入指引或已签销售订单。本模型基准服务收入不超过相应阶段上限，同时将相关销售队伍费用留在公司全费用预算。若实际执行需要更密集推广，服务收入提高也未必改善经营现金。</w:t>
      </w:r>
    </w:p>
    <w:p>
      <w:pPr>
        <w:pStyle w:val="Normal"/>
        <w:rPr/>
      </w:pPr>
      <w:r>
        <w:rPr/>
        <w:t>CBC</w:t>
      </w:r>
      <w:r>
        <w:rPr/>
        <w:t>相关主体既为重要股东，也涉及部分交易对方和合作实体，要求投资者关注独立决策与定价。控制股东公开市场增持可以说明其资金选择，但不能证明资产收购价格一定合理或股价不会下跌。公司向部分董事提供低息贷款、与关联实体租赁和商业合作的事实，在财务风险评分中保留。应持续查看独立股东批准、年度上限使用、定价基准、回款和利益冲突管理。若关联交易频繁扩张但现金回报不可验证，应降低长期商业质量与治理评分。</w:t>
      </w:r>
    </w:p>
    <w:p>
      <w:pPr>
        <w:pStyle w:val="Heading2"/>
        <w:rPr/>
      </w:pPr>
      <w:r>
        <w:rPr>
          <w:color w:val="000000"/>
        </w:rPr>
        <w:t>二十二 利润改善与利润质量</w:t>
      </w:r>
    </w:p>
    <w:p>
      <w:pPr>
        <w:pStyle w:val="Normal"/>
        <w:rPr/>
      </w:pPr>
      <w:r>
        <w:rPr/>
        <w:t>上半年会计毛利</w:t>
      </w:r>
      <w:r>
        <w:rPr/>
        <w:t>7.99318</w:t>
      </w:r>
      <w:r>
        <w:rPr/>
        <w:t>亿元，毛利率</w:t>
      </w:r>
      <w:r>
        <w:rPr/>
        <w:t>69.6%</w:t>
      </w:r>
      <w:r>
        <w:rPr/>
        <w:t>，比上年</w:t>
      </w:r>
      <w:r>
        <w:rPr/>
        <w:t>67.1%</w:t>
      </w:r>
      <w:r>
        <w:rPr/>
        <w:t>提高；但剔除无形资产摊销后毛利率从</w:t>
      </w:r>
      <w:r>
        <w:rPr/>
        <w:t>76.4%</w:t>
      </w:r>
      <w:r>
        <w:rPr/>
        <w:t>降至</w:t>
      </w:r>
      <w:r>
        <w:rPr/>
        <w:t>73.7%</w:t>
      </w:r>
      <w:r>
        <w:rPr/>
        <w:t>，两种口径方向不同。不能选一项便笼统说所有毛利改善。经营亏损</w:t>
      </w:r>
      <w:r>
        <w:rPr/>
        <w:t>3261</w:t>
      </w:r>
      <w:r>
        <w:rPr/>
        <w:t>万元、金融公允价值收益</w:t>
      </w:r>
      <w:r>
        <w:rPr/>
        <w:t>8904.4</w:t>
      </w:r>
      <w:r>
        <w:rPr/>
        <w:t>万元、联营亏损</w:t>
      </w:r>
      <w:r>
        <w:rPr/>
        <w:t>3992.9</w:t>
      </w:r>
      <w:r>
        <w:rPr/>
        <w:t>万元和融资净收入</w:t>
      </w:r>
      <w:r>
        <w:rPr/>
        <w:t>788.9</w:t>
      </w:r>
      <w:r>
        <w:rPr/>
        <w:t>万元合成税前利润</w:t>
      </w:r>
      <w:r>
        <w:rPr/>
        <w:t>2439.4</w:t>
      </w:r>
      <w:r>
        <w:rPr/>
        <w:t>万元，税后仍亏</w:t>
      </w:r>
      <w:r>
        <w:rPr/>
        <w:t>594.4</w:t>
      </w:r>
      <w:r>
        <w:rPr/>
        <w:t>万元。金融投资涨价不是药物经营能力，联营损益也不同于现有商业平台利润。</w:t>
      </w:r>
    </w:p>
    <w:p>
      <w:pPr>
        <w:pStyle w:val="Normal"/>
        <w:rPr/>
      </w:pPr>
      <w:r>
        <w:rPr/>
        <w:t>公司调整利润</w:t>
      </w:r>
      <w:r>
        <w:rPr/>
        <w:t>9723.2</w:t>
      </w:r>
      <w:r>
        <w:rPr/>
        <w:t>万元主要把股份支付</w:t>
      </w:r>
      <w:r>
        <w:rPr/>
        <w:t>5678.8</w:t>
      </w:r>
      <w:r>
        <w:rPr/>
        <w:t>万元和调整无形摊销</w:t>
      </w:r>
      <w:r>
        <w:rPr/>
        <w:t>4638.8</w:t>
      </w:r>
      <w:r>
        <w:rPr/>
        <w:t>万元加回，其中仍存在金融估值及汇率收益。把调整利润乘二再套成长</w:t>
      </w:r>
      <w:r>
        <w:rPr/>
        <w:t>PE</w:t>
      </w:r>
      <w:r>
        <w:rPr/>
        <w:t>会夸大持续盈利。</w:t>
      </w:r>
      <w:r>
        <w:rPr/>
        <w:t>2025</w:t>
      </w:r>
      <w:r>
        <w:rPr/>
        <w:t>年税前亏</w:t>
      </w:r>
      <w:r>
        <w:rPr/>
        <w:t>5.98364</w:t>
      </w:r>
      <w:r>
        <w:rPr/>
        <w:t>亿元，经约</w:t>
      </w:r>
      <w:r>
        <w:rPr/>
        <w:t>3.00598</w:t>
      </w:r>
      <w:r>
        <w:rPr/>
        <w:t>亿元税项收益后净亏</w:t>
      </w:r>
      <w:r>
        <w:rPr/>
        <w:t>2.97766</w:t>
      </w:r>
      <w:r>
        <w:rPr/>
        <w:t>亿元，亦应区分递延税和实际经营。本研究主估值用现金流，不使用行情软件负</w:t>
      </w:r>
      <w:r>
        <w:rPr/>
        <w:t>PE</w:t>
      </w:r>
      <w:r>
        <w:rPr/>
        <w:t>字段定价；年度正常利润代理排除补助、公允价值和</w:t>
      </w:r>
      <w:r>
        <w:rPr/>
        <w:t>BD</w:t>
      </w:r>
      <w:r>
        <w:rPr/>
        <w:t>首付，仍不是</w:t>
      </w:r>
      <w:r>
        <w:rPr/>
        <w:t>IFRS</w:t>
      </w:r>
      <w:r>
        <w:rPr/>
        <w:t>预测，因为许可经济现金支出在自由现金流内另列。</w:t>
      </w:r>
    </w:p>
    <w:p>
      <w:pPr>
        <w:pStyle w:val="Heading2"/>
        <w:rPr/>
      </w:pPr>
      <w:r>
        <w:rPr>
          <w:color w:val="000000"/>
        </w:rPr>
        <w:t>二十三 现金 债务与融资跑道</w:t>
      </w:r>
    </w:p>
    <w:p>
      <w:pPr>
        <w:pStyle w:val="Normal"/>
        <w:rPr/>
      </w:pPr>
      <w:r>
        <w:rPr/>
        <w:t>六月现金等价物</w:t>
      </w:r>
      <w:r>
        <w:rPr/>
        <w:t>15.18038</w:t>
      </w:r>
      <w:r>
        <w:rPr/>
        <w:t>亿元、银行存款</w:t>
      </w:r>
      <w:r>
        <w:rPr/>
        <w:t>3.40806</w:t>
      </w:r>
      <w:r>
        <w:rPr/>
        <w:t>亿元，合计</w:t>
      </w:r>
      <w:r>
        <w:rPr/>
        <w:t>18.58844</w:t>
      </w:r>
      <w:r>
        <w:rPr/>
        <w:t>亿元；借款流动</w:t>
      </w:r>
      <w:r>
        <w:rPr/>
        <w:t>2.81292</w:t>
      </w:r>
      <w:r>
        <w:rPr/>
        <w:t>亿元、非流动</w:t>
      </w:r>
      <w:r>
        <w:rPr/>
        <w:t>16.40077</w:t>
      </w:r>
      <w:r>
        <w:rPr/>
        <w:t>亿元，合计</w:t>
      </w:r>
      <w:r>
        <w:rPr/>
        <w:t>19.21369</w:t>
      </w:r>
      <w:r>
        <w:rPr/>
        <w:t>亿元。现金已略低于银行借款，另外还有并购剩余账面应付</w:t>
      </w:r>
      <w:r>
        <w:rPr/>
        <w:t>6.47844</w:t>
      </w:r>
      <w:r>
        <w:rPr/>
        <w:t>亿元，对应未来名义</w:t>
      </w:r>
      <w:r>
        <w:rPr/>
        <w:t>1</w:t>
      </w:r>
      <w:r>
        <w:rPr/>
        <w:t>亿美元。公司并非可以直接把</w:t>
      </w:r>
      <w:r>
        <w:rPr/>
        <w:t>18</w:t>
      </w:r>
      <w:r>
        <w:rPr/>
        <w:t>亿元都分给股东的净现金企业。美元并购融资以相关新加坡实体股权作质押，其他人民币银行贷款也有楼宇质押及公司担保，资金成本和汇率风险应该随债务余额计算。</w:t>
      </w:r>
    </w:p>
    <w:p>
      <w:pPr>
        <w:pStyle w:val="Normal"/>
        <w:rPr/>
      </w:pPr>
      <w:r>
        <w:rPr/>
        <w:t>上半年新增银行借款</w:t>
      </w:r>
      <w:r>
        <w:rPr/>
        <w:t>12.65356</w:t>
      </w:r>
      <w:r>
        <w:rPr/>
        <w:t>亿元、偿还</w:t>
      </w:r>
      <w:r>
        <w:rPr/>
        <w:t>2.02597</w:t>
      </w:r>
      <w:r>
        <w:rPr/>
        <w:t>亿元，配合收购及许可投入；经营现金流负</w:t>
      </w:r>
      <w:r>
        <w:rPr/>
        <w:t>2.72509</w:t>
      </w:r>
      <w:r>
        <w:rPr/>
        <w:t>亿元，也比上年同期负</w:t>
      </w:r>
      <w:r>
        <w:rPr/>
        <w:t>1.81474</w:t>
      </w:r>
      <w:r>
        <w:rPr/>
        <w:t>亿元恶化。收入增长伴随应收、存货和付款变化，不能由净亏接近零推断资金需求已经结束。基准现金桥从六月起滚动，</w:t>
      </w:r>
      <w:r>
        <w:rPr/>
        <w:t>2028</w:t>
      </w:r>
      <w:r>
        <w:rPr/>
        <w:t>及</w:t>
      </w:r>
      <w:r>
        <w:rPr/>
        <w:t>2029</w:t>
      </w:r>
      <w:r>
        <w:rPr/>
        <w:t>付清并购尾款并逐步还银行，最低年度现金约</w:t>
      </w:r>
      <w:r>
        <w:rPr/>
        <w:t>15.35</w:t>
      </w:r>
      <w:r>
        <w:rPr/>
        <w:t>亿元。悲观收缩模型最低约</w:t>
      </w:r>
      <w:r>
        <w:rPr/>
        <w:t>1.49</w:t>
      </w:r>
      <w:r>
        <w:rPr/>
        <w:t>亿元，缓冲有限；不及时收缩费用的额外压力情景</w:t>
      </w:r>
      <w:r>
        <w:rPr/>
        <w:t>2029</w:t>
      </w:r>
      <w:r>
        <w:rPr/>
        <w:t>年出现缺口，长期股权估值降为零，明确说明计划执行失败的后果。</w:t>
      </w:r>
    </w:p>
    <w:p>
      <w:pPr>
        <w:pStyle w:val="Heading2"/>
        <w:rPr/>
      </w:pPr>
      <w:r>
        <w:rPr>
          <w:color w:val="000000"/>
        </w:rPr>
        <w:t>二十四 投资权益 按金及股份稀释</w:t>
      </w:r>
    </w:p>
    <w:p>
      <w:pPr>
        <w:pStyle w:val="Normal"/>
        <w:rPr/>
      </w:pPr>
      <w:r>
        <w:rPr/>
        <w:t>半年金融资产</w:t>
      </w:r>
      <w:r>
        <w:rPr/>
        <w:t>1.76836</w:t>
      </w:r>
      <w:r>
        <w:rPr/>
        <w:t>亿元，其中第一层级上市权益</w:t>
      </w:r>
      <w:r>
        <w:rPr/>
        <w:t>1.74370</w:t>
      </w:r>
      <w:r>
        <w:rPr/>
        <w:t>亿元，另有联营投资</w:t>
      </w:r>
      <w:r>
        <w:rPr/>
        <w:t>2.62096</w:t>
      </w:r>
      <w:r>
        <w:rPr/>
        <w:t>亿元。模型以六月账面为锚，加明确折损与后续增长假设，没有宣称这些就是</w:t>
      </w:r>
      <w:r>
        <w:rPr/>
        <w:t>10</w:t>
      </w:r>
      <w:r>
        <w:rPr/>
        <w:t>月</w:t>
      </w:r>
      <w:r>
        <w:rPr/>
        <w:t>9</w:t>
      </w:r>
      <w:r>
        <w:rPr/>
        <w:t>日实时市场价格，也没有把其直接归类为现金。金融权益和部分已许可技术有商业关联，并非完全独立资产。基准金融回收</w:t>
      </w:r>
      <w:r>
        <w:rPr/>
        <w:t>70%</w:t>
      </w:r>
      <w:r>
        <w:rPr/>
        <w:t>、联营</w:t>
      </w:r>
      <w:r>
        <w:rPr/>
        <w:t>60%</w:t>
      </w:r>
      <w:r>
        <w:rPr/>
        <w:t>，额外敏感性将两者归零后一年估值约</w:t>
      </w:r>
      <w:r>
        <w:rPr/>
        <w:t>37.79</w:t>
      </w:r>
      <w:r>
        <w:rPr/>
        <w:t>港元，说明它们有贡献，但不是核心推荐的全部来源。</w:t>
      </w:r>
    </w:p>
    <w:p>
      <w:pPr>
        <w:pStyle w:val="Normal"/>
        <w:rPr/>
      </w:pPr>
      <w:r>
        <w:rPr/>
        <w:t>商业化合作有</w:t>
      </w:r>
      <w:r>
        <w:rPr/>
        <w:t>1</w:t>
      </w:r>
      <w:r>
        <w:rPr/>
        <w:t>亿元可退还按金，按达到销售目标分十年回收；模型以每年</w:t>
      </w:r>
      <w:r>
        <w:rPr/>
        <w:t>1000</w:t>
      </w:r>
      <w:r>
        <w:rPr/>
        <w:t>万元回收预算处理，未在期初当立即现金加回。未达目标可能延迟回收，需要单独更新。</w:t>
      </w:r>
      <w:r>
        <w:rPr/>
        <w:t>9</w:t>
      </w:r>
      <w:r>
        <w:rPr/>
        <w:t>月底法定发行股份</w:t>
      </w:r>
      <w:r>
        <w:rPr/>
        <w:t>3.54467063</w:t>
      </w:r>
      <w:r>
        <w:rPr/>
        <w:t>亿、无库藏；半年度加权</w:t>
      </w:r>
      <w:r>
        <w:rPr/>
        <w:t>3.52087753</w:t>
      </w:r>
      <w:r>
        <w:rPr/>
        <w:t>亿不能当所有目标时点股数。基准年底</w:t>
      </w:r>
      <w:r>
        <w:rPr/>
        <w:t>3.56</w:t>
      </w:r>
      <w:r>
        <w:rPr/>
        <w:t>亿、</w:t>
      </w:r>
      <w:r>
        <w:rPr/>
        <w:t>2032</w:t>
      </w:r>
      <w:r>
        <w:rPr/>
        <w:t>年</w:t>
      </w:r>
      <w:r>
        <w:rPr/>
        <w:t>4</w:t>
      </w:r>
      <w:r>
        <w:rPr/>
        <w:t>亿，并保留之后增长，反映奖励及可能融资。股份支付完整计入费用，现金流先加回再留替代预算，假设偏保守；若奖励通过新增股份实现，稀释也已列出，不能在估值时只用今日股数保持不变。</w:t>
      </w:r>
    </w:p>
    <w:p>
      <w:pPr>
        <w:pStyle w:val="Heading2"/>
        <w:rPr/>
      </w:pPr>
      <w:r>
        <w:rPr>
          <w:color w:val="000000"/>
        </w:rPr>
        <w:t>二十五 估值方法与模型可复核性</w:t>
      </w:r>
    </w:p>
    <w:p>
      <w:pPr>
        <w:pStyle w:val="Normal"/>
        <w:rPr/>
      </w:pPr>
      <w:r>
        <w:rPr/>
        <w:t>主模型分六组既有经营收入与十七个药物、适应症或净版税资产。新品按峰值、商业起点、收入曲线和风险因子形成预期收入，扣完整销售、行政、研发和其他费用；税只作用正经营利润，加非使用权折旧，减资本开支、营运资金和许可现金，得到有限自由现金流。目标日期以该年剩余现金和以后年度至</w:t>
      </w:r>
      <w:r>
        <w:rPr/>
        <w:t>2041</w:t>
      </w:r>
      <w:r>
        <w:rPr/>
        <w:t>年折现，没有永续终值。加目标现金与折损投资权益，再扣尚未偿还银行及并购本金，除目标稀释股数并转换币种。</w:t>
      </w:r>
    </w:p>
    <w:p>
      <w:pPr>
        <w:pStyle w:val="Normal"/>
        <w:rPr/>
      </w:pPr>
      <w:r>
        <w:rPr/>
        <w:t>许可现金已进入未来自由现金流，因此不能把同一笔未来款再整额从企业价值重复扣；已发生六月首付也不能从六月余额重新扣。并购尾款属融资性质应付，经营</w:t>
      </w:r>
      <w:r>
        <w:rPr/>
        <w:t>DCF</w:t>
      </w:r>
      <w:r>
        <w:rPr/>
        <w:t>不扣同一收购本金，而在目标净债中扣除；付款后现金下降、债务同时清偿。租赁经济成本包含在费用假设，不把使用权折旧加回后又忽略租金；法定租债</w:t>
      </w:r>
      <w:r>
        <w:rPr/>
        <w:t>6833.3</w:t>
      </w:r>
      <w:r>
        <w:rPr/>
        <w:t>万元单列说明而不双扣。</w:t>
      </w:r>
      <w:r>
        <w:rPr/>
        <w:t>Excel</w:t>
      </w:r>
      <w:r>
        <w:rPr/>
        <w:t>八张桥表对应资金、年度、新品、曲线、风险收入、经营、折现和估值，原子改动已按三情景核对。</w:t>
      </w:r>
    </w:p>
    <w:p>
      <w:pPr>
        <w:pStyle w:val="Heading2"/>
        <w:rPr/>
      </w:pPr>
      <w:r>
        <w:rPr>
          <w:color w:val="000000"/>
        </w:rPr>
        <w:t>二十六 基准经营路径与合理性检查</w:t>
      </w:r>
    </w:p>
    <w:p>
      <w:pPr>
        <w:pStyle w:val="Normal"/>
        <w:rPr/>
      </w:pPr>
      <w:r>
        <w:rPr/>
        <w:t>基准</w:t>
      </w:r>
      <w:r>
        <w:rPr/>
        <w:t>2027</w:t>
      </w:r>
      <w:r>
        <w:rPr/>
        <w:t>年风险收入约</w:t>
      </w:r>
      <w:r>
        <w:rPr/>
        <w:t>1.4336</w:t>
      </w:r>
      <w:r>
        <w:rPr/>
        <w:t>亿元，合计收入</w:t>
      </w:r>
      <w:r>
        <w:rPr/>
        <w:t>43.8336</w:t>
      </w:r>
      <w:r>
        <w:rPr/>
        <w:t>亿元；</w:t>
      </w:r>
      <w:r>
        <w:rPr/>
        <w:t>2029</w:t>
      </w:r>
      <w:r>
        <w:rPr/>
        <w:t>年</w:t>
      </w:r>
      <w:r>
        <w:rPr/>
        <w:t>75.6014</w:t>
      </w:r>
      <w:r>
        <w:rPr/>
        <w:t>亿元；</w:t>
      </w:r>
      <w:r>
        <w:rPr/>
        <w:t>2031</w:t>
      </w:r>
      <w:r>
        <w:rPr/>
        <w:t>年</w:t>
      </w:r>
      <w:r>
        <w:rPr/>
        <w:t>113.9446</w:t>
      </w:r>
      <w:r>
        <w:rPr/>
        <w:t>亿元。</w:t>
      </w:r>
      <w:r>
        <w:rPr/>
        <w:t>2027</w:t>
      </w:r>
      <w:r>
        <w:rPr/>
        <w:t>年自由现金流仅约</w:t>
      </w:r>
      <w:r>
        <w:rPr/>
        <w:t>1061</w:t>
      </w:r>
      <w:r>
        <w:rPr/>
        <w:t>万元，远低于正常利润代理，因为需要许可支出、营运资金和资本投入；</w:t>
      </w:r>
      <w:r>
        <w:rPr/>
        <w:t>2029</w:t>
      </w:r>
      <w:r>
        <w:rPr/>
        <w:t>年约</w:t>
      </w:r>
      <w:r>
        <w:rPr/>
        <w:t>9.2788</w:t>
      </w:r>
      <w:r>
        <w:rPr/>
        <w:t>亿元、</w:t>
      </w:r>
      <w:r>
        <w:rPr/>
        <w:t>2031</w:t>
      </w:r>
      <w:r>
        <w:rPr/>
        <w:t>年</w:t>
      </w:r>
      <w:r>
        <w:rPr/>
        <w:t>24.3612</w:t>
      </w:r>
      <w:r>
        <w:rPr/>
        <w:t>亿元。正因利润与现金不同，不能用一年收入倍数或未经核验利润快速生成长期价格。公司</w:t>
      </w:r>
      <w:r>
        <w:rPr/>
        <w:t>2030</w:t>
      </w:r>
      <w:r>
        <w:rPr/>
        <w:t>年</w:t>
      </w:r>
      <w:r>
        <w:rPr/>
        <w:t>150</w:t>
      </w:r>
      <w:r>
        <w:rPr/>
        <w:t>亿元战略目标没有作为基准必达，本模型同年</w:t>
      </w:r>
      <w:r>
        <w:rPr/>
        <w:t>95.0405</w:t>
      </w:r>
      <w:r>
        <w:rPr/>
        <w:t>亿元，仍包含可观增长。</w:t>
      </w:r>
    </w:p>
    <w:p>
      <w:pPr>
        <w:pStyle w:val="Normal"/>
        <w:rPr/>
      </w:pPr>
      <w:r>
        <w:rPr/>
        <w:t>乐观</w:t>
      </w:r>
      <w:r>
        <w:rPr/>
        <w:t>2030</w:t>
      </w:r>
      <w:r>
        <w:rPr/>
        <w:t>年收入</w:t>
      </w:r>
      <w:r>
        <w:rPr/>
        <w:t>160.3725</w:t>
      </w:r>
      <w:r>
        <w:rPr/>
        <w:t>亿元、</w:t>
      </w:r>
      <w:r>
        <w:rPr/>
        <w:t>2032</w:t>
      </w:r>
      <w:r>
        <w:rPr/>
        <w:t>年</w:t>
      </w:r>
      <w:r>
        <w:rPr/>
        <w:t>250.2726</w:t>
      </w:r>
      <w:r>
        <w:rPr/>
        <w:t>亿元，要求多个新品进入商业扩张并释放销售效率，其一年价格</w:t>
      </w:r>
      <w:r>
        <w:rPr/>
        <w:t>139.88</w:t>
      </w:r>
      <w:r>
        <w:rPr/>
        <w:t>港元主要反映长期现金资本化，不表示公司</w:t>
      </w:r>
      <w:r>
        <w:rPr/>
        <w:t>2027</w:t>
      </w:r>
      <w:r>
        <w:rPr/>
        <w:t>年即赚到相同比例利润。悲观则到</w:t>
      </w:r>
      <w:r>
        <w:rPr/>
        <w:t>2032</w:t>
      </w:r>
      <w:r>
        <w:rPr/>
        <w:t>年收入约</w:t>
      </w:r>
      <w:r>
        <w:rPr/>
        <w:t>40.73</w:t>
      </w:r>
      <w:r>
        <w:rPr/>
        <w:t>亿元并压缩费用，仍保留少量项目收入。乐观和悲观不是统计置信区间，既不会覆盖所有实际路径，也不是最高涨幅或最大损失。广泛组合使估值对同时发生的成功敏感，投资者应特别留意共同医保、供应和资金约束可能导致相关失败。</w:t>
      </w:r>
    </w:p>
    <w:p>
      <w:pPr>
        <w:pStyle w:val="Heading2"/>
        <w:rPr/>
      </w:pPr>
      <w:r>
        <w:rPr>
          <w:color w:val="000000"/>
        </w:rPr>
        <w:t>二十七 半年</w:t>
      </w:r>
      <w:r>
        <w:rPr>
          <w:color w:val="000000"/>
        </w:rPr>
        <w:t>K</w:t>
      </w:r>
      <w:r>
        <w:rPr>
          <w:color w:val="000000"/>
        </w:rPr>
        <w:t>线结构</w:t>
      </w:r>
    </w:p>
    <w:p>
      <w:pPr>
        <w:pStyle w:val="Normal"/>
        <w:rPr/>
      </w:pPr>
      <w:r>
        <w:rPr/>
        <w:t>统一复权日线</w:t>
      </w:r>
      <w:r>
        <w:rPr/>
        <w:t>739</w:t>
      </w:r>
      <w:r>
        <w:rPr/>
        <w:t>根，覆盖</w:t>
      </w:r>
      <w:r>
        <w:rPr/>
        <w:t>2023</w:t>
      </w:r>
      <w:r>
        <w:rPr/>
        <w:t>年</w:t>
      </w:r>
      <w:r>
        <w:rPr/>
        <w:t>10</w:t>
      </w:r>
      <w:r>
        <w:rPr/>
        <w:t>月</w:t>
      </w:r>
      <w:r>
        <w:rPr/>
        <w:t>9</w:t>
      </w:r>
      <w:r>
        <w:rPr/>
        <w:t>日至</w:t>
      </w:r>
      <w:r>
        <w:rPr/>
        <w:t>2026</w:t>
      </w:r>
      <w:r>
        <w:rPr/>
        <w:t>年</w:t>
      </w:r>
      <w:r>
        <w:rPr/>
        <w:t>10</w:t>
      </w:r>
      <w:r>
        <w:rPr/>
        <w:t>月</w:t>
      </w:r>
      <w:r>
        <w:rPr/>
        <w:t>9</w:t>
      </w:r>
      <w:r>
        <w:rPr/>
        <w:t>日。少数原行情</w:t>
      </w:r>
      <w:r>
        <w:rPr/>
        <w:t>OHLC</w:t>
      </w:r>
      <w:r>
        <w:rPr/>
        <w:t>逻辑不一致已按独立腾讯同日数据修复，修复数量三根，记录保留。基准</w:t>
      </w:r>
      <w:r>
        <w:rPr/>
        <w:t>29.60</w:t>
      </w:r>
      <w:r>
        <w:rPr/>
        <w:t>港元高于</w:t>
      </w:r>
      <w:r>
        <w:rPr/>
        <w:t>20</w:t>
      </w:r>
      <w:r>
        <w:rPr/>
        <w:t>日</w:t>
      </w:r>
      <w:r>
        <w:rPr/>
        <w:t>28.119</w:t>
      </w:r>
      <w:r>
        <w:rPr/>
        <w:t>、</w:t>
      </w:r>
      <w:r>
        <w:rPr/>
        <w:t>60</w:t>
      </w:r>
      <w:r>
        <w:rPr/>
        <w:t>日</w:t>
      </w:r>
      <w:r>
        <w:rPr/>
        <w:t>28.724</w:t>
      </w:r>
      <w:r>
        <w:rPr/>
        <w:t>及</w:t>
      </w:r>
      <w:r>
        <w:rPr/>
        <w:t>120</w:t>
      </w:r>
      <w:r>
        <w:rPr/>
        <w:t>日</w:t>
      </w:r>
      <w:r>
        <w:rPr/>
        <w:t>29.400833</w:t>
      </w:r>
      <w:r>
        <w:rPr/>
        <w:t>，距离分别约</w:t>
      </w:r>
      <w:r>
        <w:rPr/>
        <w:t>5.27%</w:t>
      </w:r>
      <w:r>
        <w:rPr/>
        <w:t>、</w:t>
      </w:r>
      <w:r>
        <w:rPr/>
        <w:t>3.05%</w:t>
      </w:r>
      <w:r>
        <w:rPr/>
        <w:t>和</w:t>
      </w:r>
      <w:r>
        <w:rPr/>
        <w:t>0.68%</w:t>
      </w:r>
      <w:r>
        <w:rPr/>
        <w:t>；低于</w:t>
      </w:r>
      <w:r>
        <w:rPr/>
        <w:t>250</w:t>
      </w:r>
      <w:r>
        <w:rPr/>
        <w:t>日</w:t>
      </w:r>
      <w:r>
        <w:rPr/>
        <w:t>36.208</w:t>
      </w:r>
      <w:r>
        <w:rPr/>
        <w:t>约</w:t>
      </w:r>
      <w:r>
        <w:rPr/>
        <w:t>18.25%</w:t>
      </w:r>
      <w:r>
        <w:rPr/>
        <w:t>。</w:t>
      </w:r>
      <w:r>
        <w:rPr/>
        <w:t>20</w:t>
      </w:r>
      <w:r>
        <w:rPr/>
        <w:t>日均线五日斜率负</w:t>
      </w:r>
      <w:r>
        <w:rPr/>
        <w:t>1.87%</w:t>
      </w:r>
      <w:r>
        <w:rPr/>
        <w:t>，</w:t>
      </w:r>
      <w:r>
        <w:rPr/>
        <w:t>60</w:t>
      </w:r>
      <w:r>
        <w:rPr/>
        <w:t>日略正</w:t>
      </w:r>
      <w:r>
        <w:rPr/>
        <w:t>0.30%</w:t>
      </w:r>
      <w:r>
        <w:rPr/>
        <w:t>，</w:t>
      </w:r>
      <w:r>
        <w:rPr/>
        <w:t>120</w:t>
      </w:r>
      <w:r>
        <w:rPr/>
        <w:t>和</w:t>
      </w:r>
      <w:r>
        <w:rPr/>
        <w:t>250</w:t>
      </w:r>
      <w:r>
        <w:rPr/>
        <w:t>日仍下行。价格已抬到中短均线之上，均线排列和长期方向尚未完全转好。</w:t>
      </w:r>
    </w:p>
    <w:p>
      <w:pPr>
        <w:pStyle w:val="Normal"/>
        <w:rPr/>
      </w:pPr>
      <w:r>
        <w:rPr/>
        <w:t>这更接近下跌后的修复震荡，而非已确认的长期上升。过去二十日价格涨约</w:t>
      </w:r>
      <w:r>
        <w:rPr/>
        <w:t>3.64%</w:t>
      </w:r>
      <w:r>
        <w:rPr/>
        <w:t>，六十日涨约</w:t>
      </w:r>
      <w:r>
        <w:rPr/>
        <w:t>1.65%</w:t>
      </w:r>
      <w:r>
        <w:rPr/>
        <w:t>，但一百二十日仍跌</w:t>
      </w:r>
      <w:r>
        <w:rPr/>
        <w:t>25.18%</w:t>
      </w:r>
      <w:r>
        <w:rPr/>
        <w:t>、二百五十日跌</w:t>
      </w:r>
      <w:r>
        <w:rPr/>
        <w:t>48.52%</w:t>
      </w:r>
      <w:r>
        <w:rPr/>
        <w:t>。对半年判断，短期改善可以提高观察优先级，长期套牢与下降均线仍可能形成卖压。不能仅看一根阳线就把一年跌幅的压力忽略。若价格持续站在</w:t>
      </w:r>
      <w:r>
        <w:rPr/>
        <w:t>28</w:t>
      </w:r>
      <w:r>
        <w:rPr/>
        <w:t>至</w:t>
      </w:r>
      <w:r>
        <w:rPr/>
        <w:t>29.4</w:t>
      </w:r>
      <w:r>
        <w:rPr/>
        <w:t>元均线区上方，均线斜率逐渐改善并收复更高区域，才能增强趋势证据；若快速跌回该区下方，修复判断应撤回。</w:t>
      </w:r>
    </w:p>
    <w:p>
      <w:pPr>
        <w:pStyle w:val="Heading2"/>
        <w:rPr/>
      </w:pPr>
      <w:r>
        <w:rPr>
          <w:color w:val="000000"/>
        </w:rPr>
        <w:t>二十八 支撑 阻力及风险尺度</w:t>
      </w:r>
    </w:p>
    <w:p>
      <w:pPr>
        <w:pStyle w:val="Normal"/>
        <w:rPr/>
      </w:pPr>
      <w:r>
        <w:rPr/>
        <w:t>近二十交易日最低</w:t>
      </w:r>
      <w:r>
        <w:rPr/>
        <w:t>25.700001</w:t>
      </w:r>
      <w:r>
        <w:rPr/>
        <w:t>、最高</w:t>
      </w:r>
      <w:r>
        <w:rPr/>
        <w:t>30.58</w:t>
      </w:r>
      <w:r>
        <w:rPr/>
        <w:t>港元，现价到低点约负</w:t>
      </w:r>
      <w:r>
        <w:rPr/>
        <w:t>13.18%</w:t>
      </w:r>
      <w:r>
        <w:rPr/>
        <w:t>、到高点约正</w:t>
      </w:r>
      <w:r>
        <w:rPr/>
        <w:t>3.31%</w:t>
      </w:r>
      <w:r>
        <w:rPr/>
        <w:t>。这些为区间观察位，不是已验证多次触碰的强支撑。近六十日低</w:t>
      </w:r>
      <w:r>
        <w:rPr/>
        <w:t>23.52</w:t>
      </w:r>
      <w:r>
        <w:rPr/>
        <w:t>、高</w:t>
      </w:r>
      <w:r>
        <w:rPr/>
        <w:t>45.04</w:t>
      </w:r>
      <w:r>
        <w:rPr/>
        <w:t>，现价到低点约负</w:t>
      </w:r>
      <w:r>
        <w:rPr/>
        <w:t>20.54%</w:t>
      </w:r>
      <w:r>
        <w:rPr/>
        <w:t>；一年低约</w:t>
      </w:r>
      <w:r>
        <w:rPr/>
        <w:t>22.70</w:t>
      </w:r>
      <w:r>
        <w:rPr/>
        <w:t>，高约</w:t>
      </w:r>
      <w:r>
        <w:rPr/>
        <w:t>58.60</w:t>
      </w:r>
      <w:r>
        <w:rPr/>
        <w:t>，窗口最大回撤约</w:t>
      </w:r>
      <w:r>
        <w:rPr/>
        <w:t>59.79%</w:t>
      </w:r>
      <w:r>
        <w:rPr/>
        <w:t>。极大回撤说明流动性、风险偏好和估值压缩可以比经营变化更快。模型悲观价低于这些历史低点，提醒历史支撑并非估值下限。</w:t>
      </w:r>
    </w:p>
    <w:p>
      <w:pPr>
        <w:pStyle w:val="Normal"/>
        <w:rPr/>
      </w:pPr>
      <w:r>
        <w:rPr/>
        <w:t>半年观察可以把</w:t>
      </w:r>
      <w:r>
        <w:rPr/>
        <w:t>30.58</w:t>
      </w:r>
      <w:r>
        <w:rPr/>
        <w:t>元作为近端突破条件，把</w:t>
      </w:r>
      <w:r>
        <w:rPr/>
        <w:t>28</w:t>
      </w:r>
      <w:r>
        <w:rPr/>
        <w:t>至</w:t>
      </w:r>
      <w:r>
        <w:rPr/>
        <w:t>29.4</w:t>
      </w:r>
      <w:r>
        <w:rPr/>
        <w:t>元作为回踩均线区域，</w:t>
      </w:r>
      <w:r>
        <w:rPr/>
        <w:t>25.70</w:t>
      </w:r>
      <w:r>
        <w:rPr/>
        <w:t>和</w:t>
      </w:r>
      <w:r>
        <w:rPr/>
        <w:t>23.52</w:t>
      </w:r>
      <w:r>
        <w:rPr/>
        <w:t>作为压力测试观察点。突破需要若干交易日保持及成交配合，不能将单日盘中触达当有效站稳。若放量跌破</w:t>
      </w:r>
      <w:r>
        <w:rPr/>
        <w:t>25.70</w:t>
      </w:r>
      <w:r>
        <w:rPr/>
        <w:t>且相对强弱恶化，应降低技术评分；若再破</w:t>
      </w:r>
      <w:r>
        <w:rPr/>
        <w:t>23.52</w:t>
      </w:r>
      <w:r>
        <w:rPr/>
        <w:t>，当前阶段修复逻辑更弱。价位判断不能替代公司事件，临床、安全、融资或医保坏消息可能导致跳空，止损区间也不保证实际成交和最大亏损。</w:t>
      </w:r>
    </w:p>
    <w:p>
      <w:pPr>
        <w:pStyle w:val="Heading2"/>
        <w:rPr/>
      </w:pPr>
      <w:r>
        <w:rPr>
          <w:color w:val="000000"/>
        </w:rPr>
        <w:t>二十九 量能关系与相对强弱</w:t>
      </w:r>
    </w:p>
    <w:p>
      <w:pPr>
        <w:pStyle w:val="Normal"/>
        <w:rPr/>
      </w:pPr>
      <w:r>
        <w:rPr/>
        <w:t>10</w:t>
      </w:r>
      <w:r>
        <w:rPr/>
        <w:t>月</w:t>
      </w:r>
      <w:r>
        <w:rPr/>
        <w:t>9</w:t>
      </w:r>
      <w:r>
        <w:rPr/>
        <w:t>日成交</w:t>
      </w:r>
      <w:r>
        <w:rPr/>
        <w:t>478.39</w:t>
      </w:r>
      <w:r>
        <w:rPr/>
        <w:t>万股，成交额</w:t>
      </w:r>
      <w:r>
        <w:rPr/>
        <w:t>1.4036422</w:t>
      </w:r>
      <w:r>
        <w:rPr/>
        <w:t>亿港元；五、二十、六十日平均量约</w:t>
      </w:r>
      <w:r>
        <w:rPr/>
        <w:t>271.53</w:t>
      </w:r>
      <w:r>
        <w:rPr/>
        <w:t>、</w:t>
      </w:r>
      <w:r>
        <w:rPr/>
        <w:t>452.69</w:t>
      </w:r>
      <w:r>
        <w:rPr/>
        <w:t>、</w:t>
      </w:r>
      <w:r>
        <w:rPr/>
        <w:t>862.35</w:t>
      </w:r>
      <w:r>
        <w:rPr/>
        <w:t>万股。以此前二十日平均量作为分母的当日量比约</w:t>
      </w:r>
      <w:r>
        <w:rPr/>
        <w:t>1.0033</w:t>
      </w:r>
      <w:r>
        <w:rPr/>
        <w:t>，只是接近常态，尚无强烈放量确认；近端五日均量明显低于六十日，说明活跃度从此前高波动期回落。二十日上涨日累计</w:t>
      </w:r>
      <w:r>
        <w:rPr/>
        <w:t>5816.98</w:t>
      </w:r>
      <w:r>
        <w:rPr/>
        <w:t>万股、下跌日</w:t>
      </w:r>
      <w:r>
        <w:rPr/>
        <w:t>3236.75</w:t>
      </w:r>
      <w:r>
        <w:rPr/>
        <w:t>万股，量比约</w:t>
      </w:r>
      <w:r>
        <w:rPr/>
        <w:t>1.80</w:t>
      </w:r>
      <w:r>
        <w:rPr/>
        <w:t>，支持近期正向交易较多，但它受单日事件和上涨下跌定义影响，不能据此断言特定资金吸筹。</w:t>
      </w:r>
    </w:p>
    <w:p>
      <w:pPr>
        <w:pStyle w:val="Normal"/>
        <w:rPr/>
      </w:pPr>
      <w:r>
        <w:rPr/>
        <w:t>二十日相对恒生指数超额约</w:t>
      </w:r>
      <w:r>
        <w:rPr/>
        <w:t>6.62</w:t>
      </w:r>
      <w:r>
        <w:rPr/>
        <w:t>个百分点，六十日约</w:t>
      </w:r>
      <w:r>
        <w:rPr/>
        <w:t>4.84</w:t>
      </w:r>
      <w:r>
        <w:rPr/>
        <w:t>个百分点；相对港股通创新药指数分别超额</w:t>
      </w:r>
      <w:r>
        <w:rPr/>
        <w:t>2.76</w:t>
      </w:r>
      <w:r>
        <w:rPr/>
        <w:t>和</w:t>
      </w:r>
      <w:r>
        <w:rPr/>
        <w:t>4.87</w:t>
      </w:r>
      <w:r>
        <w:rPr/>
        <w:t>个百分点。说明近期股价表现改善并非仅随市场普遍上涨，仍需更长窗口验证。行业指数采用官方价格回报单来源，属于粗粒度行业参照，未含分红且不使用其成交量。精确自由流通换手率数据没有取得，因此不把发行股数粗算的比例冒充真实换手。也没有逐笔数据，不绘制所谓精确筹码峰或成本密集区来增加技术评分。</w:t>
      </w:r>
    </w:p>
    <w:p>
      <w:pPr>
        <w:pStyle w:val="Heading2"/>
        <w:rPr/>
      </w:pPr>
      <w:r>
        <w:rPr>
          <w:color w:val="000000"/>
        </w:rPr>
        <w:t>三十 周线与辅助指标</w:t>
      </w:r>
    </w:p>
    <w:p>
      <w:pPr>
        <w:pStyle w:val="Normal"/>
        <w:rPr/>
      </w:pPr>
      <w:r>
        <w:rPr/>
        <w:t>周线共</w:t>
      </w:r>
      <w:r>
        <w:rPr/>
        <w:t>157</w:t>
      </w:r>
      <w:r>
        <w:rPr/>
        <w:t>根，</w:t>
      </w:r>
      <w:r>
        <w:rPr/>
        <w:t>20</w:t>
      </w:r>
      <w:r>
        <w:rPr/>
        <w:t>周均线</w:t>
      </w:r>
      <w:r>
        <w:rPr/>
        <w:t>28.106</w:t>
      </w:r>
      <w:r>
        <w:rPr/>
        <w:t>、</w:t>
      </w:r>
      <w:r>
        <w:rPr/>
        <w:t>60</w:t>
      </w:r>
      <w:r>
        <w:rPr/>
        <w:t>周</w:t>
      </w:r>
      <w:r>
        <w:rPr/>
        <w:t>38.996167</w:t>
      </w:r>
      <w:r>
        <w:rPr/>
        <w:t>、</w:t>
      </w:r>
      <w:r>
        <w:rPr/>
        <w:t>120</w:t>
      </w:r>
      <w:r>
        <w:rPr/>
        <w:t>周</w:t>
      </w:r>
      <w:r>
        <w:rPr/>
        <w:t>40.3315</w:t>
      </w:r>
      <w:r>
        <w:rPr/>
        <w:t>，无</w:t>
      </w:r>
      <w:r>
        <w:rPr/>
        <w:t>250</w:t>
      </w:r>
      <w:r>
        <w:rPr/>
        <w:t>周数据。现价超过</w:t>
      </w:r>
      <w:r>
        <w:rPr/>
        <w:t>20</w:t>
      </w:r>
      <w:r>
        <w:rPr/>
        <w:t>周约</w:t>
      </w:r>
      <w:r>
        <w:rPr/>
        <w:t>5.32%</w:t>
      </w:r>
      <w:r>
        <w:rPr/>
        <w:t>，仍低于</w:t>
      </w:r>
      <w:r>
        <w:rPr/>
        <w:t>60</w:t>
      </w:r>
      <w:r>
        <w:rPr/>
        <w:t>及</w:t>
      </w:r>
      <w:r>
        <w:rPr/>
        <w:t>120</w:t>
      </w:r>
      <w:r>
        <w:rPr/>
        <w:t>周约</w:t>
      </w:r>
      <w:r>
        <w:rPr/>
        <w:t>24.10%</w:t>
      </w:r>
      <w:r>
        <w:rPr/>
        <w:t>和</w:t>
      </w:r>
      <w:r>
        <w:rPr/>
        <w:t>26.61%</w:t>
      </w:r>
      <w:r>
        <w:rPr/>
        <w:t>；</w:t>
      </w:r>
      <w:r>
        <w:rPr/>
        <w:t>20</w:t>
      </w:r>
      <w:r>
        <w:rPr/>
        <w:t>周和</w:t>
      </w:r>
      <w:r>
        <w:rPr/>
        <w:t>60</w:t>
      </w:r>
      <w:r>
        <w:rPr/>
        <w:t>周斜率为负，长期结构的修复程度弱于日线。周</w:t>
      </w:r>
      <w:r>
        <w:rPr/>
        <w:t>MACD</w:t>
      </w:r>
      <w:r>
        <w:rPr/>
        <w:t>柱转为正值同时</w:t>
      </w:r>
      <w:r>
        <w:rPr/>
        <w:t>DIF</w:t>
      </w:r>
      <w:r>
        <w:rPr/>
        <w:t>仍负，可解释为下跌动量减弱，不能当已形成完整多头。每周数据聚合后高点口径与日线窗口不同，二者高低值不应混用成同一个精确一年极值。</w:t>
      </w:r>
    </w:p>
    <w:p>
      <w:pPr>
        <w:pStyle w:val="Normal"/>
        <w:rPr/>
      </w:pPr>
      <w:r>
        <w:rPr/>
        <w:t>日</w:t>
      </w:r>
      <w:r>
        <w:rPr/>
        <w:t>RSI</w:t>
      </w:r>
      <w:r>
        <w:rPr/>
        <w:t>约</w:t>
      </w:r>
      <w:r>
        <w:rPr/>
        <w:t>52.21</w:t>
      </w:r>
      <w:r>
        <w:rPr/>
        <w:t>处在中性区域，日</w:t>
      </w:r>
      <w:r>
        <w:rPr/>
        <w:t>MACD</w:t>
      </w:r>
      <w:r>
        <w:rPr/>
        <w:t>差值负</w:t>
      </w:r>
      <w:r>
        <w:rPr/>
        <w:t>0.120856</w:t>
      </w:r>
      <w:r>
        <w:rPr/>
        <w:t>、信号负</w:t>
      </w:r>
      <w:r>
        <w:rPr/>
        <w:t>0.294796</w:t>
      </w:r>
      <w:r>
        <w:rPr/>
        <w:t>，按两倍差的柱值正</w:t>
      </w:r>
      <w:r>
        <w:rPr/>
        <w:t>0.34788</w:t>
      </w:r>
      <w:r>
        <w:rPr/>
        <w:t>。日</w:t>
      </w:r>
      <w:r>
        <w:rPr/>
        <w:t>ATR</w:t>
      </w:r>
      <w:r>
        <w:rPr/>
        <w:t>约</w:t>
      </w:r>
      <w:r>
        <w:rPr/>
        <w:t>2.014796</w:t>
      </w:r>
      <w:r>
        <w:rPr/>
        <w:t>元、占现价</w:t>
      </w:r>
      <w:r>
        <w:rPr/>
        <w:t>6.81%</w:t>
      </w:r>
      <w:r>
        <w:rPr/>
        <w:t>，说明短期波动幅度较大。</w:t>
      </w:r>
      <w:r>
        <w:rPr/>
        <w:t>RSI</w:t>
      </w:r>
      <w:r>
        <w:rPr/>
        <w:t>与</w:t>
      </w:r>
      <w:r>
        <w:rPr/>
        <w:t>MACD</w:t>
      </w:r>
      <w:r>
        <w:rPr/>
        <w:t>辅助支持修复，但与均线趋势相关，不重复给多个维度加分。</w:t>
      </w:r>
      <w:r>
        <w:rPr/>
        <w:t>ATR</w:t>
      </w:r>
      <w:r>
        <w:rPr/>
        <w:t>用于理解观察区间所需宽度，不预测下一日上下限。半年技术评分</w:t>
      </w:r>
      <w:r>
        <w:rPr/>
        <w:t>3.0</w:t>
      </w:r>
      <w:r>
        <w:rPr/>
        <w:t>分承认近期相对强势，又保留长期均线和普通量比的不足，这比给出单一买点更能反映证据。</w:t>
      </w:r>
    </w:p>
    <w:p>
      <w:pPr>
        <w:pStyle w:val="Heading2"/>
        <w:rPr/>
      </w:pPr>
      <w:r>
        <w:rPr>
          <w:color w:val="000000"/>
        </w:rPr>
        <w:t>三十一 半年与一年收益来源</w:t>
      </w:r>
    </w:p>
    <w:p>
      <w:pPr>
        <w:pStyle w:val="Normal"/>
        <w:rPr/>
      </w:pPr>
      <w:r>
        <w:rPr/>
        <w:t>半年基准</w:t>
      </w:r>
      <w:r>
        <w:rPr/>
        <w:t>35.5092</w:t>
      </w:r>
      <w:r>
        <w:rPr/>
        <w:t>港元、上涨</w:t>
      </w:r>
      <w:r>
        <w:rPr/>
        <w:t>19.96%</w:t>
      </w:r>
      <w:r>
        <w:rPr/>
        <w:t>，主要反映产品商业预期部分被市场识别及近期技术修复。年底和半年分别只使内在价值差额的</w:t>
      </w:r>
      <w:r>
        <w:rPr/>
        <w:t>65%</w:t>
      </w:r>
      <w:r>
        <w:rPr/>
        <w:t>和</w:t>
      </w:r>
      <w:r>
        <w:rPr/>
        <w:t>82%</w:t>
      </w:r>
      <w:r>
        <w:rPr/>
        <w:t>被识别，乐观识别</w:t>
      </w:r>
      <w:r>
        <w:rPr/>
        <w:t>40%</w:t>
      </w:r>
      <w:r>
        <w:rPr/>
        <w:t>和</w:t>
      </w:r>
      <w:r>
        <w:rPr/>
        <w:t>65%</w:t>
      </w:r>
      <w:r>
        <w:rPr/>
        <w:t>，悲观全额体现；这些是研究定价参数，不是市场必须线性到达的路径。短期催化包括医保谈判、已批准</w:t>
      </w:r>
      <w:r>
        <w:rPr/>
        <w:t>PSVT</w:t>
      </w:r>
      <w:r>
        <w:rPr/>
        <w:t>药的实际上市和收入、</w:t>
      </w:r>
      <w:r>
        <w:rPr/>
        <w:t>LNZ</w:t>
      </w:r>
      <w:r>
        <w:rPr/>
        <w:t>审评、合作现金与研发推进。已经发布的批准或签约不能再当作未来全新惊喜，需看执行是否优于当前预期。</w:t>
      </w:r>
    </w:p>
    <w:p>
      <w:pPr>
        <w:pStyle w:val="Normal"/>
        <w:rPr/>
      </w:pPr>
      <w:r>
        <w:rPr/>
        <w:t>一年基准</w:t>
      </w:r>
      <w:r>
        <w:rPr/>
        <w:t>38.6564</w:t>
      </w:r>
      <w:r>
        <w:rPr/>
        <w:t>港元、上涨</w:t>
      </w:r>
      <w:r>
        <w:rPr/>
        <w:t>30.60%</w:t>
      </w:r>
      <w:r>
        <w:rPr/>
        <w:t>，不派息假设下价回报与总回报相同。该价格参考未来现金流，不直接套</w:t>
      </w:r>
      <w:r>
        <w:rPr/>
        <w:t>2027</w:t>
      </w:r>
      <w:r>
        <w:rPr/>
        <w:t>年正常利润代理</w:t>
      </w:r>
      <w:r>
        <w:rPr/>
        <w:t>PE</w:t>
      </w:r>
      <w:r>
        <w:rPr/>
        <w:t>。失败路径包括维适平收入低于预期、耐赋康价量不平衡、新药批准延后、许可费用增加、现金回收恶化和行业估值下调。若利好只推动估值而未伴随可验证经营，短期可能先到高价再回落。适合进取型观察的依据是基本面与量价均存在改善机会，仓位判断仍应考虑其较宽情景区间和融资敏感性。</w:t>
      </w:r>
    </w:p>
    <w:p>
      <w:pPr>
        <w:pStyle w:val="Heading2"/>
        <w:rPr/>
      </w:pPr>
      <w:r>
        <w:rPr>
          <w:color w:val="000000"/>
        </w:rPr>
        <w:t>三十二 三年 五年与十年经营展望</w:t>
      </w:r>
    </w:p>
    <w:p>
      <w:pPr>
        <w:pStyle w:val="Normal"/>
        <w:rPr/>
      </w:pPr>
      <w:r>
        <w:rPr/>
        <w:t>三年基准</w:t>
      </w:r>
      <w:r>
        <w:rPr/>
        <w:t>46.8487</w:t>
      </w:r>
      <w:r>
        <w:rPr/>
        <w:t>港元，对应</w:t>
      </w:r>
      <w:r>
        <w:rPr/>
        <w:t>58.27%</w:t>
      </w:r>
      <w:r>
        <w:rPr/>
        <w:t>累计价回报及约</w:t>
      </w:r>
      <w:r>
        <w:rPr/>
        <w:t>16.54%</w:t>
      </w:r>
      <w:r>
        <w:rPr/>
        <w:t>年化，假设这三年没有基准股息；五年基准</w:t>
      </w:r>
      <w:r>
        <w:rPr/>
        <w:t>55.1570</w:t>
      </w:r>
      <w:r>
        <w:rPr/>
        <w:t>港元、累计股息</w:t>
      </w:r>
      <w:r>
        <w:rPr/>
        <w:t>0.09</w:t>
      </w:r>
      <w:r>
        <w:rPr/>
        <w:t>港元，含息总回报约</w:t>
      </w:r>
      <w:r>
        <w:rPr/>
        <w:t>86.65%</w:t>
      </w:r>
      <w:r>
        <w:rPr/>
        <w:t>、年化</w:t>
      </w:r>
      <w:r>
        <w:rPr/>
        <w:t>13.29%</w:t>
      </w:r>
      <w:r>
        <w:rPr/>
        <w:t>。三年重点从注册故事转为经营结果：新品药品销售、续方、毛利、销售费用和支付成本可以被核验。五年需要公司拥有比耐赋康更分散的现金来源，并证明亚洲平台的投入回报。即使公司收入增长，若股数扩张和许可投入过大，每股现金也可能增长较慢。</w:t>
      </w:r>
    </w:p>
    <w:p>
      <w:pPr>
        <w:pStyle w:val="Normal"/>
        <w:rPr/>
      </w:pPr>
      <w:r>
        <w:rPr/>
        <w:t>十年经营持续性取决于新品不断替代成熟产品、研发能否产生较强临床证据，以及区域合作能力是否具有可重复性。到</w:t>
      </w:r>
      <w:r>
        <w:rPr/>
        <w:t>2036</w:t>
      </w:r>
      <w:r>
        <w:rPr/>
        <w:t>年，自主平台和</w:t>
      </w:r>
      <w:r>
        <w:rPr/>
        <w:t>EVER001</w:t>
      </w:r>
      <w:r>
        <w:rPr/>
        <w:t>后续适应症才可能明显贡献，当前证据不足以保证成功。模型只计</w:t>
      </w:r>
      <w:r>
        <w:rPr/>
        <w:t>2041</w:t>
      </w:r>
      <w:r>
        <w:rPr/>
        <w:t>年前现金并在成熟产品上做衰减，既保留潜力，也没有永续把所有旧品增长下去。若其变成需要持续高额引进才能维持收入的平台，资本回报可能趋弱；若能选择较少但更高质量的资产并控制投入，自由现金流和股东分配会比单纯收入战略更有价值。</w:t>
      </w:r>
    </w:p>
    <w:p>
      <w:pPr>
        <w:pStyle w:val="Heading2"/>
        <w:rPr/>
      </w:pPr>
      <w:r>
        <w:rPr>
          <w:color w:val="000000"/>
        </w:rPr>
        <w:t>三十三 利率 汇率 医保与经济环境</w:t>
      </w:r>
    </w:p>
    <w:p>
      <w:pPr>
        <w:pStyle w:val="Normal"/>
        <w:rPr/>
      </w:pPr>
      <w:r>
        <w:rPr/>
        <w:t>云顶既有人民币借款，又有美元融资和美元许可收付款。美元走强可能增加进口、并购尾款与部分融资成本，也可能提高对外许可现金的人民币价值；这些方向不能简单归为单一利好。人民币兑港币变动既影响本币估值换算，也影响人民币投资者的实际回报。本模型统一换算便于复核，不预测外汇路径。利率下降可减轻银行成本和提高长期现金现值，风险溢价上升却可能抵消基准利率下降，尤其医药成长股价格对远期现金比较敏感。</w:t>
      </w:r>
    </w:p>
    <w:p>
      <w:pPr>
        <w:pStyle w:val="Normal"/>
        <w:rPr/>
      </w:pPr>
      <w:r>
        <w:rPr/>
        <w:t>宏观消费疲弱对重病必要治疗的需求冲击小于可选消费，但仍影响自费药、老视等改善体验治疗和商业保险支付。医保覆盖扩大可以增加患者同时压价，医院支付管理、合理用药和反腐规范也会改变推广方式。亚洲各国汇率、监管与医疗预算不同，拓展并非单一中国需求周期的简单复制。研发融资环境转弱时，收购标的价格可能更合理，却也可能出现更多需要持续投入的资产；公司应证明低价收购的是有价值现金流，而不是低价取得未来费用负担。</w:t>
      </w:r>
    </w:p>
    <w:p>
      <w:pPr>
        <w:pStyle w:val="Heading2"/>
        <w:rPr/>
      </w:pPr>
      <w:r>
        <w:rPr>
          <w:color w:val="000000"/>
        </w:rPr>
        <w:t>三十四 年底情景与判断权重</w:t>
      </w:r>
    </w:p>
    <w:p>
      <w:pPr>
        <w:pStyle w:val="Normal"/>
        <w:rPr/>
      </w:pPr>
      <w:r>
        <w:rPr/>
        <w:t>年底悲观</w:t>
      </w:r>
      <w:r>
        <w:rPr/>
        <w:t>7.0452</w:t>
      </w:r>
      <w:r>
        <w:rPr/>
        <w:t>港元、基准</w:t>
      </w:r>
      <w:r>
        <w:rPr/>
        <w:t>33.6433</w:t>
      </w:r>
      <w:r>
        <w:rPr/>
        <w:t>港元、乐观</w:t>
      </w:r>
      <w:r>
        <w:rPr/>
        <w:t>70.3253</w:t>
      </w:r>
      <w:r>
        <w:rPr/>
        <w:t>港元，对应负</w:t>
      </w:r>
      <w:r>
        <w:rPr/>
        <w:t>76.20%</w:t>
      </w:r>
      <w:r>
        <w:rPr/>
        <w:t>、正</w:t>
      </w:r>
      <w:r>
        <w:rPr/>
        <w:t>13.66%</w:t>
      </w:r>
      <w:r>
        <w:rPr/>
        <w:t>、正</w:t>
      </w:r>
      <w:r>
        <w:rPr/>
        <w:t>137.59%</w:t>
      </w:r>
      <w:r>
        <w:rPr/>
        <w:t>。默认</w:t>
      </w:r>
      <w:r>
        <w:rPr/>
        <w:t>25%</w:t>
      </w:r>
      <w:r>
        <w:rPr/>
        <w:t>、</w:t>
      </w:r>
      <w:r>
        <w:rPr/>
        <w:t>50%</w:t>
      </w:r>
      <w:r>
        <w:rPr/>
        <w:t>、</w:t>
      </w:r>
      <w:r>
        <w:rPr/>
        <w:t>25%</w:t>
      </w:r>
      <w:r>
        <w:rPr/>
        <w:t>判断权重的期望价格</w:t>
      </w:r>
      <w:r>
        <w:rPr/>
        <w:t>36.1643</w:t>
      </w:r>
      <w:r>
        <w:rPr/>
        <w:t>港元、期望价回报约</w:t>
      </w:r>
      <w:r>
        <w:rPr/>
        <w:t>22.18%</w:t>
      </w:r>
      <w:r>
        <w:rPr/>
        <w:t>。悲观代表产品增长不达预期且费用收缩、现金与估值承压；基准代表既有商业增长和新增项目进度大体兑现；乐观要求市场更积极认可多项目未来现金，同时经营和准入获得超出基准的信号。短短年底窗口高价可能来自估值变化，不能当年底盈利突然增长同幅度。</w:t>
      </w:r>
    </w:p>
    <w:p>
      <w:pPr>
        <w:pStyle w:val="Normal"/>
        <w:rPr/>
      </w:pPr>
      <w:r>
        <w:rPr/>
        <w:t>权重调整为悲</w:t>
      </w:r>
      <w:r>
        <w:rPr/>
        <w:t>40%</w:t>
      </w:r>
      <w:r>
        <w:rPr/>
        <w:t>、基</w:t>
      </w:r>
      <w:r>
        <w:rPr/>
        <w:t>40%</w:t>
      </w:r>
      <w:r>
        <w:rPr/>
        <w:t>、乐</w:t>
      </w:r>
      <w:r>
        <w:rPr/>
        <w:t>20%</w:t>
      </w:r>
      <w:r>
        <w:rPr/>
        <w:t>时，期望价</w:t>
      </w:r>
      <w:r>
        <w:rPr/>
        <w:t>30.3405</w:t>
      </w:r>
      <w:r>
        <w:rPr/>
        <w:t>港元、期望回报</w:t>
      </w:r>
      <w:r>
        <w:rPr/>
        <w:t>2.50%</w:t>
      </w:r>
      <w:r>
        <w:rPr/>
        <w:t>；调整为</w:t>
      </w:r>
      <w:r>
        <w:rPr/>
        <w:t>20%</w:t>
      </w:r>
      <w:r>
        <w:rPr/>
        <w:t>、</w:t>
      </w:r>
      <w:r>
        <w:rPr/>
        <w:t>40%</w:t>
      </w:r>
      <w:r>
        <w:rPr/>
        <w:t>、</w:t>
      </w:r>
      <w:r>
        <w:rPr/>
        <w:t>40%</w:t>
      </w:r>
      <w:r>
        <w:rPr/>
        <w:t>时，期望价</w:t>
      </w:r>
      <w:r>
        <w:rPr/>
        <w:t>42.9965</w:t>
      </w:r>
      <w:r>
        <w:rPr/>
        <w:t>港元、回报</w:t>
      </w:r>
      <w:r>
        <w:rPr/>
        <w:t>45.26%</w:t>
      </w:r>
      <w:r>
        <w:rPr/>
        <w:t>。差异巨大说明所谓期望值很依赖主观判断，不能写成客观数学收益。这里没有统计拟合，也没有用历史波动构造置信区间。年底不是十二个月目标按剩余月数缩短，估值使用年底现金与届时仍剩的长期经营价值，并以短期识别系数反映现实定价不完全性。</w:t>
      </w:r>
    </w:p>
    <w:p>
      <w:pPr>
        <w:pStyle w:val="Heading2"/>
        <w:rPr/>
      </w:pPr>
      <w:r>
        <w:rPr>
          <w:color w:val="000000"/>
        </w:rPr>
        <w:t>三十五 估值敏感性与推荐反证</w:t>
      </w:r>
    </w:p>
    <w:p>
      <w:pPr>
        <w:pStyle w:val="Normal"/>
        <w:rPr/>
      </w:pPr>
      <w:r>
        <w:rPr/>
        <w:t>基准折现</w:t>
      </w:r>
      <w:r>
        <w:rPr/>
        <w:t>11.5%</w:t>
      </w:r>
      <w:r>
        <w:rPr/>
        <w:t>，改为</w:t>
      </w:r>
      <w:r>
        <w:rPr/>
        <w:t>9.5%</w:t>
      </w:r>
      <w:r>
        <w:rPr/>
        <w:t>和</w:t>
      </w:r>
      <w:r>
        <w:rPr/>
        <w:t>13.5%</w:t>
      </w:r>
      <w:r>
        <w:rPr/>
        <w:t>后一年目标约</w:t>
      </w:r>
      <w:r>
        <w:rPr/>
        <w:t>43.26</w:t>
      </w:r>
      <w:r>
        <w:rPr/>
        <w:t>和</w:t>
      </w:r>
      <w:r>
        <w:rPr/>
        <w:t>34.68</w:t>
      </w:r>
      <w:r>
        <w:rPr/>
        <w:t>港元。完整研发增加</w:t>
      </w:r>
      <w:r>
        <w:rPr/>
        <w:t>40%</w:t>
      </w:r>
      <w:r>
        <w:rPr/>
        <w:t>后一年约</w:t>
      </w:r>
      <w:r>
        <w:rPr/>
        <w:t>30.61</w:t>
      </w:r>
      <w:r>
        <w:rPr/>
        <w:t>元、半年</w:t>
      </w:r>
      <w:r>
        <w:rPr/>
        <w:t>29.19</w:t>
      </w:r>
      <w:r>
        <w:rPr/>
        <w:t>元，半年上行转为负；未来许可支付加倍后一年约</w:t>
      </w:r>
      <w:r>
        <w:rPr/>
        <w:t>29.79</w:t>
      </w:r>
      <w:r>
        <w:rPr/>
        <w:t>元、半年</w:t>
      </w:r>
      <w:r>
        <w:rPr/>
        <w:t>28.55</w:t>
      </w:r>
      <w:r>
        <w:rPr/>
        <w:t>元，几乎耗尽基准空间。耐赋康收入减</w:t>
      </w:r>
      <w:r>
        <w:rPr/>
        <w:t>15%</w:t>
      </w:r>
      <w:r>
        <w:rPr/>
        <w:t>后一年</w:t>
      </w:r>
      <w:r>
        <w:rPr/>
        <w:t>32.76</w:t>
      </w:r>
      <w:r>
        <w:rPr/>
        <w:t>元；全部</w:t>
      </w:r>
      <w:r>
        <w:rPr/>
        <w:t>EVER001</w:t>
      </w:r>
      <w:r>
        <w:rPr/>
        <w:t>收入归零但保留费用后一年</w:t>
      </w:r>
      <w:r>
        <w:rPr/>
        <w:t>31.63</w:t>
      </w:r>
      <w:r>
        <w:rPr/>
        <w:t>元。这些单项压力不属于默认加权三情景，也不能相加当作独立损失，但清楚显示基准推荐需要收入与投入同时达标。</w:t>
      </w:r>
    </w:p>
    <w:p>
      <w:pPr>
        <w:pStyle w:val="Normal"/>
        <w:rPr/>
      </w:pPr>
      <w:r>
        <w:rPr/>
        <w:t>应推翻推荐的证据包括连续两个报告期药品增长明显不足、应收与库存增长持续快于收入、经营现金差距扩大、重大临床失败或新安全风险、合作首付长期不能确认，以及关联并购或新许可投入使最低现金大幅下降。技术反证则包括失守阶段区间并在市场和行业参照下持续跑输。正向证据应同样具体：新品实现真正销售回款、费用率下降且现金不靠新增借款、长期随机数据改善临床价值、资产投入回报得到独立核验。推荐不应因观点已经写入长报告就保持不变。</w:t>
      </w:r>
    </w:p>
    <w:p>
      <w:pPr>
        <w:pStyle w:val="Heading2"/>
        <w:rPr/>
      </w:pPr>
      <w:r>
        <w:rPr>
          <w:color w:val="000000"/>
        </w:rPr>
        <w:t>三十六 外资目标价 来源质量与研究状态</w:t>
      </w:r>
    </w:p>
    <w:p>
      <w:pPr>
        <w:pStyle w:val="Normal"/>
        <w:rPr/>
      </w:pPr>
      <w:r>
        <w:rPr/>
        <w:t>公开可核验外资新闻中，摩根士丹利</w:t>
      </w:r>
      <w:r>
        <w:rPr/>
        <w:t>2026</w:t>
      </w:r>
      <w:r>
        <w:rPr/>
        <w:t>年</w:t>
      </w:r>
      <w:r>
        <w:rPr/>
        <w:t>5</w:t>
      </w:r>
      <w:r>
        <w:rPr/>
        <w:t>月</w:t>
      </w:r>
      <w:r>
        <w:rPr/>
        <w:t>29</w:t>
      </w:r>
      <w:r>
        <w:rPr/>
        <w:t>日给云顶</w:t>
      </w:r>
      <w:r>
        <w:rPr/>
        <w:t>40</w:t>
      </w:r>
      <w:r>
        <w:rPr/>
        <w:t>港元、与大市同步；花旗</w:t>
      </w:r>
      <w:r>
        <w:rPr/>
        <w:t>2025</w:t>
      </w:r>
      <w:r>
        <w:rPr/>
        <w:t>年</w:t>
      </w:r>
      <w:r>
        <w:rPr/>
        <w:t>9</w:t>
      </w:r>
      <w:r>
        <w:rPr/>
        <w:t>月</w:t>
      </w:r>
      <w:r>
        <w:rPr/>
        <w:t>2</w:t>
      </w:r>
      <w:r>
        <w:rPr/>
        <w:t>日</w:t>
      </w:r>
      <w:r>
        <w:rPr/>
        <w:t>65</w:t>
      </w:r>
      <w:r>
        <w:rPr/>
        <w:t>港元、中性及高风险；高盛</w:t>
      </w:r>
      <w:r>
        <w:rPr/>
        <w:t>2025</w:t>
      </w:r>
      <w:r>
        <w:rPr/>
        <w:t>年</w:t>
      </w:r>
      <w:r>
        <w:rPr/>
        <w:t>3</w:t>
      </w:r>
      <w:r>
        <w:rPr/>
        <w:t>月</w:t>
      </w:r>
      <w:r>
        <w:rPr/>
        <w:t>31</w:t>
      </w:r>
      <w:r>
        <w:rPr/>
        <w:t>日</w:t>
      </w:r>
      <w:r>
        <w:rPr/>
        <w:t>53.01</w:t>
      </w:r>
      <w:r>
        <w:rPr/>
        <w:t>港元、中性；美银</w:t>
      </w:r>
      <w:r>
        <w:rPr/>
        <w:t>2025</w:t>
      </w:r>
      <w:r>
        <w:rPr/>
        <w:t>年</w:t>
      </w:r>
      <w:r>
        <w:rPr/>
        <w:t>3</w:t>
      </w:r>
      <w:r>
        <w:rPr/>
        <w:t>月</w:t>
      </w:r>
      <w:r>
        <w:rPr/>
        <w:t>28</w:t>
      </w:r>
      <w:r>
        <w:rPr/>
        <w:t>日</w:t>
      </w:r>
      <w:r>
        <w:rPr/>
        <w:t>55.8</w:t>
      </w:r>
      <w:r>
        <w:rPr/>
        <w:t>港元、中性。均超出截止日前</w:t>
      </w:r>
      <w:r>
        <w:rPr/>
        <w:t>90</w:t>
      </w:r>
      <w:r>
        <w:rPr/>
        <w:t>天，原完整研报和精确目标期限未取得。因此它们作为历史一年估值参照单列，不能当最新共识。新闻页面嵌入</w:t>
      </w:r>
      <w:r>
        <w:rPr/>
        <w:t>10</w:t>
      </w:r>
      <w:r>
        <w:rPr/>
        <w:t>月</w:t>
      </w:r>
      <w:r>
        <w:rPr/>
        <w:t>9</w:t>
      </w:r>
      <w:r>
        <w:rPr/>
        <w:t>日实时股价或沽空值是动态模块，不会改变研报实际发布日期，也不应把</w:t>
      </w:r>
      <w:r>
        <w:rPr/>
        <w:t>2025</w:t>
      </w:r>
      <w:r>
        <w:rPr/>
        <w:t>年报道识别成</w:t>
      </w:r>
      <w:r>
        <w:rPr/>
        <w:t>2026</w:t>
      </w:r>
      <w:r>
        <w:rPr/>
        <w:t>年新目标。</w:t>
      </w:r>
    </w:p>
    <w:p>
      <w:pPr>
        <w:pStyle w:val="Normal"/>
        <w:rPr/>
      </w:pPr>
      <w:r>
        <w:rPr/>
        <w:t>核心财务与交易证据优先取交易所原公告和公司年报中报，行情腾讯、雅虎与新浪交叉；临床关键比例另以原随机试验摘要核对。独立核算</w:t>
      </w:r>
      <w:r>
        <w:rPr/>
        <w:t>3751</w:t>
      </w:r>
      <w:r>
        <w:rPr/>
        <w:t>项、桥表计算及原子编辑</w:t>
      </w:r>
      <w:r>
        <w:rPr/>
        <w:t>1599</w:t>
      </w:r>
      <w:r>
        <w:rPr/>
        <w:t>项通过，模型仍保留收入拆分、上游许可条件、真实到账日期及未来支付预算的限制。证据可信度为中，主要原因是事实输入较好而前瞻估值依赖较多可修改假设。当前章节应随公司数据更新同步改总表，而不是仅替换正文措辞。每次修改需刷新三情景快照，检查现金、债务、股数和回报是否一致。</w:t>
      </w:r>
    </w:p>
    <w:p>
      <w:pPr>
        <w:pStyle w:val="Heading2"/>
        <w:rPr/>
      </w:pPr>
      <w:r>
        <w:rPr>
          <w:color w:val="000000"/>
        </w:rPr>
        <w:t>来源与复核记录</w:t>
      </w:r>
    </w:p>
    <w:p>
      <w:pPr>
        <w:pStyle w:val="Normal"/>
        <w:rPr/>
      </w:pPr>
      <w:r>
        <w:rPr/>
        <w:t>- 2026</w:t>
      </w:r>
      <w:r>
        <w:rPr/>
        <w:t>中报，</w:t>
      </w:r>
      <w:r>
        <w:rPr/>
        <w:t>2026-08-27 16:39</w:t>
      </w:r>
      <w:r>
        <w:rPr/>
        <w:t>，首次业绩公开</w:t>
      </w:r>
      <w:r>
        <w:rPr/>
        <w:t>2026-08-19 06:51</w:t>
      </w:r>
      <w:r>
        <w:rPr/>
        <w:t>：</w:t>
      </w:r>
      <w:r>
        <w:rPr/>
        <w:t>[</w:t>
      </w:r>
      <w:r>
        <w:rPr/>
        <w:t>交易所文件</w:t>
      </w:r>
      <w:r>
        <w:rPr/>
        <w:t>](https://www1.hkexnews.hk/listedco/listconews/sehk/2026/0827/2026082700354.pdf)</w:t>
      </w:r>
      <w:r>
        <w:rPr/>
        <w:t>。</w:t>
      </w:r>
    </w:p>
    <w:p>
      <w:pPr>
        <w:pStyle w:val="Normal"/>
        <w:rPr/>
      </w:pPr>
      <w:r>
        <w:rPr/>
        <w:t>- 2025</w:t>
      </w:r>
      <w:r>
        <w:rPr/>
        <w:t>年报，</w:t>
      </w:r>
      <w:r>
        <w:rPr/>
        <w:t>2026-04-23 22:02</w:t>
      </w:r>
      <w:r>
        <w:rPr/>
        <w:t>：</w:t>
      </w:r>
      <w:r>
        <w:rPr/>
        <w:t>[</w:t>
      </w:r>
      <w:r>
        <w:rPr/>
        <w:t>年报</w:t>
      </w:r>
      <w:r>
        <w:rPr/>
        <w:t>](https://www1.hkexnews.hk/listedco/listconews/sehk/2026/0423/2026042302936.pdf)</w:t>
      </w:r>
      <w:r>
        <w:rPr/>
        <w:t>；</w:t>
      </w:r>
      <w:r>
        <w:rPr/>
        <w:t>2024</w:t>
      </w:r>
      <w:r>
        <w:rPr/>
        <w:t>年报：</w:t>
      </w:r>
      <w:r>
        <w:rPr/>
        <w:t>[</w:t>
      </w:r>
      <w:r>
        <w:rPr/>
        <w:t>年报</w:t>
      </w:r>
      <w:r>
        <w:rPr/>
        <w:t>](https://www1.hkexnews.hk/listedco/listconews/sehk/2025/0424/2025042403126.pdf)</w:t>
      </w:r>
      <w:r>
        <w:rPr/>
        <w:t>。</w:t>
      </w:r>
    </w:p>
    <w:p>
      <w:pPr>
        <w:pStyle w:val="Normal"/>
        <w:rPr/>
      </w:pPr>
      <w:r>
        <w:rPr/>
        <w:t>- 2026</w:t>
      </w:r>
      <w:r>
        <w:rPr/>
        <w:t>年</w:t>
      </w:r>
      <w:r>
        <w:rPr/>
        <w:t>9</w:t>
      </w:r>
      <w:r>
        <w:rPr/>
        <w:t>月股份月报，</w:t>
      </w:r>
      <w:r>
        <w:rPr/>
        <w:t>10</w:t>
      </w:r>
      <w:r>
        <w:rPr/>
        <w:t>月</w:t>
      </w:r>
      <w:r>
        <w:rPr/>
        <w:t>7</w:t>
      </w:r>
      <w:r>
        <w:rPr/>
        <w:t>日</w:t>
      </w:r>
      <w:r>
        <w:rPr/>
        <w:t>16:39</w:t>
      </w:r>
      <w:r>
        <w:rPr/>
        <w:t>：</w:t>
      </w:r>
      <w:r>
        <w:rPr/>
        <w:t>[</w:t>
      </w:r>
      <w:r>
        <w:rPr/>
        <w:t>月报</w:t>
      </w:r>
      <w:r>
        <w:rPr/>
        <w:t>](https://www1.hkexnews.hk/listedco/listconews/sehk/2026/1007/2026100700910.pdf)</w:t>
      </w:r>
      <w:r>
        <w:rPr/>
        <w:t>。</w:t>
      </w:r>
    </w:p>
    <w:p>
      <w:pPr>
        <w:pStyle w:val="Normal"/>
        <w:rPr/>
      </w:pPr>
      <w:r>
        <w:rPr/>
        <w:t>- Travere6</w:t>
      </w:r>
      <w:r>
        <w:rPr/>
        <w:t>月</w:t>
      </w:r>
      <w:r>
        <w:rPr/>
        <w:t>2</w:t>
      </w:r>
      <w:r>
        <w:rPr/>
        <w:t>日</w:t>
      </w:r>
      <w:r>
        <w:rPr/>
        <w:t>19:01</w:t>
      </w:r>
      <w:r>
        <w:rPr/>
        <w:t>签约：</w:t>
      </w:r>
      <w:r>
        <w:rPr/>
        <w:t>[</w:t>
      </w:r>
      <w:r>
        <w:rPr/>
        <w:t>公告</w:t>
      </w:r>
      <w:r>
        <w:rPr/>
        <w:t>](https://www1.hkexnews.hk/listedco/listconews/sehk/2026/0602/2026060202274.pdf)</w:t>
      </w:r>
      <w:r>
        <w:rPr/>
        <w:t>；</w:t>
      </w:r>
      <w:r>
        <w:rPr/>
        <w:t>7</w:t>
      </w:r>
      <w:r>
        <w:rPr/>
        <w:t>月</w:t>
      </w:r>
      <w:r>
        <w:rPr/>
        <w:t>7</w:t>
      </w:r>
      <w:r>
        <w:rPr/>
        <w:t>日</w:t>
      </w:r>
      <w:r>
        <w:rPr/>
        <w:t>17:28</w:t>
      </w:r>
      <w:r>
        <w:rPr/>
        <w:t>交割：</w:t>
      </w:r>
      <w:r>
        <w:rPr/>
        <w:t>[</w:t>
      </w:r>
      <w:r>
        <w:rPr/>
        <w:t>公告</w:t>
      </w:r>
      <w:r>
        <w:rPr/>
        <w:t>](https://www1.hkexnews.hk/listedco/listconews/sehk/2026/0707/2026070701012.pdf)</w:t>
      </w:r>
      <w:r>
        <w:rPr/>
        <w:t>。</w:t>
      </w:r>
    </w:p>
    <w:p>
      <w:pPr>
        <w:pStyle w:val="Normal"/>
        <w:rPr/>
      </w:pPr>
      <w:r>
        <w:rPr/>
        <w:t xml:space="preserve">- </w:t>
      </w:r>
      <w:r>
        <w:rPr/>
        <w:t>海森</w:t>
      </w:r>
      <w:r>
        <w:rPr/>
        <w:t>4</w:t>
      </w:r>
      <w:r>
        <w:rPr/>
        <w:t>月</w:t>
      </w:r>
      <w:r>
        <w:rPr/>
        <w:t>8</w:t>
      </w:r>
      <w:r>
        <w:rPr/>
        <w:t>日</w:t>
      </w:r>
      <w:r>
        <w:rPr/>
        <w:t>6:09</w:t>
      </w:r>
      <w:r>
        <w:rPr/>
        <w:t>收购：</w:t>
      </w:r>
      <w:r>
        <w:rPr/>
        <w:t>[</w:t>
      </w:r>
      <w:r>
        <w:rPr/>
        <w:t>公告</w:t>
      </w:r>
      <w:r>
        <w:rPr/>
        <w:t>](https://www1.hkexnews.hk/listedco/listconews/sehk/2026/0408/2026040800005.pdf)</w:t>
      </w:r>
      <w:r>
        <w:rPr/>
        <w:t>，</w:t>
      </w:r>
      <w:r>
        <w:rPr/>
        <w:t>6</w:t>
      </w:r>
      <w:r>
        <w:rPr/>
        <w:t>月</w:t>
      </w:r>
      <w:r>
        <w:rPr/>
        <w:t>2</w:t>
      </w:r>
      <w:r>
        <w:rPr/>
        <w:t>日</w:t>
      </w:r>
      <w:r>
        <w:rPr/>
        <w:t>21:35</w:t>
      </w:r>
      <w:r>
        <w:rPr/>
        <w:t>通函：</w:t>
      </w:r>
      <w:r>
        <w:rPr/>
        <w:t>[</w:t>
      </w:r>
      <w:r>
        <w:rPr/>
        <w:t>通函</w:t>
      </w:r>
      <w:r>
        <w:rPr/>
        <w:t>](https://www1.hkexnews.hk/listedco/listconews/sehk/2026/0602/2026060202670.pdf)</w:t>
      </w:r>
      <w:r>
        <w:rPr/>
        <w:t>。</w:t>
      </w:r>
    </w:p>
    <w:p>
      <w:pPr>
        <w:pStyle w:val="Normal"/>
        <w:rPr/>
      </w:pPr>
      <w:r>
        <w:rPr/>
        <w:t xml:space="preserve">- </w:t>
      </w:r>
      <w:r>
        <w:rPr/>
        <w:t>星必妥</w:t>
      </w:r>
      <w:r>
        <w:rPr/>
        <w:t>9</w:t>
      </w:r>
      <w:r>
        <w:rPr/>
        <w:t>月</w:t>
      </w:r>
      <w:r>
        <w:rPr/>
        <w:t>3</w:t>
      </w:r>
      <w:r>
        <w:rPr/>
        <w:t>日</w:t>
      </w:r>
      <w:r>
        <w:rPr/>
        <w:t>20:05</w:t>
      </w:r>
      <w:r>
        <w:rPr/>
        <w:t>批准：</w:t>
      </w:r>
      <w:r>
        <w:rPr/>
        <w:t>[</w:t>
      </w:r>
      <w:r>
        <w:rPr/>
        <w:t>公告</w:t>
      </w:r>
      <w:r>
        <w:rPr/>
        <w:t>](https://www1.hkexnews.hk/listedco/listconews/sehk/2026/0903/2026090302275.pdf)</w:t>
      </w:r>
      <w:r>
        <w:rPr/>
        <w:t>；</w:t>
      </w:r>
      <w:r>
        <w:rPr/>
        <w:t>3</w:t>
      </w:r>
      <w:r>
        <w:rPr/>
        <w:t>月</w:t>
      </w:r>
      <w:r>
        <w:rPr/>
        <w:t>23</w:t>
      </w:r>
      <w:r>
        <w:rPr/>
        <w:t>日资产购买及</w:t>
      </w:r>
      <w:r>
        <w:rPr/>
        <w:t>4</w:t>
      </w:r>
      <w:r>
        <w:rPr/>
        <w:t>月</w:t>
      </w:r>
      <w:r>
        <w:rPr/>
        <w:t>27</w:t>
      </w:r>
      <w:r>
        <w:rPr/>
        <w:t>日补充：</w:t>
      </w:r>
      <w:r>
        <w:rPr/>
        <w:t>[</w:t>
      </w:r>
      <w:r>
        <w:rPr/>
        <w:t>补充</w:t>
      </w:r>
      <w:r>
        <w:rPr/>
        <w:t>](https://www1.hkexnews.hk/listedco/listconews/sehk/2026/0427/2026042703106.pdf)</w:t>
      </w:r>
      <w:r>
        <w:rPr/>
        <w:t>。</w:t>
      </w:r>
    </w:p>
    <w:p>
      <w:pPr>
        <w:pStyle w:val="Normal"/>
        <w:rPr/>
      </w:pPr>
      <w:r>
        <w:rPr/>
        <w:t xml:space="preserve">- </w:t>
      </w:r>
      <w:r>
        <w:rPr/>
        <w:t>海南合瑞</w:t>
      </w:r>
      <w:r>
        <w:rPr/>
        <w:t>6</w:t>
      </w:r>
      <w:r>
        <w:rPr/>
        <w:t>月</w:t>
      </w:r>
      <w:r>
        <w:rPr/>
        <w:t>24</w:t>
      </w:r>
      <w:r>
        <w:rPr/>
        <w:t>日</w:t>
      </w:r>
      <w:r>
        <w:rPr/>
        <w:t>12:20</w:t>
      </w:r>
      <w:r>
        <w:rPr/>
        <w:t>合作：</w:t>
      </w:r>
      <w:r>
        <w:rPr/>
        <w:t>[</w:t>
      </w:r>
      <w:r>
        <w:rPr/>
        <w:t>公告</w:t>
      </w:r>
      <w:r>
        <w:rPr/>
        <w:t>](https://www1.hkexnews.hk/listedco/listconews/sehk/2026/0624/2026062400191.pdf)</w:t>
      </w:r>
      <w:r>
        <w:rPr/>
        <w:t>；</w:t>
      </w:r>
      <w:r>
        <w:rPr/>
        <w:t>DMX2006</w:t>
      </w:r>
      <w:r>
        <w:rPr/>
        <w:t>月</w:t>
      </w:r>
      <w:r>
        <w:rPr/>
        <w:t>16</w:t>
      </w:r>
      <w:r>
        <w:rPr/>
        <w:t>日</w:t>
      </w:r>
      <w:r>
        <w:rPr/>
        <w:t>6:55</w:t>
      </w:r>
      <w:r>
        <w:rPr/>
        <w:t>：</w:t>
      </w:r>
      <w:r>
        <w:rPr/>
        <w:t>[</w:t>
      </w:r>
      <w:r>
        <w:rPr/>
        <w:t>公告</w:t>
      </w:r>
      <w:r>
        <w:rPr/>
        <w:t>](https://www1.hkexnews.hk/listedco/listconews/sehk/2026/0616/2026061600111.pdf)</w:t>
      </w:r>
      <w:r>
        <w:rPr/>
        <w:t>。</w:t>
      </w:r>
    </w:p>
    <w:p>
      <w:pPr>
        <w:pStyle w:val="Normal"/>
        <w:rPr/>
      </w:pPr>
      <w:r>
        <w:rPr/>
        <w:t>- LNZ1006</w:t>
      </w:r>
      <w:r>
        <w:rPr/>
        <w:t>月</w:t>
      </w:r>
      <w:r>
        <w:rPr/>
        <w:t>8</w:t>
      </w:r>
      <w:r>
        <w:rPr/>
        <w:t>日</w:t>
      </w:r>
      <w:r>
        <w:rPr/>
        <w:t>6:55</w:t>
      </w:r>
      <w:r>
        <w:rPr/>
        <w:t>：</w:t>
      </w:r>
      <w:r>
        <w:rPr/>
        <w:t>[</w:t>
      </w:r>
      <w:r>
        <w:rPr/>
        <w:t>公告</w:t>
      </w:r>
      <w:r>
        <w:rPr/>
        <w:t>](https://www1.hkexnews.hk/listedco/listconews/sehk/2026/0608/2026060800005.pdf)</w:t>
      </w:r>
      <w:r>
        <w:rPr/>
        <w:t>；</w:t>
      </w:r>
      <w:r>
        <w:rPr/>
        <w:t>MT1013</w:t>
      </w:r>
      <w:r>
        <w:rPr/>
        <w:t>：</w:t>
      </w:r>
      <w:r>
        <w:rPr/>
        <w:t>[</w:t>
      </w:r>
      <w:r>
        <w:rPr/>
        <w:t>公告</w:t>
      </w:r>
      <w:r>
        <w:rPr/>
        <w:t>](https://www1.hkexnews.hk/listedco/listconews/sehk/2026/0205/2026020500163.pdf)</w:t>
      </w:r>
      <w:r>
        <w:rPr/>
        <w:t>。</w:t>
      </w:r>
    </w:p>
    <w:p>
      <w:pPr>
        <w:pStyle w:val="Normal"/>
        <w:rPr/>
      </w:pPr>
      <w:r>
        <w:rPr/>
        <w:t>- 2025-12-11</w:t>
      </w:r>
      <w:r>
        <w:rPr/>
        <w:t>商业化和乐瑞泊许可：</w:t>
      </w:r>
      <w:r>
        <w:rPr/>
        <w:t>[</w:t>
      </w:r>
      <w:r>
        <w:rPr/>
        <w:t>公告</w:t>
      </w:r>
      <w:r>
        <w:rPr/>
        <w:t>](https://www1.hkexnews.hk/listedco/listconews/sehk/2025/1211/2025121100590.pdf)</w:t>
      </w:r>
      <w:r>
        <w:rPr/>
        <w:t>，</w:t>
      </w:r>
      <w:r>
        <w:rPr/>
        <w:t>VIS1012025-10-30</w:t>
      </w:r>
      <w:r>
        <w:rPr/>
        <w:t>：</w:t>
      </w:r>
      <w:r>
        <w:rPr/>
        <w:t>[</w:t>
      </w:r>
      <w:r>
        <w:rPr/>
        <w:t>公告</w:t>
      </w:r>
      <w:r>
        <w:rPr/>
        <w:t>](https://www1.hkexnews.hk/listedco/listconews/sehk/2025/1030/2025103000062.pdf)</w:t>
      </w:r>
      <w:r>
        <w:rPr/>
        <w:t>。</w:t>
      </w:r>
    </w:p>
    <w:p>
      <w:pPr>
        <w:pStyle w:val="Normal"/>
        <w:rPr/>
      </w:pPr>
      <w:r>
        <w:rPr/>
        <w:t>- NefIgArd</w:t>
      </w:r>
      <w:r>
        <w:rPr/>
        <w:t>两年随机试验：</w:t>
      </w:r>
      <w:r>
        <w:rPr/>
        <w:t>[Lancet](https://doi.org/10.1016/s0140-6736(23)01554-4)</w:t>
      </w:r>
      <w:r>
        <w:rPr/>
        <w:t>，</w:t>
      </w:r>
      <w:r>
        <w:rPr/>
        <w:t>ENLIGHT</w:t>
      </w:r>
      <w:r>
        <w:rPr/>
        <w:t>：</w:t>
      </w:r>
      <w:r>
        <w:rPr/>
        <w:t>[</w:t>
      </w:r>
      <w:r>
        <w:rPr/>
        <w:t>论文</w:t>
      </w:r>
      <w:r>
        <w:rPr/>
        <w:t>](https://doi.org/10.1016/s2468-1253(25)00198-0)</w:t>
      </w:r>
      <w:r>
        <w:rPr/>
        <w:t>，</w:t>
      </w:r>
      <w:r>
        <w:rPr/>
        <w:t>ELEVATE</w:t>
      </w:r>
      <w:r>
        <w:rPr/>
        <w:t>：</w:t>
      </w:r>
      <w:r>
        <w:rPr/>
        <w:t>[Lancet](https://doi.org/10.1016/s0140-6736(23)00061-2)</w:t>
      </w:r>
      <w:r>
        <w:rPr/>
        <w:t>，</w:t>
      </w:r>
      <w:r>
        <w:rPr/>
        <w:t>RAPID</w:t>
      </w:r>
      <w:r>
        <w:rPr/>
        <w:t>：</w:t>
      </w:r>
      <w:r>
        <w:rPr/>
        <w:t>[Lancet](https://doi.org/10.1016/s0140-6736(23)00776-6)</w:t>
      </w:r>
      <w:r>
        <w:rPr/>
        <w:t>。</w:t>
      </w:r>
    </w:p>
    <w:p>
      <w:pPr>
        <w:pStyle w:val="Normal"/>
        <w:rPr/>
      </w:pPr>
      <w:r>
        <w:rPr/>
        <w:t xml:space="preserve">- </w:t>
      </w:r>
      <w:r>
        <w:rPr/>
        <w:t>摩根士丹利</w:t>
      </w:r>
      <w:r>
        <w:rPr/>
        <w:t>2026-05-29</w:t>
      </w:r>
      <w:r>
        <w:rPr/>
        <w:t>目标表：</w:t>
      </w:r>
      <w:r>
        <w:rPr/>
        <w:t>[</w:t>
      </w:r>
      <w:r>
        <w:rPr/>
        <w:t>新闻</w:t>
      </w:r>
      <w:r>
        <w:rPr/>
        <w:t>](https://www.aastocks.com/tc/stocks/analysis/stock-aafn-con/01952/AAFN/NOW.1526701/research-report)</w:t>
      </w:r>
      <w:r>
        <w:rPr/>
        <w:t>，花旗</w:t>
      </w:r>
      <w:r>
        <w:rPr/>
        <w:t>2025-09-02</w:t>
      </w:r>
      <w:r>
        <w:rPr/>
        <w:t>：</w:t>
      </w:r>
      <w:r>
        <w:rPr/>
        <w:t>[</w:t>
      </w:r>
      <w:r>
        <w:rPr/>
        <w:t>新闻</w:t>
      </w:r>
      <w:r>
        <w:rPr/>
        <w:t>](https://www.aastocks.com/tc/stocks/analysis/stock-aafn-con/01952/AAFN/NOW.1467450/research-report)</w:t>
      </w:r>
      <w:r>
        <w:rPr/>
        <w:t>。</w:t>
      </w:r>
    </w:p>
    <w:p>
      <w:pPr>
        <w:pStyle w:val="Normal"/>
        <w:rPr/>
      </w:pPr>
      <w:r>
        <w:rPr/>
        <w:t xml:space="preserve">- </w:t>
      </w:r>
      <w:r>
        <w:rPr/>
        <w:t>内部核验：</w:t>
      </w:r>
      <w:r>
        <w:rPr/>
        <w:t>data/everest_model.pending.json</w:t>
      </w:r>
      <w:r>
        <w:rPr/>
        <w:t>、</w:t>
      </w:r>
      <w:r>
        <w:rPr/>
        <w:t>data/I040_independent_qa.json</w:t>
      </w:r>
      <w:r>
        <w:rPr/>
        <w:t>、</w:t>
      </w:r>
      <w:r>
        <w:rPr/>
        <w:t>qa/everest_adapter_qa.json</w:t>
      </w:r>
      <w:r>
        <w:rPr/>
        <w:t>、</w:t>
      </w:r>
      <w:r>
        <w:rPr/>
        <w:t>data/everest_sensitivity.json</w:t>
      </w:r>
      <w:r>
        <w:rPr/>
        <w:t>；八张桥表原子及公式保存在</w:t>
      </w:r>
      <w:r>
        <w:rPr/>
        <w:t>tools/everest_workbook.mjs</w:t>
      </w:r>
      <w:r>
        <w:rPr/>
        <w:t>。</w:t>
      </w:r>
      <w:r>
        <w:br w:type="page"/>
      </w:r>
    </w:p>
    <w:p>
      <w:pPr>
        <w:pStyle w:val="Heading1"/>
        <w:rPr/>
      </w:pPr>
      <w:bookmarkStart w:id="4" w:name="__RefHeading___Toc26825_312338234"/>
      <w:bookmarkEnd w:id="4"/>
      <w:r>
        <w:rPr>
          <w:color w:val="000000"/>
        </w:rPr>
        <w:t xml:space="preserve">海尔智家 </w:t>
      </w:r>
      <w:r>
        <w:rPr>
          <w:color w:val="000000"/>
        </w:rPr>
        <w:t>06690 HK</w:t>
      </w:r>
    </w:p>
    <w:p>
      <w:pPr>
        <w:pStyle w:val="Normal"/>
        <w:rPr/>
      </w:pPr>
      <w:r>
        <w:rPr/>
        <w:t xml:space="preserve">06690.HK </w:t>
      </w:r>
      <w:r>
        <w:rPr/>
        <w:t xml:space="preserve">现价 </w:t>
      </w:r>
      <w:r>
        <w:rPr/>
        <w:t>20.42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29.16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+42.82%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+42.82%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32.66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+59.95%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+65.79%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38.39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+88.01%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+108.02%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42.92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+110.18%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+147.84%</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15.21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-25.52%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23.58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+15.45%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22.84HKD</w:t>
      </w:r>
      <w:r>
        <w:rPr/>
        <w:t>，期望股价回报</w:t>
      </w:r>
      <w:r>
        <w:rPr/>
        <w:t>+11.85%</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11.39</w:t>
              <w:br/>
              <w:t>-44.23%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29.16</w:t>
              <w:br/>
              <w:t>+42.82%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43.91</w:t>
              <w:br/>
              <w:t>+115.03%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10.96</w:t>
              <w:br/>
              <w:t>-46.33%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32.66</w:t>
              <w:br/>
              <w:t>+59.95%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51.00</w:t>
              <w:br/>
              <w:t>+149.75%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8.71</w:t>
              <w:br/>
              <w:t>-57.35%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38.39</w:t>
              <w:br/>
              <w:t>+88.01%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68.58</w:t>
              <w:br/>
              <w:t>+235.82%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+27.65%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6.72</w:t>
              <w:br/>
              <w:t>-67.10%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42.92</w:t>
              <w:br/>
              <w:t>+110.18%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88.63</w:t>
              <w:br/>
              <w:t>+334.03%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+19.90%</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中（当前价双源高、财报高、复权价形中；正常盈利</w:t>
            </w:r>
            <w:r>
              <w:rPr>
                <w:rFonts w:eastAsia="微软雅黑" w:ascii="微软雅黑" w:hAnsi="微软雅黑"/>
                <w:sz w:val="17"/>
              </w:rPr>
              <w:t>/</w:t>
            </w:r>
            <w:r>
              <w:rPr>
                <w:rFonts w:ascii="微软雅黑" w:hAnsi="微软雅黑" w:eastAsia="微软雅黑"/>
                <w:sz w:val="17"/>
              </w:rPr>
              <w:t>现金</w:t>
            </w:r>
            <w:r>
              <w:rPr>
                <w:rFonts w:eastAsia="微软雅黑" w:ascii="微软雅黑" w:hAnsi="微软雅黑"/>
                <w:sz w:val="17"/>
              </w:rPr>
              <w:t>/</w:t>
            </w:r>
            <w:r>
              <w:rPr>
                <w:rFonts w:ascii="微软雅黑" w:hAnsi="微软雅黑" w:eastAsia="微软雅黑"/>
                <w:sz w:val="17"/>
              </w:rPr>
              <w:t>远期</w:t>
            </w:r>
            <w:r>
              <w:rPr>
                <w:rFonts w:eastAsia="微软雅黑" w:ascii="微软雅黑" w:hAnsi="微软雅黑"/>
                <w:sz w:val="17"/>
              </w:rPr>
              <w:t>PE</w:t>
            </w:r>
            <w:r>
              <w:rPr>
                <w:rFonts w:ascii="微软雅黑" w:hAnsi="微软雅黑" w:eastAsia="微软雅黑"/>
                <w:sz w:val="17"/>
              </w:rPr>
              <w:t>中低）</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+35.67%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+42.82%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+49.96%</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+57.50%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+65.79%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+74.08%</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+97.62%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+108.02%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+118.42%</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+135.45%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+147.84%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+160.24%</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研究截止：</w:t>
      </w:r>
      <w:r>
        <w:rPr/>
        <w:t>2026</w:t>
      </w:r>
      <w:r>
        <w:rPr/>
        <w:t>年</w:t>
      </w:r>
      <w:r>
        <w:rPr/>
        <w:t>10</w:t>
      </w:r>
      <w:r>
        <w:rPr/>
        <w:t>月</w:t>
      </w:r>
      <w:r>
        <w:rPr/>
        <w:t>9</w:t>
      </w:r>
      <w:r>
        <w:rPr/>
        <w:t>日。发行人</w:t>
      </w:r>
      <w:r>
        <w:rPr/>
        <w:t>I068</w:t>
      </w:r>
      <w:r>
        <w:rPr/>
        <w:t>，证券</w:t>
      </w:r>
      <w:r>
        <w:rPr/>
        <w:t>S078</w:t>
      </w:r>
      <w:r>
        <w:rPr/>
        <w:t>，优先代码</w:t>
      </w:r>
      <w:r>
        <w:rPr/>
        <w:t>06690.HK</w:t>
      </w:r>
      <w:r>
        <w:rPr/>
        <w:t>；价格</w:t>
      </w:r>
      <w:r>
        <w:rPr/>
        <w:t>20.42</w:t>
      </w:r>
      <w:r>
        <w:rPr/>
        <w:t>港元。模型版本</w:t>
      </w:r>
      <w:r>
        <w:rPr/>
        <w:t>haier-smart-regional-economic-profit-cash-v1.1</w:t>
      </w:r>
      <w:r>
        <w:rPr/>
        <w:t>，行情</w:t>
      </w:r>
      <w:r>
        <w:rPr/>
        <w:t>market-v1.6</w:t>
      </w:r>
      <w:r>
        <w:rPr/>
        <w:t>。人民币财务统一亿元或十亿元明示，价格及股息用港元。研究初版，四榜总名次由全名单统一排序。</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232"/>
        <w:gridCol w:w="1232"/>
        <w:gridCol w:w="1232"/>
        <w:gridCol w:w="1232"/>
        <w:gridCol w:w="1232"/>
        <w:gridCol w:w="1232"/>
        <w:gridCol w:w="1232"/>
        <w:gridCol w:w="1232"/>
      </w:tblGrid>
      <w:tr>
        <w:trPr>
          <w:tblHeader w:val="true"/>
          <w:cantSplit/>
        </w:trPr>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建议梯队</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基准股价涨幅</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有条件观察</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11.3885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29.1628</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43.9095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42.82%</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42.82%</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71.1</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积极候选</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10.9593</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32.6627</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50.9984</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59.95%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65.79%</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较优长期候选</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8.7089</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38.3923</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68.5753</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88.01%</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108.02%</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76.2</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较优长期候选</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6.7191</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42.9196</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88.6289</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110.18%</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147.84%</w:t>
            </w:r>
          </w:p>
        </w:tc>
      </w:tr>
    </w:tbl>
    <w:p>
      <w:pPr>
        <w:pStyle w:val="Normal"/>
        <w:rPr/>
      </w:pPr>
      <w:r>
        <w:rPr/>
      </w:r>
    </w:p>
    <w:p>
      <w:pPr>
        <w:pStyle w:val="Normal"/>
        <w:rPr/>
      </w:pPr>
      <w:r>
        <w:rPr/>
        <w:t>一年名义日期</w:t>
      </w:r>
      <w:r>
        <w:rPr/>
        <w:t>10</w:t>
      </w:r>
      <w:r>
        <w:rPr/>
        <w:t>月</w:t>
      </w:r>
      <w:r>
        <w:rPr/>
        <w:t>9</w:t>
      </w:r>
      <w:r>
        <w:rPr/>
        <w:t>日休市，</w:t>
      </w:r>
      <w:r>
        <w:rPr/>
        <w:t>10</w:t>
      </w:r>
      <w:r>
        <w:rPr/>
        <w:t>月</w:t>
      </w:r>
      <w:r>
        <w:rPr/>
        <w:t>8</w:t>
      </w:r>
      <w:r>
        <w:rPr/>
        <w:t>日重阳节，实际基准为</w:t>
      </w:r>
      <w:r>
        <w:rPr/>
        <w:t>10</w:t>
      </w:r>
      <w:r>
        <w:rPr/>
        <w:t>月</w:t>
      </w:r>
      <w:r>
        <w:rPr/>
        <w:t>7</w:t>
      </w:r>
      <w:r>
        <w:rPr/>
        <w:t>日；远期休市表尚未公布，三年和五年日期需未来按此前最后交易日规则核定。基准三年、五年含息年化</w:t>
      </w:r>
      <w:r>
        <w:rPr/>
        <w:t>27.65%</w:t>
      </w:r>
      <w:r>
        <w:rPr/>
        <w:t>、</w:t>
      </w:r>
      <w:r>
        <w:rPr/>
        <w:t>19.90%</w:t>
      </w:r>
      <w:r>
        <w:rPr/>
        <w:t>。上述梯队是本章建议类别，全榜相差不足</w:t>
      </w:r>
      <w:r>
        <w:rPr/>
        <w:t>3</w:t>
      </w:r>
      <w:r>
        <w:rPr/>
        <w:t>分的分组由总表统一决定。</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价格港元</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研究权重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15.2085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-25.52%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23.5751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15.45%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28.9965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年底加权期望价</w:t>
      </w:r>
      <w:r>
        <w:rPr/>
        <w:t>22.8388</w:t>
      </w:r>
      <w:r>
        <w:rPr/>
        <w:t>港元、期望回报</w:t>
      </w:r>
      <w:r>
        <w:rPr/>
        <w:t>11.85%</w:t>
      </w:r>
      <w:r>
        <w:rPr/>
        <w:t>；防守权重</w:t>
      </w:r>
      <w:r>
        <w:rPr/>
        <w:t>40/50/10</w:t>
      </w:r>
      <w:r>
        <w:rPr/>
        <w:t>的期望</w:t>
      </w:r>
      <w:r>
        <w:rPr/>
        <w:t>20.7706</w:t>
      </w:r>
      <w:r>
        <w:rPr/>
        <w:t>港元，积极权重</w:t>
      </w:r>
      <w:r>
        <w:rPr/>
        <w:t>10/50/40</w:t>
      </w:r>
      <w:r>
        <w:rPr/>
        <w:t>的期望</w:t>
      </w:r>
      <w:r>
        <w:rPr/>
        <w:t>24.9070</w:t>
      </w:r>
      <w:r>
        <w:rPr/>
        <w:t>港元。期限场景不是统计置信区间，也不是最大亏损边界。</w:t>
      </w:r>
    </w:p>
    <w:p>
      <w:pPr>
        <w:pStyle w:val="Heading2"/>
        <w:rPr/>
      </w:pPr>
      <w:r>
        <w:rPr>
          <w:color w:val="000000"/>
        </w:rPr>
        <w:t>投资结论</w:t>
      </w:r>
    </w:p>
    <w:p>
      <w:pPr>
        <w:pStyle w:val="Normal"/>
        <w:rPr/>
      </w:pPr>
      <w:r>
        <w:rPr/>
        <w:t>海尔智家最值得考虑的时间范围是三年至五年，其吸引力来自全球品牌、渠道、研发制造和售后网络能否把较低的起点估值转化成稳定的正常盈利与现金派息。半年虽有估值修复空间，但当前价格仍在六十日均线与二百五十日均线下方，国内家电补贴产生的需求前置、美国住房与耐用品消费低迷尚未解除。进取型标准并不意味着将所有可能性作成功假设。本章把未来利润的改善、股份回购与分红逐项列出，同时让悲观路径包含成熟市场收缩、营销费用增加、毛利率下降和少数股东收益流出。利润增长与估值修复若缺一项，基准空间便不能直接兑现。</w:t>
      </w:r>
    </w:p>
    <w:p>
      <w:pPr>
        <w:pStyle w:val="Normal"/>
        <w:rPr/>
      </w:pPr>
      <w:r>
        <w:rPr/>
        <w:t>决定推荐是否成立的首要证据是终端需求和正常利润，而不是公司的品牌荣誉或智能产品发布。</w:t>
      </w:r>
      <w:r>
        <w:rPr/>
        <w:t>2026</w:t>
      </w:r>
      <w:r>
        <w:rPr/>
        <w:t>年上半年收入</w:t>
      </w:r>
      <w:r>
        <w:rPr/>
        <w:t>1521.09</w:t>
      </w:r>
      <w:r>
        <w:rPr/>
        <w:t>亿元、归母利润</w:t>
      </w:r>
      <w:r>
        <w:rPr/>
        <w:t>103.16</w:t>
      </w:r>
      <w:r>
        <w:rPr/>
        <w:t>亿元，相比分别下降约</w:t>
      </w:r>
      <w:r>
        <w:rPr/>
        <w:t>2.8%</w:t>
      </w:r>
      <w:r>
        <w:rPr/>
        <w:t>与</w:t>
      </w:r>
      <w:r>
        <w:rPr/>
        <w:t>14.3%</w:t>
      </w:r>
      <w:r>
        <w:rPr/>
        <w:t>。虽然海外新兴地区、暖通业务和部分产品份额较强，盈利下滑仍是实际发生的事实。投资者需要确认销量、平均售价、费用率与回款共同改善。若只有行业低基数造成收入同比转正，渠道库存继续累积且经营现金弱于利润，不能视为经营拐点。短期推荐也要求价格越过观察阻力后保持成交量和相对强弱，避免把一两天反弹解释为完整上升趋势。</w:t>
      </w:r>
    </w:p>
    <w:p>
      <w:pPr>
        <w:pStyle w:val="Normal"/>
        <w:rPr/>
      </w:pPr>
      <w:r>
        <w:rPr/>
        <w:t>基准模型在</w:t>
      </w:r>
      <w:r>
        <w:rPr/>
        <w:t>2026</w:t>
      </w:r>
      <w:r>
        <w:rPr/>
        <w:t>年取得约</w:t>
      </w:r>
      <w:r>
        <w:rPr/>
        <w:t>198.38</w:t>
      </w:r>
      <w:r>
        <w:rPr/>
        <w:t>亿元正常归母利润，</w:t>
      </w:r>
      <w:r>
        <w:rPr/>
        <w:t>2027</w:t>
      </w:r>
      <w:r>
        <w:rPr/>
        <w:t>年</w:t>
      </w:r>
      <w:r>
        <w:rPr/>
        <w:t>223.48</w:t>
      </w:r>
      <w:r>
        <w:rPr/>
        <w:t>亿元，</w:t>
      </w:r>
      <w:r>
        <w:rPr/>
        <w:t>2028</w:t>
      </w:r>
      <w:r>
        <w:rPr/>
        <w:t>年</w:t>
      </w:r>
      <w:r>
        <w:rPr/>
        <w:t>254.83</w:t>
      </w:r>
      <w:r>
        <w:rPr/>
        <w:t>亿元。它不是对已披露利润的简单年化，而是七个地区收入、毛利率、销售费、残余行政费、完整研发、财资、融资、联营、税和少数股东逐层计算。</w:t>
      </w:r>
      <w:r>
        <w:rPr/>
        <w:t>2027</w:t>
      </w:r>
      <w:r>
        <w:rPr/>
        <w:t>年基准收入</w:t>
      </w:r>
      <w:r>
        <w:rPr/>
        <w:t>3175</w:t>
      </w:r>
      <w:r>
        <w:rPr/>
        <w:t>亿元较</w:t>
      </w:r>
      <w:r>
        <w:rPr/>
        <w:t>2026</w:t>
      </w:r>
      <w:r>
        <w:rPr/>
        <w:t>年增长约</w:t>
      </w:r>
      <w:r>
        <w:rPr/>
        <w:t>5%</w:t>
      </w:r>
      <w:r>
        <w:rPr/>
        <w:t>，利润率比上半年报表更高，需要全球生产采购效率与费用结构改善。以当前价为起点，基准半年价</w:t>
      </w:r>
      <w:r>
        <w:rPr/>
        <w:t>29.18</w:t>
      </w:r>
      <w:r>
        <w:rPr/>
        <w:t>港元仍显著超过里昂近期</w:t>
      </w:r>
      <w:r>
        <w:rPr/>
        <w:t>26</w:t>
      </w:r>
      <w:r>
        <w:rPr/>
        <w:t>港元目标；本研究没有把这种差异当作投行认可，必须承认自己的恢复假设较积极。</w:t>
      </w:r>
    </w:p>
    <w:p>
      <w:pPr>
        <w:pStyle w:val="Normal"/>
        <w:rPr/>
      </w:pPr>
      <w:r>
        <w:rPr/>
        <w:t>悲观路径虽保留正盈利，却把</w:t>
      </w:r>
      <w:r>
        <w:rPr/>
        <w:t>2027</w:t>
      </w:r>
      <w:r>
        <w:rPr/>
        <w:t>年归母利润压至约</w:t>
      </w:r>
      <w:r>
        <w:rPr/>
        <w:t>129.71</w:t>
      </w:r>
      <w:r>
        <w:rPr/>
        <w:t>亿元，后期逐步下降。成熟家电可以在需求弱、价格竞争激烈的环境中维持收入，却以牺牲利润率为代价，因此低市盈率不是自动安全。五年悲观价</w:t>
      </w:r>
      <w:r>
        <w:rPr/>
        <w:t>6.72</w:t>
      </w:r>
      <w:r>
        <w:rPr/>
        <w:t>港元加累计新息后仍亏约</w:t>
      </w:r>
      <w:r>
        <w:rPr/>
        <w:t>54.41%</w:t>
      </w:r>
      <w:r>
        <w:rPr/>
        <w:t>，这一结果说明低估值股票也可能遭遇长期盈利折损。该路径现金仍为正是因分红、回购与资本开支比较保守，以及期初资金较足；它并不能排除更严重的信用、法律或资产减值风险。只有把这些失败条件放在目标价旁边，上涨空间才具有可评估意义。</w:t>
      </w:r>
    </w:p>
    <w:p>
      <w:pPr>
        <w:pStyle w:val="Heading2"/>
        <w:rPr/>
      </w:pPr>
      <w:r>
        <w:rPr>
          <w:color w:val="000000"/>
        </w:rPr>
        <w:t>业务与竞争优势</w:t>
      </w:r>
    </w:p>
    <w:p>
      <w:pPr>
        <w:pStyle w:val="Normal"/>
        <w:rPr/>
      </w:pPr>
      <w:r>
        <w:rPr/>
        <w:t>海尔智家并非只依靠中国工厂出口贴牌家电。公司拥有海尔、卡萨帝、统帅、</w:t>
      </w:r>
      <w:r>
        <w:rPr/>
        <w:t>GE Appliances</w:t>
      </w:r>
      <w:r>
        <w:rPr/>
        <w:t>、</w:t>
      </w:r>
      <w:r>
        <w:rPr/>
        <w:t>Candy</w:t>
      </w:r>
      <w:r>
        <w:rPr/>
        <w:t>、</w:t>
      </w:r>
      <w:r>
        <w:rPr/>
        <w:t>Fisher &amp; Paykel</w:t>
      </w:r>
      <w:r>
        <w:rPr/>
        <w:t>、</w:t>
      </w:r>
      <w:r>
        <w:rPr/>
        <w:t>AQUA</w:t>
      </w:r>
      <w:r>
        <w:rPr/>
        <w:t>等品牌，在主要市场保有本土研发、制造、渠道和服务体系。品牌组合覆盖高端、主流与差异化需求，能够把技术与零部件平台共享，同时保留各国消费者的设计、空间与使用习惯。美国的大容量冰箱、欧洲的嵌入式设计与亚洲对小空间的要求不同，统一产品不能直接销往所有地区。本土执行加全球平台的价值，在于缩短需求反馈与供应链响应之间的距离；但多个品牌也会增加组织、营销和库存复杂性，规模不能自动等于效率。</w:t>
      </w:r>
    </w:p>
    <w:p>
      <w:pPr>
        <w:pStyle w:val="Normal"/>
        <w:rPr/>
      </w:pPr>
      <w:r>
        <w:rPr/>
        <w:t>2026</w:t>
      </w:r>
      <w:r>
        <w:rPr/>
        <w:t>中报改为智慧家庭家电、智慧暖通解决方案和其他业务三个分部。前者涵盖制冷、厨房和洗护，暖通覆盖空调、智慧楼宇及水解决方案，其他包括小家电、机器人、智慧场景、物流、回收、商用制冷等。三分部外部收入分别</w:t>
      </w:r>
      <w:r>
        <w:rPr/>
        <w:t>893.56</w:t>
      </w:r>
      <w:r>
        <w:rPr/>
        <w:t>亿元、</w:t>
      </w:r>
      <w:r>
        <w:rPr/>
        <w:t>450.28</w:t>
      </w:r>
      <w:r>
        <w:rPr/>
        <w:t>亿元、</w:t>
      </w:r>
      <w:r>
        <w:rPr/>
        <w:t>177.25</w:t>
      </w:r>
      <w:r>
        <w:rPr/>
        <w:t>亿元，分部结果</w:t>
      </w:r>
      <w:r>
        <w:rPr/>
        <w:t>81.81</w:t>
      </w:r>
      <w:r>
        <w:rPr/>
        <w:t>亿元、</w:t>
      </w:r>
      <w:r>
        <w:rPr/>
        <w:t>45.67</w:t>
      </w:r>
      <w:r>
        <w:rPr/>
        <w:t>亿元、负</w:t>
      </w:r>
      <w:r>
        <w:rPr/>
        <w:t>1.80</w:t>
      </w:r>
      <w:r>
        <w:rPr/>
        <w:t>亿元。内部收入</w:t>
      </w:r>
      <w:r>
        <w:rPr/>
        <w:t>252.43</w:t>
      </w:r>
      <w:r>
        <w:rPr/>
        <w:t>亿元必须在合并时抵销，不能加到</w:t>
      </w:r>
      <w:r>
        <w:rPr/>
        <w:t>1521.09</w:t>
      </w:r>
      <w:r>
        <w:rPr/>
        <w:t>亿元外部收入上。其他业务仍亏损，机器人或</w:t>
      </w:r>
      <w:r>
        <w:rPr/>
        <w:t>AI</w:t>
      </w:r>
      <w:r>
        <w:rPr/>
        <w:t>不能在本集团利润估值以外再附加未经证实的独立价值，避免同一收入来源重复估值。</w:t>
      </w:r>
    </w:p>
    <w:p>
      <w:pPr>
        <w:pStyle w:val="Normal"/>
        <w:rPr/>
      </w:pPr>
      <w:r>
        <w:rPr/>
        <w:t>智慧家庭家电外部收入从去年同期</w:t>
      </w:r>
      <w:r>
        <w:rPr/>
        <w:t>953.02</w:t>
      </w:r>
      <w:r>
        <w:rPr/>
        <w:t>亿元降至</w:t>
      </w:r>
      <w:r>
        <w:rPr/>
        <w:t>893.56</w:t>
      </w:r>
      <w:r>
        <w:rPr/>
        <w:t>亿元，而暖通从</w:t>
      </w:r>
      <w:r>
        <w:rPr/>
        <w:t>425.47</w:t>
      </w:r>
      <w:r>
        <w:rPr/>
        <w:t>亿元升至</w:t>
      </w:r>
      <w:r>
        <w:rPr/>
        <w:t>450.28</w:t>
      </w:r>
      <w:r>
        <w:rPr/>
        <w:t>亿元。二者差异支持将暖通视为增长来源，却不能把暖通的分部率无限延伸。分部结果含管理层口径的成本与费用分配，与合并核心营业利润并非完全一致；本章使用收入与完整费用桥，而不把三个分部结果机械倍增。重组可以减少品类孤岛、提升零件通用率和渠道协同，但也可能产生过渡成本和职责混乱。未来两个报告期应观察分部增长能否覆盖统一平台投入，以及组织调整后产品和服务指标是否持续改善。</w:t>
      </w:r>
    </w:p>
    <w:p>
      <w:pPr>
        <w:pStyle w:val="Normal"/>
        <w:rPr/>
      </w:pPr>
      <w:r>
        <w:rPr/>
        <w:t>制冷业务的国内优势较突出。公司中报援引奥维云网称，</w:t>
      </w:r>
      <w:r>
        <w:rPr/>
        <w:t>2026</w:t>
      </w:r>
      <w:r>
        <w:rPr/>
        <w:t>上半年国内线上、线下冰箱零售额份额分别</w:t>
      </w:r>
      <w:r>
        <w:rPr/>
        <w:t>41.9%</w:t>
      </w:r>
      <w:r>
        <w:rPr/>
        <w:t>与</w:t>
      </w:r>
      <w:r>
        <w:rPr/>
        <w:t>42.2%</w:t>
      </w:r>
      <w:r>
        <w:rPr/>
        <w:t>，同比提升</w:t>
      </w:r>
      <w:r>
        <w:rPr/>
        <w:t>3.7</w:t>
      </w:r>
      <w:r>
        <w:rPr/>
        <w:t>和</w:t>
      </w:r>
      <w:r>
        <w:rPr/>
        <w:t>2.1</w:t>
      </w:r>
      <w:r>
        <w:rPr/>
        <w:t>个百分点。这是公司引用的第三方统计，并非本研究独立重做零售样本；仍应按原统计的渠道、零售额、产品范围理解。份额提升意味着产品与渠道相对竞争力，也可能来自竞争对手更弱或促销力度更大。投资价值要由毛利、费用和现金验证。卡萨帝高端套系、海尔主流价格带与统帅年轻家庭组合可以共享零部件，却不宜把高端价格定位与全品牌毛利率混为一谈。</w:t>
      </w:r>
    </w:p>
    <w:p>
      <w:pPr>
        <w:pStyle w:val="Normal"/>
        <w:rPr/>
      </w:pPr>
      <w:r>
        <w:rPr/>
        <w:t>冰箱行业已由单纯容量参数竞争转向保鲜、空间与嵌入式体验。薄机身、零距离开门、自动制冰、多温区和食品识别能解决实际痛点，愿意支付溢价的用户可形成产品组合收益。但智能识别准确性、维护成本及长期软件支持同样重要。公司新品获奖和某系列累计零售量只是产品验证的一部分，不能说明所有设备都能以高价售出。竞争者可以跟进硬件规格，海尔需要以设计、供应链质量、安装与服务把差异保持住。若新品显著提高物料成本但消费者只愿购买促销旧款，技术投入会压利润而非提高估值。</w:t>
      </w:r>
    </w:p>
    <w:p>
      <w:pPr>
        <w:pStyle w:val="Normal"/>
        <w:rPr/>
      </w:pPr>
      <w:r>
        <w:rPr/>
        <w:t>洗护业务在中国仍具较强地位。中报援引</w:t>
      </w:r>
      <w:r>
        <w:rPr/>
        <w:t>GfK CMM</w:t>
      </w:r>
      <w:r>
        <w:rPr/>
        <w:t>，线上洗衣机零售份额</w:t>
      </w:r>
      <w:r>
        <w:rPr/>
        <w:t>41.6%</w:t>
      </w:r>
      <w:r>
        <w:rPr/>
        <w:t>、线下</w:t>
      </w:r>
      <w:r>
        <w:rPr/>
        <w:t>48.8%</w:t>
      </w:r>
      <w:r>
        <w:rPr/>
        <w:t>，同比提升</w:t>
      </w:r>
      <w:r>
        <w:rPr/>
        <w:t>2.8</w:t>
      </w:r>
      <w:r>
        <w:rPr/>
        <w:t>、</w:t>
      </w:r>
      <w:r>
        <w:rPr/>
        <w:t>2.4</w:t>
      </w:r>
      <w:r>
        <w:rPr/>
        <w:t>个百分点；新兴市场洗衣机收入增长超过一成。分区洗、多筒、热泵洗烘和大容量薄机身满足婴童护理、卫生分离及空间效率需求，是成熟品类可以增长的细分方向。不过多筒复杂机械、售后故障和能耗也会影响净价值。小细分高增长不应直接推算整体洗护市场高增长。统帅某系列增长接近四成与卡萨帝高价产品优势可以共存，研究应检查品牌间是否抢占同一用户和经销商资源。</w:t>
      </w:r>
    </w:p>
    <w:p>
      <w:pPr>
        <w:pStyle w:val="Normal"/>
        <w:rPr/>
      </w:pPr>
      <w:r>
        <w:rPr/>
        <w:t>卡萨帝的壁垒来自长期品牌、产品定义、渠道展示、上门服务和高端用户关系的组合。中报称，在万元以上冰箱及洗衣机分别有</w:t>
      </w:r>
      <w:r>
        <w:rPr/>
        <w:t>52%</w:t>
      </w:r>
      <w:r>
        <w:rPr/>
        <w:t>与</w:t>
      </w:r>
      <w:r>
        <w:rPr/>
        <w:t>74%</w:t>
      </w:r>
      <w:r>
        <w:rPr/>
        <w:t>的零售额份额；另有一万五千元以上口径的更高份额。门槛不同的统计不能混用，品牌价值评估</w:t>
      </w:r>
      <w:r>
        <w:rPr/>
        <w:t>1078.53</w:t>
      </w:r>
      <w:r>
        <w:rPr/>
        <w:t>亿元也不是可直接加到上市股权的资产。高端业务更能抵挡纯参数比价，却仍受住房装修、收入与财富预期影响。富瑞近期特别提醒补贴后的价格环境和消费者转向低价可能延长卡萨帝调整。这一反证应认真对待：品牌越高端，需求恢复可能越依赖居民愿意承担较大的一次性支出。</w:t>
      </w:r>
    </w:p>
    <w:p>
      <w:pPr>
        <w:pStyle w:val="Normal"/>
        <w:rPr/>
      </w:pPr>
      <w:r>
        <w:rPr/>
        <w:t>全球品牌网络不只是出售产品，还包括物流配送、安装维修和零部件供给。白电体积大、售后寿命长，稳定服务能减少消费者尝试陌生品牌的顾虑，渠道也更愿意为按时交货与退换服务保留货架。</w:t>
      </w:r>
      <w:r>
        <w:rPr/>
        <w:t>GEA</w:t>
      </w:r>
      <w:r>
        <w:rPr/>
        <w:t>与美国建筑商、独立经销商关系及自有服务网络属于这种能力。它们的维护费用必须被完整扣除，不能只列为优势而忽略利润消耗。美国家电零售商减少展示空间的投行判断说明渠道并非永久不变；即使海尔份额提升，零售渠道总体收缩仍可能压制收入与采购谈判条件。</w:t>
      </w:r>
    </w:p>
    <w:p>
      <w:pPr>
        <w:pStyle w:val="Normal"/>
        <w:rPr/>
      </w:pPr>
      <w:r>
        <w:rPr/>
        <w:t>与名单中的美的比较，海尔更直接暴露于高端白电与全球自有品牌，美的有更广的工业技术及其他业务组合。两者都能受惠海外市场，却不能用同一个增长率与估值倍数覆盖。摩根大通在六月公开转述中偏好美的高于海尔，指出海尔美国以外海外经营相对健康并预期</w:t>
      </w:r>
      <w:r>
        <w:rPr/>
        <w:t>2026</w:t>
      </w:r>
      <w:r>
        <w:rPr/>
        <w:t>至</w:t>
      </w:r>
      <w:r>
        <w:rPr/>
        <w:t>2028</w:t>
      </w:r>
      <w:r>
        <w:rPr/>
        <w:t>利润复合增长约</w:t>
      </w:r>
      <w:r>
        <w:rPr/>
        <w:t>8%</w:t>
      </w:r>
      <w:r>
        <w:rPr/>
        <w:t>。本研究基准</w:t>
      </w:r>
      <w:r>
        <w:rPr/>
        <w:t>2026</w:t>
      </w:r>
      <w:r>
        <w:rPr/>
        <w:t>至</w:t>
      </w:r>
      <w:r>
        <w:rPr/>
        <w:t>2028</w:t>
      </w:r>
      <w:r>
        <w:rPr/>
        <w:t>正常归母增长约</w:t>
      </w:r>
      <w:r>
        <w:rPr/>
        <w:t>13.3%</w:t>
      </w:r>
      <w:r>
        <w:rPr/>
        <w:t>，高于该旧意见，需要额外费用率改善；不应借用大行的品牌排序替自己的高增长背书。作为进取组合，海尔可以提供相对成熟的利润和分红来源，但其未来收益仍与经营修复紧密相关。</w:t>
      </w:r>
    </w:p>
    <w:p>
      <w:pPr>
        <w:pStyle w:val="Heading2"/>
        <w:rPr/>
      </w:pPr>
      <w:r>
        <w:rPr>
          <w:color w:val="000000"/>
        </w:rPr>
        <w:t>行业周期与各地区经济传导</w:t>
      </w:r>
    </w:p>
    <w:p>
      <w:pPr>
        <w:pStyle w:val="Normal"/>
        <w:rPr/>
      </w:pPr>
      <w:r>
        <w:rPr/>
        <w:t>中国白电高保有量意味着长期增长主要来自更换、升级与家庭结构变化，而不是每个家庭第一次购买。补贴能缩短更换周期并提高高能效产品占比，也会提前透支随后购买意愿。中报援引奥维数据，</w:t>
      </w:r>
      <w:r>
        <w:rPr/>
        <w:t>2026</w:t>
      </w:r>
      <w:r>
        <w:rPr/>
        <w:t>上半年不含</w:t>
      </w:r>
      <w:r>
        <w:rPr/>
        <w:t>3C</w:t>
      </w:r>
      <w:r>
        <w:rPr/>
        <w:t>的家电零售额</w:t>
      </w:r>
      <w:r>
        <w:rPr/>
        <w:t>4250</w:t>
      </w:r>
      <w:r>
        <w:rPr/>
        <w:t>亿元，同比下降</w:t>
      </w:r>
      <w:r>
        <w:rPr/>
        <w:t>9.9%</w:t>
      </w:r>
      <w:r>
        <w:rPr/>
        <w:t>，第二季降幅</w:t>
      </w:r>
      <w:r>
        <w:rPr/>
        <w:t>12.4%</w:t>
      </w:r>
      <w:r>
        <w:rPr/>
        <w:t>比第一季</w:t>
      </w:r>
      <w:r>
        <w:rPr/>
        <w:t>6.0%</w:t>
      </w:r>
      <w:r>
        <w:rPr/>
        <w:t>更大。该数据不能证明十月同样下滑，但说明截至中报需求承压的基础。年底低基数可令同比改善，研究仍要检查与补贴前正常需求的比较，以及价格、促销费用、渠道库存的变化。</w:t>
      </w:r>
    </w:p>
    <w:p>
      <w:pPr>
        <w:pStyle w:val="Normal"/>
        <w:rPr/>
      </w:pPr>
      <w:r>
        <w:rPr/>
        <w:t>冰箱、洗护、空调、厨房和水产品周期并不相同。</w:t>
      </w:r>
      <w:r>
        <w:rPr/>
        <w:t>2026</w:t>
      </w:r>
      <w:r>
        <w:rPr/>
        <w:t>上半年行业冰箱零售额下降</w:t>
      </w:r>
      <w:r>
        <w:rPr/>
        <w:t>7.2%</w:t>
      </w:r>
      <w:r>
        <w:rPr/>
        <w:t>，洗护下降</w:t>
      </w:r>
      <w:r>
        <w:rPr/>
        <w:t>7.6%</w:t>
      </w:r>
      <w:r>
        <w:rPr/>
        <w:t>，干衣机下降</w:t>
      </w:r>
      <w:r>
        <w:rPr/>
        <w:t>19.3%</w:t>
      </w:r>
      <w:r>
        <w:rPr/>
        <w:t>；家用空调零售量下降</w:t>
      </w:r>
      <w:r>
        <w:rPr/>
        <w:t>13.1%</w:t>
      </w:r>
      <w:r>
        <w:rPr/>
        <w:t>、零售额下降</w:t>
      </w:r>
      <w:r>
        <w:rPr/>
        <w:t>15.9%</w:t>
      </w:r>
      <w:r>
        <w:rPr/>
        <w:t>，厨房下降</w:t>
      </w:r>
      <w:r>
        <w:rPr/>
        <w:t>10.7%</w:t>
      </w:r>
      <w:r>
        <w:rPr/>
        <w:t>。这些中报引用数字反映需求与售价同时承压。海尔产品份额提高可以缓冲总市场收缩，却不能保证绝对收入增长。若集团继续通过低价争夺份额，毛利改善与营销费用率降低的基准假设将失效。评估企业应把份额、售价和销量并列，而不是挑选某个强产品忽略整个市场。</w:t>
      </w:r>
    </w:p>
    <w:p>
      <w:pPr>
        <w:pStyle w:val="Normal"/>
        <w:rPr/>
      </w:pPr>
      <w:r>
        <w:rPr/>
        <w:t>住房因素通过两条路径影响公司。新房交付和商业建筑减少，直接压制成套白电、中央空调与楼宇系统；居民对房价和未来收入谨慎，则推迟装修和耐用品升级。存量换新可以降低对新房的依赖，但仍需要支付能力与消费信心。本章不把房地产复苏当作必然条件，基准中国收入从</w:t>
      </w:r>
      <w:r>
        <w:rPr/>
        <w:t>2026</w:t>
      </w:r>
      <w:r>
        <w:rPr/>
        <w:t>年的</w:t>
      </w:r>
      <w:r>
        <w:rPr/>
        <w:t>1405</w:t>
      </w:r>
      <w:r>
        <w:rPr/>
        <w:t>亿元逐步升到</w:t>
      </w:r>
      <w:r>
        <w:rPr/>
        <w:t>2032</w:t>
      </w:r>
      <w:r>
        <w:rPr/>
        <w:t>年的</w:t>
      </w:r>
      <w:r>
        <w:rPr/>
        <w:t>1680</w:t>
      </w:r>
      <w:r>
        <w:rPr/>
        <w:t>亿元，是适度增长而非重新进入住房高扩张时期。若保有量饱和后更换周期变长，该收入路径也可能偏高，悲观路径则允许中国收入多年下降。</w:t>
      </w:r>
    </w:p>
    <w:p>
      <w:pPr>
        <w:pStyle w:val="Normal"/>
        <w:rPr/>
      </w:pPr>
      <w:r>
        <w:rPr/>
        <w:t>美国利率影响住房按揭、交易、建筑商活动和消费者购买力。高利率与通胀使家电更换意愿减弱，若降低利率同时因失业上升，则需求未必立即恢复。</w:t>
      </w:r>
      <w:r>
        <w:rPr/>
        <w:t>GEA</w:t>
      </w:r>
      <w:r>
        <w:rPr/>
        <w:t>本土制造能够减少部分进口运输和关税，但本土工资、能源与维护成本更高，扩产还会先增加现金开支。公司报告指美国洗衣机、水产品项目推进中，花旗九月转述预计工厂整合在</w:t>
      </w:r>
      <w:r>
        <w:rPr/>
        <w:t>2027</w:t>
      </w:r>
      <w:r>
        <w:rPr/>
        <w:t>至</w:t>
      </w:r>
      <w:r>
        <w:rPr/>
        <w:t>2028</w:t>
      </w:r>
      <w:r>
        <w:rPr/>
        <w:t>完成。因此半年不应把全部中长期节省提前入账。基准美国及美洲增长建立在低基数恢复与份额提升上，若行业始终弱，应降低收入和利润率而非只延迟目标实现时间。</w:t>
      </w:r>
    </w:p>
    <w:p>
      <w:pPr>
        <w:pStyle w:val="Normal"/>
        <w:rPr/>
      </w:pPr>
      <w:r>
        <w:rPr/>
        <w:t>欧洲增长有能效更新、热泵、低空调渗透率和局部市场扩张支持，也受消费谨慎与价格竞争影响。中报引用数据称欧洲制冷销量增</w:t>
      </w:r>
      <w:r>
        <w:rPr/>
        <w:t>2%</w:t>
      </w:r>
      <w:r>
        <w:rPr/>
        <w:t>但零售额降</w:t>
      </w:r>
      <w:r>
        <w:rPr/>
        <w:t>2.2%</w:t>
      </w:r>
      <w:r>
        <w:rPr/>
        <w:t>，提示量增不等于收入或利润增长。欧洲</w:t>
      </w:r>
      <w:r>
        <w:rPr/>
        <w:t>2025</w:t>
      </w:r>
      <w:r>
        <w:rPr/>
        <w:t>年收入</w:t>
      </w:r>
      <w:r>
        <w:rPr/>
        <w:t>384.91</w:t>
      </w:r>
      <w:r>
        <w:rPr/>
        <w:t>亿元包含当年口径，而</w:t>
      </w:r>
      <w:r>
        <w:rPr/>
        <w:t>2026</w:t>
      </w:r>
      <w:r>
        <w:rPr/>
        <w:t>中报半年</w:t>
      </w:r>
      <w:r>
        <w:rPr/>
        <w:t>143.23</w:t>
      </w:r>
      <w:r>
        <w:rPr/>
        <w:t>亿元不能机械倍增；季节性、业务范围和重分类均可能影响。模型明确七地区未来收入为研究假设，用</w:t>
      </w:r>
      <w:r>
        <w:rPr/>
        <w:t>2026</w:t>
      </w:r>
      <w:r>
        <w:rPr/>
        <w:t>全年</w:t>
      </w:r>
      <w:r>
        <w:rPr/>
        <w:t>330</w:t>
      </w:r>
      <w:r>
        <w:rPr/>
        <w:t>亿元、</w:t>
      </w:r>
      <w:r>
        <w:rPr/>
        <w:t>2027</w:t>
      </w:r>
      <w:r>
        <w:rPr/>
        <w:t>年</w:t>
      </w:r>
      <w:r>
        <w:rPr/>
        <w:t>355</w:t>
      </w:r>
      <w:r>
        <w:rPr/>
        <w:t>亿元建立恢复路径，而不伪造未公布的全年地区业绩。需要以全年公告核实变化来自有机增长还是合并范围。</w:t>
      </w:r>
    </w:p>
    <w:p>
      <w:pPr>
        <w:pStyle w:val="Normal"/>
        <w:rPr/>
      </w:pPr>
      <w:r>
        <w:rPr/>
        <w:t>南亚与新兴市场的结构性机会在于家庭收入、城镇化、电力基础设施、现代零售和线上渠道提高家电渗透率。</w:t>
      </w:r>
      <w:r>
        <w:rPr/>
        <w:t>2026</w:t>
      </w:r>
      <w:r>
        <w:rPr/>
        <w:t>上半年南亚</w:t>
      </w:r>
      <w:r>
        <w:rPr/>
        <w:t>101.48</w:t>
      </w:r>
      <w:r>
        <w:rPr/>
        <w:t>亿元收入比同期</w:t>
      </w:r>
      <w:r>
        <w:rPr/>
        <w:t>86.66</w:t>
      </w:r>
      <w:r>
        <w:rPr/>
        <w:t>亿元增长明显，东南亚、中东、非洲合并新兴地区</w:t>
      </w:r>
      <w:r>
        <w:rPr/>
        <w:t>71.52</w:t>
      </w:r>
      <w:r>
        <w:rPr/>
        <w:t>亿元亦高于</w:t>
      </w:r>
      <w:r>
        <w:rPr/>
        <w:t>65.47</w:t>
      </w:r>
      <w:r>
        <w:rPr/>
        <w:t>亿元。需求可以增长，同时低价竞争、当地汇率与分期信用会压利润。产品必须适应电压波动、气候、水质与维修网络，不宜只把中国成熟商品复制过去。基准南亚</w:t>
      </w:r>
      <w:r>
        <w:rPr/>
        <w:t>2032</w:t>
      </w:r>
      <w:r>
        <w:rPr/>
        <w:t>年</w:t>
      </w:r>
      <w:r>
        <w:rPr/>
        <w:t>330</w:t>
      </w:r>
      <w:r>
        <w:rPr/>
        <w:t>亿元与新兴</w:t>
      </w:r>
      <w:r>
        <w:rPr/>
        <w:t>270</w:t>
      </w:r>
      <w:r>
        <w:rPr/>
        <w:t>亿元需要持续本土生产渠道投入；乐观更高增长同时提高资本开支与少数收益，不把扩张当作免费。</w:t>
      </w:r>
    </w:p>
    <w:p>
      <w:pPr>
        <w:pStyle w:val="Normal"/>
        <w:rPr/>
      </w:pPr>
      <w:r>
        <w:rPr/>
        <w:t>印度子公司出售</w:t>
      </w:r>
      <w:r>
        <w:rPr/>
        <w:t>49%</w:t>
      </w:r>
      <w:r>
        <w:rPr/>
        <w:t>权益后仍保留</w:t>
      </w:r>
      <w:r>
        <w:rPr/>
        <w:t>51%</w:t>
      </w:r>
      <w:r>
        <w:rPr/>
        <w:t>，因此收入和集团利润继续并表，而归母利润必须扣新增少数股东份额。当地业务增长越快，少数扣项也应随之增大，不能把出售所得当利润并保留全部未来收益。本章基准少数利润从</w:t>
      </w:r>
      <w:r>
        <w:rPr/>
        <w:t>2026</w:t>
      </w:r>
      <w:r>
        <w:rPr/>
        <w:t>年</w:t>
      </w:r>
      <w:r>
        <w:rPr/>
        <w:t>13</w:t>
      </w:r>
      <w:r>
        <w:rPr/>
        <w:t>亿元升至</w:t>
      </w:r>
      <w:r>
        <w:rPr/>
        <w:t>2032</w:t>
      </w:r>
      <w:r>
        <w:rPr/>
        <w:t>年</w:t>
      </w:r>
      <w:r>
        <w:rPr/>
        <w:t>25</w:t>
      </w:r>
      <w:r>
        <w:rPr/>
        <w:t>亿元，乐观升到</w:t>
      </w:r>
      <w:r>
        <w:rPr/>
        <w:t>36</w:t>
      </w:r>
      <w:r>
        <w:rPr/>
        <w:t>亿元；这些是全集团研究假设，不是披露的印度单体预测。出售所获资金增强资源，但同时交换了部分未来经济权益。检查这一点能避免看见南亚高增长就低估归母分子的变化，也能说明资本配置为什么比合并收入更重要。</w:t>
      </w:r>
    </w:p>
    <w:p>
      <w:pPr>
        <w:pStyle w:val="Normal"/>
        <w:rPr/>
      </w:pPr>
      <w:r>
        <w:rPr/>
        <w:t>原材料铜、铝、钢和塑料价格通过物料成本、库存计价及价格传导影响利润。套期保值可以减少波动，却有期限、规模与基差，不保证成本永远锁低。低需求时期公司较难提价，促销会使上游成本压力更多落在制造商。供应链共用零部件、提高自制率和采购竞争能够改善，但减少供应商利润可能影响质量与长期稳定。本章悲观毛利率从</w:t>
      </w:r>
      <w:r>
        <w:rPr/>
        <w:t>2026</w:t>
      </w:r>
      <w:r>
        <w:rPr/>
        <w:t>的</w:t>
      </w:r>
      <w:r>
        <w:rPr/>
        <w:t>25.9%</w:t>
      </w:r>
      <w:r>
        <w:rPr/>
        <w:t>降至</w:t>
      </w:r>
      <w:r>
        <w:rPr/>
        <w:t>2032</w:t>
      </w:r>
      <w:r>
        <w:rPr/>
        <w:t>的</w:t>
      </w:r>
      <w:r>
        <w:rPr/>
        <w:t>24.7%</w:t>
      </w:r>
      <w:r>
        <w:rPr/>
        <w:t>；基准升至</w:t>
      </w:r>
      <w:r>
        <w:rPr/>
        <w:t>29%</w:t>
      </w:r>
      <w:r>
        <w:rPr/>
        <w:t>，乐观</w:t>
      </w:r>
      <w:r>
        <w:rPr/>
        <w:t>31.8%</w:t>
      </w:r>
      <w:r>
        <w:rPr/>
        <w:t>需要组合与效率显著改善。未来每一次毛利变动都应同时看销售费用和保修支出，防止分类调整制造表面改善。</w:t>
      </w:r>
    </w:p>
    <w:p>
      <w:pPr>
        <w:pStyle w:val="Normal"/>
        <w:rPr/>
      </w:pPr>
      <w:r>
        <w:rPr/>
        <w:t>汇率同时作用于本地经营、出口交易和报表折算。海尔多数海外采购制造销售用当地货币，天然对冲部分交易风险，但跨境零部件、美元收付、借款和人民币报告仍有敞口。</w:t>
      </w:r>
      <w:r>
        <w:rPr/>
        <w:t>2026</w:t>
      </w:r>
      <w:r>
        <w:rPr/>
        <w:t>上半年汇兑亏</w:t>
      </w:r>
      <w:r>
        <w:rPr/>
        <w:t>9.11</w:t>
      </w:r>
      <w:r>
        <w:rPr/>
        <w:t>亿元，计入相关对冲收益后净亏</w:t>
      </w:r>
      <w:r>
        <w:rPr/>
        <w:t>7.04</w:t>
      </w:r>
      <w:r>
        <w:rPr/>
        <w:t>亿元，与同期净收益</w:t>
      </w:r>
      <w:r>
        <w:rPr/>
        <w:t>8.82</w:t>
      </w:r>
      <w:r>
        <w:rPr/>
        <w:t>亿元相比形成</w:t>
      </w:r>
      <w:r>
        <w:rPr/>
        <w:t>15.86</w:t>
      </w:r>
      <w:r>
        <w:rPr/>
        <w:t>亿元税前差异。该差异与归母利润减少不是一比一关系，需要考虑税、归属、经营变化。研究不能把所有亏损全部加回后声称经营利润没有下降，更不能假设人民币每次变化都同向利好所有地区。</w:t>
      </w:r>
    </w:p>
    <w:p>
      <w:pPr>
        <w:pStyle w:val="Normal"/>
        <w:rPr/>
      </w:pPr>
      <w:r>
        <w:rPr/>
        <w:t>本章估值用每人民币</w:t>
      </w:r>
      <w:r>
        <w:rPr/>
        <w:t>1.10</w:t>
      </w:r>
      <w:r>
        <w:rPr/>
        <w:t>港元作为研究换算假设，不声称它是截止日已核即期。公司人民币盈利、</w:t>
      </w:r>
      <w:r>
        <w:rPr/>
        <w:t>H</w:t>
      </w:r>
      <w:r>
        <w:rPr/>
        <w:t>股港元价格与人民币投资者实际回报是三个不同层次。港币兑人民币若相对投资起点跌一成，人民币总回报等于港币含息倍数乘</w:t>
      </w:r>
      <w:r>
        <w:rPr/>
        <w:t>0.9</w:t>
      </w:r>
      <w:r>
        <w:rPr/>
        <w:t>再减一，而不是简单减十个百分点；若升一成则乘</w:t>
      </w:r>
      <w:r>
        <w:rPr/>
        <w:t>1.1</w:t>
      </w:r>
      <w:r>
        <w:rPr/>
        <w:t>。美元挂钩制度也不意味着人民币回报没有汇率风险。模型财资余额与收益在人民币口径计算，不能再加一个海外汇兑敏感性利润却保持收入成本不变而重复受益。</w:t>
      </w:r>
    </w:p>
    <w:p>
      <w:pPr>
        <w:pStyle w:val="Heading2"/>
        <w:rPr/>
      </w:pPr>
      <w:r>
        <w:rPr>
          <w:color w:val="000000"/>
        </w:rPr>
        <w:t>财务质量与资本配置</w:t>
      </w:r>
    </w:p>
    <w:p>
      <w:pPr>
        <w:pStyle w:val="Normal"/>
        <w:rPr/>
      </w:pPr>
      <w:r>
        <w:rPr/>
        <w:t>2025</w:t>
      </w:r>
      <w:r>
        <w:rPr/>
        <w:t>年收入</w:t>
      </w:r>
      <w:r>
        <w:rPr/>
        <w:t>3023.29</w:t>
      </w:r>
      <w:r>
        <w:rPr/>
        <w:t>亿元较</w:t>
      </w:r>
      <w:r>
        <w:rPr/>
        <w:t>2024</w:t>
      </w:r>
      <w:r>
        <w:rPr/>
        <w:t>年</w:t>
      </w:r>
      <w:r>
        <w:rPr/>
        <w:t>2860.05</w:t>
      </w:r>
      <w:r>
        <w:rPr/>
        <w:t>亿元增约</w:t>
      </w:r>
      <w:r>
        <w:rPr/>
        <w:t>5.7%</w:t>
      </w:r>
      <w:r>
        <w:rPr/>
        <w:t>，归母</w:t>
      </w:r>
      <w:r>
        <w:rPr/>
        <w:t>195.53</w:t>
      </w:r>
      <w:r>
        <w:rPr/>
        <w:t>亿元较</w:t>
      </w:r>
      <w:r>
        <w:rPr/>
        <w:t>187.31</w:t>
      </w:r>
      <w:r>
        <w:rPr/>
        <w:t>亿元增约</w:t>
      </w:r>
      <w:r>
        <w:rPr/>
        <w:t>4.4%</w:t>
      </w:r>
      <w:r>
        <w:rPr/>
        <w:t>。</w:t>
      </w:r>
      <w:r>
        <w:rPr/>
        <w:t>2023</w:t>
      </w:r>
      <w:r>
        <w:rPr/>
        <w:t>年归母</w:t>
      </w:r>
      <w:r>
        <w:rPr/>
        <w:t>165.97</w:t>
      </w:r>
      <w:r>
        <w:rPr/>
        <w:t>亿元，为连续增长的中期基数。收入与归母增长都说明基本经营具韧性，但不能忽略</w:t>
      </w:r>
      <w:r>
        <w:rPr/>
        <w:t>2025</w:t>
      </w:r>
      <w:r>
        <w:rPr/>
        <w:t>毛利</w:t>
      </w:r>
      <w:r>
        <w:rPr/>
        <w:t>789.55</w:t>
      </w:r>
      <w:r>
        <w:rPr/>
        <w:t>亿元仅略高于</w:t>
      </w:r>
      <w:r>
        <w:rPr/>
        <w:t>2024</w:t>
      </w:r>
      <w:r>
        <w:rPr/>
        <w:t>年的</w:t>
      </w:r>
      <w:r>
        <w:rPr/>
        <w:t>779.07</w:t>
      </w:r>
      <w:r>
        <w:rPr/>
        <w:t>亿元，收入增长比毛利增长快。销售费</w:t>
      </w:r>
      <w:r>
        <w:rPr/>
        <w:t>338.78</w:t>
      </w:r>
      <w:r>
        <w:rPr/>
        <w:t>亿元、行政费</w:t>
      </w:r>
      <w:r>
        <w:rPr/>
        <w:t>255.45</w:t>
      </w:r>
      <w:r>
        <w:rPr/>
        <w:t>亿元与其他收益</w:t>
      </w:r>
      <w:r>
        <w:rPr/>
        <w:t>52.06</w:t>
      </w:r>
      <w:r>
        <w:rPr/>
        <w:t>亿元共同影响盈利。年度其他收益含利息、补助、汇兑及资产变化，正常估值不能把每项都稳定复制。全集团利润率的长期提升必须以经营成本结构为证据。</w:t>
      </w:r>
    </w:p>
    <w:p>
      <w:pPr>
        <w:pStyle w:val="Normal"/>
        <w:rPr/>
      </w:pPr>
      <w:r>
        <w:rPr/>
        <w:t>2026</w:t>
      </w:r>
      <w:r>
        <w:rPr/>
        <w:t>上半年毛利</w:t>
      </w:r>
      <w:r>
        <w:rPr/>
        <w:t>407.14</w:t>
      </w:r>
      <w:r>
        <w:rPr/>
        <w:t>亿元，销售费</w:t>
      </w:r>
      <w:r>
        <w:rPr/>
        <w:t>164.38</w:t>
      </w:r>
      <w:r>
        <w:rPr/>
        <w:t>亿元，行政费</w:t>
      </w:r>
      <w:r>
        <w:rPr/>
        <w:t>121.18</w:t>
      </w:r>
      <w:r>
        <w:rPr/>
        <w:t>亿元，扣后二者得到核心营业利润</w:t>
      </w:r>
      <w:r>
        <w:rPr/>
        <w:t>121.58</w:t>
      </w:r>
      <w:r>
        <w:rPr/>
        <w:t>亿元。行政费用中包含研发，不可再从历史利润扣一次</w:t>
      </w:r>
      <w:r>
        <w:rPr/>
        <w:t>50.72</w:t>
      </w:r>
      <w:r>
        <w:rPr/>
        <w:t>亿元研发；预测则将残余行政费和完整研发分开，以便看清成本结构。中报毛利率约</w:t>
      </w:r>
      <w:r>
        <w:rPr/>
        <w:t>26.8%</w:t>
      </w:r>
      <w:r>
        <w:rPr/>
        <w:t>比同期提高约</w:t>
      </w:r>
      <w:r>
        <w:rPr/>
        <w:t>0.4</w:t>
      </w:r>
      <w:r>
        <w:rPr/>
        <w:t>个百分点，但销售费用率升约</w:t>
      </w:r>
      <w:r>
        <w:rPr/>
        <w:t>0.7</w:t>
      </w:r>
      <w:r>
        <w:rPr/>
        <w:t>个百分点。因此毛利改善并未全部落到净利润，品牌、新媒体与海外渠道投入仍消耗收益。若研究只看毛利率而忽略费用率，就会高估规模经济已经实现的程度。</w:t>
      </w:r>
    </w:p>
    <w:p>
      <w:pPr>
        <w:pStyle w:val="Normal"/>
        <w:rPr/>
      </w:pPr>
      <w:r>
        <w:rPr/>
        <w:t>上半年其他收益</w:t>
      </w:r>
      <w:r>
        <w:rPr/>
        <w:t>10.83</w:t>
      </w:r>
      <w:r>
        <w:rPr/>
        <w:t>亿元，其中银行利息</w:t>
      </w:r>
      <w:r>
        <w:rPr/>
        <w:t>8.30</w:t>
      </w:r>
      <w:r>
        <w:rPr/>
        <w:t>亿元、理财利息</w:t>
      </w:r>
      <w:r>
        <w:rPr/>
        <w:t>0.47</w:t>
      </w:r>
      <w:r>
        <w:rPr/>
        <w:t>亿元、补助</w:t>
      </w:r>
      <w:r>
        <w:rPr/>
        <w:t>6.52</w:t>
      </w:r>
      <w:r>
        <w:rPr/>
        <w:t>亿元、汇兑亏</w:t>
      </w:r>
      <w:r>
        <w:rPr/>
        <w:t>9.11</w:t>
      </w:r>
      <w:r>
        <w:rPr/>
        <w:t>亿元以及公允价值和处置收益等。融资费用</w:t>
      </w:r>
      <w:r>
        <w:rPr/>
        <w:t>9.24</w:t>
      </w:r>
      <w:r>
        <w:rPr/>
        <w:t>亿元，包括借款利息</w:t>
      </w:r>
      <w:r>
        <w:rPr/>
        <w:t>5.02</w:t>
      </w:r>
      <w:r>
        <w:rPr/>
        <w:t>亿元、租赁利息</w:t>
      </w:r>
      <w:r>
        <w:rPr/>
        <w:t>1.74</w:t>
      </w:r>
      <w:r>
        <w:rPr/>
        <w:t>亿元、其他</w:t>
      </w:r>
      <w:r>
        <w:rPr/>
        <w:t>2.48</w:t>
      </w:r>
      <w:r>
        <w:rPr/>
        <w:t>亿元；联营利润</w:t>
      </w:r>
      <w:r>
        <w:rPr/>
        <w:t>7.54</w:t>
      </w:r>
      <w:r>
        <w:rPr/>
        <w:t>亿元。模型把正常其他非利息收益、现金余额收益率、银行余额费用率和剩余融资费用分别列出，让现金与债务变化影响利润。没有再将全部现金、理财或联营市值加到</w:t>
      </w:r>
      <w:r>
        <w:rPr/>
        <w:t>PE</w:t>
      </w:r>
      <w:r>
        <w:rPr/>
        <w:t>后股权上，因为归母盈利已经包含它们产生的经济收益。</w:t>
      </w:r>
    </w:p>
    <w:p>
      <w:pPr>
        <w:pStyle w:val="Normal"/>
        <w:rPr/>
      </w:pPr>
      <w:r>
        <w:rPr/>
        <w:t>权益法联营利润通常已经是投资对象缴税后的份额，若对它再按集团正常税率全额征一次税，可能重复扣税。模型以税前利润减联营份额后的正利润乘</w:t>
      </w:r>
      <w:r>
        <w:rPr/>
        <w:t>19%</w:t>
      </w:r>
      <w:r>
        <w:rPr/>
        <w:t>基准税率，再扣少数利润；这只是正常税负代理，不是国际税务报表。实际税有地区差异、税惠、递延税和全球最低税规则，</w:t>
      </w:r>
      <w:r>
        <w:rPr/>
        <w:t>2025</w:t>
      </w:r>
      <w:r>
        <w:rPr/>
        <w:t>有效税率较低、</w:t>
      </w:r>
      <w:r>
        <w:rPr/>
        <w:t>2026</w:t>
      </w:r>
      <w:r>
        <w:rPr/>
        <w:t>中期约</w:t>
      </w:r>
      <w:r>
        <w:rPr/>
        <w:t>16.8%</w:t>
      </w:r>
      <w:r>
        <w:rPr/>
        <w:t>，不能保证长期都维持。本章采用比过去有效税率更高的正常假设，悲观</w:t>
      </w:r>
      <w:r>
        <w:rPr/>
        <w:t>21%</w:t>
      </w:r>
      <w:r>
        <w:rPr/>
        <w:t>。未来税率上升或税惠减少将压每股盈利，而不能只调整估值倍数掩盖分子变化。</w:t>
      </w:r>
    </w:p>
    <w:p>
      <w:pPr>
        <w:pStyle w:val="Normal"/>
        <w:rPr/>
      </w:pPr>
      <w:r>
        <w:rPr/>
        <w:t>上半年净股份支付费用为负</w:t>
      </w:r>
      <w:r>
        <w:rPr/>
        <w:t>2.24</w:t>
      </w:r>
      <w:r>
        <w:rPr/>
        <w:t>亿元，属于报告的净回拨或调整结果，不能解释为以后每年员工激励为公司创造收益。预测在残余行政及研发中保留正向正常经济成本，另设</w:t>
      </w:r>
      <w:r>
        <w:rPr/>
        <w:t>2026</w:t>
      </w:r>
      <w:r>
        <w:rPr/>
        <w:t>至</w:t>
      </w:r>
      <w:r>
        <w:rPr/>
        <w:t>2032</w:t>
      </w:r>
      <w:r>
        <w:rPr/>
        <w:t>股份支付</w:t>
      </w:r>
      <w:r>
        <w:rPr/>
        <w:t>5</w:t>
      </w:r>
      <w:r>
        <w:rPr/>
        <w:t>亿至</w:t>
      </w:r>
      <w:r>
        <w:rPr/>
        <w:t>8</w:t>
      </w:r>
      <w:r>
        <w:rPr/>
        <w:t>亿元作为现金流的非现金加回。用现金回购履行员工安排时，回购款仍另扣；新发员工股进入分母。这样利润中有服务成本，现金中有真实购股支出，分母中有实际新增的未来储备，避免一边把全部激励加回利润、一边忽略股份稀释。历史加回与预计成本并非同一字段，必须明示。</w:t>
      </w:r>
    </w:p>
    <w:p>
      <w:pPr>
        <w:pStyle w:val="Normal"/>
        <w:rPr/>
      </w:pPr>
      <w:r>
        <w:rPr/>
        <w:t>2025</w:t>
      </w:r>
      <w:r>
        <w:rPr/>
        <w:t>年经营现金</w:t>
      </w:r>
      <w:r>
        <w:rPr/>
        <w:t>260.03</w:t>
      </w:r>
      <w:r>
        <w:rPr/>
        <w:t>亿元，较</w:t>
      </w:r>
      <w:r>
        <w:rPr/>
        <w:t>2024</w:t>
      </w:r>
      <w:r>
        <w:rPr/>
        <w:t>年</w:t>
      </w:r>
      <w:r>
        <w:rPr/>
        <w:t>263.18</w:t>
      </w:r>
      <w:r>
        <w:rPr/>
        <w:t>亿元略降；购非流动资产</w:t>
      </w:r>
      <w:r>
        <w:rPr/>
        <w:t>88.51</w:t>
      </w:r>
      <w:r>
        <w:rPr/>
        <w:t>亿元，租赁支付</w:t>
      </w:r>
      <w:r>
        <w:rPr/>
        <w:t>18.01</w:t>
      </w:r>
      <w:r>
        <w:rPr/>
        <w:t>亿元，支付借款利息</w:t>
      </w:r>
      <w:r>
        <w:rPr/>
        <w:t>22.94</w:t>
      </w:r>
      <w:r>
        <w:rPr/>
        <w:t>亿元。经营现金减这些款项约</w:t>
      </w:r>
      <w:r>
        <w:rPr/>
        <w:t>130.57</w:t>
      </w:r>
      <w:r>
        <w:rPr/>
        <w:t>亿元，只是现金代理，尚未扣收购、少数分配和股东回购分红。</w:t>
      </w:r>
      <w:r>
        <w:rPr/>
        <w:t>2025</w:t>
      </w:r>
      <w:r>
        <w:rPr/>
        <w:t>支付股东股息</w:t>
      </w:r>
      <w:r>
        <w:rPr/>
        <w:t>114.83</w:t>
      </w:r>
      <w:r>
        <w:rPr/>
        <w:t>亿元、回购</w:t>
      </w:r>
      <w:r>
        <w:rPr/>
        <w:t>12.34</w:t>
      </w:r>
      <w:r>
        <w:rPr/>
        <w:t>亿元，资金流出接近该代理规模。不能把经营现金全数称为可分配自由现金，更不能把回购和分红收益率简单相加而同时让现金余额保持不变。公司仍有理财配置与银行融资滚动，资本配置应与现金结构共同审阅。</w:t>
      </w:r>
    </w:p>
    <w:p>
      <w:pPr>
        <w:pStyle w:val="Normal"/>
        <w:rPr/>
      </w:pPr>
      <w:r>
        <w:rPr/>
        <w:t>2026</w:t>
      </w:r>
      <w:r>
        <w:rPr/>
        <w:t>上半年经营现金</w:t>
      </w:r>
      <w:r>
        <w:rPr/>
        <w:t>97.52</w:t>
      </w:r>
      <w:r>
        <w:rPr/>
        <w:t>亿元较同期</w:t>
      </w:r>
      <w:r>
        <w:rPr/>
        <w:t>111.39</w:t>
      </w:r>
      <w:r>
        <w:rPr/>
        <w:t>亿元减少，购非流动资产</w:t>
      </w:r>
      <w:r>
        <w:rPr/>
        <w:t>43.65</w:t>
      </w:r>
      <w:r>
        <w:rPr/>
        <w:t>亿元、租赁支付</w:t>
      </w:r>
      <w:r>
        <w:rPr/>
        <w:t>9.08</w:t>
      </w:r>
      <w:r>
        <w:rPr/>
        <w:t>亿元、利息支付</w:t>
      </w:r>
      <w:r>
        <w:rPr/>
        <w:t>7.56</w:t>
      </w:r>
      <w:r>
        <w:rPr/>
        <w:t>亿元，扣后代理</w:t>
      </w:r>
      <w:r>
        <w:rPr/>
        <w:t>37.23</w:t>
      </w:r>
      <w:r>
        <w:rPr/>
        <w:t>亿元。现金余额从</w:t>
      </w:r>
      <w:r>
        <w:rPr/>
        <w:t>462.68</w:t>
      </w:r>
      <w:r>
        <w:rPr/>
        <w:t>亿元升至</w:t>
      </w:r>
      <w:r>
        <w:rPr/>
        <w:t>498.73</w:t>
      </w:r>
      <w:r>
        <w:rPr/>
        <w:t>亿元，并不说明自由现金大增，因为融资现金包括印度权益出售</w:t>
      </w:r>
      <w:r>
        <w:rPr/>
        <w:t>55.91</w:t>
      </w:r>
      <w:r>
        <w:rPr/>
        <w:t>亿元，以及净借款流入。该出售并非失控处置，</w:t>
      </w:r>
      <w:r>
        <w:rPr/>
        <w:t>35.10</w:t>
      </w:r>
      <w:r>
        <w:rPr/>
        <w:t>亿元差额计资本储备，</w:t>
      </w:r>
      <w:r>
        <w:rPr/>
        <w:t>20.81</w:t>
      </w:r>
      <w:r>
        <w:rPr/>
        <w:t>亿元转少数权益。将它加到经常利润会高估增长，将它当每年可重复出售现金则会高估未来分红。研究从六月现金起算时不再次加这笔已经到账的资金。</w:t>
      </w:r>
    </w:p>
    <w:p>
      <w:pPr>
        <w:pStyle w:val="Normal"/>
        <w:rPr/>
      </w:pPr>
      <w:r>
        <w:rPr/>
        <w:t>营运资金是下一阶段必须重点观察的变量。六月贸易及票据应收</w:t>
      </w:r>
      <w:r>
        <w:rPr/>
        <w:t>425.88</w:t>
      </w:r>
      <w:r>
        <w:rPr/>
        <w:t>亿元较年底</w:t>
      </w:r>
      <w:r>
        <w:rPr/>
        <w:t>335.48</w:t>
      </w:r>
      <w:r>
        <w:rPr/>
        <w:t>亿元增约</w:t>
      </w:r>
      <w:r>
        <w:rPr/>
        <w:t>26.9%</w:t>
      </w:r>
      <w:r>
        <w:rPr/>
        <w:t>，库存</w:t>
      </w:r>
      <w:r>
        <w:rPr/>
        <w:t>453.17</w:t>
      </w:r>
      <w:r>
        <w:rPr/>
        <w:t>亿元较</w:t>
      </w:r>
      <w:r>
        <w:rPr/>
        <w:t>468.47</w:t>
      </w:r>
      <w:r>
        <w:rPr/>
        <w:t>亿元稍降，应付</w:t>
      </w:r>
      <w:r>
        <w:rPr/>
        <w:t>842.48</w:t>
      </w:r>
      <w:r>
        <w:rPr/>
        <w:t>亿元较</w:t>
      </w:r>
      <w:r>
        <w:rPr/>
        <w:t>774.15</w:t>
      </w:r>
      <w:r>
        <w:rPr/>
        <w:t>亿元升约</w:t>
      </w:r>
      <w:r>
        <w:rPr/>
        <w:t>8.8%</w:t>
      </w:r>
      <w:r>
        <w:rPr/>
        <w:t>，合同负债从</w:t>
      </w:r>
      <w:r>
        <w:rPr/>
        <w:t>85.35</w:t>
      </w:r>
      <w:r>
        <w:rPr/>
        <w:t>亿元降至</w:t>
      </w:r>
      <w:r>
        <w:rPr/>
        <w:t>66.51</w:t>
      </w:r>
      <w:r>
        <w:rPr/>
        <w:t>亿元。不同业务季节性可能解释部分变化，但应收增长明显快于收入，需要核对渠道收款、票据与信用成本。应付增长是正常供应链信用，也可能在需求转弱时抬高现金敏感性。预测以净营运资金投入显式扣现金，不把应付长期无限增长当作免费融资。</w:t>
      </w:r>
    </w:p>
    <w:p>
      <w:pPr>
        <w:pStyle w:val="Normal"/>
        <w:rPr/>
      </w:pPr>
      <w:r>
        <w:rPr/>
        <w:t>贸易应收毛额</w:t>
      </w:r>
      <w:r>
        <w:rPr/>
        <w:t>340.18</w:t>
      </w:r>
      <w:r>
        <w:rPr/>
        <w:t>亿元、减值准备</w:t>
      </w:r>
      <w:r>
        <w:rPr/>
        <w:t>10.63</w:t>
      </w:r>
      <w:r>
        <w:rPr/>
        <w:t>亿元，净</w:t>
      </w:r>
      <w:r>
        <w:rPr/>
        <w:t>329.55</w:t>
      </w:r>
      <w:r>
        <w:rPr/>
        <w:t>亿元；账龄一至三月</w:t>
      </w:r>
      <w:r>
        <w:rPr/>
        <w:t>281.21</w:t>
      </w:r>
      <w:r>
        <w:rPr/>
        <w:t>亿元、三月至一年</w:t>
      </w:r>
      <w:r>
        <w:rPr/>
        <w:t>38.71</w:t>
      </w:r>
      <w:r>
        <w:rPr/>
        <w:t>亿元，较年底后者</w:t>
      </w:r>
      <w:r>
        <w:rPr/>
        <w:t>27.91</w:t>
      </w:r>
      <w:r>
        <w:rPr/>
        <w:t>亿元增加。分散客户降低单一集中信用，但不表示坏账不存在。中报称通常三十至九十天付款、应付三十至二百七十天，收付款时差是制造渠道经营的一部分。净应收账龄按发票日期不是合同到期，不能直接全部称逾期。未来若三月至一年比例和坏账同时增加，应降低正常利润与现金假设，不能等到公司确认重大减值后才调整推荐。</w:t>
      </w:r>
    </w:p>
    <w:p>
      <w:pPr>
        <w:pStyle w:val="Normal"/>
        <w:rPr/>
      </w:pPr>
      <w:r>
        <w:rPr/>
        <w:t>六月现金及等价物</w:t>
      </w:r>
      <w:r>
        <w:rPr/>
        <w:t>498.73</w:t>
      </w:r>
      <w:r>
        <w:rPr/>
        <w:t>亿元加理财</w:t>
      </w:r>
      <w:r>
        <w:rPr/>
        <w:t>72.39</w:t>
      </w:r>
      <w:r>
        <w:rPr/>
        <w:t>亿元减有息借款</w:t>
      </w:r>
      <w:r>
        <w:rPr/>
        <w:t>383.19</w:t>
      </w:r>
      <w:r>
        <w:rPr/>
        <w:t>亿元，公司披露净余额</w:t>
      </w:r>
      <w:r>
        <w:rPr/>
        <w:t>187.93</w:t>
      </w:r>
      <w:r>
        <w:rPr/>
        <w:t>亿元；若只现金减借款为</w:t>
      </w:r>
      <w:r>
        <w:rPr/>
        <w:t>115.54</w:t>
      </w:r>
      <w:r>
        <w:rPr/>
        <w:t>亿元，再扣租赁负债</w:t>
      </w:r>
      <w:r>
        <w:rPr/>
        <w:t>61.93</w:t>
      </w:r>
      <w:r>
        <w:rPr/>
        <w:t>亿元为</w:t>
      </w:r>
      <w:r>
        <w:rPr/>
        <w:t>53.61</w:t>
      </w:r>
      <w:r>
        <w:rPr/>
        <w:t>亿元。三个口径均可用，但含义不同。理财不是全部即时现金，受限存款</w:t>
      </w:r>
      <w:r>
        <w:rPr/>
        <w:t>8.54</w:t>
      </w:r>
      <w:r>
        <w:rPr/>
        <w:t>亿元与限制用途</w:t>
      </w:r>
      <w:r>
        <w:rPr/>
        <w:t>1.33</w:t>
      </w:r>
      <w:r>
        <w:rPr/>
        <w:t>亿元也要独立。摊余成本金融资产</w:t>
      </w:r>
      <w:r>
        <w:rPr/>
        <w:t>276.04</w:t>
      </w:r>
      <w:r>
        <w:rPr/>
        <w:t>亿元中有较大财务公司资源，不能无条件纳入自由可支配银行现金。模型采用现金余额</w:t>
      </w:r>
      <w:r>
        <w:rPr/>
        <w:t>498.73</w:t>
      </w:r>
      <w:r>
        <w:rPr/>
        <w:t>亿元为起点，理财与其他资产不另加股权</w:t>
      </w:r>
      <w:r>
        <w:rPr/>
        <w:t>NAV</w:t>
      </w:r>
      <w:r>
        <w:rPr/>
        <w:t>，降低复杂资产重复计价的风险。</w:t>
      </w:r>
    </w:p>
    <w:p>
      <w:pPr>
        <w:pStyle w:val="Normal"/>
        <w:rPr/>
      </w:pPr>
      <w:r>
        <w:rPr/>
        <w:t>集团财务公司关联余额需要透明审视。中报列现金等价物中</w:t>
      </w:r>
      <w:r>
        <w:rPr/>
        <w:t>106.82</w:t>
      </w:r>
      <w:r>
        <w:rPr/>
        <w:t>亿元、摊余成本资产</w:t>
      </w:r>
      <w:r>
        <w:rPr/>
        <w:t>232.93</w:t>
      </w:r>
      <w:r>
        <w:rPr/>
        <w:t>亿元等与海尔集团财务公司相关，联营利息</w:t>
      </w:r>
      <w:r>
        <w:rPr/>
        <w:t>3.33</w:t>
      </w:r>
      <w:r>
        <w:rPr/>
        <w:t>亿元是其中一部分。财务公司获监管许可和关联协议并不保证每笔资产与外部大银行的流动性、信用和可回收时间一样。集团控制方、审批、年度上限与独立董事机制能提供治理框架，仍需检查存贷条件和集中敞口。本章财务治理维度保留折扣，不把关联资金简单判定坏资产，也不因盈利和现金规模大而忽略潜在集中风险。</w:t>
      </w:r>
    </w:p>
    <w:p>
      <w:pPr>
        <w:pStyle w:val="Normal"/>
        <w:rPr/>
      </w:pPr>
      <w:r>
        <w:rPr/>
        <w:t>九月底法律总股数</w:t>
      </w:r>
      <w:r>
        <w:rPr/>
        <w:t>93.03088164</w:t>
      </w:r>
      <w:r>
        <w:rPr/>
        <w:t>亿，由</w:t>
      </w:r>
      <w:r>
        <w:rPr/>
        <w:t>A</w:t>
      </w:r>
      <w:r>
        <w:rPr/>
        <w:t>股</w:t>
      </w:r>
      <w:r>
        <w:rPr/>
        <w:t>61.78486925</w:t>
      </w:r>
      <w:r>
        <w:rPr/>
        <w:t>亿、</w:t>
      </w:r>
      <w:r>
        <w:rPr/>
        <w:t>D</w:t>
      </w:r>
      <w:r>
        <w:rPr/>
        <w:t>股</w:t>
      </w:r>
      <w:r>
        <w:rPr/>
        <w:t>2.71013973</w:t>
      </w:r>
      <w:r>
        <w:rPr/>
        <w:t>亿、</w:t>
      </w:r>
      <w:r>
        <w:rPr/>
        <w:t>H</w:t>
      </w:r>
      <w:r>
        <w:rPr/>
        <w:t>股</w:t>
      </w:r>
      <w:r>
        <w:rPr/>
        <w:t>28.53587266</w:t>
      </w:r>
      <w:r>
        <w:rPr/>
        <w:t>亿组成；</w:t>
      </w:r>
      <w:r>
        <w:rPr/>
        <w:t>A</w:t>
      </w:r>
      <w:r>
        <w:rPr/>
        <w:t>法律库存</w:t>
      </w:r>
      <w:r>
        <w:rPr/>
        <w:t>0.67981989</w:t>
      </w:r>
      <w:r>
        <w:rPr/>
        <w:t>亿，排除库存的</w:t>
      </w:r>
      <w:r>
        <w:rPr/>
        <w:t>A</w:t>
      </w:r>
      <w:r>
        <w:rPr/>
        <w:t>股</w:t>
      </w:r>
      <w:r>
        <w:rPr/>
        <w:t>61.10504936</w:t>
      </w:r>
      <w:r>
        <w:rPr/>
        <w:t>亿。九月一日取消</w:t>
      </w:r>
      <w:r>
        <w:rPr/>
        <w:t>7454.1486</w:t>
      </w:r>
      <w:r>
        <w:rPr/>
        <w:t>万</w:t>
      </w:r>
      <w:r>
        <w:rPr/>
        <w:t>A</w:t>
      </w:r>
      <w:r>
        <w:rPr/>
        <w:t>股已经反映法律总股变化。七月</w:t>
      </w:r>
      <w:r>
        <w:rPr/>
        <w:t>4156</w:t>
      </w:r>
      <w:r>
        <w:rPr/>
        <w:t>万旧库存转员工计划则是存量转移，不能再作为新股重复加。研究采用保守经济全股计量，</w:t>
      </w:r>
      <w:r>
        <w:rPr/>
        <w:t>A</w:t>
      </w:r>
      <w:r>
        <w:rPr/>
        <w:t>激励库存视作未来可恢复参与的股份，而</w:t>
      </w:r>
      <w:r>
        <w:rPr/>
        <w:t>D</w:t>
      </w:r>
      <w:r>
        <w:rPr/>
        <w:t>与</w:t>
      </w:r>
      <w:r>
        <w:rPr/>
        <w:t>H</w:t>
      </w:r>
      <w:r>
        <w:rPr/>
        <w:t>已购待注销按经济权益排除。法律在外、会计加权与未来经济股数不同，应保留三层记录，不能用行情</w:t>
      </w:r>
      <w:r>
        <w:rPr/>
        <w:t>H</w:t>
      </w:r>
      <w:r>
        <w:rPr/>
        <w:t>股市值除全公司归母利润算</w:t>
      </w:r>
      <w:r>
        <w:rPr/>
        <w:t>PE</w:t>
      </w:r>
      <w:r>
        <w:rPr/>
        <w:t>。</w:t>
      </w:r>
    </w:p>
    <w:p>
      <w:pPr>
        <w:pStyle w:val="Normal"/>
        <w:rPr/>
      </w:pPr>
      <w:r>
        <w:rPr/>
        <w:t>截至九月底</w:t>
      </w:r>
      <w:r>
        <w:rPr/>
        <w:t>H</w:t>
      </w:r>
      <w:r>
        <w:rPr/>
        <w:t>股回购</w:t>
      </w:r>
      <w:r>
        <w:rPr/>
        <w:t>455</w:t>
      </w:r>
      <w:r>
        <w:rPr/>
        <w:t>万股、约</w:t>
      </w:r>
      <w:r>
        <w:rPr/>
        <w:t>9357.73</w:t>
      </w:r>
      <w:r>
        <w:rPr/>
        <w:t>万港元尚未注销；十月二日</w:t>
      </w:r>
      <w:r>
        <w:rPr/>
        <w:t>D</w:t>
      </w:r>
      <w:r>
        <w:rPr/>
        <w:t>股要约购</w:t>
      </w:r>
      <w:r>
        <w:rPr/>
        <w:t>7939.2362</w:t>
      </w:r>
      <w:r>
        <w:rPr/>
        <w:t>万股，每股</w:t>
      </w:r>
      <w:r>
        <w:rPr/>
        <w:t>1.87</w:t>
      </w:r>
      <w:r>
        <w:rPr/>
        <w:t>欧元，共</w:t>
      </w:r>
      <w:r>
        <w:rPr/>
        <w:t>1.4846371694</w:t>
      </w:r>
      <w:r>
        <w:rPr/>
        <w:t>亿欧元，官方次日披露于</w:t>
      </w:r>
      <w:r>
        <w:rPr/>
        <w:t>19</w:t>
      </w:r>
      <w:r>
        <w:rPr/>
        <w:t>时</w:t>
      </w:r>
      <w:r>
        <w:rPr/>
        <w:t>58</w:t>
      </w:r>
      <w:r>
        <w:rPr/>
        <w:t>分。</w:t>
      </w:r>
      <w:r>
        <w:rPr/>
        <w:t>D</w:t>
      </w:r>
      <w:r>
        <w:rPr/>
        <w:t>此前购</w:t>
      </w:r>
      <w:r>
        <w:rPr/>
        <w:t>86.5598</w:t>
      </w:r>
      <w:r>
        <w:rPr/>
        <w:t>万股亦待注销，不能提前说法律注册资本已经减少。模型在六月法律股起点减九月已取消</w:t>
      </w:r>
      <w:r>
        <w:rPr/>
        <w:t>A</w:t>
      </w:r>
      <w:r>
        <w:rPr/>
        <w:t>股、上述</w:t>
      </w:r>
      <w:r>
        <w:rPr/>
        <w:t>D</w:t>
      </w:r>
      <w:r>
        <w:rPr/>
        <w:t>和</w:t>
      </w:r>
      <w:r>
        <w:rPr/>
        <w:t>H</w:t>
      </w:r>
      <w:r>
        <w:rPr/>
        <w:t>经济回购，再减研究假设未来</w:t>
      </w:r>
      <w:r>
        <w:rPr/>
        <w:t>H</w:t>
      </w:r>
      <w:r>
        <w:rPr/>
        <w:t>注销回购，基准年底经济分母</w:t>
      </w:r>
      <w:r>
        <w:rPr/>
        <w:t>91.88280204</w:t>
      </w:r>
      <w:r>
        <w:rPr/>
        <w:t>亿股。</w:t>
      </w:r>
      <w:r>
        <w:rPr/>
        <w:t>D</w:t>
      </w:r>
      <w:r>
        <w:rPr/>
        <w:t>已知购股现金由</w:t>
      </w:r>
      <w:r>
        <w:rPr/>
        <w:t>7939.2362</w:t>
      </w:r>
      <w:r>
        <w:rPr/>
        <w:t>万股乘每股</w:t>
      </w:r>
      <w:r>
        <w:rPr/>
        <w:t>1.87</w:t>
      </w:r>
      <w:r>
        <w:rPr/>
        <w:t>欧元及人民币兑欧元研究换算</w:t>
      </w:r>
      <w:r>
        <w:rPr/>
        <w:t>7.8</w:t>
      </w:r>
      <w:r>
        <w:rPr/>
        <w:t>，得约</w:t>
      </w:r>
      <w:r>
        <w:rPr/>
        <w:t>11.58</w:t>
      </w:r>
      <w:r>
        <w:rPr/>
        <w:t>亿元单独扣，不把减少分母的作用与资金成本分开。</w:t>
      </w:r>
    </w:p>
    <w:p>
      <w:pPr>
        <w:pStyle w:val="Normal"/>
        <w:rPr/>
      </w:pPr>
      <w:r>
        <w:rPr/>
        <w:t>2026A</w:t>
      </w:r>
      <w:r>
        <w:rPr/>
        <w:t>股回购计划</w:t>
      </w:r>
      <w:r>
        <w:rPr/>
        <w:t>30</w:t>
      </w:r>
      <w:r>
        <w:rPr/>
        <w:t>亿至</w:t>
      </w:r>
      <w:r>
        <w:rPr/>
        <w:t>60</w:t>
      </w:r>
      <w:r>
        <w:rPr/>
        <w:t>亿元主要用于员工持股或股权激励，累计至九月底已花</w:t>
      </w:r>
      <w:r>
        <w:rPr/>
        <w:t>22.90</w:t>
      </w:r>
      <w:r>
        <w:rPr/>
        <w:t>亿元买约</w:t>
      </w:r>
      <w:r>
        <w:rPr/>
        <w:t>1.0954</w:t>
      </w:r>
      <w:r>
        <w:rPr/>
        <w:t>亿股。它与</w:t>
      </w:r>
      <w:r>
        <w:rPr/>
        <w:t>H</w:t>
      </w:r>
      <w:r>
        <w:rPr/>
        <w:t>股注销回购的经济意义不同：用于激励的旧股会回到员工手里，不能永久算所有其他股东的每股增厚。模型未来</w:t>
      </w:r>
      <w:r>
        <w:rPr/>
        <w:t>A</w:t>
      </w:r>
      <w:r>
        <w:rPr/>
        <w:t>激励购股现金每年</w:t>
      </w:r>
      <w:r>
        <w:rPr/>
        <w:t>15</w:t>
      </w:r>
      <w:r>
        <w:rPr/>
        <w:t>亿元继续扣现金，但不因此持续减少全经济股份；真正注销的</w:t>
      </w:r>
      <w:r>
        <w:rPr/>
        <w:t>H</w:t>
      </w:r>
      <w:r>
        <w:rPr/>
        <w:t>购股现金按购买价与人民币港元汇率转换成减少股数。新员工股另作小规模分母储备，这并非声称所有股权计划额度已授出。估值要看回购用途和执行，不仅看公告上限。</w:t>
      </w:r>
    </w:p>
    <w:p>
      <w:pPr>
        <w:pStyle w:val="Normal"/>
        <w:rPr/>
      </w:pPr>
      <w:r>
        <w:rPr/>
        <w:t>2025</w:t>
      </w:r>
      <w:r>
        <w:rPr/>
        <w:t>末期息最终每股</w:t>
      </w:r>
      <w:r>
        <w:rPr/>
        <w:t>0.89151</w:t>
      </w:r>
      <w:r>
        <w:rPr/>
        <w:t>元人民币，对</w:t>
      </w:r>
      <w:r>
        <w:rPr/>
        <w:t>H</w:t>
      </w:r>
      <w:r>
        <w:rPr/>
        <w:t>股</w:t>
      </w:r>
      <w:r>
        <w:rPr/>
        <w:t>1.0253105</w:t>
      </w:r>
      <w:r>
        <w:rPr/>
        <w:t>港元，</w:t>
      </w:r>
      <w:r>
        <w:rPr/>
        <w:t>2026</w:t>
      </w:r>
      <w:r>
        <w:rPr/>
        <w:t>年八月三日除净、八月七日登记、八月二十一日派付。它发生在十月投资起点之前，不能加到未来一年收益。</w:t>
      </w:r>
      <w:r>
        <w:rPr/>
        <w:t>2026</w:t>
      </w:r>
      <w:r>
        <w:rPr/>
        <w:t>中报没有中期息，年内余下时间未公布新息，本章年底及半年累计未来息为零。预测一年基准新息</w:t>
      </w:r>
      <w:r>
        <w:rPr/>
        <w:t>1.1925</w:t>
      </w:r>
      <w:r>
        <w:rPr/>
        <w:t>港元来自</w:t>
      </w:r>
      <w:r>
        <w:rPr/>
        <w:t>2026</w:t>
      </w:r>
      <w:r>
        <w:rPr/>
        <w:t>正常利润的五成，于假设</w:t>
      </w:r>
      <w:r>
        <w:rPr/>
        <w:t>2027</w:t>
      </w:r>
      <w:r>
        <w:rPr/>
        <w:t>八月派发；三年、五年分别计三和五次。实际董事会可以改变政策，派付时间也可能变化，研究不能用未来分红假设抵消所有价格损失。</w:t>
      </w:r>
    </w:p>
    <w:p>
      <w:pPr>
        <w:pStyle w:val="Heading2"/>
        <w:rPr/>
      </w:pPr>
      <w:r>
        <w:rPr>
          <w:color w:val="000000"/>
        </w:rPr>
        <w:t>半年</w:t>
      </w:r>
      <w:r>
        <w:rPr>
          <w:color w:val="000000"/>
        </w:rPr>
        <w:t>K</w:t>
      </w:r>
      <w:r>
        <w:rPr>
          <w:color w:val="000000"/>
        </w:rPr>
        <w:t>线与量能</w:t>
      </w:r>
    </w:p>
    <w:p>
      <w:pPr>
        <w:pStyle w:val="Normal"/>
        <w:rPr/>
      </w:pPr>
      <w:r>
        <w:rPr/>
        <w:t>2026</w:t>
      </w:r>
      <w:r>
        <w:rPr/>
        <w:t>年十月九日收</w:t>
      </w:r>
      <w:r>
        <w:rPr/>
        <w:t>20.42</w:t>
      </w:r>
      <w:r>
        <w:rPr/>
        <w:t>港元，开</w:t>
      </w:r>
      <w:r>
        <w:rPr/>
        <w:t>20.20</w:t>
      </w:r>
      <w:r>
        <w:rPr/>
        <w:t>、最高</w:t>
      </w:r>
      <w:r>
        <w:rPr/>
        <w:t>20.66</w:t>
      </w:r>
      <w:r>
        <w:rPr/>
        <w:t>、最低</w:t>
      </w:r>
      <w:r>
        <w:rPr/>
        <w:t>20.20</w:t>
      </w:r>
      <w:r>
        <w:rPr/>
        <w:t>，较前日升</w:t>
      </w:r>
      <w:r>
        <w:rPr/>
        <w:t>1.09%</w:t>
      </w:r>
      <w:r>
        <w:rPr/>
        <w:t>。腾讯与独立最新行情收盘一致，成交</w:t>
      </w:r>
      <w:r>
        <w:rPr/>
        <w:t>957.9737</w:t>
      </w:r>
      <w:r>
        <w:rPr/>
        <w:t>万股、成交额约</w:t>
      </w:r>
      <w:r>
        <w:rPr/>
        <w:t>1.9573</w:t>
      </w:r>
      <w:r>
        <w:rPr/>
        <w:t>亿港元，股单位跨源核对比率为一。日线</w:t>
      </w:r>
      <w:r>
        <w:rPr/>
        <w:t>739</w:t>
      </w:r>
      <w:r>
        <w:rPr/>
        <w:t>个交易日，历史从</w:t>
      </w:r>
      <w:r>
        <w:rPr/>
        <w:t>2023</w:t>
      </w:r>
      <w:r>
        <w:rPr/>
        <w:t>十月九日至截止日；周线</w:t>
      </w:r>
      <w:r>
        <w:rPr/>
        <w:t>157</w:t>
      </w:r>
      <w:r>
        <w:rPr/>
        <w:t>条。价格采用基准日名义价归一复权收盘及对应</w:t>
      </w:r>
      <w:r>
        <w:rPr/>
        <w:t>OHLC</w:t>
      </w:r>
      <w:r>
        <w:rPr/>
        <w:t>，不能将复权高低点与过去名义价格混用。腾讯与</w:t>
      </w:r>
      <w:r>
        <w:rPr/>
        <w:t>Yahoo</w:t>
      </w:r>
      <w:r>
        <w:rPr/>
        <w:t>近六十日复权平均差约</w:t>
      </w:r>
      <w:r>
        <w:rPr/>
        <w:t>0.87%</w:t>
      </w:r>
      <w:r>
        <w:rPr/>
        <w:t>、最高差</w:t>
      </w:r>
      <w:r>
        <w:rPr/>
        <w:t>4.75%</w:t>
      </w:r>
      <w:r>
        <w:rPr/>
        <w:t>，提示分红算法或修订差异，本章不把精确支阻当成无误真实执行价。</w:t>
      </w:r>
    </w:p>
    <w:p>
      <w:pPr>
        <w:pStyle w:val="Normal"/>
        <w:rPr/>
      </w:pPr>
      <w:r>
        <w:rPr/>
        <w:t>二十、六十、一百二十、二百五十日均线分别</w:t>
      </w:r>
      <w:r>
        <w:rPr/>
        <w:t>20.2310</w:t>
      </w:r>
      <w:r>
        <w:rPr/>
        <w:t>、</w:t>
      </w:r>
      <w:r>
        <w:rPr/>
        <w:t>20.7957</w:t>
      </w:r>
      <w:r>
        <w:rPr/>
        <w:t>、</w:t>
      </w:r>
      <w:r>
        <w:rPr/>
        <w:t>20.2867</w:t>
      </w:r>
      <w:r>
        <w:rPr/>
        <w:t>、</w:t>
      </w:r>
      <w:r>
        <w:rPr/>
        <w:t>22.2845</w:t>
      </w:r>
      <w:r>
        <w:rPr/>
        <w:t>港元。现价高于二十日</w:t>
      </w:r>
      <w:r>
        <w:rPr/>
        <w:t>0.93%</w:t>
      </w:r>
      <w:r>
        <w:rPr/>
        <w:t>、高于一百二十日</w:t>
      </w:r>
      <w:r>
        <w:rPr/>
        <w:t>0.66%</w:t>
      </w:r>
      <w:r>
        <w:rPr/>
        <w:t>，低于六十日</w:t>
      </w:r>
      <w:r>
        <w:rPr/>
        <w:t>1.81%</w:t>
      </w:r>
      <w:r>
        <w:rPr/>
        <w:t>、低于二百五十日</w:t>
      </w:r>
      <w:r>
        <w:rPr/>
        <w:t>8.37%</w:t>
      </w:r>
      <w:r>
        <w:rPr/>
        <w:t>。二十日五日斜率负</w:t>
      </w:r>
      <w:r>
        <w:rPr/>
        <w:t>1.39%</w:t>
      </w:r>
      <w:r>
        <w:rPr/>
        <w:t>，六十日微正</w:t>
      </w:r>
      <w:r>
        <w:rPr/>
        <w:t>0.18%</w:t>
      </w:r>
      <w:r>
        <w:rPr/>
        <w:t>，一百二十日近乎平，二百五十日负</w:t>
      </w:r>
      <w:r>
        <w:rPr/>
        <w:t>0.34%</w:t>
      </w:r>
      <w:r>
        <w:rPr/>
        <w:t>。这组结构更像长线压力下的短期反弹和中期横盘，而非均线多头排列。单日重新上二十线有改善，但二十线自身还下行，六十线附近容易出现反复；应等待斜率与价格共同转强。</w:t>
      </w:r>
    </w:p>
    <w:p>
      <w:pPr>
        <w:pStyle w:val="Normal"/>
        <w:rPr/>
      </w:pPr>
      <w:r>
        <w:rPr/>
        <w:t>近二十日最低观察位</w:t>
      </w:r>
      <w:r>
        <w:rPr/>
        <w:t>19.54</w:t>
      </w:r>
      <w:r>
        <w:rPr/>
        <w:t>港元、最高</w:t>
      </w:r>
      <w:r>
        <w:rPr/>
        <w:t>21.30</w:t>
      </w:r>
      <w:r>
        <w:rPr/>
        <w:t>港元，距现价分别负</w:t>
      </w:r>
      <w:r>
        <w:rPr/>
        <w:t>4.31%</w:t>
      </w:r>
      <w:r>
        <w:rPr/>
        <w:t>与正</w:t>
      </w:r>
      <w:r>
        <w:rPr/>
        <w:t>4.31%</w:t>
      </w:r>
      <w:r>
        <w:rPr/>
        <w:t>；六十日最高</w:t>
      </w:r>
      <w:r>
        <w:rPr/>
        <w:t>21.8611</w:t>
      </w:r>
      <w:r>
        <w:rPr/>
        <w:t>港元，对现价上方约</w:t>
      </w:r>
      <w:r>
        <w:rPr/>
        <w:t>7.06%</w:t>
      </w:r>
      <w:r>
        <w:rPr/>
        <w:t>。这些是窗口极值，没有按多次触碰筛选，不应称为已证实绝对支撑阻力。可将</w:t>
      </w:r>
      <w:r>
        <w:rPr/>
        <w:t>19.5</w:t>
      </w:r>
      <w:r>
        <w:rPr/>
        <w:t>附近视为初步风险观察区，</w:t>
      </w:r>
      <w:r>
        <w:rPr/>
        <w:t>21.3</w:t>
      </w:r>
      <w:r>
        <w:rPr/>
        <w:t>至</w:t>
      </w:r>
      <w:r>
        <w:rPr/>
        <w:t>21.9</w:t>
      </w:r>
      <w:r>
        <w:rPr/>
        <w:t>作为供给检验区，</w:t>
      </w:r>
      <w:r>
        <w:rPr/>
        <w:t>22.28</w:t>
      </w:r>
      <w:r>
        <w:rPr/>
        <w:t>附近再看长均线。若价格在二十一以上持续成交并守住回踩，比一根跳涨更有说服力；若快速跌回</w:t>
      </w:r>
      <w:r>
        <w:rPr/>
        <w:t>19.54</w:t>
      </w:r>
      <w:r>
        <w:rPr/>
        <w:t>以下，短期反弹判断失效，需要重估十八至十九附近更宽的历史区域。</w:t>
      </w:r>
    </w:p>
    <w:p>
      <w:pPr>
        <w:pStyle w:val="Normal"/>
        <w:rPr/>
      </w:pPr>
      <w:r>
        <w:rPr/>
        <w:t>复权五十二周高</w:t>
      </w:r>
      <w:r>
        <w:rPr/>
        <w:t>26.9206</w:t>
      </w:r>
      <w:r>
        <w:rPr/>
        <w:t>、低</w:t>
      </w:r>
      <w:r>
        <w:rPr/>
        <w:t>18.1857</w:t>
      </w:r>
      <w:r>
        <w:rPr/>
        <w:t>港元，现价距高负</w:t>
      </w:r>
      <w:r>
        <w:rPr/>
        <w:t>24.15%</w:t>
      </w:r>
      <w:r>
        <w:rPr/>
        <w:t>、距低正</w:t>
      </w:r>
      <w:r>
        <w:rPr/>
        <w:t>12.29%</w:t>
      </w:r>
      <w:r>
        <w:rPr/>
        <w:t>，日线窗口最大回撤约</w:t>
      </w:r>
      <w:r>
        <w:rPr/>
        <w:t>30.70%</w:t>
      </w:r>
      <w:r>
        <w:rPr/>
        <w:t>。这个回撤不是未来最大损失，悲观估值也可能低于历史低点。过去曾高于二十六港元只提供价格记忆，不能证明恢复到该处的必然性。平台在长下跌后形成有时是筑底，也可能是下降中继；要结合价格低点是否提高、盈利预期是否停止下修和成交结构。近二百五十日回报负</w:t>
      </w:r>
      <w:r>
        <w:rPr/>
        <w:t>15.40%</w:t>
      </w:r>
      <w:r>
        <w:rPr/>
        <w:t>，说明长期投资者仍可能在反弹时卖出，目标价上行路径不能假设不存在套牢供给。</w:t>
      </w:r>
    </w:p>
    <w:p>
      <w:pPr>
        <w:pStyle w:val="Normal"/>
        <w:rPr/>
      </w:pPr>
      <w:r>
        <w:rPr/>
        <w:t>五、二十、六十日均量约</w:t>
      </w:r>
      <w:r>
        <w:rPr/>
        <w:t>543.17</w:t>
      </w:r>
      <w:r>
        <w:rPr/>
        <w:t>万、</w:t>
      </w:r>
      <w:r>
        <w:rPr/>
        <w:t>893.77</w:t>
      </w:r>
      <w:r>
        <w:rPr/>
        <w:t>万、</w:t>
      </w:r>
      <w:r>
        <w:rPr/>
        <w:t>1117.77</w:t>
      </w:r>
      <w:r>
        <w:rPr/>
        <w:t>万股，当日对之前二十日均量约</w:t>
      </w:r>
      <w:r>
        <w:rPr/>
        <w:t>1.078</w:t>
      </w:r>
      <w:r>
        <w:rPr/>
        <w:t>倍。最近五日均量较二十日小，二十日又小于六十日，说明交易活动收缩；十一月营销、三季报及回购可能改变这一结构，但截至基准日并未明显放量突破。现价上行</w:t>
      </w:r>
      <w:r>
        <w:rPr/>
        <w:t>1.09%</w:t>
      </w:r>
      <w:r>
        <w:rPr/>
        <w:t>配约</w:t>
      </w:r>
      <w:r>
        <w:rPr/>
        <w:t>1.08</w:t>
      </w:r>
      <w:r>
        <w:rPr/>
        <w:t>量比，只能判断温和增量，不能喊强势资金确认。若越过</w:t>
      </w:r>
      <w:r>
        <w:rPr/>
        <w:t>21.3</w:t>
      </w:r>
      <w:r>
        <w:rPr/>
        <w:t>至</w:t>
      </w:r>
      <w:r>
        <w:rPr/>
        <w:t>21.9</w:t>
      </w:r>
      <w:r>
        <w:rPr/>
        <w:t>时成交仍弱，容易回到震荡区；如果量持续高于二十日均量并伴随收盘保持强势，才提高技术分。</w:t>
      </w:r>
    </w:p>
    <w:p>
      <w:pPr>
        <w:pStyle w:val="Normal"/>
        <w:rPr/>
      </w:pPr>
      <w:r>
        <w:rPr/>
        <w:t>近二十交易日上涨日总量</w:t>
      </w:r>
      <w:r>
        <w:rPr/>
        <w:t>8397.64</w:t>
      </w:r>
      <w:r>
        <w:rPr/>
        <w:t>万股，下跌日</w:t>
      </w:r>
      <w:r>
        <w:rPr/>
        <w:t>8543.72</w:t>
      </w:r>
      <w:r>
        <w:rPr/>
        <w:t>万股，平盘</w:t>
      </w:r>
      <w:r>
        <w:rPr/>
        <w:t>934.09</w:t>
      </w:r>
      <w:r>
        <w:rPr/>
        <w:t>万股，上涨十天下跌九天，涨跌量比</w:t>
      </w:r>
      <w:r>
        <w:rPr/>
        <w:t>0.983</w:t>
      </w:r>
      <w:r>
        <w:rPr/>
        <w:t>。买卖量在每笔交易总是匹配，这里只是按当日价格涨跌分类，不能把上涨日量当净买入资金。两边量接近，没有明显持续吸纳证据。成交额已取得，但准确换手率缺可流通股本统一分母，故未填；</w:t>
      </w:r>
      <w:r>
        <w:rPr/>
        <w:t>H</w:t>
      </w:r>
      <w:r>
        <w:rPr/>
        <w:t>股总股不等于自由流通股，也不等于南向可交易股。没有逐笔和盘口历史，本章不绘制精确筹码分布、不声称主力成本或吸筹。</w:t>
      </w:r>
    </w:p>
    <w:p>
      <w:pPr>
        <w:pStyle w:val="Normal"/>
        <w:rPr/>
      </w:pPr>
      <w:r>
        <w:rPr/>
        <w:t>周线二十周均线</w:t>
      </w:r>
      <w:r>
        <w:rPr/>
        <w:t>20.3204</w:t>
      </w:r>
      <w:r>
        <w:rPr/>
        <w:t>、六十周</w:t>
      </w:r>
      <w:r>
        <w:rPr/>
        <w:t>22.4933</w:t>
      </w:r>
      <w:r>
        <w:rPr/>
        <w:t>、一百二十周</w:t>
      </w:r>
      <w:r>
        <w:rPr/>
        <w:t>22.7456</w:t>
      </w:r>
      <w:r>
        <w:rPr/>
        <w:t>港元，现价略高二十周但低后二者约</w:t>
      </w:r>
      <w:r>
        <w:rPr/>
        <w:t>9.22%</w:t>
      </w:r>
      <w:r>
        <w:rPr/>
        <w:t>和</w:t>
      </w:r>
      <w:r>
        <w:rPr/>
        <w:t>10.22%</w:t>
      </w:r>
      <w:r>
        <w:rPr/>
        <w:t>，长期压制仍在。二十周五周斜率正</w:t>
      </w:r>
      <w:r>
        <w:rPr/>
        <w:t>0.21%</w:t>
      </w:r>
      <w:r>
        <w:rPr/>
        <w:t>，六十周负</w:t>
      </w:r>
      <w:r>
        <w:rPr/>
        <w:t>1.21%</w:t>
      </w:r>
      <w:r>
        <w:rPr/>
        <w:t>，一百二十周负</w:t>
      </w:r>
      <w:r>
        <w:rPr/>
        <w:t>0.83%</w:t>
      </w:r>
      <w:r>
        <w:rPr/>
        <w:t>。短周改善与长周下降并存说明底部试探，并非全部周期反转。周线二百五十周均线缺历史，保留缺失而不补造。周量指标也需注意国庆休市令周交易天数不同，某周相对均量低不能全部解释为投资者撤退，日量与完整周对比更可靠。</w:t>
      </w:r>
    </w:p>
    <w:p>
      <w:pPr>
        <w:pStyle w:val="Normal"/>
        <w:rPr/>
      </w:pPr>
      <w:r>
        <w:rPr/>
        <w:t>日线</w:t>
      </w:r>
      <w:r>
        <w:rPr/>
        <w:t>RSI14</w:t>
      </w:r>
      <w:r>
        <w:rPr/>
        <w:t>为</w:t>
      </w:r>
      <w:r>
        <w:rPr/>
        <w:t>50.91</w:t>
      </w:r>
      <w:r>
        <w:rPr/>
        <w:t>，处于中性区；</w:t>
      </w:r>
      <w:r>
        <w:rPr/>
        <w:t>MACD</w:t>
      </w:r>
      <w:r>
        <w:rPr/>
        <w:t>快线负</w:t>
      </w:r>
      <w:r>
        <w:rPr/>
        <w:t>0.2083</w:t>
      </w:r>
      <w:r>
        <w:rPr/>
        <w:t>、信号负</w:t>
      </w:r>
      <w:r>
        <w:rPr/>
        <w:t>0.2437</w:t>
      </w:r>
      <w:r>
        <w:rPr/>
        <w:t>，按双倍差柱正</w:t>
      </w:r>
      <w:r>
        <w:rPr/>
        <w:t>0.0709</w:t>
      </w:r>
      <w:r>
        <w:rPr/>
        <w:t>，表示下行动能缓和但双线仍在零下。周</w:t>
      </w:r>
      <w:r>
        <w:rPr/>
        <w:t>RSI</w:t>
      </w:r>
      <w:r>
        <w:rPr/>
        <w:t>约</w:t>
      </w:r>
      <w:r>
        <w:rPr/>
        <w:t>46.82</w:t>
      </w:r>
      <w:r>
        <w:rPr/>
        <w:t>，</w:t>
      </w:r>
      <w:r>
        <w:rPr/>
        <w:t>MACD</w:t>
      </w:r>
      <w:r>
        <w:rPr/>
        <w:t>也零下而正柱，和均线判断相互印证。</w:t>
      </w:r>
      <w:r>
        <w:rPr/>
        <w:t>RSI</w:t>
      </w:r>
      <w:r>
        <w:rPr/>
        <w:t>、</w:t>
      </w:r>
      <w:r>
        <w:rPr/>
        <w:t>MACD</w:t>
      </w:r>
      <w:r>
        <w:rPr/>
        <w:t>、均线都源于同一价格序列，不能分别当三个独立获利证据加满分。</w:t>
      </w:r>
      <w:r>
        <w:rPr/>
        <w:t>ATR14</w:t>
      </w:r>
      <w:r>
        <w:rPr/>
        <w:t>约</w:t>
      </w:r>
      <w:r>
        <w:rPr/>
        <w:t>0.4346</w:t>
      </w:r>
      <w:r>
        <w:rPr/>
        <w:t>港元、现价</w:t>
      </w:r>
      <w:r>
        <w:rPr/>
        <w:t>2.13%</w:t>
      </w:r>
      <w:r>
        <w:rPr/>
        <w:t>，只衡量近期波幅，不预测方向。观察位的距离与</w:t>
      </w:r>
      <w:r>
        <w:rPr/>
        <w:t>ATR</w:t>
      </w:r>
      <w:r>
        <w:rPr/>
        <w:t>比较可帮助避免过窄价格条件，但不应把两倍</w:t>
      </w:r>
      <w:r>
        <w:rPr/>
        <w:t>ATR</w:t>
      </w:r>
      <w:r>
        <w:rPr/>
        <w:t>当保证止损执行。</w:t>
      </w:r>
    </w:p>
    <w:p>
      <w:pPr>
        <w:pStyle w:val="Normal"/>
        <w:rPr/>
      </w:pPr>
      <w:r>
        <w:rPr/>
        <w:t>股票近二十日回报负</w:t>
      </w:r>
      <w:r>
        <w:rPr/>
        <w:t>1.92%</w:t>
      </w:r>
      <w:r>
        <w:rPr/>
        <w:t>、六十日正</w:t>
      </w:r>
      <w:r>
        <w:rPr/>
        <w:t>0.90%</w:t>
      </w:r>
      <w:r>
        <w:rPr/>
        <w:t>；同日恒生指数负</w:t>
      </w:r>
      <w:r>
        <w:rPr/>
        <w:t>2.98%</w:t>
      </w:r>
      <w:r>
        <w:rPr/>
        <w:t>、负</w:t>
      </w:r>
      <w:r>
        <w:rPr/>
        <w:t>3.19%</w:t>
      </w:r>
      <w:r>
        <w:rPr/>
        <w:t>，超额分别约</w:t>
      </w:r>
      <w:r>
        <w:rPr/>
        <w:t>1.06</w:t>
      </w:r>
      <w:r>
        <w:rPr/>
        <w:t>与</w:t>
      </w:r>
      <w:r>
        <w:rPr/>
        <w:t>4.09</w:t>
      </w:r>
      <w:r>
        <w:rPr/>
        <w:t>个百分点。相对市场稍强而绝对仍横盘，是一个可持续跟踪的改善迹象。名单已有恒生科技宽泛风格参考，但它并非专属家电行业指数，本章不把相对恒科较强当家电份额或行业领导证据。未来应增加相同复权口径的家电同行篮子。若市场反弹而海尔反复落后，低估值修复催化未获得价格支持，半年技术评分需下调。</w:t>
      </w:r>
    </w:p>
    <w:p>
      <w:pPr>
        <w:pStyle w:val="Normal"/>
        <w:rPr/>
      </w:pPr>
      <w:r>
        <w:rPr/>
        <w:t>短期行动条件应写成可反驳的观察规则：</w:t>
      </w:r>
      <w:r>
        <w:rPr/>
        <w:t>21.3</w:t>
      </w:r>
      <w:r>
        <w:rPr/>
        <w:t>至</w:t>
      </w:r>
      <w:r>
        <w:rPr/>
        <w:t>21.9</w:t>
      </w:r>
      <w:r>
        <w:rPr/>
        <w:t>上方收盘延续、均量适度扩张、回踩守住二十与六十日附近，同时三季报未加剧利润下修，才提高半年优先级。</w:t>
      </w:r>
      <w:r>
        <w:rPr/>
        <w:t>19.54</w:t>
      </w:r>
      <w:r>
        <w:rPr/>
        <w:t>下方连续弱收或明显高量下跌，技术反弹条件失效；若基本面仍良好，也需重新计算价格和风险，而不能用长期品牌理由取消短期失败条件。复权差</w:t>
      </w:r>
      <w:r>
        <w:rPr/>
        <w:t>4.75%</w:t>
      </w:r>
      <w:r>
        <w:rPr/>
        <w:t>足以影响几毛钱的细位，本章建议以区域判断并在真实下单前按最新名义价格核对公司行动。模型与技术都不提供交易指令的保证。</w:t>
      </w:r>
    </w:p>
    <w:p>
      <w:pPr>
        <w:pStyle w:val="Heading2"/>
        <w:rPr/>
      </w:pPr>
      <w:r>
        <w:rPr>
          <w:color w:val="000000"/>
        </w:rPr>
        <w:t>估值与情景模型</w:t>
      </w:r>
    </w:p>
    <w:p>
      <w:pPr>
        <w:pStyle w:val="Normal"/>
        <w:rPr/>
      </w:pPr>
      <w:r>
        <w:rPr/>
        <w:t>成熟盈利公司适合归母正常盈利乘合理</w:t>
      </w:r>
      <w:r>
        <w:rPr/>
        <w:t>PE</w:t>
      </w:r>
      <w:r>
        <w:rPr/>
        <w:t>，并用现金质量和资本配置交叉验证。本章不是将</w:t>
      </w:r>
      <w:r>
        <w:rPr/>
        <w:t>2025</w:t>
      </w:r>
      <w:r>
        <w:rPr/>
        <w:t>审计</w:t>
      </w:r>
      <w:r>
        <w:rPr/>
        <w:t>EPS2.10</w:t>
      </w:r>
      <w:r>
        <w:rPr/>
        <w:t>元直接套到所有期限，而是先建立</w:t>
      </w:r>
      <w:r>
        <w:rPr/>
        <w:t>2026</w:t>
      </w:r>
      <w:r>
        <w:rPr/>
        <w:t>至</w:t>
      </w:r>
      <w:r>
        <w:rPr/>
        <w:t>2032</w:t>
      </w:r>
      <w:r>
        <w:rPr/>
        <w:t>年度经营和现金，再对目标日未来十二月利润做当年与下一年日历插值。例如</w:t>
      </w:r>
      <w:r>
        <w:rPr/>
        <w:t>2027</w:t>
      </w:r>
      <w:r>
        <w:rPr/>
        <w:t>四月以</w:t>
      </w:r>
      <w:r>
        <w:rPr/>
        <w:t>2027</w:t>
      </w:r>
      <w:r>
        <w:rPr/>
        <w:t>利润约</w:t>
      </w:r>
      <w:r>
        <w:rPr/>
        <w:t>73.15%</w:t>
      </w:r>
      <w:r>
        <w:rPr/>
        <w:t>加</w:t>
      </w:r>
      <w:r>
        <w:rPr/>
        <w:t>2028</w:t>
      </w:r>
      <w:r>
        <w:rPr/>
        <w:t>约</w:t>
      </w:r>
      <w:r>
        <w:rPr/>
        <w:t>26.85%</w:t>
      </w:r>
      <w:r>
        <w:rPr/>
        <w:t>，不是直接采用全</w:t>
      </w:r>
      <w:r>
        <w:rPr/>
        <w:t>2028</w:t>
      </w:r>
      <w:r>
        <w:rPr/>
        <w:t>利润；十月七日则下一年占约</w:t>
      </w:r>
      <w:r>
        <w:rPr/>
        <w:t>76.44%</w:t>
      </w:r>
      <w:r>
        <w:rPr/>
        <w:t>。实际季度季节性可能与线性时间不同，这里是估值预测代理而非披露季度利润。所有场景保留原子输入，改收入、费用、股数或兑现因子必须整体刷新。</w:t>
      </w:r>
    </w:p>
    <w:p>
      <w:pPr>
        <w:pStyle w:val="Normal"/>
        <w:rPr/>
      </w:pPr>
      <w:r>
        <w:rPr/>
        <w:t>基准</w:t>
      </w:r>
      <w:r>
        <w:rPr/>
        <w:t>2027</w:t>
      </w:r>
      <w:r>
        <w:rPr/>
        <w:t>七地区收入是中国</w:t>
      </w:r>
      <w:r>
        <w:rPr/>
        <w:t>1460</w:t>
      </w:r>
      <w:r>
        <w:rPr/>
        <w:t>亿元、美洲</w:t>
      </w:r>
      <w:r>
        <w:rPr/>
        <w:t>780</w:t>
      </w:r>
      <w:r>
        <w:rPr/>
        <w:t>亿元、欧洲</w:t>
      </w:r>
      <w:r>
        <w:rPr/>
        <w:t>355</w:t>
      </w:r>
      <w:r>
        <w:rPr/>
        <w:t>亿元、南亚</w:t>
      </w:r>
      <w:r>
        <w:rPr/>
        <w:t>210</w:t>
      </w:r>
      <w:r>
        <w:rPr/>
        <w:t>亿元、新兴</w:t>
      </w:r>
      <w:r>
        <w:rPr/>
        <w:t>155</w:t>
      </w:r>
      <w:r>
        <w:rPr/>
        <w:t>亿元、亚太</w:t>
      </w:r>
      <w:r>
        <w:rPr/>
        <w:t>115</w:t>
      </w:r>
      <w:r>
        <w:rPr/>
        <w:t>亿元、其他</w:t>
      </w:r>
      <w:r>
        <w:rPr/>
        <w:t>100</w:t>
      </w:r>
      <w:r>
        <w:rPr/>
        <w:t>亿元，合</w:t>
      </w:r>
      <w:r>
        <w:rPr/>
        <w:t>3175</w:t>
      </w:r>
      <w:r>
        <w:rPr/>
        <w:t>亿元。预测毛利</w:t>
      </w:r>
      <w:r>
        <w:rPr/>
        <w:t>27.1%</w:t>
      </w:r>
      <w:r>
        <w:rPr/>
        <w:t>、销售费</w:t>
      </w:r>
      <w:r>
        <w:rPr/>
        <w:t>10.7%</w:t>
      </w:r>
      <w:r>
        <w:rPr/>
        <w:t>、残余行政</w:t>
      </w:r>
      <w:r>
        <w:rPr/>
        <w:t>4.3%</w:t>
      </w:r>
      <w:r>
        <w:rPr/>
        <w:t>、完整研发</w:t>
      </w:r>
      <w:r>
        <w:rPr/>
        <w:t>112</w:t>
      </w:r>
      <w:r>
        <w:rPr/>
        <w:t>亿元；现金息按期初余额</w:t>
      </w:r>
      <w:r>
        <w:rPr/>
        <w:t>2.2%</w:t>
      </w:r>
      <w:r>
        <w:rPr/>
        <w:t>，银行息按余额</w:t>
      </w:r>
      <w:r>
        <w:rPr/>
        <w:t>3.5%</w:t>
      </w:r>
      <w:r>
        <w:rPr/>
        <w:t>，另有正常非利息收益</w:t>
      </w:r>
      <w:r>
        <w:rPr/>
        <w:t>13</w:t>
      </w:r>
      <w:r>
        <w:rPr/>
        <w:t>亿元、残余非租融资费用</w:t>
      </w:r>
      <w:r>
        <w:rPr/>
        <w:t>3</w:t>
      </w:r>
      <w:r>
        <w:rPr/>
        <w:t>亿元与租赁利息</w:t>
      </w:r>
      <w:r>
        <w:rPr/>
        <w:t>3.7</w:t>
      </w:r>
      <w:r>
        <w:rPr/>
        <w:t>亿元、联营</w:t>
      </w:r>
      <w:r>
        <w:rPr/>
        <w:t>15</w:t>
      </w:r>
      <w:r>
        <w:rPr/>
        <w:t>亿元，经营税</w:t>
      </w:r>
      <w:r>
        <w:rPr/>
        <w:t>19%</w:t>
      </w:r>
      <w:r>
        <w:rPr/>
        <w:t>、少数</w:t>
      </w:r>
      <w:r>
        <w:rPr/>
        <w:t>15</w:t>
      </w:r>
      <w:r>
        <w:rPr/>
        <w:t>亿元。归母约</w:t>
      </w:r>
      <w:r>
        <w:rPr/>
        <w:t>223.34</w:t>
      </w:r>
      <w:r>
        <w:rPr/>
        <w:t>亿元。各项为研究假设，公开年报没有这种逐地区利润拆分，不能将预测写成管理层已提供指引。</w:t>
      </w:r>
    </w:p>
    <w:p>
      <w:pPr>
        <w:pStyle w:val="Normal"/>
        <w:rPr/>
      </w:pPr>
      <w:r>
        <w:rPr/>
        <w:t>基准</w:t>
      </w:r>
      <w:r>
        <w:rPr/>
        <w:t>2028</w:t>
      </w:r>
      <w:r>
        <w:rPr/>
        <w:t>收入</w:t>
      </w:r>
      <w:r>
        <w:rPr/>
        <w:t>3340</w:t>
      </w:r>
      <w:r>
        <w:rPr/>
        <w:t>亿元、归母</w:t>
      </w:r>
      <w:r>
        <w:rPr/>
        <w:t>254.83</w:t>
      </w:r>
      <w:r>
        <w:rPr/>
        <w:t>亿元，到</w:t>
      </w:r>
      <w:r>
        <w:rPr/>
        <w:t>2032</w:t>
      </w:r>
      <w:r>
        <w:rPr/>
        <w:t>收入</w:t>
      </w:r>
      <w:r>
        <w:rPr/>
        <w:t>4025</w:t>
      </w:r>
      <w:r>
        <w:rPr/>
        <w:t>亿元、归母</w:t>
      </w:r>
      <w:r>
        <w:rPr/>
        <w:t>357.77</w:t>
      </w:r>
      <w:r>
        <w:rPr/>
        <w:t>亿元，</w:t>
      </w:r>
      <w:r>
        <w:rPr/>
        <w:t>2026</w:t>
      </w:r>
      <w:r>
        <w:rPr/>
        <w:t>至</w:t>
      </w:r>
      <w:r>
        <w:rPr/>
        <w:t>2032</w:t>
      </w:r>
      <w:r>
        <w:rPr/>
        <w:t>收入复合约</w:t>
      </w:r>
      <w:r>
        <w:rPr/>
        <w:t>4.9%</w:t>
      </w:r>
      <w:r>
        <w:rPr/>
        <w:t>、归母约</w:t>
      </w:r>
      <w:r>
        <w:rPr/>
        <w:t>10.3%</w:t>
      </w:r>
      <w:r>
        <w:rPr/>
        <w:t>。利润快于收入来自毛利改善和费用率下降，必须经过更多现实约束。研发从</w:t>
      </w:r>
      <w:r>
        <w:rPr/>
        <w:t>105</w:t>
      </w:r>
      <w:r>
        <w:rPr/>
        <w:t>亿元升到</w:t>
      </w:r>
      <w:r>
        <w:rPr/>
        <w:t>158</w:t>
      </w:r>
      <w:r>
        <w:rPr/>
        <w:t>亿元、资本开支由</w:t>
      </w:r>
      <w:r>
        <w:rPr/>
        <w:t>90</w:t>
      </w:r>
      <w:r>
        <w:rPr/>
        <w:t>亿增到</w:t>
      </w:r>
      <w:r>
        <w:rPr/>
        <w:t>125</w:t>
      </w:r>
      <w:r>
        <w:rPr/>
        <w:t>亿元，不能靠削研发制造利润；销售率从</w:t>
      </w:r>
      <w:r>
        <w:rPr/>
        <w:t>10.8%</w:t>
      </w:r>
      <w:r>
        <w:rPr/>
        <w:t>降到</w:t>
      </w:r>
      <w:r>
        <w:rPr/>
        <w:t>10.3%</w:t>
      </w:r>
      <w:r>
        <w:rPr/>
        <w:t>，残余行政</w:t>
      </w:r>
      <w:r>
        <w:rPr/>
        <w:t>4.4%</w:t>
      </w:r>
      <w:r>
        <w:rPr/>
        <w:t>降到</w:t>
      </w:r>
      <w:r>
        <w:rPr/>
        <w:t>4%</w:t>
      </w:r>
      <w:r>
        <w:rPr/>
        <w:t>，幅度并非零成本。净利润率最终接近</w:t>
      </w:r>
      <w:r>
        <w:rPr/>
        <w:t>8.9%</w:t>
      </w:r>
      <w:r>
        <w:rPr/>
        <w:t>仍比</w:t>
      </w:r>
      <w:r>
        <w:rPr/>
        <w:t>2025</w:t>
      </w:r>
      <w:r>
        <w:rPr/>
        <w:t>更高，若全球竞争阻止毛利提高，长期目标会明显降低。</w:t>
      </w:r>
    </w:p>
    <w:p>
      <w:pPr>
        <w:pStyle w:val="Normal"/>
        <w:rPr/>
      </w:pPr>
      <w:r>
        <w:rPr/>
        <w:t>乐观路径到</w:t>
      </w:r>
      <w:r>
        <w:rPr/>
        <w:t>2032</w:t>
      </w:r>
      <w:r>
        <w:rPr/>
        <w:t>收入</w:t>
      </w:r>
      <w:r>
        <w:rPr/>
        <w:t>5425</w:t>
      </w:r>
      <w:r>
        <w:rPr/>
        <w:t>亿元、归母</w:t>
      </w:r>
      <w:r>
        <w:rPr/>
        <w:t>640.92</w:t>
      </w:r>
      <w:r>
        <w:rPr/>
        <w:t>亿元，毛利</w:t>
      </w:r>
      <w:r>
        <w:rPr/>
        <w:t>31.8%</w:t>
      </w:r>
      <w:r>
        <w:rPr/>
        <w:t>、销售</w:t>
      </w:r>
      <w:r>
        <w:rPr/>
        <w:t>9.7%</w:t>
      </w:r>
      <w:r>
        <w:rPr/>
        <w:t>、残余行政</w:t>
      </w:r>
      <w:r>
        <w:rPr/>
        <w:t>3.6%</w:t>
      </w:r>
      <w:r>
        <w:rPr/>
        <w:t>、研发</w:t>
      </w:r>
      <w:r>
        <w:rPr/>
        <w:t>207</w:t>
      </w:r>
      <w:r>
        <w:rPr/>
        <w:t>亿元。它要求成熟地区恢复、海外份额扩张、暖通更快增长、产品组合和供应链效率同时良好。全集团约</w:t>
      </w:r>
      <w:r>
        <w:rPr/>
        <w:t>11.8%</w:t>
      </w:r>
      <w:r>
        <w:rPr/>
        <w:t>的归母率显著高于当前，属于上侧经营结果而非最可能事实。该路径资本开支</w:t>
      </w:r>
      <w:r>
        <w:rPr/>
        <w:t>190</w:t>
      </w:r>
      <w:r>
        <w:rPr/>
        <w:t>亿元、营运资金投入</w:t>
      </w:r>
      <w:r>
        <w:rPr/>
        <w:t>100</w:t>
      </w:r>
      <w:r>
        <w:rPr/>
        <w:t>亿元、少数</w:t>
      </w:r>
      <w:r>
        <w:rPr/>
        <w:t>36</w:t>
      </w:r>
      <w:r>
        <w:rPr/>
        <w:t>亿元及分红</w:t>
      </w:r>
      <w:r>
        <w:rPr/>
        <w:t>55%</w:t>
      </w:r>
      <w:r>
        <w:rPr/>
        <w:t>相应提高，避免把销售增长全变现金。五年乐观价</w:t>
      </w:r>
      <w:r>
        <w:rPr/>
        <w:t>88.63</w:t>
      </w:r>
      <w:r>
        <w:rPr/>
        <w:t>港元与累计新息</w:t>
      </w:r>
      <w:r>
        <w:rPr/>
        <w:t>11.70</w:t>
      </w:r>
      <w:r>
        <w:rPr/>
        <w:t>港元能说明收益弹性，也强调其依赖多项积极条件联合发生。</w:t>
      </w:r>
    </w:p>
    <w:p>
      <w:pPr>
        <w:pStyle w:val="Normal"/>
        <w:rPr/>
      </w:pPr>
      <w:r>
        <w:rPr/>
        <w:t>悲观</w:t>
      </w:r>
      <w:r>
        <w:rPr/>
        <w:t>2027</w:t>
      </w:r>
      <w:r>
        <w:rPr/>
        <w:t>收入</w:t>
      </w:r>
      <w:r>
        <w:rPr/>
        <w:t>2891</w:t>
      </w:r>
      <w:r>
        <w:rPr/>
        <w:t>亿元、归母</w:t>
      </w:r>
      <w:r>
        <w:rPr/>
        <w:t>129.71</w:t>
      </w:r>
      <w:r>
        <w:rPr/>
        <w:t>亿元，</w:t>
      </w:r>
      <w:r>
        <w:rPr/>
        <w:t>2032</w:t>
      </w:r>
      <w:r>
        <w:rPr/>
        <w:t>收入</w:t>
      </w:r>
      <w:r>
        <w:rPr/>
        <w:t>2885</w:t>
      </w:r>
      <w:r>
        <w:rPr/>
        <w:t>亿元、归母</w:t>
      </w:r>
      <w:r>
        <w:rPr/>
        <w:t>84.12</w:t>
      </w:r>
      <w:r>
        <w:rPr/>
        <w:t>亿元，毛利</w:t>
      </w:r>
      <w:r>
        <w:rPr/>
        <w:t>24.7%</w:t>
      </w:r>
      <w:r>
        <w:rPr/>
        <w:t>、销售</w:t>
      </w:r>
      <w:r>
        <w:rPr/>
        <w:t>12%</w:t>
      </w:r>
      <w:r>
        <w:rPr/>
        <w:t>、残余行政</w:t>
      </w:r>
      <w:r>
        <w:rPr/>
        <w:t>4.8%</w:t>
      </w:r>
      <w:r>
        <w:rPr/>
        <w:t>、研发</w:t>
      </w:r>
      <w:r>
        <w:rPr/>
        <w:t>115</w:t>
      </w:r>
      <w:r>
        <w:rPr/>
        <w:t>亿元。集团保持品牌和基本销售，但消费者更谨慎、市场价格下行、营销投入高、海外政治和物流风险使利润缩水。悲观估值从短期</w:t>
      </w:r>
      <w:r>
        <w:rPr/>
        <w:t>7.5</w:t>
      </w:r>
      <w:r>
        <w:rPr/>
        <w:t>倍逐步降到</w:t>
      </w:r>
      <w:r>
        <w:rPr/>
        <w:t>6.5</w:t>
      </w:r>
      <w:r>
        <w:rPr/>
        <w:t>倍，市场不再相信轻易恢复。它不是以现金清算值保护股价，</w:t>
      </w:r>
      <w:r>
        <w:rPr/>
        <w:t>PE</w:t>
      </w:r>
      <w:r>
        <w:rPr/>
        <w:t>盈利本就含财资收益，不能再加现金</w:t>
      </w:r>
      <w:r>
        <w:rPr/>
        <w:t>NAV</w:t>
      </w:r>
      <w:r>
        <w:rPr/>
        <w:t>填高悲观价。真实风险若超过这些假设，模型区间也会被突破，需重新设情景而不是宣称悲观边界绝对安全。</w:t>
      </w:r>
    </w:p>
    <w:p>
      <w:pPr>
        <w:pStyle w:val="Normal"/>
        <w:rPr/>
      </w:pPr>
      <w:r>
        <w:rPr/>
        <w:t>年底距离基准只有约三个月，使用完整远期公允值可能把几年修复迅速塞进剩余交易日。本章先算年底未来十二月正常盈利与</w:t>
      </w:r>
      <w:r>
        <w:rPr/>
        <w:t>8</w:t>
      </w:r>
      <w:r>
        <w:rPr/>
        <w:t>、</w:t>
      </w:r>
      <w:r>
        <w:rPr/>
        <w:t>10</w:t>
      </w:r>
      <w:r>
        <w:rPr/>
        <w:t>、</w:t>
      </w:r>
      <w:r>
        <w:rPr/>
        <w:t>12</w:t>
      </w:r>
      <w:r>
        <w:rPr/>
        <w:t>倍</w:t>
      </w:r>
      <w:r>
        <w:rPr/>
        <w:t>PE</w:t>
      </w:r>
      <w:r>
        <w:rPr/>
        <w:t>，再以当前价加估值差乘兑现因子</w:t>
      </w:r>
      <w:r>
        <w:rPr/>
        <w:t>65%</w:t>
      </w:r>
      <w:r>
        <w:rPr/>
        <w:t>、</w:t>
      </w:r>
      <w:r>
        <w:rPr/>
        <w:t>50%</w:t>
      </w:r>
      <w:r>
        <w:rPr/>
        <w:t>、</w:t>
      </w:r>
      <w:r>
        <w:rPr/>
        <w:t>45%</w:t>
      </w:r>
      <w:r>
        <w:rPr/>
        <w:t>得到年底</w:t>
      </w:r>
      <w:r>
        <w:rPr/>
        <w:t>15.22</w:t>
      </w:r>
      <w:r>
        <w:rPr/>
        <w:t>、</w:t>
      </w:r>
      <w:r>
        <w:rPr/>
        <w:t>23.58</w:t>
      </w:r>
      <w:r>
        <w:rPr/>
        <w:t>、</w:t>
      </w:r>
      <w:r>
        <w:rPr/>
        <w:t>29.00</w:t>
      </w:r>
      <w:r>
        <w:rPr/>
        <w:t>港元。因子是市场可能在年底价格中反映多少假设的研究判断，不是数学概率，更不是按剩余月份线性缩放投行目标。悲观信息价格可能更快反应，上侧需要更多业绩确认，因此下侧兑现略高。完整估值与兑现后价格同时保存，避免混淆内在测算和年底短期价格。</w:t>
      </w:r>
    </w:p>
    <w:p>
      <w:pPr>
        <w:pStyle w:val="Normal"/>
        <w:rPr/>
      </w:pPr>
      <w:r>
        <w:rPr/>
        <w:t>年底悲观条件是中国售价与高端需求继续弱、原材料和关税抵销节省、投资者降低正常盈利预测；基准是低比较基数和美国以外地区抵销压力，供应链及组织效率逐步实现；乐观是美国终端恢复、海外暖通更强、汇兑逆风减轻且市场愿意重新给较高</w:t>
      </w:r>
      <w:r>
        <w:rPr/>
        <w:t>PE</w:t>
      </w:r>
      <w:r>
        <w:rPr/>
        <w:t>。加权期望</w:t>
      </w:r>
      <w:r>
        <w:rPr/>
        <w:t>22.85</w:t>
      </w:r>
      <w:r>
        <w:rPr/>
        <w:t>港元来自</w:t>
      </w:r>
      <w:r>
        <w:rPr/>
        <w:t>25/50/25</w:t>
      </w:r>
      <w:r>
        <w:rPr/>
        <w:t>判断权重，改为</w:t>
      </w:r>
      <w:r>
        <w:rPr/>
        <w:t>40/50/10</w:t>
      </w:r>
      <w:r>
        <w:rPr/>
        <w:t>约</w:t>
      </w:r>
      <w:r>
        <w:rPr/>
        <w:t>20.78</w:t>
      </w:r>
      <w:r>
        <w:rPr/>
        <w:t>，改为</w:t>
      </w:r>
      <w:r>
        <w:rPr/>
        <w:t>10/50/40</w:t>
      </w:r>
      <w:r>
        <w:rPr/>
        <w:t>约</w:t>
      </w:r>
      <w:r>
        <w:rPr/>
        <w:t>24.92</w:t>
      </w:r>
      <w:r>
        <w:rPr/>
        <w:t>。不同权重可大幅改变看似精确的期望，报告不以小数位包装确定性。年底实际最后交易日和市场信息仍需按已公开交易表及新公告更新。</w:t>
      </w:r>
    </w:p>
    <w:p>
      <w:pPr>
        <w:pStyle w:val="Normal"/>
        <w:rPr/>
      </w:pPr>
      <w:r>
        <w:rPr/>
        <w:t>半年基准</w:t>
      </w:r>
      <w:r>
        <w:rPr/>
        <w:t>10.5</w:t>
      </w:r>
      <w:r>
        <w:rPr/>
        <w:t>倍正常</w:t>
      </w:r>
      <w:r>
        <w:rPr/>
        <w:t>NTM</w:t>
      </w:r>
      <w:r>
        <w:rPr/>
        <w:t>得</w:t>
      </w:r>
      <w:r>
        <w:rPr/>
        <w:t>29.16</w:t>
      </w:r>
      <w:r>
        <w:rPr/>
        <w:t>港元，较当前</w:t>
      </w:r>
      <w:r>
        <w:rPr/>
        <w:t>42.82%</w:t>
      </w:r>
      <w:r>
        <w:rPr/>
        <w:t>上涨；一年</w:t>
      </w:r>
      <w:r>
        <w:rPr/>
        <w:t>11</w:t>
      </w:r>
      <w:r>
        <w:rPr/>
        <w:t>倍得</w:t>
      </w:r>
      <w:r>
        <w:rPr/>
        <w:t>32.66</w:t>
      </w:r>
      <w:r>
        <w:rPr/>
        <w:t>港元，加新息</w:t>
      </w:r>
      <w:r>
        <w:rPr/>
        <w:t>1.19</w:t>
      </w:r>
      <w:r>
        <w:rPr/>
        <w:t>合</w:t>
      </w:r>
      <w:r>
        <w:rPr/>
        <w:t>65.79%</w:t>
      </w:r>
      <w:r>
        <w:rPr/>
        <w:t>回报。两种期限分子权重不同，但都要到</w:t>
      </w:r>
      <w:r>
        <w:rPr/>
        <w:t>2027</w:t>
      </w:r>
      <w:r>
        <w:rPr/>
        <w:t>经营逐步兑现。三年基准</w:t>
      </w:r>
      <w:r>
        <w:rPr/>
        <w:t>10.5</w:t>
      </w:r>
      <w:r>
        <w:rPr/>
        <w:t>倍得</w:t>
      </w:r>
      <w:r>
        <w:rPr/>
        <w:t>38.39</w:t>
      </w:r>
      <w:r>
        <w:rPr/>
        <w:t>港元，加三次息</w:t>
      </w:r>
      <w:r>
        <w:rPr/>
        <w:t>4.08</w:t>
      </w:r>
      <w:r>
        <w:rPr/>
        <w:t>合</w:t>
      </w:r>
      <w:r>
        <w:rPr/>
        <w:t>108.02%</w:t>
      </w:r>
      <w:r>
        <w:rPr/>
        <w:t>，年化</w:t>
      </w:r>
      <w:r>
        <w:rPr/>
        <w:t>27.65%</w:t>
      </w:r>
      <w:r>
        <w:rPr/>
        <w:t>；五年</w:t>
      </w:r>
      <w:r>
        <w:rPr/>
        <w:t>10</w:t>
      </w:r>
      <w:r>
        <w:rPr/>
        <w:t>倍得</w:t>
      </w:r>
      <w:r>
        <w:rPr/>
        <w:t>42.92</w:t>
      </w:r>
      <w:r>
        <w:rPr/>
        <w:t>，加五次息</w:t>
      </w:r>
      <w:r>
        <w:rPr/>
        <w:t>7.69</w:t>
      </w:r>
      <w:r>
        <w:rPr/>
        <w:t>合</w:t>
      </w:r>
      <w:r>
        <w:rPr/>
        <w:t>147.84%</w:t>
      </w:r>
      <w:r>
        <w:rPr/>
        <w:t>，年化</w:t>
      </w:r>
      <w:r>
        <w:rPr/>
        <w:t>19.90%</w:t>
      </w:r>
      <w:r>
        <w:rPr/>
        <w:t>。年化没有假设把股息立即再投资，按终值总财富倍数计算，因此与内部收益率、每年持仓路径并不相同。收益的主要来源是正常</w:t>
      </w:r>
      <w:r>
        <w:rPr/>
        <w:t>EPS</w:t>
      </w:r>
      <w:r>
        <w:rPr/>
        <w:t>成长和起点折价，长期倍数逐步下降。</w:t>
      </w:r>
    </w:p>
    <w:p>
      <w:pPr>
        <w:pStyle w:val="Normal"/>
        <w:rPr/>
      </w:pPr>
      <w:r>
        <w:rPr/>
        <w:t>估值敏感性必须放在目标价旁边。相同正常</w:t>
      </w:r>
      <w:r>
        <w:rPr/>
        <w:t>EPS</w:t>
      </w:r>
      <w:r>
        <w:rPr/>
        <w:t>时</w:t>
      </w:r>
      <w:r>
        <w:rPr/>
        <w:t>PE</w:t>
      </w:r>
      <w:r>
        <w:rPr/>
        <w:t>每变一倍，价格变化就是</w:t>
      </w:r>
      <w:r>
        <w:rPr/>
        <w:t>EPS</w:t>
      </w:r>
      <w:r>
        <w:rPr/>
        <w:t>乘港元换算；相同</w:t>
      </w:r>
      <w:r>
        <w:rPr/>
        <w:t>PE</w:t>
      </w:r>
      <w:r>
        <w:rPr/>
        <w:t>时收入毛利变一百分点能影响数十亿元税前利润，随后按税和少数归属传导。销售率下降与毛利率提高可以产生类似分子作用，却代表完全不同的经营证据。新股或回购改变分母同时影响资金；借款变化又影响银行利息，现金支付分红回购后减少财资收益。完整联动比把</w:t>
      </w:r>
      <w:r>
        <w:rPr/>
        <w:t>PE</w:t>
      </w:r>
      <w:r>
        <w:rPr/>
        <w:t>、</w:t>
      </w:r>
      <w:r>
        <w:rPr/>
        <w:t>EPS</w:t>
      </w:r>
      <w:r>
        <w:rPr/>
        <w:t>、现金都各给一个乐观倍数更可审阅，也有助发现某个目标价究竟依赖经营还是市场情绪。</w:t>
      </w:r>
    </w:p>
    <w:p>
      <w:pPr>
        <w:pStyle w:val="Normal"/>
        <w:rPr/>
      </w:pPr>
      <w:r>
        <w:rPr/>
        <w:t>现金预算从</w:t>
      </w:r>
      <w:r>
        <w:rPr/>
        <w:t>2026</w:t>
      </w:r>
      <w:r>
        <w:rPr/>
        <w:t>六月</w:t>
      </w:r>
      <w:r>
        <w:rPr/>
        <w:t>498.73</w:t>
      </w:r>
      <w:r>
        <w:rPr/>
        <w:t>亿元起，已包含印度出售所得。模型对下半年正常归母用全年减已披露</w:t>
      </w:r>
      <w:r>
        <w:rPr/>
        <w:t>103.16</w:t>
      </w:r>
      <w:r>
        <w:rPr/>
        <w:t>亿元，折旧、营运资金、资本开支和联营分配减真实上半年数，股份支付回拨也分开处理。银行本金偿还、新借款、购</w:t>
      </w:r>
      <w:r>
        <w:rPr/>
        <w:t>A</w:t>
      </w:r>
      <w:r>
        <w:rPr/>
        <w:t>激励股、购</w:t>
      </w:r>
      <w:r>
        <w:rPr/>
        <w:t>H</w:t>
      </w:r>
      <w:r>
        <w:rPr/>
        <w:t>注销股、已知</w:t>
      </w:r>
      <w:r>
        <w:rPr/>
        <w:t>D</w:t>
      </w:r>
      <w:r>
        <w:rPr/>
        <w:t>和</w:t>
      </w:r>
      <w:r>
        <w:rPr/>
        <w:t>H</w:t>
      </w:r>
      <w:r>
        <w:rPr/>
        <w:t>支出、全年已确定股息逐一扣加。少数利润先从集团现金桥加回，再扣预计少数现金分配，避免把少数收益视作当期全部流走。</w:t>
      </w:r>
      <w:r>
        <w:rPr/>
        <w:t>2027</w:t>
      </w:r>
      <w:r>
        <w:rPr/>
        <w:t>之后用前年现金和债务作起点，相关利息随余额更新，不能凭空增加融资价值。</w:t>
      </w:r>
    </w:p>
    <w:p>
      <w:pPr>
        <w:pStyle w:val="Normal"/>
        <w:rPr/>
      </w:pPr>
      <w:r>
        <w:rPr/>
        <w:t>三情景预算全期最低现金约</w:t>
      </w:r>
      <w:r>
        <w:rPr/>
        <w:t>433.83</w:t>
      </w:r>
      <w:r>
        <w:rPr/>
        <w:t>、</w:t>
      </w:r>
      <w:r>
        <w:rPr/>
        <w:t>485.03</w:t>
      </w:r>
      <w:r>
        <w:rPr/>
        <w:t>、</w:t>
      </w:r>
      <w:r>
        <w:rPr/>
        <w:t>500.58</w:t>
      </w:r>
      <w:r>
        <w:rPr/>
        <w:t>亿元，均高于研究最低储备</w:t>
      </w:r>
      <w:r>
        <w:rPr/>
        <w:t>100</w:t>
      </w:r>
      <w:r>
        <w:rPr/>
        <w:t>亿元。这只证明所设预算能覆盖显式支出，不是公司未来现金保证。保守预算未把理财及全部摊余资产当自由现金，却仍依赖供应链信用稳定、无重大收购或巨额减值、银行融资正常滚动。资本承诺</w:t>
      </w:r>
      <w:r>
        <w:rPr/>
        <w:t>63.19</w:t>
      </w:r>
      <w:r>
        <w:rPr/>
        <w:t>亿元属于合同待支付，已通过未来资本开支预算覆盖，不另扣一次；若项目新增超预算要刷新。融资承诺、回购计划与真实到账、购股和注销应按证据分层，不能只凭授权上限全部提前入模。</w:t>
      </w:r>
    </w:p>
    <w:p>
      <w:pPr>
        <w:pStyle w:val="Heading2"/>
        <w:rPr/>
      </w:pPr>
      <w:r>
        <w:rPr>
          <w:color w:val="000000"/>
        </w:rPr>
        <w:t>四期限逻辑 反证与十年经营展望</w:t>
      </w:r>
    </w:p>
    <w:p>
      <w:pPr>
        <w:pStyle w:val="Normal"/>
        <w:rPr/>
      </w:pPr>
      <w:r>
        <w:rPr/>
        <w:t>半年投资的成功路径是估值底部和低基数出现经营证据，同时量价确认。若三季或全年归母仍下降，扣汇兑后费用和产品售价也弱，市场可能维持八至九倍预期</w:t>
      </w:r>
      <w:r>
        <w:rPr/>
        <w:t>PE</w:t>
      </w:r>
      <w:r>
        <w:rPr/>
        <w:t>，基准</w:t>
      </w:r>
      <w:r>
        <w:rPr/>
        <w:t>10.5</w:t>
      </w:r>
      <w:r>
        <w:rPr/>
        <w:t>倍较难实现。当前均线结构弱，半年</w:t>
      </w:r>
      <w:r>
        <w:rPr/>
        <w:t>65.6</w:t>
      </w:r>
      <w:r>
        <w:rPr/>
        <w:t>分是因估值</w:t>
      </w:r>
      <w:r>
        <w:rPr/>
        <w:t>3.8</w:t>
      </w:r>
      <w:r>
        <w:rPr/>
        <w:t>、技术</w:t>
      </w:r>
      <w:r>
        <w:rPr/>
        <w:t>2.6</w:t>
      </w:r>
      <w:r>
        <w:rPr/>
        <w:t>、经营</w:t>
      </w:r>
      <w:r>
        <w:rPr/>
        <w:t>3.6</w:t>
      </w:r>
      <w:r>
        <w:rPr/>
        <w:t>、周期</w:t>
      </w:r>
      <w:r>
        <w:rPr/>
        <w:t>3.0</w:t>
      </w:r>
      <w:r>
        <w:rPr/>
        <w:t>、催化</w:t>
      </w:r>
      <w:r>
        <w:rPr/>
        <w:t>3.5</w:t>
      </w:r>
      <w:r>
        <w:rPr/>
        <w:t>、风险</w:t>
      </w:r>
      <w:r>
        <w:rPr/>
        <w:t>3.6</w:t>
      </w:r>
      <w:r>
        <w:rPr/>
        <w:t>按权重计算，技术占三成拖累总分。这个评分不是认为</w:t>
      </w:r>
      <w:r>
        <w:rPr/>
        <w:t>65.6%</w:t>
      </w:r>
      <w:r>
        <w:rPr/>
        <w:t>概率赚到钱；它表达在进取标准下短期可观察而不足以仅凭目标空间成为最优先。</w:t>
      </w:r>
    </w:p>
    <w:p>
      <w:pPr>
        <w:pStyle w:val="Normal"/>
        <w:rPr/>
      </w:pPr>
      <w:r>
        <w:rPr/>
        <w:t>一年看点是全球产能调整、统一仓储直达消费者模式及暖通业务能否使利润恢复更均衡。渠道转型早期费用高、营运资金和收款结构变动，短期占比提高并非全部正面。若库存更透明、交付更快、售后成本下降且净利润与现金同步，才提高经营增长分。基准一年</w:t>
      </w:r>
      <w:r>
        <w:rPr/>
        <w:t>71.1</w:t>
      </w:r>
      <w:r>
        <w:rPr/>
        <w:t>分中经营占</w:t>
      </w:r>
      <w:r>
        <w:rPr/>
        <w:t>25%</w:t>
      </w:r>
      <w:r>
        <w:rPr/>
        <w:t>，行业</w:t>
      </w:r>
      <w:r>
        <w:rPr/>
        <w:t>15%</w:t>
      </w:r>
      <w:r>
        <w:rPr/>
        <w:t>，技术降到</w:t>
      </w:r>
      <w:r>
        <w:rPr/>
        <w:t>15%</w:t>
      </w:r>
      <w:r>
        <w:rPr/>
        <w:t>，适合用完整两个报告期检验。反证是美国销量和售价再降、新兴扩张资本开支大于回报，或印度</w:t>
      </w:r>
      <w:r>
        <w:rPr/>
        <w:t>NCI</w:t>
      </w:r>
      <w:r>
        <w:rPr/>
        <w:t>使合并增长无法转化成归母增长，这些都要降低</w:t>
      </w:r>
      <w:r>
        <w:rPr/>
        <w:t>EPS</w:t>
      </w:r>
      <w:r>
        <w:rPr/>
        <w:t>而非只降低信心描述。</w:t>
      </w:r>
    </w:p>
    <w:p>
      <w:pPr>
        <w:pStyle w:val="Normal"/>
        <w:rPr/>
      </w:pPr>
      <w:r>
        <w:rPr/>
        <w:t>三年更多依赖全球暖通、制冷更新与新兴地区的规模效应。基准三年</w:t>
      </w:r>
      <w:r>
        <w:rPr/>
        <w:t>76.6</w:t>
      </w:r>
      <w:r>
        <w:rPr/>
        <w:t>分，经营质量</w:t>
      </w:r>
      <w:r>
        <w:rPr/>
        <w:t>35%</w:t>
      </w:r>
      <w:r>
        <w:rPr/>
        <w:t>、行业</w:t>
      </w:r>
      <w:r>
        <w:rPr/>
        <w:t>20%</w:t>
      </w:r>
      <w:r>
        <w:rPr/>
        <w:t>、技术</w:t>
      </w:r>
      <w:r>
        <w:rPr/>
        <w:t>5%</w:t>
      </w:r>
      <w:r>
        <w:rPr/>
        <w:t>，说明当前</w:t>
      </w:r>
      <w:r>
        <w:rPr/>
        <w:t>K</w:t>
      </w:r>
      <w:r>
        <w:rPr/>
        <w:t>线不应决定多年经营值。公司需要在不同市场复制技术与采购能力而不失去本土产品设计，资本开支需以投产、利用率和利润证明。若热泵、商用制冷和数据中心冷却需求很大，但海尔拿到的订单利润低或项目回款慢，也不能按行业容量提升目标。连续两个年度正常归母低于基准一成以上、现金转化持续弱，应重设三年情景并重新排序。</w:t>
      </w:r>
    </w:p>
    <w:p>
      <w:pPr>
        <w:pStyle w:val="Normal"/>
        <w:rPr/>
      </w:pPr>
      <w:r>
        <w:rPr/>
        <w:t>五年最关键是品牌和服务的持续性，而不是一次补贴和单次关税退款。成熟市场替换、新兴保有量提升、能效规则更新与整体家居体验可提供需求，公司未来更像跨地区消费和工业制冷平台。基准</w:t>
      </w:r>
      <w:r>
        <w:rPr/>
        <w:t>76.2</w:t>
      </w:r>
      <w:r>
        <w:rPr/>
        <w:t>分保留经营</w:t>
      </w:r>
      <w:r>
        <w:rPr/>
        <w:t>4.0</w:t>
      </w:r>
      <w:r>
        <w:rPr/>
        <w:t>、行业</w:t>
      </w:r>
      <w:r>
        <w:rPr/>
        <w:t>3.8</w:t>
      </w:r>
      <w:r>
        <w:rPr/>
        <w:t>、风险</w:t>
      </w:r>
      <w:r>
        <w:rPr/>
        <w:t>3.5</w:t>
      </w:r>
      <w:r>
        <w:rPr/>
        <w:t>，技术零权重。现金能够支持股息、真正注销回购和必要研发，并且归母每股收益增长，才是长期复利来源。若管理层把现金主要投入低回报收购、关联资产或激励而回购不注销，高收入成长也可能不足以给普通股东相应回报。</w:t>
      </w:r>
    </w:p>
    <w:p>
      <w:pPr>
        <w:pStyle w:val="Normal"/>
        <w:rPr/>
      </w:pPr>
      <w:r>
        <w:rPr/>
        <w:t>十年经营展望截至</w:t>
      </w:r>
      <w:r>
        <w:rPr/>
        <w:t>2036</w:t>
      </w:r>
      <w:r>
        <w:rPr/>
        <w:t>年侧重持续性，不给未经完整模型证明的十年精确目标价。全球冰箱和洗衣机基本需求不会因</w:t>
      </w:r>
      <w:r>
        <w:rPr/>
        <w:t>AI</w:t>
      </w:r>
      <w:r>
        <w:rPr/>
        <w:t>消失，但产品易同质化，软件、互联和能耗优化可以成为服务的一部分，也会增加网络安全与维护责任。海尔需要维持售后零件、升级和数据授权，使智能功能长期可用。家庭机器人具有机会，但可靠性、安全性和成本尚需验证，本章不在白电</w:t>
      </w:r>
      <w:r>
        <w:rPr/>
        <w:t>PE</w:t>
      </w:r>
      <w:r>
        <w:rPr/>
        <w:t>外赋独立机器人终值。若人工智能功能成为全行业标配，海尔仍必须靠品牌、安装体验、渠道及制造质量获取经济利润。</w:t>
      </w:r>
    </w:p>
    <w:p>
      <w:pPr>
        <w:pStyle w:val="Normal"/>
        <w:rPr/>
      </w:pPr>
      <w:r>
        <w:rPr/>
        <w:t>经济与行业十年可能出现能源效率标准更严、制冷剂替代加快、极端气候推动降温需求及人口结构改变。它们有利于高能效系统，也可能要求更多研发和资本。老龄家庭关注易用、安全及护理，年轻家庭要求紧凑、多功能、互联，产品组合必须随用户变化。欧美本土化生产与中国供应链技术共享有利于抗贸易波动，却使资本和组织复杂度增加。若全球规模最终换来持续高成本、低利用率和过度分散，十年优势会削弱。长期评分对财务治理提高</w:t>
      </w:r>
      <w:r>
        <w:rPr/>
        <w:t>15%</w:t>
      </w:r>
      <w:r>
        <w:rPr/>
        <w:t>权重，正是因为这些资本配置结果比短期销售更重要。</w:t>
      </w:r>
    </w:p>
    <w:p>
      <w:pPr>
        <w:pStyle w:val="Normal"/>
        <w:rPr/>
      </w:pPr>
      <w:r>
        <w:rPr/>
        <w:t>哪些变化会推翻推荐必须明确。国内高端份额下滑同时价格下降、海外增收不增利、暖通连续低回报、应收和信用损失升、两年资本开支后利用率仍低、关联财资回收出现显著限制、正常利润依赖补助或资产处置、股份激励超过回购增厚，任一变化都可能压低基准。市场若已经给高倍数而盈利未兑现，上涨空间也会收窄。研究应以实际事件修订总表，而不因初版长篇分析已经完成而维护旧目标。本章提出条件和失败路径，是为了让未来更新可以检验自己的判断。</w:t>
      </w:r>
    </w:p>
    <w:p>
      <w:pPr>
        <w:pStyle w:val="Heading2"/>
        <w:rPr/>
      </w:pPr>
      <w:r>
        <w:rPr>
          <w:color w:val="000000"/>
        </w:rPr>
        <w:t>机构目标与研究可信度</w:t>
      </w:r>
    </w:p>
    <w:p>
      <w:pPr>
        <w:pStyle w:val="Normal"/>
        <w:rPr/>
      </w:pPr>
      <w:r>
        <w:rPr/>
        <w:t>富瑞</w:t>
      </w:r>
      <w:r>
        <w:rPr/>
        <w:t>2026</w:t>
      </w:r>
      <w:r>
        <w:rPr/>
        <w:t>十月五日</w:t>
      </w:r>
      <w:r>
        <w:rPr/>
        <w:t>09</w:t>
      </w:r>
      <w:r>
        <w:rPr/>
        <w:t>时</w:t>
      </w:r>
      <w:r>
        <w:rPr/>
        <w:t>53</w:t>
      </w:r>
      <w:r>
        <w:rPr/>
        <w:t>分公开转述，把</w:t>
      </w:r>
      <w:r>
        <w:rPr/>
        <w:t>H</w:t>
      </w:r>
      <w:r>
        <w:rPr/>
        <w:t>股目标由</w:t>
      </w:r>
      <w:r>
        <w:rPr/>
        <w:t>22</w:t>
      </w:r>
      <w:r>
        <w:rPr/>
        <w:t>降至</w:t>
      </w:r>
      <w:r>
        <w:rPr/>
        <w:t>21</w:t>
      </w:r>
      <w:r>
        <w:rPr/>
        <w:t>港元、评级持有，预计第三季收入增</w:t>
      </w:r>
      <w:r>
        <w:rPr/>
        <w:t>0.6%</w:t>
      </w:r>
      <w:r>
        <w:rPr/>
        <w:t>但净利降</w:t>
      </w:r>
      <w:r>
        <w:rPr/>
        <w:t>7.2%</w:t>
      </w:r>
      <w:r>
        <w:rPr/>
        <w:t>，关注中国平均售价、卡萨帝调整和美国较高利润组合受压。里昂八月二十八日</w:t>
      </w:r>
      <w:r>
        <w:rPr/>
        <w:t>11</w:t>
      </w:r>
      <w:r>
        <w:rPr/>
        <w:t>时</w:t>
      </w:r>
      <w:r>
        <w:rPr/>
        <w:t>55</w:t>
      </w:r>
      <w:r>
        <w:rPr/>
        <w:t>分把目标由</w:t>
      </w:r>
      <w:r>
        <w:rPr/>
        <w:t>25</w:t>
      </w:r>
      <w:r>
        <w:rPr/>
        <w:t>升到</w:t>
      </w:r>
      <w:r>
        <w:rPr/>
        <w:t>26</w:t>
      </w:r>
      <w:r>
        <w:rPr/>
        <w:t>、跑赢大市，认为数字化、暖通重组与海外补库存有助效率，第二季收入增</w:t>
      </w:r>
      <w:r>
        <w:rPr/>
        <w:t>1.4%</w:t>
      </w:r>
      <w:r>
        <w:rPr/>
        <w:t>、净利降</w:t>
      </w:r>
      <w:r>
        <w:rPr/>
        <w:t>13.5%</w:t>
      </w:r>
      <w:r>
        <w:rPr/>
        <w:t>受汇兑影响。这两家近期意见方向不同且未公开明确目标时长，不能直接平均说市场一致一年价，更不能把</w:t>
      </w:r>
      <w:r>
        <w:rPr/>
        <w:t>21</w:t>
      </w:r>
      <w:r>
        <w:rPr/>
        <w:t>与</w:t>
      </w:r>
      <w:r>
        <w:rPr/>
        <w:t>26</w:t>
      </w:r>
      <w:r>
        <w:rPr/>
        <w:t>当年底统计上下界。</w:t>
      </w:r>
    </w:p>
    <w:p>
      <w:pPr>
        <w:pStyle w:val="Normal"/>
        <w:rPr/>
      </w:pPr>
      <w:r>
        <w:rPr/>
        <w:t>摩根大通六月十日</w:t>
      </w:r>
      <w:r>
        <w:rPr/>
        <w:t>12</w:t>
      </w:r>
      <w:r>
        <w:rPr/>
        <w:t>时</w:t>
      </w:r>
      <w:r>
        <w:rPr/>
        <w:t>22</w:t>
      </w:r>
      <w:r>
        <w:rPr/>
        <w:t>分目标</w:t>
      </w:r>
      <w:r>
        <w:rPr/>
        <w:t>25</w:t>
      </w:r>
      <w:r>
        <w:rPr/>
        <w:t>港元、增持，强调低预期、美国以外业务和股东回报，时间已超九十天且在中报前，保留为历史参照。交银国际九月一日标题</w:t>
      </w:r>
      <w:r>
        <w:rPr/>
        <w:t>27.2</w:t>
      </w:r>
      <w:r>
        <w:rPr/>
        <w:t>港元、买入属于中资机构，正文未取得，只标中可信标题核目标；中银国际四月二十九日</w:t>
      </w:r>
      <w:r>
        <w:rPr/>
        <w:t>22.8</w:t>
      </w:r>
      <w:r>
        <w:rPr/>
        <w:t>、持有同样属于中资、旧意见。标题中美的</w:t>
      </w:r>
      <w:r>
        <w:rPr/>
        <w:t>103</w:t>
      </w:r>
      <w:r>
        <w:rPr/>
        <w:t>或</w:t>
      </w:r>
      <w:r>
        <w:rPr/>
        <w:t>92.8</w:t>
      </w:r>
      <w:r>
        <w:rPr/>
        <w:t>不能抓取成海尔目标。花旗九月</w:t>
      </w:r>
      <w:r>
        <w:rPr/>
        <w:t>28</w:t>
      </w:r>
      <w:r>
        <w:rPr/>
        <w:t>的</w:t>
      </w:r>
      <w:r>
        <w:rPr/>
        <w:t>26.3</w:t>
      </w:r>
      <w:r>
        <w:rPr/>
        <w:t>元人民币、大摩九月</w:t>
      </w:r>
      <w:r>
        <w:rPr/>
        <w:t>18</w:t>
      </w:r>
      <w:r>
        <w:rPr/>
        <w:t>的</w:t>
      </w:r>
      <w:r>
        <w:rPr/>
        <w:t>23</w:t>
      </w:r>
      <w:r>
        <w:rPr/>
        <w:t>元人民币明确属</w:t>
      </w:r>
      <w:r>
        <w:rPr/>
        <w:t>600690.SH</w:t>
      </w:r>
      <w:r>
        <w:rPr/>
        <w:t>，保留跨市场参考但排除</w:t>
      </w:r>
      <w:r>
        <w:rPr/>
        <w:t>H</w:t>
      </w:r>
      <w:r>
        <w:rPr/>
        <w:t>目标比较，防止代码相似新闻造成货币和证券混淆。</w:t>
      </w:r>
    </w:p>
    <w:p>
      <w:pPr>
        <w:pStyle w:val="Normal"/>
        <w:rPr/>
      </w:pPr>
      <w:r>
        <w:rPr/>
        <w:t>本章证据置信度为中：交易所年报、中报、月报、回购和股息原件高，截止日价格双源一致高；历史复权价形、未经完整行业篮子验证的相对表现中；未来正常利润、资本预算、</w:t>
      </w:r>
      <w:r>
        <w:rPr/>
        <w:t>PE</w:t>
      </w:r>
      <w:r>
        <w:rPr/>
        <w:t>及市场兑现因子中低。评分置信度独立于分数，较高经营评分不表示上侧目标更可靠。公开投行报道不是原研报，报告期限未明保持缺失；公司市场份额引用的第三方统计也按引用而非独立采样标注。每个重要数字可沿模型字段追溯原件或研究假设，缺数据不填成零，初版修订不会被视为新的已披露事实。</w:t>
      </w:r>
    </w:p>
    <w:p>
      <w:pPr>
        <w:pStyle w:val="Normal"/>
        <w:rPr/>
      </w:pPr>
      <w:r>
        <w:rPr/>
        <w:t>模型租赁处理另作独立核验：</w:t>
      </w:r>
      <w:r>
        <w:rPr/>
        <w:t>2025</w:t>
      </w:r>
      <w:r>
        <w:rPr/>
        <w:t>年融资负债变动附注的租赁现金减少</w:t>
      </w:r>
      <w:r>
        <w:rPr/>
        <w:t>18.01</w:t>
      </w:r>
      <w:r>
        <w:rPr/>
        <w:t>亿元与利息增加</w:t>
      </w:r>
      <w:r>
        <w:rPr/>
        <w:t>3.67</w:t>
      </w:r>
      <w:r>
        <w:rPr/>
        <w:t>亿元分列，证明现金支付包含利息。正常利润已扣租赁利息，转现金时先加回该项再减完整租赁现金，避免重复扣除；短期租赁和可变租金仍保留在营业费用。</w:t>
      </w:r>
      <w:r>
        <w:rPr/>
        <w:t>H1</w:t>
      </w:r>
      <w:r>
        <w:rPr/>
        <w:t>实际租息</w:t>
      </w:r>
      <w:r>
        <w:rPr/>
        <w:t>1.74</w:t>
      </w:r>
      <w:r>
        <w:rPr/>
        <w:t>亿元与租赁付款</w:t>
      </w:r>
      <w:r>
        <w:rPr/>
        <w:t>9.08</w:t>
      </w:r>
      <w:r>
        <w:rPr/>
        <w:t>亿元分开，全年预算减上半年实际值只是下半年现金代理，不称完整正常化审计。正常银行与其他融资费用按应计近似现金，不重复另扣同一利息；现实付息时差、汇兑和减值会使现金不同，需后续按真实现金流刷新。</w:t>
      </w:r>
    </w:p>
    <w:p>
      <w:pPr>
        <w:pStyle w:val="Heading2"/>
        <w:rPr/>
      </w:pPr>
      <w:r>
        <w:rPr>
          <w:color w:val="000000"/>
        </w:rPr>
        <w:t>来源</w:t>
      </w:r>
    </w:p>
    <w:p>
      <w:pPr>
        <w:pStyle w:val="Normal"/>
        <w:rPr/>
      </w:pPr>
      <w:r>
        <w:rPr/>
        <w:t xml:space="preserve">1. </w:t>
      </w:r>
      <w:r>
        <w:rPr/>
        <w:t>年报</w:t>
      </w:r>
      <w:r>
        <w:rPr/>
        <w:t>2025</w:t>
      </w:r>
      <w:r>
        <w:rPr/>
        <w:t>，</w:t>
      </w:r>
      <w:r>
        <w:rPr/>
        <w:t>2026-04-27 18:37</w:t>
      </w:r>
      <w:r>
        <w:rPr/>
        <w:t>，</w:t>
      </w:r>
      <w:r>
        <w:rPr/>
        <w:t xml:space="preserve">https://www1.hkexnews.hk/listedco/listconews/sehk/2026/0427/2026042702192.pdf </w:t>
      </w:r>
      <w:r>
        <w:rPr/>
        <w:t>。物理页</w:t>
      </w:r>
      <w:r>
        <w:rPr/>
        <w:t>164–165</w:t>
      </w:r>
      <w:r>
        <w:rPr/>
        <w:t>利润、</w:t>
      </w:r>
      <w:r>
        <w:rPr/>
        <w:t>170–172</w:t>
      </w:r>
      <w:r>
        <w:rPr/>
        <w:t>现金、</w:t>
      </w:r>
      <w:r>
        <w:rPr/>
        <w:t>233</w:t>
      </w:r>
      <w:r>
        <w:rPr/>
        <w:t>地区、</w:t>
      </w:r>
      <w:r>
        <w:rPr/>
        <w:t>236</w:t>
      </w:r>
      <w:r>
        <w:rPr/>
        <w:t>其他收益、</w:t>
      </w:r>
      <w:r>
        <w:rPr/>
        <w:t>317</w:t>
      </w:r>
      <w:r>
        <w:rPr/>
        <w:t>五年摘要；全年业绩首次发布</w:t>
      </w:r>
      <w:r>
        <w:rPr/>
        <w:t>2026-03-26 22:47</w:t>
      </w:r>
      <w:r>
        <w:rPr/>
        <w:t>。</w:t>
      </w:r>
    </w:p>
    <w:p>
      <w:pPr>
        <w:pStyle w:val="Normal"/>
        <w:rPr/>
      </w:pPr>
      <w:r>
        <w:rPr/>
        <w:t xml:space="preserve">2. </w:t>
      </w:r>
      <w:r>
        <w:rPr/>
        <w:t>中报</w:t>
      </w:r>
      <w:r>
        <w:rPr/>
        <w:t>2026</w:t>
      </w:r>
      <w:r>
        <w:rPr/>
        <w:t>，</w:t>
      </w:r>
      <w:r>
        <w:rPr/>
        <w:t>2026-09-28 19:26</w:t>
      </w:r>
      <w:r>
        <w:rPr/>
        <w:t>，</w:t>
      </w:r>
      <w:r>
        <w:rPr/>
        <w:t xml:space="preserve">https://www1.hkexnews.hk/listedco/listconews/sehk/2026/0928/2026092801607.pdf </w:t>
      </w:r>
      <w:r>
        <w:rPr/>
        <w:t>。物理页</w:t>
      </w:r>
      <w:r>
        <w:rPr/>
        <w:t>6–9</w:t>
      </w:r>
      <w:r>
        <w:rPr/>
        <w:t>利润及资产负债、</w:t>
      </w:r>
      <w:r>
        <w:rPr/>
        <w:t>12–13</w:t>
      </w:r>
      <w:r>
        <w:rPr/>
        <w:t>现金、</w:t>
      </w:r>
      <w:r>
        <w:rPr/>
        <w:t>16–21</w:t>
      </w:r>
      <w:r>
        <w:rPr/>
        <w:t>分部地区、</w:t>
      </w:r>
      <w:r>
        <w:rPr/>
        <w:t>23–28</w:t>
      </w:r>
      <w:r>
        <w:rPr/>
        <w:t>费用税息关联、</w:t>
      </w:r>
      <w:r>
        <w:rPr/>
        <w:t>41</w:t>
      </w:r>
      <w:r>
        <w:rPr/>
        <w:t>印度权益出售、</w:t>
      </w:r>
      <w:r>
        <w:rPr/>
        <w:t>42–71</w:t>
      </w:r>
      <w:r>
        <w:rPr/>
        <w:t>经营、</w:t>
      </w:r>
      <w:r>
        <w:rPr/>
        <w:t>85–88</w:t>
      </w:r>
      <w:r>
        <w:rPr/>
        <w:t>资源。中期业绩首发</w:t>
      </w:r>
      <w:r>
        <w:rPr/>
        <w:t>2026-08-27 22:47</w:t>
      </w:r>
      <w:r>
        <w:rPr/>
        <w:t>：</w:t>
      </w:r>
      <w:r>
        <w:rPr/>
        <w:t xml:space="preserve">https://www1.hkexnews.hk/listedco/listconews/sehk/2026/0827/2026082702357.pdf </w:t>
      </w:r>
      <w:r>
        <w:rPr/>
        <w:t>。均收盘后。</w:t>
      </w:r>
    </w:p>
    <w:p>
      <w:pPr>
        <w:pStyle w:val="Normal"/>
        <w:rPr/>
      </w:pPr>
      <w:r>
        <w:rPr/>
        <w:t xml:space="preserve">3. </w:t>
      </w:r>
      <w:r>
        <w:rPr/>
        <w:t>九月股本月报，</w:t>
      </w:r>
      <w:r>
        <w:rPr/>
        <w:t>2026-10-02 16:22</w:t>
      </w:r>
      <w:r>
        <w:rPr/>
        <w:t>，</w:t>
      </w:r>
      <w:r>
        <w:rPr/>
        <w:t xml:space="preserve">https://www1.hkexnews.hk/listedco/listconews/sehk/2026/1002/2026100201288.pdf </w:t>
      </w:r>
      <w:r>
        <w:rPr/>
        <w:t>。物理页</w:t>
      </w:r>
      <w:r>
        <w:rPr/>
        <w:t>1–4</w:t>
      </w:r>
      <w:r>
        <w:rPr/>
        <w:t>、</w:t>
      </w:r>
      <w:r>
        <w:rPr/>
        <w:t>9–10</w:t>
      </w:r>
      <w:r>
        <w:rPr/>
        <w:t>法律总股、库存、待注销。</w:t>
      </w:r>
    </w:p>
    <w:p>
      <w:pPr>
        <w:pStyle w:val="Normal"/>
        <w:rPr/>
      </w:pPr>
      <w:r>
        <w:rPr/>
        <w:t xml:space="preserve">4. </w:t>
      </w:r>
      <w:r>
        <w:rPr/>
        <w:t>十月二日</w:t>
      </w:r>
      <w:r>
        <w:rPr/>
        <w:t>D</w:t>
      </w:r>
      <w:r>
        <w:rPr/>
        <w:t>购股次日披露，</w:t>
      </w:r>
      <w:r>
        <w:rPr/>
        <w:t>2026-10-02 19:58</w:t>
      </w:r>
      <w:r>
        <w:rPr/>
        <w:t>，见</w:t>
      </w:r>
      <w:r>
        <w:rPr/>
        <w:t>data/haier_smart_sources.json</w:t>
      </w:r>
      <w:r>
        <w:rPr/>
        <w:t>保存</w:t>
      </w:r>
      <w:r>
        <w:rPr/>
        <w:t>HKEX</w:t>
      </w:r>
      <w:r>
        <w:rPr/>
        <w:t>原链接与</w:t>
      </w:r>
      <w:r>
        <w:rPr/>
        <w:t>PDF</w:t>
      </w:r>
      <w:r>
        <w:rPr/>
        <w:t>。物理页</w:t>
      </w:r>
      <w:r>
        <w:rPr/>
        <w:t>3</w:t>
      </w:r>
      <w:r>
        <w:rPr/>
        <w:t>、</w:t>
      </w:r>
      <w:r>
        <w:rPr/>
        <w:t>6</w:t>
      </w:r>
      <w:r>
        <w:rPr/>
        <w:t>显示</w:t>
      </w:r>
      <w:r>
        <w:rPr/>
        <w:t>79392362</w:t>
      </w:r>
      <w:r>
        <w:rPr/>
        <w:t>股、</w:t>
      </w:r>
      <w:r>
        <w:rPr/>
        <w:t>1.87</w:t>
      </w:r>
      <w:r>
        <w:rPr/>
        <w:t>欧元、</w:t>
      </w:r>
      <w:r>
        <w:rPr/>
        <w:t>148463716.94</w:t>
      </w:r>
      <w:r>
        <w:rPr/>
        <w:t>欧元、未注销。</w:t>
      </w:r>
    </w:p>
    <w:p>
      <w:pPr>
        <w:pStyle w:val="Normal"/>
        <w:rPr/>
      </w:pPr>
      <w:r>
        <w:rPr/>
        <w:t xml:space="preserve">5. </w:t>
      </w:r>
      <w:r>
        <w:rPr/>
        <w:t>末期息更新，</w:t>
      </w:r>
      <w:r>
        <w:rPr/>
        <w:t>2026-07-28 17:38</w:t>
      </w:r>
      <w:r>
        <w:rPr/>
        <w:t>，</w:t>
      </w:r>
      <w:r>
        <w:rPr/>
        <w:t xml:space="preserve">https://www1.hkexnews.hk/listedco/listconews/sehk/2026/0728/2026072800700.pdf </w:t>
      </w:r>
      <w:r>
        <w:rPr/>
        <w:t>。</w:t>
      </w:r>
      <w:r>
        <w:rPr/>
        <w:t>H</w:t>
      </w:r>
      <w:r>
        <w:rPr/>
        <w:t>每股</w:t>
      </w:r>
      <w:r>
        <w:rPr/>
        <w:t>1.0253105</w:t>
      </w:r>
      <w:r>
        <w:rPr/>
        <w:t>港元，</w:t>
      </w:r>
      <w:r>
        <w:rPr/>
        <w:t>8</w:t>
      </w:r>
      <w:r>
        <w:rPr/>
        <w:t>月</w:t>
      </w:r>
      <w:r>
        <w:rPr/>
        <w:t>21</w:t>
      </w:r>
      <w:r>
        <w:rPr/>
        <w:t>日付款；</w:t>
      </w:r>
      <w:r>
        <w:rPr/>
        <w:t>dividend form</w:t>
      </w:r>
      <w:r>
        <w:rPr/>
        <w:t>核</w:t>
      </w:r>
      <w:r>
        <w:rPr/>
        <w:t>8</w:t>
      </w:r>
      <w:r>
        <w:rPr/>
        <w:t>月</w:t>
      </w:r>
      <w:r>
        <w:rPr/>
        <w:t>3</w:t>
      </w:r>
      <w:r>
        <w:rPr/>
        <w:t>日除净。</w:t>
      </w:r>
    </w:p>
    <w:p>
      <w:pPr>
        <w:pStyle w:val="Normal"/>
        <w:rPr/>
      </w:pPr>
      <w:r>
        <w:rPr/>
        <w:t>6. 9</w:t>
      </w:r>
      <w:r>
        <w:rPr/>
        <w:t>月</w:t>
      </w:r>
      <w:r>
        <w:rPr/>
        <w:t>30</w:t>
      </w:r>
      <w:r>
        <w:rPr/>
        <w:t>日</w:t>
      </w:r>
      <w:r>
        <w:rPr/>
        <w:t>H</w:t>
      </w:r>
      <w:r>
        <w:rPr/>
        <w:t>与</w:t>
      </w:r>
      <w:r>
        <w:rPr/>
        <w:t>A</w:t>
      </w:r>
      <w:r>
        <w:rPr/>
        <w:t>回购进展，</w:t>
      </w:r>
      <w:r>
        <w:rPr/>
        <w:t>20:13</w:t>
      </w:r>
      <w:r>
        <w:rPr/>
        <w:t>及</w:t>
      </w:r>
      <w:r>
        <w:rPr/>
        <w:t>20:12</w:t>
      </w:r>
      <w:r>
        <w:rPr/>
        <w:t>，见来源档案官方</w:t>
      </w:r>
      <w:r>
        <w:rPr/>
        <w:t>PDF</w:t>
      </w:r>
      <w:r>
        <w:rPr/>
        <w:t>，分别</w:t>
      </w:r>
      <w:r>
        <w:rPr/>
        <w:t>4550000</w:t>
      </w:r>
      <w:r>
        <w:rPr/>
        <w:t>股</w:t>
      </w:r>
      <w:r>
        <w:rPr/>
        <w:t>/93577260.29HKD</w:t>
      </w:r>
      <w:r>
        <w:rPr/>
        <w:t>待注销及</w:t>
      </w:r>
      <w:r>
        <w:rPr/>
        <w:t>A109541989</w:t>
      </w:r>
      <w:r>
        <w:rPr/>
        <w:t>股</w:t>
      </w:r>
      <w:r>
        <w:rPr/>
        <w:t>/2290077151.28CNY</w:t>
      </w:r>
      <w:r>
        <w:rPr/>
        <w:t>用于激励。</w:t>
      </w:r>
    </w:p>
    <w:p>
      <w:pPr>
        <w:pStyle w:val="Normal"/>
        <w:rPr/>
      </w:pPr>
      <w:r>
        <w:rPr/>
        <w:t xml:space="preserve">7. </w:t>
      </w:r>
      <w:r>
        <w:rPr/>
        <w:t>机构目标原文与发布日期、代码归属保存在</w:t>
      </w:r>
      <w:r>
        <w:rPr/>
        <w:t>tech_evidence.json</w:t>
      </w:r>
      <w:r>
        <w:rPr/>
        <w:t>和本公司模型</w:t>
      </w:r>
      <w:r>
        <w:rPr/>
        <w:t>brokerTargets/excludedTargets</w:t>
      </w:r>
      <w:r>
        <w:rPr/>
        <w:t>；富瑞：</w:t>
      </w:r>
      <w:r>
        <w:rPr/>
        <w:t xml:space="preserve">https://www.aastocks.com/sc/stocks/analysis/stock-aafn-con/06690/AAFN/NOW.1547663/research-report </w:t>
      </w:r>
      <w:r>
        <w:rPr/>
        <w:t>；里昂：</w:t>
      </w:r>
      <w:r>
        <w:rPr/>
        <w:t xml:space="preserve">https://www.aastocks.com/sc/stocks/analysis/stock-aafn-con/06690/AAFN/NOW.1541635/research-report </w:t>
      </w:r>
      <w:r>
        <w:rPr/>
        <w:t>。公开新闻转述非原研报。</w:t>
      </w:r>
    </w:p>
    <w:p>
      <w:pPr>
        <w:pStyle w:val="Normal"/>
        <w:rPr/>
      </w:pPr>
      <w:r>
        <w:rPr/>
        <w:t xml:space="preserve">8. </w:t>
      </w:r>
      <w:r>
        <w:rPr/>
        <w:t>行情</w:t>
      </w:r>
      <w:r>
        <w:rPr/>
        <w:t>Tencent qt</w:t>
      </w:r>
      <w:r>
        <w:rPr/>
        <w:t>、</w:t>
      </w:r>
      <w:r>
        <w:rPr/>
        <w:t>Sina</w:t>
      </w:r>
      <w:r>
        <w:rPr/>
        <w:t>、</w:t>
      </w:r>
      <w:r>
        <w:rPr/>
        <w:t>Yahoo chart</w:t>
      </w:r>
      <w:r>
        <w:rPr/>
        <w:t>及</w:t>
      </w:r>
      <w:r>
        <w:rPr/>
        <w:t>Tencent</w:t>
      </w:r>
      <w:r>
        <w:rPr/>
        <w:t>复权日线，锁定</w:t>
      </w:r>
      <w:r>
        <w:rPr/>
        <w:t>market-v1.6</w:t>
      </w:r>
      <w:r>
        <w:rPr/>
        <w:t>，</w:t>
      </w:r>
      <w:r>
        <w:rPr/>
        <w:t>S078</w:t>
      </w:r>
      <w:r>
        <w:rPr/>
        <w:t>历史</w:t>
      </w:r>
      <w:r>
        <w:rPr/>
        <w:t>JSON</w:t>
      </w:r>
      <w:r>
        <w:rPr/>
        <w:t>，明确近</w:t>
      </w:r>
      <w:r>
        <w:rPr/>
        <w:t>60</w:t>
      </w:r>
      <w:r>
        <w:rPr/>
        <w:t>日复权差限制；公司行动与单位按锁定记录核验。</w:t>
      </w:r>
      <w:r>
        <w:br w:type="page"/>
      </w:r>
    </w:p>
    <w:p>
      <w:pPr>
        <w:pStyle w:val="Heading1"/>
        <w:rPr/>
      </w:pPr>
      <w:bookmarkStart w:id="5" w:name="__RefHeading___Toc26827_312338234"/>
      <w:bookmarkEnd w:id="5"/>
      <w:r>
        <w:rPr>
          <w:color w:val="000000"/>
        </w:rPr>
        <w:t xml:space="preserve">美团 </w:t>
      </w:r>
      <w:r>
        <w:rPr>
          <w:color w:val="000000"/>
        </w:rPr>
        <w:t>W 03690 HK</w:t>
      </w:r>
    </w:p>
    <w:p>
      <w:pPr>
        <w:pStyle w:val="Normal"/>
        <w:rPr/>
      </w:pPr>
      <w:r>
        <w:rPr/>
        <w:t xml:space="preserve">03690.HK </w:t>
      </w:r>
      <w:r>
        <w:rPr/>
        <w:t xml:space="preserve">现价 </w:t>
      </w:r>
      <w:r>
        <w:rPr/>
        <w:t>71.50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119.45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+67.06%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+67.06%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153.25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+114.34%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+114.34%</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237.21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+231.76%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+231.76%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294.79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+312.29%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+312.29%</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29.72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-58.43%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99.37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+38.98%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187.60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+162.38%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104.02HKD</w:t>
      </w:r>
      <w:r>
        <w:rPr/>
        <w:t>，期望股价回报</w:t>
      </w:r>
      <w:r>
        <w:rPr/>
        <w:t>+45.48%</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25.30</w:t>
              <w:br/>
              <w:t>-64.62%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119.45</w:t>
              <w:br/>
              <w:t>+67.06%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232.65</w:t>
              <w:br/>
              <w:t>+225.38%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30.25</w:t>
              <w:br/>
              <w:t>-57.69%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153.25</w:t>
              <w:br/>
              <w:t>+114.34%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299.81</w:t>
              <w:br/>
              <w:t>+319.31%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28.50</w:t>
              <w:br/>
              <w:t>-60.14%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237.21</w:t>
              <w:br/>
              <w:t>+231.76%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520.66</w:t>
              <w:br/>
              <w:t>+628.20%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+49.15%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26.11</w:t>
              <w:br/>
              <w:t>-63.48%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294.79</w:t>
              <w:br/>
              <w:t>+312.29%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717.52</w:t>
              <w:br/>
              <w:t>+903.52%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+32.75%</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financial</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高，审计年报及中报原文</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高，锁定双源日线</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中低，竞争正常化和新业务终值高度敏感</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broker</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中，新闻转述且期限未公开</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+58.71%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+67.06%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+75.42%</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+103.62%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+114.34%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+125.05%</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+215.17%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+231.76%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+248.35%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+291.68%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+312.29%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+332.91%</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I078</w:t>
      </w:r>
      <w:r>
        <w:rPr/>
        <w:t>；证券</w:t>
      </w:r>
      <w:r>
        <w:rPr/>
        <w:t>S089</w:t>
      </w:r>
      <w:r>
        <w:rPr/>
        <w:t>，</w:t>
      </w:r>
      <w:r>
        <w:rPr/>
        <w:t>03690.HK</w:t>
      </w:r>
      <w:r>
        <w:rPr/>
        <w:t>。独立研究初版，行情及资料截止</w:t>
      </w:r>
      <w:r>
        <w:rPr/>
        <w:t>2026</w:t>
      </w:r>
      <w:r>
        <w:rPr/>
        <w:t>年</w:t>
      </w:r>
      <w:r>
        <w:rPr/>
        <w:t>10</w:t>
      </w:r>
      <w:r>
        <w:rPr/>
        <w:t>月</w:t>
      </w:r>
      <w:r>
        <w:rPr/>
        <w:t>9</w:t>
      </w:r>
      <w:r>
        <w:rPr/>
        <w:t>日。基准收盘价</w:t>
      </w:r>
      <w:r>
        <w:rPr/>
        <w:t>71.50</w:t>
      </w:r>
      <w:r>
        <w:rPr/>
        <w:t>港元；</w:t>
      </w:r>
      <w:r>
        <w:rPr/>
        <w:t>A</w:t>
      </w:r>
      <w:r>
        <w:rPr/>
        <w:t>类与</w:t>
      </w:r>
      <w:r>
        <w:rPr/>
        <w:t>B</w:t>
      </w:r>
      <w:r>
        <w:rPr/>
        <w:t>类共享经济权益，股价对应上市</w:t>
      </w:r>
      <w:r>
        <w:rPr/>
        <w:t>B</w:t>
      </w:r>
      <w:r>
        <w:rPr/>
        <w:t>类普通股。本章经营、现金与估值分析独立撰写，不以其他公司的宏观段落补充字数。</w:t>
      </w:r>
    </w:p>
    <w:p>
      <w:pPr>
        <w:pStyle w:val="Heading2"/>
        <w:rPr/>
      </w:pPr>
      <w:r>
        <w:rPr>
          <w:color w:val="000000"/>
        </w:rPr>
        <w:t>结论卡</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研究梯队</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乐观价格港元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基准涨幅</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观察，等待盈利与量价确认</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25.30 / 119.45 / 232.65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67.06%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有条件进取</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30.25 / 153.25 / 299.81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114.34%</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成长观察候选</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28.50 / 237.21 / 520.66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231.76%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长期成长候选</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26.11 / 294.79 / 717.52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312.29%</w:t>
            </w:r>
          </w:p>
        </w:tc>
      </w:tr>
    </w:tbl>
    <w:p>
      <w:pPr>
        <w:pStyle w:val="Normal"/>
        <w:rPr/>
      </w:pPr>
      <w:r>
        <w:rPr/>
      </w:r>
    </w:p>
    <w:p>
      <w:pPr>
        <w:pStyle w:val="Normal"/>
        <w:rPr/>
      </w:pPr>
      <w:r>
        <w:rPr/>
        <w:t>各期限未来累计股息均假设为零，因此含息与股价回报相同。基准三年、五年年化分别</w:t>
      </w:r>
      <w:r>
        <w:rPr/>
        <w:t>49.15%</w:t>
      </w:r>
      <w:r>
        <w:rPr/>
        <w:t>、</w:t>
      </w:r>
      <w:r>
        <w:rPr/>
        <w:t>32.75%</w:t>
      </w:r>
      <w:r>
        <w:rPr/>
        <w:t>。这些数值依赖竞争显著改善、经营利润恢复和估值承认，证据可信度中低，评分不是获利概率。梯队为本章研究描述，全名单不足</w:t>
      </w:r>
      <w:r>
        <w:rPr/>
        <w:t>3</w:t>
      </w:r>
      <w:r>
        <w:rPr/>
        <w:t>分的共同梯队由总表统一计算。</w:t>
      </w:r>
    </w:p>
    <w:p>
      <w:pPr>
        <w:pStyle w:val="Normal"/>
        <w:rPr/>
      </w:pPr>
      <w:r>
        <w:rPr/>
        <w:t>年底悲观</w:t>
      </w:r>
      <w:r>
        <w:rPr/>
        <w:t>29.72</w:t>
      </w:r>
      <w:r>
        <w:rPr/>
        <w:t>、基准</w:t>
      </w:r>
      <w:r>
        <w:rPr/>
        <w:t>99.37</w:t>
      </w:r>
      <w:r>
        <w:rPr/>
        <w:t>、乐观</w:t>
      </w:r>
      <w:r>
        <w:rPr/>
        <w:t>187.60</w:t>
      </w:r>
      <w:r>
        <w:rPr/>
        <w:t>港元，相对现价分别−</w:t>
      </w:r>
      <w:r>
        <w:rPr/>
        <w:t>58.43%</w:t>
      </w:r>
      <w:r>
        <w:rPr/>
        <w:t>、</w:t>
      </w:r>
      <w:r>
        <w:rPr/>
        <w:t>+38.98%</w:t>
      </w:r>
      <w:r>
        <w:rPr/>
        <w:t>、</w:t>
      </w:r>
      <w:r>
        <w:rPr/>
        <w:t>+162.38%</w:t>
      </w:r>
      <w:r>
        <w:rPr/>
        <w:t>；</w:t>
      </w:r>
      <w:r>
        <w:rPr/>
        <w:t>25%/50%/25%</w:t>
      </w:r>
      <w:r>
        <w:rPr/>
        <w:t>判断权重期望价</w:t>
      </w:r>
      <w:r>
        <w:rPr/>
        <w:t>104.015</w:t>
      </w:r>
      <w:r>
        <w:rPr/>
        <w:t>港元，期望回报</w:t>
      </w:r>
      <w:r>
        <w:rPr/>
        <w:t>45.48%</w:t>
      </w:r>
      <w:r>
        <w:rPr/>
        <w:t>。这是估值路径的情景结果，不是统计波动区间。主要风险为外卖补贴复发、到店竞争、海外现金消耗、劳动保障、并购与股数增加。结论成立需要核心盈利恢复穿越淡旺季，且新增业务亏损控制与现金流一致。</w:t>
      </w:r>
    </w:p>
    <w:p>
      <w:pPr>
        <w:pStyle w:val="Heading2"/>
        <w:rPr/>
      </w:pPr>
      <w:r>
        <w:rPr>
          <w:color w:val="000000"/>
        </w:rPr>
        <w:t>一 决定推荐力度的业务结构</w:t>
      </w:r>
    </w:p>
    <w:p>
      <w:pPr>
        <w:pStyle w:val="Normal"/>
        <w:rPr/>
      </w:pPr>
      <w:r>
        <w:rPr/>
        <w:t>美团当前最有价值的资产是本地需求、商户供给和即时履约能力之间形成的交易网络。消费者要的是按时收到商品，商户要的是实际增加的订单，骑手要的是可预测的报酬。平台必须同时使这三方愿意继续参与，才可能把订单密度转化为单位成本优势。上市公司拥有一个庞大平台，并不意味着任何时期都能自由提高利润率；竞争者可以出钱改变用户的选择，商户也可以在多平台经营。因此本章将恢复盈利的证据和网络持续性的证据分开判断。</w:t>
      </w:r>
    </w:p>
    <w:p>
      <w:pPr>
        <w:pStyle w:val="Normal"/>
        <w:rPr/>
      </w:pPr>
      <w:r>
        <w:rPr/>
        <w:t>报告期披露的核心本地商业已包括外卖、即时零售、到店、酒店和旅游。把到店业务作为一份独立现金流再叠加到核心分部的估值上，会重复计算。公司另列新业务，主要包含若干零售、商户供应链、国际及技术探索。两个分部所报告的经营利润还没有包含全部未分配费用，集团层面的股份支付和部分企业费用必须继续扣除。理解这个结构是评价当前股价便宜与否的起点，否则高利润板块很容易被加两次，亏损成本却只出现一次。</w:t>
      </w:r>
    </w:p>
    <w:p>
      <w:pPr>
        <w:pStyle w:val="Normal"/>
        <w:rPr/>
      </w:pPr>
      <w:r>
        <w:rPr/>
        <w:t>外卖网络的护城河首先来自密度，而非软件本身。一个片区在同一时间有更多相近地址的订单，调度系统可能减少骑手空驶，提高每小时完成量；同一商户更稳定的出餐速度还可以降低等待。然而这些优势有边界，午餐峰值的拥堵、天气异常与远距离订单会增加成本。新增订单如果主要依靠低价补贴，带来的收入可能不足以支付履约。投资人应追踪订单质量、用户结构和补贴退出后的复购，而不是把市场份额上升直接换算成净利润。</w:t>
      </w:r>
    </w:p>
    <w:p>
      <w:pPr>
        <w:pStyle w:val="Normal"/>
        <w:rPr/>
      </w:pPr>
      <w:r>
        <w:rPr/>
        <w:t>即时零售扩大了用户打开平台的理由。药品、日用品、酒水和其他非餐商品的需求更分散，能够补充餐饮高峰之外的运力使用。它也要求新的门店库存、拣货流程、真假识别和售后服务。商品价格较高并不保证平台利润较高：配送距离、退货率和商户补贴都可能抵消客单价。中报强调闪购用户频次与供给改善，方向值得跟踪，但没有公开足以独立核算每个品类利润的完整数据，本章不会声称非餐业务已获得统一的高利润水平。</w:t>
      </w:r>
    </w:p>
    <w:p>
      <w:pPr>
        <w:pStyle w:val="Normal"/>
        <w:rPr/>
      </w:pPr>
      <w:r>
        <w:rPr/>
        <w:t>拼好饭等低价产品服务的是对总价敏感的需求。其合理作用是通过标准化餐品、集单和商户效率改善让交易真正变便宜，而不只是由平台承担差额。若低价商品吸引了原本不使用外卖的用户，网络密度可以增加；若原有高价订单大规模转成低价订单，则可能稀释收入。两种结果需要用户迁移与贡献利润数据区分。公司披露产品优化和连锁商户参与，但不能仅靠品牌名称就假设低价业务必然扩大整体利润。</w:t>
      </w:r>
    </w:p>
    <w:p>
      <w:pPr>
        <w:pStyle w:val="Normal"/>
        <w:rPr/>
      </w:pPr>
      <w:r>
        <w:rPr/>
        <w:t>品牌卫星店与即时零售前置供给反映出美团试图参与商户经营流程。它们可以让出餐与库存更接近需求，也可能带来食品安全、加盟与渠道竞争的问题。如果平台对供给端承担更多责任，原本较轻的佣金模式会增加审核、设备或运营支持成本。研究模型因此没有把业务升级全部解释为毛利率提升，而是保留企业研发、管理、股份支付以及常态履约成本。平台越深入实体运营，财务表现越需要以现金流检验。</w:t>
      </w:r>
    </w:p>
    <w:p>
      <w:pPr>
        <w:pStyle w:val="Normal"/>
        <w:rPr/>
      </w:pPr>
      <w:r>
        <w:rPr/>
        <w:t>到店业务的优势是用户评价、可发现的供给和核销服务。消费者到店决策常包含位置、价格、口碑和实际体验；成熟的评价库能减少选择成本。中报提到必吃榜使用大量真实用户评价，说明公司继续投入可信内容。可信度若被刷单、虚假点评或广告排序损害，评价资产会贬值。短视频平台具有更强的消费灵感触达能力，美团则擅长明确需求后的比较与成交；双方竞争的是决策链条中的不同环节，也可能在商户预算上直接相遇。</w:t>
      </w:r>
    </w:p>
    <w:p>
      <w:pPr>
        <w:pStyle w:val="Normal"/>
        <w:rPr/>
      </w:pPr>
      <w:r>
        <w:rPr/>
        <w:t>到店、酒旅的收入不应只由交易量解释。平台能收取多少商户服务费，取决于其带来的增量消费者、转化质量和商户自身利润。经济疲弱时餐饮商户可能需要更多营销，却没有更大的支付能力；促销提高核销量也可能降低客单价。公司所谓高质量增长，应落到持续客户、退款和有效服务收入。模型采用整体核心收入和合理经营率，而不凭未经公开核验的到店利润拆分给出看似精确的分部市盈率。</w:t>
      </w:r>
    </w:p>
    <w:p>
      <w:pPr>
        <w:pStyle w:val="Normal"/>
        <w:rPr/>
      </w:pPr>
      <w:r>
        <w:rPr/>
        <w:t>酒店与旅游给美团提供跨场景消费机会，也存在不同的履约要求。低线城市、周边游和本地生活用户具有便利的交叉转化，高端住宿与国际行程则涉及更复杂的供给管理和客户服务。不能因为美团覆盖住宿，就把另一家旅行平台的利润率照搬。它既需要维护价格和供给竞争力，也要保护酒店渠道关系。相关收入已经计入核心本地商业，本章以整体现金生成来判断贡献，不另外创造一份酒店品牌价值。</w:t>
      </w:r>
    </w:p>
    <w:p>
      <w:pPr>
        <w:pStyle w:val="Normal"/>
        <w:rPr/>
      </w:pPr>
      <w:r>
        <w:rPr/>
        <w:t>商户服务中广告与佣金的经济性质不同。佣金随实际成交，营销则取决于曝光、竞争和广告投资回报。平台提高广告比例可能改善短期财务，却使商户的有效获客成本上升。如果商户无法判断付费展示带来的额外交易，预算可能迁移。中报将某些收入类别合并或调整展示，跨期比较须使用重列的可比数字，不能把科目名称改变误读成业务突然高速增长。真正需要验证的是商户在补贴减少后仍有付费服务意愿。</w:t>
      </w:r>
    </w:p>
    <w:p>
      <w:pPr>
        <w:pStyle w:val="Normal"/>
        <w:rPr/>
      </w:pPr>
      <w:r>
        <w:rPr/>
        <w:t>新业务收入增长比核心更快，但它混合了商品销售与服务。商品销售往往以总额确认，收入规模大、毛利相对低；平台服务收入可能按净额确认，规模较小却毛利较高。因此将两者统一套用互联网平台的销售倍数，会明显高估自营零售。模型给新业务较低且分情景的企业价值销售倍数，基准一年仅零点四五倍。这个倍数还必须包含海外和供应链的整体期权，不能在计算之后再加一项同样业务的故事价值。</w:t>
      </w:r>
    </w:p>
    <w:p>
      <w:pPr>
        <w:pStyle w:val="Normal"/>
        <w:rPr/>
      </w:pPr>
      <w:r>
        <w:rPr/>
        <w:t>小象超市的长期机会在于更稳定的生鲜与日常采购。频率高能够改善库存预测，供应链整合和自有品牌也可能提高毛利。但前置仓、配送、鲜品损耗和冷链对订单密度非常敏感。扩城阶段低利用率会先产生费用；达到稳定经营后能否收回投入，需要同店经济数据而非开店速度。中报披露小象继续扩展城市并增加线下存在，研究不能由此认定所有城市已经成熟盈利。新增业务的融资扣减正是为这段过渡期预留空间。</w:t>
      </w:r>
    </w:p>
    <w:p>
      <w:pPr>
        <w:pStyle w:val="Normal"/>
        <w:rPr/>
      </w:pPr>
      <w:r>
        <w:rPr/>
        <w:t>快驴等商户供应链业务面对的是采购、信用和库存管理。它能够与餐饮商户形成更深联系，帮助平台理解商户需求，但也使平台暴露于应收、货损和采购价格波动。批发销售的收入不能与广告服务收入等价估值。商户经营压力上升时，赊销与坏账风险也可能同步增加。半年金融及合同资产减值明显增加，虽然不能将全部减值归到快驴，本章仍将信用纪律作为新业务价值成立的重要条件。</w:t>
      </w:r>
    </w:p>
    <w:p>
      <w:pPr>
        <w:pStyle w:val="Normal"/>
        <w:rPr/>
      </w:pPr>
      <w:r>
        <w:rPr/>
        <w:t>歪马送酒及松鼠便利店等供给创新拓宽消费场景，其中自有品牌能够提升产品控制力，酒类防伪也有助于信任。酒水需求对聚会、消费信心与价格敏感，供给端还存在渠道和合规问题。便利零售覆盖夜间与旅行，但门店经营需要持续的物流和商品开发。产品形式多不等于盈利来源更稳，投资人应检查不同业务能否共享既有网络，而非每个新品牌都建立一套高成本系统。模型没有给予这些项目单独的大额资本化估值。</w:t>
      </w:r>
    </w:p>
    <w:p>
      <w:pPr>
        <w:pStyle w:val="Normal"/>
        <w:rPr/>
      </w:pPr>
      <w:r>
        <w:rPr/>
        <w:t>美团的经济前景与国内服务消费联系最直接。居民收入预期改善可以提高到店、外卖与旅宿需求，但需求恢复不会自动变成平台盈利，如果行业用补贴争夺增量，恢复的收入可能被营销费用抵消。反过来，消费总量较弱时便利性和价格敏感度可能推动线上迁移，平台订单仍增长。因此经营分析不能只看一个社会消费增速，应同时看付费服务收入、有效订单结构和成本。公司半年收入上涨而利润仍亏，就是这种关系的实际提醒。</w:t>
      </w:r>
    </w:p>
    <w:p>
      <w:pPr>
        <w:pStyle w:val="Normal"/>
        <w:rPr/>
      </w:pPr>
      <w:r>
        <w:rPr/>
        <w:t>宏观利率影响美团的资金收益和估值两端。较低利率可能降低借款成本，也降低庞大财资资产的收益；若风险偏好改善，市场愿意给恢复期利润更高倍数。两项变化并不总是同方向。经营估值桥剔除财资净利息，将符合条件的净资金另列，避免把同一笔现金的利息资本化后再全额加回本金。国际扩张使用美元和当地货币，借款币种与收入币种不一致还会影响汇率风险，不能只通过人民币换港币的简单换算解释全部变化。</w:t>
      </w:r>
    </w:p>
    <w:p>
      <w:pPr>
        <w:pStyle w:val="Normal"/>
        <w:rPr/>
      </w:pPr>
      <w:r>
        <w:rPr/>
        <w:t>医保对美团的影响主要经由即时药品零售和医疗健康服务的交易，而非药物研发成功率。药品配送需要合规审核、处方和储存条件，扩展供给必须建立安全流程。即使线上便利性带来需求，平台也不能无限提高医疗相关收费。医疗服务类商户数字化可能增加营销或软件机会，但本章没有把未经披露的医疗分部收入单独预测。对这类业务，更合理的判断是长期网络用途之一，同时保留监管和质量成本。</w:t>
      </w:r>
    </w:p>
    <w:p>
      <w:pPr>
        <w:pStyle w:val="Heading2"/>
        <w:rPr/>
      </w:pPr>
      <w:r>
        <w:rPr>
          <w:color w:val="000000"/>
        </w:rPr>
        <w:t>二 竞争周期 海外与技术投入</w:t>
      </w:r>
    </w:p>
    <w:p>
      <w:pPr>
        <w:pStyle w:val="Normal"/>
        <w:rPr/>
      </w:pPr>
      <w:r>
        <w:rPr/>
        <w:t>外卖竞争的关键变量是竞争者愿意持续支付多少资金，以及资金能否带来可靠履约。流量入口可以快速获取用户，却需要商户供给、配送和售后配合；美团已有体系也不能依靠历史优势忽视新竞争。补贴停止后用户回到哪个平台，比补贴期间的短期订单更有解释力。二季度中报称行业逐渐回到运营效率，说明方向有所改善，但这是一段时期的经营观察，不是签署了一份永久停止竞争的协议。半年模型仍给量价较低分。</w:t>
      </w:r>
    </w:p>
    <w:p>
      <w:pPr>
        <w:pStyle w:val="Normal"/>
        <w:rPr/>
      </w:pPr>
      <w:r>
        <w:rPr/>
        <w:t>阿里和京东的即时消费投入会影响美团的订单与商户议价。它们可能希望即时配送提高电商用户频率，而不要求该业务在短期独立盈利。这种战略目标意味着单看竞争者某季亏损，不能判断其会退出。美团需要证明履约体验和消费者习惯能降低防守成本。若对手流量优势与基础设施结合成功，核心分部的正常利润率可能长期低于历史高位。因此基准情景虽恢复利润率，却没有直接恢复二零二四年的二成以上分部经营率。</w:t>
      </w:r>
    </w:p>
    <w:p>
      <w:pPr>
        <w:pStyle w:val="Normal"/>
        <w:rPr/>
      </w:pPr>
      <w:r>
        <w:rPr/>
        <w:t>价格战也可能通过平台规则改变收益，而不仅在营销费用里出现。免配送费、商户补贴、会员权益和商品折扣，涉及不同的收入抵扣或成本分类。不同平台对促销的财务展示不一定相同，比较费用率需要仔细看会计政策。美团中报已经说明营销策略优化和旺季配送成本下降共同促成改善，本章不能把全部利润变化归因于单一每单指标。完整的经营率比未经核验的一句话单位经济更适合作为模型主输入。</w:t>
      </w:r>
    </w:p>
    <w:p>
      <w:pPr>
        <w:pStyle w:val="Normal"/>
        <w:rPr/>
      </w:pPr>
      <w:r>
        <w:rPr/>
        <w:t>配送行业劳动保障的扩展具有持续经济影响。中报称职业伤害保险已经覆盖全国所有平台骑手与订单，并继续推进养老金补贴等保障。保障能降低生态摩擦、改善供给稳定，但保费和补贴应是正常经营成本。将其视为一次性政策冲击并全部加回，会夸大可持续利润。若行业规则趋同，美团的规模与调度效率可能帮助分摊成本；若成本上升而消费者和商户拒绝加价，平台需承受较低利润率。两种结果都应进入情景。</w:t>
      </w:r>
    </w:p>
    <w:p>
      <w:pPr>
        <w:pStyle w:val="Normal"/>
        <w:rPr/>
      </w:pPr>
      <w:r>
        <w:rPr/>
        <w:t>食品安全治理同样属于网络成本。卫星店和低价团购提升效率时，平台仍需要确认实际制作地点、商户资质和产品质量。可信外卖措施可以增加审核和系统投入，长期减少欺诈与事故损失。短期费用增加不应机械解释为经营恶化，短期订单增长也不能掩盖风险。推荐条件应包括持续的服务质量和商户治理；一旦重大质量问题导致用户转移或监管限制，经营假设需要下调，而非仍用订单增长证明平台稳健。</w:t>
      </w:r>
    </w:p>
    <w:p>
      <w:pPr>
        <w:pStyle w:val="Normal"/>
        <w:rPr/>
      </w:pPr>
      <w:r>
        <w:rPr/>
        <w:t>海外</w:t>
      </w:r>
      <w:r>
        <w:rPr/>
        <w:t>Keeta</w:t>
      </w:r>
      <w:r>
        <w:rPr/>
        <w:t>把国内的调度、产品与运营能力带到新市场，能够产生第二增长来源。香港与内地相近的商业环境、城市密度和供应链联系，可能使经验更易迁移；中东与巴西则涉及不同气候、法规、支付习惯和城市结构。不能把国内单位成本直接转换成当地币种。国际网络在扩城前期需要招募骑手、商户和用户，时间错配会形成现金消耗。模型的新业务终值包含这一机会，同时单独扣过渡融资现值。</w:t>
      </w:r>
    </w:p>
    <w:p>
      <w:pPr>
        <w:pStyle w:val="Normal"/>
        <w:rPr/>
      </w:pPr>
      <w:r>
        <w:rPr/>
        <w:t>香港已稳定盈利是中报的明确表述，能证明至少一个国际市场出现可行性，但中报没有提供香港净利规模及独立现金流。中东则只披露环比效率改善，新闻提及沙特单位经济为正也不能等同全国经营净利为正。单位经济可能尚未扣除市场团队、技术和总部成本。将香港成功外推到全部海外，会把最困难的本地供给与制度差异忽略。国际估值需要国家层面复购和亏损收敛持续，而不是开城公告数量。</w:t>
      </w:r>
    </w:p>
    <w:p>
      <w:pPr>
        <w:pStyle w:val="Normal"/>
        <w:rPr/>
      </w:pPr>
      <w:r>
        <w:rPr/>
        <w:t>巴西市场的机会来自人口规模与城市餐饮需求，但既有竞争、配送安全、劳动规则及货币波动会改变回报。中报称仍聚焦圣保罗，集中运营能够先提高密度，避免过快铺开。研究没有已核实的巴西订单和补贴预算，因此不构造精确的市场份额路径。基准新业务倍数反映海外有一定成功机会，乐观情景要求多市场稳定经济，悲观则保留当地竞争持续消耗资本的可能。国际扩张应以每个成熟城市的贡献验证。</w:t>
      </w:r>
    </w:p>
    <w:p>
      <w:pPr>
        <w:pStyle w:val="Normal"/>
        <w:rPr/>
      </w:pPr>
      <w:r>
        <w:rPr/>
        <w:t>AI</w:t>
      </w:r>
      <w:r>
        <w:rPr/>
        <w:t>在美团的合理价值是改善本地交易决策、商户经营和调度效率。小团助手可以帮助消费者处理更复杂的本地服务选择，猫爪平台的商户代理可以支持餐饮、零售、酒店等运营。拥有真实商户与交易流程，使美团有可能把模型能力接入执行环节；仅回答问题的工具难以完成线下交付。但中报没有公开足以单独估值的</w:t>
      </w:r>
      <w:r>
        <w:rPr/>
        <w:t>AI</w:t>
      </w:r>
      <w:r>
        <w:rPr/>
        <w:t>收入或利润，本章将其效果放在费用率和业务增长中验证，不另给予一项无现金流的</w:t>
      </w:r>
      <w:r>
        <w:rPr/>
        <w:t>AI</w:t>
      </w:r>
      <w:r>
        <w:rPr/>
        <w:t>市值。</w:t>
      </w:r>
    </w:p>
    <w:p>
      <w:pPr>
        <w:pStyle w:val="Normal"/>
        <w:rPr/>
      </w:pPr>
      <w:r>
        <w:rPr/>
        <w:t>AI</w:t>
      </w:r>
      <w:r>
        <w:rPr/>
        <w:t>助手也可能改变平台的入口地位。若消费者在通用助手中直接比较并下单，美团可能成为后台履约供应商，流量议价权会下降；若美团凭借真实评价、库存与交付状态成为可信执行者，则可以维持交易关系。这两条路径都成立于技术可能性，不能事先宣布平台被替代或全面受益。判断重点是用户是否保留美团账户与选择、商户是否接受新的服务收费，以及新增模型推理成本能否被交易增量覆盖。</w:t>
      </w:r>
    </w:p>
    <w:p>
      <w:pPr>
        <w:pStyle w:val="Normal"/>
        <w:rPr/>
      </w:pPr>
      <w:r>
        <w:rPr/>
        <w:t>自动配送、无人车和无人机可能改善部分路线的成本与稳定性，但应用范围受道路、楼宇、天气、空域和监管制约。单条测试路线效率提高不能转换为全国配送成本立即下降。机器需要设备折旧、维护、人员监控和保险，资本投入也会先于节省费用。本章保留正常折旧与资本现金，没有将技术项目当作骑手保障成本的替代抵消项。三年与五年经营率上升需要证据说明技术在真实订单中扩大使用并有净节省。</w:t>
      </w:r>
    </w:p>
    <w:p>
      <w:pPr>
        <w:pStyle w:val="Normal"/>
        <w:rPr/>
      </w:pPr>
      <w:r>
        <w:rPr/>
        <w:t>公司的资本开支已经支持更多实体运营和技术需求。半年现金购置或预付物业设备及无形资产六十五点八四亿元，年报的全年对应金额一百三十二点七一亿元，均不是一个可以忽略的数字。采购设备的会计折旧与现金支出时点不同，调整</w:t>
      </w:r>
      <w:r>
        <w:rPr/>
        <w:t>EBITDA</w:t>
      </w:r>
      <w:r>
        <w:rPr/>
        <w:t>改善不意味着股东已获得相同现金。特别是国际扩张与零售仓网并行时，盈利恢复可能伴随高投入。三年估值若使用较高倍数，必须同时接受现金转换检验。</w:t>
      </w:r>
    </w:p>
    <w:p>
      <w:pPr>
        <w:pStyle w:val="Normal"/>
        <w:rPr/>
      </w:pPr>
      <w:r>
        <w:rPr/>
        <w:t>叮咚收购代表供给端整合的另一条路径。中报附注披露初始对价七点一七亿美元，交割需监管批准和其他条件，特定失败情况涉及七千五百万或一亿五千万美元终止费。它可能增强生鲜供应链，也可能产生整合、反垄断和新增资本需求。截至本章尚未取得独立截止日完成公告，因此不写成已并表事实。模型从可分配财资中保留收购与承诺资金，同时不把潜在协同提前计入基准利润。</w:t>
      </w:r>
    </w:p>
    <w:p>
      <w:pPr>
        <w:pStyle w:val="Normal"/>
        <w:rPr/>
      </w:pPr>
      <w:r>
        <w:rPr/>
        <w:t>反垄断与平台监管影响的不只是罚款，还可能改变排他、商户服务与算法规则。美团的长期利润必须建立在商户可持续受益及合理劳动关系上，不能以过去更强议价条件永远持续为前提。更透明和公平的制度可以稳定行业，但也可能限制收费。经营桥对核心利润率设较大情景差距，体现监管和竞争合并影响。若规则变化使服务费的增长长期低于履约成本，历史网络规模仍存在，股东价值却可能显著下降。</w:t>
      </w:r>
    </w:p>
    <w:p>
      <w:pPr>
        <w:pStyle w:val="Heading2"/>
        <w:rPr/>
      </w:pPr>
      <w:r>
        <w:rPr>
          <w:color w:val="000000"/>
        </w:rPr>
        <w:t>三 财务恢复不能只看单季扭亏</w:t>
      </w:r>
    </w:p>
    <w:p>
      <w:pPr>
        <w:pStyle w:val="Normal"/>
        <w:rPr/>
      </w:pPr>
      <w:r>
        <w:rPr/>
        <w:t>二零二五年收入三千六百四十八点五五亿元，同比增长约百分之八点一，而归母净亏二百三十三点五五亿元。二零二四年归母净利三百五十八点零七亿元，二零二三年一百三十八点五六亿元。这组主源数据说明收入扩大并未阻止利润剧烈逆转。核心分部二零二四年经营利润五百二十四点一五亿元，二零二五年却转为亏损六十九点零四亿元。竞争周期改变利润的力度远大于一个稳定增长模型可以反映的程度。</w:t>
      </w:r>
    </w:p>
    <w:p>
      <w:pPr>
        <w:pStyle w:val="Normal"/>
        <w:rPr/>
      </w:pPr>
      <w:r>
        <w:rPr/>
        <w:t>二零二五年销售营销费用达到一千零二十九点三四亿元，前年约六百三十九点七五亿元；研发从二百一十点五四增至二百五十九点九八亿元。营销并非完全可随意剔除的特殊费用，它体现公司在现实竞争中维持用户与商户的代价。研究可以预测行业效率恢复后费用率下降，却不能把全部高费用加回并称为已实现正常利润。恢复型投资的主要风险恰好是认为这些费用暂时，实际却成为维持份额的常态。</w:t>
      </w:r>
    </w:p>
    <w:p>
      <w:pPr>
        <w:pStyle w:val="Normal"/>
        <w:rPr/>
      </w:pPr>
      <w:r>
        <w:rPr/>
        <w:t>二零二六年上半年收入一千九百五十六点八二亿元，比去年同期增加百分之十点一，归母亏损四十六点七二亿元。集团净亏四十六点七二零亿元与归母数非常接近，但两者仍有少数股东差异，模型保存原口径。核心收入一千三百五十五点九四亿元，分部经营利润三十六点三八亿元；新业务收入六百点八八亿元，分部经营亏损三十八点五五亿元。未分配亏损三十五点六二亿元使集团经营仍亏三十七点七九亿元。</w:t>
      </w:r>
    </w:p>
    <w:p>
      <w:pPr>
        <w:pStyle w:val="Normal"/>
        <w:rPr/>
      </w:pPr>
      <w:r>
        <w:rPr/>
        <w:t>二季度比半年汇总更强，核心收入七百一十五点三一亿元，经营利润五十六点六八亿元，分部经营率百分之七点九；新业务收入三百三十一点一二亿元，亏损十七点三九亿元。集团经营利润二十六点九一亿元、净利二十一点五五亿元、调整净利二十五点二四亿元。单季改善的方向是清楚的，但半年包含此前较弱季度，说明恢复尚不平滑。旺季订单密度、营销减少及供给优化都可能促成改善，不能只用二季度乘四估算全年。</w:t>
      </w:r>
    </w:p>
    <w:p>
      <w:pPr>
        <w:pStyle w:val="Normal"/>
        <w:rPr/>
      </w:pPr>
      <w:r>
        <w:rPr/>
        <w:t>上半年核心商户服务收入七百五十二点三九亿元，配送服务五百零八点六二亿元，核心商品销售六十五点七六亿元。这些收入构成解释了平台兼有高毛利服务与履约活动。配送收入上涨但公司承担的骑手与履约成本可能更快增长，商户服务也要支付营销与研发。商品销售扩张会提高收入但改变混合毛利。以收入比例直接分摊净利是不可靠的方法，因此本章不提供没有主源支持的外卖和广告独立净利润。</w:t>
      </w:r>
    </w:p>
    <w:p>
      <w:pPr>
        <w:pStyle w:val="Normal"/>
        <w:rPr/>
      </w:pPr>
      <w:r>
        <w:rPr/>
        <w:t>集团半年毛利六百一十点六五亿元，比去年同期六百二十一点二六亿元略低，而收入明显上升，毛利率受到压力。新业务毛利增长不能抵消核心压力的全部影响。销售营销四百七十六点九二亿元、研发一百四十七点一三亿元、管理六十一点七六亿元，三者合计已超过集团毛利。因此法定经营结果需要其他收益与投资变动才能到达最终金额。真正的经营利润恢复应来自交易毛利与费用效率，而非投资价格改善。</w:t>
      </w:r>
    </w:p>
    <w:p>
      <w:pPr>
        <w:pStyle w:val="Normal"/>
        <w:rPr/>
      </w:pPr>
      <w:r>
        <w:rPr/>
        <w:t>半年其他收益四十点九三亿元、公允价值计损益投资收益四点四七亿元，均已出现在经营利润列报中。融资收入九点八八亿元、融资成本十五点九三亿元，联营收益为亏损五点八九亿元，进一步影响税前结果。这种列报提醒投资人“经营利润”也不必然完全等于核心交易经营。模型从分部经济开始，扣常态企业费用并排除投资及资金利息，避免将资本市场收益按主营高倍数放大。投资结果单独影响资产负债与风险。</w:t>
      </w:r>
    </w:p>
    <w:p>
      <w:pPr>
        <w:pStyle w:val="Normal"/>
        <w:rPr/>
      </w:pPr>
      <w:r>
        <w:rPr/>
        <w:t>其他综合收益中的投资公允价值增加二百二十四点七四亿元，推动股东权益回升，但它没有进入当期归母净利润，也没有自动产生经营现金。中报披露智谱、宇树等战略投资以及理想股权，不同资产分别使用权益法或其他综合收益计量。投资价值可以为未来融资提供资源，但锁定期、流动性和关联战略会限制兑现。本章不把账面升值加到现金净额，再通过一份</w:t>
      </w:r>
      <w:r>
        <w:rPr/>
        <w:t>AI</w:t>
      </w:r>
      <w:r>
        <w:rPr/>
        <w:t>投资故事重复加值。</w:t>
      </w:r>
    </w:p>
    <w:p>
      <w:pPr>
        <w:pStyle w:val="Normal"/>
        <w:rPr/>
      </w:pPr>
      <w:r>
        <w:rPr/>
        <w:t>调整利润有助于观察管理层定义的表现，却需要逐项看差异。二季度股份支付加回十九点一九亿元，投资净收益减去十六点零四亿元，内部往来汇兑收益也被剔除，并调整减值、收购无形摊销和税项。最终调整净利只比法定集团净利高约三点六八亿元。不同季度差异可能很大，不能认为调整利润永远优于法定利润的质量。本章经营率保留股份支付的经济成本，也没有把所有减值当作可消除的一次性费用。</w:t>
      </w:r>
    </w:p>
    <w:p>
      <w:pPr>
        <w:pStyle w:val="Normal"/>
        <w:rPr/>
      </w:pPr>
      <w:r>
        <w:rPr/>
        <w:t>半年股份支付费用三十三点零二亿元，另资本化少量。奖励工具虽当期没有现金支出，却会稀释未来每股权益，也可以通过回购造成现金支出。企业研发和管理费用的模型扣减包含常态股份支付，不另作无限加回；摊薄股数仍考虑未来激励发行。费用经济成本与股数稀释反映不同层面，必须结合回购、授予及归属追踪，不能简单认为扣费用以后股数永远不变。长期股东收益最终以每股现金创造衡量。</w:t>
      </w:r>
    </w:p>
    <w:p>
      <w:pPr>
        <w:pStyle w:val="Normal"/>
        <w:rPr/>
      </w:pPr>
      <w:r>
        <w:rPr/>
        <w:t>半年基本与摊薄分母同为六十一点一八八亿股，因为集团亏损时潜在普通股反摊薄而未纳入，但联营公司激励使摊薄计算分子进一步减少约三点五八亿元，基本每股亏零点七六元与摊薄亏零点八二元因此不同。这个细节意味着亏损期间报告分母不能原样用于未来盈利预测。九月底发行股本与期间加权分母也不是同一概念。模型采用期限与情景分别设定的未来摊薄股数，明确为假设。</w:t>
      </w:r>
    </w:p>
    <w:p>
      <w:pPr>
        <w:pStyle w:val="Normal"/>
        <w:rPr/>
      </w:pPr>
      <w:r>
        <w:rPr/>
        <w:t>十月七日披露九月股本月报：上市</w:t>
      </w:r>
      <w:r>
        <w:rPr/>
        <w:t>B</w:t>
      </w:r>
      <w:r>
        <w:rPr/>
        <w:t>类五十五点九六三五五亿股，未上市</w:t>
      </w:r>
      <w:r>
        <w:rPr/>
        <w:t>A</w:t>
      </w:r>
      <w:r>
        <w:rPr/>
        <w:t>类五点七九一五三亿股，合计六十一点七五五零八亿股。</w:t>
      </w:r>
      <w:r>
        <w:rPr/>
        <w:t>A</w:t>
      </w:r>
      <w:r>
        <w:rPr/>
        <w:t>类只有投票权结构不同，经济权益仍要参与每股估值。行情显示的上市部分市值不能用于集团净利的完整市盈率。本章基准现价乘总发行股数得到约四千四百一十五亿元港币的研究总市值，而不是仅用</w:t>
      </w:r>
      <w:r>
        <w:rPr/>
        <w:t>B</w:t>
      </w:r>
      <w:r>
        <w:rPr/>
        <w:t>类对应约四千零一亿元。这一区别对低估或高估判断有实际影响。</w:t>
      </w:r>
    </w:p>
    <w:p>
      <w:pPr>
        <w:pStyle w:val="Normal"/>
        <w:rPr/>
      </w:pPr>
      <w:r>
        <w:rPr/>
        <w:t>半年经营现金流二十七点一九亿元，相较去年一百四十九点零五亿元明显减少；二季度经营现金流九十七点三三亿元，单季改善较大，但不能取代半年现金记录。旺季商户及用户预付款、结算安排和补贴时点会影响现金。交易平台可以先收款后付款，在增长阶段获得营运资金支持，收缩时也可能释放负面影响。现金质量要观察跨季走势以及应付和预收的变化，不应因一个季度现金流转正就宣称恢复完成。</w:t>
      </w:r>
    </w:p>
    <w:p>
      <w:pPr>
        <w:pStyle w:val="Normal"/>
        <w:rPr/>
      </w:pPr>
      <w:r>
        <w:rPr/>
        <w:t>现金资本购置或预付六十五点八四亿元，高于半年经营现金流，简单自由现金流代理为负三十八点六五亿元；再扣租赁现金十六点零七亿元，为负五十四点七二亿元。这个代理没有扣全部战略投资与收购，也不等于公司官方自由现金流，但能说明当期现金仍不足以覆盖实体与技术投入。平台规模使融资能力较强，融资能力却不是经营回报。利润恢复若没有带来资本开支后现金，需要继续下调估值可信度。</w:t>
      </w:r>
    </w:p>
    <w:p>
      <w:pPr>
        <w:pStyle w:val="Normal"/>
        <w:rPr/>
      </w:pPr>
      <w:r>
        <w:rPr/>
        <w:t>二零二五年经营现金流负一百三十八点一五亿元，扣一百三十二点七一亿元资本现金和三十三点三五亿元租赁现金，研究代理负三百零四点二零亿元。与此同时财资投资到期、借款和票据融资能够支持现金余额。因此年底现金增加不代表业务当年赚钱。现金流三张表必须一起看，单独看到现金一千多亿元会忽略它的来源。基准估值中的可分配净资金只使用保守部分，正是为经营亏损和未来承诺保留缓冲。</w:t>
      </w:r>
    </w:p>
    <w:p>
      <w:pPr>
        <w:pStyle w:val="Normal"/>
        <w:rPr/>
      </w:pPr>
      <w:r>
        <w:rPr/>
        <w:t>六月末现金及等价物一千零四十七点一七亿元，短期财资六百三十五点九七亿元，长期财资一点二九亿元；银行与票据债合计八百八十七点零一亿元。仅现金减银行票据债约一百六十点一六亿元，加入两类财资后约七百九十七点四二亿元。受限制现金二百一十九点四七亿元不加入可自由分配资金，租赁负债七十一点一六亿元另列。这些数值远小于把全部现金和投资逐项相加的乐观资产表。</w:t>
      </w:r>
    </w:p>
    <w:p>
      <w:pPr>
        <w:pStyle w:val="Normal"/>
        <w:rPr/>
      </w:pPr>
      <w:r>
        <w:rPr/>
        <w:t>商户应付二百七十一点七六亿元、交易用户预付一百零二点九九亿元，代表结算义务，不能当作股东净现金。贸易应付三百九十点一三亿元也涉及供应链负债。估值桥没有将这些全部机械加入银行债，因为核心经营估值应已含正常营运资金；同时可分配资金保留运营需求，避免将支持这些义务的现金分红假设全部抽走。若现金流压力导致供应商账期异常延长，风险评分应降低，而不把延长账期当效率提升。</w:t>
      </w:r>
    </w:p>
    <w:p>
      <w:pPr>
        <w:pStyle w:val="Normal"/>
        <w:rPr/>
      </w:pPr>
      <w:r>
        <w:rPr/>
        <w:t>债务期限和币种对融资风险很重要。现金充足可以减少短期违约可能，但海外扩张与负经营现金会提高续借需求，汇率还可能改变外币负债金额。半年融资成本比去年同期明显上升，反映融资规模及结构变化。本章没有凭净现金标签给高安全分，而给财务治理风险维度三点二分。资本配置若将大量现金持续投向低回报业务，债务名义可控也会损害股权。需要监测融资条款、到期安排和利润兑现速度。</w:t>
      </w:r>
    </w:p>
    <w:p>
      <w:pPr>
        <w:pStyle w:val="Normal"/>
        <w:rPr/>
      </w:pPr>
      <w:r>
        <w:rPr/>
        <w:t>回购的投资价值取决于买入价格、股份注销和是否抵消激励。股本月报显示六月末两个交易日为注销回购的部分股份，到九月底仍未取消；不能先减发行股数，再把回购支出保留为不存在。过往大规模回购也不能代替未来承诺。模型基准股数缓慢变化，悲观增长更快、乐观回购与经营现金改善后可能降低；这些是研究假设，不是已批准的未来回购计划。所有期限未来股息采用零，保留成长资本需求。</w:t>
      </w:r>
    </w:p>
    <w:p>
      <w:pPr>
        <w:pStyle w:val="Normal"/>
        <w:rPr/>
      </w:pPr>
      <w:r>
        <w:rPr/>
        <w:t>同股不同权使普通股东对资本配置的控制有限。年报披露</w:t>
      </w:r>
      <w:r>
        <w:rPr/>
        <w:t>A</w:t>
      </w:r>
      <w:r>
        <w:rPr/>
        <w:t>类投票权为普通</w:t>
      </w:r>
      <w:r>
        <w:rPr/>
        <w:t>B</w:t>
      </w:r>
      <w:r>
        <w:rPr/>
        <w:t>类的十倍，控制人不必持有多数经济利益也能控制多数投票。长期主义可能支持高回报投入，也可能延长亏损业务的培育期。投资人无法只凭自己更重视短期盈利就迫使公司退出海外项目。评分的风险维度因此不仅看现金债务，还包括战略决策透明度、资本回报和少数股东收益。治理不是一句定性好坏，而是持续核对行动与资金结果。</w:t>
      </w:r>
    </w:p>
    <w:p>
      <w:pPr>
        <w:pStyle w:val="Heading2"/>
        <w:rPr/>
      </w:pPr>
      <w:r>
        <w:rPr>
          <w:color w:val="000000"/>
        </w:rPr>
        <w:t>四 半年量价证据与行动条件</w:t>
      </w:r>
    </w:p>
    <w:p>
      <w:pPr>
        <w:pStyle w:val="Normal"/>
        <w:rPr/>
      </w:pPr>
      <w:r>
        <w:rPr/>
        <w:t>锁定日线覆盖七百三十九个真实交易日，自二零二三年十月九日起，收盘价以腾讯、新浪和独立日线核对均为七十一点五港元；日线历史与另一来源对应一致。复权</w:t>
      </w:r>
      <w:r>
        <w:rPr/>
        <w:t>OHLC</w:t>
      </w:r>
      <w:r>
        <w:rPr/>
        <w:t>按基准日名义价格归一，日线量以股计，未把手误当股。历史窗口内取得的一般公司行动记录为空，不代表永久没有任何行动。技术分析使用已经锁定的方法与数据版本，本章不为了符合看多结论重新清洗不利的价格走势。</w:t>
      </w:r>
    </w:p>
    <w:p>
      <w:pPr>
        <w:pStyle w:val="Normal"/>
        <w:rPr/>
      </w:pPr>
      <w:r>
        <w:rPr/>
        <w:t>现价低于二十日均线七十二点三一约百分之一点一二，低于六十日八十一点一三约百分之十一点八七，低于一百二十日八十点零三约百分之十点六六，低于二百五十日八十七点三五约百分之十八点一四。六十与一百二十日均线位置不按严格空头次序排列，但四条均线都高于价格且五日斜率为负，仍属于中短期下降。接近最短均线只能说明反弹到第一观察位置，不足以认定趋势反转。</w:t>
      </w:r>
    </w:p>
    <w:p>
      <w:pPr>
        <w:pStyle w:val="Normal"/>
        <w:rPr/>
      </w:pPr>
      <w:r>
        <w:rPr/>
        <w:t>二十日均线五日变化约负百分之二点八五，六十日负一点一零、一百二十日负零点八三、二百五十日负零点七四。短均线下降更快说明近期下跌对成本中枢影响更强。若后续价格站上二十日线，但均线仍下降，可能只是反弹穿越移动的平均成本。更可靠的半年进取条件是均线斜率改善、回踩不再形成更低低点，同时有经营催化支持。本章量价维度仅一点八分，防止便宜叙事掩盖真实弱势。</w:t>
      </w:r>
    </w:p>
    <w:p>
      <w:pPr>
        <w:pStyle w:val="Normal"/>
        <w:rPr/>
      </w:pPr>
      <w:r>
        <w:rPr/>
        <w:t>近二十日回报负百分之四点三五，六十日负百分之十八点零零，二百五十日负百分之三十二点四二。相对恒生指数二十日落后一點三七个百分点，六十日落后十四点八二；相对恒生科技分别落后一點二八与四点八四个百分点。科技指数是粗粒度互联网参考，并非外卖专用指数，但持续弱于它仍说明短期资金选择不利。只有绝对股价上升却继续落后行业，可能并不满足半年首选的相对强弱标准。</w:t>
      </w:r>
    </w:p>
    <w:p>
      <w:pPr>
        <w:pStyle w:val="Normal"/>
        <w:rPr/>
      </w:pPr>
      <w:r>
        <w:rPr/>
        <w:t>最近二十日最低观察位六十八点八港元，现价向该处距离负百分之三点七八，最高七十六点三，向上距离百分之六点七一。六十日高位九十六点四五，距现价约百分之三十四点九零；五十二周低六十三点六五、高一百零八。区间高低只是规则提取的位置，不证明存在大量交易确认的支撑阻力。观察六十八点八是否被守住，需看后续实际成交和收盘，不能把价格靠近低点就等同下行空间有限。</w:t>
      </w:r>
    </w:p>
    <w:p>
      <w:pPr>
        <w:pStyle w:val="Normal"/>
        <w:rPr/>
      </w:pPr>
      <w:r>
        <w:rPr/>
        <w:t>现价距五十二周高低分别负百分之三十三点八零和正百分之十二点三三，窗口最大回撤约百分之三十九点四四。过去最大回撤不是未来最大损失，估值压力情景甚至可以显著低于历史低点。研究不会因为从高位下跌三成就说便宜，便宜必须由未来现金创造说明。技术上的反证是突破失败与新的低点，基本面的反证是利润无法正常化；两类反证同时出现，进取投资也不应只通过补仓降低账面成本。</w:t>
      </w:r>
    </w:p>
    <w:p>
      <w:pPr>
        <w:pStyle w:val="Normal"/>
        <w:rPr/>
      </w:pPr>
      <w:r>
        <w:rPr/>
        <w:t>当日成交约二千三百九十二点六九万股，成交额约十七点零一四亿元港币。五日均量一千六百八十二点二二万，二十日二千零八十八点八七万，六十日三千七百二十点三八万，说明近期交易活跃度低于较长窗口。当日相对前二十日均量约一点零八倍，构成温和放量，不能称放出决定性突破巨量。数据字段不包含已核验的自由流通股数，因此本章换手率保留缺失，不用总股本臆算市场常说的流通换手。</w:t>
      </w:r>
    </w:p>
    <w:p>
      <w:pPr>
        <w:pStyle w:val="Normal"/>
        <w:rPr/>
      </w:pPr>
      <w:r>
        <w:rPr/>
        <w:t>近二十日有八个上涨日、十二个下跌日，上涨日累计量约一亿七千七百七十万股，下跌日二亿四千零八万，上下量比零点七四。下跌日总量更大与近期弱势一致，但样本受上涨下跌天数不同影响，不足以证明机构派发。单日成交也不区分买卖双方身份，平台数据没有逐笔席位流向。本章不使用“主力吸筹”或精确筹码峰解释。若上涨日量能持续改善且价格守住新平台，再更新判断。</w:t>
      </w:r>
    </w:p>
    <w:p>
      <w:pPr>
        <w:pStyle w:val="Normal"/>
        <w:rPr/>
      </w:pPr>
      <w:r>
        <w:rPr/>
        <w:t>日线相对强弱指标约四十一点一一，未达到传统极端超卖；</w:t>
      </w:r>
      <w:r>
        <w:rPr/>
        <w:t>MACD</w:t>
      </w:r>
      <w:r>
        <w:rPr/>
        <w:t>差离值负二点三七、信号负二点六零，柱体正零点四六，表明下行动量局部减缓而非趋势已转正。两个线仍在零轴下方，需要结合均线与价格结构。指标具有共同的价格输入，不能将</w:t>
      </w:r>
      <w:r>
        <w:rPr/>
        <w:t>RSI</w:t>
      </w:r>
      <w:r>
        <w:rPr/>
        <w:t>改善、</w:t>
      </w:r>
      <w:r>
        <w:rPr/>
        <w:t>MACD</w:t>
      </w:r>
      <w:r>
        <w:rPr/>
        <w:t>改善和均线反弹当作三份独立证据重复加分。量价维度主要评价趋势、交易参与和相对表现，指标只补充解释。</w:t>
      </w:r>
    </w:p>
    <w:p>
      <w:pPr>
        <w:pStyle w:val="Normal"/>
        <w:rPr/>
      </w:pPr>
      <w:r>
        <w:rPr/>
        <w:t>十四日真实波幅均值约二点二三港元，占现价百分之三点一二。一两天正常波动就能穿越接近三点八个百分点的短期观察位，单一固定价位不宜被理解为无误差的止损点。波幅也不能直接推导半年收益分布，价格可能因公告出现跳空。交易执行应观察收盘、连续性与公告背景；估值模型的悲观区间用于经营路径，而</w:t>
      </w:r>
      <w:r>
        <w:rPr/>
        <w:t>ATR</w:t>
      </w:r>
      <w:r>
        <w:rPr/>
        <w:t>用于理解日常噪声，两者用途不同，不能互相替代。</w:t>
      </w:r>
    </w:p>
    <w:p>
      <w:pPr>
        <w:pStyle w:val="Normal"/>
        <w:rPr/>
      </w:pPr>
      <w:r>
        <w:rPr/>
        <w:t>周线由真实日线汇总共一百五十七周，二十周均线七十八点二九、六十周八十八点七五、一百二十周一百一十六点七四，现价均在其下。相应五周斜率负百分之三点二二、四点六六和一点四一，周线下降比日线局部反弹更值得尊重。二百五十周均线因三年样本不足保持空值，不补造长期趋势。周线</w:t>
      </w:r>
      <w:r>
        <w:rPr/>
        <w:t>MACD</w:t>
      </w:r>
      <w:r>
        <w:rPr/>
        <w:t>柱负一点五二也没有确认长期动量转强，因此半年最强推荐需要更多证据。</w:t>
      </w:r>
    </w:p>
    <w:p>
      <w:pPr>
        <w:pStyle w:val="Normal"/>
        <w:rPr/>
      </w:pPr>
      <w:r>
        <w:rPr/>
        <w:t>最后一周遇假期，交易日数较少，周均量与周量比不宜直接按完整周比较。锁定周量比约零点三七，只能说明该周累计成交少，不能直接解释为市场无人愿意卖出。日线当日温和放量与周累计缩量可以同时出现，并不矛盾。若未来完整交易周在站上七十八至八十一港元区域时有稳定参与，趋势可信度才可能提高。技术研究应该首先核时间窗口，而不是用对推荐有利的某一个量比。</w:t>
      </w:r>
    </w:p>
    <w:p>
      <w:pPr>
        <w:pStyle w:val="Normal"/>
        <w:rPr/>
      </w:pPr>
      <w:r>
        <w:rPr/>
        <w:t>半年观察顺序为六十八点八附近能否形成可重复的低点，随后站上七十二点三附近短均线并保持，再挑战七十六点三与七十八至八十一区域。六十和一百二十日均线接近，突破那里需要更强的经营和成交确认。若突破后很快回落并跌破原观察低点，技术恢复假设失效；若股价急涨到估值乐观路径而盈利没有相应提高，预期回报也会降低。条件式安排能够把“值得研究”和“适合当前买入”区分。</w:t>
      </w:r>
    </w:p>
    <w:p>
      <w:pPr>
        <w:pStyle w:val="Normal"/>
        <w:rPr/>
      </w:pPr>
      <w:r>
        <w:rPr/>
        <w:t>对进取投资者，美团的半年吸引力是利润正常化可以带来大幅重估，而当前图形并未验证。持有时间短时，催化与市场认同决定能否在预定窗口兑现；即便三年经营展望好，半年可能因补贴和资本投入继续下跌。评分采用估值三点四、量价一点八、经营三点五、行业三点六、催化三点八、风险三点二，固定权重得到五十九点五分。它的预期空间较高，却不能因此跳过弱趋势对短期回报的重要影响。</w:t>
      </w:r>
    </w:p>
    <w:p>
      <w:pPr>
        <w:pStyle w:val="Heading2"/>
        <w:rPr/>
      </w:pPr>
      <w:r>
        <w:rPr>
          <w:color w:val="000000"/>
        </w:rPr>
        <w:t>五 独立估值桥 情景与机构目标</w:t>
      </w:r>
    </w:p>
    <w:p>
      <w:pPr>
        <w:pStyle w:val="Normal"/>
        <w:rPr/>
      </w:pPr>
      <w:r>
        <w:rPr/>
        <w:t>美团的法定历史利润为亏损，直接用行情负市盈率不能说明便宜。研究将核心商业视为可恢复经营现金的网络，用目标时点未来十二个月收入、经营率及正常企业成本计算税后每股经营利润，再以合理倍数估值；新业务则使用较低的销售倍数估企业价值，扣过渡融资现值并加入保守可分配净财资。模型中简称</w:t>
      </w:r>
      <w:r>
        <w:rPr/>
        <w:t>PE</w:t>
      </w:r>
      <w:r>
        <w:rPr/>
        <w:t>的核心倍数实质是税后经营利润倍数，不是集团归母市盈率。财资利息和全部投资收益不在核心每股利润内。</w:t>
      </w:r>
    </w:p>
    <w:p>
      <w:pPr>
        <w:pStyle w:val="Normal"/>
        <w:rPr/>
      </w:pPr>
      <w:r>
        <w:rPr/>
        <w:t>全部金额输入以人民币十亿元为单位，股数用十亿股，所得每股经营利润为人民币。核心公式是收入乘分部经营率，减常态企业费用，再乘税后比例与归属系数，除未来摊薄股数；每股经营利润先保留三位小数。核心经营価值加新业务企业价值、可分配净财资，扣过渡现金现值，最后统一除股数并乘一点一港元兑换假设，价格四舍五入两位。这个流程明确了股与金额单位，避免十亿与百万错配。</w:t>
      </w:r>
    </w:p>
    <w:p>
      <w:pPr>
        <w:pStyle w:val="Normal"/>
        <w:rPr/>
      </w:pPr>
      <w:r>
        <w:rPr/>
        <w:t>常态企业费用包括未分配研发管理及股份支付，不完全照抄财表未分配净额。财表其中还有公允价值变动和其他收益，既不能全部当成本，也不能全部当现金。研究在年底基准扣八十亿元企业费用、半年八十五、一年九十，随长期规模上升再增加。税后比例固定百分之八十是研究正常税率假设，不采用亏损年份税抵免作为永久低税率。归属系数略低于一，保留少数股东与其他摊薄因素。</w:t>
      </w:r>
    </w:p>
    <w:p>
      <w:pPr>
        <w:pStyle w:val="Normal"/>
        <w:rPr/>
      </w:pPr>
      <w:r>
        <w:rPr/>
        <w:t>年底基准使用目标时点未来十二个月核心收入三千零五十亿元、分部经营率百分之十一点五，减企业费八十亿元；税后核心每股经营利润三点四四八元，二十二倍得到人民币七十五点八五六元核心价值。新业务收入一千三百亿元乘零点三五倍，净财资六百五十亿元，过渡融资两百亿元，合计额外价值再除六十二点五亿股。所有部分合计后兑换港币得到九十九点三七元，较现价上涨百分之三十八点九八。</w:t>
      </w:r>
    </w:p>
    <w:p>
      <w:pPr>
        <w:pStyle w:val="Normal"/>
        <w:rPr/>
      </w:pPr>
      <w:r>
        <w:rPr/>
        <w:t>该年底估值使用年底市场可能承认的未来盈利，并不是预计二零二六全年利润已经达到同样水平。年底剩余时间较短，若三季度未出现足够证据，市场不必提前承认正常经营率。采用更高未来利润和更高倍数同时发生的乐观情景，需要订单结构、补贴和海外亏损等因素共同改善。悲观情景假设核心经营率只有百分之六点五，新业务倍数零点一五，融资扣减更大，价格二十九点七二元。这个下行幅度反映经营价值崩塌风险，不能用近期波幅排除。</w:t>
      </w:r>
    </w:p>
    <w:p>
      <w:pPr>
        <w:pStyle w:val="Normal"/>
        <w:rPr/>
      </w:pPr>
      <w:r>
        <w:rPr/>
        <w:t>年底乐观核心收入三千二百五十亿元、经营率百分之十六、费用八十五亿元，核心每股五点五六七元和二十六倍；新业务收入一千五百亿元、零点六五倍，较高可分配资金和较低融资消耗共同得到一百八十七点六元。若只是投资资产升值而核心竞争没变，这个情景不成立。乐观净资金不能既来源于未实现账面收益又当作全额现金，本模型的净财资是研究可分配资金路径，未另加智谱、宇树或理想市值。</w:t>
      </w:r>
    </w:p>
    <w:p>
      <w:pPr>
        <w:pStyle w:val="Normal"/>
        <w:rPr/>
      </w:pPr>
      <w:r>
        <w:rPr/>
        <w:t>半年基准核心收入三千二百亿元、经营率百分之十三，较年底假设提高，但仍低于二零二四年分部高位。减八十五亿元企业费后，核心每股经营利润四点二零九元，用二十二倍；新业务收入一千四百五十亿元、零点三八倍，净财资六百五十亿元，融资现值二百亿元，结果一百一十九点四五元。价格上升依赖更多季度验证，不能由同样收入但不同截止时点任意提高目标。若盈利恢复只在旺季出现，半年基准应下调。</w:t>
      </w:r>
    </w:p>
    <w:p>
      <w:pPr>
        <w:pStyle w:val="Normal"/>
        <w:rPr/>
      </w:pPr>
      <w:r>
        <w:rPr/>
        <w:t>一年基准收入三千四百五十亿元、经营率百分之十五，意味着核心总量与每单位经济同时改善。它需要国内消费者复购和商户服务持续，以及新增保障成本被效率而非补贴抵消。核心每股五点四一九元、二十二倍，加新业务与净资金调整得到一百五十三点二五元。悲观假设收入二千九百五十亿元、经营率百分之七点五，更多摊薄和持续融资，价格三十点二五元。长期网络存在不妨碍一年投资大幅亏损。</w:t>
      </w:r>
    </w:p>
    <w:p>
      <w:pPr>
        <w:pStyle w:val="Normal"/>
        <w:rPr/>
      </w:pPr>
      <w:r>
        <w:rPr/>
        <w:t>三年基准核心收入四千五百亿元、经营率百分之十七，企业费一百一十亿元，核心每股八点二七六元，二十二倍；新业务收入二千三百亿元、零点五五倍、净财资九百五十亿元及融资现值一百亿元。价格二百三十七点二一元。这里的销售倍数上升要求新业务组合质量改善，不能只由自营总额收入扩张推动。核心利润率和收入都上升，使基准含息年化约百分之四十九，属于极具进取性的估值结果，应同时看失败路径。</w:t>
      </w:r>
    </w:p>
    <w:p>
      <w:pPr>
        <w:pStyle w:val="Normal"/>
        <w:rPr/>
      </w:pPr>
      <w:r>
        <w:rPr/>
        <w:t>五年基准核心收入五千六百亿元、分部经营率百分之十八、企业费一百三十亿元，核心每股十一点零零六元，但倍数降到二十倍以反映规模成熟。新业务收入三千亿元、零点六倍，净财资一千三百亿元、融资现值六十亿元，价格二百九十四点七九元。长期回报来源主要是每股盈利和可分配资金增长，不能把估值倍数永远上升作为必要条件。倘若新业务一直未形成稳定现金，净资金路径和销售倍数需同时下修。</w:t>
      </w:r>
    </w:p>
    <w:p>
      <w:pPr>
        <w:pStyle w:val="Normal"/>
        <w:rPr/>
      </w:pPr>
      <w:r>
        <w:rPr/>
        <w:t>悲观长期并不假定公司消失，而是假定竞争将核心经营率压在较低水平、新业务回报有限且股数更快增加。三年悲观核心收入三千二百亿元、率百分之八，五年三千三百亿元、率百分之九，收入甚至可以高于当期，却因为企业成本、资金消耗和倍数低而得出二十八点五与二十六点一一元。这个结果说明增长不等于股东收益；低利润服务平台的规模扩张可能只维持运行。若更加严重的结构失败发生，股权仍可能接近零。</w:t>
      </w:r>
    </w:p>
    <w:p>
      <w:pPr>
        <w:pStyle w:val="Normal"/>
        <w:rPr/>
      </w:pPr>
      <w:r>
        <w:rPr/>
        <w:t>本章将接近零的股权压力作为额外失效路径，没有把负每股盈利乘正倍数形成负目标价。默认悲观仍给予核心较弱但正的经营能力，适合与基准和乐观共同比较。任何目标区间都不是最大损失边界，融资与重大服务事故可能导致情景之外的结果。推荐排序应综合悲观损失和证据可信度，不能用最高目标价除现价的百分比做唯一依据。模型也不以高乐观价格抵消所有经营不确定性。</w:t>
      </w:r>
    </w:p>
    <w:p>
      <w:pPr>
        <w:pStyle w:val="Normal"/>
        <w:rPr/>
      </w:pPr>
      <w:r>
        <w:rPr/>
        <w:t>新业务估值是模型中证据最弱的环节之一。按销售估值需要盈利路径与资本密度支持，商品销售收入占比高时合理倍数会降低。假设一年基准新业务一千六百五十亿元，倍数每变化零点一，对总目标价约影响二点八九港元；改变未来亏损现值百亿元约影响一点七五元。核心经营率则更敏感，一年基准每变化一个百分点，大致影响九点六二港元。核心竞争优先于小幅海外叙事变化，是模型揭示的经济重点。</w:t>
      </w:r>
    </w:p>
    <w:p>
      <w:pPr>
        <w:pStyle w:val="Normal"/>
        <w:rPr/>
      </w:pPr>
      <w:r>
        <w:rPr/>
        <w:t>一年基准核心倍数每改变一倍，目标约变化五点九六港元；核心收入和费用改变则先影响每股利润，再被倍数放大。经营率改善和估值提高往往相关，也可能同时倒退，所以情景并未将所有变量视作独立概率。若用一个单变量敏感性表，应保持其他变量不动，并注明那只是局部测算。它不能替代完整悲观路径，尤其不能把多个乐观敏感性逐个相加而不反映相互依赖。</w:t>
      </w:r>
    </w:p>
    <w:p>
      <w:pPr>
        <w:pStyle w:val="Normal"/>
        <w:rPr/>
      </w:pPr>
      <w:r>
        <w:rPr/>
        <w:t>可分配资金的未来路径应由现金流和资本投入支持。基准一年七百亿元、三年九百五十亿元、五年一千三百亿元都低于简单将未来所有经营净利累加的结果，保留新业务、并购和运营资金。现有战略投资本章未另计，是保守选择但也存在漏估潜在变现的可能；未来若公开出售和现金到账，可以更新资金输入。不能在没有交易之前用最高市场价认为可立即分配，更不能同时保留投资盈利资本化。</w:t>
      </w:r>
    </w:p>
    <w:p>
      <w:pPr>
        <w:pStyle w:val="Normal"/>
        <w:rPr/>
      </w:pPr>
      <w:r>
        <w:rPr/>
        <w:t>港币每人民币一点一是统一研究换算假设，没有冒称为截止日已核实时汇率。如果其他经营输入不变，人民币对港币换算变化正负百分之五会让港币目标近似同比变化。投资者以人民币计算港股收益，还需反向考虑买入与卖出时港币兑换人民币。公司海外经营现金又受当地货币影响，不能用一个转换参数覆盖所有汇率风险。估值文件将本币回报作为主口径，把汇率敏感性单独记录。</w:t>
      </w:r>
    </w:p>
    <w:p>
      <w:pPr>
        <w:pStyle w:val="Normal"/>
        <w:rPr/>
      </w:pPr>
      <w:r>
        <w:rPr/>
        <w:t>年底默认判断权重为悲观四分之一、基准二分之一、乐观四分之一，加权价一百零四点零一五元，期望涨幅百分之四十五点四八。防御权重四成、五成、一成得到八十点三三三元、百分之十二点三五，进取权重一成、五成、四成得到一百二十七点六九七元、百分之七十八点六零。期望值对主观乐观权重很敏感，不代表投资者在年底实际获得这条平均路径，也不是可以套用统计置信水平的价格预测。</w:t>
      </w:r>
    </w:p>
    <w:p>
      <w:pPr>
        <w:pStyle w:val="Normal"/>
        <w:rPr/>
      </w:pPr>
      <w:r>
        <w:rPr/>
        <w:t>已核验的八月三十一日公开机构转述有大摩一百一十、花旗一百二十、里昂一百一十五、野村一百一十八、麦格理一百零七、摩通一百港元，评级多为买入、增持或跑赢。八月十日高盛一百二十三元属于业绩前材料，保留但标明时点较早。各条原始研报未取得，公开报道没有明确大部分期限，因此不能擅称十二个月一致目标。它们提供可比较的市场研究参照，不能替代本章经营桥和年底重算。</w:t>
      </w:r>
    </w:p>
    <w:p>
      <w:pPr>
        <w:pStyle w:val="Normal"/>
        <w:rPr/>
      </w:pPr>
      <w:r>
        <w:rPr/>
        <w:t>这些机构目标大致比现价高四成到七成，但其每单经济估计并不一致。大摩转述的每单金额与花旗估算可能口径不同，也可能只是机构各自判断，不作为公司精确披露；里昂对海外盈利的新闻说法还要区分单位经济和全市场净利。研究保留机构目标与评级，同时将财務经营输入交还公司中报。未经公开原文核验的假设不会因为出自外资机构就自动变成事实。</w:t>
      </w:r>
    </w:p>
    <w:p>
      <w:pPr>
        <w:pStyle w:val="Normal"/>
        <w:rPr/>
      </w:pPr>
      <w:r>
        <w:rPr/>
        <w:t>本章一年基准高于上述机构转述的大多数目标，因为使用更进取的竞争恢复、核心经营率和时间信息集。差异并不是哪一家一定错，而是前提不同；用户要求进取型排序也不意味着可以隐去这个差异。若市场只承认当季低利润，机构较低目标可能更接近交易现实。年底基准和半年基准均由独立模型得出，没有把机构一年目标按剩余月数线性缩放，市场重估从来不是按日历平均发生。</w:t>
      </w:r>
    </w:p>
    <w:p>
      <w:pPr>
        <w:pStyle w:val="Heading2"/>
        <w:rPr/>
      </w:pPr>
      <w:r>
        <w:rPr>
          <w:color w:val="000000"/>
        </w:rPr>
        <w:t>六 四期限逻辑 反证与十年持续性</w:t>
      </w:r>
    </w:p>
    <w:p>
      <w:pPr>
        <w:pStyle w:val="Normal"/>
        <w:rPr/>
      </w:pPr>
      <w:r>
        <w:rPr/>
        <w:t>半年的主要催化是恢复过程被更多季度确认，尤其核心利润是否能在新增劳动和技术成本下持续，营销开支是否从竞争极端回到合理水平。年底与春季之间可能出现季节变化，外卖订单密度的改善未必稳定。如果新一期业绩只有收入增长而核心率下降，或者现金资本投入使流动资金加速下降，半年高回报假设不成立。价格方面需改善现有弱势结构，两者相互印证才提高推荐等级，不能仅靠个别新闻或急涨兑现。</w:t>
      </w:r>
    </w:p>
    <w:p>
      <w:pPr>
        <w:pStyle w:val="Normal"/>
        <w:rPr/>
      </w:pPr>
      <w:r>
        <w:rPr/>
        <w:t>一年的逻辑是平台防守成本下降和即时零售供给质量提高，商户服务保持合理增速，核心业务可以形成更接近正常水平的年度盈利。反证为高补贴持续、消费者仍需价格刺激、广告变现损害商户回报，以及新业务亏损随着收入一起增加。一年估值维度三点八、量价一点八、经营三点八、行业三点八、催化三点八、风险三点二，得六十八点八分。高模型收益与未确认趋势同时存在，因此仍为有条件进取。</w:t>
      </w:r>
    </w:p>
    <w:p>
      <w:pPr>
        <w:pStyle w:val="Normal"/>
        <w:rPr/>
      </w:pPr>
      <w:r>
        <w:rPr/>
        <w:t>三年更关注即时零售对交易频率、非餐运力利用与商户供应链的贡献，而不只外卖恢复。假设成熟城市的业务能承受全部保障与设备成本，海外至少部分市场形成稳定现金贡献，集团控制重复投入，核心率接近但仍略低于历史高位。反证包括非餐收入增加但配送和售后成本抵消全部利润、小象扩城持续低利用率，或海外必须不断增加补贴保留用户。若这些出现，不应把三年期限更长视为可以自动等待解决。</w:t>
      </w:r>
    </w:p>
    <w:p>
      <w:pPr>
        <w:pStyle w:val="Normal"/>
        <w:rPr/>
      </w:pPr>
      <w:r>
        <w:rPr/>
        <w:t>三年评分在固定权重下七十五点九分，来自估值四分、经营四分、行业四分与相对弱势一点八分，其余催化三点七、风险三点二。行业空间评分较高体现服务消费的线上化、即时履约和商户数字化机会，不表示竞争风险小。经营四分是网络与产品能力的评价，未给最高分正因为财务历史已说明利润脆弱。证据可信度低于财报核验可信度，是对未来兑现的不确定性，不能因为来源可靠就把预测也标成高。</w:t>
      </w:r>
    </w:p>
    <w:p>
      <w:pPr>
        <w:pStyle w:val="Normal"/>
        <w:rPr/>
      </w:pPr>
      <w:r>
        <w:rPr/>
        <w:t>五年的经营判断要求公司成为有纪律的本地与国际执行网络，资本回报超过追加资金成本，而不是同时做最多的业务。总部费用随规模增长，但有效共享产品和运力可以让收入增长快于常态成本。</w:t>
      </w:r>
      <w:r>
        <w:rPr/>
        <w:t>AI</w:t>
      </w:r>
      <w:r>
        <w:rPr/>
        <w:t>商户工具及自动化只有实现可量化的交易增量或节省才计入经营率。反证是集团一直依赖财资与投资收益维持利润，核心广告和履约竞争没有形成可持续现金，或者股数增长使总利润上升仍无每股回报。</w:t>
      </w:r>
    </w:p>
    <w:p>
      <w:pPr>
        <w:pStyle w:val="Normal"/>
        <w:rPr/>
      </w:pPr>
      <w:r>
        <w:rPr/>
        <w:t>五年评分七十七点八分，固定权重的经营质量占四成、行业占两成；估值四、经营四点一、行业四、催化三点七、风险三点一，技术权重为零。技术分没有人为补满，仍保留一点八但不参与得分。风险略下降是因为扩张与管理复杂度累积，并非简单认为长持时间越长越安全。年化回报约三十二点七五属于进取基准，任何把它当作复利承诺的使用都会忽略经营率、股数与新业务回报的敏感性。</w:t>
      </w:r>
    </w:p>
    <w:p>
      <w:pPr>
        <w:pStyle w:val="Normal"/>
        <w:rPr/>
      </w:pPr>
      <w:r>
        <w:rPr/>
        <w:t>十年经营展望可以从三个结构问题思考。第一，城市消费是否仍需要集中即时履约网络；第二，真实商户与交易反馈能否让美团在</w:t>
      </w:r>
      <w:r>
        <w:rPr/>
        <w:t>AI</w:t>
      </w:r>
      <w:r>
        <w:rPr/>
        <w:t>入口变化中保留执行能力；第三，资本是否集中在回报可验证的项目。即使服务需求长期存在，消费者也可能通过新的入口选择不同履约商，平台经济优势会被重新分配。长期研究不提供十年确定目标价，而观察网络的成本与信任是否持续优于其他方案。</w:t>
      </w:r>
    </w:p>
    <w:p>
      <w:pPr>
        <w:pStyle w:val="Normal"/>
        <w:rPr/>
      </w:pPr>
      <w:r>
        <w:rPr/>
        <w:t>人口、城市密度与消费方式变化对十年机会有双向影响。老龄化可能增加家庭配送便利需求，却改变客单和品类；城市扩张和通勤变化可能增加远距配送、削弱局部密度。餐饮供给与家庭自制习惯也可能变化。平台可以通过产品调整应对，但无法假定社会人口变化全部有利。长期模型若给收入高增长，需要来源于新需求、频率和服务变现，而不是把过去高速线上渗透再重复十年。</w:t>
      </w:r>
    </w:p>
    <w:p>
      <w:pPr>
        <w:pStyle w:val="Normal"/>
        <w:rPr/>
      </w:pPr>
      <w:r>
        <w:rPr/>
        <w:t>无人配送的终局不必消灭人类骑手，可能是机器承担部分可标准化路线、人承担更复杂交付。美团若掌握需求和调度，可能从技术选择中受益；若机器服务由其他提供方拥有并形成议价权，收益也可能共享。设备投入、保养和安全成本是长期资本支出，不应因技术成熟就归零。本章没有在十年展望用想象的全国自动化利润替代真实三年现金流，只有实证使用与成本结果会触发模型更新。</w:t>
      </w:r>
    </w:p>
    <w:p>
      <w:pPr>
        <w:pStyle w:val="Normal"/>
        <w:rPr/>
      </w:pPr>
      <w:r>
        <w:rPr/>
        <w:t>风险复核采用经营、资产和证券三层。经营层看核心率、付费服务质量、保障与新增业务贡献；资产层看现金流、融资、收购、战略投资和资金约束；证券层看总摊薄股份、评级目标时点和技术结构。三层之间有联系，却不能用一层的好消息覆盖其他两层的问题。例如战略投资升值能提高权益，仍不能证明外卖盈利恢复；价格反弹能改善趋势，仍不能证明全球扩张资本回报。</w:t>
      </w:r>
    </w:p>
    <w:p>
      <w:pPr>
        <w:pStyle w:val="Normal"/>
        <w:rPr/>
      </w:pPr>
      <w:r>
        <w:rPr/>
        <w:t>推荐应被以下变化推翻：核心业务在竞争缓和表述之后仍连续出现无法覆盖全部常态企业费的盈利；现金流扣资本及租赁后长期负值且依赖借债；重大食品安全或劳动保障变化使网络供给受限；海外成熟市场亏损重新扩大；激励与融资令每股收益持续落后总利润。以上是方向性研究条件，不是已发生的事实，也不随股价上涨自动取消。模型版本会随证据更新，总表需要同步刷新而不沿用旧快照。</w:t>
      </w:r>
    </w:p>
    <w:p>
      <w:pPr>
        <w:pStyle w:val="Normal"/>
        <w:rPr/>
      </w:pPr>
      <w:r>
        <w:rPr/>
        <w:t>美团在本名单中的价值，是具有网络与执行基础的利润恢复选择权，叠加仍未完全证明的新业务成长。它的短期弱势和大幅悲观损失，使其不应靠最高上涨空间成为半年第一。对更长时间，国内即时服务和商户数字化能够提供经营成长，但必须由资本纪律兑现。投资结论保持“条件成立才提升推荐”，既接受进取回报机会，也接受事实变化后的降级，未来价格本身不会替投资人完成现金流核验。</w:t>
      </w:r>
    </w:p>
    <w:p>
      <w:pPr>
        <w:pStyle w:val="Heading2"/>
        <w:rPr/>
      </w:pPr>
      <w:r>
        <w:rPr>
          <w:color w:val="000000"/>
        </w:rPr>
        <w:t>参数表与来源记录 不计有效正文</w:t>
      </w:r>
    </w:p>
    <w:p>
      <w:pPr>
        <w:pStyle w:val="Normal"/>
        <w:rPr/>
      </w:pPr>
      <w:r>
        <w:rPr/>
        <w:t>核心与新业务金额、净财资、费用及融资现值均为</w:t>
      </w:r>
      <w:r>
        <w:rPr/>
        <w:t>CNY</w:t>
      </w:r>
      <w:r>
        <w:rPr/>
        <w:t>十亿元，股数为十亿股；顺序悲观</w:t>
      </w:r>
      <w:r>
        <w:rPr/>
        <w:t>/</w:t>
      </w:r>
      <w:r>
        <w:rPr/>
        <w:t>基准</w:t>
      </w:r>
      <w:r>
        <w:rPr/>
        <w:t>/</w:t>
      </w:r>
      <w:r>
        <w:rPr/>
        <w:t>乐观。所有未来参数为本章研究假设。</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986"/>
        <w:gridCol w:w="986"/>
        <w:gridCol w:w="986"/>
        <w:gridCol w:w="986"/>
        <w:gridCol w:w="986"/>
        <w:gridCol w:w="986"/>
        <w:gridCol w:w="986"/>
        <w:gridCol w:w="986"/>
        <w:gridCol w:w="986"/>
        <w:gridCol w:w="986"/>
      </w:tblGrid>
      <w:tr>
        <w:trPr>
          <w:tblHeader w:val="true"/>
          <w:cantSplit/>
        </w:trPr>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核心收入</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分部经营率</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企业费</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新业务收入</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新业务</w:t>
            </w:r>
            <w:r>
              <w:rPr>
                <w:rFonts w:eastAsia="微软雅黑" w:ascii="微软雅黑" w:hAnsi="微软雅黑"/>
                <w:b/>
                <w:color w:val="FFFFFF"/>
                <w:sz w:val="17"/>
              </w:rPr>
              <w:t>EV</w:t>
            </w:r>
            <w:r>
              <w:rPr>
                <w:rFonts w:ascii="微软雅黑" w:hAnsi="微软雅黑" w:eastAsia="微软雅黑"/>
                <w:b/>
                <w:color w:val="FFFFFF"/>
                <w:sz w:val="17"/>
              </w:rPr>
              <w:t>销售倍数</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净财资</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过渡融资现值</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摊薄股数</w:t>
            </w:r>
          </w:p>
        </w:tc>
        <w:tc>
          <w:tcPr>
            <w:tcW w:w="9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核心经营倍数</w:t>
            </w:r>
          </w:p>
        </w:tc>
      </w:tr>
      <w:tr>
        <w:trPr>
          <w:cantSplit/>
        </w:trPr>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280/305/325</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6.5%/11.5%/16%</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8/8/8.5</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110/130/150</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.15/.35/.65</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50/65/75</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25/20/12</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6.32/6.25/6.22</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16/22/26</w:t>
            </w:r>
          </w:p>
        </w:tc>
      </w:tr>
      <w:tr>
        <w:trPr>
          <w:cantSplit/>
        </w:trPr>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280/320/350</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6.5%/13%/17.5%</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8.5/8.5/9</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110/145/175</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.15/.38/.7</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45/65/80</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30/20/10</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6.38/6.26/6.22</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15/22/27</w:t>
            </w:r>
          </w:p>
        </w:tc>
      </w:tr>
      <w:tr>
        <w:trPr>
          <w:cantSplit/>
        </w:trPr>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295/345/390</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7.5%/15%/19%</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9/9/9.5</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118/165/210</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.18/.45/.8</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40/70/90</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28/18/8</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6.5/6.28/6.2</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14/22/28</w:t>
            </w:r>
          </w:p>
        </w:tc>
      </w:tr>
      <w:tr>
        <w:trPr>
          <w:cantSplit/>
        </w:trPr>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320/450/560</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8%/17%/21.5%</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11/11/12</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135/230/350</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.2/.55/1</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25/95/150</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12/10/5</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6.9/6.3/6.15</w:t>
            </w:r>
          </w:p>
        </w:tc>
        <w:tc>
          <w:tcPr>
            <w:tcW w:w="9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12/22/28</w:t>
            </w:r>
          </w:p>
        </w:tc>
      </w:tr>
      <w:tr>
        <w:trPr>
          <w:cantSplit/>
        </w:trPr>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330/560/750</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9%/18%/22.5%</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13/13/15</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145/300/500</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.2/.6/1.1</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20/130/250</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8/6/3</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7.3/6.35/6.1</w:t>
            </w:r>
          </w:p>
        </w:tc>
        <w:tc>
          <w:tcPr>
            <w:tcW w:w="9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10/20/26</w:t>
            </w:r>
          </w:p>
        </w:tc>
      </w:tr>
    </w:tbl>
    <w:p>
      <w:pPr>
        <w:pStyle w:val="Normal"/>
        <w:rPr/>
      </w:pPr>
      <w:r>
        <w:rPr/>
      </w:r>
    </w:p>
    <w:p>
      <w:pPr>
        <w:pStyle w:val="Normal"/>
        <w:rPr/>
      </w:pPr>
      <w:r>
        <w:rPr/>
        <w:t>税率</w:t>
      </w:r>
      <w:r>
        <w:rPr/>
        <w:t>20%</w:t>
      </w:r>
      <w:r>
        <w:rPr/>
        <w:t>，归属比例悲观</w:t>
      </w:r>
      <w:r>
        <w:rPr/>
        <w:t>99%</w:t>
      </w:r>
      <w:r>
        <w:rPr/>
        <w:t>、基准及乐观</w:t>
      </w:r>
      <w:r>
        <w:rPr/>
        <w:t>99.5%</w:t>
      </w:r>
      <w:r>
        <w:rPr/>
        <w:t>。未来股息均</w:t>
      </w:r>
      <w:r>
        <w:rPr/>
        <w:t>0</w:t>
      </w:r>
      <w:r>
        <w:rPr/>
        <w:t>。期限目标为</w:t>
      </w:r>
      <w:r>
        <w:rPr/>
        <w:t>2027-04-09</w:t>
      </w:r>
      <w:r>
        <w:rPr/>
        <w:t>、</w:t>
      </w:r>
      <w:r>
        <w:rPr/>
        <w:t>2027-10-09</w:t>
      </w:r>
      <w:r>
        <w:rPr/>
        <w:t>、</w:t>
      </w:r>
      <w:r>
        <w:rPr/>
        <w:t>2029-10-09</w:t>
      </w:r>
      <w:r>
        <w:rPr/>
        <w:t>、</w:t>
      </w:r>
      <w:r>
        <w:rPr/>
        <w:t>2031-10-09</w:t>
      </w:r>
      <w:r>
        <w:rPr/>
        <w:t>，休市取当地此前交易日，最终日期映射由统一总表处理。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3286"/>
        <w:gridCol w:w="3286"/>
        <w:gridCol w:w="3286"/>
      </w:tblGrid>
      <w:tr>
        <w:trPr>
          <w:tblHeader w:val="true"/>
          <w:cantSplit/>
        </w:trPr>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材料</w:t>
            </w:r>
          </w:p>
        </w:tc>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期间</w:t>
            </w:r>
            <w:r>
              <w:rPr>
                <w:rFonts w:eastAsia="微软雅黑" w:ascii="微软雅黑" w:hAnsi="微软雅黑"/>
                <w:b/>
                <w:color w:val="FFFFFF"/>
                <w:sz w:val="17"/>
              </w:rPr>
              <w:t>/</w:t>
            </w:r>
            <w:r>
              <w:rPr>
                <w:rFonts w:ascii="微软雅黑" w:hAnsi="微软雅黑" w:eastAsia="微软雅黑"/>
                <w:b/>
                <w:color w:val="FFFFFF"/>
                <w:sz w:val="17"/>
              </w:rPr>
              <w:t>公开时间</w:t>
            </w:r>
          </w:p>
        </w:tc>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关键证据位置</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[2025</w:t>
            </w:r>
            <w:r>
              <w:rPr>
                <w:rFonts w:ascii="微软雅黑" w:hAnsi="微软雅黑" w:eastAsia="微软雅黑"/>
                <w:sz w:val="17"/>
              </w:rPr>
              <w:t>审计年报</w:t>
            </w:r>
            <w:r>
              <w:rPr>
                <w:rFonts w:eastAsia="微软雅黑" w:ascii="微软雅黑" w:hAnsi="微软雅黑"/>
                <w:sz w:val="17"/>
              </w:rPr>
              <w:t>](https://media-meituan.todayir.com/20260424065602168712120049_en.pdf)</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FY2025</w:t>
            </w:r>
            <w:r>
              <w:rPr>
                <w:rFonts w:ascii="微软雅黑" w:hAnsi="微软雅黑" w:eastAsia="微软雅黑"/>
                <w:sz w:val="17"/>
              </w:rPr>
              <w:t>；官网</w:t>
            </w:r>
            <w:r>
              <w:rPr>
                <w:rFonts w:eastAsia="微软雅黑" w:ascii="微软雅黑" w:hAnsi="微软雅黑"/>
                <w:sz w:val="17"/>
              </w:rPr>
              <w:t>4</w:t>
            </w:r>
            <w:r>
              <w:rPr>
                <w:rFonts w:ascii="微软雅黑" w:hAnsi="微软雅黑" w:eastAsia="微软雅黑"/>
                <w:sz w:val="17"/>
              </w:rPr>
              <w:t>月</w:t>
            </w:r>
            <w:r>
              <w:rPr>
                <w:rFonts w:eastAsia="微软雅黑" w:ascii="微软雅黑" w:hAnsi="微软雅黑"/>
                <w:sz w:val="17"/>
              </w:rPr>
              <w:t>24</w:t>
            </w:r>
            <w:r>
              <w:rPr>
                <w:rFonts w:ascii="微软雅黑" w:hAnsi="微软雅黑" w:eastAsia="微软雅黑"/>
                <w:sz w:val="17"/>
              </w:rPr>
              <w:t>日，董事会</w:t>
            </w:r>
            <w:r>
              <w:rPr>
                <w:rFonts w:eastAsia="微软雅黑" w:ascii="微软雅黑" w:hAnsi="微软雅黑"/>
                <w:sz w:val="17"/>
              </w:rPr>
              <w:t>3</w:t>
            </w:r>
            <w:r>
              <w:rPr>
                <w:rFonts w:ascii="微软雅黑" w:hAnsi="微软雅黑" w:eastAsia="微软雅黑"/>
                <w:sz w:val="17"/>
              </w:rPr>
              <w:t>月</w:t>
            </w:r>
            <w:r>
              <w:rPr>
                <w:rFonts w:eastAsia="微软雅黑" w:ascii="微软雅黑" w:hAnsi="微软雅黑"/>
                <w:sz w:val="17"/>
              </w:rPr>
              <w:t>26</w:t>
            </w:r>
            <w:r>
              <w:rPr>
                <w:rFonts w:ascii="微软雅黑" w:hAnsi="微软雅黑" w:eastAsia="微软雅黑"/>
                <w:sz w:val="17"/>
              </w:rPr>
              <w:t>日</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财务摘要、集团利润与现金流、分部附注、</w:t>
            </w:r>
            <w:r>
              <w:rPr>
                <w:rFonts w:eastAsia="微软雅黑" w:ascii="微软雅黑" w:hAnsi="微软雅黑"/>
                <w:sz w:val="17"/>
              </w:rPr>
              <w:t>WVR</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中报</w:t>
            </w:r>
            <w:r>
              <w:rPr>
                <w:rFonts w:eastAsia="微软雅黑" w:ascii="微软雅黑" w:hAnsi="微软雅黑"/>
                <w:sz w:val="17"/>
              </w:rPr>
              <w:t>](https://media-meituan.todayir.com/20260929060801160312349730_en.pdf)</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H1</w:t>
            </w:r>
            <w:r>
              <w:rPr>
                <w:rFonts w:ascii="微软雅黑" w:hAnsi="微软雅黑" w:eastAsia="微软雅黑"/>
                <w:sz w:val="17"/>
              </w:rPr>
              <w:t>；官网</w:t>
            </w:r>
            <w:r>
              <w:rPr>
                <w:rFonts w:eastAsia="微软雅黑" w:ascii="微软雅黑" w:hAnsi="微软雅黑"/>
                <w:sz w:val="17"/>
              </w:rPr>
              <w:t>9</w:t>
            </w:r>
            <w:r>
              <w:rPr>
                <w:rFonts w:ascii="微软雅黑" w:hAnsi="微软雅黑" w:eastAsia="微软雅黑"/>
                <w:sz w:val="17"/>
              </w:rPr>
              <w:t>月</w:t>
            </w:r>
            <w:r>
              <w:rPr>
                <w:rFonts w:eastAsia="微软雅黑" w:ascii="微软雅黑" w:hAnsi="微软雅黑"/>
                <w:sz w:val="17"/>
              </w:rPr>
              <w:t>29</w:t>
            </w:r>
            <w:r>
              <w:rPr>
                <w:rFonts w:ascii="微软雅黑" w:hAnsi="微软雅黑" w:eastAsia="微软雅黑"/>
                <w:sz w:val="17"/>
              </w:rPr>
              <w:t>日</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报告页</w:t>
            </w:r>
            <w:r>
              <w:rPr>
                <w:rFonts w:eastAsia="微软雅黑" w:ascii="微软雅黑" w:hAnsi="微软雅黑"/>
                <w:sz w:val="17"/>
              </w:rPr>
              <w:t>6–10</w:t>
            </w:r>
            <w:r>
              <w:rPr>
                <w:rFonts w:ascii="微软雅黑" w:hAnsi="微软雅黑" w:eastAsia="微软雅黑"/>
                <w:sz w:val="17"/>
              </w:rPr>
              <w:t>分部与经营；</w:t>
            </w:r>
            <w:r>
              <w:rPr>
                <w:rFonts w:eastAsia="微软雅黑" w:ascii="微软雅黑" w:hAnsi="微软雅黑"/>
                <w:sz w:val="17"/>
              </w:rPr>
              <w:t>26–27</w:t>
            </w:r>
            <w:r>
              <w:rPr>
                <w:rFonts w:ascii="微软雅黑" w:hAnsi="微软雅黑" w:eastAsia="微软雅黑"/>
                <w:sz w:val="17"/>
              </w:rPr>
              <w:t>资金；</w:t>
            </w:r>
            <w:r>
              <w:rPr>
                <w:rFonts w:eastAsia="微软雅黑" w:ascii="微软雅黑" w:hAnsi="微软雅黑"/>
                <w:sz w:val="17"/>
              </w:rPr>
              <w:t>56–65</w:t>
            </w:r>
            <w:r>
              <w:rPr>
                <w:rFonts w:ascii="微软雅黑" w:hAnsi="微软雅黑" w:eastAsia="微软雅黑"/>
                <w:sz w:val="17"/>
              </w:rPr>
              <w:t>三表；</w:t>
            </w:r>
            <w:r>
              <w:rPr>
                <w:rFonts w:eastAsia="微软雅黑" w:ascii="微软雅黑" w:hAnsi="微软雅黑"/>
                <w:sz w:val="17"/>
              </w:rPr>
              <w:t>EPS</w:t>
            </w:r>
            <w:r>
              <w:rPr>
                <w:rFonts w:ascii="微软雅黑" w:hAnsi="微软雅黑" w:eastAsia="微软雅黑"/>
                <w:sz w:val="17"/>
              </w:rPr>
              <w:t>、激励、资本承诺附注</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[Q2</w:t>
            </w:r>
            <w:r>
              <w:rPr>
                <w:rFonts w:ascii="微软雅黑" w:hAnsi="微软雅黑" w:eastAsia="微软雅黑"/>
                <w:sz w:val="17"/>
              </w:rPr>
              <w:t>结果</w:t>
            </w:r>
            <w:r>
              <w:rPr>
                <w:rFonts w:eastAsia="微软雅黑" w:ascii="微软雅黑" w:hAnsi="微软雅黑"/>
                <w:sz w:val="17"/>
              </w:rPr>
              <w:t>](https://media-meituan.todayir.com/202608281731561718399005_en.pdf)</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Q2</w:t>
            </w:r>
            <w:r>
              <w:rPr>
                <w:rFonts w:ascii="微软雅黑" w:hAnsi="微软雅黑" w:eastAsia="微软雅黑"/>
                <w:sz w:val="17"/>
              </w:rPr>
              <w:t>；</w:t>
            </w:r>
            <w:r>
              <w:rPr>
                <w:rFonts w:eastAsia="微软雅黑" w:ascii="微软雅黑" w:hAnsi="微软雅黑"/>
                <w:sz w:val="17"/>
              </w:rPr>
              <w:t>8</w:t>
            </w:r>
            <w:r>
              <w:rPr>
                <w:rFonts w:ascii="微软雅黑" w:hAnsi="微软雅黑" w:eastAsia="微软雅黑"/>
                <w:sz w:val="17"/>
              </w:rPr>
              <w:t>月</w:t>
            </w:r>
            <w:r>
              <w:rPr>
                <w:rFonts w:eastAsia="微软雅黑" w:ascii="微软雅黑" w:hAnsi="微软雅黑"/>
                <w:sz w:val="17"/>
              </w:rPr>
              <w:t>28</w:t>
            </w:r>
            <w:r>
              <w:rPr>
                <w:rFonts w:ascii="微软雅黑" w:hAnsi="微软雅黑" w:eastAsia="微软雅黑"/>
                <w:sz w:val="17"/>
              </w:rPr>
              <w:t>日</w:t>
            </w:r>
            <w:r>
              <w:rPr>
                <w:rFonts w:eastAsia="微软雅黑" w:ascii="微软雅黑" w:hAnsi="微软雅黑"/>
                <w:sz w:val="17"/>
              </w:rPr>
              <w:t>17:31</w:t>
            </w:r>
            <w:r>
              <w:rPr>
                <w:rFonts w:ascii="微软雅黑" w:hAnsi="微软雅黑" w:eastAsia="微软雅黑"/>
                <w:sz w:val="17"/>
              </w:rPr>
              <w:t>收盘后</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季度收入、经营利润、非</w:t>
            </w:r>
            <w:r>
              <w:rPr>
                <w:rFonts w:eastAsia="微软雅黑" w:ascii="微软雅黑" w:hAnsi="微软雅黑"/>
                <w:sz w:val="17"/>
              </w:rPr>
              <w:t>IFRS</w:t>
            </w:r>
            <w:r>
              <w:rPr>
                <w:rFonts w:ascii="微软雅黑" w:hAnsi="微软雅黑" w:eastAsia="微软雅黑"/>
                <w:sz w:val="17"/>
              </w:rPr>
              <w:t>调节</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九月股本月报</w:t>
            </w:r>
            <w:r>
              <w:rPr>
                <w:rFonts w:eastAsia="微软雅黑" w:ascii="微软雅黑" w:hAnsi="微软雅黑"/>
                <w:sz w:val="17"/>
              </w:rPr>
              <w:t>](https://media-meituan.todayir.com/2026100716400177912365034_en.pdf)</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w:t>
            </w:r>
            <w:r>
              <w:rPr>
                <w:rFonts w:ascii="微软雅黑" w:hAnsi="微软雅黑" w:eastAsia="微软雅黑"/>
                <w:sz w:val="17"/>
              </w:rPr>
              <w:t>月</w:t>
            </w:r>
            <w:r>
              <w:rPr>
                <w:rFonts w:eastAsia="微软雅黑" w:ascii="微软雅黑" w:hAnsi="微软雅黑"/>
                <w:sz w:val="17"/>
              </w:rPr>
              <w:t>30</w:t>
            </w:r>
            <w:r>
              <w:rPr>
                <w:rFonts w:ascii="微软雅黑" w:hAnsi="微软雅黑" w:eastAsia="微软雅黑"/>
                <w:sz w:val="17"/>
              </w:rPr>
              <w:t>日；</w:t>
            </w:r>
            <w:r>
              <w:rPr>
                <w:rFonts w:eastAsia="微软雅黑" w:ascii="微软雅黑" w:hAnsi="微软雅黑"/>
                <w:sz w:val="17"/>
              </w:rPr>
              <w:t>10</w:t>
            </w:r>
            <w:r>
              <w:rPr>
                <w:rFonts w:ascii="微软雅黑" w:hAnsi="微软雅黑" w:eastAsia="微软雅黑"/>
                <w:sz w:val="17"/>
              </w:rPr>
              <w:t>月</w:t>
            </w:r>
            <w:r>
              <w:rPr>
                <w:rFonts w:eastAsia="微软雅黑" w:ascii="微软雅黑" w:hAnsi="微软雅黑"/>
                <w:sz w:val="17"/>
              </w:rPr>
              <w:t>7</w:t>
            </w:r>
            <w:r>
              <w:rPr>
                <w:rFonts w:ascii="微软雅黑" w:hAnsi="微软雅黑" w:eastAsia="微软雅黑"/>
                <w:sz w:val="17"/>
              </w:rPr>
              <w:t>日</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B</w:t>
            </w:r>
            <w:r>
              <w:rPr>
                <w:rFonts w:ascii="微软雅黑" w:hAnsi="微软雅黑" w:eastAsia="微软雅黑"/>
                <w:sz w:val="17"/>
              </w:rPr>
              <w:t>类与</w:t>
            </w:r>
            <w:r>
              <w:rPr>
                <w:rFonts w:eastAsia="微软雅黑" w:ascii="微软雅黑" w:hAnsi="微软雅黑"/>
                <w:sz w:val="17"/>
              </w:rPr>
              <w:t>A</w:t>
            </w:r>
            <w:r>
              <w:rPr>
                <w:rFonts w:ascii="微软雅黑" w:hAnsi="微软雅黑" w:eastAsia="微软雅黑"/>
                <w:sz w:val="17"/>
              </w:rPr>
              <w:t>类已发行，未注销回购说明</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公司</w:t>
            </w:r>
            <w:r>
              <w:rPr>
                <w:rFonts w:eastAsia="微软雅黑" w:ascii="微软雅黑" w:hAnsi="微软雅黑"/>
                <w:sz w:val="17"/>
              </w:rPr>
              <w:t>IR](https://about.meituan.com/en-US/investor-relations)</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截止日可用目录</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英文报告日期与链接</w:t>
            </w:r>
          </w:p>
        </w:tc>
      </w:tr>
    </w:tbl>
    <w:p>
      <w:pPr>
        <w:pStyle w:val="Normal"/>
        <w:rPr/>
      </w:pPr>
      <w:r>
        <w:rPr/>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机构</w:t>
            </w:r>
            <w:r>
              <w:rPr>
                <w:rFonts w:eastAsia="微软雅黑" w:ascii="微软雅黑" w:hAnsi="微软雅黑"/>
                <w:b/>
                <w:color w:val="FFFFFF"/>
                <w:sz w:val="17"/>
              </w:rPr>
              <w:t>/</w:t>
            </w:r>
            <w:r>
              <w:rPr>
                <w:rFonts w:ascii="微软雅黑" w:hAnsi="微软雅黑" w:eastAsia="微软雅黑"/>
                <w:b/>
                <w:color w:val="FFFFFF"/>
                <w:sz w:val="17"/>
              </w:rPr>
              <w:t>公开日期</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评级</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大摩</w:t>
            </w:r>
            <w:r>
              <w:rPr>
                <w:rFonts w:eastAsia="微软雅黑" w:ascii="微软雅黑" w:hAnsi="微软雅黑"/>
                <w:sz w:val="17"/>
              </w:rPr>
              <w:t>8</w:t>
            </w:r>
            <w:r>
              <w:rPr>
                <w:rFonts w:ascii="微软雅黑" w:hAnsi="微软雅黑" w:eastAsia="微软雅黑"/>
                <w:sz w:val="17"/>
              </w:rPr>
              <w:t>月</w:t>
            </w:r>
            <w:r>
              <w:rPr>
                <w:rFonts w:eastAsia="微软雅黑" w:ascii="微软雅黑" w:hAnsi="微软雅黑"/>
                <w:sz w:val="17"/>
              </w:rPr>
              <w:t>31</w:t>
            </w:r>
            <w:r>
              <w:rPr>
                <w:rFonts w:ascii="微软雅黑" w:hAnsi="微软雅黑" w:eastAsia="微软雅黑"/>
                <w:sz w:val="17"/>
              </w:rPr>
              <w:t>日</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增持</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未公开</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新闻转述</w:t>
            </w:r>
            <w:r>
              <w:rPr>
                <w:rFonts w:eastAsia="微软雅黑" w:ascii="微软雅黑" w:hAnsi="微软雅黑"/>
                <w:sz w:val="17"/>
              </w:rPr>
              <w:t>](https://www.aastocks.com/sc/stocks/analysis/stock-aafn-con/03690/AAFN/NOW.1542154/research-report)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花旗</w:t>
            </w:r>
            <w:r>
              <w:rPr>
                <w:rFonts w:eastAsia="微软雅黑" w:ascii="微软雅黑" w:hAnsi="微软雅黑"/>
                <w:sz w:val="17"/>
              </w:rPr>
              <w:t>8</w:t>
            </w:r>
            <w:r>
              <w:rPr>
                <w:rFonts w:ascii="微软雅黑" w:hAnsi="微软雅黑" w:eastAsia="微软雅黑"/>
                <w:sz w:val="17"/>
              </w:rPr>
              <w:t>月</w:t>
            </w:r>
            <w:r>
              <w:rPr>
                <w:rFonts w:eastAsia="微软雅黑" w:ascii="微软雅黑" w:hAnsi="微软雅黑"/>
                <w:sz w:val="17"/>
              </w:rPr>
              <w:t>31</w:t>
            </w:r>
            <w:r>
              <w:rPr>
                <w:rFonts w:ascii="微软雅黑" w:hAnsi="微软雅黑" w:eastAsia="微软雅黑"/>
                <w:sz w:val="17"/>
              </w:rPr>
              <w:t>日</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买入</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未公开</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新闻转述</w:t>
            </w:r>
            <w:r>
              <w:rPr>
                <w:rFonts w:eastAsia="微软雅黑" w:ascii="微软雅黑" w:hAnsi="微软雅黑"/>
                <w:sz w:val="17"/>
              </w:rPr>
              <w:t>](https://www.aastocks.com/sc/stocks/analysis/stock-aafn-con/03690/AAFN/NOW.1542098/research-report)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里昂</w:t>
            </w:r>
            <w:r>
              <w:rPr>
                <w:rFonts w:eastAsia="微软雅黑" w:ascii="微软雅黑" w:hAnsi="微软雅黑"/>
                <w:sz w:val="17"/>
              </w:rPr>
              <w:t>8</w:t>
            </w:r>
            <w:r>
              <w:rPr>
                <w:rFonts w:ascii="微软雅黑" w:hAnsi="微软雅黑" w:eastAsia="微软雅黑"/>
                <w:sz w:val="17"/>
              </w:rPr>
              <w:t>月</w:t>
            </w:r>
            <w:r>
              <w:rPr>
                <w:rFonts w:eastAsia="微软雅黑" w:ascii="微软雅黑" w:hAnsi="微软雅黑"/>
                <w:sz w:val="17"/>
              </w:rPr>
              <w:t>31</w:t>
            </w:r>
            <w:r>
              <w:rPr>
                <w:rFonts w:ascii="微软雅黑" w:hAnsi="微软雅黑" w:eastAsia="微软雅黑"/>
                <w:sz w:val="17"/>
              </w:rPr>
              <w:t>日</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跑赢</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未公开</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新闻转述</w:t>
            </w:r>
            <w:r>
              <w:rPr>
                <w:rFonts w:eastAsia="微软雅黑" w:ascii="微软雅黑" w:hAnsi="微软雅黑"/>
                <w:sz w:val="17"/>
              </w:rPr>
              <w:t>](https://www.aastocks.com/sc/stocks/analysis/stock-aafn-con/03690/AAFN/NOW.1542097/research-report)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野村</w:t>
            </w:r>
            <w:r>
              <w:rPr>
                <w:rFonts w:eastAsia="微软雅黑" w:ascii="微软雅黑" w:hAnsi="微软雅黑"/>
                <w:sz w:val="17"/>
              </w:rPr>
              <w:t>8</w:t>
            </w:r>
            <w:r>
              <w:rPr>
                <w:rFonts w:ascii="微软雅黑" w:hAnsi="微软雅黑" w:eastAsia="微软雅黑"/>
                <w:sz w:val="17"/>
              </w:rPr>
              <w:t>月</w:t>
            </w:r>
            <w:r>
              <w:rPr>
                <w:rFonts w:eastAsia="微软雅黑" w:ascii="微软雅黑" w:hAnsi="微软雅黑"/>
                <w:sz w:val="17"/>
              </w:rPr>
              <w:t>31</w:t>
            </w:r>
            <w:r>
              <w:rPr>
                <w:rFonts w:ascii="微软雅黑" w:hAnsi="微软雅黑" w:eastAsia="微软雅黑"/>
                <w:sz w:val="17"/>
              </w:rPr>
              <w:t>日</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买入</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未公开</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新闻转述</w:t>
            </w:r>
            <w:r>
              <w:rPr>
                <w:rFonts w:eastAsia="微软雅黑" w:ascii="微软雅黑" w:hAnsi="微软雅黑"/>
                <w:sz w:val="17"/>
              </w:rPr>
              <w:t>](https://www.aastocks.com/sc/stocks/analysis/stock-aafn-con/03690/AAFN/NOW.1542087/research-report)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麦格理</w:t>
            </w:r>
            <w:r>
              <w:rPr>
                <w:rFonts w:eastAsia="微软雅黑" w:ascii="微软雅黑" w:hAnsi="微软雅黑"/>
                <w:sz w:val="17"/>
              </w:rPr>
              <w:t>8</w:t>
            </w:r>
            <w:r>
              <w:rPr>
                <w:rFonts w:ascii="微软雅黑" w:hAnsi="微软雅黑" w:eastAsia="微软雅黑"/>
                <w:sz w:val="17"/>
              </w:rPr>
              <w:t>月</w:t>
            </w:r>
            <w:r>
              <w:rPr>
                <w:rFonts w:eastAsia="微软雅黑" w:ascii="微软雅黑" w:hAnsi="微软雅黑"/>
                <w:sz w:val="17"/>
              </w:rPr>
              <w:t>31</w:t>
            </w:r>
            <w:r>
              <w:rPr>
                <w:rFonts w:ascii="微软雅黑" w:hAnsi="微软雅黑" w:eastAsia="微软雅黑"/>
                <w:sz w:val="17"/>
              </w:rPr>
              <w:t>日</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跑赢</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未公开</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新闻转述</w:t>
            </w:r>
            <w:r>
              <w:rPr>
                <w:rFonts w:eastAsia="微软雅黑" w:ascii="微软雅黑" w:hAnsi="微软雅黑"/>
                <w:sz w:val="17"/>
              </w:rPr>
              <w:t>](https://www.aastocks.com/sc/stocks/analysis/stock-aafn-con/03690/AAFN/NOW.1542039/research-report)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摩通</w:t>
            </w:r>
            <w:r>
              <w:rPr>
                <w:rFonts w:eastAsia="微软雅黑" w:ascii="微软雅黑" w:hAnsi="微软雅黑"/>
                <w:sz w:val="17"/>
              </w:rPr>
              <w:t>8</w:t>
            </w:r>
            <w:r>
              <w:rPr>
                <w:rFonts w:ascii="微软雅黑" w:hAnsi="微软雅黑" w:eastAsia="微软雅黑"/>
                <w:sz w:val="17"/>
              </w:rPr>
              <w:t>月</w:t>
            </w:r>
            <w:r>
              <w:rPr>
                <w:rFonts w:eastAsia="微软雅黑" w:ascii="微软雅黑" w:hAnsi="微软雅黑"/>
                <w:sz w:val="17"/>
              </w:rPr>
              <w:t>31</w:t>
            </w:r>
            <w:r>
              <w:rPr>
                <w:rFonts w:ascii="微软雅黑" w:hAnsi="微软雅黑" w:eastAsia="微软雅黑"/>
                <w:sz w:val="17"/>
              </w:rPr>
              <w:t>日</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增持</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未公开</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新闻转述</w:t>
            </w:r>
            <w:r>
              <w:rPr>
                <w:rFonts w:eastAsia="微软雅黑" w:ascii="微软雅黑" w:hAnsi="微软雅黑"/>
                <w:sz w:val="17"/>
              </w:rPr>
              <w:t>](https://www.aastocks.com/sc/stocks/analysis/stock-aafn-con/03690/AAFN/NOW.1542038/research-report)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高盛</w:t>
            </w:r>
            <w:r>
              <w:rPr>
                <w:rFonts w:eastAsia="微软雅黑" w:ascii="微软雅黑" w:hAnsi="微软雅黑"/>
                <w:sz w:val="17"/>
              </w:rPr>
              <w:t>8</w:t>
            </w:r>
            <w:r>
              <w:rPr>
                <w:rFonts w:ascii="微软雅黑" w:hAnsi="微软雅黑" w:eastAsia="微软雅黑"/>
                <w:sz w:val="17"/>
              </w:rPr>
              <w:t>月</w:t>
            </w:r>
            <w:r>
              <w:rPr>
                <w:rFonts w:eastAsia="微软雅黑" w:ascii="微软雅黑" w:hAnsi="微软雅黑"/>
                <w:sz w:val="17"/>
              </w:rPr>
              <w:t>10</w:t>
            </w:r>
            <w:r>
              <w:rPr>
                <w:rFonts w:ascii="微软雅黑" w:hAnsi="微软雅黑" w:eastAsia="微软雅黑"/>
                <w:sz w:val="17"/>
              </w:rPr>
              <w:t>日</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买入</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未公开，业绩前</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新闻转述</w:t>
            </w:r>
            <w:r>
              <w:rPr>
                <w:rFonts w:eastAsia="微软雅黑" w:ascii="微软雅黑" w:hAnsi="微软雅黑"/>
                <w:sz w:val="17"/>
              </w:rPr>
              <w:t>](https://www.aastocks.com/sc/stocks/analysis/stock-aafn-con/03690/AAFN/NOW.1537376/research-report)</w:t>
            </w:r>
          </w:p>
        </w:tc>
      </w:tr>
    </w:tbl>
    <w:p>
      <w:pPr>
        <w:pStyle w:val="Normal"/>
        <w:rPr/>
      </w:pPr>
      <w:r>
        <w:rPr/>
      </w:r>
    </w:p>
    <w:p>
      <w:pPr>
        <w:pStyle w:val="Normal"/>
        <w:rPr/>
      </w:pPr>
      <w:r>
        <w:rPr/>
        <w:t>原始研报未取得。数据文件</w:t>
      </w:r>
      <w:r>
        <w:rPr/>
        <w:t>meituan_model.json</w:t>
      </w:r>
      <w:r>
        <w:rPr/>
        <w:t>逐字段保存单位、期间、来源、日期及研究计算标识。锁定行情文件包含双源复权方法、日周线指标、量单位及粗粒度相对基准。尚缺按业务与国家精确</w:t>
      </w:r>
      <w:r>
        <w:rPr/>
        <w:t>UE</w:t>
      </w:r>
      <w:r>
        <w:rPr/>
        <w:t>、订单利润、可靠自由流通换手分母，以及叮咚截止日独立交割核验。缺失未用伪造数据填入。</w:t>
      </w:r>
      <w:r>
        <w:br w:type="page"/>
      </w:r>
    </w:p>
    <w:p>
      <w:pPr>
        <w:pStyle w:val="Heading1"/>
        <w:rPr/>
      </w:pPr>
      <w:bookmarkStart w:id="6" w:name="__RefHeading___Toc26829_312338234"/>
      <w:bookmarkEnd w:id="6"/>
      <w:r>
        <w:rPr>
          <w:color w:val="000000"/>
        </w:rPr>
        <w:t xml:space="preserve">时代天使 </w:t>
      </w:r>
      <w:r>
        <w:rPr>
          <w:color w:val="000000"/>
        </w:rPr>
        <w:t>06699 HK</w:t>
      </w:r>
    </w:p>
    <w:p>
      <w:pPr>
        <w:pStyle w:val="Normal"/>
        <w:rPr/>
      </w:pPr>
      <w:r>
        <w:rPr/>
        <w:t xml:space="preserve">06699.HK </w:t>
      </w:r>
      <w:r>
        <w:rPr/>
        <w:t xml:space="preserve">现价 </w:t>
      </w:r>
      <w:r>
        <w:rPr/>
        <w:t>82.30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100.30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+21.87%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+21.87%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114.67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+39.33%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+40.67%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161.40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+96.12%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+100.49%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3</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213.56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+159.48%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+168.72%</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48.82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-40.69%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92.40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+12.27%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147.69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+79.46%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95.33HKD</w:t>
      </w:r>
      <w:r>
        <w:rPr/>
        <w:t>，期望股价回报</w:t>
      </w:r>
      <w:r>
        <w:rPr/>
        <w:t>+15.83%</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36.74</w:t>
              <w:br/>
              <w:t>-55.35%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100.30</w:t>
              <w:br/>
              <w:t>+21.87%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166.52</w:t>
              <w:br/>
              <w:t>+102.33%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21.19</w:t>
              <w:br/>
              <w:t>-74.26%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114.67</w:t>
              <w:br/>
              <w:t>+39.33%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212.68</w:t>
              <w:br/>
              <w:t>+158.41%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7.86</w:t>
              <w:br/>
              <w:t>-90.45%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161.40</w:t>
              <w:br/>
              <w:t>+96.12%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343.75</w:t>
              <w:br/>
              <w:t>+317.68%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+26.09%</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3.27</w:t>
              <w:br/>
              <w:t>-96.03%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213.56</w:t>
              <w:br/>
              <w:t>+159.48%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448.87</w:t>
              <w:br/>
              <w:t>+445.41%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+21.86%</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fundamentals</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HKEX</w:t>
            </w:r>
            <w:r>
              <w:rPr>
                <w:rFonts w:ascii="微软雅黑" w:hAnsi="微软雅黑" w:eastAsia="微软雅黑"/>
                <w:sz w:val="17"/>
              </w:rPr>
              <w:t>原件财报及月报；细分病例</w:t>
            </w:r>
            <w:r>
              <w:rPr>
                <w:rFonts w:eastAsia="微软雅黑" w:ascii="微软雅黑" w:hAnsi="微软雅黑"/>
                <w:sz w:val="17"/>
              </w:rPr>
              <w:t>/</w:t>
            </w:r>
            <w:r>
              <w:rPr>
                <w:rFonts w:ascii="微软雅黑" w:hAnsi="微软雅黑" w:eastAsia="微软雅黑"/>
                <w:sz w:val="17"/>
              </w:rPr>
              <w:t>医生重复率、国家盈利和诉讼损失缺</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technical</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中：锁定三年</w:t>
            </w:r>
            <w:r>
              <w:rPr>
                <w:rFonts w:eastAsia="微软雅黑" w:ascii="微软雅黑" w:hAnsi="微软雅黑"/>
                <w:sz w:val="17"/>
              </w:rPr>
              <w:t>739</w:t>
            </w:r>
            <w:r>
              <w:rPr>
                <w:rFonts w:ascii="微软雅黑" w:hAnsi="微软雅黑" w:eastAsia="微软雅黑"/>
                <w:sz w:val="17"/>
              </w:rPr>
              <w:t>日</w:t>
            </w:r>
            <w:r>
              <w:rPr>
                <w:rFonts w:eastAsia="微软雅黑" w:ascii="微软雅黑" w:hAnsi="微软雅黑"/>
                <w:sz w:val="17"/>
              </w:rPr>
              <w:t>157</w:t>
            </w:r>
            <w:r>
              <w:rPr>
                <w:rFonts w:ascii="微软雅黑" w:hAnsi="微软雅黑" w:eastAsia="微软雅黑"/>
                <w:sz w:val="17"/>
              </w:rPr>
              <w:t>周，</w:t>
            </w:r>
            <w:r>
              <w:rPr>
                <w:rFonts w:eastAsia="微软雅黑" w:ascii="微软雅黑" w:hAnsi="微软雅黑"/>
                <w:sz w:val="17"/>
              </w:rPr>
              <w:t>6</w:t>
            </w:r>
            <w:r>
              <w:rPr>
                <w:rFonts w:ascii="微软雅黑" w:hAnsi="微软雅黑" w:eastAsia="微软雅黑"/>
                <w:sz w:val="17"/>
              </w:rPr>
              <w:t>根</w:t>
            </w:r>
            <w:r>
              <w:rPr>
                <w:rFonts w:eastAsia="微软雅黑" w:ascii="微软雅黑" w:hAnsi="微软雅黑"/>
                <w:sz w:val="17"/>
              </w:rPr>
              <w:t>OHLC</w:t>
            </w:r>
            <w:r>
              <w:rPr>
                <w:rFonts w:ascii="微软雅黑" w:hAnsi="微软雅黑" w:eastAsia="微软雅黑"/>
                <w:sz w:val="17"/>
              </w:rPr>
              <w:t>修复；近</w:t>
            </w:r>
            <w:r>
              <w:rPr>
                <w:rFonts w:eastAsia="微软雅黑" w:ascii="微软雅黑" w:hAnsi="微软雅黑"/>
                <w:sz w:val="17"/>
              </w:rPr>
              <w:t>60</w:t>
            </w:r>
            <w:r>
              <w:rPr>
                <w:rFonts w:ascii="微软雅黑" w:hAnsi="微软雅黑" w:eastAsia="微软雅黑"/>
                <w:sz w:val="17"/>
              </w:rPr>
              <w:t>日复权最大差</w:t>
            </w:r>
            <w:r>
              <w:rPr>
                <w:rFonts w:eastAsia="微软雅黑" w:ascii="微软雅黑" w:hAnsi="微软雅黑"/>
                <w:sz w:val="17"/>
              </w:rPr>
              <w:t>4.990179%</w:t>
            </w:r>
            <w:r>
              <w:rPr>
                <w:rFonts w:ascii="微软雅黑" w:hAnsi="微软雅黑" w:eastAsia="微软雅黑"/>
                <w:sz w:val="17"/>
              </w:rPr>
              <w:t>，价位需用观察带</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valuation</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w:t>
            </w:r>
            <w:r>
              <w:rPr>
                <w:rFonts w:eastAsia="微软雅黑" w:ascii="微软雅黑" w:hAnsi="微软雅黑"/>
                <w:sz w:val="17"/>
              </w:rPr>
              <w:t>USD</w:t>
            </w:r>
            <w:r>
              <w:rPr>
                <w:rFonts w:ascii="微软雅黑" w:hAnsi="微软雅黑" w:eastAsia="微软雅黑"/>
                <w:sz w:val="17"/>
              </w:rPr>
              <w:t>分区原子正常</w:t>
            </w:r>
            <w:r>
              <w:rPr>
                <w:rFonts w:eastAsia="微软雅黑" w:ascii="微软雅黑" w:hAnsi="微软雅黑"/>
                <w:sz w:val="17"/>
              </w:rPr>
              <w:t>PE</w:t>
            </w:r>
            <w:r>
              <w:rPr>
                <w:rFonts w:ascii="微软雅黑" w:hAnsi="微软雅黑" w:eastAsia="微软雅黑"/>
                <w:sz w:val="17"/>
              </w:rPr>
              <w:t>为研究假设；集团</w:t>
            </w:r>
            <w:r>
              <w:rPr>
                <w:rFonts w:eastAsia="微软雅黑" w:ascii="微软雅黑" w:hAnsi="微软雅黑"/>
                <w:sz w:val="17"/>
              </w:rPr>
              <w:t>DCF</w:t>
            </w:r>
            <w:r>
              <w:rPr>
                <w:rFonts w:ascii="微软雅黑" w:hAnsi="微软雅黑" w:eastAsia="微软雅黑"/>
                <w:sz w:val="17"/>
              </w:rPr>
              <w:t>缺完整营运资本合同义务，不能称机构共识</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institutionTargets</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中：近</w:t>
            </w:r>
            <w:r>
              <w:rPr>
                <w:rFonts w:eastAsia="微软雅黑" w:ascii="微软雅黑" w:hAnsi="微软雅黑"/>
                <w:sz w:val="17"/>
              </w:rPr>
              <w:t>90</w:t>
            </w:r>
            <w:r>
              <w:rPr>
                <w:rFonts w:ascii="微软雅黑" w:hAnsi="微软雅黑" w:eastAsia="微软雅黑"/>
                <w:sz w:val="17"/>
              </w:rPr>
              <w:t>日大摩</w:t>
            </w:r>
            <w:r>
              <w:rPr>
                <w:rFonts w:eastAsia="微软雅黑" w:ascii="微软雅黑" w:hAnsi="微软雅黑"/>
                <w:sz w:val="17"/>
              </w:rPr>
              <w:t>/</w:t>
            </w:r>
            <w:r>
              <w:rPr>
                <w:rFonts w:ascii="微软雅黑" w:hAnsi="微软雅黑" w:eastAsia="微软雅黑"/>
                <w:sz w:val="17"/>
              </w:rPr>
              <w:t>野村公开新闻可核，原研报及精确目标期限未取得</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+15.78%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+21.87%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+27.96%</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+33.63%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+40.67%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+47.70%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+90.47%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+100.49%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+110.51%</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+155.28%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+168.72%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+182.15%</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 xml:space="preserve">发行人 </w:t>
      </w:r>
      <w:r>
        <w:rPr/>
        <w:t>I019</w:t>
      </w:r>
      <w:r>
        <w:rPr/>
        <w:t xml:space="preserve">；证券 </w:t>
      </w:r>
      <w:r>
        <w:rPr/>
        <w:t>S023</w:t>
      </w:r>
      <w:r>
        <w:rPr/>
        <w:t>；</w:t>
      </w:r>
      <w:r>
        <w:rPr/>
        <w:t>06699.HK</w:t>
      </w:r>
      <w:r>
        <w:rPr/>
        <w:t>；锁定收盘价</w:t>
      </w:r>
      <w:r>
        <w:rPr/>
        <w:t>82.30</w:t>
      </w:r>
      <w:r>
        <w:rPr/>
        <w:t>港元；行情</w:t>
      </w:r>
      <w:r>
        <w:rPr/>
        <w:t>market-v1.6</w:t>
      </w:r>
      <w:r>
        <w:rPr/>
        <w:t>；信息截止</w:t>
      </w:r>
      <w:r>
        <w:rPr/>
        <w:t>2026</w:t>
      </w:r>
      <w:r>
        <w:rPr/>
        <w:t>年</w:t>
      </w:r>
      <w:r>
        <w:rPr/>
        <w:t>10</w:t>
      </w:r>
      <w:r>
        <w:rPr/>
        <w:t>月</w:t>
      </w:r>
      <w:r>
        <w:rPr/>
        <w:t>9</w:t>
      </w:r>
      <w:r>
        <w:rPr/>
        <w:t>日。</w:t>
      </w:r>
      <w:r>
        <w:rPr/>
        <w:t>USD</w:t>
      </w:r>
      <w:r>
        <w:rPr/>
        <w:t>财务模型版本</w:t>
      </w:r>
      <w:r>
        <w:rPr/>
        <w:t>angel-USD-whole-group-atomic-normal-PE-v1.0</w:t>
      </w:r>
      <w:r>
        <w:rPr/>
        <w:t>。独立初版，独立正文与模型</w:t>
      </w:r>
      <w:r>
        <w:rPr/>
        <w:t>QA</w:t>
      </w:r>
      <w:r>
        <w:rPr/>
        <w:t>通过后发布，跨格式检查由总项目完成。短期得分</w:t>
      </w:r>
      <w:r>
        <w:rPr/>
        <w:t>60.4</w:t>
      </w:r>
      <w:r>
        <w:rPr/>
        <w:t>、一年</w:t>
      </w:r>
      <w:r>
        <w:rPr/>
        <w:t>70.9</w:t>
      </w:r>
      <w:r>
        <w:rPr/>
        <w:t>、三年</w:t>
      </w:r>
      <w:r>
        <w:rPr/>
        <w:t>77.2</w:t>
      </w:r>
      <w:r>
        <w:rPr/>
        <w:t>、五年</w:t>
      </w:r>
      <w:r>
        <w:rPr/>
        <w:t>77.8</w:t>
      </w:r>
      <w:r>
        <w:rPr/>
        <w:t>；确切全名单名次及差距小于三分的梯队由总表统一排序。本章长期指五年，并另讨论十年经营持续性。</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时点</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乐观价格，港元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基准累计现金息</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48.82 /92.40 /147.69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12.27%</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36.74 /100.30 /166.52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21.87%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21.87%</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21.19 /114.67 /212.68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39.33%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40.67%</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7.86 /161.40 /343.75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96.12%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100.49%</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3.27 /213.56 /448.87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159.48%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168.72%</w:t>
            </w:r>
          </w:p>
        </w:tc>
      </w:tr>
    </w:tbl>
    <w:p>
      <w:pPr>
        <w:pStyle w:val="Normal"/>
        <w:rPr/>
      </w:pPr>
      <w:r>
        <w:rPr/>
      </w:r>
    </w:p>
    <w:p>
      <w:pPr>
        <w:pStyle w:val="Normal"/>
        <w:rPr/>
      </w:pPr>
      <w:r>
        <w:rPr/>
        <w:t>年底</w:t>
      </w:r>
      <w:r>
        <w:rPr/>
        <w:t>25/50/25</w:t>
      </w:r>
      <w:r>
        <w:rPr/>
        <w:t>判断权重下，期望价格</w:t>
      </w:r>
      <w:r>
        <w:rPr/>
        <w:t>95.33</w:t>
      </w:r>
      <w:r>
        <w:rPr/>
        <w:t>港元、期望回报</w:t>
      </w:r>
      <w:r>
        <w:rPr/>
        <w:t>15.83%</w:t>
      </w:r>
      <w:r>
        <w:rPr/>
        <w:t>；</w:t>
      </w:r>
      <w:r>
        <w:rPr/>
        <w:t>40/50/10</w:t>
      </w:r>
      <w:r>
        <w:rPr/>
        <w:t>和</w:t>
      </w:r>
      <w:r>
        <w:rPr/>
        <w:t>10/50/40</w:t>
      </w:r>
      <w:r>
        <w:rPr/>
        <w:t>对应</w:t>
      </w:r>
      <w:r>
        <w:rPr/>
        <w:t>80.50</w:t>
      </w:r>
      <w:r>
        <w:rPr/>
        <w:t>、</w:t>
      </w:r>
      <w:r>
        <w:rPr/>
        <w:t>110.16</w:t>
      </w:r>
      <w:r>
        <w:rPr/>
        <w:t>港元。三年基准含息年化</w:t>
      </w:r>
      <w:r>
        <w:rPr/>
        <w:t>26.09%</w:t>
      </w:r>
      <w:r>
        <w:rPr/>
        <w:t>，五年</w:t>
      </w:r>
      <w:r>
        <w:rPr/>
        <w:t>21.86%</w:t>
      </w:r>
      <w:r>
        <w:rPr/>
        <w:t>。未来股息为普通现金息研究假设、未再投资、税前；截至截止日所有已宣布股息已除净，不纳入买入后收益。目标日未来完整休市表未核，一年排除周六采用</w:t>
      </w:r>
      <w:r>
        <w:rPr/>
        <w:t>10</w:t>
      </w:r>
      <w:r>
        <w:rPr/>
        <w:t>月</w:t>
      </w:r>
      <w:r>
        <w:rPr/>
        <w:t>8</w:t>
      </w:r>
      <w:r>
        <w:rPr/>
        <w:t>日。</w:t>
      </w:r>
    </w:p>
    <w:p>
      <w:pPr>
        <w:pStyle w:val="Heading2"/>
        <w:rPr/>
      </w:pPr>
      <w:r>
        <w:rPr>
          <w:color w:val="000000"/>
        </w:rPr>
        <w:t>投资结论</w:t>
      </w:r>
    </w:p>
    <w:p>
      <w:pPr>
        <w:pStyle w:val="Normal"/>
        <w:rPr/>
      </w:pPr>
      <w:r>
        <w:rPr/>
        <w:t>时代天使在名单中适合作为有条件的中长期成长候选，而半年推荐力度较低。理由在于国内临床与服务能力已支持病例和收入增长，海外连续投入开始出现规模经济，盈利形成方式比单一未商业化医疗项目更容易跟踪；但现价对应同口径归母利润约四十四倍滚动市盈率，不能把增长快直接解释成估值便宜。日线处于回调阶段，专利诉讼尚未结束，海外利润也没有厚到可以吸收任何关税、律师费及价格冲击。因此较高的三年、五年分数来自全球业务潜在盈利释放，较低的半年分数来自量价和当前估值，四种期限不能共享同一个笼统“买入”判断。</w:t>
      </w:r>
    </w:p>
    <w:p>
      <w:pPr>
        <w:pStyle w:val="Normal"/>
        <w:rPr/>
      </w:pPr>
      <w:r>
        <w:rPr/>
        <w:t>结论成立需要三条经营证据同时延续：医生愿意重复采用产品而非依赖促销拉新；国内病例增长在降价后仍转化为合理收入和利润；海外收入增长带来报告利润及现金流改善，而不只带来调整后指标。法律层面还要求没有实质阻断关键市场销售的禁令，治理层面要求激励费用和法律股份增长与创造的每股价值相称。这些条件都可在后续年报、中报和诉讼公告中检验，不能靠股价上涨本身证明正确。公司具备竞争力并不意味着所有买入价格都合理，本章将推荐看作证据与价格的联合判断。</w:t>
      </w:r>
    </w:p>
    <w:p>
      <w:pPr>
        <w:pStyle w:val="Normal"/>
        <w:rPr/>
      </w:pPr>
      <w:r>
        <w:rPr/>
        <w:t>年底基准九十二点四零港元并非对未来两个多月的确定预测，而是年底信息集下对二〇二七年正常利润给予三十三倍前瞻估值的研究结果。年底乐观一百四十七点六九港元要求经营和风险溢价同时改善；悲观四十八点八二港元对应增长和利润低于预期及估值折价。加权价格九十五点三三港元是三种判断的算术加权，权重属于研究设定，不是历史回测得到的发生概率。面对重大进口禁令、巨额判赔或治理事件，实际价格可以超出本章悲观区间，最低情景没有承担最大损失界限的含义。</w:t>
      </w:r>
    </w:p>
    <w:p>
      <w:pPr>
        <w:pStyle w:val="Heading2"/>
        <w:rPr/>
      </w:pPr>
      <w:r>
        <w:rPr>
          <w:color w:val="000000"/>
        </w:rPr>
        <w:t>从矫治器制造理解完整业务</w:t>
      </w:r>
    </w:p>
    <w:p>
      <w:pPr>
        <w:pStyle w:val="Normal"/>
        <w:rPr/>
      </w:pPr>
      <w:r>
        <w:rPr/>
        <w:t>公司的经济实质不是向患者销售一套外观透明的塑料片，而是向医生提供治疗设计、矫治器制造、过程支持和后续追加服务。患者支付的总治疗费用还包含诊所、医生和其他检查服务，不能把患者端收费全额视为公司的收入。医生选择系统时不仅看单次采购价格，也看治疗可预测性、复杂病例能力、返工次数以及病例沟通效率。把公司只当低成本制造商会低估服务和临床经验的作用，把公司直接当软件平台又会忽略每一个病例都需要材料、制造、物流和人工设计的事实。合理模型必须同时保留制造毛利和服务费用。</w:t>
      </w:r>
    </w:p>
    <w:p>
      <w:pPr>
        <w:pStyle w:val="Normal"/>
        <w:rPr/>
      </w:pPr>
      <w:r>
        <w:rPr/>
        <w:t>截至二〇二六年上半年，集团收入二亿三千零七十万一千美元。其中矫治方案收入一亿零七百六十四万四千美元，矫治器销售一亿一千四百八十万五千美元，其他产品七百二十八万美元，服务九十七万二千美元。这些项目加总与财报收入一致，但它们不完全等同于国内与海外两个地理分部。地理分部方便分析竞争和费用效率，产品项目方便理解履约义务，两套分类不能重复相加。建模采用国内和海外两块收入与成本，再按集团费用构造归母利润，避免将细分产品收入再次叠入总额。</w:t>
      </w:r>
    </w:p>
    <w:p>
      <w:pPr>
        <w:pStyle w:val="Normal"/>
        <w:rPr/>
      </w:pPr>
      <w:r>
        <w:rPr/>
        <w:t>国内业务半年收入一亿一千二百五十一万八千美元，海外一亿一千八百一十八万三千美元，海外占集团收入约百分之五十一点二。海外病例十六万八千零一例，占总病例百分之五十三点一，已经不是收入中无关紧要的探索业务。它意味着估值需要考虑多个市场，而不是仅跟踪中国口腔消费；也意味着税务、关税、数据隐私、知识产权和当地交付的复杂性上升。海外规模变大既能分散单一市场需求风险，也可能让公司暴露于中国市场没有的高额诉讼和合规成本，全球化本身不自动降低总风险。</w:t>
      </w:r>
    </w:p>
    <w:p>
      <w:pPr>
        <w:pStyle w:val="Normal"/>
        <w:rPr/>
      </w:pPr>
      <w:r>
        <w:rPr/>
        <w:t>医生渠道是商业质量的关键。稳定的产品设计和制造一致性可减少治疗过程中重新规划、追加矫治器和沟通时间；专业培训让医生能够将产品用于更多适应情形；本地服务团队让问题处理更及时。这些投入可能产生客户黏性，却不像财报中的现金一样能够直接清点。公司称医生口碑和临床认可推动增长，本章将其作为管理层解释而非独立第三方证明。后续应检验活跃医生数、重复病例贡献、单医生病例、投诉和返工情况；未取得这些完整队列数据时，不能以高病例增长反推客户终身价值已经提高。</w:t>
      </w:r>
    </w:p>
    <w:p>
      <w:pPr>
        <w:pStyle w:val="Normal"/>
        <w:rPr/>
      </w:pPr>
      <w:r>
        <w:rPr/>
        <w:t>下沉市场的拓展有两种可能结果。一种是原来因价格、医生经验或服务覆盖而无法采用隐形矫治的患者开始接受治疗，扩大真实市场；另一种是医生在同一有限患者池中用更便宜的系统替代较贵产品，只改变份额而没有增加总需求。前一种能够让病例和收入长期一起增长，后一种可能让病例增长与平均单价下降同时发生。上半年国内病例增长百分之三十六点八，国内矫治方案收入增长约百分之二十四点八，已经提醒投资者不能把病例增速原样复制为收入增速。价格策略能提高可及性，却需要用毛利、费用和现金回收证明其经济回报。</w:t>
      </w:r>
    </w:p>
    <w:p>
      <w:pPr>
        <w:pStyle w:val="Heading2"/>
        <w:rPr/>
      </w:pPr>
      <w:r>
        <w:rPr>
          <w:color w:val="000000"/>
        </w:rPr>
        <w:t>产品 临床和竞争优势的可验证边界</w:t>
      </w:r>
    </w:p>
    <w:p>
      <w:pPr>
        <w:pStyle w:val="Normal"/>
        <w:rPr/>
      </w:pPr>
      <w:r>
        <w:rPr/>
        <w:t>管理讨论列举了</w:t>
      </w:r>
      <w:r>
        <w:rPr/>
        <w:t>Angel Aligner KiD</w:t>
      </w:r>
      <w:r>
        <w:rPr/>
        <w:t>早期矫治、</w:t>
      </w:r>
      <w:r>
        <w:rPr/>
        <w:t>Angel C turbo</w:t>
      </w:r>
      <w:r>
        <w:rPr/>
        <w:t>深覆合方案、下颌前导的</w:t>
      </w:r>
      <w:r>
        <w:rPr/>
        <w:t>Occlusal Guide</w:t>
      </w:r>
      <w:r>
        <w:rPr/>
        <w:t>与</w:t>
      </w:r>
      <w:r>
        <w:rPr/>
        <w:t>Lingual Guide</w:t>
      </w:r>
      <w:r>
        <w:rPr/>
        <w:t>，以及</w:t>
      </w:r>
      <w:r>
        <w:rPr/>
        <w:t>Angel Palatal Expander</w:t>
      </w:r>
      <w:r>
        <w:rPr/>
        <w:t>等产品。它们的意义在于尝试将可治疗的病例范围从简单牙列排列扩展到复杂问题，并减少医生处理方案的负担。对投资者而言，产品名称只能说明开发方向，不能替代具体患者选择、临床终点、随访时间和与其他系统的比较。某产品在部分国家和地区可用，也不等于所有市场拥有相同注册或适用范围。本章不将这些产品列为已取得全球独占权的药品管线，更不为每一名称再附加一块资产估值。</w:t>
      </w:r>
    </w:p>
    <w:p>
      <w:pPr>
        <w:pStyle w:val="Normal"/>
        <w:rPr/>
      </w:pPr>
      <w:r>
        <w:rPr/>
        <w:t>早期矫治具有长期空间，但需要特别注意治疗必要性和伦理。儿童生长发育中的牙颌问题并非都适合相同路径，患者和家长信任建立依赖医生能力、随访和真实结果。公司称</w:t>
      </w:r>
      <w:r>
        <w:rPr/>
        <w:t>KiD</w:t>
      </w:r>
      <w:r>
        <w:rPr/>
        <w:t>病例占比增加，说明细分需求和专业推广正在起作用，却不足以证明每个新增病例都创造同样利润。儿童病例的治疗时间、服务频次和追加方案可能不同，若模型只用平均病例乘固定价格，会掩盖不同产品组合带来的成本差异。长期价值要看有效治疗、医生认可和合理支付能力共同扩大，而非单纯依赖营销提高家长焦虑。</w:t>
      </w:r>
    </w:p>
    <w:p>
      <w:pPr>
        <w:pStyle w:val="Normal"/>
        <w:rPr/>
      </w:pPr>
      <w:r>
        <w:rPr/>
        <w:t>复杂病例能力可能构成差异化，因为治疗方案质量的差异需要很长时间才显现。一个医生完成多种系统的病例后，才会形成对移动控制、制造一致性和临床支持的判断，这使低价竞争者难以只凭广告立即复制信任。但这种经验积累也限制公司扩张速度：招募医生、培训、完成病例及口碑传递都需要时间。研究模型允许收入增长逐年放缓，没有把当期高增速永续。若复杂病例能力只增加售前技术成本，未带来更多病例或更稳定回款，则应降低商业质量评分；“临床复杂”不能成为无条件的估值溢价。</w:t>
      </w:r>
    </w:p>
    <w:p>
      <w:pPr>
        <w:pStyle w:val="Normal"/>
        <w:rPr/>
      </w:pPr>
      <w:r>
        <w:rPr/>
        <w:t>Intelligent Root System</w:t>
      </w:r>
      <w:r>
        <w:rPr/>
        <w:t>、</w:t>
      </w:r>
      <w:r>
        <w:rPr/>
        <w:t>Angel Assistant</w:t>
      </w:r>
      <w:r>
        <w:rPr/>
        <w:t>和</w:t>
      </w:r>
      <w:r>
        <w:rPr/>
        <w:t>myAngelSmile</w:t>
      </w:r>
      <w:r>
        <w:rPr/>
        <w:t>等数字工具的价值在于改善诊断信息、病例管理及医患沟通。更高的设计效率可能让同样团队处理更多病例，更清楚的患者提醒可能改善佩戴依从性和治疗过程。但不能仅因为产品使用智能系统就将公司归类为无需边际成本的软件公司。系统仍需医生临床判断，设计团队质量、资料准确性以及数据隐私都会影响使用。人工智能若使行业整体效率提高，竞争者也可能同时受益；真正能保留利润的优势需体现为有质量的病例增长、服务费用率下降或可保持价格的产品能力。</w:t>
      </w:r>
    </w:p>
    <w:p>
      <w:pPr>
        <w:pStyle w:val="Normal"/>
        <w:rPr/>
      </w:pPr>
      <w:r>
        <w:rPr/>
        <w:t>竞争者可能在品牌、医生渠道、专利组合和全球本地团队上占有优势，国内其他品牌则可能通过更低价格和区域渠道参与竞争。时代天使能够以专业支持、复杂病例方案和交付效率争取份额，但不能假设竞争者静止不动。每当公司进入新的国家，领先者有能力调整价格、加大医生教育或提出知识产权主张。上半年销售费用七千零五万美元，占收入约百分之三十点四，表明市场进入和服务并不便宜。即使未来费用率下降，绝对费用仍可能持续增长；基准模型没有通过削减所有推广投入来制造高利润。</w:t>
      </w:r>
    </w:p>
    <w:p>
      <w:pPr>
        <w:pStyle w:val="Heading2"/>
        <w:rPr/>
      </w:pPr>
      <w:r>
        <w:rPr>
          <w:color w:val="000000"/>
        </w:rPr>
        <w:t>全球化为何既增值又增险</w:t>
      </w:r>
    </w:p>
    <w:p>
      <w:pPr>
        <w:pStyle w:val="Normal"/>
        <w:rPr/>
      </w:pPr>
      <w:r>
        <w:rPr/>
        <w:t>海外半年收入同比增长约百分之六十四点九，病例同比增长百分之四十三点四。收入增速高于病例增速可能受产品结构、确认时点、价格或汇率影响，不能未经验证归因于单一售价上涨。国内矫治方案多数在履约期间确认，海外矫治器合同往往包含初始和追加矫治器等不同义务，按交付分配确认。二〇二四年度审计还将多履约义务的交易价格分配列为关键审计事项，说明估计本身重要。用本期确认收入除本期新增病例得到的数字可以作为宽泛强度指标，但不能称为精确平均售价，更不能据此直接推算未来利润。</w:t>
      </w:r>
    </w:p>
    <w:p>
      <w:pPr>
        <w:pStyle w:val="Normal"/>
        <w:rPr/>
      </w:pPr>
      <w:r>
        <w:rPr/>
        <w:t>海外分部报告经营利润仅五十六万一千美元，经营利润率约百分之零点五，确实由上年同期亏损五百四十三万三千美元转为盈利。调整后经营利润八百七十六万九千美元明显更高，差异涉及股权奖励及诉讼等项目。突破盈亏平衡是有意义的进展，因为团队和服务网络的固定投入开始获得更大收入支持；不过极薄的报告盈利也意味着新工厂折旧、律师费用、交付成本或价格让利就能使它再次亏损。研究对国际盈利释放保持积极，却不把“首次盈利”写成已经拥有成熟公司的稳定高净利率。</w:t>
      </w:r>
    </w:p>
    <w:p>
      <w:pPr>
        <w:pStyle w:val="Normal"/>
        <w:rPr/>
      </w:pPr>
      <w:r>
        <w:rPr/>
        <w:t>本地制造和治疗设计能够缩短运输与交流时间，降低跨境供应链集中度。中报说明巴西制造已运作，巴西和东南亚设计团队支持当地及北美治疗设计，美国制造设施仍按计划推进。没有核到美国设施已投产的日期、产能和使用率，本章不补造这些数字。本地产线的现金支出先发生，规模效益随后才可能实现，而且新地区需要质量体系、人手、库存和验证。若只是重复建设而没有足够病例密度，全球供应链会增加固定成本。观察重点是交付速度和质量改善能否转换为复购及单位成本下降。</w:t>
      </w:r>
    </w:p>
    <w:p>
      <w:pPr>
        <w:pStyle w:val="Normal"/>
        <w:rPr/>
      </w:pPr>
      <w:r>
        <w:rPr/>
        <w:t>跨境服务还带来数据流动要求。公司称其建立</w:t>
      </w:r>
      <w:r>
        <w:rPr/>
        <w:t>HIPAA</w:t>
      </w:r>
      <w:r>
        <w:rPr/>
        <w:t>、美国相关安全要求、</w:t>
      </w:r>
      <w:r>
        <w:rPr/>
        <w:t>GDPR</w:t>
      </w:r>
      <w:r>
        <w:rPr/>
        <w:t>及中国个人信息保护和数据安全框架，并引入外部顾问和独立监督。本章承认这些是披露中的合规建设，但不据此断言不会发生数据事件或所有业务已获一切监管认可。牙科影像和患者资料敏感，某地区改变跨境数据要求可能影响设计团队协作，导致必须增设本地系统和人工。若发生数据安全事故，直接罚款、整改和医生信任损失会同时影响价值；模型行政预算保留合规投入，未以全球化为理由降低这类费用到零。</w:t>
      </w:r>
    </w:p>
    <w:p>
      <w:pPr>
        <w:pStyle w:val="Normal"/>
        <w:rPr/>
      </w:pPr>
      <w:r>
        <w:rPr/>
        <w:t>汇率对业务存在两条不同路径。人民币、欧元、澳元及巴西雷亚尔收入和成本折成美元后会改变报表表现，货币不匹配也会形成交易损益；香港投资者最终持有的港元资产兑人民币变化则影响个人回报。联系汇率使美元与港元相对稳定，不会消除其他经营货币风险。中报披露半年汇兑净损失二百六十九万九千美元，亦有其他全面收益中的换算差异；损益与权益换算不能混成一项经营费用。模型常态汇兑净收益为零，保留实际历史差异，人民币投资者另列港元升贬百分之五敏感性。</w:t>
      </w:r>
    </w:p>
    <w:p>
      <w:pPr>
        <w:pStyle w:val="Heading2"/>
        <w:rPr/>
      </w:pPr>
      <w:r>
        <w:rPr>
          <w:color w:val="000000"/>
        </w:rPr>
        <w:t>行业周期与经济前景如何进入收入</w:t>
      </w:r>
    </w:p>
    <w:p>
      <w:pPr>
        <w:pStyle w:val="Normal"/>
        <w:rPr/>
      </w:pPr>
      <w:r>
        <w:rPr/>
        <w:t>隐形矫治需求涉及健康、外观、便利和治疗选择，很多支出由患者自行承担。它和住院必需治疗相比更容易受收入、就业信心以及诊所分期方案影响。经济恢复可以提高咨询转化率和医生开新病例的意愿，但其传导不是财政刺激发布后立刻增加公司收入。患者需决定、医生需诊断，制造和服务又有确认周期。短期看消费信心、咨询到治疗转换和诊所客流，中期看病例结构和支付能力，长期看医生供给及口腔健康观念。宏观乐观不能抵消价格战和公司执行问题，宏观悲观也不必否认份额提升可能。</w:t>
      </w:r>
    </w:p>
    <w:p>
      <w:pPr>
        <w:pStyle w:val="Normal"/>
        <w:rPr/>
      </w:pPr>
      <w:r>
        <w:rPr/>
        <w:t>低线城市患者对价格较敏感，下降的系统采购价格有机会降低治疗门槛；然而诊所未必将全部成本下降让给患者，因为医生时间、租金、检查和获客成本仍需覆盖。因此不能将公司降价幅度直接当作患者端价格降幅，也不能将产品更便宜等同于需求必然按同等比例增长。若医生通过更多病例摊薄固定成本，同时保持治疗质量，市场可以扩容；若低价造成过度治疗、服务不足或质量事故，则品牌长期成本会高于短期销量收益。本章把合理临床服务和现金收款纳入增长质量，而不是只统计病例数。</w:t>
      </w:r>
    </w:p>
    <w:p>
      <w:pPr>
        <w:pStyle w:val="Normal"/>
        <w:rPr/>
      </w:pPr>
      <w:r>
        <w:rPr/>
        <w:t>人口结构也要求克制。儿童和青少年是重要需求来源，但出生人口变化可能在未来影响新增治疗池；成人矫治、复杂病例和海外市场能够部分抵消，不能简单假设任何人口变化都使需求归零或无影响。早期矫治扩大细分领域，需要临床证据和医生能力支持；成人患者则更受收入和审美选择影响。十年展望因此采用不同地区和年龄需求多元化的逻辑，而不是用单一中国儿童人数乘产品价格得出全球市场。未获得完整国家和年龄病例结构时，不给看似精确却无法追溯的全球可服务市场金额。</w:t>
      </w:r>
    </w:p>
    <w:p>
      <w:pPr>
        <w:pStyle w:val="Normal"/>
        <w:rPr/>
      </w:pPr>
      <w:r>
        <w:rPr/>
        <w:t>医保及采购政策对公司的作用应结合真实产品使用场景。大部分隐形矫治是可选消费，不能把所有医院耗材集采规则机械套用于所有诊所和所有国家；但公立医疗机构采购、价格透明和行业竞争会改变医生可选择的产品及患者支付预期。机构过去报道提到潜在带量采购压力，属于当时研究判断，不等截至日已对全部业务实施的统一降价比例。基准模型保留国内毛利率和收入强度压力，不假设价格回到高点；悲观模型进一步压缩毛利。若未来出现明确政策公告，再以覆盖范围、产品及执行时间重建，而不是先虚构政策冲击。</w:t>
      </w:r>
    </w:p>
    <w:p>
      <w:pPr>
        <w:pStyle w:val="Heading2"/>
        <w:rPr/>
      </w:pPr>
      <w:r>
        <w:rPr>
          <w:color w:val="000000"/>
        </w:rPr>
        <w:t>财务历史与口径核验</w:t>
      </w:r>
    </w:p>
    <w:p>
      <w:pPr>
        <w:pStyle w:val="Normal"/>
        <w:rPr/>
      </w:pPr>
      <w:r>
        <w:rPr/>
        <w:t>二〇二四年公司将列报币种从人民币改为美元，并对比较数据追溯重列。二〇二三年的美元收入二亿零九百六十一万六千、归母净利润七百五十三万；二〇二四年收入二亿六千八百七十八万七千、归母一千二百一十一万四千；二〇二五年收入三亿七千零二十八万一千、归母二千八百四十三万七千。收入和归母在这段期间明显成长，但经营利润由二〇二三年亏损到二〇二四年薄利，再到二〇二五年三千零五十六万三千美元，过程显示海外投入会改变集团盈利曲线。不能把旧人民币披露和新美元数据直接拼为增长率，本章使用重列美元比较。</w:t>
      </w:r>
    </w:p>
    <w:p>
      <w:pPr>
        <w:pStyle w:val="Normal"/>
        <w:rPr/>
      </w:pPr>
      <w:r>
        <w:rPr/>
        <w:t>二〇二六年上半年总净利润二千五百四十五万美元，归母二千七百二十五万一千美元，少数股东应占亏损一百八十万一千美元。归母大于集团净利润是少数权益分担亏损的结果，不是财报矛盾。上年同期归母一千四百六十四万三千美元，按同口径可比较；模型利润也必须先算集团税后再扣少数。如果海外少数持有的子公司转盈，少数损益会由负转正，归母获益不能继续假设由少数永久吸收亏损。基准长期输入已让少数转为正值，防止把全球增长全额分给上市母公司。</w:t>
      </w:r>
    </w:p>
    <w:p>
      <w:pPr>
        <w:pStyle w:val="Normal"/>
        <w:rPr/>
      </w:pPr>
      <w:r>
        <w:rPr/>
        <w:t>调整净利润三千四百九十九万五千美元的起点是集团净利润二千五百四十五万美元。公司加回股权费用二百八十九万八千、并购摊销五十一万七千、汇兑损失二百六十九万九千和诉讼费用六百七十五万七千，扣除非上市投资公允价值收益三百三十二万六千，得出该指标。它有助理解某些波动，却不是上市股东归母利润，不能直接除普通股股数当每股盈利。尤其股权激励和持续诉讼属于经营所需或真实成本，若每期都加回会系统性抬高投资价值。本章正常模型保留销售行政预算中的这些项目，并购摊销也未一概删除。</w:t>
      </w:r>
    </w:p>
    <w:p>
      <w:pPr>
        <w:pStyle w:val="Normal"/>
        <w:rPr/>
      </w:pPr>
      <w:r>
        <w:rPr/>
        <w:t>半年毛利一亿四千四百七十一万五千美元，毛利率约百分之六十二点七，比上年同期略升。国内毛利七千四百零九万美元，海外七千零六十二万五千，两者相加等于集团毛利。国内约百分之六十五点八和海外约百分之五十九点八的毛利率差异，可以来自产品、价格、地区履约和成本结构，而非简单判断哪块业务质量一定更好。费用分部之后差异更大：国内经营利润二千七百一十九万八千美元，海外只有五十六万一千。毛利率稳定是有利信号，却不替代销售行政和研发的完整盈利分析。</w:t>
      </w:r>
    </w:p>
    <w:p>
      <w:pPr>
        <w:pStyle w:val="Normal"/>
        <w:rPr/>
      </w:pPr>
      <w:r>
        <w:rPr/>
        <w:t>销售费用占收入约三成，行政约百分之十三点七，研发约百分之六点六。规模经济表现为收入增长快于部分费用的增长，而不是所有费用绝对下降。海外医生培训和服务团队是收入的基础，若把它们砍掉来提高短期净利率，可能损害下一年病例增长；诉讼、数据和本地制造合规也存在固定刚性。模型给费用保留绝对增长空间，基准二〇二八年销售行政研发合计三亿五千九百万美元，而收入七亿四千万美元。长期预算费用率逐步下降，仍保留服务投入，避免通过不现实削减制造一个漂亮的目标价。</w:t>
      </w:r>
    </w:p>
    <w:p>
      <w:pPr>
        <w:pStyle w:val="Normal"/>
        <w:rPr/>
      </w:pPr>
      <w:r>
        <w:rPr/>
        <w:t>其他收入中的存款利息五百五十万四千美元，与财务收益中的银行利息一百五十万四千美元分开列示，两者不能重复计算同一行。历史利息说明</w:t>
      </w:r>
      <w:r>
        <w:rPr/>
        <w:t>IPO</w:t>
      </w:r>
      <w:r>
        <w:rPr/>
        <w:t>及经营积累的现金可以支撑利润，亦说明大量分派之后利息收益可能下降。二〇二三年经营亏损而归母仍盈利，其中财务净收益贡献明显；增长模型不能把当时利息额与未来扩张利润永久相加。正常输入为其他收入与财务收益设置较低预算，并扣财务成本。由于集团</w:t>
      </w:r>
      <w:r>
        <w:rPr/>
        <w:t>PE</w:t>
      </w:r>
      <w:r>
        <w:rPr/>
        <w:t>已包含这些现金回报，本章不在</w:t>
      </w:r>
      <w:r>
        <w:rPr/>
        <w:t>PE</w:t>
      </w:r>
      <w:r>
        <w:rPr/>
        <w:t>估值上再加整块净现金或存款价值。</w:t>
      </w:r>
    </w:p>
    <w:p>
      <w:pPr>
        <w:pStyle w:val="Heading2"/>
        <w:rPr/>
      </w:pPr>
      <w:r>
        <w:rPr>
          <w:color w:val="000000"/>
        </w:rPr>
        <w:t>税 现金与资产负债表</w:t>
      </w:r>
    </w:p>
    <w:p>
      <w:pPr>
        <w:pStyle w:val="Normal"/>
        <w:rPr/>
      </w:pPr>
      <w:r>
        <w:rPr/>
        <w:t>半年税费九百三十万美元比上年同期九十万九千美元大幅增加，其中当前税五百七十四万九千、递延三百五十五万一千。税务附注包含对利润向境外分派计提的预提税九百三十四万九千，也包含以前税亏确认和使用产生的抵减。历史利润上划的准备与本期经营税率不是完全同一个概念，不能把本期高税率永久用于所有盈利，也不能因税亏抵扣把未来税率设为零。基准以常态税率加明确上划及差异调整，权益法税后损益从税基剔除；未来实际税需按法人、利润分派和优惠资格重核。</w:t>
      </w:r>
    </w:p>
    <w:p>
      <w:pPr>
        <w:pStyle w:val="Normal"/>
        <w:rPr/>
      </w:pPr>
      <w:r>
        <w:rPr/>
        <w:t>六月底现金及现金等价物一亿七千二百五十二万九千美元，三个月以上定期存款流动二亿零二十一万三千、非流动六千七百六十一万九千，合计流动性池四亿四千零三十六万一千美元。限制性现金四十八万八千美元独立列示，不作为自由可用资金；公允价值金融资产八千八百五十五万四千也不能统统当保本存款。九月已经分派中期普通及特别股息约九千九百五十七万七千美元，已知分派后的机械桥为三亿四千零七十八万四千，但其余半年经营和融资变化未知，不能冒充十月九日实际现金余额。</w:t>
      </w:r>
    </w:p>
    <w:p>
      <w:pPr>
        <w:pStyle w:val="Normal"/>
        <w:rPr/>
      </w:pPr>
      <w:r>
        <w:rPr/>
        <w:t>银行借款合计七千一百五十万五千美元，其中大部分一年内到期；相较年初二百多万美元的增加，主要是信用证项下约六千九百一十六万八千美元贷款。公司有较大存款并不表示零债、亦不表示期限与币种可以自然抵销。借款可能用于平滑营运资金，但需要后续续借或偿还，融资利率及银行额度会影响现金。租赁负债一千二百九十五万四千另列，还存在</w:t>
      </w:r>
      <w:r>
        <w:rPr/>
        <w:t>Aditek</w:t>
      </w:r>
      <w:r>
        <w:rPr/>
        <w:t>少数股东回售安排形成的三千八百五十一万六千美元赎回负债。简单现金减银行债的数字不足以解释所有未来义务。</w:t>
      </w:r>
    </w:p>
    <w:p>
      <w:pPr>
        <w:pStyle w:val="Normal"/>
        <w:rPr/>
      </w:pPr>
      <w:r>
        <w:rPr/>
        <w:t>Aditek</w:t>
      </w:r>
      <w:r>
        <w:rPr/>
        <w:t>回售负债上半年从三千二百八十一万二千增长到三千八百五十一万六千美元，增加五百七十万四千主要计入权益，不代表当期损益已经承担完整现金成本。未来若回售行使，公司可能支付现金以取得更多少数权益；这是资本结构和现金预算问题，不能同时让模型继续享受少数分担亏损，又忽略收购少数的付款。尚未核到确定支付时间与最终金额，本章现金桥将二千万和二千三百万美元假设付款分别放在后续两年，明确为审慎情景而非公司公告。集团</w:t>
      </w:r>
      <w:r>
        <w:rPr/>
        <w:t>PE</w:t>
      </w:r>
      <w:r>
        <w:rPr/>
        <w:t>没有再次单独加</w:t>
      </w:r>
      <w:r>
        <w:rPr/>
        <w:t>Aditek</w:t>
      </w:r>
      <w:r>
        <w:rPr/>
        <w:t>资产或扣一次净债来重复计算。</w:t>
      </w:r>
    </w:p>
    <w:p>
      <w:pPr>
        <w:pStyle w:val="Normal"/>
        <w:rPr/>
      </w:pPr>
      <w:r>
        <w:rPr/>
        <w:t>合同负债流动八千零四万一千、非流动四千八百九十五万九千美元，合计一亿二千九百万。先收款的商业模式有利现金回收，但公司同时欠客户后续治疗设计、矫治器和追加服务，不能把全部预收当自由分红现金。收入确认节奏改变时，现金流与利润可能短期分离：病例多、现金先收，收入尚未全部确认；或者服务履约后收入确认，而新增现金暂时放慢。现金桥保留制造、研发和服务资本需要，没有将合同负债当作免费的永久资金。如果追加服务比例升高，履约成本和收入分配估计必须一起调整。</w:t>
      </w:r>
    </w:p>
    <w:p>
      <w:pPr>
        <w:pStyle w:val="Normal"/>
        <w:rPr/>
      </w:pPr>
      <w:r>
        <w:rPr/>
        <w:t>贸易应收原值三千三百五十八万美元，备抵八百三十八万四千，净值二千五百一十九万六千；较长账龄余额仍值得关注。一至两年四百九十五万一千、两至三年一百八十万一千、三年以上三百六十二万四千美元，不是所有收款都非常及时。公司部分客户三十至九十日信用，多数先付；因此不能用总营收和包括贷款预付款在内的全部应收机械计算一个全公司精确应收天数。大摩新闻提到约一百九十天的模型口径未取得原研报定义，本章仅保留作为机构判断，不拿它替代本章账龄和现金核验。</w:t>
      </w:r>
    </w:p>
    <w:p>
      <w:pPr>
        <w:pStyle w:val="Normal"/>
        <w:rPr/>
      </w:pPr>
      <w:r>
        <w:rPr/>
        <w:t>经营现金流五千三百二十五万四千美元，扣固定资产现金支出一千四百五十万一千及无形二十九万三千后，简化自由现金流三千八百四十六万美元，明显优于上年同期。二〇二五年全年经营现金流七千八百五十六万七千、类似资本开支二千八百一十八万美元，简化自由现金流五千零三十八万七千；二〇二四年经营现金流一千六百九十一万七千却低于资本开支。改善支持商业质量评分，但简化自由现金流不包括收购、回售付款、全部融资和股息，也不能保证下一期相同。必须区分经营产生资金与存款赎回造成的现金账户变化。</w:t>
      </w:r>
    </w:p>
    <w:p>
      <w:pPr>
        <w:pStyle w:val="Normal"/>
        <w:rPr/>
      </w:pPr>
      <w:r>
        <w:rPr/>
        <w:t>上半年投资净流入四千六百五十四万八千美元，包含三个月以上定存的购买与赎回，以及金融投资资金往来；不能把净投资现金流直接等同于产线资本开支为负。同期融资净流出五千四百一十七万七千，包含新借款和已付一亿一千九百四十六万八千股息。完整现金等式为期初一亿二千六百七十万六千加经营、投资、融资及汇率一十九万八千，得到期末一亿七千二百五十二万九千。看见期末现金增加就说大股息未影响资金安全，会忽略存款形态变化及借款增长；本章以组合流动性和未来义务核算。</w:t>
      </w:r>
    </w:p>
    <w:p>
      <w:pPr>
        <w:pStyle w:val="Heading2"/>
        <w:rPr/>
      </w:pPr>
      <w:r>
        <w:rPr>
          <w:color w:val="000000"/>
        </w:rPr>
        <w:t>股东 分红与每股价值</w:t>
      </w:r>
    </w:p>
    <w:p>
      <w:pPr>
        <w:pStyle w:val="Normal"/>
        <w:rPr/>
      </w:pPr>
      <w:r>
        <w:rPr/>
        <w:t>九月月报确认法律发行股数一亿七千二百三十三万五千零二十一股，库存股为零。六月底法律股数一亿七千零八十九万六千三百七十五，半年基本加权股数一亿六千九百五十四万二千七百五十一、摊薄加权一亿七千零四十四万九千七百六十二。三者是不同概念：法律发行数用于当前全股价值，报告加权数用于历史期间每股收益，摊薄加权数反映特定工具的会计处理。研究将全部法律股数作为当前保守分母，既不只用自由流通，也不把未归属信托股错当库存扣除，历史盈利估值在同一分母重算。</w:t>
      </w:r>
    </w:p>
    <w:p>
      <w:pPr>
        <w:pStyle w:val="Normal"/>
        <w:rPr/>
      </w:pPr>
      <w:r>
        <w:rPr/>
        <w:t>九月三十日发行六十五万八千三百八十八股已经在月报期末数字内，不能在未来模型再次添加。股东会前法律股数一亿七千一百六十七万六千六百三十三，激励信托持二百万七千一百五十七股并弃权投票；这些是信托持有而非公司库存。九月三十日股东会通过给执行董事的合计一百二十五万五千八百零三份三年</w:t>
      </w:r>
      <w:r>
        <w:rPr/>
        <w:t>RSU</w:t>
      </w:r>
      <w:r>
        <w:rPr/>
        <w:t>，授予不等全部立即发行，更不等当天全部归属。未来可授计划额度一千一百三十二万七千五百二十三并不是截至日已经存在的新增股份。模型温和增加未来分母，明确为研究稀释而非把全部额度重复加上。</w:t>
      </w:r>
    </w:p>
    <w:p>
      <w:pPr>
        <w:pStyle w:val="Normal"/>
        <w:rPr/>
      </w:pPr>
      <w:r>
        <w:rPr/>
        <w:t>七月股东会终止旧期权计划的继续授予，不应理解为既有期权全部取消。半年未行权约三百二十万九千九百八十三份，平均行使价七十九点九七港元，其中已可行权约二百零八万一千二百四十六份，价格接近基准价，实际行权会受到归属、期限和个人选择影响。股权激励若吸引优秀人才且让每股价值增长超过稀释，可以有经济意义；若主要奖励收入而不考虑报告利润、现金和股东回报，就可能将增长成果更多分配给管理团队。年度应同时看费用、实际发行、归属条件和每股利润，不能只看总归母增长。</w:t>
      </w:r>
    </w:p>
    <w:p>
      <w:pPr>
        <w:pStyle w:val="Normal"/>
        <w:rPr/>
      </w:pPr>
      <w:r>
        <w:rPr/>
        <w:t>截至六月，</w:t>
      </w:r>
      <w:r>
        <w:rPr/>
        <w:t>CareCapital Orthotech</w:t>
      </w:r>
      <w:r>
        <w:rPr/>
        <w:t>实际受益持股约百分之五十一，控制结构有助长期全球战略延续，但中小股东需关注关联交易及资本分配。集团与牙科体系内其他机构的产品购买销售安排需要独立审议和定价纪律。股东会对董事授予</w:t>
      </w:r>
      <w:r>
        <w:rPr/>
        <w:t>RSU</w:t>
      </w:r>
      <w:r>
        <w:rPr/>
        <w:t>有相关人士回避，符合程序不自动证明奖励经济合理。研究不因为存在专业医疗投资背景就赋予无限治理溢价，也不因控制股东就假定侵害必然发生。可验证重点是关联交易增长与第三方需求是否一致、收款是否正常、是否在公平条件下提供服务，以及激励后的每股增长是否持续。</w:t>
      </w:r>
    </w:p>
    <w:p>
      <w:pPr>
        <w:pStyle w:val="Normal"/>
        <w:rPr/>
      </w:pPr>
      <w:r>
        <w:rPr/>
        <w:t>二〇二五年度普通息零点四八港元与特别息四点九九合计五点四七，五月二十一日除净，全部已在上半年支付。原三月现金公告列六月八日支付，中报附注称六月三日已支付，日期差异留痕；两者都在截止日前，不能影响本章买入后收益口径。二〇二六中期普通零点四七、特别四点一零合计四点五七，九月十日除净、九月二十五日支付，也已排除。大额特别分派来自股份溢价账户与历史资金积累，不能视为当年盈利的可持续股息率；现价买入后并没有再次取得这两次股息的权利。</w:t>
      </w:r>
    </w:p>
    <w:p>
      <w:pPr>
        <w:pStyle w:val="Normal"/>
        <w:rPr/>
      </w:pPr>
      <w:r>
        <w:rPr/>
        <w:t>半年目标取二〇二七年四月九日，若普通末期股息仍按历史五月除净节奏，持有到四月不应先算一个尚未取得权利的现金息。本章半年三情景累计息均为零；一年基准一點一零港元、三年三點六零、五年七點六零只是未来普通累计研究预算，须由盈利、董事决策和除净日期支持。特别息没有永续外推。累计息未再投资、税前，个人通过不同账户或互联互通持有可能适用不同税费，应单独重算；公司</w:t>
      </w:r>
      <w:r>
        <w:rPr/>
        <w:t>Cayman</w:t>
      </w:r>
      <w:r>
        <w:rPr/>
        <w:t>层披露无预提税不等任何投资者完全没有税负。</w:t>
      </w:r>
    </w:p>
    <w:p>
      <w:pPr>
        <w:pStyle w:val="Heading2"/>
        <w:rPr/>
      </w:pPr>
      <w:r>
        <w:rPr>
          <w:color w:val="000000"/>
        </w:rPr>
        <w:t>半年日线与量能 回調需驗證</w:t>
      </w:r>
    </w:p>
    <w:p>
      <w:pPr>
        <w:pStyle w:val="Normal"/>
        <w:rPr/>
      </w:pPr>
      <w:r>
        <w:rPr/>
        <w:t>锁定收盘八十二点三零港元，日成交三十三万二千四百八十四股，成交额二千七百四十七万五千四百五十点四港元。成交量单位是股，不是手；若将数量再乘一百，会严重夸大流动性。当前成交金额也不是股东可在任意时刻无冲击卖出的保证。中等规模公司遇到专利消息和海外市场波动可能出现流动性突然变化，技术观察需结合价差、成交和重大消息。本章没有逐笔数据和真实自由流通分母，不提供声称精确的筹码峰或“主力吸筹”结论，成交方向只作为价格接受度的证据。</w:t>
      </w:r>
    </w:p>
    <w:p>
      <w:pPr>
        <w:pStyle w:val="Normal"/>
        <w:rPr/>
      </w:pPr>
      <w:r>
        <w:rPr/>
        <w:t>二十、六十、一百二十及二百五十日均线分别八十五点四二二五、八十五点一一八七、七十八点二三五九、六十八点九四八四港元。现价低前两条约百分之三点六六和三点三一，高后两条约百分之五点一九和十九点三六，属于中长趋势上方、短中期回调的组合。近五个交易日均线斜率二十日约负二点五一，六十日正一点二二，一百二十日正零点二六，二百五十日正零点七九。不能只看四线位置就定性强势：短期均线掉头而价格低于它，是短线需求减弱的重要证据。</w:t>
      </w:r>
    </w:p>
    <w:p>
      <w:pPr>
        <w:pStyle w:val="Normal"/>
        <w:rPr/>
      </w:pPr>
      <w:r>
        <w:rPr/>
        <w:t>近二十交易日收益约负百分之十点一五，近六十日正百分之十三点一七。较长周期尚有涨幅，而最近一月回吐，说明前一段上涨的利润空间正在被市场重新评估。五十二周高点约九十五点九五、低点五十一点七八，样本内最大回撤约百分之二十四，不能当作未来波动上限。五十二周高低与期间回撤是不同统计，高低之间的距离不是同一次连续下跌。在当前估值和诉讼背景下，破位可能带来比历史样本更大回撤，技术评分因此没有因为离长期低点远就加额外成长分。</w:t>
      </w:r>
    </w:p>
    <w:p>
      <w:pPr>
        <w:pStyle w:val="Normal"/>
        <w:rPr/>
      </w:pPr>
      <w:r>
        <w:rPr/>
        <w:t>二十日局部支持约八十一点二，距现价约负百分之一点三四，局部阻力九十一点六，距约正百分之十一点三。六十日支持约六十九点七七，距负百分之十五点二三，阻力九十五点九五距正百分之十六点五九。近六十日不同来源复权价格最大差约百分之四点九九、均差约百分之三点二四，锁定数据保留六根</w:t>
      </w:r>
      <w:r>
        <w:rPr/>
        <w:t>OHLC</w:t>
      </w:r>
      <w:r>
        <w:rPr/>
        <w:t>修复记录。因此这些不是分毫不差的买卖指令，近端应观察八十至八十二价带、上方八十四至八十七均线区域，远端高点约九十二至九十六；量价判断的可信度为中，不能自行改动锁价来获得更漂亮图形。</w:t>
      </w:r>
    </w:p>
    <w:p>
      <w:pPr>
        <w:pStyle w:val="Normal"/>
        <w:rPr/>
      </w:pPr>
      <w:r>
        <w:rPr/>
        <w:t>五、二十、六十日平均成交量约十七万零六百五十七、四十一万九千五百零五、六十四万七千六百九十股，短期均量明显低于较长均量。当日量比约零点七八，计算分母为前二十日平均四十二万六千三百七十一股；当日低量可说明交易热度下降，却不能单独区分卖盘枯竭和买盘缺席。若缩量回调后在支持带稳定，并有更广泛的上涨成交，可提高反弹可信度；若低量仅因没人愿意接盘，随后消息冲击放量跌破，则原有“缩量止跌”假设立即失效。量比和均量应解释同一个现象，不重复加分。</w:t>
      </w:r>
    </w:p>
    <w:p>
      <w:pPr>
        <w:pStyle w:val="Normal"/>
        <w:rPr/>
      </w:pPr>
      <w:r>
        <w:rPr/>
        <w:t>最近二十日八个上涨日、十一个下跌日、一个平盘日，上涨日总量约三百零四万二千五百八十五、下跌日五百一十三万零七百一十二股，上下量比约零点五九三。即使上涨天数较少，差异仍表明本段下跌交易较活跃，对短期追价不利。统计将每日收盘涨跌作为分类，不能知道盘中每笔是谁买卖，更不能将下跌日成交全部称作主动卖出。需要观察新的上涨日是否在收盘、广度和总量上扭转这一关系；仅一天大阳线不足以证明过去供给全部被消化，尤其消息驱动医疗股票容易先冲高后回落。</w:t>
      </w:r>
    </w:p>
    <w:p>
      <w:pPr>
        <w:pStyle w:val="Normal"/>
        <w:rPr/>
      </w:pPr>
      <w:r>
        <w:rPr/>
        <w:t>日</w:t>
      </w:r>
      <w:r>
        <w:rPr/>
        <w:t>RSI</w:t>
      </w:r>
      <w:r>
        <w:rPr/>
        <w:t>约三十八点一〇，处于偏弱区域而未达到机械意义的极端；</w:t>
      </w:r>
      <w:r>
        <w:rPr/>
        <w:t>MACD</w:t>
      </w:r>
      <w:r>
        <w:rPr/>
        <w:t>快慢差约负一点零六、信号负零点六一、柱约负零点九〇，支持短期动能下降。</w:t>
      </w:r>
      <w:r>
        <w:rPr/>
        <w:t>ATR</w:t>
      </w:r>
      <w:r>
        <w:rPr/>
        <w:t>约三点零九港元，占现价百分之三点七五，单日正常波幅相对局部支持距离不小。指标用于解释趋势和设观察带，不预测明天方向。将</w:t>
      </w:r>
      <w:r>
        <w:rPr/>
        <w:t>RSI</w:t>
      </w:r>
      <w:r>
        <w:rPr/>
        <w:t>低、</w:t>
      </w:r>
      <w:r>
        <w:rPr/>
        <w:t>MACD</w:t>
      </w:r>
      <w:r>
        <w:rPr/>
        <w:t>负和价格低均线都分别当三项独立风险加分，会夸大信息，因为它们都来自同一价格序列。本章技术维度集中评估趋势、量和相对强弱，辅助指标不产生重复权重。</w:t>
      </w:r>
    </w:p>
    <w:p>
      <w:pPr>
        <w:pStyle w:val="Heading2"/>
        <w:rPr/>
      </w:pPr>
      <w:r>
        <w:rPr>
          <w:color w:val="000000"/>
        </w:rPr>
        <w:t>周线 相对强弱及技术失效条件</w:t>
      </w:r>
    </w:p>
    <w:p>
      <w:pPr>
        <w:pStyle w:val="Normal"/>
        <w:rPr/>
      </w:pPr>
      <w:r>
        <w:rPr/>
        <w:t>周线二十、六十、一百二十周均线约七十七点九九、六十七点六二、五十九点三六港元，现价均在上方，近五周斜率约正二点九六、四点〇九、二点二八。二百五十周均线缺失，不使用不存在的数据；真实历史只有约三年锁定样本。周</w:t>
      </w:r>
      <w:r>
        <w:rPr/>
        <w:t>RSI</w:t>
      </w:r>
      <w:r>
        <w:rPr/>
        <w:t>约五十五点五八仍中性偏强，周</w:t>
      </w:r>
      <w:r>
        <w:rPr/>
        <w:t>MACD</w:t>
      </w:r>
      <w:r>
        <w:rPr/>
        <w:t>为正但柱略负，提示较长趋势保留、上涨速度减缓。日线回调和周线偏强可同时成立，不需要选择一个周期排斥另一个；半年策略须等日线重新与周线形成较好一致性，长期则更依赖盈利证明。</w:t>
      </w:r>
    </w:p>
    <w:p>
      <w:pPr>
        <w:pStyle w:val="Normal"/>
        <w:rPr/>
      </w:pPr>
      <w:r>
        <w:rPr/>
        <w:t>周</w:t>
      </w:r>
      <w:r>
        <w:rPr/>
        <w:t>ATR</w:t>
      </w:r>
      <w:r>
        <w:rPr/>
        <w:t>约七点二九港元，占现价约百分之八点八六，显示若按周操作，观察区间不宜用几角钱的精细止损表达。周上涨与下跌成交量比约一点五一，比日线二十日统计更有利，差异主要因为窗口和周期不同。股价可能处于周线向上中的一段日线调整，也可能从短期变弱发展为更长下跌；需要新的周收盘和成交来区分。若连续周收盘跌破七十七至七十九附近且周均线斜率转负，保留中长期上升趋势的技术条件减弱。若冲回九十二至九十六却无持续量或盈利消息支撑，不能称作有效突破。</w:t>
      </w:r>
    </w:p>
    <w:p>
      <w:pPr>
        <w:pStyle w:val="Normal"/>
        <w:rPr/>
      </w:pPr>
      <w:r>
        <w:rPr/>
        <w:t>对恒生指数相对收益，二十日落后约七点一七个百分点，六十日领先约十六点三六，呈现前期强、近期弱的特点。它能帮助区分公司自身走弱与整体市场下降，但恒指的行业结构与隐形矫治不同，不能完全替代医疗器械或口腔产业基准。没有取得同口径行业历史序列，本章明确行业相对强弱缺失，不以另一个指数名称补造数据。未来若恒指稳定而公司继续破支持，较可能需要检验公司预期或资金供需；若市场全面急跌，公司短线形态也可能被整体风险偏好压倒，技术条件要重新评估。</w:t>
      </w:r>
    </w:p>
    <w:p>
      <w:pPr>
        <w:pStyle w:val="Normal"/>
        <w:rPr/>
      </w:pPr>
      <w:r>
        <w:rPr/>
        <w:t>较积极的半年技术条件是支持带形成持续成交接受、收盘回到二十与六十日均线附近之上、上涨量比改善并重获对市场的相对强弱。这些条件只会提高进入时点的质量，不能让过高估值或未决诉讼自动消失。技术失效条件包括放量破八十至八十二且反抽未能收复、二十和六十均线同时下行、周线中期支持失守以及重大诉讼消息改变商业经营。若利好公布而股价仍持续弱于市场，应重新检查盈利预期是否已过度反映，不简单解释为市场“不理解公司”。</w:t>
      </w:r>
    </w:p>
    <w:p>
      <w:pPr>
        <w:pStyle w:val="Heading2"/>
        <w:rPr/>
      </w:pPr>
      <w:r>
        <w:rPr>
          <w:color w:val="000000"/>
        </w:rPr>
        <w:t>估值原子与年底情景的具体含义</w:t>
      </w:r>
    </w:p>
    <w:p>
      <w:pPr>
        <w:pStyle w:val="Normal"/>
        <w:rPr/>
      </w:pPr>
      <w:r>
        <w:rPr/>
        <w:t>以当前法律股份重算，同口径滚动归母美元利润为二〇二五全年二千八百四十三万七千，加二〇二六上半年二千七百二十五万一千，减二〇二五上半年一千四百六十四万三千，合计四千一百零四万五千美元。每股约零点二三八二美元，港元兑美元七点八为明确模型假设，現价对应滚动市盈率约四十四点三零。二〇二五报告盈利重算约六十三点九四倍，直接半年归母年化约三十三点三六倍。半年年化缺季节和费用时序，不能当确定年度预测；本章显示三种锚，避免挑最低倍数来宣布便宜。</w:t>
      </w:r>
    </w:p>
    <w:p>
      <w:pPr>
        <w:pStyle w:val="Normal"/>
        <w:rPr/>
      </w:pPr>
      <w:r>
        <w:rPr/>
        <w:t>现价总股本市值约一百四十一亿八千三百一十七万港元，按六月归母权益重算市净率约四点四一倍。净资产包括存款和各类经营资产，但后续大额股息降低权益，六月</w:t>
      </w:r>
      <w:r>
        <w:rPr/>
        <w:t>PB</w:t>
      </w:r>
      <w:r>
        <w:rPr/>
        <w:t>不能冒充十月精确账面估值。对成长型医疗器械，</w:t>
      </w:r>
      <w:r>
        <w:rPr/>
        <w:t>PE</w:t>
      </w:r>
      <w:r>
        <w:rPr/>
        <w:t>和现金流更接近盈利能力，</w:t>
      </w:r>
      <w:r>
        <w:rPr/>
        <w:t>PB</w:t>
      </w:r>
      <w:r>
        <w:rPr/>
        <w:t>只作交叉检查；品牌和临床经验也不会以同额资产列账。较高</w:t>
      </w:r>
      <w:r>
        <w:rPr/>
        <w:t>PB</w:t>
      </w:r>
      <w:r>
        <w:rPr/>
        <w:t>不必然说明高估，但要求未来资本回报超过资金成本且可持续。本章没有用</w:t>
      </w:r>
      <w:r>
        <w:rPr/>
        <w:t>PB</w:t>
      </w:r>
      <w:r>
        <w:rPr/>
        <w:t>为高目标价另加一重“品牌资产”，避免资产和盈利能力重复估值。</w:t>
      </w:r>
    </w:p>
    <w:p>
      <w:pPr>
        <w:pStyle w:val="Normal"/>
        <w:rPr/>
      </w:pPr>
      <w:r>
        <w:rPr/>
        <w:t>年底模型三情景二〇二七年国内收入二点四〇、二点六〇、二点八〇亿美元，海外二点九〇、三点四五、三点七〇亿美元，合计五点三〇、六点〇五、六点五〇亿美元。国内毛利率百分之六十三点五、六十五、六十六，海外六十、六十一、六十二点五，成本由每块收入减毛利原子得出。悲观并非收入完全消失，而是降价、费用和风险溢价使每股价值显著下降；乐观要求海外服务与制造效率更快改善。所有收入及毛利都是研究判断，不是截至日公司给出的统一利润指引，不能把它们写成外资共识。</w:t>
      </w:r>
    </w:p>
    <w:p>
      <w:pPr>
        <w:pStyle w:val="Normal"/>
        <w:rPr/>
      </w:pPr>
      <w:r>
        <w:rPr/>
        <w:t>年底基准销售费用一亿八千万、行政七千六百万、研发三千九百万、信用损失三百万美元，其他收入八百万、财务收益二百万、财务成本四百万、权益法亏损一百万。行政销售预算保留律师及奖励负担，没有把三千四百九十九万五千调整集团净利直接外推。税率百分之二十四加四百万差异税、少数亏损一百万、股份一亿七千四百万，最终归母六千二百四十六万二千美元，每股约零点三五九〇，乘三十三倍与七点八汇率得九十二点四零港元。计算链可逐项重算，改变任何输入都需重新刷新情景快照。</w:t>
      </w:r>
    </w:p>
    <w:p>
      <w:pPr>
        <w:pStyle w:val="Normal"/>
        <w:rPr/>
      </w:pPr>
      <w:r>
        <w:rPr/>
        <w:t>悲观年底归母三千七百五十五万美元，股份一亿七千四百万，二十九倍估值得到四十八点八二；乐观归母九千一百五十一万八千五百美元，三十六倍得到一百四十七点六九。乐观价格同时包含更多利润和更低风险溢价，不能只因经营增长就假定估值自然提高。若年底收入势头好但诉讼费用仍不明，市场可能给基准盈利却仅悲观倍数，结果不在整套三行之一。</w:t>
      </w:r>
      <w:r>
        <w:rPr/>
        <w:t>Excel</w:t>
      </w:r>
      <w:r>
        <w:rPr/>
        <w:t>应允许独立修改费用、毛利、股数与倍数，三情景是沟通框架而非唯一可能组合；操作时不要用目标价倒推利润再假称独立模型。</w:t>
      </w:r>
    </w:p>
    <w:p>
      <w:pPr>
        <w:pStyle w:val="Normal"/>
        <w:rPr/>
      </w:pPr>
      <w:r>
        <w:rPr/>
        <w:t>半年基准采用略成熟的二〇二七信息判断，国内二点六六、海外三点五二亿美元，总收入六点一八，归母六千四百一十一万一千二百，股数一亿七千四百五十万，三十五倍得到一百點三零港元。与年底不同的倍数反映年度业绩后经营证据更成熟的研究假设，不是按月份线性加涨幅。其股价回报百分之二十一点八七，没有把未来五月可能除净的股息提前计入四月持有期。悲观三十六点七四及乐观一百六十六点五二说明短期盈利预期修正和估值波动可非常大，半年六十分的评分因此不表示没有下行。</w:t>
      </w:r>
    </w:p>
    <w:p>
      <w:pPr>
        <w:pStyle w:val="Heading2"/>
        <w:rPr/>
      </w:pPr>
      <w:r>
        <w:rPr>
          <w:color w:val="000000"/>
        </w:rPr>
        <w:t>一年 三年与五年的收益来源</w:t>
      </w:r>
    </w:p>
    <w:p>
      <w:pPr>
        <w:pStyle w:val="Normal"/>
        <w:rPr/>
      </w:pPr>
      <w:r>
        <w:rPr/>
        <w:t>一年目标二〇二七年十月，观察二〇二八年前瞻业务。基准国内收入三点一〇、海外四点三〇亿美元，集团七点四〇亿，归母七千六百一十万美元，股数一亿七千六百万，三十四倍得到一百一十四点六七港元。相对于现价的股价空间百分之三十九点三三、含普通累计一點一零后百分之四十点六七，主要来自全球业务形成更稳定报告利润，而非依赖重新拿到历史特别息。若一整年海外仍贴近盈亏线，国内增长靠降价且奖励费用超预算，即便病例继续增加，这个利润路径也需要降级。</w:t>
      </w:r>
    </w:p>
    <w:p>
      <w:pPr>
        <w:pStyle w:val="Normal"/>
        <w:rPr/>
      </w:pPr>
      <w:r>
        <w:rPr/>
        <w:t>一年悲观收入五点五二亿美元、归母约二千零一十四万五千、股数一亿七千八百万、二十四倍，目标二十一点一九港元。它表现的是增长继续但经济利润遭费用和价格侵蚀的路径，潜在股价损失约百分之七十四点二六，说明成长投资下行可远大于短期历史回撤。乐观收入八点二五亿美元、归母一亿二千六百二十八万五千、三十八倍得到二百一十二点六八，则需要净利率、全球扩张和诉讼预期一起超基准。不能将高乐观涨幅当作建议仓位依据，基准和反证比最大数字更重要。</w:t>
      </w:r>
    </w:p>
    <w:p>
      <w:pPr>
        <w:pStyle w:val="Normal"/>
        <w:rPr/>
      </w:pPr>
      <w:r>
        <w:rPr/>
        <w:t>三年基准二〇三〇年前瞻收入十点五亿美元，国内四亿、海外六点五亿，归母一亿二千八百四十三万七千五百，股份一亿八千万、二十九倍，目标一百六十一点四〇。盈利相对现时增长而估值倍数低于一年，反映公司成长速度放缓与成熟化，避免长期依赖倍数越来越高。累计普通息三点六〇使总回报约百分之一百點四九、年化二十六点〇九，但这不是每年稳定赚同样比例的路径。中间可能经历价格压力、产线磨合和诉讼事件，终点模型不能替代期间的现金需求或风险承受判断。</w:t>
      </w:r>
    </w:p>
    <w:p>
      <w:pPr>
        <w:pStyle w:val="Normal"/>
        <w:rPr/>
      </w:pPr>
      <w:r>
        <w:rPr/>
        <w:t>三年乐观收入十三点三亿、归母二亿二千六百六十五万美元、三十五倍，得到三百四十三点七五港元，要求海外毛利和销售效率明显提高、医生复购稳定、核心市场没有商业限制。悲观收入六点三五亿但归母仅九百三十二万四千，股份一亿八千五百万、二十倍，目标七点八六。经营可以存在而股东价值大幅损失，原因是服务费用、价格及法律竞争负担吞噬毛利，并非公司必须破产股价才会跌。对长期持有人，最关键反证是每股正常利润和现金无法随规模增长，而不是季度病例增速从高位自然放缓。</w:t>
      </w:r>
    </w:p>
    <w:p>
      <w:pPr>
        <w:pStyle w:val="Normal"/>
        <w:rPr/>
      </w:pPr>
      <w:r>
        <w:rPr/>
        <w:t>五年基准二〇三二年前瞻收入十三点八亿、归母一亿八千六百五十八万二千美元，股份一亿八千四百万、二十七倍，目标二百一十三点五六，累计普通息七点六〇后总回报约百分之一百六十八点七二，年化二十一点八六。基准收入增速较早期低，利润率改善也不是无止境；销售行政研发预算仍较大，服务型制造的资本和人力需求保留。长期评分七十七点八略高三年，源于经营质量与市场空间权重提高，不意味着五年风险小于半年。时间拉长会增加产品、竞争及监管变化，需持续重估。</w:t>
      </w:r>
    </w:p>
    <w:p>
      <w:pPr>
        <w:pStyle w:val="Normal"/>
        <w:rPr/>
      </w:pPr>
      <w:r>
        <w:rPr/>
        <w:t>五年乐观十八点二亿美元收入、三亿三千零九十万归母、三十二倍，对应四百四十八点八七，悲观七点〇五亿美元收入、仅四百八十万九千五百归母、一亿九千五百万股、十七倍，对应三点二七。长期最低行没有量化禁令和清算，只呈现经营利润被持续挤压而融资稀释的过程。五年高涨幅并不等价于高置信度，大部分价值取决于未来一系列尚未发生的执行。公司若形成全球有效病例与医疗支持网络，可以有很大价值；若仅用高推广支出购买收入，则营业规模扩大也未必给普通股股东带来经济收益。</w:t>
      </w:r>
    </w:p>
    <w:p>
      <w:pPr>
        <w:pStyle w:val="Heading2"/>
        <w:rPr/>
      </w:pPr>
      <w:r>
        <w:rPr>
          <w:color w:val="000000"/>
        </w:rPr>
        <w:t>外资投行比较与估值敏感性</w:t>
      </w:r>
    </w:p>
    <w:p>
      <w:pPr>
        <w:pStyle w:val="Normal"/>
        <w:rPr/>
      </w:pPr>
      <w:r>
        <w:rPr/>
        <w:t>最近九十日内可核新闻包括九月二日摩根士丹利目标一百零五港元、评级与大市同步，以及八月三日野村九十二点二二、评级买入。大摩用现金流折现并上调收入、调整股权与诉讼费用，野村新闻披露加权资金成本百分之十点八、终端增长百分之三及当时年度每股预测。四月二十七日高盛一百一十港元买入已超九十日，保留为旧参考；九月三日招银国际一百一十四点二一买入属于国内背景机构，单列，不冒充外资。新闻可核不等本研究已取得原研报，精确目标期限与完整</w:t>
      </w:r>
      <w:r>
        <w:rPr/>
        <w:t>DCF</w:t>
      </w:r>
      <w:r>
        <w:rPr/>
        <w:t>原子仍缺。</w:t>
      </w:r>
    </w:p>
    <w:p>
      <w:pPr>
        <w:pStyle w:val="Normal"/>
        <w:rPr/>
      </w:pPr>
      <w:r>
        <w:rPr/>
        <w:t>同机构旧报告不与最新报告算作多个独立观点，野村的新闻和另一转载也只计一次。新闻页动态展示十月报价和沽空信息，不是报告日期当时的估值输入，本章保留正文发布日和目标数字，现价只采用锁定行情。最近外资目标的范围约九十二至一百零五，支持将一年基准一百一十四点六七看作较积极而非市场已经保证的水平。大摩评级中性偏市场而目标有上涨空间，说明机构评级会考虑风险、相对机会及估值体系，不能只读目标上升就推断全部机构强烈推荐。</w:t>
      </w:r>
    </w:p>
    <w:p>
      <w:pPr>
        <w:pStyle w:val="Normal"/>
        <w:rPr/>
      </w:pPr>
      <w:r>
        <w:rPr/>
        <w:t>外资</w:t>
      </w:r>
      <w:r>
        <w:rPr/>
        <w:t>DCF</w:t>
      </w:r>
      <w:r>
        <w:rPr/>
        <w:t>与本章</w:t>
      </w:r>
      <w:r>
        <w:rPr/>
        <w:t>PE</w:t>
      </w:r>
      <w:r>
        <w:rPr/>
        <w:t>有不同特点。</w:t>
      </w:r>
      <w:r>
        <w:rPr/>
        <w:t>DCF</w:t>
      </w:r>
      <w:r>
        <w:rPr/>
        <w:t>需要营业资本、制造资本投入、现金税和终端假设，能体现全球扩张的前置投入，但结果也容易对远期利润和折现率敏感；</w:t>
      </w:r>
      <w:r>
        <w:rPr/>
        <w:t>PE</w:t>
      </w:r>
      <w:r>
        <w:rPr/>
        <w:t>以正常归母和合理倍数简化表达，透明方便刷新，却不能充分表达一次大额回售或长期合同履约的每年现金时序。本章用现金桥、历史现金流和较低成熟倍数交叉检验，不声称</w:t>
      </w:r>
      <w:r>
        <w:rPr/>
        <w:t>PE</w:t>
      </w:r>
      <w:r>
        <w:rPr/>
        <w:t>与</w:t>
      </w:r>
      <w:r>
        <w:rPr/>
        <w:t>DCF</w:t>
      </w:r>
      <w:r>
        <w:rPr/>
        <w:t>完全等价。机构十二个月目标只作一年参照，年底独立使用二〇二七正常盈利与年底风险认知，不直接复制机构目标，更不按剩余月份缩放。</w:t>
      </w:r>
    </w:p>
    <w:p>
      <w:pPr>
        <w:pStyle w:val="Normal"/>
        <w:rPr/>
      </w:pPr>
      <w:r>
        <w:rPr/>
        <w:t>保持年底基准归母和股数不变，</w:t>
      </w:r>
      <w:r>
        <w:rPr/>
        <w:t>PE</w:t>
      </w:r>
      <w:r>
        <w:rPr/>
        <w:t>从三十三降至三十，目标约八十四点〇〇；升至三十六约一百點八〇。保持倍数不变，归母利润低百分之十或高百分之十，价格也相应变动百分之十，表明结论对盈利和风险溢价双重敏感。国内或海外毛利率下降一百分点，会先按相应收入减少毛利，再经过税和少数影响每股，而不只是目标价下降一百分点。费用超预算五百万美元对薄利阶段的影响远大于对成熟高利润公司；这也是不把海外调整利润直接当报告盈利的原因。</w:t>
      </w:r>
    </w:p>
    <w:p>
      <w:pPr>
        <w:pStyle w:val="Normal"/>
        <w:rPr/>
      </w:pPr>
      <w:r>
        <w:rPr/>
        <w:t>港元人民币投资者敏感与公司运营敏感分开计算。以一年基准价格和一點一零现金息，港元回报约百分之四十点六七；若港元兑人民币贬百分之五，人民币回报约百分之三十三点六三；升百分之五约百分之四十七点七〇。这里只调整投资者终值汇率，不同时改公司美元盈利，避免把同一汇率效应算两次。实际买卖价差、费用和税会使个人回报不同，模型展示税前本币主口径有助比较证券，但不应被理解为任何账户必然收到的净收益。</w:t>
      </w:r>
    </w:p>
    <w:p>
      <w:pPr>
        <w:pStyle w:val="Heading2"/>
        <w:rPr/>
      </w:pPr>
      <w:r>
        <w:rPr>
          <w:color w:val="000000"/>
        </w:rPr>
        <w:t>十年持续性 反证与跟踪方式</w:t>
      </w:r>
    </w:p>
    <w:p>
      <w:pPr>
        <w:pStyle w:val="Normal"/>
        <w:rPr/>
      </w:pPr>
      <w:r>
        <w:rPr/>
        <w:t>十年经营展望首先关注治疗效果和医生信任是否持续。透明矫治器的材料、生产和软件会进步，今天的功能可能成为明日行业标配；保持竞争力需要持续科研、质量管理与医生教育。全球病例数据积累可能提高设计和支持效率，但数据安全与临床适用要求也会更严格。公司若能让不同国家经验反馈产品，并保留医生主导治疗判断，网络价值可以增强；若只追求更低价格和更快开单，治疗效果或投诉损害会对品牌产生长尾影响。十年不提供伪精确股价，只分析这种经营机制能否自我更新。</w:t>
      </w:r>
    </w:p>
    <w:p>
      <w:pPr>
        <w:pStyle w:val="Normal"/>
        <w:rPr/>
      </w:pPr>
      <w:r>
        <w:rPr/>
        <w:t>从资本配置看，长期成功不是永远保留最多现金，也不是每年分尽现金，而是在必要制造、研发和服务投入之后，将不需要的资本合理返还股东。过去特别股息可说明资金安排调整，却不能证明未来同额分派可持续。海外建厂、回售义务、法律成本和信用证借款需要匹配，集团资金与母公司可上划现金也不是一回事。理想路径是经营现金不断覆盖服务和资本需求、普通每股分红随正常盈利成长，股票稀释低于每股价值增长。若反复大分派后又融资填洞，应降低治理及风险分数。</w:t>
      </w:r>
    </w:p>
    <w:p>
      <w:pPr>
        <w:pStyle w:val="Normal"/>
        <w:rPr/>
      </w:pPr>
      <w:r>
        <w:rPr/>
        <w:t>最重要的经营反证是国内病例增长而确认收入持续弱、毛利下降且费用率未改善；海外病例高速增加但报告经营利润反复贴近零、合同负债履约和追加成本增加；以及医生复购或服务质量出现明显恶化。财务反证包括长账龄坏账增加、经营现金长期落后利润、必须依靠短债维持制造投入、回售和分派使可用资金紧张。法律反证则是禁令、关键专利不利判决或昂贵和解改变商业市场准入。出现这些证据不需要等所有条件同时满足，应更新对应原子、降低目标与评分，并明确影响哪个期限。</w:t>
      </w:r>
    </w:p>
    <w:p>
      <w:pPr>
        <w:pStyle w:val="Normal"/>
        <w:rPr/>
      </w:pPr>
      <w:r>
        <w:rPr/>
        <w:t>推荐上调也需可核证据。海外报告而非调整经营利润连续改善，病例增加同时制造交付更快、单病例服务成本下降，国内降价后毛利和现金仍稳，诉讼风险得到可信实质解决，才会支持降低风险折价。股价站回均线和量关系改善可以提高半年技术分，却不能自动提高五年商业质量。若市场先涨到乐观目标而经营仍只有基准，预期回报维度应下降，不能因持有人赚了钱就维持原分数。动态研究同时允许好公司价格变贵和坏预期得到修正，所有更新都需注明数据版本和日期。</w:t>
      </w:r>
    </w:p>
    <w:p>
      <w:pPr>
        <w:pStyle w:val="Normal"/>
        <w:rPr/>
      </w:pPr>
      <w:r>
        <w:rPr/>
        <w:t>本章资料可信度分层：财报、现金、法律股数和公告时点来自交易所原件，可信度高；技术来自锁定跨源日周数据，复权差异使其为中；未来费用、税、股数和合理倍数属于中等可信研究假设；诉讼最终结果、海外国家利润、医生完整队列和机构原研报未获，不能给高可信标签。评分是统一权重下的相对评价，不是获利概率，情景不是统计置信区间。对进取型名单，时代天使中长期有较清楚的全球经营释放路径，短期仍需要更好的量价和估值配合，结论始终受反证和买入价格约束。</w:t>
      </w:r>
    </w:p>
    <w:p>
      <w:pPr>
        <w:pStyle w:val="Heading2"/>
        <w:rPr/>
      </w:pPr>
      <w:r>
        <w:rPr>
          <w:color w:val="000000"/>
        </w:rPr>
        <w:t>来源</w:t>
      </w:r>
    </w:p>
    <w:p>
      <w:pPr>
        <w:pStyle w:val="Normal"/>
        <w:rPr/>
      </w:pPr>
      <w:r>
        <w:rPr/>
        <w:t>- 2026H1</w:t>
      </w:r>
      <w:r>
        <w:rPr/>
        <w:t>结果，</w:t>
      </w:r>
      <w:r>
        <w:rPr/>
        <w:t>2026-08-31 19:01</w:t>
      </w:r>
      <w:r>
        <w:rPr/>
        <w:t>收盘后：</w:t>
      </w:r>
      <w:r>
        <w:rPr/>
        <w:t>https://www1.hkexnews.hk/listedco/listconews/sehk/2026/0831/2026083101563.pdf</w:t>
      </w:r>
    </w:p>
    <w:p>
      <w:pPr>
        <w:pStyle w:val="Normal"/>
        <w:rPr/>
      </w:pPr>
      <w:r>
        <w:rPr/>
        <w:t>- 2026</w:t>
      </w:r>
      <w:r>
        <w:rPr/>
        <w:t>完整中报，</w:t>
      </w:r>
      <w:r>
        <w:rPr/>
        <w:t>2026-09-23 16:33</w:t>
      </w:r>
      <w:r>
        <w:rPr/>
        <w:t>收盘后：</w:t>
      </w:r>
      <w:r>
        <w:rPr/>
        <w:t>https://www1.hkexnews.hk/listedco/listconews/sehk/2026/0923/2026092300368.pdf</w:t>
      </w:r>
    </w:p>
    <w:p>
      <w:pPr>
        <w:pStyle w:val="Normal"/>
        <w:rPr/>
      </w:pPr>
      <w:r>
        <w:rPr/>
        <w:t>- 2025</w:t>
      </w:r>
      <w:r>
        <w:rPr/>
        <w:t>年报，</w:t>
      </w:r>
      <w:r>
        <w:rPr/>
        <w:t>2026-04-23 20:01</w:t>
      </w:r>
      <w:r>
        <w:rPr/>
        <w:t>收盘后：</w:t>
      </w:r>
      <w:r>
        <w:rPr/>
        <w:t>https://www1.hkexnews.hk/listedco/listconews/sehk/2026/0423/2026042302460.pdf</w:t>
      </w:r>
    </w:p>
    <w:p>
      <w:pPr>
        <w:pStyle w:val="Normal"/>
        <w:rPr/>
      </w:pPr>
      <w:r>
        <w:rPr/>
        <w:t>- 2024</w:t>
      </w:r>
      <w:r>
        <w:rPr/>
        <w:t>年报及追溯美元</w:t>
      </w:r>
      <w:r>
        <w:rPr/>
        <w:t>2023</w:t>
      </w:r>
      <w:r>
        <w:rPr/>
        <w:t>比较：</w:t>
      </w:r>
      <w:r>
        <w:rPr/>
        <w:t>https://www1.hkexnews.hk/listedco/listconews/sehk/2025/0422/2025042201889.pdf</w:t>
      </w:r>
    </w:p>
    <w:p>
      <w:pPr>
        <w:pStyle w:val="Normal"/>
        <w:rPr/>
      </w:pPr>
      <w:r>
        <w:rPr/>
        <w:t>- 9</w:t>
      </w:r>
      <w:r>
        <w:rPr/>
        <w:t>月月报，</w:t>
      </w:r>
      <w:r>
        <w:rPr/>
        <w:t>2026-10-07 20:23</w:t>
      </w:r>
      <w:r>
        <w:rPr/>
        <w:t>收盘后：</w:t>
      </w:r>
      <w:r>
        <w:rPr/>
        <w:t>https://www1.hkexnews.hk/listedco/listconews/sehk/2026/1007/2026100701871.pdf</w:t>
      </w:r>
    </w:p>
    <w:p>
      <w:pPr>
        <w:pStyle w:val="Normal"/>
        <w:rPr/>
      </w:pPr>
      <w:r>
        <w:rPr/>
        <w:t>- 9</w:t>
      </w:r>
      <w:r>
        <w:rPr/>
        <w:t>月</w:t>
      </w:r>
      <w:r>
        <w:rPr/>
        <w:t>30</w:t>
      </w:r>
      <w:r>
        <w:rPr/>
        <w:t>日</w:t>
      </w:r>
      <w:r>
        <w:rPr/>
        <w:t>EGM</w:t>
      </w:r>
      <w:r>
        <w:rPr/>
        <w:t>：</w:t>
      </w:r>
      <w:r>
        <w:rPr/>
        <w:t>https://www1.hkexnews.hk/listedco/listconews/sehk/2026/0930/2026093001644.pdf</w:t>
      </w:r>
    </w:p>
    <w:p>
      <w:pPr>
        <w:pStyle w:val="Normal"/>
        <w:rPr/>
      </w:pPr>
      <w:r>
        <w:rPr/>
        <w:t xml:space="preserve">- </w:t>
      </w:r>
      <w:r>
        <w:rPr/>
        <w:t>大摩</w:t>
      </w:r>
      <w:r>
        <w:rPr/>
        <w:t>9</w:t>
      </w:r>
      <w:r>
        <w:rPr/>
        <w:t>月</w:t>
      </w:r>
      <w:r>
        <w:rPr/>
        <w:t>2</w:t>
      </w:r>
      <w:r>
        <w:rPr/>
        <w:t>日目标新闻：</w:t>
      </w:r>
      <w:r>
        <w:rPr/>
        <w:t>https://www.aastocks.com/tc/stocks/analysis/stock-aafn-con/06699/AAFN/NOW.1542606/research-report</w:t>
      </w:r>
    </w:p>
    <w:p>
      <w:pPr>
        <w:pStyle w:val="Normal"/>
        <w:rPr/>
      </w:pPr>
      <w:r>
        <w:rPr/>
        <w:t xml:space="preserve">- </w:t>
      </w:r>
      <w:r>
        <w:rPr/>
        <w:t>野村</w:t>
      </w:r>
      <w:r>
        <w:rPr/>
        <w:t>8</w:t>
      </w:r>
      <w:r>
        <w:rPr/>
        <w:t>月</w:t>
      </w:r>
      <w:r>
        <w:rPr/>
        <w:t>3</w:t>
      </w:r>
      <w:r>
        <w:rPr/>
        <w:t>日目标新闻：</w:t>
      </w:r>
      <w:r>
        <w:rPr/>
        <w:t>https://www.aastocks.com/tc/stocks/analysis/stock-aafn-con/06699/AAFN/NOW.1536231/research-report</w:t>
      </w:r>
    </w:p>
    <w:p>
      <w:pPr>
        <w:pStyle w:val="Normal"/>
        <w:rPr/>
      </w:pPr>
      <w:r>
        <w:rPr/>
        <w:t xml:space="preserve">- </w:t>
      </w:r>
      <w:r>
        <w:rPr/>
        <w:t>高盛</w:t>
      </w:r>
      <w:r>
        <w:rPr/>
        <w:t>4</w:t>
      </w:r>
      <w:r>
        <w:rPr/>
        <w:t>月</w:t>
      </w:r>
      <w:r>
        <w:rPr/>
        <w:t>27</w:t>
      </w:r>
      <w:r>
        <w:rPr/>
        <w:t>日旧目标新闻：</w:t>
      </w:r>
      <w:r>
        <w:rPr/>
        <w:t>https://www.aastocks.com/tc/stocks/analysis/stock-aafn-con/06699/AAFN/NOW.1520570/research-report</w:t>
      </w:r>
    </w:p>
    <w:p>
      <w:pPr>
        <w:pStyle w:val="Normal"/>
        <w:rPr/>
      </w:pPr>
      <w:r>
        <w:rPr/>
        <w:t xml:space="preserve">- </w:t>
      </w:r>
      <w:r>
        <w:rPr/>
        <w:t>行情锁定、完整来源时点、原件及计算分别见</w:t>
      </w:r>
      <w:r>
        <w:rPr/>
        <w:t>data/market_snapshot_locked.json</w:t>
      </w:r>
      <w:r>
        <w:rPr/>
        <w:t>、</w:t>
      </w:r>
      <w:r>
        <w:rPr/>
        <w:t>data/angel_sources.json</w:t>
      </w:r>
      <w:r>
        <w:rPr/>
        <w:t>、</w:t>
      </w:r>
      <w:r>
        <w:rPr/>
        <w:t>data/angel_supplement.json</w:t>
      </w:r>
      <w:r>
        <w:rPr/>
        <w:t>、</w:t>
      </w:r>
      <w:r>
        <w:rPr/>
        <w:t>data/angel_model.json</w:t>
      </w:r>
      <w:r>
        <w:rPr/>
        <w:t>与</w:t>
      </w:r>
      <w:r>
        <w:rPr/>
        <w:t>qa/angel_qa.json</w:t>
      </w:r>
      <w:r>
        <w:rPr/>
        <w:t>。</w:t>
      </w:r>
      <w:r>
        <w:br w:type="page"/>
      </w:r>
    </w:p>
    <w:p>
      <w:pPr>
        <w:pStyle w:val="Heading1"/>
        <w:rPr/>
      </w:pPr>
      <w:bookmarkStart w:id="7" w:name="__RefHeading___Toc26831_312338234"/>
      <w:bookmarkEnd w:id="7"/>
      <w:r>
        <w:rPr>
          <w:color w:val="000000"/>
        </w:rPr>
        <w:t xml:space="preserve">和黄医药 </w:t>
      </w:r>
      <w:r>
        <w:rPr>
          <w:color w:val="000000"/>
        </w:rPr>
        <w:t>00013 HK</w:t>
      </w:r>
    </w:p>
    <w:p>
      <w:pPr>
        <w:pStyle w:val="Normal"/>
        <w:rPr/>
      </w:pPr>
      <w:r>
        <w:rPr/>
        <w:t xml:space="preserve">00013.HK </w:t>
      </w:r>
      <w:r>
        <w:rPr/>
        <w:t xml:space="preserve">现价 </w:t>
      </w:r>
      <w:r>
        <w:rPr/>
        <w:t>21.74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21.62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-0.56%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-0.56%</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25.12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+15.57%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+15.57%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28.85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+32.72%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+32.91%</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20.85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41.26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+89.79%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22.26HKD</w:t>
      </w:r>
      <w:r>
        <w:rPr/>
        <w:t>，期望股价回报</w:t>
      </w:r>
      <w:r>
        <w:rPr/>
        <w:t>+2.39%</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6.18</w:t>
              <w:br/>
              <w:t>-71.59%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21.00</w:t>
              <w:br/>
              <w:t>-3.42%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50.07</w:t>
              <w:br/>
              <w:t>+130.30%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6.42</w:t>
              <w:br/>
              <w:t>-70.48%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21.62</w:t>
              <w:br/>
              <w:t>-0.56%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64.88</w:t>
              <w:br/>
              <w:t>+198.45%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6.34</w:t>
              <w:br/>
              <w:t>-70.84%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25.12</w:t>
              <w:br/>
              <w:t>+15.57%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77.20</w:t>
              <w:br/>
              <w:t>+255.11%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+4.94%</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6.07</w:t>
              <w:br/>
              <w:t>-72.08%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28.85</w:t>
              <w:br/>
              <w:t>+32.72%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91.47</w:t>
              <w:br/>
              <w:t>+320.76%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+5.85%</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一年日期修订：全部未来现金流</w:t>
      </w:r>
      <w:r>
        <w:rPr/>
        <w:t>ACT</w:t>
      </w:r>
      <w:r>
        <w:rPr/>
        <w:t>折现、目标年比例及目标现金</w:t>
      </w:r>
      <w:r>
        <w:rPr/>
        <w:t>/</w:t>
      </w:r>
      <w:r>
        <w:rPr/>
        <w:t>股数按实际日重算；经营假设不变。下文保留的额外压力测试按原假设日期运行，属于历史模型敏感性；核心三情景以上表及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+1.41%</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-0.56%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+4.41%</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+15.57%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+21.35%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+26.26%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+32.91%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+39.55%</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日收盘，</w:t>
      </w:r>
      <w:r>
        <w:rPr/>
        <w:t>00013.HK</w:t>
      </w:r>
      <w:r>
        <w:rPr/>
        <w:t>，现价</w:t>
      </w:r>
      <w:r>
        <w:rPr/>
        <w:t>21.740</w:t>
      </w:r>
      <w:r>
        <w:rPr/>
        <w:t>港元；发行人</w:t>
      </w:r>
      <w:r>
        <w:rPr/>
        <w:t>I024</w:t>
      </w:r>
      <w:r>
        <w:rPr/>
        <w:t>，证券</w:t>
      </w:r>
      <w:r>
        <w:rPr/>
        <w:t>S029</w:t>
      </w:r>
      <w:r>
        <w:rPr/>
        <w:t>。资料截止</w:t>
      </w:r>
      <w:r>
        <w:rPr/>
        <w:t>2026</w:t>
      </w:r>
      <w:r>
        <w:rPr/>
        <w:t>年</w:t>
      </w:r>
      <w:r>
        <w:rPr/>
        <w:t>10</w:t>
      </w:r>
      <w:r>
        <w:rPr/>
        <w:t>月</w:t>
      </w:r>
      <w:r>
        <w:rPr/>
        <w:t>9</w:t>
      </w:r>
      <w:r>
        <w:rPr/>
        <w:t>日；模型版本</w:t>
      </w:r>
      <w:r>
        <w:rPr/>
        <w:t>hutchmed-v2-riskFCFF-cashdate-reward-banknet-noTerminal</w:t>
      </w:r>
      <w:r>
        <w:rPr/>
        <w:t>。公司财务主口径为美元及美国</w:t>
      </w:r>
      <w:r>
        <w:rPr/>
        <w:t>GAAP</w:t>
      </w:r>
      <w:r>
        <w:rPr/>
        <w:t>，目标股价为港元。证据可信度中：现价、报表及公告事件可核验，未来逐药收入、分成、成本和成功率属于研究假设。</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408"/>
        <w:gridCol w:w="1407"/>
        <w:gridCol w:w="1409"/>
        <w:gridCol w:w="1407"/>
        <w:gridCol w:w="1409"/>
        <w:gridCol w:w="1407"/>
        <w:gridCol w:w="1409"/>
      </w:tblGrid>
      <w:tr>
        <w:trPr>
          <w:tblHeader w:val="true"/>
          <w:cantSplit/>
        </w:trPr>
        <w:tc>
          <w:tcPr>
            <w:tcW w:w="1408"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研究梯队</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w:t>
            </w:r>
            <w:r>
              <w:rPr>
                <w:rFonts w:eastAsia="微软雅黑" w:ascii="微软雅黑" w:hAnsi="微软雅黑"/>
                <w:b/>
                <w:color w:val="FFFFFF"/>
                <w:sz w:val="17"/>
              </w:rPr>
              <w:t>/</w:t>
            </w:r>
            <w:r>
              <w:rPr>
                <w:rFonts w:ascii="微软雅黑" w:hAnsi="微软雅黑" w:eastAsia="微软雅黑"/>
                <w:b/>
                <w:color w:val="FFFFFF"/>
                <w:sz w:val="17"/>
              </w:rPr>
              <w:t>涨跌幅</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w:t>
            </w:r>
            <w:r>
              <w:rPr>
                <w:rFonts w:eastAsia="微软雅黑" w:ascii="微软雅黑" w:hAnsi="微软雅黑"/>
                <w:b/>
                <w:color w:val="FFFFFF"/>
                <w:sz w:val="17"/>
              </w:rPr>
              <w:t>/</w:t>
            </w:r>
            <w:r>
              <w:rPr>
                <w:rFonts w:ascii="微软雅黑" w:hAnsi="微软雅黑" w:eastAsia="微软雅黑"/>
                <w:b/>
                <w:color w:val="FFFFFF"/>
                <w:sz w:val="17"/>
              </w:rPr>
              <w:t>涨跌幅</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w:t>
            </w:r>
            <w:r>
              <w:rPr>
                <w:rFonts w:eastAsia="微软雅黑" w:ascii="微软雅黑" w:hAnsi="微软雅黑"/>
                <w:b/>
                <w:color w:val="FFFFFF"/>
                <w:sz w:val="17"/>
              </w:rPr>
              <w:t>/</w:t>
            </w:r>
            <w:r>
              <w:rPr>
                <w:rFonts w:ascii="微软雅黑" w:hAnsi="微软雅黑" w:eastAsia="微软雅黑"/>
                <w:b/>
                <w:color w:val="FFFFFF"/>
                <w:sz w:val="17"/>
              </w:rPr>
              <w:t>涨跌幅</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判断权重期望价</w:t>
            </w:r>
            <w:r>
              <w:rPr>
                <w:rFonts w:eastAsia="微软雅黑" w:ascii="微软雅黑" w:hAnsi="微软雅黑"/>
                <w:b/>
                <w:color w:val="FFFFFF"/>
                <w:sz w:val="17"/>
              </w:rPr>
              <w:t>/</w:t>
            </w:r>
            <w:r>
              <w:rPr>
                <w:rFonts w:ascii="微软雅黑" w:hAnsi="微软雅黑" w:eastAsia="微软雅黑"/>
                <w:b/>
                <w:color w:val="FFFFFF"/>
                <w:sz w:val="17"/>
              </w:rPr>
              <w:t>回报</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r>
              <w:rPr>
                <w:rFonts w:eastAsia="微软雅黑" w:ascii="微软雅黑" w:hAnsi="微软雅黑"/>
                <w:sz w:val="17"/>
              </w:rPr>
              <w:t>2026-12-31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不另评分</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事件观察</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6.067/-72.09%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20.854/-4.07%</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41.261/+89.79%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22.259/+2.39%</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条件观察</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6.177/-71.59%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20.997/-3.42%</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50.066/+130.30%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24.559/+12.97%</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条件观察</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6.418/-70.48%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21.618/-0.56%</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64.882/+198.45%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28.634/+31.71%</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有条件配置</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6.340/-70.84%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25.124/+15.57%</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77.201/+255.11%</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33.448/+53.85%</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74.1</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有条件配置</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6.070/-72.08%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28.854/+32.72%</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91.472/+320.76%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38.813/+78.53%</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悲观累计股息</w:t>
            </w:r>
            <w:r>
              <w:rPr>
                <w:rFonts w:eastAsia="微软雅黑" w:ascii="微软雅黑" w:hAnsi="微软雅黑"/>
                <w:b/>
                <w:color w:val="FFFFFF"/>
                <w:sz w:val="17"/>
              </w:rPr>
              <w:t>HKD</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基准累计股息</w:t>
            </w:r>
            <w:r>
              <w:rPr>
                <w:rFonts w:eastAsia="微软雅黑" w:ascii="微软雅黑" w:hAnsi="微软雅黑"/>
                <w:b/>
                <w:color w:val="FFFFFF"/>
                <w:sz w:val="17"/>
              </w:rPr>
              <w:t>HKD</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乐观累计股息</w:t>
            </w:r>
            <w:r>
              <w:rPr>
                <w:rFonts w:eastAsia="微软雅黑" w:ascii="微软雅黑" w:hAnsi="微软雅黑"/>
                <w:b/>
                <w:color w:val="FFFFFF"/>
                <w:sz w:val="17"/>
              </w:rPr>
              <w:t>HKD</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基准含息总回报</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基准含息年化</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不作年化</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-0.56%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不另年化</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0.010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+15.57%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0.040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0.075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+32.91%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+5.85%</w:t>
            </w:r>
          </w:p>
        </w:tc>
      </w:tr>
    </w:tbl>
    <w:p>
      <w:pPr>
        <w:pStyle w:val="Normal"/>
        <w:rPr/>
      </w:pPr>
      <w:r>
        <w:rPr/>
      </w:r>
    </w:p>
    <w:p>
      <w:pPr>
        <w:pStyle w:val="Normal"/>
        <w:rPr/>
      </w:pPr>
      <w:r>
        <w:rPr/>
        <w:t>本章认为和黄具备值得跟踪的临床与授权催化剂，但当前价格下的基准收益不足以支持无条件置于最优先推荐层。乐观情景的高回报依赖多个不同阶段项目顺利获批、全球伙伴落实商业化、产品销售扩张与成本效率同时实现；这些条件不能合并解释为一个高概率事件。进取型投资者可以重视其向上弹性，同时应认识到加权期望明显高于基准价是由右侧情景拉动，现金丰富也不保证股价有同等金额的底部。</w:t>
      </w:r>
    </w:p>
    <w:p>
      <w:pPr>
        <w:pStyle w:val="Normal"/>
        <w:rPr/>
      </w:pPr>
      <w:r>
        <w:rPr/>
        <w:t>结论成立的主要条件是赛沃替尼全球联合疗法的数据质量及监管路径得到验证，索乐匹尼布的重新申报和自免适应症审评推进，呋喹替尼海外授权收入维持增长，</w:t>
      </w:r>
      <w:r>
        <w:rPr/>
        <w:t>GSK</w:t>
      </w:r>
      <w:r>
        <w:rPr/>
        <w:t>协议按条件完成，而集团的研发增长没有长期超过可归属毛利增长。失败路径包括临床安全性或效果不足、重要许可未交割、医保价格和患者量不匹配、合作伙伴优先级改变、现金持续用于低效率项目，以及潜在股权稀释。四榜的全名单名次由总表统一排序，本章梯队属于本公司的研究强度评价，不替代跨公司最终排名。</w:t>
      </w:r>
    </w:p>
    <w:p>
      <w:pPr>
        <w:pStyle w:val="Heading2"/>
        <w:rPr/>
      </w:pPr>
      <w:r>
        <w:rPr>
          <w:color w:val="000000"/>
        </w:rPr>
        <w:t>一 证券身份 证据边界与公司定位</w:t>
      </w:r>
    </w:p>
    <w:p>
      <w:pPr>
        <w:pStyle w:val="Normal"/>
        <w:rPr/>
      </w:pPr>
      <w:r>
        <w:rPr/>
        <w:t>和黄医药的香港普通股代码为</w:t>
      </w:r>
      <w:r>
        <w:rPr/>
        <w:t>00013.HK</w:t>
      </w:r>
      <w:r>
        <w:rPr/>
        <w:t>，原名单写作</w:t>
      </w:r>
      <w:r>
        <w:rPr/>
        <w:t>0013.HK</w:t>
      </w:r>
      <w:r>
        <w:rPr/>
        <w:t>属于补零差异；这里统一交易所五位代码。其美国</w:t>
      </w:r>
      <w:r>
        <w:rPr/>
        <w:t>ADS</w:t>
      </w:r>
      <w:r>
        <w:rPr/>
        <w:t>与香港普通股的单位不同，一份</w:t>
      </w:r>
      <w:r>
        <w:rPr/>
        <w:t>ADS</w:t>
      </w:r>
      <w:r>
        <w:rPr/>
        <w:t>对应五股普通股，因此美国价格、目标价或每</w:t>
      </w:r>
      <w:r>
        <w:rPr/>
        <w:t>ADS</w:t>
      </w:r>
      <w:r>
        <w:rPr/>
        <w:t>盈利必须先进行股数和币种换算，不能直接与港股</w:t>
      </w:r>
      <w:r>
        <w:rPr/>
        <w:t>21.74</w:t>
      </w:r>
      <w:r>
        <w:rPr/>
        <w:t>港元比较。公司同时涉及香港、美国和伦敦市场披露，报表有美国</w:t>
      </w:r>
      <w:r>
        <w:rPr/>
        <w:t>GAAP</w:t>
      </w:r>
      <w:r>
        <w:rPr/>
        <w:t>主表以及其他会计口径补充，引用利润、权益与研发时必须固定同一套口径。模型采用普通股经济权益，发行人和证券层标识分别保留，避免多市场价格重复计入公司价值。</w:t>
      </w:r>
    </w:p>
    <w:p>
      <w:pPr>
        <w:pStyle w:val="Normal"/>
        <w:rPr/>
      </w:pPr>
      <w:r>
        <w:rPr/>
        <w:t>本研究使用截至十月九日已公开的年度、中期、月报及临床公告。中期业绩首次在七月三十日十九时〇一分于交易所发布，属于香港收盘后消息；完整中报在八月十四日十六时三十分发布，也在常规收盘之后。</w:t>
      </w:r>
      <w:r>
        <w:rPr/>
        <w:t>GSK</w:t>
      </w:r>
      <w:r>
        <w:rPr/>
        <w:t>协议的九月三日交易所时间为十二时〇一分，应按当日可获得的信息处理，不能写作九月四日研报先于公司公告。九月月报于十月二日十六时三十五分发布。未来会议内容不因为现在可以搜索到便追溯到截止日，研究截止与抓取日期是两项不同记录。</w:t>
      </w:r>
    </w:p>
    <w:p>
      <w:pPr>
        <w:pStyle w:val="Normal"/>
        <w:rPr/>
      </w:pPr>
      <w:r>
        <w:rPr/>
        <w:t>公司是一家已有商业化产品和跨国许可收入、同时保有大量开发管线的创新药企业。它已超出只有实验室资产的初创阶段，却也未达到依靠成熟药物稳定分红的经营状态。中国产品销售、海外伙伴供货及特许权使用费、许可里程碑与研发服务收入、低利润物流分销在财务中并存。总收入增长不必然意味着利润率提高，海外终端销售快速增长也不等于和黄合并收入按相同幅度增长。投资者真正购买的是这些权益经过成本、少数股东、税收与资本投入后的剩余现金，不能把所有合作药物的全球市场销售相加。</w:t>
      </w:r>
    </w:p>
    <w:p>
      <w:pPr>
        <w:pStyle w:val="Heading2"/>
        <w:rPr/>
      </w:pPr>
      <w:r>
        <w:rPr>
          <w:color w:val="000000"/>
        </w:rPr>
        <w:t>二 业务组合与收入质量</w:t>
      </w:r>
    </w:p>
    <w:p>
      <w:pPr>
        <w:pStyle w:val="Normal"/>
        <w:rPr/>
      </w:pPr>
      <w:r>
        <w:rPr/>
        <w:t>二〇二六年上半年总收入为</w:t>
      </w:r>
      <w:r>
        <w:rPr/>
        <w:t>2.78287</w:t>
      </w:r>
      <w:r>
        <w:rPr/>
        <w:t>亿美元，上年同期</w:t>
      </w:r>
      <w:r>
        <w:rPr/>
        <w:t>2.77677</w:t>
      </w:r>
      <w:r>
        <w:rPr/>
        <w:t>亿美元，名义收入几乎持平，固定汇率口径下降约百分之四。同期肿瘤产品收入</w:t>
      </w:r>
      <w:r>
        <w:rPr/>
        <w:t>1.21434</w:t>
      </w:r>
      <w:r>
        <w:rPr/>
        <w:t>亿美元，同比增长约百分之二十三；研发与合作收入</w:t>
      </w:r>
      <w:r>
        <w:rPr/>
        <w:t>0.40887</w:t>
      </w:r>
      <w:r>
        <w:rPr/>
        <w:t>亿美元，分销等其他业务</w:t>
      </w:r>
      <w:r>
        <w:rPr/>
        <w:t>1.15966</w:t>
      </w:r>
      <w:r>
        <w:rPr/>
        <w:t>亿美元，同比下降约百分之十四。总收入平稳掩盖了产品复苏与低利润分销收缩之间的变化。减少分销规模可能压低收入却改善营运资金占用，因此不能只用销售增速给经营分数；要进一步看高价值产品、授权收益、应收回款与经营现金。</w:t>
      </w:r>
    </w:p>
    <w:p>
      <w:pPr>
        <w:pStyle w:val="Normal"/>
        <w:rPr/>
      </w:pPr>
      <w:r>
        <w:rPr/>
        <w:t>收入性质拆分显示，第三方产品销售</w:t>
      </w:r>
      <w:r>
        <w:rPr/>
        <w:t>1.88408</w:t>
      </w:r>
      <w:r>
        <w:rPr/>
        <w:t>亿美元，关联方产品销售</w:t>
      </w:r>
      <w:r>
        <w:rPr/>
        <w:t>0.00798</w:t>
      </w:r>
      <w:r>
        <w:rPr/>
        <w:t>亿美元，商业推广服务</w:t>
      </w:r>
      <w:r>
        <w:rPr/>
        <w:t>0.29323</w:t>
      </w:r>
      <w:r>
        <w:rPr/>
        <w:t>亿美元，研发服务</w:t>
      </w:r>
      <w:r>
        <w:rPr/>
        <w:t>0.07871</w:t>
      </w:r>
      <w:r>
        <w:rPr/>
        <w:t>亿美元，特许权使用费</w:t>
      </w:r>
      <w:r>
        <w:rPr/>
        <w:t>0.35566</w:t>
      </w:r>
      <w:r>
        <w:rPr/>
        <w:t>亿美元，许可收入</w:t>
      </w:r>
      <w:r>
        <w:rPr/>
        <w:t>0.16321</w:t>
      </w:r>
      <w:r>
        <w:rPr/>
        <w:t>亿美元。这些分类与按产品列示的收入不是两套可以加总的独立收入。中国呋喹替尼收入包括供货、推广营销服务和分成，海外呋喹替尼包括供货和特许权使用费；索凡替尼主要是自主销售。推广服务具有真实成本，不能套用接近纯专利许可的毛利率，否则会显著高估正常盈利与多年价值。</w:t>
      </w:r>
    </w:p>
    <w:p>
      <w:pPr>
        <w:pStyle w:val="Normal"/>
        <w:rPr/>
      </w:pPr>
      <w:r>
        <w:rPr/>
        <w:t>和黄的竞争优势在于长期小分子药物发现与临床组织经验、已在全球市场产生销售的产品记录，以及与跨国药企共同开发和商业化的能力。伙伴可以承担海外市场准入和渠道，降低单一中国公司建设全球商业团队的固定投入。相应代价是销售收入分成与控制权受合同约束，伙伴战略调整可能改变项目推进速度。已经合作不意味着对方必然投入所有资源，也不意味着后续付款没有条件。应该同时考察和黄的技术贡献、留存经济权益、开发责任及伙伴可替代方案，而不是仅以合作伙伴名气给所有管线溢价。</w:t>
      </w:r>
    </w:p>
    <w:p>
      <w:pPr>
        <w:pStyle w:val="Heading2"/>
        <w:rPr/>
      </w:pPr>
      <w:r>
        <w:rPr>
          <w:color w:val="000000"/>
        </w:rPr>
        <w:t>三 呋喹替尼 中国复苏与海外分成的区别</w:t>
      </w:r>
    </w:p>
    <w:p>
      <w:pPr>
        <w:pStyle w:val="Normal"/>
        <w:rPr/>
      </w:pPr>
      <w:r>
        <w:rPr/>
        <w:t>呋喹替尼是最重要的现有经济基础之一。中国商品爱优特、海外商品</w:t>
      </w:r>
      <w:r>
        <w:rPr/>
        <w:t>FRUZAQLA</w:t>
      </w:r>
      <w:r>
        <w:rPr/>
        <w:t>的终端销售与和黄收入必须分开看。上半年海外市场销售</w:t>
      </w:r>
      <w:r>
        <w:rPr/>
        <w:t>1.854</w:t>
      </w:r>
      <w:r>
        <w:rPr/>
        <w:t>亿美元，和黄合并确认海外收入</w:t>
      </w:r>
      <w:r>
        <w:rPr/>
        <w:t>0.431</w:t>
      </w:r>
      <w:r>
        <w:rPr/>
        <w:t>亿美元；两者相差体现伙伴渠道和经济分成。海外收入与上年同期近乎持平，包含供货收入下降与特许权使用费增长的抵销，而终端销量扩张不能按百分之百归母。非美国市场销售达到</w:t>
      </w:r>
      <w:r>
        <w:rPr/>
        <w:t>0.689</w:t>
      </w:r>
      <w:r>
        <w:rPr/>
        <w:t>亿美元、同比增长约百分之七十，反映更多市场准入的推进；美国销售较稳定，不能据此推演各地区均保持高速增长。</w:t>
      </w:r>
    </w:p>
    <w:p>
      <w:pPr>
        <w:pStyle w:val="Normal"/>
        <w:rPr/>
      </w:pPr>
      <w:r>
        <w:rPr/>
        <w:t>中国市场上半年呋喹替尼终端销售</w:t>
      </w:r>
      <w:r>
        <w:rPr/>
        <w:t>0.608</w:t>
      </w:r>
      <w:r>
        <w:rPr/>
        <w:t>亿美元，对和黄的确认收入</w:t>
      </w:r>
      <w:r>
        <w:rPr/>
        <w:t>0.471</w:t>
      </w:r>
      <w:r>
        <w:rPr/>
        <w:t>亿美元。收入随渠道规范化后的恢复、处方需求和新的联合适应症受到支撑，但内含的推广服务并非高毛利纯许可。二〇二五年中国市场销售仍曾下降，所以这次复苏需要跨期确认。基准模型把中国成熟呋喹替尼收入从二〇二六年的一亿美元提高到二〇三二年的</w:t>
      </w:r>
      <w:r>
        <w:rPr/>
        <w:t>1.62</w:t>
      </w:r>
      <w:r>
        <w:rPr/>
        <w:t>亿美元，其毛利率取百分之四十二；悲观与乐观分别百分之三十四和五十。这里是经济毛利研究输入，不是公司公开披露的逐药毛利，产品组合和费用列报变化都会使实际值偏离。</w:t>
      </w:r>
    </w:p>
    <w:p>
      <w:pPr>
        <w:pStyle w:val="Normal"/>
        <w:rPr/>
      </w:pPr>
      <w:r>
        <w:rPr/>
        <w:t>五月中国批准呋喹替尼联合信迪利单抗用于二线肾细胞癌，是收入扩张的具体来源。模型不能把已有结直肠癌、既有子宫内膜癌适应症和新肾癌患者的全部人数重复相加；同一患者治疗线、支付能力与组合药物成本都限制可实现市场。肾癌联合方案的临床价值有公开随机研究支持，但销售转化取决于医生采纳、支付覆盖和既有标准治疗竞争。某一中国标签成功也不等于全球同标签已经获批；不同地域权利与审批证据需要分别核对。新增里程碑属于特定事件现金，不能每年复制为经常性收入。</w:t>
      </w:r>
    </w:p>
    <w:p>
      <w:pPr>
        <w:pStyle w:val="Normal"/>
        <w:rPr/>
      </w:pPr>
      <w:r>
        <w:rPr/>
        <w:t>海外长期价值来自更多国家准入、实际治疗人数和特许权使用费结构，供货则受伙伴采购节奏与库存影响。二〇二五年海外特许权使用费约</w:t>
      </w:r>
      <w:r>
        <w:rPr/>
        <w:t>0.444</w:t>
      </w:r>
      <w:r>
        <w:rPr/>
        <w:t>亿美元、供货约</w:t>
      </w:r>
      <w:r>
        <w:rPr/>
        <w:t>0.450</w:t>
      </w:r>
      <w:r>
        <w:rPr/>
        <w:t>亿美元，总</w:t>
      </w:r>
      <w:r>
        <w:rPr/>
        <w:t>FRUZAQLA</w:t>
      </w:r>
      <w:r>
        <w:rPr/>
        <w:t>收入</w:t>
      </w:r>
      <w:r>
        <w:rPr/>
        <w:t>0.894</w:t>
      </w:r>
      <w:r>
        <w:rPr/>
        <w:t>亿美元；二〇二四年包含的商业里程碑不能视为同样可持续的产品收入。模型分供货与许可两组，基准分别从二〇二六年</w:t>
      </w:r>
      <w:r>
        <w:rPr/>
        <w:t>0.44</w:t>
      </w:r>
      <w:r>
        <w:rPr/>
        <w:t>亿、</w:t>
      </w:r>
      <w:r>
        <w:rPr/>
        <w:t>0.50</w:t>
      </w:r>
      <w:r>
        <w:rPr/>
        <w:t>亿美元走向二〇三二年</w:t>
      </w:r>
      <w:r>
        <w:rPr/>
        <w:t>0.62</w:t>
      </w:r>
      <w:r>
        <w:rPr/>
        <w:t>亿、</w:t>
      </w:r>
      <w:r>
        <w:rPr/>
        <w:t>1.08</w:t>
      </w:r>
      <w:r>
        <w:rPr/>
        <w:t>亿美元。纯许可毛利较高，供货毛利较低，结构改善才是经营杠杆，而不是单纯按终端销售比例外推全部利润。</w:t>
      </w:r>
    </w:p>
    <w:p>
      <w:pPr>
        <w:pStyle w:val="Heading2"/>
        <w:rPr/>
      </w:pPr>
      <w:r>
        <w:rPr>
          <w:color w:val="000000"/>
        </w:rPr>
        <w:t>四 赛沃替尼 全球肺癌联合疗法的近期核心</w:t>
      </w:r>
    </w:p>
    <w:p>
      <w:pPr>
        <w:pStyle w:val="Normal"/>
        <w:rPr/>
      </w:pPr>
      <w:r>
        <w:rPr/>
        <w:t>赛沃替尼通过选择性</w:t>
      </w:r>
      <w:r>
        <w:rPr/>
        <w:t>MET</w:t>
      </w:r>
      <w:r>
        <w:rPr/>
        <w:t>抑制机制服务不同分子分型患者。</w:t>
      </w:r>
      <w:r>
        <w:rPr/>
        <w:t>MET</w:t>
      </w:r>
      <w:r>
        <w:rPr/>
        <w:t>外显子十四跳变、</w:t>
      </w:r>
      <w:r>
        <w:rPr/>
        <w:t>MET</w:t>
      </w:r>
      <w:r>
        <w:rPr/>
        <w:t>基因扩增、蛋白过表达以及</w:t>
      </w:r>
      <w:r>
        <w:rPr/>
        <w:t>EGFR</w:t>
      </w:r>
      <w:r>
        <w:rPr/>
        <w:t>治疗后的耐药不是同一个完全互通的市场；检测阈值、组织与液体活检方法、既往治疗和标准方案不同，决定可入组患者及处方范围。与阿斯利康的泰瑞沙联合提供了利用已有</w:t>
      </w:r>
      <w:r>
        <w:rPr/>
        <w:t>EGFR</w:t>
      </w:r>
      <w:r>
        <w:rPr/>
        <w:t>治疗渠道的机会，也使和黄对组合药物的可获得性、定价与伙伴执行形成依赖。不能把泰瑞沙全部销售归为赛沃替尼可捕获市场，只有对应人群中新增的疗效与和黄合同经济权益才进入估值。</w:t>
      </w:r>
    </w:p>
    <w:p>
      <w:pPr>
        <w:pStyle w:val="Normal"/>
        <w:rPr/>
      </w:pPr>
      <w:r>
        <w:rPr/>
        <w:t>SAFFRON</w:t>
      </w:r>
      <w:r>
        <w:rPr/>
        <w:t>全球三期纳入三百三十八例、覆盖二十九个国家，八月十七日公告顶线</w:t>
      </w:r>
      <w:r>
        <w:rPr/>
        <w:t>PFS</w:t>
      </w:r>
      <w:r>
        <w:rPr/>
        <w:t>及</w:t>
      </w:r>
      <w:r>
        <w:rPr/>
        <w:t>OS</w:t>
      </w:r>
      <w:r>
        <w:rPr/>
        <w:t>有统计与临床意义的改善，九月二十九日公告已提交美国</w:t>
      </w:r>
      <w:r>
        <w:rPr/>
        <w:t>NDA</w:t>
      </w:r>
      <w:r>
        <w:rPr/>
        <w:t>。提交申请不是监管受理，更不是</w:t>
      </w:r>
      <w:r>
        <w:rPr/>
        <w:t>FDA</w:t>
      </w:r>
      <w:r>
        <w:rPr/>
        <w:t>已经批准。截至十月九日，完整风险比、中位生存期、各亚组一致性、失访与安全细节尚不能从将来的会议报告补入。本章只确认积极顶线与递交事实。研究的下一步证据问题包括</w:t>
      </w:r>
      <w:r>
        <w:rPr/>
        <w:t>MET</w:t>
      </w:r>
      <w:r>
        <w:rPr/>
        <w:t>选择标准的有效性、既有化疗方案对照质量、中枢神经系统表现、严重不良事件、停药率及实际可获批人群。</w:t>
      </w:r>
    </w:p>
    <w:p>
      <w:pPr>
        <w:pStyle w:val="Normal"/>
        <w:rPr/>
      </w:pPr>
      <w:r>
        <w:rPr/>
        <w:t>SANOVO</w:t>
      </w:r>
      <w:r>
        <w:rPr/>
        <w:t>是中国初治</w:t>
      </w:r>
      <w:r>
        <w:rPr/>
        <w:t>EGFR</w:t>
      </w:r>
      <w:r>
        <w:rPr/>
        <w:t>突变且</w:t>
      </w:r>
      <w:r>
        <w:rPr/>
        <w:t>MET</w:t>
      </w:r>
      <w:r>
        <w:rPr/>
        <w:t>过表达患者的盲法随机三期，共三百二十六例。八月三十一日公告主要</w:t>
      </w:r>
      <w:r>
        <w:rPr/>
        <w:t>PFS</w:t>
      </w:r>
      <w:r>
        <w:rPr/>
        <w:t>终点积极，</w:t>
      </w:r>
      <w:r>
        <w:rPr/>
        <w:t>OS</w:t>
      </w:r>
      <w:r>
        <w:rPr/>
        <w:t>提示鼓舞性的临床获益并继续随访，不能改写为</w:t>
      </w:r>
      <w:r>
        <w:rPr/>
        <w:t>OS</w:t>
      </w:r>
      <w:r>
        <w:rPr/>
        <w:t>已取得统计显著改善。其市场不同于治疗后耐药的</w:t>
      </w:r>
      <w:r>
        <w:rPr/>
        <w:t>SAFFRON</w:t>
      </w:r>
      <w:r>
        <w:rPr/>
        <w:t>，模型将中国一线增量单独建立，不与既有</w:t>
      </w:r>
      <w:r>
        <w:rPr/>
        <w:t>MET</w:t>
      </w:r>
      <w:r>
        <w:rPr/>
        <w:t>十四跳变、</w:t>
      </w:r>
      <w:r>
        <w:rPr/>
        <w:t>SACHI</w:t>
      </w:r>
      <w:r>
        <w:rPr/>
        <w:t>和胃癌收入重叠。早线治疗可延长患者用药，却提高对长期毒性、持续支付及与当前标准方案比较的要求。医生对双药联合的接受程度取决于绝对获益与风险，而不只看终点是否达到显著。</w:t>
      </w:r>
    </w:p>
    <w:p>
      <w:pPr>
        <w:pStyle w:val="Normal"/>
        <w:rPr/>
      </w:pPr>
      <w:r>
        <w:rPr/>
        <w:t>SACHI</w:t>
      </w:r>
      <w:r>
        <w:rPr/>
        <w:t>相关总生存数据也必须保持口径。二十二点九个月对七点九个月的比较属于排除对照后续</w:t>
      </w:r>
      <w:r>
        <w:rPr/>
        <w:t>MET</w:t>
      </w:r>
      <w:r>
        <w:rPr/>
        <w:t>交叉治疗后的补充亚组，不能写成完整随机</w:t>
      </w:r>
      <w:r>
        <w:rPr/>
        <w:t>ITT</w:t>
      </w:r>
      <w:r>
        <w:rPr/>
        <w:t>总人群的无偏</w:t>
      </w:r>
      <w:r>
        <w:rPr/>
        <w:t>OS</w:t>
      </w:r>
      <w:r>
        <w:rPr/>
        <w:t>结论。交叉治疗可能稀释随机比较，但事后排除同时会引入选择问题；两种观察各有用途，需要完整阅读研究设计。单一数字不应重复提升临床、经营与催化三个分项得分。七月新增胃癌批准针对经历至少两种系统治疗后的</w:t>
      </w:r>
      <w:r>
        <w:rPr/>
        <w:t>MET</w:t>
      </w:r>
      <w:r>
        <w:rPr/>
        <w:t>基因扩增特定人群，不能将其概括为全胃癌市场，也不能忽略检测渗透对收入的约束。</w:t>
      </w:r>
    </w:p>
    <w:p>
      <w:pPr>
        <w:pStyle w:val="Normal"/>
        <w:rPr/>
      </w:pPr>
      <w:r>
        <w:rPr/>
        <w:t>模型中既有中国赛沃替尼收入基准由二〇二六年</w:t>
      </w:r>
      <w:r>
        <w:rPr/>
        <w:t>0.30</w:t>
      </w:r>
      <w:r>
        <w:rPr/>
        <w:t>亿美元增至二〇三二年</w:t>
      </w:r>
      <w:r>
        <w:rPr/>
        <w:t>0.89</w:t>
      </w:r>
      <w:r>
        <w:rPr/>
        <w:t>亿美元，毛利率百分之七十三。</w:t>
      </w:r>
      <w:r>
        <w:rPr/>
        <w:t>SAFFRON</w:t>
      </w:r>
      <w:r>
        <w:rPr/>
        <w:t>海外权益另取悲观、基准、乐观峰值</w:t>
      </w:r>
      <w:r>
        <w:rPr/>
        <w:t>0.75</w:t>
      </w:r>
      <w:r>
        <w:rPr/>
        <w:t>亿、</w:t>
      </w:r>
      <w:r>
        <w:rPr/>
        <w:t>1.80</w:t>
      </w:r>
      <w:r>
        <w:rPr/>
        <w:t>亿、</w:t>
      </w:r>
      <w:r>
        <w:rPr/>
        <w:t>3.80</w:t>
      </w:r>
      <w:r>
        <w:rPr/>
        <w:t>亿美元，风险收入因子分别百分之五十五、八十、九十二；这些峰值代表和黄确认的授权供货及分成经济收入，不是组合药物全球终端销售。</w:t>
      </w:r>
      <w:r>
        <w:rPr/>
        <w:t>SANOVO</w:t>
      </w:r>
      <w:r>
        <w:rPr/>
        <w:t>中国增量峰值</w:t>
      </w:r>
      <w:r>
        <w:rPr/>
        <w:t>0.35</w:t>
      </w:r>
      <w:r>
        <w:rPr/>
        <w:t>亿、</w:t>
      </w:r>
      <w:r>
        <w:rPr/>
        <w:t>0.90</w:t>
      </w:r>
      <w:r>
        <w:rPr/>
        <w:t>亿、</w:t>
      </w:r>
      <w:r>
        <w:rPr/>
        <w:t>1.80</w:t>
      </w:r>
      <w:r>
        <w:rPr/>
        <w:t>亿美元，因子百分之四十五、七十、八十八。正面三期顶线提升可信度，却尚不足以消除监管、真实处方和竞争风险。</w:t>
      </w:r>
    </w:p>
    <w:p>
      <w:pPr>
        <w:pStyle w:val="Heading2"/>
        <w:rPr/>
      </w:pPr>
      <w:r>
        <w:rPr>
          <w:color w:val="000000"/>
        </w:rPr>
        <w:t>五 索凡替尼与胰腺癌增量</w:t>
      </w:r>
    </w:p>
    <w:p>
      <w:pPr>
        <w:pStyle w:val="Normal"/>
        <w:rPr/>
      </w:pPr>
      <w:r>
        <w:rPr/>
        <w:t>索凡替尼已在中国用于神经内分泌瘤，是自主商业化能力的重要验证。中报正文和商业事件表明确列示二〇二〇年批准非胰腺神经内分泌瘤、二〇二一年批准胰腺神经内分泌瘤。此处按一致文字与商业表使用，不以表格抽取的错位年份重写。上半年收入</w:t>
      </w:r>
      <w:r>
        <w:rPr/>
        <w:t>0.184</w:t>
      </w:r>
      <w:r>
        <w:rPr/>
        <w:t>亿美元，同比增长约百分之四十五，增长较好但起点较小。神经内分泌瘤患者具有分型、分级、既往治疗等差异，药物在该领域的份额和治疗持续时间需要独立跟踪，不能把所有胰腺肿瘤患者当作已获批目标患者。</w:t>
      </w:r>
    </w:p>
    <w:p>
      <w:pPr>
        <w:pStyle w:val="Normal"/>
        <w:rPr/>
      </w:pPr>
      <w:r>
        <w:rPr/>
        <w:t>胰腺导管腺癌是不同疾病场景，其临床需求大、开发失败率也高。索凡替尼与免疫和化疗组合的早期研究提供积极</w:t>
      </w:r>
      <w:r>
        <w:rPr/>
        <w:t>PFS</w:t>
      </w:r>
      <w:r>
        <w:rPr/>
        <w:t>证据，但截至截止日</w:t>
      </w:r>
      <w:r>
        <w:rPr/>
        <w:t>OS</w:t>
      </w:r>
      <w:r>
        <w:rPr/>
        <w:t>仍不成熟，不能宣称已经证明寿命延长并将市场全额计入。三期于二〇二五年十二月启动，后续入组、对照方案、疾病负荷与毒性管理决定可信度。模型另列</w:t>
      </w:r>
      <w:r>
        <w:rPr/>
        <w:t>PDAC</w:t>
      </w:r>
      <w:r>
        <w:rPr/>
        <w:t>增量，上市年悲观二〇三〇、基准二〇二九、乐观二〇二八，峰值</w:t>
      </w:r>
      <w:r>
        <w:rPr/>
        <w:t>0.50</w:t>
      </w:r>
      <w:r>
        <w:rPr/>
        <w:t>亿、</w:t>
      </w:r>
      <w:r>
        <w:rPr/>
        <w:t>1.40</w:t>
      </w:r>
      <w:r>
        <w:rPr/>
        <w:t>亿、</w:t>
      </w:r>
      <w:r>
        <w:rPr/>
        <w:t>2.60</w:t>
      </w:r>
      <w:r>
        <w:rPr/>
        <w:t>亿美元，风险因子百分之二十五、五十、七十，避免将现有</w:t>
      </w:r>
      <w:r>
        <w:rPr/>
        <w:t>NET</w:t>
      </w:r>
      <w:r>
        <w:rPr/>
        <w:t>销售与试验性胰腺癌收入重复计算。</w:t>
      </w:r>
    </w:p>
    <w:p>
      <w:pPr>
        <w:pStyle w:val="Normal"/>
        <w:rPr/>
      </w:pPr>
      <w:r>
        <w:rPr/>
        <w:t>现有索凡替尼基准收入从二〇二六年</w:t>
      </w:r>
      <w:r>
        <w:rPr/>
        <w:t>0.40</w:t>
      </w:r>
      <w:r>
        <w:rPr/>
        <w:t>亿美元增至二〇三二年</w:t>
      </w:r>
      <w:r>
        <w:rPr/>
        <w:t>0.80</w:t>
      </w:r>
      <w:r>
        <w:rPr/>
        <w:t>亿美元，毛利率百分之七十五。销售及医保可及性的改善可产生经营杠杆，但癌种复杂、联合药物多意味着培训和药物警戒仍需投入。已经有商业团队不意味着新适应症无需新增费用。</w:t>
      </w:r>
      <w:r>
        <w:rPr/>
        <w:t>PDAC</w:t>
      </w:r>
      <w:r>
        <w:rPr/>
        <w:t>若达不到三期终点，应删除对应未来现金流并缩减开发费用；只删除收入而继续所有项目开支是严重压力路径，只降低开支而保留原销售则同样不合理。完整情景更新应同时处理研发责任、患者市场和里程碑变化。</w:t>
      </w:r>
    </w:p>
    <w:p>
      <w:pPr>
        <w:pStyle w:val="Heading2"/>
        <w:rPr/>
      </w:pPr>
      <w:r>
        <w:rPr>
          <w:color w:val="000000"/>
        </w:rPr>
        <w:t>六 索乐匹尼布 自免商业化要跨过质量与支付门槛</w:t>
      </w:r>
    </w:p>
    <w:p>
      <w:pPr>
        <w:pStyle w:val="Normal"/>
        <w:rPr/>
      </w:pPr>
      <w:r>
        <w:rPr/>
        <w:t>索乐匹尼布作为</w:t>
      </w:r>
      <w:r>
        <w:rPr/>
        <w:t>Syk</w:t>
      </w:r>
      <w:r>
        <w:rPr/>
        <w:t>抑制剂，提供了从肿瘤向免疫疾病扩展的机会。</w:t>
      </w:r>
      <w:r>
        <w:rPr/>
        <w:t>ITP</w:t>
      </w:r>
      <w:r>
        <w:rPr/>
        <w:t>适应症新药申请二〇二六年二月重新提交，依据额外稳定性研究满足更低杂质水平要求；重新申报不能被省略为原申请必然顺利批准。该事件反映监管不仅评价临床疗效，也关注化学、生产、质量控制与长期供货一致性。若进一步质量要求导致延迟，将增加现金消耗、推后销售并可能缩短产品竞争窗口。模型采用具体上市年份和风险因子，绝不把受理或优先审评等同正式批准。</w:t>
      </w:r>
    </w:p>
    <w:p>
      <w:pPr>
        <w:pStyle w:val="Normal"/>
        <w:rPr/>
      </w:pPr>
      <w:r>
        <w:rPr/>
        <w:t>温抗体型自身免疫性溶血性贫血适应症四月获受理并优先审评。公开三期持续应答率约百分之六十六对十五，总体应答率约七十对二十二，支持进一步开发价值；但人群、治疗线、持续时间和不良事件决定实际处方，而不能只摘取应答比例。</w:t>
      </w:r>
      <w:r>
        <w:rPr/>
        <w:t>ITP</w:t>
      </w:r>
      <w:r>
        <w:rPr/>
        <w:t>长期分析中的交叉患者、扩展期维持效果不能当作持续随机头对头优势。自免慢病的价格与支付模式、监测负担、复发以及替代治疗会影响长期留存，商业峰值对患者持续治疗比单次响应更敏感。</w:t>
      </w:r>
    </w:p>
    <w:p>
      <w:pPr>
        <w:pStyle w:val="Normal"/>
        <w:rPr/>
      </w:pPr>
      <w:r>
        <w:rPr/>
        <w:t>模型</w:t>
      </w:r>
      <w:r>
        <w:rPr/>
        <w:t>ITP</w:t>
      </w:r>
      <w:r>
        <w:rPr/>
        <w:t>中国收入峰值悲观</w:t>
      </w:r>
      <w:r>
        <w:rPr/>
        <w:t>0.80</w:t>
      </w:r>
      <w:r>
        <w:rPr/>
        <w:t>亿、基准</w:t>
      </w:r>
      <w:r>
        <w:rPr/>
        <w:t>1.70</w:t>
      </w:r>
      <w:r>
        <w:rPr/>
        <w:t>亿、乐观</w:t>
      </w:r>
      <w:r>
        <w:rPr/>
        <w:t>3.00</w:t>
      </w:r>
      <w:r>
        <w:rPr/>
        <w:t>亿美元，因子百分之五十、七十五、九十；温抗体自免溶血贫血分别</w:t>
      </w:r>
      <w:r>
        <w:rPr/>
        <w:t>0.60</w:t>
      </w:r>
      <w:r>
        <w:rPr/>
        <w:t>亿、</w:t>
      </w:r>
      <w:r>
        <w:rPr/>
        <w:t>1.40</w:t>
      </w:r>
      <w:r>
        <w:rPr/>
        <w:t>亿、</w:t>
      </w:r>
      <w:r>
        <w:rPr/>
        <w:t>2.60</w:t>
      </w:r>
      <w:r>
        <w:rPr/>
        <w:t>亿美元，因子百分之五十八、八十、九十二。两适应症分别建模，不把同一患者同时计入两种病种。既有肿瘤渠道可以共享部分后台，却无法替代血液科和免疫疾病的医生教育、真实世界安全积累与支付谈判。其价值不仅来自上市首年销售，也来自质量监管可控和疗效维持后持续复用的处方习惯。</w:t>
      </w:r>
    </w:p>
    <w:p>
      <w:pPr>
        <w:pStyle w:val="Heading2"/>
        <w:rPr/>
      </w:pPr>
      <w:r>
        <w:rPr>
          <w:color w:val="000000"/>
        </w:rPr>
        <w:t>七 凡瑞格拉替尼与其他后期资产</w:t>
      </w:r>
    </w:p>
    <w:p>
      <w:pPr>
        <w:pStyle w:val="Normal"/>
        <w:rPr/>
      </w:pPr>
      <w:r>
        <w:rPr/>
        <w:t>凡瑞格拉替尼已于八月二十八日在中国获批用于特定既往治疗后、携带</w:t>
      </w:r>
      <w:r>
        <w:rPr/>
        <w:t>FGFR2</w:t>
      </w:r>
      <w:r>
        <w:rPr/>
        <w:t>融合或重排的肝内胆管癌，模型临床识别因子设为一。其依据包含单臂二期客观缓解率百分之四十二点五、中位</w:t>
      </w:r>
      <w:r>
        <w:rPr/>
        <w:t>PFS</w:t>
      </w:r>
      <w:r>
        <w:rPr/>
        <w:t>六点九个月、</w:t>
      </w:r>
      <w:r>
        <w:rPr/>
        <w:t>OS</w:t>
      </w:r>
      <w:r>
        <w:rPr/>
        <w:t>十六点六个月等公开结果；单臂研究不能排除患者选择与后续治疗差异，也不能直接证明优于不同试验的竞品。已获批降低开发风险，却不消除检测普及、价格、真实疗效和竞争。这里将商业峰值区分</w:t>
      </w:r>
      <w:r>
        <w:rPr/>
        <w:t>0.35</w:t>
      </w:r>
      <w:r>
        <w:rPr/>
        <w:t>亿、</w:t>
      </w:r>
      <w:r>
        <w:rPr/>
        <w:t>0.65</w:t>
      </w:r>
      <w:r>
        <w:rPr/>
        <w:t>亿、</w:t>
      </w:r>
      <w:r>
        <w:rPr/>
        <w:t>1.10</w:t>
      </w:r>
      <w:r>
        <w:rPr/>
        <w:t>亿美元，体现小分子分型市场规模约束。</w:t>
      </w:r>
    </w:p>
    <w:p>
      <w:pPr>
        <w:pStyle w:val="Normal"/>
        <w:rPr/>
      </w:pPr>
      <w:r>
        <w:rPr/>
        <w:t>Ranosidenib</w:t>
      </w:r>
      <w:r>
        <w:rPr/>
        <w:t>针对</w:t>
      </w:r>
      <w:r>
        <w:rPr/>
        <w:t>IDH1/2</w:t>
      </w:r>
      <w:r>
        <w:rPr/>
        <w:t>相关</w:t>
      </w:r>
      <w:r>
        <w:rPr/>
        <w:t>AML</w:t>
      </w:r>
      <w:r>
        <w:rPr/>
        <w:t>，三期仍在进行；不得将其他公司</w:t>
      </w:r>
      <w:r>
        <w:rPr/>
        <w:t>IDH</w:t>
      </w:r>
      <w:r>
        <w:rPr/>
        <w:t>药物的获批场景或胶质瘤成功转为本产品已获批。早期缓解不能自动等于长期生存改善，耐药机制、骨髓抑制、合并治疗与既有</w:t>
      </w:r>
      <w:r>
        <w:rPr/>
        <w:t>IDH</w:t>
      </w:r>
      <w:r>
        <w:rPr/>
        <w:t>抑制剂决定临床定位。模型上市年二〇三〇、二〇二九、二〇二八，风险因子百分之三十、五十五、七十五，对应峰值</w:t>
      </w:r>
      <w:r>
        <w:rPr/>
        <w:t>0.35</w:t>
      </w:r>
      <w:r>
        <w:rPr/>
        <w:t>亿、</w:t>
      </w:r>
      <w:r>
        <w:rPr/>
        <w:t>0.90</w:t>
      </w:r>
      <w:r>
        <w:rPr/>
        <w:t>亿、</w:t>
      </w:r>
      <w:r>
        <w:rPr/>
        <w:t>1.70</w:t>
      </w:r>
      <w:r>
        <w:rPr/>
        <w:t>亿美元。收入仅针对模型指定中国</w:t>
      </w:r>
      <w:r>
        <w:rPr/>
        <w:t>AML</w:t>
      </w:r>
      <w:r>
        <w:rPr/>
        <w:t>权益，不扩展到缺乏证据的所有实体瘤或海外市场。</w:t>
      </w:r>
    </w:p>
    <w:p>
      <w:pPr>
        <w:pStyle w:val="Normal"/>
        <w:rPr/>
      </w:pPr>
      <w:r>
        <w:rPr/>
        <w:t>HMPL-760</w:t>
      </w:r>
      <w:r>
        <w:rPr/>
        <w:t>在二〇二六年三月启动</w:t>
      </w:r>
      <w:r>
        <w:rPr/>
        <w:t>DLBCL</w:t>
      </w:r>
      <w:r>
        <w:rPr/>
        <w:t>三期。早期样本的响应有探索价值，但成熟</w:t>
      </w:r>
      <w:r>
        <w:rPr/>
        <w:t>OS</w:t>
      </w:r>
      <w:r>
        <w:rPr/>
        <w:t>、耐药患者覆盖与治疗安全性尚未完成验证，竞争药物和治疗路线也可能改变后期标准。模型以二〇三一、二〇三〇、二〇二九为上市年，因子百分之二十三、四十五、六十五，峰值</w:t>
      </w:r>
      <w:r>
        <w:rPr/>
        <w:t>0.50</w:t>
      </w:r>
      <w:r>
        <w:rPr/>
        <w:t>亿、</w:t>
      </w:r>
      <w:r>
        <w:rPr/>
        <w:t>1.20</w:t>
      </w:r>
      <w:r>
        <w:rPr/>
        <w:t>亿、</w:t>
      </w:r>
      <w:r>
        <w:rPr/>
        <w:t>2.30</w:t>
      </w:r>
      <w:r>
        <w:rPr/>
        <w:t>亿美元。较低风险调整后的早期收入不等于可以省去全部研发预算；失败试验仍会发生真实成本。对这种项目，临床重要事件提高或降低估值的幅度应由数据而非市场题材决定。</w:t>
      </w:r>
    </w:p>
    <w:p>
      <w:pPr>
        <w:pStyle w:val="Heading2"/>
        <w:rPr/>
      </w:pPr>
      <w:r>
        <w:rPr>
          <w:color w:val="000000"/>
        </w:rPr>
        <w:t xml:space="preserve">八 </w:t>
      </w:r>
      <w:r>
        <w:rPr>
          <w:color w:val="000000"/>
        </w:rPr>
        <w:t>GSK</w:t>
      </w:r>
      <w:r>
        <w:rPr>
          <w:color w:val="000000"/>
        </w:rPr>
        <w:t>与</w:t>
      </w:r>
      <w:r>
        <w:rPr>
          <w:color w:val="000000"/>
        </w:rPr>
        <w:t xml:space="preserve">A830 </w:t>
      </w:r>
      <w:r>
        <w:rPr>
          <w:color w:val="000000"/>
        </w:rPr>
        <w:t>授权金额 地区和研发责任</w:t>
      </w:r>
    </w:p>
    <w:p>
      <w:pPr>
        <w:pStyle w:val="Normal"/>
        <w:rPr/>
      </w:pPr>
      <w:r>
        <w:rPr/>
        <w:t>九月</w:t>
      </w:r>
      <w:r>
        <w:rPr/>
        <w:t>GSK</w:t>
      </w:r>
      <w:r>
        <w:rPr/>
        <w:t>合作是重大商业验证，但必须精确拆解。已公告首付款</w:t>
      </w:r>
      <w:r>
        <w:rPr/>
        <w:t>1.10</w:t>
      </w:r>
      <w:r>
        <w:rPr/>
        <w:t>亿美元，合同总额最高</w:t>
      </w:r>
      <w:r>
        <w:rPr/>
        <w:t>12.95</w:t>
      </w:r>
      <w:r>
        <w:rPr/>
        <w:t>亿美元包含该首付，额外里程碑上限</w:t>
      </w:r>
      <w:r>
        <w:rPr/>
        <w:t>11.85</w:t>
      </w:r>
      <w:r>
        <w:rPr/>
        <w:t>亿美元，并有分级特许权使用费。总上限不是保证收入，临床、监管和商业门槛可能多年后才满足甚至不满足。截止九月二十八日公告仍说明需反垄断审查及交割条件，不能写已收到首付。模型基准、乐观假定二〇二六年按净现金比例到账，悲观延至二〇二七年，明确属于研究现金预算，不把未确认交割收入充作已核实现金。</w:t>
      </w:r>
    </w:p>
    <w:p>
      <w:pPr>
        <w:pStyle w:val="Normal"/>
        <w:rPr/>
      </w:pPr>
      <w:r>
        <w:rPr/>
        <w:t>GSK</w:t>
      </w:r>
      <w:r>
        <w:rPr/>
        <w:t>取得的是大中华以外权利，这里的排除地区包括中国大陆、香港、澳门和台湾；和黄保留大中华权益。不同于其他许可协议的地域定义，不能机械将台湾总归海外。和黄负责全球一期研发，</w:t>
      </w:r>
      <w:r>
        <w:rPr/>
        <w:t>GSK</w:t>
      </w:r>
      <w:r>
        <w:rPr/>
        <w:t>主要负责后续大中华以外开发，集团仍要承担初期临床、发现和留存地区投入。许可减少了一部分海外后期资金责任，并不使所有未来研发费用归零。估值按大中华产品收入与海外分成分别计入，同一患者销售绝不再作为全额全球产品收入第三次出现。</w:t>
      </w:r>
    </w:p>
    <w:p>
      <w:pPr>
        <w:pStyle w:val="Normal"/>
        <w:rPr/>
      </w:pPr>
      <w:r>
        <w:rPr/>
        <w:t>A830</w:t>
      </w:r>
      <w:r>
        <w:rPr/>
        <w:t>是</w:t>
      </w:r>
      <w:r>
        <w:rPr/>
        <w:t>KRAS</w:t>
      </w:r>
      <w:r>
        <w:rPr/>
        <w:t>相关机制与</w:t>
      </w:r>
      <w:r>
        <w:rPr/>
        <w:t>EGFR</w:t>
      </w:r>
      <w:r>
        <w:rPr/>
        <w:t>抗体偶联治疗的早期资产。九月二十四日已首位患者给药，九月二十八日公布；截至十月九日可以写一期已启动，不能继续写“预计下半年首次给药”。一期剂量递增主要解决安全、暴露、耐受剂量和初步生物学信号，尚无可供本研究使用的成熟人体疗效数值。偶联平台的选择性与肿瘤药物暴露优势来自设计逻辑，动物结果不能替代临床。</w:t>
      </w:r>
      <w:r>
        <w:rPr/>
        <w:t>KRAS</w:t>
      </w:r>
      <w:r>
        <w:rPr/>
        <w:t>亚型、</w:t>
      </w:r>
      <w:r>
        <w:rPr/>
        <w:t>EGFR</w:t>
      </w:r>
      <w:r>
        <w:rPr/>
        <w:t>表达异质性、载荷作用和毒性窗口同时影响可开发价值。</w:t>
      </w:r>
    </w:p>
    <w:p>
      <w:pPr>
        <w:pStyle w:val="Normal"/>
        <w:rPr/>
      </w:pPr>
      <w:r>
        <w:rPr/>
        <w:t>基准</w:t>
      </w:r>
      <w:r>
        <w:rPr/>
        <w:t>A830</w:t>
      </w:r>
      <w:r>
        <w:rPr/>
        <w:t>大中华风险因子百分之二十五、上市二〇三三年、峰值</w:t>
      </w:r>
      <w:r>
        <w:rPr/>
        <w:t>3.50</w:t>
      </w:r>
      <w:r>
        <w:rPr/>
        <w:t>亿美元；海外许可分成因子百分之二十三、上市二〇三四年、峰值</w:t>
      </w:r>
      <w:r>
        <w:rPr/>
        <w:t>2.60</w:t>
      </w:r>
      <w:r>
        <w:rPr/>
        <w:t>亿美元。悲观和乐观峰值及因子均另列，伙伴开发与地区注册可能不同步，因此国内外风险不统一。给出这些数值是为了让估值可被反驳，不是说实际临床成功率已经可精确统计。公开合同未取得确切分级分成率，海外收入峰值直接定义为和黄可确认经济收入，保留较大不确定性，不用合同最高额代替销售。</w:t>
      </w:r>
    </w:p>
    <w:p>
      <w:pPr>
        <w:pStyle w:val="Heading2"/>
        <w:rPr/>
      </w:pPr>
      <w:r>
        <w:rPr>
          <w:color w:val="000000"/>
        </w:rPr>
        <w:t xml:space="preserve">九 </w:t>
      </w:r>
      <w:r>
        <w:rPr>
          <w:color w:val="000000"/>
        </w:rPr>
        <w:t>A251 A580</w:t>
      </w:r>
      <w:r>
        <w:rPr>
          <w:color w:val="000000"/>
        </w:rPr>
        <w:t>与平台十年持续性</w:t>
      </w:r>
    </w:p>
    <w:p>
      <w:pPr>
        <w:pStyle w:val="Normal"/>
        <w:rPr/>
      </w:pPr>
      <w:r>
        <w:rPr/>
        <w:t>A251</w:t>
      </w:r>
      <w:r>
        <w:rPr/>
        <w:t>于二〇二五年十二月首位患者给药，</w:t>
      </w:r>
      <w:r>
        <w:rPr/>
        <w:t>A580</w:t>
      </w:r>
      <w:r>
        <w:rPr/>
        <w:t>于二〇二六年三月首位患者给药，两者均是早期</w:t>
      </w:r>
      <w:r>
        <w:rPr/>
        <w:t>ATTC</w:t>
      </w:r>
      <w:r>
        <w:rPr/>
        <w:t>项目。某些研报新闻仍使用“年底首次给药”的说法，与原始公告时间冲突时应优先原件，不能为配合看多叙述而保留过时催化。</w:t>
      </w:r>
      <w:r>
        <w:rPr/>
        <w:t>A251</w:t>
      </w:r>
      <w:r>
        <w:rPr/>
        <w:t>涉及</w:t>
      </w:r>
      <w:r>
        <w:rPr/>
        <w:t>HER2</w:t>
      </w:r>
      <w:r>
        <w:rPr/>
        <w:t>抗体与</w:t>
      </w:r>
      <w:r>
        <w:rPr/>
        <w:t>PI3K/PIKK</w:t>
      </w:r>
      <w:r>
        <w:rPr/>
        <w:t>载荷思路，</w:t>
      </w:r>
      <w:r>
        <w:rPr/>
        <w:t>A580</w:t>
      </w:r>
      <w:r>
        <w:rPr/>
        <w:t>涉及</w:t>
      </w:r>
      <w:r>
        <w:rPr/>
        <w:t>EGFR</w:t>
      </w:r>
      <w:r>
        <w:rPr/>
        <w:t>相关设计；作用机制相近不代表可互换人体成功率、相同肿瘤选择或相同药物分布。模型分别设定不同峰值与因子，不以平台成功把所有候选自动赋值。</w:t>
      </w:r>
    </w:p>
    <w:p>
      <w:pPr>
        <w:pStyle w:val="Normal"/>
        <w:rPr/>
      </w:pPr>
      <w:r>
        <w:rPr/>
        <w:t>基准</w:t>
      </w:r>
      <w:r>
        <w:rPr/>
        <w:t>A251</w:t>
      </w:r>
      <w:r>
        <w:rPr/>
        <w:t>与</w:t>
      </w:r>
      <w:r>
        <w:rPr/>
        <w:t>A580</w:t>
      </w:r>
      <w:r>
        <w:rPr/>
        <w:t>均预计二〇三四年商业起点，风险因子分别百分之二十和十八，中国收入峰值分别</w:t>
      </w:r>
      <w:r>
        <w:rPr/>
        <w:t>2.40</w:t>
      </w:r>
      <w:r>
        <w:rPr/>
        <w:t>亿和</w:t>
      </w:r>
      <w:r>
        <w:rPr/>
        <w:t>2.20</w:t>
      </w:r>
      <w:r>
        <w:rPr/>
        <w:t>亿美元；未凭空添加未来</w:t>
      </w:r>
      <w:r>
        <w:rPr/>
        <w:t>BD</w:t>
      </w:r>
      <w:r>
        <w:rPr/>
        <w:t>首付。早期平台可以形成长期研发复利，也可能多个项目共享同一毒性或载荷问题而同时下修。研究应检查抗体靶点、连接与释放特性、可制造性、稳定性和患者分子选择等不同环节。平台价值最好来自跨项目人体结果的可重复性、临床研发速度与真实资本效率，而不是候选数量增长。</w:t>
      </w:r>
    </w:p>
    <w:p>
      <w:pPr>
        <w:pStyle w:val="Normal"/>
        <w:rPr/>
      </w:pPr>
      <w:r>
        <w:rPr/>
        <w:t>十年经营展望关注的是现有产品专利与竞争窗口缩短后，和黄能否持续产出具有全球权益的新产品。成熟呋喹替尼和赛沃替尼可以为平台投资提供现金与信用，但小分子、联合治疗和偶联项目都有替代方案。模型二〇三五年起对成熟核心收入衰减，显式现金流只做到二〇四一年且不加终值。这并非断言公司二〇四二年关闭，而是避免以未经证明的平台无限增长填补估值。若今后多个新项目产生清晰人体收益和盈利，可以延长现金流、提高成功因子；若平台只能维持研发规模而难以商业兑现，长持有期不会自动提高回报。</w:t>
      </w:r>
    </w:p>
    <w:p>
      <w:pPr>
        <w:pStyle w:val="Heading2"/>
        <w:rPr/>
      </w:pPr>
      <w:r>
        <w:rPr>
          <w:color w:val="000000"/>
        </w:rPr>
        <w:t>十 撤市事件对风险控制的启示</w:t>
      </w:r>
    </w:p>
    <w:p>
      <w:pPr>
        <w:pStyle w:val="Normal"/>
        <w:rPr/>
      </w:pPr>
      <w:r>
        <w:rPr/>
        <w:t>TAZVERIK</w:t>
      </w:r>
      <w:r>
        <w:rPr/>
        <w:t>在三月因</w:t>
      </w:r>
      <w:r>
        <w:rPr/>
        <w:t>SYMPHONY-1</w:t>
      </w:r>
      <w:r>
        <w:rPr/>
        <w:t>安全性信息由上市许可持有人全球自愿撤回，和黄停止国内商业与开发。上半年相关收入负五十万美元，反映退货等调整，无形资产全额减值约八百九十四点一万美元。本模型没有任何未来该药收入，也没有以“已经中国批准”给它维持经营峰值。已获批药物仍可能受后续安全性和监管变化影响，这是早期资产之外的真实风险，不能将批准因子为一理解为未来收入确定或不存在极端下行。</w:t>
      </w:r>
    </w:p>
    <w:p>
      <w:pPr>
        <w:pStyle w:val="Normal"/>
        <w:rPr/>
      </w:pPr>
      <w:r>
        <w:rPr/>
        <w:t>该事件还说明</w:t>
      </w:r>
      <w:r>
        <w:rPr/>
        <w:t>license-in</w:t>
      </w:r>
      <w:r>
        <w:rPr/>
        <w:t>产品需考察原开发方的全球药物警戒、责任分配和临床计划。和黄并不独自控制所有研究和监管，但国内权益仍受国外安全信号传导。投资者在模型审阅时要问损失是否只有一次性会计减值，还是收入、研发安排、退货、渠道关系和患者信任都受影响。一次性减值可以在正常经营分析中单列，却不能把真实现金、停销后费用与开发失败完全剔除。未来每个合作资产都应建立类似的失败退出规则。</w:t>
      </w:r>
    </w:p>
    <w:p>
      <w:pPr>
        <w:pStyle w:val="Heading2"/>
        <w:rPr/>
      </w:pPr>
      <w:r>
        <w:rPr>
          <w:color w:val="000000"/>
        </w:rPr>
        <w:t>十一 历史财务 出售收益与经营趋势</w:t>
      </w:r>
    </w:p>
    <w:p>
      <w:pPr>
        <w:pStyle w:val="Normal"/>
        <w:rPr/>
      </w:pPr>
      <w:r>
        <w:rPr/>
        <w:t>二〇二三、二〇二四、二〇二五年美国</w:t>
      </w:r>
      <w:r>
        <w:rPr/>
        <w:t>GAAP</w:t>
      </w:r>
      <w:r>
        <w:rPr/>
        <w:t>收入分别</w:t>
      </w:r>
      <w:r>
        <w:rPr/>
        <w:t>8.37999</w:t>
      </w:r>
      <w:r>
        <w:rPr/>
        <w:t>亿、</w:t>
      </w:r>
      <w:r>
        <w:rPr/>
        <w:t>6.30201</w:t>
      </w:r>
      <w:r>
        <w:rPr/>
        <w:t>亿、</w:t>
      </w:r>
      <w:r>
        <w:rPr/>
        <w:t>5.48512</w:t>
      </w:r>
      <w:r>
        <w:rPr/>
        <w:t>亿美元，归母利润分别</w:t>
      </w:r>
      <w:r>
        <w:rPr/>
        <w:t>1.00780</w:t>
      </w:r>
      <w:r>
        <w:rPr/>
        <w:t>亿、</w:t>
      </w:r>
      <w:r>
        <w:rPr/>
        <w:t>0.37729</w:t>
      </w:r>
      <w:r>
        <w:rPr/>
        <w:t>亿、</w:t>
      </w:r>
      <w:r>
        <w:rPr/>
        <w:t>4.56909</w:t>
      </w:r>
      <w:r>
        <w:rPr/>
        <w:t>亿美元。利润和收入看似分离的原因包括授权收入时间、产品中国调整和资产出售。二〇二五年全年售股收益</w:t>
      </w:r>
      <w:r>
        <w:rPr/>
        <w:t>4.76896</w:t>
      </w:r>
      <w:r>
        <w:rPr/>
        <w:t>亿美元，相关税</w:t>
      </w:r>
      <w:r>
        <w:rPr/>
        <w:t>0.61133</w:t>
      </w:r>
      <w:r>
        <w:rPr/>
        <w:t>亿美元；二〇二五年上半年的出售收益则</w:t>
      </w:r>
      <w:r>
        <w:rPr/>
        <w:t>4.77456</w:t>
      </w:r>
      <w:r>
        <w:rPr/>
        <w:t>亿美元，不能把半年金额用于全年同一桥。出售所得改善现金资源，却不生成可以多年按</w:t>
      </w:r>
      <w:r>
        <w:rPr/>
        <w:t>PE</w:t>
      </w:r>
      <w:r>
        <w:rPr/>
        <w:t>资本化的经常性经营利润。</w:t>
      </w:r>
    </w:p>
    <w:p>
      <w:pPr>
        <w:pStyle w:val="Normal"/>
        <w:rPr/>
      </w:pPr>
      <w:r>
        <w:rPr/>
        <w:t>二〇二五年研发</w:t>
      </w:r>
      <w:r>
        <w:rPr/>
        <w:t>1.48295</w:t>
      </w:r>
      <w:r>
        <w:rPr/>
        <w:t>亿美元，低于二〇二四年</w:t>
      </w:r>
      <w:r>
        <w:rPr/>
        <w:t>2.12109</w:t>
      </w:r>
      <w:r>
        <w:rPr/>
        <w:t>亿美元；商业化产品收入</w:t>
      </w:r>
      <w:r>
        <w:rPr/>
        <w:t>2.14356</w:t>
      </w:r>
      <w:r>
        <w:rPr/>
        <w:t>亿美元，低于二〇二四年</w:t>
      </w:r>
      <w:r>
        <w:rPr/>
        <w:t>2.71534</w:t>
      </w:r>
      <w:r>
        <w:rPr/>
        <w:t>亿美元，海外与中国结构均影响结果。二〇二五年经营现金净流出</w:t>
      </w:r>
      <w:r>
        <w:rPr/>
        <w:t>0.64657</w:t>
      </w:r>
      <w:r>
        <w:rPr/>
        <w:t>亿美元，不能因归母利润很高就认为产品业务已经形成相同比例自由现金。同期资产出售的现金在投资活动和短期存款之间流转，也不宜只阅读现金流表的期末现金等价物。分析过去三年需要把已收到的首付、监管里程碑、原资产股息、出售税和药物销售分别归类，才能判断今年的恢复是否可持续。</w:t>
      </w:r>
    </w:p>
    <w:p>
      <w:pPr>
        <w:pStyle w:val="Normal"/>
        <w:rPr/>
      </w:pPr>
      <w:r>
        <w:rPr/>
        <w:t>二〇二六年上半年归母利润</w:t>
      </w:r>
      <w:r>
        <w:rPr/>
        <w:t>0.15928</w:t>
      </w:r>
      <w:r>
        <w:rPr/>
        <w:t>亿美元，上年同期</w:t>
      </w:r>
      <w:r>
        <w:rPr/>
        <w:t>4.54954</w:t>
      </w:r>
      <w:r>
        <w:rPr/>
        <w:t>亿美元，其中上年出售税后收益</w:t>
      </w:r>
      <w:r>
        <w:rPr/>
        <w:t>4.16323</w:t>
      </w:r>
      <w:r>
        <w:rPr/>
        <w:t>亿美元。直接说归母利润暴跌九成多会遗漏基准的特殊性；反过来完全忽略下降也会掩盖曾经联营业务收益减少。公司售出上海和黄四十五个百分点后仅余百分之五，原百分之五十权益带来的经常性联营收益不再保有。现有上市公司有更多现金但少了一部分成熟盈利资产，其价值取决于新增药物投资能否获得更好的风险回报，不能同时保留旧联营全部收益与出售现金。</w:t>
      </w:r>
    </w:p>
    <w:p>
      <w:pPr>
        <w:pStyle w:val="Heading2"/>
        <w:rPr/>
      </w:pPr>
      <w:r>
        <w:rPr>
          <w:color w:val="000000"/>
        </w:rPr>
        <w:t>十二 当前利润桥与毛利率</w:t>
      </w:r>
    </w:p>
    <w:p>
      <w:pPr>
        <w:pStyle w:val="Normal"/>
        <w:rPr/>
      </w:pPr>
      <w:r>
        <w:rPr/>
        <w:t>上半年销售成本</w:t>
      </w:r>
      <w:r>
        <w:rPr/>
        <w:t>1.52158</w:t>
      </w:r>
      <w:r>
        <w:rPr/>
        <w:t>亿美元，收入减成本约</w:t>
      </w:r>
      <w:r>
        <w:rPr/>
        <w:t>1.26129</w:t>
      </w:r>
      <w:r>
        <w:rPr/>
        <w:t>亿美元；研发</w:t>
      </w:r>
      <w:r>
        <w:rPr/>
        <w:t>0.78783</w:t>
      </w:r>
      <w:r>
        <w:rPr/>
        <w:t>亿美元、销售</w:t>
      </w:r>
      <w:r>
        <w:rPr/>
        <w:t>0.14682</w:t>
      </w:r>
      <w:r>
        <w:rPr/>
        <w:t>亿美元、行政</w:t>
      </w:r>
      <w:r>
        <w:rPr/>
        <w:t>0.31795</w:t>
      </w:r>
      <w:r>
        <w:rPr/>
        <w:t>亿美元，经营利润仅八十六点九万美元。核心产品恢复并未使经营系统进入高利润阶段。其他净收益</w:t>
      </w:r>
      <w:r>
        <w:rPr/>
        <w:t>0.12784</w:t>
      </w:r>
      <w:r>
        <w:rPr/>
        <w:t>亿美元，内有存款利息</w:t>
      </w:r>
      <w:r>
        <w:rPr/>
        <w:t>0.26542</w:t>
      </w:r>
      <w:r>
        <w:rPr/>
        <w:t>亿美元、银行利息</w:t>
      </w:r>
      <w:r>
        <w:rPr/>
        <w:t>0.01425</w:t>
      </w:r>
      <w:r>
        <w:rPr/>
        <w:t>亿美元、撤市减值与其他调整。税前利润</w:t>
      </w:r>
      <w:r>
        <w:rPr/>
        <w:t>0.13653</w:t>
      </w:r>
      <w:r>
        <w:rPr/>
        <w:t>亿美元，扣税</w:t>
      </w:r>
      <w:r>
        <w:rPr/>
        <w:t>0.01209</w:t>
      </w:r>
      <w:r>
        <w:rPr/>
        <w:t>亿美元、加联营收益</w:t>
      </w:r>
      <w:r>
        <w:rPr/>
        <w:t>0.03798</w:t>
      </w:r>
      <w:r>
        <w:rPr/>
        <w:t>亿美元、扣少数利润</w:t>
      </w:r>
      <w:r>
        <w:rPr/>
        <w:t>0.00314</w:t>
      </w:r>
      <w:r>
        <w:rPr/>
        <w:t>亿美元后成为归母</w:t>
      </w:r>
      <w:r>
        <w:rPr/>
        <w:t>0.15928</w:t>
      </w:r>
      <w:r>
        <w:rPr/>
        <w:t>亿美元。投资逻辑必须建立在这个接近经营盈亏平衡的真实起点上。</w:t>
      </w:r>
    </w:p>
    <w:p>
      <w:pPr>
        <w:pStyle w:val="Normal"/>
        <w:rPr/>
      </w:pPr>
      <w:r>
        <w:rPr/>
        <w:t>不同收入组毛利差异很大。分销采购再销售规模大，盈利很薄；研发服务可能补偿成本却不形成独占产品利润；推广服务费用随收入同时变化；纯特许权使用费接近高毛利但仍要承担集团研发、行政和税。整体高毛利产品比例提高可产生正经营杠杆，不过公司还在开发新平台，研发也可能快速上升。模型全部销售、行政、研发和其他经营开支扣除，再计算经营自由现金，不把合同收入与股东现金等同。就算新许可收入确认当期增加利润，也必须检查其现金到账、履约负债和未来开发义务。</w:t>
      </w:r>
    </w:p>
    <w:p>
      <w:pPr>
        <w:pStyle w:val="Heading2"/>
        <w:rPr/>
      </w:pPr>
      <w:r>
        <w:rPr>
          <w:color w:val="000000"/>
        </w:rPr>
        <w:t>十三 现金 定期存款与资本结构</w:t>
      </w:r>
    </w:p>
    <w:p>
      <w:pPr>
        <w:pStyle w:val="Normal"/>
        <w:rPr/>
      </w:pPr>
      <w:r>
        <w:rPr/>
        <w:t>六月末现金等价物</w:t>
      </w:r>
      <w:r>
        <w:rPr/>
        <w:t>1.06557</w:t>
      </w:r>
      <w:r>
        <w:rPr/>
        <w:t>亿美元，短期投资</w:t>
      </w:r>
      <w:r>
        <w:rPr/>
        <w:t>12.68260</w:t>
      </w:r>
      <w:r>
        <w:rPr/>
        <w:t>亿美元，合计</w:t>
      </w:r>
      <w:r>
        <w:rPr/>
        <w:t>13.74817</w:t>
      </w:r>
      <w:r>
        <w:rPr/>
        <w:t>亿美元。短期投资主要为九十二至一百八十五天银行存款，并非全部可立即无成本取出。流动资金币种中美元约</w:t>
      </w:r>
      <w:r>
        <w:rPr/>
        <w:t>13.26744</w:t>
      </w:r>
      <w:r>
        <w:rPr/>
        <w:t>亿美元，人民币</w:t>
      </w:r>
      <w:r>
        <w:rPr/>
        <w:t>0.46466</w:t>
      </w:r>
      <w:r>
        <w:rPr/>
        <w:t>亿美元，港币、英镑和其他币种占比很小。银行贷款</w:t>
      </w:r>
      <w:r>
        <w:rPr/>
        <w:t>0.94508</w:t>
      </w:r>
      <w:r>
        <w:rPr/>
        <w:t>亿美元，另有未动用额度</w:t>
      </w:r>
      <w:r>
        <w:rPr/>
        <w:t>0.43038</w:t>
      </w:r>
      <w:r>
        <w:rPr/>
        <w:t>亿美元。净现金规模突出，但需要面对研发、供应链、质量与区域资金转移约束；贷款额度是潜在借款能力，不能直接当现有现金加到股权价值。</w:t>
      </w:r>
    </w:p>
    <w:p>
      <w:pPr>
        <w:pStyle w:val="Normal"/>
        <w:rPr/>
      </w:pPr>
      <w:r>
        <w:rPr/>
        <w:t>合并少数股东权益</w:t>
      </w:r>
      <w:r>
        <w:rPr/>
        <w:t>0.14192</w:t>
      </w:r>
      <w:r>
        <w:rPr/>
        <w:t>亿美元意味着部分资产并不属于上市公司普通股股东。模型为谨慎起见，在六月合并现金锚先预留完整少数账面权益，把归属经济现金起点降至</w:t>
      </w:r>
      <w:r>
        <w:rPr/>
        <w:t>13.60625</w:t>
      </w:r>
      <w:r>
        <w:rPr/>
        <w:t>亿美元；以后现金桥按归属利润和分销少数收益处理。这是一种保守经济归属近似，实际少数权益并非全为现金，也不能说明少数股东可随时要求这部分现金。用完整少数账面权益作为储备避免母公司估值拿走合并全部现金，但最终仍应按子公司资产和合同获取更精确归属。</w:t>
      </w:r>
    </w:p>
    <w:p>
      <w:pPr>
        <w:pStyle w:val="Normal"/>
        <w:rPr/>
      </w:pPr>
      <w:r>
        <w:rPr/>
        <w:t>上半年资产</w:t>
      </w:r>
      <w:r>
        <w:rPr/>
        <w:t>17.36427</w:t>
      </w:r>
      <w:r>
        <w:rPr/>
        <w:t>亿美元、负债</w:t>
      </w:r>
      <w:r>
        <w:rPr/>
        <w:t>4.61459</w:t>
      </w:r>
      <w:r>
        <w:rPr/>
        <w:t>亿美元、母公司权益</w:t>
      </w:r>
      <w:r>
        <w:rPr/>
        <w:t>12.60776</w:t>
      </w:r>
      <w:r>
        <w:rPr/>
        <w:t>亿美元。市值以九月已发行八点七二三三五亿股与现价计算约一百八十九点六五亿港元，按模型七点八港元兑一美元约二十四点三一亿美元；这是简化市值换算，不能用六月股数或</w:t>
      </w:r>
      <w:r>
        <w:rPr/>
        <w:t>ADS</w:t>
      </w:r>
      <w:r>
        <w:rPr/>
        <w:t>倍数替代。现金与市值相比占比较大，所以项目估值不宜忽视资金，但账面权益不自动等于可回收清算价值。应收账款、存货、保证义务、运营连续性以及失败产品退出成本都会影响实际股东回收。</w:t>
      </w:r>
    </w:p>
    <w:p>
      <w:pPr>
        <w:pStyle w:val="Heading2"/>
        <w:rPr/>
      </w:pPr>
      <w:r>
        <w:rPr>
          <w:color w:val="000000"/>
        </w:rPr>
        <w:t>十四 上海和黄售股保证与旧股息应收</w:t>
      </w:r>
    </w:p>
    <w:p>
      <w:pPr>
        <w:pStyle w:val="Normal"/>
        <w:rPr/>
      </w:pPr>
      <w:r>
        <w:rPr/>
        <w:t>上海和黄售出四十五个百分点附带二〇二五至二〇二七年利润保证，六月账面撥备</w:t>
      </w:r>
      <w:r>
        <w:rPr/>
        <w:t>0.83612</w:t>
      </w:r>
      <w:r>
        <w:rPr/>
        <w:t>亿美元，最大责任</w:t>
      </w:r>
      <w:r>
        <w:rPr/>
        <w:t>1.035</w:t>
      </w:r>
      <w:r>
        <w:rPr/>
        <w:t>亿美元；年末前一期账面</w:t>
      </w:r>
      <w:r>
        <w:rPr/>
        <w:t>0.79957</w:t>
      </w:r>
      <w:r>
        <w:rPr/>
        <w:t>亿美元。该责任不能与银行贷款混为一项，也不能因为已经在账面形成撥备便认为不会未来付款。模型悲观、基准、乐观在二〇二八年分别付</w:t>
      </w:r>
      <w:r>
        <w:rPr/>
        <w:t>1.035</w:t>
      </w:r>
      <w:r>
        <w:rPr/>
        <w:t>亿、</w:t>
      </w:r>
      <w:r>
        <w:rPr/>
        <w:t>0.83612</w:t>
      </w:r>
      <w:r>
        <w:rPr/>
        <w:t>亿、</w:t>
      </w:r>
      <w:r>
        <w:rPr/>
        <w:t>0.40</w:t>
      </w:r>
      <w:r>
        <w:rPr/>
        <w:t>亿美元，目标日前尚未支付的部分折现单独扣除，付款后从现金减少并不再扣同一债务，避免两次惩罚。</w:t>
      </w:r>
    </w:p>
    <w:p>
      <w:pPr>
        <w:pStyle w:val="Normal"/>
        <w:rPr/>
      </w:pPr>
      <w:r>
        <w:rPr/>
        <w:t>旧上海和黄应收股息</w:t>
      </w:r>
      <w:r>
        <w:rPr/>
        <w:t>0.44021</w:t>
      </w:r>
      <w:r>
        <w:rPr/>
        <w:t>亿美元，公告规定不迟于二〇二八年十二月三十一日收取。现金预算悲观在二〇二七年收</w:t>
      </w:r>
      <w:r>
        <w:rPr/>
        <w:t>0.10</w:t>
      </w:r>
      <w:r>
        <w:rPr/>
        <w:t>亿、二〇二八年</w:t>
      </w:r>
      <w:r>
        <w:rPr/>
        <w:t>0.34021</w:t>
      </w:r>
      <w:r>
        <w:rPr/>
        <w:t>亿美元；基准</w:t>
      </w:r>
      <w:r>
        <w:rPr/>
        <w:t>0.15</w:t>
      </w:r>
      <w:r>
        <w:rPr/>
        <w:t>亿和</w:t>
      </w:r>
      <w:r>
        <w:rPr/>
        <w:t>0.29021</w:t>
      </w:r>
      <w:r>
        <w:rPr/>
        <w:t>亿；乐观</w:t>
      </w:r>
      <w:r>
        <w:rPr/>
        <w:t>0.20</w:t>
      </w:r>
      <w:r>
        <w:rPr/>
        <w:t>亿和</w:t>
      </w:r>
      <w:r>
        <w:rPr/>
        <w:t>0.24021</w:t>
      </w:r>
      <w:r>
        <w:rPr/>
        <w:t>亿。所有情景在二〇二八年收齐，不能错误延至二〇二九年。该应收来自历史盈利已确认权益，不再作为未来收入或全联营估值加一次。余百分之五持股的未来经济收益单独进入经营现金，并没有把原百分之五十完整收益留在模型。</w:t>
      </w:r>
    </w:p>
    <w:p>
      <w:pPr>
        <w:pStyle w:val="Heading2"/>
        <w:rPr/>
      </w:pPr>
      <w:r>
        <w:rPr>
          <w:color w:val="000000"/>
        </w:rPr>
        <w:t>十五 经营现金质量与研发现金跑道</w:t>
      </w:r>
    </w:p>
    <w:p>
      <w:pPr>
        <w:pStyle w:val="Normal"/>
        <w:rPr/>
      </w:pPr>
      <w:r>
        <w:rPr/>
        <w:t>上半年</w:t>
      </w:r>
      <w:r>
        <w:rPr/>
        <w:t>GAAP</w:t>
      </w:r>
      <w:r>
        <w:rPr/>
        <w:t>经营现金流</w:t>
      </w:r>
      <w:r>
        <w:rPr/>
        <w:t>0.12223</w:t>
      </w:r>
      <w:r>
        <w:rPr/>
        <w:t>亿美元，上年同期负</w:t>
      </w:r>
      <w:r>
        <w:rPr/>
        <w:t>0.72894</w:t>
      </w:r>
      <w:r>
        <w:rPr/>
        <w:t>亿美元。当前净利润经折旧</w:t>
      </w:r>
      <w:r>
        <w:rPr/>
        <w:t>0.07072</w:t>
      </w:r>
      <w:r>
        <w:rPr/>
        <w:t>亿美元、减值</w:t>
      </w:r>
      <w:r>
        <w:rPr/>
        <w:t>0.08941</w:t>
      </w:r>
      <w:r>
        <w:rPr/>
        <w:t>亿美元、期权酬金</w:t>
      </w:r>
      <w:r>
        <w:rPr/>
        <w:t>0.00971</w:t>
      </w:r>
      <w:r>
        <w:rPr/>
        <w:t>亿美元、长期奖励</w:t>
      </w:r>
      <w:r>
        <w:rPr/>
        <w:t>0.03991</w:t>
      </w:r>
      <w:r>
        <w:rPr/>
        <w:t>亿美元等调整，并受股息收取、权益收益回冲、使用权与营运资金影响。营运资金合计占用约</w:t>
      </w:r>
      <w:r>
        <w:rPr/>
        <w:t>0.29895</w:t>
      </w:r>
      <w:r>
        <w:rPr/>
        <w:t>亿美元，递延收入变动亦较大。现金改善不能全部归产品收入和利润，旧资产股息与已递延的许可收入对经营现金和合并利润可能发生不同时间影响。公司管理层非</w:t>
      </w:r>
      <w:r>
        <w:rPr/>
        <w:t>GAAP</w:t>
      </w:r>
      <w:r>
        <w:rPr/>
        <w:t>现金流口径还剔除定存本金流转，引用时不替代</w:t>
      </w:r>
      <w:r>
        <w:rPr/>
        <w:t>GAAP</w:t>
      </w:r>
      <w:r>
        <w:rPr/>
        <w:t>经营现金。</w:t>
      </w:r>
    </w:p>
    <w:p>
      <w:pPr>
        <w:pStyle w:val="Normal"/>
        <w:rPr/>
      </w:pPr>
      <w:r>
        <w:rPr/>
        <w:t>现金跑道不能简单将十三亿多美元除以上半年研发乘二。公司同时有产品毛利、服务收入、研发开支、资本投入、股权奖励与债务偿付；利息收入随现金与利率变化，授权首付不必重复。基准模型二〇二六至二〇二八经营自由现金仍为负，二〇二九转正；目标现金仍高，靠起始储备、许可现金及后期经营增长维持。若收入未扩张而研发继续扩大，现金可被长期消耗，最终仍需融资或项目重整。现金储备给予选择时间，真正价值来自选择效率，不是每年支出预算越大越好。</w:t>
      </w:r>
    </w:p>
    <w:p>
      <w:pPr>
        <w:pStyle w:val="Heading2"/>
        <w:rPr/>
      </w:pPr>
      <w:r>
        <w:rPr>
          <w:color w:val="000000"/>
        </w:rPr>
        <w:t>十六 股权激励 稀释与分红</w:t>
      </w:r>
    </w:p>
    <w:p>
      <w:pPr>
        <w:pStyle w:val="Normal"/>
        <w:rPr/>
      </w:pPr>
      <w:r>
        <w:rPr/>
        <w:t>九月月报已发行八亿七千二百三十三万五千一百二十股、库存股零；</w:t>
      </w:r>
      <w:r>
        <w:rPr/>
        <w:t>H1</w:t>
      </w:r>
      <w:r>
        <w:rPr/>
        <w:t>基本平均股数八亿六千五百七十七万〇四百九十八、摊薄八亿七千二百八十六万九千四百九十四。受托人持有三百二十六万四千二百八十一股，在会计</w:t>
      </w:r>
      <w:r>
        <w:rPr/>
        <w:t>EPS</w:t>
      </w:r>
      <w:r>
        <w:rPr/>
        <w:t>计算中与法律已发行股有不同处理。不能看见库存股零就认为受托股票不存在，也不能将其全量再次从法律普通股目标分母扣掉而抬高估值。模型使用未来稀释普通股路径，明确不把半年平均</w:t>
      </w:r>
      <w:r>
        <w:rPr/>
        <w:t>EPS</w:t>
      </w:r>
      <w:r>
        <w:rPr/>
        <w:t>分母当作永久目标股数。</w:t>
      </w:r>
    </w:p>
    <w:p>
      <w:pPr>
        <w:pStyle w:val="Normal"/>
        <w:rPr/>
      </w:pPr>
      <w:r>
        <w:rPr/>
        <w:t>九月旧计划尚未行使期权二千二百八十六万八千八百九十七，新计划授权四千三百六十一万六千七百五十六股。授权额度不是全部已授出，更不是当月新增发行，不能全加到当前股数制造虚假稀释。未来期权发行需结合行使价、归属与业绩条件。长期奖励可能由受托人现金购买已有股份，造成现金成本而不必增加法律股数；因此模型保留全部酬金经营费用，现金桥先加回非现金</w:t>
      </w:r>
      <w:r>
        <w:rPr/>
        <w:t>SBC</w:t>
      </w:r>
      <w:r>
        <w:rPr/>
        <w:t>再扣百分之八十对应购买现金预算。这个比例是研究估计，并非具体合约已支付比例；期权未来发行与既有股购买分别处理。</w:t>
      </w:r>
    </w:p>
    <w:p>
      <w:pPr>
        <w:pStyle w:val="Normal"/>
        <w:rPr/>
      </w:pPr>
      <w:r>
        <w:rPr/>
        <w:t>目前无中期或年度现金分红承诺。模型只有后期经营现金建立后才假设小额分红，基准二〇二九年度</w:t>
      </w:r>
      <w:r>
        <w:rPr/>
        <w:t>0.015</w:t>
      </w:r>
      <w:r>
        <w:rPr/>
        <w:t>港元在二〇三〇年七月支付、二〇三〇年度</w:t>
      </w:r>
      <w:r>
        <w:rPr/>
        <w:t>0.025</w:t>
      </w:r>
      <w:r>
        <w:rPr/>
        <w:t>在二〇三一年七月支付，所以五年累计</w:t>
      </w:r>
      <w:r>
        <w:rPr/>
        <w:t>0.040</w:t>
      </w:r>
      <w:r>
        <w:rPr/>
        <w:t>港元，三年零。所有分红是假设，不应当成即将派息消息。对进取投资者，当前收益主要来自产品价值变化与估值识别；若现金大量用于低收益研发，未来分红不足也会削弱股东兑现。回购若出现，应同时更新现金和股数，不只删除分母而保留原现金。</w:t>
      </w:r>
    </w:p>
    <w:p>
      <w:pPr>
        <w:pStyle w:val="Heading2"/>
        <w:rPr/>
      </w:pPr>
      <w:r>
        <w:rPr>
          <w:color w:val="000000"/>
        </w:rPr>
        <w:t>十七 利率 汇率 医保与宏观传导</w:t>
      </w:r>
    </w:p>
    <w:p>
      <w:pPr>
        <w:pStyle w:val="Normal"/>
        <w:rPr/>
      </w:pPr>
      <w:r>
        <w:rPr/>
        <w:t>和黄持有大量美元存款，美元利率下降会减少财务收益，却可能降低创新药远期现金流折现率；两种影响方向不同。模型存款收益率悲观百分之二点五、基准三、乐观三点五，未来利息进入现金与正常利润，绝不再进入业务现金流估值，避免既加现金又将同一现金利息资本化。贷款利息随本金余额下降，二〇三三年以后债务清零时停止扣除。不能一面说净现金公司受降息完全受益，一面用历史高存款利息永久支撑利润。</w:t>
      </w:r>
    </w:p>
    <w:p>
      <w:pPr>
        <w:pStyle w:val="Normal"/>
        <w:rPr/>
      </w:pPr>
      <w:r>
        <w:rPr/>
        <w:t>中国产品和大部分研发支出受人民币计价影响，合并报表为美元，港股股价为港币。本章目标换算七点八港币兑一美元属于固定研究假设，美元与港币联系汇率下的小幅变动和港币兑人民币敏感性分别处理。人民币相对港币升值时，内地投资者将港币投资转回人民币的回报下降，人民币贬值则相反。例如港币资产含息回报为五年基准约百分之三十二点九一，港币兑人民币下降百分之十时人民币总回报约百分之十九点六二，上升百分之十则约百分之四十六点二〇。这是投资换算，不替代公司人民币经营利润折算的变化。</w:t>
      </w:r>
    </w:p>
    <w:p>
      <w:pPr>
        <w:pStyle w:val="Normal"/>
        <w:rPr/>
      </w:pPr>
      <w:r>
        <w:rPr/>
        <w:t>医保纳入可以扩患者与处方持续时间，但常伴价格谈判，患者量与收入未必同幅。分子检测普及是精准肿瘤药的重要前提，若测试不足或医疗预算紧张，高临床价值仍可能转化缓慢。海外定价受保险支付、健康技术评估与伙伴执行影响，境外获批到实际报销之间可能有较长间隔。中国经济前景对创新药的作用更多通过公共支付、居民自付、医院预算和研发融资；并非像耐用品消费按收入弹性简单上升。政策鼓励创新也不能替代对每种药患者支付与竞争方案的判断。</w:t>
      </w:r>
    </w:p>
    <w:p>
      <w:pPr>
        <w:pStyle w:val="Normal"/>
        <w:rPr/>
      </w:pPr>
      <w:r>
        <w:rPr/>
        <w:t>美国对跨境医药的监管、制造、数据与支付政策可能影响伙伴许可价值、供应链与上市时点。和黄存在全球已商业化产品，意味着风险较纯内需药企复杂；同时通过跨国伙伴降低自建渠道成本。关税或产地规则的最终适用、第三方供应和质量检查应依公开具体政策更新，不将任何新闻标题直接转成所有海外收入归零。融资环境改善有利行业估值，也会增加竞品开发资源。行业周期转暖可以提升风险偏好，临床真实优势仍决定多年经营持续性。</w:t>
      </w:r>
    </w:p>
    <w:p>
      <w:pPr>
        <w:pStyle w:val="Heading2"/>
        <w:rPr/>
      </w:pPr>
      <w:r>
        <w:rPr>
          <w:color w:val="000000"/>
        </w:rPr>
        <w:t>十八 日线与长期均线的位置</w:t>
      </w:r>
    </w:p>
    <w:p>
      <w:pPr>
        <w:pStyle w:val="Normal"/>
        <w:rPr/>
      </w:pPr>
      <w:r>
        <w:rPr/>
        <w:t>技术数据覆盖七百三十九个真实日记录、聚合一百五十七周；一根原始</w:t>
      </w:r>
      <w:r>
        <w:rPr/>
        <w:t>OHLC</w:t>
      </w:r>
      <w:r>
        <w:rPr/>
        <w:t>异常已核验修复，成交量单位为股。十月九日开</w:t>
      </w:r>
      <w:r>
        <w:rPr/>
        <w:t>21.62</w:t>
      </w:r>
      <w:r>
        <w:rPr/>
        <w:t>、高</w:t>
      </w:r>
      <w:r>
        <w:rPr/>
        <w:t>21.82</w:t>
      </w:r>
      <w:r>
        <w:rPr/>
        <w:t>、低</w:t>
      </w:r>
      <w:r>
        <w:rPr/>
        <w:t>21.12</w:t>
      </w:r>
      <w:r>
        <w:rPr/>
        <w:t>、收</w:t>
      </w:r>
      <w:r>
        <w:rPr/>
        <w:t>21.74</w:t>
      </w:r>
      <w:r>
        <w:rPr/>
        <w:t>港元，当日约涨百分之〇点七四。二十、六十、一百二十、二百五十日均线</w:t>
      </w:r>
      <w:r>
        <w:rPr/>
        <w:t>21.991</w:t>
      </w:r>
      <w:r>
        <w:rPr/>
        <w:t>、</w:t>
      </w:r>
      <w:r>
        <w:rPr/>
        <w:t>20.201667</w:t>
      </w:r>
      <w:r>
        <w:rPr/>
        <w:t>、</w:t>
      </w:r>
      <w:r>
        <w:rPr/>
        <w:t>19.48675</w:t>
      </w:r>
      <w:r>
        <w:rPr/>
        <w:t>、</w:t>
      </w:r>
      <w:r>
        <w:rPr/>
        <w:t>21.2798</w:t>
      </w:r>
      <w:r>
        <w:rPr/>
        <w:t>，现价分别低百分之一点一四、高七点六一、高十一点五六、高二点一六。短线落于二十日之下，但中期仍在六十和一百二十日之上，是反弹后的整理位置，尚不能单凭一根小阳线认定突破。</w:t>
      </w:r>
    </w:p>
    <w:p>
      <w:pPr>
        <w:pStyle w:val="Normal"/>
        <w:rPr/>
      </w:pPr>
      <w:r>
        <w:rPr/>
        <w:t>五日间均线斜率二十日约正百分之〇点二〇、六十日正一点七四，一百二十日负〇点四三、二百五十日负〇点二七。中期均线走升与长期均线尚未完全转向并存，提示趋势修复有层次。二十日、六十日股价回报约正百分之三点三三、十七点二〇，一百二十日负十二点〇六、二百五十日负十五点七四。近期较强不抹去较长窗口的亏损持仓压力，靠近年线也可能吸引早期套牢盘退出。量能与后续基本面验证决定反弹是否延续。</w:t>
      </w:r>
    </w:p>
    <w:p>
      <w:pPr>
        <w:pStyle w:val="Normal"/>
        <w:rPr/>
      </w:pPr>
      <w:r>
        <w:rPr/>
        <w:t>过去五十二周日线高</w:t>
      </w:r>
      <w:r>
        <w:rPr/>
        <w:t>26.00</w:t>
      </w:r>
      <w:r>
        <w:rPr/>
        <w:t>、低</w:t>
      </w:r>
      <w:r>
        <w:rPr/>
        <w:t>15.57</w:t>
      </w:r>
      <w:r>
        <w:rPr/>
        <w:t>港元，窗口最大回撤约百分之三十八点六四。现价离高点约低百分之十六点三八，离低点约高百分之三十九点六三；已经从低位恢复很多，不能仍按“历史底部附近”描述。最大回撤来自已有样本，只描述过去路径，不是未来最大亏损限制。二十日区间支撑</w:t>
      </w:r>
      <w:r>
        <w:rPr/>
        <w:t>20.00</w:t>
      </w:r>
      <w:r>
        <w:rPr/>
        <w:t>港元，离现价约负百分之八点〇〇；阻力</w:t>
      </w:r>
      <w:r>
        <w:rPr/>
        <w:t>23.56</w:t>
      </w:r>
      <w:r>
        <w:rPr/>
        <w:t>港元，向上约百分之八点三七。六十日低位</w:t>
      </w:r>
      <w:r>
        <w:rPr/>
        <w:t>16.61</w:t>
      </w:r>
      <w:r>
        <w:rPr/>
        <w:t>可作次级观察，但价格停留于旧低上方不形成基本面价值保证。</w:t>
      </w:r>
    </w:p>
    <w:p>
      <w:pPr>
        <w:pStyle w:val="Heading2"/>
        <w:rPr/>
      </w:pPr>
      <w:r>
        <w:rPr>
          <w:color w:val="000000"/>
        </w:rPr>
        <w:t>十九 成交量 成交额及涨跌日差异</w:t>
      </w:r>
    </w:p>
    <w:p>
      <w:pPr>
        <w:pStyle w:val="Normal"/>
        <w:rPr/>
      </w:pPr>
      <w:r>
        <w:rPr/>
        <w:t>十月九日成交二百一十九万九千九百一十四股，成交额四千七百三十五万三千八百七十九港元。五、二十、六十日平均成交量分别二百二十二点四二、四百七十一点五六、五百二十一点八二万股，当前量相对前二十日均量约〇点四五。缩量小幅反弹显示当日交易参与有限，不等于卖压完全消失；此前事件放量会抬高二十日比较基准，量比需要结合事件窗口。不能把数据商“手”数不经换算当成股数，也不能据成交额除以一个收盘价声称精确实际换手。</w:t>
      </w:r>
    </w:p>
    <w:p>
      <w:pPr>
        <w:pStyle w:val="Normal"/>
        <w:rPr/>
      </w:pPr>
      <w:r>
        <w:rPr/>
        <w:t>近二十日上涨十天、下跌十天，涨日累计五千四百二十三点二九万股、跌日四千〇〇七点八四万股，比例约一点三五。两侧天数相同，因此平均涨量也较高，提供温和的量价支持。但这仍是按收盘方向分类，不含日内回转、买卖主体与订单来源，不能推断某类资金净买入，尤其不能断言“主力吸筹”。十月九日低量未证实新一轮需求，若突破</w:t>
      </w:r>
      <w:r>
        <w:rPr/>
        <w:t>23.56</w:t>
      </w:r>
      <w:r>
        <w:rPr/>
        <w:t>时成交持续高于二十日均量且回踩保持，技术证据才增强；单日巨量也可能是派发或消息冲击，要看后续价格承接。</w:t>
      </w:r>
    </w:p>
    <w:p>
      <w:pPr>
        <w:pStyle w:val="Normal"/>
        <w:rPr/>
      </w:pPr>
      <w:r>
        <w:rPr/>
        <w:t>以九月法律已发行股粗算，当日交易量占总股数约百分之〇点二五二；这个计算未扣大股东、受托持股与实际自由流通变化，不作为精确自由流通换手率。流动性与市场深度对进取组合很重要，临床事件的隔夜跳空可能超过常规</w:t>
      </w:r>
      <w:r>
        <w:rPr/>
        <w:t>ATR</w:t>
      </w:r>
      <w:r>
        <w:rPr/>
        <w:t>和计划止损幅度。成交均量较大的时期未必价格趋势更可靠，应区分事件集中交易和常态参与。没有逐笔成交数据时，本研究不绘制声称精确的成交量分布或筹码成本峰，历史价格密集区也只能作为观察。</w:t>
      </w:r>
    </w:p>
    <w:p>
      <w:pPr>
        <w:pStyle w:val="Heading2"/>
        <w:rPr/>
      </w:pPr>
      <w:r>
        <w:rPr>
          <w:color w:val="000000"/>
        </w:rPr>
        <w:t>二十 周线 相对强弱与辅助指标</w:t>
      </w:r>
    </w:p>
    <w:p>
      <w:pPr>
        <w:pStyle w:val="Normal"/>
        <w:rPr/>
      </w:pPr>
      <w:r>
        <w:rPr/>
        <w:t>周线二十、六十、一百二十周均线</w:t>
      </w:r>
      <w:r>
        <w:rPr/>
        <w:t>19.15</w:t>
      </w:r>
      <w:r>
        <w:rPr/>
        <w:t>、</w:t>
      </w:r>
      <w:r>
        <w:rPr/>
        <w:t>21.782</w:t>
      </w:r>
      <w:r>
        <w:rPr/>
        <w:t>、</w:t>
      </w:r>
      <w:r>
        <w:rPr/>
        <w:t>23.83425</w:t>
      </w:r>
      <w:r>
        <w:rPr/>
        <w:t>港元，二百五十周均线缺失，现有一百五十七周不足，不补造更长记录。二十周斜率正百分之一点三四，六十、一百二十周负一点八二与一点二七，说明中期恢复但长周期上方压力仍存。周收盘聚合的五十二周高约</w:t>
      </w:r>
      <w:r>
        <w:rPr/>
        <w:t>25.58</w:t>
      </w:r>
      <w:r>
        <w:rPr/>
        <w:t>与日线</w:t>
      </w:r>
      <w:r>
        <w:rPr/>
        <w:t>OHLC</w:t>
      </w:r>
      <w:r>
        <w:rPr/>
        <w:t>高</w:t>
      </w:r>
      <w:r>
        <w:rPr/>
        <w:t>26.00</w:t>
      </w:r>
      <w:r>
        <w:rPr/>
        <w:t>不同，来自采样和窗口口径，不能混为同一数值。周线较长趋势还要等待对</w:t>
      </w:r>
      <w:r>
        <w:rPr/>
        <w:t>23.8</w:t>
      </w:r>
      <w:r>
        <w:rPr/>
        <w:t>附近区域的持续收复，单一日线突破不自动改变周线结构。</w:t>
      </w:r>
    </w:p>
    <w:p>
      <w:pPr>
        <w:pStyle w:val="Normal"/>
        <w:rPr/>
      </w:pPr>
      <w:r>
        <w:rPr/>
        <w:t>周成交五、二十、六十周均量约二千三百一十四点六四、二千二百五十八点六六、二千五百五十四点四四万股；最近二十周上涨十周下跌十周，累计涨跌量比约一点四一。周线确认的节奏慢于日线，但可以过滤若干单日新闻噪声。若今后多周保持二十周均线上方、上涨周成交优于调整周并逐渐收复六十周线，改善逻辑才更完整。反之，放量跌回</w:t>
      </w:r>
      <w:r>
        <w:rPr/>
        <w:t>19.15</w:t>
      </w:r>
      <w:r>
        <w:rPr/>
        <w:t>附近或六十日线下方，同时盈利与临床预期下修，会使本章半年技术判断失效。</w:t>
      </w:r>
    </w:p>
    <w:p>
      <w:pPr>
        <w:pStyle w:val="Normal"/>
        <w:rPr/>
      </w:pPr>
      <w:r>
        <w:rPr/>
        <w:t>相对恒生指数，二十日超额约六点三〇个百分点、六十日二十点三八个百分点；相对港股通创新药指数</w:t>
      </w:r>
      <w:r>
        <w:rPr/>
        <w:t>987018</w:t>
      </w:r>
      <w:r>
        <w:rPr/>
        <w:t>粗参考，分别二点四五与二十点四二个百分点。行业指数目前仅官方单来源价格，量数据禁用，不能当完全交叉核验的精确同行强度。指数成分、公司市值、业务阶段不同也影响比较。相对强弱改善可反映资金对事件预期的认可，却不证明基本价值增长相同比例；行业资金流转与风险偏好变化可能独立于单家公司销售。</w:t>
      </w:r>
    </w:p>
    <w:p>
      <w:pPr>
        <w:pStyle w:val="Normal"/>
        <w:rPr/>
      </w:pPr>
      <w:r>
        <w:rPr/>
        <w:t>日</w:t>
      </w:r>
      <w:r>
        <w:rPr/>
        <w:t>RSI</w:t>
      </w:r>
      <w:r>
        <w:rPr/>
        <w:t>约</w:t>
      </w:r>
      <w:r>
        <w:rPr/>
        <w:t>50.72</w:t>
      </w:r>
      <w:r>
        <w:rPr/>
        <w:t>，处中性附近；</w:t>
      </w:r>
      <w:r>
        <w:rPr/>
        <w:t>MACD</w:t>
      </w:r>
      <w:r>
        <w:rPr/>
        <w:t>的</w:t>
      </w:r>
      <w:r>
        <w:rPr/>
        <w:t>DIF</w:t>
      </w:r>
      <w:r>
        <w:rPr/>
        <w:t>约</w:t>
      </w:r>
      <w:r>
        <w:rPr/>
        <w:t>0.41269</w:t>
      </w:r>
      <w:r>
        <w:rPr/>
        <w:t>、</w:t>
      </w:r>
      <w:r>
        <w:rPr/>
        <w:t>DEA0.56152</w:t>
      </w:r>
      <w:r>
        <w:rPr/>
        <w:t>、柱值负</w:t>
      </w:r>
      <w:r>
        <w:rPr/>
        <w:t>0.29767</w:t>
      </w:r>
      <w:r>
        <w:rPr/>
        <w:t>，短动能回落，未呈强烈持续上攻。日</w:t>
      </w:r>
      <w:r>
        <w:rPr/>
        <w:t>ATR</w:t>
      </w:r>
      <w:r>
        <w:rPr/>
        <w:t>约</w:t>
      </w:r>
      <w:r>
        <w:rPr/>
        <w:t>0.90177</w:t>
      </w:r>
      <w:r>
        <w:rPr/>
        <w:t>港元、占现价百分之四点一五；周</w:t>
      </w:r>
      <w:r>
        <w:rPr/>
        <w:t>RSI55.60</w:t>
      </w:r>
      <w:r>
        <w:rPr/>
        <w:t>、周</w:t>
      </w:r>
      <w:r>
        <w:rPr/>
        <w:t>ATR1.89434</w:t>
      </w:r>
      <w:r>
        <w:rPr/>
        <w:t>港元约百分之八点七一，周</w:t>
      </w:r>
      <w:r>
        <w:rPr/>
        <w:t>MACD</w:t>
      </w:r>
      <w:r>
        <w:rPr/>
        <w:t>柱仍为正。日弱周修复可以同时成立，不必选一个指标否定另一个。</w:t>
      </w:r>
      <w:r>
        <w:rPr/>
        <w:t>RSI</w:t>
      </w:r>
      <w:r>
        <w:rPr/>
        <w:t>、</w:t>
      </w:r>
      <w:r>
        <w:rPr/>
        <w:t>MACD</w:t>
      </w:r>
      <w:r>
        <w:rPr/>
        <w:t>和均线高度相关，只作辅助，不分别重复加分。</w:t>
      </w:r>
      <w:r>
        <w:rPr/>
        <w:t>ATR</w:t>
      </w:r>
      <w:r>
        <w:rPr/>
        <w:t>是过去振幅尺度，不是置信区间，临床消息引发的跳空可显著超出它。</w:t>
      </w:r>
    </w:p>
    <w:p>
      <w:pPr>
        <w:pStyle w:val="Heading2"/>
        <w:rPr/>
      </w:pPr>
      <w:r>
        <w:rPr>
          <w:color w:val="000000"/>
        </w:rPr>
        <w:t>二十一 半年操作观察区间与失效条件</w:t>
      </w:r>
    </w:p>
    <w:p>
      <w:pPr>
        <w:pStyle w:val="Normal"/>
        <w:rPr/>
      </w:pPr>
      <w:r>
        <w:rPr/>
        <w:t>半年重点是截止后大会数据、监管递交后续、</w:t>
      </w:r>
      <w:r>
        <w:rPr/>
        <w:t>GSK</w:t>
      </w:r>
      <w:r>
        <w:rPr/>
        <w:t>交割和销售恢复带来的预期重估。观察区间先取</w:t>
      </w:r>
      <w:r>
        <w:rPr/>
        <w:t>20.00</w:t>
      </w:r>
      <w:r>
        <w:rPr/>
        <w:t>至</w:t>
      </w:r>
      <w:r>
        <w:rPr/>
        <w:t>23.56</w:t>
      </w:r>
      <w:r>
        <w:rPr/>
        <w:t>港元，当前约</w:t>
      </w:r>
      <w:r>
        <w:rPr/>
        <w:t>21.74</w:t>
      </w:r>
      <w:r>
        <w:rPr/>
        <w:t>处其中部。靠近支撑时是否缩量止跌、回到二十日线能否伴随成交恢复，比盲目把区间上沿当必达目标更有用。突破</w:t>
      </w:r>
      <w:r>
        <w:rPr/>
        <w:t>23.56</w:t>
      </w:r>
      <w:r>
        <w:rPr/>
        <w:t>后还存在</w:t>
      </w:r>
      <w:r>
        <w:rPr/>
        <w:t>23.8</w:t>
      </w:r>
      <w:r>
        <w:rPr/>
        <w:t>附近周线压力和</w:t>
      </w:r>
      <w:r>
        <w:rPr/>
        <w:t>26.00</w:t>
      </w:r>
      <w:r>
        <w:rPr/>
        <w:t>阶段高点，观察层级不能省略。若消息利好但股价放量冲高后迅速跌回区间，可能反映利好已被提前计价，应重新审查估值而不是仅将技术术语改成“洗盘”。</w:t>
      </w:r>
    </w:p>
    <w:p>
      <w:pPr>
        <w:pStyle w:val="Normal"/>
        <w:rPr/>
      </w:pPr>
      <w:r>
        <w:rPr/>
        <w:t>技术失效可以定义为持续跌破</w:t>
      </w:r>
      <w:r>
        <w:rPr/>
        <w:t>20.00</w:t>
      </w:r>
      <w:r>
        <w:rPr/>
        <w:t>或六十日均线附近、回升时量弱而下跌量持续放大，加上相对指数强度转负；这些是监测条件，不是保证能在</w:t>
      </w:r>
      <w:r>
        <w:rPr/>
        <w:t>20.00</w:t>
      </w:r>
      <w:r>
        <w:rPr/>
        <w:t>无滑点卖出的承诺。基本面失效更重要：</w:t>
      </w:r>
      <w:r>
        <w:rPr/>
        <w:t>SAFFRON</w:t>
      </w:r>
      <w:r>
        <w:rPr/>
        <w:t>完整数据削弱净临床获益、索乐申报质量再次受阻、许可条件不能达成或产品复苏停滞，都可能越过技术支撑直接重估。日周价量分数为三点一，理由是恢复但未完成长趋势突破；没有为高临床催化再把技术分抬至强趋势水平。</w:t>
      </w:r>
    </w:p>
    <w:p>
      <w:pPr>
        <w:pStyle w:val="Heading2"/>
        <w:rPr/>
      </w:pPr>
      <w:r>
        <w:rPr>
          <w:color w:val="000000"/>
        </w:rPr>
        <w:t>二十二 估值结构与单套模型</w:t>
      </w:r>
    </w:p>
    <w:p>
      <w:pPr>
        <w:pStyle w:val="Normal"/>
        <w:rPr/>
      </w:pPr>
      <w:r>
        <w:rPr/>
        <w:t>本模型以每个经济收入组与药物适应症生成二〇二六至二〇四一年显式经营现金流，先计成熟产品、供货和许可毛利，再加风险调整管线毛利，扣全销售、行政、研发及其他经营支出。正经营利润才缴模型税，亏损不自动取得即时现金税收抵免；加折旧、扣资本开支和营运资金，再扣分销经济少数利润、加余百分之五联营经济收益。结果是经营</w:t>
      </w:r>
      <w:r>
        <w:rPr/>
        <w:t>FCFF</w:t>
      </w:r>
      <w:r>
        <w:rPr/>
        <w:t>。存款利息只在现金预算和正常利润中体现，不作为业务</w:t>
      </w:r>
      <w:r>
        <w:rPr/>
        <w:t>FCFF</w:t>
      </w:r>
      <w:r>
        <w:rPr/>
        <w:t>的第二份价值；全部研发保留，不另加同一药物</w:t>
      </w:r>
      <w:r>
        <w:rPr/>
        <w:t>rNPV</w:t>
      </w:r>
      <w:r>
        <w:rPr/>
        <w:t>。</w:t>
      </w:r>
    </w:p>
    <w:p>
      <w:pPr>
        <w:pStyle w:val="Normal"/>
        <w:rPr/>
      </w:pPr>
      <w:r>
        <w:rPr/>
        <w:t>目标股权价值等于目标时点剩余经营</w:t>
      </w:r>
      <w:r>
        <w:rPr/>
        <w:t>FCFF</w:t>
      </w:r>
      <w:r>
        <w:rPr/>
        <w:t>现值加归属经济现金，减银行债及尚未支付的利润保证现值，再除未来摊薄普通股、乘七点八港币兑一美元。没有添加全伙伴市值、全合同里程碑上限或原联营企业全部股权。分销少数利润以薄毛利扣分销专属成本后分配，完全精确的独立子公司预算未公开，因而少数归属是近似而不是未来审计报表。经营现金和目标现金的范围都按经济归属一致处理，不能一处全合并另一处只分母扣少数。</w:t>
      </w:r>
    </w:p>
    <w:p>
      <w:pPr>
        <w:pStyle w:val="Normal"/>
        <w:rPr/>
      </w:pPr>
      <w:r>
        <w:rPr/>
        <w:t>早期风险因子直接减少潜在销售与毛利，上市年、峰值和爬坡另作情景输入；因此不是整个公司成败的统一概率。完整研发成本仍在费用中，失败项目会消耗资源。每个管线从商业第一年峰值的百分之八起，经百分之二十、四十、六十五、八十五走向峰值，再按有限期衰减。核心成熟收入二〇三五年起竞争衰减，二〇四一年之后无终值。风险调整后收入并不是财报预测会出现的某种“概率收入”，而是把成功与失败路径压缩进估值的经济期望工具，应和真实已获批销售分开阅读。</w:t>
      </w:r>
    </w:p>
    <w:p>
      <w:pPr>
        <w:pStyle w:val="Heading2"/>
        <w:rPr/>
      </w:pPr>
      <w:r>
        <w:rPr>
          <w:color w:val="000000"/>
        </w:rPr>
        <w:t>二十三 基准经营路径与估值约束</w:t>
      </w:r>
    </w:p>
    <w:p>
      <w:pPr>
        <w:pStyle w:val="Normal"/>
        <w:rPr/>
      </w:pPr>
      <w:r>
        <w:rPr/>
        <w:t>基准二〇二六至二〇三二收入约</w:t>
      </w:r>
      <w:r>
        <w:rPr/>
        <w:t>4.942</w:t>
      </w:r>
      <w:r>
        <w:rPr/>
        <w:t>、</w:t>
      </w:r>
      <w:r>
        <w:rPr/>
        <w:t>5.797</w:t>
      </w:r>
      <w:r>
        <w:rPr/>
        <w:t>、</w:t>
      </w:r>
      <w:r>
        <w:rPr/>
        <w:t>6.927</w:t>
      </w:r>
      <w:r>
        <w:rPr/>
        <w:t>、</w:t>
      </w:r>
      <w:r>
        <w:rPr/>
        <w:t>8.458</w:t>
      </w:r>
      <w:r>
        <w:rPr/>
        <w:t>、</w:t>
      </w:r>
      <w:r>
        <w:rPr/>
        <w:t>10.229</w:t>
      </w:r>
      <w:r>
        <w:rPr/>
        <w:t>、</w:t>
      </w:r>
      <w:r>
        <w:rPr/>
        <w:t>11.825</w:t>
      </w:r>
      <w:r>
        <w:rPr/>
        <w:t>、</w:t>
      </w:r>
      <w:r>
        <w:rPr/>
        <w:t>13.143</w:t>
      </w:r>
      <w:r>
        <w:rPr/>
        <w:t>亿美元，经营</w:t>
      </w:r>
      <w:r>
        <w:rPr/>
        <w:t>EBIT</w:t>
      </w:r>
      <w:r>
        <w:rPr/>
        <w:t>约负</w:t>
      </w:r>
      <w:r>
        <w:rPr/>
        <w:t>0.881</w:t>
      </w:r>
      <w:r>
        <w:rPr/>
        <w:t>、负</w:t>
      </w:r>
      <w:r>
        <w:rPr/>
        <w:t>0.589</w:t>
      </w:r>
      <w:r>
        <w:rPr/>
        <w:t>、正</w:t>
      </w:r>
      <w:r>
        <w:rPr/>
        <w:t>0.017</w:t>
      </w:r>
      <w:r>
        <w:rPr/>
        <w:t>、</w:t>
      </w:r>
      <w:r>
        <w:rPr/>
        <w:t>0.966</w:t>
      </w:r>
      <w:r>
        <w:rPr/>
        <w:t>、</w:t>
      </w:r>
      <w:r>
        <w:rPr/>
        <w:t>2.122</w:t>
      </w:r>
      <w:r>
        <w:rPr/>
        <w:t>、</w:t>
      </w:r>
      <w:r>
        <w:rPr/>
        <w:t>3.153</w:t>
      </w:r>
      <w:r>
        <w:rPr/>
        <w:t>、</w:t>
      </w:r>
      <w:r>
        <w:rPr/>
        <w:t>3.964</w:t>
      </w:r>
      <w:r>
        <w:rPr/>
        <w:t>亿美元。研发从</w:t>
      </w:r>
      <w:r>
        <w:rPr/>
        <w:t>1.65</w:t>
      </w:r>
      <w:r>
        <w:rPr/>
        <w:t>亿美元增加到</w:t>
      </w:r>
      <w:r>
        <w:rPr/>
        <w:t>2.65</w:t>
      </w:r>
      <w:r>
        <w:rPr/>
        <w:t>亿美元，并没有假设新平台获得授权后研发支出下降为零。经营</w:t>
      </w:r>
      <w:r>
        <w:rPr/>
        <w:t>FCFF</w:t>
      </w:r>
      <w:r>
        <w:rPr/>
        <w:t>在二〇二六至二〇二八分别约负</w:t>
      </w:r>
      <w:r>
        <w:rPr/>
        <w:t>0.926</w:t>
      </w:r>
      <w:r>
        <w:rPr/>
        <w:t>、负</w:t>
      </w:r>
      <w:r>
        <w:rPr/>
        <w:t>0.689</w:t>
      </w:r>
      <w:r>
        <w:rPr/>
        <w:t>、负</w:t>
      </w:r>
      <w:r>
        <w:rPr/>
        <w:t>0.131</w:t>
      </w:r>
      <w:r>
        <w:rPr/>
        <w:t>亿美元，二〇二九约正</w:t>
      </w:r>
      <w:r>
        <w:rPr/>
        <w:t>0.618</w:t>
      </w:r>
      <w:r>
        <w:rPr/>
        <w:t>亿美元、二〇三二约正</w:t>
      </w:r>
      <w:r>
        <w:rPr/>
        <w:t>3.007</w:t>
      </w:r>
      <w:r>
        <w:rPr/>
        <w:t>亿美元。未来利润增长依赖新增药真正产生毛利，现金利息不是该经营转折的主要来源。</w:t>
      </w:r>
    </w:p>
    <w:p>
      <w:pPr>
        <w:pStyle w:val="Normal"/>
        <w:rPr/>
      </w:pPr>
      <w:r>
        <w:rPr/>
        <w:t>二〇二六年全年模型收入低于上半年简单乘二，一部分来自本模型不将许可、一次里程碑与研发服务全放入持续业务收入，且未来</w:t>
      </w:r>
      <w:r>
        <w:rPr/>
        <w:t>selected BD</w:t>
      </w:r>
      <w:r>
        <w:rPr/>
        <w:t>现金仅进入现金预算。它并非公司二〇二六年收入指引，也不等同机构一致预期。研发服务若稳定带来盈利，其持续价值可能在本模型偏低；但未取得逐合同履约与成本数据前，不能为对齐机构目标任意补收入。基准正常利润和现金路径同样是剔一次性资产收益后的研究口径，不是未来</w:t>
      </w:r>
      <w:r>
        <w:rPr/>
        <w:t>GAAP</w:t>
      </w:r>
      <w:r>
        <w:rPr/>
        <w:t>归母利润保证。</w:t>
      </w:r>
    </w:p>
    <w:p>
      <w:pPr>
        <w:pStyle w:val="Normal"/>
        <w:rPr/>
      </w:pPr>
      <w:r>
        <w:rPr/>
        <w:t>目标现金按年度现金预算线性插值，二〇二六年底则采用完整下半年桥；这属于研究近似，缺少每笔药物销售、许可与偿债的实际日历。不能声称十月七日当天一定持有模型现金。尤其新首付假定年底到账、保证二〇二八结算和股息七月支付，会产生季度时间误差。数据允许时应把重要付款精确到月份再刷新目标日估值。未来交易所日历尚未正式确认的二〇二九及二〇三一年工作日需再核；一年目标十月九日为周六，已按重阳节假期与周末前移十月七日。</w:t>
      </w:r>
    </w:p>
    <w:p>
      <w:pPr>
        <w:pStyle w:val="Heading2"/>
        <w:rPr/>
      </w:pPr>
      <w:r>
        <w:rPr>
          <w:color w:val="000000"/>
        </w:rPr>
        <w:t>二十四 悲观路径和更严重的现金消耗压力</w:t>
      </w:r>
    </w:p>
    <w:p>
      <w:pPr>
        <w:pStyle w:val="Normal"/>
        <w:rPr/>
      </w:pPr>
      <w:r>
        <w:rPr/>
        <w:t>加权悲观情景采用较低现有收入、较慢上市、较小市场和更高折现率，并在失败项目暴露后主动缩研发。研发二〇二六年</w:t>
      </w:r>
      <w:r>
        <w:rPr/>
        <w:t>1.70</w:t>
      </w:r>
      <w:r>
        <w:rPr/>
        <w:t>亿美元，二〇二七</w:t>
      </w:r>
      <w:r>
        <w:rPr/>
        <w:t>1.75</w:t>
      </w:r>
      <w:r>
        <w:rPr/>
        <w:t>亿，此后降至二〇三二</w:t>
      </w:r>
      <w:r>
        <w:rPr/>
        <w:t>1.35</w:t>
      </w:r>
      <w:r>
        <w:rPr/>
        <w:t>亿美元，长期不再自动增加；没有为研发缩减额外发明新收入。这样体现管理层取消失败项目的选择权，同时仍保留必需的质量、上市后与核心开发开支。悲观年底约</w:t>
      </w:r>
      <w:r>
        <w:rPr/>
        <w:t>6.067</w:t>
      </w:r>
      <w:r>
        <w:rPr/>
        <w:t>港元、五年约</w:t>
      </w:r>
      <w:r>
        <w:rPr/>
        <w:t>6.070</w:t>
      </w:r>
      <w:r>
        <w:rPr/>
        <w:t>，代表超过七成的重大损失，而不是现金清算底价或市场最差边界。</w:t>
      </w:r>
    </w:p>
    <w:p>
      <w:pPr>
        <w:pStyle w:val="Normal"/>
        <w:rPr/>
      </w:pPr>
      <w:r>
        <w:rPr/>
        <w:t>模型另列“失败收入而维持扩张研发”的压力，不放入三种默认权重。该路径研发由</w:t>
      </w:r>
      <w:r>
        <w:rPr/>
        <w:t>1.70</w:t>
      </w:r>
      <w:r>
        <w:rPr/>
        <w:t>亿美元走向二〇三二</w:t>
      </w:r>
      <w:r>
        <w:rPr/>
        <w:t>2.40</w:t>
      </w:r>
      <w:r>
        <w:rPr/>
        <w:t>亿美元，二〇三三后费用每年再增百分之一，低销售与费用不匹配使经营价值为负。其年底估值约</w:t>
      </w:r>
      <w:r>
        <w:rPr/>
        <w:t>1.666</w:t>
      </w:r>
      <w:r>
        <w:rPr/>
        <w:t>港元、半年</w:t>
      </w:r>
      <w:r>
        <w:rPr/>
        <w:t>1.628</w:t>
      </w:r>
      <w:r>
        <w:rPr/>
        <w:t>、一年</w:t>
      </w:r>
      <w:r>
        <w:rPr/>
        <w:t>1.595</w:t>
      </w:r>
      <w:r>
        <w:rPr/>
        <w:t>、三年</w:t>
      </w:r>
      <w:r>
        <w:rPr/>
        <w:t>0.388</w:t>
      </w:r>
      <w:r>
        <w:rPr/>
        <w:t>、五年股权计算截为零；二〇三八预算现金转负意味着需要外部资金、停止项目或重整，不是允许现实公司拥有负现金继续经营。展示这一结果旨在检验资本纪律，不能因为五年数字难看就删去压力，也不能将其解释为预测确定破产。</w:t>
      </w:r>
    </w:p>
    <w:p>
      <w:pPr>
        <w:pStyle w:val="Normal"/>
        <w:rPr/>
      </w:pPr>
      <w:r>
        <w:rPr/>
        <w:t>即使加权悲观已经削减失败项目，二〇三五后的产品衰减仍可重新压低经营现金，进一步资产退出可能发生；模型没有假定无限制的后续降费完全抵消所有收入下降。历史撤市、临床终点不足与竞争替代均可能使损失超出三种价格区间。概率权重属于判断输入，不是统计置信区间。本章尽量披露可操作退出和刚性支出的差异，投资者应识别管理层实际资源分配是否更接近资本纪律情景，而非用现金余额安慰长期亏损。</w:t>
      </w:r>
    </w:p>
    <w:p>
      <w:pPr>
        <w:pStyle w:val="Heading2"/>
        <w:rPr/>
      </w:pPr>
      <w:r>
        <w:rPr>
          <w:color w:val="000000"/>
        </w:rPr>
        <w:t>二十五 乐观路径为什么很高</w:t>
      </w:r>
    </w:p>
    <w:p>
      <w:pPr>
        <w:pStyle w:val="Normal"/>
        <w:rPr/>
      </w:pPr>
      <w:r>
        <w:rPr/>
        <w:t>乐观情景并非把现价统一乘某个涨幅，而是现有产品扩大、赛沃替尼全球权益较快获批与放量、索乐两个自免适应症商业化、多个后期管线与</w:t>
      </w:r>
      <w:r>
        <w:rPr/>
        <w:t>ATTC</w:t>
      </w:r>
      <w:r>
        <w:rPr/>
        <w:t>部分兑现共同推动毛利。更大的市场、较高成功因子与更低折现率同时作用，具有较强右侧弹性，五年股价约</w:t>
      </w:r>
      <w:r>
        <w:rPr/>
        <w:t>91.472</w:t>
      </w:r>
      <w:r>
        <w:rPr/>
        <w:t>港元。其临床和商业假设高度相关，例如研发执行改善可能帮助多个项目，平台毒性也可能共同损害多个项目；按各药分别因子计算并不意味着风险之间统计独立。乐观价是多项有利条件成立的研究情景，不能叫机构共识必达价。</w:t>
      </w:r>
    </w:p>
    <w:p>
      <w:pPr>
        <w:pStyle w:val="Normal"/>
        <w:rPr/>
      </w:pPr>
      <w:r>
        <w:rPr/>
        <w:t>短期市场未必立即把完整经营价值全部识别。年底基准、乐观只取现价向完整内在价值移动的百分之七十和五十，半年取百分之八十五和七十，悲观按完整价值，后期则全部识别。这个市场识别系数是独立的研究桥，反映数据尚未完整、监管仍有步骤及价格调整时点的不确定，不是再一次临床概率。它没有按年底剩余月份线性缩机构十二个月目标，也不意味着市场总以固定比例调整。若披露或资金反应速度不同，短期价格应重新估算。</w:t>
      </w:r>
    </w:p>
    <w:p>
      <w:pPr>
        <w:pStyle w:val="Heading2"/>
        <w:rPr/>
      </w:pPr>
      <w:r>
        <w:rPr>
          <w:color w:val="000000"/>
        </w:rPr>
        <w:t>二十六 年底期望与权重敏感性</w:t>
      </w:r>
    </w:p>
    <w:p>
      <w:pPr>
        <w:pStyle w:val="Normal"/>
        <w:rPr/>
      </w:pPr>
      <w:r>
        <w:rPr/>
        <w:t>年底悲观</w:t>
      </w:r>
      <w:r>
        <w:rPr/>
        <w:t>6.067</w:t>
      </w:r>
      <w:r>
        <w:rPr/>
        <w:t>、基准</w:t>
      </w:r>
      <w:r>
        <w:rPr/>
        <w:t>20.854</w:t>
      </w:r>
      <w:r>
        <w:rPr/>
        <w:t>、乐观</w:t>
      </w:r>
      <w:r>
        <w:rPr/>
        <w:t>41.261</w:t>
      </w:r>
      <w:r>
        <w:rPr/>
        <w:t>港元，以百分之二十五、五十、二十五权重得期望</w:t>
      </w:r>
      <w:r>
        <w:rPr/>
        <w:t>22.259</w:t>
      </w:r>
      <w:r>
        <w:rPr/>
        <w:t>港元、相对现价约正百分之二点三九。基准自身为负百分之四点〇七，所以这个小正期望并非大部分情况都会赚钱。年底股价会响应完整大会数据、许可交割、审评进展、四季度产品销售信息及全市场风险偏好；经营现金在不到三个月内的变化有限，更多价格波动来自对更远未来盈利的重新认识。反证是关键事件达不到市场已计价预期，而非当季财报收入一定大幅下降。</w:t>
      </w:r>
    </w:p>
    <w:p>
      <w:pPr>
        <w:pStyle w:val="Normal"/>
        <w:rPr/>
      </w:pPr>
      <w:r>
        <w:rPr/>
        <w:t>权重改为悲观四十、基准四十、乐观二十时，年底期望</w:t>
      </w:r>
      <w:r>
        <w:rPr/>
        <w:t>19.021</w:t>
      </w:r>
      <w:r>
        <w:rPr/>
        <w:t>港元、约负百分之十二点五一；改为二十、四十、四十时为</w:t>
      </w:r>
      <w:r>
        <w:rPr/>
        <w:t>26.060</w:t>
      </w:r>
      <w:r>
        <w:rPr/>
        <w:t>港元、正百分之十九点八七。方向因主观权重明显改变，说明推荐强度不能只以期望价一列决定。若投资者无法接受七成以上悲观损失，即使右侧空间大也不宜把其作为低风险核心。未来收集新数据后先更新收入、成本、批准时点与现金，再更新权重，不能为保留看多结论只移动概率。</w:t>
      </w:r>
    </w:p>
    <w:p>
      <w:pPr>
        <w:pStyle w:val="Heading2"/>
        <w:rPr/>
      </w:pPr>
      <w:r>
        <w:rPr>
          <w:color w:val="000000"/>
        </w:rPr>
        <w:t>二十七 折现率 平台价值和股数敏感性</w:t>
      </w:r>
    </w:p>
    <w:p>
      <w:pPr>
        <w:pStyle w:val="Normal"/>
        <w:rPr/>
      </w:pPr>
      <w:r>
        <w:rPr/>
        <w:t>基准折现率百分之十一点五，固定经营与目标现金路径改为九点五或十三点五时，年底目标约</w:t>
      </w:r>
      <w:r>
        <w:rPr/>
        <w:t>21.845</w:t>
      </w:r>
      <w:r>
        <w:rPr/>
        <w:t>与</w:t>
      </w:r>
      <w:r>
        <w:rPr/>
        <w:t>20.021</w:t>
      </w:r>
      <w:r>
        <w:rPr/>
        <w:t>港元；一年约</w:t>
      </w:r>
      <w:r>
        <w:rPr/>
        <w:t>23.004</w:t>
      </w:r>
      <w:r>
        <w:rPr/>
        <w:t>与</w:t>
      </w:r>
      <w:r>
        <w:rPr/>
        <w:t>20.445</w:t>
      </w:r>
      <w:r>
        <w:rPr/>
        <w:t>，三年</w:t>
      </w:r>
      <w:r>
        <w:rPr/>
        <w:t>26.306</w:t>
      </w:r>
      <w:r>
        <w:rPr/>
        <w:t>与</w:t>
      </w:r>
      <w:r>
        <w:rPr/>
        <w:t>24.087</w:t>
      </w:r>
      <w:r>
        <w:rPr/>
        <w:t>，五年</w:t>
      </w:r>
      <w:r>
        <w:rPr/>
        <w:t>29.712</w:t>
      </w:r>
      <w:r>
        <w:rPr/>
        <w:t>与</w:t>
      </w:r>
      <w:r>
        <w:rPr/>
        <w:t>28.086</w:t>
      </w:r>
      <w:r>
        <w:rPr/>
        <w:t>。变化表明远期资金成本重要，但基准现价附近结论不是仅由一个折现率小调整产生。成熟产品毛利、许可分成与新增适应症峰值同样关键。利率敏感性这里固定存款现金路径，属于孤立变量检查，并非降息时所有现金收益不变的完整宏观情景。</w:t>
      </w:r>
    </w:p>
    <w:p>
      <w:pPr>
        <w:pStyle w:val="Normal"/>
        <w:rPr/>
      </w:pPr>
      <w:r>
        <w:rPr/>
        <w:t>另一个隔离检查删除</w:t>
      </w:r>
      <w:r>
        <w:rPr/>
        <w:t>A830</w:t>
      </w:r>
      <w:r>
        <w:rPr/>
        <w:t>、</w:t>
      </w:r>
      <w:r>
        <w:rPr/>
        <w:t>A251</w:t>
      </w:r>
      <w:r>
        <w:rPr/>
        <w:t>和</w:t>
      </w:r>
      <w:r>
        <w:rPr/>
        <w:t>A580</w:t>
      </w:r>
      <w:r>
        <w:rPr/>
        <w:t>所有未来毛利，保留完整研发与目标现金，用于衡量平台远期可选性对业务估值的贡献。结果年底目标约</w:t>
      </w:r>
      <w:r>
        <w:rPr/>
        <w:t>19.432</w:t>
      </w:r>
      <w:r>
        <w:rPr/>
        <w:t>港元、一年</w:t>
      </w:r>
      <w:r>
        <w:rPr/>
        <w:t>19.426</w:t>
      </w:r>
      <w:r>
        <w:rPr/>
        <w:t>、三年</w:t>
      </w:r>
      <w:r>
        <w:rPr/>
        <w:t>22.445</w:t>
      </w:r>
      <w:r>
        <w:rPr/>
        <w:t>、五年</w:t>
      </w:r>
      <w:r>
        <w:rPr/>
        <w:t>25.609</w:t>
      </w:r>
      <w:r>
        <w:rPr/>
        <w:t>，低于基准；这不是重新预算平台取消后的完整公司情景，因为目标日前现金没有跟着取消项目再计算。将隔离敏感性称为独立情景会误导。实际删除项目还应改变全球一期预算、里程碑、合约现金和潜在分成，待新证据出现须全面刷新。</w:t>
      </w:r>
    </w:p>
    <w:p>
      <w:pPr>
        <w:pStyle w:val="Normal"/>
        <w:rPr/>
      </w:pPr>
      <w:r>
        <w:rPr/>
        <w:t>未来普通股数量基准从二〇二六约八点七五亿走向二〇三二九点三六亿，悲观因资金与激励压力到十点四五亿，乐观约九点〇九亿。没有假定任何未公告融资已经完成，路径只是潜在普通股稀释研究输入；新增融资若带来现金，也应同时补入现金预算，当前较高悲观股数不附造融资现金，属于谨慎稀释压力。股数增加百分之十而股权价值不变，每股值约下降百分之九点〇九，不能只在风险文字提醒融资而让模型分母固定不变。</w:t>
      </w:r>
    </w:p>
    <w:p>
      <w:pPr>
        <w:pStyle w:val="Heading2"/>
        <w:rPr/>
      </w:pPr>
      <w:r>
        <w:rPr>
          <w:color w:val="000000"/>
        </w:rPr>
        <w:t>二十八 外资机构目标与公开信息限制</w:t>
      </w:r>
    </w:p>
    <w:p>
      <w:pPr>
        <w:pStyle w:val="Normal"/>
        <w:rPr/>
      </w:pPr>
      <w:r>
        <w:rPr/>
        <w:t>九月四日公开财经新闻转述花旗目标</w:t>
      </w:r>
      <w:r>
        <w:rPr/>
        <w:t>39</w:t>
      </w:r>
      <w:r>
        <w:rPr/>
        <w:t>港元、买入并标高风险，大和</w:t>
      </w:r>
      <w:r>
        <w:rPr/>
        <w:t>28.5</w:t>
      </w:r>
      <w:r>
        <w:rPr/>
        <w:t>、买入；七月三十一日瑞银</w:t>
      </w:r>
      <w:r>
        <w:rPr/>
        <w:t>29.5</w:t>
      </w:r>
      <w:r>
        <w:rPr/>
        <w:t>、买入。三者均在截止前九十天窗口内，花旗和大和在</w:t>
      </w:r>
      <w:r>
        <w:rPr/>
        <w:t>GSK</w:t>
      </w:r>
      <w:r>
        <w:rPr/>
        <w:t>协议公布后，瑞银在中期业绩后而早于九月新授权。它们支持市场对项目与现金价值的积极认识，但新闻没有完整原研报的确切终期、细分收入、分成及研发预算。本研究标为新闻二手来源，不将新闻时间声称为原研报签发时间，也不把通常十二个月参照直接放进年底模型。</w:t>
      </w:r>
    </w:p>
    <w:p>
      <w:pPr>
        <w:pStyle w:val="Normal"/>
        <w:rPr/>
      </w:pPr>
      <w:r>
        <w:rPr/>
        <w:t>同日</w:t>
      </w:r>
      <w:r>
        <w:rPr/>
        <w:t>CLSA</w:t>
      </w:r>
      <w:r>
        <w:rPr/>
        <w:t>目标</w:t>
      </w:r>
      <w:r>
        <w:rPr/>
        <w:t>29.5</w:t>
      </w:r>
      <w:r>
        <w:rPr/>
        <w:t>、跑赢大市，现由中信控股，单列中资所有机构，不能称为外资投行。摩根士丹利五月二十九日</w:t>
      </w:r>
      <w:r>
        <w:rPr/>
        <w:t>21.3</w:t>
      </w:r>
      <w:r>
        <w:rPr/>
        <w:t>、与市场同步，</w:t>
      </w:r>
      <w:r>
        <w:rPr/>
        <w:t>UOB Kay Hian</w:t>
      </w:r>
      <w:r>
        <w:rPr/>
        <w:t>三月六日</w:t>
      </w:r>
      <w:r>
        <w:rPr/>
        <w:t>26</w:t>
      </w:r>
      <w:r>
        <w:rPr/>
        <w:t>、买入，均超九十天且早于九月重要事件，因此只作较旧参照。同机构采用最新可核验新闻去重，不把旧</w:t>
      </w:r>
      <w:r>
        <w:rPr/>
        <w:t>CLSA30.4</w:t>
      </w:r>
      <w:r>
        <w:rPr/>
        <w:t>和新</w:t>
      </w:r>
      <w:r>
        <w:rPr/>
        <w:t>29.5</w:t>
      </w:r>
      <w:r>
        <w:rPr/>
        <w:t>都计入机构平均。中金等中资目标不混入外资汇总。网页动态时钟显示的十月十日不是新闻日期，各条按正文时间记录。</w:t>
      </w:r>
    </w:p>
    <w:p>
      <w:pPr>
        <w:pStyle w:val="Normal"/>
        <w:rPr/>
      </w:pPr>
      <w:r>
        <w:rPr/>
        <w:t>本模型一年基准</w:t>
      </w:r>
      <w:r>
        <w:rPr/>
        <w:t>21.618</w:t>
      </w:r>
      <w:r>
        <w:rPr/>
        <w:t>港元，显著低于近期积极机构目标，不能因此直接判断机构错误或自行把目标调高。差异可能来自有限期限无终值、完整研发扣除、中国呋喹替尼服务毛利、未来管线风险峰值、阶段识别以及未纳入稳定研发服务盈利等。原始研报不可得时无法精确拆解其模型，应该把这些可能差异列为检验问题。机构目标</w:t>
      </w:r>
      <w:r>
        <w:rPr/>
        <w:t>39</w:t>
      </w:r>
      <w:r>
        <w:rPr/>
        <w:t>港元相对现价约八成上行，却也标高风险；目标价是条件预测，不是买入后获得该回报的承诺。</w:t>
      </w:r>
    </w:p>
    <w:p>
      <w:pPr>
        <w:pStyle w:val="Heading2"/>
        <w:rPr/>
      </w:pPr>
      <w:r>
        <w:rPr>
          <w:color w:val="000000"/>
        </w:rPr>
        <w:t>二十九 四期限评分的证据解释</w:t>
      </w:r>
    </w:p>
    <w:p>
      <w:pPr>
        <w:pStyle w:val="Normal"/>
        <w:rPr/>
      </w:pPr>
      <w:r>
        <w:rPr/>
        <w:t>半年估值二点二、量价三点一、经营三点六、行业四点一、催化四点六、风险三点八，按既定权重得</w:t>
      </w:r>
      <w:r>
        <w:rPr/>
        <w:t>65.4</w:t>
      </w:r>
      <w:r>
        <w:rPr/>
        <w:t>。催化高分来自截止后的大会展示、申报审评与交割等具体事件密度；估值低于催化，是因为基准目标不足现价、悲观损失很大。短期价量恢复和相对强度不错，但二十日线下、长周线未完全收复及当天缩量限制技术分。不能为“会有重要会议”同时增加三种相近指标评分，高波动事件也可能产生负面重新定价。</w:t>
      </w:r>
    </w:p>
    <w:p>
      <w:pPr>
        <w:pStyle w:val="Normal"/>
        <w:rPr/>
      </w:pPr>
      <w:r>
        <w:rPr/>
        <w:t>一年维度二点三、三点一、三点八、四点一、四点六、三点八，得</w:t>
      </w:r>
      <w:r>
        <w:rPr/>
        <w:t>68.9</w:t>
      </w:r>
      <w:r>
        <w:rPr/>
        <w:t>；三年二点四、三点一、三点九、四点三、四点二、三点八，得</w:t>
      </w:r>
      <w:r>
        <w:rPr/>
        <w:t>71.4</w:t>
      </w:r>
      <w:r>
        <w:rPr/>
        <w:t>；五年二点五、技术不赋权、经营四点〇、行业四点三、催化三点八、风险三点七，得</w:t>
      </w:r>
      <w:r>
        <w:rPr/>
        <w:t>74.1</w:t>
      </w:r>
      <w:r>
        <w:rPr/>
        <w:t>。长周期分数提高来自平台与已上市产品可积累经营能力，却未忽略基准年化有限、专利竞争衰减与研发失败。五年技术权重为零，不能让当前</w:t>
      </w:r>
      <w:r>
        <w:rPr/>
        <w:t>RSI</w:t>
      </w:r>
      <w:r>
        <w:rPr/>
        <w:t>影响十年商业质量；所有分数不是盈利概率，也不应与主观情景权重直接相乘。</w:t>
      </w:r>
    </w:p>
    <w:p>
      <w:pPr>
        <w:pStyle w:val="Heading2"/>
        <w:rPr/>
      </w:pPr>
      <w:r>
        <w:rPr>
          <w:color w:val="000000"/>
        </w:rPr>
        <w:t>三十 期限逻辑与主要反证</w:t>
      </w:r>
    </w:p>
    <w:p>
      <w:pPr>
        <w:pStyle w:val="Normal"/>
        <w:rPr/>
      </w:pPr>
      <w:r>
        <w:rPr/>
        <w:t>半年更像临床事件与估值识别的观察标的。积极条件是完整数据支持顶线、重要许可按条款完成、索乐质量审评推进、量价突破得到持续确认；失败可能是结果低于已计价预期、监管要求追加投入或市场风险偏好转弱。基准</w:t>
      </w:r>
      <w:r>
        <w:rPr/>
        <w:t>20.997</w:t>
      </w:r>
      <w:r>
        <w:rPr/>
        <w:t>港元仍低于现价，因此本章不以乐观</w:t>
      </w:r>
      <w:r>
        <w:rPr/>
        <w:t>50.066</w:t>
      </w:r>
      <w:r>
        <w:rPr/>
        <w:t>主张强追涨。对于进取组合，适合先把关键证据阈值写清再评估风险预算，而不是把强机构目标与弱量能拼成确定性半年大行情。</w:t>
      </w:r>
    </w:p>
    <w:p>
      <w:pPr>
        <w:pStyle w:val="Normal"/>
        <w:rPr/>
      </w:pPr>
      <w:r>
        <w:rPr/>
        <w:t>一年关注批准及早期商业化而非只有一次会议。赛沃替尼美国递交后的受理、补充问题和最终审评，索乐自免产品的获批及初始支付、呋喹替尼不同地区销售，都可改变盈利起点。基准</w:t>
      </w:r>
      <w:r>
        <w:rPr/>
        <w:t>21.618</w:t>
      </w:r>
      <w:r>
        <w:rPr/>
        <w:t>约等现价，说明研究假设下公司成长在此时较大部分抵消了研发、折现和竞争压力；乐观</w:t>
      </w:r>
      <w:r>
        <w:rPr/>
        <w:t>64.882</w:t>
      </w:r>
      <w:r>
        <w:rPr/>
        <w:t>须更大的经济市场与快速兑现。若患者量、净价或合作收入出现与模型不同的持久变化，要重算一年目标，不能把延期失约的事件自动滚到下年并维持原分数。</w:t>
      </w:r>
    </w:p>
    <w:p>
      <w:pPr>
        <w:pStyle w:val="Normal"/>
        <w:rPr/>
      </w:pPr>
      <w:r>
        <w:rPr/>
        <w:t>三年关键是从风险调整开发收入转成真实产品毛利和自由现金。基准</w:t>
      </w:r>
      <w:r>
        <w:rPr/>
        <w:t>25.124</w:t>
      </w:r>
      <w:r>
        <w:rPr/>
        <w:t>、含息年化</w:t>
      </w:r>
      <w:r>
        <w:rPr/>
        <w:t>4.94</w:t>
      </w:r>
      <w:r>
        <w:rPr/>
        <w:t>不算强收益，推荐依赖较好的右侧项目价值与资本纪律，仍属于有条件配置。此时现有产品现金、索乐上市、赛沃替尼全球商业化及后期小分子应有更多可观察证据，现金桥不应只靠未实现合同上限。若经营</w:t>
      </w:r>
      <w:r>
        <w:rPr/>
        <w:t>FCFF</w:t>
      </w:r>
      <w:r>
        <w:rPr/>
        <w:t>没有按路径转正、研发效率恶化或收益主要仍为资产出售和存款利息，应下调经营评分和三年价值，而不是以平台“长周期”无限延后考核。</w:t>
      </w:r>
    </w:p>
    <w:p>
      <w:pPr>
        <w:pStyle w:val="Normal"/>
        <w:rPr/>
      </w:pPr>
      <w:r>
        <w:rPr/>
        <w:t>五年与十年要检验重复创新能力。基准</w:t>
      </w:r>
      <w:r>
        <w:rPr/>
        <w:t>28.854</w:t>
      </w:r>
      <w:r>
        <w:rPr/>
        <w:t>、累计股息</w:t>
      </w:r>
      <w:r>
        <w:rPr/>
        <w:t>0.040</w:t>
      </w:r>
      <w:r>
        <w:rPr/>
        <w:t>、含息年化</w:t>
      </w:r>
      <w:r>
        <w:rPr/>
        <w:t>5.85</w:t>
      </w:r>
      <w:r>
        <w:rPr/>
        <w:t>，远低于乐观价格隐含的高速复利，差距源自平台成功、全球市场与收入质量的不同组合。长期资本回报条件包括现有药竞争期内积累足够资金、新资产具差异化人体价值、伙伴合同让股东保有合理权益、研发和激励现金成本受控。反证是多个项目共用技术却反复出现安全或制造问题、伙伴放弃、临床市场小于预期和新股稀释持续抵消销售增长。持有时间不会自动修复一开始支付过高价格的问题。</w:t>
      </w:r>
    </w:p>
    <w:p>
      <w:pPr>
        <w:pStyle w:val="Heading2"/>
        <w:rPr/>
      </w:pPr>
      <w:r>
        <w:rPr>
          <w:color w:val="000000"/>
        </w:rPr>
        <w:t>三十一 治理 执行与复核清单</w:t>
      </w:r>
    </w:p>
    <w:p>
      <w:pPr>
        <w:pStyle w:val="Normal"/>
        <w:rPr/>
      </w:pPr>
      <w:r>
        <w:rPr/>
        <w:t>中报标明首席执行官兼首席科学官当时休假，代理首席执行官兼首席财务官负责相应工作。公开资料未提供可据以推断个人健康或长期去留的全部细节，本章不推测原因；作为依赖科学判断和全球伙伴协同的企业，研发及商业负责人分工、决策连续性和人才留存仍是治理跟踪点。长期激励应与实际临床质量、经济利润和股东回报相匹配，单纯完成候选数量、获得大额合同总上限或提高销售额未必代表价值创造。</w:t>
      </w:r>
    </w:p>
    <w:p>
      <w:pPr>
        <w:pStyle w:val="Normal"/>
        <w:rPr/>
      </w:pPr>
      <w:r>
        <w:rPr/>
        <w:t>每期复核应从公告和财报重新确认产品收入构成、伙伴供货与许可分成、研发服务履约、实际支付和药品安全，继而核现金定存、债务到期、上海和黄利润保证、旧股息到账及普通股变化。临床部分按适应症、地域、试验设计和监管阶段更新，保留公告首次发布时间。技术数据需继续检查复权与公司行动、成交量单位及指数基准。模型输入变动后依次重新生成三种情景和压力、更新排名再同步文档，旧快照不能被称为已经响应新公告。</w:t>
      </w:r>
    </w:p>
    <w:p>
      <w:pPr>
        <w:pStyle w:val="Normal"/>
        <w:rPr/>
      </w:pPr>
      <w:r>
        <w:rPr/>
        <w:t xml:space="preserve">和黄是现金基础与真实临床催化兼有的标的，也是高研发企业价值判断容易被授权 </w:t>
      </w:r>
      <w:r>
        <w:rPr/>
        <w:t>headline</w:t>
      </w:r>
      <w:r>
        <w:rPr/>
        <w:t>、终端销售和账面利润混淆的例子。本研究给它中等偏上的长期经营评分，当前价格下保持条件性推荐；最需要新增证据解决的是精准肺癌联合方案的净获益和审批、索乐质量及商业转化、</w:t>
      </w:r>
      <w:r>
        <w:rPr/>
        <w:t>ATTC</w:t>
      </w:r>
      <w:r>
        <w:rPr/>
        <w:t>的人体选择性，以及公司把丰富现金转化为可持续股东现金的能力。只有这些证据改善同时价格仍保有合理余地，才有充分理由将其上调到更高推荐梯队。</w:t>
      </w:r>
    </w:p>
    <w:p>
      <w:pPr>
        <w:pStyle w:val="Heading2"/>
        <w:rPr/>
      </w:pPr>
      <w:r>
        <w:rPr>
          <w:color w:val="000000"/>
        </w:rPr>
        <w:t>来源与复核记录</w:t>
      </w:r>
    </w:p>
    <w:p>
      <w:pPr>
        <w:pStyle w:val="Normal"/>
        <w:rPr/>
      </w:pPr>
      <w:r>
        <w:rPr/>
        <w:t>- [2026</w:t>
      </w:r>
      <w:r>
        <w:rPr/>
        <w:t>中期业绩首次披露，</w:t>
      </w:r>
      <w:r>
        <w:rPr/>
        <w:t>2026-07-30 19:01 HKEX](https://www1.hkexnews.hk/listedco/listconews/sehk/2026/0730/2026073001567.pdf)</w:t>
      </w:r>
      <w:r>
        <w:rPr/>
        <w:t>；</w:t>
      </w:r>
      <w:r>
        <w:rPr/>
        <w:t>[</w:t>
      </w:r>
      <w:r>
        <w:rPr/>
        <w:t>中期报告，</w:t>
      </w:r>
      <w:r>
        <w:rPr/>
        <w:t>2026-08-14 16:30 HKEX](https://www1.hkexnews.hk/listedco/listconews/sehk/2026/0814/2026081400299.pdf)</w:t>
      </w:r>
      <w:r>
        <w:rPr/>
        <w:t>，已下载原公告镜像逐页核财务。</w:t>
      </w:r>
    </w:p>
    <w:p>
      <w:pPr>
        <w:pStyle w:val="Normal"/>
        <w:rPr/>
      </w:pPr>
      <w:r>
        <w:rPr/>
        <w:t>- [2025</w:t>
      </w:r>
      <w:r>
        <w:rPr/>
        <w:t>年度报告，</w:t>
      </w:r>
      <w:r>
        <w:rPr/>
        <w:t>2026-04-09 HKEX](https://www1.hkexnews.hk/listedco/listconews/sehk/2026/0409/2026040900579.pdf)</w:t>
      </w:r>
      <w:r>
        <w:rPr/>
        <w:t>，美国</w:t>
      </w:r>
      <w:r>
        <w:rPr/>
        <w:t>GAAP</w:t>
      </w:r>
      <w:r>
        <w:rPr/>
        <w:t>历史表、售股、现金、研发、地区及</w:t>
      </w:r>
      <w:r>
        <w:rPr/>
        <w:t>ADS</w:t>
      </w:r>
      <w:r>
        <w:rPr/>
        <w:t>单位。</w:t>
      </w:r>
    </w:p>
    <w:p>
      <w:pPr>
        <w:pStyle w:val="Normal"/>
        <w:rPr/>
      </w:pPr>
      <w:r>
        <w:rPr/>
        <w:t>- [</w:t>
      </w:r>
      <w:r>
        <w:rPr/>
        <w:t>九月股数月报，</w:t>
      </w:r>
      <w:r>
        <w:rPr/>
        <w:t>2026-10-02 16:35](https://www1.hkexnews.hk/listedco/listconews/sehk/2026/1002/2026100201582.pdf)</w:t>
      </w:r>
      <w:r>
        <w:rPr/>
        <w:t>。</w:t>
      </w:r>
    </w:p>
    <w:p>
      <w:pPr>
        <w:pStyle w:val="Normal"/>
        <w:rPr/>
      </w:pPr>
      <w:r>
        <w:rPr/>
        <w:t>- [GSK</w:t>
      </w:r>
      <w:r>
        <w:rPr/>
        <w:t>许可公告，</w:t>
      </w:r>
      <w:r>
        <w:rPr/>
        <w:t>2026-09-03 12:01](https://www1.hkexnews.hk/listedco/listconews/sehk/2026/0903/2026090300337.pdf)</w:t>
      </w:r>
      <w:r>
        <w:rPr/>
        <w:t>；</w:t>
      </w:r>
      <w:r>
        <w:rPr/>
        <w:t>[A830</w:t>
      </w:r>
      <w:r>
        <w:rPr/>
        <w:t>一期启动，</w:t>
      </w:r>
      <w:r>
        <w:rPr/>
        <w:t>2026-09-28](https://www1.hkexnews.hk/listedco/listconews/sehk/2026/0928/2026092800115.pdf)</w:t>
      </w:r>
      <w:r>
        <w:rPr/>
        <w:t>。</w:t>
      </w:r>
    </w:p>
    <w:p>
      <w:pPr>
        <w:pStyle w:val="Normal"/>
        <w:rPr/>
      </w:pPr>
      <w:r>
        <w:rPr/>
        <w:t>- [</w:t>
      </w:r>
      <w:r>
        <w:rPr/>
        <w:t>赛沃替尼美国</w:t>
      </w:r>
      <w:r>
        <w:rPr/>
        <w:t>NDA</w:t>
      </w:r>
      <w:r>
        <w:rPr/>
        <w:t>递交，</w:t>
      </w:r>
      <w:r>
        <w:rPr/>
        <w:t>2026-09-29](https://www1.hkexnews.hk/listedco/listconews/sehk/2026/0929/2026092900073.pdf)</w:t>
      </w:r>
      <w:r>
        <w:rPr/>
        <w:t>；</w:t>
      </w:r>
      <w:r>
        <w:rPr/>
        <w:t>[ESMO</w:t>
      </w:r>
      <w:r>
        <w:rPr/>
        <w:t>展示安排，</w:t>
      </w:r>
      <w:r>
        <w:rPr/>
        <w:t>2026-09-24](https://www1.hkexnews.hk/listedco/listconews/sehk/2026/0924/2026092400055.pdf)</w:t>
      </w:r>
      <w:r>
        <w:rPr/>
        <w:t>。完整</w:t>
      </w:r>
      <w:r>
        <w:rPr/>
        <w:t>SAFFRON</w:t>
      </w:r>
      <w:r>
        <w:rPr/>
        <w:t>、</w:t>
      </w:r>
      <w:r>
        <w:rPr/>
        <w:t>SANOVO</w:t>
      </w:r>
      <w:r>
        <w:rPr/>
        <w:t>会议数据在截止后，不纳入。</w:t>
      </w:r>
    </w:p>
    <w:p>
      <w:pPr>
        <w:pStyle w:val="Normal"/>
        <w:rPr/>
      </w:pPr>
      <w:r>
        <w:rPr/>
        <w:t>- [SAFFRON</w:t>
      </w:r>
      <w:r>
        <w:rPr/>
        <w:t>顶线公告镜像，</w:t>
      </w:r>
      <w:r>
        <w:rPr/>
        <w:t>2026-08-17](https://iis.aastocks.com/20260817/12285870-0.PDF)</w:t>
      </w:r>
      <w:r>
        <w:rPr/>
        <w:t>；</w:t>
      </w:r>
      <w:r>
        <w:rPr/>
        <w:t>[SANOVO</w:t>
      </w:r>
      <w:r>
        <w:rPr/>
        <w:t>顶线，</w:t>
      </w:r>
      <w:r>
        <w:rPr/>
        <w:t>2026-08-31](https://iis.aastocks.com/20260831/12307546-0.PDF)</w:t>
      </w:r>
      <w:r>
        <w:rPr/>
        <w:t>；</w:t>
      </w:r>
      <w:r>
        <w:rPr/>
        <w:t>[</w:t>
      </w:r>
      <w:r>
        <w:rPr/>
        <w:t>凡瑞格拉替尼批准，</w:t>
      </w:r>
      <w:r>
        <w:rPr/>
        <w:t>2026-08-28](https://iis.aastocks.com/20260828/12303702-0.PDF)</w:t>
      </w:r>
      <w:r>
        <w:rPr/>
        <w:t>。其他管线、撤市及许可证据保存在</w:t>
      </w:r>
      <w:r>
        <w:rPr/>
        <w:t>data/hutchmed_sources.json</w:t>
      </w:r>
      <w:r>
        <w:rPr/>
        <w:t>和原</w:t>
      </w:r>
      <w:r>
        <w:rPr/>
        <w:t>PDF</w:t>
      </w:r>
      <w:r>
        <w:rPr/>
        <w:t>目录。</w:t>
      </w:r>
    </w:p>
    <w:p>
      <w:pPr>
        <w:pStyle w:val="Normal"/>
        <w:rPr/>
      </w:pPr>
      <w:r>
        <w:rPr/>
        <w:t>- [</w:t>
      </w:r>
      <w:r>
        <w:rPr/>
        <w:t>花旗，</w:t>
      </w:r>
      <w:r>
        <w:rPr/>
        <w:t>2026-09-04</w:t>
      </w:r>
      <w:r>
        <w:rPr/>
        <w:t>新闻</w:t>
      </w:r>
      <w:r>
        <w:rPr/>
        <w:t>](https://www.aastocks.com/tc/stocks/analysis/stock-aafn-con/00013/AAFN/NOW.1542937/research-report)</w:t>
      </w:r>
      <w:r>
        <w:rPr/>
        <w:t>；</w:t>
      </w:r>
      <w:r>
        <w:rPr/>
        <w:t>[</w:t>
      </w:r>
      <w:r>
        <w:rPr/>
        <w:t>大和同日</w:t>
      </w:r>
      <w:r>
        <w:rPr/>
        <w:t>](https://www.aastocks.com/tc/stocks/analysis/stock-aafn-con/00013/AAFN/NOW.1542924/research-report)</w:t>
      </w:r>
      <w:r>
        <w:rPr/>
        <w:t>；</w:t>
      </w:r>
      <w:r>
        <w:rPr/>
        <w:t>[</w:t>
      </w:r>
      <w:r>
        <w:rPr/>
        <w:t>瑞银，</w:t>
      </w:r>
      <w:r>
        <w:rPr/>
        <w:t>2026-07-31](https://www.aastocks.com/tc/stocks/analysis/stock-aafn-con/00013/AAFN/NOW.1536024/research-report)</w:t>
      </w:r>
      <w:r>
        <w:rPr/>
        <w:t>；</w:t>
      </w:r>
      <w:r>
        <w:rPr/>
        <w:t>[CLSA</w:t>
      </w:r>
      <w:r>
        <w:rPr/>
        <w:t>同日，单列中资所有</w:t>
      </w:r>
      <w:r>
        <w:rPr/>
        <w:t>](https://www.aastocks.com/tc/stocks/analysis/stock-aafn-con/00013/AAFN/NOW.1542944/research-report)</w:t>
      </w:r>
      <w:r>
        <w:rPr/>
        <w:t>；摩根士丹利及</w:t>
      </w:r>
      <w:r>
        <w:rPr/>
        <w:t>UOB</w:t>
      </w:r>
      <w:r>
        <w:rPr/>
        <w:t>旧目标见模型机构表，所有原研报未取得。</w:t>
      </w:r>
    </w:p>
    <w:p>
      <w:pPr>
        <w:pStyle w:val="Normal"/>
        <w:widowControl/>
        <w:bidi w:val="0"/>
        <w:spacing w:lineRule="auto" w:line="336" w:before="0" w:after="140"/>
        <w:jc w:val="start"/>
        <w:rPr/>
      </w:pPr>
      <w:r>
        <w:rPr/>
        <w:t xml:space="preserve">- </w:t>
      </w:r>
      <w:r>
        <w:rPr/>
        <w:t>行情腾讯即时与日线、</w:t>
      </w:r>
      <w:r>
        <w:rPr/>
        <w:t>Yahoo</w:t>
      </w:r>
      <w:r>
        <w:rPr/>
        <w:t>真实日线及新浪即时交叉核；</w:t>
      </w:r>
      <w:r>
        <w:rPr/>
        <w:t>2026-10-09</w:t>
      </w:r>
      <w:r>
        <w:rPr/>
        <w:t>收盘锁定于</w:t>
      </w:r>
      <w:r>
        <w:rPr/>
        <w:t>market_snapshot_locked.json</w:t>
      </w:r>
      <w:r>
        <w:rPr/>
        <w:t>，</w:t>
      </w:r>
      <w:r>
        <w:rPr/>
        <w:t>739</w:t>
      </w:r>
      <w:r>
        <w:rPr/>
        <w:t>日、</w:t>
      </w:r>
      <w:r>
        <w:rPr/>
        <w:t>157</w:t>
      </w:r>
      <w:r>
        <w:rPr/>
        <w:t>周；各</w:t>
      </w:r>
      <w:r>
        <w:rPr/>
        <w:t>URL</w:t>
      </w:r>
      <w:r>
        <w:rPr/>
        <w:t>与量价原始核验信息存模型</w:t>
      </w:r>
      <w:r>
        <w:rPr/>
        <w:t>priceEvidence</w:t>
      </w:r>
      <w:r>
        <w:rPr/>
        <w:t>。</w:t>
      </w:r>
    </w:p>
    <w:sectPr>
      <w:headerReference w:type="even" r:id="rId18"/>
      <w:headerReference w:type="default" r:id="rId19"/>
      <w:headerReference w:type="first" r:id="rId20"/>
      <w:footerReference w:type="even" r:id="rId21"/>
      <w:footerReference w:type="default" r:id="rId22"/>
      <w:footerReference w:type="first" r:id="rId23"/>
      <w:type w:val="nextPage"/>
      <w:pgSz w:w="12240" w:h="15840"/>
      <w:pgMar w:left="1191" w:right="1191" w:gutter="0" w:header="720" w:top="1134"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宋体">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微软雅黑">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162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162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36" w:before="0" w:after="140"/>
      <w:jc w:val="start"/>
    </w:pPr>
    <w:rPr>
      <w:rFonts w:ascii="宋体" w:hAnsi="宋体" w:eastAsia="宋体"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tyle5">
    <w:name w:val="索引链接"/>
    <w:rPr/>
  </w:style>
  <w:style w:type="paragraph" w:styleId="Style6">
    <w:name w:val="标题样式"/>
    <w:basedOn w:val="Normal"/>
    <w:next w:val="BodyText"/>
    <w:pPr>
      <w:keepNext w:val="true"/>
      <w:spacing w:before="240" w:after="120"/>
    </w:pPr>
    <w:rPr>
      <w:rFonts w:ascii="Liberation Sans" w:hAnsi="Liberation Sans" w:eastAsia="微软雅黑"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微软雅黑" w:hAnsi="微软雅黑" w:eastAsia="微软雅黑"/>
      <w:b/>
      <w:bCs/>
      <w:color w:themeColor="accent1" w:val="4F81BD"/>
      <w:sz w:val="18"/>
      <w:szCs w:val="18"/>
    </w:rPr>
  </w:style>
  <w:style w:type="paragraph" w:styleId="Style7">
    <w:name w:val="索引"/>
    <w:basedOn w:val="Normal"/>
    <w:pPr>
      <w:suppressLineNumbers/>
    </w:pPr>
    <w:rPr>
      <w:rFonts w:cs="Arial"/>
    </w:rPr>
  </w:style>
  <w:style w:type="paragraph" w:styleId="Style8">
    <w:name w:val="页眉与页脚"/>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40"/>
      <w:ind w:hanging="360" w:start="720"/>
      <w:contextualSpacing/>
    </w:pPr>
    <w:rPr/>
  </w:style>
  <w:style w:type="paragraph" w:styleId="List3">
    <w:name w:val="List 3"/>
    <w:basedOn w:val="Normal"/>
    <w:uiPriority w:val="99"/>
    <w:unhideWhenUsed/>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Style7"/>
    <w:pPr>
      <w:keepNext w:val="false"/>
      <w:tabs>
        <w:tab w:val="clear" w:pos="720"/>
        <w:tab w:val="right" w:pos="9858" w:leader="dot"/>
      </w:tabs>
      <w:spacing w:before="0" w:after="0"/>
      <w:ind w:hanging="0" w:start="0"/>
    </w:pPr>
    <w:rPr>
      <w:sz w:val="18"/>
    </w:rPr>
  </w:style>
  <w:style w:type="paragraph" w:styleId="TOC2">
    <w:name w:val="toc 2"/>
    <w:basedOn w:val="Style7"/>
    <w:pPr>
      <w:keepNext w:val="false"/>
      <w:tabs>
        <w:tab w:val="clear" w:pos="720"/>
        <w:tab w:val="right" w:pos="9575" w:leader="dot"/>
      </w:tabs>
      <w:spacing w:before="0" w:after="0"/>
      <w:ind w:hanging="0" w:start="283"/>
    </w:pPr>
    <w:rPr>
      <w:sz w:val="18"/>
    </w:rPr>
  </w:style>
  <w:style w:type="paragraph" w:styleId="TOC3">
    <w:name w:val="toc 3"/>
    <w:basedOn w:val="Style7"/>
    <w:pPr>
      <w:keepNext w:val="false"/>
      <w:tabs>
        <w:tab w:val="clear" w:pos="720"/>
        <w:tab w:val="right" w:pos="9291" w:leader="dot"/>
      </w:tabs>
      <w:spacing w:before="0" w:after="0"/>
      <w:ind w:hanging="0" w:start="567"/>
    </w:pPr>
    <w:rPr>
      <w:sz w:val="18"/>
    </w:rPr>
  </w:style>
  <w:style w:type="numbering" w:styleId="Style9" w:default="1">
    <w:name w:val="无列表"/>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证券研究工作区</dc:creator>
  <dc:description>generated by python-docx</dc:description>
  <dc:language>zh-CN</dc:language>
  <cp:lastModifiedBy/>
  <dcterms:modified xsi:type="dcterms:W3CDTF">2026-10-11T15:19:13Z</dcterms:modified>
  <cp:revision>2</cp:revision>
  <dc:subject>研究数据版本 f94f3d19b4e62e0b</dc:subject>
  <dc:title>公司深研 · 第04卷</dc:title>
</cp:coreProperties>
</file>

<file path=docProps/custom.xml><?xml version="1.0" encoding="utf-8"?>
<Properties xmlns="http://schemas.openxmlformats.org/officeDocument/2006/custom-properties" xmlns:vt="http://schemas.openxmlformats.org/officeDocument/2006/docPropsVTypes"/>
</file>