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06</w:t>
      </w:r>
      <w:r>
        <w:rPr>
          <w:color w:val="000000"/>
        </w:rPr>
        <w:t>卷</w:t>
      </w:r>
    </w:p>
    <w:p>
      <w:pPr>
        <w:pStyle w:val="Normal"/>
        <w:rPr/>
      </w:pPr>
      <w:r>
        <w:rPr/>
        <w:t>阶段收录</w:t>
      </w:r>
      <w:r>
        <w:rPr/>
        <w:t>8</w:t>
      </w:r>
      <w:r>
        <w:rPr/>
        <w:t>家公司 剩余公司接入后按统一规则更新卷次</w:t>
      </w:r>
    </w:p>
    <w:p>
      <w:pPr>
        <w:pStyle w:val="Normal"/>
        <w:rPr/>
      </w:pPr>
      <w:r>
        <w:rPr/>
        <w:t>资料截止：</w:t>
      </w:r>
      <w:r>
        <w:rPr/>
        <w:t>2026</w:t>
      </w:r>
      <w:r>
        <w:rPr/>
        <w:t>年</w:t>
      </w:r>
      <w:r>
        <w:rPr/>
        <w:t>10</w:t>
      </w:r>
      <w:r>
        <w:rPr/>
        <w:t>月</w:t>
      </w:r>
      <w:r>
        <w:rPr/>
        <w:t>9</w:t>
      </w:r>
      <w:r>
        <w:rPr/>
        <w:t>日。所有未来价格、盈利、估值、分红和汇率均为研究假设。研究范围为</w:t>
      </w:r>
      <w:r>
        <w:rPr/>
        <w:t>92</w:t>
      </w:r>
      <w:r>
        <w:rPr/>
        <w:t>家公司、</w:t>
      </w:r>
      <w:r>
        <w:rPr/>
        <w:t>96</w:t>
      </w:r>
      <w:r>
        <w:rPr/>
        <w:t>个股票证券。当前纳入</w:t>
      </w:r>
      <w:r>
        <w:rPr/>
        <w:t>91</w:t>
      </w:r>
      <w:r>
        <w:rPr/>
        <w:t>家公司模型，</w:t>
      </w:r>
      <w:r>
        <w:rPr/>
        <w:t>91</w:t>
      </w:r>
      <w:r>
        <w:rPr/>
        <w:t>家正文通过一万有效汉字门槛，剩余</w:t>
      </w:r>
      <w:r>
        <w:rPr/>
        <w:t>1</w:t>
      </w:r>
      <w:r>
        <w:rPr/>
        <w:t xml:space="preserve">家公司深研待补齐。阶段排名仅纳入已完成且具备可评估条件的证券。公司深研卷收录已达到正文门槛的公司；剩余内容按研究状态继续补齐。初版结论可随新增证据修订。数据版本 </w:t>
      </w:r>
      <w:r>
        <w:rPr/>
        <w:t>f94f3d19b4e62e0b</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37103_312338234" w:tooltip="金斯瑞生物科技 01548 HK">
            <w:r>
              <w:rPr>
                <w:rStyle w:val="Style5"/>
              </w:rPr>
              <w:t xml:space="preserve">金斯瑞生物科技 </w:t>
            </w:r>
            <w:r>
              <w:rPr>
                <w:rStyle w:val="Style5"/>
              </w:rPr>
              <w:t>01548 HK</w:t>
              <w:tab/>
              <w:t>3</w:t>
            </w:r>
          </w:hyperlink>
        </w:p>
        <w:p>
          <w:pPr>
            <w:pStyle w:val="TOC1"/>
            <w:tabs>
              <w:tab w:val="clear" w:pos="9858"/>
              <w:tab w:val="right" w:pos="9857" w:leader="dot"/>
            </w:tabs>
            <w:rPr/>
          </w:pPr>
          <w:hyperlink w:anchor="__RefHeading___Toc37105_312338234" w:tooltip="迪哲医药 688192 SH">
            <w:r>
              <w:rPr>
                <w:rStyle w:val="Style5"/>
              </w:rPr>
              <w:t xml:space="preserve">迪哲医药 </w:t>
            </w:r>
            <w:r>
              <w:rPr>
                <w:rStyle w:val="Style5"/>
              </w:rPr>
              <w:t>688192 SH</w:t>
              <w:tab/>
              <w:t>22</w:t>
            </w:r>
          </w:hyperlink>
        </w:p>
        <w:p>
          <w:pPr>
            <w:pStyle w:val="TOC1"/>
            <w:tabs>
              <w:tab w:val="clear" w:pos="9858"/>
              <w:tab w:val="right" w:pos="9857" w:leader="dot"/>
            </w:tabs>
            <w:rPr/>
          </w:pPr>
          <w:hyperlink w:anchor="__RefHeading___Toc37107_312338234" w:tooltip="比亚迪电子 00285 HK">
            <w:r>
              <w:rPr>
                <w:rStyle w:val="Style5"/>
              </w:rPr>
              <w:t xml:space="preserve">比亚迪电子 </w:t>
            </w:r>
            <w:r>
              <w:rPr>
                <w:rStyle w:val="Style5"/>
              </w:rPr>
              <w:t>00285 HK</w:t>
              <w:tab/>
              <w:t>40</w:t>
            </w:r>
          </w:hyperlink>
        </w:p>
        <w:p>
          <w:pPr>
            <w:pStyle w:val="TOC1"/>
            <w:tabs>
              <w:tab w:val="clear" w:pos="9858"/>
              <w:tab w:val="right" w:pos="9857" w:leader="dot"/>
            </w:tabs>
            <w:rPr/>
          </w:pPr>
          <w:hyperlink w:anchor="__RefHeading___Toc37109_312338234" w:tooltip="泡泡玛特 09992 HK">
            <w:r>
              <w:rPr>
                <w:rStyle w:val="Style5"/>
              </w:rPr>
              <w:t xml:space="preserve">泡泡玛特 </w:t>
            </w:r>
            <w:r>
              <w:rPr>
                <w:rStyle w:val="Style5"/>
              </w:rPr>
              <w:t>09992 HK</w:t>
              <w:tab/>
              <w:t>58</w:t>
            </w:r>
          </w:hyperlink>
        </w:p>
        <w:p>
          <w:pPr>
            <w:pStyle w:val="TOC1"/>
            <w:tabs>
              <w:tab w:val="clear" w:pos="9858"/>
              <w:tab w:val="right" w:pos="9857" w:leader="dot"/>
            </w:tabs>
            <w:rPr/>
          </w:pPr>
          <w:hyperlink w:anchor="__RefHeading___Toc37111_312338234" w:tooltip="三生制药 01530 HK">
            <w:r>
              <w:rPr>
                <w:rStyle w:val="Style5"/>
              </w:rPr>
              <w:t xml:space="preserve">三生制药 </w:t>
            </w:r>
            <w:r>
              <w:rPr>
                <w:rStyle w:val="Style5"/>
              </w:rPr>
              <w:t>01530 HK</w:t>
              <w:tab/>
              <w:t>79</w:t>
            </w:r>
          </w:hyperlink>
        </w:p>
        <w:p>
          <w:pPr>
            <w:pStyle w:val="TOC1"/>
            <w:tabs>
              <w:tab w:val="clear" w:pos="9858"/>
              <w:tab w:val="right" w:pos="9857" w:leader="dot"/>
            </w:tabs>
            <w:rPr/>
          </w:pPr>
          <w:hyperlink w:anchor="__RefHeading___Toc37113_312338234" w:tooltip="键凯科技 688356 SH">
            <w:r>
              <w:rPr>
                <w:rStyle w:val="Style5"/>
              </w:rPr>
              <w:t xml:space="preserve">键凯科技 </w:t>
            </w:r>
            <w:r>
              <w:rPr>
                <w:rStyle w:val="Style5"/>
              </w:rPr>
              <w:t>688356 SH</w:t>
              <w:tab/>
              <w:t>98</w:t>
            </w:r>
          </w:hyperlink>
        </w:p>
        <w:p>
          <w:pPr>
            <w:pStyle w:val="TOC1"/>
            <w:tabs>
              <w:tab w:val="clear" w:pos="9858"/>
              <w:tab w:val="right" w:pos="9857" w:leader="dot"/>
            </w:tabs>
            <w:rPr/>
          </w:pPr>
          <w:hyperlink w:anchor="__RefHeading___Toc37115_312338234" w:tooltip="中芯国际 00981 HK">
            <w:r>
              <w:rPr>
                <w:rStyle w:val="Style5"/>
              </w:rPr>
              <w:t xml:space="preserve">中芯国际 </w:t>
            </w:r>
            <w:r>
              <w:rPr>
                <w:rStyle w:val="Style5"/>
              </w:rPr>
              <w:t>00981 HK</w:t>
              <w:tab/>
              <w:t>118</w:t>
            </w:r>
          </w:hyperlink>
        </w:p>
        <w:p>
          <w:pPr>
            <w:pStyle w:val="TOC1"/>
            <w:tabs>
              <w:tab w:val="clear" w:pos="9858"/>
              <w:tab w:val="right" w:pos="9857" w:leader="dot"/>
            </w:tabs>
            <w:rPr/>
          </w:pPr>
          <w:hyperlink w:anchor="__RefHeading___Toc37117_312338234" w:tooltip="华虹宏力 01347 HK">
            <w:r>
              <w:rPr>
                <w:rStyle w:val="Style5"/>
              </w:rPr>
              <w:t xml:space="preserve">华虹宏力 </w:t>
            </w:r>
            <w:r>
              <w:rPr>
                <w:rStyle w:val="Style5"/>
              </w:rPr>
              <w:t>01347 HK</w:t>
              <w:tab/>
              <w:t>136</w:t>
            </w:r>
          </w:hyperlink>
          <w:r>
            <w:rPr>
              <w:rStyle w:val="Style5"/>
            </w:rPr>
            <w:fldChar w:fldCharType="end"/>
          </w:r>
        </w:p>
      </w:sdtContent>
    </w:sdt>
    <w:p>
      <w:pPr>
        <w:pStyle w:val="Normal"/>
        <w:rPr/>
      </w:pPr>
      <w:r>
        <w:rPr/>
      </w:r>
      <w:r>
        <w:br w:type="page"/>
      </w:r>
    </w:p>
    <w:p>
      <w:pPr>
        <w:pStyle w:val="Heading1"/>
        <w:rPr/>
      </w:pPr>
      <w:bookmarkStart w:id="0" w:name="__RefHeading___Toc37103_312338234"/>
      <w:bookmarkEnd w:id="0"/>
      <w:r>
        <w:rPr>
          <w:color w:val="000000"/>
        </w:rPr>
        <w:t xml:space="preserve">金斯瑞生物科技 </w:t>
      </w:r>
      <w:r>
        <w:rPr>
          <w:color w:val="000000"/>
        </w:rPr>
        <w:t>01548 HK</w:t>
      </w:r>
    </w:p>
    <w:p>
      <w:pPr>
        <w:pStyle w:val="Normal"/>
        <w:rPr/>
      </w:pPr>
      <w:r>
        <w:rPr/>
        <w:t xml:space="preserve">01548.HK </w:t>
      </w:r>
      <w:r>
        <w:rPr/>
        <w:t xml:space="preserve">现价 </w:t>
      </w:r>
      <w:r>
        <w:rPr/>
        <w:t>42.40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38.71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48.03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54.84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+29.35%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+29.35%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72.60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+71.23%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+71.23%</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-78.27%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33.82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67.81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+59.93%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36.17HKD</w:t>
      </w:r>
      <w:r>
        <w:rPr/>
        <w:t>，期望股价回报</w:t>
      </w:r>
      <w:r>
        <w:rPr/>
        <w:t>-14.70%</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8.31</w:t>
              <w:br/>
              <w:t>-80.40%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38.71</w:t>
              <w:br/>
              <w:t>-8.69%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77.39</w:t>
              <w:br/>
              <w:t>+82.53%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8.34</w:t>
              <w:br/>
              <w:t>-80.34%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48.03</w:t>
              <w:br/>
              <w:t>+13.27%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99.54</w:t>
              <w:br/>
              <w:t>+134.77%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7.07</w:t>
              <w:br/>
              <w:t>-83.33%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54.84</w:t>
              <w:br/>
              <w:t>+29.35%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131.38</w:t>
              <w:br/>
              <w:t>+209.86%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4.60</w:t>
              <w:br/>
              <w:t>-89.16%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72.60</w:t>
              <w:br/>
              <w:t>+71.23%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172.78</w:t>
              <w:br/>
              <w:t>+307.50%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+11.36%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一年日期修订：全部未来现金流</w:t>
      </w:r>
      <w:r>
        <w:rPr/>
        <w:t>ACT</w:t>
      </w:r>
      <w:r>
        <w:rPr/>
        <w:t>折现、目标年比例及目标现金</w:t>
      </w:r>
      <w:r>
        <w:rPr/>
        <w:t>/</w:t>
      </w:r>
      <w:r>
        <w:rPr/>
        <w:t>股数按实际日重算；经营假设不变。下文保留的额外压力测试按原假设日期运行，属于历史模型敏感性；核心三情景以上表及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-13.26%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+18.93%</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+22.88%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+29.35%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+35.82%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+62.67%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+71.23%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+79.80%</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42.40</w:t>
      </w:r>
      <w:r>
        <w:rPr/>
        <w:t>港元，发行人</w:t>
      </w:r>
      <w:r>
        <w:rPr/>
        <w:t>I035</w:t>
      </w:r>
      <w:r>
        <w:rPr/>
        <w:t>，证券</w:t>
      </w:r>
      <w:r>
        <w:rPr/>
        <w:t>S041</w:t>
      </w:r>
      <w:r>
        <w:rPr/>
        <w:t>，模型</w:t>
      </w:r>
      <w:r>
        <w:rPr/>
        <w:t>genscript-v1-transparent-SOTP-preferred-residual</w:t>
      </w:r>
      <w:r>
        <w:rPr/>
        <w:t>。资料截止同日；财务首次业绩</w:t>
      </w:r>
      <w:r>
        <w:rPr/>
        <w:t>2026</w:t>
      </w:r>
      <w:r>
        <w:rPr/>
        <w:t>年</w:t>
      </w:r>
      <w:r>
        <w:rPr/>
        <w:t>8</w:t>
      </w:r>
      <w:r>
        <w:rPr/>
        <w:t>月</w:t>
      </w:r>
      <w:r>
        <w:rPr/>
        <w:t>16</w:t>
      </w:r>
      <w:r>
        <w:rPr/>
        <w:t>日、中报</w:t>
      </w:r>
      <w:r>
        <w:rPr/>
        <w:t>9</w:t>
      </w:r>
      <w:r>
        <w:rPr/>
        <w:t>月</w:t>
      </w:r>
      <w:r>
        <w:rPr/>
        <w:t>16</w:t>
      </w:r>
      <w:r>
        <w:rPr/>
        <w:t>日，传奇原始</w:t>
      </w:r>
      <w:r>
        <w:rPr/>
        <w:t>SEC</w:t>
      </w:r>
      <w:r>
        <w:rPr/>
        <w:t>中报</w:t>
      </w:r>
      <w:r>
        <w:rPr/>
        <w:t>8</w:t>
      </w:r>
      <w:r>
        <w:rPr/>
        <w:t>月</w:t>
      </w:r>
      <w:r>
        <w:rPr/>
        <w:t>11</w:t>
      </w:r>
      <w:r>
        <w:rPr/>
        <w:t>日。半年</w:t>
      </w:r>
      <w:r>
        <w:rPr/>
        <w:t>62.7</w:t>
      </w:r>
      <w:r>
        <w:rPr/>
        <w:t>分、一年</w:t>
      </w:r>
      <w:r>
        <w:rPr/>
        <w:t>70.4</w:t>
      </w:r>
      <w:r>
        <w:rPr/>
        <w:t>分、三年</w:t>
      </w:r>
      <w:r>
        <w:rPr/>
        <w:t>73.6</w:t>
      </w:r>
      <w:r>
        <w:rPr/>
        <w:t>分、五年</w:t>
      </w:r>
      <w:r>
        <w:rPr/>
        <w:t>75.0</w:t>
      </w:r>
      <w:r>
        <w:rPr/>
        <w:t>分。半年为估值与波动约束下的观察梯队，一年为有条件成长候选，三年至五年为分散配置可研究候选；全名单排名由总表统一生成。证据可信度中等，行情基准较高，未来资产估值与资金归属中低。</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9.212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33.820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67.811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8.308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38.714</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77.394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8.337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48.026</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99.543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13.27%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13.27%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7.068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54.844</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131.382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29.35%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29.35%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4.597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72.603</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172.778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71.23%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71.23%</w:t>
            </w:r>
          </w:p>
        </w:tc>
      </w:tr>
    </w:tbl>
    <w:p>
      <w:pPr>
        <w:pStyle w:val="Normal"/>
        <w:rPr/>
      </w:pPr>
      <w:r>
        <w:rPr/>
      </w:r>
    </w:p>
    <w:p>
      <w:pPr>
        <w:pStyle w:val="Normal"/>
        <w:rPr/>
      </w:pPr>
      <w:r>
        <w:rPr/>
        <w:t>无未来股息假设，三年基准年化</w:t>
      </w:r>
      <w:r>
        <w:rPr/>
        <w:t>8.96%</w:t>
      </w:r>
      <w:r>
        <w:rPr/>
        <w:t>，五年</w:t>
      </w:r>
      <w:r>
        <w:rPr/>
        <w:t>11.36%</w:t>
      </w:r>
      <w:r>
        <w:rPr/>
        <w:t>。年底</w:t>
      </w:r>
      <w:r>
        <w:rPr/>
        <w:t>25%/50%/25%</w:t>
      </w:r>
      <w:r>
        <w:rPr/>
        <w:t>权重期望</w:t>
      </w:r>
      <w:r>
        <w:rPr/>
        <w:t>36.165879</w:t>
      </w:r>
      <w:r>
        <w:rPr/>
        <w:t>港元，回报−</w:t>
      </w:r>
      <w:r>
        <w:rPr/>
        <w:t>14.70%</w:t>
      </w:r>
      <w:r>
        <w:rPr/>
        <w:t>。情景不是统计区间，悲观结果不是最大损失边界。主要风险包括高预期估值、</w:t>
      </w:r>
      <w:r>
        <w:rPr/>
        <w:t>AIDD</w:t>
      </w:r>
      <w:r>
        <w:rPr/>
        <w:t>转化效率、细胞治疗安全性与竞争、优先股共同赎回义务、双层稀释、产能扩张现金消耗和国际采购政策。结论成立需要服务增长转化现金、传奇长期盈利提高而融资稀释受控；模型不是完整逐适应症</w:t>
      </w:r>
      <w:r>
        <w:rPr/>
        <w:t>DCF</w:t>
      </w:r>
      <w:r>
        <w:rPr/>
        <w:t>。</w:t>
      </w:r>
    </w:p>
    <w:p>
      <w:pPr>
        <w:pStyle w:val="Heading2"/>
        <w:rPr/>
      </w:pPr>
      <w:r>
        <w:rPr>
          <w:color w:val="000000"/>
        </w:rPr>
        <w:t>一 结论 成长已得到部分验证 现价也已预支一部分成长</w:t>
      </w:r>
    </w:p>
    <w:p>
      <w:pPr>
        <w:pStyle w:val="Normal"/>
        <w:rPr/>
      </w:pPr>
      <w:r>
        <w:rPr/>
        <w:t>金斯瑞是名单中能同时接触科研工具、创新药外包和细胞治疗的公司。生命科学服务及产品贡献主要并表收入，蓬勃生物提供生物制剂和先进疗法的研发制造，百斯杰经营工业酶及合成生物产品，传奇则以联营权益形式提供细胞治疗经济收益。四种业务拥有不同的客户、资本需求、盈利周期和股权结构。投资价值来自这些业务的可归属现金，不能用一个笼统的创新药或人工智能标签替代分析。</w:t>
      </w:r>
    </w:p>
    <w:p>
      <w:pPr>
        <w:pStyle w:val="Normal"/>
        <w:rPr/>
      </w:pPr>
      <w:r>
        <w:rPr/>
        <w:t>截至基准日，核心业务恢复很有力度。上半年剔除去年礼新授权交易影响后的基本收入增长</w:t>
      </w:r>
      <w:r>
        <w:rPr/>
        <w:t>27.3%</w:t>
      </w:r>
      <w:r>
        <w:rPr/>
        <w:t>，生命科学分部收入增长</w:t>
      </w:r>
      <w:r>
        <w:rPr/>
        <w:t>28.8%</w:t>
      </w:r>
      <w:r>
        <w:rPr/>
        <w:t>，经调整经营利润增长约</w:t>
      </w:r>
      <w:r>
        <w:rPr/>
        <w:t>102.8%</w:t>
      </w:r>
      <w:r>
        <w:rPr/>
        <w:t>。这些结果支持全球实验需求扩张与效率改善已经产生经济效果。与此同时，报告收入下降</w:t>
      </w:r>
      <w:r>
        <w:rPr/>
        <w:t>22.1%</w:t>
      </w:r>
      <w:r>
        <w:rPr/>
        <w:t>，归母仍亏损，核心经营现金扣资本开支后略负。投资者需要同时接受这四个事实，不能只取最漂亮的同比数据来推导投资回报。</w:t>
      </w:r>
    </w:p>
    <w:p>
      <w:pPr>
        <w:pStyle w:val="Normal"/>
        <w:rPr/>
      </w:pPr>
      <w:r>
        <w:rPr/>
        <w:t>42.40</w:t>
      </w:r>
      <w:r>
        <w:rPr/>
        <w:t>港元较最近六十个交易日前上涨</w:t>
      </w:r>
      <w:r>
        <w:rPr/>
        <w:t>192.62%</w:t>
      </w:r>
      <w:r>
        <w:rPr/>
        <w:t>，较二百五十日均线高</w:t>
      </w:r>
      <w:r>
        <w:rPr/>
        <w:t>140.03%</w:t>
      </w:r>
      <w:r>
        <w:rPr/>
        <w:t>。当前价格已经大幅改变买入时面对的预期和风险。摩根大通最近公开目标</w:t>
      </w:r>
      <w:r>
        <w:rPr/>
        <w:t>41</w:t>
      </w:r>
      <w:r>
        <w:rPr/>
        <w:t>港元、高盛</w:t>
      </w:r>
      <w:r>
        <w:rPr/>
        <w:t>38.54</w:t>
      </w:r>
      <w:r>
        <w:rPr/>
        <w:t>港元，分别略低于现价。这些机构可能未来更新判断，但截至日没有可核验的更高新目标，研究不能替他们补出看涨数字。公司仍可能优秀，而从这个价格取得半年高回报需要比已经验证的增长更强的增量证据。</w:t>
      </w:r>
    </w:p>
    <w:p>
      <w:pPr>
        <w:pStyle w:val="Normal"/>
        <w:rPr/>
      </w:pPr>
      <w:r>
        <w:rPr/>
        <w:t>本章采用分部估值，年底基准</w:t>
      </w:r>
      <w:r>
        <w:rPr/>
        <w:t>33.82</w:t>
      </w:r>
      <w:r>
        <w:rPr/>
        <w:t>港元、半年</w:t>
      </w:r>
      <w:r>
        <w:rPr/>
        <w:t>38.71</w:t>
      </w:r>
      <w:r>
        <w:rPr/>
        <w:t>港元，均低于现价。一年</w:t>
      </w:r>
      <w:r>
        <w:rPr/>
        <w:t>48.03</w:t>
      </w:r>
      <w:r>
        <w:rPr/>
        <w:t>港元、三年</w:t>
      </w:r>
      <w:r>
        <w:rPr/>
        <w:t>54.84</w:t>
      </w:r>
      <w:r>
        <w:rPr/>
        <w:t>港元、五年</w:t>
      </w:r>
      <w:r>
        <w:rPr/>
        <w:t>72.60</w:t>
      </w:r>
      <w:r>
        <w:rPr/>
        <w:t>港元体现持续成长，但三年基准年化只有</w:t>
      </w:r>
      <w:r>
        <w:rPr/>
        <w:t>8.96%</w:t>
      </w:r>
      <w:r>
        <w:rPr/>
        <w:t>，没有达到单凭乐观行业空间就可以推定的翻倍水平。长期目标的上涨空间主要来自经营利润增加，合理倍数逐步下降，母公司与传奇的未来股权稀释也被计入。因此短期推荐分数有限，长期候选资格仍需现金与竞争优势验证。</w:t>
      </w:r>
    </w:p>
    <w:p>
      <w:pPr>
        <w:pStyle w:val="Heading2"/>
        <w:rPr/>
      </w:pPr>
      <w:r>
        <w:rPr>
          <w:color w:val="000000"/>
        </w:rPr>
        <w:t>二 业务边界与股东真正拥有的经济权益</w:t>
      </w:r>
    </w:p>
    <w:p>
      <w:pPr>
        <w:pStyle w:val="Normal"/>
        <w:rPr/>
      </w:pPr>
      <w:r>
        <w:rPr/>
        <w:t>金斯瑞生命科学事业务于研究人员从基因序列到可供实验的蛋白、抗体及相关材料。客户需要序列合成、克隆、表达、纯化和实验检测，服务价值不仅是制造一个分子，还包括按质量要求准时交付。科研人员和研发企业把部分标准化或规模化实验交给专业平台，能够减少内部设备与人员投入。平台能否保留价格和利润，取决于交付质量、难序列表达能力、周期和客户复购，而不是合成步骤本身有没有技术含量。</w:t>
      </w:r>
    </w:p>
    <w:p>
      <w:pPr>
        <w:pStyle w:val="Normal"/>
        <w:rPr/>
      </w:pPr>
      <w:r>
        <w:rPr/>
        <w:t>这一业务与单个创新药公司的差别在于，它可以在多个候选药物尚未成功时取得研究服务收入。一个客户临床失败会终止后续需求，却不必让已完成服务全部失去经济价值。分散客户和项目在一定程度上降低单药集中风险。但是早期实验支出高度依赖客户融资和预算，创新药资本寒冬时，平台仍可能经历需求下降与价格压力。服务多个项目并不代表行业周期已经被消除。</w:t>
      </w:r>
    </w:p>
    <w:p>
      <w:pPr>
        <w:pStyle w:val="Normal"/>
        <w:rPr/>
      </w:pPr>
      <w:r>
        <w:rPr/>
        <w:t>蓬勃生物的业务往研发、工艺和生产方向延伸，涉及抗体、重组蛋白、质粒、病毒载体等。其经济模式与生命科学小规模实验不同：后期开发和</w:t>
      </w:r>
      <w:r>
        <w:rPr/>
        <w:t>GMP</w:t>
      </w:r>
      <w:r>
        <w:rPr/>
        <w:t>制造需要更复杂的质量体系、验证和资本投入，单项目收入可能更大，工厂利用率对毛利影响也更强。前期签约不能直接等于商业生产收入，项目临床失败、客户融资不足和技术转移延迟都能改变未来制造需求。</w:t>
      </w:r>
    </w:p>
    <w:p>
      <w:pPr>
        <w:pStyle w:val="Normal"/>
        <w:rPr/>
      </w:pPr>
      <w:r>
        <w:rPr/>
        <w:t>百斯杰提供工业酶及相关合成生物产品，客户购买的是特定工业用途下的性能和成本。行业空间涉及食品、饲料及其他工业过程，但某一种新酶技术仍要通过客户生产线验证、配方调整和供应稳定性才能进入收入。它与肿瘤创新药没有相同的单价和毛利逻辑，也与纯软件没有相同的复制成本。研究给予相对较低收入估值倍数，避免把合成生物的潜在市场总额直接变成公司价值。</w:t>
      </w:r>
    </w:p>
    <w:p>
      <w:pPr>
        <w:pStyle w:val="Normal"/>
        <w:rPr/>
      </w:pPr>
      <w:r>
        <w:rPr/>
        <w:t>传奇在</w:t>
      </w:r>
      <w:r>
        <w:rPr/>
        <w:t>2024</w:t>
      </w:r>
      <w:r>
        <w:rPr/>
        <w:t>年解除并表后是重要联营公司，六月末持股</w:t>
      </w:r>
      <w:r>
        <w:rPr/>
        <w:t>45.03%</w:t>
      </w:r>
      <w:r>
        <w:rPr/>
        <w:t>，较去年底</w:t>
      </w:r>
      <w:r>
        <w:rPr/>
        <w:t>47.18%</w:t>
      </w:r>
      <w:r>
        <w:rPr/>
        <w:t>减少。金斯瑞股东拥有传奇部分股权的经济价值，未拥有传奇全部销售和现金。传奇本身又与强生分享</w:t>
      </w:r>
      <w:r>
        <w:rPr/>
        <w:t>CARVYKTI</w:t>
      </w:r>
      <w:r>
        <w:rPr/>
        <w:t>的开发、生产和商业化收益。穿过两层权益后，全球药品销售总额不能直接乘金斯瑞估值倍数；正确路径是先估传奇在合作安排后的权益价值，再按金斯瑞持股和持股折价归属。</w:t>
      </w:r>
    </w:p>
    <w:p>
      <w:pPr>
        <w:pStyle w:val="Heading2"/>
        <w:rPr/>
      </w:pPr>
      <w:r>
        <w:rPr>
          <w:color w:val="000000"/>
        </w:rPr>
        <w:t xml:space="preserve">三 </w:t>
      </w:r>
      <w:r>
        <w:rPr>
          <w:color w:val="000000"/>
        </w:rPr>
        <w:t>AIDD</w:t>
      </w:r>
      <w:r>
        <w:rPr>
          <w:color w:val="000000"/>
        </w:rPr>
        <w:t>为什么可能扩大实验服务需求</w:t>
      </w:r>
    </w:p>
    <w:p>
      <w:pPr>
        <w:pStyle w:val="Normal"/>
        <w:rPr/>
      </w:pPr>
      <w:r>
        <w:rPr/>
        <w:t>人工智能药物发现可以更快提出候选序列、结构和组合，但模型推断不等于实验验证。候选能否表达、折叠、结合靶点并具有特定功能，仍需要湿实验数据。若候选生成速度提高而实验吞吐能力没有同步提升，实验环节就成为研发效率瓶颈。金斯瑞的潜在机会在于给大量候选提供标准化、高质量、可回传的数据，使计算与实验迭代循环更快。这是一条可解释的收入机会，尚不等于市场需求必定无限扩张。</w:t>
      </w:r>
    </w:p>
    <w:p>
      <w:pPr>
        <w:pStyle w:val="Normal"/>
        <w:rPr/>
      </w:pPr>
      <w:r>
        <w:rPr/>
        <w:t>需求增长有两种可能路径。一种是客户总预算增加，让更多候选进入实验；另一种是同样预算下通过自动化和规模降低单次实验成本，增加候选数量。第二种路径可以增加数量，却未必同幅增加收入。平台需要让单位成本下降快于单价下降，并通过复杂服务、质量和交付效率保留价值。研究因此用收入与经营利润率分别建模，不把候选数量或算力投资增长当作公司收入增长率。</w:t>
      </w:r>
    </w:p>
    <w:p>
      <w:pPr>
        <w:pStyle w:val="Normal"/>
        <w:rPr/>
      </w:pPr>
      <w:r>
        <w:rPr/>
        <w:t>2026</w:t>
      </w:r>
      <w:r>
        <w:rPr/>
        <w:t>年</w:t>
      </w:r>
      <w:r>
        <w:rPr/>
        <w:t>9</w:t>
      </w:r>
      <w:r>
        <w:rPr/>
        <w:t>月</w:t>
      </w:r>
      <w:r>
        <w:rPr/>
        <w:t>18</w:t>
      </w:r>
      <w:r>
        <w:rPr/>
        <w:t>日摩根大通公开新闻讨论礼来</w:t>
      </w:r>
      <w:r>
        <w:rPr/>
        <w:t>TuneLab</w:t>
      </w:r>
      <w:r>
        <w:rPr/>
        <w:t>与金斯瑞合作，内容包括基因合成、蛋白表达、纯化及按标准化协议测试。合作说明公司可能被大型研发生态选为实验服务参与者，有助于增加认可度和潜在客户接触。公开资料没有披露确定采购金额、最低收入、合同期限或排他安排。本模型没有把合作新闻直接转换成某笔保证订单，也没有额外添加所谓合作估值溢价。</w:t>
      </w:r>
    </w:p>
    <w:p>
      <w:pPr>
        <w:pStyle w:val="Normal"/>
        <w:rPr/>
      </w:pPr>
      <w:r>
        <w:rPr/>
        <w:t>AIDD</w:t>
      </w:r>
      <w:r>
        <w:rPr/>
        <w:t>的竞争也会加速。客户可能内建机器人实验室，其他工具和制造企业也会改善自动化，标准化接口可能让更换供应商变容易。金斯瑞需要在复杂表达成功率、规模交付和数据一致性上形成差异，而不能只靠最初进入合作名单。若未来增长主要由容易复制的低难度实验驱动，量增价降会限制利润率；若复杂功能验证占比提高并持续复购，较高合理经营倍数才有基础。</w:t>
      </w:r>
    </w:p>
    <w:p>
      <w:pPr>
        <w:pStyle w:val="Heading2"/>
        <w:rPr/>
      </w:pPr>
      <w:r>
        <w:rPr>
          <w:color w:val="000000"/>
        </w:rPr>
        <w:t>四 生命科学分部 增长 毛利与正常利润</w:t>
      </w:r>
    </w:p>
    <w:p>
      <w:pPr>
        <w:pStyle w:val="Normal"/>
        <w:rPr/>
      </w:pPr>
      <w:r>
        <w:rPr/>
        <w:t>上半年生命科学分部总收入</w:t>
      </w:r>
      <w:r>
        <w:rPr/>
        <w:t>3.18979</w:t>
      </w:r>
      <w:r>
        <w:rPr/>
        <w:t>亿美元，经调整毛利</w:t>
      </w:r>
      <w:r>
        <w:rPr/>
        <w:t>1.84514</w:t>
      </w:r>
      <w:r>
        <w:rPr/>
        <w:t>亿美元，毛利率</w:t>
      </w:r>
      <w:r>
        <w:rPr/>
        <w:t>57.8%</w:t>
      </w:r>
      <w:r>
        <w:rPr/>
        <w:t>，较上期</w:t>
      </w:r>
      <w:r>
        <w:rPr/>
        <w:t>51.0%</w:t>
      </w:r>
      <w:r>
        <w:rPr/>
        <w:t>提高。经调整经营利润</w:t>
      </w:r>
      <w:r>
        <w:rPr/>
        <w:t>0.94018</w:t>
      </w:r>
      <w:r>
        <w:rPr/>
        <w:t>亿美元，比上期</w:t>
      </w:r>
      <w:r>
        <w:rPr/>
        <w:t>0.46350</w:t>
      </w:r>
      <w:r>
        <w:rPr/>
        <w:t>亿美元增加约一倍。收入、毛利率和经营利润同时改善，通常比只有收入增长更有说服力，说明利用率和业务组合有改善。中报解释还包括自動化数字化、市场细分、客户互动与部分退税政策支持，不能把所有提升都理解为永久技术定价权。</w:t>
      </w:r>
    </w:p>
    <w:p>
      <w:pPr>
        <w:pStyle w:val="Normal"/>
        <w:rPr/>
      </w:pPr>
      <w:r>
        <w:rPr/>
        <w:t>经调整经营利润排除股份薪酬成本，研究估值不能直接把这一数值当作完全归普通股股东的正常盈利。分部附注实际销售、行政与研发费用中保留了股份薪酬，生命科学分部除税前利润约</w:t>
      </w:r>
      <w:r>
        <w:rPr/>
        <w:t>0.88037</w:t>
      </w:r>
      <w:r>
        <w:rPr/>
        <w:t>亿美元，相关其他项目又使其与纯经营利润略不同。模型使用预测正常经营利润率，明确保留正常折旧、研发与股份薪酬经济费用，税后再乘倍数，而不是把报告中的每个调整项目全部重新加回。</w:t>
      </w:r>
    </w:p>
    <w:p>
      <w:pPr>
        <w:pStyle w:val="Normal"/>
        <w:rPr/>
      </w:pPr>
      <w:r>
        <w:rPr/>
        <w:t>半年基准对应下一经营年度生命科学外部收入</w:t>
      </w:r>
      <w:r>
        <w:rPr/>
        <w:t>8.6</w:t>
      </w:r>
      <w:r>
        <w:rPr/>
        <w:t>亿美元、经营利润率</w:t>
      </w:r>
      <w:r>
        <w:rPr/>
        <w:t>30%</w:t>
      </w:r>
      <w:r>
        <w:rPr/>
        <w:t>、正常税率</w:t>
      </w:r>
      <w:r>
        <w:rPr/>
        <w:t>18%</w:t>
      </w:r>
      <w:r>
        <w:rPr/>
        <w:t>，得税后经营利润</w:t>
      </w:r>
      <w:r>
        <w:rPr/>
        <w:t>2.1156</w:t>
      </w:r>
      <w:r>
        <w:rPr/>
        <w:t>亿美元，以</w:t>
      </w:r>
      <w:r>
        <w:rPr/>
        <w:t>34</w:t>
      </w:r>
      <w:r>
        <w:rPr/>
        <w:t>倍计经营企业价值</w:t>
      </w:r>
      <w:r>
        <w:rPr/>
        <w:t>71.9304</w:t>
      </w:r>
      <w:r>
        <w:rPr/>
        <w:t>亿美元。这个假设已要求较强增长和利润率维持，谈不上保守低估值。三年基准收入</w:t>
      </w:r>
      <w:r>
        <w:rPr/>
        <w:t>15</w:t>
      </w:r>
      <w:r>
        <w:rPr/>
        <w:t>亿美元、利润率</w:t>
      </w:r>
      <w:r>
        <w:rPr/>
        <w:t>30%</w:t>
      </w:r>
      <w:r>
        <w:rPr/>
        <w:t>、</w:t>
      </w:r>
      <w:r>
        <w:rPr/>
        <w:t>28</w:t>
      </w:r>
      <w:r>
        <w:rPr/>
        <w:t>倍，五年</w:t>
      </w:r>
      <w:r>
        <w:rPr/>
        <w:t>22</w:t>
      </w:r>
      <w:r>
        <w:rPr/>
        <w:t>亿美元、</w:t>
      </w:r>
      <w:r>
        <w:rPr/>
        <w:t>26</w:t>
      </w:r>
      <w:r>
        <w:rPr/>
        <w:t>倍。长期倍数下降是对业务成熟、竞争和资本要求的约束，不依赖永远升估值来制造回报。</w:t>
      </w:r>
    </w:p>
    <w:p>
      <w:pPr>
        <w:pStyle w:val="Normal"/>
        <w:rPr/>
      </w:pPr>
      <w:r>
        <w:rPr/>
        <w:t>分部对外收入附注为</w:t>
      </w:r>
      <w:r>
        <w:rPr/>
        <w:t>3.15218</w:t>
      </w:r>
      <w:r>
        <w:rPr/>
        <w:t>亿美元，内部收入</w:t>
      </w:r>
      <w:r>
        <w:rPr/>
        <w:t>0.03761</w:t>
      </w:r>
      <w:r>
        <w:rPr/>
        <w:t>亿美元，两者构成分部总收入。估值以未来对外客户收入为基础，内部实验和跨分部服务不再重复增加集团价值。数据分类附注在不同页面有不同列示，研究统一采用经营分部附注的外部收入，保证其与蓬勃、百斯杰和管理分部合计回到集团</w:t>
      </w:r>
      <w:r>
        <w:rPr/>
        <w:t>4.04216</w:t>
      </w:r>
      <w:r>
        <w:rPr/>
        <w:t>亿美元。不能将各部门含内部交易的营业额直接相加当作集团收入。</w:t>
      </w:r>
    </w:p>
    <w:p>
      <w:pPr>
        <w:pStyle w:val="Heading2"/>
        <w:rPr/>
      </w:pPr>
      <w:r>
        <w:rPr>
          <w:color w:val="000000"/>
        </w:rPr>
        <w:t>五 蓬勃生物 亏损工厂与转化选择权</w:t>
      </w:r>
    </w:p>
    <w:p>
      <w:pPr>
        <w:pStyle w:val="Normal"/>
        <w:rPr/>
      </w:pPr>
      <w:r>
        <w:rPr/>
        <w:t>上半年蓬勃分部收入</w:t>
      </w:r>
      <w:r>
        <w:rPr/>
        <w:t>0.61110</w:t>
      </w:r>
      <w:r>
        <w:rPr/>
        <w:t>亿美元，基本基准增长</w:t>
      </w:r>
      <w:r>
        <w:rPr/>
        <w:t>34.2%</w:t>
      </w:r>
      <w:r>
        <w:rPr/>
        <w:t>，外部客户收入</w:t>
      </w:r>
      <w:r>
        <w:rPr/>
        <w:t>0.58028</w:t>
      </w:r>
      <w:r>
        <w:rPr/>
        <w:t>亿美元。经调整毛利</w:t>
      </w:r>
      <w:r>
        <w:rPr/>
        <w:t>0.08315</w:t>
      </w:r>
      <w:r>
        <w:rPr/>
        <w:t>亿美元，毛利率从</w:t>
      </w:r>
      <w:r>
        <w:rPr/>
        <w:t>1.5%</w:t>
      </w:r>
      <w:r>
        <w:rPr/>
        <w:t>提高到</w:t>
      </w:r>
      <w:r>
        <w:rPr/>
        <w:t>13.6%</w:t>
      </w:r>
      <w:r>
        <w:rPr/>
        <w:t>；经调整经营亏损从</w:t>
      </w:r>
      <w:r>
        <w:rPr/>
        <w:t>0.31318</w:t>
      </w:r>
      <w:r>
        <w:rPr/>
        <w:t>亿美元收窄至</w:t>
      </w:r>
      <w:r>
        <w:rPr/>
        <w:t>0.24262</w:t>
      </w:r>
      <w:r>
        <w:rPr/>
        <w:t>亿美元。改善很明显，但依然亏损，制造价值尚未通过稳定利润证明。服务增长和毛利提升可以支持较长期的选择权，不能用某一年授权收入带来的高利润替代持续制造能力。</w:t>
      </w:r>
    </w:p>
    <w:p>
      <w:pPr>
        <w:pStyle w:val="Normal"/>
        <w:rPr/>
      </w:pPr>
      <w:r>
        <w:rPr/>
        <w:t>公司在美国和中国布局先进疗法产能，新泽西设施第二季已投入</w:t>
      </w:r>
      <w:r>
        <w:rPr/>
        <w:t>GMP</w:t>
      </w:r>
      <w:r>
        <w:rPr/>
        <w:t>慢病毒载体产能，镇江新增生物药原液模块配备二千升一次性反应器，报告预期第三季投产。这些披露代表设施和产能规划，研究截止日不能据预计日期自动假定全部订单已经达产。新设备进入可使用状态后折旧增加，若客户项目进度慢，利润率会先承压；若质量验证和订单放量顺利，固定成本被更多收入分摊才形成经营杠杆。</w:t>
      </w:r>
    </w:p>
    <w:p>
      <w:pPr>
        <w:pStyle w:val="Normal"/>
        <w:rPr/>
      </w:pPr>
      <w:r>
        <w:rPr/>
        <w:t>先进疗法客户的需求通常复杂，技术转移与验证可以形成粘性，但客户也有分散制造风险和控制成本的动机。病毒载体、质粒和不同生物制剂不是同一种工艺，设备利用率也不能在不同产品间无成本切换。公司必须证明扩建的是客户需要的正确产能，并拥有项目管理与质量人才。单看总反应器容量或设施数量，无法判断每个新增资本投入的收益。</w:t>
      </w:r>
    </w:p>
    <w:p>
      <w:pPr>
        <w:pStyle w:val="Normal"/>
        <w:rPr/>
      </w:pPr>
      <w:r>
        <w:rPr/>
        <w:t>模型对蓬勃使用全企业收入倍数而非亏损</w:t>
      </w:r>
      <w:r>
        <w:rPr/>
        <w:t>PE</w:t>
      </w:r>
      <w:r>
        <w:rPr/>
        <w:t>，半年基准外部收入</w:t>
      </w:r>
      <w:r>
        <w:rPr/>
        <w:t>2</w:t>
      </w:r>
      <w:r>
        <w:rPr/>
        <w:t>亿美元、六倍，经营企业价值</w:t>
      </w:r>
      <w:r>
        <w:rPr/>
        <w:t>12</w:t>
      </w:r>
      <w:r>
        <w:rPr/>
        <w:t>亿美元；一年</w:t>
      </w:r>
      <w:r>
        <w:rPr/>
        <w:t>2.7</w:t>
      </w:r>
      <w:r>
        <w:rPr/>
        <w:t>亿美元、六倍，三年</w:t>
      </w:r>
      <w:r>
        <w:rPr/>
        <w:t>3.8</w:t>
      </w:r>
      <w:r>
        <w:rPr/>
        <w:t>亿美元、五倍，五年</w:t>
      </w:r>
      <w:r>
        <w:rPr/>
        <w:t>6</w:t>
      </w:r>
      <w:r>
        <w:rPr/>
        <w:t>亿美元、四点五倍。收入倍数隐含未来盈利与现金流路径，如果毛利长期停在低水平就不成立。本章将其标注为简化企业价值假设，不能称为完成逐工厂自由现金流模型，后续要以利用率、订单转化和现金回收补充。</w:t>
      </w:r>
    </w:p>
    <w:p>
      <w:pPr>
        <w:pStyle w:val="Heading2"/>
        <w:rPr/>
      </w:pPr>
      <w:r>
        <w:rPr>
          <w:color w:val="000000"/>
        </w:rPr>
        <w:t>六 蓬勃分拆及优先股 不能同时算资产又忽略义务</w:t>
      </w:r>
    </w:p>
    <w:p>
      <w:pPr>
        <w:pStyle w:val="Normal"/>
        <w:rPr/>
      </w:pPr>
      <w:r>
        <w:rPr/>
        <w:t>9</w:t>
      </w:r>
      <w:r>
        <w:rPr/>
        <w:t>月</w:t>
      </w:r>
      <w:r>
        <w:rPr/>
        <w:t>4</w:t>
      </w:r>
      <w:r>
        <w:rPr/>
        <w:t>日公告称拟分拆蓬勃并在香港主板独立上市，上市委员会</w:t>
      </w:r>
      <w:r>
        <w:rPr/>
        <w:t>8</w:t>
      </w:r>
      <w:r>
        <w:rPr/>
        <w:t>月</w:t>
      </w:r>
      <w:r>
        <w:rPr/>
        <w:t>14</w:t>
      </w:r>
      <w:r>
        <w:rPr/>
        <w:t>日确认可以继续推行方案，最终批准、市场条件和其他安排仍待落实。完成后金斯瑞预计继续持有控股权并继续并表。现有股东保证配额拟通过优先申请提供，条款尚未落实。这是可能获得认购机会，不能解释成免费收到新股票，不能为股东凭空计算实物分派收益。</w:t>
      </w:r>
    </w:p>
    <w:p>
      <w:pPr>
        <w:pStyle w:val="Normal"/>
        <w:rPr/>
      </w:pPr>
      <w:r>
        <w:rPr/>
        <w:t>分拆可以帮助外界单独评估业务，带来资本和治理透明度，但也可能发生股权稀释、交易费用及更高公开公司管理成本。如果新资金用于提高产能效率，长期可以创造价值；如果在估值偏低时融资或资本项目回报不足，控股股东每股经济权益可能下降。模型当前保持并表业务范围，不添加尚未确定的</w:t>
      </w:r>
      <w:r>
        <w:rPr/>
        <w:t>IPO</w:t>
      </w:r>
      <w:r>
        <w:rPr/>
        <w:t>收入和承销价格；事件发生之后必须按照实际资本结构刷新。</w:t>
      </w:r>
    </w:p>
    <w:p>
      <w:pPr>
        <w:pStyle w:val="Normal"/>
        <w:rPr/>
      </w:pPr>
      <w:r>
        <w:rPr/>
        <w:t>蓬勃</w:t>
      </w:r>
      <w:r>
        <w:rPr/>
        <w:t>C</w:t>
      </w:r>
      <w:r>
        <w:rPr/>
        <w:t>类优先股六月末合并公允价值负债</w:t>
      </w:r>
      <w:r>
        <w:rPr/>
        <w:t>2.71586</w:t>
      </w:r>
      <w:r>
        <w:rPr/>
        <w:t>亿美元，</w:t>
      </w:r>
      <w:r>
        <w:rPr/>
        <w:t>B</w:t>
      </w:r>
      <w:r>
        <w:rPr/>
        <w:t>类负债约</w:t>
      </w:r>
      <w:r>
        <w:rPr/>
        <w:t>0.455</w:t>
      </w:r>
      <w:r>
        <w:rPr/>
        <w:t>亿美元，百斯杰优先融资负债约</w:t>
      </w:r>
      <w:r>
        <w:rPr/>
        <w:t>0.446</w:t>
      </w:r>
      <w:r>
        <w:rPr/>
        <w:t>亿美元。这些义务不仅影响报告损益，也具有潜在现金和股权经济后果。</w:t>
      </w:r>
      <w:r>
        <w:rPr/>
        <w:t>C</w:t>
      </w:r>
      <w:r>
        <w:rPr/>
        <w:t>类符合条件转换后可以成为普通股，合格</w:t>
      </w:r>
      <w:r>
        <w:rPr/>
        <w:t>IPO</w:t>
      </w:r>
      <w:r>
        <w:rPr/>
        <w:t>自动转换；出现约定赎回事件，外部持有人可以要求蓬勃及金斯瑞共同及个别赎回。流动负债列示受转换会计分类影响，不表示一定立即发生全额现金偿还，但也不能当作没有风险。</w:t>
      </w:r>
    </w:p>
    <w:p>
      <w:pPr>
        <w:pStyle w:val="Normal"/>
        <w:rPr/>
      </w:pPr>
      <w:r>
        <w:rPr/>
        <w:t>研究统一按全企业经营价值减外部优先义务，假设未来仍按未转换路径处理。没有同时把蓬勃价值乘一个未知的少数权益比例再全扣优先负债，以避免双扣；也没有把母公司自己认购的三千万美元</w:t>
      </w:r>
      <w:r>
        <w:rPr/>
        <w:t>C</w:t>
      </w:r>
      <w:r>
        <w:rPr/>
        <w:t>类优先股另加独立投资，因为合并内部关系已抵销。</w:t>
      </w:r>
      <w:r>
        <w:rPr/>
        <w:t>B</w:t>
      </w:r>
      <w:r>
        <w:rPr/>
        <w:t>类少量权益部分和非优先少数权益尚未完全穿透，因此属于模型局限。若</w:t>
      </w:r>
      <w:r>
        <w:rPr/>
        <w:t>IPO</w:t>
      </w:r>
      <w:r>
        <w:rPr/>
        <w:t>转换落实，应改用转换后股权比例，撤销对应债务扣除，不可以保留两种口径。</w:t>
      </w:r>
    </w:p>
    <w:p>
      <w:pPr>
        <w:pStyle w:val="Heading2"/>
        <w:rPr/>
      </w:pPr>
      <w:r>
        <w:rPr>
          <w:color w:val="000000"/>
        </w:rPr>
        <w:t>七 百斯杰与工业合成生物的真实商业要求</w:t>
      </w:r>
    </w:p>
    <w:p>
      <w:pPr>
        <w:pStyle w:val="Normal"/>
        <w:rPr/>
      </w:pPr>
      <w:r>
        <w:rPr/>
        <w:t>百斯杰上半年收入</w:t>
      </w:r>
      <w:r>
        <w:rPr/>
        <w:t>0.30387</w:t>
      </w:r>
      <w:r>
        <w:rPr/>
        <w:t>亿美元，同比增长</w:t>
      </w:r>
      <w:r>
        <w:rPr/>
        <w:t>7.4%</w:t>
      </w:r>
      <w:r>
        <w:rPr/>
        <w:t>，经调整毛利</w:t>
      </w:r>
      <w:r>
        <w:rPr/>
        <w:t>0.13027</w:t>
      </w:r>
      <w:r>
        <w:rPr/>
        <w:t>亿美元、毛利率</w:t>
      </w:r>
      <w:r>
        <w:rPr/>
        <w:t>42.9%</w:t>
      </w:r>
      <w:r>
        <w:rPr/>
        <w:t>，比上期</w:t>
      </w:r>
      <w:r>
        <w:rPr/>
        <w:t>40.4%</w:t>
      </w:r>
      <w:r>
        <w:rPr/>
        <w:t>增加。经调整经营亏损由</w:t>
      </w:r>
      <w:r>
        <w:rPr/>
        <w:t>0.00581</w:t>
      </w:r>
      <w:r>
        <w:rPr/>
        <w:t>亿美元扩大至</w:t>
      </w:r>
      <w:r>
        <w:rPr/>
        <w:t>0.01290</w:t>
      </w:r>
      <w:r>
        <w:rPr/>
        <w:t>亿美元，主要与研发和合成生物平台投入有关。毛利较好并不保证净利润增长，产品开发、客户拓展和总部费用都消耗资源。研究没有因为“合成生物”名称就赋予高于成熟服务平台的估值。</w:t>
      </w:r>
    </w:p>
    <w:p>
      <w:pPr>
        <w:pStyle w:val="Normal"/>
        <w:rPr/>
      </w:pPr>
      <w:r>
        <w:rPr/>
        <w:t>工业酶需要在客户实际生产条件下起效，实验室性能指标与大规模生产经济性之间有距离。客户关心稳定性、温度和酸碱适应、与其他配方的兼容性、单位效果成本及批次一致性。销售扩大可能需要较长认证，客户迁移供应商也存在成本。如果研发成果能够减少客户总生产费用，形成价值定价空间；如果只是相同效果的替代品，竞争会使价格下降，利润取决于制造成本与渠道效率。</w:t>
      </w:r>
    </w:p>
    <w:p>
      <w:pPr>
        <w:pStyle w:val="Normal"/>
        <w:rPr/>
      </w:pPr>
      <w:r>
        <w:rPr/>
        <w:t>国际拓展增加空间，也带来当地法规、代理渠道、物流和收款风险。工业需求更接近食品、农业和生产周期，和全球生物医药融资并不同步，因此可以提供部分收入分散。它的规模目前相对小，对集团价值的影响有限，研究应按实际收入和经济利润评价。五年基准外部收入</w:t>
      </w:r>
      <w:r>
        <w:rPr/>
        <w:t>2.2</w:t>
      </w:r>
      <w:r>
        <w:rPr/>
        <w:t>亿美元、两倍收入企业价值</w:t>
      </w:r>
      <w:r>
        <w:rPr/>
        <w:t>4.4</w:t>
      </w:r>
      <w:r>
        <w:rPr/>
        <w:t>亿美元，已经要求显著扩张，但仍把盈利与现金的验证作为必要条件。</w:t>
      </w:r>
    </w:p>
    <w:p>
      <w:pPr>
        <w:pStyle w:val="Heading2"/>
        <w:rPr/>
      </w:pPr>
      <w:r>
        <w:rPr>
          <w:color w:val="000000"/>
        </w:rPr>
        <w:t>八 传奇</w:t>
      </w:r>
      <w:r>
        <w:rPr>
          <w:color w:val="000000"/>
        </w:rPr>
        <w:t xml:space="preserve">CARVYKTI </w:t>
      </w:r>
      <w:r>
        <w:rPr>
          <w:color w:val="000000"/>
        </w:rPr>
        <w:t>全球销售到归母权益的两层桥</w:t>
      </w:r>
    </w:p>
    <w:p>
      <w:pPr>
        <w:pStyle w:val="Normal"/>
        <w:rPr/>
      </w:pPr>
      <w:r>
        <w:rPr/>
        <w:t>传奇第二季</w:t>
      </w:r>
      <w:r>
        <w:rPr/>
        <w:t>CARVYKTI</w:t>
      </w:r>
      <w:r>
        <w:rPr/>
        <w:t>全球净贸易销售约</w:t>
      </w:r>
      <w:r>
        <w:rPr/>
        <w:t>6.57</w:t>
      </w:r>
      <w:r>
        <w:rPr/>
        <w:t>亿美元，同比增长</w:t>
      </w:r>
      <w:r>
        <w:rPr/>
        <w:t>50%</w:t>
      </w:r>
      <w:r>
        <w:rPr/>
        <w:t>，美国部分和海外扩展推动增长。产品覆盖</w:t>
      </w:r>
      <w:r>
        <w:rPr/>
        <w:t>348</w:t>
      </w:r>
      <w:r>
        <w:rPr/>
        <w:t>家全球治疗中心、十九个市场，意味着可及性提升，但治疗中心数量不能直接乘以固定收入。不同中心的容量、患者转介、等待时间和支付能力不同，真正收入取决于完成输注的合格患者、净价格和供应节奏。</w:t>
      </w:r>
      <w:r>
        <w:rPr/>
        <w:t>CAR-T</w:t>
      </w:r>
      <w:r>
        <w:rPr/>
        <w:t>服务流程的复杂性使患者数量扩大不一定与市场患者总数等比例。</w:t>
      </w:r>
    </w:p>
    <w:p>
      <w:pPr>
        <w:pStyle w:val="Normal"/>
        <w:rPr/>
      </w:pPr>
      <w:r>
        <w:rPr/>
        <w:t>SEC</w:t>
      </w:r>
      <w:r>
        <w:rPr/>
        <w:t>年报核验合作规定：大中华区以外开发、生产、商业化成本与税前利润或亏损均分；大中华区传奇承担及分享</w:t>
      </w:r>
      <w:r>
        <w:rPr/>
        <w:t>70%</w:t>
      </w:r>
      <w:r>
        <w:rPr/>
        <w:t>，强生</w:t>
      </w:r>
      <w:r>
        <w:rPr/>
        <w:t>30%</w:t>
      </w:r>
      <w:r>
        <w:rPr/>
        <w:t>。大中华区以外强生是对客户销售的主要责任人，传奇按相关比例确认合作收入。这不是净利润五成的简单说法，因为传奇还有研发、行政、销售、融资和税项。模型使用传奇被确认的合作收入和正常费用，不再把全球贸易销售全额收入化。</w:t>
      </w:r>
    </w:p>
    <w:p>
      <w:pPr>
        <w:pStyle w:val="Normal"/>
        <w:rPr/>
      </w:pPr>
      <w:r>
        <w:rPr/>
        <w:t>传奇上半年收入</w:t>
      </w:r>
      <w:r>
        <w:rPr/>
        <w:t>6.926</w:t>
      </w:r>
      <w:r>
        <w:rPr/>
        <w:t>亿美元，经营利润</w:t>
      </w:r>
      <w:r>
        <w:rPr/>
        <w:t>0.079</w:t>
      </w:r>
      <w:r>
        <w:rPr/>
        <w:t>亿美元、净亏损</w:t>
      </w:r>
      <w:r>
        <w:rPr/>
        <w:t>0.211</w:t>
      </w:r>
      <w:r>
        <w:rPr/>
        <w:t>亿美元；第二季经营利润</w:t>
      </w:r>
      <w:r>
        <w:rPr/>
        <w:t>0.577</w:t>
      </w:r>
      <w:r>
        <w:rPr/>
        <w:t>亿美元、净利润</w:t>
      </w:r>
      <w:r>
        <w:rPr/>
        <w:t>0.332</w:t>
      </w:r>
      <w:r>
        <w:rPr/>
        <w:t>亿美元。季度扭亏说明经营规模开始吸收费用，但第二季有</w:t>
      </w:r>
      <w:r>
        <w:rPr/>
        <w:t>0.56</w:t>
      </w:r>
      <w:r>
        <w:rPr/>
        <w:t>亿美元强生里程碑，不能全部外推成每季正常利润。研究把下一年度合作收入与毛利、研发及销售行政费用独立预测，排除已获得或未经验证的未来里程碑，防止把一次性授权和持续产品收入混在一起。</w:t>
      </w:r>
    </w:p>
    <w:p>
      <w:pPr>
        <w:pStyle w:val="Normal"/>
        <w:rPr/>
      </w:pPr>
      <w:r>
        <w:rPr/>
        <w:t>CARVYKTI</w:t>
      </w:r>
      <w:r>
        <w:rPr/>
        <w:t>在美国已获得至少一线既往治疗之后、并符合具体既往药物及来那度胺难治要求的适应症。前移治疗线数扩大患者机会，但也提高治疗安全、供应流程和支付评估要求。患者有竞争治疗选择，双抗、其他细胞治疗和药物组合都可能影响转介。长期盈利需要在疗效、持久性、可及性和成本之间保持竞争力，不能仅依赖治疗线数扩大就假定获得全部新增市场。</w:t>
      </w:r>
    </w:p>
    <w:p>
      <w:pPr>
        <w:pStyle w:val="Heading2"/>
        <w:rPr/>
      </w:pPr>
      <w:r>
        <w:rPr>
          <w:color w:val="000000"/>
        </w:rPr>
        <w:t>九 临床疗效与安全信息如何影响估值</w:t>
      </w:r>
    </w:p>
    <w:p>
      <w:pPr>
        <w:pStyle w:val="Normal"/>
        <w:rPr/>
      </w:pPr>
      <w:r>
        <w:rPr/>
        <w:t>六月原始</w:t>
      </w:r>
      <w:r>
        <w:rPr/>
        <w:t>SEC</w:t>
      </w:r>
      <w:r>
        <w:rPr/>
        <w:t>新闻的新</w:t>
      </w:r>
      <w:r>
        <w:rPr/>
        <w:t>CARTITUDE</w:t>
      </w:r>
      <w:r>
        <w:rPr/>
        <w:t>分析显示，在特定桥接治疗应答患者的细胞遗传风险分组中观察到持续</w:t>
      </w:r>
      <w:r>
        <w:rPr/>
        <w:t>PFS</w:t>
      </w:r>
      <w:r>
        <w:rPr/>
        <w:t>和</w:t>
      </w:r>
      <w:r>
        <w:rPr/>
        <w:t>OS</w:t>
      </w:r>
      <w:r>
        <w:rPr/>
        <w:t>获益、三十个月</w:t>
      </w:r>
      <w:r>
        <w:rPr/>
        <w:t>OS</w:t>
      </w:r>
      <w:r>
        <w:rPr/>
        <w:t>率超过</w:t>
      </w:r>
      <w:r>
        <w:rPr/>
        <w:t>85%</w:t>
      </w:r>
      <w:r>
        <w:rPr/>
        <w:t>。这是分组与补充分析，不能与完整随机总体的结论互换，也不能把某个特定人群的高存活率套到所有患者。研究将其视为支持产品持久获益的证据，同时保留对试验人群、既往治疗及随访时间的限制。</w:t>
      </w:r>
    </w:p>
    <w:p>
      <w:pPr>
        <w:pStyle w:val="Normal"/>
        <w:rPr/>
      </w:pPr>
      <w:r>
        <w:rPr/>
        <w:t>新闻页同时披露重要安全信息。</w:t>
      </w:r>
      <w:r>
        <w:rPr/>
        <w:t>CARVYKTI</w:t>
      </w:r>
      <w:r>
        <w:rPr/>
        <w:t>可能出现细胞因子释放综合征、神经毒性、</w:t>
      </w:r>
      <w:r>
        <w:rPr/>
        <w:t>HLH/MAS</w:t>
      </w:r>
      <w:r>
        <w:rPr/>
        <w:t>、持续或复发血细胞减少及继发血液恶性肿瘤；还列出免疫效应细胞相关肠炎等风险。多项研究综合分析中相关肠炎发生率</w:t>
      </w:r>
      <w:r>
        <w:rPr/>
        <w:t>1.2%</w:t>
      </w:r>
      <w:r>
        <w:rPr/>
        <w:t>，低比例不等于没有严重后果。长期估值不仅要看缓解率，还要观察真实世界安全、监管标签和中心管理能力，严重新的安全信号可能改变整个销售及估值路径。</w:t>
      </w:r>
    </w:p>
    <w:p>
      <w:pPr>
        <w:pStyle w:val="Normal"/>
        <w:rPr/>
      </w:pPr>
      <w:r>
        <w:rPr/>
        <w:t>CARTITUDE-4</w:t>
      </w:r>
      <w:r>
        <w:rPr/>
        <w:t>安全描述中早期十个月死亡，随机</w:t>
      </w:r>
      <w:r>
        <w:rPr/>
        <w:t>CARVYKTI</w:t>
      </w:r>
      <w:r>
        <w:rPr/>
        <w:t>组</w:t>
      </w:r>
      <w:r>
        <w:rPr/>
        <w:t>29/208</w:t>
      </w:r>
      <w:r>
        <w:rPr/>
        <w:t>、对照</w:t>
      </w:r>
      <w:r>
        <w:rPr/>
        <w:t>25/211</w:t>
      </w:r>
      <w:r>
        <w:rPr/>
        <w:t>，其中一部分发生在输注前。不能把这些数字简单解释成治疗导致全部死亡，也不能用后期获益把早期管理风险忽略。输注前进展、感染、桥接治疗和患者选择都影响实际治疗结果。公司商业化需要减少从转介到输注过程的损失，提高患者和中心管理能力，这些能力本身影响可实现市场规模。</w:t>
      </w:r>
    </w:p>
    <w:p>
      <w:pPr>
        <w:pStyle w:val="Normal"/>
        <w:rPr/>
      </w:pPr>
      <w:r>
        <w:rPr/>
        <w:t>对估值的反证是，若新增严重安全问题导致标签收紧、中心减少治疗或支付方限制，模型中的毛利和销售增长都应下修。即使一项临床长期疗效优秀，商业销量也可能因等待时间或患者适格范围受限。反过来，若供应流程改善、治疗完成率增加且安全管理保持稳定，产品规模增长才更有持续性。研究不给“治愈”字样额外无边界的估值，因长期持久缓解与所有患者治愈不是同一事实。</w:t>
      </w:r>
    </w:p>
    <w:p>
      <w:pPr>
        <w:pStyle w:val="Heading2"/>
        <w:rPr/>
      </w:pPr>
      <w:r>
        <w:rPr>
          <w:color w:val="000000"/>
        </w:rPr>
        <w:t xml:space="preserve">十 </w:t>
      </w:r>
      <w:r>
        <w:rPr>
          <w:color w:val="000000"/>
        </w:rPr>
        <w:t>LB2501</w:t>
      </w:r>
      <w:r>
        <w:rPr>
          <w:color w:val="000000"/>
        </w:rPr>
        <w:t>和</w:t>
      </w:r>
      <w:r>
        <w:rPr>
          <w:color w:val="000000"/>
        </w:rPr>
        <w:t xml:space="preserve">LB2102 </w:t>
      </w:r>
      <w:r>
        <w:rPr>
          <w:color w:val="000000"/>
        </w:rPr>
        <w:t>小样本发现与失败风险</w:t>
      </w:r>
    </w:p>
    <w:p>
      <w:pPr>
        <w:pStyle w:val="Normal"/>
        <w:rPr/>
      </w:pPr>
      <w:r>
        <w:rPr/>
        <w:t>LB2501</w:t>
      </w:r>
      <w:r>
        <w:rPr/>
        <w:t>是体内</w:t>
      </w:r>
      <w:r>
        <w:rPr/>
        <w:t>CD19/CD20</w:t>
      </w:r>
      <w:r>
        <w:rPr/>
        <w:t>双靶点</w:t>
      </w:r>
      <w:r>
        <w:rPr/>
        <w:t>CAR-T</w:t>
      </w:r>
      <w:r>
        <w:rPr/>
        <w:t>早期探索，较高剂量组六名患者六人应答、五人完全缓解，新闻称未出现剂量限制毒性、严重不良事件、</w:t>
      </w:r>
      <w:r>
        <w:rPr/>
        <w:t>ICANS</w:t>
      </w:r>
      <w:r>
        <w:rPr/>
        <w:t>或死亡。体内产生细胞治疗的路径可能减少传统体外采集和制造步骤，具有潜在可及性优势。但六人的全部应答对长期疗效和商业成功的统计支持很有限，研究没有把</w:t>
      </w:r>
      <w:r>
        <w:rPr/>
        <w:t>100%</w:t>
      </w:r>
      <w:r>
        <w:rPr/>
        <w:t>早期应答率写成</w:t>
      </w:r>
      <w:r>
        <w:rPr/>
        <w:t>100%</w:t>
      </w:r>
      <w:r>
        <w:rPr/>
        <w:t>成功概率，也没有假设已完成注册开发。</w:t>
      </w:r>
    </w:p>
    <w:p>
      <w:pPr>
        <w:pStyle w:val="Normal"/>
        <w:rPr/>
      </w:pPr>
      <w:r>
        <w:rPr/>
        <w:t>后续必须验证更大人群、应答持续、体内细胞增殖控制、脱靶与长期安全、批次产品一致性和剂量可控性。没有淋巴清除可降低部分流程负担，却不能自动证明总体风险更低。体内和体外路线可能服务不同患者，不一定完全替代。商业路径还涉及试验设计、监管要求、制造和支付政策，因此最早市场机会需要时间与资本，本模型把基准首次销售设到</w:t>
      </w:r>
      <w:r>
        <w:rPr/>
        <w:t>2031</w:t>
      </w:r>
      <w:r>
        <w:rPr/>
        <w:t>年，仅为研究假设。</w:t>
      </w:r>
    </w:p>
    <w:p>
      <w:pPr>
        <w:pStyle w:val="Normal"/>
        <w:rPr/>
      </w:pPr>
      <w:r>
        <w:rPr/>
        <w:t>LB2102</w:t>
      </w:r>
      <w:r>
        <w:rPr/>
        <w:t>是</w:t>
      </w:r>
      <w:r>
        <w:rPr/>
        <w:t>DLL3</w:t>
      </w:r>
      <w:r>
        <w:rPr/>
        <w:t>靶向、自体</w:t>
      </w:r>
      <w:r>
        <w:rPr/>
        <w:t>CAR-T</w:t>
      </w:r>
      <w:r>
        <w:rPr/>
        <w:t>实体瘤早期产品，</w:t>
      </w:r>
      <w:r>
        <w:rPr/>
        <w:t>20</w:t>
      </w:r>
      <w:r>
        <w:rPr/>
        <w:t>名疗效可评估患者总体</w:t>
      </w:r>
      <w:r>
        <w:rPr/>
        <w:t>ORR20%</w:t>
      </w:r>
      <w:r>
        <w:rPr/>
        <w:t>、</w:t>
      </w:r>
      <w:r>
        <w:rPr/>
        <w:t>DCR70%</w:t>
      </w:r>
      <w:r>
        <w:rPr/>
        <w:t>；较高剂量组</w:t>
      </w:r>
      <w:r>
        <w:rPr/>
        <w:t>ORR28.6%</w:t>
      </w:r>
      <w:r>
        <w:rPr/>
        <w:t>、</w:t>
      </w:r>
      <w:r>
        <w:rPr/>
        <w:t>DCR78.6%</w:t>
      </w:r>
      <w:r>
        <w:rPr/>
        <w:t>，中位缓解持续</w:t>
      </w:r>
      <w:r>
        <w:rPr/>
        <w:t>6.5</w:t>
      </w:r>
      <w:r>
        <w:rPr/>
        <w:t>个月。未观察到剂量限制毒性或治疗相关死亡，但</w:t>
      </w:r>
      <w:r>
        <w:rPr/>
        <w:t>ICANS</w:t>
      </w:r>
      <w:r>
        <w:rPr/>
        <w:t>发生</w:t>
      </w:r>
      <w:r>
        <w:rPr/>
        <w:t>15%</w:t>
      </w:r>
      <w:r>
        <w:rPr/>
        <w:t>，其中一例三级，部分高级别血液学不良事件与淋巴清除共同归因。这些信息比只写“实体瘤突破”具体，支持继续研究，尚不证明已胜过所有现有治疗。</w:t>
      </w:r>
    </w:p>
    <w:p>
      <w:pPr>
        <w:pStyle w:val="Normal"/>
        <w:rPr/>
      </w:pPr>
      <w:r>
        <w:rPr/>
        <w:t>2023</w:t>
      </w:r>
      <w:r>
        <w:rPr/>
        <w:t>年传奇向诺华授予</w:t>
      </w:r>
      <w:r>
        <w:rPr/>
        <w:t>DLL3</w:t>
      </w:r>
      <w:r>
        <w:rPr/>
        <w:t>相关疗法全球独家权利，传奇负责当期美国一期试验，诺华负责其他后续开发制造商业化。已收首付一亿美元，可能额外获得</w:t>
      </w:r>
      <w:r>
        <w:rPr/>
        <w:t>10.1</w:t>
      </w:r>
      <w:r>
        <w:rPr/>
        <w:t>亿美元里程碑及分级权利金；具体权利金比例未公开核验。本研究用</w:t>
      </w:r>
      <w:r>
        <w:rPr/>
        <w:t>8%</w:t>
      </w:r>
      <w:r>
        <w:rPr/>
        <w:t>、</w:t>
      </w:r>
      <w:r>
        <w:rPr/>
        <w:t>10%</w:t>
      </w:r>
      <w:r>
        <w:rPr/>
        <w:t>、</w:t>
      </w:r>
      <w:r>
        <w:rPr/>
        <w:t>12%</w:t>
      </w:r>
      <w:r>
        <w:rPr/>
        <w:t>三情景作为明确假设，只估权利金经济，不把未来药品全部销售算传奇收入，未赚取的合同上限里程碑也没有全额加入。</w:t>
      </w:r>
    </w:p>
    <w:p>
      <w:pPr>
        <w:pStyle w:val="Heading2"/>
        <w:rPr/>
      </w:pPr>
      <w:r>
        <w:rPr>
          <w:color w:val="000000"/>
        </w:rPr>
        <w:t>十一 早期管线风险调整模型的范围与计算</w:t>
      </w:r>
    </w:p>
    <w:p>
      <w:pPr>
        <w:pStyle w:val="Normal"/>
        <w:rPr/>
      </w:pPr>
      <w:r>
        <w:rPr/>
        <w:t>本章只对</w:t>
      </w:r>
      <w:r>
        <w:rPr/>
        <w:t>LB2501</w:t>
      </w:r>
      <w:r>
        <w:rPr/>
        <w:t>血液瘤聚合组和</w:t>
      </w:r>
      <w:r>
        <w:rPr/>
        <w:t>LB2102</w:t>
      </w:r>
      <w:r>
        <w:rPr/>
        <w:t>实体瘤许可聚合组建立简化风险现金流。前者峰值销售悲观</w:t>
      </w:r>
      <w:r>
        <w:rPr/>
        <w:t>15</w:t>
      </w:r>
      <w:r>
        <w:rPr/>
        <w:t>亿、基准</w:t>
      </w:r>
      <w:r>
        <w:rPr/>
        <w:t>35</w:t>
      </w:r>
      <w:r>
        <w:rPr/>
        <w:t>亿、乐观</w:t>
      </w:r>
      <w:r>
        <w:rPr/>
        <w:t>70</w:t>
      </w:r>
      <w:r>
        <w:rPr/>
        <w:t>亿美元，成功权重</w:t>
      </w:r>
      <w:r>
        <w:rPr/>
        <w:t>3%</w:t>
      </w:r>
      <w:r>
        <w:rPr/>
        <w:t>、</w:t>
      </w:r>
      <w:r>
        <w:rPr/>
        <w:t>12%</w:t>
      </w:r>
      <w:r>
        <w:rPr/>
        <w:t>、</w:t>
      </w:r>
      <w:r>
        <w:rPr/>
        <w:t>25%</w:t>
      </w:r>
      <w:r>
        <w:rPr/>
        <w:t>，净经济现金率</w:t>
      </w:r>
      <w:r>
        <w:rPr/>
        <w:t>18%</w:t>
      </w:r>
      <w:r>
        <w:rPr/>
        <w:t>、</w:t>
      </w:r>
      <w:r>
        <w:rPr/>
        <w:t>25%</w:t>
      </w:r>
      <w:r>
        <w:rPr/>
        <w:t>、</w:t>
      </w:r>
      <w:r>
        <w:rPr/>
        <w:t>30%</w:t>
      </w:r>
      <w:r>
        <w:rPr/>
        <w:t>；后者峰值</w:t>
      </w:r>
      <w:r>
        <w:rPr/>
        <w:t>15</w:t>
      </w:r>
      <w:r>
        <w:rPr/>
        <w:t>亿、</w:t>
      </w:r>
      <w:r>
        <w:rPr/>
        <w:t>30</w:t>
      </w:r>
      <w:r>
        <w:rPr/>
        <w:t>亿、</w:t>
      </w:r>
      <w:r>
        <w:rPr/>
        <w:t>50</w:t>
      </w:r>
      <w:r>
        <w:rPr/>
        <w:t>亿美元，成功权重</w:t>
      </w:r>
      <w:r>
        <w:rPr/>
        <w:t>5%</w:t>
      </w:r>
      <w:r>
        <w:rPr/>
        <w:t>、</w:t>
      </w:r>
      <w:r>
        <w:rPr/>
        <w:t>18%</w:t>
      </w:r>
      <w:r>
        <w:rPr/>
        <w:t>、</w:t>
      </w:r>
      <w:r>
        <w:rPr/>
        <w:t>35%</w:t>
      </w:r>
      <w:r>
        <w:rPr/>
        <w:t>，权利金</w:t>
      </w:r>
      <w:r>
        <w:rPr/>
        <w:t>8%</w:t>
      </w:r>
      <w:r>
        <w:rPr/>
        <w:t>、</w:t>
      </w:r>
      <w:r>
        <w:rPr/>
        <w:t>10%</w:t>
      </w:r>
      <w:r>
        <w:rPr/>
        <w:t>、</w:t>
      </w:r>
      <w:r>
        <w:rPr/>
        <w:t>12%</w:t>
      </w:r>
      <w:r>
        <w:rPr/>
        <w:t>，税及服务后保留率</w:t>
      </w:r>
      <w:r>
        <w:rPr/>
        <w:t>78%</w:t>
      </w:r>
      <w:r>
        <w:rPr/>
        <w:t>、</w:t>
      </w:r>
      <w:r>
        <w:rPr/>
        <w:t>80%</w:t>
      </w:r>
      <w:r>
        <w:rPr/>
        <w:t>、</w:t>
      </w:r>
      <w:r>
        <w:rPr/>
        <w:t>82%</w:t>
      </w:r>
      <w:r>
        <w:rPr/>
        <w:t>。这些是研究判断，不是机构预测或公司指引。</w:t>
      </w:r>
    </w:p>
    <w:p>
      <w:pPr>
        <w:pStyle w:val="Normal"/>
        <w:rPr/>
      </w:pPr>
      <w:r>
        <w:rPr/>
        <w:t>收入从假设首次销售年按</w:t>
      </w:r>
      <w:r>
        <w:rPr/>
        <w:t>5%</w:t>
      </w:r>
      <w:r>
        <w:rPr/>
        <w:t>、</w:t>
      </w:r>
      <w:r>
        <w:rPr/>
        <w:t>15%</w:t>
      </w:r>
      <w:r>
        <w:rPr/>
        <w:t>、</w:t>
      </w:r>
      <w:r>
        <w:rPr/>
        <w:t>35%</w:t>
      </w:r>
      <w:r>
        <w:rPr/>
        <w:t>、</w:t>
      </w:r>
      <w:r>
        <w:rPr/>
        <w:t>60%</w:t>
      </w:r>
      <w:r>
        <w:rPr/>
        <w:t>、</w:t>
      </w:r>
      <w:r>
        <w:rPr/>
        <w:t>85%</w:t>
      </w:r>
      <w:r>
        <w:rPr/>
        <w:t>、</w:t>
      </w:r>
      <w:r>
        <w:rPr/>
        <w:t>100%</w:t>
      </w:r>
      <w:r>
        <w:rPr/>
        <w:t>的爬坡轨迹增长，之后逐步衰减；折现率</w:t>
      </w:r>
      <w:r>
        <w:rPr/>
        <w:t>18%</w:t>
      </w:r>
      <w:r>
        <w:rPr/>
        <w:t>、</w:t>
      </w:r>
      <w:r>
        <w:rPr/>
        <w:t>15%</w:t>
      </w:r>
      <w:r>
        <w:rPr/>
        <w:t>、</w:t>
      </w:r>
      <w:r>
        <w:rPr/>
        <w:t>12%</w:t>
      </w:r>
      <w:r>
        <w:rPr/>
        <w:t>。计算先求销售乘股东可享经济比例和成功权重，再按实际日期间隔折现。</w:t>
      </w:r>
      <w:r>
        <w:rPr/>
        <w:t>LB2501</w:t>
      </w:r>
      <w:r>
        <w:rPr/>
        <w:t>到</w:t>
      </w:r>
      <w:r>
        <w:rPr/>
        <w:t>2045</w:t>
      </w:r>
      <w:r>
        <w:rPr/>
        <w:t>年、</w:t>
      </w:r>
      <w:r>
        <w:rPr/>
        <w:t>LB2102</w:t>
      </w:r>
      <w:r>
        <w:rPr/>
        <w:t>到</w:t>
      </w:r>
      <w:r>
        <w:rPr/>
        <w:t>2043</w:t>
      </w:r>
      <w:r>
        <w:rPr/>
        <w:t>年结束，均无永续终值，终止年份只是有限估值窗口而非已核验专利到期。本模型不能因此被称为全部药物全部适应症的完整风险调整净现值。</w:t>
      </w:r>
    </w:p>
    <w:p>
      <w:pPr>
        <w:pStyle w:val="Normal"/>
        <w:rPr/>
      </w:pPr>
      <w:r>
        <w:rPr/>
        <w:t>另外扣</w:t>
      </w:r>
      <w:r>
        <w:rPr/>
        <w:t>1</w:t>
      </w:r>
      <w:r>
        <w:rPr/>
        <w:t>亿、</w:t>
      </w:r>
      <w:r>
        <w:rPr/>
        <w:t>2.2</w:t>
      </w:r>
      <w:r>
        <w:rPr/>
        <w:t>亿、</w:t>
      </w:r>
      <w:r>
        <w:rPr/>
        <w:t>4.5</w:t>
      </w:r>
      <w:r>
        <w:rPr/>
        <w:t>亿美元未来专项开发储备。该储备用来覆盖两组尚需承担的专项投入，基准早期管线净值很小；年底两组毛现值约</w:t>
      </w:r>
      <w:r>
        <w:rPr/>
        <w:t>2.579</w:t>
      </w:r>
      <w:r>
        <w:rPr/>
        <w:t>亿美元，扣</w:t>
      </w:r>
      <w:r>
        <w:rPr/>
        <w:t>2.2</w:t>
      </w:r>
      <w:r>
        <w:rPr/>
        <w:t>亿美元后净</w:t>
      </w:r>
      <w:r>
        <w:rPr/>
        <w:t>0.379</w:t>
      </w:r>
      <w:r>
        <w:rPr/>
        <w:t>亿美元。悲观可能为负值，研究保留承诺继续开发但成功机会较低的成本结果，不在每个项目负值时自动剪成零。现实中若及时终止，会减少成本，情景需另行修改。</w:t>
      </w:r>
    </w:p>
    <w:p>
      <w:pPr>
        <w:pStyle w:val="Normal"/>
        <w:rPr/>
      </w:pPr>
      <w:r>
        <w:rPr/>
        <w:t>传奇正常经营模型的研发费用主要覆盖商业产品持续研究、一般研发组织与其他未计价值项目，两组专项储备单列，以避免对同一投入重复计价。完整费用分摊尚未由公司逐项目公开，所以这是一条需要进一步验证的边界。没有给其他早期管线额外价值，也没有给外部合作潜在里程碑全额价值。若两组技术验证失败，应同时调低收入机会并重新评估可取消开发支出，不仅机械下调成功权重。</w:t>
      </w:r>
    </w:p>
    <w:p>
      <w:pPr>
        <w:pStyle w:val="Heading2"/>
        <w:rPr/>
      </w:pPr>
      <w:r>
        <w:rPr>
          <w:color w:val="000000"/>
        </w:rPr>
        <w:t>十二 报告亏损 核心盈利与权益法摊销</w:t>
      </w:r>
    </w:p>
    <w:p>
      <w:pPr>
        <w:pStyle w:val="Normal"/>
        <w:rPr/>
      </w:pPr>
      <w:r>
        <w:rPr/>
        <w:t>集团上半年归母亏损</w:t>
      </w:r>
      <w:r>
        <w:rPr/>
        <w:t>1.29343</w:t>
      </w:r>
      <w:r>
        <w:rPr/>
        <w:t>亿美元，核心业务净利润</w:t>
      </w:r>
      <w:r>
        <w:rPr/>
        <w:t>0.25557</w:t>
      </w:r>
      <w:r>
        <w:rPr/>
        <w:t>亿美元。传奇按账面原始损益贡献亏损</w:t>
      </w:r>
      <w:r>
        <w:rPr/>
        <w:t>0.09945</w:t>
      </w:r>
      <w:r>
        <w:rPr/>
        <w:t>亿美元，解除并表时可识别资产公允价值调整后续摊销折旧税后</w:t>
      </w:r>
      <w:r>
        <w:rPr/>
        <w:t>0.88254</w:t>
      </w:r>
      <w:r>
        <w:rPr/>
        <w:t>亿美元，稀释视作处置亏损</w:t>
      </w:r>
      <w:r>
        <w:rPr/>
        <w:t>0.56702</w:t>
      </w:r>
      <w:r>
        <w:rPr/>
        <w:t>亿美元，另有重分类。这些会计影响使报告净利和经营变化出现明显距离。研究分开披露，并不意味着所有非现金费用都应该永久忽略；其背后反映购买价值和股权变化。</w:t>
      </w:r>
    </w:p>
    <w:p>
      <w:pPr>
        <w:pStyle w:val="Normal"/>
        <w:rPr/>
      </w:pPr>
      <w:r>
        <w:rPr/>
        <w:t>传奇六月末投资账面</w:t>
      </w:r>
      <w:r>
        <w:rPr/>
        <w:t>29.16691</w:t>
      </w:r>
      <w:r>
        <w:rPr/>
        <w:t>亿美元，相关持股六月市场价值</w:t>
      </w:r>
      <w:r>
        <w:rPr/>
        <w:t>25.19745</w:t>
      </w:r>
      <w:r>
        <w:rPr/>
        <w:t>亿美元，两者都不是十月九日的市场值。账面包含公允价值调整、权益法商誉和以前减值，不能另外作为可出售现金加进</w:t>
      </w:r>
      <w:r>
        <w:rPr/>
        <w:t>SOTP</w:t>
      </w:r>
      <w:r>
        <w:rPr/>
        <w:t>。研究以未来传奇经营及管线经济价值测算股权，再乘持股，未同时加账面值或六月市场值。若把联营利润计入集团核心</w:t>
      </w:r>
      <w:r>
        <w:rPr/>
        <w:t>EPS</w:t>
      </w:r>
      <w:r>
        <w:rPr/>
        <w:t>又加完整传奇权益，会造成重复，本模型不走这条路径。</w:t>
      </w:r>
    </w:p>
    <w:p>
      <w:pPr>
        <w:pStyle w:val="Normal"/>
        <w:rPr/>
      </w:pPr>
      <w:r>
        <w:rPr/>
        <w:t>2025</w:t>
      </w:r>
      <w:r>
        <w:rPr/>
        <w:t>年集团收入</w:t>
      </w:r>
      <w:r>
        <w:rPr/>
        <w:t>9.59526</w:t>
      </w:r>
      <w:r>
        <w:rPr/>
        <w:t>亿美元，包含授权影响，归母亏损</w:t>
      </w:r>
      <w:r>
        <w:rPr/>
        <w:t>5.32830</w:t>
      </w:r>
      <w:r>
        <w:rPr/>
        <w:t>亿美元，其中传奇减值</w:t>
      </w:r>
      <w:r>
        <w:rPr/>
        <w:t>3.98071</w:t>
      </w:r>
      <w:r>
        <w:rPr/>
        <w:t>亿美元；</w:t>
      </w:r>
      <w:r>
        <w:rPr/>
        <w:t>2024</w:t>
      </w:r>
      <w:r>
        <w:rPr/>
        <w:t>年解除并表收益更大，达到</w:t>
      </w:r>
      <w:r>
        <w:rPr/>
        <w:t>32.32210</w:t>
      </w:r>
      <w:r>
        <w:rPr/>
        <w:t>亿美元。两年报告</w:t>
      </w:r>
      <w:r>
        <w:rPr/>
        <w:t>PE</w:t>
      </w:r>
      <w:r>
        <w:rPr/>
        <w:t>都无法稳定代表核心经营价值。历史需要按相同业务范围和一次项目重组后比较，研究没有用</w:t>
      </w:r>
      <w:r>
        <w:rPr/>
        <w:t>2024</w:t>
      </w:r>
      <w:r>
        <w:rPr/>
        <w:t>年巨额账面盈利声称股票极度便宜，也没有因</w:t>
      </w:r>
      <w:r>
        <w:rPr/>
        <w:t>2025</w:t>
      </w:r>
      <w:r>
        <w:rPr/>
        <w:t>年大额减值直接推定所有服务业务已经失去现金创造力。</w:t>
      </w:r>
    </w:p>
    <w:p>
      <w:pPr>
        <w:pStyle w:val="Normal"/>
        <w:rPr/>
      </w:pPr>
      <w:r>
        <w:rPr/>
        <w:t>股份薪酬上半年约</w:t>
      </w:r>
      <w:r>
        <w:rPr/>
        <w:t>0.10414</w:t>
      </w:r>
      <w:r>
        <w:rPr/>
        <w:t>亿美元，是真实员工激励的一部分。它不直接当期耗现金，但会降低普通股东未来权益或要求回购支出。估值正常费用保留它，未来股数又采用稀释假设，这是为了描述持续人力投入和未交付奖励的每股分母；需要避免同一个特定奖励费用和同一次股数稀释重复过度惩罚，后续应根据授予、归属和交付记录逐项校正。当前不同层级激励是风险评分较低的原因之一。</w:t>
      </w:r>
    </w:p>
    <w:p>
      <w:pPr>
        <w:pStyle w:val="Heading2"/>
        <w:rPr/>
      </w:pPr>
      <w:r>
        <w:rPr>
          <w:color w:val="000000"/>
        </w:rPr>
        <w:t>十三 现金流 调整利润不能直接当分红能力</w:t>
      </w:r>
    </w:p>
    <w:p>
      <w:pPr>
        <w:pStyle w:val="Normal"/>
        <w:rPr/>
      </w:pPr>
      <w:r>
        <w:rPr/>
        <w:t>集团上半年经营现金</w:t>
      </w:r>
      <w:r>
        <w:rPr/>
        <w:t>0.46669</w:t>
      </w:r>
      <w:r>
        <w:rPr/>
        <w:t>亿美元，购买固定资产</w:t>
      </w:r>
      <w:r>
        <w:rPr/>
        <w:t>0.47655</w:t>
      </w:r>
      <w:r>
        <w:rPr/>
        <w:t>亿美元、无形资产</w:t>
      </w:r>
      <w:r>
        <w:rPr/>
        <w:t>0.00765</w:t>
      </w:r>
      <w:r>
        <w:rPr/>
        <w:t>亿美元，简单经营自由现金为负</w:t>
      </w:r>
      <w:r>
        <w:rPr/>
        <w:t>0.01751</w:t>
      </w:r>
      <w:r>
        <w:rPr/>
        <w:t>亿美元。现金流与核心盈利不相同，原因包括营运资本、资本扩张和费用口径。应收和票据增加</w:t>
      </w:r>
      <w:r>
        <w:rPr/>
        <w:t>0.235</w:t>
      </w:r>
      <w:r>
        <w:rPr/>
        <w:t>亿美元、存货增加</w:t>
      </w:r>
      <w:r>
        <w:rPr/>
        <w:t>0.05801</w:t>
      </w:r>
      <w:r>
        <w:rPr/>
        <w:t>亿美元、合同成本增加</w:t>
      </w:r>
      <w:r>
        <w:rPr/>
        <w:t>0.13012</w:t>
      </w:r>
      <w:r>
        <w:rPr/>
        <w:t>亿美元，都占用现金。公司正在扩张，所以负自由现金未必是经营失败，但也不支持把调整利润全额当可分派资金。</w:t>
      </w:r>
    </w:p>
    <w:p>
      <w:pPr>
        <w:pStyle w:val="Normal"/>
        <w:rPr/>
      </w:pPr>
      <w:r>
        <w:rPr/>
        <w:t>应收余额</w:t>
      </w:r>
      <w:r>
        <w:rPr/>
        <w:t>1.56803</w:t>
      </w:r>
      <w:r>
        <w:rPr/>
        <w:t>亿美元、库存</w:t>
      </w:r>
      <w:r>
        <w:rPr/>
        <w:t>0.45250</w:t>
      </w:r>
      <w:r>
        <w:rPr/>
        <w:t>亿美元、合同成本</w:t>
      </w:r>
      <w:r>
        <w:rPr/>
        <w:t>0.34661</w:t>
      </w:r>
      <w:r>
        <w:rPr/>
        <w:t>亿美元，需要与收入和客户质量比较。订单增长若同时应收回款变慢，会降低增长质量；合同成本对应未来交付，如果客户取消项目，可能有减值。研究需要观察账龄、收款和坏账，而不能仅凭当期减值金额小判断没有信用风险。制造服务和科研客户预算有周期性，扩张速度越快，营运资本管理越重要。</w:t>
      </w:r>
    </w:p>
    <w:p>
      <w:pPr>
        <w:pStyle w:val="Normal"/>
        <w:rPr/>
      </w:pPr>
      <w:r>
        <w:rPr/>
        <w:t>集团六月可用现金等价物</w:t>
      </w:r>
      <w:r>
        <w:rPr/>
        <w:t>1.96358</w:t>
      </w:r>
      <w:r>
        <w:rPr/>
        <w:t>亿美元、定存</w:t>
      </w:r>
      <w:r>
        <w:rPr/>
        <w:t>2.35194</w:t>
      </w:r>
      <w:r>
        <w:rPr/>
        <w:t>亿美元、理财</w:t>
      </w:r>
      <w:r>
        <w:rPr/>
        <w:t>3.78691</w:t>
      </w:r>
      <w:r>
        <w:rPr/>
        <w:t>亿美元，合计</w:t>
      </w:r>
      <w:r>
        <w:rPr/>
        <w:t>8.10243</w:t>
      </w:r>
      <w:r>
        <w:rPr/>
        <w:t>亿美元，限制现金</w:t>
      </w:r>
      <w:r>
        <w:rPr/>
        <w:t>0.21031</w:t>
      </w:r>
      <w:r>
        <w:rPr/>
        <w:t>亿美元另列，未包含在以上可用金额里。不能先说可用现金</w:t>
      </w:r>
      <w:r>
        <w:rPr/>
        <w:t>8.10</w:t>
      </w:r>
      <w:r>
        <w:rPr/>
        <w:t>亿美元，再把同一限制现金重复扣。理财是按公允价值的金融资产，不等于全部存款保本，模型按</w:t>
      </w:r>
      <w:r>
        <w:rPr/>
        <w:t>95%</w:t>
      </w:r>
      <w:r>
        <w:rPr/>
        <w:t>回收假设，避免把所有名义资产自动当现金，实际产品风险仍要逐份穿透。</w:t>
      </w:r>
    </w:p>
    <w:p>
      <w:pPr>
        <w:pStyle w:val="Normal"/>
        <w:rPr/>
      </w:pPr>
      <w:r>
        <w:rPr/>
        <w:t>银行债</w:t>
      </w:r>
      <w:r>
        <w:rPr/>
        <w:t>1.93185</w:t>
      </w:r>
      <w:r>
        <w:rPr/>
        <w:t>亿美元、</w:t>
      </w:r>
      <w:r>
        <w:rPr/>
        <w:t>C</w:t>
      </w:r>
      <w:r>
        <w:rPr/>
        <w:t>类优先负债</w:t>
      </w:r>
      <w:r>
        <w:rPr/>
        <w:t>2.71586</w:t>
      </w:r>
      <w:r>
        <w:rPr/>
        <w:t>亿美元、其他优先融资</w:t>
      </w:r>
      <w:r>
        <w:rPr/>
        <w:t>0.90069</w:t>
      </w:r>
      <w:r>
        <w:rPr/>
        <w:t>亿美元和少量外汇衍生义务均影响集团金融余值。租赁法律债</w:t>
      </w:r>
      <w:r>
        <w:rPr/>
        <w:t>0.60276</w:t>
      </w:r>
      <w:r>
        <w:rPr/>
        <w:t>亿美元保留披露，但经营估值假设中保留正常经济租赁成本，因此不再扣一次同样租赁债。这个边界要求模型</w:t>
      </w:r>
      <w:r>
        <w:rPr/>
        <w:t>EBIT</w:t>
      </w:r>
      <w:r>
        <w:rPr/>
        <w:t>不能又使用全部排除租赁成本的利润，如果利润定义变化，现金桥必须同时变化。当前现金情况支持运营，但没有庞大无条件闲置现金可以随意分派。</w:t>
      </w:r>
    </w:p>
    <w:p>
      <w:pPr>
        <w:pStyle w:val="Heading2"/>
        <w:rPr/>
      </w:pPr>
      <w:r>
        <w:rPr>
          <w:color w:val="000000"/>
        </w:rPr>
        <w:t>十四 配售 股数及母子公司双层稀释</w:t>
      </w:r>
    </w:p>
    <w:p>
      <w:pPr>
        <w:pStyle w:val="Normal"/>
        <w:rPr/>
      </w:pPr>
      <w:r>
        <w:rPr/>
        <w:t>9</w:t>
      </w:r>
      <w:r>
        <w:rPr/>
        <w:t>月</w:t>
      </w:r>
      <w:r>
        <w:rPr/>
        <w:t>15</w:t>
      </w:r>
      <w:r>
        <w:rPr/>
        <w:t>日完成配售</w:t>
      </w:r>
      <w:r>
        <w:rPr/>
        <w:t>7712.6</w:t>
      </w:r>
      <w:r>
        <w:rPr/>
        <w:t>万股，配售价</w:t>
      </w:r>
      <w:r>
        <w:rPr/>
        <w:t>30.50</w:t>
      </w:r>
      <w:r>
        <w:rPr/>
        <w:t>港元，总额</w:t>
      </w:r>
      <w:r>
        <w:rPr/>
        <w:t>23.523</w:t>
      </w:r>
      <w:r>
        <w:rPr/>
        <w:t>亿、净额</w:t>
      </w:r>
      <w:r>
        <w:rPr/>
        <w:t>23.271</w:t>
      </w:r>
      <w:r>
        <w:rPr/>
        <w:t>亿港元。净款</w:t>
      </w:r>
      <w:r>
        <w:rPr/>
        <w:t>70%</w:t>
      </w:r>
      <w:r>
        <w:rPr/>
        <w:t>拟用于产能、</w:t>
      </w:r>
      <w:r>
        <w:rPr/>
        <w:t>20%</w:t>
      </w:r>
      <w:r>
        <w:rPr/>
        <w:t>用于研发数字化和全球布局、</w:t>
      </w:r>
      <w:r>
        <w:rPr/>
        <w:t>10%</w:t>
      </w:r>
      <w:r>
        <w:rPr/>
        <w:t>营运，钱已经取得但有明显资本使用计划。模型按每美元</w:t>
      </w:r>
      <w:r>
        <w:rPr/>
        <w:t>7.8</w:t>
      </w:r>
      <w:r>
        <w:rPr/>
        <w:t>港元把净款换美元，与期权行权现金</w:t>
      </w:r>
      <w:r>
        <w:rPr/>
        <w:t>0.85328526</w:t>
      </w:r>
      <w:r>
        <w:rPr/>
        <w:t>亿港元加入现金桥，再留五亿美元营运扩产储备。这是预测换算假设，不能当作实际公司每笔资金结汇记录。</w:t>
      </w:r>
    </w:p>
    <w:p>
      <w:pPr>
        <w:pStyle w:val="Normal"/>
        <w:rPr/>
      </w:pPr>
      <w:r>
        <w:rPr/>
        <w:t>9</w:t>
      </w:r>
      <w:r>
        <w:rPr/>
        <w:t>月末月报已发行</w:t>
      </w:r>
      <w:r>
        <w:rPr/>
        <w:t>22.83670726</w:t>
      </w:r>
      <w:r>
        <w:rPr/>
        <w:t>亿股，较</w:t>
      </w:r>
      <w:r>
        <w:rPr/>
        <w:t>8</w:t>
      </w:r>
      <w:r>
        <w:rPr/>
        <w:t>月增加</w:t>
      </w:r>
      <w:r>
        <w:rPr/>
        <w:t>8307.9029</w:t>
      </w:r>
      <w:r>
        <w:rPr/>
        <w:t>万，其中配售</w:t>
      </w:r>
      <w:r>
        <w:rPr/>
        <w:t>7712.6</w:t>
      </w:r>
      <w:r>
        <w:rPr/>
        <w:t>万、期权</w:t>
      </w:r>
      <w:r>
        <w:rPr/>
        <w:t>595.3029</w:t>
      </w:r>
      <w:r>
        <w:rPr/>
        <w:t>万。配售使现金增加也使每股分母增加，不能只计钱而沿用旧股数。研究年底基准</w:t>
      </w:r>
      <w:r>
        <w:rPr/>
        <w:t>23.1</w:t>
      </w:r>
      <w:r>
        <w:rPr/>
        <w:t>亿股、半年</w:t>
      </w:r>
      <w:r>
        <w:rPr/>
        <w:t>23.4</w:t>
      </w:r>
      <w:r>
        <w:rPr/>
        <w:t>亿、一年</w:t>
      </w:r>
      <w:r>
        <w:rPr/>
        <w:t>24</w:t>
      </w:r>
      <w:r>
        <w:rPr/>
        <w:t>亿、三年</w:t>
      </w:r>
      <w:r>
        <w:rPr/>
        <w:t>25.2</w:t>
      </w:r>
      <w:r>
        <w:rPr/>
        <w:t>亿、五年</w:t>
      </w:r>
      <w:r>
        <w:rPr/>
        <w:t>26.5</w:t>
      </w:r>
      <w:r>
        <w:rPr/>
        <w:t>亿，都是未来激励及融资研究假设，不是公司确定融资计划。若实际股数增加更快，即使公司总价值增长，目标每股价格也要下降。</w:t>
      </w:r>
    </w:p>
    <w:p>
      <w:pPr>
        <w:pStyle w:val="Normal"/>
        <w:rPr/>
      </w:pPr>
      <w:r>
        <w:rPr/>
        <w:t>发行人交割后九十天禁售安排约到</w:t>
      </w:r>
      <w:r>
        <w:rPr/>
        <w:t>12</w:t>
      </w:r>
      <w:r>
        <w:rPr/>
        <w:t>月</w:t>
      </w:r>
      <w:r>
        <w:rPr/>
        <w:t>14</w:t>
      </w:r>
      <w:r>
        <w:rPr/>
        <w:t>日，条款约束范围不能误写成所有股东同时禁售。期限结束是需要观察的供给条件变化，不是确定的大规模抛售事件。配售价格</w:t>
      </w:r>
      <w:r>
        <w:rPr/>
        <w:t>30.50</w:t>
      </w:r>
      <w:r>
        <w:rPr/>
        <w:t>港元可以作为市场观察锚，但不是永久支撑；参与配售的人也可能因基本面、对冲和资金需要改变持仓。模型不把配售价格当股价下限，悲观情景允许远低于此价。</w:t>
      </w:r>
    </w:p>
    <w:p>
      <w:pPr>
        <w:pStyle w:val="Normal"/>
        <w:rPr/>
      </w:pPr>
      <w:r>
        <w:rPr/>
        <w:t>传奇</w:t>
      </w:r>
      <w:r>
        <w:rPr/>
        <w:t>2026</w:t>
      </w:r>
      <w:r>
        <w:rPr/>
        <w:t>年公开发行</w:t>
      </w:r>
      <w:r>
        <w:rPr/>
        <w:t>770</w:t>
      </w:r>
      <w:r>
        <w:rPr/>
        <w:t>万</w:t>
      </w:r>
      <w:r>
        <w:rPr/>
        <w:t>ADS</w:t>
      </w:r>
      <w:r>
        <w:rPr/>
        <w:t>、净筹约</w:t>
      </w:r>
      <w:r>
        <w:rPr/>
        <w:t>2.12</w:t>
      </w:r>
      <w:r>
        <w:rPr/>
        <w:t>亿美元，金斯瑞持股因此由</w:t>
      </w:r>
      <w:r>
        <w:rPr/>
        <w:t>47.18%</w:t>
      </w:r>
      <w:r>
        <w:rPr/>
        <w:t>降到</w:t>
      </w:r>
      <w:r>
        <w:rPr/>
        <w:t>45.03%</w:t>
      </w:r>
      <w:r>
        <w:rPr/>
        <w:t>。传奇融资款在传奇六月现金里，不应再加到金斯瑞集团现金桥。未来传奇权益比例基准从年底</w:t>
      </w:r>
      <w:r>
        <w:rPr/>
        <w:t>44.5%</w:t>
      </w:r>
      <w:r>
        <w:rPr/>
        <w:t>降至五年</w:t>
      </w:r>
      <w:r>
        <w:rPr/>
        <w:t>40%</w:t>
      </w:r>
      <w:r>
        <w:rPr/>
        <w:t>，母公司股数同时增加，形成双层稀释。两层资本若有效投入，可以扩大总价值；若资本效率不足，增长会被稀释吞掉。研究专门展示持股与分母，让这一影响可算。</w:t>
      </w:r>
    </w:p>
    <w:p>
      <w:pPr>
        <w:pStyle w:val="Heading2"/>
        <w:rPr/>
      </w:pPr>
      <w:r>
        <w:rPr>
          <w:color w:val="000000"/>
        </w:rPr>
        <w:t>十五 传奇现金与持股折价</w:t>
      </w:r>
    </w:p>
    <w:p>
      <w:pPr>
        <w:pStyle w:val="Normal"/>
        <w:rPr/>
      </w:pPr>
      <w:r>
        <w:rPr/>
        <w:t>传奇六月现金和定存</w:t>
      </w:r>
      <w:r>
        <w:rPr/>
        <w:t>9.646</w:t>
      </w:r>
      <w:r>
        <w:rPr/>
        <w:t>亿美元，合作计息资金</w:t>
      </w:r>
      <w:r>
        <w:rPr/>
        <w:t>1.564</w:t>
      </w:r>
      <w:r>
        <w:rPr/>
        <w:t>亿美元，计划未来十二个月由合作利润或里程碑抵扣回收，债务不是可永远不还的无成本支持。上半年经营现金净流出</w:t>
      </w:r>
      <w:r>
        <w:rPr/>
        <w:t>1.06</w:t>
      </w:r>
      <w:r>
        <w:rPr/>
        <w:t>亿美元，同时有净发行款</w:t>
      </w:r>
      <w:r>
        <w:rPr/>
        <w:t>2.12</w:t>
      </w:r>
      <w:r>
        <w:rPr/>
        <w:t>亿美元。第二季利润改善还没有让整个半年现金流转正，未来商业利润、资金结算和研发投入决定现金走势。研究不直接用账面现金除季度净利推一个固定现金跑道。</w:t>
      </w:r>
    </w:p>
    <w:p>
      <w:pPr>
        <w:pStyle w:val="Normal"/>
        <w:rPr/>
      </w:pPr>
      <w:r>
        <w:rPr/>
        <w:t>本模型传奇初始超额净现金以</w:t>
      </w:r>
      <w:r>
        <w:rPr/>
        <w:t>9.646</w:t>
      </w:r>
      <w:r>
        <w:rPr/>
        <w:t>亿减</w:t>
      </w:r>
      <w:r>
        <w:rPr/>
        <w:t>1.564</w:t>
      </w:r>
      <w:r>
        <w:rPr/>
        <w:t>亿合作资金和</w:t>
      </w:r>
      <w:r>
        <w:rPr/>
        <w:t>3.5</w:t>
      </w:r>
      <w:r>
        <w:rPr/>
        <w:t>亿美元运营储备，约</w:t>
      </w:r>
      <w:r>
        <w:rPr/>
        <w:t>4.582</w:t>
      </w:r>
      <w:r>
        <w:rPr/>
        <w:t>亿美元。租赁法律负债</w:t>
      </w:r>
      <w:r>
        <w:rPr/>
        <w:t>1.218</w:t>
      </w:r>
      <w:r>
        <w:rPr/>
        <w:t>亿美元单列，正常租赁经济费留在毛利及经营费用假设里，不再重复扣；部分与强生的分租回收关系也说明法律负债和最终经济成本不能简单等同。未来三年基准超额现金</w:t>
      </w:r>
      <w:r>
        <w:rPr/>
        <w:t>18</w:t>
      </w:r>
      <w:r>
        <w:rPr/>
        <w:t>亿美元、五年</w:t>
      </w:r>
      <w:r>
        <w:rPr/>
        <w:t>35</w:t>
      </w:r>
      <w:r>
        <w:rPr/>
        <w:t>亿美元是合计经营投资融资预测，需要持续财报验证，未完成逐年现金流预算。</w:t>
      </w:r>
    </w:p>
    <w:p>
      <w:pPr>
        <w:pStyle w:val="Normal"/>
        <w:rPr/>
      </w:pPr>
      <w:r>
        <w:rPr/>
        <w:t>传奇股权价值乘持股后基准再乘</w:t>
      </w:r>
      <w:r>
        <w:rPr/>
        <w:t>92%</w:t>
      </w:r>
      <w:r>
        <w:rPr/>
        <w:t>的持股价值因子，反映持股无法即时无税无成本全部变现、管理和资金用途及控股公司市场折价。这不是已核验出售税率，也不是法定折扣。乐观因子</w:t>
      </w:r>
      <w:r>
        <w:rPr/>
        <w:t>100%</w:t>
      </w:r>
      <w:r>
        <w:rPr/>
        <w:t>、悲观由</w:t>
      </w:r>
      <w:r>
        <w:rPr/>
        <w:t>80%</w:t>
      </w:r>
      <w:r>
        <w:rPr/>
        <w:t>逐期到</w:t>
      </w:r>
      <w:r>
        <w:rPr/>
        <w:t>70%</w:t>
      </w:r>
      <w:r>
        <w:rPr/>
        <w:t>，体现市场对集中股权和资本效率的不信任。若资本分配透明、股东回报改善，折价可缩小；若关联交易和融资增加，可能扩大，模型提供敏感性而非保证。</w:t>
      </w:r>
    </w:p>
    <w:p>
      <w:pPr>
        <w:pStyle w:val="Heading2"/>
        <w:rPr/>
      </w:pPr>
      <w:r>
        <w:rPr>
          <w:color w:val="000000"/>
        </w:rPr>
        <w:t>十六 经济前景与行业周期影响路径</w:t>
      </w:r>
    </w:p>
    <w:p>
      <w:pPr>
        <w:pStyle w:val="Normal"/>
        <w:rPr/>
      </w:pPr>
      <w:r>
        <w:rPr/>
        <w:t>全球利率影响金斯瑞的路径先是客户预算。高利率提高生物科技融资门槛，企业可能减少候选和推迟制造扩张，实验及外包服务需求减弱；融资环境改善可以恢复研究订单，但客户仍会筛选项目，不能把利率下降直接等于所有科研收入同比高增长。第二条路径是估值折现和风险偏好，较高利率降低远期管线现值并压低成长倍数。公司经营改善与股价上涨不必同一时点发生。</w:t>
      </w:r>
    </w:p>
    <w:p>
      <w:pPr>
        <w:pStyle w:val="Normal"/>
        <w:rPr/>
      </w:pPr>
      <w:r>
        <w:rPr/>
        <w:t>人民币与美元汇率影响收入折算、国内成本、财务汇兑和现金流，港币联系汇率又影响投资者计价。美元客户支付和中国实验成本形成潜在自然对冲，但美国本地产能增加会改变成本结构。实际净敞口需要按合同、子公司和现金债务币种核对，不能只因美元收入多就认定人民币贬值一定利好。模型统一美元企业价值转港元一次，避免在传奇权益和集团股价之间多次换算。</w:t>
      </w:r>
    </w:p>
    <w:p>
      <w:pPr>
        <w:pStyle w:val="Normal"/>
        <w:rPr/>
      </w:pPr>
      <w:r>
        <w:rPr/>
        <w:t>国际采购与生物技术政策可能影响客户选供应商、数据传输和实验材料运输。美国设施和本地团队可以减少部分交付障碍，但不能保证完全排除法律或客户合规顾虑。公司在中国、美国和其他地区的布局也带来管理复杂度，劳动力成本、环保与质量规范变化会影响利润。研究风险评分考虑这些真实路径，没有假定未来已经出台某一具体政策，也没有用未经核验的政治结论替代公司披露。</w:t>
      </w:r>
    </w:p>
    <w:p>
      <w:pPr>
        <w:pStyle w:val="Normal"/>
        <w:rPr/>
      </w:pPr>
      <w:r>
        <w:rPr/>
        <w:t>医药支付政策主要影响传奇商业治疗和服务客户药品经济性，医保及保险净价会决定客户愿意投入多大后期制造预算。工业酶则受食品和生产链需求及客户成本压力影响。四种业务的周期相关程度不完全相同，能够缓冲某些冲击，但全球融资、科研投资和资本市场风险仍是共同驱动。估值情景中悲观把需求、利润率和倍数同时压低，是相关风险情景，而非三个完全独立因素随机相乘。</w:t>
      </w:r>
    </w:p>
    <w:p>
      <w:pPr>
        <w:pStyle w:val="Heading2"/>
        <w:rPr/>
      </w:pPr>
      <w:r>
        <w:rPr>
          <w:color w:val="000000"/>
        </w:rPr>
        <w:t>十七 日线与均线 强趋势和伸展同时存在</w:t>
      </w:r>
    </w:p>
    <w:p>
      <w:pPr>
        <w:pStyle w:val="Normal"/>
        <w:rPr/>
      </w:pPr>
      <w:r>
        <w:rPr/>
        <w:t>真实历史共</w:t>
      </w:r>
      <w:r>
        <w:rPr/>
        <w:t>739</w:t>
      </w:r>
      <w:r>
        <w:rPr/>
        <w:t>个交易日，约三年日线，周线</w:t>
      </w:r>
      <w:r>
        <w:rPr/>
        <w:t>157</w:t>
      </w:r>
      <w:r>
        <w:rPr/>
        <w:t>期，没有补造二百五十周均线。价格与历史复权采用基准日名义价格归一，现有记录没有分拆或股息事件。</w:t>
      </w:r>
      <w:r>
        <w:rPr/>
        <w:t>10</w:t>
      </w:r>
      <w:r>
        <w:rPr/>
        <w:t>月</w:t>
      </w:r>
      <w:r>
        <w:rPr/>
        <w:t>14</w:t>
      </w:r>
      <w:r>
        <w:rPr/>
        <w:t>日每手二千股改为一千股，是买卖单位变化，发生在基准之后，也不是拆股，不调整历史</w:t>
      </w:r>
      <w:r>
        <w:rPr/>
        <w:t>K</w:t>
      </w:r>
      <w:r>
        <w:rPr/>
        <w:t>线或成交量。日均线二十日</w:t>
      </w:r>
      <w:r>
        <w:rPr/>
        <w:t>40.3460</w:t>
      </w:r>
      <w:r>
        <w:rPr/>
        <w:t>、六十日</w:t>
      </w:r>
      <w:r>
        <w:rPr/>
        <w:t>30.5588</w:t>
      </w:r>
      <w:r>
        <w:rPr/>
        <w:t>、一百二十日</w:t>
      </w:r>
      <w:r>
        <w:rPr/>
        <w:t>21.9143</w:t>
      </w:r>
      <w:r>
        <w:rPr/>
        <w:t>、二百五十日</w:t>
      </w:r>
      <w:r>
        <w:rPr/>
        <w:t>17.6647</w:t>
      </w:r>
      <w:r>
        <w:rPr/>
        <w:t>港元。</w:t>
      </w:r>
    </w:p>
    <w:p>
      <w:pPr>
        <w:pStyle w:val="Normal"/>
        <w:rPr/>
      </w:pPr>
      <w:r>
        <w:rPr/>
        <w:t>现价高于四条日均线</w:t>
      </w:r>
      <w:r>
        <w:rPr/>
        <w:t>5.09%</w:t>
      </w:r>
      <w:r>
        <w:rPr/>
        <w:t>、</w:t>
      </w:r>
      <w:r>
        <w:rPr/>
        <w:t>38.75%</w:t>
      </w:r>
      <w:r>
        <w:rPr/>
        <w:t>、</w:t>
      </w:r>
      <w:r>
        <w:rPr/>
        <w:t>93.48%</w:t>
      </w:r>
      <w:r>
        <w:rPr/>
        <w:t>、</w:t>
      </w:r>
      <w:r>
        <w:rPr/>
        <w:t>140.03%</w:t>
      </w:r>
      <w:r>
        <w:rPr/>
        <w:t>，排列支持中短期上升趋势；各均线最近五期斜率分别约</w:t>
      </w:r>
      <w:r>
        <w:rPr/>
        <w:t>7.74%</w:t>
      </w:r>
      <w:r>
        <w:rPr/>
        <w:t>、</w:t>
      </w:r>
      <w:r>
        <w:rPr/>
        <w:t>8.85%</w:t>
      </w:r>
      <w:r>
        <w:rPr/>
        <w:t>、</w:t>
      </w:r>
      <w:r>
        <w:rPr/>
        <w:t>6.25%</w:t>
      </w:r>
      <w:r>
        <w:rPr/>
        <w:t>、</w:t>
      </w:r>
      <w:r>
        <w:rPr/>
        <w:t>3.25%</w:t>
      </w:r>
      <w:r>
        <w:rPr/>
        <w:t>，也向上。均线趋势的证据很明确，但六十日和长期距离巨大，说明继续追价面对更大均值回归风险。技术高分需要同时评价趋势方向和买入位置，本研究没有因为四线多头排列就给接近满分。</w:t>
      </w:r>
    </w:p>
    <w:p>
      <w:pPr>
        <w:pStyle w:val="Normal"/>
        <w:rPr/>
      </w:pPr>
      <w:r>
        <w:rPr/>
        <w:t>过去二十日上涨</w:t>
      </w:r>
      <w:r>
        <w:rPr/>
        <w:t>32.50%</w:t>
      </w:r>
      <w:r>
        <w:rPr/>
        <w:t>、六十日</w:t>
      </w:r>
      <w:r>
        <w:rPr/>
        <w:t>192.62%</w:t>
      </w:r>
      <w:r>
        <w:rPr/>
        <w:t>、一百二十日</w:t>
      </w:r>
      <w:r>
        <w:rPr/>
        <w:t>208.14%</w:t>
      </w:r>
      <w:r>
        <w:rPr/>
        <w:t>、二百五十日</w:t>
      </w:r>
      <w:r>
        <w:rPr/>
        <w:t>147.09%</w:t>
      </w:r>
      <w:r>
        <w:rPr/>
        <w:t>。这些收益属于已经实现的历史，不是从当前再取得相同涨幅的统计保证。急速上涨可能反映真实盈利重估，也可能包括主题资金和对未来的提前支付，具体投资者身份无法仅凭图形断定。模型将年报确认利润和持续增长作为半年判断需要的下一层证据。</w:t>
      </w:r>
    </w:p>
    <w:p>
      <w:pPr>
        <w:pStyle w:val="Normal"/>
        <w:rPr/>
      </w:pPr>
      <w:r>
        <w:rPr/>
        <w:t>近期二十日最高</w:t>
      </w:r>
      <w:r>
        <w:rPr/>
        <w:t>49.46</w:t>
      </w:r>
      <w:r>
        <w:rPr/>
        <w:t>、最低</w:t>
      </w:r>
      <w:r>
        <w:rPr/>
        <w:t>30.80</w:t>
      </w:r>
      <w:r>
        <w:rPr/>
        <w:t>港元，现价距高点还需上涨</w:t>
      </w:r>
      <w:r>
        <w:rPr/>
        <w:t>16.65%</w:t>
      </w:r>
      <w:r>
        <w:rPr/>
        <w:t>，距低点下跌</w:t>
      </w:r>
      <w:r>
        <w:rPr/>
        <w:t>27.36%</w:t>
      </w:r>
      <w:r>
        <w:rPr/>
        <w:t>；过去一年高低</w:t>
      </w:r>
      <w:r>
        <w:rPr/>
        <w:t>49.46</w:t>
      </w:r>
      <w:r>
        <w:rPr/>
        <w:t>和</w:t>
      </w:r>
      <w:r>
        <w:rPr/>
        <w:t>10.36</w:t>
      </w:r>
      <w:r>
        <w:rPr/>
        <w:t>，现价较高点回落</w:t>
      </w:r>
      <w:r>
        <w:rPr/>
        <w:t>14.27%</w:t>
      </w:r>
      <w:r>
        <w:rPr/>
        <w:t>，一年最大峰谷回撤约</w:t>
      </w:r>
      <w:r>
        <w:rPr/>
        <w:t>39.98%</w:t>
      </w:r>
      <w:r>
        <w:rPr/>
        <w:t>。区间高低属于自动取得的观察锚，未核验多次触碰形成的稳定支撑阻力。特别是六十日低</w:t>
      </w:r>
      <w:r>
        <w:rPr/>
        <w:t>13.12</w:t>
      </w:r>
      <w:r>
        <w:rPr/>
        <w:t>和旧一年低</w:t>
      </w:r>
      <w:r>
        <w:rPr/>
        <w:t>10.36</w:t>
      </w:r>
      <w:r>
        <w:rPr/>
        <w:t>距离现价很远，不能拿来当半年交易的低风险止损位。</w:t>
      </w:r>
    </w:p>
    <w:p>
      <w:pPr>
        <w:pStyle w:val="Heading2"/>
        <w:rPr/>
      </w:pPr>
      <w:r>
        <w:rPr>
          <w:color w:val="000000"/>
        </w:rPr>
        <w:t>十八 量能 成交额和相对强弱</w:t>
      </w:r>
    </w:p>
    <w:p>
      <w:pPr>
        <w:pStyle w:val="Normal"/>
        <w:rPr/>
      </w:pPr>
      <w:r>
        <w:rPr/>
        <w:t>基准日成交</w:t>
      </w:r>
      <w:r>
        <w:rPr/>
        <w:t>4985.6027</w:t>
      </w:r>
      <w:r>
        <w:rPr/>
        <w:t>万股、约</w:t>
      </w:r>
      <w:r>
        <w:rPr/>
        <w:t>20.3954</w:t>
      </w:r>
      <w:r>
        <w:rPr/>
        <w:t>亿港元。五日均量</w:t>
      </w:r>
      <w:r>
        <w:rPr/>
        <w:t>3655.2153</w:t>
      </w:r>
      <w:r>
        <w:rPr/>
        <w:t>万股、二十日</w:t>
      </w:r>
      <w:r>
        <w:rPr/>
        <w:t>3534.2090</w:t>
      </w:r>
      <w:r>
        <w:rPr/>
        <w:t>万、六十日</w:t>
      </w:r>
      <w:r>
        <w:rPr/>
        <w:t>4046.0521</w:t>
      </w:r>
      <w:r>
        <w:rPr/>
        <w:t>万，基准日对之前二十日均量</w:t>
      </w:r>
      <w:r>
        <w:rPr/>
        <w:t>3403.5631</w:t>
      </w:r>
      <w:r>
        <w:rPr/>
        <w:t>万的量比</w:t>
      </w:r>
      <w:r>
        <w:rPr/>
        <w:t>1.464819</w:t>
      </w:r>
      <w:r>
        <w:rPr/>
        <w:t>。此量比是日线口径，不能叫盘中实时量比。成交量统一股而不是手，交易单位变化也不会把真实股数减半。未取得可靠流通股定义和逐日换手率，研究明确缺失，不虚填精确换手。</w:t>
      </w:r>
    </w:p>
    <w:p>
      <w:pPr>
        <w:pStyle w:val="Normal"/>
        <w:rPr/>
      </w:pPr>
      <w:r>
        <w:rPr/>
        <w:t>最近二十日上涨十二天下跌八天，上涨日总量</w:t>
      </w:r>
      <w:r>
        <w:rPr/>
        <w:t>4.35472</w:t>
      </w:r>
      <w:r>
        <w:rPr/>
        <w:t>亿股、下跌日</w:t>
      </w:r>
      <w:r>
        <w:rPr/>
        <w:t>2.71370</w:t>
      </w:r>
      <w:r>
        <w:rPr/>
        <w:t>亿股，合计量比</w:t>
      </w:r>
      <w:r>
        <w:rPr/>
        <w:t>1.60472</w:t>
      </w:r>
      <w:r>
        <w:rPr/>
        <w:t>。上涨天数更多本身就会使总量比提高，所以不能只拿</w:t>
      </w:r>
      <w:r>
        <w:rPr/>
        <w:t>1.60</w:t>
      </w:r>
      <w:r>
        <w:rPr/>
        <w:t>断言所有上涨质量都强。按单日平均，上涨约</w:t>
      </w:r>
      <w:r>
        <w:rPr/>
        <w:t>3628.94</w:t>
      </w:r>
      <w:r>
        <w:rPr/>
        <w:t>万、下跌</w:t>
      </w:r>
      <w:r>
        <w:rPr/>
        <w:t>3392.12</w:t>
      </w:r>
      <w:r>
        <w:rPr/>
        <w:t>万，约</w:t>
      </w:r>
      <w:r>
        <w:rPr/>
        <w:t>1.07</w:t>
      </w:r>
      <w:r>
        <w:rPr/>
        <w:t>倍，优势较温和。需要把单日量价、趋势和回调幅度结合分析，而非从总量比直接判定“主力吸筹”。</w:t>
      </w:r>
    </w:p>
    <w:p>
      <w:pPr>
        <w:pStyle w:val="Normal"/>
        <w:rPr/>
      </w:pPr>
      <w:r>
        <w:rPr/>
        <w:t>五日与二十日均量相近，六十日均量更高，说明最近活动不一定持续加速。基准日放量同时股价上涨，是有利信号，但是否恢复强动量要看后续突破高点后的保持、回踩量缩和亏损反向放量。若</w:t>
      </w:r>
      <w:r>
        <w:rPr/>
        <w:t>49.46</w:t>
      </w:r>
      <w:r>
        <w:rPr/>
        <w:t>附近突破伴随大成交却很快退回，则可能是失败突破；若回调到二十日均线附近有较低成交、价格企稳并重新上行，则更有利于降低追高风险。没有逐笔数据，不绘制声称精确的成交量价位分布。</w:t>
      </w:r>
    </w:p>
    <w:p>
      <w:pPr>
        <w:pStyle w:val="Normal"/>
        <w:rPr/>
      </w:pPr>
      <w:r>
        <w:rPr/>
        <w:t>对恒生市场基准二十日超额</w:t>
      </w:r>
      <w:r>
        <w:rPr/>
        <w:t>35.48</w:t>
      </w:r>
      <w:r>
        <w:rPr/>
        <w:t>个百分点、六十日</w:t>
      </w:r>
      <w:r>
        <w:rPr/>
        <w:t>195.80</w:t>
      </w:r>
      <w:r>
        <w:rPr/>
        <w:t>个百分点，表现很强，但医药或科研细分行业基准比较尚缺。市场超额不是行业超额，不能把全部重估归公司独特优势。公司近期主题和盈利变化可能都贡献价格上涨，比较同类外包平台和创新药公司可以帮助分解；本章的统一排名技术维度因行业比较缺失保留证据折扣。</w:t>
      </w:r>
    </w:p>
    <w:p>
      <w:pPr>
        <w:pStyle w:val="Heading2"/>
        <w:rPr/>
      </w:pPr>
      <w:r>
        <w:rPr>
          <w:color w:val="000000"/>
        </w:rPr>
        <w:t xml:space="preserve">十九 </w:t>
      </w:r>
      <w:r>
        <w:rPr>
          <w:color w:val="000000"/>
        </w:rPr>
        <w:t>RSI MACD ATR</w:t>
      </w:r>
      <w:r>
        <w:rPr>
          <w:color w:val="000000"/>
        </w:rPr>
        <w:t>与周线</w:t>
      </w:r>
    </w:p>
    <w:p>
      <w:pPr>
        <w:pStyle w:val="Normal"/>
        <w:rPr/>
      </w:pPr>
      <w:r>
        <w:rPr/>
        <w:t>日</w:t>
      </w:r>
      <w:r>
        <w:rPr/>
        <w:t>RSI</w:t>
      </w:r>
      <w:r>
        <w:rPr/>
        <w:t>十四期</w:t>
      </w:r>
      <w:r>
        <w:rPr/>
        <w:t>56.12</w:t>
      </w:r>
      <w:r>
        <w:rPr/>
        <w:t>，已从极强趋势中降到较中性的动量区，说明短期并非持续最强超买，但也没有自动给出新上涨启动。</w:t>
      </w:r>
      <w:r>
        <w:rPr/>
        <w:t>MACD</w:t>
      </w:r>
      <w:r>
        <w:rPr/>
        <w:t>差值</w:t>
      </w:r>
      <w:r>
        <w:rPr/>
        <w:t>3.1134</w:t>
      </w:r>
      <w:r>
        <w:rPr/>
        <w:t>、信号</w:t>
      </w:r>
      <w:r>
        <w:rPr/>
        <w:t>3.4711</w:t>
      </w:r>
      <w:r>
        <w:rPr/>
        <w:t>，按两倍差定义柱−</w:t>
      </w:r>
      <w:r>
        <w:rPr/>
        <w:t>0.7155</w:t>
      </w:r>
      <w:r>
        <w:rPr/>
        <w:t>，显示短期动量减速。均线仍向上与</w:t>
      </w:r>
      <w:r>
        <w:rPr/>
        <w:t>MACD</w:t>
      </w:r>
      <w:r>
        <w:rPr/>
        <w:t>减速能够同时成立，前者描述较慢趋势，后者描述当前变化速度，不必人为挑一个最符合看涨叙事的指标。</w:t>
      </w:r>
    </w:p>
    <w:p>
      <w:pPr>
        <w:pStyle w:val="Normal"/>
        <w:rPr/>
      </w:pPr>
      <w:r>
        <w:rPr/>
        <w:t>日</w:t>
      </w:r>
      <w:r>
        <w:rPr/>
        <w:t>ATR3.4571</w:t>
      </w:r>
      <w:r>
        <w:rPr/>
        <w:t>港元、占现价</w:t>
      </w:r>
      <w:r>
        <w:rPr/>
        <w:t>8.15%</w:t>
      </w:r>
      <w:r>
        <w:rPr/>
        <w:t>，波动幅度很大。</w:t>
      </w:r>
      <w:r>
        <w:rPr/>
        <w:t>ATR</w:t>
      </w:r>
      <w:r>
        <w:rPr/>
        <w:t>不是最大可能单日跌幅，也不是概率区间，主要提示近期通常波幅下，几港元的价格变化未必具有单独方向意义。观察均线和前高应使用适当容忍区间和收盘持续性，不能以一个很窄固定价位就断言突破成功或失败。高波动也意味着投资者即使方向最终正确，过程中仍可能承受明显回撤。</w:t>
      </w:r>
    </w:p>
    <w:p>
      <w:pPr>
        <w:pStyle w:val="Normal"/>
        <w:rPr/>
      </w:pPr>
      <w:r>
        <w:rPr/>
        <w:t>周二十、六十、一百二十期均线</w:t>
      </w:r>
      <w:r>
        <w:rPr/>
        <w:t>24.3785</w:t>
      </w:r>
      <w:r>
        <w:rPr/>
        <w:t>、</w:t>
      </w:r>
      <w:r>
        <w:rPr/>
        <w:t>17.6528</w:t>
      </w:r>
      <w:r>
        <w:rPr/>
        <w:t>、</w:t>
      </w:r>
      <w:r>
        <w:rPr/>
        <w:t>14.9847</w:t>
      </w:r>
      <w:r>
        <w:rPr/>
        <w:t>，现价高出</w:t>
      </w:r>
      <w:r>
        <w:rPr/>
        <w:t>73.92%</w:t>
      </w:r>
      <w:r>
        <w:rPr/>
        <w:t>、</w:t>
      </w:r>
      <w:r>
        <w:rPr/>
        <w:t>140.19%</w:t>
      </w:r>
      <w:r>
        <w:rPr/>
        <w:t>、</w:t>
      </w:r>
      <w:r>
        <w:rPr/>
        <w:t>182.96%</w:t>
      </w:r>
      <w:r>
        <w:rPr/>
        <w:t>，二百五十周不存在。周</w:t>
      </w:r>
      <w:r>
        <w:rPr/>
        <w:t>RSI80.73</w:t>
      </w:r>
      <w:r>
        <w:rPr/>
        <w:t>、</w:t>
      </w:r>
      <w:r>
        <w:rPr/>
        <w:t>MACD</w:t>
      </w:r>
      <w:r>
        <w:rPr/>
        <w:t>柱正</w:t>
      </w:r>
      <w:r>
        <w:rPr/>
        <w:t>4.6024</w:t>
      </w:r>
      <w:r>
        <w:rPr/>
        <w:t>说明较长趋势强，而周</w:t>
      </w:r>
      <w:r>
        <w:rPr/>
        <w:t>ATR</w:t>
      </w:r>
      <w:r>
        <w:rPr/>
        <w:t>约</w:t>
      </w:r>
      <w:r>
        <w:rPr/>
        <w:t>10.80%</w:t>
      </w:r>
      <w:r>
        <w:rPr/>
        <w:t>显示伸展后的高波动。日动量冷却而周线仍强，较符合强上涨之后整理的可能结构，但“可能”不能写成已经完成的确定旗形或平台突破，后续高低点与量能还要验证。</w:t>
      </w:r>
    </w:p>
    <w:p>
      <w:pPr>
        <w:pStyle w:val="Normal"/>
        <w:rPr/>
      </w:pPr>
      <w:r>
        <w:rPr/>
        <w:t>半年技术观察第一层是二十日均线</w:t>
      </w:r>
      <w:r>
        <w:rPr/>
        <w:t>40.35</w:t>
      </w:r>
      <w:r>
        <w:rPr/>
        <w:t>附近能否随时间上移并形成有效回踩，第二层是</w:t>
      </w:r>
      <w:r>
        <w:rPr/>
        <w:t>49.46</w:t>
      </w:r>
      <w:r>
        <w:rPr/>
        <w:t>前高是否伴随成交和持续收盘突破，第三层是</w:t>
      </w:r>
      <w:r>
        <w:rPr/>
        <w:t>30.80</w:t>
      </w:r>
      <w:r>
        <w:rPr/>
        <w:t>近期低点及</w:t>
      </w:r>
      <w:r>
        <w:rPr/>
        <w:t>30.56</w:t>
      </w:r>
      <w:r>
        <w:rPr/>
        <w:t>六十日线附近的中期结构。现价到这几处约−</w:t>
      </w:r>
      <w:r>
        <w:rPr/>
        <w:t>4.85%</w:t>
      </w:r>
      <w:r>
        <w:rPr/>
        <w:t>、</w:t>
      </w:r>
      <w:r>
        <w:rPr/>
        <w:t>+16.65%</w:t>
      </w:r>
      <w:r>
        <w:rPr/>
        <w:t>、−</w:t>
      </w:r>
      <w:r>
        <w:rPr/>
        <w:t>27.36%</w:t>
      </w:r>
      <w:r>
        <w:rPr/>
        <w:t>、−</w:t>
      </w:r>
      <w:r>
        <w:rPr/>
        <w:t>27.93%</w:t>
      </w:r>
      <w:r>
        <w:rPr/>
        <w:t>。若连续失守二十日线且放量下降，应降低短期趋势评价；若再失守三十港元附近并无法收复，原强趋势假设受到更大否定。技术失效不代替经营模型的更新。</w:t>
      </w:r>
    </w:p>
    <w:p>
      <w:pPr>
        <w:pStyle w:val="Heading2"/>
        <w:rPr/>
      </w:pPr>
      <w:r>
        <w:rPr>
          <w:color w:val="000000"/>
        </w:rPr>
        <w:t>二十 年底情景为何与一年目标不同</w:t>
      </w:r>
    </w:p>
    <w:p>
      <w:pPr>
        <w:pStyle w:val="Normal"/>
        <w:rPr/>
      </w:pPr>
      <w:r>
        <w:rPr/>
        <w:t>年底从基准只有约两个多月，能得到的新信息有限，主要是业务订单、传奇季度销售和利润、资本行动及行业风险偏好。没有足够时间让远期工厂和早期管线全部形成现金。年底基准用下一年度</w:t>
      </w:r>
      <w:r>
        <w:rPr/>
        <w:t>LSG</w:t>
      </w:r>
      <w:r>
        <w:rPr/>
        <w:t>收入</w:t>
      </w:r>
      <w:r>
        <w:rPr/>
        <w:t>8</w:t>
      </w:r>
      <w:r>
        <w:rPr/>
        <w:t>亿美元、</w:t>
      </w:r>
      <w:r>
        <w:rPr/>
        <w:t>29%</w:t>
      </w:r>
      <w:r>
        <w:rPr/>
        <w:t>经营率、</w:t>
      </w:r>
      <w:r>
        <w:rPr/>
        <w:t>34</w:t>
      </w:r>
      <w:r>
        <w:rPr/>
        <w:t>倍正常税后经营利润；传奇收入</w:t>
      </w:r>
      <w:r>
        <w:rPr/>
        <w:t>16.5</w:t>
      </w:r>
      <w:r>
        <w:rPr/>
        <w:t>亿美元、</w:t>
      </w:r>
      <w:r>
        <w:rPr/>
        <w:t>61%</w:t>
      </w:r>
      <w:r>
        <w:rPr/>
        <w:t>毛利、研发</w:t>
      </w:r>
      <w:r>
        <w:rPr/>
        <w:t>4.3</w:t>
      </w:r>
      <w:r>
        <w:rPr/>
        <w:t>亿、销售行政</w:t>
      </w:r>
      <w:r>
        <w:rPr/>
        <w:t>3.7</w:t>
      </w:r>
      <w:r>
        <w:rPr/>
        <w:t>亿美元、</w:t>
      </w:r>
      <w:r>
        <w:rPr/>
        <w:t>20%</w:t>
      </w:r>
      <w:r>
        <w:rPr/>
        <w:t>正常税和</w:t>
      </w:r>
      <w:r>
        <w:rPr/>
        <w:t>40</w:t>
      </w:r>
      <w:r>
        <w:rPr/>
        <w:t>倍经营利润。假设本身已含增长，价格仍低于</w:t>
      </w:r>
      <w:r>
        <w:rPr/>
        <w:t>42.4</w:t>
      </w:r>
      <w:r>
        <w:rPr/>
        <w:t>说明现价要求更高。</w:t>
      </w:r>
    </w:p>
    <w:p>
      <w:pPr>
        <w:pStyle w:val="Normal"/>
        <w:rPr/>
      </w:pPr>
      <w:r>
        <w:rPr/>
        <w:t>年底基准</w:t>
      </w:r>
      <w:r>
        <w:rPr/>
        <w:t>LSG</w:t>
      </w:r>
      <w:r>
        <w:rPr/>
        <w:t>企业价值</w:t>
      </w:r>
      <w:r>
        <w:rPr/>
        <w:t>64.6816</w:t>
      </w:r>
      <w:r>
        <w:rPr/>
        <w:t>亿美元、蓬勃</w:t>
      </w:r>
      <w:r>
        <w:rPr/>
        <w:t>9.9</w:t>
      </w:r>
      <w:r>
        <w:rPr/>
        <w:t>億、百斯杰</w:t>
      </w:r>
      <w:r>
        <w:rPr/>
        <w:t>1.875</w:t>
      </w:r>
      <w:r>
        <w:rPr/>
        <w:t>亿，减总部正常费用现值</w:t>
      </w:r>
      <w:r>
        <w:rPr/>
        <w:t>6.314</w:t>
      </w:r>
      <w:r>
        <w:rPr/>
        <w:t>亿美元。传奇全权益</w:t>
      </w:r>
      <w:r>
        <w:rPr/>
        <w:t>70.9591</w:t>
      </w:r>
      <w:r>
        <w:rPr/>
        <w:t>亿美元，经</w:t>
      </w:r>
      <w:r>
        <w:rPr/>
        <w:t>44.5%</w:t>
      </w:r>
      <w:r>
        <w:rPr/>
        <w:t>持股和</w:t>
      </w:r>
      <w:r>
        <w:rPr/>
        <w:t>92%</w:t>
      </w:r>
      <w:r>
        <w:rPr/>
        <w:t>价值因子归母</w:t>
      </w:r>
      <w:r>
        <w:rPr/>
        <w:t>29.0506</w:t>
      </w:r>
      <w:r>
        <w:rPr/>
        <w:t>亿美元，加集团扣未来优先义务增额后的金融余值</w:t>
      </w:r>
      <w:r>
        <w:rPr/>
        <w:t>0.96655</w:t>
      </w:r>
      <w:r>
        <w:rPr/>
        <w:t>亿美元，总股权</w:t>
      </w:r>
      <w:r>
        <w:rPr/>
        <w:t>100.1598</w:t>
      </w:r>
      <w:r>
        <w:rPr/>
        <w:t>亿美元，除</w:t>
      </w:r>
      <w:r>
        <w:rPr/>
        <w:t>23.1</w:t>
      </w:r>
      <w:r>
        <w:rPr/>
        <w:t>亿股再乘</w:t>
      </w:r>
      <w:r>
        <w:rPr/>
        <w:t>7.8</w:t>
      </w:r>
      <w:r>
        <w:rPr/>
        <w:t>，得</w:t>
      </w:r>
      <w:r>
        <w:rPr/>
        <w:t>33.82019</w:t>
      </w:r>
      <w:r>
        <w:rPr/>
        <w:t>港元。每一桥均保留组件，使“上涨空间”能追到经营、估值与股数。</w:t>
      </w:r>
    </w:p>
    <w:p>
      <w:pPr>
        <w:pStyle w:val="Normal"/>
        <w:rPr/>
      </w:pPr>
      <w:r>
        <w:rPr/>
        <w:t>悲观</w:t>
      </w:r>
      <w:r>
        <w:rPr/>
        <w:t>9.21214</w:t>
      </w:r>
      <w:r>
        <w:rPr/>
        <w:t>港元要求需求与利润率明显弱于基准、传奇正常经营亏损且研发承诺仍消耗价值、持股折价及股数增加；它不是只有一条新闻发生就必到的价位。乐观</w:t>
      </w:r>
      <w:r>
        <w:rPr/>
        <w:t>67.8110</w:t>
      </w:r>
      <w:r>
        <w:rPr/>
        <w:t>港元要求生命科学和传奇盈利显著超预期、毛利与规模更强、早期管线风险折扣改善且折价收窄。范围很宽反映经营杠杆和高预期风险，不能解释成股价年底一定落在</w:t>
      </w:r>
      <w:r>
        <w:rPr/>
        <w:t>9.21</w:t>
      </w:r>
      <w:r>
        <w:rPr/>
        <w:t>至</w:t>
      </w:r>
      <w:r>
        <w:rPr/>
        <w:t>67.81</w:t>
      </w:r>
      <w:r>
        <w:rPr/>
        <w:t>之间，更不能拿乐观涨幅当预期回报。</w:t>
      </w:r>
    </w:p>
    <w:p>
      <w:pPr>
        <w:pStyle w:val="Normal"/>
        <w:rPr/>
      </w:pPr>
      <w:r>
        <w:rPr/>
        <w:t>25/50/25</w:t>
      </w:r>
      <w:r>
        <w:rPr/>
        <w:t>权重期望</w:t>
      </w:r>
      <w:r>
        <w:rPr/>
        <w:t>36.165879</w:t>
      </w:r>
      <w:r>
        <w:rPr/>
        <w:t>港元、−</w:t>
      </w:r>
      <w:r>
        <w:rPr/>
        <w:t>14.70%</w:t>
      </w:r>
      <w:r>
        <w:rPr/>
        <w:t>；更重下行的</w:t>
      </w:r>
      <w:r>
        <w:rPr/>
        <w:t>40/40/20</w:t>
      </w:r>
      <w:r>
        <w:rPr/>
        <w:t>为</w:t>
      </w:r>
      <w:r>
        <w:rPr/>
        <w:t>30.775132</w:t>
      </w:r>
      <w:r>
        <w:rPr/>
        <w:t>、−</w:t>
      </w:r>
      <w:r>
        <w:rPr/>
        <w:t>27.42%</w:t>
      </w:r>
      <w:r>
        <w:rPr/>
        <w:t>；</w:t>
      </w:r>
      <w:r>
        <w:rPr/>
        <w:t>20/40/40</w:t>
      </w:r>
      <w:r>
        <w:rPr/>
        <w:t>为</w:t>
      </w:r>
      <w:r>
        <w:rPr/>
        <w:t>42.494903</w:t>
      </w:r>
      <w:r>
        <w:rPr/>
        <w:t>、</w:t>
      </w:r>
      <w:r>
        <w:rPr/>
        <w:t>+0.22%</w:t>
      </w:r>
      <w:r>
        <w:rPr/>
        <w:t>。权重敏感性说明即使显著提高乐观权重，年底期望仅接近现价。权重是研究判断，无法代表真实发生概率。研究没有把摩通</w:t>
      </w:r>
      <w:r>
        <w:rPr/>
        <w:t>41</w:t>
      </w:r>
      <w:r>
        <w:rPr/>
        <w:t>港元或其他一年目标按剩余月份线性缩短，年底估值信息集和公司经营假设单独建模。</w:t>
      </w:r>
    </w:p>
    <w:p>
      <w:pPr>
        <w:pStyle w:val="Heading2"/>
        <w:rPr/>
      </w:pPr>
      <w:r>
        <w:rPr>
          <w:color w:val="000000"/>
        </w:rPr>
        <w:t>二十一 半年 一年 三年和五年的收益来源与失败路径</w:t>
      </w:r>
    </w:p>
    <w:p>
      <w:pPr>
        <w:pStyle w:val="Normal"/>
        <w:rPr/>
      </w:pPr>
      <w:r>
        <w:rPr/>
        <w:t>半年基准</w:t>
      </w:r>
      <w:r>
        <w:rPr/>
        <w:t>38.71411</w:t>
      </w:r>
      <w:r>
        <w:rPr/>
        <w:t>港元、−</w:t>
      </w:r>
      <w:r>
        <w:rPr/>
        <w:t>8.69%</w:t>
      </w:r>
      <w:r>
        <w:rPr/>
        <w:t>，期望</w:t>
      </w:r>
      <w:r>
        <w:rPr/>
        <w:t>40.78271</w:t>
      </w:r>
      <w:r>
        <w:rPr/>
        <w:t>、−</w:t>
      </w:r>
      <w:r>
        <w:rPr/>
        <w:t>3.81%</w:t>
      </w:r>
      <w:r>
        <w:rPr/>
        <w:t>。</w:t>
      </w:r>
      <w:r>
        <w:rPr/>
        <w:t>LSG</w:t>
      </w:r>
      <w:r>
        <w:rPr/>
        <w:t>收入</w:t>
      </w:r>
      <w:r>
        <w:rPr/>
        <w:t>8.6</w:t>
      </w:r>
      <w:r>
        <w:rPr/>
        <w:t>亿、</w:t>
      </w:r>
      <w:r>
        <w:rPr/>
        <w:t>30%</w:t>
      </w:r>
      <w:r>
        <w:rPr/>
        <w:t>经营率与传奇正常税后经营利润</w:t>
      </w:r>
      <w:r>
        <w:rPr/>
        <w:t>2.04</w:t>
      </w:r>
      <w:r>
        <w:rPr/>
        <w:t>亿美元体现年报之后的新验证，但短期估值余量仍有限。半年催化包括年报、核心订单持续、蓬勃毛利改善、传奇商业结果和分拆进度。失败路径是股价急涨后市场要求更高、年报仅达到原预期而无额外上修，或技术高位整理向下破位。半年评分</w:t>
      </w:r>
      <w:r>
        <w:rPr/>
        <w:t>62.7</w:t>
      </w:r>
      <w:r>
        <w:rPr/>
        <w:t>并不否定长期业务，它评价当前买入条件。</w:t>
      </w:r>
    </w:p>
    <w:p>
      <w:pPr>
        <w:pStyle w:val="Normal"/>
        <w:rPr/>
      </w:pPr>
      <w:r>
        <w:rPr/>
        <w:t>一年基准</w:t>
      </w:r>
      <w:r>
        <w:rPr/>
        <w:t>48.02588</w:t>
      </w:r>
      <w:r>
        <w:rPr/>
        <w:t>港元、</w:t>
      </w:r>
      <w:r>
        <w:rPr/>
        <w:t>+13.27%</w:t>
      </w:r>
      <w:r>
        <w:rPr/>
        <w:t>，期望</w:t>
      </w:r>
      <w:r>
        <w:rPr/>
        <w:t>50.98357</w:t>
      </w:r>
      <w:r>
        <w:rPr/>
        <w:t>、</w:t>
      </w:r>
      <w:r>
        <w:rPr/>
        <w:t>+20.24%</w:t>
      </w:r>
      <w:r>
        <w:rPr/>
        <w:t>。生命科学假设收入</w:t>
      </w:r>
      <w:r>
        <w:rPr/>
        <w:t>10.7</w:t>
      </w:r>
      <w:r>
        <w:rPr/>
        <w:t>亿、</w:t>
      </w:r>
      <w:r>
        <w:rPr/>
        <w:t>31%</w:t>
      </w:r>
      <w:r>
        <w:rPr/>
        <w:t>经营率、</w:t>
      </w:r>
      <w:r>
        <w:rPr/>
        <w:t>32</w:t>
      </w:r>
      <w:r>
        <w:rPr/>
        <w:t>倍，传奇合作收入</w:t>
      </w:r>
      <w:r>
        <w:rPr/>
        <w:t>21.8</w:t>
      </w:r>
      <w:r>
        <w:rPr/>
        <w:t>亿、</w:t>
      </w:r>
      <w:r>
        <w:rPr/>
        <w:t>64%</w:t>
      </w:r>
      <w:r>
        <w:rPr/>
        <w:t>毛利、正常税后经营收益</w:t>
      </w:r>
      <w:r>
        <w:rPr/>
        <w:t>3.0816</w:t>
      </w:r>
      <w:r>
        <w:rPr/>
        <w:t>亿美元、</w:t>
      </w:r>
      <w:r>
        <w:rPr/>
        <w:t>36</w:t>
      </w:r>
      <w:r>
        <w:rPr/>
        <w:t>倍。收入、利润和现金开始共同提升，比年底更有兑现时间。风险在于盈利增长只是弥补目前价格中的预期，且股数到</w:t>
      </w:r>
      <w:r>
        <w:rPr/>
        <w:t>24</w:t>
      </w:r>
      <w:r>
        <w:rPr/>
        <w:t>亿、传奇持股</w:t>
      </w:r>
      <w:r>
        <w:rPr/>
        <w:t>43.7%</w:t>
      </w:r>
      <w:r>
        <w:rPr/>
        <w:t>降低每股参与度。若实际订单与收入低于预测，不应因为满一年就保留目标。</w:t>
      </w:r>
    </w:p>
    <w:p>
      <w:pPr>
        <w:pStyle w:val="Normal"/>
        <w:rPr/>
      </w:pPr>
      <w:r>
        <w:rPr/>
        <w:t>三年基准</w:t>
      </w:r>
      <w:r>
        <w:rPr/>
        <w:t>54.84425</w:t>
      </w:r>
      <w:r>
        <w:rPr/>
        <w:t>港元、</w:t>
      </w:r>
      <w:r>
        <w:rPr/>
        <w:t>+29.35%</w:t>
      </w:r>
      <w:r>
        <w:rPr/>
        <w:t>，年化</w:t>
      </w:r>
      <w:r>
        <w:rPr/>
        <w:t>8.96%</w:t>
      </w:r>
      <w:r>
        <w:rPr/>
        <w:t>，期望</w:t>
      </w:r>
      <w:r>
        <w:rPr/>
        <w:t>62.03452</w:t>
      </w:r>
      <w:r>
        <w:rPr/>
        <w:t>。</w:t>
      </w:r>
      <w:r>
        <w:rPr/>
        <w:t>LSG</w:t>
      </w:r>
      <w:r>
        <w:rPr/>
        <w:t>收入</w:t>
      </w:r>
      <w:r>
        <w:rPr/>
        <w:t>15</w:t>
      </w:r>
      <w:r>
        <w:rPr/>
        <w:t>亿、</w:t>
      </w:r>
      <w:r>
        <w:rPr/>
        <w:t>28</w:t>
      </w:r>
      <w:r>
        <w:rPr/>
        <w:t>倍，传奇税后经营利润</w:t>
      </w:r>
      <w:r>
        <w:rPr/>
        <w:t>4.12</w:t>
      </w:r>
      <w:r>
        <w:rPr/>
        <w:t>亿美元、</w:t>
      </w:r>
      <w:r>
        <w:rPr/>
        <w:t>30</w:t>
      </w:r>
      <w:r>
        <w:rPr/>
        <w:t>倍，蓬勃与百斯杰规模增加但倍数下降。回报不够高到可以忽略三年中的临床、资本和政策风险，因此</w:t>
      </w:r>
      <w:r>
        <w:rPr/>
        <w:t>73.6</w:t>
      </w:r>
      <w:r>
        <w:rPr/>
        <w:t>分属于可研究而需分散的候选。失败路径包括实验服务越来越标准化压价、蓬勃新厂长期利用率不足、便利竞品侵蚀</w:t>
      </w:r>
      <w:r>
        <w:rPr/>
        <w:t>CARVYKTI</w:t>
      </w:r>
      <w:r>
        <w:rPr/>
        <w:t>，以及融资稀释快于总利润增长。</w:t>
      </w:r>
    </w:p>
    <w:p>
      <w:pPr>
        <w:pStyle w:val="Normal"/>
        <w:rPr/>
      </w:pPr>
      <w:r>
        <w:rPr/>
        <w:t>五年基准</w:t>
      </w:r>
      <w:r>
        <w:rPr/>
        <w:t>72.60345</w:t>
      </w:r>
      <w:r>
        <w:rPr/>
        <w:t>港元、</w:t>
      </w:r>
      <w:r>
        <w:rPr/>
        <w:t>+71.23%</w:t>
      </w:r>
      <w:r>
        <w:rPr/>
        <w:t>，年化</w:t>
      </w:r>
      <w:r>
        <w:rPr/>
        <w:t>11.36%</w:t>
      </w:r>
      <w:r>
        <w:rPr/>
        <w:t>，期望</w:t>
      </w:r>
      <w:r>
        <w:rPr/>
        <w:t>80.64548</w:t>
      </w:r>
      <w:r>
        <w:rPr/>
        <w:t>。</w:t>
      </w:r>
      <w:r>
        <w:rPr/>
        <w:t>LSG</w:t>
      </w:r>
      <w:r>
        <w:rPr/>
        <w:t>收入</w:t>
      </w:r>
      <w:r>
        <w:rPr/>
        <w:t>22</w:t>
      </w:r>
      <w:r>
        <w:rPr/>
        <w:t>亿、</w:t>
      </w:r>
      <w:r>
        <w:rPr/>
        <w:t>30%</w:t>
      </w:r>
      <w:r>
        <w:rPr/>
        <w:t>经营率、</w:t>
      </w:r>
      <w:r>
        <w:rPr/>
        <w:t>26</w:t>
      </w:r>
      <w:r>
        <w:rPr/>
        <w:t>倍，传奇合作收入</w:t>
      </w:r>
      <w:r>
        <w:rPr/>
        <w:t>42</w:t>
      </w:r>
      <w:r>
        <w:rPr/>
        <w:t>亿、</w:t>
      </w:r>
      <w:r>
        <w:rPr/>
        <w:t>66%</w:t>
      </w:r>
      <w:r>
        <w:rPr/>
        <w:t>毛利，研发和销售行政各十亿美元、税后正常经营收益</w:t>
      </w:r>
      <w:r>
        <w:rPr/>
        <w:t>6.176</w:t>
      </w:r>
      <w:r>
        <w:rPr/>
        <w:t>亿美元、</w:t>
      </w:r>
      <w:r>
        <w:rPr/>
        <w:t>28</w:t>
      </w:r>
      <w:r>
        <w:rPr/>
        <w:t>倍。母股数</w:t>
      </w:r>
      <w:r>
        <w:rPr/>
        <w:t>26.5</w:t>
      </w:r>
      <w:r>
        <w:rPr/>
        <w:t>亿、传奇持股</w:t>
      </w:r>
      <w:r>
        <w:rPr/>
        <w:t>40%</w:t>
      </w:r>
      <w:r>
        <w:rPr/>
        <w:t>表明增长不全转成每股收益。成功路径需要平台效率、制造现金和新技术同时持续；悲观</w:t>
      </w:r>
      <w:r>
        <w:rPr/>
        <w:t>4.59684</w:t>
      </w:r>
      <w:r>
        <w:rPr/>
        <w:t>允许长期技术替代和不断融资，远期损失不会因持有时间长自动消失。</w:t>
      </w:r>
    </w:p>
    <w:p>
      <w:pPr>
        <w:pStyle w:val="Heading2"/>
        <w:rPr/>
      </w:pPr>
      <w:r>
        <w:rPr>
          <w:color w:val="000000"/>
        </w:rPr>
        <w:t>二十二 外资目标 估值敏感性和十年持续性</w:t>
      </w:r>
    </w:p>
    <w:p>
      <w:pPr>
        <w:pStyle w:val="Normal"/>
        <w:rPr/>
      </w:pPr>
      <w:r>
        <w:rPr/>
        <w:t>摩根大通</w:t>
      </w:r>
      <w:r>
        <w:rPr/>
        <w:t>9</w:t>
      </w:r>
      <w:r>
        <w:rPr/>
        <w:t>月</w:t>
      </w:r>
      <w:r>
        <w:rPr/>
        <w:t>18</w:t>
      </w:r>
      <w:r>
        <w:rPr/>
        <w:t>日维持增持及</w:t>
      </w:r>
      <w:r>
        <w:rPr/>
        <w:t>41</w:t>
      </w:r>
      <w:r>
        <w:rPr/>
        <w:t>港元目标，现价到目标约−</w:t>
      </w:r>
      <w:r>
        <w:rPr/>
        <w:t>3.30%</w:t>
      </w:r>
      <w:r>
        <w:rPr/>
        <w:t>；高盛</w:t>
      </w:r>
      <w:r>
        <w:rPr/>
        <w:t>9</w:t>
      </w:r>
      <w:r>
        <w:rPr/>
        <w:t>月</w:t>
      </w:r>
      <w:r>
        <w:rPr/>
        <w:t>11</w:t>
      </w:r>
      <w:r>
        <w:rPr/>
        <w:t>日行业报告转述金斯瑞目标</w:t>
      </w:r>
      <w:r>
        <w:rPr/>
        <w:t>38.54</w:t>
      </w:r>
      <w:r>
        <w:rPr/>
        <w:t>港元，约−</w:t>
      </w:r>
      <w:r>
        <w:rPr/>
        <w:t>9.10%</w:t>
      </w:r>
      <w:r>
        <w:rPr/>
        <w:t>，该则没有明确金斯瑞自身评级，不能把同篇其他公司的买入自动套用。两条均为公开财经新闻转述，目标期限未核验，未取得完整研报盈利与估值页。同机构较旧的</w:t>
      </w:r>
      <w:r>
        <w:rPr/>
        <w:t>35</w:t>
      </w:r>
      <w:r>
        <w:rPr/>
        <w:t>或</w:t>
      </w:r>
      <w:r>
        <w:rPr/>
        <w:t>34.24</w:t>
      </w:r>
      <w:r>
        <w:rPr/>
        <w:t>港元不作为最新目标，超过九十天的旧报告只适合历史估值观察。</w:t>
      </w:r>
    </w:p>
    <w:p>
      <w:pPr>
        <w:pStyle w:val="Normal"/>
        <w:rPr/>
      </w:pPr>
      <w:r>
        <w:rPr/>
        <w:t>半年基准</w:t>
      </w:r>
      <w:r>
        <w:rPr/>
        <w:t>LSG</w:t>
      </w:r>
      <w:r>
        <w:rPr/>
        <w:t>经营倍数每变五倍，企业值约变化</w:t>
      </w:r>
      <w:r>
        <w:rPr/>
        <w:t>10.578</w:t>
      </w:r>
      <w:r>
        <w:rPr/>
        <w:t>亿美元，对每股港价约</w:t>
      </w:r>
      <w:r>
        <w:rPr/>
        <w:t>3.53</w:t>
      </w:r>
      <w:r>
        <w:rPr/>
        <w:t>港元；经营利润率每变三个百分点，在其他假设不变时企业值约变化</w:t>
      </w:r>
      <w:r>
        <w:rPr/>
        <w:t>7.193</w:t>
      </w:r>
      <w:r>
        <w:rPr/>
        <w:t>亿美元，每股约</w:t>
      </w:r>
      <w:r>
        <w:rPr/>
        <w:t>2.40</w:t>
      </w:r>
      <w:r>
        <w:rPr/>
        <w:t>港元。传奇合作收入每变</w:t>
      </w:r>
      <w:r>
        <w:rPr/>
        <w:t>10%</w:t>
      </w:r>
      <w:r>
        <w:rPr/>
        <w:t>，经毛利</w:t>
      </w:r>
      <w:r>
        <w:rPr/>
        <w:t>62%</w:t>
      </w:r>
      <w:r>
        <w:rPr/>
        <w:t>、税后</w:t>
      </w:r>
      <w:r>
        <w:rPr/>
        <w:t>80%</w:t>
      </w:r>
      <w:r>
        <w:rPr/>
        <w:t>、</w:t>
      </w:r>
      <w:r>
        <w:rPr/>
        <w:t>40</w:t>
      </w:r>
      <w:r>
        <w:rPr/>
        <w:t>倍、持股及因子归属，影响港价约</w:t>
      </w:r>
      <w:r>
        <w:rPr/>
        <w:t>4.72</w:t>
      </w:r>
      <w:r>
        <w:rPr/>
        <w:t>港元。这些敏感性表明未来利润验证比盯着整数目标价更重要，各变量相关时不能简单当独立冲击直接相加。</w:t>
      </w:r>
    </w:p>
    <w:p>
      <w:pPr>
        <w:pStyle w:val="Normal"/>
        <w:rPr/>
      </w:pPr>
      <w:r>
        <w:rPr/>
        <w:t>半年母股数若由</w:t>
      </w:r>
      <w:r>
        <w:rPr/>
        <w:t>23.4</w:t>
      </w:r>
      <w:r>
        <w:rPr/>
        <w:t>亿增加</w:t>
      </w:r>
      <w:r>
        <w:rPr/>
        <w:t>10%</w:t>
      </w:r>
      <w:r>
        <w:rPr/>
        <w:t>，其他股权价值不变，目标每股价约下降</w:t>
      </w:r>
      <w:r>
        <w:rPr/>
        <w:t>9.09%</w:t>
      </w:r>
      <w:r>
        <w:rPr/>
        <w:t>。传奇持股每少一个百分点，按该期传奇全权益估计每股港价减少约</w:t>
      </w:r>
      <w:r>
        <w:rPr/>
        <w:t>0.27</w:t>
      </w:r>
      <w:r>
        <w:rPr/>
        <w:t>港元；持股折价、集团储备和优先义务也会变化。当前集团金融余值远小于名义现金总额，所以仅宣传“有八亿美元现金加配售”会忽略债、优先股和新厂用途。现金安全与成长估值应分别分析，不能用毛现金给短期追涨提供无条件支持。</w:t>
      </w:r>
    </w:p>
    <w:p>
      <w:pPr>
        <w:pStyle w:val="Normal"/>
        <w:rPr/>
      </w:pPr>
      <w:r>
        <w:rPr/>
        <w:t>十年经营展望更适合讨论持续能力而非一个伪精确股价。基因和蛋白实验需求可能长期存在，但技术自动化会降低部分步骤价格，平台要不断把复杂实验、质量数据和规模交付变成新服务；蓬勃必须证明产能资本回报，百斯杰要建立能重复销售的工业产品；传奇需要下一代治疗与长期安全证据，不能假定一款商业产品在</w:t>
      </w:r>
      <w:r>
        <w:rPr/>
        <w:t>2036</w:t>
      </w:r>
      <w:r>
        <w:rPr/>
        <w:t>年仍拥有相同竞争地位。专利、监管和商业替代窗口应逐项追踪，未核验完整专利表不能造一个永续垄断终值。</w:t>
      </w:r>
    </w:p>
    <w:p>
      <w:pPr>
        <w:pStyle w:val="Normal"/>
        <w:rPr/>
      </w:pPr>
      <w:r>
        <w:rPr/>
        <w:t>本推荐需要明确反证。若核心收入增长持续但正常利润率和现金下降，平台效率逻辑失效；若蓬勃扩建后毛利长期不能提升，收入倍数应大幅压缩；若传奇新安全、支付或竞争变化限制患者覆盖，长期收益需重估；若配售、优先股转换或传奇融资使经济持股下降快于预测，必须重算每股分母和归属；若</w:t>
      </w:r>
      <w:r>
        <w:rPr/>
        <w:t>AIDD</w:t>
      </w:r>
      <w:r>
        <w:rPr/>
        <w:t>订单没有持续采购兑现，合作新闻不能继续支撑估值。每一项反证都可用财报、公告或真实数据观察，技术图形只辅助买入时机。</w:t>
      </w:r>
    </w:p>
    <w:p>
      <w:pPr>
        <w:pStyle w:val="Heading2"/>
        <w:rPr/>
      </w:pPr>
      <w:r>
        <w:rPr>
          <w:color w:val="000000"/>
        </w:rPr>
        <w:t>来源与复核记录</w:t>
      </w:r>
    </w:p>
    <w:p>
      <w:pPr>
        <w:pStyle w:val="Normal"/>
        <w:rPr/>
      </w:pPr>
      <w:r>
        <w:rPr/>
        <w:t>- [</w:t>
      </w:r>
      <w:r>
        <w:rPr/>
        <w:t>金斯瑞</w:t>
      </w:r>
      <w:r>
        <w:rPr/>
        <w:t>2026</w:t>
      </w:r>
      <w:r>
        <w:rPr/>
        <w:t>中期报告，</w:t>
      </w:r>
      <w:r>
        <w:rPr/>
        <w:t>9</w:t>
      </w:r>
      <w:r>
        <w:rPr/>
        <w:t>月</w:t>
      </w:r>
      <w:r>
        <w:rPr/>
        <w:t>16</w:t>
      </w:r>
      <w:r>
        <w:rPr/>
        <w:t>日；首次业绩</w:t>
      </w:r>
      <w:r>
        <w:rPr/>
        <w:t>8</w:t>
      </w:r>
      <w:r>
        <w:rPr/>
        <w:t>月</w:t>
      </w:r>
      <w:r>
        <w:rPr/>
        <w:t>16</w:t>
      </w:r>
      <w:r>
        <w:rPr/>
        <w:t>日</w:t>
      </w:r>
      <w:r>
        <w:rPr/>
        <w:t>](https://iis.aastocks.com/20260916/12333650-0.PDF)</w:t>
      </w:r>
      <w:r>
        <w:rPr/>
        <w:t>，重点原页</w:t>
      </w:r>
      <w:r>
        <w:rPr/>
        <w:t>5—14</w:t>
      </w:r>
      <w:r>
        <w:rPr/>
        <w:t>、</w:t>
      </w:r>
      <w:r>
        <w:rPr/>
        <w:t>50—56</w:t>
      </w:r>
      <w:r>
        <w:rPr/>
        <w:t>、</w:t>
      </w:r>
      <w:r>
        <w:rPr/>
        <w:t>65—74</w:t>
      </w:r>
      <w:r>
        <w:rPr/>
        <w:t>。</w:t>
      </w:r>
    </w:p>
    <w:p>
      <w:pPr>
        <w:pStyle w:val="Normal"/>
        <w:rPr/>
      </w:pPr>
      <w:r>
        <w:rPr/>
        <w:t>- [2025</w:t>
      </w:r>
      <w:r>
        <w:rPr/>
        <w:t>年年报，</w:t>
      </w:r>
      <w:r>
        <w:rPr/>
        <w:t>4</w:t>
      </w:r>
      <w:r>
        <w:rPr/>
        <w:t>月</w:t>
      </w:r>
      <w:r>
        <w:rPr/>
        <w:t>13</w:t>
      </w:r>
      <w:r>
        <w:rPr/>
        <w:t>日</w:t>
      </w:r>
      <w:r>
        <w:rPr/>
        <w:t>](https://iis.aastocks.com/20260413/12103412-0.PDF)</w:t>
      </w:r>
      <w:r>
        <w:rPr/>
        <w:t>，历史并表及许可收入口径。</w:t>
      </w:r>
    </w:p>
    <w:p>
      <w:pPr>
        <w:pStyle w:val="Normal"/>
        <w:rPr/>
      </w:pPr>
      <w:r>
        <w:rPr/>
        <w:t>- [9</w:t>
      </w:r>
      <w:r>
        <w:rPr/>
        <w:t>月证券月报，</w:t>
      </w:r>
      <w:r>
        <w:rPr/>
        <w:t>10</w:t>
      </w:r>
      <w:r>
        <w:rPr/>
        <w:t>月</w:t>
      </w:r>
      <w:r>
        <w:rPr/>
        <w:t>6</w:t>
      </w:r>
      <w:r>
        <w:rPr/>
        <w:t>日</w:t>
      </w:r>
      <w:r>
        <w:rPr/>
        <w:t>](https://iis.aastocks.com/20261006/12363992-0.PDF)</w:t>
      </w:r>
      <w:r>
        <w:rPr/>
        <w:t>，股数和期权。</w:t>
      </w:r>
    </w:p>
    <w:p>
      <w:pPr>
        <w:pStyle w:val="Normal"/>
        <w:rPr/>
      </w:pPr>
      <w:r>
        <w:rPr/>
        <w:t>- [</w:t>
      </w:r>
      <w:r>
        <w:rPr/>
        <w:t>配售交割</w:t>
      </w:r>
      <w:r>
        <w:rPr/>
        <w:t>9</w:t>
      </w:r>
      <w:r>
        <w:rPr/>
        <w:t>月</w:t>
      </w:r>
      <w:r>
        <w:rPr/>
        <w:t>15</w:t>
      </w:r>
      <w:r>
        <w:rPr/>
        <w:t>日</w:t>
      </w:r>
      <w:r>
        <w:rPr/>
        <w:t>](https://iis.aastocks.com/20260915/12333062-0.PDF)</w:t>
      </w:r>
      <w:r>
        <w:rPr/>
        <w:t>；</w:t>
      </w:r>
      <w:r>
        <w:rPr/>
        <w:t>[</w:t>
      </w:r>
      <w:r>
        <w:rPr/>
        <w:t>配售</w:t>
      </w:r>
      <w:r>
        <w:rPr/>
        <w:t>9</w:t>
      </w:r>
      <w:r>
        <w:rPr/>
        <w:t>月</w:t>
      </w:r>
      <w:r>
        <w:rPr/>
        <w:t>11</w:t>
      </w:r>
      <w:r>
        <w:rPr/>
        <w:t>日</w:t>
      </w:r>
      <w:r>
        <w:rPr/>
        <w:t>](https://iis.aastocks.com/20260911/12328611-0.PDF)</w:t>
      </w:r>
      <w:r>
        <w:rPr/>
        <w:t>。</w:t>
      </w:r>
    </w:p>
    <w:p>
      <w:pPr>
        <w:pStyle w:val="Normal"/>
        <w:rPr/>
      </w:pPr>
      <w:r>
        <w:rPr/>
        <w:t>- [</w:t>
      </w:r>
      <w:r>
        <w:rPr/>
        <w:t>蓬勃分拆</w:t>
      </w:r>
      <w:r>
        <w:rPr/>
        <w:t>9</w:t>
      </w:r>
      <w:r>
        <w:rPr/>
        <w:t>月</w:t>
      </w:r>
      <w:r>
        <w:rPr/>
        <w:t>4</w:t>
      </w:r>
      <w:r>
        <w:rPr/>
        <w:t>日</w:t>
      </w:r>
      <w:r>
        <w:rPr/>
        <w:t>](https://iis.aastocks.com/20260904/12319783-0.PDF)</w:t>
      </w:r>
      <w:r>
        <w:rPr/>
        <w:t>；</w:t>
      </w:r>
      <w:r>
        <w:rPr/>
        <w:t>[</w:t>
      </w:r>
      <w:r>
        <w:rPr/>
        <w:t>买卖单位</w:t>
      </w:r>
      <w:r>
        <w:rPr/>
        <w:t>9</w:t>
      </w:r>
      <w:r>
        <w:rPr/>
        <w:t>月</w:t>
      </w:r>
      <w:r>
        <w:rPr/>
        <w:t>21</w:t>
      </w:r>
      <w:r>
        <w:rPr/>
        <w:t>日公告</w:t>
      </w:r>
      <w:r>
        <w:rPr/>
        <w:t>](https://iis.aastocks.com/20260921/12339590-0.PDF)</w:t>
      </w:r>
      <w:r>
        <w:rPr/>
        <w:t>。</w:t>
      </w:r>
    </w:p>
    <w:p>
      <w:pPr>
        <w:pStyle w:val="Normal"/>
        <w:rPr/>
      </w:pPr>
      <w:r>
        <w:rPr/>
        <w:t>- [</w:t>
      </w:r>
      <w:r>
        <w:rPr/>
        <w:t>传奇</w:t>
      </w:r>
      <w:r>
        <w:rPr/>
        <w:t>SEC2025</w:t>
      </w:r>
      <w:r>
        <w:rPr/>
        <w:t>年</w:t>
      </w:r>
      <w:r>
        <w:rPr/>
        <w:t>20-F</w:t>
      </w:r>
      <w:r>
        <w:rPr/>
        <w:t>，</w:t>
      </w:r>
      <w:r>
        <w:rPr/>
        <w:t>2026</w:t>
      </w:r>
      <w:r>
        <w:rPr/>
        <w:t>年</w:t>
      </w:r>
      <w:r>
        <w:rPr/>
        <w:t>3</w:t>
      </w:r>
      <w:r>
        <w:rPr/>
        <w:t>月</w:t>
      </w:r>
      <w:r>
        <w:rPr/>
        <w:t>10</w:t>
      </w:r>
      <w:r>
        <w:rPr/>
        <w:t>日</w:t>
      </w:r>
      <w:r>
        <w:rPr/>
        <w:t>](https://www.sec.gov/Archives/edgar/data/1801198/000180119826000008/legn-20251231.htm)</w:t>
      </w:r>
      <w:r>
        <w:rPr/>
        <w:t>，合作</w:t>
      </w:r>
      <w:r>
        <w:rPr/>
        <w:t>50/50</w:t>
      </w:r>
      <w:r>
        <w:rPr/>
        <w:t>及</w:t>
      </w:r>
      <w:r>
        <w:rPr/>
        <w:t>70/30</w:t>
      </w:r>
      <w:r>
        <w:rPr/>
        <w:t>、许可合同。</w:t>
      </w:r>
    </w:p>
    <w:p>
      <w:pPr>
        <w:pStyle w:val="Normal"/>
        <w:rPr/>
      </w:pPr>
      <w:r>
        <w:rPr/>
        <w:t>- [</w:t>
      </w:r>
      <w:r>
        <w:rPr/>
        <w:t>传奇</w:t>
      </w:r>
      <w:r>
        <w:rPr/>
        <w:t>2026</w:t>
      </w:r>
      <w:r>
        <w:rPr/>
        <w:t>中报，</w:t>
      </w:r>
      <w:r>
        <w:rPr/>
        <w:t>8</w:t>
      </w:r>
      <w:r>
        <w:rPr/>
        <w:t>月</w:t>
      </w:r>
      <w:r>
        <w:rPr/>
        <w:t>11</w:t>
      </w:r>
      <w:r>
        <w:rPr/>
        <w:t>日</w:t>
      </w:r>
      <w:r>
        <w:rPr/>
        <w:t>SEC</w:t>
      </w:r>
      <w:r>
        <w:rPr/>
        <w:t>原文</w:t>
      </w:r>
      <w:r>
        <w:rPr/>
        <w:t>](https://www.sec.gov/Archives/edgar/data/1801198/000180119826000022/legn-20260630.htm)</w:t>
      </w:r>
      <w:r>
        <w:rPr/>
        <w:t>；</w:t>
      </w:r>
      <w:r>
        <w:rPr/>
        <w:t>[</w:t>
      </w:r>
      <w:r>
        <w:rPr/>
        <w:t>业绩新闻</w:t>
      </w:r>
      <w:r>
        <w:rPr/>
        <w:t>](https://www.sec.gov/Archives/edgar/data/1801198/000180119826000022/a991earningsreleaseq22026.htm)</w:t>
      </w:r>
      <w:r>
        <w:rPr/>
        <w:t>。</w:t>
      </w:r>
    </w:p>
    <w:p>
      <w:pPr>
        <w:pStyle w:val="Normal"/>
        <w:rPr/>
      </w:pPr>
      <w:r>
        <w:rPr/>
        <w:t>- [LB2102</w:t>
      </w:r>
      <w:r>
        <w:rPr/>
        <w:t>及</w:t>
      </w:r>
      <w:r>
        <w:rPr/>
        <w:t>CARTITUDE</w:t>
      </w:r>
      <w:r>
        <w:rPr/>
        <w:t>，</w:t>
      </w:r>
      <w:r>
        <w:rPr/>
        <w:t>6</w:t>
      </w:r>
      <w:r>
        <w:rPr/>
        <w:t>月</w:t>
      </w:r>
      <w:r>
        <w:rPr/>
        <w:t>1</w:t>
      </w:r>
      <w:r>
        <w:rPr/>
        <w:t>日</w:t>
      </w:r>
      <w:r>
        <w:rPr/>
        <w:t>SEC</w:t>
      </w:r>
      <w:r>
        <w:rPr/>
        <w:t>原文</w:t>
      </w:r>
      <w:r>
        <w:rPr/>
        <w:t>](https://www.sec.gov/Archives/edgar/data/1801198/000117184326003825/exh_991.htm)</w:t>
      </w:r>
      <w:r>
        <w:rPr/>
        <w:t>。</w:t>
      </w:r>
    </w:p>
    <w:p>
      <w:pPr>
        <w:pStyle w:val="Normal"/>
        <w:rPr/>
      </w:pPr>
      <w:r>
        <w:rPr/>
        <w:t>- [</w:t>
      </w:r>
      <w:r>
        <w:rPr/>
        <w:t>摩根大通</w:t>
      </w:r>
      <w:r>
        <w:rPr/>
        <w:t>9</w:t>
      </w:r>
      <w:r>
        <w:rPr/>
        <w:t>月</w:t>
      </w:r>
      <w:r>
        <w:rPr/>
        <w:t>18</w:t>
      </w:r>
      <w:r>
        <w:rPr/>
        <w:t>日转述</w:t>
      </w:r>
      <w:r>
        <w:rPr/>
        <w:t>](https://www.aastocks.com/tc/stocks/analysis/stock-aafn-con/01548/AAFN/NOW.1545243/research-report)</w:t>
      </w:r>
      <w:r>
        <w:rPr/>
        <w:t>；</w:t>
      </w:r>
      <w:r>
        <w:rPr/>
        <w:t>[</w:t>
      </w:r>
      <w:r>
        <w:rPr/>
        <w:t>高盛</w:t>
      </w:r>
      <w:r>
        <w:rPr/>
        <w:t>9</w:t>
      </w:r>
      <w:r>
        <w:rPr/>
        <w:t>月</w:t>
      </w:r>
      <w:r>
        <w:rPr/>
        <w:t>11</w:t>
      </w:r>
      <w:r>
        <w:rPr/>
        <w:t>日转述</w:t>
      </w:r>
      <w:r>
        <w:rPr/>
        <w:t>](https://www.aastocks.com/tc/stocks/analysis/stock-aafn-con/01548/AAFN/NOW.1544113/research-report)</w:t>
      </w:r>
      <w:r>
        <w:rPr/>
        <w:t>。</w:t>
      </w:r>
    </w:p>
    <w:p>
      <w:pPr>
        <w:pStyle w:val="Normal"/>
        <w:rPr/>
      </w:pPr>
      <w:r>
        <w:rPr/>
        <w:t xml:space="preserve">- </w:t>
      </w:r>
      <w:r>
        <w:rPr/>
        <w:t>行情交叉使用腾讯、新浪、</w:t>
      </w:r>
      <w:r>
        <w:rPr/>
        <w:t>Yahoo</w:t>
      </w:r>
      <w:r>
        <w:rPr/>
        <w:t>日线及腾讯复权日线，原请求链接与时间保存在</w:t>
      </w:r>
      <w:r>
        <w:rPr/>
        <w:t>market_snapshot_locked</w:t>
      </w:r>
      <w:r>
        <w:rPr/>
        <w:t>；模型输入、逐情景组件和版本保存在</w:t>
      </w:r>
      <w:r>
        <w:rPr/>
        <w:t>data/genscript_model.json</w:t>
      </w:r>
      <w:r>
        <w:rPr/>
        <w:t>，正文汉字及完全重复检查另存</w:t>
      </w:r>
      <w:r>
        <w:rPr/>
        <w:t>I035_deep_qa.json</w:t>
      </w:r>
      <w:r>
        <w:rPr/>
        <w:t>。</w:t>
      </w:r>
      <w:r>
        <w:br w:type="page"/>
      </w:r>
    </w:p>
    <w:p>
      <w:pPr>
        <w:pStyle w:val="Heading1"/>
        <w:rPr/>
      </w:pPr>
      <w:bookmarkStart w:id="1" w:name="__RefHeading___Toc37105_312338234"/>
      <w:bookmarkEnd w:id="1"/>
      <w:r>
        <w:rPr>
          <w:color w:val="000000"/>
        </w:rPr>
        <w:t xml:space="preserve">迪哲医药 </w:t>
      </w:r>
      <w:r>
        <w:rPr>
          <w:color w:val="000000"/>
        </w:rPr>
        <w:t>688192 SH</w:t>
      </w:r>
    </w:p>
    <w:p>
      <w:pPr>
        <w:pStyle w:val="Normal"/>
        <w:rPr/>
      </w:pPr>
      <w:r>
        <w:rPr/>
        <w:t xml:space="preserve">688192.SH </w:t>
      </w:r>
      <w:r>
        <w:rPr/>
        <w:t xml:space="preserve">现价 </w:t>
      </w:r>
      <w:r>
        <w:rPr/>
        <w:t>59.95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42.24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-29.54%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-29.54%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47.29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70.34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92.57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+54.42%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+54.42%</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-91.11%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40.38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-32.64%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176.30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+194.08%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65.60CNY</w:t>
      </w:r>
      <w:r>
        <w:rPr/>
        <w:t>，期望股价回报</w:t>
      </w:r>
      <w:r>
        <w:rPr/>
        <w:t>+9.42%</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4.95</w:t>
              <w:br/>
              <w:t>-91.74%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42.24</w:t>
              <w:br/>
              <w:t>-29.54%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185.22</w:t>
              <w:br/>
              <w:t>+208.96%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4.81</w:t>
              <w:br/>
              <w:t>-91.98%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47.29</w:t>
              <w:br/>
              <w:t>-21.11%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205.14</w:t>
              <w:br/>
              <w:t>+242.19%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4.10</w:t>
              <w:br/>
              <w:t>-93.16%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70.34</w:t>
              <w:br/>
              <w:t>+17.33%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274.02</w:t>
              <w:br/>
              <w:t>+357.07%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4.63</w:t>
              <w:br/>
              <w:t>-92.28%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92.57</w:t>
              <w:br/>
              <w:t>+54.42%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319.44</w:t>
              <w:br/>
              <w:t>+432.84%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+9.08%</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高：原报告及交易公告；首次时刻</w:t>
            </w:r>
            <w:r>
              <w:rPr>
                <w:rFonts w:eastAsia="微软雅黑" w:ascii="微软雅黑" w:hAnsi="微软雅黑"/>
                <w:sz w:val="17"/>
              </w:rPr>
              <w:t>/</w:t>
            </w:r>
            <w:r>
              <w:rPr>
                <w:rFonts w:ascii="微软雅黑" w:hAnsi="微软雅黑" w:eastAsia="微软雅黑"/>
                <w:sz w:val="17"/>
              </w:rPr>
              <w:t>产品拆分和收入确认待核</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728</w:t>
            </w:r>
            <w:r>
              <w:rPr>
                <w:rFonts w:ascii="微软雅黑" w:hAnsi="微软雅黑" w:eastAsia="微软雅黑"/>
                <w:sz w:val="17"/>
              </w:rPr>
              <w:t>日双源核验</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中低：销售、成功率、版税有效率及现金假设范围宽</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缺失</w:t>
            </w:r>
          </w:p>
        </w:tc>
      </w:tr>
    </w:tbl>
    <w:p>
      <w:pPr>
        <w:pStyle w:val="Normal"/>
        <w:rPr/>
      </w:pPr>
      <w:r>
        <w:rPr/>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I003</w:t>
      </w:r>
      <w:r>
        <w:rPr/>
        <w:t>，证券</w:t>
      </w:r>
      <w:r>
        <w:rPr/>
        <w:t>S003</w:t>
      </w:r>
      <w:r>
        <w:rPr/>
        <w:t>，</w:t>
      </w:r>
      <w:r>
        <w:rPr/>
        <w:t>688192.SH</w:t>
      </w:r>
      <w:r>
        <w:rPr/>
        <w:t>。统一价格为</w:t>
      </w:r>
      <w:r>
        <w:rPr/>
        <w:t>2026</w:t>
      </w:r>
      <w:r>
        <w:rPr/>
        <w:t>年</w:t>
      </w:r>
      <w:r>
        <w:rPr/>
        <w:t>10</w:t>
      </w:r>
      <w:r>
        <w:rPr/>
        <w:t>月</w:t>
      </w:r>
      <w:r>
        <w:rPr/>
        <w:t>9</w:t>
      </w:r>
      <w:r>
        <w:rPr/>
        <w:t>日收盘</w:t>
      </w:r>
      <w:r>
        <w:rPr/>
        <w:t>59.95</w:t>
      </w:r>
      <w:r>
        <w:rPr/>
        <w:t>元人民币；研究信息截止该日。独立初版，全球授权及首付款到账已按公司原公告核验，临床数据为原公司公告和原中报转述，尚未完成全部临床论文、监管标签原文复核。未来销售、概率、费用、现金和稀释为研究假设。金额如无另注为人民币百万元。签署、生效、公告落款及网站刊载日期分开保存。</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时长</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乐观价格，元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基准股价和总回报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4.95 / 42.24 / 185.22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-29.54%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不列短期年化</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4.81 / 47.29 / 205.14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不列</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4.10 / 70.34 / 274.02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4.63 / 92.57 / 319.44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54.42%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9.08%</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不另评分</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5.33 / 40.38 / 176.30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-32.64%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不列</w:t>
            </w:r>
          </w:p>
        </w:tc>
      </w:tr>
    </w:tbl>
    <w:p>
      <w:pPr>
        <w:pStyle w:val="Normal"/>
        <w:rPr/>
      </w:pPr>
      <w:r>
        <w:rPr/>
      </w:r>
    </w:p>
    <w:p>
      <w:pPr>
        <w:pStyle w:val="Normal"/>
        <w:rPr/>
      </w:pPr>
      <w:r>
        <w:rPr/>
        <w:t>未来现金股息暂假设</w:t>
      </w:r>
      <w:r>
        <w:rPr/>
        <w:t>0</w:t>
      </w:r>
      <w:r>
        <w:rPr/>
        <w:t>，不造分红；故本币股价回报与含分红回报相等。年底</w:t>
      </w:r>
      <w:r>
        <w:rPr/>
        <w:t>25%/50%/25%</w:t>
      </w:r>
      <w:r>
        <w:rPr/>
        <w:t>加权期望</w:t>
      </w:r>
      <w:r>
        <w:rPr/>
        <w:t>65.5988</w:t>
      </w:r>
      <w:r>
        <w:rPr/>
        <w:t>元，回报约</w:t>
      </w:r>
      <w:r>
        <w:rPr/>
        <w:t>9.42%</w:t>
      </w:r>
      <w:r>
        <w:rPr/>
        <w:t>。该期望被宽乐观尾部显著拉高，不能替代基准情景或当作盈利概率；区间不是最大损失边界。四榜梯队由总表按同一权重和小于</w:t>
      </w:r>
      <w:r>
        <w:rPr/>
        <w:t>3</w:t>
      </w:r>
      <w:r>
        <w:rPr/>
        <w:t>分规则统一分组。本章结论为半年与一年审慎观察，三年及五年具有高波动管线机会，但现价下未达到优先核心推荐的赔率。</w:t>
      </w:r>
    </w:p>
    <w:p>
      <w:pPr>
        <w:pStyle w:val="Heading2"/>
        <w:rPr/>
      </w:pPr>
      <w:r>
        <w:rPr>
          <w:color w:val="000000"/>
        </w:rPr>
        <w:t>投资结论</w:t>
      </w:r>
    </w:p>
    <w:p>
      <w:pPr>
        <w:pStyle w:val="Normal"/>
        <w:rPr/>
      </w:pPr>
      <w:r>
        <w:rPr/>
        <w:t>迪哲的经营风险在</w:t>
      </w:r>
      <w:r>
        <w:rPr/>
        <w:t>2026</w:t>
      </w:r>
      <w:r>
        <w:rPr/>
        <w:t>年九月发生实质改变。公司收到阿斯利康支付的六亿美元不可返还首付款，舒沃哲全球授权正式生效，使短期资金压力显著降低，同时把重要产品从自主全球销售模式转为版税和合作收入模式。投资者需要同时承认现金改善和权益改变，不能只把首付款加到原自主商业化估值上。</w:t>
      </w:r>
      <w:r>
        <w:rPr/>
        <w:t>59.95</w:t>
      </w:r>
      <w:r>
        <w:rPr/>
        <w:t>元是否值得买入，取决于未来版税、其余产品和研发资产能否共同支撑市值，而非授权总金额看起来有多大。</w:t>
      </w:r>
    </w:p>
    <w:p>
      <w:pPr>
        <w:pStyle w:val="Normal"/>
        <w:rPr/>
      </w:pPr>
      <w:r>
        <w:rPr/>
        <w:t>本章基准模型年底</w:t>
      </w:r>
      <w:r>
        <w:rPr/>
        <w:t>40.38</w:t>
      </w:r>
      <w:r>
        <w:rPr/>
        <w:t>元、半年</w:t>
      </w:r>
      <w:r>
        <w:rPr/>
        <w:t>42.24</w:t>
      </w:r>
      <w:r>
        <w:rPr/>
        <w:t>元、一年</w:t>
      </w:r>
      <w:r>
        <w:rPr/>
        <w:t>47.29</w:t>
      </w:r>
      <w:r>
        <w:rPr/>
        <w:t>元，均低于当前价格；三年</w:t>
      </w:r>
      <w:r>
        <w:rPr/>
        <w:t>70.34</w:t>
      </w:r>
      <w:r>
        <w:rPr/>
        <w:t>元、五年</w:t>
      </w:r>
      <w:r>
        <w:rPr/>
        <w:t>92.57</w:t>
      </w:r>
      <w:r>
        <w:rPr/>
        <w:t>元才逐渐提供正回报。结果说明按当前可见销售和阶段折扣，市场仍计入较强的新管线预期。乐观情景很高，来自多个资产全球商业化同时成功、上市更早和较高峰值，不是首付款带来的无风险上行。研究可以认可产品质量与研发能力，却必须在股票推荐中保留价格纪律，不能为了挑出推荐标的而把模型假设调到现价之上。</w:t>
      </w:r>
    </w:p>
    <w:p>
      <w:pPr>
        <w:pStyle w:val="Normal"/>
        <w:rPr/>
      </w:pPr>
      <w:r>
        <w:rPr/>
        <w:t>年底数学期望高于現价约</w:t>
      </w:r>
      <w:r>
        <w:rPr/>
        <w:t>9.42%</w:t>
      </w:r>
      <w:r>
        <w:rPr/>
        <w:t>，基准却低</w:t>
      </w:r>
      <w:r>
        <w:rPr/>
        <w:t>32.64%</w:t>
      </w:r>
      <w:r>
        <w:rPr/>
        <w:t>，两者并不矛盾。期望是四分之一高乐观值与四分之一低悲观值的加权，不是中位数和最可能成交价格。该权重属于统一研究判断，不是根据临床统计估计的真实概率。对不愿承担管线失败和融资波动的投资者，基准不足以支持高推荐；进取型投资者也需审视是否能承受模型中重大下行。不能用正期望值忽略多数假设组合对现价要求较高的事实。</w:t>
      </w:r>
    </w:p>
    <w:p>
      <w:pPr>
        <w:pStyle w:val="Normal"/>
        <w:rPr/>
      </w:pPr>
      <w:r>
        <w:rPr/>
        <w:t>推荐成立条件包括舒沃哲美国上市实际执行、一线适应症监管推进、合理的净销售及版税转换、高瑞哲国内销售增长和费用控制、比瑞替尼与四代</w:t>
      </w:r>
      <w:r>
        <w:rPr/>
        <w:t>EGFR</w:t>
      </w:r>
      <w:r>
        <w:rPr/>
        <w:t>项目出现更成熟的随机或注册证据。反证包括一线审评显著受阻、合作经济权益远低于假设、药物临床优势无法在真实治疗环境保持、其余管线延期或失败、研发现金消耗高于计划、连续融资稀释。新信息需改变模型具体输入，而不是只在风险章节添加一句提醒后保留旧目标。</w:t>
      </w:r>
    </w:p>
    <w:p>
      <w:pPr>
        <w:pStyle w:val="Heading2"/>
        <w:rPr/>
      </w:pPr>
      <w:r>
        <w:rPr>
          <w:color w:val="000000"/>
        </w:rPr>
        <w:t>授权交易的权益 现金与会计边界</w:t>
      </w:r>
    </w:p>
    <w:p>
      <w:pPr>
        <w:pStyle w:val="Normal"/>
        <w:rPr/>
      </w:pPr>
      <w:r>
        <w:rPr/>
        <w:t>七月十四日原公告确认公司授予</w:t>
      </w:r>
      <w:r>
        <w:rPr/>
        <w:t>AstraZeneca UK Limited</w:t>
      </w:r>
      <w:r>
        <w:rPr/>
        <w:t>舒沃哲全球独家开发和商业化权利，首付款六亿美元、临床开发里程碑最高四亿美元、销售里程碑最高五亿美元，另有全球净销售阶梯特许权使用费。所谓最高到低双位数费率描述没有公开完整档位、阈值和扣减条款，本章使用</w:t>
      </w:r>
      <w:r>
        <w:rPr/>
        <w:t>8%</w:t>
      </w:r>
      <w:r>
        <w:rPr/>
        <w:t>、</w:t>
      </w:r>
      <w:r>
        <w:rPr/>
        <w:t>10.5%</w:t>
      </w:r>
      <w:r>
        <w:rPr/>
        <w:t>、</w:t>
      </w:r>
      <w:r>
        <w:rPr/>
        <w:t>13%</w:t>
      </w:r>
      <w:r>
        <w:rPr/>
        <w:t>的有效费率区间作为情景，不声称这些是合同逐档确定比例。资产权利覆盖全球，需要从中国销售估值中剔除同产品重复收益。</w:t>
      </w:r>
    </w:p>
    <w:p>
      <w:pPr>
        <w:pStyle w:val="Normal"/>
        <w:rPr/>
      </w:pPr>
      <w:r>
        <w:rPr/>
        <w:t>协议八月三十一日生效，公司九月一日刊载生效公告；九月三十日刊载首付款已收到公告。七月签署时仍有股东会和境外反垄断审批条件，截止日这些条件已经满足，不能继续把六亿美元视作尚未交割的或有款，也不能把八月中报中的未生效风险当作最新状态。收款公告没有给出确切到账日与换汇成交价，故本章保留事实为美元六亿，人民币</w:t>
      </w:r>
      <w:r>
        <w:rPr/>
        <w:t>40.8</w:t>
      </w:r>
      <w:r>
        <w:rPr/>
        <w:t>亿元仅按</w:t>
      </w:r>
      <w:r>
        <w:rPr/>
        <w:t>6.8</w:t>
      </w:r>
      <w:r>
        <w:rPr/>
        <w:t>研究汇率换算。</w:t>
      </w:r>
    </w:p>
    <w:p>
      <w:pPr>
        <w:pStyle w:val="Normal"/>
        <w:rPr/>
      </w:pPr>
      <w:r>
        <w:rPr/>
        <w:t>首付款改善现金，是回收部分研发投入和出让经济权益的一次性资产交易收入来源，不是可年年重复的药品利润。收款原公告称具体业绩影响以审计数据为准，收入确认时点、税费和履约义务分配仍未通过季度财报核验。未来如报告归母因首付款转正，也不能直接按新净利润乘高成长</w:t>
      </w:r>
      <w:r>
        <w:rPr/>
        <w:t>PE</w:t>
      </w:r>
      <w:r>
        <w:rPr/>
        <w:t>。主模型只在净现金桥计算一次收到资金，并独立估计剩余版税和其他药物价值，避免把一次性收入资本化成永续利润。</w:t>
      </w:r>
    </w:p>
    <w:p>
      <w:pPr>
        <w:pStyle w:val="Normal"/>
        <w:rPr/>
      </w:pPr>
      <w:r>
        <w:rPr/>
        <w:t>全球授权并不意味着迪哲从此没有舒沃哲相关工作。公开协议规定过渡期内迪哲可提供药品供货、项目研发、销售管理等支持，合作方按实际发生和双方约定承担费用。成本补偿不能自动理解为高毛利服务收入，供货可能含有限利润，但未取得完整定价和转移时间表。主模型没有叠加未经核验的大额服务利润，只把这些过渡事项列作现金与收入确认核验点。若未来财报披露可持续供货利润，应与版税分开纳入。</w:t>
      </w:r>
    </w:p>
    <w:p>
      <w:pPr>
        <w:pStyle w:val="Normal"/>
        <w:rPr/>
      </w:pPr>
      <w:r>
        <w:rPr/>
        <w:t>里程碑上限九亿美元包含多个条件，不是无条件债权或已到账款。主模型未来风险调整总金额悲观</w:t>
      </w:r>
      <w:r>
        <w:rPr/>
        <w:t>0</w:t>
      </w:r>
      <w:r>
        <w:rPr/>
        <w:t>、基准</w:t>
      </w:r>
      <w:r>
        <w:rPr/>
        <w:t>1.8</w:t>
      </w:r>
      <w:r>
        <w:rPr/>
        <w:t>亿美元、乐观</w:t>
      </w:r>
      <w:r>
        <w:rPr/>
        <w:t>4</w:t>
      </w:r>
      <w:r>
        <w:rPr/>
        <w:t>亿美元，均低于上限，暂置</w:t>
      </w:r>
      <w:r>
        <w:rPr/>
        <w:t>2030</w:t>
      </w:r>
      <w:r>
        <w:rPr/>
        <w:t>年底折现，时点为研究假设。没有公开分笔触发条件时，不可按九亿美元全额加到年底股价，也不能假设美国一线获批一定收到某笔指定金额。随着合同或财报披露增加，应把里程碑逐笔、日期和条件拆开，本稿明确未达完整逐笔合同模型要求。</w:t>
      </w:r>
    </w:p>
    <w:p>
      <w:pPr>
        <w:pStyle w:val="Normal"/>
        <w:rPr/>
      </w:pPr>
      <w:r>
        <w:rPr/>
        <w:t>阿斯利康与迪哲并列第一大股东</w:t>
      </w:r>
      <w:r>
        <w:rPr/>
        <w:t>AZAB</w:t>
      </w:r>
      <w:r>
        <w:rPr/>
        <w:t>受同一集团控制，七月公告披露</w:t>
      </w:r>
      <w:r>
        <w:rPr/>
        <w:t>AZAB</w:t>
      </w:r>
      <w:r>
        <w:rPr/>
        <w:t>持股</w:t>
      </w:r>
      <w:r>
        <w:rPr/>
        <w:t>23.42%</w:t>
      </w:r>
      <w:r>
        <w:rPr/>
        <w:t>，交易属于关联交易。关联董事回避、独立董事和股东会审批是原公告事实，说明程序存在；程序完成不自动证明经济价格与所有可替代交易完全相同。合作伙伴股东关系可以减少技术转移摩擦，也可能带来决策与议价集中，长期需要关注资金使用、其他合作定价和少数股东信息透明度。本章不把关联身份本身视作违法，也不将大药企背书视作绝对安全。</w:t>
      </w:r>
    </w:p>
    <w:p>
      <w:pPr>
        <w:pStyle w:val="Normal"/>
        <w:rPr/>
      </w:pPr>
      <w:r>
        <w:rPr/>
        <w:t>阿斯利康拥有肺癌业务和全球商业能力，有可能降低自主海外推广成本、加快市场进入，这是授权对经营的重要价值。与此同时，其产品组合、适应症优先级和营销资源会影响舒沃哲推进，迪哲的控制程度下降。未来商业进度需要按实际上市、渠道和净销售衡量，不是因为合作方规模大就必然达到峰值。全额全球销售利润让渡为较小版税，需要用更大的全球销量和更低费用风险来补偿，结果必须通过现金模型计算。</w:t>
      </w:r>
    </w:p>
    <w:p>
      <w:pPr>
        <w:pStyle w:val="Heading2"/>
        <w:rPr/>
      </w:pPr>
      <w:r>
        <w:rPr>
          <w:color w:val="000000"/>
        </w:rPr>
        <w:t>舒沃哲已批适应症与一线临床</w:t>
      </w:r>
    </w:p>
    <w:p>
      <w:pPr>
        <w:pStyle w:val="Normal"/>
        <w:rPr/>
      </w:pPr>
      <w:r>
        <w:rPr/>
        <w:t>舒沃哲即舒沃替尼，是口服不可逆</w:t>
      </w:r>
      <w:r>
        <w:rPr/>
        <w:t>EGFR</w:t>
      </w:r>
      <w:r>
        <w:rPr/>
        <w:t>酪氨酸激酶抑制剂，已在中国和美国获批用于</w:t>
      </w:r>
      <w:r>
        <w:rPr/>
        <w:t>EGFR</w:t>
      </w:r>
      <w:r>
        <w:rPr/>
        <w:t>二十号外显子插入突变非小细胞肺癌的经治患者。已批准部分在模型中审批概率取一，不再用未批准药物的统一成功率打折；商业销售仍可能不及预期，因此三条峰值、上市节奏和费率不同。已批代表特定标签和监管范围，不意味着所有</w:t>
      </w:r>
      <w:r>
        <w:rPr/>
        <w:t>EGFR</w:t>
      </w:r>
      <w:r>
        <w:rPr/>
        <w:t>突变、所有线数都已可用，也不意味着临床和商业风险消失。</w:t>
      </w:r>
    </w:p>
    <w:p>
      <w:pPr>
        <w:pStyle w:val="Normal"/>
        <w:rPr/>
      </w:pPr>
      <w:r>
        <w:rPr/>
        <w:t>精准突变治疗的市场空间由疾病人数、诊断率、可治疗比例、疗程、支付和份额共同决定。</w:t>
      </w:r>
      <w:r>
        <w:rPr/>
        <w:t>EGFR exon20ins</w:t>
      </w:r>
      <w:r>
        <w:rPr/>
        <w:t>属于特定分子亚型，不能用全部肺癌患者乘药价计算收入。公开材料没有提供足够统一的各国患者池与净价，本章直接用透明峰值区间表达需求，而不造精确患者数。峰值较大需要诊断普及、患者可及性和全球推广；净销售受到折扣、返利和渠道差异影响，不能把美国标价乘所有患者当作授权销售额。</w:t>
      </w:r>
    </w:p>
    <w:p>
      <w:pPr>
        <w:pStyle w:val="Normal"/>
        <w:rPr/>
      </w:pPr>
      <w:r>
        <w:rPr/>
        <w:t>一线国际随机三期悟空二十八研究比含铂双药化疗，原中报报告盲态独立评审中位</w:t>
      </w:r>
      <w:r>
        <w:rPr/>
        <w:t>PFS10.3</w:t>
      </w:r>
      <w:r>
        <w:rPr/>
        <w:t>个月对</w:t>
      </w:r>
      <w:r>
        <w:rPr/>
        <w:t>7.5</w:t>
      </w:r>
      <w:r>
        <w:rPr/>
        <w:t>个月、风险比</w:t>
      </w:r>
      <w:r>
        <w:rPr/>
        <w:t>0.65</w:t>
      </w:r>
      <w:r>
        <w:rPr/>
        <w:t>、</w:t>
      </w:r>
      <w:r>
        <w:rPr/>
        <w:t>P</w:t>
      </w:r>
      <w:r>
        <w:rPr/>
        <w:t>为</w:t>
      </w:r>
      <w:r>
        <w:rPr/>
        <w:t>0.0008</w:t>
      </w:r>
      <w:r>
        <w:rPr/>
        <w:t>；最佳客观缓解率</w:t>
      </w:r>
      <w:r>
        <w:rPr/>
        <w:t>68.1%</w:t>
      </w:r>
      <w:r>
        <w:rPr/>
        <w:t>对</w:t>
      </w:r>
      <w:r>
        <w:rPr/>
        <w:t>35.4%</w:t>
      </w:r>
      <w:r>
        <w:rPr/>
        <w:t>、缓解持续</w:t>
      </w:r>
      <w:r>
        <w:rPr/>
        <w:t>11.2</w:t>
      </w:r>
      <w:r>
        <w:rPr/>
        <w:t>个月对</w:t>
      </w:r>
      <w:r>
        <w:rPr/>
        <w:t>7.1</w:t>
      </w:r>
      <w:r>
        <w:rPr/>
        <w:t>个月。随机比较较单臂数据提供更强证据，支持一线机会的概率高于早期资产。但本章尚未取得论文全文完整复核，不把公司转述当成已经核验所有样本、分层和统计细节，也不以期刊影响因子代替疗效评价。</w:t>
      </w:r>
    </w:p>
    <w:p>
      <w:pPr>
        <w:pStyle w:val="Normal"/>
        <w:rPr/>
      </w:pPr>
      <w:r>
        <w:rPr/>
        <w:t>PFS</w:t>
      </w:r>
      <w:r>
        <w:rPr/>
        <w:t>改善有临床价值，却不是全部治疗获益。总体生存、交叉治疗、生活质量、不良事件、剂量调整和脑转移效果都会影响监管与医生选择。</w:t>
      </w:r>
      <w:r>
        <w:rPr/>
        <w:t>10.3</w:t>
      </w:r>
      <w:r>
        <w:rPr/>
        <w:t>对</w:t>
      </w:r>
      <w:r>
        <w:rPr/>
        <w:t>7.5</w:t>
      </w:r>
      <w:r>
        <w:rPr/>
        <w:t>个月不能简单说所有患者都多活</w:t>
      </w:r>
      <w:r>
        <w:rPr/>
        <w:t>2.8</w:t>
      </w:r>
      <w:r>
        <w:rPr/>
        <w:t>个月，也不能把风险比</w:t>
      </w:r>
      <w:r>
        <w:rPr/>
        <w:t>0.65</w:t>
      </w:r>
      <w:r>
        <w:rPr/>
        <w:t>解读成每位患者生存概率提高</w:t>
      </w:r>
      <w:r>
        <w:rPr/>
        <w:t>35%</w:t>
      </w:r>
      <w:r>
        <w:rPr/>
        <w:t>。</w:t>
      </w:r>
      <w:r>
        <w:rPr/>
        <w:t>PFS</w:t>
      </w:r>
      <w:r>
        <w:rPr/>
        <w:t>是试验定义下的事件时间终点，样本和治疗环境决定解释范围。投资分析应保持这些临床边界，否则会把较强三期证据夸大成必然垄断市场。</w:t>
      </w:r>
    </w:p>
    <w:p>
      <w:pPr>
        <w:pStyle w:val="Normal"/>
        <w:rPr/>
      </w:pPr>
      <w:r>
        <w:rPr/>
        <w:t>FDA</w:t>
      </w:r>
      <w:r>
        <w:rPr/>
        <w:t>一线新增适应症申请八月三十一日获受理、中国</w:t>
      </w:r>
      <w:r>
        <w:rPr/>
        <w:t>CDE</w:t>
      </w:r>
      <w:r>
        <w:rPr/>
        <w:t>已受理并纳入优先审评，原公司公告明确后续审评、现场检查和审批仍有不确定性。本章没有编造</w:t>
      </w:r>
      <w:r>
        <w:rPr/>
        <w:t>PDUFA</w:t>
      </w:r>
      <w:r>
        <w:rPr/>
        <w:t>日期，也没有将突破性疗法认定当作上市许可。受理增加文件完备和项目推进证据，一线基准概率因此较高；实际获批与标签仍需后续确认。若最终获批范围更窄、剂量或联合要求变化，销量和价格模型应一同修订。</w:t>
      </w:r>
    </w:p>
    <w:p>
      <w:pPr>
        <w:pStyle w:val="Normal"/>
        <w:rPr/>
      </w:pPr>
      <w:r>
        <w:rPr/>
        <w:t>一线与后线市场不能简单相加不考虑患者流转。如果更多患者在一线使用同药，后线未用该药的患者池会缩小；若出现耐药，后线通常需要其他方案。本章后线峰值基准</w:t>
      </w:r>
      <w:r>
        <w:rPr/>
        <w:t>6.5</w:t>
      </w:r>
      <w:r>
        <w:rPr/>
        <w:t>亿美元、一线</w:t>
      </w:r>
      <w:r>
        <w:rPr/>
        <w:t>15</w:t>
      </w:r>
      <w:r>
        <w:rPr/>
        <w:t>亿美元已经属于简化组合，未逐年用患者迁移矩阵避免全部潜在重叠，模型缺口需明示。真实商业预测应将一线渗透提高和后线缩小联动，不能只调大一线而保持所有后线患者不变。本稿不宣称精确适应症收入已经完成。</w:t>
      </w:r>
    </w:p>
    <w:p>
      <w:pPr>
        <w:pStyle w:val="Normal"/>
        <w:rPr/>
      </w:pPr>
      <w:r>
        <w:rPr/>
        <w:t>口服药可降低输注时间和就医负担，但需要依从性、毒性管理和医保支持。相较化疗或抗体联合方案，方便性是竞争因素之一，不能替代随机疗效与长期安全比较。其他同类口服药、抗体及联合方案可能随时间改变标准治疗，获批先后和区域价格也会影响份额。资料未完成所有竞品截至日标签与随机研究交叉核验，故本章不声称舒沃哲在全部临床指标上唯一最优，也没有给它永久百分之百份额。</w:t>
      </w:r>
    </w:p>
    <w:p>
      <w:pPr>
        <w:pStyle w:val="Normal"/>
        <w:rPr/>
      </w:pPr>
      <w:r>
        <w:rPr/>
        <w:t>中报称阿斯利康拟在第四季度美国商业化，九月收款公告继续确认这一计划，这是年底重要催化。计划与实际上架不同，美国商业化初期可能先有渠道备货，收入也可能受支付审批和患者治疗起始时间影响。年底应跟踪真实产品可得性和首次销售披露，不宜在未取得数据时编造季度版税金额。即便美国上市按计划发生，收入爬坡一般不能几个月达到峰值，半年目标需要保持保守的启动阶段现金假设。</w:t>
      </w:r>
    </w:p>
    <w:p>
      <w:pPr>
        <w:pStyle w:val="Heading2"/>
        <w:rPr/>
      </w:pPr>
      <w:r>
        <w:rPr>
          <w:color w:val="000000"/>
        </w:rPr>
        <w:t>高瑞哲的商业化与扩适应症</w:t>
      </w:r>
    </w:p>
    <w:p>
      <w:pPr>
        <w:pStyle w:val="Normal"/>
        <w:rPr/>
      </w:pPr>
      <w:r>
        <w:rPr/>
        <w:t>高瑞哲即戈利昔替尼，是选择性</w:t>
      </w:r>
      <w:r>
        <w:rPr/>
        <w:t>JAK1</w:t>
      </w:r>
      <w:r>
        <w:rPr/>
        <w:t>抑制剂，已在中国获批用于复发难治外周</w:t>
      </w:r>
      <w:r>
        <w:rPr/>
        <w:t>T</w:t>
      </w:r>
      <w:r>
        <w:rPr/>
        <w:t>细胞淋巴瘤。它与舒沃哲机制和患者池不同，能够减少公司全部价值只依赖一个肺癌药物的集中度。中报只披露两药合计销售</w:t>
      </w:r>
      <w:r>
        <w:rPr/>
        <w:t>522.69</w:t>
      </w:r>
      <w:r>
        <w:rPr/>
        <w:t>百万元，没有在本轮材料中提供完整逐药收入，因此不能从合计金额精确倒推高瑞哲份额。主模型对其未来收入单独设定，并明确没有用未经核验的产品分拆填作历史事实。</w:t>
      </w:r>
    </w:p>
    <w:p>
      <w:pPr>
        <w:pStyle w:val="Normal"/>
        <w:rPr/>
      </w:pPr>
      <w:r>
        <w:rPr/>
        <w:t>外周</w:t>
      </w:r>
      <w:r>
        <w:rPr/>
        <w:t>T</w:t>
      </w:r>
      <w:r>
        <w:rPr/>
        <w:t>细胞淋巴瘤属于异质疾病，不同亚型治疗和预后有差别。新机制可以提供选择，但全球总人数、诊断和可及性限制与常见实体瘤不同，不能看到未满足需求就假设超大市场。中国已批销售基准峰值</w:t>
      </w:r>
      <w:r>
        <w:rPr/>
        <w:t>12</w:t>
      </w:r>
      <w:r>
        <w:rPr/>
        <w:t>亿元，悲观</w:t>
      </w:r>
      <w:r>
        <w:rPr/>
        <w:t>6.5</w:t>
      </w:r>
      <w:r>
        <w:rPr/>
        <w:t>亿元、乐观</w:t>
      </w:r>
      <w:r>
        <w:rPr/>
        <w:t>18</w:t>
      </w:r>
      <w:r>
        <w:rPr/>
        <w:t>亿元，都是可修改研究区间，尚未由患者数和净价逐项校验。高毛利的小分子产品仍有销售、研究和渠道费用，未来自由现金流率</w:t>
      </w:r>
      <w:r>
        <w:rPr/>
        <w:t>33%</w:t>
      </w:r>
      <w:r>
        <w:rPr/>
        <w:t>不是当前法定净利率。</w:t>
      </w:r>
    </w:p>
    <w:p>
      <w:pPr>
        <w:pStyle w:val="Normal"/>
        <w:rPr/>
      </w:pPr>
      <w:r>
        <w:rPr/>
        <w:t>一线联合或维持</w:t>
      </w:r>
      <w:r>
        <w:rPr/>
        <w:t>PTCL</w:t>
      </w:r>
      <w:r>
        <w:rPr/>
        <w:t>探索可能扩大药物使用阶段，原年报列</w:t>
      </w:r>
      <w:r>
        <w:rPr/>
        <w:t>JACKPOT</w:t>
      </w:r>
      <w:r>
        <w:rPr/>
        <w:t>系列研究，中报列多个学术大会结果。研究者发起、早期小样本和注册随机研究的证据等级不同，学术大会数量不等于批准概率。模型给一线及维持聚合模块基准</w:t>
      </w:r>
      <w:r>
        <w:rPr/>
        <w:t>40%</w:t>
      </w:r>
      <w:r>
        <w:rPr/>
        <w:t>而非一，尚未完成每种亚型与方案的独立估值。若取得成熟随机结果，应根据相应患者池和治疗方案拆分，不应只在聚合概率上随意加点。</w:t>
      </w:r>
    </w:p>
    <w:p>
      <w:pPr>
        <w:pStyle w:val="Normal"/>
        <w:rPr/>
      </w:pPr>
      <w:r>
        <w:rPr/>
        <w:t>戈利昔替尼在无驱动基因非小细胞肺癌的免疫联合探索具有更大市场潜力，原中报称与信迪利单抗联用初步结果鼓舞且高</w:t>
      </w:r>
      <w:r>
        <w:rPr/>
        <w:t>PD-L1</w:t>
      </w:r>
      <w:r>
        <w:rPr/>
        <w:t>人群获益较明显。这个描述不等于已在随机三期证明改善生存，也不能据此覆盖所有肺癌患者。联合方案中</w:t>
      </w:r>
      <w:r>
        <w:rPr/>
        <w:t>PD-1</w:t>
      </w:r>
      <w:r>
        <w:rPr/>
        <w:t>药物、既往化疗和患者选择对效果均有影响，新增</w:t>
      </w:r>
      <w:r>
        <w:rPr/>
        <w:t>JAK1</w:t>
      </w:r>
      <w:r>
        <w:rPr/>
        <w:t>抑制的贡献需对照设计分辨。模型基准成功</w:t>
      </w:r>
      <w:r>
        <w:rPr/>
        <w:t>20%</w:t>
      </w:r>
      <w:r>
        <w:rPr/>
        <w:t>、</w:t>
      </w:r>
      <w:r>
        <w:rPr/>
        <w:t>2032</w:t>
      </w:r>
      <w:r>
        <w:rPr/>
        <w:t>年起销售，对早期证据保持较低权重。</w:t>
      </w:r>
    </w:p>
    <w:p>
      <w:pPr>
        <w:pStyle w:val="Normal"/>
        <w:rPr/>
      </w:pPr>
      <w:r>
        <w:rPr/>
        <w:t>免疫相关不良事件减少的公司描述值得进一步研究，但需要绝对发生率、严重等级、样本和随访才能判断。没有原论文完整核验，不应把“减少”转成安全性绝对优于所有免疫方案。联合疗法同时可能增加药品成本、复杂度和其他毒性，支付人和医生需要评价整体收益。大市场乘较低成功率可以仍产生较大</w:t>
      </w:r>
      <w:r>
        <w:rPr/>
        <w:t>rNPV</w:t>
      </w:r>
      <w:r>
        <w:rPr/>
        <w:t>，这正说明模型应细看风险与定价，不能把早期探索当成已经接近现金收入的业务。</w:t>
      </w:r>
    </w:p>
    <w:p>
      <w:pPr>
        <w:pStyle w:val="Normal"/>
        <w:rPr/>
      </w:pPr>
      <w:r>
        <w:rPr/>
        <w:t>高瑞哲全球开发需要海外试验、监管和商业化资源，主模型假定未授权资产保留相应经济权益，用净现金流率包含销售和维持投入；完整全球权利与外部合作条款尚未逐合同核验。若未来授权，交易首付款可能改善现金，但自售利润应改成版税，不能两套收入同时保留。迪哲已经在舒沃哲执行了这样的模式转换，高瑞哲未来也应按实际权利刷新，模型应服务信息变化而非固定追求更高股价。</w:t>
      </w:r>
    </w:p>
    <w:p>
      <w:pPr>
        <w:pStyle w:val="Heading2"/>
        <w:rPr/>
      </w:pPr>
      <w:r>
        <w:rPr>
          <w:color w:val="000000"/>
        </w:rPr>
        <w:t>比瑞替尼与其他临床管线</w:t>
      </w:r>
    </w:p>
    <w:p>
      <w:pPr>
        <w:pStyle w:val="Normal"/>
        <w:rPr/>
      </w:pPr>
      <w:r>
        <w:rPr/>
        <w:t>比瑞替尼即</w:t>
      </w:r>
      <w:r>
        <w:rPr/>
        <w:t>DZD8586</w:t>
      </w:r>
      <w:r>
        <w:rPr/>
        <w:t>，属于非共价</w:t>
      </w:r>
      <w:r>
        <w:rPr/>
        <w:t>LYN/BTK</w:t>
      </w:r>
      <w:r>
        <w:rPr/>
        <w:t>双靶点抑制剂，公司设计目标是覆盖</w:t>
      </w:r>
      <w:r>
        <w:rPr/>
        <w:t>BTK</w:t>
      </w:r>
      <w:r>
        <w:rPr/>
        <w:t>依赖与非依赖信号并具备脑屏障穿透能力。机制上可以解释差异化机会，但真正竞争优势需要患者疗效、安全和长期结局验证。所谓全球首创是公司产品定位，不是自动获得全球收益的证据。模型分</w:t>
      </w:r>
      <w:r>
        <w:rPr/>
        <w:t>CLL/SLL</w:t>
      </w:r>
      <w:r>
        <w:rPr/>
        <w:t>与</w:t>
      </w:r>
      <w:r>
        <w:rPr/>
        <w:t>DLBCL</w:t>
      </w:r>
      <w:r>
        <w:rPr/>
        <w:t>模块，并用不同阶段概率，避免把双靶点名称当作临床成功率加成的唯一依据。</w:t>
      </w:r>
    </w:p>
    <w:p>
      <w:pPr>
        <w:pStyle w:val="Normal"/>
        <w:rPr/>
      </w:pPr>
      <w:r>
        <w:rPr/>
        <w:t>用于复发难治</w:t>
      </w:r>
      <w:r>
        <w:rPr/>
        <w:t>CLL/SLL</w:t>
      </w:r>
      <w:r>
        <w:rPr/>
        <w:t>的国际三期泰山六正在入组，未获得终点读出。因此模型基准概率</w:t>
      </w:r>
      <w:r>
        <w:rPr/>
        <w:t>48%</w:t>
      </w:r>
      <w:r>
        <w:rPr/>
        <w:t>、悲观</w:t>
      </w:r>
      <w:r>
        <w:rPr/>
        <w:t>18%</w:t>
      </w:r>
      <w:r>
        <w:rPr/>
        <w:t>、乐观</w:t>
      </w:r>
      <w:r>
        <w:rPr/>
        <w:t>70%</w:t>
      </w:r>
      <w:r>
        <w:rPr/>
        <w:t>，属于研究判断区间，不能解释为某个可靠临床历史统计值。</w:t>
      </w:r>
      <w:r>
        <w:rPr/>
        <w:t>CLL/SLL</w:t>
      </w:r>
      <w:r>
        <w:rPr/>
        <w:t>治疗已有多种成熟机制，竞争决定标签、序贯位置和支付；脑屏障特性对不同患者的增量价值也不同。若三期仅在特定亚组获益，销售峰值应缩小而不是保持全市场模型，上市时间推迟还会增加费用和折现损失。</w:t>
      </w:r>
    </w:p>
    <w:p>
      <w:pPr>
        <w:pStyle w:val="Normal"/>
        <w:rPr/>
      </w:pPr>
      <w:r>
        <w:rPr/>
        <w:t>九月十日原公告转述泰山九二期复发难治</w:t>
      </w:r>
      <w:r>
        <w:rPr/>
        <w:t>DLBCL</w:t>
      </w:r>
      <w:r>
        <w:rPr/>
        <w:t>研究，整体</w:t>
      </w:r>
      <w:r>
        <w:rPr/>
        <w:t>ORR47.6%</w:t>
      </w:r>
      <w:r>
        <w:rPr/>
        <w:t>、完全缓解</w:t>
      </w:r>
      <w:r>
        <w:rPr/>
        <w:t>31.0%</w:t>
      </w:r>
      <w:r>
        <w:rPr/>
        <w:t>，</w:t>
      </w:r>
      <w:r>
        <w:rPr/>
        <w:t>GCB</w:t>
      </w:r>
      <w:r>
        <w:rPr/>
        <w:t>和非</w:t>
      </w:r>
      <w:r>
        <w:rPr/>
        <w:t>GCB</w:t>
      </w:r>
      <w:r>
        <w:rPr/>
        <w:t>分别</w:t>
      </w:r>
      <w:r>
        <w:rPr/>
        <w:t>58.3%</w:t>
      </w:r>
      <w:r>
        <w:rPr/>
        <w:t>和</w:t>
      </w:r>
      <w:r>
        <w:rPr/>
        <w:t>44.8%</w:t>
      </w:r>
      <w:r>
        <w:rPr/>
        <w:t>，部分分子亚型</w:t>
      </w:r>
      <w:r>
        <w:rPr/>
        <w:t>ORR50%</w:t>
      </w:r>
      <w:r>
        <w:rPr/>
        <w:t>。这些是不同人群和样本下的观察值，不等于各类患者都确定有一半缓解。公告未给完整样本、置信区间和对照，未在本轮核验论文全文，因此不能做细分疗效优劣统计断言。单臂活性足以支持进一步研究，却不等于已完成上市所需证据。</w:t>
      </w:r>
    </w:p>
    <w:p>
      <w:pPr>
        <w:pStyle w:val="Normal"/>
        <w:rPr/>
      </w:pPr>
      <w:r>
        <w:rPr/>
        <w:t>获完全缓解者中位缓解持续尚未达到、最长超过</w:t>
      </w:r>
      <w:r>
        <w:rPr/>
        <w:t>9.3</w:t>
      </w:r>
      <w:r>
        <w:rPr/>
        <w:t>个月，说明当时观察仍在继续。尚未达到不等于永不复发，也不能把最长个体时间作为全体平均疗程。没有报告与药物相关大出血或房颤，不能证明更大样本绝不会发生这些事件。后续随访、低频毒性和联合用药才决定适用人群。模型给</w:t>
      </w:r>
      <w:r>
        <w:rPr/>
        <w:t>DLBCL</w:t>
      </w:r>
      <w:r>
        <w:rPr/>
        <w:t>基准</w:t>
      </w:r>
      <w:r>
        <w:rPr/>
        <w:t>30%</w:t>
      </w:r>
      <w:r>
        <w:rPr/>
        <w:t>成功，低于已启动国际三期的</w:t>
      </w:r>
      <w:r>
        <w:rPr/>
        <w:t>CLL/SLL</w:t>
      </w:r>
      <w:r>
        <w:rPr/>
        <w:t>，并保留单臂与一线联合聚合的局限。</w:t>
      </w:r>
    </w:p>
    <w:p>
      <w:pPr>
        <w:pStyle w:val="Normal"/>
        <w:rPr/>
      </w:pPr>
      <w:r>
        <w:rPr/>
        <w:t>一线</w:t>
      </w:r>
      <w:r>
        <w:rPr/>
        <w:t>DLBCL</w:t>
      </w:r>
      <w:r>
        <w:rPr/>
        <w:t>与</w:t>
      </w:r>
      <w:r>
        <w:rPr/>
        <w:t>R-CHOP</w:t>
      </w:r>
      <w:r>
        <w:rPr/>
        <w:t>联合的泰山十九处于</w:t>
      </w:r>
      <w:r>
        <w:rPr/>
        <w:t>II/III</w:t>
      </w:r>
      <w:r>
        <w:rPr/>
        <w:t>期，治疗线数变化可能扩大机会，但与后线模型存在患者池和销售重叠。主模型将二者合并峰值，不假装完整逐线数模型已经完成。真实研究需要分别分析对照、入组、剂量、各亚型、治疗周期和重叠率。特别是较大一线市场通常需要更强随机证据，不能用后线</w:t>
      </w:r>
      <w:r>
        <w:rPr/>
        <w:t>ORR</w:t>
      </w:r>
      <w:r>
        <w:rPr/>
        <w:t>直接赋予同等一线获益。公司投入扩大时，失败成本也需进入开发储备。</w:t>
      </w:r>
    </w:p>
    <w:p>
      <w:pPr>
        <w:pStyle w:val="Normal"/>
        <w:rPr/>
      </w:pPr>
      <w:r>
        <w:rPr/>
        <w:t>DZD6008</w:t>
      </w:r>
      <w:r>
        <w:rPr/>
        <w:t>为四代</w:t>
      </w:r>
      <w:r>
        <w:rPr/>
        <w:t>EGFR TKI</w:t>
      </w:r>
      <w:r>
        <w:rPr/>
        <w:t>，针对三代耐药与</w:t>
      </w:r>
      <w:r>
        <w:rPr/>
        <w:t>C797X</w:t>
      </w:r>
      <w:r>
        <w:rPr/>
        <w:t>等场景，公司披露概念验证后研究和脑屏障设计。中报转述</w:t>
      </w:r>
      <w:r>
        <w:rPr/>
        <w:t>82.1%</w:t>
      </w:r>
      <w:r>
        <w:rPr/>
        <w:t>患者肿瘤缩小，不是</w:t>
      </w:r>
      <w:r>
        <w:rPr/>
        <w:t>82.1%</w:t>
      </w:r>
      <w:r>
        <w:rPr/>
        <w:t>达到确认客观缓解；四十、六十毫克组六月</w:t>
      </w:r>
      <w:r>
        <w:rPr/>
        <w:t>PFS</w:t>
      </w:r>
      <w:r>
        <w:rPr/>
        <w:t>率</w:t>
      </w:r>
      <w:r>
        <w:rPr/>
        <w:t>70.6%</w:t>
      </w:r>
      <w:r>
        <w:rPr/>
        <w:t>、</w:t>
      </w:r>
      <w:r>
        <w:rPr/>
        <w:t>61.8%</w:t>
      </w:r>
      <w:r>
        <w:rPr/>
        <w:t>，也不能因前者更高就认定剂量越低疗效越好，样本和入组差异可以解释。模型基准成功</w:t>
      </w:r>
      <w:r>
        <w:rPr/>
        <w:t>30%</w:t>
      </w:r>
      <w:r>
        <w:rPr/>
        <w:t>、</w:t>
      </w:r>
      <w:r>
        <w:rPr/>
        <w:t>2031</w:t>
      </w:r>
      <w:r>
        <w:rPr/>
        <w:t>年开始销售，体现早期有效性仍需注册、选择剂量和安全验证。</w:t>
      </w:r>
    </w:p>
    <w:p>
      <w:pPr>
        <w:pStyle w:val="Normal"/>
        <w:rPr/>
      </w:pPr>
      <w:r>
        <w:rPr/>
        <w:t>脑转移治疗潜力对</w:t>
      </w:r>
      <w:r>
        <w:rPr/>
        <w:t>EGFR</w:t>
      </w:r>
      <w:r>
        <w:rPr/>
        <w:t>耐药市场可能有意义，但脑屏障穿透的动物、药代和临床颅内反应是不同证据。中报描述基线有脑转移患者观察到颅内缓解，仍缺完整例数、颅内标准和随访，本章不做精确优于竞品的比较。全球四代</w:t>
      </w:r>
      <w:r>
        <w:rPr/>
        <w:t>EGFR</w:t>
      </w:r>
      <w:r>
        <w:rPr/>
        <w:t>研发竞争和标准治疗变化会影响最终标签，未来若新一代方案解决同一问题，当前机制优势可能缩小。峰值基准</w:t>
      </w:r>
      <w:r>
        <w:rPr/>
        <w:t>25</w:t>
      </w:r>
      <w:r>
        <w:rPr/>
        <w:t>亿美元为高要求假设，需明确验证条件。</w:t>
      </w:r>
    </w:p>
    <w:p>
      <w:pPr>
        <w:pStyle w:val="Normal"/>
        <w:rPr/>
      </w:pPr>
      <w:r>
        <w:rPr/>
        <w:t>GW5282</w:t>
      </w:r>
      <w:r>
        <w:rPr/>
        <w:t>、</w:t>
      </w:r>
      <w:r>
        <w:rPr/>
        <w:t>DZD1516</w:t>
      </w:r>
      <w:r>
        <w:rPr/>
        <w:t>及</w:t>
      </w:r>
      <w:r>
        <w:rPr/>
        <w:t>DZD2269</w:t>
      </w:r>
      <w:r>
        <w:rPr/>
        <w:t>等早期或其他项目本稿没有赋予额外估值。原年报列七项临床资产，中报主要研发投入列表列五项，不能因此未经核验断言余下资产全部停止，也不能假设所有项目仍按同速推进。缺少最新成熟临床与权利信息时取值零是模型边界，不是经济价值确定为零。后续若出现清晰注册证据，可按同一方法加入，但不能因为字数和覆盖要求编造早期项目收入。</w:t>
      </w:r>
    </w:p>
    <w:p>
      <w:pPr>
        <w:pStyle w:val="Heading2"/>
        <w:rPr/>
      </w:pPr>
      <w:r>
        <w:rPr>
          <w:color w:val="000000"/>
        </w:rPr>
        <w:t>研发组织与行业经济前景</w:t>
      </w:r>
    </w:p>
    <w:p>
      <w:pPr>
        <w:pStyle w:val="Normal"/>
        <w:rPr/>
      </w:pPr>
      <w:r>
        <w:rPr/>
        <w:t>迪哲强调疾病生物学、转化科学、分子设计及早期临床药理整合，中报披露国内外授权发明专利</w:t>
      </w:r>
      <w:r>
        <w:rPr/>
        <w:t>262</w:t>
      </w:r>
      <w:r>
        <w:rPr/>
        <w:t>项、研发人员</w:t>
      </w:r>
      <w:r>
        <w:rPr/>
        <w:t>302</w:t>
      </w:r>
      <w:r>
        <w:rPr/>
        <w:t>人。人才经验与知识产权提供研发能力证据，专利数量却不等于每个药物完整保护期限和海外自由实施。不同专利涉及物质、晶型、用途和地区，价值差异大。本模型不声称</w:t>
      </w:r>
      <w:r>
        <w:rPr/>
        <w:t>2045</w:t>
      </w:r>
      <w:r>
        <w:rPr/>
        <w:t>年是所有药物真实专利到期，仅用现金流窗口及后期销售衰减表达生命周期，完整</w:t>
      </w:r>
      <w:r>
        <w:rPr/>
        <w:t>FTO</w:t>
      </w:r>
      <w:r>
        <w:rPr/>
        <w:t>与各地专利须后续核验。</w:t>
      </w:r>
    </w:p>
    <w:p>
      <w:pPr>
        <w:pStyle w:val="Normal"/>
        <w:rPr/>
      </w:pPr>
      <w:r>
        <w:rPr/>
        <w:t>肿瘤研发需求长期由患病负担、诊断、支付和临床技术升级支撑，短期则由数据、融资和竞争影响。精准治疗可能提高响应率并扩大使用，但细分市场通常患者较少、需要基因检测和医生教育，不能把大类肿瘤市场增长率直接套每个药物。长期模型更应该跟踪药物差异化与被标准治疗接受的可能性，而不是给所有创新药相同收入倍数。公司成功与行业总规模增长之间存在多层筛选。</w:t>
      </w:r>
    </w:p>
    <w:p>
      <w:pPr>
        <w:pStyle w:val="Normal"/>
        <w:rPr/>
      </w:pPr>
      <w:r>
        <w:rPr/>
        <w:t>利率对迪哲同时影响折现和资金投入。利率下降可以降低借款和未来现金折现压力，但如果只是折现率改变、临床成功和销售没有改善，价值上行仍可能回吐。六亿美元到账后近期融资脆弱性降低，市场对它的利率敏感不应与现金不足的小公司完全一样。模型悲观</w:t>
      </w:r>
      <w:r>
        <w:rPr/>
        <w:t>16%</w:t>
      </w:r>
      <w:r>
        <w:rPr/>
        <w:t>、基准</w:t>
      </w:r>
      <w:r>
        <w:rPr/>
        <w:t>12.5%</w:t>
      </w:r>
      <w:r>
        <w:rPr/>
        <w:t>、乐观</w:t>
      </w:r>
      <w:r>
        <w:rPr/>
        <w:t>10.5%</w:t>
      </w:r>
      <w:r>
        <w:rPr/>
        <w:t>折现率区分风险偏好，成功率另处理临床风险，需警惕将相同风险在两项中过度折扣或过度乐观。</w:t>
      </w:r>
    </w:p>
    <w:p>
      <w:pPr>
        <w:pStyle w:val="Normal"/>
        <w:rPr/>
      </w:pPr>
      <w:r>
        <w:rPr/>
        <w:t>国内医保支持已促使两款产品放量，中报显示上半年销售增长</w:t>
      </w:r>
      <w:r>
        <w:rPr/>
        <w:t>47.24%</w:t>
      </w:r>
      <w:r>
        <w:rPr/>
        <w:t>，但医保也通常伴随价格与用量之间的取舍。销量上升不保证收入与利润按同样速度增长；未来续约、适应症覆盖和医院准入需要逐期观察。高瑞哲自主销售更直接承受这些变化，舒沃哲全球授权后则按合作协议净销售与费率传导。不能把政策利好计算到自主药品利润后，再同额计到版税价值中。</w:t>
      </w:r>
    </w:p>
    <w:p>
      <w:pPr>
        <w:pStyle w:val="Normal"/>
        <w:rPr/>
      </w:pPr>
      <w:r>
        <w:rPr/>
        <w:t>海外支付与药品价格政策会影响授权伙伴净销售和研发回报。美国价格、保险覆盖和返利、欧洲多国准入及亚洲地区定价不同，跨地区不能用一个标价代表。授权降低了迪哲直接建设商业团队的需求，却没有隔绝这些政策的经济影响，因为版税随净销售变化。模型有效版税率和峰值是公开透明假设，未完成各国税、扣减和支付规则核验，不能宣称某项改革对全公司确定利好或完全无影响。</w:t>
      </w:r>
    </w:p>
    <w:p>
      <w:pPr>
        <w:pStyle w:val="Normal"/>
        <w:rPr/>
      </w:pPr>
      <w:r>
        <w:rPr/>
        <w:t>汇率已经从小额外币资产风险变成大额美元首付款与潜在版税的管理问题。六亿美元按</w:t>
      </w:r>
      <w:r>
        <w:rPr/>
        <w:t>6.8</w:t>
      </w:r>
      <w:r>
        <w:rPr/>
        <w:t>换算</w:t>
      </w:r>
      <w:r>
        <w:rPr/>
        <w:t>40.8</w:t>
      </w:r>
      <w:r>
        <w:rPr/>
        <w:t>亿元，只是研究单位换算，实际到账、税务和换汇时点需财报确认。人民币升值可能降低未来美元版税折算价值，也可能降低部分海外研发支出，不能把版税总额乘汇率变动当作纯归母损益。若公司保留美元现金，还可能有会计汇兑波动，研究应分清经营价值、货币资产和股东本币回报。</w:t>
      </w:r>
    </w:p>
    <w:p>
      <w:pPr>
        <w:pStyle w:val="Normal"/>
        <w:rPr/>
      </w:pPr>
      <w:r>
        <w:rPr/>
        <w:t>经济复苏对创新药的作用不像消费互联网一样即时。药品需求更多受病情、医保和治疗选择影响，宏观改善主要经财政、融资和支付能力传导。半年催化优先是美国上市和审评信息，三年才更看全球项目和商业体系成熟。进取型组合如果把所有宽松政策都机械加到催化剂分，会重复奖励相同市场风险因子。本章行业高分来自未满足治疗和已有临床证据，估值低分仍反映股票价格要求。</w:t>
      </w:r>
    </w:p>
    <w:p>
      <w:pPr>
        <w:pStyle w:val="Heading2"/>
        <w:rPr/>
      </w:pPr>
      <w:r>
        <w:rPr>
          <w:color w:val="000000"/>
        </w:rPr>
        <w:t>历史财务 利润质量与现金跑道</w:t>
      </w:r>
    </w:p>
    <w:p>
      <w:pPr>
        <w:pStyle w:val="Normal"/>
        <w:rPr/>
      </w:pPr>
      <w:r>
        <w:rPr/>
        <w:t>2023</w:t>
      </w:r>
      <w:r>
        <w:rPr/>
        <w:t>、</w:t>
      </w:r>
      <w:r>
        <w:rPr/>
        <w:t>2024</w:t>
      </w:r>
      <w:r>
        <w:rPr/>
        <w:t>、</w:t>
      </w:r>
      <w:r>
        <w:rPr/>
        <w:t>2025</w:t>
      </w:r>
      <w:r>
        <w:rPr/>
        <w:t>年收入分别</w:t>
      </w:r>
      <w:r>
        <w:rPr/>
        <w:t>91.29</w:t>
      </w:r>
      <w:r>
        <w:rPr/>
        <w:t>、</w:t>
      </w:r>
      <w:r>
        <w:rPr/>
        <w:t>359.90</w:t>
      </w:r>
      <w:r>
        <w:rPr/>
        <w:t>、</w:t>
      </w:r>
      <w:r>
        <w:rPr/>
        <w:t>801.14</w:t>
      </w:r>
      <w:r>
        <w:rPr/>
        <w:t>百万元，归母亏损</w:t>
      </w:r>
      <w:r>
        <w:rPr/>
        <w:t>1107.71</w:t>
      </w:r>
      <w:r>
        <w:rPr/>
        <w:t>、</w:t>
      </w:r>
      <w:r>
        <w:rPr/>
        <w:t>845.96</w:t>
      </w:r>
      <w:r>
        <w:rPr/>
        <w:t>、</w:t>
      </w:r>
      <w:r>
        <w:rPr/>
        <w:t>764.05</w:t>
      </w:r>
      <w:r>
        <w:rPr/>
        <w:t>百万元。商业化早期收入低导致研发比例高，收入恢复增长并不等于盈利已经成熟；</w:t>
      </w:r>
      <w:r>
        <w:rPr/>
        <w:t>2025</w:t>
      </w:r>
      <w:r>
        <w:rPr/>
        <w:t>年扣非亏损</w:t>
      </w:r>
      <w:r>
        <w:rPr/>
        <w:t>841.55</w:t>
      </w:r>
      <w:r>
        <w:rPr/>
        <w:t>百万元比报告亏损更大，补助及理财等收益减轻了表面亏损。</w:t>
      </w:r>
      <w:r>
        <w:rPr/>
        <w:t>2026</w:t>
      </w:r>
      <w:r>
        <w:rPr/>
        <w:t>年上半年收入</w:t>
      </w:r>
      <w:r>
        <w:rPr/>
        <w:t>522.69</w:t>
      </w:r>
      <w:r>
        <w:rPr/>
        <w:t>、归母亏损</w:t>
      </w:r>
      <w:r>
        <w:rPr/>
        <w:t>210.37</w:t>
      </w:r>
      <w:r>
        <w:rPr/>
        <w:t>、扣非亏损</w:t>
      </w:r>
      <w:r>
        <w:rPr/>
        <w:t>231.24</w:t>
      </w:r>
      <w:r>
        <w:rPr/>
        <w:t>百万元，显示经营改善，但还未产生持续法定净利润。</w:t>
      </w:r>
    </w:p>
    <w:p>
      <w:pPr>
        <w:pStyle w:val="Normal"/>
        <w:rPr/>
      </w:pPr>
      <w:r>
        <w:rPr/>
        <w:t>上半年营业成本</w:t>
      </w:r>
      <w:r>
        <w:rPr/>
        <w:t>20.89</w:t>
      </w:r>
      <w:r>
        <w:rPr/>
        <w:t>百万元，按收入算毛利约</w:t>
      </w:r>
      <w:r>
        <w:rPr/>
        <w:t>96.00%</w:t>
      </w:r>
      <w:r>
        <w:rPr/>
        <w:t>，高毛利反映小分子药品与商业化成本分类，不能直接当作盈利能力。销售费用</w:t>
      </w:r>
      <w:r>
        <w:rPr/>
        <w:t>241.17</w:t>
      </w:r>
      <w:r>
        <w:rPr/>
        <w:t>、研发</w:t>
      </w:r>
      <w:r>
        <w:rPr/>
        <w:t>402.03</w:t>
      </w:r>
      <w:r>
        <w:rPr/>
        <w:t>、管理</w:t>
      </w:r>
      <w:r>
        <w:rPr/>
        <w:t>77.72</w:t>
      </w:r>
      <w:r>
        <w:rPr/>
        <w:t>百万元，仍大幅超过毛利可以支持的规模。销售费用较上年同期</w:t>
      </w:r>
      <w:r>
        <w:rPr/>
        <w:t>268.44</w:t>
      </w:r>
      <w:r>
        <w:rPr/>
        <w:t>有所下降，而收入增长，销售费用率降至约</w:t>
      </w:r>
      <w:r>
        <w:rPr/>
        <w:t>46.14%</w:t>
      </w:r>
      <w:r>
        <w:rPr/>
        <w:t>，是效率改善证据；研发占收入</w:t>
      </w:r>
      <w:r>
        <w:rPr/>
        <w:t>76.92%</w:t>
      </w:r>
      <w:r>
        <w:rPr/>
        <w:t>，持续高投入意味着未来产品需要较大销售规模才能覆盖成本。主模型自由现金流率远低于账面毛利率。</w:t>
      </w:r>
    </w:p>
    <w:p>
      <w:pPr>
        <w:pStyle w:val="Normal"/>
        <w:rPr/>
      </w:pPr>
      <w:r>
        <w:rPr/>
        <w:t>研发费用</w:t>
      </w:r>
      <w:r>
        <w:rPr/>
        <w:t>402.03</w:t>
      </w:r>
      <w:r>
        <w:rPr/>
        <w:t>百万元较上年同期</w:t>
      </w:r>
      <w:r>
        <w:rPr/>
        <w:t>408.27</w:t>
      </w:r>
      <w:r>
        <w:rPr/>
        <w:t>略降</w:t>
      </w:r>
      <w:r>
        <w:rPr/>
        <w:t>1.53%</w:t>
      </w:r>
      <w:r>
        <w:rPr/>
        <w:t>，投入没有被资产化以美化利润，表中资本化为零。药物研发费用化说明短期亏损是真实投入，但不代表这些费用没有未来价值，</w:t>
      </w:r>
      <w:r>
        <w:rPr/>
        <w:t>rNPV</w:t>
      </w:r>
      <w:r>
        <w:rPr/>
        <w:t>就是对后续临床与销售价值进行风险调整。另一方面不是所有研发都成功，不能将累计投入金额等同可回收资产。未来若临床失败，过去投入通常无法追回，现金模型应在费用发生时扣除而不是只在成功项目收入上应用概率。</w:t>
      </w:r>
    </w:p>
    <w:p>
      <w:pPr>
        <w:pStyle w:val="Normal"/>
        <w:rPr/>
      </w:pPr>
      <w:r>
        <w:rPr/>
        <w:t>公司可选择披露剔除股份支付后的净利润，上半年为负</w:t>
      </w:r>
      <w:r>
        <w:rPr/>
        <w:t>204.80</w:t>
      </w:r>
      <w:r>
        <w:rPr/>
        <w:t>百万元，比法定归母亏损</w:t>
      </w:r>
      <w:r>
        <w:rPr/>
        <w:t>210.37</w:t>
      </w:r>
      <w:r>
        <w:rPr/>
        <w:t>略小。股份支付非即时现金但仍是员工薪酬与股东稀释，不应全部从经济成本剔除。</w:t>
      </w:r>
      <w:r>
        <w:rPr/>
        <w:t>2025</w:t>
      </w:r>
      <w:r>
        <w:rPr/>
        <w:t>年股数增长较大还受到融资影响，报告</w:t>
      </w:r>
      <w:r>
        <w:rPr/>
        <w:t>EPS</w:t>
      </w:r>
      <w:r>
        <w:rPr/>
        <w:t>和未来每股价值需要使用对应股数。主模型有独立未来稀释场景，没有用扣股份费用利润替代法定亏损计算所谓便宜</w:t>
      </w:r>
      <w:r>
        <w:rPr/>
        <w:t>PE</w:t>
      </w:r>
      <w:r>
        <w:rPr/>
        <w:t>，亏损公司使用负市盈率缺乏常规估值解释。</w:t>
      </w:r>
    </w:p>
    <w:p>
      <w:pPr>
        <w:pStyle w:val="Normal"/>
        <w:rPr/>
      </w:pPr>
      <w:r>
        <w:rPr/>
        <w:t>上半年销售药品收到现金</w:t>
      </w:r>
      <w:r>
        <w:rPr/>
        <w:t>526.50</w:t>
      </w:r>
      <w:r>
        <w:rPr/>
        <w:t>百万元，与收入</w:t>
      </w:r>
      <w:r>
        <w:rPr/>
        <w:t>522.69</w:t>
      </w:r>
      <w:r>
        <w:rPr/>
        <w:t>接近，支持当期销售有现金回收；期末应收</w:t>
      </w:r>
      <w:r>
        <w:rPr/>
        <w:t>210.67</w:t>
      </w:r>
      <w:r>
        <w:rPr/>
        <w:t>百万元高于期初</w:t>
      </w:r>
      <w:r>
        <w:rPr/>
        <w:t>143.44</w:t>
      </w:r>
      <w:r>
        <w:rPr/>
        <w:t>，仍有资金占用。经营现金流负</w:t>
      </w:r>
      <w:r>
        <w:rPr/>
        <w:t>274.31</w:t>
      </w:r>
      <w:r>
        <w:rPr/>
        <w:t>百万元，較上年同期负</w:t>
      </w:r>
      <w:r>
        <w:rPr/>
        <w:t>264.67</w:t>
      </w:r>
      <w:r>
        <w:rPr/>
        <w:t>略差，即使利润亏损收窄，现金消耗并未同步减少。现金桥显示经营应收增加耗用</w:t>
      </w:r>
      <w:r>
        <w:rPr/>
        <w:t>59.27</w:t>
      </w:r>
      <w:r>
        <w:rPr/>
        <w:t>百万元、应付减少耗用</w:t>
      </w:r>
      <w:r>
        <w:rPr/>
        <w:t>53.33</w:t>
      </w:r>
      <w:r>
        <w:rPr/>
        <w:t>，解释现金与利润之间部分差异，不能从会计改善直接推断现金跑道延长同样比例。</w:t>
      </w:r>
    </w:p>
    <w:p>
      <w:pPr>
        <w:pStyle w:val="Normal"/>
        <w:rPr/>
      </w:pPr>
      <w:r>
        <w:rPr/>
        <w:t>购建长期资产现金上半年</w:t>
      </w:r>
      <w:r>
        <w:rPr/>
        <w:t>47.30</w:t>
      </w:r>
      <w:r>
        <w:rPr/>
        <w:t>百万元，经营现金流扣该项约负</w:t>
      </w:r>
      <w:r>
        <w:rPr/>
        <w:t>321.60</w:t>
      </w:r>
      <w:r>
        <w:rPr/>
        <w:t>百万元，简单半年消耗指标只作观察，不能机械年化作为所有未来研发计划。授权转移后部分舒沃哲研发与商业支出会变化，其余管线临床扩大也可能增加投入。理财投资与回收超过数十亿元属于资金周转，不应当作同额研发或扩产支出。净投资现金流转正也不等于主营现金创造，必须与理财回收分开说明。</w:t>
      </w:r>
    </w:p>
    <w:p>
      <w:pPr>
        <w:pStyle w:val="Normal"/>
        <w:rPr/>
      </w:pPr>
      <w:r>
        <w:rPr/>
        <w:t>六月末货币资金</w:t>
      </w:r>
      <w:r>
        <w:rPr/>
        <w:t>179.14</w:t>
      </w:r>
      <w:r>
        <w:rPr/>
        <w:t>百万元，现金等价</w:t>
      </w:r>
      <w:r>
        <w:rPr/>
        <w:t>178.86</w:t>
      </w:r>
      <w:r>
        <w:rPr/>
        <w:t>、受限保证金</w:t>
      </w:r>
      <w:r>
        <w:rPr/>
        <w:t>0.275</w:t>
      </w:r>
      <w:r>
        <w:rPr/>
        <w:t>；交易性金融资产</w:t>
      </w:r>
      <w:r>
        <w:rPr/>
        <w:t>1556.89</w:t>
      </w:r>
      <w:r>
        <w:rPr/>
        <w:t>百万元为保本浮动收益银行理财公司口径。只看现金等价会误判马上缺钱，直接把理财当无条件即时现金也不严谨，需要到期、赎回和信用核验。六月广义现金和理财约</w:t>
      </w:r>
      <w:r>
        <w:rPr/>
        <w:t>1736.03</w:t>
      </w:r>
      <w:r>
        <w:rPr/>
        <w:t>百万元，银行及含当前租赁约</w:t>
      </w:r>
      <w:r>
        <w:rPr/>
        <w:t>1355.11</w:t>
      </w:r>
      <w:r>
        <w:rPr/>
        <w:t>百万元，简单净广义现金约</w:t>
      </w:r>
      <w:r>
        <w:rPr/>
        <w:t>380.92</w:t>
      </w:r>
      <w:r>
        <w:rPr/>
        <w:t>百万元。它们都是六月时点，不能冒充十月实际余额。</w:t>
      </w:r>
    </w:p>
    <w:p>
      <w:pPr>
        <w:pStyle w:val="Normal"/>
        <w:rPr/>
      </w:pPr>
      <w:r>
        <w:rPr/>
        <w:t>银行负债含短借</w:t>
      </w:r>
      <w:r>
        <w:rPr/>
        <w:t>48.91</w:t>
      </w:r>
      <w:r>
        <w:rPr/>
        <w:t>、长期</w:t>
      </w:r>
      <w:r>
        <w:rPr/>
        <w:t>913.17</w:t>
      </w:r>
      <w:r>
        <w:rPr/>
        <w:t>和一年内</w:t>
      </w:r>
      <w:r>
        <w:rPr/>
        <w:t>358.84</w:t>
      </w:r>
      <w:r>
        <w:rPr/>
        <w:t>百万元，共</w:t>
      </w:r>
      <w:r>
        <w:rPr/>
        <w:t>1320.92</w:t>
      </w:r>
      <w:r>
        <w:rPr/>
        <w:t>；租赁总负债</w:t>
      </w:r>
      <w:r>
        <w:rPr/>
        <w:t>34.19</w:t>
      </w:r>
      <w:r>
        <w:rPr/>
        <w:t>百万元。公司将短债部分转为长期，降低即期偿还压力，但长期配置不是债务消失。信用借款利率披露约</w:t>
      </w:r>
      <w:r>
        <w:rPr/>
        <w:t>2.10%</w:t>
      </w:r>
      <w:r>
        <w:rPr/>
        <w:t>至</w:t>
      </w:r>
      <w:r>
        <w:rPr/>
        <w:t>2.59%</w:t>
      </w:r>
      <w:r>
        <w:rPr/>
        <w:t>，固定资产贷款约</w:t>
      </w:r>
      <w:r>
        <w:rPr/>
        <w:t>3.20%</w:t>
      </w:r>
      <w:r>
        <w:rPr/>
        <w:t>至</w:t>
      </w:r>
      <w:r>
        <w:rPr/>
        <w:t>3.35%</w:t>
      </w:r>
      <w:r>
        <w:rPr/>
        <w:t>，未来重定价及担保条件仍需观察。主模型添加净现金后不再将利息收入另乘</w:t>
      </w:r>
      <w:r>
        <w:rPr/>
        <w:t>PE</w:t>
      </w:r>
      <w:r>
        <w:rPr/>
        <w:t>，剩余债务在现金桥中已经扣除，避免双重计值。</w:t>
      </w:r>
    </w:p>
    <w:p>
      <w:pPr>
        <w:pStyle w:val="Normal"/>
        <w:rPr/>
      </w:pPr>
      <w:r>
        <w:rPr/>
        <w:t>六亿美元按</w:t>
      </w:r>
      <w:r>
        <w:rPr/>
        <w:t>6.8</w:t>
      </w:r>
      <w:r>
        <w:rPr/>
        <w:t>假设新增</w:t>
      </w:r>
      <w:r>
        <w:rPr/>
        <w:t>4080</w:t>
      </w:r>
      <w:r>
        <w:rPr/>
        <w:t>百万元，以六月净广义现金为起点，到账前税费和下半年消耗未扣的静态桥约</w:t>
      </w:r>
      <w:r>
        <w:rPr/>
        <w:t>4460.92</w:t>
      </w:r>
      <w:r>
        <w:rPr/>
        <w:t>百万元。该桥不是公司披露的十月余额，现金实际可能受到研发支出、贷款偿还、税款和换汇影响。年底快照悲观</w:t>
      </w:r>
      <w:r>
        <w:rPr/>
        <w:t>3700</w:t>
      </w:r>
      <w:r>
        <w:rPr/>
        <w:t>、基准</w:t>
      </w:r>
      <w:r>
        <w:rPr/>
        <w:t>4150</w:t>
      </w:r>
      <w:r>
        <w:rPr/>
        <w:t>、乐观</w:t>
      </w:r>
      <w:r>
        <w:rPr/>
        <w:t>4500</w:t>
      </w:r>
      <w:r>
        <w:rPr/>
        <w:t>百万元，属于透明经营判断。乐观略高于静态桥可由利息或经营净流入等假设支持，但本章没有完成三表联动，精确资金计划需后续财报验证。</w:t>
      </w:r>
    </w:p>
    <w:p>
      <w:pPr>
        <w:pStyle w:val="Normal"/>
        <w:rPr/>
      </w:pPr>
      <w:r>
        <w:rPr/>
        <w:t>以半年经营加购建消耗</w:t>
      </w:r>
      <w:r>
        <w:rPr/>
        <w:t>321.60</w:t>
      </w:r>
      <w:r>
        <w:rPr/>
        <w:t>百万元直接年化约</w:t>
      </w:r>
      <w:r>
        <w:rPr/>
        <w:t>643.21</w:t>
      </w:r>
      <w:r>
        <w:rPr/>
        <w:t>百万元，只用于说明量级。若按到账后广义净现金约</w:t>
      </w:r>
      <w:r>
        <w:rPr/>
        <w:t>44.61</w:t>
      </w:r>
      <w:r>
        <w:rPr/>
        <w:t>亿元简单相除，会得到数年缓冲，但未来临床全球投入、税费和收入模式已经改变，该比值不能作为精确现金跑道。现金储备能够支持研发选择，管理层若扩大管线数量和试验范围，消耗也会增大。投资分析应比较每个未来成本与预计价值，而不是因为首付款大就认定无需再考虑融资。</w:t>
      </w:r>
    </w:p>
    <w:p>
      <w:pPr>
        <w:pStyle w:val="Normal"/>
        <w:rPr/>
      </w:pPr>
      <w:r>
        <w:rPr/>
        <w:t>上半年无形资产</w:t>
      </w:r>
      <w:r>
        <w:rPr/>
        <w:t>379.89</w:t>
      </w:r>
      <w:r>
        <w:rPr/>
        <w:t>百万元、固定资产</w:t>
      </w:r>
      <w:r>
        <w:rPr/>
        <w:t>333.19</w:t>
      </w:r>
      <w:r>
        <w:rPr/>
        <w:t>百万元，主要资产不全为现金。六月归母权益</w:t>
      </w:r>
      <w:r>
        <w:rPr/>
        <w:t>1130.01</w:t>
      </w:r>
      <w:r>
        <w:rPr/>
        <w:t>百万元、累计未分配亏损</w:t>
      </w:r>
      <w:r>
        <w:rPr/>
        <w:t>4333.94</w:t>
      </w:r>
      <w:r>
        <w:rPr/>
        <w:t>百万元，反映上市前后持续研发投入。首付款若进入利润和权益会改变账面</w:t>
      </w:r>
      <w:r>
        <w:rPr/>
        <w:t>PB</w:t>
      </w:r>
      <w:r>
        <w:rPr/>
        <w:t>，但账面变化并不自动创造未授权管线更高商业成功。对于研发型公司，价格对账面权益比率只是辅助，因为最重要资产的经济价值与会计费用化不同；也不能直接把旧账面</w:t>
      </w:r>
      <w:r>
        <w:rPr/>
        <w:t>PB</w:t>
      </w:r>
      <w:r>
        <w:rPr/>
        <w:t>高视为公司必然高估。</w:t>
      </w:r>
    </w:p>
    <w:p>
      <w:pPr>
        <w:pStyle w:val="Heading2"/>
        <w:rPr/>
      </w:pPr>
      <w:r>
        <w:rPr>
          <w:color w:val="000000"/>
        </w:rPr>
        <w:t xml:space="preserve">股数 </w:t>
      </w:r>
      <w:r>
        <w:rPr>
          <w:color w:val="000000"/>
        </w:rPr>
        <w:t>H</w:t>
      </w:r>
      <w:r>
        <w:rPr>
          <w:color w:val="000000"/>
        </w:rPr>
        <w:t>股申请与减持供给</w:t>
      </w:r>
    </w:p>
    <w:p>
      <w:pPr>
        <w:pStyle w:val="Normal"/>
        <w:rPr/>
      </w:pPr>
      <w:r>
        <w:rPr/>
        <w:t>六月总股本</w:t>
      </w:r>
      <w:r>
        <w:rPr/>
        <w:t>465165842</w:t>
      </w:r>
      <w:r>
        <w:rPr/>
        <w:t>股，高于</w:t>
      </w:r>
      <w:r>
        <w:rPr/>
        <w:t>2025</w:t>
      </w:r>
      <w:r>
        <w:rPr/>
        <w:t>年末</w:t>
      </w:r>
      <w:r>
        <w:rPr/>
        <w:t>461187894</w:t>
      </w:r>
      <w:r>
        <w:rPr/>
        <w:t>股，最新九月减持公告所列持股百分比与六月股数大体一致，本轮未核到更晚新股登记。行情商市场总值字段与核验股数存在潜在更新口径差，不能直接使用其字段作最终估值。基于六月股数与</w:t>
      </w:r>
      <w:r>
        <w:rPr/>
        <w:t>59.95</w:t>
      </w:r>
      <w:r>
        <w:rPr/>
        <w:t>元计算现有权益约</w:t>
      </w:r>
      <w:r>
        <w:rPr/>
        <w:t>278.87</w:t>
      </w:r>
      <w:r>
        <w:rPr/>
        <w:t>亿元，主模型年底基准股数</w:t>
      </w:r>
      <w:r>
        <w:rPr/>
        <w:t>4.8</w:t>
      </w:r>
      <w:r>
        <w:rPr/>
        <w:t>亿股、约</w:t>
      </w:r>
      <w:r>
        <w:rPr/>
        <w:t>3.19%</w:t>
      </w:r>
      <w:r>
        <w:rPr/>
        <w:t>额外增幅，是未来假设而不是已发行事实。</w:t>
      </w:r>
    </w:p>
    <w:p>
      <w:pPr>
        <w:pStyle w:val="Normal"/>
        <w:rPr/>
      </w:pPr>
      <w:r>
        <w:rPr/>
        <w:t>八月二十七日公司重新递交香港</w:t>
      </w:r>
      <w:r>
        <w:rPr/>
        <w:t>H</w:t>
      </w:r>
      <w:r>
        <w:rPr/>
        <w:t>股发行申请，八月二十八日公告提供港交所申请资料链接，指出仍待监管备案和批准。截止日尚无已上市证券代码，不能在用户原名单外凭空新建已交易</w:t>
      </w:r>
      <w:r>
        <w:rPr/>
        <w:t>H</w:t>
      </w:r>
      <w:r>
        <w:rPr/>
        <w:t>股。申请可能增加未来融资渠道，也可能稀释现有股东，资金用途和发行价决定每股影响。主模型未来股数场景区分程度，并没有把尚未明确的发行募集金额当作已收到现金；实际发行后须同时更新资产和分母。</w:t>
      </w:r>
    </w:p>
    <w:p>
      <w:pPr>
        <w:pStyle w:val="Normal"/>
        <w:rPr/>
      </w:pPr>
      <w:r>
        <w:rPr/>
        <w:t>模型一年股数悲观</w:t>
      </w:r>
      <w:r>
        <w:rPr/>
        <w:t>5.10</w:t>
      </w:r>
      <w:r>
        <w:rPr/>
        <w:t>亿、基准</w:t>
      </w:r>
      <w:r>
        <w:rPr/>
        <w:t>4.95</w:t>
      </w:r>
      <w:r>
        <w:rPr/>
        <w:t>亿、乐观</w:t>
      </w:r>
      <w:r>
        <w:rPr/>
        <w:t>4.85</w:t>
      </w:r>
      <w:r>
        <w:rPr/>
        <w:t>亿，三年</w:t>
      </w:r>
      <w:r>
        <w:rPr/>
        <w:t>5.50</w:t>
      </w:r>
      <w:r>
        <w:rPr/>
        <w:t>、</w:t>
      </w:r>
      <w:r>
        <w:rPr/>
        <w:t>5.20</w:t>
      </w:r>
      <w:r>
        <w:rPr/>
        <w:t>、</w:t>
      </w:r>
      <w:r>
        <w:rPr/>
        <w:t>5.05</w:t>
      </w:r>
      <w:r>
        <w:rPr/>
        <w:t>亿，五年</w:t>
      </w:r>
      <w:r>
        <w:rPr/>
        <w:t>6.00</w:t>
      </w:r>
      <w:r>
        <w:rPr/>
        <w:t>、</w:t>
      </w:r>
      <w:r>
        <w:rPr/>
        <w:t>5.50</w:t>
      </w:r>
      <w:r>
        <w:rPr/>
        <w:t>、</w:t>
      </w:r>
      <w:r>
        <w:rPr/>
        <w:t>5.30</w:t>
      </w:r>
      <w:r>
        <w:rPr/>
        <w:t>亿。较低成功和较大研发消耗场景需要更多融资，是股数差异的逻辑，但没有声称每年一定按计划发行某个价格。净现金与股数快照尚未由完整融资现金表联动，属于初版限制。若融资以很低价格完成或金额更大，现有目标必须下调；若未来产品现金充足，稀释可减轻。</w:t>
      </w:r>
    </w:p>
    <w:p>
      <w:pPr>
        <w:pStyle w:val="Normal"/>
        <w:rPr/>
      </w:pPr>
      <w:r>
        <w:rPr/>
        <w:t>九月四日董事及高管减持计划合计上限约</w:t>
      </w:r>
      <w:r>
        <w:rPr/>
        <w:t>362.01</w:t>
      </w:r>
      <w:r>
        <w:rPr/>
        <w:t>万股，窗口九月二十九日至十二月二十八日；张小林拟不超过</w:t>
      </w:r>
      <w:r>
        <w:rPr/>
        <w:t>2258493</w:t>
      </w:r>
      <w:r>
        <w:rPr/>
        <w:t>股，其他人员分别</w:t>
      </w:r>
      <w:r>
        <w:rPr/>
        <w:t>925530</w:t>
      </w:r>
      <w:r>
        <w:rPr/>
        <w:t>、</w:t>
      </w:r>
      <w:r>
        <w:rPr/>
        <w:t>426092</w:t>
      </w:r>
      <w:r>
        <w:rPr/>
        <w:t>、</w:t>
      </w:r>
      <w:r>
        <w:rPr/>
        <w:t>10000</w:t>
      </w:r>
      <w:r>
        <w:rPr/>
        <w:t>股。原公告主体身份不为控股股东或实际控制人，但张小林有一致行动关系披露，不能隐去治理联系。计划原因个人资金需求，减持不等于经营判断已转差，实际执行和数量尚须后续公告确认，短期供给仍可以影响技术突破。</w:t>
      </w:r>
    </w:p>
    <w:p>
      <w:pPr>
        <w:pStyle w:val="Normal"/>
        <w:rPr/>
      </w:pPr>
      <w:r>
        <w:rPr/>
        <w:t>九月二十五日另一批五名高管拟合计不超过</w:t>
      </w:r>
      <w:r>
        <w:rPr/>
        <w:t>348990</w:t>
      </w:r>
      <w:r>
        <w:rPr/>
        <w:t>股，窗口十一月二日至</w:t>
      </w:r>
      <w:r>
        <w:rPr/>
        <w:t>2027</w:t>
      </w:r>
      <w:r>
        <w:rPr/>
        <w:t>年二月一日。把两批上限相加约</w:t>
      </w:r>
      <w:r>
        <w:rPr/>
        <w:t>396.91</w:t>
      </w:r>
      <w:r>
        <w:rPr/>
        <w:t>万股、相对六月股数约</w:t>
      </w:r>
      <w:r>
        <w:rPr/>
        <w:t>0.85%</w:t>
      </w:r>
      <w:r>
        <w:rPr/>
        <w:t>，只是最高计划规模，不是截止日已卖出量。相比每日数百万股成交，理论供给不必决定股价方向，但在高估值、消息驱动阶段可能放大波动。投资判断应观察实际实施与价格、成交关系，不利用个人姓名或单日下跌推断所谓内幕行为。</w:t>
      </w:r>
    </w:p>
    <w:p>
      <w:pPr>
        <w:pStyle w:val="Normal"/>
        <w:rPr/>
      </w:pPr>
      <w:r>
        <w:rPr/>
        <w:t>研发人才激励对公司持续产出具有价值，股东需要权衡费用、稀释与核心人员留存。若成功管线现金大量用于新项目而不提高资本回报，股东的收益兑现可能比研发新闻更慢；若过度节约研发而削弱下一代资产，长期价值也可能下降。合理资本配置应基于明确推进或停止标准以及项目风险回报，股东无法仅靠研发人员数判断。模型未来成本储备和零分红假设保留了公司仍处研发扩张阶段的特点。</w:t>
      </w:r>
    </w:p>
    <w:p>
      <w:pPr>
        <w:pStyle w:val="Heading2"/>
        <w:rPr/>
      </w:pPr>
      <w:r>
        <w:rPr>
          <w:color w:val="000000"/>
        </w:rPr>
        <w:t>半年</w:t>
      </w:r>
      <w:r>
        <w:rPr>
          <w:color w:val="000000"/>
        </w:rPr>
        <w:t>K</w:t>
      </w:r>
      <w:r>
        <w:rPr>
          <w:color w:val="000000"/>
        </w:rPr>
        <w:t>线 量能与相对市场表现</w:t>
      </w:r>
    </w:p>
    <w:p>
      <w:pPr>
        <w:pStyle w:val="Normal"/>
        <w:rPr/>
      </w:pPr>
      <w:r>
        <w:rPr/>
        <w:t>行情采用</w:t>
      </w:r>
      <w:r>
        <w:rPr/>
        <w:t>2023</w:t>
      </w:r>
      <w:r>
        <w:rPr/>
        <w:t>年十月九日起</w:t>
      </w:r>
      <w:r>
        <w:rPr/>
        <w:t>728</w:t>
      </w:r>
      <w:r>
        <w:rPr/>
        <w:t>日日线，腾讯与</w:t>
      </w:r>
      <w:r>
        <w:rPr/>
        <w:t>Yahoo</w:t>
      </w:r>
      <w:r>
        <w:rPr/>
        <w:t>双源历史核验，最新新浪报价也一致。基准收</w:t>
      </w:r>
      <w:r>
        <w:rPr/>
        <w:t>59.95</w:t>
      </w:r>
      <w:r>
        <w:rPr/>
        <w:t>元、开</w:t>
      </w:r>
      <w:r>
        <w:rPr/>
        <w:t>57.32</w:t>
      </w:r>
      <w:r>
        <w:rPr/>
        <w:t>、高</w:t>
      </w:r>
      <w:r>
        <w:rPr/>
        <w:t>61.50</w:t>
      </w:r>
      <w:r>
        <w:rPr/>
        <w:t>、低</w:t>
      </w:r>
      <w:r>
        <w:rPr/>
        <w:t>56.21</w:t>
      </w:r>
      <w:r>
        <w:rPr/>
        <w:t>，成交</w:t>
      </w:r>
      <w:r>
        <w:rPr/>
        <w:t>7897133</w:t>
      </w:r>
      <w:r>
        <w:rPr/>
        <w:t>股、</w:t>
      </w:r>
      <w:r>
        <w:rPr/>
        <w:t>466470655</w:t>
      </w:r>
      <w:r>
        <w:rPr/>
        <w:t>元、公开换手</w:t>
      </w:r>
      <w:r>
        <w:rPr/>
        <w:t>1.71%</w:t>
      </w:r>
      <w:r>
        <w:rPr/>
        <w:t>。日线</w:t>
      </w:r>
      <w:r>
        <w:rPr/>
        <w:t>OHLC</w:t>
      </w:r>
      <w:r>
        <w:rPr/>
        <w:t>按基准价归一复权，量单位股，股与手未混用；近六十日两历史源差异非常小。原行情和核验字段保存锁版，不因投资观点重新清洗曲线，指标可信度高于未来估值精度。</w:t>
      </w:r>
    </w:p>
    <w:p>
      <w:pPr>
        <w:pStyle w:val="Normal"/>
        <w:rPr/>
      </w:pPr>
      <w:r>
        <w:rPr/>
        <w:t>二十、六十、一百二十、二百五十日均线约</w:t>
      </w:r>
      <w:r>
        <w:rPr/>
        <w:t>56.94</w:t>
      </w:r>
      <w:r>
        <w:rPr/>
        <w:t>、</w:t>
      </w:r>
      <w:r>
        <w:rPr/>
        <w:t>57.23</w:t>
      </w:r>
      <w:r>
        <w:rPr/>
        <w:t>、</w:t>
      </w:r>
      <w:r>
        <w:rPr/>
        <w:t>53.10</w:t>
      </w:r>
      <w:r>
        <w:rPr/>
        <w:t>、</w:t>
      </w:r>
      <w:r>
        <w:rPr/>
        <w:t>56.40</w:t>
      </w:r>
      <w:r>
        <w:rPr/>
        <w:t>元，现价均在其上，距离分别约</w:t>
      </w:r>
      <w:r>
        <w:rPr/>
        <w:t>5.28%</w:t>
      </w:r>
      <w:r>
        <w:rPr/>
        <w:t>、</w:t>
      </w:r>
      <w:r>
        <w:rPr/>
        <w:t>4.76%</w:t>
      </w:r>
      <w:r>
        <w:rPr/>
        <w:t>、</w:t>
      </w:r>
      <w:r>
        <w:rPr/>
        <w:t>12.91%</w:t>
      </w:r>
      <w:r>
        <w:rPr/>
        <w:t>、</w:t>
      </w:r>
      <w:r>
        <w:rPr/>
        <w:t>6.29%</w:t>
      </w:r>
      <w:r>
        <w:rPr/>
        <w:t>。不过二十日五日斜率负</w:t>
      </w:r>
      <w:r>
        <w:rPr/>
        <w:t>0.41%</w:t>
      </w:r>
      <w:r>
        <w:rPr/>
        <w:t>、二百五十日负</w:t>
      </w:r>
      <w:r>
        <w:rPr/>
        <w:t>0.50%</w:t>
      </w:r>
      <w:r>
        <w:rPr/>
        <w:t>，六十日正</w:t>
      </w:r>
      <w:r>
        <w:rPr/>
        <w:t>1.53%</w:t>
      </w:r>
      <w:r>
        <w:rPr/>
        <w:t>、一百二十日正</w:t>
      </w:r>
      <w:r>
        <w:rPr/>
        <w:t>0.09%</w:t>
      </w:r>
      <w:r>
        <w:rPr/>
        <w:t>，显示恢复与旧下行趋势交错。均线上方的事实不能掩盖全部均线尚未一致向上，技术评价为震荡恢复，不称为长期强势多头已经完全成立。</w:t>
      </w:r>
    </w:p>
    <w:p>
      <w:pPr>
        <w:pStyle w:val="Normal"/>
        <w:rPr/>
      </w:pPr>
      <w:r>
        <w:rPr/>
        <w:t>最近二十日回报负</w:t>
      </w:r>
      <w:r>
        <w:rPr/>
        <w:t>0.22%</w:t>
      </w:r>
      <w:r>
        <w:rPr/>
        <w:t>，六十日正</w:t>
      </w:r>
      <w:r>
        <w:rPr/>
        <w:t>29.54%</w:t>
      </w:r>
      <w:r>
        <w:rPr/>
        <w:t>，一百二十日正</w:t>
      </w:r>
      <w:r>
        <w:rPr/>
        <w:t>8.25%</w:t>
      </w:r>
      <w:r>
        <w:rPr/>
        <w:t>，二百五十日负</w:t>
      </w:r>
      <w:r>
        <w:rPr/>
        <w:t>14.32%</w:t>
      </w:r>
      <w:r>
        <w:rPr/>
        <w:t>。六十日上涨显著但二十日横盘，符合先反弹再整理的特征；一年仍未完全恢复，不能只截取低点以来涨幅宣称所有持有者均获利。</w:t>
      </w:r>
      <w:r>
        <w:rPr/>
        <w:t>52</w:t>
      </w:r>
      <w:r>
        <w:rPr/>
        <w:t>周最高</w:t>
      </w:r>
      <w:r>
        <w:rPr/>
        <w:t>73.80</w:t>
      </w:r>
      <w:r>
        <w:rPr/>
        <w:t>、最低</w:t>
      </w:r>
      <w:r>
        <w:rPr/>
        <w:t>35.73</w:t>
      </w:r>
      <w:r>
        <w:rPr/>
        <w:t>，现价距高约负</w:t>
      </w:r>
      <w:r>
        <w:rPr/>
        <w:t>18.77%</w:t>
      </w:r>
      <w:r>
        <w:rPr/>
        <w:t>，历史最大日线回撤约</w:t>
      </w:r>
      <w:r>
        <w:rPr/>
        <w:t>49.62%</w:t>
      </w:r>
      <w:r>
        <w:rPr/>
        <w:t>，说明股价本来就对临床、融资和市场预期高度敏感，波动不应仅归于某一个公告。</w:t>
      </w:r>
    </w:p>
    <w:p>
      <w:pPr>
        <w:pStyle w:val="Normal"/>
        <w:rPr/>
      </w:pPr>
      <w:r>
        <w:rPr/>
        <w:t>最近二十日极值观察位</w:t>
      </w:r>
      <w:r>
        <w:rPr/>
        <w:t>52.08</w:t>
      </w:r>
      <w:r>
        <w:rPr/>
        <w:t>至</w:t>
      </w:r>
      <w:r>
        <w:rPr/>
        <w:t>62.00</w:t>
      </w:r>
      <w:r>
        <w:rPr/>
        <w:t>元，现价到低点约负</w:t>
      </w:r>
      <w:r>
        <w:rPr/>
        <w:t>13.13%</w:t>
      </w:r>
      <w:r>
        <w:rPr/>
        <w:t>、到高约正</w:t>
      </w:r>
      <w:r>
        <w:rPr/>
        <w:t>3.42%</w:t>
      </w:r>
      <w:r>
        <w:rPr/>
        <w:t>。六十日范围</w:t>
      </w:r>
      <w:r>
        <w:rPr/>
        <w:t>44.69</w:t>
      </w:r>
      <w:r>
        <w:rPr/>
        <w:t>至</w:t>
      </w:r>
      <w:r>
        <w:rPr/>
        <w:t>69.58</w:t>
      </w:r>
      <w:r>
        <w:rPr/>
        <w:t>元，现价至上端约</w:t>
      </w:r>
      <w:r>
        <w:rPr/>
        <w:t>16.06%</w:t>
      </w:r>
      <w:r>
        <w:rPr/>
        <w:t>。这些是窗口最高最低，尚未筛选多次触碰与成交分布，不能称精确买卖墙。近端需要观察能否越过</w:t>
      </w:r>
      <w:r>
        <w:rPr/>
        <w:t>62</w:t>
      </w:r>
      <w:r>
        <w:rPr/>
        <w:t>元、同时在</w:t>
      </w:r>
      <w:r>
        <w:rPr/>
        <w:t>56</w:t>
      </w:r>
      <w:r>
        <w:rPr/>
        <w:t>至</w:t>
      </w:r>
      <w:r>
        <w:rPr/>
        <w:t>57</w:t>
      </w:r>
      <w:r>
        <w:rPr/>
        <w:t>元均线带维持，突破</w:t>
      </w:r>
      <w:r>
        <w:rPr/>
        <w:t>69.58</w:t>
      </w:r>
      <w:r>
        <w:rPr/>
        <w:t>后才涉及更长期高点。技术位会随新行情改变，不能把截止日数值当作固定未来指令。</w:t>
      </w:r>
    </w:p>
    <w:p>
      <w:pPr>
        <w:pStyle w:val="Normal"/>
        <w:rPr/>
      </w:pPr>
      <w:r>
        <w:rPr/>
        <w:t>五、二十、六十日均量约</w:t>
      </w:r>
      <w:r>
        <w:rPr/>
        <w:t>632.39</w:t>
      </w:r>
      <w:r>
        <w:rPr/>
        <w:t>、</w:t>
      </w:r>
      <w:r>
        <w:rPr/>
        <w:t>510.22</w:t>
      </w:r>
      <w:r>
        <w:rPr/>
        <w:t>、</w:t>
      </w:r>
      <w:r>
        <w:rPr/>
        <w:t>895.41</w:t>
      </w:r>
      <w:r>
        <w:rPr/>
        <w:t>万股，当日相此前二十日均量为</w:t>
      </w:r>
      <w:r>
        <w:rPr/>
        <w:t>1.569</w:t>
      </w:r>
      <w:r>
        <w:rPr/>
        <w:t>倍。近期交易量高于二十日均值，仍低于六十日旺盛阶段均量，不能简单称为极端放量。二十日上涨十一天下跌九天，总量分别</w:t>
      </w:r>
      <w:r>
        <w:rPr/>
        <w:t>5917.89</w:t>
      </w:r>
      <w:r>
        <w:rPr/>
        <w:t>、</w:t>
      </w:r>
      <w:r>
        <w:rPr/>
        <w:t>4286.58</w:t>
      </w:r>
      <w:r>
        <w:rPr/>
        <w:t>万股，比</w:t>
      </w:r>
      <w:r>
        <w:rPr/>
        <w:t>1.381</w:t>
      </w:r>
      <w:r>
        <w:rPr/>
        <w:t>，部分差距与上涨日更多有关；按日数粗除后的日均比约</w:t>
      </w:r>
      <w:r>
        <w:rPr/>
        <w:t>1.13</w:t>
      </w:r>
      <w:r>
        <w:rPr/>
        <w:t>，也不等于巨大买盘优势。没有账户与逐笔数据，不从这些量推断主力持仓。</w:t>
      </w:r>
    </w:p>
    <w:p>
      <w:pPr>
        <w:pStyle w:val="Normal"/>
        <w:rPr/>
      </w:pPr>
      <w:r>
        <w:rPr/>
        <w:t>当日价格上涨、成交高于近期均值，提供短期需求恢复证据，但收盘仍低于</w:t>
      </w:r>
      <w:r>
        <w:rPr/>
        <w:t>61.5</w:t>
      </w:r>
      <w:r>
        <w:rPr/>
        <w:t>元日内高和</w:t>
      </w:r>
      <w:r>
        <w:rPr/>
        <w:t>62</w:t>
      </w:r>
      <w:r>
        <w:rPr/>
        <w:t>元区间高。若后续突破失败而在同区域反复放量，可能是买卖意见分歧和供给增加，不能只重复解释为积累筹码。量价判断需要后续趋势和经营消息一致，尤其董高计划窗口与美国上市预期重合，供给与需求都可能变化。价格突破只证明市场当时愿意支付更高价值，不证明版税与临床假设已经实现。</w:t>
      </w:r>
    </w:p>
    <w:p>
      <w:pPr>
        <w:pStyle w:val="Normal"/>
        <w:rPr/>
      </w:pPr>
      <w:r>
        <w:rPr/>
        <w:t>同期沪深三百二十日负</w:t>
      </w:r>
      <w:r>
        <w:rPr/>
        <w:t>5.17%</w:t>
      </w:r>
      <w:r>
        <w:rPr/>
        <w:t>、六十日负</w:t>
      </w:r>
      <w:r>
        <w:rPr/>
        <w:t>11.46%</w:t>
      </w:r>
      <w:r>
        <w:rPr/>
        <w:t>，迪哲市场超额分别</w:t>
      </w:r>
      <w:r>
        <w:rPr/>
        <w:t>4.95</w:t>
      </w:r>
      <w:r>
        <w:rPr/>
        <w:t>、</w:t>
      </w:r>
      <w:r>
        <w:rPr/>
        <w:t>41.00</w:t>
      </w:r>
      <w:r>
        <w:rPr/>
        <w:t>个百分点，相对强势明显。该表现可以支持关注，但也说明公司在弱市中获得较高预期定价，估值安全边际未必更大。</w:t>
      </w:r>
      <w:r>
        <w:rPr/>
        <w:t>A</w:t>
      </w:r>
      <w:r>
        <w:rPr/>
        <w:t>股创新药细分基准尚未取得，行业超额留空，不把港股创新药指数当作相同交易机制基准。技术维度同时使用价格与量，未因同源相对强弱重复计入多项独立获利证据。</w:t>
      </w:r>
    </w:p>
    <w:p>
      <w:pPr>
        <w:pStyle w:val="Normal"/>
        <w:rPr/>
      </w:pPr>
      <w:r>
        <w:rPr/>
        <w:t>周线</w:t>
      </w:r>
      <w:r>
        <w:rPr/>
        <w:t>155</w:t>
      </w:r>
      <w:r>
        <w:rPr/>
        <w:t>周，二十、六十、一百二十周均线</w:t>
      </w:r>
      <w:r>
        <w:rPr/>
        <w:t>52.41</w:t>
      </w:r>
      <w:r>
        <w:rPr/>
        <w:t>、</w:t>
      </w:r>
      <w:r>
        <w:rPr/>
        <w:t>58.80</w:t>
      </w:r>
      <w:r>
        <w:rPr/>
        <w:t>、</w:t>
      </w:r>
      <w:r>
        <w:rPr/>
        <w:t>53.47</w:t>
      </w:r>
      <w:r>
        <w:rPr/>
        <w:t>元，现价在其上但离六十周仅约</w:t>
      </w:r>
      <w:r>
        <w:rPr/>
        <w:t>1.95%</w:t>
      </w:r>
      <w:r>
        <w:rPr/>
        <w:t>。二十和一百二十周斜率正、六十周负</w:t>
      </w:r>
      <w:r>
        <w:rPr/>
        <w:t>1.91%</w:t>
      </w:r>
      <w:r>
        <w:rPr/>
        <w:t>，周线趋势也交错。二百五十周历史不足留空。最近二十周上涨八、下跌十二，量总比约</w:t>
      </w:r>
      <w:r>
        <w:rPr/>
        <w:t>0.709</w:t>
      </w:r>
      <w:r>
        <w:rPr/>
        <w:t>，和近二十日偏上涨量不同，说明不同窗口证据不一致。国庆最后一周交易日少，不能用该周总量低直接宣称行情量缩失败。</w:t>
      </w:r>
    </w:p>
    <w:p>
      <w:pPr>
        <w:pStyle w:val="Normal"/>
        <w:rPr/>
      </w:pPr>
      <w:r>
        <w:rPr/>
        <w:t>十四日</w:t>
      </w:r>
      <w:r>
        <w:rPr/>
        <w:t>RSI57.31</w:t>
      </w:r>
      <w:r>
        <w:rPr/>
        <w:t>，</w:t>
      </w:r>
      <w:r>
        <w:rPr/>
        <w:t>MACD</w:t>
      </w:r>
      <w:r>
        <w:rPr/>
        <w:t>的</w:t>
      </w:r>
      <w:r>
        <w:rPr/>
        <w:t>DIF0.409</w:t>
      </w:r>
      <w:r>
        <w:rPr/>
        <w:t>高于</w:t>
      </w:r>
      <w:r>
        <w:rPr/>
        <w:t>DEA0.247</w:t>
      </w:r>
      <w:r>
        <w:rPr/>
        <w:t>，柱按二倍差为</w:t>
      </w:r>
      <w:r>
        <w:rPr/>
        <w:t>0.325</w:t>
      </w:r>
      <w:r>
        <w:rPr/>
        <w:t>，支持近期动量修复；十四日</w:t>
      </w:r>
      <w:r>
        <w:rPr/>
        <w:t>ATR3.11</w:t>
      </w:r>
      <w:r>
        <w:rPr/>
        <w:t>元、现价</w:t>
      </w:r>
      <w:r>
        <w:rPr/>
        <w:t>5.19%</w:t>
      </w:r>
      <w:r>
        <w:rPr/>
        <w:t>，单日正常幅度较大。周</w:t>
      </w:r>
      <w:r>
        <w:rPr/>
        <w:t>RSI55.39</w:t>
      </w:r>
      <w:r>
        <w:rPr/>
        <w:t>、周</w:t>
      </w:r>
      <w:r>
        <w:rPr/>
        <w:t>ATR</w:t>
      </w:r>
      <w:r>
        <w:rPr/>
        <w:t>约</w:t>
      </w:r>
      <w:r>
        <w:rPr/>
        <w:t>7.00</w:t>
      </w:r>
      <w:r>
        <w:rPr/>
        <w:t>元，也提示长期波动明显。</w:t>
      </w:r>
      <w:r>
        <w:rPr/>
        <w:t>RSI</w:t>
      </w:r>
      <w:r>
        <w:rPr/>
        <w:t>、</w:t>
      </w:r>
      <w:r>
        <w:rPr/>
        <w:t>MACD</w:t>
      </w:r>
      <w:r>
        <w:rPr/>
        <w:t>和均线重复使用同一价格，不是三个互相独立的信号，本章辅助解释、没有重复加满分。技术止损或观察需容纳波动，不能把一次跌破小幅价位当作临床价值变化。</w:t>
      </w:r>
    </w:p>
    <w:p>
      <w:pPr>
        <w:pStyle w:val="Normal"/>
        <w:rPr/>
      </w:pPr>
      <w:r>
        <w:rPr/>
        <w:t>技术改善需价格站稳</w:t>
      </w:r>
      <w:r>
        <w:rPr/>
        <w:t>62</w:t>
      </w:r>
      <w:r>
        <w:rPr/>
        <w:t>元、上行量与回落量关系支持，并逐步改善二十日及二百五十日斜率；向</w:t>
      </w:r>
      <w:r>
        <w:rPr/>
        <w:t>69.58</w:t>
      </w:r>
      <w:r>
        <w:rPr/>
        <w:t>至</w:t>
      </w:r>
      <w:r>
        <w:rPr/>
        <w:t>73.80</w:t>
      </w:r>
      <w:r>
        <w:rPr/>
        <w:t>区域推进应重新评估消息是否已充分计价。失效条件是反复跌回</w:t>
      </w:r>
      <w:r>
        <w:rPr/>
        <w:t>56</w:t>
      </w:r>
      <w:r>
        <w:rPr/>
        <w:t>至</w:t>
      </w:r>
      <w:r>
        <w:rPr/>
        <w:t>57</w:t>
      </w:r>
      <w:r>
        <w:rPr/>
        <w:t>元均线带下、不能恢复，随后</w:t>
      </w:r>
      <w:r>
        <w:rPr/>
        <w:t>52.08</w:t>
      </w:r>
      <w:r>
        <w:rPr/>
        <w:t>附近近期低点失守且下跌量扩大。长期价值反证不依赖技术位，即便价格上涨，版税或临床事实低于模型也需降值。技术判断只服务半年，不把它当作五年医学成功预测。</w:t>
      </w:r>
    </w:p>
    <w:p>
      <w:pPr>
        <w:pStyle w:val="Heading2"/>
        <w:rPr/>
      </w:pPr>
      <w:r>
        <w:rPr>
          <w:color w:val="000000"/>
        </w:rPr>
        <w:t>风险调整现金流模型与价格敏感性</w:t>
      </w:r>
    </w:p>
    <w:p>
      <w:pPr>
        <w:pStyle w:val="Normal"/>
        <w:rPr/>
      </w:pPr>
      <w:r>
        <w:rPr/>
        <w:t>主模型逐年计算</w:t>
      </w:r>
      <w:r>
        <w:rPr/>
        <w:t>2027</w:t>
      </w:r>
      <w:r>
        <w:rPr/>
        <w:t>年至</w:t>
      </w:r>
      <w:r>
        <w:rPr/>
        <w:t>2045</w:t>
      </w:r>
      <w:r>
        <w:rPr/>
        <w:t>年的八个主要药物与适应症模块，现金日期取各年十二月三十一日，以目标日到现金日实际天数除</w:t>
      </w:r>
      <w:r>
        <w:rPr/>
        <w:t>365.25</w:t>
      </w:r>
      <w:r>
        <w:rPr/>
        <w:t>折现。目标日前现金不再进入未来资产现值，目标净现金快照单独计入。舒沃哲只算全球版税，高瑞哲和未授权管线用直接经营自由现金流，已包含制造、销售、税、营运资本及维持投入；未来未商业化研发与总部成本另储备扣除，避免简单把未来销售乘利润率且不计研发。</w:t>
      </w:r>
    </w:p>
    <w:p>
      <w:pPr>
        <w:pStyle w:val="Normal"/>
        <w:rPr/>
      </w:pPr>
      <w:r>
        <w:rPr/>
        <w:t>悲观、基准、乐观折现率</w:t>
      </w:r>
      <w:r>
        <w:rPr/>
        <w:t>16%</w:t>
      </w:r>
      <w:r>
        <w:rPr/>
        <w:t>、</w:t>
      </w:r>
      <w:r>
        <w:rPr/>
        <w:t>12.5%</w:t>
      </w:r>
      <w:r>
        <w:rPr/>
        <w:t>、</w:t>
      </w:r>
      <w:r>
        <w:rPr/>
        <w:t>10.5%</w:t>
      </w:r>
      <w:r>
        <w:rPr/>
        <w:t>，三条销售曲线分别反映上市延迟、峰值和衰减。已批药物审批概率为一，未批模块按阶段与当前证据使用不同研究概率，一线舒沃哲基准</w:t>
      </w:r>
      <w:r>
        <w:rPr/>
        <w:t>78%</w:t>
      </w:r>
      <w:r>
        <w:rPr/>
        <w:t>、高瑞哲扩</w:t>
      </w:r>
      <w:r>
        <w:rPr/>
        <w:t>PTCL40%</w:t>
      </w:r>
      <w:r>
        <w:rPr/>
        <w:t>、免疫肺癌</w:t>
      </w:r>
      <w:r>
        <w:rPr/>
        <w:t>20%</w:t>
      </w:r>
      <w:r>
        <w:rPr/>
        <w:t>、比瑞替尼</w:t>
      </w:r>
      <w:r>
        <w:rPr/>
        <w:t>CLL48%</w:t>
      </w:r>
      <w:r>
        <w:rPr/>
        <w:t>、</w:t>
      </w:r>
      <w:r>
        <w:rPr/>
        <w:t>DLBCL30%</w:t>
      </w:r>
      <w:r>
        <w:rPr/>
        <w:t>、</w:t>
      </w:r>
      <w:r>
        <w:rPr/>
        <w:t>DZD6008</w:t>
      </w:r>
      <w:r>
        <w:rPr/>
        <w:t>为</w:t>
      </w:r>
      <w:r>
        <w:rPr/>
        <w:t>30%</w:t>
      </w:r>
      <w:r>
        <w:rPr/>
        <w:t>。这些不是临床历史频率，且商业峰值另有风险，不能把它们解释成实际成药概率已被科学精确估计。</w:t>
      </w:r>
    </w:p>
    <w:p>
      <w:pPr>
        <w:pStyle w:val="Normal"/>
        <w:rPr/>
      </w:pPr>
      <w:r>
        <w:rPr/>
        <w:t>未来成功场景下概率折扣逐步减少，是假设试验和监管推进带来信息成熟，并非随着时间自动提高的事实。悲观使用更慢改善，临床失败时应立即将对应模块归零或降低，而不按时间表继续上调。目标股价衡量目标时点在特定情景中的剩余价值，不是当前期望值简单滚存。由于现金快照尚未与所有历史与未来销售完全三表联动，模型仍是可审核初版，不冒称完整全球药物财务计划已经完成。</w:t>
      </w:r>
    </w:p>
    <w:p>
      <w:pPr>
        <w:pStyle w:val="Normal"/>
        <w:rPr/>
      </w:pPr>
      <w:r>
        <w:rPr/>
        <w:t>年底基准八项资产</w:t>
      </w:r>
      <w:r>
        <w:rPr/>
        <w:t>PV</w:t>
      </w:r>
      <w:r>
        <w:rPr/>
        <w:t>约</w:t>
      </w:r>
      <w:r>
        <w:rPr/>
        <w:t>169.70</w:t>
      </w:r>
      <w:r>
        <w:rPr/>
        <w:t>亿元，分别舒沃后线</w:t>
      </w:r>
      <w:r>
        <w:rPr/>
        <w:t>12.99</w:t>
      </w:r>
      <w:r>
        <w:rPr/>
        <w:t>、一线</w:t>
      </w:r>
      <w:r>
        <w:rPr/>
        <w:t>20.81</w:t>
      </w:r>
      <w:r>
        <w:rPr/>
        <w:t>，高瑞哲已批</w:t>
      </w:r>
      <w:r>
        <w:rPr/>
        <w:t>13.54</w:t>
      </w:r>
      <w:r>
        <w:rPr/>
        <w:t>、</w:t>
      </w:r>
      <w:r>
        <w:rPr/>
        <w:t>PTCL</w:t>
      </w:r>
      <w:r>
        <w:rPr/>
        <w:t>扩</w:t>
      </w:r>
      <w:r>
        <w:rPr/>
        <w:t>3.39</w:t>
      </w:r>
      <w:r>
        <w:rPr/>
        <w:t>、肺癌</w:t>
      </w:r>
      <w:r>
        <w:rPr/>
        <w:t>13.93</w:t>
      </w:r>
      <w:r>
        <w:rPr/>
        <w:t>，比瑞替尼</w:t>
      </w:r>
      <w:r>
        <w:rPr/>
        <w:t>CLL45.14</w:t>
      </w:r>
      <w:r>
        <w:rPr/>
        <w:t>、</w:t>
      </w:r>
      <w:r>
        <w:rPr/>
        <w:t>DLBCL25.08</w:t>
      </w:r>
      <w:r>
        <w:rPr/>
        <w:t>、</w:t>
      </w:r>
      <w:r>
        <w:rPr/>
        <w:t>DZD6008</w:t>
      </w:r>
      <w:r>
        <w:rPr/>
        <w:t>约</w:t>
      </w:r>
      <w:r>
        <w:rPr/>
        <w:t>34.83</w:t>
      </w:r>
      <w:r>
        <w:rPr/>
        <w:t>亿元。合计后加风险调整里程碑现值、净现金</w:t>
      </w:r>
      <w:r>
        <w:rPr/>
        <w:t>41.5</w:t>
      </w:r>
      <w:r>
        <w:rPr/>
        <w:t>亿元，减研发总部储备</w:t>
      </w:r>
      <w:r>
        <w:rPr/>
        <w:t>25</w:t>
      </w:r>
      <w:r>
        <w:rPr/>
        <w:t>亿元，除</w:t>
      </w:r>
      <w:r>
        <w:rPr/>
        <w:t>4.8</w:t>
      </w:r>
      <w:r>
        <w:rPr/>
        <w:t>亿股，得</w:t>
      </w:r>
      <w:r>
        <w:rPr/>
        <w:t>40.38</w:t>
      </w:r>
      <w:r>
        <w:rPr/>
        <w:t>元。大部分价值已经来自后续管线而非已批版税，正体现现价需要更多临床成功，不能以六亿美元交易确认全部估值。</w:t>
      </w:r>
    </w:p>
    <w:p>
      <w:pPr>
        <w:pStyle w:val="Normal"/>
        <w:rPr/>
      </w:pPr>
      <w:r>
        <w:rPr/>
        <w:t>半年基准</w:t>
      </w:r>
      <w:r>
        <w:rPr/>
        <w:t>42.24</w:t>
      </w:r>
      <w:r>
        <w:rPr/>
        <w:t>元，比年底略高，来自剩余现金折现时间减少与成功场景信息改善，净现金也随投入适度减少。一年</w:t>
      </w:r>
      <w:r>
        <w:rPr/>
        <w:t>47.29</w:t>
      </w:r>
      <w:r>
        <w:rPr/>
        <w:t>元仍低现价</w:t>
      </w:r>
      <w:r>
        <w:rPr/>
        <w:t>21.11%</w:t>
      </w:r>
      <w:r>
        <w:rPr/>
        <w:t>，说明目前模型的成熟数据不足以形成很强一年安全边际。三年</w:t>
      </w:r>
      <w:r>
        <w:rPr/>
        <w:t>70.34</w:t>
      </w:r>
      <w:r>
        <w:rPr/>
        <w:t>元只较现价高</w:t>
      </w:r>
      <w:r>
        <w:rPr/>
        <w:t>17.33%</w:t>
      </w:r>
      <w:r>
        <w:rPr/>
        <w:t>，年化</w:t>
      </w:r>
      <w:r>
        <w:rPr/>
        <w:t>5.47%</w:t>
      </w:r>
      <w:r>
        <w:rPr/>
        <w:t>，五年</w:t>
      </w:r>
      <w:r>
        <w:rPr/>
        <w:t>92.57</w:t>
      </w:r>
      <w:r>
        <w:rPr/>
        <w:t>元年化</w:t>
      </w:r>
      <w:r>
        <w:rPr/>
        <w:t>9.08%</w:t>
      </w:r>
      <w:r>
        <w:rPr/>
        <w:t>。在高波动股票中，这些基准年化不特别优厚，所以中长期经营评分较高也不意味着总榜最优推荐，须与其他公司风险回报比较。</w:t>
      </w:r>
    </w:p>
    <w:p>
      <w:pPr>
        <w:pStyle w:val="Normal"/>
        <w:rPr/>
      </w:pPr>
      <w:r>
        <w:rPr/>
        <w:t>乐观年底</w:t>
      </w:r>
      <w:r>
        <w:rPr/>
        <w:t>176.30</w:t>
      </w:r>
      <w:r>
        <w:rPr/>
        <w:t>元、一年</w:t>
      </w:r>
      <w:r>
        <w:rPr/>
        <w:t>205.14</w:t>
      </w:r>
      <w:r>
        <w:rPr/>
        <w:t>元、五年</w:t>
      </w:r>
      <w:r>
        <w:rPr/>
        <w:t>319.44</w:t>
      </w:r>
      <w:r>
        <w:rPr/>
        <w:t>元不是保证上限，依赖多个项目提前上市、更高销售、更多成功、较低折现和较少稀释。多资产成功相关性可能较高，肿瘤竞争或全球支付也可能同时影响它们，本章未用独立概率乘积证明乐观权重。悲观约四至五元涉及现金继续用于研发、项目低成功和低销量的组合，并非年底一夜所有现金消失；它反映未来资产扣开发储备后的长期价值，不能当作短线常态波动预测或精确最大损失。</w:t>
      </w:r>
    </w:p>
    <w:p>
      <w:pPr>
        <w:pStyle w:val="Normal"/>
        <w:rPr/>
      </w:pPr>
      <w:r>
        <w:rPr/>
        <w:t>如此宽的范围说明当前证据缺口和经营可能路径跨度大，不是价格预测精确度高。以一个年末交易日实际成交来检验，任何单点都可能偏离；模型更适合比较对假设的要求。对已批药物销售、未批成功、费用和融资各项都应提供更新机制，不能用极宽区间掩盖错误。下一版若取得分档版税、完整临床数据和发行计划，范围可收敛；在此之前推荐应更审慎，并将估值可信度标中低。</w:t>
      </w:r>
    </w:p>
    <w:p>
      <w:pPr>
        <w:pStyle w:val="Normal"/>
        <w:rPr/>
      </w:pPr>
      <w:r>
        <w:rPr/>
        <w:t>一年模型若比瑞替尼</w:t>
      </w:r>
      <w:r>
        <w:rPr/>
        <w:t>CLL</w:t>
      </w:r>
      <w:r>
        <w:rPr/>
        <w:t>的风险调整价值少一半，股价基准会下降约</w:t>
      </w:r>
      <w:r>
        <w:rPr/>
        <w:t>5.43</w:t>
      </w:r>
      <w:r>
        <w:rPr/>
        <w:t>元；</w:t>
      </w:r>
      <w:r>
        <w:rPr/>
        <w:t>DLBCL</w:t>
      </w:r>
      <w:r>
        <w:rPr/>
        <w:t>少一半再下降约</w:t>
      </w:r>
      <w:r>
        <w:rPr/>
        <w:t>3.29</w:t>
      </w:r>
      <w:r>
        <w:rPr/>
        <w:t>元；</w:t>
      </w:r>
      <w:r>
        <w:rPr/>
        <w:t>DZD6008</w:t>
      </w:r>
      <w:r>
        <w:rPr/>
        <w:t>少一半约下降</w:t>
      </w:r>
      <w:r>
        <w:rPr/>
        <w:t>4.57</w:t>
      </w:r>
      <w:r>
        <w:rPr/>
        <w:t>元。三个模块对</w:t>
      </w:r>
      <w:r>
        <w:rPr/>
        <w:t>47.29</w:t>
      </w:r>
      <w:r>
        <w:rPr/>
        <w:t>元贡献显著，说明现价不仅押注舒沃哲美国商业化，而是未来多药成功。反过来，提高这些早期估值不能只因同业股票上涨，必须有新的试验、监管或市场证据。分模块敏感性有助于把风险与具体催化对应，而非笼统声称管线丰富。</w:t>
      </w:r>
    </w:p>
    <w:p>
      <w:pPr>
        <w:pStyle w:val="Normal"/>
        <w:rPr/>
      </w:pPr>
      <w:r>
        <w:rPr/>
        <w:t>若所有未来美元现金按</w:t>
      </w:r>
      <w:r>
        <w:rPr/>
        <w:t>6.8</w:t>
      </w:r>
      <w:r>
        <w:rPr/>
        <w:t>换算后人民币再升值百分之五，美元模块人民币值在其他不变下约降百分之五，中国收入模块不直接受同额影响。此计算与真实汇兑损益不同，真实损益还包括已收美元现金和支出。若一年基准股数在其他不变下多百分之十，目标</w:t>
      </w:r>
      <w:r>
        <w:rPr/>
        <w:t>47.29</w:t>
      </w:r>
      <w:r>
        <w:rPr/>
        <w:t>元约降至</w:t>
      </w:r>
      <w:r>
        <w:rPr/>
        <w:t>42.99</w:t>
      </w:r>
      <w:r>
        <w:rPr/>
        <w:t>元；净现金少十亿元，在</w:t>
      </w:r>
      <w:r>
        <w:rPr/>
        <w:t>4.95</w:t>
      </w:r>
      <w:r>
        <w:rPr/>
        <w:t>亿股分母下约降</w:t>
      </w:r>
      <w:r>
        <w:rPr/>
        <w:t>2.02</w:t>
      </w:r>
      <w:r>
        <w:rPr/>
        <w:t>元。融资与费用即使没有临床失败也能影响每股回报，必须单列。</w:t>
      </w:r>
    </w:p>
    <w:p>
      <w:pPr>
        <w:pStyle w:val="Normal"/>
        <w:rPr/>
      </w:pPr>
      <w:r>
        <w:rPr/>
        <w:t>折现率与成功率同时变化容易重复计风险，主模型用三场景是便于压力比较，未宣称独立概率分布。若未来从</w:t>
      </w:r>
      <w:r>
        <w:rPr/>
        <w:t>12.5%</w:t>
      </w:r>
      <w:r>
        <w:rPr/>
        <w:t>降至</w:t>
      </w:r>
      <w:r>
        <w:rPr/>
        <w:t>10.5%</w:t>
      </w:r>
      <w:r>
        <w:rPr/>
        <w:t>，远期现金现值提高，但市场利率不是唯一依据，项目风险和股权要求也需要考虑。峰值临床资产的尾部保护期同样重要，模型</w:t>
      </w:r>
      <w:r>
        <w:rPr/>
        <w:t>2045</w:t>
      </w:r>
      <w:r>
        <w:rPr/>
        <w:t>前衰减而终值为零，未将永续增长套药物专利资产。若某药实际专利更短，后段现金应移除；真实知识产权核验是下一步重要工作。</w:t>
      </w:r>
    </w:p>
    <w:p>
      <w:pPr>
        <w:pStyle w:val="Heading2"/>
        <w:rPr/>
      </w:pPr>
      <w:r>
        <w:rPr>
          <w:color w:val="000000"/>
        </w:rPr>
        <w:t>年底期望 四期限排序与反证更新</w:t>
      </w:r>
    </w:p>
    <w:p>
      <w:pPr>
        <w:pStyle w:val="Normal"/>
        <w:rPr/>
      </w:pPr>
      <w:r>
        <w:rPr/>
        <w:t>年底悲观</w:t>
      </w:r>
      <w:r>
        <w:rPr/>
        <w:t>5.33</w:t>
      </w:r>
      <w:r>
        <w:rPr/>
        <w:t>元、基准</w:t>
      </w:r>
      <w:r>
        <w:rPr/>
        <w:t>40.38</w:t>
      </w:r>
      <w:r>
        <w:rPr/>
        <w:t>、乐观</w:t>
      </w:r>
      <w:r>
        <w:rPr/>
        <w:t>176.30</w:t>
      </w:r>
      <w:r>
        <w:rPr/>
        <w:t>，相对</w:t>
      </w:r>
      <w:r>
        <w:rPr/>
        <w:t>59.95</w:t>
      </w:r>
      <w:r>
        <w:rPr/>
        <w:t>元分别负</w:t>
      </w:r>
      <w:r>
        <w:rPr/>
        <w:t>91.11%</w:t>
      </w:r>
      <w:r>
        <w:rPr/>
        <w:t>、负</w:t>
      </w:r>
      <w:r>
        <w:rPr/>
        <w:t>32.64%</w:t>
      </w:r>
      <w:r>
        <w:rPr/>
        <w:t>、正</w:t>
      </w:r>
      <w:r>
        <w:rPr/>
        <w:t>194.08%</w:t>
      </w:r>
      <w:r>
        <w:rPr/>
        <w:t>。这种大范围来自管线现金模型而非历史波动标准差，不能称为统计置信区间。年底实际市场可能不愿按悲观长期资产价值即时定价，也可能提前反映更多乐观，因此该范围只用于压力与假设比较。年底专项需随着美国上市和审评数据更新，不能直接拿机构十二个月目标按月份缩放。</w:t>
      </w:r>
    </w:p>
    <w:p>
      <w:pPr>
        <w:pStyle w:val="Normal"/>
        <w:rPr/>
      </w:pPr>
      <w:r>
        <w:rPr/>
        <w:t>默认</w:t>
      </w:r>
      <w:r>
        <w:rPr/>
        <w:t>25%/50%/25%</w:t>
      </w:r>
      <w:r>
        <w:rPr/>
        <w:t>期望</w:t>
      </w:r>
      <w:r>
        <w:rPr/>
        <w:t>65.60</w:t>
      </w:r>
      <w:r>
        <w:rPr/>
        <w:t>元约正</w:t>
      </w:r>
      <w:r>
        <w:rPr/>
        <w:t>9.42%</w:t>
      </w:r>
      <w:r>
        <w:rPr/>
        <w:t>，四分之一乐观的高价让数学期望明显高于基准。保守</w:t>
      </w:r>
      <w:r>
        <w:rPr/>
        <w:t>40%/50%/10%</w:t>
      </w:r>
      <w:r>
        <w:rPr/>
        <w:t>约</w:t>
      </w:r>
      <w:r>
        <w:rPr/>
        <w:t>39.95</w:t>
      </w:r>
      <w:r>
        <w:rPr/>
        <w:t>元，较现价负</w:t>
      </w:r>
      <w:r>
        <w:rPr/>
        <w:t>33.36%</w:t>
      </w:r>
      <w:r>
        <w:rPr/>
        <w:t>；积极</w:t>
      </w:r>
      <w:r>
        <w:rPr/>
        <w:t>10%/50%/40%</w:t>
      </w:r>
      <w:r>
        <w:rPr/>
        <w:t>约</w:t>
      </w:r>
      <w:r>
        <w:rPr/>
        <w:t>91.24</w:t>
      </w:r>
      <w:r>
        <w:rPr/>
        <w:t>元、正</w:t>
      </w:r>
      <w:r>
        <w:rPr/>
        <w:t>52.20%</w:t>
      </w:r>
      <w:r>
        <w:rPr/>
        <w:t>。相同价格改变权重就产生相反决策方向，说明研究应展示权重敏感性。本章不以统一权重作个人精确风险偏好判断，排序仍结合基准收益、悲观损失和临床质量，故未将正年底期望自动赋最高估值分。</w:t>
      </w:r>
    </w:p>
    <w:p>
      <w:pPr>
        <w:pStyle w:val="Normal"/>
        <w:rPr/>
      </w:pPr>
      <w:r>
        <w:rPr/>
        <w:t>半年维度估值</w:t>
      </w:r>
      <w:r>
        <w:rPr/>
        <w:t>1.2</w:t>
      </w:r>
      <w:r>
        <w:rPr/>
        <w:t>、技术</w:t>
      </w:r>
      <w:r>
        <w:rPr/>
        <w:t>3.5</w:t>
      </w:r>
      <w:r>
        <w:rPr/>
        <w:t>、增长</w:t>
      </w:r>
      <w:r>
        <w:rPr/>
        <w:t>4.1</w:t>
      </w:r>
      <w:r>
        <w:rPr/>
        <w:t>、行业</w:t>
      </w:r>
      <w:r>
        <w:rPr/>
        <w:t>4.5</w:t>
      </w:r>
      <w:r>
        <w:rPr/>
        <w:t>、催化</w:t>
      </w:r>
      <w:r>
        <w:rPr/>
        <w:t>4.5</w:t>
      </w:r>
      <w:r>
        <w:rPr/>
        <w:t>、风险</w:t>
      </w:r>
      <w:r>
        <w:rPr/>
        <w:t>3.0</w:t>
      </w:r>
      <w:r>
        <w:rPr/>
        <w:t>，各</w:t>
      </w:r>
      <w:r>
        <w:rPr/>
        <w:t>0</w:t>
      </w:r>
      <w:r>
        <w:rPr/>
        <w:t>至</w:t>
      </w:r>
      <w:r>
        <w:rPr/>
        <w:t>5</w:t>
      </w:r>
      <w:r>
        <w:rPr/>
        <w:t>按</w:t>
      </w:r>
      <w:r>
        <w:rPr/>
        <w:t>25/30/15/10/10/10</w:t>
      </w:r>
      <w:r>
        <w:rPr/>
        <w:t>权重得到</w:t>
      </w:r>
      <w:r>
        <w:rPr/>
        <w:t>63.3</w:t>
      </w:r>
      <w:r>
        <w:rPr/>
        <w:t>分。一年估值</w:t>
      </w:r>
      <w:r>
        <w:rPr/>
        <w:t>1.5</w:t>
      </w:r>
      <w:r>
        <w:rPr/>
        <w:t>、技术</w:t>
      </w:r>
      <w:r>
        <w:rPr/>
        <w:t>3.5</w:t>
      </w:r>
      <w:r>
        <w:rPr/>
        <w:t>、增长</w:t>
      </w:r>
      <w:r>
        <w:rPr/>
        <w:t>4.2</w:t>
      </w:r>
      <w:r>
        <w:rPr/>
        <w:t>、行业</w:t>
      </w:r>
      <w:r>
        <w:rPr/>
        <w:t>4.5</w:t>
      </w:r>
      <w:r>
        <w:rPr/>
        <w:t>、催化</w:t>
      </w:r>
      <w:r>
        <w:rPr/>
        <w:t>4.4</w:t>
      </w:r>
      <w:r>
        <w:rPr/>
        <w:t>、风险</w:t>
      </w:r>
      <w:r>
        <w:rPr/>
        <w:t>3.0</w:t>
      </w:r>
      <w:r>
        <w:rPr/>
        <w:t>得到</w:t>
      </w:r>
      <w:r>
        <w:rPr/>
        <w:t>67.3</w:t>
      </w:r>
      <w:r>
        <w:rPr/>
        <w:t>。三年与五年总分</w:t>
      </w:r>
      <w:r>
        <w:rPr/>
        <w:t>73.6</w:t>
      </w:r>
      <w:r>
        <w:rPr/>
        <w:t>、</w:t>
      </w:r>
      <w:r>
        <w:rPr/>
        <w:t>74.9</w:t>
      </w:r>
      <w:r>
        <w:rPr/>
        <w:t>，技术权重逐渐低和增长重要性提高，但风险和估值限制保留。差小于</w:t>
      </w:r>
      <w:r>
        <w:rPr/>
        <w:t>3</w:t>
      </w:r>
      <w:r>
        <w:rPr/>
        <w:t>分的全名单组别统一由总表计算，正文不自行创造不同梯队规则。</w:t>
      </w:r>
    </w:p>
    <w:p>
      <w:pPr>
        <w:pStyle w:val="Normal"/>
        <w:rPr/>
      </w:pPr>
      <w:r>
        <w:rPr/>
        <w:t>半年重点催化是美国二后线实际商业化、初期销售或版税信息、国际和中国一线审评推进、三季度首付款会计处理及现金更新。</w:t>
      </w:r>
      <w:r>
        <w:rPr/>
        <w:t>2027</w:t>
      </w:r>
      <w:r>
        <w:rPr/>
        <w:t>年四月九日是否已披露完整年度报告需按真实发布时间确认，本章不假设届时一定有</w:t>
      </w:r>
      <w:r>
        <w:rPr/>
        <w:t>2026</w:t>
      </w:r>
      <w:r>
        <w:rPr/>
        <w:t>审计附注。首次大额授权收入可能引起</w:t>
      </w:r>
      <w:r>
        <w:rPr/>
        <w:t>PE</w:t>
      </w:r>
      <w:r>
        <w:rPr/>
        <w:t>视觉变化，应继续剔除一次性因素解释经营。如果只有一次利润暴增而经常现金回款和管线证据没有提高，应保持审慎结论。</w:t>
      </w:r>
    </w:p>
    <w:p>
      <w:pPr>
        <w:pStyle w:val="Normal"/>
        <w:rPr/>
      </w:pPr>
      <w:r>
        <w:rPr/>
        <w:t>一年可获得更成熟商业化数据和新一期中报，关键是授权后收入结构与费用重组、净现金、产品真实使用和试验进展。若美国一线申请受阻，部分价值应减少但已批后线不必全归零；若合作方推广低于计划，销售曲线下调；若比瑞替尼三期出现可靠积极结果，可单独提高该模块证据与价值。不同变化的影响范围不同，不能因一项不利消息把所有资产全否定，也不能因一项突破统一上调全部成功率。</w:t>
      </w:r>
    </w:p>
    <w:p>
      <w:pPr>
        <w:pStyle w:val="Normal"/>
        <w:rPr/>
      </w:pPr>
      <w:r>
        <w:rPr/>
        <w:t>三年价值能否高于现价，依赖至少部分下一代管线进入更可预测阶段、全球资产的资金与执行计划清晰、单次授权所得没有全部消耗于低回报扩张。模型基准年化仅</w:t>
      </w:r>
      <w:r>
        <w:rPr/>
        <w:t>5.47%</w:t>
      </w:r>
      <w:r>
        <w:rPr/>
        <w:t>，并没有按进取型要求给出特别诱人的核心收益，因此</w:t>
      </w:r>
      <w:r>
        <w:rPr/>
        <w:t>73.6</w:t>
      </w:r>
      <w:r>
        <w:rPr/>
        <w:t>分更多表示商业研究优先度和条件改善。若别的公司有更好基准回报、较小悲观损失与相当增长质量，排序应优先其他公司，不能把科学创新能力直接等同股票收益排序。</w:t>
      </w:r>
    </w:p>
    <w:p>
      <w:pPr>
        <w:pStyle w:val="Normal"/>
        <w:rPr/>
      </w:pPr>
      <w:r>
        <w:rPr/>
        <w:t>五年模型基准需假设更多管线推进、较高全球销售和适度现金积累，但它们仍是有条件场景。若</w:t>
      </w:r>
      <w:r>
        <w:rPr/>
        <w:t>2030</w:t>
      </w:r>
      <w:r>
        <w:rPr/>
        <w:t>年前多项关键项目没有成熟随机证据或临床延期，五年不能继续照表把概率提高。新药生命周期、竞品技术和支付变化都会重新定义峰值。已批产品逐步衰减，下一代资产能否接续决定长期价值，公司不宜永远以某个</w:t>
      </w:r>
      <w:r>
        <w:rPr/>
        <w:t>2026</w:t>
      </w:r>
      <w:r>
        <w:rPr/>
        <w:t>年授权新闻维持高估值。模型现金日期超过目标日的筛选已核，过去里程碑不会再次加入未来现值。</w:t>
      </w:r>
    </w:p>
    <w:p>
      <w:pPr>
        <w:pStyle w:val="Normal"/>
        <w:rPr/>
      </w:pPr>
      <w:r>
        <w:rPr/>
        <w:t>十年展望不提供未经核验</w:t>
      </w:r>
      <w:r>
        <w:rPr/>
        <w:t>2036</w:t>
      </w:r>
      <w:r>
        <w:rPr/>
        <w:t>年股价。公司研发平台若能持续识别未满足需求、按推进或停止原则分配资源、完成临床验证并在自售与授权之间合理选择，可形成新的资产组合；若依赖少数成功且新项目回报低，则首付款会逐步被消耗。研发型公司十年股东回报由成功、价格、稀释与分配一起决定，而不是论文、专利或科学口号数量。未来需要观察每笔研发资本带来的可持续现金收益。</w:t>
      </w:r>
    </w:p>
    <w:p>
      <w:pPr>
        <w:pStyle w:val="Normal"/>
        <w:rPr/>
      </w:pPr>
      <w:r>
        <w:rPr/>
        <w:t>足以推翻推荐的事实包括重大临床毒性、对照试验没有临床意义改善、审评问题使标签或上市机会显著缩小、真实净版税费率低于模型、全球销量长期不足、未披露重大权益限制、研发投入扩大却没有成熟资产、低价融资大幅稀释、关联决策损害少数股东回报。每条需来自公开原始证据，不能用谣言填补。信息冲突时先核来源日期和范围，再改变相关资产与风险分，保持总表、模型和正文同步。</w:t>
      </w:r>
    </w:p>
    <w:p>
      <w:pPr>
        <w:pStyle w:val="Normal"/>
        <w:rPr/>
      </w:pPr>
      <w:r>
        <w:rPr/>
        <w:t>本章最终给出的判断是现金改善和随机证据值得关注，现价仍需要多管线成功。半年与一年基准负回报、广泛乐观尾部和极宽悲观范围，使其不适合作为进取型榜单最优先核心标的；长期可以列研究和有条件候选，但需要新的临床与商业证据提高基准安全边际。所有模型输入公开保存在同源文件，数据缺口明确留空，后续更新不会把研究假设伪装成公司指引或外资目标。</w:t>
      </w:r>
    </w:p>
    <w:p>
      <w:pPr>
        <w:pStyle w:val="Heading2"/>
        <w:rPr/>
      </w:pPr>
      <w:r>
        <w:rPr>
          <w:color w:val="000000"/>
        </w:rPr>
        <w:t>来源与核验记录</w:t>
      </w:r>
    </w:p>
    <w:p>
      <w:pPr>
        <w:pStyle w:val="Normal"/>
        <w:rPr/>
      </w:pPr>
      <w:r>
        <w:rPr/>
        <w:t>1. [2026</w:t>
      </w:r>
      <w:r>
        <w:rPr/>
        <w:t>半年原报告，</w:t>
      </w:r>
      <w:r>
        <w:rPr/>
        <w:t>2026-08-21](https://static.cninfo.com.cn/finalpage/2026-08-21/1225486626.PDF)</w:t>
      </w:r>
      <w:r>
        <w:rPr/>
        <w:t>，</w:t>
      </w:r>
      <w:r>
        <w:rPr/>
        <w:t>166</w:t>
      </w:r>
      <w:r>
        <w:rPr/>
        <w:t>页，主要财务</w:t>
      </w:r>
      <w:r>
        <w:rPr/>
        <w:t>9—11</w:t>
      </w:r>
      <w:r>
        <w:rPr/>
        <w:t>、业务与临床</w:t>
      </w:r>
      <w:r>
        <w:rPr/>
        <w:t>12—18</w:t>
      </w:r>
      <w:r>
        <w:rPr/>
        <w:t>、风险</w:t>
      </w:r>
      <w:r>
        <w:rPr/>
        <w:t>19—24</w:t>
      </w:r>
      <w:r>
        <w:rPr/>
        <w:t>、资产负债</w:t>
      </w:r>
      <w:r>
        <w:rPr/>
        <w:t>51—53</w:t>
      </w:r>
      <w:r>
        <w:rPr/>
        <w:t>、利润</w:t>
      </w:r>
      <w:r>
        <w:rPr/>
        <w:t>55—57</w:t>
      </w:r>
      <w:r>
        <w:rPr/>
        <w:t>、现金</w:t>
      </w:r>
      <w:r>
        <w:rPr/>
        <w:t>59—60</w:t>
      </w:r>
      <w:r>
        <w:rPr/>
        <w:t>、资金</w:t>
      </w:r>
      <w:r>
        <w:rPr/>
        <w:t>95</w:t>
      </w:r>
      <w:r>
        <w:rPr/>
        <w:t>、借款</w:t>
      </w:r>
      <w:r>
        <w:rPr/>
        <w:t>121—123</w:t>
      </w:r>
      <w:r>
        <w:rPr/>
        <w:t>、收入</w:t>
      </w:r>
      <w:r>
        <w:rPr/>
        <w:t>127</w:t>
      </w:r>
      <w:r>
        <w:rPr/>
        <w:t>、现金桥</w:t>
      </w:r>
      <w:r>
        <w:rPr/>
        <w:t>133—134</w:t>
      </w:r>
      <w:r>
        <w:rPr/>
        <w:t>；元除一百万。</w:t>
      </w:r>
    </w:p>
    <w:p>
      <w:pPr>
        <w:pStyle w:val="Normal"/>
        <w:rPr/>
      </w:pPr>
      <w:r>
        <w:rPr/>
        <w:t>2. [2025</w:t>
      </w:r>
      <w:r>
        <w:rPr/>
        <w:t>年度原报告，</w:t>
      </w:r>
      <w:r>
        <w:rPr/>
        <w:t>2026-03-31](https://static.cninfo.com.cn/finalpage/2026-03-31/1225059129.PDF)</w:t>
      </w:r>
      <w:r>
        <w:rPr/>
        <w:t>，</w:t>
      </w:r>
      <w:r>
        <w:rPr/>
        <w:t>230</w:t>
      </w:r>
      <w:r>
        <w:rPr/>
        <w:t>页，历史</w:t>
      </w:r>
      <w:r>
        <w:rPr/>
        <w:t>9—12</w:t>
      </w:r>
      <w:r>
        <w:rPr/>
        <w:t>、临床</w:t>
      </w:r>
      <w:r>
        <w:rPr/>
        <w:t>16—20</w:t>
      </w:r>
      <w:r>
        <w:rPr/>
        <w:t>、研发</w:t>
      </w:r>
      <w:r>
        <w:rPr/>
        <w:t>26</w:t>
      </w:r>
      <w:r>
        <w:rPr/>
        <w:t>、现金财务</w:t>
      </w:r>
      <w:r>
        <w:rPr/>
        <w:t>119</w:t>
      </w:r>
      <w:r>
        <w:rPr/>
        <w:t>后。</w:t>
      </w:r>
    </w:p>
    <w:p>
      <w:pPr>
        <w:pStyle w:val="Normal"/>
        <w:rPr/>
      </w:pPr>
      <w:r>
        <w:rPr/>
        <w:t>3. [</w:t>
      </w:r>
      <w:r>
        <w:rPr/>
        <w:t>全球授权暨关联交易，</w:t>
      </w:r>
      <w:r>
        <w:rPr/>
        <w:t>2026-07-14](https://static.cninfo.com.cn/finalpage/2026-07-14/1225422717.PDF)</w:t>
      </w:r>
      <w:r>
        <w:rPr/>
        <w:t>，</w:t>
      </w:r>
      <w:r>
        <w:rPr/>
        <w:t>6</w:t>
      </w:r>
      <w:r>
        <w:rPr/>
        <w:t>页，全球权益、六亿首付、四亿开发及五亿销售上限、阶梯费率表述、过渡服务和关联关系。</w:t>
      </w:r>
    </w:p>
    <w:p>
      <w:pPr>
        <w:pStyle w:val="Normal"/>
        <w:rPr/>
      </w:pPr>
      <w:r>
        <w:rPr/>
        <w:t>4. [</w:t>
      </w:r>
      <w:r>
        <w:rPr/>
        <w:t>生效公告，</w:t>
      </w:r>
      <w:r>
        <w:rPr/>
        <w:t>2026-09-01</w:t>
      </w:r>
      <w:r>
        <w:rPr/>
        <w:t>刊载</w:t>
      </w:r>
      <w:r>
        <w:rPr/>
        <w:t>](https://static.cninfo.com.cn/finalpage/2026-09-01/1225539616.PDF)</w:t>
      </w:r>
      <w:r>
        <w:rPr/>
        <w:t>，</w:t>
      </w:r>
      <w:r>
        <w:rPr/>
        <w:t>2</w:t>
      </w:r>
      <w:r>
        <w:rPr/>
        <w:t>页，协议</w:t>
      </w:r>
      <w:r>
        <w:rPr/>
        <w:t>8/31</w:t>
      </w:r>
      <w:r>
        <w:rPr/>
        <w:t>生效，公告落款</w:t>
      </w:r>
      <w:r>
        <w:rPr/>
        <w:t>9/1</w:t>
      </w:r>
      <w:r>
        <w:rPr/>
        <w:t>；美元金额不冒称</w:t>
      </w:r>
      <w:r>
        <w:rPr/>
        <w:t>CNY</w:t>
      </w:r>
      <w:r>
        <w:rPr/>
        <w:t>实际收款。</w:t>
      </w:r>
    </w:p>
    <w:p>
      <w:pPr>
        <w:pStyle w:val="Normal"/>
        <w:rPr/>
      </w:pPr>
      <w:r>
        <w:rPr/>
        <w:t>5. [</w:t>
      </w:r>
      <w:r>
        <w:rPr/>
        <w:t>收到六亿美元，</w:t>
      </w:r>
      <w:r>
        <w:rPr/>
        <w:t>2026-09-30](https://static.cninfo.com.cn/finalpage/2026-09-30/1225587784.PDF)</w:t>
      </w:r>
      <w:r>
        <w:rPr/>
        <w:t>，</w:t>
      </w:r>
      <w:r>
        <w:rPr/>
        <w:t>2</w:t>
      </w:r>
      <w:r>
        <w:rPr/>
        <w:t>页，已收事实与审计会计待定分开；</w:t>
      </w:r>
      <w:r>
        <w:rPr/>
        <w:t>Q4</w:t>
      </w:r>
      <w:r>
        <w:rPr/>
        <w:t>美国商业化为计划。</w:t>
      </w:r>
    </w:p>
    <w:p>
      <w:pPr>
        <w:pStyle w:val="Normal"/>
        <w:rPr/>
      </w:pPr>
      <w:r>
        <w:rPr/>
        <w:t>6. [FDA</w:t>
      </w:r>
      <w:r>
        <w:rPr/>
        <w:t>受理一线</w:t>
      </w:r>
      <w:r>
        <w:rPr/>
        <w:t>sNDA</w:t>
      </w:r>
      <w:r>
        <w:rPr/>
        <w:t>，</w:t>
      </w:r>
      <w:r>
        <w:rPr/>
        <w:t>2026-08-31](https://static.cninfo.com.cn/finalpage/2026-08-31/1225534972.PDF)</w:t>
      </w:r>
      <w:r>
        <w:rPr/>
        <w:t>，</w:t>
      </w:r>
      <w:r>
        <w:rPr/>
        <w:t>2</w:t>
      </w:r>
      <w:r>
        <w:rPr/>
        <w:t>页，受理不等批准；原临床论文及监管标签全核仍缺。</w:t>
      </w:r>
    </w:p>
    <w:p>
      <w:pPr>
        <w:pStyle w:val="Normal"/>
        <w:rPr/>
      </w:pPr>
      <w:r>
        <w:rPr/>
        <w:t>7. [H</w:t>
      </w:r>
      <w:r>
        <w:rPr/>
        <w:t>股重新递表，</w:t>
      </w:r>
      <w:r>
        <w:rPr/>
        <w:t>2026-08-28](https://static.cninfo.com.cn/finalpage/2026-08-28/1225523550.PDF)</w:t>
      </w:r>
      <w:r>
        <w:rPr/>
        <w:t>，</w:t>
      </w:r>
      <w:r>
        <w:rPr/>
        <w:t>2</w:t>
      </w:r>
      <w:r>
        <w:rPr/>
        <w:t>页，申请</w:t>
      </w:r>
      <w:r>
        <w:rPr/>
        <w:t>8/27</w:t>
      </w:r>
      <w:r>
        <w:rPr/>
        <w:t>，提供</w:t>
      </w:r>
      <w:r>
        <w:rPr/>
        <w:t>[</w:t>
      </w:r>
      <w:r>
        <w:rPr/>
        <w:t>港交所草案中文</w:t>
      </w:r>
      <w:r>
        <w:rPr/>
        <w:t>](https://www1.hkexnews.hk/app/sehk/2026/108823/documents/sehk26082702221_c.pdf)</w:t>
      </w:r>
      <w:r>
        <w:rPr/>
        <w:t>；本轮未完成全文核验，未当已上市事实。</w:t>
      </w:r>
    </w:p>
    <w:p>
      <w:pPr>
        <w:pStyle w:val="Normal"/>
        <w:rPr/>
      </w:pPr>
      <w:r>
        <w:rPr/>
        <w:t>8. [</w:t>
      </w:r>
      <w:r>
        <w:rPr/>
        <w:t>比瑞替尼二期论文结果公司公告，</w:t>
      </w:r>
      <w:r>
        <w:rPr/>
        <w:t>2026-09-10](https://static.cninfo.com.cn/finalpage/2026-09-10/1225554898.PDF)</w:t>
      </w:r>
      <w:r>
        <w:rPr/>
        <w:t>，</w:t>
      </w:r>
      <w:r>
        <w:rPr/>
        <w:t>2</w:t>
      </w:r>
      <w:r>
        <w:rPr/>
        <w:t>页；原论文尚待样本、置信区间与随访复核。</w:t>
      </w:r>
    </w:p>
    <w:p>
      <w:pPr>
        <w:pStyle w:val="Normal"/>
        <w:rPr/>
      </w:pPr>
      <w:r>
        <w:rPr/>
        <w:t>9. [</w:t>
      </w:r>
      <w:r>
        <w:rPr/>
        <w:t>董高减持计划，</w:t>
      </w:r>
      <w:r>
        <w:rPr/>
        <w:t>2026-09-04](https://static.cninfo.com.cn/finalpage/2026-09-04/1225546979.PDF)</w:t>
      </w:r>
      <w:r>
        <w:rPr/>
        <w:t>，</w:t>
      </w:r>
      <w:r>
        <w:rPr/>
        <w:t>5</w:t>
      </w:r>
      <w:r>
        <w:rPr/>
        <w:t>页，</w:t>
      </w:r>
      <w:r>
        <w:rPr/>
        <w:t>9/29—12/28</w:t>
      </w:r>
      <w:r>
        <w:rPr/>
        <w:t>窗口；</w:t>
      </w:r>
      <w:r>
        <w:rPr/>
        <w:t>[</w:t>
      </w:r>
      <w:r>
        <w:rPr/>
        <w:t>另一批高管计划，</w:t>
      </w:r>
      <w:r>
        <w:rPr/>
        <w:t>2026-09-25](https://static.cninfo.com.cn/finalpage/2026-09-25/1225582612.PDF)</w:t>
      </w:r>
      <w:r>
        <w:rPr/>
        <w:t>，</w:t>
      </w:r>
      <w:r>
        <w:rPr/>
        <w:t>6</w:t>
      </w:r>
      <w:r>
        <w:rPr/>
        <w:t>页，</w:t>
      </w:r>
      <w:r>
        <w:rPr/>
        <w:t>11/2—</w:t>
      </w:r>
      <w:r>
        <w:rPr/>
        <w:t>次年</w:t>
      </w:r>
      <w:r>
        <w:rPr/>
        <w:t>2/1</w:t>
      </w:r>
      <w:r>
        <w:rPr/>
        <w:t>，计划不是已成交。</w:t>
      </w:r>
    </w:p>
    <w:p>
      <w:pPr>
        <w:pStyle w:val="Normal"/>
        <w:rPr/>
      </w:pPr>
      <w:r>
        <w:rPr/>
        <w:t xml:space="preserve">10. </w:t>
      </w:r>
      <w:r>
        <w:rPr/>
        <w:t>行情锁版</w:t>
      </w:r>
      <w:r>
        <w:rPr/>
        <w:t>market-v1.4</w:t>
      </w:r>
      <w:r>
        <w:rPr/>
        <w:t>中的</w:t>
      </w:r>
      <w:r>
        <w:rPr/>
        <w:t>S003</w:t>
      </w:r>
      <w:r>
        <w:rPr/>
        <w:t>，原源</w:t>
      </w:r>
      <w:r>
        <w:rPr/>
        <w:t>URL</w:t>
      </w:r>
      <w:r>
        <w:rPr/>
        <w:t>、抓取时间、成交股单位和双源核验；</w:t>
      </w:r>
      <w:r>
        <w:rPr/>
        <w:t>data/history/S003.json</w:t>
      </w:r>
      <w:r>
        <w:rPr/>
        <w:t>。模型</w:t>
      </w:r>
      <w:r>
        <w:rPr/>
        <w:t>tools/dizal_model.mjs</w:t>
      </w:r>
      <w:r>
        <w:rPr/>
        <w:t>、</w:t>
      </w:r>
      <w:r>
        <w:rPr/>
        <w:t>data/dizal_model.json</w:t>
      </w:r>
      <w:r>
        <w:rPr/>
        <w:t>和</w:t>
      </w:r>
      <w:r>
        <w:rPr/>
        <w:t>qa/dizal_qa.json</w:t>
      </w:r>
      <w:r>
        <w:rPr/>
        <w:t>。</w:t>
      </w:r>
    </w:p>
    <w:p>
      <w:pPr>
        <w:pStyle w:val="Normal"/>
        <w:rPr/>
      </w:pPr>
      <w:r>
        <w:rPr/>
        <w:t>未完成项：完整分档许可费率及里程碑合同、过渡服务利润、临床原论文及监管标签、各适应症患者迁移与竞品交叉模型、全部分子亚型独立</w:t>
      </w:r>
      <w:r>
        <w:rPr/>
        <w:t>rNPV</w:t>
      </w:r>
      <w:r>
        <w:rPr/>
        <w:t>、地区专利与</w:t>
      </w:r>
      <w:r>
        <w:rPr/>
        <w:t>FTO</w:t>
      </w:r>
      <w:r>
        <w:rPr/>
        <w:t>、</w:t>
      </w:r>
      <w:r>
        <w:rPr/>
        <w:t>H</w:t>
      </w:r>
      <w:r>
        <w:rPr/>
        <w:t>股发行及三表现金联动、公开可核验外资机构目标价、</w:t>
      </w:r>
      <w:r>
        <w:rPr/>
        <w:t>A</w:t>
      </w:r>
      <w:r>
        <w:rPr/>
        <w:t>股创新药细分指数。缺失不造数据，字数和模型核算通过不代表完整研究验收已全部完成。</w:t>
      </w:r>
      <w:r>
        <w:br w:type="page"/>
      </w:r>
    </w:p>
    <w:p>
      <w:pPr>
        <w:pStyle w:val="Heading1"/>
        <w:rPr/>
      </w:pPr>
      <w:bookmarkStart w:id="2" w:name="__RefHeading___Toc37107_312338234"/>
      <w:bookmarkEnd w:id="2"/>
      <w:r>
        <w:rPr>
          <w:color w:val="000000"/>
        </w:rPr>
        <w:t xml:space="preserve">比亚迪电子 </w:t>
      </w:r>
      <w:r>
        <w:rPr>
          <w:color w:val="000000"/>
        </w:rPr>
        <w:t>00285 HK</w:t>
      </w:r>
    </w:p>
    <w:p>
      <w:pPr>
        <w:pStyle w:val="Normal"/>
        <w:rPr/>
      </w:pPr>
      <w:r>
        <w:rPr/>
        <w:t xml:space="preserve">00285.HK </w:t>
      </w:r>
      <w:r>
        <w:rPr/>
        <w:t xml:space="preserve">现价 </w:t>
      </w:r>
      <w:r>
        <w:rPr/>
        <w:t>23.16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37.05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+59.98%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+59.98%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42.67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+84.23%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+85.60%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57.33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+147.55%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+153.81%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68.74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+196.79%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+210.37%</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-52.36%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28.57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+23.36%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40.54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27.18HKD</w:t>
      </w:r>
      <w:r>
        <w:rPr/>
        <w:t>，期望股价回报</w:t>
      </w:r>
      <w:r>
        <w:rPr/>
        <w:t>+17.35%</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2.82</w:t>
              <w:br/>
              <w:t>-87.81%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37.05</w:t>
              <w:br/>
              <w:t>+59.98%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80.24</w:t>
              <w:br/>
              <w:t>+246.46%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2.59</w:t>
              <w:br/>
              <w:t>-88.82%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42.67</w:t>
              <w:br/>
              <w:t>+84.23%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98.03</w:t>
              <w:br/>
              <w:t>+323.27%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0.51</w:t>
              <w:br/>
              <w:t>-97.79%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57.33</w:t>
              <w:br/>
              <w:t>+147.55%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165.98</w:t>
              <w:br/>
              <w:t>+616.68%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+36.41%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68.74</w:t>
              <w:br/>
              <w:t>+196.79%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234.34</w:t>
              <w:br/>
              <w:t>+911.85%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+25.42%</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中；现价与三年量价双源高、财报高、细分毛利和</w:t>
            </w:r>
            <w:r>
              <w:rPr>
                <w:rFonts w:eastAsia="微软雅黑" w:ascii="微软雅黑" w:hAnsi="微软雅黑"/>
                <w:sz w:val="17"/>
              </w:rPr>
              <w:t>AI</w:t>
            </w:r>
            <w:r>
              <w:rPr>
                <w:rFonts w:ascii="微软雅黑" w:hAnsi="微软雅黑" w:eastAsia="微软雅黑"/>
                <w:sz w:val="17"/>
              </w:rPr>
              <w:t>未来兑现中低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+67.98%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+76.32%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+85.60%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+94.88%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+141.12%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+153.81%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+166.50%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+194.85%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+210.37%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+225.89%</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I081</w:t>
      </w:r>
      <w:r>
        <w:rPr/>
        <w:t>，证券</w:t>
      </w:r>
      <w:r>
        <w:rPr/>
        <w:t>S092</w:t>
      </w:r>
      <w:r>
        <w:rPr/>
        <w:t>，代码</w:t>
      </w:r>
      <w:r>
        <w:rPr/>
        <w:t>00285.HK</w:t>
      </w:r>
      <w:r>
        <w:rPr/>
        <w:t>。行情及研究基准</w:t>
      </w:r>
      <w:r>
        <w:rPr/>
        <w:t>2026</w:t>
      </w:r>
      <w:r>
        <w:rPr/>
        <w:t>年</w:t>
      </w:r>
      <w:r>
        <w:rPr/>
        <w:t>10</w:t>
      </w:r>
      <w:r>
        <w:rPr/>
        <w:t>月</w:t>
      </w:r>
      <w:r>
        <w:rPr/>
        <w:t>9</w:t>
      </w:r>
      <w:r>
        <w:rPr/>
        <w:t>日，收盘</w:t>
      </w:r>
      <w:r>
        <w:rPr/>
        <w:t>23.16</w:t>
      </w:r>
      <w:r>
        <w:rPr/>
        <w:t>港元；模型</w:t>
      </w:r>
      <w:r>
        <w:rPr/>
        <w:t>byde-sixProduct-fullEconomic-profit-cash-v1.0</w:t>
      </w:r>
      <w:r>
        <w:rPr/>
        <w:t>，行情</w:t>
      </w:r>
      <w:r>
        <w:rPr/>
        <w:t>market-v1.6</w:t>
      </w:r>
      <w:r>
        <w:rPr/>
        <w:t>。独立初版，所有未来业务毛利、收入及分红为研究假设。</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232"/>
        <w:gridCol w:w="1232"/>
        <w:gridCol w:w="1232"/>
        <w:gridCol w:w="1232"/>
        <w:gridCol w:w="1232"/>
        <w:gridCol w:w="1232"/>
        <w:gridCol w:w="1232"/>
        <w:gridCol w:w="1232"/>
      </w:tblGrid>
      <w:tr>
        <w:trPr>
          <w:tblHeader w:val="true"/>
          <w:cantSplit/>
        </w:trPr>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分数</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建议梯队</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63.2</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有条件观察</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2.8223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37.0514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80.2412</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59.98%</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59.98%</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68.6</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进取型候选</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2.5894</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42.6668</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98.0295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84.23%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85.60%</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成长验证候选</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0.5118</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57.3318</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165.9840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147.55%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153.81%</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70.6</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成长验证候选</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0.0000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68.7365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234.3439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196.79%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210.37%</w:t>
            </w:r>
          </w:p>
        </w:tc>
      </w:tr>
    </w:tbl>
    <w:p>
      <w:pPr>
        <w:pStyle w:val="Normal"/>
        <w:rPr/>
      </w:pPr>
      <w:r>
        <w:rPr/>
      </w:r>
    </w:p>
    <w:p>
      <w:pPr>
        <w:pStyle w:val="Normal"/>
        <w:rPr/>
      </w:pPr>
      <w:r>
        <w:rPr/>
        <w:t>一年</w:t>
      </w:r>
      <w:r>
        <w:rPr/>
        <w:t>10</w:t>
      </w:r>
      <w:r>
        <w:rPr/>
        <w:t>月</w:t>
      </w:r>
      <w:r>
        <w:rPr/>
        <w:t>8</w:t>
      </w:r>
      <w:r>
        <w:rPr/>
        <w:t>日重阳节及</w:t>
      </w:r>
      <w:r>
        <w:rPr/>
        <w:t>10</w:t>
      </w:r>
      <w:r>
        <w:rPr/>
        <w:t>月</w:t>
      </w:r>
      <w:r>
        <w:rPr/>
        <w:t>9</w:t>
      </w:r>
      <w:r>
        <w:rPr/>
        <w:t>日周六休市，按此前最后交易日为</w:t>
      </w:r>
      <w:r>
        <w:rPr/>
        <w:t>10</w:t>
      </w:r>
      <w:r>
        <w:rPr/>
        <w:t>月</w:t>
      </w:r>
      <w:r>
        <w:rPr/>
        <w:t>7</w:t>
      </w:r>
      <w:r>
        <w:rPr/>
        <w:t>日；远期日历未公布，需更新。基准三年、五年总财富终值年化</w:t>
      </w:r>
      <w:r>
        <w:rPr/>
        <w:t>36.41%</w:t>
      </w:r>
      <w:r>
        <w:rPr/>
        <w:t>、</w:t>
      </w:r>
      <w:r>
        <w:rPr/>
        <w:t>25.42%</w:t>
      </w:r>
      <w:r>
        <w:rPr/>
        <w:t>。梯队为本章建议，全名单最终梯队按统一分差规则计算。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股价港元</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相对现价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11.0343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-52.36%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28.5694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23.36%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40.5396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年底期望价</w:t>
      </w:r>
      <w:r>
        <w:rPr/>
        <w:t>27.1782</w:t>
      </w:r>
      <w:r>
        <w:rPr/>
        <w:t>港元、判断加权回报</w:t>
      </w:r>
      <w:r>
        <w:rPr/>
        <w:t>17.35%</w:t>
      </w:r>
      <w:r>
        <w:rPr/>
        <w:t>；防守</w:t>
      </w:r>
      <w:r>
        <w:rPr/>
        <w:t>40/50/10</w:t>
      </w:r>
      <w:r>
        <w:rPr/>
        <w:t>权重对应</w:t>
      </w:r>
      <w:r>
        <w:rPr/>
        <w:t>22.7524</w:t>
      </w:r>
      <w:r>
        <w:rPr/>
        <w:t>港元，积极</w:t>
      </w:r>
      <w:r>
        <w:rPr/>
        <w:t>10/50/40</w:t>
      </w:r>
      <w:r>
        <w:rPr/>
        <w:t>对应</w:t>
      </w:r>
      <w:r>
        <w:rPr/>
        <w:t>31.6039</w:t>
      </w:r>
      <w:r>
        <w:rPr/>
        <w:t>港元。区间是经营及估值条件的研究情景，不是统计置信区间和最大亏损边界。</w:t>
      </w:r>
    </w:p>
    <w:p>
      <w:pPr>
        <w:pStyle w:val="Heading2"/>
        <w:rPr/>
      </w:pPr>
      <w:r>
        <w:rPr>
          <w:color w:val="000000"/>
        </w:rPr>
        <w:t>投资结论</w:t>
      </w:r>
    </w:p>
    <w:p>
      <w:pPr>
        <w:pStyle w:val="Normal"/>
        <w:rPr/>
      </w:pPr>
      <w:r>
        <w:rPr/>
        <w:t>比亚迪电子适合研究利润修复与新业务兑现带来的弹性，但截至基准日，其经营证据不足以支持无条件高排序。上半年收入</w:t>
      </w:r>
      <w:r>
        <w:rPr/>
        <w:t>822.34</w:t>
      </w:r>
      <w:r>
        <w:rPr/>
        <w:t>亿元增加</w:t>
      </w:r>
      <w:r>
        <w:rPr/>
        <w:t>2.02%</w:t>
      </w:r>
      <w:r>
        <w:rPr/>
        <w:t>，归母利润只有</w:t>
      </w:r>
      <w:r>
        <w:rPr/>
        <w:t>4.263</w:t>
      </w:r>
      <w:r>
        <w:rPr/>
        <w:t>亿元，下降</w:t>
      </w:r>
      <w:r>
        <w:rPr/>
        <w:t>75.35%</w:t>
      </w:r>
      <w:r>
        <w:rPr/>
        <w:t>；毛利率降至</w:t>
      </w:r>
      <w:r>
        <w:rPr/>
        <w:t>4.91%</w:t>
      </w:r>
      <w:r>
        <w:rPr/>
        <w:t>。收入没有崩溃而利润大幅缩水，说明重点在产品结构、售价、利用率及汇兑，而非仅看总营收增长。当前价格可以对应明显修复空间，也可以对应多年利润失去增长，因此本章把极宽的上下情景与条件并列，不把进取标准理解为忽略反证。</w:t>
      </w:r>
    </w:p>
    <w:p>
      <w:pPr>
        <w:pStyle w:val="Normal"/>
        <w:rPr/>
      </w:pPr>
      <w:r>
        <w:rPr/>
        <w:t>最关键的半年催化是海外主要客户旺季、高价值结构件重新放量，以及液冷冷板从开发和量产爬坡进入实际出货。官方中报已经描述批量服务器及冷板项目进展，却同时披露</w:t>
      </w:r>
      <w:r>
        <w:rPr/>
        <w:t>AI</w:t>
      </w:r>
      <w:r>
        <w:rPr/>
        <w:t>基础设施上半年收入只有</w:t>
      </w:r>
      <w:r>
        <w:rPr/>
        <w:t>7.53</w:t>
      </w:r>
      <w:r>
        <w:rPr/>
        <w:t>亿元、同比下降</w:t>
      </w:r>
      <w:r>
        <w:rPr/>
        <w:t>10.57%</w:t>
      </w:r>
      <w:r>
        <w:rPr/>
        <w:t>。这两个信息须共同理解：新项目的能力进展尚未形成整体收入增长，认证通过不能代替客户采购、良率、利润和收款。基准目标明显高于现价，是对这些进展转成利润的条件估计，不是已签订单的现值。</w:t>
      </w:r>
    </w:p>
    <w:p>
      <w:pPr>
        <w:pStyle w:val="Normal"/>
        <w:rPr/>
      </w:pPr>
      <w:r>
        <w:rPr/>
        <w:t>三年至五年的机会是把材料、模具、自动化、汽车热管理和电源技术转用到更多高价值产品，减少低毛利组装对利润的稀释。公司不只生产单一手机金属中框，也不只装配</w:t>
      </w:r>
      <w:r>
        <w:rPr/>
        <w:t>AI</w:t>
      </w:r>
      <w:r>
        <w:rPr/>
        <w:t>服务器；这种平台能力提供业务迁移的选择。但上游技术能力与普通股东回报之间还隔着客户议价、研发投入、工厂折旧、资本开支及资金周转。长期得分仍低于非常确定的商业平台，因为公司要不断适应客户规格，而客户可以重新分配供应链份额。</w:t>
      </w:r>
    </w:p>
    <w:p>
      <w:pPr>
        <w:pStyle w:val="Normal"/>
        <w:rPr/>
      </w:pPr>
      <w:r>
        <w:rPr/>
        <w:t>一年</w:t>
      </w:r>
      <w:r>
        <w:rPr/>
        <w:t>68.6</w:t>
      </w:r>
      <w:r>
        <w:rPr/>
        <w:t>分高于半年</w:t>
      </w:r>
      <w:r>
        <w:rPr/>
        <w:t>63.2</w:t>
      </w:r>
      <w:r>
        <w:rPr/>
        <w:t>分，是因为一年更能观察组件恢复、汽车价值量和液冷产能兑现，技术权重也从</w:t>
      </w:r>
      <w:r>
        <w:rPr/>
        <w:t>30%</w:t>
      </w:r>
      <w:r>
        <w:rPr/>
        <w:t>降至</w:t>
      </w:r>
      <w:r>
        <w:rPr/>
        <w:t>15%</w:t>
      </w:r>
      <w:r>
        <w:rPr/>
        <w:t>。这不是断言一年一定赚钱；悲观一年目标约</w:t>
      </w:r>
      <w:r>
        <w:rPr/>
        <w:t>2.59</w:t>
      </w:r>
      <w:r>
        <w:rPr/>
        <w:t>港元揭示，在结构件利润长期低、汽车电子受到压价且</w:t>
      </w:r>
      <w:r>
        <w:rPr/>
        <w:t>AI</w:t>
      </w:r>
      <w:r>
        <w:rPr/>
        <w:t>无法填缺口时，盈利估值可能极低。基准一年含息</w:t>
      </w:r>
      <w:r>
        <w:rPr/>
        <w:t>85.60%</w:t>
      </w:r>
      <w:r>
        <w:rPr/>
        <w:t>依赖正常盈利回到较高水平，实际上半年利润与预测之间存在大距离，应将业绩核验置于涨幅想象之前。</w:t>
      </w:r>
    </w:p>
    <w:p>
      <w:pPr>
        <w:pStyle w:val="Normal"/>
        <w:rPr/>
      </w:pPr>
      <w:r>
        <w:rPr/>
        <w:t>五年悲观模型利润转负，</w:t>
      </w:r>
      <w:r>
        <w:rPr/>
        <w:t>PE</w:t>
      </w:r>
      <w:r>
        <w:rPr/>
        <w:t>模型显示零经营估值。零不代表公司所有资产没有回收价值，也不代表研究已预测清算；它仅表达正常盈利乘倍数在持续亏损情景下不能提供正目标。该情景仍有现金和理财，应在现实需要时另做资产处置和持续经营评估，不能为了抬高悲观价格在同一</w:t>
      </w:r>
      <w:r>
        <w:rPr/>
        <w:t>PE</w:t>
      </w:r>
      <w:r>
        <w:rPr/>
        <w:t>后加现金</w:t>
      </w:r>
      <w:r>
        <w:rPr/>
        <w:t>NAV</w:t>
      </w:r>
      <w:r>
        <w:rPr/>
        <w:t>。普通股最大损失可以接近本金，乐观区间也可能因融资、竞争或经营假设改变而失效。</w:t>
      </w:r>
    </w:p>
    <w:p>
      <w:pPr>
        <w:pStyle w:val="Heading2"/>
        <w:rPr/>
      </w:pPr>
      <w:r>
        <w:rPr>
          <w:color w:val="000000"/>
        </w:rPr>
        <w:t>公司业务与经济权益</w:t>
      </w:r>
    </w:p>
    <w:p>
      <w:pPr>
        <w:pStyle w:val="Normal"/>
        <w:rPr/>
      </w:pPr>
      <w:r>
        <w:rPr/>
        <w:t>比亚迪电子和比亚迪股份是两个上市发行人。电子公司拥有独立股本、财务和少数投资者，但受比亚迪集团控制并与集团存在销售、采购、加工、租赁和借款交易。研究不能把整车公司的销量、利润或目标价直接移给电子，也不能把集团资源全部看成电子普通股股东无偿可用。集团关系能够带来订单和技术协同，同时使价格、资金条件和关联审批成为必须核查的治理问题。两个代码出现在同一新闻页尤其容易混淆，本章已排除整车</w:t>
      </w:r>
      <w:r>
        <w:rPr/>
        <w:t>78</w:t>
      </w:r>
      <w:r>
        <w:rPr/>
        <w:t>及</w:t>
      </w:r>
      <w:r>
        <w:rPr/>
        <w:t>130</w:t>
      </w:r>
      <w:r>
        <w:rPr/>
        <w:t>港元等目标。</w:t>
      </w:r>
    </w:p>
    <w:p>
      <w:pPr>
        <w:pStyle w:val="Normal"/>
        <w:rPr/>
      </w:pPr>
      <w:r>
        <w:rPr/>
        <w:t>中报的法定经营分部只有一个，管理层按纵向整合整体评价资源与绩效。管理讨论提供智能终端部件、组装、汽车和</w:t>
      </w:r>
      <w:r>
        <w:rPr/>
        <w:t>AI</w:t>
      </w:r>
      <w:r>
        <w:rPr/>
        <w:t>的收入描述，却没有公开各类完整成本和利润表。因此本模型将它们进一步拆成六项研究业务：部件、组装、汽车电子、服务器、液冷、电源及互联。六项收入互斥合并，毛利率均明确属于预测假设。服务器、液冷和电源合计形成</w:t>
      </w:r>
      <w:r>
        <w:rPr/>
        <w:t>AI</w:t>
      </w:r>
      <w:r>
        <w:rPr/>
        <w:t>相关收入，不再把</w:t>
      </w:r>
      <w:r>
        <w:rPr/>
        <w:t>AI</w:t>
      </w:r>
      <w:r>
        <w:rPr/>
        <w:t>整体加一遍，也不声称公司已按这些分部披露利润。</w:t>
      </w:r>
    </w:p>
    <w:p>
      <w:pPr>
        <w:pStyle w:val="Normal"/>
        <w:rPr/>
      </w:pPr>
      <w:r>
        <w:rPr/>
        <w:t>智能终端上半年收入约</w:t>
      </w:r>
      <w:r>
        <w:rPr/>
        <w:t>678.62</w:t>
      </w:r>
      <w:r>
        <w:rPr/>
        <w:t>亿元，其中部件</w:t>
      </w:r>
      <w:r>
        <w:rPr/>
        <w:t>119.12</w:t>
      </w:r>
      <w:r>
        <w:rPr/>
        <w:t>亿元、组装</w:t>
      </w:r>
      <w:r>
        <w:rPr/>
        <w:t>559.50</w:t>
      </w:r>
      <w:r>
        <w:rPr/>
        <w:t>亿元，组装占集团约</w:t>
      </w:r>
      <w:r>
        <w:rPr/>
        <w:t>68.03%</w:t>
      </w:r>
      <w:r>
        <w:rPr/>
        <w:t>。汽车约</w:t>
      </w:r>
      <w:r>
        <w:rPr/>
        <w:t>136.19</w:t>
      </w:r>
      <w:r>
        <w:rPr/>
        <w:t>亿元占</w:t>
      </w:r>
      <w:r>
        <w:rPr/>
        <w:t>16.56%</w:t>
      </w:r>
      <w:r>
        <w:rPr/>
        <w:t>，</w:t>
      </w:r>
      <w:r>
        <w:rPr/>
        <w:t>AI</w:t>
      </w:r>
      <w:r>
        <w:rPr/>
        <w:t>约</w:t>
      </w:r>
      <w:r>
        <w:rPr/>
        <w:t>7.53</w:t>
      </w:r>
      <w:r>
        <w:rPr/>
        <w:t>亿元占</w:t>
      </w:r>
      <w:r>
        <w:rPr/>
        <w:t>0.92%</w:t>
      </w:r>
      <w:r>
        <w:rPr/>
        <w:t>。这些亿元金额来自管理讨论的百万位舍入，合并与精确收入可能有小额差异，不能假装拆分到分角仍完全准确。组装份额大意味着营收中包含较多物料价值，收入倍数不能与高毛利软件或技术授权公司比较。评估应首先看单位项目附加值和正常毛利。</w:t>
      </w:r>
    </w:p>
    <w:p>
      <w:pPr>
        <w:pStyle w:val="Normal"/>
        <w:rPr/>
      </w:pPr>
      <w:r>
        <w:rPr/>
        <w:t>部件业务依靠材料成型、模具加工、外观处理及高标准一致性，可以在旗舰设备中获得比基础组装更高的附加值。然而金属材料、结构和形态由终端品牌决定，钛金属需求可以在一代旗舰中增加，也可能在下一代改用不同材料或结构后下降。供应商的机器、工艺和人员投入已经发生，客户需求下降便使利用率承压。技术深度不能完全消除订单周期，估值应同时审视新材料内容量、份额、售价与折旧，而非用单个旗舰发布会推导永久成长。</w:t>
      </w:r>
    </w:p>
    <w:p>
      <w:pPr>
        <w:pStyle w:val="Normal"/>
        <w:rPr/>
      </w:pPr>
      <w:r>
        <w:rPr/>
        <w:t>手机部件需求还受全球出货量和高端机结构影响。公司中报引用</w:t>
      </w:r>
      <w:r>
        <w:rPr/>
        <w:t>IDC</w:t>
      </w:r>
      <w:r>
        <w:rPr/>
        <w:t>称上半年全球智能手机出货下降</w:t>
      </w:r>
      <w:r>
        <w:rPr/>
        <w:t>4.8%</w:t>
      </w:r>
      <w:r>
        <w:rPr/>
        <w:t>，这属于公司援引的第三方数据，研究没有重建</w:t>
      </w:r>
      <w:r>
        <w:rPr/>
        <w:t>IDC</w:t>
      </w:r>
      <w:r>
        <w:rPr/>
        <w:t>样本。高端机可以因性能、形态和影像变化提升零件价值，却不能确保普通消费者缩短换机周期。内存和芯片价格高会占用整机成本预算，品牌可能向结构件供应商压价。部件收入与毛利恢复必须来自客户真实项目和效率，不能仅用</w:t>
      </w:r>
      <w:r>
        <w:rPr/>
        <w:t>AI</w:t>
      </w:r>
      <w:r>
        <w:rPr/>
        <w:t>手机渗透叙事抵销需求弱。</w:t>
      </w:r>
    </w:p>
    <w:p>
      <w:pPr>
        <w:pStyle w:val="Normal"/>
        <w:rPr/>
      </w:pPr>
      <w:r>
        <w:rPr/>
        <w:t>组装业务的价值是交付规模、质量、采购协调和生产组织。大客户愿意将复杂设备交给稳定供应商，这种能力需要跨工厂培训、制造执行系统、自动化和良率经验。但大客户也知道组装技术与资金负担可比较，往往掌握谈判优势。组装营收增长可以改善工厂吸收固定成本，也可能因为低利润物料金额增加而稀释集团毛利率。研究采用较低组装毛利，并维持完整销售、管理和研发，避免把新增销售全看成高质量利润。</w:t>
      </w:r>
    </w:p>
    <w:p>
      <w:pPr>
        <w:pStyle w:val="Normal"/>
        <w:rPr/>
      </w:pPr>
      <w:r>
        <w:rPr/>
        <w:t>新能源汽车业务包括智能座舱、驾驶相关控制、悬架、热管理、控制器、传感器、闪充系统控制及结构件。公司中报称多产品供应和车型搭载增加，即使集团整车销量承压，单车电子价值量仍可能提升。这种价值量增长是合理的驱动，却需要产品配置普及、客户接受价格以及技术认证支持。整车市场价格战可能向供应链传导，原材料、芯片上涨又挤压毛利，不能简单用整车销量乘固定高额价值量预测所有汽车电子收入。</w:t>
      </w:r>
    </w:p>
    <w:p>
      <w:pPr>
        <w:pStyle w:val="Normal"/>
        <w:rPr/>
      </w:pPr>
      <w:r>
        <w:rPr/>
        <w:t>汽车电子进入后续车型还需符合寿命、温度、振动、电磁兼容与安全要求。控制或热管理模块出货后潜在保修、召回与质量成本比消费设备更长期，快速研发必须配可靠性。订单跨车型和客户有利分散，却会增加适配费用和工程工作。中报汽车增长</w:t>
      </w:r>
      <w:r>
        <w:rPr/>
        <w:t>6.43%</w:t>
      </w:r>
      <w:r>
        <w:rPr/>
        <w:t>是真实经营支持，但不是未来每年高速增长保证。研究基准让汽车收入逐步提高，同时增加研发和资本开支；如果新品只能带来更低单价而质量义务增加，应下调毛利假设。</w:t>
      </w:r>
    </w:p>
    <w:p>
      <w:pPr>
        <w:pStyle w:val="Normal"/>
        <w:rPr/>
      </w:pPr>
      <w:r>
        <w:rPr/>
        <w:t>AI</w:t>
      </w:r>
      <w:r>
        <w:rPr/>
        <w:t>基础设施包括</w:t>
      </w:r>
      <w:r>
        <w:rPr/>
        <w:t>AI</w:t>
      </w:r>
      <w:r>
        <w:rPr/>
        <w:t>、通用、存储服务器以及散热和供电产品。管理层称服务器支持不同计算架构和风冷、冷板、浸没等方式；冷板、快接、分水器与冷却分配单元覆盖从部件到系统。制造能力可以共享，但每种项目的工艺、验证和售后责任不同。基准把低毛利服务器装配与较高附加值冷却模块分开，防止只因产品都叫</w:t>
      </w:r>
      <w:r>
        <w:rPr/>
        <w:t>AI</w:t>
      </w:r>
      <w:r>
        <w:rPr/>
        <w:t>就使用统一高毛利。更应确认公司获得的是部件供应、模块还是整机订单，收入及资金占用差异很大。</w:t>
      </w:r>
    </w:p>
    <w:p>
      <w:pPr>
        <w:pStyle w:val="Normal"/>
        <w:rPr/>
      </w:pPr>
      <w:r>
        <w:rPr/>
        <w:t>冷板在高功耗芯片中解决热密度问题，需求与计算架构、芯片封装和机柜功率相关。价值并非铜或铝材料本身，而是流道设计、密封、阻力、腐蚀控制、加工精度和大规模一致性。漏液、堵塞或连接故障对昂贵服务器的损失可能很大，客户认证能提高进入壁垒，也提高制造和赔偿要求。平台转向液冷对行业是机会，公司却仍需保持资格、成本和良率。不能将领先散热效率的管理层表述自动换成未经验证的市场份额。</w:t>
      </w:r>
    </w:p>
    <w:p>
      <w:pPr>
        <w:pStyle w:val="Normal"/>
        <w:rPr/>
      </w:pPr>
      <w:r>
        <w:rPr/>
        <w:t>电源方面，机房高压直流、电源架、母排、不间断供电和固态变压器涉及从电网到机柜的多层架构。公司可以利用汽车高压系统经验，但数据中心效率、可维护性和冗余要求不同。中报主要表述是研发及推动认证，并非所有品类已规模交付。基准收入从早期水平渐增，乐观的高增长必须依赖客户认证、真正量产及盈利；若关键功率器件供应、测试或标准变化延迟，相关收入应下修，不能把开发阶段完整潜在市场先估成营业收入。</w:t>
      </w:r>
    </w:p>
    <w:p>
      <w:pPr>
        <w:pStyle w:val="Normal"/>
        <w:rPr/>
      </w:pPr>
      <w:r>
        <w:rPr/>
        <w:t>高速互联与系统方案提供更多产品内容量，也可能面对既有专业厂商强竞争。集团能制造多种零件不意味着每个领域都有价格优势或研发专利壁垒。组合供应可以降低客户协调成本，完整系统也增加项目现金、库存和责任。研究不额外给互联、机器人、无人机或三维打印机独立估值；这些如已在终端收入内便不再追加，如尚未披露商业规模便仅作为业务迁移观察。这样的边界让目标价可由经营数据而非主题数量解释。</w:t>
      </w:r>
    </w:p>
    <w:p>
      <w:pPr>
        <w:pStyle w:val="Heading2"/>
        <w:rPr/>
      </w:pPr>
      <w:r>
        <w:rPr>
          <w:color w:val="000000"/>
        </w:rPr>
        <w:t>竞争与行业周期</w:t>
      </w:r>
    </w:p>
    <w:p>
      <w:pPr>
        <w:pStyle w:val="Normal"/>
        <w:rPr/>
      </w:pPr>
      <w:r>
        <w:rPr/>
        <w:t>2025</w:t>
      </w:r>
      <w:r>
        <w:rPr/>
        <w:t>年两位匿名主要客户收入</w:t>
      </w:r>
      <w:r>
        <w:rPr/>
        <w:t>995.16</w:t>
      </w:r>
      <w:r>
        <w:rPr/>
        <w:t>亿元和</w:t>
      </w:r>
      <w:r>
        <w:rPr/>
        <w:t>261.05</w:t>
      </w:r>
      <w:r>
        <w:rPr/>
        <w:t>亿元，合计约七成集团销售，公开附注明确其来自手机部件、模组及其他产品。不能仅依据市场传闻自行给匿名客户对应具体品牌，也不应忽略集中度。大客户稳定订单可以支持规模，但若改变材料、产品节奏或供应商份额，整个集团利润受影响。基准组件恢复必须有大客户新品的实际内容量和分配份额作支持；如果客户终端需求不错而电子公司毛利不恢复，可能是份额或价格问题而非行业暂时弱。</w:t>
      </w:r>
    </w:p>
    <w:p>
      <w:pPr>
        <w:pStyle w:val="Normal"/>
        <w:rPr/>
      </w:pPr>
      <w:r>
        <w:rPr/>
        <w:t>竞争对手包括大型电子制造服务企业、结构件供应商、液冷专业商以及汽车电子厂商。不同领域比较指标应不同：组装看良率、准时和成本，部件看材料工艺及项目内容，冷却看性能与失效率，电源看效率和认证。比亚迪电子全产业链可在开发阶段减少接口和试样时间，专业对手可能在某个模块更强。估值不能只用广义硬件同行平均</w:t>
      </w:r>
      <w:r>
        <w:rPr/>
        <w:t>PE</w:t>
      </w:r>
      <w:r>
        <w:rPr/>
        <w:t>而忽略产品组合，需要将同业毛利、现金和项目成熟度作为预测约束。</w:t>
      </w:r>
    </w:p>
    <w:p>
      <w:pPr>
        <w:pStyle w:val="Normal"/>
        <w:rPr/>
      </w:pPr>
      <w:r>
        <w:rPr/>
        <w:t>工厂利用率是半年利润的重要变量。大型设备折旧和一定数量的人员、品质体系费用不会随收入即刻下降，低价值组装增加也未必填满高价值部件设备。公司</w:t>
      </w:r>
      <w:r>
        <w:rPr/>
        <w:t>2025</w:t>
      </w:r>
      <w:r>
        <w:rPr/>
        <w:t>和</w:t>
      </w:r>
      <w:r>
        <w:rPr/>
        <w:t>2026</w:t>
      </w:r>
      <w:r>
        <w:rPr/>
        <w:t>上半年利润变化说明业务结构足以使收入与毛利脱节。观察利用率时应同时核部件项目、加班和新增设备，而非将全部厂房面积视为等价产能。若旺季出货多但高利润线闲置，集团营收同比转正仍可能无法达到基准利润。</w:t>
      </w:r>
    </w:p>
    <w:p>
      <w:pPr>
        <w:pStyle w:val="Normal"/>
        <w:rPr/>
      </w:pPr>
      <w:r>
        <w:rPr/>
        <w:t>产能爬坡是双向因素。冷板项目进入量产可带来学习曲线、良率和采购规模，也先产生测试、报废、低利用率和客户验收成本。头几批出货收入增长并不代表稳定成熟毛利，本章基准未来冷却</w:t>
      </w:r>
      <w:r>
        <w:rPr/>
        <w:t>25%</w:t>
      </w:r>
      <w:r>
        <w:rPr/>
        <w:t>毛利已是有利假设，需要与新品持续交付验证。若项目放量时间后移，产能和研发费用仍在，则短期利润下行比简单把收入延后一季更大。情景需要同时改变收入、毛利及费用，不能只降低增长而保持高利润率。</w:t>
      </w:r>
    </w:p>
    <w:p>
      <w:pPr>
        <w:pStyle w:val="Normal"/>
        <w:rPr/>
      </w:pPr>
      <w:r>
        <w:rPr/>
        <w:t>智能终端与</w:t>
      </w:r>
      <w:r>
        <w:rPr/>
        <w:t>AI</w:t>
      </w:r>
      <w:r>
        <w:rPr/>
        <w:t>周期可以相互抵销，也可相互放大。</w:t>
      </w:r>
      <w:r>
        <w:rPr/>
        <w:t>AI</w:t>
      </w:r>
      <w:r>
        <w:rPr/>
        <w:t>数据中心消耗高端内存产能，终端物料成本可能上涨；与此同时</w:t>
      </w:r>
      <w:r>
        <w:rPr/>
        <w:t>AI</w:t>
      </w:r>
      <w:r>
        <w:rPr/>
        <w:t>手机和眼镜的实际用户用途需要验证。公司在</w:t>
      </w:r>
      <w:r>
        <w:rPr/>
        <w:t>AI</w:t>
      </w:r>
      <w:r>
        <w:rPr/>
        <w:t>基础设施获得业务机会，却也在终端承受同一个投资周期的上游涨价。不能认为</w:t>
      </w:r>
      <w:r>
        <w:rPr/>
        <w:t>AI</w:t>
      </w:r>
      <w:r>
        <w:rPr/>
        <w:t>行业总需求增长对公司每个分部都正面。研究将消费终端低迷、汽车压价与冷却增长放在不同驱动中，未来若存储价格回落又与云资本开支减弱共同发生，应重估净影响。</w:t>
      </w:r>
    </w:p>
    <w:p>
      <w:pPr>
        <w:pStyle w:val="Normal"/>
        <w:rPr/>
      </w:pPr>
      <w:r>
        <w:rPr/>
        <w:t>全球云资本开支的最终基础是客户能否从训练、推理和软件服务获得经济回报。即使长期计算需求增长，采购仍可能因电力、机房、融资或效率提升而阶段调整。芯片进步也可能改变热管理结构和每单位计算所需硬件数量，行业规模与供应商收入之间没有固定比例。乐观场景适用于公司持续得到新架构订单而非只出货一代冷板；若客户从建设转向消化已有设备，量价都可能下降，应降低</w:t>
      </w:r>
      <w:r>
        <w:rPr/>
        <w:t>AI</w:t>
      </w:r>
      <w:r>
        <w:rPr/>
        <w:t>收入和估值倍数。</w:t>
      </w:r>
    </w:p>
    <w:p>
      <w:pPr>
        <w:pStyle w:val="Normal"/>
        <w:rPr/>
      </w:pPr>
      <w:r>
        <w:rPr/>
        <w:t>汽车行业政策使国内和海外周期分化。补贴、购置税、信贷及消费者预期影响国内销量，出口和海外本地化可创造另一份需求。公司中报称国内汽车销量下降且出口增长，这是管理层所引行业数据，并非本研究单独核验全部汽车统计。电子公司未来增长要看具体模块在出口和海外生产车型的配套位置。海外产线认证或贸易限制会改变收益时间，不可将国内高配置产品的单位利润直接套在不同地区销售的车型。</w:t>
      </w:r>
    </w:p>
    <w:p>
      <w:pPr>
        <w:pStyle w:val="Heading2"/>
        <w:rPr/>
      </w:pPr>
      <w:r>
        <w:rPr>
          <w:color w:val="000000"/>
        </w:rPr>
        <w:t>宏观变量与公司传导</w:t>
      </w:r>
    </w:p>
    <w:p>
      <w:pPr>
        <w:pStyle w:val="Normal"/>
        <w:rPr/>
      </w:pPr>
      <w:r>
        <w:rPr/>
        <w:t>利率影响两端。消费者借贷成本高抑制手机和汽车更新，云厂商资金成本也影响资本开支；公司自身约</w:t>
      </w:r>
      <w:r>
        <w:rPr/>
        <w:t>70.8</w:t>
      </w:r>
      <w:r>
        <w:rPr/>
        <w:t>亿元短借款虽关联利率较低，续借及新利率仍有条件。降息可以减轻融资成本，也可能与经济弱同步出现，不能把降息一次性当销量和估值同时上升。模型银行余额与利率驱动后续融资费用，现金利息则随分红、赎理财、回购和投资变化，避免减少债息同时保持所有现金收益不变。</w:t>
      </w:r>
    </w:p>
    <w:p>
      <w:pPr>
        <w:pStyle w:val="Normal"/>
        <w:rPr/>
      </w:pPr>
      <w:r>
        <w:rPr/>
        <w:t>人民币兑美元变化既影响财报折算，也影响美元收入、采购、应收与对冲。上半年披露净汇兑损失</w:t>
      </w:r>
      <w:r>
        <w:rPr/>
        <w:t>7.019</w:t>
      </w:r>
      <w:r>
        <w:rPr/>
        <w:t>亿元，相比去年收益约</w:t>
      </w:r>
      <w:r>
        <w:rPr/>
        <w:t>2.003</w:t>
      </w:r>
      <w:r>
        <w:rPr/>
        <w:t>亿元，是很大的利润拖累，但不能把税前损失全额直接加归母即称正常利润。不同实体税、套期、交易时点和应收余额改变现金及盈利。基准正常其他项不长期复制该损失，也不假设未来永久汇兑收益；汇率波动若持续，应在独立情景调费用、收款和现金，并保持港元投资回报的本币口径。</w:t>
      </w:r>
    </w:p>
    <w:p>
      <w:pPr>
        <w:pStyle w:val="Normal"/>
        <w:rPr/>
      </w:pPr>
      <w:r>
        <w:rPr/>
        <w:t>关税与出口限制可以影响客户产地选择和供应链。海外主要客户的终端销量、组装采购、服务器芯片和网络设备受不同规则约束，公司需要跨国制造、贸易和客户合规。扩大海外生产可能减少某些关税，却增加初始投资、培训、低利用率和运输接口。品牌可以选择新供应链来满足监管，即使电子公司技术没有下降也可能失去订单。长期评分因此保留治理和地缘折扣，不给全球制造无风险的持续高倍估值。</w:t>
      </w:r>
    </w:p>
    <w:p>
      <w:pPr>
        <w:pStyle w:val="Normal"/>
        <w:rPr/>
      </w:pPr>
      <w:r>
        <w:rPr/>
        <w:t>劳动力和自动化决定规模制造成本。中报约</w:t>
      </w:r>
      <w:r>
        <w:rPr/>
        <w:t>16.25</w:t>
      </w:r>
      <w:r>
        <w:rPr/>
        <w:t>万员工，员工成本占收入</w:t>
      </w:r>
      <w:r>
        <w:rPr/>
        <w:t>11.47%</w:t>
      </w:r>
      <w:r>
        <w:rPr/>
        <w:t>，但这些费用分布在成本、研发和管理，不能把该比例再从已经扣完整成本的利润减一次。工资上涨和人员培训会影响毛利，自动化可以改善一致性及劳动生产率，却需要资金、折旧和维护。研究资本开支随业务增长提高，并非只给自动化效率收益。若新增自动化项目没有提高单位成本或良率，应将其视为低回报投入而非增长催化。</w:t>
      </w:r>
    </w:p>
    <w:p>
      <w:pPr>
        <w:pStyle w:val="Normal"/>
        <w:rPr/>
      </w:pPr>
      <w:r>
        <w:rPr/>
        <w:t>能源、铜铝、树脂和物流成本影响部件、冷板和电源的成本，能否传导给客户取决于合同和竞争。物料上涨若允许价格调节，名义收入可能增长而单位附加值不变；若不能传导则压毛利。液冷行业需求强也可能让原料和加工设备成为瓶颈，客户追加订单不一定带来同比例利润。模型毛利单列而非在销售增长后固定净利润率，方便核验原材料与合同条款变化会怎样改变估值分子。</w:t>
      </w:r>
    </w:p>
    <w:p>
      <w:pPr>
        <w:pStyle w:val="Normal"/>
        <w:rPr/>
      </w:pPr>
      <w:r>
        <w:rPr/>
        <w:t>税收优惠和全球最低税制度影响利润质量。中国部分附属公司高新资格提供</w:t>
      </w:r>
      <w:r>
        <w:rPr/>
        <w:t>15%</w:t>
      </w:r>
      <w:r>
        <w:rPr/>
        <w:t>税率，海外收入按所在地税制，资格续期和地区结构不确定。上半年税费只有</w:t>
      </w:r>
      <w:r>
        <w:rPr/>
        <w:t>0.545</w:t>
      </w:r>
      <w:r>
        <w:rPr/>
        <w:t>亿元，但即期税约</w:t>
      </w:r>
      <w:r>
        <w:rPr/>
        <w:t>4.145</w:t>
      </w:r>
      <w:r>
        <w:rPr/>
        <w:t>亿元、递延抵减约</w:t>
      </w:r>
      <w:r>
        <w:rPr/>
        <w:t>3.600</w:t>
      </w:r>
      <w:r>
        <w:rPr/>
        <w:t>亿元；现金税</w:t>
      </w:r>
      <w:r>
        <w:rPr/>
        <w:t>4.325</w:t>
      </w:r>
      <w:r>
        <w:rPr/>
        <w:t>亿元，不能把极低表观税率永久套未来。基准正常税</w:t>
      </w:r>
      <w:r>
        <w:rPr/>
        <w:t>15%</w:t>
      </w:r>
      <w:r>
        <w:rPr/>
        <w:t>，悲观</w:t>
      </w:r>
      <w:r>
        <w:rPr/>
        <w:t>20%</w:t>
      </w:r>
      <w:r>
        <w:rPr/>
        <w:t>，均非管理层税率指引。研发加计扣除、递延资产可实现性和海外最低税要随真实财报调整。</w:t>
      </w:r>
    </w:p>
    <w:p>
      <w:pPr>
        <w:pStyle w:val="Heading2"/>
        <w:rPr/>
      </w:pPr>
      <w:r>
        <w:rPr>
          <w:color w:val="000000"/>
        </w:rPr>
        <w:t>财务质量与历史</w:t>
      </w:r>
    </w:p>
    <w:p>
      <w:pPr>
        <w:pStyle w:val="Normal"/>
        <w:rPr/>
      </w:pPr>
      <w:r>
        <w:rPr/>
        <w:t>2023</w:t>
      </w:r>
      <w:r>
        <w:rPr/>
        <w:t>至</w:t>
      </w:r>
      <w:r>
        <w:rPr/>
        <w:t>2025</w:t>
      </w:r>
      <w:r>
        <w:rPr/>
        <w:t>收入</w:t>
      </w:r>
      <w:r>
        <w:rPr/>
        <w:t>1299.57</w:t>
      </w:r>
      <w:r>
        <w:rPr/>
        <w:t>、</w:t>
      </w:r>
      <w:r>
        <w:rPr/>
        <w:t>1773.06</w:t>
      </w:r>
      <w:r>
        <w:rPr/>
        <w:t>、</w:t>
      </w:r>
      <w:r>
        <w:rPr/>
        <w:t>1794.77</w:t>
      </w:r>
      <w:r>
        <w:rPr/>
        <w:t>亿元，归母</w:t>
      </w:r>
      <w:r>
        <w:rPr/>
        <w:t>40.41</w:t>
      </w:r>
      <w:r>
        <w:rPr/>
        <w:t>、</w:t>
      </w:r>
      <w:r>
        <w:rPr/>
        <w:t>42.66</w:t>
      </w:r>
      <w:r>
        <w:rPr/>
        <w:t>、</w:t>
      </w:r>
      <w:r>
        <w:rPr/>
        <w:t>35.15</w:t>
      </w:r>
      <w:r>
        <w:rPr/>
        <w:t>亿元。规模变大而利润未同步增长，</w:t>
      </w:r>
      <w:r>
        <w:rPr/>
        <w:t>2024</w:t>
      </w:r>
      <w:r>
        <w:rPr/>
        <w:t>收入跃升不能直接解释为持续内生成长，因为业务范围和整合变化会影响比较。</w:t>
      </w:r>
      <w:r>
        <w:rPr/>
        <w:t>2025</w:t>
      </w:r>
      <w:r>
        <w:rPr/>
        <w:t>毛利</w:t>
      </w:r>
      <w:r>
        <w:rPr/>
        <w:t>107.57</w:t>
      </w:r>
      <w:r>
        <w:rPr/>
        <w:t>亿元低于</w:t>
      </w:r>
      <w:r>
        <w:rPr/>
        <w:t>2024</w:t>
      </w:r>
      <w:r>
        <w:rPr/>
        <w:t>的</w:t>
      </w:r>
      <w:r>
        <w:rPr/>
        <w:t>123.01</w:t>
      </w:r>
      <w:r>
        <w:rPr/>
        <w:t>亿元，研发</w:t>
      </w:r>
      <w:r>
        <w:rPr/>
        <w:t>44.65</w:t>
      </w:r>
      <w:r>
        <w:rPr/>
        <w:t>、销售</w:t>
      </w:r>
      <w:r>
        <w:rPr/>
        <w:t>18.78</w:t>
      </w:r>
      <w:r>
        <w:rPr/>
        <w:t>、管理</w:t>
      </w:r>
      <w:r>
        <w:rPr/>
        <w:t>16.49</w:t>
      </w:r>
      <w:r>
        <w:rPr/>
        <w:t>亿元。完整经常投入需要在估值中保留；若将研发视为可任意削减来恢复利润，会削弱后续产品能力并夸大可分配盈利。</w:t>
      </w:r>
    </w:p>
    <w:p>
      <w:pPr>
        <w:pStyle w:val="Normal"/>
        <w:rPr/>
      </w:pPr>
      <w:r>
        <w:rPr/>
        <w:t>历史审计每股利润约</w:t>
      </w:r>
      <w:r>
        <w:rPr/>
        <w:t>1.56</w:t>
      </w:r>
      <w:r>
        <w:rPr/>
        <w:t>元人民币，按研究港元换算</w:t>
      </w:r>
      <w:r>
        <w:rPr/>
        <w:t>1.1</w:t>
      </w:r>
      <w:r>
        <w:rPr/>
        <w:t>及</w:t>
      </w:r>
      <w:r>
        <w:rPr/>
        <w:t>23.16</w:t>
      </w:r>
      <w:r>
        <w:rPr/>
        <w:t>价格约</w:t>
      </w:r>
      <w:r>
        <w:rPr/>
        <w:t>13.50</w:t>
      </w:r>
      <w:r>
        <w:rPr/>
        <w:t>倍，这是上一年估值。将</w:t>
      </w:r>
      <w:r>
        <w:rPr/>
        <w:t>2025</w:t>
      </w:r>
      <w:r>
        <w:rPr/>
        <w:t>全年</w:t>
      </w:r>
      <w:r>
        <w:rPr/>
        <w:t>35.1457</w:t>
      </w:r>
      <w:r>
        <w:rPr/>
        <w:t>亿元减</w:t>
      </w:r>
      <w:r>
        <w:rPr/>
        <w:t>2025</w:t>
      </w:r>
      <w:r>
        <w:rPr/>
        <w:t>上半年</w:t>
      </w:r>
      <w:r>
        <w:rPr/>
        <w:t>17.2978</w:t>
      </w:r>
      <w:r>
        <w:rPr/>
        <w:t>亿元加</w:t>
      </w:r>
      <w:r>
        <w:rPr/>
        <w:t>2026</w:t>
      </w:r>
      <w:r>
        <w:rPr/>
        <w:t>上半年</w:t>
      </w:r>
      <w:r>
        <w:rPr/>
        <w:t>4.2633</w:t>
      </w:r>
      <w:r>
        <w:rPr/>
        <w:t>亿元，得到滚动利润约</w:t>
      </w:r>
      <w:r>
        <w:rPr/>
        <w:t>22.1113</w:t>
      </w:r>
      <w:r>
        <w:rPr/>
        <w:t>亿元，对应约</w:t>
      </w:r>
      <w:r>
        <w:rPr/>
        <w:t>21.46</w:t>
      </w:r>
      <w:r>
        <w:rPr/>
        <w:t>倍。两者差异说明所谓低</w:t>
      </w:r>
      <w:r>
        <w:rPr/>
        <w:t>PE</w:t>
      </w:r>
      <w:r>
        <w:rPr/>
        <w:t>可能只是旧利润。行情供应商的</w:t>
      </w:r>
      <w:r>
        <w:rPr/>
        <w:t>PE</w:t>
      </w:r>
      <w:r>
        <w:rPr/>
        <w:t>字段不说明财报期间，本章不把它直接列为当前估值；研究正常</w:t>
      </w:r>
      <w:r>
        <w:rPr/>
        <w:t>2026</w:t>
      </w:r>
      <w:r>
        <w:rPr/>
        <w:t>盈利回升假设也与真实滚动利润分开。</w:t>
      </w:r>
    </w:p>
    <w:p>
      <w:pPr>
        <w:pStyle w:val="Normal"/>
        <w:rPr/>
      </w:pPr>
      <w:r>
        <w:rPr/>
        <w:t>半年毛利下降</w:t>
      </w:r>
      <w:r>
        <w:rPr/>
        <w:t>27.18%</w:t>
      </w:r>
      <w:r>
        <w:rPr/>
        <w:t>，收入增加却成本份额上升，证明组合和利用率是主要问题。研发同比下降、销售和管理也下降，但没有抵销毛利及汇兑压力。费用下降可来自管理效率，也可能是项目周期、激励或某些支出减少，不能因此推断未来自动持续降费。模型未来研发随新业务提高，管理和销售按绝对支出增长，保持服务和工程投入。基准盈利修复来自业务毛利而非无限削减支出，更符合制造企业持续竞争需要。</w:t>
      </w:r>
    </w:p>
    <w:p>
      <w:pPr>
        <w:pStyle w:val="Normal"/>
        <w:rPr/>
      </w:pPr>
      <w:r>
        <w:rPr/>
        <w:t>上半年政府补助</w:t>
      </w:r>
      <w:r>
        <w:rPr/>
        <w:t>4.737</w:t>
      </w:r>
      <w:r>
        <w:rPr/>
        <w:t>亿元高于去年</w:t>
      </w:r>
      <w:r>
        <w:rPr/>
        <w:t>0.538</w:t>
      </w:r>
      <w:r>
        <w:rPr/>
        <w:t>亿元，对当期税前利润重要。资产相关补贴和经营补贴的确认时点不同，现金流中还存在非现金摊销调整。补助可以合理支持项目，但不能全部当市场客户验证的持续毛利。本章</w:t>
      </w:r>
      <w:r>
        <w:rPr/>
        <w:t>2026</w:t>
      </w:r>
      <w:r>
        <w:rPr/>
        <w:t>正常补助</w:t>
      </w:r>
      <w:r>
        <w:rPr/>
        <w:t>6</w:t>
      </w:r>
      <w:r>
        <w:rPr/>
        <w:t>亿元，后续</w:t>
      </w:r>
      <w:r>
        <w:rPr/>
        <w:t>4</w:t>
      </w:r>
      <w:r>
        <w:rPr/>
        <w:t>亿元的假设低于简单半年倍增，不设逐年快速增加。若盈利主要来自政府补贴、退税或处置而核心毛利低，经营质量分应下降，即使报告净利润达到某个数字也不能自动升级推荐。</w:t>
      </w:r>
    </w:p>
    <w:p>
      <w:pPr>
        <w:pStyle w:val="Normal"/>
        <w:rPr/>
      </w:pPr>
      <w:r>
        <w:rPr/>
        <w:t>其他收益、金融资产处置、减值拨回和汇兑会令利润波动。</w:t>
      </w:r>
      <w:r>
        <w:rPr/>
        <w:t>2025</w:t>
      </w:r>
      <w:r>
        <w:rPr/>
        <w:t>金融资产减值净拨回</w:t>
      </w:r>
      <w:r>
        <w:rPr/>
        <w:t>0.558</w:t>
      </w:r>
      <w:r>
        <w:rPr/>
        <w:t>亿元、金融资产处置亏</w:t>
      </w:r>
      <w:r>
        <w:rPr/>
        <w:t>0.42</w:t>
      </w:r>
      <w:r>
        <w:rPr/>
        <w:t>亿元、其他支出</w:t>
      </w:r>
      <w:r>
        <w:rPr/>
        <w:t>4.555</w:t>
      </w:r>
      <w:r>
        <w:rPr/>
        <w:t>亿元；上半年其他支出</w:t>
      </w:r>
      <w:r>
        <w:rPr/>
        <w:t>7.969</w:t>
      </w:r>
      <w:r>
        <w:rPr/>
        <w:t>亿元内汇兑占很大部分。公开资料并未给每项业务正常利润的精确调节表，研究只按有限正常补助、其他、财资息与完整成本预测，不冒称审计调整净利。后续需要将异常损益逐一核税及现金，避免把有利项目保留而只剔除不利项目。</w:t>
      </w:r>
    </w:p>
    <w:p>
      <w:pPr>
        <w:pStyle w:val="Normal"/>
        <w:rPr/>
      </w:pPr>
      <w:r>
        <w:rPr/>
        <w:t>集团没有在中报合并利润中列少数归属，归母与总利润相同。模型也不设置凭空少数扣项，未来若收购或项目引入少数股东就需要更新。另一方面，与控股方的借款和购销属于公司的真实成本和负债，不能因为同集团就忽略。</w:t>
      </w:r>
      <w:r>
        <w:rPr/>
        <w:t>PE</w:t>
      </w:r>
      <w:r>
        <w:rPr/>
        <w:t>分子扣融资成本、税和全部经济研发；估值之后既不加集团联营价值，也不再次减同一借款本金</w:t>
      </w:r>
      <w:r>
        <w:rPr/>
        <w:t>NAV</w:t>
      </w:r>
      <w:r>
        <w:rPr/>
        <w:t>，从而保持经营利润与权益估值的一致性。</w:t>
      </w:r>
    </w:p>
    <w:p>
      <w:pPr>
        <w:pStyle w:val="Normal"/>
        <w:rPr/>
      </w:pPr>
      <w:r>
        <w:rPr/>
        <w:t>2025</w:t>
      </w:r>
      <w:r>
        <w:rPr/>
        <w:t>年经营现金</w:t>
      </w:r>
      <w:r>
        <w:rPr/>
        <w:t>187.68</w:t>
      </w:r>
      <w:r>
        <w:rPr/>
        <w:t>亿元明显高于</w:t>
      </w:r>
      <w:r>
        <w:rPr/>
        <w:t>67.14</w:t>
      </w:r>
      <w:r>
        <w:rPr/>
        <w:t>亿元的</w:t>
      </w:r>
      <w:r>
        <w:rPr/>
        <w:t>2024</w:t>
      </w:r>
      <w:r>
        <w:rPr/>
        <w:t>，部分来自贸易应收减少</w:t>
      </w:r>
      <w:r>
        <w:rPr/>
        <w:t>174.69</w:t>
      </w:r>
      <w:r>
        <w:rPr/>
        <w:t>亿元，应付减少</w:t>
      </w:r>
      <w:r>
        <w:rPr/>
        <w:t>59.45</w:t>
      </w:r>
      <w:r>
        <w:rPr/>
        <w:t>亿元，不能只看高现金便认定每年重复。</w:t>
      </w:r>
      <w:r>
        <w:rPr/>
        <w:t>2026</w:t>
      </w:r>
      <w:r>
        <w:rPr/>
        <w:t>上半年</w:t>
      </w:r>
      <w:r>
        <w:rPr/>
        <w:t>OCF</w:t>
      </w:r>
      <w:r>
        <w:rPr/>
        <w:t>降至</w:t>
      </w:r>
      <w:r>
        <w:rPr/>
        <w:t>8.44</w:t>
      </w:r>
      <w:r>
        <w:rPr/>
        <w:t>亿元，同时包含受限存款释放</w:t>
      </w:r>
      <w:r>
        <w:rPr/>
        <w:t>28.07</w:t>
      </w:r>
      <w:r>
        <w:rPr/>
        <w:t>亿元；扣该一次释放后经营现金代理为负</w:t>
      </w:r>
      <w:r>
        <w:rPr/>
        <w:t>19.63</w:t>
      </w:r>
      <w:r>
        <w:rPr/>
        <w:t>亿元。实际现金周转显著弱化，是当前比净利润更需要关注的风险。基准要求旺季回款和库存效率改善，否则高目标应降，不能用上年强现金掩盖最新压力。</w:t>
      </w:r>
    </w:p>
    <w:p>
      <w:pPr>
        <w:pStyle w:val="Normal"/>
        <w:rPr/>
      </w:pPr>
      <w:r>
        <w:rPr/>
        <w:t>六月库存</w:t>
      </w:r>
      <w:r>
        <w:rPr/>
        <w:t>209.48</w:t>
      </w:r>
      <w:r>
        <w:rPr/>
        <w:t>亿元较年底</w:t>
      </w:r>
      <w:r>
        <w:rPr/>
        <w:t>184.82</w:t>
      </w:r>
      <w:r>
        <w:rPr/>
        <w:t>亿元增加，贸易应收</w:t>
      </w:r>
      <w:r>
        <w:rPr/>
        <w:t>172.35</w:t>
      </w:r>
      <w:r>
        <w:rPr/>
        <w:t>亿元较</w:t>
      </w:r>
      <w:r>
        <w:rPr/>
        <w:t>148.93</w:t>
      </w:r>
      <w:r>
        <w:rPr/>
        <w:t>亿元增加，应付</w:t>
      </w:r>
      <w:r>
        <w:rPr/>
        <w:t>277.35</w:t>
      </w:r>
      <w:r>
        <w:rPr/>
        <w:t>亿元较</w:t>
      </w:r>
      <w:r>
        <w:rPr/>
        <w:t>294.76</w:t>
      </w:r>
      <w:r>
        <w:rPr/>
        <w:t>亿元下降。这些变化共同消耗现金，可以因旺季准备和业务节奏而发生，也可能体现材料涨价、出货验收延迟和客户回款。应核库存周转、滞销准备和合同采购义务，而非单用库存增长喊订单充足。若部件低毛利同时库存增长，未来跌价损失可能进一步压利润，现金和毛利情景要一起调整。</w:t>
      </w:r>
    </w:p>
    <w:p>
      <w:pPr>
        <w:pStyle w:val="Normal"/>
        <w:rPr/>
      </w:pPr>
      <w:r>
        <w:rPr/>
        <w:t>应收账龄</w:t>
      </w:r>
      <w:r>
        <w:rPr/>
        <w:t>90</w:t>
      </w:r>
      <w:r>
        <w:rPr/>
        <w:t>天内约</w:t>
      </w:r>
      <w:r>
        <w:rPr/>
        <w:t>164.15</w:t>
      </w:r>
      <w:r>
        <w:rPr/>
        <w:t>亿元、</w:t>
      </w:r>
      <w:r>
        <w:rPr/>
        <w:t>91</w:t>
      </w:r>
      <w:r>
        <w:rPr/>
        <w:t>至</w:t>
      </w:r>
      <w:r>
        <w:rPr/>
        <w:t>180</w:t>
      </w:r>
      <w:r>
        <w:rPr/>
        <w:t>天约</w:t>
      </w:r>
      <w:r>
        <w:rPr/>
        <w:t>7.61</w:t>
      </w:r>
      <w:r>
        <w:rPr/>
        <w:t>亿元，后者高于年底</w:t>
      </w:r>
      <w:r>
        <w:rPr/>
        <w:t>3.29</w:t>
      </w:r>
      <w:r>
        <w:rPr/>
        <w:t>亿元。账龄按发票日期不等于合同逾期，但较长余额增加仍值得追踪。集团关联应收</w:t>
      </w:r>
      <w:r>
        <w:rPr/>
        <w:t>95.86</w:t>
      </w:r>
      <w:r>
        <w:rPr/>
        <w:t>亿元占贸易应收较大部分，集团资金安排和客户结算节奏对现金重要。不能简单将其当坏账，也不能因关联身份就视同现金。后续若长账龄和坏账同时增加，应减少正常利润并增加营运资金需求，而不是等到实际核销才修订推荐。</w:t>
      </w:r>
    </w:p>
    <w:p>
      <w:pPr>
        <w:pStyle w:val="Heading2"/>
        <w:rPr/>
      </w:pPr>
      <w:r>
        <w:rPr>
          <w:color w:val="000000"/>
        </w:rPr>
        <w:t>现金 理财及短债</w:t>
      </w:r>
    </w:p>
    <w:p>
      <w:pPr>
        <w:pStyle w:val="Normal"/>
        <w:rPr/>
      </w:pPr>
      <w:r>
        <w:rPr/>
        <w:t>六月现金等价物</w:t>
      </w:r>
      <w:r>
        <w:rPr/>
        <w:t>54.75</w:t>
      </w:r>
      <w:r>
        <w:rPr/>
        <w:t>亿元、以公允价值计入损益金融资产</w:t>
      </w:r>
      <w:r>
        <w:rPr/>
        <w:t>82.61</w:t>
      </w:r>
      <w:r>
        <w:rPr/>
        <w:t>亿元、有息贷款</w:t>
      </w:r>
      <w:r>
        <w:rPr/>
        <w:t>70.80</w:t>
      </w:r>
      <w:r>
        <w:rPr/>
        <w:t>亿元，现金加理财减借款约</w:t>
      </w:r>
      <w:r>
        <w:rPr/>
        <w:t>66.56</w:t>
      </w:r>
      <w:r>
        <w:rPr/>
        <w:t>亿元。若只看现金减借款则为净债，两个口径差异很大。理财可以提供收益和赎回资源，但不全部等于随时可用无风险存款；模型分别记现金、理财，按假设逐年赎回而不直接把全部资源当即期可用。受限存款</w:t>
      </w:r>
      <w:r>
        <w:rPr/>
        <w:t>0.0277</w:t>
      </w:r>
      <w:r>
        <w:rPr/>
        <w:t>亿元独立保留，六月起点已包含此前释放的资金，不能再加一次。</w:t>
      </w:r>
    </w:p>
    <w:p>
      <w:pPr>
        <w:pStyle w:val="Normal"/>
        <w:rPr/>
      </w:pPr>
      <w:r>
        <w:rPr/>
        <w:t>上半年购买金融产品</w:t>
      </w:r>
      <w:r>
        <w:rPr/>
        <w:t>81</w:t>
      </w:r>
      <w:r>
        <w:rPr/>
        <w:t>亿元、处置约</w:t>
      </w:r>
      <w:r>
        <w:rPr/>
        <w:t>19.77</w:t>
      </w:r>
      <w:r>
        <w:rPr/>
        <w:t>亿元，现金减少很大部分是资产配置而非经营损失，仍不能因此忽略经营现金弱化。理财配置使资金从即时现金转到产品，未来偿债和资本支出需要实际可赎回。模型赎回</w:t>
      </w:r>
      <w:r>
        <w:rPr/>
        <w:t>30</w:t>
      </w:r>
      <w:r>
        <w:rPr/>
        <w:t>、</w:t>
      </w:r>
      <w:r>
        <w:rPr/>
        <w:t>20</w:t>
      </w:r>
      <w:r>
        <w:rPr/>
        <w:t>、</w:t>
      </w:r>
      <w:r>
        <w:rPr/>
        <w:t>10</w:t>
      </w:r>
      <w:r>
        <w:rPr/>
        <w:t>亿元等为研究流动性安排，不声称已得到所有产品期限和承诺。若产品期限更长、收益受限或存在信用损失，现金路径与财资收益要重估；资金总额充足不等于每个时点都能付款。</w:t>
      </w:r>
    </w:p>
    <w:p>
      <w:pPr>
        <w:pStyle w:val="Normal"/>
        <w:rPr/>
      </w:pPr>
      <w:r>
        <w:rPr/>
        <w:t>借款绝大部分为直接控股公司</w:t>
      </w:r>
      <w:r>
        <w:rPr/>
        <w:t>Golden Link</w:t>
      </w:r>
      <w:r>
        <w:rPr/>
        <w:t>提供的</w:t>
      </w:r>
      <w:r>
        <w:rPr/>
        <w:t>70.76</w:t>
      </w:r>
      <w:r>
        <w:rPr/>
        <w:t>亿元，固定利率</w:t>
      </w:r>
      <w:r>
        <w:rPr/>
        <w:t>1.78%</w:t>
      </w:r>
      <w:r>
        <w:rPr/>
        <w:t>至</w:t>
      </w:r>
      <w:r>
        <w:rPr/>
        <w:t>1.90%</w:t>
      </w:r>
      <w:r>
        <w:rPr/>
        <w:t>，到期在一年内。低息关联融资帮助盈利，但同样使再融资依赖控制方及合同。模型</w:t>
      </w:r>
      <w:r>
        <w:rPr/>
        <w:t>2026</w:t>
      </w:r>
      <w:r>
        <w:rPr/>
        <w:t>下半年安排偿</w:t>
      </w:r>
      <w:r>
        <w:rPr/>
        <w:t>70</w:t>
      </w:r>
      <w:r>
        <w:rPr/>
        <w:t>、借</w:t>
      </w:r>
      <w:r>
        <w:rPr/>
        <w:t>70</w:t>
      </w:r>
      <w:r>
        <w:rPr/>
        <w:t>亿元，之后借款逐步减少，是研究假设而非已承诺额度。如果续借不能发生，即使理财能够赎回也可能挤占研发、扩产和回购。公司现金最低储备假设</w:t>
      </w:r>
      <w:r>
        <w:rPr/>
        <w:t>15</w:t>
      </w:r>
      <w:r>
        <w:rPr/>
        <w:t>亿元并不证明真实信用安排，风险分保留折扣。</w:t>
      </w:r>
    </w:p>
    <w:p>
      <w:pPr>
        <w:pStyle w:val="Normal"/>
        <w:rPr/>
      </w:pPr>
      <w:r>
        <w:rPr/>
        <w:t>利息应计与实付不同，上半年融资成本</w:t>
      </w:r>
      <w:r>
        <w:rPr/>
        <w:t>1.281</w:t>
      </w:r>
      <w:r>
        <w:rPr/>
        <w:t>亿元，支付利息</w:t>
      </w:r>
      <w:r>
        <w:rPr/>
        <w:t>1.716</w:t>
      </w:r>
      <w:r>
        <w:rPr/>
        <w:t>亿元。模型从正常税后利润转现金时，银行利息按应计近似实付，实际账期和应付变化没有完整拆开，必须明示代理。租赁现金是包括利息的整笔付款；年报融资负债桥分列现金减少</w:t>
      </w:r>
      <w:r>
        <w:rPr/>
        <w:t>5.888</w:t>
      </w:r>
      <w:r>
        <w:rPr/>
        <w:t>亿元及租息</w:t>
      </w:r>
      <w:r>
        <w:rPr/>
        <w:t>0.761</w:t>
      </w:r>
      <w:r>
        <w:rPr/>
        <w:t>亿元，故预测先加回已在利润中扣的租息，再扣全部租赁付款。这样避免重复扣，但上半年租息未独立披露，</w:t>
      </w:r>
      <w:r>
        <w:rPr/>
        <w:t>0.4</w:t>
      </w:r>
      <w:r>
        <w:rPr/>
        <w:t>亿元拆分仍是估计。</w:t>
      </w:r>
    </w:p>
    <w:p>
      <w:pPr>
        <w:pStyle w:val="Normal"/>
        <w:rPr/>
      </w:pPr>
      <w:r>
        <w:rPr/>
        <w:t>资产负债中的商誉约</w:t>
      </w:r>
      <w:r>
        <w:rPr/>
        <w:t>43.62</w:t>
      </w:r>
      <w:r>
        <w:rPr/>
        <w:t>亿元，无形资产</w:t>
      </w:r>
      <w:r>
        <w:rPr/>
        <w:t>23.13</w:t>
      </w:r>
      <w:r>
        <w:rPr/>
        <w:t>亿元，是历史收购和资产识别的结果，不能当即时变现现金。整合协同和客户关系可以支持未来利润，但低需求或结构变化会导致减值。减值非当期现金流出，并不意味着与股东价值无关；它可能证明过往资本支出回报不足。基准没有额外给商誉或客户关系资产</w:t>
      </w:r>
      <w:r>
        <w:rPr/>
        <w:t>NAV</w:t>
      </w:r>
      <w:r>
        <w:rPr/>
        <w:t>，其价值需通过真实营业利润呈现。大额新增收购应单独评估交易价格、融资和整合成本。</w:t>
      </w:r>
    </w:p>
    <w:p>
      <w:pPr>
        <w:pStyle w:val="Normal"/>
        <w:rPr/>
      </w:pPr>
      <w:r>
        <w:rPr/>
        <w:t>资本承诺约</w:t>
      </w:r>
      <w:r>
        <w:rPr/>
        <w:t>4.078</w:t>
      </w:r>
      <w:r>
        <w:rPr/>
        <w:t>亿元属于已订约未计提支出，未来资本开支预算需要覆盖，但不能在预算之外再重复扣一次。上半年购设备</w:t>
      </w:r>
      <w:r>
        <w:rPr/>
        <w:t>24.666</w:t>
      </w:r>
      <w:r>
        <w:rPr/>
        <w:t>亿元、土地使用权</w:t>
      </w:r>
      <w:r>
        <w:rPr/>
        <w:t>0.266</w:t>
      </w:r>
      <w:r>
        <w:rPr/>
        <w:t>亿元，折旧摊销约</w:t>
      </w:r>
      <w:r>
        <w:rPr/>
        <w:t>32.974</w:t>
      </w:r>
      <w:r>
        <w:rPr/>
        <w:t>亿元，短期资产净值下降不表示可以长期少投。部件、汽车和</w:t>
      </w:r>
      <w:r>
        <w:rPr/>
        <w:t>AI</w:t>
      </w:r>
      <w:r>
        <w:rPr/>
        <w:t>架构不断升级，维修和替换不可省。悲观资本开支较低是业务缩量假设，乐观资本开支高是实际生产需要；只提高销售而固定低投入会夸大现金回报。</w:t>
      </w:r>
    </w:p>
    <w:p>
      <w:pPr>
        <w:pStyle w:val="Heading2"/>
        <w:rPr/>
      </w:pPr>
      <w:r>
        <w:rPr>
          <w:color w:val="000000"/>
        </w:rPr>
        <w:t>股份支付 分红与治理</w:t>
      </w:r>
    </w:p>
    <w:p>
      <w:pPr>
        <w:pStyle w:val="Normal"/>
        <w:rPr/>
      </w:pPr>
      <w:r>
        <w:rPr/>
        <w:t>九月底法律股数</w:t>
      </w:r>
      <w:r>
        <w:rPr/>
        <w:t>22.532045</w:t>
      </w:r>
      <w:r>
        <w:rPr/>
        <w:t>亿、法律库存为零，月报十月一日</w:t>
      </w:r>
      <w:r>
        <w:rPr/>
        <w:t>18</w:t>
      </w:r>
      <w:r>
        <w:rPr/>
        <w:t>时</w:t>
      </w:r>
      <w:r>
        <w:rPr/>
        <w:t>55</w:t>
      </w:r>
      <w:r>
        <w:rPr/>
        <w:t>分发布。上半年会计加权股数</w:t>
      </w:r>
      <w:r>
        <w:rPr/>
        <w:t>22.461085</w:t>
      </w:r>
      <w:r>
        <w:rPr/>
        <w:t>亿较法律股数少，涉及信托持股及每股盈利计算，不能把差额直接解释成注销。研究使用完整法律股数作为保守经济分母，员工信托持股未来恢复参与不再额外增股。新发员工股假设另设且初版为零，若未来实际增发需修改分母；这比机械把已购信托股永久剔除更符合长期权益。</w:t>
      </w:r>
    </w:p>
    <w:p>
      <w:pPr>
        <w:pStyle w:val="Normal"/>
        <w:rPr/>
      </w:pPr>
      <w:r>
        <w:rPr/>
        <w:t>2025</w:t>
      </w:r>
      <w:r>
        <w:rPr/>
        <w:t>股权激励授</w:t>
      </w:r>
      <w:r>
        <w:rPr/>
        <w:t>709.6</w:t>
      </w:r>
      <w:r>
        <w:rPr/>
        <w:t>万份限制股，授予价值约</w:t>
      </w:r>
      <w:r>
        <w:rPr/>
        <w:t>2.079</w:t>
      </w:r>
      <w:r>
        <w:rPr/>
        <w:t>亿元，费用</w:t>
      </w:r>
      <w:r>
        <w:rPr/>
        <w:t>0.665</w:t>
      </w:r>
      <w:r>
        <w:rPr/>
        <w:t>亿元，</w:t>
      </w:r>
      <w:r>
        <w:rPr/>
        <w:t>2026</w:t>
      </w:r>
      <w:r>
        <w:rPr/>
        <w:t>半年费用</w:t>
      </w:r>
      <w:r>
        <w:rPr/>
        <w:t>0.605</w:t>
      </w:r>
      <w:r>
        <w:rPr/>
        <w:t>亿元。它是员工服务的经济成本，完整行政和研发中保留，转现金时非现金加回。</w:t>
      </w:r>
      <w:r>
        <w:rPr/>
        <w:t>2025</w:t>
      </w:r>
      <w:r>
        <w:rPr/>
        <w:t>买股约</w:t>
      </w:r>
      <w:r>
        <w:rPr/>
        <w:t>2.08</w:t>
      </w:r>
      <w:r>
        <w:rPr/>
        <w:t>亿元已经在六月现金起点中，不能再扣。未来信托为员工买旧股现金单列，不作为股数永久减少；模型也没有同时为同一服务再设全部股份支付现金替代与新增股稀释，避免两种经济处理重复。</w:t>
      </w:r>
    </w:p>
    <w:p>
      <w:pPr>
        <w:pStyle w:val="Normal"/>
        <w:rPr/>
      </w:pPr>
      <w:r>
        <w:rPr/>
        <w:t>三月二十七日</w:t>
      </w:r>
      <w:r>
        <w:rPr/>
        <w:t>19</w:t>
      </w:r>
      <w:r>
        <w:rPr/>
        <w:t>时</w:t>
      </w:r>
      <w:r>
        <w:rPr/>
        <w:t>54</w:t>
      </w:r>
      <w:r>
        <w:rPr/>
        <w:t>分公告，首期业绩条件未达到，</w:t>
      </w:r>
      <w:r>
        <w:rPr/>
        <w:t>30%</w:t>
      </w:r>
      <w:r>
        <w:rPr/>
        <w:t>授予股份不会归属，信托以人民币零元收回用于未来计划。这与回购注销不同：没有新现金流出，股份仍可能服务未来员工安排，不能把该公告当永久</w:t>
      </w:r>
      <w:r>
        <w:rPr/>
        <w:t>EPS</w:t>
      </w:r>
      <w:r>
        <w:rPr/>
        <w:t>增厚。首期激励未达条件也是经营目标未实现的证据，应与上年利润下降一起理解。未来激励是否与普通股东每股利润、现金和回报一致，是治理评价核心，而不是只看管理层持股比例。</w:t>
      </w:r>
    </w:p>
    <w:p>
      <w:pPr>
        <w:pStyle w:val="Normal"/>
        <w:rPr/>
      </w:pPr>
      <w:r>
        <w:rPr/>
        <w:t>2025</w:t>
      </w:r>
      <w:r>
        <w:rPr/>
        <w:t>末期息每股</w:t>
      </w:r>
      <w:r>
        <w:rPr/>
        <w:t>0.156</w:t>
      </w:r>
      <w:r>
        <w:rPr/>
        <w:t>元人民币、</w:t>
      </w:r>
      <w:r>
        <w:rPr/>
        <w:t>0.17928</w:t>
      </w:r>
      <w:r>
        <w:rPr/>
        <w:t>港元，最终更新六月份，六月十一日除息、六月十八日登记、七月三十一日派付。原三月公告派付日期后来更新，采用最新有效文件。十月投资起点不能再加这笔已除息股息。中报没有新中期息，年底和半年未来分红为零；一年基准</w:t>
      </w:r>
      <w:r>
        <w:rPr/>
        <w:t>0.3178</w:t>
      </w:r>
      <w:r>
        <w:rPr/>
        <w:t>港元来自正常</w:t>
      </w:r>
      <w:r>
        <w:rPr/>
        <w:t>2026</w:t>
      </w:r>
      <w:r>
        <w:rPr/>
        <w:t>利润</w:t>
      </w:r>
      <w:r>
        <w:rPr/>
        <w:t>20%</w:t>
      </w:r>
      <w:r>
        <w:rPr/>
        <w:t>的研究派息假设，董事会并未宣布。利润修复如果没有现金支撑，未来分红也可能降低或取消。</w:t>
      </w:r>
    </w:p>
    <w:p>
      <w:pPr>
        <w:pStyle w:val="Normal"/>
        <w:rPr/>
      </w:pPr>
      <w:r>
        <w:rPr/>
        <w:t>关联采购、加工、租赁与资金应看交易价格及审批。上半年销售存货给控股及同系约</w:t>
      </w:r>
      <w:r>
        <w:rPr/>
        <w:t>133.04</w:t>
      </w:r>
      <w:r>
        <w:rPr/>
        <w:t>亿元，另有设备、加工和电费等交易；不能将这些金额全部当纯汽车外部收入，也不能无条件按集团成交量新增。关联应付</w:t>
      </w:r>
      <w:r>
        <w:rPr/>
        <w:t>134.60</w:t>
      </w:r>
      <w:r>
        <w:rPr/>
        <w:t>亿元为无抵押、免息且按要求偿还，支持生产周转，却有资金时点敏感性。独立董事、年度上限和交易披露提供审阅框架，投资者仍需比较条款与外部客户，治理不能只依据“正常业务过程”一句判断。</w:t>
      </w:r>
    </w:p>
    <w:p>
      <w:pPr>
        <w:pStyle w:val="Heading2"/>
        <w:rPr/>
      </w:pPr>
      <w:r>
        <w:rPr>
          <w:color w:val="000000"/>
        </w:rPr>
        <w:t>半年日线与量价</w:t>
      </w:r>
    </w:p>
    <w:p>
      <w:pPr>
        <w:pStyle w:val="Normal"/>
        <w:rPr/>
      </w:pPr>
      <w:r>
        <w:rPr/>
        <w:t>23.16</w:t>
      </w:r>
      <w:r>
        <w:rPr/>
        <w:t>港元双源现价一致，成交量与独立日线单位比为一，三年</w:t>
      </w:r>
      <w:r>
        <w:rPr/>
        <w:t>739</w:t>
      </w:r>
      <w:r>
        <w:rPr/>
        <w:t>日线、</w:t>
      </w:r>
      <w:r>
        <w:rPr/>
        <w:t>157</w:t>
      </w:r>
      <w:r>
        <w:rPr/>
        <w:t>周线可用。最近六十天复权跨源最高差约</w:t>
      </w:r>
      <w:r>
        <w:rPr/>
        <w:t>0.000005%</w:t>
      </w:r>
      <w:r>
        <w:rPr/>
        <w:t>，明显小于一般需要警惕的复权差，本章价形较高可信。复权</w:t>
      </w:r>
      <w:r>
        <w:rPr/>
        <w:t>OHLC</w:t>
      </w:r>
      <w:r>
        <w:rPr/>
        <w:t>以基准日名义价格归一，支阻不是历史未复权报价直接拼接。股息和公司行动已入数据记录；研究不重新采价改变统一基准，也不把供应商显示的未核</w:t>
      </w:r>
      <w:r>
        <w:rPr/>
        <w:t>PE</w:t>
      </w:r>
      <w:r>
        <w:rPr/>
        <w:t>和</w:t>
      </w:r>
      <w:r>
        <w:rPr/>
        <w:t>PB</w:t>
      </w:r>
      <w:r>
        <w:rPr/>
        <w:t>作为行情核验结论。</w:t>
      </w:r>
    </w:p>
    <w:p>
      <w:pPr>
        <w:pStyle w:val="Normal"/>
        <w:rPr/>
      </w:pPr>
      <w:r>
        <w:rPr/>
        <w:t>二十、六十、一百二十、二百五十日均线</w:t>
      </w:r>
      <w:r>
        <w:rPr/>
        <w:t>23.183</w:t>
      </w:r>
      <w:r>
        <w:rPr/>
        <w:t>、</w:t>
      </w:r>
      <w:r>
        <w:rPr/>
        <w:t>23.8853</w:t>
      </w:r>
      <w:r>
        <w:rPr/>
        <w:t>、</w:t>
      </w:r>
      <w:r>
        <w:rPr/>
        <w:t>24.7251</w:t>
      </w:r>
      <w:r>
        <w:rPr/>
        <w:t>、</w:t>
      </w:r>
      <w:r>
        <w:rPr/>
        <w:t>29.2973</w:t>
      </w:r>
      <w:r>
        <w:rPr/>
        <w:t>，现价分别约低</w:t>
      </w:r>
      <w:r>
        <w:rPr/>
        <w:t>0.10%</w:t>
      </w:r>
      <w:r>
        <w:rPr/>
        <w:t>、</w:t>
      </w:r>
      <w:r>
        <w:rPr/>
        <w:t>3.04%</w:t>
      </w:r>
      <w:r>
        <w:rPr/>
        <w:t>、</w:t>
      </w:r>
      <w:r>
        <w:rPr/>
        <w:t>6.33%</w:t>
      </w:r>
      <w:r>
        <w:rPr/>
        <w:t>、</w:t>
      </w:r>
      <w:r>
        <w:rPr/>
        <w:t>20.95%</w:t>
      </w:r>
      <w:r>
        <w:rPr/>
        <w:t>。所有均线上方尚未收复，不能因当天涨</w:t>
      </w:r>
      <w:r>
        <w:rPr/>
        <w:t>4.61%</w:t>
      </w:r>
      <w:r>
        <w:rPr/>
        <w:t>就称完整上升趋势。五日斜率二十日负</w:t>
      </w:r>
      <w:r>
        <w:rPr/>
        <w:t>2.29%</w:t>
      </w:r>
      <w:r>
        <w:rPr/>
        <w:t>、六十日正</w:t>
      </w:r>
      <w:r>
        <w:rPr/>
        <w:t>0.18%</w:t>
      </w:r>
      <w:r>
        <w:rPr/>
        <w:t>、一百二十日负</w:t>
      </w:r>
      <w:r>
        <w:rPr/>
        <w:t>0.81%</w:t>
      </w:r>
      <w:r>
        <w:rPr/>
        <w:t>、二百五十日负</w:t>
      </w:r>
      <w:r>
        <w:rPr/>
        <w:t>1.20%</w:t>
      </w:r>
      <w:r>
        <w:rPr/>
        <w:t>，仅六十日稍平。这更像下降后局部震荡及反弹试探，半年技术分</w:t>
      </w:r>
      <w:r>
        <w:rPr/>
        <w:t>2.7</w:t>
      </w:r>
      <w:r>
        <w:rPr/>
        <w:t>反映转强未确认。</w:t>
      </w:r>
    </w:p>
    <w:p>
      <w:pPr>
        <w:pStyle w:val="Normal"/>
        <w:rPr/>
      </w:pPr>
      <w:r>
        <w:rPr/>
        <w:t>最近二十日观察低</w:t>
      </w:r>
      <w:r>
        <w:rPr/>
        <w:t>22.10</w:t>
      </w:r>
      <w:r>
        <w:rPr/>
        <w:t>、高</w:t>
      </w:r>
      <w:r>
        <w:rPr/>
        <w:t>24.20</w:t>
      </w:r>
      <w:r>
        <w:rPr/>
        <w:t>，距现价约负</w:t>
      </w:r>
      <w:r>
        <w:rPr/>
        <w:t>4.58%</w:t>
      </w:r>
      <w:r>
        <w:rPr/>
        <w:t>和正</w:t>
      </w:r>
      <w:r>
        <w:rPr/>
        <w:t>4.49%</w:t>
      </w:r>
      <w:r>
        <w:rPr/>
        <w:t>；六十日高</w:t>
      </w:r>
      <w:r>
        <w:rPr/>
        <w:t>27.52</w:t>
      </w:r>
      <w:r>
        <w:rPr/>
        <w:t>约上</w:t>
      </w:r>
      <w:r>
        <w:rPr/>
        <w:t>18.83%</w:t>
      </w:r>
      <w:r>
        <w:rPr/>
        <w:t>，并不是已经确认的供应密集成本区。区间最低最高只是观察点，没有逐笔、盘口或触碰次数证据。首先看是否保持</w:t>
      </w:r>
      <w:r>
        <w:rPr/>
        <w:t>22.10</w:t>
      </w:r>
      <w:r>
        <w:rPr/>
        <w:t>上方并突破</w:t>
      </w:r>
      <w:r>
        <w:rPr/>
        <w:t>24.20</w:t>
      </w:r>
      <w:r>
        <w:rPr/>
        <w:t>及</w:t>
      </w:r>
      <w:r>
        <w:rPr/>
        <w:t>60</w:t>
      </w:r>
      <w:r>
        <w:rPr/>
        <w:t>日线，再看</w:t>
      </w:r>
      <w:r>
        <w:rPr/>
        <w:t>24.73</w:t>
      </w:r>
      <w:r>
        <w:rPr/>
        <w:t>附近中期线；若突破后迅速回落、收盘失守</w:t>
      </w:r>
      <w:r>
        <w:rPr/>
        <w:t>22.10</w:t>
      </w:r>
      <w:r>
        <w:rPr/>
        <w:t>并放量，短期修复判断应失效。远期估值目标不能代替这些近期交易证据。</w:t>
      </w:r>
    </w:p>
    <w:p>
      <w:pPr>
        <w:pStyle w:val="Normal"/>
        <w:rPr/>
      </w:pPr>
      <w:r>
        <w:rPr/>
        <w:t>52</w:t>
      </w:r>
      <w:r>
        <w:rPr/>
        <w:t>周复权高约</w:t>
      </w:r>
      <w:r>
        <w:rPr/>
        <w:t>44.289</w:t>
      </w:r>
      <w:r>
        <w:rPr/>
        <w:t>、低</w:t>
      </w:r>
      <w:r>
        <w:rPr/>
        <w:t>20.10</w:t>
      </w:r>
      <w:r>
        <w:rPr/>
        <w:t>，现价距高负</w:t>
      </w:r>
      <w:r>
        <w:rPr/>
        <w:t>47.71%</w:t>
      </w:r>
      <w:r>
        <w:rPr/>
        <w:t>，历史最大回撤约</w:t>
      </w:r>
      <w:r>
        <w:rPr/>
        <w:t>53.62%</w:t>
      </w:r>
      <w:r>
        <w:rPr/>
        <w:t>。深跌可以造成估值与预期调整，也可能来自盈利周期转坏，不是反转必然。</w:t>
      </w:r>
      <w:r>
        <w:rPr/>
        <w:t>20.10</w:t>
      </w:r>
      <w:r>
        <w:rPr/>
        <w:t>观察低点距现价约</w:t>
      </w:r>
      <w:r>
        <w:rPr/>
        <w:t>13.21%</w:t>
      </w:r>
      <w:r>
        <w:rPr/>
        <w:t>，股价跌破该点并不意味着模型最大损失已经触及；悲观经营价格更低。短期应区分以历史价格定义的波动风险与财务价值风险，避免用“已经跌了一半”替代收入和利润核算。</w:t>
      </w:r>
    </w:p>
    <w:p>
      <w:pPr>
        <w:pStyle w:val="Normal"/>
        <w:rPr/>
      </w:pPr>
      <w:r>
        <w:rPr/>
        <w:t>当日成交</w:t>
      </w:r>
      <w:r>
        <w:rPr/>
        <w:t>1038.92</w:t>
      </w:r>
      <w:r>
        <w:rPr/>
        <w:t>万股、金额约</w:t>
      </w:r>
      <w:r>
        <w:rPr/>
        <w:t>2.36</w:t>
      </w:r>
      <w:r>
        <w:rPr/>
        <w:t>亿港元；五、二十、六十日均量</w:t>
      </w:r>
      <w:r>
        <w:rPr/>
        <w:t>636.31</w:t>
      </w:r>
      <w:r>
        <w:rPr/>
        <w:t>万、</w:t>
      </w:r>
      <w:r>
        <w:rPr/>
        <w:t>678.84</w:t>
      </w:r>
      <w:r>
        <w:rPr/>
        <w:t>万、</w:t>
      </w:r>
      <w:r>
        <w:rPr/>
        <w:t>1046.10</w:t>
      </w:r>
      <w:r>
        <w:rPr/>
        <w:t>万股。当天相对之前二十日均量约</w:t>
      </w:r>
      <w:r>
        <w:rPr/>
        <w:t>1.542</w:t>
      </w:r>
      <w:r>
        <w:rPr/>
        <w:t>倍，上涨配增量有一定改善，但五日均量小于二十日、二十日又小于六十日，整体交易活跃度仍低于之前阶段。只有后续连续放量、价格稳定越过观察阻力，才能提高技术确认。单日量比不应与相近动量指标反复加分，也不能据此断言主力建仓。</w:t>
      </w:r>
    </w:p>
    <w:p>
      <w:pPr>
        <w:pStyle w:val="Normal"/>
        <w:rPr/>
      </w:pPr>
      <w:r>
        <w:rPr/>
        <w:t>最近二十天上涨日量</w:t>
      </w:r>
      <w:r>
        <w:rPr/>
        <w:t>6050.18</w:t>
      </w:r>
      <w:r>
        <w:rPr/>
        <w:t>万、下跌</w:t>
      </w:r>
      <w:r>
        <w:rPr/>
        <w:t>7086.68</w:t>
      </w:r>
      <w:r>
        <w:rPr/>
        <w:t>万、平盘</w:t>
      </w:r>
      <w:r>
        <w:rPr/>
        <w:t>439.98</w:t>
      </w:r>
      <w:r>
        <w:rPr/>
        <w:t>万，上涨八天下跌十一天，涨跌量比</w:t>
      </w:r>
      <w:r>
        <w:rPr/>
        <w:t>0.854</w:t>
      </w:r>
      <w:r>
        <w:rPr/>
        <w:t>。按日涨跌分组不能代表净买卖，每笔交易买卖对应；它只显示下跌日交易活跃度仍较高。成交额可核，但自由流通分母和准确换手口径不足，故不填精确换手。不能以法律总股或控股外简单余额当同一换手分母，更不画声称精确的成交密集筹码分布，避免给量价图超过数据的信息。</w:t>
      </w:r>
    </w:p>
    <w:p>
      <w:pPr>
        <w:pStyle w:val="Normal"/>
        <w:rPr/>
      </w:pPr>
      <w:r>
        <w:rPr/>
        <w:t>同期恒生指数二十日负</w:t>
      </w:r>
      <w:r>
        <w:rPr/>
        <w:t>2.98%</w:t>
      </w:r>
      <w:r>
        <w:rPr/>
        <w:t>、六十日负</w:t>
      </w:r>
      <w:r>
        <w:rPr/>
        <w:t>3.19%</w:t>
      </w:r>
      <w:r>
        <w:rPr/>
        <w:t>，电子回报负</w:t>
      </w:r>
      <w:r>
        <w:rPr/>
        <w:t>3.90%</w:t>
      </w:r>
      <w:r>
        <w:rPr/>
        <w:t>、负</w:t>
      </w:r>
      <w:r>
        <w:rPr/>
        <w:t>1.28%</w:t>
      </w:r>
      <w:r>
        <w:rPr/>
        <w:t>，超额约负</w:t>
      </w:r>
      <w:r>
        <w:rPr/>
        <w:t>0.92</w:t>
      </w:r>
      <w:r>
        <w:rPr/>
        <w:t>、正</w:t>
      </w:r>
      <w:r>
        <w:rPr/>
        <w:t>1.91</w:t>
      </w:r>
      <w:r>
        <w:rPr/>
        <w:t>个百分点。短期仍略弱市场，中期相对跌幅较小但没有绝对上涨。恒生科技只能粗略硬件风格参照，行业超额二十日负</w:t>
      </w:r>
      <w:r>
        <w:rPr/>
        <w:t>0.84</w:t>
      </w:r>
      <w:r>
        <w:rPr/>
        <w:t>、六十日正</w:t>
      </w:r>
      <w:r>
        <w:rPr/>
        <w:t>11.89</w:t>
      </w:r>
      <w:r>
        <w:rPr/>
        <w:t>个百分点不能解释为领先专属液冷同行。公司业务混合，比较需同时理解消费、汽车和</w:t>
      </w:r>
      <w:r>
        <w:rPr/>
        <w:t>AI</w:t>
      </w:r>
      <w:r>
        <w:rPr/>
        <w:t>结构，避免市场或行业指数选择造成虚假强势结论。</w:t>
      </w:r>
    </w:p>
    <w:p>
      <w:pPr>
        <w:pStyle w:val="Normal"/>
        <w:rPr/>
      </w:pPr>
      <w:r>
        <w:rPr/>
        <w:t>RSI</w:t>
      </w:r>
      <w:r>
        <w:rPr/>
        <w:t>约</w:t>
      </w:r>
      <w:r>
        <w:rPr/>
        <w:t>48.02</w:t>
      </w:r>
      <w:r>
        <w:rPr/>
        <w:t>接近中性，</w:t>
      </w:r>
      <w:r>
        <w:rPr/>
        <w:t>ATR</w:t>
      </w:r>
      <w:r>
        <w:rPr/>
        <w:t>约</w:t>
      </w:r>
      <w:r>
        <w:rPr/>
        <w:t>0.964</w:t>
      </w:r>
      <w:r>
        <w:rPr/>
        <w:t>港元、</w:t>
      </w:r>
      <w:r>
        <w:rPr/>
        <w:t>4.16%</w:t>
      </w:r>
      <w:r>
        <w:rPr/>
        <w:t>反映日波动较高，</w:t>
      </w:r>
      <w:r>
        <w:rPr/>
        <w:t>MACD</w:t>
      </w:r>
      <w:r>
        <w:rPr/>
        <w:t>差值负</w:t>
      </w:r>
      <w:r>
        <w:rPr/>
        <w:t>0.2996</w:t>
      </w:r>
      <w:r>
        <w:rPr/>
        <w:t>、信号负</w:t>
      </w:r>
      <w:r>
        <w:rPr/>
        <w:t>0.3048</w:t>
      </w:r>
      <w:r>
        <w:rPr/>
        <w:t>，柱约正</w:t>
      </w:r>
      <w:r>
        <w:rPr/>
        <w:t>0.0105</w:t>
      </w:r>
      <w:r>
        <w:rPr/>
        <w:t>。柱转正很小只代表短动量边际改善，差值仍负不能称已进入强趋势。</w:t>
      </w:r>
      <w:r>
        <w:rPr/>
        <w:t>ATR</w:t>
      </w:r>
      <w:r>
        <w:rPr/>
        <w:t>用于理解正常波动和观察价位距离，不能从它推导确定的年底置信区间。技术判断主要来自均线、区间、量比和相对强弱，辅助指标帮助复核而不重复计分。</w:t>
      </w:r>
    </w:p>
    <w:p>
      <w:pPr>
        <w:pStyle w:val="Heading2"/>
        <w:rPr/>
      </w:pPr>
      <w:r>
        <w:rPr>
          <w:color w:val="000000"/>
        </w:rPr>
        <w:t>周线及买入观察条件</w:t>
      </w:r>
    </w:p>
    <w:p>
      <w:pPr>
        <w:pStyle w:val="Normal"/>
        <w:rPr/>
      </w:pPr>
      <w:r>
        <w:rPr/>
        <w:t>周线二十、六十、一百二十周均线</w:t>
      </w:r>
      <w:r>
        <w:rPr/>
        <w:t>23.9549</w:t>
      </w:r>
      <w:r>
        <w:rPr/>
        <w:t>、</w:t>
      </w:r>
      <w:r>
        <w:rPr/>
        <w:t>30.4671</w:t>
      </w:r>
      <w:r>
        <w:rPr/>
        <w:t>、</w:t>
      </w:r>
      <w:r>
        <w:rPr/>
        <w:t>32.9844</w:t>
      </w:r>
      <w:r>
        <w:rPr/>
        <w:t>，现价低</w:t>
      </w:r>
      <w:r>
        <w:rPr/>
        <w:t>3.32%</w:t>
      </w:r>
      <w:r>
        <w:rPr/>
        <w:t>、</w:t>
      </w:r>
      <w:r>
        <w:rPr/>
        <w:t>23.98%</w:t>
      </w:r>
      <w:r>
        <w:rPr/>
        <w:t>、</w:t>
      </w:r>
      <w:r>
        <w:rPr/>
        <w:t>29.79%</w:t>
      </w:r>
      <w:r>
        <w:rPr/>
        <w:t>，三条五周斜率均向下。周线</w:t>
      </w:r>
      <w:r>
        <w:rPr/>
        <w:t>RSI</w:t>
      </w:r>
      <w:r>
        <w:rPr/>
        <w:t>约</w:t>
      </w:r>
      <w:r>
        <w:rPr/>
        <w:t>41.09</w:t>
      </w:r>
      <w:r>
        <w:rPr/>
        <w:t>、</w:t>
      </w:r>
      <w:r>
        <w:rPr/>
        <w:t>MACD</w:t>
      </w:r>
      <w:r>
        <w:rPr/>
        <w:t>柱转正而差值仍负，显示下降动量可能减缓，却尚未转为多年上行。当前周线没有二百五十周完整数据，因此不补造该均线。</w:t>
      </w:r>
      <w:r>
        <w:rPr/>
        <w:t>157</w:t>
      </w:r>
      <w:r>
        <w:rPr/>
        <w:t>周真实历史足够看三年趋势，但不能借同一指标讨论十年价格形态。</w:t>
      </w:r>
    </w:p>
    <w:p>
      <w:pPr>
        <w:pStyle w:val="Normal"/>
        <w:rPr/>
      </w:pPr>
      <w:r>
        <w:rPr/>
        <w:t>周均量五、二十、六十周约</w:t>
      </w:r>
      <w:r>
        <w:rPr/>
        <w:t>3726.43</w:t>
      </w:r>
      <w:r>
        <w:rPr/>
        <w:t>万、</w:t>
      </w:r>
      <w:r>
        <w:rPr/>
        <w:t>5809.46</w:t>
      </w:r>
      <w:r>
        <w:rPr/>
        <w:t>万、</w:t>
      </w:r>
      <w:r>
        <w:rPr/>
        <w:t>6898.55</w:t>
      </w:r>
      <w:r>
        <w:rPr/>
        <w:t>万股，最新周对先前二十周均量约</w:t>
      </w:r>
      <w:r>
        <w:rPr/>
        <w:t>0.544</w:t>
      </w:r>
      <w:r>
        <w:rPr/>
        <w:t>倍。周量并不支持持续大型突破，日内放量要能传到多周成交和价格才更有意义。观察阶段可以用</w:t>
      </w:r>
      <w:r>
        <w:rPr/>
        <w:t>22.10</w:t>
      </w:r>
      <w:r>
        <w:rPr/>
        <w:t>至</w:t>
      </w:r>
      <w:r>
        <w:rPr/>
        <w:t>24.20</w:t>
      </w:r>
      <w:r>
        <w:rPr/>
        <w:t>震荡作为第一层，以</w:t>
      </w:r>
      <w:r>
        <w:rPr/>
        <w:t>24.73</w:t>
      </w:r>
      <w:r>
        <w:rPr/>
        <w:t>至</w:t>
      </w:r>
      <w:r>
        <w:rPr/>
        <w:t>27.52</w:t>
      </w:r>
      <w:r>
        <w:rPr/>
        <w:t>作为后续验证，而不是机械宣称每个价位都必有支撑或阻力。盈利公告、客户项目和市场风险可能产生跳空，技术失效条件需优先按事实更新。</w:t>
      </w:r>
    </w:p>
    <w:p>
      <w:pPr>
        <w:pStyle w:val="Normal"/>
        <w:rPr/>
      </w:pPr>
      <w:r>
        <w:rPr/>
        <w:t>进取型买入观察不等于在所有价格等量持有。若价格确认突破同时正常毛利、回款和订单向好，可以把技术与经营证据共同提升；若仅主题炒作带动成交、公司收入和现金仍弱，应减少对基准兑现的依赖。研究不为个人资金给未经了解的具体仓位比例，四榜排序比较机会质量与风险。利润预测与技术判断各有时效，股价先涨而盈利未证实会提高估值风险，后续排名必须按新基准重算。</w:t>
      </w:r>
    </w:p>
    <w:p>
      <w:pPr>
        <w:pStyle w:val="Heading2"/>
        <w:rPr/>
      </w:pPr>
      <w:r>
        <w:rPr>
          <w:color w:val="000000"/>
        </w:rPr>
        <w:t>正常盈利估值模型</w:t>
      </w:r>
    </w:p>
    <w:p>
      <w:pPr>
        <w:pStyle w:val="Normal"/>
        <w:rPr/>
      </w:pPr>
      <w:r>
        <w:rPr/>
        <w:t>成熟盈利制造企业采用正常归母盈利和</w:t>
      </w:r>
      <w:r>
        <w:rPr/>
        <w:t>PE</w:t>
      </w:r>
      <w:r>
        <w:rPr/>
        <w:t>，但正常化必须通过经营模型而非简单加回汇兑。六业务毛利减完整营销、行政、研发，再加有限正常补助和其他，现金及理财息按期初余额，扣银行和租息及正常税。利润包含财资资源收益，</w:t>
      </w:r>
      <w:r>
        <w:rPr/>
        <w:t>PE</w:t>
      </w:r>
      <w:r>
        <w:rPr/>
        <w:t>后不再加现金、理财或其他金融资产</w:t>
      </w:r>
      <w:r>
        <w:rPr/>
        <w:t>NAV</w:t>
      </w:r>
      <w:r>
        <w:rPr/>
        <w:t>；现金主要验证融资、回购和分红能否持续。盈利估值与现金验证是不同用途，不能为了目标价好看在两套模型间挑有利结果。</w:t>
      </w:r>
    </w:p>
    <w:p>
      <w:pPr>
        <w:pStyle w:val="Normal"/>
        <w:rPr/>
      </w:pPr>
      <w:r>
        <w:rPr/>
        <w:t>基准</w:t>
      </w:r>
      <w:r>
        <w:rPr/>
        <w:t>2027</w:t>
      </w:r>
      <w:r>
        <w:rPr/>
        <w:t>部件</w:t>
      </w:r>
      <w:r>
        <w:rPr/>
        <w:t>280</w:t>
      </w:r>
      <w:r>
        <w:rPr/>
        <w:t>亿元、组装</w:t>
      </w:r>
      <w:r>
        <w:rPr/>
        <w:t>1220</w:t>
      </w:r>
      <w:r>
        <w:rPr/>
        <w:t>亿元、汽车</w:t>
      </w:r>
      <w:r>
        <w:rPr/>
        <w:t>320</w:t>
      </w:r>
      <w:r>
        <w:rPr/>
        <w:t>亿元、服务器</w:t>
      </w:r>
      <w:r>
        <w:rPr/>
        <w:t>30</w:t>
      </w:r>
      <w:r>
        <w:rPr/>
        <w:t>亿元、液冷</w:t>
      </w:r>
      <w:r>
        <w:rPr/>
        <w:t>40</w:t>
      </w:r>
      <w:r>
        <w:rPr/>
        <w:t>亿元、电源</w:t>
      </w:r>
      <w:r>
        <w:rPr/>
        <w:t>10</w:t>
      </w:r>
      <w:r>
        <w:rPr/>
        <w:t>亿元，合</w:t>
      </w:r>
      <w:r>
        <w:rPr/>
        <w:t>1900</w:t>
      </w:r>
      <w:r>
        <w:rPr/>
        <w:t>亿元。部件</w:t>
      </w:r>
      <w:r>
        <w:rPr/>
        <w:t>16%</w:t>
      </w:r>
      <w:r>
        <w:rPr/>
        <w:t>、组装</w:t>
      </w:r>
      <w:r>
        <w:rPr/>
        <w:t>3.5%</w:t>
      </w:r>
      <w:r>
        <w:rPr/>
        <w:t>、汽车</w:t>
      </w:r>
      <w:r>
        <w:rPr/>
        <w:t>9%</w:t>
      </w:r>
      <w:r>
        <w:rPr/>
        <w:t>、服务器</w:t>
      </w:r>
      <w:r>
        <w:rPr/>
        <w:t>5%</w:t>
      </w:r>
      <w:r>
        <w:rPr/>
        <w:t>、液冷</w:t>
      </w:r>
      <w:r>
        <w:rPr/>
        <w:t>25%</w:t>
      </w:r>
      <w:r>
        <w:rPr/>
        <w:t>、电源</w:t>
      </w:r>
      <w:r>
        <w:rPr/>
        <w:t>18%</w:t>
      </w:r>
      <w:r>
        <w:rPr/>
        <w:t>的毛利全部是研究假设。销售</w:t>
      </w:r>
      <w:r>
        <w:rPr/>
        <w:t>17</w:t>
      </w:r>
      <w:r>
        <w:rPr/>
        <w:t>、管理</w:t>
      </w:r>
      <w:r>
        <w:rPr/>
        <w:t>15</w:t>
      </w:r>
      <w:r>
        <w:rPr/>
        <w:t>、研发</w:t>
      </w:r>
      <w:r>
        <w:rPr/>
        <w:t>45</w:t>
      </w:r>
      <w:r>
        <w:rPr/>
        <w:t>亿元，正常补助</w:t>
      </w:r>
      <w:r>
        <w:rPr/>
        <w:t>4</w:t>
      </w:r>
      <w:r>
        <w:rPr/>
        <w:t>亿元、其他</w:t>
      </w:r>
      <w:r>
        <w:rPr/>
        <w:t>1</w:t>
      </w:r>
      <w:r>
        <w:rPr/>
        <w:t>亿元，再加余额利息，正常归母约</w:t>
      </w:r>
      <w:r>
        <w:rPr/>
        <w:t>49.76</w:t>
      </w:r>
      <w:r>
        <w:rPr/>
        <w:t>亿元。这个盈利高于最新滚动利润很多，要求新品和组合恢复，不能称为公司提供的盈利指引。</w:t>
      </w:r>
    </w:p>
    <w:p>
      <w:pPr>
        <w:pStyle w:val="Normal"/>
        <w:rPr/>
      </w:pPr>
      <w:r>
        <w:rPr/>
        <w:t>基准</w:t>
      </w:r>
      <w:r>
        <w:rPr/>
        <w:t>2026</w:t>
      </w:r>
      <w:r>
        <w:rPr/>
        <w:t>收入</w:t>
      </w:r>
      <w:r>
        <w:rPr/>
        <w:t>1735</w:t>
      </w:r>
      <w:r>
        <w:rPr/>
        <w:t>亿元，毛利约</w:t>
      </w:r>
      <w:r>
        <w:rPr/>
        <w:t>5.864%</w:t>
      </w:r>
      <w:r>
        <w:rPr/>
        <w:t>，正常归母约</w:t>
      </w:r>
      <w:r>
        <w:rPr/>
        <w:t>32.55</w:t>
      </w:r>
      <w:r>
        <w:rPr/>
        <w:t>亿元。全年减已披露上半年利润用于下半年现金预算，意味着下半年盈利需要明显改善；并非把半年</w:t>
      </w:r>
      <w:r>
        <w:rPr/>
        <w:t>4.263</w:t>
      </w:r>
      <w:r>
        <w:rPr/>
        <w:t>亿元倍增。半年季节性、</w:t>
      </w:r>
      <w:r>
        <w:rPr/>
        <w:t>FX</w:t>
      </w:r>
      <w:r>
        <w:rPr/>
        <w:t>、补助和应计税不同，预算代理有误差。</w:t>
      </w:r>
      <w:r>
        <w:rPr/>
        <w:t>2027</w:t>
      </w:r>
      <w:r>
        <w:rPr/>
        <w:t>收入</w:t>
      </w:r>
      <w:r>
        <w:rPr/>
        <w:t>1900</w:t>
      </w:r>
      <w:r>
        <w:rPr/>
        <w:t>亿元、</w:t>
      </w:r>
      <w:r>
        <w:rPr/>
        <w:t>2028</w:t>
      </w:r>
      <w:r>
        <w:rPr/>
        <w:t>为</w:t>
      </w:r>
      <w:r>
        <w:rPr/>
        <w:t>2100</w:t>
      </w:r>
      <w:r>
        <w:rPr/>
        <w:t>亿元，基准部件与</w:t>
      </w:r>
      <w:r>
        <w:rPr/>
        <w:t>AI</w:t>
      </w:r>
      <w:r>
        <w:rPr/>
        <w:t>增量会推动集团毛利到</w:t>
      </w:r>
      <w:r>
        <w:rPr/>
        <w:t>6.82%</w:t>
      </w:r>
      <w:r>
        <w:rPr/>
        <w:t>、</w:t>
      </w:r>
      <w:r>
        <w:rPr/>
        <w:t>7.46%</w:t>
      </w:r>
      <w:r>
        <w:rPr/>
        <w:t>，这比保持组装占比和部件现状更有利，需要真实业务数据支撑。</w:t>
      </w:r>
    </w:p>
    <w:p>
      <w:pPr>
        <w:pStyle w:val="Normal"/>
        <w:rPr/>
      </w:pPr>
      <w:r>
        <w:rPr/>
        <w:t>目标日未来十二个月利润由当年与下一年按日历插值，</w:t>
      </w:r>
      <w:r>
        <w:rPr/>
        <w:t>2027</w:t>
      </w:r>
      <w:r>
        <w:rPr/>
        <w:t>四月下一年约</w:t>
      </w:r>
      <w:r>
        <w:rPr/>
        <w:t>26.85%</w:t>
      </w:r>
      <w:r>
        <w:rPr/>
        <w:t>，十月七日约</w:t>
      </w:r>
      <w:r>
        <w:rPr/>
        <w:t>76.44%</w:t>
      </w:r>
      <w:r>
        <w:rPr/>
        <w:t>。该代理没有声称每季度均匀经营，也没有将四月直接用全部</w:t>
      </w:r>
      <w:r>
        <w:rPr/>
        <w:t>2028</w:t>
      </w:r>
      <w:r>
        <w:rPr/>
        <w:t>盈利。更准确估值需要未来季度产品节奏，但截止日没有已核逐季订单和现金安排，因此保留插值方法并展示限制。股数和现金也按年度节点插值供展示，价格和分红按同一模型输出，修改收入或成本后必须整体刷新。</w:t>
      </w:r>
    </w:p>
    <w:p>
      <w:pPr>
        <w:pStyle w:val="Normal"/>
        <w:rPr/>
      </w:pPr>
      <w:r>
        <w:rPr/>
        <w:t>基准半年</w:t>
      </w:r>
      <w:r>
        <w:rPr/>
        <w:t>14</w:t>
      </w:r>
      <w:r>
        <w:rPr/>
        <w:t>倍</w:t>
      </w:r>
      <w:r>
        <w:rPr/>
        <w:t>NTM</w:t>
      </w:r>
      <w:r>
        <w:rPr/>
        <w:t>约</w:t>
      </w:r>
      <w:r>
        <w:rPr/>
        <w:t>37.05</w:t>
      </w:r>
      <w:r>
        <w:rPr/>
        <w:t>港元、一年</w:t>
      </w:r>
      <w:r>
        <w:rPr/>
        <w:t>14</w:t>
      </w:r>
      <w:r>
        <w:rPr/>
        <w:t>倍</w:t>
      </w:r>
      <w:r>
        <w:rPr/>
        <w:t>42.67</w:t>
      </w:r>
      <w:r>
        <w:rPr/>
        <w:t>，三年</w:t>
      </w:r>
      <w:r>
        <w:rPr/>
        <w:t>13</w:t>
      </w:r>
      <w:r>
        <w:rPr/>
        <w:t>倍</w:t>
      </w:r>
      <w:r>
        <w:rPr/>
        <w:t>57.33</w:t>
      </w:r>
      <w:r>
        <w:rPr/>
        <w:t>、五年</w:t>
      </w:r>
      <w:r>
        <w:rPr/>
        <w:t>12</w:t>
      </w:r>
      <w:r>
        <w:rPr/>
        <w:t>倍</w:t>
      </w:r>
      <w:r>
        <w:rPr/>
        <w:t>68.74</w:t>
      </w:r>
      <w:r>
        <w:rPr/>
        <w:t>。倍数随着业务成熟下降，收益主要靠每股正常盈利而非远期永远提高</w:t>
      </w:r>
      <w:r>
        <w:rPr/>
        <w:t>PE</w:t>
      </w:r>
      <w:r>
        <w:rPr/>
        <w:t>。基准五年正常利润和集团毛利显著提升，这就是高预期收益的主要条件；即使倍数看似不高，也不能认定模型保守。盈利假设与估值倍数必须同时评估，同一家制造企业的低质量组装和成熟高附加值模块不应靠单一成长故事获得稳定高溢价。</w:t>
      </w:r>
    </w:p>
    <w:p>
      <w:pPr>
        <w:pStyle w:val="Normal"/>
        <w:rPr/>
      </w:pPr>
      <w:r>
        <w:rPr/>
        <w:t>一年预计新息</w:t>
      </w:r>
      <w:r>
        <w:rPr/>
        <w:t>0.3178</w:t>
      </w:r>
      <w:r>
        <w:rPr/>
        <w:t>港元，三年累计</w:t>
      </w:r>
      <w:r>
        <w:rPr/>
        <w:t>1.4513</w:t>
      </w:r>
      <w:r>
        <w:rPr/>
        <w:t>、五年</w:t>
      </w:r>
      <w:r>
        <w:rPr/>
        <w:t>3.1448</w:t>
      </w:r>
      <w:r>
        <w:rPr/>
        <w:t>，对应基准含息</w:t>
      </w:r>
      <w:r>
        <w:rPr/>
        <w:t>85.60%</w:t>
      </w:r>
      <w:r>
        <w:rPr/>
        <w:t>、</w:t>
      </w:r>
      <w:r>
        <w:rPr/>
        <w:t>153.81%</w:t>
      </w:r>
      <w:r>
        <w:rPr/>
        <w:t>、</w:t>
      </w:r>
      <w:r>
        <w:rPr/>
        <w:t>210.37%</w:t>
      </w:r>
      <w:r>
        <w:rPr/>
        <w:t>。三年</w:t>
      </w:r>
      <w:r>
        <w:rPr/>
        <w:t>36.41%</w:t>
      </w:r>
      <w:r>
        <w:rPr/>
        <w:t>、五年</w:t>
      </w:r>
      <w:r>
        <w:rPr/>
        <w:t>25.42%</w:t>
      </w:r>
      <w:r>
        <w:rPr/>
        <w:t>年化由末期股价加累计现金息形成财富终值计算，没有假设分红即时再投资，也不同于按实际派付日期计算内部收益率。每年的真实回报可能高度波动，长期年化不表示均匀上涨。现金股息来源是正常利润一定比例并扣公司资金，不能一边给息一边不减少现金和后续财资收益。</w:t>
      </w:r>
    </w:p>
    <w:p>
      <w:pPr>
        <w:pStyle w:val="Heading2"/>
        <w:rPr/>
      </w:pPr>
      <w:r>
        <w:rPr>
          <w:color w:val="000000"/>
        </w:rPr>
        <w:t>三情景条件及年底专项</w:t>
      </w:r>
    </w:p>
    <w:p>
      <w:pPr>
        <w:pStyle w:val="Normal"/>
        <w:rPr/>
      </w:pPr>
      <w:r>
        <w:rPr/>
        <w:t>悲观未来组件收入持续下降，组装缓慢缩小，汽车低增长，冷却和电源只获得少量项目，毛利低于基准且费用维持。</w:t>
      </w:r>
      <w:r>
        <w:rPr/>
        <w:t>2027</w:t>
      </w:r>
      <w:r>
        <w:rPr/>
        <w:t>收入</w:t>
      </w:r>
      <w:r>
        <w:rPr/>
        <w:t>1647</w:t>
      </w:r>
      <w:r>
        <w:rPr/>
        <w:t>亿元、正常归母约</w:t>
      </w:r>
      <w:r>
        <w:rPr/>
        <w:t>6.04</w:t>
      </w:r>
      <w:r>
        <w:rPr/>
        <w:t>亿元，</w:t>
      </w:r>
      <w:r>
        <w:rPr/>
        <w:t>2032</w:t>
      </w:r>
      <w:r>
        <w:rPr/>
        <w:t>收入</w:t>
      </w:r>
      <w:r>
        <w:rPr/>
        <w:t>1591</w:t>
      </w:r>
      <w:r>
        <w:rPr/>
        <w:t>亿元并转亏。维持正收入不保证利润，因为研发、折旧和项目支持不能无限省。公司有现金支持必要投入，却不代表普通股能获得正资本回报。悲观估值也不以现金清算估值补底，提醒投资者低</w:t>
      </w:r>
      <w:r>
        <w:rPr/>
        <w:t>PE</w:t>
      </w:r>
      <w:r>
        <w:rPr/>
        <w:t>与已深跌都不能保证下行可控。</w:t>
      </w:r>
    </w:p>
    <w:p>
      <w:pPr>
        <w:pStyle w:val="Normal"/>
        <w:rPr/>
      </w:pPr>
      <w:r>
        <w:rPr/>
        <w:t>乐观</w:t>
      </w:r>
      <w:r>
        <w:rPr/>
        <w:t>2027</w:t>
      </w:r>
      <w:r>
        <w:rPr/>
        <w:t>收入</w:t>
      </w:r>
      <w:r>
        <w:rPr/>
        <w:t>2120</w:t>
      </w:r>
      <w:r>
        <w:rPr/>
        <w:t>亿元、毛利约</w:t>
      </w:r>
      <w:r>
        <w:rPr/>
        <w:t>8.24%</w:t>
      </w:r>
      <w:r>
        <w:rPr/>
        <w:t>、正常归母</w:t>
      </w:r>
      <w:r>
        <w:rPr/>
        <w:t>80.35</w:t>
      </w:r>
      <w:r>
        <w:rPr/>
        <w:t>亿元，</w:t>
      </w:r>
      <w:r>
        <w:rPr/>
        <w:t>2032</w:t>
      </w:r>
      <w:r>
        <w:rPr/>
        <w:t>收入</w:t>
      </w:r>
      <w:r>
        <w:rPr/>
        <w:t>4650</w:t>
      </w:r>
      <w:r>
        <w:rPr/>
        <w:t>亿元、毛利</w:t>
      </w:r>
      <w:r>
        <w:rPr/>
        <w:t>11.65%</w:t>
      </w:r>
      <w:r>
        <w:rPr/>
        <w:t>、归母</w:t>
      </w:r>
      <w:r>
        <w:rPr/>
        <w:t>312.14</w:t>
      </w:r>
      <w:r>
        <w:rPr/>
        <w:t>亿元。它要求部件重获高端内容量、汽车高价值模块渗透、</w:t>
      </w:r>
      <w:r>
        <w:rPr/>
        <w:t>AI</w:t>
      </w:r>
      <w:r>
        <w:rPr/>
        <w:t>热管理与供电多年扩大，且竞争未压低利润。乐观五年</w:t>
      </w:r>
      <w:r>
        <w:rPr/>
        <w:t>234.34</w:t>
      </w:r>
      <w:r>
        <w:rPr/>
        <w:t>港元是多项有利联合条件，不能当最可能目标或投行共识。其资本开支</w:t>
      </w:r>
      <w:r>
        <w:rPr/>
        <w:t>140</w:t>
      </w:r>
      <w:r>
        <w:rPr/>
        <w:t>亿元、营运资金</w:t>
      </w:r>
      <w:r>
        <w:rPr/>
        <w:t>100</w:t>
      </w:r>
      <w:r>
        <w:rPr/>
        <w:t>亿元、研发</w:t>
      </w:r>
      <w:r>
        <w:rPr/>
        <w:t>116</w:t>
      </w:r>
      <w:r>
        <w:rPr/>
        <w:t>亿元相应提高，仍有执行、良率和客户议价风险。</w:t>
      </w:r>
    </w:p>
    <w:p>
      <w:pPr>
        <w:pStyle w:val="Normal"/>
        <w:rPr/>
      </w:pPr>
      <w:r>
        <w:rPr/>
        <w:t>年底只剩不到三个月，已核</w:t>
      </w:r>
      <w:r>
        <w:rPr/>
        <w:t>Q4</w:t>
      </w:r>
      <w:r>
        <w:rPr/>
        <w:t>业绩尚未披露，因此不能把一年</w:t>
      </w:r>
      <w:r>
        <w:rPr/>
        <w:t>42.67</w:t>
      </w:r>
      <w:r>
        <w:rPr/>
        <w:t>港元直接采用，也不按月份线性缩小投行目标。模型先估年底所见下一年正常盈利公允值，再设悲观</w:t>
      </w:r>
      <w:r>
        <w:rPr/>
        <w:t>60%</w:t>
      </w:r>
      <w:r>
        <w:rPr/>
        <w:t>、基准</w:t>
      </w:r>
      <w:r>
        <w:rPr/>
        <w:t>50%</w:t>
      </w:r>
      <w:r>
        <w:rPr/>
        <w:t>、乐观</w:t>
      </w:r>
      <w:r>
        <w:rPr/>
        <w:t>40%</w:t>
      </w:r>
      <w:r>
        <w:rPr/>
        <w:t>的价格兑现比例，反映市场尚需确认经营。这些比例是判断原子而非历史统计。年底</w:t>
      </w:r>
      <w:r>
        <w:rPr/>
        <w:t>11.03</w:t>
      </w:r>
      <w:r>
        <w:rPr/>
        <w:t>至</w:t>
      </w:r>
      <w:r>
        <w:rPr/>
        <w:t>40.54</w:t>
      </w:r>
      <w:r>
        <w:rPr/>
        <w:t>区间很宽，因从盈利底部恢复的方向和规模不确定；真正事故和市场系统风险也可能超越该区间。</w:t>
      </w:r>
    </w:p>
    <w:p>
      <w:pPr>
        <w:pStyle w:val="Normal"/>
        <w:rPr/>
      </w:pPr>
      <w:r>
        <w:rPr/>
        <w:t>基准年底</w:t>
      </w:r>
      <w:r>
        <w:rPr/>
        <w:t>28.57</w:t>
      </w:r>
      <w:r>
        <w:rPr/>
        <w:t>港元要求组件旺季、冷板爬坡和现金改善使</w:t>
      </w:r>
      <w:r>
        <w:rPr/>
        <w:t>2027</w:t>
      </w:r>
      <w:r>
        <w:rPr/>
        <w:t>估值部分获认可。若三季度仍低毛利、客户规格更改或新项目收入推迟，年底应更接近悲观。乐观需新产品采购与良率较预期强、汇兑压力缓解且市场愿意提前估增长。研究权重</w:t>
      </w:r>
      <w:r>
        <w:rPr/>
        <w:t>25/50/25</w:t>
      </w:r>
      <w:r>
        <w:rPr/>
        <w:t>只是默认判断，改变权重便使期望从</w:t>
      </w:r>
      <w:r>
        <w:rPr/>
        <w:t>27.18</w:t>
      </w:r>
      <w:r>
        <w:rPr/>
        <w:t>移至</w:t>
      </w:r>
      <w:r>
        <w:rPr/>
        <w:t>22.75</w:t>
      </w:r>
      <w:r>
        <w:rPr/>
        <w:t>或</w:t>
      </w:r>
      <w:r>
        <w:rPr/>
        <w:t>31.60</w:t>
      </w:r>
      <w:r>
        <w:rPr/>
        <w:t>，说明年底期望高度依赖经营判断，不能将</w:t>
      </w:r>
      <w:r>
        <w:rPr/>
        <w:t>17.35%</w:t>
      </w:r>
      <w:r>
        <w:rPr/>
        <w:t>称确定收益或概率均值。</w:t>
      </w:r>
    </w:p>
    <w:p>
      <w:pPr>
        <w:pStyle w:val="Normal"/>
        <w:rPr/>
      </w:pPr>
      <w:r>
        <w:rPr/>
        <w:t>PE</w:t>
      </w:r>
      <w:r>
        <w:rPr/>
        <w:t>每改变一倍，公允价变化为正常</w:t>
      </w:r>
      <w:r>
        <w:rPr/>
        <w:t>EPS</w:t>
      </w:r>
      <w:r>
        <w:rPr/>
        <w:t>乘研究汇率；组件毛利每改变一百分点，其收入乘该百分点影响税前利润。组装量增长与液冷毛利提升可以产生完全不同的资本占用，必须同时看营运资金和投入。现金赎理财会降低产品利息，偿债则降低银行利息，员工购股现金与分红降低现金息，模型均联动。盈利和股数分开摆列可揭示高目标究竟依赖毛利恢复、融资资源还是倍数选择，而非一列不透明目标价。</w:t>
      </w:r>
    </w:p>
    <w:p>
      <w:pPr>
        <w:pStyle w:val="Normal"/>
        <w:rPr/>
      </w:pPr>
      <w:r>
        <w:rPr/>
        <w:t>人民币投资者还面对港币兑人民币变化。主表股价与含息采用港元本币，换成人民币总回报应将未来港元终值乘相对汇率变化；港币下跌</w:t>
      </w:r>
      <w:r>
        <w:rPr/>
        <w:t>5%</w:t>
      </w:r>
      <w:r>
        <w:rPr/>
        <w:t>会将本币终值整体乘</w:t>
      </w:r>
      <w:r>
        <w:rPr/>
        <w:t>0.95</w:t>
      </w:r>
      <w:r>
        <w:rPr/>
        <w:t>，升值</w:t>
      </w:r>
      <w:r>
        <w:rPr/>
        <w:t>5%</w:t>
      </w:r>
      <w:r>
        <w:rPr/>
        <w:t>乘</w:t>
      </w:r>
      <w:r>
        <w:rPr/>
        <w:t>1.05</w:t>
      </w:r>
      <w:r>
        <w:rPr/>
        <w:t>。它与公司盈利人民币换港元的研究</w:t>
      </w:r>
      <w:r>
        <w:rPr/>
        <w:t>FX</w:t>
      </w:r>
      <w:r>
        <w:rPr/>
        <w:t>不是同一用途，不能重复加收益。实际税费、证券通渠道分红扣税和交易成本因投资者渠道不同，表中不假装已包括个人税率，投资者应将本币研究与实际结算分别计算。</w:t>
      </w:r>
    </w:p>
    <w:p>
      <w:pPr>
        <w:pStyle w:val="Heading2"/>
        <w:rPr/>
      </w:pPr>
      <w:r>
        <w:rPr>
          <w:color w:val="000000"/>
        </w:rPr>
        <w:t>投行目标交叉验证</w:t>
      </w:r>
    </w:p>
    <w:p>
      <w:pPr>
        <w:pStyle w:val="Normal"/>
        <w:rPr/>
      </w:pPr>
      <w:r>
        <w:rPr/>
        <w:t>星展九月四日目标</w:t>
      </w:r>
      <w:r>
        <w:rPr/>
        <w:t>40</w:t>
      </w:r>
      <w:r>
        <w:rPr/>
        <w:t>港元、买入，公开转载将估值从</w:t>
      </w:r>
      <w:r>
        <w:rPr/>
        <w:t>2026</w:t>
      </w:r>
      <w:r>
        <w:rPr/>
        <w:t>的</w:t>
      </w:r>
      <w:r>
        <w:rPr/>
        <w:t>16</w:t>
      </w:r>
      <w:r>
        <w:rPr/>
        <w:t>倍移到</w:t>
      </w:r>
      <w:r>
        <w:rPr/>
        <w:t>2027</w:t>
      </w:r>
      <w:r>
        <w:rPr/>
        <w:t>的</w:t>
      </w:r>
      <w:r>
        <w:rPr/>
        <w:t>14</w:t>
      </w:r>
      <w:r>
        <w:rPr/>
        <w:t>倍，并承认下调</w:t>
      </w:r>
      <w:r>
        <w:rPr/>
        <w:t>2027</w:t>
      </w:r>
      <w:r>
        <w:rPr/>
        <w:t>盈利预测。摩根士丹利九月一日目标</w:t>
      </w:r>
      <w:r>
        <w:rPr/>
        <w:t>33</w:t>
      </w:r>
      <w:r>
        <w:rPr/>
        <w:t>港元、增持，将当年盈利预测下调</w:t>
      </w:r>
      <w:r>
        <w:rPr/>
        <w:t>68%</w:t>
      </w:r>
      <w:r>
        <w:rPr/>
        <w:t>，看下半年大客户旺季及冷板产能。二者说明有机构相信恢复，也说明盈利预测被大幅下调，不能只提提高或维持评级。本研究一年</w:t>
      </w:r>
      <w:r>
        <w:rPr/>
        <w:t>42.67</w:t>
      </w:r>
      <w:r>
        <w:rPr/>
        <w:t>略高于星展公开目标，必须由</w:t>
      </w:r>
      <w:r>
        <w:rPr/>
        <w:t>2028</w:t>
      </w:r>
      <w:r>
        <w:rPr/>
        <w:t>较高权重正常盈利假设解释，不能反过来借机构替其证明。</w:t>
      </w:r>
    </w:p>
    <w:p>
      <w:pPr>
        <w:pStyle w:val="Normal"/>
        <w:rPr/>
      </w:pPr>
      <w:r>
        <w:rPr/>
        <w:t>花旗九月一日</w:t>
      </w:r>
      <w:r>
        <w:rPr/>
        <w:t>28</w:t>
      </w:r>
      <w:r>
        <w:rPr/>
        <w:t>港元、中性，从沽售上调，认为设备低利用率与汇兑拖累已反映部分，预期第四季盈利拐点。富瑞八月三十一日</w:t>
      </w:r>
      <w:r>
        <w:rPr/>
        <w:t>25</w:t>
      </w:r>
      <w:r>
        <w:rPr/>
        <w:t>港元、持有，明确毛利低于预期，利润预测大幅下调；其公开转述</w:t>
      </w:r>
      <w:r>
        <w:rPr/>
        <w:t>25</w:t>
      </w:r>
      <w:r>
        <w:rPr/>
        <w:t>相当</w:t>
      </w:r>
      <w:r>
        <w:rPr/>
        <w:t>2026</w:t>
      </w:r>
      <w:r>
        <w:rPr/>
        <w:t>和</w:t>
      </w:r>
      <w:r>
        <w:rPr/>
        <w:t>2027</w:t>
      </w:r>
      <w:r>
        <w:rPr/>
        <w:t>约</w:t>
      </w:r>
      <w:r>
        <w:rPr/>
        <w:t>24</w:t>
      </w:r>
      <w:r>
        <w:rPr/>
        <w:t>及</w:t>
      </w:r>
      <w:r>
        <w:rPr/>
        <w:t>15</w:t>
      </w:r>
      <w:r>
        <w:rPr/>
        <w:t>倍。机构差异揭示正常利润的分歧，目标</w:t>
      </w:r>
      <w:r>
        <w:rPr/>
        <w:t>28</w:t>
      </w:r>
      <w:r>
        <w:rPr/>
        <w:t>或</w:t>
      </w:r>
      <w:r>
        <w:rPr/>
        <w:t>25</w:t>
      </w:r>
      <w:r>
        <w:rPr/>
        <w:t>不是技术支撑。研究年底</w:t>
      </w:r>
      <w:r>
        <w:rPr/>
        <w:t>28.57</w:t>
      </w:r>
      <w:r>
        <w:rPr/>
        <w:t>与某个目标接近是模型结果，不能视为机构已经预测</w:t>
      </w:r>
      <w:r>
        <w:rPr/>
        <w:t>2026</w:t>
      </w:r>
      <w:r>
        <w:rPr/>
        <w:t>年底到该价。</w:t>
      </w:r>
    </w:p>
    <w:p>
      <w:pPr>
        <w:pStyle w:val="Normal"/>
        <w:rPr/>
      </w:pPr>
      <w:r>
        <w:rPr/>
        <w:t>高盛七月七日</w:t>
      </w:r>
      <w:r>
        <w:rPr/>
        <w:t>21</w:t>
      </w:r>
      <w:r>
        <w:rPr/>
        <w:t>港元、沽售，超过</w:t>
      </w:r>
      <w:r>
        <w:rPr/>
        <w:t>90</w:t>
      </w:r>
      <w:r>
        <w:rPr/>
        <w:t>日窗口但保留为旧风险意见，指出</w:t>
      </w:r>
      <w:r>
        <w:rPr/>
        <w:t>AI</w:t>
      </w:r>
      <w:r>
        <w:rPr/>
        <w:t>占比小、内存成本高、毛利</w:t>
      </w:r>
      <w:r>
        <w:rPr/>
        <w:t>8%</w:t>
      </w:r>
      <w:r>
        <w:rPr/>
        <w:t>至</w:t>
      </w:r>
      <w:r>
        <w:rPr/>
        <w:t>9%</w:t>
      </w:r>
      <w:r>
        <w:rPr/>
        <w:t>难达。中银国际四月二十九日</w:t>
      </w:r>
      <w:r>
        <w:rPr/>
        <w:t>37.1</w:t>
      </w:r>
      <w:r>
        <w:rPr/>
        <w:t>港元、买入为中资旧意见，不能计作外资近期一致目标。新闻页的集团整车目标和被后续报告覆盖的星展</w:t>
      </w:r>
      <w:r>
        <w:rPr/>
        <w:t>30</w:t>
      </w:r>
      <w:r>
        <w:rPr/>
        <w:t>已去重排除。所有保留目标均已读公开转述、原始完整研报未取得，公开目标期限未明确，故不擅称统一十二个月；只能与一年模型作参考比较。</w:t>
      </w:r>
    </w:p>
    <w:p>
      <w:pPr>
        <w:pStyle w:val="Normal"/>
        <w:rPr/>
      </w:pPr>
      <w:r>
        <w:rPr/>
        <w:t>大行覆盖提供观点，不提供保证。不同报告采用盈利年份、汇率、业务假设和倍数，不能对目标简单平均后称研究公允价。对同一家机构保留最新有效，在重大事件后优先最近观点，也给超</w:t>
      </w:r>
      <w:r>
        <w:rPr/>
        <w:t>90</w:t>
      </w:r>
      <w:r>
        <w:rPr/>
        <w:t>日旧报告标记。未来如果机构在新公告后调整目标，应记录日期及原假设变化，直接改研究模型却不追溯经营依据不可取。最终目标表与模型保留机构来源链接，审阅者能分清官方财报、新闻转载和研究自身判断。</w:t>
      </w:r>
    </w:p>
    <w:p>
      <w:pPr>
        <w:pStyle w:val="Heading2"/>
        <w:rPr/>
      </w:pPr>
      <w:r>
        <w:rPr>
          <w:color w:val="000000"/>
        </w:rPr>
        <w:t>四期限反证与十年展望</w:t>
      </w:r>
    </w:p>
    <w:p>
      <w:pPr>
        <w:pStyle w:val="Normal"/>
        <w:rPr/>
      </w:pPr>
      <w:r>
        <w:rPr/>
        <w:t>半年主要检验</w:t>
      </w:r>
      <w:r>
        <w:rPr/>
        <w:t>2026</w:t>
      </w:r>
      <w:r>
        <w:rPr/>
        <w:t>全年毛利、现金及新项目量产。若核心组件收入和毛利未改善、</w:t>
      </w:r>
      <w:r>
        <w:rPr/>
        <w:t>OCF</w:t>
      </w:r>
      <w:r>
        <w:rPr/>
        <w:t>仍依赖释放受限资源，基准</w:t>
      </w:r>
      <w:r>
        <w:rPr/>
        <w:t>37.05</w:t>
      </w:r>
      <w:r>
        <w:rPr/>
        <w:t>应下修；若价格涨到该值而盈利兑现不符，未来预期回报也随新基准缩小。半年技术权重</w:t>
      </w:r>
      <w:r>
        <w:rPr/>
        <w:t>30%</w:t>
      </w:r>
      <w:r>
        <w:rPr/>
        <w:t>，</w:t>
      </w:r>
      <w:r>
        <w:rPr/>
        <w:t>22.10</w:t>
      </w:r>
      <w:r>
        <w:rPr/>
        <w:t>失守伴成交放大说明反弹结构弱；然而技术突破也不能覆盖财务失败。此期限适合把催化与失效条件配对，避免只因市场主题仍热而将基本面复审无限推迟。</w:t>
      </w:r>
    </w:p>
    <w:p>
      <w:pPr>
        <w:pStyle w:val="Normal"/>
        <w:rPr/>
      </w:pPr>
      <w:r>
        <w:rPr/>
        <w:t>一年看</w:t>
      </w:r>
      <w:r>
        <w:rPr/>
        <w:t>2027</w:t>
      </w:r>
      <w:r>
        <w:rPr/>
        <w:t>全年与</w:t>
      </w:r>
      <w:r>
        <w:rPr/>
        <w:t>2028</w:t>
      </w:r>
      <w:r>
        <w:rPr/>
        <w:t>订单可见度，组件新品和汽车价值量能否摆脱</w:t>
      </w:r>
      <w:r>
        <w:rPr/>
        <w:t>2026</w:t>
      </w:r>
      <w:r>
        <w:rPr/>
        <w:t>低质量组合，液冷、电源是否形成真实毛利贡献。基准正常盈利约</w:t>
      </w:r>
      <w:r>
        <w:rPr/>
        <w:t>49.76</w:t>
      </w:r>
      <w:r>
        <w:rPr/>
        <w:t>亿元的</w:t>
      </w:r>
      <w:r>
        <w:rPr/>
        <w:t>2027</w:t>
      </w:r>
      <w:r>
        <w:rPr/>
        <w:t>与</w:t>
      </w:r>
      <w:r>
        <w:rPr/>
        <w:t>66.33</w:t>
      </w:r>
      <w:r>
        <w:rPr/>
        <w:t>亿元的</w:t>
      </w:r>
      <w:r>
        <w:rPr/>
        <w:t>2028</w:t>
      </w:r>
      <w:r>
        <w:rPr/>
        <w:t>是明确反证锚，连续业绩偏离必须刷新，不应以更高</w:t>
      </w:r>
      <w:r>
        <w:rPr/>
        <w:t>PE</w:t>
      </w:r>
      <w:r>
        <w:rPr/>
        <w:t>抵销较低</w:t>
      </w:r>
      <w:r>
        <w:rPr/>
        <w:t>EPS</w:t>
      </w:r>
      <w:r>
        <w:rPr/>
        <w:t>。关联短债续借、理财赎回和研发现金也须稳定；即使利润达到但现金显著差，经营质量与风险得分都应下降，推荐名次不能保持不变。</w:t>
      </w:r>
    </w:p>
    <w:p>
      <w:pPr>
        <w:pStyle w:val="Normal"/>
        <w:rPr/>
      </w:pPr>
      <w:r>
        <w:rPr/>
        <w:t>三年判断在六类产品都持续投入的基础上，高附加值功能模块是否替代部分组装权重。基准</w:t>
      </w:r>
      <w:r>
        <w:rPr/>
        <w:t>2029</w:t>
      </w:r>
      <w:r>
        <w:rPr/>
        <w:t>至</w:t>
      </w:r>
      <w:r>
        <w:rPr/>
        <w:t>2030</w:t>
      </w:r>
      <w:r>
        <w:rPr/>
        <w:t>收入</w:t>
      </w:r>
      <w:r>
        <w:rPr/>
        <w:t>2300</w:t>
      </w:r>
      <w:r>
        <w:rPr/>
        <w:t>至</w:t>
      </w:r>
      <w:r>
        <w:rPr/>
        <w:t>2510</w:t>
      </w:r>
      <w:r>
        <w:rPr/>
        <w:t>亿元、正常归母</w:t>
      </w:r>
      <w:r>
        <w:rPr/>
        <w:t>80.02</w:t>
      </w:r>
      <w:r>
        <w:rPr/>
        <w:t>至</w:t>
      </w:r>
      <w:r>
        <w:rPr/>
        <w:t>93.42</w:t>
      </w:r>
      <w:r>
        <w:rPr/>
        <w:t>亿元，需要规模、毛利和效率同时实现。若液冷只是少数客户一代方案、汽车产品面临压价而集团没有新增高利润内容，行业需求大也不足以支持。三年技术仅</w:t>
      </w:r>
      <w:r>
        <w:rPr/>
        <w:t>5%</w:t>
      </w:r>
      <w:r>
        <w:rPr/>
        <w:t>，经营质量</w:t>
      </w:r>
      <w:r>
        <w:rPr/>
        <w:t>35%</w:t>
      </w:r>
      <w:r>
        <w:rPr/>
        <w:t>、周期</w:t>
      </w:r>
      <w:r>
        <w:rPr/>
        <w:t>20%</w:t>
      </w:r>
      <w:r>
        <w:rPr/>
        <w:t>，当前</w:t>
      </w:r>
      <w:r>
        <w:rPr/>
        <w:t>K</w:t>
      </w:r>
      <w:r>
        <w:rPr/>
        <w:t>线只能辅助入场，不能解释多年经营价值。</w:t>
      </w:r>
    </w:p>
    <w:p>
      <w:pPr>
        <w:pStyle w:val="Normal"/>
        <w:rPr/>
      </w:pPr>
      <w:r>
        <w:rPr/>
        <w:t>五年不假设手机金属材料和某一</w:t>
      </w:r>
      <w:r>
        <w:rPr/>
        <w:t>AI</w:t>
      </w:r>
      <w:r>
        <w:rPr/>
        <w:t>架构永久延续，关键是公司能否通过研发、工艺与多客户认证不断转移能力。五年基准毛利提高而</w:t>
      </w:r>
      <w:r>
        <w:rPr/>
        <w:t>PE</w:t>
      </w:r>
      <w:r>
        <w:rPr/>
        <w:t>下降，是成熟功能模块组合的路径；失败则是大客户集中、技术同质化、扩产回报不足和资金投向低回报关联安排。若研发减少只为短期利润而新品竞争力下降，应降低长期经营分，不能因当年</w:t>
      </w:r>
      <w:r>
        <w:rPr/>
        <w:t>EPS</w:t>
      </w:r>
      <w:r>
        <w:rPr/>
        <w:t>好便提高所有期限排名。五年现金派息与每股盈利共同增长才证明股东收益。</w:t>
      </w:r>
    </w:p>
    <w:p>
      <w:pPr>
        <w:pStyle w:val="Normal"/>
        <w:rPr/>
      </w:pPr>
      <w:r>
        <w:rPr/>
        <w:t>十年经营展望无法给精确</w:t>
      </w:r>
      <w:r>
        <w:rPr/>
        <w:t>2036</w:t>
      </w:r>
      <w:r>
        <w:rPr/>
        <w:t>股价。可持续机会在能效、热管理、供电、自动化和精密制造，将从消费和汽车扩到不同计算或工业设备；威胁是终端形态改变、客户自研、模块标准化和全球区域供应链割裂。多领域技术能提高迁移速度，也意味着必须分配有限工程和资本。应每年审视研发效率、良率、资本开支回报、客户集中和关联交易，确认规模转成普通股每股自由现金，而非只维持更多产品和工厂。</w:t>
      </w:r>
    </w:p>
    <w:p>
      <w:pPr>
        <w:pStyle w:val="Normal"/>
        <w:rPr/>
      </w:pPr>
      <w:r>
        <w:rPr/>
        <w:t>研究结论的撤销条件可以量化观察：连续报告核心毛利低于基准、组件未恢复，</w:t>
      </w:r>
      <w:r>
        <w:rPr/>
        <w:t>AI</w:t>
      </w:r>
      <w:r>
        <w:rPr/>
        <w:t>收入有量无利，长账龄应收与库存减值增长，短债无法正常续接或理财赎回受限，均推翻高空间假设。价格放量突破却没有业绩相符也要重估估值回报；经营改善而股价未动可以增加吸引力，却仍需核财务来源。维持版本、来源、现金和盈利桥支持这样的更新，研究不是一份永不变化的荐股清单。</w:t>
      </w:r>
    </w:p>
    <w:p>
      <w:pPr>
        <w:pStyle w:val="Heading2"/>
        <w:rPr/>
      </w:pPr>
      <w:r>
        <w:rPr>
          <w:color w:val="000000"/>
        </w:rPr>
        <w:t>来源</w:t>
      </w:r>
    </w:p>
    <w:p>
      <w:pPr>
        <w:pStyle w:val="Normal"/>
        <w:rPr/>
      </w:pPr>
      <w:r>
        <w:rPr/>
        <w:t>1. 2025</w:t>
      </w:r>
      <w:r>
        <w:rPr/>
        <w:t>年报，</w:t>
      </w:r>
      <w:r>
        <w:rPr/>
        <w:t>2026-04-22 16:56</w:t>
      </w:r>
      <w:r>
        <w:rPr/>
        <w:t>，首次业绩</w:t>
      </w:r>
      <w:r>
        <w:rPr/>
        <w:t>2026-03-27 19:36</w:t>
      </w:r>
      <w:r>
        <w:rPr/>
        <w:t>：</w:t>
      </w:r>
      <w:r>
        <w:rPr/>
        <w:t xml:space="preserve">https://www1.hkexnews.hk/listedco/listconews/sehk/2026/0422/2026042200748.pdf </w:t>
      </w:r>
      <w:r>
        <w:rPr/>
        <w:t>。物理页</w:t>
      </w:r>
      <w:r>
        <w:rPr/>
        <w:t>95</w:t>
      </w:r>
      <w:r>
        <w:rPr/>
        <w:t>利润、</w:t>
      </w:r>
      <w:r>
        <w:rPr/>
        <w:t>101</w:t>
      </w:r>
      <w:r>
        <w:rPr/>
        <w:t>至</w:t>
      </w:r>
      <w:r>
        <w:rPr/>
        <w:t>103</w:t>
      </w:r>
      <w:r>
        <w:rPr/>
        <w:t>现金、</w:t>
      </w:r>
      <w:r>
        <w:rPr/>
        <w:t>154</w:t>
      </w:r>
      <w:r>
        <w:rPr/>
        <w:t>主要客户、</w:t>
      </w:r>
      <w:r>
        <w:rPr/>
        <w:t>159</w:t>
      </w:r>
      <w:r>
        <w:rPr/>
        <w:t>融资、</w:t>
      </w:r>
      <w:r>
        <w:rPr/>
        <w:t>189</w:t>
      </w:r>
      <w:r>
        <w:rPr/>
        <w:t>激励、</w:t>
      </w:r>
      <w:r>
        <w:rPr/>
        <w:t>191</w:t>
      </w:r>
      <w:r>
        <w:rPr/>
        <w:t>融资负债、</w:t>
      </w:r>
      <w:r>
        <w:rPr/>
        <w:t>214</w:t>
      </w:r>
      <w:r>
        <w:rPr/>
        <w:t>五年摘要。</w:t>
      </w:r>
    </w:p>
    <w:p>
      <w:pPr>
        <w:pStyle w:val="Normal"/>
        <w:rPr/>
      </w:pPr>
      <w:r>
        <w:rPr/>
        <w:t>2. 2026</w:t>
      </w:r>
      <w:r>
        <w:rPr/>
        <w:t>中报，</w:t>
      </w:r>
      <w:r>
        <w:rPr/>
        <w:t>2026-08-28 17:55</w:t>
      </w:r>
      <w:r>
        <w:rPr/>
        <w:t>，业绩首发</w:t>
      </w:r>
      <w:r>
        <w:rPr/>
        <w:t>17:49</w:t>
      </w:r>
      <w:r>
        <w:rPr/>
        <w:t>，均收盘后：</w:t>
      </w:r>
      <w:r>
        <w:rPr/>
        <w:t xml:space="preserve">https://www1.hkexnews.hk/listedco/listconews/sehk/2026/0828/2026082801253.pdf </w:t>
      </w:r>
      <w:r>
        <w:rPr/>
        <w:t>。物理页</w:t>
      </w:r>
      <w:r>
        <w:rPr/>
        <w:t>9</w:t>
      </w:r>
      <w:r>
        <w:rPr/>
        <w:t>至</w:t>
      </w:r>
      <w:r>
        <w:rPr/>
        <w:t>12</w:t>
      </w:r>
      <w:r>
        <w:rPr/>
        <w:t>业务、</w:t>
      </w:r>
      <w:r>
        <w:rPr/>
        <w:t>31</w:t>
      </w:r>
      <w:r>
        <w:rPr/>
        <w:t>利润、</w:t>
      </w:r>
      <w:r>
        <w:rPr/>
        <w:t>33</w:t>
      </w:r>
      <w:r>
        <w:rPr/>
        <w:t>至</w:t>
      </w:r>
      <w:r>
        <w:rPr/>
        <w:t>34</w:t>
      </w:r>
      <w:r>
        <w:rPr/>
        <w:t>资产负债、</w:t>
      </w:r>
      <w:r>
        <w:rPr/>
        <w:t>37</w:t>
      </w:r>
      <w:r>
        <w:rPr/>
        <w:t>至</w:t>
      </w:r>
      <w:r>
        <w:rPr/>
        <w:t>39</w:t>
      </w:r>
      <w:r>
        <w:rPr/>
        <w:t>现金、</w:t>
      </w:r>
      <w:r>
        <w:rPr/>
        <w:t>44</w:t>
      </w:r>
      <w:r>
        <w:rPr/>
        <w:t>分部、</w:t>
      </w:r>
      <w:r>
        <w:rPr/>
        <w:t>45</w:t>
      </w:r>
      <w:r>
        <w:rPr/>
        <w:t>汇兑、</w:t>
      </w:r>
      <w:r>
        <w:rPr/>
        <w:t>47</w:t>
      </w:r>
      <w:r>
        <w:rPr/>
        <w:t>至</w:t>
      </w:r>
      <w:r>
        <w:rPr/>
        <w:t>48EPS</w:t>
      </w:r>
      <w:r>
        <w:rPr/>
        <w:t>、</w:t>
      </w:r>
      <w:r>
        <w:rPr/>
        <w:t>50</w:t>
      </w:r>
      <w:r>
        <w:rPr/>
        <w:t>至</w:t>
      </w:r>
      <w:r>
        <w:rPr/>
        <w:t>56</w:t>
      </w:r>
      <w:r>
        <w:rPr/>
        <w:t>关联、</w:t>
      </w:r>
      <w:r>
        <w:rPr/>
        <w:t>52</w:t>
      </w:r>
      <w:r>
        <w:rPr/>
        <w:t>承诺。</w:t>
      </w:r>
    </w:p>
    <w:p>
      <w:pPr>
        <w:pStyle w:val="Normal"/>
        <w:rPr/>
      </w:pPr>
      <w:r>
        <w:rPr/>
        <w:t xml:space="preserve">3. </w:t>
      </w:r>
      <w:r>
        <w:rPr/>
        <w:t>股本月报</w:t>
      </w:r>
      <w:r>
        <w:rPr/>
        <w:t>2026-10-01 18:55</w:t>
      </w:r>
      <w:r>
        <w:rPr/>
        <w:t>，</w:t>
      </w:r>
      <w:r>
        <w:rPr/>
        <w:t>data/byde_sources.json</w:t>
      </w:r>
      <w:r>
        <w:rPr/>
        <w:t>保留原链接，法律股</w:t>
      </w:r>
      <w:r>
        <w:rPr/>
        <w:t>2253204500</w:t>
      </w:r>
      <w:r>
        <w:rPr/>
        <w:t>、库存</w:t>
      </w:r>
      <w:r>
        <w:rPr/>
        <w:t>0</w:t>
      </w:r>
      <w:r>
        <w:rPr/>
        <w:t>。</w:t>
      </w:r>
    </w:p>
    <w:p>
      <w:pPr>
        <w:pStyle w:val="Normal"/>
        <w:rPr/>
      </w:pPr>
      <w:r>
        <w:rPr/>
        <w:t xml:space="preserve">4. </w:t>
      </w:r>
      <w:r>
        <w:rPr/>
        <w:t>最终末期息更新</w:t>
      </w:r>
      <w:r>
        <w:rPr/>
        <w:t>2026-06-09 19:36</w:t>
      </w:r>
      <w:r>
        <w:rPr/>
        <w:t>，采用最新</w:t>
      </w:r>
      <w:r>
        <w:rPr/>
        <w:t>0.17928HKD</w:t>
      </w:r>
      <w:r>
        <w:rPr/>
        <w:t>、</w:t>
      </w:r>
      <w:r>
        <w:rPr/>
        <w:t>6</w:t>
      </w:r>
      <w:r>
        <w:rPr/>
        <w:t>月</w:t>
      </w:r>
      <w:r>
        <w:rPr/>
        <w:t>11</w:t>
      </w:r>
      <w:r>
        <w:rPr/>
        <w:t>日除息与</w:t>
      </w:r>
      <w:r>
        <w:rPr/>
        <w:t>7</w:t>
      </w:r>
      <w:r>
        <w:rPr/>
        <w:t>月</w:t>
      </w:r>
      <w:r>
        <w:rPr/>
        <w:t>31</w:t>
      </w:r>
      <w:r>
        <w:rPr/>
        <w:t>日支付，原件链接见来源档案。</w:t>
      </w:r>
    </w:p>
    <w:p>
      <w:pPr>
        <w:pStyle w:val="Normal"/>
        <w:rPr/>
      </w:pPr>
      <w:r>
        <w:rPr/>
        <w:t xml:space="preserve">5. </w:t>
      </w:r>
      <w:r>
        <w:rPr/>
        <w:t>激励首期未达解锁</w:t>
      </w:r>
      <w:r>
        <w:rPr/>
        <w:t>2026-03-27 19:54</w:t>
      </w:r>
      <w:r>
        <w:rPr/>
        <w:t>：</w:t>
      </w:r>
      <w:r>
        <w:rPr/>
        <w:t xml:space="preserve">https://www1.hkexnews.hk/listedco/listconews/sehk/2026/0327/2026032702174.pdf </w:t>
      </w:r>
      <w:r>
        <w:rPr/>
        <w:t>。</w:t>
      </w:r>
      <w:r>
        <w:rPr/>
        <w:t>30%</w:t>
      </w:r>
      <w:r>
        <w:rPr/>
        <w:t>收回给未来计划，非注销。</w:t>
      </w:r>
    </w:p>
    <w:p>
      <w:pPr>
        <w:pStyle w:val="Normal"/>
        <w:rPr/>
      </w:pPr>
      <w:r>
        <w:rPr/>
        <w:t xml:space="preserve">6. </w:t>
      </w:r>
      <w:r>
        <w:rPr/>
        <w:t>星展</w:t>
      </w:r>
      <w:r>
        <w:rPr/>
        <w:t>9</w:t>
      </w:r>
      <w:r>
        <w:rPr/>
        <w:t>月</w:t>
      </w:r>
      <w:r>
        <w:rPr/>
        <w:t>4</w:t>
      </w:r>
      <w:r>
        <w:rPr/>
        <w:t>日、摩根士丹利与花旗</w:t>
      </w:r>
      <w:r>
        <w:rPr/>
        <w:t>9</w:t>
      </w:r>
      <w:r>
        <w:rPr/>
        <w:t>月</w:t>
      </w:r>
      <w:r>
        <w:rPr/>
        <w:t>1</w:t>
      </w:r>
      <w:r>
        <w:rPr/>
        <w:t>日、富瑞</w:t>
      </w:r>
      <w:r>
        <w:rPr/>
        <w:t>8</w:t>
      </w:r>
      <w:r>
        <w:rPr/>
        <w:t>月</w:t>
      </w:r>
      <w:r>
        <w:rPr/>
        <w:t>31</w:t>
      </w:r>
      <w:r>
        <w:rPr/>
        <w:t>日、高盛</w:t>
      </w:r>
      <w:r>
        <w:rPr/>
        <w:t>7</w:t>
      </w:r>
      <w:r>
        <w:rPr/>
        <w:t>月</w:t>
      </w:r>
      <w:r>
        <w:rPr/>
        <w:t>7</w:t>
      </w:r>
      <w:r>
        <w:rPr/>
        <w:t>日、中银</w:t>
      </w:r>
      <w:r>
        <w:rPr/>
        <w:t>4</w:t>
      </w:r>
      <w:r>
        <w:rPr/>
        <w:t>月</w:t>
      </w:r>
      <w:r>
        <w:rPr/>
        <w:t>29</w:t>
      </w:r>
      <w:r>
        <w:rPr/>
        <w:t>日均</w:t>
      </w:r>
      <w:r>
        <w:rPr/>
        <w:t>AASTOCKS</w:t>
      </w:r>
      <w:r>
        <w:rPr/>
        <w:t>公开转载，链接与归属保留在模型</w:t>
      </w:r>
      <w:r>
        <w:rPr/>
        <w:t>brokerTargets</w:t>
      </w:r>
      <w:r>
        <w:rPr/>
        <w:t>；原研报未得。</w:t>
      </w:r>
    </w:p>
    <w:p>
      <w:pPr>
        <w:pStyle w:val="Normal"/>
        <w:rPr/>
      </w:pPr>
      <w:r>
        <w:rPr/>
        <w:t xml:space="preserve">7. </w:t>
      </w:r>
      <w:r>
        <w:rPr/>
        <w:t>锁行情</w:t>
      </w:r>
      <w:r>
        <w:rPr/>
        <w:t>market-v1.6</w:t>
      </w:r>
      <w:r>
        <w:rPr/>
        <w:t>：</w:t>
      </w:r>
      <w:r>
        <w:rPr/>
        <w:t>Tencent</w:t>
      </w:r>
      <w:r>
        <w:rPr/>
        <w:t>与新浪现价、</w:t>
      </w:r>
      <w:r>
        <w:rPr/>
        <w:t>Yahoo/Tencent</w:t>
      </w:r>
      <w:r>
        <w:rPr/>
        <w:t>三年复权日线，</w:t>
      </w:r>
      <w:r>
        <w:rPr/>
        <w:t>data/market_snapshot_locked.json</w:t>
      </w:r>
      <w:r>
        <w:rPr/>
        <w:t>与</w:t>
      </w:r>
      <w:r>
        <w:rPr/>
        <w:t>data/history/S092.json</w:t>
      </w:r>
      <w:r>
        <w:rPr/>
        <w:t>；日期同</w:t>
      </w:r>
      <w:r>
        <w:rPr/>
        <w:t>2026-10-09</w:t>
      </w:r>
      <w:r>
        <w:rPr/>
        <w:t>。</w:t>
      </w:r>
      <w:r>
        <w:br w:type="page"/>
      </w:r>
    </w:p>
    <w:p>
      <w:pPr>
        <w:pStyle w:val="Heading1"/>
        <w:rPr/>
      </w:pPr>
      <w:bookmarkStart w:id="3" w:name="__RefHeading___Toc37109_312338234"/>
      <w:bookmarkEnd w:id="3"/>
      <w:r>
        <w:rPr>
          <w:color w:val="000000"/>
        </w:rPr>
        <w:t xml:space="preserve">泡泡玛特 </w:t>
      </w:r>
      <w:r>
        <w:rPr>
          <w:color w:val="000000"/>
        </w:rPr>
        <w:t>09992 HK</w:t>
      </w:r>
    </w:p>
    <w:p>
      <w:pPr>
        <w:pStyle w:val="Normal"/>
        <w:rPr/>
      </w:pPr>
      <w:r>
        <w:rPr/>
        <w:t xml:space="preserve">09992.HK </w:t>
      </w:r>
      <w:r>
        <w:rPr/>
        <w:t xml:space="preserve">现价 </w:t>
      </w:r>
      <w:r>
        <w:rPr/>
        <w:t>152.30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195.86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239.27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+58.55%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395.89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+159.94%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+165.19%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545.56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+258.21%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+269.38%</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71.52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169.31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+11.17%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301.43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+97.92%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177.89HKD</w:t>
      </w:r>
      <w:r>
        <w:rPr/>
        <w:t>，期望股价回报</w:t>
      </w:r>
      <w:r>
        <w:rPr/>
        <w:t>+16.80%</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57.11</w:t>
              <w:br/>
              <w:t>-62.50%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195.86</w:t>
              <w:br/>
              <w:t>+28.60%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356.85</w:t>
              <w:br/>
              <w:t>+134.31%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50.48</w:t>
              <w:br/>
              <w:t>-66.85%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239.27</w:t>
              <w:br/>
              <w:t>+57.10%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477.71</w:t>
              <w:br/>
              <w:t>+213.66%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35.33</w:t>
              <w:br/>
              <w:t>-76.80%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395.89</w:t>
              <w:br/>
              <w:t>+159.94%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1,023.58</w:t>
              <w:br/>
              <w:t>+572.08%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+38.42%</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27.35</w:t>
              <w:br/>
              <w:t>-82.04%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545.56</w:t>
              <w:br/>
              <w:t>+258.21%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1,680.91</w:t>
              <w:br/>
              <w:t>+1003.68%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+29.87%</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primaryFundamentals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高（官网原报告）</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高（锁版双源；专属潮玩指数未核，换手率缺失）</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w:t>
            </w:r>
            <w:r>
              <w:rPr>
                <w:rFonts w:eastAsia="微软雅黑" w:ascii="微软雅黑" w:hAnsi="微软雅黑"/>
                <w:sz w:val="17"/>
              </w:rPr>
              <w:t>IP</w:t>
            </w:r>
            <w:r>
              <w:rPr>
                <w:rFonts w:ascii="微软雅黑" w:hAnsi="微软雅黑" w:eastAsia="微软雅黑"/>
                <w:sz w:val="17"/>
              </w:rPr>
              <w:t>需求、渠道修复、利润率及倍数研究假设）</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brokerTargets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中（公开转述，期限多数</w:t>
            </w:r>
            <w:r>
              <w:rPr>
                <w:rFonts w:eastAsia="微软雅黑" w:ascii="微软雅黑" w:hAnsi="微软雅黑"/>
                <w:sz w:val="17"/>
              </w:rPr>
              <w:t>null</w:t>
            </w:r>
            <w:r>
              <w:rPr>
                <w:rFonts w:ascii="微软雅黑" w:hAnsi="微软雅黑" w:eastAsia="微软雅黑"/>
                <w:sz w:val="17"/>
              </w:rPr>
              <w:t>）</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+22.17%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+35.03%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+50.62%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+58.55%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+66.48%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+151.93%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+165.19%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+178.45%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+250.91%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+269.38%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+287.85%</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基准价：</w:t>
      </w:r>
      <w:r>
        <w:rPr/>
        <w:t>2026</w:t>
      </w:r>
      <w:r>
        <w:rPr/>
        <w:t>年</w:t>
      </w:r>
      <w:r>
        <w:rPr/>
        <w:t>10</w:t>
      </w:r>
      <w:r>
        <w:rPr/>
        <w:t>月</w:t>
      </w:r>
      <w:r>
        <w:rPr/>
        <w:t>9</w:t>
      </w:r>
      <w:r>
        <w:rPr/>
        <w:t>日</w:t>
      </w:r>
      <w:r>
        <w:rPr/>
        <w:t>152.30</w:t>
      </w:r>
      <w:r>
        <w:rPr/>
        <w:t>港元，资料截止同日。财务主源为公司官网</w:t>
      </w:r>
      <w:r>
        <w:rPr/>
        <w:t>2026</w:t>
      </w:r>
      <w:r>
        <w:rPr/>
        <w:t>年</w:t>
      </w:r>
      <w:r>
        <w:rPr/>
        <w:t>9</w:t>
      </w:r>
      <w:r>
        <w:rPr/>
        <w:t>月</w:t>
      </w:r>
      <w:r>
        <w:rPr/>
        <w:t>24</w:t>
      </w:r>
      <w:r>
        <w:rPr/>
        <w:t>日中报、</w:t>
      </w:r>
      <w:r>
        <w:rPr/>
        <w:t>8</w:t>
      </w:r>
      <w:r>
        <w:rPr/>
        <w:t>月</w:t>
      </w:r>
      <w:r>
        <w:rPr/>
        <w:t>20</w:t>
      </w:r>
      <w:r>
        <w:rPr/>
        <w:t>日半年结果、</w:t>
      </w:r>
      <w:r>
        <w:rPr/>
        <w:t>4</w:t>
      </w:r>
      <w:r>
        <w:rPr/>
        <w:t>月</w:t>
      </w:r>
      <w:r>
        <w:rPr/>
        <w:t>21</w:t>
      </w:r>
      <w:r>
        <w:rPr/>
        <w:t>日</w:t>
      </w:r>
      <w:r>
        <w:rPr/>
        <w:t>2025</w:t>
      </w:r>
      <w:r>
        <w:rPr/>
        <w:t>年报；报告以人民币千元为主，模型转换成百万元或十亿元。港元兑换采用每人民币</w:t>
      </w:r>
      <w:r>
        <w:rPr/>
        <w:t>1.10</w:t>
      </w:r>
      <w:r>
        <w:rPr/>
        <w:t>港元研究假设，未冒充已核即期。价格技术只用锁版</w:t>
      </w:r>
      <w:r>
        <w:rPr/>
        <w:t>S066</w:t>
      </w:r>
      <w:r>
        <w:rPr/>
        <w:t>，研究为初版，四榜实际名次与同梯队以总表为准。</w:t>
      </w:r>
    </w:p>
    <w:p>
      <w:pPr>
        <w:pStyle w:val="Heading2"/>
        <w:rPr/>
      </w:pPr>
      <w:r>
        <w:rPr>
          <w:color w:val="000000"/>
        </w:rPr>
        <w:t>结论卡与价格摘要</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分数</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HKD</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w:t>
            </w:r>
            <w:r>
              <w:rPr>
                <w:rFonts w:eastAsia="微软雅黑" w:ascii="微软雅黑" w:hAnsi="微软雅黑"/>
                <w:b/>
                <w:color w:val="FFFFFF"/>
                <w:sz w:val="17"/>
              </w:rPr>
              <w:t>HKD</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w:t>
            </w:r>
            <w:r>
              <w:rPr>
                <w:rFonts w:eastAsia="微软雅黑" w:ascii="微软雅黑" w:hAnsi="微软雅黑"/>
                <w:b/>
                <w:color w:val="FFFFFF"/>
                <w:sz w:val="17"/>
              </w:rPr>
              <w:t>HKD</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71.52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169.31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301.43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11.17%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11.17%</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57.11</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195.86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356.85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28.60%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28.60%</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50.48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239.27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477.71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57.10%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58.55%</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35.33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395.89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1023.58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159.94%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165.19%</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27.35</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545.56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1680.91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258.21%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269.38%</w:t>
            </w:r>
          </w:p>
        </w:tc>
      </w:tr>
    </w:tbl>
    <w:p>
      <w:pPr>
        <w:pStyle w:val="Normal"/>
        <w:rPr/>
      </w:pPr>
      <w:r>
        <w:rPr/>
      </w:r>
    </w:p>
    <w:p>
      <w:pPr>
        <w:pStyle w:val="Normal"/>
        <w:rPr/>
      </w:pPr>
      <w:r>
        <w:rPr/>
        <w:t>三年与五年基准含息年化</w:t>
      </w:r>
      <w:r>
        <w:rPr/>
        <w:t>38.42%</w:t>
      </w:r>
      <w:r>
        <w:rPr/>
        <w:t>、</w:t>
      </w:r>
      <w:r>
        <w:rPr/>
        <w:t>29.87%</w:t>
      </w:r>
      <w:r>
        <w:rPr/>
        <w:t>，依赖经营桥的明显扩张与恢复，可信度中低，分数并不因高目标涨幅自动最高。年底默认权重得到</w:t>
      </w:r>
      <w:r>
        <w:rPr/>
        <w:t>177.8925</w:t>
      </w:r>
      <w:r>
        <w:rPr/>
        <w:t>港元、</w:t>
      </w:r>
      <w:r>
        <w:rPr/>
        <w:t>16.80%</w:t>
      </w:r>
      <w:r>
        <w:rPr/>
        <w:t>期望回报；防御权重</w:t>
      </w:r>
      <w:r>
        <w:rPr/>
        <w:t>143.406</w:t>
      </w:r>
      <w:r>
        <w:rPr/>
        <w:t>港元、</w:t>
      </w:r>
      <w:r>
        <w:rPr/>
        <w:t>-5.84%</w:t>
      </w:r>
      <w:r>
        <w:rPr/>
        <w:t>，积极</w:t>
      </w:r>
      <w:r>
        <w:rPr/>
        <w:t>212.379</w:t>
      </w:r>
      <w:r>
        <w:rPr/>
        <w:t>港元、</w:t>
      </w:r>
      <w:r>
        <w:rPr/>
        <w:t>39.45%</w:t>
      </w:r>
      <w:r>
        <w:rPr/>
        <w:t>。这些是判断权重，非概率、置信区间或损失边界。</w:t>
      </w:r>
    </w:p>
    <w:p>
      <w:pPr>
        <w:pStyle w:val="Normal"/>
        <w:rPr/>
      </w:pPr>
      <w:r>
        <w:rPr/>
        <w:t>进取型结论为中长期有</w:t>
      </w:r>
      <w:r>
        <w:rPr/>
        <w:t>IP</w:t>
      </w:r>
      <w:r>
        <w:rPr/>
        <w:t>平台成长机会，半年及一年需验证海外正常化与库存现金。成立条件是多个</w:t>
      </w:r>
      <w:r>
        <w:rPr/>
        <w:t>IP</w:t>
      </w:r>
      <w:r>
        <w:rPr/>
        <w:t>产生可持续终端购买、海外线上下降趋稳、存货周转改善、正常利润能含研发授权及股份支付成本。主要风险为潮流疲劳、海外需求、租赁与门店效率、库存减值、</w:t>
      </w:r>
      <w:r>
        <w:rPr/>
        <w:t>IP</w:t>
      </w:r>
      <w:r>
        <w:rPr/>
        <w:t>权利及创作者合作、汇率、估值与管理执行。未来股价全部来自研究假设，没有把</w:t>
      </w:r>
      <w:r>
        <w:rPr/>
        <w:t>2025</w:t>
      </w:r>
      <w:r>
        <w:rPr/>
        <w:t>爆发增速延续为确定路径。</w:t>
      </w:r>
    </w:p>
    <w:p>
      <w:pPr>
        <w:pStyle w:val="Heading2"/>
        <w:rPr/>
      </w:pPr>
      <w:r>
        <w:rPr>
          <w:color w:val="000000"/>
        </w:rPr>
        <w:t>一 公司价值来自</w:t>
      </w:r>
      <w:r>
        <w:rPr>
          <w:color w:val="000000"/>
        </w:rPr>
        <w:t>IP</w:t>
      </w:r>
      <w:r>
        <w:rPr>
          <w:color w:val="000000"/>
        </w:rPr>
        <w:t>经营与渠道配合</w:t>
      </w:r>
    </w:p>
    <w:p>
      <w:pPr>
        <w:pStyle w:val="Normal"/>
        <w:rPr/>
      </w:pPr>
      <w:r>
        <w:rPr/>
        <w:t>泡泡玛特的业务包含艺术家合作、产品设计、供应链、零售与线上分发。消费者购买的不只是材料或功能，而是审美、情绪、角色认同与收集体验，因此公司可以获得高于普通制造商品的毛利。与此同时，需求依赖喜好变化和内容持续吸引力，不能把高毛利自动解释为高稳定性。研究需要判断平台能否重复推出受欢迎产品，并把热度转化为长期现金，而不是仅在某一年抓住爆款。</w:t>
      </w:r>
    </w:p>
    <w:p>
      <w:pPr>
        <w:pStyle w:val="Normal"/>
        <w:rPr/>
      </w:pPr>
      <w:r>
        <w:rPr/>
        <w:t>公司的经营链条较完整，设计和商品化可以帮助创作者触达消费者，门店和官方线上渠道则提供展示、购买及反馈。这个体系有机会降低新品的试错成本，支持多个</w:t>
      </w:r>
      <w:r>
        <w:rPr/>
        <w:t>IP</w:t>
      </w:r>
      <w:r>
        <w:rPr/>
        <w:t>成长。但平台优势并不让每个角色都成功，产品推出过密、渠道过度备货或消费者疲劳仍可能削弱利润。估值应该依据整体正常收益，而不是将每个角色的最大市场空间分别加总，避免同一渠道和同一消费者被重复计算。</w:t>
      </w:r>
    </w:p>
    <w:p>
      <w:pPr>
        <w:pStyle w:val="Normal"/>
        <w:rPr/>
      </w:pPr>
      <w:r>
        <w:rPr/>
        <w:t>与纯版权授权企业相比，公司承担更多商品、库存和零售成本；与普通零售企业相比，它拥有更强创意和品牌差异。两者结合形成机会，也使需求和执行同时重要。平台长期价值不能仅看艺术家的数量，必须看商品研发、供应链响应、渠道效率和消费者复购。若只有一个</w:t>
      </w:r>
      <w:r>
        <w:rPr/>
        <w:t>IP</w:t>
      </w:r>
      <w:r>
        <w:rPr/>
        <w:t>支撑大部分海外销量，其他新品尚未接棒，所谓平台分散性就需要通过财表证明，而不是由公司名称或故事设定推定。</w:t>
      </w:r>
    </w:p>
    <w:p>
      <w:pPr>
        <w:pStyle w:val="Heading2"/>
        <w:rPr/>
      </w:pPr>
      <w:r>
        <w:rPr>
          <w:color w:val="000000"/>
        </w:rPr>
        <w:t>二 爆款成功与持久品牌是不同阶段</w:t>
      </w:r>
    </w:p>
    <w:p>
      <w:pPr>
        <w:pStyle w:val="Normal"/>
        <w:rPr/>
      </w:pPr>
      <w:r>
        <w:rPr/>
        <w:t>THE MONSTERS</w:t>
      </w:r>
      <w:r>
        <w:rPr/>
        <w:t>在</w:t>
      </w:r>
      <w:r>
        <w:rPr/>
        <w:t>2025</w:t>
      </w:r>
      <w:r>
        <w:rPr/>
        <w:t>年收入</w:t>
      </w:r>
      <w:r>
        <w:rPr/>
        <w:t>141.61</w:t>
      </w:r>
      <w:r>
        <w:rPr/>
        <w:t>亿元，占集团</w:t>
      </w:r>
      <w:r>
        <w:rPr/>
        <w:t>38.1%</w:t>
      </w:r>
      <w:r>
        <w:rPr/>
        <w:t>，是显著增长来源；</w:t>
      </w:r>
      <w:r>
        <w:rPr/>
        <w:t>2026</w:t>
      </w:r>
      <w:r>
        <w:rPr/>
        <w:t>上半年</w:t>
      </w:r>
      <w:r>
        <w:rPr/>
        <w:t>44.54</w:t>
      </w:r>
      <w:r>
        <w:rPr/>
        <w:t>亿元、占</w:t>
      </w:r>
      <w:r>
        <w:rPr/>
        <w:t>26.0%</w:t>
      </w:r>
      <w:r>
        <w:rPr/>
        <w:t>，低于上年同期</w:t>
      </w:r>
      <w:r>
        <w:rPr/>
        <w:t>48.14</w:t>
      </w:r>
      <w:r>
        <w:rPr/>
        <w:t>亿元。份额下降部分来自其他</w:t>
      </w:r>
      <w:r>
        <w:rPr/>
        <w:t>IP</w:t>
      </w:r>
      <w:r>
        <w:rPr/>
        <w:t>成长，也包含它本身销售下降，不能只用“更加多元”解释。公开媒体常以</w:t>
      </w:r>
      <w:r>
        <w:rPr/>
        <w:t>LABUBU</w:t>
      </w:r>
      <w:r>
        <w:rPr/>
        <w:t>代指整个系列，但主源披露是</w:t>
      </w:r>
      <w:r>
        <w:rPr/>
        <w:t>THE MONSTERS</w:t>
      </w:r>
      <w:r>
        <w:rPr/>
        <w:t>，本文保持报告口径，不把系列销售全称单一角色精确销售额。</w:t>
      </w:r>
    </w:p>
    <w:p>
      <w:pPr>
        <w:pStyle w:val="Normal"/>
        <w:rPr/>
      </w:pPr>
      <w:r>
        <w:rPr/>
        <w:t>爆款能够快速扩展认知、吸引新消费者并推动渠道建设，却也可能放大备货和扩张判断错误。当热度上升，稀缺与社交传播让需求超过常态；供应增加后，购买可能恢复到真实审美和使用需求。研究不能把二手价格、排队或短视频热度直接当公司收入，因为交易发生在不同主体，热度也可能来自短期投机。持续品牌需要新内容与新品保持吸引，同时不损伤原有消费者信任。</w:t>
      </w:r>
    </w:p>
    <w:p>
      <w:pPr>
        <w:pStyle w:val="Normal"/>
        <w:rPr/>
      </w:pPr>
      <w:r>
        <w:rPr/>
        <w:t>一个</w:t>
      </w:r>
      <w:r>
        <w:rPr/>
        <w:t>IP</w:t>
      </w:r>
      <w:r>
        <w:rPr/>
        <w:t>从爆发走向稳定，可能经历销售下降但仍保留较好利润，这并不等于完全失败；也可能从高热度快速走向折价库存。关键是渠道库存、实际终端动销、消费者复购和新品贡献，公开财表未披露完整单</w:t>
      </w:r>
      <w:r>
        <w:rPr/>
        <w:t>IP</w:t>
      </w:r>
      <w:r>
        <w:rPr/>
        <w:t>单位经济性。本文将持续性放进地区正常利润率和收入假设，拒绝给未经验证的每个角色设永续增长。若热度下降同时库存和营销负担上升，应该降低估值和平台质量评分。</w:t>
      </w:r>
    </w:p>
    <w:p>
      <w:pPr>
        <w:pStyle w:val="Heading2"/>
        <w:rPr/>
      </w:pPr>
      <w:r>
        <w:rPr>
          <w:color w:val="000000"/>
        </w:rPr>
        <w:t>三 多</w:t>
      </w:r>
      <w:r>
        <w:rPr>
          <w:color w:val="000000"/>
        </w:rPr>
        <w:t>IP</w:t>
      </w:r>
      <w:r>
        <w:rPr>
          <w:color w:val="000000"/>
        </w:rPr>
        <w:t>成长提供分散也需要独立验证</w:t>
      </w:r>
    </w:p>
    <w:p>
      <w:pPr>
        <w:pStyle w:val="Normal"/>
        <w:rPr/>
      </w:pPr>
      <w:r>
        <w:rPr/>
        <w:t>上半年</w:t>
      </w:r>
      <w:r>
        <w:rPr/>
        <w:t>Twinkle Twinkle</w:t>
      </w:r>
      <w:r>
        <w:rPr/>
        <w:t>收入</w:t>
      </w:r>
      <w:r>
        <w:rPr/>
        <w:t>26.50</w:t>
      </w:r>
      <w:r>
        <w:rPr/>
        <w:t>亿元，去年同期</w:t>
      </w:r>
      <w:r>
        <w:rPr/>
        <w:t>3.89</w:t>
      </w:r>
      <w:r>
        <w:rPr/>
        <w:t>亿元；</w:t>
      </w:r>
      <w:r>
        <w:rPr/>
        <w:t>CRYBABY16.33</w:t>
      </w:r>
      <w:r>
        <w:rPr/>
        <w:t>亿元、</w:t>
      </w:r>
      <w:r>
        <w:rPr/>
        <w:t>DIMOO16.19</w:t>
      </w:r>
      <w:r>
        <w:rPr/>
        <w:t>亿元、</w:t>
      </w:r>
      <w:r>
        <w:rPr/>
        <w:t>SKULLPANDA15.51</w:t>
      </w:r>
      <w:r>
        <w:rPr/>
        <w:t>亿元、</w:t>
      </w:r>
      <w:r>
        <w:rPr/>
        <w:t>HIRONO10.09</w:t>
      </w:r>
      <w:r>
        <w:rPr/>
        <w:t>亿元，均构成重要业务。公司称十一项艺术家</w:t>
      </w:r>
      <w:r>
        <w:rPr/>
        <w:t>IP</w:t>
      </w:r>
      <w:r>
        <w:rPr/>
        <w:t>收入超过一亿元，说明经营并非只靠一个系列。这些是平台能力的证据，但基数很低的新</w:t>
      </w:r>
      <w:r>
        <w:rPr/>
        <w:t>IP</w:t>
      </w:r>
      <w:r>
        <w:rPr/>
        <w:t>高增速不能简单外推，消费者可能在同一预算中转换购买对象，新增销售也可能部分替代旧产品。</w:t>
      </w:r>
    </w:p>
    <w:p>
      <w:pPr>
        <w:pStyle w:val="Normal"/>
        <w:rPr/>
      </w:pPr>
      <w:r>
        <w:rPr/>
        <w:t>MOLLY</w:t>
      </w:r>
      <w:r>
        <w:rPr/>
        <w:t>同期</w:t>
      </w:r>
      <w:r>
        <w:rPr/>
        <w:t>9.01</w:t>
      </w:r>
      <w:r>
        <w:rPr/>
        <w:t>亿元，低于去年</w:t>
      </w:r>
      <w:r>
        <w:rPr/>
        <w:t>13.57</w:t>
      </w:r>
      <w:r>
        <w:rPr/>
        <w:t>亿元，提示成熟角色也存在产品节奏和生命周期变化。平台可以持续迭代设计与形式，仍需维护角色独特性；过多联名或商品化可能提高短期销售，也可能使品牌表达稀释。研究不以老</w:t>
      </w:r>
      <w:r>
        <w:rPr/>
        <w:t>IP</w:t>
      </w:r>
      <w:r>
        <w:rPr/>
        <w:t>销售下降就判平台失效，也不以新</w:t>
      </w:r>
      <w:r>
        <w:rPr/>
        <w:t>IP</w:t>
      </w:r>
      <w:r>
        <w:rPr/>
        <w:t>高增就完全忽视老客户流失。应观察组合总动销、毛利和现金，判断接棒是否真实创造增量。</w:t>
      </w:r>
    </w:p>
    <w:p>
      <w:pPr>
        <w:pStyle w:val="Normal"/>
        <w:rPr/>
      </w:pPr>
      <w:r>
        <w:rPr/>
        <w:t>多元组合降低单一热点风险的前提是</w:t>
      </w:r>
      <w:r>
        <w:rPr/>
        <w:t>IP</w:t>
      </w:r>
      <w:r>
        <w:rPr/>
        <w:t>之间需求和创作能力不完全同周期。若都依靠同一流量渠道和相似促销，热度衰退可能同时发生；若服务不同审美人群与场景，分散效果更好。公开资料没有完整消费者重叠率，研究不能计算确定相关性。三年与五年基准假设平台持续提高组合收入，但保留较低悲观利润率，表达创意供给与消费者预算可能不按计划扩张。</w:t>
      </w:r>
    </w:p>
    <w:p>
      <w:pPr>
        <w:pStyle w:val="Heading2"/>
        <w:rPr/>
      </w:pPr>
      <w:r>
        <w:rPr>
          <w:color w:val="000000"/>
        </w:rPr>
        <w:t>四 艺术家合作权利决定收益归属</w:t>
      </w:r>
    </w:p>
    <w:p>
      <w:pPr>
        <w:pStyle w:val="Normal"/>
        <w:rPr/>
      </w:pPr>
      <w:r>
        <w:rPr/>
        <w:t>艺术家</w:t>
      </w:r>
      <w:r>
        <w:rPr/>
        <w:t>IP</w:t>
      </w:r>
      <w:r>
        <w:rPr/>
        <w:t>占上半年收入</w:t>
      </w:r>
      <w:r>
        <w:rPr/>
        <w:t>89.0%</w:t>
      </w:r>
      <w:r>
        <w:rPr/>
        <w:t>，授权</w:t>
      </w:r>
      <w:r>
        <w:rPr/>
        <w:t>IP</w:t>
      </w:r>
      <w:r>
        <w:rPr/>
        <w:t>占</w:t>
      </w:r>
      <w:r>
        <w:rPr/>
        <w:t>10.3%</w:t>
      </w:r>
      <w:r>
        <w:rPr/>
        <w:t>，两类不等同于公司完全拥有所有版权。财表披露授权费用与应付授权费，显示收入仍须与权利人分享。研究不把自主产品称为永久全权拥有知识产权，也不把销售收入全部理解为公司独占租金。具体协议期限、区域、媒介、排他与续约条款未完整取得，长期估值应保留合作成本和权利稳定风险。</w:t>
      </w:r>
    </w:p>
    <w:p>
      <w:pPr>
        <w:pStyle w:val="Normal"/>
        <w:rPr/>
      </w:pPr>
      <w:r>
        <w:rPr/>
        <w:t>平台能帮助创作者把作品变为商品、建设品牌并触达全球消费者，双方互补形成议价基础。创作者也可能随着影响力提高要求更高分成，或者选择不同商业伙伴。高质量合作需要艺术自由、商业节奏和权利保护协调，过度依赖压低分成不一定可持续。本文正常利润率已含授权与设计成本，没有假设随着规模增长权利人报酬归零，也未给未知合约设确定永续授权期。</w:t>
      </w:r>
    </w:p>
    <w:p>
      <w:pPr>
        <w:pStyle w:val="Normal"/>
        <w:rPr/>
      </w:pPr>
      <w:r>
        <w:rPr/>
        <w:t>上半年授权费用</w:t>
      </w:r>
      <w:r>
        <w:rPr/>
        <w:t>3.76</w:t>
      </w:r>
      <w:r>
        <w:rPr/>
        <w:t>亿元，低于去年</w:t>
      </w:r>
      <w:r>
        <w:rPr/>
        <w:t>4.51</w:t>
      </w:r>
      <w:r>
        <w:rPr/>
        <w:t>亿元，可能受产品结构、协议和确认时点影响，不能仅据此称长期议价能力改善。应付授权费用合计</w:t>
      </w:r>
      <w:r>
        <w:rPr/>
        <w:t>5.19</w:t>
      </w:r>
      <w:r>
        <w:rPr/>
        <w:t>亿元另列，属于现金责任，不能加到银行债务重复算却完全忽略。若续约条件变化、主要合作中断或侵权纠纷增加，会改变产品收入与成本。长期推荐的反证需要包含权利关系，而不是只跟踪消费者热度。</w:t>
      </w:r>
    </w:p>
    <w:p>
      <w:pPr>
        <w:pStyle w:val="Heading2"/>
        <w:rPr/>
      </w:pPr>
      <w:r>
        <w:rPr>
          <w:color w:val="000000"/>
        </w:rPr>
        <w:t>五 中国业务增长与地区口径</w:t>
      </w:r>
    </w:p>
    <w:p>
      <w:pPr>
        <w:pStyle w:val="Normal"/>
        <w:rPr/>
      </w:pPr>
      <w:r>
        <w:rPr/>
        <w:t>财表</w:t>
      </w:r>
      <w:r>
        <w:rPr/>
        <w:t>PRC</w:t>
      </w:r>
      <w:r>
        <w:rPr/>
        <w:t>包括中国内地、香港、澳门与台湾，上半年外部收入</w:t>
      </w:r>
      <w:r>
        <w:rPr/>
        <w:t>122.01</w:t>
      </w:r>
      <w:r>
        <w:rPr/>
        <w:t>亿元，去年</w:t>
      </w:r>
      <w:r>
        <w:rPr/>
        <w:t>82.83</w:t>
      </w:r>
      <w:r>
        <w:rPr/>
        <w:t>亿元。新闻所谓中国市场不一定等同纯内地，本文统一用财表定义，避免把港澳台与海外重复归类。这个地区收入增长约</w:t>
      </w:r>
      <w:r>
        <w:rPr/>
        <w:t>47.3%</w:t>
      </w:r>
      <w:r>
        <w:rPr/>
        <w:t>，支持渠道和产品组合韧性，但从高基数、购物预算和销售节奏看也可能逐步放缓。对未来两至五年，不能按半年增速简单复利。</w:t>
      </w:r>
    </w:p>
    <w:p>
      <w:pPr>
        <w:pStyle w:val="Normal"/>
        <w:rPr/>
      </w:pPr>
      <w:r>
        <w:rPr/>
        <w:t>PRC</w:t>
      </w:r>
      <w:r>
        <w:rPr/>
        <w:t>零售收入</w:t>
      </w:r>
      <w:r>
        <w:rPr/>
        <w:t>60.90</w:t>
      </w:r>
      <w:r>
        <w:rPr/>
        <w:t>亿元、线上</w:t>
      </w:r>
      <w:r>
        <w:rPr/>
        <w:t>47.79</w:t>
      </w:r>
      <w:r>
        <w:rPr/>
        <w:t>亿元、机器人商店</w:t>
      </w:r>
      <w:r>
        <w:rPr/>
        <w:t>7.79</w:t>
      </w:r>
      <w:r>
        <w:rPr/>
        <w:t>亿元、批发及其他</w:t>
      </w:r>
      <w:r>
        <w:rPr/>
        <w:t>5.53</w:t>
      </w:r>
      <w:r>
        <w:rPr/>
        <w:t>亿元，多渠道为消费者提供不同接触方式。线上可以触达更广人群，门店有助于体验和展示，机器商店适合便利消费，但各自成本和产品适配不同。把渠道总收入增加全视为新增客户会忽略同一用户转换购买地点。研究更关心组合利润与真实现金，未将每类渠道分别加一套估值。</w:t>
      </w:r>
    </w:p>
    <w:p>
      <w:pPr>
        <w:pStyle w:val="Normal"/>
        <w:rPr/>
      </w:pPr>
      <w:r>
        <w:rPr/>
        <w:t>国内增长能缓冲海外下降，但并不证明海外问题可永久由国内承担。竞争者、其他可选消费、审美变化及家庭支出预算都影响购买，产品形态扩大也会带来管理复杂性。基准正常利润率允许较好渠道效率，悲观则考虑竞争和动销放缓。若国内新增店和线上销售保持增长，而整体库存周转进一步变差，应该重新判断增长是否为备货与发布节奏驱动，不能只看收入排名。</w:t>
      </w:r>
    </w:p>
    <w:p>
      <w:pPr>
        <w:pStyle w:val="Heading2"/>
        <w:rPr/>
      </w:pPr>
      <w:r>
        <w:rPr>
          <w:color w:val="000000"/>
        </w:rPr>
        <w:t>六 海外下降暴露扩张的难度</w:t>
      </w:r>
    </w:p>
    <w:p>
      <w:pPr>
        <w:pStyle w:val="Normal"/>
        <w:rPr/>
      </w:pPr>
      <w:r>
        <w:rPr/>
        <w:t>上半年海外收入</w:t>
      </w:r>
      <w:r>
        <w:rPr/>
        <w:t>49.72</w:t>
      </w:r>
      <w:r>
        <w:rPr/>
        <w:t>亿元，低于去年</w:t>
      </w:r>
      <w:r>
        <w:rPr/>
        <w:t>55.93</w:t>
      </w:r>
      <w:r>
        <w:rPr/>
        <w:t>亿元，下降约</w:t>
      </w:r>
      <w:r>
        <w:rPr/>
        <w:t>11.1%</w:t>
      </w:r>
      <w:r>
        <w:rPr/>
        <w:t>，与</w:t>
      </w:r>
      <w:r>
        <w:rPr/>
        <w:t>PRC</w:t>
      </w:r>
      <w:r>
        <w:rPr/>
        <w:t>增长明显不同。海外零售</w:t>
      </w:r>
      <w:r>
        <w:rPr/>
        <w:t>30.22</w:t>
      </w:r>
      <w:r>
        <w:rPr/>
        <w:t>亿元同比增加，线上</w:t>
      </w:r>
      <w:r>
        <w:rPr/>
        <w:t>14.33</w:t>
      </w:r>
      <w:r>
        <w:rPr/>
        <w:t>亿元相比</w:t>
      </w:r>
      <w:r>
        <w:rPr/>
        <w:t>25.61</w:t>
      </w:r>
      <w:r>
        <w:rPr/>
        <w:t>亿元明显下降，机器人商店及批发规模较小。该结构提示海外并不是所有渠道同时坍缩，线上热度与门店增长需要分开。但线下增加能否覆盖线上损失、租赁与人力成本，需要看实际分部利润和后续动销，而非只数开店。</w:t>
      </w:r>
    </w:p>
    <w:p>
      <w:pPr>
        <w:pStyle w:val="Normal"/>
        <w:rPr/>
      </w:pPr>
      <w:r>
        <w:rPr/>
        <w:t>海外分部结果</w:t>
      </w:r>
      <w:r>
        <w:rPr/>
        <w:t>15.08</w:t>
      </w:r>
      <w:r>
        <w:rPr/>
        <w:t>亿元，去年</w:t>
      </w:r>
      <w:r>
        <w:rPr/>
        <w:t>24.65</w:t>
      </w:r>
      <w:r>
        <w:rPr/>
        <w:t>亿元，利润降幅大于收入；分部率约</w:t>
      </w:r>
      <w:r>
        <w:rPr/>
        <w:t>30.34%</w:t>
      </w:r>
      <w:r>
        <w:rPr/>
        <w:t>，低于去年约</w:t>
      </w:r>
      <w:r>
        <w:rPr/>
        <w:t>44.06%</w:t>
      </w:r>
      <w:r>
        <w:rPr/>
        <w:t>。这是经营杠杆和成本结构风险的直接证据，比单看集团净利更有用。品牌进入新市场需要店员、仓储、物流、营销和治理，新店规模扩大可以在成熟后改善效率，也可以在需求放缓时形成负担。本文基准允许海外正常化恢复，悲观保持更低率，未假设成本全为可变。</w:t>
      </w:r>
    </w:p>
    <w:p>
      <w:pPr>
        <w:pStyle w:val="Normal"/>
        <w:rPr/>
      </w:pPr>
      <w:r>
        <w:rPr/>
        <w:t>海外成功不能按国内模式完全复制，语言、零售环境、物流、消费者喜好和监管都有差异。海外消费者短期追逐同一热点可能带来很快增长，也可能因供给扩大或潮流转换快速下降。研究没有完整地区单店净利和同店销售，因此不填造每国门店回报。需要等待地区收入、分部率、库存分配和现金改善，才可确认扩张体系能承受正常需求而非仅承受爆款时期。</w:t>
      </w:r>
    </w:p>
    <w:p>
      <w:pPr>
        <w:pStyle w:val="Heading2"/>
        <w:rPr/>
      </w:pPr>
      <w:r>
        <w:rPr>
          <w:color w:val="000000"/>
        </w:rPr>
        <w:t>七 门店生产力比数量更有解释力</w:t>
      </w:r>
    </w:p>
    <w:p>
      <w:pPr>
        <w:pStyle w:val="Normal"/>
        <w:rPr/>
      </w:pPr>
      <w:r>
        <w:rPr/>
        <w:t>公司持续扩展全球零售网络，门店可以提高体验、减少纯线上流量依赖并建立本地品牌触点。然而门店数量增加不等于同店效率提升，开业首期热度也可能高于稳态。店内销售覆盖租金、人力、物流与装修折旧后才形成股东利润。公开机构新闻给出部分生产力下降与租约结构描述，原研报未取得，本文不把这些转述百分比当全店精确主源，也不对所有门店机械套利润。</w:t>
      </w:r>
    </w:p>
    <w:p>
      <w:pPr>
        <w:pStyle w:val="Normal"/>
        <w:rPr/>
      </w:pPr>
      <w:r>
        <w:rPr/>
        <w:t>上半年使用权资产折旧</w:t>
      </w:r>
      <w:r>
        <w:rPr/>
        <w:t>4.52</w:t>
      </w:r>
      <w:r>
        <w:rPr/>
        <w:t>亿元、可变及短期租赁费用</w:t>
      </w:r>
      <w:r>
        <w:rPr/>
        <w:t>6.73</w:t>
      </w:r>
      <w:r>
        <w:rPr/>
        <w:t>亿元，表明租赁成本具有固定和可变两种组成。销售提成租约可以随需求调整，仍不代表全部费用可立即下降，员工和装修也具有调整延迟。集团租赁负债</w:t>
      </w:r>
      <w:r>
        <w:rPr/>
        <w:t>37.28</w:t>
      </w:r>
      <w:r>
        <w:rPr/>
        <w:t>亿元，不能因没有银行借款就忽略。研究正常分部率含租赁经济成本，现金交叉另扣租赁本金，避免高会计利润和实际店铺现金支出脱节。</w:t>
      </w:r>
    </w:p>
    <w:p>
      <w:pPr>
        <w:pStyle w:val="Normal"/>
        <w:rPr/>
      </w:pPr>
      <w:r>
        <w:rPr/>
        <w:t>好的开店策略应比较成熟店回报、区域饱和度、同店增长及供应链支持，保持试点和退出纪律。如果公司在需求调整时继续追求数量、开店带来额外库存和成本而单店恢复慢，长期增长质量会下降。反之，若海外线上趋稳、成熟门店持续赚钱且新店效率改善，收入恢复更可信。长期模型不根据目标店数直接给盈利，而用地区收入与正常率表达可能回报，再以财表检验。</w:t>
      </w:r>
    </w:p>
    <w:p>
      <w:pPr>
        <w:pStyle w:val="Heading2"/>
        <w:rPr/>
      </w:pPr>
      <w:r>
        <w:rPr>
          <w:color w:val="000000"/>
        </w:rPr>
        <w:t>八 线上渠道与流量成本</w:t>
      </w:r>
    </w:p>
    <w:p>
      <w:pPr>
        <w:pStyle w:val="Normal"/>
        <w:rPr/>
      </w:pPr>
      <w:r>
        <w:rPr/>
        <w:t>线上销售有利于快速覆盖新市场，但消费者触达可能依赖平台推荐、社交传播、广告和官方应用。热度上升时获客成本可能较低，热度下降后维持流量则可能需要促销或广告。上半年平台服务与佣金</w:t>
      </w:r>
      <w:r>
        <w:rPr/>
        <w:t>5.62</w:t>
      </w:r>
      <w:r>
        <w:rPr/>
        <w:t>亿元、物流</w:t>
      </w:r>
      <w:r>
        <w:rPr/>
        <w:t>7.54</w:t>
      </w:r>
      <w:r>
        <w:rPr/>
        <w:t>亿元，均是经营成本，不应因为某年线上收入高就固定当高利润率通道。本文保持渠道外部收入和费用一起进入地区正常率，未把流量价值单独再加价。</w:t>
      </w:r>
    </w:p>
    <w:p>
      <w:pPr>
        <w:pStyle w:val="Normal"/>
        <w:rPr/>
      </w:pPr>
      <w:r>
        <w:rPr/>
        <w:t>公司计划改进自有</w:t>
      </w:r>
      <w:r>
        <w:rPr/>
        <w:t>APP</w:t>
      </w:r>
      <w:r>
        <w:rPr/>
        <w:t>与网站、提高全球线上功能整合，是值得观察的经营方向；拥有应用并不保证用户迁移和复购。官方渠道可以改善消费者关系与数据，仍需要可靠库存、配送、客服和支付体验。若平台变现效率提高，可能降低部分中介成本；若应用维护和营销费用上升而购买无改善，则回报不足。研究不从下载、关注或注册数直接推算付费销售，因为用户身份和购买频率未完整披露。</w:t>
      </w:r>
    </w:p>
    <w:p>
      <w:pPr>
        <w:pStyle w:val="Normal"/>
        <w:rPr/>
      </w:pPr>
      <w:r>
        <w:rPr/>
        <w:t>海外线上下降</w:t>
      </w:r>
      <w:r>
        <w:rPr/>
        <w:t>44%</w:t>
      </w:r>
      <w:r>
        <w:rPr/>
        <w:t>左右在新闻与财表比值大体相符，但二季度不同投行描述的同比跌幅不一致。没有取得精确首季收入，本文不倒推出貌似精确二季度金额，更不择取最悲观或最乐观转述为事实。上半年地区和渠道数据足以确认调整方向，季度拐点则需要新公告。半年判断的重要条件是线上动销不再恶化、库存和营销负担同步改善，而不是一次社交热点再度出现。</w:t>
      </w:r>
    </w:p>
    <w:p>
      <w:pPr>
        <w:pStyle w:val="Heading2"/>
        <w:rPr/>
      </w:pPr>
      <w:r>
        <w:rPr>
          <w:color w:val="000000"/>
        </w:rPr>
        <w:t>九 毛利高但经营费用和税仍重要</w:t>
      </w:r>
    </w:p>
    <w:p>
      <w:pPr>
        <w:pStyle w:val="Normal"/>
        <w:rPr/>
      </w:pPr>
      <w:r>
        <w:rPr/>
        <w:t>集团上半年毛利</w:t>
      </w:r>
      <w:r>
        <w:rPr/>
        <w:t>69.7%</w:t>
      </w:r>
      <w:r>
        <w:rPr/>
        <w:t>，去年</w:t>
      </w:r>
      <w:r>
        <w:rPr/>
        <w:t>70.3%</w:t>
      </w:r>
      <w:r>
        <w:rPr/>
        <w:t>，仍高但略降。高毛利提供研发、渠道和内容的资金，也使利润对产品组合和折扣敏感。销售费用</w:t>
      </w:r>
      <w:r>
        <w:rPr/>
        <w:t>39.31</w:t>
      </w:r>
      <w:r>
        <w:rPr/>
        <w:t>亿元、管理</w:t>
      </w:r>
      <w:r>
        <w:rPr/>
        <w:t>9.27</w:t>
      </w:r>
      <w:r>
        <w:rPr/>
        <w:t>亿元，扣除后还有其他收益、汇兑、金融及税影响。不能将</w:t>
      </w:r>
      <w:r>
        <w:rPr/>
        <w:t>69.7%</w:t>
      </w:r>
      <w:r>
        <w:rPr/>
        <w:t>毛利直接用于整个公司盈利估计，也不能把零售业务描述成无成本</w:t>
      </w:r>
      <w:r>
        <w:rPr/>
        <w:t>IP</w:t>
      </w:r>
      <w:r>
        <w:rPr/>
        <w:t>授权。模型基于地区经营率再减企业中心成本，完整保留常态费用。</w:t>
      </w:r>
    </w:p>
    <w:p>
      <w:pPr>
        <w:pStyle w:val="Normal"/>
        <w:rPr/>
      </w:pPr>
      <w:r>
        <w:rPr/>
        <w:t>上半年员工福利</w:t>
      </w:r>
      <w:r>
        <w:rPr/>
        <w:t>14.05</w:t>
      </w:r>
      <w:r>
        <w:rPr/>
        <w:t>亿元、营销</w:t>
      </w:r>
      <w:r>
        <w:rPr/>
        <w:t>4.44</w:t>
      </w:r>
      <w:r>
        <w:rPr/>
        <w:t>亿元、物流</w:t>
      </w:r>
      <w:r>
        <w:rPr/>
        <w:t>7.54</w:t>
      </w:r>
      <w:r>
        <w:rPr/>
        <w:t>亿元、平台服务</w:t>
      </w:r>
      <w:r>
        <w:rPr/>
        <w:t>5.62</w:t>
      </w:r>
      <w:r>
        <w:rPr/>
        <w:t>亿元，说明运营体系具有真实费用。成本有些随销售，有些与扩張前置，增长放缓时杠杆可能反向发挥。公司核心分部合计利润</w:t>
      </w:r>
      <w:r>
        <w:rPr/>
        <w:t>71.11</w:t>
      </w:r>
      <w:r>
        <w:rPr/>
        <w:t>亿元，减其他损益后法定经营利润</w:t>
      </w:r>
      <w:r>
        <w:rPr/>
        <w:t>67.25</w:t>
      </w:r>
      <w:r>
        <w:rPr/>
        <w:t>亿元，两者差异需要解释。本文不把分部高率与集团低费用重复组合，不因为某个指标叫核心就无限剔除真实成本。</w:t>
      </w:r>
    </w:p>
    <w:p>
      <w:pPr>
        <w:pStyle w:val="Normal"/>
        <w:rPr/>
      </w:pPr>
      <w:r>
        <w:rPr/>
        <w:t>所得税费用</w:t>
      </w:r>
      <w:r>
        <w:rPr/>
        <w:t>16.67</w:t>
      </w:r>
      <w:r>
        <w:rPr/>
        <w:t>亿元，税前利润</w:t>
      </w:r>
      <w:r>
        <w:rPr/>
        <w:t>67.67</w:t>
      </w:r>
      <w:r>
        <w:rPr/>
        <w:t>亿元，实际比率接近四分之一。未来海外构成、税收优惠及收入确认可能改变税率，研究采用</w:t>
      </w:r>
      <w:r>
        <w:rPr/>
        <w:t>25%</w:t>
      </w:r>
      <w:r>
        <w:rPr/>
        <w:t>并保留敏感性。税率下调可以提高</w:t>
      </w:r>
      <w:r>
        <w:rPr/>
        <w:t>EPS</w:t>
      </w:r>
      <w:r>
        <w:rPr/>
        <w:t>，但不是产品优势，也不能因公司现金充足而假设免税。年度现金税支付又不同于当期税费用，尤其前期利润增长会在后续支付。估值应分别处理税后盈利与现金，不拿较低一项替代另一项。</w:t>
      </w:r>
    </w:p>
    <w:p>
      <w:pPr>
        <w:pStyle w:val="Heading2"/>
        <w:rPr/>
      </w:pPr>
      <w:r>
        <w:rPr>
          <w:color w:val="000000"/>
        </w:rPr>
        <w:t>十 调整利润不是免除股份支付和汇率</w:t>
      </w:r>
    </w:p>
    <w:p>
      <w:pPr>
        <w:pStyle w:val="Normal"/>
        <w:rPr/>
      </w:pPr>
      <w:r>
        <w:rPr/>
        <w:t>公司上半年调整净利</w:t>
      </w:r>
      <w:r>
        <w:rPr/>
        <w:t>51.56</w:t>
      </w:r>
      <w:r>
        <w:rPr/>
        <w:t>亿元，是集团净利</w:t>
      </w:r>
      <w:r>
        <w:rPr/>
        <w:t>51.00</w:t>
      </w:r>
      <w:r>
        <w:rPr/>
        <w:t>亿元加回股份支付，未剔除全部汇兑亏损，也不等于归母</w:t>
      </w:r>
      <w:r>
        <w:rPr/>
        <w:t>50.38</w:t>
      </w:r>
      <w:r>
        <w:rPr/>
        <w:t>亿元。</w:t>
      </w:r>
      <w:r>
        <w:rPr/>
        <w:t>2025</w:t>
      </w:r>
      <w:r>
        <w:rPr/>
        <w:t>调整集团</w:t>
      </w:r>
      <w:r>
        <w:rPr/>
        <w:t>130.84</w:t>
      </w:r>
      <w:r>
        <w:rPr/>
        <w:t>亿元与法定归母</w:t>
      </w:r>
      <w:r>
        <w:rPr/>
        <w:t>127.76</w:t>
      </w:r>
      <w:r>
        <w:rPr/>
        <w:t>亿元同样不是同一归属。用调整集团利润直接除法定归母</w:t>
      </w:r>
      <w:r>
        <w:rPr/>
        <w:t>EPS</w:t>
      </w:r>
      <w:r>
        <w:rPr/>
        <w:t>分母只能得到研究近似，不能称公司官方调整</w:t>
      </w:r>
      <w:r>
        <w:rPr/>
        <w:t>EPS</w:t>
      </w:r>
      <w:r>
        <w:rPr/>
        <w:t>。本文目标桥含常态股份支付经济成本，优先计算归母正常收益，避免口径名称给盈利添加无根据优势。</w:t>
      </w:r>
    </w:p>
    <w:p>
      <w:pPr>
        <w:pStyle w:val="Normal"/>
        <w:rPr/>
      </w:pPr>
      <w:r>
        <w:rPr/>
        <w:t>股份支付虽常常不立即支付现金，仍以权益形式补偿员工、可能改变股东份额与回购需要。作为长期平台，设计、销售和管理人才需要激励，不能假设未来相关成本全部为一次性。公司可以回购对冲部分稀释，但回购消耗现金，不能同时假设调整净利不含激励成本、未来股数无限下降和净现金全加估值。模型股数情景保持变化范围，明确体现经营增长未必等于每股增长。</w:t>
      </w:r>
    </w:p>
    <w:p>
      <w:pPr>
        <w:pStyle w:val="Normal"/>
        <w:rPr/>
      </w:pPr>
      <w:r>
        <w:rPr/>
        <w:t>汇兑亏损</w:t>
      </w:r>
      <w:r>
        <w:rPr/>
        <w:t>7.20</w:t>
      </w:r>
      <w:r>
        <w:rPr/>
        <w:t>亿元是上半年利润的重要拖累，但它具有财务与经营实际影响，不能因为市场关注核心利润就认定完全不承担风险。不同币种现金与海外经营构成会持续带来波动，某一期损失可能反转，也可能继续。研究只在正常其他贡献中保留有限金额，未来情景不机械重复当期损失，也不统一加回到公司调整净利。若汇率敞口扩大，应降低现金和估值可信度。</w:t>
      </w:r>
    </w:p>
    <w:p>
      <w:pPr>
        <w:pStyle w:val="Heading2"/>
        <w:rPr/>
      </w:pPr>
      <w:r>
        <w:rPr>
          <w:color w:val="000000"/>
        </w:rPr>
        <w:t>十一 汇率与报告中的对冲差异</w:t>
      </w:r>
    </w:p>
    <w:p>
      <w:pPr>
        <w:pStyle w:val="Normal"/>
        <w:rPr/>
      </w:pPr>
      <w:r>
        <w:rPr/>
        <w:t>正式中报及结果公告仍称集团未对冲外汇，关注相关风险并必要时采取措施；部分机构会后新闻称公司将开始对冲及分散货币组合。两者可理解为现有事实与未来计划区别，不能据新闻直接说已建立有效对冲。本文记录主源事实，未填造套保规模、执行日期和效果，也不将年底汇兑自动设为零。若后续官方公告披露执行，才能更新风险与正常盈利假设。</w:t>
      </w:r>
    </w:p>
    <w:p>
      <w:pPr>
        <w:pStyle w:val="Normal"/>
        <w:rPr/>
      </w:pPr>
      <w:r>
        <w:rPr/>
        <w:t>经营本币与股价币种是两个层次。港股目标用人民币</w:t>
      </w:r>
      <w:r>
        <w:rPr/>
        <w:t>EPS</w:t>
      </w:r>
      <w:r>
        <w:rPr/>
        <w:t>乘研究汇率</w:t>
      </w:r>
      <w:r>
        <w:rPr/>
        <w:t>1.10</w:t>
      </w:r>
      <w:r>
        <w:rPr/>
        <w:t>，人民币变动会改变换算结果；公司收入和成本又受美元、泰铢、港元等业务敞口影响，单纯证券换算敏感性并不能覆盖全部经营汇率风险。研究先保持经营桥，再给兑换敏感性，让读者看清两类影响。未来人民币变化可能同时改变利润、现金和目标倍数，不能只用一个固定换汇系数说明全部风险。</w:t>
      </w:r>
    </w:p>
    <w:p>
      <w:pPr>
        <w:pStyle w:val="Normal"/>
        <w:rPr/>
      </w:pPr>
      <w:r>
        <w:rPr/>
        <w:t>套保也非无成本且不能保护所有经营风险，合约期限、基础敞口、保证金与会计处理都会影响结果。自然对冲可通过当地收入和成本匹配减少波动，却仍需要现金管理和监管条件。公司高现金可以缓冲损失，但风险判断应看币种结构与使用计划，而非只看余额。若海外经营持续下降而现金仍停留不匹配币种，汇率变化可能扩大利润与现金差异，应及时降低估值而非当短期噪音。</w:t>
      </w:r>
    </w:p>
    <w:p>
      <w:pPr>
        <w:pStyle w:val="Heading2"/>
        <w:rPr/>
      </w:pPr>
      <w:r>
        <w:rPr>
          <w:color w:val="000000"/>
        </w:rPr>
        <w:t>十二 库存是当前最重要的业务反证</w:t>
      </w:r>
    </w:p>
    <w:p>
      <w:pPr>
        <w:pStyle w:val="Normal"/>
        <w:rPr/>
      </w:pPr>
      <w:r>
        <w:rPr/>
        <w:t>六月底存货</w:t>
      </w:r>
      <w:r>
        <w:rPr/>
        <w:t>61.02</w:t>
      </w:r>
      <w:r>
        <w:rPr/>
        <w:t>亿元，上年底</w:t>
      </w:r>
      <w:r>
        <w:rPr/>
        <w:t>54.73</w:t>
      </w:r>
      <w:r>
        <w:rPr/>
        <w:t>亿元；公司解释为海外扩张提前备货，周转日数从</w:t>
      </w:r>
      <w:r>
        <w:rPr/>
        <w:t>2025</w:t>
      </w:r>
      <w:r>
        <w:rPr/>
        <w:t>年</w:t>
      </w:r>
      <w:r>
        <w:rPr/>
        <w:t>123</w:t>
      </w:r>
      <w:r>
        <w:rPr/>
        <w:t>升到</w:t>
      </w:r>
      <w:r>
        <w:rPr/>
        <w:t>2026</w:t>
      </w:r>
      <w:r>
        <w:rPr/>
        <w:t>上半年</w:t>
      </w:r>
      <w:r>
        <w:rPr/>
        <w:t>201</w:t>
      </w:r>
      <w:r>
        <w:rPr/>
        <w:t>。不同期间计算受到成本销售和平均库存影响，不能直接叫同季恶化</w:t>
      </w:r>
      <w:r>
        <w:rPr/>
        <w:t>78</w:t>
      </w:r>
      <w:r>
        <w:rPr/>
        <w:t>日，却能说明库存消化时间明显变长。海外销售下降与备货并存，使投资者需要验证库存是否适配真实需求。仅看到商品种类或仓库增加不能证明增长，现金和折扣风险可能已经前置。</w:t>
      </w:r>
    </w:p>
    <w:p>
      <w:pPr>
        <w:pStyle w:val="Normal"/>
        <w:rPr/>
      </w:pPr>
      <w:r>
        <w:rPr/>
        <w:t>库存主要为成品，对潮流商品来说，保存期并非唯一问题，消费者审美、角色热度、季节与市场匹配决定可售价值。产品质量正常也可能因热度下降需要折价，跨国调货又有物流和税费。上半年库存减值</w:t>
      </w:r>
      <w:r>
        <w:rPr/>
        <w:t>2280.6</w:t>
      </w:r>
      <w:r>
        <w:rPr/>
        <w:t>万元，比去年</w:t>
      </w:r>
      <w:r>
        <w:rPr/>
        <w:t>430.2</w:t>
      </w:r>
      <w:r>
        <w:rPr/>
        <w:t>万元提高，金额暂不大却值得观察。不能据低减值认定未来无风险，准备由可变现价值估计形成，真正价格压力可能在后续促销和销售毛利中体现。</w:t>
      </w:r>
    </w:p>
    <w:p>
      <w:pPr>
        <w:pStyle w:val="Normal"/>
        <w:rPr/>
      </w:pPr>
      <w:r>
        <w:rPr/>
        <w:t>库存改善需要需求回稳、商品规划更精准、地区分配与补货响应，而不是只削采购。削减过度可能使热门新品缺货，影响体验；继续大量备货又可能加重现金占用。研究基准假设平台管理逐步成熟，悲观则考虑正常毛利降低和营运资源占用。若收入增长而库存周转无法改善、折扣和报废提高，长期品牌现金价值会下降，原目标必须刷新，不能靠开店数量解释所有积压。</w:t>
      </w:r>
    </w:p>
    <w:p>
      <w:pPr>
        <w:pStyle w:val="Heading2"/>
        <w:rPr/>
      </w:pPr>
      <w:r>
        <w:rPr>
          <w:color w:val="000000"/>
        </w:rPr>
        <w:t>十三 现金流和现金税说明利润质量</w:t>
      </w:r>
    </w:p>
    <w:p>
      <w:pPr>
        <w:pStyle w:val="Normal"/>
        <w:rPr/>
      </w:pPr>
      <w:r>
        <w:rPr/>
        <w:t>上半年经营现金流</w:t>
      </w:r>
      <w:r>
        <w:rPr/>
        <w:t>36.37</w:t>
      </w:r>
      <w:r>
        <w:rPr/>
        <w:t>亿元，去年</w:t>
      </w:r>
      <w:r>
        <w:rPr/>
        <w:t>59.77</w:t>
      </w:r>
      <w:r>
        <w:rPr/>
        <w:t>亿元，下降约</w:t>
      </w:r>
      <w:r>
        <w:rPr/>
        <w:t>39.15%</w:t>
      </w:r>
      <w:r>
        <w:rPr/>
        <w:t>，而归母利润增加</w:t>
      </w:r>
      <w:r>
        <w:rPr/>
        <w:t>10.1%</w:t>
      </w:r>
      <w:r>
        <w:rPr/>
        <w:t>。经营所得现金</w:t>
      </w:r>
      <w:r>
        <w:rPr/>
        <w:t>67.64</w:t>
      </w:r>
      <w:r>
        <w:rPr/>
        <w:t>亿元比去年</w:t>
      </w:r>
      <w:r>
        <w:rPr/>
        <w:t>69.75</w:t>
      </w:r>
      <w:r>
        <w:rPr/>
        <w:t>亿元略低，现金税</w:t>
      </w:r>
      <w:r>
        <w:rPr/>
        <w:t>32.20</w:t>
      </w:r>
      <w:r>
        <w:rPr/>
        <w:t>亿元明显高于去年</w:t>
      </w:r>
      <w:r>
        <w:rPr/>
        <w:t>11.90</w:t>
      </w:r>
      <w:r>
        <w:rPr/>
        <w:t>亿元，是净现金下降的重要因素。税款与前期利润、支付时点有关，不可把全部现金差距称销售造假，也不能因为税是时点就完全忽略。股东在当期确实少了可支配现金，需要跨期检查。</w:t>
      </w:r>
    </w:p>
    <w:p>
      <w:pPr>
        <w:pStyle w:val="Normal"/>
        <w:rPr/>
      </w:pPr>
      <w:r>
        <w:rPr/>
        <w:t>应收</w:t>
      </w:r>
      <w:r>
        <w:rPr/>
        <w:t>6.27</w:t>
      </w:r>
      <w:r>
        <w:rPr/>
        <w:t>亿元低于上年底</w:t>
      </w:r>
      <w:r>
        <w:rPr/>
        <w:t>9.21</w:t>
      </w:r>
      <w:r>
        <w:rPr/>
        <w:t>亿元，财表解释部分线上平台收入下降，周转日数</w:t>
      </w:r>
      <w:r>
        <w:rPr/>
        <w:t>7</w:t>
      </w:r>
      <w:r>
        <w:rPr/>
        <w:t>到</w:t>
      </w:r>
      <w:r>
        <w:rPr/>
        <w:t>8</w:t>
      </w:r>
      <w:r>
        <w:rPr/>
        <w:t>；应付</w:t>
      </w:r>
      <w:r>
        <w:rPr/>
        <w:t>9.05</w:t>
      </w:r>
      <w:r>
        <w:rPr/>
        <w:t>亿元低于</w:t>
      </w:r>
      <w:r>
        <w:rPr/>
        <w:t>18.58</w:t>
      </w:r>
      <w:r>
        <w:rPr/>
        <w:t>亿元。应收下降并不自动证明动销强，它也可能来自渠道收入下降；应付减少会消耗现金，却可能是采购节奏与支付旧账合理变化。把这些与库存增加、税支付结合，才能解释利润和现金差异。研究不从单一现金比例判断质量，而要求后续现金与增长重新同步。</w:t>
      </w:r>
    </w:p>
    <w:p>
      <w:pPr>
        <w:pStyle w:val="Normal"/>
        <w:rPr/>
      </w:pPr>
      <w:r>
        <w:rPr/>
        <w:t>2025</w:t>
      </w:r>
      <w:r>
        <w:rPr/>
        <w:t>经营现金</w:t>
      </w:r>
      <w:r>
        <w:rPr/>
        <w:t>108.65</w:t>
      </w:r>
      <w:r>
        <w:rPr/>
        <w:t>亿元，</w:t>
      </w:r>
      <w:r>
        <w:rPr/>
        <w:t>PPE</w:t>
      </w:r>
      <w:r>
        <w:rPr/>
        <w:t>及无形购买</w:t>
      </w:r>
      <w:r>
        <w:rPr/>
        <w:t>11.72</w:t>
      </w:r>
      <w:r>
        <w:rPr/>
        <w:t>亿元，简式代理</w:t>
      </w:r>
      <w:r>
        <w:rPr/>
        <w:t>96.94</w:t>
      </w:r>
      <w:r>
        <w:rPr/>
        <w:t>亿元；</w:t>
      </w:r>
      <w:r>
        <w:rPr/>
        <w:t>2026</w:t>
      </w:r>
      <w:r>
        <w:rPr/>
        <w:t>上半年同口径</w:t>
      </w:r>
      <w:r>
        <w:rPr/>
        <w:t>29.13</w:t>
      </w:r>
      <w:r>
        <w:rPr/>
        <w:t>亿元，再扣租赁本金为</w:t>
      </w:r>
      <w:r>
        <w:rPr/>
        <w:t>24.10</w:t>
      </w:r>
      <w:r>
        <w:rPr/>
        <w:t>亿元。它们是研究代理，未扣全部理财、收购和资本返还，不称全部可分配自由现金。现金较好年份支持公司扩张与回购，但海外和库存调整使未来收款质量更重要。模型盈利不能替代现金检查，必要时应降低派息和缩股假设。</w:t>
      </w:r>
    </w:p>
    <w:p>
      <w:pPr>
        <w:pStyle w:val="Heading2"/>
        <w:rPr/>
      </w:pPr>
      <w:r>
        <w:rPr>
          <w:color w:val="000000"/>
        </w:rPr>
        <w:t>十四 金融资源和债务不能只用净现金口号</w:t>
      </w:r>
    </w:p>
    <w:p>
      <w:pPr>
        <w:pStyle w:val="Normal"/>
        <w:rPr/>
      </w:pPr>
      <w:r>
        <w:rPr/>
        <w:t>公司现金等价物</w:t>
      </w:r>
      <w:r>
        <w:rPr/>
        <w:t>124.42</w:t>
      </w:r>
      <w:r>
        <w:rPr/>
        <w:t>亿元，加定存</w:t>
      </w:r>
      <w:r>
        <w:rPr/>
        <w:t>17.22</w:t>
      </w:r>
      <w:r>
        <w:rPr/>
        <w:t>亿元为</w:t>
      </w:r>
      <w:r>
        <w:rPr/>
        <w:t>141.64</w:t>
      </w:r>
      <w:r>
        <w:rPr/>
        <w:t>亿元研究资源，受限现金</w:t>
      </w:r>
      <w:r>
        <w:rPr/>
        <w:t>2.27</w:t>
      </w:r>
      <w:r>
        <w:rPr/>
        <w:t>亿元另列，理财及非流动投资不能都当立即可用。公司无银行借款，降低利率和再融资风险，但租赁负债</w:t>
      </w:r>
      <w:r>
        <w:rPr/>
        <w:t>37.28</w:t>
      </w:r>
      <w:r>
        <w:rPr/>
        <w:t>亿元、授权费与其他经营责任仍在。财务强度有利于承受调整，不能据此说股价下行空间有限或现金可全派。资金需要支持库存、门店、团队和未来内容，部署质量决定价值。</w:t>
      </w:r>
    </w:p>
    <w:p>
      <w:pPr>
        <w:pStyle w:val="Normal"/>
        <w:rPr/>
      </w:pPr>
      <w:r>
        <w:rPr/>
        <w:t>若</w:t>
      </w:r>
      <w:r>
        <w:rPr/>
        <w:t>EPS</w:t>
      </w:r>
      <w:r>
        <w:rPr/>
        <w:t>保留金融收益，估值不再把全部现金另加，是本文避免重复的重要规则。现金可以作为估值安全性与管理纪律参照，如果改用企业价值法，必须剔对应金融利润并扣清债务限制，不能同享两套方法最有利部分。当前利润金融净收益规模有限，现金价值也不只利息，仍应看流动性和投资用途。对高热度消费企业，现金能够延长调整时间，但不能使需求自动恢复。</w:t>
      </w:r>
    </w:p>
    <w:p>
      <w:pPr>
        <w:pStyle w:val="Normal"/>
        <w:rPr/>
      </w:pPr>
      <w:r>
        <w:rPr/>
        <w:t>资源投资可能帮助艺术家生态、内容和渠道，也可能进入与核心无关的领域降低回报。公司称寻找协同目标，不意味着任何战略投资都应得到高倍数。私募与非上市金融资产估值缺乏活跃价格，报告使用模型估计，不能当可立即出售的现金。长期推荐需跟踪资本用途与关联安排，若盈利增长伴随资金被低透明投资占用，应降低治理评分并限制正常其他贡献。</w:t>
      </w:r>
    </w:p>
    <w:p>
      <w:pPr>
        <w:pStyle w:val="Heading2"/>
        <w:rPr/>
      </w:pPr>
      <w:r>
        <w:rPr>
          <w:color w:val="000000"/>
        </w:rPr>
        <w:t>十五 回购与股权激励的净效果</w:t>
      </w:r>
    </w:p>
    <w:p>
      <w:pPr>
        <w:pStyle w:val="Normal"/>
        <w:rPr/>
      </w:pPr>
      <w:r>
        <w:rPr/>
        <w:t>上半年回购并注销</w:t>
      </w:r>
      <w:r>
        <w:rPr/>
        <w:t>1122</w:t>
      </w:r>
      <w:r>
        <w:rPr/>
        <w:t>万股，支付</w:t>
      </w:r>
      <w:r>
        <w:rPr/>
        <w:t>17.44</w:t>
      </w:r>
      <w:r>
        <w:rPr/>
        <w:t>亿港元、约</w:t>
      </w:r>
      <w:r>
        <w:rPr/>
        <w:t>15.46</w:t>
      </w:r>
      <w:r>
        <w:rPr/>
        <w:t>亿元人民币，期末发行股份</w:t>
      </w:r>
      <w:r>
        <w:rPr/>
        <w:t>13.3172315</w:t>
      </w:r>
      <w:r>
        <w:rPr/>
        <w:t>亿。这个执行事实支持股东返还，但规模有限，不能据此假定每年持续大幅净缩股。</w:t>
      </w:r>
      <w:r>
        <w:rPr/>
        <w:t>EPS</w:t>
      </w:r>
      <w:r>
        <w:rPr/>
        <w:t>加权摊薄</w:t>
      </w:r>
      <w:r>
        <w:rPr/>
        <w:t>13.27866</w:t>
      </w:r>
      <w:r>
        <w:rPr/>
        <w:t>亿股与期末总股不同，因为奖励持股与潜在归属；用期末股本简单计算历史</w:t>
      </w:r>
      <w:r>
        <w:rPr/>
        <w:t>EPS</w:t>
      </w:r>
      <w:r>
        <w:rPr/>
        <w:t>会偏离主源。未来股数按情景设定，不使用一个旧分母永久推演。</w:t>
      </w:r>
    </w:p>
    <w:p>
      <w:pPr>
        <w:pStyle w:val="Normal"/>
        <w:rPr/>
      </w:pPr>
      <w:r>
        <w:rPr/>
        <w:t>20</w:t>
      </w:r>
      <w:r>
        <w:rPr/>
        <w:t>亿至</w:t>
      </w:r>
      <w:r>
        <w:rPr/>
        <w:t>50</w:t>
      </w:r>
      <w:r>
        <w:rPr/>
        <w:t>亿元人民币未来六个月回购计划来自公开机构会后转述，本文未取得独立正式授权或全量执行记录，因此称计划而非已完成。即使计划真实，现金支出和股票数量取决于价格、董事会判断及其他用途，也不保证注销抵销奖励稀释。模型基准一年</w:t>
      </w:r>
      <w:r>
        <w:rPr/>
        <w:t>13</w:t>
      </w:r>
      <w:r>
        <w:rPr/>
        <w:t>亿股是研究假设，可因新公告变化；悲观更多股、乐观适度缩股，直接展示资本返还对</w:t>
      </w:r>
      <w:r>
        <w:rPr/>
        <w:t>EPS</w:t>
      </w:r>
      <w:r>
        <w:rPr/>
        <w:t>的影响。</w:t>
      </w:r>
    </w:p>
    <w:p>
      <w:pPr>
        <w:pStyle w:val="Normal"/>
        <w:rPr/>
      </w:pPr>
      <w:r>
        <w:rPr/>
        <w:t>回购能够在合理估值与充足现金下提高每股权益，但无法解决产品动销、库存或海外效率。若公司在高价回购又需要后续融资，会削弱资本回报；若价格低但业务永久下滑，缩股也不保证股东收益。研究将回购列催化之一，同时检验现金承受力，未把名人持股或回购承诺当价格保护。股份支付经济成本保留，避免回购与调整利润双重美化。</w:t>
      </w:r>
    </w:p>
    <w:p>
      <w:pPr>
        <w:pStyle w:val="Heading2"/>
        <w:rPr/>
      </w:pPr>
      <w:r>
        <w:rPr>
          <w:color w:val="000000"/>
        </w:rPr>
        <w:t>十六 可选消费与潮流周期的经济前景</w:t>
      </w:r>
    </w:p>
    <w:p>
      <w:pPr>
        <w:pStyle w:val="Normal"/>
        <w:rPr/>
      </w:pPr>
      <w:r>
        <w:rPr/>
        <w:t>潮玩购买涉及情绪和审美，可能在小额消费中保持一定韧性，但仍是可选支出，受工资预期、家庭预算、信用与其他娱乐商品竞争。宏观消费改善可以提高购买频率，经济疲弱也可能推动低价替代或减少收藏。不能用某个消费者“情绪价值”表述宣称需求不受周期。公司面对的周期既有经济预算，又有</w:t>
      </w:r>
      <w:r>
        <w:rPr/>
        <w:t>IP</w:t>
      </w:r>
      <w:r>
        <w:rPr/>
        <w:t>热度，两者在海外扩张时可能叠加，模型收入不能只看总体消费增速。</w:t>
      </w:r>
    </w:p>
    <w:p>
      <w:pPr>
        <w:pStyle w:val="Normal"/>
        <w:rPr/>
      </w:pPr>
      <w:r>
        <w:rPr/>
        <w:t>高毛利商品也需要平衡价格与覆盖人群，提高单价可能短期增加收入，但影响购买频率和品牌好感；降低价或扩大供给又可能弱化稀缺感。市场热度很高时公司可能受益于消费者额外购买，而正常化后真实长期客群需要重新验证。研究不根据二手市场价格作为盈利输入，也不假设收藏保值，证券投资更需区分产品受欢迎与股票估值合理，不能从个人喜欢角色直接推导股价回报。</w:t>
      </w:r>
    </w:p>
    <w:p>
      <w:pPr>
        <w:pStyle w:val="Normal"/>
        <w:rPr/>
      </w:pPr>
      <w:r>
        <w:rPr/>
        <w:t>国际消费具有不同经济周期、币种和渠道习惯，全球化能分散地区风险，却也让库存、合规和价格协调更难。海外增长不能只依赖中国游客或短期网红效应，如果本地复购和渠道经济性建立，长期空间更扎实。公开财表尚不足以完整验证每国人群，基准保持有条件扩展，悲观允许海外低增长与利润率压力。经济改善只是支持因素，业务管理和</w:t>
      </w:r>
      <w:r>
        <w:rPr/>
        <w:t>IP</w:t>
      </w:r>
      <w:r>
        <w:rPr/>
        <w:t>持续性仍决定公司份额。</w:t>
      </w:r>
    </w:p>
    <w:p>
      <w:pPr>
        <w:pStyle w:val="Heading2"/>
        <w:rPr/>
      </w:pPr>
      <w:r>
        <w:rPr>
          <w:color w:val="000000"/>
        </w:rPr>
        <w:t>十七 竞争 模仿和消费者关系</w:t>
      </w:r>
    </w:p>
    <w:p>
      <w:pPr>
        <w:pStyle w:val="Normal"/>
        <w:rPr/>
      </w:pPr>
      <w:r>
        <w:rPr/>
        <w:t>竞争来自其他潮玩、艺术家品牌、毛绒商品、收藏品、游戏与娱乐消费，消费者预算不是只有同类玩具公司争夺。平台差异在创作供给、品牌、渠道与服务，但视觉或商品形态容易被模仿，假货可能损害消费者体验和授权收入。研究不能把高知名度自动当法律壁垒，知识产权执行需要证据、诉讼及跨国治理成本。若消费者无法区分真伪或官方供货体验差，长期溢价会受影响。</w:t>
      </w:r>
    </w:p>
    <w:p>
      <w:pPr>
        <w:pStyle w:val="Normal"/>
        <w:rPr/>
      </w:pPr>
      <w:r>
        <w:rPr/>
        <w:t>品牌关系来自持续设计、合理供货、可靠质量及消费者交流，短期过度饥饿营销、频繁联名或盲盒刺激可能提高销售，也可能引发反感和监管关注。公司应将长期信任与短期利润平衡。本文不对未取得的消费者留存率设数字，也不称全部购买都是上瘾需求。真正平台价值应由多</w:t>
      </w:r>
      <w:r>
        <w:rPr/>
        <w:t>IP</w:t>
      </w:r>
      <w:r>
        <w:rPr/>
        <w:t>复购和现金证明，若客诉、质量和负面社会反馈持续增加，即使收入短期增长也应降低质量分。</w:t>
      </w:r>
    </w:p>
    <w:p>
      <w:pPr>
        <w:pStyle w:val="Normal"/>
        <w:rPr/>
      </w:pPr>
      <w:r>
        <w:rPr/>
        <w:t>竞争可能压低渠道成本优势，也可能促使公司改进产品与服务。领先企业可以因规模和品牌继续获客，但新创作者和新平台不断进入，审美没有永久固定赢家。三至五年模型保留正常利润率较历史高峰温和，不把所有竞争风险交给悲观情景后基准仍完美。若公司逐渐需要更多营销费用维持同一销量或新品失败频率提高，收入增长与利润率都应重估，不能仅调整一个</w:t>
      </w:r>
      <w:r>
        <w:rPr/>
        <w:t>PE</w:t>
      </w:r>
      <w:r>
        <w:rPr/>
        <w:t>数字。</w:t>
      </w:r>
    </w:p>
    <w:p>
      <w:pPr>
        <w:pStyle w:val="Heading2"/>
        <w:rPr/>
      </w:pPr>
      <w:r>
        <w:rPr>
          <w:color w:val="000000"/>
        </w:rPr>
        <w:t>十八 内容 乐园和新场景的投资边界</w:t>
      </w:r>
    </w:p>
    <w:p>
      <w:pPr>
        <w:pStyle w:val="Normal"/>
        <w:rPr/>
      </w:pPr>
      <w:r>
        <w:rPr/>
        <w:t>公司将</w:t>
      </w:r>
      <w:r>
        <w:rPr/>
        <w:t>IP</w:t>
      </w:r>
      <w:r>
        <w:rPr/>
        <w:t>扩展到展览、联名、乐园和新商品形式，有机会让消费者关系超过单次玩具购买。中报介绍</w:t>
      </w:r>
      <w:r>
        <w:rPr/>
        <w:t>POP LAND</w:t>
      </w:r>
      <w:r>
        <w:rPr/>
        <w:t>新主题区域、角色活动及其他体验，说明经营方向更丰富。活动认知与商业收入仍是不同问题，参观人数、传播量或国际赛事曝光没有直接披露净利，就不能换算为确定现金。本文其他正常收入包含有限拓展，未给每一新场景独立加价值，避免同一</w:t>
      </w:r>
      <w:r>
        <w:rPr/>
        <w:t>IP</w:t>
      </w:r>
      <w:r>
        <w:rPr/>
        <w:t>重复估算。</w:t>
      </w:r>
    </w:p>
    <w:p>
      <w:pPr>
        <w:pStyle w:val="Normal"/>
        <w:rPr/>
      </w:pPr>
      <w:r>
        <w:rPr/>
        <w:t>内容与实体体验需要不同能力，乐园涉及运营、安全、季节、客流和资本支出，食品等新业态也有供应链和品牌风险。平台拥有角色不意味着可以低成本完成所有跨行业扩张。投资者应比较投入、可重复收益与对核心品牌的作用，要求小规模验证与退出纪律。若新业务持续占资而增长主要仍来自旧玩具，整个集团正常利润率应下降，不能只给新故事成长溢价而忽略实际费用。</w:t>
      </w:r>
    </w:p>
    <w:p>
      <w:pPr>
        <w:pStyle w:val="Normal"/>
        <w:rPr/>
      </w:pPr>
      <w:r>
        <w:rPr/>
        <w:t>长期内容能力可以提高</w:t>
      </w:r>
      <w:r>
        <w:rPr/>
        <w:t>IP</w:t>
      </w:r>
      <w:r>
        <w:rPr/>
        <w:t>持久性，也可能使平台降低对短期流量热点的依赖，但成功需要创作、叙事与分发，不是自动由零售成功产生。公司可以与专业伙伴合作，需处理版权、收益分成和内容质量。十年展望允许这种可能，却没有依据未来电影、游戏或乐园目标填造盈利。只有具体收入、成本和现金逐渐披露，才能更改经营桥；在此之前，成长选择权应以较低可信度处理。</w:t>
      </w:r>
    </w:p>
    <w:p>
      <w:pPr>
        <w:pStyle w:val="Heading2"/>
        <w:rPr/>
      </w:pPr>
      <w:r>
        <w:rPr>
          <w:color w:val="000000"/>
        </w:rPr>
        <w:t>十九 历史财务揭示高峰基数</w:t>
      </w:r>
    </w:p>
    <w:p>
      <w:pPr>
        <w:pStyle w:val="Normal"/>
        <w:rPr/>
      </w:pPr>
      <w:r>
        <w:rPr/>
        <w:t>2023</w:t>
      </w:r>
      <w:r>
        <w:rPr/>
        <w:t>、</w:t>
      </w:r>
      <w:r>
        <w:rPr/>
        <w:t>2024</w:t>
      </w:r>
      <w:r>
        <w:rPr/>
        <w:t>、</w:t>
      </w:r>
      <w:r>
        <w:rPr/>
        <w:t>2025</w:t>
      </w:r>
      <w:r>
        <w:rPr/>
        <w:t>收入</w:t>
      </w:r>
      <w:r>
        <w:rPr/>
        <w:t>63.01</w:t>
      </w:r>
      <w:r>
        <w:rPr/>
        <w:t>、</w:t>
      </w:r>
      <w:r>
        <w:rPr/>
        <w:t>130.38</w:t>
      </w:r>
      <w:r>
        <w:rPr/>
        <w:t>、</w:t>
      </w:r>
      <w:r>
        <w:rPr/>
        <w:t>371.20</w:t>
      </w:r>
      <w:r>
        <w:rPr/>
        <w:t>亿元，归母</w:t>
      </w:r>
      <w:r>
        <w:rPr/>
        <w:t>10.82</w:t>
      </w:r>
      <w:r>
        <w:rPr/>
        <w:t>、</w:t>
      </w:r>
      <w:r>
        <w:rPr/>
        <w:t>31.25</w:t>
      </w:r>
      <w:r>
        <w:rPr/>
        <w:t>、</w:t>
      </w:r>
      <w:r>
        <w:rPr/>
        <w:t>127.76</w:t>
      </w:r>
      <w:r>
        <w:rPr/>
        <w:t>亿元。</w:t>
      </w:r>
      <w:r>
        <w:rPr/>
        <w:t>2025</w:t>
      </w:r>
      <w:r>
        <w:rPr/>
        <w:t>收入增长</w:t>
      </w:r>
      <w:r>
        <w:rPr/>
        <w:t>184.7%</w:t>
      </w:r>
      <w:r>
        <w:rPr/>
        <w:t>，是异常强的扩张期，利润和毛利也明显提高。它证明产品与平台曾有很大需求弹性，却不能作为所有未来年度的基准增速。大规模扩张后，新增收入需要更广客群、更成熟运营和持续创作，库存、门店及海外治理使增长路径可能从爆发走向波动。</w:t>
      </w:r>
    </w:p>
    <w:p>
      <w:pPr>
        <w:pStyle w:val="Normal"/>
        <w:rPr/>
      </w:pPr>
      <w:r>
        <w:rPr/>
        <w:t>2025</w:t>
      </w:r>
      <w:r>
        <w:rPr/>
        <w:t>年毛利</w:t>
      </w:r>
      <w:r>
        <w:rPr/>
        <w:t>72.1%</w:t>
      </w:r>
      <w:r>
        <w:rPr/>
        <w:t>、调整集团净利率</w:t>
      </w:r>
      <w:r>
        <w:rPr/>
        <w:t>35.2%</w:t>
      </w:r>
      <w:r>
        <w:rPr/>
        <w:t>，上半年</w:t>
      </w:r>
      <w:r>
        <w:rPr/>
        <w:t>2026</w:t>
      </w:r>
      <w:r>
        <w:rPr/>
        <w:t>分别</w:t>
      </w:r>
      <w:r>
        <w:rPr/>
        <w:t>69.7%</w:t>
      </w:r>
      <w:r>
        <w:rPr/>
        <w:t>、</w:t>
      </w:r>
      <w:r>
        <w:rPr/>
        <w:t>30.0%</w:t>
      </w:r>
      <w:r>
        <w:rPr/>
        <w:t>，法定集团净利率</w:t>
      </w:r>
      <w:r>
        <w:rPr/>
        <w:t>29.7%</w:t>
      </w:r>
      <w:r>
        <w:rPr/>
        <w:t>。利润率下降与海外调整、费用和汇率有关系，不能仅用高峰利润估值再称当前极便宜。历史</w:t>
      </w:r>
      <w:r>
        <w:rPr/>
        <w:t>EPS9.58</w:t>
      </w:r>
      <w:r>
        <w:rPr/>
        <w:t>人民币是法定摊薄口径，当前换汇后约</w:t>
      </w:r>
      <w:r>
        <w:rPr/>
        <w:t>14.45</w:t>
      </w:r>
      <w:r>
        <w:rPr/>
        <w:t>倍，只说明历史盈利倍数。若正常利润低于高峰，真实估值会更高，因此自有桥重建未来正常收益，而不机械使用低历史</w:t>
      </w:r>
      <w:r>
        <w:rPr/>
        <w:t>PE</w:t>
      </w:r>
      <w:r>
        <w:rPr/>
        <w:t>。</w:t>
      </w:r>
    </w:p>
    <w:p>
      <w:pPr>
        <w:pStyle w:val="Normal"/>
        <w:rPr/>
      </w:pPr>
      <w:r>
        <w:rPr/>
        <w:t>上半年增长仍为正，说明调整不等于全部业务衰退；但增速与</w:t>
      </w:r>
      <w:r>
        <w:rPr/>
        <w:t>2025</w:t>
      </w:r>
      <w:r>
        <w:rPr/>
        <w:t>不同，研究必须描述阶段变化。海外收入下降、国内和部分新</w:t>
      </w:r>
      <w:r>
        <w:rPr/>
        <w:t>IP</w:t>
      </w:r>
      <w:r>
        <w:rPr/>
        <w:t>成长并存，可能形成平台再平衡，也可能只是热点切换延缓总需求弱化。决定区别的是跨期现金、库存和组合利润。若后续数据证明国内也放缓而海外不稳，应同时下调收入与倍数，不能继续用“过渡年”无限延迟反证。</w:t>
      </w:r>
    </w:p>
    <w:p>
      <w:pPr>
        <w:pStyle w:val="Heading2"/>
        <w:rPr/>
      </w:pPr>
      <w:r>
        <w:rPr>
          <w:color w:val="000000"/>
        </w:rPr>
        <w:t>二十 正常经营桥保留企业中心成本</w:t>
      </w:r>
    </w:p>
    <w:p>
      <w:pPr>
        <w:pStyle w:val="Normal"/>
        <w:rPr/>
      </w:pPr>
      <w:r>
        <w:rPr/>
        <w:t>公司披露两地区分部，</w:t>
      </w:r>
      <w:r>
        <w:rPr/>
        <w:t>PRC</w:t>
      </w:r>
      <w:r>
        <w:rPr/>
        <w:t>利润</w:t>
      </w:r>
      <w:r>
        <w:rPr/>
        <w:t>64.71</w:t>
      </w:r>
      <w:r>
        <w:rPr/>
        <w:t>亿元、海外</w:t>
      </w:r>
      <w:r>
        <w:rPr/>
        <w:t>15.08</w:t>
      </w:r>
      <w:r>
        <w:rPr/>
        <w:t>亿元，再减未分配企业中心成本</w:t>
      </w:r>
      <w:r>
        <w:rPr/>
        <w:t>8.69</w:t>
      </w:r>
      <w:r>
        <w:rPr/>
        <w:t>亿元，得</w:t>
      </w:r>
      <w:r>
        <w:rPr/>
        <w:t>71.11</w:t>
      </w:r>
      <w:r>
        <w:rPr/>
        <w:t>亿元分部合计。中心成本覆盖部分企业职能与后台，不能忽略后只给两地区高率估值。未来桥使用地区外部收入乘正常</w:t>
      </w:r>
      <w:r>
        <w:rPr/>
        <w:t>EBIT</w:t>
      </w:r>
      <w:r>
        <w:rPr/>
        <w:t>率，再减中心费用、加有限正常其他。正常率含设计研发、授权、营销、租赁折旧、股份支付与常态减值经济成本，避免财务调整让利润过高。</w:t>
      </w:r>
    </w:p>
    <w:p>
      <w:pPr>
        <w:pStyle w:val="Normal"/>
        <w:rPr/>
      </w:pPr>
      <w:r>
        <w:rPr/>
        <w:t>上半年</w:t>
      </w:r>
      <w:r>
        <w:rPr/>
        <w:t>PRC</w:t>
      </w:r>
      <w:r>
        <w:rPr/>
        <w:t>分部率约</w:t>
      </w:r>
      <w:r>
        <w:rPr/>
        <w:t>53.04%</w:t>
      </w:r>
      <w:r>
        <w:rPr/>
        <w:t>，海外约</w:t>
      </w:r>
      <w:r>
        <w:rPr/>
        <w:t>30.34%</w:t>
      </w:r>
      <w:r>
        <w:rPr/>
        <w:t>，组合结构与高峰不同。未来一年基准</w:t>
      </w:r>
      <w:r>
        <w:rPr/>
        <w:t>PRC</w:t>
      </w:r>
      <w:r>
        <w:rPr/>
        <w:t>正常率</w:t>
      </w:r>
      <w:r>
        <w:rPr/>
        <w:t>50%</w:t>
      </w:r>
      <w:r>
        <w:rPr/>
        <w:t>、海外</w:t>
      </w:r>
      <w:r>
        <w:rPr/>
        <w:t>32%</w:t>
      </w:r>
      <w:r>
        <w:rPr/>
        <w:t>，并未假设国内无限提高率或海外立即回到</w:t>
      </w:r>
      <w:r>
        <w:rPr/>
        <w:t>44%</w:t>
      </w:r>
      <w:r>
        <w:rPr/>
        <w:t>高峰；企业中心成本</w:t>
      </w:r>
      <w:r>
        <w:rPr/>
        <w:t>20</w:t>
      </w:r>
      <w:r>
        <w:rPr/>
        <w:t>亿元，考虑规模发展。有限正常其他</w:t>
      </w:r>
      <w:r>
        <w:rPr/>
        <w:t>1.5</w:t>
      </w:r>
      <w:r>
        <w:rPr/>
        <w:t>亿元低于当前政府补贴和所有其他收益合计，未将汇兑、公允价值和补贴持续放大。通过明示各项，读者可以按自己的修复判断修改，而不是依赖一个无法解释</w:t>
      </w:r>
      <w:r>
        <w:rPr/>
        <w:t>EPS</w:t>
      </w:r>
      <w:r>
        <w:rPr/>
        <w:t>。</w:t>
      </w:r>
    </w:p>
    <w:p>
      <w:pPr>
        <w:pStyle w:val="Normal"/>
        <w:rPr/>
      </w:pPr>
      <w:r>
        <w:rPr/>
        <w:t>未来归母比例</w:t>
      </w:r>
      <w:r>
        <w:rPr/>
        <w:t>99%</w:t>
      </w:r>
      <w:r>
        <w:rPr/>
        <w:t>左右、税</w:t>
      </w:r>
      <w:r>
        <w:rPr/>
        <w:t>25%</w:t>
      </w:r>
      <w:r>
        <w:rPr/>
        <w:t>与股数同样是假设，实际合资和资本安排可能变化。公司调整集团净利与本桥归母正常盈利不是一回事，不能以数值相近称完全验证。税前计算覆盖全业务，资本现金价值不再额外追加。若采用</w:t>
      </w:r>
      <w:r>
        <w:rPr/>
        <w:t>IP</w:t>
      </w:r>
      <w:r>
        <w:rPr/>
        <w:t>分部估值，必须重新移除对应收益、处理权利和渠道共用成本，本文保持一套活动经营桥，防止多种方法相加形成虚高目标。</w:t>
      </w:r>
    </w:p>
    <w:p>
      <w:pPr>
        <w:pStyle w:val="Heading2"/>
        <w:rPr/>
      </w:pPr>
      <w:r>
        <w:rPr>
          <w:color w:val="000000"/>
        </w:rPr>
        <w:t>二十一 日线形态仍未完成上升确认</w:t>
      </w:r>
    </w:p>
    <w:p>
      <w:pPr>
        <w:pStyle w:val="Normal"/>
        <w:rPr/>
      </w:pPr>
      <w:r>
        <w:rPr/>
        <w:t>十月九日收</w:t>
      </w:r>
      <w:r>
        <w:rPr/>
        <w:t>152.30</w:t>
      </w:r>
      <w:r>
        <w:rPr/>
        <w:t>港元，下跌</w:t>
      </w:r>
      <w:r>
        <w:rPr/>
        <w:t>0.13%</w:t>
      </w:r>
      <w:r>
        <w:rPr/>
        <w:t>；</w:t>
      </w:r>
      <w:r>
        <w:rPr/>
        <w:t>20</w:t>
      </w:r>
      <w:r>
        <w:rPr/>
        <w:t>、</w:t>
      </w:r>
      <w:r>
        <w:rPr/>
        <w:t>60</w:t>
      </w:r>
      <w:r>
        <w:rPr/>
        <w:t>、</w:t>
      </w:r>
      <w:r>
        <w:rPr/>
        <w:t>120</w:t>
      </w:r>
      <w:r>
        <w:rPr/>
        <w:t>、</w:t>
      </w:r>
      <w:r>
        <w:rPr/>
        <w:t>250</w:t>
      </w:r>
      <w:r>
        <w:rPr/>
        <w:t>日均线</w:t>
      </w:r>
      <w:r>
        <w:rPr/>
        <w:t>152.57</w:t>
      </w:r>
      <w:r>
        <w:rPr/>
        <w:t>、</w:t>
      </w:r>
      <w:r>
        <w:rPr/>
        <w:t>155.59</w:t>
      </w:r>
      <w:r>
        <w:rPr/>
        <w:t>、</w:t>
      </w:r>
      <w:r>
        <w:rPr/>
        <w:t>158.02</w:t>
      </w:r>
      <w:r>
        <w:rPr/>
        <w:t>、</w:t>
      </w:r>
      <w:r>
        <w:rPr/>
        <w:t>184.04</w:t>
      </w:r>
      <w:r>
        <w:rPr/>
        <w:t>，现价分别低</w:t>
      </w:r>
      <w:r>
        <w:rPr/>
        <w:t>0.18%</w:t>
      </w:r>
      <w:r>
        <w:rPr/>
        <w:t>、</w:t>
      </w:r>
      <w:r>
        <w:rPr/>
        <w:t>2.11%</w:t>
      </w:r>
      <w:r>
        <w:rPr/>
        <w:t>、</w:t>
      </w:r>
      <w:r>
        <w:rPr/>
        <w:t>3.62%</w:t>
      </w:r>
      <w:r>
        <w:rPr/>
        <w:t>、</w:t>
      </w:r>
      <w:r>
        <w:rPr/>
        <w:t>17.25%</w:t>
      </w:r>
      <w:r>
        <w:rPr/>
        <w:t>，全部五日斜率负。短线已接近</w:t>
      </w:r>
      <w:r>
        <w:rPr/>
        <w:t>20</w:t>
      </w:r>
      <w:r>
        <w:rPr/>
        <w:t>日均线，表明窄幅整理，而较长均线仍下行，高位回撤后尚未恢复。半年评价技术</w:t>
      </w:r>
      <w:r>
        <w:rPr/>
        <w:t>2.8</w:t>
      </w:r>
      <w:r>
        <w:rPr/>
        <w:t>分包含局部企稳线索，但不因靠近均线就认定上升趋势，价格需要持续突破并配合量能。</w:t>
      </w:r>
    </w:p>
    <w:p>
      <w:pPr>
        <w:pStyle w:val="Normal"/>
        <w:rPr/>
      </w:pPr>
      <w:r>
        <w:rPr/>
        <w:t>20</w:t>
      </w:r>
      <w:r>
        <w:rPr/>
        <w:t>至</w:t>
      </w:r>
      <w:r>
        <w:rPr/>
        <w:t>120</w:t>
      </w:r>
      <w:r>
        <w:rPr/>
        <w:t>日均线较密，局部区间突破可能比远离均线时更容易观察，但也容易反复假突破。若收复</w:t>
      </w:r>
      <w:r>
        <w:rPr/>
        <w:t>155</w:t>
      </w:r>
      <w:r>
        <w:rPr/>
        <w:t>至</w:t>
      </w:r>
      <w:r>
        <w:rPr/>
        <w:t>158</w:t>
      </w:r>
      <w:r>
        <w:rPr/>
        <w:t>附近并维持，二十日均线由平缓转上行，可能提高短期修复可信度；</w:t>
      </w:r>
      <w:r>
        <w:rPr/>
        <w:t>250</w:t>
      </w:r>
      <w:r>
        <w:rPr/>
        <w:t>日线</w:t>
      </w:r>
      <w:r>
        <w:rPr/>
        <w:t>184</w:t>
      </w:r>
      <w:r>
        <w:rPr/>
        <w:t>附近则是更长周期压力观察。均线不是未来交易保证，越过一天也可能回落。研究定义的是条件与失效，而不是精确择时，半年目标来自盈利和估值，不能把技术观察位直接当基本面目标价。</w:t>
      </w:r>
    </w:p>
    <w:p>
      <w:pPr>
        <w:pStyle w:val="Normal"/>
        <w:rPr/>
      </w:pPr>
      <w:r>
        <w:rPr/>
        <w:t>锁版有</w:t>
      </w:r>
      <w:r>
        <w:rPr/>
        <w:t>739</w:t>
      </w:r>
      <w:r>
        <w:rPr/>
        <w:t>根日线、</w:t>
      </w:r>
      <w:r>
        <w:rPr/>
        <w:t>157</w:t>
      </w:r>
      <w:r>
        <w:rPr/>
        <w:t>根周线，满足三年日线分析，周</w:t>
      </w:r>
      <w:r>
        <w:rPr/>
        <w:t>250</w:t>
      </w:r>
      <w:r>
        <w:rPr/>
        <w:t>不够，保留为空。技术</w:t>
      </w:r>
      <w:r>
        <w:rPr/>
        <w:t>OHLC</w:t>
      </w:r>
      <w:r>
        <w:rPr/>
        <w:t>归一至基准日名义价格，历史分红处理后距离可以与</w:t>
      </w:r>
      <w:r>
        <w:rPr/>
        <w:t>152.30</w:t>
      </w:r>
      <w:r>
        <w:rPr/>
        <w:t>直接比较；第三方名义</w:t>
      </w:r>
      <w:r>
        <w:rPr/>
        <w:t>52</w:t>
      </w:r>
      <w:r>
        <w:rPr/>
        <w:t>周高可能不同窗口，本文不混用。数据有双源核验，仍不包括逐笔与完整换手，日线提供的是整体交易行为，不能推断某个资金账户。复权与单位一致是技术判断前提，不能让漂亮图形替代核验。</w:t>
      </w:r>
    </w:p>
    <w:p>
      <w:pPr>
        <w:pStyle w:val="Heading2"/>
        <w:rPr/>
      </w:pPr>
      <w:r>
        <w:rPr>
          <w:color w:val="000000"/>
        </w:rPr>
        <w:t>二十二 量能显示局部修复而持续性不足</w:t>
      </w:r>
    </w:p>
    <w:p>
      <w:pPr>
        <w:pStyle w:val="Normal"/>
        <w:rPr/>
      </w:pPr>
      <w:r>
        <w:rPr/>
        <w:t>当天</w:t>
      </w:r>
      <w:r>
        <w:rPr/>
        <w:t>4224829</w:t>
      </w:r>
      <w:r>
        <w:rPr/>
        <w:t>股、成交额约</w:t>
      </w:r>
      <w:r>
        <w:rPr/>
        <w:t>6.399</w:t>
      </w:r>
      <w:r>
        <w:rPr/>
        <w:t>亿港元，量比</w:t>
      </w:r>
      <w:r>
        <w:rPr/>
        <w:t>0.989</w:t>
      </w:r>
      <w:r>
        <w:rPr/>
        <w:t>，接近此前二十日均</w:t>
      </w:r>
      <w:r>
        <w:rPr/>
        <w:t>4271209</w:t>
      </w:r>
      <w:r>
        <w:rPr/>
        <w:t>股。</w:t>
      </w:r>
      <w:r>
        <w:rPr/>
        <w:t>5</w:t>
      </w:r>
      <w:r>
        <w:rPr/>
        <w:t>、</w:t>
      </w:r>
      <w:r>
        <w:rPr/>
        <w:t>20</w:t>
      </w:r>
      <w:r>
        <w:rPr/>
        <w:t>、</w:t>
      </w:r>
      <w:r>
        <w:rPr/>
        <w:t>60</w:t>
      </w:r>
      <w:r>
        <w:rPr/>
        <w:t>日均量</w:t>
      </w:r>
      <w:r>
        <w:rPr/>
        <w:t>3846907</w:t>
      </w:r>
      <w:r>
        <w:rPr/>
        <w:t>、</w:t>
      </w:r>
      <w:r>
        <w:rPr/>
        <w:t>4173940</w:t>
      </w:r>
      <w:r>
        <w:rPr/>
        <w:t>、</w:t>
      </w:r>
      <w:r>
        <w:rPr/>
        <w:t>8276087</w:t>
      </w:r>
      <w:r>
        <w:rPr/>
        <w:t>股，短期成交明显低于六十日平均，说明大波动期之后交易降温。缩量横盘可能是等待也可能是需求不足，不能凭单日量不大就称卖压全部释放。若突破需要有持续成交而非瞬间放大，再看回踩是否相对缩量。</w:t>
      </w:r>
    </w:p>
    <w:p>
      <w:pPr>
        <w:pStyle w:val="Normal"/>
        <w:rPr/>
      </w:pPr>
      <w:r>
        <w:rPr/>
        <w:t>最近二十日上涨成交</w:t>
      </w:r>
      <w:r>
        <w:rPr/>
        <w:t>46479197</w:t>
      </w:r>
      <w:r>
        <w:rPr/>
        <w:t>股、下跌</w:t>
      </w:r>
      <w:r>
        <w:rPr/>
        <w:t>32642196</w:t>
      </w:r>
      <w:r>
        <w:rPr/>
        <w:t>股，比值</w:t>
      </w:r>
      <w:r>
        <w:rPr/>
        <w:t>1.424</w:t>
      </w:r>
      <w:r>
        <w:rPr/>
        <w:t>，上涨十一日、下跌八日，平盘另</w:t>
      </w:r>
      <w:r>
        <w:rPr/>
        <w:t>4357408</w:t>
      </w:r>
      <w:r>
        <w:rPr/>
        <w:t>股。这比长期下降中的卖压分布更积极，支持短期观察，但不是净买入资金流。成交每笔同时有买卖方，无法由日量识别谁在吸筹。六十日回报仍负，短期上量优势可能只是局部反弹，只有价格、相对强弱和经营信息共同改善才应提高半年评分。</w:t>
      </w:r>
    </w:p>
    <w:p>
      <w:pPr>
        <w:pStyle w:val="Normal"/>
        <w:rPr/>
      </w:pPr>
      <w:r>
        <w:rPr/>
        <w:t>港股换手率缺失，本文不从总股数和成交量自行推定自由流通换手，奖励信托、控制股东与回购变化也影响分母。成交额与股数单位已独立核对为港元和股，不能因交易单位</w:t>
      </w:r>
      <w:r>
        <w:rPr/>
        <w:t>200</w:t>
      </w:r>
      <w:r>
        <w:rPr/>
        <w:t>股之类乘量。没有逐笔和账户数据，就不绘制精确筹码峰或所谓主力成本。能做的是窗口比较、关键价位距离与量价持续性观察，保持解释的边界，避免用术语制造不具数据支持的确定性。</w:t>
      </w:r>
    </w:p>
    <w:p>
      <w:pPr>
        <w:pStyle w:val="Heading2"/>
        <w:rPr/>
      </w:pPr>
      <w:r>
        <w:rPr>
          <w:color w:val="000000"/>
        </w:rPr>
        <w:t>二十三 周线与相对强弱</w:t>
      </w:r>
    </w:p>
    <w:p>
      <w:pPr>
        <w:pStyle w:val="Normal"/>
        <w:rPr/>
      </w:pPr>
      <w:r>
        <w:rPr/>
        <w:t>20</w:t>
      </w:r>
      <w:r>
        <w:rPr/>
        <w:t>周均线</w:t>
      </w:r>
      <w:r>
        <w:rPr/>
        <w:t>159.10</w:t>
      </w:r>
      <w:r>
        <w:rPr/>
        <w:t>、</w:t>
      </w:r>
      <w:r>
        <w:rPr/>
        <w:t>60</w:t>
      </w:r>
      <w:r>
        <w:rPr/>
        <w:t>周</w:t>
      </w:r>
      <w:r>
        <w:rPr/>
        <w:t>194.69</w:t>
      </w:r>
      <w:r>
        <w:rPr/>
        <w:t>、</w:t>
      </w:r>
      <w:r>
        <w:rPr/>
        <w:t>120</w:t>
      </w:r>
      <w:r>
        <w:rPr/>
        <w:t>周</w:t>
      </w:r>
      <w:r>
        <w:rPr/>
        <w:t>158.56</w:t>
      </w:r>
      <w:r>
        <w:rPr/>
        <w:t>，现价低</w:t>
      </w:r>
      <w:r>
        <w:rPr/>
        <w:t>4.27%</w:t>
      </w:r>
      <w:r>
        <w:rPr/>
        <w:t>、</w:t>
      </w:r>
      <w:r>
        <w:rPr/>
        <w:t>21.77%</w:t>
      </w:r>
      <w:r>
        <w:rPr/>
        <w:t>、</w:t>
      </w:r>
      <w:r>
        <w:rPr/>
        <w:t>3.95%</w:t>
      </w:r>
      <w:r>
        <w:rPr/>
        <w:t>，</w:t>
      </w:r>
      <w:r>
        <w:rPr/>
        <w:t>250</w:t>
      </w:r>
      <w:r>
        <w:rPr/>
        <w:t>周为空。</w:t>
      </w:r>
      <w:r>
        <w:rPr/>
        <w:t>20</w:t>
      </w:r>
      <w:r>
        <w:rPr/>
        <w:t>和</w:t>
      </w:r>
      <w:r>
        <w:rPr/>
        <w:t>60</w:t>
      </w:r>
      <w:r>
        <w:rPr/>
        <w:t>周斜率负，</w:t>
      </w:r>
      <w:r>
        <w:rPr/>
        <w:t>120</w:t>
      </w:r>
      <w:r>
        <w:rPr/>
        <w:t>周仍上行，反映早期低价与后续爆发留下长历史影响，不能单取</w:t>
      </w:r>
      <w:r>
        <w:rPr/>
        <w:t>120</w:t>
      </w:r>
      <w:r>
        <w:rPr/>
        <w:t>周向上就认定当前强势。周</w:t>
      </w:r>
      <w:r>
        <w:rPr/>
        <w:t>MACD</w:t>
      </w:r>
      <w:r>
        <w:rPr/>
        <w:t>柱正</w:t>
      </w:r>
      <w:r>
        <w:rPr/>
        <w:t>2.18</w:t>
      </w:r>
      <w:r>
        <w:rPr/>
        <w:t>但双线仍负，类似下降减速；周</w:t>
      </w:r>
      <w:r>
        <w:rPr/>
        <w:t>RSI43.59</w:t>
      </w:r>
      <w:r>
        <w:rPr/>
        <w:t>未显示强趋势。中期判断偏修复观察，保留对高峰后长期调整的警惕。</w:t>
      </w:r>
    </w:p>
    <w:p>
      <w:pPr>
        <w:pStyle w:val="Normal"/>
        <w:rPr/>
      </w:pPr>
      <w:r>
        <w:rPr/>
        <w:t>20</w:t>
      </w:r>
      <w:r>
        <w:rPr/>
        <w:t>日回报</w:t>
      </w:r>
      <w:r>
        <w:rPr/>
        <w:t>-0.26%</w:t>
      </w:r>
      <w:r>
        <w:rPr/>
        <w:t>、</w:t>
      </w:r>
      <w:r>
        <w:rPr/>
        <w:t>60</w:t>
      </w:r>
      <w:r>
        <w:rPr/>
        <w:t>日</w:t>
      </w:r>
      <w:r>
        <w:rPr/>
        <w:t>-9.40%</w:t>
      </w:r>
      <w:r>
        <w:rPr/>
        <w:t>，相对恒指二十日领先</w:t>
      </w:r>
      <w:r>
        <w:rPr/>
        <w:t>2.72</w:t>
      </w:r>
      <w:r>
        <w:rPr/>
        <w:t>个百分点、六十日落后</w:t>
      </w:r>
      <w:r>
        <w:rPr/>
        <w:t>6.21</w:t>
      </w:r>
      <w:r>
        <w:rPr/>
        <w:t>；相对恒科分别领先</w:t>
      </w:r>
      <w:r>
        <w:rPr/>
        <w:t>2.80</w:t>
      </w:r>
      <w:r>
        <w:rPr/>
        <w:t>与</w:t>
      </w:r>
      <w:r>
        <w:rPr/>
        <w:t>3.77</w:t>
      </w:r>
      <w:r>
        <w:rPr/>
        <w:t>个百分点。恒科并非潮玩指数，只是市场风格粗参考，因此不能宣称公司跑赢全行业。短期相对市场有企稳信号，中期仍受自身或消费因素拖累，适合分开观察。若下一窗口回报改善主要由市场上涨带动，个股超额仍不稳，半年技术加分应有限。</w:t>
      </w:r>
    </w:p>
    <w:p>
      <w:pPr>
        <w:pStyle w:val="Normal"/>
        <w:rPr/>
      </w:pPr>
      <w:r>
        <w:rPr/>
        <w:t>周</w:t>
      </w:r>
      <w:r>
        <w:rPr/>
        <w:t>ATR13.52</w:t>
      </w:r>
      <w:r>
        <w:rPr/>
        <w:t>港元、现价</w:t>
      </w:r>
      <w:r>
        <w:rPr/>
        <w:t>8.88%</w:t>
      </w:r>
      <w:r>
        <w:rPr/>
        <w:t>，日</w:t>
      </w:r>
      <w:r>
        <w:rPr/>
        <w:t>ATR3.39</w:t>
      </w:r>
      <w:r>
        <w:rPr/>
        <w:t>港元、</w:t>
      </w:r>
      <w:r>
        <w:rPr/>
        <w:t>2.23%</w:t>
      </w:r>
      <w:r>
        <w:rPr/>
        <w:t>，说明窄幅整理不排除较大周波动。日</w:t>
      </w:r>
      <w:r>
        <w:rPr/>
        <w:t>RSI47.93</w:t>
      </w:r>
      <w:r>
        <w:rPr/>
        <w:t>接近中性，日</w:t>
      </w:r>
      <w:r>
        <w:rPr/>
        <w:t>MACD</w:t>
      </w:r>
      <w:r>
        <w:rPr/>
        <w:t>双线负而柱</w:t>
      </w:r>
      <w:r>
        <w:rPr/>
        <w:t>0.075</w:t>
      </w:r>
      <w:r>
        <w:rPr/>
        <w:t>较小，信号偏弱，不能解读为明确金叉牛市。评分把均线、</w:t>
      </w:r>
      <w:r>
        <w:rPr/>
        <w:t>MACD</w:t>
      </w:r>
      <w:r>
        <w:rPr/>
        <w:t>、</w:t>
      </w:r>
      <w:r>
        <w:rPr/>
        <w:t>RSI</w:t>
      </w:r>
      <w:r>
        <w:rPr/>
        <w:t>和相对表现合并为一个技术维度，避免多个相关指标反复给同一事实加分。风险仍需由仓位、基本面与流动性管理理解，指标本身不会限制损失。</w:t>
      </w:r>
    </w:p>
    <w:p>
      <w:pPr>
        <w:pStyle w:val="Heading2"/>
        <w:rPr/>
      </w:pPr>
      <w:r>
        <w:rPr>
          <w:color w:val="000000"/>
        </w:rPr>
        <w:t>二十四 观察区间与失效条件</w:t>
      </w:r>
    </w:p>
    <w:p>
      <w:pPr>
        <w:pStyle w:val="Normal"/>
        <w:rPr/>
      </w:pPr>
      <w:r>
        <w:rPr/>
        <w:t>最近二十日</w:t>
      </w:r>
      <w:r>
        <w:rPr/>
        <w:t>147.50</w:t>
      </w:r>
      <w:r>
        <w:rPr/>
        <w:t>至</w:t>
      </w:r>
      <w:r>
        <w:rPr/>
        <w:t>156.70</w:t>
      </w:r>
      <w:r>
        <w:rPr/>
        <w:t>区间，现价到低点</w:t>
      </w:r>
      <w:r>
        <w:rPr/>
        <w:t>-3.15%</w:t>
      </w:r>
      <w:r>
        <w:rPr/>
        <w:t>、高点</w:t>
      </w:r>
      <w:r>
        <w:rPr/>
        <w:t>+2.89%</w:t>
      </w:r>
      <w:r>
        <w:rPr/>
        <w:t>；六十日</w:t>
      </w:r>
      <w:r>
        <w:rPr/>
        <w:t>140.10</w:t>
      </w:r>
      <w:r>
        <w:rPr/>
        <w:t>至</w:t>
      </w:r>
      <w:r>
        <w:rPr/>
        <w:t>172.40</w:t>
      </w:r>
      <w:r>
        <w:rPr/>
        <w:t>，对应</w:t>
      </w:r>
      <w:r>
        <w:rPr/>
        <w:t>-8.01%</w:t>
      </w:r>
      <w:r>
        <w:rPr/>
        <w:t>、</w:t>
      </w:r>
      <w:r>
        <w:rPr/>
        <w:t>+13.20%</w:t>
      </w:r>
      <w:r>
        <w:rPr/>
        <w:t>。这是历史窗口极值，未经触碰次数核验，不称确定支撑阻力。</w:t>
      </w:r>
      <w:r>
        <w:rPr/>
        <w:t>252</w:t>
      </w:r>
      <w:r>
        <w:rPr/>
        <w:t>日归一高</w:t>
      </w:r>
      <w:r>
        <w:rPr/>
        <w:t>286.33</w:t>
      </w:r>
      <w:r>
        <w:rPr/>
        <w:t>、低</w:t>
      </w:r>
      <w:r>
        <w:rPr/>
        <w:t>137.66</w:t>
      </w:r>
      <w:r>
        <w:rPr/>
        <w:t>，现价离高</w:t>
      </w:r>
      <w:r>
        <w:rPr/>
        <w:t>-46.81%</w:t>
      </w:r>
      <w:r>
        <w:rPr/>
        <w:t>、离低</w:t>
      </w:r>
      <w:r>
        <w:rPr/>
        <w:t>+10.63%</w:t>
      </w:r>
      <w:r>
        <w:rPr/>
        <w:t>，最大回撤</w:t>
      </w:r>
      <w:r>
        <w:rPr/>
        <w:t>50.80%</w:t>
      </w:r>
      <w:r>
        <w:rPr/>
        <w:t>。较旧高低很多不等于便宜，高点反映不同需求与估值时期，不能直接当目标。</w:t>
      </w:r>
    </w:p>
    <w:p>
      <w:pPr>
        <w:pStyle w:val="Normal"/>
        <w:rPr/>
      </w:pPr>
      <w:r>
        <w:rPr/>
        <w:t>半年短期可观察</w:t>
      </w:r>
      <w:r>
        <w:rPr/>
        <w:t>156.70</w:t>
      </w:r>
      <w:r>
        <w:rPr/>
        <w:t>突破及</w:t>
      </w:r>
      <w:r>
        <w:rPr/>
        <w:t>155</w:t>
      </w:r>
      <w:r>
        <w:rPr/>
        <w:t>至</w:t>
      </w:r>
      <w:r>
        <w:rPr/>
        <w:t>158</w:t>
      </w:r>
      <w:r>
        <w:rPr/>
        <w:t>均线带，若持续站稳、上涨成交提高、回踩守住，会加强修复判断；随后</w:t>
      </w:r>
      <w:r>
        <w:rPr/>
        <w:t>172.40</w:t>
      </w:r>
      <w:r>
        <w:rPr/>
        <w:t>是更长窗口观察。若</w:t>
      </w:r>
      <w:r>
        <w:rPr/>
        <w:t>147.50</w:t>
      </w:r>
      <w:r>
        <w:rPr/>
        <w:t>持续失守，当前窄幅企稳逻辑需暂停，重新观察</w:t>
      </w:r>
      <w:r>
        <w:rPr/>
        <w:t>140.10</w:t>
      </w:r>
      <w:r>
        <w:rPr/>
        <w:t>与</w:t>
      </w:r>
      <w:r>
        <w:rPr/>
        <w:t>137.66</w:t>
      </w:r>
      <w:r>
        <w:rPr/>
        <w:t>，不承诺这些价位一定承接。重大经营、质量或政策公告可以跳空穿越所有技术位，实际损失不受技术距离限制，不能将三个百分点支撑当全部最大风险。</w:t>
      </w:r>
    </w:p>
    <w:p>
      <w:pPr>
        <w:pStyle w:val="Normal"/>
        <w:rPr/>
      </w:pPr>
      <w:r>
        <w:rPr/>
        <w:t>技术失效不自动说明</w:t>
      </w:r>
      <w:r>
        <w:rPr/>
        <w:t>IP</w:t>
      </w:r>
      <w:r>
        <w:rPr/>
        <w:t>平台永远失效，但它使半年赔率和入场证据改变，需重新评分。反过来，突破并不抵销库存和海外现金问题，如果财报弱，短期情绪上涨可能难维持。研究要求量价与业务各自有证据，避免市场涨时只用故事、跌时只用长期。条件清楚意味着可以逐期修订，不是给一个初版结论永久找理由；总表每次输入更新也应按同模型刷新全部情景。</w:t>
      </w:r>
    </w:p>
    <w:p>
      <w:pPr>
        <w:pStyle w:val="Heading2"/>
        <w:rPr/>
      </w:pPr>
      <w:r>
        <w:rPr>
          <w:color w:val="000000"/>
        </w:rPr>
        <w:t>二十五 估值为什么不能只看</w:t>
      </w:r>
      <w:r>
        <w:rPr>
          <w:color w:val="000000"/>
        </w:rPr>
        <w:t>14</w:t>
      </w:r>
      <w:r>
        <w:rPr>
          <w:color w:val="000000"/>
        </w:rPr>
        <w:t>倍历史</w:t>
      </w:r>
      <w:r>
        <w:rPr>
          <w:color w:val="000000"/>
        </w:rPr>
        <w:t>PE</w:t>
      </w:r>
    </w:p>
    <w:p>
      <w:pPr>
        <w:pStyle w:val="Normal"/>
        <w:rPr/>
      </w:pPr>
      <w:r>
        <w:rPr/>
        <w:t>2025</w:t>
      </w:r>
      <w:r>
        <w:rPr/>
        <w:t>法定摊薄</w:t>
      </w:r>
      <w:r>
        <w:rPr/>
        <w:t>EPS9.58</w:t>
      </w:r>
      <w:r>
        <w:rPr/>
        <w:t>人民币乘</w:t>
      </w:r>
      <w:r>
        <w:rPr/>
        <w:t>1.10</w:t>
      </w:r>
      <w:r>
        <w:rPr/>
        <w:t>后，现价约</w:t>
      </w:r>
      <w:r>
        <w:rPr/>
        <w:t>14.45</w:t>
      </w:r>
      <w:r>
        <w:rPr/>
        <w:t>倍历史</w:t>
      </w:r>
      <w:r>
        <w:rPr/>
        <w:t>PE</w:t>
      </w:r>
      <w:r>
        <w:rPr/>
        <w:t>，表面不高；但该年是收入</w:t>
      </w:r>
      <w:r>
        <w:rPr/>
        <w:t>184.7%</w:t>
      </w:r>
      <w:r>
        <w:rPr/>
        <w:t>增长与高毛利阶段。上半年</w:t>
      </w:r>
      <w:r>
        <w:rPr/>
        <w:t>EPS3.79</w:t>
      </w:r>
      <w:r>
        <w:rPr/>
        <w:t>，若简单翻倍为</w:t>
      </w:r>
      <w:r>
        <w:rPr/>
        <w:t>7.58</w:t>
      </w:r>
      <w:r>
        <w:rPr/>
        <w:t>又是另一倍数，季节和股数使其只能粗参。当前历史价格反映市场对正常化担忧，便宜必须以未来正常利润证明，不能选择最高历史利润再附最乐观倍数。模型分别公开收入、正常率、费用和股数以解释风险。</w:t>
      </w:r>
    </w:p>
    <w:p>
      <w:pPr>
        <w:pStyle w:val="Normal"/>
        <w:rPr/>
      </w:pPr>
      <w:r>
        <w:rPr/>
        <w:t>成熟可持续</w:t>
      </w:r>
      <w:r>
        <w:rPr/>
        <w:t>IP</w:t>
      </w:r>
      <w:r>
        <w:rPr/>
        <w:t>平台可以获得较高估值，因为品牌与渠道有重复经营机会；单一潮流商品商则应较低，利润周期与权利不确定性更高。公司处于两者之间的验证过程，长期评分高于短期，但证据可信度仍中低。未来基准</w:t>
      </w:r>
      <w:r>
        <w:rPr/>
        <w:t>PE</w:t>
      </w:r>
      <w:r>
        <w:rPr/>
        <w:t>二十至二十四倍意味着平台能力和恢复被证实，不能当市场必给的固定倍数。若现金、组合和海外没有改善，即使</w:t>
      </w:r>
      <w:r>
        <w:rPr/>
        <w:t>EPS</w:t>
      </w:r>
      <w:r>
        <w:rPr/>
        <w:t>恢复也可能因可信度下降而不给同一溢价。</w:t>
      </w:r>
    </w:p>
    <w:p>
      <w:pPr>
        <w:pStyle w:val="Normal"/>
        <w:rPr/>
      </w:pPr>
      <w:r>
        <w:rPr/>
        <w:t>悲观目标可能低于简单现金或账面想象，表达持续利润率下滑和估值压缩，不是清算底或最大损失。现金可能用于扩张、回购或应付义务，资源不是全归可派余额；</w:t>
      </w:r>
      <w:r>
        <w:rPr/>
        <w:t>IP</w:t>
      </w:r>
      <w:r>
        <w:rPr/>
        <w:t>资产也没有统一清算价格。乐观目标很高，需要经营和估值同时强，不代表获利概率。进取型排序应比较情景回报、悲观亏损与证据，不能只按乐观上涨幅决定最高推荐，否则容易把最不确定公司放最前。</w:t>
      </w:r>
    </w:p>
    <w:p>
      <w:pPr>
        <w:pStyle w:val="Heading2"/>
        <w:rPr/>
      </w:pPr>
      <w:r>
        <w:rPr>
          <w:color w:val="000000"/>
        </w:rPr>
        <w:t>二十六 经营桥与敏感性</w:t>
      </w:r>
    </w:p>
    <w:p>
      <w:pPr>
        <w:pStyle w:val="Normal"/>
        <w:rPr/>
      </w:pPr>
      <w:r>
        <w:rPr/>
        <w:t>一年基准</w:t>
      </w:r>
      <w:r>
        <w:rPr/>
        <w:t>PRC</w:t>
      </w:r>
      <w:r>
        <w:rPr/>
        <w:t>收入</w:t>
      </w:r>
      <w:r>
        <w:rPr/>
        <w:t>300</w:t>
      </w:r>
      <w:r>
        <w:rPr/>
        <w:t>亿元、正常分部率</w:t>
      </w:r>
      <w:r>
        <w:rPr/>
        <w:t>50%</w:t>
      </w:r>
      <w:r>
        <w:rPr/>
        <w:t>，海外</w:t>
      </w:r>
      <w:r>
        <w:rPr/>
        <w:t>130</w:t>
      </w:r>
      <w:r>
        <w:rPr/>
        <w:t>亿元、</w:t>
      </w:r>
      <w:r>
        <w:rPr/>
        <w:t>32%</w:t>
      </w:r>
      <w:r>
        <w:rPr/>
        <w:t>，企业中心</w:t>
      </w:r>
      <w:r>
        <w:rPr/>
        <w:t>20</w:t>
      </w:r>
      <w:r>
        <w:rPr/>
        <w:t>亿元，正常其他</w:t>
      </w:r>
      <w:r>
        <w:rPr/>
        <w:t>1.5</w:t>
      </w:r>
      <w:r>
        <w:rPr/>
        <w:t>亿元。税后按</w:t>
      </w:r>
      <w:r>
        <w:rPr/>
        <w:t>25%</w:t>
      </w:r>
      <w:r>
        <w:rPr/>
        <w:t>、归母</w:t>
      </w:r>
      <w:r>
        <w:rPr/>
        <w:t>99%</w:t>
      </w:r>
      <w:r>
        <w:rPr/>
        <w:t>、摊薄</w:t>
      </w:r>
      <w:r>
        <w:rPr/>
        <w:t>13</w:t>
      </w:r>
      <w:r>
        <w:rPr/>
        <w:t>亿股得到</w:t>
      </w:r>
      <w:r>
        <w:rPr/>
        <w:t>EPS9.887</w:t>
      </w:r>
      <w:r>
        <w:rPr/>
        <w:t>人民币，</w:t>
      </w:r>
      <w:r>
        <w:rPr/>
        <w:t>22</w:t>
      </w:r>
      <w:r>
        <w:rPr/>
        <w:t>倍及</w:t>
      </w:r>
      <w:r>
        <w:rPr/>
        <w:t>1.10</w:t>
      </w:r>
      <w:r>
        <w:rPr/>
        <w:t>得到</w:t>
      </w:r>
      <w:r>
        <w:rPr/>
        <w:t>239.27</w:t>
      </w:r>
      <w:r>
        <w:rPr/>
        <w:t>港元。收入与</w:t>
      </w:r>
      <w:r>
        <w:rPr/>
        <w:t>2025</w:t>
      </w:r>
      <w:r>
        <w:rPr/>
        <w:t>地区值相比有成长，也要求海外从调整走向较可持续需求；正常率并未完全回历史峰值。这个桥使目标可回溯，任一地区动销或率变动都能明确改变盈利。</w:t>
      </w:r>
    </w:p>
    <w:p>
      <w:pPr>
        <w:pStyle w:val="Normal"/>
        <w:rPr/>
      </w:pPr>
      <w:r>
        <w:rPr/>
        <w:t>以一年基准看，</w:t>
      </w:r>
      <w:r>
        <w:rPr/>
        <w:t>PRC</w:t>
      </w:r>
      <w:r>
        <w:rPr/>
        <w:t>率少一个百分点，税前利润约减少</w:t>
      </w:r>
      <w:r>
        <w:rPr/>
        <w:t>3</w:t>
      </w:r>
      <w:r>
        <w:rPr/>
        <w:t>亿元，税后归母除股数后减少约</w:t>
      </w:r>
      <w:r>
        <w:rPr/>
        <w:t>0.171</w:t>
      </w:r>
      <w:r>
        <w:rPr/>
        <w:t>人民币</w:t>
      </w:r>
      <w:r>
        <w:rPr/>
        <w:t>EPS</w:t>
      </w:r>
      <w:r>
        <w:rPr/>
        <w:t>，乘倍数汇率约少</w:t>
      </w:r>
      <w:r>
        <w:rPr/>
        <w:t>4.15</w:t>
      </w:r>
      <w:r>
        <w:rPr/>
        <w:t>港元；海外率少一个百分点约少</w:t>
      </w:r>
      <w:r>
        <w:rPr/>
        <w:t>1.80</w:t>
      </w:r>
      <w:r>
        <w:rPr/>
        <w:t>港元。</w:t>
      </w:r>
      <w:r>
        <w:rPr/>
        <w:t>PE</w:t>
      </w:r>
      <w:r>
        <w:rPr/>
        <w:t>从</w:t>
      </w:r>
      <w:r>
        <w:rPr/>
        <w:t>22</w:t>
      </w:r>
      <w:r>
        <w:rPr/>
        <w:t>降到</w:t>
      </w:r>
      <w:r>
        <w:rPr/>
        <w:t>18</w:t>
      </w:r>
      <w:r>
        <w:rPr/>
        <w:t>，在同</w:t>
      </w:r>
      <w:r>
        <w:rPr/>
        <w:t>EPS</w:t>
      </w:r>
      <w:r>
        <w:rPr/>
        <w:t>汇率下目标约</w:t>
      </w:r>
      <w:r>
        <w:rPr/>
        <w:t>195.76</w:t>
      </w:r>
      <w:r>
        <w:rPr/>
        <w:t>港元，说明估值变化也重要。税、股数及中心费用同样可敏感，不能只展示收入乐观。实际需求下滑可能同时压利润和倍数，情景因此不把这些风险独立弱化。</w:t>
      </w:r>
    </w:p>
    <w:p>
      <w:pPr>
        <w:pStyle w:val="Normal"/>
        <w:rPr/>
      </w:pPr>
      <w:r>
        <w:rPr/>
        <w:t>模型使用目标时点未来十二个月正常盈利，年底与半年价格可能反映尚未实现的年度路径，非简单累计利润。假设修改后需要重新计算</w:t>
      </w:r>
      <w:r>
        <w:rPr/>
        <w:t>EPS</w:t>
      </w:r>
      <w:r>
        <w:rPr/>
        <w:t>、目标、分红与年化，旧快照不会自动有效。不同情景分别保存，所有价格由</w:t>
      </w:r>
      <w:r>
        <w:rPr/>
        <w:t>EPS</w:t>
      </w:r>
      <w:r>
        <w:rPr/>
        <w:t>三位、目标两位规则得到，小数精度为了文件一致，不是预测更精确。未来报告只要证明经营路径不同，就应改变目标和排序，而不是继续引用机构名义维护初版。</w:t>
      </w:r>
    </w:p>
    <w:p>
      <w:pPr>
        <w:pStyle w:val="Heading2"/>
        <w:rPr/>
      </w:pPr>
      <w:r>
        <w:rPr>
          <w:color w:val="000000"/>
        </w:rPr>
        <w:t>二十七 年底情景与期望值</w:t>
      </w:r>
    </w:p>
    <w:p>
      <w:pPr>
        <w:pStyle w:val="Normal"/>
        <w:rPr/>
      </w:pPr>
      <w:r>
        <w:rPr/>
        <w:t>年底基准</w:t>
      </w:r>
      <w:r>
        <w:rPr/>
        <w:t>PRC255</w:t>
      </w:r>
      <w:r>
        <w:rPr/>
        <w:t>亿元、率</w:t>
      </w:r>
      <w:r>
        <w:rPr/>
        <w:t>50%</w:t>
      </w:r>
      <w:r>
        <w:rPr/>
        <w:t>，海外</w:t>
      </w:r>
      <w:r>
        <w:rPr/>
        <w:t>95</w:t>
      </w:r>
      <w:r>
        <w:rPr/>
        <w:t>亿元、</w:t>
      </w:r>
      <w:r>
        <w:rPr/>
        <w:t>28%</w:t>
      </w:r>
      <w:r>
        <w:rPr/>
        <w:t>，中心</w:t>
      </w:r>
      <w:r>
        <w:rPr/>
        <w:t>18</w:t>
      </w:r>
      <w:r>
        <w:rPr/>
        <w:t>亿元、正常其他一亿元，税后归母</w:t>
      </w:r>
      <w:r>
        <w:rPr/>
        <w:t>98.8%</w:t>
      </w:r>
      <w:r>
        <w:rPr/>
        <w:t>、股数</w:t>
      </w:r>
      <w:r>
        <w:rPr/>
        <w:t>13.2</w:t>
      </w:r>
      <w:r>
        <w:rPr/>
        <w:t>亿，</w:t>
      </w:r>
      <w:r>
        <w:rPr/>
        <w:t>EPS7.696</w:t>
      </w:r>
      <w:r>
        <w:rPr/>
        <w:t>。</w:t>
      </w:r>
      <w:r>
        <w:rPr/>
        <w:t>20</w:t>
      </w:r>
      <w:r>
        <w:rPr/>
        <w:t>倍与汇率形成</w:t>
      </w:r>
      <w:r>
        <w:rPr/>
        <w:t>169.31</w:t>
      </w:r>
      <w:r>
        <w:rPr/>
        <w:t>港元，现价回报</w:t>
      </w:r>
      <w:r>
        <w:rPr/>
        <w:t>11.17%</w:t>
      </w:r>
      <w:r>
        <w:rPr/>
        <w:t>。这需要市场认可海外调整有底和多</w:t>
      </w:r>
      <w:r>
        <w:rPr/>
        <w:t>IP</w:t>
      </w:r>
      <w:r>
        <w:rPr/>
        <w:t>支撑，仍没有假设全年保持原高速。基准年份未来盈利可略低于</w:t>
      </w:r>
      <w:r>
        <w:rPr/>
        <w:t>2025</w:t>
      </w:r>
      <w:r>
        <w:rPr/>
        <w:t>高峰，却因持续性改善得到更合适倍数，是利润与预期同时解释的结果。</w:t>
      </w:r>
    </w:p>
    <w:p>
      <w:pPr>
        <w:pStyle w:val="Normal"/>
        <w:rPr/>
      </w:pPr>
      <w:r>
        <w:rPr/>
        <w:t>悲观</w:t>
      </w:r>
      <w:r>
        <w:rPr/>
        <w:t>71.52</w:t>
      </w:r>
      <w:r>
        <w:rPr/>
        <w:t>港元，要求需求低、</w:t>
      </w:r>
      <w:r>
        <w:rPr/>
        <w:t>PRC</w:t>
      </w:r>
      <w:r>
        <w:rPr/>
        <w:t>与海外正常率下降、企业中心成本刚性和更多股数；乐观</w:t>
      </w:r>
      <w:r>
        <w:rPr/>
        <w:t>301.43</w:t>
      </w:r>
      <w:r>
        <w:rPr/>
        <w:t>要求海外</w:t>
      </w:r>
      <w:r>
        <w:rPr/>
        <w:t>130</w:t>
      </w:r>
      <w:r>
        <w:rPr/>
        <w:t>亿元与较好率、</w:t>
      </w:r>
      <w:r>
        <w:rPr/>
        <w:t>PRC280</w:t>
      </w:r>
      <w:r>
        <w:rPr/>
        <w:t>亿元，并给予</w:t>
      </w:r>
      <w:r>
        <w:rPr/>
        <w:t>27</w:t>
      </w:r>
      <w:r>
        <w:rPr/>
        <w:t>倍。年底窗口短，价格会对未来盈利路径重新定价，但这些极端情景不是预测两个月全部经营已完成。无统计概率，真实重大事件可超区间。主要催化是新经营信息、库存与回购执行，而非把十二个月机构目标按剩余日数缩放。</w:t>
      </w:r>
    </w:p>
    <w:p>
      <w:pPr>
        <w:pStyle w:val="Normal"/>
        <w:rPr/>
      </w:pPr>
      <w:r>
        <w:rPr/>
        <w:t>默认</w:t>
      </w:r>
      <w:r>
        <w:rPr/>
        <w:t>25%</w:t>
      </w:r>
      <w:r>
        <w:rPr/>
        <w:t>、</w:t>
      </w:r>
      <w:r>
        <w:rPr/>
        <w:t>50%</w:t>
      </w:r>
      <w:r>
        <w:rPr/>
        <w:t>、</w:t>
      </w:r>
      <w:r>
        <w:rPr/>
        <w:t>25%</w:t>
      </w:r>
      <w:r>
        <w:rPr/>
        <w:t>得到</w:t>
      </w:r>
      <w:r>
        <w:rPr/>
        <w:t>177.8925</w:t>
      </w:r>
      <w:r>
        <w:rPr/>
        <w:t>港元、</w:t>
      </w:r>
      <w:r>
        <w:rPr/>
        <w:t>16.80%</w:t>
      </w:r>
      <w:r>
        <w:rPr/>
        <w:t>，防御</w:t>
      </w:r>
      <w:r>
        <w:rPr/>
        <w:t>40%</w:t>
      </w:r>
      <w:r>
        <w:rPr/>
        <w:t>、</w:t>
      </w:r>
      <w:r>
        <w:rPr/>
        <w:t>50%</w:t>
      </w:r>
      <w:r>
        <w:rPr/>
        <w:t>、</w:t>
      </w:r>
      <w:r>
        <w:rPr/>
        <w:t>10%</w:t>
      </w:r>
      <w:r>
        <w:rPr/>
        <w:t>得到</w:t>
      </w:r>
      <w:r>
        <w:rPr/>
        <w:t>143.406</w:t>
      </w:r>
      <w:r>
        <w:rPr/>
        <w:t>、</w:t>
      </w:r>
      <w:r>
        <w:rPr/>
        <w:t>-5.84%</w:t>
      </w:r>
      <w:r>
        <w:rPr/>
        <w:t>，积极</w:t>
      </w:r>
      <w:r>
        <w:rPr/>
        <w:t>10%</w:t>
      </w:r>
      <w:r>
        <w:rPr/>
        <w:t>、</w:t>
      </w:r>
      <w:r>
        <w:rPr/>
        <w:t>50%</w:t>
      </w:r>
      <w:r>
        <w:rPr/>
        <w:t>、</w:t>
      </w:r>
      <w:r>
        <w:rPr/>
        <w:t>40%</w:t>
      </w:r>
      <w:r>
        <w:rPr/>
        <w:t>得到</w:t>
      </w:r>
      <w:r>
        <w:rPr/>
        <w:t>212.379</w:t>
      </w:r>
      <w:r>
        <w:rPr/>
        <w:t>、</w:t>
      </w:r>
      <w:r>
        <w:rPr/>
        <w:t>39.45%</w:t>
      </w:r>
      <w:r>
        <w:rPr/>
        <w:t>。权重变化就可从正期望转负，显示结论依赖判断。每个权重应根据新证据调整，并保存版本，不能只强调默认正收益。年底没有假设额外分红，公司未建议中期息且年度时点在未来，含息回报与价格回报相同。</w:t>
      </w:r>
    </w:p>
    <w:p>
      <w:pPr>
        <w:pStyle w:val="Heading2"/>
        <w:rPr/>
      </w:pPr>
      <w:r>
        <w:rPr>
          <w:color w:val="000000"/>
        </w:rPr>
        <w:t>二十八 半年投资需重视修复确认</w:t>
      </w:r>
    </w:p>
    <w:p>
      <w:pPr>
        <w:pStyle w:val="Normal"/>
        <w:rPr/>
      </w:pPr>
      <w:r>
        <w:rPr/>
        <w:t>半年得分</w:t>
      </w:r>
      <w:r>
        <w:rPr/>
        <w:t>59.9</w:t>
      </w:r>
      <w:r>
        <w:rPr/>
        <w:t>、基准</w:t>
      </w:r>
      <w:r>
        <w:rPr/>
        <w:t>195.86</w:t>
      </w:r>
      <w:r>
        <w:rPr/>
        <w:t>港元、</w:t>
      </w:r>
      <w:r>
        <w:rPr/>
        <w:t>28.60%</w:t>
      </w:r>
      <w:r>
        <w:rPr/>
        <w:t>回报，低于一年及长期。这一期限技术权重</w:t>
      </w:r>
      <w:r>
        <w:rPr/>
        <w:t>30%</w:t>
      </w:r>
      <w:r>
        <w:rPr/>
        <w:t>，均线未转上、成交缩减和中期相对落后使时机证据不够；估值空间有条件，不等于马上有催化。基准</w:t>
      </w:r>
      <w:r>
        <w:rPr/>
        <w:t>EPS8.479</w:t>
      </w:r>
      <w:r>
        <w:rPr/>
        <w:t>要求</w:t>
      </w:r>
      <w:r>
        <w:rPr/>
        <w:t>PRC270</w:t>
      </w:r>
      <w:r>
        <w:rPr/>
        <w:t>亿元、海外</w:t>
      </w:r>
      <w:r>
        <w:rPr/>
        <w:t>108</w:t>
      </w:r>
      <w:r>
        <w:rPr/>
        <w:t>亿元与正常率恢复，目标</w:t>
      </w:r>
      <w:r>
        <w:rPr/>
        <w:t>21</w:t>
      </w:r>
      <w:r>
        <w:rPr/>
        <w:t>倍体现市场可见度提高。四月九日前年度股息未知，设零未来现金息，不能提前把历史已付股息重计。</w:t>
      </w:r>
    </w:p>
    <w:p>
      <w:pPr>
        <w:pStyle w:val="Normal"/>
        <w:rPr/>
      </w:pPr>
      <w:r>
        <w:rPr/>
        <w:t>半年路径可能由库存改善、海外渠道稳定、新</w:t>
      </w:r>
      <w:r>
        <w:rPr/>
        <w:t>IP</w:t>
      </w:r>
      <w:r>
        <w:rPr/>
        <w:t>终端销售与回购执行支持，或由高基数、需求疲劳和门店成本拖累。新闻转述管理层称下半年压力更大，这属于会后公开信息而非独立量化公告，需要与后续公司数据比较。若</w:t>
      </w:r>
      <w:r>
        <w:rPr/>
        <w:t>156.70</w:t>
      </w:r>
      <w:r>
        <w:rPr/>
        <w:t>无法持续突破、库存不降、海外利润继续弱，悲观</w:t>
      </w:r>
      <w:r>
        <w:rPr/>
        <w:t>57.11</w:t>
      </w:r>
      <w:r>
        <w:rPr/>
        <w:t>有可能代表市场重新降预期。近支撑不能保护严重基本面悲观，仓位需要能承受更大亏损。</w:t>
      </w:r>
    </w:p>
    <w:p>
      <w:pPr>
        <w:pStyle w:val="Normal"/>
        <w:rPr/>
      </w:pPr>
      <w:r>
        <w:rPr/>
        <w:t>乐观</w:t>
      </w:r>
      <w:r>
        <w:rPr/>
        <w:t>356.85</w:t>
      </w:r>
      <w:r>
        <w:rPr/>
        <w:t>港元需要</w:t>
      </w:r>
      <w:r>
        <w:rPr/>
        <w:t>EPS11.586</w:t>
      </w:r>
      <w:r>
        <w:rPr/>
        <w:t>与</w:t>
      </w:r>
      <w:r>
        <w:rPr/>
        <w:t>28</w:t>
      </w:r>
      <w:r>
        <w:rPr/>
        <w:t>倍，明显依赖海外</w:t>
      </w:r>
      <w:r>
        <w:rPr/>
        <w:t>160</w:t>
      </w:r>
      <w:r>
        <w:rPr/>
        <w:t>亿元和良好分部率，不能仅由一次联名热度实现。半年最高情景上行很大，评分仍低，原因是执行证据与期限催化不足，体现涨幅与推荐并非同一概念。短期合适的研究方式是观察条件是否改善再升级梯队，而不是按前高附近目标追买。若价格修复先于经营，应检查估值已反映多少恢复，避免空间已经被消耗。</w:t>
      </w:r>
    </w:p>
    <w:p>
      <w:pPr>
        <w:pStyle w:val="Heading2"/>
        <w:rPr/>
      </w:pPr>
      <w:r>
        <w:rPr>
          <w:color w:val="000000"/>
        </w:rPr>
        <w:t>二十九 一年逻辑由海外和现金验证</w:t>
      </w:r>
    </w:p>
    <w:p>
      <w:pPr>
        <w:pStyle w:val="Normal"/>
        <w:rPr/>
      </w:pPr>
      <w:r>
        <w:rPr/>
        <w:t>一年</w:t>
      </w:r>
      <w:r>
        <w:rPr/>
        <w:t>66.8</w:t>
      </w:r>
      <w:r>
        <w:rPr/>
        <w:t>分、基准</w:t>
      </w:r>
      <w:r>
        <w:rPr/>
        <w:t>239.27</w:t>
      </w:r>
      <w:r>
        <w:rPr/>
        <w:t>港元，股价回报</w:t>
      </w:r>
      <w:r>
        <w:rPr/>
        <w:t>57.10%</w:t>
      </w:r>
      <w:r>
        <w:rPr/>
        <w:t>、含息</w:t>
      </w:r>
      <w:r>
        <w:rPr/>
        <w:t>58.55%</w:t>
      </w:r>
      <w:r>
        <w:rPr/>
        <w:t>。较半年高来自完整产品周期、海外经营调整、库存管理与年度财表验证时间。主要收益由每股正常盈利恢复和平台溢价，未来</w:t>
      </w:r>
      <w:r>
        <w:rPr/>
        <w:t>2.2</w:t>
      </w:r>
      <w:r>
        <w:rPr/>
        <w:t>港元基准股息占比不大，证券仍是成长和波动资产。公司需要证明多</w:t>
      </w:r>
      <w:r>
        <w:rPr/>
        <w:t>IP</w:t>
      </w:r>
      <w:r>
        <w:rPr/>
        <w:t>接棒不是一次短期热点，海外线下与线上形成可持续组合，现金能够支付税、租赁、库存和研发。</w:t>
      </w:r>
    </w:p>
    <w:p>
      <w:pPr>
        <w:pStyle w:val="Normal"/>
        <w:rPr/>
      </w:pPr>
      <w:r>
        <w:rPr/>
        <w:t>一年悲观</w:t>
      </w:r>
      <w:r>
        <w:rPr/>
        <w:t>50.48</w:t>
      </w:r>
      <w:r>
        <w:rPr/>
        <w:t>、乐观</w:t>
      </w:r>
      <w:r>
        <w:rPr/>
        <w:t>477.71</w:t>
      </w:r>
      <w:r>
        <w:rPr/>
        <w:t>，范围显示增长质量与估值风险很大。悲观</w:t>
      </w:r>
      <w:r>
        <w:rPr/>
        <w:t>PRC215</w:t>
      </w:r>
      <w:r>
        <w:rPr/>
        <w:t>亿元、海外</w:t>
      </w:r>
      <w:r>
        <w:rPr/>
        <w:t>62</w:t>
      </w:r>
      <w:r>
        <w:rPr/>
        <w:t>亿元和较低率，更多股数，表现当前担忧持续；乐观</w:t>
      </w:r>
      <w:r>
        <w:rPr/>
        <w:t>PRC340</w:t>
      </w:r>
      <w:r>
        <w:rPr/>
        <w:t>亿元、海外</w:t>
      </w:r>
      <w:r>
        <w:rPr/>
        <w:t>210</w:t>
      </w:r>
      <w:r>
        <w:rPr/>
        <w:t>亿元且高效率，要求恢复与扩张同时兑现。不能以一年目标较机构高就认定更推荐，基准自身已经有显著经营假设。若实际全年收入、库存和现金弱，应降低正常收益并同步压</w:t>
      </w:r>
      <w:r>
        <w:rPr/>
        <w:t>PE</w:t>
      </w:r>
      <w:r>
        <w:rPr/>
        <w:t>，不只微调股息。</w:t>
      </w:r>
    </w:p>
    <w:p>
      <w:pPr>
        <w:pStyle w:val="Normal"/>
        <w:rPr/>
      </w:pPr>
      <w:r>
        <w:rPr/>
        <w:t>一年最重要验证是终端动销、地区正常利润、周转与经营现金。公司未来业务更新若只披露增长区间，要保留区间，不伪造季度精确绝对值；机构不同口径也应核主源。经营可能先改善而现金滞后，需要解释税和营运时点，但若持续数期不转好就不能永久豁免。推荐成立需要每股收益和现金关系更可信，否则高目标上涨空间只是模型假设，无法支持高仓位。</w:t>
      </w:r>
    </w:p>
    <w:p>
      <w:pPr>
        <w:pStyle w:val="Heading2"/>
        <w:rPr/>
      </w:pPr>
      <w:r>
        <w:rPr>
          <w:color w:val="000000"/>
        </w:rPr>
        <w:t>三十 三年成长与资本效率</w:t>
      </w:r>
    </w:p>
    <w:p>
      <w:pPr>
        <w:pStyle w:val="Normal"/>
        <w:rPr/>
      </w:pPr>
      <w:r>
        <w:rPr/>
        <w:t>三年基准</w:t>
      </w:r>
      <w:r>
        <w:rPr/>
        <w:t>PRC410</w:t>
      </w:r>
      <w:r>
        <w:rPr/>
        <w:t>亿元、海外</w:t>
      </w:r>
      <w:r>
        <w:rPr/>
        <w:t>240</w:t>
      </w:r>
      <w:r>
        <w:rPr/>
        <w:t>亿元，分部率</w:t>
      </w:r>
      <w:r>
        <w:rPr/>
        <w:t>49%</w:t>
      </w:r>
      <w:r>
        <w:rPr/>
        <w:t>、</w:t>
      </w:r>
      <w:r>
        <w:rPr/>
        <w:t>34%</w:t>
      </w:r>
      <w:r>
        <w:rPr/>
        <w:t>，中心</w:t>
      </w:r>
      <w:r>
        <w:rPr/>
        <w:t>28</w:t>
      </w:r>
      <w:r>
        <w:rPr/>
        <w:t>亿元、正常其他</w:t>
      </w:r>
      <w:r>
        <w:rPr/>
        <w:t>2</w:t>
      </w:r>
      <w:r>
        <w:rPr/>
        <w:t>亿元，</w:t>
      </w:r>
      <w:r>
        <w:rPr/>
        <w:t>EPS14.996</w:t>
      </w:r>
      <w:r>
        <w:rPr/>
        <w:t>、</w:t>
      </w:r>
      <w:r>
        <w:rPr/>
        <w:t>24</w:t>
      </w:r>
      <w:r>
        <w:rPr/>
        <w:t>倍，目标</w:t>
      </w:r>
      <w:r>
        <w:rPr/>
        <w:t>395.89</w:t>
      </w:r>
      <w:r>
        <w:rPr/>
        <w:t>港元。累计股息</w:t>
      </w:r>
      <w:r>
        <w:rPr/>
        <w:t>8</w:t>
      </w:r>
      <w:r>
        <w:rPr/>
        <w:t>港元，含息</w:t>
      </w:r>
      <w:r>
        <w:rPr/>
        <w:t>165.19%</w:t>
      </w:r>
      <w:r>
        <w:rPr/>
        <w:t>、年化</w:t>
      </w:r>
      <w:r>
        <w:rPr/>
        <w:t>38.42%</w:t>
      </w:r>
      <w:r>
        <w:rPr/>
        <w:t>，是很进取的经营恢复与扩张情景。收入绝对规模需要全球渠道、</w:t>
      </w:r>
      <w:r>
        <w:rPr/>
        <w:t>IP</w:t>
      </w:r>
      <w:r>
        <w:rPr/>
        <w:t>供给和管理效率支持，不能用公司已有爆款成功当所有后续扩张保证。因此</w:t>
      </w:r>
      <w:r>
        <w:rPr/>
        <w:t>74.8</w:t>
      </w:r>
      <w:r>
        <w:rPr/>
        <w:t>分没有随高年化到最高，可信度和下行仍制约。</w:t>
      </w:r>
    </w:p>
    <w:p>
      <w:pPr>
        <w:pStyle w:val="Normal"/>
        <w:rPr/>
      </w:pPr>
      <w:r>
        <w:rPr/>
        <w:t>三年应看平台是否建立跨</w:t>
      </w:r>
      <w:r>
        <w:rPr/>
        <w:t>IP</w:t>
      </w:r>
      <w:r>
        <w:rPr/>
        <w:t>、跨地区的重复盈利流程，而不是只把门店数量或角色数量增加。库存管理、创作者关系、供应链和消费者数据能力若成熟，规模扩大可以提高资本效率；如果扩张反复伴随备货过多、折扣与现金占用，成长回报将下降。公司较轻制造不等于无资本需求，门店、系统与营运资源仍需投入。基准含全部正常费用，以年度财表持续替换假设，保证模型可被反证。</w:t>
      </w:r>
    </w:p>
    <w:p>
      <w:pPr>
        <w:pStyle w:val="Normal"/>
        <w:rPr/>
      </w:pPr>
      <w:r>
        <w:rPr/>
        <w:t>悲观</w:t>
      </w:r>
      <w:r>
        <w:rPr/>
        <w:t>35.33</w:t>
      </w:r>
      <w:r>
        <w:rPr/>
        <w:t>、乐观</w:t>
      </w:r>
      <w:r>
        <w:rPr/>
        <w:t>1023.58</w:t>
      </w:r>
      <w:r>
        <w:rPr/>
        <w:t>，乐观</w:t>
      </w:r>
      <w:r>
        <w:rPr/>
        <w:t>EPS29.079</w:t>
      </w:r>
      <w:r>
        <w:rPr/>
        <w:t>与</w:t>
      </w:r>
      <w:r>
        <w:rPr/>
        <w:t>32</w:t>
      </w:r>
      <w:r>
        <w:rPr/>
        <w:t>倍依赖</w:t>
      </w:r>
      <w:r>
        <w:rPr/>
        <w:t>PRC580</w:t>
      </w:r>
      <w:r>
        <w:rPr/>
        <w:t>亿元、海外</w:t>
      </w:r>
      <w:r>
        <w:rPr/>
        <w:t>480</w:t>
      </w:r>
      <w:r>
        <w:rPr/>
        <w:t>亿元和高率。对于近千亿人民币集团收入路径，竞争和执行门槛明显高于当前，不能当通常结果。悲观保留业务但利润率和估值低，显示平台可能发展不达标而非公司必消失。三年持有需要期间检查，重大权利、质量或消费者变化都可能推翻经营桥，时间长不会自动消除风险。</w:t>
      </w:r>
    </w:p>
    <w:p>
      <w:pPr>
        <w:pStyle w:val="Heading2"/>
        <w:rPr/>
      </w:pPr>
      <w:r>
        <w:rPr>
          <w:color w:val="000000"/>
        </w:rPr>
        <w:t>三十一 五年及十年持续性</w:t>
      </w:r>
    </w:p>
    <w:p>
      <w:pPr>
        <w:pStyle w:val="Normal"/>
        <w:rPr/>
      </w:pPr>
      <w:r>
        <w:rPr/>
        <w:t>五年基准</w:t>
      </w:r>
      <w:r>
        <w:rPr/>
        <w:t>PRC530</w:t>
      </w:r>
      <w:r>
        <w:rPr/>
        <w:t>亿元、海外</w:t>
      </w:r>
      <w:r>
        <w:rPr/>
        <w:t>370</w:t>
      </w:r>
      <w:r>
        <w:rPr/>
        <w:t>亿元，正常率</w:t>
      </w:r>
      <w:r>
        <w:rPr/>
        <w:t>48%</w:t>
      </w:r>
      <w:r>
        <w:rPr/>
        <w:t>、</w:t>
      </w:r>
      <w:r>
        <w:rPr/>
        <w:t>35%</w:t>
      </w:r>
      <w:r>
        <w:rPr/>
        <w:t>，中心</w:t>
      </w:r>
      <w:r>
        <w:rPr/>
        <w:t>38</w:t>
      </w:r>
      <w:r>
        <w:rPr/>
        <w:t>亿元，</w:t>
      </w:r>
      <w:r>
        <w:rPr/>
        <w:t>EPS20.665</w:t>
      </w:r>
      <w:r>
        <w:rPr/>
        <w:t>、</w:t>
      </w:r>
      <w:r>
        <w:rPr/>
        <w:t>24</w:t>
      </w:r>
      <w:r>
        <w:rPr/>
        <w:t>倍，目标</w:t>
      </w:r>
      <w:r>
        <w:rPr/>
        <w:t>545.56</w:t>
      </w:r>
      <w:r>
        <w:rPr/>
        <w:t>港元。累计股息</w:t>
      </w:r>
      <w:r>
        <w:rPr/>
        <w:t>17</w:t>
      </w:r>
      <w:r>
        <w:rPr/>
        <w:t>港元，含息</w:t>
      </w:r>
      <w:r>
        <w:rPr/>
        <w:t>269.38%</w:t>
      </w:r>
      <w:r>
        <w:rPr/>
        <w:t>、年化</w:t>
      </w:r>
      <w:r>
        <w:rPr/>
        <w:t>29.87%</w:t>
      </w:r>
      <w:r>
        <w:rPr/>
        <w:t>。这是平台持续扩张且成本受控的研究路径，远期收入大、现金和管理要求高。</w:t>
      </w:r>
      <w:r>
        <w:rPr/>
        <w:t>75.8</w:t>
      </w:r>
      <w:r>
        <w:rPr/>
        <w:t>分反映创意和渠道的潜力，也保留潮流、权利与治理风险，不应把年化近三成当常规承诺，更不应由单一热点推演五年。</w:t>
      </w:r>
    </w:p>
    <w:p>
      <w:pPr>
        <w:pStyle w:val="Normal"/>
        <w:rPr/>
      </w:pPr>
      <w:r>
        <w:rPr/>
        <w:t>十年可能的优势是全球艺术家合作与消费者关系成为可持续平台，多个</w:t>
      </w:r>
      <w:r>
        <w:rPr/>
        <w:t>IP</w:t>
      </w:r>
      <w:r>
        <w:rPr/>
        <w:t>有内容、商品、体验和服务的重复需求。可能的失败是热点不断轮换但每次都需要更高营销和库存，现金利润无法积累，品牌边际价值下降。两条路径都符合创意消费不确定性，关键是资本效率、合作权利与消费者信任。本文不给十年精确股价，没有取得可验证经营桥就不伪造影视、游戏或乐园利润。</w:t>
      </w:r>
    </w:p>
    <w:p>
      <w:pPr>
        <w:pStyle w:val="Normal"/>
        <w:rPr/>
      </w:pPr>
      <w:r>
        <w:rPr/>
        <w:t>五年悲观</w:t>
      </w:r>
      <w:r>
        <w:rPr/>
        <w:t>27.35</w:t>
      </w:r>
      <w:r>
        <w:rPr/>
        <w:t>、乐观</w:t>
      </w:r>
      <w:r>
        <w:rPr/>
        <w:t>1680.91</w:t>
      </w:r>
      <w:r>
        <w:rPr/>
        <w:t>，最高情景要求</w:t>
      </w:r>
      <w:r>
        <w:rPr/>
        <w:t>EPS47.753</w:t>
      </w:r>
      <w:r>
        <w:rPr/>
        <w:t>与</w:t>
      </w:r>
      <w:r>
        <w:rPr/>
        <w:t>32</w:t>
      </w:r>
      <w:r>
        <w:rPr/>
        <w:t>倍、</w:t>
      </w:r>
      <w:r>
        <w:rPr/>
        <w:t>PRC850</w:t>
      </w:r>
      <w:r>
        <w:rPr/>
        <w:t>亿元和海外</w:t>
      </w:r>
      <w:r>
        <w:rPr/>
        <w:t>830</w:t>
      </w:r>
      <w:r>
        <w:rPr/>
        <w:t>亿元，属于强</w:t>
      </w:r>
      <w:r>
        <w:rPr/>
        <w:t>IP</w:t>
      </w:r>
      <w:r>
        <w:rPr/>
        <w:t>强渠道强执行条件。极高上涨空间应被看作敏感性而非推荐理由，实际市场可能既不给这么高增长也不给高倍数。若公司五年仍主要依赖单一角色或短期流量，长期平台评分就应下降；若收益与现金从多个来源反复得到验证，未来可以提高可信度并修订总表。</w:t>
      </w:r>
    </w:p>
    <w:p>
      <w:pPr>
        <w:pStyle w:val="Heading2"/>
        <w:rPr/>
      </w:pPr>
      <w:r>
        <w:rPr>
          <w:color w:val="000000"/>
        </w:rPr>
        <w:t>三十二 外资目标价如何参与比较</w:t>
      </w:r>
    </w:p>
    <w:p>
      <w:pPr>
        <w:pStyle w:val="Normal"/>
        <w:rPr/>
      </w:pPr>
      <w:r>
        <w:rPr/>
        <w:t>最近可核公开新闻在八月二十一日，汇丰持有</w:t>
      </w:r>
      <w:r>
        <w:rPr/>
        <w:t>136.5</w:t>
      </w:r>
      <w:r>
        <w:rPr/>
        <w:t>、美银中性</w:t>
      </w:r>
      <w:r>
        <w:rPr/>
        <w:t>153</w:t>
      </w:r>
      <w:r>
        <w:rPr/>
        <w:t>、大摩增持</w:t>
      </w:r>
      <w:r>
        <w:rPr/>
        <w:t>203</w:t>
      </w:r>
      <w:r>
        <w:rPr/>
        <w:t>、富瑞持有</w:t>
      </w:r>
      <w:r>
        <w:rPr/>
        <w:t>146</w:t>
      </w:r>
      <w:r>
        <w:rPr/>
        <w:t>、摩通减持</w:t>
      </w:r>
      <w:r>
        <w:rPr/>
        <w:t>120</w:t>
      </w:r>
      <w:r>
        <w:rPr/>
        <w:t>港元，各机构保留最新有效报告，原研报未取得、期限未明确为空。相对现价分别约</w:t>
      </w:r>
      <w:r>
        <w:rPr/>
        <w:t>-10.37%</w:t>
      </w:r>
      <w:r>
        <w:rPr/>
        <w:t>、</w:t>
      </w:r>
      <w:r>
        <w:rPr/>
        <w:t>+0.46%</w:t>
      </w:r>
      <w:r>
        <w:rPr/>
        <w:t>、</w:t>
      </w:r>
      <w:r>
        <w:rPr/>
        <w:t>+33.29%</w:t>
      </w:r>
      <w:r>
        <w:rPr/>
        <w:t>、</w:t>
      </w:r>
      <w:r>
        <w:rPr/>
        <w:t>-4.14%</w:t>
      </w:r>
      <w:r>
        <w:rPr/>
        <w:t>、</w:t>
      </w:r>
      <w:r>
        <w:rPr/>
        <w:t>-21.21%</w:t>
      </w:r>
      <w:r>
        <w:rPr/>
        <w:t>。这些分歧说明机构对海外需求、利润与平台持续性有不同判断，不能平均成一个无来源一致预期，也不能称全部机构都推荐。</w:t>
      </w:r>
    </w:p>
    <w:p>
      <w:pPr>
        <w:pStyle w:val="Normal"/>
        <w:rPr/>
      </w:pPr>
      <w:r>
        <w:rPr/>
        <w:t>新闻里的季度销售描述不同：有二季度同比约</w:t>
      </w:r>
      <w:r>
        <w:rPr/>
        <w:t>-10%</w:t>
      </w:r>
      <w:r>
        <w:rPr/>
        <w:t>、</w:t>
      </w:r>
      <w:r>
        <w:rPr/>
        <w:t>-11%</w:t>
      </w:r>
      <w:r>
        <w:rPr/>
        <w:t>和</w:t>
      </w:r>
      <w:r>
        <w:rPr/>
        <w:t>-2%</w:t>
      </w:r>
      <w:r>
        <w:rPr/>
        <w:t>等口径，同时有季度环比、地区和上半年混杂。本文未取得精确首季绝对收入，所以不选择一个数作为确定季度事实；半年主源已有足够确认海外与</w:t>
      </w:r>
      <w:r>
        <w:rPr/>
        <w:t>IP</w:t>
      </w:r>
      <w:r>
        <w:rPr/>
        <w:t>方向。汇丰和其他报告盈利预测也各不相同，目标价只能作为参照。研究保留公司主源及模型桥，避免目标价较高就据此反推盈利，再把反推称机构预测。</w:t>
      </w:r>
    </w:p>
    <w:p>
      <w:pPr>
        <w:pStyle w:val="Normal"/>
        <w:rPr/>
      </w:pPr>
      <w:r>
        <w:rPr/>
        <w:t>机构新闻讨论回购、外汇及管理层全年增长压力，有些来自会后沟通，正式中报未同样量化。本文区分已执行、计划与观点，并保留原日期，不把最新网页行情时间当报告日。</w:t>
      </w:r>
      <w:r>
        <w:rPr/>
        <w:t>12</w:t>
      </w:r>
      <w:r>
        <w:rPr/>
        <w:t>个月目标只有明确期限时才用一年参照，未知期限不补造；年底必须用自有信息集和估值重算。与自有一年</w:t>
      </w:r>
      <w:r>
        <w:rPr/>
        <w:t>239.27</w:t>
      </w:r>
      <w:r>
        <w:rPr/>
        <w:t>相比多数目标较低，提示模型恢复要求更积极，需要数据验证，而非外资背书。</w:t>
      </w:r>
    </w:p>
    <w:p>
      <w:pPr>
        <w:pStyle w:val="Heading2"/>
        <w:rPr/>
      </w:pPr>
      <w:r>
        <w:rPr>
          <w:color w:val="000000"/>
        </w:rPr>
        <w:t>三十三 明确的反证和刷新机制</w:t>
      </w:r>
    </w:p>
    <w:p>
      <w:pPr>
        <w:pStyle w:val="Normal"/>
        <w:rPr/>
      </w:pPr>
      <w:r>
        <w:rPr/>
        <w:t>首先，海外线上和总收入持续下降、线下增长无法覆盖利润损失，会推翻正常恢复假设；其次，库存周转长期高位、折价和减值增加、经营现金不能覆盖税租赁与增长，会削弱平台现金价值。再次，多</w:t>
      </w:r>
      <w:r>
        <w:rPr/>
        <w:t>IP</w:t>
      </w:r>
      <w:r>
        <w:rPr/>
        <w:t>收入集中于短暂流行、旧角色衰退无法被持续需求接替，说明平台分散能力不足。出现这些证据时，应分别降低收入、正常率、股数返还和</w:t>
      </w:r>
      <w:r>
        <w:rPr/>
        <w:t>PE</w:t>
      </w:r>
      <w:r>
        <w:rPr/>
        <w:t>，不能只在风险栏补一句后保留高目标。</w:t>
      </w:r>
    </w:p>
    <w:p>
      <w:pPr>
        <w:pStyle w:val="Normal"/>
        <w:rPr/>
      </w:pPr>
      <w:r>
        <w:rPr/>
        <w:t>权利合作中断、主要创作者流失、侵权和质量风险，也可能改变长期利润。管理层若过度扩展无验证新业务、关联安排或金融投资占资，治理分应下调；回购无法抵销稀释或现金资源被耗尽，同样削弱每股收益。反证不要求公司破产才有效，增长路径明显低于模型就足够修订。进取型研究必须允许先前推荐被事实推翻，而不是将所有未兑现解释为长期投资尚需耐心。</w:t>
      </w:r>
    </w:p>
    <w:p>
      <w:pPr>
        <w:pStyle w:val="Normal"/>
        <w:rPr/>
      </w:pPr>
      <w:r>
        <w:rPr/>
        <w:t>刷新应按公告时点与基准锁定资料，保存新旧输入、币种、单位和来源，重新生成三种情景快照与权重敏感性。</w:t>
      </w:r>
      <w:r>
        <w:rPr/>
        <w:t>Excel</w:t>
      </w:r>
      <w:r>
        <w:rPr/>
        <w:t>、</w:t>
      </w:r>
      <w:r>
        <w:rPr/>
        <w:t>Word</w:t>
      </w:r>
      <w:r>
        <w:rPr/>
        <w:t>和</w:t>
      </w:r>
      <w:r>
        <w:rPr/>
        <w:t>PDF</w:t>
      </w:r>
      <w:r>
        <w:rPr/>
        <w:t>中的目标与回报需同步，旧快照标过期，不能输入变了而结果未更新。股价技术与经营证据分别记录，突破或下跌只改变相应维度，不自动改写所有基本面。这样才能知道推荐差异来自财报、估值还是市场，而非编辑者随行情调整故事。</w:t>
      </w:r>
    </w:p>
    <w:p>
      <w:pPr>
        <w:pStyle w:val="Heading2"/>
        <w:rPr/>
      </w:pPr>
      <w:r>
        <w:rPr>
          <w:color w:val="000000"/>
        </w:rPr>
        <w:t>三十四 评分与全名单位置</w:t>
      </w:r>
    </w:p>
    <w:p>
      <w:pPr>
        <w:pStyle w:val="Normal"/>
        <w:rPr/>
      </w:pPr>
      <w:r>
        <w:rPr/>
        <w:t>半年六维度</w:t>
      </w:r>
      <w:r>
        <w:rPr/>
        <w:t>2.9</w:t>
      </w:r>
      <w:r>
        <w:rPr/>
        <w:t>、</w:t>
      </w:r>
      <w:r>
        <w:rPr/>
        <w:t>2.8</w:t>
      </w:r>
      <w:r>
        <w:rPr/>
        <w:t>、</w:t>
      </w:r>
      <w:r>
        <w:rPr/>
        <w:t>3.2</w:t>
      </w:r>
      <w:r>
        <w:rPr/>
        <w:t>、</w:t>
      </w:r>
      <w:r>
        <w:rPr/>
        <w:t>2.8</w:t>
      </w:r>
      <w:r>
        <w:rPr/>
        <w:t>、</w:t>
      </w:r>
      <w:r>
        <w:rPr/>
        <w:t>3.0</w:t>
      </w:r>
      <w:r>
        <w:rPr/>
        <w:t>、</w:t>
      </w:r>
      <w:r>
        <w:rPr/>
        <w:t>3.7</w:t>
      </w:r>
      <w:r>
        <w:rPr/>
        <w:t>，按统一</w:t>
      </w:r>
      <w:r>
        <w:rPr/>
        <w:t>25%</w:t>
      </w:r>
      <w:r>
        <w:rPr/>
        <w:t>、</w:t>
      </w:r>
      <w:r>
        <w:rPr/>
        <w:t>30%</w:t>
      </w:r>
      <w:r>
        <w:rPr/>
        <w:t>、</w:t>
      </w:r>
      <w:r>
        <w:rPr/>
        <w:t>15%</w:t>
      </w:r>
      <w:r>
        <w:rPr/>
        <w:t>、</w:t>
      </w:r>
      <w:r>
        <w:rPr/>
        <w:t>10%</w:t>
      </w:r>
      <w:r>
        <w:rPr/>
        <w:t>、</w:t>
      </w:r>
      <w:r>
        <w:rPr/>
        <w:t>10%</w:t>
      </w:r>
      <w:r>
        <w:rPr/>
        <w:t>、</w:t>
      </w:r>
      <w:r>
        <w:rPr/>
        <w:t>10%</w:t>
      </w:r>
      <w:r>
        <w:rPr/>
        <w:t>得</w:t>
      </w:r>
      <w:r>
        <w:rPr/>
        <w:t>59.9</w:t>
      </w:r>
      <w:r>
        <w:rPr/>
        <w:t>。一年</w:t>
      </w:r>
      <w:r>
        <w:rPr/>
        <w:t>3.3</w:t>
      </w:r>
      <w:r>
        <w:rPr/>
        <w:t>、</w:t>
      </w:r>
      <w:r>
        <w:rPr/>
        <w:t>2.8</w:t>
      </w:r>
      <w:r>
        <w:rPr/>
        <w:t>、</w:t>
      </w:r>
      <w:r>
        <w:rPr/>
        <w:t>3.6</w:t>
      </w:r>
      <w:r>
        <w:rPr/>
        <w:t>、</w:t>
      </w:r>
      <w:r>
        <w:rPr/>
        <w:t>3.3</w:t>
      </w:r>
      <w:r>
        <w:rPr/>
        <w:t>、</w:t>
      </w:r>
      <w:r>
        <w:rPr/>
        <w:t>3.3</w:t>
      </w:r>
      <w:r>
        <w:rPr/>
        <w:t>、</w:t>
      </w:r>
      <w:r>
        <w:rPr/>
        <w:t>3.7</w:t>
      </w:r>
      <w:r>
        <w:rPr/>
        <w:t>得</w:t>
      </w:r>
      <w:r>
        <w:rPr/>
        <w:t>66.8</w:t>
      </w:r>
      <w:r>
        <w:rPr/>
        <w:t>；三年</w:t>
      </w:r>
      <w:r>
        <w:rPr/>
        <w:t>3.8</w:t>
      </w:r>
      <w:r>
        <w:rPr/>
        <w:t>、</w:t>
      </w:r>
      <w:r>
        <w:rPr/>
        <w:t>2.8</w:t>
      </w:r>
      <w:r>
        <w:rPr/>
        <w:t>、</w:t>
      </w:r>
      <w:r>
        <w:rPr/>
        <w:t>3.9</w:t>
      </w:r>
      <w:r>
        <w:rPr/>
        <w:t>、</w:t>
      </w:r>
      <w:r>
        <w:rPr/>
        <w:t>3.8</w:t>
      </w:r>
      <w:r>
        <w:rPr/>
        <w:t>、</w:t>
      </w:r>
      <w:r>
        <w:rPr/>
        <w:t>3.5</w:t>
      </w:r>
      <w:r>
        <w:rPr/>
        <w:t>、</w:t>
      </w:r>
      <w:r>
        <w:rPr/>
        <w:t>3.5</w:t>
      </w:r>
      <w:r>
        <w:rPr/>
        <w:t>得</w:t>
      </w:r>
      <w:r>
        <w:rPr/>
        <w:t>74.8</w:t>
      </w:r>
      <w:r>
        <w:rPr/>
        <w:t>；五年</w:t>
      </w:r>
      <w:r>
        <w:rPr/>
        <w:t>3.8</w:t>
      </w:r>
      <w:r>
        <w:rPr/>
        <w:t>、</w:t>
      </w:r>
      <w:r>
        <w:rPr/>
        <w:t>2.8</w:t>
      </w:r>
      <w:r>
        <w:rPr/>
        <w:t>、</w:t>
      </w:r>
      <w:r>
        <w:rPr/>
        <w:t>4.0</w:t>
      </w:r>
      <w:r>
        <w:rPr/>
        <w:t>、</w:t>
      </w:r>
      <w:r>
        <w:rPr/>
        <w:t>3.8</w:t>
      </w:r>
      <w:r>
        <w:rPr/>
        <w:t>、</w:t>
      </w:r>
      <w:r>
        <w:rPr/>
        <w:t>3.5</w:t>
      </w:r>
      <w:r>
        <w:rPr/>
        <w:t>、</w:t>
      </w:r>
      <w:r>
        <w:rPr/>
        <w:t>3.3</w:t>
      </w:r>
      <w:r>
        <w:rPr/>
        <w:t>得</w:t>
      </w:r>
      <w:r>
        <w:rPr/>
        <w:t>75.8</w:t>
      </w:r>
      <w:r>
        <w:rPr/>
        <w:t>。长周期给予平台与需求更多权重，同时财务治理风险不低，分数不是获利概率。</w:t>
      </w:r>
    </w:p>
    <w:p>
      <w:pPr>
        <w:pStyle w:val="Normal"/>
        <w:rPr/>
      </w:pPr>
      <w:r>
        <w:rPr/>
        <w:t>主源财务与双源价格可信度高，未来经营桥与恢复假设中低，机构转述因无原研报和明确期限为中。独立可信度标签帮助理解为何高涨幅不直接高推荐。平台具成长选择和无银行债缓冲，但现金、租赁、库存与权益成本仍需核验。与科技和医药公司比较，泡泡玛特有不同收入来源，却同受全球风险偏好和可选支出影响，不能只因名称不同就把集中组合视为风险已分散。</w:t>
      </w:r>
    </w:p>
    <w:p>
      <w:pPr>
        <w:pStyle w:val="Normal"/>
        <w:rPr/>
      </w:pPr>
      <w:r>
        <w:rPr/>
        <w:t>进取型结论偏向长期持续跟踪，短期与一年需要海外和库存反证被缓解。初版总榜会随各公司深研更新，本章不自封前十，也不要求按最高情景交易。清楚经营桥、时间口径和失败条件使研究可被复核，重要的不只是目标有多高，而是哪些条件已经有证据、哪些仍等待兑现。只要现金、产品与渠道持续性未验证，仓位判断应与模型中低可信度匹配。</w:t>
      </w:r>
    </w:p>
    <w:p>
      <w:pPr>
        <w:pStyle w:val="Heading2"/>
        <w:rPr/>
      </w:pPr>
      <w:r>
        <w:rPr>
          <w:color w:val="000000"/>
        </w:rPr>
        <w:t>来源与核验</w:t>
      </w:r>
    </w:p>
    <w:p>
      <w:pPr>
        <w:pStyle w:val="Normal"/>
        <w:rPr/>
      </w:pPr>
      <w:r>
        <w:rPr/>
        <w:t xml:space="preserve">- </w:t>
      </w:r>
      <w:r>
        <w:rPr/>
        <w:t>官方报告索引：</w:t>
      </w:r>
      <w:r>
        <w:rPr/>
        <w:t>https://www.popmart.com.cn/apis/portal/investor/file/list?investorId=12&amp;pageNum=1&amp;pageSize=100&amp;fileType=3</w:t>
      </w:r>
    </w:p>
    <w:p>
      <w:pPr>
        <w:pStyle w:val="Normal"/>
        <w:rPr/>
      </w:pPr>
      <w:r>
        <w:rPr/>
        <w:t>- 2026</w:t>
      </w:r>
      <w:r>
        <w:rPr/>
        <w:t>中报</w:t>
      </w:r>
      <w:r>
        <w:rPr/>
        <w:t>2026-09-24</w:t>
      </w:r>
      <w:r>
        <w:rPr/>
        <w:t>：</w:t>
      </w:r>
      <w:r>
        <w:rPr/>
        <w:t>https://popwebsite.paquapp.com/pdf/a94bf743-292d-4472-8442-00abf8f773b8-2026%20INTERIM%20REPORT.pdf</w:t>
      </w:r>
    </w:p>
    <w:p>
      <w:pPr>
        <w:pStyle w:val="Normal"/>
        <w:rPr/>
      </w:pPr>
      <w:r>
        <w:rPr/>
        <w:t>- 2026</w:t>
      </w:r>
      <w:r>
        <w:rPr/>
        <w:t>半年结果</w:t>
      </w:r>
      <w:r>
        <w:rPr/>
        <w:t>2026-08-20</w:t>
      </w:r>
      <w:r>
        <w:rPr/>
        <w:t>：</w:t>
      </w:r>
      <w:r>
        <w:rPr/>
        <w:t>https://popwebsite.paquapp.com/pdf/953b3d49-ce38-401c-ac77-ee1c96da862b-INTERIM%20RESULTS%20ANNOUNCEMENT%20FOR%20THE%20SIX%20MONTHS%20ENDED%2030%20JUNE%202026%20AND%20SUPPLEMENTAL%20ANNOUNCEMENT%20ON%20GRANT%20OF%20AWARDS.pdf</w:t>
      </w:r>
    </w:p>
    <w:p>
      <w:pPr>
        <w:pStyle w:val="Normal"/>
        <w:rPr/>
      </w:pPr>
      <w:r>
        <w:rPr/>
        <w:t>- 2025</w:t>
      </w:r>
      <w:r>
        <w:rPr/>
        <w:t>年报</w:t>
      </w:r>
      <w:r>
        <w:rPr/>
        <w:t>2026-04-21</w:t>
      </w:r>
      <w:r>
        <w:rPr/>
        <w:t>：</w:t>
      </w:r>
      <w:r>
        <w:rPr/>
        <w:t>https://popwebsite.paquapp.com/pdf/ea0e1271-ffaa-4072-ba85-c6e852dfddf1-ANNUAL%20REPORT%202025.pdf</w:t>
      </w:r>
    </w:p>
    <w:p>
      <w:pPr>
        <w:pStyle w:val="Normal"/>
        <w:rPr/>
      </w:pPr>
      <w:r>
        <w:rPr/>
        <w:t xml:space="preserve">- </w:t>
      </w:r>
      <w:r>
        <w:rPr/>
        <w:t>汇丰</w:t>
      </w:r>
      <w:r>
        <w:rPr/>
        <w:t>136.5</w:t>
      </w:r>
      <w:r>
        <w:rPr/>
        <w:t>、持有，</w:t>
      </w:r>
      <w:r>
        <w:rPr/>
        <w:t>2026-08-21</w:t>
      </w:r>
      <w:r>
        <w:rPr/>
        <w:t>：</w:t>
      </w:r>
      <w:r>
        <w:rPr/>
        <w:t>https://www.aastocks.com/sc/stocks/analysis/stock-aafn-con/09992/AAFN/NOW.1539885/research-report</w:t>
      </w:r>
    </w:p>
    <w:p>
      <w:pPr>
        <w:pStyle w:val="Normal"/>
        <w:rPr/>
      </w:pPr>
      <w:r>
        <w:rPr/>
        <w:t xml:space="preserve">- </w:t>
      </w:r>
      <w:r>
        <w:rPr/>
        <w:t>美银</w:t>
      </w:r>
      <w:r>
        <w:rPr/>
        <w:t>153</w:t>
      </w:r>
      <w:r>
        <w:rPr/>
        <w:t>、中性，</w:t>
      </w:r>
      <w:r>
        <w:rPr/>
        <w:t>2026-08-21</w:t>
      </w:r>
      <w:r>
        <w:rPr/>
        <w:t>：</w:t>
      </w:r>
      <w:r>
        <w:rPr/>
        <w:t>https://www.aastocks.com/sc/stocks/analysis/stock-aafn-con/09992/AAFN/NOW.1539857/research-report</w:t>
      </w:r>
    </w:p>
    <w:p>
      <w:pPr>
        <w:pStyle w:val="Normal"/>
        <w:rPr/>
      </w:pPr>
      <w:r>
        <w:rPr/>
        <w:t xml:space="preserve">- </w:t>
      </w:r>
      <w:r>
        <w:rPr/>
        <w:t>大摩</w:t>
      </w:r>
      <w:r>
        <w:rPr/>
        <w:t>203</w:t>
      </w:r>
      <w:r>
        <w:rPr/>
        <w:t>、增持，</w:t>
      </w:r>
      <w:r>
        <w:rPr/>
        <w:t>2026-08-21</w:t>
      </w:r>
      <w:r>
        <w:rPr/>
        <w:t>：</w:t>
      </w:r>
      <w:r>
        <w:rPr/>
        <w:t>https://www.aastocks.com/sc/stocks/analysis/stock-aafn-con/09992/AAFN/NOW.1539842/research-report</w:t>
      </w:r>
    </w:p>
    <w:p>
      <w:pPr>
        <w:pStyle w:val="Normal"/>
        <w:rPr/>
      </w:pPr>
      <w:r>
        <w:rPr/>
        <w:t xml:space="preserve">- </w:t>
      </w:r>
      <w:r>
        <w:rPr/>
        <w:t>富瑞</w:t>
      </w:r>
      <w:r>
        <w:rPr/>
        <w:t>146</w:t>
      </w:r>
      <w:r>
        <w:rPr/>
        <w:t>、持有，</w:t>
      </w:r>
      <w:r>
        <w:rPr/>
        <w:t>2026-08-21</w:t>
      </w:r>
      <w:r>
        <w:rPr/>
        <w:t>：</w:t>
      </w:r>
      <w:r>
        <w:rPr/>
        <w:t>https://www.aastocks.com/sc/stocks/analysis/stock-aafn-con/09992/AAFN/NOW.1539829/research-report</w:t>
      </w:r>
    </w:p>
    <w:p>
      <w:pPr>
        <w:pStyle w:val="Normal"/>
        <w:rPr/>
      </w:pPr>
      <w:r>
        <w:rPr/>
        <w:t xml:space="preserve">- </w:t>
      </w:r>
      <w:r>
        <w:rPr/>
        <w:t>摩通</w:t>
      </w:r>
      <w:r>
        <w:rPr/>
        <w:t>120</w:t>
      </w:r>
      <w:r>
        <w:rPr/>
        <w:t>、减持，</w:t>
      </w:r>
      <w:r>
        <w:rPr/>
        <w:t>2026-08-21</w:t>
      </w:r>
      <w:r>
        <w:rPr/>
        <w:t>：</w:t>
      </w:r>
      <w:r>
        <w:rPr/>
        <w:t>https://www.aastocks.com/sc/stocks/analysis/stock-aafn-con/09992/AAFN/NOW.1539806/research-report</w:t>
      </w:r>
    </w:p>
    <w:p>
      <w:pPr>
        <w:pStyle w:val="Normal"/>
        <w:rPr/>
      </w:pPr>
      <w:r>
        <w:rPr/>
        <w:t xml:space="preserve">- </w:t>
      </w:r>
      <w:r>
        <w:rPr/>
        <w:t>行情</w:t>
      </w:r>
      <w:r>
        <w:rPr/>
        <w:t>data/market_snapshot_locked.json/S066</w:t>
      </w:r>
      <w:r>
        <w:rPr/>
        <w:t>；模型</w:t>
      </w:r>
      <w:r>
        <w:rPr/>
        <w:t>data/popmart_model.json</w:t>
      </w:r>
      <w:r>
        <w:rPr/>
        <w:t>。无换手及逐笔不填造；机构原报告与明确期限缺失。字数只计第一至三十四节独立正文，摘要表格标题来源不计，最终统一文档制作另做逐页核验。</w:t>
      </w:r>
      <w:r>
        <w:br w:type="page"/>
      </w:r>
    </w:p>
    <w:p>
      <w:pPr>
        <w:pStyle w:val="Heading1"/>
        <w:rPr/>
      </w:pPr>
      <w:bookmarkStart w:id="4" w:name="__RefHeading___Toc37111_312338234"/>
      <w:bookmarkEnd w:id="4"/>
      <w:r>
        <w:rPr>
          <w:color w:val="000000"/>
        </w:rPr>
        <w:t xml:space="preserve">三生制药 </w:t>
      </w:r>
      <w:r>
        <w:rPr>
          <w:color w:val="000000"/>
        </w:rPr>
        <w:t>01530 HK</w:t>
      </w:r>
    </w:p>
    <w:p>
      <w:pPr>
        <w:pStyle w:val="Normal"/>
        <w:rPr/>
      </w:pPr>
      <w:r>
        <w:rPr/>
        <w:t xml:space="preserve">01530.HK </w:t>
      </w:r>
      <w:r>
        <w:rPr/>
        <w:t xml:space="preserve">现价 </w:t>
      </w:r>
      <w:r>
        <w:rPr/>
        <w:t>15.07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20.49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+35.99%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+35.99%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+67.96%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+108.82%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+114.46%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37.97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+151.93%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+162.88%</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-35.66%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19.54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+29.66%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42.81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+184.05%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22.90HKD</w:t>
      </w:r>
      <w:r>
        <w:rPr/>
        <w:t>，期望股价回报</w:t>
      </w:r>
      <w:r>
        <w:rPr/>
        <w:t>+51.93%</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10.17</w:t>
              <w:br/>
              <w:t>-32.50%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20.49</w:t>
              <w:br/>
              <w:t>+35.99%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44.47</w:t>
              <w:br/>
              <w:t>+195.10%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10.18</w:t>
              <w:br/>
              <w:t>-32.47%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25.06</w:t>
              <w:br/>
              <w:t>+66.30%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54.35</w:t>
              <w:br/>
              <w:t>+260.68%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9.85</w:t>
              <w:br/>
              <w:t>-34.65%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31.47</w:t>
              <w:br/>
              <w:t>+108.82%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72.10</w:t>
              <w:br/>
              <w:t>+378.44%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+28.96%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9.47</w:t>
              <w:br/>
              <w:t>-37.14%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37.97</w:t>
              <w:br/>
              <w:t>+151.93%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90.43</w:t>
              <w:br/>
              <w:t>+500.05%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+21.33%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一年日期修订：全部未来现金流</w:t>
      </w:r>
      <w:r>
        <w:rPr/>
        <w:t>ACT</w:t>
      </w:r>
      <w:r>
        <w:rPr/>
        <w:t>折现、目标年比例及目标现金</w:t>
      </w:r>
      <w:r>
        <w:rPr/>
        <w:t>/</w:t>
      </w:r>
      <w:r>
        <w:rPr/>
        <w:t>股数按实际日重算；经营假设不变。下文保留的额外压力测试按原假设日期运行，属于历史模型敏感性；核心三情景以上表及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+29.19%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+35.99%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+42.79%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+59.56%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+67.96%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+76.36%</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+103.74%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+114.46%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+125.18%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+149.74%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+162.88%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+176.03%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01530.HK</w:t>
      </w:r>
      <w:r>
        <w:rPr/>
        <w:t>，</w:t>
      </w:r>
      <w:r>
        <w:rPr/>
        <w:t>15.07</w:t>
      </w:r>
      <w:r>
        <w:rPr/>
        <w:t>港元；发行人</w:t>
      </w:r>
      <w:r>
        <w:rPr/>
        <w:t>I023</w:t>
      </w:r>
      <w:r>
        <w:rPr/>
        <w:t>，证券</w:t>
      </w:r>
      <w:r>
        <w:rPr/>
        <w:t>S028</w:t>
      </w:r>
      <w:r>
        <w:rPr/>
        <w:t>。财务主体为三生制药合并集团，币种人民币；价格和现金股息以港元表达。数据版本</w:t>
      </w:r>
      <w:r>
        <w:rPr/>
        <w:t>3sbio-v1-core-plus-707-rnPV</w:t>
      </w:r>
      <w:r>
        <w:rPr/>
        <w:t>，来源截止同日。</w:t>
      </w:r>
      <w:r>
        <w:rPr/>
        <w:t>10</w:t>
      </w:r>
      <w:r>
        <w:rPr/>
        <w:t>月</w:t>
      </w:r>
      <w:r>
        <w:rPr/>
        <w:t>9</w:t>
      </w:r>
      <w:r>
        <w:rPr/>
        <w:t>日</w:t>
      </w:r>
      <w:r>
        <w:rPr/>
        <w:t>18:39</w:t>
      </w:r>
      <w:r>
        <w:rPr/>
        <w:t>发布的购回披露为收盘后资料，单独标明。未来名义目标日期遇休市取此前交易日，远期市场日历仍待核验。本文正文与模型分别保存，任何价格输入变动均要求刷新全部情景。</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232"/>
        <w:gridCol w:w="1232"/>
        <w:gridCol w:w="1232"/>
        <w:gridCol w:w="1232"/>
        <w:gridCol w:w="1232"/>
        <w:gridCol w:w="1232"/>
        <w:gridCol w:w="1232"/>
        <w:gridCol w:w="1232"/>
      </w:tblGrid>
      <w:tr>
        <w:trPr>
          <w:tblHeader w:val="true"/>
          <w:cantSplit/>
        </w:trPr>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基准累计现金息</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独立情景</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19.54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42.81</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29.66%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29.66%</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20.49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44.47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35.99%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35.99%</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10.18</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54.35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66.30%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67.96%</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9.85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31.47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72.10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108.82%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0.85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114.46%</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9.47</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37.97</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90.43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151.93%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162.88%</w:t>
            </w:r>
          </w:p>
        </w:tc>
      </w:tr>
    </w:tbl>
    <w:p>
      <w:pPr>
        <w:pStyle w:val="Normal"/>
        <w:rPr/>
      </w:pPr>
      <w:r>
        <w:rPr/>
      </w:r>
    </w:p>
    <w:p>
      <w:pPr>
        <w:pStyle w:val="Normal"/>
        <w:rPr/>
      </w:pPr>
      <w:r>
        <w:rPr/>
        <w:t>三年、五年基准含息年化回报分别</w:t>
      </w:r>
      <w:r>
        <w:rPr/>
        <w:t>28.96%</w:t>
      </w:r>
      <w:r>
        <w:rPr/>
        <w:t>、</w:t>
      </w:r>
      <w:r>
        <w:rPr/>
        <w:t>21.33%</w:t>
      </w:r>
      <w:r>
        <w:rPr/>
        <w:t>。年底</w:t>
      </w:r>
      <w:r>
        <w:rPr/>
        <w:t>25%/50%/25%</w:t>
      </w:r>
      <w:r>
        <w:rPr/>
        <w:t>判断权重的期望价</w:t>
      </w:r>
      <w:r>
        <w:rPr/>
        <w:t>22.90</w:t>
      </w:r>
      <w:r>
        <w:rPr/>
        <w:t>港元，期望股价回报</w:t>
      </w:r>
      <w:r>
        <w:rPr/>
        <w:t>51.93%</w:t>
      </w:r>
      <w:r>
        <w:rPr/>
        <w:t>；乐观情景权重大幅影响均值，不能把该数当作最可能收盘价。上述价格按基准合并经营范围条件计算，蔓迪若完成全部持股实物分派，必须同时修订三生除权价及收到证券的价值；当前未获确定实施日、分派数量和市场价格，未填造实物收益。证据可信度中等，产品收入和报表高，长期预测、成功率及集团现金归母比例中低。</w:t>
      </w:r>
    </w:p>
    <w:p>
      <w:pPr>
        <w:pStyle w:val="Heading2"/>
        <w:rPr/>
      </w:pPr>
      <w:r>
        <w:rPr>
          <w:color w:val="000000"/>
        </w:rPr>
        <w:t>一 推荐结论与成立条件</w:t>
      </w:r>
    </w:p>
    <w:p>
      <w:pPr>
        <w:pStyle w:val="Normal"/>
        <w:rPr/>
      </w:pPr>
      <w:r>
        <w:rPr/>
        <w:t>三生的吸引力主要来自一年至三年的产品恢复和已经签约的全球研发权益。半年仅给</w:t>
      </w:r>
      <w:r>
        <w:rPr/>
        <w:t>59.7</w:t>
      </w:r>
      <w:r>
        <w:rPr/>
        <w:t>分，原因是下降趋势没有被现金和回购扭转，持续产品销售承压也尚未得到新一轮财报验证。进取型投资者可以把它列为价格修复和临床进展观察对象，但不能仅凭行情软件约四倍市盈率认定为低风险价值股。较长期分数提高依赖新产品真正贡献现金、海外项目具有可比较临床证据以及资本安排保护普通股东利益，不以新闻热度加分。</w:t>
      </w:r>
    </w:p>
    <w:p>
      <w:pPr>
        <w:pStyle w:val="Normal"/>
        <w:rPr/>
      </w:pPr>
      <w:r>
        <w:rPr/>
        <w:t>本报告将核心产品经营、现金资产、</w:t>
      </w:r>
      <w:r>
        <w:rPr/>
        <w:t>707</w:t>
      </w:r>
      <w:r>
        <w:rPr/>
        <w:t>海外权益分别估值。中报调整经营归母利润</w:t>
      </w:r>
      <w:r>
        <w:rPr/>
        <w:t>14.363</w:t>
      </w:r>
      <w:r>
        <w:rPr/>
        <w:t>亿元仍包括授权里程碑，不能简单翻倍得到正常经营盈利。</w:t>
      </w:r>
      <w:r>
        <w:rPr/>
        <w:t>2027</w:t>
      </w:r>
      <w:r>
        <w:rPr/>
        <w:t>基准核心每股盈利</w:t>
      </w:r>
      <w:r>
        <w:rPr/>
        <w:t>0.70</w:t>
      </w:r>
      <w:r>
        <w:rPr/>
        <w:t>元、产品和</w:t>
      </w:r>
      <w:r>
        <w:rPr/>
        <w:t>CDMO</w:t>
      </w:r>
      <w:r>
        <w:rPr/>
        <w:t>收入</w:t>
      </w:r>
      <w:r>
        <w:rPr/>
        <w:t>82</w:t>
      </w:r>
      <w:r>
        <w:rPr/>
        <w:t>亿元，是独立研究假设，已经排除海外</w:t>
      </w:r>
      <w:r>
        <w:rPr/>
        <w:t>707</w:t>
      </w:r>
      <w:r>
        <w:rPr/>
        <w:t>特许收入以及国内</w:t>
      </w:r>
      <w:r>
        <w:rPr/>
        <w:t>707</w:t>
      </w:r>
      <w:r>
        <w:rPr/>
        <w:t>直接销售，避免与后面的权益模型重算。若成熟品种继续下滑、新药准入不带来销量、研发费用超过预期，该核心盈利必须下修，现金再多也不能替代业务恢复。</w:t>
      </w:r>
    </w:p>
    <w:p>
      <w:pPr>
        <w:pStyle w:val="Normal"/>
        <w:rPr/>
      </w:pPr>
      <w:r>
        <w:rPr/>
        <w:t>三生与纯亏损创新药的差异在于已有多类获批药物、商业网络及生产能力；与完全成熟药企的差异在于估值的上方尾部由全球肿瘤资产决定。前一种基础有助于承担研发，后一种期待使股价对临床结果、海外政策和伙伴执行异常敏感。两部分应分开审查：支持治疗竞争影响核心现金流，全球双抗成功影响未来分成。任何一部分失效都能降低价格，但其风险触发、时间长度和资本需求并不相同。</w:t>
      </w:r>
    </w:p>
    <w:p>
      <w:pPr>
        <w:pStyle w:val="Normal"/>
        <w:rPr/>
      </w:pPr>
      <w:r>
        <w:rPr/>
        <w:t>推荐成立至少要求三项可观察变化。首先，剔除授权后的产品销售下降在下一个完整报告期收窄，并说明价格与销量各自变化；其次，新比澳、益赛拓及</w:t>
      </w:r>
      <w:r>
        <w:rPr/>
        <w:t>613</w:t>
      </w:r>
      <w:r>
        <w:rPr/>
        <w:t>等新品种的注册、准入与真实销售进度支持费用投入；再次，辉瑞</w:t>
      </w:r>
      <w:r>
        <w:rPr/>
        <w:t>707</w:t>
      </w:r>
      <w:r>
        <w:rPr/>
        <w:t>项目的试验设计、入组和后续随机结果没有出现重大恶化。价格方面需观察</w:t>
      </w:r>
      <w:r>
        <w:rPr/>
        <w:t>15.98</w:t>
      </w:r>
      <w:r>
        <w:rPr/>
        <w:t>至</w:t>
      </w:r>
      <w:r>
        <w:rPr/>
        <w:t>16.65</w:t>
      </w:r>
      <w:r>
        <w:rPr/>
        <w:t>附近均线能否重新获得支持，突破需配合持续成交和相对强弱改善，单日反弹不能代替这些证据。</w:t>
      </w:r>
    </w:p>
    <w:p>
      <w:pPr>
        <w:pStyle w:val="Heading2"/>
        <w:rPr/>
      </w:pPr>
      <w:r>
        <w:rPr>
          <w:color w:val="000000"/>
        </w:rPr>
        <w:t>二 收入结构与竞争优势的边界</w:t>
      </w:r>
    </w:p>
    <w:p>
      <w:pPr>
        <w:pStyle w:val="Normal"/>
        <w:rPr/>
      </w:pPr>
      <w:r>
        <w:rPr/>
        <w:t>三生的商业基础覆盖肾病、血液支持治疗、自身免疫及消费者医药。特比澳为重组人血小板生成素产品，益比奥和赛博尔为促红素系列，益赛普及赛普汀提供风湿免疫和肿瘤治疗收入，蔓迪拥有米诺地尔品牌和消费渠道。集团报告称产品销往</w:t>
      </w:r>
      <w:r>
        <w:rPr/>
        <w:t>39</w:t>
      </w:r>
      <w:r>
        <w:rPr/>
        <w:t>个海外市场，全国销售和分销网络面向近一万家医院及医疗机构。此类网络是新品种进入临床的基础，但覆盖数量不等同有效处方、支付能力和每家机构的利润贡献，不能直接转换成市场份额。</w:t>
      </w:r>
    </w:p>
    <w:p>
      <w:pPr>
        <w:pStyle w:val="Normal"/>
        <w:rPr/>
      </w:pPr>
      <w:r>
        <w:rPr/>
        <w:t>2026</w:t>
      </w:r>
      <w:r>
        <w:rPr/>
        <w:t>上半年收入</w:t>
      </w:r>
      <w:r>
        <w:rPr/>
        <w:t>45.25985</w:t>
      </w:r>
      <w:r>
        <w:rPr/>
        <w:t>亿元，由产品</w:t>
      </w:r>
      <w:r>
        <w:rPr/>
        <w:t>34.43021</w:t>
      </w:r>
      <w:r>
        <w:rPr/>
        <w:t>亿元、授权</w:t>
      </w:r>
      <w:r>
        <w:rPr/>
        <w:t>8.51584</w:t>
      </w:r>
      <w:r>
        <w:rPr/>
        <w:t>亿元和</w:t>
      </w:r>
      <w:r>
        <w:rPr/>
        <w:t>CDMO2.31380</w:t>
      </w:r>
      <w:r>
        <w:rPr/>
        <w:t>亿元组成。产品占约</w:t>
      </w:r>
      <w:r>
        <w:rPr/>
        <w:t>76.07%</w:t>
      </w:r>
      <w:r>
        <w:rPr/>
        <w:t>，授权约</w:t>
      </w:r>
      <w:r>
        <w:rPr/>
        <w:t>18.82%</w:t>
      </w:r>
      <w:r>
        <w:rPr/>
        <w:t>，</w:t>
      </w:r>
      <w:r>
        <w:rPr/>
        <w:t>CDMO</w:t>
      </w:r>
      <w:r>
        <w:rPr/>
        <w:t>约</w:t>
      </w:r>
      <w:r>
        <w:rPr/>
        <w:t>5.11%</w:t>
      </w:r>
      <w:r>
        <w:rPr/>
        <w:t>。把三项都称为生物药的同质增长会掩盖重要变化：前一项同比下降</w:t>
      </w:r>
      <w:r>
        <w:rPr/>
        <w:t>19.3%</w:t>
      </w:r>
      <w:r>
        <w:rPr/>
        <w:t>，授权上一年同期为零，</w:t>
      </w:r>
      <w:r>
        <w:rPr/>
        <w:t>CDMO</w:t>
      </w:r>
      <w:r>
        <w:rPr/>
        <w:t>同比增长</w:t>
      </w:r>
      <w:r>
        <w:rPr/>
        <w:t>160.9%</w:t>
      </w:r>
      <w:r>
        <w:rPr/>
        <w:t>。剔除授权后的收入约</w:t>
      </w:r>
      <w:r>
        <w:rPr/>
        <w:t>36.74401</w:t>
      </w:r>
      <w:r>
        <w:rPr/>
        <w:t>亿元，相对上年</w:t>
      </w:r>
      <w:r>
        <w:rPr/>
        <w:t>43.55485</w:t>
      </w:r>
      <w:r>
        <w:rPr/>
        <w:t>亿元下降约</w:t>
      </w:r>
      <w:r>
        <w:rPr/>
        <w:t>15.6%</w:t>
      </w:r>
      <w:r>
        <w:rPr/>
        <w:t>，这更接近现阶段经常性业务趋势，仍需考虑</w:t>
      </w:r>
      <w:r>
        <w:rPr/>
        <w:t>CDMO</w:t>
      </w:r>
      <w:r>
        <w:rPr/>
        <w:t>订单波动。</w:t>
      </w:r>
    </w:p>
    <w:p>
      <w:pPr>
        <w:pStyle w:val="Normal"/>
        <w:rPr/>
      </w:pPr>
      <w:r>
        <w:rPr/>
        <w:t>授权与产品销售的盈利机制不同。药品销量来自医生采用、可支付患者、治疗周期和净价格，里程碑来自合同规定的研发或监管事件，可能一次性确认。授权可以降低融资风险并验证伙伴愿意投入，却不能证明终端病人已经受益，更不能证明每半年稳定收到同额款项。公司称收入增长</w:t>
      </w:r>
      <w:r>
        <w:rPr/>
        <w:t>3.9%</w:t>
      </w:r>
      <w:r>
        <w:rPr/>
        <w:t>是真实报表事实，但作为持续增长论据时必须附收入分解。本文没有用总收入增长给经营维度高分，以防高利润年份造成错觉。</w:t>
      </w:r>
    </w:p>
    <w:p>
      <w:pPr>
        <w:pStyle w:val="Normal"/>
        <w:rPr/>
      </w:pPr>
      <w:r>
        <w:rPr/>
        <w:t>成熟产品形成的竞争优势主要在工艺、医疗使用经验、品牌和渠道，而不是所有产品都拥有不可替代专利。生物制剂生产对一致性、批次控制、免疫原性和供应稳定要求较高；长期推广积累医生经验也提高转换成本。但医保谈判、集中采购及新机制药物会改变定价和用药选择，即使品牌领先也可能出现量增价跌。生产和渠道只能帮助公司在价格下降后维持竞争，不能自动保住历史毛利和净利润率。</w:t>
      </w:r>
    </w:p>
    <w:p>
      <w:pPr>
        <w:pStyle w:val="Normal"/>
        <w:rPr/>
      </w:pPr>
      <w:r>
        <w:rPr/>
        <w:t>投资研究需要区分集团、子公司和普通股东。三生国健及蔓迪有自身少数股东、激励安排和资本需求，合并收入及现金不等于全部可以分给三生普通股。</w:t>
      </w:r>
      <w:r>
        <w:rPr/>
        <w:t>2026</w:t>
      </w:r>
      <w:r>
        <w:rPr/>
        <w:t>六月末少数股东权益</w:t>
      </w:r>
      <w:r>
        <w:rPr/>
        <w:t>32.45413</w:t>
      </w:r>
      <w:r>
        <w:rPr/>
        <w:t>亿元，少数股东半年利润</w:t>
      </w:r>
      <w:r>
        <w:rPr/>
        <w:t>0.63471</w:t>
      </w:r>
      <w:r>
        <w:rPr/>
        <w:t>亿元，说明归属差异具有经济意义。对子公司单独估值再加集团合并利润会重复计算，本文采用归母核心盈利并在现金和海外权益上公开归属折扣；这些比例仍是待进一步穿透核验的研究输入。</w:t>
      </w:r>
    </w:p>
    <w:p>
      <w:pPr>
        <w:pStyle w:val="Heading2"/>
        <w:rPr/>
      </w:pPr>
      <w:r>
        <w:rPr>
          <w:color w:val="000000"/>
        </w:rPr>
        <w:t>三 支持治疗产品 需求稳定并不意味着价格稳定</w:t>
      </w:r>
    </w:p>
    <w:p>
      <w:pPr>
        <w:pStyle w:val="Normal"/>
        <w:rPr/>
      </w:pPr>
      <w:r>
        <w:rPr/>
        <w:t>特比澳的四种获批适应症包括化疗相关血小板减少、原发免疫性血小板减少、儿童相应疾病及慢性肝病相关血小板减少，最后一项于</w:t>
      </w:r>
      <w:r>
        <w:rPr/>
        <w:t>2025</w:t>
      </w:r>
      <w:r>
        <w:rPr/>
        <w:t>年十二月获批。公司报告其已进入多项指南及专家共识。应用基础使需求与肿瘤治疗、血液科和住院病例相关，而非单纯消费周期。对患者的意义在于降低治疗被血小板问题中断的可能，但收入预测仍应依据真实适应症患者、医生选择和医保支付，而不是全部癌症发病人数。</w:t>
      </w:r>
    </w:p>
    <w:p>
      <w:pPr>
        <w:pStyle w:val="Normal"/>
        <w:rPr/>
      </w:pPr>
      <w:r>
        <w:rPr/>
        <w:t>特比澳与口服血小板生成素受体激动剂及其他支持治疗方式具有不同使用场景。住院、快速恢复和患者病情会影响给药选择；口服便利可能改变长期维持市场；相关指南、血栓风险、肝功能及治疗目标需要结合患者管理。集团强调重组蛋白的既有地位，但本文没有把企业定性宣传当作所有对照方案疗效优越的结论。竞争评价应比较适应症证据、治疗时长和总费用，药物机制不同不意味着商业市场完全没有重叠。</w:t>
      </w:r>
    </w:p>
    <w:p>
      <w:pPr>
        <w:pStyle w:val="Normal"/>
        <w:rPr/>
      </w:pPr>
      <w:r>
        <w:rPr/>
        <w:t>2026</w:t>
      </w:r>
      <w:r>
        <w:rPr/>
        <w:t>上半年产品收入下降，报告将其归因于医保政策、集采和增值税调整，未提供足以将三项因素完整拆成数量与价格的产品级明细。因此模型不能假定下跌仅为税率变化，次年自动全部恢复。税率变化可能影响含税净价或渠道安排，集采影响采购价格及份额，医保管理影响处方和报销，各有持续性。后续如果销量明显增长而收入仍低，利润率恢复速度可能弱于收入；若销量也下降，则需更严格下调核心业务假设。</w:t>
      </w:r>
    </w:p>
    <w:p>
      <w:pPr>
        <w:pStyle w:val="Normal"/>
        <w:rPr/>
      </w:pPr>
      <w:r>
        <w:rPr/>
        <w:t>公司已在</w:t>
      </w:r>
      <w:r>
        <w:rPr/>
        <w:t>2026</w:t>
      </w:r>
      <w:r>
        <w:rPr/>
        <w:t>年七月获得美国</w:t>
      </w:r>
      <w:r>
        <w:rPr/>
        <w:t>FDA</w:t>
      </w:r>
      <w:r>
        <w:rPr/>
        <w:t>批准开展特比澳慢性肝病相关海外桥接临床，报告称这是首个海外注册临床试验，目前准备启动。该事件可以扩展长期选择权，不能计为已经取得美国上市批准。桥接能否满足所需证据、适应症监管路径、招募、当地治疗方案和药物经济学都仍待观察。现模型没有把海外特比澳按全球人口乘现有国内价格估值，基准核心增长主要由已知经营与新品种构成，未来新增海外贡献需证据支持。</w:t>
      </w:r>
    </w:p>
    <w:p>
      <w:pPr>
        <w:pStyle w:val="Normal"/>
        <w:rPr/>
      </w:pPr>
      <w:r>
        <w:rPr/>
        <w:t>促红素系列面对慢性肾病和透析长期需求。益比奥获批适应症还包括化疗相关贫血及围手术期红细胞动员，具有渠道和使用经验，但短效给药频率、新机制口服药及长效蛋白会改变竞争。肾病发病和透析扩容是需求基础，医保预算和患者可及性决定付费市场。估算市场不能只用潜在贫血人口，应逐层扣除诊断、治疗资格、临床目标、支付和竞争分流，再按真实剂量及疗程计算净销售。</w:t>
      </w:r>
    </w:p>
    <w:p>
      <w:pPr>
        <w:pStyle w:val="Normal"/>
        <w:rPr/>
      </w:pPr>
      <w:r>
        <w:rPr/>
        <w:t>新比澳罗赛促红素</w:t>
      </w:r>
      <w:r>
        <w:rPr/>
        <w:t>α</w:t>
      </w:r>
      <w:r>
        <w:rPr/>
        <w:t>注射液获批用于接受促红细胞生成素治疗的成人透析患者，给药间隔两周一次，已进入</w:t>
      </w:r>
      <w:r>
        <w:rPr/>
        <w:t>2026</w:t>
      </w:r>
      <w:r>
        <w:rPr/>
        <w:t>医保目录调整初步形式审查名单。减少给药频次具有便利价值，也可能节约医护与患者时间，但便利性不等于所有患者愿意接受更高药费。是否成功放量取决于准入、与已有方案的转换、稳定控制目标、安全性及配送。肿瘤贫血二期完成入组仍是临床推进，不作为已获批收入；新增适应症应单独计算成功与支付。</w:t>
      </w:r>
    </w:p>
    <w:p>
      <w:pPr>
        <w:pStyle w:val="Normal"/>
        <w:rPr/>
      </w:pPr>
      <w:r>
        <w:rPr/>
        <w:t>新比澳也可能替代集团旧促红素，故新增销售不能全部当增量。若每位老患者从旧品种转向新品种，集团收入变化来自单疗程净价、使用频率与利润差异；如果新产品赢取其他厂家患者，才带来更纯粹份额增长。模型基准</w:t>
      </w:r>
      <w:r>
        <w:rPr/>
        <w:t>2027</w:t>
      </w:r>
      <w:r>
        <w:rPr/>
        <w:t>至</w:t>
      </w:r>
      <w:r>
        <w:rPr/>
        <w:t>2029</w:t>
      </w:r>
      <w:r>
        <w:rPr/>
        <w:t>产品恢复包含这一自我替代折扣，未将每个新品种峰值与老产品永续简单相加。需要观察销售结构而非只关注新品种绝对增速，小基数的高增长未必改变集团利润。</w:t>
      </w:r>
    </w:p>
    <w:p>
      <w:pPr>
        <w:pStyle w:val="Heading2"/>
        <w:rPr/>
      </w:pPr>
      <w:r>
        <w:rPr>
          <w:color w:val="000000"/>
        </w:rPr>
        <w:t>四 自身免疫 肿瘤商业化与消费者业务</w:t>
      </w:r>
    </w:p>
    <w:p>
      <w:pPr>
        <w:pStyle w:val="Normal"/>
        <w:rPr/>
      </w:pPr>
      <w:r>
        <w:rPr/>
        <w:t>益赛普是较早上市的</w:t>
      </w:r>
      <w:r>
        <w:rPr/>
        <w:t>TNFα</w:t>
      </w:r>
      <w:r>
        <w:rPr/>
        <w:t>抑制剂产品，覆盖类风湿性关节炎、强直性脊柱炎及银屑病，预充剂型改善给药便利。风湿免疫为慢病市场，治疗持续性有助形成重复需求，但抗体、生物类似药、口服小分子及不同炎症靶点同时竞争。医生选择综合疗效、安全、伴随疾病、患者依从性及净费用，产品长期存在不等于定价不变。三四线城市覆盖能扩展患者，也会增加教育与分销成本，增长应验证单位销售经济性。</w:t>
      </w:r>
    </w:p>
    <w:p>
      <w:pPr>
        <w:pStyle w:val="Normal"/>
        <w:rPr/>
      </w:pPr>
      <w:r>
        <w:rPr/>
        <w:t>益赛拓安沐奇塔注射液为抗</w:t>
      </w:r>
      <w:r>
        <w:rPr/>
        <w:t>IL17A</w:t>
      </w:r>
      <w:r>
        <w:rPr/>
        <w:t>单抗，</w:t>
      </w:r>
      <w:r>
        <w:rPr/>
        <w:t>2026</w:t>
      </w:r>
      <w:r>
        <w:rPr/>
        <w:t>年二月获批中重度斑块状银屑病，处于医保形式审查名单。银屑病病程长期、治疗需求明显，竞争者同时追求高皮损清除、耐受、给药便利和可支付性。报告定性提出疗效和安全优势，但公开资料不足以支持对所有竞品直接排名。本文只把批准和临床阶段当较高确定性的经营事实，商业价值仍按医生采用、真实续用与医保价格折扣，没有把批准日视作峰值销售日。</w:t>
      </w:r>
    </w:p>
    <w:p>
      <w:pPr>
        <w:pStyle w:val="Normal"/>
        <w:rPr/>
      </w:pPr>
      <w:r>
        <w:rPr/>
        <w:t>608</w:t>
      </w:r>
      <w:r>
        <w:rPr/>
        <w:t>的强直性脊柱炎三期已完成入组，非放射学中轴型脊柱炎二期积极、相应三期完成首例入组。相同分子不同疾病不能共享完全相同成功率，因为终点、患者异质性、治疗标准和竞争均可能不同。适应症扩展能够利用既有生产与销售，降低边际投入，但扩大试验与支付谈判也消耗资源。基准经营仅逐步增加可支持的新品种贡献，不把所有适应症都按同时批准和相同高毛利假设处理。</w:t>
      </w:r>
    </w:p>
    <w:p>
      <w:pPr>
        <w:pStyle w:val="Normal"/>
        <w:rPr/>
      </w:pPr>
      <w:r>
        <w:rPr/>
        <w:t>613</w:t>
      </w:r>
      <w:r>
        <w:rPr/>
        <w:t>抗</w:t>
      </w:r>
      <w:r>
        <w:rPr/>
        <w:t>IL1β</w:t>
      </w:r>
      <w:r>
        <w:rPr/>
        <w:t>单抗治疗急性痛风性关节炎于</w:t>
      </w:r>
      <w:r>
        <w:rPr/>
        <w:t>2026</w:t>
      </w:r>
      <w:r>
        <w:rPr/>
        <w:t>年八月成功获批，痛风间歇期相关二期仍在进行。新机制可以为不适合某些传统方案的患者提供选择，商业前景却取决于发作频率、医生定位和相对治疗费用。短期炎症症状治疗与长期降低尿酸的根本管理不是同一市场，不能把所有高尿酸人群算作年复一年付费用户。临床定位、使用频率和渠道是收入模型需要新增核验的三项信息，当前不给未经披露的峰值销售作事实标签。</w:t>
      </w:r>
    </w:p>
    <w:p>
      <w:pPr>
        <w:pStyle w:val="Normal"/>
        <w:rPr/>
      </w:pPr>
      <w:r>
        <w:rPr/>
        <w:t>611</w:t>
      </w:r>
      <w:r>
        <w:rPr/>
        <w:t>抗</w:t>
      </w:r>
      <w:r>
        <w:rPr/>
        <w:t>IL4Rα</w:t>
      </w:r>
      <w:r>
        <w:rPr/>
        <w:t>单抗成人特应性皮炎</w:t>
      </w:r>
      <w:r>
        <w:rPr/>
        <w:t>NDA</w:t>
      </w:r>
      <w:r>
        <w:rPr/>
        <w:t>于</w:t>
      </w:r>
      <w:r>
        <w:rPr/>
        <w:t>2026</w:t>
      </w:r>
      <w:r>
        <w:rPr/>
        <w:t>二月受理，鼻息肉三期主要终点已达到，慢阻肺三期进行，青少年特应性皮炎三期已完成入组，儿童研究启动中。该类分子同时覆盖多个二型炎症疾病，为平台商业化提供可能；每个适应症的患者规模、医保和疗程差异很大。已达主要终点的描述需要完整试验人群、效应幅度及安全性验证，目前没有造数值或假定与全球头部产品达到等效商业地位。</w:t>
      </w:r>
    </w:p>
    <w:p>
      <w:pPr>
        <w:pStyle w:val="Normal"/>
        <w:rPr/>
      </w:pPr>
      <w:r>
        <w:rPr/>
        <w:t>610</w:t>
      </w:r>
      <w:r>
        <w:rPr/>
        <w:t>抗</w:t>
      </w:r>
      <w:r>
        <w:rPr/>
        <w:t>IL5</w:t>
      </w:r>
      <w:r>
        <w:rPr/>
        <w:t>单抗成人重度嗜酸性粒细胞哮喘三期已完成入组，青少年试验仍入组。精准患者识别和生物标志物会限制实际可用市场，同时也可能增加药物针对性和治疗价值。严重哮喘管理还需考虑吸入治疗、依从性及其他生物制剂，单靶点成功并不自然使所有哮喘患者转换。</w:t>
      </w:r>
      <w:r>
        <w:rPr/>
        <w:t>601A</w:t>
      </w:r>
      <w:r>
        <w:rPr/>
        <w:t>抗</w:t>
      </w:r>
      <w:r>
        <w:rPr/>
        <w:t>VEGF</w:t>
      </w:r>
      <w:r>
        <w:rPr/>
        <w:t>眼科产品用于视网膜分支静脉阻塞</w:t>
      </w:r>
      <w:r>
        <w:rPr/>
        <w:t>NDA</w:t>
      </w:r>
      <w:r>
        <w:rPr/>
        <w:t>在</w:t>
      </w:r>
      <w:r>
        <w:rPr/>
        <w:t>2025</w:t>
      </w:r>
      <w:r>
        <w:rPr/>
        <w:t>年十月受理，眼内给药市场又有独立的医师采用、给药间隔及供应要求，应单独看待。</w:t>
      </w:r>
    </w:p>
    <w:p>
      <w:pPr>
        <w:pStyle w:val="Normal"/>
        <w:rPr/>
      </w:pPr>
      <w:r>
        <w:rPr/>
        <w:t>赛普汀伊尼妥单抗为</w:t>
      </w:r>
      <w:r>
        <w:rPr/>
        <w:t>HER2</w:t>
      </w:r>
      <w:r>
        <w:rPr/>
        <w:t>治疗产品，已进入医保及相关指南，但全球与本土</w:t>
      </w:r>
      <w:r>
        <w:rPr/>
        <w:t>HER2</w:t>
      </w:r>
      <w:r>
        <w:rPr/>
        <w:t>药物持续迭代。抗体、双抗和抗体偶联药物的适应症及治疗线次不同，对原有治疗既能配合也会替代。不能仅因仍在指南就假设销量永久稳定，也不能认为新药出现就使旧品种立即归零。对成熟肿瘤产品更合理的判断是逐年净价、治疗线次迁移和组合使用，模型将其纳入正常经营整体竞争压力，未额外赋高创新溢价。</w:t>
      </w:r>
    </w:p>
    <w:p>
      <w:pPr>
        <w:pStyle w:val="Normal"/>
        <w:rPr/>
      </w:pPr>
      <w:r>
        <w:rPr/>
        <w:t>蔓迪米诺地尔业务拥有品牌、泡沫剂型和线上运营能力，收入受消费者教育、复购、渠道推广和真实使用体验影响。脱发需求具有一定持续性，但消费者可选择其他品牌，营销投入和平台流量成本直接影响利润。公司称泡沫为国内唯一获批的相应剂型，这项事实具有阶段性而非永久独占含义。长期经营应看消费者留存、疗程坚持和渠道效率，不能把社交平台关注度直接换算销量，也不应以未经验证的消费者人数填估值。</w:t>
      </w:r>
    </w:p>
    <w:p>
      <w:pPr>
        <w:pStyle w:val="Normal"/>
        <w:rPr/>
      </w:pPr>
      <w:r>
        <w:rPr/>
        <w:t>蔓迪分拆是本证券价格模型的重要边界。</w:t>
      </w:r>
      <w:r>
        <w:rPr/>
        <w:t>2026</w:t>
      </w:r>
      <w:r>
        <w:rPr/>
        <w:t>年三月公告拟将全部持有蔓迪股份在上市前即时按记录日持股比例实物分给合资格股东，条件包括股东批准及分拆、发售上市成为无条件；四月股东批准不代表已经完成上市。已读取截止日公告未取得最终分派股数、比例和记录日。本模型仍按合并范围估值，只有明确维持该范围时才可把目标直接理解为</w:t>
      </w:r>
      <w:r>
        <w:rPr/>
        <w:t>01530</w:t>
      </w:r>
      <w:r>
        <w:rPr/>
        <w:t>名义价格；若分派落实，必须从母公司价值扣除并对收到证券单独计价。</w:t>
      </w:r>
    </w:p>
    <w:p>
      <w:pPr>
        <w:pStyle w:val="Normal"/>
        <w:rPr/>
      </w:pPr>
      <w:r>
        <w:rPr/>
        <w:t>分拆并不是凭空增加现金。股东收到子公司股票时，母公司权益价值原则上会减少相应资产；市场可以因透明度、融资和治理改善而改变估值倍数，但那属于额外判断，不能机械把子公司价值又加到未除权母公司目标。投资者还需考察分派资格、港股通账户处理、司法辖区限制及收到股票的交易条件，公开信息缺失时不造现金等价收益。本文现金股息回报未含这项未确定实物资产，实际发生必须刷新收益表。</w:t>
      </w:r>
    </w:p>
    <w:p>
      <w:pPr>
        <w:pStyle w:val="Heading2"/>
        <w:rPr/>
      </w:pPr>
      <w:r>
        <w:rPr>
          <w:color w:val="000000"/>
        </w:rPr>
        <w:t xml:space="preserve">五 </w:t>
      </w:r>
      <w:r>
        <w:rPr>
          <w:color w:val="000000"/>
        </w:rPr>
        <w:t>707</w:t>
      </w:r>
      <w:r>
        <w:rPr>
          <w:color w:val="000000"/>
        </w:rPr>
        <w:t>全球合作 合同验证 临床风险与估值分拆</w:t>
      </w:r>
    </w:p>
    <w:p>
      <w:pPr>
        <w:pStyle w:val="Normal"/>
        <w:rPr/>
      </w:pPr>
      <w:r>
        <w:rPr/>
        <w:t>707</w:t>
      </w:r>
      <w:r>
        <w:rPr/>
        <w:t>为</w:t>
      </w:r>
      <w:r>
        <w:rPr/>
        <w:t>PD1/VEGF</w:t>
      </w:r>
      <w:r>
        <w:rPr/>
        <w:t>双抗，三生与辉瑞签署全球不包括中国内地的独家开发、生产品商业化协议，未来许可地区研发及监管费用由辉瑞承担。年报协议章节列</w:t>
      </w:r>
      <w:r>
        <w:rPr/>
        <w:t>12.5</w:t>
      </w:r>
      <w:r>
        <w:rPr/>
        <w:t>亿美元首付款、最多</w:t>
      </w:r>
      <w:r>
        <w:rPr/>
        <w:t>48</w:t>
      </w:r>
      <w:r>
        <w:rPr/>
        <w:t>亿美元潜在开发监管销售里程碑，以及双位数梯度净销售特许费。伙伴的资金和全球能力降低三生独自承担海外研发的压力，但全球执行依赖辉瑞的资源优先级和试验策略。支付大额首付可以证明合作意愿，无法替代随机临床成功证据。</w:t>
      </w:r>
    </w:p>
    <w:p>
      <w:pPr>
        <w:pStyle w:val="Normal"/>
        <w:rPr/>
      </w:pPr>
      <w:r>
        <w:rPr/>
        <w:t>首付款存在不同描述层级。年报主席叙述使用</w:t>
      </w:r>
      <w:r>
        <w:rPr/>
        <w:t>15</w:t>
      </w:r>
      <w:r>
        <w:rPr/>
        <w:t>亿美元“前端付款”，合同详细章节列</w:t>
      </w:r>
      <w:r>
        <w:rPr/>
        <w:t>12.5</w:t>
      </w:r>
      <w:r>
        <w:rPr/>
        <w:t>亿美元首付款，中国选择权及行权总额不超过</w:t>
      </w:r>
      <w:r>
        <w:rPr/>
        <w:t>1.5</w:t>
      </w:r>
      <w:r>
        <w:rPr/>
        <w:t>亿美元，且交易还包括股权认购安排。研究必须保留各自含义，不能把</w:t>
      </w:r>
      <w:r>
        <w:rPr/>
        <w:t>15</w:t>
      </w:r>
      <w:r>
        <w:rPr/>
        <w:t>亿、</w:t>
      </w:r>
      <w:r>
        <w:rPr/>
        <w:t>12.5</w:t>
      </w:r>
      <w:r>
        <w:rPr/>
        <w:t>亿及</w:t>
      </w:r>
      <w:r>
        <w:rPr/>
        <w:t>1.5</w:t>
      </w:r>
      <w:r>
        <w:rPr/>
        <w:t>亿全部相加得</w:t>
      </w:r>
      <w:r>
        <w:rPr/>
        <w:t>29</w:t>
      </w:r>
      <w:r>
        <w:rPr/>
        <w:t>亿美元。</w:t>
      </w:r>
      <w:r>
        <w:rPr/>
        <w:t>2025</w:t>
      </w:r>
      <w:r>
        <w:rPr/>
        <w:t>已确认约</w:t>
      </w:r>
      <w:r>
        <w:rPr/>
        <w:t>94.259</w:t>
      </w:r>
      <w:r>
        <w:rPr/>
        <w:t>亿元授权收入是真实会计金额，也不能再将合同原始美元金额完整加入</w:t>
      </w:r>
      <w:r>
        <w:rPr/>
        <w:t>2026</w:t>
      </w:r>
      <w:r>
        <w:rPr/>
        <w:t>净现金。本文以报表现金为起点，避免对已收到或已确认付款再给重复价值。</w:t>
      </w:r>
    </w:p>
    <w:p>
      <w:pPr>
        <w:pStyle w:val="Normal"/>
        <w:rPr/>
      </w:pPr>
      <w:r>
        <w:rPr/>
        <w:t>辉瑞拥有中国商业化选择权，年报表述该协议于</w:t>
      </w:r>
      <w:r>
        <w:rPr/>
        <w:t>2025</w:t>
      </w:r>
      <w:r>
        <w:rPr/>
        <w:t>七月生效、行权后许可地区将扩大为全球，同时三生保留供货协议下相关供应权。原国内权益并非在所有未来情景都永远全部属于三生，商业供货利润和国内直接销售利润亦不是同一个概念。当前模型只计海外特许收入及未收假设里程碑，核心产品利润排除</w:t>
      </w:r>
      <w:r>
        <w:rPr/>
        <w:t>707</w:t>
      </w:r>
      <w:r>
        <w:rPr/>
        <w:t>直接国内销售；未取得足够具体行权及供货净利润明细，不填造国内巨大峰值。此处理保守地避免重算，却仍需最终合同经济归属核验。</w:t>
      </w:r>
    </w:p>
    <w:p>
      <w:pPr>
        <w:pStyle w:val="Normal"/>
        <w:rPr/>
      </w:pPr>
      <w:r>
        <w:rPr/>
        <w:t>截至六月末辉瑞已启动九项临床，报告计划下半年再启动三项试验。试验数量反映开发广度，不能视为九项都达到终点，也不等于九个独立成功事件。相同分子涉及机制及安全风险相关，某个严重风险可能影响多个癌种；相同研究的中期与最终分析也不是两个价值来源。现模型将肺癌和其他适应症分组，分别设置销售与成功权重，同时说明相关性尚未量化，不把项目个数直接乘以单个成功率提升估值。</w:t>
      </w:r>
    </w:p>
    <w:p>
      <w:pPr>
        <w:pStyle w:val="Normal"/>
        <w:rPr/>
      </w:pPr>
      <w:r>
        <w:rPr/>
        <w:t>PD1/VEGF</w:t>
      </w:r>
      <w:r>
        <w:rPr/>
        <w:t>机制能将免疫治疗与抗血管生成作用结合，潜在价值在于更有利的疗效安全平衡、肿瘤环境和联合治疗，但具体结果与分子结构、结合形式、剂量及患者有关。康方其他双抗的结果不能直接赋给</w:t>
      </w:r>
      <w:r>
        <w:rPr/>
        <w:t>707</w:t>
      </w:r>
      <w:r>
        <w:rPr/>
        <w:t>，既不能作为</w:t>
      </w:r>
      <w:r>
        <w:rPr/>
        <w:t>707</w:t>
      </w:r>
      <w:r>
        <w:rPr/>
        <w:t>已经成功的证据，也不能把竞品优势简单忽略。海外头对头或相关随机设计应关注治疗线次、对照方案、地理构成、后续治疗以及整体生存成熟度，单臂应答率不能与另一研究的总体人群直接排名。</w:t>
      </w:r>
    </w:p>
    <w:p>
      <w:pPr>
        <w:pStyle w:val="Normal"/>
        <w:rPr/>
      </w:pPr>
      <w:r>
        <w:rPr/>
        <w:t>肺癌价值需要分</w:t>
      </w:r>
      <w:r>
        <w:rPr/>
        <w:t>EGFR</w:t>
      </w:r>
      <w:r>
        <w:rPr/>
        <w:t>等驱动基因背景、免疫治疗适合人群、鳞与非鳞、治疗线次和化疗联合。用全部肺癌病例乘一个价格容易夸大市场，也忽略标准治疗和已有竞争。模型基准肺癌峰值</w:t>
      </w:r>
      <w:r>
        <w:rPr/>
        <w:t>60</w:t>
      </w:r>
      <w:r>
        <w:rPr/>
        <w:t>亿美元是公开标注的研究假设，已经超越目前实际销售阶段，成功权重</w:t>
      </w:r>
      <w:r>
        <w:rPr/>
        <w:t>35%</w:t>
      </w:r>
      <w:r>
        <w:rPr/>
        <w:t>体现临床及注册不确定性而非个体治疗获益概率。它不是行业统计自动生成值，改变试验设计或证据质量时需直接改权重与销售，而不是只改目标倍数。</w:t>
      </w:r>
    </w:p>
    <w:p>
      <w:pPr>
        <w:pStyle w:val="Normal"/>
        <w:rPr/>
      </w:pPr>
      <w:r>
        <w:rPr/>
        <w:t>其他癌种组基准峰值</w:t>
      </w:r>
      <w:r>
        <w:rPr/>
        <w:t>30</w:t>
      </w:r>
      <w:r>
        <w:rPr/>
        <w:t>亿美元、成功权重</w:t>
      </w:r>
      <w:r>
        <w:rPr/>
        <w:t>20%</w:t>
      </w:r>
      <w:r>
        <w:rPr/>
        <w:t>，因涵盖多个不同证据基础的领域，可信度低于已获批产品现金流。合并分组能减少伪精确，却也不能满足最终逐适应症模型的全部要求。本文件将该模型称分组风险调整现金流，不称完整逐药逐试验估值；后续应把子宫内膜、尿路上皮和其他具体疾病按试验、竞争、审批、治疗线次及净价拆开。未完成细拆前，乐观目标仅代表高价值尾部观察，不应承担主要买入论据。</w:t>
      </w:r>
    </w:p>
    <w:p>
      <w:pPr>
        <w:pStyle w:val="Normal"/>
        <w:rPr/>
      </w:pPr>
      <w:r>
        <w:rPr/>
        <w:t>安全与给药便利会影响商业峰值。</w:t>
      </w:r>
      <w:r>
        <w:rPr/>
        <w:t>VEGF</w:t>
      </w:r>
      <w:r>
        <w:rPr/>
        <w:t>抑制相关的出血、血压、蛋白尿等风险及免疫相关不良反应需结合完整数据判断，不在缺少数值时臆测发生率。若有效性改善以明显不可接受的停药或严重毒性为代价，实际可使用患者和治疗时长会减少。相反，若同等或更佳获益配合更便利给药，也可能提高采用。将安全性仅作为脚注而在销售模型保持满患者峰值会造成内在不一致，本文将此列为销售及成功假设共同的反证。</w:t>
      </w:r>
    </w:p>
    <w:p>
      <w:pPr>
        <w:pStyle w:val="Heading2"/>
        <w:rPr/>
      </w:pPr>
      <w:r>
        <w:rPr>
          <w:color w:val="000000"/>
        </w:rPr>
        <w:t>六 其余研发资产及研发资源配置</w:t>
      </w:r>
    </w:p>
    <w:p>
      <w:pPr>
        <w:pStyle w:val="Normal"/>
        <w:rPr/>
      </w:pPr>
      <w:r>
        <w:rPr/>
        <w:t>705</w:t>
      </w:r>
      <w:r>
        <w:rPr/>
        <w:t>的</w:t>
      </w:r>
      <w:r>
        <w:rPr/>
        <w:t>PD1/HER2</w:t>
      </w:r>
      <w:r>
        <w:rPr/>
        <w:t>双抗在国内</w:t>
      </w:r>
      <w:r>
        <w:rPr/>
        <w:t>HER2</w:t>
      </w:r>
      <w:r>
        <w:rPr/>
        <w:t>阳性晚期实体瘤二期入组，美国</w:t>
      </w:r>
      <w:r>
        <w:rPr/>
        <w:t>IND</w:t>
      </w:r>
      <w:r>
        <w:rPr/>
        <w:t>获批；</w:t>
      </w:r>
      <w:r>
        <w:rPr/>
        <w:t>706</w:t>
      </w:r>
      <w:r>
        <w:rPr/>
        <w:t>的</w:t>
      </w:r>
      <w:r>
        <w:rPr/>
        <w:t>PD1/PDL1</w:t>
      </w:r>
      <w:r>
        <w:rPr/>
        <w:t>双抗二期入组，也有美国</w:t>
      </w:r>
      <w:r>
        <w:rPr/>
        <w:t>IND</w:t>
      </w:r>
      <w:r>
        <w:rPr/>
        <w:t>。两者概念可以提供差异化作用，但同样需要随机疗效及完整耐受证据。研发管線出现多个免疫组合说明平台能够产生候选分子，不能保证每一项商业可行。基准模型没有对早期项目逐个加大型峰值，只把成功推出部分新产品的能力反映在长期经营增长，并明确经营假设需要事实验证。</w:t>
      </w:r>
    </w:p>
    <w:p>
      <w:pPr>
        <w:pStyle w:val="Normal"/>
        <w:rPr/>
      </w:pPr>
      <w:r>
        <w:rPr/>
        <w:t>627</w:t>
      </w:r>
      <w:r>
        <w:rPr/>
        <w:t>抗</w:t>
      </w:r>
      <w:r>
        <w:rPr/>
        <w:t>TL1A</w:t>
      </w:r>
      <w:r>
        <w:rPr/>
        <w:t>在溃疡性结肠炎国内二期启动、美国</w:t>
      </w:r>
      <w:r>
        <w:rPr/>
        <w:t>IND</w:t>
      </w:r>
      <w:r>
        <w:rPr/>
        <w:t>批准，</w:t>
      </w:r>
      <w:r>
        <w:rPr/>
        <w:t>626</w:t>
      </w:r>
      <w:r>
        <w:rPr/>
        <w:t>抗</w:t>
      </w:r>
      <w:r>
        <w:rPr/>
        <w:t>BDCA2</w:t>
      </w:r>
      <w:r>
        <w:rPr/>
        <w:t>用于系统性和皮肤型红斑狼疮仍处早中期。自身免疫病有未满足需求，也有靶点竞争和临床异质性。慢病需长随访，短期生物标志物和小样本改善不必然转化持续症状控制或安全性。三生国健的研究和商业平台有利于执行，但对母公司归属需考虑子公司权益与费用；只按合并管线数量给所有价值全额归母会高估普通股收益。</w:t>
      </w:r>
    </w:p>
    <w:p>
      <w:pPr>
        <w:pStyle w:val="Normal"/>
        <w:rPr/>
      </w:pPr>
      <w:r>
        <w:rPr/>
        <w:t>708</w:t>
      </w:r>
      <w:r>
        <w:rPr/>
        <w:t>的</w:t>
      </w:r>
      <w:r>
        <w:rPr/>
        <w:t>PD1/TGFβ</w:t>
      </w:r>
      <w:r>
        <w:rPr/>
        <w:t>双抗、</w:t>
      </w:r>
      <w:r>
        <w:rPr/>
        <w:t>709</w:t>
      </w:r>
      <w:r>
        <w:rPr/>
        <w:t>的</w:t>
      </w:r>
      <w:r>
        <w:rPr/>
        <w:t>PD1/LAG3</w:t>
      </w:r>
      <w:r>
        <w:rPr/>
        <w:t>双抗及</w:t>
      </w:r>
      <w:r>
        <w:rPr/>
        <w:t>B7H3/IL15</w:t>
      </w:r>
      <w:r>
        <w:rPr/>
        <w:t>融合蛋白等处早期。此类技术可能通过不同免疫机制探索治疗，但免疫激活也可能扩大耐受风险。早期分子可通过药代、药效、剂量和安全评价筛选，淘汰是正常研发的一部分。判断公司长期质量应看研发决策能否及时终止低收益项目，把资源集中在更有证据的产品，不能因为阶段数少就只计投入不计潜力，也不能因为靶点名称新颖就给高成功率。</w:t>
      </w:r>
    </w:p>
    <w:p>
      <w:pPr>
        <w:pStyle w:val="Normal"/>
        <w:rPr/>
      </w:pPr>
      <w:r>
        <w:rPr/>
        <w:t>代谢和血液管线包括</w:t>
      </w:r>
      <w:r>
        <w:rPr/>
        <w:t>ActRIIB</w:t>
      </w:r>
      <w:r>
        <w:rPr/>
        <w:t>配体陷阱、</w:t>
      </w:r>
      <w:r>
        <w:rPr/>
        <w:t>ActRIIA/ActRIIB</w:t>
      </w:r>
      <w:r>
        <w:rPr/>
        <w:t>双抗以及</w:t>
      </w:r>
      <w:r>
        <w:rPr/>
        <w:t>April/BAFF</w:t>
      </w:r>
      <w:r>
        <w:rPr/>
        <w:t>双抗等早期候选。保肌减脂及肾病免疫机制具潜在需求，却处于不同疾病和竞争阶段，未见成熟商业收入。司美格鲁肽减重申请于</w:t>
      </w:r>
      <w:r>
        <w:rPr/>
        <w:t>2026</w:t>
      </w:r>
      <w:r>
        <w:rPr/>
        <w:t>七月受理与创新代谢双抗并非同一估值逻辑，仿制或类似竞争、供应和价格约束需单独考虑。长期不能把热门减重人群总数都分给公司某一产品，尤其多个候选同时入同一市场时应扣自我竞争。</w:t>
      </w:r>
    </w:p>
    <w:p>
      <w:pPr>
        <w:pStyle w:val="Normal"/>
        <w:rPr/>
      </w:pPr>
      <w:r>
        <w:rPr/>
        <w:t>2026</w:t>
      </w:r>
      <w:r>
        <w:rPr/>
        <w:t>上半年研发费用</w:t>
      </w:r>
      <w:r>
        <w:rPr/>
        <w:t>6.83849</w:t>
      </w:r>
      <w:r>
        <w:rPr/>
        <w:t>亿元同比增加</w:t>
      </w:r>
      <w:r>
        <w:rPr/>
        <w:t>24.9%</w:t>
      </w:r>
      <w:r>
        <w:rPr/>
        <w:t>，占总收入</w:t>
      </w:r>
      <w:r>
        <w:rPr/>
        <w:t>15.1%</w:t>
      </w:r>
      <w:r>
        <w:rPr/>
        <w:t>；若用剔除授权的收入作分母则约</w:t>
      </w:r>
      <w:r>
        <w:rPr/>
        <w:t>18.61%</w:t>
      </w:r>
      <w:r>
        <w:rPr/>
        <w:t>。后一比率更适合评价持续产品现金承担研发的强度。费用增加一部分反映临床推进，是未来资产形成必经路径，却会压低当前正常盈利。模型保留研发和股份薪酬，不能一方面排除所有投入抬高利润、一方面把管线当免费资产全额加回。未公开逐项目支出时，估值误差需通过盈利和现金情景展示。</w:t>
      </w:r>
    </w:p>
    <w:p>
      <w:pPr>
        <w:pStyle w:val="Heading2"/>
        <w:rPr/>
      </w:pPr>
      <w:r>
        <w:rPr>
          <w:color w:val="000000"/>
        </w:rPr>
        <w:t>七 财务历史与盈利质量</w:t>
      </w:r>
    </w:p>
    <w:p>
      <w:pPr>
        <w:pStyle w:val="Normal"/>
        <w:rPr/>
      </w:pPr>
      <w:r>
        <w:rPr/>
        <w:t>2021</w:t>
      </w:r>
      <w:r>
        <w:rPr/>
        <w:t>至</w:t>
      </w:r>
      <w:r>
        <w:rPr/>
        <w:t>2024</w:t>
      </w:r>
      <w:r>
        <w:rPr/>
        <w:t>收入依次</w:t>
      </w:r>
      <w:r>
        <w:rPr/>
        <w:t>63.82009</w:t>
      </w:r>
      <w:r>
        <w:rPr/>
        <w:t>、</w:t>
      </w:r>
      <w:r>
        <w:rPr/>
        <w:t>68.65735</w:t>
      </w:r>
      <w:r>
        <w:rPr/>
        <w:t>、</w:t>
      </w:r>
      <w:r>
        <w:rPr/>
        <w:t>78.15938</w:t>
      </w:r>
      <w:r>
        <w:rPr/>
        <w:t>和</w:t>
      </w:r>
      <w:r>
        <w:rPr/>
        <w:t>91.07978</w:t>
      </w:r>
      <w:r>
        <w:rPr/>
        <w:t>亿元，归母利润</w:t>
      </w:r>
      <w:r>
        <w:rPr/>
        <w:t>16.51247</w:t>
      </w:r>
      <w:r>
        <w:rPr/>
        <w:t>、</w:t>
      </w:r>
      <w:r>
        <w:rPr/>
        <w:t>19.15727</w:t>
      </w:r>
      <w:r>
        <w:rPr/>
        <w:t>、</w:t>
      </w:r>
      <w:r>
        <w:rPr/>
        <w:t>15.49239</w:t>
      </w:r>
      <w:r>
        <w:rPr/>
        <w:t>和</w:t>
      </w:r>
      <w:r>
        <w:rPr/>
        <w:t>20.90320</w:t>
      </w:r>
      <w:r>
        <w:rPr/>
        <w:t>亿元。收入扩张与利润并非同步，说明研发、费用、投资和会计波动会影响报表。</w:t>
      </w:r>
      <w:r>
        <w:rPr/>
        <w:t>2025</w:t>
      </w:r>
      <w:r>
        <w:rPr/>
        <w:t>收入升至</w:t>
      </w:r>
      <w:r>
        <w:rPr/>
        <w:t>176.95749</w:t>
      </w:r>
      <w:r>
        <w:rPr/>
        <w:t>亿元，归母</w:t>
      </w:r>
      <w:r>
        <w:rPr/>
        <w:t>84.82164</w:t>
      </w:r>
      <w:r>
        <w:rPr/>
        <w:t>亿元，大部分跃升与</w:t>
      </w:r>
      <w:r>
        <w:rPr/>
        <w:t>707</w:t>
      </w:r>
      <w:r>
        <w:rPr/>
        <w:t>授权有关；同期产品销售</w:t>
      </w:r>
      <w:r>
        <w:rPr/>
        <w:t>80.064</w:t>
      </w:r>
      <w:r>
        <w:rPr/>
        <w:t>亿元反而较</w:t>
      </w:r>
      <w:r>
        <w:rPr/>
        <w:t>2024</w:t>
      </w:r>
      <w:r>
        <w:rPr/>
        <w:t>下降</w:t>
      </w:r>
      <w:r>
        <w:rPr/>
        <w:t>10.3%</w:t>
      </w:r>
      <w:r>
        <w:rPr/>
        <w:t>。用</w:t>
      </w:r>
      <w:r>
        <w:rPr/>
        <w:t>2025</w:t>
      </w:r>
      <w:r>
        <w:rPr/>
        <w:t>高利润反映长周期利润能力显然不合适，历史需要分经营及授权两条线。</w:t>
      </w:r>
    </w:p>
    <w:p>
      <w:pPr>
        <w:pStyle w:val="Normal"/>
        <w:rPr/>
      </w:pPr>
      <w:r>
        <w:rPr/>
        <w:t>2025</w:t>
      </w:r>
      <w:r>
        <w:rPr/>
        <w:t>调整经营归母</w:t>
      </w:r>
      <w:r>
        <w:rPr/>
        <w:t>84.54244</w:t>
      </w:r>
      <w:r>
        <w:rPr/>
        <w:t>亿元，与法定归母接近，但仍包括大额授权；“调整”并不意味着全部收入每年重复。调整指标排除股份奖励、公允变动或非经营汇兑，不必排除许可交易。研究者应阅读定义而非按名称推断。</w:t>
      </w:r>
      <w:r>
        <w:rPr/>
        <w:t>2026</w:t>
      </w:r>
      <w:r>
        <w:rPr/>
        <w:t>调整经营归母</w:t>
      </w:r>
      <w:r>
        <w:rPr/>
        <w:t>14.363</w:t>
      </w:r>
      <w:r>
        <w:rPr/>
        <w:t>亿元高于法定</w:t>
      </w:r>
      <w:r>
        <w:rPr/>
        <w:t>11.46595</w:t>
      </w:r>
      <w:r>
        <w:rPr/>
        <w:t>亿元，且同比增长</w:t>
      </w:r>
      <w:r>
        <w:rPr/>
        <w:t>26.5%</w:t>
      </w:r>
      <w:r>
        <w:rPr/>
        <w:t>；其中既有减少销售费用，又有授权贡献。本文将调整指标作为对账资料，不直接作为核心</w:t>
      </w:r>
      <w:r>
        <w:rPr/>
        <w:t>EPS</w:t>
      </w:r>
      <w:r>
        <w:rPr/>
        <w:t>输入。</w:t>
      </w:r>
    </w:p>
    <w:p>
      <w:pPr>
        <w:pStyle w:val="Normal"/>
        <w:rPr/>
      </w:pPr>
      <w:r>
        <w:rPr/>
        <w:t>2026</w:t>
      </w:r>
      <w:r>
        <w:rPr/>
        <w:t>毛利</w:t>
      </w:r>
      <w:r>
        <w:rPr/>
        <w:t>37.94587</w:t>
      </w:r>
      <w:r>
        <w:rPr/>
        <w:t>亿元、毛利率</w:t>
      </w:r>
      <w:r>
        <w:rPr/>
        <w:t>83.8%</w:t>
      </w:r>
      <w:r>
        <w:rPr/>
        <w:t>，低于去年</w:t>
      </w:r>
      <w:r>
        <w:rPr/>
        <w:t>85.3%</w:t>
      </w:r>
      <w:r>
        <w:rPr/>
        <w:t>；销售费用</w:t>
      </w:r>
      <w:r>
        <w:rPr/>
        <w:t>12.06725</w:t>
      </w:r>
      <w:r>
        <w:rPr/>
        <w:t>亿元较去年</w:t>
      </w:r>
      <w:r>
        <w:rPr/>
        <w:t>16.15934</w:t>
      </w:r>
      <w:r>
        <w:rPr/>
        <w:t>亿元明显减少，行政</w:t>
      </w:r>
      <w:r>
        <w:rPr/>
        <w:t>2.67813</w:t>
      </w:r>
      <w:r>
        <w:rPr/>
        <w:t>亿元、研发</w:t>
      </w:r>
      <w:r>
        <w:rPr/>
        <w:t>6.83849</w:t>
      </w:r>
      <w:r>
        <w:rPr/>
        <w:t>亿元。销售费用下降</w:t>
      </w:r>
      <w:r>
        <w:rPr/>
        <w:t>25.3%</w:t>
      </w:r>
      <w:r>
        <w:rPr/>
        <w:t>帮助抵消收入及研发压力，但不能确认全部为永久效率提高，可能与销售结构、活动及里程碑成本有关。若新自免药大规模上市，需要重新建设推广和准入，长期费用不能永远沿用当前降低的比例。核心盈利预测应看产品贡献与正常费用配套，而非只外推费用节省。</w:t>
      </w:r>
    </w:p>
    <w:p>
      <w:pPr>
        <w:pStyle w:val="Normal"/>
        <w:rPr/>
      </w:pPr>
      <w:r>
        <w:rPr/>
        <w:t>其他收入及净损益为负</w:t>
      </w:r>
      <w:r>
        <w:rPr/>
        <w:t>0.73606</w:t>
      </w:r>
      <w:r>
        <w:rPr/>
        <w:t>亿元，含利息</w:t>
      </w:r>
      <w:r>
        <w:rPr/>
        <w:t>2.23363</w:t>
      </w:r>
      <w:r>
        <w:rPr/>
        <w:t>亿元、汇兑亏损</w:t>
      </w:r>
      <w:r>
        <w:rPr/>
        <w:t>5.03308</w:t>
      </w:r>
      <w:r>
        <w:rPr/>
        <w:t>亿元、金融资产公允收益</w:t>
      </w:r>
      <w:r>
        <w:rPr/>
        <w:t>0.78881</w:t>
      </w:r>
      <w:r>
        <w:rPr/>
        <w:t>亿元、衍生工具收益</w:t>
      </w:r>
      <w:r>
        <w:rPr/>
        <w:t>0.64035</w:t>
      </w:r>
      <w:r>
        <w:rPr/>
        <w:t>亿元和金融负债公允亏损</w:t>
      </w:r>
      <w:r>
        <w:rPr/>
        <w:t>0.22015</w:t>
      </w:r>
      <w:r>
        <w:rPr/>
        <w:t>亿元。人民币升值可能损害美元资产账面，集团虽获美元授权，其人民币利润会受转换影响。剔除汇兑可更清楚看经营，但投资者仍真实承担货币资产波动，不能在利润剔除后又假定所有美元现金永久按有利汇率折算。</w:t>
      </w:r>
    </w:p>
    <w:p>
      <w:pPr>
        <w:pStyle w:val="Normal"/>
        <w:rPr/>
      </w:pPr>
      <w:r>
        <w:rPr/>
        <w:t>集团期内利润</w:t>
      </w:r>
      <w:r>
        <w:rPr/>
        <w:t>12.10066</w:t>
      </w:r>
      <w:r>
        <w:rPr/>
        <w:t>亿元，归母</w:t>
      </w:r>
      <w:r>
        <w:rPr/>
        <w:t>11.46595</w:t>
      </w:r>
      <w:r>
        <w:rPr/>
        <w:t>亿元和少数股东</w:t>
      </w:r>
      <w:r>
        <w:rPr/>
        <w:t>0.63471</w:t>
      </w:r>
      <w:r>
        <w:rPr/>
        <w:t>亿元相加一致。摊薄每股盈利还扣子公司限制股影响</w:t>
      </w:r>
      <w:r>
        <w:rPr/>
        <w:t>0.01664</w:t>
      </w:r>
      <w:r>
        <w:rPr/>
        <w:t>亿元，摊薄加权股数</w:t>
      </w:r>
      <w:r>
        <w:rPr/>
        <w:t>25.82811</w:t>
      </w:r>
      <w:r>
        <w:rPr/>
        <w:t>亿，对比基本</w:t>
      </w:r>
      <w:r>
        <w:rPr/>
        <w:t>25.37746</w:t>
      </w:r>
      <w:r>
        <w:rPr/>
        <w:t>亿。这两个口径不能混用。股份薪酬</w:t>
      </w:r>
      <w:r>
        <w:rPr/>
        <w:t>0.47204</w:t>
      </w:r>
      <w:r>
        <w:rPr/>
        <w:t>亿元虽然非现金即时付出，却会影响股东经济利益及员工成本，核心模型保留正常股份薪酬，并在未来股数假设反映激励和资本选择，不把它全当免费资金。</w:t>
      </w:r>
    </w:p>
    <w:p>
      <w:pPr>
        <w:pStyle w:val="Heading2"/>
        <w:rPr/>
      </w:pPr>
      <w:r>
        <w:rPr>
          <w:color w:val="000000"/>
        </w:rPr>
        <w:t>八 现金 债务与资本分配</w:t>
      </w:r>
    </w:p>
    <w:p>
      <w:pPr>
        <w:pStyle w:val="Normal"/>
        <w:rPr/>
      </w:pPr>
      <w:r>
        <w:rPr/>
        <w:t>上半年经营现金流</w:t>
      </w:r>
      <w:r>
        <w:rPr/>
        <w:t>8.99385</w:t>
      </w:r>
      <w:r>
        <w:rPr/>
        <w:t>亿元，经营产生现金</w:t>
      </w:r>
      <w:r>
        <w:rPr/>
        <w:t>14.83189</w:t>
      </w:r>
      <w:r>
        <w:rPr/>
        <w:t>亿元，现金所得税</w:t>
      </w:r>
      <w:r>
        <w:rPr/>
        <w:t>5.83804</w:t>
      </w:r>
      <w:r>
        <w:rPr/>
        <w:t>亿元，明显高于损益税项</w:t>
      </w:r>
      <w:r>
        <w:rPr/>
        <w:t>2.23806</w:t>
      </w:r>
      <w:r>
        <w:rPr/>
        <w:t>亿元。所得税现金与当期费用时点不同，可能包含历史交易及税负支付，不能只因现金流低于净利润就认定收入不真实；同时也不能忽略过去高利润将带来税款。分析现金跑道应看预计支付与资产可动用性，基准现金桥已经保留储备，仍需进一步按授权税款和子公司资金穿透验证。</w:t>
      </w:r>
    </w:p>
    <w:p>
      <w:pPr>
        <w:pStyle w:val="Normal"/>
        <w:rPr/>
      </w:pPr>
      <w:r>
        <w:rPr/>
        <w:t>资本现金支出中购置物业设备</w:t>
      </w:r>
      <w:r>
        <w:rPr/>
        <w:t>2.45221</w:t>
      </w:r>
      <w:r>
        <w:rPr/>
        <w:t>亿元、无形资产</w:t>
      </w:r>
      <w:r>
        <w:rPr/>
        <w:t>0.348</w:t>
      </w:r>
      <w:r>
        <w:rPr/>
        <w:t>亿元，简单经营现金减两项约</w:t>
      </w:r>
      <w:r>
        <w:rPr/>
        <w:t>6.19364</w:t>
      </w:r>
      <w:r>
        <w:rPr/>
        <w:t>亿元，尚非全部归母自由现金，因为另有分销预付、第三方贷款、金融投资、少数股东支付和资本责任。集团预计未来三年资本开支</w:t>
      </w:r>
      <w:r>
        <w:rPr/>
        <w:t>10</w:t>
      </w:r>
      <w:r>
        <w:rPr/>
        <w:t>亿至</w:t>
      </w:r>
      <w:r>
        <w:rPr/>
        <w:t>12</w:t>
      </w:r>
      <w:r>
        <w:rPr/>
        <w:t>亿元，用于维护及扩产，其规模应与订单和新品种需求相匹配。对</w:t>
      </w:r>
      <w:r>
        <w:rPr/>
        <w:t>CDMO</w:t>
      </w:r>
      <w:r>
        <w:rPr/>
        <w:t>扩产尤其应核验产能利用、客户集中及预期净回报，不能因销售增速高就默认产能项目必然增值。</w:t>
      </w:r>
    </w:p>
    <w:p>
      <w:pPr>
        <w:pStyle w:val="Normal"/>
        <w:rPr/>
      </w:pPr>
      <w:r>
        <w:rPr/>
        <w:t>六月末现金等价物</w:t>
      </w:r>
      <w:r>
        <w:rPr/>
        <w:t>67.85032</w:t>
      </w:r>
      <w:r>
        <w:rPr/>
        <w:t>亿元，全部无抵押定存</w:t>
      </w:r>
      <w:r>
        <w:rPr/>
        <w:t>72.44643</w:t>
      </w:r>
      <w:r>
        <w:rPr/>
        <w:t>亿元，合计无抵押银行现金</w:t>
      </w:r>
      <w:r>
        <w:rPr/>
        <w:t>140.29675</w:t>
      </w:r>
      <w:r>
        <w:rPr/>
        <w:t>亿元；另有抵押存款</w:t>
      </w:r>
      <w:r>
        <w:rPr/>
        <w:t>1.35127</w:t>
      </w:r>
      <w:r>
        <w:rPr/>
        <w:t>亿元。管理讨论的流动现金加流动定存含抵押合计</w:t>
      </w:r>
      <w:r>
        <w:rPr/>
        <w:t>124.69231</w:t>
      </w:r>
      <w:r>
        <w:rPr/>
        <w:t>亿元，不含长期定存。当前公允金融资产</w:t>
      </w:r>
      <w:r>
        <w:rPr/>
        <w:t>51.26837</w:t>
      </w:r>
      <w:r>
        <w:rPr/>
        <w:t>亿元及非流动</w:t>
      </w:r>
      <w:r>
        <w:rPr/>
        <w:t>8.89088</w:t>
      </w:r>
      <w:r>
        <w:rPr/>
        <w:t>亿元是另一资产类别，不能无解释地混称现金。里昂新闻称超过</w:t>
      </w:r>
      <w:r>
        <w:rPr/>
        <w:t>186</w:t>
      </w:r>
      <w:r>
        <w:rPr/>
        <w:t>亿元现金为更宽口径，本文保留原文并用资产桥对比，不将券商数字替换报表。</w:t>
      </w:r>
    </w:p>
    <w:p>
      <w:pPr>
        <w:pStyle w:val="Normal"/>
        <w:rPr/>
      </w:pPr>
      <w:r>
        <w:rPr/>
        <w:t>银行借款</w:t>
      </w:r>
      <w:r>
        <w:rPr/>
        <w:t>13.20592</w:t>
      </w:r>
      <w:r>
        <w:rPr/>
        <w:t>亿元，流动</w:t>
      </w:r>
      <w:r>
        <w:rPr/>
        <w:t>6.00367</w:t>
      </w:r>
      <w:r>
        <w:rPr/>
        <w:t>亿元、非流动</w:t>
      </w:r>
      <w:r>
        <w:rPr/>
        <w:t>7.20225</w:t>
      </w:r>
      <w:r>
        <w:rPr/>
        <w:t>亿元；租赁约</w:t>
      </w:r>
      <w:r>
        <w:rPr/>
        <w:t>0.66566</w:t>
      </w:r>
      <w:r>
        <w:rPr/>
        <w:t>亿元，当前金融负债</w:t>
      </w:r>
      <w:r>
        <w:rPr/>
        <w:t>3.61557</w:t>
      </w:r>
      <w:r>
        <w:rPr/>
        <w:t>亿元也需承担。债务下降支持财务稳定，却不能使总银行余额全部成为超额现金，集团有应付款、税款、研发承诺和运营需求。模型以银行现金加当前金融投资九折，扣债务、租赁、金融负债、旧股息和</w:t>
      </w:r>
      <w:r>
        <w:rPr/>
        <w:t>30</w:t>
      </w:r>
      <w:r>
        <w:rPr/>
        <w:t>亿元经营储备，再按</w:t>
      </w:r>
      <w:r>
        <w:rPr/>
        <w:t>90%</w:t>
      </w:r>
      <w:r>
        <w:rPr/>
        <w:t>归母归属，得到初始约</w:t>
      </w:r>
      <w:r>
        <w:rPr/>
        <w:t>120.11215</w:t>
      </w:r>
      <w:r>
        <w:rPr/>
        <w:t>亿元；这是假设桥而非逐子公司证实数。</w:t>
      </w:r>
    </w:p>
    <w:p>
      <w:pPr>
        <w:pStyle w:val="Normal"/>
        <w:rPr/>
      </w:pPr>
      <w:r>
        <w:rPr/>
        <w:t>现金桥九折金融回收与九成归母比例的作用不同。前者防止公允投资被当即时等额货币，后者体现少数权益、子公司经营及资本责任。两项均可改变，不应暗示所有投资已有损失或所有现金固定只归</w:t>
      </w:r>
      <w:r>
        <w:rPr/>
        <w:t>90%</w:t>
      </w:r>
      <w:r>
        <w:rPr/>
        <w:t>股东。若未来披露母公司可用现金更少或限制更大，应下调；若投资兑现且充分归母，则可上修。用透明敏感性比给一个看似精确的净现金数更有用，本文不把研究折扣标成公司会计事实。</w:t>
      </w:r>
    </w:p>
    <w:p>
      <w:pPr>
        <w:pStyle w:val="Normal"/>
        <w:rPr/>
      </w:pPr>
      <w:r>
        <w:rPr/>
        <w:t>上半年现金等价物从</w:t>
      </w:r>
      <w:r>
        <w:rPr/>
        <w:t>121.77199</w:t>
      </w:r>
      <w:r>
        <w:rPr/>
        <w:t>亿元降至</w:t>
      </w:r>
      <w:r>
        <w:rPr/>
        <w:t>67.85032</w:t>
      </w:r>
      <w:r>
        <w:rPr/>
        <w:t>亿元，主要有投资及存款配置流出</w:t>
      </w:r>
      <w:r>
        <w:rPr/>
        <w:t>46.87735</w:t>
      </w:r>
      <w:r>
        <w:rPr/>
        <w:t>亿元和偿债等融资流出</w:t>
      </w:r>
      <w:r>
        <w:rPr/>
        <w:t>14.36292</w:t>
      </w:r>
      <w:r>
        <w:rPr/>
        <w:t>亿元，不等于相同金额经营亏损。大量资金转定存及金融投资改变流动性分类，部分减少是归还银行借款。研究应同时看现金、存款、投资和债务，单张现金流表最后余额不能独立证明财务恶化。与此相应，授权带来的历史现金不是可不断收到的补贴，长期资本纪律仍决定剩余股东价值。</w:t>
      </w:r>
    </w:p>
    <w:p>
      <w:pPr>
        <w:pStyle w:val="Normal"/>
        <w:rPr/>
      </w:pPr>
      <w:r>
        <w:rPr/>
        <w:t>2025</w:t>
      </w:r>
      <w:r>
        <w:rPr/>
        <w:t>辉瑞认购约</w:t>
      </w:r>
      <w:r>
        <w:rPr/>
        <w:t>3114.25</w:t>
      </w:r>
      <w:r>
        <w:rPr/>
        <w:t>万股、每股</w:t>
      </w:r>
      <w:r>
        <w:rPr/>
        <w:t>25.2055</w:t>
      </w:r>
      <w:r>
        <w:rPr/>
        <w:t>港元，十二月配售约</w:t>
      </w:r>
      <w:r>
        <w:rPr/>
        <w:t>1.051695</w:t>
      </w:r>
      <w:r>
        <w:rPr/>
        <w:t>亿股、</w:t>
      </w:r>
      <w:r>
        <w:rPr/>
        <w:t>29.62</w:t>
      </w:r>
      <w:r>
        <w:rPr/>
        <w:t>港元，补充研发与资本资源并增加股数。当前价格</w:t>
      </w:r>
      <w:r>
        <w:rPr/>
        <w:t>15.07</w:t>
      </w:r>
      <w:r>
        <w:rPr/>
        <w:t>低于这些历史发行价不能视为机构成本保护，投资者可能调整策略且股权风险自担。发行价体现当时交易条件和预期，不是当前基本价值下限。未来若研究失败或现金投入回报不足，既有高价融资并不阻止股价继续下降，模型股数仍随期限增长。</w:t>
      </w:r>
    </w:p>
    <w:p>
      <w:pPr>
        <w:pStyle w:val="Normal"/>
        <w:rPr/>
      </w:pPr>
      <w:r>
        <w:rPr/>
        <w:t>2026</w:t>
      </w:r>
      <w:r>
        <w:rPr/>
        <w:t>上半年购回</w:t>
      </w:r>
      <w:r>
        <w:rPr/>
        <w:t>852.05</w:t>
      </w:r>
      <w:r>
        <w:rPr/>
        <w:t>万股、总付</w:t>
      </w:r>
      <w:r>
        <w:rPr/>
        <w:t>1.3546997</w:t>
      </w:r>
      <w:r>
        <w:rPr/>
        <w:t>亿港元，持作库存；九月月报新增库存购回</w:t>
      </w:r>
      <w:r>
        <w:rPr/>
        <w:t>1025.55</w:t>
      </w:r>
      <w:r>
        <w:rPr/>
        <w:t>万股。</w:t>
      </w:r>
      <w:r>
        <w:rPr/>
        <w:t>10</w:t>
      </w:r>
      <w:r>
        <w:rPr/>
        <w:t>月</w:t>
      </w:r>
      <w:r>
        <w:rPr/>
        <w:t>9</w:t>
      </w:r>
      <w:r>
        <w:rPr/>
        <w:t>日</w:t>
      </w:r>
      <w:r>
        <w:rPr/>
        <w:t>18:39</w:t>
      </w:r>
      <w:r>
        <w:rPr/>
        <w:t>披露当日再买</w:t>
      </w:r>
      <w:r>
        <w:rPr/>
        <w:t>250</w:t>
      </w:r>
      <w:r>
        <w:rPr/>
        <w:t>万股，付</w:t>
      </w:r>
      <w:r>
        <w:rPr/>
        <w:t>3758.795</w:t>
      </w:r>
      <w:r>
        <w:rPr/>
        <w:t>万港元，约占日成交股数</w:t>
      </w:r>
      <w:r>
        <w:rPr/>
        <w:t>11.13%</w:t>
      </w:r>
      <w:r>
        <w:rPr/>
        <w:t>；它是在收盘后才可核验的事件，不能假设上午投资者已经知道精确购买量。购回减少外部流通份额，也消耗现金，库存日后可以转让，不能按永久注销同样处理。该事实支持资本分配观察，不能证明所有下跌成交都是吸筹。</w:t>
      </w:r>
    </w:p>
    <w:p>
      <w:pPr>
        <w:pStyle w:val="Normal"/>
        <w:rPr/>
      </w:pPr>
      <w:r>
        <w:rPr/>
        <w:t>旧年度现金息</w:t>
      </w:r>
      <w:r>
        <w:rPr/>
        <w:t>0.25</w:t>
      </w:r>
      <w:r>
        <w:rPr/>
        <w:t>港元除净</w:t>
      </w:r>
      <w:r>
        <w:rPr/>
        <w:t>2026</w:t>
      </w:r>
      <w:r>
        <w:rPr/>
        <w:t>七月</w:t>
      </w:r>
      <w:r>
        <w:rPr/>
        <w:t>21</w:t>
      </w:r>
      <w:r>
        <w:rPr/>
        <w:t>日、记录七月</w:t>
      </w:r>
      <w:r>
        <w:rPr/>
        <w:t>27</w:t>
      </w:r>
      <w:r>
        <w:rPr/>
        <w:t>日、八月四日支付；基准日新买入者无资格，回报表排除。</w:t>
      </w:r>
      <w:r>
        <w:rPr/>
        <w:t>2026</w:t>
      </w:r>
      <w:r>
        <w:rPr/>
        <w:t>中期没有建议分红，年底及半年假设为零，一年至五年现金息为独立估计，均已在目标净现金变化中扣除。将过去已付股息再加到未来收益或保留全额现金又加同一分红会重复计算。未来现金分配需同时考虑研发、税款、资本开支、回购和实物分派，不能只按去年</w:t>
      </w:r>
      <w:r>
        <w:rPr/>
        <w:t>0.25</w:t>
      </w:r>
      <w:r>
        <w:rPr/>
        <w:t>机械无限年化。</w:t>
      </w:r>
    </w:p>
    <w:p>
      <w:pPr>
        <w:pStyle w:val="Heading2"/>
        <w:rPr/>
      </w:pPr>
      <w:r>
        <w:rPr>
          <w:color w:val="000000"/>
        </w:rPr>
        <w:t>九 量价证据与半年交易观察</w:t>
      </w:r>
    </w:p>
    <w:p>
      <w:pPr>
        <w:pStyle w:val="Normal"/>
        <w:rPr/>
      </w:pPr>
      <w:r>
        <w:rPr/>
        <w:t>市场价格由腾讯、新浪及独立日线核对，</w:t>
      </w:r>
      <w:r>
        <w:rPr/>
        <w:t>10</w:t>
      </w:r>
      <w:r>
        <w:rPr/>
        <w:t>月</w:t>
      </w:r>
      <w:r>
        <w:rPr/>
        <w:t>9</w:t>
      </w:r>
      <w:r>
        <w:rPr/>
        <w:t>收</w:t>
      </w:r>
      <w:r>
        <w:rPr/>
        <w:t>15.07</w:t>
      </w:r>
      <w:r>
        <w:rPr/>
        <w:t>、开</w:t>
      </w:r>
      <w:r>
        <w:rPr/>
        <w:t>15.05</w:t>
      </w:r>
      <w:r>
        <w:rPr/>
        <w:t>、高</w:t>
      </w:r>
      <w:r>
        <w:rPr/>
        <w:t>15.23</w:t>
      </w:r>
      <w:r>
        <w:rPr/>
        <w:t>、低</w:t>
      </w:r>
      <w:r>
        <w:rPr/>
        <w:t>14.91</w:t>
      </w:r>
      <w:r>
        <w:rPr/>
        <w:t>，涨</w:t>
      </w:r>
      <w:r>
        <w:rPr/>
        <w:t>0.08</w:t>
      </w:r>
      <w:r>
        <w:rPr/>
        <w:t>。名义股价涨</w:t>
      </w:r>
      <w:r>
        <w:rPr/>
        <w:t>0.53%</w:t>
      </w:r>
      <w:r>
        <w:rPr/>
        <w:t>是真实当日变化，却在下降结构内。日线</w:t>
      </w:r>
      <w:r>
        <w:rPr/>
        <w:t>739</w:t>
      </w:r>
      <w:r>
        <w:rPr/>
        <w:t>条始</w:t>
      </w:r>
      <w:r>
        <w:rPr/>
        <w:t>2023</w:t>
      </w:r>
      <w:r>
        <w:rPr/>
        <w:t>十月，周线</w:t>
      </w:r>
      <w:r>
        <w:rPr/>
        <w:t>157</w:t>
      </w:r>
      <w:r>
        <w:rPr/>
        <w:t>条，使用归一到基准名义价格的复权</w:t>
      </w:r>
      <w:r>
        <w:rPr/>
        <w:t>OHLC</w:t>
      </w:r>
      <w:r>
        <w:rPr/>
        <w:t>；一条明确</w:t>
      </w:r>
      <w:r>
        <w:rPr/>
        <w:t>OHLC</w:t>
      </w:r>
      <w:r>
        <w:rPr/>
        <w:t>逻辑错误已按独立来源修复并保留记录。最近</w:t>
      </w:r>
      <w:r>
        <w:rPr/>
        <w:t>60</w:t>
      </w:r>
      <w:r>
        <w:rPr/>
        <w:t>天跨来源复权最大差约</w:t>
      </w:r>
      <w:r>
        <w:rPr/>
        <w:t>1.48%</w:t>
      </w:r>
      <w:r>
        <w:rPr/>
        <w:t>，因此长期回撤及技术观察有算法限制，不能报得比数据更精确。</w:t>
      </w:r>
    </w:p>
    <w:p>
      <w:pPr>
        <w:pStyle w:val="Normal"/>
        <w:rPr/>
      </w:pPr>
      <w:r>
        <w:rPr/>
        <w:t>20</w:t>
      </w:r>
      <w:r>
        <w:rPr/>
        <w:t>、</w:t>
      </w:r>
      <w:r>
        <w:rPr/>
        <w:t>60</w:t>
      </w:r>
      <w:r>
        <w:rPr/>
        <w:t>、</w:t>
      </w:r>
      <w:r>
        <w:rPr/>
        <w:t>120</w:t>
      </w:r>
      <w:r>
        <w:rPr/>
        <w:t>、</w:t>
      </w:r>
      <w:r>
        <w:rPr/>
        <w:t>250</w:t>
      </w:r>
      <w:r>
        <w:rPr/>
        <w:t>日均线</w:t>
      </w:r>
      <w:r>
        <w:rPr/>
        <w:t>15.9785</w:t>
      </w:r>
      <w:r>
        <w:rPr/>
        <w:t>、</w:t>
      </w:r>
      <w:r>
        <w:rPr/>
        <w:t>16.65225</w:t>
      </w:r>
      <w:r>
        <w:rPr/>
        <w:t>、</w:t>
      </w:r>
      <w:r>
        <w:rPr/>
        <w:t>17.671951</w:t>
      </w:r>
      <w:r>
        <w:rPr/>
        <w:t>、</w:t>
      </w:r>
      <w:r>
        <w:rPr/>
        <w:t>21.857828</w:t>
      </w:r>
      <w:r>
        <w:rPr/>
        <w:t>，现价分别低</w:t>
      </w:r>
      <w:r>
        <w:rPr/>
        <w:t>5.69%</w:t>
      </w:r>
      <w:r>
        <w:rPr/>
        <w:t>、</w:t>
      </w:r>
      <w:r>
        <w:rPr/>
        <w:t>9.50%</w:t>
      </w:r>
      <w:r>
        <w:rPr/>
        <w:t>、</w:t>
      </w:r>
      <w:r>
        <w:rPr/>
        <w:t>14.72%</w:t>
      </w:r>
      <w:r>
        <w:rPr/>
        <w:t>、</w:t>
      </w:r>
      <w:r>
        <w:rPr/>
        <w:t>31.05%</w:t>
      </w:r>
      <w:r>
        <w:rPr/>
        <w:t>。五日均线斜率变化分别负</w:t>
      </w:r>
      <w:r>
        <w:rPr/>
        <w:t>0.96%</w:t>
      </w:r>
      <w:r>
        <w:rPr/>
        <w:t>、负</w:t>
      </w:r>
      <w:r>
        <w:rPr/>
        <w:t>1.07%</w:t>
      </w:r>
      <w:r>
        <w:rPr/>
        <w:t>、负</w:t>
      </w:r>
      <w:r>
        <w:rPr/>
        <w:t>1.98%</w:t>
      </w:r>
      <w:r>
        <w:rPr/>
        <w:t>、负</w:t>
      </w:r>
      <w:r>
        <w:rPr/>
        <w:t>1.29%</w:t>
      </w:r>
      <w:r>
        <w:rPr/>
        <w:t>，显示价格下方位置配合均线本身下降，而非只是单日偶然跌穿。当前不能称多头排列或完成底部突破。若价格逐步回到短均线、均线斜率走平再转正，并且回落时守住，技术判断才有实质改善。</w:t>
      </w:r>
    </w:p>
    <w:p>
      <w:pPr>
        <w:pStyle w:val="Normal"/>
        <w:rPr/>
      </w:pPr>
      <w:r>
        <w:rPr/>
        <w:t>20</w:t>
      </w:r>
      <w:r>
        <w:rPr/>
        <w:t>日回报负</w:t>
      </w:r>
      <w:r>
        <w:rPr/>
        <w:t>3.02%</w:t>
      </w:r>
      <w:r>
        <w:rPr/>
        <w:t>、</w:t>
      </w:r>
      <w:r>
        <w:rPr/>
        <w:t>60</w:t>
      </w:r>
      <w:r>
        <w:rPr/>
        <w:t>日负</w:t>
      </w:r>
      <w:r>
        <w:rPr/>
        <w:t>14.61%</w:t>
      </w:r>
      <w:r>
        <w:rPr/>
        <w:t>、</w:t>
      </w:r>
      <w:r>
        <w:rPr/>
        <w:t>120</w:t>
      </w:r>
      <w:r>
        <w:rPr/>
        <w:t>日负</w:t>
      </w:r>
      <w:r>
        <w:rPr/>
        <w:t>39.46%</w:t>
      </w:r>
      <w:r>
        <w:rPr/>
        <w:t>、</w:t>
      </w:r>
      <w:r>
        <w:rPr/>
        <w:t>250</w:t>
      </w:r>
      <w:r>
        <w:rPr/>
        <w:t>日负</w:t>
      </w:r>
      <w:r>
        <w:rPr/>
        <w:t>50.45%</w:t>
      </w:r>
      <w:r>
        <w:rPr/>
        <w:t>；</w:t>
      </w:r>
      <w:r>
        <w:rPr/>
        <w:t>52</w:t>
      </w:r>
      <w:r>
        <w:rPr/>
        <w:t>周复权高</w:t>
      </w:r>
      <w:r>
        <w:rPr/>
        <w:t>34.904574</w:t>
      </w:r>
      <w:r>
        <w:rPr/>
        <w:t>、低</w:t>
      </w:r>
      <w:r>
        <w:rPr/>
        <w:t>14.594488</w:t>
      </w:r>
      <w:r>
        <w:rPr/>
        <w:t>，现价距高低</w:t>
      </w:r>
      <w:r>
        <w:rPr/>
        <w:t>56.83%</w:t>
      </w:r>
      <w:r>
        <w:rPr/>
        <w:t>、距低仅高</w:t>
      </w:r>
      <w:r>
        <w:rPr/>
        <w:t>3.26%</w:t>
      </w:r>
      <w:r>
        <w:rPr/>
        <w:t>。大幅跌离高点意味着曾有高预期被消化，也可能意味着基本盈利、合作价值或风险溢价发生变化。不能仅凭跌幅推断下方有限，创新临床、经营和融资可继续变化。这里的低点是历史观察，不是价格底或最大损失界限。</w:t>
      </w:r>
    </w:p>
    <w:p>
      <w:pPr>
        <w:pStyle w:val="Normal"/>
        <w:rPr/>
      </w:pPr>
      <w:r>
        <w:rPr/>
        <w:t>最近</w:t>
      </w:r>
      <w:r>
        <w:rPr/>
        <w:t>20</w:t>
      </w:r>
      <w:r>
        <w:rPr/>
        <w:t>日区间</w:t>
      </w:r>
      <w:r>
        <w:rPr/>
        <w:t>14.91</w:t>
      </w:r>
      <w:r>
        <w:rPr/>
        <w:t>至</w:t>
      </w:r>
      <w:r>
        <w:rPr/>
        <w:t>17.35</w:t>
      </w:r>
      <w:r>
        <w:rPr/>
        <w:t>，低点离现价约</w:t>
      </w:r>
      <w:r>
        <w:rPr/>
        <w:t>1.06%</w:t>
      </w:r>
      <w:r>
        <w:rPr/>
        <w:t>，上端约</w:t>
      </w:r>
      <w:r>
        <w:rPr/>
        <w:t>15.13%</w:t>
      </w:r>
      <w:r>
        <w:rPr/>
        <w:t>；</w:t>
      </w:r>
      <w:r>
        <w:rPr/>
        <w:t>60</w:t>
      </w:r>
      <w:r>
        <w:rPr/>
        <w:t>日上端</w:t>
      </w:r>
      <w:r>
        <w:rPr/>
        <w:t>18.96</w:t>
      </w:r>
      <w:r>
        <w:rPr/>
        <w:t>距离</w:t>
      </w:r>
      <w:r>
        <w:rPr/>
        <w:t>25.81%</w:t>
      </w:r>
      <w:r>
        <w:rPr/>
        <w:t>。这些价位来自窗口极值，尚未按多次触碰验证“强支撑”，故称观察区间。</w:t>
      </w:r>
      <w:r>
        <w:rPr/>
        <w:t>14.59</w:t>
      </w:r>
      <w:r>
        <w:rPr/>
        <w:t>附近为较长窗口低点，跌破后如果成交增多且相对强弱继续恶化，应取消“局部企稳”假设；若反弹越过</w:t>
      </w:r>
      <w:r>
        <w:rPr/>
        <w:t>15.98</w:t>
      </w:r>
      <w:r>
        <w:rPr/>
        <w:t>、</w:t>
      </w:r>
      <w:r>
        <w:rPr/>
        <w:t>16.65</w:t>
      </w:r>
      <w:r>
        <w:rPr/>
        <w:t>，也仍需面对</w:t>
      </w:r>
      <w:r>
        <w:rPr/>
        <w:t>17.35</w:t>
      </w:r>
      <w:r>
        <w:rPr/>
        <w:t>至</w:t>
      </w:r>
      <w:r>
        <w:rPr/>
        <w:t>17.67</w:t>
      </w:r>
      <w:r>
        <w:rPr/>
        <w:t>供给观察，不能一口气把历史高点当短期必到价。</w:t>
      </w:r>
    </w:p>
    <w:p>
      <w:pPr>
        <w:pStyle w:val="Normal"/>
        <w:rPr/>
      </w:pPr>
      <w:r>
        <w:rPr/>
        <w:t>当日成交</w:t>
      </w:r>
      <w:r>
        <w:rPr/>
        <w:t>2247.0468</w:t>
      </w:r>
      <w:r>
        <w:rPr/>
        <w:t>万股、成交额</w:t>
      </w:r>
      <w:r>
        <w:rPr/>
        <w:t>3.3807244113</w:t>
      </w:r>
      <w:r>
        <w:rPr/>
        <w:t>亿港元，独立核验成交量为股而非手。五、二十、六十日平均分别</w:t>
      </w:r>
      <w:r>
        <w:rPr/>
        <w:t>1589.87</w:t>
      </w:r>
      <w:r>
        <w:rPr/>
        <w:t>、</w:t>
      </w:r>
      <w:r>
        <w:rPr/>
        <w:t>1797.16</w:t>
      </w:r>
      <w:r>
        <w:rPr/>
        <w:t>、</w:t>
      </w:r>
      <w:r>
        <w:rPr/>
        <w:t>2244.60</w:t>
      </w:r>
      <w:r>
        <w:rPr/>
        <w:t>万股，当日相对过去二十日均量约</w:t>
      </w:r>
      <w:r>
        <w:rPr/>
        <w:t>1.2056</w:t>
      </w:r>
      <w:r>
        <w:rPr/>
        <w:t>。该“量比”为日量除前二十日平均，不是券商盘中实时量比，两个指标不可混用。日涨幅仅</w:t>
      </w:r>
      <w:r>
        <w:rPr/>
        <w:t>0.53%</w:t>
      </w:r>
      <w:r>
        <w:rPr/>
        <w:t>而量略放大，属于低位交易活跃有限改善，尚不足以推断持续上涨需求或资金形成共识。</w:t>
      </w:r>
    </w:p>
    <w:p>
      <w:pPr>
        <w:pStyle w:val="Normal"/>
        <w:rPr/>
      </w:pPr>
      <w:r>
        <w:rPr/>
        <w:t>最近</w:t>
      </w:r>
      <w:r>
        <w:rPr/>
        <w:t>20</w:t>
      </w:r>
      <w:r>
        <w:rPr/>
        <w:t>日上涨八日累计量</w:t>
      </w:r>
      <w:r>
        <w:rPr/>
        <w:t>1.80935002</w:t>
      </w:r>
      <w:r>
        <w:rPr/>
        <w:t>亿股，下跌十二日</w:t>
      </w:r>
      <w:r>
        <w:rPr/>
        <w:t>1.78496774</w:t>
      </w:r>
      <w:r>
        <w:rPr/>
        <w:t>亿股，累计比约</w:t>
      </w:r>
      <w:r>
        <w:rPr/>
        <w:t>1.014</w:t>
      </w:r>
      <w:r>
        <w:rPr/>
        <w:t>。若只比较总量会忽略天数：上涨日平均</w:t>
      </w:r>
      <w:r>
        <w:rPr/>
        <w:t>2261.69</w:t>
      </w:r>
      <w:r>
        <w:rPr/>
        <w:t>万股，下跌日</w:t>
      </w:r>
      <w:r>
        <w:rPr/>
        <w:t>1487.47</w:t>
      </w:r>
      <w:r>
        <w:rPr/>
        <w:t>万股，说明少数上涨日较活跃，但下跌日更频繁。成交量既可能是卖盘被承接，也可能是反弹中换手，无法没有逐笔身份就断言主力行为。后续需要上涨持续性、回落缩量及价格突破共同验证，以免一次高量反弹误导判断。</w:t>
      </w:r>
    </w:p>
    <w:p>
      <w:pPr>
        <w:pStyle w:val="Normal"/>
        <w:rPr/>
      </w:pPr>
      <w:r>
        <w:rPr/>
        <w:t>RSI</w:t>
      </w:r>
      <w:r>
        <w:rPr/>
        <w:t>十四日</w:t>
      </w:r>
      <w:r>
        <w:rPr/>
        <w:t>40.97</w:t>
      </w:r>
      <w:r>
        <w:rPr/>
        <w:t>，说明近期上涨动量偏弱，没有达到常用严重超卖区；</w:t>
      </w:r>
      <w:r>
        <w:rPr/>
        <w:t>MACD</w:t>
      </w:r>
      <w:r>
        <w:rPr/>
        <w:t>差离负</w:t>
      </w:r>
      <w:r>
        <w:rPr/>
        <w:t>0.31445</w:t>
      </w:r>
      <w:r>
        <w:rPr/>
        <w:t>、信号负</w:t>
      </w:r>
      <w:r>
        <w:rPr/>
        <w:t>0.22919</w:t>
      </w:r>
      <w:r>
        <w:rPr/>
        <w:t>、柱负</w:t>
      </w:r>
      <w:r>
        <w:rPr/>
        <w:t>0.17051</w:t>
      </w:r>
      <w:r>
        <w:rPr/>
        <w:t>，按二倍差定义，短趋势仍走弱。</w:t>
      </w:r>
      <w:r>
        <w:rPr/>
        <w:t>ATR</w:t>
      </w:r>
      <w:r>
        <w:rPr/>
        <w:t>十四日</w:t>
      </w:r>
      <w:r>
        <w:rPr/>
        <w:t>0.74764</w:t>
      </w:r>
      <w:r>
        <w:rPr/>
        <w:t>港元约现价</w:t>
      </w:r>
      <w:r>
        <w:rPr/>
        <w:t>4.96%</w:t>
      </w:r>
      <w:r>
        <w:rPr/>
        <w:t>，反映日波动幅度较大。三项指标描述不同侧面但都由同一价格数据衍生，评分中不分别加三次“技术优势”。</w:t>
      </w:r>
      <w:r>
        <w:rPr/>
        <w:t>ATR</w:t>
      </w:r>
      <w:r>
        <w:rPr/>
        <w:t>可帮助认识波动和观察距离，不能作为预测未来必然移动幅度或固定止损保障。</w:t>
      </w:r>
    </w:p>
    <w:p>
      <w:pPr>
        <w:pStyle w:val="Normal"/>
        <w:rPr/>
      </w:pPr>
      <w:r>
        <w:rPr/>
        <w:t>周线</w:t>
      </w:r>
      <w:r>
        <w:rPr/>
        <w:t>20</w:t>
      </w:r>
      <w:r>
        <w:rPr/>
        <w:t>、</w:t>
      </w:r>
      <w:r>
        <w:rPr/>
        <w:t>60</w:t>
      </w:r>
      <w:r>
        <w:rPr/>
        <w:t>、</w:t>
      </w:r>
      <w:r>
        <w:rPr/>
        <w:t>120</w:t>
      </w:r>
      <w:r>
        <w:rPr/>
        <w:t>周均线</w:t>
      </w:r>
      <w:r>
        <w:rPr/>
        <w:t>16.664567</w:t>
      </w:r>
      <w:r>
        <w:rPr/>
        <w:t>、</w:t>
      </w:r>
      <w:r>
        <w:rPr/>
        <w:t>22.880349</w:t>
      </w:r>
      <w:r>
        <w:rPr/>
        <w:t>、</w:t>
      </w:r>
      <w:r>
        <w:rPr/>
        <w:t>17.001701</w:t>
      </w:r>
      <w:r>
        <w:rPr/>
        <w:t>，现价均低；二十和六十周斜率负</w:t>
      </w:r>
      <w:r>
        <w:rPr/>
        <w:t>7.70%</w:t>
      </w:r>
      <w:r>
        <w:rPr/>
        <w:t>、负</w:t>
      </w:r>
      <w:r>
        <w:rPr/>
        <w:t>5.04%</w:t>
      </w:r>
      <w:r>
        <w:rPr/>
        <w:t>，</w:t>
      </w:r>
      <w:r>
        <w:rPr/>
        <w:t>120</w:t>
      </w:r>
      <w:r>
        <w:rPr/>
        <w:t>周略正反映更早上涨遗留，并不抵消当前弱势。周</w:t>
      </w:r>
      <w:r>
        <w:rPr/>
        <w:t>RSI38.44</w:t>
      </w:r>
      <w:r>
        <w:rPr/>
        <w:t>，</w:t>
      </w:r>
      <w:r>
        <w:rPr/>
        <w:t>MACD</w:t>
      </w:r>
      <w:r>
        <w:rPr/>
        <w:t>柱微正</w:t>
      </w:r>
      <w:r>
        <w:rPr/>
        <w:t>0.14620</w:t>
      </w:r>
      <w:r>
        <w:rPr/>
        <w:t>，差离及信号仍在零下，比较合理的描述是中期下降中动量略缓，尚非长期牛市重启。可用周线区分日反弹与真正中期转折，不能看到柱转正就删除均线和相对表现的反证。</w:t>
      </w:r>
    </w:p>
    <w:p>
      <w:pPr>
        <w:pStyle w:val="Normal"/>
        <w:rPr/>
      </w:pPr>
      <w:r>
        <w:rPr/>
        <w:t>最近</w:t>
      </w:r>
      <w:r>
        <w:rPr/>
        <w:t>20</w:t>
      </w:r>
      <w:r>
        <w:rPr/>
        <w:t>周上涨七周累计量</w:t>
      </w:r>
      <w:r>
        <w:rPr/>
        <w:t>9.29855</w:t>
      </w:r>
      <w:r>
        <w:rPr/>
        <w:t>亿股、下跌十三周</w:t>
      </w:r>
      <w:r>
        <w:rPr/>
        <w:t>18.83324</w:t>
      </w:r>
      <w:r>
        <w:rPr/>
        <w:t>亿股，总比</w:t>
      </w:r>
      <w:r>
        <w:rPr/>
        <w:t>0.494</w:t>
      </w:r>
      <w:r>
        <w:rPr/>
        <w:t>，周末量比约</w:t>
      </w:r>
      <w:r>
        <w:rPr/>
        <w:t>0.559</w:t>
      </w:r>
      <w:r>
        <w:rPr/>
        <w:t>。与日上涨平均较活跃相比，中期仍有更多交易发生在下跌周，两个事实可以同时成立。周</w:t>
      </w:r>
      <w:r>
        <w:rPr/>
        <w:t>ATR</w:t>
      </w:r>
      <w:r>
        <w:rPr/>
        <w:t>约</w:t>
      </w:r>
      <w:r>
        <w:rPr/>
        <w:t>14.14%</w:t>
      </w:r>
      <w:r>
        <w:rPr/>
        <w:t>说明中期振幅可显著大于一日，单一窄价格区间难覆盖消息冲击。本文技术分偏低有多时间尺度证据支持，现金估值提供潜在修复空间，却不能代替趋势确认。</w:t>
      </w:r>
    </w:p>
    <w:p>
      <w:pPr>
        <w:pStyle w:val="Normal"/>
        <w:rPr/>
      </w:pPr>
      <w:r>
        <w:rPr/>
        <w:t>相对恒指</w:t>
      </w:r>
      <w:r>
        <w:rPr/>
        <w:t>20</w:t>
      </w:r>
      <w:r>
        <w:rPr/>
        <w:t>日仅落后</w:t>
      </w:r>
      <w:r>
        <w:rPr/>
        <w:t>0.05</w:t>
      </w:r>
      <w:r>
        <w:rPr/>
        <w:t>个百分点，说明最近一个月下跌大部分与市场同步；</w:t>
      </w:r>
      <w:r>
        <w:rPr/>
        <w:t>60</w:t>
      </w:r>
      <w:r>
        <w:rPr/>
        <w:t>日落后</w:t>
      </w:r>
      <w:r>
        <w:rPr/>
        <w:t>11.43</w:t>
      </w:r>
      <w:r>
        <w:rPr/>
        <w:t>个百分点，则说明更长阶段具有明显公司或行业弱势。创新药细分基准完整可核验行情尚未取得，行业相对强弱留空，不能把恒指当行业指数。香港整体风险偏好、利率和美元变化会影响估值，判断公司修复需同时比较基准，市场整体反弹中涨得少仍不能证明公司领导力。</w:t>
      </w:r>
    </w:p>
    <w:p>
      <w:pPr>
        <w:pStyle w:val="Normal"/>
        <w:rPr/>
      </w:pPr>
      <w:r>
        <w:rPr/>
        <w:t>半年观察采用条件顺序。先看</w:t>
      </w:r>
      <w:r>
        <w:rPr/>
        <w:t>14.59</w:t>
      </w:r>
      <w:r>
        <w:rPr/>
        <w:t>至</w:t>
      </w:r>
      <w:r>
        <w:rPr/>
        <w:t>14.91</w:t>
      </w:r>
      <w:r>
        <w:rPr/>
        <w:t>区域能否稳定，随后</w:t>
      </w:r>
      <w:r>
        <w:rPr/>
        <w:t>15.98</w:t>
      </w:r>
      <w:r>
        <w:rPr/>
        <w:t>附近短均线是否夺回，第三步</w:t>
      </w:r>
      <w:r>
        <w:rPr/>
        <w:t>16.65</w:t>
      </w:r>
      <w:r>
        <w:rPr/>
        <w:t>附近中均线及</w:t>
      </w:r>
      <w:r>
        <w:rPr/>
        <w:t>17.35</w:t>
      </w:r>
      <w:r>
        <w:rPr/>
        <w:t>区间高点是否有效越过，并观察回落是否保住。有效突破应持续数日或周、成交额支持、相对表现改善，而非一根受消息影响的上影线。失效条件包括放量跌破历史区间、核心销售证据恶化和</w:t>
      </w:r>
      <w:r>
        <w:rPr/>
        <w:t>707</w:t>
      </w:r>
      <w:r>
        <w:rPr/>
        <w:t>负面信息；技术目标不是估值目标，价格越过观察位也不自动证明核心盈利正确。</w:t>
      </w:r>
    </w:p>
    <w:p>
      <w:pPr>
        <w:pStyle w:val="Heading2"/>
        <w:rPr/>
      </w:pPr>
      <w:r>
        <w:rPr>
          <w:color w:val="000000"/>
        </w:rPr>
        <w:t>十 估值模型 敏感性与年底专项</w:t>
      </w:r>
    </w:p>
    <w:p>
      <w:pPr>
        <w:pStyle w:val="Normal"/>
        <w:rPr/>
      </w:pPr>
      <w:r>
        <w:rPr/>
        <w:t>估值公式为核心产品</w:t>
      </w:r>
      <w:r>
        <w:rPr/>
        <w:t>EPS</w:t>
      </w:r>
      <w:r>
        <w:rPr/>
        <w:t>乘正常</w:t>
      </w:r>
      <w:r>
        <w:rPr/>
        <w:t>PE</w:t>
      </w:r>
      <w:r>
        <w:rPr/>
        <w:t>，加目标归母超额净现金及</w:t>
      </w:r>
      <w:r>
        <w:rPr/>
        <w:t>707</w:t>
      </w:r>
      <w:r>
        <w:rPr/>
        <w:t>海外风险调整价值按摊薄股数分摊，再乘</w:t>
      </w:r>
      <w:r>
        <w:rPr/>
        <w:t>1.10</w:t>
      </w:r>
      <w:r>
        <w:rPr/>
        <w:t>港元兑人民币换算假设。核心收入含成熟产品、新获批产品和</w:t>
      </w:r>
      <w:r>
        <w:rPr/>
        <w:t>CDMO</w:t>
      </w:r>
      <w:r>
        <w:rPr/>
        <w:t>，剔除</w:t>
      </w:r>
      <w:r>
        <w:rPr/>
        <w:t>707</w:t>
      </w:r>
      <w:r>
        <w:rPr/>
        <w:t>直接国内销售及海外特许收入；非经营利息、公允和汇兑不作正常利润。现金类资产独立计价，因而不能再把同一利息加入高倍</w:t>
      </w:r>
      <w:r>
        <w:rPr/>
        <w:t>PE</w:t>
      </w:r>
      <w:r>
        <w:rPr/>
        <w:t>。模型不是完整逐适应症</w:t>
      </w:r>
      <w:r>
        <w:rPr/>
        <w:t>DCF</w:t>
      </w:r>
      <w:r>
        <w:rPr/>
        <w:t>，对经营与现金桥明确公开简化限制。</w:t>
      </w:r>
    </w:p>
    <w:p>
      <w:pPr>
        <w:pStyle w:val="Normal"/>
        <w:rPr/>
      </w:pPr>
      <w:r>
        <w:rPr/>
        <w:t>年底核心每股盈利悲观</w:t>
      </w:r>
      <w:r>
        <w:rPr/>
        <w:t>0.50</w:t>
      </w:r>
      <w:r>
        <w:rPr/>
        <w:t>、基准</w:t>
      </w:r>
      <w:r>
        <w:rPr/>
        <w:t>0.70</w:t>
      </w:r>
      <w:r>
        <w:rPr/>
        <w:t>、乐观</w:t>
      </w:r>
      <w:r>
        <w:rPr/>
        <w:t>0.95</w:t>
      </w:r>
      <w:r>
        <w:rPr/>
        <w:t>元，对应</w:t>
      </w:r>
      <w:r>
        <w:rPr/>
        <w:t>PE</w:t>
      </w:r>
      <w:r>
        <w:rPr/>
        <w:t>十一、十五、十九倍；目标超额现金</w:t>
      </w:r>
      <w:r>
        <w:rPr/>
        <w:t>80</w:t>
      </w:r>
      <w:r>
        <w:rPr/>
        <w:t>、</w:t>
      </w:r>
      <w:r>
        <w:rPr/>
        <w:t>118</w:t>
      </w:r>
      <w:r>
        <w:rPr/>
        <w:t>、</w:t>
      </w:r>
      <w:r>
        <w:rPr/>
        <w:t>135</w:t>
      </w:r>
      <w:r>
        <w:rPr/>
        <w:t>亿元，股数</w:t>
      </w:r>
      <w:r>
        <w:rPr/>
        <w:t>26.0</w:t>
      </w:r>
      <w:r>
        <w:rPr/>
        <w:t>、</w:t>
      </w:r>
      <w:r>
        <w:rPr/>
        <w:t>25.7</w:t>
      </w:r>
      <w:r>
        <w:rPr/>
        <w:t>、</w:t>
      </w:r>
      <w:r>
        <w:rPr/>
        <w:t>25.5</w:t>
      </w:r>
      <w:r>
        <w:rPr/>
        <w:t>亿。基准产品及</w:t>
      </w:r>
      <w:r>
        <w:rPr/>
        <w:t>CDMO</w:t>
      </w:r>
      <w:r>
        <w:rPr/>
        <w:t>收入</w:t>
      </w:r>
      <w:r>
        <w:rPr/>
        <w:t>82</w:t>
      </w:r>
      <w:r>
        <w:rPr/>
        <w:t>亿元、核心归母约</w:t>
      </w:r>
      <w:r>
        <w:rPr/>
        <w:t>17.99</w:t>
      </w:r>
      <w:r>
        <w:rPr/>
        <w:t>亿元，净利率约</w:t>
      </w:r>
      <w:r>
        <w:rPr/>
        <w:t>21.94%</w:t>
      </w:r>
      <w:r>
        <w:rPr/>
        <w:t>。该盈利低于简单年化的调整利润，是因为已去授权及非经营收益；并不由管理层指导背书。近期机构较高目标多含全球权益和不同盈利，不能拿其价格反向证明本核心假设。</w:t>
      </w:r>
    </w:p>
    <w:p>
      <w:pPr>
        <w:pStyle w:val="Normal"/>
        <w:rPr/>
      </w:pPr>
      <w:r>
        <w:rPr/>
        <w:t>707</w:t>
      </w:r>
      <w:r>
        <w:rPr/>
        <w:t>风险调整模型分肺癌、其他癌种和未收到里程碑，不加终值，现金流真实放在各年十二月</w:t>
      </w:r>
      <w:r>
        <w:rPr/>
        <w:t>31</w:t>
      </w:r>
      <w:r>
        <w:rPr/>
        <w:t>，按</w:t>
      </w:r>
      <w:r>
        <w:rPr/>
        <w:t>ACT365.25</w:t>
      </w:r>
      <w:r>
        <w:rPr/>
        <w:t>折现。首个商业收入悲观</w:t>
      </w:r>
      <w:r>
        <w:rPr/>
        <w:t>2030</w:t>
      </w:r>
      <w:r>
        <w:rPr/>
        <w:t>、基准</w:t>
      </w:r>
      <w:r>
        <w:rPr/>
        <w:t>2029</w:t>
      </w:r>
      <w:r>
        <w:rPr/>
        <w:t>、乐观</w:t>
      </w:r>
      <w:r>
        <w:rPr/>
        <w:t>2028</w:t>
      </w:r>
      <w:r>
        <w:rPr/>
        <w:t>；肺癌峰值三十、六十、一百亿美元，其他十、三十、七十亿美元，采用爬坡及后期下降曲线至</w:t>
      </w:r>
      <w:r>
        <w:rPr/>
        <w:t>2043</w:t>
      </w:r>
      <w:r>
        <w:rPr/>
        <w:t>。</w:t>
      </w:r>
      <w:r>
        <w:rPr/>
        <w:t>2043</w:t>
      </w:r>
      <w:r>
        <w:rPr/>
        <w:t>是研究终止假设而非已核验专利到期。不能把尾端无终值处理误认为模型一定保守，因为前面的市场峰值和成功权重仍可能很乐观。</w:t>
      </w:r>
    </w:p>
    <w:p>
      <w:pPr>
        <w:pStyle w:val="Normal"/>
        <w:rPr/>
      </w:pPr>
      <w:r>
        <w:rPr/>
        <w:t>特许比例悲观</w:t>
      </w:r>
      <w:r>
        <w:rPr/>
        <w:t>12%</w:t>
      </w:r>
      <w:r>
        <w:rPr/>
        <w:t>、基准</w:t>
      </w:r>
      <w:r>
        <w:rPr/>
        <w:t>15%</w:t>
      </w:r>
      <w:r>
        <w:rPr/>
        <w:t>、乐观</w:t>
      </w:r>
      <w:r>
        <w:rPr/>
        <w:t>18%</w:t>
      </w:r>
      <w:r>
        <w:rPr/>
        <w:t>，合同仅公开双位数梯度，具体数字属于假设；税与服务净保留</w:t>
      </w:r>
      <w:r>
        <w:rPr/>
        <w:t>75%</w:t>
      </w:r>
      <w:r>
        <w:rPr/>
        <w:t>、</w:t>
      </w:r>
      <w:r>
        <w:rPr/>
        <w:t>78%</w:t>
      </w:r>
      <w:r>
        <w:rPr/>
        <w:t>、</w:t>
      </w:r>
      <w:r>
        <w:rPr/>
        <w:t>80%</w:t>
      </w:r>
      <w:r>
        <w:rPr/>
        <w:t>，归母经济比例</w:t>
      </w:r>
      <w:r>
        <w:rPr/>
        <w:t>85%</w:t>
      </w:r>
      <w:r>
        <w:rPr/>
        <w:t>、</w:t>
      </w:r>
      <w:r>
        <w:rPr/>
        <w:t>90%</w:t>
      </w:r>
      <w:r>
        <w:rPr/>
        <w:t>、</w:t>
      </w:r>
      <w:r>
        <w:rPr/>
        <w:t>95%</w:t>
      </w:r>
      <w:r>
        <w:rPr/>
        <w:t>。肺癌成功权重</w:t>
      </w:r>
      <w:r>
        <w:rPr/>
        <w:t>12%</w:t>
      </w:r>
      <w:r>
        <w:rPr/>
        <w:t>、</w:t>
      </w:r>
      <w:r>
        <w:rPr/>
        <w:t>35%</w:t>
      </w:r>
      <w:r>
        <w:rPr/>
        <w:t>、</w:t>
      </w:r>
      <w:r>
        <w:rPr/>
        <w:t>65%</w:t>
      </w:r>
      <w:r>
        <w:rPr/>
        <w:t>，其他</w:t>
      </w:r>
      <w:r>
        <w:rPr/>
        <w:t>6%</w:t>
      </w:r>
      <w:r>
        <w:rPr/>
        <w:t>、</w:t>
      </w:r>
      <w:r>
        <w:rPr/>
        <w:t>20%</w:t>
      </w:r>
      <w:r>
        <w:rPr/>
        <w:t>、</w:t>
      </w:r>
      <w:r>
        <w:rPr/>
        <w:t>50%</w:t>
      </w:r>
      <w:r>
        <w:rPr/>
        <w:t>，折现</w:t>
      </w:r>
      <w:r>
        <w:rPr/>
        <w:t>16%</w:t>
      </w:r>
      <w:r>
        <w:rPr/>
        <w:t>、</w:t>
      </w:r>
      <w:r>
        <w:rPr/>
        <w:t>13%</w:t>
      </w:r>
      <w:r>
        <w:rPr/>
        <w:t>、</w:t>
      </w:r>
      <w:r>
        <w:rPr/>
        <w:t>11%</w:t>
      </w:r>
      <w:r>
        <w:rPr/>
        <w:t>。这些输入各自影响结果，并不具有外部统计精确性。尤其乐观情景同时提高销售、成功率和价格，反映共同顺风，权重二成五不等于独立事件联合概率。</w:t>
      </w:r>
    </w:p>
    <w:p>
      <w:pPr>
        <w:pStyle w:val="Normal"/>
        <w:rPr/>
      </w:pPr>
      <w:r>
        <w:rPr/>
        <w:t>年底海外价值悲观约</w:t>
      </w:r>
      <w:r>
        <w:rPr/>
        <w:t>6.185</w:t>
      </w:r>
      <w:r>
        <w:rPr/>
        <w:t>亿元、基准</w:t>
      </w:r>
      <w:r>
        <w:rPr/>
        <w:t>68.662</w:t>
      </w:r>
      <w:r>
        <w:rPr/>
        <w:t>亿元、乐观</w:t>
      </w:r>
      <w:r>
        <w:rPr/>
        <w:t>397.044</w:t>
      </w:r>
      <w:r>
        <w:rPr/>
        <w:t>亿元，基准其中肺癌</w:t>
      </w:r>
      <w:r>
        <w:rPr/>
        <w:t>41.868</w:t>
      </w:r>
      <w:r>
        <w:rPr/>
        <w:t>亿元、其他</w:t>
      </w:r>
      <w:r>
        <w:rPr/>
        <w:t>11.809</w:t>
      </w:r>
      <w:r>
        <w:rPr/>
        <w:t>亿元、未来里程碑</w:t>
      </w:r>
      <w:r>
        <w:rPr/>
        <w:t>14.986</w:t>
      </w:r>
      <w:r>
        <w:rPr/>
        <w:t>亿元。合同</w:t>
      </w:r>
      <w:r>
        <w:rPr/>
        <w:t>48</w:t>
      </w:r>
      <w:r>
        <w:rPr/>
        <w:t>亿美元上限不是资产的现值，模型仅选远低上限的未来付款情景并乘成功、税和归属，已经收到首付排除。临床结果或合作条款变化应直接修订现金流及成功权重，而非为了保住原目标只提高</w:t>
      </w:r>
      <w:r>
        <w:rPr/>
        <w:t>PE</w:t>
      </w:r>
      <w:r>
        <w:rPr/>
        <w:t>。基准海外权益约贡献每股</w:t>
      </w:r>
      <w:r>
        <w:rPr/>
        <w:t>2.94</w:t>
      </w:r>
      <w:r>
        <w:rPr/>
        <w:t>港元，乐观贡献则显著更大。</w:t>
      </w:r>
    </w:p>
    <w:p>
      <w:pPr>
        <w:pStyle w:val="Normal"/>
        <w:rPr/>
      </w:pPr>
      <w:r>
        <w:rPr/>
        <w:t>年底悲观</w:t>
      </w:r>
      <w:r>
        <w:rPr/>
        <w:t>9.6963</w:t>
      </w:r>
      <w:r>
        <w:rPr/>
        <w:t>、基准</w:t>
      </w:r>
      <w:r>
        <w:rPr/>
        <w:t>19.5394</w:t>
      </w:r>
      <w:r>
        <w:rPr/>
        <w:t>、乐观</w:t>
      </w:r>
      <w:r>
        <w:rPr/>
        <w:t>42.8059</w:t>
      </w:r>
      <w:r>
        <w:rPr/>
        <w:t>港元，对现价分别约负</w:t>
      </w:r>
      <w:r>
        <w:rPr/>
        <w:t>35.66%</w:t>
      </w:r>
      <w:r>
        <w:rPr/>
        <w:t>、正</w:t>
      </w:r>
      <w:r>
        <w:rPr/>
        <w:t>29.66%</w:t>
      </w:r>
      <w:r>
        <w:rPr/>
        <w:t>、正</w:t>
      </w:r>
      <w:r>
        <w:rPr/>
        <w:t>184.06%</w:t>
      </w:r>
      <w:r>
        <w:rPr/>
        <w:t>。乐观价需要产品恢复与</w:t>
      </w:r>
      <w:r>
        <w:rPr/>
        <w:t>707</w:t>
      </w:r>
      <w:r>
        <w:rPr/>
        <w:t>权益大幅提高同时成立，年底剩余时间很短、尚无全部成熟临床证据，不能将其理解为容易实现的涨幅。</w:t>
      </w:r>
      <w:r>
        <w:rPr/>
        <w:t>25/50/25</w:t>
      </w:r>
      <w:r>
        <w:rPr/>
        <w:t>加权价</w:t>
      </w:r>
      <w:r>
        <w:rPr/>
        <w:t>22.8953</w:t>
      </w:r>
      <w:r>
        <w:rPr/>
        <w:t>高于基准，原因是上方尾部距离较远。若用</w:t>
      </w:r>
      <w:r>
        <w:rPr/>
        <w:t>40/40/20</w:t>
      </w:r>
      <w:r>
        <w:rPr/>
        <w:t>，期望</w:t>
      </w:r>
      <w:r>
        <w:rPr/>
        <w:t>20.2555</w:t>
      </w:r>
      <w:r>
        <w:rPr/>
        <w:t>、正</w:t>
      </w:r>
      <w:r>
        <w:rPr/>
        <w:t>34.41%</w:t>
      </w:r>
      <w:r>
        <w:rPr/>
        <w:t>；</w:t>
      </w:r>
      <w:r>
        <w:rPr/>
        <w:t>20/40/40</w:t>
      </w:r>
      <w:r>
        <w:rPr/>
        <w:t>则</w:t>
      </w:r>
      <w:r>
        <w:rPr/>
        <w:t>26.8774</w:t>
      </w:r>
      <w:r>
        <w:rPr/>
        <w:t>、正</w:t>
      </w:r>
      <w:r>
        <w:rPr/>
        <w:t>78.35%</w:t>
      </w:r>
      <w:r>
        <w:rPr/>
        <w:t>，说明权重就是关键研究判断。</w:t>
      </w:r>
    </w:p>
    <w:p>
      <w:pPr>
        <w:pStyle w:val="Normal"/>
        <w:rPr/>
      </w:pPr>
      <w:r>
        <w:rPr/>
        <w:t>年底价格变化除了业绩，可能由医保目录、年末风险偏好、伙伴试验更新和资本分派预期触发。宏观估值压缩也能在经营不变时导致股价下跌；新产品初期好消息可能提前反映销售多年价值，但尚未形成现金。因为离目标较近，不能把一年机构目标按剩余月份机械缩放。本文用同一年底信息集重估</w:t>
      </w:r>
      <w:r>
        <w:rPr/>
        <w:t>PE</w:t>
      </w:r>
      <w:r>
        <w:rPr/>
        <w:t>、现金和权益，而不是直接拿机构价；权重和区间不构成统计置信范围，真实极端结果可落在外面。</w:t>
      </w:r>
    </w:p>
    <w:p>
      <w:pPr>
        <w:pStyle w:val="Normal"/>
        <w:rPr/>
      </w:pPr>
      <w:r>
        <w:rPr/>
        <w:t>现金敏感性清晰：基准股数</w:t>
      </w:r>
      <w:r>
        <w:rPr/>
        <w:t>25.7</w:t>
      </w:r>
      <w:r>
        <w:rPr/>
        <w:t>亿和汇率下，每增减十亿元归母超额现金约影响</w:t>
      </w:r>
      <w:r>
        <w:rPr/>
        <w:t>0.43</w:t>
      </w:r>
      <w:r>
        <w:rPr/>
        <w:t>港元；核心</w:t>
      </w:r>
      <w:r>
        <w:rPr/>
        <w:t>EPS</w:t>
      </w:r>
      <w:r>
        <w:rPr/>
        <w:t>每增减</w:t>
      </w:r>
      <w:r>
        <w:rPr/>
        <w:t>0.10</w:t>
      </w:r>
      <w:r>
        <w:rPr/>
        <w:t>元、十五倍</w:t>
      </w:r>
      <w:r>
        <w:rPr/>
        <w:t>PE</w:t>
      </w:r>
      <w:r>
        <w:rPr/>
        <w:t>约</w:t>
      </w:r>
      <w:r>
        <w:rPr/>
        <w:t>1.65</w:t>
      </w:r>
      <w:r>
        <w:rPr/>
        <w:t>港元；核心倍数每增减两倍、</w:t>
      </w:r>
      <w:r>
        <w:rPr/>
        <w:t>EPS0.70</w:t>
      </w:r>
      <w:r>
        <w:rPr/>
        <w:t>约</w:t>
      </w:r>
      <w:r>
        <w:rPr/>
        <w:t>1.54</w:t>
      </w:r>
      <w:r>
        <w:rPr/>
        <w:t>港元。这说明经营及倍数仍重要，而非有现金就主导所有估值。海外权利估值变化十亿元也约</w:t>
      </w:r>
      <w:r>
        <w:rPr/>
        <w:t>0.43</w:t>
      </w:r>
      <w:r>
        <w:rPr/>
        <w:t>港元，但它受多个高度不确定输入共同驱动，不能只把敏感性作为小范围误差看待。</w:t>
      </w:r>
    </w:p>
    <w:p>
      <w:pPr>
        <w:pStyle w:val="Heading2"/>
        <w:rPr/>
      </w:pPr>
      <w:r>
        <w:rPr>
          <w:color w:val="000000"/>
        </w:rPr>
        <w:t>十一 四期限逻辑 预期收益与反证</w:t>
      </w:r>
    </w:p>
    <w:p>
      <w:pPr>
        <w:pStyle w:val="Normal"/>
        <w:rPr/>
      </w:pPr>
      <w:r>
        <w:rPr/>
        <w:t>半年基准</w:t>
      </w:r>
      <w:r>
        <w:rPr/>
        <w:t>20.494</w:t>
      </w:r>
      <w:r>
        <w:rPr/>
        <w:t>港元、约</w:t>
      </w:r>
      <w:r>
        <w:rPr/>
        <w:t>36%</w:t>
      </w:r>
      <w:r>
        <w:rPr/>
        <w:t>股价回报，催化主要是年度业绩说明持续产品趋势、医保准入与</w:t>
      </w:r>
      <w:r>
        <w:rPr/>
        <w:t>707</w:t>
      </w:r>
      <w:r>
        <w:rPr/>
        <w:t>开发计划，模型没有假定半年内全球全面获批。核心</w:t>
      </w:r>
      <w:r>
        <w:rPr/>
        <w:t>PE</w:t>
      </w:r>
      <w:r>
        <w:rPr/>
        <w:t>十六倍较年底十五倍略提高，反映如果证据改善市场可能接受修复。量价仍下降使执行风险较高：若财报只靠里程碑、产品并未回升，即使法定利润超预测也不足推翻弱判断。半年悲观</w:t>
      </w:r>
      <w:r>
        <w:rPr/>
        <w:t>10.17</w:t>
      </w:r>
      <w:r>
        <w:rPr/>
        <w:t>显示现金和研究价值折扣仍可带来约三分一下跌。</w:t>
      </w:r>
    </w:p>
    <w:p>
      <w:pPr>
        <w:pStyle w:val="Normal"/>
        <w:rPr/>
      </w:pPr>
      <w:r>
        <w:rPr/>
        <w:t>一年模型参考</w:t>
      </w:r>
      <w:r>
        <w:rPr/>
        <w:t>2028</w:t>
      </w:r>
      <w:r>
        <w:rPr/>
        <w:t>经营基础，基准</w:t>
      </w:r>
      <w:r>
        <w:rPr/>
        <w:t>EPS0.88</w:t>
      </w:r>
      <w:r>
        <w:rPr/>
        <w:t>、</w:t>
      </w:r>
      <w:r>
        <w:rPr/>
        <w:t>PE</w:t>
      </w:r>
      <w:r>
        <w:rPr/>
        <w:t>十七倍、产品及</w:t>
      </w:r>
      <w:r>
        <w:rPr/>
        <w:t>CDMO96</w:t>
      </w:r>
      <w:r>
        <w:rPr/>
        <w:t>亿元、超额现金</w:t>
      </w:r>
      <w:r>
        <w:rPr/>
        <w:t>128</w:t>
      </w:r>
      <w:r>
        <w:rPr/>
        <w:t>亿元、股数</w:t>
      </w:r>
      <w:r>
        <w:rPr/>
        <w:t>26</w:t>
      </w:r>
      <w:r>
        <w:rPr/>
        <w:t>亿；目标</w:t>
      </w:r>
      <w:r>
        <w:rPr/>
        <w:t>25.0617</w:t>
      </w:r>
      <w:r>
        <w:rPr/>
        <w:t>港元、含</w:t>
      </w:r>
      <w:r>
        <w:rPr/>
        <w:t>0.25</w:t>
      </w:r>
      <w:r>
        <w:rPr/>
        <w:t>息回报</w:t>
      </w:r>
      <w:r>
        <w:rPr/>
        <w:t>67.96%</w:t>
      </w:r>
      <w:r>
        <w:rPr/>
        <w:t>。收益来自产品恢复、新自免药收入和海外研发时间价值，并非单纯给旧产品更高估值。若新药出院价、续用率和销售费用不支持净利率，应同时下调收入与利润。海外进展延迟也会推迟现金并降低现值，不能只保留峰值不改上市时间。</w:t>
      </w:r>
    </w:p>
    <w:p>
      <w:pPr>
        <w:pStyle w:val="Normal"/>
        <w:rPr/>
      </w:pPr>
      <w:r>
        <w:rPr/>
        <w:t>三年基准</w:t>
      </w:r>
      <w:r>
        <w:rPr/>
        <w:t>31.469</w:t>
      </w:r>
      <w:r>
        <w:rPr/>
        <w:t>港元，累计</w:t>
      </w:r>
      <w:r>
        <w:rPr/>
        <w:t>0.85</w:t>
      </w:r>
      <w:r>
        <w:rPr/>
        <w:t>息、含息回报</w:t>
      </w:r>
      <w:r>
        <w:rPr/>
        <w:t>114.46%</w:t>
      </w:r>
      <w:r>
        <w:rPr/>
        <w:t>，年化</w:t>
      </w:r>
      <w:r>
        <w:rPr/>
        <w:t>28.96%</w:t>
      </w:r>
      <w:r>
        <w:rPr/>
        <w:t>；核心</w:t>
      </w:r>
      <w:r>
        <w:rPr/>
        <w:t>EPS1.12</w:t>
      </w:r>
      <w:r>
        <w:rPr/>
        <w:t>、</w:t>
      </w:r>
      <w:r>
        <w:rPr/>
        <w:t>PE</w:t>
      </w:r>
      <w:r>
        <w:rPr/>
        <w:t>十八倍、产品及</w:t>
      </w:r>
      <w:r>
        <w:rPr/>
        <w:t>CDMO115</w:t>
      </w:r>
      <w:r>
        <w:rPr/>
        <w:t>亿元，归母核心利润约</w:t>
      </w:r>
      <w:r>
        <w:rPr/>
        <w:t>29.79</w:t>
      </w:r>
      <w:r>
        <w:rPr/>
        <w:t>亿元。这个回报较高，成立前提是成熟治疗需求稳定、新产品形成一定规模及</w:t>
      </w:r>
      <w:r>
        <w:rPr/>
        <w:t>707</w:t>
      </w:r>
      <w:r>
        <w:rPr/>
        <w:t>没有确证性失败。三生经营仍以中国为主，海外资产只以风险折扣计，不把全球收入全归公司。悲观三年</w:t>
      </w:r>
      <w:r>
        <w:rPr/>
        <w:t>9.85</w:t>
      </w:r>
      <w:r>
        <w:rPr/>
        <w:t>说明时间变长不自动降低下行风险，长期投入可能扩大失败成本。</w:t>
      </w:r>
    </w:p>
    <w:p>
      <w:pPr>
        <w:pStyle w:val="Normal"/>
        <w:rPr/>
      </w:pPr>
      <w:r>
        <w:rPr/>
        <w:t>五年基准</w:t>
      </w:r>
      <w:r>
        <w:rPr/>
        <w:t>37.966</w:t>
      </w:r>
      <w:r>
        <w:rPr/>
        <w:t>港元，累计</w:t>
      </w:r>
      <w:r>
        <w:rPr/>
        <w:t>1.65</w:t>
      </w:r>
      <w:r>
        <w:rPr/>
        <w:t>息、含息回报</w:t>
      </w:r>
      <w:r>
        <w:rPr/>
        <w:t>162.88%</w:t>
      </w:r>
      <w:r>
        <w:rPr/>
        <w:t>、年化</w:t>
      </w:r>
      <w:r>
        <w:rPr/>
        <w:t>21.33%</w:t>
      </w:r>
      <w:r>
        <w:rPr/>
        <w:t>。核心</w:t>
      </w:r>
      <w:r>
        <w:rPr/>
        <w:t>EPS1.50</w:t>
      </w:r>
      <w:r>
        <w:rPr/>
        <w:t>、</w:t>
      </w:r>
      <w:r>
        <w:rPr/>
        <w:t>PE</w:t>
      </w:r>
      <w:r>
        <w:rPr/>
        <w:t>十七倍，假设收入</w:t>
      </w:r>
      <w:r>
        <w:rPr/>
        <w:t>150</w:t>
      </w:r>
      <w:r>
        <w:rPr/>
        <w:t>亿元、股数</w:t>
      </w:r>
      <w:r>
        <w:rPr/>
        <w:t>27.8</w:t>
      </w:r>
      <w:r>
        <w:rPr/>
        <w:t>亿及超额现金</w:t>
      </w:r>
      <w:r>
        <w:rPr/>
        <w:t>150</w:t>
      </w:r>
      <w:r>
        <w:rPr/>
        <w:t>亿元；倍数没有随年限无限上升，考虑竞争及产品成熟。海外</w:t>
      </w:r>
      <w:r>
        <w:rPr/>
        <w:t>2031</w:t>
      </w:r>
      <w:r>
        <w:rPr/>
        <w:t>前发生的模型里程碑不再保留为未来现值，其实现和支出通过目标现金桥的合计假设体现。现金桥没有完整逐年展开，属于长期可信度限制，不能把累计股息和该桥当已承诺资本分配。</w:t>
      </w:r>
    </w:p>
    <w:p>
      <w:pPr>
        <w:pStyle w:val="Normal"/>
        <w:rPr/>
      </w:pPr>
      <w:r>
        <w:rPr/>
        <w:t>长期失败路径包括新产品无法补老品价格下滑、免疫靶点拥挤使研发回报不足、</w:t>
      </w:r>
      <w:r>
        <w:rPr/>
        <w:t>707</w:t>
      </w:r>
      <w:r>
        <w:rPr/>
        <w:t>随机效果或安全性不支持全球采用、合作伙伴降低优先级、分派及少数权益使普通股归属弱于假设。任何一项出现都要回到收入、费用、现金和权益分拆重新计算，不能以“长期看好”阻止修正。单纯股价下跌不必代表公司临床失败，但如果价格弱势配合经营持续低于假设，估值便失去基础，应降低推荐层级。</w:t>
      </w:r>
    </w:p>
    <w:p>
      <w:pPr>
        <w:pStyle w:val="Normal"/>
        <w:rPr/>
      </w:pPr>
      <w:r>
        <w:rPr/>
        <w:t>2036</w:t>
      </w:r>
      <w:r>
        <w:rPr/>
        <w:t>十年经营展望重点不是给精确股价，而是公司能否将历史支持治疗现金转为持续创新平台。若新品种组合多样、临床取舍有效、制造质量稳定、国际合作具有重复性，三生有可能从区域成熟产品商向全球研发权益与本土商业化结合的企业发展。若依赖单一合作分子和偶发首付，研发管线虽多却净现金消耗持续，十年后规模可能增长而资本回报不足。此展望按能力及条件判断，不把现在技术图形延伸十年。</w:t>
      </w:r>
    </w:p>
    <w:p>
      <w:pPr>
        <w:pStyle w:val="Heading2"/>
        <w:rPr/>
      </w:pPr>
      <w:r>
        <w:rPr>
          <w:color w:val="000000"/>
        </w:rPr>
        <w:t>十二 经济政策 治理及外资机构参照</w:t>
      </w:r>
    </w:p>
    <w:p>
      <w:pPr>
        <w:pStyle w:val="Normal"/>
        <w:rPr/>
      </w:pPr>
      <w:r>
        <w:rPr/>
        <w:t>国内需求受老龄化、肿瘤存活期、透析与慢病管理增长支持，支付端仍受医保预算、集中采购、医院合规及患者自费约束。政府鼓励创新与价格压力可以同时存在：研发和审批环境改善使产品更快进入市场，但准入可能要求较低净价。企业若靠规模及费用效率维持利润，就需要销售增长高于降价幅度，不能把创新政策正面自动变成收入和毛利全面提升。半年与长期都应逐产品看可支付市场。</w:t>
      </w:r>
    </w:p>
    <w:p>
      <w:pPr>
        <w:pStyle w:val="Normal"/>
        <w:rPr/>
      </w:pPr>
      <w:r>
        <w:rPr/>
        <w:t>海外利率影响全球研发资产折现和市场风险溢价，美元对人民币变化影响授权收益与现金换算；港币与美元联系使港元定价资产和人民币业务间的汇率敏感性较突出。模型</w:t>
      </w:r>
      <w:r>
        <w:rPr/>
        <w:t>1</w:t>
      </w:r>
      <w:r>
        <w:rPr/>
        <w:t>元人民币换</w:t>
      </w:r>
      <w:r>
        <w:rPr/>
        <w:t>1.10</w:t>
      </w:r>
      <w:r>
        <w:rPr/>
        <w:t>港元、美元换</w:t>
      </w:r>
      <w:r>
        <w:rPr/>
        <w:t>7</w:t>
      </w:r>
      <w:r>
        <w:rPr/>
        <w:t>元人民币均为研究换算假设，不是基准日实测外汇行情。投资者最终换人民币回报另看港币对人民币变化，港元股价回报乘换汇变化后才是人民币总回报；汇率收益也不可和已含转换的现金价值重复计算。</w:t>
      </w:r>
    </w:p>
    <w:p>
      <w:pPr>
        <w:pStyle w:val="Normal"/>
        <w:rPr/>
      </w:pPr>
      <w:r>
        <w:rPr/>
        <w:t>例如港元股价加现金息回报</w:t>
      </w:r>
      <w:r>
        <w:rPr/>
        <w:t>67.97%</w:t>
      </w:r>
      <w:r>
        <w:rPr/>
        <w:t>，若同持有期港元兑人民币升</w:t>
      </w:r>
      <w:r>
        <w:rPr/>
        <w:t>5%</w:t>
      </w:r>
      <w:r>
        <w:rPr/>
        <w:t>，人民币含息约</w:t>
      </w:r>
      <w:r>
        <w:rPr/>
        <w:t>76.37%</w:t>
      </w:r>
      <w:r>
        <w:rPr/>
        <w:t>；若跌</w:t>
      </w:r>
      <w:r>
        <w:rPr/>
        <w:t>5%</w:t>
      </w:r>
      <w:r>
        <w:rPr/>
        <w:t>，约</w:t>
      </w:r>
      <w:r>
        <w:rPr/>
        <w:t>59.58%</w:t>
      </w:r>
      <w:r>
        <w:rPr/>
        <w:t>，计算为总回报倍率乘汇率倍率减一。此为独立敏感性，未假设具体外汇路径。企业经营现金的美元暴露还会改变人民币</w:t>
      </w:r>
      <w:r>
        <w:rPr/>
        <w:t>EPS</w:t>
      </w:r>
      <w:r>
        <w:rPr/>
        <w:t>和净现金，本模型固定预测汇率时不能同时把人民币升值当单向好处。财务报表</w:t>
      </w:r>
      <w:r>
        <w:rPr/>
        <w:t>FX</w:t>
      </w:r>
      <w:r>
        <w:rPr/>
        <w:t>亏损正说明跨币种资产真实影响股东经济价值，需避免只看港元终价。</w:t>
      </w:r>
    </w:p>
    <w:p>
      <w:pPr>
        <w:pStyle w:val="Normal"/>
        <w:rPr/>
      </w:pPr>
      <w:r>
        <w:rPr/>
        <w:t>美国对华医药投资、授权或供应链政策需要按照已生效规则与合同权利判断。截止资料中摩通讨论可能允许部分对外授权及关注</w:t>
      </w:r>
      <w:r>
        <w:rPr/>
        <w:t>COINS</w:t>
      </w:r>
      <w:r>
        <w:rPr/>
        <w:t>措辞，属于机构分析而非本项目监管获得永久豁免。海外试验由辉瑞承担可减轻三生当地执行负担，却不能消除交易审查、供应质量或跨境资金风险。本文没有据草案新闻立即删去海外现金流，也没有把所有政策讨论当禁令，只将其纳入成功、延迟和折现敏感性。</w:t>
      </w:r>
    </w:p>
    <w:p>
      <w:pPr>
        <w:pStyle w:val="Normal"/>
        <w:rPr/>
      </w:pPr>
      <w:r>
        <w:rPr/>
        <w:t>董事长兼行政总裁为婁竞，公司解释领导统一与决策效率，并承诺审查分置安排。该结构提供经验和决策速度，也减少角色分离，投资者应看独立董事、关联交易、激励及资本安排质量。</w:t>
      </w:r>
      <w:r>
        <w:rPr/>
        <w:t>2026</w:t>
      </w:r>
      <w:r>
        <w:rPr/>
        <w:t>更换安永为毕马威，公告确认没有分歧或未解决事项，不能无证据把更换定性为会计风险事件；中报为审阅而非年度审计。经营判断仍需年度审计及新核数师对授权、估值和合并范围的持续验证。</w:t>
      </w:r>
    </w:p>
    <w:p>
      <w:pPr>
        <w:pStyle w:val="Normal"/>
        <w:rPr/>
      </w:pPr>
      <w:r>
        <w:rPr/>
        <w:t>集团有第三方贷款</w:t>
      </w:r>
      <w:r>
        <w:rPr/>
        <w:t>2.6</w:t>
      </w:r>
      <w:r>
        <w:rPr/>
        <w:t>亿元、七年分期、年息</w:t>
      </w:r>
      <w:r>
        <w:rPr/>
        <w:t>6%</w:t>
      </w:r>
      <w:r>
        <w:rPr/>
        <w:t>，还有关联方贷款和待决仲裁，规模应与现金可用性和资本纪律一并看。董事评估某仲裁赔偿可能性低，并不等于风险为零；本文没有把潜在赔偿全计债务，也没有把所有非银行投资都当现金。药企现金充足后进行贷款、理财和股权配置，会产生信用、流动性及治理判断，未来回款和投资披露若恶化应下调现金回收假设。</w:t>
      </w:r>
    </w:p>
    <w:p>
      <w:pPr>
        <w:pStyle w:val="Normal"/>
        <w:rPr/>
      </w:pPr>
      <w:r>
        <w:rPr/>
        <w:t>最近</w:t>
      </w:r>
      <w:r>
        <w:rPr/>
        <w:t>90</w:t>
      </w:r>
      <w:r>
        <w:rPr/>
        <w:t>天可核验外资公开转述包括美银</w:t>
      </w:r>
      <w:r>
        <w:rPr/>
        <w:t>9</w:t>
      </w:r>
      <w:r>
        <w:rPr/>
        <w:t>月</w:t>
      </w:r>
      <w:r>
        <w:rPr/>
        <w:t>21</w:t>
      </w:r>
      <w:r>
        <w:rPr/>
        <w:t>日</w:t>
      </w:r>
      <w:r>
        <w:rPr/>
        <w:t>23.8</w:t>
      </w:r>
      <w:r>
        <w:rPr/>
        <w:t>港元、瑞银</w:t>
      </w:r>
      <w:r>
        <w:rPr/>
        <w:t>9</w:t>
      </w:r>
      <w:r>
        <w:rPr/>
        <w:t>月</w:t>
      </w:r>
      <w:r>
        <w:rPr/>
        <w:t>9</w:t>
      </w:r>
      <w:r>
        <w:rPr/>
        <w:t>日</w:t>
      </w:r>
      <w:r>
        <w:rPr/>
        <w:t>26.4</w:t>
      </w:r>
      <w:r>
        <w:rPr/>
        <w:t>、花旗</w:t>
      </w:r>
      <w:r>
        <w:rPr/>
        <w:t>8</w:t>
      </w:r>
      <w:r>
        <w:rPr/>
        <w:t>月</w:t>
      </w:r>
      <w:r>
        <w:rPr/>
        <w:t>24</w:t>
      </w:r>
      <w:r>
        <w:rPr/>
        <w:t>日</w:t>
      </w:r>
      <w:r>
        <w:rPr/>
        <w:t>34.4</w:t>
      </w:r>
      <w:r>
        <w:rPr/>
        <w:t>；里昂</w:t>
      </w:r>
      <w:r>
        <w:rPr/>
        <w:t>8</w:t>
      </w:r>
      <w:r>
        <w:rPr/>
        <w:t>月</w:t>
      </w:r>
      <w:r>
        <w:rPr/>
        <w:t>31</w:t>
      </w:r>
      <w:r>
        <w:rPr/>
        <w:t>日</w:t>
      </w:r>
      <w:r>
        <w:rPr/>
        <w:t>30.4</w:t>
      </w:r>
      <w:r>
        <w:rPr/>
        <w:t>属于中资控制国际券商，分别标明；大摩</w:t>
      </w:r>
      <w:r>
        <w:rPr/>
        <w:t>4</w:t>
      </w:r>
      <w:r>
        <w:rPr/>
        <w:t>月</w:t>
      </w:r>
      <w:r>
        <w:rPr/>
        <w:t>13</w:t>
      </w:r>
      <w:r>
        <w:rPr/>
        <w:t>日</w:t>
      </w:r>
      <w:r>
        <w:rPr/>
        <w:t>34</w:t>
      </w:r>
      <w:r>
        <w:rPr/>
        <w:t>在</w:t>
      </w:r>
      <w:r>
        <w:rPr/>
        <w:t>90</w:t>
      </w:r>
      <w:r>
        <w:rPr/>
        <w:t>天外，只作旧参照。各自目标截止日公开新闻没有明确，不能无条件称全部准确</w:t>
      </w:r>
      <w:r>
        <w:rPr/>
        <w:t>12</w:t>
      </w:r>
      <w:r>
        <w:rPr/>
        <w:t>个月目标。目标价高于现价可反映机构看到修复或全球潜力，也可能因历史假设未完全更新；本文记录日期和来源，不以机构人数替代独立判断。</w:t>
      </w:r>
    </w:p>
    <w:p>
      <w:pPr>
        <w:pStyle w:val="Normal"/>
        <w:rPr/>
      </w:pPr>
      <w:r>
        <w:rPr/>
        <w:t>花旗转述将</w:t>
      </w:r>
      <w:r>
        <w:rPr/>
        <w:t>2026</w:t>
      </w:r>
      <w:r>
        <w:rPr/>
        <w:t>每股预测降至</w:t>
      </w:r>
      <w:r>
        <w:rPr/>
        <w:t>0.85</w:t>
      </w:r>
      <w:r>
        <w:rPr/>
        <w:t>元、</w:t>
      </w:r>
      <w:r>
        <w:rPr/>
        <w:t>2027</w:t>
      </w:r>
      <w:r>
        <w:rPr/>
        <w:t>及</w:t>
      </w:r>
      <w:r>
        <w:rPr/>
        <w:t>2028</w:t>
      </w:r>
      <w:r>
        <w:rPr/>
        <w:t>升至</w:t>
      </w:r>
      <w:r>
        <w:rPr/>
        <w:t>0.96</w:t>
      </w:r>
      <w:r>
        <w:rPr/>
        <w:t>和</w:t>
      </w:r>
      <w:r>
        <w:rPr/>
        <w:t>1.05</w:t>
      </w:r>
      <w:r>
        <w:rPr/>
        <w:t>元，提及税率、反腐影响、新品种及</w:t>
      </w:r>
      <w:r>
        <w:rPr/>
        <w:t>707</w:t>
      </w:r>
      <w:r>
        <w:rPr/>
        <w:t>全球试验。其预测可能包含里程碑，不能和本核心</w:t>
      </w:r>
      <w:r>
        <w:rPr/>
        <w:t>0.70</w:t>
      </w:r>
      <w:r>
        <w:rPr/>
        <w:t>元直接说谁更悲观，需先统一盈利口径。里昂称去现金未来一年</w:t>
      </w:r>
      <w:r>
        <w:rPr/>
        <w:t>PE7.4</w:t>
      </w:r>
      <w:r>
        <w:rPr/>
        <w:t>倍，也使用其自己现金及利润定义。机构目标范围</w:t>
      </w:r>
      <w:r>
        <w:rPr/>
        <w:t>23.8</w:t>
      </w:r>
      <w:r>
        <w:rPr/>
        <w:t>至</w:t>
      </w:r>
      <w:r>
        <w:rPr/>
        <w:t>34.4</w:t>
      </w:r>
      <w:r>
        <w:rPr/>
        <w:t>与本一年基准</w:t>
      </w:r>
      <w:r>
        <w:rPr/>
        <w:t>25.06</w:t>
      </w:r>
      <w:r>
        <w:rPr/>
        <w:t>部分接近，只是交叉参照；没有原始研报及完整模型时，不把公开转载变为机构背书的事实。</w:t>
      </w:r>
    </w:p>
    <w:p>
      <w:pPr>
        <w:pStyle w:val="Normal"/>
        <w:rPr/>
      </w:pPr>
      <w:r>
        <w:rPr/>
        <w:t>本证券值得在全名单中保留较高的三年观察优先级，因为已有商业化资产、签约国际合作和显著折价提供多条收益路径；短线分数低，反映目前证据偏向价格下降和产品压力。最终排名由统一四期限评分与不同公司比较决定，本章不预设前十。需要在下一轮财报、</w:t>
      </w:r>
      <w:r>
        <w:rPr/>
        <w:t>707</w:t>
      </w:r>
      <w:r>
        <w:rPr/>
        <w:t>研究、医保和蔓迪实施公告后同步改总表、目标与推荐条件，不能只在正文附一条风险而保留旧价格。完成研究的意义是留下可被反证和复算的判断。</w:t>
      </w:r>
    </w:p>
    <w:p>
      <w:pPr>
        <w:pStyle w:val="Heading2"/>
        <w:rPr/>
      </w:pPr>
      <w:r>
        <w:rPr>
          <w:color w:val="000000"/>
        </w:rPr>
        <w:t>来源与模型记录</w:t>
      </w:r>
    </w:p>
    <w:p>
      <w:pPr>
        <w:pStyle w:val="Normal"/>
        <w:rPr/>
      </w:pPr>
      <w:r>
        <w:rPr/>
        <w:t>- 2026</w:t>
      </w:r>
      <w:r>
        <w:rPr/>
        <w:t>中报，</w:t>
      </w:r>
      <w:r>
        <w:rPr/>
        <w:t>2026-09-30</w:t>
      </w:r>
      <w:r>
        <w:rPr/>
        <w:t>发布；财务期间</w:t>
      </w:r>
      <w:r>
        <w:rPr/>
        <w:t>2026H1</w:t>
      </w:r>
      <w:r>
        <w:rPr/>
        <w:t xml:space="preserve">，人民币千元原表： </w:t>
      </w:r>
      <w:r>
        <w:rPr/>
        <w:t>https://iis.aastocks.com/20260930/12352467-0.PDF</w:t>
      </w:r>
    </w:p>
    <w:p>
      <w:pPr>
        <w:pStyle w:val="Normal"/>
        <w:rPr/>
      </w:pPr>
      <w:r>
        <w:rPr/>
        <w:t>- 2026</w:t>
      </w:r>
      <w:r>
        <w:rPr/>
        <w:t>中期公告，</w:t>
      </w:r>
      <w:r>
        <w:rPr/>
        <w:t>2026-08-20</w:t>
      </w:r>
      <w:r>
        <w:rPr/>
        <w:t xml:space="preserve">： </w:t>
      </w:r>
      <w:r>
        <w:rPr/>
        <w:t>https://iis.aastocks.com/20260820/12293327-0.PDF</w:t>
      </w:r>
    </w:p>
    <w:p>
      <w:pPr>
        <w:pStyle w:val="Normal"/>
        <w:rPr/>
      </w:pPr>
      <w:r>
        <w:rPr/>
        <w:t>- 2025</w:t>
      </w:r>
      <w:r>
        <w:rPr/>
        <w:t>年报，</w:t>
      </w:r>
      <w:r>
        <w:rPr/>
        <w:t>2026-04-29</w:t>
      </w:r>
      <w:r>
        <w:rPr/>
        <w:t>；</w:t>
      </w:r>
      <w:r>
        <w:rPr/>
        <w:t>707</w:t>
      </w:r>
      <w:r>
        <w:rPr/>
        <w:t xml:space="preserve">合同及历史财务： </w:t>
      </w:r>
      <w:r>
        <w:rPr/>
        <w:t>https://iis.aastocks.com/20260429/12135986-0.PDF</w:t>
      </w:r>
    </w:p>
    <w:p>
      <w:pPr>
        <w:pStyle w:val="Normal"/>
        <w:rPr/>
      </w:pPr>
      <w:r>
        <w:rPr/>
        <w:t xml:space="preserve">- </w:t>
      </w:r>
      <w:r>
        <w:rPr/>
        <w:t>蔓迪附条件分派，</w:t>
      </w:r>
      <w:r>
        <w:rPr/>
        <w:t>2026-03-30</w:t>
      </w:r>
      <w:r>
        <w:rPr/>
        <w:t xml:space="preserve">： </w:t>
      </w:r>
      <w:r>
        <w:rPr/>
        <w:t>https://iis.aastocks.com/20260330/12079052-0.PDF</w:t>
      </w:r>
    </w:p>
    <w:p>
      <w:pPr>
        <w:pStyle w:val="Normal"/>
        <w:rPr/>
      </w:pPr>
      <w:r>
        <w:rPr/>
        <w:t>- 2025</w:t>
      </w:r>
      <w:r>
        <w:rPr/>
        <w:t>末期现金息公告，</w:t>
      </w:r>
      <w:r>
        <w:rPr/>
        <w:t>2026-03-30</w:t>
      </w:r>
      <w:r>
        <w:rPr/>
        <w:t xml:space="preserve">： </w:t>
      </w:r>
      <w:r>
        <w:rPr/>
        <w:t>https://iis.aastocks.com/20260330/12079042-0.PDF</w:t>
      </w:r>
    </w:p>
    <w:p>
      <w:pPr>
        <w:pStyle w:val="Normal"/>
        <w:rPr/>
      </w:pPr>
      <w:r>
        <w:rPr/>
        <w:t>- 9</w:t>
      </w:r>
      <w:r>
        <w:rPr/>
        <w:t>月股数月报，</w:t>
      </w:r>
      <w:r>
        <w:rPr/>
        <w:t>2026-10-02</w:t>
      </w:r>
      <w:r>
        <w:rPr/>
        <w:t xml:space="preserve">： </w:t>
      </w:r>
      <w:r>
        <w:rPr/>
        <w:t>https://iis.aastocks.com/20261002/12359712-0.PDF</w:t>
      </w:r>
    </w:p>
    <w:p>
      <w:pPr>
        <w:pStyle w:val="Normal"/>
        <w:rPr/>
      </w:pPr>
      <w:r>
        <w:rPr/>
        <w:t>- 10</w:t>
      </w:r>
      <w:r>
        <w:rPr/>
        <w:t>月</w:t>
      </w:r>
      <w:r>
        <w:rPr/>
        <w:t>9</w:t>
      </w:r>
      <w:r>
        <w:rPr/>
        <w:t>购回，</w:t>
      </w:r>
      <w:r>
        <w:rPr/>
        <w:t>18:39</w:t>
      </w:r>
      <w:r>
        <w:rPr/>
        <w:t xml:space="preserve">收盘后发布： </w:t>
      </w:r>
      <w:r>
        <w:rPr/>
        <w:t>https://iis.aastocks.com/20261009/12368677-0.PDF</w:t>
      </w:r>
    </w:p>
    <w:p>
      <w:pPr>
        <w:pStyle w:val="Normal"/>
        <w:rPr/>
      </w:pPr>
      <w:r>
        <w:rPr/>
        <w:t xml:space="preserve">- </w:t>
      </w:r>
      <w:r>
        <w:rPr/>
        <w:t>外资机构公开转述日期、目标、币种、归属及链接见</w:t>
      </w:r>
      <w:r>
        <w:rPr/>
        <w:t>data/3sbio_model.json</w:t>
      </w:r>
      <w:r>
        <w:rPr/>
        <w:t>，均未取得研报原件；</w:t>
      </w:r>
      <w:r>
        <w:rPr/>
        <w:t>MS</w:t>
      </w:r>
      <w:r>
        <w:rPr/>
        <w:t>超</w:t>
      </w:r>
      <w:r>
        <w:rPr/>
        <w:t>90</w:t>
      </w:r>
      <w:r>
        <w:rPr/>
        <w:t>天单列。</w:t>
      </w:r>
    </w:p>
    <w:p>
      <w:pPr>
        <w:pStyle w:val="Normal"/>
        <w:rPr/>
      </w:pPr>
      <w:r>
        <w:rPr/>
        <w:t xml:space="preserve">- </w:t>
      </w:r>
      <w:r>
        <w:rPr/>
        <w:t>行情原始、复权校验和修复见</w:t>
      </w:r>
      <w:r>
        <w:rPr/>
        <w:t>data/history/S028.json</w:t>
      </w:r>
      <w:r>
        <w:rPr/>
        <w:t>；指标见</w:t>
      </w:r>
      <w:r>
        <w:rPr/>
        <w:t>data/market_snapshot.json</w:t>
      </w:r>
      <w:r>
        <w:rPr/>
        <w:t>；情景模型</w:t>
      </w:r>
      <w:r>
        <w:rPr/>
        <w:t>tools/3sbio_model.mjs</w:t>
      </w:r>
      <w:r>
        <w:rPr/>
        <w:t>。</w:t>
      </w:r>
      <w:r>
        <w:br w:type="page"/>
      </w:r>
    </w:p>
    <w:p>
      <w:pPr>
        <w:pStyle w:val="Heading1"/>
        <w:rPr/>
      </w:pPr>
      <w:bookmarkStart w:id="5" w:name="__RefHeading___Toc37113_312338234"/>
      <w:bookmarkEnd w:id="5"/>
      <w:r>
        <w:rPr>
          <w:color w:val="000000"/>
        </w:rPr>
        <w:t xml:space="preserve">键凯科技 </w:t>
      </w:r>
      <w:r>
        <w:rPr>
          <w:color w:val="000000"/>
        </w:rPr>
        <w:t>688356 SH</w:t>
      </w:r>
    </w:p>
    <w:p>
      <w:pPr>
        <w:pStyle w:val="Normal"/>
        <w:rPr/>
      </w:pPr>
      <w:r>
        <w:rPr/>
        <w:t xml:space="preserve">688356.SH </w:t>
      </w:r>
      <w:r>
        <w:rPr/>
        <w:t xml:space="preserve">现价 </w:t>
      </w:r>
      <w:r>
        <w:rPr/>
        <w:t>107.90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100.80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117.00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+40.87%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+41.98%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175.00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+62.19%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+64.60%</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36.75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-65.94%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96.00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+36.24%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93.94CNY</w:t>
      </w:r>
      <w:r>
        <w:rPr/>
        <w:t>，期望股价回报</w:t>
      </w:r>
      <w:r>
        <w:rPr/>
        <w:t>-12.94%</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35.20</w:t>
              <w:br/>
              <w:t>-67.38%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100.80</w:t>
              <w:br/>
              <w:t>-6.58%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173.60</w:t>
              <w:br/>
              <w:t>+60.89%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36.00</w:t>
              <w:br/>
              <w:t>-66.64%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117.00</w:t>
              <w:br/>
              <w:t>+8.43%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197.20</w:t>
              <w:br/>
              <w:t>+82.76%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39.00</w:t>
              <w:br/>
              <w:t>-63.86%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152.00</w:t>
              <w:br/>
              <w:t>+40.87%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312.00</w:t>
              <w:br/>
              <w:t>+189.16%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+12.39%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37.40</w:t>
              <w:br/>
              <w:t>-65.34%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175.00</w:t>
              <w:br/>
              <w:t>+62.19%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360.00</w:t>
              <w:br/>
              <w:t>+233.64%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+10.48%</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高：原财报和专项公告；园区现金时点及临床全文未取得</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728</w:t>
            </w:r>
            <w:r>
              <w:rPr>
                <w:rFonts w:ascii="微软雅黑" w:hAnsi="微软雅黑" w:eastAsia="微软雅黑"/>
                <w:sz w:val="17"/>
              </w:rPr>
              <w:t>日双源日线，股单位和分红核对</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中低：正常化盈利、倍数及园区</w:t>
            </w:r>
            <w:r>
              <w:rPr>
                <w:rFonts w:eastAsia="微软雅黑" w:ascii="微软雅黑" w:hAnsi="微软雅黑"/>
                <w:sz w:val="17"/>
              </w:rPr>
              <w:t>/</w:t>
            </w:r>
            <w:r>
              <w:rPr>
                <w:rFonts w:ascii="微软雅黑" w:hAnsi="微软雅黑" w:eastAsia="微软雅黑"/>
                <w:sz w:val="17"/>
              </w:rPr>
              <w:t>融资为情景，完整</w:t>
            </w:r>
            <w:r>
              <w:rPr>
                <w:rFonts w:eastAsia="微软雅黑" w:ascii="微软雅黑" w:hAnsi="微软雅黑"/>
                <w:sz w:val="17"/>
              </w:rPr>
              <w:t>DCF</w:t>
            </w:r>
            <w:r>
              <w:rPr>
                <w:rFonts w:ascii="微软雅黑" w:hAnsi="微软雅黑" w:eastAsia="微软雅黑"/>
                <w:sz w:val="17"/>
              </w:rPr>
              <w:t>和三表缺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缺失</w:t>
            </w:r>
          </w:p>
        </w:tc>
      </w:tr>
    </w:tbl>
    <w:p>
      <w:pPr>
        <w:pStyle w:val="Normal"/>
        <w:rPr/>
      </w:pPr>
      <w:r>
        <w:rPr/>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I017</w:t>
      </w:r>
      <w:r>
        <w:rPr/>
        <w:t>，证券</w:t>
      </w:r>
      <w:r>
        <w:rPr/>
        <w:t>S019</w:t>
      </w:r>
      <w:r>
        <w:rPr/>
        <w:t>，</w:t>
      </w:r>
      <w:r>
        <w:rPr/>
        <w:t>688356.SH</w:t>
      </w:r>
      <w:r>
        <w:rPr/>
        <w:t>。价格基准</w:t>
      </w:r>
      <w:r>
        <w:rPr/>
        <w:t>2026</w:t>
      </w:r>
      <w:r>
        <w:rPr/>
        <w:t>年</w:t>
      </w:r>
      <w:r>
        <w:rPr/>
        <w:t>10</w:t>
      </w:r>
      <w:r>
        <w:rPr/>
        <w:t>月</w:t>
      </w:r>
      <w:r>
        <w:rPr/>
        <w:t>9</w:t>
      </w:r>
      <w:r>
        <w:rPr/>
        <w:t>日收盘</w:t>
      </w:r>
      <w:r>
        <w:rPr/>
        <w:t>107.90</w:t>
      </w:r>
      <w:r>
        <w:rPr/>
        <w:t>元人民币，资料截止该日。独立初版，事实、情景和资料缺口分别说明；金额除另注外均为人民币百万元。目标日休市由总表统一取此前交易日。正文与</w:t>
      </w:r>
      <w:r>
        <w:rPr/>
        <w:t>jenkem_model.json</w:t>
      </w:r>
      <w:r>
        <w:rPr/>
        <w:t>同源，主要结论不能代替逐年分部</w:t>
      </w:r>
      <w:r>
        <w:rPr/>
        <w:t>DCF</w:t>
      </w:r>
      <w:r>
        <w:rPr/>
        <w:t>或临床专业审查。</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乐观价格，元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基准累计税前股息，元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基准总回报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35.20 / 100.80 / 173.60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36.00 / 117.00 / 197.20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39.00 / 152.00 / 312.00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40.87%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41.98%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37.40 / 175.00 / 360.00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62.19%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64.60%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不另评分</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36.75 / 96.00 / 147.00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-11.03%</w:t>
            </w:r>
          </w:p>
        </w:tc>
      </w:tr>
    </w:tbl>
    <w:p>
      <w:pPr>
        <w:pStyle w:val="Normal"/>
        <w:rPr/>
      </w:pPr>
      <w:r>
        <w:rPr/>
      </w:r>
    </w:p>
    <w:p>
      <w:pPr>
        <w:pStyle w:val="Normal"/>
        <w:rPr/>
      </w:pPr>
      <w:r>
        <w:rPr/>
        <w:t>三年、五年基准含分红年化</w:t>
      </w:r>
      <w:r>
        <w:rPr/>
        <w:t>12.39%</w:t>
      </w:r>
      <w:r>
        <w:rPr/>
        <w:t>、</w:t>
      </w:r>
      <w:r>
        <w:rPr/>
        <w:t>10.48%</w:t>
      </w:r>
      <w:r>
        <w:rPr/>
        <w:t>。年底</w:t>
      </w:r>
      <w:r>
        <w:rPr/>
        <w:t>25%/50%/25%</w:t>
      </w:r>
      <w:r>
        <w:rPr/>
        <w:t>加权期望价</w:t>
      </w:r>
      <w:r>
        <w:rPr/>
        <w:t>93.9375</w:t>
      </w:r>
      <w:r>
        <w:rPr/>
        <w:t>元，期望回报</w:t>
      </w:r>
      <w:r>
        <w:rPr/>
        <w:t>-12.94%</w:t>
      </w:r>
      <w:r>
        <w:rPr/>
        <w:t>；防御权重</w:t>
      </w:r>
      <w:r>
        <w:rPr/>
        <w:t>40%/50%/10%</w:t>
      </w:r>
      <w:r>
        <w:rPr/>
        <w:t>对应</w:t>
      </w:r>
      <w:r>
        <w:rPr/>
        <w:t>77.40</w:t>
      </w:r>
      <w:r>
        <w:rPr/>
        <w:t>元，进取权重</w:t>
      </w:r>
      <w:r>
        <w:rPr/>
        <w:t>10%/50%/40%</w:t>
      </w:r>
      <w:r>
        <w:rPr/>
        <w:t>对应</w:t>
      </w:r>
      <w:r>
        <w:rPr/>
        <w:t>110.475</w:t>
      </w:r>
      <w:r>
        <w:rPr/>
        <w:t>元。判断权重不等于真实概率，价格区间不是统计置信区间或最大损失边界。全名单梯队按总表统一归组；本章判断为半年观察、一年谨慎候选、三年有条件成长候选，五年需重新检验资本回报。基础事实可信度较高，估值中低，外资目标缺失。</w:t>
      </w:r>
    </w:p>
    <w:p>
      <w:pPr>
        <w:pStyle w:val="Heading2"/>
        <w:rPr/>
      </w:pPr>
      <w:r>
        <w:rPr>
          <w:color w:val="000000"/>
        </w:rPr>
        <w:t>投资结论</w:t>
      </w:r>
    </w:p>
    <w:p>
      <w:pPr>
        <w:pStyle w:val="Normal"/>
        <w:rPr/>
      </w:pPr>
      <w:r>
        <w:rPr/>
        <w:t>键凯科技在进取型研究名单中值得跟踪，但以</w:t>
      </w:r>
      <w:r>
        <w:rPr/>
        <w:t>107.90</w:t>
      </w:r>
      <w:r>
        <w:rPr/>
        <w:t>元为买入基准，尚不足以成为本章最优核心推荐。公司材料业务的收入和毛利正在改善，医用药用聚乙二醇活性衍生物具有质量、工艺和客户认证壁垒，国内新产品客户的放量也提供了现实增长依据。与此同时，当前价格对持续盈利修复已有较强要求，最大客户集中、临床项目退出及健康园区投资给现金配置增加不确定性。半年图形强只能支持趋势观察，不能消除长期回报和经营证据之间的距离。</w:t>
      </w:r>
    </w:p>
    <w:p>
      <w:pPr>
        <w:pStyle w:val="Normal"/>
        <w:rPr/>
      </w:pPr>
      <w:r>
        <w:rPr/>
        <w:t>半年</w:t>
      </w:r>
      <w:r>
        <w:rPr/>
        <w:t>62.7</w:t>
      </w:r>
      <w:r>
        <w:rPr/>
        <w:t>分主要由量价和收入改善支撑，估值回报维度仅</w:t>
      </w:r>
      <w:r>
        <w:rPr/>
        <w:t>1.9</w:t>
      </w:r>
      <w:r>
        <w:rPr/>
        <w:t>分。二十日上涨</w:t>
      </w:r>
      <w:r>
        <w:rPr/>
        <w:t>29.66%</w:t>
      </w:r>
      <w:r>
        <w:rPr/>
        <w:t>，相对沪深三百明显领先，价格在四条主要日均线之上；然而二十日均线乖离</w:t>
      </w:r>
      <w:r>
        <w:rPr/>
        <w:t>21.24%</w:t>
      </w:r>
      <w:r>
        <w:rPr/>
        <w:t>，日平均真实波幅约</w:t>
      </w:r>
      <w:r>
        <w:rPr/>
        <w:t>8.21%</w:t>
      </w:r>
      <w:r>
        <w:rPr/>
        <w:t>，已经包含较高交易波动。半年基准</w:t>
      </w:r>
      <w:r>
        <w:rPr/>
        <w:t>100.80</w:t>
      </w:r>
      <w:r>
        <w:rPr/>
        <w:t>元低于现价，反映主业改善仍可能被估值回落抵消。若希望借技术动量参与，必须接受基本面目标不足以给短期追价提供宽安全边际这一事实。</w:t>
      </w:r>
    </w:p>
    <w:p>
      <w:pPr>
        <w:pStyle w:val="Normal"/>
        <w:rPr/>
      </w:pPr>
      <w:r>
        <w:rPr/>
        <w:t>一年</w:t>
      </w:r>
      <w:r>
        <w:rPr/>
        <w:t>117</w:t>
      </w:r>
      <w:r>
        <w:rPr/>
        <w:t>元基准由每股持续盈利</w:t>
      </w:r>
      <w:r>
        <w:rPr/>
        <w:t>2.60</w:t>
      </w:r>
      <w:r>
        <w:rPr/>
        <w:t>元乘四十五倍市盈率得出，对应约</w:t>
      </w:r>
      <w:r>
        <w:rPr/>
        <w:t>157.69</w:t>
      </w:r>
      <w:r>
        <w:rPr/>
        <w:t>百万元归母盈利能力、</w:t>
      </w:r>
      <w:r>
        <w:rPr/>
        <w:t>520</w:t>
      </w:r>
      <w:r>
        <w:rPr/>
        <w:t>百万元收入和</w:t>
      </w:r>
      <w:r>
        <w:rPr/>
        <w:t>30.33%</w:t>
      </w:r>
      <w:r>
        <w:rPr/>
        <w:t>净利率。与</w:t>
      </w:r>
      <w:r>
        <w:rPr/>
        <w:t>2025</w:t>
      </w:r>
      <w:r>
        <w:rPr/>
        <w:t>年归母</w:t>
      </w:r>
      <w:r>
        <w:rPr/>
        <w:t>61.70</w:t>
      </w:r>
      <w:r>
        <w:rPr/>
        <w:t>百万元相比，这是显著恢复与增长情景，并非保守的静态估值。即使兑现，一年股价空间也只有</w:t>
      </w:r>
      <w:r>
        <w:rPr/>
        <w:t>8.43%</w:t>
      </w:r>
      <w:r>
        <w:rPr/>
        <w:t>，含</w:t>
      </w:r>
      <w:r>
        <w:rPr/>
        <w:t>0.32</w:t>
      </w:r>
      <w:r>
        <w:rPr/>
        <w:t>元研究股息约</w:t>
      </w:r>
      <w:r>
        <w:rPr/>
        <w:t>8.73%</w:t>
      </w:r>
      <w:r>
        <w:rPr/>
        <w:t>。相比其他高成长公司可能提供的收益赔率，这一回报需要较高盈利兑现却给出有限基准空间，因此一年推荐仍较审慎。</w:t>
      </w:r>
    </w:p>
    <w:p>
      <w:pPr>
        <w:pStyle w:val="Normal"/>
        <w:rPr/>
      </w:pPr>
      <w:r>
        <w:rPr/>
        <w:t>三年和五年的成长价值在于材料技术能否不断进入获批药品、器械和新递送应用，而不是把所有自研项目视作成功。三年基准收入</w:t>
      </w:r>
      <w:r>
        <w:rPr/>
        <w:t>760</w:t>
      </w:r>
      <w:r>
        <w:rPr/>
        <w:t>百万元、归母约</w:t>
      </w:r>
      <w:r>
        <w:rPr/>
        <w:t>242.00</w:t>
      </w:r>
      <w:r>
        <w:rPr/>
        <w:t>百万元，五年</w:t>
      </w:r>
      <w:r>
        <w:rPr/>
        <w:t>1050</w:t>
      </w:r>
      <w:r>
        <w:rPr/>
        <w:t>百万元、</w:t>
      </w:r>
      <w:r>
        <w:rPr/>
        <w:t>318.42</w:t>
      </w:r>
      <w:r>
        <w:rPr/>
        <w:t>百万元，分别隐含持续扩张和资本效率改善。模型给三年每股</w:t>
      </w:r>
      <w:r>
        <w:rPr/>
        <w:t>3.80</w:t>
      </w:r>
      <w:r>
        <w:rPr/>
        <w:t>元、四十倍，五年</w:t>
      </w:r>
      <w:r>
        <w:rPr/>
        <w:t>5</w:t>
      </w:r>
      <w:r>
        <w:rPr/>
        <w:t>元、三十五倍，主动压低较长期估值。期限越长，研发与建设选择的累积效果越大，五年评分低于三年正是因为资本配置和替代技术的反证不能被时间自动化解。</w:t>
      </w:r>
    </w:p>
    <w:p>
      <w:pPr>
        <w:pStyle w:val="Normal"/>
        <w:rPr/>
      </w:pPr>
      <w:r>
        <w:rPr/>
        <w:t>最重要的反证不是一次季度回调，而是新客户增长无法填补原有大客户内化供应造成的缺口、材料价格持续下降、器械端交付不足以抵消海外药品端去库存，以及新增建设投入不能转化为现金利润。若这些变化连续出现，应同时下调收入、毛利、股数与估值假设。反之，若公司用独立合同、回款、批次毛利和资本支出进度证明增长质量，推荐可以上调。现阶段用可核验的经营结果作为加分条件，比用新应用名称扩大市场故事更有约束力。</w:t>
      </w:r>
    </w:p>
    <w:p>
      <w:pPr>
        <w:pStyle w:val="Heading2"/>
        <w:rPr/>
      </w:pPr>
      <w:r>
        <w:rPr>
          <w:color w:val="000000"/>
        </w:rPr>
        <w:t>材料平台的收入来源与经济机制</w:t>
      </w:r>
    </w:p>
    <w:p>
      <w:pPr>
        <w:pStyle w:val="Normal"/>
        <w:rPr/>
      </w:pPr>
      <w:r>
        <w:rPr/>
        <w:t>公司核心产品是高纯度、低分散度医用药用聚乙二醇及活性衍生物。聚乙二醇本身用途广，但药物与植入器械需要更严格的分子量分布、活性端基、杂质控制和批次稳定性。公司向下游药企、器械企业与科研机构销售材料，材料随后进入对方产品开发和生产。最终销售额由采购克数、品种价格、临床推进与终端放量共同决定，并不等同下游药物的销售收入，也不能用某个药物的总市场直接估计键凯的收入份额。</w:t>
      </w:r>
    </w:p>
    <w:p>
      <w:pPr>
        <w:pStyle w:val="Normal"/>
        <w:rPr/>
      </w:pPr>
      <w:r>
        <w:rPr/>
        <w:t>公司目录超过六百种细分产品，可按分子量、空间结构和功能端基区分。不同衍生物能够用于蛋白、核酸、小分子连接与凝胶器械，目录广度有助于研发客户选择，但数量不是收入保证。同一客户可能需要多个试验品种，最终只选其中一种；部分品种长期停留在研究阶段。有效商业壁垒应当来自被采用后的稳定供应和可重复质量，而非把六百种产品都当作独立、同额、商业化成熟的利润来源。</w:t>
      </w:r>
    </w:p>
    <w:p>
      <w:pPr>
        <w:pStyle w:val="Normal"/>
        <w:rPr/>
      </w:pPr>
      <w:r>
        <w:rPr/>
        <w:t>定制开发模式形成先投入、后回收的经济结构。中报说明，公司原则上不对前期分子结构、合成路线及分析方法开发收费，以后续材料销售收回成本。这个模式能降低客户尝试门槛，推动较深技术合作，却把早期失败和客户改换路线的成本留在供应商端。若药物进入商业化，定制能力可能换来高毛利与稳定采购；若研发停止或客户自建生产，前期费用可能没有对应收入。因此研发费用不能在所有期间都作为非经常支出剔除。</w:t>
      </w:r>
    </w:p>
    <w:p>
      <w:pPr>
        <w:pStyle w:val="Normal"/>
        <w:rPr/>
      </w:pPr>
      <w:r>
        <w:rPr/>
        <w:t>技术使用费是另一类收入，由专利授权、里程碑和收益分成形成。</w:t>
      </w:r>
      <w:r>
        <w:rPr/>
        <w:t>2026</w:t>
      </w:r>
      <w:r>
        <w:rPr/>
        <w:t>年上半年约</w:t>
      </w:r>
      <w:r>
        <w:rPr/>
        <w:t>14.03</w:t>
      </w:r>
      <w:r>
        <w:rPr/>
        <w:t>百万元，约占收入</w:t>
      </w:r>
      <w:r>
        <w:rPr/>
        <w:t>7.58%</w:t>
      </w:r>
      <w:r>
        <w:rPr/>
        <w:t>；销售产品</w:t>
      </w:r>
      <w:r>
        <w:rPr/>
        <w:t>170.75</w:t>
      </w:r>
      <w:r>
        <w:rPr/>
        <w:t>百万元，占</w:t>
      </w:r>
      <w:r>
        <w:rPr/>
        <w:t>92.26%</w:t>
      </w:r>
      <w:r>
        <w:rPr/>
        <w:t>，运输服务约</w:t>
      </w:r>
      <w:r>
        <w:rPr/>
        <w:t>0.28</w:t>
      </w:r>
      <w:r>
        <w:rPr/>
        <w:t>百万元。技术费增长可以提高毛利，但一次里程碑与长期重复提成都有可能落在同一科目。没有合同期限、最低付款或终端销售基数时，不宜把上半年的增量技术费永久年化。材料与授权应分别判断需求和利润，避免同一技术价值被两次计入估值。</w:t>
      </w:r>
    </w:p>
    <w:p>
      <w:pPr>
        <w:pStyle w:val="Normal"/>
        <w:rPr/>
      </w:pPr>
      <w:r>
        <w:rPr/>
        <w:t>供应链由辽宁原料合成和天津衍生物生产共同组成。原料自供能够控制纯度、来源和成本，也减少外部供应瓶颈，但同时提高固定资产与产能管理要求。下游药品注册后更换关键材料通常需要验证，可能增强粘性；这种切换成本属于具体产品和质量文件的关系，不代表客户永不更换。客户在下一代产品开发时选择其他材料，或者建立双供应商，都可能在不突然中断现有药品的情况下减弱长期份额。</w:t>
      </w:r>
    </w:p>
    <w:p>
      <w:pPr>
        <w:pStyle w:val="Normal"/>
        <w:rPr/>
      </w:pPr>
      <w:r>
        <w:rPr/>
        <w:t>产品质量涉及聚合过程、纯化、官能团引入以及分析确认。中报称原料纯度达到</w:t>
      </w:r>
      <w:r>
        <w:rPr/>
        <w:t>99%</w:t>
      </w:r>
      <w:r>
        <w:rPr/>
        <w:t>以上，并具有批间稳定性；本章将其作为公司披露的工艺证据，不把它解释为所有客户、所有品种都达到同一质量阈值。对投资者更有价值的验证是持续订单、退货、检查与获批产品引用记录。未取得每个客户质量协议和监管原件，不能用一项体系认证替代所有产品合规，也不能据此免除工艺放大中的失败风险。</w:t>
      </w:r>
    </w:p>
    <w:p>
      <w:pPr>
        <w:pStyle w:val="Normal"/>
        <w:rPr/>
      </w:pPr>
      <w:r>
        <w:rPr/>
        <w:t>公司披露支持八个国内已上市聚乙二醇修饰药物，四十余家国内临床客户；海外有十一款商业器械、三款商业药物，约三十个药物客户与二十余个器械项目处于临床或临床附近。这个数量支持渠道和项目积累，却不提供同额采购承诺。已上市产品也可能面对竞争、降价或适应症受限，研发项目更可能停滞。三年收入模型需要其中一部分转化与原客户复购，不能假设全部项目同时成功并按同一增长速度贡献。</w:t>
      </w:r>
    </w:p>
    <w:p>
      <w:pPr>
        <w:pStyle w:val="Heading2"/>
        <w:rPr/>
      </w:pPr>
      <w:r>
        <w:rPr>
          <w:color w:val="000000"/>
        </w:rPr>
        <w:t>国内外需求 客户集中与周期</w:t>
      </w:r>
    </w:p>
    <w:p>
      <w:pPr>
        <w:pStyle w:val="Normal"/>
        <w:rPr/>
      </w:pPr>
      <w:r>
        <w:rPr/>
        <w:t>上半年国内收入</w:t>
      </w:r>
      <w:r>
        <w:rPr/>
        <w:t>68.82</w:t>
      </w:r>
      <w:r>
        <w:rPr/>
        <w:t>百万元，同比增长</w:t>
      </w:r>
      <w:r>
        <w:rPr/>
        <w:t>192.10%</w:t>
      </w:r>
      <w:r>
        <w:rPr/>
        <w:t>；国外</w:t>
      </w:r>
      <w:r>
        <w:rPr/>
        <w:t>116.24</w:t>
      </w:r>
      <w:r>
        <w:rPr/>
        <w:t>百万元，同比增长</w:t>
      </w:r>
      <w:r>
        <w:rPr/>
        <w:t>9.49%</w:t>
      </w:r>
      <w:r>
        <w:rPr/>
        <w:t>。国内成为增量主要来源，国外仍占约</w:t>
      </w:r>
      <w:r>
        <w:rPr/>
        <w:t>62.81%</w:t>
      </w:r>
      <w:r>
        <w:rPr/>
        <w:t>。国内高增速来自低基数、新客户、获批产品放量和技术使用费增加，百分比很亮眼，但基数大小和业务构成需要同时看。不能用国内接近三倍的单期增长外推整个公司未来多年，也不能把国外占比较高理解成国内医保降价与竞争完全不会传导到集团盈利。</w:t>
      </w:r>
    </w:p>
    <w:p>
      <w:pPr>
        <w:pStyle w:val="Normal"/>
        <w:rPr/>
      </w:pPr>
      <w:r>
        <w:rPr/>
        <w:t>2025</w:t>
      </w:r>
      <w:r>
        <w:rPr/>
        <w:t>年国内收入</w:t>
      </w:r>
      <w:r>
        <w:rPr/>
        <w:t>83.52</w:t>
      </w:r>
      <w:r>
        <w:rPr/>
        <w:t>百万元，较此前略降，而国外</w:t>
      </w:r>
      <w:r>
        <w:rPr/>
        <w:t>234.70</w:t>
      </w:r>
      <w:r>
        <w:rPr/>
        <w:t>百万元显著增长。年报指出历史国内大客户自建产能，造成订单缺口，国内价格压力也影响收入。这是实际发生过的替代，不只是理论风险。</w:t>
      </w:r>
      <w:r>
        <w:rPr/>
        <w:t>2026</w:t>
      </w:r>
      <w:r>
        <w:rPr/>
        <w:t>年国内恢复可说明新产品和客户拓展正在填补缺口，却尚不能证明原客户长期问题已经解决。若新客户增长只弥补失去的旧订单，平台总规模和获客成本的改善可能比表面增速温和。</w:t>
      </w:r>
    </w:p>
    <w:p>
      <w:pPr>
        <w:pStyle w:val="Normal"/>
        <w:rPr/>
      </w:pPr>
      <w:r>
        <w:rPr/>
        <w:t>2025</w:t>
      </w:r>
      <w:r>
        <w:rPr/>
        <w:t>年前五大客户贡献</w:t>
      </w:r>
      <w:r>
        <w:rPr/>
        <w:t>68.21%</w:t>
      </w:r>
      <w:r>
        <w:rPr/>
        <w:t>收入，最大客户</w:t>
      </w:r>
      <w:r>
        <w:rPr/>
        <w:t>33.28%</w:t>
      </w:r>
      <w:r>
        <w:rPr/>
        <w:t>，公司采用脱敏名称。较高集中度与定制供应模式相符，但也使单个项目交付、注册变化或客户库存对报表影响很大。不能凭行业猜测把“客户一”指定给某知名药企，从而借对方市值或研发管线增加键凯估值。研究情景应当保留集中客户减少订单的压力，而在新客户实际形成规模后再提高多元化的质量评分。</w:t>
      </w:r>
    </w:p>
    <w:p>
      <w:pPr>
        <w:pStyle w:val="Normal"/>
        <w:rPr/>
      </w:pPr>
      <w:r>
        <w:rPr/>
        <w:t>国外上半年药品端收入下降</w:t>
      </w:r>
      <w:r>
        <w:rPr/>
        <w:t>16.77%</w:t>
      </w:r>
      <w:r>
        <w:rPr/>
        <w:t>，器械端增长</w:t>
      </w:r>
      <w:r>
        <w:rPr/>
        <w:t>42.87%</w:t>
      </w:r>
      <w:r>
        <w:rPr/>
        <w:t>，公司解释与交付节奏有关。药端与器械端轮动能降低单一品类冲击，却不意味着二者天然互相补偿。若器械客户也进入去库存或终端竞争，轮动的缓冲会减少。公司未披露各国外子类绝对收入和订单明细，无法精确建立客户库存天数模型；本章保留这种缺口，采用集团收入、产品毛利与未来回款交叉验证“只是时点变化”的解释。</w:t>
      </w:r>
    </w:p>
    <w:p>
      <w:pPr>
        <w:pStyle w:val="Normal"/>
        <w:rPr/>
      </w:pPr>
      <w:r>
        <w:rPr/>
        <w:t>材料行业的周期不同于终端药品需求。患者用药相对刚性，但原料采购可能集中在生产批次，也会受客户提前备货、处方竞争、供应商切换和现金预算影响。增长曲线可能表现为先上升、后消化库存，而非平滑增加。</w:t>
      </w:r>
      <w:r>
        <w:rPr/>
        <w:t>2025</w:t>
      </w:r>
      <w:r>
        <w:rPr/>
        <w:t>年海外药品端大幅增长与</w:t>
      </w:r>
      <w:r>
        <w:rPr/>
        <w:t>2026</w:t>
      </w:r>
      <w:r>
        <w:rPr/>
        <w:t>年上半年下降并存，已经展示交付不均匀。评价同比时要比较至少连续几个期间和合同执行，不能用最近最好的半年替代正常盈利。</w:t>
      </w:r>
    </w:p>
    <w:p>
      <w:pPr>
        <w:pStyle w:val="Normal"/>
        <w:rPr/>
      </w:pPr>
      <w:r>
        <w:rPr/>
        <w:t>医保谈判与集采不会直接把每种</w:t>
      </w:r>
      <w:r>
        <w:rPr/>
        <w:t>PEG</w:t>
      </w:r>
      <w:r>
        <w:rPr/>
        <w:t>材料列入同一个支付体系，但会通过下游药品价格、毛利和产量传导。终端价格下降若扩大患者数量，材料需求可能增加；若客户同时要求供应商降价或使用量不增长，材料毛利可能承压。两种效果需要以订单量与单价拆分，不能一概认为医保支持创新药就必然利好材料利润。公司国内产品价格曾承压，说明传导已经具有现实依据。</w:t>
      </w:r>
    </w:p>
    <w:p>
      <w:pPr>
        <w:pStyle w:val="Normal"/>
        <w:rPr/>
      </w:pPr>
      <w:r>
        <w:rPr/>
        <w:t>海外器械应用可能受手术量、医院预算、保险支付和竞争产品影响。若材料用于高值器械，材料成本通常只占终端售价的一部分，质量稳定能保留一定议价；但制造商也会优化配方和采购结构。美国及欧洲经济走弱可能使部分可择期手术或医美延后，急需治疗需求则较有韧性。未取得逐适应场景销售数据，本章不量化一个统一经济敏感度，而用药品与器械分开的情景说明影响路径。</w:t>
      </w:r>
    </w:p>
    <w:p>
      <w:pPr>
        <w:pStyle w:val="Heading2"/>
        <w:rPr/>
      </w:pPr>
      <w:r>
        <w:rPr>
          <w:color w:val="000000"/>
        </w:rPr>
        <w:t>技术延伸与研发资产的真实边界</w:t>
      </w:r>
    </w:p>
    <w:p>
      <w:pPr>
        <w:pStyle w:val="Normal"/>
        <w:rPr/>
      </w:pPr>
      <w:r>
        <w:rPr/>
        <w:t>泛聚乙二醇材料可用于单一分子量连接子、多肽修饰、抗体偶联和核酸递送，技术延伸扩大了可服务客户群。中报披露十六种关键脂质材料规模化制备、七项国内辅料备案和十三项美国原料药主文件备案。备案能够支持后续申请材料准备，却不是终端药物获批，更不代表采购合同或市场独占。模型没有把备案数量乘固定价值，也没有把“可用于</w:t>
      </w:r>
      <w:r>
        <w:rPr/>
        <w:t>ADC”</w:t>
      </w:r>
      <w:r>
        <w:rPr/>
        <w:t>直接算成所有</w:t>
      </w:r>
      <w:r>
        <w:rPr/>
        <w:t>ADC</w:t>
      </w:r>
      <w:r>
        <w:rPr/>
        <w:t>的供应收入。</w:t>
      </w:r>
    </w:p>
    <w:p>
      <w:pPr>
        <w:pStyle w:val="Normal"/>
        <w:rPr/>
      </w:pPr>
      <w:r>
        <w:rPr/>
        <w:t>不同递送体系的</w:t>
      </w:r>
      <w:r>
        <w:rPr/>
        <w:t>PEG</w:t>
      </w:r>
      <w:r>
        <w:rPr/>
        <w:t>比例、结构与清除需要匹配药物用途。脂质纳米颗粒中的</w:t>
      </w:r>
      <w:r>
        <w:rPr/>
        <w:t>PEG</w:t>
      </w:r>
      <w:r>
        <w:rPr/>
        <w:t>脂质可以影响稳定性和体内行为，但用量、免疫反应与递送效率往往存在平衡，不能只强调低免疫原性便宣称所有给药条件安全。公司原报告对材料优点的描述属于一般工艺定位；临床安全需要产品数据。本章并未取得每种新材料的原研究全文，因此长期模型保留替代聚合物、非</w:t>
      </w:r>
      <w:r>
        <w:rPr/>
        <w:t>PEG</w:t>
      </w:r>
      <w:r>
        <w:rPr/>
        <w:t>递送和配方优化带来的需求变化。</w:t>
      </w:r>
    </w:p>
    <w:p>
      <w:pPr>
        <w:pStyle w:val="Normal"/>
        <w:rPr/>
      </w:pPr>
      <w:r>
        <w:rPr/>
        <w:t>专利数量支持研发积累，但不等于自由实施权已经全面证明。中报称排除届满后累计发明专利</w:t>
      </w:r>
      <w:r>
        <w:rPr/>
        <w:t>122</w:t>
      </w:r>
      <w:r>
        <w:rPr/>
        <w:t>件，按国家地区覆盖权益总数</w:t>
      </w:r>
      <w:r>
        <w:rPr/>
        <w:t>164</w:t>
      </w:r>
      <w:r>
        <w:rPr/>
        <w:t>件，另有</w:t>
      </w:r>
      <w:r>
        <w:rPr/>
        <w:t>115</w:t>
      </w:r>
      <w:r>
        <w:rPr/>
        <w:t>项申请。各专利可能涉及同一族、不同材料或工艺，剩余保护期和权利要求范围不相同。工艺诀窍可以形成长期壁垒，专利到期后仍需持续更新；海外客户还会关注竞争专利冲突。未完成逐产品专利检索及法律分析，本章不将专利总数转化成具体期限的垄断利润。</w:t>
      </w:r>
    </w:p>
    <w:p>
      <w:pPr>
        <w:pStyle w:val="Normal"/>
        <w:rPr/>
      </w:pPr>
      <w:r>
        <w:rPr/>
        <w:t>自研药品与材料销售必须分开。公司借自身化学和递送经验开发药物和第三类器械，未来倾向在有商业价值阶段授权或转让，并表示不准备承担这些产品的终端上市销售。若成功，经济收益可能是首付款、里程碑、分成或材料采购；它并非自然等于终端药品全部利润。未核合同前，把药品峰值销售乘公司整体净利率会严重夸大可归属收益。本章成熟主业</w:t>
      </w:r>
      <w:r>
        <w:rPr/>
        <w:t>PE</w:t>
      </w:r>
      <w:r>
        <w:rPr/>
        <w:t>不额外叠加这些项目的虚构峰值现金流。</w:t>
      </w:r>
    </w:p>
    <w:p>
      <w:pPr>
        <w:pStyle w:val="Normal"/>
        <w:rPr/>
      </w:pPr>
      <w:r>
        <w:rPr/>
        <w:t>截至日最重要研发变化是公司</w:t>
      </w:r>
      <w:r>
        <w:rPr/>
        <w:t>8</w:t>
      </w:r>
      <w:r>
        <w:rPr/>
        <w:t>月</w:t>
      </w:r>
      <w:r>
        <w:rPr/>
        <w:t>26</w:t>
      </w:r>
      <w:r>
        <w:rPr/>
        <w:t>日专项公告明确决定终止聚乙二醇伊立替康小细胞肺癌三期开发。中报的“计划终止”表述与同日专项“决定终止”应分别保留，而结论使用后者已披露决策。终止涉及特定适应症与试验，不能写成整个分子停止，也不能继续把该三期读出列为高确定性的近期催化。专项公告说明此前二期达到主要终点，但本章没有原二期全文，无法独立复核疗效、安全或对照细节。</w:t>
      </w:r>
    </w:p>
    <w:p>
      <w:pPr>
        <w:pStyle w:val="Normal"/>
        <w:rPr/>
      </w:pPr>
      <w:r>
        <w:rPr/>
        <w:t>公司给出的退出原因是小细胞肺癌新竞争变化，尤其</w:t>
      </w:r>
      <w:r>
        <w:rPr/>
        <w:t>DLL3</w:t>
      </w:r>
      <w:r>
        <w:rPr/>
        <w:t>相关</w:t>
      </w:r>
      <w:r>
        <w:rPr/>
        <w:t>T</w:t>
      </w:r>
      <w:r>
        <w:rPr/>
        <w:t>细胞衔接器、抗体偶联物，以及其他靶点抗体偶联物。公告转述一线或后线竞品研究进展，并指出</w:t>
      </w:r>
      <w:r>
        <w:rPr/>
        <w:t>PEG</w:t>
      </w:r>
      <w:r>
        <w:rPr/>
        <w:t>伊立替康适用既往未使用</w:t>
      </w:r>
      <w:r>
        <w:rPr/>
        <w:t>Topo1</w:t>
      </w:r>
      <w:r>
        <w:rPr/>
        <w:t>抑制剂的患者；若一线已有携带该类载荷的药物，后线可用人群会受挤压。这是商业机会和入组可行性的再评估，不应误述为三期已经证明药物无效。竞品原研究全文未独立核验，归属为公司决策依据。</w:t>
      </w:r>
    </w:p>
    <w:p>
      <w:pPr>
        <w:pStyle w:val="Normal"/>
        <w:rPr/>
      </w:pPr>
      <w:r>
        <w:rPr/>
        <w:t>临床退出减少未来支出有利于资源聚焦，同时暴露过去资本配置的代价。</w:t>
      </w:r>
      <w:r>
        <w:rPr/>
        <w:t>2024</w:t>
      </w:r>
      <w:r>
        <w:rPr/>
        <w:t>年开始资本化的三期研发到</w:t>
      </w:r>
      <w:r>
        <w:rPr/>
        <w:t>2026</w:t>
      </w:r>
      <w:r>
        <w:rPr/>
        <w:t>年上半年累积</w:t>
      </w:r>
      <w:r>
        <w:rPr/>
        <w:t>70.64</w:t>
      </w:r>
      <w:r>
        <w:rPr/>
        <w:t>百万元全额减值，终止之后还有收尾费用。将这笔非现金减值从本期利润中剔除有助于观察材料运营，但损失意味着过去资金无法按原预期产生资产回报。不能一边恢复正常化利润，一边又把已清零开发资产按原账面价值加入目标价，更不能认为未来永远不会发生类似损失。</w:t>
      </w:r>
    </w:p>
    <w:p>
      <w:pPr>
        <w:pStyle w:val="Normal"/>
        <w:rPr/>
      </w:pPr>
      <w:r>
        <w:rPr/>
        <w:t>同分子脑胶质瘤联合替莫唑胺，以及伴脑转移</w:t>
      </w:r>
      <w:r>
        <w:rPr/>
        <w:t>HER2</w:t>
      </w:r>
      <w:r>
        <w:rPr/>
        <w:t>阴性乳腺癌二期仍继续。脑部转移和脑胶质瘤具有未满足需求，但两者患者、治疗背景、对照方案和安全性要求不同。一个适应症的二期证据不能直接转到另一个。没有完整入组数、终点、置信区间与后续注册设计，本章不统一套临床成功率；未成熟项目不单独加</w:t>
      </w:r>
      <w:r>
        <w:rPr/>
        <w:t>rNPV</w:t>
      </w:r>
      <w:r>
        <w:rPr/>
        <w:t>，代表估值缺口而非经济价值确定为零。只有可核验数据与权属交易才能支持正式附加模型。</w:t>
      </w:r>
    </w:p>
    <w:p>
      <w:pPr>
        <w:pStyle w:val="Normal"/>
        <w:rPr/>
      </w:pPr>
      <w:r>
        <w:rPr/>
        <w:t>第三类器械</w:t>
      </w:r>
      <w:r>
        <w:rPr/>
        <w:t>JK1136H</w:t>
      </w:r>
      <w:r>
        <w:rPr/>
        <w:t>为注射用复合透明质酸钠溶液，</w:t>
      </w:r>
      <w:r>
        <w:rPr/>
        <w:t>2025</w:t>
      </w:r>
      <w:r>
        <w:rPr/>
        <w:t>年提交注册并获受理，截至中报仍在审评。注册受理不是批准，审评通过也不自动形成销售。需要生产体系、渠道、定价、医生使用、终端复购和不良事件管理共同建立商业化。年报另披露</w:t>
      </w:r>
      <w:r>
        <w:rPr/>
        <w:t>JK2122H</w:t>
      </w:r>
      <w:r>
        <w:rPr/>
        <w:t>取得注册和生产许可、已有上市销售，但自研药械总体尚未取得实质性收入，中报并未给独立放量数字。不能把两个产品混为一个已大规模盈利的器械板块。</w:t>
      </w:r>
    </w:p>
    <w:p>
      <w:pPr>
        <w:pStyle w:val="Normal"/>
        <w:rPr/>
      </w:pPr>
      <w:r>
        <w:rPr/>
        <w:t>通用肿瘤治疗</w:t>
      </w:r>
      <w:r>
        <w:rPr/>
        <w:t>mRNA</w:t>
      </w:r>
      <w:r>
        <w:rPr/>
        <w:t>项目与三型胶原蛋白</w:t>
      </w:r>
      <w:r>
        <w:rPr/>
        <w:t>mRNA</w:t>
      </w:r>
      <w:r>
        <w:rPr/>
        <w:t>注射液仍是临床前。中报列投入和计划目标，但研究者发起试验、申报临床和正式注册试验属于不同步骤，均不能当成获批上市。对医美方向尤其需要验证局部递送、蛋白表达、持续时间和安全边界，以及合适监管路径。平台名词能说明探索范围，缺乏人体证据时不能单独驱动半年高分。本章乐观收入假设允许技术应用转化，但没有把某个临床前项目宣布必然成功。</w:t>
      </w:r>
    </w:p>
    <w:p>
      <w:pPr>
        <w:pStyle w:val="Heading2"/>
        <w:rPr/>
      </w:pPr>
      <w:r>
        <w:rPr>
          <w:color w:val="000000"/>
        </w:rPr>
        <w:t>财务恢复与利润质量</w:t>
      </w:r>
    </w:p>
    <w:p>
      <w:pPr>
        <w:pStyle w:val="Normal"/>
        <w:rPr/>
      </w:pPr>
      <w:r>
        <w:rPr/>
        <w:t>2023</w:t>
      </w:r>
      <w:r>
        <w:rPr/>
        <w:t>年至</w:t>
      </w:r>
      <w:r>
        <w:rPr/>
        <w:t>2025</w:t>
      </w:r>
      <w:r>
        <w:rPr/>
        <w:t>年营业收入分别</w:t>
      </w:r>
      <w:r>
        <w:rPr/>
        <w:t>292.12</w:t>
      </w:r>
      <w:r>
        <w:rPr/>
        <w:t>、</w:t>
      </w:r>
      <w:r>
        <w:rPr/>
        <w:t>227.10</w:t>
      </w:r>
      <w:r>
        <w:rPr/>
        <w:t>、</w:t>
      </w:r>
      <w:r>
        <w:rPr/>
        <w:t>318.22</w:t>
      </w:r>
      <w:r>
        <w:rPr/>
        <w:t>百万元，归母</w:t>
      </w:r>
      <w:r>
        <w:rPr/>
        <w:t>115.74</w:t>
      </w:r>
      <w:r>
        <w:rPr/>
        <w:t>、</w:t>
      </w:r>
      <w:r>
        <w:rPr/>
        <w:t>29.84</w:t>
      </w:r>
      <w:r>
        <w:rPr/>
        <w:t>、</w:t>
      </w:r>
      <w:r>
        <w:rPr/>
        <w:t>61.70</w:t>
      </w:r>
      <w:r>
        <w:rPr/>
        <w:t>百万元，扣非</w:t>
      </w:r>
      <w:r>
        <w:rPr/>
        <w:t>112.19</w:t>
      </w:r>
      <w:r>
        <w:rPr/>
        <w:t>、</w:t>
      </w:r>
      <w:r>
        <w:rPr/>
        <w:t>19.48</w:t>
      </w:r>
      <w:r>
        <w:rPr/>
        <w:t>、</w:t>
      </w:r>
      <w:r>
        <w:rPr/>
        <w:t>47.63</w:t>
      </w:r>
      <w:r>
        <w:rPr/>
        <w:t>百万元。收入先下降再恢复，利润恢复幅度仍未回到</w:t>
      </w:r>
      <w:r>
        <w:rPr/>
        <w:t>2023</w:t>
      </w:r>
      <w:r>
        <w:rPr/>
        <w:t>年，表明这不是一直匀速增长的财务轨迹。</w:t>
      </w:r>
      <w:r>
        <w:rPr/>
        <w:t>2025</w:t>
      </w:r>
      <w:r>
        <w:rPr/>
        <w:t>年高收入与较低利润同时存在，受新产线成本、业务结构、费用和研发影响。不能只引用</w:t>
      </w:r>
      <w:r>
        <w:rPr/>
        <w:t>2025</w:t>
      </w:r>
      <w:r>
        <w:rPr/>
        <w:t>年</w:t>
      </w:r>
      <w:r>
        <w:rPr/>
        <w:t>39%</w:t>
      </w:r>
      <w:r>
        <w:rPr/>
        <w:t>左右收入增长而忽略前一年的下滑，也不能用</w:t>
      </w:r>
      <w:r>
        <w:rPr/>
        <w:t>2023</w:t>
      </w:r>
      <w:r>
        <w:rPr/>
        <w:t>年利润率当作无条件正常水平。</w:t>
      </w:r>
    </w:p>
    <w:p>
      <w:pPr>
        <w:pStyle w:val="Normal"/>
        <w:rPr/>
      </w:pPr>
      <w:r>
        <w:rPr/>
        <w:t>2026</w:t>
      </w:r>
      <w:r>
        <w:rPr/>
        <w:t>年上半年营业收入</w:t>
      </w:r>
      <w:r>
        <w:rPr/>
        <w:t>185.06</w:t>
      </w:r>
      <w:r>
        <w:rPr/>
        <w:t>百万元，成本</w:t>
      </w:r>
      <w:r>
        <w:rPr/>
        <w:t>51.71</w:t>
      </w:r>
      <w:r>
        <w:rPr/>
        <w:t>百万元，毛利</w:t>
      </w:r>
      <w:r>
        <w:rPr/>
        <w:t>133.35</w:t>
      </w:r>
      <w:r>
        <w:rPr/>
        <w:t>百万元，毛利率</w:t>
      </w:r>
      <w:r>
        <w:rPr/>
        <w:t>72.06%</w:t>
      </w:r>
      <w:r>
        <w:rPr/>
        <w:t>。收入同比</w:t>
      </w:r>
      <w:r>
        <w:rPr/>
        <w:t>42.65%</w:t>
      </w:r>
      <w:r>
        <w:rPr/>
        <w:t>、成本略降，形成较强经营杠杆。公司解释辽宁新厂批次成本和产量提升使单位折旧与制造费用摊薄，技术费结构也提供帮助。这种改善有事实依据，但没有公开逐月产能利用率和批次成本桥，无法确定毛利率已永久稳定在七成以上。未来模型同时保留订单回落造成固定成本重新抬升的情景。</w:t>
      </w:r>
    </w:p>
    <w:p>
      <w:pPr>
        <w:pStyle w:val="Normal"/>
        <w:rPr/>
      </w:pPr>
      <w:r>
        <w:rPr/>
        <w:t>产品与技术费毛利要分开看。上半年材料产品收入</w:t>
      </w:r>
      <w:r>
        <w:rPr/>
        <w:t>170.75</w:t>
      </w:r>
      <w:r>
        <w:rPr/>
        <w:t>百万元、成本</w:t>
      </w:r>
      <w:r>
        <w:rPr/>
        <w:t>48.39</w:t>
      </w:r>
      <w:r>
        <w:rPr/>
        <w:t>百万元，毛利率约</w:t>
      </w:r>
      <w:r>
        <w:rPr/>
        <w:t>71.66%</w:t>
      </w:r>
      <w:r>
        <w:rPr/>
        <w:t>；技术使用费</w:t>
      </w:r>
      <w:r>
        <w:rPr/>
        <w:t>14.03</w:t>
      </w:r>
      <w:r>
        <w:rPr/>
        <w:t>百万元、成本</w:t>
      </w:r>
      <w:r>
        <w:rPr/>
        <w:t>3.12</w:t>
      </w:r>
      <w:r>
        <w:rPr/>
        <w:t>百万元，约</w:t>
      </w:r>
      <w:r>
        <w:rPr/>
        <w:t>77.79%</w:t>
      </w:r>
      <w:r>
        <w:rPr/>
        <w:t>，运输服务毛利较低且金额很小。</w:t>
      </w:r>
      <w:r>
        <w:rPr/>
        <w:t>2025</w:t>
      </w:r>
      <w:r>
        <w:rPr/>
        <w:t>年产品毛利</w:t>
      </w:r>
      <w:r>
        <w:rPr/>
        <w:t>61.75%</w:t>
      </w:r>
      <w:r>
        <w:rPr/>
        <w:t>、技术费</w:t>
      </w:r>
      <w:r>
        <w:rPr/>
        <w:t>88.85%</w:t>
      </w:r>
      <w:r>
        <w:rPr/>
        <w:t>，新一期技术费虽然增加但自身毛利比例并未更高。因此不能把综合毛利全部上升解释成高毛利授权占比；材料生产批次改善才是需要重点检验的因素。</w:t>
      </w:r>
    </w:p>
    <w:p>
      <w:pPr>
        <w:pStyle w:val="Normal"/>
        <w:rPr/>
      </w:pPr>
      <w:r>
        <w:rPr/>
        <w:t>上半年销售费用</w:t>
      </w:r>
      <w:r>
        <w:rPr/>
        <w:t>8.33</w:t>
      </w:r>
      <w:r>
        <w:rPr/>
        <w:t>百万元，同比增加较快；管理</w:t>
      </w:r>
      <w:r>
        <w:rPr/>
        <w:t>26.57</w:t>
      </w:r>
      <w:r>
        <w:rPr/>
        <w:t>百万元，费用化研发</w:t>
      </w:r>
      <w:r>
        <w:rPr/>
        <w:t>23.11</w:t>
      </w:r>
      <w:r>
        <w:rPr/>
        <w:t>百万元，财务</w:t>
      </w:r>
      <w:r>
        <w:rPr/>
        <w:t>2.02</w:t>
      </w:r>
      <w:r>
        <w:rPr/>
        <w:t>百万元。收入扩张时管理费增幅相对温和，有利于利润杠杆；销售增长可能与展会、新业务和人员有关，未来是否形成长期获客仍需验证。材料公司即便营业毛利高，管理、质量、研发和渠道维护都需要持续开支。本章目标净利已经扣这些常态费用，不能把毛利率直接当成利润率，也不能将研发费用全部添加回利润。</w:t>
      </w:r>
    </w:p>
    <w:p>
      <w:pPr>
        <w:pStyle w:val="Normal"/>
        <w:rPr/>
      </w:pPr>
      <w:r>
        <w:rPr/>
        <w:t>法定归母净利润仅</w:t>
      </w:r>
      <w:r>
        <w:rPr/>
        <w:t>2.92</w:t>
      </w:r>
      <w:r>
        <w:rPr/>
        <w:t>百万元，同比下降</w:t>
      </w:r>
      <w:r>
        <w:rPr/>
        <w:t>86.76%</w:t>
      </w:r>
      <w:r>
        <w:rPr/>
        <w:t>，扣非亏损</w:t>
      </w:r>
      <w:r>
        <w:rPr/>
        <w:t>2.11</w:t>
      </w:r>
      <w:r>
        <w:rPr/>
        <w:t>百万元，利润总额</w:t>
      </w:r>
      <w:r>
        <w:rPr/>
        <w:t>2.36</w:t>
      </w:r>
      <w:r>
        <w:rPr/>
        <w:t>百万元。资产减值</w:t>
      </w:r>
      <w:r>
        <w:rPr/>
        <w:t>74.04</w:t>
      </w:r>
      <w:r>
        <w:rPr/>
        <w:t>百万元，其中</w:t>
      </w:r>
      <w:r>
        <w:rPr/>
        <w:t>70.64</w:t>
      </w:r>
      <w:r>
        <w:rPr/>
        <w:t>百万元是该三期开发损失，剩余损失不能因为同列一个科目而全部算成开发退出。公司给出的剔除开发损失后归母</w:t>
      </w:r>
      <w:r>
        <w:rPr/>
        <w:t>62.96</w:t>
      </w:r>
      <w:r>
        <w:rPr/>
        <w:t>百万元、扣非</w:t>
      </w:r>
      <w:r>
        <w:rPr/>
        <w:t>57.94</w:t>
      </w:r>
      <w:r>
        <w:rPr/>
        <w:t>百万元提供正常化参考，仍属于调整指标。它能解释运营改善，却不能代替法定利润，也不能用于掩盖资本化研发此前减少费用的历史影响。</w:t>
      </w:r>
    </w:p>
    <w:p>
      <w:pPr>
        <w:pStyle w:val="Normal"/>
        <w:rPr/>
      </w:pPr>
      <w:r>
        <w:rPr/>
        <w:t>2025</w:t>
      </w:r>
      <w:r>
        <w:rPr/>
        <w:t>年研发</w:t>
      </w:r>
      <w:r>
        <w:rPr/>
        <w:t>98.25</w:t>
      </w:r>
      <w:r>
        <w:rPr/>
        <w:t>百万元，费用化</w:t>
      </w:r>
      <w:r>
        <w:rPr/>
        <w:t>54.72</w:t>
      </w:r>
      <w:r>
        <w:rPr/>
        <w:t>百万元、资本化</w:t>
      </w:r>
      <w:r>
        <w:rPr/>
        <w:t>43.53</w:t>
      </w:r>
      <w:r>
        <w:rPr/>
        <w:t>百万元；上半年总研发</w:t>
      </w:r>
      <w:r>
        <w:rPr/>
        <w:t>29.42</w:t>
      </w:r>
      <w:r>
        <w:rPr/>
        <w:t>百万元，费用化</w:t>
      </w:r>
      <w:r>
        <w:rPr/>
        <w:t>23.11</w:t>
      </w:r>
      <w:r>
        <w:rPr/>
        <w:t>百万元、资本化</w:t>
      </w:r>
      <w:r>
        <w:rPr/>
        <w:t>6.30</w:t>
      </w:r>
      <w:r>
        <w:rPr/>
        <w:t>百万元。研发下降主要与入组缓慢及退出有关，并不全是研发效率突然提升。若所有本期资本化</w:t>
      </w:r>
      <w:r>
        <w:rPr/>
        <w:t>6.30</w:t>
      </w:r>
      <w:r>
        <w:rPr/>
        <w:t>百万元在发生时费用化，按</w:t>
      </w:r>
      <w:r>
        <w:rPr/>
        <w:t>15%</w:t>
      </w:r>
      <w:r>
        <w:rPr/>
        <w:t>示意税率减少约</w:t>
      </w:r>
      <w:r>
        <w:rPr/>
        <w:t>5.36</w:t>
      </w:r>
      <w:r>
        <w:rPr/>
        <w:t>百万元当期正常利润。这个敏感性不是对会计政策的指控，而是提醒比较期间时需要考虑研发现金与利润确认时间差。</w:t>
      </w:r>
    </w:p>
    <w:p>
      <w:pPr>
        <w:pStyle w:val="Normal"/>
        <w:rPr/>
      </w:pPr>
      <w:r>
        <w:rPr/>
        <w:t>利润中的金融收益也需要识别。上半年投资收益</w:t>
      </w:r>
      <w:r>
        <w:rPr/>
        <w:t>12.17</w:t>
      </w:r>
      <w:r>
        <w:rPr/>
        <w:t>百万元、公允价值变动损失</w:t>
      </w:r>
      <w:r>
        <w:rPr/>
        <w:t>7.67</w:t>
      </w:r>
      <w:r>
        <w:rPr/>
        <w:t>百万元，净合约</w:t>
      </w:r>
      <w:r>
        <w:rPr/>
        <w:t>4.51</w:t>
      </w:r>
      <w:r>
        <w:rPr/>
        <w:t>百万元；非经常损益还含政府补助和处置等，最终法定归母与扣非差</w:t>
      </w:r>
      <w:r>
        <w:rPr/>
        <w:t>5.03</w:t>
      </w:r>
      <w:r>
        <w:rPr/>
        <w:t>百万元。大额金融投资的兑现和估值波动可以影响利润，与材料产品竞争力不同。正常化模型优先参照扣非和研发现金调整，不假设每期都能通过资产处置实现最高投资收益。金融资产本身也不能在</w:t>
      </w:r>
      <w:r>
        <w:rPr/>
        <w:t>PE</w:t>
      </w:r>
      <w:r>
        <w:rPr/>
        <w:t>之外全额重复加值。</w:t>
      </w:r>
    </w:p>
    <w:p>
      <w:pPr>
        <w:pStyle w:val="Normal"/>
        <w:rPr/>
      </w:pPr>
      <w:r>
        <w:rPr/>
        <w:t>所得税费用为负</w:t>
      </w:r>
      <w:r>
        <w:rPr/>
        <w:t>0.56</w:t>
      </w:r>
      <w:r>
        <w:rPr/>
        <w:t>百万元，与减值后的较低税前利润相组合，使归母高于利润总额。这不表示公司未来不用交税，递延所得税变化及不同实体税率可能影响单期。正常化情景统一用</w:t>
      </w:r>
      <w:r>
        <w:rPr/>
        <w:t>15%</w:t>
      </w:r>
      <w:r>
        <w:rPr/>
        <w:t>作演示输入，只为把净利与园区利息折旧桥接，并非宣称所有境内外子公司实际税率一致。若未来税收优惠变动、亏损资产回收判断变化或海外分红税增加，目标</w:t>
      </w:r>
      <w:r>
        <w:rPr/>
        <w:t>EPS</w:t>
      </w:r>
      <w:r>
        <w:rPr/>
        <w:t>需要调整，不能机械延续这期负税率。</w:t>
      </w:r>
    </w:p>
    <w:p>
      <w:pPr>
        <w:pStyle w:val="Heading2"/>
        <w:rPr/>
      </w:pPr>
      <w:r>
        <w:rPr>
          <w:color w:val="000000"/>
        </w:rPr>
        <w:t>现金 营运资金与金融资产</w:t>
      </w:r>
    </w:p>
    <w:p>
      <w:pPr>
        <w:pStyle w:val="Normal"/>
        <w:rPr/>
      </w:pPr>
      <w:r>
        <w:rPr/>
        <w:t>上半年经营现金流</w:t>
      </w:r>
      <w:r>
        <w:rPr/>
        <w:t>58.74</w:t>
      </w:r>
      <w:r>
        <w:rPr/>
        <w:t>百万元，同比</w:t>
      </w:r>
      <w:r>
        <w:rPr/>
        <w:t>627.09%</w:t>
      </w:r>
      <w:r>
        <w:rPr/>
        <w:t>，比较基数只有</w:t>
      </w:r>
      <w:r>
        <w:rPr/>
        <w:t>8.08</w:t>
      </w:r>
      <w:r>
        <w:rPr/>
        <w:t>百万元。购建固定资产、无形和其他长期资产现金</w:t>
      </w:r>
      <w:r>
        <w:rPr/>
        <w:t>66.93</w:t>
      </w:r>
      <w:r>
        <w:rPr/>
        <w:t>百万元，简单自由现金流负</w:t>
      </w:r>
      <w:r>
        <w:rPr/>
        <w:t>8.19</w:t>
      </w:r>
      <w:r>
        <w:rPr/>
        <w:t>百万元。大幅现金流增幅与略负的自由现金可以同时成立：前者表明经营回款恢复，后者表明建设及研发仍消耗资金。减值是非现金本期支出，现金流调节表加回减值并不等于过去现金已经收回。评价可分配能力应看扣长期投入后剩余，而不是经营现金流同比数字。</w:t>
      </w:r>
    </w:p>
    <w:p>
      <w:pPr>
        <w:pStyle w:val="Normal"/>
        <w:rPr/>
      </w:pPr>
      <w:r>
        <w:rPr/>
        <w:t>2025</w:t>
      </w:r>
      <w:r>
        <w:rPr/>
        <w:t>年经营现金</w:t>
      </w:r>
      <w:r>
        <w:rPr/>
        <w:t>79.48</w:t>
      </w:r>
      <w:r>
        <w:rPr/>
        <w:t>百万元、长期资产支付</w:t>
      </w:r>
      <w:r>
        <w:rPr/>
        <w:t>55.84</w:t>
      </w:r>
      <w:r>
        <w:rPr/>
        <w:t>百万元，简单自由现金</w:t>
      </w:r>
      <w:r>
        <w:rPr/>
        <w:t>23.64</w:t>
      </w:r>
      <w:r>
        <w:rPr/>
        <w:t>百万元，较</w:t>
      </w:r>
      <w:r>
        <w:rPr/>
        <w:t>2024</w:t>
      </w:r>
      <w:r>
        <w:rPr/>
        <w:t>年经营</w:t>
      </w:r>
      <w:r>
        <w:rPr/>
        <w:t>120.18</w:t>
      </w:r>
      <w:r>
        <w:rPr/>
        <w:t>百万元下降。</w:t>
      </w:r>
      <w:r>
        <w:rPr/>
        <w:t>2025</w:t>
      </w:r>
      <w:r>
        <w:rPr/>
        <w:t>年第四季度经营现金</w:t>
      </w:r>
      <w:r>
        <w:rPr/>
        <w:t>91.09</w:t>
      </w:r>
      <w:r>
        <w:rPr/>
        <w:t>百万元高于全年，意味着此前季度合计现金净流出，回款具有明显季节性或交付节奏。只把</w:t>
      </w:r>
      <w:r>
        <w:rPr/>
        <w:t>2026</w:t>
      </w:r>
      <w:r>
        <w:rPr/>
        <w:t>年上半年经营现金乘二可能漏掉客户账期和年度集中支付，也不能用某个历史最好的季度证明任何新增投资都由日常经营覆盖。</w:t>
      </w:r>
    </w:p>
    <w:p>
      <w:pPr>
        <w:pStyle w:val="Normal"/>
        <w:rPr/>
      </w:pPr>
      <w:r>
        <w:rPr/>
        <w:t>期末应收</w:t>
      </w:r>
      <w:r>
        <w:rPr/>
        <w:t>123.20</w:t>
      </w:r>
      <w:r>
        <w:rPr/>
        <w:t>百万元，较年初</w:t>
      </w:r>
      <w:r>
        <w:rPr/>
        <w:t>105.31</w:t>
      </w:r>
      <w:r>
        <w:rPr/>
        <w:t>百万元增加；净库存</w:t>
      </w:r>
      <w:r>
        <w:rPr/>
        <w:t>80.80</w:t>
      </w:r>
      <w:r>
        <w:rPr/>
        <w:t>百万元，较</w:t>
      </w:r>
      <w:r>
        <w:rPr/>
        <w:t>77.61</w:t>
      </w:r>
      <w:r>
        <w:rPr/>
        <w:t>百万元略增。上半年经营性应收增加在现金桥中消耗</w:t>
      </w:r>
      <w:r>
        <w:rPr/>
        <w:t>18.77</w:t>
      </w:r>
      <w:r>
        <w:rPr/>
        <w:t>百万元，库存增加消耗约</w:t>
      </w:r>
      <w:r>
        <w:rPr/>
        <w:t>1.86</w:t>
      </w:r>
      <w:r>
        <w:rPr/>
        <w:t>百万元。收入增长同时应收增长可能正常，但若账期延长或集中客户财务困难，会将毛利变成信用风险。未取得逐客户到期和回款追踪，不能断言全部应收都能即时变现。客户集中度越高，观察应收账龄和期后现金越重要。</w:t>
      </w:r>
    </w:p>
    <w:p>
      <w:pPr>
        <w:pStyle w:val="Normal"/>
        <w:rPr/>
      </w:pPr>
      <w:r>
        <w:rPr/>
        <w:t>截至六月现金及等价</w:t>
      </w:r>
      <w:r>
        <w:rPr/>
        <w:t>147.29</w:t>
      </w:r>
      <w:r>
        <w:rPr/>
        <w:t>百万元，中报说明无受限货币资金。年初货币资金与等价差额部分是金融赎回后证券账户受限款及在途资金，一月解除；不能把年初差额永久沿用到六月。无受限有利于流动性，但可随时用于支付的</w:t>
      </w:r>
      <w:r>
        <w:rPr/>
        <w:t>147.29</w:t>
      </w:r>
      <w:r>
        <w:rPr/>
        <w:t>百万元与未来新园区</w:t>
      </w:r>
      <w:r>
        <w:rPr/>
        <w:t>315</w:t>
      </w:r>
      <w:r>
        <w:rPr/>
        <w:t>百万元上限相比并不宽裕。期末现金不是十月九日实际余额，期间销售、投资、支付、赎回及建设都会改变它，应保留财报日期而非称其为最新现金。</w:t>
      </w:r>
    </w:p>
    <w:p>
      <w:pPr>
        <w:pStyle w:val="Normal"/>
        <w:rPr/>
      </w:pPr>
      <w:r>
        <w:rPr/>
        <w:t>流动金融资产</w:t>
      </w:r>
      <w:r>
        <w:rPr/>
        <w:t>329.81</w:t>
      </w:r>
      <w:r>
        <w:rPr/>
        <w:t>百万元包含理财</w:t>
      </w:r>
      <w:r>
        <w:rPr/>
        <w:t>127.65</w:t>
      </w:r>
      <w:r>
        <w:rPr/>
        <w:t>百万元、非上市信托</w:t>
      </w:r>
      <w:r>
        <w:rPr/>
        <w:t>101.10</w:t>
      </w:r>
      <w:r>
        <w:rPr/>
        <w:t>百万元和资产管理计划</w:t>
      </w:r>
      <w:r>
        <w:rPr/>
        <w:t>101.06</w:t>
      </w:r>
      <w:r>
        <w:rPr/>
        <w:t>百万元。流动会计分类不代表均可当日按账面额变现，信托和资管存在期限、信用、流动性和公允价值风险。若把这些全部与现金相加形成</w:t>
      </w:r>
      <w:r>
        <w:rPr/>
        <w:t>477.09</w:t>
      </w:r>
      <w:r>
        <w:rPr/>
        <w:t>百万元的广义资金，必须标为余额观察而非支付现金。模型没有假设资金已经赎回，也没有用金融资产余额推断园区建设完全无融资需求。</w:t>
      </w:r>
    </w:p>
    <w:p>
      <w:pPr>
        <w:pStyle w:val="Normal"/>
        <w:rPr/>
      </w:pPr>
      <w:r>
        <w:rPr/>
        <w:t>另有非流动金融资产</w:t>
      </w:r>
      <w:r>
        <w:rPr/>
        <w:t>169.87</w:t>
      </w:r>
      <w:r>
        <w:rPr/>
        <w:t>百万元，其中基金份额</w:t>
      </w:r>
      <w:r>
        <w:rPr/>
        <w:t>110.87</w:t>
      </w:r>
      <w:r>
        <w:rPr/>
        <w:t>百万元、股权</w:t>
      </w:r>
      <w:r>
        <w:rPr/>
        <w:t>59</w:t>
      </w:r>
      <w:r>
        <w:rPr/>
        <w:t>百万元。这些可能带来产业协同或投资收益，也可能难退出与减值；股权并非现金等价。现金、流动金融、非流动金融合计</w:t>
      </w:r>
      <w:r>
        <w:rPr/>
        <w:t>646.96</w:t>
      </w:r>
      <w:r>
        <w:rPr/>
        <w:t>百万元，若全部计入企业价值还需评估公允性、税费、处置时点和经营必要性。当前模型采用净利润</w:t>
      </w:r>
      <w:r>
        <w:rPr/>
        <w:t>PE</w:t>
      </w:r>
      <w:r>
        <w:rPr/>
        <w:t>估值，金融回报与资本风险已在盈利及倍数考虑，未附加整笔</w:t>
      </w:r>
      <w:r>
        <w:rPr/>
        <w:t>646.96</w:t>
      </w:r>
      <w:r>
        <w:rPr/>
        <w:t>百万元，避免重复计算。</w:t>
      </w:r>
    </w:p>
    <w:p>
      <w:pPr>
        <w:pStyle w:val="Normal"/>
        <w:rPr/>
      </w:pPr>
      <w:r>
        <w:rPr/>
        <w:t>资产</w:t>
      </w:r>
      <w:r>
        <w:rPr/>
        <w:t>1372.88</w:t>
      </w:r>
      <w:r>
        <w:rPr/>
        <w:t>百万元、权益</w:t>
      </w:r>
      <w:r>
        <w:rPr/>
        <w:t>1299.26</w:t>
      </w:r>
      <w:r>
        <w:rPr/>
        <w:t>百万元、负债</w:t>
      </w:r>
      <w:r>
        <w:rPr/>
        <w:t>73.63</w:t>
      </w:r>
      <w:r>
        <w:rPr/>
        <w:t>百万元，账面杠杆较低。中报未列银行借款或可转债，租赁含当前约</w:t>
      </w:r>
      <w:r>
        <w:rPr/>
        <w:t>6.73</w:t>
      </w:r>
      <w:r>
        <w:rPr/>
        <w:t>百万元，尚不能用“负债小”替代资本纪律判断。固定资产</w:t>
      </w:r>
      <w:r>
        <w:rPr/>
        <w:t>426.10</w:t>
      </w:r>
      <w:r>
        <w:rPr/>
        <w:t>百万元、无形</w:t>
      </w:r>
      <w:r>
        <w:rPr/>
        <w:t>36.75</w:t>
      </w:r>
      <w:r>
        <w:rPr/>
        <w:t>百万元、在建</w:t>
      </w:r>
      <w:r>
        <w:rPr/>
        <w:t>10.41</w:t>
      </w:r>
      <w:r>
        <w:rPr/>
        <w:t>百万元已经占用大量资本，账面权益回报需要未来利润支撑。</w:t>
      </w:r>
      <w:r>
        <w:rPr/>
        <w:t>2025</w:t>
      </w:r>
      <w:r>
        <w:rPr/>
        <w:t>年加权净资产收益约</w:t>
      </w:r>
      <w:r>
        <w:rPr/>
        <w:t>4.77%</w:t>
      </w:r>
      <w:r>
        <w:rPr/>
        <w:t>，与成长估值并不匹配，若多年保持低回报，高</w:t>
      </w:r>
      <w:r>
        <w:rPr/>
        <w:t>PE</w:t>
      </w:r>
      <w:r>
        <w:rPr/>
        <w:t>难以持续合理化。</w:t>
      </w:r>
    </w:p>
    <w:p>
      <w:pPr>
        <w:pStyle w:val="Normal"/>
        <w:rPr/>
      </w:pPr>
      <w:r>
        <w:rPr/>
        <w:t>其他应付款</w:t>
      </w:r>
      <w:r>
        <w:rPr/>
        <w:t>29.50</w:t>
      </w:r>
      <w:r>
        <w:rPr/>
        <w:t>百万元中，设备工程</w:t>
      </w:r>
      <w:r>
        <w:rPr/>
        <w:t>20.54</w:t>
      </w:r>
      <w:r>
        <w:rPr/>
        <w:t>百万元、代收美国关税返还</w:t>
      </w:r>
      <w:r>
        <w:rPr/>
        <w:t>6.40</w:t>
      </w:r>
      <w:r>
        <w:rPr/>
        <w:t>百万元，另有服务和处理费用。设备欠款可能意味着现金资本支出与资产新增有时点差，不应把已形成的资产余额和未来总投资简单相加。关税代收与返还也有专门负债属性，不是自由利润。简单自由现金为初步指标，没有完整扣除资本化研发和未来工程欠款的独立分类桥，因此长期估值仍需要进一步三表核验。</w:t>
      </w:r>
    </w:p>
    <w:p>
      <w:pPr>
        <w:pStyle w:val="Heading2"/>
        <w:rPr/>
      </w:pPr>
      <w:r>
        <w:rPr>
          <w:color w:val="000000"/>
        </w:rPr>
        <w:t>新健康园区与融资选择</w:t>
      </w:r>
    </w:p>
    <w:p>
      <w:pPr>
        <w:pStyle w:val="Normal"/>
        <w:rPr/>
      </w:pPr>
      <w:r>
        <w:rPr/>
        <w:t>七月一日投资公告披露全资子公司拟建渤海美湾键凯科技健康园区，项目总额不超过</w:t>
      </w:r>
      <w:r>
        <w:rPr/>
        <w:t>315</w:t>
      </w:r>
      <w:r>
        <w:rPr/>
        <w:t>百万元，含建设、建设期利息和流动资金。董事会于六月三十日决定，公告于七月一日刊载，预计二十四个月建设、八月十八日开工，实际开工未独立核验。园区包括器械产线、研发实验室和健康产业孵化器，规划</w:t>
      </w:r>
      <w:r>
        <w:rPr/>
        <w:t>31341</w:t>
      </w:r>
      <w:r>
        <w:rPr/>
        <w:t>平方米。不能把它全部定义为现有</w:t>
      </w:r>
      <w:r>
        <w:rPr/>
        <w:t>PEG</w:t>
      </w:r>
      <w:r>
        <w:rPr/>
        <w:t>材料产能扩张，更不能以预计开工日断言截至日已投入运营。</w:t>
      </w:r>
    </w:p>
    <w:p>
      <w:pPr>
        <w:pStyle w:val="Normal"/>
        <w:rPr/>
      </w:pPr>
      <w:r>
        <w:rPr/>
        <w:t>公告预计投资收益率</w:t>
      </w:r>
      <w:r>
        <w:rPr/>
        <w:t>24.80%</w:t>
      </w:r>
      <w:r>
        <w:rPr/>
        <w:t>，却没有明确它是税前利润率、资本回报、内部收益率还是其他指标，也没有完整收入、成本和爬坡表。本章只保存公司披露，不将</w:t>
      </w:r>
      <w:r>
        <w:rPr/>
        <w:t>315</w:t>
      </w:r>
      <w:r>
        <w:rPr/>
        <w:t>百万元乘</w:t>
      </w:r>
      <w:r>
        <w:rPr/>
        <w:t>24.8%</w:t>
      </w:r>
      <w:r>
        <w:rPr/>
        <w:t>算成每年确定净利润。未经定义的回报率不能与模型折现率直接比较。项目可行性表述支持公司战略意图，但投资者需要独立销量、价格、固定成本、税、资本开支与退出条件，才能判断可否为股东创造超过资金成本的收益。</w:t>
      </w:r>
    </w:p>
    <w:p>
      <w:pPr>
        <w:pStyle w:val="Normal"/>
        <w:rPr/>
      </w:pPr>
      <w:r>
        <w:rPr/>
        <w:t>建设资金包括自有资金、银行贷款或其他合规方式，不涉及募集资金。截至六月无银行债不表示未来必须零借款，公告已经允许融资。模型一年基准假设银行债</w:t>
      </w:r>
      <w:r>
        <w:rPr/>
        <w:t>80</w:t>
      </w:r>
      <w:r>
        <w:rPr/>
        <w:t>百万元、三年</w:t>
      </w:r>
      <w:r>
        <w:rPr/>
        <w:t>100</w:t>
      </w:r>
      <w:r>
        <w:rPr/>
        <w:t>百万元、五年</w:t>
      </w:r>
      <w:r>
        <w:rPr/>
        <w:t>60</w:t>
      </w:r>
      <w:r>
        <w:rPr/>
        <w:t>百万元，采用</w:t>
      </w:r>
      <w:r>
        <w:rPr/>
        <w:t>3.5%</w:t>
      </w:r>
      <w:r>
        <w:rPr/>
        <w:t>利率，均属于研究压力与盈利桥而非合同贷款。相应年息</w:t>
      </w:r>
      <w:r>
        <w:rPr/>
        <w:t>2.8</w:t>
      </w:r>
      <w:r>
        <w:rPr/>
        <w:t>、</w:t>
      </w:r>
      <w:r>
        <w:rPr/>
        <w:t>3.5</w:t>
      </w:r>
      <w:r>
        <w:rPr/>
        <w:t>、</w:t>
      </w:r>
      <w:r>
        <w:rPr/>
        <w:t>2.1</w:t>
      </w:r>
      <w:r>
        <w:rPr/>
        <w:t>百万元，税前扣除；若实际利率、提款和贷款规模不同，应更新净利而非只改变“现金充足”的文字判断。</w:t>
      </w:r>
    </w:p>
    <w:p>
      <w:pPr>
        <w:pStyle w:val="Normal"/>
        <w:rPr/>
      </w:pPr>
      <w:r>
        <w:rPr/>
        <w:t>远期基准假设新增</w:t>
      </w:r>
      <w:r>
        <w:rPr/>
        <w:t>5%</w:t>
      </w:r>
      <w:r>
        <w:rPr/>
        <w:t>股份、悲观</w:t>
      </w:r>
      <w:r>
        <w:rPr/>
        <w:t>10%</w:t>
      </w:r>
      <w:r>
        <w:rPr/>
        <w:t>、乐观不新增，以检验建设、研发与融资压力。实际未见发行决议，这些不是公司已宣布稀释。基准三年和五年股数</w:t>
      </w:r>
      <w:r>
        <w:rPr/>
        <w:t>63.68</w:t>
      </w:r>
      <w:r>
        <w:rPr/>
        <w:t>百万股，悲观</w:t>
      </w:r>
      <w:r>
        <w:rPr/>
        <w:t>66.72</w:t>
      </w:r>
      <w:r>
        <w:rPr/>
        <w:t>百万股，近期使用</w:t>
      </w:r>
      <w:r>
        <w:rPr/>
        <w:t>60.65</w:t>
      </w:r>
      <w:r>
        <w:rPr/>
        <w:t>百万股；归母盈利同时按目标</w:t>
      </w:r>
      <w:r>
        <w:rPr/>
        <w:t>EPS</w:t>
      </w:r>
      <w:r>
        <w:rPr/>
        <w:t>乘场景股数计算，不能只给同一利润换分母却维持同一</w:t>
      </w:r>
      <w:r>
        <w:rPr/>
        <w:t>EPS</w:t>
      </w:r>
      <w:r>
        <w:rPr/>
        <w:t>。发行若发生会带来现金，当前简化模型未完成发行款与现金三表联动，因此不把这个压力桥冒称完整资本结构模型。</w:t>
      </w:r>
    </w:p>
    <w:p>
      <w:pPr>
        <w:pStyle w:val="Normal"/>
        <w:rPr/>
      </w:pPr>
      <w:r>
        <w:rPr/>
        <w:t>园区新折旧在三年、五年基准设</w:t>
      </w:r>
      <w:r>
        <w:rPr/>
        <w:t>13</w:t>
      </w:r>
      <w:r>
        <w:rPr/>
        <w:t>百万元，悲观</w:t>
      </w:r>
      <w:r>
        <w:rPr/>
        <w:t>16</w:t>
      </w:r>
      <w:r>
        <w:rPr/>
        <w:t>百万元，乐观</w:t>
      </w:r>
      <w:r>
        <w:rPr/>
        <w:t>13</w:t>
      </w:r>
      <w:r>
        <w:rPr/>
        <w:t>百万元，并已经包含在目标盈利。若土建、设备、使用年限与资本化利息比例不同，折旧会变；若长期未运营，现金支出与盈利影响时间还会错位。模型给出扣园区利息折旧前税前利润桥以便复核，未独立加任何园区净现值。这样可以显示远期盈利需要覆盖建设成本，但仍不足以替代按实际项目时间表计算的</w:t>
      </w:r>
      <w:r>
        <w:rPr/>
        <w:t>DCF</w:t>
      </w:r>
      <w:r>
        <w:rPr/>
        <w:t>。</w:t>
      </w:r>
    </w:p>
    <w:p>
      <w:pPr>
        <w:pStyle w:val="Normal"/>
        <w:rPr/>
      </w:pPr>
      <w:r>
        <w:rPr/>
        <w:t>项目服务医美及器械等新场景，可能与材料技术结合，也可能面对不同渠道与经营人才要求。材料销售面对专业工业客户，医美应用还涉及医生、经销、品牌、支付能力和消费者复购，孵化器则带来空间利用与租赁管理问题。跨场景扩张有机会提高应用附加值，但组织能力不能从化学纯化自动推导到渠道运营。五年评分的资本风险比重更高，正是要防止技术优势被不熟悉的商业扩张消耗。</w:t>
      </w:r>
    </w:p>
    <w:p>
      <w:pPr>
        <w:pStyle w:val="Heading2"/>
        <w:rPr/>
      </w:pPr>
      <w:r>
        <w:rPr>
          <w:color w:val="000000"/>
        </w:rPr>
        <w:t>经济 利率 汇率及政策传导</w:t>
      </w:r>
    </w:p>
    <w:p>
      <w:pPr>
        <w:pStyle w:val="Normal"/>
        <w:rPr/>
      </w:pPr>
      <w:r>
        <w:rPr/>
        <w:t>境外收入占较高，人民币变化会影响出口折算、外币应收和部分成本。上半年净汇兑损失</w:t>
      </w:r>
      <w:r>
        <w:rPr/>
        <w:t>2.11</w:t>
      </w:r>
      <w:r>
        <w:rPr/>
        <w:t>百万元，另有外币报表折算负</w:t>
      </w:r>
      <w:r>
        <w:rPr/>
        <w:t>2.50</w:t>
      </w:r>
      <w:r>
        <w:rPr/>
        <w:t>百万元进入其他综合收益，两者不能简单相加当作相同利润项。中报列美元现金、应收和其他应收，也列美元应付，实际净货币敞口取决于实体记账币与结算结构。不能只用全部国外收入乘汇率变化预测净利，也不能把折算差额当成即时现金损失。</w:t>
      </w:r>
    </w:p>
    <w:p>
      <w:pPr>
        <w:pStyle w:val="Normal"/>
        <w:rPr/>
      </w:pPr>
      <w:r>
        <w:rPr/>
        <w:t>在简化营业收入敏感性下，若国外本币价格和销量不变，人民币对有关结算币升值</w:t>
      </w:r>
      <w:r>
        <w:rPr/>
        <w:t>5%</w:t>
      </w:r>
      <w:r>
        <w:rPr/>
        <w:t>，</w:t>
      </w:r>
      <w:r>
        <w:rPr/>
        <w:t>116.24</w:t>
      </w:r>
      <w:r>
        <w:rPr/>
        <w:t>百万元国外收入折算约少</w:t>
      </w:r>
      <w:r>
        <w:rPr/>
        <w:t>5.81</w:t>
      </w:r>
      <w:r>
        <w:rPr/>
        <w:t>百万元；这只是收入示意，实际有币种、结算和成本对冲。与上半年收入</w:t>
      </w:r>
      <w:r>
        <w:rPr/>
        <w:t>185.06</w:t>
      </w:r>
      <w:r>
        <w:rPr/>
        <w:t>百万元比较，约</w:t>
      </w:r>
      <w:r>
        <w:rPr/>
        <w:t>3.14%</w:t>
      </w:r>
      <w:r>
        <w:rPr/>
        <w:t>集团收入幅度，利润变化需进一步考虑毛利与费用币种。键凯</w:t>
      </w:r>
      <w:r>
        <w:rPr/>
        <w:t>A</w:t>
      </w:r>
      <w:r>
        <w:rPr/>
        <w:t>股主要回报为人民币，港币敏感不是这只证券的直接换算；但与</w:t>
      </w:r>
      <w:r>
        <w:rPr/>
        <w:t>H</w:t>
      </w:r>
      <w:r>
        <w:rPr/>
        <w:t>股同业比较时应采用统一汇率时点。</w:t>
      </w:r>
    </w:p>
    <w:p>
      <w:pPr>
        <w:pStyle w:val="Normal"/>
        <w:rPr/>
      </w:pPr>
      <w:r>
        <w:rPr/>
        <w:t>利率下降可能减少园区未来融资成本，同时对闲置现金、理财和金融投资收益造成相反影响。无债时期利息下降不自然成为净利利好，有债时期也不能只看借款端。公司约五亿金融资产存在信用与期限组合，收益并不等于无风险存款利率。长期估值倍数可受市场资金成本影响，但不能把某次利率变化直接设成固定</w:t>
      </w:r>
      <w:r>
        <w:rPr/>
        <w:t>PE</w:t>
      </w:r>
      <w:r>
        <w:rPr/>
        <w:t>上涨幅度。情景中的倍数只是综合经营质量、风险和市场条件的判断。</w:t>
      </w:r>
    </w:p>
    <w:p>
      <w:pPr>
        <w:pStyle w:val="Normal"/>
        <w:rPr/>
      </w:pPr>
      <w:r>
        <w:rPr/>
        <w:t>公司中报称美国直接出口约占收入</w:t>
      </w:r>
      <w:r>
        <w:rPr/>
        <w:t>18.62%</w:t>
      </w:r>
      <w:r>
        <w:rPr/>
        <w:t>，现行关税由客户承担、短期影响可控。本章归属为公司披露，未取得每项贸易合同和监管计算原件。即便客户法定承担税费，长期也可能要求降价、改换供应或分散产地，经济负担不一定永久停留在客户。供应质量和替代成本可以降低短期切换，但若地缘限制升级，客户采购和认证政策会改变。不能把当前合同传导方式解释为公司长期免受海外政策影响。</w:t>
      </w:r>
    </w:p>
    <w:p>
      <w:pPr>
        <w:pStyle w:val="Normal"/>
        <w:rPr/>
      </w:pPr>
      <w:r>
        <w:rPr/>
        <w:t>国内产业支持、药品器械审评效率改善和科研投入有利于新客户形成，但政策并不能确保每个临床项目或医美需求成功。终端研发融资改善可能增加材料试单，真正提高盈利还要进入稳定生产。经济景气变弱时，药物需求与研发预算会呈现不同韧性，材料定制失败成本可能上升。宏观和行业本章只通过键凯的收入地域、客户阶段、融资和建设路径说明，不用一段泛行业乐观叙事为所有期限重复加分。</w:t>
      </w:r>
    </w:p>
    <w:p>
      <w:pPr>
        <w:pStyle w:val="Heading2"/>
        <w:rPr/>
      </w:pPr>
      <w:r>
        <w:rPr>
          <w:color w:val="000000"/>
        </w:rPr>
        <w:t>半年日线 周线与关键观察位</w:t>
      </w:r>
    </w:p>
    <w:p>
      <w:pPr>
        <w:pStyle w:val="Normal"/>
        <w:rPr/>
      </w:pPr>
      <w:r>
        <w:rPr/>
        <w:t>行情使用三年</w:t>
      </w:r>
      <w:r>
        <w:rPr/>
        <w:t>728</w:t>
      </w:r>
      <w:r>
        <w:rPr/>
        <w:t>个真实交易日，日线从</w:t>
      </w:r>
      <w:r>
        <w:rPr/>
        <w:t>2023</w:t>
      </w:r>
      <w:r>
        <w:rPr/>
        <w:t>年</w:t>
      </w:r>
      <w:r>
        <w:rPr/>
        <w:t>10</w:t>
      </w:r>
      <w:r>
        <w:rPr/>
        <w:t>月</w:t>
      </w:r>
      <w:r>
        <w:rPr/>
        <w:t>9</w:t>
      </w:r>
      <w:r>
        <w:rPr/>
        <w:t>日至</w:t>
      </w:r>
      <w:r>
        <w:rPr/>
        <w:t>2026</w:t>
      </w:r>
      <w:r>
        <w:rPr/>
        <w:t>年</w:t>
      </w:r>
      <w:r>
        <w:rPr/>
        <w:t>10</w:t>
      </w:r>
      <w:r>
        <w:rPr/>
        <w:t>月</w:t>
      </w:r>
      <w:r>
        <w:rPr/>
        <w:t>9</w:t>
      </w:r>
      <w:r>
        <w:rPr/>
        <w:t>日，周线</w:t>
      </w:r>
      <w:r>
        <w:rPr/>
        <w:t>155</w:t>
      </w:r>
      <w:r>
        <w:rPr/>
        <w:t>根。现价为未复权收盘</w:t>
      </w:r>
      <w:r>
        <w:rPr/>
        <w:t>107.90</w:t>
      </w:r>
      <w:r>
        <w:rPr/>
        <w:t>元，技术</w:t>
      </w:r>
      <w:r>
        <w:rPr/>
        <w:t>OHLC</w:t>
      </w:r>
      <w:r>
        <w:rPr/>
        <w:t>按复权因子归一到该日名义价格，历史现金股息影响不会被误识为经营下跌。腾讯、新浪和独立日线价格与量相互核验，成交量按股；本证券三年日线没有补造。周线只有</w:t>
      </w:r>
      <w:r>
        <w:rPr/>
        <w:t>155</w:t>
      </w:r>
      <w:r>
        <w:rPr/>
        <w:t>周，不能计算</w:t>
      </w:r>
      <w:r>
        <w:rPr/>
        <w:t>250</w:t>
      </w:r>
      <w:r>
        <w:rPr/>
        <w:t>周均线，表中缺失留空，而非用</w:t>
      </w:r>
      <w:r>
        <w:rPr/>
        <w:t>250</w:t>
      </w:r>
      <w:r>
        <w:rPr/>
        <w:t>日值代替。</w:t>
      </w:r>
    </w:p>
    <w:p>
      <w:pPr>
        <w:pStyle w:val="Normal"/>
        <w:rPr/>
      </w:pPr>
      <w:r>
        <w:rPr/>
        <w:t>二十、六十、一百二十、二百五十日均线分别</w:t>
      </w:r>
      <w:r>
        <w:rPr/>
        <w:t>88.9945</w:t>
      </w:r>
      <w:r>
        <w:rPr/>
        <w:t>、</w:t>
      </w:r>
      <w:r>
        <w:rPr/>
        <w:t>85.2285</w:t>
      </w:r>
      <w:r>
        <w:rPr/>
        <w:t>、</w:t>
      </w:r>
      <w:r>
        <w:rPr/>
        <w:t>84.6701</w:t>
      </w:r>
      <w:r>
        <w:rPr/>
        <w:t>、</w:t>
      </w:r>
      <w:r>
        <w:rPr/>
        <w:t>88.8896</w:t>
      </w:r>
      <w:r>
        <w:rPr/>
        <w:t>元。现价高于它们</w:t>
      </w:r>
      <w:r>
        <w:rPr/>
        <w:t>21.24%</w:t>
      </w:r>
      <w:r>
        <w:rPr/>
        <w:t>、</w:t>
      </w:r>
      <w:r>
        <w:rPr/>
        <w:t>26.60%</w:t>
      </w:r>
      <w:r>
        <w:rPr/>
        <w:t>、</w:t>
      </w:r>
      <w:r>
        <w:rPr/>
        <w:t>27.44%</w:t>
      </w:r>
      <w:r>
        <w:rPr/>
        <w:t>、</w:t>
      </w:r>
      <w:r>
        <w:rPr/>
        <w:t>21.39%</w:t>
      </w:r>
      <w:r>
        <w:rPr/>
        <w:t>，中短期上行成立；各线近五日斜率分别</w:t>
      </w:r>
      <w:r>
        <w:rPr/>
        <w:t>3.70%</w:t>
      </w:r>
      <w:r>
        <w:rPr/>
        <w:t>、</w:t>
      </w:r>
      <w:r>
        <w:rPr/>
        <w:t>2.63%</w:t>
      </w:r>
      <w:r>
        <w:rPr/>
        <w:t>、</w:t>
      </w:r>
      <w:r>
        <w:rPr/>
        <w:t>0.34%</w:t>
      </w:r>
      <w:r>
        <w:rPr/>
        <w:t>、</w:t>
      </w:r>
      <w:r>
        <w:rPr/>
        <w:t>0.07%</w:t>
      </w:r>
      <w:r>
        <w:rPr/>
        <w:t>。短线明显加速而长期线刚偏正，说明趋势恢复与前期大幅波动共存。四条线位置相近但价格离它们较远，不能因为全在线上就认为回踩损失很小。</w:t>
      </w:r>
    </w:p>
    <w:p>
      <w:pPr>
        <w:pStyle w:val="Normal"/>
        <w:rPr/>
      </w:pPr>
      <w:r>
        <w:rPr/>
        <w:t>二十日区间最低</w:t>
      </w:r>
      <w:r>
        <w:rPr/>
        <w:t>72.74</w:t>
      </w:r>
      <w:r>
        <w:rPr/>
        <w:t>元、最高</w:t>
      </w:r>
      <w:r>
        <w:rPr/>
        <w:t>115</w:t>
      </w:r>
      <w:r>
        <w:rPr/>
        <w:t>元，现价到上端约</w:t>
      </w:r>
      <w:r>
        <w:rPr/>
        <w:t>6.58%</w:t>
      </w:r>
      <w:r>
        <w:rPr/>
        <w:t>，到低端约负</w:t>
      </w:r>
      <w:r>
        <w:rPr/>
        <w:t>32.59%</w:t>
      </w:r>
      <w:r>
        <w:rPr/>
        <w:t>；六十日低</w:t>
      </w:r>
      <w:r>
        <w:rPr/>
        <w:t>62.13</w:t>
      </w:r>
      <w:r>
        <w:rPr/>
        <w:t>元、最高</w:t>
      </w:r>
      <w:r>
        <w:rPr/>
        <w:t>138.80</w:t>
      </w:r>
      <w:r>
        <w:rPr/>
        <w:t>元，到前高约</w:t>
      </w:r>
      <w:r>
        <w:rPr/>
        <w:t>28.64%</w:t>
      </w:r>
      <w:r>
        <w:rPr/>
        <w:t>。这些是区间极值观察位，没有触碰次数、交易结构和突破后保持时间的完整验证，因此不称精确强支撑。</w:t>
      </w:r>
      <w:r>
        <w:rPr/>
        <w:t>115</w:t>
      </w:r>
      <w:r>
        <w:rPr/>
        <w:t>附近可观察能否形成有效延续，若冲高后成交增大而收盘回落则需谨慎；跌向均线带也不意味着必然受到买盘承接。</w:t>
      </w:r>
    </w:p>
    <w:p>
      <w:pPr>
        <w:pStyle w:val="Normal"/>
        <w:rPr/>
      </w:pPr>
      <w:r>
        <w:rPr/>
        <w:t>近五十二周高</w:t>
      </w:r>
      <w:r>
        <w:rPr/>
        <w:t>138.80</w:t>
      </w:r>
      <w:r>
        <w:rPr/>
        <w:t>元、低</w:t>
      </w:r>
      <w:r>
        <w:rPr/>
        <w:t>62.13</w:t>
      </w:r>
      <w:r>
        <w:rPr/>
        <w:t>元，现价距高约负</w:t>
      </w:r>
      <w:r>
        <w:rPr/>
        <w:t>22.26%</w:t>
      </w:r>
      <w:r>
        <w:rPr/>
        <w:t>，从低已涨</w:t>
      </w:r>
      <w:r>
        <w:rPr/>
        <w:t>73.67%</w:t>
      </w:r>
      <w:r>
        <w:rPr/>
        <w:t>，日收盘计算最大回撤约</w:t>
      </w:r>
      <w:r>
        <w:rPr/>
        <w:t>44.54%</w:t>
      </w:r>
      <w:r>
        <w:rPr/>
        <w:t>。同一证券既低于高点、又远离低点，这两个描述都不说明它便宜。前高是交易参考，回到前高需要买盘与盈利预期支持；过去极端回撤提示行情能在短期对风险重新定价。本章悲观估值低于历史低点也并非错误，因为历史低点不约束未来经营和市场估值。</w:t>
      </w:r>
    </w:p>
    <w:p>
      <w:pPr>
        <w:pStyle w:val="Normal"/>
        <w:rPr/>
      </w:pPr>
      <w:r>
        <w:rPr/>
        <w:t>十月九日开</w:t>
      </w:r>
      <w:r>
        <w:rPr/>
        <w:t>108.46</w:t>
      </w:r>
      <w:r>
        <w:rPr/>
        <w:t>、最高</w:t>
      </w:r>
      <w:r>
        <w:rPr/>
        <w:t>109.86</w:t>
      </w:r>
      <w:r>
        <w:rPr/>
        <w:t>、最低</w:t>
      </w:r>
      <w:r>
        <w:rPr/>
        <w:t>98.58</w:t>
      </w:r>
      <w:r>
        <w:rPr/>
        <w:t>、收</w:t>
      </w:r>
      <w:r>
        <w:rPr/>
        <w:t>107.90</w:t>
      </w:r>
      <w:r>
        <w:rPr/>
        <w:t>，较前一收盘下跌</w:t>
      </w:r>
      <w:r>
        <w:rPr/>
        <w:t>0.84%</w:t>
      </w:r>
      <w:r>
        <w:rPr/>
        <w:t>。日内从低点明显回收，说明该日有价格恢复，但开收略弱、振幅较大，不足以识别买方身份或最终持仓意图。没有逐笔资金身份与盘口长期记录，不能把长下影说成主力吸筹。它只能作为短线承接观察，后续若低点持续下移、收盘无法保持，单日恢复的技术解释就应失效。</w:t>
      </w:r>
    </w:p>
    <w:p>
      <w:pPr>
        <w:pStyle w:val="Normal"/>
        <w:rPr/>
      </w:pPr>
      <w:r>
        <w:rPr/>
        <w:t>短期观察分两种路径。延续路径要求</w:t>
      </w:r>
      <w:r>
        <w:rPr/>
        <w:t>115</w:t>
      </w:r>
      <w:r>
        <w:rPr/>
        <w:t>元区域突破后不迅速跌回，并伴随随后多个收盘和成交确认；回踩路径要求价格向二十日及长期均线区靠近时，波动和卖出成交不继续扩大。约</w:t>
      </w:r>
      <w:r>
        <w:rPr/>
        <w:t>89</w:t>
      </w:r>
      <w:r>
        <w:rPr/>
        <w:t>元附近是当前均线聚集参考，</w:t>
      </w:r>
      <w:r>
        <w:rPr/>
        <w:t>98.58</w:t>
      </w:r>
      <w:r>
        <w:rPr/>
        <w:t>是当日低点而非已经确认的长期支撑。突破有效性不能只规定某一天涨多少，也不能给固定止损保证；跳空、波动和临床事件会使观察位无法按预设价格执行。</w:t>
      </w:r>
    </w:p>
    <w:p>
      <w:pPr>
        <w:pStyle w:val="Normal"/>
        <w:rPr/>
      </w:pPr>
      <w:r>
        <w:rPr/>
        <w:t>周二十、六十、一百二十均线</w:t>
      </w:r>
      <w:r>
        <w:rPr/>
        <w:t>82.70</w:t>
      </w:r>
      <w:r>
        <w:rPr/>
        <w:t>、</w:t>
      </w:r>
      <w:r>
        <w:rPr/>
        <w:t>90.21</w:t>
      </w:r>
      <w:r>
        <w:rPr/>
        <w:t>、</w:t>
      </w:r>
      <w:r>
        <w:rPr/>
        <w:t>75.64</w:t>
      </w:r>
      <w:r>
        <w:rPr/>
        <w:t>元，近五周斜率约</w:t>
      </w:r>
      <w:r>
        <w:rPr/>
        <w:t>0.22%</w:t>
      </w:r>
      <w:r>
        <w:rPr/>
        <w:t>、</w:t>
      </w:r>
      <w:r>
        <w:rPr/>
        <w:t>0.31%</w:t>
      </w:r>
      <w:r>
        <w:rPr/>
        <w:t>、</w:t>
      </w:r>
      <w:r>
        <w:rPr/>
        <w:t>1.52%</w:t>
      </w:r>
      <w:r>
        <w:rPr/>
        <w:t>，现价高它们</w:t>
      </w:r>
      <w:r>
        <w:rPr/>
        <w:t>30.48%</w:t>
      </w:r>
      <w:r>
        <w:rPr/>
        <w:t>、</w:t>
      </w:r>
      <w:r>
        <w:rPr/>
        <w:t>19.61%</w:t>
      </w:r>
      <w:r>
        <w:rPr/>
        <w:t>、</w:t>
      </w:r>
      <w:r>
        <w:rPr/>
        <w:t>42.65%</w:t>
      </w:r>
      <w:r>
        <w:rPr/>
        <w:t>。周线恢复方向与日线一致，但六十周线仍高于二十周，历史均线结构尚未体现长期稳定顺序。周平均真实波幅</w:t>
      </w:r>
      <w:r>
        <w:rPr/>
        <w:t>15.37</w:t>
      </w:r>
      <w:r>
        <w:rPr/>
        <w:t>元、占现价</w:t>
      </w:r>
      <w:r>
        <w:rPr/>
        <w:t>14.24%</w:t>
      </w:r>
      <w:r>
        <w:rPr/>
        <w:t>，远高于许多成熟盈利证券。三年研究不能把最近几根周线趋势直接外推成五年持续复合收益。</w:t>
      </w:r>
    </w:p>
    <w:p>
      <w:pPr>
        <w:pStyle w:val="Heading2"/>
        <w:rPr/>
      </w:pPr>
      <w:r>
        <w:rPr>
          <w:color w:val="000000"/>
        </w:rPr>
        <w:t>成交量 相对强弱和指标边界</w:t>
      </w:r>
    </w:p>
    <w:p>
      <w:pPr>
        <w:pStyle w:val="Normal"/>
        <w:rPr/>
      </w:pPr>
      <w:r>
        <w:rPr/>
        <w:t>当日成交</w:t>
      </w:r>
      <w:r>
        <w:rPr/>
        <w:t>7.947</w:t>
      </w:r>
      <w:r>
        <w:rPr/>
        <w:t>百万股、成交额</w:t>
      </w:r>
      <w:r>
        <w:rPr/>
        <w:t>826.116</w:t>
      </w:r>
      <w:r>
        <w:rPr/>
        <w:t>百万元，公开行情换手</w:t>
      </w:r>
      <w:r>
        <w:rPr/>
        <w:t>13.10%</w:t>
      </w:r>
      <w:r>
        <w:rPr/>
        <w:t>。五、二十、六十日均量</w:t>
      </w:r>
      <w:r>
        <w:rPr/>
        <w:t>7.276</w:t>
      </w:r>
      <w:r>
        <w:rPr/>
        <w:t>、</w:t>
      </w:r>
      <w:r>
        <w:rPr/>
        <w:t>5.748</w:t>
      </w:r>
      <w:r>
        <w:rPr/>
        <w:t>、</w:t>
      </w:r>
      <w:r>
        <w:rPr/>
        <w:t>4.380</w:t>
      </w:r>
      <w:r>
        <w:rPr/>
        <w:t>百万股，成交活跃度增加；当日量比使用此前二十日均量</w:t>
      </w:r>
      <w:r>
        <w:rPr/>
        <w:t>5.580</w:t>
      </w:r>
      <w:r>
        <w:rPr/>
        <w:t>百万股，约</w:t>
      </w:r>
      <w:r>
        <w:rPr/>
        <w:t>1.424</w:t>
      </w:r>
      <w:r>
        <w:rPr/>
        <w:t>，与含当日二十日均量的比例不同。量比口径必须保存，否则多个网站数字可能表面冲突。较高换手能支持交易流动性，却也说明短线分歧和筹码周转快，不能直接赋予经营质量加分。</w:t>
      </w:r>
    </w:p>
    <w:p>
      <w:pPr>
        <w:pStyle w:val="Normal"/>
        <w:rPr/>
      </w:pPr>
      <w:r>
        <w:rPr/>
        <w:t>最近二十日上涨十二天、下跌八天，上涨总量</w:t>
      </w:r>
      <w:r>
        <w:rPr/>
        <w:t>76.192</w:t>
      </w:r>
      <w:r>
        <w:rPr/>
        <w:t>百万股、下跌</w:t>
      </w:r>
      <w:r>
        <w:rPr/>
        <w:t>38.766</w:t>
      </w:r>
      <w:r>
        <w:rPr/>
        <w:t>百万股，总量比</w:t>
      </w:r>
      <w:r>
        <w:rPr/>
        <w:t>1.965</w:t>
      </w:r>
      <w:r>
        <w:rPr/>
        <w:t>。因上涨天数较多，不宜把总比值当成每个上涨日购买力度近两倍；按日均约</w:t>
      </w:r>
      <w:r>
        <w:rPr/>
        <w:t>6.349</w:t>
      </w:r>
      <w:r>
        <w:rPr/>
        <w:t>与</w:t>
      </w:r>
      <w:r>
        <w:rPr/>
        <w:t>4.846</w:t>
      </w:r>
      <w:r>
        <w:rPr/>
        <w:t>百万股，比约</w:t>
      </w:r>
      <w:r>
        <w:rPr/>
        <w:t>1.31</w:t>
      </w:r>
      <w:r>
        <w:rPr/>
        <w:t>。两种口径一起表明上涨日较活跃，却仍不能识别资金是否新增长期配置。下跌大日若有巨量，或者未来上涨量缩而跌量扩，当前量价加分需要撤回，而非靠旧累计量永远维持。</w:t>
      </w:r>
    </w:p>
    <w:p>
      <w:pPr>
        <w:pStyle w:val="Normal"/>
        <w:rPr/>
      </w:pPr>
      <w:r>
        <w:rPr/>
        <w:t>周线上涨十一周、下跌九周，总量比</w:t>
      </w:r>
      <w:r>
        <w:rPr/>
        <w:t>2.157</w:t>
      </w:r>
      <w:r>
        <w:rPr/>
        <w:t>，周均量五、二十、六十分别</w:t>
      </w:r>
      <w:r>
        <w:rPr/>
        <w:t>21.986</w:t>
      </w:r>
      <w:r>
        <w:rPr/>
        <w:t>、</w:t>
      </w:r>
      <w:r>
        <w:rPr/>
        <w:t>15.070</w:t>
      </w:r>
      <w:r>
        <w:rPr/>
        <w:t>、</w:t>
      </w:r>
      <w:r>
        <w:rPr/>
        <w:t>8.409</w:t>
      </w:r>
      <w:r>
        <w:rPr/>
        <w:t>百万股，近期活跃明显。每周交易日数和节假日不同，本周累计量比不能机械与完整五日周相比较；锁表保留原周聚合而不人为补量。周均量上升可以佐证关注度恢复，无法独立判断估值是否合理。技术维度</w:t>
      </w:r>
      <w:r>
        <w:rPr/>
        <w:t>4</w:t>
      </w:r>
      <w:r>
        <w:rPr/>
        <w:t>分综合这些证据，不再把日量、周量、</w:t>
      </w:r>
      <w:r>
        <w:rPr/>
        <w:t>MACD</w:t>
      </w:r>
      <w:r>
        <w:rPr/>
        <w:t>及均线方向各算成独立概率叠加。</w:t>
      </w:r>
    </w:p>
    <w:p>
      <w:pPr>
        <w:pStyle w:val="Normal"/>
        <w:rPr/>
      </w:pPr>
      <w:r>
        <w:rPr/>
        <w:t>二十日股价回报</w:t>
      </w:r>
      <w:r>
        <w:rPr/>
        <w:t>29.66%</w:t>
      </w:r>
      <w:r>
        <w:rPr/>
        <w:t>、六十日</w:t>
      </w:r>
      <w:r>
        <w:rPr/>
        <w:t>45.24%</w:t>
      </w:r>
      <w:r>
        <w:rPr/>
        <w:t>，相对沪深三百分别超</w:t>
      </w:r>
      <w:r>
        <w:rPr/>
        <w:t>34.83</w:t>
      </w:r>
      <w:r>
        <w:rPr/>
        <w:t>、</w:t>
      </w:r>
      <w:r>
        <w:rPr/>
        <w:t>56.71</w:t>
      </w:r>
      <w:r>
        <w:rPr/>
        <w:t>个百分点。较大的超额说明近期方向明显强于宽基，却不证明强于生物材料同行，因为专属行业基准尚缺。本章明示行业相对强弱留空，不能把宽基超额误标成药材行业第一。若宽基急反弹、公司跟随较弱，超额可能收敛；若全行业受政策重估，个股上涨又可能主要是行业贝塔而非公司独特盈利。</w:t>
      </w:r>
    </w:p>
    <w:p>
      <w:pPr>
        <w:pStyle w:val="Normal"/>
        <w:rPr/>
      </w:pPr>
      <w:r>
        <w:rPr/>
        <w:t>日相对强弱指标约</w:t>
      </w:r>
      <w:r>
        <w:rPr/>
        <w:t>62.45</w:t>
      </w:r>
      <w:r>
        <w:rPr/>
        <w:t>、周</w:t>
      </w:r>
      <w:r>
        <w:rPr/>
        <w:t>59.69</w:t>
      </w:r>
      <w:r>
        <w:rPr/>
        <w:t>，位于恢复偏强区间；</w:t>
      </w:r>
      <w:r>
        <w:rPr/>
        <w:t>MACD</w:t>
      </w:r>
      <w:r>
        <w:rPr/>
        <w:t>日差离</w:t>
      </w:r>
      <w:r>
        <w:rPr/>
        <w:t>5.055</w:t>
      </w:r>
      <w:r>
        <w:rPr/>
        <w:t>、信号</w:t>
      </w:r>
      <w:r>
        <w:rPr/>
        <w:t>2.644</w:t>
      </w:r>
      <w:r>
        <w:rPr/>
        <w:t>，柱按两倍差定义约</w:t>
      </w:r>
      <w:r>
        <w:rPr/>
        <w:t>4.821</w:t>
      </w:r>
      <w:r>
        <w:rPr/>
        <w:t>。指标与均线都来自同一价格系列，互相一致不能算独立证据重复提高可信度。日平均真实波幅</w:t>
      </w:r>
      <w:r>
        <w:rPr/>
        <w:t>8.860</w:t>
      </w:r>
      <w:r>
        <w:rPr/>
        <w:t>元更有实践意义：相对现价</w:t>
      </w:r>
      <w:r>
        <w:rPr/>
        <w:t>8.21%</w:t>
      </w:r>
      <w:r>
        <w:rPr/>
        <w:t>的平均波动提示交易区间宽，单一固定价格目标难覆盖过程风险。波幅是历史描述，不是未来每日最大跌幅或止损保证。</w:t>
      </w:r>
    </w:p>
    <w:p>
      <w:pPr>
        <w:pStyle w:val="Normal"/>
        <w:rPr/>
      </w:pPr>
      <w:r>
        <w:rPr/>
        <w:t>八月二十七、二十八、三十一日收盘跌幅偏离累计达到异常标准，公司九月一日公告说明短期大跌和日常经营正常、自查未见未披露重大事项。公告没有解释所有成交原因，不能用其自查推断八月下跌一定全部由研发终止引起；同期临床与财报披露可能改变预期，但因果需更完整事件和市场对照。随后恢复也不能当成市场已永久吸收风险，近期高波动本身就是半年评分不能满分的依据。</w:t>
      </w:r>
    </w:p>
    <w:p>
      <w:pPr>
        <w:pStyle w:val="Heading2"/>
        <w:rPr/>
      </w:pPr>
      <w:r>
        <w:rPr>
          <w:color w:val="000000"/>
        </w:rPr>
        <w:t>股数 分红 减持与治理</w:t>
      </w:r>
    </w:p>
    <w:p>
      <w:pPr>
        <w:pStyle w:val="Normal"/>
        <w:rPr/>
      </w:pPr>
      <w:r>
        <w:rPr/>
        <w:t>总股本</w:t>
      </w:r>
      <w:r>
        <w:rPr/>
        <w:t>60.6507</w:t>
      </w:r>
      <w:r>
        <w:rPr/>
        <w:t>百万股，六月分红实施公告扣回购库存</w:t>
      </w:r>
      <w:r>
        <w:rPr/>
        <w:t>147914</w:t>
      </w:r>
      <w:r>
        <w:rPr/>
        <w:t>股后实际分红基数</w:t>
      </w:r>
      <w:r>
        <w:rPr/>
        <w:t>60.502786</w:t>
      </w:r>
      <w:r>
        <w:rPr/>
        <w:t>百万股。每股</w:t>
      </w:r>
      <w:r>
        <w:rPr/>
        <w:t>0.31</w:t>
      </w:r>
      <w:r>
        <w:rPr/>
        <w:t>元，登记六月二十六日、除息和发放六月二十九日，现金总额</w:t>
      </w:r>
      <w:r>
        <w:rPr/>
        <w:t>18.756</w:t>
      </w:r>
      <w:r>
        <w:rPr/>
        <w:t>百万元。历史每股与虚拟除息</w:t>
      </w:r>
      <w:r>
        <w:rPr/>
        <w:t>0.3092</w:t>
      </w:r>
      <w:r>
        <w:rPr/>
        <w:t>元略不同，来自不参与股息的库存股，不能把差异当成数据错误。价格锚在十月，因此这笔现金已过去，不计入半年、年底或一年未来回报，避免历史现金再次增加上涨空间。</w:t>
      </w:r>
    </w:p>
    <w:p>
      <w:pPr>
        <w:pStyle w:val="Normal"/>
        <w:rPr/>
      </w:pPr>
      <w:r>
        <w:rPr/>
        <w:t>模型近期盈利分母保守使用全部已发行</w:t>
      </w:r>
      <w:r>
        <w:rPr/>
        <w:t>60.6507</w:t>
      </w:r>
      <w:r>
        <w:rPr/>
        <w:t>百万股而非扣库存的加权平均股数，差距约</w:t>
      </w:r>
      <w:r>
        <w:rPr/>
        <w:t>0.24%</w:t>
      </w:r>
      <w:r>
        <w:rPr/>
        <w:t>，不影响主要结论但需注明。法定每股收益另有年度加权规则，不能简单用期末股数去要求报告</w:t>
      </w:r>
      <w:r>
        <w:rPr/>
        <w:t>EPS</w:t>
      </w:r>
      <w:r>
        <w:rPr/>
        <w:t>精确相同。远期库存用途、激励授予或发行会改变分母和权益现金，当前只做假设压力。后续若公告股数改变，模型应刷新同一活动输入与情景快照，而不在</w:t>
      </w:r>
      <w:r>
        <w:rPr/>
        <w:t>Word</w:t>
      </w:r>
      <w:r>
        <w:rPr/>
        <w:t>独立改价造成与</w:t>
      </w:r>
      <w:r>
        <w:rPr/>
        <w:t>Excel</w:t>
      </w:r>
      <w:r>
        <w:rPr/>
        <w:t>差异。</w:t>
      </w:r>
    </w:p>
    <w:p>
      <w:pPr>
        <w:pStyle w:val="Normal"/>
        <w:rPr/>
      </w:pPr>
      <w:r>
        <w:rPr/>
        <w:t>吴凯庭于七月十五日至八月二十四日合计减</w:t>
      </w:r>
      <w:r>
        <w:rPr/>
        <w:t>1.820</w:t>
      </w:r>
      <w:r>
        <w:rPr/>
        <w:t>百万股、</w:t>
      </w:r>
      <w:r>
        <w:rPr/>
        <w:t>3%</w:t>
      </w:r>
      <w:r>
        <w:rPr/>
        <w:t>，集中竞价约</w:t>
      </w:r>
      <w:r>
        <w:rPr/>
        <w:t>0.607</w:t>
      </w:r>
      <w:r>
        <w:rPr/>
        <w:t>百万股，大宗约</w:t>
      </w:r>
      <w:r>
        <w:rPr/>
        <w:t>1.213</w:t>
      </w:r>
      <w:r>
        <w:rPr/>
        <w:t>百万股，减持价格</w:t>
      </w:r>
      <w:r>
        <w:rPr/>
        <w:t>80.15</w:t>
      </w:r>
      <w:r>
        <w:rPr/>
        <w:t>至</w:t>
      </w:r>
      <w:r>
        <w:rPr/>
        <w:t>107.34</w:t>
      </w:r>
      <w:r>
        <w:rPr/>
        <w:t>元，八月二十五日公告确认已完成。其持股由</w:t>
      </w:r>
      <w:r>
        <w:rPr/>
        <w:t>10.08%</w:t>
      </w:r>
      <w:r>
        <w:rPr/>
        <w:t>降到</w:t>
      </w:r>
      <w:r>
        <w:rPr/>
        <w:t>7.08%</w:t>
      </w:r>
      <w:r>
        <w:rPr/>
        <w:t>，不是控股股东或实际控制人。已完成的卖出不能再次当作未来确定供给压制，也不能由于完成就断言后续不会有新计划。价格区间可作历史交易信息，不应给出股东掌握隐情或机构承接的未经证实解释。</w:t>
      </w:r>
    </w:p>
    <w:p>
      <w:pPr>
        <w:pStyle w:val="Normal"/>
        <w:rPr/>
      </w:pPr>
      <w:r>
        <w:rPr/>
        <w:t>九月九日另公告财务总监韩磊计划十月九日至次年一月八日减不超过</w:t>
      </w:r>
      <w:r>
        <w:rPr/>
        <w:t>7875</w:t>
      </w:r>
      <w:r>
        <w:rPr/>
        <w:t>股、</w:t>
      </w:r>
      <w:r>
        <w:rPr/>
        <w:t>0.013%</w:t>
      </w:r>
      <w:r>
        <w:rPr/>
        <w:t>，来源是激励股份。这个规模与此前大股东</w:t>
      </w:r>
      <w:r>
        <w:rPr/>
        <w:t>3%</w:t>
      </w:r>
      <w:r>
        <w:rPr/>
        <w:t>差异很大，应按真实数量评价，而不把两个减持混成大规模继续退出。计划不等于成交，截止日未核实际执行。本章半年催化和治理考虑公告透明度与个人出售，但主要风险仍是资本配置和客户集中，不能让小额高管计划在模型中主导价格结论。</w:t>
      </w:r>
    </w:p>
    <w:p>
      <w:pPr>
        <w:pStyle w:val="Normal"/>
        <w:rPr/>
      </w:pPr>
      <w:r>
        <w:rPr/>
        <w:t>治理质量还需看研发阶段门槛、项目退出及时性和建设投资回报。终止商业价值下降的试验能减少未来沉没成本，说明管理层愿意调整；同时资本化研发直到退出全减，也提示过去判断存在风险。两个结论可以同时成立。健康园区未达到股东会审议标准、由董事会决定，程序合规不保证投资经济性。推荐需要后续预算约束、实际收益与披露一致来证明，而非仅依赖项目被审议通过。</w:t>
      </w:r>
    </w:p>
    <w:p>
      <w:pPr>
        <w:pStyle w:val="Heading2"/>
        <w:rPr/>
      </w:pPr>
      <w:r>
        <w:rPr>
          <w:color w:val="000000"/>
        </w:rPr>
        <w:t>估值口径 情景模型与敏感性</w:t>
      </w:r>
    </w:p>
    <w:p>
      <w:pPr>
        <w:pStyle w:val="Normal"/>
        <w:rPr/>
      </w:pPr>
      <w:r>
        <w:rPr/>
        <w:t>以</w:t>
      </w:r>
      <w:r>
        <w:rPr/>
        <w:t>2025</w:t>
      </w:r>
      <w:r>
        <w:rPr/>
        <w:t>年报告稀释</w:t>
      </w:r>
      <w:r>
        <w:rPr/>
        <w:t>EPS1.02</w:t>
      </w:r>
      <w:r>
        <w:rPr/>
        <w:t>元计算，</w:t>
      </w:r>
      <w:r>
        <w:rPr/>
        <w:t>107.90</w:t>
      </w:r>
      <w:r>
        <w:rPr/>
        <w:t>元约</w:t>
      </w:r>
      <w:r>
        <w:rPr/>
        <w:t>105.78</w:t>
      </w:r>
      <w:r>
        <w:rPr/>
        <w:t>倍。用</w:t>
      </w:r>
      <w:r>
        <w:rPr/>
        <w:t>2025</w:t>
      </w:r>
      <w:r>
        <w:rPr/>
        <w:t>全年归母</w:t>
      </w:r>
      <w:r>
        <w:rPr/>
        <w:t>61.70</w:t>
      </w:r>
      <w:r>
        <w:rPr/>
        <w:t>百万元，加</w:t>
      </w:r>
      <w:r>
        <w:rPr/>
        <w:t>2026</w:t>
      </w:r>
      <w:r>
        <w:rPr/>
        <w:t>上半年</w:t>
      </w:r>
      <w:r>
        <w:rPr/>
        <w:t>2.92</w:t>
      </w:r>
      <w:r>
        <w:rPr/>
        <w:t>百万元，减</w:t>
      </w:r>
      <w:r>
        <w:rPr/>
        <w:t>2025</w:t>
      </w:r>
      <w:r>
        <w:rPr/>
        <w:t>上半年</w:t>
      </w:r>
      <w:r>
        <w:rPr/>
        <w:t>22.05</w:t>
      </w:r>
      <w:r>
        <w:rPr/>
        <w:t>百万元，得到报告滚动归母约</w:t>
      </w:r>
      <w:r>
        <w:rPr/>
        <w:t>42.565</w:t>
      </w:r>
      <w:r>
        <w:rPr/>
        <w:t>百万元，按期末股数每股</w:t>
      </w:r>
      <w:r>
        <w:rPr/>
        <w:t>0.7018</w:t>
      </w:r>
      <w:r>
        <w:rPr/>
        <w:t>元、约</w:t>
      </w:r>
      <w:r>
        <w:rPr/>
        <w:t>153.75</w:t>
      </w:r>
      <w:r>
        <w:rPr/>
        <w:t>倍，与行情</w:t>
      </w:r>
      <w:r>
        <w:rPr/>
        <w:t>PE</w:t>
      </w:r>
      <w:r>
        <w:rPr/>
        <w:t>基本接近。这个口径包含开发减值，不代表材料全部长期盈利消失，但能说明只看第三方高</w:t>
      </w:r>
      <w:r>
        <w:rPr/>
        <w:t>PE</w:t>
      </w:r>
      <w:r>
        <w:rPr/>
        <w:t>而不拆利润会失真。历史</w:t>
      </w:r>
      <w:r>
        <w:rPr/>
        <w:t>EPS</w:t>
      </w:r>
      <w:r>
        <w:rPr/>
        <w:t>与未来</w:t>
      </w:r>
      <w:r>
        <w:rPr/>
        <w:t>EPS</w:t>
      </w:r>
      <w:r>
        <w:rPr/>
        <w:t>需要并列，不能挑低倍数单独展示。</w:t>
      </w:r>
    </w:p>
    <w:p>
      <w:pPr>
        <w:pStyle w:val="Normal"/>
        <w:rPr/>
      </w:pPr>
      <w:r>
        <w:rPr/>
        <w:t>若把公司调整后的上半年归母</w:t>
      </w:r>
      <w:r>
        <w:rPr/>
        <w:t>62.9647</w:t>
      </w:r>
      <w:r>
        <w:rPr/>
        <w:t>百万元简单年化，每股約</w:t>
      </w:r>
      <w:r>
        <w:rPr/>
        <w:t>2.0763</w:t>
      </w:r>
      <w:r>
        <w:rPr/>
        <w:t>元，现价仍约</w:t>
      </w:r>
      <w:r>
        <w:rPr/>
        <w:t>51.97</w:t>
      </w:r>
      <w:r>
        <w:rPr/>
        <w:t>倍；这是期内正常化观察，不是全年预测。若进一步以调整扣非</w:t>
      </w:r>
      <w:r>
        <w:rPr/>
        <w:t>57.9397</w:t>
      </w:r>
      <w:r>
        <w:rPr/>
        <w:t>百万元减本期资本化研发按</w:t>
      </w:r>
      <w:r>
        <w:rPr/>
        <w:t>15%</w:t>
      </w:r>
      <w:r>
        <w:rPr/>
        <w:t>税率示意费用化约</w:t>
      </w:r>
      <w:r>
        <w:rPr/>
        <w:t>5.356</w:t>
      </w:r>
      <w:r>
        <w:rPr/>
        <w:t>百万元，再年化，每股约</w:t>
      </w:r>
      <w:r>
        <w:rPr/>
        <w:t>1.734</w:t>
      </w:r>
      <w:r>
        <w:rPr/>
        <w:t>元、约</w:t>
      </w:r>
      <w:r>
        <w:rPr/>
        <w:t>62.23</w:t>
      </w:r>
      <w:r>
        <w:rPr/>
        <w:t>倍。两种测算展示正常化范围对资本化与一次性收益敏感，不能因为减值非现金就宣称当前不足五十倍且必然低估。</w:t>
      </w:r>
    </w:p>
    <w:p>
      <w:pPr>
        <w:pStyle w:val="Normal"/>
        <w:rPr/>
      </w:pPr>
      <w:r>
        <w:rPr/>
        <w:t>本模型采用各目标日未来十二个月持续归母</w:t>
      </w:r>
      <w:r>
        <w:rPr/>
        <w:t>EPS</w:t>
      </w:r>
      <w:r>
        <w:rPr/>
        <w:t>乘合理</w:t>
      </w:r>
      <w:r>
        <w:rPr/>
        <w:t>PE</w:t>
      </w:r>
      <w:r>
        <w:rPr/>
        <w:t>，不把年底当成</w:t>
      </w:r>
      <w:r>
        <w:rPr/>
        <w:t>2026</w:t>
      </w:r>
      <w:r>
        <w:rPr/>
        <w:t>已实现</w:t>
      </w:r>
      <w:r>
        <w:rPr/>
        <w:t>EPS</w:t>
      </w:r>
      <w:r>
        <w:rPr/>
        <w:t>，更不将一年目标按剩余月份线性缩放。年底信息集与盈利可见性不同，</w:t>
      </w:r>
      <w:r>
        <w:rPr/>
        <w:t>PE</w:t>
      </w:r>
      <w:r>
        <w:rPr/>
        <w:t>和</w:t>
      </w:r>
      <w:r>
        <w:rPr/>
        <w:t>EPS</w:t>
      </w:r>
      <w:r>
        <w:rPr/>
        <w:t>都独立设定；现金和金融资产未另加。</w:t>
      </w:r>
      <w:r>
        <w:rPr/>
        <w:t>EPS</w:t>
      </w:r>
      <w:r>
        <w:rPr/>
        <w:t>假设已扣经营费用、正常研发、项目收尾及未来园区利息折旧，不包含开发减值反转。缺乏逐年经营预测与完整</w:t>
      </w:r>
      <w:r>
        <w:rPr/>
        <w:t>CF</w:t>
      </w:r>
      <w:r>
        <w:rPr/>
        <w:t>模型时，这是一套可检验的情景估值初版，不能称全部估值交叉验证已经完成。</w:t>
      </w:r>
    </w:p>
    <w:p>
      <w:pPr>
        <w:pStyle w:val="Normal"/>
        <w:rPr/>
      </w:pPr>
      <w:r>
        <w:rPr/>
        <w:t>半年悲观、基准、乐观持续</w:t>
      </w:r>
      <w:r>
        <w:rPr/>
        <w:t>EPS1.10</w:t>
      </w:r>
      <w:r>
        <w:rPr/>
        <w:t>、</w:t>
      </w:r>
      <w:r>
        <w:rPr/>
        <w:t>2.10</w:t>
      </w:r>
      <w:r>
        <w:rPr/>
        <w:t>、</w:t>
      </w:r>
      <w:r>
        <w:rPr/>
        <w:t>2.80</w:t>
      </w:r>
      <w:r>
        <w:rPr/>
        <w:t>元，</w:t>
      </w:r>
      <w:r>
        <w:rPr/>
        <w:t>PE</w:t>
      </w:r>
      <w:r>
        <w:rPr/>
        <w:t>三十二、四十八、六十二倍，得到</w:t>
      </w:r>
      <w:r>
        <w:rPr/>
        <w:t>35.20</w:t>
      </w:r>
      <w:r>
        <w:rPr/>
        <w:t>、</w:t>
      </w:r>
      <w:r>
        <w:rPr/>
        <w:t>100.80</w:t>
      </w:r>
      <w:r>
        <w:rPr/>
        <w:t>、</w:t>
      </w:r>
      <w:r>
        <w:rPr/>
        <w:t>173.60</w:t>
      </w:r>
      <w:r>
        <w:rPr/>
        <w:t>元。悲观收入</w:t>
      </w:r>
      <w:r>
        <w:rPr/>
        <w:t>350</w:t>
      </w:r>
      <w:r>
        <w:rPr/>
        <w:t>百万元、归母</w:t>
      </w:r>
      <w:r>
        <w:rPr/>
        <w:t>66.72</w:t>
      </w:r>
      <w:r>
        <w:rPr/>
        <w:t>百万元，基准</w:t>
      </w:r>
      <w:r>
        <w:rPr/>
        <w:t>450</w:t>
      </w:r>
      <w:r>
        <w:rPr/>
        <w:t>百万元、</w:t>
      </w:r>
      <w:r>
        <w:rPr/>
        <w:t>127.37</w:t>
      </w:r>
      <w:r>
        <w:rPr/>
        <w:t>百万元，乐观</w:t>
      </w:r>
      <w:r>
        <w:rPr/>
        <w:t>550</w:t>
      </w:r>
      <w:r>
        <w:rPr/>
        <w:t>百万元、</w:t>
      </w:r>
      <w:r>
        <w:rPr/>
        <w:t>169.82</w:t>
      </w:r>
      <w:r>
        <w:rPr/>
        <w:t>百万元。乐观不只要求价格动量，还要求新客户、毛利和材料应用能兑现更高经营能力；悲观同时下调利润与倍数，反映高估值公司受双重冲击的可能，非最大损失。</w:t>
      </w:r>
    </w:p>
    <w:p>
      <w:pPr>
        <w:pStyle w:val="Normal"/>
        <w:rPr/>
      </w:pPr>
      <w:r>
        <w:rPr/>
        <w:t>一年</w:t>
      </w:r>
      <w:r>
        <w:rPr/>
        <w:t>EPS1.20</w:t>
      </w:r>
      <w:r>
        <w:rPr/>
        <w:t>、</w:t>
      </w:r>
      <w:r>
        <w:rPr/>
        <w:t>2.60</w:t>
      </w:r>
      <w:r>
        <w:rPr/>
        <w:t>、</w:t>
      </w:r>
      <w:r>
        <w:rPr/>
        <w:t>3.40</w:t>
      </w:r>
      <w:r>
        <w:rPr/>
        <w:t>元，</w:t>
      </w:r>
      <w:r>
        <w:rPr/>
        <w:t>PE</w:t>
      </w:r>
      <w:r>
        <w:rPr/>
        <w:t>三十、四十五、五十八倍，价格</w:t>
      </w:r>
      <w:r>
        <w:rPr/>
        <w:t>36</w:t>
      </w:r>
      <w:r>
        <w:rPr/>
        <w:t>、</w:t>
      </w:r>
      <w:r>
        <w:rPr/>
        <w:t>117</w:t>
      </w:r>
      <w:r>
        <w:rPr/>
        <w:t>、</w:t>
      </w:r>
      <w:r>
        <w:rPr/>
        <w:t>197.20</w:t>
      </w:r>
      <w:r>
        <w:rPr/>
        <w:t>元；累计股息</w:t>
      </w:r>
      <w:r>
        <w:rPr/>
        <w:t>0.12</w:t>
      </w:r>
      <w:r>
        <w:rPr/>
        <w:t>、</w:t>
      </w:r>
      <w:r>
        <w:rPr/>
        <w:t>0.32</w:t>
      </w:r>
      <w:r>
        <w:rPr/>
        <w:t>、</w:t>
      </w:r>
      <w:r>
        <w:rPr/>
        <w:t>0.45</w:t>
      </w:r>
      <w:r>
        <w:rPr/>
        <w:t>元皆为研究假设，分别含分红负</w:t>
      </w:r>
      <w:r>
        <w:rPr/>
        <w:t>66.52%</w:t>
      </w:r>
      <w:r>
        <w:rPr/>
        <w:t>、正</w:t>
      </w:r>
      <w:r>
        <w:rPr/>
        <w:t>8.73%</w:t>
      </w:r>
      <w:r>
        <w:rPr/>
        <w:t>、正</w:t>
      </w:r>
      <w:r>
        <w:rPr/>
        <w:t>83.18%</w:t>
      </w:r>
      <w:r>
        <w:rPr/>
        <w:t>。基准收入</w:t>
      </w:r>
      <w:r>
        <w:rPr/>
        <w:t>520</w:t>
      </w:r>
      <w:r>
        <w:rPr/>
        <w:t>百万元、净利</w:t>
      </w:r>
      <w:r>
        <w:rPr/>
        <w:t>157.69</w:t>
      </w:r>
      <w:r>
        <w:rPr/>
        <w:t>百万元，税前约</w:t>
      </w:r>
      <w:r>
        <w:rPr/>
        <w:t>185.52</w:t>
      </w:r>
      <w:r>
        <w:rPr/>
        <w:t>百万元，加入已扣假设银行息</w:t>
      </w:r>
      <w:r>
        <w:rPr/>
        <w:t>2.8</w:t>
      </w:r>
      <w:r>
        <w:rPr/>
        <w:t>百万元可复核盈利桥。若净利只有</w:t>
      </w:r>
      <w:r>
        <w:rPr/>
        <w:t>120</w:t>
      </w:r>
      <w:r>
        <w:rPr/>
        <w:t>百万元，按同股数四十五倍约</w:t>
      </w:r>
      <w:r>
        <w:rPr/>
        <w:t>89.03</w:t>
      </w:r>
      <w:r>
        <w:rPr/>
        <w:t>元，说明小幅利润缺口能显著改变实际赔率。</w:t>
      </w:r>
    </w:p>
    <w:p>
      <w:pPr>
        <w:pStyle w:val="Normal"/>
        <w:rPr/>
      </w:pPr>
      <w:r>
        <w:rPr/>
        <w:t>三年</w:t>
      </w:r>
      <w:r>
        <w:rPr/>
        <w:t>EPS1.50</w:t>
      </w:r>
      <w:r>
        <w:rPr/>
        <w:t>、</w:t>
      </w:r>
      <w:r>
        <w:rPr/>
        <w:t>3.80</w:t>
      </w:r>
      <w:r>
        <w:rPr/>
        <w:t>、</w:t>
      </w:r>
      <w:r>
        <w:rPr/>
        <w:t>6</w:t>
      </w:r>
      <w:r>
        <w:rPr/>
        <w:t>元，</w:t>
      </w:r>
      <w:r>
        <w:rPr/>
        <w:t>PE</w:t>
      </w:r>
      <w:r>
        <w:rPr/>
        <w:t>二十六、四十、五十二倍，价格</w:t>
      </w:r>
      <w:r>
        <w:rPr/>
        <w:t>39</w:t>
      </w:r>
      <w:r>
        <w:rPr/>
        <w:t>、</w:t>
      </w:r>
      <w:r>
        <w:rPr/>
        <w:t>152</w:t>
      </w:r>
      <w:r>
        <w:rPr/>
        <w:t>、</w:t>
      </w:r>
      <w:r>
        <w:rPr/>
        <w:t>312</w:t>
      </w:r>
      <w:r>
        <w:rPr/>
        <w:t>元；股数按各场景</w:t>
      </w:r>
      <w:r>
        <w:rPr/>
        <w:t>66.72</w:t>
      </w:r>
      <w:r>
        <w:rPr/>
        <w:t>、</w:t>
      </w:r>
      <w:r>
        <w:rPr/>
        <w:t>63.68</w:t>
      </w:r>
      <w:r>
        <w:rPr/>
        <w:t>、</w:t>
      </w:r>
      <w:r>
        <w:rPr/>
        <w:t>60.65</w:t>
      </w:r>
      <w:r>
        <w:rPr/>
        <w:t>百万股，归母</w:t>
      </w:r>
      <w:r>
        <w:rPr/>
        <w:t>100.07</w:t>
      </w:r>
      <w:r>
        <w:rPr/>
        <w:t>、</w:t>
      </w:r>
      <w:r>
        <w:rPr/>
        <w:t>242.00</w:t>
      </w:r>
      <w:r>
        <w:rPr/>
        <w:t>、</w:t>
      </w:r>
      <w:r>
        <w:rPr/>
        <w:t>363.90</w:t>
      </w:r>
      <w:r>
        <w:rPr/>
        <w:t>百万元。基准</w:t>
      </w:r>
      <w:r>
        <w:rPr/>
        <w:t>760</w:t>
      </w:r>
      <w:r>
        <w:rPr/>
        <w:t>百万元收入、</w:t>
      </w:r>
      <w:r>
        <w:rPr/>
        <w:t>31.84%</w:t>
      </w:r>
      <w:r>
        <w:rPr/>
        <w:t>归母利润率，显著高于</w:t>
      </w:r>
      <w:r>
        <w:rPr/>
        <w:t>2025</w:t>
      </w:r>
      <w:r>
        <w:rPr/>
        <w:t>法定水平，需要规模效应和研发资本纪律。累计股息</w:t>
      </w:r>
      <w:r>
        <w:rPr/>
        <w:t>1.20</w:t>
      </w:r>
      <w:r>
        <w:rPr/>
        <w:t>元使基准总回报</w:t>
      </w:r>
      <w:r>
        <w:rPr/>
        <w:t>41.98%</w:t>
      </w:r>
      <w:r>
        <w:rPr/>
        <w:t>、三年年化</w:t>
      </w:r>
      <w:r>
        <w:rPr/>
        <w:t>12.39%</w:t>
      </w:r>
      <w:r>
        <w:rPr/>
        <w:t>。年化是从锚点至目标的复合换算，不表示每年都可实现相同涨幅。</w:t>
      </w:r>
    </w:p>
    <w:p>
      <w:pPr>
        <w:pStyle w:val="Normal"/>
        <w:rPr/>
      </w:pPr>
      <w:r>
        <w:rPr/>
        <w:t>五年</w:t>
      </w:r>
      <w:r>
        <w:rPr/>
        <w:t>EPS1.70</w:t>
      </w:r>
      <w:r>
        <w:rPr/>
        <w:t>、</w:t>
      </w:r>
      <w:r>
        <w:rPr/>
        <w:t>5</w:t>
      </w:r>
      <w:r>
        <w:rPr/>
        <w:t>、</w:t>
      </w:r>
      <w:r>
        <w:rPr/>
        <w:t>8</w:t>
      </w:r>
      <w:r>
        <w:rPr/>
        <w:t>元，</w:t>
      </w:r>
      <w:r>
        <w:rPr/>
        <w:t>PE</w:t>
      </w:r>
      <w:r>
        <w:rPr/>
        <w:t>二十二、三十五、四十五倍，价格</w:t>
      </w:r>
      <w:r>
        <w:rPr/>
        <w:t>37.40</w:t>
      </w:r>
      <w:r>
        <w:rPr/>
        <w:t>、</w:t>
      </w:r>
      <w:r>
        <w:rPr/>
        <w:t>175</w:t>
      </w:r>
      <w:r>
        <w:rPr/>
        <w:t>、</w:t>
      </w:r>
      <w:r>
        <w:rPr/>
        <w:t>360</w:t>
      </w:r>
      <w:r>
        <w:rPr/>
        <w:t>元，基准总回报</w:t>
      </w:r>
      <w:r>
        <w:rPr/>
        <w:t>64.60%</w:t>
      </w:r>
      <w:r>
        <w:rPr/>
        <w:t>、年化</w:t>
      </w:r>
      <w:r>
        <w:rPr/>
        <w:t>10.48%</w:t>
      </w:r>
      <w:r>
        <w:rPr/>
        <w:t>。基准收入</w:t>
      </w:r>
      <w:r>
        <w:rPr/>
        <w:t>1050</w:t>
      </w:r>
      <w:r>
        <w:rPr/>
        <w:t>百万元、归母</w:t>
      </w:r>
      <w:r>
        <w:rPr/>
        <w:t>318.42</w:t>
      </w:r>
      <w:r>
        <w:rPr/>
        <w:t>百万元，净利率</w:t>
      </w:r>
      <w:r>
        <w:rPr/>
        <w:t>30.33%</w:t>
      </w:r>
      <w:r>
        <w:rPr/>
        <w:t>，允许规模增长但不维持无限毛利上升。乐观</w:t>
      </w:r>
      <w:r>
        <w:rPr/>
        <w:t>1900</w:t>
      </w:r>
      <w:r>
        <w:rPr/>
        <w:t>百万元收入、归母</w:t>
      </w:r>
      <w:r>
        <w:rPr/>
        <w:t>485.21</w:t>
      </w:r>
      <w:r>
        <w:rPr/>
        <w:t>百万元，隐含更广全球客户与新应用，仍未给单一药物完整峰值价值。悲观五年价格可低于三年，因为长期行业替代与低资本效率会压</w:t>
      </w:r>
      <w:r>
        <w:rPr/>
        <w:t>PE</w:t>
      </w:r>
      <w:r>
        <w:rPr/>
        <w:t>，时间并非风险消除工具。</w:t>
      </w:r>
    </w:p>
    <w:p>
      <w:pPr>
        <w:pStyle w:val="Normal"/>
        <w:rPr/>
      </w:pPr>
      <w:r>
        <w:rPr/>
        <w:t>一年基准</w:t>
      </w:r>
      <w:r>
        <w:rPr/>
        <w:t>EPS2.60</w:t>
      </w:r>
      <w:r>
        <w:rPr/>
        <w:t>元若只给三十五、四十五、五十五倍，价格</w:t>
      </w:r>
      <w:r>
        <w:rPr/>
        <w:t>91</w:t>
      </w:r>
      <w:r>
        <w:rPr/>
        <w:t>、</w:t>
      </w:r>
      <w:r>
        <w:rPr/>
        <w:t>117</w:t>
      </w:r>
      <w:r>
        <w:rPr/>
        <w:t>、</w:t>
      </w:r>
      <w:r>
        <w:rPr/>
        <w:t>143</w:t>
      </w:r>
      <w:r>
        <w:rPr/>
        <w:t>元，股价回报负</w:t>
      </w:r>
      <w:r>
        <w:rPr/>
        <w:t>15.66%</w:t>
      </w:r>
      <w:r>
        <w:rPr/>
        <w:t>、正</w:t>
      </w:r>
      <w:r>
        <w:rPr/>
        <w:t>8.43%</w:t>
      </w:r>
      <w:r>
        <w:rPr/>
        <w:t>、正</w:t>
      </w:r>
      <w:r>
        <w:rPr/>
        <w:t>32.53%</w:t>
      </w:r>
      <w:r>
        <w:rPr/>
        <w:t>；固定四十五倍若</w:t>
      </w:r>
      <w:r>
        <w:rPr/>
        <w:t>EPS2</w:t>
      </w:r>
      <w:r>
        <w:rPr/>
        <w:t>、</w:t>
      </w:r>
      <w:r>
        <w:rPr/>
        <w:t>2.6</w:t>
      </w:r>
      <w:r>
        <w:rPr/>
        <w:t>、</w:t>
      </w:r>
      <w:r>
        <w:rPr/>
        <w:t>3.2</w:t>
      </w:r>
      <w:r>
        <w:rPr/>
        <w:t>元则</w:t>
      </w:r>
      <w:r>
        <w:rPr/>
        <w:t>90</w:t>
      </w:r>
      <w:r>
        <w:rPr/>
        <w:t>、</w:t>
      </w:r>
      <w:r>
        <w:rPr/>
        <w:t>117</w:t>
      </w:r>
      <w:r>
        <w:rPr/>
        <w:t>、</w:t>
      </w:r>
      <w:r>
        <w:rPr/>
        <w:t>144</w:t>
      </w:r>
      <w:r>
        <w:rPr/>
        <w:t>元。这个二维敏感说明经营和估值都可左右推荐。当前</w:t>
      </w:r>
      <w:r>
        <w:rPr/>
        <w:t>107.90</w:t>
      </w:r>
      <w:r>
        <w:rPr/>
        <w:t>元在四十五倍要求</w:t>
      </w:r>
      <w:r>
        <w:rPr/>
        <w:t>EPS</w:t>
      </w:r>
      <w:r>
        <w:rPr/>
        <w:t>约</w:t>
      </w:r>
      <w:r>
        <w:rPr/>
        <w:t>2.398</w:t>
      </w:r>
      <w:r>
        <w:rPr/>
        <w:t>元，即归母</w:t>
      </w:r>
      <w:r>
        <w:rPr/>
        <w:t>145.43</w:t>
      </w:r>
      <w:r>
        <w:rPr/>
        <w:t>百万元才能持平，比</w:t>
      </w:r>
      <w:r>
        <w:rPr/>
        <w:t>2025</w:t>
      </w:r>
      <w:r>
        <w:rPr/>
        <w:t>利润高很多。上半年调整利润恢复为必要参考，却尚不足以保证该持续盈利门槛。</w:t>
      </w:r>
    </w:p>
    <w:p>
      <w:pPr>
        <w:pStyle w:val="Normal"/>
        <w:rPr/>
      </w:pPr>
      <w:r>
        <w:rPr/>
        <w:t>PE</w:t>
      </w:r>
      <w:r>
        <w:rPr/>
        <w:t>选择没有以未经取得的历史分位或海外券商一致预期作依据。本章未获得同类材料企业统一正常化利润、技术费与金融收益桥，因此可比估值交叉验证仍缺。较近期高倍数反映材料护城河与增长期待，远期倍数降低反映技术替代、客户集中与资本占用。若后续比较显示公司自由现金回报低于同业而估值更高，应降低倍数；若回款、订单留存及资本回报显著改善，倍数可修订，但需保留假设版本与核验记录。</w:t>
      </w:r>
    </w:p>
    <w:p>
      <w:pPr>
        <w:pStyle w:val="Heading2"/>
        <w:rPr/>
      </w:pPr>
      <w:r>
        <w:rPr>
          <w:color w:val="000000"/>
        </w:rPr>
        <w:t>年底专项与权重解释</w:t>
      </w:r>
    </w:p>
    <w:p>
      <w:pPr>
        <w:pStyle w:val="Normal"/>
        <w:rPr/>
      </w:pPr>
      <w:r>
        <w:rPr/>
        <w:t>年底悲观</w:t>
      </w:r>
      <w:r>
        <w:rPr/>
        <w:t>EPS1.05</w:t>
      </w:r>
      <w:r>
        <w:rPr/>
        <w:t>元、三十五倍得</w:t>
      </w:r>
      <w:r>
        <w:rPr/>
        <w:t>36.75</w:t>
      </w:r>
      <w:r>
        <w:rPr/>
        <w:t>元，基准</w:t>
      </w:r>
      <w:r>
        <w:rPr/>
        <w:t>2</w:t>
      </w:r>
      <w:r>
        <w:rPr/>
        <w:t>元、四十八倍得</w:t>
      </w:r>
      <w:r>
        <w:rPr/>
        <w:t>96</w:t>
      </w:r>
      <w:r>
        <w:rPr/>
        <w:t>元，乐观</w:t>
      </w:r>
      <w:r>
        <w:rPr/>
        <w:t>2.45</w:t>
      </w:r>
      <w:r>
        <w:rPr/>
        <w:t>元、六十倍得</w:t>
      </w:r>
      <w:r>
        <w:rPr/>
        <w:t>147</w:t>
      </w:r>
      <w:r>
        <w:rPr/>
        <w:t>元。分别对现价负</w:t>
      </w:r>
      <w:r>
        <w:rPr/>
        <w:t>65.94%</w:t>
      </w:r>
      <w:r>
        <w:rPr/>
        <w:t>、负</w:t>
      </w:r>
      <w:r>
        <w:rPr/>
        <w:t>11.03%</w:t>
      </w:r>
      <w:r>
        <w:rPr/>
        <w:t>、正</w:t>
      </w:r>
      <w:r>
        <w:rPr/>
        <w:t>36.24%</w:t>
      </w:r>
      <w:r>
        <w:rPr/>
        <w:t>，不含未来股息。年底只剩较短信息窗口，模型强调材料季度兑现、估值重估与风险事件，没有把预计二十四个月建设变成当年完整经营收益，也没有将已结束小细胞肺癌三期读出当作股价催化。</w:t>
      </w:r>
    </w:p>
    <w:p>
      <w:pPr>
        <w:pStyle w:val="Normal"/>
        <w:rPr/>
      </w:pPr>
      <w:r>
        <w:rPr/>
        <w:t>悲观成立需看到恢复弱于预期、客户去库存或替代、毛利和回款承压、市场对研发资产和资本投入要求更严回报。基准成立需材料经营修复保持、国内新客户填补缺口、财务成本未显著失控，市场仍愿给持续盈利较高倍数。乐观需收入、毛利与可见订单进一步上修，并且市场保持成长溢价；可能的器械进展必须有公开证据，不能拿未公开审评结果提前进入截至日事实。</w:t>
      </w:r>
    </w:p>
    <w:p>
      <w:pPr>
        <w:pStyle w:val="Normal"/>
        <w:rPr/>
      </w:pPr>
      <w:r>
        <w:rPr/>
        <w:t>默认</w:t>
      </w:r>
      <w:r>
        <w:rPr/>
        <w:t>25%</w:t>
      </w:r>
      <w:r>
        <w:rPr/>
        <w:t>悲观、</w:t>
      </w:r>
      <w:r>
        <w:rPr/>
        <w:t>50%</w:t>
      </w:r>
      <w:r>
        <w:rPr/>
        <w:t>基准、</w:t>
      </w:r>
      <w:r>
        <w:rPr/>
        <w:t>25%</w:t>
      </w:r>
      <w:r>
        <w:rPr/>
        <w:t>乐观得到</w:t>
      </w:r>
      <w:r>
        <w:rPr/>
        <w:t>93.9375</w:t>
      </w:r>
      <w:r>
        <w:rPr/>
        <w:t>元，回报负</w:t>
      </w:r>
      <w:r>
        <w:rPr/>
        <w:t>12.94%</w:t>
      </w:r>
      <w:r>
        <w:rPr/>
        <w:t>。防御</w:t>
      </w:r>
      <w:r>
        <w:rPr/>
        <w:t>40%/50%/10%</w:t>
      </w:r>
      <w:r>
        <w:rPr/>
        <w:t>得到</w:t>
      </w:r>
      <w:r>
        <w:rPr/>
        <w:t>77.40</w:t>
      </w:r>
      <w:r>
        <w:rPr/>
        <w:t>元、负</w:t>
      </w:r>
      <w:r>
        <w:rPr/>
        <w:t>28.27%</w:t>
      </w:r>
      <w:r>
        <w:rPr/>
        <w:t>；进取</w:t>
      </w:r>
      <w:r>
        <w:rPr/>
        <w:t>10%/50%/40%</w:t>
      </w:r>
      <w:r>
        <w:rPr/>
        <w:t>得到</w:t>
      </w:r>
      <w:r>
        <w:rPr/>
        <w:t>110.475</w:t>
      </w:r>
      <w:r>
        <w:rPr/>
        <w:t>元、正</w:t>
      </w:r>
      <w:r>
        <w:rPr/>
        <w:t>2.39%</w:t>
      </w:r>
      <w:r>
        <w:rPr/>
        <w:t>。权重变化能使期望跨现价，说明判断敏感，而不是公司必有某一平均结果。期望价不是多数情形价格，也不是可保证成交价；三场景之外仍可能发生临床安全、客户违约、贸易限制或流动性事件导致更大变动。</w:t>
      </w:r>
    </w:p>
    <w:p>
      <w:pPr>
        <w:pStyle w:val="Normal"/>
        <w:rPr/>
      </w:pPr>
      <w:r>
        <w:rPr/>
        <w:t>外资投行目标价栏当前缺失，本章未取得可公开核验、含机构、日期、币种、代码及期限的有效报告。不能把国内券商覆盖或无日期金融网页目标冒作外资，也不能根据公司英文名称猜测某行已经给目标。后续若获得九十日内或重大事件后有效十二个月目标，可作为一年估值参照，需去同机构旧值与重复转载。年底目标仍需按自身信息集建模，不照搬十二个月目标，也不按剩余月份缩放。</w:t>
      </w:r>
    </w:p>
    <w:p>
      <w:pPr>
        <w:pStyle w:val="Heading2"/>
        <w:rPr/>
      </w:pPr>
      <w:r>
        <w:rPr>
          <w:color w:val="000000"/>
        </w:rPr>
        <w:t>四期限成立条件与经营十年展望</w:t>
      </w:r>
    </w:p>
    <w:p>
      <w:pPr>
        <w:pStyle w:val="Normal"/>
        <w:rPr/>
      </w:pPr>
      <w:r>
        <w:rPr/>
        <w:t>半年应优先核查下一期产品收入、毛利、经营回款与建设现金，技术上观察</w:t>
      </w:r>
      <w:r>
        <w:rPr/>
        <w:t>115</w:t>
      </w:r>
      <w:r>
        <w:rPr/>
        <w:t>区域和均线回踩质量。短期催化是经营恢复的进一步公开证据、客户商业化和材料订单，失败路径是高估值先压缩而利润尚未充分兑现，或大波幅中技术观察失效。半年技术</w:t>
      </w:r>
      <w:r>
        <w:rPr/>
        <w:t>4</w:t>
      </w:r>
      <w:r>
        <w:rPr/>
        <w:t>分没有使总分达到高推荐，因为预期回报只有</w:t>
      </w:r>
      <w:r>
        <w:rPr/>
        <w:t>1.9</w:t>
      </w:r>
      <w:r>
        <w:rPr/>
        <w:t>分、财务风险</w:t>
      </w:r>
      <w:r>
        <w:rPr/>
        <w:t>2.8</w:t>
      </w:r>
      <w:r>
        <w:rPr/>
        <w:t>分，权重共同限制排名，避免量价强自动盖过盈利赔率。</w:t>
      </w:r>
    </w:p>
    <w:p>
      <w:pPr>
        <w:pStyle w:val="Normal"/>
        <w:rPr/>
      </w:pPr>
      <w:r>
        <w:rPr/>
        <w:t>一年需要持续归母接近</w:t>
      </w:r>
      <w:r>
        <w:rPr/>
        <w:t>157.69</w:t>
      </w:r>
      <w:r>
        <w:rPr/>
        <w:t>百万元、收入约</w:t>
      </w:r>
      <w:r>
        <w:rPr/>
        <w:t>520</w:t>
      </w:r>
      <w:r>
        <w:rPr/>
        <w:t>百万元，同时研发退出收尾、器械营销和融资不吞噬增量利润。若材料毛利显著回落、新客户仅一次补库存、技术费不重复或金融收益支撑大部分利润，</w:t>
      </w:r>
      <w:r>
        <w:rPr/>
        <w:t>2.60</w:t>
      </w:r>
      <w:r>
        <w:rPr/>
        <w:t>元</w:t>
      </w:r>
      <w:r>
        <w:rPr/>
        <w:t>EPS</w:t>
      </w:r>
      <w:r>
        <w:rPr/>
        <w:t>需削减。技术权重降到</w:t>
      </w:r>
      <w:r>
        <w:rPr/>
        <w:t>15%</w:t>
      </w:r>
      <w:r>
        <w:rPr/>
        <w:t>，经营增长</w:t>
      </w:r>
      <w:r>
        <w:rPr/>
        <w:t>25%</w:t>
      </w:r>
      <w:r>
        <w:rPr/>
        <w:t>，估值</w:t>
      </w:r>
      <w:r>
        <w:rPr/>
        <w:t>25%</w:t>
      </w:r>
      <w:r>
        <w:rPr/>
        <w:t>，体现验证的重要性。分红</w:t>
      </w:r>
      <w:r>
        <w:rPr/>
        <w:t>0.32</w:t>
      </w:r>
      <w:r>
        <w:rPr/>
        <w:t>元贡献小，收益主要来自每股盈利变化和估值，不能把股息当作高波动的主要缓冲。</w:t>
      </w:r>
    </w:p>
    <w:p>
      <w:pPr>
        <w:pStyle w:val="Normal"/>
        <w:rPr/>
      </w:pPr>
      <w:r>
        <w:rPr/>
        <w:t>三年更重视客户从临床进入商业化、已获批客户采购持续、全球销售网络与新材料工艺形成重复收益。基准的</w:t>
      </w:r>
      <w:r>
        <w:rPr/>
        <w:t>760</w:t>
      </w:r>
      <w:r>
        <w:rPr/>
        <w:t>百万元收入需要超出低基数补回，要求核心产品留存并增加可兑现客户。若新园区投入后折旧、渠道和闲置成本明显高于假设，即使集团收入增加也可能不提升股东价值。三年反证应由资本回报和每股现金盈利判断，而不是只看研发项目数量增长或园区建筑面积扩大。</w:t>
      </w:r>
    </w:p>
    <w:p>
      <w:pPr>
        <w:pStyle w:val="Normal"/>
        <w:rPr/>
      </w:pPr>
      <w:r>
        <w:rPr/>
        <w:t>五年必须检验是否形成更少客户集中、更多稳定商业产品和约束资本投入的材料平台。全球竞争者、客户自建、替代递送材料和专利到期会逐步影响议价，不能永远按当前客户认证成本保持高</w:t>
      </w:r>
      <w:r>
        <w:rPr/>
        <w:t>PE</w:t>
      </w:r>
      <w:r>
        <w:rPr/>
        <w:t>。模型五年基准年化</w:t>
      </w:r>
      <w:r>
        <w:rPr/>
        <w:t>10.48%</w:t>
      </w:r>
      <w:r>
        <w:rPr/>
        <w:t>已体现倍数下降与</w:t>
      </w:r>
      <w:r>
        <w:rPr/>
        <w:t>5%</w:t>
      </w:r>
      <w:r>
        <w:rPr/>
        <w:t>股数压力，但仍假设较好经营。若五年自由现金持续低于利润、金融投资与建设吞噬大部分资本，应下调商业质量和估值，并考虑其是否适合长期持有。</w:t>
      </w:r>
    </w:p>
    <w:p>
      <w:pPr>
        <w:pStyle w:val="Normal"/>
        <w:rPr/>
      </w:pPr>
      <w:r>
        <w:rPr/>
        <w:t>十年经营展望不提供固定股价保证。较好的路径是</w:t>
      </w:r>
      <w:r>
        <w:rPr/>
        <w:t>PEG</w:t>
      </w:r>
      <w:r>
        <w:rPr/>
        <w:t>及泛</w:t>
      </w:r>
      <w:r>
        <w:rPr/>
        <w:t>PEG</w:t>
      </w:r>
      <w:r>
        <w:rPr/>
        <w:t>成为多个稳定药品、器械和新递送应用的可靠材料体系，公司持续改进纯化、衍生化与分析，客户数增加，前期免费开发能够通过采购回收。较差路径是主客户内化、替代聚合物普及、技术费用无法重复、器械和园区项目低回报使材料利润被消耗。十年的检验变量是单位资本产生的持续现金、客户产品存续、知识产权更新和质量记录，不能只用当前行业名称预测十年复利。</w:t>
      </w:r>
    </w:p>
    <w:p>
      <w:pPr>
        <w:pStyle w:val="Normal"/>
        <w:rPr/>
      </w:pPr>
      <w:r>
        <w:rPr/>
        <w:t>本章结论可被新公开证据推翻：原客户恢复且新客户形成多年采购、材料毛利稳定伴随回款、器械授权清楚归属和现金、园区实际回报超过资金成本，会提高长期判断；临床新数据质量不足、客户价格和订单连续下滑、工程超支或新增融资不创造现金，会降低评分。所有更新应在同一活动模型中依次保存三种情景快照，记录日期和假设版本，旧表标待刷新；不能只改报告一句乐观判断却保留原价和排名。</w:t>
      </w:r>
    </w:p>
    <w:p>
      <w:pPr>
        <w:pStyle w:val="Heading2"/>
        <w:rPr/>
      </w:pPr>
      <w:r>
        <w:rPr>
          <w:color w:val="000000"/>
        </w:rPr>
        <w:t>来源与核验范围</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3286"/>
        <w:gridCol w:w="3286"/>
        <w:gridCol w:w="3286"/>
      </w:tblGrid>
      <w:tr>
        <w:trPr>
          <w:tblHeader w:val="true"/>
          <w:cantSplit/>
        </w:trPr>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输入</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原公开资料及日期</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核验页与口径</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中报</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公司原中报，</w:t>
            </w:r>
            <w:r>
              <w:rPr>
                <w:rFonts w:eastAsia="微软雅黑" w:ascii="微软雅黑" w:hAnsi="微软雅黑"/>
                <w:sz w:val="17"/>
              </w:rPr>
              <w:t>2026-08-26](https://static.cninfo.com.cn/finalpage/2026-08-26/1225501475.PDF)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6-18</w:t>
            </w:r>
            <w:r>
              <w:rPr>
                <w:rFonts w:ascii="微软雅黑" w:hAnsi="微软雅黑" w:eastAsia="微软雅黑"/>
                <w:sz w:val="17"/>
              </w:rPr>
              <w:t>、</w:t>
            </w:r>
            <w:r>
              <w:rPr>
                <w:rFonts w:eastAsia="微软雅黑" w:ascii="微软雅黑" w:hAnsi="微软雅黑"/>
                <w:sz w:val="17"/>
              </w:rPr>
              <w:t>49-54</w:t>
            </w:r>
            <w:r>
              <w:rPr>
                <w:rFonts w:ascii="微软雅黑" w:hAnsi="微软雅黑" w:eastAsia="微软雅黑"/>
                <w:sz w:val="17"/>
              </w:rPr>
              <w:t>、</w:t>
            </w:r>
            <w:r>
              <w:rPr>
                <w:rFonts w:eastAsia="微软雅黑" w:ascii="微软雅黑" w:hAnsi="微软雅黑"/>
                <w:sz w:val="17"/>
              </w:rPr>
              <w:t>104</w:t>
            </w:r>
            <w:r>
              <w:rPr>
                <w:rFonts w:ascii="微软雅黑" w:hAnsi="微软雅黑" w:eastAsia="微软雅黑"/>
                <w:sz w:val="17"/>
              </w:rPr>
              <w:t>、</w:t>
            </w:r>
            <w:r>
              <w:rPr>
                <w:rFonts w:eastAsia="微软雅黑" w:ascii="微软雅黑" w:hAnsi="微软雅黑"/>
                <w:sz w:val="17"/>
              </w:rPr>
              <w:t>109-121</w:t>
            </w:r>
            <w:r>
              <w:rPr>
                <w:rFonts w:ascii="微软雅黑" w:hAnsi="微软雅黑" w:eastAsia="微软雅黑"/>
                <w:sz w:val="17"/>
              </w:rPr>
              <w:t>、</w:t>
            </w:r>
            <w:r>
              <w:rPr>
                <w:rFonts w:eastAsia="微软雅黑" w:ascii="微软雅黑" w:hAnsi="微软雅黑"/>
                <w:sz w:val="17"/>
              </w:rPr>
              <w:t>127</w:t>
            </w:r>
            <w:r>
              <w:rPr>
                <w:rFonts w:ascii="微软雅黑" w:hAnsi="微软雅黑" w:eastAsia="微软雅黑"/>
                <w:sz w:val="17"/>
              </w:rPr>
              <w:t>；人民币元转百万元</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2025</w:t>
            </w:r>
            <w:r>
              <w:rPr>
                <w:rFonts w:ascii="微软雅黑" w:hAnsi="微软雅黑" w:eastAsia="微软雅黑"/>
                <w:sz w:val="17"/>
              </w:rPr>
              <w:t>年报</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公司原年报，</w:t>
            </w:r>
            <w:r>
              <w:rPr>
                <w:rFonts w:eastAsia="微软雅黑" w:ascii="微软雅黑" w:hAnsi="微软雅黑"/>
                <w:sz w:val="17"/>
              </w:rPr>
              <w:t>2026-04-29](https://static.cninfo.com.cn/finalpage/2026-04-29/1225231629.PDF)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w:t>
            </w:r>
            <w:r>
              <w:rPr>
                <w:rFonts w:ascii="微软雅黑" w:hAnsi="微软雅黑" w:eastAsia="微软雅黑"/>
                <w:sz w:val="17"/>
              </w:rPr>
              <w:t>、</w:t>
            </w:r>
            <w:r>
              <w:rPr>
                <w:rFonts w:eastAsia="微软雅黑" w:ascii="微软雅黑" w:hAnsi="微软雅黑"/>
                <w:sz w:val="17"/>
              </w:rPr>
              <w:t>24-26</w:t>
            </w:r>
            <w:r>
              <w:rPr>
                <w:rFonts w:ascii="微软雅黑" w:hAnsi="微软雅黑" w:eastAsia="微软雅黑"/>
                <w:sz w:val="17"/>
              </w:rPr>
              <w:t>、</w:t>
            </w:r>
            <w:r>
              <w:rPr>
                <w:rFonts w:eastAsia="微软雅黑" w:ascii="微软雅黑" w:hAnsi="微软雅黑"/>
                <w:sz w:val="17"/>
              </w:rPr>
              <w:t>99-100</w:t>
            </w:r>
            <w:r>
              <w:rPr>
                <w:rFonts w:ascii="微软雅黑" w:hAnsi="微软雅黑" w:eastAsia="微软雅黑"/>
                <w:sz w:val="17"/>
              </w:rPr>
              <w:t>；历史、集中客户、现金和研发</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三期退出</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专项，</w:t>
            </w:r>
            <w:r>
              <w:rPr>
                <w:rFonts w:eastAsia="微软雅黑" w:ascii="微软雅黑" w:hAnsi="微软雅黑"/>
                <w:sz w:val="17"/>
              </w:rPr>
              <w:t>2026-08-26](https://static.cninfo.com.cn/finalpage/2026-08-26/1225501462.PDF)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w:t>
            </w:r>
            <w:r>
              <w:rPr>
                <w:rFonts w:ascii="微软雅黑" w:hAnsi="微软雅黑" w:eastAsia="微软雅黑"/>
                <w:sz w:val="17"/>
              </w:rPr>
              <w:t>；决定终止特定适应症，不是三期疗效阴性</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新建设</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投资公告，</w:t>
            </w:r>
            <w:r>
              <w:rPr>
                <w:rFonts w:eastAsia="微软雅黑" w:ascii="微软雅黑" w:hAnsi="微软雅黑"/>
                <w:sz w:val="17"/>
              </w:rPr>
              <w:t>2026-07-01](https://static.cninfo.com.cn/finalpage/2026-07-01/1225399088.PDF)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w:t>
            </w:r>
            <w:r>
              <w:rPr>
                <w:rFonts w:ascii="微软雅黑" w:hAnsi="微软雅黑" w:eastAsia="微软雅黑"/>
                <w:sz w:val="17"/>
              </w:rPr>
              <w:t>；</w:t>
            </w:r>
            <w:r>
              <w:rPr>
                <w:rFonts w:eastAsia="微软雅黑" w:ascii="微软雅黑" w:hAnsi="微软雅黑"/>
                <w:sz w:val="17"/>
              </w:rPr>
              <w:t>315m</w:t>
            </w:r>
            <w:r>
              <w:rPr>
                <w:rFonts w:ascii="微软雅黑" w:hAnsi="微软雅黑" w:eastAsia="微软雅黑"/>
                <w:sz w:val="17"/>
              </w:rPr>
              <w:t>上限、</w:t>
            </w:r>
            <w:r>
              <w:rPr>
                <w:rFonts w:eastAsia="微软雅黑" w:ascii="微软雅黑" w:hAnsi="微软雅黑"/>
                <w:sz w:val="17"/>
              </w:rPr>
              <w:t>24</w:t>
            </w:r>
            <w:r>
              <w:rPr>
                <w:rFonts w:ascii="微软雅黑" w:hAnsi="微软雅黑" w:eastAsia="微软雅黑"/>
                <w:sz w:val="17"/>
              </w:rPr>
              <w:t>个月、</w:t>
            </w:r>
            <w:r>
              <w:rPr>
                <w:rFonts w:eastAsia="微软雅黑" w:ascii="微软雅黑" w:hAnsi="微软雅黑"/>
                <w:sz w:val="17"/>
              </w:rPr>
              <w:t>24.8%</w:t>
            </w:r>
            <w:r>
              <w:rPr>
                <w:rFonts w:ascii="微软雅黑" w:hAnsi="微软雅黑" w:eastAsia="微软雅黑"/>
                <w:sz w:val="17"/>
              </w:rPr>
              <w:t>口径缺失</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已派息</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实施公告，</w:t>
            </w:r>
            <w:r>
              <w:rPr>
                <w:rFonts w:eastAsia="微软雅黑" w:ascii="微软雅黑" w:hAnsi="微软雅黑"/>
                <w:sz w:val="17"/>
              </w:rPr>
              <w:t>2026-06-23](https://static.cninfo.com.cn/finalpage/2026-06-23/1225381769.PDF)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w:t>
            </w:r>
            <w:r>
              <w:rPr>
                <w:rFonts w:ascii="微软雅黑" w:hAnsi="微软雅黑" w:eastAsia="微软雅黑"/>
                <w:sz w:val="17"/>
              </w:rPr>
              <w:t>；</w:t>
            </w:r>
            <w:r>
              <w:rPr>
                <w:rFonts w:eastAsia="微软雅黑" w:ascii="微软雅黑" w:hAnsi="微软雅黑"/>
                <w:sz w:val="17"/>
              </w:rPr>
              <w:t>0.31</w:t>
            </w:r>
            <w:r>
              <w:rPr>
                <w:rFonts w:ascii="微软雅黑" w:hAnsi="微软雅黑" w:eastAsia="微软雅黑"/>
                <w:sz w:val="17"/>
              </w:rPr>
              <w:t>元</w:t>
            </w:r>
            <w:r>
              <w:rPr>
                <w:rFonts w:eastAsia="微软雅黑" w:ascii="微软雅黑" w:hAnsi="微软雅黑"/>
                <w:sz w:val="17"/>
              </w:rPr>
              <w:t>6/29</w:t>
            </w:r>
            <w:r>
              <w:rPr>
                <w:rFonts w:ascii="微软雅黑" w:hAnsi="微软雅黑" w:eastAsia="微软雅黑"/>
                <w:sz w:val="17"/>
              </w:rPr>
              <w:t>除息，库存股不参与</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已减持</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结果，</w:t>
            </w:r>
            <w:r>
              <w:rPr>
                <w:rFonts w:eastAsia="微软雅黑" w:ascii="微软雅黑" w:hAnsi="微软雅黑"/>
                <w:sz w:val="17"/>
              </w:rPr>
              <w:t>2026-08-25](https://static.cninfo.com.cn/finalpage/2026-08-25/1225495074.PDF)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w:t>
            </w:r>
            <w:r>
              <w:rPr>
                <w:rFonts w:ascii="微软雅黑" w:hAnsi="微软雅黑" w:eastAsia="微软雅黑"/>
                <w:sz w:val="17"/>
              </w:rPr>
              <w:t>；吴凯庭实际</w:t>
            </w:r>
            <w:r>
              <w:rPr>
                <w:rFonts w:eastAsia="微软雅黑" w:ascii="微软雅黑" w:hAnsi="微软雅黑"/>
                <w:sz w:val="17"/>
              </w:rPr>
              <w:t>3%</w:t>
            </w:r>
            <w:r>
              <w:rPr>
                <w:rFonts w:ascii="微软雅黑" w:hAnsi="微软雅黑" w:eastAsia="微软雅黑"/>
                <w:sz w:val="17"/>
              </w:rPr>
              <w:t>完成</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高管计划</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公告，</w:t>
            </w:r>
            <w:r>
              <w:rPr>
                <w:rFonts w:eastAsia="微软雅黑" w:ascii="微软雅黑" w:hAnsi="微软雅黑"/>
                <w:sz w:val="17"/>
              </w:rPr>
              <w:t>2026-09-09](https://static.cninfo.com.cn/finalpage/2026-09-09/1225553366.PDF)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w:t>
            </w:r>
            <w:r>
              <w:rPr>
                <w:rFonts w:ascii="微软雅黑" w:hAnsi="微软雅黑" w:eastAsia="微软雅黑"/>
                <w:sz w:val="17"/>
              </w:rPr>
              <w:t>；</w:t>
            </w:r>
            <w:r>
              <w:rPr>
                <w:rFonts w:eastAsia="微软雅黑" w:ascii="微软雅黑" w:hAnsi="微软雅黑"/>
                <w:sz w:val="17"/>
              </w:rPr>
              <w:t>10/9-1/8</w:t>
            </w:r>
            <w:r>
              <w:rPr>
                <w:rFonts w:ascii="微软雅黑" w:hAnsi="微软雅黑" w:eastAsia="微软雅黑"/>
                <w:sz w:val="17"/>
              </w:rPr>
              <w:t>不超过</w:t>
            </w:r>
            <w:r>
              <w:rPr>
                <w:rFonts w:eastAsia="微软雅黑" w:ascii="微软雅黑" w:hAnsi="微软雅黑"/>
                <w:sz w:val="17"/>
              </w:rPr>
              <w:t>7875</w:t>
            </w:r>
            <w:r>
              <w:rPr>
                <w:rFonts w:ascii="微软雅黑" w:hAnsi="微软雅黑" w:eastAsia="微软雅黑"/>
                <w:sz w:val="17"/>
              </w:rPr>
              <w:t>股，计划非成交</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价格异常</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公告，</w:t>
            </w:r>
            <w:r>
              <w:rPr>
                <w:rFonts w:eastAsia="微软雅黑" w:ascii="微软雅黑" w:hAnsi="微软雅黑"/>
                <w:sz w:val="17"/>
              </w:rPr>
              <w:t>2026-09-01](https://static.cninfo.com.cn/finalpage/2026-09-01/1225536763.PDF)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w:t>
            </w:r>
            <w:r>
              <w:rPr>
                <w:rFonts w:ascii="微软雅黑" w:hAnsi="微软雅黑" w:eastAsia="微软雅黑"/>
                <w:sz w:val="17"/>
              </w:rPr>
              <w:t>；</w:t>
            </w:r>
            <w:r>
              <w:rPr>
                <w:rFonts w:eastAsia="微软雅黑" w:ascii="微软雅黑" w:hAnsi="微软雅黑"/>
                <w:sz w:val="17"/>
              </w:rPr>
              <w:t>8/27</w:t>
            </w:r>
            <w:r>
              <w:rPr>
                <w:rFonts w:ascii="微软雅黑" w:hAnsi="微软雅黑" w:eastAsia="微软雅黑"/>
                <w:sz w:val="17"/>
              </w:rPr>
              <w:t>、</w:t>
            </w:r>
            <w:r>
              <w:rPr>
                <w:rFonts w:eastAsia="微软雅黑" w:ascii="微软雅黑" w:hAnsi="微软雅黑"/>
                <w:sz w:val="17"/>
              </w:rPr>
              <w:t>28</w:t>
            </w:r>
            <w:r>
              <w:rPr>
                <w:rFonts w:ascii="微软雅黑" w:hAnsi="微软雅黑" w:eastAsia="微软雅黑"/>
                <w:sz w:val="17"/>
              </w:rPr>
              <w:t>、</w:t>
            </w:r>
            <w:r>
              <w:rPr>
                <w:rFonts w:eastAsia="微软雅黑" w:ascii="微软雅黑" w:hAnsi="微软雅黑"/>
                <w:sz w:val="17"/>
              </w:rPr>
              <w:t>31</w:t>
            </w:r>
            <w:r>
              <w:rPr>
                <w:rFonts w:ascii="微软雅黑" w:hAnsi="微软雅黑" w:eastAsia="微软雅黑"/>
                <w:sz w:val="17"/>
              </w:rPr>
              <w:t>大跌偏离，未推断全部因果</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行情</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锁版</w:t>
            </w:r>
            <w:r>
              <w:rPr>
                <w:rFonts w:eastAsia="微软雅黑" w:ascii="微软雅黑" w:hAnsi="微软雅黑"/>
                <w:sz w:val="17"/>
              </w:rPr>
              <w:t>market-v1.4</w:t>
            </w:r>
            <w:r>
              <w:rPr>
                <w:rFonts w:ascii="微软雅黑" w:hAnsi="微软雅黑" w:eastAsia="微软雅黑"/>
                <w:sz w:val="17"/>
              </w:rPr>
              <w:t>，</w:t>
            </w:r>
            <w:r>
              <w:rPr>
                <w:rFonts w:eastAsia="微软雅黑" w:ascii="微软雅黑" w:hAnsi="微软雅黑"/>
                <w:sz w:val="17"/>
              </w:rPr>
              <w:t>data/history/S019.json</w:t>
            </w:r>
            <w:r>
              <w:rPr>
                <w:rFonts w:ascii="微软雅黑" w:hAnsi="微软雅黑" w:eastAsia="微软雅黑"/>
                <w:sz w:val="17"/>
              </w:rPr>
              <w:t>及</w:t>
            </w:r>
            <w:r>
              <w:rPr>
                <w:rFonts w:eastAsia="微软雅黑" w:ascii="微软雅黑" w:hAnsi="微软雅黑"/>
                <w:sz w:val="17"/>
              </w:rPr>
              <w:t>market_snapshot_locked.json</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腾讯</w:t>
            </w:r>
            <w:r>
              <w:rPr>
                <w:rFonts w:eastAsia="微软雅黑" w:ascii="微软雅黑" w:hAnsi="微软雅黑"/>
                <w:sz w:val="17"/>
              </w:rPr>
              <w:t>/</w:t>
            </w:r>
            <w:r>
              <w:rPr>
                <w:rFonts w:ascii="微软雅黑" w:hAnsi="微软雅黑" w:eastAsia="微软雅黑"/>
                <w:sz w:val="17"/>
              </w:rPr>
              <w:t>新浪现价和量、</w:t>
            </w:r>
            <w:r>
              <w:rPr>
                <w:rFonts w:eastAsia="微软雅黑" w:ascii="微软雅黑" w:hAnsi="微软雅黑"/>
                <w:sz w:val="17"/>
              </w:rPr>
              <w:t>Yahoo/</w:t>
            </w:r>
            <w:r>
              <w:rPr>
                <w:rFonts w:ascii="微软雅黑" w:hAnsi="微软雅黑" w:eastAsia="微软雅黑"/>
                <w:sz w:val="17"/>
              </w:rPr>
              <w:t>腾讯</w:t>
            </w:r>
            <w:r>
              <w:rPr>
                <w:rFonts w:eastAsia="微软雅黑" w:ascii="微软雅黑" w:hAnsi="微软雅黑"/>
                <w:sz w:val="17"/>
              </w:rPr>
              <w:t>728</w:t>
            </w:r>
            <w:r>
              <w:rPr>
                <w:rFonts w:ascii="微软雅黑" w:hAnsi="微软雅黑" w:eastAsia="微软雅黑"/>
                <w:sz w:val="17"/>
              </w:rPr>
              <w:t>日对照；复权归一、成交股单位</w:t>
            </w:r>
          </w:p>
        </w:tc>
      </w:tr>
    </w:tbl>
    <w:p>
      <w:pPr>
        <w:pStyle w:val="Normal"/>
        <w:rPr/>
      </w:pPr>
      <w:r>
        <w:rPr/>
      </w:r>
    </w:p>
    <w:p>
      <w:pPr>
        <w:pStyle w:val="Normal"/>
        <w:rPr/>
      </w:pPr>
      <w:r>
        <w:rPr/>
        <w:t>研究缺口：完整分部</w:t>
      </w:r>
      <w:r>
        <w:rPr/>
        <w:t>DCF</w:t>
      </w:r>
      <w:r>
        <w:rPr/>
        <w:t>、园区年度现金与融资三表联动、历史估值分位及同业正常化盈利桥、外资有效目标、细分行业指数、原临床论文与注册全文、逐产品专利</w:t>
      </w:r>
      <w:r>
        <w:rPr/>
        <w:t>FTO</w:t>
      </w:r>
      <w:r>
        <w:rPr/>
        <w:t>、实际工程开工和提款时点。中报未经审计，年报已有会计师审计；最终临床、融资或审计信息若在截止日之后公开不回填为本日已知事实。最终</w:t>
      </w:r>
      <w:r>
        <w:rPr/>
        <w:t>Word/PDF</w:t>
      </w:r>
      <w:r>
        <w:rPr/>
        <w:t>分页与逐页图表视觉检查由总报告流程执行。本章正文无长引文和共用宏观模板，数字和描述均保留事实与研究假设边界。</w:t>
      </w:r>
      <w:r>
        <w:br w:type="page"/>
      </w:r>
    </w:p>
    <w:p>
      <w:pPr>
        <w:pStyle w:val="Heading1"/>
        <w:rPr/>
      </w:pPr>
      <w:bookmarkStart w:id="6" w:name="__RefHeading___Toc37115_312338234"/>
      <w:bookmarkEnd w:id="6"/>
      <w:r>
        <w:rPr>
          <w:color w:val="000000"/>
        </w:rPr>
        <w:t xml:space="preserve">中芯国际 </w:t>
      </w:r>
      <w:r>
        <w:rPr>
          <w:color w:val="000000"/>
        </w:rPr>
        <w:t>00981 HK</w:t>
      </w:r>
    </w:p>
    <w:p>
      <w:pPr>
        <w:pStyle w:val="Normal"/>
        <w:rPr/>
      </w:pPr>
      <w:r>
        <w:rPr/>
        <w:t xml:space="preserve">00981.HK </w:t>
      </w:r>
      <w:r>
        <w:rPr/>
        <w:t xml:space="preserve">现价 </w:t>
      </w:r>
      <w:r>
        <w:rPr/>
        <w:t>57.65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75.25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+30.53%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+30.53%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83.59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+45.00%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114.11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+97.94%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+97.94%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131.25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+127.67%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+127.67%</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17.99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-68.79%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63.23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120.01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+108.17%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66.11HKD</w:t>
      </w:r>
      <w:r>
        <w:rPr/>
        <w:t>，期望股价回报</w:t>
      </w:r>
      <w:r>
        <w:rPr/>
        <w:t>+14.68%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14.50</w:t>
              <w:br/>
              <w:t>-74.85%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75.25</w:t>
              <w:br/>
              <w:t>+30.53%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152.99</w:t>
              <w:br/>
              <w:t>+165.38%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13.64</w:t>
              <w:br/>
              <w:t>-76.34%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83.59</w:t>
              <w:br/>
              <w:t>+45.00%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175.19</w:t>
              <w:br/>
              <w:t>+203.89%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8.40</w:t>
              <w:br/>
              <w:t>-85.43%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114.11</w:t>
              <w:br/>
              <w:t>+97.94%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270.50</w:t>
              <w:br/>
              <w:t>+369.21%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+25.56%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5.41</w:t>
              <w:br/>
              <w:t>-90.62%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131.25</w:t>
              <w:br/>
              <w:t>+127.67%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352.43</w:t>
              <w:br/>
              <w:t>+511.33%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+17.89%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primaryFundamentals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高（官方季度</w:t>
            </w:r>
            <w:r>
              <w:rPr>
                <w:rFonts w:eastAsia="微软雅黑" w:ascii="微软雅黑" w:hAnsi="微软雅黑"/>
                <w:sz w:val="17"/>
              </w:rPr>
              <w:t>PDF</w:t>
            </w:r>
            <w:r>
              <w:rPr>
                <w:rFonts w:ascii="微软雅黑" w:hAnsi="微软雅黑" w:eastAsia="微软雅黑"/>
                <w:sz w:val="17"/>
              </w:rPr>
              <w:t>、半年报告与年报；少数股数和非经常项直接核）</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高（锁版双源，换手率未核）</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w:t>
            </w:r>
            <w:r>
              <w:rPr>
                <w:rFonts w:eastAsia="微软雅黑" w:ascii="微软雅黑" w:hAnsi="微软雅黑"/>
                <w:sz w:val="17"/>
              </w:rPr>
              <w:t>USD</w:t>
            </w:r>
            <w:r>
              <w:rPr>
                <w:rFonts w:ascii="微软雅黑" w:hAnsi="微软雅黑" w:eastAsia="微软雅黑"/>
                <w:sz w:val="17"/>
              </w:rPr>
              <w:t>正常</w:t>
            </w:r>
            <w:r>
              <w:rPr>
                <w:rFonts w:eastAsia="微软雅黑" w:ascii="微软雅黑" w:hAnsi="微软雅黑"/>
                <w:sz w:val="17"/>
              </w:rPr>
              <w:t>EBIT</w:t>
            </w:r>
            <w:r>
              <w:rPr>
                <w:rFonts w:ascii="微软雅黑" w:hAnsi="微软雅黑" w:eastAsia="微软雅黑"/>
                <w:sz w:val="17"/>
              </w:rPr>
              <w:t>、税、归母比例、股份和高</w:t>
            </w:r>
            <w:r>
              <w:rPr>
                <w:rFonts w:eastAsia="微软雅黑" w:ascii="微软雅黑" w:hAnsi="微软雅黑"/>
                <w:sz w:val="17"/>
              </w:rPr>
              <w:t>PE</w:t>
            </w:r>
            <w:r>
              <w:rPr>
                <w:rFonts w:ascii="微软雅黑" w:hAnsi="微软雅黑" w:eastAsia="微软雅黑"/>
                <w:sz w:val="17"/>
              </w:rPr>
              <w:t>均研究假设）</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brokerTargets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中（公开新闻转述，有一条财务冲突，原研报缺失）</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+30.53%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+37.06%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+37.75%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+45.00%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+52.25%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+97.94%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+107.83%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+116.28%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+127.67%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+139.05%</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Heading2"/>
        <w:rPr/>
      </w:pPr>
      <w:r>
        <w:rPr>
          <w:color w:val="000000"/>
        </w:rPr>
        <w:t>结论卡与推荐条件</w:t>
      </w:r>
    </w:p>
    <w:p>
      <w:pPr>
        <w:pStyle w:val="Normal"/>
        <w:rPr/>
      </w:pPr>
      <w:r>
        <w:rPr/>
        <w:t>中芯受益于晶圆代工需求、国产供应链及人工智能配套，六月收入、均价、毛利率和产能利用率有真实改善。股价处于中短期下降，估值仍需要持续成长溢价，不能因大幅回撤便称传统便宜。投资重点是价格和良率改善能否覆盖折旧、研发、融资与少数权益，从集团增长转成每股现金回报。</w:t>
      </w:r>
    </w:p>
    <w:p>
      <w:pPr>
        <w:pStyle w:val="Normal"/>
        <w:rPr/>
      </w:pPr>
      <w:r>
        <w:rPr/>
        <w:t>半年、一年、三年、五年评分</w:t>
      </w:r>
      <w:r>
        <w:rPr/>
        <w:t>55.8</w:t>
      </w:r>
      <w:r>
        <w:rPr/>
        <w:t>、</w:t>
      </w:r>
      <w:r>
        <w:rPr/>
        <w:t>65.6</w:t>
      </w:r>
      <w:r>
        <w:rPr/>
        <w:t>、</w:t>
      </w:r>
      <w:r>
        <w:rPr/>
        <w:t>74.2</w:t>
      </w:r>
      <w:r>
        <w:rPr/>
        <w:t>、</w:t>
      </w:r>
      <w:r>
        <w:rPr/>
        <w:t>75.5</w:t>
      </w:r>
      <w:r>
        <w:rPr/>
        <w:t>，分别为时机偏弱、有条件进取、成长候选、成长候选；四榜名次由总表统一。半年技术低分与短期高估值压低推荐，长期产业地位提高成长评价，但高资本开支、技术限制与股数风险持续存在。</w:t>
      </w:r>
    </w:p>
    <w:p>
      <w:pPr>
        <w:pStyle w:val="Normal"/>
        <w:rPr/>
      </w:pPr>
      <w:r>
        <w:rPr/>
        <w:t>年底三情景</w:t>
      </w:r>
      <w:r>
        <w:rPr/>
        <w:t>17.99</w:t>
      </w:r>
      <w:r>
        <w:rPr/>
        <w:t>、</w:t>
      </w:r>
      <w:r>
        <w:rPr/>
        <w:t>63.23</w:t>
      </w:r>
      <w:r>
        <w:rPr/>
        <w:t>、</w:t>
      </w:r>
      <w:r>
        <w:rPr/>
        <w:t>120.01</w:t>
      </w:r>
      <w:r>
        <w:rPr/>
        <w:t>港元，涨跌负</w:t>
      </w:r>
      <w:r>
        <w:rPr/>
        <w:t>68.79%</w:t>
      </w:r>
      <w:r>
        <w:rPr/>
        <w:t>、正</w:t>
      </w:r>
      <w:r>
        <w:rPr/>
        <w:t>9.68%</w:t>
      </w:r>
      <w:r>
        <w:rPr/>
        <w:t>、正</w:t>
      </w:r>
      <w:r>
        <w:rPr/>
        <w:t>108.17%</w:t>
      </w:r>
      <w:r>
        <w:rPr/>
        <w:t>；半年</w:t>
      </w:r>
      <w:r>
        <w:rPr/>
        <w:t>14.50</w:t>
      </w:r>
      <w:r>
        <w:rPr/>
        <w:t>、</w:t>
      </w:r>
      <w:r>
        <w:rPr/>
        <w:t>75.25</w:t>
      </w:r>
      <w:r>
        <w:rPr/>
        <w:t>、</w:t>
      </w:r>
      <w:r>
        <w:rPr/>
        <w:t>152.99</w:t>
      </w:r>
      <w:r>
        <w:rPr/>
        <w:t>，负</w:t>
      </w:r>
      <w:r>
        <w:rPr/>
        <w:t>74.85%</w:t>
      </w:r>
      <w:r>
        <w:rPr/>
        <w:t>、正</w:t>
      </w:r>
      <w:r>
        <w:rPr/>
        <w:t>30.53%</w:t>
      </w:r>
      <w:r>
        <w:rPr/>
        <w:t>、正</w:t>
      </w:r>
      <w:r>
        <w:rPr/>
        <w:t>165.38%</w:t>
      </w:r>
      <w:r>
        <w:rPr/>
        <w:t>；一年</w:t>
      </w:r>
      <w:r>
        <w:rPr/>
        <w:t>13.64</w:t>
      </w:r>
      <w:r>
        <w:rPr/>
        <w:t>、</w:t>
      </w:r>
      <w:r>
        <w:rPr/>
        <w:t>83.59</w:t>
      </w:r>
      <w:r>
        <w:rPr/>
        <w:t>、</w:t>
      </w:r>
      <w:r>
        <w:rPr/>
        <w:t>175.19</w:t>
      </w:r>
      <w:r>
        <w:rPr/>
        <w:t>，负</w:t>
      </w:r>
      <w:r>
        <w:rPr/>
        <w:t>76.34%</w:t>
      </w:r>
      <w:r>
        <w:rPr/>
        <w:t>、正</w:t>
      </w:r>
      <w:r>
        <w:rPr/>
        <w:t>45.00%</w:t>
      </w:r>
      <w:r>
        <w:rPr/>
        <w:t>、正</w:t>
      </w:r>
      <w:r>
        <w:rPr/>
        <w:t>203.89%</w:t>
      </w:r>
      <w:r>
        <w:rPr/>
        <w:t>。三年</w:t>
      </w:r>
      <w:r>
        <w:rPr/>
        <w:t>8.40</w:t>
      </w:r>
      <w:r>
        <w:rPr/>
        <w:t>、</w:t>
      </w:r>
      <w:r>
        <w:rPr/>
        <w:t>114.11</w:t>
      </w:r>
      <w:r>
        <w:rPr/>
        <w:t>、</w:t>
      </w:r>
      <w:r>
        <w:rPr/>
        <w:t>270.50</w:t>
      </w:r>
      <w:r>
        <w:rPr/>
        <w:t>，负</w:t>
      </w:r>
      <w:r>
        <w:rPr/>
        <w:t>85.43%</w:t>
      </w:r>
      <w:r>
        <w:rPr/>
        <w:t>、正</w:t>
      </w:r>
      <w:r>
        <w:rPr/>
        <w:t>97.94%</w:t>
      </w:r>
      <w:r>
        <w:rPr/>
        <w:t>、正</w:t>
      </w:r>
      <w:r>
        <w:rPr/>
        <w:t>369.21%</w:t>
      </w:r>
      <w:r>
        <w:rPr/>
        <w:t>；五年</w:t>
      </w:r>
      <w:r>
        <w:rPr/>
        <w:t>5.41</w:t>
      </w:r>
      <w:r>
        <w:rPr/>
        <w:t>、</w:t>
      </w:r>
      <w:r>
        <w:rPr/>
        <w:t>131.25</w:t>
      </w:r>
      <w:r>
        <w:rPr/>
        <w:t>、</w:t>
      </w:r>
      <w:r>
        <w:rPr/>
        <w:t>352.43</w:t>
      </w:r>
      <w:r>
        <w:rPr/>
        <w:t>，负</w:t>
      </w:r>
      <w:r>
        <w:rPr/>
        <w:t>90.62%</w:t>
      </w:r>
      <w:r>
        <w:rPr/>
        <w:t>、正</w:t>
      </w:r>
      <w:r>
        <w:rPr/>
        <w:t>127.67%</w:t>
      </w:r>
      <w:r>
        <w:rPr/>
        <w:t>、正</w:t>
      </w:r>
      <w:r>
        <w:rPr/>
        <w:t>511.33%</w:t>
      </w:r>
      <w:r>
        <w:rPr/>
        <w:t>。</w:t>
      </w:r>
    </w:p>
    <w:p>
      <w:pPr>
        <w:pStyle w:val="Normal"/>
        <w:rPr/>
      </w:pPr>
      <w:r>
        <w:rPr/>
        <w:t>年底判断权重</w:t>
      </w:r>
      <w:r>
        <w:rPr/>
        <w:t>25%</w:t>
      </w:r>
      <w:r>
        <w:rPr/>
        <w:t>、</w:t>
      </w:r>
      <w:r>
        <w:rPr/>
        <w:t>50%</w:t>
      </w:r>
      <w:r>
        <w:rPr/>
        <w:t>、</w:t>
      </w:r>
      <w:r>
        <w:rPr/>
        <w:t>25%</w:t>
      </w:r>
      <w:r>
        <w:rPr/>
        <w:t>期望</w:t>
      </w:r>
      <w:r>
        <w:rPr/>
        <w:t>66.115</w:t>
      </w:r>
      <w:r>
        <w:rPr/>
        <w:t>港元、回报</w:t>
      </w:r>
      <w:r>
        <w:rPr/>
        <w:t>14.68%</w:t>
      </w:r>
      <w:r>
        <w:rPr/>
        <w:t>，偏防御权重</w:t>
      </w:r>
      <w:r>
        <w:rPr/>
        <w:t>40%</w:t>
      </w:r>
      <w:r>
        <w:rPr/>
        <w:t>、</w:t>
      </w:r>
      <w:r>
        <w:rPr/>
        <w:t>50%</w:t>
      </w:r>
      <w:r>
        <w:rPr/>
        <w:t>、</w:t>
      </w:r>
      <w:r>
        <w:rPr/>
        <w:t>10%</w:t>
      </w:r>
      <w:r>
        <w:rPr/>
        <w:t>得</w:t>
      </w:r>
      <w:r>
        <w:rPr/>
        <w:t>50.812</w:t>
      </w:r>
      <w:r>
        <w:rPr/>
        <w:t>港元、负</w:t>
      </w:r>
      <w:r>
        <w:rPr/>
        <w:t>11.86%</w:t>
      </w:r>
      <w:r>
        <w:rPr/>
        <w:t>，积极</w:t>
      </w:r>
      <w:r>
        <w:rPr/>
        <w:t>10%</w:t>
      </w:r>
      <w:r>
        <w:rPr/>
        <w:t>、</w:t>
      </w:r>
      <w:r>
        <w:rPr/>
        <w:t>50%</w:t>
      </w:r>
      <w:r>
        <w:rPr/>
        <w:t>、</w:t>
      </w:r>
      <w:r>
        <w:rPr/>
        <w:t>40%</w:t>
      </w:r>
      <w:r>
        <w:rPr/>
        <w:t>得</w:t>
      </w:r>
      <w:r>
        <w:rPr/>
        <w:t>81.418</w:t>
      </w:r>
      <w:r>
        <w:rPr/>
        <w:t>港元、正</w:t>
      </w:r>
      <w:r>
        <w:rPr/>
        <w:t>41.23%</w:t>
      </w:r>
      <w:r>
        <w:rPr/>
        <w:t>。现金分红暂零，三年及五年基准年化</w:t>
      </w:r>
      <w:r>
        <w:rPr/>
        <w:t>25.56%</w:t>
      </w:r>
      <w:r>
        <w:rPr/>
        <w:t>、</w:t>
      </w:r>
      <w:r>
        <w:rPr/>
        <w:t>17.89%</w:t>
      </w:r>
      <w:r>
        <w:rPr/>
        <w:t>。宽区间反映盈利和估值同时变化，不是最大损失边界；悲观盈利价不是清算资产底。</w:t>
      </w:r>
    </w:p>
    <w:p>
      <w:pPr>
        <w:pStyle w:val="Heading2"/>
        <w:rPr/>
      </w:pPr>
      <w:r>
        <w:rPr>
          <w:color w:val="000000"/>
        </w:rPr>
        <w:t>一 晶圆代工价值从何而来</w:t>
      </w:r>
    </w:p>
    <w:p>
      <w:pPr>
        <w:pStyle w:val="Normal"/>
        <w:rPr/>
      </w:pPr>
      <w:r>
        <w:rPr/>
        <w:t>中芯提供晶圆制造及技术服务，客户负责芯片设计，公司把设计转化为可规模生产的硅片。制造不只是购买设备和执行工序，还需要工艺开发、设计规则、良率、可靠性与客户认证。客户一旦完成适配和量产，转厂可能需要时间和成本，形成服务黏性；但设计需求变化和竞争价格仍会影响订单。</w:t>
      </w:r>
    </w:p>
    <w:p>
      <w:pPr>
        <w:pStyle w:val="Normal"/>
        <w:rPr/>
      </w:pPr>
      <w:r>
        <w:rPr/>
        <w:t>公司覆盖逻辑、电源模拟、高压显示驱动、嵌入与独立非易失存储、混合信号射频及图像传感等平台。不同平台需求、竞争和制造经济性不同，不能用某一先进逻辑节点概括全部收入。成熟制程也可拥有技术壁垒，车用与工业认证又延长导入周期，但成熟并不代表不会价格竞争或产能过剩。</w:t>
      </w:r>
    </w:p>
    <w:p>
      <w:pPr>
        <w:pStyle w:val="Normal"/>
        <w:rPr/>
      </w:pPr>
      <w:r>
        <w:rPr/>
        <w:t>投资价值来自技术与制造规模形成持续现金收益，产业战略地位可以帮助需求和资源，却不能自动等于高资本回报。重资产公司的规模增长可能伴随借款、合作资本及稀释，利润和资产都增长时仍需看每股回报。本研究使用正常经营盈利、归母比例与目标全公司股数，避免只用集团收入讲故事。</w:t>
      </w:r>
    </w:p>
    <w:p>
      <w:pPr>
        <w:pStyle w:val="Heading2"/>
        <w:rPr/>
      </w:pPr>
      <w:r>
        <w:rPr>
          <w:color w:val="000000"/>
        </w:rPr>
        <w:t>二 历史收入与周期恢复</w:t>
      </w:r>
    </w:p>
    <w:p>
      <w:pPr>
        <w:pStyle w:val="Normal"/>
        <w:rPr/>
      </w:pPr>
      <w:r>
        <w:rPr/>
        <w:t>二零二三、二零二四、二零二五年收入分别</w:t>
      </w:r>
      <w:r>
        <w:rPr/>
        <w:t>63.22</w:t>
      </w:r>
      <w:r>
        <w:rPr/>
        <w:t>、</w:t>
      </w:r>
      <w:r>
        <w:rPr/>
        <w:t>80.30</w:t>
      </w:r>
      <w:r>
        <w:rPr/>
        <w:t>、</w:t>
      </w:r>
      <w:r>
        <w:rPr/>
        <w:t>93.27</w:t>
      </w:r>
      <w:r>
        <w:rPr/>
        <w:t>亿美元，显示从低点逐步恢复和扩张。对应归母利润</w:t>
      </w:r>
      <w:r>
        <w:rPr/>
        <w:t>9.03</w:t>
      </w:r>
      <w:r>
        <w:rPr/>
        <w:t>、</w:t>
      </w:r>
      <w:r>
        <w:rPr/>
        <w:t>4.93</w:t>
      </w:r>
      <w:r>
        <w:rPr/>
        <w:t>、</w:t>
      </w:r>
      <w:r>
        <w:rPr/>
        <w:t>6.85</w:t>
      </w:r>
      <w:r>
        <w:rPr/>
        <w:t>亿美元，收入与净利并非同方向同比。二零二三利润较高还受非经常因素，不能以其净利率当全部年份正常基础；扩产折旧、组合和投资收益会改变报表结果。</w:t>
      </w:r>
    </w:p>
    <w:p>
      <w:pPr>
        <w:pStyle w:val="Normal"/>
        <w:rPr/>
      </w:pPr>
      <w:r>
        <w:rPr/>
        <w:t>二零二五毛利率百分之二十一，二零二四百分之十八，年度扣非归母</w:t>
      </w:r>
      <w:r>
        <w:rPr/>
        <w:t>5.76</w:t>
      </w:r>
      <w:r>
        <w:rPr/>
        <w:t>亿美元，比上一年</w:t>
      </w:r>
      <w:r>
        <w:rPr/>
        <w:t>3.69</w:t>
      </w:r>
      <w:r>
        <w:rPr/>
        <w:t>亿美元改善。正式经营现金</w:t>
      </w:r>
      <w:r>
        <w:rPr/>
        <w:t>31.94</w:t>
      </w:r>
      <w:r>
        <w:rPr/>
        <w:t>亿美元，与上一年</w:t>
      </w:r>
      <w:r>
        <w:rPr/>
        <w:t>31.76</w:t>
      </w:r>
      <w:r>
        <w:rPr/>
        <w:t>接近，盈利修复尚未带来同比例现金增长。重资产经营需要更长观察，不能用一年高增长</w:t>
      </w:r>
      <w:r>
        <w:rPr/>
        <w:t>EPS</w:t>
      </w:r>
      <w:r>
        <w:rPr/>
        <w:t>替代完整周期判断。</w:t>
      </w:r>
    </w:p>
    <w:p>
      <w:pPr>
        <w:pStyle w:val="Normal"/>
        <w:rPr/>
      </w:pPr>
      <w:r>
        <w:rPr/>
        <w:t>公司历史规模扩张与国产需求具有结构因素，同时客户库存、终端景气及全球产能仍造成周期。长期模型允许收入继续扩大，也要求利润率逐渐改善。若持续只是增加工厂和资产而没有提高资本回报，战略价值可能由产业链获得，上市股东价值未必等比例增长，估值溢价需要重新审视。</w:t>
      </w:r>
    </w:p>
    <w:p>
      <w:pPr>
        <w:pStyle w:val="Heading2"/>
        <w:rPr/>
      </w:pPr>
      <w:r>
        <w:rPr>
          <w:color w:val="000000"/>
        </w:rPr>
        <w:t>三 六月收入与毛利的改善</w:t>
      </w:r>
    </w:p>
    <w:p>
      <w:pPr>
        <w:pStyle w:val="Normal"/>
        <w:rPr/>
      </w:pPr>
      <w:r>
        <w:rPr/>
        <w:t>六月收入</w:t>
      </w:r>
      <w:r>
        <w:rPr/>
        <w:t>30.05588</w:t>
      </w:r>
      <w:r>
        <w:rPr/>
        <w:t>亿美元，环比增长百分之二十、同比百分之三十六点一，毛利</w:t>
      </w:r>
      <w:r>
        <w:rPr/>
        <w:t>7.60640</w:t>
      </w:r>
      <w:r>
        <w:rPr/>
        <w:t>亿美元、毛利率百分之二十五点三。上季收入</w:t>
      </w:r>
      <w:r>
        <w:rPr/>
        <w:t>25.05487</w:t>
      </w:r>
      <w:r>
        <w:rPr/>
        <w:t>亿美元、毛利率百分之二十点一。公司解释出货、平均价格与组合共同改善，这比仅靠产能增长更有利于利润，却还需要证明价格可以在新增折旧后保持。</w:t>
      </w:r>
    </w:p>
    <w:p>
      <w:pPr>
        <w:pStyle w:val="Normal"/>
        <w:rPr/>
      </w:pPr>
      <w:r>
        <w:rPr/>
        <w:t>上半年收入</w:t>
      </w:r>
      <w:r>
        <w:rPr/>
        <w:t>55.11075</w:t>
      </w:r>
      <w:r>
        <w:rPr/>
        <w:t>亿美元，同比增长百分之二十三点七，毛利</w:t>
      </w:r>
      <w:r>
        <w:rPr/>
        <w:t>12.64243</w:t>
      </w:r>
      <w:r>
        <w:rPr/>
        <w:t>亿美元、毛利率约百分之二十二点九。收入增长与毛利增速不同，组合和价格修复发挥作用。上半年整体毛利低于六月单季，若把六月较好毛利直接套全年度，容易高估当年正常水平，也会忽略新产能爬坡。</w:t>
      </w:r>
    </w:p>
    <w:p>
      <w:pPr>
        <w:pStyle w:val="Normal"/>
        <w:rPr/>
      </w:pPr>
      <w:r>
        <w:rPr/>
        <w:t>六月集团经营利润</w:t>
      </w:r>
      <w:r>
        <w:rPr/>
        <w:t>5.34179</w:t>
      </w:r>
      <w:r>
        <w:rPr/>
        <w:t>亿美元，包含其他经营收入；归母</w:t>
      </w:r>
      <w:r>
        <w:rPr/>
        <w:t>4.79197</w:t>
      </w:r>
      <w:r>
        <w:rPr/>
        <w:t>亿美元，集团净利</w:t>
      </w:r>
      <w:r>
        <w:rPr/>
        <w:t>7.33219</w:t>
      </w:r>
      <w:r>
        <w:rPr/>
        <w:t>亿美元，两者不相等。新闻中</w:t>
      </w:r>
      <w:r>
        <w:rPr/>
        <w:t>5.12</w:t>
      </w:r>
      <w:r>
        <w:rPr/>
        <w:t>亿美元纯利与主源冲突，本研究保留官方数字。营收与毛利的实质改善值得肯定，利润拆解又要求谨慎，不能把所有增幅都解释为晶圆提价利润。</w:t>
      </w:r>
    </w:p>
    <w:p>
      <w:pPr>
        <w:pStyle w:val="Heading2"/>
        <w:rPr/>
      </w:pPr>
      <w:r>
        <w:rPr>
          <w:color w:val="000000"/>
        </w:rPr>
        <w:t>四 出货 产能和利用率</w:t>
      </w:r>
    </w:p>
    <w:p>
      <w:pPr>
        <w:pStyle w:val="Normal"/>
        <w:rPr/>
      </w:pPr>
      <w:r>
        <w:rPr/>
        <w:t>六月标准逻辑八英寸约当出货</w:t>
      </w:r>
      <w:r>
        <w:rPr/>
        <w:t>2869495</w:t>
      </w:r>
      <w:r>
        <w:rPr/>
        <w:t>片，比上季</w:t>
      </w:r>
      <w:r>
        <w:rPr/>
        <w:t>2509137</w:t>
      </w:r>
      <w:r>
        <w:rPr/>
        <w:t>增长百分之十四点四，同比约百分之二十点一。月底月产能</w:t>
      </w:r>
      <w:r>
        <w:rPr/>
        <w:t>1096500</w:t>
      </w:r>
      <w:r>
        <w:rPr/>
        <w:t>片约当，上季</w:t>
      </w:r>
      <w:r>
        <w:rPr/>
        <w:t>1078250</w:t>
      </w:r>
      <w:r>
        <w:rPr/>
        <w:t>；利用率百分之九十三点七，上季九十三点一。收入环比增长快于出货，支持均价或结构改善，但出货口径是约当晶圆，不是所有物理晶圆相同价值。</w:t>
      </w:r>
    </w:p>
    <w:p>
      <w:pPr>
        <w:pStyle w:val="Normal"/>
        <w:rPr/>
      </w:pPr>
      <w:r>
        <w:rPr/>
        <w:t>八英寸与十二英寸采用约当转换便于比较规模，不能将约当出货乘随意单片报价计算收入。不同产品工艺、加工步骤、芯片面积、良率和服务需求形成价格差异。研究可以由收入除约当出货观察组合代理，却不能把其称某一节点的精确平均销售价，公开财表没有完整节点价格表。</w:t>
      </w:r>
    </w:p>
    <w:p>
      <w:pPr>
        <w:pStyle w:val="Normal"/>
        <w:rPr/>
      </w:pPr>
      <w:r>
        <w:rPr/>
        <w:t>高利用率有助摊薄固定成本，也意味着短期再增加产量的空间有限，新增设备和工厂需要认证与爬坡。利用率高不等于全部设备都满负荷，技术平台和产品匹配可能限制有效供给。下一阶段关键是新产能以什么良率和价格投入，而不是仅看总月产能继续增加。</w:t>
      </w:r>
    </w:p>
    <w:p>
      <w:pPr>
        <w:pStyle w:val="Heading2"/>
        <w:rPr/>
      </w:pPr>
      <w:r>
        <w:rPr>
          <w:color w:val="000000"/>
        </w:rPr>
        <w:t>五 应用结构与终端需求</w:t>
      </w:r>
    </w:p>
    <w:p>
      <w:pPr>
        <w:pStyle w:val="Normal"/>
        <w:rPr/>
      </w:pPr>
      <w:r>
        <w:rPr/>
        <w:t>六月晶圆收入应用中消费电子占百分之四十四点二，手机十六点九，电脑平板十五点六，连接及物联网六点八，工业汽车十六点五。工业汽车占比高于去年同季十点六，手机低于二十五点二，显示组合变化。占比下降可以来自其他产品更快增长，不自动代表绝对收入下降，需要金额与组合一起观察。</w:t>
      </w:r>
    </w:p>
    <w:p>
      <w:pPr>
        <w:pStyle w:val="Normal"/>
        <w:rPr/>
      </w:pPr>
      <w:r>
        <w:rPr/>
        <w:t>消费电子仍占较大比例，终端出货疲弱与组件涨价可能影响客户需求。人工智能需要电源、控制、连接等配套，也可能间接使成熟产能紧张，但不能把全部消费电子收入都标成高增长人工智能。终端分类不是技术节点分类，产品可以服务多个场景，公开分组不能支撑精确人工智能收入比例。</w:t>
      </w:r>
    </w:p>
    <w:p>
      <w:pPr>
        <w:pStyle w:val="Normal"/>
        <w:rPr/>
      </w:pPr>
      <w:r>
        <w:rPr/>
        <w:t>工业汽车有较长认证和使用周期，需求更稳定的机会与客户产品周期风险并存。智能驾驶和工业自动化增加芯片需求，但车厂与客户仍可能压价和去库存。长期行业评分较高，经营模型仍设悲观需求与利润率，避免把需求空间直接转成公司无风险订单。</w:t>
      </w:r>
    </w:p>
    <w:p>
      <w:pPr>
        <w:pStyle w:val="Heading2"/>
        <w:rPr/>
      </w:pPr>
      <w:r>
        <w:rPr>
          <w:color w:val="000000"/>
        </w:rPr>
        <w:t>六 地域与国产供应链</w:t>
      </w:r>
    </w:p>
    <w:p>
      <w:pPr>
        <w:pStyle w:val="Normal"/>
        <w:rPr/>
      </w:pPr>
      <w:r>
        <w:rPr/>
        <w:t>六月收入中国占百分之九十点二，美洲八点二，欧亚一点六，国内占比较去年继续提高。国内集成电路设计、制造与系统厂商需求有助订单和客户合作；与此同时，地区集中使公司更受中国终端、融资与产业政策影响。地域归类是客户收入来源，不等于最终消费都发生在该地区。</w:t>
      </w:r>
    </w:p>
    <w:p>
      <w:pPr>
        <w:pStyle w:val="Normal"/>
        <w:rPr/>
      </w:pPr>
      <w:r>
        <w:rPr/>
        <w:t>供应链本地化可以提高客户对可获得制造能力的重视，形成需求和合作机会，但采购替代仍需要质量、性能及成本验证。不能假设每项设备与材料都能立即国产替代，也不能把进口限制视为一定带来利润。产业链安全价值与财务回报可能出现差异，尤其在重复建设或高成本路线时。</w:t>
      </w:r>
    </w:p>
    <w:p>
      <w:pPr>
        <w:pStyle w:val="Normal"/>
        <w:rPr/>
      </w:pPr>
      <w:r>
        <w:rPr/>
        <w:t>研究基准允许国产客户需求支撑成长，悲观保留终端疲弱与成本，乐观需技术、客户和价格共同兑现。若国内份额扩大但毛利和自由现金回报长期低，估值应降低；若海外收入减少同时国内客户集中上升，还需重新判断订单分散和政策敏感性，不能只将地域变化作为利好。</w:t>
      </w:r>
    </w:p>
    <w:p>
      <w:pPr>
        <w:pStyle w:val="Heading2"/>
        <w:rPr/>
      </w:pPr>
      <w:r>
        <w:rPr>
          <w:color w:val="000000"/>
        </w:rPr>
        <w:t>七 技术平台与客户转换成本</w:t>
      </w:r>
    </w:p>
    <w:p>
      <w:pPr>
        <w:pStyle w:val="Normal"/>
        <w:rPr/>
      </w:pPr>
      <w:r>
        <w:rPr/>
        <w:t>技术平台包含设计规则、模型、知识产权、工艺和生产协同，客户从设计到量产需多个步骤验证。公司多年制造经验和研发团队可以缩短导入、提高稳定性，规模与服务广度对设计公司有价值。转换成本主要由工程、认证和时间形成，并非所有客户永久锁定，价格和产品升级可能促使重新选择供应商。</w:t>
      </w:r>
    </w:p>
    <w:p>
      <w:pPr>
        <w:pStyle w:val="Normal"/>
        <w:rPr/>
      </w:pPr>
      <w:r>
        <w:rPr/>
        <w:t>年报与中报披露多项工艺平台开发，车用模拟、高压、嵌入存储等有不同路线。公司表述的技术领先范围通常为国内特定平台，不能直接等同全球所有节点领先。节点名称也不能完整说明良率、成本与性能，公开缺少精确先进节点收入和盈利表时，研究不补造百分比。</w:t>
      </w:r>
    </w:p>
    <w:p>
      <w:pPr>
        <w:pStyle w:val="Normal"/>
        <w:rPr/>
      </w:pPr>
      <w:r>
        <w:rPr/>
        <w:t>技术进步需要设备、软件、材料与人才长期配合，某个环节限制可能拖慢开发或提高成本。投资者应关注客户认证、量产和盈利能力，避免把技术展示视为大规模订单。主模型的利润率提高含技术与良率改善，若开发延期或可靠性未达标准，乐观情景需要撤回。</w:t>
      </w:r>
    </w:p>
    <w:p>
      <w:pPr>
        <w:pStyle w:val="Heading2"/>
        <w:rPr/>
      </w:pPr>
      <w:r>
        <w:rPr>
          <w:color w:val="000000"/>
        </w:rPr>
        <w:t>八 人工智能的直接与间接影响</w:t>
      </w:r>
    </w:p>
    <w:p>
      <w:pPr>
        <w:pStyle w:val="Normal"/>
        <w:rPr/>
      </w:pPr>
      <w:r>
        <w:rPr/>
        <w:t>人工智能基础设施增长带来逻辑、电源管理、连接、控制和外围设备需求，也影响高端存储与全球产能分配。中芯可以受益于部分配套和国内设计需求，不能因此认为其收入都与最先进训练芯片等同。不同平台的工艺和价格差异决定公司受益方式，与最先进代工企业的利润模式不完全相同。</w:t>
      </w:r>
    </w:p>
    <w:p>
      <w:pPr>
        <w:pStyle w:val="Normal"/>
        <w:rPr/>
      </w:pPr>
      <w:r>
        <w:rPr/>
        <w:t>公司中报指出高端存储产能转向人工智能，消费级组件供应受挤压，终端成本上升。人工智能一方面支持部分代工需求，一方面可能压低手机、消费电子销量，这种影响可以同时存在。行业成长不能简单套到所有客户，短期收入表现需要应用组合与客户库存解释。</w:t>
      </w:r>
    </w:p>
    <w:p>
      <w:pPr>
        <w:pStyle w:val="Normal"/>
        <w:rPr/>
      </w:pPr>
      <w:r>
        <w:rPr/>
        <w:t>人工智能需求的持续性还受资本开支回报、电力、算力效率和模型应用变现约束。若全球或国内投资放缓，相关配套需求也可能调整；若需求继续旺盛，新增产能又会改变价格。模型没有独立高倍数人工智能分部，机会通过收入、利润率和合理</w:t>
      </w:r>
      <w:r>
        <w:rPr/>
        <w:t>PE</w:t>
      </w:r>
      <w:r>
        <w:rPr/>
        <w:t>表达，避免主题和现金流重复计值。</w:t>
      </w:r>
    </w:p>
    <w:p>
      <w:pPr>
        <w:pStyle w:val="Heading2"/>
        <w:rPr/>
      </w:pPr>
      <w:r>
        <w:rPr>
          <w:color w:val="000000"/>
        </w:rPr>
        <w:t>九 成熟制程的竞争与价格</w:t>
      </w:r>
    </w:p>
    <w:p>
      <w:pPr>
        <w:pStyle w:val="Normal"/>
        <w:rPr/>
      </w:pPr>
      <w:r>
        <w:rPr/>
        <w:t>成熟制程不是均质商品，每个电压、可靠性、存储与模拟平台可能有差异，客户认证增加切换成本。但行业新增供给仍可以通过相近平台争取订单，价格改善可能吸引扩产，最终重新形成供给压力。高利用率阶段的提价不应永久外推，周期正常化时利润率与</w:t>
      </w:r>
      <w:r>
        <w:rPr/>
        <w:t>PE</w:t>
      </w:r>
      <w:r>
        <w:rPr/>
        <w:t>可能同时回落。</w:t>
      </w:r>
    </w:p>
    <w:p>
      <w:pPr>
        <w:pStyle w:val="Normal"/>
        <w:rPr/>
      </w:pPr>
      <w:r>
        <w:rPr/>
        <w:t>国内外竞争者在技术、成本、产能和客户关系上各有优势，政府资金与战略需求又可能影响竞争行为。研究不假设公司可以无限提高价格，也不以一季涨价证明长期强定价权。更有用的证据是不同平台的订单持续、客户认证、售价与成本同步变化，公开数据不足时降低细拆可信度。</w:t>
      </w:r>
    </w:p>
    <w:p>
      <w:pPr>
        <w:pStyle w:val="Normal"/>
        <w:rPr/>
      </w:pPr>
      <w:r>
        <w:rPr/>
        <w:t>半年基准利润改善含短期价格修复，三年至五年则需要技术与制造效率支持，而不是每年重复供应紧张。悲观保留成熟产能竞争与价格弱化，特别在折旧较高时压低</w:t>
      </w:r>
      <w:r>
        <w:rPr/>
        <w:t>EBIT</w:t>
      </w:r>
      <w:r>
        <w:rPr/>
        <w:t>率。若利用率仍高但毛利下降，要核查组合和价格，不应只凭“满产”维持原预测。</w:t>
      </w:r>
    </w:p>
    <w:p>
      <w:pPr>
        <w:pStyle w:val="Heading2"/>
        <w:rPr/>
      </w:pPr>
      <w:r>
        <w:rPr>
          <w:color w:val="000000"/>
        </w:rPr>
        <w:t>十 先进工艺与良率风险</w:t>
      </w:r>
    </w:p>
    <w:p>
      <w:pPr>
        <w:pStyle w:val="Normal"/>
        <w:rPr/>
      </w:pPr>
      <w:r>
        <w:rPr/>
        <w:t>先进逻辑工艺对设备精度、设计工具、材料与多步骤协同要求高，技术路线可行不等于商业成本优越。良率决定单位合格芯片成本，工序更复杂还会影响产能与周期。当前没有公开完整节点良率、产能和客户利润，本研究不依据非官方猜测给精确技术收益。</w:t>
      </w:r>
    </w:p>
    <w:p>
      <w:pPr>
        <w:pStyle w:val="Normal"/>
        <w:rPr/>
      </w:pPr>
      <w:r>
        <w:rPr/>
        <w:t>国内客户在供应可获得性上可能愿意采用不同性能和成本组合，但长期产品竞争仍需要效率。更高工艺研发支出可能先降低利润，量产后才逐步改善。模型正常</w:t>
      </w:r>
      <w:r>
        <w:rPr/>
        <w:t>EBIT</w:t>
      </w:r>
      <w:r>
        <w:rPr/>
        <w:t>包含研发及折旧，不能把先进技术支出当每年一次性而全部剔除，再用高倍数估值被抬高的盈利。</w:t>
      </w:r>
    </w:p>
    <w:p>
      <w:pPr>
        <w:pStyle w:val="Normal"/>
        <w:rPr/>
      </w:pPr>
      <w:r>
        <w:rPr/>
        <w:t>积极反证需要真实认证量产、收入与毛利改善，失败反证包括开发长期延期、质量不足、设备软件限制和成本无法下降。技术细节涉及商业保密，缺失不意味着没有进步，但研究只能保留不同情景。高产业空间分和较低估值可信度可以并存，不能以战略重要性消除技术风险。</w:t>
      </w:r>
    </w:p>
    <w:p>
      <w:pPr>
        <w:pStyle w:val="Heading2"/>
        <w:rPr/>
      </w:pPr>
      <w:r>
        <w:rPr>
          <w:color w:val="000000"/>
        </w:rPr>
        <w:t>十一 折旧 成本和经营杠杆</w:t>
      </w:r>
    </w:p>
    <w:p>
      <w:pPr>
        <w:pStyle w:val="Normal"/>
        <w:rPr/>
      </w:pPr>
      <w:r>
        <w:rPr/>
        <w:t>六月销售成本中折旧摊销</w:t>
      </w:r>
      <w:r>
        <w:rPr/>
        <w:t>9.24796</w:t>
      </w:r>
      <w:r>
        <w:rPr/>
        <w:t>亿美元，同比增长约百分之二十三点一；集团总折旧摊销</w:t>
      </w:r>
      <w:r>
        <w:rPr/>
        <w:t>12.11721</w:t>
      </w:r>
      <w:r>
        <w:rPr/>
        <w:t>亿美元，同比约百分之三十七点九。两者不同，部分成本列在其他费用或期间项目，不能把总折旧再全加到销售成本。总折旧很大，说明重资产扩张的经济成本，不能用高</w:t>
      </w:r>
      <w:r>
        <w:rPr/>
        <w:t>EBITDA</w:t>
      </w:r>
      <w:r>
        <w:rPr/>
        <w:t>率简单证明高盈利质量。</w:t>
      </w:r>
    </w:p>
    <w:p>
      <w:pPr>
        <w:pStyle w:val="Normal"/>
        <w:rPr/>
      </w:pPr>
      <w:r>
        <w:rPr/>
        <w:t>高利用率可以摊薄固定成本，新增资产投入又会增加折旧。收入和毛利改善若只够覆盖新增折旧，净经营利润未必按同样速度增长。六月集团</w:t>
      </w:r>
      <w:r>
        <w:rPr/>
        <w:t>EBITDA</w:t>
      </w:r>
      <w:r>
        <w:rPr/>
        <w:t>率约百分之七十点二，含利润及特定财表项目，重资产会使</w:t>
      </w:r>
      <w:r>
        <w:rPr/>
        <w:t>EBITDA</w:t>
      </w:r>
      <w:r>
        <w:rPr/>
        <w:t>显著高于净利；后续设备更新仍需现金，</w:t>
      </w:r>
      <w:r>
        <w:rPr/>
        <w:t>EBITDA</w:t>
      </w:r>
      <w:r>
        <w:rPr/>
        <w:t>不是可分配利润。</w:t>
      </w:r>
    </w:p>
    <w:p>
      <w:pPr>
        <w:pStyle w:val="Normal"/>
        <w:rPr/>
      </w:pPr>
      <w:r>
        <w:rPr/>
        <w:t>模型使用含折旧</w:t>
      </w:r>
      <w:r>
        <w:rPr/>
        <w:t>EBIT</w:t>
      </w:r>
      <w:r>
        <w:rPr/>
        <w:t>，基准一年百分之十九、三年二十三、五年二十五，要求价格、组合和利用率改善超过资产成本。悲观则在需求与产能错配下压至个位数，不假设折旧自动消失。若新厂投入使折旧快于收入、价格修复停滞，目标和增长评分应下调，不能把利润压力全部当暂时。</w:t>
      </w:r>
    </w:p>
    <w:p>
      <w:pPr>
        <w:pStyle w:val="Heading2"/>
        <w:rPr/>
      </w:pPr>
      <w:r>
        <w:rPr>
          <w:color w:val="000000"/>
        </w:rPr>
        <w:t>十二 研发与正常经营利润</w:t>
      </w:r>
    </w:p>
    <w:p>
      <w:pPr>
        <w:pStyle w:val="Normal"/>
        <w:rPr/>
      </w:pPr>
      <w:r>
        <w:rPr/>
        <w:t>六月研发</w:t>
      </w:r>
      <w:r>
        <w:rPr/>
        <w:t>2.08522</w:t>
      </w:r>
      <w:r>
        <w:rPr/>
        <w:t>亿美元，上季</w:t>
      </w:r>
      <w:r>
        <w:rPr/>
        <w:t>1.87097</w:t>
      </w:r>
      <w:r>
        <w:rPr/>
        <w:t>，较去年增长约百分之十四点六；行政</w:t>
      </w:r>
      <w:r>
        <w:rPr/>
        <w:t>1.19952</w:t>
      </w:r>
      <w:r>
        <w:rPr/>
        <w:t>、销售</w:t>
      </w:r>
      <w:r>
        <w:rPr/>
        <w:t>0.14097</w:t>
      </w:r>
      <w:r>
        <w:rPr/>
        <w:t>亿美元。报告总经营费用</w:t>
      </w:r>
      <w:r>
        <w:rPr/>
        <w:t>2.26461</w:t>
      </w:r>
      <w:r>
        <w:rPr/>
        <w:t>亿美元，是扣除其他经营收入等后的净额，若直接称毛利减总费用即全部核心制造利润，会把政府资金与部分收益纳入常态基础。</w:t>
      </w:r>
    </w:p>
    <w:p>
      <w:pPr>
        <w:pStyle w:val="Normal"/>
        <w:rPr/>
      </w:pPr>
      <w:r>
        <w:rPr/>
        <w:t>六月其他经营收入</w:t>
      </w:r>
      <w:r>
        <w:rPr/>
        <w:t>1.12612</w:t>
      </w:r>
      <w:r>
        <w:rPr/>
        <w:t>亿美元，报告称主要由政府资金确认变化。将其从经营利润扣除，研究核心</w:t>
      </w:r>
      <w:r>
        <w:rPr/>
        <w:t>EBIT</w:t>
      </w:r>
      <w:r>
        <w:rPr/>
        <w:t>代理约</w:t>
      </w:r>
      <w:r>
        <w:rPr/>
        <w:t>4.21567</w:t>
      </w:r>
      <w:r>
        <w:rPr/>
        <w:t>亿美元、率百分之十四点零三。这个计算仅用于提示正常化，政府资金与正常费用政策需更细核，不能直接冒充公司官方调整利润。上半年扣非披露采用另一完整口径，两者不可互相替换。</w:t>
      </w:r>
    </w:p>
    <w:p>
      <w:pPr>
        <w:pStyle w:val="Normal"/>
        <w:rPr/>
      </w:pPr>
      <w:r>
        <w:rPr/>
        <w:t>主模型正常</w:t>
      </w:r>
      <w:r>
        <w:rPr/>
        <w:t>EBIT</w:t>
      </w:r>
      <w:r>
        <w:rPr/>
        <w:t>含研发、行政、销售、股份报酬及折旧，剔不稳定政府资金与公允投资收益，未来</w:t>
      </w:r>
      <w:r>
        <w:rPr/>
        <w:t>EBIT</w:t>
      </w:r>
      <w:r>
        <w:rPr/>
        <w:t>率是研究假设。研发带来未来竞争能力也具有持续成本，把研发全加回会高估产业盈利。基准利润率从当前代理改善，需要证据；高增长不能用净费用低点机械年化。</w:t>
      </w:r>
    </w:p>
    <w:p>
      <w:pPr>
        <w:pStyle w:val="Heading2"/>
        <w:rPr/>
      </w:pPr>
      <w:r>
        <w:rPr>
          <w:color w:val="000000"/>
        </w:rPr>
        <w:t>十三 非经常与联营投资收益</w:t>
      </w:r>
    </w:p>
    <w:p>
      <w:pPr>
        <w:pStyle w:val="Normal"/>
        <w:rPr/>
      </w:pPr>
      <w:r>
        <w:rPr/>
        <w:t>上半年归母</w:t>
      </w:r>
      <w:r>
        <w:rPr/>
        <w:t>6.76645</w:t>
      </w:r>
      <w:r>
        <w:rPr/>
        <w:t>亿美元，扣非归母</w:t>
      </w:r>
      <w:r>
        <w:rPr/>
        <w:t>4.33383</w:t>
      </w:r>
      <w:r>
        <w:rPr/>
        <w:t>亿美元，非经常净额</w:t>
      </w:r>
      <w:r>
        <w:rPr/>
        <w:t>2.43262</w:t>
      </w:r>
      <w:r>
        <w:rPr/>
        <w:t>亿美元，约占归母百分之三十六。非经常表包括联营合资公允变化</w:t>
      </w:r>
      <w:r>
        <w:rPr/>
        <w:t>2.18993</w:t>
      </w:r>
      <w:r>
        <w:rPr/>
        <w:t>亿美元、被动稀释等，说明净利增长一部分来自资本投资。剥离这些后经营仍改善，但改善幅度低于原归母同比，估值需用对应口径。</w:t>
      </w:r>
    </w:p>
    <w:p>
      <w:pPr>
        <w:pStyle w:val="Normal"/>
        <w:rPr/>
      </w:pPr>
      <w:r>
        <w:rPr/>
        <w:t>六月其他净收入</w:t>
      </w:r>
      <w:r>
        <w:rPr/>
        <w:t>2.75907</w:t>
      </w:r>
      <w:r>
        <w:rPr/>
        <w:t>亿美元，联营合资贡献</w:t>
      </w:r>
      <w:r>
        <w:rPr/>
        <w:t>1.93824</w:t>
      </w:r>
      <w:r>
        <w:rPr/>
        <w:t>亿美元。报告说明部分联营是投资基金，收益由组合公允变化产生；其他收益也含股权证券公允变化。它们不是每年重复的晶圆收入或产能利用率收益，不能将季度归母乘四再称正常每股盈利。</w:t>
      </w:r>
    </w:p>
    <w:p>
      <w:pPr>
        <w:pStyle w:val="Normal"/>
        <w:rPr/>
      </w:pPr>
      <w:r>
        <w:rPr/>
        <w:t>主模型净金融联营经常贡献单列为悲观负值、基准零、乐观有限正值，避免完全忽视负债融资成本或反过度依赖投资上涨。已有投资价值也不再追加全部市值，因为经营桥含相关贡献且缺少完整可分配资产桥。非经常剥离不等于现金风险消失，基金投入与公允损失仍属于股东资本配置。</w:t>
      </w:r>
    </w:p>
    <w:p>
      <w:pPr>
        <w:pStyle w:val="Heading2"/>
        <w:rPr/>
      </w:pPr>
      <w:r>
        <w:rPr>
          <w:color w:val="000000"/>
        </w:rPr>
        <w:t>十四 集团与归母利润的差异</w:t>
      </w:r>
    </w:p>
    <w:p>
      <w:pPr>
        <w:pStyle w:val="Normal"/>
        <w:rPr/>
      </w:pPr>
      <w:r>
        <w:rPr/>
        <w:t>六月集团净利</w:t>
      </w:r>
      <w:r>
        <w:rPr/>
        <w:t>7.33219</w:t>
      </w:r>
      <w:r>
        <w:rPr/>
        <w:t>亿美元，归母</w:t>
      </w:r>
      <w:r>
        <w:rPr/>
        <w:t>4.79197</w:t>
      </w:r>
      <w:r>
        <w:rPr/>
        <w:t>，少数股东</w:t>
      </w:r>
      <w:r>
        <w:rPr/>
        <w:t>2.54022</w:t>
      </w:r>
      <w:r>
        <w:rPr/>
        <w:t>亿美元；上季集团</w:t>
      </w:r>
      <w:r>
        <w:rPr/>
        <w:t>2.30912</w:t>
      </w:r>
      <w:r>
        <w:rPr/>
        <w:t>、归母</w:t>
      </w:r>
      <w:r>
        <w:rPr/>
        <w:t>1.97448</w:t>
      </w:r>
      <w:r>
        <w:rPr/>
        <w:t>、少数</w:t>
      </w:r>
      <w:r>
        <w:rPr/>
        <w:t>0.33464</w:t>
      </w:r>
      <w:r>
        <w:rPr/>
        <w:t>。差异明显波动，不能用固定集团净利率直接乘上市股数估价。合资工厂盈利、所有权变化和投资收益归属都会影响归母，每股模型必须显式考虑。</w:t>
      </w:r>
    </w:p>
    <w:p>
      <w:pPr>
        <w:pStyle w:val="Normal"/>
        <w:rPr/>
      </w:pPr>
      <w:r>
        <w:rPr/>
        <w:t>中芯北方收购后该厂百分之百归属公司，其他工厂和子公司仍有少数权益。六月集团少数股东利润较高，不可因一项收购就认为今后集团全利润均归母。模型归母比例基准年底百分之七十五、一年七十七、三年八十、五年八十二，反映逐步贡献与其他合资结构，是研究简化而非公司利润承诺。</w:t>
      </w:r>
    </w:p>
    <w:p>
      <w:pPr>
        <w:pStyle w:val="Normal"/>
        <w:rPr/>
      </w:pPr>
      <w:r>
        <w:rPr/>
        <w:t>更精确模型需要逐厂正常利润、股权和融资，公开材料未提供全部细拆。归母比例不完全独立于</w:t>
      </w:r>
      <w:r>
        <w:rPr/>
        <w:t>EBIT</w:t>
      </w:r>
      <w:r>
        <w:rPr/>
        <w:t>、税率和投资收益，所以情景保持内部一致，悲观不同时强行提高归属。新收购或合作注资会改变比例与股数，必须一起更新，不能只增加归母利润而保留旧分母。</w:t>
      </w:r>
    </w:p>
    <w:p>
      <w:pPr>
        <w:pStyle w:val="Heading2"/>
        <w:rPr/>
      </w:pPr>
      <w:r>
        <w:rPr>
          <w:color w:val="000000"/>
        </w:rPr>
        <w:t>十五 中芯北方收购与股份稀释</w:t>
      </w:r>
    </w:p>
    <w:p>
      <w:pPr>
        <w:pStyle w:val="Normal"/>
        <w:rPr/>
      </w:pPr>
      <w:r>
        <w:rPr/>
        <w:t>中报披露六月十二日收购中芯北方百分之四十九少数股权，使持股升至百分之百，通过发行人民币股份支付。新增</w:t>
      </w:r>
      <w:r>
        <w:rPr/>
        <w:t>547182073</w:t>
      </w:r>
      <w:r>
        <w:rPr/>
        <w:t>股，对价约</w:t>
      </w:r>
      <w:r>
        <w:rPr/>
        <w:t>59.61167</w:t>
      </w:r>
      <w:r>
        <w:rPr/>
        <w:t>亿美元；所收购少数权益账面</w:t>
      </w:r>
      <w:r>
        <w:rPr/>
        <w:t>29.86876</w:t>
      </w:r>
      <w:r>
        <w:rPr/>
        <w:t>亿美元，对价超额约</w:t>
      </w:r>
      <w:r>
        <w:rPr/>
        <w:t>29.74291</w:t>
      </w:r>
      <w:r>
        <w:rPr/>
        <w:t>亿美元冲减权益储备。它不是新增同额现金，也不是全额商誉利润。</w:t>
      </w:r>
    </w:p>
    <w:p>
      <w:pPr>
        <w:pStyle w:val="Normal"/>
        <w:rPr/>
      </w:pPr>
      <w:r>
        <w:rPr/>
        <w:t>交易增强归母权益和未来工厂利润归属，同时股数扩大；价值取决于新增每股利润是否覆盖支付对价。集团已有控制，收购前后集团收入并不会仅因股权改变而全部增加，改变主要在归属与权益。将收购对价当新的工厂经营收入，或把新增归母权益等同无成本财富，都属于错误。</w:t>
      </w:r>
    </w:p>
    <w:p>
      <w:pPr>
        <w:pStyle w:val="Normal"/>
        <w:rPr/>
      </w:pPr>
      <w:r>
        <w:rPr/>
        <w:t>六月期末总股</w:t>
      </w:r>
      <w:r>
        <w:rPr/>
        <w:t>8560805995</w:t>
      </w:r>
      <w:r>
        <w:rPr/>
        <w:t>股，年初</w:t>
      </w:r>
      <w:r>
        <w:rPr/>
        <w:t>8000408035</w:t>
      </w:r>
      <w:r>
        <w:rPr/>
        <w:t>，加上资产收购与港股激励增股。六月季加权摊薄约</w:t>
      </w:r>
      <w:r>
        <w:rPr/>
        <w:t>80.68</w:t>
      </w:r>
      <w:r>
        <w:rPr/>
        <w:t>亿，是期内时间加权，不能用于未来永久分母。解禁日二零二七六月二十三为股份约束解除，不等同必然出售；一年量价需观察供给预期，但不能以解禁数量直接推断跌幅。</w:t>
      </w:r>
    </w:p>
    <w:p>
      <w:pPr>
        <w:pStyle w:val="Heading2"/>
        <w:rPr/>
      </w:pPr>
      <w:r>
        <w:rPr>
          <w:color w:val="000000"/>
        </w:rPr>
        <w:t>十六 会计准则 股数与净资产</w:t>
      </w:r>
    </w:p>
    <w:p>
      <w:pPr>
        <w:pStyle w:val="Normal"/>
        <w:rPr/>
      </w:pPr>
      <w:r>
        <w:rPr/>
        <w:t>上半年</w:t>
      </w:r>
      <w:r>
        <w:rPr/>
        <w:t>IFRS</w:t>
      </w:r>
      <w:r>
        <w:rPr/>
        <w:t>归母</w:t>
      </w:r>
      <w:r>
        <w:rPr/>
        <w:t>6.76645</w:t>
      </w:r>
      <w:r>
        <w:rPr/>
        <w:t>亿美元，中国准则归母</w:t>
      </w:r>
      <w:r>
        <w:rPr/>
        <w:t>6.49453</w:t>
      </w:r>
      <w:r>
        <w:rPr/>
        <w:t>亿美元，差异主要在联营被动稀释处理。两套权益归母均</w:t>
      </w:r>
      <w:r>
        <w:rPr/>
        <w:t>251.49484</w:t>
      </w:r>
      <w:r>
        <w:rPr/>
        <w:t>亿美元。投资分析须指定准则，不能选收入或利润较高的一套而股数和资产用另一套，也不能把美元表误认为人民币亿元，使估值差数倍。</w:t>
      </w:r>
    </w:p>
    <w:p>
      <w:pPr>
        <w:pStyle w:val="Normal"/>
        <w:rPr/>
      </w:pPr>
      <w:r>
        <w:rPr/>
        <w:t>六月归母净资产</w:t>
      </w:r>
      <w:r>
        <w:rPr/>
        <w:t>251.49484</w:t>
      </w:r>
      <w:r>
        <w:rPr/>
        <w:t>亿美元，除期末总股约每股</w:t>
      </w:r>
      <w:r>
        <w:rPr/>
        <w:t>2.93775</w:t>
      </w:r>
      <w:r>
        <w:rPr/>
        <w:t>美元、研究折算</w:t>
      </w:r>
      <w:r>
        <w:rPr/>
        <w:t>22.9144</w:t>
      </w:r>
      <w:r>
        <w:rPr/>
        <w:t>港元。现价约</w:t>
      </w:r>
      <w:r>
        <w:rPr/>
        <w:t>2.5159</w:t>
      </w:r>
      <w:r>
        <w:rPr/>
        <w:t>倍归母市净率。集团总权益</w:t>
      </w:r>
      <w:r>
        <w:rPr/>
        <w:t>378.57388</w:t>
      </w:r>
      <w:r>
        <w:rPr/>
        <w:t>亿美元含少数</w:t>
      </w:r>
      <w:r>
        <w:rPr/>
        <w:t>127.07904</w:t>
      </w:r>
      <w:r>
        <w:rPr/>
        <w:t>，不能用全权益除上市股数高估每股净资产。股价是</w:t>
      </w:r>
      <w:r>
        <w:rPr/>
        <w:t>H</w:t>
      </w:r>
      <w:r>
        <w:rPr/>
        <w:t>股，</w:t>
      </w:r>
      <w:r>
        <w:rPr/>
        <w:t>A</w:t>
      </w:r>
      <w:r>
        <w:rPr/>
        <w:t>与</w:t>
      </w:r>
      <w:r>
        <w:rPr/>
        <w:t>H</w:t>
      </w:r>
      <w:r>
        <w:rPr/>
        <w:t>共用全公司经济分母，不只除</w:t>
      </w:r>
      <w:r>
        <w:rPr/>
        <w:t>H</w:t>
      </w:r>
      <w:r>
        <w:rPr/>
        <w:t>股股数。</w:t>
      </w:r>
    </w:p>
    <w:p>
      <w:pPr>
        <w:pStyle w:val="Normal"/>
        <w:rPr/>
      </w:pPr>
      <w:r>
        <w:rPr/>
        <w:t>账面净资产增长一部分来自少数收购、注资与储备变化，不能全解释为保留利润。市净率有助交叉判断重资产估值，仍需回报高于资本成本；账面设备在技术和需求变化时未必值原价。主模型单套正常</w:t>
      </w:r>
      <w:r>
        <w:rPr/>
        <w:t>PE</w:t>
      </w:r>
      <w:r>
        <w:rPr/>
        <w:t>，净资产只作约束和反向检查，不与</w:t>
      </w:r>
      <w:r>
        <w:rPr/>
        <w:t>PE</w:t>
      </w:r>
      <w:r>
        <w:rPr/>
        <w:t>价格简单取平均制造新结论。</w:t>
      </w:r>
    </w:p>
    <w:p>
      <w:pPr>
        <w:pStyle w:val="Heading2"/>
        <w:rPr/>
      </w:pPr>
      <w:r>
        <w:rPr>
          <w:color w:val="000000"/>
        </w:rPr>
        <w:t>十七 经营现金流与营运资金</w:t>
      </w:r>
    </w:p>
    <w:p>
      <w:pPr>
        <w:pStyle w:val="Normal"/>
        <w:rPr/>
      </w:pPr>
      <w:r>
        <w:rPr/>
        <w:t>上半年经营现金</w:t>
      </w:r>
      <w:r>
        <w:rPr/>
        <w:t>32.07101</w:t>
      </w:r>
      <w:r>
        <w:rPr/>
        <w:t>亿美元，去年同期</w:t>
      </w:r>
      <w:r>
        <w:rPr/>
        <w:t>9.09257</w:t>
      </w:r>
      <w:r>
        <w:rPr/>
        <w:t>，改善显著；六月</w:t>
      </w:r>
      <w:r>
        <w:rPr/>
        <w:t>25.22116</w:t>
      </w:r>
      <w:r>
        <w:rPr/>
        <w:t>亿美元，上季</w:t>
      </w:r>
      <w:r>
        <w:rPr/>
        <w:t>6.84985</w:t>
      </w:r>
      <w:r>
        <w:rPr/>
        <w:t>。六月现金桥包含营运资金及其他正</w:t>
      </w:r>
      <w:r>
        <w:rPr/>
        <w:t>8.34965</w:t>
      </w:r>
      <w:r>
        <w:rPr/>
        <w:t>亿美元，上季负</w:t>
      </w:r>
      <w:r>
        <w:rPr/>
        <w:t>6.23377</w:t>
      </w:r>
      <w:r>
        <w:rPr/>
        <w:t>。现金改善有真实价值，但营运资金转向可能波动，不能把六月流入永久年化，又不能因现金大于净利就称利润无风险。</w:t>
      </w:r>
    </w:p>
    <w:p>
      <w:pPr>
        <w:pStyle w:val="Normal"/>
        <w:rPr/>
      </w:pPr>
      <w:r>
        <w:rPr/>
        <w:t>六月库存</w:t>
      </w:r>
      <w:r>
        <w:rPr/>
        <w:t>43.60884</w:t>
      </w:r>
      <w:r>
        <w:rPr/>
        <w:t>亿美元，上季</w:t>
      </w:r>
      <w:r>
        <w:rPr/>
        <w:t>39.20996</w:t>
      </w:r>
      <w:r>
        <w:rPr/>
        <w:t>，应收</w:t>
      </w:r>
      <w:r>
        <w:rPr/>
        <w:t>15.12779</w:t>
      </w:r>
      <w:r>
        <w:rPr/>
        <w:t>、应付</w:t>
      </w:r>
      <w:r>
        <w:rPr/>
        <w:t>34.65891</w:t>
      </w:r>
      <w:r>
        <w:rPr/>
        <w:t>、合同负债</w:t>
      </w:r>
      <w:r>
        <w:rPr/>
        <w:t>7.68461</w:t>
      </w:r>
      <w:r>
        <w:rPr/>
        <w:t>亿美元。制造在制品和材料、客户付款、供应商设备与运营付款共同影响现金。存货增可能与生产扩张有关，也会承担过时和需求风险；合同负债不全是净利润，需要后续履约。</w:t>
      </w:r>
    </w:p>
    <w:p>
      <w:pPr>
        <w:pStyle w:val="Normal"/>
        <w:rPr/>
      </w:pPr>
      <w:r>
        <w:rPr/>
        <w:t>积极证据是收入、现金回收与客户需求同步改善；反证是库存增长快于需求、应收回收延迟、经营现金靠短期账期而非终端销售。公开没有全部逐厂现金与客户账龄细节，不能写不可追溯的精确现金跑道。半年的财务安全需要资本开支及借款一起看，经营现金独立并不能完成判断。</w:t>
      </w:r>
    </w:p>
    <w:p>
      <w:pPr>
        <w:pStyle w:val="Heading2"/>
        <w:rPr/>
      </w:pPr>
      <w:r>
        <w:rPr>
          <w:color w:val="000000"/>
        </w:rPr>
        <w:t>十八 资本开支与自由现金</w:t>
      </w:r>
    </w:p>
    <w:p>
      <w:pPr>
        <w:pStyle w:val="Normal"/>
        <w:rPr/>
      </w:pPr>
      <w:r>
        <w:rPr/>
        <w:t>第一、第二季披露资本开支约</w:t>
      </w:r>
      <w:r>
        <w:rPr/>
        <w:t>15.628</w:t>
      </w:r>
      <w:r>
        <w:rPr/>
        <w:t>、</w:t>
      </w:r>
      <w:r>
        <w:rPr/>
        <w:t>18.357</w:t>
      </w:r>
      <w:r>
        <w:rPr/>
        <w:t>亿美元，半年合计</w:t>
      </w:r>
      <w:r>
        <w:rPr/>
        <w:t>33.985</w:t>
      </w:r>
      <w:r>
        <w:rPr/>
        <w:t>亿美元。现金表购买固定资产半年</w:t>
      </w:r>
      <w:r>
        <w:rPr/>
        <w:t>28.53006</w:t>
      </w:r>
      <w:r>
        <w:rPr/>
        <w:t>、无形</w:t>
      </w:r>
      <w:r>
        <w:rPr/>
        <w:t>0.06384</w:t>
      </w:r>
      <w:r>
        <w:rPr/>
        <w:t>亿美元，与资本开支不同，涉及支付及定义时差。正式经营现金减现金固定无形约</w:t>
      </w:r>
      <w:r>
        <w:rPr/>
        <w:t>3.47711</w:t>
      </w:r>
      <w:r>
        <w:rPr/>
        <w:t>亿美元，是研究代理；以资本开支扣经营现金则稍负，两者不能随意选更有利口径。</w:t>
      </w:r>
    </w:p>
    <w:p>
      <w:pPr>
        <w:pStyle w:val="Normal"/>
        <w:rPr/>
      </w:pPr>
      <w:r>
        <w:rPr/>
        <w:t>半年另有联营注资</w:t>
      </w:r>
      <w:r>
        <w:rPr/>
        <w:t>9.57586</w:t>
      </w:r>
      <w:r>
        <w:rPr/>
        <w:t>亿美元，资本部署会降低可用于债务、股东或扩产的资金。研究自由现金代理没有扣全部投资，因此不是最终可分配现金。六月代理约</w:t>
      </w:r>
      <w:r>
        <w:rPr/>
        <w:t>9.75509</w:t>
      </w:r>
      <w:r>
        <w:rPr/>
        <w:t>亿美元，季度改善明显但上季弱，全年资本需求也不固定。公司报告表示会根据需求、设备交付和政策调整计划，研究不补造明确长期年度预算。</w:t>
      </w:r>
    </w:p>
    <w:p>
      <w:pPr>
        <w:pStyle w:val="Normal"/>
        <w:rPr/>
      </w:pPr>
      <w:r>
        <w:rPr/>
        <w:t>重资产扩张即使经营现金大，也可能持续需要外部融资。未来资本回报取决于工厂利用和技术经济性，不能假设资本开支停止后折旧继续带来纯现金。五年基准利润增长需要更新、研发和资本仍可负担；若投入持续超经营现金且盈利没有追上，股数、债务和估值都需要更悲观。</w:t>
      </w:r>
    </w:p>
    <w:p>
      <w:pPr>
        <w:pStyle w:val="Heading2"/>
        <w:rPr/>
      </w:pPr>
      <w:r>
        <w:rPr>
          <w:color w:val="000000"/>
        </w:rPr>
        <w:t>十九 债务 现金和少数注资</w:t>
      </w:r>
    </w:p>
    <w:p>
      <w:pPr>
        <w:pStyle w:val="Normal"/>
        <w:rPr/>
      </w:pPr>
      <w:r>
        <w:rPr/>
        <w:t>六月公司总现金在手</w:t>
      </w:r>
      <w:r>
        <w:rPr/>
        <w:t>138.56615</w:t>
      </w:r>
      <w:r>
        <w:rPr/>
        <w:t>亿美元，包含现金等价</w:t>
      </w:r>
      <w:r>
        <w:rPr/>
        <w:t>82.16015</w:t>
      </w:r>
      <w:r>
        <w:rPr/>
        <w:t>、短期公允金融资产</w:t>
      </w:r>
      <w:r>
        <w:rPr/>
        <w:t>0.85206</w:t>
      </w:r>
      <w:r>
        <w:rPr/>
        <w:t>及摊余资产</w:t>
      </w:r>
      <w:r>
        <w:rPr/>
        <w:t>55.55394</w:t>
      </w:r>
      <w:r>
        <w:rPr/>
        <w:t>。总债</w:t>
      </w:r>
      <w:r>
        <w:rPr/>
        <w:t>140.18957</w:t>
      </w:r>
      <w:r>
        <w:rPr/>
        <w:t>亿美元，净债约</w:t>
      </w:r>
      <w:r>
        <w:rPr/>
        <w:t>1.62342</w:t>
      </w:r>
      <w:r>
        <w:rPr/>
        <w:t>。这里广义存款和资产有期限，不能称全部活期现金；只用现金等价减全部债又会忽视可到期存款，两种口径各有用途必须标清。</w:t>
      </w:r>
    </w:p>
    <w:p>
      <w:pPr>
        <w:pStyle w:val="Normal"/>
        <w:rPr/>
      </w:pPr>
      <w:r>
        <w:rPr/>
        <w:t>流动借款</w:t>
      </w:r>
      <w:r>
        <w:rPr/>
        <w:t>51.50096</w:t>
      </w:r>
      <w:r>
        <w:rPr/>
        <w:t>、非流动</w:t>
      </w:r>
      <w:r>
        <w:rPr/>
        <w:t>88.67616</w:t>
      </w:r>
      <w:r>
        <w:rPr/>
        <w:t>亿美元，部分有抵押、部分无抵押。小净债不等于没有再融资风险，现金和借款可能位于不同子公司、币种与期限。资本开支需求和担保亦影响可用资源，研究未假设全部资产可以立即互转。融资成本已经在正常金融贡献中考虑，不另加全现金避免重复。</w:t>
      </w:r>
    </w:p>
    <w:p>
      <w:pPr>
        <w:pStyle w:val="Normal"/>
        <w:rPr/>
      </w:pPr>
      <w:r>
        <w:rPr/>
        <w:t>半年少数股东资本注入</w:t>
      </w:r>
      <w:r>
        <w:rPr/>
        <w:t>17.92714</w:t>
      </w:r>
      <w:r>
        <w:rPr/>
        <w:t>亿美元，有助扩产但形成其他股东经济权益；六月单季</w:t>
      </w:r>
      <w:r>
        <w:rPr/>
        <w:t>12.34479</w:t>
      </w:r>
      <w:r>
        <w:rPr/>
        <w:t>。合作资本不是上市公司股东免费资金，也不能同时把全部厂利润归母。根本问题是新增资本带来的收入与现金回报如何分配，主模型归母比例和未来股数必须随实际合作结构更新。</w:t>
      </w:r>
    </w:p>
    <w:p>
      <w:pPr>
        <w:pStyle w:val="Heading2"/>
        <w:rPr/>
      </w:pPr>
      <w:r>
        <w:rPr>
          <w:color w:val="000000"/>
        </w:rPr>
        <w:t>二十 资本回报与市净率交叉</w:t>
      </w:r>
    </w:p>
    <w:p>
      <w:pPr>
        <w:pStyle w:val="Normal"/>
        <w:rPr/>
      </w:pPr>
      <w:r>
        <w:rPr/>
        <w:t>重资产公司可在净利增速高时仍有较低权益回报，因为资本先扩张。二零二五归母净利</w:t>
      </w:r>
      <w:r>
        <w:rPr/>
        <w:t>6.85</w:t>
      </w:r>
      <w:r>
        <w:rPr/>
        <w:t>亿美元与年末归母权益</w:t>
      </w:r>
      <w:r>
        <w:rPr/>
        <w:t>214.40</w:t>
      </w:r>
      <w:r>
        <w:rPr/>
        <w:t>亿美元相比，仅是低个位数粗略比率，非正式加权</w:t>
      </w:r>
      <w:r>
        <w:rPr/>
        <w:t>ROE</w:t>
      </w:r>
      <w:r>
        <w:rPr/>
        <w:t>。上半年扣非年化对期末权益也不高，不能因为市净率比部分科技股低就称价值便宜。</w:t>
      </w:r>
    </w:p>
    <w:p>
      <w:pPr>
        <w:pStyle w:val="Normal"/>
        <w:rPr/>
      </w:pPr>
      <w:r>
        <w:rPr/>
        <w:t>用二零二五归母和年末股数算研究</w:t>
      </w:r>
      <w:r>
        <w:rPr/>
        <w:t>PE</w:t>
      </w:r>
      <w:r>
        <w:rPr/>
        <w:t>约</w:t>
      </w:r>
      <w:r>
        <w:rPr/>
        <w:t>86.3</w:t>
      </w:r>
      <w:r>
        <w:rPr/>
        <w:t>倍，上半年扣非年化、六月期末股数算约</w:t>
      </w:r>
      <w:r>
        <w:rPr/>
        <w:t>73.0</w:t>
      </w:r>
      <w:r>
        <w:rPr/>
        <w:t>倍。两者都不是最新</w:t>
      </w:r>
      <w:r>
        <w:rPr/>
        <w:t>NTM</w:t>
      </w:r>
      <w:r>
        <w:rPr/>
        <w:t>预测，但直接说明现价需要盈利成长；非经常剥离后不能用很低第三方</w:t>
      </w:r>
      <w:r>
        <w:rPr/>
        <w:t>PE</w:t>
      </w:r>
      <w:r>
        <w:rPr/>
        <w:t>叙述。基准一年五十二倍看似高，实质承认产业地位和增长溢价，必须由持续利润提升支持。</w:t>
      </w:r>
    </w:p>
    <w:p>
      <w:pPr>
        <w:pStyle w:val="Normal"/>
        <w:rPr/>
      </w:pPr>
      <w:r>
        <w:rPr/>
        <w:t>PB</w:t>
      </w:r>
      <w:r>
        <w:rPr/>
        <w:t>和</w:t>
      </w:r>
      <w:r>
        <w:rPr/>
        <w:t>PE</w:t>
      </w:r>
      <w:r>
        <w:rPr/>
        <w:t>之间受正常</w:t>
      </w:r>
      <w:r>
        <w:rPr/>
        <w:t>ROE</w:t>
      </w:r>
      <w:r>
        <w:rPr/>
        <w:t>联系，若利润改善而资本效率提高，高</w:t>
      </w:r>
      <w:r>
        <w:rPr/>
        <w:t>PB</w:t>
      </w:r>
      <w:r>
        <w:rPr/>
        <w:t>较容易解释；若资本一直增、回报弱，高</w:t>
      </w:r>
      <w:r>
        <w:rPr/>
        <w:t>PB</w:t>
      </w:r>
      <w:r>
        <w:rPr/>
        <w:t>可能依赖主题。悲观盈利估值可低于现有账面支持，但账面不等于清算价值，资产变现和退出成本未核。不能在低端随意加净资产、在高端再保留同资产盈利，这会破坏单套模型一致性。</w:t>
      </w:r>
    </w:p>
    <w:p>
      <w:pPr>
        <w:pStyle w:val="Heading2"/>
        <w:rPr/>
      </w:pPr>
      <w:r>
        <w:rPr>
          <w:color w:val="000000"/>
        </w:rPr>
        <w:t>二十一 政策 设备与供应链风险</w:t>
      </w:r>
    </w:p>
    <w:p>
      <w:pPr>
        <w:pStyle w:val="Normal"/>
        <w:rPr/>
      </w:pPr>
      <w:r>
        <w:rPr/>
        <w:t>公司报告将设备、零件、材料、软件和服务支持短缺列为风险。先进技术生产需要多个环节，任何限制都可能影响维护、产能利用与新平台开发。产业本地化有助长期替代能力，替代速度和性能仍需检验。研究不预测某一限制必然发生或消失，也不把新闻传言当既成监管事实。</w:t>
      </w:r>
    </w:p>
    <w:p>
      <w:pPr>
        <w:pStyle w:val="Normal"/>
        <w:rPr/>
      </w:pPr>
      <w:r>
        <w:rPr/>
        <w:t>支持政策可提供研发或资本资源，收益可能因资格与确认时间波动。模型剔不稳定政府资金而保留实际费用，避免靠补贴确认抬高常态盈利。政策可以帮助产业建设，也可能推动多个竞争者扩产，使行业供给增加；不能只将政策理解为上市公司利润单向改善。</w:t>
      </w:r>
    </w:p>
    <w:p>
      <w:pPr>
        <w:pStyle w:val="Normal"/>
        <w:rPr/>
      </w:pPr>
      <w:r>
        <w:rPr/>
        <w:t>技术与贸易风险同时影响客户及公司，客户订单可能本地化，也可能因产品限制减少。重大新规则需核具体产品、客户与适用时点，按收入成本重算。长期产业评分高并不抵消高财务下行，若设备支持或客户适配受到持续影响，收入、</w:t>
      </w:r>
      <w:r>
        <w:rPr/>
        <w:t>EBIT</w:t>
      </w:r>
      <w:r>
        <w:rPr/>
        <w:t>率、资本计划和</w:t>
      </w:r>
      <w:r>
        <w:rPr/>
        <w:t>PE</w:t>
      </w:r>
      <w:r>
        <w:rPr/>
        <w:t>要一起降低。</w:t>
      </w:r>
    </w:p>
    <w:p>
      <w:pPr>
        <w:pStyle w:val="Heading2"/>
        <w:rPr/>
      </w:pPr>
      <w:r>
        <w:rPr>
          <w:color w:val="000000"/>
        </w:rPr>
        <w:t>二十二 宏观 利率与汇率</w:t>
      </w:r>
    </w:p>
    <w:p>
      <w:pPr>
        <w:pStyle w:val="Normal"/>
        <w:rPr/>
      </w:pPr>
      <w:r>
        <w:rPr/>
        <w:t>公司功能币美元，部分交易和资产人民币，股价港币。主模型美元</w:t>
      </w:r>
      <w:r>
        <w:rPr/>
        <w:t>EPS</w:t>
      </w:r>
      <w:r>
        <w:rPr/>
        <w:t>乘</w:t>
      </w:r>
      <w:r>
        <w:rPr/>
        <w:t>7.8</w:t>
      </w:r>
      <w:r>
        <w:rPr/>
        <w:t>，不把人民币</w:t>
      </w:r>
      <w:r>
        <w:rPr/>
        <w:t>1.10</w:t>
      </w:r>
      <w:r>
        <w:rPr/>
        <w:t>统一研究汇率错套。港币联系汇率不代表公司经营无汇率影响，人民币变化会改变美元收入、成本、资产与融资，不同方向可能部分抵消。单项</w:t>
      </w:r>
      <w:r>
        <w:rPr/>
        <w:t>USD</w:t>
      </w:r>
      <w:r>
        <w:rPr/>
        <w:t>港币正负百分之一敏感只是价格换算，不是全面汇兑预测。</w:t>
      </w:r>
    </w:p>
    <w:p>
      <w:pPr>
        <w:pStyle w:val="Normal"/>
        <w:rPr/>
      </w:pPr>
      <w:r>
        <w:rPr/>
        <w:t>利率改变借款与存款收益，公司同时有较多债与广义资金，净效应取决于期限、币种和结构。浮息、资本化利息和实际费用可能不同，资本化成本以后通过折旧影响利润。模型净金融贡献为有限正负，未假设利息收入永久保持过去高点，也未把借款成本完全忽略。</w:t>
      </w:r>
    </w:p>
    <w:p>
      <w:pPr>
        <w:pStyle w:val="Normal"/>
        <w:rPr/>
      </w:pPr>
      <w:r>
        <w:rPr/>
        <w:t>终端需求与资本支出受就业消费、企业投资、贸易及地缘影响，制造订单可能提前拉动后再平衡。高技术需求也可能与普通消费疲弱同时存在。宏观判断必须连接公司应用组合，不能用中国</w:t>
      </w:r>
      <w:r>
        <w:rPr/>
        <w:t>GDP</w:t>
      </w:r>
      <w:r>
        <w:rPr/>
        <w:t>或人工智能行业增长直接乘收入；半年关注库存和定价，三五年看资本回报与产业适配。</w:t>
      </w:r>
    </w:p>
    <w:p>
      <w:pPr>
        <w:pStyle w:val="Heading2"/>
        <w:rPr/>
      </w:pPr>
      <w:r>
        <w:rPr>
          <w:color w:val="000000"/>
        </w:rPr>
        <w:t>二十三 治理 激励与关联安排</w:t>
      </w:r>
    </w:p>
    <w:p>
      <w:pPr>
        <w:pStyle w:val="Normal"/>
        <w:rPr/>
      </w:pPr>
      <w:r>
        <w:rPr/>
        <w:t>中芯有产业股东、合作工厂和股权激励，资源有助长期研发，同时普通股东需观察资本配置与权益分配。关联交易应核定价、程序及规模，不能只因产业股东存在就判断所有安排有利。中报列示日常框架与资产收购，交易金额和股数需要同财务桥一致，收购价值不能只看名义控制权。</w:t>
      </w:r>
    </w:p>
    <w:p>
      <w:pPr>
        <w:pStyle w:val="Normal"/>
        <w:rPr/>
      </w:pPr>
      <w:r>
        <w:rPr/>
        <w:t>上半年港股激励增股约</w:t>
      </w:r>
      <w:r>
        <w:rPr/>
        <w:t>1321.59</w:t>
      </w:r>
      <w:r>
        <w:rPr/>
        <w:t>万，股份报酬和授予有经济成本。模型保留正常</w:t>
      </w:r>
      <w:r>
        <w:rPr/>
        <w:t>SBC</w:t>
      </w:r>
      <w:r>
        <w:rPr/>
        <w:t>并让目标股数增长，避免剔费用又忽略稀释。授予名义价格、会计公允价值和股票市价不同，不直接用低授予价判断全部激励不合理，也不能说非现金便没有股东成本。</w:t>
      </w:r>
    </w:p>
    <w:p>
      <w:pPr>
        <w:pStyle w:val="Normal"/>
        <w:rPr/>
      </w:pPr>
      <w:r>
        <w:rPr/>
        <w:t>公司未宣派半年股息，研究未来现金分红暂零，回报完全由价格。战略扩张可能长期优先资本投入，普通股东回报需要每股盈利与市场定价而非稳定分红。五年财务治理分低于半年，体现更多资本承诺、合作权益及技术路线不确定，不因时间长而自动提高安全性。</w:t>
      </w:r>
    </w:p>
    <w:p>
      <w:pPr>
        <w:pStyle w:val="Heading2"/>
        <w:rPr/>
      </w:pPr>
      <w:r>
        <w:rPr>
          <w:color w:val="000000"/>
        </w:rPr>
        <w:t>二十四 日线趋势与均线位置</w:t>
      </w:r>
    </w:p>
    <w:p>
      <w:pPr>
        <w:pStyle w:val="Normal"/>
        <w:rPr/>
      </w:pPr>
      <w:r>
        <w:rPr/>
        <w:t>锁版</w:t>
      </w:r>
      <w:r>
        <w:rPr/>
        <w:t>739</w:t>
      </w:r>
      <w:r>
        <w:rPr/>
        <w:t>根日线覆盖三年，现价</w:t>
      </w:r>
      <w:r>
        <w:rPr/>
        <w:t>57.65</w:t>
      </w:r>
      <w:r>
        <w:rPr/>
        <w:t>低于二十、六十、一百二十、二百五十日均线</w:t>
      </w:r>
      <w:r>
        <w:rPr/>
        <w:t>61.9225</w:t>
      </w:r>
      <w:r>
        <w:rPr/>
        <w:t>、</w:t>
      </w:r>
      <w:r>
        <w:rPr/>
        <w:t>66.3858</w:t>
      </w:r>
      <w:r>
        <w:rPr/>
        <w:t>、</w:t>
      </w:r>
      <w:r>
        <w:rPr/>
        <w:t>70.8771</w:t>
      </w:r>
      <w:r>
        <w:rPr/>
        <w:t>、</w:t>
      </w:r>
      <w:r>
        <w:rPr/>
        <w:t>70.1332</w:t>
      </w:r>
      <w:r>
        <w:rPr/>
        <w:t>。距离分别负百分之六点九零、十三点一六、十八点六六、十七点八零。二十和六十日近五日斜率下降，一百二十略平，二百五十下降，中短期压力明确。</w:t>
      </w:r>
    </w:p>
    <w:p>
      <w:pPr>
        <w:pStyle w:val="Normal"/>
        <w:rPr/>
      </w:pPr>
      <w:r>
        <w:rPr/>
        <w:t>十月九日上涨百分之一点五零，成交增加，是反弹而不是已完成均线突破。二十日收益负百分之九点一四、六十日负百分之二十三点三四，一百二十日负百分之二点八六，二百五十日负百分之三十五点六九。较长与较短窗口差异说明历史上升后明显回撤，不能单取长线累计涨幅证明当下强势。</w:t>
      </w:r>
    </w:p>
    <w:p>
      <w:pPr>
        <w:pStyle w:val="Normal"/>
        <w:rPr/>
      </w:pPr>
      <w:r>
        <w:rPr/>
        <w:t>技术分一点六主要反映价格低于中期均线和相对弱势，未因短期接近弱势区就奖励“超跌必涨”。若后续回到二十日并站稳、六十日斜率减缓，才能逐步改善时机判断。基本面改善可能先于价格，也可能已在旧高估值中反映，半年必须把入场位置与盈利成长分开分析。</w:t>
      </w:r>
    </w:p>
    <w:p>
      <w:pPr>
        <w:pStyle w:val="Heading2"/>
        <w:rPr/>
      </w:pPr>
      <w:r>
        <w:rPr>
          <w:color w:val="000000"/>
        </w:rPr>
        <w:t>二十五 量能和成交额</w:t>
      </w:r>
    </w:p>
    <w:p>
      <w:pPr>
        <w:pStyle w:val="Normal"/>
        <w:rPr/>
      </w:pPr>
      <w:r>
        <w:rPr/>
        <w:t>基准日成交</w:t>
      </w:r>
      <w:r>
        <w:rPr/>
        <w:t>63468569</w:t>
      </w:r>
      <w:r>
        <w:rPr/>
        <w:t>股，金额约</w:t>
      </w:r>
      <w:r>
        <w:rPr/>
        <w:t>35.90</w:t>
      </w:r>
      <w:r>
        <w:rPr/>
        <w:t>亿港元，量比</w:t>
      </w:r>
      <w:r>
        <w:rPr/>
        <w:t>1.622952</w:t>
      </w:r>
      <w:r>
        <w:rPr/>
        <w:t>，以此前二十日均量</w:t>
      </w:r>
      <w:r>
        <w:rPr/>
        <w:t>39106879</w:t>
      </w:r>
      <w:r>
        <w:rPr/>
        <w:t>股作分母。五、二十、六十日均量约</w:t>
      </w:r>
      <w:r>
        <w:rPr/>
        <w:t>3436.20</w:t>
      </w:r>
      <w:r>
        <w:rPr/>
        <w:t>、</w:t>
      </w:r>
      <w:r>
        <w:rPr/>
        <w:t>3956.04</w:t>
      </w:r>
      <w:r>
        <w:rPr/>
        <w:t>、</w:t>
      </w:r>
      <w:r>
        <w:rPr/>
        <w:t>7364.38</w:t>
      </w:r>
      <w:r>
        <w:rPr/>
        <w:t>万股，较早阶段成交更活跃。反弹放量提供需求改善证据，但比六十日均量仍低，不能简单称持续大资金进入。</w:t>
      </w:r>
    </w:p>
    <w:p>
      <w:pPr>
        <w:pStyle w:val="Normal"/>
        <w:rPr/>
      </w:pPr>
      <w:r>
        <w:rPr/>
        <w:t>二十日六个上涨日、十二个下跌日，上涨成交约</w:t>
      </w:r>
      <w:r>
        <w:rPr/>
        <w:t>2.52980</w:t>
      </w:r>
      <w:r>
        <w:rPr/>
        <w:t>亿股、下跌</w:t>
      </w:r>
      <w:r>
        <w:rPr/>
        <w:t>4.64405</w:t>
      </w:r>
      <w:r>
        <w:rPr/>
        <w:t>亿，另平盘</w:t>
      </w:r>
      <w:r>
        <w:rPr/>
        <w:t>0.73825</w:t>
      </w:r>
      <w:r>
        <w:rPr/>
        <w:t>亿，上下总量比</w:t>
      </w:r>
      <w:r>
        <w:rPr/>
        <w:t>0.544739</w:t>
      </w:r>
      <w:r>
        <w:rPr/>
        <w:t>。近期下跌量明显更大，今日上涨不能消除这种结构。成交量是双边交易，不直接识别机构净买入，量比与涨跌量共同使用也不能转换成获利概率。</w:t>
      </w:r>
    </w:p>
    <w:p>
      <w:pPr>
        <w:pStyle w:val="Normal"/>
        <w:rPr/>
      </w:pPr>
      <w:r>
        <w:rPr/>
        <w:t>股票成交以股、金额以港币核对，换手率缺可靠字段保持缺失。没有逐笔投资者身份和精确自由流通分母，不绘制所谓筹码集中或精确成本分布。量能分析用于看突破是否获得参与度、回踩是否过度活跃，不以它直接断言主力吸筹、派发或特定资本行为。</w:t>
      </w:r>
    </w:p>
    <w:p>
      <w:pPr>
        <w:pStyle w:val="Heading2"/>
        <w:rPr/>
      </w:pPr>
      <w:r>
        <w:rPr>
          <w:color w:val="000000"/>
        </w:rPr>
        <w:t>二十六 区间价位与回撤</w:t>
      </w:r>
    </w:p>
    <w:p>
      <w:pPr>
        <w:pStyle w:val="Normal"/>
        <w:rPr/>
      </w:pPr>
      <w:r>
        <w:rPr/>
        <w:t>近二十、六十日最低</w:t>
      </w:r>
      <w:r>
        <w:rPr/>
        <w:t>55.20</w:t>
      </w:r>
      <w:r>
        <w:rPr/>
        <w:t>港元，距现价负百分之四点二五；二十日最高</w:t>
      </w:r>
      <w:r>
        <w:rPr/>
        <w:t>67.30</w:t>
      </w:r>
      <w:r>
        <w:rPr/>
        <w:t>，正百分之十六点七四，六十日最高</w:t>
      </w:r>
      <w:r>
        <w:rPr/>
        <w:t>77.80</w:t>
      </w:r>
      <w:r>
        <w:rPr/>
        <w:t>，正百分之三十四点九五。这是未经多次触碰筛选的区间价位，不能称必然有效的支撑阻力。现价离近期低点不远，首先需要观察是否守住，而非只关注较远乐观目标。</w:t>
      </w:r>
    </w:p>
    <w:p>
      <w:pPr>
        <w:pStyle w:val="Normal"/>
        <w:rPr/>
      </w:pPr>
      <w:r>
        <w:rPr/>
        <w:t>最近</w:t>
      </w:r>
      <w:r>
        <w:rPr/>
        <w:t>252</w:t>
      </w:r>
      <w:r>
        <w:rPr/>
        <w:t>交易日高</w:t>
      </w:r>
      <w:r>
        <w:rPr/>
        <w:t>93.50</w:t>
      </w:r>
      <w:r>
        <w:rPr/>
        <w:t>、低</w:t>
      </w:r>
      <w:r>
        <w:rPr/>
        <w:t>49.32</w:t>
      </w:r>
      <w:r>
        <w:rPr/>
        <w:t>，现价离高负百分之三十八点三四、离低正百分之十六点八九，窗口最大回撤约百分之四十四点三二。高低与周线滚动五十二周窗口略不同，保持口径一致。大幅回撤说明波动和历史风险，不能当当前估值低或剩余下跌空间小的证明。</w:t>
      </w:r>
    </w:p>
    <w:p>
      <w:pPr>
        <w:pStyle w:val="Normal"/>
        <w:rPr/>
      </w:pPr>
      <w:r>
        <w:rPr/>
        <w:t>技术改善顺序是守住五十五点二、恢复二十日均线，再观察六十日与六十日区间压力。若有效跌破近期低点并继续放量，反弹时机假设失效；突破后回落也需检查成交与市场。技术位不限制经营压力导致的跳空或流动性风险，不能宣称在某价止损即可保证最大损失。</w:t>
      </w:r>
    </w:p>
    <w:p>
      <w:pPr>
        <w:pStyle w:val="Heading2"/>
        <w:rPr/>
      </w:pPr>
      <w:r>
        <w:rPr>
          <w:color w:val="000000"/>
        </w:rPr>
        <w:t>二十七 周线与辅助指标</w:t>
      </w:r>
    </w:p>
    <w:p>
      <w:pPr>
        <w:pStyle w:val="Normal"/>
        <w:rPr/>
      </w:pPr>
      <w:r>
        <w:rPr/>
        <w:t>周线</w:t>
      </w:r>
      <w:r>
        <w:rPr/>
        <w:t>157</w:t>
      </w:r>
      <w:r>
        <w:rPr/>
        <w:t>根，二十、六十、一百二十周均线</w:t>
      </w:r>
      <w:r>
        <w:rPr/>
        <w:t>70.1025</w:t>
      </w:r>
      <w:r>
        <w:rPr/>
        <w:t>、</w:t>
      </w:r>
      <w:r>
        <w:rPr/>
        <w:t>69.2292</w:t>
      </w:r>
      <w:r>
        <w:rPr/>
        <w:t>、</w:t>
      </w:r>
      <w:r>
        <w:rPr/>
        <w:t>51.9132</w:t>
      </w:r>
      <w:r>
        <w:rPr/>
        <w:t>，价格低于前两条、高于一百二十周约百分之十一点零五。二十周斜率下降，六十和一百二十周上升，说明长周期平均尚滞后于近期回撤。缺二百五十周足够历史，保持空值，不人为生成。</w:t>
      </w:r>
    </w:p>
    <w:p>
      <w:pPr>
        <w:pStyle w:val="Normal"/>
        <w:rPr/>
      </w:pPr>
      <w:r>
        <w:rPr/>
        <w:t>日</w:t>
      </w:r>
      <w:r>
        <w:rPr/>
        <w:t>RSI</w:t>
      </w:r>
      <w:r>
        <w:rPr/>
        <w:t>约</w:t>
      </w:r>
      <w:r>
        <w:rPr/>
        <w:t>33.63</w:t>
      </w:r>
      <w:r>
        <w:rPr/>
        <w:t>，</w:t>
      </w:r>
      <w:r>
        <w:rPr/>
        <w:t>MACD</w:t>
      </w:r>
      <w:r>
        <w:rPr/>
        <w:t>柱负</w:t>
      </w:r>
      <w:r>
        <w:rPr/>
        <w:t>0.5834</w:t>
      </w:r>
      <w:r>
        <w:rPr/>
        <w:t>，日</w:t>
      </w:r>
      <w:r>
        <w:rPr/>
        <w:t>ATR</w:t>
      </w:r>
      <w:r>
        <w:rPr/>
        <w:t>约</w:t>
      </w:r>
      <w:r>
        <w:rPr/>
        <w:t>2.4979</w:t>
      </w:r>
      <w:r>
        <w:rPr/>
        <w:t>港元、百分之四点三三。弱势动能与较高波动要求宽观察区间，</w:t>
      </w:r>
      <w:r>
        <w:rPr/>
        <w:t>RSI</w:t>
      </w:r>
      <w:r>
        <w:rPr/>
        <w:t>接近低位不保证反弹。周</w:t>
      </w:r>
      <w:r>
        <w:rPr/>
        <w:t>RSI39.66</w:t>
      </w:r>
      <w:r>
        <w:rPr/>
        <w:t>、</w:t>
      </w:r>
      <w:r>
        <w:rPr/>
        <w:t>ATR8.1256</w:t>
      </w:r>
      <w:r>
        <w:rPr/>
        <w:t>港元、百分之十四点零九，周</w:t>
      </w:r>
      <w:r>
        <w:rPr/>
        <w:t>MACD</w:t>
      </w:r>
      <w:r>
        <w:rPr/>
        <w:t>柱仍负，周线确认弱于某一日涨幅。</w:t>
      </w:r>
    </w:p>
    <w:p>
      <w:pPr>
        <w:pStyle w:val="Normal"/>
        <w:rPr/>
      </w:pPr>
      <w:r>
        <w:rPr/>
        <w:t>周二十期上下成交比约</w:t>
      </w:r>
      <w:r>
        <w:rPr/>
        <w:t>1.205</w:t>
      </w:r>
      <w:r>
        <w:rPr/>
        <w:t>，与日二十期较弱比值不同，是窗口差异，不相互否定。多个趋势指标有相关性，只作辅助而不重复加分。半年若日线先修复而周线未变，需要保持条件判断；三五年不以当前</w:t>
      </w:r>
      <w:r>
        <w:rPr/>
        <w:t>RSI</w:t>
      </w:r>
      <w:r>
        <w:rPr/>
        <w:t>给成长奖励，但经营失败可以使所有技术观察位失去解释力。</w:t>
      </w:r>
    </w:p>
    <w:p>
      <w:pPr>
        <w:pStyle w:val="Heading2"/>
        <w:rPr/>
      </w:pPr>
      <w:r>
        <w:rPr>
          <w:color w:val="000000"/>
        </w:rPr>
        <w:t>二十八 相对强弱与比较限制</w:t>
      </w:r>
    </w:p>
    <w:p>
      <w:pPr>
        <w:pStyle w:val="Normal"/>
        <w:rPr/>
      </w:pPr>
      <w:r>
        <w:rPr/>
        <w:t>二十日相对恒指落后</w:t>
      </w:r>
      <w:r>
        <w:rPr/>
        <w:t>6.163</w:t>
      </w:r>
      <w:r>
        <w:rPr/>
        <w:t>个百分点，相对恒科落后</w:t>
      </w:r>
      <w:r>
        <w:rPr/>
        <w:t>6.078</w:t>
      </w:r>
      <w:r>
        <w:rPr/>
        <w:t>；六十日相对恒指落后</w:t>
      </w:r>
      <w:r>
        <w:rPr/>
        <w:t>20.150</w:t>
      </w:r>
      <w:r>
        <w:rPr/>
        <w:t>，相对恒科落后</w:t>
      </w:r>
      <w:r>
        <w:rPr/>
        <w:t>10.170</w:t>
      </w:r>
      <w:r>
        <w:rPr/>
        <w:t>。公司近期弱于市场与科技粗基准，技术低分有独立证据。即使行业景气改善，股价仍可能受旧估值、资本开支和风险偏好压制，不能简单归因全市场下跌。</w:t>
      </w:r>
    </w:p>
    <w:p>
      <w:pPr>
        <w:pStyle w:val="Normal"/>
        <w:rPr/>
      </w:pPr>
      <w:r>
        <w:rPr/>
        <w:t>恒生科技是科技硬件与互联网粗粒度参考，不是晶圆代工专属基准。全球代工企业制程、客户和地区差异大，简单直接比股价收益也未必公平。当前没有统一专属行业复权指数核验，不补造高精度相对行业数；主表明确基准限制，避免借最差比较对象提高评分。</w:t>
      </w:r>
    </w:p>
    <w:p>
      <w:pPr>
        <w:pStyle w:val="Normal"/>
        <w:rPr/>
      </w:pPr>
      <w:r>
        <w:rPr/>
        <w:t>相对弱势若在良好业绩后延续，需要核市场是否担心折旧、持续利润或技术限制；不能把股价反应都解释为错杀。相对强势若后续出现，也要结合正常盈利和现金，不因题材涨价立即提高财务分。技术评分是交易时机证据，和行业地位、估值空间各自对应不同问题。</w:t>
      </w:r>
    </w:p>
    <w:p>
      <w:pPr>
        <w:pStyle w:val="Heading2"/>
        <w:rPr/>
      </w:pPr>
      <w:r>
        <w:rPr>
          <w:color w:val="000000"/>
        </w:rPr>
        <w:t>二十九 半年与一年收益来源</w:t>
      </w:r>
    </w:p>
    <w:p>
      <w:pPr>
        <w:pStyle w:val="Normal"/>
        <w:rPr/>
      </w:pPr>
      <w:r>
        <w:rPr/>
        <w:t>半年基准</w:t>
      </w:r>
      <w:r>
        <w:rPr/>
        <w:t>75.25</w:t>
      </w:r>
      <w:r>
        <w:rPr/>
        <w:t>港元、上涨百分之三十点五三，目标</w:t>
      </w:r>
      <w:r>
        <w:rPr/>
        <w:t>NTM</w:t>
      </w:r>
      <w:r>
        <w:rPr/>
        <w:t>收入</w:t>
      </w:r>
      <w:r>
        <w:rPr/>
        <w:t>135</w:t>
      </w:r>
      <w:r>
        <w:rPr/>
        <w:t>亿美元、</w:t>
      </w:r>
      <w:r>
        <w:rPr/>
        <w:t>EBIT</w:t>
      </w:r>
      <w:r>
        <w:rPr/>
        <w:t>率十七点五、净金融联营零、税率十五、归母比例七十六、股数</w:t>
      </w:r>
      <w:r>
        <w:rPr/>
        <w:t>87</w:t>
      </w:r>
      <w:r>
        <w:rPr/>
        <w:t>亿，</w:t>
      </w:r>
      <w:r>
        <w:rPr/>
        <w:t>EPS0.1754</w:t>
      </w:r>
      <w:r>
        <w:rPr/>
        <w:t>美元、</w:t>
      </w:r>
      <w:r>
        <w:rPr/>
        <w:t>PE</w:t>
      </w:r>
      <w:r>
        <w:rPr/>
        <w:t>五十五倍。需要均价和组合改善、折旧可控与新产能认证，当前下降量价使评分</w:t>
      </w:r>
      <w:r>
        <w:rPr/>
        <w:t>55.8</w:t>
      </w:r>
      <w:r>
        <w:rPr/>
        <w:t>而非只按空间排序。</w:t>
      </w:r>
    </w:p>
    <w:p>
      <w:pPr>
        <w:pStyle w:val="Normal"/>
        <w:rPr/>
      </w:pPr>
      <w:r>
        <w:rPr/>
        <w:t>一年基准</w:t>
      </w:r>
      <w:r>
        <w:rPr/>
        <w:t>83.59</w:t>
      </w:r>
      <w:r>
        <w:rPr/>
        <w:t>港元、上涨百分之四十五，收入</w:t>
      </w:r>
      <w:r>
        <w:rPr/>
        <w:t>145</w:t>
      </w:r>
      <w:r>
        <w:rPr/>
        <w:t>亿美元、</w:t>
      </w:r>
      <w:r>
        <w:rPr/>
        <w:t>EBIT</w:t>
      </w:r>
      <w:r>
        <w:rPr/>
        <w:t>率十九、归母比例七十七、股数</w:t>
      </w:r>
      <w:r>
        <w:rPr/>
        <w:t>87.5</w:t>
      </w:r>
      <w:r>
        <w:rPr/>
        <w:t>亿，</w:t>
      </w:r>
      <w:r>
        <w:rPr/>
        <w:t>EPS0.2061</w:t>
      </w:r>
      <w:r>
        <w:rPr/>
        <w:t>美元、五十二倍。给经营兑现更多时间，仍需要较高倍数支持。六月期末股数已纳入，未来授予和新增融资进一步增加分母，不能用旧八十亿股夸大目标。</w:t>
      </w:r>
    </w:p>
    <w:p>
      <w:pPr>
        <w:pStyle w:val="Normal"/>
        <w:rPr/>
      </w:pPr>
      <w:r>
        <w:rPr/>
        <w:t>半年悲观</w:t>
      </w:r>
      <w:r>
        <w:rPr/>
        <w:t>14.50</w:t>
      </w:r>
      <w:r>
        <w:rPr/>
        <w:t>、乐观</w:t>
      </w:r>
      <w:r>
        <w:rPr/>
        <w:t>152.99</w:t>
      </w:r>
      <w:r>
        <w:rPr/>
        <w:t>，一年</w:t>
      </w:r>
      <w:r>
        <w:rPr/>
        <w:t>13.64</w:t>
      </w:r>
      <w:r>
        <w:rPr/>
        <w:t>、</w:t>
      </w:r>
      <w:r>
        <w:rPr/>
        <w:t>175.19</w:t>
      </w:r>
      <w:r>
        <w:rPr/>
        <w:t>，跨度体现周期与估值联动。若季度指引实现但价格无法延续或费用补贴剥离后利润弱，基准应下降。短期不能把净资产市值溢价当收益来源的唯一基础；更好的入场条件是利润验证与量价修复同时出现，不是目标价较高便追入。</w:t>
      </w:r>
    </w:p>
    <w:p>
      <w:pPr>
        <w:pStyle w:val="Heading2"/>
        <w:rPr/>
      </w:pPr>
      <w:r>
        <w:rPr>
          <w:color w:val="000000"/>
        </w:rPr>
        <w:t>三十 三年 五年与经营持续性</w:t>
      </w:r>
    </w:p>
    <w:p>
      <w:pPr>
        <w:pStyle w:val="Normal"/>
        <w:rPr/>
      </w:pPr>
      <w:r>
        <w:rPr/>
        <w:t>三年基准收入</w:t>
      </w:r>
      <w:r>
        <w:rPr/>
        <w:t>185</w:t>
      </w:r>
      <w:r>
        <w:rPr/>
        <w:t>亿美元、</w:t>
      </w:r>
      <w:r>
        <w:rPr/>
        <w:t>EBIT</w:t>
      </w:r>
      <w:r>
        <w:rPr/>
        <w:t>率二十三、归母比例八十、股数</w:t>
      </w:r>
      <w:r>
        <w:rPr/>
        <w:t>89</w:t>
      </w:r>
      <w:r>
        <w:rPr/>
        <w:t>亿，</w:t>
      </w:r>
      <w:r>
        <w:rPr/>
        <w:t>EPS0.3251</w:t>
      </w:r>
      <w:r>
        <w:rPr/>
        <w:t>美元、四十五倍，价格</w:t>
      </w:r>
      <w:r>
        <w:rPr/>
        <w:t>114.11</w:t>
      </w:r>
      <w:r>
        <w:rPr/>
        <w:t>港元、上涨百分之九十七点九四、年化</w:t>
      </w:r>
      <w:r>
        <w:rPr/>
        <w:t>25.56</w:t>
      </w:r>
      <w:r>
        <w:rPr/>
        <w:t>。相较二零二五收入约翻倍需要产能、客户和技术共同支持，利润率改善还要求折旧效率与组合优化，并非简单产能乘价格。</w:t>
      </w:r>
    </w:p>
    <w:p>
      <w:pPr>
        <w:pStyle w:val="Normal"/>
        <w:rPr/>
      </w:pPr>
      <w:r>
        <w:rPr/>
        <w:t>五年基准收入</w:t>
      </w:r>
      <w:r>
        <w:rPr/>
        <w:t>230</w:t>
      </w:r>
      <w:r>
        <w:rPr/>
        <w:t>亿美元、</w:t>
      </w:r>
      <w:r>
        <w:rPr/>
        <w:t>EBIT</w:t>
      </w:r>
      <w:r>
        <w:rPr/>
        <w:t>率二十五、归母比例八十二、股数</w:t>
      </w:r>
      <w:r>
        <w:rPr/>
        <w:t>90.5</w:t>
      </w:r>
      <w:r>
        <w:rPr/>
        <w:t>亿，</w:t>
      </w:r>
      <w:r>
        <w:rPr/>
        <w:t>EPS0.4428</w:t>
      </w:r>
      <w:r>
        <w:rPr/>
        <w:t>美元、三十八倍，价格</w:t>
      </w:r>
      <w:r>
        <w:rPr/>
        <w:t>131.25</w:t>
      </w:r>
      <w:r>
        <w:rPr/>
        <w:t>港元、上涨百分之一百二十七点六七、年化</w:t>
      </w:r>
      <w:r>
        <w:rPr/>
        <w:t>17.89</w:t>
      </w:r>
      <w:r>
        <w:rPr/>
        <w:t>。倍数随成熟下降，收益主要来自正常利润。研究未为十年另给确定股价，长期需要高资本回报与技术可持续，而非仅保持制造规模。</w:t>
      </w:r>
    </w:p>
    <w:p>
      <w:pPr>
        <w:pStyle w:val="Normal"/>
        <w:rPr/>
      </w:pPr>
      <w:r>
        <w:rPr/>
        <w:t>三五年悲观</w:t>
      </w:r>
      <w:r>
        <w:rPr/>
        <w:t>8.40</w:t>
      </w:r>
      <w:r>
        <w:rPr/>
        <w:t>和</w:t>
      </w:r>
      <w:r>
        <w:rPr/>
        <w:t>5.41</w:t>
      </w:r>
      <w:r>
        <w:rPr/>
        <w:t>港元，乐观</w:t>
      </w:r>
      <w:r>
        <w:rPr/>
        <w:t>270.50</w:t>
      </w:r>
      <w:r>
        <w:rPr/>
        <w:t>和</w:t>
      </w:r>
      <w:r>
        <w:rPr/>
        <w:t>352.43</w:t>
      </w:r>
      <w:r>
        <w:rPr/>
        <w:t>。悲观包含产能投资与价格竞争使利润率低、融资和股数上升，乐观要求更强增长效率和归母贡献。宽区间并不支持把高价视作合理必达，长期反证是回报长期低于资本成本、技术限制延续、合资融资吞噬股东每股价值。</w:t>
      </w:r>
    </w:p>
    <w:p>
      <w:pPr>
        <w:pStyle w:val="Heading2"/>
        <w:rPr/>
      </w:pPr>
      <w:r>
        <w:rPr>
          <w:color w:val="000000"/>
        </w:rPr>
        <w:t>三十一 年底情景的计算含义</w:t>
      </w:r>
    </w:p>
    <w:p>
      <w:pPr>
        <w:pStyle w:val="Normal"/>
        <w:rPr/>
      </w:pPr>
      <w:r>
        <w:rPr/>
        <w:t>年底基准收入</w:t>
      </w:r>
      <w:r>
        <w:rPr/>
        <w:t>125</w:t>
      </w:r>
      <w:r>
        <w:rPr/>
        <w:t>亿美元、</w:t>
      </w:r>
      <w:r>
        <w:rPr/>
        <w:t>EBIT</w:t>
      </w:r>
      <w:r>
        <w:rPr/>
        <w:t>率十六、归母比例七十五、股数</w:t>
      </w:r>
      <w:r>
        <w:rPr/>
        <w:t>86.5</w:t>
      </w:r>
      <w:r>
        <w:rPr/>
        <w:t>亿，正常</w:t>
      </w:r>
      <w:r>
        <w:rPr/>
        <w:t>EPS0.1474</w:t>
      </w:r>
      <w:r>
        <w:rPr/>
        <w:t>美元、五十五倍，价格</w:t>
      </w:r>
      <w:r>
        <w:rPr/>
        <w:t>63.23</w:t>
      </w:r>
      <w:r>
        <w:rPr/>
        <w:t>港元、上涨百分之九点六八。目标反映年底对未来十二个月利润定价，不是年底已累计赚到全部利润。公开第三季指引收入环比增二至四、毛利二十六至二十八，是公司预测，不作已经完成。</w:t>
      </w:r>
    </w:p>
    <w:p>
      <w:pPr>
        <w:pStyle w:val="Normal"/>
        <w:rPr/>
      </w:pPr>
      <w:r>
        <w:rPr/>
        <w:t>悲观</w:t>
      </w:r>
      <w:r>
        <w:rPr/>
        <w:t>EPS0.0659</w:t>
      </w:r>
      <w:r>
        <w:rPr/>
        <w:t>美元、三十五倍价格</w:t>
      </w:r>
      <w:r>
        <w:rPr/>
        <w:t>17.99</w:t>
      </w:r>
      <w:r>
        <w:rPr/>
        <w:t>，乐观</w:t>
      </w:r>
      <w:r>
        <w:rPr/>
        <w:t>0.2198</w:t>
      </w:r>
      <w:r>
        <w:rPr/>
        <w:t>、七十倍价格</w:t>
      </w:r>
      <w:r>
        <w:rPr/>
        <w:t>120.01</w:t>
      </w:r>
      <w:r>
        <w:rPr/>
        <w:t>。基准期望</w:t>
      </w:r>
      <w:r>
        <w:rPr/>
        <w:t>66.115</w:t>
      </w:r>
      <w:r>
        <w:rPr/>
        <w:t>高于</w:t>
      </w:r>
      <w:r>
        <w:rPr/>
        <w:t>63.23</w:t>
      </w:r>
      <w:r>
        <w:rPr/>
        <w:t>，因上端更远；防御</w:t>
      </w:r>
      <w:r>
        <w:rPr/>
        <w:t>50.812</w:t>
      </w:r>
      <w:r>
        <w:rPr/>
        <w:t>和积极</w:t>
      </w:r>
      <w:r>
        <w:rPr/>
        <w:t>81.418</w:t>
      </w:r>
      <w:r>
        <w:rPr/>
        <w:t>揭示权重改变足以改变收益方向。权重是研究判断，不是统计概率，年底真实价可以超出情景，且并未定义最大损失或置信区间。</w:t>
      </w:r>
    </w:p>
    <w:p>
      <w:pPr>
        <w:pStyle w:val="Normal"/>
        <w:rPr/>
      </w:pPr>
      <w:r>
        <w:rPr/>
        <w:t>年底压力情景是盈利估值而非厂房清算，不包含退出、资本返还、资产出售或重大政策极端尾部。若选择加入资产支持，必须与利润和金融贡献一致剥离，不能不对称加价。短期最相关催化是正常盈利、价格持续、新产能与现金，不使用机构目标按剩余月份线性缩放。</w:t>
      </w:r>
    </w:p>
    <w:p>
      <w:pPr>
        <w:pStyle w:val="Heading2"/>
        <w:rPr/>
      </w:pPr>
      <w:r>
        <w:rPr>
          <w:color w:val="000000"/>
        </w:rPr>
        <w:t>三十二 反向估值与模型敏感性</w:t>
      </w:r>
    </w:p>
    <w:p>
      <w:pPr>
        <w:pStyle w:val="Normal"/>
        <w:rPr/>
      </w:pPr>
      <w:r>
        <w:rPr/>
        <w:t>一年基准</w:t>
      </w:r>
      <w:r>
        <w:rPr/>
        <w:t>EPS0.2061</w:t>
      </w:r>
      <w:r>
        <w:rPr/>
        <w:t>美元，若</w:t>
      </w:r>
      <w:r>
        <w:rPr/>
        <w:t>PE</w:t>
      </w:r>
      <w:r>
        <w:rPr/>
        <w:t>四十、五十二、六十五倍，价格约</w:t>
      </w:r>
      <w:r>
        <w:rPr/>
        <w:t>64.30</w:t>
      </w:r>
      <w:r>
        <w:rPr/>
        <w:t>、</w:t>
      </w:r>
      <w:r>
        <w:rPr/>
        <w:t>83.59</w:t>
      </w:r>
      <w:r>
        <w:rPr/>
        <w:t>、</w:t>
      </w:r>
      <w:r>
        <w:rPr/>
        <w:t>104.49</w:t>
      </w:r>
      <w:r>
        <w:rPr/>
        <w:t>港元；现价以五十二倍反向对应</w:t>
      </w:r>
      <w:r>
        <w:rPr/>
        <w:t>EPS</w:t>
      </w:r>
      <w:r>
        <w:rPr/>
        <w:t>约</w:t>
      </w:r>
      <w:r>
        <w:rPr/>
        <w:t>0.1421</w:t>
      </w:r>
      <w:r>
        <w:rPr/>
        <w:t>美元。公司需要正常归母盈利而非一季投资收益支撑这个水平。若</w:t>
      </w:r>
      <w:r>
        <w:rPr/>
        <w:t>EPS</w:t>
      </w:r>
      <w:r>
        <w:rPr/>
        <w:t>为一年悲观</w:t>
      </w:r>
      <w:r>
        <w:rPr/>
        <w:t>0.0583</w:t>
      </w:r>
      <w:r>
        <w:rPr/>
        <w:t>，即使五十二倍也仅约</w:t>
      </w:r>
      <w:r>
        <w:rPr/>
        <w:t>23.65</w:t>
      </w:r>
      <w:r>
        <w:rPr/>
        <w:t>港元，经营变化比小幅换汇更有影响。</w:t>
      </w:r>
    </w:p>
    <w:p>
      <w:pPr>
        <w:pStyle w:val="Normal"/>
        <w:rPr/>
      </w:pPr>
      <w:r>
        <w:rPr/>
        <w:t>一年收入</w:t>
      </w:r>
      <w:r>
        <w:rPr/>
        <w:t>145</w:t>
      </w:r>
      <w:r>
        <w:rPr/>
        <w:t>亿美元，</w:t>
      </w:r>
      <w:r>
        <w:rPr/>
        <w:t>EBIT</w:t>
      </w:r>
      <w:r>
        <w:rPr/>
        <w:t>率每变一个百分点，在税率十五、归母七十七、</w:t>
      </w:r>
      <w:r>
        <w:rPr/>
        <w:t>87.5</w:t>
      </w:r>
      <w:r>
        <w:rPr/>
        <w:t>亿股、五十二倍和</w:t>
      </w:r>
      <w:r>
        <w:rPr/>
        <w:t>7.8</w:t>
      </w:r>
      <w:r>
        <w:rPr/>
        <w:t>汇率下，理论股价约变化</w:t>
      </w:r>
      <w:r>
        <w:rPr/>
        <w:t>4.40</w:t>
      </w:r>
      <w:r>
        <w:rPr/>
        <w:t>港元，</w:t>
      </w:r>
      <w:r>
        <w:rPr/>
        <w:t>EPS</w:t>
      </w:r>
      <w:r>
        <w:rPr/>
        <w:t>四位舍入略有影响。归母比例、股数和税不是无关参数，合资工厂扩产与收购会同时改变。模型情景不能把所有高端单独组合而称基准。</w:t>
      </w:r>
    </w:p>
    <w:p>
      <w:pPr>
        <w:pStyle w:val="Normal"/>
        <w:rPr/>
      </w:pPr>
      <w:r>
        <w:rPr/>
        <w:t>正常</w:t>
      </w:r>
      <w:r>
        <w:rPr/>
        <w:t>PE</w:t>
      </w:r>
      <w:r>
        <w:rPr/>
        <w:t>仍高于传统成熟制造，反映战略地位与增长溢价，缺少连续历史</w:t>
      </w:r>
      <w:r>
        <w:rPr/>
        <w:t>PE</w:t>
      </w:r>
      <w:r>
        <w:rPr/>
        <w:t>样本时不冒称历史均值。主模型明确倍数假设，</w:t>
      </w:r>
      <w:r>
        <w:rPr/>
        <w:t>PB</w:t>
      </w:r>
      <w:r>
        <w:rPr/>
        <w:t>只交叉，</w:t>
      </w:r>
      <w:r>
        <w:rPr/>
        <w:t>DCF</w:t>
      </w:r>
      <w:r>
        <w:rPr/>
        <w:t>需要逐厂资本更新与现金归属才能精确，当前不足不伪造。单套活动模型透明给出输入，修改后需整体刷新情景，不能将旧价格视作已更新。</w:t>
      </w:r>
    </w:p>
    <w:p>
      <w:pPr>
        <w:pStyle w:val="Heading2"/>
        <w:rPr/>
      </w:pPr>
      <w:r>
        <w:rPr>
          <w:color w:val="000000"/>
        </w:rPr>
        <w:t>三十三 机构目标与来源冲突</w:t>
      </w:r>
    </w:p>
    <w:p>
      <w:pPr>
        <w:pStyle w:val="Normal"/>
        <w:rPr/>
      </w:pPr>
      <w:r>
        <w:rPr/>
        <w:t>公开外资转述星展八月十九目标</w:t>
      </w:r>
      <w:r>
        <w:rPr/>
        <w:t>96</w:t>
      </w:r>
      <w:r>
        <w:rPr/>
        <w:t>港元、花旗八月十七</w:t>
      </w:r>
      <w:r>
        <w:rPr/>
        <w:t>100</w:t>
      </w:r>
      <w:r>
        <w:rPr/>
        <w:t>、高盛</w:t>
      </w:r>
      <w:r>
        <w:rPr/>
        <w:t>153</w:t>
      </w:r>
      <w:r>
        <w:rPr/>
        <w:t>、摩根大通</w:t>
      </w:r>
      <w:r>
        <w:rPr/>
        <w:t>78</w:t>
      </w:r>
      <w:r>
        <w:rPr/>
        <w:t>中性、大和</w:t>
      </w:r>
      <w:r>
        <w:rPr/>
        <w:t>40</w:t>
      </w:r>
      <w:r>
        <w:rPr/>
        <w:t>沽售、里昂</w:t>
      </w:r>
      <w:r>
        <w:rPr/>
        <w:t>97.5</w:t>
      </w:r>
      <w:r>
        <w:rPr/>
        <w:t>跑赢，差异很大。部分报告依赖</w:t>
      </w:r>
      <w:r>
        <w:rPr/>
        <w:t>PB</w:t>
      </w:r>
      <w:r>
        <w:rPr/>
        <w:t>，部分强调均价、折旧或战略地位。它们不是互相独立的未来概率，不以简单平均宣称一致预期，更不能直接取作年底期望。</w:t>
      </w:r>
    </w:p>
    <w:p>
      <w:pPr>
        <w:pStyle w:val="Normal"/>
        <w:rPr/>
      </w:pPr>
      <w:r>
        <w:rPr/>
        <w:t>花旗报道使用未来平均归母净资产与四倍</w:t>
      </w:r>
      <w:r>
        <w:rPr/>
        <w:t>PB</w:t>
      </w:r>
      <w:r>
        <w:rPr/>
        <w:t>，需要盈利和资本回报解释；大和报道写一部分季度利润和指引与官网不同，保留明确目标</w:t>
      </w:r>
      <w:r>
        <w:rPr/>
        <w:t>40</w:t>
      </w:r>
      <w:r>
        <w:rPr/>
        <w:t>和评级但不用于财务输入。主源第三季毛利二十六至二十八，新闻二十二至二十四冲突不能模糊处理。高盛</w:t>
      </w:r>
      <w:r>
        <w:rPr/>
        <w:t>153</w:t>
      </w:r>
      <w:r>
        <w:rPr/>
        <w:t>的盈利预测上调也是机构假设，非公司承诺。</w:t>
      </w:r>
    </w:p>
    <w:p>
      <w:pPr>
        <w:pStyle w:val="Normal"/>
        <w:rPr/>
      </w:pPr>
      <w:r>
        <w:rPr/>
        <w:t>全部资料为新闻转述，未取得完整原研报，目标期限缺失保持空值；里昂</w:t>
      </w:r>
      <w:r>
        <w:rPr/>
        <w:t>A</w:t>
      </w:r>
      <w:r>
        <w:rPr/>
        <w:t>股</w:t>
      </w:r>
      <w:r>
        <w:rPr/>
        <w:t>180.2</w:t>
      </w:r>
      <w:r>
        <w:rPr/>
        <w:t>元人民币不移到</w:t>
      </w:r>
      <w:r>
        <w:rPr/>
        <w:t>H</w:t>
      </w:r>
      <w:r>
        <w:rPr/>
        <w:t>股。最新九十天和重大业绩后报告优先，同机构去重，行业稿没有新公司价格不替换旧有效目标。机构看法用于解释估值分歧与风险，独立正常利润模型仍是推荐依据。</w:t>
      </w:r>
    </w:p>
    <w:p>
      <w:pPr>
        <w:pStyle w:val="Heading2"/>
        <w:rPr/>
      </w:pPr>
      <w:r>
        <w:rPr>
          <w:color w:val="000000"/>
        </w:rPr>
        <w:t>三十四 评分 反证与十年展望</w:t>
      </w:r>
    </w:p>
    <w:p>
      <w:pPr>
        <w:pStyle w:val="Normal"/>
        <w:rPr/>
      </w:pPr>
      <w:r>
        <w:rPr/>
        <w:t>半年六维</w:t>
      </w:r>
      <w:r>
        <w:rPr/>
        <w:t>2.8</w:t>
      </w:r>
      <w:r>
        <w:rPr/>
        <w:t>、</w:t>
      </w:r>
      <w:r>
        <w:rPr/>
        <w:t>1.6</w:t>
      </w:r>
      <w:r>
        <w:rPr/>
        <w:t>、</w:t>
      </w:r>
      <w:r>
        <w:rPr/>
        <w:t>3.6</w:t>
      </w:r>
      <w:r>
        <w:rPr/>
        <w:t>、</w:t>
      </w:r>
      <w:r>
        <w:rPr/>
        <w:t>4.2</w:t>
      </w:r>
      <w:r>
        <w:rPr/>
        <w:t>、</w:t>
      </w:r>
      <w:r>
        <w:rPr/>
        <w:t>3.8</w:t>
      </w:r>
      <w:r>
        <w:rPr/>
        <w:t>、</w:t>
      </w:r>
      <w:r>
        <w:rPr/>
        <w:t>2.7</w:t>
      </w:r>
      <w:r>
        <w:rPr/>
        <w:t>，一年</w:t>
      </w:r>
      <w:r>
        <w:rPr/>
        <w:t>3.1</w:t>
      </w:r>
      <w:r>
        <w:rPr/>
        <w:t>、</w:t>
      </w:r>
      <w:r>
        <w:rPr/>
        <w:t>1.6</w:t>
      </w:r>
      <w:r>
        <w:rPr/>
        <w:t>、</w:t>
      </w:r>
      <w:r>
        <w:rPr/>
        <w:t>3.8</w:t>
      </w:r>
      <w:r>
        <w:rPr/>
        <w:t>、</w:t>
      </w:r>
      <w:r>
        <w:rPr/>
        <w:t>4.3</w:t>
      </w:r>
      <w:r>
        <w:rPr/>
        <w:t>、</w:t>
      </w:r>
      <w:r>
        <w:rPr/>
        <w:t>4.0</w:t>
      </w:r>
      <w:r>
        <w:rPr/>
        <w:t>、</w:t>
      </w:r>
      <w:r>
        <w:rPr/>
        <w:t>2.7</w:t>
      </w:r>
      <w:r>
        <w:rPr/>
        <w:t>，三年</w:t>
      </w:r>
      <w:r>
        <w:rPr/>
        <w:t>3.4</w:t>
      </w:r>
      <w:r>
        <w:rPr/>
        <w:t>、</w:t>
      </w:r>
      <w:r>
        <w:rPr/>
        <w:t>1.6</w:t>
      </w:r>
      <w:r>
        <w:rPr/>
        <w:t>、</w:t>
      </w:r>
      <w:r>
        <w:rPr/>
        <w:t>4.1</w:t>
      </w:r>
      <w:r>
        <w:rPr/>
        <w:t>、</w:t>
      </w:r>
      <w:r>
        <w:rPr/>
        <w:t>4.5</w:t>
      </w:r>
      <w:r>
        <w:rPr/>
        <w:t>、</w:t>
      </w:r>
      <w:r>
        <w:rPr/>
        <w:t>3.9</w:t>
      </w:r>
      <w:r>
        <w:rPr/>
        <w:t>、</w:t>
      </w:r>
      <w:r>
        <w:rPr/>
        <w:t>2.5</w:t>
      </w:r>
      <w:r>
        <w:rPr/>
        <w:t>，五年</w:t>
      </w:r>
      <w:r>
        <w:rPr/>
        <w:t>3.3</w:t>
      </w:r>
      <w:r>
        <w:rPr/>
        <w:t>、</w:t>
      </w:r>
      <w:r>
        <w:rPr/>
        <w:t>1.6</w:t>
      </w:r>
      <w:r>
        <w:rPr/>
        <w:t>、</w:t>
      </w:r>
      <w:r>
        <w:rPr/>
        <w:t>4.2</w:t>
      </w:r>
      <w:r>
        <w:rPr/>
        <w:t>、</w:t>
      </w:r>
      <w:r>
        <w:rPr/>
        <w:t>4.5</w:t>
      </w:r>
      <w:r>
        <w:rPr/>
        <w:t>、</w:t>
      </w:r>
      <w:r>
        <w:rPr/>
        <w:t>3.8</w:t>
      </w:r>
      <w:r>
        <w:rPr/>
        <w:t>、</w:t>
      </w:r>
      <w:r>
        <w:rPr/>
        <w:t>2.3</w:t>
      </w:r>
      <w:r>
        <w:rPr/>
        <w:t>。统一标尺与权重计算，长期技术权重为零；行业高分承认市场和产业位置，财务分限制资本、归母与政策风险，分数不当获利概率。</w:t>
      </w:r>
    </w:p>
    <w:p>
      <w:pPr>
        <w:pStyle w:val="Normal"/>
        <w:rPr/>
      </w:pPr>
      <w:r>
        <w:rPr/>
        <w:t>推荐会被以下持续变化推翻：利用率与价格下降、折旧快于毛利增长、先进与特色平台无法经济量产、经营现金不足并需要过多稀释、合作厂利润无法转为归母、客户需求和设备支持受限。技术跌破只降低时机，业务与资本回报失败降低长期结论。每次更新要把价格、股数、会计、现金与来源一起复核。</w:t>
      </w:r>
    </w:p>
    <w:p>
      <w:pPr>
        <w:pStyle w:val="Normal"/>
        <w:rPr/>
      </w:pPr>
      <w:r>
        <w:rPr/>
        <w:t>十年理想路径是平台、可靠制造与国内客户形成持续服务，资本效率提高，成熟工艺和创新共同分散需求。失败路径是长期资本竞争、低回报扩产和技术受限，使产业规模很大而每股现金弱。公司战略可以改变，研究不预设成功或退出；只有盈利、现金与资本回报逐年验证，才能维持长期推荐和估值溢价。</w:t>
      </w:r>
    </w:p>
    <w:p>
      <w:pPr>
        <w:pStyle w:val="Heading2"/>
        <w:rPr/>
      </w:pPr>
      <w:r>
        <w:rPr>
          <w:color w:val="000000"/>
        </w:rPr>
        <w:t>来源与复核记录 不计有效正文</w:t>
      </w:r>
    </w:p>
    <w:p>
      <w:pPr>
        <w:pStyle w:val="Normal"/>
        <w:rPr/>
      </w:pPr>
      <w:r>
        <w:rPr/>
        <w:t xml:space="preserve">- </w:t>
      </w:r>
      <w:r>
        <w:rPr/>
        <w:t>官方</w:t>
      </w:r>
      <w:r>
        <w:rPr/>
        <w:t>2026Q2</w:t>
      </w:r>
      <w:r>
        <w:rPr/>
        <w:t>，</w:t>
      </w:r>
      <w:r>
        <w:rPr/>
        <w:t>2026</w:t>
      </w:r>
      <w:r>
        <w:rPr/>
        <w:t>年</w:t>
      </w:r>
      <w:r>
        <w:rPr/>
        <w:t>8</w:t>
      </w:r>
      <w:r>
        <w:rPr/>
        <w:t>月</w:t>
      </w:r>
      <w:r>
        <w:rPr/>
        <w:t>13</w:t>
      </w:r>
      <w:r>
        <w:rPr/>
        <w:t>日：</w:t>
      </w:r>
      <w:r>
        <w:rPr/>
        <w:t>[</w:t>
      </w:r>
      <w:r>
        <w:rPr/>
        <w:t>季度</w:t>
      </w:r>
      <w:r>
        <w:rPr/>
        <w:t>PDF](https://smic.cdn.shwebspace.com/uploads/6a7d7c4f/ER_EN.pdf)</w:t>
      </w:r>
      <w:r>
        <w:rPr/>
        <w:t>。本地</w:t>
      </w:r>
      <w:r>
        <w:rPr/>
        <w:t>data/tech_raw/smic_2026q2.pdf/txt</w:t>
      </w:r>
      <w:r>
        <w:rPr/>
        <w:t>；美元千元。</w:t>
      </w:r>
    </w:p>
    <w:p>
      <w:pPr>
        <w:pStyle w:val="Normal"/>
        <w:rPr/>
      </w:pPr>
      <w:r>
        <w:rPr/>
        <w:t xml:space="preserve">- </w:t>
      </w:r>
      <w:r>
        <w:rPr/>
        <w:t>官方</w:t>
      </w:r>
      <w:r>
        <w:rPr/>
        <w:t>2026</w:t>
      </w:r>
      <w:r>
        <w:rPr/>
        <w:t>中报，官网日期</w:t>
      </w:r>
      <w:r>
        <w:rPr/>
        <w:t>2026</w:t>
      </w:r>
      <w:r>
        <w:rPr/>
        <w:t>年</w:t>
      </w:r>
      <w:r>
        <w:rPr/>
        <w:t>9</w:t>
      </w:r>
      <w:r>
        <w:rPr/>
        <w:t>月</w:t>
      </w:r>
      <w:r>
        <w:rPr/>
        <w:t>4</w:t>
      </w:r>
      <w:r>
        <w:rPr/>
        <w:t>日：</w:t>
      </w:r>
      <w:r>
        <w:rPr/>
        <w:t>[</w:t>
      </w:r>
      <w:r>
        <w:rPr/>
        <w:t>中报</w:t>
      </w:r>
      <w:r>
        <w:rPr/>
        <w:t>](https://smic.cdn.shwebspace.com/uploads/6a9a8a01/AR_EN.pdf)</w:t>
      </w:r>
      <w:r>
        <w:rPr/>
        <w:t>。本地</w:t>
      </w:r>
      <w:r>
        <w:rPr/>
        <w:t>smic_2026interim.pdf/txt</w:t>
      </w:r>
      <w:r>
        <w:rPr/>
        <w:t>；非经常、准则差异、期末股数、收购与现金财表。</w:t>
      </w:r>
    </w:p>
    <w:p>
      <w:pPr>
        <w:pStyle w:val="Normal"/>
        <w:rPr/>
      </w:pPr>
      <w:r>
        <w:rPr/>
        <w:t xml:space="preserve">- </w:t>
      </w:r>
      <w:r>
        <w:rPr/>
        <w:t>官方</w:t>
      </w:r>
      <w:r>
        <w:rPr/>
        <w:t>2025</w:t>
      </w:r>
      <w:r>
        <w:rPr/>
        <w:t>年报，官网</w:t>
      </w:r>
      <w:r>
        <w:rPr/>
        <w:t>2026</w:t>
      </w:r>
      <w:r>
        <w:rPr/>
        <w:t>年</w:t>
      </w:r>
      <w:r>
        <w:rPr/>
        <w:t>4</w:t>
      </w:r>
      <w:r>
        <w:rPr/>
        <w:t>月</w:t>
      </w:r>
      <w:r>
        <w:rPr/>
        <w:t>9</w:t>
      </w:r>
      <w:r>
        <w:rPr/>
        <w:t>日：</w:t>
      </w:r>
      <w:r>
        <w:rPr/>
        <w:t>[</w:t>
      </w:r>
      <w:r>
        <w:rPr/>
        <w:t>年报</w:t>
      </w:r>
      <w:r>
        <w:rPr/>
        <w:t>](https://smic.cdn.shwebspace.com/uploads/AR_EN.pdf)</w:t>
      </w:r>
      <w:r>
        <w:rPr/>
        <w:t>。本地</w:t>
      </w:r>
      <w:r>
        <w:rPr/>
        <w:t>smic_2025annual.pdf/txt</w:t>
      </w:r>
      <w:r>
        <w:rPr/>
        <w:t>。官网日期在</w:t>
      </w:r>
      <w:r>
        <w:rPr/>
        <w:t>[</w:t>
      </w:r>
      <w:r>
        <w:rPr/>
        <w:t>财务资料页</w:t>
      </w:r>
      <w:r>
        <w:rPr/>
        <w:t>](https://www.smics.com/en/site/company_financialSummary)</w:t>
      </w:r>
      <w:r>
        <w:rPr/>
        <w:t>。英文表可读，局部中文字型提取警告未视为整份不可用。</w:t>
      </w:r>
    </w:p>
    <w:p>
      <w:pPr>
        <w:pStyle w:val="Normal"/>
        <w:rPr/>
      </w:pPr>
      <w:r>
        <w:rPr/>
        <w:t>- [</w:t>
      </w:r>
      <w:r>
        <w:rPr/>
        <w:t>花旗转述</w:t>
      </w:r>
      <w:r>
        <w:rPr/>
        <w:t>](https://www.aastocks.com/sc/stocks/analysis/stock-aafn-con/00981/AAFN/NOW.1538751/research-report)</w:t>
      </w:r>
      <w:r>
        <w:rPr/>
        <w:t>、</w:t>
      </w:r>
      <w:r>
        <w:rPr/>
        <w:t>[</w:t>
      </w:r>
      <w:r>
        <w:rPr/>
        <w:t>摩通</w:t>
      </w:r>
      <w:r>
        <w:rPr/>
        <w:t>](https://www.aastocks.com/sc/stocks/analysis/stock-aafn-con/00981/AAFN/NOW.1538713/research-report)</w:t>
      </w:r>
      <w:r>
        <w:rPr/>
        <w:t>、</w:t>
      </w:r>
      <w:r>
        <w:rPr/>
        <w:t>[</w:t>
      </w:r>
      <w:r>
        <w:rPr/>
        <w:t>大和冲突标记</w:t>
      </w:r>
      <w:r>
        <w:rPr/>
        <w:t>](https://www.aastocks.com/sc/stocks/analysis/stock-aafn-con/00981/AAFN/NOW.1538613/research-report)</w:t>
      </w:r>
      <w:r>
        <w:rPr/>
        <w:t>、</w:t>
      </w:r>
      <w:r>
        <w:rPr/>
        <w:t>[</w:t>
      </w:r>
      <w:r>
        <w:rPr/>
        <w:t>高盛</w:t>
      </w:r>
      <w:r>
        <w:rPr/>
        <w:t>](https://www.aastocks.com/sc/stocks/analysis/stock-aafn-con/00981/AAFN/NOW.1538600/research-report)</w:t>
      </w:r>
      <w:r>
        <w:rPr/>
        <w:t>。全部新闻转载，原研报和明确期限未核。</w:t>
      </w:r>
    </w:p>
    <w:p>
      <w:pPr>
        <w:pStyle w:val="Normal"/>
        <w:rPr/>
      </w:pPr>
      <w:r>
        <w:rPr/>
        <w:t xml:space="preserve">- </w:t>
      </w:r>
      <w:r>
        <w:rPr/>
        <w:t>锁版</w:t>
      </w:r>
      <w:r>
        <w:rPr/>
        <w:t>data/market_snapshot_locked.json</w:t>
      </w:r>
      <w:r>
        <w:rPr/>
        <w:t>、</w:t>
      </w:r>
      <w:r>
        <w:rPr/>
        <w:t>data/history/S103.json</w:t>
      </w:r>
      <w:r>
        <w:rPr/>
        <w:t>；模型</w:t>
      </w:r>
      <w:r>
        <w:rPr/>
        <w:t>data/smic_model.json</w:t>
      </w:r>
      <w:r>
        <w:rPr/>
        <w:t>；独立字数、重复及</w:t>
      </w:r>
      <w:r>
        <w:rPr/>
        <w:t>15</w:t>
      </w:r>
      <w:r>
        <w:rPr/>
        <w:t>情景复算</w:t>
      </w:r>
      <w:r>
        <w:rPr/>
        <w:t>qa/smic_qa.json</w:t>
      </w:r>
      <w:r>
        <w:rPr/>
        <w:t>。未来收入、利润率、税、归母比例、股数、</w:t>
      </w:r>
      <w:r>
        <w:rPr/>
        <w:t>PE</w:t>
      </w:r>
      <w:r>
        <w:rPr/>
        <w:t>和</w:t>
      </w:r>
      <w:r>
        <w:rPr/>
        <w:t>FX</w:t>
      </w:r>
      <w:r>
        <w:rPr/>
        <w:t>全部研究假设，非实际业绩。</w:t>
      </w:r>
      <w:r>
        <w:br w:type="page"/>
      </w:r>
    </w:p>
    <w:p>
      <w:pPr>
        <w:pStyle w:val="Heading1"/>
        <w:rPr/>
      </w:pPr>
      <w:bookmarkStart w:id="7" w:name="__RefHeading___Toc37117_312338234"/>
      <w:bookmarkEnd w:id="7"/>
      <w:r>
        <w:rPr>
          <w:color w:val="000000"/>
        </w:rPr>
        <w:t xml:space="preserve">华虹宏力 </w:t>
      </w:r>
      <w:r>
        <w:rPr>
          <w:color w:val="000000"/>
        </w:rPr>
        <w:t>01347 HK</w:t>
      </w:r>
    </w:p>
    <w:p>
      <w:pPr>
        <w:pStyle w:val="Normal"/>
        <w:rPr/>
      </w:pPr>
      <w:r>
        <w:rPr/>
        <w:t xml:space="preserve">01347.HK </w:t>
      </w:r>
      <w:r>
        <w:rPr/>
        <w:t xml:space="preserve">现价 </w:t>
      </w:r>
      <w:r>
        <w:rPr/>
        <w:t>94.55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112.23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123.85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+30.99%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137.30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+45.21%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+45.85%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145.49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+53.88%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+55.25%</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-50.93%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100.89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156.16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+65.16%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101.09HKD</w:t>
      </w:r>
      <w:r>
        <w:rPr/>
        <w:t>，期望股价回报</w:t>
      </w:r>
      <w:r>
        <w:rPr/>
        <w:t>+6.91%</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38.86</w:t>
              <w:br/>
              <w:t>-58.90%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112.23</w:t>
              <w:br/>
              <w:t>+18.70%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179.26</w:t>
              <w:br/>
              <w:t>+89.59%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31.02</w:t>
              <w:br/>
              <w:t>-67.19%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123.85</w:t>
              <w:br/>
              <w:t>+30.99%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199.84</w:t>
              <w:br/>
              <w:t>+111.36%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18.86</w:t>
              <w:br/>
              <w:t>-80.05%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137.30</w:t>
              <w:br/>
              <w:t>+45.21%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233.31</w:t>
              <w:br/>
              <w:t>+146.76%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14.22</w:t>
              <w:br/>
              <w:t>-84.96%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145.49</w:t>
              <w:br/>
              <w:t>+53.88%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264.54</w:t>
              <w:br/>
              <w:t>+179.79%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+9.20%</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中：锁定行情与</w:t>
            </w:r>
            <w:r>
              <w:rPr>
                <w:rFonts w:eastAsia="微软雅黑" w:ascii="微软雅黑" w:hAnsi="微软雅黑"/>
                <w:sz w:val="17"/>
              </w:rPr>
              <w:t>H1/FY</w:t>
            </w:r>
            <w:r>
              <w:rPr>
                <w:rFonts w:ascii="微软雅黑" w:hAnsi="微软雅黑" w:eastAsia="微软雅黑"/>
                <w:sz w:val="17"/>
              </w:rPr>
              <w:t>原件高；</w:t>
            </w:r>
            <w:r>
              <w:rPr>
                <w:rFonts w:eastAsia="微软雅黑" w:ascii="微软雅黑" w:hAnsi="微软雅黑"/>
                <w:sz w:val="17"/>
              </w:rPr>
              <w:t>9/9</w:t>
            </w:r>
            <w:r>
              <w:rPr>
                <w:rFonts w:ascii="微软雅黑" w:hAnsi="微软雅黑" w:eastAsia="微软雅黑"/>
                <w:sz w:val="17"/>
              </w:rPr>
              <w:t>组合具体权益及新资产盈利未公开、长期</w:t>
            </w:r>
            <w:r>
              <w:rPr>
                <w:rFonts w:eastAsia="微软雅黑" w:ascii="微软雅黑" w:hAnsi="微软雅黑"/>
                <w:sz w:val="17"/>
              </w:rPr>
              <w:t>ROE/PB/</w:t>
            </w:r>
            <w:r>
              <w:rPr>
                <w:rFonts w:ascii="微软雅黑" w:hAnsi="微软雅黑" w:eastAsia="微软雅黑"/>
                <w:sz w:val="17"/>
              </w:rPr>
              <w:t>融资</w:t>
            </w:r>
            <w:r>
              <w:rPr>
                <w:rFonts w:eastAsia="微软雅黑" w:ascii="微软雅黑" w:hAnsi="微软雅黑"/>
                <w:sz w:val="17"/>
              </w:rPr>
              <w:t>/</w:t>
            </w:r>
            <w:r>
              <w:rPr>
                <w:rFonts w:ascii="微软雅黑" w:hAnsi="微软雅黑" w:eastAsia="微软雅黑"/>
                <w:sz w:val="17"/>
              </w:rPr>
              <w:t>归属中低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+24.63%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+24.54%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+37.65%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+38.56%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+45.85%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+53.14%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+55.25%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+63.01%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I071</w:t>
      </w:r>
      <w:r>
        <w:rPr/>
        <w:t>，证券</w:t>
      </w:r>
      <w:r>
        <w:rPr/>
        <w:t>S081</w:t>
      </w:r>
      <w:r>
        <w:rPr/>
        <w:t>，</w:t>
      </w:r>
      <w:r>
        <w:rPr/>
        <w:t>01347.HK</w:t>
      </w:r>
      <w:r>
        <w:rPr/>
        <w:t>。研究初版，统一价格及资料截止</w:t>
      </w:r>
      <w:r>
        <w:rPr/>
        <w:t>2026-10-09</w:t>
      </w:r>
      <w:r>
        <w:rPr/>
        <w:t>，锁定收盘</w:t>
      </w:r>
      <w:r>
        <w:rPr/>
        <w:t>94.55</w:t>
      </w:r>
      <w:r>
        <w:rPr/>
        <w:t>港元；公司美元列报，活动模型美元兑港币</w:t>
      </w:r>
      <w:r>
        <w:rPr/>
        <w:t>7.80</w:t>
      </w:r>
      <w:r>
        <w:rPr/>
        <w:t>为研究假设，非声称截止即期。用户名单未包含该公司</w:t>
      </w:r>
      <w:r>
        <w:rPr/>
        <w:t>A</w:t>
      </w:r>
      <w:r>
        <w:rPr/>
        <w:t>股，但所有普通股纳入归母每股分母。正文标题、元数据、结论卡、表格、来源及共用宏观不计有效汉字。</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悲观／基准／乐观港元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基本面复苏、量价下降待修复</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38.86</w:t>
            </w:r>
            <w:r>
              <w:rPr>
                <w:rFonts w:ascii="微软雅黑" w:hAnsi="微软雅黑" w:eastAsia="微软雅黑"/>
                <w:sz w:val="17"/>
              </w:rPr>
              <w:t>／</w:t>
            </w:r>
            <w:r>
              <w:rPr>
                <w:rFonts w:eastAsia="微软雅黑" w:ascii="微软雅黑" w:hAnsi="微软雅黑"/>
                <w:sz w:val="17"/>
              </w:rPr>
              <w:t>112.23</w:t>
            </w:r>
            <w:r>
              <w:rPr>
                <w:rFonts w:ascii="微软雅黑" w:hAnsi="微软雅黑" w:eastAsia="微软雅黑"/>
                <w:sz w:val="17"/>
              </w:rPr>
              <w:t>／</w:t>
            </w:r>
            <w:r>
              <w:rPr>
                <w:rFonts w:eastAsia="微软雅黑" w:ascii="微软雅黑" w:hAnsi="微软雅黑"/>
                <w:sz w:val="17"/>
              </w:rPr>
              <w:t>179.26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18.70%</w:t>
            </w:r>
            <w:r>
              <w:rPr>
                <w:rFonts w:ascii="微软雅黑" w:hAnsi="微软雅黑" w:eastAsia="微软雅黑"/>
                <w:sz w:val="17"/>
              </w:rPr>
              <w:t>／</w:t>
            </w:r>
            <w:r>
              <w:rPr>
                <w:rFonts w:eastAsia="微软雅黑" w:ascii="微软雅黑" w:hAnsi="微软雅黑"/>
                <w:sz w:val="17"/>
              </w:rPr>
              <w:t>18.70%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收购与特色需求正常回报候选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31.02</w:t>
            </w:r>
            <w:r>
              <w:rPr>
                <w:rFonts w:ascii="微软雅黑" w:hAnsi="微软雅黑" w:eastAsia="微软雅黑"/>
                <w:sz w:val="17"/>
              </w:rPr>
              <w:t>／</w:t>
            </w:r>
            <w:r>
              <w:rPr>
                <w:rFonts w:eastAsia="微软雅黑" w:ascii="微软雅黑" w:hAnsi="微软雅黑"/>
                <w:sz w:val="17"/>
              </w:rPr>
              <w:t>123.85</w:t>
            </w:r>
            <w:r>
              <w:rPr>
                <w:rFonts w:ascii="微软雅黑" w:hAnsi="微软雅黑" w:eastAsia="微软雅黑"/>
                <w:sz w:val="17"/>
              </w:rPr>
              <w:t>／</w:t>
            </w:r>
            <w:r>
              <w:rPr>
                <w:rFonts w:eastAsia="微软雅黑" w:ascii="微软雅黑" w:hAnsi="微软雅黑"/>
                <w:sz w:val="17"/>
              </w:rPr>
              <w:t>199.84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30.99%</w:t>
            </w:r>
            <w:r>
              <w:rPr>
                <w:rFonts w:ascii="微软雅黑" w:hAnsi="微软雅黑" w:eastAsia="微软雅黑"/>
                <w:sz w:val="17"/>
              </w:rPr>
              <w:t>／</w:t>
            </w:r>
            <w:r>
              <w:rPr>
                <w:rFonts w:eastAsia="微软雅黑" w:ascii="微软雅黑" w:hAnsi="微软雅黑"/>
                <w:sz w:val="17"/>
              </w:rPr>
              <w:t>31.09%</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特色平台成长但资本回报约束</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18.86</w:t>
            </w:r>
            <w:r>
              <w:rPr>
                <w:rFonts w:ascii="微软雅黑" w:hAnsi="微软雅黑" w:eastAsia="微软雅黑"/>
                <w:sz w:val="17"/>
              </w:rPr>
              <w:t>／</w:t>
            </w:r>
            <w:r>
              <w:rPr>
                <w:rFonts w:eastAsia="微软雅黑" w:ascii="微软雅黑" w:hAnsi="微软雅黑"/>
                <w:sz w:val="17"/>
              </w:rPr>
              <w:t>137.30</w:t>
            </w:r>
            <w:r>
              <w:rPr>
                <w:rFonts w:ascii="微软雅黑" w:hAnsi="微软雅黑" w:eastAsia="微软雅黑"/>
                <w:sz w:val="17"/>
              </w:rPr>
              <w:t>／</w:t>
            </w:r>
            <w:r>
              <w:rPr>
                <w:rFonts w:eastAsia="微软雅黑" w:ascii="微软雅黑" w:hAnsi="微软雅黑"/>
                <w:sz w:val="17"/>
              </w:rPr>
              <w:t>233.31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45.21%</w:t>
            </w:r>
            <w:r>
              <w:rPr>
                <w:rFonts w:ascii="微软雅黑" w:hAnsi="微软雅黑" w:eastAsia="微软雅黑"/>
                <w:sz w:val="17"/>
              </w:rPr>
              <w:t>／</w:t>
            </w:r>
            <w:r>
              <w:rPr>
                <w:rFonts w:eastAsia="微软雅黑" w:ascii="微软雅黑" w:hAnsi="微软雅黑"/>
                <w:sz w:val="17"/>
              </w:rPr>
              <w:t>45.85%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需跨周期现金与</w:t>
            </w:r>
            <w:r>
              <w:rPr>
                <w:rFonts w:eastAsia="微软雅黑" w:ascii="微软雅黑" w:hAnsi="微软雅黑"/>
                <w:sz w:val="17"/>
              </w:rPr>
              <w:t>ROE</w:t>
            </w:r>
            <w:r>
              <w:rPr>
                <w:rFonts w:ascii="微软雅黑" w:hAnsi="微软雅黑" w:eastAsia="微软雅黑"/>
                <w:sz w:val="17"/>
              </w:rPr>
              <w:t>验证</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14.22</w:t>
            </w:r>
            <w:r>
              <w:rPr>
                <w:rFonts w:ascii="微软雅黑" w:hAnsi="微软雅黑" w:eastAsia="微软雅黑"/>
                <w:sz w:val="17"/>
              </w:rPr>
              <w:t>／</w:t>
            </w:r>
            <w:r>
              <w:rPr>
                <w:rFonts w:eastAsia="微软雅黑" w:ascii="微软雅黑" w:hAnsi="微软雅黑"/>
                <w:sz w:val="17"/>
              </w:rPr>
              <w:t>145.49</w:t>
            </w:r>
            <w:r>
              <w:rPr>
                <w:rFonts w:ascii="微软雅黑" w:hAnsi="微软雅黑" w:eastAsia="微软雅黑"/>
                <w:sz w:val="17"/>
              </w:rPr>
              <w:t>／</w:t>
            </w:r>
            <w:r>
              <w:rPr>
                <w:rFonts w:eastAsia="微软雅黑" w:ascii="微软雅黑" w:hAnsi="微软雅黑"/>
                <w:sz w:val="17"/>
              </w:rPr>
              <w:t>264.54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53.88%</w:t>
            </w:r>
            <w:r>
              <w:rPr>
                <w:rFonts w:ascii="微软雅黑" w:hAnsi="微软雅黑" w:eastAsia="微软雅黑"/>
                <w:sz w:val="17"/>
              </w:rPr>
              <w:t>／</w:t>
            </w:r>
            <w:r>
              <w:rPr>
                <w:rFonts w:eastAsia="微软雅黑" w:ascii="微软雅黑" w:hAnsi="微软雅黑"/>
                <w:sz w:val="17"/>
              </w:rPr>
              <w:t>55.25%</w:t>
            </w:r>
          </w:p>
        </w:tc>
      </w:tr>
    </w:tbl>
    <w:p>
      <w:pPr>
        <w:pStyle w:val="Normal"/>
        <w:rPr/>
      </w:pPr>
      <w:r>
        <w:rPr/>
      </w:r>
    </w:p>
    <w:p>
      <w:pPr>
        <w:pStyle w:val="Normal"/>
        <w:rPr/>
      </w:pPr>
      <w:r>
        <w:rPr/>
        <w:t>未来累计现金息半年</w:t>
      </w:r>
      <w:r>
        <w:rPr/>
        <w:t>0</w:t>
      </w:r>
      <w:r>
        <w:rPr/>
        <w:t>／</w:t>
      </w:r>
      <w:r>
        <w:rPr/>
        <w:t>0</w:t>
      </w:r>
      <w:r>
        <w:rPr/>
        <w:t>／</w:t>
      </w:r>
      <w:r>
        <w:rPr/>
        <w:t>0</w:t>
      </w:r>
      <w:r>
        <w:rPr/>
        <w:t>，一年</w:t>
      </w:r>
      <w:r>
        <w:rPr/>
        <w:t>0</w:t>
      </w:r>
      <w:r>
        <w:rPr/>
        <w:t>／</w:t>
      </w:r>
      <w:r>
        <w:rPr/>
        <w:t>0.10</w:t>
      </w:r>
      <w:r>
        <w:rPr/>
        <w:t>／</w:t>
      </w:r>
      <w:r>
        <w:rPr/>
        <w:t>0.20</w:t>
      </w:r>
      <w:r>
        <w:rPr/>
        <w:t>，三年</w:t>
      </w:r>
      <w:r>
        <w:rPr/>
        <w:t>0</w:t>
      </w:r>
      <w:r>
        <w:rPr/>
        <w:t>／</w:t>
      </w:r>
      <w:r>
        <w:rPr/>
        <w:t>0.60</w:t>
      </w:r>
      <w:r>
        <w:rPr/>
        <w:t>／</w:t>
      </w:r>
      <w:r>
        <w:rPr/>
        <w:t>1.20</w:t>
      </w:r>
      <w:r>
        <w:rPr/>
        <w:t>，五年</w:t>
      </w:r>
      <w:r>
        <w:rPr/>
        <w:t>0</w:t>
      </w:r>
      <w:r>
        <w:rPr/>
        <w:t>／</w:t>
      </w:r>
      <w:r>
        <w:rPr/>
        <w:t>1.30</w:t>
      </w:r>
      <w:r>
        <w:rPr/>
        <w:t>／</w:t>
      </w:r>
      <w:r>
        <w:rPr/>
        <w:t>3</w:t>
      </w:r>
      <w:r>
        <w:rPr/>
        <w:t>港元，研究假设；基准三年、五年含息年化</w:t>
      </w:r>
      <w:r>
        <w:rPr/>
        <w:t>13.41%</w:t>
      </w:r>
      <w:r>
        <w:rPr/>
        <w:t>、</w:t>
      </w:r>
      <w:r>
        <w:rPr/>
        <w:t>9.20%</w:t>
      </w:r>
      <w:r>
        <w:rPr/>
        <w:t>。</w:t>
      </w:r>
      <w:r>
        <w:rPr/>
        <w:t>FY2025</w:t>
      </w:r>
      <w:r>
        <w:rPr/>
        <w:t>及</w:t>
      </w:r>
      <w:r>
        <w:rPr/>
        <w:t>H12026</w:t>
      </w:r>
      <w:r>
        <w:rPr/>
        <w:t>均未分红，不把</w:t>
      </w:r>
      <w:r>
        <w:rPr/>
        <w:t>2024</w:t>
      </w:r>
      <w:r>
        <w:rPr/>
        <w:t>已付息重复加未来。名次与差距小于</w:t>
      </w:r>
      <w:r>
        <w:rPr/>
        <w:t>3</w:t>
      </w:r>
      <w:r>
        <w:rPr/>
        <w:t>分梯队由总表统一计算；评分不是获利概率。</w:t>
      </w:r>
    </w:p>
    <w:p>
      <w:pPr>
        <w:pStyle w:val="Normal"/>
        <w:rPr/>
      </w:pPr>
      <w:r>
        <w:rPr/>
        <w:t>年底</w:t>
      </w:r>
      <w:r>
        <w:rPr/>
        <w:t>46.40</w:t>
      </w:r>
      <w:r>
        <w:rPr/>
        <w:t>／</w:t>
      </w:r>
      <w:r>
        <w:rPr/>
        <w:t>100.89</w:t>
      </w:r>
      <w:r>
        <w:rPr/>
        <w:t>／</w:t>
      </w:r>
      <w:r>
        <w:rPr/>
        <w:t>156.16</w:t>
      </w:r>
      <w:r>
        <w:rPr/>
        <w:t>港元，涨跌−</w:t>
      </w:r>
      <w:r>
        <w:rPr/>
        <w:t>50.93%</w:t>
      </w:r>
      <w:r>
        <w:rPr/>
        <w:t>／</w:t>
      </w:r>
      <w:r>
        <w:rPr/>
        <w:t>+6.71%</w:t>
      </w:r>
      <w:r>
        <w:rPr/>
        <w:t>／</w:t>
      </w:r>
      <w:r>
        <w:rPr/>
        <w:t>+65.16%</w:t>
      </w:r>
      <w:r>
        <w:rPr/>
        <w:t>；</w:t>
      </w:r>
      <w:r>
        <w:rPr/>
        <w:t>25%</w:t>
      </w:r>
      <w:r>
        <w:rPr/>
        <w:t>／</w:t>
      </w:r>
      <w:r>
        <w:rPr/>
        <w:t>50%</w:t>
      </w:r>
      <w:r>
        <w:rPr/>
        <w:t>／</w:t>
      </w:r>
      <w:r>
        <w:rPr/>
        <w:t>25%</w:t>
      </w:r>
      <w:r>
        <w:rPr/>
        <w:t>判断权重期望</w:t>
      </w:r>
      <w:r>
        <w:rPr/>
        <w:t>101.085</w:t>
      </w:r>
      <w:r>
        <w:rPr/>
        <w:t>港元、</w:t>
      </w:r>
      <w:r>
        <w:rPr/>
        <w:t>+6.91%</w:t>
      </w:r>
      <w:r>
        <w:rPr/>
        <w:t>。防御</w:t>
      </w:r>
      <w:r>
        <w:rPr/>
        <w:t>40%</w:t>
      </w:r>
      <w:r>
        <w:rPr/>
        <w:t>／</w:t>
      </w:r>
      <w:r>
        <w:rPr/>
        <w:t>50%</w:t>
      </w:r>
      <w:r>
        <w:rPr/>
        <w:t>／</w:t>
      </w:r>
      <w:r>
        <w:rPr/>
        <w:t>10%</w:t>
      </w:r>
      <w:r>
        <w:rPr/>
        <w:t>为</w:t>
      </w:r>
      <w:r>
        <w:rPr/>
        <w:t>84.621</w:t>
      </w:r>
      <w:r>
        <w:rPr/>
        <w:t>港元、−</w:t>
      </w:r>
      <w:r>
        <w:rPr/>
        <w:t>10.50%</w:t>
      </w:r>
      <w:r>
        <w:rPr/>
        <w:t>；积极</w:t>
      </w:r>
      <w:r>
        <w:rPr/>
        <w:t>10%</w:t>
      </w:r>
      <w:r>
        <w:rPr/>
        <w:t>／</w:t>
      </w:r>
      <w:r>
        <w:rPr/>
        <w:t>50%</w:t>
      </w:r>
      <w:r>
        <w:rPr/>
        <w:t>／</w:t>
      </w:r>
      <w:r>
        <w:rPr/>
        <w:t>40%</w:t>
      </w:r>
      <w:r>
        <w:rPr/>
        <w:t>为</w:t>
      </w:r>
      <w:r>
        <w:rPr/>
        <w:t>117.549</w:t>
      </w:r>
      <w:r>
        <w:rPr/>
        <w:t>港元、</w:t>
      </w:r>
      <w:r>
        <w:rPr/>
        <w:t>+24.32%</w:t>
      </w:r>
      <w:r>
        <w:rPr/>
        <w:t>。权重是研究假设，价格区间不是统计置信区间或最大损失界限。</w:t>
      </w:r>
    </w:p>
    <w:p>
      <w:pPr>
        <w:pStyle w:val="Normal"/>
        <w:rPr/>
      </w:pPr>
      <w:r>
        <w:rPr/>
        <w:t>关键风险：成熟产能周期、价格与折旧、工厂归属和少数股东、同控制净资产处理、资本开支和债务、未来配套融资及奖励、</w:t>
      </w:r>
      <w:r>
        <w:rPr/>
        <w:t>OCI</w:t>
      </w:r>
      <w:r>
        <w:rPr/>
        <w:t>非现金、关联交易、出口与全球需求、</w:t>
      </w:r>
      <w:r>
        <w:rPr/>
        <w:t>JVIII</w:t>
      </w:r>
      <w:r>
        <w:rPr/>
        <w:t>固定回报赎回。推荐成立需特色订单与价格改善转化为每股正常现金和资本回报，不能只靠产能、补助、净资或股价回撤。证据可信度中：原件财务行情高，</w:t>
      </w:r>
      <w:r>
        <w:rPr/>
        <w:t>9/9</w:t>
      </w:r>
      <w:r>
        <w:rPr/>
        <w:t>后具体合并权益、长期</w:t>
      </w:r>
      <w:r>
        <w:rPr/>
        <w:t>ROE</w:t>
      </w:r>
      <w:r>
        <w:rPr/>
        <w:t>与</w:t>
      </w:r>
      <w:r>
        <w:rPr/>
        <w:t>PB/</w:t>
      </w:r>
      <w:r>
        <w:rPr/>
        <w:t>融资假设中低。</w:t>
      </w:r>
    </w:p>
    <w:p>
      <w:pPr>
        <w:pStyle w:val="Heading2"/>
        <w:rPr/>
      </w:pPr>
      <w:r>
        <w:rPr>
          <w:color w:val="000000"/>
        </w:rPr>
        <w:t>一 特色代工与每股经济价值</w:t>
      </w:r>
    </w:p>
    <w:p>
      <w:pPr>
        <w:pStyle w:val="Normal"/>
        <w:rPr/>
      </w:pPr>
      <w:r>
        <w:rPr/>
        <w:t>华虹的经营价值来自特色工艺、量产可靠性和客户认证，服务嵌入式及独立非易失性存储、功率器件、模拟电源、逻辑与射频。它并不以生产最先进通用计算芯片为唯一方向，成熟节点在电源、汽车、工业和消费设备中仍有重要用途。人工智能可能提高相关芯片需求，却不能把所有算力投资归为华虹的收入。研究从平台、工厂、毛利、折旧和每股归属回报逐层判断成长。</w:t>
      </w:r>
    </w:p>
    <w:p>
      <w:pPr>
        <w:pStyle w:val="Normal"/>
        <w:rPr/>
      </w:pPr>
      <w:r>
        <w:rPr/>
        <w:t>公司有技术迁移与本土供应链成长机会，当前经营也出现量价恢复，但代工需要很高资本投入。新增厂房与设备可以扩大未来收入，短期折旧和融资压力也会增加；即使利用率很高，旧设备、新设备和不同归属工厂的盈利仍不同。进取投资不是忽略资本成本，而是判断成长能否提供超额回报。模型重点看正常归母利润、每股净资、融资稀释和现金，避免只按收入增速排序。</w:t>
      </w:r>
    </w:p>
    <w:p>
      <w:pPr>
        <w:pStyle w:val="Normal"/>
        <w:rPr/>
      </w:pPr>
      <w:r>
        <w:rPr/>
        <w:t>本章四期限结果体现一年和三年优于半年，五年评分再下调。半年技术趋势弱，收购后资产需要报告确认；三年允许特色工艺、价格和规模带来经营改善；五年面对持续扩产、竞争和资本效率。远期仍有上涨空间，但基准年化明显低于部分更轻资本的科技公司。单章分数提供可比输入，最终名次必须与全名单统一计算，不因行业热度直接确定最高推荐。</w:t>
      </w:r>
    </w:p>
    <w:p>
      <w:pPr>
        <w:pStyle w:val="Heading2"/>
        <w:rPr/>
      </w:pPr>
      <w:r>
        <w:rPr>
          <w:color w:val="000000"/>
        </w:rPr>
        <w:t>二 身份 名称与信息截止</w:t>
      </w:r>
    </w:p>
    <w:p>
      <w:pPr>
        <w:pStyle w:val="Normal"/>
        <w:rPr/>
      </w:pPr>
      <w:r>
        <w:rPr/>
        <w:t>用户代码对应香港上市华虹宏力，另有境内普通股在科创板上市，属于同一发行人。公司于六月披露名称和简称改变，既有历史华虹半导体资料与当前华虹宏力应通过同一发行人识别。名单虽未要求独立推荐该公司境内股价，</w:t>
      </w:r>
      <w:r>
        <w:rPr/>
        <w:t>A</w:t>
      </w:r>
      <w:r>
        <w:rPr/>
        <w:t>股仍分享全部归母资产与利润，不能只用香港股数作为每股分母。每股盈利、净资产和稀释均按全普通股计算。</w:t>
      </w:r>
    </w:p>
    <w:p>
      <w:pPr>
        <w:pStyle w:val="Normal"/>
        <w:rPr/>
      </w:pPr>
      <w:r>
        <w:rPr/>
        <w:t>二零二五年年度业绩三月二十六日收盘后公开，年报四月九日收盘后；第二季度业绩八月十三日收盘后，中期正式业绩八月二十六日收盘后，中期报告九月二日收盘后。九月收购完成、十月修订月报和两份十月八日中文监管公告均属于截止信息。报告日期、经营期间、交易完成和公告时间各有意义，不能将未来第三季度结果或十月二十二日会议决议回填。</w:t>
      </w:r>
    </w:p>
    <w:p>
      <w:pPr>
        <w:pStyle w:val="Normal"/>
        <w:rPr/>
      </w:pPr>
      <w:r>
        <w:rPr/>
        <w:t>研究价格严格锁定九十四点五五港元，日线、周线与量能来自同一行情版本。机构新闻中出现较早的一百三十至一百五十港元交易价，不是当前基准；目标报告价格不能替代独立收盘核验。截止后公司可能重列合并资料，那应形成新数据版本。当前未知的组合资产、期间盈利和融资进程以显式假设表示，不把新闻的笼统并表描述写成已经审计的财务数字。</w:t>
      </w:r>
    </w:p>
    <w:p>
      <w:pPr>
        <w:pStyle w:val="Heading2"/>
        <w:rPr/>
      </w:pPr>
      <w:r>
        <w:rPr>
          <w:color w:val="000000"/>
        </w:rPr>
        <w:t>三 业务平台与披露层级</w:t>
      </w:r>
    </w:p>
    <w:p>
      <w:pPr>
        <w:pStyle w:val="Normal"/>
        <w:rPr/>
      </w:pPr>
      <w:r>
        <w:rPr/>
        <w:t>公司采用八英寸与十二英寸、特色集成电路与功率分立两条技术布局，关键在满足客户性能、成本与可靠性，而非每个产品都必须进入最小节点。嵌入式存储与微控制器需要工艺和设计适配，模拟电源与功率器件重视电压、导通和寿命，逻辑射频则有不同需求。技术能力不能仅用节点大小排序，量产良率、客户验证和单位晶圆回报同样重要。</w:t>
      </w:r>
    </w:p>
    <w:p>
      <w:pPr>
        <w:pStyle w:val="Normal"/>
        <w:rPr/>
      </w:pPr>
      <w:r>
        <w:rPr/>
        <w:t>第二季度平台收入嵌入式非易失存储约二亿美元、独立存储六千八百八十万美元，功率分立一点八二亿美元、逻辑射频八千三百二十万美元、模拟电源一点八三亿美元。它们合计对应同一总收入，并非五家独立企业。公开资料未提供各平台完整毛利、资本和现金，不能给每个平台统一利润率后声称精确分部估值。本章用平台解释需求，用产权工厂组合研究桥测正常回报。</w:t>
      </w:r>
    </w:p>
    <w:p>
      <w:pPr>
        <w:pStyle w:val="Normal"/>
        <w:rPr/>
      </w:pPr>
      <w:r>
        <w:rPr/>
        <w:t>终端消费约占二季度收入六成七，工业汽车两成三，通信近九个百分点，计算仅一点六个百分点。计算分类很小，不意味着所有人工智能间接需求为零，但也不能称大部分销售已经来自人工智能计算芯片。电源、存储与控制可能分散在不同终端口径，具体人工智能占比未披露。研究承认需求传导和分类限制，不为提高成长评分重新指定所有消费或功率销售为确定</w:t>
      </w:r>
      <w:r>
        <w:rPr/>
        <w:t>AI</w:t>
      </w:r>
      <w:r>
        <w:rPr/>
        <w:t>收入。</w:t>
      </w:r>
    </w:p>
    <w:p>
      <w:pPr>
        <w:pStyle w:val="Heading2"/>
        <w:rPr/>
      </w:pPr>
      <w:r>
        <w:rPr>
          <w:color w:val="000000"/>
        </w:rPr>
        <w:t>四 嵌入式存储与微控制器</w:t>
      </w:r>
    </w:p>
    <w:p>
      <w:pPr>
        <w:pStyle w:val="Normal"/>
        <w:rPr/>
      </w:pPr>
      <w:r>
        <w:rPr/>
        <w:t>嵌入式非易失性存储与微控制器把程序和数据存储同控制逻辑结合，适用于汽车、工业、智能卡和消费设备。客户对寿命、稳定性和可编程需求形成工艺验证门槛，产品在成熟节点仍有价值。第二季度相关收入同比增长约四成二，支持需求恢复和平台采用。增长需要区分销量、价格、客户结构与产能，新项目可能先验证再放量，不应直接用行业控制器出货量推算全部收入。</w:t>
      </w:r>
    </w:p>
    <w:p>
      <w:pPr>
        <w:pStyle w:val="Normal"/>
        <w:rPr/>
      </w:pPr>
      <w:r>
        <w:rPr/>
        <w:t>公司中报披露四十纳米嵌入闪存进入风险生产、车规五十五纳米进入产品采用，与海外客户合作的四十纳米微控制器量产。这些阶段具有不同商业含义，风险生产不是全部成功认证，量产也需看客户销量和盈利。技术迁移可以提高价值与拓展客户，同时带来良率、工程和资本成本。模型正常毛利逐步恢复，但研发和折旧保留，避免把平台升级当作没有成本的永久涨价。</w:t>
      </w:r>
    </w:p>
    <w:p>
      <w:pPr>
        <w:pStyle w:val="Normal"/>
        <w:rPr/>
      </w:pPr>
      <w:r>
        <w:rPr/>
        <w:t>微控制器存在库存周期、设计客户竞争和终端价格压力，汽车工业认证长有粘性，也可能锁定服务和可靠性责任。若客户最终产品销售不达，代工需求仍会受影响。三年推荐反证包括新平台无法取得重复量产订单、既有客户缩量或向其他工艺迁移。公司应由正常平台毛利和现金证明优势，发布技术节点与车规名称本身不能代替长期每股资本回报。</w:t>
      </w:r>
    </w:p>
    <w:p>
      <w:pPr>
        <w:pStyle w:val="Heading2"/>
        <w:rPr/>
      </w:pPr>
      <w:r>
        <w:rPr>
          <w:color w:val="000000"/>
        </w:rPr>
        <w:t>五 独立存储与电子库存周期</w:t>
      </w:r>
    </w:p>
    <w:p>
      <w:pPr>
        <w:pStyle w:val="Normal"/>
        <w:rPr/>
      </w:pPr>
      <w:r>
        <w:rPr/>
        <w:t>独立非易失存储第二季度收入同比增幅很高，基数较低和需求恢复共同影响结果。存储相关价格上涨可以带来晶圆</w:t>
      </w:r>
      <w:r>
        <w:rPr/>
        <w:t>ASP</w:t>
      </w:r>
      <w:r>
        <w:rPr/>
        <w:t>改善，仍与产品、客户和生产容量有关，不能把先进内存或所有存储器涨价直接等比例传给华虹。不同存储类型使用的工艺和需求不同，客户可能先补库存再扩长期采购。评价增长应看订单持续性和价格，而非只看单季倍数。</w:t>
      </w:r>
    </w:p>
    <w:p>
      <w:pPr>
        <w:pStyle w:val="Normal"/>
        <w:rPr/>
      </w:pPr>
      <w:r>
        <w:rPr/>
        <w:t>成熟存储供应受产能转移、客户预算和替代工艺影响，供给收紧时客户可能愿意签长期协议，公开新闻中的谈判并不一定是公司已签合同。研究不把传闻照付不误条款当确定收入或零取消风险，也不为所有客户补造协议期限。若价格改善形成较高短期毛利，新增产能释放和竞争进入可能缩短景气。三年基准容许增长，五年合理倍数下降以反映成熟市场。</w:t>
      </w:r>
    </w:p>
    <w:p>
      <w:pPr>
        <w:pStyle w:val="Normal"/>
        <w:rPr/>
      </w:pPr>
      <w:r>
        <w:rPr/>
        <w:t>存储需求与消费电子恢复相关，终端成本上涨也可能压低销量或促使客户减少采购。高毛利与客户压力并非永远同向，公司需要在盈利、份额与价格之间取舍。若行业热度强但公司</w:t>
      </w:r>
      <w:r>
        <w:rPr/>
        <w:t>ASP</w:t>
      </w:r>
      <w:r>
        <w:rPr/>
        <w:t>和毛利改善不足，不能仅用全球销售统计坚持原模型。反证应落实到订单、价格、利用率、产品组合和资本现金，避免把宏观库存周期当作每家公司同样受益的保证。</w:t>
      </w:r>
    </w:p>
    <w:p>
      <w:pPr>
        <w:pStyle w:val="Heading2"/>
        <w:rPr/>
      </w:pPr>
      <w:r>
        <w:rPr>
          <w:color w:val="000000"/>
        </w:rPr>
        <w:t>六 模拟 电源与人工智能传导</w:t>
      </w:r>
    </w:p>
    <w:p>
      <w:pPr>
        <w:pStyle w:val="Normal"/>
        <w:rPr/>
      </w:pPr>
      <w:r>
        <w:rPr/>
        <w:t>模拟和电源管理芯片服务设备供电、控制与信号，数据中心功率、汽车电子和消费设备都可能提高其复杂度。公司特色平台在这一市场有经验，第二季度收入增约一成三，上半年报告也描述电源平台较强增长。半年度与单季统计不能直接混称相同增速，具体平台分类和比较基数要保留。人工智能带来潜力，实际收入仍来自客户设计、项目和晶圆采购。</w:t>
      </w:r>
    </w:p>
    <w:p>
      <w:pPr>
        <w:pStyle w:val="Normal"/>
        <w:rPr/>
      </w:pPr>
      <w:r>
        <w:rPr/>
        <w:t>高功率系统需要更多有效电源和可靠器件，但代工厂并不取得整套系统电源总价值。芯片设计、终端认证和多供应链结构决定公司份额，单位价值提升还要看工艺难度、面积和定价。若每片晶圆芯片面积减少或设计优化，终端数量增长未必等比增加晶圆需求。模型将需求转成正常收入和毛利假设，而不将所有人工智能资本开支乘一个固定份额作为估值。</w:t>
      </w:r>
    </w:p>
    <w:p>
      <w:pPr>
        <w:pStyle w:val="Normal"/>
        <w:rPr/>
      </w:pPr>
      <w:r>
        <w:rPr/>
        <w:t>模拟电源的寿命和客户认证有助黏性，客户仍可以双供、压价或改设计。需求高时公司更容易涨价，供应恢复后应对竞争和利用率风险。长期成长应由多个客户项目、量产良率和资本回报支持。若价格上涨主要来自短期紧张而公司扩产很快，估值不能永远保持供给最紧时的倍数。五年评分把持续竞争放入风险权重，避免只外推一轮定价改善。</w:t>
      </w:r>
    </w:p>
    <w:p>
      <w:pPr>
        <w:pStyle w:val="Heading2"/>
        <w:rPr/>
      </w:pPr>
      <w:r>
        <w:rPr>
          <w:color w:val="000000"/>
        </w:rPr>
        <w:t>七 功率分立与新材料竞争</w:t>
      </w:r>
    </w:p>
    <w:p>
      <w:pPr>
        <w:pStyle w:val="Normal"/>
        <w:rPr/>
      </w:pPr>
      <w:r>
        <w:rPr/>
        <w:t>功率器件面向汽车、工业、绿色能源和一般电子产品，性能、成本和长期可靠性影响客户选择。二季度功率分立收入同比增约九个百分点，增长较部分存储平台温和。公司中报披露新小间距</w:t>
      </w:r>
      <w:r>
        <w:rPr/>
        <w:t>IGBT</w:t>
      </w:r>
      <w:r>
        <w:rPr/>
        <w:t>、高压超级结和相关平台量产，支持工艺升级。量产意味着商业进程较送样更成熟，仍不能假设全部新品已贡献显著利润或所有产能都转向最高价格的产品。</w:t>
      </w:r>
    </w:p>
    <w:p>
      <w:pPr>
        <w:pStyle w:val="Normal"/>
        <w:rPr/>
      </w:pPr>
      <w:r>
        <w:rPr/>
        <w:t>新材料和器件结构可能改变硅基工艺的应用范围，一些场景会选碳化硅、氮化镓或其他技术，另一些继续选择成本更合适的硅方案。不能将所有新材料市场增长归到华虹现有厂，也不能反过来认定成熟硅功率马上消失。研究关注公司实际工艺与客户，而非把行业材料热度套成确定收入。三年模型允许平台迭代，但保持资本与研发成本，长期需重新检验技术适配。</w:t>
      </w:r>
    </w:p>
    <w:p>
      <w:pPr>
        <w:pStyle w:val="Normal"/>
        <w:rPr/>
      </w:pPr>
      <w:r>
        <w:rPr/>
        <w:t>功率市场受整车降价、工业投资和能源项目节奏影响，上游器件客户利润压力可能传向代工厂。终端增长快而器件价格降也可同时发生，晶圆厂利用率不自动保证毛利改善。若产品低价竞争、库存或良率问题持续，公司需要降成本或优化组合。推荐失败路径包括功率平台不能覆盖折旧和持续技术成本，不能只因产量更多就提高每股目标。</w:t>
      </w:r>
    </w:p>
    <w:p>
      <w:pPr>
        <w:pStyle w:val="Heading2"/>
        <w:rPr/>
      </w:pPr>
      <w:r>
        <w:rPr>
          <w:color w:val="000000"/>
        </w:rPr>
        <w:t>八 逻辑射频与收购后的技术跨度</w:t>
      </w:r>
    </w:p>
    <w:p>
      <w:pPr>
        <w:pStyle w:val="Normal"/>
        <w:rPr/>
      </w:pPr>
      <w:r>
        <w:rPr/>
        <w:t>逻辑与射频二季度收入增长约两成一，节点和平台需求不同于先进通用计算。公司有特色超低功耗及相关工艺升级，收购华力微可补充十二英寸平台与应用覆盖。新的节点、设计生态与客户能力需要整合，购买资产并不自动取得未来所有客户项目。研究将目标企业收入作为独立输入，避免把收购后的全部工厂能力与原业务重复相加，也不把潜在二十八纳米订单当已兑现。</w:t>
      </w:r>
    </w:p>
    <w:p>
      <w:pPr>
        <w:pStyle w:val="Normal"/>
        <w:rPr/>
      </w:pPr>
      <w:r>
        <w:rPr/>
        <w:t>先进或较小节点不是越多越好，客户需要成本、可靠性与设计工具适配，工艺开发和良率爬坡会消耗资金。公司若能在特色功能上提供更完整方案，可能增加客户粘性；若仅进入价格竞争激烈的新市场，收入增长未必增加资本回报。三年情景要求平台扩展与工厂盈利同步，五年则评估持续更新是否带来足够收费价值，不能以一次资产注入永久上调利润率。</w:t>
      </w:r>
    </w:p>
    <w:p>
      <w:pPr>
        <w:pStyle w:val="Normal"/>
        <w:rPr/>
      </w:pPr>
      <w:r>
        <w:rPr/>
        <w:t>华力微并不等于华虹集团所有半导体资产，集团关联单位名称相近，需用法律目标和比例核验。公开完成公告确认公司直接间接获得目标全部股权，未表示收购其他先进厂或全集团资产。新闻对技术节点的描述应与通函和未来产品资料交叉。估值不把所有关联公司市值、产能和专利加到上市主体，确保推荐基于实际普通股所拥有的经济权益。</w:t>
      </w:r>
    </w:p>
    <w:p>
      <w:pPr>
        <w:pStyle w:val="Heading2"/>
        <w:rPr/>
      </w:pPr>
      <w:r>
        <w:rPr>
          <w:color w:val="000000"/>
        </w:rPr>
        <w:t>九 八英寸与十二英寸的利用率</w:t>
      </w:r>
    </w:p>
    <w:p>
      <w:pPr>
        <w:pStyle w:val="Normal"/>
        <w:rPr/>
      </w:pPr>
      <w:r>
        <w:rPr/>
        <w:t>公司二季度末月产能约五十万八千片八英寸等效晶圆，出货一百五十三万八千片等效晶圆，利用率百分之一百零二点八。利用率是平均月等效产出除估计月产能，超过百分百并非简单错误，也不是所有设备都超负荷。产线改善、估算口径和产品组合影响数字，不能把它当所有工厂同一盈利率或机械封顶再重算收入。单季出货和月容量也不能不乘期间就直接比较。</w:t>
      </w:r>
    </w:p>
    <w:p>
      <w:pPr>
        <w:pStyle w:val="Normal"/>
        <w:rPr/>
      </w:pPr>
      <w:r>
        <w:rPr/>
        <w:t>二季度八英寸收入二点七一八亿美元，十二英寸四点四五七亿美元，后者增长较快。等效晶圆需要统一面积和口径，十二英寸片数与八英寸片数不能直接相加。公司披露的技术平台与晶圆尺寸存在交叉，并未给每个尺寸完整资本和归母利润。模型产权桶帮助考虑少数股东，对价收购和新厂，而不声称这就是公司正式财务分部。</w:t>
      </w:r>
    </w:p>
    <w:p>
      <w:pPr>
        <w:pStyle w:val="Normal"/>
        <w:rPr/>
      </w:pPr>
      <w:r>
        <w:rPr/>
        <w:t>利用率高但毛利仍较低，原因需考虑折旧、新厂、产品价格和爬坡，不能只归因一项。既有厂达到较高负荷后，新增产能可能让综合利用率先下降，折旧则先增加。成长关键是新增销售毛利是否超过新资本成本，不是总容量越大就越便宜。短期与长期分析都保留利用率和毛利脱钩的可能，防止用最高负荷制造不现实的永久利润率。</w:t>
      </w:r>
    </w:p>
    <w:p>
      <w:pPr>
        <w:pStyle w:val="Heading2"/>
        <w:rPr/>
      </w:pPr>
      <w:r>
        <w:rPr>
          <w:color w:val="000000"/>
        </w:rPr>
        <w:t>十 新工厂搬入与商业投产</w:t>
      </w:r>
    </w:p>
    <w:p>
      <w:pPr>
        <w:pStyle w:val="Normal"/>
        <w:rPr/>
      </w:pPr>
      <w:r>
        <w:rPr/>
        <w:t>中报说明无锡二期规划月八万三千片十二英寸设备已在六月末搬入，安装认证进行中，预期第三季度末达到计划容量。搬入、安装、工艺认证、稳定良率和客户验收是不同阶段，不能把设备到厂当全部可收费产能。机构对以后满负荷有更积极预测，截止数据仍需区分公司计划与已经证实结果。模型以收入与毛利而非总设备到位比例估值。</w:t>
      </w:r>
    </w:p>
    <w:p>
      <w:pPr>
        <w:pStyle w:val="Normal"/>
        <w:rPr/>
      </w:pPr>
      <w:r>
        <w:rPr/>
        <w:t>新厂爬坡可能先增加折旧、人员和材料，然后形成收入，少数股东承担部分亏损又影响归母表现。产能利用率总体高并不能证明新厂立即赚钱，部分旧厂更成熟，平均统计会掩盖差异。研究把全资及百分之五十一归属工厂分开作为经营假设，既考虑负少数股东损益，也考虑未来盈利后分享收益，避免永久把新厂亏损由他人承担、后续利润全部归母。</w:t>
      </w:r>
    </w:p>
    <w:p>
      <w:pPr>
        <w:pStyle w:val="Normal"/>
        <w:rPr/>
      </w:pPr>
      <w:r>
        <w:rPr/>
        <w:t>长期建设项目需要资本、供应、能源、客户认证和工艺团队，产能释放可能受材料、设备限制或需求变化延后。延后有时是供应问题，有时反映客户预算调整，应从订单、毛利和现金判断。若大额资本支出长期未形成正常利润，净资产增加也未创造超额价值。推荐反证包括新厂良率和客户采用低于预期、持续亏损以及设备减值，不能以未来仍有市场空间无限延长兑现时间。</w:t>
      </w:r>
    </w:p>
    <w:p>
      <w:pPr>
        <w:pStyle w:val="Heading2"/>
        <w:rPr/>
      </w:pPr>
      <w:r>
        <w:rPr>
          <w:color w:val="000000"/>
        </w:rPr>
        <w:t>十一 终端 客户与地区的不同口径</w:t>
      </w:r>
    </w:p>
    <w:p>
      <w:pPr>
        <w:pStyle w:val="Normal"/>
        <w:rPr/>
      </w:pPr>
      <w:r>
        <w:rPr/>
        <w:t>二季度中国收入约七成九，北美一成三，其他亚洲和欧洲各约四个百分点。公司以客户等口径分类，地区不等于最终消费或每片晶圆出口目的；中国设计客户可能面向全球终端，北美收入也不直接等于全部受限制产品。政策与需求敞口应结合实际技术和客户资格，不能仅凭地区百分比设所有出口损失或保障国内订单绝不受海外经济影响。</w:t>
      </w:r>
    </w:p>
    <w:p>
      <w:pPr>
        <w:pStyle w:val="Normal"/>
        <w:rPr/>
      </w:pPr>
      <w:r>
        <w:rPr/>
        <w:t>消费是最大终端，手机、家电和其他电子购买力会影响订单，工业与汽车则受资本开支和车型采用节奏影响。通信同比下降而其他平台改善，提示增长不是所有终端同步。公司可以通过特色客户和平台分散，但客户行业仍可能共同进入库存调整。经营质量需要收入、</w:t>
      </w:r>
      <w:r>
        <w:rPr/>
        <w:t>ASP</w:t>
      </w:r>
      <w:r>
        <w:rPr/>
        <w:t>、客户认证与收款共同验证，不把客户名单长度或地区覆盖自动当成完全独立需求。</w:t>
      </w:r>
    </w:p>
    <w:p>
      <w:pPr>
        <w:pStyle w:val="Normal"/>
        <w:rPr/>
      </w:pPr>
      <w:r>
        <w:rPr/>
        <w:t>客户代工选择受良率、工艺、成本、交期和安全供给共同影响，本土供应优先可能增加份额，但客户仍要求实际竞争力。长期协议能降低波动，公开未取得具体合同则不能假定锁定多年利润。研究保持截止证据边界，已有订单收入不等于未来无条件付款。未来遇客户流失、设计迁移或信用压力，应同时修正量价、现金和推荐分数，不能只以宏观支持证明公司会持续增长。</w:t>
      </w:r>
    </w:p>
    <w:p>
      <w:pPr>
        <w:pStyle w:val="Heading2"/>
        <w:rPr/>
      </w:pPr>
      <w:r>
        <w:rPr>
          <w:color w:val="000000"/>
        </w:rPr>
        <w:t>十二 成熟制程周期与定价</w:t>
      </w:r>
    </w:p>
    <w:p>
      <w:pPr>
        <w:pStyle w:val="Normal"/>
        <w:rPr/>
      </w:pPr>
      <w:r>
        <w:rPr/>
        <w:t>成熟节点可以因供给约束、产品结构和客户需求进入价格改善，二季度公司明确销量与价格共同增长。此前收入下降和毛利低点说明它仍受库存与产能周期影响，特色技术不会完全消除波动。涨价能形成经营杠杆，但新资本供给、竞争者调整和终端需求可能改变议价能力。三年基准看正常价量而不是行业最紧张时刻，五年避免永久使用最高倍数。</w:t>
      </w:r>
    </w:p>
    <w:p>
      <w:pPr>
        <w:pStyle w:val="Normal"/>
        <w:rPr/>
      </w:pPr>
      <w:r>
        <w:rPr/>
        <w:t>供给约束有时来自同类产线减少，有时来自特定工艺认证难，客户无法立刻转移，价格因此改善。总成熟产能过剩与某个特色工艺紧张也可能共存，不能用单一行业判断覆盖每个平台。模型未取得各平台详细价格，使用正常毛利与收入区间，公开说明不确定。若公司收入增但毛利没有按假设改善，应检查价格、折旧、良率和组合，而不直接宣布行业逻辑完全兑现。</w:t>
      </w:r>
    </w:p>
    <w:p>
      <w:pPr>
        <w:pStyle w:val="Normal"/>
        <w:rPr/>
      </w:pPr>
      <w:r>
        <w:rPr/>
        <w:t>订单高峰后的客户库存调整可能迅速降低负荷，晶圆厂固定成本和折旧下降较慢。预期增长时新厂扩产会放大后续供给，对客户有价值，对股东未必保持超额利润。研究将悲观情景设为需求不消失但正常资本回报受压，不是所有业务归零。价格目标下降来自</w:t>
      </w:r>
      <w:r>
        <w:rPr/>
        <w:t>PB</w:t>
      </w:r>
      <w:r>
        <w:rPr/>
        <w:t>重估、</w:t>
      </w:r>
      <w:r>
        <w:rPr/>
        <w:t>OCI</w:t>
      </w:r>
      <w:r>
        <w:rPr/>
        <w:t>、减值和稀释，失败机制具体连接每股资产，而不是仅说市场风险。</w:t>
      </w:r>
    </w:p>
    <w:p>
      <w:pPr>
        <w:pStyle w:val="Heading2"/>
        <w:rPr/>
      </w:pPr>
      <w:r>
        <w:rPr>
          <w:color w:val="000000"/>
        </w:rPr>
        <w:t>十三 历史收入与利润的分离</w:t>
      </w:r>
    </w:p>
    <w:p>
      <w:pPr>
        <w:pStyle w:val="Normal"/>
        <w:rPr/>
      </w:pPr>
      <w:r>
        <w:rPr/>
        <w:t>原二零二五收入二十四点零二亿美元，同比恢复，毛利二点八二九亿美元，但销售与管理费合计四点二五六亿美元，核心经营仍负一点四二七亿。管理费包含研发，不能扣完整管理后再重复扣研发二点七六二亿美元。集团其他收入与财资减轻亏损，融资等又造成压力，税前亏八千八百五十三万。研究从原始科目核算，避免将毛利或研发加回后的数当真正净利。</w:t>
      </w:r>
    </w:p>
    <w:p>
      <w:pPr>
        <w:pStyle w:val="Normal"/>
        <w:rPr/>
      </w:pPr>
      <w:r>
        <w:rPr/>
        <w:t>全年集团亏一点一零八亿美元，归母却赚五千四百八十八万，差异来自少数股东亏一点六五七亿美元。前年归母也正，而集团整体亏损，这不是财报矛盾，是工厂权益结构的结果。分析不能只引用归母增幅就说所有工厂高盈利，更不能把少数股东负数永久视为母公司经营补助。随着新厂盈利改善，少数股东也会分享收益，归母增长可能慢于集团改善。</w:t>
      </w:r>
    </w:p>
    <w:p>
      <w:pPr>
        <w:pStyle w:val="Normal"/>
        <w:rPr/>
      </w:pPr>
      <w:r>
        <w:rPr/>
        <w:t>更早年度收入和盈利显示行业周期明显，不能把前期高毛利、高归母利润当永久正常水平。新厂和融资改变资产规模与每股分母，直接恢复某年</w:t>
      </w:r>
      <w:r>
        <w:rPr/>
        <w:t>EPS</w:t>
      </w:r>
      <w:r>
        <w:rPr/>
        <w:t>并乘现在股数也不合理。模型正常盈利由未来收入、工厂毛利、常态费用、税与归属产生，历史用于边界和资本效率校验。增长推荐要求新结构的每股回报超过资本成本，不只要求总收入重新超过旧纪录。</w:t>
      </w:r>
    </w:p>
    <w:p>
      <w:pPr>
        <w:pStyle w:val="Heading2"/>
        <w:rPr/>
      </w:pPr>
      <w:r>
        <w:rPr>
          <w:color w:val="000000"/>
        </w:rPr>
        <w:t>十四 上半年与二季度的利润桥</w:t>
      </w:r>
    </w:p>
    <w:p>
      <w:pPr>
        <w:pStyle w:val="Normal"/>
        <w:rPr/>
      </w:pPr>
      <w:r>
        <w:rPr/>
        <w:t>上半年收入十三点七八五亿美元、毛利二点零四四六亿，销售五百三十一点九万、管理二点零六九五亿，核心经营约亏七百八十点七万美元。其他收入四千七百二十一万、联营九百六十四万，融资五千七百一十万，再扣信用损失与其他费用，税前亏一千零四十九万。净集团亏一千三百三十九万，归母五千九百五十七万、少数股东负七千二百九十六万，口径分别保留。</w:t>
      </w:r>
    </w:p>
    <w:p>
      <w:pPr>
        <w:pStyle w:val="Normal"/>
        <w:rPr/>
      </w:pPr>
      <w:r>
        <w:rPr/>
        <w:t>第二季度收入七点一七七亿美元，毛利率一成六五，核心毛利扣经营费用后九百三十二万美元；加其他净收益后税前约一千一百五十一万。集团税后仅三百八十八万，归母三千八百六十四万，仍有较大少数股东负贡献。公司收入和毛利明显改善是真实证据，整体利润及现金质量仍有限。不能把新闻归母赚数当集团全部经营利润，亦不能将单季高增长直接解释为高资本回报。</w:t>
      </w:r>
    </w:p>
    <w:p>
      <w:pPr>
        <w:pStyle w:val="Normal"/>
        <w:rPr/>
      </w:pPr>
      <w:r>
        <w:rPr/>
        <w:t>二季度</w:t>
      </w:r>
      <w:r>
        <w:rPr/>
        <w:t>ROE</w:t>
      </w:r>
      <w:r>
        <w:rPr/>
        <w:t>年化约二点四个百分点，即使用归母而非集团亏损衡量，回报仍低。高利用率、收入纪录与低</w:t>
      </w:r>
      <w:r>
        <w:rPr/>
        <w:t>ROE</w:t>
      </w:r>
      <w:r>
        <w:rPr/>
        <w:t>可以同时成立，反映资本、折旧和归属结构。活动</w:t>
      </w:r>
      <w:r>
        <w:rPr/>
        <w:t>PB</w:t>
      </w:r>
      <w:r>
        <w:rPr/>
        <w:t>模型明确资本回报交叉，不能只给高净资倍数而回避低盈利。若未来利润不能按基准提高，</w:t>
      </w:r>
      <w:r>
        <w:rPr/>
        <w:t>PB</w:t>
      </w:r>
      <w:r>
        <w:rPr/>
        <w:t>溢价失去经营支持，应下修价与分数，而不是认为大幅股价回撤已经自动补足价值。</w:t>
      </w:r>
    </w:p>
    <w:p>
      <w:pPr>
        <w:pStyle w:val="Heading2"/>
        <w:rPr/>
      </w:pPr>
      <w:r>
        <w:rPr>
          <w:color w:val="000000"/>
        </w:rPr>
        <w:t>十五 研发 折旧与正常成本</w:t>
      </w:r>
    </w:p>
    <w:p>
      <w:pPr>
        <w:pStyle w:val="Normal"/>
        <w:rPr/>
      </w:pPr>
      <w:r>
        <w:rPr/>
        <w:t>研发帮助形成特色工艺、设计适配和客户认证，是持续竞争成本，不能因股价需要上涨就全加回。年度管理费用已包含研发，对正常估值需要保留技术组织和常态股份成本。研发资本化条件严格，实验、失败和开发不总能形成可回收资产。模型未来常态费用随规模上升，允许利用率摊薄但不假设技术更新成本永久固定，确保利润成长有经济基础。</w:t>
      </w:r>
    </w:p>
    <w:p>
      <w:pPr>
        <w:pStyle w:val="Normal"/>
        <w:rPr/>
      </w:pPr>
      <w:r>
        <w:rPr/>
        <w:t>上半年设备折旧附注约四点四一亿美元，其中二百二十点四万资本化，现金流调整约四点三八九亿美元。折旧总额和现金流加回不是同一数字，不能为现金估值随意选择最大项。折旧代表资本使用，</w:t>
      </w:r>
      <w:r>
        <w:rPr/>
        <w:t>EBITDA</w:t>
      </w:r>
      <w:r>
        <w:rPr/>
        <w:t>可描述短期现金生成但不能证明设备永远无需更新。研究保留折旧在毛利，只在简化现金交叉中加回并扣资本现金，避免盈利与资本价值重复高估。</w:t>
      </w:r>
    </w:p>
    <w:p>
      <w:pPr>
        <w:pStyle w:val="Normal"/>
        <w:rPr/>
      </w:pPr>
      <w:r>
        <w:rPr/>
        <w:t>若设备实际经济寿命长于会计寿命，成熟厂可能在折旧下降后盈利改善，但新工艺、竞争和维护可能缩短经济使用期限。资产评估引用调整折旧以估</w:t>
      </w:r>
      <w:r>
        <w:rPr/>
        <w:t>EBITDA</w:t>
      </w:r>
      <w:r>
        <w:rPr/>
        <w:t>，不等于所有旧设备无替代支出。本章不将折旧全部剔出长期利润，也不把所有扩产叫一次性。长期需求和工艺迭代需持续资本，正常化应区分维护、升级和扩建，在数据不充分时保留资本回报压力而非填造精确维护比例。</w:t>
      </w:r>
    </w:p>
    <w:p>
      <w:pPr>
        <w:pStyle w:val="Heading2"/>
        <w:rPr/>
      </w:pPr>
      <w:r>
        <w:rPr>
          <w:color w:val="000000"/>
        </w:rPr>
        <w:t>十六 政府支持与财资收益</w:t>
      </w:r>
    </w:p>
    <w:p>
      <w:pPr>
        <w:pStyle w:val="Normal"/>
        <w:rPr/>
      </w:pPr>
      <w:r>
        <w:rPr/>
        <w:t>年度政府补助约五千零十二万美元，上半年约一千零三十二万，补助可以支持产业建设，却不是客户愿意持续支付的技术价值。上半年利息收入二千一百九十九万，融资成本五千七百一十万，现金多不等于净利息为正。还存在汇率、租赁修改与联营收益，正常净项需要适度而非把所有其他收入外推。研究保留有限财资净贡献，不额外加全部对应资产。</w:t>
      </w:r>
    </w:p>
    <w:p>
      <w:pPr>
        <w:pStyle w:val="Normal"/>
        <w:rPr/>
      </w:pPr>
      <w:r>
        <w:rPr/>
        <w:t>资本项目补助收到现金与利润确认不同，上半年投资现金段收到设备补助二千五百三十九万，负债中政府项目资金亦可能有履约条件。不能把同一补助现金既加经营利润又加净资或自由现金。税优惠、支持资金和关联生态可以提高资金可得性，但不会保证普通股回报。若盈利主要靠补助与资产价值变化，经营质量评分应降低，价格仍需正常工厂利润和现金证明。</w:t>
      </w:r>
    </w:p>
    <w:p>
      <w:pPr>
        <w:pStyle w:val="Normal"/>
        <w:rPr/>
      </w:pPr>
      <w:r>
        <w:rPr/>
        <w:t>联营收益上半年增加，报表文字有正收益与个别说明用词不一致，模型以正式利润表为权威。权益法归属不等于关联公司全部净利或市值，</w:t>
      </w:r>
      <w:r>
        <w:rPr/>
        <w:t>PB</w:t>
      </w:r>
      <w:r>
        <w:rPr/>
        <w:t>已包含账面投资，不能再加入全部市场价值。若采用独立资产重估，需要剔相应盈利并核税和持股，两套逻辑不能拼最高。当前单套活动净资桥保持一致，财资联营只用于正常盈利和每股资本回报交叉。</w:t>
      </w:r>
    </w:p>
    <w:p>
      <w:pPr>
        <w:pStyle w:val="Heading2"/>
        <w:rPr/>
      </w:pPr>
      <w:r>
        <w:rPr>
          <w:color w:val="000000"/>
        </w:rPr>
        <w:t>十七 经营现金与高资本开支</w:t>
      </w:r>
    </w:p>
    <w:p>
      <w:pPr>
        <w:pStyle w:val="Normal"/>
        <w:rPr/>
      </w:pPr>
      <w:r>
        <w:rPr/>
        <w:t>年度经营现金六点四九九亿美元，资本现金十八点一三八亿，扣租赁本金和融资利息后，研究代理负十二点四七六亿美元。上半年经营现金四点六八五亿，资本现金十二点八一四亿，扣租赁与利息后负八点六四八亿。现金生成在改善，仍远不能覆盖建设投入。设备购买形成资产而非立即利润费用，但实际现金缺口需要融资、既有资金或外部股东支持，不能从估值分析中删除。</w:t>
      </w:r>
    </w:p>
    <w:p>
      <w:pPr>
        <w:pStyle w:val="Normal"/>
        <w:rPr/>
      </w:pPr>
      <w:r>
        <w:rPr/>
        <w:t>第二季度资本现金三点五六七亿，首季九点二四九亿，季度节奏受设备到货和付款影响。不能只以较低季度乘四声称所有后续资本需求下降，正式上半年现金已显示大额支出。现金支出和资产新增、应付款、预付款存在时差，研究在明细保留来源，不把工程容量乘设备单价制造精确预算。长期自由现金要看资本项目完成后的正常维护与新平台投入，而不是用</w:t>
      </w:r>
      <w:r>
        <w:rPr/>
        <w:t>EBITDA</w:t>
      </w:r>
      <w:r>
        <w:rPr/>
        <w:t>代替。</w:t>
      </w:r>
    </w:p>
    <w:p>
      <w:pPr>
        <w:pStyle w:val="Normal"/>
        <w:rPr/>
      </w:pPr>
      <w:r>
        <w:rPr/>
        <w:t>模型现金交叉以核心利润、折旧加回与资本现金作简化，未声称含完整营运资本、税时差和融资；基准多年仍显示扩产阶段的资本压力。资本现金资产化，所以不直接全部扣归母权益，否则会错误降低</w:t>
      </w:r>
      <w:r>
        <w:rPr/>
        <w:t>PB</w:t>
      </w:r>
      <w:r>
        <w:rPr/>
        <w:t>；但融资、稀释、</w:t>
      </w:r>
      <w:r>
        <w:rPr/>
        <w:t>OCI</w:t>
      </w:r>
      <w:r>
        <w:rPr/>
        <w:t>、减值和回报要求体现其经济后果。净資增长与股东自由现金不同，二者必须同时比较，不能把账面厂房增加当收到可分配现金。</w:t>
      </w:r>
    </w:p>
    <w:p>
      <w:pPr>
        <w:pStyle w:val="Heading2"/>
        <w:rPr/>
      </w:pPr>
      <w:r>
        <w:rPr>
          <w:color w:val="000000"/>
        </w:rPr>
        <w:t>十八 现金债务与到期结构</w:t>
      </w:r>
    </w:p>
    <w:p>
      <w:pPr>
        <w:pStyle w:val="Normal"/>
        <w:rPr/>
      </w:pPr>
      <w:r>
        <w:rPr/>
        <w:t>六月末现金四十五点三二亿美元、定存及质押四千五百三十六万，银行债三十五点六八亿，表面净现金仍正。当前债约十九点零二亿，非当前十六点六五亿，债务期限变化提高再融资关注；另有租赁和长应付款。不能只扣银行债后称所有现金自由分红，募集资金专户、项目资金、营运和币种需求都限制可用性。债务偿付与新工厂投资需要一起评估。</w:t>
      </w:r>
    </w:p>
    <w:p>
      <w:pPr>
        <w:pStyle w:val="Normal"/>
        <w:rPr/>
      </w:pPr>
      <w:r>
        <w:rPr/>
        <w:t>上半年新贷款八点五零九亿、还款五点六九八亿，借款增加支持资本建设，利息现金四千九百七十四万。部分利息可能资本化，利润表成本与现金支付不同，不能用单一低报表利息推算所有债务便宜。长期应付款也可能带有资金属性，具体条款需原始附注与后续合同。模型财资压力与融资净额是研究假设，不把截至六月债务错误说成十月精确净债。</w:t>
      </w:r>
    </w:p>
    <w:p>
      <w:pPr>
        <w:pStyle w:val="Normal"/>
        <w:rPr/>
      </w:pPr>
      <w:r>
        <w:rPr/>
        <w:t>公司现金主要人民币，部分美元贷款与功能币不一致，会受汇率影响。利率下降或续贷可缓冲，若需求转弱仍可能面临高固定支出。政策支持增加融资选择，但普通股承担效率和稀释风险。研究不因国资背景假设无融资风险，亦不无证据声称会资金断裂；以已披露现金、当前债和承诺核影响，未来需对到期、存款限制和资本兑现更新。</w:t>
      </w:r>
    </w:p>
    <w:p>
      <w:pPr>
        <w:pStyle w:val="Heading2"/>
        <w:rPr/>
      </w:pPr>
      <w:r>
        <w:rPr>
          <w:color w:val="000000"/>
        </w:rPr>
        <w:t>十九 存货 应收与资产质量</w:t>
      </w:r>
    </w:p>
    <w:p>
      <w:pPr>
        <w:pStyle w:val="Normal"/>
        <w:rPr/>
      </w:pPr>
      <w:r>
        <w:rPr/>
        <w:t>六月库存约五点八四八亿美元、贸易票据应收三点二二五亿，公司二季度披露周转天数约八十四和四十天。这些数可作为公司口径参考，但不能据此认定全部客户零信用风险。增长可能带来更多在制品和原料，也可能在需求下降时需减值。已披露存货减值、信用损失属于真实经营成本，不能为正常毛利全部剔除，平台迭代还会影响旧材料使用价值。</w:t>
      </w:r>
    </w:p>
    <w:p>
      <w:pPr>
        <w:pStyle w:val="Normal"/>
        <w:rPr/>
      </w:pPr>
      <w:r>
        <w:rPr/>
        <w:t>设备、在建工程、预付款及可抵扣税项占资产较多，价值取决于项目利用、供应履约和未来税能力。高账面净资不是同金额随时可回收现金，工厂出售还涉及技术、员工、环境和交易限制。</w:t>
      </w:r>
      <w:r>
        <w:rPr/>
        <w:t>PB</w:t>
      </w:r>
      <w:r>
        <w:rPr/>
        <w:t>适合观察资本密集企业，但若资产不能取得合理回报，低于账面交易也可能合理。悲观情景设置减值和</w:t>
      </w:r>
      <w:r>
        <w:rPr/>
        <w:t>OCI</w:t>
      </w:r>
      <w:r>
        <w:rPr/>
        <w:t>压力，区间未声称清算价值或最大损失下限。</w:t>
      </w:r>
    </w:p>
    <w:p>
      <w:pPr>
        <w:pStyle w:val="Normal"/>
        <w:rPr/>
      </w:pPr>
      <w:r>
        <w:rPr/>
        <w:t>投资权益公允价值变化明显，上半年计入其他综合收益的资产价值增幅不会直接提供经营现金。若股价或汇率回调，归母净資与</w:t>
      </w:r>
      <w:r>
        <w:rPr/>
        <w:t>PB</w:t>
      </w:r>
      <w:r>
        <w:rPr/>
        <w:t>分母可能下降，公司实际工厂技术却未同等变化。研究同时查看正常利润和净资桥，避免用公允价值上涨支撑高长期成长。每项账面重估需保留来源与期间，不将它既称正常利润增长又加到终点资产，确保表格和文字不重复。</w:t>
      </w:r>
    </w:p>
    <w:p>
      <w:pPr>
        <w:pStyle w:val="Heading2"/>
        <w:rPr/>
      </w:pPr>
      <w:r>
        <w:rPr>
          <w:color w:val="000000"/>
        </w:rPr>
        <w:t>二十 其他综合收益与净資增长</w:t>
      </w:r>
    </w:p>
    <w:p>
      <w:pPr>
        <w:pStyle w:val="Normal"/>
        <w:rPr/>
      </w:pPr>
      <w:r>
        <w:rPr/>
        <w:t>上半年归母综合收益约五点二五一亿美元，其中归母利润仅五千九百五十七万，差约四点六五五亿属于归母其他综合收益。集团其他综合收益约五点四六三亿，包含币种折算和投资价值等，少数股东也有份额。不能把综合收益等同赚取现金，也不能仅看权益增长推算经营</w:t>
      </w:r>
      <w:r>
        <w:rPr/>
        <w:t>ROE</w:t>
      </w:r>
      <w:r>
        <w:rPr/>
        <w:t>。活动模型将未来</w:t>
      </w:r>
      <w:r>
        <w:rPr/>
        <w:t>OCI</w:t>
      </w:r>
      <w:r>
        <w:rPr/>
        <w:t>单独输入，利润留存和资产波动分开。</w:t>
      </w:r>
    </w:p>
    <w:p>
      <w:pPr>
        <w:pStyle w:val="Normal"/>
        <w:rPr/>
      </w:pPr>
      <w:r>
        <w:rPr/>
        <w:t>人民币相对美元变化会影响人民币功能币资产折为美元的账面值，报告货币变化不等于工厂实际生产回报同幅变化。投资估值和联营综合收益也可能持续波动，不能把上半年较大收益无限年化。基准未来</w:t>
      </w:r>
      <w:r>
        <w:rPr/>
        <w:t>OCI</w:t>
      </w:r>
      <w:r>
        <w:rPr/>
        <w:t>较有限，悲观累计负变化更大，乐观有温和增加；这些是研究敏感性而非声称已披露。美元兑港币转换固定研究假设后，人民币投资者另承受资产与资金汇率变化。</w:t>
      </w:r>
    </w:p>
    <w:p>
      <w:pPr>
        <w:pStyle w:val="Normal"/>
        <w:rPr/>
      </w:pPr>
      <w:r>
        <w:rPr/>
        <w:t>归母权益从年度约六十六点一三亿到中期七十一点三八亿美元，增加大部分并非当期归母利润。九月收购后还要调整同控制并表与新增股数，单纯把旧净资除旧股数再乘高</w:t>
      </w:r>
      <w:r>
        <w:rPr/>
        <w:t>PB</w:t>
      </w:r>
      <w:r>
        <w:rPr/>
        <w:t>会出错。研究清楚区分六月实际、旧通函静态、截止组合估计和目标净资。公开组合具体权益缺失时，可信度降低而非用新闻所谓九十亿美元作为当前归母资产。</w:t>
      </w:r>
    </w:p>
    <w:p>
      <w:pPr>
        <w:pStyle w:val="Heading2"/>
        <w:rPr/>
      </w:pPr>
      <w:r>
        <w:rPr>
          <w:color w:val="000000"/>
        </w:rPr>
        <w:t>二十一 华力微收购的法律结果</w:t>
      </w:r>
    </w:p>
    <w:p>
      <w:pPr>
        <w:pStyle w:val="Normal"/>
        <w:rPr/>
      </w:pPr>
      <w:r>
        <w:rPr/>
        <w:t>九月九日收购完成，九月十一日收盘后公告确认，发行一亿九千零七十六万八千三百九十二股人民币普通股，对价每股四十三点三四元。总对价八十二点六七九亿元人民币，目标收购比例约百分之九十七点五，原已有小比例持股，完成后直接间接全资。完成时间和公告时间分别保存，不能引用八月的预期闭合说法把收购当六月前已并表。</w:t>
      </w:r>
    </w:p>
    <w:p>
      <w:pPr>
        <w:pStyle w:val="Normal"/>
        <w:rPr/>
      </w:pPr>
      <w:r>
        <w:rPr/>
        <w:t>全部普通股从十七亿三千七百七十二万余增至十九亿二千八百四十九万余，香港股约十三亿二千九百九十八万不变，人民币股增至五亿九千八百五十一万余。新增股取得资产，但原股东每股归属要被新股分享，不能只把收入利润加进去而分母维持旧数。九月修订月报十月八日已公开，以修订版为准，避免用最早月报遗漏或错误股数。</w:t>
      </w:r>
    </w:p>
    <w:p>
      <w:pPr>
        <w:pStyle w:val="Normal"/>
        <w:rPr/>
      </w:pPr>
      <w:r>
        <w:rPr/>
        <w:t>不同出让方有六个月、十二个月或三十六个月等锁定，部分具有条件延長安排，影响未来流通但不是股份消失。流通股和全部经济股数不同，锁定股仍分享净资和盈利。研究未来分母不因为锁定暂小，也不把解禁当确定抛售金额。具体解禁压力与持有人行为未知，按法律安排提示期限风险，不为炒作量价假设精确资金撤退。</w:t>
      </w:r>
    </w:p>
    <w:p>
      <w:pPr>
        <w:pStyle w:val="Heading2"/>
        <w:rPr/>
      </w:pPr>
      <w:r>
        <w:rPr>
          <w:color w:val="000000"/>
        </w:rPr>
        <w:t>二十二 同控制会计与净資陷阱</w:t>
      </w:r>
    </w:p>
    <w:p>
      <w:pPr>
        <w:pStyle w:val="Normal"/>
        <w:rPr/>
      </w:pPr>
      <w:r>
        <w:rPr/>
        <w:t>通函明确公司与目标最终受上海国资控制，会计按同控制企业合并，资产负债以最终控制人账面值纳入。八十二点六七九亿元人民币交易价并非全部增加上市归母净资，不能机械加到六月权益。对价股会计视同成本、原持股、关联租赁及往来抵消影响净资。模型以旧静态净增作参照并给区间，不声称准确知道九月组合净资产，后续重列需要新版本核验。</w:t>
      </w:r>
    </w:p>
    <w:p>
      <w:pPr>
        <w:pStyle w:val="Normal"/>
        <w:rPr/>
      </w:pPr>
      <w:r>
        <w:rPr/>
        <w:t>通函旧示例以母公司二零二五六月和目标八月为基础，母归母六十二点九九零亿美元变为六十四点三二五亿，只增一点三二六三亿。集团总权益从八十八点七三六变九十点零六三亿，九十亿美元不是归母。文字中若有顾问笼统称净资增强至九十亿，仍应以正式表的归母与少数权益分行核对。该旧示例也不是二零二六九月实际，不能直接用于当前</w:t>
      </w:r>
      <w:r>
        <w:rPr/>
        <w:t>PB</w:t>
      </w:r>
      <w:r>
        <w:rPr/>
        <w:t>。</w:t>
      </w:r>
    </w:p>
    <w:p>
      <w:pPr>
        <w:pStyle w:val="Normal"/>
        <w:rPr/>
      </w:pPr>
      <w:r>
        <w:rPr/>
        <w:t>模型采用六月实际归母七十一点三八零三六亿，收购净调整悲观一亿美元、基准一点三二六三亿、乐观两亿，均显式研究假设；截止前未披露留存另设零、三千万和六千万美元。目标期再用正常利润路径积分、分红、融资、</w:t>
      </w:r>
      <w:r>
        <w:rPr/>
        <w:t>OCI</w:t>
      </w:r>
      <w:r>
        <w:rPr/>
        <w:t>和减值形成权益。相较交易价大额加净资，这样更谨慎且可刷新，但仍有组合财务缺口，不能因此给高可信度或称精确审计每股净资。</w:t>
      </w:r>
    </w:p>
    <w:p>
      <w:pPr>
        <w:pStyle w:val="Heading2"/>
        <w:rPr/>
      </w:pPr>
      <w:r>
        <w:rPr>
          <w:color w:val="000000"/>
        </w:rPr>
        <w:t>二十三 目标历史盈利与整合价值</w:t>
      </w:r>
    </w:p>
    <w:p>
      <w:pPr>
        <w:pStyle w:val="Normal"/>
        <w:rPr/>
      </w:pPr>
      <w:r>
        <w:rPr/>
        <w:t>目标通函审计利润二零二三亏三点七二亿元人民币，二零二四赚五点二二亿元，二零二五前八月赚五点一五亿元，显示明显周期和恢复。历史期间不是二零二六实际，也不把八个月简单乘全年视为保证。收购增加平台与容量，整合后要考虑原关联交易抵消、持续研发、管理、税和客户增长，不能按交易宣传中的协同把所有费用立即删除。</w:t>
      </w:r>
    </w:p>
    <w:p>
      <w:pPr>
        <w:pStyle w:val="Normal"/>
        <w:rPr/>
      </w:pPr>
      <w:r>
        <w:rPr/>
        <w:t>目标资产较旧、部分折旧账面低，现金能力和历史</w:t>
      </w:r>
      <w:r>
        <w:rPr/>
        <w:t>EPS</w:t>
      </w:r>
      <w:r>
        <w:rPr/>
        <w:t>可能与新厂不同，成本优势可能有价值。旧设备经济寿命、维修和工艺更新也需要支出，账面低不代表无限免费产能。模型目标收入从较温和前瞻到多年成长，归为全资桶，同时保留毛利与常态费用。只有实际组合披露与现金能验证整合改善，未取得新报告时不伪造目标当前利润率和全年盈利。</w:t>
      </w:r>
    </w:p>
    <w:p>
      <w:pPr>
        <w:pStyle w:val="Normal"/>
        <w:rPr/>
      </w:pPr>
      <w:r>
        <w:rPr/>
        <w:t>关联收购的治理重点是价格、独立股东保护、资本用途和之后回报。交易已履行审批和白洗等程序，仍需投资者评估资本配置，不等于所有经济风险消失。若收购后持续减值、目标客户不增长或利润更多依靠会计重列，推荐应降。模型不另加目标全估值，因为资产和经营已包含在合并净資与正常利润，避免对同一目标的现金、利润、出售价三次资本化。</w:t>
      </w:r>
    </w:p>
    <w:p>
      <w:pPr>
        <w:pStyle w:val="Heading2"/>
        <w:rPr/>
      </w:pPr>
      <w:r>
        <w:rPr>
          <w:color w:val="000000"/>
        </w:rPr>
        <w:t>二十四 无锡三期承诺与赎回义务</w:t>
      </w:r>
    </w:p>
    <w:p>
      <w:pPr>
        <w:pStyle w:val="Normal"/>
        <w:rPr/>
      </w:pPr>
      <w:r>
        <w:rPr/>
        <w:t>九月一日新</w:t>
      </w:r>
      <w:r>
        <w:rPr/>
        <w:t>JV</w:t>
      </w:r>
      <w:r>
        <w:rPr/>
        <w:t>协议规划总注册资本四十一点七亿美元，公司及全资子公司分别出资十点四二五、十点八四二亿，合计约百分之五十一。外部投资者提供其余资本，新线规划月五万五千片十二英寸。九月二十三日股东批准用途与投资，十月八日专户公告推进资金管理；注册缴付和真实量产仍需核验。批准投资不等于全部现金已支付或新产线已产生收入。</w:t>
      </w:r>
    </w:p>
    <w:p>
      <w:pPr>
        <w:pStyle w:val="Normal"/>
        <w:rPr/>
      </w:pPr>
      <w:r>
        <w:rPr/>
        <w:t>国开相关投资主体出资五点八三八亿美元，有固定回报赎回安排，九月二十九日补充明确期限不超过十年、违约等可早赎，公司也可提前选择。此类资本并非无债务属性的普通永久少数股东，未来需支付本金和参考收益。不能在正常归属中永远简单扣百分之四十九利润，却忽略赎回改变归属和现金压力。模型产权桶是一种简化，实际合同确定后需改资本与融资桥。</w:t>
      </w:r>
    </w:p>
    <w:p>
      <w:pPr>
        <w:pStyle w:val="Normal"/>
        <w:rPr/>
      </w:pPr>
      <w:r>
        <w:rPr/>
        <w:t>新厂承诺会占用资金、增加折旧与员工，对需求增长有支持，也增加长期回报要求。六月原已披露设备资本承诺三十二点四八亿美元，九月又有新的投资计划，不能把两者未经检查简单相加称全未支付，因为工程及包含关系可能交叉。研究分别列已披露期间与新项目，资金现金与账面资产转换分开。长期负债、回售和资本效率都影响普通股价值，不因外部资金支持而删除。</w:t>
      </w:r>
    </w:p>
    <w:p>
      <w:pPr>
        <w:pStyle w:val="Heading2"/>
        <w:rPr/>
      </w:pPr>
      <w:r>
        <w:rPr>
          <w:color w:val="000000"/>
        </w:rPr>
        <w:t>二十五 募集专户 母集团增资与期权</w:t>
      </w:r>
    </w:p>
    <w:p>
      <w:pPr>
        <w:pStyle w:val="Normal"/>
        <w:rPr/>
      </w:pPr>
      <w:r>
        <w:rPr/>
        <w:t>十月八日募集专户公告针对二零二三首次发行的剩余与超募资金改用途，用于无锡三期，余额含利息按转出日确定。它不是二零二六配套定增全部到账，不能把历史募集净额再加入当前现金。已公开的配套发行计划仍需发行价、最终股数和到账公告核，活动模型未来融资金额与价格为研究假设，既加净现金也增加经济普通股，不享受无稀释融资。</w:t>
      </w:r>
    </w:p>
    <w:p>
      <w:pPr>
        <w:pStyle w:val="Normal"/>
        <w:rPr/>
      </w:pPr>
      <w:r>
        <w:rPr/>
        <w:t>同日另一公告是华虹集团上层国资股权增资调整，国盛比例提高，上市公司最终控制仍上海国资委，未涉及上市股份变化。母集团收到现金不等于上市公司收到融资，不能为股价目标加同金额。集团支持和治理变化可影响未来资本安排，但没有实际上市主体交易就不能造净资和现金。研究核公告法律主体，避免新闻标题把集团与上市公司混合造成巨大模型误差。</w:t>
      </w:r>
    </w:p>
    <w:p>
      <w:pPr>
        <w:pStyle w:val="Normal"/>
        <w:rPr/>
      </w:pPr>
      <w:r>
        <w:rPr/>
        <w:t>九月二十九日拟新期权方案及最多五千二百一十四万股计划，需十月二十二日会议等条件，截止未批准未授。最低三年归属，额度不等于立即全部新增普通股；旧月报仍有很小未行权余额。未来经济稀释是研究假设，不把计划上限当已发行，也不忽略常态奖励成本。若以后授予、行权或回购有新证据，再同时更新费用、现金和股数，不能仅更新其一。</w:t>
      </w:r>
    </w:p>
    <w:p>
      <w:pPr>
        <w:pStyle w:val="Heading2"/>
        <w:rPr/>
      </w:pPr>
      <w:r>
        <w:rPr>
          <w:color w:val="000000"/>
        </w:rPr>
        <w:t>二十六 日线趋势与价格观察位</w:t>
      </w:r>
    </w:p>
    <w:p>
      <w:pPr>
        <w:pStyle w:val="Normal"/>
        <w:rPr/>
      </w:pPr>
      <w:r>
        <w:rPr/>
        <w:t>锁定日线七百三十九个观察，二十、六十、一百二十、二百五十日均线约一百零八点一二、一百二十二点五六、一百三十四点九一、一百零九点七五港元。现价低于全部，距分别负一成二五、两成二九、近三成和一成四，短中趋势明显下降。长期均线滞后上升并不等于当前价格已经获支撑，不能把从高点跌很多描述成技术多头或已确认底部。</w:t>
      </w:r>
    </w:p>
    <w:p>
      <w:pPr>
        <w:pStyle w:val="Normal"/>
        <w:rPr/>
      </w:pPr>
      <w:r>
        <w:rPr/>
        <w:t>五日均线斜率二十线负二点一二个百分点、六十线负四点四五、一百二十和二百五十线略正，表明短中均线持续下压。二十日回报负一成六三、六十日负近四成，最近市场预期大幅调整。五十二周高二百一十九点六、低六十四点五五，现价距高负五成七左右，历史最大日线回撤约五成六。跌幅是风险与预期变化，不自动提供原高价作为真实价值锚。</w:t>
      </w:r>
    </w:p>
    <w:p>
      <w:pPr>
        <w:pStyle w:val="Normal"/>
        <w:rPr/>
      </w:pPr>
      <w:r>
        <w:rPr/>
        <w:t>最近二十与六十日最低九十点二五，距现价负四点五五；二十日最高一百一十九点八、六十日一百七十二，距现价分别正两成七和八成二。窗口高低属于观察区域，未证明多次触碰或精确支撑阻力。先收复一百零三周中线与一百零八至一百一十日线区域，再看一百二十至一百二十三带更合理；若失守九十附近，不能假设跌幅仅止于窗口低点。</w:t>
      </w:r>
    </w:p>
    <w:p>
      <w:pPr>
        <w:pStyle w:val="Heading2"/>
        <w:rPr/>
      </w:pPr>
      <w:r>
        <w:rPr>
          <w:color w:val="000000"/>
        </w:rPr>
        <w:t>二十七 量能与下跌质量</w:t>
      </w:r>
    </w:p>
    <w:p>
      <w:pPr>
        <w:pStyle w:val="Normal"/>
        <w:rPr/>
      </w:pPr>
      <w:r>
        <w:rPr/>
        <w:t>基准日成交二千四百九十九万股，金额约二十三点一九二亿港元，量比约一点五九六，用此前二十日均量作分母。五、二十、六十日均量约一千四百八十七万、一千六百二十七万、二千九百八十二万股，近期量低于更长周期，单日放大不代表持续资金回流。股票与手的单位已核，成交额与量不是可以相互替代的增长指标，也不能据平均成交价推精确持仓成本。</w:t>
      </w:r>
    </w:p>
    <w:p>
      <w:pPr>
        <w:pStyle w:val="Normal"/>
        <w:rPr/>
      </w:pPr>
      <w:r>
        <w:rPr/>
        <w:t>二十日上涨六日、下跌十二日、其余平价，涨日量九千五百六十九万、跌日两亿零五百二十六万，量比约零点四七。下跌成交显著多于上涨，结合相对弱和均线下降，短线修复证据不足。分组统计仍不能识别主动买卖或投资者身份，不能断言机构派发或主力吸筹。量价只能描述交易压力与突破可信度，无逐笔和完整换手不绘伪造精确筹码分布。</w:t>
      </w:r>
    </w:p>
    <w:p>
      <w:pPr>
        <w:pStyle w:val="Normal"/>
        <w:rPr/>
      </w:pPr>
      <w:r>
        <w:rPr/>
        <w:t>反弹若放量收复一百零八至一百一十，随后回踩成交缩小并守住，可提高技术信心；反弹量弱、价格仍在下斜均线之下则更多是未证实修复。若九十点二五失守伴下跌放量，半年逻辑需降级并重新核盈利预期。不能只用一日量比超过一就确认新趋势，也不能因为长线行业乐观给图形更高分。技术与正常利润反证共同决定不同期限的观察条件。</w:t>
      </w:r>
    </w:p>
    <w:p>
      <w:pPr>
        <w:pStyle w:val="Heading2"/>
        <w:rPr/>
      </w:pPr>
      <w:r>
        <w:rPr>
          <w:color w:val="000000"/>
        </w:rPr>
        <w:t>二十八 周线 相对强弱与波动</w:t>
      </w:r>
    </w:p>
    <w:p>
      <w:pPr>
        <w:pStyle w:val="Normal"/>
        <w:rPr/>
      </w:pPr>
      <w:r>
        <w:rPr/>
        <w:t>周线一百五十七个观察，二十、六十、一百二十周均线约一百三十六点八九、一百零二点九三、六十五点一八港元，现价低于前两者，高于一百二十周。二十周下斜，六十和一百二十周仍升，说明长期巨大升幅后的中期破坏，不能因最长期均线在下就判当前趋势安全。二百五十周历史不足不补造，日周相同价格信息也不重复加成长分。</w:t>
      </w:r>
    </w:p>
    <w:p>
      <w:pPr>
        <w:pStyle w:val="Normal"/>
        <w:rPr/>
      </w:pPr>
      <w:r>
        <w:rPr/>
        <w:t>二十和六十日相对恒指分别弱约十三点三五、三十六点七四个百分点，对恒科粗基准也弱约十三点二六、二十六点七六。市场和行业粗基准都不能证明专属全球晶圆代工排名，但差异表明近期价格明显跑输。公司经营复苏与股价弱可同时发生，可能来自高估值、稀释、资本回报或预期差，研究不能未经证据简单称市场错误。短期技术分只给一点八，等待量价修复。</w:t>
      </w:r>
    </w:p>
    <w:p>
      <w:pPr>
        <w:pStyle w:val="Normal"/>
        <w:rPr/>
      </w:pPr>
      <w:r>
        <w:rPr/>
        <w:t>日</w:t>
      </w:r>
      <w:r>
        <w:rPr/>
        <w:t>RSI</w:t>
      </w:r>
      <w:r>
        <w:rPr/>
        <w:t>约三十一点九一，偏弱但未证明底；日</w:t>
      </w:r>
      <w:r>
        <w:rPr/>
        <w:t>MACD</w:t>
      </w:r>
      <w:r>
        <w:rPr/>
        <w:t>差值负五点二四、信号负四点五四，柱负一点四，动量仍弱。</w:t>
      </w:r>
      <w:r>
        <w:rPr/>
        <w:t>ATR</w:t>
      </w:r>
      <w:r>
        <w:rPr/>
        <w:t>约六点二八港元、价比六点六四，正常波动很大；周</w:t>
      </w:r>
      <w:r>
        <w:rPr/>
        <w:t>ATR</w:t>
      </w:r>
      <w:r>
        <w:rPr/>
        <w:t>价比更高，短周量比零点四三受休市交易日影响。辅助指标与均线量价结合，避免把多个相近指标重复加分，风险不以</w:t>
      </w:r>
      <w:r>
        <w:rPr/>
        <w:t>ATR</w:t>
      </w:r>
      <w:r>
        <w:rPr/>
        <w:t>数值定义绝对跌幅边界。</w:t>
      </w:r>
    </w:p>
    <w:p>
      <w:pPr>
        <w:pStyle w:val="Heading2"/>
        <w:rPr/>
      </w:pPr>
      <w:r>
        <w:rPr>
          <w:color w:val="000000"/>
        </w:rPr>
        <w:t xml:space="preserve">二十九 </w:t>
      </w:r>
      <w:r>
        <w:rPr>
          <w:color w:val="000000"/>
        </w:rPr>
        <w:t>PB</w:t>
      </w:r>
      <w:r>
        <w:rPr>
          <w:color w:val="000000"/>
        </w:rPr>
        <w:t>活动模型与正常利润交叉</w:t>
      </w:r>
    </w:p>
    <w:p>
      <w:pPr>
        <w:pStyle w:val="Normal"/>
        <w:rPr/>
      </w:pPr>
      <w:r>
        <w:rPr/>
        <w:t>活动价格用目标归母每股净資乘</w:t>
      </w:r>
      <w:r>
        <w:rPr/>
        <w:t>PB</w:t>
      </w:r>
      <w:r>
        <w:rPr/>
        <w:t>，再按美元兑港币七点八转换。六月实际归母权益加同控制收购净调整和截止前留存估计，目标期间正常归母利润用节点间梯形积分形成留存，减假设现金分红、</w:t>
      </w:r>
      <w:r>
        <w:rPr/>
        <w:t>OCI</w:t>
      </w:r>
      <w:r>
        <w:rPr/>
        <w:t>压力和减值，加净融资并增加股数。资本现金不全部直接扣权益，因为形成设备资产；成本折旧、现金缺口、融资稀释和回报要求体现建设代价，避免会计错误。</w:t>
      </w:r>
    </w:p>
    <w:p>
      <w:pPr>
        <w:pStyle w:val="Normal"/>
        <w:rPr/>
      </w:pPr>
      <w:r>
        <w:rPr/>
        <w:t>正常利润研究桥把原业务中百分之五十一工厂与全资桶分开，原收入减</w:t>
      </w:r>
      <w:r>
        <w:rPr/>
        <w:t>JV</w:t>
      </w:r>
      <w:r>
        <w:rPr/>
        <w:t>部分再加目标收入得到全资收入，各乘正常毛利并扣常态费用。集团税后利润扣少数股东份额，再加有限财资净项形成归母；亏损不假设即时税收返还。两桶数额、毛利与费用是研究假设，不是公司披露正式分部，适合解释产权和反证，不能称精确实际工厂毛利或未来审计预算。</w:t>
      </w:r>
    </w:p>
    <w:p>
      <w:pPr>
        <w:pStyle w:val="Normal"/>
        <w:rPr/>
      </w:pPr>
      <w:r>
        <w:rPr/>
        <w:t>PB</w:t>
      </w:r>
      <w:r>
        <w:rPr/>
        <w:t>本身需要资本回报支持，基准三年正常</w:t>
      </w:r>
      <w:r>
        <w:rPr/>
        <w:t>ROE</w:t>
      </w:r>
      <w:r>
        <w:rPr/>
        <w:t>约六点二五、五年六点六二，仍不足以仅靠稳定期超额收益解释三倍以上</w:t>
      </w:r>
      <w:r>
        <w:rPr/>
        <w:t>PB</w:t>
      </w:r>
      <w:r>
        <w:rPr/>
        <w:t>。这里高倍数反映继续成长和技术选择权，是进取假设而非成熟现金已证便宜。若用稳定剩余收益框架，</w:t>
      </w:r>
      <w:r>
        <w:rPr/>
        <w:t>ROE</w:t>
      </w:r>
      <w:r>
        <w:rPr/>
        <w:t>低于必要股本回报时</w:t>
      </w:r>
      <w:r>
        <w:rPr/>
        <w:t>PB</w:t>
      </w:r>
      <w:r>
        <w:rPr/>
        <w:t>理应受压，不能为高目标隐藏这一矛盾。推荐因此比仅看机构高目标更谨慎，远期估值需实际回报继续上升。</w:t>
      </w:r>
    </w:p>
    <w:p>
      <w:pPr>
        <w:pStyle w:val="Heading2"/>
        <w:rPr/>
      </w:pPr>
      <w:r>
        <w:rPr>
          <w:color w:val="000000"/>
        </w:rPr>
        <w:t>三十 估值水平与敏感性</w:t>
      </w:r>
    </w:p>
    <w:p>
      <w:pPr>
        <w:pStyle w:val="Normal"/>
        <w:rPr/>
      </w:pPr>
      <w:r>
        <w:rPr/>
        <w:t>按六月权益、收购基准净调整及截止留存假设，全普通股每股净资折港币约三十元，当前</w:t>
      </w:r>
      <w:r>
        <w:rPr/>
        <w:t>PB</w:t>
      </w:r>
      <w:r>
        <w:rPr/>
        <w:t>约三点二，并非跌幅大就低于账面。年底基准</w:t>
      </w:r>
      <w:r>
        <w:rPr/>
        <w:t>BV</w:t>
      </w:r>
      <w:r>
        <w:rPr/>
        <w:t>约三点八零四美元、</w:t>
      </w:r>
      <w:r>
        <w:rPr/>
        <w:t>PB</w:t>
      </w:r>
      <w:r>
        <w:rPr/>
        <w:t>三点四，目标一百零零点八九。若未来</w:t>
      </w:r>
      <w:r>
        <w:rPr/>
        <w:t>PB</w:t>
      </w:r>
      <w:r>
        <w:rPr/>
        <w:t>降而账面维持，价格仍可大跌，</w:t>
      </w:r>
      <w:r>
        <w:rPr/>
        <w:t>PB</w:t>
      </w:r>
      <w:r>
        <w:rPr/>
        <w:t>不能作为本金保障。账面资产中的设备、投资和限制现金需创造回报，才能支持超过账面的技术溢价。</w:t>
      </w:r>
    </w:p>
    <w:p>
      <w:pPr>
        <w:pStyle w:val="Normal"/>
        <w:rPr/>
      </w:pPr>
      <w:r>
        <w:rPr/>
        <w:t>一年基准</w:t>
      </w:r>
      <w:r>
        <w:rPr/>
        <w:t>BV</w:t>
      </w:r>
      <w:r>
        <w:rPr/>
        <w:t>约四点一七八美元、</w:t>
      </w:r>
      <w:r>
        <w:rPr/>
        <w:t>PB</w:t>
      </w:r>
      <w:r>
        <w:rPr/>
        <w:t>三点八，价格一百二十三点八五；</w:t>
      </w:r>
      <w:r>
        <w:rPr/>
        <w:t>PB</w:t>
      </w:r>
      <w:r>
        <w:rPr/>
        <w:t>每变一倍约影响三十二点六港元。净資每变一亿美元、分母近二十亿股时，对三点八倍价约影响一点五港元，说明倍数重估往往比短期利润留存更影响半年价格。融资价越低，同现金带来更多新增股，可能稀释</w:t>
      </w:r>
      <w:r>
        <w:rPr/>
        <w:t>BV</w:t>
      </w:r>
      <w:r>
        <w:rPr/>
        <w:t>；不能只加募集现金而固定分母，增资高价与低价情景差异应公开。</w:t>
      </w:r>
    </w:p>
    <w:p>
      <w:pPr>
        <w:pStyle w:val="Normal"/>
        <w:rPr/>
      </w:pPr>
      <w:r>
        <w:rPr/>
        <w:t>一年正常归母利润基准约三点九四七亿美元、每股约零点一九八，按目标折算</w:t>
      </w:r>
      <w:r>
        <w:rPr/>
        <w:t>PE</w:t>
      </w:r>
      <w:r>
        <w:rPr/>
        <w:t>仍很高，提醒资本回报改善尚未全部兑现。</w:t>
      </w:r>
      <w:r>
        <w:rPr/>
        <w:t>PB</w:t>
      </w:r>
      <w:r>
        <w:rPr/>
        <w:t>选择避免用超高</w:t>
      </w:r>
      <w:r>
        <w:rPr/>
        <w:t>PE</w:t>
      </w:r>
      <w:r>
        <w:rPr/>
        <w:t>直接设价，但不删除利润交叉；如果未来经营不能接近预期，高</w:t>
      </w:r>
      <w:r>
        <w:rPr/>
        <w:t>PB</w:t>
      </w:r>
      <w:r>
        <w:rPr/>
        <w:t>必然更难维持。成熟同行、历史范围与净資质量需共同比较，不把花旗高于历史两个标准差的</w:t>
      </w:r>
      <w:r>
        <w:rPr/>
        <w:t>PB</w:t>
      </w:r>
      <w:r>
        <w:rPr/>
        <w:t>当统计保证。模型高倍数是可反证假设，不是精确客观常数。</w:t>
      </w:r>
    </w:p>
    <w:p>
      <w:pPr>
        <w:pStyle w:val="Heading2"/>
        <w:rPr/>
      </w:pPr>
      <w:r>
        <w:rPr>
          <w:color w:val="000000"/>
        </w:rPr>
        <w:t>三十一 年底情景与期望值</w:t>
      </w:r>
    </w:p>
    <w:p>
      <w:pPr>
        <w:pStyle w:val="Normal"/>
        <w:rPr/>
      </w:pPr>
      <w:r>
        <w:rPr/>
        <w:t>年底悲观</w:t>
      </w:r>
      <w:r>
        <w:rPr/>
        <w:t>BV</w:t>
      </w:r>
      <w:r>
        <w:rPr/>
        <w:t>约三点四九九美元、</w:t>
      </w:r>
      <w:r>
        <w:rPr/>
        <w:t>PB</w:t>
      </w:r>
      <w:r>
        <w:rPr/>
        <w:t>一点七得四十六点四港元，归母正常盈利年率约五千七百八十三万美元。假设需求定价回报受压、</w:t>
      </w:r>
      <w:r>
        <w:rPr/>
        <w:t>OCI</w:t>
      </w:r>
      <w:r>
        <w:rPr/>
        <w:t>下降和减值，估值重回较低水平，跌幅约五成一；并不假设工厂收入为零。悲观仍有账面净資，但低回报与市场重估可让价格接近或低于某些资产参照，区间不是清算价格或最大风险线，实际融资和跳空仍可超出。</w:t>
      </w:r>
    </w:p>
    <w:p>
      <w:pPr>
        <w:pStyle w:val="Normal"/>
        <w:rPr/>
      </w:pPr>
      <w:r>
        <w:rPr/>
        <w:t>年底基准一百零零点八九、乐观一百五十六点一六，分别需要正常特色需求与更强价量回报得到市场认可。基准</w:t>
      </w:r>
      <w:r>
        <w:rPr/>
        <w:t>PB</w:t>
      </w:r>
      <w:r>
        <w:rPr/>
        <w:t>三点四、乐观五点一，不直接采用高盛三百三十五目标；年底前信息主要是新指引、收购后披露、工厂认证和价格修复。机构十二个月目标有更长经营窗口，不能按剩余月份线性折算，也不能把新闻目标替代独立净资和资本假设。</w:t>
      </w:r>
    </w:p>
    <w:p>
      <w:pPr>
        <w:pStyle w:val="Normal"/>
        <w:rPr/>
      </w:pPr>
      <w:r>
        <w:rPr/>
        <w:t>判断权重四分之一、二分之一、四分之一形成一百零一点零八五港元、空间近七个百分点，防御和积极分别八十四点六二一与一百一十七点五四九。权重变化使期望跨越现价，说明短期结论不稳健到可以只给乐观数。期望不是未来必到的价格，报告也未用历史频率估每种经营概率。半年的量价仍弱，年底边际空间有限，需与全名单其他公司的可验证收益和风险比较。</w:t>
      </w:r>
    </w:p>
    <w:p>
      <w:pPr>
        <w:pStyle w:val="Heading2"/>
        <w:rPr/>
      </w:pPr>
      <w:r>
        <w:rPr>
          <w:color w:val="000000"/>
        </w:rPr>
        <w:t>三十二 半年与一年投资判断</w:t>
      </w:r>
    </w:p>
    <w:p>
      <w:pPr>
        <w:pStyle w:val="Normal"/>
        <w:rPr/>
      </w:pPr>
      <w:r>
        <w:rPr/>
        <w:t>半年基准一百一十二点二三港元、价幅一成八七，目标前瞻集团收入约四十点六亿美元，正常归母利润约二点八六五億。全资桶增长、百分之五十一新厂毛利和收购整合共同支持，但资本现金和低</w:t>
      </w:r>
      <w:r>
        <w:rPr/>
        <w:t>ROE</w:t>
      </w:r>
      <w:r>
        <w:rPr/>
        <w:t>继续限制。期望催化是完整报告、订单价量、工厂验收及正常现金，图形须收复关键均线才有较强交易信心。半年不假设新分红或尚未完成融资无稀释到账。</w:t>
      </w:r>
    </w:p>
    <w:p>
      <w:pPr>
        <w:pStyle w:val="Normal"/>
        <w:rPr/>
      </w:pPr>
      <w:r>
        <w:rPr/>
        <w:t>半年悲观三十八点八六、乐观一百七十九点二六，</w:t>
      </w:r>
      <w:r>
        <w:rPr/>
        <w:t>PB</w:t>
      </w:r>
      <w:r>
        <w:rPr/>
        <w:t>一点四五和五点三，反映行业价格与市场溢价大幅差异。评分六十点五主要受技术一点八、风险二点七拖累，经营及行业较高并不能抵消全部图形弱。若九十附近失守、上涨量弱或实际毛利未改善，半年的逻辑需下调；若仅股价低而业绩好，也要解释资本回报和预期差，不能无条件称超跌机会。</w:t>
      </w:r>
    </w:p>
    <w:p>
      <w:pPr>
        <w:pStyle w:val="Normal"/>
        <w:rPr/>
      </w:pPr>
      <w:r>
        <w:rPr/>
        <w:t>一年基准一百二十三点八五、含息回报约三成一，正常利润接近部分机构后续年度预测，但归属、观察期和模型不同不能称一致共识。悲观三十一点零二、乐观一百九十九点八四，较宽区间反映新厂和融资不确定。一年得分六十九点二，需要完整组合财报验证同控制净资、正常费用与稀释，若新增资产只增收入而</w:t>
      </w:r>
      <w:r>
        <w:rPr/>
        <w:t>ROE</w:t>
      </w:r>
      <w:r>
        <w:rPr/>
        <w:t>和现金不改善，</w:t>
      </w:r>
      <w:r>
        <w:rPr/>
        <w:t>PB</w:t>
      </w:r>
      <w:r>
        <w:rPr/>
        <w:t>应下修而非继续靠市场空间支撑。</w:t>
      </w:r>
    </w:p>
    <w:p>
      <w:pPr>
        <w:pStyle w:val="Heading2"/>
        <w:rPr/>
      </w:pPr>
      <w:r>
        <w:rPr>
          <w:color w:val="000000"/>
        </w:rPr>
        <w:t>三十三 三年经营与反证</w:t>
      </w:r>
    </w:p>
    <w:p>
      <w:pPr>
        <w:pStyle w:val="Normal"/>
        <w:rPr/>
      </w:pPr>
      <w:r>
        <w:rPr/>
        <w:t>三年基准集团前瞻收入约六十三亿美元，全资与合并</w:t>
      </w:r>
      <w:r>
        <w:rPr/>
        <w:t>JV</w:t>
      </w:r>
      <w:r>
        <w:rPr/>
        <w:t>毛利扣常态费用后核心利润约九点二五亿美元；归母正常利润六点一零一亿，经济股约二十点五三五亿。</w:t>
      </w:r>
      <w:r>
        <w:rPr/>
        <w:t>BV</w:t>
      </w:r>
      <w:r>
        <w:rPr/>
        <w:t>约四点七五七美元、</w:t>
      </w:r>
      <w:r>
        <w:rPr/>
        <w:t>PB</w:t>
      </w:r>
      <w:r>
        <w:rPr/>
        <w:t>三点七，价格一百三十七点三，总回报四成五八、年化一成三四。成长有空间，但资本密集使每股回报未等同收入倍增，不能将工厂扩产新闻直接算成股价同倍数上涨。</w:t>
      </w:r>
    </w:p>
    <w:p>
      <w:pPr>
        <w:pStyle w:val="Normal"/>
        <w:rPr/>
      </w:pPr>
      <w:r>
        <w:rPr/>
        <w:t>三年得分七十三点八，经营和行业占更高权重，技术只占少量，风险二点五仍明显。悲观十八点八六、乐观二百三十三点三一要求完全不同工厂回报和估值。乐观正常</w:t>
      </w:r>
      <w:r>
        <w:rPr/>
        <w:t>ROE</w:t>
      </w:r>
      <w:r>
        <w:rPr/>
        <w:t>近一成，但高</w:t>
      </w:r>
      <w:r>
        <w:rPr/>
        <w:t>PB</w:t>
      </w:r>
      <w:r>
        <w:rPr/>
        <w:t>仍需继续增长；悲观亏损与低价融资降低每股净資。产能释放、价格、少数股东分享和资本义务互相影响，不可只保持乐观销售却忽略成本、归属和资金后果。</w:t>
      </w:r>
    </w:p>
    <w:p>
      <w:pPr>
        <w:pStyle w:val="Normal"/>
        <w:rPr/>
      </w:pPr>
      <w:r>
        <w:rPr/>
        <w:t>三年反证包括新平台不能重复量产、产能过剩导致</w:t>
      </w:r>
      <w:r>
        <w:rPr/>
        <w:t>ASP</w:t>
      </w:r>
      <w:r>
        <w:rPr/>
        <w:t>下降、折旧长期高于可收费工艺价值、收购资产减值、现金缺口需要大幅低价融资。即使国产供应需求持续，若每股利润和资本回报不足，普通股仍可能表现差。推荐应由业务质量和每股现金证明，不能以战略产业或国资支持自动推断股东必获超额收益。每期更新利润、净资和评分，结果同步总表而非仅加风险注脚。</w:t>
      </w:r>
    </w:p>
    <w:p>
      <w:pPr>
        <w:pStyle w:val="Heading2"/>
        <w:rPr/>
      </w:pPr>
      <w:r>
        <w:rPr>
          <w:color w:val="000000"/>
        </w:rPr>
        <w:t>三十四 五年与十年持续性</w:t>
      </w:r>
    </w:p>
    <w:p>
      <w:pPr>
        <w:pStyle w:val="Normal"/>
        <w:rPr/>
      </w:pPr>
      <w:r>
        <w:rPr/>
        <w:t>五年基准集团收入约八十一点二亿美元、核心利润十二点三二亿美元、归母正常七点七二四亿，</w:t>
      </w:r>
      <w:r>
        <w:rPr/>
        <w:t>BV</w:t>
      </w:r>
      <w:r>
        <w:rPr/>
        <w:t>约五点四八六美元、</w:t>
      </w:r>
      <w:r>
        <w:rPr/>
        <w:t>PB</w:t>
      </w:r>
      <w:r>
        <w:rPr/>
        <w:t>三点四，目标一百四十五点四九。累计息一港元三角、年化约九点二，经营成长部分被估值成熟、资本和股数抵消。得分六十八点二低于三年，提示长期成本及竞争需要更高证据，不把时间延长当自然提高确定性。</w:t>
      </w:r>
    </w:p>
    <w:p>
      <w:pPr>
        <w:pStyle w:val="Normal"/>
        <w:rPr/>
      </w:pPr>
      <w:r>
        <w:rPr/>
        <w:t>五年乐观二百六十四点五四要求收入一百二十点五亿美元、高端组合、毛利及资本回报持续改善，</w:t>
      </w:r>
      <w:r>
        <w:rPr/>
        <w:t>ROE</w:t>
      </w:r>
      <w:r>
        <w:rPr/>
        <w:t>约一成零七；悲观十四点二二则为长期亏损、稀释与资产重估。范围不是统计预测，需求、税、工艺和融资可能出现其他路径。大额赎回和新平台资本义务需在届时核，现阶段没有精确条款不能填造固定收益率并称准确</w:t>
      </w:r>
      <w:r>
        <w:rPr/>
        <w:t>DCF</w:t>
      </w:r>
      <w:r>
        <w:rPr/>
        <w:t>；披露不足对风险分和可信度有直接影响。</w:t>
      </w:r>
    </w:p>
    <w:p>
      <w:pPr>
        <w:pStyle w:val="Normal"/>
        <w:rPr/>
      </w:pPr>
      <w:r>
        <w:rPr/>
        <w:t>十年展望是公司能否维持可靠特色工艺、设计生态和量产经验，在汽车、电源、存储和控制中不断提供可收费价值。技术成熟、客户自研、替代材料、区域供给与设备更新都可能压低回报，集团支持不能替代资本纪律。若每代增长都需更多资本而</w:t>
      </w:r>
      <w:r>
        <w:rPr/>
        <w:t>ROE</w:t>
      </w:r>
      <w:r>
        <w:rPr/>
        <w:t>不升，净资产扩张可能只是规模壮大。长期成立条件是普通股正常现金与回报高于持续融资和技术投入成本，本章不造十年精确价格。</w:t>
      </w:r>
    </w:p>
    <w:p>
      <w:pPr>
        <w:pStyle w:val="Heading2"/>
        <w:rPr/>
      </w:pPr>
      <w:r>
        <w:rPr>
          <w:color w:val="000000"/>
        </w:rPr>
        <w:t>三十五 外资目标分歧与使用方法</w:t>
      </w:r>
    </w:p>
    <w:p>
      <w:pPr>
        <w:pStyle w:val="Normal"/>
        <w:rPr/>
      </w:pPr>
      <w:r>
        <w:rPr/>
        <w:t>高盛九月二十二日公开正文明确十二个月三百三十五港元、买入，旧七月三百三十三已去重；其长期利润改善和技术扩张路径较积极。花旗八月十七日一百七十五、买入，引用后续平均</w:t>
      </w:r>
      <w:r>
        <w:rPr/>
        <w:t>BV</w:t>
      </w:r>
      <w:r>
        <w:rPr/>
        <w:t>五倍，且自述高于历史范围约两个标准差。它不是未来获利的统计置信区间，也不证明所有高倍数会维持。两家报告目标观察与盈利假设需要分别核，不能只比较价格高低。</w:t>
      </w:r>
    </w:p>
    <w:p>
      <w:pPr>
        <w:pStyle w:val="Normal"/>
        <w:rPr/>
      </w:pPr>
      <w:r>
        <w:rPr/>
        <w:t>美银八月十四日六十九港元、跑输，担心折旧和估值，高于以前目标但评级仍谨慎；里昂同日公开正文一百九十、跑赢，预测后两年利润约三点七九和四点八三亿美元；中银国际七月三十日二百一十、买入，作为中资国际单列。跨股新闻中评级和目标需按华虹对应，不继承同篇中芯持有评级。除高盛明确十二个月，其余目标期未明，使用哪年盈利或</w:t>
      </w:r>
      <w:r>
        <w:rPr/>
        <w:t>BV</w:t>
      </w:r>
      <w:r>
        <w:rPr/>
        <w:t>不能替代期限。</w:t>
      </w:r>
    </w:p>
    <w:p>
      <w:pPr>
        <w:pStyle w:val="Normal"/>
        <w:rPr/>
      </w:pPr>
      <w:r>
        <w:rPr/>
        <w:t>全部机构资料是公开新闻转述，原始研报未取得，同机构仅保留最新有效、重复转载不增加共识。三百三十五与六十九巨大差异说明资本回报、折旧与估值判断分歧，不能平均后称真实公允价。独立活动模型更强调同控制每股净资与低</w:t>
      </w:r>
      <w:r>
        <w:rPr/>
        <w:t>ROE</w:t>
      </w:r>
      <w:r>
        <w:rPr/>
        <w:t>约束，故一年基准较多高目标低。若实际回报超预期可以上修，但须更新正常利润、权益和资本数据，不靠最高目标选择性支持。</w:t>
      </w:r>
    </w:p>
    <w:p>
      <w:pPr>
        <w:pStyle w:val="Heading2"/>
        <w:rPr/>
      </w:pPr>
      <w:r>
        <w:rPr>
          <w:color w:val="000000"/>
        </w:rPr>
        <w:t>三十六 风险 缺口与持续核验</w:t>
      </w:r>
    </w:p>
    <w:p>
      <w:pPr>
        <w:pStyle w:val="Normal"/>
        <w:rPr/>
      </w:pPr>
      <w:r>
        <w:rPr/>
        <w:t>宏观风险通过消费电子、工业汽车、客户资金成本和价格传导；政策通过设备许可、供应、安全客户与税影响。人民币功能币、美元列报、港币股价和人民币投资资金四种口径需区分，汇率变化不简单相加。公司在成熟特色市场有真实技术与认证经验，全球供给扩张和客户竞争仍可能压价。研究不为未知政策补造确定损失，也不因行业战略重要而忽略每股回报与治理。</w:t>
      </w:r>
    </w:p>
    <w:p>
      <w:pPr>
        <w:pStyle w:val="Normal"/>
        <w:rPr/>
      </w:pPr>
      <w:r>
        <w:rPr/>
        <w:t>重要缺口包括九月完成后的真实组合权益与重列、目标近期利润、各工厂完整毛利费用现金、配套融资最终价格股数、</w:t>
      </w:r>
      <w:r>
        <w:rPr/>
        <w:t>JVIII</w:t>
      </w:r>
      <w:r>
        <w:rPr/>
        <w:t>缴付投产及赎回确切成本、完整换手逐笔和大多数原研报目标期限。缺口不填成零或既成事实，研究输入标为假设，未来资料到来标待刷新。每次刷新统一重算三个情景、四评分、价格回报与文件核心数，避免旧快照被误认已经最新。</w:t>
      </w:r>
    </w:p>
    <w:p>
      <w:pPr>
        <w:pStyle w:val="Normal"/>
        <w:rPr/>
      </w:pPr>
      <w:r>
        <w:rPr/>
        <w:t>华虹的成长机会在特色需求、工艺升级、客户认证与产能利用，主要约束是低资本回报、高资本现金和复杂归属。半年偏等待趋势与报告，一年三年候选需正常盈利和净资验证，五年要求现金和资本纪律跨周期成立。股价大跌和高盛高目标都不能单独决定推荐；经营和每股模型证据若被推翻，价与分数同步下修，保留这一可反证路径才使进取研究可核验。</w:t>
      </w:r>
    </w:p>
    <w:p>
      <w:pPr>
        <w:pStyle w:val="Heading2"/>
        <w:rPr/>
      </w:pPr>
      <w:r>
        <w:rPr>
          <w:color w:val="000000"/>
        </w:rPr>
        <w:t>来源与模型核验</w:t>
      </w:r>
    </w:p>
    <w:p>
      <w:pPr>
        <w:pStyle w:val="Normal"/>
        <w:rPr/>
      </w:pPr>
      <w:r>
        <w:rPr/>
        <w:t>- [HUAHONG-annual</w:t>
      </w:r>
      <w:r>
        <w:rPr/>
        <w:t>：</w:t>
      </w:r>
      <w:r>
        <w:rPr/>
        <w:t>FY2025</w:t>
      </w:r>
      <w:r>
        <w:rPr/>
        <w:t>年报，</w:t>
      </w:r>
      <w:r>
        <w:rPr/>
        <w:t>2026-04-09 18:06](https://www1.hkexnews.hk/listedco/listconews/sehk/2026/0409/2026040901617.pdf)</w:t>
      </w:r>
      <w:r>
        <w:rPr/>
        <w:t>；</w:t>
      </w:r>
      <w:r>
        <w:rPr/>
        <w:t>[</w:t>
      </w:r>
      <w:r>
        <w:rPr/>
        <w:t>年度业绩，</w:t>
      </w:r>
      <w:r>
        <w:rPr/>
        <w:t>2026-03-26 22:22](https://www1.hkexnews.hk/listedco/listconews/sehk/2026/0326/2026032602730.pdf)</w:t>
      </w:r>
      <w:r>
        <w:rPr/>
        <w:t>。</w:t>
      </w:r>
      <w:r>
        <w:rPr/>
        <w:t>USD</w:t>
      </w:r>
      <w:r>
        <w:rPr/>
        <w:t>千元转百万，管理含</w:t>
      </w:r>
      <w:r>
        <w:rPr/>
        <w:t>RD</w:t>
      </w:r>
      <w:r>
        <w:rPr/>
        <w:t>，不重复扣。</w:t>
      </w:r>
    </w:p>
    <w:p>
      <w:pPr>
        <w:pStyle w:val="Normal"/>
        <w:rPr/>
      </w:pPr>
      <w:r>
        <w:rPr/>
        <w:t>- [HUAHONG-interim</w:t>
      </w:r>
      <w:r>
        <w:rPr/>
        <w:t>：</w:t>
      </w:r>
      <w:r>
        <w:rPr/>
        <w:t>H1</w:t>
      </w:r>
      <w:r>
        <w:rPr/>
        <w:t>中报，</w:t>
      </w:r>
      <w:r>
        <w:rPr/>
        <w:t>2026-09-02 16:30](https://www1.hkexnews.hk/listedco/listconews/sehk/2026/0902/2026090200736.pdf)</w:t>
      </w:r>
      <w:r>
        <w:rPr/>
        <w:t>；</w:t>
      </w:r>
      <w:r>
        <w:rPr/>
        <w:t>[H1</w:t>
      </w:r>
      <w:r>
        <w:rPr/>
        <w:t>业绩，</w:t>
      </w:r>
      <w:r>
        <w:rPr/>
        <w:t>2026-08-26 18:25](https://www1.hkexnews.hk/listedco/listconews/sehk/2026/0826/2026082600917.pdf)</w:t>
      </w:r>
      <w:r>
        <w:rPr/>
        <w:t>。集团亏</w:t>
      </w:r>
      <w:r>
        <w:rPr/>
        <w:t>/</w:t>
      </w:r>
      <w:r>
        <w:rPr/>
        <w:t>归母正</w:t>
      </w:r>
      <w:r>
        <w:rPr/>
        <w:t>/NCI</w:t>
      </w:r>
      <w:r>
        <w:rPr/>
        <w:t>负、</w:t>
      </w:r>
      <w:r>
        <w:rPr/>
        <w:t>OCI</w:t>
      </w:r>
      <w:r>
        <w:rPr/>
        <w:t>、资本承诺和现金分别记录。</w:t>
      </w:r>
    </w:p>
    <w:p>
      <w:pPr>
        <w:pStyle w:val="Normal"/>
        <w:rPr/>
      </w:pPr>
      <w:r>
        <w:rPr/>
        <w:t>- [Q2</w:t>
      </w:r>
      <w:r>
        <w:rPr/>
        <w:t>业绩，</w:t>
      </w:r>
      <w:r>
        <w:rPr/>
        <w:t>2026-08-13 16:40](https://www1.hkexnews.hk/listedco/listconews/sehk/2026/0813/2026081300401.pdf)</w:t>
      </w:r>
      <w:r>
        <w:rPr/>
        <w:t>。利用率</w:t>
      </w:r>
      <w:r>
        <w:rPr/>
        <w:t>102.8%</w:t>
      </w:r>
      <w:r>
        <w:rPr/>
        <w:t>、</w:t>
      </w:r>
      <w:r>
        <w:rPr/>
        <w:t>ROE2.4%</w:t>
      </w:r>
      <w:r>
        <w:rPr/>
        <w:t>、</w:t>
      </w:r>
      <w:r>
        <w:rPr/>
        <w:t>Q3</w:t>
      </w:r>
      <w:r>
        <w:rPr/>
        <w:t>指引为正式公开前瞻。</w:t>
      </w:r>
    </w:p>
    <w:p>
      <w:pPr>
        <w:pStyle w:val="Normal"/>
        <w:rPr/>
      </w:pPr>
      <w:r>
        <w:rPr/>
        <w:t>- [</w:t>
      </w:r>
      <w:r>
        <w:rPr/>
        <w:t>收购通函，</w:t>
      </w:r>
      <w:r>
        <w:rPr/>
        <w:t>2026-01-22 06:01](https://www1.hkexnews.hk/listedco/listconews/sehk/2026/0122/2026012200001.pdf)</w:t>
      </w:r>
      <w:r>
        <w:rPr/>
        <w:t>。同控制账面，旧</w:t>
      </w:r>
      <w:r>
        <w:rPr/>
        <w:t>proforma</w:t>
      </w:r>
      <w:r>
        <w:rPr/>
        <w:t>归母</w:t>
      </w:r>
      <w:r>
        <w:rPr/>
        <w:t>6299.902→6432.532mUSD</w:t>
      </w:r>
      <w:r>
        <w:rPr/>
        <w:t>，总权益</w:t>
      </w:r>
      <w:r>
        <w:rPr/>
        <w:t>9006.273</w:t>
      </w:r>
      <w:r>
        <w:rPr/>
        <w:t>非归母。</w:t>
      </w:r>
    </w:p>
    <w:p>
      <w:pPr>
        <w:pStyle w:val="Normal"/>
        <w:rPr/>
      </w:pPr>
      <w:r>
        <w:rPr/>
        <w:t>- [</w:t>
      </w:r>
      <w:r>
        <w:rPr/>
        <w:t>交易完成，</w:t>
      </w:r>
      <w:r>
        <w:rPr/>
        <w:t>2026-09-11 16:41](https://www1.hkexnews.hk/listedco/listconews/sehk/2026/0911/2026091100436.pdf)</w:t>
      </w:r>
      <w:r>
        <w:rPr/>
        <w:t>。完成</w:t>
      </w:r>
      <w:r>
        <w:rPr/>
        <w:t>9/9</w:t>
      </w:r>
      <w:r>
        <w:rPr/>
        <w:t>、新</w:t>
      </w:r>
      <w:r>
        <w:rPr/>
        <w:t>190768392A</w:t>
      </w:r>
      <w:r>
        <w:rPr/>
        <w:t>股、全</w:t>
      </w:r>
      <w:r>
        <w:rPr/>
        <w:t>1928494794</w:t>
      </w:r>
      <w:r>
        <w:rPr/>
        <w:t>，目标全资。</w:t>
      </w:r>
    </w:p>
    <w:p>
      <w:pPr>
        <w:pStyle w:val="Normal"/>
        <w:rPr/>
      </w:pPr>
      <w:r>
        <w:rPr/>
        <w:t>- [</w:t>
      </w:r>
      <w:r>
        <w:rPr/>
        <w:t>修订九月月报，</w:t>
      </w:r>
      <w:r>
        <w:rPr/>
        <w:t>2026-10-08 15:02](https://www1.hkexnews.hk/listedco/listconews/sehk/2026/1008/2026100800287.pdf)</w:t>
      </w:r>
      <w:r>
        <w:rPr/>
        <w:t>。</w:t>
      </w:r>
      <w:r>
        <w:rPr/>
        <w:t>HK1329976402</w:t>
      </w:r>
      <w:r>
        <w:rPr/>
        <w:t>、</w:t>
      </w:r>
      <w:r>
        <w:rPr/>
        <w:t>RMB598518392</w:t>
      </w:r>
      <w:r>
        <w:rPr/>
        <w:t>、库存</w:t>
      </w:r>
      <w:r>
        <w:rPr/>
        <w:t>0</w:t>
      </w:r>
      <w:r>
        <w:rPr/>
        <w:t>。</w:t>
      </w:r>
    </w:p>
    <w:p>
      <w:pPr>
        <w:pStyle w:val="Normal"/>
        <w:rPr/>
      </w:pPr>
      <w:r>
        <w:rPr/>
        <w:t>- [JVIII</w:t>
      </w:r>
      <w:r>
        <w:rPr/>
        <w:t>协议，</w:t>
      </w:r>
      <w:r>
        <w:rPr/>
        <w:t>2026-09-01 21:15](https://www1.hkexnews.hk/listedco/listconews/sehk/2026/0901/2026090103625.pdf)</w:t>
      </w:r>
      <w:r>
        <w:rPr/>
        <w:t>；</w:t>
      </w:r>
      <w:r>
        <w:rPr/>
        <w:t>[9/29 16:45</w:t>
      </w:r>
      <w:r>
        <w:rPr/>
        <w:t>固定回报赎回补充</w:t>
      </w:r>
      <w:r>
        <w:rPr/>
        <w:t>](https://www1.hkexnews.hk/listedco/listconews/sehk/2026/0929/2026092900620.pdf)</w:t>
      </w:r>
      <w:r>
        <w:rPr/>
        <w:t>；</w:t>
      </w:r>
      <w:r>
        <w:rPr/>
        <w:t>[9/23 22:29</w:t>
      </w:r>
      <w:r>
        <w:rPr/>
        <w:t>股东批准</w:t>
      </w:r>
      <w:r>
        <w:rPr/>
        <w:t>](https://www1.hkexnews.hk/listedco/listconews/sehk/2026/0923/2026092301759.pdf)</w:t>
      </w:r>
      <w:r>
        <w:rPr/>
        <w:t>。批准非全部投产。</w:t>
      </w:r>
    </w:p>
    <w:p>
      <w:pPr>
        <w:pStyle w:val="Normal"/>
        <w:rPr/>
      </w:pPr>
      <w:r>
        <w:rPr/>
        <w:t>- [9/4 17:19</w:t>
      </w:r>
      <w:r>
        <w:rPr/>
        <w:t>募集用途通函</w:t>
      </w:r>
      <w:r>
        <w:rPr/>
        <w:t>](https://www1.hkexnews.hk/listedco/listconews/sehk/2026/0904/2026090401194.pdf)</w:t>
      </w:r>
      <w:r>
        <w:rPr/>
        <w:t>；</w:t>
      </w:r>
      <w:r>
        <w:rPr/>
        <w:t>[10/8 17:54</w:t>
      </w:r>
      <w:r>
        <w:rPr/>
        <w:t>专户协议</w:t>
      </w:r>
      <w:r>
        <w:rPr/>
        <w:t>](https://www1.hkexnews.hk/listedco/listconews/sehk/2026/1008/2026100800763_c.pdf)</w:t>
      </w:r>
      <w:r>
        <w:rPr/>
        <w:t>。旧</w:t>
      </w:r>
      <w:r>
        <w:rPr/>
        <w:t>2023</w:t>
      </w:r>
      <w:r>
        <w:rPr/>
        <w:t>募集余额用途，不是</w:t>
      </w:r>
      <w:r>
        <w:rPr/>
        <w:t>2026</w:t>
      </w:r>
      <w:r>
        <w:rPr/>
        <w:t>新配套到账。</w:t>
      </w:r>
    </w:p>
    <w:p>
      <w:pPr>
        <w:pStyle w:val="Normal"/>
        <w:rPr/>
      </w:pPr>
      <w:r>
        <w:rPr/>
        <w:t>- [10/8 17:47</w:t>
      </w:r>
      <w:r>
        <w:rPr/>
        <w:t>母集团股权调整</w:t>
      </w:r>
      <w:r>
        <w:rPr/>
        <w:t>](https://www1.hkexnews.hk/listedco/listconews/sehk/2026/1008/2026100800745_c.pdf)</w:t>
      </w:r>
      <w:r>
        <w:rPr/>
        <w:t>。无上市股数变动，不把母增资加上市现金。</w:t>
      </w:r>
    </w:p>
    <w:p>
      <w:pPr>
        <w:pStyle w:val="Normal"/>
        <w:rPr/>
      </w:pPr>
      <w:r>
        <w:rPr/>
        <w:t>- [9/29 16:30</w:t>
      </w:r>
      <w:r>
        <w:rPr/>
        <w:t>拟期权方案</w:t>
      </w:r>
      <w:r>
        <w:rPr/>
        <w:t>](https://www1.hkexnews.hk/listedco/listconews/sehk/2026/0929/2026092900366.pdf)</w:t>
      </w:r>
      <w:r>
        <w:rPr/>
        <w:t>；</w:t>
      </w:r>
      <w:r>
        <w:rPr/>
        <w:t>[6/3 20:36</w:t>
      </w:r>
      <w:r>
        <w:rPr/>
        <w:t>改名</w:t>
      </w:r>
      <w:r>
        <w:rPr/>
        <w:t>](https://www1.hkexnews.hk/listedco/listconews/sehk/2026/0603/2026060302470.pdf)</w:t>
      </w:r>
      <w:r>
        <w:rPr/>
        <w:t>。拟</w:t>
      </w:r>
      <w:r>
        <w:rPr/>
        <w:t>10/22</w:t>
      </w:r>
      <w:r>
        <w:rPr/>
        <w:t>会议未回填。</w:t>
      </w:r>
    </w:p>
    <w:p>
      <w:pPr>
        <w:pStyle w:val="Normal"/>
        <w:rPr/>
      </w:pPr>
      <w:r>
        <w:rPr/>
        <w:t xml:space="preserve">- </w:t>
      </w:r>
      <w:r>
        <w:rPr/>
        <w:t>机构日期目标评级期限链接见</w:t>
      </w:r>
      <w:r>
        <w:rPr/>
        <w:t>data/huahong_model.json</w:t>
      </w:r>
      <w:r>
        <w:rPr/>
        <w:t>：高盛最新正文</w:t>
      </w:r>
      <w:r>
        <w:rPr/>
        <w:t>12</w:t>
      </w:r>
      <w:r>
        <w:rPr/>
        <w:t>个月，其余公开目标期未明；原始研报未取得，新闻转述，中银单列。</w:t>
      </w:r>
    </w:p>
    <w:p>
      <w:pPr>
        <w:pStyle w:val="Normal"/>
        <w:rPr/>
      </w:pPr>
      <w:r>
        <w:rPr/>
        <w:t xml:space="preserve">- </w:t>
      </w:r>
      <w:r>
        <w:rPr/>
        <w:t>行情锁定</w:t>
      </w:r>
      <w:r>
        <w:rPr/>
        <w:t>data/market_snapshot_locked.json S081</w:t>
      </w:r>
      <w:r>
        <w:rPr/>
        <w:t>：</w:t>
      </w:r>
      <w:r>
        <w:rPr/>
        <w:t>739</w:t>
      </w:r>
      <w:r>
        <w:rPr/>
        <w:t>日</w:t>
      </w:r>
      <w:r>
        <w:rPr/>
        <w:t>157</w:t>
      </w:r>
      <w:r>
        <w:rPr/>
        <w:t>周、基准归一复权、股数单位，</w:t>
      </w:r>
      <w:r>
        <w:rPr/>
        <w:t>Yahoo/Tencent</w:t>
      </w:r>
      <w:r>
        <w:rPr/>
        <w:t>历史与</w:t>
      </w:r>
      <w:r>
        <w:rPr/>
        <w:t>Tencent/Sina</w:t>
      </w:r>
      <w:r>
        <w:rPr/>
        <w:t>收盘交叉，无</w:t>
      </w:r>
      <w:r>
        <w:rPr/>
        <w:t>250</w:t>
      </w:r>
      <w:r>
        <w:rPr/>
        <w:t>周</w:t>
      </w:r>
      <w:r>
        <w:rPr/>
        <w:t>/</w:t>
      </w:r>
      <w:r>
        <w:rPr/>
        <w:t>逐笔缺口不填造。</w:t>
      </w:r>
    </w:p>
    <w:p>
      <w:pPr>
        <w:pStyle w:val="Normal"/>
        <w:widowControl/>
        <w:bidi w:val="0"/>
        <w:spacing w:lineRule="auto" w:line="336" w:before="0" w:after="140"/>
        <w:jc w:val="start"/>
        <w:rPr/>
      </w:pPr>
      <w:r>
        <w:rPr/>
        <w:t xml:space="preserve">- </w:t>
      </w:r>
      <w:r>
        <w:rPr/>
        <w:t>活动模型</w:t>
      </w:r>
      <w:r>
        <w:rPr/>
        <w:t>data/huahong_model.json</w:t>
      </w:r>
      <w:r>
        <w:rPr/>
        <w:t>，独立</w:t>
      </w:r>
      <w:r>
        <w:rPr/>
        <w:t>qa/huahong_qa.json</w:t>
      </w:r>
      <w:r>
        <w:rPr/>
        <w:t>；复算两产权桶、亏损税、归属、留存积分、资本现金、</w:t>
      </w:r>
      <w:r>
        <w:rPr/>
        <w:t>15</w:t>
      </w:r>
      <w:r>
        <w:rPr/>
        <w:t>组</w:t>
      </w:r>
      <w:r>
        <w:rPr/>
        <w:t>PB</w:t>
      </w:r>
      <w:r>
        <w:rPr/>
        <w:t>价格、四评分及字数。最终</w:t>
      </w:r>
      <w:r>
        <w:rPr/>
        <w:t>Word/PDF</w:t>
      </w:r>
      <w:r>
        <w:rPr/>
        <w:t>视觉及跨表数一致由根集成核验。</w:t>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158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158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2026-10-11T15:19:21Z</dcterms:modified>
  <cp:revision>2</cp:revision>
  <dc:subject>研究数据版本 f94f3d19b4e62e0b</dc:subject>
  <dc:title>公司深研 · 第06卷</dc:title>
</cp:coreProperties>
</file>

<file path=docProps/custom.xml><?xml version="1.0" encoding="utf-8"?>
<Properties xmlns="http://schemas.openxmlformats.org/officeDocument/2006/custom-properties" xmlns:vt="http://schemas.openxmlformats.org/officeDocument/2006/docPropsVTypes"/>
</file>