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08</w:t>
      </w:r>
      <w:r>
        <w:rPr>
          <w:color w:val="000000"/>
        </w:rPr>
        <w:t>卷</w:t>
      </w:r>
    </w:p>
    <w:p>
      <w:pPr>
        <w:pStyle w:val="Normal"/>
        <w:rPr/>
      </w:pPr>
      <w:r>
        <w:rPr/>
        <w:t>阶段收录</w:t>
      </w:r>
      <w:r>
        <w:rPr/>
        <w:t>8</w:t>
      </w:r>
      <w:r>
        <w:rPr/>
        <w:t>家公司 剩余公司接入后按统一规则更新卷次</w:t>
      </w:r>
    </w:p>
    <w:p>
      <w:pPr>
        <w:pStyle w:val="Normal"/>
        <w:rPr/>
      </w:pPr>
      <w:r>
        <w:rPr/>
        <w:t>资料截止：</w:t>
      </w:r>
      <w:r>
        <w:rPr/>
        <w:t>2026</w:t>
      </w:r>
      <w:r>
        <w:rPr/>
        <w:t>年</w:t>
      </w:r>
      <w:r>
        <w:rPr/>
        <w:t>10</w:t>
      </w:r>
      <w:r>
        <w:rPr/>
        <w:t>月</w:t>
      </w:r>
      <w:r>
        <w:rPr/>
        <w:t>9</w:t>
      </w:r>
      <w:r>
        <w:rPr/>
        <w:t>日。所有未来价格、盈利、估值、分红和汇率均为研究假设。研究范围为</w:t>
      </w:r>
      <w:r>
        <w:rPr/>
        <w:t>92</w:t>
      </w:r>
      <w:r>
        <w:rPr/>
        <w:t>家公司、</w:t>
      </w:r>
      <w:r>
        <w:rPr/>
        <w:t>96</w:t>
      </w:r>
      <w:r>
        <w:rPr/>
        <w:t>个股票证券。当前纳入</w:t>
      </w:r>
      <w:r>
        <w:rPr/>
        <w:t>91</w:t>
      </w:r>
      <w:r>
        <w:rPr/>
        <w:t>家公司模型，</w:t>
      </w:r>
      <w:r>
        <w:rPr/>
        <w:t>91</w:t>
      </w:r>
      <w:r>
        <w:rPr/>
        <w:t>家正文通过一万有效汉字门槛，剩余</w:t>
      </w:r>
      <w:r>
        <w:rPr/>
        <w:t>1</w:t>
      </w:r>
      <w:r>
        <w:rPr/>
        <w:t xml:space="preserve">家公司深研待补齐。阶段排名仅纳入已完成且具备可评估条件的证券。公司深研卷收录已达到正文门槛的公司；剩余内容按研究状态继续补齐。初版结论可随新增证据修订。数据版本 </w:t>
      </w:r>
      <w:r>
        <w:rPr/>
        <w:t>f94f3d19b4e62e0b</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47867_312338234" w:tooltip="复星医药 02196 HK">
            <w:r>
              <w:rPr>
                <w:rStyle w:val="Style5"/>
              </w:rPr>
              <w:t xml:space="preserve">复星医药 </w:t>
            </w:r>
            <w:r>
              <w:rPr>
                <w:rStyle w:val="Style5"/>
              </w:rPr>
              <w:t>02196 HK</w:t>
              <w:tab/>
              <w:t>3</w:t>
            </w:r>
          </w:hyperlink>
        </w:p>
        <w:p>
          <w:pPr>
            <w:pStyle w:val="TOC1"/>
            <w:tabs>
              <w:tab w:val="clear" w:pos="9858"/>
              <w:tab w:val="right" w:pos="9857" w:leader="dot"/>
            </w:tabs>
            <w:rPr/>
          </w:pPr>
          <w:hyperlink w:anchor="__RefHeading___Toc47869_312338234" w:tooltip="快手 W 01024 HK">
            <w:r>
              <w:rPr>
                <w:rStyle w:val="Style5"/>
              </w:rPr>
              <w:t xml:space="preserve">快手 </w:t>
            </w:r>
            <w:r>
              <w:rPr>
                <w:rStyle w:val="Style5"/>
              </w:rPr>
              <w:t>W 01024 HK</w:t>
              <w:tab/>
              <w:t>24</w:t>
            </w:r>
          </w:hyperlink>
        </w:p>
        <w:p>
          <w:pPr>
            <w:pStyle w:val="TOC1"/>
            <w:tabs>
              <w:tab w:val="clear" w:pos="9858"/>
              <w:tab w:val="right" w:pos="9857" w:leader="dot"/>
            </w:tabs>
            <w:rPr/>
          </w:pPr>
          <w:hyperlink w:anchor="__RefHeading___Toc47871_312338234" w:tooltip="同程旅行 00780 HK">
            <w:r>
              <w:rPr>
                <w:rStyle w:val="Style5"/>
              </w:rPr>
              <w:t xml:space="preserve">同程旅行 </w:t>
            </w:r>
            <w:r>
              <w:rPr>
                <w:rStyle w:val="Style5"/>
              </w:rPr>
              <w:t>00780 HK</w:t>
              <w:tab/>
              <w:t>44</w:t>
            </w:r>
          </w:hyperlink>
        </w:p>
        <w:p>
          <w:pPr>
            <w:pStyle w:val="TOC1"/>
            <w:tabs>
              <w:tab w:val="clear" w:pos="9858"/>
              <w:tab w:val="right" w:pos="9857" w:leader="dot"/>
            </w:tabs>
            <w:rPr/>
          </w:pPr>
          <w:hyperlink w:anchor="__RefHeading___Toc47873_312338234" w:tooltip="益方生物 688382 SH">
            <w:r>
              <w:rPr>
                <w:rStyle w:val="Style5"/>
              </w:rPr>
              <w:t xml:space="preserve">益方生物 </w:t>
            </w:r>
            <w:r>
              <w:rPr>
                <w:rStyle w:val="Style5"/>
              </w:rPr>
              <w:t>688382 SH</w:t>
              <w:tab/>
              <w:t>68</w:t>
            </w:r>
          </w:hyperlink>
        </w:p>
        <w:p>
          <w:pPr>
            <w:pStyle w:val="TOC1"/>
            <w:tabs>
              <w:tab w:val="clear" w:pos="9858"/>
              <w:tab w:val="right" w:pos="9857" w:leader="dot"/>
            </w:tabs>
            <w:rPr/>
          </w:pPr>
          <w:hyperlink w:anchor="__RefHeading___Toc47875_312338234" w:tooltip="中国同辐 01763 HK">
            <w:r>
              <w:rPr>
                <w:rStyle w:val="Style5"/>
              </w:rPr>
              <w:t xml:space="preserve">中国同辐 </w:t>
            </w:r>
            <w:r>
              <w:rPr>
                <w:rStyle w:val="Style5"/>
              </w:rPr>
              <w:t>01763 HK</w:t>
              <w:tab/>
              <w:t>87</w:t>
            </w:r>
          </w:hyperlink>
        </w:p>
        <w:p>
          <w:pPr>
            <w:pStyle w:val="TOC1"/>
            <w:tabs>
              <w:tab w:val="clear" w:pos="9858"/>
              <w:tab w:val="right" w:pos="9857" w:leader="dot"/>
            </w:tabs>
            <w:rPr/>
          </w:pPr>
          <w:hyperlink w:anchor="__RefHeading___Toc47877_312338234" w:tooltip="海创药业 688302 SH">
            <w:r>
              <w:rPr>
                <w:rStyle w:val="Style5"/>
              </w:rPr>
              <w:t xml:space="preserve">海创药业 </w:t>
            </w:r>
            <w:r>
              <w:rPr>
                <w:rStyle w:val="Style5"/>
              </w:rPr>
              <w:t>688302 SH</w:t>
              <w:tab/>
              <w:t>111</w:t>
            </w:r>
          </w:hyperlink>
        </w:p>
        <w:p>
          <w:pPr>
            <w:pStyle w:val="TOC1"/>
            <w:tabs>
              <w:tab w:val="clear" w:pos="9858"/>
              <w:tab w:val="right" w:pos="9857" w:leader="dot"/>
            </w:tabs>
            <w:rPr/>
          </w:pPr>
          <w:hyperlink w:anchor="__RefHeading___Toc47879_312338234" w:tooltip="商汤 00020 HK">
            <w:r>
              <w:rPr>
                <w:rStyle w:val="Style5"/>
              </w:rPr>
              <w:t xml:space="preserve">商汤 </w:t>
            </w:r>
            <w:r>
              <w:rPr>
                <w:rStyle w:val="Style5"/>
              </w:rPr>
              <w:t>00020 HK</w:t>
              <w:tab/>
              <w:t>133</w:t>
            </w:r>
          </w:hyperlink>
        </w:p>
        <w:p>
          <w:pPr>
            <w:pStyle w:val="TOC1"/>
            <w:tabs>
              <w:tab w:val="clear" w:pos="9858"/>
              <w:tab w:val="right" w:pos="9857" w:leader="dot"/>
            </w:tabs>
            <w:rPr/>
          </w:pPr>
          <w:hyperlink w:anchor="__RefHeading___Toc47881_312338234" w:tooltip="康希诺生物 06185 HK">
            <w:r>
              <w:rPr>
                <w:rStyle w:val="Style5"/>
              </w:rPr>
              <w:t xml:space="preserve">康希诺生物 </w:t>
            </w:r>
            <w:r>
              <w:rPr>
                <w:rStyle w:val="Style5"/>
              </w:rPr>
              <w:t>06185 HK</w:t>
              <w:tab/>
              <w:t>151</w:t>
            </w:r>
          </w:hyperlink>
          <w:r>
            <w:rPr>
              <w:rStyle w:val="Style5"/>
            </w:rPr>
            <w:fldChar w:fldCharType="end"/>
          </w:r>
        </w:p>
      </w:sdtContent>
    </w:sdt>
    <w:p>
      <w:pPr>
        <w:pStyle w:val="Normal"/>
        <w:rPr/>
      </w:pPr>
      <w:r>
        <w:rPr/>
      </w:r>
      <w:r>
        <w:br w:type="page"/>
      </w:r>
    </w:p>
    <w:p>
      <w:pPr>
        <w:pStyle w:val="Heading1"/>
        <w:rPr/>
      </w:pPr>
      <w:bookmarkStart w:id="0" w:name="__RefHeading___Toc47867_312338234"/>
      <w:bookmarkEnd w:id="0"/>
      <w:r>
        <w:rPr>
          <w:color w:val="000000"/>
        </w:rPr>
        <w:t xml:space="preserve">复星医药 </w:t>
      </w:r>
      <w:r>
        <w:rPr>
          <w:color w:val="000000"/>
        </w:rPr>
        <w:t>02196 HK</w:t>
      </w:r>
    </w:p>
    <w:p>
      <w:pPr>
        <w:pStyle w:val="Normal"/>
        <w:rPr/>
      </w:pPr>
      <w:r>
        <w:rPr/>
        <w:t xml:space="preserve">02196.HK </w:t>
      </w:r>
      <w:r>
        <w:rPr/>
        <w:t xml:space="preserve">现价 </w:t>
      </w:r>
      <w:r>
        <w:rPr/>
        <w:t>17.87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27.83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+55.74%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+57.98%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41.26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+130.87%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+139.54%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51.02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+185.51%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+202.29%</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18.63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27.23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18.70HKD</w:t>
      </w:r>
      <w:r>
        <w:rPr/>
        <w:t>，期望股价回报</w:t>
      </w:r>
      <w:r>
        <w:rPr/>
        <w:t>+4.64%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9.33</w:t>
              <w:br/>
              <w:t>-47.81%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20.73</w:t>
              <w:br/>
              <w:t>+16.00%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32.69</w:t>
              <w:br/>
              <w:t>+82.94%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9.84</w:t>
              <w:br/>
              <w:t>-44.96%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27.83</w:t>
              <w:br/>
              <w:t>+55.74%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45.11</w:t>
              <w:br/>
              <w:t>+152.42%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7.06</w:t>
              <w:br/>
              <w:t>-60.47%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41.26</w:t>
              <w:br/>
              <w:t>+130.87%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93.68</w:t>
              <w:br/>
              <w:t>+424.24%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+33.80%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6.46</w:t>
              <w:br/>
              <w:t>-63.84%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51.02</w:t>
              <w:br/>
              <w:t>+185.51%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135.51</w:t>
              <w:br/>
              <w:t>+658.30%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+24.76%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A/H</w:t>
            </w:r>
            <w:r>
              <w:rPr>
                <w:rFonts w:ascii="微软雅黑" w:hAnsi="微软雅黑" w:eastAsia="微软雅黑"/>
                <w:sz w:val="17"/>
              </w:rPr>
              <w:t>原表；收入差完整桥及</w:t>
            </w:r>
            <w:r>
              <w:rPr>
                <w:rFonts w:eastAsia="微软雅黑" w:ascii="微软雅黑" w:hAnsi="微软雅黑"/>
                <w:sz w:val="17"/>
              </w:rPr>
              <w:t>Gland</w:t>
            </w:r>
            <w:r>
              <w:rPr>
                <w:rFonts w:ascii="微软雅黑" w:hAnsi="微软雅黑" w:eastAsia="微软雅黑"/>
                <w:sz w:val="17"/>
              </w:rPr>
              <w:t>少数表疑点保留</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高：锁多来源</w:t>
            </w:r>
            <w:r>
              <w:rPr>
                <w:rFonts w:eastAsia="微软雅黑" w:ascii="微软雅黑" w:hAnsi="微软雅黑"/>
                <w:sz w:val="17"/>
              </w:rPr>
              <w:t>739</w:t>
            </w:r>
            <w:r>
              <w:rPr>
                <w:rFonts w:ascii="微软雅黑" w:hAnsi="微软雅黑" w:eastAsia="微软雅黑"/>
                <w:sz w:val="17"/>
              </w:rPr>
              <w:t>日</w:t>
            </w:r>
            <w:r>
              <w:rPr>
                <w:rFonts w:eastAsia="微软雅黑" w:ascii="微软雅黑" w:hAnsi="微软雅黑"/>
                <w:sz w:val="17"/>
              </w:rPr>
              <w:t>/157</w:t>
            </w:r>
            <w:r>
              <w:rPr>
                <w:rFonts w:ascii="微软雅黑" w:hAnsi="微软雅黑" w:eastAsia="微软雅黑"/>
                <w:sz w:val="17"/>
              </w:rPr>
              <w:t>周；行业匹配相对基准缺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中低：正常化原子假设、临床授权与融资路径不确定</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中：新闻转载已核、</w:t>
            </w:r>
            <w:r>
              <w:rPr>
                <w:rFonts w:eastAsia="微软雅黑" w:ascii="微软雅黑" w:hAnsi="微软雅黑"/>
                <w:sz w:val="17"/>
              </w:rPr>
              <w:t>1</w:t>
            </w:r>
            <w:r>
              <w:rPr>
                <w:rFonts w:ascii="微软雅黑" w:hAnsi="微软雅黑" w:eastAsia="微软雅黑"/>
                <w:sz w:val="17"/>
              </w:rPr>
              <w:t>项近</w:t>
            </w:r>
            <w:r>
              <w:rPr>
                <w:rFonts w:eastAsia="微软雅黑" w:ascii="微软雅黑" w:hAnsi="微软雅黑"/>
                <w:sz w:val="17"/>
              </w:rPr>
              <w:t>90</w:t>
            </w:r>
            <w:r>
              <w:rPr>
                <w:rFonts w:ascii="微软雅黑" w:hAnsi="微软雅黑" w:eastAsia="微软雅黑"/>
                <w:sz w:val="17"/>
              </w:rPr>
              <w:t>天，原研报</w:t>
            </w:r>
            <w:r>
              <w:rPr>
                <w:rFonts w:eastAsia="微软雅黑" w:ascii="微软雅黑" w:hAnsi="微软雅黑"/>
                <w:sz w:val="17"/>
              </w:rPr>
              <w:t>/</w:t>
            </w:r>
            <w:r>
              <w:rPr>
                <w:rFonts w:ascii="微软雅黑" w:hAnsi="微软雅黑" w:eastAsia="微软雅黑"/>
                <w:sz w:val="17"/>
              </w:rPr>
              <w:t>明确期限缺</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+21.80%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+50.08%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+65.88%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+127.56%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+139.54%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+151.52%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+187.18%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+202.29%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+217.41%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I043</w:t>
      </w:r>
      <w:r>
        <w:rPr/>
        <w:t>｜股票</w:t>
      </w:r>
      <w:r>
        <w:rPr/>
        <w:t>S050</w:t>
      </w:r>
      <w:r>
        <w:rPr/>
        <w:t>，</w:t>
      </w:r>
      <w:r>
        <w:rPr/>
        <w:t>02196.HK</w:t>
      </w:r>
      <w:r>
        <w:rPr/>
        <w:t>｜价格及资料截止</w:t>
      </w:r>
      <w:r>
        <w:rPr/>
        <w:t>2026</w:t>
      </w:r>
      <w:r>
        <w:rPr/>
        <w:t>年</w:t>
      </w:r>
      <w:r>
        <w:rPr/>
        <w:t>10</w:t>
      </w:r>
      <w:r>
        <w:rPr/>
        <w:t>月</w:t>
      </w:r>
      <w:r>
        <w:rPr/>
        <w:t>9</w:t>
      </w:r>
      <w:r>
        <w:rPr/>
        <w:t>日｜行情</w:t>
      </w:r>
      <w:r>
        <w:rPr/>
        <w:t>market-v1.6</w:t>
      </w:r>
      <w:r>
        <w:rPr/>
        <w:t>｜独立初版，模型</w:t>
      </w:r>
      <w:r>
        <w:rPr/>
        <w:t>fosun-H-native-normal-profit-v1.0</w:t>
      </w:r>
      <w:r>
        <w:rPr/>
        <w:t>。</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乐观目标价</w:t>
            </w:r>
            <w:r>
              <w:rPr>
                <w:rFonts w:eastAsia="微软雅黑" w:ascii="微软雅黑" w:hAnsi="微软雅黑"/>
                <w:b/>
                <w:color w:val="FFFFFF"/>
                <w:sz w:val="17"/>
              </w:rPr>
              <w:t>HKD</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9.3262 / 20.7289 / 32.6908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9.8355 / 27.8305 / 45.1077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57.98%</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7.0641 / 41.2557 / 93.6812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139.54%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6.4622 / 51.0199 / 135.5086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185.51%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202.29%</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2026-12-31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10.3042 / 18.6305 / 27.2336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w:t>
            </w:r>
            <w:r>
              <w:rPr>
                <w:rFonts w:eastAsia="微软雅黑" w:ascii="微软雅黑" w:hAnsi="微软雅黑"/>
                <w:sz w:val="17"/>
              </w:rPr>
              <w:t>4.26%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w:t>
            </w:r>
            <w:r>
              <w:rPr>
                <w:rFonts w:eastAsia="微软雅黑" w:ascii="微软雅黑" w:hAnsi="微软雅黑"/>
                <w:sz w:val="17"/>
              </w:rPr>
              <w:t>4.26%</w:t>
            </w:r>
          </w:p>
        </w:tc>
      </w:tr>
    </w:tbl>
    <w:p>
      <w:pPr>
        <w:pStyle w:val="Normal"/>
        <w:rPr/>
      </w:pPr>
      <w:r>
        <w:rPr/>
      </w:r>
    </w:p>
    <w:p>
      <w:pPr>
        <w:pStyle w:val="Normal"/>
        <w:rPr/>
      </w:pPr>
      <w:r>
        <w:rPr/>
        <w:t>现价</w:t>
      </w:r>
      <w:r>
        <w:rPr/>
        <w:t>17.87</w:t>
      </w:r>
      <w:r>
        <w:rPr/>
        <w:t>港元。年底</w:t>
      </w:r>
      <w:r>
        <w:rPr/>
        <w:t>25%/50%/25%</w:t>
      </w:r>
      <w:r>
        <w:rPr/>
        <w:t>判断权重下期望价</w:t>
      </w:r>
      <w:r>
        <w:rPr/>
        <w:t>18.6997</w:t>
      </w:r>
      <w:r>
        <w:rPr/>
        <w:t>港元、期望涨幅</w:t>
      </w:r>
      <w:r>
        <w:rPr/>
        <w:t>4.64%</w:t>
      </w:r>
      <w:r>
        <w:rPr/>
        <w:t>。三年基准股价年化</w:t>
      </w:r>
      <w:r>
        <w:rPr/>
        <w:t>32.17%</w:t>
      </w:r>
      <w:r>
        <w:rPr/>
        <w:t>、含息年化</w:t>
      </w:r>
      <w:r>
        <w:rPr/>
        <w:t>33.80%</w:t>
      </w:r>
      <w:r>
        <w:rPr/>
        <w:t>；五年基准股价年化</w:t>
      </w:r>
      <w:r>
        <w:rPr/>
        <w:t>23.35%</w:t>
      </w:r>
      <w:r>
        <w:rPr/>
        <w:t>、含息年化</w:t>
      </w:r>
      <w:r>
        <w:rPr/>
        <w:t>24.76%</w:t>
      </w:r>
      <w:r>
        <w:rPr/>
        <w:t>。梯队由全部股票统一排名动态生成，本章分数不等同排名或获利概率。</w:t>
      </w:r>
    </w:p>
    <w:p>
      <w:pPr>
        <w:pStyle w:val="Heading2"/>
        <w:rPr/>
      </w:pPr>
      <w:r>
        <w:rPr>
          <w:color w:val="000000"/>
        </w:rPr>
        <w:t>投资结论</w:t>
      </w:r>
    </w:p>
    <w:p>
      <w:pPr>
        <w:pStyle w:val="Normal"/>
        <w:rPr/>
      </w:pPr>
      <w:r>
        <w:rPr/>
        <w:t>复星医药适合放在进取型组合的观察与分批配置区，核心机会是已上市创新产品和全球许可逐步提高正常盈利，再由集团资本效率改善释放估值。它的半年吸引力弱于三至五年：短线虽然相对恒指改善，年线和六十周均线仍压在上方；年底剩余时间内，收入、研发及融资结构很难发生与多年价值同幅度的变化。研究基准把一年正常化盈利恢复和十九倍港股估值视为可以争取的路径，同时把临床失败、非核心业务拖累及融资稀释写入悲观分支。</w:t>
      </w:r>
    </w:p>
    <w:p>
      <w:pPr>
        <w:pStyle w:val="Normal"/>
        <w:rPr/>
      </w:pPr>
      <w:r>
        <w:rPr/>
        <w:t>我不会把复星视为一家单纯的抗肿瘤创新药公司。集团同时拥有成熟药、复杂制剂、器械、医疗服务、投资和联营分销收益，不同业务对应不同现金转换率、资本成本与少数股东分配。投资者买入复星</w:t>
      </w:r>
      <w:r>
        <w:rPr/>
        <w:t>H</w:t>
      </w:r>
      <w:r>
        <w:rPr/>
        <w:t>股获得的是这些资产合并之后的归母经济权利，汉霖的新药获批、</w:t>
      </w:r>
      <w:r>
        <w:rPr/>
        <w:t>Gland</w:t>
      </w:r>
      <w:r>
        <w:rPr/>
        <w:t>订单增长或国药控股收入增长都必须经过合并、费用、税和少数权益才能成为每股收益。这一层结构直接决定本章为何采用完整归母盈利桥。</w:t>
      </w:r>
    </w:p>
    <w:p>
      <w:pPr>
        <w:pStyle w:val="Normal"/>
        <w:rPr/>
      </w:pPr>
      <w:r>
        <w:rPr/>
        <w:t>当前估值有相当程度的折价，也包含合理的资本结构补偿。以全发行股数重新计算，过去十二个月报告归母利润对应约十二点八倍市盈率，扣非口径约十七点二倍；本研究年底正常化盈利对应约十六点三倍。三个数字同时成立，不能只挑最低值宣布极便宜。约零点八九倍账面净资产说明价格低于账面，但账面包括商誉、开发支出及联营投资，不能视为可立即出售并分配的现金。</w:t>
      </w:r>
    </w:p>
    <w:p>
      <w:pPr>
        <w:pStyle w:val="Normal"/>
        <w:rPr/>
      </w:pPr>
      <w:r>
        <w:rPr/>
        <w:t>结论成立的首要条件是创新转型提高了现金盈利，而不仅增加研发项目与许可总额。第二个条件是器械和医院业务亏损逐步收敛，集团不再持续以新增债务抵补投资现金缺口。第三个条件是核心全球产品的临床和注册证据能够支撑当地准入与真实销量。若连续财报显示研发资本化增长快于产品现金回款、扣非盈利停滞而少数收益侵蚀加大，本章三至五年得分必须下修，即使股价短期仍有题材交易。</w:t>
      </w:r>
    </w:p>
    <w:p>
      <w:pPr>
        <w:pStyle w:val="Heading2"/>
        <w:rPr/>
      </w:pPr>
      <w:r>
        <w:rPr>
          <w:color w:val="000000"/>
        </w:rPr>
        <w:t>证券 时间与口径</w:t>
      </w:r>
    </w:p>
    <w:p>
      <w:pPr>
        <w:pStyle w:val="Normal"/>
        <w:rPr/>
      </w:pPr>
      <w:r>
        <w:rPr/>
        <w:t>名单只纳入复星</w:t>
      </w:r>
      <w:r>
        <w:rPr/>
        <w:t>H</w:t>
      </w:r>
      <w:r>
        <w:rPr/>
        <w:t>股，股票标准代码为</w:t>
      </w:r>
      <w:r>
        <w:rPr/>
        <w:t>02196.HK</w:t>
      </w:r>
      <w:r>
        <w:rPr/>
        <w:t>，通常报价简写</w:t>
      </w:r>
      <w:r>
        <w:rPr/>
        <w:t>2196.HK</w:t>
      </w:r>
      <w:r>
        <w:rPr/>
        <w:t>。本报告用</w:t>
      </w:r>
      <w:r>
        <w:rPr/>
        <w:t>A</w:t>
      </w:r>
      <w:r>
        <w:rPr/>
        <w:t>股完整年报及中报作人民币财务锚，另核香港财报中的许可收入、收益分类和股数。公司</w:t>
      </w:r>
      <w:r>
        <w:rPr/>
        <w:t>A/H</w:t>
      </w:r>
      <w:r>
        <w:rPr/>
        <w:t>股共享发行人经济资产，但不能拿</w:t>
      </w:r>
      <w:r>
        <w:rPr/>
        <w:t>A</w:t>
      </w:r>
      <w:r>
        <w:rPr/>
        <w:t>股目标价直接作为</w:t>
      </w:r>
      <w:r>
        <w:rPr/>
        <w:t>H</w:t>
      </w:r>
      <w:r>
        <w:rPr/>
        <w:t>股目标，也不能用</w:t>
      </w:r>
      <w:r>
        <w:rPr/>
        <w:t>H</w:t>
      </w:r>
      <w:r>
        <w:rPr/>
        <w:t>股流通市值作为全部归母盈利的估值分母。全公司股数包括两地普通股，港股市场合理</w:t>
      </w:r>
      <w:r>
        <w:rPr/>
        <w:t>PE</w:t>
      </w:r>
      <w:r>
        <w:rPr/>
        <w:t>单独作为研究输入。</w:t>
      </w:r>
    </w:p>
    <w:p>
      <w:pPr>
        <w:pStyle w:val="Normal"/>
        <w:rPr/>
      </w:pPr>
      <w:r>
        <w:rPr/>
        <w:t>财务锚为二〇二六年六月三十日，中报</w:t>
      </w:r>
      <w:r>
        <w:rPr/>
        <w:t>A</w:t>
      </w:r>
      <w:r>
        <w:rPr/>
        <w:t>文件公开日期八月二十六日，</w:t>
      </w:r>
      <w:r>
        <w:rPr/>
        <w:t>H</w:t>
      </w:r>
      <w:r>
        <w:rPr/>
        <w:t>完整中报镜像九月十七日。已取得的公开业绩新闻为八月二十六日凌晨一点二十四分，首次交易所精确时分仍未核实；九月中报不是首次业绩消息。九月月报及十月一日公告均属于截止日前已公开资料。十月九日以后发布的结果、注册批准或评论不能反向进入当日推荐，签署日与公告日也分别保留。</w:t>
      </w:r>
    </w:p>
    <w:p>
      <w:pPr>
        <w:pStyle w:val="Normal"/>
        <w:rPr/>
      </w:pPr>
      <w:r>
        <w:rPr/>
        <w:t>A</w:t>
      </w:r>
      <w:r>
        <w:rPr/>
        <w:t>口径上半年收入为二百零四点四二亿元，</w:t>
      </w:r>
      <w:r>
        <w:rPr/>
        <w:t>H</w:t>
      </w:r>
      <w:r>
        <w:rPr/>
        <w:t>财报为二百零三点七七亿元，差额约六千五百四十五万元。两者归母利润相同，行政费用、其他收益等分类不同，说明利润可核对而收入增长率不能随意混接。本版未取得该收入差的完整分类对账，因此活动盈利模型严格使用</w:t>
      </w:r>
      <w:r>
        <w:rPr/>
        <w:t>A</w:t>
      </w:r>
      <w:r>
        <w:rPr/>
        <w:t>收入及</w:t>
      </w:r>
      <w:r>
        <w:rPr/>
        <w:t>A</w:t>
      </w:r>
      <w:r>
        <w:rPr/>
        <w:t>费用。</w:t>
      </w:r>
      <w:r>
        <w:rPr/>
        <w:t>H</w:t>
      </w:r>
      <w:r>
        <w:rPr/>
        <w:t>许可收入只作为收入质量证据，不在</w:t>
      </w:r>
      <w:r>
        <w:rPr/>
        <w:t>A</w:t>
      </w:r>
      <w:r>
        <w:rPr/>
        <w:t>总收入上额外相加；这一限制比猜测具体差额来源更有助于避免估值偏差。</w:t>
      </w:r>
    </w:p>
    <w:p>
      <w:pPr>
        <w:pStyle w:val="Heading2"/>
        <w:rPr/>
      </w:pPr>
      <w:r>
        <w:rPr>
          <w:color w:val="000000"/>
        </w:rPr>
        <w:t>商业结构与竞争优势</w:t>
      </w:r>
    </w:p>
    <w:p>
      <w:pPr>
        <w:pStyle w:val="Normal"/>
        <w:rPr/>
      </w:pPr>
      <w:r>
        <w:rPr/>
        <w:t>制药是集团最重要的经营引擎，上半年外部收入约一百四十七点八六亿元，增长百分之六点三七；器械诊断收入十八点六〇亿元，下滑百分之四点八六；医疗服务三十七点四〇亿元，增长百分之四点一二。其他及抵销单列，国药分销收益以权益法进入利润而不是收入。这个收入结构意味着未来盈利上行主要需要制药毛利和费用效率改善，医院增加床位或投资基金扩大规模本身并不能保证回报。</w:t>
      </w:r>
    </w:p>
    <w:p>
      <w:pPr>
        <w:pStyle w:val="Normal"/>
        <w:rPr/>
      </w:pPr>
      <w:r>
        <w:rPr/>
        <w:t>制药业务中创新药品收入四十九点一一亿元，增长百分之十三点八四，占制药约三分之一，已经足以改变产品结构却尚不足以完全替代成熟药收入。公司的“创新药品”管理定义包括生物类似药、改良型及高壁垒产品，不能等同全部为原创分子。生物类似药以可负担、质量一致和渠道准入获取市场，原创创新药更多依赖临床差异化及专利保护；两者同时增长有价值，但应该给予不同持续利润率和终值假设。</w:t>
      </w:r>
    </w:p>
    <w:p>
      <w:pPr>
        <w:pStyle w:val="Normal"/>
        <w:rPr/>
      </w:pPr>
      <w:r>
        <w:rPr/>
        <w:t>复星的竞争优势首先是将研发、</w:t>
      </w:r>
      <w:r>
        <w:rPr/>
        <w:t>CMC</w:t>
      </w:r>
      <w:r>
        <w:rPr/>
        <w:t>制造、注册及销售连接起来。对一个新产品而言，能否稳定供货、满足欧美药政质量要求和进入当地支付目录，与靶点选择同样重要。公司境内外制药有六十五个车间或生产线取得主要海外市场</w:t>
      </w:r>
      <w:r>
        <w:rPr/>
        <w:t>GMP</w:t>
      </w:r>
      <w:r>
        <w:rPr/>
        <w:t>或</w:t>
      </w:r>
      <w:r>
        <w:rPr/>
        <w:t>WHO</w:t>
      </w:r>
      <w:r>
        <w:rPr/>
        <w:t>预认证，能够降低全球合作方对供应链的顾虑。但认证是参与市场的门槛，不能自动创造定价权；若同类产品多家获批，最终毛利仍受到竞品数量和采购机制影响。</w:t>
      </w:r>
    </w:p>
    <w:p>
      <w:pPr>
        <w:pStyle w:val="Normal"/>
        <w:rPr/>
      </w:pPr>
      <w:r>
        <w:rPr/>
        <w:t>制造端具有原料制剂一体化、复杂注射剂和生物药平台等能力，可帮助成熟产品保持成本竞争力。生物药已建成八万四千升产能，商业化运行四万八千升，这两个数必须区分。建成并不代表全部高利用率，余下产能仍需要订单、验证和合规安排。研究乐观分支假设产品全球放量提高摊销效率，悲观分支则保留产能闲置与资本开支增加费用的压力，没有把每升容量直接换算为收入。</w:t>
      </w:r>
    </w:p>
    <w:p>
      <w:pPr>
        <w:pStyle w:val="Normal"/>
        <w:rPr/>
      </w:pPr>
      <w:r>
        <w:rPr/>
        <w:t>商业端的价值在于降低新品从注册到销售的落地摩擦。集团已在多个区域建立本土推广和市场准入团队，境内外六千余人的商业化体系有助于同时支持肿瘤、免疫和慢病产品。其代价是销售费用基数庞大，上半年约四十四点一八亿元。新药进入更多适应症可摊薄既有团队费用，但若为大量低销售新品扩建团队，收入增长会先被销售支出吃掉，投资者需要检验真实经营杠杆而不是只看市场覆盖国家数。</w:t>
      </w:r>
    </w:p>
    <w:p>
      <w:pPr>
        <w:pStyle w:val="Normal"/>
        <w:rPr/>
      </w:pPr>
      <w:r>
        <w:rPr/>
        <w:t>开放创新使复星能够从自身研发、外部引进、合作开发与产业投资获得资产，降低完全依靠单一研发平台的风险。另一方面，它使资本配置问题更复杂：付出去的选择权费和里程碑需要与可能收到的对外许可款逐项配对，集团旗下多家企业的权益比例也会随融资改变。开放体系只有在能及时终止低价值项目、避免重复建设并把高质量项目推向商业化时才形成优势，否则容易积累费用、开发资产与少数利益。</w:t>
      </w:r>
    </w:p>
    <w:p>
      <w:pPr>
        <w:pStyle w:val="Heading2"/>
        <w:rPr/>
      </w:pPr>
      <w:r>
        <w:rPr>
          <w:color w:val="000000"/>
        </w:rPr>
        <w:t>成熟产品 创新药与全球商业化</w:t>
      </w:r>
    </w:p>
    <w:p>
      <w:pPr>
        <w:pStyle w:val="Normal"/>
        <w:rPr/>
      </w:pPr>
      <w:r>
        <w:rPr/>
        <w:t>肿瘤和免疫调节核心产品合计收入四十六点三二亿元，增长百分之七点三七，毛利率约百分之七十七。这个组合包含汉曲优、汉利康、汉斯状、汉贝泰等抗体，也包括其他小分子、支持治疗和细胞疗法，不能把整项收入归到</w:t>
      </w:r>
      <w:r>
        <w:rPr/>
        <w:t>PD-1</w:t>
      </w:r>
      <w:r>
        <w:rPr/>
        <w:t>。较高毛利提供研发资金来源，但其同比毛利率略降说明竞争和品种结构仍有压力；收入稳增而成本增长更快时，对集团盈利的贡献会弱于销售规模所示。</w:t>
      </w:r>
    </w:p>
    <w:p>
      <w:pPr>
        <w:pStyle w:val="Normal"/>
        <w:rPr/>
      </w:pPr>
      <w:r>
        <w:rPr/>
        <w:t>抗感染核心产品收入十八点七〇亿元，增长百分之十二点九二，是本期较强的成熟产品增长来源。青蒿琥酯等抗疟产品有全球可及性与质量认证价值，复杂抗生素和疫苗则受到使用场景、采购周期和竞争影响。不能把一期较高增长延伸为十年同速，也不能把抗感染需求视为完全不受政策影响。研究正常化将这类产品作为稳健现金源，要求用库存、应收与价格变化验证增长质量。</w:t>
      </w:r>
    </w:p>
    <w:p>
      <w:pPr>
        <w:pStyle w:val="Normal"/>
        <w:rPr/>
      </w:pPr>
      <w:r>
        <w:rPr/>
        <w:t>代谢消化核心产品收入十四点〇五亿元，增长百分之七点五八；心血管九点六〇亿元，增长百分之三点六七。慢病患者基数和老龄化形成长期需求，但集采价格、竞品替代和处方规范决定每个品种是否能把需求转成利润。原料药中间体收入五点四九亿元、下降百分之九点五六，毛利约百分之二十一，更接近竞争充分的制造资产。对于组合估值，不能给所有产品同一个创新药倍数。</w:t>
      </w:r>
    </w:p>
    <w:p>
      <w:pPr>
        <w:pStyle w:val="Normal"/>
        <w:rPr/>
      </w:pPr>
      <w:r>
        <w:rPr/>
        <w:t>中枢神经核心产品本期收入四点八〇亿元，下降百分之二点四四，与神经退行性疾病研发的高关注度形成不同步。现实经营仍主要由已上市成熟产品构成，</w:t>
      </w:r>
      <w:r>
        <w:rPr/>
        <w:t>AR1001</w:t>
      </w:r>
      <w:r>
        <w:rPr/>
        <w:t>或甘露特钠未来的临床变化不能提前当作该收入增长。本章将现有收入、购买绿谷产生的资产及新项目选择权分开讨论，避免把神经疾病市场总规模、产品临床潜力和集团已确认收入混成一个乐观故事。</w:t>
      </w:r>
    </w:p>
    <w:p>
      <w:pPr>
        <w:pStyle w:val="Normal"/>
        <w:rPr/>
      </w:pPr>
      <w:r>
        <w:rPr/>
        <w:t>汉斯状斯鲁利单抗是复星最值得跟踪的全球创新商业化资产之一。报告期新增中国胃癌新辅助和辅助治疗适应症，欧盟新增食管鳞癌、鳞状及非鳞状非小细胞肺癌等适应症。扩适应症的意义是扩大医生可规范使用的患者范围，同时复用现有制造与市场准入体系。实际销售还需要当地支付、临床指南、合作方推广和价格兑现，因此获批数量应当用后续药品销售与许可现金回款进行验证。</w:t>
      </w:r>
    </w:p>
    <w:p>
      <w:pPr>
        <w:pStyle w:val="Normal"/>
        <w:rPr/>
      </w:pPr>
      <w:r>
        <w:rPr/>
        <w:t>截至中报发布时，斯鲁利单抗累计近五十个国家和地区批准，并进入十二个欧盟国家医保目录。这些数字属于发布日而非全部六月底状态。医保目录能提高可及性，但不同国家的报销覆盖、价格和合作商权益不同，不能将五十国都按美国高价模型计销售。</w:t>
      </w:r>
      <w:r>
        <w:rPr/>
        <w:t>PD-1</w:t>
      </w:r>
      <w:r>
        <w:rPr/>
        <w:t>竞争成熟，复星的路径更依赖特定适应症的临床证据、供应成本与合作方覆盖，估值应建立在净销售贡献而不是全球总患者数量上。</w:t>
      </w:r>
    </w:p>
    <w:p>
      <w:pPr>
        <w:pStyle w:val="Normal"/>
        <w:rPr/>
      </w:pPr>
      <w:r>
        <w:rPr/>
        <w:t>与卫材的日本许可把开发及商业化交给有当地能力的合作方，可以减少复星独自建设团队的负担。原中报披露首付及监管付款上限一亿五千五百零一万美元，销售里程碑上限二亿三千三百三十三万美元，另有特许使用费；上限均带触发条件。首付、监管和销售款的确定性不同，收到款与会计许可收入也可能时间不同。本章不把合同潜在总额一次性加到现金，再同时把许可盈利乘</w:t>
      </w:r>
      <w:r>
        <w:rPr/>
        <w:t>PE</w:t>
      </w:r>
      <w:r>
        <w:rPr/>
        <w:t>。</w:t>
      </w:r>
    </w:p>
    <w:p>
      <w:pPr>
        <w:pStyle w:val="Normal"/>
        <w:rPr/>
      </w:pPr>
      <w:r>
        <w:rPr/>
        <w:t>与</w:t>
      </w:r>
      <w:r>
        <w:rPr/>
        <w:t>Abbott</w:t>
      </w:r>
      <w:r>
        <w:rPr/>
        <w:t>扩展的四十二国许可有助于新兴市场准入，附新增监管里程碑上限四千六百万美元、销售里程碑上限八千万美元。同日调整</w:t>
      </w:r>
      <w:r>
        <w:rPr/>
        <w:t>KGbio</w:t>
      </w:r>
      <w:r>
        <w:rPr/>
        <w:t>原许可范围说明区域权利会重组，不能将新旧区域及潜在款项简单叠加。新兴市场潜在人群大，但支付能力、注册节奏和合作渠道差异也大，合理判断应看当地净价格、最低采购、供货利润及版税条款，而不是只因区域增加便提高长期收入倍数。</w:t>
      </w:r>
    </w:p>
    <w:p>
      <w:pPr>
        <w:pStyle w:val="Normal"/>
        <w:rPr/>
      </w:pPr>
      <w:r>
        <w:rPr/>
        <w:t>汉曲优等生物类似药提供较成熟的商业现金流，帕妥珠单抗</w:t>
      </w:r>
      <w:r>
        <w:rPr/>
        <w:t>HLX11</w:t>
      </w:r>
      <w:r>
        <w:rPr/>
        <w:t>在中国与欧盟批准可丰富</w:t>
      </w:r>
      <w:r>
        <w:rPr/>
        <w:t>HER2</w:t>
      </w:r>
      <w:r>
        <w:rPr/>
        <w:t>治疗组合，地舒单抗</w:t>
      </w:r>
      <w:r>
        <w:rPr/>
        <w:t>HLX14</w:t>
      </w:r>
      <w:r>
        <w:rPr/>
        <w:t>在授权区域批准扩充全球供应业务。生物类似药注册路线与原创新机制药不同，成功关键更多集中在分析可比性、临床与药政质量、制造成本和商业采购。授权地区批准不意味着当地全部收入归复星，公司可能取得制造收入、里程碑或版税中的一种或多种，权益应逐合同识别。</w:t>
      </w:r>
    </w:p>
    <w:p>
      <w:pPr>
        <w:pStyle w:val="Normal"/>
        <w:rPr/>
      </w:pPr>
      <w:r>
        <w:rPr/>
        <w:t>HER2</w:t>
      </w:r>
      <w:r>
        <w:rPr/>
        <w:t>治疗竞争正在从单抗组合走向</w:t>
      </w:r>
      <w:r>
        <w:rPr/>
        <w:t>ADC</w:t>
      </w:r>
      <w:r>
        <w:rPr/>
        <w:t>及新的序贯治疗，传统生物类似药不会因创新组合出现就立即失去价值，但长期价格和治疗线位可能改变。</w:t>
      </w:r>
      <w:r>
        <w:rPr/>
        <w:t>HLX11</w:t>
      </w:r>
      <w:r>
        <w:rPr/>
        <w:t>在可负担的传统治疗组合中有空间，</w:t>
      </w:r>
      <w:r>
        <w:rPr/>
        <w:t>HLX22</w:t>
      </w:r>
      <w:r>
        <w:rPr/>
        <w:t>及</w:t>
      </w:r>
      <w:r>
        <w:rPr/>
        <w:t>HLX87</w:t>
      </w:r>
      <w:r>
        <w:rPr/>
        <w:t>等研发则尝试取得更高临床价值。投资者要观察公司是否在既有生物类似药现金源基础上建立差异化资产，若只是增加同质化药品并互相竞争，同一销售平台的规模效应也可能被价格压力抵消。</w:t>
      </w:r>
    </w:p>
    <w:p>
      <w:pPr>
        <w:pStyle w:val="Heading2"/>
        <w:rPr/>
      </w:pPr>
      <w:r>
        <w:rPr>
          <w:color w:val="000000"/>
        </w:rPr>
        <w:t>管线证据 临床风险与反证</w:t>
      </w:r>
    </w:p>
    <w:p>
      <w:pPr>
        <w:pStyle w:val="Normal"/>
        <w:rPr/>
      </w:pPr>
      <w:r>
        <w:rPr/>
        <w:t>HLX43</w:t>
      </w:r>
      <w:r>
        <w:rPr/>
        <w:t>是靶向</w:t>
      </w:r>
      <w:r>
        <w:rPr/>
        <w:t>PD-L1</w:t>
      </w:r>
      <w:r>
        <w:rPr/>
        <w:t>的</w:t>
      </w:r>
      <w:r>
        <w:rPr/>
        <w:t>ADC</w:t>
      </w:r>
      <w:r>
        <w:rPr/>
        <w:t>，多个实体瘤适应症处于临床研究阶段，并推进国际关键研究。其价值需要通过有效性、安全性、剂量可持续性和与现有标准治疗的比较证明。早期单臂研究较高缓解率是后续试验设计依据，不是随机生存收益的替代。特别是</w:t>
      </w:r>
      <w:r>
        <w:rPr/>
        <w:t>ADC</w:t>
      </w:r>
      <w:r>
        <w:rPr/>
        <w:t>的肺部、血液学等毒性及耐药机制会影响真实临床可用性，本版没有取得全部原始统计，不把会议口头报告资格等同注册成功。</w:t>
      </w:r>
    </w:p>
    <w:p>
      <w:pPr>
        <w:pStyle w:val="Normal"/>
        <w:rPr/>
      </w:pPr>
      <w:r>
        <w:rPr/>
        <w:t>对于</w:t>
      </w:r>
      <w:r>
        <w:rPr/>
        <w:t>HLX43</w:t>
      </w:r>
      <w:r>
        <w:rPr/>
        <w:t>，半年催化更多是数据、试验推进或合作，而三年价值要求有清晰的注册路径和商业定位。乐观情景允许多个重点适应症达到足够临床门槛并形成海外合作，基准只假设有限管线贡献且继续承担研发费用。若后续随机试验未达到主要终点、严重不良事件限制剂量、或竞品以更低成本提供同等获益，应该下调持续峰值销售与成功价值，不能以其他适应症数量补回被推翻的核心假设。</w:t>
      </w:r>
    </w:p>
    <w:p>
      <w:pPr>
        <w:pStyle w:val="Normal"/>
        <w:rPr/>
      </w:pPr>
      <w:r>
        <w:rPr/>
        <w:t>HLX22</w:t>
      </w:r>
      <w:r>
        <w:rPr/>
        <w:t>是抗</w:t>
      </w:r>
      <w:r>
        <w:rPr/>
        <w:t>HER2</w:t>
      </w:r>
      <w:r>
        <w:rPr/>
        <w:t>单抗，在胃癌等适应症推进国际多中心三期研究，联合</w:t>
      </w:r>
      <w:r>
        <w:rPr/>
        <w:t>HLX87</w:t>
      </w:r>
      <w:r>
        <w:rPr/>
        <w:t>的开发也在进行。创新单抗需要解释与既有</w:t>
      </w:r>
      <w:r>
        <w:rPr/>
        <w:t>HER2</w:t>
      </w:r>
      <w:r>
        <w:rPr/>
        <w:t>治疗的作用机制和临床位置，既要看缓解和无进展生存，也要看总体生存、患者亚组与标准方案变化。全球试验覆盖主要地区有利于注册可接受性，但入组、竞争方案更新及患者异质性增加执行难度，三期标签本身不是一个固定高成功率。</w:t>
      </w:r>
    </w:p>
    <w:p>
      <w:pPr>
        <w:pStyle w:val="Normal"/>
        <w:rPr/>
      </w:pPr>
      <w:r>
        <w:rPr/>
        <w:t>本章对</w:t>
      </w:r>
      <w:r>
        <w:rPr/>
        <w:t>HLX22</w:t>
      </w:r>
      <w:r>
        <w:rPr/>
        <w:t>的反证包括随机效应量小于商业需要、获益只在过窄亚组、组合毒性增加或当地指南优先采用其他方案。对于胃癌，病理定义及</w:t>
      </w:r>
      <w:r>
        <w:rPr/>
        <w:t>HER2</w:t>
      </w:r>
      <w:r>
        <w:rPr/>
        <w:t>表达检测的一致性、治疗线位、联合化疗与已有免疫方案影响可比性。若结果仅在探索性亚组显著而总体预设终点失败，估值不能直接保留最初预期峰值。需要同时评估是否还有较小但真实可注册用途，而不是将成功与失败压缩为二元宣传。</w:t>
      </w:r>
    </w:p>
    <w:p>
      <w:pPr>
        <w:pStyle w:val="Normal"/>
        <w:rPr/>
      </w:pPr>
      <w:r>
        <w:rPr/>
        <w:t>芦沃美替尼复迈宁已经在儿童及青少年</w:t>
      </w:r>
      <w:r>
        <w:rPr/>
        <w:t>LCH</w:t>
      </w:r>
      <w:r>
        <w:rPr/>
        <w:t>新增获批，成人</w:t>
      </w:r>
      <w:r>
        <w:rPr/>
        <w:t>NF1</w:t>
      </w:r>
      <w:r>
        <w:rPr/>
        <w:t>相关丛状神经纤维瘤申请受理并进入优先审评。罕见病产品可以有明确未满足需求，支付与确诊路径仍决定商业规模。受理和优先审评代表行政进度，最终批准、用药年龄及标签限制尚需逐项确认。投资者应看患者数量的可靠界定、医院覆盖、疗程和净价格，而不能把罕见病名称对应的全球患者都算成中国可支付患者。</w:t>
      </w:r>
    </w:p>
    <w:p>
      <w:pPr>
        <w:pStyle w:val="Normal"/>
        <w:rPr/>
      </w:pPr>
      <w:r>
        <w:rPr/>
        <w:t>SAF-189</w:t>
      </w:r>
      <w:r>
        <w:rPr/>
        <w:t>用于</w:t>
      </w:r>
      <w:r>
        <w:rPr/>
        <w:t>ALK</w:t>
      </w:r>
      <w:r>
        <w:rPr/>
        <w:t>阳性非小细胞肺癌的申请已受理并完成有关现场检查，处于从临床价值向上市转化的阶段。</w:t>
      </w:r>
      <w:r>
        <w:rPr/>
        <w:t>ALK</w:t>
      </w:r>
      <w:r>
        <w:rPr/>
        <w:t>市场已有多代靶向药，后进入者需要在耐药谱、脑转移控制、安全性、给药或价格上建立可辨差异。注册进展可以推动短期情绪，但一年收入假设仍要从处方渗透和销售费用出发。若疗效或价格优势不足，药品获批与高利润上市之间会出现明显间隔。</w:t>
      </w:r>
    </w:p>
    <w:p>
      <w:pPr>
        <w:pStyle w:val="Normal"/>
        <w:rPr/>
      </w:pPr>
      <w:r>
        <w:rPr/>
        <w:t>ET-26</w:t>
      </w:r>
      <w:r>
        <w:rPr/>
        <w:t>麻醉项目的价值来自有效麻醉和安全性特征，临床评价应关注诱导稳定性、血流动力学、恢复时间及具体手术场景。医院采购和麻醉医生习惯具有持续性，也使新品放量较慢。与肿瘤药不同，麻醉药通常单次使用价格和疗程价值较有限，不能用创新肿瘤药峰值模型套用。若批准后销售增长只靠高推广费用，表面毛利率与集团贡献利润之间仍会有较大差距。</w:t>
      </w:r>
    </w:p>
    <w:p>
      <w:pPr>
        <w:pStyle w:val="Normal"/>
        <w:rPr/>
      </w:pPr>
      <w:r>
        <w:rPr/>
        <w:t>GR1803</w:t>
      </w:r>
      <w:r>
        <w:rPr/>
        <w:t>通过药友制药许可引进，</w:t>
      </w:r>
      <w:r>
        <w:rPr/>
        <w:t>BCMA/CD3</w:t>
      </w:r>
      <w:r>
        <w:rPr/>
        <w:t>双抗用于多发性骨髓瘤的上市申请已经受理。授权区域包括境内及港澳台，有临床开发、商业化与生产工艺等约定权利，公司依约承担首付、上市及技转里程碑，上限合计六亿元，另有销售款项。对集团而言这是管线补充和未来付款义务同时出现；评估应看耐药患者中的疗效、安全管理和支付竞争，不能把引进许可称为公司收到的</w:t>
      </w:r>
      <w:r>
        <w:rPr/>
        <w:t>BD</w:t>
      </w:r>
      <w:r>
        <w:rPr/>
        <w:t>收入。</w:t>
      </w:r>
    </w:p>
    <w:p>
      <w:pPr>
        <w:pStyle w:val="Normal"/>
        <w:rPr/>
      </w:pPr>
      <w:r>
        <w:rPr/>
        <w:t>双抗在复发难治骨髓瘤可能改善治疗可及性，但感染、细胞因子释放综合征、住院监测和长期免疫管理均会影响可推广范围。</w:t>
      </w:r>
      <w:r>
        <w:rPr/>
        <w:t>BCMA</w:t>
      </w:r>
      <w:r>
        <w:rPr/>
        <w:t>靶点同时面对</w:t>
      </w:r>
      <w:r>
        <w:rPr/>
        <w:t>CAR-T</w:t>
      </w:r>
      <w:r>
        <w:rPr/>
        <w:t>和其他双抗竞争，需要比较治疗线、患者状态与真实世界执行成本。若疗效持续性不足、监管标签狭窄或医院难以承担安全管理成本，本章的产品销售增长路径会弱化，采购上限也不等同已付款或确认成本，必须随交易实际节点更新。</w:t>
      </w:r>
    </w:p>
    <w:p>
      <w:pPr>
        <w:pStyle w:val="Normal"/>
        <w:rPr/>
      </w:pPr>
      <w:r>
        <w:rPr/>
        <w:t>细胞疗法方面，</w:t>
      </w:r>
      <w:r>
        <w:rPr/>
        <w:t>FKC289</w:t>
      </w:r>
      <w:r>
        <w:rPr/>
        <w:t>双靶点</w:t>
      </w:r>
      <w:r>
        <w:rPr/>
        <w:t>CAR-T</w:t>
      </w:r>
      <w:r>
        <w:rPr/>
        <w:t>取得部分自身免疫相关适应症临床批准，是值得研究的技术拓展，却处于证据积累阶段。小样本深度缓解不能直接证明更广人群的获益风险比，预处理、感染、长期免疫重建和生产一致性需要持续随访。商业化还取决于制造周期及患者支付能力，因此本研究不在半年或年底为此赋予已实现销售，长期乐观允许技术平台建立但保留高失败成本。</w:t>
      </w:r>
    </w:p>
    <w:p>
      <w:pPr>
        <w:pStyle w:val="Normal"/>
        <w:rPr/>
      </w:pPr>
      <w:r>
        <w:rPr/>
        <w:t>FXS7553</w:t>
      </w:r>
      <w:r>
        <w:rPr/>
        <w:t>的</w:t>
      </w:r>
      <w:r>
        <w:rPr/>
        <w:t>DPP1</w:t>
      </w:r>
      <w:r>
        <w:rPr/>
        <w:t>机制和</w:t>
      </w:r>
      <w:r>
        <w:rPr/>
        <w:t>FXS6837</w:t>
      </w:r>
      <w:r>
        <w:rPr/>
        <w:t>的补体相关机制扩大免疫炎症领域布局，两者既有境内研究，也有境外许可。对于慢性呼吸和肾病，终点持续时间、急性事件定义、肾功能变化及长期安全性比短期生物标志物更重要。对外许可可以让合作方承担部分开发费用，复星仍保留区域权益和相关投入。本章把外部合作视为资产质量的部分验证，不把早期许可视为药品疗效已被监管确认。</w:t>
      </w:r>
    </w:p>
    <w:p>
      <w:pPr>
        <w:pStyle w:val="Normal"/>
        <w:rPr/>
      </w:pPr>
      <w:r>
        <w:rPr/>
        <w:t>AR1001</w:t>
      </w:r>
      <w:r>
        <w:rPr/>
        <w:t>是最可能显著改变市场预期、也最需要控制判断尺度的神经疾病项目。它是</w:t>
      </w:r>
      <w:r>
        <w:rPr/>
        <w:t>PDE5</w:t>
      </w:r>
      <w:r>
        <w:rPr/>
        <w:t>相关口服小分子，</w:t>
      </w:r>
      <w:r>
        <w:rPr/>
        <w:t>POLARIS-AD</w:t>
      </w:r>
      <w:r>
        <w:rPr/>
        <w:t>登记为随机、双盲、安慰剂对照三期，主要观察基线到五十二周</w:t>
      </w:r>
      <w:r>
        <w:rPr/>
        <w:t>CDR-SB</w:t>
      </w:r>
      <w:r>
        <w:rPr/>
        <w:t>变化。登记总入组一千五百三十五人，最后公开更新为二〇二五年十月二日，资料可用于截止日研究，但登记中旧估计完成日期不能当已发生事实；中报另外披露七月完成最后患者最后访视，发布时顶线待读。</w:t>
      </w:r>
    </w:p>
    <w:p>
      <w:pPr>
        <w:pStyle w:val="Normal"/>
        <w:rPr/>
      </w:pPr>
      <w:r>
        <w:rPr/>
        <w:t>复星取得</w:t>
      </w:r>
      <w:r>
        <w:rPr/>
        <w:t>AR1001</w:t>
      </w:r>
      <w:r>
        <w:rPr/>
        <w:t>扩区域选择权，应按约定支付六千万美元选择权费；在合作方提供全部顶线后九十个自然日内决定是否行权，行权后另有首付和监管上限以及销售条件。选择权的经济价值在于可在看到数据后放弃额外投入，已经付出的选择权成本却不会因此自动消失。基准不依赖它临床成功，也未把扩展区域的潜在销售现金提前计入归母盈利；乐观路径需要主要终点和安全证据达到临床及注册门槛。</w:t>
      </w:r>
    </w:p>
    <w:p>
      <w:pPr>
        <w:pStyle w:val="Normal"/>
        <w:rPr/>
      </w:pPr>
      <w:r>
        <w:rPr/>
        <w:t>阿尔茨海默病研究不能只看统计显著。投资者需要比较预设主分析、效应量、丢失数据处理、多重性控制、功能终点与生物标志物，以及患者诊断和病程差异。若只有事后亚组或某一替代终点支持而主要终点未达到，不能把其解释为全球商业化已经确定。口服便利性有意义，但要先有临床获益；本版未取得截止日更晚的完整顶线原件，因此没有引用任何后见结果，也没有人为给出精确成功概率。</w:t>
      </w:r>
    </w:p>
    <w:p>
      <w:pPr>
        <w:pStyle w:val="Normal"/>
        <w:rPr/>
      </w:pPr>
      <w:r>
        <w:rPr/>
        <w:t>绿谷五十一％收购于三月二十四日完成，购买对价约十四点一二亿元，购买日至期末没有收入并亏损约一千九百万元，意味着购买动作本身尚未形成营业增量。甘露特钠上市后确证试验继续进行，七月底入组超过一千例、方案目标一千九百五十例。入组进度证明执行在推进，不能替代疗效结论；若确认性证据或商业条件不支持持续回报，购买形成的开发资产和商誉需要更保守评估。</w:t>
      </w:r>
    </w:p>
    <w:p>
      <w:pPr>
        <w:pStyle w:val="Normal"/>
        <w:rPr/>
      </w:pPr>
      <w:r>
        <w:rPr/>
        <w:t>核药、小核酸和</w:t>
      </w:r>
      <w:r>
        <w:rPr/>
        <w:t>AI</w:t>
      </w:r>
      <w:r>
        <w:rPr/>
        <w:t>辅助早研为十年产品更新提供选择空间，但目前项目阶段不宜与已上市产品现金等量相加。核药还受核素供应、生产运输和治疗中心建设限制，小核酸需看递送、安全及适应症终点，</w:t>
      </w:r>
      <w:r>
        <w:rPr/>
        <w:t>AI</w:t>
      </w:r>
      <w:r>
        <w:rPr/>
        <w:t>工具的价值需要实验与临床验证。公司报告两项</w:t>
      </w:r>
      <w:r>
        <w:rPr/>
        <w:t>AI</w:t>
      </w:r>
      <w:r>
        <w:rPr/>
        <w:t>辅助新分子到</w:t>
      </w:r>
      <w:r>
        <w:rPr/>
        <w:t>PCC</w:t>
      </w:r>
      <w:r>
        <w:rPr/>
        <w:t>阶段说明流程应用，不能直接提高临床成功率。本研究把这些视为可被后续证据上调的储备，当前主要保留研发成本。</w:t>
      </w:r>
    </w:p>
    <w:p>
      <w:pPr>
        <w:pStyle w:val="Heading2"/>
        <w:rPr/>
      </w:pPr>
      <w:r>
        <w:rPr>
          <w:color w:val="000000"/>
        </w:rPr>
        <w:t>许可收入质量与新交易</w:t>
      </w:r>
    </w:p>
    <w:p>
      <w:pPr>
        <w:pStyle w:val="Normal"/>
        <w:rPr/>
      </w:pPr>
      <w:r>
        <w:rPr/>
        <w:t>H</w:t>
      </w:r>
      <w:r>
        <w:rPr/>
        <w:t>中报客户合同中许可收入约六点二一亿元，上期约零点六三亿元，增量远高于总收入增长速度。这是创新资产开始变现的重要证据，也意味着总收入有较强事件成分。会计上许可收入可能属于经常性业务，但经营可重复性仍取决于每年是否有新资产、监管节点或版税。扣非利润不能自动过滤全部许可收入，分析必须同时区分产品销售、可重复供货及一次性或阶段性许可，才能判断正常盈利倍数。</w:t>
      </w:r>
    </w:p>
    <w:p>
      <w:pPr>
        <w:pStyle w:val="Normal"/>
        <w:rPr/>
      </w:pPr>
      <w:r>
        <w:rPr/>
        <w:t>二〇二五年口服</w:t>
      </w:r>
      <w:r>
        <w:rPr/>
        <w:t>GLP-1</w:t>
      </w:r>
      <w:r>
        <w:rPr/>
        <w:t>资产</w:t>
      </w:r>
      <w:r>
        <w:rPr/>
        <w:t>YP05002</w:t>
      </w:r>
      <w:r>
        <w:rPr/>
        <w:t>向辉瑞全球许可，年报表列首付款一亿五千万美元、潜在里程碑二十点八五亿美元；合同细项另列首付及开发上限五亿美元、销售上限十五点八五亿美元，不能再把表列首付加到合同上限造成重复。全球独家权利由合作方取得，复星未来回报主要来自约定付款和版税。早期</w:t>
      </w:r>
      <w:r>
        <w:rPr/>
        <w:t>GLP-1</w:t>
      </w:r>
      <w:r>
        <w:rPr/>
        <w:t>资产的巨大市场机会不等于其临床定位已经确定，竞争和安全仍会改变开发选择。</w:t>
      </w:r>
    </w:p>
    <w:p>
      <w:pPr>
        <w:pStyle w:val="Normal"/>
        <w:rPr/>
      </w:pPr>
      <w:r>
        <w:rPr/>
        <w:t>这一交易能够证明合作方愿意为资产投入资本，并可缓解部分研发融资压力，不能证明多年里程碑全部会收到。若交易使二〇二五利润上升，二〇二六就需要新的节点或其他产品填补比较基数。研究基准年底收入中许可子集约八亿元，一年约九亿元，是比连续大额交易更克制的正常化假设；模型没有直接照搬任何投行“每年授权收入”论点，也不会将它在总收入之外重复计利润。</w:t>
      </w:r>
    </w:p>
    <w:p>
      <w:pPr>
        <w:pStyle w:val="Normal"/>
        <w:rPr/>
      </w:pPr>
      <w:r>
        <w:rPr/>
        <w:t>九月</w:t>
      </w:r>
      <w:r>
        <w:rPr/>
        <w:t>Amberstone</w:t>
      </w:r>
      <w:r>
        <w:rPr/>
        <w:t>的</w:t>
      </w:r>
      <w:r>
        <w:rPr/>
        <w:t>TCE</w:t>
      </w:r>
      <w:r>
        <w:rPr/>
        <w:t>合作方向相反：复星引进两项约定靶点相关的全球权利，最高首付四百万美元，研发监管里程碑二点三二一六亿美元，销售里程碑六点五二亿美元，另有低个位数版税。最高合计款是远期、条件性付款风险，不是收到近九亿美元现金。微环境激活机制试图改善治疗窗口，但早研项目仍要验证可制造性、肿瘤选择性和免疫毒性，本章不为其精确套用临床成功率。</w:t>
      </w:r>
    </w:p>
    <w:p>
      <w:pPr>
        <w:pStyle w:val="Normal"/>
        <w:rPr/>
      </w:pPr>
      <w:r>
        <w:rPr/>
        <w:t>许可引进与许可输出可以互相补充：成熟平台吸收外部项目，同时把自身强项交给全球伙伴，从而优化研发与商业成本。投资判断需要净现金和权益视角，不能只统计签约新闻的潜在金额。选择权、研发费用共担、里程碑、供货成本及销售使用费都影响实际净值。若公司为了维持“</w:t>
      </w:r>
      <w:r>
        <w:rPr/>
        <w:t>BD</w:t>
      </w:r>
      <w:r>
        <w:rPr/>
        <w:t>活跃”而引入过多高首付项目，输出款也可能被新义务抵消，复星的现金压力不会因交易标题变多而自动下降。</w:t>
      </w:r>
    </w:p>
    <w:p>
      <w:pPr>
        <w:pStyle w:val="Heading2"/>
        <w:rPr/>
      </w:pPr>
      <w:r>
        <w:rPr>
          <w:color w:val="000000"/>
        </w:rPr>
        <w:t>财务趋势与正常化盈利</w:t>
      </w:r>
    </w:p>
    <w:p>
      <w:pPr>
        <w:pStyle w:val="Normal"/>
        <w:rPr/>
      </w:pPr>
      <w:r>
        <w:rPr/>
        <w:t>近三年收入分别约四百一十四、四百一十一和四百一十七亿元，体现集团销售整体尚处低个位数增长阶段；归母利润约二十三点八六、二十七点七〇和三十三点七一亿元，增长更强。扣非利润同期约二十点一一、二十三点一四和二十三点四〇亿元，二〇二五仅增长百分之一点一二。报告利润改善有资产处置和投资收益支撑，不能作为所有主营资产已经出现高增长的证明。</w:t>
      </w:r>
    </w:p>
    <w:p>
      <w:pPr>
        <w:pStyle w:val="Normal"/>
        <w:rPr/>
      </w:pPr>
      <w:r>
        <w:rPr/>
        <w:t>二〇二六上半年报告归母十七点二一亿元，增长百分之一点一五，扣非十一点四四亿元、增长百分之十九点〇九，说明核心盈利修复与报告口径低增并存。全年不能直接将半年乘二，因为二〇二五下半年收入和扣非利润高于上半年，第四季尤其强。正常化模型年底归母二十六点六一亿元，高于前一年扣非而低于前一年报告，允许修复但不把全部非经常收益永久保留，需由后续财报核验。</w:t>
      </w:r>
    </w:p>
    <w:p>
      <w:pPr>
        <w:pStyle w:val="Normal"/>
        <w:rPr/>
      </w:pPr>
      <w:r>
        <w:rPr/>
        <w:t>上半年非经常性损益约五点七七亿元，包含金融资产公允及处置、资产处理、政府补助、激励修改及其他项目，税和少数影响单列。投资收益约十四点九三亿元中，联营合营约十一点三五亿元并非完全应剔除，因为国药产投是持续资产；公允价值收益约二点七四亿元则不能当作每年固定现金收入。正常化的目的不是把所有投资收入都抹掉，而是按其持续性及归属保留合理成分。</w:t>
      </w:r>
    </w:p>
    <w:p>
      <w:pPr>
        <w:pStyle w:val="Normal"/>
        <w:rPr/>
      </w:pPr>
      <w:r>
        <w:rPr/>
        <w:t>本研究未来利润桥以制药、器械、服务和其他外部收入出发，扣成本、税金、销售、行政、费用研发、金融费用和损失，加正常其他收入及联营等，再扣所得税和少数利益。每个原子字段可编辑，</w:t>
      </w:r>
      <w:r>
        <w:rPr/>
        <w:t>EPS</w:t>
      </w:r>
      <w:r>
        <w:rPr/>
        <w:t>和净利率由计算得出，没有先拍一个利润率再倒推所有财务。这样能够解释推荐被推翻的原因：销售放缓、研发超支、费用杠杆不兑现、税率改变或少数比例增加，都能逐项传到每股目标价。</w:t>
      </w:r>
    </w:p>
    <w:p>
      <w:pPr>
        <w:pStyle w:val="Normal"/>
        <w:rPr/>
      </w:pPr>
      <w:r>
        <w:rPr/>
        <w:t>年底基准收入四百二十三亿元，成本二百零七亿元，销售九十一点五亿元、行政四十六点五亿元、费用研发四十五点五亿元，融资费用十一亿元，联营及正常投资等支持税前约四十点五亿元。研究税率百分之十九，扣少数六点二亿元后归母二十六点六一亿元，除全发行股得到约零点九九六元人民币</w:t>
      </w:r>
      <w:r>
        <w:rPr/>
        <w:t>EPS</w:t>
      </w:r>
      <w:r>
        <w:rPr/>
        <w:t>。这些是研究假设而非公司指引，表中许可八亿元已包含在制药收入，不能再次增加总额。</w:t>
      </w:r>
    </w:p>
    <w:p>
      <w:pPr>
        <w:pStyle w:val="Normal"/>
        <w:rPr/>
      </w:pPr>
      <w:r>
        <w:rPr/>
        <w:t>一年基准收入四百六十亿元，制药三百四十亿元、器械三十九亿元、服务八十亿元及其他一亿元，归母目标三十五点六九亿元、</w:t>
      </w:r>
      <w:r>
        <w:rPr/>
        <w:t>EPS</w:t>
      </w:r>
      <w:r>
        <w:rPr/>
        <w:t>约一点三三二元人民币。制药增长是核心，器械恢复和医院费用效率提供边际支持；研发费用升至五十一亿元，未假设停止创新投入。盈利提升主要来自产品结构和费用效率，而不是消除全部融资费用，模型仍保留十亿元融资成本与七亿元少数利益。</w:t>
      </w:r>
    </w:p>
    <w:p>
      <w:pPr>
        <w:pStyle w:val="Normal"/>
        <w:rPr/>
      </w:pPr>
      <w:r>
        <w:rPr/>
        <w:t>三年基准归母五十一点〇一亿元，需要集团收入约五百八十亿元及费用比例改善，五年基准归母六十八点三五亿元对应收入七百三十亿元。长期基准产品升级必须持续且研发费用绝对额继续上升，因此并非轻松的自然复利。五年基准费用研发九十亿元，销售一百四十一亿元、行政六十九亿元，股数增至二十八亿，已给投入和稀释留出空间。长期收入较高不能自动代表每股价值按相同比例增长。</w:t>
      </w:r>
    </w:p>
    <w:p>
      <w:pPr>
        <w:pStyle w:val="Normal"/>
        <w:rPr/>
      </w:pPr>
      <w:r>
        <w:rPr/>
        <w:t>乐观长期目标明显高于基准，要求多个全球产品同时取得临床商业成果、制造及医院转型改善，并让归母利润率升至更高水平。这是多个条件共同成立的上行路径，不能仅由一个临床新闻支撑。悲观分支即使收入未大幅崩塌，较低毛利、持续研发、融资负担和稀释也可使正常利润很弱，解释为什么成熟集团同样会出现较大下行。价格区间由经营与倍数一起形成，不是历史波动率置信区间。</w:t>
      </w:r>
    </w:p>
    <w:p>
      <w:pPr>
        <w:pStyle w:val="Heading2"/>
        <w:rPr/>
      </w:pPr>
      <w:r>
        <w:rPr>
          <w:color w:val="000000"/>
        </w:rPr>
        <w:t>现金 研发资本化与资本结构</w:t>
      </w:r>
    </w:p>
    <w:p>
      <w:pPr>
        <w:pStyle w:val="Normal"/>
        <w:rPr/>
      </w:pPr>
      <w:r>
        <w:rPr/>
        <w:t>上半年经营现金流二十四点二四亿元，增长百分之十三点五九，现金购建支出二十四点二九亿元，简单自由现金流约负四百九十一万元，接近零。经营回款改善值得认可，但集团还存在收购、许可引进及投资支出，不能将“经营现金流大于净利润”解释为有大量剩余现金分红。投资活动净流出四十四点二八亿元，融资净流入二十六点七六亿元，显示扩张仍依赖外部资金及资产运作。</w:t>
      </w:r>
    </w:p>
    <w:p>
      <w:pPr>
        <w:pStyle w:val="Normal"/>
        <w:rPr/>
      </w:pPr>
      <w:r>
        <w:rPr/>
        <w:t>经营现金桥中库存释放约四点四四亿元、经营应收提供约三点二〇亿元，经营应付减少消耗约十五点〇六亿元。现金流不是单由会计利润决定，库存和债权管理改善可能释放资金，也可能在后续补库存时反转。应收净额约九十六点四〇亿元、库存约五十九点六九亿元，应观察增长是否跟销售一致及逾期回收风险。若产品销售靠延长账期维持，利润可短期增长而现金会恶化。</w:t>
      </w:r>
    </w:p>
    <w:p>
      <w:pPr>
        <w:pStyle w:val="Normal"/>
        <w:rPr/>
      </w:pPr>
      <w:r>
        <w:rPr/>
        <w:t>货币资金约一百三十六点一九亿元，现金等价物约九十四点八七亿元，差额包含三个月以上定存约三十八点八九亿元和受限款约二点四三亿元。定存不是全部不可用，但也不是现金等价物，流动性需看期限、提前支取条件与所在主体。集团资金分布在多家子公司，母公司货币资金约十二点四一亿元，不能把集团总现金当母公司可随意派息的余额，偿债及上划安排都受法律和经营需求限制。</w:t>
      </w:r>
    </w:p>
    <w:p>
      <w:pPr>
        <w:pStyle w:val="Normal"/>
        <w:rPr/>
      </w:pPr>
      <w:r>
        <w:rPr/>
        <w:t>本版广义筹资负债约四百一十亿元，包括短贷、长期借款及当期部分、债券、租赁和具有融资性质的其他义务，减现金等价物得到保守净融资负债约三百一十五亿元。</w:t>
      </w:r>
      <w:r>
        <w:rPr/>
        <w:t>H</w:t>
      </w:r>
      <w:r>
        <w:rPr/>
        <w:t>报告银行及其他借款约三百五十八亿元属于较窄分类，不能拿它与</w:t>
      </w:r>
      <w:r>
        <w:rPr/>
        <w:t>A</w:t>
      </w:r>
      <w:r>
        <w:rPr/>
        <w:t>广义总额强行核成同一数。</w:t>
      </w:r>
      <w:r>
        <w:rPr/>
        <w:t>PE</w:t>
      </w:r>
      <w:r>
        <w:rPr/>
        <w:t>估值已经扣融资成本，净债只是资本检验，不在目标权益价上再次全部扣除；重复扣债同样会产生错误结论。</w:t>
      </w:r>
    </w:p>
    <w:p>
      <w:pPr>
        <w:pStyle w:val="Normal"/>
        <w:rPr/>
      </w:pPr>
      <w:r>
        <w:rPr/>
        <w:t>高杠杆对普通股上行与下行都有放大。盈利改善和利率下降可较快提高归母利润，但遇到临床失败、投资减值或经营回款压力时，股东面对的是固定偿付义务和可能稀释。公司能够融资并不等于融资条件永远宽松，银行额度、债券市场和子公司资金能力需要逐年更新。本章长期财务风险得分保持较低，体现集团资本负担是结构性约束，不能被单次许可首付完全解除。</w:t>
      </w:r>
    </w:p>
    <w:p>
      <w:pPr>
        <w:pStyle w:val="Normal"/>
        <w:rPr/>
      </w:pPr>
      <w:r>
        <w:rPr/>
        <w:t>研发总投入三十二点四七亿元，费用化二十点八七亿元、资本化十一点六〇亿元，资本化约百分之三十五点七三；临床及技术服务费是重要增加来源。开发资产从五十九点四四亿元升至七十六点二〇亿元，不能只归因当期内部研发，新增企业合并带入约十五点八九亿元，转入无形资产约十点六六亿元。把开发资产全部增长说成公司加大自研，或把资本化视为完全无费用，都会误判盈利质量。</w:t>
      </w:r>
    </w:p>
    <w:p>
      <w:pPr>
        <w:pStyle w:val="Normal"/>
        <w:rPr/>
      </w:pPr>
      <w:r>
        <w:rPr/>
        <w:t>研发附注匿名项目一进入三期、预计二〇二九完成，并有企业合并带入金额；项目二、三亦为三期、预计二〇二七完成。匿名信息限制投资者把账面金额与具体分子精确配对，本章不猜测名称。资本化条件由管理层判断，成功上市后仍会摊销，失败则可能减值。一个阶段被允许资本化，不等于该阶段产品已经证明经济成功，因此目标利润同时保留费用投入与资产损失，不把资本化率上升当经营改善本身。</w:t>
      </w:r>
    </w:p>
    <w:p>
      <w:pPr>
        <w:pStyle w:val="Normal"/>
        <w:rPr/>
      </w:pPr>
      <w:r>
        <w:rPr/>
        <w:t>现金购建支出通常包含内部资本研发的相关支付，活动模型现金检验不再把十一点六亿元完整重复扣一次；分部资本开支二十点九三亿元与现金购建二十四点二九亿元也有定义及支付时间差。许可、收购和投资中未含购建部分另作现金假设，能够检验融资需要却不是完整三张表。简化现金模型基准允许持续融资补充，明确显示若投资强度维持，正常盈利恢复并不立即带来净债大幅下降。</w:t>
      </w:r>
    </w:p>
    <w:p>
      <w:pPr>
        <w:pStyle w:val="Normal"/>
        <w:rPr/>
      </w:pPr>
      <w:r>
        <w:rPr/>
        <w:t>上半年股份支付约二点九五亿元，高于上期一千四百余万元，有母公司与汉霖、安特金等子公司激励影响。非现金不等于无经济成本，激励可能造成股份稀释或库存再交付，且持续吸引人才的投入是经营的一部分。本研究未来行政和研发等包含持续激励费用，未将全部加回。投资者可以比较管理层剔除激励后的效率，但必须与普通股股东真实权益成本并列，而不是只保留调整后利润。</w:t>
      </w:r>
    </w:p>
    <w:p>
      <w:pPr>
        <w:pStyle w:val="Normal"/>
        <w:rPr/>
      </w:pPr>
      <w:r>
        <w:rPr/>
        <w:t>商誉约一百零七点〇九亿元，其中</w:t>
      </w:r>
      <w:r>
        <w:rPr/>
        <w:t>Gland</w:t>
      </w:r>
      <w:r>
        <w:rPr/>
        <w:t>相关约四十点九一亿元，属于购买时对未来收益的预期，不能轻易当清算价值。若被购业务增长、利润率或资本成本发生变化，减值会影响账面权益和市场信任。商誉减值通常非当期现金支出，却反映此前资本配置回报低于期待。本章</w:t>
      </w:r>
      <w:r>
        <w:rPr/>
        <w:t>PB</w:t>
      </w:r>
      <w:r>
        <w:rPr/>
        <w:t>仅作为交叉观察，不用账面低估逻辑覆盖经营与债务分析，尤其要关注开发资产与商誉合计占普通股权益的比例。</w:t>
      </w:r>
    </w:p>
    <w:p>
      <w:pPr>
        <w:pStyle w:val="Heading2"/>
        <w:rPr/>
      </w:pPr>
      <w:r>
        <w:rPr>
          <w:color w:val="000000"/>
        </w:rPr>
        <w:t>子公司 联营和治理</w:t>
      </w:r>
    </w:p>
    <w:p>
      <w:pPr>
        <w:pStyle w:val="Normal"/>
        <w:rPr/>
      </w:pPr>
      <w:r>
        <w:rPr/>
        <w:t>汉霖上半年收入约三十五点八八亿元、净利润四点三〇亿元，是创新与生物类似药重要平台。复星有效权益并非百分之百，集团需扣少数股东并处理购买评估与合并分类，不能把汉霖净利全记到复星归母。子公司可单独融资和激励人才，对集团资源效率有利，也意味着母公司未来经济份额可能变化。评价平台成长时，应该同时观察股权结构和利润归属，不能只看销售曲线。</w:t>
      </w:r>
    </w:p>
    <w:p>
      <w:pPr>
        <w:pStyle w:val="Normal"/>
        <w:rPr/>
      </w:pPr>
      <w:r>
        <w:rPr/>
        <w:t>Gland</w:t>
      </w:r>
      <w:r>
        <w:rPr/>
        <w:t>收入约二十六点〇四亿元、净利润三点九二亿元、经营现金约五点四五亿元，制造修复对复星具有意义。中报一处少数损益负七千七百余万元与同页净利润按百分之四十八点二三计算不匹配，负值更接近综合收益表数的比例，本版保留原疑点，没有强行认定其经营亏损或把另一口径代入集团归母。完整集团利润表为活动模型锚，子公司表用于理解业务，而不是拼成未经核实的新合并数。</w:t>
      </w:r>
    </w:p>
    <w:p>
      <w:pPr>
        <w:pStyle w:val="Normal"/>
        <w:rPr/>
      </w:pPr>
      <w:r>
        <w:rPr/>
        <w:t>Gland</w:t>
      </w:r>
      <w:r>
        <w:rPr/>
        <w:t>八月初供应协议的全年商业化后收入潜力九千万至一亿美元，涵盖常规与复杂注射剂多剂型，可能提高产能利用和客户关系质量。关键词是全部产品商业化之后，不能写成二〇二六已经增加相同收入。合同还需注册、生产验证、销量及价格兑现，客户集中和质量监管是持续风险。若新增业务贡献低毛利或需大量资本开支，收入规模对普通股的价值会低于新闻表述。</w:t>
      </w:r>
    </w:p>
    <w:p>
      <w:pPr>
        <w:pStyle w:val="Normal"/>
        <w:rPr/>
      </w:pPr>
      <w:r>
        <w:rPr/>
        <w:t>器械诊断分部经营亏损约一点二八亿元，净利润口径亏损约零点二二亿元，差别来自投资等项目。北美医美需求疲软、竞争和新品投入使能量源设备增长承压，呼吸产品还受美国医保政策影响。诊断与专业设备的技术价值并不能立即抵补这些亏损，磁波刀和手术机器人新增装机数量仍小。集团若继续投入直销与研发，需要用产品毛利及实际回款检验，不能仅靠装机累计或技术类别评定高成长。</w:t>
      </w:r>
    </w:p>
    <w:p>
      <w:pPr>
        <w:pStyle w:val="Normal"/>
        <w:rPr/>
      </w:pPr>
      <w:r>
        <w:rPr/>
        <w:t>医疗服务分部收入增长但净亏约二点〇七亿元，康复专科连锁扩张爬坡是重要原因。十八家综合及专科等机构与二十四家康复医院形成服务网络，不应简单相加当互不重叠资产规模。床位批准数量不等于实际使用、支付标准或盈利能力。医院运营需要医生、护理、设备、品牌和医保合规，固定成本较高；基准要求逐步止损，若扩张持续占用资本却没有成熟医院利润释放，长期收益假设需下调。</w:t>
      </w:r>
    </w:p>
    <w:p>
      <w:pPr>
        <w:pStyle w:val="Normal"/>
        <w:rPr/>
      </w:pPr>
      <w:r>
        <w:rPr/>
        <w:t>国药产投为复星持有百分之四十九的重要权益法资产，对集团持续盈利有贡献；国药控股百分之四十点六五属于其下层持股关系，不能误写为复星直接比例。该资产上半年给分销分部的权益收益约八点四五亿元，国药控股二千八百余亿元收入不并入复星销售。医药分销需求广泛，但医保价格治理和医院回款影响利润；权益法收益不等当期现金股息，母公司流动性还要看真实分配。</w:t>
      </w:r>
    </w:p>
    <w:p>
      <w:pPr>
        <w:pStyle w:val="Normal"/>
        <w:rPr/>
      </w:pPr>
      <w:r>
        <w:rPr/>
        <w:t>复星复杂关联体系要求对资本配置保持更高审查标准。九月南京基金减资取消未实缴承诺，集团减少认缴约二点六七亿元而没有收到退款，基金仍并表。这减少未来调用资金压力，是资本约束的改善信号，不能直接提升当期现金或净利。董事回避及独立程序提供治理证据，经济合理性仍要看基金历史投资回报和退出质量，程序合规不能自动等同最优股东回报。</w:t>
      </w:r>
    </w:p>
    <w:p>
      <w:pPr>
        <w:pStyle w:val="Normal"/>
        <w:rPr/>
      </w:pPr>
      <w:r>
        <w:rPr/>
        <w:t>上海克隆科技园相关筹划出售把最晚签署日从九月底延至二〇二七年三月底，截至补充协议时核心交易协议仍未签署。这个事件说明非核心资产释放现金存在执行摩擦，不能把框架安排当已交割。年底模型不加处置收入或现金，也不将未来可能出售所得乘经营</w:t>
      </w:r>
      <w:r>
        <w:rPr/>
        <w:t>PE</w:t>
      </w:r>
      <w:r>
        <w:rPr/>
        <w:t>。若后续签约完成，应该先核交易对价、税费、偿债和实际收款，再判断股东价值，而不是只按资产账面规模估算上行。</w:t>
      </w:r>
    </w:p>
    <w:p>
      <w:pPr>
        <w:pStyle w:val="Normal"/>
        <w:rPr/>
      </w:pPr>
      <w:r>
        <w:rPr/>
        <w:t>九月底全发行股约二十六点七〇四亿股，库存</w:t>
      </w:r>
      <w:r>
        <w:rPr/>
        <w:t>A</w:t>
      </w:r>
      <w:r>
        <w:rPr/>
        <w:t>股约一千九百九十一万、</w:t>
      </w:r>
      <w:r>
        <w:rPr/>
        <w:t>H</w:t>
      </w:r>
      <w:r>
        <w:rPr/>
        <w:t>股约二千二百三十三万，外部股份约二十六点二八二亿。九月</w:t>
      </w:r>
      <w:r>
        <w:rPr/>
        <w:t>H</w:t>
      </w:r>
      <w:r>
        <w:rPr/>
        <w:t>回购一千一百余万股尚未注销，发行数不因此下降。</w:t>
      </w:r>
      <w:r>
        <w:rPr/>
        <w:t>EPS</w:t>
      </w:r>
      <w:r>
        <w:rPr/>
        <w:t>可以用当前外部股数提升，但本研究短期保守用全发行股，远期股数考虑激励和融资。库存可能用于激励，不再把全部库存作为新股额外加到已经包含它的发行分母。</w:t>
      </w:r>
    </w:p>
    <w:p>
      <w:pPr>
        <w:pStyle w:val="Normal"/>
        <w:rPr/>
      </w:pPr>
      <w:r>
        <w:rPr/>
        <w:t>预留</w:t>
      </w:r>
      <w:r>
        <w:rPr/>
        <w:t>A</w:t>
      </w:r>
      <w:r>
        <w:rPr/>
        <w:t>期权实际七十二点三三万份，行权价二十七点九三元人民币，来自库存，九月二十四日登记，等待期与两期行权明确。它已包含在九月底存续</w:t>
      </w:r>
      <w:r>
        <w:rPr/>
        <w:t>A</w:t>
      </w:r>
      <w:r>
        <w:rPr/>
        <w:t>期权中，不能另加一遍；</w:t>
      </w:r>
      <w:r>
        <w:rPr/>
        <w:t>H</w:t>
      </w:r>
      <w:r>
        <w:rPr/>
        <w:t>未归属</w:t>
      </w:r>
      <w:r>
        <w:rPr/>
        <w:t>RSU</w:t>
      </w:r>
      <w:r>
        <w:rPr/>
        <w:t>也可能从库存交付。近端库存与股数处理能够造成</w:t>
      </w:r>
      <w:r>
        <w:rPr/>
        <w:t>EPS</w:t>
      </w:r>
      <w:r>
        <w:rPr/>
        <w:t>细微差别，却不改变更重要的长期盈利判断。若后续大额股权融资发生，活动股数必须刷新，不能沿用较低旧分母维持高目标价。</w:t>
      </w:r>
    </w:p>
    <w:p>
      <w:pPr>
        <w:pStyle w:val="Heading2"/>
        <w:rPr/>
      </w:pPr>
      <w:r>
        <w:rPr>
          <w:color w:val="000000"/>
        </w:rPr>
        <w:t>行业周期 利率与汇率</w:t>
      </w:r>
    </w:p>
    <w:p>
      <w:pPr>
        <w:pStyle w:val="Normal"/>
        <w:rPr/>
      </w:pPr>
      <w:r>
        <w:rPr/>
        <w:t>老龄化、慢病及肿瘤需求给复星长期市场空间，但支付能力决定收入兑现速度。中国医保准入可能扩大患者可及性，也同时压低单价；医院反腐及合规推广要求提高长期质量，却在短期影响进院和处方节奏。复星的成熟药及分销联营更暴露于价格治理，创新产品更多依赖临床差异化与目录准入，两种资产不能用相同政策弹性估计。基准假设温和恢复，不预设价格压力消失。</w:t>
      </w:r>
    </w:p>
    <w:p>
      <w:pPr>
        <w:pStyle w:val="Normal"/>
        <w:rPr/>
      </w:pPr>
      <w:r>
        <w:rPr/>
        <w:t>全球授权周期活跃会提高早期资产变现机会，复星已有具体交易基础，比仅靠未来愿景更有证据。海外政策对资本投资、技术许可和供应链的边界仍可能变化，公开投行关于规则收窄的新闻是政策预期，未最终定稿的内容不能当保证。成熟制造业务还受到客户采购、关税或本地化要求影响。研究应把政策作用落到合作执行和净现金，而不是统一给全部医药公司同幅度估值溢价。</w:t>
      </w:r>
    </w:p>
    <w:p>
      <w:pPr>
        <w:pStyle w:val="Normal"/>
        <w:rPr/>
      </w:pPr>
      <w:r>
        <w:rPr/>
        <w:t>集团持有较高融资负债，利率下降能够降低财务费用，提高普通股盈利；海外研发和长期管线同时会受折现率变化影响估值。相反，融资利率上升不仅压利润，还可能迫使延迟研发和资本开支，影响长期产品更新。利率敏感应从可重定价债务规模、期限及利差分析，本版未完整取得每项未来再融资条件，因此只在正常财务费用和悲观融资假设中反映，没有声称每降息一次固定增加某个目标价。</w:t>
      </w:r>
    </w:p>
    <w:p>
      <w:pPr>
        <w:pStyle w:val="Normal"/>
        <w:rPr/>
      </w:pPr>
      <w:r>
        <w:rPr/>
        <w:t>海外收入与资产使集团面临美元、欧元及印度卢比等多币种影响，人民币升值可能压低换算收入，采购和海外费用又可形成部分自然对冲。上半年恒汇率收入增幅高于报告增幅说明本期汇兑确有影响，但不能直接据此预测下一年汇率方向。目标价人民币</w:t>
      </w:r>
      <w:r>
        <w:rPr/>
        <w:t>EPS</w:t>
      </w:r>
      <w:r>
        <w:rPr/>
        <w:t>换港币采用一点一〇研究汇率，明确不是锁定当日现汇；人民币投资者另外面临持有港币证券的汇率变化，应该与公司经营汇兑区分。</w:t>
      </w:r>
    </w:p>
    <w:p>
      <w:pPr>
        <w:pStyle w:val="Normal"/>
        <w:rPr/>
      </w:pPr>
      <w:r>
        <w:rPr/>
        <w:t>消费前景主要通过医美、部分主动健康和高端医疗服务影响复星，与基本治疗药需求不同。北美竞争、消费疲软和营销成本可使器械利润显著波动，商保合作或国际患者增长可能改善医院结构，但没有足够证据时不能用它抵消已发生亏损。全球资本开支和生物技术融资复苏又影响制造客户订单，收入、利用率和价格存在时差。多业务有分散价值，但不是所有周期同时向上的保证。</w:t>
      </w:r>
    </w:p>
    <w:p>
      <w:pPr>
        <w:pStyle w:val="Heading2"/>
        <w:rPr/>
      </w:pPr>
      <w:r>
        <w:rPr>
          <w:color w:val="000000"/>
        </w:rPr>
        <w:t>半年</w:t>
      </w:r>
      <w:r>
        <w:rPr>
          <w:color w:val="000000"/>
        </w:rPr>
        <w:t>K</w:t>
      </w:r>
      <w:r>
        <w:rPr>
          <w:color w:val="000000"/>
        </w:rPr>
        <w:t>线与量价</w:t>
      </w:r>
    </w:p>
    <w:p>
      <w:pPr>
        <w:pStyle w:val="Normal"/>
        <w:rPr/>
      </w:pPr>
      <w:r>
        <w:rPr/>
        <w:t>锁定行情覆盖七百三十九日线和一百五十七周，按统一复权方法生成指标，成交量单位为股、金额为港币。二十、六十、一百二十及二百五十日均线分别约十七点六七四、十六点九九四、十六点九四一和十八点八六四港元；现价分别高百分之一点一一、五点一六、五点四八并低百分之五点二七。位置表明中短线修复有基础，长期年线仍构成上方需要检验的区域。</w:t>
      </w:r>
    </w:p>
    <w:p>
      <w:pPr>
        <w:pStyle w:val="Normal"/>
        <w:rPr/>
      </w:pPr>
      <w:r>
        <w:rPr/>
        <w:t>五日窗口均线斜率显示二十日及六十日分别上行约百分之一点五六和零点八五，一百二十及二百五十日仍微降。多条相近均线不重复作为独立利好加分，技术判断的核心是短期改善能否传到长周期。若价格只在短均线之上而长均线继续下行，常见路径是反弹遇供给；研究因此把技术得分放在中性偏改善区域，没有把日线局部走强解释为已经进入持续牛市。</w:t>
      </w:r>
    </w:p>
    <w:p>
      <w:pPr>
        <w:pStyle w:val="Normal"/>
        <w:rPr/>
      </w:pPr>
      <w:r>
        <w:rPr/>
        <w:t>近二十日价格涨约百分之八点二四，近六十日涨百分之五点七四，同期相对恒指分别超出十一点二二和八点九三个百分点。相对强弱改善能够说明市场近期给予复星较好表现，不能识别买盘真实身份或确定基本面已经领先同行。本版行业匹配指数数据未取得，因此只报告相对恒指，不用创新药指数冒充复星混合业务的完整行业基准，评分可信度保留这一限制。</w:t>
      </w:r>
    </w:p>
    <w:p>
      <w:pPr>
        <w:pStyle w:val="Normal"/>
        <w:rPr/>
      </w:pPr>
      <w:r>
        <w:rPr/>
        <w:t>五、二十和六十日平均成交量约一百九十万、三百一十七万和三百六十五万股，近期均量低于较长窗口。截止日成交二百八十五万余股、金额约五千零六十三万港币，相对前二十日均量的量比约零点八二六。价格反弹伴随近端成交降低，可能反映卖盘减少或追涨意愿不足，必须用后续突破确认区分，单一缩量事实既不能证明“惜售”也不能证明资金撤出。</w:t>
      </w:r>
    </w:p>
    <w:p>
      <w:pPr>
        <w:pStyle w:val="Normal"/>
        <w:rPr/>
      </w:pPr>
      <w:r>
        <w:rPr/>
        <w:t>最近二十个交易日上涨日和下跌日各十天，上涨日合计量约三千八百五十五万股、下跌日约二千四百八十四万，比例一点五五。这个统计对反弹质量有一定支持，却受涨跌定义和窗口影响，不能用作精确资金净流入。周线同类比约一点二九也温和偏好，和当日量比偏低共同表明历史反弹获得部分成交支持，但最新突破意愿尚不强，技术观察需同时保持两个证据而非只挑一个。</w:t>
      </w:r>
    </w:p>
    <w:p>
      <w:pPr>
        <w:pStyle w:val="Normal"/>
        <w:rPr/>
      </w:pPr>
      <w:r>
        <w:rPr/>
        <w:t>最近二十日区间低点十六点一〇、高点十八点六五，离现价分别约负百分之九点九〇和正百分之四点三六；六十日低点十五点七二，距离约负百分之十二点〇三。十六点一〇至十六点九九可作为回撤时观察区，十八点六五与十八点八六的组合是上方检验区。支撑不是保证成交的底价，重大数据失败或市场跳空可直接穿过；目标价和技术区间服务不同时间框架，不能互相替代。</w:t>
      </w:r>
    </w:p>
    <w:p>
      <w:pPr>
        <w:pStyle w:val="Normal"/>
        <w:rPr/>
      </w:pPr>
      <w:r>
        <w:rPr/>
        <w:t>更完整的上行确认需要价格站上十八点六五至年线区，成交持续高于二十日均量，并在回踩时有正常承接，同时长均线斜率逐渐改善。若冲高仅单日大量、随后收回箱体且下跌量增加，应视为突破失败而降低半年评分。价格跌破十六点一〇后连续无法收复，或再跌破十五点七二，会否定当前短期修复结构，投资者应重新核经营和事件，而非机械等待均线重新排列。</w:t>
      </w:r>
    </w:p>
    <w:p>
      <w:pPr>
        <w:pStyle w:val="Normal"/>
        <w:rPr/>
      </w:pPr>
      <w:r>
        <w:rPr/>
        <w:t>日</w:t>
      </w:r>
      <w:r>
        <w:rPr/>
        <w:t>RSI</w:t>
      </w:r>
      <w:r>
        <w:rPr/>
        <w:t>约五十四，处在中性略偏强区；</w:t>
      </w:r>
      <w:r>
        <w:rPr/>
        <w:t>MACD</w:t>
      </w:r>
      <w:r>
        <w:rPr/>
        <w:t>快线约零点三〇七、信号约零点三二二、双倍柱略负，表明反弹动能尚未重新明显加速。这些指标都源自同一价格序列，不作为两个额外独立加分理由。</w:t>
      </w:r>
      <w:r>
        <w:rPr/>
        <w:t>ATR</w:t>
      </w:r>
      <w:r>
        <w:rPr/>
        <w:t>约零点六一五港元、相当现价百分之三点四四，说明正常波动本身已经较大，距阻力四点三六个百分点并不是足够宽的安全缓冲，短期追价需考虑波动和滑点。</w:t>
      </w:r>
    </w:p>
    <w:p>
      <w:pPr>
        <w:pStyle w:val="Normal"/>
        <w:rPr/>
      </w:pPr>
      <w:r>
        <w:rPr/>
        <w:t>周线二十、六十、一百二十周均线分别约十六点五〇三、十九点四一六及十六点七七四，现价位于短周线之上、六十周之下。二十与六十周斜率仍下降，一百二十周缓升，表明中期结构并未统一。周</w:t>
      </w:r>
      <w:r>
        <w:rPr/>
        <w:t>RSI</w:t>
      </w:r>
      <w:r>
        <w:rPr/>
        <w:t>约五十四、</w:t>
      </w:r>
      <w:r>
        <w:rPr/>
        <w:t>MACD</w:t>
      </w:r>
      <w:r>
        <w:rPr/>
        <w:t>柱转正有修复信息，但周</w:t>
      </w:r>
      <w:r>
        <w:rPr/>
        <w:t>ATR</w:t>
      </w:r>
      <w:r>
        <w:rPr/>
        <w:t>约一点二三五港元、约百分之六点九一，突发催化能迅速改变周线。缺二百五十周真实历史，不补造长期指标。</w:t>
      </w:r>
    </w:p>
    <w:p>
      <w:pPr>
        <w:pStyle w:val="Normal"/>
        <w:rPr/>
      </w:pPr>
      <w:r>
        <w:rPr/>
        <w:t>复权五十二周高点约二十六点一一、低点十四点五一，现价距高约跌百分之三十一点五六，样本最大回撤约百分之四十三点五一。跌幅大说明此前估值或预期已明显调整，但不构成“必涨回旧高”的逻辑。旧高是在不同信息和资金条件下形成，若正常盈利或资本约束未改善，价格可以长期低于旧高；本章目标来自盈利情景而非把旧高作为必达价格。</w:t>
      </w:r>
    </w:p>
    <w:p>
      <w:pPr>
        <w:pStyle w:val="Normal"/>
        <w:rPr/>
      </w:pPr>
      <w:r>
        <w:rPr/>
        <w:t>没有取得准确流通换手及逐笔订单数据，本报告不绘制声称精确的筹码分布，也不从上涨量大于下跌量断言主力吸筹。回购数据提供了发行人参与买盘的部分证据，但二级市场其余投资者行为未知。技术分析在半年权重最高，仍应被临床、季度盈利和融资事件校正；重大负面披露能让任何图形失效，图形良好也不能抵消未来资本现金缺口。</w:t>
      </w:r>
    </w:p>
    <w:p>
      <w:pPr>
        <w:pStyle w:val="Heading2"/>
        <w:rPr/>
      </w:pPr>
      <w:r>
        <w:rPr>
          <w:color w:val="000000"/>
        </w:rPr>
        <w:t>各期限估值 收益来源与年底情景</w:t>
      </w:r>
    </w:p>
    <w:p>
      <w:pPr>
        <w:pStyle w:val="Normal"/>
        <w:rPr/>
      </w:pPr>
      <w:r>
        <w:rPr/>
        <w:t>半年基准约二十点七三港元，由前瞻正常</w:t>
      </w:r>
      <w:r>
        <w:rPr/>
        <w:t>EPS</w:t>
      </w:r>
      <w:r>
        <w:rPr/>
        <w:t>约一点〇七七元人民币、十七点五倍</w:t>
      </w:r>
      <w:r>
        <w:rPr/>
        <w:t>H PE</w:t>
      </w:r>
      <w:r>
        <w:rPr/>
        <w:t>和研究换汇得到，较现价上涨约百分之十六。这个目标需要产品销售持续、费用未超预算且短线年线附近供给逐渐消化。半年的核心收益主要是市场对二〇二七盈利修复的提前认可，已除净旧股息不提供额外回报。技术得分中等及近端量能偏弱使其不宜被当作最确定的短线标的。</w:t>
      </w:r>
    </w:p>
    <w:p>
      <w:pPr>
        <w:pStyle w:val="Normal"/>
        <w:rPr/>
      </w:pPr>
      <w:r>
        <w:rPr/>
        <w:t>半年悲观约九点三三、乐观三十二点六九港元，分别对应经营受压和管线催化显著推动估值的条件。乐观价格需要正常盈利运行率更高及二十一倍估值，不能由一个公告标题实现；悲观价格允许费用和融资压力保持、市场降低正常利润预期。宽区间反映公司多资产及临床事件带来的不确定性，不是六个月最大可能损失范围。临床彻底失败或资本市场关闭可能比列示悲观更坏。</w:t>
      </w:r>
    </w:p>
    <w:p>
      <w:pPr>
        <w:pStyle w:val="Normal"/>
        <w:rPr/>
      </w:pPr>
      <w:r>
        <w:rPr/>
        <w:t>一年基准二十七点八三港元，目标正常归母三十五点六九亿元、</w:t>
      </w:r>
      <w:r>
        <w:rPr/>
        <w:t>EPS</w:t>
      </w:r>
      <w:r>
        <w:rPr/>
        <w:t>一点三三二元、</w:t>
      </w:r>
      <w:r>
        <w:rPr/>
        <w:t>H PE</w:t>
      </w:r>
      <w:r>
        <w:rPr/>
        <w:t>十九倍，股价空间约百分之五十五点七四；累计分红研究假设零点四港元，税前含息约百分之五十七点九八。回报中既有</w:t>
      </w:r>
      <w:r>
        <w:rPr/>
        <w:t>EPS</w:t>
      </w:r>
      <w:r>
        <w:rPr/>
        <w:t>增长，也有估值升至十九倍，任何一项不兑现都会降低收益。若一年只有利润恢复而估值维持当前水平，目标应低于本表基准，不能把全部上行都称作经营增长。</w:t>
      </w:r>
    </w:p>
    <w:p>
      <w:pPr>
        <w:pStyle w:val="Normal"/>
        <w:rPr/>
      </w:pPr>
      <w:r>
        <w:rPr/>
        <w:t>三年基准四十一点二六港元，反映多个产品逐步商业化、制药结构提高、医院和器械减少拖累；累计股息一点五五港元为研究值，含息年化约百分之三十三点八〇。这个高回报需要从较低当前盈利基数向五十一亿元正常归母的跨越，并给予二十倍估值，进取性明显。若新药带来的毛利不足以覆盖研发、或少数权益使集团归母未同步提升，三年目标就应下调，不把新药总销量等同股东复利。</w:t>
      </w:r>
    </w:p>
    <w:p>
      <w:pPr>
        <w:pStyle w:val="Normal"/>
        <w:rPr/>
      </w:pPr>
      <w:r>
        <w:rPr/>
        <w:t>五年基准五十一点〇二港元，累计分红三港元，含息年化约百分之二十四点七六。比三年年化下降是合理的：基数变大后增长难度提高，竞争与产品生命周期需要更保守倍数，股数也考虑更长期稀释。长期投资不靠“持有更久所以更安全”的推论，而靠产品更新、研发效率和资本回报不断验证。若集团一直扩张资本但现金盈利不增长，延长持有期会扩大机会成本和不确定性。</w:t>
      </w:r>
    </w:p>
    <w:p>
      <w:pPr>
        <w:pStyle w:val="Normal"/>
        <w:rPr/>
      </w:pPr>
      <w:r>
        <w:rPr/>
        <w:t>年底距基准日约不足三个月，基准价十八点六三港元仅上涨百分之四点二六，比一年目标低很多。年底使用全年正常化盈利的市场定价而非多年</w:t>
      </w:r>
      <w:r>
        <w:rPr/>
        <w:t>DCF</w:t>
      </w:r>
      <w:r>
        <w:rPr/>
        <w:t>立即兑现，悲观十点三〇、乐观二十七点二三港元分别约跌百分之四十二点三四和涨百分之五十二点四〇。主要变量是季度经营、临床或许可信息、费用和融资预期以及市场风险偏好，未签署科技园出售不当年底已收款。</w:t>
      </w:r>
    </w:p>
    <w:p>
      <w:pPr>
        <w:pStyle w:val="Normal"/>
        <w:rPr/>
      </w:pPr>
      <w:r>
        <w:rPr/>
        <w:t>按悲观四分之一、基准二分之一、乐观四分之一判断权重，年底期望价十八点七〇港元、期望涨幅百分之四点六四。权重转为四十／五十／十时，期望价约十六点一六港元、回报约负百分之九点五七；转为十／五十／四十则约二十一点二四港元、回报约百分之十八点八五。权重只是研究者对条件分支的组织方式，没有从统计数据估出真实概率。期望回报很低但区间很宽，提示年底专项的风险收益结构不同于三年成长逻辑。</w:t>
      </w:r>
    </w:p>
    <w:p>
      <w:pPr>
        <w:pStyle w:val="Normal"/>
        <w:rPr/>
      </w:pPr>
      <w:r>
        <w:rPr/>
        <w:t>目标</w:t>
      </w:r>
      <w:r>
        <w:rPr/>
        <w:t>PE</w:t>
      </w:r>
      <w:r>
        <w:rPr/>
        <w:t>与</w:t>
      </w:r>
      <w:r>
        <w:rPr/>
        <w:t>EPS</w:t>
      </w:r>
      <w:r>
        <w:rPr/>
        <w:t>具有乘法关系，基准</w:t>
      </w:r>
      <w:r>
        <w:rPr/>
        <w:t>EPS</w:t>
      </w:r>
      <w:r>
        <w:rPr/>
        <w:t>下降百分之十而</w:t>
      </w:r>
      <w:r>
        <w:rPr/>
        <w:t>PE</w:t>
      </w:r>
      <w:r>
        <w:rPr/>
        <w:t>不变，目标价也下降百分之十；若盈利及倍数同时各降一成，目标下降约百分之十九。许可收入若低于基准，必须先扣相应成本、税及少数影响再改</w:t>
      </w:r>
      <w:r>
        <w:rPr/>
        <w:t>EPS</w:t>
      </w:r>
      <w:r>
        <w:rPr/>
        <w:t>，不能将收入差直接百分百扣归母。股数增加百分之五使其他相同的</w:t>
      </w:r>
      <w:r>
        <w:rPr/>
        <w:t>EPS</w:t>
      </w:r>
      <w:r>
        <w:rPr/>
        <w:t>和股价约降百分之四点七六。采用可编辑原子桥有助于让这些敏感在总表中真实计算而非停留口头说明。</w:t>
      </w:r>
    </w:p>
    <w:p>
      <w:pPr>
        <w:pStyle w:val="Normal"/>
        <w:rPr/>
      </w:pPr>
      <w:r>
        <w:rPr/>
        <w:t>人民币投资者的回报还受港币相对人民币变化影响。活动模型把一年含息港币回报乘以港币汇率强弱百分之五，计算持有币种回报变化；它与人民币盈利换港币目标价的换汇假设是两类敏感，不能双重计算同一汇率冲击。股息税和交易成本未计入，实际现金回报应按投资者账户条件处理。高长期目标无法免除汇率和融资稀释的侵蚀，尤其需要跨市场投资者单独检查。</w:t>
      </w:r>
    </w:p>
    <w:p>
      <w:pPr>
        <w:pStyle w:val="Heading2"/>
        <w:rPr/>
      </w:pPr>
      <w:r>
        <w:rPr>
          <w:color w:val="000000"/>
        </w:rPr>
        <w:t>外资投行参照与十年可持续性</w:t>
      </w:r>
    </w:p>
    <w:p>
      <w:pPr>
        <w:pStyle w:val="Normal"/>
        <w:rPr/>
      </w:pPr>
      <w:r>
        <w:rPr/>
        <w:t>汇丰九月二十九日把</w:t>
      </w:r>
      <w:r>
        <w:rPr/>
        <w:t>H</w:t>
      </w:r>
      <w:r>
        <w:rPr/>
        <w:t>股目标由十八点三升至十九点六港元、维持持有，为近九十天且业绩后的公开公司目标，较现价空间约百分之九点六八。本章一年基准高于它，原因是采用更积极的二〇二七正常利润和估值假设，年底基准则较接近。汇丰行业观点强调国内业务恢复缓慢与全球管线进展，不能把同篇其他公司较高目标或评级借给复星；同日表格与正文去重为一项报告。</w:t>
      </w:r>
    </w:p>
    <w:p>
      <w:pPr>
        <w:pStyle w:val="Normal"/>
        <w:rPr/>
      </w:pPr>
      <w:r>
        <w:rPr/>
        <w:t>里昂四月三十日目标二十五点四港元、跑赢大市，摩根士丹利四月二十二日</w:t>
      </w:r>
      <w:r>
        <w:rPr/>
        <w:t>H</w:t>
      </w:r>
      <w:r>
        <w:rPr/>
        <w:t>目标三十二港元、增持，都已超过九十天。大摩报道另有</w:t>
      </w:r>
      <w:r>
        <w:rPr/>
        <w:t>A</w:t>
      </w:r>
      <w:r>
        <w:rPr/>
        <w:t>目标四十元人民币，不能放进</w:t>
      </w:r>
      <w:r>
        <w:rPr/>
        <w:t>H</w:t>
      </w:r>
      <w:r>
        <w:rPr/>
        <w:t>目标平均；其关于每年授权收入及激励目标的论点是预测观点而非承诺。三项均为公开新闻转述，原报告和明确目标期限未取得，因此作为一年估值参照并标可信度中等，不能伪装成最新一致预期或机构为本章年底目标背书。</w:t>
      </w:r>
    </w:p>
    <w:p>
      <w:pPr>
        <w:pStyle w:val="Normal"/>
        <w:rPr/>
      </w:pPr>
      <w:r>
        <w:rPr/>
        <w:t>十年展望首先看是否能把汉霖等平台变成稳定更新产品的体系，而非依赖一两个成功资产。</w:t>
      </w:r>
      <w:r>
        <w:rPr/>
        <w:t>PD-1</w:t>
      </w:r>
      <w:r>
        <w:rPr/>
        <w:t>和生物类似药现金源会经历竞争与生命周期衰减，</w:t>
      </w:r>
      <w:r>
        <w:rPr/>
        <w:t>ADC</w:t>
      </w:r>
      <w:r>
        <w:rPr/>
        <w:t>、免疫、小分子和其他平台必须创造足够差异化价值，同时研发效率需要提高。真正持续性表现为多个代际产品贡献、全球质量体系和可重复现金回款，而非研发数量不断增加。若十年内仍主要靠出售资产和大额首付维护利润，集团成长估值的基础会弱化。</w:t>
      </w:r>
    </w:p>
    <w:p>
      <w:pPr>
        <w:pStyle w:val="Normal"/>
        <w:rPr/>
      </w:pPr>
      <w:r>
        <w:rPr/>
        <w:t>第二个十年条件是资本配置纪律。集团有能力跨领域投资，但普通股价值取决于投资回报高于资本成本，亏损医院扩张、早研引进或基金投资都要有退出与止损机制。资产结构简化、透明利润归属、可预测分红回购及降低净融资压力可以帮助估值改善，单纯管理资产总量扩大不能。长期乐观路径允许规模和创新产生协同，悲观则反映资本持续消耗而高价值产品不足的情形。</w:t>
      </w:r>
    </w:p>
    <w:p>
      <w:pPr>
        <w:pStyle w:val="Normal"/>
        <w:rPr/>
      </w:pPr>
      <w:r>
        <w:rPr/>
        <w:t>最有用的后续验证顺序是产品销售与正常许可拆分、费用研发及资本化桥、经营现金与购建投资、净融资负债及股数、关键随机临床和全球注册、器械医院成熟单元盈利。每个新结果都应记录首次披露日期和是否收盘后，避免用后续消息解释此前行情。复星具备值得研究的创新资源与全球化能力，但本章的推荐必须依赖这些资源逐步转成归母现金回报；一年、三年及五年积极目标始终伴随可量化的失败路径。</w:t>
      </w:r>
    </w:p>
    <w:p>
      <w:pPr>
        <w:pStyle w:val="Heading2"/>
        <w:rPr/>
      </w:pPr>
      <w:r>
        <w:rPr>
          <w:color w:val="000000"/>
        </w:rPr>
        <w:t>来源</w:t>
      </w:r>
    </w:p>
    <w:p>
      <w:pPr>
        <w:pStyle w:val="Normal"/>
        <w:rPr/>
      </w:pPr>
      <w:r>
        <w:rPr/>
        <w:t>1. A</w:t>
      </w:r>
      <w:r>
        <w:rPr/>
        <w:t>中报：</w:t>
      </w:r>
      <w:r>
        <w:rPr/>
        <w:t>2026-08-26</w:t>
      </w:r>
      <w:r>
        <w:rPr/>
        <w:t>，收入、利润原子桥、研发附注、现金、分部、许可、子公司及资本承诺，</w:t>
      </w:r>
      <w:r>
        <w:rPr/>
        <w:t xml:space="preserve">https://static.cninfo.com.cn/finalpage/2026-08-26/1225505529.PDF </w:t>
      </w:r>
      <w:r>
        <w:rPr/>
        <w:t>。</w:t>
      </w:r>
    </w:p>
    <w:p>
      <w:pPr>
        <w:pStyle w:val="Normal"/>
        <w:rPr/>
      </w:pPr>
      <w:r>
        <w:rPr/>
        <w:t>2. FY2025 A</w:t>
      </w:r>
      <w:r>
        <w:rPr/>
        <w:t>年报：</w:t>
      </w:r>
      <w:r>
        <w:rPr/>
        <w:t>2026-03-25</w:t>
      </w:r>
      <w:r>
        <w:rPr/>
        <w:t>，三年历史、季度季节性、</w:t>
      </w:r>
      <w:r>
        <w:rPr/>
        <w:t>BD</w:t>
      </w:r>
      <w:r>
        <w:rPr/>
        <w:t>权利及会计差异，</w:t>
      </w:r>
      <w:r>
        <w:rPr/>
        <w:t xml:space="preserve">https://static.cninfo.com.cn/finalpage/2026-03-25/1225028389.PDF </w:t>
      </w:r>
      <w:r>
        <w:rPr/>
        <w:t>。</w:t>
      </w:r>
    </w:p>
    <w:p>
      <w:pPr>
        <w:pStyle w:val="Normal"/>
        <w:rPr/>
      </w:pPr>
      <w:r>
        <w:rPr/>
        <w:t>3. H</w:t>
      </w:r>
      <w:r>
        <w:rPr/>
        <w:t>中报：</w:t>
      </w:r>
      <w:r>
        <w:rPr/>
        <w:t>2026-09-17</w:t>
      </w:r>
      <w:r>
        <w:rPr/>
        <w:t>镜像，许可收入及香港分类，</w:t>
      </w:r>
      <w:r>
        <w:rPr/>
        <w:t xml:space="preserve">https://iis.aastocks.com/20260917/12335318-0.PDF </w:t>
      </w:r>
      <w:r>
        <w:rPr/>
        <w:t>。</w:t>
      </w:r>
    </w:p>
    <w:p>
      <w:pPr>
        <w:pStyle w:val="Normal"/>
        <w:rPr/>
      </w:pPr>
      <w:r>
        <w:rPr/>
        <w:t xml:space="preserve">4. </w:t>
      </w:r>
      <w:r>
        <w:rPr/>
        <w:t>九月月报：</w:t>
      </w:r>
      <w:r>
        <w:rPr/>
        <w:t>2026-10-01 A</w:t>
      </w:r>
      <w:r>
        <w:rPr/>
        <w:t>镜像，股数、库存、回购与激励，</w:t>
      </w:r>
      <w:r>
        <w:rPr/>
        <w:t xml:space="preserve">https://static.cninfo.com.cn/finalpage/2026-10-01/1225590308.PDF </w:t>
      </w:r>
      <w:r>
        <w:rPr/>
        <w:t>。</w:t>
      </w:r>
    </w:p>
    <w:p>
      <w:pPr>
        <w:pStyle w:val="Normal"/>
        <w:rPr/>
      </w:pPr>
      <w:r>
        <w:rPr/>
        <w:t>5. Amberstone</w:t>
      </w:r>
      <w:r>
        <w:rPr/>
        <w:t>：</w:t>
      </w:r>
      <w:r>
        <w:rPr/>
        <w:t>2026-09-23</w:t>
      </w:r>
      <w:r>
        <w:rPr/>
        <w:t>签署，</w:t>
      </w:r>
      <w:r>
        <w:rPr/>
        <w:t>9/24 A</w:t>
      </w:r>
      <w:r>
        <w:rPr/>
        <w:t>公告，</w:t>
      </w:r>
      <w:r>
        <w:rPr/>
        <w:t xml:space="preserve">https://static.cninfo.com.cn/finalpage/2026-09-24/1225578512.PDF </w:t>
      </w:r>
      <w:r>
        <w:rPr/>
        <w:t>。</w:t>
      </w:r>
    </w:p>
    <w:p>
      <w:pPr>
        <w:pStyle w:val="Normal"/>
        <w:rPr/>
      </w:pPr>
      <w:r>
        <w:rPr/>
        <w:t xml:space="preserve">6. </w:t>
      </w:r>
      <w:r>
        <w:rPr/>
        <w:t>科技园期限延长与基金减资：</w:t>
      </w:r>
      <w:r>
        <w:rPr/>
        <w:t>9/30</w:t>
      </w:r>
      <w:r>
        <w:rPr/>
        <w:t>签署，</w:t>
      </w:r>
      <w:r>
        <w:rPr/>
        <w:t>10/1 A</w:t>
      </w:r>
      <w:r>
        <w:rPr/>
        <w:t>公告，</w:t>
      </w:r>
      <w:r>
        <w:rPr/>
        <w:t xml:space="preserve">https://static.cninfo.com.cn/finalpage/2026-10-01/1225590814.PDF </w:t>
      </w:r>
      <w:r>
        <w:rPr/>
        <w:t>，</w:t>
      </w:r>
      <w:r>
        <w:rPr/>
        <w:t xml:space="preserve">https://static.cninfo.com.cn/finalpage/2026-10-01/1225590813.PDF </w:t>
      </w:r>
      <w:r>
        <w:rPr/>
        <w:t>。</w:t>
      </w:r>
    </w:p>
    <w:p>
      <w:pPr>
        <w:pStyle w:val="Normal"/>
        <w:rPr/>
      </w:pPr>
      <w:r>
        <w:rPr/>
        <w:t xml:space="preserve">7. </w:t>
      </w:r>
      <w:r>
        <w:rPr/>
        <w:t>预留</w:t>
      </w:r>
      <w:r>
        <w:rPr/>
        <w:t>A</w:t>
      </w:r>
      <w:r>
        <w:rPr/>
        <w:t>期权：</w:t>
      </w:r>
      <w:r>
        <w:rPr/>
        <w:t>9/24</w:t>
      </w:r>
      <w:r>
        <w:rPr/>
        <w:t>登记，原文件署</w:t>
      </w:r>
      <w:r>
        <w:rPr/>
        <w:t>9/28</w:t>
      </w:r>
      <w:r>
        <w:rPr/>
        <w:t>，</w:t>
      </w:r>
      <w:r>
        <w:rPr/>
        <w:t>9/29</w:t>
      </w:r>
      <w:r>
        <w:rPr/>
        <w:t>公开，</w:t>
      </w:r>
      <w:r>
        <w:rPr/>
        <w:t xml:space="preserve">https://static.cninfo.com.cn/finalpage/2026-09-29/1225584168.PDF </w:t>
      </w:r>
      <w:r>
        <w:rPr/>
        <w:t>。</w:t>
      </w:r>
    </w:p>
    <w:p>
      <w:pPr>
        <w:pStyle w:val="Normal"/>
        <w:rPr/>
      </w:pPr>
      <w:r>
        <w:rPr/>
        <w:t>8. POLARIS-AD</w:t>
      </w:r>
      <w:r>
        <w:rPr/>
        <w:t>：</w:t>
      </w:r>
      <w:r>
        <w:rPr/>
        <w:t>NCT05531526</w:t>
      </w:r>
      <w:r>
        <w:rPr/>
        <w:t>，最后公开更新</w:t>
      </w:r>
      <w:r>
        <w:rPr/>
        <w:t>2025-10-02</w:t>
      </w:r>
      <w:r>
        <w:rPr/>
        <w:t>，</w:t>
      </w:r>
      <w:r>
        <w:rPr/>
        <w:t xml:space="preserve">https://clinicaltrials.gov/api/v2/studies/NCT05531526 </w:t>
      </w:r>
      <w:r>
        <w:rPr/>
        <w:t>。旧登记不含试验结果。</w:t>
      </w:r>
    </w:p>
    <w:p>
      <w:pPr>
        <w:pStyle w:val="Normal"/>
        <w:rPr/>
      </w:pPr>
      <w:r>
        <w:rPr/>
        <w:t xml:space="preserve">9. </w:t>
      </w:r>
      <w:r>
        <w:rPr/>
        <w:t>汇丰</w:t>
      </w:r>
      <w:r>
        <w:rPr/>
        <w:t>2026-09-29</w:t>
      </w:r>
      <w:r>
        <w:rPr/>
        <w:t>：</w:t>
      </w:r>
      <w:r>
        <w:rPr/>
        <w:t xml:space="preserve">https://www.aastocks.com/tc/stocks/analysis/stock-aafn-con/02196/AAFN/NOW.1547010/research-report </w:t>
      </w:r>
      <w:r>
        <w:rPr/>
        <w:t>。里昂</w:t>
      </w:r>
      <w:r>
        <w:rPr/>
        <w:t>2026-04-30</w:t>
      </w:r>
      <w:r>
        <w:rPr/>
        <w:t>：</w:t>
      </w:r>
      <w:r>
        <w:rPr/>
        <w:t xml:space="preserve">https://www.aastocks.com/tc/stocks/analysis/stock-aafn-con/02196/AAFN/NOW.1521868/research-report </w:t>
      </w:r>
      <w:r>
        <w:rPr/>
        <w:t>。大摩</w:t>
      </w:r>
      <w:r>
        <w:rPr/>
        <w:t>2026-04-22</w:t>
      </w:r>
      <w:r>
        <w:rPr/>
        <w:t>：</w:t>
      </w:r>
      <w:r>
        <w:rPr/>
        <w:t xml:space="preserve">https://www.aastocks.com/tc/stocks/analysis/stock-aafn-con/02196/AAFN/NOW.1519363/research-report </w:t>
      </w:r>
      <w:r>
        <w:rPr/>
        <w:t>。均公开转载、原研报缺。</w:t>
      </w:r>
    </w:p>
    <w:p>
      <w:pPr>
        <w:pStyle w:val="Normal"/>
        <w:rPr/>
      </w:pPr>
      <w:r>
        <w:rPr/>
        <w:t xml:space="preserve">10. </w:t>
      </w:r>
      <w:r>
        <w:rPr/>
        <w:t>行情锁版</w:t>
      </w:r>
      <w:r>
        <w:rPr/>
        <w:t>market-v1.6</w:t>
      </w:r>
      <w:r>
        <w:rPr/>
        <w:t>，统一复权和成交量单位以本地</w:t>
      </w:r>
      <w:r>
        <w:rPr/>
        <w:t>market_snapshot_locked.json</w:t>
      </w:r>
      <w:r>
        <w:rPr/>
        <w:t>、原行情修复及跨来源核验记录为准。估值、股息、目标价和权重为研究假设。</w:t>
      </w:r>
      <w:r>
        <w:br w:type="page"/>
      </w:r>
    </w:p>
    <w:p>
      <w:pPr>
        <w:pStyle w:val="Heading1"/>
        <w:rPr/>
      </w:pPr>
      <w:bookmarkStart w:id="1" w:name="__RefHeading___Toc47869_312338234"/>
      <w:bookmarkEnd w:id="1"/>
      <w:r>
        <w:rPr>
          <w:color w:val="000000"/>
        </w:rPr>
        <w:t xml:space="preserve">快手 </w:t>
      </w:r>
      <w:r>
        <w:rPr>
          <w:color w:val="000000"/>
        </w:rPr>
        <w:t>W 01024 HK</w:t>
      </w:r>
    </w:p>
    <w:p>
      <w:pPr>
        <w:pStyle w:val="Normal"/>
        <w:rPr/>
      </w:pPr>
      <w:r>
        <w:rPr/>
        <w:t xml:space="preserve">01024.HK </w:t>
      </w:r>
      <w:r>
        <w:rPr/>
        <w:t xml:space="preserve">现价 </w:t>
      </w:r>
      <w:r>
        <w:rPr/>
        <w:t>30.10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48.33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60.99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+103.95%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103.79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+244.82%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+250.80%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145.30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+382.72%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+396.68%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80.02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45.34HKD</w:t>
      </w:r>
      <w:r>
        <w:rPr/>
        <w:t>，期望股价回报</w:t>
      </w:r>
      <w:r>
        <w:rPr/>
        <w:t>+50.63%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13.85</w:t>
              <w:br/>
              <w:t>-53.99%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48.33</w:t>
              <w:br/>
              <w:t>+60.56%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98.71</w:t>
              <w:br/>
              <w:t>+227.94%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11.45</w:t>
              <w:br/>
              <w:t>-61.96%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60.99</w:t>
              <w:br/>
              <w:t>+102.62%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128.20</w:t>
              <w:br/>
              <w:t>+325.91%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7.89</w:t>
              <w:br/>
              <w:t>-73.79%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103.79</w:t>
              <w:br/>
              <w:t>+244.82%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266.28</w:t>
              <w:br/>
              <w:t>+784.65%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+51.94%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4.70</w:t>
              <w:br/>
              <w:t>-84.39%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145.30</w:t>
              <w:br/>
              <w:t>+382.72%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461.06</w:t>
              <w:br/>
              <w:t>+1431.76%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+37.79%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中：财报行情高可信，可灵独立盈利、现金与融资完成条款核验不足</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+52.54%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+68.59%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+93.76%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+103.95%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+114.15%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+233.26%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+250.80%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+268.34%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+371.84%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+396.68%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+421.51%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I080</w:t>
      </w:r>
      <w:r>
        <w:rPr/>
        <w:t>，证券</w:t>
      </w:r>
      <w:r>
        <w:rPr/>
        <w:t>S091</w:t>
      </w:r>
      <w:r>
        <w:rPr/>
        <w:t>，</w:t>
      </w:r>
      <w:r>
        <w:rPr/>
        <w:t>01024.HK</w:t>
      </w:r>
      <w:r>
        <w:rPr/>
        <w:t>；独立研究初版。统一价格与资料截止</w:t>
      </w:r>
      <w:r>
        <w:rPr/>
        <w:t>2026</w:t>
      </w:r>
      <w:r>
        <w:rPr/>
        <w:t>年</w:t>
      </w:r>
      <w:r>
        <w:rPr/>
        <w:t>10</w:t>
      </w:r>
      <w:r>
        <w:rPr/>
        <w:t>月</w:t>
      </w:r>
      <w:r>
        <w:rPr/>
        <w:t>9</w:t>
      </w:r>
      <w:r>
        <w:rPr/>
        <w:t>日，收盘</w:t>
      </w:r>
      <w:r>
        <w:rPr/>
        <w:t>30.10</w:t>
      </w:r>
      <w:r>
        <w:rPr/>
        <w:t>港元。模型以港股普通股为单位，季度原件首发</w:t>
      </w:r>
      <w:r>
        <w:rPr/>
        <w:t>2026</w:t>
      </w:r>
      <w:r>
        <w:rPr/>
        <w:t>年</w:t>
      </w:r>
      <w:r>
        <w:rPr/>
        <w:t>8</w:t>
      </w:r>
      <w:r>
        <w:rPr/>
        <w:t>月</w:t>
      </w:r>
      <w:r>
        <w:rPr/>
        <w:t>19</w:t>
      </w:r>
      <w:r>
        <w:rPr/>
        <w:t>日、香港收盘后，中报交易所</w:t>
      </w:r>
      <w:r>
        <w:rPr/>
        <w:t>9</w:t>
      </w:r>
      <w:r>
        <w:rPr/>
        <w:t>月</w:t>
      </w:r>
      <w:r>
        <w:rPr/>
        <w:t>3</w:t>
      </w:r>
      <w:r>
        <w:rPr/>
        <w:t>日，官网</w:t>
      </w:r>
      <w:r>
        <w:rPr/>
        <w:t>9</w:t>
      </w:r>
      <w:r>
        <w:rPr/>
        <w:t>月</w:t>
      </w:r>
      <w:r>
        <w:rPr/>
        <w:t>8</w:t>
      </w:r>
      <w:r>
        <w:rPr/>
        <w:t>日文件。有效正文排除结论卡、标题、表格、来源和共用宏观。</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分数</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w:t>
            </w:r>
            <w:r>
              <w:rPr>
                <w:rFonts w:eastAsia="微软雅黑" w:ascii="微软雅黑" w:hAnsi="微软雅黑"/>
                <w:b/>
                <w:color w:val="FFFFFF"/>
                <w:sz w:val="17"/>
              </w:rPr>
              <w:t>/</w:t>
            </w:r>
            <w:r>
              <w:rPr>
                <w:rFonts w:ascii="微软雅黑" w:hAnsi="微软雅黑" w:eastAsia="微软雅黑"/>
                <w:b/>
                <w:color w:val="FFFFFF"/>
                <w:sz w:val="17"/>
              </w:rPr>
              <w:t>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低预期修复观察</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13.85/48.33/98.71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60.56%/60.56%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核心与</w:t>
            </w:r>
            <w:r>
              <w:rPr>
                <w:rFonts w:eastAsia="微软雅黑" w:ascii="微软雅黑" w:hAnsi="微软雅黑"/>
                <w:sz w:val="17"/>
              </w:rPr>
              <w:t>AI</w:t>
            </w:r>
            <w:r>
              <w:rPr>
                <w:rFonts w:ascii="微软雅黑" w:hAnsi="微软雅黑" w:eastAsia="微软雅黑"/>
                <w:sz w:val="17"/>
              </w:rPr>
              <w:t>双重验证候选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11.45/60.99/128.20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102.62%/103.95%</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有条件进取成长</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7.89/103.79/266.28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244.82%/250.80%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高风险长期成长</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4.70/145.30/461.06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382.72%/396.68%</w:t>
            </w:r>
          </w:p>
        </w:tc>
      </w:tr>
    </w:tbl>
    <w:p>
      <w:pPr>
        <w:pStyle w:val="Normal"/>
        <w:rPr/>
      </w:pPr>
      <w:r>
        <w:rPr/>
      </w:r>
    </w:p>
    <w:p>
      <w:pPr>
        <w:pStyle w:val="Normal"/>
        <w:rPr/>
      </w:pPr>
      <w:r>
        <w:rPr/>
        <w:t>基准未来累计股息半年</w:t>
      </w:r>
      <w:r>
        <w:rPr/>
        <w:t>0</w:t>
      </w:r>
      <w:r>
        <w:rPr/>
        <w:t>、一年</w:t>
      </w:r>
      <w:r>
        <w:rPr/>
        <w:t>0.4</w:t>
      </w:r>
      <w:r>
        <w:rPr/>
        <w:t>、三年</w:t>
      </w:r>
      <w:r>
        <w:rPr/>
        <w:t>1.8</w:t>
      </w:r>
      <w:r>
        <w:rPr/>
        <w:t>、五年</w:t>
      </w:r>
      <w:r>
        <w:rPr/>
        <w:t>4.2</w:t>
      </w:r>
      <w:r>
        <w:rPr/>
        <w:t>港元，均为研究假设；</w:t>
      </w:r>
      <w:r>
        <w:rPr/>
        <w:t>2025</w:t>
      </w:r>
      <w:r>
        <w:rPr/>
        <w:t>末期</w:t>
      </w:r>
      <w:r>
        <w:rPr/>
        <w:t>0.69</w:t>
      </w:r>
      <w:r>
        <w:rPr/>
        <w:t>港元已于</w:t>
      </w:r>
      <w:r>
        <w:rPr/>
        <w:t>2026</w:t>
      </w:r>
      <w:r>
        <w:rPr/>
        <w:t>年</w:t>
      </w:r>
      <w:r>
        <w:rPr/>
        <w:t>7</w:t>
      </w:r>
      <w:r>
        <w:rPr/>
        <w:t>月支付，不加未来回报。三年、五年基准含息年化</w:t>
      </w:r>
      <w:r>
        <w:rPr/>
        <w:t>51.94%</w:t>
      </w:r>
      <w:r>
        <w:rPr/>
        <w:t>、</w:t>
      </w:r>
      <w:r>
        <w:rPr/>
        <w:t>37.79%</w:t>
      </w:r>
      <w:r>
        <w:rPr/>
        <w:t>，属于高成长与估值恢复的进取假设。年底</w:t>
      </w:r>
      <w:r>
        <w:rPr/>
        <w:t>15.20/43.07/80.02</w:t>
      </w:r>
      <w:r>
        <w:rPr/>
        <w:t>港元，涨跌−</w:t>
      </w:r>
      <w:r>
        <w:rPr/>
        <w:t>49.50%/+43.09%/+165.85%</w:t>
      </w:r>
      <w:r>
        <w:rPr/>
        <w:t>；默认</w:t>
      </w:r>
      <w:r>
        <w:rPr/>
        <w:t>25%/50%/25%</w:t>
      </w:r>
      <w:r>
        <w:rPr/>
        <w:t>权重期望</w:t>
      </w:r>
      <w:r>
        <w:rPr/>
        <w:t>45.34</w:t>
      </w:r>
      <w:r>
        <w:rPr/>
        <w:t>港元、</w:t>
      </w:r>
      <w:r>
        <w:rPr/>
        <w:t>+50.63%</w:t>
      </w:r>
      <w:r>
        <w:rPr/>
        <w:t>。防御</w:t>
      </w:r>
      <w:r>
        <w:rPr/>
        <w:t>35.617</w:t>
      </w:r>
      <w:r>
        <w:rPr/>
        <w:t>港元、</w:t>
      </w:r>
      <w:r>
        <w:rPr/>
        <w:t>+18.33%</w:t>
      </w:r>
      <w:r>
        <w:rPr/>
        <w:t>；积极</w:t>
      </w:r>
      <w:r>
        <w:rPr/>
        <w:t>55.063</w:t>
      </w:r>
      <w:r>
        <w:rPr/>
        <w:t>港元、</w:t>
      </w:r>
      <w:r>
        <w:rPr/>
        <w:t>+82.93%</w:t>
      </w:r>
      <w:r>
        <w:rPr/>
        <w:t>。</w:t>
      </w:r>
    </w:p>
    <w:p>
      <w:pPr>
        <w:pStyle w:val="Normal"/>
        <w:rPr/>
      </w:pPr>
      <w:r>
        <w:rPr/>
        <w:t>条件：核心广告与佣金企稳、用户和商家留存、可灵收入有利润与回款、资本支出和融资条款清晰、恢复趋势得到量价确认。风险：核心业务下滑、商户合规成本、视频模型竞争、算力资本支出、外部可赎回权益、子公司及集团稀释。全名单名次由总表统一计算，评分不是获利概率；区间不代表最大损失。</w:t>
      </w:r>
    </w:p>
    <w:p>
      <w:pPr>
        <w:pStyle w:val="Heading2"/>
        <w:rPr/>
      </w:pPr>
      <w:r>
        <w:rPr>
          <w:color w:val="000000"/>
        </w:rPr>
        <w:t>一 投资问题和经营边界</w:t>
      </w:r>
    </w:p>
    <w:p>
      <w:pPr>
        <w:pStyle w:val="Normal"/>
        <w:rPr/>
      </w:pPr>
      <w:r>
        <w:rPr/>
        <w:t>快手的已有基础是内容社区、社交关系与商家交易，新的增长支点是可灵视频生成和</w:t>
      </w:r>
      <w:r>
        <w:rPr/>
        <w:t>AI</w:t>
      </w:r>
      <w:r>
        <w:rPr/>
        <w:t>在推荐、广告、电商中的应用。两部分相互联系，却有不同收入与成本结构。成熟平台依赖用户注意力、广告效果和交易服务，视频模型依赖技术、计算资源、收费场景与人才投入。研究要判断核心业务能够提供多少真实现金，</w:t>
      </w:r>
      <w:r>
        <w:rPr/>
        <w:t>AI</w:t>
      </w:r>
      <w:r>
        <w:rPr/>
        <w:t>需要多少持续资本，以及最终有多少收益归港股普通股股东。把快手简单称作便宜短视频股或独立</w:t>
      </w:r>
      <w:r>
        <w:rPr/>
        <w:t>AI</w:t>
      </w:r>
      <w:r>
        <w:rPr/>
        <w:t>模型公司，都可能忽略另一半的风险。</w:t>
      </w:r>
    </w:p>
    <w:p>
      <w:pPr>
        <w:pStyle w:val="Normal"/>
        <w:rPr/>
      </w:pPr>
      <w:r>
        <w:rPr/>
        <w:t>财报收入分为在线营销、直播和其他服务，报告分部又分国内和海外。这是两组交叉观察视角，不能将国内海外分部收入加在三类服务收入之上。</w:t>
      </w:r>
      <w:r>
        <w:rPr/>
        <w:t>Other</w:t>
      </w:r>
      <w:r>
        <w:rPr/>
        <w:t>包括电商服务与可灵及其他业务，不等同全部电商佣金；可灵增长也不能在</w:t>
      </w:r>
      <w:r>
        <w:rPr/>
        <w:t>Other</w:t>
      </w:r>
      <w:r>
        <w:rPr/>
        <w:t>之外再重复加入集团营收。本章将</w:t>
      </w:r>
      <w:r>
        <w:rPr/>
        <w:t>Other</w:t>
      </w:r>
      <w:r>
        <w:rPr/>
        <w:t>扣除可灵后作为研究收入块，可灵单独估计直接贡献和专属研发，模型没有把它视为已公开的法定盈利分部。收入边界清晰才有可能讨论估值是否低。</w:t>
      </w:r>
    </w:p>
    <w:p>
      <w:pPr>
        <w:pStyle w:val="Normal"/>
        <w:rPr/>
      </w:pPr>
      <w:r>
        <w:rPr/>
        <w:t>第二季度收入三百五十五点三五亿元，同比增长百分之一点四，其中在线营销二百零六点三九亿元、直播八十六点九零、</w:t>
      </w:r>
      <w:r>
        <w:rPr/>
        <w:t>Other</w:t>
      </w:r>
      <w:r>
        <w:rPr/>
        <w:t>六十二点零六。可灵实际收入超过八点五亿元，是下限披露，并非精确值。季度演示图给第一季度超过六点五亿元，同样不能把阈值当精确收入。核心商业描述有时把广告与</w:t>
      </w:r>
      <w:r>
        <w:rPr/>
        <w:t>Other</w:t>
      </w:r>
      <w:r>
        <w:rPr/>
        <w:t>合计称增长百分之七点四，包含可灵，因此不能将该增速全部解释为旧电商与广告有机增长。研究要求每项增长回到互斥收入和成本。</w:t>
      </w:r>
    </w:p>
    <w:p>
      <w:pPr>
        <w:pStyle w:val="Normal"/>
        <w:rPr/>
      </w:pPr>
      <w:r>
        <w:rPr/>
        <w:t>国内分部第二季度经营利润三十七点三三亿元，海外亏二千五百万元，未分配四千九百万元；总经营三十七点五七亿元。未分配项目包含股份费用、其他收入与其他净收益，不能将它们全视作没有经济成本的总部调整。模型贡献率与共享费用保留常态股份激励、销售、研发、租赁及折旧，并仅纳入有限正常财资收益。海外收入已经在三类服务中，海外短期经营接近平衡也不意味可灵全球业务已盈利，相关定义不能互换。</w:t>
      </w:r>
    </w:p>
    <w:p>
      <w:pPr>
        <w:pStyle w:val="Normal"/>
        <w:rPr/>
      </w:pPr>
      <w:r>
        <w:rPr/>
        <w:t>研究价格三十点一港元较历史高位跌幅很大，上市普通股仍代表公司全部经济权益中的一股。六月普通股与九月月报股数、未来摊薄股数须分开，不能用报价流通市值代替集团总市值后称现金价值超过股价。可灵外部融资也会改变子公司权益归属，集团未必保留其全部未来收益。本章活动模型以未来摊薄普通股为分母，对可灵未来归属单独设假设，不以任何融资标题直接决定合理目标价。</w:t>
      </w:r>
    </w:p>
    <w:p>
      <w:pPr>
        <w:pStyle w:val="Heading2"/>
        <w:rPr/>
      </w:pPr>
      <w:r>
        <w:rPr>
          <w:color w:val="000000"/>
        </w:rPr>
        <w:t>二 社区 内容供给与注意力竞争</w:t>
      </w:r>
    </w:p>
    <w:p>
      <w:pPr>
        <w:pStyle w:val="Normal"/>
        <w:rPr/>
      </w:pPr>
      <w:r>
        <w:rPr/>
        <w:t>快手用户关系较强调创作者、粉丝与真实生活互动，关系与兴趣推荐共同支撑内容消费。稳定社区可以提高用户留存和商业信任，但平台必须平衡内容质量、广告负载与商业化。短视频市场已经成熟，新增用户较难，竞争者可以争夺用户时间和创作者。提升月活可能来自较低频用户或重新激活，真正财务价值要看日活、使用质量、付费与商家转化。研究不将社区差异自动等同永久护城河，更不将用户规模直接乘统一每用户价值。</w:t>
      </w:r>
    </w:p>
    <w:p>
      <w:pPr>
        <w:pStyle w:val="Normal"/>
        <w:rPr/>
      </w:pPr>
      <w:r>
        <w:rPr/>
        <w:t>第二季度平均日活四点一二三亿、同比增长约百分之零点八，月活七点九七三亿、同比增长约十一点五。月活增长明显快于日活，说明新增覆盖不一定带来等幅日常使用。上半年日活四点一二五亿，月活七点八四五亿，也有类似差异。只有账户统计，没有足够数据说明独立自然人数、每用户现金支出或收入分布，不能把全部账户视为完全同质。模型广告路径由收入与贡献率假设驱动，用户指标只是可持续性证据之一。</w:t>
      </w:r>
    </w:p>
    <w:p>
      <w:pPr>
        <w:pStyle w:val="Normal"/>
        <w:rPr/>
      </w:pPr>
      <w:r>
        <w:rPr/>
        <w:t>双向关注用户的私信互动人数第二季度同比提高超过百分之十五，支持社交关系较活跃的判断。关系能够降低内容获取与交易信任成本，仍可能伴随治理、举报、欺诈与隐私管理。平台若商业化过快使用户关系变成过度推销，长期留存可能受损；若过度减少商业化，短期利润又会下降。研究需要观察活跃用户与广告主投入回报是否同时健康，不能以私信增长推断未公开的广告转化率，亦不为每个社交功能另加市值。</w:t>
      </w:r>
    </w:p>
    <w:p>
      <w:pPr>
        <w:pStyle w:val="Normal"/>
        <w:rPr/>
      </w:pPr>
      <w:r>
        <w:rPr/>
        <w:t>创作者供给需要内容工具、收益分配与流量支持。高质量视频、直播和专业内容能吸引用户，补贴与分成也会影响成本。平台可以用</w:t>
      </w:r>
      <w:r>
        <w:rPr/>
        <w:t>AI</w:t>
      </w:r>
      <w:r>
        <w:rPr/>
        <w:t>降低创作门槛，使供给更丰富，却可能让类似内容增加，用户筛选成本上升。单纯供给数量提高不一定使用户时间更长，稀缺的是令人愿意持续观看与信任的作品。若平台治理需要更多费用，低制作成本未必带来高平台利润。本章把内容效率放入留存、广告收入与常态成本验证，而非独立无成本期权。</w:t>
      </w:r>
    </w:p>
    <w:p>
      <w:pPr>
        <w:pStyle w:val="Normal"/>
        <w:rPr/>
      </w:pPr>
      <w:r>
        <w:rPr/>
        <w:t>体育、音乐和短剧合作能扩大用户消费理由，但版权与运营成本需要计入。季度披露世界足球赛事主题活动、篮球合作与付费音乐表演，单个活动播放或销售规模不等同集团全年净利。节目曝光可能提高月活，也可能需要大额营销及版权。研究不会把每个热门活动年化为稳定收入，模型仍使用正常服务收入和贡献率。更好的验证是活动之后用户留存、广告主复投、内容成本和增量现金，避免只选择平台发布的高播放指标。</w:t>
      </w:r>
    </w:p>
    <w:p>
      <w:pPr>
        <w:pStyle w:val="Normal"/>
        <w:rPr/>
      </w:pPr>
      <w:r>
        <w:rPr/>
        <w:t>消费内容竞争不仅来自其他短视频，也包括游戏、长视频、社交和</w:t>
      </w:r>
      <w:r>
        <w:rPr/>
        <w:t>AI</w:t>
      </w:r>
      <w:r>
        <w:rPr/>
        <w:t>生成内容。用户时间总量有限，新形式增长可能蚕食旧形式。快手拥有大用户基础与分发能力，可将工具和内容结合；独立工具或其他大平台也有用户与支付入口。十年判断需看平台是否仍是有效连接创作、关系和交易的场所，而不是假设过去增长持续不变。行业评分给予机会，经营评分保留平台成熟与注意力竞争限制，避免两个维度说同一件事而重复加分。</w:t>
      </w:r>
    </w:p>
    <w:p>
      <w:pPr>
        <w:pStyle w:val="Heading2"/>
        <w:rPr/>
      </w:pPr>
      <w:r>
        <w:rPr>
          <w:color w:val="000000"/>
        </w:rPr>
        <w:t>三 广告的增长质量</w:t>
      </w:r>
    </w:p>
    <w:p>
      <w:pPr>
        <w:pStyle w:val="Normal"/>
        <w:rPr/>
      </w:pPr>
      <w:r>
        <w:rPr/>
        <w:t>在线营销第二季度增长百分之四点四至二百零六点三九亿元，虽然仍增长，低于可灵与</w:t>
      </w:r>
      <w:r>
        <w:rPr/>
        <w:t>Other</w:t>
      </w:r>
      <w:r>
        <w:rPr/>
        <w:t>增速。季度平均每</w:t>
      </w:r>
      <w:r>
        <w:rPr/>
        <w:t>DAU</w:t>
      </w:r>
      <w:r>
        <w:rPr/>
        <w:t>广告收入五十点一元、去年四十八点三，约有增长，指标为当季总额除平均日活，并非每天每人支付五十元。广告收入提高可以来自单位曝光、定价或转化，不足以独立证明广告负载变化。公司沒有提供本章能精确核算的广告库存、点击或付费转化拆分，因此不推算未知</w:t>
      </w:r>
      <w:r>
        <w:rPr/>
        <w:t>CPM</w:t>
      </w:r>
      <w:r>
        <w:rPr/>
        <w:t>和获客成本，而用主源收入及利润质量观察。</w:t>
      </w:r>
    </w:p>
    <w:p>
      <w:pPr>
        <w:pStyle w:val="Normal"/>
        <w:rPr/>
      </w:pPr>
      <w:r>
        <w:rPr/>
        <w:t>AI</w:t>
      </w:r>
      <w:r>
        <w:rPr/>
        <w:t>广告材料生成帮助商家降低制作成本、提高测试速度。第二季度</w:t>
      </w:r>
      <w:r>
        <w:rPr/>
        <w:t>AIGC</w:t>
      </w:r>
      <w:r>
        <w:rPr/>
        <w:t>短视频营销材料对应支出增长超过百分之七十，是特定材料或场景的增长，并非集团广告同比增长七成。免费生成材料可以吸引更多商家在平台投广告，价值通过广告收费实现；若又把免费材料按市场调用价格计可灵收入，会制造重复营收。研究将内部应用与外部可灵收费区分，要求外部收入由真实客户支付，内部效率反映在现有服务贡献率，不凭虚拟内部结算创造市值。</w:t>
      </w:r>
    </w:p>
    <w:p>
      <w:pPr>
        <w:pStyle w:val="Normal"/>
        <w:rPr/>
      </w:pPr>
      <w:r>
        <w:rPr/>
        <w:t>推荐与智能出价改善可能让广告主获得更多成交，帮助平台拿到预算。但广告竞争涉及腾讯、阿里、字节、搜索和其他渠道，预算会流向效果更好或消费者更接近购买的入口。商家若毛利下降，哪怕广告工具更好，也可能减少投放。电商与广告存在联系，商家成交下降可能压低站内广告需求。模型未来广告收入恢复不是单独押注</w:t>
      </w:r>
      <w:r>
        <w:rPr/>
        <w:t>AI</w:t>
      </w:r>
      <w:r>
        <w:rPr/>
        <w:t>工具，而要旧平台交易、用户信任和商户经营能够支持持续支出。若广告主投放只由补贴推动，增长质量应降分。</w:t>
      </w:r>
    </w:p>
    <w:p>
      <w:pPr>
        <w:pStyle w:val="Normal"/>
        <w:rPr/>
      </w:pPr>
      <w:r>
        <w:rPr/>
        <w:t>广告收入的行业结构影响宏观敏感度。可选消费和冲动购买可能在收入预期偏弱时放缓，商家合规成本或税务政策变化也会影响营销预算。不同品类与客户规模反应不同，平台可能通过扶持小商家稳定供给，但会付出流量和费用成本。研究不将宏观恢复等同比例分配给快手，需看它是否保留预算份额。机构下调下半年预期是重要信号，却不是已发生业绩，本章将其作为悲观和基准假设依据，不能倒填成第三季度实际。</w:t>
      </w:r>
    </w:p>
    <w:p>
      <w:pPr>
        <w:pStyle w:val="Normal"/>
        <w:rPr/>
      </w:pPr>
      <w:r>
        <w:rPr/>
        <w:t>广告贡献率高于直播或部分交易服务，是成熟平台价值的重要组成。若总收入组合转向计算费用较高的</w:t>
      </w:r>
      <w:r>
        <w:rPr/>
        <w:t>AI</w:t>
      </w:r>
      <w:r>
        <w:rPr/>
        <w:t>视频，毛利率可能下移，即使营收上升，利润仍下降。第二季度毛利率从五十五点七降至五十一点六，已经提醒收入混合与成本变化。贡献率不能取某个理想软件同行直接套用，既要保留内容分成和带宽，也要保留直归该块的计算與股份费用。共享销售研发另扣，确保不会把法定费用分摊遗漏后称正常利润。</w:t>
      </w:r>
    </w:p>
    <w:p>
      <w:pPr>
        <w:pStyle w:val="Heading2"/>
        <w:rPr/>
      </w:pPr>
      <w:r>
        <w:rPr>
          <w:color w:val="000000"/>
        </w:rPr>
        <w:t>四 电商服务与直播</w:t>
      </w:r>
    </w:p>
    <w:p>
      <w:pPr>
        <w:pStyle w:val="Normal"/>
        <w:rPr/>
      </w:pPr>
      <w:r>
        <w:rPr/>
        <w:t>快手电商通过内容、直播、货架和搜索等场景连接商品与消费者，收入主要来自交易服务与商家营销。</w:t>
      </w:r>
      <w:r>
        <w:rPr/>
        <w:t>GMV</w:t>
      </w:r>
      <w:r>
        <w:rPr/>
        <w:t>是商品交易规模，不是快手收入，定义又可能含未结算和退货订单。年报二零二五年</w:t>
      </w:r>
      <w:r>
        <w:rPr/>
        <w:t>GMV</w:t>
      </w:r>
      <w:r>
        <w:rPr/>
        <w:t>约一万五千九百八十点七零七亿元，不能直接乘平台财报净利率估公司利润。二零二六半年精确总</w:t>
      </w:r>
      <w:r>
        <w:rPr/>
        <w:t>GMV</w:t>
      </w:r>
      <w:r>
        <w:rPr/>
        <w:t>未在已核资料取到，机构预期下半年下降也不能当实际总额。估值使用</w:t>
      </w:r>
      <w:r>
        <w:rPr/>
        <w:t>Other</w:t>
      </w:r>
      <w:r>
        <w:rPr/>
        <w:t>扣可灵后的收入桥，避免无数据时用伪精确抽佣率填造收入。</w:t>
      </w:r>
    </w:p>
    <w:p>
      <w:pPr>
        <w:pStyle w:val="Normal"/>
        <w:rPr/>
      </w:pPr>
      <w:r>
        <w:rPr/>
        <w:t>内容电商优势是消费者能从创作者演示和互动了解商品，关系可以降低发现成本。相应风险是冲动购买、退货、产品质量与主播信誉。平台需要商家治理、售后、争议处理和用户补偿，交易高峰不自动带来同样高现金回报。若低价促销吸引一次性买家，平台佣金和广告可能增长而商家利润恶化，长期供给与信任会受损。研究重视品牌供给与复购，也保留小商家合规与成本压力，不只关注直播销量。</w:t>
      </w:r>
    </w:p>
    <w:p>
      <w:pPr>
        <w:pStyle w:val="Normal"/>
        <w:rPr/>
      </w:pPr>
      <w:r>
        <w:rPr/>
        <w:t>货架和搜索扩展使平台不完全依赖直播时段，有助于提高商品与用户匹配及稳定购买。它也更接近传统电商竞争，需要物流、价格、供给深度和售后达到用户标准。快手并非自营全部库存，但商家履约失败会影响平台品牌。平台服务收入增加可能来自商家费率、功能或渠道组合，不能全部称</w:t>
      </w:r>
      <w:r>
        <w:rPr/>
        <w:t>GMV</w:t>
      </w:r>
      <w:r>
        <w:rPr/>
        <w:t>有机增长。未来模型</w:t>
      </w:r>
      <w:r>
        <w:rPr/>
        <w:t>Other</w:t>
      </w:r>
      <w:r>
        <w:rPr/>
        <w:t>除可灵增长与广告相关但不能完全同速，利润率改善需要服务价值而非单纯提价。</w:t>
      </w:r>
    </w:p>
    <w:p>
      <w:pPr>
        <w:pStyle w:val="Normal"/>
        <w:rPr/>
      </w:pPr>
      <w:r>
        <w:rPr/>
        <w:t>品牌商家供给可以提高货品质量和消费者信任，季度主源提及重点品牌</w:t>
      </w:r>
      <w:r>
        <w:rPr/>
        <w:t>GMV</w:t>
      </w:r>
      <w:r>
        <w:rPr/>
        <w:t>贡献增加，但未给本章可核的完整绝对金额和利润。品牌可能有更强议价力与外部渠道，平台扩展它们不一定提高抽佣率。小商家提供多样化与价格优势，又更敏感于合规、税和推广费用；平台补贴能暂时缓冲，但长期必须让交易各方合理获利。研究不把重点品牌增长直接放大到全平台，也不假设所有品牌经营同样高利润。</w:t>
      </w:r>
    </w:p>
    <w:p>
      <w:pPr>
        <w:pStyle w:val="Normal"/>
        <w:rPr/>
      </w:pPr>
      <w:r>
        <w:rPr/>
        <w:t>直播收入二季度降百分之十三点五至八十六点九亿元，上半年一百七十一点八二亿元低于去年一百九十八点五八。内容生态与合规治理可能解释部分变化，用户支付意愿、竞争和主播供给同样需要观察。直播礼物和打赏通常需要与主播分享收入，虚拟礼物销售额不等于全额平台利润。</w:t>
      </w:r>
      <w:r>
        <w:rPr/>
        <w:t>AI</w:t>
      </w:r>
      <w:r>
        <w:rPr/>
        <w:t>礼物和互动工具能丰富体验，仍应尊重用户预算与治理约束。本章基准近端直播继续较弱，长期也不设恢复旧高速增长，避免把成熟业务当永续增长引擎。</w:t>
      </w:r>
    </w:p>
    <w:p>
      <w:pPr>
        <w:pStyle w:val="Normal"/>
        <w:rPr/>
      </w:pPr>
      <w:r>
        <w:rPr/>
        <w:t>直播电商和娱乐直播不是同一收入，混淆会重复计价。某个主播交易规模可能增加佣金和广告，同时娱乐打赏减少，集团混合利润可能不同。平台经营中的流量分配需要在商业、社交和娱乐之间选择，分配效率改善不保证三块收入同时上涨。模型分别设直播贡献率与其他服务贡献率，保留收入结构变化的结果。若直播长期下降却核心广告与电商不能补足共享费，原有社区现金流的缓冲应被重新评估。</w:t>
      </w:r>
    </w:p>
    <w:p>
      <w:pPr>
        <w:pStyle w:val="Heading2"/>
        <w:rPr/>
      </w:pPr>
      <w:r>
        <w:rPr>
          <w:color w:val="000000"/>
        </w:rPr>
        <w:t>五 可灵实际商业化与模型竞争</w:t>
      </w:r>
    </w:p>
    <w:p>
      <w:pPr>
        <w:pStyle w:val="Normal"/>
        <w:rPr/>
      </w:pPr>
      <w:r>
        <w:rPr/>
        <w:t>可灵面向视频创作者、广告、电商、影视与其他企业提供生成能力，收入可以来自订阅、用量与接口服务。二季度超过八点五亿元、同比超过百分之二百，是独立于免费内部材料的真实增长信号。增长很快仍基数较小，占集团收入约几个百分点，而核心业务贡献大部分收入和利润。研究不能因可灵高速增长就忽略广告、电商与直播的逆风，也不能用公司总毛利率说明可灵独立盈利。模型近端可灵持续亏损，成熟核心要承担资金与利润压力。</w:t>
      </w:r>
    </w:p>
    <w:p>
      <w:pPr>
        <w:pStyle w:val="Normal"/>
        <w:rPr/>
      </w:pPr>
      <w:r>
        <w:rPr/>
        <w:t>原生四千像素视频、音画同步、动作连续性与可编排接口可以提高专业制作效率，用户是否续费仍取决于实际成片可用性、失败重试和总成本。样片可能展示较好结果，不能代表复杂任务平均表现。季度原件确认三点零</w:t>
      </w:r>
      <w:r>
        <w:rPr/>
        <w:t>Turbo</w:t>
      </w:r>
      <w:r>
        <w:rPr/>
        <w:t>和接口等进展，九月四点零预告来自机构新闻，正式全面推出与真实测试没有取得独立原始证明，本章保留其为待验证催化。技术领先是动态竞争，需要长期持续投入，不能给一次版本发布赋永久垄断价值。</w:t>
      </w:r>
    </w:p>
    <w:p>
      <w:pPr>
        <w:pStyle w:val="Normal"/>
        <w:rPr/>
      </w:pPr>
      <w:r>
        <w:rPr/>
        <w:t>视频生成对动作、角色一致、镜头与时序要求较高，专业需求可支付更多费用，但也会要求可靠输出和可控编辑。低价模型适合普通内容，高质量模型可服务商业制作，市场可能分层。可灵要避免只靠昂贵高峰模型吸引用户，却没有稳定可重复工作流。平台如果支持素材、编辑、批量生成与交付，客户转换成本可能提高；这些功能也需要研发与计算。本章乐观贡献率上升建立在使用效率与付费价值，而非只假设所有客户为更高版本支付更多。</w:t>
      </w:r>
    </w:p>
    <w:p>
      <w:pPr>
        <w:pStyle w:val="Normal"/>
        <w:rPr/>
      </w:pPr>
      <w:r>
        <w:rPr/>
        <w:t>竞争来自字节视频模型、谷歌及其他全球生成平台，还有使用开放模型搭建应用的团队。模型质量、价格、速度、接口、地域可用性和版权策略都影响采用。不同测试与场景不存在单一永久赢家，机构依据样片说接近竞品不能视为可靠全面排名。技术进步可能降低生成成本，也可能让价格更快下降；若竞争者把工具作为其广告或云生态的免费配套，可灵独立收费会面临压力。模型直接贡献率与专属研发分别设置，避免把行业发展全当快手利润。</w:t>
      </w:r>
    </w:p>
    <w:p>
      <w:pPr>
        <w:pStyle w:val="Normal"/>
        <w:rPr/>
      </w:pPr>
      <w:r>
        <w:rPr/>
        <w:t>专业内容客户关心版权、人物肖像、品牌与数据治理。模型输出可用性之外，还要有商用许可、风险分配和审核，企业合规可能提高成交难度及支持成本。某个国际奖项或作品认可说明创作潜力，并不证明所有输出版权安全或平台已建立稳定利润。研究不用奖项数量估算订单，也不将影视市场总规模直接当可灵可收费收入。增量价值需由真正订阅、</w:t>
      </w:r>
      <w:r>
        <w:rPr/>
        <w:t>API</w:t>
      </w:r>
      <w:r>
        <w:rPr/>
        <w:t>合同、毛利和现金解释，事件宣传只能辅助理解客户需求。</w:t>
      </w:r>
    </w:p>
    <w:p>
      <w:pPr>
        <w:pStyle w:val="Normal"/>
        <w:rPr/>
      </w:pPr>
      <w:r>
        <w:rPr/>
        <w:t>季度演示收入曲线中二零二五年一百五十、二百五十、三百和三百四十万元单位实际是百万元量级，图中均有超过标识，不能把图示阈值相加称审计全年。七月融资公告明确重组假设下二零二五年约十一亿元收入，属于未审计备考资料。三月年化收入运行速度约五亿美元是某时点按近期运行外推，不是全年已实现，也不等同可取消订阅的</w:t>
      </w:r>
      <w:r>
        <w:rPr/>
        <w:t>ARR</w:t>
      </w:r>
      <w:r>
        <w:rPr/>
        <w:t>合同余额。研究区分实际期间收入与运行速度，不能两者叠加形成更大的销售基数。</w:t>
      </w:r>
    </w:p>
    <w:p>
      <w:pPr>
        <w:pStyle w:val="Heading2"/>
        <w:rPr/>
      </w:pPr>
      <w:r>
        <w:rPr>
          <w:color w:val="000000"/>
        </w:rPr>
        <w:t>六 可灵融资 激励与普通股归属</w:t>
      </w:r>
    </w:p>
    <w:p>
      <w:pPr>
        <w:pStyle w:val="Normal"/>
        <w:rPr/>
      </w:pPr>
      <w:r>
        <w:rPr/>
        <w:t>七月二日收盘后主源披露资本增资协议，初始投资者承诺约二十点二八二亿美元，同日追加约七点六六三九亿美元，均附条件。总认购上限三十亿美元，追加投资者可在指定期限加入。公告是交易协议与条件信息，并非宣称所有款项已无条件到账。九月二日美银新闻称融资完成、投后估值一百八十亿美元，本章沒有取得独立完成原件与最终股权清单，因此保持新闻转述与主源条件区分，不用同一句“完成融资”删除资金及赎回风险。</w:t>
      </w:r>
    </w:p>
    <w:p>
      <w:pPr>
        <w:pStyle w:val="Normal"/>
        <w:rPr/>
      </w:pPr>
      <w:r>
        <w:rPr/>
        <w:t>投前估值一百五十亿美元是管理层与投资者谈判参照，满三十亿美元融资对应投后约一百八十亿美元，但没有证明快手股东能按此价格出售全部权益。融资定价可能附控制、赎回、优先权和锁定，与公开普通股估值不同。新资本注入可灵用于研发和扩张，不能全额成为母公司可分配现金；投后估值中也已经包含新钱，再加新钱会重复计量。研究经营模型不加可灵融资市值，另外讨论它对资金缓冲和权益归属的含义。</w:t>
      </w:r>
    </w:p>
    <w:p>
      <w:pPr>
        <w:pStyle w:val="Normal"/>
        <w:rPr/>
      </w:pPr>
      <w:r>
        <w:rPr/>
        <w:t>公告预期满认购上限与子公司激励池均满额后，快手权益从百分之百降至约六十八点三三。激励计划合计上限百分之十五，初始授予约七点四五个百分点，其中部分涉及公司高管。这个持股比例是明确附假设的满额情景，不能称已完成当日实际比例。未来上市融资、员工授予和其他资本还可能继续稀释。模型年底与半年用六十八点三三为基准研究归属，远期逐步下调，乐观和悲观另设路径，均不伪称已取得未来股权表。</w:t>
      </w:r>
    </w:p>
    <w:p>
      <w:pPr>
        <w:pStyle w:val="Normal"/>
        <w:rPr/>
      </w:pPr>
      <w:r>
        <w:rPr/>
        <w:t>赎回条款包括未能在约定最晚上市日或二零三一年十月三十日孰早完成</w:t>
      </w:r>
      <w:r>
        <w:rPr/>
        <w:t>IPO</w:t>
      </w:r>
      <w:r>
        <w:rPr/>
        <w:t>，以及重组、海外资产、业务许可和算法备案等事项未按条件完成。若已正式提交上市申请，部分延期和撤回规则又会改变赎回时点。返还原投资本金加百分之八简单年回报，并调整已分配和未付股息，可灵集团公司承担连带责任。这意味着外部资本不是无条件永久普通权益。未来现金需求与会计分类需核条款，不能以高融资估值同时论证现金安全和股东全部上涨空间。</w:t>
      </w:r>
    </w:p>
    <w:p>
      <w:pPr>
        <w:pStyle w:val="Normal"/>
        <w:rPr/>
      </w:pPr>
      <w:r>
        <w:rPr/>
        <w:t>以满三十亿美元上限简单压力计算，一年八个百分点回报对应二点四亿美元，五年简单利息十二亿美元，再加本金四十二亿美元，尚未考虑分配或不同交割日。这是合同风险规模的算例，不能当已发生债务，也不能直接在集团净现金与未来</w:t>
      </w:r>
      <w:r>
        <w:rPr/>
        <w:t>EPS</w:t>
      </w:r>
      <w:r>
        <w:rPr/>
        <w:t>两处重复扣。实际触发是否发生、分批到账、条款变动与会计公允价值都需要原件。模型</w:t>
      </w:r>
      <w:r>
        <w:rPr/>
        <w:t>EPS</w:t>
      </w:r>
      <w:r>
        <w:rPr/>
        <w:t>分子储备是一项保守研究占位，不能证明覆盖所有潜在赎回金额；严重风险应另做现金情景而非坚持固定</w:t>
      </w:r>
      <w:r>
        <w:rPr/>
        <w:t>PE</w:t>
      </w:r>
      <w:r>
        <w:rPr/>
        <w:t>。</w:t>
      </w:r>
    </w:p>
    <w:p>
      <w:pPr>
        <w:pStyle w:val="Normal"/>
        <w:rPr/>
      </w:pPr>
      <w:r>
        <w:rPr/>
        <w:t>关联投资者、管理层奖励与投票安排会影响外部普通股利益，需要观察价格、公平性和长期激励条件。集团保留控制可帮助平台协同，也可能使资本、数据、算力和人员关联交易复杂。可灵若逐步独立，核心快手为它提供的服务应有清晰收费与成本归属，不能让母公司承担亏损而盈利更多归其他权益。研究不假设分拆自动释放价值，要求完整持股、收入成本和现金使用足以核算，发现边界不清应降低治理与风险分。</w:t>
      </w:r>
    </w:p>
    <w:p>
      <w:pPr>
        <w:pStyle w:val="Heading2"/>
        <w:rPr/>
      </w:pPr>
      <w:r>
        <w:rPr>
          <w:color w:val="000000"/>
        </w:rPr>
        <w:t>七 历史财务 利润质量与费用</w:t>
      </w:r>
    </w:p>
    <w:p>
      <w:pPr>
        <w:pStyle w:val="Normal"/>
        <w:rPr/>
      </w:pPr>
      <w:r>
        <w:rPr/>
        <w:t>年报收入二零二三年一千一百三十四点七零亿元，二零二四年一千二百六十八点九八，二零二五年一千四百二十七点七六；归母分别六十三点九六、一百五十三点三五、一百八十六点一七亿元，显示成熟平台曾明显改善盈利。二零二五年广告八百一十四点六二、直播三百九十点八七、</w:t>
      </w:r>
      <w:r>
        <w:rPr/>
        <w:t>Other</w:t>
      </w:r>
      <w:r>
        <w:rPr/>
        <w:t>二百二十二点二七亿元。历史增长是重要能力证据，但二零二六新投入与核心放缓已改变轨迹，不能简单使用旧高增长净利作为未来正常利润。</w:t>
      </w:r>
    </w:p>
    <w:p>
      <w:pPr>
        <w:pStyle w:val="Normal"/>
        <w:rPr/>
      </w:pPr>
      <w:r>
        <w:rPr/>
        <w:t>二零二五年法定摊薄每股四点二三元人民币，二零二四年三点四八，摊薄普通股约四十四点零二亿。按一点一汇率假设、现价三十点一，旧年度</w:t>
      </w:r>
      <w:r>
        <w:rPr/>
        <w:t>PE</w:t>
      </w:r>
      <w:r>
        <w:rPr/>
        <w:t>约六点四七倍，表面很低；上半年法定每股一点三八若机械年化，</w:t>
      </w:r>
      <w:r>
        <w:rPr/>
        <w:t>PE</w:t>
      </w:r>
      <w:r>
        <w:rPr/>
        <w:t>约九点九一倍，已经更高。半年季节與</w:t>
      </w:r>
      <w:r>
        <w:rPr/>
        <w:t>AI</w:t>
      </w:r>
      <w:r>
        <w:rPr/>
        <w:t>支出变化使年化不可靠，两个尺度只能说明盈利基准选择的重要性。真正估值要预计目标时点普通股利润，而不能只选择最低</w:t>
      </w:r>
      <w:r>
        <w:rPr/>
        <w:t>PE</w:t>
      </w:r>
      <w:r>
        <w:rPr/>
        <w:t>标签表示低估。</w:t>
      </w:r>
    </w:p>
    <w:p>
      <w:pPr>
        <w:pStyle w:val="Normal"/>
        <w:rPr/>
      </w:pPr>
      <w:r>
        <w:rPr/>
        <w:t>上半年收入六百九十二点五一亿元，涨百分之二点四，毛利三百五十五点七七、经营七十三点五二、归母六十点四九亿元，法定利润同比下降。二季度收入小幅增加，毛利下降百分之六、经营降二十九、集团净利降三十六，调整净利降三十点三。收入与盈利不同方向，说明成本和组合决定回报。研究不以营收仍增长淡化利润压力，模型近端贡献率与共享费用必须承认这种经营去杠杆，不能把</w:t>
      </w:r>
      <w:r>
        <w:rPr/>
        <w:t>AI</w:t>
      </w:r>
      <w:r>
        <w:rPr/>
        <w:t>费用当未来随意删除。</w:t>
      </w:r>
    </w:p>
    <w:p>
      <w:pPr>
        <w:pStyle w:val="Normal"/>
        <w:rPr/>
      </w:pPr>
      <w:r>
        <w:rPr/>
        <w:t>二季度研发四十五点八一亿元、去年三十四亿元，上半年八十二点零二、去年六十六点九八；销售营销近一百亿元，半年二百零二点五五，仍是很大投入。</w:t>
      </w:r>
      <w:r>
        <w:rPr/>
        <w:t>AI</w:t>
      </w:r>
      <w:r>
        <w:rPr/>
        <w:t>生成代码和员工工具可能提高效率，季度公司披露代码比例与员工使用，但不能据此把研发费用折半。模型、推荐、广告、平台与内容都需要持续人才和计算，技术效率可能被更高目标吞噬。正常共享費和可灵专属研发分别保留，实际分配不足时明确为研究假设，不假装财报已独立分摊。</w:t>
      </w:r>
    </w:p>
    <w:p>
      <w:pPr>
        <w:pStyle w:val="Normal"/>
        <w:rPr/>
      </w:pPr>
      <w:r>
        <w:rPr/>
        <w:t>Non-IFRS</w:t>
      </w:r>
      <w:r>
        <w:rPr/>
        <w:t>上半年调整净利七十二点八七亿元，法定集团六十点五七，主要加股份支付十三点一一并调投资变化；调整</w:t>
      </w:r>
      <w:r>
        <w:rPr/>
        <w:t>EBITDA</w:t>
      </w:r>
      <w:r>
        <w:rPr/>
        <w:t>一百三十三点五二。二季度法定普通股</w:t>
      </w:r>
      <w:r>
        <w:rPr/>
        <w:t>EPS</w:t>
      </w:r>
      <w:r>
        <w:rPr/>
        <w:t>零点七二、调整净利三十九点一三亿元，不能用集团调整净利直接声称股东收到现金。股份支付可能被回购抵消或形成稀释，折旧、使用权摊销和资本更新都有真实经济作用。估值桥包含常态</w:t>
      </w:r>
      <w:r>
        <w:rPr/>
        <w:t>SBC</w:t>
      </w:r>
      <w:r>
        <w:rPr/>
        <w:t>与折旧，未将所有调节项目排除后使用过高利润率。</w:t>
      </w:r>
    </w:p>
    <w:p>
      <w:pPr>
        <w:pStyle w:val="Normal"/>
        <w:rPr/>
      </w:pPr>
      <w:r>
        <w:rPr/>
        <w:t>经营利润里其他收益包含财资和资产价格变化，公开调节对特定投资范围的定义也不同，不能把所有财富管理收益都当主营业务价值。本章将核心服务贡献和可灵经营贡献分开，再仅加有限正常净财资收益，没有加全部净资金市值。若以后改</w:t>
      </w:r>
      <w:r>
        <w:rPr/>
        <w:t>SOTP</w:t>
      </w:r>
      <w:r>
        <w:rPr/>
        <w:t>，应删相关利息和投资收益并重新核可分配净现金与负债；不能将两套方法的有利部分叠加。法定税率和当期有效税率差异与研发优惠、递延税有关，未来统一百分之二十也是明确假设。</w:t>
      </w:r>
    </w:p>
    <w:p>
      <w:pPr>
        <w:pStyle w:val="Heading2"/>
        <w:rPr/>
      </w:pPr>
      <w:r>
        <w:rPr>
          <w:color w:val="000000"/>
        </w:rPr>
        <w:t>八 现金流 票据融资与资本结构</w:t>
      </w:r>
    </w:p>
    <w:p>
      <w:pPr>
        <w:pStyle w:val="Normal"/>
        <w:rPr/>
      </w:pPr>
      <w:r>
        <w:rPr/>
        <w:t>二零二五年</w:t>
      </w:r>
      <w:r>
        <w:rPr/>
        <w:t>OCF</w:t>
      </w:r>
      <w:r>
        <w:rPr/>
        <w:t>二百六十七点一六亿元，二零二四年二百九十七点八七，利润增加而现金略下降。资本购买与预付二零二五年一百四十九点四二億元，之前八十点六三，已明显扩张。上半年</w:t>
      </w:r>
      <w:r>
        <w:rPr/>
        <w:t>OCF</w:t>
      </w:r>
      <w:r>
        <w:rPr/>
        <w:t>九十点四四億元、资本购买与预付一百七十九点四一，是去年同期七十点七五的两倍多。现金先付、设备后转固定资产折旧，利润与资金支出会分离，不能只看现有低</w:t>
      </w:r>
      <w:r>
        <w:rPr/>
        <w:t>PE</w:t>
      </w:r>
      <w:r>
        <w:rPr/>
        <w:t>忽略尚未充分进入损益的资本成本。</w:t>
      </w:r>
    </w:p>
    <w:p>
      <w:pPr>
        <w:pStyle w:val="Normal"/>
        <w:rPr/>
      </w:pPr>
      <w:r>
        <w:rPr/>
        <w:t>快手采用</w:t>
      </w:r>
      <w:r>
        <w:rPr/>
        <w:t>IFRS</w:t>
      </w:r>
      <w:r>
        <w:rPr/>
        <w:t>，租赁本金与相关利息在融资现金流中。半年租赁本息十九点一九亿元，</w:t>
      </w:r>
      <w:r>
        <w:rPr/>
        <w:t>OCF</w:t>
      </w:r>
      <w:r>
        <w:rPr/>
        <w:t>减资本与预付再减这项，研究股东现金代理负一百零八点一六億元。这个口径不是公司官方</w:t>
      </w:r>
      <w:r>
        <w:rPr/>
        <w:t>FCF</w:t>
      </w:r>
      <w:r>
        <w:rPr/>
        <w:t>，也还要关注融资利息、票据贴现与营运资金分类。它与美国</w:t>
      </w:r>
      <w:r>
        <w:rPr/>
        <w:t>GAAP</w:t>
      </w:r>
      <w:r>
        <w:rPr/>
        <w:t>平台需不同处理，不能对所有公司机械再扣同样租金。本章保留租赁现金，使数据中心和办公室义务没有在现金评估中消失，同时不再从已含租赁成本的利润第二次扣支出。</w:t>
      </w:r>
    </w:p>
    <w:p>
      <w:pPr>
        <w:pStyle w:val="Normal"/>
        <w:rPr/>
      </w:pPr>
      <w:r>
        <w:rPr/>
        <w:t>上半年融资现金净流入二百四十三点二七億元，很大部分来自借款、票据安排和应收票据贴现，而非全部来自经营改善。票据安排收到二百五十一点六二、贴现一百九十三点九九、到期票据与利息支付三百一十四点五五亿元，时点和负债归属会影响现金。不能看到现金余额增加就断言盈利质量改善，供应链融资与未来到期要检查。完整票据负债和其他应付附注未全核，本章净资金仅作代理，避免把其中所有财资当无义务现金。</w:t>
      </w:r>
    </w:p>
    <w:p>
      <w:pPr>
        <w:pStyle w:val="Normal"/>
        <w:rPr/>
      </w:pPr>
      <w:r>
        <w:rPr/>
        <w:t>六月现金一百一十六点九六亿元、短定存一百二十三点五八、长定存一百四十二点九一，流动与非流动</w:t>
      </w:r>
      <w:r>
        <w:rPr/>
        <w:t>FVTPL</w:t>
      </w:r>
      <w:r>
        <w:rPr/>
        <w:t>分别五百六十三点五三和二百九十六点一八。管理层可用资金约一千二百一十三亿元，包含定存、财资和受限，不能称全为活期现金。受限二点二亿元也需排除自由分配，部分金融资产有价格、流动与期限风险。模型不以可用资金除普通股直接设最低股价，仍要扣融资、租赁、税、子公司权益和未来投入。</w:t>
      </w:r>
    </w:p>
    <w:p>
      <w:pPr>
        <w:pStyle w:val="Normal"/>
        <w:rPr/>
      </w:pPr>
      <w:r>
        <w:rPr/>
        <w:t>有息借款六月二百七十三点六二亿元，年末一百三十点六六，增长较快。年初发行美元六亿美元与九亿美元票据、人民币三十五亿元票据，利率和期限不同，扩展资金来源也提高利息与汇率暴露。财报净融资费用半年四点三一亿元高于去年零点七八。大资金池与债务同时存在可能涉及资产用途、期限与币种配置，不能只看其中一项。管理可用资金扣借款的九百三十九亿元是粗代理，不含所有融资与归属，本章不叫净现金保证。</w:t>
      </w:r>
    </w:p>
    <w:p>
      <w:pPr>
        <w:pStyle w:val="Normal"/>
        <w:rPr/>
      </w:pPr>
      <w:r>
        <w:rPr/>
        <w:t>租赁负债一百一十六点七二亿元，使用权资产一百零三点零二，其中数据中心八十四点五八。资本购买和租赁共同支持</w:t>
      </w:r>
      <w:r>
        <w:rPr/>
        <w:t>AI</w:t>
      </w:r>
      <w:r>
        <w:rPr/>
        <w:t>计算，增长代表产能投入，仍需利用率和客户付费回收。数据中心长期合同可降低供给不确定性，却使需求低于计划时成本不能同步下调。半年固定资产一百多亿元增加与采购预付时间不同，不要用账面增加精确重建现金资本。正常盈利保留折旧，长期估值要检验投资产出，而不是只因大量设备视为资产底。</w:t>
      </w:r>
    </w:p>
    <w:p>
      <w:pPr>
        <w:pStyle w:val="Normal"/>
        <w:rPr/>
      </w:pPr>
      <w:r>
        <w:rPr/>
        <w:t>九月末月报十月七日已公开，上市</w:t>
      </w:r>
      <w:r>
        <w:rPr/>
        <w:t>B</w:t>
      </w:r>
      <w:r>
        <w:rPr/>
        <w:t>普通股三十六点四四八零二六四六亿，</w:t>
      </w:r>
      <w:r>
        <w:rPr/>
        <w:t>A</w:t>
      </w:r>
      <w:r>
        <w:rPr/>
        <w:t>普通股六点五九三四八九五二亿，合四十三点零四一五一五九八亿，库存零。六月发行在外合约四十三点二六九零七六五四亿，与加权摊薄四十三点九七亿不同，未来激励和回购仍可改变。模型分母年底四十四亿、远期按情景变动，保留摊薄而非直接使用九月股数。回购新闻不能替代全部授予与注销，对每股价值影响需要现金和股数同时验证。</w:t>
      </w:r>
    </w:p>
    <w:p>
      <w:pPr>
        <w:pStyle w:val="Normal"/>
        <w:rPr/>
      </w:pPr>
      <w:r>
        <w:rPr/>
        <w:t>末期股息每普通股零点六九港元于七月支付，基准价十月时投资者已经不能取得这笔过去分配，不加入未来回报。六月负债仍列应付股息，是财报时点与支付时点差异，不是截止日仍未付。董事会明确未宣中期股息，模型年底与半年未来股息零，后续年度股息只是研究假设。回购不是现金股息，若它减少股数已提高</w:t>
      </w:r>
      <w:r>
        <w:rPr/>
        <w:t>EPS</w:t>
      </w:r>
      <w:r>
        <w:rPr/>
        <w:t>，不能又把回购金额当含息回报加一次。普通股总回报与公司股东收益率必须保持不同定义。</w:t>
      </w:r>
    </w:p>
    <w:p>
      <w:pPr>
        <w:pStyle w:val="Heading2"/>
        <w:rPr/>
      </w:pPr>
      <w:r>
        <w:rPr>
          <w:color w:val="000000"/>
        </w:rPr>
        <w:t>九 半年日线 量能与相对强弱</w:t>
      </w:r>
    </w:p>
    <w:p>
      <w:pPr>
        <w:pStyle w:val="Normal"/>
        <w:rPr/>
      </w:pPr>
      <w:r>
        <w:rPr/>
        <w:t>十月九日收盘三十点一港元，前收二十八点五四、开二十八点六八、最低二十八点五八、最高三十点一四，涨约百分之五点四七，靠近当日高位收盘。成交五千八百一十九点二一万股、金额约十七点二一亿元，双源最终股量与金额核验一致。这一天反弹与百度的小量小涨不同，确有需求参与；单日仍不足以逆转六十日及更长下降。研究把它作为早期积极证据，技术维度较极弱趋势略高，但没有称已确认底部。</w:t>
      </w:r>
    </w:p>
    <w:p>
      <w:pPr>
        <w:pStyle w:val="Normal"/>
        <w:rPr/>
      </w:pPr>
      <w:r>
        <w:rPr/>
        <w:t>二十、六十、一百二十、二百五十日均线约三十点二四、三十六点一零、四十点五一、五十三点八三港元。现价只低于二十日约百分之零点四六，低于其他约十六点六三、二十五点七零、四十四点零八，五日内斜率全部负。二十日近在眼前，但六十日下降约百分之三点三一、长期均线也向下，反弹面临多层压力。需要二十日转稳、穿越区间高点并保持回踩，之后才讨论六十日恢复，不应将一次接近均线视完整趋势逆转。</w:t>
      </w:r>
    </w:p>
    <w:p>
      <w:pPr>
        <w:pStyle w:val="Normal"/>
        <w:rPr/>
      </w:pPr>
      <w:r>
        <w:rPr/>
        <w:t>近二十日回报负百分之四点九三、六十日负三十五点八五、二百五十日约负六十六点六七，长期趋势非常弱。五十二周复权高约九十一点零四、低二十八点五二，现价距高负六十六点九四、距低正五点五四，最大回撤约六十八点三九。复权高点与历史名义成交价可能不同，图中前述股息已统一到基准名义价格，不能把除息变化称真实价格损失。即使跌幅大，业务盈利下修与风险也可能尚未结束，跌深不是自动安全边际。</w:t>
      </w:r>
    </w:p>
    <w:p>
      <w:pPr>
        <w:pStyle w:val="Normal"/>
        <w:rPr/>
      </w:pPr>
      <w:r>
        <w:rPr/>
        <w:t>最近二十日区间二十八点五二至三十二点零四，现价到区间低约负百分之五点二五、到高正六点四五。六十日高四十七点四，距离约五十七点四八，属更远压力观察。区间高低由真实历史统计但未经触碰次数筛选，不叫可靠精确支撑。反弹第一关注三十点二四和三十二点零四，站稳后关注三十六点一零；如果低点再次跌破，当前早期恢复假设失效。基本面目标不等同技术阻力，价格可以先修复一小段而未达到合理远期估值。</w:t>
      </w:r>
    </w:p>
    <w:p>
      <w:pPr>
        <w:pStyle w:val="Normal"/>
        <w:rPr/>
      </w:pPr>
      <w:r>
        <w:rPr/>
        <w:t>五、二十、六十日均量约三千零一十七点四五、三千一百五十一点一四、四千三百九十四点九九万股，当日相对前二十日均量约一点九一倍。短均量小于六十日提示此前卖压高峰较大，当日放量反弹值得观察是否延续。最近二十日八个上涨日总量约三亿一千九百一十八点五八万股，十二个下跌日三亿一千一百零四点一四万股，比例一点零三，需求和供应总量接近平衡但下跌日更多。它比明显下跌日占量的状态好些，仍非持续净买入证明。</w:t>
      </w:r>
    </w:p>
    <w:p>
      <w:pPr>
        <w:pStyle w:val="Normal"/>
        <w:rPr/>
      </w:pPr>
      <w:r>
        <w:rPr/>
        <w:t>量价分析可以提出下一步验证：上涨穿三十二点零四时成交持续不低于近期均量，回踩量缩且守住二十日附近，随后六十日相对强弱改善。若放量一天后价格快速跌回低点，可能只是事件或空头回补，不能从日线识别具体资金主体。本章没有逐笔與持仓变化资料，不作主力吸筹、机构成本区或精确筹码峰判断。成交单位股，每手五百股不再乘五百；自由流通分母未可靠核算，换手率留空。</w:t>
      </w:r>
    </w:p>
    <w:p>
      <w:pPr>
        <w:pStyle w:val="Normal"/>
        <w:rPr/>
      </w:pPr>
      <w:r>
        <w:rPr/>
        <w:t>RSI</w:t>
      </w:r>
      <w:r>
        <w:rPr/>
        <w:t>十四日约四十二点七二，仍低于五十；</w:t>
      </w:r>
      <w:r>
        <w:rPr/>
        <w:t>MACD DIF</w:t>
      </w:r>
      <w:r>
        <w:rPr/>
        <w:t>负一点二九、</w:t>
      </w:r>
      <w:r>
        <w:rPr/>
        <w:t>DEA</w:t>
      </w:r>
      <w:r>
        <w:rPr/>
        <w:t>负一点五零、小正柱零点四三，按两倍差定义，说明下行动量有所减缓。</w:t>
      </w:r>
      <w:r>
        <w:rPr/>
        <w:t>ATR</w:t>
      </w:r>
      <w:r>
        <w:rPr/>
        <w:t>约一点一六港元、百分之三点八五，正常短期波动与到低点距离相近，观察位很可能被来回测试。指标不提供独立盈利信息，</w:t>
      </w:r>
      <w:r>
        <w:rPr/>
        <w:t>RSI</w:t>
      </w:r>
      <w:r>
        <w:rPr/>
        <w:t>与</w:t>
      </w:r>
      <w:r>
        <w:rPr/>
        <w:t>MACD</w:t>
      </w:r>
      <w:r>
        <w:rPr/>
        <w:t>不能同时当两项同义证据加分。若价格突破但盈利恶化，技术反弹仍可存在却不支撑长期高目标，模型与技术分别评价。</w:t>
      </w:r>
    </w:p>
    <w:p>
      <w:pPr>
        <w:pStyle w:val="Normal"/>
        <w:rPr/>
      </w:pPr>
      <w:r>
        <w:rPr/>
        <w:t>相对恒生二十日弱一点九五个百分点、六十日弱三十二点六六；相对恒生科技分别弱一点八六和二十二点六八。市场整体回落不足以解释所有跌幅，快手特有核心增长与</w:t>
      </w:r>
      <w:r>
        <w:rPr/>
        <w:t>AI</w:t>
      </w:r>
      <w:r>
        <w:rPr/>
        <w:t>资本预期是额外因素。指数粗粒度不能完全匹配视频模型，但比只看绝对涨跌有价值。若后续市场上涨而快手仍持续弱，低价修复逻辑应更审慎；若它持续领先并伴业绩改善，可以上调技术分，而不因一次市场反弹先宣布相对强势已形成。</w:t>
      </w:r>
    </w:p>
    <w:p>
      <w:pPr>
        <w:pStyle w:val="Heading2"/>
        <w:rPr/>
      </w:pPr>
      <w:r>
        <w:rPr>
          <w:color w:val="000000"/>
        </w:rPr>
        <w:t>十 周线与趋势失败条件</w:t>
      </w:r>
    </w:p>
    <w:p>
      <w:pPr>
        <w:pStyle w:val="Normal"/>
        <w:rPr/>
      </w:pPr>
      <w:r>
        <w:rPr/>
        <w:t>三年行情生成一百五十七根周线，二十、六十、一百二十周均线约三十八点七四、五十五点八零、五十三点零六，二百五十周样本不足留空。现价明显低于长期周均线，二十周五周变化负约百分之九点二四、六十周负五点九四，下降仍有惯性。日线小正</w:t>
      </w:r>
      <w:r>
        <w:rPr/>
        <w:t>MACD</w:t>
      </w:r>
      <w:r>
        <w:rPr/>
        <w:t>柱没有使周趋势立即翻转，周级行情与基本面需要时间确认。不能把未存在的长期均线或拟合线当主源数据，三年样本也不覆盖全部上市历史。</w:t>
      </w:r>
    </w:p>
    <w:p>
      <w:pPr>
        <w:pStyle w:val="Normal"/>
        <w:rPr/>
      </w:pPr>
      <w:r>
        <w:rPr/>
        <w:t>周</w:t>
      </w:r>
      <w:r>
        <w:rPr/>
        <w:t>RSI</w:t>
      </w:r>
      <w:r>
        <w:rPr/>
        <w:t>约二十八点二六，有较低动量状态，周</w:t>
      </w:r>
      <w:r>
        <w:rPr/>
        <w:t>MACD</w:t>
      </w:r>
      <w:r>
        <w:rPr/>
        <w:t>仍负柱零点七七，</w:t>
      </w:r>
      <w:r>
        <w:rPr/>
        <w:t>ATR</w:t>
      </w:r>
      <w:r>
        <w:rPr/>
        <w:t>四点一三港元、现价百分之十三点七一，表明周级波动相当大。低</w:t>
      </w:r>
      <w:r>
        <w:rPr/>
        <w:t>RSI</w:t>
      </w:r>
      <w:r>
        <w:rPr/>
        <w:t>可能出现反弹，也可能在基本面下修期间长时间低位。最近二十周上涨周与下跌周总量比例一点一二，某些上涨周量大并不保证长期趋势已经改变，均线和收盘结构仍弱。五十二周周线窗口高点与二百五十二个日线窗口略不同，应按各自真实样本解释，不强行合一。</w:t>
      </w:r>
    </w:p>
    <w:p>
      <w:pPr>
        <w:pStyle w:val="Normal"/>
        <w:rPr/>
      </w:pPr>
      <w:r>
        <w:rPr/>
        <w:t>技术证据从当前低位到趋势确认需分阶段。低点守住且二十日横盘是第一阶段，穿区间高后回踩是第二，六十日与周线短均线转稳是第三。每一步对应不同风险收益，早进入可能取得更大反弹但承受再创新低，确认后价格可能已经上涨。本章半年分数反映进取观察却保留弱周线，不用技术门槛声称最佳买点。条件可以随真实公告与价格改变，观察规则应清晰更新，不能事后把所有走势都解释为预期内。</w:t>
      </w:r>
    </w:p>
    <w:p>
      <w:pPr>
        <w:pStyle w:val="Normal"/>
        <w:rPr/>
      </w:pPr>
      <w:r>
        <w:rPr/>
        <w:t>量价失败条件包括二十八点五二放量跌穿、三十二点零四突破后迅速失守、上涨量能不能维持和指数超额再次明显走弱。基本面失败与技术失败不完全同步，例如可灵版本新闻短期推升股价却核心现金继续恶化；也可能利润先企稳而股价未恢复。两类反证都应保存，不能以一类改善覆盖另一类缺陷。技术观察只是半年评分的一部分，五年技术权重零并不意味能无视资本与经营风险，而是把长期判断交给现金和护城河。</w:t>
      </w:r>
    </w:p>
    <w:p>
      <w:pPr>
        <w:pStyle w:val="Heading2"/>
        <w:rPr/>
      </w:pPr>
      <w:r>
        <w:rPr>
          <w:color w:val="000000"/>
        </w:rPr>
        <w:t>十一 估值模型与情景参数</w:t>
      </w:r>
    </w:p>
    <w:p>
      <w:pPr>
        <w:pStyle w:val="Normal"/>
        <w:rPr/>
      </w:pPr>
      <w:r>
        <w:rPr/>
        <w:t>模型将广告、直播和</w:t>
      </w:r>
      <w:r>
        <w:rPr/>
        <w:t>Other</w:t>
      </w:r>
      <w:r>
        <w:rPr/>
        <w:t>除可灵乘独立贡献率，扣共享核心费；可灵收入乘直接贡献率后扣其持续研发，再乘研究归属比例。它避免</w:t>
      </w:r>
      <w:r>
        <w:rPr/>
        <w:t>Other</w:t>
      </w:r>
      <w:r>
        <w:rPr/>
        <w:t>与可灵重复，也不加另一套国内海外收入。税率百分之二十、有限净财资收益与</w:t>
      </w:r>
      <w:r>
        <w:rPr/>
        <w:t>EPS</w:t>
      </w:r>
      <w:r>
        <w:rPr/>
        <w:t>分子储备明确列出，未来摊薄普通股做分母，</w:t>
      </w:r>
      <w:r>
        <w:rPr/>
        <w:t>EPS</w:t>
      </w:r>
      <w:r>
        <w:rPr/>
        <w:t>三位、价格两位。贡献率包含直归成本、折旧和常态</w:t>
      </w:r>
      <w:r>
        <w:rPr/>
        <w:t>SBC</w:t>
      </w:r>
      <w:r>
        <w:rPr/>
        <w:t>，共享费再扣一次；没有独立分部费用主源时，它是透明假设桥，不能称公司指引或精确分部净利。</w:t>
      </w:r>
    </w:p>
    <w:p>
      <w:pPr>
        <w:pStyle w:val="Normal"/>
        <w:rPr/>
      </w:pPr>
      <w:r>
        <w:rPr/>
        <w:t>年底基准未来十二个月广告七百九十、直播三百二十、</w:t>
      </w:r>
      <w:r>
        <w:rPr/>
        <w:t>Other</w:t>
      </w:r>
      <w:r>
        <w:rPr/>
        <w:t>除可灵二百一十、可灵三十八亿元，核心共享费二百三十亿元，可灵专属研发八十亿元，直接贡献率百分之四十六。可灵贡献扣研发仍亏，按六十八点三三归属，核心继续提供利润。摊薄股四十四亿、分子储备二亿、正常财资八亿，</w:t>
      </w:r>
      <w:r>
        <w:rPr/>
        <w:t>EPS</w:t>
      </w:r>
      <w:r>
        <w:rPr/>
        <w:t>二点三零三元人民币，十七倍乘一点一，目标四十三点零七港元。它不要求可灵近端盈利，却要求核心业务下滑受控。</w:t>
      </w:r>
    </w:p>
    <w:p>
      <w:pPr>
        <w:pStyle w:val="Normal"/>
        <w:rPr/>
      </w:pPr>
      <w:r>
        <w:rPr/>
        <w:t>年底悲观广告七百五十、直播三百、</w:t>
      </w:r>
      <w:r>
        <w:rPr/>
        <w:t>Other</w:t>
      </w:r>
      <w:r>
        <w:rPr/>
        <w:t>一百九十、可灵三十二亿元，核心贡献率较低和可灵研发八十亿元，使</w:t>
      </w:r>
      <w:r>
        <w:rPr/>
        <w:t>EPS</w:t>
      </w:r>
      <w:r>
        <w:rPr/>
        <w:t>一点三八二元，十倍，价十五点二零。乐观广告八百三十、直播三百四十、</w:t>
      </w:r>
      <w:r>
        <w:rPr/>
        <w:t>Other</w:t>
      </w:r>
      <w:r>
        <w:rPr/>
        <w:t>二百三十、可灵四十八亿元，贡献率较高、研发七十五亿元和摊薄股四十三亿，</w:t>
      </w:r>
      <w:r>
        <w:rPr/>
        <w:t>EPS</w:t>
      </w:r>
      <w:r>
        <w:rPr/>
        <w:t>三点四六四、二十一倍，价八十点零二。三者都是年底预期未来利润，不能把收入合计当二零二六已实现，也不是把一年目标按剩余时间缩放。</w:t>
      </w:r>
    </w:p>
    <w:p>
      <w:pPr>
        <w:pStyle w:val="Normal"/>
        <w:rPr/>
      </w:pPr>
      <w:r>
        <w:rPr/>
        <w:t>半年基准可灵五十亿元、广告八百、直播三百一十、</w:t>
      </w:r>
      <w:r>
        <w:rPr/>
        <w:t>Other</w:t>
      </w:r>
      <w:r>
        <w:rPr/>
        <w:t>二百二十亿元，可灵专属研发八十五亿元，</w:t>
      </w:r>
      <w:r>
        <w:rPr/>
        <w:t>EPS</w:t>
      </w:r>
      <w:r>
        <w:rPr/>
        <w:t>二点四四一、十八倍，价四十八点三三。一年基准可灵七十亿元、广告八百四十、直播三百一十、</w:t>
      </w:r>
      <w:r>
        <w:rPr/>
        <w:t>Other</w:t>
      </w:r>
      <w:r>
        <w:rPr/>
        <w:t>二百四十，研发九十亿元、归属百分之六十七、摊薄股四十三点四亿，</w:t>
      </w:r>
      <w:r>
        <w:rPr/>
        <w:t>EPS</w:t>
      </w:r>
      <w:r>
        <w:rPr/>
        <w:t>二点九一八、十九倍，价六十点九九。尽管可灵收入增长，贡献扣研发仍亏，模型并未声称普通股利润完全来自</w:t>
      </w:r>
      <w:r>
        <w:rPr/>
        <w:t>AI</w:t>
      </w:r>
      <w:r>
        <w:rPr/>
        <w:t>；核心稳定与混合利润改善同样必要。</w:t>
      </w:r>
    </w:p>
    <w:p>
      <w:pPr>
        <w:pStyle w:val="Normal"/>
        <w:rPr/>
      </w:pPr>
      <w:r>
        <w:rPr/>
        <w:t>三年基准广告一千、直播三百一十、</w:t>
      </w:r>
      <w:r>
        <w:rPr/>
        <w:t>Other</w:t>
      </w:r>
      <w:r>
        <w:rPr/>
        <w:t>三百一十、可灵一百七十亿元，可灵研发一百二十亿元、归属百分之六十二，核心共享费三百一十亿元，</w:t>
      </w:r>
      <w:r>
        <w:rPr/>
        <w:t>EPS</w:t>
      </w:r>
      <w:r>
        <w:rPr/>
        <w:t>四点四九三、二十一倍，价一百零三点七九。五年基准广告一千一百五十、直播三百、</w:t>
      </w:r>
      <w:r>
        <w:rPr/>
        <w:t>Other</w:t>
      </w:r>
      <w:r>
        <w:rPr/>
        <w:t>三百九十、可灵三百二十亿元，后者直接贡献率百分之六十、研发一百六十亿元，归属百分之五十七，</w:t>
      </w:r>
      <w:r>
        <w:rPr/>
        <w:t>EPS</w:t>
      </w:r>
      <w:r>
        <w:rPr/>
        <w:t>六点二九零、二十一倍，价一百四十五点三零。</w:t>
      </w:r>
      <w:r>
        <w:rPr/>
        <w:t>AI</w:t>
      </w:r>
      <w:r>
        <w:rPr/>
        <w:t>在五年才获得正贡献，利润仍主要依赖核心持续性。</w:t>
      </w:r>
    </w:p>
    <w:p>
      <w:pPr>
        <w:pStyle w:val="Normal"/>
        <w:rPr/>
      </w:pPr>
      <w:r>
        <w:rPr/>
        <w:t>长期乐观需要视频模型大规模专业收费、较高贡献率和核心广告交易恢复，同时费用与股数有纪律。五年可灵七百亿元、直接贡献率百分之七十、研发二百五十亿元，属于很强经营假设，不是任何主源已确定订单；广告和</w:t>
      </w:r>
      <w:r>
        <w:rPr/>
        <w:t>Other</w:t>
      </w:r>
      <w:r>
        <w:rPr/>
        <w:t>也增长较大，叠加二十六倍带来四百六十一点零六港元高目标。悲观则旧商业衰减、模型收入弱和持续投入，五年价四点七零。两端很宽，显示进取高目标不能脱离现金与竞争条件，严重失误或治理损失还可能超出悲观。</w:t>
      </w:r>
    </w:p>
    <w:p>
      <w:pPr>
        <w:pStyle w:val="Normal"/>
        <w:rPr/>
      </w:pPr>
      <w:r>
        <w:rPr/>
        <w:t>PE</w:t>
      </w:r>
      <w:r>
        <w:rPr/>
        <w:t>基准由十七到二十一倍给予</w:t>
      </w:r>
      <w:r>
        <w:rPr/>
        <w:t>AI</w:t>
      </w:r>
      <w:r>
        <w:rPr/>
        <w:t>成长与核心现金恢复参照，但没有把全部收入当高利润软件。低近端</w:t>
      </w:r>
      <w:r>
        <w:rPr/>
        <w:t>PE</w:t>
      </w:r>
      <w:r>
        <w:rPr/>
        <w:t>反映过去利润可能收缩，远期</w:t>
      </w:r>
      <w:r>
        <w:rPr/>
        <w:t>PE</w:t>
      </w:r>
      <w:r>
        <w:rPr/>
        <w:t>提高需要盈利质量与资本回报，不能仅因故事延展而提升倍数。更合理的</w:t>
      </w:r>
      <w:r>
        <w:rPr/>
        <w:t>SOTP</w:t>
      </w:r>
      <w:r>
        <w:rPr/>
        <w:t>可在独立可灵现金和条款完整后核算：先从核心中删除所有可灵收入、成本與现金，核子公司税和归属，再单独风险调整。当前模型不加融资估值和全净资金，避免利息资本化、融资新钱和权益市值重复加回。</w:t>
      </w:r>
    </w:p>
    <w:p>
      <w:pPr>
        <w:pStyle w:val="Heading2"/>
        <w:rPr/>
      </w:pPr>
      <w:r>
        <w:rPr>
          <w:color w:val="000000"/>
        </w:rPr>
        <w:t>十二 期限判断 反证与十年展望</w:t>
      </w:r>
    </w:p>
    <w:p>
      <w:pPr>
        <w:pStyle w:val="Normal"/>
        <w:rPr/>
      </w:pPr>
      <w:r>
        <w:rPr/>
        <w:t>半年收益主要来自低预期修复、核心下滑没有更差、新版本使用与付费增长、资本支出节奏可解释。当前放量反弹给初步技术支持，但长期下降仍强。基准约六成上涨空间看起来大，悲观超过五成损失又提醒现金和经营预测不确定，不能以目标最高直接排最前。升级需要平台广告与交易实际改善及技术穿压力位，若新版本只有样片传播而付费无改善，或核心继续去杠杆，半年判断应保持观察或下调，不承诺转型立刻见效。</w:t>
      </w:r>
    </w:p>
    <w:p>
      <w:pPr>
        <w:pStyle w:val="Normal"/>
        <w:rPr/>
      </w:pPr>
      <w:r>
        <w:rPr/>
        <w:t>一年需要证明</w:t>
      </w:r>
      <w:r>
        <w:rPr/>
        <w:t>AI</w:t>
      </w:r>
      <w:r>
        <w:rPr/>
        <w:t>可以提高整体商业效率，可灵外部收费持续增长而核心用户和商家没有明显流失。基准股价回报约一倍、含息稍高，来自正常每股利润恢复与十九倍估值，对利润修复和市场认知都有要求。若价格已先涨到远高于短期利润参照，模型上涨空间自然缩小，不能维持同推荐只因为故事没变。失败路径是电商合规和消费压力持续、广告预算转向其他平台、算力与研发成本高于预期、外部融资稀释更大，任一项都可削弱</w:t>
      </w:r>
      <w:r>
        <w:rPr/>
        <w:t>EPS</w:t>
      </w:r>
      <w:r>
        <w:rPr/>
        <w:t>。</w:t>
      </w:r>
    </w:p>
    <w:p>
      <w:pPr>
        <w:pStyle w:val="Normal"/>
        <w:rPr/>
      </w:pPr>
      <w:r>
        <w:rPr/>
        <w:t>三年判断要求核心平台穿过成熟与竞争压力，可灵形成稳定客户和实际可回收资本。基准含息年化约五十一点九四，属于很进取的旧估值压缩后恢复加成长组合，不是正常低风险复利。独立视频业务即使收入扩大，若研发和价格战使它仍长期耗现金，股东回报要靠核心。模型保留三年可灵小负贡献但希望资本效率改善，后续若看不到这一路径，应降长期倍数，而不是把亏损永远看作可删除投资。</w:t>
      </w:r>
    </w:p>
    <w:p>
      <w:pPr>
        <w:pStyle w:val="Normal"/>
        <w:rPr/>
      </w:pPr>
      <w:r>
        <w:rPr/>
        <w:t>五年需要专业创作、企业工作流与平台商业共同形成持续价值。视频质量、版权、编辑控制、接口和生态若吸引续费，收入可以脱离一次性版本热度；核心广告与交易若不再稳定，</w:t>
      </w:r>
      <w:r>
        <w:rPr/>
        <w:t>AI</w:t>
      </w:r>
      <w:r>
        <w:rPr/>
        <w:t>必须承担更多共享资本。基准含息年化三十七点七九，依赖强收入增长与二十一倍，波动风险高。未来可灵</w:t>
      </w:r>
      <w:r>
        <w:rPr/>
        <w:t>IPO</w:t>
      </w:r>
      <w:r>
        <w:rPr/>
        <w:t>不是逻辑必需的现金来源，</w:t>
      </w:r>
      <w:r>
        <w:rPr/>
        <w:t>IPO</w:t>
      </w:r>
      <w:r>
        <w:rPr/>
        <w:t>若附更深稀释、优先权或母公司负担，未必提高普通股价值；判断应回到经营与归属，不以上市题材替代现金。</w:t>
      </w:r>
    </w:p>
    <w:p>
      <w:pPr>
        <w:pStyle w:val="Normal"/>
        <w:rPr/>
      </w:pPr>
      <w:r>
        <w:rPr/>
        <w:t>十年展望关注快手能否维持可信社区、商家服务与高效内容分发，以及可灵能否成为专业创作基础工具。视频生成的社会需求大，技术扩散也会使基础能力更普遍，长期价值可能转移到数据、版权、客户工作流和交易连接。平台有机会把技术与分发协同，也可能被更低成本工具和新内容入口削弱。十年不以五年乐观价继续等比放大，需逐年核</w:t>
      </w:r>
      <w:r>
        <w:rPr/>
        <w:t>ROIC</w:t>
      </w:r>
      <w:r>
        <w:rPr/>
        <w:t>、现金、续费与归属，增长规模本身不足以说明高股东回报。</w:t>
      </w:r>
    </w:p>
    <w:p>
      <w:pPr>
        <w:pStyle w:val="Normal"/>
        <w:rPr/>
      </w:pPr>
      <w:r>
        <w:rPr/>
        <w:t>经营反证首先是广告与</w:t>
      </w:r>
      <w:r>
        <w:rPr/>
        <w:t>Other</w:t>
      </w:r>
      <w:r>
        <w:rPr/>
        <w:t>增速持续低于费用和计算成本，或月活增长而日活及商业收入停滞，说明覆盖扩张没有兑现。其次是可灵使用与运行速度宣传增长、实际期间收入或现金收回却落后，说明留存和付款质量存在问题。第三是模型质量领先需要不断加速投入，价格下降比单位成本更快，导致贡献率无法实现。出现这些信号时应调整收入、贡献率、共享和专属研发，不只增加文字解释以维持目标不变。</w:t>
      </w:r>
    </w:p>
    <w:p>
      <w:pPr>
        <w:pStyle w:val="Normal"/>
        <w:rPr/>
      </w:pPr>
      <w:r>
        <w:rPr/>
        <w:t>财务反证包括长期负股东现金代理、票据或借款增长掩盖经营资金缺口、激励导致集团及子公司过快稀释、可赎回融资实际产生重大现金支出。治理反证是关联服务与资金分配不清、外部股东难核归属，或母公司承担模型亏损而收益更多转移给其他权益。升级证据则是核心正常现金维持、可灵真实收费与贡献改善、融资完成及权利披露清晰、资本投入有回报。两者必须能推翻原判断，不能把所有坏消息解释成长期利好。</w:t>
      </w:r>
    </w:p>
    <w:p>
      <w:pPr>
        <w:pStyle w:val="Heading2"/>
        <w:rPr/>
      </w:pPr>
      <w:r>
        <w:rPr>
          <w:color w:val="000000"/>
        </w:rPr>
        <w:t>十三 机构目标与年底敏感性</w:t>
      </w:r>
    </w:p>
    <w:p>
      <w:pPr>
        <w:pStyle w:val="Normal"/>
        <w:rPr/>
      </w:pPr>
      <w:r>
        <w:rPr/>
        <w:t>最近可核外资新闻目标包括花旗九月二十九日四十一港元、中性，美银九月二日五十三、买入，野村八月二十一日四十、中性，高盛同日三十八、中性，汇丰四十五、买入。均是公开转述，原研报和明确目标期限未取得，保留空字段。花旗九月内容较八月更新，用同机构最新有效新闻去重。不同机构对可灵权益、净资金与核心下降的估法不同，目标不能简单平均当年底合理价格，也不能将报道未来版本推出当已发生商业效果。</w:t>
      </w:r>
    </w:p>
    <w:p>
      <w:pPr>
        <w:pStyle w:val="Normal"/>
        <w:rPr/>
      </w:pPr>
      <w:r>
        <w:rPr/>
        <w:t>美银以融资价值和净现金解释折价有参考意义，本章仍核边界：满额投后价包括融资新钱，母公司权益含激励假设，现金六月时点未必包含后续到账，且大资金有借款与票据义务。外部融资可能提供资源，也带来赎回和归属条件。机构评价可以支持市场预期修复，但本研究不能因此省略所有风险或在经营</w:t>
      </w:r>
      <w:r>
        <w:rPr/>
        <w:t>EPS</w:t>
      </w:r>
      <w:r>
        <w:rPr/>
        <w:t>后加全融资价值。缺少原始模型无法核两类现金是否重复，独立桥保持清晰，并把新闻与主源条件差异列入限制。</w:t>
      </w:r>
    </w:p>
    <w:p>
      <w:pPr>
        <w:pStyle w:val="Normal"/>
        <w:rPr/>
      </w:pPr>
      <w:r>
        <w:rPr/>
        <w:t>年底默认权重得四十五点三四港元、期望涨幅五十点六三；悲观四十、基准五十、乐观十的防御权重得三十五点六一七、约十八点三三；积极权重得五十五点零六三、约八十二点九三。这些不是经验概率或统计置信区间，正期望也不保证投资者能承受深回撤。悲观低于现价约一半，年底仍可能受业绩、融资、版本与市场风险影响越界。短剩余期限不允许将长期收入当今年实际，价格的变化来自预期重新定价。</w:t>
      </w:r>
    </w:p>
    <w:p>
      <w:pPr>
        <w:pStyle w:val="Normal"/>
        <w:rPr/>
      </w:pPr>
      <w:r>
        <w:rPr/>
        <w:t>一年基准</w:t>
      </w:r>
      <w:r>
        <w:rPr/>
        <w:t>EPS</w:t>
      </w:r>
      <w:r>
        <w:rPr/>
        <w:t>二点九一八，</w:t>
      </w:r>
      <w:r>
        <w:rPr/>
        <w:t>PE</w:t>
      </w:r>
      <w:r>
        <w:rPr/>
        <w:t>十六、十九、二十二倍、汇率一点一时约五十一点三六、六十点九九、七十点六二港元，仅倍数变化就影响近十港元。广告收入八百四十亿元，贡献率每增一点个百分点税后约六点七二亿元，按四十三点四亿股和十九倍相当目标约三点二四港元，若共享费同时增加则会抵消。可灵收入与独立研发的敏感性也应同时检验，不能只调销量不调推理与研发，乐观必须有经营效率证据。</w:t>
      </w:r>
    </w:p>
    <w:p>
      <w:pPr>
        <w:pStyle w:val="Normal"/>
        <w:rPr/>
      </w:pPr>
      <w:r>
        <w:rPr/>
        <w:t>人民币转港币一点一为研究假设，改一点零或一点二，一年基准约五十五点四四或六十六点五三港元。人民币投资者另考虑港币兑人民币五个百分点变化，基准股价回报百分之一百零二点六二，港币贬五个百分点时约九十二点四九，升五个百分点约一百一十二点七六。它是投资者回报币值变化，不能和公司汇兑或经营币种重复。已付末期股息不计，未来股息研究假设单列，实际到手还受税与支付日币值影响，表中本币总回报不是税后承诺。</w:t>
      </w:r>
    </w:p>
    <w:p>
      <w:pPr>
        <w:pStyle w:val="Heading2"/>
        <w:rPr/>
      </w:pPr>
      <w:r>
        <w:rPr>
          <w:color w:val="000000"/>
        </w:rPr>
        <w:t>十四 评分 数据可信度与更新</w:t>
      </w:r>
    </w:p>
    <w:p>
      <w:pPr>
        <w:pStyle w:val="Normal"/>
        <w:rPr/>
      </w:pPr>
      <w:r>
        <w:rPr/>
        <w:t>半年六维分数依次三点三、二点一、二点九、三点四、三点八、二点六，按指定权重得五十七点四。低价与预期恢复支持估值分，放量一日但弱均线限制技术，核心放缓与</w:t>
      </w:r>
      <w:r>
        <w:rPr/>
        <w:t>AI</w:t>
      </w:r>
      <w:r>
        <w:rPr/>
        <w:t>资金压力限制经营和风险。行业机会和版本催化較高，仍不能视确定兑现。一年三点八、二点一、三点一、三点七、三点八、二点六，得六十四点七。评分是证据比较，目标涨幅很大不能抵消低可信输入，也不是六十四点七个百分点盈利概率。</w:t>
      </w:r>
    </w:p>
    <w:p>
      <w:pPr>
        <w:pStyle w:val="Normal"/>
        <w:rPr/>
      </w:pPr>
      <w:r>
        <w:rPr/>
        <w:t>三年四点一、二点一、三点六、四点零、三点七、二点五，得七十二点五；五年四点一、二点一、三点八、四点一、三点五、二点三，得七十三点六。长期技术权重零，经营增加权重，风险分保留资本、赎回和技术竞争的不确定性。与其他公司差不足三分应同梯队，名次由总表按基准含息和悲观损失进一步比较。技术分不会因为长期目标高而反向提高，行业与企业成功证据也不能混同，以保持跨名单标准一致。</w:t>
      </w:r>
    </w:p>
    <w:p>
      <w:pPr>
        <w:pStyle w:val="Normal"/>
        <w:rPr/>
      </w:pPr>
      <w:r>
        <w:rPr/>
        <w:t>主源财报与月报、双源价格可信较高，可灵独立贡献利润、自由现金、融资最终完成和未来归属为中至低，综合为中。</w:t>
      </w:r>
      <w:r>
        <w:rPr/>
        <w:t>PDF</w:t>
      </w:r>
      <w:r>
        <w:rPr/>
        <w:t>英文正文提取存在亚洲字库提示，英语财务行可读且官网新闻同数核对，不把缺失中文字体当公司没有披露。公告内嵌目录提供七月交易和九月月报附件，保留网址、提交日与资料期间。未来取到完成公告应补最终款项、持股、可赎回条款和现金归属，不能只将</w:t>
      </w:r>
      <w:r>
        <w:rPr/>
        <w:t>status</w:t>
      </w:r>
      <w:r>
        <w:rPr/>
        <w:t>改完成而不刷新模型。</w:t>
      </w:r>
    </w:p>
    <w:p>
      <w:pPr>
        <w:pStyle w:val="Normal"/>
        <w:rPr/>
      </w:pPr>
      <w:r>
        <w:rPr/>
        <w:t>活动模型顺序计算悲观、基准、乐观，保存</w:t>
      </w:r>
      <w:r>
        <w:rPr/>
        <w:t>EPS</w:t>
      </w:r>
      <w:r>
        <w:rPr/>
        <w:t>、价格、含息、年化与年底权重快照，任何输入改动都标待刷新。总表、独立章與</w:t>
      </w:r>
      <w:r>
        <w:rPr/>
        <w:t>Word/PDF</w:t>
      </w:r>
      <w:r>
        <w:rPr/>
        <w:t>以同版本生成，不允许正文继续使用旧目标。下一版最有价值的证据是核心正常现金、可灵付费与推理成本、资本使用率、独立研发和融资完成权益，其次才是更多技术指标。保持缺失字段和可推翻条件，有助于判断是否应该持有、等待或退出，而不是给出看似完整但无法复算的高目标。</w:t>
      </w:r>
    </w:p>
    <w:p>
      <w:pPr>
        <w:pStyle w:val="Heading2"/>
        <w:rPr/>
      </w:pPr>
      <w:r>
        <w:rPr>
          <w:color w:val="000000"/>
        </w:rPr>
        <w:t>来源与模型附件</w:t>
      </w:r>
    </w:p>
    <w:p>
      <w:pPr>
        <w:pStyle w:val="Normal"/>
        <w:rPr/>
      </w:pPr>
      <w:r>
        <w:rPr/>
        <w:t>- KUA-Q226</w:t>
      </w:r>
      <w:r>
        <w:rPr/>
        <w:t>：</w:t>
      </w:r>
      <w:r>
        <w:rPr/>
        <w:t>[2026</w:t>
      </w:r>
      <w:r>
        <w:rPr/>
        <w:t>第二季度与半年结果原件</w:t>
      </w:r>
      <w:r>
        <w:rPr/>
        <w:t>](https://ir.kuaishou.com/static-files/3dd8a357-fa7b-4388-b023-f1105b05e4de)</w:t>
      </w:r>
      <w:r>
        <w:rPr/>
        <w:t>，</w:t>
      </w:r>
      <w:r>
        <w:rPr/>
        <w:t>2026</w:t>
      </w:r>
      <w:r>
        <w:rPr/>
        <w:t>年</w:t>
      </w:r>
      <w:r>
        <w:rPr/>
        <w:t>8</w:t>
      </w:r>
      <w:r>
        <w:rPr/>
        <w:t>月</w:t>
      </w:r>
      <w:r>
        <w:rPr/>
        <w:t>19</w:t>
      </w:r>
      <w:r>
        <w:rPr/>
        <w:t>日香港收盘后；</w:t>
      </w:r>
      <w:r>
        <w:rPr/>
        <w:t>[</w:t>
      </w:r>
      <w:r>
        <w:rPr/>
        <w:t>同日官网首发</w:t>
      </w:r>
      <w:r>
        <w:rPr/>
        <w:t>](https://ir.kuaishou.com/news-releases/news-release-details/kuaishou-technology-announces-second-quarter-and-interim-2026)</w:t>
      </w:r>
      <w:r>
        <w:rPr/>
        <w:t>。</w:t>
      </w:r>
    </w:p>
    <w:p>
      <w:pPr>
        <w:pStyle w:val="Normal"/>
        <w:rPr/>
      </w:pPr>
      <w:r>
        <w:rPr/>
        <w:t>- KUA-A25</w:t>
      </w:r>
      <w:r>
        <w:rPr/>
        <w:t>：</w:t>
      </w:r>
      <w:r>
        <w:rPr/>
        <w:t>[2025</w:t>
      </w:r>
      <w:r>
        <w:rPr/>
        <w:t>年报</w:t>
      </w:r>
      <w:r>
        <w:rPr/>
        <w:t>](https://ir.kuaishou.com/system/files-encrypted/nasdaq_kms/assets/2026/04/24/18-14-04/Eng%20Annual%20report%202025.pdf)</w:t>
      </w:r>
      <w:r>
        <w:rPr/>
        <w:t>，结果与董事会</w:t>
      </w:r>
      <w:r>
        <w:rPr/>
        <w:t>2026</w:t>
      </w:r>
      <w:r>
        <w:rPr/>
        <w:t>年</w:t>
      </w:r>
      <w:r>
        <w:rPr/>
        <w:t>3</w:t>
      </w:r>
      <w:r>
        <w:rPr/>
        <w:t>月</w:t>
      </w:r>
      <w:r>
        <w:rPr/>
        <w:t>25</w:t>
      </w:r>
      <w:r>
        <w:rPr/>
        <w:t>日，年报交易所</w:t>
      </w:r>
      <w:r>
        <w:rPr/>
        <w:t>4</w:t>
      </w:r>
      <w:r>
        <w:rPr/>
        <w:t>月</w:t>
      </w:r>
      <w:r>
        <w:rPr/>
        <w:t>24</w:t>
      </w:r>
      <w:r>
        <w:rPr/>
        <w:t>日，官网文件</w:t>
      </w:r>
      <w:r>
        <w:rPr/>
        <w:t>18:14</w:t>
      </w:r>
      <w:r>
        <w:rPr/>
        <w:t>。</w:t>
      </w:r>
    </w:p>
    <w:p>
      <w:pPr>
        <w:pStyle w:val="Normal"/>
        <w:rPr/>
      </w:pPr>
      <w:r>
        <w:rPr/>
        <w:t>- KUA-H126</w:t>
      </w:r>
      <w:r>
        <w:rPr/>
        <w:t>：</w:t>
      </w:r>
      <w:r>
        <w:rPr/>
        <w:t>[2026</w:t>
      </w:r>
      <w:r>
        <w:rPr/>
        <w:t>中报</w:t>
      </w:r>
      <w:r>
        <w:rPr/>
        <w:t>](https://ir.kuaishou.com/system/files-encrypted/nasdaq_kms/assets/2026/09/08/10-47-47/Interim%202026.pdf)</w:t>
      </w:r>
      <w:r>
        <w:rPr/>
        <w:t>，交易所</w:t>
      </w:r>
      <w:r>
        <w:rPr/>
        <w:t>9</w:t>
      </w:r>
      <w:r>
        <w:rPr/>
        <w:t>月</w:t>
      </w:r>
      <w:r>
        <w:rPr/>
        <w:t>3</w:t>
      </w:r>
      <w:r>
        <w:rPr/>
        <w:t>日，官网</w:t>
      </w:r>
      <w:r>
        <w:rPr/>
        <w:t>9</w:t>
      </w:r>
      <w:r>
        <w:rPr/>
        <w:t>月</w:t>
      </w:r>
      <w:r>
        <w:rPr/>
        <w:t>8</w:t>
      </w:r>
      <w:r>
        <w:rPr/>
        <w:t>日文件。</w:t>
      </w:r>
    </w:p>
    <w:p>
      <w:pPr>
        <w:pStyle w:val="Normal"/>
        <w:rPr/>
      </w:pPr>
      <w:r>
        <w:rPr/>
        <w:t>- KUA-P226</w:t>
      </w:r>
      <w:r>
        <w:rPr/>
        <w:t>：</w:t>
      </w:r>
      <w:r>
        <w:rPr/>
        <w:t>[</w:t>
      </w:r>
      <w:r>
        <w:rPr/>
        <w:t>季度演示</w:t>
      </w:r>
      <w:r>
        <w:rPr/>
        <w:t>](https://ir.kuaishou.com/system/files-encrypted/nasdaq_kms/assets/2026/09/09/19-36-43/2Q26%20MP_EN_0904%28Final%29.pdf)</w:t>
      </w:r>
      <w:r>
        <w:rPr/>
        <w:t>，演示</w:t>
      </w:r>
      <w:r>
        <w:rPr/>
        <w:t>2026</w:t>
      </w:r>
      <w:r>
        <w:rPr/>
        <w:t>年</w:t>
      </w:r>
      <w:r>
        <w:rPr/>
        <w:t>8</w:t>
      </w:r>
      <w:r>
        <w:rPr/>
        <w:t>月，官网</w:t>
      </w:r>
      <w:r>
        <w:rPr/>
        <w:t>9</w:t>
      </w:r>
      <w:r>
        <w:rPr/>
        <w:t>月</w:t>
      </w:r>
      <w:r>
        <w:rPr/>
        <w:t>9</w:t>
      </w:r>
      <w:r>
        <w:rPr/>
        <w:t>日文件，收入图有超过标记。</w:t>
      </w:r>
    </w:p>
    <w:p>
      <w:pPr>
        <w:pStyle w:val="Normal"/>
        <w:rPr/>
      </w:pPr>
      <w:r>
        <w:rPr/>
        <w:t>- KUA-KLING</w:t>
      </w:r>
      <w:r>
        <w:rPr/>
        <w:t>：</w:t>
      </w:r>
      <w:r>
        <w:rPr/>
        <w:t>[7</w:t>
      </w:r>
      <w:r>
        <w:rPr/>
        <w:t>月</w:t>
      </w:r>
      <w:r>
        <w:rPr/>
        <w:t>2</w:t>
      </w:r>
      <w:r>
        <w:rPr/>
        <w:t>日可灵融资、激励、赎回与重组公告</w:t>
      </w:r>
      <w:r>
        <w:rPr/>
        <w:t>](https://ea-cdn.eurolandir.com/press-releases-attachments/4150664/HKEX-EPS_20260702_12230299_0.PDF)</w:t>
      </w:r>
      <w:r>
        <w:rPr/>
        <w:t>，官网公告目录内嵌发行人附件，收盘后。</w:t>
      </w:r>
    </w:p>
    <w:p>
      <w:pPr>
        <w:pStyle w:val="Normal"/>
        <w:rPr/>
      </w:pPr>
      <w:r>
        <w:rPr/>
        <w:t>- KUA-SHARES</w:t>
      </w:r>
      <w:r>
        <w:rPr/>
        <w:t>：</w:t>
      </w:r>
      <w:r>
        <w:rPr/>
        <w:t>[9</w:t>
      </w:r>
      <w:r>
        <w:rPr/>
        <w:t>月月报</w:t>
      </w:r>
      <w:r>
        <w:rPr/>
        <w:t>](https://ea-cdn.eurolandir.com/press-releases-attachments/4192236/HKEX-EPS_20261007_12365118_0.PDF)</w:t>
      </w:r>
      <w:r>
        <w:rPr/>
        <w:t>，</w:t>
      </w:r>
      <w:r>
        <w:rPr/>
        <w:t>2026</w:t>
      </w:r>
      <w:r>
        <w:rPr/>
        <w:t>年</w:t>
      </w:r>
      <w:r>
        <w:rPr/>
        <w:t>10</w:t>
      </w:r>
      <w:r>
        <w:rPr/>
        <w:t>月</w:t>
      </w:r>
      <w:r>
        <w:rPr/>
        <w:t>7</w:t>
      </w:r>
      <w:r>
        <w:rPr/>
        <w:t>日提交，截至</w:t>
      </w:r>
      <w:r>
        <w:rPr/>
        <w:t>9</w:t>
      </w:r>
      <w:r>
        <w:rPr/>
        <w:t>月</w:t>
      </w:r>
      <w:r>
        <w:rPr/>
        <w:t>30</w:t>
      </w:r>
      <w:r>
        <w:rPr/>
        <w:t>日。</w:t>
      </w:r>
    </w:p>
    <w:p>
      <w:pPr>
        <w:pStyle w:val="Normal"/>
        <w:rPr/>
      </w:pPr>
      <w:r>
        <w:rPr/>
        <w:t xml:space="preserve">- </w:t>
      </w:r>
      <w:r>
        <w:rPr/>
        <w:t>机构：</w:t>
      </w:r>
      <w:r>
        <w:rPr/>
        <w:t>[</w:t>
      </w:r>
      <w:r>
        <w:rPr/>
        <w:t>花旗</w:t>
      </w:r>
      <w:r>
        <w:rPr/>
        <w:t>9</w:t>
      </w:r>
      <w:r>
        <w:rPr/>
        <w:t>月</w:t>
      </w:r>
      <w:r>
        <w:rPr/>
        <w:t>29</w:t>
      </w:r>
      <w:r>
        <w:rPr/>
        <w:t>日</w:t>
      </w:r>
      <w:r>
        <w:rPr/>
        <w:t>](https://www.aastocks.com/sc/stocks/analysis/stock-aafn-con/01024/AAFN/NOW.1546870/research-report)</w:t>
      </w:r>
      <w:r>
        <w:rPr/>
        <w:t>、</w:t>
      </w:r>
      <w:r>
        <w:rPr/>
        <w:t>[</w:t>
      </w:r>
      <w:r>
        <w:rPr/>
        <w:t>美银</w:t>
      </w:r>
      <w:r>
        <w:rPr/>
        <w:t>9</w:t>
      </w:r>
      <w:r>
        <w:rPr/>
        <w:t>月</w:t>
      </w:r>
      <w:r>
        <w:rPr/>
        <w:t>2</w:t>
      </w:r>
      <w:r>
        <w:rPr/>
        <w:t>日</w:t>
      </w:r>
      <w:r>
        <w:rPr/>
        <w:t>](https://www.aastocks.com/sc/stocks/analysis/stock-aafn-con/01024/AAFN/NOW.1542587/research-report)</w:t>
      </w:r>
      <w:r>
        <w:rPr/>
        <w:t>、</w:t>
      </w:r>
      <w:r>
        <w:rPr/>
        <w:t>[</w:t>
      </w:r>
      <w:r>
        <w:rPr/>
        <w:t>野村</w:t>
      </w:r>
      <w:r>
        <w:rPr/>
        <w:t>](https://www.aastocks.com/sc/stocks/analysis/stock-aafn-con/01024/AAFN/NOW.1539847/research-report)</w:t>
      </w:r>
      <w:r>
        <w:rPr/>
        <w:t>、</w:t>
      </w:r>
      <w:r>
        <w:rPr/>
        <w:t>[</w:t>
      </w:r>
      <w:r>
        <w:rPr/>
        <w:t>高盛</w:t>
      </w:r>
      <w:r>
        <w:rPr/>
        <w:t>](https://www.aastocks.com/sc/stocks/analysis/stock-aafn-con/01024/AAFN/NOW.1539826/research-report)</w:t>
      </w:r>
      <w:r>
        <w:rPr/>
        <w:t>、</w:t>
      </w:r>
      <w:r>
        <w:rPr/>
        <w:t>[</w:t>
      </w:r>
      <w:r>
        <w:rPr/>
        <w:t>汇丰</w:t>
      </w:r>
      <w:r>
        <w:rPr/>
        <w:t>](https://www.aastocks.com/sc/stocks/analysis/stock-aafn-con/01024/AAFN/NOW.1539820/research-report)</w:t>
      </w:r>
      <w:r>
        <w:rPr/>
        <w:t>，新闻转述，原始报告与明确期限缺失。</w:t>
      </w:r>
    </w:p>
    <w:p>
      <w:pPr>
        <w:pStyle w:val="Normal"/>
        <w:rPr/>
      </w:pPr>
      <w:r>
        <w:rPr/>
        <w:t xml:space="preserve">- </w:t>
      </w:r>
      <w:r>
        <w:rPr/>
        <w:t>行情锁</w:t>
      </w:r>
      <w:r>
        <w:rPr/>
        <w:t>data/market_snapshot_locked.json</w:t>
      </w:r>
      <w:r>
        <w:rPr/>
        <w:t>，日线</w:t>
      </w:r>
      <w:r>
        <w:rPr/>
        <w:t>data/history/S091.json</w:t>
      </w:r>
      <w:r>
        <w:rPr/>
        <w:t>；复权、股息及双源校验由市场数据组登记。独立活动模型</w:t>
      </w:r>
      <w:r>
        <w:rPr/>
        <w:t>data/kuaishou_model.json</w:t>
      </w:r>
      <w:r>
        <w:rPr/>
        <w:t>保存十五种情景与输入来源，</w:t>
      </w:r>
      <w:r>
        <w:rPr/>
        <w:t>qa/kuaishou_qa.json</w:t>
      </w:r>
      <w:r>
        <w:rPr/>
        <w:t>核验正文与算术。</w:t>
      </w:r>
      <w:r>
        <w:br w:type="page"/>
      </w:r>
    </w:p>
    <w:p>
      <w:pPr>
        <w:pStyle w:val="Heading1"/>
        <w:rPr/>
      </w:pPr>
      <w:bookmarkStart w:id="2" w:name="__RefHeading___Toc47871_312338234"/>
      <w:bookmarkEnd w:id="2"/>
      <w:r>
        <w:rPr>
          <w:color w:val="000000"/>
        </w:rPr>
        <w:t xml:space="preserve">同程旅行 </w:t>
      </w:r>
      <w:r>
        <w:rPr>
          <w:color w:val="000000"/>
        </w:rPr>
        <w:t>00780 HK</w:t>
      </w:r>
    </w:p>
    <w:p>
      <w:pPr>
        <w:pStyle w:val="Normal"/>
        <w:rPr/>
      </w:pPr>
      <w:r>
        <w:rPr/>
        <w:t xml:space="preserve">00780.HK </w:t>
      </w:r>
      <w:r>
        <w:rPr/>
        <w:t xml:space="preserve">现价 </w:t>
      </w:r>
      <w:r>
        <w:rPr/>
        <w:t>10.04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+99.20%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23.04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+129.48%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+132.07%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29.92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+198.01%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+212.75%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+233.67%</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-53.49%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17.01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+69.42%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+213.15%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17.53HKD</w:t>
      </w:r>
      <w:r>
        <w:rPr/>
        <w:t>，期望股价回报</w:t>
      </w:r>
      <w:r>
        <w:rPr/>
        <w:t>+74.63%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2.66</w:t>
              <w:br/>
              <w:t>-73.51%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20.00</w:t>
              <w:br/>
              <w:t>+99.20%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39.41</w:t>
              <w:br/>
              <w:t>+292.53%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0.86</w:t>
              <w:br/>
              <w:t>-91.43%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23.04</w:t>
              <w:br/>
              <w:t>+129.48%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44.69</w:t>
              <w:br/>
              <w:t>+345.12%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29.92</w:t>
              <w:br/>
              <w:t>+198.01%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65.85</w:t>
              <w:br/>
              <w:t>+555.88%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+45.49%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31.40</w:t>
              <w:br/>
              <w:t>+212.75%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82.67</w:t>
              <w:br/>
              <w:t>+723.41%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+27.25%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+89.24%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+109.16%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+120.47%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+143.68%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+192.57%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+223.37%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+233.67%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+250.35%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I086</w:t>
      </w:r>
      <w:r>
        <w:rPr/>
        <w:t xml:space="preserve">；证券 </w:t>
      </w:r>
      <w:r>
        <w:rPr/>
        <w:t>S097</w:t>
      </w:r>
      <w:r>
        <w:rPr/>
        <w:t>。行情基准为</w:t>
      </w:r>
      <w:r>
        <w:rPr/>
        <w:t>2026</w:t>
      </w:r>
      <w:r>
        <w:rPr/>
        <w:t>年</w:t>
      </w:r>
      <w:r>
        <w:rPr/>
        <w:t>10</w:t>
      </w:r>
      <w:r>
        <w:rPr/>
        <w:t>月</w:t>
      </w:r>
      <w:r>
        <w:rPr/>
        <w:t>9</w:t>
      </w:r>
      <w:r>
        <w:rPr/>
        <w:t>日港股收盘</w:t>
      </w:r>
      <w:r>
        <w:rPr/>
        <w:t>10.04</w:t>
      </w:r>
      <w:r>
        <w:rPr/>
        <w:t>港元，财务及事件资料截止同日。价格、均线、成交量与相对强弱均采用已锁定的行情版本。本章为公司专属模型及正文初版，最终全名单推荐名次以汇总版本为准，不能把本章得分直接解释为全市场名次或获利概率。</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项目</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半年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五年长期</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目标时点</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2027-10-07</w:t>
            </w:r>
            <w:r>
              <w:rPr>
                <w:rFonts w:ascii="微软雅黑" w:hAnsi="微软雅黑" w:eastAsia="微软雅黑"/>
                <w:sz w:val="17"/>
              </w:rPr>
              <w:t>（名义</w:t>
            </w:r>
            <w:r>
              <w:rPr>
                <w:rFonts w:eastAsia="微软雅黑" w:ascii="微软雅黑" w:hAnsi="微软雅黑"/>
                <w:sz w:val="17"/>
              </w:rPr>
              <w:t>2027-10-09</w:t>
            </w:r>
            <w:r>
              <w:rPr>
                <w:rFonts w:ascii="微软雅黑" w:hAnsi="微软雅黑" w:eastAsia="微软雅黑"/>
                <w:sz w:val="17"/>
              </w:rPr>
              <w:t>）</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2031-10-09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w:t>
            </w:r>
            <w:r>
              <w:rPr>
                <w:rFonts w:ascii="微软雅黑" w:hAnsi="微软雅黑" w:eastAsia="微软雅黑"/>
                <w:sz w:val="17"/>
              </w:rPr>
              <w:t>分制得分</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72.1</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r>
              <w:rPr>
                <w:rFonts w:eastAsia="微软雅黑" w:ascii="微软雅黑" w:hAnsi="微软雅黑"/>
                <w:sz w:val="17"/>
              </w:rPr>
              <w:t>/</w:t>
            </w:r>
            <w:r>
              <w:rPr>
                <w:rFonts w:ascii="微软雅黑" w:hAnsi="微软雅黑" w:eastAsia="微软雅黑"/>
                <w:sz w:val="17"/>
              </w:rPr>
              <w:t>基准</w:t>
            </w:r>
            <w:r>
              <w:rPr>
                <w:rFonts w:eastAsia="微软雅黑" w:ascii="微软雅黑" w:hAnsi="微软雅黑"/>
                <w:sz w:val="17"/>
              </w:rPr>
              <w:t>/</w:t>
            </w:r>
            <w:r>
              <w:rPr>
                <w:rFonts w:ascii="微软雅黑" w:hAnsi="微软雅黑" w:eastAsia="微软雅黑"/>
                <w:sz w:val="17"/>
              </w:rPr>
              <w:t>乐观目标价，港元</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2.66/20.00/39.41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0.86/23.04/44.69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0/29.92/65.85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0/31.40/82.67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基准股价回报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99.20%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129.48%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198.01%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212.75%</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基准累计现金股息，港元</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基准含息总回报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99.20%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132.07%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207.97%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233.67%</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基准含息年化</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不适用</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45.49%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27.25%</w:t>
            </w:r>
          </w:p>
        </w:tc>
      </w:tr>
    </w:tbl>
    <w:p>
      <w:pPr>
        <w:pStyle w:val="Normal"/>
        <w:rPr/>
      </w:pPr>
      <w:r>
        <w:rPr/>
      </w:r>
    </w:p>
    <w:p>
      <w:pPr>
        <w:pStyle w:val="Normal"/>
        <w:rPr/>
      </w:pPr>
      <w:r>
        <w:rPr/>
        <w:t>结论：进取型框架下，同程的一至三年吸引力高于半年。现价相对于完整费用正常盈利模型较低，但日周趋势均未修复，市场可能正在反映交通业务增长放缓、付费用户下降和并购资本配置风险。主要判断条件为住宿及其他</w:t>
      </w:r>
      <w:r>
        <w:rPr/>
        <w:t>OTA</w:t>
      </w:r>
      <w:r>
        <w:rPr/>
        <w:t>贡献持续增长、交通收入企稳、营销费用与服务开发投入带来可验证回报、嘀嗒整合没有持续吞噬现金。主要风险为平台流量规则、消费与燃油费用、客户资金占用、交通变现竞争、收购及商誉、少数权益和估值倍数收缩。证据可信度为中，实时自由流通股换手和嘀嗒正式收购日现金等信息缺失。</w:t>
      </w:r>
    </w:p>
    <w:p>
      <w:pPr>
        <w:pStyle w:val="Heading2"/>
        <w:rPr/>
      </w:pPr>
      <w:r>
        <w:rPr>
          <w:color w:val="000000"/>
        </w:rPr>
        <w:t>一 业务身份与当前投资矛盾</w:t>
      </w:r>
    </w:p>
    <w:p>
      <w:pPr>
        <w:pStyle w:val="Normal"/>
        <w:rPr/>
      </w:pPr>
      <w:r>
        <w:rPr/>
        <w:t>同程旅行首先是一家旅行服务交易平台，同时已经通过收购、酒店管理和旅游产品经营扩大边界。将它只理解为微信里的低价机票入口，会漏掉住宿、酒店供给管理及其他线上服务；将它理解为直接拥有所有酒店资产的经营商，又会误判资产强度和现金需求。投资价值来自交易规模、服务变现、供给覆盖和获客效率的结合，不能仅凭用户人数或者旅游复苏的宏观叙述决定估值。</w:t>
      </w:r>
    </w:p>
    <w:p>
      <w:pPr>
        <w:pStyle w:val="Normal"/>
        <w:rPr/>
      </w:pPr>
      <w:r>
        <w:rPr/>
        <w:t>本研究把公司业务拆成住宿预订、交通票务、其他</w:t>
      </w:r>
      <w:r>
        <w:rPr/>
        <w:t>OTA</w:t>
      </w:r>
      <w:r>
        <w:rPr/>
        <w:t>以及旅游业务，嘀嗒则在收购后按可归属比例单独建模。这样做的目的，是让投资者看到收入增长由哪一类业务贡献、哪些收入具有较高毛利、哪些扩张需要额外固定费用。一个住宿佣金增长与一个低毛利旅游产品增长，对收入总数都可能有帮助，对每股盈利的意义却明显不同。</w:t>
      </w:r>
    </w:p>
    <w:p>
      <w:pPr>
        <w:pStyle w:val="Normal"/>
        <w:rPr/>
      </w:pPr>
      <w:r>
        <w:rPr/>
        <w:t>现价</w:t>
      </w:r>
      <w:r>
        <w:rPr/>
        <w:t>10.04</w:t>
      </w:r>
      <w:r>
        <w:rPr/>
        <w:t>港元处于锁定日各条主要日均线下方，与本章基准盈利估值之间形成较大差距。这种差距不能自动证明市场错误。财务报表展示的是过去半年的经营结果，股票反映的是未来竞争、资本投入和盈利质量的预期；市场也可能给予微信依赖、平台议价变化或收购整合以更大的折价。因此，低估值判断需要未来财务兑现支持，技术企稳则需要真实价格和成交量确认。</w:t>
      </w:r>
    </w:p>
    <w:p>
      <w:pPr>
        <w:pStyle w:val="Normal"/>
        <w:rPr/>
      </w:pPr>
      <w:r>
        <w:rPr/>
        <w:t>公司</w:t>
      </w:r>
      <w:r>
        <w:rPr/>
        <w:t>2025</w:t>
      </w:r>
      <w:r>
        <w:rPr/>
        <w:t>年收入</w:t>
      </w:r>
      <w:r>
        <w:rPr/>
        <w:t>193.95959</w:t>
      </w:r>
      <w:r>
        <w:rPr/>
        <w:t>亿元，</w:t>
      </w:r>
      <w:r>
        <w:rPr/>
        <w:t>2026</w:t>
      </w:r>
      <w:r>
        <w:rPr/>
        <w:t>年上半年收入</w:t>
      </w:r>
      <w:r>
        <w:rPr/>
        <w:t>99.92819</w:t>
      </w:r>
      <w:r>
        <w:rPr/>
        <w:t>亿元，两组数据表明业务已经具有相当规模。但规模与竞争优势不能画等号，交通票务较容易被比价，游客可以切换多个平台，酒店也可能同时使用多种分销渠道。相较传统品牌消费品，同程的护城河更依赖服务稳定、场景入口、供给连接和运营数据持续积累，而不是消费者对单一标识的绝对忠诚。</w:t>
      </w:r>
    </w:p>
    <w:p>
      <w:pPr>
        <w:pStyle w:val="Normal"/>
        <w:rPr/>
      </w:pPr>
      <w:r>
        <w:rPr/>
        <w:t>公司的用户结构提供了一种差异化。中报披露约</w:t>
      </w:r>
      <w:r>
        <w:rPr/>
        <w:t>87%</w:t>
      </w:r>
      <w:r>
        <w:rPr/>
        <w:t>的注册用户位于非一线城市，这为大众旅行渗透、周边游和价格敏感客群留下空间。与此同时，该结构也意味着平均消费能力、航空与高星酒店需求弹性可能与高端出境客群不同。用全国高收入群体的消费增长率直接推演同程全部用户，或者把较低客单价理解为没有增长潜力，都不够准确。</w:t>
      </w:r>
    </w:p>
    <w:p>
      <w:pPr>
        <w:pStyle w:val="Normal"/>
        <w:rPr/>
      </w:pPr>
      <w:r>
        <w:rPr/>
        <w:t>微信是公司的重要入口，具有场景便利、低使用门槛和较广覆盖的价值。它也构成经营上的依赖，入口展示、搜索规则、支付生态和平台合作条款若发生变化，获客成本和自然流量都会受到影响。腾讯相关生态的支持可增强交易便利，不能据此认为流量永远免费、入口永远排他或者竞争平台无法争取同一批旅客。</w:t>
      </w:r>
    </w:p>
    <w:p>
      <w:pPr>
        <w:pStyle w:val="Normal"/>
        <w:rPr/>
      </w:pPr>
      <w:r>
        <w:rPr/>
        <w:t>本章采用进取型标准，愿意在价格明显低于可解释经营价值时承受波动，但不会忽略推荐的失效路径。同程的半年得分偏低，主要来自技术与相对强弱，而不是简单否认经营质量；三年得分提高，主要来自平台复购、酒店服务和产品交叉销售的可能性。长期得分未持续上升，是因为业务边界扩大后，资本配置和平台规则风险需要给予更高权重。</w:t>
      </w:r>
    </w:p>
    <w:p>
      <w:pPr>
        <w:pStyle w:val="Normal"/>
        <w:rPr/>
      </w:pPr>
      <w:r>
        <w:rPr/>
        <w:t>投资者应把同程理解为有现金创造能力、同时面临流量和服务竞争的平台企业。它与早期亏损</w:t>
      </w:r>
      <w:r>
        <w:rPr/>
        <w:t>AI</w:t>
      </w:r>
      <w:r>
        <w:rPr/>
        <w:t>公司、临床阶段创新药以及纯硬件周期公司使用不同估值方法。这里的目标价由业务收入、毛利、全部经营费用、税、少数权益、可分配现金约束和股数共同产生，既没有借用药物成功率，也没有把所有技术故事转化为额外估值溢价。</w:t>
      </w:r>
    </w:p>
    <w:p>
      <w:pPr>
        <w:pStyle w:val="Heading2"/>
        <w:rPr/>
      </w:pPr>
      <w:r>
        <w:rPr>
          <w:color w:val="000000"/>
        </w:rPr>
        <w:t>二 收入结构 商业模式与竞争位置</w:t>
      </w:r>
    </w:p>
    <w:p>
      <w:pPr>
        <w:pStyle w:val="Normal"/>
        <w:rPr/>
      </w:pPr>
      <w:r>
        <w:rPr/>
        <w:t>2026</w:t>
      </w:r>
      <w:r>
        <w:rPr/>
        <w:t>年上半年住宿预订收入</w:t>
      </w:r>
      <w:r>
        <w:rPr/>
        <w:t>28.45115</w:t>
      </w:r>
      <w:r>
        <w:rPr/>
        <w:t>亿元，交通票务</w:t>
      </w:r>
      <w:r>
        <w:rPr/>
        <w:t>39.62228</w:t>
      </w:r>
      <w:r>
        <w:rPr/>
        <w:t>亿元，其他</w:t>
      </w:r>
      <w:r>
        <w:rPr/>
        <w:t>OTA19.86790</w:t>
      </w:r>
      <w:r>
        <w:rPr/>
        <w:t>亿元，旅游业务</w:t>
      </w:r>
      <w:r>
        <w:rPr/>
        <w:t>11.98686</w:t>
      </w:r>
      <w:r>
        <w:rPr/>
        <w:t>亿元。前三项合计</w:t>
      </w:r>
      <w:r>
        <w:rPr/>
        <w:t>87.94133</w:t>
      </w:r>
      <w:r>
        <w:rPr/>
        <w:t>亿元，与分部</w:t>
      </w:r>
      <w:r>
        <w:rPr/>
        <w:t>OTA</w:t>
      </w:r>
      <w:r>
        <w:rPr/>
        <w:t>收入一致。交通仍然是规模最大的单项，住宿与其他服务则是改善收入组合的重要来源。判断增长质量，需要分别观察各业务增长、服务费或佣金率以及与之匹配的营销支出。</w:t>
      </w:r>
    </w:p>
    <w:p>
      <w:pPr>
        <w:pStyle w:val="Normal"/>
        <w:rPr/>
      </w:pPr>
      <w:r>
        <w:rPr/>
        <w:t>住宿业务的价值在于将分散酒店供给连接到高频旅行需求，提供搜索、预订、支付、售后和营销能力。房晚数增加并不必然对应佣金收入等比例增长，平均房价、佣金约定、取消退订、优惠承担方式都会影响结果。如果平台通过补贴争取低价订单，交易额可能增加而实际服务收入增速偏低；反过来，供给质量提升和高价值房型占比改善，可以在不明显提高收费率的情况下增厚收入。</w:t>
      </w:r>
    </w:p>
    <w:p>
      <w:pPr>
        <w:pStyle w:val="Normal"/>
        <w:rPr/>
      </w:pPr>
      <w:r>
        <w:rPr/>
        <w:t>交通票务承担流量入口作用，尤其是铁路、机票及相关出行服务。用户可能因票务需求进入平台，再购买住宿或增值服务，这种交叉销售提高了获客支出的回收能力。交通领域也存在较强价格透明度，基础票价更多由铁路、航司和供需决定，平台不能自由提高所有项目的收费。投资模型因而不假设交通业务长期享有无限提高变现率的权力。</w:t>
      </w:r>
    </w:p>
    <w:p>
      <w:pPr>
        <w:pStyle w:val="Normal"/>
        <w:rPr/>
      </w:pPr>
      <w:r>
        <w:rPr/>
        <w:t>其他</w:t>
      </w:r>
      <w:r>
        <w:rPr/>
        <w:t>OTA</w:t>
      </w:r>
      <w:r>
        <w:rPr/>
        <w:t>收入并非可以忽略的杂项，上半年金额接近二十亿元，二季度同比增长</w:t>
      </w:r>
      <w:r>
        <w:rPr/>
        <w:t>35.7%</w:t>
      </w:r>
      <w:r>
        <w:rPr/>
        <w:t>。公司酒店管理等业务扩张提供了部分支持，但不同项目的合同安排、确认方式和服务内容有所区别。研究中把它作为独立收入驱动，同时保留较高的服务开发和行政成本，防止把增长收入全部视作轻资产、无需组织投入的净利润。</w:t>
      </w:r>
    </w:p>
    <w:p>
      <w:pPr>
        <w:pStyle w:val="Normal"/>
        <w:rPr/>
      </w:pPr>
      <w:r>
        <w:rPr/>
        <w:t>旅游业务包含产品采购、组合、渠道与履约，更容易涉及供应商结算、订单波动和较低毛利。</w:t>
      </w:r>
      <w:r>
        <w:rPr/>
        <w:t>2025</w:t>
      </w:r>
      <w:r>
        <w:rPr/>
        <w:t>年旅游分部亏损</w:t>
      </w:r>
      <w:r>
        <w:rPr/>
        <w:t>3.85499</w:t>
      </w:r>
      <w:r>
        <w:rPr/>
        <w:t>亿元，</w:t>
      </w:r>
      <w:r>
        <w:rPr/>
        <w:t>2026</w:t>
      </w:r>
      <w:r>
        <w:rPr/>
        <w:t>年上半年分部经营利润</w:t>
      </w:r>
      <w:r>
        <w:rPr/>
        <w:t>0.12770</w:t>
      </w:r>
      <w:r>
        <w:rPr/>
        <w:t>亿元，说明经营改善已有迹象，却还不能认定形成稳定高利润平台。全年节假日分布、境外产品、天气及退改要求可能改变利润，因此不能将半年的小额盈利机械放大成年化成熟利润。</w:t>
      </w:r>
    </w:p>
    <w:p>
      <w:pPr>
        <w:pStyle w:val="Normal"/>
        <w:rPr/>
      </w:pPr>
      <w:r>
        <w:rPr/>
        <w:t>与携程比较，同程具有大众客群和微信场景优势，但高端酒店、企业差旅、国际旅行覆盖和供应链议价可能存在不同结构。与美团比较，同程旅行场景更明确，美团则在本地服务、高频使用和酒店团购中拥有另一种流量基础。各平台可以同时增长，市场规模扩张不会取消竞争；同程若在住宿服务质量和差异化供给上没有改善，行业增长也可能主要被竞争对手获取。</w:t>
      </w:r>
    </w:p>
    <w:p>
      <w:pPr>
        <w:pStyle w:val="Normal"/>
        <w:rPr/>
      </w:pPr>
      <w:r>
        <w:rPr/>
        <w:t>短视频平台对旅游和酒店的影响，主要表现在内容发现、套餐交易与营销预算重新分配。一位用户可能在视频中产生旅行想法，再到同程完成机票和酒店预订，也可能直接在其他平台购买套餐。对于同程，机会是成为复杂行程的执行平台，风险是承担售后与搜索成本却无法获得前端流量价值。投资者需要观察自然访问、复购和投放回收，而不是只看行业整体线上渗透。</w:t>
      </w:r>
    </w:p>
    <w:p>
      <w:pPr>
        <w:pStyle w:val="Normal"/>
        <w:rPr/>
      </w:pPr>
      <w:r>
        <w:rPr/>
        <w:t>在产品层面，稳定履约、退改处理、客服效率和价格展示透明度构成长期信任基础。旅行消费的纠纷通常发生在用户时间紧、地点远或信息不充分的情况下，单次失误可严重影响复购。提高利润率若依赖减少必要客服、复杂收费或不透明默认选择，短期财报可能改善，长期用户价值和监管成本却会恶化，本章不将这种模式视为可持续护城河。</w:t>
      </w:r>
    </w:p>
    <w:p>
      <w:pPr>
        <w:pStyle w:val="Normal"/>
        <w:rPr/>
      </w:pPr>
      <w:r>
        <w:rPr/>
        <w:t>酒店管理业务的扩张需要进一步区分管理、加盟和资产持有。中报披露在营酒店超过</w:t>
      </w:r>
      <w:r>
        <w:rPr/>
        <w:t>3500</w:t>
      </w:r>
      <w:r>
        <w:rPr/>
        <w:t>家、储备超过</w:t>
      </w:r>
      <w:r>
        <w:rPr/>
        <w:t>2000</w:t>
      </w:r>
      <w:r>
        <w:rPr/>
        <w:t>家，储备数字不是已经开业、已经确认收入或已经盈利的酒店数量。真正有价值的指标是实际开业、单店服务收入、续约、同店表现和组织费用；如果酒店签约增长而开业延迟，账面故事会领先于现金回报。</w:t>
      </w:r>
    </w:p>
    <w:p>
      <w:pPr>
        <w:pStyle w:val="Normal"/>
        <w:rPr/>
      </w:pPr>
      <w:r>
        <w:rPr/>
        <w:t>供给端扩展能够增强用户选择和服务覆盖，也可能造成品牌重叠、管理复杂和加盟商经营压力。对中低价酒店，入住率、人工、租金和地方竞争都会影响业主收益，平台收费不能脱离业主经济能力。长期看，服务体系若帮助酒店提高效率和订单质量，可形成稳定合作；若主要依赖快速签约收取费用，增长质量和持续性需要打折。</w:t>
      </w:r>
    </w:p>
    <w:p>
      <w:pPr>
        <w:pStyle w:val="Heading2"/>
        <w:rPr/>
      </w:pPr>
      <w:r>
        <w:rPr>
          <w:color w:val="000000"/>
        </w:rPr>
        <w:t>三 旅游周期 经济环境与经营敏感性</w:t>
      </w:r>
    </w:p>
    <w:p>
      <w:pPr>
        <w:pStyle w:val="Normal"/>
        <w:rPr/>
      </w:pPr>
      <w:r>
        <w:rPr/>
        <w:t>旅行需求通常与可支配收入、工作稳定感、交通成本和可用假期共同变化。同程的客群相对广泛，国内短途和大众旅行具有一定韧性，但消费者在压力增加时可能降低酒店档次、缩短天数或取消非必要航空出行。因此，需求恢复不能只用出游人次衡量，还要看每人支出、住宿价格、平台实际收入和服务成本之间的关系。</w:t>
      </w:r>
    </w:p>
    <w:p>
      <w:pPr>
        <w:pStyle w:val="Normal"/>
        <w:rPr/>
      </w:pPr>
      <w:r>
        <w:rPr/>
        <w:t>二季度住宿收入增长</w:t>
      </w:r>
      <w:r>
        <w:rPr/>
        <w:t>8%</w:t>
      </w:r>
      <w:r>
        <w:rPr/>
        <w:t>，交通下降</w:t>
      </w:r>
      <w:r>
        <w:rPr/>
        <w:t>2.3%</w:t>
      </w:r>
      <w:r>
        <w:rPr/>
        <w:t>，旅游下降</w:t>
      </w:r>
      <w:r>
        <w:rPr/>
        <w:t>2.9%</w:t>
      </w:r>
      <w:r>
        <w:rPr/>
        <w:t>，其他</w:t>
      </w:r>
      <w:r>
        <w:rPr/>
        <w:t>OTA</w:t>
      </w:r>
      <w:r>
        <w:rPr/>
        <w:t>增长</w:t>
      </w:r>
      <w:r>
        <w:rPr/>
        <w:t>35.7%</w:t>
      </w:r>
      <w:r>
        <w:rPr/>
        <w:t>，提供了一个比“旅游全面复苏”更具体的画面。公司解释交通受较高燃油费用与天气等因素影响。研究将其视作需要持续核验的经营线索，而不是替未来季度预先下结论；如果燃油费用回落但交通收入仍弱，就应重新检查竞争、付费用户和服务变现。</w:t>
      </w:r>
    </w:p>
    <w:p>
      <w:pPr>
        <w:pStyle w:val="Normal"/>
        <w:rPr/>
      </w:pPr>
      <w:r>
        <w:rPr/>
        <w:t>燃油成本通过航空票价、航班供给和旅客选择间接传递。同程并非航司，因此不直接承担全部航空燃油费用，但航空旅行价格上升可能降低机票需求，促使用户选择铁路或缩短行程。不同交通品类的佣金和服务收入差异，使替代需求不能完全抵消原业务影响。模型中交通收入增长保持较为克制，乐观情景也没有假设所有票价上涨都转化为平台利润。</w:t>
      </w:r>
    </w:p>
    <w:p>
      <w:pPr>
        <w:pStyle w:val="Normal"/>
        <w:rPr/>
      </w:pPr>
      <w:r>
        <w:rPr/>
        <w:t>利率对公司有双重影响。较低融资成本可减轻借款压力、支持旅游消费和酒店投资，但也降低现金存款收益；较高利率则提升部分现金收益，压低成长估值并加重借款成本。本章估值剔除财资利息后另加受约束的现金，并从未来现金创造中扣除银行利息，这使利率变化不会同时被计为经营溢价与全额现金加值。</w:t>
      </w:r>
    </w:p>
    <w:p>
      <w:pPr>
        <w:pStyle w:val="Normal"/>
        <w:rPr/>
      </w:pPr>
      <w:r>
        <w:rPr/>
        <w:t>人民币汇率影响出境旅游购买力、国际航线成本和境外采购。同程香港上市股票以港元报价，但主要经营收入和财务模型以人民币计算，股东用人民币衡量收益时还需处理港元兑换变化。公司经营层面的汇率影响与投资者持有港股的货币回报是两条链，不能合并成一个简单的人民币升值必涨或贬值必跌结论。</w:t>
      </w:r>
    </w:p>
    <w:p>
      <w:pPr>
        <w:pStyle w:val="Normal"/>
        <w:rPr/>
      </w:pPr>
      <w:r>
        <w:rPr/>
        <w:t>国内交通供给改善和低线城市旅游渗透，是三年维度较有意义的驱动。高铁网络、区域航线和住宿供给可以扩展旅行半径，提高用户使用频次，平台因此受益于更丰富的订单场景。但是供给扩张若伴随地方酒店竞争激烈、平均房价下行，住宿佣金增长可能低于房晚增速。收入与利润模型需要同时允许交易增长和单价压力。</w:t>
      </w:r>
    </w:p>
    <w:p>
      <w:pPr>
        <w:pStyle w:val="Normal"/>
        <w:rPr/>
      </w:pPr>
      <w:r>
        <w:rPr/>
        <w:t>人口结构与旅游方式变化，对十年展望尤为重要。年轻客群可能偏好内容发现、灵活住宿和体验型产品，家庭与银发客群更重视安全、履约和客服。平台如果只依赖最初的低价票务定位，用户生命周期价值可能受到限制；若能提供可靠的全程服务，则有机会在不同阶段保持复购。这属于经营能力判断，不能用人口趋势直接给出确定目标价。</w:t>
      </w:r>
    </w:p>
    <w:p>
      <w:pPr>
        <w:pStyle w:val="Normal"/>
        <w:rPr/>
      </w:pPr>
      <w:r>
        <w:rPr/>
        <w:t>国际业务有机会，但并非将国内流程复制到海外即可成功。当地支付、税务、消费者保护、酒店合同、语言客服和数据治理均需要投入，海外客户的获客渠道与信任建立方式也不同。收购可以加快进入市场，同时引入整合和商誉风险。本章基准情景保留未来收购现金，乐观情景虽给予更高收入，也保留更高营销和服务开发费用。</w:t>
      </w:r>
    </w:p>
    <w:p>
      <w:pPr>
        <w:pStyle w:val="Normal"/>
        <w:rPr/>
      </w:pPr>
      <w:r>
        <w:rPr/>
        <w:t>监管变量包括价格展示、搭售、消费者个人信息、旅游产品履约以及网络平台竞争规则。规范经营能够提高长期信任，也可能压缩部分增值服务收费空间。投资者不应把监管成本全部视作一次性费用，因为合规系统、客服及数据安全是持续经营必要支出。模型的完整行政与服务费用口径，反映了平台持续维护这些能力的成本。</w:t>
      </w:r>
    </w:p>
    <w:p>
      <w:pPr>
        <w:pStyle w:val="Normal"/>
        <w:rPr/>
      </w:pPr>
      <w:r>
        <w:rPr/>
        <w:t>疫情后恢复的低基数阶段最终会结束，长期成长需要转向渗透、份额、复购和产品组合，而不能永久依赖恢复性增长。</w:t>
      </w:r>
      <w:r>
        <w:rPr/>
        <w:t>2026</w:t>
      </w:r>
      <w:r>
        <w:rPr/>
        <w:t>年付费用户指标已显示压力，说明行业出游热度与平台经济质量并不总是同步。对同程而言，未来最有解释力的催化剂是用户质量与业务结构改善，而不是节假日旅游热搜本身。</w:t>
      </w:r>
    </w:p>
    <w:p>
      <w:pPr>
        <w:pStyle w:val="Heading2"/>
        <w:rPr/>
      </w:pPr>
      <w:r>
        <w:rPr>
          <w:color w:val="000000"/>
        </w:rPr>
        <w:t xml:space="preserve">四 用户 变现 </w:t>
      </w:r>
      <w:r>
        <w:rPr>
          <w:color w:val="000000"/>
        </w:rPr>
        <w:t>AI</w:t>
      </w:r>
      <w:r>
        <w:rPr>
          <w:color w:val="000000"/>
        </w:rPr>
        <w:t>与组织效率</w:t>
      </w:r>
    </w:p>
    <w:p>
      <w:pPr>
        <w:pStyle w:val="Normal"/>
        <w:rPr/>
      </w:pPr>
      <w:r>
        <w:rPr/>
        <w:t>2026</w:t>
      </w:r>
      <w:r>
        <w:rPr/>
        <w:t>年上半年平均月付费用户为</w:t>
      </w:r>
      <w:r>
        <w:rPr/>
        <w:t>4510</w:t>
      </w:r>
      <w:r>
        <w:rPr/>
        <w:t>万人，同比下降</w:t>
      </w:r>
      <w:r>
        <w:rPr/>
        <w:t>3%</w:t>
      </w:r>
      <w:r>
        <w:rPr/>
        <w:t>；二季度为</w:t>
      </w:r>
      <w:r>
        <w:rPr/>
        <w:t>4370</w:t>
      </w:r>
      <w:r>
        <w:rPr/>
        <w:t>万人，同比下降</w:t>
      </w:r>
      <w:r>
        <w:rPr/>
        <w:t>5.8%</w:t>
      </w:r>
      <w:r>
        <w:rPr/>
        <w:t>。年付费用户</w:t>
      </w:r>
      <w:r>
        <w:rPr/>
        <w:t>2.539</w:t>
      </w:r>
      <w:r>
        <w:rPr/>
        <w:t>亿，同比增长</w:t>
      </w:r>
      <w:r>
        <w:rPr/>
        <w:t>0.9%</w:t>
      </w:r>
      <w:r>
        <w:rPr/>
        <w:t>。这些指标的期限和含义不同，年用户缓慢增加可以与季度使用频次下降同时存在。若只选取年用户增长叙述，会忽略用户活跃或付费频率的压力，本章把月用户下降作为经营评分的重要扣分因素。</w:t>
      </w:r>
    </w:p>
    <w:p>
      <w:pPr>
        <w:pStyle w:val="Normal"/>
        <w:rPr/>
      </w:pPr>
      <w:r>
        <w:rPr/>
        <w:t>累计服务旅客</w:t>
      </w:r>
      <w:r>
        <w:rPr/>
        <w:t>20.443</w:t>
      </w:r>
      <w:r>
        <w:rPr/>
        <w:t>亿人次，不能解释为独立用户数量。一个用户多次订票、入住或购买相关服务可以被计入不同订单或人次指标。对平台价值更重要的是每个独立用户的复购、实际贡献收入和获取成本，而不是把累计旅客数字与人口直接比较。本章也没有用累计旅客乘以一个假设客单价生成收入预测。</w:t>
      </w:r>
    </w:p>
    <w:p>
      <w:pPr>
        <w:pStyle w:val="Normal"/>
        <w:rPr/>
      </w:pPr>
      <w:r>
        <w:rPr/>
        <w:t>交通入口可以带来交叉销售，但需要判断转化是否真正提升用户贡献。若用户订机票之后选择同程住宿，平台可以减少额外投放；若需要继续大额补贴才能促成住宿交易，增量收入未必转化为利润。住宿增长、其他</w:t>
      </w:r>
      <w:r>
        <w:rPr/>
        <w:t>OTA</w:t>
      </w:r>
      <w:r>
        <w:rPr/>
        <w:t>增长与营销费用之间的联动，是检验此逻辑的核心。未来财报若显示费用率持续上升而付费用户继续下降，平台效率改善假设应下调。</w:t>
      </w:r>
    </w:p>
    <w:p>
      <w:pPr>
        <w:pStyle w:val="Normal"/>
        <w:rPr/>
      </w:pPr>
      <w:r>
        <w:rPr/>
        <w:t>上半年营销费用</w:t>
      </w:r>
      <w:r>
        <w:rPr/>
        <w:t>33.18980</w:t>
      </w:r>
      <w:r>
        <w:rPr/>
        <w:t>亿元，占收入相当部分，服务开发费用</w:t>
      </w:r>
      <w:r>
        <w:rPr/>
        <w:t>10.52504</w:t>
      </w:r>
      <w:r>
        <w:rPr/>
        <w:t>亿元，行政费用</w:t>
      </w:r>
      <w:r>
        <w:rPr/>
        <w:t>7.12534</w:t>
      </w:r>
      <w:r>
        <w:rPr/>
        <w:t>亿元。平台仍然需要持续的流量、产品、客服和管理投入。收入增长时固定费用可以带来经营杠杆，竞争升级时营销和服务成本也可能跟随收入同步增长。模型没有将互联网平台一概视作收入增加后几乎不再增加成本的企业。</w:t>
      </w:r>
    </w:p>
    <w:p>
      <w:pPr>
        <w:pStyle w:val="Normal"/>
        <w:rPr/>
      </w:pPr>
      <w:r>
        <w:rPr/>
        <w:t>DeepTrip</w:t>
      </w:r>
      <w:r>
        <w:rPr/>
        <w:t>和微信助手等</w:t>
      </w:r>
      <w:r>
        <w:rPr/>
        <w:t>AI</w:t>
      </w:r>
      <w:r>
        <w:rPr/>
        <w:t>功能，可能改善行程规划、信息整理、客服分流与产品匹配。它们目前代表服务和效率方向，而不是已经核验的独立</w:t>
      </w:r>
      <w:r>
        <w:rPr/>
        <w:t>AI</w:t>
      </w:r>
      <w:r>
        <w:rPr/>
        <w:t>收费收入。研究将潜在收益体现在渐进的经营效率与转化提升，不另设一个无收入依据的</w:t>
      </w:r>
      <w:r>
        <w:rPr/>
        <w:t>AI</w:t>
      </w:r>
      <w:r>
        <w:rPr/>
        <w:t>资产估值，也不按</w:t>
      </w:r>
      <w:r>
        <w:rPr/>
        <w:t>AI</w:t>
      </w:r>
      <w:r>
        <w:rPr/>
        <w:t>企业销售倍数重新估值全部传统旅行收入。</w:t>
      </w:r>
    </w:p>
    <w:p>
      <w:pPr>
        <w:pStyle w:val="Normal"/>
        <w:rPr/>
      </w:pPr>
      <w:r>
        <w:rPr/>
        <w:t>生成式</w:t>
      </w:r>
      <w:r>
        <w:rPr/>
        <w:t>AI</w:t>
      </w:r>
      <w:r>
        <w:rPr/>
        <w:t>减少用户搜索负担，也可能改变平台入口。如果用户在通用助手中完成旅行比较并被直接引导到供应商，传统平台的搜索流量可能下降；如果同程掌握交易履约、库存连接和售后能力，则可成为助手实际完成订单的基础服务。这种机会与风险取决于接口、合同和用户关系，不取决于公司是否在公告中频繁使用</w:t>
      </w:r>
      <w:r>
        <w:rPr/>
        <w:t>AI</w:t>
      </w:r>
      <w:r>
        <w:rPr/>
        <w:t>一词。</w:t>
      </w:r>
    </w:p>
    <w:p>
      <w:pPr>
        <w:pStyle w:val="Normal"/>
        <w:rPr/>
      </w:pPr>
      <w:r>
        <w:rPr/>
        <w:t>AI</w:t>
      </w:r>
      <w:r>
        <w:rPr/>
        <w:t>部署还包含模型费用、数据处理、质量验证和错误处理。旅行信息涉及时间、价格、退改和可订库存，生成内容错误的成本比普通内容推荐更直接。提高效率必须建立在真实库存和准确规则之上，不能通过不可靠回答削减客服。长期模型给服务开发投入保留增长空间，正是因为自动化不等于研发与风险控制成本归零。</w:t>
      </w:r>
    </w:p>
    <w:p>
      <w:pPr>
        <w:pStyle w:val="Normal"/>
        <w:rPr/>
      </w:pPr>
      <w:r>
        <w:rPr/>
        <w:t>组织效率能够通过费用率、客服质量、产品上线速度和重复交易验证，短期报表难以完全呈现。公司扩展酒店管理、国际业务和嘀嗒后，组织协调会更加复杂；原有平台团队的经验能否迁移，需要实际成绩。研究既认可规模和系统复用的潜力，也给管理层资本配置设置反证条件，不能将收购数量当作创新能力或执行质量的代理。</w:t>
      </w:r>
    </w:p>
    <w:p>
      <w:pPr>
        <w:pStyle w:val="Heading2"/>
        <w:rPr/>
      </w:pPr>
      <w:r>
        <w:rPr>
          <w:color w:val="000000"/>
        </w:rPr>
        <w:t>五 财务报表与利润质量</w:t>
      </w:r>
    </w:p>
    <w:p>
      <w:pPr>
        <w:pStyle w:val="Normal"/>
        <w:rPr/>
      </w:pPr>
      <w:r>
        <w:rPr/>
        <w:t>2025</w:t>
      </w:r>
      <w:r>
        <w:rPr/>
        <w:t>年毛利</w:t>
      </w:r>
      <w:r>
        <w:rPr/>
        <w:t>128.57752</w:t>
      </w:r>
      <w:r>
        <w:rPr/>
        <w:t>亿元，服务开发</w:t>
      </w:r>
      <w:r>
        <w:rPr/>
        <w:t>20.39051</w:t>
      </w:r>
      <w:r>
        <w:rPr/>
        <w:t>亿元、营销</w:t>
      </w:r>
      <w:r>
        <w:rPr/>
        <w:t>62.81306</w:t>
      </w:r>
      <w:r>
        <w:rPr/>
        <w:t>亿元、行政</w:t>
      </w:r>
      <w:r>
        <w:rPr/>
        <w:t>12.65916</w:t>
      </w:r>
      <w:r>
        <w:rPr/>
        <w:t>亿元。全年经营利润</w:t>
      </w:r>
      <w:r>
        <w:rPr/>
        <w:t>31.37381</w:t>
      </w:r>
      <w:r>
        <w:rPr/>
        <w:t>亿元，集团利润</w:t>
      </w:r>
      <w:r>
        <w:rPr/>
        <w:t>24.09102</w:t>
      </w:r>
      <w:r>
        <w:rPr/>
        <w:t>亿元，归母利润</w:t>
      </w:r>
      <w:r>
        <w:rPr/>
        <w:t>23.71234</w:t>
      </w:r>
      <w:r>
        <w:rPr/>
        <w:t>亿元。归母和集团利润的差额来自少数权益，虽然金额当期不大，但随着并购和控股结构变化，不宜永久忽略。股东目标价必须最终对应归属于同程上市母公司的权益。</w:t>
      </w:r>
    </w:p>
    <w:p>
      <w:pPr>
        <w:pStyle w:val="Normal"/>
        <w:rPr/>
      </w:pPr>
      <w:r>
        <w:rPr/>
        <w:t>2025</w:t>
      </w:r>
      <w:r>
        <w:rPr/>
        <w:t>年</w:t>
      </w:r>
      <w:r>
        <w:rPr/>
        <w:t>OTA</w:t>
      </w:r>
      <w:r>
        <w:rPr/>
        <w:t>分部经营利润</w:t>
      </w:r>
      <w:r>
        <w:rPr/>
        <w:t>47.69888</w:t>
      </w:r>
      <w:r>
        <w:rPr/>
        <w:t>亿元，旅游分部亏损</w:t>
      </w:r>
      <w:r>
        <w:rPr/>
        <w:t>3.85499</w:t>
      </w:r>
      <w:r>
        <w:rPr/>
        <w:t>亿元，未分配项目负</w:t>
      </w:r>
      <w:r>
        <w:rPr/>
        <w:t>12.47008</w:t>
      </w:r>
      <w:r>
        <w:rPr/>
        <w:t>亿元，合计经营利润</w:t>
      </w:r>
      <w:r>
        <w:rPr/>
        <w:t>31.37381</w:t>
      </w:r>
      <w:r>
        <w:rPr/>
        <w:t>亿元。分部利润没有自动涵盖全部集团管理费用，不能只将</w:t>
      </w:r>
      <w:r>
        <w:rPr/>
        <w:t>OTA</w:t>
      </w:r>
      <w:r>
        <w:rPr/>
        <w:t>较高利润率乘以总收入。未分配费用和旅游业务亏损是上市股东实际承担的成本，完整模型必须把它们计入，而不是以“核心平台”名义剔除。</w:t>
      </w:r>
    </w:p>
    <w:p>
      <w:pPr>
        <w:pStyle w:val="Normal"/>
        <w:rPr/>
      </w:pPr>
      <w:r>
        <w:rPr/>
        <w:t>2026</w:t>
      </w:r>
      <w:r>
        <w:rPr/>
        <w:t>年上半年毛利</w:t>
      </w:r>
      <w:r>
        <w:rPr/>
        <w:t>68.22888</w:t>
      </w:r>
      <w:r>
        <w:rPr/>
        <w:t>亿元，经营利润</w:t>
      </w:r>
      <w:r>
        <w:rPr/>
        <w:t>18.46440</w:t>
      </w:r>
      <w:r>
        <w:rPr/>
        <w:t>亿元，税前利润</w:t>
      </w:r>
      <w:r>
        <w:rPr/>
        <w:t>17.63805</w:t>
      </w:r>
      <w:r>
        <w:rPr/>
        <w:t>亿元，集团利润</w:t>
      </w:r>
      <w:r>
        <w:rPr/>
        <w:t>14.17953</w:t>
      </w:r>
      <w:r>
        <w:rPr/>
        <w:t>亿元，归母</w:t>
      </w:r>
      <w:r>
        <w:rPr/>
        <w:t>14.11245</w:t>
      </w:r>
      <w:r>
        <w:rPr/>
        <w:t>亿元。收入成本、费用、投资项目、融资和税之间均可在报表桥中复核。财务说明的作用不是罗列数字，而是确认经营增长究竟被哪些支出抵消，以及盈利改善是否依赖非经营收益。</w:t>
      </w:r>
    </w:p>
    <w:p>
      <w:pPr>
        <w:pStyle w:val="Normal"/>
        <w:rPr/>
      </w:pPr>
      <w:r>
        <w:rPr/>
        <w:t>上半年经营利润包含公允价值收益</w:t>
      </w:r>
      <w:r>
        <w:rPr/>
        <w:t>0.66235</w:t>
      </w:r>
      <w:r>
        <w:rPr/>
        <w:t>亿元、其他收入</w:t>
      </w:r>
      <w:r>
        <w:rPr/>
        <w:t>0.54895</w:t>
      </w:r>
      <w:r>
        <w:rPr/>
        <w:t>亿元和其他收益净额</w:t>
      </w:r>
      <w:r>
        <w:rPr/>
        <w:t>0.06356</w:t>
      </w:r>
      <w:r>
        <w:rPr/>
        <w:t>亿元；融资收入</w:t>
      </w:r>
      <w:r>
        <w:rPr/>
        <w:t>0.49730</w:t>
      </w:r>
      <w:r>
        <w:rPr/>
        <w:t>亿元，同时有融资成本</w:t>
      </w:r>
      <w:r>
        <w:rPr/>
        <w:t>1.13966</w:t>
      </w:r>
      <w:r>
        <w:rPr/>
        <w:t>亿元及联营亏损</w:t>
      </w:r>
      <w:r>
        <w:rPr/>
        <w:t>0.18399</w:t>
      </w:r>
      <w:r>
        <w:rPr/>
        <w:t>亿元。这些项目对法定盈利有贡献或负担，不能全部视作稳定服务收入。本章正常经营利润排除存款、理财、投资和联营项目，再单独处理现金与非经营资产。</w:t>
      </w:r>
    </w:p>
    <w:p>
      <w:pPr>
        <w:pStyle w:val="Normal"/>
        <w:rPr/>
      </w:pPr>
      <w:r>
        <w:rPr/>
        <w:t>融资收入中存款利息</w:t>
      </w:r>
      <w:r>
        <w:rPr/>
        <w:t>0.39640</w:t>
      </w:r>
      <w:r>
        <w:rPr/>
        <w:t>亿元，其他融资收入</w:t>
      </w:r>
      <w:r>
        <w:rPr/>
        <w:t>0.10090</w:t>
      </w:r>
      <w:r>
        <w:rPr/>
        <w:t>亿元。融资成本中银行利息</w:t>
      </w:r>
      <w:r>
        <w:rPr/>
        <w:t>0.64312</w:t>
      </w:r>
      <w:r>
        <w:rPr/>
        <w:t>亿元、长期应付款摊息</w:t>
      </w:r>
      <w:r>
        <w:rPr/>
        <w:t>0.26625</w:t>
      </w:r>
      <w:r>
        <w:rPr/>
        <w:t>亿元、租赁利息</w:t>
      </w:r>
      <w:r>
        <w:rPr/>
        <w:t>0.23029</w:t>
      </w:r>
      <w:r>
        <w:rPr/>
        <w:t>亿元。估值方法把银行债务及长期应付款本金从权益现金桥扣除，正常经营盈利排除对应融资成本；租赁作为持续经营支出保留租息，资本现金口径另保留租赁本金，避免漏掉使用经营资产的成本。</w:t>
      </w:r>
    </w:p>
    <w:p>
      <w:pPr>
        <w:pStyle w:val="Normal"/>
        <w:rPr/>
      </w:pPr>
      <w:r>
        <w:rPr/>
        <w:t>公司上半年经调整集团利润</w:t>
      </w:r>
      <w:r>
        <w:rPr/>
        <w:t>17.92002</w:t>
      </w:r>
      <w:r>
        <w:rPr/>
        <w:t>亿元，并不是经调整归母利润。调整项目包括收购产生摊销、股酬、汇兑和投资等，管理口径有助观察业务，却不等于上市股东可以分配的现金。本研究不直接用这一集团调整利润乘</w:t>
      </w:r>
      <w:r>
        <w:rPr/>
        <w:t>PE</w:t>
      </w:r>
      <w:r>
        <w:rPr/>
        <w:t>，也不把全年</w:t>
      </w:r>
      <w:r>
        <w:rPr/>
        <w:t>340330.3</w:t>
      </w:r>
      <w:r>
        <w:rPr/>
        <w:t>万元经调整集团利润写成归母业绩，防止少数权益和调整项目造成口径错位。</w:t>
      </w:r>
    </w:p>
    <w:p>
      <w:pPr>
        <w:pStyle w:val="Normal"/>
        <w:rPr/>
      </w:pPr>
      <w:r>
        <w:rPr/>
        <w:t>上半年毛额股酬</w:t>
      </w:r>
      <w:r>
        <w:rPr/>
        <w:t>0.82051</w:t>
      </w:r>
      <w:r>
        <w:rPr/>
        <w:t>亿元，调整表中的净股酬</w:t>
      </w:r>
      <w:r>
        <w:rPr/>
        <w:t>1.57254</w:t>
      </w:r>
      <w:r>
        <w:rPr/>
        <w:t>亿元还包含</w:t>
      </w:r>
      <w:r>
        <w:rPr/>
        <w:t>0.75203</w:t>
      </w:r>
      <w:r>
        <w:rPr/>
        <w:t>亿元税时差影响。净调整数高于毛额，并不意味着公司真实现金股酬支出在同一比例增加，也不是一笔额外现金收益。模型保留常态股酬对应的经营成本，未来另外列示现金购股与股数稀释，分别体现报表费用、现金需求和每股经济利益。</w:t>
      </w:r>
    </w:p>
    <w:p>
      <w:pPr>
        <w:pStyle w:val="Normal"/>
        <w:rPr/>
      </w:pPr>
      <w:r>
        <w:rPr/>
        <w:t>收购相关摊销上半年</w:t>
      </w:r>
      <w:r>
        <w:rPr/>
        <w:t>1.73554</w:t>
      </w:r>
      <w:r>
        <w:rPr/>
        <w:t>亿元，全部无形资产摊销</w:t>
      </w:r>
      <w:r>
        <w:rPr/>
        <w:t>4.33819</w:t>
      </w:r>
      <w:r>
        <w:rPr/>
        <w:t>亿元，二者不是同一个口径。即使某些摊销在当期没有现金流出，也代表历史为获取业务、客户或技术付出的资本成本。正常经营估值保留所有摊销，现金流桥再加回折旧摊销并减真实资本投入，不能既把摊销从盈利中加回又忽略未来维持业务所需的支出。</w:t>
      </w:r>
    </w:p>
    <w:p>
      <w:pPr>
        <w:pStyle w:val="Normal"/>
        <w:rPr/>
      </w:pPr>
      <w:r>
        <w:rPr/>
        <w:t>2025</w:t>
      </w:r>
      <w:r>
        <w:rPr/>
        <w:t>年商誉减值</w:t>
      </w:r>
      <w:r>
        <w:rPr/>
        <w:t>4.53437</w:t>
      </w:r>
      <w:r>
        <w:rPr/>
        <w:t>亿元提醒投资者，并购投入并不总能按原计划兑现。商誉本身不构成可自由提取的现金资产，账面价值高也不是目标价的直接下限。长期模型保留未来收购现金和非经营</w:t>
      </w:r>
      <w:r>
        <w:rPr/>
        <w:t>NAV</w:t>
      </w:r>
      <w:r>
        <w:rPr/>
        <w:t>折价，对收购后业务要求真实利润回报。若出现新的大额商誉减值，需要检查原收购假设和管理能力，而不是仅以非现金费用为由忽略。</w:t>
      </w:r>
    </w:p>
    <w:p>
      <w:pPr>
        <w:pStyle w:val="Normal"/>
        <w:rPr/>
      </w:pPr>
      <w:r>
        <w:rPr/>
        <w:t>税率与利润结构需要共同分析。上半年所得税</w:t>
      </w:r>
      <w:r>
        <w:rPr/>
        <w:t>3.45852</w:t>
      </w:r>
      <w:r>
        <w:rPr/>
        <w:t>亿元，占税前利润的比例接近两成，优惠税率、地区分布、不可扣除费用和递延税都会造成变化。未来情景使用不同税率并允许上升，不能永久锁定最有利年度。亏损情景不自动创造即时现金退税，正经营税前利润才计算税，因此压力估值没有依赖尚未证明能变现的税盾。</w:t>
      </w:r>
    </w:p>
    <w:p>
      <w:pPr>
        <w:pStyle w:val="Heading2"/>
        <w:rPr/>
      </w:pPr>
      <w:r>
        <w:rPr>
          <w:color w:val="000000"/>
        </w:rPr>
        <w:t>六 现金 债务 营运资本与股东分配</w:t>
      </w:r>
    </w:p>
    <w:p>
      <w:pPr>
        <w:pStyle w:val="Normal"/>
        <w:rPr/>
      </w:pPr>
      <w:r>
        <w:rPr/>
        <w:t>2026</w:t>
      </w:r>
      <w:r>
        <w:rPr/>
        <w:t>年六月末现金</w:t>
      </w:r>
      <w:r>
        <w:rPr/>
        <w:t>67.82318</w:t>
      </w:r>
      <w:r>
        <w:rPr/>
        <w:t>亿元，加短期摊余成本金融资产</w:t>
      </w:r>
      <w:r>
        <w:rPr/>
        <w:t>21.64461</w:t>
      </w:r>
      <w:r>
        <w:rPr/>
        <w:t>亿元、短期公允价值计入损益金融资产</w:t>
      </w:r>
      <w:r>
        <w:rPr/>
        <w:t>53.15455</w:t>
      </w:r>
      <w:r>
        <w:rPr/>
        <w:t>亿元及长期存款</w:t>
      </w:r>
      <w:r>
        <w:rPr/>
        <w:t>3.95160</w:t>
      </w:r>
      <w:r>
        <w:rPr/>
        <w:t>亿元，合计现金与存款理财</w:t>
      </w:r>
      <w:r>
        <w:rPr/>
        <w:t>146.57394</w:t>
      </w:r>
      <w:r>
        <w:rPr/>
        <w:t>亿元。这是广义资产锚，不是十月实时现金，也不是全额可分红金额。受限资金</w:t>
      </w:r>
      <w:r>
        <w:rPr/>
        <w:t>4.46039</w:t>
      </w:r>
      <w:r>
        <w:rPr/>
        <w:t>亿元另外披露，不加入可用现金桥；理财的流动性和价值波动也需要分别考虑。</w:t>
      </w:r>
    </w:p>
    <w:p>
      <w:pPr>
        <w:pStyle w:val="Normal"/>
        <w:rPr/>
      </w:pPr>
      <w:r>
        <w:rPr/>
        <w:t>公司短期理财披露回报范围</w:t>
      </w:r>
      <w:r>
        <w:rPr/>
        <w:t>1.07%</w:t>
      </w:r>
      <w:r>
        <w:rPr/>
        <w:t>至</w:t>
      </w:r>
      <w:r>
        <w:rPr/>
        <w:t>8%</w:t>
      </w:r>
      <w:r>
        <w:rPr/>
        <w:t>，不能理解为保证收益率或全部现金都获得最高收益。高收益产品可能伴随期限、资产类型和公允价值波动，财资收入在正常经营利润中剔除可避免高估平台盈利。现金资产进入估值时仍需进行归属、流动性和负债匹配分析，不是看到账面金融资产就机械全额加到企业市值。</w:t>
      </w:r>
    </w:p>
    <w:p>
      <w:pPr>
        <w:pStyle w:val="Normal"/>
        <w:rPr/>
      </w:pPr>
      <w:r>
        <w:rPr/>
        <w:t>六月末借款</w:t>
      </w:r>
      <w:r>
        <w:rPr/>
        <w:t>41.84750</w:t>
      </w:r>
      <w:r>
        <w:rPr/>
        <w:t>亿元，其中流动借款</w:t>
      </w:r>
      <w:r>
        <w:rPr/>
        <w:t>33.15146</w:t>
      </w:r>
      <w:r>
        <w:rPr/>
        <w:t>亿元、长期</w:t>
      </w:r>
      <w:r>
        <w:rPr/>
        <w:t>8.69604</w:t>
      </w:r>
      <w:r>
        <w:rPr/>
        <w:t>亿元；长期其他应付款</w:t>
      </w:r>
      <w:r>
        <w:rPr/>
        <w:t>3.76971</w:t>
      </w:r>
      <w:r>
        <w:rPr/>
        <w:t>亿元，或有负债</w:t>
      </w:r>
      <w:r>
        <w:rPr/>
        <w:t>2.02975</w:t>
      </w:r>
      <w:r>
        <w:rPr/>
        <w:t>亿元，旧股息应付款</w:t>
      </w:r>
      <w:r>
        <w:rPr/>
        <w:t>5.08180</w:t>
      </w:r>
      <w:r>
        <w:rPr/>
        <w:t>亿元。债务到期和付款责任会占用现金，因此现金与理财不能全部看作安全垫。模型分别扣本金及现金准备，并让未来正常现金创造承担银行利息，不通过净现金一个标签隐藏不同负债。</w:t>
      </w:r>
    </w:p>
    <w:p>
      <w:pPr>
        <w:pStyle w:val="Normal"/>
        <w:rPr/>
      </w:pPr>
      <w:r>
        <w:rPr/>
        <w:t>客户预收款</w:t>
      </w:r>
      <w:r>
        <w:rPr/>
        <w:t>23.61787</w:t>
      </w:r>
      <w:r>
        <w:rPr/>
        <w:t>亿元，贸易与其他应付款规模也较大。平台现金中一部分来自用户付款与供应商结算时间差，订单取消、退款、旺季结束或结算规则改变可能令现金流反转。必要客户和运营储备基准假设为七十亿元，并随业务规模变化；这是研究约束而非公司披露的监管最低限额，读者可以修改，但不能将其当作已经被核验的可分配现金结论。</w:t>
      </w:r>
    </w:p>
    <w:p>
      <w:pPr>
        <w:pStyle w:val="Normal"/>
        <w:rPr/>
      </w:pPr>
      <w:r>
        <w:rPr/>
        <w:t>上半年经营现金流</w:t>
      </w:r>
      <w:r>
        <w:rPr/>
        <w:t>26.33826</w:t>
      </w:r>
      <w:r>
        <w:rPr/>
        <w:t>亿元，购建固定资产</w:t>
      </w:r>
      <w:r>
        <w:rPr/>
        <w:t>1.76174</w:t>
      </w:r>
      <w:r>
        <w:rPr/>
        <w:t>亿元、无形资产现金</w:t>
      </w:r>
      <w:r>
        <w:rPr/>
        <w:t>0.02272</w:t>
      </w:r>
      <w:r>
        <w:rPr/>
        <w:t>亿元，租赁本金现金</w:t>
      </w:r>
      <w:r>
        <w:rPr/>
        <w:t>1.74190</w:t>
      </w:r>
      <w:r>
        <w:rPr/>
        <w:t>亿元，简单扣减后现金流代理为</w:t>
      </w:r>
      <w:r>
        <w:rPr/>
        <w:t>22.81190</w:t>
      </w:r>
      <w:r>
        <w:rPr/>
        <w:t>亿元。这个代理仍包含经营现金流内收到的利息</w:t>
      </w:r>
      <w:r>
        <w:rPr/>
        <w:t>0.30720</w:t>
      </w:r>
      <w:r>
        <w:rPr/>
        <w:t>亿元，并未额外扣银行利息</w:t>
      </w:r>
      <w:r>
        <w:rPr/>
        <w:t>0.64312</w:t>
      </w:r>
      <w:r>
        <w:rPr/>
        <w:t>亿元。若进一步扣这两项，得到</w:t>
      </w:r>
      <w:r>
        <w:rPr/>
        <w:t>21.86158</w:t>
      </w:r>
      <w:r>
        <w:rPr/>
        <w:t>亿元的对照口径，仍不能代替完整未来自由现金流预测。</w:t>
      </w:r>
    </w:p>
    <w:p>
      <w:pPr>
        <w:pStyle w:val="Normal"/>
        <w:rPr/>
      </w:pPr>
      <w:r>
        <w:rPr/>
        <w:t>经营现金流高于利润可能来自折旧摊销、预收与应付款增加，也可能在未来阶段反转。现金流强是重要优势，但只看半年不能判断全年每笔资金的稳定性。模型未来现金代理从完整费用正常归母利润起算，加折旧摊销，再扣资本与租赁本金、营运资本增量、现金股酬购股及借款利息，通过驱动展示现金如何生成，而不是直接沿用历史最高现金转换率。</w:t>
      </w:r>
    </w:p>
    <w:p>
      <w:pPr>
        <w:pStyle w:val="Normal"/>
        <w:rPr/>
      </w:pPr>
      <w:r>
        <w:rPr/>
        <w:t>六月至十月九日的现金变动尚未取得完整收购后报表，本章独立设置净变动假设；锁定日之后现金积累另按目标正常年率乘以积累系数。两段必须分开，否则会把第三季度现金同时包含在六月后变化和一年未来现金里。目标盈利是正常年率，不等于每个月已经实现，现金积累系数因而采用逐步形成口径，而不是把目标峰值盈利乘完整期限。</w:t>
      </w:r>
    </w:p>
    <w:p>
      <w:pPr>
        <w:pStyle w:val="Normal"/>
        <w:rPr/>
      </w:pPr>
      <w:r>
        <w:rPr/>
        <w:t>2025</w:t>
      </w:r>
      <w:r>
        <w:rPr/>
        <w:t>年末期股息每股</w:t>
      </w:r>
      <w:r>
        <w:rPr/>
        <w:t>0.25</w:t>
      </w:r>
      <w:r>
        <w:rPr/>
        <w:t>港元在基准日前已经除息，未来总回报不重复加入。六月旧股息应付款则需要从现金桥扣除，因为报表锚仍包含尚未支付责任。未来一年基准累计股息</w:t>
      </w:r>
      <w:r>
        <w:rPr/>
        <w:t>0.26</w:t>
      </w:r>
      <w:r>
        <w:rPr/>
        <w:t>港元、三年</w:t>
      </w:r>
      <w:r>
        <w:rPr/>
        <w:t>1</w:t>
      </w:r>
      <w:r>
        <w:rPr/>
        <w:t>港元、五年</w:t>
      </w:r>
      <w:r>
        <w:rPr/>
        <w:t>2.10</w:t>
      </w:r>
      <w:r>
        <w:rPr/>
        <w:t>港元，都是研究假设，模型先扣派息本金再加到股东含息回报，避免同时保留公司现金和计算已支付股息。</w:t>
      </w:r>
    </w:p>
    <w:p>
      <w:pPr>
        <w:pStyle w:val="Normal"/>
        <w:rPr/>
      </w:pPr>
      <w:r>
        <w:rPr/>
        <w:t>回购能够提高每股利益，前提是价格合理且现金使用不会损害业务和结算安全。模型中额外回购金额以港元计，按假设平均价减少股数，并从人民币现金桥扣对应资金。股酬与新增股份则另增加股数。不能只把回购视作价格支撑而不扣现金，也不能只扣现金却保留原股数，否则同一资本动作会产生方向不同的计算错误。</w:t>
      </w:r>
    </w:p>
    <w:p>
      <w:pPr>
        <w:pStyle w:val="Normal"/>
        <w:rPr/>
      </w:pPr>
      <w:r>
        <w:rPr/>
        <w:t>九月末法定已发行股数</w:t>
      </w:r>
      <w:r>
        <w:rPr/>
        <w:t>23.54315962</w:t>
      </w:r>
      <w:r>
        <w:rPr/>
        <w:t>亿股，月报于十月六日</w:t>
      </w:r>
      <w:r>
        <w:rPr/>
        <w:t>17</w:t>
      </w:r>
      <w:r>
        <w:rPr/>
        <w:t>时发布，基准日已经公开。未归属股份奖励的数量或授予能力不是已经发行股份，未来稀释另列情景假设。原有股份、回购注销、未来股酬和收购支付可能改变每股估值，模型使用法定基础再滚动，避免用利润表加权平均股数替代锁定日实际资本结构。</w:t>
      </w:r>
    </w:p>
    <w:p>
      <w:pPr>
        <w:pStyle w:val="Heading2"/>
        <w:rPr/>
      </w:pPr>
      <w:r>
        <w:rPr>
          <w:color w:val="000000"/>
        </w:rPr>
        <w:t>七 嘀嗒收购 德国业务与资本配置</w:t>
      </w:r>
    </w:p>
    <w:p>
      <w:pPr>
        <w:pStyle w:val="Normal"/>
        <w:rPr/>
      </w:pPr>
      <w:r>
        <w:rPr/>
        <w:t>同程对嘀嗒的要约最终承接</w:t>
      </w:r>
      <w:r>
        <w:rPr/>
        <w:t>910755954</w:t>
      </w:r>
      <w:r>
        <w:rPr/>
        <w:t>股，占总</w:t>
      </w:r>
      <w:r>
        <w:rPr/>
        <w:t>1026282344</w:t>
      </w:r>
      <w:r>
        <w:rPr/>
        <w:t>股约</w:t>
      </w:r>
      <w:r>
        <w:rPr/>
        <w:t>88.74%</w:t>
      </w:r>
      <w:r>
        <w:rPr/>
        <w:t>。模型采用公告四舍五入的</w:t>
      </w:r>
      <w:r>
        <w:rPr/>
        <w:t>0.8874</w:t>
      </w:r>
      <w:r>
        <w:rPr/>
        <w:t>归属比例，精确股份相除约为</w:t>
      </w:r>
      <w:r>
        <w:rPr/>
        <w:t>0.887432</w:t>
      </w:r>
      <w:r>
        <w:rPr/>
        <w:t>，尾数差异不代表控制权变化。它不是百分之百全资，因此嘀嗒的经营损益与现金权益只能按上市母公司可归属比例处理，不能将全集团现金都视作同程股东资产。</w:t>
      </w:r>
    </w:p>
    <w:p>
      <w:pPr>
        <w:pStyle w:val="Normal"/>
        <w:rPr/>
      </w:pPr>
      <w:r>
        <w:rPr/>
        <w:t>嘀嗒每股要约价</w:t>
      </w:r>
      <w:r>
        <w:rPr/>
        <w:t>1.3875</w:t>
      </w:r>
      <w:r>
        <w:rPr/>
        <w:t>港元，承接股份对应购买本金约</w:t>
      </w:r>
      <w:r>
        <w:rPr/>
        <w:t>12.63674</w:t>
      </w:r>
      <w:r>
        <w:rPr/>
        <w:t>亿港元，模型按人民币兑港元</w:t>
      </w:r>
      <w:r>
        <w:rPr/>
        <w:t>1.10</w:t>
      </w:r>
      <w:r>
        <w:rPr/>
        <w:t>换算约</w:t>
      </w:r>
      <w:r>
        <w:rPr/>
        <w:t>11.48794</w:t>
      </w:r>
      <w:r>
        <w:rPr/>
        <w:t>亿元人民币。购买股份支付的钱必须从同程现金锚后扣除，收购可带来的经营收益则另进入利润模型。若只把嘀嗒收入或用户加到同程却不扣购买价，会无成本创造价值，也会高估收购后的安全边际。</w:t>
      </w:r>
    </w:p>
    <w:p>
      <w:pPr>
        <w:pStyle w:val="Normal"/>
        <w:rPr/>
      </w:pPr>
      <w:r>
        <w:rPr/>
        <w:t>嘀嗒旧股东特别股息每股</w:t>
      </w:r>
      <w:r>
        <w:rPr/>
        <w:t>1.1745</w:t>
      </w:r>
      <w:r>
        <w:rPr/>
        <w:t>港元，登记日七月二十日、八月三十一日支付。这笔股息由嘀嗒原有现金承担，不能当作同程获得的收购收益。六月嘀嗒现金与理财</w:t>
      </w:r>
      <w:r>
        <w:rPr/>
        <w:t>14.13568</w:t>
      </w:r>
      <w:r>
        <w:rPr/>
        <w:t>亿元在估值中必须先扣全部特别股息，再加独立的六月后现金变动，然后按同程持股比例归属。特别股息和要约购买价不是可以相互忽略的同一项目。</w:t>
      </w:r>
    </w:p>
    <w:p>
      <w:pPr>
        <w:pStyle w:val="Normal"/>
        <w:rPr/>
      </w:pPr>
      <w:r>
        <w:rPr/>
        <w:t>嘀嗒六月末现金</w:t>
      </w:r>
      <w:r>
        <w:rPr/>
        <w:t>11.20390</w:t>
      </w:r>
      <w:r>
        <w:rPr/>
        <w:t>亿元、公允价值金融资产</w:t>
      </w:r>
      <w:r>
        <w:rPr/>
        <w:t>2.93178</w:t>
      </w:r>
      <w:r>
        <w:rPr/>
        <w:t>亿元，受限现金</w:t>
      </w:r>
      <w:r>
        <w:rPr/>
        <w:t>3.03670</w:t>
      </w:r>
      <w:r>
        <w:rPr/>
        <w:t>亿元排除，借款为零。收购后正式现金、购买价分摊和合并报表细节未充分披露，因此本章不声称知道十月嘀嗒可用现金。基准现金剩余估计具有较大限制，情景设置不同后续现金变动，并在模型和结论中明确资料缺失。</w:t>
      </w:r>
    </w:p>
    <w:p>
      <w:pPr>
        <w:pStyle w:val="Normal"/>
        <w:rPr/>
      </w:pPr>
      <w:r>
        <w:rPr/>
        <w:t>2026</w:t>
      </w:r>
      <w:r>
        <w:rPr/>
        <w:t>年上半年嘀嗒收入</w:t>
      </w:r>
      <w:r>
        <w:rPr/>
        <w:t>1.65249</w:t>
      </w:r>
      <w:r>
        <w:rPr/>
        <w:t>亿元，集团亏损</w:t>
      </w:r>
      <w:r>
        <w:rPr/>
        <w:t>0.62312</w:t>
      </w:r>
      <w:r>
        <w:rPr/>
        <w:t>亿元，经调整亏损约</w:t>
      </w:r>
      <w:r>
        <w:rPr/>
        <w:t>0.572</w:t>
      </w:r>
      <w:r>
        <w:rPr/>
        <w:t>亿元，经营现金流</w:t>
      </w:r>
      <w:r>
        <w:rPr/>
        <w:t>0.02317</w:t>
      </w:r>
      <w:r>
        <w:rPr/>
        <w:t>亿元。业务当时并非明显盈利引擎，不能因为同程取得控制就假设立即扭亏或快速增长。基准年底和半年仍保留嘀嗒亏损，一年仅给予较小正常经营贡献，三至五年改善则要求整合和服务需求真正兑现。</w:t>
      </w:r>
    </w:p>
    <w:p>
      <w:pPr>
        <w:pStyle w:val="Normal"/>
        <w:rPr/>
      </w:pPr>
      <w:r>
        <w:rPr/>
        <w:t>战略上，顺风车可以补充旅行的起终点与城市间交通场景，帮助平台连接铁路、航空和住宿。但顺风车服务涉及安全、合规、用户信任、供需平衡和地方规则，其运营逻辑与机票分销不同。平台流量可以带来试用，长期留存仍需要价格、司机供给和安全体验。收购成功取决于业务协同收益是否超过费用、风险和资本投入。</w:t>
      </w:r>
    </w:p>
    <w:p>
      <w:pPr>
        <w:pStyle w:val="Normal"/>
        <w:rPr/>
      </w:pPr>
      <w:r>
        <w:rPr/>
        <w:t>模型将嘀嗒正常经营利润按收入与利润率计算，税后按</w:t>
      </w:r>
      <w:r>
        <w:rPr/>
        <w:t>88.74%</w:t>
      </w:r>
      <w:r>
        <w:rPr/>
        <w:t>归属，然后并入同程正常利润；不再添加一个完整嘀嗒企业</w:t>
      </w:r>
      <w:r>
        <w:rPr/>
        <w:t>NAV</w:t>
      </w:r>
      <w:r>
        <w:rPr/>
        <w:t>。仅将特别息后的归属现金作为非经营资金进入权益桥，避免经营价值和整体净资产重复。未来折旧摊销、营运资本及资本预算使用合并预测假设，投资者调整时应保持经营与现金口径一致。</w:t>
      </w:r>
    </w:p>
    <w:p>
      <w:pPr>
        <w:pStyle w:val="Normal"/>
        <w:rPr/>
      </w:pPr>
      <w:r>
        <w:rPr/>
        <w:t>嘀嗒公众持股比例短缺属于该上市公司自己的交易与监管问题，不能直接写成同程母公司公众持股短缺。它仍可能影响剩余股份安排、交易流动性、进一步收购和资本成本，因此需要跟进。对于同程股东，关键问题是控制取得后的现金与损益、合规责任以及潜在继续收购资金，而不是混淆两只证券的上市地位。</w:t>
      </w:r>
    </w:p>
    <w:p>
      <w:pPr>
        <w:pStyle w:val="Normal"/>
        <w:rPr/>
      </w:pPr>
      <w:r>
        <w:rPr/>
        <w:t>德国</w:t>
      </w:r>
      <w:r>
        <w:rPr/>
        <w:t>TC Flights</w:t>
      </w:r>
      <w:r>
        <w:rPr/>
        <w:t>收购对国际业务扩展具有意义，六月已经完成，现金对价约</w:t>
      </w:r>
      <w:r>
        <w:rPr/>
        <w:t>3.603</w:t>
      </w:r>
      <w:r>
        <w:rPr/>
        <w:t>亿元人民币。六月末同程报表现金锚已反映该阶段交易，模型不再重复扣同一已完成收购现金。未来整合利润、费用和商誉仍然需要验证，收购已经付款并不意味着经济回报已经兑现。若后续披露购买价调整或新追加投入，才应另行更新模型。</w:t>
      </w:r>
    </w:p>
    <w:p>
      <w:pPr>
        <w:pStyle w:val="Normal"/>
        <w:rPr/>
      </w:pPr>
      <w:r>
        <w:rPr/>
        <w:t>资本配置评价需要跨多个周期，不能用单次收购故事或短期利润增长定论。公司拥有一定现金能力，同时承担结算资金、借款和股东分配责任，在酒店、海外和出行业务之间选择投入必须有回报纪律。对同程长期推荐最重要的反证，是收入扩张伴随收购现金持续增加、商誉减值和每股现金创造下降，这会推翻平台复利假设。</w:t>
      </w:r>
    </w:p>
    <w:p>
      <w:pPr>
        <w:pStyle w:val="Heading2"/>
        <w:rPr/>
      </w:pPr>
      <w:r>
        <w:rPr>
          <w:color w:val="000000"/>
        </w:rPr>
        <w:t>八 半年日线 周线与价格位置</w:t>
      </w:r>
    </w:p>
    <w:p>
      <w:pPr>
        <w:pStyle w:val="Normal"/>
        <w:rPr/>
      </w:pPr>
      <w:r>
        <w:rPr/>
        <w:t>锁定行情包含</w:t>
      </w:r>
      <w:r>
        <w:rPr/>
        <w:t>739</w:t>
      </w:r>
      <w:r>
        <w:rPr/>
        <w:t>个交易日和</w:t>
      </w:r>
      <w:r>
        <w:rPr/>
        <w:t>157</w:t>
      </w:r>
      <w:r>
        <w:rPr/>
        <w:t>根周线，满足三年日线研究的基础长度，但不具备</w:t>
      </w:r>
      <w:r>
        <w:rPr/>
        <w:t>250</w:t>
      </w:r>
      <w:r>
        <w:rPr/>
        <w:t>周均线。本章不补造不存在的长期周线，也不把日线</w:t>
      </w:r>
      <w:r>
        <w:rPr/>
        <w:t>250</w:t>
      </w:r>
      <w:r>
        <w:rPr/>
        <w:t>日均线称作五年趋势。所有成交量采用股数单位，价格基准、公司行动和复权方法沿用锁定数据记录；图形只反映公开成交，不提供逐笔席位或资金身份信息。</w:t>
      </w:r>
    </w:p>
    <w:p>
      <w:pPr>
        <w:pStyle w:val="Normal"/>
        <w:rPr/>
      </w:pPr>
      <w:r>
        <w:rPr/>
        <w:t>十月九日收盘</w:t>
      </w:r>
      <w:r>
        <w:rPr/>
        <w:t>10.04</w:t>
      </w:r>
      <w:r>
        <w:rPr/>
        <w:t>港元，当日上涨</w:t>
      </w:r>
      <w:r>
        <w:rPr/>
        <w:t>1.98%</w:t>
      </w:r>
      <w:r>
        <w:rPr/>
        <w:t>，成交</w:t>
      </w:r>
      <w:r>
        <w:rPr/>
        <w:t>8665344</w:t>
      </w:r>
      <w:r>
        <w:rPr/>
        <w:t>股，成交额</w:t>
      </w:r>
      <w:r>
        <w:rPr/>
        <w:t>86838345.92</w:t>
      </w:r>
      <w:r>
        <w:rPr/>
        <w:t>港元。一个交易日反弹只能说明当天供需价格变化，不能单独确认中期转势。日线位置仍低于</w:t>
      </w:r>
      <w:r>
        <w:rPr/>
        <w:t>20</w:t>
      </w:r>
      <w:r>
        <w:rPr/>
        <w:t>、</w:t>
      </w:r>
      <w:r>
        <w:rPr/>
        <w:t>60</w:t>
      </w:r>
      <w:r>
        <w:rPr/>
        <w:t>、</w:t>
      </w:r>
      <w:r>
        <w:rPr/>
        <w:t>120</w:t>
      </w:r>
      <w:r>
        <w:rPr/>
        <w:t>和</w:t>
      </w:r>
      <w:r>
        <w:rPr/>
        <w:t>250</w:t>
      </w:r>
      <w:r>
        <w:rPr/>
        <w:t>日均线，因此本章把该日视作弱趋势中的反弹观察点，并以接下来关键价位和成交延续性决定是否升级判断。</w:t>
      </w:r>
    </w:p>
    <w:p>
      <w:pPr>
        <w:pStyle w:val="Normal"/>
        <w:rPr/>
      </w:pPr>
      <w:r>
        <w:rPr/>
        <w:t>20</w:t>
      </w:r>
      <w:r>
        <w:rPr/>
        <w:t>日均线</w:t>
      </w:r>
      <w:r>
        <w:rPr/>
        <w:t>10.27825</w:t>
      </w:r>
      <w:r>
        <w:rPr/>
        <w:t>港元，</w:t>
      </w:r>
      <w:r>
        <w:rPr/>
        <w:t>60</w:t>
      </w:r>
      <w:r>
        <w:rPr/>
        <w:t>日</w:t>
      </w:r>
      <w:r>
        <w:rPr/>
        <w:t>12.079417</w:t>
      </w:r>
      <w:r>
        <w:rPr/>
        <w:t>港元，</w:t>
      </w:r>
      <w:r>
        <w:rPr/>
        <w:t>120</w:t>
      </w:r>
      <w:r>
        <w:rPr/>
        <w:t>日</w:t>
      </w:r>
      <w:r>
        <w:rPr/>
        <w:t>13.42434</w:t>
      </w:r>
      <w:r>
        <w:rPr/>
        <w:t>港元，</w:t>
      </w:r>
      <w:r>
        <w:rPr/>
        <w:t>250</w:t>
      </w:r>
      <w:r>
        <w:rPr/>
        <w:t>日</w:t>
      </w:r>
      <w:r>
        <w:rPr/>
        <w:t>17.418409</w:t>
      </w:r>
      <w:r>
        <w:rPr/>
        <w:t>港元。现价距离依次约负</w:t>
      </w:r>
      <w:r>
        <w:rPr/>
        <w:t>2.32%</w:t>
      </w:r>
      <w:r>
        <w:rPr/>
        <w:t>、负</w:t>
      </w:r>
      <w:r>
        <w:rPr/>
        <w:t>16.88%</w:t>
      </w:r>
      <w:r>
        <w:rPr/>
        <w:t>、负</w:t>
      </w:r>
      <w:r>
        <w:rPr/>
        <w:t>25.21%</w:t>
      </w:r>
      <w:r>
        <w:rPr/>
        <w:t>和负</w:t>
      </w:r>
      <w:r>
        <w:rPr/>
        <w:t>42.36%</w:t>
      </w:r>
      <w:r>
        <w:rPr/>
        <w:t>，说明短期均线较近、较长均线仍明显高于价格。若股票仅回到</w:t>
      </w:r>
      <w:r>
        <w:rPr/>
        <w:t>20</w:t>
      </w:r>
      <w:r>
        <w:rPr/>
        <w:t>日线，投资者可以观察短期修复，不能据此宣称长期套牢结构已经消失。</w:t>
      </w:r>
    </w:p>
    <w:p>
      <w:pPr>
        <w:pStyle w:val="Normal"/>
        <w:rPr/>
      </w:pPr>
      <w:r>
        <w:rPr/>
        <w:t>四条日均线在锁定算法窗口内斜率均为负，约为负</w:t>
      </w:r>
      <w:r>
        <w:rPr/>
        <w:t>3.50%</w:t>
      </w:r>
      <w:r>
        <w:rPr/>
        <w:t>、负</w:t>
      </w:r>
      <w:r>
        <w:rPr/>
        <w:t>1.75%</w:t>
      </w:r>
      <w:r>
        <w:rPr/>
        <w:t>、负</w:t>
      </w:r>
      <w:r>
        <w:rPr/>
        <w:t>2.53%</w:t>
      </w:r>
      <w:r>
        <w:rPr/>
        <w:t>和负</w:t>
      </w:r>
      <w:r>
        <w:rPr/>
        <w:t>1.42%</w:t>
      </w:r>
      <w:r>
        <w:rPr/>
        <w:t>。斜率需要与算法窗口一致，不能解释为每天都下降同样比例。均线位置和下降方向共同支持偏弱趋势判断，且多条均线属于同一价格信息，不重复作为四项独立技术优势或风险评分。</w:t>
      </w:r>
    </w:p>
    <w:p>
      <w:pPr>
        <w:pStyle w:val="Normal"/>
        <w:rPr/>
      </w:pPr>
      <w:r>
        <w:rPr/>
        <w:t>二十日收益负</w:t>
      </w:r>
      <w:r>
        <w:rPr/>
        <w:t>7.12%</w:t>
      </w:r>
      <w:r>
        <w:rPr/>
        <w:t>，六十日负</w:t>
      </w:r>
      <w:r>
        <w:rPr/>
        <w:t>22.65%</w:t>
      </w:r>
      <w:r>
        <w:rPr/>
        <w:t>，显示弱势并非仅最后一个交易日波动。阶段支撑参考</w:t>
      </w:r>
      <w:r>
        <w:rPr/>
        <w:t>9.645</w:t>
      </w:r>
      <w:r>
        <w:rPr/>
        <w:t>港元，距离现价约负</w:t>
      </w:r>
      <w:r>
        <w:rPr/>
        <w:t>3.93%</w:t>
      </w:r>
      <w:r>
        <w:rPr/>
        <w:t>；二十日阻力</w:t>
      </w:r>
      <w:r>
        <w:rPr/>
        <w:t>10.83</w:t>
      </w:r>
      <w:r>
        <w:rPr/>
        <w:t>港元，向上约</w:t>
      </w:r>
      <w:r>
        <w:rPr/>
        <w:t>7.87%</w:t>
      </w:r>
      <w:r>
        <w:rPr/>
        <w:t>；六十日阻力</w:t>
      </w:r>
      <w:r>
        <w:rPr/>
        <w:t>14.57</w:t>
      </w:r>
      <w:r>
        <w:rPr/>
        <w:t>港元，距离约</w:t>
      </w:r>
      <w:r>
        <w:rPr/>
        <w:t>45.12%</w:t>
      </w:r>
      <w:r>
        <w:rPr/>
        <w:t>。这些来自实际阶段价格范围，不是保证成交或不会跌破的边界，低价区仍可能形成新的更低低点。</w:t>
      </w:r>
    </w:p>
    <w:p>
      <w:pPr>
        <w:pStyle w:val="Normal"/>
        <w:rPr/>
      </w:pPr>
      <w:r>
        <w:rPr/>
        <w:t>半年技术观察可以分为三个步骤：首先价格能否守住</w:t>
      </w:r>
      <w:r>
        <w:rPr/>
        <w:t>9.645</w:t>
      </w:r>
      <w:r>
        <w:rPr/>
        <w:t>附近并减少连续新低，其次能否在</w:t>
      </w:r>
      <w:r>
        <w:rPr/>
        <w:t>10.28</w:t>
      </w:r>
      <w:r>
        <w:rPr/>
        <w:t>至</w:t>
      </w:r>
      <w:r>
        <w:rPr/>
        <w:t>10.83</w:t>
      </w:r>
      <w:r>
        <w:rPr/>
        <w:t>区间稳定成交，最后观察</w:t>
      </w:r>
      <w:r>
        <w:rPr/>
        <w:t>60</w:t>
      </w:r>
      <w:r>
        <w:rPr/>
        <w:t>日均线是否停止下降及价格能否持续站稳其上。三个步骤具有不同意义，不能把一次盘中突破与日线收盘、周线结构混为一谈。价格到达</w:t>
      </w:r>
      <w:r>
        <w:rPr/>
        <w:t>14.57</w:t>
      </w:r>
      <w:r>
        <w:rPr/>
        <w:t>也可能遭遇供应，而不是自动进入无阻力上涨。</w:t>
      </w:r>
    </w:p>
    <w:p>
      <w:pPr>
        <w:pStyle w:val="Normal"/>
        <w:rPr/>
      </w:pPr>
      <w:r>
        <w:rPr/>
        <w:t>周线</w:t>
      </w:r>
      <w:r>
        <w:rPr/>
        <w:t>20</w:t>
      </w:r>
      <w:r>
        <w:rPr/>
        <w:t>、</w:t>
      </w:r>
      <w:r>
        <w:rPr/>
        <w:t>60</w:t>
      </w:r>
      <w:r>
        <w:rPr/>
        <w:t>、</w:t>
      </w:r>
      <w:r>
        <w:rPr/>
        <w:t>120</w:t>
      </w:r>
      <w:r>
        <w:rPr/>
        <w:t>周均线分别约</w:t>
      </w:r>
      <w:r>
        <w:rPr/>
        <w:t>12.382532</w:t>
      </w:r>
      <w:r>
        <w:rPr/>
        <w:t>、</w:t>
      </w:r>
      <w:r>
        <w:rPr/>
        <w:t>17.862847</w:t>
      </w:r>
      <w:r>
        <w:rPr/>
        <w:t>和</w:t>
      </w:r>
      <w:r>
        <w:rPr/>
        <w:t>17.921112</w:t>
      </w:r>
      <w:r>
        <w:rPr/>
        <w:t>港元，均线方向也在下降。现价远低于周线中长期均线，说明长期资金持有周期上的趋势修复需要时间。半年目标可以因估值和业绩催化显著变化，但周线尚不支持把短期反弹称为已完成长周期上涨结构，技术权重较高的半年评分因此明显受到限制。</w:t>
      </w:r>
    </w:p>
    <w:p>
      <w:pPr>
        <w:pStyle w:val="Normal"/>
        <w:rPr/>
      </w:pPr>
      <w:r>
        <w:rPr/>
        <w:t>现价相对</w:t>
      </w:r>
      <w:r>
        <w:rPr/>
        <w:t>250</w:t>
      </w:r>
      <w:r>
        <w:rPr/>
        <w:t>日线的距离较大，可能反映深度回撤后的估值压缩，也可能表示市场已经重新定价未来商业环境。没有完整可核验基本面前，不能把“离均线很远”直接解释为必然均值回归。均线只是过去价格的平均，不是公允价值；若盈利预期下降，均线自身会下移，股票无需上涨也能缩小与均线的距离。</w:t>
      </w:r>
    </w:p>
    <w:p>
      <w:pPr>
        <w:pStyle w:val="Normal"/>
        <w:rPr/>
      </w:pPr>
      <w:r>
        <w:rPr/>
        <w:t>技术判断的明确失效条件包括跌破阶段支撑后无法快速收复、下跌成交量扩大且相对指数继续弱、或者财报把当前低价解释为盈利持续下修。反过来，若收盘连续站稳</w:t>
      </w:r>
      <w:r>
        <w:rPr/>
        <w:t>10.83</w:t>
      </w:r>
      <w:r>
        <w:rPr/>
        <w:t>并伴随真实量能增加、低点抬高和</w:t>
      </w:r>
      <w:r>
        <w:rPr/>
        <w:t>20</w:t>
      </w:r>
      <w:r>
        <w:rPr/>
        <w:t>日线转平，弱反弹判断可以升级。更新依据应是未来真实数据，不能因为投资者希望回本而放宽条件。</w:t>
      </w:r>
    </w:p>
    <w:p>
      <w:pPr>
        <w:pStyle w:val="Normal"/>
        <w:rPr/>
      </w:pPr>
      <w:r>
        <w:rPr/>
        <w:t>本章目标价不是按</w:t>
      </w:r>
      <w:r>
        <w:rPr/>
        <w:t>K</w:t>
      </w:r>
      <w:r>
        <w:rPr/>
        <w:t>线测幅生成，支撑阻力也不是估值模型输入。量价用于半年执行与风险判断，盈利和现金决定价值情景，两类信息相互检验。当股价向模型目标反弹而经营未改善，应降低估值兑现可信度；当经营改善但趋势仍弱，则应承认市场定价时间不确定，不能将合理价值误当成指定日期一定成交的价格。</w:t>
      </w:r>
    </w:p>
    <w:p>
      <w:pPr>
        <w:pStyle w:val="Heading2"/>
        <w:rPr/>
      </w:pPr>
      <w:r>
        <w:rPr>
          <w:color w:val="000000"/>
        </w:rPr>
        <w:t>九 量能 相对强弱与辅助指标</w:t>
      </w:r>
    </w:p>
    <w:p>
      <w:pPr>
        <w:pStyle w:val="Normal"/>
        <w:rPr/>
      </w:pPr>
      <w:r>
        <w:rPr/>
        <w:t>五日、二十日、六十日平均成交量约</w:t>
      </w:r>
      <w:r>
        <w:rPr/>
        <w:t>603.5</w:t>
      </w:r>
      <w:r>
        <w:rPr/>
        <w:t>万、</w:t>
      </w:r>
      <w:r>
        <w:rPr/>
        <w:t>799.6</w:t>
      </w:r>
      <w:r>
        <w:rPr/>
        <w:t>万和</w:t>
      </w:r>
      <w:r>
        <w:rPr/>
        <w:t>1297.5</w:t>
      </w:r>
      <w:r>
        <w:rPr/>
        <w:t>万股，短期均量明显低于六十日均量。锁定日成交量与前二十日平均</w:t>
      </w:r>
      <w:r>
        <w:rPr/>
        <w:t>851.96745</w:t>
      </w:r>
      <w:r>
        <w:rPr/>
        <w:t>万股相比，量比约</w:t>
      </w:r>
      <w:r>
        <w:rPr/>
        <w:t>1.017</w:t>
      </w:r>
      <w:r>
        <w:rPr/>
        <w:t>，属于接近平均，并不是显著放量。五日均量较低说明近期参与度减少，可以观察卖压是否收缩，但没有足够依据直接认定长期资金已经主动吸筹。</w:t>
      </w:r>
    </w:p>
    <w:p>
      <w:pPr>
        <w:pStyle w:val="Normal"/>
        <w:rPr/>
      </w:pPr>
      <w:r>
        <w:rPr/>
        <w:t>最近二十日上涨日七天、下跌日十三天，上涨日总量约</w:t>
      </w:r>
      <w:r>
        <w:rPr/>
        <w:t>6572.7</w:t>
      </w:r>
      <w:r>
        <w:rPr/>
        <w:t>万股，下跌日</w:t>
      </w:r>
      <w:r>
        <w:rPr/>
        <w:t>9418.4</w:t>
      </w:r>
      <w:r>
        <w:rPr/>
        <w:t>万股，总量比约</w:t>
      </w:r>
      <w:r>
        <w:rPr/>
        <w:t>0.698</w:t>
      </w:r>
      <w:r>
        <w:rPr/>
        <w:t>。由于上涨和下跌天数不同，总量比较需要同时考虑天数，不能把它完全解释为单位日卖盘更强。两类信息共同表明涨跌分布与价格趋势偏弱，而不是证明具体机构净卖出金额，本章也不推断交易者身份。</w:t>
      </w:r>
    </w:p>
    <w:p>
      <w:pPr>
        <w:pStyle w:val="Normal"/>
        <w:rPr/>
      </w:pPr>
      <w:r>
        <w:rPr/>
        <w:t>六十日均量高于近期均量，可能来自此前较大波动、财报或市场交易活动，并不说明当前每次下跌都在放量。真正有用的观察是突破阻力时量能能否持续高于此前均量、回踩时量能能否缩减以及价格是否守住更高低点。一天量比稍超过一不能满足这种完整关系，单纯缩量也可能意味着买卖双方都缺乏兴趣。</w:t>
      </w:r>
    </w:p>
    <w:p>
      <w:pPr>
        <w:pStyle w:val="Normal"/>
        <w:rPr/>
      </w:pPr>
      <w:r>
        <w:rPr/>
        <w:t>相对恒生指数，二十日弱约</w:t>
      </w:r>
      <w:r>
        <w:rPr/>
        <w:t>4.145</w:t>
      </w:r>
      <w:r>
        <w:rPr/>
        <w:t>个百分点、六十日弱约</w:t>
      </w:r>
      <w:r>
        <w:rPr/>
        <w:t>19.462</w:t>
      </w:r>
      <w:r>
        <w:rPr/>
        <w:t>个百分点；相对恒生科技粗基准，分别弱约</w:t>
      </w:r>
      <w:r>
        <w:rPr/>
        <w:t>4.060</w:t>
      </w:r>
      <w:r>
        <w:rPr/>
        <w:t>和</w:t>
      </w:r>
      <w:r>
        <w:rPr/>
        <w:t>9.482</w:t>
      </w:r>
      <w:r>
        <w:rPr/>
        <w:t>个百分点。恒生科技并非旅行行业的精确指数，因此只能提供港股成长风险偏好的比较。本章同时使用市场基准并承认行业基准限制，不把两个高度相关指数的弱势各自重复扣成独立风险。</w:t>
      </w:r>
    </w:p>
    <w:p>
      <w:pPr>
        <w:pStyle w:val="Normal"/>
        <w:rPr/>
      </w:pPr>
      <w:r>
        <w:rPr/>
        <w:t>若整个港股市场调整，同程仍可能下跌；但六十日相对弱势说明它还有公司或行业层面的额外因素需要解释。价格与付费用户下降、交通放缓和收购信息的时间关系可作为研究线索，却不能证明因果。投资者应同时检查行业对照、财报预期和成交结构，避免把所有下跌归因于宏观，也避免把市场共振全部理解为公司失败。</w:t>
      </w:r>
    </w:p>
    <w:p>
      <w:pPr>
        <w:pStyle w:val="Normal"/>
        <w:rPr/>
      </w:pPr>
      <w:r>
        <w:rPr/>
        <w:t>日线</w:t>
      </w:r>
      <w:r>
        <w:rPr/>
        <w:t>RSI</w:t>
      </w:r>
      <w:r>
        <w:rPr/>
        <w:t>约</w:t>
      </w:r>
      <w:r>
        <w:rPr/>
        <w:t>35.31</w:t>
      </w:r>
      <w:r>
        <w:rPr/>
        <w:t>，处于偏弱区域但没有提供必然反弹信号。</w:t>
      </w:r>
      <w:r>
        <w:rPr/>
        <w:t>RSI</w:t>
      </w:r>
      <w:r>
        <w:rPr/>
        <w:t>描述近期上涨下跌变化，价格可以在弱区停留，业务或流动性冲击也可以让指标继续下降。周线</w:t>
      </w:r>
      <w:r>
        <w:rPr/>
        <w:t>RSI</w:t>
      </w:r>
      <w:r>
        <w:rPr/>
        <w:t>约</w:t>
      </w:r>
      <w:r>
        <w:rPr/>
        <w:t>24.18</w:t>
      </w:r>
      <w:r>
        <w:rPr/>
        <w:t>提示更长周期卖压较重，仍不能单独决定底部。评分把这些作为趋势辅助，避免与均线、阶段回报重复计分。</w:t>
      </w:r>
    </w:p>
    <w:p>
      <w:pPr>
        <w:pStyle w:val="Normal"/>
        <w:rPr/>
      </w:pPr>
      <w:r>
        <w:rPr/>
        <w:t>日线</w:t>
      </w:r>
      <w:r>
        <w:rPr/>
        <w:t>MACD</w:t>
      </w:r>
      <w:r>
        <w:rPr/>
        <w:t>的</w:t>
      </w:r>
      <w:r>
        <w:rPr/>
        <w:t>DIF</w:t>
      </w:r>
      <w:r>
        <w:rPr/>
        <w:t>约负</w:t>
      </w:r>
      <w:r>
        <w:rPr/>
        <w:t>0.511588</w:t>
      </w:r>
      <w:r>
        <w:rPr/>
        <w:t>、</w:t>
      </w:r>
      <w:r>
        <w:rPr/>
        <w:t>DEA</w:t>
      </w:r>
      <w:r>
        <w:rPr/>
        <w:t>负</w:t>
      </w:r>
      <w:r>
        <w:rPr/>
        <w:t>0.563295</w:t>
      </w:r>
      <w:r>
        <w:rPr/>
        <w:t>，柱值按锁定算法约正</w:t>
      </w:r>
      <w:r>
        <w:rPr/>
        <w:t>0.103415</w:t>
      </w:r>
      <w:r>
        <w:rPr/>
        <w:t>，表现为负区间内短期动能改善。柱值转正与价格站上长期均线不是同一件事，可以出现在下跌后的反弹。周线柱仍为负，因此日周信号没有形成一致转强，本章未将日线动能改善升级为完整上升趋势。</w:t>
      </w:r>
    </w:p>
    <w:p>
      <w:pPr>
        <w:pStyle w:val="Normal"/>
        <w:rPr/>
      </w:pPr>
      <w:r>
        <w:rPr/>
        <w:t>日线</w:t>
      </w:r>
      <w:r>
        <w:rPr/>
        <w:t>ATR</w:t>
      </w:r>
      <w:r>
        <w:rPr/>
        <w:t>约</w:t>
      </w:r>
      <w:r>
        <w:rPr/>
        <w:t>0.340353</w:t>
      </w:r>
      <w:r>
        <w:rPr/>
        <w:t>港元，相当于现价</w:t>
      </w:r>
      <w:r>
        <w:rPr/>
        <w:t>3.39%</w:t>
      </w:r>
      <w:r>
        <w:rPr/>
        <w:t>，周线</w:t>
      </w:r>
      <w:r>
        <w:rPr/>
        <w:t>ATR</w:t>
      </w:r>
      <w:r>
        <w:rPr/>
        <w:t>比例约</w:t>
      </w:r>
      <w:r>
        <w:rPr/>
        <w:t>10.83%</w:t>
      </w:r>
      <w:r>
        <w:rPr/>
        <w:t>。它提示常态价格波动已经不小，</w:t>
      </w:r>
      <w:r>
        <w:rPr/>
        <w:t>9.645</w:t>
      </w:r>
      <w:r>
        <w:rPr/>
        <w:t>支撑距现价约一个多日</w:t>
      </w:r>
      <w:r>
        <w:rPr/>
        <w:t>ATR</w:t>
      </w:r>
      <w:r>
        <w:rPr/>
        <w:t>，因此技术位置容易被日常波动穿越。</w:t>
      </w:r>
      <w:r>
        <w:rPr/>
        <w:t>ATR</w:t>
      </w:r>
      <w:r>
        <w:rPr/>
        <w:t>用于理解风险和观察距离，不预测方向，也不把一个</w:t>
      </w:r>
      <w:r>
        <w:rPr/>
        <w:t>ATR</w:t>
      </w:r>
      <w:r>
        <w:rPr/>
        <w:t>之外的位置称为安全止损线；跳空及突发消息可能超出历史幅度。</w:t>
      </w:r>
    </w:p>
    <w:p>
      <w:pPr>
        <w:pStyle w:val="Normal"/>
        <w:rPr/>
      </w:pPr>
      <w:r>
        <w:rPr/>
        <w:t>本研究没有可靠逐笔成交、真实自由流通股换手及精确成交量分布资料，因此不绘制声称精确的筹码成本图。法定股数可用于股东权益估值，但不能直接替代自由流通股数计算交易换手。成交额约</w:t>
      </w:r>
      <w:r>
        <w:rPr/>
        <w:t>8684</w:t>
      </w:r>
      <w:r>
        <w:rPr/>
        <w:t>万元与成交股数是事实，市场“主力”成本或大户意图则没有证据，不写入推荐理由。</w:t>
      </w:r>
    </w:p>
    <w:p>
      <w:pPr>
        <w:pStyle w:val="Normal"/>
        <w:rPr/>
      </w:pPr>
      <w:r>
        <w:rPr/>
        <w:t>综合量价结论是弱趋势中的修复观察，未达到强势成长股的半年形态标准。对于进取投资者，估值可能提供研究价值，却不意味着必须一次建满预期持仓。技术观察的作用是减少把持续下跌误当成低风险机会的错误，同时保留经营与价格改善后升级判断的空间；这里没有提供确定买卖指令或保证收益的执行承诺。</w:t>
      </w:r>
    </w:p>
    <w:p>
      <w:pPr>
        <w:pStyle w:val="Heading2"/>
        <w:rPr/>
      </w:pPr>
      <w:r>
        <w:rPr>
          <w:color w:val="000000"/>
        </w:rPr>
        <w:t>十 估值方法与情景假设</w:t>
      </w:r>
    </w:p>
    <w:p>
      <w:pPr>
        <w:pStyle w:val="Normal"/>
        <w:rPr/>
      </w:pPr>
      <w:r>
        <w:rPr/>
        <w:t>主模型以完整费用正常经营利润为起点，扣持续服务开发、营销、行政、信用费用与租息，保留常态股酬及全部摊销，排除投资和财资收益。税后经营收益加嘀嗒可归属贡献，用经营</w:t>
      </w:r>
      <w:r>
        <w:rPr/>
        <w:t>PE</w:t>
      </w:r>
      <w:r>
        <w:rPr/>
        <w:t>近似业务价值，再加受约束现金、减债务与付款本金以及未来派发。这个方法是可解释的经营价值桥，不等于直接使用市场法定归母</w:t>
      </w:r>
      <w:r>
        <w:rPr/>
        <w:t>PE</w:t>
      </w:r>
      <w:r>
        <w:rPr/>
        <w:t>。</w:t>
      </w:r>
    </w:p>
    <w:p>
      <w:pPr>
        <w:pStyle w:val="Normal"/>
        <w:rPr/>
      </w:pPr>
      <w:r>
        <w:rPr/>
        <w:t>之所以不用全部法定利润乘</w:t>
      </w:r>
      <w:r>
        <w:rPr/>
        <w:t>PE</w:t>
      </w:r>
      <w:r>
        <w:rPr/>
        <w:t>后再加现金，是因为法定利润包括存款和投资收益，若全部资本化后再加相关资产，会重复计算财资价值。之所以不直接使用调整利润，是因为部分费用对长期股东真实存在，且公司披露的集团口径与归母不同。当前模型刻意保留经济成本，允许投资者看到正常业务在不依赖理财和费用加回时能创造多少价值。</w:t>
      </w:r>
    </w:p>
    <w:p>
      <w:pPr>
        <w:pStyle w:val="Normal"/>
        <w:rPr/>
      </w:pPr>
      <w:r>
        <w:rPr/>
        <w:t>年底基准住宿、交通、其他</w:t>
      </w:r>
      <w:r>
        <w:rPr/>
        <w:t>OTA</w:t>
      </w:r>
      <w:r>
        <w:rPr/>
        <w:t>和旅游正常收入分别为</w:t>
      </w:r>
      <w:r>
        <w:rPr/>
        <w:t>60</w:t>
      </w:r>
      <w:r>
        <w:rPr/>
        <w:t>、</w:t>
      </w:r>
      <w:r>
        <w:rPr/>
        <w:t>77</w:t>
      </w:r>
      <w:r>
        <w:rPr/>
        <w:t>、</w:t>
      </w:r>
      <w:r>
        <w:rPr/>
        <w:t>45</w:t>
      </w:r>
      <w:r>
        <w:rPr/>
        <w:t>和</w:t>
      </w:r>
      <w:r>
        <w:rPr/>
        <w:t>26.5</w:t>
      </w:r>
      <w:r>
        <w:rPr/>
        <w:t>亿元，嘀嗒</w:t>
      </w:r>
      <w:r>
        <w:rPr/>
        <w:t>4</w:t>
      </w:r>
      <w:r>
        <w:rPr/>
        <w:t>亿元，合计</w:t>
      </w:r>
      <w:r>
        <w:rPr/>
        <w:t>212.5</w:t>
      </w:r>
      <w:r>
        <w:rPr/>
        <w:t>亿元正常年率。</w:t>
      </w:r>
      <w:r>
        <w:rPr/>
        <w:t>OTA</w:t>
      </w:r>
      <w:r>
        <w:rPr/>
        <w:t>毛利率</w:t>
      </w:r>
      <w:r>
        <w:rPr/>
        <w:t>75%</w:t>
      </w:r>
      <w:r>
        <w:rPr/>
        <w:t>，旅游</w:t>
      </w:r>
      <w:r>
        <w:rPr/>
        <w:t>16%</w:t>
      </w:r>
      <w:r>
        <w:rPr/>
        <w:t>，服务开发</w:t>
      </w:r>
      <w:r>
        <w:rPr/>
        <w:t>22.5</w:t>
      </w:r>
      <w:r>
        <w:rPr/>
        <w:t>亿元、营销</w:t>
      </w:r>
      <w:r>
        <w:rPr/>
        <w:t>67</w:t>
      </w:r>
      <w:r>
        <w:rPr/>
        <w:t>亿元、行政</w:t>
      </w:r>
      <w:r>
        <w:rPr/>
        <w:t>14</w:t>
      </w:r>
      <w:r>
        <w:rPr/>
        <w:t>亿元，其他必要费用继续扣除。得到正常归母经营利润约</w:t>
      </w:r>
      <w:r>
        <w:rPr/>
        <w:t>28.185872</w:t>
      </w:r>
      <w:r>
        <w:rPr/>
        <w:t>亿元，使用</w:t>
      </w:r>
      <w:r>
        <w:rPr/>
        <w:t>12</w:t>
      </w:r>
      <w:r>
        <w:rPr/>
        <w:t>倍经营</w:t>
      </w:r>
      <w:r>
        <w:rPr/>
        <w:t>PE</w:t>
      </w:r>
      <w:r>
        <w:rPr/>
        <w:t>，并没有假设年底已经实现未来几年成熟利润。</w:t>
      </w:r>
    </w:p>
    <w:p>
      <w:pPr>
        <w:pStyle w:val="Normal"/>
        <w:rPr/>
      </w:pPr>
      <w:r>
        <w:rPr/>
        <w:t>年底悲观正常收入</w:t>
      </w:r>
      <w:r>
        <w:rPr/>
        <w:t>194.2</w:t>
      </w:r>
      <w:r>
        <w:rPr/>
        <w:t>亿元，较低组合毛利和完整费用对应归母正常利润</w:t>
      </w:r>
      <w:r>
        <w:rPr/>
        <w:t>11.778728</w:t>
      </w:r>
      <w:r>
        <w:rPr/>
        <w:t>亿元，经营</w:t>
      </w:r>
      <w:r>
        <w:rPr/>
        <w:t>PE8</w:t>
      </w:r>
      <w:r>
        <w:rPr/>
        <w:t>倍。乐观收入</w:t>
      </w:r>
      <w:r>
        <w:rPr/>
        <w:t>228.5</w:t>
      </w:r>
      <w:r>
        <w:rPr/>
        <w:t>亿元，较好毛利、变现和效率对应</w:t>
      </w:r>
      <w:r>
        <w:rPr/>
        <w:t>39.391023</w:t>
      </w:r>
      <w:r>
        <w:rPr/>
        <w:t>亿元，</w:t>
      </w:r>
      <w:r>
        <w:rPr/>
        <w:t>PE16</w:t>
      </w:r>
      <w:r>
        <w:rPr/>
        <w:t>倍。价差既来自盈利也来自倍数及现金限制，不能把三情景简化为现价加减固定百分比。每项假设均为研究判断，未冒充公司指引或机构一致预期。</w:t>
      </w:r>
    </w:p>
    <w:p>
      <w:pPr>
        <w:pStyle w:val="Normal"/>
        <w:rPr/>
      </w:pPr>
      <w:r>
        <w:rPr/>
        <w:t>半年基准正常归母利润</w:t>
      </w:r>
      <w:r>
        <w:rPr/>
        <w:t>31.91602</w:t>
      </w:r>
      <w:r>
        <w:rPr/>
        <w:t>亿元，经营</w:t>
      </w:r>
      <w:r>
        <w:rPr/>
        <w:t>PE12.5</w:t>
      </w:r>
      <w:r>
        <w:rPr/>
        <w:t>倍；一年</w:t>
      </w:r>
      <w:r>
        <w:rPr/>
        <w:t>35.782964</w:t>
      </w:r>
      <w:r>
        <w:rPr/>
        <w:t>亿元，</w:t>
      </w:r>
      <w:r>
        <w:rPr/>
        <w:t>13</w:t>
      </w:r>
      <w:r>
        <w:rPr/>
        <w:t>倍；三年</w:t>
      </w:r>
      <w:r>
        <w:rPr/>
        <w:t>46.724715</w:t>
      </w:r>
      <w:r>
        <w:rPr/>
        <w:t>亿元，</w:t>
      </w:r>
      <w:r>
        <w:rPr/>
        <w:t>13</w:t>
      </w:r>
      <w:r>
        <w:rPr/>
        <w:t>倍；五年</w:t>
      </w:r>
      <w:r>
        <w:rPr/>
        <w:t>53.805142</w:t>
      </w:r>
      <w:r>
        <w:rPr/>
        <w:t>亿元，</w:t>
      </w:r>
      <w:r>
        <w:rPr/>
        <w:t>12</w:t>
      </w:r>
      <w:r>
        <w:rPr/>
        <w:t>倍。五年盈利增长但倍数低于一年，反映业务成熟、竞争和资本配置约束。长期目标不是按照短期倍数永远扩张，也不是把每年收入增长与每年股价增长等同。</w:t>
      </w:r>
    </w:p>
    <w:p>
      <w:pPr>
        <w:pStyle w:val="Normal"/>
        <w:rPr/>
      </w:pPr>
      <w:r>
        <w:rPr/>
        <w:t>基准正常收入从年底</w:t>
      </w:r>
      <w:r>
        <w:rPr/>
        <w:t>212.5</w:t>
      </w:r>
      <w:r>
        <w:rPr/>
        <w:t>亿元到一年</w:t>
      </w:r>
      <w:r>
        <w:rPr/>
        <w:t>247.5</w:t>
      </w:r>
      <w:r>
        <w:rPr/>
        <w:t>亿元、三年</w:t>
      </w:r>
      <w:r>
        <w:rPr/>
        <w:t>317.5</w:t>
      </w:r>
      <w:r>
        <w:rPr/>
        <w:t>亿元、五年</w:t>
      </w:r>
      <w:r>
        <w:rPr/>
        <w:t>392</w:t>
      </w:r>
      <w:r>
        <w:rPr/>
        <w:t>亿元，收入结构逐步改善。相应营销、服务开发、行政、营运资金与资本预算均增长，酒店管理与国际业务需要组织支持。目标是业务和利润有条件复利，不假设收入增长无需成本。读者若不同意收入渗透，应该直接修改收入驱动，而不是只把目标价换成喜欢的数字。</w:t>
      </w:r>
    </w:p>
    <w:p>
      <w:pPr>
        <w:pStyle w:val="Normal"/>
        <w:rPr/>
      </w:pPr>
      <w:r>
        <w:rPr/>
        <w:t>所有期限使用人民币到港元</w:t>
      </w:r>
      <w:r>
        <w:rPr/>
        <w:t>1.10</w:t>
      </w:r>
      <w:r>
        <w:rPr/>
        <w:t>作为估值换算假设，基础股数与回购、稀释联动。现金锚仍为六月报表，六月后变动、嘀嗒购买、旧股息及客户储备分别处理。未来现金积累系数为年底</w:t>
      </w:r>
      <w:r>
        <w:rPr/>
        <w:t>0.20</w:t>
      </w:r>
      <w:r>
        <w:rPr/>
        <w:t>、半年</w:t>
      </w:r>
      <w:r>
        <w:rPr/>
        <w:t>0.45</w:t>
      </w:r>
      <w:r>
        <w:rPr/>
        <w:t>、一年</w:t>
      </w:r>
      <w:r>
        <w:rPr/>
        <w:t>0.85</w:t>
      </w:r>
      <w:r>
        <w:rPr/>
        <w:t>、三年</w:t>
      </w:r>
      <w:r>
        <w:rPr/>
        <w:t>2.30</w:t>
      </w:r>
      <w:r>
        <w:rPr/>
        <w:t>、五年</w:t>
      </w:r>
      <w:r>
        <w:rPr/>
        <w:t>3.65</w:t>
      </w:r>
      <w:r>
        <w:rPr/>
        <w:t>，避免把目标年率视作全期限已经实现的现金。该简化需以后续实际现金流逐步替换。</w:t>
      </w:r>
    </w:p>
    <w:p>
      <w:pPr>
        <w:pStyle w:val="Normal"/>
        <w:rPr/>
      </w:pPr>
      <w:r>
        <w:rPr/>
        <w:t>其他非经营</w:t>
      </w:r>
      <w:r>
        <w:rPr/>
        <w:t>NAV</w:t>
      </w:r>
      <w:r>
        <w:rPr/>
        <w:t>采用归属资产估计与可实现折价，基准从年底</w:t>
      </w:r>
      <w:r>
        <w:rPr/>
        <w:t>13</w:t>
      </w:r>
      <w:r>
        <w:rPr/>
        <w:t>亿元至五年</w:t>
      </w:r>
      <w:r>
        <w:rPr/>
        <w:t>27</w:t>
      </w:r>
      <w:r>
        <w:rPr/>
        <w:t>亿元，分别只计</w:t>
      </w:r>
      <w:r>
        <w:rPr/>
        <w:t>65%</w:t>
      </w:r>
      <w:r>
        <w:rPr/>
        <w:t>的实现价值。这是对非经营投资的研究假设，不是完整重估资产清单或账面每一项目的精确市场价值。不能同时加入嘀嗒全部</w:t>
      </w:r>
      <w:r>
        <w:rPr/>
        <w:t>NAV</w:t>
      </w:r>
      <w:r>
        <w:rPr/>
        <w:t>、酒店整体收购价或已经在经营盈利中体现的资产，否则会创造重复权益。</w:t>
      </w:r>
    </w:p>
    <w:p>
      <w:pPr>
        <w:pStyle w:val="Normal"/>
        <w:rPr/>
      </w:pPr>
      <w:r>
        <w:rPr/>
        <w:t>一年基准目标</w:t>
      </w:r>
      <w:r>
        <w:rPr/>
        <w:t>23.04</w:t>
      </w:r>
      <w:r>
        <w:rPr/>
        <w:t>港元，按现价上涨</w:t>
      </w:r>
      <w:r>
        <w:rPr/>
        <w:t>129.48%</w:t>
      </w:r>
      <w:r>
        <w:rPr/>
        <w:t>，含</w:t>
      </w:r>
      <w:r>
        <w:rPr/>
        <w:t>0.26</w:t>
      </w:r>
      <w:r>
        <w:rPr/>
        <w:t>港元假设股息总回报</w:t>
      </w:r>
      <w:r>
        <w:rPr/>
        <w:t>132.07%</w:t>
      </w:r>
      <w:r>
        <w:rPr/>
        <w:t>。这一空间很大，体现锁定价相对模型价值的落差，并不意味着获利概率相同或一年一定翻倍。若市场只给予更低倍数、正常利润未达标或经营储备需要增加，目标应显著下调；本章因此把回报空间与证据可信度、技术评分和悲观损失并列展示。</w:t>
      </w:r>
    </w:p>
    <w:p>
      <w:pPr>
        <w:pStyle w:val="Heading2"/>
        <w:rPr/>
      </w:pPr>
      <w:r>
        <w:rPr>
          <w:color w:val="000000"/>
        </w:rPr>
        <w:t>十一 四期限逻辑 催化剂与失败路径</w:t>
      </w:r>
    </w:p>
    <w:p>
      <w:pPr>
        <w:pStyle w:val="Normal"/>
        <w:rPr/>
      </w:pPr>
      <w:r>
        <w:rPr/>
        <w:t>半年价值逻辑是低价对现有经营现金能力的折价可能收敛，住宿与其他</w:t>
      </w:r>
      <w:r>
        <w:rPr/>
        <w:t>OTA</w:t>
      </w:r>
      <w:r>
        <w:rPr/>
        <w:t>的结构改善能够抵消交通压力。但半年内业绩信息、整合阶段和风险偏好变化的次数有限，市场不会必然快速承认模型价值。日周弱趋势权重</w:t>
      </w:r>
      <w:r>
        <w:rPr/>
        <w:t>30%</w:t>
      </w:r>
      <w:r>
        <w:rPr/>
        <w:t>，因此即使基准上涨空间大，综合只给</w:t>
      </w:r>
      <w:r>
        <w:rPr/>
        <w:t>60.9</w:t>
      </w:r>
      <w:r>
        <w:rPr/>
        <w:t>分，避免让高目标价覆盖实际入场风险和趋势证据。</w:t>
      </w:r>
    </w:p>
    <w:p>
      <w:pPr>
        <w:pStyle w:val="Normal"/>
        <w:rPr/>
      </w:pPr>
      <w:r>
        <w:rPr/>
        <w:t>半年悲观</w:t>
      </w:r>
      <w:r>
        <w:rPr/>
        <w:t>2.66</w:t>
      </w:r>
      <w:r>
        <w:rPr/>
        <w:t>港元、基准</w:t>
      </w:r>
      <w:r>
        <w:rPr/>
        <w:t>20</w:t>
      </w:r>
      <w:r>
        <w:rPr/>
        <w:t>港元、乐观</w:t>
      </w:r>
      <w:r>
        <w:rPr/>
        <w:t>39.41</w:t>
      </w:r>
      <w:r>
        <w:rPr/>
        <w:t>港元，分别对应股价负</w:t>
      </w:r>
      <w:r>
        <w:rPr/>
        <w:t>73.51%</w:t>
      </w:r>
      <w:r>
        <w:rPr/>
        <w:t>、正</w:t>
      </w:r>
      <w:r>
        <w:rPr/>
        <w:t>99.20%</w:t>
      </w:r>
      <w:r>
        <w:rPr/>
        <w:t>和正</w:t>
      </w:r>
      <w:r>
        <w:rPr/>
        <w:t>292.53%</w:t>
      </w:r>
      <w:r>
        <w:rPr/>
        <w:t>。乐观要求业务恢复与明显估值重估共同发生，并非普通旅游旺季即可实现。悲观包含交通和住宿压力、费用刚性、客户储备及并购现金，展示当前价格仍无天然底部。目标区间不是最大亏损边界，突发事件可能超出情景。</w:t>
      </w:r>
    </w:p>
    <w:p>
      <w:pPr>
        <w:pStyle w:val="Normal"/>
        <w:rPr/>
      </w:pPr>
      <w:r>
        <w:rPr/>
        <w:t>半年可观察催化剂包括季度住宿与交通收入、付费用户、费用率、嘀嗒亏损变化、收购后现金及价位修复。每项都需要公告或真实行情支持，不预告尚未公布的发布日期和数字。若收入改善但营销费用吞噬毛利，应认为催化剂质量不足；若价格上涨但用户和现金没有改善，应警惕倍数先行而非经营兑现。</w:t>
      </w:r>
    </w:p>
    <w:p>
      <w:pPr>
        <w:pStyle w:val="Normal"/>
        <w:rPr/>
      </w:pPr>
      <w:r>
        <w:rPr/>
        <w:t>一年推荐分</w:t>
      </w:r>
      <w:r>
        <w:rPr/>
        <w:t>67.6</w:t>
      </w:r>
      <w:r>
        <w:rPr/>
        <w:t>，技术权重降至</w:t>
      </w:r>
      <w:r>
        <w:rPr/>
        <w:t>15%</w:t>
      </w:r>
      <w:r>
        <w:rPr/>
        <w:t>，经营质量权重升至</w:t>
      </w:r>
      <w:r>
        <w:rPr/>
        <w:t>25%</w:t>
      </w:r>
      <w:r>
        <w:rPr/>
        <w:t>。该期限允许更多季度验证交通企稳、酒店管理收入、国际整合和</w:t>
      </w:r>
      <w:r>
        <w:rPr/>
        <w:t>AI</w:t>
      </w:r>
      <w:r>
        <w:rPr/>
        <w:t>效率。盈利与股息加回购构成收益来源，但股息不保证，回购价格和金额也可能不同于假设。最大的失败路径是新产品增长没有提高每个用户经济贡献、费用率居高且平台竞争持续侵蚀服务变现。</w:t>
      </w:r>
    </w:p>
    <w:p>
      <w:pPr>
        <w:pStyle w:val="Normal"/>
        <w:rPr/>
      </w:pPr>
      <w:r>
        <w:rPr/>
        <w:t>一年悲观</w:t>
      </w:r>
      <w:r>
        <w:rPr/>
        <w:t>0.86</w:t>
      </w:r>
      <w:r>
        <w:rPr/>
        <w:t>港元、基准</w:t>
      </w:r>
      <w:r>
        <w:rPr/>
        <w:t>23.04</w:t>
      </w:r>
      <w:r>
        <w:rPr/>
        <w:t>港元、乐观</w:t>
      </w:r>
      <w:r>
        <w:rPr/>
        <w:t>44.69</w:t>
      </w:r>
      <w:r>
        <w:rPr/>
        <w:t>港元；悲观虽仍有少量正经营利润，现金桥已经受收购、储备和资本需求压迫。模型中悲观股息</w:t>
      </w:r>
      <w:r>
        <w:rPr/>
        <w:t>0.12</w:t>
      </w:r>
      <w:r>
        <w:rPr/>
        <w:t>港元为假设派发，但若现实现金不足，公司可能停止分红，实际含息收益会更低。不能只拿基准派息估计评价压力情景，更新时必须同时调整现金和分配政策。</w:t>
      </w:r>
    </w:p>
    <w:p>
      <w:pPr>
        <w:pStyle w:val="Normal"/>
        <w:rPr/>
      </w:pPr>
      <w:r>
        <w:rPr/>
        <w:t>三年推荐分</w:t>
      </w:r>
      <w:r>
        <w:rPr/>
        <w:t>73.4</w:t>
      </w:r>
      <w:r>
        <w:rPr/>
        <w:t>，是四期限中最高。平台复购、住宿供给、酒店管理及交通交叉销售有时间形成复利，也有机会通过费用和组织效率提高利润率。三年仍然面对竞争和收购，不是单纯拿更久就降低风险。基准股价</w:t>
      </w:r>
      <w:r>
        <w:rPr/>
        <w:t>29.92</w:t>
      </w:r>
      <w:r>
        <w:rPr/>
        <w:t>港元、累计息</w:t>
      </w:r>
      <w:r>
        <w:rPr/>
        <w:t>1</w:t>
      </w:r>
      <w:r>
        <w:rPr/>
        <w:t>港元，对应含息年化</w:t>
      </w:r>
      <w:r>
        <w:rPr/>
        <w:t>45.49%</w:t>
      </w:r>
      <w:r>
        <w:rPr/>
        <w:t>，数值较高主要源于低基准价，并要求多年经营和估值假设一起成立。</w:t>
      </w:r>
    </w:p>
    <w:p>
      <w:pPr>
        <w:pStyle w:val="Normal"/>
        <w:rPr/>
      </w:pPr>
      <w:r>
        <w:rPr/>
        <w:t>三年悲观经营利润转负，未来现金消耗和必要储备使权益估计为负，目标股价因此截零。零价不是宣称公司一定破产，也不是对上市交易报价的精确预测；它表示所选经营、融资和资本假设已经无法支持普通股剩余价值。该情景不支付长期股息，投资者可以改设重组、追加融资或资产出售，但不能继续沿用盈利情景的资本分配。</w:t>
      </w:r>
    </w:p>
    <w:p>
      <w:pPr>
        <w:pStyle w:val="Normal"/>
        <w:rPr/>
      </w:pPr>
      <w:r>
        <w:rPr/>
        <w:t>五年评分</w:t>
      </w:r>
      <w:r>
        <w:rPr/>
        <w:t>72.1</w:t>
      </w:r>
      <w:r>
        <w:rPr/>
        <w:t>，经营质量权重</w:t>
      </w:r>
      <w:r>
        <w:rPr/>
        <w:t>40%</w:t>
      </w:r>
      <w:r>
        <w:rPr/>
        <w:t>，风险权重</w:t>
      </w:r>
      <w:r>
        <w:rPr/>
        <w:t>15%</w:t>
      </w:r>
      <w:r>
        <w:rPr/>
        <w:t>，技术零权重。基准</w:t>
      </w:r>
      <w:r>
        <w:rPr/>
        <w:t>31.40</w:t>
      </w:r>
      <w:r>
        <w:rPr/>
        <w:t>港元、累计息</w:t>
      </w:r>
      <w:r>
        <w:rPr/>
        <w:t>2.10</w:t>
      </w:r>
      <w:r>
        <w:rPr/>
        <w:t>港元，含息总回报</w:t>
      </w:r>
      <w:r>
        <w:rPr/>
        <w:t>233.67%</w:t>
      </w:r>
      <w:r>
        <w:rPr/>
        <w:t>、年化</w:t>
      </w:r>
      <w:r>
        <w:rPr/>
        <w:t>27.25%</w:t>
      </w:r>
      <w:r>
        <w:rPr/>
        <w:t>。五年目标相较三年增幅不大，因为倍数由</w:t>
      </w:r>
      <w:r>
        <w:rPr/>
        <w:t>13</w:t>
      </w:r>
      <w:r>
        <w:rPr/>
        <w:t>降至</w:t>
      </w:r>
      <w:r>
        <w:rPr/>
        <w:t>12</w:t>
      </w:r>
      <w:r>
        <w:rPr/>
        <w:t>、资本支出及分红扣现金、股酬稀释继续存在。增长企业也可能在较成熟阶段降低投资回报率，不能以更长期为由无限抬高价格。</w:t>
      </w:r>
    </w:p>
    <w:p>
      <w:pPr>
        <w:pStyle w:val="Normal"/>
        <w:rPr/>
      </w:pPr>
      <w:r>
        <w:rPr/>
        <w:t>长期乐观</w:t>
      </w:r>
      <w:r>
        <w:rPr/>
        <w:t>82.67</w:t>
      </w:r>
      <w:r>
        <w:rPr/>
        <w:t>港元对应住宿、酒店管理、海外与嘀嗒协同较强，正常收入与利润显著提高。它需要供给管理和组织能力通过多个周期，属于高要求的经营路线。长期悲观截零体现竞争、现金消耗和资本配置失误累积，不代表日常波动的标准区间。基准之外的结果提醒投资者：持有时长增加，同时增加复利机会和经营模型被推翻的机会。</w:t>
      </w:r>
    </w:p>
    <w:p>
      <w:pPr>
        <w:pStyle w:val="Heading2"/>
        <w:rPr/>
      </w:pPr>
      <w:r>
        <w:rPr>
          <w:color w:val="000000"/>
        </w:rPr>
        <w:t>十二 年底价格 期望值与权重敏感性</w:t>
      </w:r>
    </w:p>
    <w:p>
      <w:pPr>
        <w:pStyle w:val="Normal"/>
        <w:rPr/>
      </w:pPr>
      <w:r>
        <w:rPr/>
        <w:t>年底目标时点为</w:t>
      </w:r>
      <w:r>
        <w:rPr/>
        <w:t>2026</w:t>
      </w:r>
      <w:r>
        <w:rPr/>
        <w:t>年香港市场最后交易日，模型价格</w:t>
      </w:r>
      <w:r>
        <w:rPr/>
        <w:t>4.67</w:t>
      </w:r>
      <w:r>
        <w:rPr/>
        <w:t>、</w:t>
      </w:r>
      <w:r>
        <w:rPr/>
        <w:t>17.01</w:t>
      </w:r>
      <w:r>
        <w:rPr/>
        <w:t>、</w:t>
      </w:r>
      <w:r>
        <w:rPr/>
        <w:t>31.44</w:t>
      </w:r>
      <w:r>
        <w:rPr/>
        <w:t>港元，分别相对现价负</w:t>
      </w:r>
      <w:r>
        <w:rPr/>
        <w:t>53.49%</w:t>
      </w:r>
      <w:r>
        <w:rPr/>
        <w:t>、正</w:t>
      </w:r>
      <w:r>
        <w:rPr/>
        <w:t>69.42%</w:t>
      </w:r>
      <w:r>
        <w:rPr/>
        <w:t>和正</w:t>
      </w:r>
      <w:r>
        <w:rPr/>
        <w:t>213.15%</w:t>
      </w:r>
      <w:r>
        <w:rPr/>
        <w:t>。仅剩一个季度左右，收入信息和投资情绪变化都可能很集中，所以上涨空间绝非按剩余月份平滑形成。年底目标基于届时可见正常经营年率与市场愿意给出的估值，而不是把一年目标按时间比例缩小。</w:t>
      </w:r>
    </w:p>
    <w:p>
      <w:pPr>
        <w:pStyle w:val="Normal"/>
        <w:rPr/>
      </w:pPr>
      <w:r>
        <w:rPr/>
        <w:t>悲观年底路径是交通票务压力持续、住宿及其他业务无法覆盖完整费用增长，嘀嗒亏损并保留较高结算储备，市场只给</w:t>
      </w:r>
      <w:r>
        <w:rPr/>
        <w:t>8</w:t>
      </w:r>
      <w:r>
        <w:rPr/>
        <w:t>倍经营</w:t>
      </w:r>
      <w:r>
        <w:rPr/>
        <w:t>PE</w:t>
      </w:r>
      <w:r>
        <w:rPr/>
        <w:t>。它仍允许原业务有正利润，却显著下调每股价值，说明负面结果不必以立即经营破产为前提。若重大合规事件、退款或融资问题出现，结果可能比该情景更差，因此区间不是风险封顶。</w:t>
      </w:r>
    </w:p>
    <w:p>
      <w:pPr>
        <w:pStyle w:val="Normal"/>
        <w:rPr/>
      </w:pPr>
      <w:r>
        <w:rPr/>
        <w:t>基准年底路径要求住宿及其他</w:t>
      </w:r>
      <w:r>
        <w:rPr/>
        <w:t>OTA</w:t>
      </w:r>
      <w:r>
        <w:rPr/>
        <w:t>维持贡献，交通大体稳定，费用增长受控并且收购没有出现额外大额现金需求。正常经营利润</w:t>
      </w:r>
      <w:r>
        <w:rPr/>
        <w:t>28.19</w:t>
      </w:r>
      <w:r>
        <w:rPr/>
        <w:t>亿元与</w:t>
      </w:r>
      <w:r>
        <w:rPr/>
        <w:t>12</w:t>
      </w:r>
      <w:r>
        <w:rPr/>
        <w:t>倍经营</w:t>
      </w:r>
      <w:r>
        <w:rPr/>
        <w:t>PE</w:t>
      </w:r>
      <w:r>
        <w:rPr/>
        <w:t>能解释</w:t>
      </w:r>
      <w:r>
        <w:rPr/>
        <w:t>17.01</w:t>
      </w:r>
      <w:r>
        <w:rPr/>
        <w:t>港元，但市场重估节奏仍不确定。财报结果达到部分条件却价格未回到目标，并不自动表示基本面错误；研究需要判断估值折价原因，不能随意延长目标日来掩盖预测失败。</w:t>
      </w:r>
    </w:p>
    <w:p>
      <w:pPr>
        <w:pStyle w:val="Normal"/>
        <w:rPr/>
      </w:pPr>
      <w:r>
        <w:rPr/>
        <w:t>乐观年底路径需要用户和产品组合好转、较高毛利率与费用效率、嘀嗒不再明显拖累，以及投资者将业务给予</w:t>
      </w:r>
      <w:r>
        <w:rPr/>
        <w:t>16</w:t>
      </w:r>
      <w:r>
        <w:rPr/>
        <w:t>倍经营</w:t>
      </w:r>
      <w:r>
        <w:rPr/>
        <w:t>PE</w:t>
      </w:r>
      <w:r>
        <w:rPr/>
        <w:t>。对应</w:t>
      </w:r>
      <w:r>
        <w:rPr/>
        <w:t>31.44</w:t>
      </w:r>
      <w:r>
        <w:rPr/>
        <w:t>港元是多项有利条件同时实现的结果，不能仅因为外资机构目标较高就给予其高权重。技术若仍偏弱或经营数据未出现改善，应下调乐观权重，而不是把大空间当作正在发生的趋势。</w:t>
      </w:r>
    </w:p>
    <w:p>
      <w:pPr>
        <w:pStyle w:val="Normal"/>
        <w:rPr/>
      </w:pPr>
      <w:r>
        <w:rPr/>
        <w:t>默认判断权重为悲观</w:t>
      </w:r>
      <w:r>
        <w:rPr/>
        <w:t>25%</w:t>
      </w:r>
      <w:r>
        <w:rPr/>
        <w:t>、基准</w:t>
      </w:r>
      <w:r>
        <w:rPr/>
        <w:t>50%</w:t>
      </w:r>
      <w:r>
        <w:rPr/>
        <w:t>、乐观</w:t>
      </w:r>
      <w:r>
        <w:rPr/>
        <w:t>25%</w:t>
      </w:r>
      <w:r>
        <w:rPr/>
        <w:t>，加权期望价</w:t>
      </w:r>
      <w:r>
        <w:rPr/>
        <w:t>17.5325</w:t>
      </w:r>
      <w:r>
        <w:rPr/>
        <w:t>港元，相对现价正</w:t>
      </w:r>
      <w:r>
        <w:rPr/>
        <w:t>74.63%</w:t>
      </w:r>
      <w:r>
        <w:rPr/>
        <w:t>。这是研究主观情景权重，不是通过历史样本估计的精确概率，也不是统计置信区间。将期望价与现价比较，有助统一全名单的假设口径，但无法说明投资者一定获得该平均结果，更不能说明现实股价会围绕期望值窄幅波动。</w:t>
      </w:r>
    </w:p>
    <w:p>
      <w:pPr>
        <w:pStyle w:val="Normal"/>
        <w:rPr/>
      </w:pPr>
      <w:r>
        <w:rPr/>
        <w:t>防御权重</w:t>
      </w:r>
      <w:r>
        <w:rPr/>
        <w:t>40%</w:t>
      </w:r>
      <w:r>
        <w:rPr/>
        <w:t>、</w:t>
      </w:r>
      <w:r>
        <w:rPr/>
        <w:t>50%</w:t>
      </w:r>
      <w:r>
        <w:rPr/>
        <w:t>、</w:t>
      </w:r>
      <w:r>
        <w:rPr/>
        <w:t>10%</w:t>
      </w:r>
      <w:r>
        <w:rPr/>
        <w:t>得到</w:t>
      </w:r>
      <w:r>
        <w:rPr/>
        <w:t>13.517</w:t>
      </w:r>
      <w:r>
        <w:rPr/>
        <w:t>港元，期望回报</w:t>
      </w:r>
      <w:r>
        <w:rPr/>
        <w:t>34.63%</w:t>
      </w:r>
      <w:r>
        <w:rPr/>
        <w:t>；积极权重</w:t>
      </w:r>
      <w:r>
        <w:rPr/>
        <w:t>10%</w:t>
      </w:r>
      <w:r>
        <w:rPr/>
        <w:t>、</w:t>
      </w:r>
      <w:r>
        <w:rPr/>
        <w:t>50%</w:t>
      </w:r>
      <w:r>
        <w:rPr/>
        <w:t>、</w:t>
      </w:r>
      <w:r>
        <w:rPr/>
        <w:t>40%</w:t>
      </w:r>
      <w:r>
        <w:rPr/>
        <w:t>得到</w:t>
      </w:r>
      <w:r>
        <w:rPr/>
        <w:t>21.548</w:t>
      </w:r>
      <w:r>
        <w:rPr/>
        <w:t>港元，期望回报</w:t>
      </w:r>
      <w:r>
        <w:rPr/>
        <w:t>114.62%</w:t>
      </w:r>
      <w:r>
        <w:rPr/>
        <w:t>。两种情况下基准权重保持一半，调整尾部意见即可显著改变期望值，体现结论对判断权重敏感。读者应优先检查尾部情景的经营依据，不宜只选择收益最大的权重组合。</w:t>
      </w:r>
    </w:p>
    <w:p>
      <w:pPr>
        <w:pStyle w:val="Normal"/>
        <w:rPr/>
      </w:pPr>
      <w:r>
        <w:rPr/>
        <w:t>年底无额外假设股息，所以期望股价回报与期望含息回报相同。已经除息的</w:t>
      </w:r>
      <w:r>
        <w:rPr/>
        <w:t>2025</w:t>
      </w:r>
      <w:r>
        <w:rPr/>
        <w:t>年末期股息不应加入这段持有收益，嘀嗒旧股东特别息也与同程新持有者收益无关。年底表将现金分配与价格回报分开，是为了避免收益比较中把不同公司的历史派息、未来派息和收购股息混在一起。</w:t>
      </w:r>
    </w:p>
    <w:p>
      <w:pPr>
        <w:pStyle w:val="Normal"/>
        <w:rPr/>
      </w:pPr>
      <w:r>
        <w:rPr/>
        <w:t>年底情景更新应优先替换真正发生的信息：季度财报、债务和现金、收购后的归属与股数、业务指引以及行情修复。只有输入变化后按同一经营模型重新计算，才能称作刷新。若只修改结论文字或将某个券商目标填入基准列，现金与股数仍旧，则不构成一致模型更新；本章保存驱动与情景快照以支持后续核验。</w:t>
      </w:r>
    </w:p>
    <w:p>
      <w:pPr>
        <w:pStyle w:val="Heading2"/>
        <w:rPr/>
      </w:pPr>
      <w:r>
        <w:rPr>
          <w:color w:val="000000"/>
        </w:rPr>
        <w:t>十三 外资投行目标价的证据与用途</w:t>
      </w:r>
    </w:p>
    <w:p>
      <w:pPr>
        <w:pStyle w:val="Normal"/>
        <w:rPr/>
      </w:pPr>
      <w:r>
        <w:rPr/>
        <w:t>截止基准日，最近公开新闻中高盛九月十八日目标</w:t>
      </w:r>
      <w:r>
        <w:rPr/>
        <w:t>24</w:t>
      </w:r>
      <w:r>
        <w:rPr/>
        <w:t>港元、买入，大摩八月二十六日</w:t>
      </w:r>
      <w:r>
        <w:rPr/>
        <w:t>24</w:t>
      </w:r>
      <w:r>
        <w:rPr/>
        <w:t>港元、增持，汇丰八月二十五日</w:t>
      </w:r>
      <w:r>
        <w:rPr/>
        <w:t>18</w:t>
      </w:r>
      <w:r>
        <w:rPr/>
        <w:t>港元、买入。这些是公开新闻转述，原始完整研报未取得，最新摘要没有明确目标期限。研究不能擅自将它们都标为十二个月，也不能把摘要报道日期认定为机构模型的精确更新时刻之外的信息。</w:t>
      </w:r>
    </w:p>
    <w:p>
      <w:pPr>
        <w:pStyle w:val="Normal"/>
        <w:rPr/>
      </w:pPr>
      <w:r>
        <w:rPr/>
        <w:t>八月二十五日公开机构汇总还包括花旗</w:t>
      </w:r>
      <w:r>
        <w:rPr/>
        <w:t>22</w:t>
      </w:r>
      <w:r>
        <w:rPr/>
        <w:t>港元买入、富瑞</w:t>
      </w:r>
      <w:r>
        <w:rPr/>
        <w:t>18</w:t>
      </w:r>
      <w:r>
        <w:rPr/>
        <w:t>港元买入、瑞银</w:t>
      </w:r>
      <w:r>
        <w:rPr/>
        <w:t>18</w:t>
      </w:r>
      <w:r>
        <w:rPr/>
        <w:t>港元买入、摩通</w:t>
      </w:r>
      <w:r>
        <w:rPr/>
        <w:t>15</w:t>
      </w:r>
      <w:r>
        <w:rPr/>
        <w:t>港元中性、里昂</w:t>
      </w:r>
      <w:r>
        <w:rPr/>
        <w:t>13</w:t>
      </w:r>
      <w:r>
        <w:rPr/>
        <w:t>港元持有。目标价从</w:t>
      </w:r>
      <w:r>
        <w:rPr/>
        <w:t>13</w:t>
      </w:r>
      <w:r>
        <w:rPr/>
        <w:t>至</w:t>
      </w:r>
      <w:r>
        <w:rPr/>
        <w:t>24</w:t>
      </w:r>
      <w:r>
        <w:rPr/>
        <w:t>港元差异较大，说明机构对增长、费用、交通压力和估值倍数有不同意见。汇总新闻只是研究参照，不提供每家完整现金、股数和收入预测，因此不能用平均值替代本章可复算模型。</w:t>
      </w:r>
    </w:p>
    <w:p>
      <w:pPr>
        <w:pStyle w:val="Normal"/>
        <w:rPr/>
      </w:pPr>
      <w:r>
        <w:rPr/>
        <w:t>美银八月七日目标</w:t>
      </w:r>
      <w:r>
        <w:rPr/>
        <w:t>19</w:t>
      </w:r>
      <w:r>
        <w:rPr/>
        <w:t>港元、买入，时间早于中报结果，属于事件前意见。它虽仍在最近九十天内，也不能与中报后目标无差别使用。招银国际八月二十六日</w:t>
      </w:r>
      <w:r>
        <w:rPr/>
        <w:t>23.7</w:t>
      </w:r>
      <w:r>
        <w:rPr/>
        <w:t>港元买入、中银国际七月三十日</w:t>
      </w:r>
      <w:r>
        <w:rPr/>
        <w:t>19.5</w:t>
      </w:r>
      <w:r>
        <w:rPr/>
        <w:t>港元买入，作为其他公开机构参考单列，未冒称外资投行。机构身份、报道时间和事件先后都会影响证据的适用性。</w:t>
      </w:r>
    </w:p>
    <w:p>
      <w:pPr>
        <w:pStyle w:val="Normal"/>
        <w:rPr/>
      </w:pPr>
      <w:r>
        <w:rPr/>
        <w:t>高盛八月二十五日旧摘要明确提到十二个月目标</w:t>
      </w:r>
      <w:r>
        <w:rPr/>
        <w:t>24</w:t>
      </w:r>
      <w:r>
        <w:rPr/>
        <w:t>港元，九月十八日同价最新摘要则未明期限。研究保留旧摘要作为有期限的历史参照，同机构最新有效意见只保留一次，避免统计共识时重复计算同一机构。同价更新不代表所有假设相同，完整报告缺失时只能如实记录目标与评级，并标出无法确认的部分。</w:t>
      </w:r>
    </w:p>
    <w:p>
      <w:pPr>
        <w:pStyle w:val="Normal"/>
        <w:rPr/>
      </w:pPr>
      <w:r>
        <w:rPr/>
        <w:t>九月四日汇丰文章讨论携程</w:t>
      </w:r>
      <w:r>
        <w:rPr/>
        <w:t>48</w:t>
      </w:r>
      <w:r>
        <w:rPr/>
        <w:t>美元目标，并非同程的新目标。公司名称和旅行行业相关不足以证明代码相同，香港同程、美国携程或其他旅游证券的货币与权益结构不同。研究已将此类混入排除，不把美元目标通过汇率换算后当作同程港元目标，也不以类似中文名称或行业标题建立公司证据。</w:t>
      </w:r>
    </w:p>
    <w:p>
      <w:pPr>
        <w:pStyle w:val="Normal"/>
        <w:rPr/>
      </w:pPr>
      <w:r>
        <w:rPr/>
        <w:t>本章一年基准</w:t>
      </w:r>
      <w:r>
        <w:rPr/>
        <w:t>23.04</w:t>
      </w:r>
      <w:r>
        <w:rPr/>
        <w:t>港元接近高端公开目标，半年和年底基准较低，来源是经营年率、现金积累与不同倍数，不是机构目标按期限线性缩放。机构目标只用来检视市场观点分布，以及发现是否存在本章漏考虑的费用或增长风险。若完整研报以后公开并解释明显差异，应重新审核模型，但不因为知名机构名称就自动覆盖独立估值。</w:t>
      </w:r>
    </w:p>
    <w:p>
      <w:pPr>
        <w:pStyle w:val="Normal"/>
        <w:rPr/>
      </w:pPr>
      <w:r>
        <w:rPr/>
        <w:t>高目标价通常依赖盈利、市场倍数和兑现时间，而低评级可能更重视短期催化剂或竞争。缺少原文时，研究不能替机构编造所有假设或宣称它们已经认可嘀嗒整合和</w:t>
      </w:r>
      <w:r>
        <w:rPr/>
        <w:t>AI</w:t>
      </w:r>
      <w:r>
        <w:rPr/>
        <w:t>收益。每条记录均附报道链接、代码、币种和期限缺失标记，让读者能够核验公开事实，并与公司公告区分。</w:t>
      </w:r>
    </w:p>
    <w:p>
      <w:pPr>
        <w:pStyle w:val="Normal"/>
        <w:rPr/>
      </w:pPr>
      <w:r>
        <w:rPr/>
        <w:t>公开目标可随新业绩、汇率和风险偏好调整，持有者不应把</w:t>
      </w:r>
      <w:r>
        <w:rPr/>
        <w:t>24</w:t>
      </w:r>
      <w:r>
        <w:rPr/>
        <w:t>港元视作承诺回购价格。市场成交反映不同意见，目标价与现价差距越大越需要检查原因。尤其在技术弱势下，目标长期保持不变也可能只表示机构模型更新节奏较慢，不能直接用来认定短期下跌都是非理性抛售。</w:t>
      </w:r>
    </w:p>
    <w:p>
      <w:pPr>
        <w:pStyle w:val="Heading2"/>
        <w:rPr/>
      </w:pPr>
      <w:r>
        <w:rPr>
          <w:color w:val="000000"/>
        </w:rPr>
        <w:t>十四 推荐评分 反证与风险约束</w:t>
      </w:r>
    </w:p>
    <w:p>
      <w:pPr>
        <w:pStyle w:val="Normal"/>
        <w:rPr/>
      </w:pPr>
      <w:r>
        <w:rPr/>
        <w:t>半年六维分数依次为估值</w:t>
      </w:r>
      <w:r>
        <w:rPr/>
        <w:t>3.8</w:t>
      </w:r>
      <w:r>
        <w:rPr/>
        <w:t>、技术</w:t>
      </w:r>
      <w:r>
        <w:rPr/>
        <w:t>2.0</w:t>
      </w:r>
      <w:r>
        <w:rPr/>
        <w:t>、经营</w:t>
      </w:r>
      <w:r>
        <w:rPr/>
        <w:t>3.5</w:t>
      </w:r>
      <w:r>
        <w:rPr/>
        <w:t>、行业</w:t>
      </w:r>
      <w:r>
        <w:rPr/>
        <w:t>3.3</w:t>
      </w:r>
      <w:r>
        <w:rPr/>
        <w:t>、催化</w:t>
      </w:r>
      <w:r>
        <w:rPr/>
        <w:t>3.1</w:t>
      </w:r>
      <w:r>
        <w:rPr/>
        <w:t>、风险</w:t>
      </w:r>
      <w:r>
        <w:rPr/>
        <w:t>3.3</w:t>
      </w:r>
      <w:r>
        <w:rPr/>
        <w:t>，按</w:t>
      </w:r>
      <w:r>
        <w:rPr/>
        <w:t>25%</w:t>
      </w:r>
      <w:r>
        <w:rPr/>
        <w:t>、</w:t>
      </w:r>
      <w:r>
        <w:rPr/>
        <w:t>30%</w:t>
      </w:r>
      <w:r>
        <w:rPr/>
        <w:t>、</w:t>
      </w:r>
      <w:r>
        <w:rPr/>
        <w:t>15%</w:t>
      </w:r>
      <w:r>
        <w:rPr/>
        <w:t>、</w:t>
      </w:r>
      <w:r>
        <w:rPr/>
        <w:t>10%</w:t>
      </w:r>
      <w:r>
        <w:rPr/>
        <w:t>、</w:t>
      </w:r>
      <w:r>
        <w:rPr/>
        <w:t>10%</w:t>
      </w:r>
      <w:r>
        <w:rPr/>
        <w:t>、</w:t>
      </w:r>
      <w:r>
        <w:rPr/>
        <w:t>10%</w:t>
      </w:r>
      <w:r>
        <w:rPr/>
        <w:t>计算</w:t>
      </w:r>
      <w:r>
        <w:rPr/>
        <w:t>60.9</w:t>
      </w:r>
      <w:r>
        <w:rPr/>
        <w:t>分。技术较低来自多条均线下降、相对弱和量能未形成一致转强；估值较高来自完整费用盈利和当前低价差距。两类证据并列，使评分不被单一上涨空间主导。</w:t>
      </w:r>
    </w:p>
    <w:p>
      <w:pPr>
        <w:pStyle w:val="Normal"/>
        <w:rPr/>
      </w:pPr>
      <w:r>
        <w:rPr/>
        <w:t>一年六维</w:t>
      </w:r>
      <w:r>
        <w:rPr/>
        <w:t>4.0</w:t>
      </w:r>
      <w:r>
        <w:rPr/>
        <w:t>、</w:t>
      </w:r>
      <w:r>
        <w:rPr/>
        <w:t>2.0</w:t>
      </w:r>
      <w:r>
        <w:rPr/>
        <w:t>、</w:t>
      </w:r>
      <w:r>
        <w:rPr/>
        <w:t>3.6</w:t>
      </w:r>
      <w:r>
        <w:rPr/>
        <w:t>、</w:t>
      </w:r>
      <w:r>
        <w:rPr/>
        <w:t>3.6</w:t>
      </w:r>
      <w:r>
        <w:rPr/>
        <w:t>、</w:t>
      </w:r>
      <w:r>
        <w:rPr/>
        <w:t>3.2</w:t>
      </w:r>
      <w:r>
        <w:rPr/>
        <w:t>、</w:t>
      </w:r>
      <w:r>
        <w:rPr/>
        <w:t>3.2</w:t>
      </w:r>
      <w:r>
        <w:rPr/>
        <w:t>，合计</w:t>
      </w:r>
      <w:r>
        <w:rPr/>
        <w:t>67.6</w:t>
      </w:r>
      <w:r>
        <w:rPr/>
        <w:t>；三年</w:t>
      </w:r>
      <w:r>
        <w:rPr/>
        <w:t>4.0</w:t>
      </w:r>
      <w:r>
        <w:rPr/>
        <w:t>、</w:t>
      </w:r>
      <w:r>
        <w:rPr/>
        <w:t>2.0</w:t>
      </w:r>
      <w:r>
        <w:rPr/>
        <w:t>、</w:t>
      </w:r>
      <w:r>
        <w:rPr/>
        <w:t>3.8</w:t>
      </w:r>
      <w:r>
        <w:rPr/>
        <w:t>、</w:t>
      </w:r>
      <w:r>
        <w:rPr/>
        <w:t>3.9</w:t>
      </w:r>
      <w:r>
        <w:rPr/>
        <w:t>、</w:t>
      </w:r>
      <w:r>
        <w:rPr/>
        <w:t>3.2</w:t>
      </w:r>
      <w:r>
        <w:rPr/>
        <w:t>、</w:t>
      </w:r>
      <w:r>
        <w:rPr/>
        <w:t>3.0</w:t>
      </w:r>
      <w:r>
        <w:rPr/>
        <w:t>，合计</w:t>
      </w:r>
      <w:r>
        <w:rPr/>
        <w:t>73.4</w:t>
      </w:r>
      <w:r>
        <w:rPr/>
        <w:t>；五年</w:t>
      </w:r>
      <w:r>
        <w:rPr/>
        <w:t>3.7</w:t>
      </w:r>
      <w:r>
        <w:rPr/>
        <w:t>、</w:t>
      </w:r>
      <w:r>
        <w:rPr/>
        <w:t>2.0</w:t>
      </w:r>
      <w:r>
        <w:rPr/>
        <w:t>、</w:t>
      </w:r>
      <w:r>
        <w:rPr/>
        <w:t>3.8</w:t>
      </w:r>
      <w:r>
        <w:rPr/>
        <w:t>、</w:t>
      </w:r>
      <w:r>
        <w:rPr/>
        <w:t>3.8</w:t>
      </w:r>
      <w:r>
        <w:rPr/>
        <w:t>、</w:t>
      </w:r>
      <w:r>
        <w:rPr/>
        <w:t>3.0</w:t>
      </w:r>
      <w:r>
        <w:rPr/>
        <w:t>、</w:t>
      </w:r>
      <w:r>
        <w:rPr/>
        <w:t>2.9</w:t>
      </w:r>
      <w:r>
        <w:rPr/>
        <w:t>，合计</w:t>
      </w:r>
      <w:r>
        <w:rPr/>
        <w:t>72.1</w:t>
      </w:r>
      <w:r>
        <w:rPr/>
        <w:t>。五年技术权重为零，仍保留原始技术观察但不计分。风险维度分数越高代表财务治理与下行防护相对较好，不能误读为风险越大越加分。</w:t>
      </w:r>
    </w:p>
    <w:p>
      <w:pPr>
        <w:pStyle w:val="Normal"/>
        <w:rPr/>
      </w:pPr>
      <w:r>
        <w:rPr/>
        <w:t>最直接的经营反证，是交通收入在环境改善后仍持续下降、月付费用户继续明显下滑，住宿增长依赖更大补贴且营销费用率上升。这将说明平台交叉销售和用户经济价值没有达到模型假设。届时应下调收入、毛利与效率，并重新计算目标价，而不是仅以增长阶段投入为由延迟验证。</w:t>
      </w:r>
    </w:p>
    <w:p>
      <w:pPr>
        <w:pStyle w:val="Normal"/>
        <w:rPr/>
      </w:pPr>
      <w:r>
        <w:rPr/>
        <w:t>酒店管理反证包括在营增长落后于储备、实际服务收入偏弱、加盟商退出和费用增长快于收入。签约数量本身不能抵消这些结果，因为股东收益由履约和现金决定。若旅游业务重新持续亏损，或其他</w:t>
      </w:r>
      <w:r>
        <w:rPr/>
        <w:t>OTA</w:t>
      </w:r>
      <w:r>
        <w:rPr/>
        <w:t>增长主要来自低质量并表，也需降低组合改善判断，不能沿用“其他收入快速增长”作为长期利润证据。</w:t>
      </w:r>
    </w:p>
    <w:p>
      <w:pPr>
        <w:pStyle w:val="Normal"/>
        <w:rPr/>
      </w:pPr>
      <w:r>
        <w:rPr/>
        <w:t>现金反证包括预收结算流入减弱、退款增加、短债负担上升、受限资金增加或并购付款高于假设。六月广义现金锚如果不能转化为真实可归属现金，低价安全垫就会缩小。研究应同时提高运营储备、增加资本需求和调整股数，融资稀释不能只写在风险段落却从估值分母中删除。</w:t>
      </w:r>
    </w:p>
    <w:p>
      <w:pPr>
        <w:pStyle w:val="Normal"/>
        <w:rPr/>
      </w:pPr>
      <w:r>
        <w:rPr/>
        <w:t>嘀嗒反证是收入和用户协同未形成、经营亏损扩大、安全合规成本上升或后续继续收购需要额外资金。收购控制权不是扭亏证据，特别息后的可用现金也不能无限补贴经营。若真实购买价分摊、少数权益和现金与本章假设不同，必须整套修订经营与现金桥，不能只更改单项目标价。</w:t>
      </w:r>
    </w:p>
    <w:p>
      <w:pPr>
        <w:pStyle w:val="Normal"/>
        <w:rPr/>
      </w:pPr>
      <w:r>
        <w:rPr/>
        <w:t>治理与资本配置反证是持续高价收购、重复商誉减值、股酬稀释超过现金与盈利改善、回购在高价阶段大量进行而低价阶段缺乏能力。管理层可能有合理战略目的，但股东需要以每股现金创造检验结果。长期持有对治理的要求更高，因为错误资本动作会多年累积，较长持有期限不能消除其损失。</w:t>
      </w:r>
    </w:p>
    <w:p>
      <w:pPr>
        <w:pStyle w:val="Normal"/>
        <w:rPr/>
      </w:pPr>
      <w:r>
        <w:rPr/>
        <w:t>本章没有把评分解释为获利概率，也不把高预期回报等同低风险。低价可能同时带来高空间和高不确定性，技术弱、数据缺失及收购整合使可信度维持中。全名单同分时应先比较基准含息回报再比较悲观损失，差距小于三分属于相近梯队；同程最终排序需与其他公司统一模型证据一起确定，不能只在本章单独自封最推荐。</w:t>
      </w:r>
    </w:p>
    <w:p>
      <w:pPr>
        <w:pStyle w:val="Heading2"/>
        <w:rPr/>
      </w:pPr>
      <w:r>
        <w:rPr>
          <w:color w:val="000000"/>
        </w:rPr>
        <w:t>十五 十年经营展望与研究更新重点</w:t>
      </w:r>
    </w:p>
    <w:p>
      <w:pPr>
        <w:pStyle w:val="Normal"/>
        <w:rPr/>
      </w:pPr>
      <w:r>
        <w:rPr/>
        <w:t>十年维度，同程能否保持价值，取决于它是否从单次票务入口变成可靠、可复购的旅行服务网络。交通、住宿、供给管理和出行连接若改善用户全程体验，平台可以共享系统与获客成本；若业务只是多项并购拼接、消费者仍把它当作临时比价工具，收入规模扩大也不一定形成更强护城河。</w:t>
      </w:r>
    </w:p>
    <w:p>
      <w:pPr>
        <w:pStyle w:val="Normal"/>
        <w:rPr/>
      </w:pPr>
      <w:r>
        <w:rPr/>
        <w:t>旅行需求长期存在，但消费方式、入口和竞争会变化。通用</w:t>
      </w:r>
      <w:r>
        <w:rPr/>
        <w:t>AI</w:t>
      </w:r>
      <w:r>
        <w:rPr/>
        <w:t>、短视频、超级应用和供应商直销可能重新分配流量，企业必须保留履约和信任价值。十年观点并不要求同程独占所有旅行订单，而要求它在开放竞争中保持合理经济利益，同时不依赖不透明收费或不断提高补贴。长期收益由这种能力与买入估值共同决定。</w:t>
      </w:r>
    </w:p>
    <w:p>
      <w:pPr>
        <w:pStyle w:val="Normal"/>
        <w:rPr/>
      </w:pPr>
      <w:r>
        <w:rPr/>
        <w:t>国内大众旅游仍有频次与服务升级空间，国际业务可提供增量，但企业规模变大后增速通常放缓。模型五年采用</w:t>
      </w:r>
      <w:r>
        <w:rPr/>
        <w:t>12</w:t>
      </w:r>
      <w:r>
        <w:rPr/>
        <w:t>倍基准经营</w:t>
      </w:r>
      <w:r>
        <w:rPr/>
        <w:t>PE</w:t>
      </w:r>
      <w:r>
        <w:rPr/>
        <w:t>，十年不再给单一机械目标价，是因为竞争、组织与资本结构的不确定性进一步增加。经营展望可以讨论路径和指标，却不能用五年目标按复利直接延伸成十年确定股价。</w:t>
      </w:r>
    </w:p>
    <w:p>
      <w:pPr>
        <w:pStyle w:val="Normal"/>
        <w:rPr/>
      </w:pPr>
      <w:r>
        <w:rPr/>
        <w:t>理想的十年结果，是用户复购、酒店服务、交通连接和国际供给持续形成正常利润，现金回报能够覆盖研发、客服、资本与股东分配。较差结果则是平台入口价值被他人取得、获客依赖付费、并购不断填补增长，最后收入仍大但股东每股回报下降。两种路径的分界在经营现金和资本纪律，不在公司故事是否丰富。</w:t>
      </w:r>
    </w:p>
    <w:p>
      <w:pPr>
        <w:pStyle w:val="Normal"/>
        <w:rPr/>
      </w:pPr>
      <w:r>
        <w:rPr/>
        <w:t>后续更新首先收集真实季度业务与付费用户、费用和现金，替换六月锚后的净变动假设；其次核验嘀嗒正式并表、购买价分摊和归属现金；再次审阅法定股数、奖励股份、回购及股息；最后按相同复权和单位刷新量价。先更新可证实输入，再重新计算情景和得分，能够避免结论先行、证据事后拼接。</w:t>
      </w:r>
    </w:p>
    <w:p>
      <w:pPr>
        <w:pStyle w:val="Normal"/>
        <w:rPr/>
      </w:pPr>
      <w:r>
        <w:rPr/>
        <w:t>对同程当前研究最有价值的判断，是承认低价与弱势同时存在：正常经营模型可以解释较大上涨空间，但日周技术和用户指标要求更长验证。三年吸引力相对最高，半年需要更严格检查趋势与催化质量。未来如果经营和技术同时改善，可提升推荐；如果现金、用户或并购反证出现，应下调而不是继续以长期主义维持原目标。</w:t>
      </w:r>
    </w:p>
    <w:p>
      <w:pPr>
        <w:pStyle w:val="Heading2"/>
        <w:rPr/>
      </w:pPr>
      <w:r>
        <w:rPr>
          <w:color w:val="000000"/>
        </w:rPr>
        <w:t>来源与模型核验</w:t>
      </w:r>
    </w:p>
    <w:p>
      <w:pPr>
        <w:pStyle w:val="Normal"/>
        <w:rPr/>
      </w:pPr>
      <w:r>
        <w:rPr/>
        <w:t>正文事实以交易所原件为主，原文件及文本保存在研究证据目录。下列发布时间均为香港时间，超过市场收盘的材料保留相应标记；本章没有使用</w:t>
      </w:r>
      <w:r>
        <w:rPr/>
        <w:t>2026</w:t>
      </w:r>
      <w:r>
        <w:rPr/>
        <w:t>年</w:t>
      </w:r>
      <w:r>
        <w:rPr/>
        <w:t>10</w:t>
      </w:r>
      <w:r>
        <w:rPr/>
        <w:t>月</w:t>
      </w:r>
      <w:r>
        <w:rPr/>
        <w:t>9</w:t>
      </w:r>
      <w:r>
        <w:rPr/>
        <w:t>日之后公开信息。</w:t>
      </w:r>
    </w:p>
    <w:p>
      <w:pPr>
        <w:pStyle w:val="Normal"/>
        <w:rPr/>
      </w:pPr>
      <w:r>
        <w:rPr/>
        <w:t>- 2025</w:t>
      </w:r>
      <w:r>
        <w:rPr/>
        <w:t>年年报，</w:t>
      </w:r>
      <w:r>
        <w:rPr/>
        <w:t>2026-04-28 16:30</w:t>
      </w:r>
      <w:r>
        <w:rPr/>
        <w:t>：</w:t>
      </w:r>
      <w:r>
        <w:rPr/>
        <w:t>[</w:t>
      </w:r>
      <w:r>
        <w:rPr/>
        <w:t>公司原件</w:t>
      </w:r>
      <w:r>
        <w:rPr/>
        <w:t>](https://www1.hkexnews.hk/listedco/listconews/sehk/2026/0428/2026042800528.pdf)</w:t>
      </w:r>
      <w:r>
        <w:rPr/>
        <w:t>。</w:t>
      </w:r>
    </w:p>
    <w:p>
      <w:pPr>
        <w:pStyle w:val="Normal"/>
        <w:rPr/>
      </w:pPr>
      <w:r>
        <w:rPr/>
        <w:t>- 2025</w:t>
      </w:r>
      <w:r>
        <w:rPr/>
        <w:t>年业绩，</w:t>
      </w:r>
      <w:r>
        <w:rPr/>
        <w:t>2026-03-24 16:30</w:t>
      </w:r>
      <w:r>
        <w:rPr/>
        <w:t>：</w:t>
      </w:r>
      <w:r>
        <w:rPr/>
        <w:t>[</w:t>
      </w:r>
      <w:r>
        <w:rPr/>
        <w:t>公司原件</w:t>
      </w:r>
      <w:r>
        <w:rPr/>
        <w:t>](https://www1.hkexnews.hk/listedco/listconews/sehk/2026/0324/2026032400294.pdf)</w:t>
      </w:r>
      <w:r>
        <w:rPr/>
        <w:t>。</w:t>
      </w:r>
    </w:p>
    <w:p>
      <w:pPr>
        <w:pStyle w:val="Normal"/>
        <w:rPr/>
      </w:pPr>
      <w:r>
        <w:rPr/>
        <w:t>- 2026</w:t>
      </w:r>
      <w:r>
        <w:rPr/>
        <w:t>年中报，</w:t>
      </w:r>
      <w:r>
        <w:rPr/>
        <w:t>2026-09-11 17:00</w:t>
      </w:r>
      <w:r>
        <w:rPr/>
        <w:t>：</w:t>
      </w:r>
      <w:r>
        <w:rPr/>
        <w:t>[</w:t>
      </w:r>
      <w:r>
        <w:rPr/>
        <w:t>公司原件</w:t>
      </w:r>
      <w:r>
        <w:rPr/>
        <w:t>](https://www1.hkexnews.hk/listedco/listconews/sehk/2026/0911/2026091100567.pdf)</w:t>
      </w:r>
      <w:r>
        <w:rPr/>
        <w:t>。</w:t>
      </w:r>
    </w:p>
    <w:p>
      <w:pPr>
        <w:pStyle w:val="Normal"/>
        <w:rPr/>
      </w:pPr>
      <w:r>
        <w:rPr/>
        <w:t>- 2026</w:t>
      </w:r>
      <w:r>
        <w:rPr/>
        <w:t>年中期业绩，</w:t>
      </w:r>
      <w:r>
        <w:rPr/>
        <w:t>2026-08-24 16:30</w:t>
      </w:r>
      <w:r>
        <w:rPr/>
        <w:t>：</w:t>
      </w:r>
      <w:r>
        <w:rPr/>
        <w:t>[</w:t>
      </w:r>
      <w:r>
        <w:rPr/>
        <w:t>公司原件</w:t>
      </w:r>
      <w:r>
        <w:rPr/>
        <w:t>](https://www1.hkexnews.hk/listedco/listconews/sehk/2026/0824/2026082400456.pdf)</w:t>
      </w:r>
      <w:r>
        <w:rPr/>
        <w:t>。</w:t>
      </w:r>
    </w:p>
    <w:p>
      <w:pPr>
        <w:pStyle w:val="Normal"/>
        <w:rPr/>
      </w:pPr>
      <w:r>
        <w:rPr/>
        <w:t>- 2026</w:t>
      </w:r>
      <w:r>
        <w:rPr/>
        <w:t>年一季度业绩，</w:t>
      </w:r>
      <w:r>
        <w:rPr/>
        <w:t>2026-05-21 16:51</w:t>
      </w:r>
      <w:r>
        <w:rPr/>
        <w:t>：</w:t>
      </w:r>
      <w:r>
        <w:rPr/>
        <w:t>[</w:t>
      </w:r>
      <w:r>
        <w:rPr/>
        <w:t>公司原件</w:t>
      </w:r>
      <w:r>
        <w:rPr/>
        <w:t>](https://www1.hkexnews.hk/listedco/listconews/sehk/2026/0521/2026052100484.pdf)</w:t>
      </w:r>
      <w:r>
        <w:rPr/>
        <w:t>。</w:t>
      </w:r>
    </w:p>
    <w:p>
      <w:pPr>
        <w:pStyle w:val="Normal"/>
        <w:rPr/>
      </w:pPr>
      <w:r>
        <w:rPr/>
        <w:t xml:space="preserve">- </w:t>
      </w:r>
      <w:r>
        <w:rPr/>
        <w:t>九月股份月报，</w:t>
      </w:r>
      <w:r>
        <w:rPr/>
        <w:t>2026-10-06 17:00</w:t>
      </w:r>
      <w:r>
        <w:rPr/>
        <w:t>：</w:t>
      </w:r>
      <w:r>
        <w:rPr/>
        <w:t>[</w:t>
      </w:r>
      <w:r>
        <w:rPr/>
        <w:t>公司原件</w:t>
      </w:r>
      <w:r>
        <w:rPr/>
        <w:t>](https://www1.hkexnews.hk/listedco/listconews/sehk/2026/1006/2026100600866.pdf)</w:t>
      </w:r>
      <w:r>
        <w:rPr/>
        <w:t>。</w:t>
      </w:r>
    </w:p>
    <w:p>
      <w:pPr>
        <w:pStyle w:val="Normal"/>
        <w:rPr/>
      </w:pPr>
      <w:r>
        <w:rPr/>
        <w:t xml:space="preserve">- </w:t>
      </w:r>
      <w:r>
        <w:rPr/>
        <w:t>嘀嗒要约关闭及股份归属，</w:t>
      </w:r>
      <w:r>
        <w:rPr/>
        <w:t>2026-08-21 19:05</w:t>
      </w:r>
      <w:r>
        <w:rPr/>
        <w:t>：</w:t>
      </w:r>
      <w:r>
        <w:rPr/>
        <w:t>[</w:t>
      </w:r>
      <w:r>
        <w:rPr/>
        <w:t>公司原件</w:t>
      </w:r>
      <w:r>
        <w:rPr/>
        <w:t>](https://www1.hkexnews.hk/listedco/listconews/sehk/2026/0821/2026082101081.pdf)</w:t>
      </w:r>
      <w:r>
        <w:rPr/>
        <w:t>。</w:t>
      </w:r>
    </w:p>
    <w:p>
      <w:pPr>
        <w:pStyle w:val="Normal"/>
        <w:rPr/>
      </w:pPr>
      <w:r>
        <w:rPr/>
        <w:t xml:space="preserve">- </w:t>
      </w:r>
      <w:r>
        <w:rPr/>
        <w:t>嘀嗒要约，</w:t>
      </w:r>
      <w:r>
        <w:rPr/>
        <w:t>2026-06-29 22:28</w:t>
      </w:r>
      <w:r>
        <w:rPr/>
        <w:t>：</w:t>
      </w:r>
      <w:r>
        <w:rPr/>
        <w:t>[</w:t>
      </w:r>
      <w:r>
        <w:rPr/>
        <w:t>公司原件</w:t>
      </w:r>
      <w:r>
        <w:rPr/>
        <w:t>](https://www1.hkexnews.hk/listedco/listconews/sehk/2026/0629/2026062902445.pdf)</w:t>
      </w:r>
      <w:r>
        <w:rPr/>
        <w:t>。</w:t>
      </w:r>
    </w:p>
    <w:p>
      <w:pPr>
        <w:pStyle w:val="Normal"/>
        <w:rPr/>
      </w:pPr>
      <w:r>
        <w:rPr/>
        <w:t xml:space="preserve">- </w:t>
      </w:r>
      <w:r>
        <w:rPr/>
        <w:t>嘀嗒综合要约文件，</w:t>
      </w:r>
      <w:r>
        <w:rPr/>
        <w:t>2026-07-31 06:02</w:t>
      </w:r>
      <w:r>
        <w:rPr/>
        <w:t>：</w:t>
      </w:r>
      <w:r>
        <w:rPr/>
        <w:t>[</w:t>
      </w:r>
      <w:r>
        <w:rPr/>
        <w:t>公司原件</w:t>
      </w:r>
      <w:r>
        <w:rPr/>
        <w:t>](https://www1.hkexnews.hk/listedco/listconews/sehk/2026/0731/2026073100003.pdf)</w:t>
      </w:r>
      <w:r>
        <w:rPr/>
        <w:t>。</w:t>
      </w:r>
    </w:p>
    <w:p>
      <w:pPr>
        <w:pStyle w:val="Normal"/>
        <w:rPr/>
      </w:pPr>
      <w:r>
        <w:rPr/>
        <w:t xml:space="preserve">- </w:t>
      </w:r>
      <w:r>
        <w:rPr/>
        <w:t>嘀嗒中报，</w:t>
      </w:r>
      <w:r>
        <w:rPr/>
        <w:t>2026-09-11 16:48</w:t>
      </w:r>
      <w:r>
        <w:rPr/>
        <w:t>：</w:t>
      </w:r>
      <w:r>
        <w:rPr/>
        <w:t>[</w:t>
      </w:r>
      <w:r>
        <w:rPr/>
        <w:t>公司原件</w:t>
      </w:r>
      <w:r>
        <w:rPr/>
        <w:t>](https://www1.hkexnews.hk/listedco/listconews/sehk/2026/0911/2026091100468.pdf)</w:t>
      </w:r>
      <w:r>
        <w:rPr/>
        <w:t>。</w:t>
      </w:r>
    </w:p>
    <w:p>
      <w:pPr>
        <w:pStyle w:val="Normal"/>
        <w:rPr/>
      </w:pPr>
      <w:r>
        <w:rPr/>
        <w:t xml:space="preserve">- </w:t>
      </w:r>
      <w:r>
        <w:rPr/>
        <w:t>嘀嗒特别股息时间，</w:t>
      </w:r>
      <w:r>
        <w:rPr/>
        <w:t>2026-08-05 22:56</w:t>
      </w:r>
      <w:r>
        <w:rPr/>
        <w:t>：</w:t>
      </w:r>
      <w:r>
        <w:rPr/>
        <w:t>[</w:t>
      </w:r>
      <w:r>
        <w:rPr/>
        <w:t>公司原件</w:t>
      </w:r>
      <w:r>
        <w:rPr/>
        <w:t>](https://www1.hkexnews.hk/listedco/listconews/sehk/2026/0805/2026080502043.pdf)</w:t>
      </w:r>
      <w:r>
        <w:rPr/>
        <w:t>。</w:t>
      </w:r>
    </w:p>
    <w:p>
      <w:pPr>
        <w:pStyle w:val="Normal"/>
        <w:rPr/>
      </w:pPr>
      <w:r>
        <w:rPr/>
        <w:t xml:space="preserve">- </w:t>
      </w:r>
      <w:r>
        <w:rPr/>
        <w:t>外资机构八月二十五日目标汇总：</w:t>
      </w:r>
      <w:r>
        <w:rPr/>
        <w:t>[</w:t>
      </w:r>
      <w:r>
        <w:rPr/>
        <w:t>公开新闻</w:t>
      </w:r>
      <w:r>
        <w:rPr/>
        <w:t>](https://www.aastocks.com/sc/stocks/analysis/stock-aafn-con/00780/AAFN/NOW.1540537/research-report)</w:t>
      </w:r>
      <w:r>
        <w:rPr/>
        <w:t>。</w:t>
      </w:r>
    </w:p>
    <w:p>
      <w:pPr>
        <w:pStyle w:val="Normal"/>
        <w:rPr/>
      </w:pPr>
      <w:r>
        <w:rPr/>
        <w:t xml:space="preserve">- </w:t>
      </w:r>
      <w:r>
        <w:rPr/>
        <w:t>高盛九月十八日最新目标：</w:t>
      </w:r>
      <w:r>
        <w:rPr/>
        <w:t>[</w:t>
      </w:r>
      <w:r>
        <w:rPr/>
        <w:t>公开新闻</w:t>
      </w:r>
      <w:r>
        <w:rPr/>
        <w:t>](https://www.aastocks.com/sc/stocks/analysis/stock-aafn-con/00780/AAFN/NOW.1545319/research-report)</w:t>
      </w:r>
      <w:r>
        <w:rPr/>
        <w:t>。其他逐条报道链接、去重及缺失目标期限见总表来源记录。</w:t>
      </w:r>
    </w:p>
    <w:p>
      <w:pPr>
        <w:pStyle w:val="Normal"/>
        <w:rPr/>
      </w:pPr>
      <w:r>
        <w:rPr/>
        <w:t>公司专属模型版本为</w:t>
      </w:r>
      <w:r>
        <w:rPr/>
        <w:t>tongcheng-full-cost-operating-EV-dida-cash-v1.0</w:t>
      </w:r>
      <w:r>
        <w:rPr/>
        <w:t>。原子假设</w:t>
      </w:r>
      <w:r>
        <w:rPr/>
        <w:t>46</w:t>
      </w:r>
      <w:r>
        <w:rPr/>
        <w:t>项、五期限及三情景共</w:t>
      </w:r>
      <w:r>
        <w:rPr/>
        <w:t>690</w:t>
      </w:r>
      <w:r>
        <w:rPr/>
        <w:t>个输入记录。专属工作表按一套活动选择模型计算经营利润、现金债务和每股权益桥，比较列为逐情景计算快照，修改后需按统一流程刷新。正文有效汉字计数排除标题、结论卡、表格、来源及共用宏观内容；独立财务桥与情景复算及重复段落结果见公司核验记录。最终文件分页与视觉验收由总报告流程另行完成。</w:t>
      </w:r>
      <w:r>
        <w:br w:type="page"/>
      </w:r>
    </w:p>
    <w:p>
      <w:pPr>
        <w:pStyle w:val="Heading1"/>
        <w:rPr/>
      </w:pPr>
      <w:bookmarkStart w:id="3" w:name="__RefHeading___Toc47873_312338234"/>
      <w:bookmarkEnd w:id="3"/>
      <w:r>
        <w:rPr>
          <w:color w:val="000000"/>
        </w:rPr>
        <w:t xml:space="preserve">益方生物 </w:t>
      </w:r>
      <w:r>
        <w:rPr>
          <w:color w:val="000000"/>
        </w:rPr>
        <w:t>688382 SH</w:t>
      </w:r>
    </w:p>
    <w:p>
      <w:pPr>
        <w:pStyle w:val="Normal"/>
        <w:rPr/>
      </w:pPr>
      <w:r>
        <w:rPr/>
        <w:t xml:space="preserve">688382.SH </w:t>
      </w:r>
      <w:r>
        <w:rPr/>
        <w:t xml:space="preserve">现价 </w:t>
      </w:r>
      <w:r>
        <w:rPr/>
        <w:t>17.26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-37.29%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-37.29%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-47.12%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-47.12%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-25.78%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-25.78%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16.67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-3.39%</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9.49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-20.74%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+68.02%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16.46CNY</w:t>
      </w:r>
      <w:r>
        <w:rPr/>
        <w:t>，期望股价回报</w:t>
      </w:r>
      <w:r>
        <w:rPr/>
        <w:t>-4.62%</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6.04</w:t>
              <w:br/>
              <w:t>-65.00%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10.82</w:t>
              <w:br/>
              <w:t>-37.29%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36.41</w:t>
              <w:br/>
              <w:t>+110.97%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2.59</w:t>
              <w:br/>
              <w:t>-85.00%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9.13</w:t>
              <w:br/>
              <w:t>-47.12%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47.41</w:t>
              <w:br/>
              <w:t>+174.70%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12.81</w:t>
              <w:br/>
              <w:t>-25.78%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63.89</w:t>
              <w:br/>
              <w:t>+270.16%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-9.46%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16.67</w:t>
              <w:br/>
              <w:t>-3.39%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73.33</w:t>
              <w:br/>
              <w:t>+324.85%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A</w:t>
            </w:r>
            <w:r>
              <w:rPr>
                <w:rFonts w:ascii="微软雅黑" w:hAnsi="微软雅黑" w:eastAsia="微软雅黑"/>
                <w:sz w:val="17"/>
              </w:rPr>
              <w:t>财报</w:t>
            </w:r>
            <w:r>
              <w:rPr>
                <w:rFonts w:eastAsia="微软雅黑" w:ascii="微软雅黑" w:hAnsi="微软雅黑"/>
                <w:sz w:val="17"/>
              </w:rPr>
              <w:t>/</w:t>
            </w:r>
            <w:r>
              <w:rPr>
                <w:rFonts w:ascii="微软雅黑" w:hAnsi="微软雅黑" w:eastAsia="微软雅黑"/>
                <w:sz w:val="17"/>
              </w:rPr>
              <w:t>交易</w:t>
            </w:r>
            <w:r>
              <w:rPr>
                <w:rFonts w:eastAsia="微软雅黑" w:ascii="微软雅黑" w:hAnsi="微软雅黑"/>
                <w:sz w:val="17"/>
              </w:rPr>
              <w:t>/</w:t>
            </w:r>
            <w:r>
              <w:rPr>
                <w:rFonts w:ascii="微软雅黑" w:hAnsi="微软雅黑" w:eastAsia="微软雅黑"/>
                <w:sz w:val="17"/>
              </w:rPr>
              <w:t>草稿来源；</w:t>
            </w:r>
            <w:r>
              <w:rPr>
                <w:rFonts w:eastAsia="微软雅黑" w:ascii="微软雅黑" w:hAnsi="微软雅黑"/>
                <w:sz w:val="17"/>
              </w:rPr>
              <w:t>HKEX</w:t>
            </w:r>
            <w:r>
              <w:rPr>
                <w:rFonts w:ascii="微软雅黑" w:hAnsi="微软雅黑" w:eastAsia="微软雅黑"/>
                <w:sz w:val="17"/>
              </w:rPr>
              <w:t>草稿明确非最终，公司权利具体仍原合同缺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728</w:t>
            </w:r>
            <w:r>
              <w:rPr>
                <w:rFonts w:ascii="微软雅黑" w:hAnsi="微软雅黑" w:eastAsia="微软雅黑"/>
                <w:sz w:val="17"/>
              </w:rPr>
              <w:t>日锁版双源，行业</w:t>
            </w:r>
            <w:r>
              <w:rPr>
                <w:rFonts w:eastAsia="微软雅黑" w:ascii="微软雅黑" w:hAnsi="微软雅黑"/>
                <w:sz w:val="17"/>
              </w:rPr>
              <w:t>RS</w:t>
            </w:r>
            <w:r>
              <w:rPr>
                <w:rFonts w:ascii="微软雅黑" w:hAnsi="微软雅黑" w:eastAsia="微软雅黑"/>
                <w:sz w:val="17"/>
              </w:rPr>
              <w:t>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中低：未来许可、成功、销售、融资和费用为宽假设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I004</w:t>
      </w:r>
      <w:r>
        <w:rPr/>
        <w:t>，证券</w:t>
      </w:r>
      <w:r>
        <w:rPr/>
        <w:t>S004</w:t>
      </w:r>
      <w:r>
        <w:rPr/>
        <w:t>，</w:t>
      </w:r>
      <w:r>
        <w:rPr/>
        <w:t>688382.SH</w:t>
      </w:r>
      <w:r>
        <w:rPr/>
        <w:t>。基准</w:t>
      </w:r>
      <w:r>
        <w:rPr/>
        <w:t>2026</w:t>
      </w:r>
      <w:r>
        <w:rPr/>
        <w:t>年</w:t>
      </w:r>
      <w:r>
        <w:rPr/>
        <w:t>10</w:t>
      </w:r>
      <w:r>
        <w:rPr/>
        <w:t>月</w:t>
      </w:r>
      <w:r>
        <w:rPr/>
        <w:t>9</w:t>
      </w:r>
      <w:r>
        <w:rPr/>
        <w:t>日收盘</w:t>
      </w:r>
      <w:r>
        <w:rPr/>
        <w:t>17.26</w:t>
      </w:r>
      <w:r>
        <w:rPr/>
        <w:t>元，资料截止同日，独立初版。金额除另注外为人民币百万元。行情沿用</w:t>
      </w:r>
      <w:r>
        <w:rPr/>
        <w:t>market-v1.6</w:t>
      </w:r>
      <w:r>
        <w:rPr/>
        <w:t>锁定文件，股票输入未重新采集；模型</w:t>
      </w:r>
      <w:r>
        <w:rPr/>
        <w:t>inventis-rnpv-v1.0</w:t>
      </w:r>
      <w:r>
        <w:rPr/>
        <w:t>。公司</w:t>
      </w:r>
      <w:r>
        <w:rPr/>
        <w:t>8</w:t>
      </w:r>
      <w:r>
        <w:rPr/>
        <w:t>月重新申请</w:t>
      </w:r>
      <w:r>
        <w:rPr/>
        <w:t>H</w:t>
      </w:r>
      <w:r>
        <w:rPr/>
        <w:t>股上市，申请不等已经发行，不编</w:t>
      </w:r>
      <w:r>
        <w:rPr/>
        <w:t>H</w:t>
      </w:r>
      <w:r>
        <w:rPr/>
        <w:t>代码及募集款。</w:t>
      </w:r>
      <w:r>
        <w:rPr/>
        <w:t>8</w:t>
      </w:r>
      <w:r>
        <w:rPr/>
        <w:t>月</w:t>
      </w:r>
      <w:r>
        <w:rPr/>
        <w:t>21</w:t>
      </w:r>
      <w:r>
        <w:rPr/>
        <w:t>日港交所申请资料标明草稿，可补充公开证据，但不视为最终招股书。本章使用已核</w:t>
      </w:r>
      <w:r>
        <w:rPr/>
        <w:t>579592004</w:t>
      </w:r>
      <w:r>
        <w:rPr/>
        <w:t>股及未来压力股数。休市目标按总表此前最后交易日。</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基准股价及含分红回报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基准累计分红</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6.04 / 10.82 / 36.41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-37.29%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2.59 / 9.13 / 47.41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-47.12%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 / 12.81 / 63.89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-25.78%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 / 16.67 / 73.33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9.49 / 13.68 / 29.00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bl>
    <w:p>
      <w:pPr>
        <w:pStyle w:val="Normal"/>
        <w:rPr/>
      </w:pPr>
      <w:r>
        <w:rPr/>
      </w:r>
    </w:p>
    <w:p>
      <w:pPr>
        <w:pStyle w:val="Normal"/>
        <w:rPr/>
      </w:pPr>
      <w:r>
        <w:rPr/>
        <w:t>三、五年基准年化</w:t>
      </w:r>
      <w:r>
        <w:rPr/>
        <w:t>-9.46%</w:t>
      </w:r>
      <w:r>
        <w:rPr/>
        <w:t>、</w:t>
      </w:r>
      <w:r>
        <w:rPr/>
        <w:t>-0.69%</w:t>
      </w:r>
      <w:r>
        <w:rPr/>
        <w:t>。年底</w:t>
      </w:r>
      <w:r>
        <w:rPr/>
        <w:t>25%/50%/25%</w:t>
      </w:r>
      <w:r>
        <w:rPr/>
        <w:t>期望</w:t>
      </w:r>
      <w:r>
        <w:rPr/>
        <w:t>16.4631</w:t>
      </w:r>
      <w:r>
        <w:rPr/>
        <w:t>元、期望回报</w:t>
      </w:r>
      <w:r>
        <w:rPr/>
        <w:t>-4.62%</w:t>
      </w:r>
      <w:r>
        <w:rPr/>
        <w:t>；</w:t>
      </w:r>
      <w:r>
        <w:rPr/>
        <w:t>40%/50%/10%</w:t>
      </w:r>
      <w:r>
        <w:rPr/>
        <w:t>得到</w:t>
      </w:r>
      <w:r>
        <w:rPr/>
        <w:t>13.5371</w:t>
      </w:r>
      <w:r>
        <w:rPr/>
        <w:t>元，</w:t>
      </w:r>
      <w:r>
        <w:rPr/>
        <w:t>10%/50%/40%</w:t>
      </w:r>
      <w:r>
        <w:rPr/>
        <w:t>得到</w:t>
      </w:r>
      <w:r>
        <w:rPr/>
        <w:t>19.3892</w:t>
      </w:r>
      <w:r>
        <w:rPr/>
        <w:t>元。短期价格为现价与内在价按主观认知系数连接，完整内在值另保存：年底</w:t>
      </w:r>
      <w:r>
        <w:rPr/>
        <w:t>0 / 7.0309 / 40.7399</w:t>
      </w:r>
      <w:r>
        <w:rPr/>
        <w:t>元。三五年零元为严重失败和费用压力下普通股剩余价值截断，不等已破产或预言实际成交零元。分数不是获利概率，区间不是置信区间。结论为短期观察、长期有条件成长候选，现价基准安全空间不足，不列进取策略优先核心；全榜统一划分梯队。</w:t>
      </w:r>
    </w:p>
    <w:p>
      <w:pPr>
        <w:pStyle w:val="Heading2"/>
        <w:rPr/>
      </w:pPr>
      <w:r>
        <w:rPr>
          <w:color w:val="000000"/>
        </w:rPr>
        <w:t>投资结论</w:t>
      </w:r>
    </w:p>
    <w:p>
      <w:pPr>
        <w:pStyle w:val="Normal"/>
        <w:rPr/>
      </w:pPr>
      <w:r>
        <w:rPr/>
        <w:t>益方的两款上市药物已经证明自主小分子研发可以走到注册和商业化，但合作区域由贝达药业与正大天晴运营，上市药销售不等全部归入益方收入。股东真正获得的是销售提成、首款和条件里程碑，扣除研究、专利费及未来融资后的剩余现金。当前约</w:t>
      </w:r>
      <w:r>
        <w:rPr/>
        <w:t>100.04</w:t>
      </w:r>
      <w:r>
        <w:rPr/>
        <w:t>亿元市值主要押注</w:t>
      </w:r>
      <w:r>
        <w:rPr/>
        <w:t>TYK2</w:t>
      </w:r>
      <w:r>
        <w:rPr/>
        <w:t>、口服</w:t>
      </w:r>
      <w:r>
        <w:rPr/>
        <w:t>SERD</w:t>
      </w:r>
      <w:r>
        <w:rPr/>
        <w:t>和海外合作的新价值；仅凭现有版税不足以支撑这一价格，必须检查后续临床与资本效率。</w:t>
      </w:r>
    </w:p>
    <w:p>
      <w:pPr>
        <w:pStyle w:val="Normal"/>
        <w:rPr/>
      </w:pPr>
      <w:r>
        <w:rPr/>
        <w:t>进取策略可以接受临床不确定性，但仍应要求成功空间与买入价格匹配。</w:t>
      </w:r>
      <w:r>
        <w:rPr/>
        <w:t>D-2570</w:t>
      </w:r>
      <w:r>
        <w:rPr/>
        <w:t>在</w:t>
      </w:r>
      <w:r>
        <w:rPr/>
        <w:t>161</w:t>
      </w:r>
      <w:r>
        <w:rPr/>
        <w:t>人随机二期银屑病研究表现较强，</w:t>
      </w:r>
      <w:r>
        <w:rPr/>
        <w:t>D-0502</w:t>
      </w:r>
      <w:r>
        <w:rPr/>
        <w:t>进入中国注册三期，两者具备值得跟踪的具体依据。现价与本章保守</w:t>
      </w:r>
      <w:r>
        <w:rPr/>
        <w:t>rNPV</w:t>
      </w:r>
      <w:r>
        <w:rPr/>
        <w:t>之间仍有差距，半年技术形态也下降，故科学兴趣不自动转为最高股票推荐。乐观空间很大意味着成功时有弹性，不能用最大目标价替代基准和失败损失的比较。</w:t>
      </w:r>
    </w:p>
    <w:p>
      <w:pPr>
        <w:pStyle w:val="Normal"/>
        <w:rPr/>
      </w:pPr>
      <w:r>
        <w:rPr/>
        <w:t>上半年</w:t>
      </w:r>
      <w:r>
        <w:rPr/>
        <w:t>53.32</w:t>
      </w:r>
      <w:r>
        <w:rPr/>
        <w:t>百万元收入增长</w:t>
      </w:r>
      <w:r>
        <w:rPr/>
        <w:t>178.23%</w:t>
      </w:r>
      <w:r>
        <w:rPr/>
        <w:t>，其中港交所资料拆出预付款</w:t>
      </w:r>
      <w:r>
        <w:rPr/>
        <w:t>28.30</w:t>
      </w:r>
      <w:r>
        <w:rPr/>
        <w:t>百万元、销售版税</w:t>
      </w:r>
      <w:r>
        <w:rPr/>
        <w:t>25.02</w:t>
      </w:r>
      <w:r>
        <w:rPr/>
        <w:t>百万元，版税相比去年同期</w:t>
      </w:r>
      <w:r>
        <w:rPr/>
        <w:t>19.16</w:t>
      </w:r>
      <w:r>
        <w:rPr/>
        <w:t>百万元约增</w:t>
      </w:r>
      <w:r>
        <w:rPr/>
        <w:t>30.54%</w:t>
      </w:r>
      <w:r>
        <w:rPr/>
        <w:t>。将两者混成药品有机增长，会夸大重复收入改善。上半年归母亏</w:t>
      </w:r>
      <w:r>
        <w:rPr/>
        <w:t>137.08</w:t>
      </w:r>
      <w:r>
        <w:rPr/>
        <w:t>百万元、研发</w:t>
      </w:r>
      <w:r>
        <w:rPr/>
        <w:t>184.72</w:t>
      </w:r>
      <w:r>
        <w:rPr/>
        <w:t>百万元，收入扩张尚不足覆盖持续费用。判断一年回报需要看版税、关键研究和现金一起变化，不能仅看营收同比。</w:t>
      </w:r>
    </w:p>
    <w:p>
      <w:pPr>
        <w:pStyle w:val="Normal"/>
        <w:rPr/>
      </w:pPr>
      <w:r>
        <w:rPr/>
        <w:t>较轻银行债务与较多存款使益方资金结构好于高杠杆生物药企业，仍不能称其没有融资需求。多个自免二期、两类关键三期和海外研究在并行，成本增加、到期存款及欠款回收影响现金。</w:t>
      </w:r>
      <w:r>
        <w:rPr/>
        <w:t>H</w:t>
      </w:r>
      <w:r>
        <w:rPr/>
        <w:t>股申请可能扩大融资渠道，尚未完成的资金不能计到账。未来若临床优于本基准且许可保留良好权益，当前低目标可以被事实推翻；研究目的在于明确上调依据，而非固守一次估值。</w:t>
      </w:r>
    </w:p>
    <w:p>
      <w:pPr>
        <w:pStyle w:val="Heading2"/>
        <w:rPr/>
      </w:pPr>
      <w:r>
        <w:rPr>
          <w:color w:val="000000"/>
        </w:rPr>
        <w:t>经营模式与权益分层</w:t>
      </w:r>
    </w:p>
    <w:p>
      <w:pPr>
        <w:pStyle w:val="Normal"/>
        <w:rPr/>
      </w:pPr>
      <w:r>
        <w:rPr/>
        <w:t>益方聚焦肿瘤、自身免疫和代谢的小分子研究，生产临床用药主要委托外部</w:t>
      </w:r>
      <w:r>
        <w:rPr/>
        <w:t>CDMO</w:t>
      </w:r>
      <w:r>
        <w:rPr/>
        <w:t>，上市许可药的商业化由伙伴承担。轻制造资产降低工厂建设与闲置负担，却增加供应、质量和合作依赖。新候选药未来采用自营还是授权，会决定收入、毛利、销售费用与资本需求。本模型将已经签约的地区视为版税，未签海外地区采用明确假设的未来合作路径，不能把两种收入重复加总。</w:t>
      </w:r>
    </w:p>
    <w:p>
      <w:pPr>
        <w:pStyle w:val="Normal"/>
        <w:rPr/>
      </w:pPr>
      <w:r>
        <w:rPr/>
        <w:t>公司拥有贝福替尼和格索雷塞相关知识产权，并不意味着所有地域经济收益都完整保留。贝达许可内地、香港及台湾，且许可外地区有特定净收入分享；格索雷塞大陆由正大天晴独占，若使用其开发数据在大陆外获得收益，需要一定比例分享。所有权、开发权、商业权和数据权要逐条区分。本章有效费率已反映部分分成影响，具体合约比例缺失仍需明示。</w:t>
      </w:r>
    </w:p>
    <w:p>
      <w:pPr>
        <w:pStyle w:val="Normal"/>
        <w:rPr/>
      </w:pPr>
      <w:r>
        <w:rPr/>
        <w:t>一家公司可以拥有分子专利而把销售交给另一家公司，也可以支付第三方制造专利费以改善效率。益方</w:t>
      </w:r>
      <w:r>
        <w:rPr/>
        <w:t>2024</w:t>
      </w:r>
      <w:r>
        <w:rPr/>
        <w:t>年另签相关专利许可，贝福替尼销售相关成本与合作版税相匹配，版税收入不是完全无成本。高会计毛利不等每元收入全部自由现金。成熟版税现金与未商业化研发成本分开，再扣总部投入，才能从研发价值推导股东可获得的经济收益。</w:t>
      </w:r>
    </w:p>
    <w:p>
      <w:pPr>
        <w:pStyle w:val="Heading2"/>
        <w:rPr/>
      </w:pPr>
      <w:r>
        <w:rPr>
          <w:color w:val="000000"/>
        </w:rPr>
        <w:t>已上市资产之一 贝福替尼</w:t>
      </w:r>
    </w:p>
    <w:p>
      <w:pPr>
        <w:pStyle w:val="Normal"/>
        <w:rPr/>
      </w:pPr>
      <w:r>
        <w:rPr/>
        <w:t>贝福替尼为第三代</w:t>
      </w:r>
      <w:r>
        <w:rPr/>
        <w:t>EGFR</w:t>
      </w:r>
      <w:r>
        <w:rPr/>
        <w:t>抑制剂，一线敏感突变与后线</w:t>
      </w:r>
      <w:r>
        <w:rPr/>
        <w:t>T790M</w:t>
      </w:r>
      <w:r>
        <w:rPr/>
        <w:t>适应症均于</w:t>
      </w:r>
      <w:r>
        <w:rPr/>
        <w:t>2023</w:t>
      </w:r>
      <w:r>
        <w:rPr/>
        <w:t>年在中国获批，并纳入医保。它是已上市资产，临床批准风险与商业风险不同，不继续给已获批适应症套一阶段成功率。仍可能受竞争、定价、标签变化、药物质量和监管影响，本模型通过销售曲线及有效提成费率表达。批准不意味着所有肺癌患者都能使用，需对应突变检测和实际适应症。</w:t>
      </w:r>
    </w:p>
    <w:p>
      <w:pPr>
        <w:pStyle w:val="Normal"/>
        <w:rPr/>
      </w:pPr>
      <w:r>
        <w:rPr/>
        <w:t>EGFR</w:t>
      </w:r>
      <w:r>
        <w:rPr/>
        <w:t>市场体量大，也已形成成熟第三代药和组合疗法竞争。中国患者</w:t>
      </w:r>
      <w:r>
        <w:rPr/>
        <w:t>EGFR</w:t>
      </w:r>
      <w:r>
        <w:rPr/>
        <w:t>敏感突变相对常见，却不等公司能取得同样高份额；医生习惯、临床随访、医保价与院内覆盖很重要。伙伴贝达已有肺癌渠道，可降低益方自建销售的成本，仍需伙伴愿意投入和供货。不能用患者总人数乘单药年费用直接计算益方营收，首先应扣可治疗人群、份额、净价及合同提成。</w:t>
      </w:r>
    </w:p>
    <w:p>
      <w:pPr>
        <w:pStyle w:val="Normal"/>
        <w:rPr/>
      </w:pPr>
      <w:r>
        <w:rPr/>
        <w:t>许可模型基准峰值</w:t>
      </w:r>
      <w:r>
        <w:rPr/>
        <w:t>1200</w:t>
      </w:r>
      <w:r>
        <w:rPr/>
        <w:t>百万元、有效净版税</w:t>
      </w:r>
      <w:r>
        <w:rPr/>
        <w:t>8%</w:t>
      </w:r>
      <w:r>
        <w:rPr/>
        <w:t>，税后</w:t>
      </w:r>
      <w:r>
        <w:rPr/>
        <w:t>18%</w:t>
      </w:r>
      <w:r>
        <w:rPr/>
        <w:t>、上市销售概率为一；有效率并非公开合同真实阶梯。它已折第三方专利费和相关净收益影响，不再把同成本作为估值外另一资产。销售达到峰值的</w:t>
      </w:r>
      <w:r>
        <w:rPr/>
        <w:t>2030</w:t>
      </w:r>
      <w:r>
        <w:rPr/>
        <w:t>年为研究路径，未有保证采购。若伙伴实际净销售低于路径，或提成扣除高于本假设，既有药对估值的贡献会减少，不能拿上市时间弥补收入差距。</w:t>
      </w:r>
    </w:p>
    <w:p>
      <w:pPr>
        <w:pStyle w:val="Normal"/>
        <w:rPr/>
      </w:pPr>
      <w:r>
        <w:rPr/>
        <w:t>贝福替尼后线治疗人群还可能因一线普遍采用第三代而改变。治疗前移减少一代药耐药后</w:t>
      </w:r>
      <w:r>
        <w:rPr/>
        <w:t>T790M</w:t>
      </w:r>
      <w:r>
        <w:rPr/>
        <w:t>的传统后线池，新组合与耐药治疗也影响单药使用。公司与伙伴在辅助或联合方向推进不等这些方向已批准，初版没有把每个研究追加相同峰值。若未来扩标签有监管及临床证据，可另拆增量，但须防止同患者治疗次序在两条销售曲线中重复。</w:t>
      </w:r>
    </w:p>
    <w:p>
      <w:pPr>
        <w:pStyle w:val="Heading2"/>
        <w:rPr/>
      </w:pPr>
      <w:r>
        <w:rPr>
          <w:color w:val="000000"/>
        </w:rPr>
        <w:t>贝达里程碑及应收现金</w:t>
      </w:r>
    </w:p>
    <w:p>
      <w:pPr>
        <w:pStyle w:val="Normal"/>
        <w:rPr/>
      </w:pPr>
      <w:r>
        <w:rPr/>
        <w:t>8</w:t>
      </w:r>
      <w:r>
        <w:rPr/>
        <w:t>月</w:t>
      </w:r>
      <w:r>
        <w:rPr/>
        <w:t>21</w:t>
      </w:r>
      <w:r>
        <w:rPr/>
        <w:t>日港交所草稿说明贝达有权利义务对应的</w:t>
      </w:r>
      <w:r>
        <w:rPr/>
        <w:t>180</w:t>
      </w:r>
      <w:r>
        <w:rPr/>
        <w:t>百万元里程碑，其中</w:t>
      </w:r>
      <w:r>
        <w:rPr/>
        <w:t>2025</w:t>
      </w:r>
      <w:r>
        <w:rPr/>
        <w:t>年</w:t>
      </w:r>
      <w:r>
        <w:rPr/>
        <w:t>12</w:t>
      </w:r>
      <w:r>
        <w:rPr/>
        <w:t>月</w:t>
      </w:r>
      <w:r>
        <w:rPr/>
        <w:t>26</w:t>
      </w:r>
      <w:r>
        <w:rPr/>
        <w:t>日已付</w:t>
      </w:r>
      <w:r>
        <w:rPr/>
        <w:t>80</w:t>
      </w:r>
      <w:r>
        <w:rPr/>
        <w:t>百万元，剩余</w:t>
      </w:r>
      <w:r>
        <w:rPr/>
        <w:t>100</w:t>
      </w:r>
      <w:r>
        <w:rPr/>
        <w:t>百万元已触发而尚未结算，双方商讨支付时间与机制。未结算不等公司已经宣布司法违约，原资料说尚未正式主张违约或采取强制措施；同样也不能因保持友好关系而当欠款已收现金。报告保留已经触发、会计确认与收到现金三个不同状态。</w:t>
      </w:r>
    </w:p>
    <w:p>
      <w:pPr>
        <w:pStyle w:val="Normal"/>
        <w:rPr/>
      </w:pPr>
      <w:r>
        <w:rPr/>
        <w:t>H1</w:t>
      </w:r>
      <w:r>
        <w:rPr/>
        <w:t>毛应收</w:t>
      </w:r>
      <w:r>
        <w:rPr/>
        <w:t>116.88</w:t>
      </w:r>
      <w:r>
        <w:rPr/>
        <w:t>百万元，</w:t>
      </w:r>
      <w:r>
        <w:rPr/>
        <w:t>2</w:t>
      </w:r>
      <w:r>
        <w:rPr/>
        <w:t>至</w:t>
      </w:r>
      <w:r>
        <w:rPr/>
        <w:t>3</w:t>
      </w:r>
      <w:r>
        <w:rPr/>
        <w:t>年</w:t>
      </w:r>
      <w:r>
        <w:rPr/>
        <w:t>100</w:t>
      </w:r>
      <w:r>
        <w:rPr/>
        <w:t>百万元按</w:t>
      </w:r>
      <w:r>
        <w:rPr/>
        <w:t>30%</w:t>
      </w:r>
      <w:r>
        <w:rPr/>
        <w:t>计准备</w:t>
      </w:r>
      <w:r>
        <w:rPr/>
        <w:t>30</w:t>
      </w:r>
      <w:r>
        <w:rPr/>
        <w:t>百万元，剩余账面净</w:t>
      </w:r>
      <w:r>
        <w:rPr/>
        <w:t>70</w:t>
      </w:r>
      <w:r>
        <w:rPr/>
        <w:t>百万元。最大欠款方</w:t>
      </w:r>
      <w:r>
        <w:rPr/>
        <w:t>107.91</w:t>
      </w:r>
      <w:r>
        <w:rPr/>
        <w:t>百万元占</w:t>
      </w:r>
      <w:r>
        <w:rPr/>
        <w:t>92.33%</w:t>
      </w:r>
      <w:r>
        <w:rPr/>
        <w:t>，两客户构成全部应收。临床成功不会自动使现金及时到账，付款安排本身影响研发资金。若</w:t>
      </w:r>
      <w:r>
        <w:rPr/>
        <w:t>100</w:t>
      </w:r>
      <w:r>
        <w:rPr/>
        <w:t>百万元后续收到，应根据会计与核销情况更新现金和准备，不能再加入第二笔相同里程碑</w:t>
      </w:r>
      <w:r>
        <w:rPr/>
        <w:t>PV</w:t>
      </w:r>
      <w:r>
        <w:rPr/>
        <w:t>提高估值。</w:t>
      </w:r>
    </w:p>
    <w:p>
      <w:pPr>
        <w:pStyle w:val="Normal"/>
        <w:rPr/>
      </w:pPr>
      <w:r>
        <w:rPr/>
        <w:t>上半年新增应收坏账约</w:t>
      </w:r>
      <w:r>
        <w:rPr/>
        <w:t>0.072</w:t>
      </w:r>
      <w:r>
        <w:rPr/>
        <w:t>百万元，很小的新增费用并不说明旧风险已消失。原</w:t>
      </w:r>
      <w:r>
        <w:rPr/>
        <w:t>100</w:t>
      </w:r>
      <w:r>
        <w:rPr/>
        <w:t>百万元仍在两至三年账龄且准备未撤，现金回收是独立检验点。本模型目标现金可以通过回收压力设定变化，未另将全部</w:t>
      </w:r>
      <w:r>
        <w:rPr/>
        <w:t>100</w:t>
      </w:r>
      <w:r>
        <w:rPr/>
        <w:t>百万元作为额外资产。若催化涉及和解、支付或财务披露，应核对公告实际收款及期间，不能把预计年底解决提前写成</w:t>
      </w:r>
      <w:r>
        <w:rPr/>
        <w:t>10</w:t>
      </w:r>
      <w:r>
        <w:rPr/>
        <w:t>月</w:t>
      </w:r>
      <w:r>
        <w:rPr/>
        <w:t>9</w:t>
      </w:r>
      <w:r>
        <w:rPr/>
        <w:t>日事实。</w:t>
      </w:r>
    </w:p>
    <w:p>
      <w:pPr>
        <w:pStyle w:val="Heading2"/>
        <w:rPr/>
      </w:pPr>
      <w:r>
        <w:rPr>
          <w:color w:val="000000"/>
        </w:rPr>
        <w:t>格索雷塞的注册和合作</w:t>
      </w:r>
    </w:p>
    <w:p>
      <w:pPr>
        <w:pStyle w:val="Normal"/>
        <w:rPr/>
      </w:pPr>
      <w:r>
        <w:rPr/>
        <w:t>格索雷塞为</w:t>
      </w:r>
      <w:r>
        <w:rPr/>
        <w:t>KRAS G12C</w:t>
      </w:r>
      <w:r>
        <w:rPr/>
        <w:t>抑制剂，</w:t>
      </w:r>
      <w:r>
        <w:rPr/>
        <w:t>2024</w:t>
      </w:r>
      <w:r>
        <w:rPr/>
        <w:t>年</w:t>
      </w:r>
      <w:r>
        <w:rPr/>
        <w:t>11</w:t>
      </w:r>
      <w:r>
        <w:rPr/>
        <w:t>月在中国获批用于至少接受一种系统治疗的晚期</w:t>
      </w:r>
      <w:r>
        <w:rPr/>
        <w:t>NSCLC</w:t>
      </w:r>
      <w:r>
        <w:rPr/>
        <w:t>，</w:t>
      </w:r>
      <w:r>
        <w:rPr/>
        <w:t>2025</w:t>
      </w:r>
      <w:r>
        <w:rPr/>
        <w:t>年</w:t>
      </w:r>
      <w:r>
        <w:rPr/>
        <w:t>12</w:t>
      </w:r>
      <w:r>
        <w:rPr/>
        <w:t>月进医保。</w:t>
      </w:r>
      <w:r>
        <w:rPr/>
        <w:t>KRAS G12C</w:t>
      </w:r>
      <w:r>
        <w:rPr/>
        <w:t>不是全部</w:t>
      </w:r>
      <w:r>
        <w:rPr/>
        <w:t>KRAS</w:t>
      </w:r>
      <w:r>
        <w:rPr/>
        <w:t>突变，也不是全部肺癌；中国人群突变占比和全球总体存在差异。已批准后线产品给益方提供可重复版税，最终量价由检测覆盖、医院准入、竞争药和医保价格决定，不能以“国内自主首个临床”解释永久最高份额。</w:t>
      </w:r>
    </w:p>
    <w:p>
      <w:pPr>
        <w:pStyle w:val="Normal"/>
        <w:rPr/>
      </w:pPr>
      <w:r>
        <w:rPr/>
        <w:t>正大天晴协议于</w:t>
      </w:r>
      <w:r>
        <w:rPr/>
        <w:t>2023</w:t>
      </w:r>
      <w:r>
        <w:rPr/>
        <w:t>年</w:t>
      </w:r>
      <w:r>
        <w:rPr/>
        <w:t>8</w:t>
      </w:r>
      <w:r>
        <w:rPr/>
        <w:t>月</w:t>
      </w:r>
      <w:r>
        <w:rPr/>
        <w:t>3</w:t>
      </w:r>
      <w:r>
        <w:rPr/>
        <w:t>日签署、</w:t>
      </w:r>
      <w:r>
        <w:rPr/>
        <w:t>8</w:t>
      </w:r>
      <w:r>
        <w:rPr/>
        <w:t>月</w:t>
      </w:r>
      <w:r>
        <w:rPr/>
        <w:t>4</w:t>
      </w:r>
      <w:r>
        <w:rPr/>
        <w:t>日公告，大陆开发生产商业独占。最高</w:t>
      </w:r>
      <w:r>
        <w:rPr/>
        <w:t>550</w:t>
      </w:r>
      <w:r>
        <w:rPr/>
        <w:t>百万元首款与里程碑，包含</w:t>
      </w:r>
      <w:r>
        <w:rPr/>
        <w:t>260</w:t>
      </w:r>
      <w:r>
        <w:rPr/>
        <w:t>百万元首款及研发节点、</w:t>
      </w:r>
      <w:r>
        <w:rPr/>
        <w:t>290</w:t>
      </w:r>
      <w:r>
        <w:rPr/>
        <w:t>百万元销售节点，另有分层净销售版税。总金额不是每年收入，不是剩余全部可收，也不是未来现金现值。初版尚缺所有已履行分笔和完整阶梯，未来里程碑取低额风险调整范围，不以</w:t>
      </w:r>
      <w:r>
        <w:rPr/>
        <w:t>550</w:t>
      </w:r>
      <w:r>
        <w:rPr/>
        <w:t>百万元全额加入。</w:t>
      </w:r>
    </w:p>
    <w:p>
      <w:pPr>
        <w:pStyle w:val="Normal"/>
        <w:rPr/>
      </w:pPr>
      <w:r>
        <w:rPr/>
        <w:t>后线确认随机研究与多西他赛对照仍推进，附条件批准和常规确认要分开。已批适应症的销售成功率设一，商业曲线仍含失败压力，撤销批准等重大风险也在悲观条件列出。基准后线峰值</w:t>
      </w:r>
      <w:r>
        <w:rPr/>
        <w:t>1100</w:t>
      </w:r>
      <w:r>
        <w:rPr/>
        <w:t>百万元、有效版税</w:t>
      </w:r>
      <w:r>
        <w:rPr/>
        <w:t>10%</w:t>
      </w:r>
      <w:r>
        <w:rPr/>
        <w:t>，与贝福替尼费率不同属于模型判断，不能声称由合同得出。若获批后价格低而销量升，净销售未必按处方增长同比变化，需分别跟踪。</w:t>
      </w:r>
    </w:p>
    <w:p>
      <w:pPr>
        <w:pStyle w:val="Normal"/>
        <w:rPr/>
      </w:pPr>
      <w:r>
        <w:rPr/>
        <w:t>正大天晴负担后线确认及部分后续大陆开发，可以降低益方直接研究负担，数据共享却带来海外收益分享。授权不会同时让公司享所有销售利润和省去所有成本；初版海外有效费率低于自营现金率，体现合作优先路径。若后续真实海外许可，模型应换成合同首款、条件节点和版税，再扣数据分成。未签交易不能按国际大额标题相仿地估一笔确定首款。</w:t>
      </w:r>
    </w:p>
    <w:p>
      <w:pPr>
        <w:pStyle w:val="Heading2"/>
        <w:rPr/>
      </w:pPr>
      <w:r>
        <w:rPr>
          <w:color w:val="000000"/>
        </w:rPr>
        <w:t>一线</w:t>
      </w:r>
      <w:r>
        <w:rPr>
          <w:color w:val="000000"/>
        </w:rPr>
        <w:t>KRAS</w:t>
      </w:r>
      <w:r>
        <w:rPr>
          <w:color w:val="000000"/>
        </w:rPr>
        <w:t>联合与样本限制</w:t>
      </w:r>
    </w:p>
    <w:p>
      <w:pPr>
        <w:pStyle w:val="Normal"/>
        <w:rPr/>
      </w:pPr>
      <w:r>
        <w:rPr/>
        <w:t>格索雷塞联合</w:t>
      </w:r>
      <w:r>
        <w:rPr/>
        <w:t>FAK</w:t>
      </w:r>
      <w:r>
        <w:rPr/>
        <w:t>抑制剂</w:t>
      </w:r>
      <w:r>
        <w:rPr/>
        <w:t>ifebemtinib</w:t>
      </w:r>
      <w:r>
        <w:rPr/>
        <w:t>一线</w:t>
      </w:r>
      <w:r>
        <w:rPr/>
        <w:t>NSCLC</w:t>
      </w:r>
      <w:r>
        <w:rPr/>
        <w:t>单臂队列报告</w:t>
      </w:r>
      <w:r>
        <w:rPr/>
        <w:t>33</w:t>
      </w:r>
      <w:r>
        <w:rPr/>
        <w:t>名患者，</w:t>
      </w:r>
      <w:r>
        <w:rPr/>
        <w:t>ORR90.3%</w:t>
      </w:r>
      <w:r>
        <w:rPr/>
        <w:t>、</w:t>
      </w:r>
      <w:r>
        <w:rPr/>
        <w:t>DCR96.8%</w:t>
      </w:r>
      <w:r>
        <w:rPr/>
        <w:t>、</w:t>
      </w:r>
      <w:r>
        <w:rPr/>
        <w:t>PFS22.14</w:t>
      </w:r>
      <w:r>
        <w:rPr/>
        <w:t>个月、</w:t>
      </w:r>
      <w:r>
        <w:rPr/>
        <w:t>DOR19.38</w:t>
      </w:r>
      <w:r>
        <w:rPr/>
        <w:t>个月，</w:t>
      </w:r>
      <w:r>
        <w:rPr/>
        <w:t>OS</w:t>
      </w:r>
      <w:r>
        <w:rPr/>
        <w:t>未达到。</w:t>
      </w:r>
      <w:r>
        <w:rPr/>
        <w:t>33</w:t>
      </w:r>
      <w:r>
        <w:rPr/>
        <w:t>入组与响应百分比可能对应不同可评价分母，</w:t>
      </w:r>
      <w:r>
        <w:rPr/>
        <w:t>90.3%</w:t>
      </w:r>
      <w:r>
        <w:rPr/>
        <w:t>不能直接乘</w:t>
      </w:r>
      <w:r>
        <w:rPr/>
        <w:t>33</w:t>
      </w:r>
      <w:r>
        <w:rPr/>
        <w:t>当精确有效人数。单臂长随访有科学价值，却缺随机标准对照来分离人群选择与药物效应，本章不据它称明确延寿或优于所有免疫化疗。</w:t>
      </w:r>
    </w:p>
    <w:p>
      <w:pPr>
        <w:pStyle w:val="Normal"/>
        <w:rPr/>
      </w:pPr>
      <w:r>
        <w:rPr/>
        <w:t>联合一线随机三期正在进行，资料显示首例</w:t>
      </w:r>
      <w:r>
        <w:rPr/>
        <w:t>2026</w:t>
      </w:r>
      <w:r>
        <w:rPr/>
        <w:t>年</w:t>
      </w:r>
      <w:r>
        <w:rPr/>
        <w:t>2</w:t>
      </w:r>
      <w:r>
        <w:rPr/>
        <w:t>月；该研究与已批后线不能用同一成功判断。基准一线大陆峰值</w:t>
      </w:r>
      <w:r>
        <w:rPr/>
        <w:t>1600</w:t>
      </w:r>
      <w:r>
        <w:rPr/>
        <w:t>百万元、整体成功</w:t>
      </w:r>
      <w:r>
        <w:rPr/>
        <w:t>48%</w:t>
      </w:r>
      <w:r>
        <w:rPr/>
        <w:t>、</w:t>
      </w:r>
      <w:r>
        <w:rPr/>
        <w:t>2029</w:t>
      </w:r>
      <w:r>
        <w:rPr/>
        <w:t>上市，比已批后线折扣明显高。</w:t>
      </w:r>
      <w:r>
        <w:rPr/>
        <w:t>FAK</w:t>
      </w:r>
      <w:r>
        <w:rPr/>
        <w:t>伙伴的药品利润不归益方，合同研究数据和权益还涉及应世、天晴合作。联合有机会提高疗效和市场空间，也可能增加毒性、成本与付款复杂度。</w:t>
      </w:r>
    </w:p>
    <w:p>
      <w:pPr>
        <w:pStyle w:val="Normal"/>
        <w:rPr/>
      </w:pPr>
      <w:r>
        <w:rPr/>
        <w:t>TP53</w:t>
      </w:r>
      <w:r>
        <w:rPr/>
        <w:t>亚组差异说明生物学和人群结构会影响结果，不能只取野生型最佳数据当全人群。随机试验的基线、分层、终点和安全才决定是否能普遍使用。另一格索雷塞联合帕博利珠和化疗早期研究</w:t>
      </w:r>
      <w:r>
        <w:rPr/>
        <w:t>ORR59%</w:t>
      </w:r>
      <w:r>
        <w:rPr/>
        <w:t>、</w:t>
      </w:r>
      <w:r>
        <w:rPr/>
        <w:t>PFS7.4</w:t>
      </w:r>
      <w:r>
        <w:rPr/>
        <w:t>个月，不能与</w:t>
      </w:r>
      <w:r>
        <w:rPr/>
        <w:t>FAK</w:t>
      </w:r>
      <w:r>
        <w:rPr/>
        <w:t>方案</w:t>
      </w:r>
      <w:r>
        <w:rPr/>
        <w:t>22.14</w:t>
      </w:r>
      <w:r>
        <w:rPr/>
        <w:t>个月横比优劣；试验条件不同，净收益也不同。本模型不为每种联合路线都叠相同完整一线峰值。</w:t>
      </w:r>
    </w:p>
    <w:p>
      <w:pPr>
        <w:pStyle w:val="Heading2"/>
        <w:rPr/>
      </w:pPr>
      <w:r>
        <w:rPr>
          <w:color w:val="000000"/>
        </w:rPr>
        <w:t>CRC</w:t>
      </w:r>
      <w:r>
        <w:rPr>
          <w:color w:val="000000"/>
        </w:rPr>
        <w:t>及其他</w:t>
      </w:r>
      <w:r>
        <w:rPr>
          <w:color w:val="000000"/>
        </w:rPr>
        <w:t>KRAS</w:t>
      </w:r>
      <w:r>
        <w:rPr>
          <w:color w:val="000000"/>
        </w:rPr>
        <w:t>地区</w:t>
      </w:r>
    </w:p>
    <w:p>
      <w:pPr>
        <w:pStyle w:val="Normal"/>
        <w:rPr/>
      </w:pPr>
      <w:r>
        <w:rPr/>
        <w:t>CRC</w:t>
      </w:r>
      <w:r>
        <w:rPr/>
        <w:t>随机</w:t>
      </w:r>
      <w:r>
        <w:rPr/>
        <w:t>Ib/II</w:t>
      </w:r>
      <w:r>
        <w:rPr/>
        <w:t>队列中联合与单药</w:t>
      </w:r>
      <w:r>
        <w:rPr/>
        <w:t>ORR44.4%</w:t>
      </w:r>
      <w:r>
        <w:rPr/>
        <w:t>对</w:t>
      </w:r>
      <w:r>
        <w:rPr/>
        <w:t>16.7%</w:t>
      </w:r>
      <w:r>
        <w:rPr/>
        <w:t>，</w:t>
      </w:r>
      <w:r>
        <w:rPr/>
        <w:t>PFS8.0</w:t>
      </w:r>
      <w:r>
        <w:rPr/>
        <w:t>对</w:t>
      </w:r>
      <w:r>
        <w:rPr/>
        <w:t>4.0</w:t>
      </w:r>
      <w:r>
        <w:rPr/>
        <w:t>个月、</w:t>
      </w:r>
      <w:r>
        <w:rPr/>
        <w:t>OS16.4</w:t>
      </w:r>
      <w:r>
        <w:rPr/>
        <w:t>对</w:t>
      </w:r>
      <w:r>
        <w:rPr/>
        <w:t>7.8</w:t>
      </w:r>
      <w:r>
        <w:rPr/>
        <w:t>个月，公司报告有改善方向。小样本随机证据强于完全单臂跨试验比较，却仍非完成注册三期，完整统计、样本与随访未全核。疾病位置、治疗史和联合方案成本影响临床应用。基准大陆</w:t>
      </w:r>
      <w:r>
        <w:rPr/>
        <w:t>CRC</w:t>
      </w:r>
      <w:r>
        <w:rPr/>
        <w:t>成功</w:t>
      </w:r>
      <w:r>
        <w:rPr/>
        <w:t>27%</w:t>
      </w:r>
      <w:r>
        <w:rPr/>
        <w:t>、峰值</w:t>
      </w:r>
      <w:r>
        <w:rPr/>
        <w:t>700</w:t>
      </w:r>
      <w:r>
        <w:rPr/>
        <w:t>百万元、</w:t>
      </w:r>
      <w:r>
        <w:rPr/>
        <w:t>2031</w:t>
      </w:r>
      <w:r>
        <w:rPr/>
        <w:t>上市，不能把小队列</w:t>
      </w:r>
      <w:r>
        <w:rPr/>
        <w:t>OS</w:t>
      </w:r>
      <w:r>
        <w:rPr/>
        <w:t>差值直接用于确定价格。</w:t>
      </w:r>
    </w:p>
    <w:p>
      <w:pPr>
        <w:pStyle w:val="Normal"/>
        <w:rPr/>
      </w:pPr>
      <w:r>
        <w:rPr/>
        <w:t>海外</w:t>
      </w:r>
      <w:r>
        <w:rPr/>
        <w:t>NSCLC</w:t>
      </w:r>
      <w:r>
        <w:rPr/>
        <w:t>和</w:t>
      </w:r>
      <w:r>
        <w:rPr/>
        <w:t>CRC</w:t>
      </w:r>
      <w:r>
        <w:rPr/>
        <w:t>尚未签本轮可核验的全面商业许可，本模型用未来版税路径，而不宣称已经有</w:t>
      </w:r>
      <w:r>
        <w:rPr/>
        <w:t>10%</w:t>
      </w:r>
      <w:r>
        <w:rPr/>
        <w:t>合同。海外峰值基准</w:t>
      </w:r>
      <w:r>
        <w:rPr/>
        <w:t>13</w:t>
      </w:r>
      <w:r>
        <w:rPr/>
        <w:t>亿美元、成功</w:t>
      </w:r>
      <w:r>
        <w:rPr/>
        <w:t>23%</w:t>
      </w:r>
      <w:r>
        <w:rPr/>
        <w:t>、</w:t>
      </w:r>
      <w:r>
        <w:rPr/>
        <w:t>2032</w:t>
      </w:r>
      <w:r>
        <w:rPr/>
        <w:t>上市，加权为归属现金后</w:t>
      </w:r>
      <w:r>
        <w:rPr/>
        <w:t>PV</w:t>
      </w:r>
      <w:r>
        <w:rPr/>
        <w:t>远小于终端市场。天晴数据分享及合作权可能减少所得，地区、药品与联合经济权仍需合同全文。若自营而非许可，必须改现金率和研发</w:t>
      </w:r>
      <w:r>
        <w:rPr/>
        <w:t>/</w:t>
      </w:r>
      <w:r>
        <w:rPr/>
        <w:t>销售投入，不能保持版税省成本又改成全部利润。</w:t>
      </w:r>
    </w:p>
    <w:p>
      <w:pPr>
        <w:pStyle w:val="Normal"/>
        <w:rPr/>
      </w:pPr>
      <w:r>
        <w:rPr/>
        <w:t>胰腺、胆管等早期研究和新闻有疾病机制背景，但人数和疗效、地域经济权未完整核验，初版不单独加大峰值。</w:t>
      </w:r>
      <w:r>
        <w:rPr/>
        <w:t>KRAS G12C</w:t>
      </w:r>
      <w:r>
        <w:rPr/>
        <w:t>在人群中的低发生率限制可服务空间，不应将全胰腺癌患者纳入。若有真实注册路径，应拆适应症、检测和安全；同靶点上市验证不意味着所有癌种成功。保持未估早期资产透明，比随意给每个适应症精确值更能避免重复。</w:t>
      </w:r>
    </w:p>
    <w:p>
      <w:pPr>
        <w:pStyle w:val="Heading2"/>
        <w:rPr/>
      </w:pPr>
      <w:r>
        <w:rPr>
          <w:color w:val="000000"/>
        </w:rPr>
        <w:t>D 2570</w:t>
      </w:r>
      <w:r>
        <w:rPr>
          <w:color w:val="000000"/>
        </w:rPr>
        <w:t>的核心随机二期</w:t>
      </w:r>
    </w:p>
    <w:p>
      <w:pPr>
        <w:pStyle w:val="Normal"/>
        <w:rPr/>
      </w:pPr>
      <w:r>
        <w:rPr/>
        <w:t>D-2570</w:t>
      </w:r>
      <w:r>
        <w:rPr/>
        <w:t>选择</w:t>
      </w:r>
      <w:r>
        <w:rPr/>
        <w:t>TYK2</w:t>
      </w:r>
      <w:r>
        <w:rPr/>
        <w:t>假激酶结构域，口服免疫调节方向可满足部分不愿注射患者。</w:t>
      </w:r>
      <w:r>
        <w:rPr/>
        <w:t>2025</w:t>
      </w:r>
      <w:r>
        <w:rPr/>
        <w:t>年</w:t>
      </w:r>
      <w:r>
        <w:rPr/>
        <w:t>12</w:t>
      </w:r>
      <w:r>
        <w:rPr/>
        <w:t>月</w:t>
      </w:r>
      <w:r>
        <w:rPr/>
        <w:t>24</w:t>
      </w:r>
      <w:r>
        <w:rPr/>
        <w:t>日原官网披露</w:t>
      </w:r>
      <w:r>
        <w:rPr/>
        <w:t>JAAD</w:t>
      </w:r>
      <w:r>
        <w:rPr/>
        <w:t>二期结果，共</w:t>
      </w:r>
      <w:r>
        <w:rPr/>
        <w:t>161</w:t>
      </w:r>
      <w:r>
        <w:rPr/>
        <w:t>人，</w:t>
      </w:r>
      <w:r>
        <w:rPr/>
        <w:t>18</w:t>
      </w:r>
      <w:r>
        <w:rPr/>
        <w:t>、</w:t>
      </w:r>
      <w:r>
        <w:rPr/>
        <w:t>27</w:t>
      </w:r>
      <w:r>
        <w:rPr/>
        <w:t>、</w:t>
      </w:r>
      <w:r>
        <w:rPr/>
        <w:t>36</w:t>
      </w:r>
      <w:r>
        <w:rPr/>
        <w:t>毫克组各</w:t>
      </w:r>
      <w:r>
        <w:rPr/>
        <w:t>40</w:t>
      </w:r>
      <w:r>
        <w:rPr/>
        <w:t>、</w:t>
      </w:r>
      <w:r>
        <w:rPr/>
        <w:t>41</w:t>
      </w:r>
      <w:r>
        <w:rPr/>
        <w:t>、</w:t>
      </w:r>
      <w:r>
        <w:rPr/>
        <w:t>40</w:t>
      </w:r>
      <w:r>
        <w:rPr/>
        <w:t>人，安慰剂</w:t>
      </w:r>
      <w:r>
        <w:rPr/>
        <w:t>40</w:t>
      </w:r>
      <w:r>
        <w:rPr/>
        <w:t>人，每日一次、持续</w:t>
      </w:r>
      <w:r>
        <w:rPr/>
        <w:t>12</w:t>
      </w:r>
      <w:r>
        <w:rPr/>
        <w:t>周，主要终点</w:t>
      </w:r>
      <w:r>
        <w:rPr/>
        <w:t>PASI75</w:t>
      </w:r>
      <w:r>
        <w:rPr/>
        <w:t>。清晰随机和剂量组信息有助评价证据，但官网为公司转述论文，本轮尚未逐表独立核验原全文，不能宣称完成完整医学审评。</w:t>
      </w:r>
    </w:p>
    <w:p>
      <w:pPr>
        <w:pStyle w:val="Normal"/>
        <w:rPr/>
      </w:pPr>
      <w:r>
        <w:rPr/>
        <w:t>12</w:t>
      </w:r>
      <w:r>
        <w:rPr/>
        <w:t>周</w:t>
      </w:r>
      <w:r>
        <w:rPr/>
        <w:t>PASI75</w:t>
      </w:r>
      <w:r>
        <w:rPr/>
        <w:t>为</w:t>
      </w:r>
      <w:r>
        <w:rPr/>
        <w:t>90.0%</w:t>
      </w:r>
      <w:r>
        <w:rPr/>
        <w:t>、</w:t>
      </w:r>
      <w:r>
        <w:rPr/>
        <w:t>85.4%</w:t>
      </w:r>
      <w:r>
        <w:rPr/>
        <w:t>、</w:t>
      </w:r>
      <w:r>
        <w:rPr/>
        <w:t>85.0%</w:t>
      </w:r>
      <w:r>
        <w:rPr/>
        <w:t>，安慰剂</w:t>
      </w:r>
      <w:r>
        <w:rPr/>
        <w:t>12.5%</w:t>
      </w:r>
      <w:r>
        <w:rPr/>
        <w:t>；</w:t>
      </w:r>
      <w:r>
        <w:rPr/>
        <w:t>PASI90</w:t>
      </w:r>
      <w:r>
        <w:rPr/>
        <w:t>为</w:t>
      </w:r>
      <w:r>
        <w:rPr/>
        <w:t>75.0%</w:t>
      </w:r>
      <w:r>
        <w:rPr/>
        <w:t>、</w:t>
      </w:r>
      <w:r>
        <w:rPr/>
        <w:t>70.7%</w:t>
      </w:r>
      <w:r>
        <w:rPr/>
        <w:t>、</w:t>
      </w:r>
      <w:r>
        <w:rPr/>
        <w:t>77.5%</w:t>
      </w:r>
      <w:r>
        <w:rPr/>
        <w:t>，安慰剂</w:t>
      </w:r>
      <w:r>
        <w:rPr/>
        <w:t>5%</w:t>
      </w:r>
      <w:r>
        <w:rPr/>
        <w:t>；</w:t>
      </w:r>
      <w:r>
        <w:rPr/>
        <w:t>PASI100</w:t>
      </w:r>
      <w:r>
        <w:rPr/>
        <w:t>为</w:t>
      </w:r>
      <w:r>
        <w:rPr/>
        <w:t>40%</w:t>
      </w:r>
      <w:r>
        <w:rPr/>
        <w:t>、</w:t>
      </w:r>
      <w:r>
        <w:rPr/>
        <w:t>39%</w:t>
      </w:r>
      <w:r>
        <w:rPr/>
        <w:t>、</w:t>
      </w:r>
      <w:r>
        <w:rPr/>
        <w:t>50%</w:t>
      </w:r>
      <w:r>
        <w:rPr/>
        <w:t>，安慰剂</w:t>
      </w:r>
      <w:r>
        <w:rPr/>
        <w:t>2.5%</w:t>
      </w:r>
      <w:r>
        <w:rPr/>
        <w:t>。剂量更高不呈每个指标单调增加，不能假设</w:t>
      </w:r>
      <w:r>
        <w:rPr/>
        <w:t>36</w:t>
      </w:r>
      <w:r>
        <w:rPr/>
        <w:t>毫克必定最优长期方案。</w:t>
      </w:r>
      <w:r>
        <w:rPr/>
        <w:t>PASI100</w:t>
      </w:r>
      <w:r>
        <w:rPr/>
        <w:t>是该时点评分清除，不代表永久治愈。多终点改善支持研究，但最终剂量选择还需安全、暴露和维持效果。</w:t>
      </w:r>
    </w:p>
    <w:p>
      <w:pPr>
        <w:pStyle w:val="Normal"/>
        <w:rPr/>
      </w:pPr>
      <w:r>
        <w:rPr/>
        <w:t>活动药</w:t>
      </w:r>
      <w:r>
        <w:rPr/>
        <w:t>121</w:t>
      </w:r>
      <w:r>
        <w:rPr/>
        <w:t>人中</w:t>
      </w:r>
      <w:r>
        <w:rPr/>
        <w:t>85</w:t>
      </w:r>
      <w:r>
        <w:rPr/>
        <w:t>人报告治疗期间不良事件、约</w:t>
      </w:r>
      <w:r>
        <w:rPr/>
        <w:t>70.2%</w:t>
      </w:r>
      <w:r>
        <w:rPr/>
        <w:t>，常见上呼吸道感染，多轻中度，未报告严重不良事件。</w:t>
      </w:r>
      <w:r>
        <w:rPr/>
        <w:t>121</w:t>
      </w:r>
      <w:r>
        <w:rPr/>
        <w:t>人十二周未发生严重事件不等长期真实使用风险为零，更不能排除稀有感染、免疫或心血管事件。未来大样本、不同合并疾病及更长随访需要验证。机制选择性可能提高安全窗，应作为待检验设计逻辑，而不是对患者作“没有风险”的确定判断。</w:t>
      </w:r>
    </w:p>
    <w:p>
      <w:pPr>
        <w:pStyle w:val="Normal"/>
        <w:rPr/>
      </w:pPr>
      <w:r>
        <w:rPr/>
        <w:t>公司材料称可媲美生物药或优于已上市</w:t>
      </w:r>
      <w:r>
        <w:rPr/>
        <w:t>TYK2</w:t>
      </w:r>
      <w:r>
        <w:rPr/>
        <w:t>，其依据部分为跨试验比较。不同患者、治疗期、终点和缺失处理会改变响应率，只有随机头对头能较稳健比较。益方已开展相应头对头研究，正说明比较还需要证据。报告把当前随机安慰剂结果计入商业质量，不把“优于同类”当独立再加分。若头对头没有优势，仍可能有价值，但峰值和定价应重新评估。</w:t>
      </w:r>
    </w:p>
    <w:p>
      <w:pPr>
        <w:pStyle w:val="Heading2"/>
        <w:rPr/>
      </w:pPr>
      <w:r>
        <w:rPr>
          <w:color w:val="000000"/>
        </w:rPr>
        <w:t>银屑病关键三期与时间</w:t>
      </w:r>
    </w:p>
    <w:p>
      <w:pPr>
        <w:pStyle w:val="Normal"/>
        <w:rPr/>
      </w:pPr>
      <w:r>
        <w:rPr/>
        <w:t>资料说明中国注册三期</w:t>
      </w:r>
      <w:r>
        <w:rPr/>
        <w:t>2025</w:t>
      </w:r>
      <w:r>
        <w:rPr/>
        <w:t>年</w:t>
      </w:r>
      <w:r>
        <w:rPr/>
        <w:t>9</w:t>
      </w:r>
      <w:r>
        <w:rPr/>
        <w:t>月启动、</w:t>
      </w:r>
      <w:r>
        <w:rPr/>
        <w:t>2026</w:t>
      </w:r>
      <w:r>
        <w:rPr/>
        <w:t>年</w:t>
      </w:r>
      <w:r>
        <w:rPr/>
        <w:t>3</w:t>
      </w:r>
      <w:r>
        <w:rPr/>
        <w:t>月完成入组，另一头对头三期</w:t>
      </w:r>
      <w:r>
        <w:rPr/>
        <w:t>2026</w:t>
      </w:r>
      <w:r>
        <w:rPr/>
        <w:t>年</w:t>
      </w:r>
      <w:r>
        <w:rPr/>
        <w:t>1</w:t>
      </w:r>
      <w:r>
        <w:rPr/>
        <w:t>月启动。前者完成全部入组不等后者全部完成，不能把两种研究进度混合。港交所计划</w:t>
      </w:r>
      <w:r>
        <w:rPr/>
        <w:t>2027</w:t>
      </w:r>
      <w:r>
        <w:rPr/>
        <w:t>下半年完成相关三期并提交</w:t>
      </w:r>
      <w:r>
        <w:rPr/>
        <w:t>NDA</w:t>
      </w:r>
      <w:r>
        <w:rPr/>
        <w:t>，截止尚不是申报和批准。基准</w:t>
      </w:r>
      <w:r>
        <w:rPr/>
        <w:t>2028</w:t>
      </w:r>
      <w:r>
        <w:rPr/>
        <w:t>上市允许后续监管及商业准备，并未把半年</w:t>
      </w:r>
      <w:r>
        <w:rPr/>
        <w:t>2027</w:t>
      </w:r>
      <w:r>
        <w:rPr/>
        <w:t>年</w:t>
      </w:r>
      <w:r>
        <w:rPr/>
        <w:t>4</w:t>
      </w:r>
      <w:r>
        <w:rPr/>
        <w:t>月当全面收入爆发日期。</w:t>
      </w:r>
    </w:p>
    <w:p>
      <w:pPr>
        <w:pStyle w:val="Normal"/>
        <w:rPr/>
      </w:pPr>
      <w:r>
        <w:rPr/>
        <w:t>三期可能需要更长安全随访和维护效果，即使</w:t>
      </w:r>
      <w:r>
        <w:rPr/>
        <w:t>PASI12</w:t>
      </w:r>
      <w:r>
        <w:rPr/>
        <w:t>周优秀，持续停药、复发与其他风险会影响临床选择。头对头若显著更好，可能支持更大可服务份额；若仅接近则应关注价格和便利。基准中国银屑峰值</w:t>
      </w:r>
      <w:r>
        <w:rPr/>
        <w:t>2500</w:t>
      </w:r>
      <w:r>
        <w:rPr/>
        <w:t>百万元、成功</w:t>
      </w:r>
      <w:r>
        <w:rPr/>
        <w:t>62%</w:t>
      </w:r>
      <w:r>
        <w:rPr/>
        <w:t>、税后现金率</w:t>
      </w:r>
      <w:r>
        <w:rPr/>
        <w:t>28%</w:t>
      </w:r>
      <w:r>
        <w:rPr/>
        <w:t>，是有条件研究判断而非机构一致预期。扩大到</w:t>
      </w:r>
      <w:r>
        <w:rPr/>
        <w:t>4000</w:t>
      </w:r>
      <w:r>
        <w:rPr/>
        <w:t>百万元乐观需要多项商业与临床条件并行。</w:t>
      </w:r>
    </w:p>
    <w:p>
      <w:pPr>
        <w:pStyle w:val="Normal"/>
        <w:rPr/>
      </w:pPr>
      <w:r>
        <w:rPr/>
        <w:t>银屑病患者总数不是中重度需系统疗法人数，更不是可承担创新药价的人数。病人可使用光疗、传统系统药、生物药或其他口服产品，医生根据疾病与安全选择。医保谈判既可能扩大使用，也压低价格，销量和单价必须一起算。自营团队未来尚未成熟，推广、人员、经销和质量投入不会因为药物口服而消失，本现金率包含这些成本，模型额外研究储备也要保留。</w:t>
      </w:r>
    </w:p>
    <w:p>
      <w:pPr>
        <w:pStyle w:val="Heading2"/>
        <w:rPr/>
      </w:pPr>
      <w:r>
        <w:rPr>
          <w:color w:val="000000"/>
        </w:rPr>
        <w:t>溃疡性结肠炎及跨疾病风险</w:t>
      </w:r>
    </w:p>
    <w:p>
      <w:pPr>
        <w:pStyle w:val="Normal"/>
        <w:rPr/>
      </w:pPr>
      <w:r>
        <w:rPr/>
        <w:t>D-2570</w:t>
      </w:r>
      <w:r>
        <w:rPr/>
        <w:t>中国中重度活动</w:t>
      </w:r>
      <w:r>
        <w:rPr/>
        <w:t>UC</w:t>
      </w:r>
      <w:r>
        <w:rPr/>
        <w:t>二期</w:t>
      </w:r>
      <w:r>
        <w:rPr/>
        <w:t>2026</w:t>
      </w:r>
      <w:r>
        <w:rPr/>
        <w:t>年</w:t>
      </w:r>
      <w:r>
        <w:rPr/>
        <w:t>5</w:t>
      </w:r>
      <w:r>
        <w:rPr/>
        <w:t>月完成入组，预计</w:t>
      </w:r>
      <w:r>
        <w:rPr/>
        <w:t>2027</w:t>
      </w:r>
      <w:r>
        <w:rPr/>
        <w:t>年第一季度完成，是半年内可观察的重要事件。肠病终点包括症状、内镜和持续缓解，皮肤</w:t>
      </w:r>
      <w:r>
        <w:rPr/>
        <w:t>PASI</w:t>
      </w:r>
      <w:r>
        <w:rPr/>
        <w:t>不能直接代替肠黏膜恢复。疾病活动、既往生物药、背景用药与诱导</w:t>
      </w:r>
      <w:r>
        <w:rPr/>
        <w:t>/</w:t>
      </w:r>
      <w:r>
        <w:rPr/>
        <w:t>维持需要分别核验。基准成功</w:t>
      </w:r>
      <w:r>
        <w:rPr/>
        <w:t>28%</w:t>
      </w:r>
      <w:r>
        <w:rPr/>
        <w:t>、峰值</w:t>
      </w:r>
      <w:r>
        <w:rPr/>
        <w:t>1700</w:t>
      </w:r>
      <w:r>
        <w:rPr/>
        <w:t>百万元、</w:t>
      </w:r>
      <w:r>
        <w:rPr/>
        <w:t>2031</w:t>
      </w:r>
      <w:r>
        <w:rPr/>
        <w:t>上市，比银屑适应症更低，避免以同靶点复制成功。</w:t>
      </w:r>
    </w:p>
    <w:p>
      <w:pPr>
        <w:pStyle w:val="Normal"/>
        <w:rPr/>
      </w:pPr>
      <w:r>
        <w:rPr/>
        <w:t>UC</w:t>
      </w:r>
      <w:r>
        <w:rPr/>
        <w:t>长期治疗要求持续控制、减少激素依赖并保持安全，短期响应不等长期无复发。竞争已涉及多个口服和注射机制，严重或经治人群需要更高收益。若二期只在特殊小亚组有效，注册人群和峰值应缩小；若剂量提高才能起效，可能缩安全窗。半年临床催化要看完整终点和安全，而不是只找一个好看的总体响应百分比。</w:t>
      </w:r>
    </w:p>
    <w:p>
      <w:pPr>
        <w:pStyle w:val="Normal"/>
        <w:rPr/>
      </w:pPr>
      <w:r>
        <w:rPr/>
        <w:t>SLE</w:t>
      </w:r>
      <w:r>
        <w:rPr/>
        <w:t>二期首例已发生，预计完成时间更远。</w:t>
      </w:r>
      <w:r>
        <w:rPr/>
        <w:t>SLE</w:t>
      </w:r>
      <w:r>
        <w:rPr/>
        <w:t>多器官、活动度和背景药复杂，皮肤或单一指标改善不能直接证明全病综合收益。不同患者入组和激素减量可能影响统计，完整方案未取得时不填造主要终点成功阈值。基准成功</w:t>
      </w:r>
      <w:r>
        <w:rPr/>
        <w:t>18%</w:t>
      </w:r>
      <w:r>
        <w:rPr/>
        <w:t>、</w:t>
      </w:r>
      <w:r>
        <w:rPr/>
        <w:t>2032</w:t>
      </w:r>
      <w:r>
        <w:rPr/>
        <w:t>上市、峰值</w:t>
      </w:r>
      <w:r>
        <w:rPr/>
        <w:t>1300</w:t>
      </w:r>
      <w:r>
        <w:rPr/>
        <w:t>百万元，体现较高风险。若严重感染或多器官效果不足，应独立降低该资产，即使银屑研究成功也不能保留原值。</w:t>
      </w:r>
    </w:p>
    <w:p>
      <w:pPr>
        <w:pStyle w:val="Normal"/>
        <w:rPr/>
      </w:pPr>
      <w:r>
        <w:rPr/>
        <w:t>PsA</w:t>
      </w:r>
      <w:r>
        <w:rPr/>
        <w:t>针对关节、功能和皮肤，需验证不同终点，不能用银屑皮损清除推断关节破坏减少。基准成功</w:t>
      </w:r>
      <w:r>
        <w:rPr/>
        <w:t>30%</w:t>
      </w:r>
      <w:r>
        <w:rPr/>
        <w:t>、峰值</w:t>
      </w:r>
      <w:r>
        <w:rPr/>
        <w:t>800</w:t>
      </w:r>
      <w:r>
        <w:rPr/>
        <w:t>百万元、</w:t>
      </w:r>
      <w:r>
        <w:rPr/>
        <w:t>2031</w:t>
      </w:r>
      <w:r>
        <w:rPr/>
        <w:t>上市，属于早期二期折扣。白癜风还涉及长期复色、病变部位、停药维持与支付性质，基准</w:t>
      </w:r>
      <w:r>
        <w:rPr/>
        <w:t>15%</w:t>
      </w:r>
      <w:r>
        <w:rPr/>
        <w:t>、</w:t>
      </w:r>
      <w:r>
        <w:rPr/>
        <w:t>2032</w:t>
      </w:r>
      <w:r>
        <w:rPr/>
        <w:t>上市，未用所有外观相关患者当系统用药市场。多个疾病虽共享分子和制造，临床验证与费用仍各有要求。</w:t>
      </w:r>
    </w:p>
    <w:p>
      <w:pPr>
        <w:pStyle w:val="Heading2"/>
        <w:rPr/>
      </w:pPr>
      <w:r>
        <w:rPr>
          <w:color w:val="000000"/>
        </w:rPr>
        <w:t>海外</w:t>
      </w:r>
      <w:r>
        <w:rPr>
          <w:color w:val="000000"/>
        </w:rPr>
        <w:t>D 2570</w:t>
      </w:r>
      <w:r>
        <w:rPr>
          <w:color w:val="000000"/>
        </w:rPr>
        <w:t>与授权选择</w:t>
      </w:r>
    </w:p>
    <w:p>
      <w:pPr>
        <w:pStyle w:val="Normal"/>
        <w:rPr/>
      </w:pPr>
      <w:r>
        <w:rPr/>
        <w:t>美国银屑病二期</w:t>
      </w:r>
      <w:r>
        <w:rPr/>
        <w:t>2026</w:t>
      </w:r>
      <w:r>
        <w:rPr/>
        <w:t>年</w:t>
      </w:r>
      <w:r>
        <w:rPr/>
        <w:t>7</w:t>
      </w:r>
      <w:r>
        <w:rPr/>
        <w:t>月启动，港交所预计</w:t>
      </w:r>
      <w:r>
        <w:rPr/>
        <w:t>2028</w:t>
      </w:r>
      <w:r>
        <w:rPr/>
        <w:t>年一季度完成，说明海外还需新的患者与监管验证。中国数据能支持设计，但不能自动代替美国注册和人群安全。公司寻求合作属于商业策略，尚未收到本轮可核验的全球大首款。模型未来版税有效率</w:t>
      </w:r>
      <w:r>
        <w:rPr/>
        <w:t>7%</w:t>
      </w:r>
      <w:r>
        <w:rPr/>
        <w:t>、</w:t>
      </w:r>
      <w:r>
        <w:rPr/>
        <w:t>10%</w:t>
      </w:r>
      <w:r>
        <w:rPr/>
        <w:t>、</w:t>
      </w:r>
      <w:r>
        <w:rPr/>
        <w:t>13%</w:t>
      </w:r>
      <w:r>
        <w:rPr/>
        <w:t>，基准成功</w:t>
      </w:r>
      <w:r>
        <w:rPr/>
        <w:t>35%</w:t>
      </w:r>
      <w:r>
        <w:rPr/>
        <w:t>、</w:t>
      </w:r>
      <w:r>
        <w:rPr/>
        <w:t>2032</w:t>
      </w:r>
      <w:r>
        <w:rPr/>
        <w:t>上市，为可能合作路径，并清楚写成假设而非合约事实。</w:t>
      </w:r>
    </w:p>
    <w:p>
      <w:pPr>
        <w:pStyle w:val="Normal"/>
        <w:rPr/>
      </w:pPr>
      <w:r>
        <w:rPr/>
        <w:t>海外合作可降低自建团队和大规模研究负担，代价是让出销售利润和部分决定权。较高终端价格未必使益方现金同比高，因为费率、税、数据分享和伙伴成本不同。若后续交易是共同开发、利润分成或</w:t>
      </w:r>
      <w:r>
        <w:rPr/>
        <w:t>NewCo</w:t>
      </w:r>
      <w:r>
        <w:rPr/>
        <w:t>，就需要依据具体条款重建模型，不沿用普通许可。先把未来全部海外自营销售估值，再把首款加入而不减少权益，会严重高估股东价值。</w:t>
      </w:r>
    </w:p>
    <w:p>
      <w:pPr>
        <w:pStyle w:val="Normal"/>
        <w:rPr/>
      </w:pPr>
      <w:r>
        <w:rPr/>
        <w:t>同类</w:t>
      </w:r>
      <w:r>
        <w:rPr/>
        <w:t>TYK2</w:t>
      </w:r>
      <w:r>
        <w:rPr/>
        <w:t>和生物药海外竞争能更快改变可服务空间，头对头研究、给药便利和长期安全决定差异化。当前</w:t>
      </w:r>
      <w:r>
        <w:rPr/>
        <w:t>12</w:t>
      </w:r>
      <w:r>
        <w:rPr/>
        <w:t>周结果强不等十年份额稳定，后续新口服产品可能价格低、效果更好。海外峰值</w:t>
      </w:r>
      <w:r>
        <w:rPr/>
        <w:t>20</w:t>
      </w:r>
      <w:r>
        <w:rPr/>
        <w:t>亿美元基准并非近期收入，上市</w:t>
      </w:r>
      <w:r>
        <w:rPr/>
        <w:t>2032</w:t>
      </w:r>
      <w:r>
        <w:rPr/>
        <w:t>与折现、成功率削减使当期</w:t>
      </w:r>
      <w:r>
        <w:rPr/>
        <w:t>PV</w:t>
      </w:r>
      <w:r>
        <w:rPr/>
        <w:t>有限。若合作方只在小地区开发或优先级下降，应分别调整地区和时间，而不让全球曲线照旧。</w:t>
      </w:r>
    </w:p>
    <w:p>
      <w:pPr>
        <w:pStyle w:val="Heading2"/>
        <w:rPr/>
      </w:pPr>
      <w:r>
        <w:rPr>
          <w:color w:val="000000"/>
        </w:rPr>
        <w:t>D 0502</w:t>
      </w:r>
      <w:r>
        <w:rPr>
          <w:color w:val="000000"/>
        </w:rPr>
        <w:t>与口服</w:t>
      </w:r>
      <w:r>
        <w:rPr>
          <w:color w:val="000000"/>
        </w:rPr>
        <w:t>SERD</w:t>
      </w:r>
    </w:p>
    <w:p>
      <w:pPr>
        <w:pStyle w:val="Normal"/>
        <w:rPr/>
      </w:pPr>
      <w:r>
        <w:rPr/>
        <w:t>D-0502</w:t>
      </w:r>
      <w:r>
        <w:rPr/>
        <w:t>为口服选择性雌激素受体降解剂，针对</w:t>
      </w:r>
      <w:r>
        <w:rPr/>
        <w:t>ER</w:t>
      </w:r>
      <w:r>
        <w:rPr/>
        <w:t>阳性</w:t>
      </w:r>
      <w:r>
        <w:rPr/>
        <w:t>HER2</w:t>
      </w:r>
      <w:r>
        <w:rPr/>
        <w:t>阴性乳腺癌。口服便利可能改善治疗接受度，但疗效受到</w:t>
      </w:r>
      <w:r>
        <w:rPr/>
        <w:t>ESR1</w:t>
      </w:r>
      <w:r>
        <w:rPr/>
        <w:t>状态、既往</w:t>
      </w:r>
      <w:r>
        <w:rPr/>
        <w:t>CDK4/6</w:t>
      </w:r>
      <w:r>
        <w:rPr/>
        <w:t>、疾病负担及内分泌耐药影响。</w:t>
      </w:r>
      <w:r>
        <w:rPr/>
        <w:t>2022</w:t>
      </w:r>
      <w:r>
        <w:rPr/>
        <w:t>年</w:t>
      </w:r>
      <w:r>
        <w:rPr/>
        <w:t>9</w:t>
      </w:r>
      <w:r>
        <w:rPr/>
        <w:t>月中国注册三期首例，预计</w:t>
      </w:r>
      <w:r>
        <w:rPr/>
        <w:t>2028</w:t>
      </w:r>
      <w:r>
        <w:rPr/>
        <w:t>上半年</w:t>
      </w:r>
      <w:r>
        <w:rPr/>
        <w:t>NDA</w:t>
      </w:r>
      <w:r>
        <w:rPr/>
        <w:t>，截止本轮未得随机阳性。进入三期说明路径明确，不等最终终点和安全已经达到，不能提前计入已上市现金流。</w:t>
      </w:r>
    </w:p>
    <w:p>
      <w:pPr>
        <w:pStyle w:val="Normal"/>
        <w:rPr/>
      </w:pPr>
      <w:r>
        <w:rPr/>
        <w:t>港交所具体说明在完成中国与美国一期后，暂无进一步美国</w:t>
      </w:r>
      <w:r>
        <w:rPr/>
        <w:t>D-0502</w:t>
      </w:r>
      <w:r>
        <w:rPr/>
        <w:t>临床计划。这比</w:t>
      </w:r>
      <w:r>
        <w:rPr/>
        <w:t>A</w:t>
      </w:r>
      <w:r>
        <w:rPr/>
        <w:t>中报泛称国际联合更具体，本章采用明确范围，不编美国三期和上市年份。海外权益未放弃不代表一定开发，初版美国额外</w:t>
      </w:r>
      <w:r>
        <w:rPr/>
        <w:t>PV</w:t>
      </w:r>
      <w:r>
        <w:rPr/>
        <w:t>取零。未来若合作或新方案产生真实证据，可增加；保留零比把未宣布开发当全球巨额销售更审慎，也能解释不同公开资料的口径差异。</w:t>
      </w:r>
    </w:p>
    <w:p>
      <w:pPr>
        <w:pStyle w:val="Normal"/>
        <w:rPr/>
      </w:pPr>
      <w:r>
        <w:rPr/>
        <w:t>临床前暴露、</w:t>
      </w:r>
      <w:r>
        <w:rPr/>
        <w:t>IC50</w:t>
      </w:r>
      <w:r>
        <w:rPr/>
        <w:t>和对比生物利用度不能直接证明患者最佳疗效。早期</w:t>
      </w:r>
      <w:r>
        <w:rPr/>
        <w:t>400</w:t>
      </w:r>
      <w:r>
        <w:rPr/>
        <w:t>毫克剂量观察、联合完全缓解和未出现某些副作用，可支持继续试验，但没有所有分析集和长期随访就不能确定无叠加毒性。基准单药中国成功</w:t>
      </w:r>
      <w:r>
        <w:rPr/>
        <w:t>50%</w:t>
      </w:r>
      <w:r>
        <w:rPr/>
        <w:t>、峰值</w:t>
      </w:r>
      <w:r>
        <w:rPr/>
        <w:t>1500</w:t>
      </w:r>
      <w:r>
        <w:rPr/>
        <w:t>百万元、</w:t>
      </w:r>
      <w:r>
        <w:rPr/>
        <w:t>2029</w:t>
      </w:r>
      <w:r>
        <w:rPr/>
        <w:t>上市，反映注册三期与竞争风险。乐观</w:t>
      </w:r>
      <w:r>
        <w:rPr/>
        <w:t>75%</w:t>
      </w:r>
      <w:r>
        <w:rPr/>
        <w:t>和</w:t>
      </w:r>
      <w:r>
        <w:rPr/>
        <w:t>2800</w:t>
      </w:r>
      <w:r>
        <w:rPr/>
        <w:t>百万元需要随机和商业都较强。</w:t>
      </w:r>
    </w:p>
    <w:p>
      <w:pPr>
        <w:pStyle w:val="Normal"/>
        <w:rPr/>
      </w:pPr>
      <w:r>
        <w:rPr/>
        <w:t>口服</w:t>
      </w:r>
      <w:r>
        <w:rPr/>
        <w:t>SERD</w:t>
      </w:r>
      <w:r>
        <w:rPr/>
        <w:t>治疗市场已经有其他研发和上市竞争，治疗序列会与</w:t>
      </w:r>
      <w:r>
        <w:rPr/>
        <w:t>CDK4/6</w:t>
      </w:r>
      <w:r>
        <w:rPr/>
        <w:t>、</w:t>
      </w:r>
      <w:r>
        <w:rPr/>
        <w:t>PI3K</w:t>
      </w:r>
      <w:r>
        <w:rPr/>
        <w:t>、</w:t>
      </w:r>
      <w:r>
        <w:rPr/>
        <w:t>AKT</w:t>
      </w:r>
      <w:r>
        <w:rPr/>
        <w:t>及</w:t>
      </w:r>
      <w:r>
        <w:rPr/>
        <w:t>ADC</w:t>
      </w:r>
      <w:r>
        <w:rPr/>
        <w:t>等方案互相影响。</w:t>
      </w:r>
      <w:r>
        <w:rPr/>
        <w:t>ER</w:t>
      </w:r>
      <w:r>
        <w:rPr/>
        <w:t>阳性患者占乳腺癌多数，不等所有患者可用该药或都在同一治疗线。新产品获批标签可能窄、要求</w:t>
      </w:r>
      <w:r>
        <w:rPr/>
        <w:t>ESR1</w:t>
      </w:r>
      <w:r>
        <w:rPr/>
        <w:t>或特定用药史，峰值应随标签变。不能以整个</w:t>
      </w:r>
      <w:r>
        <w:rPr/>
        <w:t>ER</w:t>
      </w:r>
      <w:r>
        <w:rPr/>
        <w:t>阳性市场的原研费用推益方净销售；实际份额、医保、竞品和医生经验决定路径。</w:t>
      </w:r>
    </w:p>
    <w:p>
      <w:pPr>
        <w:pStyle w:val="Heading2"/>
        <w:rPr/>
      </w:pPr>
      <w:r>
        <w:rPr>
          <w:color w:val="000000"/>
        </w:rPr>
        <w:t>SERD</w:t>
      </w:r>
      <w:r>
        <w:rPr>
          <w:color w:val="000000"/>
        </w:rPr>
        <w:t>与</w:t>
      </w:r>
      <w:r>
        <w:rPr>
          <w:color w:val="000000"/>
        </w:rPr>
        <w:t>ADC</w:t>
      </w:r>
      <w:r>
        <w:rPr>
          <w:color w:val="000000"/>
        </w:rPr>
        <w:t>联合经济权</w:t>
      </w:r>
    </w:p>
    <w:p>
      <w:pPr>
        <w:pStyle w:val="Normal"/>
        <w:rPr/>
      </w:pPr>
      <w:r>
        <w:rPr/>
        <w:t>JSKN016</w:t>
      </w:r>
      <w:r>
        <w:rPr/>
        <w:t>为伙伴的</w:t>
      </w:r>
      <w:r>
        <w:rPr/>
        <w:t>TROP2/HER3</w:t>
      </w:r>
      <w:r>
        <w:rPr/>
        <w:t>双特异</w:t>
      </w:r>
      <w:r>
        <w:rPr/>
        <w:t>ADC</w:t>
      </w:r>
      <w:r>
        <w:rPr/>
        <w:t>，联合</w:t>
      </w:r>
      <w:r>
        <w:rPr/>
        <w:t>D-0502</w:t>
      </w:r>
      <w:r>
        <w:rPr/>
        <w:t>中国二期</w:t>
      </w:r>
      <w:r>
        <w:rPr/>
        <w:t>2026</w:t>
      </w:r>
      <w:r>
        <w:rPr/>
        <w:t>年</w:t>
      </w:r>
      <w:r>
        <w:rPr/>
        <w:t>3</w:t>
      </w:r>
      <w:r>
        <w:rPr/>
        <w:t>月启动，三期计划</w:t>
      </w:r>
      <w:r>
        <w:rPr/>
        <w:t>2028</w:t>
      </w:r>
      <w:r>
        <w:rPr/>
        <w:t>开始。</w:t>
      </w:r>
      <w:r>
        <w:rPr/>
        <w:t>IND</w:t>
      </w:r>
      <w:r>
        <w:rPr/>
        <w:t>批准是试验许可，不是联合疗法获批销售。联合可能对特定耐药患者有价值，也可能增加安全监测和药物费用，设计要验证与标准比较。益方不拥有全部</w:t>
      </w:r>
      <w:r>
        <w:rPr/>
        <w:t>ADC</w:t>
      </w:r>
      <w:r>
        <w:rPr/>
        <w:t>利润，模型用较低现金率和增量峰值，避免把两药终端销售全归己方。</w:t>
      </w:r>
    </w:p>
    <w:p>
      <w:pPr>
        <w:pStyle w:val="Normal"/>
        <w:rPr/>
      </w:pPr>
      <w:r>
        <w:rPr/>
        <w:t>联合基准成功</w:t>
      </w:r>
      <w:r>
        <w:rPr/>
        <w:t>18%</w:t>
      </w:r>
      <w:r>
        <w:rPr/>
        <w:t>、峰值</w:t>
      </w:r>
      <w:r>
        <w:rPr/>
        <w:t>800</w:t>
      </w:r>
      <w:r>
        <w:rPr/>
        <w:t>百万元、</w:t>
      </w:r>
      <w:r>
        <w:rPr/>
        <w:t>2032</w:t>
      </w:r>
      <w:r>
        <w:rPr/>
        <w:t>上市，相对单药明显远且风险高。增量规模不是单药完整患者池再复制一遍；若联合替代单药，需要患者路径调整。实际商业成本、收益分配和伙伴注册安排尚未全核，因此现金率</w:t>
      </w:r>
      <w:r>
        <w:rPr/>
        <w:t>20%</w:t>
      </w:r>
      <w:r>
        <w:rPr/>
        <w:t>属于近似，不当合约。若伙伴</w:t>
      </w:r>
      <w:r>
        <w:rPr/>
        <w:t>ADC</w:t>
      </w:r>
      <w:r>
        <w:rPr/>
        <w:t>研究延期或安全影响组合，联合资产需下调，即使</w:t>
      </w:r>
      <w:r>
        <w:rPr/>
        <w:t>D-0502</w:t>
      </w:r>
      <w:r>
        <w:rPr/>
        <w:t>单药达到终点也不豁免。</w:t>
      </w:r>
    </w:p>
    <w:p>
      <w:pPr>
        <w:pStyle w:val="Heading2"/>
        <w:rPr/>
      </w:pPr>
      <w:r>
        <w:rPr>
          <w:color w:val="000000"/>
        </w:rPr>
        <w:t>D 0120</w:t>
      </w:r>
      <w:r>
        <w:rPr>
          <w:color w:val="000000"/>
        </w:rPr>
        <w:t>与降尿酸的临床价值</w:t>
      </w:r>
    </w:p>
    <w:p>
      <w:pPr>
        <w:pStyle w:val="Normal"/>
        <w:rPr/>
      </w:pPr>
      <w:r>
        <w:rPr/>
        <w:t>D-0120</w:t>
      </w:r>
      <w:r>
        <w:rPr/>
        <w:t>为</w:t>
      </w:r>
      <w:r>
        <w:rPr/>
        <w:t>URAT1</w:t>
      </w:r>
      <w:r>
        <w:rPr/>
        <w:t>抑制剂，针对高尿酸与痛风，公司称达比诺雷。中国</w:t>
      </w:r>
      <w:r>
        <w:rPr/>
        <w:t>IIb2024</w:t>
      </w:r>
      <w:r>
        <w:rPr/>
        <w:t>年</w:t>
      </w:r>
      <w:r>
        <w:rPr/>
        <w:t>11</w:t>
      </w:r>
      <w:r>
        <w:rPr/>
        <w:t>月完成，美国联合别嘌醇</w:t>
      </w:r>
      <w:r>
        <w:rPr/>
        <w:t>II2026</w:t>
      </w:r>
      <w:r>
        <w:rPr/>
        <w:t>年</w:t>
      </w:r>
      <w:r>
        <w:rPr/>
        <w:t>3</w:t>
      </w:r>
      <w:r>
        <w:rPr/>
        <w:t>月完成，仍与</w:t>
      </w:r>
      <w:r>
        <w:rPr/>
        <w:t>CDE</w:t>
      </w:r>
      <w:r>
        <w:rPr/>
        <w:t>讨论后续单药三期或联合申报路径。试验完成并不证明注册方案已获批准，更不是明确上市时间。基准中国</w:t>
      </w:r>
      <w:r>
        <w:rPr/>
        <w:t>2031</w:t>
      </w:r>
      <w:r>
        <w:rPr/>
        <w:t>上市、成功</w:t>
      </w:r>
      <w:r>
        <w:rPr/>
        <w:t>38%</w:t>
      </w:r>
      <w:r>
        <w:rPr/>
        <w:t>、峰值</w:t>
      </w:r>
      <w:r>
        <w:rPr/>
        <w:t>1400</w:t>
      </w:r>
      <w:r>
        <w:rPr/>
        <w:t>百万元，海外</w:t>
      </w:r>
      <w:r>
        <w:rPr/>
        <w:t>2033</w:t>
      </w:r>
      <w:r>
        <w:rPr/>
        <w:t>、成功</w:t>
      </w:r>
      <w:r>
        <w:rPr/>
        <w:t>25%</w:t>
      </w:r>
      <w:r>
        <w:rPr/>
        <w:t>，都留出后续验证和合作。</w:t>
      </w:r>
    </w:p>
    <w:p>
      <w:pPr>
        <w:pStyle w:val="Normal"/>
        <w:rPr/>
      </w:pPr>
      <w:r>
        <w:rPr/>
        <w:t>促尿酸排泄可降低血尿酸，人体需注意肾功能、尿路结石、肝安全和药物相互作用。短期达标率</w:t>
      </w:r>
      <w:r>
        <w:rPr/>
        <w:t>80%</w:t>
      </w:r>
      <w:r>
        <w:rPr/>
        <w:t>是特定剂量、研究样本与时间点，不能直接推长期减少痛风发作或没有肾风险。</w:t>
      </w:r>
      <w:r>
        <w:rPr/>
        <w:t>URAT1</w:t>
      </w:r>
      <w:r>
        <w:rPr/>
        <w:t>机制与既有产品经验帮助设计，却也揭示需要长期安全验证。报告不提供患者用药指导，不将“降低尿酸”跨越为确定心肾保护效果。</w:t>
      </w:r>
    </w:p>
    <w:p>
      <w:pPr>
        <w:pStyle w:val="Normal"/>
        <w:rPr/>
      </w:pPr>
      <w:r>
        <w:rPr/>
        <w:t>与非布司他或别嘌醇联合涉及标准药净收益、剂量、背景安全及患者筛选。血药浓度无明显相互作用不能证明所有临床毒性都不叠加，尤其长期、肾功能差和合并病患者。公司药物</w:t>
      </w:r>
      <w:r>
        <w:rPr/>
        <w:t>4</w:t>
      </w:r>
      <w:r>
        <w:rPr/>
        <w:t>毫克与其他药</w:t>
      </w:r>
      <w:r>
        <w:rPr/>
        <w:t>200</w:t>
      </w:r>
      <w:r>
        <w:rPr/>
        <w:t>毫克的质量剂量比不代表五十倍临床效力或安全，分子不同不能按毫克直接比优劣。未来注册要看完整对照、暴露和长期事件。</w:t>
      </w:r>
    </w:p>
    <w:p>
      <w:pPr>
        <w:pStyle w:val="Normal"/>
        <w:rPr/>
      </w:pPr>
      <w:r>
        <w:rPr/>
        <w:t>痛风人口大但便宜成熟药广泛使用，新药价格和选择空间受支付与指南制约。高尿酸人群不都需要同样药物，也不等处方会全部迁移。中国净现金率</w:t>
      </w:r>
      <w:r>
        <w:rPr/>
        <w:t>28%</w:t>
      </w:r>
      <w:r>
        <w:rPr/>
        <w:t>包含未来推广和供货，海外版税</w:t>
      </w:r>
      <w:r>
        <w:rPr/>
        <w:t>10%</w:t>
      </w:r>
      <w:r>
        <w:rPr/>
        <w:t>是合作路径假设，未签首款取零。若后续注册方案要求更长试验，既增加折现也增加研究储备，不应只把上市日期向后挪而保持资产价格。</w:t>
      </w:r>
    </w:p>
    <w:p>
      <w:pPr>
        <w:pStyle w:val="Heading2"/>
        <w:rPr/>
      </w:pPr>
      <w:r>
        <w:rPr>
          <w:color w:val="000000"/>
        </w:rPr>
        <w:t xml:space="preserve">临床前 </w:t>
      </w:r>
      <w:r>
        <w:rPr>
          <w:color w:val="000000"/>
        </w:rPr>
        <w:t>AI</w:t>
      </w:r>
      <w:r>
        <w:rPr>
          <w:color w:val="000000"/>
        </w:rPr>
        <w:t>平台和默沙东</w:t>
      </w:r>
    </w:p>
    <w:p>
      <w:pPr>
        <w:pStyle w:val="Normal"/>
        <w:rPr/>
      </w:pPr>
      <w:r>
        <w:rPr/>
        <w:t>YF087</w:t>
      </w:r>
      <w:r>
        <w:rPr/>
        <w:t>针对</w:t>
      </w:r>
      <w:r>
        <w:rPr/>
        <w:t>WRN</w:t>
      </w:r>
      <w:r>
        <w:rPr/>
        <w:t>合成致死，关注</w:t>
      </w:r>
      <w:r>
        <w:rPr/>
        <w:t>MSI-H</w:t>
      </w:r>
      <w:r>
        <w:rPr/>
        <w:t>或</w:t>
      </w:r>
      <w:r>
        <w:rPr/>
        <w:t>dMMR</w:t>
      </w:r>
      <w:r>
        <w:rPr/>
        <w:t>实体瘤；</w:t>
      </w:r>
      <w:r>
        <w:rPr/>
        <w:t>YF550</w:t>
      </w:r>
      <w:r>
        <w:rPr/>
        <w:t>针对</w:t>
      </w:r>
      <w:r>
        <w:rPr/>
        <w:t>KIF18A</w:t>
      </w:r>
      <w:r>
        <w:rPr/>
        <w:t>相关染色体不稳定，</w:t>
      </w:r>
      <w:r>
        <w:rPr/>
        <w:t>YF057</w:t>
      </w:r>
      <w:r>
        <w:rPr/>
        <w:t>为口服</w:t>
      </w:r>
      <w:r>
        <w:rPr/>
        <w:t>STAT6</w:t>
      </w:r>
      <w:r>
        <w:rPr/>
        <w:t>降解剂，聚焦特应性皮炎和哮喘。资料分别计划</w:t>
      </w:r>
      <w:r>
        <w:rPr/>
        <w:t>2026</w:t>
      </w:r>
      <w:r>
        <w:rPr/>
        <w:t>第四季度一期或</w:t>
      </w:r>
      <w:r>
        <w:rPr/>
        <w:t>IND</w:t>
      </w:r>
      <w:r>
        <w:rPr/>
        <w:t>、</w:t>
      </w:r>
      <w:r>
        <w:rPr/>
        <w:t>2027</w:t>
      </w:r>
      <w:r>
        <w:rPr/>
        <w:t>第二季度</w:t>
      </w:r>
      <w:r>
        <w:rPr/>
        <w:t>IND</w:t>
      </w:r>
      <w:r>
        <w:rPr/>
        <w:t>，未见本轮已完成原证。临床前设计和人群标志有价值，但剂量、安全、有效性与权益尚不完整，初版不叠三项精确大峰值。</w:t>
      </w:r>
    </w:p>
    <w:p>
      <w:pPr>
        <w:pStyle w:val="Normal"/>
        <w:rPr/>
      </w:pPr>
      <w:r>
        <w:rPr/>
        <w:t>合成致死对特定基因背景有机制吸引力，适用人群远小于全部实体瘤，耐药和选择标志还需验证。</w:t>
      </w:r>
      <w:r>
        <w:rPr/>
        <w:t>STAT6</w:t>
      </w:r>
      <w:r>
        <w:rPr/>
        <w:t>降解剂口服替代抗体是设计方向，不等已实现等同效果和长期安全。其他公司高价交易可以显示外界兴趣，不能自动转为本资产同价。若早期项目有人体数据或已签真实经济权，可更新模型；在此之前，其费用仍可能消耗现金，即使估值未额外计资产。</w:t>
      </w:r>
    </w:p>
    <w:p>
      <w:pPr>
        <w:pStyle w:val="Normal"/>
        <w:rPr/>
      </w:pPr>
      <w:r>
        <w:rPr/>
        <w:t>AI</w:t>
      </w:r>
      <w:r>
        <w:rPr/>
        <w:t>与计算化学模型可以提高分子搜索、结构预测、</w:t>
      </w:r>
      <w:r>
        <w:rPr/>
        <w:t>ADMET</w:t>
      </w:r>
      <w:r>
        <w:rPr/>
        <w:t>筛选和设计效率，却不能跳过实验、临床或监管。公司有较多内部模型，不等获得独立外部软件销售收入，也不等每个模型是一项可单独出售资产。本章将平台价值体现在产品产出能力，不再给</w:t>
      </w:r>
      <w:r>
        <w:rPr/>
        <w:t>AI</w:t>
      </w:r>
      <w:r>
        <w:rPr/>
        <w:t>平台额外高收入倍数，避免在临床药</w:t>
      </w:r>
      <w:r>
        <w:rPr/>
        <w:t>PV</w:t>
      </w:r>
      <w:r>
        <w:rPr/>
        <w:t>之外复制计价。实际效率应由周期、费用和成功产品检验。</w:t>
      </w:r>
    </w:p>
    <w:p>
      <w:pPr>
        <w:pStyle w:val="Normal"/>
        <w:rPr/>
      </w:pPr>
      <w:r>
        <w:rPr/>
        <w:t>默沙东合作</w:t>
      </w:r>
      <w:r>
        <w:rPr/>
        <w:t>8</w:t>
      </w:r>
      <w:r>
        <w:rPr/>
        <w:t>月</w:t>
      </w:r>
      <w:r>
        <w:rPr/>
        <w:t>10</w:t>
      </w:r>
      <w:r>
        <w:rPr/>
        <w:t>日签署、</w:t>
      </w:r>
      <w:r>
        <w:rPr/>
        <w:t>8</w:t>
      </w:r>
      <w:r>
        <w:rPr/>
        <w:t>月</w:t>
      </w:r>
      <w:r>
        <w:rPr/>
        <w:t>11</w:t>
      </w:r>
      <w:r>
        <w:rPr/>
        <w:t>日官网公布，共同推进肿瘤小分子临床，未公开具体品种、首款、股权、销售权或版税。大型伙伴的研究合作可以支持临床执行，不能因名字就推断全管线授权或大首款到账。模型不新增未披露现金，不提高所有成功率。若后续条款公开，应核对日期与权益，再根据对应药物重建，而非把合作主题当成永久估值溢价。</w:t>
      </w:r>
    </w:p>
    <w:p>
      <w:pPr>
        <w:pStyle w:val="Heading2"/>
        <w:rPr/>
      </w:pPr>
      <w:r>
        <w:rPr>
          <w:color w:val="000000"/>
        </w:rPr>
        <w:t>财务历史与利润质量</w:t>
      </w:r>
    </w:p>
    <w:p>
      <w:pPr>
        <w:pStyle w:val="Normal"/>
        <w:rPr/>
      </w:pPr>
      <w:r>
        <w:rPr/>
        <w:t>2023</w:t>
      </w:r>
      <w:r>
        <w:rPr/>
        <w:t>、</w:t>
      </w:r>
      <w:r>
        <w:rPr/>
        <w:t>2024</w:t>
      </w:r>
      <w:r>
        <w:rPr/>
        <w:t>、</w:t>
      </w:r>
      <w:r>
        <w:rPr/>
        <w:t>2025</w:t>
      </w:r>
      <w:r>
        <w:rPr/>
        <w:t>收入</w:t>
      </w:r>
      <w:r>
        <w:rPr/>
        <w:t>185.53</w:t>
      </w:r>
      <w:r>
        <w:rPr/>
        <w:t>、</w:t>
      </w:r>
      <w:r>
        <w:rPr/>
        <w:t>168.79</w:t>
      </w:r>
      <w:r>
        <w:rPr/>
        <w:t>、</w:t>
      </w:r>
      <w:r>
        <w:rPr/>
        <w:t>37.29</w:t>
      </w:r>
      <w:r>
        <w:rPr/>
        <w:t>百万元，归母亏</w:t>
      </w:r>
      <w:r>
        <w:rPr/>
        <w:t>283.98</w:t>
      </w:r>
      <w:r>
        <w:rPr/>
        <w:t>、</w:t>
      </w:r>
      <w:r>
        <w:rPr/>
        <w:t>240.20</w:t>
      </w:r>
      <w:r>
        <w:rPr/>
        <w:t>、</w:t>
      </w:r>
      <w:r>
        <w:rPr/>
        <w:t>316.87</w:t>
      </w:r>
      <w:r>
        <w:rPr/>
        <w:t>百万元。许可节点不同导致年度收入波动，</w:t>
      </w:r>
      <w:r>
        <w:rPr/>
        <w:t>2025</w:t>
      </w:r>
      <w:r>
        <w:rPr/>
        <w:t>总收入下降不能说明所有药品销量按相同比例下降；同样</w:t>
      </w:r>
      <w:r>
        <w:rPr/>
        <w:t>2026H1</w:t>
      </w:r>
      <w:r>
        <w:rPr/>
        <w:t>增长不能说明经营盈利已接近。公司草稿部分宣传文字称亏损持续收窄，与法定多年数值并不完全一致，研究按具体期间的可核数据，不能照抄形容词。</w:t>
      </w:r>
    </w:p>
    <w:p>
      <w:pPr>
        <w:pStyle w:val="Normal"/>
        <w:rPr/>
      </w:pPr>
      <w:r>
        <w:rPr/>
        <w:t>2024</w:t>
      </w:r>
      <w:r>
        <w:rPr/>
        <w:t>开发里程碑约</w:t>
      </w:r>
      <w:r>
        <w:rPr/>
        <w:t>150.94</w:t>
      </w:r>
      <w:r>
        <w:rPr/>
        <w:t>百万元、版税</w:t>
      </w:r>
      <w:r>
        <w:rPr/>
        <w:t>17.85</w:t>
      </w:r>
      <w:r>
        <w:rPr/>
        <w:t>百万元；</w:t>
      </w:r>
      <w:r>
        <w:rPr/>
        <w:t>2025</w:t>
      </w:r>
      <w:r>
        <w:rPr/>
        <w:t>版税</w:t>
      </w:r>
      <w:r>
        <w:rPr/>
        <w:t>37.29</w:t>
      </w:r>
      <w:r>
        <w:rPr/>
        <w:t>百万元，没有同样开发节点。</w:t>
      </w:r>
      <w:r>
        <w:rPr/>
        <w:t>2026H1</w:t>
      </w:r>
      <w:r>
        <w:rPr/>
        <w:t>含</w:t>
      </w:r>
      <w:r>
        <w:rPr/>
        <w:t>28.30</w:t>
      </w:r>
      <w:r>
        <w:rPr/>
        <w:t>百万元预付款确认，将低基数与一次性收入一起放大同比。会计确认取决于履约及可变对价，收到款、应收款和收入是不同事项。分析利润质量需检查合同和现金，不以高毛利自动当高稳定性，未来版税扩张才较有重复性。</w:t>
      </w:r>
    </w:p>
    <w:p>
      <w:pPr>
        <w:pStyle w:val="Normal"/>
        <w:rPr/>
      </w:pPr>
      <w:r>
        <w:rPr/>
        <w:t>H1</w:t>
      </w:r>
      <w:r>
        <w:rPr/>
        <w:t>成本</w:t>
      </w:r>
      <w:r>
        <w:rPr/>
        <w:t>2.97</w:t>
      </w:r>
      <w:r>
        <w:rPr/>
        <w:t>百万元，毛利约</w:t>
      </w:r>
      <w:r>
        <w:rPr/>
        <w:t>94.44%</w:t>
      </w:r>
      <w:r>
        <w:rPr/>
        <w:t>，但研发</w:t>
      </w:r>
      <w:r>
        <w:rPr/>
        <w:t>184.72</w:t>
      </w:r>
      <w:r>
        <w:rPr/>
        <w:t>、管理</w:t>
      </w:r>
      <w:r>
        <w:rPr/>
        <w:t>16.54</w:t>
      </w:r>
      <w:r>
        <w:rPr/>
        <w:t>百万元，仍法定亏损。高毛利源自许可经济形态，不意味着成熟销售公司的净利率接近</w:t>
      </w:r>
      <w:r>
        <w:rPr/>
        <w:t>94%</w:t>
      </w:r>
      <w:r>
        <w:rPr/>
        <w:t>。财务费用为</w:t>
      </w:r>
      <w:r>
        <w:rPr/>
        <w:t>-6.89</w:t>
      </w:r>
      <w:r>
        <w:rPr/>
        <w:t>百万元，现金利息有帮助但会随资金使用降低。政府补贴、公允价值变化等也不能乘</w:t>
      </w:r>
      <w:r>
        <w:rPr/>
        <w:t>PE</w:t>
      </w:r>
      <w:r>
        <w:rPr/>
        <w:t>作为持续药品利润。</w:t>
      </w:r>
      <w:r>
        <w:rPr/>
        <w:t>rNPV</w:t>
      </w:r>
      <w:r>
        <w:rPr/>
        <w:t>已用未来现金与费用，不把当前负</w:t>
      </w:r>
      <w:r>
        <w:rPr/>
        <w:t>PE</w:t>
      </w:r>
      <w:r>
        <w:rPr/>
        <w:t>用于公司排序。</w:t>
      </w:r>
    </w:p>
    <w:p>
      <w:pPr>
        <w:pStyle w:val="Normal"/>
        <w:rPr/>
      </w:pPr>
      <w:r>
        <w:rPr/>
        <w:t>A</w:t>
      </w:r>
      <w:r>
        <w:rPr/>
        <w:t>法定与</w:t>
      </w:r>
      <w:r>
        <w:rPr/>
        <w:t>HKEX</w:t>
      </w:r>
      <w:r>
        <w:rPr/>
        <w:t>会计师资料某些成本和去年利润有口径差异，同期总收入一致也不意味着整张表可混用。比如港表把收益、财务和成本重分类，历史准则调整影响若干数值，本章以</w:t>
      </w:r>
      <w:r>
        <w:rPr/>
        <w:t>A</w:t>
      </w:r>
      <w:r>
        <w:rPr/>
        <w:t>原报告作财务锚，</w:t>
      </w:r>
      <w:r>
        <w:rPr/>
        <w:t>HKEX</w:t>
      </w:r>
      <w:r>
        <w:rPr/>
        <w:t>补授权拆分。每个重要输入都注明出处和单位，不从两张表各取最有利的利润或成本。未来完整调节可补，当前差异作为研究限制保留。</w:t>
      </w:r>
    </w:p>
    <w:p>
      <w:pPr>
        <w:pStyle w:val="Heading2"/>
        <w:rPr/>
      </w:pPr>
      <w:r>
        <w:rPr>
          <w:color w:val="000000"/>
        </w:rPr>
        <w:t>研发规模与团队效率</w:t>
      </w:r>
    </w:p>
    <w:p>
      <w:pPr>
        <w:pStyle w:val="Normal"/>
        <w:rPr/>
      </w:pPr>
      <w:r>
        <w:rPr/>
        <w:t>H1</w:t>
      </w:r>
      <w:r>
        <w:rPr/>
        <w:t>研发</w:t>
      </w:r>
      <w:r>
        <w:rPr/>
        <w:t>184.72</w:t>
      </w:r>
      <w:r>
        <w:rPr/>
        <w:t>百万元、同比增</w:t>
      </w:r>
      <w:r>
        <w:rPr/>
        <w:t>59.98%</w:t>
      </w:r>
      <w:r>
        <w:rPr/>
        <w:t>，全部费用化，研发强度</w:t>
      </w:r>
      <w:r>
        <w:rPr/>
        <w:t>346.43%</w:t>
      </w:r>
      <w:r>
        <w:rPr/>
        <w:t>。临床前及临床费</w:t>
      </w:r>
      <w:r>
        <w:rPr/>
        <w:t>118.66</w:t>
      </w:r>
      <w:r>
        <w:rPr/>
        <w:t>百万元、去年</w:t>
      </w:r>
      <w:r>
        <w:rPr/>
        <w:t>42.25</w:t>
      </w:r>
      <w:r>
        <w:rPr/>
        <w:t>，员工薪酬</w:t>
      </w:r>
      <w:r>
        <w:rPr/>
        <w:t>48.21</w:t>
      </w:r>
      <w:r>
        <w:rPr/>
        <w:t>百万元与去年</w:t>
      </w:r>
      <w:r>
        <w:rPr/>
        <w:t>49.92</w:t>
      </w:r>
      <w:r>
        <w:rPr/>
        <w:t>接近，新增主要来自试验而非单纯扩人员。关键研究的推进可以解释成本增加，仍需证明这些投入产生注册和现金收益。研发费用不是可以全部加回的“非经营损失”，失败与融资都是真实经济成本。</w:t>
      </w:r>
    </w:p>
    <w:p>
      <w:pPr>
        <w:pStyle w:val="Normal"/>
        <w:rPr/>
      </w:pPr>
      <w:r>
        <w:rPr/>
        <w:t>管理股权激励</w:t>
      </w:r>
      <w:r>
        <w:rPr/>
        <w:t>4.80</w:t>
      </w:r>
      <w:r>
        <w:rPr/>
        <w:t>百万元、研发</w:t>
      </w:r>
      <w:r>
        <w:rPr/>
        <w:t>1.38</w:t>
      </w:r>
      <w:r>
        <w:rPr/>
        <w:t>，合计</w:t>
      </w:r>
      <w:r>
        <w:rPr/>
        <w:t>6.18</w:t>
      </w:r>
      <w:r>
        <w:rPr/>
        <w:t>百万元，远小于</w:t>
      </w:r>
      <w:r>
        <w:rPr/>
        <w:t>137.08</w:t>
      </w:r>
      <w:r>
        <w:rPr/>
        <w:t>百万元亏损。股份支付非当期全现金，但分给员工的权益和未来稀释仍由股东承担，不能全加回再声称已经接近盈利。</w:t>
      </w:r>
      <w:r>
        <w:rPr/>
        <w:t>2026</w:t>
      </w:r>
      <w:r>
        <w:rPr/>
        <w:t>新授</w:t>
      </w:r>
      <w:r>
        <w:rPr/>
        <w:t>6570981</w:t>
      </w:r>
      <w:r>
        <w:rPr/>
        <w:t>股、</w:t>
      </w:r>
      <w:r>
        <w:rPr/>
        <w:t>10.55</w:t>
      </w:r>
      <w:r>
        <w:rPr/>
        <w:t>元、</w:t>
      </w:r>
      <w:r>
        <w:rPr/>
        <w:t>183</w:t>
      </w:r>
      <w:r>
        <w:rPr/>
        <w:t>人，授予不是全部已归属。未来研发效率既需激励人才，也要控制新增权益与费用，报告将现金和股数压力都列出。</w:t>
      </w:r>
    </w:p>
    <w:p>
      <w:pPr>
        <w:pStyle w:val="Normal"/>
        <w:rPr/>
      </w:pPr>
      <w:r>
        <w:rPr/>
        <w:t>团队跨国经验可以支持机制、临床和合作执行，不是自动保证成功率。多个适应症并行提高潜在机会，也消耗临床管理与财务资源。如果研究失败，公司需要聚焦预算，可能放弃某些资产价值；若全推进，则费用和融资会增加。模型未来储备</w:t>
      </w:r>
      <w:r>
        <w:rPr/>
        <w:t>15</w:t>
      </w:r>
      <w:r>
        <w:rPr/>
        <w:t>亿元基准是粗略折现开发总部预算，尚未形成逐试验人数费用联动，不能写成精确已承诺项目成本。</w:t>
      </w:r>
    </w:p>
    <w:p>
      <w:pPr>
        <w:pStyle w:val="Heading2"/>
        <w:rPr/>
      </w:pPr>
      <w:r>
        <w:rPr>
          <w:color w:val="000000"/>
        </w:rPr>
        <w:t>现金口径 定期存款与跑道</w:t>
      </w:r>
    </w:p>
    <w:p>
      <w:pPr>
        <w:pStyle w:val="Normal"/>
        <w:rPr/>
      </w:pPr>
      <w:r>
        <w:rPr/>
        <w:t>H1</w:t>
      </w:r>
      <w:r>
        <w:rPr/>
        <w:t>货币资金</w:t>
      </w:r>
      <w:r>
        <w:rPr/>
        <w:t>1174.37</w:t>
      </w:r>
      <w:r>
        <w:rPr/>
        <w:t>百万元，包含即时银行及其他现金</w:t>
      </w:r>
      <w:r>
        <w:rPr/>
        <w:t>641.25</w:t>
      </w:r>
      <w:r>
        <w:rPr/>
        <w:t>、定存</w:t>
      </w:r>
      <w:r>
        <w:rPr/>
        <w:t>531.21</w:t>
      </w:r>
      <w:r>
        <w:rPr/>
        <w:t>和计提利息</w:t>
      </w:r>
      <w:r>
        <w:rPr/>
        <w:t>1.91</w:t>
      </w:r>
      <w:r>
        <w:rPr/>
        <w:t>。交易金融</w:t>
      </w:r>
      <w:r>
        <w:rPr/>
        <w:t>152.96</w:t>
      </w:r>
      <w:r>
        <w:rPr/>
        <w:t>百万元另列。现金等价物只有</w:t>
      </w:r>
      <w:r>
        <w:rPr/>
        <w:t>641.25</w:t>
      </w:r>
      <w:r>
        <w:rPr/>
        <w:t>，不应把全部</w:t>
      </w:r>
      <w:r>
        <w:rPr/>
        <w:t>1174.37</w:t>
      </w:r>
      <w:r>
        <w:rPr/>
        <w:t>说成随时可支付现金；定存因管理层持有到期而不列等价物，并不等全部冻结。广义可流动分析剔应计利息后约</w:t>
      </w:r>
      <w:r>
        <w:rPr/>
        <w:t>1325.42</w:t>
      </w:r>
      <w:r>
        <w:rPr/>
        <w:t>百万元，定存已经含货币资金，不能再加</w:t>
      </w:r>
      <w:r>
        <w:rPr/>
        <w:t>531.21</w:t>
      </w:r>
      <w:r>
        <w:rPr/>
        <w:t>一次。</w:t>
      </w:r>
    </w:p>
    <w:p>
      <w:pPr>
        <w:pStyle w:val="Normal"/>
        <w:rPr/>
      </w:pPr>
      <w:r>
        <w:rPr/>
        <w:t>银行债务没有报告余额，租赁含当期</w:t>
      </w:r>
      <w:r>
        <w:rPr/>
        <w:t>18.80</w:t>
      </w:r>
      <w:r>
        <w:rPr/>
        <w:t>百万元，广义净现金</w:t>
      </w:r>
      <w:r>
        <w:rPr/>
        <w:t>1306.62</w:t>
      </w:r>
      <w:r>
        <w:rPr/>
        <w:t>百万元；全部负债</w:t>
      </w:r>
      <w:r>
        <w:rPr/>
        <w:t>111.07</w:t>
      </w:r>
      <w:r>
        <w:rPr/>
        <w:t>还包括运营等，不能在扣租赁后再把全部负债全扣一次。净现金改善抗风险，却不是公司管线唯一价值，也不是无条件股价下限。现金会被研究和筹资费用使用，若临床失败或继续融资，每股净现金变化较大。存款、净债与应收分别列，使估值来源不混淆。</w:t>
      </w:r>
    </w:p>
    <w:p>
      <w:pPr>
        <w:pStyle w:val="Normal"/>
        <w:rPr/>
      </w:pPr>
      <w:r>
        <w:rPr/>
        <w:t>H1</w:t>
      </w:r>
      <w:r>
        <w:rPr/>
        <w:t>经营流出</w:t>
      </w:r>
      <w:r>
        <w:rPr/>
        <w:t>187.94</w:t>
      </w:r>
      <w:r>
        <w:rPr/>
        <w:t>、资本支出</w:t>
      </w:r>
      <w:r>
        <w:rPr/>
        <w:t>5.50</w:t>
      </w:r>
      <w:r>
        <w:rPr/>
        <w:t>，简单自由现金流</w:t>
      </w:r>
      <w:r>
        <w:rPr/>
        <w:t>-193.44</w:t>
      </w:r>
      <w:r>
        <w:rPr/>
        <w:t>百万元，年化流出</w:t>
      </w:r>
      <w:r>
        <w:rPr/>
        <w:t>386.88</w:t>
      </w:r>
      <w:r>
        <w:rPr/>
        <w:t>。即时现金除以此年化约</w:t>
      </w:r>
      <w:r>
        <w:rPr/>
        <w:t>1.66</w:t>
      </w:r>
      <w:r>
        <w:rPr/>
        <w:t>年，广义流动约</w:t>
      </w:r>
      <w:r>
        <w:rPr/>
        <w:t>3.43</w:t>
      </w:r>
      <w:r>
        <w:rPr/>
        <w:t>年，二者只是静态覆盖比，不是精确月度跑道。它们未考虑试验费增加、到期存款、欠款回收、新授权、融资或销售团队；不能据</w:t>
      </w:r>
      <w:r>
        <w:rPr/>
        <w:t>3.43</w:t>
      </w:r>
      <w:r>
        <w:rPr/>
        <w:t>年保证几年内无需融资。未来资金调度和研究预算需更细模型验证。</w:t>
      </w:r>
    </w:p>
    <w:p>
      <w:pPr>
        <w:pStyle w:val="Normal"/>
        <w:rPr/>
      </w:pPr>
      <w:r>
        <w:rPr/>
        <w:t>应付经营项目减少</w:t>
      </w:r>
      <w:r>
        <w:rPr/>
        <w:t>48.35</w:t>
      </w:r>
      <w:r>
        <w:rPr/>
        <w:t>百万元使现金流比亏损更负，说明偿付此前研究成本也消耗现金，未来不能只按会计研发预测付款。研发外包、</w:t>
      </w:r>
      <w:r>
        <w:rPr/>
        <w:t>CDMO</w:t>
      </w:r>
      <w:r>
        <w:rPr/>
        <w:t>和临床站点合同有阶段支付，时点不同会造成利润与现金偏离。资本开支较小是轻资产模式的证据，并不表示没有药物供给成本，外包费用在经营现金。将低</w:t>
      </w:r>
      <w:r>
        <w:rPr/>
        <w:t>capex</w:t>
      </w:r>
      <w:r>
        <w:rPr/>
        <w:t>视为自由现金必然强会忽略主要临床支出。</w:t>
      </w:r>
    </w:p>
    <w:p>
      <w:pPr>
        <w:pStyle w:val="Heading2"/>
        <w:rPr/>
      </w:pPr>
      <w:r>
        <w:rPr>
          <w:color w:val="000000"/>
        </w:rPr>
        <w:t>融资 股本和募集资金</w:t>
      </w:r>
    </w:p>
    <w:p>
      <w:pPr>
        <w:pStyle w:val="Normal"/>
        <w:rPr/>
      </w:pPr>
      <w:r>
        <w:rPr/>
        <w:t>6</w:t>
      </w:r>
      <w:r>
        <w:rPr/>
        <w:t>月</w:t>
      </w:r>
      <w:r>
        <w:rPr/>
        <w:t>30</w:t>
      </w:r>
      <w:r>
        <w:rPr/>
        <w:t>日已发</w:t>
      </w:r>
      <w:r>
        <w:rPr/>
        <w:t>579592004</w:t>
      </w:r>
      <w:r>
        <w:rPr/>
        <w:t>股与锁行情最新字段一致，</w:t>
      </w:r>
      <w:r>
        <w:rPr/>
        <w:t>H1</w:t>
      </w:r>
      <w:r>
        <w:rPr/>
        <w:t>因既有激励归属增加</w:t>
      </w:r>
      <w:r>
        <w:rPr/>
        <w:t>1243513</w:t>
      </w:r>
      <w:r>
        <w:rPr/>
        <w:t>股。</w:t>
      </w:r>
      <w:r>
        <w:rPr/>
        <w:t>8</w:t>
      </w:r>
      <w:r>
        <w:rPr/>
        <w:t>月</w:t>
      </w:r>
      <w:r>
        <w:rPr/>
        <w:t>22</w:t>
      </w:r>
      <w:r>
        <w:rPr/>
        <w:t>日另</w:t>
      </w:r>
      <w:r>
        <w:rPr/>
        <w:t>16518</w:t>
      </w:r>
      <w:r>
        <w:rPr/>
        <w:t>股符合归属条件，原公告说明还需登记，不能无原证直接改已发股本。</w:t>
      </w:r>
      <w:r>
        <w:rPr/>
        <w:t>2026</w:t>
      </w:r>
      <w:r>
        <w:rPr/>
        <w:t>新计划</w:t>
      </w:r>
      <w:r>
        <w:rPr/>
        <w:t>6570981</w:t>
      </w:r>
      <w:r>
        <w:rPr/>
        <w:t>股为二类未来归属，亦非授予当天全新增。模型未来股数逐期限压力，明确把既有股与待归属、假设新融资分开，避免分母低估和重复计新增。</w:t>
      </w:r>
    </w:p>
    <w:p>
      <w:pPr>
        <w:pStyle w:val="Normal"/>
        <w:rPr/>
      </w:pPr>
      <w:r>
        <w:rPr/>
        <w:t>H</w:t>
      </w:r>
      <w:r>
        <w:rPr/>
        <w:t>股</w:t>
      </w:r>
      <w:r>
        <w:rPr/>
        <w:t>8</w:t>
      </w:r>
      <w:r>
        <w:rPr/>
        <w:t>月</w:t>
      </w:r>
      <w:r>
        <w:rPr/>
        <w:t>21</w:t>
      </w:r>
      <w:r>
        <w:rPr/>
        <w:t>日重新申请、</w:t>
      </w:r>
      <w:r>
        <w:rPr/>
        <w:t>8</w:t>
      </w:r>
      <w:r>
        <w:rPr/>
        <w:t>月</w:t>
      </w:r>
      <w:r>
        <w:rPr/>
        <w:t>24</w:t>
      </w:r>
      <w:r>
        <w:rPr/>
        <w:t>日公告，草稿含未编纂发行数据，本轮没有截止日已上市证据。</w:t>
      </w:r>
      <w:r>
        <w:rPr/>
        <w:t>H1</w:t>
      </w:r>
      <w:r>
        <w:rPr/>
        <w:t>支付港股上市费用</w:t>
      </w:r>
      <w:r>
        <w:rPr/>
        <w:t>18.05</w:t>
      </w:r>
      <w:r>
        <w:rPr/>
        <w:t>百万元已发生现金，申请未来募集额未知，不填固定现金。若发行完成，股数、净融资和发行成本都更新；融资价格低于内在价值可能稀释，价格高可改善每股现金，但都需要真实条款。融资渠道多不等股东无成本获得资金。</w:t>
      </w:r>
    </w:p>
    <w:p>
      <w:pPr>
        <w:pStyle w:val="Normal"/>
        <w:rPr/>
      </w:pPr>
      <w:r>
        <w:rPr/>
        <w:t>8</w:t>
      </w:r>
      <w:r>
        <w:rPr/>
        <w:t>月现金管理额度和募集专户体现资金安排，权限上限不是额外存款。本章已财报存款和金融资产为锚，不把现金管理批准额度再次相加。募集项目承诺未来投入也不等账户里同额可支配现金；研究费用可按计划变更和实际临床情况使用。未来开发与股数假设如果更新，需要统一刷新模型与总表，不能只在报告里替换一个融资数字。</w:t>
      </w:r>
    </w:p>
    <w:p>
      <w:pPr>
        <w:pStyle w:val="Heading2"/>
        <w:rPr/>
      </w:pPr>
      <w:r>
        <w:rPr>
          <w:color w:val="000000"/>
        </w:rPr>
        <w:t>周期 利率与支付的公司影响</w:t>
      </w:r>
    </w:p>
    <w:p>
      <w:pPr>
        <w:pStyle w:val="Normal"/>
        <w:rPr/>
      </w:pPr>
      <w:r>
        <w:rPr/>
        <w:t>益方需求来自精准肿瘤和慢性自免，经济短期波动对疾病发生影响小，对医保预算、患者自付、融资和合作价格影响却直接。医保可扩大上市药使用，版税按净销售则也承受谈判降价。中国自营候选药未获批时，医保未来收录和时间未知，不可按已收录建无风险曲线。合作伙伴能否有效扩医院覆盖，是需求转为归属收入的关键链条。</w:t>
      </w:r>
    </w:p>
    <w:p>
      <w:pPr>
        <w:pStyle w:val="Normal"/>
        <w:rPr/>
      </w:pPr>
      <w:r>
        <w:rPr/>
        <w:t>利率下降可提高远期研发</w:t>
      </w:r>
      <w:r>
        <w:rPr/>
        <w:t>PV</w:t>
      </w:r>
      <w:r>
        <w:rPr/>
        <w:t>，也减少存款利息；融资风险偏好提高可能让许可交易更容易，却不能保证临床成功。海外研发支出以美元等币种支付，人民币变动影响成本，未来版税也可能不同币种。模型</w:t>
      </w:r>
      <w:r>
        <w:rPr/>
        <w:t>6.8</w:t>
      </w:r>
      <w:r>
        <w:rPr/>
        <w:t>仅一致汇率假设，不作真实现货锚，缺完整币种费用流时不伪造精确净外汇敞口。公司受益与付出需同时算，不能只将汇率当出口利好。</w:t>
      </w:r>
    </w:p>
    <w:p>
      <w:pPr>
        <w:pStyle w:val="Normal"/>
        <w:rPr/>
      </w:pPr>
      <w:r>
        <w:rPr/>
        <w:t>海外政策包括研究质量、专利、报销和伙伴合规，不是一条“出海支持”能抵消全部风险。具体资产是否有美国路径很重要，</w:t>
      </w:r>
      <w:r>
        <w:rPr/>
        <w:t>D-0502</w:t>
      </w:r>
      <w:r>
        <w:rPr/>
        <w:t>无进一步计划不能与</w:t>
      </w:r>
      <w:r>
        <w:rPr/>
        <w:t>D-2570</w:t>
      </w:r>
      <w:r>
        <w:rPr/>
        <w:t>美国二期相同处理。专利及数据权涉及双方历史研发和改良，未来让渡可限制长期收益。初版有公开</w:t>
      </w:r>
      <w:r>
        <w:rPr/>
        <w:t>FTO</w:t>
      </w:r>
      <w:r>
        <w:rPr/>
        <w:t>摘要却未司法独立核验，不将摘要结论当绝对无专利争议。</w:t>
      </w:r>
    </w:p>
    <w:p>
      <w:pPr>
        <w:pStyle w:val="Heading2"/>
        <w:rPr/>
      </w:pPr>
      <w:r>
        <w:rPr>
          <w:color w:val="000000"/>
        </w:rPr>
        <w:t>日线趋势与价格区间</w:t>
      </w:r>
    </w:p>
    <w:p>
      <w:pPr>
        <w:pStyle w:val="Normal"/>
        <w:rPr/>
      </w:pPr>
      <w:r>
        <w:rPr/>
        <w:t>行情</w:t>
      </w:r>
      <w:r>
        <w:rPr/>
        <w:t>728</w:t>
      </w:r>
      <w:r>
        <w:rPr/>
        <w:t>日从</w:t>
      </w:r>
      <w:r>
        <w:rPr/>
        <w:t>2023</w:t>
      </w:r>
      <w:r>
        <w:rPr/>
        <w:t>年</w:t>
      </w:r>
      <w:r>
        <w:rPr/>
        <w:t>10</w:t>
      </w:r>
      <w:r>
        <w:rPr/>
        <w:t>月</w:t>
      </w:r>
      <w:r>
        <w:rPr/>
        <w:t>9</w:t>
      </w:r>
      <w:r>
        <w:rPr/>
        <w:t>日至截止日，复权</w:t>
      </w:r>
      <w:r>
        <w:rPr/>
        <w:t>OHLC</w:t>
      </w:r>
      <w:r>
        <w:rPr/>
        <w:t>按现价归一，并与独立来源核对。</w:t>
      </w:r>
      <w:r>
        <w:rPr/>
        <w:t>17.26</w:t>
      </w:r>
      <w:r>
        <w:rPr/>
        <w:t>元低于</w:t>
      </w:r>
      <w:r>
        <w:rPr/>
        <w:t>20</w:t>
      </w:r>
      <w:r>
        <w:rPr/>
        <w:t>、</w:t>
      </w:r>
      <w:r>
        <w:rPr/>
        <w:t>60</w:t>
      </w:r>
      <w:r>
        <w:rPr/>
        <w:t>、</w:t>
      </w:r>
      <w:r>
        <w:rPr/>
        <w:t>120</w:t>
      </w:r>
      <w:r>
        <w:rPr/>
        <w:t>、</w:t>
      </w:r>
      <w:r>
        <w:rPr/>
        <w:t>250</w:t>
      </w:r>
      <w:r>
        <w:rPr/>
        <w:t>日均价</w:t>
      </w:r>
      <w:r>
        <w:rPr/>
        <w:t>18.6855</w:t>
      </w:r>
      <w:r>
        <w:rPr/>
        <w:t>、</w:t>
      </w:r>
      <w:r>
        <w:rPr/>
        <w:t>20.6333</w:t>
      </w:r>
      <w:r>
        <w:rPr/>
        <w:t>、</w:t>
      </w:r>
      <w:r>
        <w:rPr/>
        <w:t>20.3199</w:t>
      </w:r>
      <w:r>
        <w:rPr/>
        <w:t>、</w:t>
      </w:r>
      <w:r>
        <w:rPr/>
        <w:t>23.2614</w:t>
      </w:r>
      <w:r>
        <w:rPr/>
        <w:t>元，距离</w:t>
      </w:r>
      <w:r>
        <w:rPr/>
        <w:t>-7.63%</w:t>
      </w:r>
      <w:r>
        <w:rPr/>
        <w:t>、</w:t>
      </w:r>
      <w:r>
        <w:rPr/>
        <w:t>-16.35%</w:t>
      </w:r>
      <w:r>
        <w:rPr/>
        <w:t>、</w:t>
      </w:r>
      <w:r>
        <w:rPr/>
        <w:t>-15.06%</w:t>
      </w:r>
      <w:r>
        <w:rPr/>
        <w:t>、</w:t>
      </w:r>
      <w:r>
        <w:rPr/>
        <w:t>-25.80%</w:t>
      </w:r>
      <w:r>
        <w:rPr/>
        <w:t>。</w:t>
      </w:r>
      <w:r>
        <w:rPr/>
        <w:t>20</w:t>
      </w:r>
      <w:r>
        <w:rPr/>
        <w:t>至</w:t>
      </w:r>
      <w:r>
        <w:rPr/>
        <w:t>250</w:t>
      </w:r>
      <w:r>
        <w:rPr/>
        <w:t>日五日斜率全部负，约</w:t>
      </w:r>
      <w:r>
        <w:rPr/>
        <w:t>-2.56%</w:t>
      </w:r>
      <w:r>
        <w:rPr/>
        <w:t>、</w:t>
      </w:r>
      <w:r>
        <w:rPr/>
        <w:t>-1.60%</w:t>
      </w:r>
      <w:r>
        <w:rPr/>
        <w:t>、</w:t>
      </w:r>
      <w:r>
        <w:rPr/>
        <w:t>-0.82%</w:t>
      </w:r>
      <w:r>
        <w:rPr/>
        <w:t>、</w:t>
      </w:r>
      <w:r>
        <w:rPr/>
        <w:t>-1.45%</w:t>
      </w:r>
      <w:r>
        <w:rPr/>
        <w:t>，不能以临床前景好就称技术已经底部反转。</w:t>
      </w:r>
    </w:p>
    <w:p>
      <w:pPr>
        <w:pStyle w:val="Normal"/>
        <w:rPr/>
      </w:pPr>
      <w:r>
        <w:rPr/>
        <w:t>20</w:t>
      </w:r>
      <w:r>
        <w:rPr/>
        <w:t>日区间</w:t>
      </w:r>
      <w:r>
        <w:rPr/>
        <w:t>16.64</w:t>
      </w:r>
      <w:r>
        <w:rPr/>
        <w:t>至</w:t>
      </w:r>
      <w:r>
        <w:rPr/>
        <w:t>20.98</w:t>
      </w:r>
      <w:r>
        <w:rPr/>
        <w:t>，现价到低点</w:t>
      </w:r>
      <w:r>
        <w:rPr/>
        <w:t>-3.59%</w:t>
      </w:r>
      <w:r>
        <w:rPr/>
        <w:t>、到高</w:t>
      </w:r>
      <w:r>
        <w:rPr/>
        <w:t>21.55%</w:t>
      </w:r>
      <w:r>
        <w:rPr/>
        <w:t>，</w:t>
      </w:r>
      <w:r>
        <w:rPr/>
        <w:t>60</w:t>
      </w:r>
      <w:r>
        <w:rPr/>
        <w:t>日高</w:t>
      </w:r>
      <w:r>
        <w:rPr/>
        <w:t>28.21</w:t>
      </w:r>
      <w:r>
        <w:rPr/>
        <w:t>距离</w:t>
      </w:r>
      <w:r>
        <w:rPr/>
        <w:t>63.44%</w:t>
      </w:r>
      <w:r>
        <w:rPr/>
        <w:t>。低点为近期观察位，不是经过多次触碰证明的不可跌破支撑。若持续低于</w:t>
      </w:r>
      <w:r>
        <w:rPr/>
        <w:t>16.64</w:t>
      </w:r>
      <w:r>
        <w:rPr/>
        <w:t>，可观察</w:t>
      </w:r>
      <w:r>
        <w:rPr/>
        <w:t>15.58</w:t>
      </w:r>
      <w:r>
        <w:rPr/>
        <w:t>一年窗口低点；若收回</w:t>
      </w:r>
      <w:r>
        <w:rPr/>
        <w:t>18.69</w:t>
      </w:r>
      <w:r>
        <w:rPr/>
        <w:t>且均线转平，再看</w:t>
      </w:r>
      <w:r>
        <w:rPr/>
        <w:t>20.32</w:t>
      </w:r>
      <w:r>
        <w:rPr/>
        <w:t>至</w:t>
      </w:r>
      <w:r>
        <w:rPr/>
        <w:t>20.98</w:t>
      </w:r>
      <w:r>
        <w:rPr/>
        <w:t>密集区。未来图形需要价格保留与量能配合，而非盘中一瞬触碰就确定突破。</w:t>
      </w:r>
    </w:p>
    <w:p>
      <w:pPr>
        <w:pStyle w:val="Normal"/>
        <w:rPr/>
      </w:pPr>
      <w:r>
        <w:rPr/>
        <w:t>252</w:t>
      </w:r>
      <w:r>
        <w:rPr/>
        <w:t>交易日高</w:t>
      </w:r>
      <w:r>
        <w:rPr/>
        <w:t>36.30</w:t>
      </w:r>
      <w:r>
        <w:rPr/>
        <w:t>、低</w:t>
      </w:r>
      <w:r>
        <w:rPr/>
        <w:t>15.58</w:t>
      </w:r>
      <w:r>
        <w:rPr/>
        <w:t>，距高</w:t>
      </w:r>
      <w:r>
        <w:rPr/>
        <w:t>-52.45%</w:t>
      </w:r>
      <w:r>
        <w:rPr/>
        <w:t>、距低</w:t>
      </w:r>
      <w:r>
        <w:rPr/>
        <w:t>10.78%</w:t>
      </w:r>
      <w:r>
        <w:rPr/>
        <w:t>，窗口最大回撤</w:t>
      </w:r>
      <w:r>
        <w:rPr/>
        <w:t>53.50%</w:t>
      </w:r>
      <w:r>
        <w:rPr/>
        <w:t>。高跌幅不说明现在估值必然低，高点可能包含临床与融资乐观溢价。历史回撤描述风险，不是下次反弹幅度公式。元数据</w:t>
      </w:r>
      <w:r>
        <w:rPr/>
        <w:t>52</w:t>
      </w:r>
      <w:r>
        <w:rPr/>
        <w:t>周高、日与周窗口高因样本及复权不同，研究统一采用计算字段并注明差异，不能随意选择最利于推荐的一项。</w:t>
      </w:r>
    </w:p>
    <w:p>
      <w:pPr>
        <w:pStyle w:val="Heading2"/>
        <w:rPr/>
      </w:pPr>
      <w:r>
        <w:rPr>
          <w:color w:val="000000"/>
        </w:rPr>
        <w:t>量能 换手与资金推断边界</w:t>
      </w:r>
    </w:p>
    <w:p>
      <w:pPr>
        <w:pStyle w:val="Normal"/>
        <w:rPr/>
      </w:pPr>
      <w:r>
        <w:rPr/>
        <w:t>基准日</w:t>
      </w:r>
      <w:r>
        <w:rPr/>
        <w:t>10969553</w:t>
      </w:r>
      <w:r>
        <w:rPr/>
        <w:t>股、成交额</w:t>
      </w:r>
      <w:r>
        <w:rPr/>
        <w:t>186715639</w:t>
      </w:r>
      <w:r>
        <w:rPr/>
        <w:t>元、换手</w:t>
      </w:r>
      <w:r>
        <w:rPr/>
        <w:t>1.89%</w:t>
      </w:r>
      <w:r>
        <w:rPr/>
        <w:t>，股单位已用双源核对，不再将报价量乘百。</w:t>
      </w:r>
      <w:r>
        <w:rPr/>
        <w:t>20</w:t>
      </w:r>
      <w:r>
        <w:rPr/>
        <w:t>日量比</w:t>
      </w:r>
      <w:r>
        <w:rPr/>
        <w:t>0.9965</w:t>
      </w:r>
      <w:r>
        <w:rPr/>
        <w:t>约一，与前</w:t>
      </w:r>
      <w:r>
        <w:rPr/>
        <w:t>20</w:t>
      </w:r>
      <w:r>
        <w:rPr/>
        <w:t>日均量接近；</w:t>
      </w:r>
      <w:r>
        <w:rPr/>
        <w:t>5</w:t>
      </w:r>
      <w:r>
        <w:rPr/>
        <w:t>、</w:t>
      </w:r>
      <w:r>
        <w:rPr/>
        <w:t>20</w:t>
      </w:r>
      <w:r>
        <w:rPr/>
        <w:t>、</w:t>
      </w:r>
      <w:r>
        <w:rPr/>
        <w:t>60</w:t>
      </w:r>
      <w:r>
        <w:rPr/>
        <w:t>日均量</w:t>
      </w:r>
      <w:r>
        <w:rPr/>
        <w:t>1586.44</w:t>
      </w:r>
      <w:r>
        <w:rPr/>
        <w:t>、</w:t>
      </w:r>
      <w:r>
        <w:rPr/>
        <w:t>1111.99</w:t>
      </w:r>
      <w:r>
        <w:rPr/>
        <w:t>、</w:t>
      </w:r>
      <w:r>
        <w:rPr/>
        <w:t>1802.30</w:t>
      </w:r>
      <w:r>
        <w:rPr/>
        <w:t>万股，短线比</w:t>
      </w:r>
      <w:r>
        <w:rPr/>
        <w:t>20</w:t>
      </w:r>
      <w:r>
        <w:rPr/>
        <w:t>日更活跃仍未超过</w:t>
      </w:r>
      <w:r>
        <w:rPr/>
        <w:t>60</w:t>
      </w:r>
      <w:r>
        <w:rPr/>
        <w:t>日。结合下跌趋势，量能不能证明持续新上升阶段，也不能单日接近均量就说抛压完全出尽。</w:t>
      </w:r>
    </w:p>
    <w:p>
      <w:pPr>
        <w:pStyle w:val="Normal"/>
        <w:rPr/>
      </w:pPr>
      <w:r>
        <w:rPr/>
        <w:t>近</w:t>
      </w:r>
      <w:r>
        <w:rPr/>
        <w:t>20</w:t>
      </w:r>
      <w:r>
        <w:rPr/>
        <w:t>日上涨与下跌各</w:t>
      </w:r>
      <w:r>
        <w:rPr/>
        <w:t>10</w:t>
      </w:r>
      <w:r>
        <w:rPr/>
        <w:t>天，总量</w:t>
      </w:r>
      <w:r>
        <w:rPr/>
        <w:t>11186.10</w:t>
      </w:r>
      <w:r>
        <w:rPr/>
        <w:t>与</w:t>
      </w:r>
      <w:r>
        <w:rPr/>
        <w:t>11053.62</w:t>
      </w:r>
      <w:r>
        <w:rPr/>
        <w:t>万股，比</w:t>
      </w:r>
      <w:r>
        <w:rPr/>
        <w:t>1.012</w:t>
      </w:r>
      <w:r>
        <w:rPr/>
        <w:t>，几乎相近；天数相同使日均比也相同。周</w:t>
      </w:r>
      <w:r>
        <w:rPr/>
        <w:t>20</w:t>
      </w:r>
      <w:r>
        <w:rPr/>
        <w:t>期上量与下量比</w:t>
      </w:r>
      <w:r>
        <w:rPr/>
        <w:t>1.261</w:t>
      </w:r>
      <w:r>
        <w:rPr/>
        <w:t>，但价格仍低于关键均价，量与趋势没有强一致性。大成交可能由消息、换手或被动资金造成，没有逐笔账户数据不能识别主力成本。本章不用“吸筹”“洗盘”作为确定事实，不绘制精确筹码峰。</w:t>
      </w:r>
    </w:p>
    <w:p>
      <w:pPr>
        <w:pStyle w:val="Normal"/>
        <w:rPr/>
      </w:pPr>
      <w:r>
        <w:rPr/>
        <w:t>技术转好条件为收复短线均价，回落低点抬高，突破</w:t>
      </w:r>
      <w:r>
        <w:rPr/>
        <w:t>20.32</w:t>
      </w:r>
      <w:r>
        <w:rPr/>
        <w:t>至</w:t>
      </w:r>
      <w:r>
        <w:rPr/>
        <w:t>20.98</w:t>
      </w:r>
      <w:r>
        <w:rPr/>
        <w:t>后连续保留、上涨成交改善且回落成交受控。技术失效包括再破</w:t>
      </w:r>
      <w:r>
        <w:rPr/>
        <w:t>16.64</w:t>
      </w:r>
      <w:r>
        <w:rPr/>
        <w:t>或放量下跌而无法恢复，需与临床消息分开。</w:t>
      </w:r>
      <w:r>
        <w:rPr/>
        <w:t>ATR</w:t>
      </w:r>
      <w:r>
        <w:rPr/>
        <w:t>大于近观察低点距离，过窄风险控制可能被正常波动触发，不能只按支撑三个百分点声称最大损失很小。价格规则是观察流程，不是保证执行一定获利。</w:t>
      </w:r>
    </w:p>
    <w:p>
      <w:pPr>
        <w:pStyle w:val="Heading2"/>
        <w:rPr/>
      </w:pPr>
      <w:r>
        <w:rPr>
          <w:color w:val="000000"/>
        </w:rPr>
        <w:t>周线 相对强弱及指标</w:t>
      </w:r>
    </w:p>
    <w:p>
      <w:pPr>
        <w:pStyle w:val="Normal"/>
        <w:rPr/>
      </w:pPr>
      <w:r>
        <w:rPr/>
        <w:t>155</w:t>
      </w:r>
      <w:r>
        <w:rPr/>
        <w:t>周</w:t>
      </w:r>
      <w:r>
        <w:rPr/>
        <w:t>20</w:t>
      </w:r>
      <w:r>
        <w:rPr/>
        <w:t>、</w:t>
      </w:r>
      <w:r>
        <w:rPr/>
        <w:t>60</w:t>
      </w:r>
      <w:r>
        <w:rPr/>
        <w:t>、</w:t>
      </w:r>
      <w:r>
        <w:rPr/>
        <w:t>120</w:t>
      </w:r>
      <w:r>
        <w:rPr/>
        <w:t>均价</w:t>
      </w:r>
      <w:r>
        <w:rPr/>
        <w:t>19.618</w:t>
      </w:r>
      <w:r>
        <w:rPr/>
        <w:t>、</w:t>
      </w:r>
      <w:r>
        <w:rPr/>
        <w:t>24.8362</w:t>
      </w:r>
      <w:r>
        <w:rPr/>
        <w:t>、</w:t>
      </w:r>
      <w:r>
        <w:rPr/>
        <w:t>20.9709</w:t>
      </w:r>
      <w:r>
        <w:rPr/>
        <w:t>元，现价均低，</w:t>
      </w:r>
      <w:r>
        <w:rPr/>
        <w:t>20</w:t>
      </w:r>
      <w:r>
        <w:rPr/>
        <w:t>与</w:t>
      </w:r>
      <w:r>
        <w:rPr/>
        <w:t>60</w:t>
      </w:r>
      <w:r>
        <w:rPr/>
        <w:t>周五周斜率</w:t>
      </w:r>
      <w:r>
        <w:rPr/>
        <w:t>-4.53%</w:t>
      </w:r>
      <w:r>
        <w:rPr/>
        <w:t>、</w:t>
      </w:r>
      <w:r>
        <w:rPr/>
        <w:t>-7.46%</w:t>
      </w:r>
      <w:r>
        <w:rPr/>
        <w:t>，</w:t>
      </w:r>
      <w:r>
        <w:rPr/>
        <w:t>120</w:t>
      </w:r>
      <w:r>
        <w:rPr/>
        <w:t>周</w:t>
      </w:r>
      <w:r>
        <w:rPr/>
        <w:t>+1.95%</w:t>
      </w:r>
      <w:r>
        <w:rPr/>
        <w:t>。长周线略正不能抵消中短期下降，</w:t>
      </w:r>
      <w:r>
        <w:rPr/>
        <w:t>250</w:t>
      </w:r>
      <w:r>
        <w:rPr/>
        <w:t>周不足留空。尾周国庆交易日少，周成交</w:t>
      </w:r>
      <w:r>
        <w:rPr/>
        <w:t>0.364</w:t>
      </w:r>
      <w:r>
        <w:rPr/>
        <w:t>倍不应直接与完整周比较称极端缩量。</w:t>
      </w:r>
      <w:r>
        <w:rPr/>
        <w:t>20</w:t>
      </w:r>
      <w:r>
        <w:rPr/>
        <w:t>周区间低</w:t>
      </w:r>
      <w:r>
        <w:rPr/>
        <w:t>15.58</w:t>
      </w:r>
      <w:r>
        <w:rPr/>
        <w:t>、高</w:t>
      </w:r>
      <w:r>
        <w:rPr/>
        <w:t>28.21</w:t>
      </w:r>
      <w:r>
        <w:rPr/>
        <w:t>，仍是范围观察，不是精准筹码位置。</w:t>
      </w:r>
    </w:p>
    <w:p>
      <w:pPr>
        <w:pStyle w:val="Normal"/>
        <w:rPr/>
      </w:pPr>
      <w:r>
        <w:rPr/>
        <w:t>股票</w:t>
      </w:r>
      <w:r>
        <w:rPr/>
        <w:t>20</w:t>
      </w:r>
      <w:r>
        <w:rPr/>
        <w:t>、</w:t>
      </w:r>
      <w:r>
        <w:rPr/>
        <w:t>60</w:t>
      </w:r>
      <w:r>
        <w:rPr/>
        <w:t>日回报</w:t>
      </w:r>
      <w:r>
        <w:rPr/>
        <w:t>-13.44%</w:t>
      </w:r>
      <w:r>
        <w:rPr/>
        <w:t>、</w:t>
      </w:r>
      <w:r>
        <w:rPr/>
        <w:t>-19.87%</w:t>
      </w:r>
      <w:r>
        <w:rPr/>
        <w:t>，沪深</w:t>
      </w:r>
      <w:r>
        <w:rPr/>
        <w:t>300-5.17%</w:t>
      </w:r>
      <w:r>
        <w:rPr/>
        <w:t>、</w:t>
      </w:r>
      <w:r>
        <w:rPr/>
        <w:t>-11.46%</w:t>
      </w:r>
      <w:r>
        <w:rPr/>
        <w:t>，超额</w:t>
      </w:r>
      <w:r>
        <w:rPr/>
        <w:t>-8.27</w:t>
      </w:r>
      <w:r>
        <w:rPr/>
        <w:t>、</w:t>
      </w:r>
      <w:r>
        <w:rPr/>
        <w:t>-8.41</w:t>
      </w:r>
      <w:r>
        <w:rPr/>
        <w:t>个百分点。短期弱于宽基有数据依据，创新药行业同口径基准缺失，行业超额留空，不借港股创新药指数代替。若板块未来回暖而个股仍弱，需要观察其独立原因；若宽基弱而股票稳住，可调整技术判断，目前尚未有这样的持续证据。</w:t>
      </w:r>
    </w:p>
    <w:p>
      <w:pPr>
        <w:pStyle w:val="Normal"/>
        <w:rPr/>
      </w:pPr>
      <w:r>
        <w:rPr/>
        <w:t>日</w:t>
      </w:r>
      <w:r>
        <w:rPr/>
        <w:t>RSI39.76</w:t>
      </w:r>
      <w:r>
        <w:rPr/>
        <w:t>、周</w:t>
      </w:r>
      <w:r>
        <w:rPr/>
        <w:t>40.58</w:t>
      </w:r>
      <w:r>
        <w:rPr/>
        <w:t>，日</w:t>
      </w:r>
      <w:r>
        <w:rPr/>
        <w:t>MACD DIF-0.5364</w:t>
      </w:r>
      <w:r>
        <w:rPr/>
        <w:t>、</w:t>
      </w:r>
      <w:r>
        <w:rPr/>
        <w:t>DEA-0.4435</w:t>
      </w:r>
      <w:r>
        <w:rPr/>
        <w:t>、柱</w:t>
      </w:r>
      <w:r>
        <w:rPr/>
        <w:t>-0.1857</w:t>
      </w:r>
      <w:r>
        <w:rPr/>
        <w:t>，周柱</w:t>
      </w:r>
      <w:r>
        <w:rPr/>
        <w:t>-0.1199</w:t>
      </w:r>
      <w:r>
        <w:rPr/>
        <w:t>，辅助指标均未形成明确强趋势。</w:t>
      </w:r>
      <w:r>
        <w:rPr/>
        <w:t>RSI</w:t>
      </w:r>
      <w:r>
        <w:rPr/>
        <w:t>偏低不保证反弹，</w:t>
      </w:r>
      <w:r>
        <w:rPr/>
        <w:t>MACD</w:t>
      </w:r>
      <w:r>
        <w:rPr/>
        <w:t>和均线都源自同价格，不在评分重复加优势。日</w:t>
      </w:r>
      <w:r>
        <w:rPr/>
        <w:t>ATR1.2579</w:t>
      </w:r>
      <w:r>
        <w:rPr/>
        <w:t>元、</w:t>
      </w:r>
      <w:r>
        <w:rPr/>
        <w:t>7.29%</w:t>
      </w:r>
      <w:r>
        <w:rPr/>
        <w:t>，周</w:t>
      </w:r>
      <w:r>
        <w:rPr/>
        <w:t>18.87%</w:t>
      </w:r>
      <w:r>
        <w:rPr/>
        <w:t>，波动需要纳入情景和观察区。临床公布可发生跳跃，历史</w:t>
      </w:r>
      <w:r>
        <w:rPr/>
        <w:t>ATR</w:t>
      </w:r>
      <w:r>
        <w:rPr/>
        <w:t>也不是新事件最大波幅限制。</w:t>
      </w:r>
    </w:p>
    <w:p>
      <w:pPr>
        <w:pStyle w:val="Heading2"/>
        <w:rPr/>
      </w:pPr>
      <w:r>
        <w:rPr>
          <w:color w:val="000000"/>
        </w:rPr>
        <w:t>估值框架与归属现金</w:t>
      </w:r>
    </w:p>
    <w:p>
      <w:pPr>
        <w:pStyle w:val="Normal"/>
        <w:rPr/>
      </w:pPr>
      <w:r>
        <w:rPr/>
        <w:t>十五项资产覆盖两上市药、格索雷塞扩适应症与海外、</w:t>
      </w:r>
      <w:r>
        <w:rPr/>
        <w:t>TYK2</w:t>
      </w:r>
      <w:r>
        <w:rPr/>
        <w:t>五中国疾病及海外、</w:t>
      </w:r>
      <w:r>
        <w:rPr/>
        <w:t>SERD</w:t>
      </w:r>
      <w:r>
        <w:rPr/>
        <w:t>单药及</w:t>
      </w:r>
      <w:r>
        <w:rPr/>
        <w:t>ADC</w:t>
      </w:r>
      <w:r>
        <w:rPr/>
        <w:t>增量、</w:t>
      </w:r>
      <w:r>
        <w:rPr/>
        <w:t>URAT</w:t>
      </w:r>
      <w:r>
        <w:rPr/>
        <w:t>中国和海外。各资产分销量币种、上市年份、峰值、现金率和成功判断，</w:t>
      </w:r>
      <w:r>
        <w:rPr/>
        <w:t>2027</w:t>
      </w:r>
      <w:r>
        <w:rPr/>
        <w:t>至</w:t>
      </w:r>
      <w:r>
        <w:rPr/>
        <w:t>2045</w:t>
      </w:r>
      <w:r>
        <w:rPr/>
        <w:t>逐年折现，峰值后按峰值</w:t>
      </w:r>
      <w:r>
        <w:rPr/>
        <w:t>13%</w:t>
      </w:r>
      <w:r>
        <w:rPr/>
        <w:t>每年衰减，不设终值。衰减为模型近似，非真实每项专利到期。早期平台不额外精确计价，尚未开发的</w:t>
      </w:r>
      <w:r>
        <w:rPr/>
        <w:t>D-0502</w:t>
      </w:r>
      <w:r>
        <w:rPr/>
        <w:t>海外取零。</w:t>
      </w:r>
    </w:p>
    <w:p>
      <w:pPr>
        <w:pStyle w:val="Normal"/>
        <w:rPr/>
      </w:pPr>
      <w:r>
        <w:rPr/>
        <w:t>悲观、基准、乐观折现</w:t>
      </w:r>
      <w:r>
        <w:rPr/>
        <w:t>18%</w:t>
      </w:r>
      <w:r>
        <w:rPr/>
        <w:t>、</w:t>
      </w:r>
      <w:r>
        <w:rPr/>
        <w:t>13.5%</w:t>
      </w:r>
      <w:r>
        <w:rPr/>
        <w:t>、</w:t>
      </w:r>
      <w:r>
        <w:rPr/>
        <w:t>10.5%</w:t>
      </w:r>
      <w:r>
        <w:rPr/>
        <w:t>，授权税率</w:t>
      </w:r>
      <w:r>
        <w:rPr/>
        <w:t>20%</w:t>
      </w:r>
      <w:r>
        <w:rPr/>
        <w:t>、</w:t>
      </w:r>
      <w:r>
        <w:rPr/>
        <w:t>18%</w:t>
      </w:r>
      <w:r>
        <w:rPr/>
        <w:t>、</w:t>
      </w:r>
      <w:r>
        <w:rPr/>
        <w:t>15%</w:t>
      </w:r>
      <w:r>
        <w:rPr/>
        <w:t>，美元兑人民币</w:t>
      </w:r>
      <w:r>
        <w:rPr/>
        <w:t>6.8</w:t>
      </w:r>
      <w:r>
        <w:rPr/>
        <w:t>假设。已签授权与未来可能授权分开标记，后者不是合同价格。中国自营现金率基准</w:t>
      </w:r>
      <w:r>
        <w:rPr/>
        <w:t>28%</w:t>
      </w:r>
      <w:r>
        <w:rPr/>
        <w:t>含生产、商业推广、营运资本、税和维持投入，研发总部储备另扣。不同疾病的阶段概率不相同，模型低到</w:t>
      </w:r>
      <w:r>
        <w:rPr/>
        <w:t>15%</w:t>
      </w:r>
      <w:r>
        <w:rPr/>
        <w:t>或</w:t>
      </w:r>
      <w:r>
        <w:rPr/>
        <w:t>18%</w:t>
      </w:r>
      <w:r>
        <w:rPr/>
        <w:t>的早期资产不能用上市药成功率覆盖。</w:t>
      </w:r>
    </w:p>
    <w:p>
      <w:pPr>
        <w:pStyle w:val="Normal"/>
        <w:rPr/>
      </w:pPr>
      <w:r>
        <w:rPr/>
        <w:t>未来里程碑只设正大天晴和贝达各独立低额现金，</w:t>
      </w:r>
      <w:r>
        <w:rPr/>
        <w:t>2030</w:t>
      </w:r>
      <w:r>
        <w:rPr/>
        <w:t>年底是假设日期，税后折现；已触发</w:t>
      </w:r>
      <w:r>
        <w:rPr/>
        <w:t>100</w:t>
      </w:r>
      <w:r>
        <w:rPr/>
        <w:t>百万元应收不重复计</w:t>
      </w:r>
      <w:r>
        <w:rPr/>
        <w:t>PV</w:t>
      </w:r>
      <w:r>
        <w:rPr/>
        <w:t>，历史首款与</w:t>
      </w:r>
      <w:r>
        <w:rPr/>
        <w:t>2026</w:t>
      </w:r>
      <w:r>
        <w:rPr/>
        <w:t>预付款不再加入。两合作具体剩余额和销售门槛未全部公开，报告不声称准确合约金额。目标净现金、股数和研发储备为压力快照，不是三表自动推导，未来完整模型需按试验预算、融资价和药品现金统一联动。</w:t>
      </w:r>
    </w:p>
    <w:p>
      <w:pPr>
        <w:pStyle w:val="Heading2"/>
        <w:rPr/>
      </w:pPr>
      <w:r>
        <w:rPr>
          <w:color w:val="000000"/>
        </w:rPr>
        <w:t>内在价值与短期价格</w:t>
      </w:r>
    </w:p>
    <w:p>
      <w:pPr>
        <w:pStyle w:val="Normal"/>
        <w:rPr/>
      </w:pPr>
      <w:r>
        <w:rPr/>
        <w:t>年底基准资产</w:t>
      </w:r>
      <w:r>
        <w:rPr/>
        <w:t>PV45.09</w:t>
      </w:r>
      <w:r>
        <w:rPr/>
        <w:t>亿元，加两合作未来税后里程碑、净现金</w:t>
      </w:r>
      <w:r>
        <w:rPr/>
        <w:t>10.5</w:t>
      </w:r>
      <w:r>
        <w:rPr/>
        <w:t>亿元，扣研发总部</w:t>
      </w:r>
      <w:r>
        <w:rPr/>
        <w:t>15</w:t>
      </w:r>
      <w:r>
        <w:rPr/>
        <w:t>亿元，除</w:t>
      </w:r>
      <w:r>
        <w:rPr/>
        <w:t>5.85</w:t>
      </w:r>
      <w:r>
        <w:rPr/>
        <w:t>亿股得内在</w:t>
      </w:r>
      <w:r>
        <w:rPr/>
        <w:t>7.03</w:t>
      </w:r>
      <w:r>
        <w:rPr/>
        <w:t>元。现价同股数对应约</w:t>
      </w:r>
      <w:r>
        <w:rPr/>
        <w:t>100.97</w:t>
      </w:r>
      <w:r>
        <w:rPr/>
        <w:t>亿元，要求比本内在权益多约</w:t>
      </w:r>
      <w:r>
        <w:rPr/>
        <w:t>59.84</w:t>
      </w:r>
      <w:r>
        <w:rPr/>
        <w:t>亿元。差额需由更高峰值、更好成功、更低研发或更优合作解释；不能以已批两药将全部未来产品等同无风险。科学成长真实与股票价格合适是两个需要同时验证的命题。</w:t>
      </w:r>
    </w:p>
    <w:p>
      <w:pPr>
        <w:pStyle w:val="Normal"/>
        <w:rPr/>
      </w:pPr>
      <w:r>
        <w:rPr/>
        <w:t>年底价格按基准</w:t>
      </w:r>
      <w:r>
        <w:rPr/>
        <w:t>35%</w:t>
      </w:r>
      <w:r>
        <w:rPr/>
        <w:t>认知系数由</w:t>
      </w:r>
      <w:r>
        <w:rPr/>
        <w:t>17.26</w:t>
      </w:r>
      <w:r>
        <w:rPr/>
        <w:t>与</w:t>
      </w:r>
      <w:r>
        <w:rPr/>
        <w:t>7.03</w:t>
      </w:r>
      <w:r>
        <w:rPr/>
        <w:t>连接为</w:t>
      </w:r>
      <w:r>
        <w:rPr/>
        <w:t>13.68</w:t>
      </w:r>
      <w:r>
        <w:rPr/>
        <w:t>，不假设长期保守组合立即全被市场接受。悲观</w:t>
      </w:r>
      <w:r>
        <w:rPr/>
        <w:t>45%</w:t>
      </w:r>
      <w:r>
        <w:rPr/>
        <w:t>、乐观</w:t>
      </w:r>
      <w:r>
        <w:rPr/>
        <w:t>50%</w:t>
      </w:r>
      <w:r>
        <w:rPr/>
        <w:t>，半年</w:t>
      </w:r>
      <w:r>
        <w:rPr/>
        <w:t>65%</w:t>
      </w:r>
      <w:r>
        <w:rPr/>
        <w:t>、</w:t>
      </w:r>
      <w:r>
        <w:rPr/>
        <w:t>65%</w:t>
      </w:r>
      <w:r>
        <w:rPr/>
        <w:t>、</w:t>
      </w:r>
      <w:r>
        <w:rPr/>
        <w:t>75%</w:t>
      </w:r>
      <w:r>
        <w:rPr/>
        <w:t>，一年</w:t>
      </w:r>
      <w:r>
        <w:rPr/>
        <w:t>85%</w:t>
      </w:r>
      <w:r>
        <w:rPr/>
        <w:t>、</w:t>
      </w:r>
      <w:r>
        <w:rPr/>
        <w:t>90%</w:t>
      </w:r>
      <w:r>
        <w:rPr/>
        <w:t>、</w:t>
      </w:r>
      <w:r>
        <w:rPr/>
        <w:t>100%</w:t>
      </w:r>
      <w:r>
        <w:rPr/>
        <w:t>，三五年</w:t>
      </w:r>
      <w:r>
        <w:rPr/>
        <w:t>100%</w:t>
      </w:r>
      <w:r>
        <w:rPr/>
        <w:t>。系数是研究设定，不是统计概率，也不是精确市场拟合。</w:t>
      </w:r>
      <w:r>
        <w:rPr/>
        <w:t>Excel</w:t>
      </w:r>
      <w:r>
        <w:rPr/>
        <w:t>保留内在和价格两层，可把系数设一查看完整重估，也可调整以评估事件不足时价格保持溢价的可能。</w:t>
      </w:r>
    </w:p>
    <w:p>
      <w:pPr>
        <w:pStyle w:val="Normal"/>
        <w:rPr/>
      </w:pPr>
      <w:r>
        <w:rPr/>
        <w:t>一年基准内在</w:t>
      </w:r>
      <w:r>
        <w:rPr/>
        <w:t>8.22</w:t>
      </w:r>
      <w:r>
        <w:rPr/>
        <w:t>、价格</w:t>
      </w:r>
      <w:r>
        <w:rPr/>
        <w:t>9.13</w:t>
      </w:r>
      <w:r>
        <w:rPr/>
        <w:t>，三年</w:t>
      </w:r>
      <w:r>
        <w:rPr/>
        <w:t>12.81</w:t>
      </w:r>
      <w:r>
        <w:rPr/>
        <w:t>、五年</w:t>
      </w:r>
      <w:r>
        <w:rPr/>
        <w:t>16.67</w:t>
      </w:r>
      <w:r>
        <w:rPr/>
        <w:t>；基准资产</w:t>
      </w:r>
      <w:r>
        <w:rPr/>
        <w:t>PV</w:t>
      </w:r>
      <w:r>
        <w:rPr/>
        <w:t>分别</w:t>
      </w:r>
      <w:r>
        <w:rPr/>
        <w:t>55.80</w:t>
      </w:r>
      <w:r>
        <w:rPr/>
        <w:t>、</w:t>
      </w:r>
      <w:r>
        <w:rPr/>
        <w:t>85.33</w:t>
      </w:r>
      <w:r>
        <w:rPr/>
        <w:t>、</w:t>
      </w:r>
      <w:r>
        <w:rPr/>
        <w:t>113.39</w:t>
      </w:r>
      <w:r>
        <w:rPr/>
        <w:t>亿元，但股数和研究负担使每股改善较小。三五年负基准年化提示现价缺少优先吸引力，不因成长质量评分高就反过来修改目标。乐观</w:t>
      </w:r>
      <w:r>
        <w:rPr/>
        <w:t>47.41</w:t>
      </w:r>
      <w:r>
        <w:rPr/>
        <w:t>一年、</w:t>
      </w:r>
      <w:r>
        <w:rPr/>
        <w:t>63.89</w:t>
      </w:r>
      <w:r>
        <w:rPr/>
        <w:t>三年、</w:t>
      </w:r>
      <w:r>
        <w:rPr/>
        <w:t>73.33</w:t>
      </w:r>
      <w:r>
        <w:rPr/>
        <w:t>五年有大空间，需多适应症、海外合作、净价与费用较顺，不能只看最大一列排序。</w:t>
      </w:r>
    </w:p>
    <w:p>
      <w:pPr>
        <w:pStyle w:val="Heading2"/>
        <w:rPr/>
      </w:pPr>
      <w:r>
        <w:rPr>
          <w:color w:val="000000"/>
        </w:rPr>
        <w:t>半年 一年与反转条件</w:t>
      </w:r>
    </w:p>
    <w:p>
      <w:pPr>
        <w:pStyle w:val="Normal"/>
        <w:rPr/>
      </w:pPr>
      <w:r>
        <w:rPr/>
        <w:t>半年最具体节点是</w:t>
      </w:r>
      <w:r>
        <w:rPr/>
        <w:t>D-2570UC</w:t>
      </w:r>
      <w:r>
        <w:rPr/>
        <w:t>二期预计</w:t>
      </w:r>
      <w:r>
        <w:rPr/>
        <w:t>2027</w:t>
      </w:r>
      <w:r>
        <w:rPr/>
        <w:t>第一季度完成、银屑三期后续和欠款</w:t>
      </w:r>
      <w:r>
        <w:rPr/>
        <w:t>/</w:t>
      </w:r>
      <w:r>
        <w:rPr/>
        <w:t>版税财务信息，不能把</w:t>
      </w:r>
      <w:r>
        <w:rPr/>
        <w:t>2027</w:t>
      </w:r>
      <w:r>
        <w:rPr/>
        <w:t>下半年</w:t>
      </w:r>
      <w:r>
        <w:rPr/>
        <w:t>NDA</w:t>
      </w:r>
      <w:r>
        <w:rPr/>
        <w:t>计划挪成半年内已申报。技术需收复均价和建立更高低点，合作则需真实披露而非传闻。若数据很强且资本效率明显优于本假设，可以提高成功率和价格认知；单纯会议标题或股价短弹不足以把长期费用风险删除。</w:t>
      </w:r>
    </w:p>
    <w:p>
      <w:pPr>
        <w:pStyle w:val="Normal"/>
        <w:rPr/>
      </w:pPr>
      <w:r>
        <w:rPr/>
        <w:t>一年应关注银屑关键三期与</w:t>
      </w:r>
      <w:r>
        <w:rPr/>
        <w:t>NDA</w:t>
      </w:r>
      <w:r>
        <w:rPr/>
        <w:t>是否按计划、</w:t>
      </w:r>
      <w:r>
        <w:rPr/>
        <w:t>SERD</w:t>
      </w:r>
      <w:r>
        <w:rPr/>
        <w:t>进度、版税扩张、应收收款和是否</w:t>
      </w:r>
      <w:r>
        <w:rPr/>
        <w:t>H</w:t>
      </w:r>
      <w:r>
        <w:rPr/>
        <w:t>股发行。申请若完成并带来更多现金，必须同步稀释分母及费用；海外大交易若发生，应剔原自营或假设版税资产改成真实权利。一个利好可以提高某一维度，却可能让出长期利润，模型同时反映，而不只摘有利数字。跌价本身也可能增加估值吸引力，需要按新基准重算。</w:t>
      </w:r>
    </w:p>
    <w:p>
      <w:pPr>
        <w:pStyle w:val="Heading2"/>
        <w:rPr/>
      </w:pPr>
      <w:r>
        <w:rPr>
          <w:color w:val="000000"/>
        </w:rPr>
        <w:t>三年 五年和十年持续性</w:t>
      </w:r>
    </w:p>
    <w:p>
      <w:pPr>
        <w:pStyle w:val="Normal"/>
        <w:rPr/>
      </w:pPr>
      <w:r>
        <w:rPr/>
        <w:t>三年应从研究进度转向获批标签、真实销售和重复版税，若仍只有临床预期与一次性首款，经营质量需要重评。自营团队和供货是否建立决定中国新药现金率，全球伙伴是否继续投入决定海外路径。股票收益还由融资累计股数影响，模型三年</w:t>
      </w:r>
      <w:r>
        <w:rPr/>
        <w:t>6.8</w:t>
      </w:r>
      <w:r>
        <w:rPr/>
        <w:t>亿基准是压力，不是已经确定。经营成功与每股回报必须一起看，否则长持可能只分享很小资产增长。</w:t>
      </w:r>
    </w:p>
    <w:p>
      <w:pPr>
        <w:pStyle w:val="Normal"/>
        <w:rPr/>
      </w:pPr>
      <w:r>
        <w:rPr/>
        <w:t>五年若多个临床成功，益方可以有更多自营与许可收入，仍需平衡继续研发和股东现金。新研究接力有必要，但每轮收入都全部投入新管线会使分红和自由现金延后。五年基准</w:t>
      </w:r>
      <w:r>
        <w:rPr/>
        <w:t>16.67</w:t>
      </w:r>
      <w:r>
        <w:rPr/>
        <w:t>元接近现价、年化</w:t>
      </w:r>
      <w:r>
        <w:rPr/>
        <w:t>-0.69%</w:t>
      </w:r>
      <w:r>
        <w:rPr/>
        <w:t>，在此价格不够优先；乐观</w:t>
      </w:r>
      <w:r>
        <w:rPr/>
        <w:t>73.33</w:t>
      </w:r>
      <w:r>
        <w:rPr/>
        <w:t>需强成功及较低稀释。十年没有机械目标，关注药物、专利与费用的可持续，不把五年乐观比例延伸成保证回报。</w:t>
      </w:r>
    </w:p>
    <w:p>
      <w:pPr>
        <w:pStyle w:val="Normal"/>
        <w:rPr/>
      </w:pPr>
      <w:r>
        <w:rPr/>
        <w:t>十年真正竞争力是反复发现有差异的分子，完成临床与注册，选择合理权益合作并把现金留在发行人。相同靶点下一代产品、专利衰减与成熟药降价，会使旧品增长无法永久延续。公司需要证明平台能连续产出，同时维持质量、合规和人才。外部投资机构早年持有可提供专业支持，却不等它们为</w:t>
      </w:r>
      <w:r>
        <w:rPr/>
        <w:t>17.26</w:t>
      </w:r>
      <w:r>
        <w:rPr/>
        <w:t>元新买家保证收益，不能把股东名单当目标价依据。</w:t>
      </w:r>
    </w:p>
    <w:p>
      <w:pPr>
        <w:pStyle w:val="Heading2"/>
        <w:rPr/>
      </w:pPr>
      <w:r>
        <w:rPr>
          <w:color w:val="000000"/>
        </w:rPr>
        <w:t>年底期望 机构参照和风险边界</w:t>
      </w:r>
    </w:p>
    <w:p>
      <w:pPr>
        <w:pStyle w:val="Normal"/>
        <w:rPr/>
      </w:pPr>
      <w:r>
        <w:rPr/>
        <w:t>年底三情景</w:t>
      </w:r>
      <w:r>
        <w:rPr/>
        <w:t>9.493</w:t>
      </w:r>
      <w:r>
        <w:rPr/>
        <w:t>、</w:t>
      </w:r>
      <w:r>
        <w:rPr/>
        <w:t>13.6798</w:t>
      </w:r>
      <w:r>
        <w:rPr/>
        <w:t>、</w:t>
      </w:r>
      <w:r>
        <w:rPr/>
        <w:t>28.99996</w:t>
      </w:r>
      <w:r>
        <w:rPr/>
        <w:t>元，对应</w:t>
      </w:r>
      <w:r>
        <w:rPr/>
        <w:t>-45%</w:t>
      </w:r>
      <w:r>
        <w:rPr/>
        <w:t>、</w:t>
      </w:r>
      <w:r>
        <w:rPr/>
        <w:t>-20.74%</w:t>
      </w:r>
      <w:r>
        <w:rPr/>
        <w:t>、</w:t>
      </w:r>
      <w:r>
        <w:rPr/>
        <w:t>68.02%</w:t>
      </w:r>
      <w:r>
        <w:rPr/>
        <w:t>，默认期望</w:t>
      </w:r>
      <w:r>
        <w:rPr/>
        <w:t>16.4631</w:t>
      </w:r>
      <w:r>
        <w:rPr/>
        <w:t>元、</w:t>
      </w:r>
      <w:r>
        <w:rPr/>
        <w:t>-4.62%</w:t>
      </w:r>
      <w:r>
        <w:rPr/>
        <w:t>。防御和积极权重分别</w:t>
      </w:r>
      <w:r>
        <w:rPr/>
        <w:t>13.5371</w:t>
      </w:r>
      <w:r>
        <w:rPr/>
        <w:t>、</w:t>
      </w:r>
      <w:r>
        <w:rPr/>
        <w:t>19.3892</w:t>
      </w:r>
      <w:r>
        <w:rPr/>
        <w:t>元，约</w:t>
      </w:r>
      <w:r>
        <w:rPr/>
        <w:t>-21.57%</w:t>
      </w:r>
      <w:r>
        <w:rPr/>
        <w:t>、</w:t>
      </w:r>
      <w:r>
        <w:rPr/>
        <w:t>12.34%</w:t>
      </w:r>
      <w:r>
        <w:rPr/>
        <w:t>，可见权重对期望影响。权重是判断选择，不是医学成功率和市场置信区间。认知系数另有影响，若没有新信息市场可能保留更大溢价，重大失败也可能更快完整重估。</w:t>
      </w:r>
    </w:p>
    <w:p>
      <w:pPr>
        <w:pStyle w:val="Normal"/>
        <w:rPr/>
      </w:pPr>
      <w:r>
        <w:rPr/>
        <w:t>年底目标依据该短期信息集，不把十二个月目标按剩余月份折算。本轮没有公开可核验的外资近期有效目标，机构表留空，不凭新闻无日期数字填写。后续若取得报告，应检查代码、币种、期限、</w:t>
      </w:r>
      <w:r>
        <w:rPr/>
        <w:t>H</w:t>
      </w:r>
      <w:r>
        <w:rPr/>
        <w:t>融资与临床日期，十二个月作为一年参照；机构乐观预测也需公开销售、成功和费率假设。查不到不意味着机构不覆盖，只意味着本研究没有合格公开证据。</w:t>
      </w:r>
    </w:p>
    <w:p>
      <w:pPr>
        <w:pStyle w:val="Normal"/>
        <w:rPr/>
      </w:pPr>
      <w:r>
        <w:rPr/>
        <w:t>上调反证包括头对头和关键三期有临床意义成功，标签及时、净销售强于曲线、海外真实许可权益优、欠款收回、研发效率和稀释优于压力。下调反证包括随机失败、长期安全、竞争挤压、药价下降、伙伴停止、现金回收延期及低价融资。必须更新对应药物和费用，不允许只加利好资产而保留旧成本。临床失败也不代表所有药皆失败，分项模型能保持改变的范围可追溯。</w:t>
      </w:r>
    </w:p>
    <w:p>
      <w:pPr>
        <w:pStyle w:val="Normal"/>
        <w:rPr/>
      </w:pPr>
      <w:r>
        <w:rPr/>
        <w:t>独立初版保存</w:t>
      </w:r>
      <w:r>
        <w:rPr/>
        <w:t>A</w:t>
      </w:r>
      <w:r>
        <w:rPr/>
        <w:t>财报、许可公告、激励、</w:t>
      </w:r>
      <w:r>
        <w:rPr/>
        <w:t>H</w:t>
      </w:r>
      <w:r>
        <w:rPr/>
        <w:t>申请草稿和原官网临床，仍缺完整三表、逐笔合同分档、原论文全统计和监管标签、独立司法专利核验。有效字数不包含表、标题、来源或共用宏观，后续通过段落检查和公式</w:t>
      </w:r>
      <w:r>
        <w:rPr/>
        <w:t>QA</w:t>
      </w:r>
      <w:r>
        <w:rPr/>
        <w:t>。所有输出保持模型版本及基准日期，未来修改需刷新情景快照和文档，不能让旧目标被误认已更新。评分与目标是可审视的研究判断，不代表保证获利。</w:t>
      </w:r>
    </w:p>
    <w:p>
      <w:pPr>
        <w:pStyle w:val="Heading2"/>
        <w:rPr/>
      </w:pPr>
      <w:r>
        <w:rPr>
          <w:color w:val="000000"/>
        </w:rPr>
        <w:t>来源</w:t>
      </w:r>
    </w:p>
    <w:p>
      <w:pPr>
        <w:pStyle w:val="Normal"/>
        <w:rPr/>
      </w:pPr>
      <w:r>
        <w:rPr/>
        <w:t>1. A</w:t>
      </w:r>
      <w:r>
        <w:rPr/>
        <w:t>股</w:t>
      </w:r>
      <w:r>
        <w:rPr/>
        <w:t>2026H1</w:t>
      </w:r>
      <w:r>
        <w:rPr/>
        <w:t>原报告，</w:t>
      </w:r>
      <w:r>
        <w:rPr/>
        <w:t>2026-08-21</w:t>
      </w:r>
      <w:r>
        <w:rPr/>
        <w:t>：</w:t>
      </w:r>
      <w:r>
        <w:rPr/>
        <w:t>https://static.cninfo.com.cn/finalpage/2026-08-21/1225486647.PDF</w:t>
      </w:r>
    </w:p>
    <w:p>
      <w:pPr>
        <w:pStyle w:val="Normal"/>
        <w:rPr/>
      </w:pPr>
      <w:r>
        <w:rPr/>
        <w:t>2. 2025</w:t>
      </w:r>
      <w:r>
        <w:rPr/>
        <w:t>年报，</w:t>
      </w:r>
      <w:r>
        <w:rPr/>
        <w:t>2026-04-15</w:t>
      </w:r>
      <w:r>
        <w:rPr/>
        <w:t>：</w:t>
      </w:r>
      <w:r>
        <w:rPr/>
        <w:t>https://static.cninfo.com.cn/finalpage/2026-04-15/1225104121.PDF</w:t>
      </w:r>
    </w:p>
    <w:p>
      <w:pPr>
        <w:pStyle w:val="Normal"/>
        <w:rPr/>
      </w:pPr>
      <w:r>
        <w:rPr/>
        <w:t xml:space="preserve">3. </w:t>
      </w:r>
      <w:r>
        <w:rPr/>
        <w:t>正大天晴原协议公告，</w:t>
      </w:r>
      <w:r>
        <w:rPr/>
        <w:t>2023-08-04</w:t>
      </w:r>
      <w:r>
        <w:rPr/>
        <w:t>：</w:t>
      </w:r>
      <w:r>
        <w:rPr/>
        <w:t>https://static.cninfo.com.cn/finalpage/2023-08-04/1217459474.PDF</w:t>
      </w:r>
    </w:p>
    <w:p>
      <w:pPr>
        <w:pStyle w:val="Normal"/>
        <w:rPr/>
      </w:pPr>
      <w:r>
        <w:rPr/>
        <w:t>4. H</w:t>
      </w:r>
      <w:r>
        <w:rPr/>
        <w:t>重新申请，</w:t>
      </w:r>
      <w:r>
        <w:rPr/>
        <w:t>2026-08-24</w:t>
      </w:r>
      <w:r>
        <w:rPr/>
        <w:t>：</w:t>
      </w:r>
      <w:r>
        <w:rPr/>
        <w:t>https://static.cninfo.com.cn/finalpage/2026-08-24/1225493822.PDF</w:t>
      </w:r>
    </w:p>
    <w:p>
      <w:pPr>
        <w:pStyle w:val="Normal"/>
        <w:rPr/>
      </w:pPr>
      <w:r>
        <w:rPr/>
        <w:t>5. HKEX</w:t>
      </w:r>
      <w:r>
        <w:rPr/>
        <w:t>原草稿</w:t>
      </w:r>
      <w:r>
        <w:rPr/>
        <w:t>2026-08-21</w:t>
      </w:r>
      <w:r>
        <w:rPr/>
        <w:t>，财务、业务及风险：</w:t>
      </w:r>
      <w:r>
        <w:rPr/>
        <w:t>https://www1.hkexnews.hk/app/sehk/2026/108806/documents/sehk26082101887_c.pdf</w:t>
      </w:r>
    </w:p>
    <w:p>
      <w:pPr>
        <w:pStyle w:val="Normal"/>
        <w:rPr/>
      </w:pPr>
      <w:r>
        <w:rPr/>
        <w:t>6. 2026</w:t>
      </w:r>
      <w:r>
        <w:rPr/>
        <w:t>新激励授予，</w:t>
      </w:r>
      <w:r>
        <w:rPr/>
        <w:t>2026-06-25</w:t>
      </w:r>
      <w:r>
        <w:rPr/>
        <w:t>：</w:t>
      </w:r>
      <w:r>
        <w:rPr/>
        <w:t>https://static.cninfo.com.cn/finalpage/2026-06-25/1225385360.PDF</w:t>
      </w:r>
    </w:p>
    <w:p>
      <w:pPr>
        <w:pStyle w:val="Normal"/>
        <w:rPr/>
      </w:pPr>
      <w:r>
        <w:rPr/>
        <w:t xml:space="preserve">7. </w:t>
      </w:r>
      <w:r>
        <w:rPr/>
        <w:t>预留归属条件，</w:t>
      </w:r>
      <w:r>
        <w:rPr/>
        <w:t>2026-08-22</w:t>
      </w:r>
      <w:r>
        <w:rPr/>
        <w:t>：</w:t>
      </w:r>
      <w:r>
        <w:rPr/>
        <w:t>https://static.cninfo.com.cn/finalpage/2026-08-22/1225493567.PDF</w:t>
      </w:r>
    </w:p>
    <w:p>
      <w:pPr>
        <w:pStyle w:val="Normal"/>
        <w:rPr/>
      </w:pPr>
      <w:r>
        <w:rPr/>
        <w:t xml:space="preserve">8. </w:t>
      </w:r>
      <w:r>
        <w:rPr/>
        <w:t>原公司</w:t>
      </w:r>
      <w:r>
        <w:rPr/>
        <w:t>D2570</w:t>
      </w:r>
      <w:r>
        <w:rPr/>
        <w:t>二期及</w:t>
      </w:r>
      <w:r>
        <w:rPr/>
        <w:t>MSD</w:t>
      </w:r>
      <w:r>
        <w:rPr/>
        <w:t>新闻：</w:t>
      </w:r>
      <w:r>
        <w:rPr/>
        <w:t>data/inventis_clinical_news.json</w:t>
      </w:r>
      <w:r>
        <w:rPr/>
        <w:t>含完整官网链接与提取；</w:t>
      </w:r>
      <w:r>
        <w:rPr/>
        <w:t>MSD8/10</w:t>
      </w:r>
      <w:r>
        <w:rPr/>
        <w:t>签</w:t>
      </w:r>
      <w:r>
        <w:rPr/>
        <w:t>8/11</w:t>
      </w:r>
      <w:r>
        <w:rPr/>
        <w:t>刊，</w:t>
      </w:r>
      <w:r>
        <w:rPr/>
        <w:t>D2570</w:t>
      </w:r>
      <w:r>
        <w:rPr/>
        <w:t>二期</w:t>
      </w:r>
      <w:r>
        <w:rPr/>
        <w:t>2025/12/24</w:t>
      </w:r>
      <w:r>
        <w:rPr/>
        <w:t>刊。</w:t>
      </w:r>
    </w:p>
    <w:p>
      <w:pPr>
        <w:pStyle w:val="Normal"/>
        <w:rPr/>
      </w:pPr>
      <w:r>
        <w:rPr/>
        <w:t>9. data/history/S004.json</w:t>
      </w:r>
      <w:r>
        <w:rPr/>
        <w:t>、</w:t>
      </w:r>
      <w:r>
        <w:rPr/>
        <w:t>market_snapshot_locked.json</w:t>
      </w:r>
      <w:r>
        <w:rPr/>
        <w:t>、</w:t>
      </w:r>
      <w:r>
        <w:rPr/>
        <w:t>inventis_model.json</w:t>
      </w:r>
      <w:r>
        <w:rPr/>
        <w:t>及</w:t>
      </w:r>
      <w:r>
        <w:rPr/>
        <w:t>qa/inventis_qa.json</w:t>
      </w:r>
      <w:r>
        <w:rPr/>
        <w:t>；</w:t>
      </w:r>
      <w:r>
        <w:rPr/>
        <w:t>PDF</w:t>
      </w:r>
      <w:r>
        <w:rPr/>
        <w:t>原文件与文本在</w:t>
      </w:r>
      <w:r>
        <w:rPr/>
        <w:t>a_pharma_raw</w:t>
      </w:r>
      <w:r>
        <w:rPr/>
        <w:t>。</w:t>
      </w:r>
      <w:r>
        <w:br w:type="page"/>
      </w:r>
    </w:p>
    <w:p>
      <w:pPr>
        <w:pStyle w:val="Heading1"/>
        <w:rPr/>
      </w:pPr>
      <w:bookmarkStart w:id="4" w:name="__RefHeading___Toc47875_312338234"/>
      <w:bookmarkEnd w:id="4"/>
      <w:r>
        <w:rPr>
          <w:color w:val="000000"/>
        </w:rPr>
        <w:t xml:space="preserve">中国同辐 </w:t>
      </w:r>
      <w:r>
        <w:rPr>
          <w:color w:val="000000"/>
        </w:rPr>
        <w:t>01763 HK</w:t>
      </w:r>
    </w:p>
    <w:p>
      <w:pPr>
        <w:pStyle w:val="Normal"/>
        <w:rPr/>
      </w:pPr>
      <w:r>
        <w:rPr/>
        <w:t xml:space="preserve">01763.HK </w:t>
      </w:r>
      <w:r>
        <w:rPr/>
        <w:t xml:space="preserve">现价 </w:t>
      </w:r>
      <w:r>
        <w:rPr/>
        <w:t>12.53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16.74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+33.59%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22.24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+77.48%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+80.04%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32.38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+158.41%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+167.19%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40.04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+219.54%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+236.30%</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-72.71%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26.39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15.09HKD</w:t>
      </w:r>
      <w:r>
        <w:rPr/>
        <w:t>，期望股价回报</w:t>
      </w:r>
      <w:r>
        <w:rPr/>
        <w:t>+20.44%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2.74</w:t>
              <w:br/>
              <w:t>-78.14%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16.74</w:t>
              <w:br/>
              <w:t>+33.59%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29.39</w:t>
              <w:br/>
              <w:t>+134.54%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1.81</w:t>
              <w:br/>
              <w:t>-85.58%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22.24</w:t>
              <w:br/>
              <w:t>+77.48%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36.36</w:t>
              <w:br/>
              <w:t>+190.16%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w:t>
              <w:br/>
              <w:t>-82.18%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32.38</w:t>
              <w:br/>
              <w:t>+158.41%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53.32</w:t>
              <w:br/>
              <w:t>+325.51%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+38.76%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2.54</w:t>
              <w:br/>
              <w:t>-79.70%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40.04</w:t>
              <w:br/>
              <w:t>+219.54%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74.91</w:t>
              <w:br/>
              <w:t>+497.83%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+27.45%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HKEX</w:t>
            </w:r>
            <w:r>
              <w:rPr>
                <w:rFonts w:ascii="微软雅黑" w:hAnsi="微软雅黑" w:eastAsia="微软雅黑"/>
                <w:sz w:val="17"/>
              </w:rPr>
              <w:t>原件；</w:t>
            </w:r>
            <w:r>
              <w:rPr>
                <w:rFonts w:eastAsia="微软雅黑" w:ascii="微软雅黑" w:hAnsi="微软雅黑"/>
                <w:sz w:val="17"/>
              </w:rPr>
              <w:t>CAS</w:t>
            </w:r>
            <w:r>
              <w:rPr>
                <w:rFonts w:ascii="微软雅黑" w:hAnsi="微软雅黑" w:eastAsia="微软雅黑"/>
                <w:sz w:val="17"/>
              </w:rPr>
              <w:t>全</w:t>
            </w:r>
            <w:r>
              <w:rPr>
                <w:rFonts w:eastAsia="微软雅黑" w:ascii="微软雅黑" w:hAnsi="微软雅黑"/>
                <w:sz w:val="17"/>
              </w:rPr>
              <w:t>FY</w:t>
            </w:r>
            <w:r>
              <w:rPr>
                <w:rFonts w:ascii="微软雅黑" w:hAnsi="微软雅黑" w:eastAsia="微软雅黑"/>
                <w:sz w:val="17"/>
              </w:rPr>
              <w:t>比较桥、单产品利润及完整临床数据缺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中高：锁定</w:t>
            </w:r>
            <w:r>
              <w:rPr>
                <w:rFonts w:eastAsia="微软雅黑" w:ascii="微软雅黑" w:hAnsi="微软雅黑"/>
                <w:sz w:val="17"/>
              </w:rPr>
              <w:t>739</w:t>
            </w:r>
            <w:r>
              <w:rPr>
                <w:rFonts w:ascii="微软雅黑" w:hAnsi="微软雅黑" w:eastAsia="微软雅黑"/>
                <w:sz w:val="17"/>
              </w:rPr>
              <w:t>日</w:t>
            </w:r>
            <w:r>
              <w:rPr>
                <w:rFonts w:eastAsia="微软雅黑" w:ascii="微软雅黑" w:hAnsi="微软雅黑"/>
                <w:sz w:val="17"/>
              </w:rPr>
              <w:t>157</w:t>
            </w:r>
            <w:r>
              <w:rPr>
                <w:rFonts w:ascii="微软雅黑" w:hAnsi="微软雅黑" w:eastAsia="微软雅黑"/>
                <w:sz w:val="17"/>
              </w:rPr>
              <w:t>周，最近</w:t>
            </w:r>
            <w:r>
              <w:rPr>
                <w:rFonts w:eastAsia="微软雅黑" w:ascii="微软雅黑" w:hAnsi="微软雅黑"/>
                <w:sz w:val="17"/>
              </w:rPr>
              <w:t>60</w:t>
            </w:r>
            <w:r>
              <w:rPr>
                <w:rFonts w:ascii="微软雅黑" w:hAnsi="微软雅黑" w:eastAsia="微软雅黑"/>
                <w:sz w:val="17"/>
              </w:rPr>
              <w:t>日复权跨源一致；</w:t>
            </w:r>
            <w:r>
              <w:rPr>
                <w:rFonts w:eastAsia="微软雅黑" w:ascii="微软雅黑" w:hAnsi="微软雅黑"/>
                <w:sz w:val="17"/>
              </w:rPr>
              <w:t>9</w:t>
            </w:r>
            <w:r>
              <w:rPr>
                <w:rFonts w:ascii="微软雅黑" w:hAnsi="微软雅黑" w:eastAsia="微软雅黑"/>
                <w:sz w:val="17"/>
              </w:rPr>
              <w:t>根</w:t>
            </w:r>
            <w:r>
              <w:rPr>
                <w:rFonts w:eastAsia="微软雅黑" w:ascii="微软雅黑" w:hAnsi="微软雅黑"/>
                <w:sz w:val="17"/>
              </w:rPr>
              <w:t>OHLC</w:t>
            </w:r>
            <w:r>
              <w:rPr>
                <w:rFonts w:ascii="微软雅黑" w:hAnsi="微软雅黑" w:eastAsia="微软雅黑"/>
                <w:sz w:val="17"/>
              </w:rPr>
              <w:t>按腾讯修复留痕</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中：原子正常</w:t>
            </w:r>
            <w:r>
              <w:rPr>
                <w:rFonts w:eastAsia="微软雅黑" w:ascii="微软雅黑" w:hAnsi="微软雅黑"/>
                <w:sz w:val="17"/>
              </w:rPr>
              <w:t>PE</w:t>
            </w:r>
            <w:r>
              <w:rPr>
                <w:rFonts w:ascii="微软雅黑" w:hAnsi="微软雅黑" w:eastAsia="微软雅黑"/>
                <w:sz w:val="17"/>
              </w:rPr>
              <w:t>研究假设，未来分部费用</w:t>
            </w:r>
            <w:r>
              <w:rPr>
                <w:rFonts w:eastAsia="微软雅黑" w:ascii="微软雅黑" w:hAnsi="微软雅黑"/>
                <w:sz w:val="17"/>
              </w:rPr>
              <w:t>/</w:t>
            </w:r>
            <w:r>
              <w:rPr>
                <w:rFonts w:ascii="微软雅黑" w:hAnsi="微软雅黑" w:eastAsia="微软雅黑"/>
                <w:sz w:val="17"/>
              </w:rPr>
              <w:t>少数和现金回收未有公司指引</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低：</w:t>
            </w:r>
            <w:r>
              <w:rPr>
                <w:rFonts w:eastAsia="微软雅黑" w:ascii="微软雅黑" w:hAnsi="微软雅黑"/>
                <w:sz w:val="17"/>
              </w:rPr>
              <w:t>AASTOCKS</w:t>
            </w:r>
            <w:r>
              <w:rPr>
                <w:rFonts w:ascii="微软雅黑" w:hAnsi="微软雅黑" w:eastAsia="微软雅黑"/>
                <w:sz w:val="17"/>
              </w:rPr>
              <w:t>独立研究报告列表为空，未取得公开可核外资目标；不得虚构</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+27.74%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+41.19%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+71.04%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+80.04%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+89.04%</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+153.83%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+167.19%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+180.54%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+236.30%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+253.11%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I053</w:t>
      </w:r>
      <w:r>
        <w:rPr/>
        <w:t xml:space="preserve">；证券 </w:t>
      </w:r>
      <w:r>
        <w:rPr/>
        <w:t>S061</w:t>
      </w:r>
      <w:r>
        <w:rPr/>
        <w:t>。研究价格基准：</w:t>
      </w:r>
      <w:r>
        <w:rPr/>
        <w:t>2026</w:t>
      </w:r>
      <w:r>
        <w:rPr/>
        <w:t>年</w:t>
      </w:r>
      <w:r>
        <w:rPr/>
        <w:t>10</w:t>
      </w:r>
      <w:r>
        <w:rPr/>
        <w:t>月</w:t>
      </w:r>
      <w:r>
        <w:rPr/>
        <w:t>9</w:t>
      </w:r>
      <w:r>
        <w:rPr/>
        <w:t>日香港收盘</w:t>
      </w:r>
      <w:r>
        <w:rPr/>
        <w:t>12.53</w:t>
      </w:r>
      <w:r>
        <w:rPr/>
        <w:t>港元。资料截止同日，公告时间保留。模型：</w:t>
      </w:r>
      <w:r>
        <w:rPr/>
        <w:t>circ-CASBE-whole-group-atomic-normal-PE-v1.0</w:t>
      </w:r>
      <w:r>
        <w:rPr/>
        <w:t>；行情：</w:t>
      </w:r>
      <w:r>
        <w:rPr/>
        <w:t>market-v1.6</w:t>
      </w:r>
      <w:r>
        <w:rPr/>
        <w:t>。本文为全名单独立初版，全部预测、估值倍数和情景权重为研究假设。</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公司内判断</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谨慎观察，待趋势和回款验证</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2.739/16.739/29.388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条件性进取配置</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1.807/22.239/36.357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77.48%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80.04%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成长候选，现金与少数约束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2.233/32.378/53.316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158.41%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167.19%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长期条件性成长候选</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2.544/40.038/74.908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219.54%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236.30%</w:t>
            </w:r>
          </w:p>
        </w:tc>
      </w:tr>
    </w:tbl>
    <w:p>
      <w:pPr>
        <w:pStyle w:val="Normal"/>
        <w:rPr/>
      </w:pPr>
      <w:r>
        <w:rPr/>
      </w:r>
    </w:p>
    <w:p>
      <w:pPr>
        <w:pStyle w:val="Normal"/>
        <w:rPr/>
      </w:pPr>
      <w:r>
        <w:rPr/>
        <w:t>差小于</w:t>
      </w:r>
      <w:r>
        <w:rPr/>
        <w:t>3</w:t>
      </w:r>
      <w:r>
        <w:rPr/>
        <w:t>分的全名单公司按统一规则进入相同梯队，正式名次由总表计算。三年基准含息年化</w:t>
      </w:r>
      <w:r>
        <w:rPr/>
        <w:t>38.76%</w:t>
      </w:r>
      <w:r>
        <w:rPr/>
        <w:t>，五年</w:t>
      </w:r>
      <w:r>
        <w:rPr/>
        <w:t>27.45%</w:t>
      </w:r>
      <w:r>
        <w:rPr/>
        <w:t>，采用累计现金股息、未再投资。一年目标</w:t>
      </w:r>
      <w:r>
        <w:rPr/>
        <w:t>2027</w:t>
      </w:r>
      <w:r>
        <w:rPr/>
        <w:t>年</w:t>
      </w:r>
      <w:r>
        <w:rPr/>
        <w:t>10</w:t>
      </w:r>
      <w:r>
        <w:rPr/>
        <w:t>月</w:t>
      </w:r>
      <w:r>
        <w:rPr/>
        <w:t>9</w:t>
      </w:r>
      <w:r>
        <w:rPr/>
        <w:t>日为周六，取此前</w:t>
      </w:r>
      <w:r>
        <w:rPr/>
        <w:t>10</w:t>
      </w:r>
      <w:r>
        <w:rPr/>
        <w:t>月</w:t>
      </w:r>
      <w:r>
        <w:rPr/>
        <w:t>7</w:t>
      </w:r>
      <w:r>
        <w:rPr/>
        <w:t>日；其他未来节假日尚未逐一核定，若休市再取此前交易日。</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年底专项，</w:t>
            </w:r>
            <w:r>
              <w:rPr>
                <w:rFonts w:eastAsia="微软雅黑" w:ascii="微软雅黑" w:hAnsi="微软雅黑"/>
                <w:b/>
                <w:color w:val="FFFFFF"/>
                <w:sz w:val="17"/>
              </w:rPr>
              <w:t>2026-12-31</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股价港元</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15.278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26.391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相对</w:t>
            </w:r>
            <w:r>
              <w:rPr>
                <w:rFonts w:eastAsia="微软雅黑" w:ascii="微软雅黑" w:hAnsi="微软雅黑"/>
                <w:sz w:val="17"/>
              </w:rPr>
              <w:t>12.53</w:t>
            </w:r>
            <w:r>
              <w:rPr>
                <w:rFonts w:ascii="微软雅黑" w:hAnsi="微软雅黑" w:eastAsia="微软雅黑"/>
                <w:sz w:val="17"/>
              </w:rPr>
              <w:t>股价涨跌</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72.71%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110.62%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条件性未来现金股息港元</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0.10934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0.10934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0.10934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税前含息回报</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71.84%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22.80%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111.50%</w:t>
            </w:r>
          </w:p>
        </w:tc>
      </w:tr>
    </w:tbl>
    <w:p>
      <w:pPr>
        <w:pStyle w:val="Normal"/>
        <w:rPr/>
      </w:pPr>
      <w:r>
        <w:rPr/>
      </w:r>
    </w:p>
    <w:p>
      <w:pPr>
        <w:pStyle w:val="Normal"/>
        <w:rPr/>
      </w:pPr>
      <w:r>
        <w:rPr/>
        <w:t>25%/50%/25%</w:t>
      </w:r>
      <w:r>
        <w:rPr/>
        <w:t>判断权重的年底期望价</w:t>
      </w:r>
      <w:r>
        <w:rPr/>
        <w:t>15.091</w:t>
      </w:r>
      <w:r>
        <w:rPr/>
        <w:t>港元，股价期望回报</w:t>
      </w:r>
      <w:r>
        <w:rPr/>
        <w:t>20.44%</w:t>
      </w:r>
      <w:r>
        <w:rPr/>
        <w:t>，含息约</w:t>
      </w:r>
      <w:r>
        <w:rPr/>
        <w:t>21.32%</w:t>
      </w:r>
      <w:r>
        <w:rPr/>
        <w:t>。</w:t>
      </w:r>
      <w:r>
        <w:rPr/>
        <w:t>40%/50%/10%</w:t>
      </w:r>
      <w:r>
        <w:rPr/>
        <w:t>与</w:t>
      </w:r>
      <w:r>
        <w:rPr/>
        <w:t>10%/50%/40%</w:t>
      </w:r>
      <w:r>
        <w:rPr/>
        <w:t>权重分别得</w:t>
      </w:r>
      <w:r>
        <w:rPr/>
        <w:t>11.646</w:t>
      </w:r>
      <w:r>
        <w:rPr/>
        <w:t>与</w:t>
      </w:r>
      <w:r>
        <w:rPr/>
        <w:t>18.537</w:t>
      </w:r>
      <w:r>
        <w:rPr/>
        <w:t>港元。该区间表示基本面和估值情景，并非统计置信区间；悲观价不代表最大损失或清算价值。中期股息截至日未获</w:t>
      </w:r>
      <w:r>
        <w:rPr/>
        <w:t>10</w:t>
      </w:r>
      <w:r>
        <w:rPr/>
        <w:t>月</w:t>
      </w:r>
      <w:r>
        <w:rPr/>
        <w:t>21</w:t>
      </w:r>
      <w:r>
        <w:rPr/>
        <w:t>日股东会批准，港币金额未宣布，</w:t>
      </w:r>
      <w:r>
        <w:rPr/>
        <w:t>0.10934</w:t>
      </w:r>
      <w:r>
        <w:rPr/>
        <w:t>仅按研究汇率</w:t>
      </w:r>
      <w:r>
        <w:rPr/>
        <w:t>1.1</w:t>
      </w:r>
      <w:r>
        <w:rPr/>
        <w:t>换算人民币</w:t>
      </w:r>
      <w:r>
        <w:rPr/>
        <w:t>0.0994</w:t>
      </w:r>
      <w:r>
        <w:rPr/>
        <w:t>。</w:t>
      </w:r>
    </w:p>
    <w:p>
      <w:pPr>
        <w:pStyle w:val="Heading2"/>
        <w:rPr/>
      </w:pPr>
      <w:r>
        <w:rPr>
          <w:color w:val="000000"/>
        </w:rPr>
        <w:t>投资结论与适用条件</w:t>
      </w:r>
    </w:p>
    <w:p>
      <w:pPr>
        <w:pStyle w:val="Normal"/>
        <w:rPr/>
      </w:pPr>
      <w:r>
        <w:rPr/>
        <w:t>中国同辐值得进入进取型医药组合的中长期候选，但按本研究标准不应仅凭核药概念和低市盈率跃居半年优先榜。它同时经营放射性药物、尿素呼气检测、核医疗装备、放射源与辐照服务，产业链广度与持续盈利构成研究价值。现价相对</w:t>
      </w:r>
      <w:r>
        <w:rPr/>
        <w:t>2025</w:t>
      </w:r>
      <w:r>
        <w:rPr/>
        <w:t>年报告归母收益约</w:t>
      </w:r>
      <w:r>
        <w:rPr/>
        <w:t>11.13</w:t>
      </w:r>
      <w:r>
        <w:rPr/>
        <w:t>倍市盈率，相对管理层扣除子公司补税及滞纳金影响后的归母口径约</w:t>
      </w:r>
      <w:r>
        <w:rPr/>
        <w:t>7.97</w:t>
      </w:r>
      <w:r>
        <w:rPr/>
        <w:t>倍，提供修复余地。然而</w:t>
      </w:r>
      <w:r>
        <w:rPr/>
        <w:t>2026</w:t>
      </w:r>
      <w:r>
        <w:rPr/>
        <w:t>年上半年归母利润仍同比下降，经营现金远弱于净利润，股票日周趋势均下降，低价本身不能证明市场判断错误。</w:t>
      </w:r>
    </w:p>
    <w:p>
      <w:pPr>
        <w:pStyle w:val="Normal"/>
        <w:rPr/>
      </w:pPr>
      <w:r>
        <w:rPr/>
        <w:t>最重要的投资边界是上市母公司能够获得多少利益。上半年集团净利润</w:t>
      </w:r>
      <w:r>
        <w:rPr/>
        <w:t>3.3217</w:t>
      </w:r>
      <w:r>
        <w:rPr/>
        <w:t>亿元，归母只有</w:t>
      </w:r>
      <w:r>
        <w:rPr/>
        <w:t>1.5899</w:t>
      </w:r>
      <w:r>
        <w:rPr/>
        <w:t>亿元，少数股东损益</w:t>
      </w:r>
      <w:r>
        <w:rPr/>
        <w:t>1.7318</w:t>
      </w:r>
      <w:r>
        <w:rPr/>
        <w:t>亿元。核药和装备增长形成的集团规模并不全部属于买入</w:t>
      </w:r>
      <w:r>
        <w:rPr/>
        <w:t>01763.HK</w:t>
      </w:r>
      <w:r>
        <w:rPr/>
        <w:t>的投资者。中核海得威有效经济权益</w:t>
      </w:r>
      <w:r>
        <w:rPr/>
        <w:t>48%</w:t>
      </w:r>
      <w:r>
        <w:rPr/>
        <w:t>，原子高科</w:t>
      </w:r>
      <w:r>
        <w:rPr/>
        <w:t>69.49%</w:t>
      </w:r>
      <w:r>
        <w:rPr/>
        <w:t>，中核安科锐</w:t>
      </w:r>
      <w:r>
        <w:rPr/>
        <w:t>51%</w:t>
      </w:r>
      <w:r>
        <w:rPr/>
        <w:t>；集团可以控制并全额合并相关企业，但估值必须扣除少数份额。把集团净利润全部除以香港流通的约</w:t>
      </w:r>
      <w:r>
        <w:rPr/>
        <w:t>7997</w:t>
      </w:r>
      <w:r>
        <w:rPr/>
        <w:t>万股，会同时犯收益归属和股份分母两类错误，显著夸大每股价值。</w:t>
      </w:r>
    </w:p>
    <w:p>
      <w:pPr>
        <w:pStyle w:val="Normal"/>
        <w:rPr/>
      </w:pPr>
      <w:r>
        <w:rPr/>
        <w:t>短期需要看见的证据不是笼统的产业政策，而是股价重新站稳关键均线、医院采购与验收改善、应收款实质回流，以及上半年高税负和业务调整不再继续侵蚀归母。中期需要验证新核药注册和销售，而非把完成临床入组或美国原料备案视作批准成品药。三至五年需要产业扩张最终带来上市母公司的自由现金，而不是仅增加厂房、存货、开发支出及关联投资。以下目标价都受这些条件约束，不能用单一乐观节点替代完整的收益链条。</w:t>
      </w:r>
    </w:p>
    <w:p>
      <w:pPr>
        <w:pStyle w:val="Normal"/>
        <w:rPr/>
      </w:pPr>
      <w:r>
        <w:rPr/>
        <w:t>研究采用进取型标准，因此允许关注尚未兑现的成长机会，但仍要求不成功路径能进入模型。基准情景不是所有管线上市，不是所有产能满产，也不是全部资产按最高倍数定价。模型从五分部收入和成本出发，保留销售、行政、研发、税金、财务成本、减值与少数损益，再以全部股份计算每股收益。上涨来自正常利润恢复和有限估值回升。现金、核素管线和基金资产没有在集团市盈率之外重复加值，防止一个业务既贡献盈利又被额外记作独立净现值。</w:t>
      </w:r>
    </w:p>
    <w:p>
      <w:pPr>
        <w:pStyle w:val="Normal"/>
        <w:rPr/>
      </w:pPr>
      <w:r>
        <w:rPr/>
        <w:t>本文使用原件核验的财报与公告事实，并将预测输入单独标为研究假设。财务证据可信度较高，产品临床完整主要终点、逐产品净利和市场份额仍有缺口，估值可信度因此为中。行情锁定三年</w:t>
      </w:r>
      <w:r>
        <w:rPr/>
        <w:t>739</w:t>
      </w:r>
      <w:r>
        <w:rPr/>
        <w:t>个日线与</w:t>
      </w:r>
      <w:r>
        <w:rPr/>
        <w:t>157</w:t>
      </w:r>
      <w:r>
        <w:rPr/>
        <w:t>个周线，跨源价格和近</w:t>
      </w:r>
      <w:r>
        <w:rPr/>
        <w:t>60</w:t>
      </w:r>
      <w:r>
        <w:rPr/>
        <w:t>日复权一致，但</w:t>
      </w:r>
      <w:r>
        <w:rPr/>
        <w:t>9</w:t>
      </w:r>
      <w:r>
        <w:rPr/>
        <w:t>根历史原始</w:t>
      </w:r>
      <w:r>
        <w:rPr/>
        <w:t>OHLC</w:t>
      </w:r>
      <w:r>
        <w:rPr/>
        <w:t>曾出现逻辑不一致，已按腾讯完整同日数据修复并留痕。外资公开目标价尚未取得可核材料，相关栏位留空；缺失目标不能被填成研究员“共识”。</w:t>
      </w:r>
    </w:p>
    <w:p>
      <w:pPr>
        <w:pStyle w:val="Heading2"/>
        <w:rPr/>
      </w:pPr>
      <w:r>
        <w:rPr>
          <w:color w:val="000000"/>
        </w:rPr>
        <w:t>业务组合与经济利益的来源</w:t>
      </w:r>
    </w:p>
    <w:p>
      <w:pPr>
        <w:pStyle w:val="Normal"/>
        <w:rPr/>
      </w:pPr>
      <w:r>
        <w:rPr/>
        <w:t>核药是公司最重要的毛利来源。上半年核药收入</w:t>
      </w:r>
      <w:r>
        <w:rPr/>
        <w:t>17.2798</w:t>
      </w:r>
      <w:r>
        <w:rPr/>
        <w:t>亿元、成本</w:t>
      </w:r>
      <w:r>
        <w:rPr/>
        <w:t>5.9461</w:t>
      </w:r>
      <w:r>
        <w:rPr/>
        <w:t>亿元，毛利约</w:t>
      </w:r>
      <w:r>
        <w:rPr/>
        <w:t>11.3337</w:t>
      </w:r>
      <w:r>
        <w:rPr/>
        <w:t>亿元、毛利率约</w:t>
      </w:r>
      <w:r>
        <w:rPr/>
        <w:t>65.59%</w:t>
      </w:r>
      <w:r>
        <w:rPr/>
        <w:t>。核药占集团收入</w:t>
      </w:r>
      <w:r>
        <w:rPr/>
        <w:t>57.7%</w:t>
      </w:r>
      <w:r>
        <w:rPr/>
        <w:t>，但贡献的毛利比例明显高于收入比例。核设备收入</w:t>
      </w:r>
      <w:r>
        <w:rPr/>
        <w:t>3.6354</w:t>
      </w:r>
      <w:r>
        <w:rPr/>
        <w:t>亿元、成本</w:t>
      </w:r>
      <w:r>
        <w:rPr/>
        <w:t>2.8116</w:t>
      </w:r>
      <w:r>
        <w:rPr/>
        <w:t>亿元，毛利率约</w:t>
      </w:r>
      <w:r>
        <w:rPr/>
        <w:t>22.66%</w:t>
      </w:r>
      <w:r>
        <w:rPr/>
        <w:t>；放射源与应用收入</w:t>
      </w:r>
      <w:r>
        <w:rPr/>
        <w:t>3.5707</w:t>
      </w:r>
      <w:r>
        <w:rPr/>
        <w:t>亿元、毛利率约</w:t>
      </w:r>
      <w:r>
        <w:rPr/>
        <w:t>48.64%</w:t>
      </w:r>
      <w:r>
        <w:rPr/>
        <w:t>；辐照应用收入</w:t>
      </w:r>
      <w:r>
        <w:rPr/>
        <w:t>0.9666</w:t>
      </w:r>
      <w:r>
        <w:rPr/>
        <w:t>亿元、毛利率约</w:t>
      </w:r>
      <w:r>
        <w:rPr/>
        <w:t>45.90%</w:t>
      </w:r>
      <w:r>
        <w:rPr/>
        <w:t>；其他业务收入</w:t>
      </w:r>
      <w:r>
        <w:rPr/>
        <w:t>4.4858</w:t>
      </w:r>
      <w:r>
        <w:rPr/>
        <w:t>亿元、毛利率约</w:t>
      </w:r>
      <w:r>
        <w:rPr/>
        <w:t>10.32%</w:t>
      </w:r>
      <w:r>
        <w:rPr/>
        <w:t>。这些差异解释了为什么贸易收缩可降低总收入，却未必损害长期质量，也解释了为何不能把全集团统一按高毛利创新药企业估值。</w:t>
      </w:r>
    </w:p>
    <w:p>
      <w:pPr>
        <w:pStyle w:val="Normal"/>
        <w:rPr/>
      </w:pPr>
      <w:r>
        <w:rPr/>
        <w:t>核药内部又包含性质不同的收入。显像诊断及治疗用放射性药物约</w:t>
      </w:r>
      <w:r>
        <w:rPr/>
        <w:t>9.279</w:t>
      </w:r>
      <w:r>
        <w:rPr/>
        <w:t>亿元，同比增长</w:t>
      </w:r>
      <w:r>
        <w:rPr/>
        <w:t>9.4%</w:t>
      </w:r>
      <w:r>
        <w:rPr/>
        <w:t>；呼气检测约</w:t>
      </w:r>
      <w:r>
        <w:rPr/>
        <w:t>7.793</w:t>
      </w:r>
      <w:r>
        <w:rPr/>
        <w:t>亿元，同比下降</w:t>
      </w:r>
      <w:r>
        <w:rPr/>
        <w:t>0.9%</w:t>
      </w:r>
      <w:r>
        <w:rPr/>
        <w:t>。氟药物收入同比增长</w:t>
      </w:r>
      <w:r>
        <w:rPr/>
        <w:t>48%</w:t>
      </w:r>
      <w:r>
        <w:rPr/>
        <w:t>，但其绝对收入及全费用盈利贡献没有完整披露，不能把</w:t>
      </w:r>
      <w:r>
        <w:rPr/>
        <w:t>48%</w:t>
      </w:r>
      <w:r>
        <w:rPr/>
        <w:t>直接推广到全部核药。核药组合既有长期使用的诊断产品，也有上市前的诊疗一体化分子。稳定诊断业务可以支撑研发，但检测集采也会把成熟产品的单位价格压低。研究必须同时看新增检查量和单位收益，避免用一个高速增长子项掩盖另一大收入来源的价格压力。</w:t>
      </w:r>
    </w:p>
    <w:p>
      <w:pPr>
        <w:pStyle w:val="Normal"/>
        <w:rPr/>
      </w:pPr>
      <w:r>
        <w:rPr/>
        <w:t>公司的竞争优势首先来自受监管的生产、供应与医院服务链，而不只是某个化合物专利。短半衰期核药对生产时间、质量放行、运输路线和使用排期要求高。靠近医院的合规供药网络，可以减少衰变和物流失败，给客户稳定供给。对医院而言，检查中断还涉及设备和人员闲置，因此可靠交付有经济价值。然而网络也需要持续固定投入，在低利用率地区成为费用负担。布局数量不是利润数量，新基地在形成稳定订单前可能先提高折旧和运营成本。</w:t>
      </w:r>
    </w:p>
    <w:p>
      <w:pPr>
        <w:pStyle w:val="Normal"/>
        <w:rPr/>
      </w:pPr>
      <w:r>
        <w:rPr/>
        <w:t>公司描述</w:t>
      </w:r>
      <w:r>
        <w:rPr/>
        <w:t>37</w:t>
      </w:r>
      <w:r>
        <w:rPr/>
        <w:t>个药品中心的网络布局和</w:t>
      </w:r>
      <w:r>
        <w:rPr/>
        <w:t>7</w:t>
      </w:r>
      <w:r>
        <w:rPr/>
        <w:t>个研发基地。</w:t>
      </w:r>
      <w:r>
        <w:rPr/>
        <w:t>2025</w:t>
      </w:r>
      <w:r>
        <w:rPr/>
        <w:t>年末年报可核的状态为</w:t>
      </w:r>
      <w:r>
        <w:rPr/>
        <w:t>29</w:t>
      </w:r>
      <w:r>
        <w:rPr/>
        <w:t>个中心已投产、</w:t>
      </w:r>
      <w:r>
        <w:rPr/>
        <w:t>8</w:t>
      </w:r>
      <w:r>
        <w:rPr/>
        <w:t>个在建，</w:t>
      </w:r>
      <w:r>
        <w:rPr/>
        <w:t>2026</w:t>
      </w:r>
      <w:r>
        <w:rPr/>
        <w:t>年上半年新增投产的精确总数尚未核到。因此本文不声称</w:t>
      </w:r>
      <w:r>
        <w:rPr/>
        <w:t>37</w:t>
      </w:r>
      <w:r>
        <w:rPr/>
        <w:t>个全部运营。投资者应区分取得土地、完成厂房、取得生产许可、完成药品注册和形成商业订单，五个阶段并不同时完成。长期网络优势需要表现为单位中心供药量增加、配送覆盖提升和经营现金改善；若中心数量增加而单点订单下降，所谓规模优势可能被过度建设抵消。</w:t>
      </w:r>
    </w:p>
    <w:p>
      <w:pPr>
        <w:pStyle w:val="Normal"/>
        <w:rPr/>
      </w:pPr>
      <w:r>
        <w:rPr/>
        <w:t>呼气检测的优势更偏向试剂、设备和终端渠道配套。尿素呼气检测用于幽门螺杆菌相关诊断，其需求受临床规范、疾病筛查意识和医疗支付条件影响。公司在该领域已形成品牌和渠道，但成熟检测产品并不天然具备高定价自由。上半年公司披露</w:t>
      </w:r>
      <w:r>
        <w:rPr/>
        <w:t>C13</w:t>
      </w:r>
      <w:r>
        <w:rPr/>
        <w:t>销量增长</w:t>
      </w:r>
      <w:r>
        <w:rPr/>
        <w:t>30%</w:t>
      </w:r>
      <w:r>
        <w:rPr/>
        <w:t>，呼气收入却下降</w:t>
      </w:r>
      <w:r>
        <w:rPr/>
        <w:t>0.9%</w:t>
      </w:r>
      <w:r>
        <w:rPr/>
        <w:t>，与集采后单价下降相符。由于收入集合还包括不同产品和设备，不能仅把两项比值算成精确单品降价幅度；可以确定的是，销量扩张未充分抵消组合价格和结构压力。</w:t>
      </w:r>
    </w:p>
    <w:p>
      <w:pPr>
        <w:pStyle w:val="Normal"/>
        <w:rPr/>
      </w:pPr>
      <w:r>
        <w:rPr/>
        <w:t>核设备经营的节奏较核药更不连续。一台设备从采购许可、招标、交货、安装到验收存在时差，医院可能把验收集中在少数月份。</w:t>
      </w:r>
      <w:r>
        <w:rPr/>
        <w:t>2025</w:t>
      </w:r>
      <w:r>
        <w:rPr/>
        <w:t>年甲类大型装备集采延迟导致收入下降，</w:t>
      </w:r>
      <w:r>
        <w:rPr/>
        <w:t>2026</w:t>
      </w:r>
      <w:r>
        <w:rPr/>
        <w:t>年上半年恢复</w:t>
      </w:r>
      <w:r>
        <w:rPr/>
        <w:t>46.8%</w:t>
      </w:r>
      <w:r>
        <w:rPr/>
        <w:t>，有低基数和项目确认因素。</w:t>
      </w:r>
      <w:r>
        <w:rPr/>
        <w:t>CyberKnife</w:t>
      </w:r>
      <w:r>
        <w:rPr/>
        <w:t>与</w:t>
      </w:r>
      <w:r>
        <w:rPr/>
        <w:t>Tomo</w:t>
      </w:r>
      <w:r>
        <w:rPr/>
        <w:t>销量较上年同期增加</w:t>
      </w:r>
      <w:r>
        <w:rPr/>
        <w:t>5</w:t>
      </w:r>
      <w:r>
        <w:rPr/>
        <w:t>台，原件描述是增量，不能写成全年仅销售</w:t>
      </w:r>
      <w:r>
        <w:rPr/>
        <w:t>5</w:t>
      </w:r>
      <w:r>
        <w:rPr/>
        <w:t>台或承诺今后每年增加</w:t>
      </w:r>
      <w:r>
        <w:rPr/>
        <w:t>5</w:t>
      </w:r>
      <w:r>
        <w:rPr/>
        <w:t>台。订单、存货、预付款和设备验收最好联合分析，单季确认增长可能伴随后续淡季，而非稳定的年化经营速度。</w:t>
      </w:r>
    </w:p>
    <w:p>
      <w:pPr>
        <w:pStyle w:val="Normal"/>
        <w:rPr/>
      </w:pPr>
      <w:r>
        <w:rPr/>
        <w:t>放射源业务是另一条有技术和安全准入要求的产业链。上半年放射源及应用增长</w:t>
      </w:r>
      <w:r>
        <w:rPr/>
        <w:t>18.5%</w:t>
      </w:r>
      <w:r>
        <w:rPr/>
        <w:t>，其中放射源产品约</w:t>
      </w:r>
      <w:r>
        <w:rPr/>
        <w:t>2.49</w:t>
      </w:r>
      <w:r>
        <w:rPr/>
        <w:t>亿元，钴</w:t>
      </w:r>
      <w:r>
        <w:rPr/>
        <w:t>60</w:t>
      </w:r>
      <w:r>
        <w:rPr/>
        <w:t>源约</w:t>
      </w:r>
      <w:r>
        <w:rPr/>
        <w:t>0.93</w:t>
      </w:r>
      <w:r>
        <w:rPr/>
        <w:t>亿元、增长</w:t>
      </w:r>
      <w:r>
        <w:rPr/>
        <w:t>37.7%</w:t>
      </w:r>
      <w:r>
        <w:rPr/>
        <w:t>，检测业务约</w:t>
      </w:r>
      <w:r>
        <w:rPr/>
        <w:t>0.777</w:t>
      </w:r>
      <w:r>
        <w:rPr/>
        <w:t>亿元、增长</w:t>
      </w:r>
      <w:r>
        <w:rPr/>
        <w:t>57.6%</w:t>
      </w:r>
      <w:r>
        <w:rPr/>
        <w:t>。这些子项口径不能随意重复相加为集团新增收入。放射源可用于医疗、工业检测和辐照，其寿命、回收、运输、质量和许可都影响经济成本。国产替代可能提升供给稳定性，但供应安全价值不必全部转化为高售价；客户也可能要求稳定长期价格和回收服务，毛利需扣除安全维护与责任成本。</w:t>
      </w:r>
    </w:p>
    <w:p>
      <w:pPr>
        <w:pStyle w:val="Normal"/>
        <w:rPr/>
      </w:pPr>
      <w:r>
        <w:rPr/>
        <w:t>辐照应用规模较小，但可以连接灭菌、材料改性和设备工程。上半年辐照收入增长</w:t>
      </w:r>
      <w:r>
        <w:rPr/>
        <w:t>9.1%</w:t>
      </w:r>
      <w:r>
        <w:rPr/>
        <w:t>，新材料收入同比增长</w:t>
      </w:r>
      <w:r>
        <w:rPr/>
        <w:t>214.8%</w:t>
      </w:r>
      <w:r>
        <w:rPr/>
        <w:t>的描述因未提供绝对基数，不能直接得出已经成为主要利润支柱。辐照业务受到客户产量、产线利用率、电力、设备维护和工程项目节奏影响。与药物销售相比，它可能有更强的制造周期属性。长期估值应看持续服务收入与一次性工程收入比例，以及单位装置吞吐量能否随客户工业需求增长，而不能仅把它放在高增长核技术概念之下。</w:t>
      </w:r>
    </w:p>
    <w:p>
      <w:pPr>
        <w:pStyle w:val="Normal"/>
        <w:rPr/>
      </w:pPr>
      <w:r>
        <w:rPr/>
        <w:t>其他业务同比下降</w:t>
      </w:r>
      <w:r>
        <w:rPr/>
        <w:t>22.5%</w:t>
      </w:r>
      <w:r>
        <w:rPr/>
        <w:t>，主要与主动减少国内医疗贸易有关。这一调整可减少低毛利业务占用应收与采购现金，也可能降低既有渠道的交叉销售。模型对该分部只给约</w:t>
      </w:r>
      <w:r>
        <w:rPr/>
        <w:t>8%</w:t>
      </w:r>
      <w:r>
        <w:rPr/>
        <w:t>至</w:t>
      </w:r>
      <w:r>
        <w:rPr/>
        <w:t>12.5%</w:t>
      </w:r>
      <w:r>
        <w:rPr/>
        <w:t>的毛利假设，远低于核药。评价收缩应重点看库存、应收款和总现金释放，而非将收入下降一概解释为坏消息。如果低利润贸易退出后集团净利润率提升、销售费用减少、现金回款加快，收缩有利；如果退出导致其他分部也失去客户或成本无法减少，盈利反而受到二次压力。</w:t>
      </w:r>
    </w:p>
    <w:p>
      <w:pPr>
        <w:pStyle w:val="Heading2"/>
        <w:rPr/>
      </w:pPr>
      <w:r>
        <w:rPr>
          <w:color w:val="000000"/>
        </w:rPr>
        <w:t>核素 在研产品与临床证据边界</w:t>
      </w:r>
    </w:p>
    <w:p>
      <w:pPr>
        <w:pStyle w:val="Normal"/>
        <w:rPr/>
      </w:pPr>
      <w:r>
        <w:rPr/>
        <w:t>无载体</w:t>
      </w:r>
      <w:r>
        <w:rPr/>
        <w:t>Lu177</w:t>
      </w:r>
      <w:r>
        <w:rPr/>
        <w:t>是近期资本市场容易放大叙事的节点。中核高通引进</w:t>
      </w:r>
      <w:r>
        <w:rPr/>
        <w:t>ITM</w:t>
      </w:r>
      <w:r>
        <w:rPr/>
        <w:t>技术，建成年产万居里无载体氯化镥溶液产线并批量供货；中核秦同采用自主路线、同样描述万居里产线，已小批量供货。这两条路线的工业化进展有价值，但名义产能并不等于实际销量或相同质量等级的可售产品。必须继续核实核素纯度、批次放行、客户验证、利用率与价格。核素供应的收入还取决于下游药物临床和商业化需求，不能把装置产能乘以未经核实的报价即作上市公司利润。</w:t>
      </w:r>
    </w:p>
    <w:p>
      <w:pPr>
        <w:pStyle w:val="Normal"/>
        <w:rPr/>
      </w:pPr>
      <w:r>
        <w:rPr/>
        <w:t>2026</w:t>
      </w:r>
      <w:r>
        <w:rPr/>
        <w:t>年</w:t>
      </w:r>
      <w:r>
        <w:rPr/>
        <w:t>9</w:t>
      </w:r>
      <w:r>
        <w:rPr/>
        <w:t>月</w:t>
      </w:r>
      <w:r>
        <w:rPr/>
        <w:t>22</w:t>
      </w:r>
      <w:r>
        <w:rPr/>
        <w:t>日</w:t>
      </w:r>
      <w:r>
        <w:rPr/>
        <w:t>22</w:t>
      </w:r>
      <w:r>
        <w:rPr/>
        <w:t>时</w:t>
      </w:r>
      <w:r>
        <w:rPr/>
        <w:t>15</w:t>
      </w:r>
      <w:r>
        <w:rPr/>
        <w:t>分公开的公告说明</w:t>
      </w:r>
      <w:r>
        <w:rPr/>
        <w:t>CNGT</w:t>
      </w:r>
      <w:r>
        <w:rPr/>
        <w:t>的</w:t>
      </w:r>
      <w:r>
        <w:rPr/>
        <w:t>Lu177 DMF</w:t>
      </w:r>
      <w:r>
        <w:rPr/>
        <w:t>获得美国</w:t>
      </w:r>
      <w:r>
        <w:rPr/>
        <w:t>FDA</w:t>
      </w:r>
      <w:r>
        <w:rPr/>
        <w:t>备案激活，可供下游企业在相关申请中引用。</w:t>
      </w:r>
      <w:r>
        <w:rPr/>
        <w:t>DMF</w:t>
      </w:r>
      <w:r>
        <w:rPr/>
        <w:t>是原料制造、质量等资料支持机制，具有客户进入意义，但不是</w:t>
      </w:r>
      <w:r>
        <w:rPr/>
        <w:t>FDA</w:t>
      </w:r>
      <w:r>
        <w:rPr/>
        <w:t>批准中国同辐销售某个成品治疗药，也不是美国医院已经产生处方。海外机会还要经过客户尽调、质量审计、供应合同、运输和商业批次验证。在模型中，这一节点改善催化剂评分和长期原料收入可能性，却不立即赋予整条海外成品药现金流，也不以未签订单视作已确认收入。</w:t>
      </w:r>
    </w:p>
    <w:p>
      <w:pPr>
        <w:pStyle w:val="Normal"/>
        <w:rPr/>
      </w:pPr>
      <w:r>
        <w:rPr/>
        <w:t>Lu177</w:t>
      </w:r>
      <w:r>
        <w:rPr/>
        <w:t>相关临床管线需要按分子和适应症判断。公司披露鎵</w:t>
      </w:r>
      <w:r>
        <w:rPr/>
        <w:t>68</w:t>
      </w:r>
      <w:r>
        <w:rPr/>
        <w:t>多特安肽、相关药盒与镥</w:t>
      </w:r>
      <w:r>
        <w:rPr/>
        <w:t>177</w:t>
      </w:r>
      <w:r>
        <w:rPr/>
        <w:t>氧奥曲肽完成</w:t>
      </w:r>
      <w:r>
        <w:rPr/>
        <w:t>III</w:t>
      </w:r>
      <w:r>
        <w:rPr/>
        <w:t>期全部受试者入组和供药，这说明研究执行进入后期，但不等于全部主要终点达到预设标准。肿瘤诊断产品的有效性、图像判读和病理参考一致性，与治疗药的缓解、无进展生存、安全性不是同一种证据。正式估值升级需要临床结果、申报受理、审评结论及批准标签。尚未取得完整研究设计和结果时，本文不统一给所有</w:t>
      </w:r>
      <w:r>
        <w:rPr/>
        <w:t>III</w:t>
      </w:r>
      <w:r>
        <w:rPr/>
        <w:t>期一个固定成功率，也不伪造精确到分子的风险调整净现值。</w:t>
      </w:r>
    </w:p>
    <w:p>
      <w:pPr>
        <w:pStyle w:val="Normal"/>
        <w:rPr/>
      </w:pPr>
      <w:r>
        <w:rPr/>
        <w:t>神经内分泌肿瘤的诊疗一体化逻辑具有临床基础：诊断用靶向显像可以帮助确认受体表达，治疗用核素产品针对合适患者提供另一种手段。但市场规模受病人筛选、核医学服务能力、治疗周期和支付限制。诊断产品的渗透率不能直接转化为治疗产品处方率，更不能假设所有影像阳性患者均购买同公司治疗药。中国同辐拥有原料与供药网络，可在质量和流程上协调；同时其竞争对象可能包括进口产品、其他国产核药及传统治疗。竞争比较应以临床价值和总治疗成本为核心。</w:t>
      </w:r>
    </w:p>
    <w:p>
      <w:pPr>
        <w:pStyle w:val="Normal"/>
        <w:rPr/>
      </w:pPr>
      <w:r>
        <w:rPr/>
        <w:t>氟</w:t>
      </w:r>
      <w:r>
        <w:rPr/>
        <w:t>18</w:t>
      </w:r>
      <w:r>
        <w:rPr/>
        <w:t>司他明为</w:t>
      </w:r>
      <w:r>
        <w:rPr/>
        <w:t>PSMA</w:t>
      </w:r>
      <w:r>
        <w:rPr/>
        <w:t>相关前列腺癌诊断产品，公司拥有在中国开发、生产和市场销售的独家权利，合作方为韩国</w:t>
      </w:r>
      <w:r>
        <w:rPr/>
        <w:t>FutureChem</w:t>
      </w:r>
      <w:r>
        <w:rPr/>
        <w:t>。权益地域是中国，并非全球许可或全球治疗商业权。上半年报告称</w:t>
      </w:r>
      <w:r>
        <w:rPr/>
        <w:t>III</w:t>
      </w:r>
      <w:r>
        <w:rPr/>
        <w:t>期研究完成，说明可能接近申报阶段；完整注册结果和截止日批准尚未取得。</w:t>
      </w:r>
      <w:r>
        <w:rPr/>
        <w:t>PSMA</w:t>
      </w:r>
      <w:r>
        <w:rPr/>
        <w:t>领域竞争关注度高，若同类显像剂快速获批，市场教育成本可能由行业共同承担，但医院也获得更多选择。技术和供应便利性可以支持销量，独家分子许可不能自动排除其他分子竞争，也不保证高毛利维持。</w:t>
      </w:r>
    </w:p>
    <w:p>
      <w:pPr>
        <w:pStyle w:val="Normal"/>
        <w:rPr/>
      </w:pPr>
      <w:r>
        <w:rPr/>
        <w:t>氟</w:t>
      </w:r>
      <w:r>
        <w:rPr/>
        <w:t>18</w:t>
      </w:r>
      <w:r>
        <w:rPr/>
        <w:t>贝他嗪是阿尔茨海默病</w:t>
      </w:r>
      <w:r>
        <w:rPr/>
        <w:t>Aβ-PET</w:t>
      </w:r>
      <w:r>
        <w:rPr/>
        <w:t>显像剂，在研阶段是</w:t>
      </w:r>
      <w:r>
        <w:rPr/>
        <w:t>III</w:t>
      </w:r>
      <w:r>
        <w:rPr/>
        <w:t>期；氟</w:t>
      </w:r>
      <w:r>
        <w:rPr/>
        <w:t>18</w:t>
      </w:r>
      <w:r>
        <w:rPr/>
        <w:t>多巴对应帕金森等神经退行性疾病诊断。两者是诊断工具，不能描述为直接治疗病因或改善病程的药物。诊断需求可能随着相关治疗和临床路径改变而扩大，但患者是否接受</w:t>
      </w:r>
      <w:r>
        <w:rPr/>
        <w:t>PET</w:t>
      </w:r>
      <w:r>
        <w:rPr/>
        <w:t>还取决于检查可及性、价格、指南和替代检测。人口老龄化只是潜在需求背景，不能用老龄人口总数乘以检查单价构成收入预测。基准模型要求产品逐步形成真实临床使用量，并在核药组合中有限增加贡献。</w:t>
      </w:r>
    </w:p>
    <w:p>
      <w:pPr>
        <w:pStyle w:val="Normal"/>
        <w:rPr/>
      </w:pPr>
      <w:r>
        <w:rPr/>
        <w:t>硼</w:t>
      </w:r>
      <w:r>
        <w:rPr/>
        <w:t>10</w:t>
      </w:r>
      <w:r>
        <w:rPr/>
        <w:t>法仑用于</w:t>
      </w:r>
      <w:r>
        <w:rPr/>
        <w:t>BNCT</w:t>
      </w:r>
      <w:r>
        <w:rPr/>
        <w:t>，是药物与中子设备共同参与的治疗体系，报告披露已全面启动</w:t>
      </w:r>
      <w:r>
        <w:rPr/>
        <w:t>I</w:t>
      </w:r>
      <w:r>
        <w:rPr/>
        <w:t>期试验。</w:t>
      </w:r>
      <w:r>
        <w:rPr/>
        <w:t>I</w:t>
      </w:r>
      <w:r>
        <w:rPr/>
        <w:t>期最关键的工作仍是安全、剂量和相关临床可行性，个别病例或治疗图像不能代替受试者群体结果。即使硼药显示价值，治疗还受到专用设备、医院人员、治疗排期和适用肿瘤人群限制。公司可以通过产业链协同提供能力，但药械联合过程增加商业化复杂性。半年模型不给它直接大额收入，长期只把可能性纳入组合的增长上限，失败情景通过研发、减值和盈利折价反映。</w:t>
      </w:r>
    </w:p>
    <w:p>
      <w:pPr>
        <w:pStyle w:val="Normal"/>
        <w:rPr/>
      </w:pPr>
      <w:r>
        <w:rPr/>
        <w:t>2026</w:t>
      </w:r>
      <w:r>
        <w:rPr/>
        <w:t>年</w:t>
      </w:r>
      <w:r>
        <w:rPr/>
        <w:t>10</w:t>
      </w:r>
      <w:r>
        <w:rPr/>
        <w:t>月</w:t>
      </w:r>
      <w:r>
        <w:rPr/>
        <w:t>9</w:t>
      </w:r>
      <w:r>
        <w:rPr/>
        <w:t>日</w:t>
      </w:r>
      <w:r>
        <w:rPr/>
        <w:t>21</w:t>
      </w:r>
      <w:r>
        <w:rPr/>
        <w:t>时</w:t>
      </w:r>
      <w:r>
        <w:rPr/>
        <w:t>14</w:t>
      </w:r>
      <w:r>
        <w:rPr/>
        <w:t>分发布的</w:t>
      </w:r>
      <w:r>
        <w:rPr/>
        <w:t>50mg</w:t>
      </w:r>
      <w:r>
        <w:rPr/>
        <w:t>尿素</w:t>
      </w:r>
      <w:r>
        <w:rPr/>
        <w:t>13C</w:t>
      </w:r>
      <w:r>
        <w:rPr/>
        <w:t>呼气试验药盒获药品注册证公告在价格基准收盘之后，因此该证据截至日公开，却尚未反映在</w:t>
      </w:r>
      <w:r>
        <w:rPr/>
        <w:t>12.53</w:t>
      </w:r>
      <w:r>
        <w:rPr/>
        <w:t>港元收盘价中。公司称</w:t>
      </w:r>
      <w:r>
        <w:rPr/>
        <w:t>50mg</w:t>
      </w:r>
      <w:r>
        <w:rPr/>
        <w:t>与</w:t>
      </w:r>
      <w:r>
        <w:rPr/>
        <w:t>75mg</w:t>
      </w:r>
      <w:r>
        <w:rPr/>
        <w:t>产品形成矩阵，仍推进</w:t>
      </w:r>
      <w:r>
        <w:rPr/>
        <w:t>GMP</w:t>
      </w:r>
      <w:r>
        <w:rPr/>
        <w:t>符合性工作，预计</w:t>
      </w:r>
      <w:r>
        <w:rPr/>
        <w:t>12</w:t>
      </w:r>
      <w:r>
        <w:rPr/>
        <w:t>月投产上市。这里的“预计”不是已经形成</w:t>
      </w:r>
      <w:r>
        <w:rPr/>
        <w:t>12</w:t>
      </w:r>
      <w:r>
        <w:rPr/>
        <w:t>月销售额保证。较低剂量可能改善使用选择和成本，但医生选择、采购规格、销售渠道和既有产品替代均需验证。模型把获证作年内催化剂，同时要求生产合规和商业销量兑现，不把批准当天计为收入。</w:t>
      </w:r>
    </w:p>
    <w:p>
      <w:pPr>
        <w:pStyle w:val="Normal"/>
        <w:rPr/>
      </w:pPr>
      <w:r>
        <w:rPr/>
        <w:t>50mg</w:t>
      </w:r>
      <w:r>
        <w:rPr/>
        <w:t>产品还可能产生内部替代。若新产品主要替换同公司既有</w:t>
      </w:r>
      <w:r>
        <w:rPr/>
        <w:t>75mg</w:t>
      </w:r>
      <w:r>
        <w:rPr/>
        <w:t>使用，销量总数不一定等额增加；收入和毛利结果取决于采购价与成本节省。如果它帮助打开此前未覆盖患者或采购场景，才可能形成较明显增量。公司“首仿”描述可以提示准入进展，但并不直接说明未来竞争者数量或长期独占期。研究应跟踪采购入围、医院使用和总呼气收入，不能只跟踪产品数量。上半年销量增</w:t>
      </w:r>
      <w:r>
        <w:rPr/>
        <w:t>30%</w:t>
      </w:r>
      <w:r>
        <w:rPr/>
        <w:t>仍未抵消收入压力，正是价格与组合反证已经存在的提醒。</w:t>
      </w:r>
    </w:p>
    <w:p>
      <w:pPr>
        <w:pStyle w:val="Normal"/>
        <w:rPr/>
      </w:pPr>
      <w:r>
        <w:rPr/>
        <w:t>原料方面，碳</w:t>
      </w:r>
      <w:r>
        <w:rPr/>
        <w:t>13</w:t>
      </w:r>
      <w:r>
        <w:rPr/>
        <w:t>尿素与高丰度一氧化碳产品正式上市、安徽二期富集项目建设，以及商用堆照碳</w:t>
      </w:r>
      <w:r>
        <w:rPr/>
        <w:t>14</w:t>
      </w:r>
      <w:r>
        <w:rPr/>
        <w:t>首批市场供应，可以提高国内产业链掌控度。自主原料可能降低供应中断风险、减少部分外部采购成本，但不代表每个技术突破都单独创造一份上市母公司净现值。现有核药成本已经包含原料经济效果，模型随后预测的毛利改善也包含国产替代。一旦另给同一原料业务一个高</w:t>
      </w:r>
      <w:r>
        <w:rPr/>
        <w:t>NAV</w:t>
      </w:r>
      <w:r>
        <w:rPr/>
        <w:t>再加到集团</w:t>
      </w:r>
      <w:r>
        <w:rPr/>
        <w:t>PE</w:t>
      </w:r>
      <w:r>
        <w:rPr/>
        <w:t>，会把同一利益重复定价，本文明确不采用这种累加方法。</w:t>
      </w:r>
    </w:p>
    <w:p>
      <w:pPr>
        <w:pStyle w:val="Normal"/>
        <w:rPr/>
      </w:pPr>
      <w:r>
        <w:rPr/>
        <w:t>公司披露国产规模化鍺</w:t>
      </w:r>
      <w:r>
        <w:rPr/>
        <w:t>68</w:t>
      </w:r>
      <w:r>
        <w:rPr/>
        <w:t>制备突破并称质量指标达到商业核素要求。这是工程和供给能力信息，不是审计确认的稳定产量、客户订单或净利润。长期上游能力可能帮助发生器及相关诊疗应用，但不同核素供需不是可互换市场。一个产品的产线利用率不能代替全部核素资产利用率。升级推荐时应要求按品类的销售、回款和产能证据，尤其关注新产品是否从试供转为重复采购。若持续停留于试制或样品供应，则资本开支和固定成本可能先消耗现金。</w:t>
      </w:r>
    </w:p>
    <w:p>
      <w:pPr>
        <w:pStyle w:val="Heading2"/>
        <w:rPr/>
      </w:pPr>
      <w:r>
        <w:rPr>
          <w:color w:val="000000"/>
        </w:rPr>
        <w:t>行业周期与宏观传导</w:t>
      </w:r>
    </w:p>
    <w:p>
      <w:pPr>
        <w:pStyle w:val="Normal"/>
        <w:rPr/>
      </w:pPr>
      <w:r>
        <w:rPr/>
        <w:t>核医学行业增长需要供药、设备、科室和专业人员共同扩容。一个地区只有设备不足以立即形成高频检查，只有核药也不能绕过医疗服务能力。中国同辐的供给网络和整体解决方案可以缩短部分建设环节，但医院管理、预算和患者转诊并非公司独自控制。行业政策推动核技术应用、基层科室和国产供应，对长期需求有支持；具体经营预测仍要由订单和检查量验证。报告引用行业行动方案中核技术直接经济产值目标不能直接当成公司可分得的核药市场，更不能当作已实现产值。</w:t>
      </w:r>
    </w:p>
    <w:p>
      <w:pPr>
        <w:pStyle w:val="Normal"/>
        <w:rPr/>
      </w:pPr>
      <w:r>
        <w:rPr/>
        <w:t>利率下降可能降低银行融资成本，同时提高长久期成长资产的折现价值，对在研核药有利。但中国同辐的利润中财务成本不是唯一决定项。上半年净财务费用</w:t>
      </w:r>
      <w:r>
        <w:rPr/>
        <w:t>0.3759</w:t>
      </w:r>
      <w:r>
        <w:rPr/>
        <w:t>亿元、利息支出</w:t>
      </w:r>
      <w:r>
        <w:rPr/>
        <w:t>0.3175</w:t>
      </w:r>
      <w:r>
        <w:rPr/>
        <w:t>亿元，资本开支和库存占款使债务本金也可能上升。若贷款利率减少但借款规模扩大，利息总额未必下降。新资产开始运营后折旧又会进入成本。模型允许基准融资费用温和变化，不以宏观降息直接推算毛利或净利率改善，风险情景还纳入流动性与再融资限制。</w:t>
      </w:r>
    </w:p>
    <w:p>
      <w:pPr>
        <w:pStyle w:val="Normal"/>
        <w:rPr/>
      </w:pPr>
      <w:r>
        <w:rPr/>
        <w:t>汇率影响存在两个层次。公司以人民币财务为主，海外原料、技术、设备及国际业务可产生外币收入、支出和汇兑损益。投资者持有港币计价证券，则还面临港币兑人民币变动。上半年公司提到国际业务汇兑损失影响归母，这是经营财务层面的真实风险。目标价把人民币</w:t>
      </w:r>
      <w:r>
        <w:rPr/>
        <w:t>EPS</w:t>
      </w:r>
      <w:r>
        <w:rPr/>
        <w:t>按假设</w:t>
      </w:r>
      <w:r>
        <w:rPr/>
        <w:t>1.1</w:t>
      </w:r>
      <w:r>
        <w:rPr/>
        <w:t>港币兑换；投资者最终人民币回报另乘外部汇率变化，两者不能混为一体。人民币贬值可能提高部分进口投入成本，却也改变港币折算目标，其净效应要结合采购与收入币种。</w:t>
      </w:r>
    </w:p>
    <w:p>
      <w:pPr>
        <w:pStyle w:val="Normal"/>
        <w:rPr/>
      </w:pPr>
      <w:r>
        <w:rPr/>
        <w:t>医院资本开支周期对核设备和核医学科整体项目特别重要。地方财政、医院经营现金、专项配置许可与采购流程决定实际订单节奏。经济增长和医疗服务恢复可以支持检查量，但装备订单不一定与居民消费同比同步。集采延迟在</w:t>
      </w:r>
      <w:r>
        <w:rPr/>
        <w:t>2025</w:t>
      </w:r>
      <w:r>
        <w:rPr/>
        <w:t>年已影响公司收入，证明制度和采购节奏能超过产业长期趋势。半年评价应更重视在手项目验收、交货和回款，而长期可以看装备存量更新与科室增加。若政策目标很积极、医院预算却长期受限，估值不能只向前看需求愿望。</w:t>
      </w:r>
    </w:p>
    <w:p>
      <w:pPr>
        <w:pStyle w:val="Normal"/>
        <w:rPr/>
      </w:pPr>
      <w:r>
        <w:rPr/>
        <w:t>医保和集采具有相反的经济效果：降低单价可能扩大可及性与使用量，但也压缩利润并增加达到同等盈利所需的检查量。呼气业务现有证据体现了这一传导。创新核药未来获批后，其价格、医保准入、医院使用和患者支付能力仍需逐步验证。高成本诊疗产品若缺乏明确生存或诊断决策价值，支付方可能要求较低价格。中国同辐不是纯粹没有价格限制的技术供应商，长期成长评分因此高于短期，但财务和下行评分仍偏谨慎。</w:t>
      </w:r>
    </w:p>
    <w:p>
      <w:pPr>
        <w:pStyle w:val="Normal"/>
        <w:rPr/>
      </w:pPr>
      <w:r>
        <w:rPr/>
        <w:t>海外政策影响核技术相关供应的审批、运输、客户质量与贸易安排。美国</w:t>
      </w:r>
      <w:r>
        <w:rPr/>
        <w:t>DMF</w:t>
      </w:r>
      <w:r>
        <w:rPr/>
        <w:t>激活提升资料可引用性，却不能替代进口端合规和商业合同。核素涉及运输窗口、危化与放射安全等要求，受天气、航运和监管变化影响。研究不把海外政策假设成必然开放，也不把国有背景假设成必然限制全部业务。可投资价值应由每个产品实际资格和订单确认。若外部监管强化导致客户验证延迟，基准海外增长应下调，同时检查库存与产能是否能够转向国内客户。</w:t>
      </w:r>
    </w:p>
    <w:p>
      <w:pPr>
        <w:pStyle w:val="Normal"/>
        <w:rPr/>
      </w:pPr>
      <w:r>
        <w:rPr/>
        <w:t>辐照与工业检测还受到制造活动的影响。医疗、食品、工业客户的产量变化，会影响灭菌和检测使用量；新材料扩张则有研发、认证和客户导入周期。核技术行业大方向向上不能隔绝公司对经济周期的暴露。经济弱时，稳定核药供应可能提供韧性，设备和工程项目却易延后；经济恢复时，设备验收和工业使用一起改善。模型因此分部设收入与毛利，避免用统一宏观增长率机械放大全部业务，也避免成熟诊断和周期装备获得相同估值逻辑。</w:t>
      </w:r>
    </w:p>
    <w:p>
      <w:pPr>
        <w:pStyle w:val="Heading2"/>
        <w:rPr/>
      </w:pPr>
      <w:r>
        <w:rPr>
          <w:color w:val="000000"/>
        </w:rPr>
        <w:t>历史财务 准则变化与利润质量</w:t>
      </w:r>
    </w:p>
    <w:p>
      <w:pPr>
        <w:pStyle w:val="Normal"/>
        <w:rPr/>
      </w:pPr>
      <w:r>
        <w:rPr/>
        <w:t>五年历史展示的是一家具备经营基础、但归母盈利并非持续直线上升的企业。</w:t>
      </w:r>
      <w:r>
        <w:rPr/>
        <w:t>2021</w:t>
      </w:r>
      <w:r>
        <w:rPr/>
        <w:t>至</w:t>
      </w:r>
      <w:r>
        <w:rPr/>
        <w:t>2025</w:t>
      </w:r>
      <w:r>
        <w:rPr/>
        <w:t>年</w:t>
      </w:r>
      <w:r>
        <w:rPr/>
        <w:t>IFRS</w:t>
      </w:r>
      <w:r>
        <w:rPr/>
        <w:t>收入依次约</w:t>
      </w:r>
      <w:r>
        <w:rPr/>
        <w:t>51.5276</w:t>
      </w:r>
      <w:r>
        <w:rPr/>
        <w:t>、</w:t>
      </w:r>
      <w:r>
        <w:rPr/>
        <w:t>61.5355</w:t>
      </w:r>
      <w:r>
        <w:rPr/>
        <w:t>、</w:t>
      </w:r>
      <w:r>
        <w:rPr/>
        <w:t>66.3499</w:t>
      </w:r>
      <w:r>
        <w:rPr/>
        <w:t>、</w:t>
      </w:r>
      <w:r>
        <w:rPr/>
        <w:t>75.7476</w:t>
      </w:r>
      <w:r>
        <w:rPr/>
        <w:t>和</w:t>
      </w:r>
      <w:r>
        <w:rPr/>
        <w:t>71.8766</w:t>
      </w:r>
      <w:r>
        <w:rPr/>
        <w:t>亿元；归母利润约</w:t>
      </w:r>
      <w:r>
        <w:rPr/>
        <w:t>3.3612</w:t>
      </w:r>
      <w:r>
        <w:rPr/>
        <w:t>、</w:t>
      </w:r>
      <w:r>
        <w:rPr/>
        <w:t>3.9228</w:t>
      </w:r>
      <w:r>
        <w:rPr/>
        <w:t>、</w:t>
      </w:r>
      <w:r>
        <w:rPr/>
        <w:t>3.7097</w:t>
      </w:r>
      <w:r>
        <w:rPr/>
        <w:t>、</w:t>
      </w:r>
      <w:r>
        <w:rPr/>
        <w:t>4.0665</w:t>
      </w:r>
      <w:r>
        <w:rPr/>
        <w:t>和</w:t>
      </w:r>
      <w:r>
        <w:rPr/>
        <w:t>3.2743</w:t>
      </w:r>
      <w:r>
        <w:rPr/>
        <w:t>亿元。收入规模四年扩张明显，归母利润仍低于</w:t>
      </w:r>
      <w:r>
        <w:rPr/>
        <w:t>2021</w:t>
      </w:r>
      <w:r>
        <w:rPr/>
        <w:t>水平，说明投资者不能只看收入复合增长。业务组合、研发、费用、少数权益、税及融资决定收益归属。</w:t>
      </w:r>
      <w:r>
        <w:rPr/>
        <w:t>2025</w:t>
      </w:r>
      <w:r>
        <w:rPr/>
        <w:t>年收入下降</w:t>
      </w:r>
      <w:r>
        <w:rPr/>
        <w:t>5.1%</w:t>
      </w:r>
      <w:r>
        <w:rPr/>
        <w:t>、归母下降</w:t>
      </w:r>
      <w:r>
        <w:rPr/>
        <w:t>19.5%</w:t>
      </w:r>
      <w:r>
        <w:rPr/>
        <w:t>，并非高增长背景下可以完全忽略的一年。</w:t>
      </w:r>
    </w:p>
    <w:p>
      <w:pPr>
        <w:pStyle w:val="Normal"/>
        <w:rPr/>
      </w:pPr>
      <w:r>
        <w:rPr/>
        <w:t>2025</w:t>
      </w:r>
      <w:r>
        <w:rPr/>
        <w:t>年毛利</w:t>
      </w:r>
      <w:r>
        <w:rPr/>
        <w:t>36.2160</w:t>
      </w:r>
      <w:r>
        <w:rPr/>
        <w:t>亿元、毛利率约</w:t>
      </w:r>
      <w:r>
        <w:rPr/>
        <w:t>50.39%</w:t>
      </w:r>
      <w:r>
        <w:rPr/>
        <w:t>，较</w:t>
      </w:r>
      <w:r>
        <w:rPr/>
        <w:t>2024</w:t>
      </w:r>
      <w:r>
        <w:rPr/>
        <w:t>年毛利额下降较小。销售及分销费用从</w:t>
      </w:r>
      <w:r>
        <w:rPr/>
        <w:t>16.2362</w:t>
      </w:r>
      <w:r>
        <w:rPr/>
        <w:t>亿元降至</w:t>
      </w:r>
      <w:r>
        <w:rPr/>
        <w:t>14.4925</w:t>
      </w:r>
      <w:r>
        <w:rPr/>
        <w:t>亿元，体现销售模式和政策优化；行政费用却从</w:t>
      </w:r>
      <w:r>
        <w:rPr/>
        <w:t>7.0452</w:t>
      </w:r>
      <w:r>
        <w:rPr/>
        <w:t>亿元升至</w:t>
      </w:r>
      <w:r>
        <w:rPr/>
        <w:t>8.7981</w:t>
      </w:r>
      <w:r>
        <w:rPr/>
        <w:t>亿元，研发约</w:t>
      </w:r>
      <w:r>
        <w:rPr/>
        <w:t>3.0192</w:t>
      </w:r>
      <w:r>
        <w:rPr/>
        <w:t>亿元。经营利润</w:t>
      </w:r>
      <w:r>
        <w:rPr/>
        <w:t>10.5859</w:t>
      </w:r>
      <w:r>
        <w:rPr/>
        <w:t>亿元，税前</w:t>
      </w:r>
      <w:r>
        <w:rPr/>
        <w:t>10.0412</w:t>
      </w:r>
      <w:r>
        <w:rPr/>
        <w:t>亿元，净利润</w:t>
      </w:r>
      <w:r>
        <w:rPr/>
        <w:t>6.6454</w:t>
      </w:r>
      <w:r>
        <w:rPr/>
        <w:t>亿元，归母</w:t>
      </w:r>
      <w:r>
        <w:rPr/>
        <w:t>3.2743</w:t>
      </w:r>
      <w:r>
        <w:rPr/>
        <w:t>亿元。经营端并未与净利润同比同幅下降，税费影响和利益归属是重要原因。反过来，即使税恢复，若经营改善不足，也不能依靠“异常消除”永久维持高成长预期。</w:t>
      </w:r>
    </w:p>
    <w:p>
      <w:pPr>
        <w:pStyle w:val="Normal"/>
        <w:rPr/>
      </w:pPr>
      <w:r>
        <w:rPr/>
        <w:t>年报称扣除子公司补缴税费及滞纳金影响后归母为</w:t>
      </w:r>
      <w:r>
        <w:rPr/>
        <w:t>4.574</w:t>
      </w:r>
      <w:r>
        <w:rPr/>
        <w:t>亿元，同比增长</w:t>
      </w:r>
      <w:r>
        <w:rPr/>
        <w:t>12.5%</w:t>
      </w:r>
      <w:r>
        <w:rPr/>
        <w:t>。这是一项管理层正常化口径，本文用于交叉参考，不冒充审计列报利润，也不把差额简单当作唯一现金费用。所得税附注列本年即期税</w:t>
      </w:r>
      <w:r>
        <w:rPr/>
        <w:t>2.11084</w:t>
      </w:r>
      <w:r>
        <w:rPr/>
        <w:t>亿元、以前年度拨备不足</w:t>
      </w:r>
      <w:r>
        <w:rPr/>
        <w:t>1.88507</w:t>
      </w:r>
      <w:r>
        <w:rPr/>
        <w:t>亿元、递延税收益</w:t>
      </w:r>
      <w:r>
        <w:rPr/>
        <w:t>0.60011</w:t>
      </w:r>
      <w:r>
        <w:rPr/>
        <w:t>亿元，总税费</w:t>
      </w:r>
      <w:r>
        <w:rPr/>
        <w:t>3.39580</w:t>
      </w:r>
      <w:r>
        <w:rPr/>
        <w:t>亿元。管理层正常化归母与报告归母相差约</w:t>
      </w:r>
      <w:r>
        <w:rPr/>
        <w:t>1.29975</w:t>
      </w:r>
      <w:r>
        <w:rPr/>
        <w:t>亿元，少数、滞纳金位置和税调整共同影响，不能直接把全部集团补税加回母利润。</w:t>
      </w:r>
    </w:p>
    <w:p>
      <w:pPr>
        <w:pStyle w:val="Normal"/>
        <w:rPr/>
      </w:pPr>
      <w:r>
        <w:rPr/>
        <w:t>税务对账进一步说明统一</w:t>
      </w:r>
      <w:r>
        <w:rPr/>
        <w:t>15%</w:t>
      </w:r>
      <w:r>
        <w:rPr/>
        <w:t>税率不适用全集团。</w:t>
      </w:r>
      <w:r>
        <w:rPr/>
        <w:t>2025</w:t>
      </w:r>
      <w:r>
        <w:rPr/>
        <w:t>年按法定</w:t>
      </w:r>
      <w:r>
        <w:rPr/>
        <w:t>25%</w:t>
      </w:r>
      <w:r>
        <w:rPr/>
        <w:t>计算名义税</w:t>
      </w:r>
      <w:r>
        <w:rPr/>
        <w:t>2.51031</w:t>
      </w:r>
      <w:r>
        <w:rPr/>
        <w:t>亿元，另有不可扣费用、未确认税亏损、以前年度不足、税收优惠、研发加计扣除与税率改变等调节。高新企业优惠适用有条件、按实体和有效期判断。</w:t>
      </w:r>
      <w:r>
        <w:rPr/>
        <w:t>2026</w:t>
      </w:r>
      <w:r>
        <w:rPr/>
        <w:t>年中报仍列若干企业享有</w:t>
      </w:r>
      <w:r>
        <w:rPr/>
        <w:t>15%</w:t>
      </w:r>
      <w:r>
        <w:rPr/>
        <w:t>，因此不能把</w:t>
      </w:r>
      <w:r>
        <w:rPr/>
        <w:t>2025</w:t>
      </w:r>
      <w:r>
        <w:rPr/>
        <w:t>补税叙事写成所有高新资格永久取消；也不能从存在</w:t>
      </w:r>
      <w:r>
        <w:rPr/>
        <w:t>15%</w:t>
      </w:r>
      <w:r>
        <w:rPr/>
        <w:t>优惠推导集团所有利润按</w:t>
      </w:r>
      <w:r>
        <w:rPr/>
        <w:t>15%</w:t>
      </w:r>
      <w:r>
        <w:rPr/>
        <w:t>缴税。模型把经营税率和额外税调分别保留以便审查。</w:t>
      </w:r>
    </w:p>
    <w:p>
      <w:pPr>
        <w:pStyle w:val="Normal"/>
        <w:rPr/>
      </w:pPr>
      <w:r>
        <w:rPr/>
        <w:t>2026</w:t>
      </w:r>
      <w:r>
        <w:rPr/>
        <w:t>年</w:t>
      </w:r>
      <w:r>
        <w:rPr/>
        <w:t>6</w:t>
      </w:r>
      <w:r>
        <w:rPr/>
        <w:t>月</w:t>
      </w:r>
      <w:r>
        <w:rPr/>
        <w:t>18</w:t>
      </w:r>
      <w:r>
        <w:rPr/>
        <w:t>日股东会批准自</w:t>
      </w:r>
      <w:r>
        <w:rPr/>
        <w:t>2026</w:t>
      </w:r>
      <w:r>
        <w:rPr/>
        <w:t>年中期起使用中国企业会计准则及相关规定。</w:t>
      </w:r>
      <w:r>
        <w:rPr/>
        <w:t>2025</w:t>
      </w:r>
      <w:r>
        <w:rPr/>
        <w:t>年同期财务已重列：营业收入</w:t>
      </w:r>
      <w:r>
        <w:rPr/>
        <w:t>28.67898</w:t>
      </w:r>
      <w:r>
        <w:rPr/>
        <w:t>亿元，旧</w:t>
      </w:r>
      <w:r>
        <w:rPr/>
        <w:t>IFRS</w:t>
      </w:r>
      <w:r>
        <w:rPr/>
        <w:t>口径约</w:t>
      </w:r>
      <w:r>
        <w:rPr/>
        <w:t>28.5776</w:t>
      </w:r>
      <w:r>
        <w:rPr/>
        <w:t>亿元，主要差异来自其他业务活动收入呈列；总净利润</w:t>
      </w:r>
      <w:r>
        <w:rPr/>
        <w:t>3.25226</w:t>
      </w:r>
      <w:r>
        <w:rPr/>
        <w:t>亿元，旧口径约</w:t>
      </w:r>
      <w:r>
        <w:rPr/>
        <w:t>3.4104</w:t>
      </w:r>
      <w:r>
        <w:rPr/>
        <w:t>亿元，主要与安全生产费用确认不同。两套准则总体趋同不意味着可以不作任何桥接。安全生产费用是核技术经营的必要约束，不应因为改变确认方式便在所有预测中删除。本文的历史</w:t>
      </w:r>
      <w:r>
        <w:rPr/>
        <w:t>IFRS</w:t>
      </w:r>
      <w:r>
        <w:rPr/>
        <w:t>与现行</w:t>
      </w:r>
      <w:r>
        <w:rPr/>
        <w:t>CASBE</w:t>
      </w:r>
      <w:r>
        <w:rPr/>
        <w:t>分别标识。</w:t>
      </w:r>
    </w:p>
    <w:p>
      <w:pPr>
        <w:pStyle w:val="Normal"/>
        <w:rPr/>
      </w:pPr>
      <w:r>
        <w:rPr/>
        <w:t>当前没有取得完整同口径的</w:t>
      </w:r>
      <w:r>
        <w:rPr/>
        <w:t>2025</w:t>
      </w:r>
      <w:r>
        <w:rPr/>
        <w:t>全年</w:t>
      </w:r>
      <w:r>
        <w:rPr/>
        <w:t>CASBE</w:t>
      </w:r>
      <w:r>
        <w:rPr/>
        <w:t>损益原子，因此本文不计算声称精确的同口径滚动十二个月利润。若用</w:t>
      </w:r>
      <w:r>
        <w:rPr/>
        <w:t>2025</w:t>
      </w:r>
      <w:r>
        <w:rPr/>
        <w:t>全年</w:t>
      </w:r>
      <w:r>
        <w:rPr/>
        <w:t>IFRS</w:t>
      </w:r>
      <w:r>
        <w:rPr/>
        <w:t>加</w:t>
      </w:r>
      <w:r>
        <w:rPr/>
        <w:t>2026</w:t>
      </w:r>
      <w:r>
        <w:rPr/>
        <w:t>上半年</w:t>
      </w:r>
      <w:r>
        <w:rPr/>
        <w:t>CASBE</w:t>
      </w:r>
      <w:r>
        <w:rPr/>
        <w:t>，再减旧</w:t>
      </w:r>
      <w:r>
        <w:rPr/>
        <w:t>IFRS2025</w:t>
      </w:r>
      <w:r>
        <w:rPr/>
        <w:t>上半年，所得值混合政策和呈列，难以解释。可以使用独立年度报告</w:t>
      </w:r>
      <w:r>
        <w:rPr/>
        <w:t>PE</w:t>
      </w:r>
      <w:r>
        <w:rPr/>
        <w:t>、上半年简单年化参考，以及清晰定义的正常前瞻模型，但必须说明限制。同比比较使用中报重列</w:t>
      </w:r>
      <w:r>
        <w:rPr/>
        <w:t>CASBE</w:t>
      </w:r>
      <w:r>
        <w:rPr/>
        <w:t>，避免把准则变化当作利润改善。后续取得全年重列时，应重新计算历史桥并检查总表参考估值。</w:t>
      </w:r>
    </w:p>
    <w:p>
      <w:pPr>
        <w:pStyle w:val="Normal"/>
        <w:rPr/>
      </w:pPr>
      <w:r>
        <w:rPr/>
        <w:t>2026</w:t>
      </w:r>
      <w:r>
        <w:rPr/>
        <w:t>上半年收入增长</w:t>
      </w:r>
      <w:r>
        <w:rPr/>
        <w:t>4.4%</w:t>
      </w:r>
      <w:r>
        <w:rPr/>
        <w:t>，毛利</w:t>
      </w:r>
      <w:r>
        <w:rPr/>
        <w:t>14.8010</w:t>
      </w:r>
      <w:r>
        <w:rPr/>
        <w:t>亿元比重列去年</w:t>
      </w:r>
      <w:r>
        <w:rPr/>
        <w:t>14.8272</w:t>
      </w:r>
      <w:r>
        <w:rPr/>
        <w:t>亿元略降约</w:t>
      </w:r>
      <w:r>
        <w:rPr/>
        <w:t>0.18%</w:t>
      </w:r>
      <w:r>
        <w:rPr/>
        <w:t>，毛利率</w:t>
      </w:r>
      <w:r>
        <w:rPr/>
        <w:t>49.4%</w:t>
      </w:r>
      <w:r>
        <w:rPr/>
        <w:t>低于</w:t>
      </w:r>
      <w:r>
        <w:rPr/>
        <w:t>51.7%</w:t>
      </w:r>
      <w:r>
        <w:rPr/>
        <w:t>。经营利润</w:t>
      </w:r>
      <w:r>
        <w:rPr/>
        <w:t>4.6349</w:t>
      </w:r>
      <w:r>
        <w:rPr/>
        <w:t>亿元同比增长约</w:t>
      </w:r>
      <w:r>
        <w:rPr/>
        <w:t>11.3%</w:t>
      </w:r>
      <w:r>
        <w:rPr/>
        <w:t>，税前</w:t>
      </w:r>
      <w:r>
        <w:rPr/>
        <w:t>4.6244</w:t>
      </w:r>
      <w:r>
        <w:rPr/>
        <w:t>亿元，总净</w:t>
      </w:r>
      <w:r>
        <w:rPr/>
        <w:t>3.3217</w:t>
      </w:r>
      <w:r>
        <w:rPr/>
        <w:t>亿元同比增约</w:t>
      </w:r>
      <w:r>
        <w:rPr/>
        <w:t>2.1%</w:t>
      </w:r>
      <w:r>
        <w:rPr/>
        <w:t>，归母</w:t>
      </w:r>
      <w:r>
        <w:rPr/>
        <w:t>1.5899</w:t>
      </w:r>
      <w:r>
        <w:rPr/>
        <w:t>亿元同比降约</w:t>
      </w:r>
      <w:r>
        <w:rPr/>
        <w:t>1.2%</w:t>
      </w:r>
      <w:r>
        <w:rPr/>
        <w:t>。这组数据说明费用效率在改善，但收入增长没有传到毛利增长，税和少数又使母收益更弱。若只选经营利润增速或三项主营合计</w:t>
      </w:r>
      <w:r>
        <w:rPr/>
        <w:t>11.2%</w:t>
      </w:r>
      <w:r>
        <w:rPr/>
        <w:t>的增速作为投资结论，会遗漏公司真正供普通股股东获得的盈利结果。</w:t>
      </w:r>
    </w:p>
    <w:p>
      <w:pPr>
        <w:pStyle w:val="Normal"/>
        <w:rPr/>
      </w:pPr>
      <w:r>
        <w:rPr/>
        <w:t>中报披露归母下降与汇算清缴调增、其他业务结构调整及国际业务汇兑损失有关。上半年所得税</w:t>
      </w:r>
      <w:r>
        <w:rPr/>
        <w:t>1.3026</w:t>
      </w:r>
      <w:r>
        <w:rPr/>
        <w:t>亿元，占税前约</w:t>
      </w:r>
      <w:r>
        <w:rPr/>
        <w:t>28.17%</w:t>
      </w:r>
      <w:r>
        <w:rPr/>
        <w:t>，明显高于法定</w:t>
      </w:r>
      <w:r>
        <w:rPr/>
        <w:t>15%</w:t>
      </w:r>
      <w:r>
        <w:rPr/>
        <w:t>优惠数字，也高于一些成熟行业正常有效税。半年的汇算时点可能使税率不具全年代表性，但研究不能在没有证据时把所有税费立即减回。基准模型</w:t>
      </w:r>
      <w:r>
        <w:rPr/>
        <w:t>2027</w:t>
      </w:r>
      <w:r>
        <w:rPr/>
        <w:t>经营税率</w:t>
      </w:r>
      <w:r>
        <w:rPr/>
        <w:t>23%</w:t>
      </w:r>
      <w:r>
        <w:rPr/>
        <w:t>加</w:t>
      </w:r>
      <w:r>
        <w:rPr/>
        <w:t>0.25</w:t>
      </w:r>
      <w:r>
        <w:rPr/>
        <w:t>亿元税调整，悲观更高、乐观较低。这些是保守程度可审查的判断，不是声称公司已经指导未来税率。</w:t>
      </w:r>
    </w:p>
    <w:p>
      <w:pPr>
        <w:pStyle w:val="Normal"/>
        <w:rPr/>
      </w:pPr>
      <w:r>
        <w:rPr/>
        <w:t>上半年费用中销售</w:t>
      </w:r>
      <w:r>
        <w:rPr/>
        <w:t>5.2830</w:t>
      </w:r>
      <w:r>
        <w:rPr/>
        <w:t>亿元、行政</w:t>
      </w:r>
      <w:r>
        <w:rPr/>
        <w:t>2.8987</w:t>
      </w:r>
      <w:r>
        <w:rPr/>
        <w:t>亿元、研发</w:t>
      </w:r>
      <w:r>
        <w:rPr/>
        <w:t>1.2967</w:t>
      </w:r>
      <w:r>
        <w:rPr/>
        <w:t>亿元、营业税金及附加</w:t>
      </w:r>
      <w:r>
        <w:rPr/>
        <w:t>0.3429</w:t>
      </w:r>
      <w:r>
        <w:rPr/>
        <w:t>亿元、净财务费用</w:t>
      </w:r>
      <w:r>
        <w:rPr/>
        <w:t>0.3759</w:t>
      </w:r>
      <w:r>
        <w:rPr/>
        <w:t>亿元。投资收益</w:t>
      </w:r>
      <w:r>
        <w:rPr/>
        <w:t>0.1465</w:t>
      </w:r>
      <w:r>
        <w:rPr/>
        <w:t>亿元，其中权益法</w:t>
      </w:r>
      <w:r>
        <w:rPr/>
        <w:t>0.0634</w:t>
      </w:r>
      <w:r>
        <w:rPr/>
        <w:t>亿元；其他收益</w:t>
      </w:r>
      <w:r>
        <w:rPr/>
        <w:t>0.1909</w:t>
      </w:r>
      <w:r>
        <w:rPr/>
        <w:t>亿元，信用减值</w:t>
      </w:r>
      <w:r>
        <w:rPr/>
        <w:t>0.2269</w:t>
      </w:r>
      <w:r>
        <w:rPr/>
        <w:t>亿元、资产减值</w:t>
      </w:r>
      <w:r>
        <w:rPr/>
        <w:t>0.0794</w:t>
      </w:r>
      <w:r>
        <w:rPr/>
        <w:t>亿元。集团正常业务仍能产生利润，信用和资产损失却不是可永久归零的“非经常性”。应收规模大、在研开发资产与设备产能占用增加，预测中保留减值，比只用收入乘理想净利率更能反映资本质量。</w:t>
      </w:r>
    </w:p>
    <w:p>
      <w:pPr>
        <w:pStyle w:val="Normal"/>
        <w:rPr/>
      </w:pPr>
      <w:r>
        <w:rPr/>
        <w:t>资本化开发支出期末</w:t>
      </w:r>
      <w:r>
        <w:rPr/>
        <w:t>2.9514</w:t>
      </w:r>
      <w:r>
        <w:rPr/>
        <w:t>亿元，期初</w:t>
      </w:r>
      <w:r>
        <w:rPr/>
        <w:t>2.6511</w:t>
      </w:r>
      <w:r>
        <w:rPr/>
        <w:t>亿元。会计政策说明药物研究阶段费用化，满足条件的开发阶段资本化，通常获得</w:t>
      </w:r>
      <w:r>
        <w:rPr/>
        <w:t>III</w:t>
      </w:r>
      <w:r>
        <w:rPr/>
        <w:t>期试验批准时符合相关条件。资本化不代表研发风险消失，也不是</w:t>
      </w:r>
      <w:r>
        <w:rPr/>
        <w:t>III</w:t>
      </w:r>
      <w:r>
        <w:rPr/>
        <w:t>期成功保证。当项目继续研发，损益中看到的研发费用小于总资源投入；上市后可能转为无形资产摊销，失败则减值。中报未提供逐项目完整现金成本与成功结果，本模型保留研发费用并在资产损失中反映风险，本文不把资本化余额当成等额可收回现金。</w:t>
      </w:r>
    </w:p>
    <w:p>
      <w:pPr>
        <w:pStyle w:val="Heading2"/>
        <w:rPr/>
      </w:pPr>
      <w:r>
        <w:rPr>
          <w:color w:val="000000"/>
        </w:rPr>
        <w:t>现金流 资产负债与母公司融资</w:t>
      </w:r>
    </w:p>
    <w:p>
      <w:pPr>
        <w:pStyle w:val="Normal"/>
        <w:rPr/>
      </w:pPr>
      <w:r>
        <w:rPr/>
        <w:t>上半年集团经营现金净额</w:t>
      </w:r>
      <w:r>
        <w:rPr/>
        <w:t>0.6493</w:t>
      </w:r>
      <w:r>
        <w:rPr/>
        <w:t>亿元，虽然比去年重列负</w:t>
      </w:r>
      <w:r>
        <w:rPr/>
        <w:t>1.8234</w:t>
      </w:r>
      <w:r>
        <w:rPr/>
        <w:t>亿元改善，但只相当于集团净利润约</w:t>
      </w:r>
      <w:r>
        <w:rPr/>
        <w:t>19.54%</w:t>
      </w:r>
      <w:r>
        <w:rPr/>
        <w:t>。购买固定、无形和其他长期资产现金</w:t>
      </w:r>
      <w:r>
        <w:rPr/>
        <w:t>2.1442</w:t>
      </w:r>
      <w:r>
        <w:rPr/>
        <w:t>亿元，简单自由现金为负</w:t>
      </w:r>
      <w:r>
        <w:rPr/>
        <w:t>1.4950</w:t>
      </w:r>
      <w:r>
        <w:rPr/>
        <w:t>亿元，尚未扣净收购现金</w:t>
      </w:r>
      <w:r>
        <w:rPr/>
        <w:t>0.4124</w:t>
      </w:r>
      <w:r>
        <w:rPr/>
        <w:t>亿元。管理层资本开支</w:t>
      </w:r>
      <w:r>
        <w:rPr/>
        <w:t>2.4578</w:t>
      </w:r>
      <w:r>
        <w:rPr/>
        <w:t>亿元属于资产新增口径，与现金流支付并不相同，不能在现金桥中两个都扣。集团收入和利润仍增长，而现金不足以覆盖产线与资产投入，说明资本密度和回款是中长期推荐必须持续观察的变量。</w:t>
      </w:r>
    </w:p>
    <w:p>
      <w:pPr>
        <w:pStyle w:val="Normal"/>
        <w:rPr/>
      </w:pPr>
      <w:r>
        <w:rPr/>
        <w:t>现金变动可以完整勾稽：年初现金等价物</w:t>
      </w:r>
      <w:r>
        <w:rPr/>
        <w:t>24.7058</w:t>
      </w:r>
      <w:r>
        <w:rPr/>
        <w:t>亿元，加经营</w:t>
      </w:r>
      <w:r>
        <w:rPr/>
        <w:t>0.6493</w:t>
      </w:r>
      <w:r>
        <w:rPr/>
        <w:t>亿元，减投资净</w:t>
      </w:r>
      <w:r>
        <w:rPr/>
        <w:t>1.4090</w:t>
      </w:r>
      <w:r>
        <w:rPr/>
        <w:t>亿元，加融资净</w:t>
      </w:r>
      <w:r>
        <w:rPr/>
        <w:t>1.4578</w:t>
      </w:r>
      <w:r>
        <w:rPr/>
        <w:t>亿元，再加汇率</w:t>
      </w:r>
      <w:r>
        <w:rPr/>
        <w:t>0.0055</w:t>
      </w:r>
      <w:r>
        <w:rPr/>
        <w:t>亿元，期末</w:t>
      </w:r>
      <w:r>
        <w:rPr/>
        <w:t>25.4094</w:t>
      </w:r>
      <w:r>
        <w:rPr/>
        <w:t>亿元。总现金略增，不能被单独解释为经营已大幅改善，因为融资现金为正且超过经营现金。新增借款</w:t>
      </w:r>
      <w:r>
        <w:rPr/>
        <w:t>5.8706</w:t>
      </w:r>
      <w:r>
        <w:rPr/>
        <w:t>亿元、偿还</w:t>
      </w:r>
      <w:r>
        <w:rPr/>
        <w:t>4.0622</w:t>
      </w:r>
      <w:r>
        <w:rPr/>
        <w:t>亿元，借款净流入帮助覆盖投资。集团仍有较多货币资金，但其增长来源必须与利润质量分开；若以后融资趋紧而回款没有改善，现金余额可以迅速承压。</w:t>
      </w:r>
    </w:p>
    <w:p>
      <w:pPr>
        <w:pStyle w:val="Normal"/>
        <w:rPr/>
      </w:pPr>
      <w:r>
        <w:rPr/>
        <w:t>应收账款账面净值</w:t>
      </w:r>
      <w:r>
        <w:rPr/>
        <w:t>46.9658</w:t>
      </w:r>
      <w:r>
        <w:rPr/>
        <w:t>亿元，比上半年收入</w:t>
      </w:r>
      <w:r>
        <w:rPr/>
        <w:t>29.9383</w:t>
      </w:r>
      <w:r>
        <w:rPr/>
        <w:t>亿元高。账面原额</w:t>
      </w:r>
      <w:r>
        <w:rPr/>
        <w:t>49.7986</w:t>
      </w:r>
      <w:r>
        <w:rPr/>
        <w:t>亿元，坏账准备</w:t>
      </w:r>
      <w:r>
        <w:rPr/>
        <w:t>2.8329</w:t>
      </w:r>
      <w:r>
        <w:rPr/>
        <w:t>亿元、总计提率</w:t>
      </w:r>
      <w:r>
        <w:rPr/>
        <w:t>5.69%</w:t>
      </w:r>
      <w:r>
        <w:rPr/>
        <w:t>；一年以内</w:t>
      </w:r>
      <w:r>
        <w:rPr/>
        <w:t>36.9238</w:t>
      </w:r>
      <w:r>
        <w:rPr/>
        <w:t>亿元，一至二年</w:t>
      </w:r>
      <w:r>
        <w:rPr/>
        <w:t>8.7078</w:t>
      </w:r>
      <w:r>
        <w:rPr/>
        <w:t>亿元、二至三年</w:t>
      </w:r>
      <w:r>
        <w:rPr/>
        <w:t>2.1388</w:t>
      </w:r>
      <w:r>
        <w:rPr/>
        <w:t>亿元，三年以上</w:t>
      </w:r>
      <w:r>
        <w:rPr/>
        <w:t>2.0282</w:t>
      </w:r>
      <w:r>
        <w:rPr/>
        <w:t>亿元。超过一年约</w:t>
      </w:r>
      <w:r>
        <w:rPr/>
        <w:t>12.8748</w:t>
      </w:r>
      <w:r>
        <w:rPr/>
        <w:t>亿元，约占毛额</w:t>
      </w:r>
      <w:r>
        <w:rPr/>
        <w:t>25.85%</w:t>
      </w:r>
      <w:r>
        <w:rPr/>
        <w:t>。账龄不是所有逾期、合同付款安排也会影响解释，但金额足以要求严格回款核验。用公立医院客户或央企背景推断全部应收无风险，会忽视医疗预算与支付流程造成的现金延迟。</w:t>
      </w:r>
    </w:p>
    <w:p>
      <w:pPr>
        <w:pStyle w:val="Normal"/>
        <w:rPr/>
      </w:pPr>
      <w:r>
        <w:rPr/>
        <w:t>上半年坏账准备较期初</w:t>
      </w:r>
      <w:r>
        <w:rPr/>
        <w:t>2.6127</w:t>
      </w:r>
      <w:r>
        <w:rPr/>
        <w:t>亿元增加，净应收仍上升。现金流补充表中经营性应收项目变动约流出</w:t>
      </w:r>
      <w:r>
        <w:rPr/>
        <w:t>0.9769</w:t>
      </w:r>
      <w:r>
        <w:rPr/>
        <w:t>亿元，库存变动流出</w:t>
      </w:r>
      <w:r>
        <w:rPr/>
        <w:t>1.8099</w:t>
      </w:r>
      <w:r>
        <w:rPr/>
        <w:t>亿元，经营性应付变动流出</w:t>
      </w:r>
      <w:r>
        <w:rPr/>
        <w:t>1.9617</w:t>
      </w:r>
      <w:r>
        <w:rPr/>
        <w:t>亿元。多个营运资本项目同时用现金，而非仅一个短期采购时点。设备项目需要备货、放射性药品原料需安全库存，扩大规模可能合理增加占用；合理性仍需回到未来回款和周转效率。若收入增长靠延长账期，估值应降低，不能只靠收入增长率提高评分。</w:t>
      </w:r>
    </w:p>
    <w:p>
      <w:pPr>
        <w:pStyle w:val="Normal"/>
        <w:rPr/>
      </w:pPr>
      <w:r>
        <w:rPr/>
        <w:t>期末存货</w:t>
      </w:r>
      <w:r>
        <w:rPr/>
        <w:t>15.2332</w:t>
      </w:r>
      <w:r>
        <w:rPr/>
        <w:t>亿元，在建工程</w:t>
      </w:r>
      <w:r>
        <w:rPr/>
        <w:t>9.1754</w:t>
      </w:r>
      <w:r>
        <w:rPr/>
        <w:t>亿元，固定资产</w:t>
      </w:r>
      <w:r>
        <w:rPr/>
        <w:t>31.6845</w:t>
      </w:r>
      <w:r>
        <w:rPr/>
        <w:t>亿元，无形资产</w:t>
      </w:r>
      <w:r>
        <w:rPr/>
        <w:t>5.3185</w:t>
      </w:r>
      <w:r>
        <w:rPr/>
        <w:t>亿元。生产和设备项目需要这些资产，长期回报依赖产能使用和订单。新基地取得辐射安全许可证、完成建设可降低投产障碍，但也让折旧和维护成本逐步进入经营。投资者需关注新增资产与新增毛利的比率，检查是否有工程长期停留在在建、存货积压或采购先于订单。公司</w:t>
      </w:r>
      <w:r>
        <w:rPr/>
        <w:t>2025</w:t>
      </w:r>
      <w:r>
        <w:rPr/>
        <w:t>年存货经营现金流出</w:t>
      </w:r>
      <w:r>
        <w:rPr/>
        <w:t>6.0628</w:t>
      </w:r>
      <w:r>
        <w:rPr/>
        <w:t>亿元，</w:t>
      </w:r>
      <w:r>
        <w:rPr/>
        <w:t>2026</w:t>
      </w:r>
      <w:r>
        <w:rPr/>
        <w:t>上半年继续流出，库存释放仍未充分证明。</w:t>
      </w:r>
    </w:p>
    <w:p>
      <w:pPr>
        <w:pStyle w:val="Normal"/>
        <w:rPr/>
      </w:pPr>
      <w:r>
        <w:rPr/>
        <w:t>集团货币资金</w:t>
      </w:r>
      <w:r>
        <w:rPr/>
        <w:t>25.5358</w:t>
      </w:r>
      <w:r>
        <w:rPr/>
        <w:t>亿元，其中受限资金</w:t>
      </w:r>
      <w:r>
        <w:rPr/>
        <w:t>0.1264</w:t>
      </w:r>
      <w:r>
        <w:rPr/>
        <w:t>亿元，现金等价物</w:t>
      </w:r>
      <w:r>
        <w:rPr/>
        <w:t>25.4094</w:t>
      </w:r>
      <w:r>
        <w:rPr/>
        <w:t>亿元。标准计息债口径包含银行及其他借款约</w:t>
      </w:r>
      <w:r>
        <w:rPr/>
        <w:t>23.4829</w:t>
      </w:r>
      <w:r>
        <w:rPr/>
        <w:t>亿元、债券账面</w:t>
      </w:r>
      <w:r>
        <w:rPr/>
        <w:t>4.9966</w:t>
      </w:r>
      <w:r>
        <w:rPr/>
        <w:t>亿元、租赁约</w:t>
      </w:r>
      <w:r>
        <w:rPr/>
        <w:t>0.7221</w:t>
      </w:r>
      <w:r>
        <w:rPr/>
        <w:t>亿元，减现金约为净债</w:t>
      </w:r>
      <w:r>
        <w:rPr/>
        <w:t>3.7922</w:t>
      </w:r>
      <w:r>
        <w:rPr/>
        <w:t>亿元。公司管理披露银行借款与中核财务贷款的组合，其中</w:t>
      </w:r>
      <w:r>
        <w:rPr/>
        <w:t>2.9138</w:t>
      </w:r>
      <w:r>
        <w:rPr/>
        <w:t>亿元中核财务为总借款子集，不能再加一次。当前净债不高于集团权益，但现金地点和少数归属限制可动用程度。本文集团</w:t>
      </w:r>
      <w:r>
        <w:rPr/>
        <w:t>PE</w:t>
      </w:r>
      <w:r>
        <w:rPr/>
        <w:t>已经包含融资成本，未再扣同一净债以免重复。</w:t>
      </w:r>
    </w:p>
    <w:p>
      <w:pPr>
        <w:pStyle w:val="Normal"/>
        <w:rPr/>
      </w:pPr>
      <w:r>
        <w:rPr/>
        <w:t>中报管理层使用的“调整净杠杆”</w:t>
      </w:r>
      <w:r>
        <w:rPr/>
        <w:t>35.6%</w:t>
      </w:r>
      <w:r>
        <w:rPr/>
        <w:t>有自定义分母和股息处理，不能与普通净债除权益直接比较。普通股研究需要自己列出现金、融资债、租赁、受限项目以及母子公司归属，再判断流动性。债券</w:t>
      </w:r>
      <w:r>
        <w:rPr/>
        <w:t>2024</w:t>
      </w:r>
      <w:r>
        <w:rPr/>
        <w:t>发行</w:t>
      </w:r>
      <w:r>
        <w:rPr/>
        <w:t>5</w:t>
      </w:r>
      <w:r>
        <w:rPr/>
        <w:t>亿元、票息</w:t>
      </w:r>
      <w:r>
        <w:rPr/>
        <w:t>2.25%</w:t>
      </w:r>
      <w:r>
        <w:rPr/>
        <w:t>、</w:t>
      </w:r>
      <w:r>
        <w:rPr/>
        <w:t>2027</w:t>
      </w:r>
      <w:r>
        <w:rPr/>
        <w:t>到期，对一年内融资安排形成具体节点。当前应付债券利息</w:t>
      </w:r>
      <w:r>
        <w:rPr/>
        <w:t>0.0794</w:t>
      </w:r>
      <w:r>
        <w:rPr/>
        <w:t>亿元是利息项目，不是又一份</w:t>
      </w:r>
      <w:r>
        <w:rPr/>
        <w:t>5</w:t>
      </w:r>
      <w:r>
        <w:rPr/>
        <w:t>亿元本金。若公司用新贷款偿付到期债，可使现金表平稳，但不是债务消失，也会影响后续利息和财务条件。</w:t>
      </w:r>
    </w:p>
    <w:p>
      <w:pPr>
        <w:pStyle w:val="Normal"/>
        <w:rPr/>
      </w:pPr>
      <w:r>
        <w:rPr/>
        <w:t>母公司现金尤其值得单列。上半年母公司现金等价物仅</w:t>
      </w:r>
      <w:r>
        <w:rPr/>
        <w:t>3.1440</w:t>
      </w:r>
      <w:r>
        <w:rPr/>
        <w:t>亿元，货币资金</w:t>
      </w:r>
      <w:r>
        <w:rPr/>
        <w:t>3.1528</w:t>
      </w:r>
      <w:r>
        <w:rPr/>
        <w:t>亿元，明显小于集团</w:t>
      </w:r>
      <w:r>
        <w:rPr/>
        <w:t>25.4094</w:t>
      </w:r>
      <w:r>
        <w:rPr/>
        <w:t>亿元；母经营现金净额</w:t>
      </w:r>
      <w:r>
        <w:rPr/>
        <w:t>0.3246</w:t>
      </w:r>
      <w:r>
        <w:rPr/>
        <w:t>亿元，取得投资收益现金</w:t>
      </w:r>
      <w:r>
        <w:rPr/>
        <w:t>0.4348</w:t>
      </w:r>
      <w:r>
        <w:rPr/>
        <w:t>亿元，股利应收余额</w:t>
      </w:r>
      <w:r>
        <w:rPr/>
        <w:t>2.7085</w:t>
      </w:r>
      <w:r>
        <w:rPr/>
        <w:t>亿元。子公司利润有账面权益法或合并归属，不等于已上划现金。母层面还承受短借</w:t>
      </w:r>
      <w:r>
        <w:rPr/>
        <w:t>1.4247</w:t>
      </w:r>
      <w:r>
        <w:rPr/>
        <w:t>亿元、长借</w:t>
      </w:r>
      <w:r>
        <w:rPr/>
        <w:t>2</w:t>
      </w:r>
      <w:r>
        <w:rPr/>
        <w:t>亿元和债券</w:t>
      </w:r>
      <w:r>
        <w:rPr/>
        <w:t>4.9966</w:t>
      </w:r>
      <w:r>
        <w:rPr/>
        <w:t>亿元。上市母公司可以依赖子公司分红及融资，却必须满足子公司经营、少数股东及现金约束，不能直接把集团现金总额分给母股。</w:t>
      </w:r>
    </w:p>
    <w:p>
      <w:pPr>
        <w:pStyle w:val="Normal"/>
        <w:rPr/>
      </w:pPr>
      <w:r>
        <w:rPr/>
        <w:t>母公司投资收益现金并不等于全部子公司利润当期现金化；应收股利从期初</w:t>
      </w:r>
      <w:r>
        <w:rPr/>
        <w:t>1.4924</w:t>
      </w:r>
      <w:r>
        <w:rPr/>
        <w:t>亿元升至</w:t>
      </w:r>
      <w:r>
        <w:rPr/>
        <w:t>2.7085</w:t>
      </w:r>
      <w:r>
        <w:rPr/>
        <w:t>亿元，提示有收益上划时点差异。母上半年偿还债务</w:t>
      </w:r>
      <w:r>
        <w:rPr/>
        <w:t>2.0833</w:t>
      </w:r>
      <w:r>
        <w:rPr/>
        <w:t>亿元、新增长借</w:t>
      </w:r>
      <w:r>
        <w:rPr/>
        <w:t>2</w:t>
      </w:r>
      <w:r>
        <w:rPr/>
        <w:t>亿元，属于借款结构调整。母资产中长期股权投资约</w:t>
      </w:r>
      <w:r>
        <w:rPr/>
        <w:t>23.9231</w:t>
      </w:r>
      <w:r>
        <w:rPr/>
        <w:t>亿元，适合解释控股结构，却不是无条件可分红的流动资产。若未来投资基金、支付现金股息和对项目注资集中发生，母层面所需资金可能比集团净债指标显示更紧。基准推荐因此要求披露并验证上划股息与现金安排。</w:t>
      </w:r>
    </w:p>
    <w:p>
      <w:pPr>
        <w:pStyle w:val="Normal"/>
        <w:rPr/>
      </w:pPr>
      <w:r>
        <w:rPr/>
        <w:t>其他应付款合计</w:t>
      </w:r>
      <w:r>
        <w:rPr/>
        <w:t>28.0415</w:t>
      </w:r>
      <w:r>
        <w:rPr/>
        <w:t>亿元，其中推广费约</w:t>
      </w:r>
      <w:r>
        <w:rPr/>
        <w:t>17.6037</w:t>
      </w:r>
      <w:r>
        <w:rPr/>
        <w:t>亿元，说明经营费用与现金支付之间存在大额时间差。尚未支付推广费可暂时支撑现金，但不是公司的盈利或永久无息资本；结算加快就会产生现金流出。股利应付</w:t>
      </w:r>
      <w:r>
        <w:rPr/>
        <w:t>1.8516</w:t>
      </w:r>
      <w:r>
        <w:rPr/>
        <w:t>亿元还涉及母公司与少数股东，应避免用全部应付股利计算</w:t>
      </w:r>
      <w:r>
        <w:rPr/>
        <w:t>01763</w:t>
      </w:r>
      <w:r>
        <w:rPr/>
        <w:t>未来现金股息。上年税费滞纳金余额期初</w:t>
      </w:r>
      <w:r>
        <w:rPr/>
        <w:t>0.8352</w:t>
      </w:r>
      <w:r>
        <w:rPr/>
        <w:t>亿元，本期相关列空，也不能把偿付旧余额当作当年新增损益。现金和损益两个桥必须分别分析。</w:t>
      </w:r>
    </w:p>
    <w:p>
      <w:pPr>
        <w:pStyle w:val="Normal"/>
        <w:rPr/>
      </w:pPr>
      <w:r>
        <w:rPr/>
        <w:t>集团部分资产被抵押或受限，披露受限资产合计约</w:t>
      </w:r>
      <w:r>
        <w:rPr/>
        <w:t>3.1518</w:t>
      </w:r>
      <w:r>
        <w:rPr/>
        <w:t>亿元，其中固定资产和无形资产抵押约</w:t>
      </w:r>
      <w:r>
        <w:rPr/>
        <w:t>2.7845</w:t>
      </w:r>
      <w:r>
        <w:rPr/>
        <w:t>亿元，其余涉及应收和现金。担保增加融资能力，同时约束处置与偿付优先级。核技术安全、废源处置和长期回收责任也可能增加未来支出，并非所有长期应付款都是普通银行债。当前大多数风险可以通过经营现金和适当融资管理，但极端安全事件、客户拖欠或新药减值不一定由普通市盈率悲观情景完全覆盖。研究价格不被解释为公司资产清算底线。</w:t>
      </w:r>
    </w:p>
    <w:p>
      <w:pPr>
        <w:pStyle w:val="Normal"/>
        <w:rPr/>
      </w:pPr>
      <w:r>
        <w:rPr/>
        <w:t>2025</w:t>
      </w:r>
      <w:r>
        <w:rPr/>
        <w:t>年集团经营现金</w:t>
      </w:r>
      <w:r>
        <w:rPr/>
        <w:t>5.3834</w:t>
      </w:r>
      <w:r>
        <w:rPr/>
        <w:t>亿元，资本资产现金</w:t>
      </w:r>
      <w:r>
        <w:rPr/>
        <w:t>5.6677</w:t>
      </w:r>
      <w:r>
        <w:rPr/>
        <w:t>亿元，简单自由现金负</w:t>
      </w:r>
      <w:r>
        <w:rPr/>
        <w:t>0.2843</w:t>
      </w:r>
      <w:r>
        <w:rPr/>
        <w:t>亿元；</w:t>
      </w:r>
      <w:r>
        <w:rPr/>
        <w:t>2024</w:t>
      </w:r>
      <w:r>
        <w:rPr/>
        <w:t>年经营现金仅</w:t>
      </w:r>
      <w:r>
        <w:rPr/>
        <w:t>1.4248</w:t>
      </w:r>
      <w:r>
        <w:rPr/>
        <w:t>亿元、资本资产现金</w:t>
      </w:r>
      <w:r>
        <w:rPr/>
        <w:t>10.3220</w:t>
      </w:r>
      <w:r>
        <w:rPr/>
        <w:t>亿元，缺口更大。现金表现说明过去扩建尚未完全进入收获期。</w:t>
      </w:r>
      <w:r>
        <w:rPr/>
        <w:t>2025</w:t>
      </w:r>
      <w:r>
        <w:rPr/>
        <w:t>年还向母股东支付</w:t>
      </w:r>
      <w:r>
        <w:rPr/>
        <w:t>1.2466</w:t>
      </w:r>
      <w:r>
        <w:rPr/>
        <w:t>亿元、向子公司少数股东支付</w:t>
      </w:r>
      <w:r>
        <w:rPr/>
        <w:t>2.0361</w:t>
      </w:r>
      <w:r>
        <w:rPr/>
        <w:t>亿元，少数现金分派也是集团资金用途。公司可以盈利、分红并继续融资，却要让新增投入产生足够的未来回报。低市盈率不能抵消资本回报长期低于资本成本的风险。</w:t>
      </w:r>
    </w:p>
    <w:p>
      <w:pPr>
        <w:pStyle w:val="Heading2"/>
        <w:rPr/>
      </w:pPr>
      <w:r>
        <w:rPr>
          <w:color w:val="000000"/>
        </w:rPr>
        <w:t>基金 收购 治理与稀释</w:t>
      </w:r>
    </w:p>
    <w:p>
      <w:pPr>
        <w:pStyle w:val="Normal"/>
        <w:rPr/>
      </w:pPr>
      <w:r>
        <w:rPr/>
        <w:t>8</w:t>
      </w:r>
      <w:r>
        <w:rPr/>
        <w:t>月</w:t>
      </w:r>
      <w:r>
        <w:rPr/>
        <w:t>28</w:t>
      </w:r>
      <w:r>
        <w:rPr/>
        <w:t>日披露拟参加总规模</w:t>
      </w:r>
      <w:r>
        <w:rPr/>
        <w:t>30</w:t>
      </w:r>
      <w:r>
        <w:rPr/>
        <w:t>亿元中核浙江核技术应用产业基金，中国同辐认缴</w:t>
      </w:r>
      <w:r>
        <w:rPr/>
        <w:t>4</w:t>
      </w:r>
      <w:r>
        <w:rPr/>
        <w:t>亿元、比例</w:t>
      </w:r>
      <w:r>
        <w:rPr/>
        <w:t>13.33%</w:t>
      </w:r>
      <w:r>
        <w:rPr/>
        <w:t>，公司不合并该基金。</w:t>
      </w:r>
      <w:r>
        <w:rPr/>
        <w:t>9</w:t>
      </w:r>
      <w:r>
        <w:rPr/>
        <w:t>月</w:t>
      </w:r>
      <w:r>
        <w:rPr/>
        <w:t>30</w:t>
      </w:r>
      <w:r>
        <w:rPr/>
        <w:t>日通函安排独立股东</w:t>
      </w:r>
      <w:r>
        <w:rPr/>
        <w:t>10</w:t>
      </w:r>
      <w:r>
        <w:rPr/>
        <w:t>月</w:t>
      </w:r>
      <w:r>
        <w:rPr/>
        <w:t>21</w:t>
      </w:r>
      <w:r>
        <w:rPr/>
        <w:t>日审议，截至</w:t>
      </w:r>
      <w:r>
        <w:rPr/>
        <w:t>10</w:t>
      </w:r>
      <w:r>
        <w:rPr/>
        <w:t>月</w:t>
      </w:r>
      <w:r>
        <w:rPr/>
        <w:t>9</w:t>
      </w:r>
      <w:r>
        <w:rPr/>
        <w:t>日尚未批准及取得后续付款证据。认缴规模不等于公司已经支出，也不能把尚未缴纳承诺全额列为现金资产。初次</w:t>
      </w:r>
      <w:r>
        <w:rPr/>
        <w:t>40%</w:t>
      </w:r>
      <w:r>
        <w:rPr/>
        <w:t>、后次</w:t>
      </w:r>
      <w:r>
        <w:rPr/>
        <w:t>60%</w:t>
      </w:r>
      <w:r>
        <w:rPr/>
        <w:t>，对应</w:t>
      </w:r>
      <w:r>
        <w:rPr/>
        <w:t>1.6</w:t>
      </w:r>
      <w:r>
        <w:rPr/>
        <w:t>亿和</w:t>
      </w:r>
      <w:r>
        <w:rPr/>
        <w:t>2.4</w:t>
      </w:r>
      <w:r>
        <w:rPr/>
        <w:t>亿元；第二次通常在前一笔</w:t>
      </w:r>
      <w:r>
        <w:rPr/>
        <w:t>80%</w:t>
      </w:r>
      <w:r>
        <w:rPr/>
        <w:t>已使用或预留后发出缴款请求。研究现金桥假设支付时点，明确不是已发布的资本调用日程。</w:t>
      </w:r>
    </w:p>
    <w:p>
      <w:pPr>
        <w:pStyle w:val="Normal"/>
        <w:rPr/>
      </w:pPr>
      <w:r>
        <w:rPr/>
        <w:t>基金投资期</w:t>
      </w:r>
      <w:r>
        <w:rPr/>
        <w:t>4</w:t>
      </w:r>
      <w:r>
        <w:rPr/>
        <w:t>年、退出期</w:t>
      </w:r>
      <w:r>
        <w:rPr/>
        <w:t>4</w:t>
      </w:r>
      <w:r>
        <w:rPr/>
        <w:t>年，最长还可能经合伙人同意延期。投资期管理费年</w:t>
      </w:r>
      <w:r>
        <w:rPr/>
        <w:t>1.8%</w:t>
      </w:r>
      <w:r>
        <w:rPr/>
        <w:t>按实缴资本，退出期</w:t>
      </w:r>
      <w:r>
        <w:rPr/>
        <w:t>1.5%</w:t>
      </w:r>
      <w:r>
        <w:rPr/>
        <w:t>按未退出项目本金，延长退出与清算期不收管理费。现金分配先还资本，再分</w:t>
      </w:r>
      <w:r>
        <w:rPr/>
        <w:t>8%</w:t>
      </w:r>
      <w:r>
        <w:rPr/>
        <w:t>单利门槛，剩余超额收益按约定</w:t>
      </w:r>
      <w:r>
        <w:rPr/>
        <w:t>20%</w:t>
      </w:r>
      <w:r>
        <w:rPr/>
        <w:t>给予普通合伙人、</w:t>
      </w:r>
      <w:r>
        <w:rPr/>
        <w:t>80%</w:t>
      </w:r>
      <w:r>
        <w:rPr/>
        <w:t>按有限合伙人比例分配。</w:t>
      </w:r>
      <w:r>
        <w:rPr/>
        <w:t>8%</w:t>
      </w:r>
      <w:r>
        <w:rPr/>
        <w:t>是分配顺序的收益门槛而非保本承诺。投资失败、估值下降、退出延迟和费用均可使实际回报不足，本文不把</w:t>
      </w:r>
      <w:r>
        <w:rPr/>
        <w:t>4</w:t>
      </w:r>
      <w:r>
        <w:rPr/>
        <w:t>亿元每年乘</w:t>
      </w:r>
      <w:r>
        <w:rPr/>
        <w:t>8%</w:t>
      </w:r>
      <w:r>
        <w:rPr/>
        <w:t>记作确定利润或未来股息。</w:t>
      </w:r>
    </w:p>
    <w:p>
      <w:pPr>
        <w:pStyle w:val="Normal"/>
        <w:rPr/>
      </w:pPr>
      <w:r>
        <w:rPr/>
        <w:t>基金可以帮助接触上游核素、设备及创新药项目，降低公司独立寻找资产的成本，但也将资金锁在复杂资产和关联治理中。独立股东审批和专业管理提供程序保障，不能替代投资回报核验。母现金</w:t>
      </w:r>
      <w:r>
        <w:rPr/>
        <w:t>3.14</w:t>
      </w:r>
      <w:r>
        <w:rPr/>
        <w:t>亿元，初次</w:t>
      </w:r>
      <w:r>
        <w:rPr/>
        <w:t>1.6</w:t>
      </w:r>
      <w:r>
        <w:rPr/>
        <w:t>亿元加可能股息和项目注资，资金安排有实质意义。基准现金桥允许分期投入并保留融资，长期正常收益只含审慎投资净收益；没有把基金资产</w:t>
      </w:r>
      <w:r>
        <w:rPr/>
        <w:t>NAV</w:t>
      </w:r>
      <w:r>
        <w:rPr/>
        <w:t>另加在集团</w:t>
      </w:r>
      <w:r>
        <w:rPr/>
        <w:t>PE</w:t>
      </w:r>
      <w:r>
        <w:rPr/>
        <w:t>之外。后续应检查实缴、具体项目、费用、利益冲突和退出证据。</w:t>
      </w:r>
    </w:p>
    <w:p>
      <w:pPr>
        <w:pStyle w:val="Normal"/>
        <w:rPr/>
      </w:pPr>
      <w:r>
        <w:rPr/>
        <w:t>7</w:t>
      </w:r>
      <w:r>
        <w:rPr/>
        <w:t>月</w:t>
      </w:r>
      <w:r>
        <w:rPr/>
        <w:t>3</w:t>
      </w:r>
      <w:r>
        <w:rPr/>
        <w:t>日与中核原科设立中核辐元的协议，公司承诺现金</w:t>
      </w:r>
      <w:r>
        <w:rPr/>
        <w:t>600</w:t>
      </w:r>
      <w:r>
        <w:rPr/>
        <w:t>万元、持</w:t>
      </w:r>
      <w:r>
        <w:rPr/>
        <w:t>60%</w:t>
      </w:r>
      <w:r>
        <w:rPr/>
        <w:t>，缴付期限</w:t>
      </w:r>
      <w:r>
        <w:rPr/>
        <w:t>2027</w:t>
      </w:r>
      <w:r>
        <w:rPr/>
        <w:t>年底。</w:t>
      </w:r>
      <w:r>
        <w:rPr/>
        <w:t>7</w:t>
      </w:r>
      <w:r>
        <w:rPr/>
        <w:t>月</w:t>
      </w:r>
      <w:r>
        <w:rPr/>
        <w:t>28</w:t>
      </w:r>
      <w:r>
        <w:rPr/>
        <w:t>日中核辐智约定公司现金</w:t>
      </w:r>
      <w:r>
        <w:rPr/>
        <w:t>2660</w:t>
      </w:r>
      <w:r>
        <w:rPr/>
        <w:t>万元及核医学发展中心净资产作价</w:t>
      </w:r>
      <w:r>
        <w:rPr/>
        <w:t>1840</w:t>
      </w:r>
      <w:r>
        <w:rPr/>
        <w:t>万元、持</w:t>
      </w:r>
      <w:r>
        <w:rPr/>
        <w:t>90%</w:t>
      </w:r>
      <w:r>
        <w:rPr/>
        <w:t>，现金截至</w:t>
      </w:r>
      <w:r>
        <w:rPr/>
        <w:t>2026</w:t>
      </w:r>
      <w:r>
        <w:rPr/>
        <w:t>年底，非现金截至</w:t>
      </w:r>
      <w:r>
        <w:rPr/>
        <w:t>2027</w:t>
      </w:r>
      <w:r>
        <w:rPr/>
        <w:t>年底。两项都不是直接给上市母股增加同额证券价值。控制子公司可以合并，内部资产注入不应因评估增值便把全部重估收益看作可分红利润。模型保留其未来发展和成本，避免另外增加与同一经营收益重叠的</w:t>
      </w:r>
      <w:r>
        <w:rPr/>
        <w:t>NAV</w:t>
      </w:r>
      <w:r>
        <w:rPr/>
        <w:t>。</w:t>
      </w:r>
    </w:p>
    <w:p>
      <w:pPr>
        <w:pStyle w:val="Normal"/>
        <w:rPr/>
      </w:pPr>
      <w:r>
        <w:rPr/>
        <w:t>辐智评估中核医学发展中心账面净资产约</w:t>
      </w:r>
      <w:r>
        <w:rPr/>
        <w:t>426.97</w:t>
      </w:r>
      <w:r>
        <w:rPr/>
        <w:t>万元、评估</w:t>
      </w:r>
      <w:r>
        <w:rPr/>
        <w:t>1840</w:t>
      </w:r>
      <w:r>
        <w:rPr/>
        <w:t>万元，增值</w:t>
      </w:r>
      <w:r>
        <w:rPr/>
        <w:t>330.95%</w:t>
      </w:r>
      <w:r>
        <w:rPr/>
        <w:t>。</w:t>
      </w:r>
      <w:r>
        <w:rPr/>
        <w:t>8</w:t>
      </w:r>
      <w:r>
        <w:rPr/>
        <w:t>月</w:t>
      </w:r>
      <w:r>
        <w:rPr/>
        <w:t>4</w:t>
      </w:r>
      <w:r>
        <w:rPr/>
        <w:t>日补充公布的收入预测属于资产评估假设而非集团统一盈利指引，依赖科室新增、智慧升级、销售队伍和取得客户等条件。</w:t>
      </w:r>
      <w:r>
        <w:rPr/>
        <w:t>2026</w:t>
      </w:r>
      <w:r>
        <w:rPr/>
        <w:t>预测收入约</w:t>
      </w:r>
      <w:r>
        <w:rPr/>
        <w:t>942.06</w:t>
      </w:r>
      <w:r>
        <w:rPr/>
        <w:t>万元到</w:t>
      </w:r>
      <w:r>
        <w:rPr/>
        <w:t>2030</w:t>
      </w:r>
      <w:r>
        <w:rPr/>
        <w:t>约</w:t>
      </w:r>
      <w:r>
        <w:rPr/>
        <w:t>6394.22</w:t>
      </w:r>
      <w:r>
        <w:rPr/>
        <w:t>万元，是小体量业务的高增长估计。不能把评估模型的行业总可寻址市场及高增速直接推广集团，也不能以评估增值当作现价应立即上涨的幅度。研究升级需真实合同和回款。</w:t>
      </w:r>
    </w:p>
    <w:p>
      <w:pPr>
        <w:pStyle w:val="Normal"/>
        <w:rPr/>
      </w:pPr>
      <w:r>
        <w:rPr/>
        <w:t>湖南汇丰工程检测收购提供检测业务外延增长。</w:t>
      </w:r>
      <w:r>
        <w:rPr/>
        <w:t>3</w:t>
      </w:r>
      <w:r>
        <w:rPr/>
        <w:t>月</w:t>
      </w:r>
      <w:r>
        <w:rPr/>
        <w:t>31</w:t>
      </w:r>
      <w:r>
        <w:rPr/>
        <w:t>日取得控制，持股</w:t>
      </w:r>
      <w:r>
        <w:rPr/>
        <w:t>51%</w:t>
      </w:r>
      <w:r>
        <w:rPr/>
        <w:t>，对价</w:t>
      </w:r>
      <w:r>
        <w:rPr/>
        <w:t>6716.7</w:t>
      </w:r>
      <w:r>
        <w:rPr/>
        <w:t>万元；收购至</w:t>
      </w:r>
      <w:r>
        <w:rPr/>
        <w:t>6</w:t>
      </w:r>
      <w:r>
        <w:rPr/>
        <w:t>月底并表收入约</w:t>
      </w:r>
      <w:r>
        <w:rPr/>
        <w:t>4714.88</w:t>
      </w:r>
      <w:r>
        <w:rPr/>
        <w:t>万元、净利</w:t>
      </w:r>
      <w:r>
        <w:rPr/>
        <w:t>591.41</w:t>
      </w:r>
      <w:r>
        <w:rPr/>
        <w:t>万元，新增商誉</w:t>
      </w:r>
      <w:r>
        <w:rPr/>
        <w:t>2203.12</w:t>
      </w:r>
      <w:r>
        <w:rPr/>
        <w:t>万元。净收购现金支出</w:t>
      </w:r>
      <w:r>
        <w:rPr/>
        <w:t>4123.89</w:t>
      </w:r>
      <w:r>
        <w:rPr/>
        <w:t>万元与对价不同，因为收购时现金等项目影响；现金桥只扣真实净支付。被收购方还有</w:t>
      </w:r>
      <w:r>
        <w:rPr/>
        <w:t>49%</w:t>
      </w:r>
      <w:r>
        <w:rPr/>
        <w:t>少数，不能把全净利润均归母。并表带来的收入增长可能是真实业务扩张，也可能是范围变化，比较原有业务增长时必须扣开这部分。</w:t>
      </w:r>
    </w:p>
    <w:p>
      <w:pPr>
        <w:pStyle w:val="Normal"/>
        <w:rPr/>
      </w:pPr>
      <w:r>
        <w:rPr/>
        <w:t>中国同辐受中核集团直接间接控制，总股份权益约</w:t>
      </w:r>
      <w:r>
        <w:rPr/>
        <w:t>73.83%</w:t>
      </w:r>
      <w:r>
        <w:rPr/>
        <w:t>，国有产业资源可协助核素供给和项目建设。控股结构同时意味着普通港股投资者影响资本配置有限。关联投资、资产注入、推广服务和资金往来需要对照上市规则、交易条件与独立意见。</w:t>
      </w:r>
      <w:r>
        <w:rPr/>
        <w:t>10</w:t>
      </w:r>
      <w:r>
        <w:rPr/>
        <w:t>月</w:t>
      </w:r>
      <w:r>
        <w:rPr/>
        <w:t>9</w:t>
      </w:r>
      <w:r>
        <w:rPr/>
        <w:t>日</w:t>
      </w:r>
      <w:r>
        <w:rPr/>
        <w:t>21</w:t>
      </w:r>
      <w:r>
        <w:rPr/>
        <w:t>时公开的</w:t>
      </w:r>
      <w:r>
        <w:rPr/>
        <w:t>2025</w:t>
      </w:r>
      <w:r>
        <w:rPr/>
        <w:t>年报补充公告确认关联交易按上市规则属于持续关联交易披露，其他年报内容不变，不能描述为盈利重述或新收入。研究保留公告时点并把它用于治理审查，而非改变已审年度净利。</w:t>
      </w:r>
    </w:p>
    <w:p>
      <w:pPr>
        <w:pStyle w:val="Normal"/>
        <w:rPr/>
      </w:pPr>
      <w:r>
        <w:rPr/>
        <w:t>9</w:t>
      </w:r>
      <w:r>
        <w:rPr/>
        <w:t>月月报确认全部发行股</w:t>
      </w:r>
      <w:r>
        <w:rPr/>
        <w:t>319874900</w:t>
      </w:r>
      <w:r>
        <w:rPr/>
        <w:t>股，其中</w:t>
      </w:r>
      <w:r>
        <w:rPr/>
        <w:t>H</w:t>
      </w:r>
      <w:r>
        <w:rPr/>
        <w:t>股</w:t>
      </w:r>
      <w:r>
        <w:rPr/>
        <w:t>79968800</w:t>
      </w:r>
      <w:r>
        <w:rPr/>
        <w:t>、内资股</w:t>
      </w:r>
      <w:r>
        <w:rPr/>
        <w:t>239906100</w:t>
      </w:r>
      <w:r>
        <w:rPr/>
        <w:t>，两个类别库存均为零。不存在用港股市场股数作为集团</w:t>
      </w:r>
      <w:r>
        <w:rPr/>
        <w:t>EPS</w:t>
      </w:r>
      <w:r>
        <w:rPr/>
        <w:t>全部分母的依据。股份总数目前稳定，但未来一般授权、项目融资或并购可能产生增股；月报“暂无可转债</w:t>
      </w:r>
      <w:r>
        <w:rPr/>
        <w:t>/</w:t>
      </w:r>
      <w:r>
        <w:rPr/>
        <w:t>期权等变化”也不保证未来不发行。模型悲观未来股数从</w:t>
      </w:r>
      <w:r>
        <w:rPr/>
        <w:t>3.30</w:t>
      </w:r>
      <w:r>
        <w:rPr/>
        <w:t>亿增加到</w:t>
      </w:r>
      <w:r>
        <w:rPr/>
        <w:t>3.75</w:t>
      </w:r>
      <w:r>
        <w:rPr/>
        <w:t>亿，基准远期</w:t>
      </w:r>
      <w:r>
        <w:rPr/>
        <w:t>3.25</w:t>
      </w:r>
      <w:r>
        <w:rPr/>
        <w:t>亿与</w:t>
      </w:r>
      <w:r>
        <w:rPr/>
        <w:t>3.35</w:t>
      </w:r>
      <w:r>
        <w:rPr/>
        <w:t>亿，是明确稀释压力测试。不得把假设融资写成公司已批准计划。</w:t>
      </w:r>
    </w:p>
    <w:p>
      <w:pPr>
        <w:pStyle w:val="Normal"/>
        <w:rPr/>
      </w:pPr>
      <w:r>
        <w:rPr/>
        <w:t>公司股息支持现金回报，但也要与资金用途匹配。</w:t>
      </w:r>
      <w:r>
        <w:rPr/>
        <w:t>2025</w:t>
      </w:r>
      <w:r>
        <w:rPr/>
        <w:t>末期人民币</w:t>
      </w:r>
      <w:r>
        <w:rPr/>
        <w:t>0.2264</w:t>
      </w:r>
      <w:r>
        <w:rPr/>
        <w:t>、实际港币</w:t>
      </w:r>
      <w:r>
        <w:rPr/>
        <w:t>0.2604</w:t>
      </w:r>
      <w:r>
        <w:rPr/>
        <w:t>，</w:t>
      </w:r>
      <w:r>
        <w:rPr/>
        <w:t>6</w:t>
      </w:r>
      <w:r>
        <w:rPr/>
        <w:t>月</w:t>
      </w:r>
      <w:r>
        <w:rPr/>
        <w:t>23</w:t>
      </w:r>
      <w:r>
        <w:rPr/>
        <w:t>日已除净、</w:t>
      </w:r>
      <w:r>
        <w:rPr/>
        <w:t>8</w:t>
      </w:r>
      <w:r>
        <w:rPr/>
        <w:t>月</w:t>
      </w:r>
      <w:r>
        <w:rPr/>
        <w:t>17</w:t>
      </w:r>
      <w:r>
        <w:rPr/>
        <w:t>日已支付，不能计为</w:t>
      </w:r>
      <w:r>
        <w:rPr/>
        <w:t>10</w:t>
      </w:r>
      <w:r>
        <w:rPr/>
        <w:t>月</w:t>
      </w:r>
      <w:r>
        <w:rPr/>
        <w:t>9</w:t>
      </w:r>
      <w:r>
        <w:rPr/>
        <w:t>日买入后的未来股息。</w:t>
      </w:r>
      <w:r>
        <w:rPr/>
        <w:t>2026</w:t>
      </w:r>
      <w:r>
        <w:rPr/>
        <w:t>中期人民币</w:t>
      </w:r>
      <w:r>
        <w:rPr/>
        <w:t>0.0994</w:t>
      </w:r>
      <w:r>
        <w:rPr/>
        <w:t>，</w:t>
      </w:r>
      <w:r>
        <w:rPr/>
        <w:t>9</w:t>
      </w:r>
      <w:r>
        <w:rPr/>
        <w:t>月</w:t>
      </w:r>
      <w:r>
        <w:rPr/>
        <w:t>21</w:t>
      </w:r>
      <w:r>
        <w:rPr/>
        <w:t>日公告更新为</w:t>
      </w:r>
      <w:r>
        <w:rPr/>
        <w:t>10</w:t>
      </w:r>
      <w:r>
        <w:rPr/>
        <w:t>月</w:t>
      </w:r>
      <w:r>
        <w:rPr/>
        <w:t>21</w:t>
      </w:r>
      <w:r>
        <w:rPr/>
        <w:t>日拟批准、</w:t>
      </w:r>
      <w:r>
        <w:rPr/>
        <w:t>10</w:t>
      </w:r>
      <w:r>
        <w:rPr/>
        <w:t>月</w:t>
      </w:r>
      <w:r>
        <w:rPr/>
        <w:t>23</w:t>
      </w:r>
      <w:r>
        <w:rPr/>
        <w:t>日除净、</w:t>
      </w:r>
      <w:r>
        <w:rPr/>
        <w:t>10</w:t>
      </w:r>
      <w:r>
        <w:rPr/>
        <w:t>月</w:t>
      </w:r>
      <w:r>
        <w:rPr/>
        <w:t>30</w:t>
      </w:r>
      <w:r>
        <w:rPr/>
        <w:t>日登记、</w:t>
      </w:r>
      <w:r>
        <w:rPr/>
        <w:t>12</w:t>
      </w:r>
      <w:r>
        <w:rPr/>
        <w:t>月</w:t>
      </w:r>
      <w:r>
        <w:rPr/>
        <w:t>18</w:t>
      </w:r>
      <w:r>
        <w:rPr/>
        <w:t>日支付；旧</w:t>
      </w:r>
      <w:r>
        <w:rPr/>
        <w:t>10</w:t>
      </w:r>
      <w:r>
        <w:rPr/>
        <w:t>月</w:t>
      </w:r>
      <w:r>
        <w:rPr/>
        <w:t>5</w:t>
      </w:r>
      <w:r>
        <w:rPr/>
        <w:t>日除净安排已经变更。正确记录顺序对价格和总回报都重要，本文未来息以新日期及获批为条件，不从行情旧事件推算。</w:t>
      </w:r>
    </w:p>
    <w:p>
      <w:pPr>
        <w:pStyle w:val="Heading2"/>
        <w:rPr/>
      </w:pPr>
      <w:r>
        <w:rPr>
          <w:color w:val="000000"/>
        </w:rPr>
        <w:t>半年日线 周线与量价验证</w:t>
      </w:r>
    </w:p>
    <w:p>
      <w:pPr>
        <w:pStyle w:val="Normal"/>
        <w:rPr/>
      </w:pPr>
      <w:r>
        <w:rPr/>
        <w:t>半年技术判断为“下降趋势中超卖，尚未确认底部”。基准日开盘</w:t>
      </w:r>
      <w:r>
        <w:rPr/>
        <w:t>12.60</w:t>
      </w:r>
      <w:r>
        <w:rPr/>
        <w:t>、最高</w:t>
      </w:r>
      <w:r>
        <w:rPr/>
        <w:t>12.88</w:t>
      </w:r>
      <w:r>
        <w:rPr/>
        <w:t>、最低</w:t>
      </w:r>
      <w:r>
        <w:rPr/>
        <w:t>12.48</w:t>
      </w:r>
      <w:r>
        <w:rPr/>
        <w:t>、收盘</w:t>
      </w:r>
      <w:r>
        <w:rPr/>
        <w:t>12.53</w:t>
      </w:r>
      <w:r>
        <w:rPr/>
        <w:t>港元，较前一日下跌约</w:t>
      </w:r>
      <w:r>
        <w:rPr/>
        <w:t>2.79%</w:t>
      </w:r>
      <w:r>
        <w:rPr/>
        <w:t>，收盘接近当日低位。</w:t>
      </w:r>
      <w:r>
        <w:rPr/>
        <w:t>20</w:t>
      </w:r>
      <w:r>
        <w:rPr/>
        <w:t>、</w:t>
      </w:r>
      <w:r>
        <w:rPr/>
        <w:t>60</w:t>
      </w:r>
      <w:r>
        <w:rPr/>
        <w:t>、</w:t>
      </w:r>
      <w:r>
        <w:rPr/>
        <w:t>120</w:t>
      </w:r>
      <w:r>
        <w:rPr/>
        <w:t>和</w:t>
      </w:r>
      <w:r>
        <w:rPr/>
        <w:t>250</w:t>
      </w:r>
      <w:r>
        <w:rPr/>
        <w:t>日均线分别</w:t>
      </w:r>
      <w:r>
        <w:rPr/>
        <w:t>13.552</w:t>
      </w:r>
      <w:r>
        <w:rPr/>
        <w:t>、</w:t>
      </w:r>
      <w:r>
        <w:rPr/>
        <w:t>15.4845</w:t>
      </w:r>
      <w:r>
        <w:rPr/>
        <w:t>、</w:t>
      </w:r>
      <w:r>
        <w:rPr/>
        <w:t>16.7641</w:t>
      </w:r>
      <w:r>
        <w:rPr/>
        <w:t>、</w:t>
      </w:r>
      <w:r>
        <w:rPr/>
        <w:t>18.6013</w:t>
      </w:r>
      <w:r>
        <w:rPr/>
        <w:t>港元，现价分别低</w:t>
      </w:r>
      <w:r>
        <w:rPr/>
        <w:t>7.54%</w:t>
      </w:r>
      <w:r>
        <w:rPr/>
        <w:t>、</w:t>
      </w:r>
      <w:r>
        <w:rPr/>
        <w:t>19.08%</w:t>
      </w:r>
      <w:r>
        <w:rPr/>
        <w:t>、</w:t>
      </w:r>
      <w:r>
        <w:rPr/>
        <w:t>25.26%</w:t>
      </w:r>
      <w:r>
        <w:rPr/>
        <w:t>和</w:t>
      </w:r>
      <w:r>
        <w:rPr/>
        <w:t>32.64%</w:t>
      </w:r>
      <w:r>
        <w:rPr/>
        <w:t>。这不是仅一条短均线破位的形态，而是价格低于多个时间尺度成本均值。便宜的基本面估值可以与弱趋势共存，半年评分不能用远期乐观利润完全抵消技术风险。</w:t>
      </w:r>
    </w:p>
    <w:p>
      <w:pPr>
        <w:pStyle w:val="Normal"/>
        <w:rPr/>
      </w:pPr>
      <w:r>
        <w:rPr/>
        <w:t>四日均线相对五个交易日前的变化约为−</w:t>
      </w:r>
      <w:r>
        <w:rPr/>
        <w:t>2.30%</w:t>
      </w:r>
      <w:r>
        <w:rPr/>
        <w:t>、−</w:t>
      </w:r>
      <w:r>
        <w:rPr/>
        <w:t>2.07%</w:t>
      </w:r>
      <w:r>
        <w:rPr/>
        <w:t>、−</w:t>
      </w:r>
      <w:r>
        <w:rPr/>
        <w:t>1.34%</w:t>
      </w:r>
      <w:r>
        <w:rPr/>
        <w:t>和−</w:t>
      </w:r>
      <w:r>
        <w:rPr/>
        <w:t>0.30%</w:t>
      </w:r>
      <w:r>
        <w:rPr/>
        <w:t>，中短期下降斜率较明显，长期均线也开始向下。</w:t>
      </w:r>
      <w:r>
        <w:rPr/>
        <w:t>20</w:t>
      </w:r>
      <w:r>
        <w:rPr/>
        <w:t>日跌</w:t>
      </w:r>
      <w:r>
        <w:rPr/>
        <w:t>7.12%</w:t>
      </w:r>
      <w:r>
        <w:rPr/>
        <w:t>、</w:t>
      </w:r>
      <w:r>
        <w:rPr/>
        <w:t>60</w:t>
      </w:r>
      <w:r>
        <w:rPr/>
        <w:t>日跌</w:t>
      </w:r>
      <w:r>
        <w:rPr/>
        <w:t>28.77%</w:t>
      </w:r>
      <w:r>
        <w:rPr/>
        <w:t>，说明近期下跌是中期回落的延续。日线</w:t>
      </w:r>
      <w:r>
        <w:rPr/>
        <w:t>52</w:t>
      </w:r>
      <w:r>
        <w:rPr/>
        <w:t>周复权高约</w:t>
      </w:r>
      <w:r>
        <w:rPr/>
        <w:t>24.6537</w:t>
      </w:r>
      <w:r>
        <w:rPr/>
        <w:t>、低</w:t>
      </w:r>
      <w:r>
        <w:rPr/>
        <w:t>12.48</w:t>
      </w:r>
      <w:r>
        <w:rPr/>
        <w:t>，现价较高位低</w:t>
      </w:r>
      <w:r>
        <w:rPr/>
        <w:t>49.18%</w:t>
      </w:r>
      <w:r>
        <w:rPr/>
        <w:t>，离低位仅</w:t>
      </w:r>
      <w:r>
        <w:rPr/>
        <w:t>0.40%</w:t>
      </w:r>
      <w:r>
        <w:rPr/>
        <w:t>；</w:t>
      </w:r>
      <w:r>
        <w:rPr/>
        <w:t>52</w:t>
      </w:r>
      <w:r>
        <w:rPr/>
        <w:t>周最大收盘回撤约</w:t>
      </w:r>
      <w:r>
        <w:rPr/>
        <w:t>47.93%</w:t>
      </w:r>
      <w:r>
        <w:rPr/>
        <w:t>。跌幅大可使估值压缩充分，也可能意味着盈利预期或市场流动性继续转弱，不能把“跌一半”当成必然回到原高位的理由。</w:t>
      </w:r>
    </w:p>
    <w:p>
      <w:pPr>
        <w:pStyle w:val="Normal"/>
        <w:rPr/>
      </w:pPr>
      <w:r>
        <w:rPr/>
        <w:t>12.48</w:t>
      </w:r>
      <w:r>
        <w:rPr/>
        <w:t>港元是最近</w:t>
      </w:r>
      <w:r>
        <w:rPr/>
        <w:t>20</w:t>
      </w:r>
      <w:r>
        <w:rPr/>
        <w:t>日和</w:t>
      </w:r>
      <w:r>
        <w:rPr/>
        <w:t>60</w:t>
      </w:r>
      <w:r>
        <w:rPr/>
        <w:t>日的区间最低观察位，距现价下约</w:t>
      </w:r>
      <w:r>
        <w:rPr/>
        <w:t>0.40%</w:t>
      </w:r>
      <w:r>
        <w:rPr/>
        <w:t>。它不是经过多次触碰验证的坚固支撑，也没有逐笔成交分布证明大量买盘存在。若连续收盘跌破并且下跌量扩大，应认为该观察位失效，不能沿用它限制未来损失。</w:t>
      </w:r>
      <w:r>
        <w:rPr/>
        <w:t>20</w:t>
      </w:r>
      <w:r>
        <w:rPr/>
        <w:t>日区间上沿</w:t>
      </w:r>
      <w:r>
        <w:rPr/>
        <w:t>14.43</w:t>
      </w:r>
      <w:r>
        <w:rPr/>
        <w:t>港元距现价约</w:t>
      </w:r>
      <w:r>
        <w:rPr/>
        <w:t>15.16%</w:t>
      </w:r>
      <w:r>
        <w:rPr/>
        <w:t>，</w:t>
      </w:r>
      <w:r>
        <w:rPr/>
        <w:t>60</w:t>
      </w:r>
      <w:r>
        <w:rPr/>
        <w:t>日上沿</w:t>
      </w:r>
      <w:r>
        <w:rPr/>
        <w:t>17.99</w:t>
      </w:r>
      <w:r>
        <w:rPr/>
        <w:t>港元距现价约</w:t>
      </w:r>
      <w:r>
        <w:rPr/>
        <w:t>43.58%</w:t>
      </w:r>
      <w:r>
        <w:rPr/>
        <w:t>。</w:t>
      </w:r>
      <w:r>
        <w:rPr/>
        <w:t>13.55</w:t>
      </w:r>
      <w:r>
        <w:rPr/>
        <w:t>附近</w:t>
      </w:r>
      <w:r>
        <w:rPr/>
        <w:t>20</w:t>
      </w:r>
      <w:r>
        <w:rPr/>
        <w:t>日均线可作为第一修复观察区，</w:t>
      </w:r>
      <w:r>
        <w:rPr/>
        <w:t>15.48</w:t>
      </w:r>
      <w:r>
        <w:rPr/>
        <w:t>附近</w:t>
      </w:r>
      <w:r>
        <w:rPr/>
        <w:t>60</w:t>
      </w:r>
      <w:r>
        <w:rPr/>
        <w:t>日均线为更重要的中期恢复节点。</w:t>
      </w:r>
    </w:p>
    <w:p>
      <w:pPr>
        <w:pStyle w:val="Normal"/>
        <w:rPr/>
      </w:pPr>
      <w:r>
        <w:rPr/>
        <w:t>可检验的回踩修复路径是：先在</w:t>
      </w:r>
      <w:r>
        <w:rPr/>
        <w:t>12.48</w:t>
      </w:r>
      <w:r>
        <w:rPr/>
        <w:t>附近缩小波动、停止连续创新低，随后收回</w:t>
      </w:r>
      <w:r>
        <w:rPr/>
        <w:t>13.55</w:t>
      </w:r>
      <w:r>
        <w:rPr/>
        <w:t>附近且数个交易日不轻易跌回，再观察</w:t>
      </w:r>
      <w:r>
        <w:rPr/>
        <w:t>14.43</w:t>
      </w:r>
      <w:r>
        <w:rPr/>
        <w:t>区间高位。若突破时成交量高于此前</w:t>
      </w:r>
      <w:r>
        <w:rPr/>
        <w:t>20</w:t>
      </w:r>
      <w:r>
        <w:rPr/>
        <w:t>日均量、上涨日量持续改善，技术证据才能升级。上述是条件，不是截至日已经完成的形态。若只出现一天涨幅较大而成交极小、随后继续破低，则更像下降中的短暂波动。关键价位本身是历史统计，后续复权和公司行动发生时必须重新归一，不把旧价位当永久标尺。</w:t>
      </w:r>
    </w:p>
    <w:p>
      <w:pPr>
        <w:pStyle w:val="Normal"/>
        <w:rPr/>
      </w:pPr>
      <w:r>
        <w:rPr/>
        <w:t>当日成交</w:t>
      </w:r>
      <w:r>
        <w:rPr/>
        <w:t>107600</w:t>
      </w:r>
      <w:r>
        <w:rPr/>
        <w:t>股，成交额</w:t>
      </w:r>
      <w:r>
        <w:rPr/>
        <w:t>1362636</w:t>
      </w:r>
      <w:r>
        <w:rPr/>
        <w:t>港元，腾讯与新浪独立报价一致。</w:t>
      </w:r>
      <w:r>
        <w:rPr/>
        <w:t>5</w:t>
      </w:r>
      <w:r>
        <w:rPr/>
        <w:t>日、</w:t>
      </w:r>
      <w:r>
        <w:rPr/>
        <w:t>20</w:t>
      </w:r>
      <w:r>
        <w:rPr/>
        <w:t>日和</w:t>
      </w:r>
      <w:r>
        <w:rPr/>
        <w:t>60</w:t>
      </w:r>
      <w:r>
        <w:rPr/>
        <w:t>日均量约</w:t>
      </w:r>
      <w:r>
        <w:rPr/>
        <w:t>71840</w:t>
      </w:r>
      <w:r>
        <w:rPr/>
        <w:t>、</w:t>
      </w:r>
      <w:r>
        <w:rPr/>
        <w:t>72470</w:t>
      </w:r>
      <w:r>
        <w:rPr/>
        <w:t>和</w:t>
      </w:r>
      <w:r>
        <w:rPr/>
        <w:t>95113</w:t>
      </w:r>
      <w:r>
        <w:rPr/>
        <w:t>股；当日量比按此前</w:t>
      </w:r>
      <w:r>
        <w:rPr/>
        <w:t>20</w:t>
      </w:r>
      <w:r>
        <w:rPr/>
        <w:t>日平均</w:t>
      </w:r>
      <w:r>
        <w:rPr/>
        <w:t>88750</w:t>
      </w:r>
      <w:r>
        <w:rPr/>
        <w:t>股计算为</w:t>
      </w:r>
      <w:r>
        <w:rPr/>
        <w:t>1.2124</w:t>
      </w:r>
      <w:r>
        <w:rPr/>
        <w:t>。当前</w:t>
      </w:r>
      <w:r>
        <w:rPr/>
        <w:t>20</w:t>
      </w:r>
      <w:r>
        <w:rPr/>
        <w:t>日均量与此前</w:t>
      </w:r>
      <w:r>
        <w:rPr/>
        <w:t>20</w:t>
      </w:r>
      <w:r>
        <w:rPr/>
        <w:t>日均量是移动窗口不同，不能强行用当前窗口替代工具所定义的量比。当天成交略高于此前平均而价格下跌、接近低位，未体现明显的强势突破。相对于许多大型港股，这样的成交额很低，大额交易更易影响价格与实际成交成本。</w:t>
      </w:r>
    </w:p>
    <w:p>
      <w:pPr>
        <w:pStyle w:val="Normal"/>
        <w:rPr/>
      </w:pPr>
      <w:r>
        <w:rPr/>
        <w:t>最近</w:t>
      </w:r>
      <w:r>
        <w:rPr/>
        <w:t>20</w:t>
      </w:r>
      <w:r>
        <w:rPr/>
        <w:t>日上涨日成交</w:t>
      </w:r>
      <w:r>
        <w:rPr/>
        <w:t>637200</w:t>
      </w:r>
      <w:r>
        <w:rPr/>
        <w:t>股、下跌日</w:t>
      </w:r>
      <w:r>
        <w:rPr/>
        <w:t>812200</w:t>
      </w:r>
      <w:r>
        <w:rPr/>
        <w:t>股，上下量比约</w:t>
      </w:r>
      <w:r>
        <w:rPr/>
        <w:t>0.7845</w:t>
      </w:r>
      <w:r>
        <w:rPr/>
        <w:t>，</w:t>
      </w:r>
      <w:r>
        <w:rPr/>
        <w:t>9</w:t>
      </w:r>
      <w:r>
        <w:rPr/>
        <w:t>涨日和</w:t>
      </w:r>
      <w:r>
        <w:rPr/>
        <w:t>11</w:t>
      </w:r>
      <w:r>
        <w:rPr/>
        <w:t>跌日。总量偏向下跌日，与价格弱势一致，但这只是日级汇总，不说明哪类投资者买卖，也不证明“主力出货”。无逐笔数据不能画声称精确的筹码分布。若未来上涨日量连续改善、下跌日量缩小，可以显示供需关系变化；仍需与价格站稳相配合。仅因为日均量下降便称“浮筹出尽”缺乏证据，交易清淡也可能表示缺少增量需求。</w:t>
      </w:r>
    </w:p>
    <w:p>
      <w:pPr>
        <w:pStyle w:val="Normal"/>
        <w:rPr/>
      </w:pPr>
      <w:r>
        <w:rPr/>
        <w:t>周线能减少日常噪声，目前同样没有给出中期反转。</w:t>
      </w:r>
      <w:r>
        <w:rPr/>
        <w:t>20</w:t>
      </w:r>
      <w:r>
        <w:rPr/>
        <w:t>、</w:t>
      </w:r>
      <w:r>
        <w:rPr/>
        <w:t>60</w:t>
      </w:r>
      <w:r>
        <w:rPr/>
        <w:t>和</w:t>
      </w:r>
      <w:r>
        <w:rPr/>
        <w:t>120</w:t>
      </w:r>
      <w:r>
        <w:rPr/>
        <w:t>周均线约</w:t>
      </w:r>
      <w:r>
        <w:rPr/>
        <w:t>16.2011</w:t>
      </w:r>
      <w:r>
        <w:rPr/>
        <w:t>、</w:t>
      </w:r>
      <w:r>
        <w:rPr/>
        <w:t>18.2740</w:t>
      </w:r>
      <w:r>
        <w:rPr/>
        <w:t>和</w:t>
      </w:r>
      <w:r>
        <w:rPr/>
        <w:t>14.8551</w:t>
      </w:r>
      <w:r>
        <w:rPr/>
        <w:t>，现价低</w:t>
      </w:r>
      <w:r>
        <w:rPr/>
        <w:t>22.66%</w:t>
      </w:r>
      <w:r>
        <w:rPr/>
        <w:t>、</w:t>
      </w:r>
      <w:r>
        <w:rPr/>
        <w:t>31.43%</w:t>
      </w:r>
      <w:r>
        <w:rPr/>
        <w:t>和</w:t>
      </w:r>
      <w:r>
        <w:rPr/>
        <w:t>15.65%</w:t>
      </w:r>
      <w:r>
        <w:rPr/>
        <w:t>；</w:t>
      </w:r>
      <w:r>
        <w:rPr/>
        <w:t>20</w:t>
      </w:r>
      <w:r>
        <w:rPr/>
        <w:t>周和</w:t>
      </w:r>
      <w:r>
        <w:rPr/>
        <w:t>60</w:t>
      </w:r>
      <w:r>
        <w:rPr/>
        <w:t>周均线五周变化−</w:t>
      </w:r>
      <w:r>
        <w:rPr/>
        <w:t>7.20%</w:t>
      </w:r>
      <w:r>
        <w:rPr/>
        <w:t>和−</w:t>
      </w:r>
      <w:r>
        <w:rPr/>
        <w:t>1.41%</w:t>
      </w:r>
      <w:r>
        <w:rPr/>
        <w:t>，</w:t>
      </w:r>
      <w:r>
        <w:rPr/>
        <w:t>120</w:t>
      </w:r>
      <w:r>
        <w:rPr/>
        <w:t>周微升</w:t>
      </w:r>
      <w:r>
        <w:rPr/>
        <w:t>1.04%</w:t>
      </w:r>
      <w:r>
        <w:rPr/>
        <w:t>，但价格已跌到其下。只有</w:t>
      </w:r>
      <w:r>
        <w:rPr/>
        <w:t>157</w:t>
      </w:r>
      <w:r>
        <w:rPr/>
        <w:t>个真实周线，因此不存在可计算的</w:t>
      </w:r>
      <w:r>
        <w:rPr/>
        <w:t>250</w:t>
      </w:r>
      <w:r>
        <w:rPr/>
        <w:t>周均线，本文不补造长期指标。周线</w:t>
      </w:r>
      <w:r>
        <w:rPr/>
        <w:t>20</w:t>
      </w:r>
      <w:r>
        <w:rPr/>
        <w:t>周上</w:t>
      </w:r>
      <w:r>
        <w:rPr/>
        <w:t>/</w:t>
      </w:r>
      <w:r>
        <w:rPr/>
        <w:t>下量比约</w:t>
      </w:r>
      <w:r>
        <w:rPr/>
        <w:t>0.4343</w:t>
      </w:r>
      <w:r>
        <w:rPr/>
        <w:t>，上涨量显著少于下跌量，表明近期周级价格修复尚缺成交支持。</w:t>
      </w:r>
    </w:p>
    <w:p>
      <w:pPr>
        <w:pStyle w:val="Normal"/>
        <w:rPr/>
      </w:pPr>
      <w:r>
        <w:rPr/>
        <w:t>RSI14</w:t>
      </w:r>
      <w:r>
        <w:rPr/>
        <w:t>日约</w:t>
      </w:r>
      <w:r>
        <w:rPr/>
        <w:t>25.59</w:t>
      </w:r>
      <w:r>
        <w:rPr/>
        <w:t>、周约</w:t>
      </w:r>
      <w:r>
        <w:rPr/>
        <w:t>29.02</w:t>
      </w:r>
      <w:r>
        <w:rPr/>
        <w:t>，进入常用超卖观察区。超卖意味着近期跌多于涨，能提示价格短期弹性扩大，却不等于基本面低估或下跌结束。日</w:t>
      </w:r>
      <w:r>
        <w:rPr/>
        <w:t>MACD</w:t>
      </w:r>
      <w:r>
        <w:rPr/>
        <w:t>的</w:t>
      </w:r>
      <w:r>
        <w:rPr/>
        <w:t>DIF</w:t>
      </w:r>
      <w:r>
        <w:rPr/>
        <w:t>约−</w:t>
      </w:r>
      <w:r>
        <w:rPr/>
        <w:t>0.6502</w:t>
      </w:r>
      <w:r>
        <w:rPr/>
        <w:t>、</w:t>
      </w:r>
      <w:r>
        <w:rPr/>
        <w:t>DEA−0.6461</w:t>
      </w:r>
      <w:r>
        <w:rPr/>
        <w:t>，按两倍差的柱约−</w:t>
      </w:r>
      <w:r>
        <w:rPr/>
        <w:t>0.0082</w:t>
      </w:r>
      <w:r>
        <w:rPr/>
        <w:t>；两线接近说明下跌动能有收敛可能，但均仍为负。周</w:t>
      </w:r>
      <w:r>
        <w:rPr/>
        <w:t>MACD</w:t>
      </w:r>
      <w:r>
        <w:rPr/>
        <w:t>的</w:t>
      </w:r>
      <w:r>
        <w:rPr/>
        <w:t>DIF−1.4098</w:t>
      </w:r>
      <w:r>
        <w:rPr/>
        <w:t>、</w:t>
      </w:r>
      <w:r>
        <w:rPr/>
        <w:t>DEA−1.0284</w:t>
      </w:r>
      <w:r>
        <w:rPr/>
        <w:t>、柱−</w:t>
      </w:r>
      <w:r>
        <w:rPr/>
        <w:t>0.7627</w:t>
      </w:r>
      <w:r>
        <w:rPr/>
        <w:t>，仍表现明显中期弱势。相近动量指标不重复加分，本评分只给技术维度</w:t>
      </w:r>
      <w:r>
        <w:rPr/>
        <w:t>1</w:t>
      </w:r>
      <w:r>
        <w:rPr/>
        <w:t>分，以趋势和量能证据为主。</w:t>
      </w:r>
    </w:p>
    <w:p>
      <w:pPr>
        <w:pStyle w:val="Normal"/>
        <w:rPr/>
      </w:pPr>
      <w:r>
        <w:rPr/>
        <w:t>日</w:t>
      </w:r>
      <w:r>
        <w:rPr/>
        <w:t>ATR14</w:t>
      </w:r>
      <w:r>
        <w:rPr/>
        <w:t>约</w:t>
      </w:r>
      <w:r>
        <w:rPr/>
        <w:t>0.5726</w:t>
      </w:r>
      <w:r>
        <w:rPr/>
        <w:t>港元、相对股价</w:t>
      </w:r>
      <w:r>
        <w:rPr/>
        <w:t>4.57%</w:t>
      </w:r>
      <w:r>
        <w:rPr/>
        <w:t>，周</w:t>
      </w:r>
      <w:r>
        <w:rPr/>
        <w:t>ATR</w:t>
      </w:r>
      <w:r>
        <w:rPr/>
        <w:t>约</w:t>
      </w:r>
      <w:r>
        <w:rPr/>
        <w:t>1.4844</w:t>
      </w:r>
      <w:r>
        <w:rPr/>
        <w:t>港元、相对</w:t>
      </w:r>
      <w:r>
        <w:rPr/>
        <w:t>11.85%</w:t>
      </w:r>
      <w:r>
        <w:rPr/>
        <w:t>。这是近期真实波动尺度，不是统计最大损失，也不能将现价减一倍</w:t>
      </w:r>
      <w:r>
        <w:rPr/>
        <w:t>ATR</w:t>
      </w:r>
      <w:r>
        <w:rPr/>
        <w:t>称作绝对安全买点。</w:t>
      </w:r>
      <w:r>
        <w:rPr/>
        <w:t>12.48</w:t>
      </w:r>
      <w:r>
        <w:rPr/>
        <w:t>与</w:t>
      </w:r>
      <w:r>
        <w:rPr/>
        <w:t>12.53</w:t>
      </w:r>
      <w:r>
        <w:rPr/>
        <w:t>只差</w:t>
      </w:r>
      <w:r>
        <w:rPr/>
        <w:t>0.05</w:t>
      </w:r>
      <w:r>
        <w:rPr/>
        <w:t>港元，远小于日</w:t>
      </w:r>
      <w:r>
        <w:rPr/>
        <w:t>ATR</w:t>
      </w:r>
      <w:r>
        <w:rPr/>
        <w:t>，意味着在低位观察区小幅破位可能很快发生。若交易者使用技术条件，应结合波动和实际流动性看待执行价格。研究目标是基本面情景价值，技术观察用于半年兑现和路径风险，不把</w:t>
      </w:r>
      <w:r>
        <w:rPr/>
        <w:t>ATR</w:t>
      </w:r>
      <w:r>
        <w:rPr/>
        <w:t>反推长期内在价值。</w:t>
      </w:r>
    </w:p>
    <w:p>
      <w:pPr>
        <w:pStyle w:val="Normal"/>
        <w:rPr/>
      </w:pPr>
      <w:r>
        <w:rPr/>
        <w:t>相对恒生指数，股票</w:t>
      </w:r>
      <w:r>
        <w:rPr/>
        <w:t>20</w:t>
      </w:r>
      <w:r>
        <w:rPr/>
        <w:t>日超额收益约−</w:t>
      </w:r>
      <w:r>
        <w:rPr/>
        <w:t>4.14</w:t>
      </w:r>
      <w:r>
        <w:rPr/>
        <w:t>个百分点，</w:t>
      </w:r>
      <w:r>
        <w:rPr/>
        <w:t>60</w:t>
      </w:r>
      <w:r>
        <w:rPr/>
        <w:t>日约−</w:t>
      </w:r>
      <w:r>
        <w:rPr/>
        <w:t>25.58</w:t>
      </w:r>
      <w:r>
        <w:rPr/>
        <w:t>个百分点；同期恒指分别下跌约</w:t>
      </w:r>
      <w:r>
        <w:rPr/>
        <w:t>2.98%</w:t>
      </w:r>
      <w:r>
        <w:rPr/>
        <w:t>、</w:t>
      </w:r>
      <w:r>
        <w:rPr/>
        <w:t>3.19%</w:t>
      </w:r>
      <w:r>
        <w:rPr/>
        <w:t>。因此股价弱势不能仅归因大盘整体下跌，至少需要承认公司或细分行业表现显著更弱。未取得适合核药细分且同口径的行业指数日线，行业相对收益留空。不能用创新药指数硬替代核药、设备、辐照混合经营，也不能把恒生科技当该公司行业基准。市场相对强弱只提供价格表现证据，不代替公司业绩原因判断。</w:t>
      </w:r>
    </w:p>
    <w:p>
      <w:pPr>
        <w:pStyle w:val="Normal"/>
        <w:rPr/>
      </w:pPr>
      <w:r>
        <w:rPr/>
        <w:t>历史行情采用以基准日名义价格归一的复权</w:t>
      </w:r>
      <w:r>
        <w:rPr/>
        <w:t>OHLC</w:t>
      </w:r>
      <w:r>
        <w:rPr/>
        <w:t>，过去现金股息与公司行动在计算中处理。</w:t>
      </w:r>
      <w:r>
        <w:rPr/>
        <w:t>739</w:t>
      </w:r>
      <w:r>
        <w:rPr/>
        <w:t>个配对日两源价格一致，近</w:t>
      </w:r>
      <w:r>
        <w:rPr/>
        <w:t>60</w:t>
      </w:r>
      <w:r>
        <w:rPr/>
        <w:t>日复权差极小；原</w:t>
      </w:r>
      <w:r>
        <w:rPr/>
        <w:t>Yahoo</w:t>
      </w:r>
      <w:r>
        <w:rPr/>
        <w:t>有</w:t>
      </w:r>
      <w:r>
        <w:rPr/>
        <w:t>9</w:t>
      </w:r>
      <w:r>
        <w:rPr/>
        <w:t>根</w:t>
      </w:r>
      <w:r>
        <w:rPr/>
        <w:t>OHLC</w:t>
      </w:r>
      <w:r>
        <w:rPr/>
        <w:t>逻辑不一致，按腾讯同日完整</w:t>
      </w:r>
      <w:r>
        <w:rPr/>
        <w:t>bar</w:t>
      </w:r>
      <w:r>
        <w:rPr/>
        <w:t>修复并保留原字段，而非主观删除大跌日。最新主日线成交为</w:t>
      </w:r>
      <w:r>
        <w:rPr/>
        <w:t>107600</w:t>
      </w:r>
      <w:r>
        <w:rPr/>
        <w:t>股，</w:t>
      </w:r>
      <w:r>
        <w:rPr/>
        <w:t>Yahoo</w:t>
      </w:r>
      <w:r>
        <w:rPr/>
        <w:t>元资料</w:t>
      </w:r>
      <w:r>
        <w:rPr/>
        <w:t>108200</w:t>
      </w:r>
      <w:r>
        <w:rPr/>
        <w:t>并未被用于替换锁定日线。股与手、日线与报价元资料不能混用。精确自由流通换手率未取得，成交除全部股或</w:t>
      </w:r>
      <w:r>
        <w:rPr/>
        <w:t>H</w:t>
      </w:r>
      <w:r>
        <w:rPr/>
        <w:t>股只能作比例，不冒充正式换手。</w:t>
      </w:r>
    </w:p>
    <w:p>
      <w:pPr>
        <w:pStyle w:val="Normal"/>
        <w:rPr/>
      </w:pPr>
      <w:r>
        <w:rPr/>
        <w:t>技术失效和升级条件需要与基本面分开。继续创新低、跌破观察位后反抽失败、相对市场弱势延续，是短期谨慎判断维持条件；持续站回</w:t>
      </w:r>
      <w:r>
        <w:rPr/>
        <w:t>20</w:t>
      </w:r>
      <w:r>
        <w:rPr/>
        <w:t>日再</w:t>
      </w:r>
      <w:r>
        <w:rPr/>
        <w:t>60</w:t>
      </w:r>
      <w:r>
        <w:rPr/>
        <w:t>日均线、回踩量缩并能保持、上涨量改善，才允许技术评分上调。若新药公告刺激一日大涨，而母收益和现金证据没有改善，最多说明催化剂交易活跃，不能自动升级三年评分。反之，股价继续弱而财报出现真实现金改善，可提高估值关注度，但半年排名仍保留兑现风险折价。</w:t>
      </w:r>
    </w:p>
    <w:p>
      <w:pPr>
        <w:pStyle w:val="Heading2"/>
        <w:rPr/>
      </w:pPr>
      <w:r>
        <w:rPr>
          <w:color w:val="000000"/>
        </w:rPr>
        <w:t>估值原子 三情景与价格敏感性</w:t>
      </w:r>
    </w:p>
    <w:p>
      <w:pPr>
        <w:pStyle w:val="Normal"/>
        <w:rPr/>
      </w:pPr>
      <w:r>
        <w:rPr/>
        <w:t>成熟经营部分采用正常前瞻归母</w:t>
      </w:r>
      <w:r>
        <w:rPr/>
        <w:t>EPS</w:t>
      </w:r>
      <w:r>
        <w:rPr/>
        <w:t>乘合理</w:t>
      </w:r>
      <w:r>
        <w:rPr/>
        <w:t>PE</w:t>
      </w:r>
      <w:r>
        <w:rPr/>
        <w:t>，而不是只根据新闻目标价。现价</w:t>
      </w:r>
      <w:r>
        <w:rPr/>
        <w:t>12.53</w:t>
      </w:r>
      <w:r>
        <w:rPr/>
        <w:t>港元，研究换算</w:t>
      </w:r>
      <w:r>
        <w:rPr/>
        <w:t>1.1</w:t>
      </w:r>
      <w:r>
        <w:rPr/>
        <w:t>港元兑人民币</w:t>
      </w:r>
      <w:r>
        <w:rPr/>
        <w:t>1</w:t>
      </w:r>
      <w:r>
        <w:rPr/>
        <w:t>元，全部股份</w:t>
      </w:r>
      <w:r>
        <w:rPr/>
        <w:t>3.198749</w:t>
      </w:r>
      <w:r>
        <w:rPr/>
        <w:t>亿。</w:t>
      </w:r>
      <w:r>
        <w:rPr/>
        <w:t>2025</w:t>
      </w:r>
      <w:r>
        <w:rPr/>
        <w:t>年报告归母</w:t>
      </w:r>
      <w:r>
        <w:rPr/>
        <w:t>EPS</w:t>
      </w:r>
      <w:r>
        <w:rPr/>
        <w:t>约</w:t>
      </w:r>
      <w:r>
        <w:rPr/>
        <w:t>1.0236</w:t>
      </w:r>
      <w:r>
        <w:rPr/>
        <w:t>元，对应</w:t>
      </w:r>
      <w:r>
        <w:rPr/>
        <w:t>11.13</w:t>
      </w:r>
      <w:r>
        <w:rPr/>
        <w:t>倍；管理层正常归母</w:t>
      </w:r>
      <w:r>
        <w:rPr/>
        <w:t>EPS</w:t>
      </w:r>
      <w:r>
        <w:rPr/>
        <w:t>约</w:t>
      </w:r>
      <w:r>
        <w:rPr/>
        <w:t>1.4299</w:t>
      </w:r>
      <w:r>
        <w:rPr/>
        <w:t>元，对应</w:t>
      </w:r>
      <w:r>
        <w:rPr/>
        <w:t>7.97</w:t>
      </w:r>
      <w:r>
        <w:rPr/>
        <w:t>倍；</w:t>
      </w:r>
      <w:r>
        <w:rPr/>
        <w:t>2026</w:t>
      </w:r>
      <w:r>
        <w:rPr/>
        <w:t>上半年简单年化</w:t>
      </w:r>
      <w:r>
        <w:rPr/>
        <w:t>EPS</w:t>
      </w:r>
      <w:r>
        <w:rPr/>
        <w:t>约</w:t>
      </w:r>
      <w:r>
        <w:rPr/>
        <w:t>0.9941</w:t>
      </w:r>
      <w:r>
        <w:rPr/>
        <w:t>元，对应</w:t>
      </w:r>
      <w:r>
        <w:rPr/>
        <w:t>11.46</w:t>
      </w:r>
      <w:r>
        <w:rPr/>
        <w:t>倍。上半年有季节性且准则改变，简单年化只是参照。母权益</w:t>
      </w:r>
      <w:r>
        <w:rPr/>
        <w:t>53.0893</w:t>
      </w:r>
      <w:r>
        <w:rPr/>
        <w:t>亿元除全部股份的</w:t>
      </w:r>
      <w:r>
        <w:rPr/>
        <w:t>PB</w:t>
      </w:r>
      <w:r>
        <w:rPr/>
        <w:t>约</w:t>
      </w:r>
      <w:r>
        <w:rPr/>
        <w:t>0.686</w:t>
      </w:r>
      <w:r>
        <w:rPr/>
        <w:t>，第三方行情</w:t>
      </w:r>
      <w:r>
        <w:rPr/>
        <w:t>3.1</w:t>
      </w:r>
      <w:r>
        <w:rPr/>
        <w:t>未核口径，不作为报告估值。</w:t>
      </w:r>
    </w:p>
    <w:p>
      <w:pPr>
        <w:pStyle w:val="Normal"/>
        <w:rPr/>
      </w:pPr>
      <w:r>
        <w:rPr/>
        <w:t>低</w:t>
      </w:r>
      <w:r>
        <w:rPr/>
        <w:t>PB</w:t>
      </w:r>
      <w:r>
        <w:rPr/>
        <w:t>也不能直接证明清算安全。权益包含固定资产、在建工程、应收、存货、开发支出和长期投资，变现可能折价、受限并需付债和少数。普通股定价依赖未来可分现金，不是把账面资产按原额卖出。集团</w:t>
      </w:r>
      <w:r>
        <w:rPr/>
        <w:t>PE</w:t>
      </w:r>
      <w:r>
        <w:rPr/>
        <w:t>里已经包含现金利息、融资支出与投资收益，不能在</w:t>
      </w:r>
      <w:r>
        <w:rPr/>
        <w:t>EPS</w:t>
      </w:r>
      <w:r>
        <w:rPr/>
        <w:t>价格后再加全部现金或扣全部净债。若采用独立企业价值方法需要另建资本结构与业务边界，并与</w:t>
      </w:r>
      <w:r>
        <w:rPr/>
        <w:t>PE</w:t>
      </w:r>
      <w:r>
        <w:rPr/>
        <w:t>交叉验证；本文选择可编辑正常集团收益桥，保持单套活动模型和三情景快照。</w:t>
      </w:r>
    </w:p>
    <w:p>
      <w:pPr>
        <w:pStyle w:val="Normal"/>
        <w:rPr/>
      </w:pPr>
      <w:r>
        <w:rPr/>
        <w:t>模型逐分部收入减成本得毛利，再扣税金、销售、行政、研发、净财务费和减值，加入正常其他收益、投资收益；权益法收益作为税后项目从经营税基剔除。税前减经营税和独立税调得到总净利，再扣少数损益得到归母；最后除全部稀释股份。所有输入在</w:t>
      </w:r>
      <w:r>
        <w:rPr/>
        <w:t>JSON</w:t>
      </w:r>
      <w:r>
        <w:rPr/>
        <w:t>和总表保持可编辑，不只留下最终</w:t>
      </w:r>
      <w:r>
        <w:rPr/>
        <w:t>EPS</w:t>
      </w:r>
      <w:r>
        <w:rPr/>
        <w:t>。少数是明示预测项，未来持股变化或分部组合变化时需重估；不能固定把母份额永远设为半数，也不能为了得到高目标把少数突然归零。</w:t>
      </w:r>
    </w:p>
    <w:p>
      <w:pPr>
        <w:pStyle w:val="Normal"/>
        <w:rPr/>
      </w:pPr>
      <w:r>
        <w:rPr/>
        <w:t>年底基准使用</w:t>
      </w:r>
      <w:r>
        <w:rPr/>
        <w:t>2027</w:t>
      </w:r>
      <w:r>
        <w:rPr/>
        <w:t>正常前瞻收入</w:t>
      </w:r>
      <w:r>
        <w:rPr/>
        <w:t>78.2</w:t>
      </w:r>
      <w:r>
        <w:rPr/>
        <w:t>亿元：核药</w:t>
      </w:r>
      <w:r>
        <w:rPr/>
        <w:t>40</w:t>
      </w:r>
      <w:r>
        <w:rPr/>
        <w:t>亿、装备</w:t>
      </w:r>
      <w:r>
        <w:rPr/>
        <w:t>18</w:t>
      </w:r>
      <w:r>
        <w:rPr/>
        <w:t>亿、放射源</w:t>
      </w:r>
      <w:r>
        <w:rPr/>
        <w:t>8.6</w:t>
      </w:r>
      <w:r>
        <w:rPr/>
        <w:t>亿、辐照</w:t>
      </w:r>
      <w:r>
        <w:rPr/>
        <w:t>2.6</w:t>
      </w:r>
      <w:r>
        <w:rPr/>
        <w:t>亿、其他</w:t>
      </w:r>
      <w:r>
        <w:rPr/>
        <w:t>9</w:t>
      </w:r>
      <w:r>
        <w:rPr/>
        <w:t>亿。分部毛利率假设</w:t>
      </w:r>
      <w:r>
        <w:rPr/>
        <w:t>65%</w:t>
      </w:r>
      <w:r>
        <w:rPr/>
        <w:t>、</w:t>
      </w:r>
      <w:r>
        <w:rPr/>
        <w:t>25%</w:t>
      </w:r>
      <w:r>
        <w:rPr/>
        <w:t>、</w:t>
      </w:r>
      <w:r>
        <w:rPr/>
        <w:t>49%</w:t>
      </w:r>
      <w:r>
        <w:rPr/>
        <w:t>、</w:t>
      </w:r>
      <w:r>
        <w:rPr/>
        <w:t>46%</w:t>
      </w:r>
      <w:r>
        <w:rPr/>
        <w:t>、</w:t>
      </w:r>
      <w:r>
        <w:rPr/>
        <w:t>10%</w:t>
      </w:r>
      <w:r>
        <w:rPr/>
        <w:t>，销售</w:t>
      </w:r>
      <w:r>
        <w:rPr/>
        <w:t>13.8</w:t>
      </w:r>
      <w:r>
        <w:rPr/>
        <w:t>亿、行政</w:t>
      </w:r>
      <w:r>
        <w:rPr/>
        <w:t>6.4</w:t>
      </w:r>
      <w:r>
        <w:rPr/>
        <w:t>亿、研发</w:t>
      </w:r>
      <w:r>
        <w:rPr/>
        <w:t>3.6</w:t>
      </w:r>
      <w:r>
        <w:rPr/>
        <w:t>亿、税金</w:t>
      </w:r>
      <w:r>
        <w:rPr/>
        <w:t>0.95</w:t>
      </w:r>
      <w:r>
        <w:rPr/>
        <w:t>亿、净财务</w:t>
      </w:r>
      <w:r>
        <w:rPr/>
        <w:t>0.7</w:t>
      </w:r>
      <w:r>
        <w:rPr/>
        <w:t>亿，保留信用与资产损失。税率</w:t>
      </w:r>
      <w:r>
        <w:rPr/>
        <w:t>23%</w:t>
      </w:r>
      <w:r>
        <w:rPr/>
        <w:t>及税调</w:t>
      </w:r>
      <w:r>
        <w:rPr/>
        <w:t>0.25</w:t>
      </w:r>
      <w:r>
        <w:rPr/>
        <w:t>亿、少数</w:t>
      </w:r>
      <w:r>
        <w:rPr/>
        <w:t>4.5</w:t>
      </w:r>
      <w:r>
        <w:rPr/>
        <w:t>亿后，归母</w:t>
      </w:r>
      <w:r>
        <w:rPr/>
        <w:t>4.2311</w:t>
      </w:r>
      <w:r>
        <w:rPr/>
        <w:t>亿元、</w:t>
      </w:r>
      <w:r>
        <w:rPr/>
        <w:t>EPS1.3227</w:t>
      </w:r>
      <w:r>
        <w:rPr/>
        <w:t>元，乘</w:t>
      </w:r>
      <w:r>
        <w:rPr/>
        <w:t>10.5</w:t>
      </w:r>
      <w:r>
        <w:rPr/>
        <w:t>倍及汇率得</w:t>
      </w:r>
      <w:r>
        <w:rPr/>
        <w:t>15.2776</w:t>
      </w:r>
      <w:r>
        <w:rPr/>
        <w:t>港元。该归母低于管理层</w:t>
      </w:r>
      <w:r>
        <w:rPr/>
        <w:t>2025</w:t>
      </w:r>
      <w:r>
        <w:rPr/>
        <w:t>正常</w:t>
      </w:r>
      <w:r>
        <w:rPr/>
        <w:t>4.574</w:t>
      </w:r>
      <w:r>
        <w:rPr/>
        <w:t>亿元，不假设年内凭空大幅实现核药收入。</w:t>
      </w:r>
    </w:p>
    <w:p>
      <w:pPr>
        <w:pStyle w:val="Normal"/>
        <w:rPr/>
      </w:pPr>
      <w:r>
        <w:rPr/>
        <w:t>年底悲观假设</w:t>
      </w:r>
      <w:r>
        <w:rPr/>
        <w:t>2027</w:t>
      </w:r>
      <w:r>
        <w:rPr/>
        <w:t>收入</w:t>
      </w:r>
      <w:r>
        <w:rPr/>
        <w:t>67.2</w:t>
      </w:r>
      <w:r>
        <w:rPr/>
        <w:t>亿元、价格和毛利受压、费用无法等比例下降、减值与税负提高，归母</w:t>
      </w:r>
      <w:r>
        <w:rPr/>
        <w:t>1.243</w:t>
      </w:r>
      <w:r>
        <w:rPr/>
        <w:t>亿元、</w:t>
      </w:r>
      <w:r>
        <w:rPr/>
        <w:t>EPS0.3886</w:t>
      </w:r>
      <w:r>
        <w:rPr/>
        <w:t>元，仅</w:t>
      </w:r>
      <w:r>
        <w:rPr/>
        <w:t>8</w:t>
      </w:r>
      <w:r>
        <w:rPr/>
        <w:t>倍</w:t>
      </w:r>
      <w:r>
        <w:rPr/>
        <w:t>PE</w:t>
      </w:r>
      <w:r>
        <w:rPr/>
        <w:t>得</w:t>
      </w:r>
      <w:r>
        <w:rPr/>
        <w:t>3.4196</w:t>
      </w:r>
      <w:r>
        <w:rPr/>
        <w:t>港元。该价格意味着市场同时下调盈利与倍数，是严重经营失速情景；它不是预计剩余两个多月必然跌七成，也不是跌七成的统计概率。乐观收入</w:t>
      </w:r>
      <w:r>
        <w:rPr/>
        <w:t>84.6</w:t>
      </w:r>
      <w:r>
        <w:rPr/>
        <w:t>亿元、核药毛利</w:t>
      </w:r>
      <w:r>
        <w:rPr/>
        <w:t>67%</w:t>
      </w:r>
      <w:r>
        <w:rPr/>
        <w:t>、装备</w:t>
      </w:r>
      <w:r>
        <w:rPr/>
        <w:t>27%</w:t>
      </w:r>
      <w:r>
        <w:rPr/>
        <w:t>，正常归母</w:t>
      </w:r>
      <w:r>
        <w:rPr/>
        <w:t>5.9034</w:t>
      </w:r>
      <w:r>
        <w:rPr/>
        <w:t>亿元、</w:t>
      </w:r>
      <w:r>
        <w:rPr/>
        <w:t>13</w:t>
      </w:r>
      <w:r>
        <w:rPr/>
        <w:t>倍</w:t>
      </w:r>
      <w:r>
        <w:rPr/>
        <w:t>PE</w:t>
      </w:r>
      <w:r>
        <w:rPr/>
        <w:t>得</w:t>
      </w:r>
      <w:r>
        <w:rPr/>
        <w:t>26.3910</w:t>
      </w:r>
      <w:r>
        <w:rPr/>
        <w:t>港元，要求产业经营证据和投资偏好同时改善，不能因公告一张注册证即认为已成立。</w:t>
      </w:r>
    </w:p>
    <w:p>
      <w:pPr>
        <w:pStyle w:val="Normal"/>
        <w:rPr/>
      </w:pPr>
      <w:r>
        <w:rPr/>
        <w:t>半年基准随着</w:t>
      </w:r>
      <w:r>
        <w:rPr/>
        <w:t>2026</w:t>
      </w:r>
      <w:r>
        <w:rPr/>
        <w:t>全年财报、产线和新产品商业化信息成熟，</w:t>
      </w:r>
      <w:r>
        <w:rPr/>
        <w:t>2027</w:t>
      </w:r>
      <w:r>
        <w:rPr/>
        <w:t>收入设</w:t>
      </w:r>
      <w:r>
        <w:rPr/>
        <w:t>79.9</w:t>
      </w:r>
      <w:r>
        <w:rPr/>
        <w:t>亿元、归母</w:t>
      </w:r>
      <w:r>
        <w:rPr/>
        <w:t>4.4252</w:t>
      </w:r>
      <w:r>
        <w:rPr/>
        <w:t>亿元、</w:t>
      </w:r>
      <w:r>
        <w:rPr/>
        <w:t>EPS1.3834</w:t>
      </w:r>
      <w:r>
        <w:rPr/>
        <w:t>元，估值</w:t>
      </w:r>
      <w:r>
        <w:rPr/>
        <w:t>11</w:t>
      </w:r>
      <w:r>
        <w:rPr/>
        <w:t>倍得</w:t>
      </w:r>
      <w:r>
        <w:rPr/>
        <w:t>16.7394</w:t>
      </w:r>
      <w:r>
        <w:rPr/>
        <w:t>港元。与年底基准的差别来自信息成熟与经营假设改变，并非按剩余月份线性缩放。悲观归母</w:t>
      </w:r>
      <w:r>
        <w:rPr/>
        <w:t>0.9958</w:t>
      </w:r>
      <w:r>
        <w:rPr/>
        <w:t>亿元、</w:t>
      </w:r>
      <w:r>
        <w:rPr/>
        <w:t>8</w:t>
      </w:r>
      <w:r>
        <w:rPr/>
        <w:t>倍得</w:t>
      </w:r>
      <w:r>
        <w:rPr/>
        <w:t>2.7394</w:t>
      </w:r>
      <w:r>
        <w:rPr/>
        <w:t>；乐观</w:t>
      </w:r>
      <w:r>
        <w:rPr/>
        <w:t>6.3304</w:t>
      </w:r>
      <w:r>
        <w:rPr/>
        <w:t>亿元、</w:t>
      </w:r>
      <w:r>
        <w:rPr/>
        <w:t>13.5</w:t>
      </w:r>
      <w:r>
        <w:rPr/>
        <w:t>倍得</w:t>
      </w:r>
      <w:r>
        <w:rPr/>
        <w:t>29.3884</w:t>
      </w:r>
      <w:r>
        <w:rPr/>
        <w:t>。技术形态给基准兑现带来折价，目标价只表示假设价值，不表示股价路径一直向上。若市场持续拒绝给予正常收益倍数，半年回报可低于模型基准。</w:t>
      </w:r>
    </w:p>
    <w:p>
      <w:pPr>
        <w:pStyle w:val="Normal"/>
        <w:rPr/>
      </w:pPr>
      <w:r>
        <w:rPr/>
        <w:t>一年基准看</w:t>
      </w:r>
      <w:r>
        <w:rPr/>
        <w:t>2028</w:t>
      </w:r>
      <w:r>
        <w:rPr/>
        <w:t>前瞻，收入</w:t>
      </w:r>
      <w:r>
        <w:rPr/>
        <w:t>90.8</w:t>
      </w:r>
      <w:r>
        <w:rPr/>
        <w:t>亿元，其中核药</w:t>
      </w:r>
      <w:r>
        <w:rPr/>
        <w:t>46.2</w:t>
      </w:r>
      <w:r>
        <w:rPr/>
        <w:t>亿、装备</w:t>
      </w:r>
      <w:r>
        <w:rPr/>
        <w:t>21.5</w:t>
      </w:r>
      <w:r>
        <w:rPr/>
        <w:t>亿、放射源</w:t>
      </w:r>
      <w:r>
        <w:rPr/>
        <w:t>10.1</w:t>
      </w:r>
      <w:r>
        <w:rPr/>
        <w:t>亿、辐照</w:t>
      </w:r>
      <w:r>
        <w:rPr/>
        <w:t>3.2</w:t>
      </w:r>
      <w:r>
        <w:rPr/>
        <w:t>亿、其他</w:t>
      </w:r>
      <w:r>
        <w:rPr/>
        <w:t>9.8</w:t>
      </w:r>
      <w:r>
        <w:rPr/>
        <w:t>亿；税和少数保留后归母</w:t>
      </w:r>
      <w:r>
        <w:rPr/>
        <w:t>5.6234</w:t>
      </w:r>
      <w:r>
        <w:rPr/>
        <w:t>亿元、</w:t>
      </w:r>
      <w:r>
        <w:rPr/>
        <w:t>EPS1.7580</w:t>
      </w:r>
      <w:r>
        <w:rPr/>
        <w:t>元，</w:t>
      </w:r>
      <w:r>
        <w:rPr/>
        <w:t>11.5</w:t>
      </w:r>
      <w:r>
        <w:rPr/>
        <w:t>倍</w:t>
      </w:r>
      <w:r>
        <w:rPr/>
        <w:t>PE</w:t>
      </w:r>
      <w:r>
        <w:rPr/>
        <w:t>得</w:t>
      </w:r>
      <w:r>
        <w:rPr/>
        <w:t>22.2387</w:t>
      </w:r>
      <w:r>
        <w:rPr/>
        <w:t>港元。乐观需要核药和装备更快速兑现，收入</w:t>
      </w:r>
      <w:r>
        <w:rPr/>
        <w:t>102</w:t>
      </w:r>
      <w:r>
        <w:rPr/>
        <w:t>亿元、归母</w:t>
      </w:r>
      <w:r>
        <w:rPr/>
        <w:t>7.5518</w:t>
      </w:r>
      <w:r>
        <w:rPr/>
        <w:t>亿元、</w:t>
      </w:r>
      <w:r>
        <w:rPr/>
        <w:t>14</w:t>
      </w:r>
      <w:r>
        <w:rPr/>
        <w:t>倍得</w:t>
      </w:r>
      <w:r>
        <w:rPr/>
        <w:t>36.3571</w:t>
      </w:r>
      <w:r>
        <w:rPr/>
        <w:t>港元。悲观收入</w:t>
      </w:r>
      <w:r>
        <w:rPr/>
        <w:t>68.8</w:t>
      </w:r>
      <w:r>
        <w:rPr/>
        <w:t>亿元、归母</w:t>
      </w:r>
      <w:r>
        <w:rPr/>
        <w:t>0.7226</w:t>
      </w:r>
      <w:r>
        <w:rPr/>
        <w:t>亿元，同时假设股份</w:t>
      </w:r>
      <w:r>
        <w:rPr/>
        <w:t>3.3</w:t>
      </w:r>
      <w:r>
        <w:rPr/>
        <w:t>亿，</w:t>
      </w:r>
      <w:r>
        <w:rPr/>
        <w:t>7.5</w:t>
      </w:r>
      <w:r>
        <w:rPr/>
        <w:t>倍得</w:t>
      </w:r>
      <w:r>
        <w:rPr/>
        <w:t>1.8066</w:t>
      </w:r>
      <w:r>
        <w:rPr/>
        <w:t>港元。低利润</w:t>
      </w:r>
      <w:r>
        <w:rPr/>
        <w:t>PE</w:t>
      </w:r>
      <w:r>
        <w:rPr/>
        <w:t>在极端压力时不稳定，因此下端不代表资产价值底线。</w:t>
      </w:r>
    </w:p>
    <w:p>
      <w:pPr>
        <w:pStyle w:val="Normal"/>
        <w:rPr/>
      </w:pPr>
      <w:r>
        <w:rPr/>
        <w:t>三年基准以</w:t>
      </w:r>
      <w:r>
        <w:rPr/>
        <w:t>2030</w:t>
      </w:r>
      <w:r>
        <w:rPr/>
        <w:t>收入</w:t>
      </w:r>
      <w:r>
        <w:rPr/>
        <w:t>118</w:t>
      </w:r>
      <w:r>
        <w:rPr/>
        <w:t>亿元、归母</w:t>
      </w:r>
      <w:r>
        <w:rPr/>
        <w:t>7.9719</w:t>
      </w:r>
      <w:r>
        <w:rPr/>
        <w:t>亿元、股份</w:t>
      </w:r>
      <w:r>
        <w:rPr/>
        <w:t>3.25</w:t>
      </w:r>
      <w:r>
        <w:rPr/>
        <w:t>亿计算</w:t>
      </w:r>
      <w:r>
        <w:rPr/>
        <w:t>EPS2.4529</w:t>
      </w:r>
      <w:r>
        <w:rPr/>
        <w:t>元，</w:t>
      </w:r>
      <w:r>
        <w:rPr/>
        <w:t>12</w:t>
      </w:r>
      <w:r>
        <w:rPr/>
        <w:t>倍得到</w:t>
      </w:r>
      <w:r>
        <w:rPr/>
        <w:t>32.3783</w:t>
      </w:r>
      <w:r>
        <w:rPr/>
        <w:t>港元。五年基准</w:t>
      </w:r>
      <w:r>
        <w:rPr/>
        <w:t>2032</w:t>
      </w:r>
      <w:r>
        <w:rPr/>
        <w:t>收入</w:t>
      </w:r>
      <w:r>
        <w:rPr/>
        <w:t>151.7</w:t>
      </w:r>
      <w:r>
        <w:rPr/>
        <w:t>亿元、归母</w:t>
      </w:r>
      <w:r>
        <w:rPr/>
        <w:t>11.0848</w:t>
      </w:r>
      <w:r>
        <w:rPr/>
        <w:t>亿元、股份</w:t>
      </w:r>
      <w:r>
        <w:rPr/>
        <w:t>3.35</w:t>
      </w:r>
      <w:r>
        <w:rPr/>
        <w:t>亿，</w:t>
      </w:r>
      <w:r>
        <w:rPr/>
        <w:t>EPS3.3089</w:t>
      </w:r>
      <w:r>
        <w:rPr/>
        <w:t>元、</w:t>
      </w:r>
      <w:r>
        <w:rPr/>
        <w:t>11</w:t>
      </w:r>
      <w:r>
        <w:rPr/>
        <w:t>倍得</w:t>
      </w:r>
      <w:r>
        <w:rPr/>
        <w:t>40.0378</w:t>
      </w:r>
      <w:r>
        <w:rPr/>
        <w:t>港元。较长期增长来自核药、设备和供应网络使用，而非无限提高估值倍数；五年倍数低于三年，体现行业成熟和监管约束。收入增长需要新增产品与产能兑现，远期数值不具有与已审年报相同可信度，必须随着真实经营年报重估。</w:t>
      </w:r>
    </w:p>
    <w:p>
      <w:pPr>
        <w:pStyle w:val="Normal"/>
        <w:rPr/>
      </w:pPr>
      <w:r>
        <w:rPr/>
        <w:t>长期悲观不简单假设公司消失，而是假设收入温和增长却盈利效率、融资和税负较差，少数利益结构限制母收益，</w:t>
      </w:r>
      <w:r>
        <w:rPr/>
        <w:t>EPS</w:t>
      </w:r>
      <w:r>
        <w:rPr/>
        <w:t>低位持续。三年和五年悲观价</w:t>
      </w:r>
      <w:r>
        <w:rPr/>
        <w:t>2.2326</w:t>
      </w:r>
      <w:r>
        <w:rPr/>
        <w:t>及</w:t>
      </w:r>
      <w:r>
        <w:rPr/>
        <w:t>2.5440</w:t>
      </w:r>
      <w:r>
        <w:rPr/>
        <w:t>港元，累计股息亦显著低于基准，不能凭持有更久就认为亏损必然修复。长期乐观价</w:t>
      </w:r>
      <w:r>
        <w:rPr/>
        <w:t>53.3159</w:t>
      </w:r>
      <w:r>
        <w:rPr/>
        <w:t>及</w:t>
      </w:r>
      <w:r>
        <w:rPr/>
        <w:t>74.9080</w:t>
      </w:r>
      <w:r>
        <w:rPr/>
        <w:t>港元对应产业扩张、核药价值、产线利用与收入效率持续提高，并有较高母收益。两端说明经营路径的复利差异，不是精确未来股价预测，更不覆盖安全事故或持续经营极端尾部。</w:t>
      </w:r>
    </w:p>
    <w:p>
      <w:pPr>
        <w:pStyle w:val="Normal"/>
        <w:rPr/>
      </w:pPr>
      <w:r>
        <w:rPr/>
        <w:t>市盈率敏感性可以直接复核。年底基准</w:t>
      </w:r>
      <w:r>
        <w:rPr/>
        <w:t>EPS1.3227</w:t>
      </w:r>
      <w:r>
        <w:rPr/>
        <w:t>元在</w:t>
      </w:r>
      <w:r>
        <w:rPr/>
        <w:t>8</w:t>
      </w:r>
      <w:r>
        <w:rPr/>
        <w:t>、</w:t>
      </w:r>
      <w:r>
        <w:rPr/>
        <w:t>10.5</w:t>
      </w:r>
      <w:r>
        <w:rPr/>
        <w:t>、</w:t>
      </w:r>
      <w:r>
        <w:rPr/>
        <w:t>13</w:t>
      </w:r>
      <w:r>
        <w:rPr/>
        <w:t>倍下，约得</w:t>
      </w:r>
      <w:r>
        <w:rPr/>
        <w:t>11.640</w:t>
      </w:r>
      <w:r>
        <w:rPr/>
        <w:t>、</w:t>
      </w:r>
      <w:r>
        <w:rPr/>
        <w:t>15.278</w:t>
      </w:r>
      <w:r>
        <w:rPr/>
        <w:t>、</w:t>
      </w:r>
      <w:r>
        <w:rPr/>
        <w:t>18.915</w:t>
      </w:r>
      <w:r>
        <w:rPr/>
        <w:t>港元；在</w:t>
      </w:r>
      <w:r>
        <w:rPr/>
        <w:t>10.5</w:t>
      </w:r>
      <w:r>
        <w:rPr/>
        <w:t>倍不变时，</w:t>
      </w:r>
      <w:r>
        <w:rPr/>
        <w:t>EPS</w:t>
      </w:r>
      <w:r>
        <w:rPr/>
        <w:t>较基准减少</w:t>
      </w:r>
      <w:r>
        <w:rPr/>
        <w:t>20%</w:t>
      </w:r>
      <w:r>
        <w:rPr/>
        <w:t>或增加</w:t>
      </w:r>
      <w:r>
        <w:rPr/>
        <w:t>20%</w:t>
      </w:r>
      <w:r>
        <w:rPr/>
        <w:t>，价格约</w:t>
      </w:r>
      <w:r>
        <w:rPr/>
        <w:t>12.222</w:t>
      </w:r>
      <w:r>
        <w:rPr/>
        <w:t>或</w:t>
      </w:r>
      <w:r>
        <w:rPr/>
        <w:t>18.333</w:t>
      </w:r>
      <w:r>
        <w:rPr/>
        <w:t>港元。这说明即使业务兑现而市场估值不修复，上涨仍可能很有限。净利润亦对销售率、核药毛利、少数结构和税调敏感；收入</w:t>
      </w:r>
      <w:r>
        <w:rPr/>
        <w:t>78.2</w:t>
      </w:r>
      <w:r>
        <w:rPr/>
        <w:t>亿元若毛利率整体低一个百分点，税前少约</w:t>
      </w:r>
      <w:r>
        <w:rPr/>
        <w:t>0.782</w:t>
      </w:r>
      <w:r>
        <w:rPr/>
        <w:t>亿元，再考虑税和归属会显著改变</w:t>
      </w:r>
      <w:r>
        <w:rPr/>
        <w:t>EPS</w:t>
      </w:r>
      <w:r>
        <w:rPr/>
        <w:t>。不能只改一项乐观销量而保持全部其他成本不动。</w:t>
      </w:r>
    </w:p>
    <w:p>
      <w:pPr>
        <w:pStyle w:val="Normal"/>
        <w:rPr/>
      </w:pPr>
      <w:r>
        <w:rPr/>
        <w:t>股息口径与价格回报单列。半年累计条件性</w:t>
      </w:r>
      <w:r>
        <w:rPr/>
        <w:t>0.10934</w:t>
      </w:r>
      <w:r>
        <w:rPr/>
        <w:t>港元，一年三情景</w:t>
      </w:r>
      <w:r>
        <w:rPr/>
        <w:t>0.22</w:t>
      </w:r>
      <w:r>
        <w:rPr/>
        <w:t>、</w:t>
      </w:r>
      <w:r>
        <w:rPr/>
        <w:t>0.32</w:t>
      </w:r>
      <w:r>
        <w:rPr/>
        <w:t>、</w:t>
      </w:r>
      <w:r>
        <w:rPr/>
        <w:t>0.39</w:t>
      </w:r>
      <w:r>
        <w:rPr/>
        <w:t>，三年</w:t>
      </w:r>
      <w:r>
        <w:rPr/>
        <w:t>0.60</w:t>
      </w:r>
      <w:r>
        <w:rPr/>
        <w:t>、</w:t>
      </w:r>
      <w:r>
        <w:rPr/>
        <w:t>1.10</w:t>
      </w:r>
      <w:r>
        <w:rPr/>
        <w:t>、</w:t>
      </w:r>
      <w:r>
        <w:rPr/>
        <w:t>1.52</w:t>
      </w:r>
      <w:r>
        <w:rPr/>
        <w:t>，五年</w:t>
      </w:r>
      <w:r>
        <w:rPr/>
        <w:t>0.86</w:t>
      </w:r>
      <w:r>
        <w:rPr/>
        <w:t>、</w:t>
      </w:r>
      <w:r>
        <w:rPr/>
        <w:t>2.10</w:t>
      </w:r>
      <w:r>
        <w:rPr/>
        <w:t>、</w:t>
      </w:r>
      <w:r>
        <w:rPr/>
        <w:t>3.10</w:t>
      </w:r>
      <w:r>
        <w:rPr/>
        <w:t>，均是税前未再投资。未来多年度派息尚未批准且受母现金约束，不能保证。基准一年含息</w:t>
      </w:r>
      <w:r>
        <w:rPr/>
        <w:t>80.04%</w:t>
      </w:r>
      <w:r>
        <w:rPr/>
        <w:t>，若累计股息按</w:t>
      </w:r>
      <w:r>
        <w:rPr/>
        <w:t>10%</w:t>
      </w:r>
      <w:r>
        <w:rPr/>
        <w:t>或</w:t>
      </w:r>
      <w:r>
        <w:rPr/>
        <w:t>20%</w:t>
      </w:r>
      <w:r>
        <w:rPr/>
        <w:t>预提，总回报略低；税额依据股东身份与适用规则，不统一替所有投资者确定。较高预期主要来自股价估值，不是高股息抵消全部风险，零股息仍可能发生于现金受压路径。</w:t>
      </w:r>
    </w:p>
    <w:p>
      <w:pPr>
        <w:pStyle w:val="Normal"/>
        <w:rPr/>
      </w:pPr>
      <w:r>
        <w:rPr/>
        <w:t>年底判断权重</w:t>
      </w:r>
      <w:r>
        <w:rPr/>
        <w:t>25%</w:t>
      </w:r>
      <w:r>
        <w:rPr/>
        <w:t>、</w:t>
      </w:r>
      <w:r>
        <w:rPr/>
        <w:t>50%</w:t>
      </w:r>
      <w:r>
        <w:rPr/>
        <w:t>、</w:t>
      </w:r>
      <w:r>
        <w:rPr/>
        <w:t>25%</w:t>
      </w:r>
      <w:r>
        <w:rPr/>
        <w:t>得到期望价</w:t>
      </w:r>
      <w:r>
        <w:rPr/>
        <w:t>15.0915</w:t>
      </w:r>
      <w:r>
        <w:rPr/>
        <w:t>港元、股价期望</w:t>
      </w:r>
      <w:r>
        <w:rPr/>
        <w:t>20.44%</w:t>
      </w:r>
      <w:r>
        <w:rPr/>
        <w:t>，加条件息约</w:t>
      </w:r>
      <w:r>
        <w:rPr/>
        <w:t>21.32%</w:t>
      </w:r>
      <w:r>
        <w:rPr/>
        <w:t>。改为</w:t>
      </w:r>
      <w:r>
        <w:rPr/>
        <w:t>40%</w:t>
      </w:r>
      <w:r>
        <w:rPr/>
        <w:t>、</w:t>
      </w:r>
      <w:r>
        <w:rPr/>
        <w:t>50%</w:t>
      </w:r>
      <w:r>
        <w:rPr/>
        <w:t>、</w:t>
      </w:r>
      <w:r>
        <w:rPr/>
        <w:t>10%</w:t>
      </w:r>
      <w:r>
        <w:rPr/>
        <w:t>期望</w:t>
      </w:r>
      <w:r>
        <w:rPr/>
        <w:t>11.6457</w:t>
      </w:r>
      <w:r>
        <w:rPr/>
        <w:t>、相对−</w:t>
      </w:r>
      <w:r>
        <w:rPr/>
        <w:t>7.06%</w:t>
      </w:r>
      <w:r>
        <w:rPr/>
        <w:t>；改为</w:t>
      </w:r>
      <w:r>
        <w:rPr/>
        <w:t>10%</w:t>
      </w:r>
      <w:r>
        <w:rPr/>
        <w:t>、</w:t>
      </w:r>
      <w:r>
        <w:rPr/>
        <w:t>50%</w:t>
      </w:r>
      <w:r>
        <w:rPr/>
        <w:t>、</w:t>
      </w:r>
      <w:r>
        <w:rPr/>
        <w:t>40%</w:t>
      </w:r>
      <w:r>
        <w:rPr/>
        <w:t>期望</w:t>
      </w:r>
      <w:r>
        <w:rPr/>
        <w:t>18.5372</w:t>
      </w:r>
      <w:r>
        <w:rPr/>
        <w:t>、相对</w:t>
      </w:r>
      <w:r>
        <w:rPr/>
        <w:t>47.94%</w:t>
      </w:r>
      <w:r>
        <w:rPr/>
        <w:t>。权重是研究者将经营情景用于决策的判断，不能当统计事件概率。未来现金支出或政策变化可改变这些权重，应重新保存快照而不直接覆盖旧版本。价格区间的宽度提示不确定性高，不能只向投资者强调正的加权平均而隐藏严重悲观损失。</w:t>
      </w:r>
    </w:p>
    <w:p>
      <w:pPr>
        <w:pStyle w:val="Normal"/>
        <w:rPr/>
      </w:pPr>
      <w:r>
        <w:rPr/>
        <w:t>人民币投资者一年基准含息</w:t>
      </w:r>
      <w:r>
        <w:rPr/>
        <w:t>80.04%</w:t>
      </w:r>
      <w:r>
        <w:rPr/>
        <w:t>的本币回报，在港币相对人民币贬</w:t>
      </w:r>
      <w:r>
        <w:rPr/>
        <w:t>5%</w:t>
      </w:r>
      <w:r>
        <w:rPr/>
        <w:t>或升</w:t>
      </w:r>
      <w:r>
        <w:rPr/>
        <w:t>5%</w:t>
      </w:r>
      <w:r>
        <w:rPr/>
        <w:t>时约</w:t>
      </w:r>
      <w:r>
        <w:rPr/>
        <w:t>71.04%</w:t>
      </w:r>
      <w:r>
        <w:rPr/>
        <w:t>和</w:t>
      </w:r>
      <w:r>
        <w:rPr/>
        <w:t>89.04%</w:t>
      </w:r>
      <w:r>
        <w:rPr/>
        <w:t>。这是投资者币种转换敏感，与公司进口设备和海外收入的经营汇率风险独立。实际税、交易成本、港股流动性与价格滑点可进一步改变回报。当前成交额较低，不宜把模型按收盘价计算的理论回报视为所有资金规模都能实现；买入与退出若分散在多个交易日，实际平均价格和回报都可能与</w:t>
      </w:r>
      <w:r>
        <w:rPr/>
        <w:t>12.53</w:t>
      </w:r>
      <w:r>
        <w:rPr/>
        <w:t>基准不同。</w:t>
      </w:r>
    </w:p>
    <w:p>
      <w:pPr>
        <w:pStyle w:val="Normal"/>
        <w:rPr/>
      </w:pPr>
      <w:r>
        <w:rPr/>
        <w:t>外资投行目标价栏目在本章明确缺失。独立检索</w:t>
      </w:r>
      <w:r>
        <w:rPr/>
        <w:t>AASTOCKS01763</w:t>
      </w:r>
      <w:r>
        <w:rPr/>
        <w:t>研究报告列表为空，公开结果公告可以交叉核历史业绩，却未取得最近</w:t>
      </w:r>
      <w:r>
        <w:rPr/>
        <w:t>90</w:t>
      </w:r>
      <w:r>
        <w:rPr/>
        <w:t>日或重大事件后可验证外资目标价。旧新闻网页动态显示当前行情，不能将其当作报告当天价格；部分老新闻正文与标题还出现内容错配，不作为原件财务证据。本文没有用未经核日期、评级、期限和币种的数字填机构目标。后来取得原研报或可靠转述，应去重后单列一年参照，不直接搬作</w:t>
      </w:r>
      <w:r>
        <w:rPr/>
        <w:t>2026</w:t>
      </w:r>
      <w:r>
        <w:rPr/>
        <w:t>年底价格。</w:t>
      </w:r>
    </w:p>
    <w:p>
      <w:pPr>
        <w:pStyle w:val="Heading2"/>
        <w:rPr/>
      </w:pPr>
      <w:r>
        <w:rPr>
          <w:color w:val="000000"/>
        </w:rPr>
        <w:t>四期限逻辑 反证与十年持续性</w:t>
      </w:r>
    </w:p>
    <w:p>
      <w:pPr>
        <w:pStyle w:val="Normal"/>
        <w:rPr/>
      </w:pPr>
      <w:r>
        <w:rPr/>
        <w:t>半年收益可能来自盈利异常消退预期、低估值修复、</w:t>
      </w:r>
      <w:r>
        <w:rPr/>
        <w:t>13C</w:t>
      </w:r>
      <w:r>
        <w:rPr/>
        <w:t>新产品上市、核素原料客户和新核药申报信息。但当前下降趋势与低流动性可能让公告利好迅速回吐，</w:t>
      </w:r>
      <w:r>
        <w:rPr/>
        <w:t>2026</w:t>
      </w:r>
      <w:r>
        <w:rPr/>
        <w:t>全年现金和税费仍有未知。半年推荐低于一年，是因为能在短时间改变利润信息集的证据有限。若价格无法收复</w:t>
      </w:r>
      <w:r>
        <w:rPr/>
        <w:t>20</w:t>
      </w:r>
      <w:r>
        <w:rPr/>
        <w:t>日均线、真实订单未增长、研发和费用继续上升而归母弱，半年基准应下调。若现金改善并在适度量能支持下收回</w:t>
      </w:r>
      <w:r>
        <w:rPr/>
        <w:t>60</w:t>
      </w:r>
      <w:r>
        <w:rPr/>
        <w:t>日均线，才具备提高短期评分的条件。</w:t>
      </w:r>
    </w:p>
    <w:p>
      <w:pPr>
        <w:pStyle w:val="Normal"/>
        <w:rPr/>
      </w:pPr>
      <w:r>
        <w:rPr/>
        <w:t>一年能够观察</w:t>
      </w:r>
      <w:r>
        <w:rPr/>
        <w:t>2026</w:t>
      </w:r>
      <w:r>
        <w:rPr/>
        <w:t>全年及</w:t>
      </w:r>
      <w:r>
        <w:rPr/>
        <w:t>2027</w:t>
      </w:r>
      <w:r>
        <w:rPr/>
        <w:t>中报，更适合检验核药准入、装备验收和税率正常化。主要回报来自归母盈利恢复和估值接近正常水平，要求集团增长更多留在母公司、费用不失控、回款改善。完成</w:t>
      </w:r>
      <w:r>
        <w:rPr/>
        <w:t>III</w:t>
      </w:r>
      <w:r>
        <w:rPr/>
        <w:t>期不够，需要申报和商业化实质推进，原料</w:t>
      </w:r>
      <w:r>
        <w:rPr/>
        <w:t>DMF</w:t>
      </w:r>
      <w:r>
        <w:rPr/>
        <w:t>也需客户订单。若集团净利增长而归母长期不增长，或</w:t>
      </w:r>
      <w:r>
        <w:rPr/>
        <w:t>2027</w:t>
      </w:r>
      <w:r>
        <w:rPr/>
        <w:t>债券再融资和基金出资迫使大量低价发行，模型股数与少数假设需重建。一年上涨空间较大，但不对应同样高的兑现可信度。</w:t>
      </w:r>
    </w:p>
    <w:p>
      <w:pPr>
        <w:pStyle w:val="Normal"/>
        <w:rPr/>
      </w:pPr>
      <w:r>
        <w:rPr/>
        <w:t>三年逻辑在于核医学需求扩容、多个后期管线分批上市、上游国产供应和设备更新带来的组合增量。投资重点由技术图形转向商业质量与资本效率。需要看到新产品不仅有批准，还有可重复销售；产线不仅建成，还有稳定利用；应收不仅账面增加，还有现金回流。未来三年归母</w:t>
      </w:r>
      <w:r>
        <w:rPr/>
        <w:t>7.97</w:t>
      </w:r>
      <w:r>
        <w:rPr/>
        <w:t>亿元基准高于历史，需要各环节一起改善，不能靠一次性许可、公允增值或资产评估利润。若资本支出持续压过经营现金、管线延期和毛利下行，三年评分即使行业景气仍应下降。</w:t>
      </w:r>
    </w:p>
    <w:p>
      <w:pPr>
        <w:pStyle w:val="Normal"/>
        <w:rPr/>
      </w:pPr>
      <w:r>
        <w:rPr/>
        <w:t>五年有望观察供应平台与产品生态形成，但安全、医保、竞争和资本配置会更加决定长期回报。五年基准依靠归母经营收益和累计现金股息，估值倍数逐渐收敛，给高增速终点留出成熟压力。公司若扩张到更多项目却无法提高母层面现金收益，国有产业目标未必与少数港股回报同方向。基金投资还可能在五年内处于未退出状态，账面增值和承诺收益不是现金。五年评分</w:t>
      </w:r>
      <w:r>
        <w:rPr/>
        <w:t>73.1</w:t>
      </w:r>
      <w:r>
        <w:rPr/>
        <w:t>为条件性成长候选，不能称为长期无风险核心仓位。</w:t>
      </w:r>
    </w:p>
    <w:p>
      <w:pPr>
        <w:pStyle w:val="Normal"/>
        <w:rPr/>
      </w:pPr>
      <w:r>
        <w:rPr/>
        <w:t>十年经营展望侧重能否维持竞争能力，不给一个缺少证据的精确十年股价。核药运输、质量、原料和医院服务可能长期构成进入壁垒；随着诊疗产品和基层服务发展，成熟平台可形成持续现金。与此同时，长半衰期或新生产技术、竞争性示踪剂、治疗方法变化、支付规则和医院自建供药都可能改变优势。公司需要不断投入研发与产能，十年并非单靠当前</w:t>
      </w:r>
      <w:r>
        <w:rPr/>
        <w:t>29</w:t>
      </w:r>
      <w:r>
        <w:rPr/>
        <w:t>个中心即可享受静态垄断。技术迭代和合规成本必须由经营现金支付，不能无限依赖融资。</w:t>
      </w:r>
    </w:p>
    <w:p>
      <w:pPr>
        <w:pStyle w:val="Normal"/>
        <w:rPr/>
      </w:pPr>
      <w:r>
        <w:rPr/>
        <w:t>最强的反证是核心增长长期不能传导归母现金。比如核药收入快速增长、集团利润上升，但母收益因少数份额和费用压制停滞；或集团现金充裕而母公司应收股利迟迟未回。第二类反证是临床、安全和质量：主要后期产品失败，</w:t>
      </w:r>
      <w:r>
        <w:rPr/>
        <w:t>DMF</w:t>
      </w:r>
      <w:r>
        <w:rPr/>
        <w:t>客户验证受阻，或生产停工影响供药。第三类是资本配置：基金和项目投资回报低、设备库存持续上升、应收账龄恶化、融资稀释明显。任何一类都可以推翻高上涨空间假设，不需要等股价跌到模型悲观端才修订。</w:t>
      </w:r>
    </w:p>
    <w:p>
      <w:pPr>
        <w:pStyle w:val="Normal"/>
        <w:rPr/>
      </w:pPr>
      <w:r>
        <w:rPr/>
        <w:t>基准现金桥也呈现需要融资的现实。以</w:t>
      </w:r>
      <w:r>
        <w:rPr/>
        <w:t>2026</w:t>
      </w:r>
      <w:r>
        <w:rPr/>
        <w:t>年</w:t>
      </w:r>
      <w:r>
        <w:rPr/>
        <w:t>6</w:t>
      </w:r>
      <w:r>
        <w:rPr/>
        <w:t>月集团</w:t>
      </w:r>
      <w:r>
        <w:rPr/>
        <w:t>25.4094</w:t>
      </w:r>
      <w:r>
        <w:rPr/>
        <w:t>亿元现金起算，假设下半年经营现金</w:t>
      </w:r>
      <w:r>
        <w:rPr/>
        <w:t>5.8</w:t>
      </w:r>
      <w:r>
        <w:rPr/>
        <w:t>亿、资本支出</w:t>
      </w:r>
      <w:r>
        <w:rPr/>
        <w:t>3.4</w:t>
      </w:r>
      <w:r>
        <w:rPr/>
        <w:t>亿、基金首笔</w:t>
      </w:r>
      <w:r>
        <w:rPr/>
        <w:t>1.6</w:t>
      </w:r>
      <w:r>
        <w:rPr/>
        <w:t>亿、其他投资</w:t>
      </w:r>
      <w:r>
        <w:rPr/>
        <w:t>0.6</w:t>
      </w:r>
      <w:r>
        <w:rPr/>
        <w:t>亿、股息与少数分派、利息和净融资后，期末约</w:t>
      </w:r>
      <w:r>
        <w:rPr/>
        <w:t>24.1172</w:t>
      </w:r>
      <w:r>
        <w:rPr/>
        <w:t>亿元。</w:t>
      </w:r>
      <w:r>
        <w:rPr/>
        <w:t>2027</w:t>
      </w:r>
      <w:r>
        <w:rPr/>
        <w:t>经营</w:t>
      </w:r>
      <w:r>
        <w:rPr/>
        <w:t>8</w:t>
      </w:r>
      <w:r>
        <w:rPr/>
        <w:t>亿但资本支出</w:t>
      </w:r>
      <w:r>
        <w:rPr/>
        <w:t>6.5</w:t>
      </w:r>
      <w:r>
        <w:rPr/>
        <w:t>亿，保留债券到期再融资与分红，现金约</w:t>
      </w:r>
      <w:r>
        <w:rPr/>
        <w:t>24.7172</w:t>
      </w:r>
      <w:r>
        <w:rPr/>
        <w:t>亿；</w:t>
      </w:r>
      <w:r>
        <w:rPr/>
        <w:t>2028</w:t>
      </w:r>
      <w:r>
        <w:rPr/>
        <w:t>经营</w:t>
      </w:r>
      <w:r>
        <w:rPr/>
        <w:t>11.5</w:t>
      </w:r>
      <w:r>
        <w:rPr/>
        <w:t>亿、资本支出</w:t>
      </w:r>
      <w:r>
        <w:rPr/>
        <w:t>7.5</w:t>
      </w:r>
      <w:r>
        <w:rPr/>
        <w:t>亿、基金第二笔</w:t>
      </w:r>
      <w:r>
        <w:rPr/>
        <w:t>2.4</w:t>
      </w:r>
      <w:r>
        <w:rPr/>
        <w:t>亿等后约</w:t>
      </w:r>
      <w:r>
        <w:rPr/>
        <w:t>23.2172</w:t>
      </w:r>
      <w:r>
        <w:rPr/>
        <w:t>亿。这是集团条件研究桥，不保证母现金同步可用，也不是完整三张报表预测。</w:t>
      </w:r>
    </w:p>
    <w:p>
      <w:pPr>
        <w:pStyle w:val="Normal"/>
        <w:rPr/>
      </w:pPr>
      <w:r>
        <w:rPr/>
        <w:t>该现金桥没有假设所有增长立刻变自由现金，基金支付时点未知、再融资仍重要。若经营现金每年比基准少</w:t>
      </w:r>
      <w:r>
        <w:rPr/>
        <w:t>2</w:t>
      </w:r>
      <w:r>
        <w:rPr/>
        <w:t>亿元，现金会持续降低；若资本支出大幅增加或少数分红加快，也需增借或减少母分红。价格模型中财务费用已反映融资，现金桥再扣现金利息仅用于现金表，不能将现金桥终值再加到</w:t>
      </w:r>
      <w:r>
        <w:rPr/>
        <w:t>PE</w:t>
      </w:r>
      <w:r>
        <w:rPr/>
        <w:t>目标而重复计算。完整模型刷新需要同时检查收入、营运资本、资本开支、税、少数和股数，不能只改</w:t>
      </w:r>
      <w:r>
        <w:rPr/>
        <w:t>EPS</w:t>
      </w:r>
      <w:r>
        <w:rPr/>
        <w:t>留下旧现金或情景输出。</w:t>
      </w:r>
    </w:p>
    <w:p>
      <w:pPr>
        <w:pStyle w:val="Normal"/>
        <w:rPr/>
      </w:pPr>
      <w:r>
        <w:rPr/>
        <w:t>评分解释保持透明。半年估值</w:t>
      </w:r>
      <w:r>
        <w:rPr/>
        <w:t>3.5</w:t>
      </w:r>
      <w:r>
        <w:rPr/>
        <w:t>、技术</w:t>
      </w:r>
      <w:r>
        <w:rPr/>
        <w:t>1</w:t>
      </w:r>
      <w:r>
        <w:rPr/>
        <w:t>、增长</w:t>
      </w:r>
      <w:r>
        <w:rPr/>
        <w:t>3.2</w:t>
      </w:r>
      <w:r>
        <w:rPr/>
        <w:t>、行业</w:t>
      </w:r>
      <w:r>
        <w:rPr/>
        <w:t>4</w:t>
      </w:r>
      <w:r>
        <w:rPr/>
        <w:t>、催化</w:t>
      </w:r>
      <w:r>
        <w:rPr/>
        <w:t>3.6</w:t>
      </w:r>
      <w:r>
        <w:rPr/>
        <w:t>、财务治理</w:t>
      </w:r>
      <w:r>
        <w:rPr/>
        <w:t>2.5</w:t>
      </w:r>
      <w:r>
        <w:rPr/>
        <w:t>，以</w:t>
      </w:r>
      <w:r>
        <w:rPr/>
        <w:t>25/30/15/10/10/10</w:t>
      </w:r>
      <w:r>
        <w:rPr/>
        <w:t>权重得</w:t>
      </w:r>
      <w:r>
        <w:rPr/>
        <w:t>53.3</w:t>
      </w:r>
      <w:r>
        <w:rPr/>
        <w:t>。一年技术权重降至</w:t>
      </w:r>
      <w:r>
        <w:rPr/>
        <w:t>15</w:t>
      </w:r>
      <w:r>
        <w:rPr/>
        <w:t>、经营质量升至</w:t>
      </w:r>
      <w:r>
        <w:rPr/>
        <w:t>25</w:t>
      </w:r>
      <w:r>
        <w:rPr/>
        <w:t>，得</w:t>
      </w:r>
      <w:r>
        <w:rPr/>
        <w:t>63.4</w:t>
      </w:r>
      <w:r>
        <w:rPr/>
        <w:t>；三年经营</w:t>
      </w:r>
      <w:r>
        <w:rPr/>
        <w:t>35</w:t>
      </w:r>
      <w:r>
        <w:rPr/>
        <w:t>、行业</w:t>
      </w:r>
      <w:r>
        <w:rPr/>
        <w:t>20</w:t>
      </w:r>
      <w:r>
        <w:rPr/>
        <w:t>，得</w:t>
      </w:r>
      <w:r>
        <w:rPr/>
        <w:t>71.9</w:t>
      </w:r>
      <w:r>
        <w:rPr/>
        <w:t>；五年不计技术、增长</w:t>
      </w:r>
      <w:r>
        <w:rPr/>
        <w:t>40</w:t>
      </w:r>
      <w:r>
        <w:rPr/>
        <w:t>及财务</w:t>
      </w:r>
      <w:r>
        <w:rPr/>
        <w:t>15</w:t>
      </w:r>
      <w:r>
        <w:rPr/>
        <w:t>，得</w:t>
      </w:r>
      <w:r>
        <w:rPr/>
        <w:t>73.1</w:t>
      </w:r>
      <w:r>
        <w:rPr/>
        <w:t>。技术和催化等维度互不重复计相似信息，临床进展可提高催化却不能再无条件把全部未来盈利计满。分数是排序工具不是盈利概率，差小于</w:t>
      </w:r>
      <w:r>
        <w:rPr/>
        <w:t>3</w:t>
      </w:r>
      <w:r>
        <w:rPr/>
        <w:t>分按总表同梯队处理。</w:t>
      </w:r>
    </w:p>
    <w:p>
      <w:pPr>
        <w:pStyle w:val="Normal"/>
        <w:rPr/>
      </w:pPr>
      <w:r>
        <w:rPr/>
        <w:t>对进取型投资者，关注中国同辐的理由是盈利基础、产业链稀缺性、低正常估值和可核催化，但实际行动仍应以条件成立程度决定。当前信息更支持中长期研究候选，半年则保持观察。若</w:t>
      </w:r>
      <w:r>
        <w:rPr/>
        <w:t>50mg</w:t>
      </w:r>
      <w:r>
        <w:rPr/>
        <w:t>获证转为生产上市、核药批准和回款证据改善，同时技术摆脱下降，可以逐步提高评价；若只增加公告数量和产能、没有母现金，维持谨慎。本文不以同一宏观段落填充研究，也不把大公司产业地位自动解释为普通股安全，结论始终回到归母收益、现金与可验证的失败路径。</w:t>
      </w:r>
    </w:p>
    <w:p>
      <w:pPr>
        <w:pStyle w:val="Heading2"/>
        <w:rPr/>
      </w:pPr>
      <w:r>
        <w:rPr>
          <w:color w:val="000000"/>
        </w:rPr>
        <w:t>来源与核验记录</w:t>
      </w:r>
    </w:p>
    <w:p>
      <w:pPr>
        <w:pStyle w:val="Normal"/>
        <w:rPr/>
      </w:pPr>
      <w:r>
        <w:rPr/>
        <w:t xml:space="preserve">主要原件均存于 </w:t>
      </w:r>
      <w:r>
        <w:rPr/>
        <w:t>data/circ_sources.json</w:t>
      </w:r>
      <w:r>
        <w:rPr/>
        <w:t>，正文事实优先以下链接；原始财报单位</w:t>
      </w:r>
      <w:r>
        <w:rPr/>
        <w:t>2025 IFRS</w:t>
      </w:r>
      <w:r>
        <w:rPr/>
        <w:t>为人民币千元，</w:t>
      </w:r>
      <w:r>
        <w:rPr/>
        <w:t>2026</w:t>
      </w:r>
      <w:r>
        <w:rPr/>
        <w:t>中期</w:t>
      </w:r>
      <w:r>
        <w:rPr/>
        <w:t>CASBE</w:t>
      </w:r>
      <w:r>
        <w:rPr/>
        <w:t>为人民币元，模型转为百万元与十亿元并标注。来源与图注不计有效正文。</w:t>
      </w:r>
    </w:p>
    <w:p>
      <w:pPr>
        <w:pStyle w:val="Normal"/>
        <w:rPr/>
      </w:pPr>
      <w:r>
        <w:rPr/>
        <w:t>- [2026</w:t>
      </w:r>
      <w:r>
        <w:rPr/>
        <w:t>中期结果，</w:t>
      </w:r>
      <w:r>
        <w:rPr/>
        <w:t>2026-08-28 22:25](https://www1.hkexnews.hk/listedco/listconews/sehk/2026/0828/2026082803670.pdf)</w:t>
      </w:r>
      <w:r>
        <w:rPr/>
        <w:t>；</w:t>
      </w:r>
      <w:r>
        <w:rPr/>
        <w:t>[</w:t>
      </w:r>
      <w:r>
        <w:rPr/>
        <w:t>完整中报，</w:t>
      </w:r>
      <w:r>
        <w:rPr/>
        <w:t>22:37](https://www1.hkexnews.hk/listedco/listconews/sehk/2026/0828/2026082803932.pdf)</w:t>
      </w:r>
      <w:r>
        <w:rPr/>
        <w:t>，物理页</w:t>
      </w:r>
      <w:r>
        <w:rPr/>
        <w:t>24–28</w:t>
      </w:r>
      <w:r>
        <w:rPr/>
        <w:t>、</w:t>
      </w:r>
      <w:r>
        <w:rPr/>
        <w:t>34</w:t>
      </w:r>
      <w:r>
        <w:rPr/>
        <w:t>、</w:t>
      </w:r>
      <w:r>
        <w:rPr/>
        <w:t>38–41</w:t>
      </w:r>
      <w:r>
        <w:rPr/>
        <w:t>、</w:t>
      </w:r>
      <w:r>
        <w:rPr/>
        <w:t>86–101</w:t>
      </w:r>
      <w:r>
        <w:rPr/>
        <w:t>、</w:t>
      </w:r>
      <w:r>
        <w:rPr/>
        <w:t>170–172</w:t>
      </w:r>
      <w:r>
        <w:rPr/>
        <w:t>、</w:t>
      </w:r>
      <w:r>
        <w:rPr/>
        <w:t>213–214</w:t>
      </w:r>
      <w:r>
        <w:rPr/>
        <w:t>、</w:t>
      </w:r>
      <w:r>
        <w:rPr/>
        <w:t>267–280</w:t>
      </w:r>
      <w:r>
        <w:rPr/>
        <w:t>。</w:t>
      </w:r>
    </w:p>
    <w:p>
      <w:pPr>
        <w:pStyle w:val="Normal"/>
        <w:rPr/>
      </w:pPr>
      <w:r>
        <w:rPr/>
        <w:t>- [2025</w:t>
      </w:r>
      <w:r>
        <w:rPr/>
        <w:t>年度结果，</w:t>
      </w:r>
      <w:r>
        <w:rPr/>
        <w:t>2026-03-27 22:55](https://www1.hkexnews.hk/listedco/listconews/sehk/2026/0327/2026032704522.pdf)</w:t>
      </w:r>
      <w:r>
        <w:rPr/>
        <w:t>；</w:t>
      </w:r>
      <w:r>
        <w:rPr/>
        <w:t>[</w:t>
      </w:r>
      <w:r>
        <w:rPr/>
        <w:t>完整年报，</w:t>
      </w:r>
      <w:r>
        <w:rPr/>
        <w:t>2026-04-22 06:36](https://www1.hkexnews.hk/listedco/listconews/sehk/2026/0422/2026042200023.pdf)</w:t>
      </w:r>
      <w:r>
        <w:rPr/>
        <w:t>，物理页</w:t>
      </w:r>
      <w:r>
        <w:rPr/>
        <w:t>181</w:t>
      </w:r>
      <w:r>
        <w:rPr/>
        <w:t>、</w:t>
      </w:r>
      <w:r>
        <w:rPr/>
        <w:t>187–189</w:t>
      </w:r>
      <w:r>
        <w:rPr/>
        <w:t>、</w:t>
      </w:r>
      <w:r>
        <w:rPr/>
        <w:t>263–264</w:t>
      </w:r>
      <w:r>
        <w:rPr/>
        <w:t>、</w:t>
      </w:r>
      <w:r>
        <w:rPr/>
        <w:t>279–282</w:t>
      </w:r>
      <w:r>
        <w:rPr/>
        <w:t>、</w:t>
      </w:r>
      <w:r>
        <w:rPr/>
        <w:t>357</w:t>
      </w:r>
      <w:r>
        <w:rPr/>
        <w:t>。</w:t>
      </w:r>
    </w:p>
    <w:p>
      <w:pPr>
        <w:pStyle w:val="Normal"/>
        <w:rPr/>
      </w:pPr>
      <w:r>
        <w:rPr/>
        <w:t>- [9</w:t>
      </w:r>
      <w:r>
        <w:rPr/>
        <w:t>月股本月报，</w:t>
      </w:r>
      <w:r>
        <w:rPr/>
        <w:t>2026-10-05 16:35](https://www1.hkexnews.hk/listedco/listconews/sehk/2026/1005/2026100500952.pdf)</w:t>
      </w:r>
      <w:r>
        <w:rPr/>
        <w:t>，</w:t>
      </w:r>
      <w:r>
        <w:rPr/>
        <w:t>79968800 H</w:t>
      </w:r>
      <w:r>
        <w:rPr/>
        <w:t>股、</w:t>
      </w:r>
      <w:r>
        <w:rPr/>
        <w:t>239906100</w:t>
      </w:r>
      <w:r>
        <w:rPr/>
        <w:t>内资、零库存。</w:t>
      </w:r>
    </w:p>
    <w:p>
      <w:pPr>
        <w:pStyle w:val="Normal"/>
        <w:rPr/>
      </w:pPr>
      <w:r>
        <w:rPr/>
        <w:t>- [</w:t>
      </w:r>
      <w:r>
        <w:rPr/>
        <w:t>中期息更新，</w:t>
      </w:r>
      <w:r>
        <w:rPr/>
        <w:t>2026-09-21 22:56](https://www1.hkexnews.hk/listedco/listconews/sehk/2026/0921/2026092101810.pdf)</w:t>
      </w:r>
      <w:r>
        <w:rPr/>
        <w:t>；</w:t>
      </w:r>
      <w:r>
        <w:rPr/>
        <w:t>[</w:t>
      </w:r>
      <w:r>
        <w:rPr/>
        <w:t>末期息更新，</w:t>
      </w:r>
      <w:r>
        <w:rPr/>
        <w:t>2026-06-18](https://www1.hkexnews.hk/listedco/listconews/sehk/2026/0618/2026061802260.pdf)</w:t>
      </w:r>
      <w:r>
        <w:rPr/>
        <w:t>。</w:t>
      </w:r>
    </w:p>
    <w:p>
      <w:pPr>
        <w:pStyle w:val="Normal"/>
        <w:rPr/>
      </w:pPr>
      <w:r>
        <w:rPr/>
        <w:t>- [</w:t>
      </w:r>
      <w:r>
        <w:rPr/>
        <w:t>基金协议，</w:t>
      </w:r>
      <w:r>
        <w:rPr/>
        <w:t>2026-08-28 22:15](https://www1.hkexnews.hk/listedco/listconews/sehk/2026/0828/2026082803510.pdf)</w:t>
      </w:r>
      <w:r>
        <w:rPr/>
        <w:t>；</w:t>
      </w:r>
      <w:r>
        <w:rPr/>
        <w:t>[</w:t>
      </w:r>
      <w:r>
        <w:rPr/>
        <w:t>股东会通函，</w:t>
      </w:r>
      <w:r>
        <w:rPr/>
        <w:t>2026-09-30 07:01](https://www1.hkexnews.hk/listedco/listconews/sehk/2026/0930/2026093000053.pdf)</w:t>
      </w:r>
      <w:r>
        <w:rPr/>
        <w:t>。</w:t>
      </w:r>
    </w:p>
    <w:p>
      <w:pPr>
        <w:pStyle w:val="Normal"/>
        <w:rPr/>
      </w:pPr>
      <w:r>
        <w:rPr/>
        <w:t>- [</w:t>
      </w:r>
      <w:r>
        <w:rPr/>
        <w:t>中核辐元协议，</w:t>
      </w:r>
      <w:r>
        <w:rPr/>
        <w:t>2026-07-03](https://www1.hkexnews.hk/listedco/listconews/sehk/2026/0703/2026070302495.pdf)</w:t>
      </w:r>
      <w:r>
        <w:rPr/>
        <w:t>；</w:t>
      </w:r>
      <w:r>
        <w:rPr/>
        <w:t>[</w:t>
      </w:r>
      <w:r>
        <w:rPr/>
        <w:t>中核辐智协议，</w:t>
      </w:r>
      <w:r>
        <w:rPr/>
        <w:t>2026-07-28](https://www1.hkexnews.hk/listedco/listconews/sehk/2026/0728/2026072801451.pdf)</w:t>
      </w:r>
      <w:r>
        <w:rPr/>
        <w:t>；</w:t>
      </w:r>
      <w:r>
        <w:rPr/>
        <w:t>[</w:t>
      </w:r>
      <w:r>
        <w:rPr/>
        <w:t>评估补充，</w:t>
      </w:r>
      <w:r>
        <w:rPr/>
        <w:t>2026-08-04](https://www1.hkexnews.hk/listedco/listconews/sehk/2026/0804/2026080402241.pdf)</w:t>
      </w:r>
      <w:r>
        <w:rPr/>
        <w:t>。</w:t>
      </w:r>
    </w:p>
    <w:p>
      <w:pPr>
        <w:pStyle w:val="Normal"/>
        <w:rPr/>
      </w:pPr>
      <w:r>
        <w:rPr/>
        <w:t>- [Lu177 DMF</w:t>
      </w:r>
      <w:r>
        <w:rPr/>
        <w:t>，</w:t>
      </w:r>
      <w:r>
        <w:rPr/>
        <w:t>2026-09-22 22:15](https://www1.hkexnews.hk/listedco/listconews/sehk/2026/0922/2026092201405.pdf)</w:t>
      </w:r>
      <w:r>
        <w:rPr/>
        <w:t>。</w:t>
      </w:r>
    </w:p>
    <w:p>
      <w:pPr>
        <w:pStyle w:val="Normal"/>
        <w:rPr/>
      </w:pPr>
      <w:r>
        <w:rPr/>
        <w:t>- [50mg13C</w:t>
      </w:r>
      <w:r>
        <w:rPr/>
        <w:t>获证，</w:t>
      </w:r>
      <w:r>
        <w:rPr/>
        <w:t>2026-10-09 21:14</w:t>
      </w:r>
      <w:r>
        <w:rPr/>
        <w:t>，收盘后</w:t>
      </w:r>
      <w:r>
        <w:rPr/>
        <w:t>](https://www1.hkexnews.hk/listedco/listconews/sehk/2026/1009/2026100901173.pdf)</w:t>
      </w:r>
      <w:r>
        <w:rPr/>
        <w:t>；</w:t>
      </w:r>
      <w:r>
        <w:rPr/>
        <w:t>[2025</w:t>
      </w:r>
      <w:r>
        <w:rPr/>
        <w:t>年报关联披露补充，</w:t>
      </w:r>
      <w:r>
        <w:rPr/>
        <w:t>21:00</w:t>
      </w:r>
      <w:r>
        <w:rPr/>
        <w:t>，收盘后</w:t>
      </w:r>
      <w:r>
        <w:rPr/>
        <w:t>](https://www1.hkexnews.hk/listedco/listconews/sehk/2026/1009/2026100901151.pdf)</w:t>
      </w:r>
      <w:r>
        <w:rPr/>
        <w:t>。</w:t>
      </w:r>
    </w:p>
    <w:p>
      <w:pPr>
        <w:pStyle w:val="Normal"/>
        <w:rPr/>
      </w:pPr>
      <w:r>
        <w:rPr/>
        <w:t xml:space="preserve">- </w:t>
      </w:r>
      <w:r>
        <w:rPr/>
        <w:t>行情为锁定</w:t>
      </w:r>
      <w:r>
        <w:rPr/>
        <w:t>market-v1.6</w:t>
      </w:r>
      <w:r>
        <w:rPr/>
        <w:t>：腾讯最新报价与前复权日线、新浪独立最新、</w:t>
      </w:r>
      <w:r>
        <w:rPr/>
        <w:t>Yahoo</w:t>
      </w:r>
      <w:r>
        <w:rPr/>
        <w:t>三年日线；文件</w:t>
      </w:r>
      <w:r>
        <w:rPr/>
        <w:t>data/history/S061.json</w:t>
      </w:r>
      <w:r>
        <w:rPr/>
        <w:t>，</w:t>
      </w:r>
      <w:r>
        <w:rPr/>
        <w:t>9</w:t>
      </w:r>
      <w:r>
        <w:rPr/>
        <w:t>根</w:t>
      </w:r>
      <w:r>
        <w:rPr/>
        <w:t>OHLC</w:t>
      </w:r>
      <w:r>
        <w:rPr/>
        <w:t>修复留痕，数据不重采不改动。</w:t>
      </w:r>
    </w:p>
    <w:p>
      <w:pPr>
        <w:pStyle w:val="Normal"/>
        <w:rPr/>
      </w:pPr>
      <w:r>
        <w:rPr/>
        <w:t>- [AASTOCKS</w:t>
      </w:r>
      <w:r>
        <w:rPr/>
        <w:t>研究报告独立检索</w:t>
      </w:r>
      <w:r>
        <w:rPr/>
        <w:t>](https://www.aastocks.com/tc/stocks/analysis/stock-aafn/01763/0/research-report/1)</w:t>
      </w:r>
      <w:r>
        <w:rPr/>
        <w:t>，未取得可核外资目标，取证</w:t>
      </w:r>
      <w:r>
        <w:rPr/>
        <w:t>data/circ_brokers.json</w:t>
      </w:r>
      <w:r>
        <w:rPr/>
        <w:t>。</w:t>
      </w:r>
    </w:p>
    <w:p>
      <w:pPr>
        <w:pStyle w:val="Normal"/>
        <w:rPr/>
      </w:pPr>
      <w:r>
        <w:rPr/>
        <w:t>研究状态、正文计数、原子勾稽和重复检查记录在</w:t>
      </w:r>
      <w:r>
        <w:rPr/>
        <w:t>qa/circ_qa.json</w:t>
      </w:r>
      <w:r>
        <w:rPr/>
        <w:t>。正式模型仅在检查通过后由</w:t>
      </w:r>
      <w:r>
        <w:rPr/>
        <w:t>pending</w:t>
      </w:r>
      <w:r>
        <w:rPr/>
        <w:t>发布；价格、得分、情景及含息数字按同一活动模型计算。</w:t>
      </w:r>
      <w:r>
        <w:br w:type="page"/>
      </w:r>
    </w:p>
    <w:p>
      <w:pPr>
        <w:pStyle w:val="Heading1"/>
        <w:rPr/>
      </w:pPr>
      <w:bookmarkStart w:id="5" w:name="__RefHeading___Toc47877_312338234"/>
      <w:bookmarkEnd w:id="5"/>
      <w:r>
        <w:rPr>
          <w:color w:val="000000"/>
        </w:rPr>
        <w:t xml:space="preserve">海创药业 </w:t>
      </w:r>
      <w:r>
        <w:rPr>
          <w:color w:val="000000"/>
        </w:rPr>
        <w:t>688302 SH</w:t>
      </w:r>
    </w:p>
    <w:p>
      <w:pPr>
        <w:pStyle w:val="Normal"/>
        <w:rPr/>
      </w:pPr>
      <w:r>
        <w:rPr/>
        <w:t xml:space="preserve">688302.SH </w:t>
      </w:r>
      <w:r>
        <w:rPr/>
        <w:t xml:space="preserve">现价 </w:t>
      </w:r>
      <w:r>
        <w:rPr/>
        <w:t>32.09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27.97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28.66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46.55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+45.07%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+45.07%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64.52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+101.05%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+101.05%</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29.62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30.67CNY</w:t>
      </w:r>
      <w:r>
        <w:rPr/>
        <w:t>，期望股价回报</w:t>
      </w:r>
      <w:r>
        <w:rPr/>
        <w:t>-4.43%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11.60</w:t>
              <w:br/>
              <w:t>-63.87%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27.97</w:t>
              <w:br/>
              <w:t>-12.85%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52.83</w:t>
              <w:br/>
              <w:t>+64.62%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4.81</w:t>
              <w:br/>
              <w:t>-85.00%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28.66</w:t>
              <w:br/>
              <w:t>-10.68%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72.69</w:t>
              <w:br/>
              <w:t>+126.53%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46.55</w:t>
              <w:br/>
              <w:t>+45.07%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351.28</w:t>
              <w:br/>
              <w:t>+994.67%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64.52</w:t>
              <w:br/>
              <w:t>+101.05%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437.10</w:t>
              <w:br/>
              <w:t>+1262.10%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+14.99%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高：法定报告、项目决议及原论文，商业净价</w:t>
            </w:r>
            <w:r>
              <w:rPr>
                <w:rFonts w:eastAsia="微软雅黑" w:ascii="微软雅黑" w:hAnsi="微软雅黑"/>
                <w:sz w:val="17"/>
              </w:rPr>
              <w:t>/</w:t>
            </w:r>
            <w:r>
              <w:rPr>
                <w:rFonts w:ascii="微软雅黑" w:hAnsi="微软雅黑" w:eastAsia="微软雅黑"/>
                <w:sz w:val="17"/>
              </w:rPr>
              <w:t>终端细表缺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w:t>
            </w:r>
            <w:r>
              <w:rPr>
                <w:rFonts w:eastAsia="微软雅黑" w:ascii="微软雅黑" w:hAnsi="微软雅黑"/>
                <w:sz w:val="17"/>
              </w:rPr>
              <w:t>728</w:t>
            </w:r>
            <w:r>
              <w:rPr>
                <w:rFonts w:ascii="微软雅黑" w:hAnsi="微软雅黑" w:eastAsia="微软雅黑"/>
                <w:sz w:val="17"/>
              </w:rPr>
              <w:t>日</w:t>
            </w:r>
            <w:r>
              <w:rPr>
                <w:rFonts w:eastAsia="微软雅黑" w:ascii="微软雅黑" w:hAnsi="微软雅黑"/>
                <w:sz w:val="17"/>
              </w:rPr>
              <w:t>/155</w:t>
            </w:r>
            <w:r>
              <w:rPr>
                <w:rFonts w:ascii="微软雅黑" w:hAnsi="微软雅黑" w:eastAsia="微软雅黑"/>
                <w:sz w:val="17"/>
              </w:rPr>
              <w:t>周双源，行业</w:t>
            </w:r>
            <w:r>
              <w:rPr>
                <w:rFonts w:eastAsia="微软雅黑" w:ascii="微软雅黑" w:hAnsi="微软雅黑"/>
                <w:sz w:val="17"/>
              </w:rPr>
              <w:t>RS</w:t>
            </w:r>
            <w:r>
              <w:rPr>
                <w:rFonts w:ascii="微软雅黑" w:hAnsi="微软雅黑" w:eastAsia="微软雅黑"/>
                <w:sz w:val="17"/>
              </w:rPr>
              <w:t>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中低：长终点、许可</w:t>
            </w:r>
            <w:r>
              <w:rPr>
                <w:rFonts w:eastAsia="微软雅黑" w:ascii="微软雅黑" w:hAnsi="微软雅黑"/>
                <w:sz w:val="17"/>
              </w:rPr>
              <w:t>/</w:t>
            </w:r>
            <w:r>
              <w:rPr>
                <w:rFonts w:ascii="微软雅黑" w:hAnsi="微软雅黑" w:eastAsia="微软雅黑"/>
                <w:sz w:val="17"/>
              </w:rPr>
              <w:t>价格</w:t>
            </w:r>
            <w:r>
              <w:rPr>
                <w:rFonts w:eastAsia="微软雅黑" w:ascii="微软雅黑" w:hAnsi="微软雅黑"/>
                <w:sz w:val="17"/>
              </w:rPr>
              <w:t>/</w:t>
            </w:r>
            <w:r>
              <w:rPr>
                <w:rFonts w:ascii="微软雅黑" w:hAnsi="微软雅黑" w:eastAsia="微软雅黑"/>
                <w:sz w:val="17"/>
              </w:rPr>
              <w:t>成本和稀释假设宽</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I005</w:t>
      </w:r>
      <w:r>
        <w:rPr/>
        <w:t>，证券</w:t>
      </w:r>
      <w:r>
        <w:rPr/>
        <w:t>S005</w:t>
      </w:r>
      <w:r>
        <w:rPr/>
        <w:t>，</w:t>
      </w:r>
      <w:r>
        <w:rPr/>
        <w:t>688302.SH</w:t>
      </w:r>
      <w:r>
        <w:rPr/>
        <w:t>。基准</w:t>
      </w:r>
      <w:r>
        <w:rPr/>
        <w:t>2026</w:t>
      </w:r>
      <w:r>
        <w:rPr/>
        <w:t>年</w:t>
      </w:r>
      <w:r>
        <w:rPr/>
        <w:t>10</w:t>
      </w:r>
      <w:r>
        <w:rPr/>
        <w:t>月</w:t>
      </w:r>
      <w:r>
        <w:rPr/>
        <w:t>9</w:t>
      </w:r>
      <w:r>
        <w:rPr/>
        <w:t>日收盘</w:t>
      </w:r>
      <w:r>
        <w:rPr/>
        <w:t>32.09</w:t>
      </w:r>
      <w:r>
        <w:rPr/>
        <w:t>元，资料截止同日，独立初版。行情沿用</w:t>
      </w:r>
      <w:r>
        <w:rPr/>
        <w:t>market-v1.6</w:t>
      </w:r>
      <w:r>
        <w:rPr/>
        <w:t>锁定文件，模型</w:t>
      </w:r>
      <w:r>
        <w:rPr/>
        <w:t>hinova-rnpv-v1.0</w:t>
      </w:r>
      <w:r>
        <w:rPr/>
        <w:t>。金额除另注外为人民币百万元。</w:t>
      </w:r>
      <w:r>
        <w:rPr/>
        <w:t>2026</w:t>
      </w:r>
      <w:r>
        <w:rPr/>
        <w:t>年中报未经审计，</w:t>
      </w:r>
      <w:r>
        <w:rPr/>
        <w:t>2025</w:t>
      </w:r>
      <w:r>
        <w:rPr/>
        <w:t>年年报为法定历史锚。原论文发表于</w:t>
      </w:r>
      <w:r>
        <w:rPr/>
        <w:t>4</w:t>
      </w:r>
      <w:r>
        <w:rPr/>
        <w:t>月</w:t>
      </w:r>
      <w:r>
        <w:rPr/>
        <w:t>13</w:t>
      </w:r>
      <w:r>
        <w:rPr/>
        <w:t>日；</w:t>
      </w:r>
      <w:r>
        <w:rPr/>
        <w:t>8</w:t>
      </w:r>
      <w:r>
        <w:rPr/>
        <w:t>月</w:t>
      </w:r>
      <w:r>
        <w:rPr/>
        <w:t>27</w:t>
      </w:r>
      <w:r>
        <w:rPr/>
        <w:t>日募投调整公告与</w:t>
      </w:r>
      <w:r>
        <w:rPr/>
        <w:t>9</w:t>
      </w:r>
      <w:r>
        <w:rPr/>
        <w:t>月</w:t>
      </w:r>
      <w:r>
        <w:rPr/>
        <w:t>12</w:t>
      </w:r>
      <w:r>
        <w:rPr/>
        <w:t>日股东会通过公告分开保存。目标日休市按总表此前最后交易日。</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基准股价及含分红回报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基准累计分红</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11.60 / 27.97 / 52.83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4.81 / 28.66 / 72.69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 / 46.55 / 351.28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 / 64.52 / 437.10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+101.05%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18.40 / 29.62 / 45.04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bl>
    <w:p>
      <w:pPr>
        <w:pStyle w:val="Normal"/>
        <w:rPr/>
      </w:pPr>
      <w:r>
        <w:rPr/>
      </w:r>
    </w:p>
    <w:p>
      <w:pPr>
        <w:pStyle w:val="Normal"/>
        <w:rPr/>
      </w:pPr>
      <w:r>
        <w:rPr/>
        <w:t>三、五年基准年化</w:t>
      </w:r>
      <w:r>
        <w:rPr/>
        <w:t>13.20%</w:t>
      </w:r>
      <w:r>
        <w:rPr/>
        <w:t>、</w:t>
      </w:r>
      <w:r>
        <w:rPr/>
        <w:t>14.99%</w:t>
      </w:r>
      <w:r>
        <w:rPr/>
        <w:t>。年底</w:t>
      </w:r>
      <w:r>
        <w:rPr/>
        <w:t>25%/50%/25%</w:t>
      </w:r>
      <w:r>
        <w:rPr/>
        <w:t>期望</w:t>
      </w:r>
      <w:r>
        <w:rPr/>
        <w:t>30.6691</w:t>
      </w:r>
      <w:r>
        <w:rPr/>
        <w:t>元、期望回报</w:t>
      </w:r>
      <w:r>
        <w:rPr/>
        <w:t>-4.43%</w:t>
      </w:r>
      <w:r>
        <w:rPr/>
        <w:t>；</w:t>
      </w:r>
      <w:r>
        <w:rPr/>
        <w:t>40%/50%/10%</w:t>
      </w:r>
      <w:r>
        <w:rPr/>
        <w:t>期望</w:t>
      </w:r>
      <w:r>
        <w:rPr/>
        <w:t>26.6740</w:t>
      </w:r>
      <w:r>
        <w:rPr/>
        <w:t>元，</w:t>
      </w:r>
      <w:r>
        <w:rPr/>
        <w:t>10%/50%/40%</w:t>
      </w:r>
      <w:r>
        <w:rPr/>
        <w:t>期望</w:t>
      </w:r>
      <w:r>
        <w:rPr/>
        <w:t>34.6643</w:t>
      </w:r>
      <w:r>
        <w:rPr/>
        <w:t>元。年底完整内在值</w:t>
      </w:r>
      <w:r>
        <w:rPr/>
        <w:t>1.6701 / 25.0333 / 193.9050</w:t>
      </w:r>
      <w:r>
        <w:rPr/>
        <w:t>元另存，短期交易情景按现价与内在值的认知系数连接。长期乐观代表多个高风险管线、地区、费用和融资同时较佳的极端上行压力，并非惯常可实现回报；三五年悲观零为剩余普通股价值截断，不是宣告破产。推荐为半年观察、一年条件性候选、三五年有条件成长候选，未达到进取策略核心优先；梯队由全榜统一比较。结论成立须医保净销售与现金贡献改善、</w:t>
      </w:r>
      <w:r>
        <w:rPr/>
        <w:t>MASH</w:t>
      </w:r>
      <w:r>
        <w:rPr/>
        <w:t>获得更长有效和安全证据、研发调整保持资本纪律。区间不是置信区间，得分不是获利概率。</w:t>
      </w:r>
    </w:p>
    <w:p>
      <w:pPr>
        <w:pStyle w:val="Heading2"/>
        <w:rPr/>
      </w:pPr>
      <w:r>
        <w:rPr>
          <w:color w:val="000000"/>
        </w:rPr>
        <w:t>投资结论</w:t>
      </w:r>
    </w:p>
    <w:p>
      <w:pPr>
        <w:pStyle w:val="Normal"/>
        <w:rPr/>
      </w:pPr>
      <w:r>
        <w:rPr/>
        <w:t>海创已经从只有研发项目转向拥有上市药品的企业，氘恩扎鲁胺在</w:t>
      </w:r>
      <w:r>
        <w:rPr/>
        <w:t>2026</w:t>
      </w:r>
      <w:r>
        <w:rPr/>
        <w:t>年进入医保执行期，上半年药品收入</w:t>
      </w:r>
      <w:r>
        <w:rPr/>
        <w:t>54.95</w:t>
      </w:r>
      <w:r>
        <w:rPr/>
        <w:t>百万元，证明准入可以带来销售增长。当前</w:t>
      </w:r>
      <w:r>
        <w:rPr/>
        <w:t>31.77</w:t>
      </w:r>
      <w:r>
        <w:rPr/>
        <w:t>亿元市值比许多大平台创新药公司小，若后线产品逐步覆盖固定投入、</w:t>
      </w:r>
      <w:r>
        <w:rPr/>
        <w:t>MASH</w:t>
      </w:r>
      <w:r>
        <w:rPr/>
        <w:t>管线获得扎实临床证据，股东回报具备弹性。判断仍要以净价格、实际处方、推广费用和后续融资为中心，而不能只比较过去最高股价。</w:t>
      </w:r>
    </w:p>
    <w:p>
      <w:pPr>
        <w:pStyle w:val="Normal"/>
        <w:rPr/>
      </w:pPr>
      <w:r>
        <w:rPr/>
        <w:t>本章没有将公司宣传中的全球技术竞争力直接变成高分。</w:t>
      </w:r>
      <w:r>
        <w:rPr/>
        <w:t>HP515</w:t>
      </w:r>
      <w:r>
        <w:rPr/>
        <w:t>的</w:t>
      </w:r>
      <w:r>
        <w:rPr/>
        <w:t>12</w:t>
      </w:r>
      <w:r>
        <w:rPr/>
        <w:t>周肝脂肪下降具有研究价值，尚不是肝纤维化改善、长期肝结局或人体减重保护肌肉的确证；</w:t>
      </w:r>
      <w:r>
        <w:rPr/>
        <w:t>HP518</w:t>
      </w:r>
      <w:r>
        <w:rPr/>
        <w:t>中国单药研究已通过暂停，开发重点转为联合，</w:t>
      </w:r>
      <w:r>
        <w:rPr/>
        <w:t>HP537</w:t>
      </w:r>
      <w:r>
        <w:rPr/>
        <w:t>后续投入也暂停。投资者若沿旧管线图把它们当成近期注册资产，会同时高估成熟度和低估时间成本。</w:t>
      </w:r>
    </w:p>
    <w:p>
      <w:pPr>
        <w:pStyle w:val="Normal"/>
        <w:rPr/>
      </w:pPr>
      <w:r>
        <w:rPr/>
        <w:t>半年股价站回</w:t>
      </w:r>
      <w:r>
        <w:rPr/>
        <w:t>20</w:t>
      </w:r>
      <w:r>
        <w:rPr/>
        <w:t>日线，但</w:t>
      </w:r>
      <w:r>
        <w:rPr/>
        <w:t>60</w:t>
      </w:r>
      <w:r>
        <w:rPr/>
        <w:t>、</w:t>
      </w:r>
      <w:r>
        <w:rPr/>
        <w:t>120</w:t>
      </w:r>
      <w:r>
        <w:rPr/>
        <w:t>、</w:t>
      </w:r>
      <w:r>
        <w:rPr/>
        <w:t>250</w:t>
      </w:r>
      <w:r>
        <w:rPr/>
        <w:t>日线仍在上方且斜率下降，日量比不足一，周线仍偏弱。最近</w:t>
      </w:r>
      <w:r>
        <w:rPr/>
        <w:t>20</w:t>
      </w:r>
      <w:r>
        <w:rPr/>
        <w:t>日相对沪深</w:t>
      </w:r>
      <w:r>
        <w:rPr/>
        <w:t>300</w:t>
      </w:r>
      <w:r>
        <w:rPr/>
        <w:t>改善与</w:t>
      </w:r>
      <w:r>
        <w:rPr/>
        <w:t>60</w:t>
      </w:r>
      <w:r>
        <w:rPr/>
        <w:t>日相对表现仍落后可以同时成立，意味着短期修复未证明中期趋势扭转。估值模型的半年基准</w:t>
      </w:r>
      <w:r>
        <w:rPr/>
        <w:t>27.97</w:t>
      </w:r>
      <w:r>
        <w:rPr/>
        <w:t>元低于现价，因此技术反弹和科学潜力不足以支持不讲价格的强推荐，突破及业绩改善需要共同验证。</w:t>
      </w:r>
    </w:p>
    <w:p>
      <w:pPr>
        <w:pStyle w:val="Normal"/>
        <w:rPr/>
      </w:pPr>
      <w:r>
        <w:rPr/>
        <w:t>三年和五年的基准回报转为正，来源是既有商业销售逐步爬坡、</w:t>
      </w:r>
      <w:r>
        <w:rPr/>
        <w:t>BCR</w:t>
      </w:r>
      <w:r>
        <w:rPr/>
        <w:t>与</w:t>
      </w:r>
      <w:r>
        <w:rPr/>
        <w:t>MASH</w:t>
      </w:r>
      <w:r>
        <w:rPr/>
        <w:t>按条件推进以及部分未来合作保留收益。海外合同尚未签，模型采用假设有效版税而未计确定首款，未来股数也没有伪装成已公告发行。上行路径很宽、失败损失也很大，本章将长期候选与实际可配置核心分开；新证据可修订研究，但低价或高目标本身都不能替代反证检查。</w:t>
      </w:r>
    </w:p>
    <w:p>
      <w:pPr>
        <w:pStyle w:val="Heading2"/>
        <w:rPr/>
      </w:pPr>
      <w:r>
        <w:rPr>
          <w:color w:val="000000"/>
        </w:rPr>
        <w:t>业务与股东经济权利</w:t>
      </w:r>
    </w:p>
    <w:p>
      <w:pPr>
        <w:pStyle w:val="Normal"/>
        <w:rPr/>
      </w:pPr>
      <w:r>
        <w:rPr/>
        <w:t>公司拥有靶向蛋白降解、氘代药物和转化医学平台，重点覆盖前列腺癌、代谢性疾病及免疫慢性炎症。三个领域的疾病机制、开发终点和商业渠道差异明显，同属小分子不能假设研发经验完全通用。前列腺癌既有销售队伍能帮助后续同病种产品，却未必足以运营</w:t>
      </w:r>
      <w:r>
        <w:rPr/>
        <w:t>MASH</w:t>
      </w:r>
      <w:r>
        <w:rPr/>
        <w:t>或广泛免疫病市场，临床及商业人才的扩张都需要现金。</w:t>
      </w:r>
    </w:p>
    <w:p>
      <w:pPr>
        <w:pStyle w:val="Normal"/>
        <w:rPr/>
      </w:pPr>
      <w:r>
        <w:rPr/>
        <w:t>上市氘恩扎鲁胺由公司确认药品销售，采用自营团队与外部推广合作，经济模式不同于单纯收版税的益方。公司保留国内产品销售收益，同时承担推广、质量、库存及回款责任；海外管线未来采用授权还是自营尚未确定。本模型既有及中国开发资产按直接现金收益，海外采用合作优先假设，避免把海外全额利润与假想许可首款一起重复估值。</w:t>
      </w:r>
    </w:p>
    <w:p>
      <w:pPr>
        <w:pStyle w:val="Normal"/>
        <w:rPr/>
      </w:pPr>
      <w:r>
        <w:rPr/>
        <w:t>自主研发及全球权益意味着有机会谈判合作，不等公司现在具有全球注册证或已收到海外对价。美国及澳大利亚分支机构可以改善研究运营，却不能单独证明当地临床成功、报销和渠道建成。原公告没有给出可核验新跨国许可的确定首款，本章不把“探索合作”“计划协作”写成已签协议。合同、审批和到账是不同事件，后续应逐笔更新。</w:t>
      </w:r>
    </w:p>
    <w:p>
      <w:pPr>
        <w:pStyle w:val="Normal"/>
        <w:rPr/>
      </w:pPr>
      <w:r>
        <w:rPr/>
        <w:t>生产端采取原料药委托生产、制剂自主</w:t>
      </w:r>
      <w:r>
        <w:rPr/>
        <w:t>GMP</w:t>
      </w:r>
      <w:r>
        <w:rPr/>
        <w:t>生产，研发非核心工作仍可外包给</w:t>
      </w:r>
      <w:r>
        <w:rPr/>
        <w:t>CRO</w:t>
      </w:r>
      <w:r>
        <w:rPr/>
        <w:t>、</w:t>
      </w:r>
      <w:r>
        <w:rPr/>
        <w:t>SMO</w:t>
      </w:r>
      <w:r>
        <w:rPr/>
        <w:t>及其他服务机构。这比所有环节完全自建节约部分固定成本，但新增制剂车间、检测、供应链和销售团队也使公司走向更重的运营形态。高毛利新品不代表没有生产费用，低当前成本可能受库存和批次影响，长期现金率应包含正常维护和营运占用。</w:t>
      </w:r>
    </w:p>
    <w:p>
      <w:pPr>
        <w:pStyle w:val="Heading2"/>
        <w:rPr/>
      </w:pPr>
      <w:r>
        <w:rPr>
          <w:color w:val="000000"/>
        </w:rPr>
        <w:t>既有药品的标签与病人范围</w:t>
      </w:r>
    </w:p>
    <w:p>
      <w:pPr>
        <w:pStyle w:val="Normal"/>
        <w:rPr/>
      </w:pPr>
      <w:r>
        <w:rPr/>
        <w:t>海纳安即氘恩扎鲁胺软胶囊，项目号</w:t>
      </w:r>
      <w:r>
        <w:rPr/>
        <w:t>HC-1119</w:t>
      </w:r>
      <w:r>
        <w:rPr/>
        <w:t>，为氘代雄激素受体抑制剂，</w:t>
      </w:r>
      <w:r>
        <w:rPr/>
        <w:t>2025</w:t>
      </w:r>
      <w:r>
        <w:rPr/>
        <w:t>年</w:t>
      </w:r>
      <w:r>
        <w:rPr/>
        <w:t>5</w:t>
      </w:r>
      <w:r>
        <w:rPr/>
        <w:t>月在中国获批。中报在研表对应阿比特龙及化疗后出现疾病进展、既往未接受新型雄激素受体抑制剂的转移性去势抵抗性前列腺癌成人患者。不能把这一获批范围扩大成全部前列腺癌、所有早期患者或全部新型内分泌失败，销售池需要按治疗顺序及标签核定。</w:t>
      </w:r>
    </w:p>
    <w:p>
      <w:pPr>
        <w:pStyle w:val="Normal"/>
        <w:rPr/>
      </w:pPr>
      <w:r>
        <w:rPr/>
        <w:t>公司引用的中国前列腺癌</w:t>
      </w:r>
      <w:r>
        <w:rPr/>
        <w:t>2022</w:t>
      </w:r>
      <w:r>
        <w:rPr/>
        <w:t>年新发约</w:t>
      </w:r>
      <w:r>
        <w:rPr/>
        <w:t>13.4</w:t>
      </w:r>
      <w:r>
        <w:rPr/>
        <w:t>万人有助于认识需求，但新增病例不是当年全部适用本药人数。早期治愈、激素敏感、不同耐药路径、体能状况及经济条件都会减少可治疗池；既有患者又使销量不只来自新增。合理推导应由现存及新进入目标线别人数、可治疗比例、竞争份额、疗程及净价组成，而不是用总病例乘最高年药费。</w:t>
      </w:r>
    </w:p>
    <w:p>
      <w:pPr>
        <w:pStyle w:val="Normal"/>
        <w:rPr/>
      </w:pPr>
      <w:r>
        <w:rPr/>
        <w:t>疾病老龄化使需求具有长期支撑，也增加多药使用、合并症和不良反应管理要求。能降低中枢暴露的药代设计有临床意义，但这种机制优势必须被符合标签的人体资料支持。对老年群体，疗效、疲劳、跌倒风险、家庭负担及医院选择共同影响持续治疗；一个药的便利性可以增加份额，却不能保证跨线别和跨国家全面替代。</w:t>
      </w:r>
    </w:p>
    <w:p>
      <w:pPr>
        <w:pStyle w:val="Normal"/>
        <w:rPr/>
      </w:pPr>
      <w:r>
        <w:rPr/>
        <w:t>治疗格局还受到</w:t>
      </w:r>
      <w:r>
        <w:rPr/>
        <w:t>AR</w:t>
      </w:r>
      <w:r>
        <w:rPr/>
        <w:t>治疗前移、化疗、</w:t>
      </w:r>
      <w:r>
        <w:rPr/>
        <w:t>PARP</w:t>
      </w:r>
      <w:r>
        <w:rPr/>
        <w:t>靶向及</w:t>
      </w:r>
      <w:r>
        <w:rPr/>
        <w:t>PSMA</w:t>
      </w:r>
      <w:r>
        <w:rPr/>
        <w:t>核素等路线改变影响。若患者在激素敏感阶段已广泛接受强</w:t>
      </w:r>
      <w:r>
        <w:rPr/>
        <w:t>AR</w:t>
      </w:r>
      <w:r>
        <w:rPr/>
        <w:t>方案，到晚期时再抑制同通路的敏感程度可能下降。现有后线需求不会永远按今天分布增长，新增</w:t>
      </w:r>
      <w:r>
        <w:rPr/>
        <w:t>BCR</w:t>
      </w:r>
      <w:r>
        <w:rPr/>
        <w:t>开发也可能改变公司内部后线销售结构。模型把新适应症作为增量，但不将所有阶段完整峰值无条件叠加。</w:t>
      </w:r>
    </w:p>
    <w:p>
      <w:pPr>
        <w:pStyle w:val="Heading2"/>
        <w:rPr/>
      </w:pPr>
      <w:r>
        <w:rPr>
          <w:color w:val="000000"/>
        </w:rPr>
        <w:t>氘代平台的优势与局限</w:t>
      </w:r>
    </w:p>
    <w:p>
      <w:pPr>
        <w:pStyle w:val="Normal"/>
        <w:rPr/>
      </w:pPr>
      <w:r>
        <w:rPr/>
        <w:t>碳氘键较碳氢键稳定，可以在特定代谢位点改变药物代谢，带来暴露、给药剂量或安全性方面的改善机会。它不是只需替换一个原子就必然获得优效的捷径，代谢通路转移、活性代谢物、靶组织分布和相互作用都可能改变效果。公司已经把一个分子推进到上市，是平台能力的具体证据，但下一分子的成功仍需独立研究。</w:t>
      </w:r>
    </w:p>
    <w:p>
      <w:pPr>
        <w:pStyle w:val="Normal"/>
        <w:rPr/>
      </w:pPr>
      <w:r>
        <w:rPr/>
        <w:t>氘恩扎鲁胺与恩扎鲁胺的相关结构有助于理解药理，却不能用不同毫克数直接比较强弱。低剂量不等低临床总风险，高系统暴露也不等更高肿瘤组织暴露。相关知识产权能保护特定分子与用途，不能从专利数量推导全部国家的可自由实施权；本章未取得完整</w:t>
      </w:r>
      <w:r>
        <w:rPr/>
        <w:t>FTO</w:t>
      </w:r>
      <w:r>
        <w:rPr/>
        <w:t>司法及原授权范围核验，不把技术差异当成永不受竞争的护城河。</w:t>
      </w:r>
    </w:p>
    <w:p>
      <w:pPr>
        <w:pStyle w:val="Heading2"/>
        <w:rPr/>
      </w:pPr>
      <w:r>
        <w:rPr>
          <w:color w:val="000000"/>
        </w:rPr>
        <w:t>原始三期证据 主要终点</w:t>
      </w:r>
    </w:p>
    <w:p>
      <w:pPr>
        <w:pStyle w:val="Normal"/>
        <w:rPr/>
      </w:pPr>
      <w:r>
        <w:rPr/>
        <w:t>4</w:t>
      </w:r>
      <w:r>
        <w:rPr/>
        <w:t>月</w:t>
      </w:r>
      <w:r>
        <w:rPr/>
        <w:t>13</w:t>
      </w:r>
      <w:r>
        <w:rPr/>
        <w:t>日</w:t>
      </w:r>
      <w:r>
        <w:rPr/>
        <w:t>STTT</w:t>
      </w:r>
      <w:r>
        <w:rPr/>
        <w:t>原论文为随机、多中心、双盲、安慰剂对照</w:t>
      </w:r>
      <w:r>
        <w:rPr/>
        <w:t>HC-1119-04</w:t>
      </w:r>
      <w:r>
        <w:rPr/>
        <w:t>研究，在中国</w:t>
      </w:r>
      <w:r>
        <w:rPr/>
        <w:t>36</w:t>
      </w:r>
      <w:r>
        <w:rPr/>
        <w:t>家中心纳入</w:t>
      </w:r>
      <w:r>
        <w:rPr/>
        <w:t>417</w:t>
      </w:r>
      <w:r>
        <w:rPr/>
        <w:t>人，按二比一分配</w:t>
      </w:r>
      <w:r>
        <w:rPr/>
        <w:t>276</w:t>
      </w:r>
      <w:r>
        <w:rPr/>
        <w:t>人药物、</w:t>
      </w:r>
      <w:r>
        <w:rPr/>
        <w:t>141</w:t>
      </w:r>
      <w:r>
        <w:rPr/>
        <w:t>人安慰剂。所有患者此前接受阿比特龙，约</w:t>
      </w:r>
      <w:r>
        <w:rPr/>
        <w:t>68%</w:t>
      </w:r>
      <w:r>
        <w:rPr/>
        <w:t>接受多西他赛，适用的是重度经治场景。主要终点为研究者评价的影像无进展生存，</w:t>
      </w:r>
      <w:r>
        <w:rPr/>
        <w:t>HR0.58</w:t>
      </w:r>
      <w:r>
        <w:rPr/>
        <w:t>，置信区间约</w:t>
      </w:r>
      <w:r>
        <w:rPr/>
        <w:t>0.44</w:t>
      </w:r>
      <w:r>
        <w:rPr/>
        <w:t>至</w:t>
      </w:r>
      <w:r>
        <w:rPr/>
        <w:t>0.77</w:t>
      </w:r>
      <w:r>
        <w:rPr/>
        <w:t>，</w:t>
      </w:r>
      <w:r>
        <w:rPr/>
        <w:t>P0.0001</w:t>
      </w:r>
      <w:r>
        <w:rPr/>
        <w:t>，提供真实随机证据。</w:t>
      </w:r>
    </w:p>
    <w:p>
      <w:pPr>
        <w:pStyle w:val="Normal"/>
        <w:rPr/>
      </w:pPr>
      <w:r>
        <w:rPr/>
        <w:t>HR0.58</w:t>
      </w:r>
      <w:r>
        <w:rPr/>
        <w:t>说明随访中的相对进展或死亡风险较低，不等每一患者寿命增加</w:t>
      </w:r>
      <w:r>
        <w:rPr/>
        <w:t>42%</w:t>
      </w:r>
      <w:r>
        <w:rPr/>
        <w:t>，也不等肿瘤缩小</w:t>
      </w:r>
      <w:r>
        <w:rPr/>
        <w:t>42%</w:t>
      </w:r>
      <w:r>
        <w:rPr/>
        <w:t>。论文讨论中位影像无进展延长约</w:t>
      </w:r>
      <w:r>
        <w:rPr/>
        <w:t>1.8</w:t>
      </w:r>
      <w:r>
        <w:rPr/>
        <w:t>个月，同时</w:t>
      </w:r>
      <w:r>
        <w:rPr/>
        <w:t>12</w:t>
      </w:r>
      <w:r>
        <w:rPr/>
        <w:t>和</w:t>
      </w:r>
      <w:r>
        <w:rPr/>
        <w:t>24</w:t>
      </w:r>
      <w:r>
        <w:rPr/>
        <w:t>个月长期控制尾部有差异。中位值与尾部可以共同帮助医生选择，但若宣传只保留最大相对比例而省略绝对收益和对照类型，投资者会高估患者普遍获益及可定价空间。</w:t>
      </w:r>
    </w:p>
    <w:p>
      <w:pPr>
        <w:pStyle w:val="Normal"/>
        <w:rPr/>
      </w:pPr>
      <w:r>
        <w:rPr/>
        <w:t>影像独立中心评价与研究者结果方向一致，增强了终点可信度，仍不能消除对照选择和人群限定。研究开始时当地后线可选方案条件与当前不同，采用安慰剂不意味着已证优于恩扎、卡巴他赛、核素或其他积极治疗。原文讨论中的跨研究比较不是随机优效证据，股票估值不应据此给予不受竞争约束的最高价格及份额。</w:t>
      </w:r>
    </w:p>
    <w:p>
      <w:pPr>
        <w:pStyle w:val="Normal"/>
        <w:rPr/>
      </w:pPr>
      <w:r>
        <w:rPr/>
        <w:t>随机设计是上市后线价值的基础，不应因为未证某些其他终点就否定全部有效性。反过来，也不应因为监管已经批准就把所有长期问题关闭。已批适应症在本模型获批概率设一，销量、净价、安全标签及商业执行仍有不同悲观情景；批准把一种风险减少，并没有将投资变成无风险现金债券。</w:t>
      </w:r>
    </w:p>
    <w:p>
      <w:pPr>
        <w:pStyle w:val="Heading2"/>
        <w:rPr/>
      </w:pPr>
      <w:r>
        <w:rPr>
          <w:color w:val="000000"/>
        </w:rPr>
        <w:t>总生存分析与反证</w:t>
      </w:r>
    </w:p>
    <w:p>
      <w:pPr>
        <w:pStyle w:val="Normal"/>
        <w:rPr/>
      </w:pPr>
      <w:r>
        <w:rPr/>
        <w:t>预设最终总生存分析在</w:t>
      </w:r>
      <w:r>
        <w:rPr/>
        <w:t>317</w:t>
      </w:r>
      <w:r>
        <w:rPr/>
        <w:t>例死亡事件后得到</w:t>
      </w:r>
      <w:r>
        <w:rPr/>
        <w:t>HR0.95</w:t>
      </w:r>
      <w:r>
        <w:rPr/>
        <w:t>，置信区间</w:t>
      </w:r>
      <w:r>
        <w:rPr/>
        <w:t>0.76</w:t>
      </w:r>
      <w:r>
        <w:rPr/>
        <w:t>至</w:t>
      </w:r>
      <w:r>
        <w:rPr/>
        <w:t>1.20</w:t>
      </w:r>
      <w:r>
        <w:rPr/>
        <w:t>，</w:t>
      </w:r>
      <w:r>
        <w:rPr/>
        <w:t>P0.697</w:t>
      </w:r>
      <w:r>
        <w:rPr/>
        <w:t>，未显示显著改善。后续治疗使用较多且两组不同，作者用</w:t>
      </w:r>
      <w:r>
        <w:rPr/>
        <w:t>IPCW</w:t>
      </w:r>
      <w:r>
        <w:rPr/>
        <w:t>和</w:t>
      </w:r>
      <w:r>
        <w:rPr/>
        <w:t>RPSFTM</w:t>
      </w:r>
      <w:r>
        <w:rPr/>
        <w:t>校正得到约</w:t>
      </w:r>
      <w:r>
        <w:rPr/>
        <w:t>0.73</w:t>
      </w:r>
      <w:r>
        <w:rPr/>
        <w:t>及</w:t>
      </w:r>
      <w:r>
        <w:rPr/>
        <w:t>0.65</w:t>
      </w:r>
      <w:r>
        <w:rPr/>
        <w:t>的</w:t>
      </w:r>
      <w:r>
        <w:rPr/>
        <w:t>HR</w:t>
      </w:r>
      <w:r>
        <w:rPr/>
        <w:t>，有探索价值。论文明确校正不是预先规定的分析，因此本章不把它写成预设总生存阳性或确定延寿，不能把有利校正值替换随机原结果。</w:t>
      </w:r>
    </w:p>
    <w:p>
      <w:pPr>
        <w:pStyle w:val="Normal"/>
        <w:rPr/>
      </w:pPr>
      <w:r>
        <w:rPr/>
        <w:t>校正依赖后续治疗、删失和结构模型等假设，能尝试回答治疗切换的影响，但不自动比未校正结果更真实。若不同方法结论一致，可以提高研究兴趣，仍需预设验证和充分临床背景。对于商业估值，这支持有条件的产品机会，而非保证支付方接受额外溢价；未来真实世界、积极对照或新线别研究能提供更明确的差异化依据。</w:t>
      </w:r>
    </w:p>
    <w:p>
      <w:pPr>
        <w:pStyle w:val="Normal"/>
        <w:rPr/>
      </w:pPr>
      <w:r>
        <w:rPr/>
        <w:t>原文指出未详细报告患者激素敏感阶段治疗，也未事先按</w:t>
      </w:r>
      <w:r>
        <w:rPr/>
        <w:t>AR</w:t>
      </w:r>
      <w:r>
        <w:rPr/>
        <w:t>变异及肿瘤负担筛选。将旧时代较晚开始</w:t>
      </w:r>
      <w:r>
        <w:rPr/>
        <w:t>AR</w:t>
      </w:r>
      <w:r>
        <w:rPr/>
        <w:t>治疗的患者结果应用于今天已早期强化治疗的人群可能有局限。若后续数据发现药物只在很窄敏感亚组有效，潜在销售池应缩小；若可验证标志物找到长期响应人群，则可以更精确准入，不需要把所有患者都赋最高收益。</w:t>
      </w:r>
    </w:p>
    <w:p>
      <w:pPr>
        <w:pStyle w:val="Heading2"/>
        <w:rPr/>
      </w:pPr>
      <w:r>
        <w:rPr>
          <w:color w:val="000000"/>
        </w:rPr>
        <w:t>安全性 原表与营销表述</w:t>
      </w:r>
    </w:p>
    <w:p>
      <w:pPr>
        <w:pStyle w:val="Normal"/>
        <w:rPr/>
      </w:pPr>
      <w:r>
        <w:rPr/>
        <w:t>按原论文表</w:t>
      </w:r>
      <w:r>
        <w:rPr/>
        <w:t>3</w:t>
      </w:r>
      <w:r>
        <w:rPr/>
        <w:t>安全分析为</w:t>
      </w:r>
      <w:r>
        <w:rPr/>
        <w:t>274</w:t>
      </w:r>
      <w:r>
        <w:rPr/>
        <w:t>人与</w:t>
      </w:r>
      <w:r>
        <w:rPr/>
        <w:t>140</w:t>
      </w:r>
      <w:r>
        <w:rPr/>
        <w:t>人，治疗相关三级及以上不良事件</w:t>
      </w:r>
      <w:r>
        <w:rPr/>
        <w:t>22.3%</w:t>
      </w:r>
      <w:r>
        <w:rPr/>
        <w:t>对</w:t>
      </w:r>
      <w:r>
        <w:rPr/>
        <w:t>15.0%</w:t>
      </w:r>
      <w:r>
        <w:rPr/>
        <w:t>，全部原因三级及以上</w:t>
      </w:r>
      <w:r>
        <w:rPr/>
        <w:t>52.9%</w:t>
      </w:r>
      <w:r>
        <w:rPr/>
        <w:t>对</w:t>
      </w:r>
      <w:r>
        <w:rPr/>
        <w:t>42.1%</w:t>
      </w:r>
      <w:r>
        <w:rPr/>
        <w:t>，严重不良事件</w:t>
      </w:r>
      <w:r>
        <w:rPr/>
        <w:t>36.1%</w:t>
      </w:r>
      <w:r>
        <w:rPr/>
        <w:t>对</w:t>
      </w:r>
      <w:r>
        <w:rPr/>
        <w:t>26.4%</w:t>
      </w:r>
      <w:r>
        <w:rPr/>
        <w:t>。贫血、疲劳和其他晚期病人症状要区分全部原因与治疗相关，不能混用最佳数字。原文叙述段落有安全分母互置，本章使用明确表格口径并保留这一文本限制。</w:t>
      </w:r>
    </w:p>
    <w:p>
      <w:pPr>
        <w:pStyle w:val="Normal"/>
        <w:rPr/>
      </w:pPr>
      <w:r>
        <w:rPr/>
        <w:t>研究没有观察到癫痫或跌倒，但入排标准排除了癫痫病史或易感者，这限制对高风险人群的推广解释。零观察不是风险永远为零，也不是与恩扎进行头对头证实更安全；样本、随访和基础病不同会改变事件频率。后续药物警戒及更广泛使用若发现重要中枢、血液或心血管风险，商业化及估值都应重新评估。</w:t>
      </w:r>
    </w:p>
    <w:p>
      <w:pPr>
        <w:pStyle w:val="Normal"/>
        <w:rPr/>
      </w:pPr>
      <w:r>
        <w:rPr/>
        <w:t>论文表中致死事件、药物归因和正文用语存在需要细核的差别，本章未把全部死亡强行解释为治疗引发，也未宣称零死亡。对股票研究，关键是诚实描述证据边界并观察监管标签、因药停药及医生实际选择。任何安全结论都要对应患者条件和分析集，不应在量价上涨时放松医学核验，或因价格下跌就倒推出药物必然无效。</w:t>
      </w:r>
    </w:p>
    <w:p>
      <w:pPr>
        <w:pStyle w:val="Heading2"/>
        <w:rPr/>
      </w:pPr>
      <w:r>
        <w:rPr>
          <w:color w:val="000000"/>
        </w:rPr>
        <w:t>医保时间与销售基数</w:t>
      </w:r>
    </w:p>
    <w:p>
      <w:pPr>
        <w:pStyle w:val="Normal"/>
        <w:rPr/>
      </w:pPr>
      <w:r>
        <w:rPr/>
        <w:t>药品</w:t>
      </w:r>
      <w:r>
        <w:rPr/>
        <w:t>2025</w:t>
      </w:r>
      <w:r>
        <w:rPr/>
        <w:t>年</w:t>
      </w:r>
      <w:r>
        <w:rPr/>
        <w:t>12</w:t>
      </w:r>
      <w:r>
        <w:rPr/>
        <w:t>月纳入目录，</w:t>
      </w:r>
      <w:r>
        <w:rPr/>
        <w:t>2026</w:t>
      </w:r>
      <w:r>
        <w:rPr/>
        <w:t>年</w:t>
      </w:r>
      <w:r>
        <w:rPr/>
        <w:t>1</w:t>
      </w:r>
      <w:r>
        <w:rPr/>
        <w:t>月</w:t>
      </w:r>
      <w:r>
        <w:rPr/>
        <w:t>1</w:t>
      </w:r>
      <w:r>
        <w:rPr/>
        <w:t>日开始执行新价格，纳入时间、价格实施和收到销售现金不同。</w:t>
      </w:r>
      <w:r>
        <w:rPr/>
        <w:t>2025</w:t>
      </w:r>
      <w:r>
        <w:rPr/>
        <w:t>上半年产品只在</w:t>
      </w:r>
      <w:r>
        <w:rPr/>
        <w:t>5</w:t>
      </w:r>
      <w:r>
        <w:rPr/>
        <w:t>月才上市，</w:t>
      </w:r>
      <w:r>
        <w:rPr/>
        <w:t>2026</w:t>
      </w:r>
      <w:r>
        <w:rPr/>
        <w:t>上半年是更完整的销售期且准入扩大，因此</w:t>
      </w:r>
      <w:r>
        <w:rPr/>
        <w:t>317.48%</w:t>
      </w:r>
      <w:r>
        <w:rPr/>
        <w:t>总收入增长受到低基数及时间长度影响。增长方向值得肯定，但不能把四倍增长机械复利到未来五年，也不能视为每家医院处方同幅增长。</w:t>
      </w:r>
    </w:p>
    <w:p>
      <w:pPr>
        <w:pStyle w:val="Normal"/>
        <w:rPr/>
      </w:pPr>
      <w:r>
        <w:rPr/>
        <w:t>2025</w:t>
      </w:r>
      <w:r>
        <w:rPr/>
        <w:t>全年收入</w:t>
      </w:r>
      <w:r>
        <w:rPr/>
        <w:t>20.47</w:t>
      </w:r>
      <w:r>
        <w:rPr/>
        <w:t>百万元，其中第四季度收入为负</w:t>
      </w:r>
      <w:r>
        <w:rPr/>
        <w:t>2.882</w:t>
      </w:r>
      <w:r>
        <w:rPr/>
        <w:t>百万元，原年报说明医保后价格大幅下降，期末对经销商库存补差以及部分区域更换经销商退货所致。负季度收入不能单凭一个数字认定造假，也不能完全忽略其经济含义：价格谈判会追溯影响渠道库存，公司须承担部分返利或退货。未来医保重谈及渠道调整仍可能产生类似波动。</w:t>
      </w:r>
    </w:p>
    <w:p>
      <w:pPr>
        <w:pStyle w:val="Normal"/>
        <w:rPr/>
      </w:pPr>
      <w:r>
        <w:rPr/>
        <w:t>本模型既有后线基准峰值</w:t>
      </w:r>
      <w:r>
        <w:rPr/>
        <w:t>900</w:t>
      </w:r>
      <w:r>
        <w:rPr/>
        <w:t>百万元是研究路径，远高于当前半年收入，需多年增长和持续销售效率，不是已披露订单。低、中、高峰值</w:t>
      </w:r>
      <w:r>
        <w:rPr/>
        <w:t>450</w:t>
      </w:r>
      <w:r>
        <w:rPr/>
        <w:t>、</w:t>
      </w:r>
      <w:r>
        <w:rPr/>
        <w:t>900</w:t>
      </w:r>
      <w:r>
        <w:rPr/>
        <w:t>、</w:t>
      </w:r>
      <w:r>
        <w:rPr/>
        <w:t>1500</w:t>
      </w:r>
      <w:r>
        <w:rPr/>
        <w:t>百万元反映不同净价、渗透与竞争假设。用净销售而非医保标价建现金收益，才不会把患者名义用药费用和企业实际得到的钱混合；精确药价及处方细表尚未取得，峰值可信度中低。</w:t>
      </w:r>
    </w:p>
    <w:p>
      <w:pPr>
        <w:pStyle w:val="Heading2"/>
        <w:rPr/>
      </w:pPr>
      <w:r>
        <w:rPr>
          <w:color w:val="000000"/>
        </w:rPr>
        <w:t>准入渠道与终端数据</w:t>
      </w:r>
    </w:p>
    <w:p>
      <w:pPr>
        <w:pStyle w:val="Normal"/>
        <w:rPr/>
      </w:pPr>
      <w:r>
        <w:rPr/>
        <w:t>截至</w:t>
      </w:r>
      <w:r>
        <w:rPr/>
        <w:t>6</w:t>
      </w:r>
      <w:r>
        <w:rPr/>
        <w:t>月</w:t>
      </w:r>
      <w:r>
        <w:rPr/>
        <w:t>30</w:t>
      </w:r>
      <w:r>
        <w:rPr/>
        <w:t>日，公司报告覆盖</w:t>
      </w:r>
      <w:r>
        <w:rPr/>
        <w:t>250</w:t>
      </w:r>
      <w:r>
        <w:rPr/>
        <w:t>余城市、</w:t>
      </w:r>
      <w:r>
        <w:rPr/>
        <w:t>500</w:t>
      </w:r>
      <w:r>
        <w:rPr/>
        <w:t>余医院及</w:t>
      </w:r>
      <w:r>
        <w:rPr/>
        <w:t>700</w:t>
      </w:r>
      <w:r>
        <w:rPr/>
        <w:t>余药房，并参与</w:t>
      </w:r>
      <w:r>
        <w:rPr/>
        <w:t>400</w:t>
      </w:r>
      <w:r>
        <w:rPr/>
        <w:t>余场学术活动。渠道覆盖表明产品可以获得部分终端准入，但医院数量不等活跃处方医院，药房数量不等持续售药病人，学术场次也不等净销售。投资应进一步看同院持续销量、净新增病人、疗程和退货，把渠道宽度转为可核验收入质量。</w:t>
      </w:r>
    </w:p>
    <w:p>
      <w:pPr>
        <w:pStyle w:val="Normal"/>
        <w:rPr/>
      </w:pPr>
      <w:r>
        <w:rPr/>
        <w:t>自营团队重点覆盖重要省份及重点医院，外部推广服务商覆盖其他区域，能在资源有限时扩展市场。伙伴的当地能力有价值，也可能增加返利、履约保证金、合规培训和数据统计复杂度。海创确认经销销售而未拥有逐个患者终端数据，不能将发货直接等同于终端消耗；销售增长、应收与库存应并列检查，识别渠道备货是否暂时放大报表。</w:t>
      </w:r>
    </w:p>
    <w:p>
      <w:pPr>
        <w:pStyle w:val="Normal"/>
        <w:rPr/>
      </w:pPr>
      <w:r>
        <w:rPr/>
        <w:t>双通道及</w:t>
      </w:r>
      <w:r>
        <w:rPr/>
        <w:t>DTP</w:t>
      </w:r>
      <w:r>
        <w:rPr/>
        <w:t>药房可以减少住院和院内准入障碍，仍取决于当地支付规则、处方流转和医生选择。创新药支付改善不是所有人都有无限疗程预算，患者自付及家庭收入仍影响持续服药。宏观消费较弱时，医保覆盖能提供缓冲，却不保证疗程、辅助检查和合并用药费用无压力，因而本章不把医疗刚需当作完全不受经济影响。</w:t>
      </w:r>
    </w:p>
    <w:p>
      <w:pPr>
        <w:pStyle w:val="Heading2"/>
        <w:rPr/>
      </w:pPr>
      <w:r>
        <w:rPr>
          <w:color w:val="000000"/>
        </w:rPr>
        <w:t>销售费用与利润转换</w:t>
      </w:r>
    </w:p>
    <w:p>
      <w:pPr>
        <w:pStyle w:val="Normal"/>
        <w:rPr/>
      </w:pPr>
      <w:r>
        <w:rPr/>
        <w:t>上半年销售费用</w:t>
      </w:r>
      <w:r>
        <w:rPr/>
        <w:t>42.16</w:t>
      </w:r>
      <w:r>
        <w:rPr/>
        <w:t>百万元，相比去年</w:t>
      </w:r>
      <w:r>
        <w:rPr/>
        <w:t>10.50</w:t>
      </w:r>
      <w:r>
        <w:rPr/>
        <w:t>百万元明显增加，市场及学术推广</w:t>
      </w:r>
      <w:r>
        <w:rPr/>
        <w:t>27.84</w:t>
      </w:r>
      <w:r>
        <w:rPr/>
        <w:t>百万元相比</w:t>
      </w:r>
      <w:r>
        <w:rPr/>
        <w:t>0.793</w:t>
      </w:r>
      <w:r>
        <w:rPr/>
        <w:t>百万元增加尤大。收入增加约</w:t>
      </w:r>
      <w:r>
        <w:rPr/>
        <w:t>41.80</w:t>
      </w:r>
      <w:r>
        <w:rPr/>
        <w:t>百万元，销售费用增加约</w:t>
      </w:r>
      <w:r>
        <w:rPr/>
        <w:t>31.66</w:t>
      </w:r>
      <w:r>
        <w:rPr/>
        <w:t>百万元，说明新增销售并未全部进入利润。推广早期固定投入可能为后续放量准备，也可能长期依赖高费用维持处方，半年报不能单独确定哪一种解释成立。</w:t>
      </w:r>
    </w:p>
    <w:p>
      <w:pPr>
        <w:pStyle w:val="Normal"/>
        <w:rPr/>
      </w:pPr>
      <w:r>
        <w:rPr/>
        <w:t>药品会计成本</w:t>
      </w:r>
      <w:r>
        <w:rPr/>
        <w:t>1.402</w:t>
      </w:r>
      <w:r>
        <w:rPr/>
        <w:t>百万元、收入</w:t>
      </w:r>
      <w:r>
        <w:rPr/>
        <w:t>54.945</w:t>
      </w:r>
      <w:r>
        <w:rPr/>
        <w:t>百万元对应约</w:t>
      </w:r>
      <w:r>
        <w:rPr/>
        <w:t>97.45%</w:t>
      </w:r>
      <w:r>
        <w:rPr/>
        <w:t>毛利，但销售费已经占总收入约</w:t>
      </w:r>
      <w:r>
        <w:rPr/>
        <w:t>76.7%</w:t>
      </w:r>
      <w:r>
        <w:rPr/>
        <w:t>。高毛利不等高净利或高自由现金，生产成本占比很小而推广、研发和管理占主要负担。模型既有后线现金率取</w:t>
      </w:r>
      <w:r>
        <w:rPr/>
        <w:t>15%</w:t>
      </w:r>
      <w:r>
        <w:rPr/>
        <w:t>至</w:t>
      </w:r>
      <w:r>
        <w:rPr/>
        <w:t>35%</w:t>
      </w:r>
      <w:r>
        <w:rPr/>
        <w:t>，基准</w:t>
      </w:r>
      <w:r>
        <w:rPr/>
        <w:t>25%</w:t>
      </w:r>
      <w:r>
        <w:rPr/>
        <w:t>，是包含正常销售、税及维护营运后的长期假设，不直接拿当前</w:t>
      </w:r>
      <w:r>
        <w:rPr/>
        <w:t>97%</w:t>
      </w:r>
      <w:r>
        <w:rPr/>
        <w:t>毛利作为估值现金率。</w:t>
      </w:r>
    </w:p>
    <w:p>
      <w:pPr>
        <w:pStyle w:val="Normal"/>
        <w:rPr/>
      </w:pPr>
      <w:r>
        <w:rPr/>
        <w:t>若销售费用主要在早期投入且新增医院能低成本重复开方，未来费率下降会显著提高产品价值；若竞争要求持续高学术及渠道支出，基准现金率可能过高。验证点是净销售的增量与现金推广开支、销售回款以及经销渠道存货变化。单看销售费用同比降低也不够，若同时失去医生覆盖和收入，费用节省没有形成经济改善。</w:t>
      </w:r>
    </w:p>
    <w:p>
      <w:pPr>
        <w:pStyle w:val="Heading2"/>
        <w:rPr/>
      </w:pPr>
      <w:r>
        <w:rPr>
          <w:color w:val="000000"/>
        </w:rPr>
        <w:t>BCR</w:t>
      </w:r>
      <w:r>
        <w:rPr>
          <w:color w:val="000000"/>
        </w:rPr>
        <w:t>适应症扩展</w:t>
      </w:r>
    </w:p>
    <w:p>
      <w:pPr>
        <w:pStyle w:val="Normal"/>
        <w:rPr/>
      </w:pPr>
      <w:r>
        <w:rPr/>
        <w:t>高风险生化复发是根治治疗后肿瘤标志物上升、需要识别进展风险的病人场景，与已转移去势抵抗病人不同。</w:t>
      </w:r>
      <w:r>
        <w:rPr/>
        <w:t>7</w:t>
      </w:r>
      <w:r>
        <w:rPr/>
        <w:t>月获批的是三期临床试验申请，拟联合雄激素剥夺治疗，不是适应症上市许可，更不是研究已经成功。早期治疗需要更长随访、清晰风险分层及生活质量评价，不能从后线</w:t>
      </w:r>
      <w:r>
        <w:rPr/>
        <w:t>rPFS</w:t>
      </w:r>
      <w:r>
        <w:rPr/>
        <w:t>阳性推导</w:t>
      </w:r>
      <w:r>
        <w:rPr/>
        <w:t>BCR</w:t>
      </w:r>
      <w:r>
        <w:rPr/>
        <w:t>一定成功。</w:t>
      </w:r>
    </w:p>
    <w:p>
      <w:pPr>
        <w:pStyle w:val="Normal"/>
        <w:rPr/>
      </w:pPr>
      <w:r>
        <w:rPr/>
        <w:t>公司引用根治术后多年生化复发累积发生率，不能把全部复发都当高风险、全部用药、全部终身。适应症可能受</w:t>
      </w:r>
      <w:r>
        <w:rPr/>
        <w:t>PSA</w:t>
      </w:r>
      <w:r>
        <w:rPr/>
        <w:t>水平、倍增时间、影像及先前治疗限制，临床标签和支付条件会决定真实销售池。患者有更长生活预期时，性功能、疲劳、代谢及骨健康的权衡更重要，也可能影响接受持续</w:t>
      </w:r>
      <w:r>
        <w:rPr/>
        <w:t>ADT</w:t>
      </w:r>
      <w:r>
        <w:rPr/>
        <w:t>及组合药物的意愿。</w:t>
      </w:r>
    </w:p>
    <w:p>
      <w:pPr>
        <w:pStyle w:val="Normal"/>
        <w:rPr/>
      </w:pPr>
      <w:r>
        <w:rPr/>
        <w:t>本模型</w:t>
      </w:r>
      <w:r>
        <w:rPr/>
        <w:t>BCR</w:t>
      </w:r>
      <w:r>
        <w:rPr/>
        <w:t>低中高峰值</w:t>
      </w:r>
      <w:r>
        <w:rPr/>
        <w:t>600</w:t>
      </w:r>
      <w:r>
        <w:rPr/>
        <w:t>、</w:t>
      </w:r>
      <w:r>
        <w:rPr/>
        <w:t>1800</w:t>
      </w:r>
      <w:r>
        <w:rPr/>
        <w:t>、</w:t>
      </w:r>
      <w:r>
        <w:rPr/>
        <w:t>3000</w:t>
      </w:r>
      <w:r>
        <w:rPr/>
        <w:t>百万元，成功判断</w:t>
      </w:r>
      <w:r>
        <w:rPr/>
        <w:t>15%</w:t>
      </w:r>
      <w:r>
        <w:rPr/>
        <w:t>、</w:t>
      </w:r>
      <w:r>
        <w:rPr/>
        <w:t>45%</w:t>
      </w:r>
      <w:r>
        <w:rPr/>
        <w:t>、</w:t>
      </w:r>
      <w:r>
        <w:rPr/>
        <w:t>70%</w:t>
      </w:r>
      <w:r>
        <w:rPr/>
        <w:t>，上市研究路径</w:t>
      </w:r>
      <w:r>
        <w:rPr/>
        <w:t>2034</w:t>
      </w:r>
      <w:r>
        <w:rPr/>
        <w:t>、</w:t>
      </w:r>
      <w:r>
        <w:rPr/>
        <w:t>2031</w:t>
      </w:r>
      <w:r>
        <w:rPr/>
        <w:t>、</w:t>
      </w:r>
      <w:r>
        <w:rPr/>
        <w:t>2029</w:t>
      </w:r>
      <w:r>
        <w:rPr/>
        <w:t>。它们不是公司保证获批年份或客观成功频率，乐观提前需要试验、审评及商业化共同较顺。既有后线与</w:t>
      </w:r>
      <w:r>
        <w:rPr/>
        <w:t>BCR</w:t>
      </w:r>
      <w:r>
        <w:rPr/>
        <w:t>有治疗次序关系，增量峰值已降低全人群重复，但初版尚未做患者级动态流转模型，这仍是估值重要限制。</w:t>
      </w:r>
    </w:p>
    <w:p>
      <w:pPr>
        <w:pStyle w:val="Normal"/>
        <w:rPr/>
      </w:pPr>
      <w:r>
        <w:rPr/>
        <w:t>如果</w:t>
      </w:r>
      <w:r>
        <w:rPr/>
        <w:t>BCR</w:t>
      </w:r>
      <w:r>
        <w:rPr/>
        <w:t>试验显示有临床意义且安全可接受，既有前列腺癌渠道有协同，产品生命周期和销售规模可以扩大。若主要终点未达、对照需求变化或竞争在相同人群占优，应撤除相关价值，不能用已批后线保护新适应症的成功率。年底及半年本章没有把</w:t>
      </w:r>
      <w:r>
        <w:rPr/>
        <w:t>BCR</w:t>
      </w:r>
      <w:r>
        <w:rPr/>
        <w:t>商业收入计进当期营业收入，研究许可仅作为长期条件催化。</w:t>
      </w:r>
    </w:p>
    <w:p>
      <w:pPr>
        <w:pStyle w:val="Heading2"/>
        <w:rPr/>
      </w:pPr>
      <w:r>
        <w:rPr>
          <w:color w:val="000000"/>
        </w:rPr>
        <w:t>HP518</w:t>
      </w:r>
      <w:r>
        <w:rPr>
          <w:color w:val="000000"/>
        </w:rPr>
        <w:t>的最新状态</w:t>
      </w:r>
    </w:p>
    <w:p>
      <w:pPr>
        <w:pStyle w:val="Normal"/>
        <w:rPr/>
      </w:pPr>
      <w:r>
        <w:rPr/>
        <w:t>HP518</w:t>
      </w:r>
      <w:r>
        <w:rPr/>
        <w:t>为口服</w:t>
      </w:r>
      <w:r>
        <w:rPr/>
        <w:t>AR</w:t>
      </w:r>
      <w:r>
        <w:rPr/>
        <w:t>靶向蛋白降解候选药，通过同时识别靶蛋白和</w:t>
      </w:r>
      <w:r>
        <w:rPr/>
        <w:t>E3</w:t>
      </w:r>
      <w:r>
        <w:rPr/>
        <w:t>连接酶，促进泛素标记与蛋白酶体降解。这种方式可望处理某些传统抑制剂难应对的功能与耐药，但成药性、肿瘤分布、降解选择性和人体安全仍独立决定成功。国内先进入临床的地位有研发意义，不等自动保留全球临床或商业领先。</w:t>
      </w:r>
    </w:p>
    <w:p>
      <w:pPr>
        <w:pStyle w:val="Normal"/>
        <w:rPr/>
      </w:pPr>
      <w:r>
        <w:rPr/>
        <w:t>8</w:t>
      </w:r>
      <w:r>
        <w:rPr/>
        <w:t>月</w:t>
      </w:r>
      <w:r>
        <w:rPr/>
        <w:t>27</w:t>
      </w:r>
      <w:r>
        <w:rPr/>
        <w:t>日原公告拟暂停</w:t>
      </w:r>
      <w:r>
        <w:rPr/>
        <w:t>HP518</w:t>
      </w:r>
      <w:r>
        <w:rPr/>
        <w:t>用于标准治疗失败</w:t>
      </w:r>
      <w:r>
        <w:rPr/>
        <w:t>mCRPC</w:t>
      </w:r>
      <w:r>
        <w:rPr/>
        <w:t>的中国单药临床，重点开展晚期前列腺癌联合；</w:t>
      </w:r>
      <w:r>
        <w:rPr/>
        <w:t>9</w:t>
      </w:r>
      <w:r>
        <w:rPr/>
        <w:t>月</w:t>
      </w:r>
      <w:r>
        <w:rPr/>
        <w:t>11</w:t>
      </w:r>
      <w:r>
        <w:rPr/>
        <w:t>日股东会通过，</w:t>
      </w:r>
      <w:r>
        <w:rPr/>
        <w:t>9</w:t>
      </w:r>
      <w:r>
        <w:rPr/>
        <w:t>月</w:t>
      </w:r>
      <w:r>
        <w:rPr/>
        <w:t>12</w:t>
      </w:r>
      <w:r>
        <w:rPr/>
        <w:t>日公告。中国单药入组已经完成不等数据已经足以继续注册，暂停可以是合理资源重排，也暴露单药战略未按原路径推进。初版把暂停中国单药估值置零，没有沿旧宣传加一条近期三期峰值。</w:t>
      </w:r>
    </w:p>
    <w:p>
      <w:pPr>
        <w:pStyle w:val="Normal"/>
        <w:rPr/>
      </w:pPr>
      <w:r>
        <w:rPr/>
        <w:t>公告给出该单药研究累计使用募集资金</w:t>
      </w:r>
      <w:r>
        <w:rPr/>
        <w:t>83.88</w:t>
      </w:r>
      <w:r>
        <w:rPr/>
        <w:t>百万元，</w:t>
      </w:r>
      <w:r>
        <w:rPr/>
        <w:t>HP518</w:t>
      </w:r>
      <w:r>
        <w:rPr/>
        <w:t>总项目累计投入</w:t>
      </w:r>
      <w:r>
        <w:rPr/>
        <w:t>165.13</w:t>
      </w:r>
      <w:r>
        <w:rPr/>
        <w:t>百万元，两个口径不同，不能互换。已花的钱是历史沉没成本，不因投入规模大而要求继续投入或赋同金额价值。新联合路线是否值得追加，取决于新的临床收益和未来成本；把历史投入额作为估值底价容易阻止资本纪律并忽视失败学习。</w:t>
      </w:r>
    </w:p>
    <w:p>
      <w:pPr>
        <w:pStyle w:val="Normal"/>
        <w:rPr/>
      </w:pPr>
      <w:r>
        <w:rPr/>
        <w:t>HP518</w:t>
      </w:r>
      <w:r>
        <w:rPr/>
        <w:t>募集资金使用期限由</w:t>
      </w:r>
      <w:r>
        <w:rPr/>
        <w:t>2026</w:t>
      </w:r>
      <w:r>
        <w:rPr/>
        <w:t>年末延至</w:t>
      </w:r>
      <w:r>
        <w:rPr/>
        <w:t>2027</w:t>
      </w:r>
      <w:r>
        <w:rPr/>
        <w:t>年末，整体项目预计</w:t>
      </w:r>
      <w:r>
        <w:rPr/>
        <w:t>2029</w:t>
      </w:r>
      <w:r>
        <w:rPr/>
        <w:t>启动三期，这不是</w:t>
      </w:r>
      <w:r>
        <w:rPr/>
        <w:t>2029</w:t>
      </w:r>
      <w:r>
        <w:rPr/>
        <w:t>获批，更不是</w:t>
      </w:r>
      <w:r>
        <w:rPr/>
        <w:t>2027</w:t>
      </w:r>
      <w:r>
        <w:rPr/>
        <w:t>注册。本模型中国联合基准</w:t>
      </w:r>
      <w:r>
        <w:rPr/>
        <w:t>2033</w:t>
      </w:r>
      <w:r>
        <w:rPr/>
        <w:t>上市、成功</w:t>
      </w:r>
      <w:r>
        <w:rPr/>
        <w:t>22%</w:t>
      </w:r>
      <w:r>
        <w:rPr/>
        <w:t>，刻意留出后续开发时间。假如联合早期数据显示很强且可重复的疗效，可以调整；如果只是批准试验或完成招募而未有疗效，应保持低成熟度和长时间折现。</w:t>
      </w:r>
    </w:p>
    <w:p>
      <w:pPr>
        <w:pStyle w:val="Heading2"/>
        <w:rPr/>
      </w:pPr>
      <w:r>
        <w:rPr>
          <w:color w:val="000000"/>
        </w:rPr>
        <w:t>HP518</w:t>
      </w:r>
      <w:r>
        <w:rPr>
          <w:color w:val="000000"/>
        </w:rPr>
        <w:t>联合的商业及临床难点</w:t>
      </w:r>
    </w:p>
    <w:p>
      <w:pPr>
        <w:pStyle w:val="Normal"/>
        <w:rPr/>
      </w:pPr>
      <w:r>
        <w:rPr/>
        <w:t>联合可扩展适用群体并试图克服耐药，也同时引入伙伴药物、剂量、毒性叠加和试验归因难点。早期单药降解标志物阳性并不能证明组合临床获益，必须看组合相较适当对照的净收益。晚期病人既有治疗多、体能差，新增不良反应可能抵销肿瘤控制，不能把组合总反应全部归给海创一个分子。</w:t>
      </w:r>
    </w:p>
    <w:p>
      <w:pPr>
        <w:pStyle w:val="Normal"/>
        <w:rPr/>
      </w:pPr>
      <w:r>
        <w:rPr/>
        <w:t>基准中国联合峰值</w:t>
      </w:r>
      <w:r>
        <w:rPr/>
        <w:t>1300</w:t>
      </w:r>
      <w:r>
        <w:rPr/>
        <w:t>百万元、现金率</w:t>
      </w:r>
      <w:r>
        <w:rPr/>
        <w:t>23%</w:t>
      </w:r>
      <w:r>
        <w:rPr/>
        <w:t>，与单药后线和</w:t>
      </w:r>
      <w:r>
        <w:rPr/>
        <w:t>BCR</w:t>
      </w:r>
      <w:r>
        <w:rPr/>
        <w:t>分开，但治疗人群仍可能交叉。联合抗肿瘤伙伴的全部利润不归海创，模型只估</w:t>
      </w:r>
      <w:r>
        <w:rPr/>
        <w:t>HP518</w:t>
      </w:r>
      <w:r>
        <w:rPr/>
        <w:t>相应净销售现金，不计整套组合账单。未来若真实合作协议分担成本或收益，应按地区和合同替换，不能一面省掉临床投入，一面保留整套自营利润。</w:t>
      </w:r>
    </w:p>
    <w:p>
      <w:pPr>
        <w:pStyle w:val="Normal"/>
        <w:rPr/>
      </w:pPr>
      <w:r>
        <w:rPr/>
        <w:t>海外前列腺癌路径保留低权重假设期权，澳大利亚一期及美国</w:t>
      </w:r>
      <w:r>
        <w:rPr/>
        <w:t>IND</w:t>
      </w:r>
      <w:r>
        <w:rPr/>
        <w:t>仅是前期证据，本章未取得海外随机确证结果。不同国家标准治疗和可选药更多，全球患者数大不等临床门槛低。未签未来许可采用</w:t>
      </w:r>
      <w:r>
        <w:rPr/>
        <w:t>6%</w:t>
      </w:r>
      <w:r>
        <w:rPr/>
        <w:t>至</w:t>
      </w:r>
      <w:r>
        <w:rPr/>
        <w:t>12%</w:t>
      </w:r>
      <w:r>
        <w:rPr/>
        <w:t>有效版税、不同成功折扣，没有加确定首款；若公司决定自营，必须另计海外试验、渠道及资本成本，不能直接把版税换全收入。</w:t>
      </w:r>
    </w:p>
    <w:p>
      <w:pPr>
        <w:pStyle w:val="Heading2"/>
        <w:rPr/>
      </w:pPr>
      <w:r>
        <w:rPr>
          <w:color w:val="000000"/>
        </w:rPr>
        <w:t>HP518</w:t>
      </w:r>
      <w:r>
        <w:rPr>
          <w:color w:val="000000"/>
        </w:rPr>
        <w:t>与</w:t>
      </w:r>
      <w:r>
        <w:rPr>
          <w:color w:val="000000"/>
        </w:rPr>
        <w:t>AR</w:t>
      </w:r>
      <w:r>
        <w:rPr>
          <w:color w:val="000000"/>
        </w:rPr>
        <w:t>阳性三阴乳腺癌</w:t>
      </w:r>
    </w:p>
    <w:p>
      <w:pPr>
        <w:pStyle w:val="Normal"/>
        <w:rPr/>
      </w:pPr>
      <w:r>
        <w:rPr/>
        <w:t>AR</w:t>
      </w:r>
      <w:r>
        <w:rPr/>
        <w:t>阳性三阴乳腺癌是三阴乳腺癌的一个生物亚群，三阴乳腺癌又只占全部乳腺癌一部分。公司引用</w:t>
      </w:r>
      <w:r>
        <w:rPr/>
        <w:t>AR</w:t>
      </w:r>
      <w:r>
        <w:rPr/>
        <w:t>表达范围较宽，检测方法、阈值和病人选择不同，不能用全部乳腺癌</w:t>
      </w:r>
      <w:r>
        <w:rPr/>
        <w:t>70%</w:t>
      </w:r>
      <w:r>
        <w:rPr/>
        <w:t>至</w:t>
      </w:r>
      <w:r>
        <w:rPr/>
        <w:t>90%</w:t>
      </w:r>
      <w:r>
        <w:rPr/>
        <w:t>表达比例扩大可用药人群。必须结合</w:t>
      </w:r>
      <w:r>
        <w:rPr/>
        <w:t>AR</w:t>
      </w:r>
      <w:r>
        <w:rPr/>
        <w:t>依赖机制、检测验证与治疗线别，防止将生物标志阳性直接当临床响应。</w:t>
      </w:r>
    </w:p>
    <w:p>
      <w:pPr>
        <w:pStyle w:val="Normal"/>
        <w:rPr/>
      </w:pPr>
      <w:r>
        <w:rPr/>
        <w:t>2024</w:t>
      </w:r>
      <w:r>
        <w:rPr/>
        <w:t>年</w:t>
      </w:r>
      <w:r>
        <w:rPr/>
        <w:t>6</w:t>
      </w:r>
      <w:r>
        <w:rPr/>
        <w:t>月美国快速通道资格有助于开发沟通和部分程序机会，不是产品获批或疗效背书。细胞和动物可抑制肿瘤生长提供原理依据，不能替代人体</w:t>
      </w:r>
      <w:r>
        <w:rPr/>
        <w:t>ORR</w:t>
      </w:r>
      <w:r>
        <w:rPr/>
        <w:t>、持久控制、生存及安全性。模型中国与海外</w:t>
      </w:r>
      <w:r>
        <w:rPr/>
        <w:t>TNBC</w:t>
      </w:r>
      <w:r>
        <w:rPr/>
        <w:t>成功权重明显低于</w:t>
      </w:r>
      <w:r>
        <w:rPr/>
        <w:t>MASH</w:t>
      </w:r>
      <w:r>
        <w:rPr/>
        <w:t>二期和已批药；若截止日缺成熟人体数据，就不能写出所谓确定上市年和确定市场份额。</w:t>
      </w:r>
    </w:p>
    <w:p>
      <w:pPr>
        <w:pStyle w:val="Normal"/>
        <w:rPr/>
      </w:pPr>
      <w:r>
        <w:rPr/>
        <w:t>乳腺癌渠道与泌尿肿瘤渠道部分不同，若成功需要另增商业组织或授权。</w:t>
      </w:r>
      <w:r>
        <w:rPr/>
        <w:t>ADC</w:t>
      </w:r>
      <w:r>
        <w:rPr/>
        <w:t>、化疗和免疫联合等竞争也使新</w:t>
      </w:r>
      <w:r>
        <w:rPr/>
        <w:t>AR</w:t>
      </w:r>
      <w:r>
        <w:rPr/>
        <w:t>路线面临证据差异化要求，本章不给全</w:t>
      </w:r>
      <w:r>
        <w:rPr/>
        <w:t>TNBC</w:t>
      </w:r>
      <w:r>
        <w:rPr/>
        <w:t>销售池。反证应包括目标降解没有临床转化、检测筛选不可重复或对现有标准没有足够净收益，而不是只有项目是否完成一期这一形式节点。</w:t>
      </w:r>
    </w:p>
    <w:p>
      <w:pPr>
        <w:pStyle w:val="Heading2"/>
        <w:rPr/>
      </w:pPr>
      <w:r>
        <w:rPr>
          <w:color w:val="000000"/>
        </w:rPr>
        <w:t>HP537</w:t>
      </w:r>
      <w:r>
        <w:rPr>
          <w:color w:val="000000"/>
        </w:rPr>
        <w:t>暂停及组合管理</w:t>
      </w:r>
    </w:p>
    <w:p>
      <w:pPr>
        <w:pStyle w:val="Normal"/>
        <w:rPr/>
      </w:pPr>
      <w:r>
        <w:rPr/>
        <w:t>8</w:t>
      </w:r>
      <w:r>
        <w:rPr/>
        <w:t>月公告暂停</w:t>
      </w:r>
      <w:r>
        <w:rPr/>
        <w:t>p300/CBP</w:t>
      </w:r>
      <w:r>
        <w:rPr/>
        <w:t>小分子</w:t>
      </w:r>
      <w:r>
        <w:rPr/>
        <w:t>HP537</w:t>
      </w:r>
      <w:r>
        <w:rPr/>
        <w:t>后续研发推进，</w:t>
      </w:r>
      <w:r>
        <w:rPr/>
        <w:t>6</w:t>
      </w:r>
      <w:r>
        <w:rPr/>
        <w:t>月末累计募集投入</w:t>
      </w:r>
      <w:r>
        <w:rPr/>
        <w:t>17.58</w:t>
      </w:r>
      <w:r>
        <w:rPr/>
        <w:t>百万元。中报图仍列这一项目，但截至</w:t>
      </w:r>
      <w:r>
        <w:rPr/>
        <w:t>10</w:t>
      </w:r>
      <w:r>
        <w:rPr/>
        <w:t>月</w:t>
      </w:r>
      <w:r>
        <w:rPr/>
        <w:t>9</w:t>
      </w:r>
      <w:r>
        <w:rPr/>
        <w:t>日更晚决议已经公开，应使用最新状态而不是把图中所有药都当活跃资产。初版不给</w:t>
      </w:r>
      <w:r>
        <w:rPr/>
        <w:t>HP537</w:t>
      </w:r>
      <w:r>
        <w:rPr/>
        <w:t>精确新增</w:t>
      </w:r>
      <w:r>
        <w:rPr/>
        <w:t>rNPV</w:t>
      </w:r>
      <w:r>
        <w:rPr/>
        <w:t>，恢复开发必须有新的公告、资金及科学依据，历史</w:t>
      </w:r>
      <w:r>
        <w:rPr/>
        <w:t>IND</w:t>
      </w:r>
      <w:r>
        <w:rPr/>
        <w:t>批文不能抵销后续暂停事实。</w:t>
      </w:r>
    </w:p>
    <w:p>
      <w:pPr>
        <w:pStyle w:val="Normal"/>
        <w:rPr/>
      </w:pPr>
      <w:r>
        <w:rPr/>
        <w:t>停止低回报方向可以保护现金，不必把每项暂停等同于公司平台失败。但若连续开发重排缺清晰数据解释，投资者应提高对成本、人才稳定及后续选择的要求。研发管理的质量在于能否把资金投入真正更有价值的路线，而不是保持最长的管线图。新项目加入的同时，要观察旧项目退出和新增预算，不能只计新增数量不计退出。</w:t>
      </w:r>
    </w:p>
    <w:p>
      <w:pPr>
        <w:pStyle w:val="Heading2"/>
        <w:rPr/>
      </w:pPr>
      <w:r>
        <w:rPr>
          <w:color w:val="000000"/>
        </w:rPr>
        <w:t>HP515</w:t>
      </w:r>
      <w:r>
        <w:rPr>
          <w:color w:val="000000"/>
        </w:rPr>
        <w:t>的</w:t>
      </w:r>
      <w:r>
        <w:rPr>
          <w:color w:val="000000"/>
        </w:rPr>
        <w:t>MASH</w:t>
      </w:r>
      <w:r>
        <w:rPr>
          <w:color w:val="000000"/>
        </w:rPr>
        <w:t>科学逻辑</w:t>
      </w:r>
    </w:p>
    <w:p>
      <w:pPr>
        <w:pStyle w:val="Normal"/>
        <w:rPr/>
      </w:pPr>
      <w:r>
        <w:rPr/>
        <w:t>HP515</w:t>
      </w:r>
      <w:r>
        <w:rPr/>
        <w:t>为口服选择性</w:t>
      </w:r>
      <w:r>
        <w:rPr/>
        <w:t>THRβ</w:t>
      </w:r>
      <w:r>
        <w:rPr/>
        <w:t>激动剂，旨在影响肝脂质代谢并改善代谢相关脂肪性肝炎。</w:t>
      </w:r>
      <w:r>
        <w:rPr/>
        <w:t>MASH</w:t>
      </w:r>
      <w:r>
        <w:rPr/>
        <w:t>是脂肪肝谱系中有炎症及可能纤维化的更严重群体，不等所有普通脂肪肝病人都需要同样药物。疾病诊断、纤维化分层、合并糖尿病及肥胖管理决定适用人群，巨大脂肪肝患病数不能直接变成药品销售人数。</w:t>
      </w:r>
    </w:p>
    <w:p>
      <w:pPr>
        <w:pStyle w:val="Normal"/>
        <w:rPr/>
      </w:pPr>
      <w:r>
        <w:rPr/>
        <w:t>THRβ</w:t>
      </w:r>
      <w:r>
        <w:rPr/>
        <w:t>方向已有国际同类临床与商业化验证，提高靶点可成药的可信度，也提高后来者差异化要求。肝脏脂肪下降、血脂变化和组织炎症纤维化存在关系，但关系不是个体确定的替代证明。海创需要证明自身分子在目标病人、正确剂量及足够时长的净收益，而不能把同类药的监管先例自动转移为</w:t>
      </w:r>
      <w:r>
        <w:rPr/>
        <w:t>HP515</w:t>
      </w:r>
      <w:r>
        <w:rPr/>
        <w:t>批准概率一。</w:t>
      </w:r>
    </w:p>
    <w:p>
      <w:pPr>
        <w:pStyle w:val="Heading2"/>
        <w:rPr/>
      </w:pPr>
      <w:r>
        <w:rPr>
          <w:color w:val="000000"/>
        </w:rPr>
        <w:t>HP515</w:t>
      </w:r>
      <w:r>
        <w:rPr>
          <w:color w:val="000000"/>
        </w:rPr>
        <w:t>二期实际数据</w:t>
      </w:r>
    </w:p>
    <w:p>
      <w:pPr>
        <w:pStyle w:val="Normal"/>
        <w:rPr/>
      </w:pPr>
      <w:r>
        <w:rPr/>
        <w:t>6</w:t>
      </w:r>
      <w:r>
        <w:rPr/>
        <w:t>月</w:t>
      </w:r>
      <w:r>
        <w:rPr/>
        <w:t>16</w:t>
      </w:r>
      <w:r>
        <w:rPr/>
        <w:t>日公司新闻与</w:t>
      </w:r>
      <w:r>
        <w:rPr/>
        <w:t>8</w:t>
      </w:r>
      <w:r>
        <w:rPr/>
        <w:t>月中报报告中国</w:t>
      </w:r>
      <w:r>
        <w:rPr/>
        <w:t>IIa</w:t>
      </w:r>
      <w:r>
        <w:rPr/>
        <w:t>完成，主要终点为独立第三方</w:t>
      </w:r>
      <w:r>
        <w:rPr/>
        <w:t>MRI-PDFF</w:t>
      </w:r>
      <w:r>
        <w:rPr/>
        <w:t>评估</w:t>
      </w:r>
      <w:r>
        <w:rPr/>
        <w:t>12</w:t>
      </w:r>
      <w:r>
        <w:rPr/>
        <w:t>周肝脂肪相对基线变化。</w:t>
      </w:r>
      <w:r>
        <w:rPr/>
        <w:t>40</w:t>
      </w:r>
      <w:r>
        <w:rPr/>
        <w:t>、</w:t>
      </w:r>
      <w:r>
        <w:rPr/>
        <w:t>50</w:t>
      </w:r>
      <w:r>
        <w:rPr/>
        <w:t>、</w:t>
      </w:r>
      <w:r>
        <w:rPr/>
        <w:t>60</w:t>
      </w:r>
      <w:r>
        <w:rPr/>
        <w:t>毫克每日组平均下降均超过</w:t>
      </w:r>
      <w:r>
        <w:rPr/>
        <w:t>50%</w:t>
      </w:r>
      <w:r>
        <w:rPr/>
        <w:t>，安慰剂约下降</w:t>
      </w:r>
      <w:r>
        <w:rPr/>
        <w:t>3.5%</w:t>
      </w:r>
      <w:r>
        <w:rPr/>
        <w:t>，各药物组与安慰剂比较</w:t>
      </w:r>
      <w:r>
        <w:rPr/>
        <w:t>P</w:t>
      </w:r>
      <w:r>
        <w:rPr/>
        <w:t>小于</w:t>
      </w:r>
      <w:r>
        <w:rPr/>
        <w:t>0.001</w:t>
      </w:r>
      <w:r>
        <w:rPr/>
        <w:t>。这个结果对后续剂量和机制有积极意义，本章保存公开数值，但没有取得各组完整人数及个体明细，不补造样本数。</w:t>
      </w:r>
    </w:p>
    <w:p>
      <w:pPr>
        <w:pStyle w:val="Normal"/>
        <w:rPr/>
      </w:pPr>
      <w:r>
        <w:rPr/>
        <w:t>报道还称超过</w:t>
      </w:r>
      <w:r>
        <w:rPr/>
        <w:t>80%</w:t>
      </w:r>
      <w:r>
        <w:rPr/>
        <w:t>病人下降至少</w:t>
      </w:r>
      <w:r>
        <w:rPr/>
        <w:t>30%</w:t>
      </w:r>
      <w:r>
        <w:rPr/>
        <w:t>、</w:t>
      </w:r>
      <w:r>
        <w:rPr/>
        <w:t>60%</w:t>
      </w:r>
      <w:r>
        <w:rPr/>
        <w:t>以上下降至少</w:t>
      </w:r>
      <w:r>
        <w:rPr/>
        <w:t>50%</w:t>
      </w:r>
      <w:r>
        <w:rPr/>
        <w:t>，血脂多个指标改善且未发生严重不良事件。缺完整各组分母和基线时，不能将这些比例当精确全人群分布，也不能推断最高剂量具有最佳长期性价比。若不同组入组或脱落不一致，平均下降容易受筛选影响，正式论文及详细统计分析是估值可信度提升的重要条件。</w:t>
      </w:r>
    </w:p>
    <w:p>
      <w:pPr>
        <w:pStyle w:val="Normal"/>
        <w:rPr/>
      </w:pPr>
      <w:r>
        <w:rPr/>
        <w:t>MRI-PDFF</w:t>
      </w:r>
      <w:r>
        <w:rPr/>
        <w:t>是量化肝脂的影像工具，不等活检证明炎症消退或纤维化逆转，更不是已经证明降低肝硬化、肝癌和死亡。公司引用相关性文献可形成科学假设，投资研究需清楚停留在哪一层证据。不能把</w:t>
      </w:r>
      <w:r>
        <w:rPr/>
        <w:t>12</w:t>
      </w:r>
      <w:r>
        <w:rPr/>
        <w:t>周影像下降百分比与其他试验不同基线、剂量、时长的数据横比，直接称所有上市及在研药都被证明劣于</w:t>
      </w:r>
      <w:r>
        <w:rPr/>
        <w:t>HP515</w:t>
      </w:r>
      <w:r>
        <w:rPr/>
        <w:t>。</w:t>
      </w:r>
    </w:p>
    <w:p>
      <w:pPr>
        <w:pStyle w:val="Normal"/>
        <w:rPr/>
      </w:pPr>
      <w:r>
        <w:rPr/>
        <w:t>长期用药还需要关注甲状腺轴、心血管、肝胆、相互作用及病人合并症，短期小试验未发生</w:t>
      </w:r>
      <w:r>
        <w:rPr/>
        <w:t>SAE</w:t>
      </w:r>
      <w:r>
        <w:rPr/>
        <w:t>并不关闭这些风险。原报告有一例与药物无关的三级</w:t>
      </w:r>
      <w:r>
        <w:rPr/>
        <w:t>AE</w:t>
      </w:r>
      <w:r>
        <w:rPr/>
        <w:t>及其他一至二级事件，不应概括成完全零不良事件。更长研究若显示安全负担或有效性不持久，应下调成功和现金率，即使短期脂肪下降仍很强。</w:t>
      </w:r>
    </w:p>
    <w:p>
      <w:pPr>
        <w:pStyle w:val="Heading2"/>
        <w:rPr/>
      </w:pPr>
      <w:r>
        <w:rPr>
          <w:color w:val="000000"/>
        </w:rPr>
        <w:t>MASH</w:t>
      </w:r>
      <w:r>
        <w:rPr>
          <w:color w:val="000000"/>
        </w:rPr>
        <w:t>开发时间与市场变现</w:t>
      </w:r>
    </w:p>
    <w:p>
      <w:pPr>
        <w:pStyle w:val="Normal"/>
        <w:rPr/>
      </w:pPr>
      <w:r>
        <w:rPr/>
        <w:t>美国</w:t>
      </w:r>
      <w:r>
        <w:rPr/>
        <w:t>IND</w:t>
      </w:r>
      <w:r>
        <w:rPr/>
        <w:t>在</w:t>
      </w:r>
      <w:r>
        <w:rPr/>
        <w:t>2024</w:t>
      </w:r>
      <w:r>
        <w:rPr/>
        <w:t>年</w:t>
      </w:r>
      <w:r>
        <w:rPr/>
        <w:t>9</w:t>
      </w:r>
      <w:r>
        <w:rPr/>
        <w:t>月获得批准，不代表已经在美国完成二期或全球关键研究。中国后续方案、活检分层、长期结局与监管要求尚会影响上市时点，本章基准中国</w:t>
      </w:r>
      <w:r>
        <w:rPr/>
        <w:t>2032</w:t>
      </w:r>
      <w:r>
        <w:rPr/>
        <w:t>、海外</w:t>
      </w:r>
      <w:r>
        <w:rPr/>
        <w:t>2033</w:t>
      </w:r>
      <w:r>
        <w:rPr/>
        <w:t>为研究路径，并非公司承诺。半年投资不能把这些多年后的销售当</w:t>
      </w:r>
      <w:r>
        <w:rPr/>
        <w:t>2027</w:t>
      </w:r>
      <w:r>
        <w:rPr/>
        <w:t>年已经收到的收入，短期主要看完整数据、开发方案、融资和合作信息。</w:t>
      </w:r>
    </w:p>
    <w:p>
      <w:pPr>
        <w:pStyle w:val="Normal"/>
        <w:rPr/>
      </w:pPr>
      <w:r>
        <w:rPr/>
        <w:t>MASH</w:t>
      </w:r>
      <w:r>
        <w:rPr/>
        <w:t>可能需要肝科与代谢科联合管理，诊断和分层本身耗资源。即使病人池大，支付方可能限制纤维化程度、疗程、适用合并症及未响应退出规则，净价和依从性决定现金规模。公司现有前列腺癌销售能力不等拥有全国</w:t>
      </w:r>
      <w:r>
        <w:rPr/>
        <w:t>MASH</w:t>
      </w:r>
      <w:r>
        <w:rPr/>
        <w:t>运营能力，若自营应包含新增销售和医学投入；本模型中国现金率已经扣正常商业成本，但并未建立逐省准入模型。</w:t>
      </w:r>
    </w:p>
    <w:p>
      <w:pPr>
        <w:pStyle w:val="Normal"/>
        <w:rPr/>
      </w:pPr>
      <w:r>
        <w:rPr/>
        <w:t>基准中国</w:t>
      </w:r>
      <w:r>
        <w:rPr/>
        <w:t>MASH</w:t>
      </w:r>
      <w:r>
        <w:rPr/>
        <w:t>峰值</w:t>
      </w:r>
      <w:r>
        <w:rPr/>
        <w:t>3000</w:t>
      </w:r>
      <w:r>
        <w:rPr/>
        <w:t>百万元、海外</w:t>
      </w:r>
      <w:r>
        <w:rPr/>
        <w:t>3500</w:t>
      </w:r>
      <w:r>
        <w:rPr/>
        <w:t>百万美元，成功</w:t>
      </w:r>
      <w:r>
        <w:rPr/>
        <w:t>38%</w:t>
      </w:r>
      <w:r>
        <w:rPr/>
        <w:t>与</w:t>
      </w:r>
      <w:r>
        <w:rPr/>
        <w:t>25%</w:t>
      </w:r>
      <w:r>
        <w:rPr/>
        <w:t>，费率中国</w:t>
      </w:r>
      <w:r>
        <w:rPr/>
        <w:t>25%</w:t>
      </w:r>
      <w:r>
        <w:rPr/>
        <w:t>直接现金、海外</w:t>
      </w:r>
      <w:r>
        <w:rPr/>
        <w:t>9%</w:t>
      </w:r>
      <w:r>
        <w:rPr/>
        <w:t>版税税前。海外峰值很大只是宽销售池压力，实际权益和商业执行未有合同锚，因此可信度低于已上市药。即便风险调整后仍显著影响价值，也说明小市值对早期大市场假设非常敏感，不能把计算精度误认为预测精度。</w:t>
      </w:r>
    </w:p>
    <w:p>
      <w:pPr>
        <w:pStyle w:val="Heading2"/>
        <w:rPr/>
      </w:pPr>
      <w:r>
        <w:rPr>
          <w:color w:val="000000"/>
        </w:rPr>
        <w:t>HP515</w:t>
      </w:r>
      <w:r>
        <w:rPr>
          <w:color w:val="000000"/>
        </w:rPr>
        <w:t>联合</w:t>
      </w:r>
      <w:r>
        <w:rPr>
          <w:color w:val="000000"/>
        </w:rPr>
        <w:t>GLP1</w:t>
      </w:r>
      <w:r>
        <w:rPr>
          <w:color w:val="000000"/>
        </w:rPr>
        <w:t>的证据边界</w:t>
      </w:r>
    </w:p>
    <w:p>
      <w:pPr>
        <w:pStyle w:val="Normal"/>
        <w:rPr/>
      </w:pPr>
      <w:r>
        <w:rPr/>
        <w:t>动物肥胖模型显示与司美格鲁肽或替尔泊肽联合后减重及瘦体重比例有改善，这是机制探索。小鼠剂量、代谢、饮食、暴露和体成分与人类不同，不能直接把</w:t>
      </w:r>
      <w:r>
        <w:rPr/>
        <w:t>35%</w:t>
      </w:r>
      <w:r>
        <w:rPr/>
        <w:t>或</w:t>
      </w:r>
      <w:r>
        <w:rPr/>
        <w:t>42%</w:t>
      </w:r>
      <w:r>
        <w:rPr/>
        <w:t>体重下降当人体预期，也不能用瘦体重占比提高证明人类肌肉总量得到保护。总重变化和组成比例必须分开，临床还需功能和长期停药后观察。</w:t>
      </w:r>
    </w:p>
    <w:p>
      <w:pPr>
        <w:pStyle w:val="Normal"/>
        <w:rPr/>
      </w:pPr>
      <w:r>
        <w:rPr/>
        <w:t>人体与司美格鲁肽多次给药相互作用试验关注药代与联用可行性，中报称达到预期，不是注册减重疗效试验。若研究没有随机长期体重及体成分终点，就不能写成临床证实增效减重或减少恶心。本模型肥胖联合成功权重较低、时间更远，且只给非</w:t>
      </w:r>
      <w:r>
        <w:rPr/>
        <w:t>MASH</w:t>
      </w:r>
      <w:r>
        <w:rPr/>
        <w:t>重叠的增量池，不将</w:t>
      </w:r>
      <w:r>
        <w:rPr/>
        <w:t>MASH</w:t>
      </w:r>
      <w:r>
        <w:rPr/>
        <w:t>组合与肥胖组合所有病人双倍估值。</w:t>
      </w:r>
    </w:p>
    <w:p>
      <w:pPr>
        <w:pStyle w:val="Normal"/>
        <w:rPr/>
      </w:pPr>
      <w:r>
        <w:rPr/>
        <w:t>组合伙伴药物的收益不属于海创，患者支付整体组合成本也不等</w:t>
      </w:r>
      <w:r>
        <w:rPr/>
        <w:t>HP515</w:t>
      </w:r>
      <w:r>
        <w:rPr/>
        <w:t>全部收入。价格较低的</w:t>
      </w:r>
      <w:r>
        <w:rPr/>
        <w:t>GLP1</w:t>
      </w:r>
      <w:r>
        <w:rPr/>
        <w:t>、其他口服及注射路线进展可能压缩追加</w:t>
      </w:r>
      <w:r>
        <w:rPr/>
        <w:t>HP515</w:t>
      </w:r>
      <w:r>
        <w:rPr/>
        <w:t>的可支付价值，组合只有净收益和便利显著时才有商业空间。未来协议若涉及联合知识产权、研究成本和推广，必须在模型中实际分担，不能用所有组合优点但忽略经济权利。</w:t>
      </w:r>
    </w:p>
    <w:p>
      <w:pPr>
        <w:pStyle w:val="Heading2"/>
        <w:rPr/>
      </w:pPr>
      <w:r>
        <w:rPr>
          <w:color w:val="000000"/>
        </w:rPr>
        <w:t>HP570</w:t>
      </w:r>
      <w:r>
        <w:rPr>
          <w:color w:val="000000"/>
        </w:rPr>
        <w:t>分子胶期权</w:t>
      </w:r>
    </w:p>
    <w:p>
      <w:pPr>
        <w:pStyle w:val="Normal"/>
        <w:rPr/>
      </w:pPr>
      <w:r>
        <w:rPr/>
        <w:t>HP570</w:t>
      </w:r>
      <w:r>
        <w:rPr/>
        <w:t>靶向</w:t>
      </w:r>
      <w:r>
        <w:rPr/>
        <w:t>VAV1</w:t>
      </w:r>
      <w:r>
        <w:rPr/>
        <w:t>，已确定</w:t>
      </w:r>
      <w:r>
        <w:rPr/>
        <w:t>PCC</w:t>
      </w:r>
      <w:r>
        <w:rPr/>
        <w:t>，正在</w:t>
      </w:r>
      <w:r>
        <w:rPr/>
        <w:t>CMC</w:t>
      </w:r>
      <w:r>
        <w:rPr/>
        <w:t>、毒理及</w:t>
      </w:r>
      <w:r>
        <w:rPr/>
        <w:t>IND</w:t>
      </w:r>
      <w:r>
        <w:rPr/>
        <w:t>准备。</w:t>
      </w:r>
      <w:r>
        <w:rPr/>
        <w:t>VAV1</w:t>
      </w:r>
      <w:r>
        <w:rPr/>
        <w:t>在</w:t>
      </w:r>
      <w:r>
        <w:rPr/>
        <w:t>T</w:t>
      </w:r>
      <w:r>
        <w:rPr/>
        <w:t>及</w:t>
      </w:r>
      <w:r>
        <w:rPr/>
        <w:t>B</w:t>
      </w:r>
      <w:r>
        <w:rPr/>
        <w:t>细胞信号有重要功能，分子胶降解可同时影响交换因子和衔接功能，具有新机制探索意义。它仍是临床前资产，动物炎症模型和初步口服暴露不能证明人体治疗窗，深度免疫信号抑制也可能带来感染及其他长期安全负担。</w:t>
      </w:r>
    </w:p>
    <w:p>
      <w:pPr>
        <w:pStyle w:val="Normal"/>
        <w:rPr/>
      </w:pPr>
      <w:r>
        <w:rPr/>
        <w:t>新项目纳入募投范围可利用既有平台，不等不需要新钱，也不等高于所有临床项目的确定性。本模型仅对全球未具体分适应症的合作期权赋极低成功判断，基准</w:t>
      </w:r>
      <w:r>
        <w:rPr/>
        <w:t>6%</w:t>
      </w:r>
      <w:r>
        <w:rPr/>
        <w:t>、</w:t>
      </w:r>
      <w:r>
        <w:rPr/>
        <w:t>2036</w:t>
      </w:r>
      <w:r>
        <w:rPr/>
        <w:t>上市、有效版税</w:t>
      </w:r>
      <w:r>
        <w:rPr/>
        <w:t>8%</w:t>
      </w:r>
      <w:r>
        <w:rPr/>
        <w:t>，明确这是聚合简化。若未来进入人体，应按具体疾病、终点及地区拆分；临床前未定适应症时用统一高成功率会夸大平台价值。</w:t>
      </w:r>
    </w:p>
    <w:p>
      <w:pPr>
        <w:pStyle w:val="Heading2"/>
        <w:rPr/>
      </w:pPr>
      <w:r>
        <w:rPr>
          <w:color w:val="000000"/>
        </w:rPr>
        <w:t>STAT6</w:t>
      </w:r>
      <w:r>
        <w:rPr>
          <w:color w:val="000000"/>
        </w:rPr>
        <w:t>及其他旧项目</w:t>
      </w:r>
    </w:p>
    <w:p>
      <w:pPr>
        <w:pStyle w:val="Normal"/>
        <w:rPr/>
      </w:pPr>
      <w:r>
        <w:rPr/>
        <w:t>HC-X049</w:t>
      </w:r>
      <w:r>
        <w:rPr/>
        <w:t>围绕</w:t>
      </w:r>
      <w:r>
        <w:rPr/>
        <w:t>STAT6</w:t>
      </w:r>
      <w:r>
        <w:rPr/>
        <w:t>同时推进</w:t>
      </w:r>
      <w:r>
        <w:rPr/>
        <w:t>PROTAC</w:t>
      </w:r>
      <w:r>
        <w:rPr/>
        <w:t>和小分子抑制路径，目标</w:t>
      </w:r>
      <w:r>
        <w:rPr/>
        <w:t>Th2</w:t>
      </w:r>
      <w:r>
        <w:rPr/>
        <w:t>炎症驱动疾病。已验证上游</w:t>
      </w:r>
      <w:r>
        <w:rPr/>
        <w:t>IL4/IL13</w:t>
      </w:r>
      <w:r>
        <w:rPr/>
        <w:t>生物药的成药性支持通路研究，仍不等下游口服分子具有相同临床净收益。两条路径共享靶点也共享部分生物风险，不是两张完全独立成功彩票；本章缺明确人体进度，未添加精确新增</w:t>
      </w:r>
      <w:r>
        <w:rPr/>
        <w:t>rNPV</w:t>
      </w:r>
      <w:r>
        <w:rPr/>
        <w:t>，以免与</w:t>
      </w:r>
      <w:r>
        <w:rPr/>
        <w:t>HP570</w:t>
      </w:r>
      <w:r>
        <w:rPr/>
        <w:t>平台聚合重复。</w:t>
      </w:r>
    </w:p>
    <w:p>
      <w:pPr>
        <w:pStyle w:val="Normal"/>
        <w:rPr/>
      </w:pPr>
      <w:r>
        <w:rPr/>
        <w:t>官网热门旧新闻还可见</w:t>
      </w:r>
      <w:r>
        <w:rPr/>
        <w:t>HP501</w:t>
      </w:r>
      <w:r>
        <w:rPr/>
        <w:t>或</w:t>
      </w:r>
      <w:r>
        <w:rPr/>
        <w:t>HP530</w:t>
      </w:r>
      <w:r>
        <w:rPr/>
        <w:t>等内容，网页长期保留标题不证明项目在</w:t>
      </w:r>
      <w:r>
        <w:rPr/>
        <w:t>2026</w:t>
      </w:r>
      <w:r>
        <w:rPr/>
        <w:t>年仍按原方案开发。研究应以最近公告、当前管线及明确活动状态为锚，而不是把历年所有名称一起加峰值。本章没有给这些旧项目新增精确价值，恢复或转让等事件若真实公告，可另核权益和费用。技术储备有潜在用处，但不等现在可清算成现金。</w:t>
      </w:r>
    </w:p>
    <w:p>
      <w:pPr>
        <w:pStyle w:val="Heading2"/>
        <w:rPr/>
      </w:pPr>
      <w:r>
        <w:rPr>
          <w:color w:val="000000"/>
        </w:rPr>
        <w:t>历史财务与利润质量</w:t>
      </w:r>
    </w:p>
    <w:p>
      <w:pPr>
        <w:pStyle w:val="Normal"/>
        <w:rPr/>
      </w:pPr>
      <w:r>
        <w:rPr/>
        <w:t>2023</w:t>
      </w:r>
      <w:r>
        <w:rPr/>
        <w:t>归母亏</w:t>
      </w:r>
      <w:r>
        <w:rPr/>
        <w:t>294.16</w:t>
      </w:r>
      <w:r>
        <w:rPr/>
        <w:t>百万元，</w:t>
      </w:r>
      <w:r>
        <w:rPr/>
        <w:t>2024</w:t>
      </w:r>
      <w:r>
        <w:rPr/>
        <w:t>亏</w:t>
      </w:r>
      <w:r>
        <w:rPr/>
        <w:t>199.50</w:t>
      </w:r>
      <w:r>
        <w:rPr/>
        <w:t>百万元，</w:t>
      </w:r>
      <w:r>
        <w:rPr/>
        <w:t>2025</w:t>
      </w:r>
      <w:r>
        <w:rPr/>
        <w:t>亏</w:t>
      </w:r>
      <w:r>
        <w:rPr/>
        <w:t>137.25</w:t>
      </w:r>
      <w:r>
        <w:rPr/>
        <w:t>百万元，历史亏损逐步缩小；</w:t>
      </w:r>
      <w:r>
        <w:rPr/>
        <w:t>2024</w:t>
      </w:r>
      <w:r>
        <w:rPr/>
        <w:t>收入只有</w:t>
      </w:r>
      <w:r>
        <w:rPr/>
        <w:t>0.367</w:t>
      </w:r>
      <w:r>
        <w:rPr/>
        <w:t>百万元材料及中间体，</w:t>
      </w:r>
      <w:r>
        <w:rPr/>
        <w:t>2025</w:t>
      </w:r>
      <w:r>
        <w:rPr/>
        <w:t>药品上市后收入</w:t>
      </w:r>
      <w:r>
        <w:rPr/>
        <w:t>20.47</w:t>
      </w:r>
      <w:r>
        <w:rPr/>
        <w:t>百万元。利润改善部分来自研发投入下调、激励费用减少及补助，不是所有改善都来自药品经营利润。早研发公司不能用亏损缩小斜率直接外推永久高增长盈利。</w:t>
      </w:r>
    </w:p>
    <w:p>
      <w:pPr>
        <w:pStyle w:val="Normal"/>
        <w:rPr/>
      </w:pPr>
      <w:r>
        <w:rPr/>
        <w:t>2025</w:t>
      </w:r>
      <w:r>
        <w:rPr/>
        <w:t>扣非亏</w:t>
      </w:r>
      <w:r>
        <w:rPr/>
        <w:t>167.87</w:t>
      </w:r>
      <w:r>
        <w:rPr/>
        <w:t>百万元，与归母差额</w:t>
      </w:r>
      <w:r>
        <w:rPr/>
        <w:t>30.62</w:t>
      </w:r>
      <w:r>
        <w:rPr/>
        <w:t>百万元，</w:t>
      </w:r>
      <w:r>
        <w:rPr/>
        <w:t>H1</w:t>
      </w:r>
      <w:r>
        <w:rPr/>
        <w:t>扣非亏</w:t>
      </w:r>
      <w:r>
        <w:rPr/>
        <w:t>67.57</w:t>
      </w:r>
      <w:r>
        <w:rPr/>
        <w:t>百万元，归母亏</w:t>
      </w:r>
      <w:r>
        <w:rPr/>
        <w:t>56.22</w:t>
      </w:r>
      <w:r>
        <w:rPr/>
        <w:t>百万元，差额</w:t>
      </w:r>
      <w:r>
        <w:rPr/>
        <w:t>11.36</w:t>
      </w:r>
      <w:r>
        <w:rPr/>
        <w:t>百万元。政府补助、理财公允及投资收益使归母数较好，可能支持现金但不是稳定药品销售收益。成熟盈利估值应优先经营可重复利润，海创仍亏损，本章不使用第三方负</w:t>
      </w:r>
      <w:r>
        <w:rPr/>
        <w:t>PE</w:t>
      </w:r>
      <w:r>
        <w:rPr/>
        <w:t>作为便宜或贵的证据。</w:t>
      </w:r>
    </w:p>
    <w:p>
      <w:pPr>
        <w:pStyle w:val="Normal"/>
        <w:rPr/>
      </w:pPr>
      <w:r>
        <w:rPr/>
        <w:t>2025</w:t>
      </w:r>
      <w:r>
        <w:rPr/>
        <w:t>研发</w:t>
      </w:r>
      <w:r>
        <w:rPr/>
        <w:t>112.71</w:t>
      </w:r>
      <w:r>
        <w:rPr/>
        <w:t>百万元比</w:t>
      </w:r>
      <w:r>
        <w:rPr/>
        <w:t>2024</w:t>
      </w:r>
      <w:r>
        <w:rPr/>
        <w:t>下降</w:t>
      </w:r>
      <w:r>
        <w:rPr/>
        <w:t>35.24%</w:t>
      </w:r>
      <w:r>
        <w:rPr/>
        <w:t>，</w:t>
      </w:r>
      <w:r>
        <w:rPr/>
        <w:t>2026H1</w:t>
      </w:r>
      <w:r>
        <w:rPr/>
        <w:t>研发</w:t>
      </w:r>
      <w:r>
        <w:rPr/>
        <w:t>57.67</w:t>
      </w:r>
      <w:r>
        <w:rPr/>
        <w:t>百万元只增</w:t>
      </w:r>
      <w:r>
        <w:rPr/>
        <w:t>1.24%</w:t>
      </w:r>
      <w:r>
        <w:rPr/>
        <w:t>，与一些快速扩大后期研究的创新药公司不同。这可能体现组合管理和研发阶段切换，也可能意味着原路线调整；需要读项目预算和状态，不能只按研发增减判断创新效率。新增</w:t>
      </w:r>
      <w:r>
        <w:rPr/>
        <w:t>MASH</w:t>
      </w:r>
      <w:r>
        <w:rPr/>
        <w:t>后期、</w:t>
      </w:r>
      <w:r>
        <w:rPr/>
        <w:t>BCR</w:t>
      </w:r>
      <w:r>
        <w:rPr/>
        <w:t>及联合研究会提高未来费用，当前研发平稳不保证永久低消耗。</w:t>
      </w:r>
    </w:p>
    <w:p>
      <w:pPr>
        <w:pStyle w:val="Heading2"/>
        <w:rPr/>
      </w:pPr>
      <w:r>
        <w:rPr>
          <w:color w:val="000000"/>
        </w:rPr>
        <w:t>研发费用结构与人才</w:t>
      </w:r>
    </w:p>
    <w:p>
      <w:pPr>
        <w:pStyle w:val="Normal"/>
        <w:rPr/>
      </w:pPr>
      <w:r>
        <w:rPr/>
        <w:t>上半年委托临床</w:t>
      </w:r>
      <w:r>
        <w:rPr/>
        <w:t>10.87</w:t>
      </w:r>
      <w:r>
        <w:rPr/>
        <w:t>百万元相比去年</w:t>
      </w:r>
      <w:r>
        <w:rPr/>
        <w:t>16.89</w:t>
      </w:r>
      <w:r>
        <w:rPr/>
        <w:t>百万元减少，非临床检测</w:t>
      </w:r>
      <w:r>
        <w:rPr/>
        <w:t>19.69</w:t>
      </w:r>
      <w:r>
        <w:rPr/>
        <w:t>百万元相比</w:t>
      </w:r>
      <w:r>
        <w:rPr/>
        <w:t>12.50</w:t>
      </w:r>
      <w:r>
        <w:rPr/>
        <w:t>百万元增加，反映资源向临床前准备等方向变化。研发人员</w:t>
      </w:r>
      <w:r>
        <w:rPr/>
        <w:t>110</w:t>
      </w:r>
      <w:r>
        <w:rPr/>
        <w:t>人比</w:t>
      </w:r>
      <w:r>
        <w:rPr/>
        <w:t>119</w:t>
      </w:r>
      <w:r>
        <w:rPr/>
        <w:t>人减少，人工费用</w:t>
      </w:r>
      <w:r>
        <w:rPr/>
        <w:t>19.77</w:t>
      </w:r>
      <w:r>
        <w:rPr/>
        <w:t>百万元比</w:t>
      </w:r>
      <w:r>
        <w:rPr/>
        <w:t>18.58</w:t>
      </w:r>
      <w:r>
        <w:rPr/>
        <w:t>百万元增加，人员减少不等研发成本等比下降。人员经验、外包选择及项目质量比单看人数更能解释研发产出。</w:t>
      </w:r>
    </w:p>
    <w:p>
      <w:pPr>
        <w:pStyle w:val="Normal"/>
        <w:rPr/>
      </w:pPr>
      <w:r>
        <w:rPr/>
        <w:t>研发全部费用化、没有资本化研发，本章不以账面无形资产低否定科学价值，也不把未资本化研发全加回利润。现金已经为研究花出，未来成功价值应从未来现金流计算，不能把历史研发支出再当另一资产补回。项目预计总投资是当前规划、可变化，不是全部已经签合同的付款债务，未来储备需结合实际阶段而非机械扣整个宣传预算。</w:t>
      </w:r>
    </w:p>
    <w:p>
      <w:pPr>
        <w:pStyle w:val="Heading2"/>
        <w:rPr/>
      </w:pPr>
      <w:r>
        <w:rPr>
          <w:color w:val="000000"/>
        </w:rPr>
        <w:t>激励费用与股本</w:t>
      </w:r>
    </w:p>
    <w:p>
      <w:pPr>
        <w:pStyle w:val="Normal"/>
        <w:rPr/>
      </w:pPr>
      <w:r>
        <w:rPr/>
        <w:t>上半年股份支付</w:t>
      </w:r>
      <w:r>
        <w:rPr/>
        <w:t>0.270</w:t>
      </w:r>
      <w:r>
        <w:rPr/>
        <w:t>百万元，去年</w:t>
      </w:r>
      <w:r>
        <w:rPr/>
        <w:t>7.030</w:t>
      </w:r>
      <w:r>
        <w:rPr/>
        <w:t>百万元，降幅对归母改善有帮助。扣除股份支付影响后的亏损为</w:t>
      </w:r>
      <w:r>
        <w:rPr/>
        <w:t>55.95</w:t>
      </w:r>
      <w:r>
        <w:rPr/>
        <w:t>百万元，去年</w:t>
      </w:r>
      <w:r>
        <w:rPr/>
        <w:t>54.82</w:t>
      </w:r>
      <w:r>
        <w:rPr/>
        <w:t>百万元，原报告这组比较显示经营改善并没有归母同比缩亏表面那样简单。非现金费用减少可以提高会计利润，股东仍需关注激励实际稀释和人才维系，不能把每年零费用设为永久经济假设。</w:t>
      </w:r>
    </w:p>
    <w:p>
      <w:pPr>
        <w:pStyle w:val="Normal"/>
        <w:rPr/>
      </w:pPr>
      <w:r>
        <w:rPr/>
        <w:t>6</w:t>
      </w:r>
      <w:r>
        <w:rPr/>
        <w:t>月末已发</w:t>
      </w:r>
      <w:r>
        <w:rPr/>
        <w:t>99015598</w:t>
      </w:r>
      <w:r>
        <w:rPr/>
        <w:t>股，行情最新同数，报告期股本没有变化。中报员工及顾问解锁</w:t>
      </w:r>
      <w:r>
        <w:rPr/>
        <w:t>10144.8</w:t>
      </w:r>
      <w:r>
        <w:rPr/>
        <w:t>股及权益工具剩余期限属于激励披露，不等同日新增</w:t>
      </w:r>
      <w:r>
        <w:rPr/>
        <w:t>A</w:t>
      </w:r>
      <w:r>
        <w:rPr/>
        <w:t>股登记；本章不凭解锁表直接扩大当前分母。未来模型股数包含融资及激励压力，属于情景输入，真实公告后应按发行价格、到账、登记与费用联动，而不是把假设当确定融资计划。</w:t>
      </w:r>
    </w:p>
    <w:p>
      <w:pPr>
        <w:pStyle w:val="Heading2"/>
        <w:rPr/>
      </w:pPr>
      <w:r>
        <w:rPr>
          <w:color w:val="000000"/>
        </w:rPr>
        <w:t>现金 结构存款与负债</w:t>
      </w:r>
    </w:p>
    <w:p>
      <w:pPr>
        <w:pStyle w:val="Normal"/>
        <w:rPr/>
      </w:pPr>
      <w:r>
        <w:rPr/>
        <w:t>H1</w:t>
      </w:r>
      <w:r>
        <w:rPr/>
        <w:t>货币资金</w:t>
      </w:r>
      <w:r>
        <w:rPr/>
        <w:t>313.704</w:t>
      </w:r>
      <w:r>
        <w:rPr/>
        <w:t>百万元，现金等价物</w:t>
      </w:r>
      <w:r>
        <w:rPr/>
        <w:t>313.214</w:t>
      </w:r>
      <w:r>
        <w:rPr/>
        <w:t>百万元，结构性存款</w:t>
      </w:r>
      <w:r>
        <w:rPr/>
        <w:t>471.022</w:t>
      </w:r>
      <w:r>
        <w:rPr/>
        <w:t>百万元。可即时现金与结构存款广义流动合计</w:t>
      </w:r>
      <w:r>
        <w:rPr/>
        <w:t>784.235</w:t>
      </w:r>
      <w:r>
        <w:rPr/>
        <w:t>百万元，扣</w:t>
      </w:r>
      <w:r>
        <w:rPr/>
        <w:t>100</w:t>
      </w:r>
      <w:r>
        <w:rPr/>
        <w:t>百万元银行债、</w:t>
      </w:r>
      <w:r>
        <w:rPr/>
        <w:t>4.764</w:t>
      </w:r>
      <w:r>
        <w:rPr/>
        <w:t>百万元含当期租赁及</w:t>
      </w:r>
      <w:r>
        <w:rPr/>
        <w:t>0.064</w:t>
      </w:r>
      <w:r>
        <w:rPr/>
        <w:t>百万元应付银行息，净现金</w:t>
      </w:r>
      <w:r>
        <w:rPr/>
        <w:t>679.407</w:t>
      </w:r>
      <w:r>
        <w:rPr/>
        <w:t>百万元。结构存款需要到期和条款核验，不应全部叫即时现金，也不能先加货币资金再把其等价物重复加。</w:t>
      </w:r>
    </w:p>
    <w:p>
      <w:pPr>
        <w:pStyle w:val="Normal"/>
        <w:rPr/>
      </w:pPr>
      <w:r>
        <w:rPr/>
        <w:t>17.406</w:t>
      </w:r>
      <w:r>
        <w:rPr/>
        <w:t>百万元其他非流动金融资产含非上市投资及公允变化，本章不当可随时研发使用现金。货币资金与现金等价物之间有存款利息及专款等差异，使用范围和会计现金定义不完全相同，模型选择较保守等价物起点。真正现金跑道还要扣未来已承诺支出、保证金和债务期限，不能仅以资产总计</w:t>
      </w:r>
      <w:r>
        <w:rPr/>
        <w:t>1273</w:t>
      </w:r>
      <w:r>
        <w:rPr/>
        <w:t>百万元除研发费用。</w:t>
      </w:r>
    </w:p>
    <w:p>
      <w:pPr>
        <w:pStyle w:val="Normal"/>
        <w:rPr/>
      </w:pPr>
      <w:r>
        <w:rPr/>
        <w:t>代理推广履约保证金</w:t>
      </w:r>
      <w:r>
        <w:rPr/>
        <w:t>15.451</w:t>
      </w:r>
      <w:r>
        <w:rPr/>
        <w:t>百万元及政府代收代付</w:t>
      </w:r>
      <w:r>
        <w:rPr/>
        <w:t>4.072</w:t>
      </w:r>
      <w:r>
        <w:rPr/>
        <w:t>百万元属于公司负担，普通现金包含它们不代表全部自由钱。额外扣这两项后保守可用净流动约</w:t>
      </w:r>
      <w:r>
        <w:rPr/>
        <w:t>659.884</w:t>
      </w:r>
      <w:r>
        <w:rPr/>
        <w:t>百万元。模型未来净现金按不同压力下降或融资增长，不另外把同一保证金当盈利；实际退还、核销及使用应按条款处理，不能因为现金曾到账就视为股东永久收入。</w:t>
      </w:r>
    </w:p>
    <w:p>
      <w:pPr>
        <w:pStyle w:val="Heading2"/>
        <w:rPr/>
      </w:pPr>
      <w:r>
        <w:rPr>
          <w:color w:val="000000"/>
        </w:rPr>
        <w:t>经营现金流与营运占用</w:t>
      </w:r>
    </w:p>
    <w:p>
      <w:pPr>
        <w:pStyle w:val="Normal"/>
        <w:rPr/>
      </w:pPr>
      <w:r>
        <w:rPr/>
        <w:t>H1</w:t>
      </w:r>
      <w:r>
        <w:rPr/>
        <w:t>销售收款</w:t>
      </w:r>
      <w:r>
        <w:rPr/>
        <w:t>46.24</w:t>
      </w:r>
      <w:r>
        <w:rPr/>
        <w:t>百万元低于收入</w:t>
      </w:r>
      <w:r>
        <w:rPr/>
        <w:t>54.97</w:t>
      </w:r>
      <w:r>
        <w:rPr/>
        <w:t>百万元，经营现金净流出</w:t>
      </w:r>
      <w:r>
        <w:rPr/>
        <w:t>46.39</w:t>
      </w:r>
      <w:r>
        <w:rPr/>
        <w:t>百万元，相比去年</w:t>
      </w:r>
      <w:r>
        <w:rPr/>
        <w:t>47.43</w:t>
      </w:r>
      <w:r>
        <w:rPr/>
        <w:t>百万元改善仅约</w:t>
      </w:r>
      <w:r>
        <w:rPr/>
        <w:t>1.03</w:t>
      </w:r>
      <w:r>
        <w:rPr/>
        <w:t>百万元。营业收入大增而现金流改善很小，说明推广、研发及营运支出仍消耗新增收入。销售回款含税及期间不同，不能直接用收款除收入给出精确坏账比例，但趋势需要与应收和库存一起核对。</w:t>
      </w:r>
    </w:p>
    <w:p>
      <w:pPr>
        <w:pStyle w:val="Normal"/>
        <w:rPr/>
      </w:pPr>
      <w:r>
        <w:rPr/>
        <w:t>现金流调节中存货增加占用</w:t>
      </w:r>
      <w:r>
        <w:rPr/>
        <w:t>12.45</w:t>
      </w:r>
      <w:r>
        <w:rPr/>
        <w:t>百万元、经营应收占用</w:t>
      </w:r>
      <w:r>
        <w:rPr/>
        <w:t>10.70</w:t>
      </w:r>
      <w:r>
        <w:rPr/>
        <w:t>百万元，同时经营应付增加贡献</w:t>
      </w:r>
      <w:r>
        <w:rPr/>
        <w:t>29.33</w:t>
      </w:r>
      <w:r>
        <w:rPr/>
        <w:t>百万元。后者是付款时点支持，并非当期产品新增利润；未来支付工程和服务款可能反转。评估现金消耗若仅观察一个半年</w:t>
      </w:r>
      <w:r>
        <w:rPr/>
        <w:t>OCF</w:t>
      </w:r>
      <w:r>
        <w:rPr/>
        <w:t>可能高估可持续改善，应该对正常应付款及周转恢复做压力，避免把延后付款当永久融资无需偿付。</w:t>
      </w:r>
    </w:p>
    <w:p>
      <w:pPr>
        <w:pStyle w:val="Normal"/>
        <w:rPr/>
      </w:pPr>
      <w:r>
        <w:rPr/>
        <w:t>应收毛</w:t>
      </w:r>
      <w:r>
        <w:rPr/>
        <w:t>12.044</w:t>
      </w:r>
      <w:r>
        <w:rPr/>
        <w:t>百万元、准备</w:t>
      </w:r>
      <w:r>
        <w:rPr/>
        <w:t>0.321</w:t>
      </w:r>
      <w:r>
        <w:rPr/>
        <w:t>百万元、净</w:t>
      </w:r>
      <w:r>
        <w:rPr/>
        <w:t>11.722</w:t>
      </w:r>
      <w:r>
        <w:rPr/>
        <w:t>百万元，当前主要一年内，不像长期未结大里程碑那样已有多年前账龄，但新上市渠道扩大仍有回收风险。存货从</w:t>
      </w:r>
      <w:r>
        <w:rPr/>
        <w:t>2.846</w:t>
      </w:r>
      <w:r>
        <w:rPr/>
        <w:t>增至</w:t>
      </w:r>
      <w:r>
        <w:rPr/>
        <w:t>15.295</w:t>
      </w:r>
      <w:r>
        <w:rPr/>
        <w:t>百万元，可能为产线和供货准备，也需防退货、补差和过期。少量绝对规模不意味着不重要，公司收入基数小，营运资金增长能显著影响现金。</w:t>
      </w:r>
    </w:p>
    <w:p>
      <w:pPr>
        <w:pStyle w:val="Heading2"/>
        <w:rPr/>
      </w:pPr>
      <w:r>
        <w:rPr>
          <w:color w:val="000000"/>
        </w:rPr>
        <w:t>资本开支 抵押及跑道</w:t>
      </w:r>
    </w:p>
    <w:p>
      <w:pPr>
        <w:pStyle w:val="Normal"/>
        <w:rPr/>
      </w:pPr>
      <w:r>
        <w:rPr/>
        <w:t>H1</w:t>
      </w:r>
      <w:r>
        <w:rPr/>
        <w:t>购建长期资产现金</w:t>
      </w:r>
      <w:r>
        <w:rPr/>
        <w:t>14.627</w:t>
      </w:r>
      <w:r>
        <w:rPr/>
        <w:t>百万元，</w:t>
      </w:r>
      <w:r>
        <w:rPr/>
        <w:t>OCF</w:t>
      </w:r>
      <w:r>
        <w:rPr/>
        <w:t>减资本开支的简化自由现金为负</w:t>
      </w:r>
      <w:r>
        <w:rPr/>
        <w:t>61.021</w:t>
      </w:r>
      <w:r>
        <w:rPr/>
        <w:t>百万元。投资现金净流出</w:t>
      </w:r>
      <w:r>
        <w:rPr/>
        <w:t>71.16</w:t>
      </w:r>
      <w:r>
        <w:rPr/>
        <w:t>百万元含结构存款买赎和定存到期，不能全部解释为工厂或临床花钱，也不能把</w:t>
      </w:r>
      <w:r>
        <w:rPr/>
        <w:t>960</w:t>
      </w:r>
      <w:r>
        <w:rPr/>
        <w:t>百万元收回投资当营业收入。广义现金池变化比即时现金变化更能看投资重分类，但仍须单独分清研发及生产真实消耗。</w:t>
      </w:r>
    </w:p>
    <w:p>
      <w:pPr>
        <w:pStyle w:val="Normal"/>
        <w:rPr/>
      </w:pPr>
      <w:r>
        <w:rPr/>
        <w:t>固定资产</w:t>
      </w:r>
      <w:r>
        <w:rPr/>
        <w:t>130.415</w:t>
      </w:r>
      <w:r>
        <w:rPr/>
        <w:t>百万元、在建</w:t>
      </w:r>
      <w:r>
        <w:rPr/>
        <w:t>232.075</w:t>
      </w:r>
      <w:r>
        <w:rPr/>
        <w:t>百万元，部分固定资产</w:t>
      </w:r>
      <w:r>
        <w:rPr/>
        <w:t>71.382</w:t>
      </w:r>
      <w:r>
        <w:rPr/>
        <w:t>、土地</w:t>
      </w:r>
      <w:r>
        <w:rPr/>
        <w:t>29.589</w:t>
      </w:r>
      <w:r>
        <w:rPr/>
        <w:t>及在建</w:t>
      </w:r>
      <w:r>
        <w:rPr/>
        <w:t>232.075</w:t>
      </w:r>
      <w:r>
        <w:rPr/>
        <w:t>百万元抵押支持</w:t>
      </w:r>
      <w:r>
        <w:rPr/>
        <w:t>100</w:t>
      </w:r>
      <w:r>
        <w:rPr/>
        <w:t>百万元借款。资产质押限制处置自由，工厂账面值不等发生压力时能全部回收，不在</w:t>
      </w:r>
      <w:r>
        <w:rPr/>
        <w:t>DCF</w:t>
      </w:r>
      <w:r>
        <w:rPr/>
        <w:t>外又加完整厂房以免与生产现金收益双算。银行利息部分与在建资本化相关，应核债务实际现金付息而非只看财务费用一项。</w:t>
      </w:r>
    </w:p>
    <w:p>
      <w:pPr>
        <w:pStyle w:val="Normal"/>
        <w:rPr/>
      </w:pPr>
      <w:r>
        <w:rPr/>
        <w:t>以简化</w:t>
      </w:r>
      <w:r>
        <w:rPr/>
        <w:t>H1</w:t>
      </w:r>
      <w:r>
        <w:rPr/>
        <w:t>自由现金年化约</w:t>
      </w:r>
      <w:r>
        <w:rPr/>
        <w:t>122</w:t>
      </w:r>
      <w:r>
        <w:rPr/>
        <w:t>百万元与保守可用</w:t>
      </w:r>
      <w:r>
        <w:rPr/>
        <w:t>659.9</w:t>
      </w:r>
      <w:r>
        <w:rPr/>
        <w:t>百万元相比，静态比值约</w:t>
      </w:r>
      <w:r>
        <w:rPr/>
        <w:t>5.4</w:t>
      </w:r>
      <w:r>
        <w:rPr/>
        <w:t>年，但这不是保证跑道。未来</w:t>
      </w:r>
      <w:r>
        <w:rPr/>
        <w:t>BCR</w:t>
      </w:r>
      <w:r>
        <w:rPr/>
        <w:t>、</w:t>
      </w:r>
      <w:r>
        <w:rPr/>
        <w:t>MASH</w:t>
      </w:r>
      <w:r>
        <w:rPr/>
        <w:t>后期研究和销售团队可能增加费用，结构存款到期、借款偿还及应付支付也影响可用。若一年真实消耗达到</w:t>
      </w:r>
      <w:r>
        <w:rPr/>
        <w:t>200</w:t>
      </w:r>
      <w:r>
        <w:rPr/>
        <w:t>至</w:t>
      </w:r>
      <w:r>
        <w:rPr/>
        <w:t>300</w:t>
      </w:r>
      <w:r>
        <w:rPr/>
        <w:t>百万元，静态覆盖约</w:t>
      </w:r>
      <w:r>
        <w:rPr/>
        <w:t>2.2</w:t>
      </w:r>
      <w:r>
        <w:rPr/>
        <w:t>至</w:t>
      </w:r>
      <w:r>
        <w:rPr/>
        <w:t>3.3</w:t>
      </w:r>
      <w:r>
        <w:rPr/>
        <w:t>年，体现融资可能较早需要；这些是压力测算，不是已签年度预算。</w:t>
      </w:r>
    </w:p>
    <w:p>
      <w:pPr>
        <w:pStyle w:val="Heading2"/>
        <w:rPr/>
      </w:pPr>
      <w:r>
        <w:rPr>
          <w:color w:val="000000"/>
        </w:rPr>
        <w:t>募集资金用途与已批准调整</w:t>
      </w:r>
    </w:p>
    <w:p>
      <w:pPr>
        <w:pStyle w:val="Normal"/>
        <w:rPr/>
      </w:pPr>
      <w:r>
        <w:rPr/>
        <w:t>IPO</w:t>
      </w:r>
      <w:r>
        <w:rPr/>
        <w:t>净募集</w:t>
      </w:r>
      <w:r>
        <w:rPr/>
        <w:t>995.113</w:t>
      </w:r>
      <w:r>
        <w:rPr/>
        <w:t>百万元，</w:t>
      </w:r>
      <w:r>
        <w:rPr/>
        <w:t>H1</w:t>
      </w:r>
      <w:r>
        <w:rPr/>
        <w:t>末累计使用</w:t>
      </w:r>
      <w:r>
        <w:rPr/>
        <w:t>897.254</w:t>
      </w:r>
      <w:r>
        <w:rPr/>
        <w:t>百万元，专户余额</w:t>
      </w:r>
      <w:r>
        <w:rPr/>
        <w:t>12.768</w:t>
      </w:r>
      <w:r>
        <w:rPr/>
        <w:t>百万元及现金管理</w:t>
      </w:r>
      <w:r>
        <w:rPr/>
        <w:t>110</w:t>
      </w:r>
      <w:r>
        <w:rPr/>
        <w:t>百万元，两者合</w:t>
      </w:r>
      <w:r>
        <w:rPr/>
        <w:t>122.768</w:t>
      </w:r>
      <w:r>
        <w:rPr/>
        <w:t>百万元已经包含集团报表现金或结构存款。不能在净现金之外再加一遍“剩余募资”。研发生产基地及发展储备累计投入超过计划的部分原报告说明来自利息收益，不能直接认作新增股东注资。</w:t>
      </w:r>
    </w:p>
    <w:p>
      <w:pPr>
        <w:pStyle w:val="Normal"/>
        <w:rPr/>
      </w:pPr>
      <w:r>
        <w:rPr/>
        <w:t>HP570</w:t>
      </w:r>
      <w:r>
        <w:rPr/>
        <w:t>纳入、</w:t>
      </w:r>
      <w:r>
        <w:rPr/>
        <w:t>HP518</w:t>
      </w:r>
      <w:r>
        <w:rPr/>
        <w:t>延期及</w:t>
      </w:r>
      <w:r>
        <w:rPr/>
        <w:t>HP537</w:t>
      </w:r>
      <w:r>
        <w:rPr/>
        <w:t>暂停在</w:t>
      </w:r>
      <w:r>
        <w:rPr/>
        <w:t>8</w:t>
      </w:r>
      <w:r>
        <w:rPr/>
        <w:t>月委员会与董事会审议，</w:t>
      </w:r>
      <w:r>
        <w:rPr/>
        <w:t>9</w:t>
      </w:r>
      <w:r>
        <w:rPr/>
        <w:t>月股东会批准，截止日应以批准后安排为准。管线调整没有改变创新研发总募集投入，意味着内部资源重新分配，不是同时给每个旧新项目一笔额外预算。未来如果开发迅速扩大而剩余专款不足，需要自有资金、合作或融资；项目计划通过并没有自动创造外部现金。</w:t>
      </w:r>
    </w:p>
    <w:p>
      <w:pPr>
        <w:pStyle w:val="Heading2"/>
        <w:rPr/>
      </w:pPr>
      <w:r>
        <w:rPr>
          <w:color w:val="000000"/>
        </w:rPr>
        <w:t>管理层 治理与执行</w:t>
      </w:r>
    </w:p>
    <w:p>
      <w:pPr>
        <w:pStyle w:val="Normal"/>
        <w:rPr/>
      </w:pPr>
      <w:r>
        <w:rPr/>
        <w:t>9</w:t>
      </w:r>
      <w:r>
        <w:rPr/>
        <w:t>月完成第三届董事会换届，陈元伟继续董事长及总裁，李锡明担任首席医学官，财务、药化、</w:t>
      </w:r>
      <w:r>
        <w:rPr/>
        <w:t>CMC</w:t>
      </w:r>
      <w:r>
        <w:rPr/>
        <w:t>及董事会秘书等职责有更新。医学人才对</w:t>
      </w:r>
      <w:r>
        <w:rPr/>
        <w:t>BCR</w:t>
      </w:r>
      <w:r>
        <w:rPr/>
        <w:t>及</w:t>
      </w:r>
      <w:r>
        <w:rPr/>
        <w:t>MASH</w:t>
      </w:r>
      <w:r>
        <w:rPr/>
        <w:t>研究设计有价值，实际执行仍需要多中心管理、数据质量和供应协作。董事会换届不自动上调科学成功率，应观察预算、里程碑、披露质量及团队留存，防止用履历代替成果。</w:t>
      </w:r>
    </w:p>
    <w:p>
      <w:pPr>
        <w:pStyle w:val="Normal"/>
        <w:rPr/>
      </w:pPr>
      <w:r>
        <w:rPr/>
        <w:t>控股股东</w:t>
      </w:r>
      <w:r>
        <w:rPr/>
        <w:t>AFFINITIS</w:t>
      </w:r>
      <w:r>
        <w:rPr/>
        <w:t>在</w:t>
      </w:r>
      <w:r>
        <w:rPr/>
        <w:t>H1</w:t>
      </w:r>
      <w:r>
        <w:rPr/>
        <w:t>持约</w:t>
      </w:r>
      <w:r>
        <w:rPr/>
        <w:t>13.26%</w:t>
      </w:r>
      <w:r>
        <w:rPr/>
        <w:t>，创始团队、其他机构及公开流通构成股权。控制结构与股权分散会影响重大研发和融资决策，但本章没有证据断言存在违规控制、内幕资金或必然恶意稀释。股东表中的机构增减只是报告时点持仓，不可结合当日量价直接宣称某基金在持续吸筹，治理评分基于公开事项和资本纪律。</w:t>
      </w:r>
    </w:p>
    <w:p>
      <w:pPr>
        <w:pStyle w:val="Heading2"/>
        <w:rPr/>
      </w:pPr>
      <w:r>
        <w:rPr>
          <w:color w:val="000000"/>
        </w:rPr>
        <w:t>公司特定的经济与政策传导</w:t>
      </w:r>
    </w:p>
    <w:p>
      <w:pPr>
        <w:pStyle w:val="Normal"/>
        <w:rPr/>
      </w:pPr>
      <w:r>
        <w:rPr/>
        <w:t>国内医保是当前收入最直接的政策因素。预算和谈判压净价同时扩大可及性，企业价值取决于销量增幅是否大于价格及费用压力。地方医院采购、门诊慢病和</w:t>
      </w:r>
      <w:r>
        <w:rPr/>
        <w:t>DTP</w:t>
      </w:r>
      <w:r>
        <w:rPr/>
        <w:t>支付决定落地速度，不是目录公布后所有地区同日放量。半年关注净销售和渠道，三五年关注重谈、竞争及适应症支付，避免把一次目录进入当永久定价权。</w:t>
      </w:r>
    </w:p>
    <w:p>
      <w:pPr>
        <w:pStyle w:val="Normal"/>
        <w:rPr/>
      </w:pPr>
      <w:r>
        <w:rPr/>
        <w:t>公司外币现金中美元折人民币约</w:t>
      </w:r>
      <w:r>
        <w:rPr/>
        <w:t>109.72</w:t>
      </w:r>
      <w:r>
        <w:rPr/>
        <w:t>百万元，并有海外采购和研究支出；人民币升值会减少外币资产折算、可能降低外币费用，贬值则方向相反。</w:t>
      </w:r>
      <w:r>
        <w:rPr/>
        <w:t>H1</w:t>
      </w:r>
      <w:r>
        <w:rPr/>
        <w:t>汇率对即时现金影响为负</w:t>
      </w:r>
      <w:r>
        <w:rPr/>
        <w:t>3.48</w:t>
      </w:r>
      <w:r>
        <w:rPr/>
        <w:t>百万元，财务汇兑也有影响，不能单看理论海外美元销售提高价值。模型海外美元现金以</w:t>
      </w:r>
      <w:r>
        <w:rPr/>
        <w:t>6.8</w:t>
      </w:r>
      <w:r>
        <w:rPr/>
        <w:t>折算是统一研究假设，真实汇率变化应同时考虑资产及支出。</w:t>
      </w:r>
    </w:p>
    <w:p>
      <w:pPr>
        <w:pStyle w:val="Normal"/>
        <w:rPr/>
      </w:pPr>
      <w:r>
        <w:rPr/>
        <w:t>利率下降可能降低远期现金折现并减少债息，亦降低存款收益。海创资产价值很大部分在多年后，折现率敏感强于当前</w:t>
      </w:r>
      <w:r>
        <w:rPr/>
        <w:t>100</w:t>
      </w:r>
      <w:r>
        <w:rPr/>
        <w:t>百万元借款利息的绝对变化；不能因降息就同时上调所有临床成功和销售倍数。海外监管、注册及跨境合作条件会改变时间和成本，本章以不同折现率与上市路径表达，不猜未公开政策或实际招标结果。</w:t>
      </w:r>
    </w:p>
    <w:p>
      <w:pPr>
        <w:pStyle w:val="Heading2"/>
        <w:rPr/>
      </w:pPr>
      <w:r>
        <w:rPr>
          <w:color w:val="000000"/>
        </w:rPr>
        <w:t>日线趋势与均线</w:t>
      </w:r>
    </w:p>
    <w:p>
      <w:pPr>
        <w:pStyle w:val="Normal"/>
        <w:rPr/>
      </w:pPr>
      <w:r>
        <w:rPr/>
        <w:t>锁版覆盖</w:t>
      </w:r>
      <w:r>
        <w:rPr/>
        <w:t>728</w:t>
      </w:r>
      <w:r>
        <w:rPr/>
        <w:t>根日线，现价</w:t>
      </w:r>
      <w:r>
        <w:rPr/>
        <w:t>32.09</w:t>
      </w:r>
      <w:r>
        <w:rPr/>
        <w:t>，</w:t>
      </w:r>
      <w:r>
        <w:rPr/>
        <w:t>20</w:t>
      </w:r>
      <w:r>
        <w:rPr/>
        <w:t>、</w:t>
      </w:r>
      <w:r>
        <w:rPr/>
        <w:t>60</w:t>
      </w:r>
      <w:r>
        <w:rPr/>
        <w:t>、</w:t>
      </w:r>
      <w:r>
        <w:rPr/>
        <w:t>120</w:t>
      </w:r>
      <w:r>
        <w:rPr/>
        <w:t>、</w:t>
      </w:r>
      <w:r>
        <w:rPr/>
        <w:t>250</w:t>
      </w:r>
      <w:r>
        <w:rPr/>
        <w:t>日均线</w:t>
      </w:r>
      <w:r>
        <w:rPr/>
        <w:t>31.4365</w:t>
      </w:r>
      <w:r>
        <w:rPr/>
        <w:t>、</w:t>
      </w:r>
      <w:r>
        <w:rPr/>
        <w:t>34.3467</w:t>
      </w:r>
      <w:r>
        <w:rPr/>
        <w:t>、</w:t>
      </w:r>
      <w:r>
        <w:rPr/>
        <w:t>37.3612</w:t>
      </w:r>
      <w:r>
        <w:rPr/>
        <w:t>、</w:t>
      </w:r>
      <w:r>
        <w:rPr/>
        <w:t>42.7116</w:t>
      </w:r>
      <w:r>
        <w:rPr/>
        <w:t>。价格高于</w:t>
      </w:r>
      <w:r>
        <w:rPr/>
        <w:t>20</w:t>
      </w:r>
      <w:r>
        <w:rPr/>
        <w:t>日</w:t>
      </w:r>
      <w:r>
        <w:rPr/>
        <w:t>2.08%</w:t>
      </w:r>
      <w:r>
        <w:rPr/>
        <w:t>，低于</w:t>
      </w:r>
      <w:r>
        <w:rPr/>
        <w:t>60</w:t>
      </w:r>
      <w:r>
        <w:rPr/>
        <w:t>日</w:t>
      </w:r>
      <w:r>
        <w:rPr/>
        <w:t>6.57%</w:t>
      </w:r>
      <w:r>
        <w:rPr/>
        <w:t>、</w:t>
      </w:r>
      <w:r>
        <w:rPr/>
        <w:t>120</w:t>
      </w:r>
      <w:r>
        <w:rPr/>
        <w:t>日</w:t>
      </w:r>
      <w:r>
        <w:rPr/>
        <w:t>14.11%</w:t>
      </w:r>
      <w:r>
        <w:rPr/>
        <w:t>、</w:t>
      </w:r>
      <w:r>
        <w:rPr/>
        <w:t>250</w:t>
      </w:r>
      <w:r>
        <w:rPr/>
        <w:t>日</w:t>
      </w:r>
      <w:r>
        <w:rPr/>
        <w:t>24.87%</w:t>
      </w:r>
      <w:r>
        <w:rPr/>
        <w:t>，体现短反弹仍在较长下降结构内。四均线五日斜率约负</w:t>
      </w:r>
      <w:r>
        <w:rPr/>
        <w:t>0.49%</w:t>
      </w:r>
      <w:r>
        <w:rPr/>
        <w:t>、负</w:t>
      </w:r>
      <w:r>
        <w:rPr/>
        <w:t>1.50%</w:t>
      </w:r>
      <w:r>
        <w:rPr/>
        <w:t>、负</w:t>
      </w:r>
      <w:r>
        <w:rPr/>
        <w:t>1.34%</w:t>
      </w:r>
      <w:r>
        <w:rPr/>
        <w:t>、负</w:t>
      </w:r>
      <w:r>
        <w:rPr/>
        <w:t>1.04%</w:t>
      </w:r>
      <w:r>
        <w:rPr/>
        <w:t>，站一条短线不能被写成全部趋势已转多。</w:t>
      </w:r>
    </w:p>
    <w:p>
      <w:pPr>
        <w:pStyle w:val="Normal"/>
        <w:rPr/>
      </w:pPr>
      <w:r>
        <w:rPr/>
        <w:t>20</w:t>
      </w:r>
      <w:r>
        <w:rPr/>
        <w:t>日回报负</w:t>
      </w:r>
      <w:r>
        <w:rPr/>
        <w:t>0.37%</w:t>
      </w:r>
      <w:r>
        <w:rPr/>
        <w:t>，</w:t>
      </w:r>
      <w:r>
        <w:rPr/>
        <w:t>60</w:t>
      </w:r>
      <w:r>
        <w:rPr/>
        <w:t>日负</w:t>
      </w:r>
      <w:r>
        <w:rPr/>
        <w:t>15.11%</w:t>
      </w:r>
      <w:r>
        <w:rPr/>
        <w:t>，</w:t>
      </w:r>
      <w:r>
        <w:rPr/>
        <w:t>120</w:t>
      </w:r>
      <w:r>
        <w:rPr/>
        <w:t>日负</w:t>
      </w:r>
      <w:r>
        <w:rPr/>
        <w:t>27.27%</w:t>
      </w:r>
      <w:r>
        <w:rPr/>
        <w:t>，</w:t>
      </w:r>
      <w:r>
        <w:rPr/>
        <w:t>250</w:t>
      </w:r>
      <w:r>
        <w:rPr/>
        <w:t>日负</w:t>
      </w:r>
      <w:r>
        <w:rPr/>
        <w:t>40.16%</w:t>
      </w:r>
      <w:r>
        <w:rPr/>
        <w:t>。短期跌速缓和与长期回撤大同时出现，可能是价值逐步被关注，也可能只是下降中的休息。技术打分</w:t>
      </w:r>
      <w:r>
        <w:rPr/>
        <w:t>2.4</w:t>
      </w:r>
      <w:r>
        <w:rPr/>
        <w:t>而不是极低或最高，是承认日线改善和中期未确认；若未来</w:t>
      </w:r>
      <w:r>
        <w:rPr/>
        <w:t>60</w:t>
      </w:r>
      <w:r>
        <w:rPr/>
        <w:t>线回收并转升可上调，若跌破区间低且量增加应下调，不用过去跌幅决定必然反转。</w:t>
      </w:r>
    </w:p>
    <w:p>
      <w:pPr>
        <w:pStyle w:val="Normal"/>
        <w:rPr/>
      </w:pPr>
      <w:r>
        <w:rPr/>
        <w:t>52</w:t>
      </w:r>
      <w:r>
        <w:rPr/>
        <w:t>周高</w:t>
      </w:r>
      <w:r>
        <w:rPr/>
        <w:t>60</w:t>
      </w:r>
      <w:r>
        <w:rPr/>
        <w:t>、低</w:t>
      </w:r>
      <w:r>
        <w:rPr/>
        <w:t>28.68</w:t>
      </w:r>
      <w:r>
        <w:rPr/>
        <w:t>，距高负</w:t>
      </w:r>
      <w:r>
        <w:rPr/>
        <w:t>46.52%</w:t>
      </w:r>
      <w:r>
        <w:rPr/>
        <w:t>，距低正</w:t>
      </w:r>
      <w:r>
        <w:rPr/>
        <w:t>11.89%</w:t>
      </w:r>
      <w:r>
        <w:rPr/>
        <w:t>，最大回撤约</w:t>
      </w:r>
      <w:r>
        <w:rPr/>
        <w:t>48.89%</w:t>
      </w:r>
      <w:r>
        <w:rPr/>
        <w:t>。高点可以作为历史价格参照，不是合理估值或必须回补位置；回到</w:t>
      </w:r>
      <w:r>
        <w:rPr/>
        <w:t>60</w:t>
      </w:r>
      <w:r>
        <w:rPr/>
        <w:t>需要约</w:t>
      </w:r>
      <w:r>
        <w:rPr/>
        <w:t>87%</w:t>
      </w:r>
      <w:r>
        <w:rPr/>
        <w:t>上涨，其成立应由业务与风险变化支撑。没有逐笔成本资料，本章不把</w:t>
      </w:r>
      <w:r>
        <w:rPr/>
        <w:t>60</w:t>
      </w:r>
      <w:r>
        <w:rPr/>
        <w:t>附近叫精确全市场套牢筹码分布，也不把最低价等同永不失守支撑。</w:t>
      </w:r>
    </w:p>
    <w:p>
      <w:pPr>
        <w:pStyle w:val="Heading2"/>
        <w:rPr/>
      </w:pPr>
      <w:r>
        <w:rPr>
          <w:color w:val="000000"/>
        </w:rPr>
        <w:t>日线关键价位及失效条件</w:t>
      </w:r>
    </w:p>
    <w:p>
      <w:pPr>
        <w:pStyle w:val="Normal"/>
        <w:rPr/>
      </w:pPr>
      <w:r>
        <w:rPr/>
        <w:t>20</w:t>
      </w:r>
      <w:r>
        <w:rPr/>
        <w:t>日区间</w:t>
      </w:r>
      <w:r>
        <w:rPr/>
        <w:t>28.68</w:t>
      </w:r>
      <w:r>
        <w:rPr/>
        <w:t>至</w:t>
      </w:r>
      <w:r>
        <w:rPr/>
        <w:t>34.17</w:t>
      </w:r>
      <w:r>
        <w:rPr/>
        <w:t>，现价距下沿负</w:t>
      </w:r>
      <w:r>
        <w:rPr/>
        <w:t>10.63%</w:t>
      </w:r>
      <w:r>
        <w:rPr/>
        <w:t>、上沿正</w:t>
      </w:r>
      <w:r>
        <w:rPr/>
        <w:t>6.48%</w:t>
      </w:r>
      <w:r>
        <w:rPr/>
        <w:t>；</w:t>
      </w:r>
      <w:r>
        <w:rPr/>
        <w:t>60</w:t>
      </w:r>
      <w:r>
        <w:rPr/>
        <w:t>日上沿</w:t>
      </w:r>
      <w:r>
        <w:rPr/>
        <w:t>45.39</w:t>
      </w:r>
      <w:r>
        <w:rPr/>
        <w:t>距现价正</w:t>
      </w:r>
      <w:r>
        <w:rPr/>
        <w:t>41.45%</w:t>
      </w:r>
      <w:r>
        <w:rPr/>
        <w:t>。这些是已计算阶段极值观察位，尚未按多次触碰或订单深度筛选。短期首先看</w:t>
      </w:r>
      <w:r>
        <w:rPr/>
        <w:t>31.44</w:t>
      </w:r>
      <w:r>
        <w:rPr/>
        <w:t>附近</w:t>
      </w:r>
      <w:r>
        <w:rPr/>
        <w:t>20</w:t>
      </w:r>
      <w:r>
        <w:rPr/>
        <w:t>线保持、</w:t>
      </w:r>
      <w:r>
        <w:rPr/>
        <w:t>34.17</w:t>
      </w:r>
      <w:r>
        <w:rPr/>
        <w:t>区间上沿与</w:t>
      </w:r>
      <w:r>
        <w:rPr/>
        <w:t>34.35</w:t>
      </w:r>
      <w:r>
        <w:rPr/>
        <w:t>附近</w:t>
      </w:r>
      <w:r>
        <w:rPr/>
        <w:t>60</w:t>
      </w:r>
      <w:r>
        <w:rPr/>
        <w:t>线能否突破，而不是只盯远处</w:t>
      </w:r>
      <w:r>
        <w:rPr/>
        <w:t>60</w:t>
      </w:r>
      <w:r>
        <w:rPr/>
        <w:t>元高点，按实际结构逐步验证。</w:t>
      </w:r>
    </w:p>
    <w:p>
      <w:pPr>
        <w:pStyle w:val="Normal"/>
        <w:rPr/>
      </w:pPr>
      <w:r>
        <w:rPr/>
        <w:t>若突破</w:t>
      </w:r>
      <w:r>
        <w:rPr/>
        <w:t>34.17</w:t>
      </w:r>
      <w:r>
        <w:rPr/>
        <w:t>至</w:t>
      </w:r>
      <w:r>
        <w:rPr/>
        <w:t>34.35</w:t>
      </w:r>
      <w:r>
        <w:rPr/>
        <w:t>区间、随后回踩不破并伴相对强弱改善，技术反弹才更有机会升级为中期修复。若仅单日长阳而量无延续，或跌回</w:t>
      </w:r>
      <w:r>
        <w:rPr/>
        <w:t>31.44</w:t>
      </w:r>
      <w:r>
        <w:rPr/>
        <w:t>后再失</w:t>
      </w:r>
      <w:r>
        <w:rPr/>
        <w:t>28.68</w:t>
      </w:r>
      <w:r>
        <w:rPr/>
        <w:t>，原修复判断应失效。观察条件是可更新规则，不是保证止损成交价，临床或融资事件可能跳空跨过价位，执行损失不会被模型支撑线限制。</w:t>
      </w:r>
    </w:p>
    <w:p>
      <w:pPr>
        <w:pStyle w:val="Heading2"/>
        <w:rPr/>
      </w:pPr>
      <w:r>
        <w:rPr>
          <w:color w:val="000000"/>
        </w:rPr>
        <w:t>日成交量与成交额</w:t>
      </w:r>
    </w:p>
    <w:p>
      <w:pPr>
        <w:pStyle w:val="Normal"/>
        <w:rPr/>
      </w:pPr>
      <w:r>
        <w:rPr/>
        <w:t>10</w:t>
      </w:r>
      <w:r>
        <w:rPr/>
        <w:t>月</w:t>
      </w:r>
      <w:r>
        <w:rPr/>
        <w:t>9</w:t>
      </w:r>
      <w:r>
        <w:rPr/>
        <w:t>日量</w:t>
      </w:r>
      <w:r>
        <w:rPr/>
        <w:t>1313587</w:t>
      </w:r>
      <w:r>
        <w:rPr/>
        <w:t>股、成交额</w:t>
      </w:r>
      <w:r>
        <w:rPr/>
        <w:t>41170439</w:t>
      </w:r>
      <w:r>
        <w:rPr/>
        <w:t>元、第三方换手</w:t>
      </w:r>
      <w:r>
        <w:rPr/>
        <w:t>1.33%</w:t>
      </w:r>
      <w:r>
        <w:rPr/>
        <w:t>，</w:t>
      </w:r>
      <w:r>
        <w:rPr/>
        <w:t>5</w:t>
      </w:r>
      <w:r>
        <w:rPr/>
        <w:t>、</w:t>
      </w:r>
      <w:r>
        <w:rPr/>
        <w:t>20</w:t>
      </w:r>
      <w:r>
        <w:rPr/>
        <w:t>、</w:t>
      </w:r>
      <w:r>
        <w:rPr/>
        <w:t>60</w:t>
      </w:r>
      <w:r>
        <w:rPr/>
        <w:t>日均量约</w:t>
      </w:r>
      <w:r>
        <w:rPr/>
        <w:t>137.46</w:t>
      </w:r>
      <w:r>
        <w:rPr/>
        <w:t>、</w:t>
      </w:r>
      <w:r>
        <w:rPr/>
        <w:t>137.77</w:t>
      </w:r>
      <w:r>
        <w:rPr/>
        <w:t>、</w:t>
      </w:r>
      <w:r>
        <w:rPr/>
        <w:t>174.71</w:t>
      </w:r>
      <w:r>
        <w:rPr/>
        <w:t>万股，当日对此前</w:t>
      </w:r>
      <w:r>
        <w:rPr/>
        <w:t>20</w:t>
      </w:r>
      <w:r>
        <w:rPr/>
        <w:t>日均量比</w:t>
      </w:r>
      <w:r>
        <w:rPr/>
        <w:t>0.952</w:t>
      </w:r>
      <w:r>
        <w:rPr/>
        <w:t>。股单位经过独立日线核对，不按手误乘一百；近期均量低于</w:t>
      </w:r>
      <w:r>
        <w:rPr/>
        <w:t>60</w:t>
      </w:r>
      <w:r>
        <w:rPr/>
        <w:t>日均量显示交易热度回落。价格反弹没有伴显著放量，不能据此确认强突破，更不能直接断言主力吸筹。</w:t>
      </w:r>
    </w:p>
    <w:p>
      <w:pPr>
        <w:pStyle w:val="Normal"/>
        <w:rPr/>
      </w:pPr>
      <w:r>
        <w:rPr/>
        <w:t>最近</w:t>
      </w:r>
      <w:r>
        <w:rPr/>
        <w:t>20</w:t>
      </w:r>
      <w:r>
        <w:rPr/>
        <w:t>日上涨</w:t>
      </w:r>
      <w:r>
        <w:rPr/>
        <w:t>11</w:t>
      </w:r>
      <w:r>
        <w:rPr/>
        <w:t>天、下跌</w:t>
      </w:r>
      <w:r>
        <w:rPr/>
        <w:t>9</w:t>
      </w:r>
      <w:r>
        <w:rPr/>
        <w:t>天，上涨日总量</w:t>
      </w:r>
      <w:r>
        <w:rPr/>
        <w:t>1536.64</w:t>
      </w:r>
      <w:r>
        <w:rPr/>
        <w:t>万股、下跌</w:t>
      </w:r>
      <w:r>
        <w:rPr/>
        <w:t>1218.70</w:t>
      </w:r>
      <w:r>
        <w:rPr/>
        <w:t>万股，比</w:t>
      </w:r>
      <w:r>
        <w:rPr/>
        <w:t>1.261</w:t>
      </w:r>
      <w:r>
        <w:rPr/>
        <w:t>，支持近期上涨参与量较多的描述。总量也受天数差异影响，不能将比值视为每个上涨日强一倍以上；成交是买卖双方同时发生，无法从日量区分机构身份。下一步看上涨和回踩的连续量价关系，避免用单统计指标重复给分。</w:t>
      </w:r>
    </w:p>
    <w:p>
      <w:pPr>
        <w:pStyle w:val="Normal"/>
        <w:rPr/>
      </w:pPr>
      <w:r>
        <w:rPr/>
        <w:t>成交额约</w:t>
      </w:r>
      <w:r>
        <w:rPr/>
        <w:t>4117</w:t>
      </w:r>
      <w:r>
        <w:rPr/>
        <w:t>万元相对大市值龙头不高，较大资金分批交易会影响成交价格。当前换手只反映当日统计和股份分母，不等所有股票可以无冲击成交；重大消息日量可能快速变化。研究目标价未扣具体交易费与冲击成本，投资期限较短时成本占比更重要；量能分析服务于执行风险，不用于制造内幕资金叙事。</w:t>
      </w:r>
    </w:p>
    <w:p>
      <w:pPr>
        <w:pStyle w:val="Heading2"/>
        <w:rPr/>
      </w:pPr>
      <w:r>
        <w:rPr>
          <w:color w:val="000000"/>
        </w:rPr>
        <w:t>RSI MACD</w:t>
      </w:r>
      <w:r>
        <w:rPr>
          <w:color w:val="000000"/>
        </w:rPr>
        <w:t>与</w:t>
      </w:r>
      <w:r>
        <w:rPr>
          <w:color w:val="000000"/>
        </w:rPr>
        <w:t>ATR</w:t>
      </w:r>
    </w:p>
    <w:p>
      <w:pPr>
        <w:pStyle w:val="Normal"/>
        <w:rPr/>
      </w:pPr>
      <w:r>
        <w:rPr/>
        <w:t>日</w:t>
      </w:r>
      <w:r>
        <w:rPr/>
        <w:t>RSI14</w:t>
      </w:r>
      <w:r>
        <w:rPr/>
        <w:t>约</w:t>
      </w:r>
      <w:r>
        <w:rPr/>
        <w:t>47.83</w:t>
      </w:r>
      <w:r>
        <w:rPr/>
        <w:t>，既没有极度超卖也没进入强势过热；</w:t>
      </w:r>
      <w:r>
        <w:rPr/>
        <w:t>MACD DIF</w:t>
      </w:r>
      <w:r>
        <w:rPr/>
        <w:t>负</w:t>
      </w:r>
      <w:r>
        <w:rPr/>
        <w:t>0.3326</w:t>
      </w:r>
      <w:r>
        <w:rPr/>
        <w:t>、</w:t>
      </w:r>
      <w:r>
        <w:rPr/>
        <w:t>DEA</w:t>
      </w:r>
      <w:r>
        <w:rPr/>
        <w:t>负</w:t>
      </w:r>
      <w:r>
        <w:rPr/>
        <w:t>0.5943</w:t>
      </w:r>
      <w:r>
        <w:rPr/>
        <w:t>，双倍差柱正</w:t>
      </w:r>
      <w:r>
        <w:rPr/>
        <w:t>0.5234</w:t>
      </w:r>
      <w:r>
        <w:rPr/>
        <w:t>。柱转正反映短期动量改善，两条线仍负，不能独立确认中期多头。</w:t>
      </w:r>
      <w:r>
        <w:rPr/>
        <w:t>RSI</w:t>
      </w:r>
      <w:r>
        <w:rPr/>
        <w:t>与</w:t>
      </w:r>
      <w:r>
        <w:rPr/>
        <w:t>MACD</w:t>
      </w:r>
      <w:r>
        <w:rPr/>
        <w:t>描述相近动量，评分只作为辅助，不把同一反弹在多个指标中反复加分，避免让技术分被相关变量虚增。</w:t>
      </w:r>
    </w:p>
    <w:p>
      <w:pPr>
        <w:pStyle w:val="Normal"/>
        <w:rPr/>
      </w:pPr>
      <w:r>
        <w:rPr/>
        <w:t>ATR14</w:t>
      </w:r>
      <w:r>
        <w:rPr/>
        <w:t>约</w:t>
      </w:r>
      <w:r>
        <w:rPr/>
        <w:t>1.5503</w:t>
      </w:r>
      <w:r>
        <w:rPr/>
        <w:t>元、占现价</w:t>
      </w:r>
      <w:r>
        <w:rPr/>
        <w:t>4.83%</w:t>
      </w:r>
      <w:r>
        <w:rPr/>
        <w:t>，意味着近期正常日波幅不小，支撑阻力附近一次触碰未必是有效突破或失败。</w:t>
      </w:r>
      <w:r>
        <w:rPr/>
        <w:t>ATR</w:t>
      </w:r>
      <w:r>
        <w:rPr/>
        <w:t>是历史平均真实波幅，不是未来最大损失，也不是精确风险概率。若用观察位控制技术风险，应允许与波幅匹配的确认，但不能因此容忍不断破坏论点；关键科学消息跳空仍可能超过数倍</w:t>
      </w:r>
      <w:r>
        <w:rPr/>
        <w:t>ATR</w:t>
      </w:r>
      <w:r>
        <w:rPr/>
        <w:t>。</w:t>
      </w:r>
    </w:p>
    <w:p>
      <w:pPr>
        <w:pStyle w:val="Heading2"/>
        <w:rPr/>
      </w:pPr>
      <w:r>
        <w:rPr>
          <w:color w:val="000000"/>
        </w:rPr>
        <w:t>周线 复权与相对强弱</w:t>
      </w:r>
    </w:p>
    <w:p>
      <w:pPr>
        <w:pStyle w:val="Normal"/>
        <w:rPr/>
      </w:pPr>
      <w:r>
        <w:rPr/>
        <w:t>155</w:t>
      </w:r>
      <w:r>
        <w:rPr/>
        <w:t>周数据中</w:t>
      </w:r>
      <w:r>
        <w:rPr/>
        <w:t>20</w:t>
      </w:r>
      <w:r>
        <w:rPr/>
        <w:t>、</w:t>
      </w:r>
      <w:r>
        <w:rPr/>
        <w:t>60</w:t>
      </w:r>
      <w:r>
        <w:rPr/>
        <w:t>、</w:t>
      </w:r>
      <w:r>
        <w:rPr/>
        <w:t>120</w:t>
      </w:r>
      <w:r>
        <w:rPr/>
        <w:t>周线</w:t>
      </w:r>
      <w:r>
        <w:rPr/>
        <w:t>34.892</w:t>
      </w:r>
      <w:r>
        <w:rPr/>
        <w:t>、</w:t>
      </w:r>
      <w:r>
        <w:rPr/>
        <w:t>44.3557</w:t>
      </w:r>
      <w:r>
        <w:rPr/>
        <w:t>、</w:t>
      </w:r>
      <w:r>
        <w:rPr/>
        <w:t>40.4122</w:t>
      </w:r>
      <w:r>
        <w:rPr/>
        <w:t>，现价均低于它们；五周斜率负</w:t>
      </w:r>
      <w:r>
        <w:rPr/>
        <w:t>8.43%</w:t>
      </w:r>
      <w:r>
        <w:rPr/>
        <w:t>、负</w:t>
      </w:r>
      <w:r>
        <w:rPr/>
        <w:t>4.28%</w:t>
      </w:r>
      <w:r>
        <w:rPr/>
        <w:t>、正</w:t>
      </w:r>
      <w:r>
        <w:rPr/>
        <w:t>0.28%</w:t>
      </w:r>
      <w:r>
        <w:rPr/>
        <w:t>。周</w:t>
      </w:r>
      <w:r>
        <w:rPr/>
        <w:t>RSI41.24</w:t>
      </w:r>
      <w:r>
        <w:rPr/>
        <w:t>、</w:t>
      </w:r>
      <w:r>
        <w:rPr/>
        <w:t>ATR</w:t>
      </w:r>
      <w:r>
        <w:rPr/>
        <w:t>占现价</w:t>
      </w:r>
      <w:r>
        <w:rPr/>
        <w:t>12.36%</w:t>
      </w:r>
      <w:r>
        <w:rPr/>
        <w:t>，</w:t>
      </w:r>
      <w:r>
        <w:rPr/>
        <w:t>MACD</w:t>
      </w:r>
      <w:r>
        <w:rPr/>
        <w:t>柱虽略正</w:t>
      </w:r>
      <w:r>
        <w:rPr/>
        <w:t>0.1041</w:t>
      </w:r>
      <w:r>
        <w:rPr/>
        <w:t>，周下降仍占主导。没有</w:t>
      </w:r>
      <w:r>
        <w:rPr/>
        <w:t>250</w:t>
      </w:r>
      <w:r>
        <w:rPr/>
        <w:t>周足够样本便留空，不用日线</w:t>
      </w:r>
      <w:r>
        <w:rPr/>
        <w:t>250</w:t>
      </w:r>
      <w:r>
        <w:rPr/>
        <w:t>代替周线</w:t>
      </w:r>
      <w:r>
        <w:rPr/>
        <w:t>250</w:t>
      </w:r>
      <w:r>
        <w:rPr/>
        <w:t>，新技术指标应严格保持周期口径。</w:t>
      </w:r>
    </w:p>
    <w:p>
      <w:pPr>
        <w:pStyle w:val="Normal"/>
        <w:rPr/>
      </w:pPr>
      <w:r>
        <w:rPr/>
        <w:t>最近</w:t>
      </w:r>
      <w:r>
        <w:rPr/>
        <w:t>20</w:t>
      </w:r>
      <w:r>
        <w:rPr/>
        <w:t>周上涨</w:t>
      </w:r>
      <w:r>
        <w:rPr/>
        <w:t>7</w:t>
      </w:r>
      <w:r>
        <w:rPr/>
        <w:t>周、下跌</w:t>
      </w:r>
      <w:r>
        <w:rPr/>
        <w:t>13</w:t>
      </w:r>
      <w:r>
        <w:rPr/>
        <w:t>周，上涨量</w:t>
      </w:r>
      <w:r>
        <w:rPr/>
        <w:t>5329.89</w:t>
      </w:r>
      <w:r>
        <w:rPr/>
        <w:t>万股对下跌</w:t>
      </w:r>
      <w:r>
        <w:rPr/>
        <w:t>10556.49</w:t>
      </w:r>
      <w:r>
        <w:rPr/>
        <w:t>万股，比</w:t>
      </w:r>
      <w:r>
        <w:rPr/>
        <w:t>0.505</w:t>
      </w:r>
      <w:r>
        <w:rPr/>
        <w:t>，与最近</w:t>
      </w:r>
      <w:r>
        <w:rPr/>
        <w:t>20</w:t>
      </w:r>
      <w:r>
        <w:rPr/>
        <w:t>日日量改善不同。这说明短反弹尚未抵销此前周尺度卖压，但并不识别谁卖出。国庆尾周交易天数少，当周量与完整周均量直接比较会低估活跃度，正文不把尾周低量叫突然衰竭，后续宜按交易天数和连续完整周核对。</w:t>
      </w:r>
    </w:p>
    <w:p>
      <w:pPr>
        <w:pStyle w:val="Normal"/>
        <w:rPr/>
      </w:pPr>
      <w:r>
        <w:rPr/>
        <w:t>20</w:t>
      </w:r>
      <w:r>
        <w:rPr/>
        <w:t>日超沪深</w:t>
      </w:r>
      <w:r>
        <w:rPr/>
        <w:t>300</w:t>
      </w:r>
      <w:r>
        <w:rPr/>
        <w:t>约</w:t>
      </w:r>
      <w:r>
        <w:rPr/>
        <w:t>4.80</w:t>
      </w:r>
      <w:r>
        <w:rPr/>
        <w:t>个百分点，</w:t>
      </w:r>
      <w:r>
        <w:rPr/>
        <w:t>60</w:t>
      </w:r>
      <w:r>
        <w:rPr/>
        <w:t>日落后约</w:t>
      </w:r>
      <w:r>
        <w:rPr/>
        <w:t>3.64</w:t>
      </w:r>
      <w:r>
        <w:rPr/>
        <w:t>个百分点，改善主要发生于较近区间。医药细分基准三年可核验数据尚缺，行业相对强弱留空；市场</w:t>
      </w:r>
      <w:r>
        <w:rPr/>
        <w:t>RS</w:t>
      </w:r>
      <w:r>
        <w:rPr/>
        <w:t>不能冒充行业</w:t>
      </w:r>
      <w:r>
        <w:rPr/>
        <w:t>RS</w:t>
      </w:r>
      <w:r>
        <w:rPr/>
        <w:t>。锁定</w:t>
      </w:r>
      <w:r>
        <w:rPr/>
        <w:t>OHLC</w:t>
      </w:r>
      <w:r>
        <w:rPr/>
        <w:t>采用基准名义价归一复权，</w:t>
      </w:r>
      <w:r>
        <w:rPr/>
        <w:t>728</w:t>
      </w:r>
      <w:r>
        <w:rPr/>
        <w:t>日双源配对，一根</w:t>
      </w:r>
      <w:r>
        <w:rPr/>
        <w:t>Yahoo</w:t>
      </w:r>
      <w:r>
        <w:rPr/>
        <w:t>逻辑不一致已按腾讯同日完整</w:t>
      </w:r>
      <w:r>
        <w:rPr/>
        <w:t>bar</w:t>
      </w:r>
      <w:r>
        <w:rPr/>
        <w:t>修复并存原字段，指标依固定版本而非主观清洗。</w:t>
      </w:r>
    </w:p>
    <w:p>
      <w:pPr>
        <w:pStyle w:val="Heading2"/>
        <w:rPr/>
      </w:pPr>
      <w:r>
        <w:rPr>
          <w:color w:val="000000"/>
        </w:rPr>
        <w:t>估值结构与假设单位</w:t>
      </w:r>
    </w:p>
    <w:p>
      <w:pPr>
        <w:pStyle w:val="Normal"/>
        <w:rPr/>
      </w:pPr>
      <w:r>
        <w:rPr/>
        <w:t>32.09</w:t>
      </w:r>
      <w:r>
        <w:rPr/>
        <w:t>元乘</w:t>
      </w:r>
      <w:r>
        <w:rPr/>
        <w:t>99015598</w:t>
      </w:r>
      <w:r>
        <w:rPr/>
        <w:t>股得约</w:t>
      </w:r>
      <w:r>
        <w:rPr/>
        <w:t>31.7741</w:t>
      </w:r>
      <w:r>
        <w:rPr/>
        <w:t>亿元市值，</w:t>
      </w:r>
      <w:r>
        <w:rPr/>
        <w:t>H1</w:t>
      </w:r>
      <w:r>
        <w:rPr/>
        <w:t>归母净资产</w:t>
      </w:r>
      <w:r>
        <w:rPr/>
        <w:t>10.0747</w:t>
      </w:r>
      <w:r>
        <w:rPr/>
        <w:t>亿元对应</w:t>
      </w:r>
      <w:r>
        <w:rPr/>
        <w:t>PB</w:t>
      </w:r>
      <w:r>
        <w:rPr/>
        <w:t>约</w:t>
      </w:r>
      <w:r>
        <w:rPr/>
        <w:t>3.15</w:t>
      </w:r>
      <w:r>
        <w:rPr/>
        <w:t>倍。账面权益主要为现金、资产与累计研发亏损后的余额，</w:t>
      </w:r>
      <w:r>
        <w:rPr/>
        <w:t>PB</w:t>
      </w:r>
      <w:r>
        <w:rPr/>
        <w:t>可以作资本结构参照，不能当创新药价值完整解释。亏损</w:t>
      </w:r>
      <w:r>
        <w:rPr/>
        <w:t>PE</w:t>
      </w:r>
      <w:r>
        <w:rPr/>
        <w:t>无意义，市值相对未来成功销售的比例也不能脱离费用、时间、稀释及成功风险，本章主要采用分资产逐年</w:t>
      </w:r>
      <w:r>
        <w:rPr/>
        <w:t>rNPV</w:t>
      </w:r>
      <w:r>
        <w:rPr/>
        <w:t>。</w:t>
      </w:r>
    </w:p>
    <w:p>
      <w:pPr>
        <w:pStyle w:val="Normal"/>
        <w:rPr/>
      </w:pPr>
      <w:r>
        <w:rPr/>
        <w:t>模型</w:t>
      </w:r>
      <w:r>
        <w:rPr/>
        <w:t>11</w:t>
      </w:r>
      <w:r>
        <w:rPr/>
        <w:t>项分适应症或地区，</w:t>
      </w:r>
      <w:r>
        <w:rPr/>
        <w:t>2027</w:t>
      </w:r>
      <w:r>
        <w:rPr/>
        <w:t>至</w:t>
      </w:r>
      <w:r>
        <w:rPr/>
        <w:t>2045</w:t>
      </w:r>
      <w:r>
        <w:rPr/>
        <w:t>逐年销售曲线，直接现金率或有效版税、各阶段成功判断、税、汇率和折现均公开。现金收益用十亿元单位，股数用十亿股相除得元；不同资产中国与海外不混币。峰后按峰值</w:t>
      </w:r>
      <w:r>
        <w:rPr/>
        <w:t>13%</w:t>
      </w:r>
      <w:r>
        <w:rPr/>
        <w:t>逐年下降、无终值，是简化衰退而非已核专利到期日，前沿资产期限及专利自由实施仍有缺口，不能称完整精确</w:t>
      </w:r>
      <w:r>
        <w:rPr/>
        <w:t>DCF</w:t>
      </w:r>
      <w:r>
        <w:rPr/>
        <w:t>。</w:t>
      </w:r>
    </w:p>
    <w:p>
      <w:pPr>
        <w:pStyle w:val="Normal"/>
        <w:rPr/>
      </w:pPr>
      <w:r>
        <w:rPr/>
        <w:t>悲观、基准、乐观折现</w:t>
      </w:r>
      <w:r>
        <w:rPr/>
        <w:t>18%</w:t>
      </w:r>
      <w:r>
        <w:rPr/>
        <w:t>、</w:t>
      </w:r>
      <w:r>
        <w:rPr/>
        <w:t>14%</w:t>
      </w:r>
      <w:r>
        <w:rPr/>
        <w:t>、</w:t>
      </w:r>
      <w:r>
        <w:rPr/>
        <w:t>10.5%</w:t>
      </w:r>
      <w:r>
        <w:rPr/>
        <w:t>，版税税</w:t>
      </w:r>
      <w:r>
        <w:rPr/>
        <w:t>20%</w:t>
      </w:r>
      <w:r>
        <w:rPr/>
        <w:t>、</w:t>
      </w:r>
      <w:r>
        <w:rPr/>
        <w:t>18%</w:t>
      </w:r>
      <w:r>
        <w:rPr/>
        <w:t>、</w:t>
      </w:r>
      <w:r>
        <w:rPr/>
        <w:t>15%</w:t>
      </w:r>
      <w:r>
        <w:rPr/>
        <w:t>，直接现金率已包含长期生产销售税和维护营运成本。未上市成功判断分开，不统一给所有二期或临床前同一率；未来逐步去风险系数是条件情景推进，不是只因时间过去就自动获批。模型不加未签首款及未来确定里程碑，因没有可核验合同，不用宏大交易新闻类比造现金。</w:t>
      </w:r>
    </w:p>
    <w:p>
      <w:pPr>
        <w:pStyle w:val="Heading2"/>
        <w:rPr/>
      </w:pPr>
      <w:r>
        <w:rPr>
          <w:color w:val="000000"/>
        </w:rPr>
        <w:t>目标快照 融资及成本</w:t>
      </w:r>
    </w:p>
    <w:p>
      <w:pPr>
        <w:pStyle w:val="Normal"/>
        <w:rPr/>
      </w:pPr>
      <w:r>
        <w:rPr/>
        <w:t>年底三景股数</w:t>
      </w:r>
      <w:r>
        <w:rPr/>
        <w:t>102</w:t>
      </w:r>
      <w:r>
        <w:rPr/>
        <w:t>、</w:t>
      </w:r>
      <w:r>
        <w:rPr/>
        <w:t>100</w:t>
      </w:r>
      <w:r>
        <w:rPr/>
        <w:t>、</w:t>
      </w:r>
      <w:r>
        <w:rPr/>
        <w:t>99.5</w:t>
      </w:r>
      <w:r>
        <w:rPr/>
        <w:t>百万股，净现金</w:t>
      </w:r>
      <w:r>
        <w:rPr/>
        <w:t>550</w:t>
      </w:r>
      <w:r>
        <w:rPr/>
        <w:t>、</w:t>
      </w:r>
      <w:r>
        <w:rPr/>
        <w:t>620</w:t>
      </w:r>
      <w:r>
        <w:rPr/>
        <w:t>、</w:t>
      </w:r>
      <w:r>
        <w:rPr/>
        <w:t>700</w:t>
      </w:r>
      <w:r>
        <w:rPr/>
        <w:t>百万元，未来开发总部储备</w:t>
      </w:r>
      <w:r>
        <w:rPr/>
        <w:t>600</w:t>
      </w:r>
      <w:r>
        <w:rPr/>
        <w:t>、</w:t>
      </w:r>
      <w:r>
        <w:rPr/>
        <w:t>750</w:t>
      </w:r>
      <w:r>
        <w:rPr/>
        <w:t>、</w:t>
      </w:r>
      <w:r>
        <w:rPr/>
        <w:t>1100</w:t>
      </w:r>
      <w:r>
        <w:rPr/>
        <w:t>百万元；基准较当前股数小幅增加是融资激励压力，不等已发行。三年基准股数</w:t>
      </w:r>
      <w:r>
        <w:rPr/>
        <w:t>120</w:t>
      </w:r>
      <w:r>
        <w:rPr/>
        <w:t>百万、净现金</w:t>
      </w:r>
      <w:r>
        <w:rPr/>
        <w:t>800</w:t>
      </w:r>
      <w:r>
        <w:rPr/>
        <w:t>、储备</w:t>
      </w:r>
      <w:r>
        <w:rPr/>
        <w:t>750</w:t>
      </w:r>
      <w:r>
        <w:rPr/>
        <w:t>，五年</w:t>
      </w:r>
      <w:r>
        <w:rPr/>
        <w:t>135</w:t>
      </w:r>
      <w:r>
        <w:rPr/>
        <w:t>百万、</w:t>
      </w:r>
      <w:r>
        <w:rPr/>
        <w:t>1000</w:t>
      </w:r>
      <w:r>
        <w:rPr/>
        <w:t>、</w:t>
      </w:r>
      <w:r>
        <w:rPr/>
        <w:t>600</w:t>
      </w:r>
      <w:r>
        <w:rPr/>
        <w:t>，净现金提高依赖经营或融资条件。初版未联动筹资价格三表，务必按假设快照而非已公告计划解释。</w:t>
      </w:r>
    </w:p>
    <w:p>
      <w:pPr>
        <w:pStyle w:val="Normal"/>
        <w:rPr/>
      </w:pPr>
      <w:r>
        <w:rPr/>
        <w:t>研发总部储备扣未来未在销售现金率中的开发成本，直接现金率已扣正常销售及生产，因此不能再把所有费用全额双扣。目标净现金包括目标前资金消耗与可能融资，目标后资产</w:t>
      </w:r>
      <w:r>
        <w:rPr/>
        <w:t>PV</w:t>
      </w:r>
      <w:r>
        <w:rPr/>
        <w:t>再减储备，范围不同；用户更新融资、销售或时间后必须整套刷新。单独把目标股数改小却保持融资带来大现金，会人为抬值，本章列为初版模型限制而非掩盖。</w:t>
      </w:r>
    </w:p>
    <w:p>
      <w:pPr>
        <w:pStyle w:val="Heading2"/>
        <w:rPr/>
      </w:pPr>
      <w:r>
        <w:rPr>
          <w:color w:val="000000"/>
        </w:rPr>
        <w:t>年底价格路径与期望值</w:t>
      </w:r>
    </w:p>
    <w:p>
      <w:pPr>
        <w:pStyle w:val="Normal"/>
        <w:rPr/>
      </w:pPr>
      <w:r>
        <w:rPr/>
        <w:t>年底完整内在悲观</w:t>
      </w:r>
      <w:r>
        <w:rPr/>
        <w:t>1.67</w:t>
      </w:r>
      <w:r>
        <w:rPr/>
        <w:t>、基准</w:t>
      </w:r>
      <w:r>
        <w:rPr/>
        <w:t>25.03</w:t>
      </w:r>
      <w:r>
        <w:rPr/>
        <w:t>、乐观</w:t>
      </w:r>
      <w:r>
        <w:rPr/>
        <w:t>193.90</w:t>
      </w:r>
      <w:r>
        <w:rPr/>
        <w:t>元，乐观巨大因为多年</w:t>
      </w:r>
      <w:r>
        <w:rPr/>
        <w:t>MASH</w:t>
      </w:r>
      <w:r>
        <w:rPr/>
        <w:t>、</w:t>
      </w:r>
      <w:r>
        <w:rPr/>
        <w:t>BCR</w:t>
      </w:r>
      <w:r>
        <w:rPr/>
        <w:t>及其他路线同时改善，不能认为两个月内市场已获得这些多年结果。交易价用现价与内在值连接，悲观认知</w:t>
      </w:r>
      <w:r>
        <w:rPr/>
        <w:t>45%</w:t>
      </w:r>
      <w:r>
        <w:rPr/>
        <w:t>、基准</w:t>
      </w:r>
      <w:r>
        <w:rPr/>
        <w:t>35%</w:t>
      </w:r>
      <w:r>
        <w:rPr/>
        <w:t>、乐观</w:t>
      </w:r>
      <w:r>
        <w:rPr/>
        <w:t>8%</w:t>
      </w:r>
      <w:r>
        <w:rPr/>
        <w:t>，得到</w:t>
      </w:r>
      <w:r>
        <w:rPr/>
        <w:t>18.40</w:t>
      </w:r>
      <w:r>
        <w:rPr/>
        <w:t>、</w:t>
      </w:r>
      <w:r>
        <w:rPr/>
        <w:t>29.62</w:t>
      </w:r>
      <w:r>
        <w:rPr/>
        <w:t>、</w:t>
      </w:r>
      <w:r>
        <w:rPr/>
        <w:t>45.04</w:t>
      </w:r>
      <w:r>
        <w:rPr/>
        <w:t>。乐观较低系数表示年底仅部分远期上行被认知，不是获批概率，也非统计拟合。</w:t>
      </w:r>
    </w:p>
    <w:p>
      <w:pPr>
        <w:pStyle w:val="Normal"/>
        <w:rPr/>
      </w:pPr>
      <w:r>
        <w:rPr/>
        <w:t>年底基准条件是医保净销售继续改善、推广开支保持约束、研究按已知阶段而未提前成功；悲观涉及收入低、现金和融资压力或关键证据受质疑；乐观需要更清晰的</w:t>
      </w:r>
      <w:r>
        <w:rPr/>
        <w:t>MASH</w:t>
      </w:r>
      <w:r>
        <w:rPr/>
        <w:t>研究、合作或商业现金信息。没有已公开保证年底公布的重大确证终点，本章不编日期催化。原目录进入和旧论文已为已知信息，不能重复称未来首次利好。</w:t>
      </w:r>
    </w:p>
    <w:p>
      <w:pPr>
        <w:pStyle w:val="Normal"/>
        <w:rPr/>
      </w:pPr>
      <w:r>
        <w:rPr/>
        <w:t>默认</w:t>
      </w:r>
      <w:r>
        <w:rPr/>
        <w:t>25%</w:t>
      </w:r>
      <w:r>
        <w:rPr/>
        <w:t>、</w:t>
      </w:r>
      <w:r>
        <w:rPr/>
        <w:t>50%</w:t>
      </w:r>
      <w:r>
        <w:rPr/>
        <w:t>、</w:t>
      </w:r>
      <w:r>
        <w:rPr/>
        <w:t>25%</w:t>
      </w:r>
      <w:r>
        <w:rPr/>
        <w:t>判断权重期望</w:t>
      </w:r>
      <w:r>
        <w:rPr/>
        <w:t>30.6691</w:t>
      </w:r>
      <w:r>
        <w:rPr/>
        <w:t>元，较</w:t>
      </w:r>
      <w:r>
        <w:rPr/>
        <w:t>32.09</w:t>
      </w:r>
      <w:r>
        <w:rPr/>
        <w:t>低约</w:t>
      </w:r>
      <w:r>
        <w:rPr/>
        <w:t>4.43%</w:t>
      </w:r>
      <w:r>
        <w:rPr/>
        <w:t>，体现本价格下年底基准和失败风险尚压制加权收益。防守权重</w:t>
      </w:r>
      <w:r>
        <w:rPr/>
        <w:t>40%</w:t>
      </w:r>
      <w:r>
        <w:rPr/>
        <w:t>、</w:t>
      </w:r>
      <w:r>
        <w:rPr/>
        <w:t>50%</w:t>
      </w:r>
      <w:r>
        <w:rPr/>
        <w:t>、</w:t>
      </w:r>
      <w:r>
        <w:rPr/>
        <w:t>10%</w:t>
      </w:r>
      <w:r>
        <w:rPr/>
        <w:t>期望</w:t>
      </w:r>
      <w:r>
        <w:rPr/>
        <w:t>26.6740</w:t>
      </w:r>
      <w:r>
        <w:rPr/>
        <w:t>元，积极</w:t>
      </w:r>
      <w:r>
        <w:rPr/>
        <w:t>10%</w:t>
      </w:r>
      <w:r>
        <w:rPr/>
        <w:t>、</w:t>
      </w:r>
      <w:r>
        <w:rPr/>
        <w:t>50%</w:t>
      </w:r>
      <w:r>
        <w:rPr/>
        <w:t>、</w:t>
      </w:r>
      <w:r>
        <w:rPr/>
        <w:t>40%</w:t>
      </w:r>
      <w:r>
        <w:rPr/>
        <w:t>期望</w:t>
      </w:r>
      <w:r>
        <w:rPr/>
        <w:t>34.6643</w:t>
      </w:r>
      <w:r>
        <w:rPr/>
        <w:t>元，偏好改变会使结论跨过零回报。权重不是客观概率，不是区间最大损失，股票实际可能在三景之外；不按投行一年目标线性缩放年底。</w:t>
      </w:r>
    </w:p>
    <w:p>
      <w:pPr>
        <w:pStyle w:val="Heading2"/>
        <w:rPr/>
      </w:pPr>
      <w:r>
        <w:rPr>
          <w:color w:val="000000"/>
        </w:rPr>
        <w:t>半年与一年投资逻辑</w:t>
      </w:r>
    </w:p>
    <w:p>
      <w:pPr>
        <w:pStyle w:val="Normal"/>
        <w:rPr/>
      </w:pPr>
      <w:r>
        <w:rPr/>
        <w:t>半年基准</w:t>
      </w:r>
      <w:r>
        <w:rPr/>
        <w:t>27.97</w:t>
      </w:r>
      <w:r>
        <w:rPr/>
        <w:t>元、回报负</w:t>
      </w:r>
      <w:r>
        <w:rPr/>
        <w:t>12.85%</w:t>
      </w:r>
      <w:r>
        <w:rPr/>
        <w:t>，乐观</w:t>
      </w:r>
      <w:r>
        <w:rPr/>
        <w:t>52.83</w:t>
      </w:r>
      <w:r>
        <w:rPr/>
        <w:t>元、正</w:t>
      </w:r>
      <w:r>
        <w:rPr/>
        <w:t>64.62%</w:t>
      </w:r>
      <w:r>
        <w:rPr/>
        <w:t>，悲观</w:t>
      </w:r>
      <w:r>
        <w:rPr/>
        <w:t>11.60</w:t>
      </w:r>
      <w:r>
        <w:rPr/>
        <w:t>元、负</w:t>
      </w:r>
      <w:r>
        <w:rPr/>
        <w:t>63.87%</w:t>
      </w:r>
      <w:r>
        <w:rPr/>
        <w:t>。半年的机会在医保销量及现金证明、</w:t>
      </w:r>
      <w:r>
        <w:rPr/>
        <w:t>MASH</w:t>
      </w:r>
      <w:r>
        <w:rPr/>
        <w:t>资料更完整、联合开发路径可检验与技术修复，主要风险是原先期待过高而新信息不足。对进取策略，关注潜力可以提前研究，但现价缺基准安全空间，较合理的是条件观察，不以乐观幅度最大作为唯一排序标准。</w:t>
      </w:r>
    </w:p>
    <w:p>
      <w:pPr>
        <w:pStyle w:val="Normal"/>
        <w:rPr/>
      </w:pPr>
      <w:r>
        <w:rPr/>
        <w:t>一年基准</w:t>
      </w:r>
      <w:r>
        <w:rPr/>
        <w:t>28.66</w:t>
      </w:r>
      <w:r>
        <w:rPr/>
        <w:t>元、负</w:t>
      </w:r>
      <w:r>
        <w:rPr/>
        <w:t>10.68%</w:t>
      </w:r>
      <w:r>
        <w:rPr/>
        <w:t>，乐观</w:t>
      </w:r>
      <w:r>
        <w:rPr/>
        <w:t>72.69</w:t>
      </w:r>
      <w:r>
        <w:rPr/>
        <w:t>、正</w:t>
      </w:r>
      <w:r>
        <w:rPr/>
        <w:t>126.53%</w:t>
      </w:r>
      <w:r>
        <w:rPr/>
        <w:t>，悲观</w:t>
      </w:r>
      <w:r>
        <w:rPr/>
        <w:t>4.81</w:t>
      </w:r>
      <w:r>
        <w:rPr/>
        <w:t>、负</w:t>
      </w:r>
      <w:r>
        <w:rPr/>
        <w:t>85%</w:t>
      </w:r>
      <w:r>
        <w:rPr/>
        <w:t>，仍有强不对称但失败损失巨大。模型乐观只认知完整内在</w:t>
      </w:r>
      <w:r>
        <w:rPr/>
        <w:t>20%</w:t>
      </w:r>
      <w:r>
        <w:rPr/>
        <w:t>，承认一年还可能没有远期注册证据；基准以较高</w:t>
      </w:r>
      <w:r>
        <w:rPr/>
        <w:t>85%</w:t>
      </w:r>
      <w:r>
        <w:rPr/>
        <w:t>反映若实际符合普通路径则市场逐渐检验价格。不同情景认知是透明主观路径，有显著敏感性，不能在正文中把一年乐观当精确可预测价格。</w:t>
      </w:r>
    </w:p>
    <w:p>
      <w:pPr>
        <w:pStyle w:val="Normal"/>
        <w:rPr/>
      </w:pPr>
      <w:r>
        <w:rPr/>
        <w:t>半年若销售增长而应收库存更快增加、</w:t>
      </w:r>
      <w:r>
        <w:rPr/>
        <w:t>OCF</w:t>
      </w:r>
      <w:r>
        <w:rPr/>
        <w:t>仍依靠应付延后，推荐不会因营收表面高增而升级。一年若完整</w:t>
      </w:r>
      <w:r>
        <w:rPr/>
        <w:t>MASH</w:t>
      </w:r>
      <w:r>
        <w:rPr/>
        <w:t>数据不支持持续性、后续方案延迟或联合成本显著超计划，应降低相应价值；若得到强临床、合理合作和已到账资金，则可重估。触发条件连接科学、现金和股数，避免只按价格涨跌决定研究方向。</w:t>
      </w:r>
    </w:p>
    <w:p>
      <w:pPr>
        <w:pStyle w:val="Heading2"/>
        <w:rPr/>
      </w:pPr>
      <w:r>
        <w:rPr>
          <w:color w:val="000000"/>
        </w:rPr>
        <w:t>三年 五年与十年</w:t>
      </w:r>
    </w:p>
    <w:p>
      <w:pPr>
        <w:pStyle w:val="Normal"/>
        <w:rPr/>
      </w:pPr>
      <w:r>
        <w:rPr/>
        <w:t>三年基准</w:t>
      </w:r>
      <w:r>
        <w:rPr/>
        <w:t>46.55</w:t>
      </w:r>
      <w:r>
        <w:rPr/>
        <w:t>元、累计</w:t>
      </w:r>
      <w:r>
        <w:rPr/>
        <w:t>45.07%</w:t>
      </w:r>
      <w:r>
        <w:rPr/>
        <w:t>、年化</w:t>
      </w:r>
      <w:r>
        <w:rPr/>
        <w:t>13.20%</w:t>
      </w:r>
      <w:r>
        <w:rPr/>
        <w:t>，收益主要来自既有后线进一步现金化及</w:t>
      </w:r>
      <w:r>
        <w:rPr/>
        <w:t>BCR</w:t>
      </w:r>
      <w:r>
        <w:rPr/>
        <w:t>、</w:t>
      </w:r>
      <w:r>
        <w:rPr/>
        <w:t>MASH</w:t>
      </w:r>
      <w:r>
        <w:rPr/>
        <w:t>条件去风险，尚非所有新产品已经成熟销售。乐观</w:t>
      </w:r>
      <w:r>
        <w:rPr/>
        <w:t>351.28</w:t>
      </w:r>
      <w:r>
        <w:rPr/>
        <w:t>元是多个大型资产一起成功的极端联合压力，不能作为通常目标或单一买入依据。若仅一两项成功而其他失败，实际结果会落在不同组合，不应把三景标签当完整所有可能路径。</w:t>
      </w:r>
    </w:p>
    <w:p>
      <w:pPr>
        <w:pStyle w:val="Normal"/>
        <w:rPr/>
      </w:pPr>
      <w:r>
        <w:rPr/>
        <w:t>五年基准</w:t>
      </w:r>
      <w:r>
        <w:rPr/>
        <w:t>64.52</w:t>
      </w:r>
      <w:r>
        <w:rPr/>
        <w:t>元、累计</w:t>
      </w:r>
      <w:r>
        <w:rPr/>
        <w:t>101.05%</w:t>
      </w:r>
      <w:r>
        <w:rPr/>
        <w:t>、年化</w:t>
      </w:r>
      <w:r>
        <w:rPr/>
        <w:t>14.99%</w:t>
      </w:r>
      <w:r>
        <w:rPr/>
        <w:t>，需要公司从单品商业化走向可持续组合，普通股分母也从约</w:t>
      </w:r>
      <w:r>
        <w:rPr/>
        <w:t>99</w:t>
      </w:r>
      <w:r>
        <w:rPr/>
        <w:t>百万增长至基准</w:t>
      </w:r>
      <w:r>
        <w:rPr/>
        <w:t>135</w:t>
      </w:r>
      <w:r>
        <w:rPr/>
        <w:t>百万。乐观</w:t>
      </w:r>
      <w:r>
        <w:rPr/>
        <w:t>437.10</w:t>
      </w:r>
      <w:r>
        <w:rPr/>
        <w:t>元将顺利多个领域及低融资压力同时计入，十倍以上回报来自小当前股本及长市场假设，可靠性远低于既有销售。悲观零为成本及失败后普通股余值不正，不能理解为股价一定归零或公司已失去持续经营。</w:t>
      </w:r>
    </w:p>
    <w:p>
      <w:pPr>
        <w:pStyle w:val="Normal"/>
        <w:rPr/>
      </w:pPr>
      <w:r>
        <w:rPr/>
        <w:t>十年经营展望更适合检验平台持续性：既有氘代产品生命周期能否延长，</w:t>
      </w:r>
      <w:r>
        <w:rPr/>
        <w:t>MASH</w:t>
      </w:r>
      <w:r>
        <w:rPr/>
        <w:t>或免疫路线能否形成第二利润来源，研发是否持续产出可合作分子。依靠一个成功产品或一个热门靶点长期复利仍脆弱，管理层需把资本投到证据更强的项目并承认失败。专利衰退、治疗前移和渠道费用会改变现金，故本章不把五年价值简单再翻倍当十年股价。</w:t>
      </w:r>
    </w:p>
    <w:p>
      <w:pPr>
        <w:pStyle w:val="Heading2"/>
        <w:rPr/>
      </w:pPr>
      <w:r>
        <w:rPr>
          <w:color w:val="000000"/>
        </w:rPr>
        <w:t>评分 证据与可推翻条件</w:t>
      </w:r>
    </w:p>
    <w:p>
      <w:pPr>
        <w:pStyle w:val="Normal"/>
        <w:rPr/>
      </w:pPr>
      <w:r>
        <w:rPr/>
        <w:t>半年六维为</w:t>
      </w:r>
      <w:r>
        <w:rPr/>
        <w:t>2.7</w:t>
      </w:r>
      <w:r>
        <w:rPr/>
        <w:t>、</w:t>
      </w:r>
      <w:r>
        <w:rPr/>
        <w:t>2.4</w:t>
      </w:r>
      <w:r>
        <w:rPr/>
        <w:t>、</w:t>
      </w:r>
      <w:r>
        <w:rPr/>
        <w:t>3.3</w:t>
      </w:r>
      <w:r>
        <w:rPr/>
        <w:t>、</w:t>
      </w:r>
      <w:r>
        <w:rPr/>
        <w:t>4.0</w:t>
      </w:r>
      <w:r>
        <w:rPr/>
        <w:t>、</w:t>
      </w:r>
      <w:r>
        <w:rPr/>
        <w:t>2.8</w:t>
      </w:r>
      <w:r>
        <w:rPr/>
        <w:t>、</w:t>
      </w:r>
      <w:r>
        <w:rPr/>
        <w:t>3.1</w:t>
      </w:r>
      <w:r>
        <w:rPr/>
        <w:t>，按既定权重得</w:t>
      </w:r>
      <w:r>
        <w:rPr/>
        <w:t>57.6</w:t>
      </w:r>
      <w:r>
        <w:rPr/>
        <w:t>；一年</w:t>
      </w:r>
      <w:r>
        <w:rPr/>
        <w:t>2.8</w:t>
      </w:r>
      <w:r>
        <w:rPr/>
        <w:t>、</w:t>
      </w:r>
      <w:r>
        <w:rPr/>
        <w:t>2.4</w:t>
      </w:r>
      <w:r>
        <w:rPr/>
        <w:t>、</w:t>
      </w:r>
      <w:r>
        <w:rPr/>
        <w:t>3.5</w:t>
      </w:r>
      <w:r>
        <w:rPr/>
        <w:t>、</w:t>
      </w:r>
      <w:r>
        <w:rPr/>
        <w:t>4.1</w:t>
      </w:r>
      <w:r>
        <w:rPr/>
        <w:t>、</w:t>
      </w:r>
      <w:r>
        <w:rPr/>
        <w:t>3.2</w:t>
      </w:r>
      <w:r>
        <w:rPr/>
        <w:t>、</w:t>
      </w:r>
      <w:r>
        <w:rPr/>
        <w:t>3.1</w:t>
      </w:r>
      <w:r>
        <w:rPr/>
        <w:t>得</w:t>
      </w:r>
      <w:r>
        <w:rPr/>
        <w:t>63.6</w:t>
      </w:r>
      <w:r>
        <w:rPr/>
        <w:t>。长期技术权重下降，三年成长</w:t>
      </w:r>
      <w:r>
        <w:rPr/>
        <w:t>3.7</w:t>
      </w:r>
      <w:r>
        <w:rPr/>
        <w:t>、行业</w:t>
      </w:r>
      <w:r>
        <w:rPr/>
        <w:t>4.2</w:t>
      </w:r>
      <w:r>
        <w:rPr/>
        <w:t>而风险</w:t>
      </w:r>
      <w:r>
        <w:rPr/>
        <w:t>3.0</w:t>
      </w:r>
      <w:r>
        <w:rPr/>
        <w:t>得</w:t>
      </w:r>
      <w:r>
        <w:rPr/>
        <w:t>69.4</w:t>
      </w:r>
      <w:r>
        <w:rPr/>
        <w:t>，五年成长</w:t>
      </w:r>
      <w:r>
        <w:rPr/>
        <w:t>3.8</w:t>
      </w:r>
      <w:r>
        <w:rPr/>
        <w:t>及估值</w:t>
      </w:r>
      <w:r>
        <w:rPr/>
        <w:t>3.2</w:t>
      </w:r>
      <w:r>
        <w:rPr/>
        <w:t>得</w:t>
      </w:r>
      <w:r>
        <w:rPr/>
        <w:t>72.3</w:t>
      </w:r>
      <w:r>
        <w:rPr/>
        <w:t>。增长分承认真实销售和科学机会，估值分限制基准下行，不能让同一</w:t>
      </w:r>
      <w:r>
        <w:rPr/>
        <w:t>MASH</w:t>
      </w:r>
      <w:r>
        <w:rPr/>
        <w:t>潜力在每个维度重复满分。</w:t>
      </w:r>
    </w:p>
    <w:p>
      <w:pPr>
        <w:pStyle w:val="Normal"/>
        <w:rPr/>
      </w:pPr>
      <w:r>
        <w:rPr/>
        <w:t>财务及已公告状态可信度高，原论文有明确主要和非预设终点；技术双源锁版可信度高但行业</w:t>
      </w:r>
      <w:r>
        <w:rPr/>
        <w:t>RS</w:t>
      </w:r>
      <w:r>
        <w:rPr/>
        <w:t>缺。未来销售、许可、净现金及融资假设可信度中低，完整临床</w:t>
      </w:r>
      <w:r>
        <w:rPr/>
        <w:t>IIa</w:t>
      </w:r>
      <w:r>
        <w:rPr/>
        <w:t>人数、专利</w:t>
      </w:r>
      <w:r>
        <w:rPr/>
        <w:t>FTO</w:t>
      </w:r>
      <w:r>
        <w:rPr/>
        <w:t>和联动三表仍缺，公开外资目标未取得。证据标签独立于分数，不能因高分把低确定性预测改成事实，也不能将没有公开报告误写成机构不关注。</w:t>
      </w:r>
    </w:p>
    <w:p>
      <w:pPr>
        <w:pStyle w:val="Normal"/>
        <w:rPr/>
      </w:pPr>
      <w:r>
        <w:rPr/>
        <w:t>推翻正向判断的具体事实包括医保后净销售长期低于预期且推广效率无改善、严重安全或标签收窄、</w:t>
      </w:r>
      <w:r>
        <w:rPr/>
        <w:t>MASH</w:t>
      </w:r>
      <w:r>
        <w:rPr/>
        <w:t>更长研究失利、</w:t>
      </w:r>
      <w:r>
        <w:rPr/>
        <w:t>HP518</w:t>
      </w:r>
      <w:r>
        <w:rPr/>
        <w:t>联合无可重复收益以及融资代价显著超基准。推翻谨慎短期判断的事实包括真正销售现金扩张、低稀释已到账合作、关键长终点及积极对照证据，还有带量回收中期均线后的持续</w:t>
      </w:r>
      <w:r>
        <w:rPr/>
        <w:t>RS</w:t>
      </w:r>
      <w:r>
        <w:rPr/>
        <w:t>提升。每一项都需对应原件和日期，不能以传闻先改模型。</w:t>
      </w:r>
    </w:p>
    <w:p>
      <w:pPr>
        <w:pStyle w:val="Heading2"/>
        <w:rPr/>
      </w:pPr>
      <w:r>
        <w:rPr>
          <w:color w:val="000000"/>
        </w:rPr>
        <w:t>来源</w:t>
      </w:r>
    </w:p>
    <w:p>
      <w:pPr>
        <w:pStyle w:val="Normal"/>
        <w:rPr/>
      </w:pPr>
      <w:r>
        <w:rPr/>
        <w:t>本章独立正文不含表格、标题、图注及来源；字数与重复及公式记录在</w:t>
      </w:r>
      <w:r>
        <w:rPr/>
        <w:t>qa/hinova_qa.json</w:t>
      </w:r>
      <w:r>
        <w:rPr/>
        <w:t>。财报与公告原</w:t>
      </w:r>
      <w:r>
        <w:rPr/>
        <w:t>PDF</w:t>
      </w:r>
      <w:r>
        <w:rPr/>
        <w:t>及分页提取存</w:t>
      </w:r>
      <w:r>
        <w:rPr/>
        <w:t>data/a_pharma_raw</w:t>
      </w:r>
      <w:r>
        <w:rPr/>
        <w:t>，外部原论文和新闻解析记录存</w:t>
      </w:r>
      <w:r>
        <w:rPr/>
        <w:t>data/hinova_clinical_checks.json</w:t>
      </w:r>
      <w:r>
        <w:rPr/>
        <w:t>及</w:t>
      </w:r>
      <w:r>
        <w:rPr/>
        <w:t>data/hinova_news.json</w:t>
      </w:r>
      <w:r>
        <w:rPr/>
        <w:t>。主要财务、管线与决议来源如下，新闻网页正文部分为图片结构，精确</w:t>
      </w:r>
      <w:r>
        <w:rPr/>
        <w:t>HP515</w:t>
      </w:r>
      <w:r>
        <w:rPr/>
        <w:t>数值以中报文本为锚；不得从空网页提取补造数据。</w:t>
      </w:r>
    </w:p>
    <w:p>
      <w:pPr>
        <w:pStyle w:val="Normal"/>
        <w:rPr/>
      </w:pPr>
      <w:r>
        <w:rPr/>
        <w:t>- 2026H1</w:t>
      </w:r>
      <w:r>
        <w:rPr/>
        <w:t>，</w:t>
      </w:r>
      <w:r>
        <w:rPr/>
        <w:t>8</w:t>
      </w:r>
      <w:r>
        <w:rPr/>
        <w:t>月</w:t>
      </w:r>
      <w:r>
        <w:rPr/>
        <w:t>27</w:t>
      </w:r>
      <w:r>
        <w:rPr/>
        <w:t>日公开，财务未经审计：</w:t>
      </w:r>
      <w:r>
        <w:rPr/>
        <w:t>https://static.cninfo.com.cn/finalpage/2026-08-27/1225514360.PDF</w:t>
      </w:r>
    </w:p>
    <w:p>
      <w:pPr>
        <w:pStyle w:val="Normal"/>
        <w:rPr/>
      </w:pPr>
      <w:r>
        <w:rPr/>
        <w:t>- 2025</w:t>
      </w:r>
      <w:r>
        <w:rPr/>
        <w:t>年报，</w:t>
      </w:r>
      <w:r>
        <w:rPr/>
        <w:t>4</w:t>
      </w:r>
      <w:r>
        <w:rPr/>
        <w:t>月</w:t>
      </w:r>
      <w:r>
        <w:rPr/>
        <w:t>25</w:t>
      </w:r>
      <w:r>
        <w:rPr/>
        <w:t>日公开：</w:t>
      </w:r>
      <w:r>
        <w:rPr/>
        <w:t>https://static.cninfo.com.cn/finalpage/2026-04-25/1225190224.PDF</w:t>
      </w:r>
    </w:p>
    <w:p>
      <w:pPr>
        <w:pStyle w:val="Normal"/>
        <w:rPr/>
      </w:pPr>
      <w:r>
        <w:rPr/>
        <w:t>- 8</w:t>
      </w:r>
      <w:r>
        <w:rPr/>
        <w:t>月</w:t>
      </w:r>
      <w:r>
        <w:rPr/>
        <w:t>27</w:t>
      </w:r>
      <w:r>
        <w:rPr/>
        <w:t>日募投子项目调整：</w:t>
      </w:r>
      <w:r>
        <w:rPr/>
        <w:t>https://static.cninfo.com.cn/finalpage/2026-08-27/1225514333.PDF</w:t>
      </w:r>
    </w:p>
    <w:p>
      <w:pPr>
        <w:pStyle w:val="Normal"/>
        <w:rPr/>
      </w:pPr>
      <w:r>
        <w:rPr/>
        <w:t>- 9</w:t>
      </w:r>
      <w:r>
        <w:rPr/>
        <w:t>月</w:t>
      </w:r>
      <w:r>
        <w:rPr/>
        <w:t>11</w:t>
      </w:r>
      <w:r>
        <w:rPr/>
        <w:t>日通过、</w:t>
      </w:r>
      <w:r>
        <w:rPr/>
        <w:t>9</w:t>
      </w:r>
      <w:r>
        <w:rPr/>
        <w:t>月</w:t>
      </w:r>
      <w:r>
        <w:rPr/>
        <w:t>12</w:t>
      </w:r>
      <w:r>
        <w:rPr/>
        <w:t>日公告：</w:t>
      </w:r>
      <w:r>
        <w:rPr/>
        <w:t>https://static.cninfo.com.cn/finalpage/2026-09-12/1225561505.PDF</w:t>
      </w:r>
    </w:p>
    <w:p>
      <w:pPr>
        <w:pStyle w:val="Normal"/>
        <w:rPr/>
      </w:pPr>
      <w:r>
        <w:rPr/>
        <w:t>- 9</w:t>
      </w:r>
      <w:r>
        <w:rPr/>
        <w:t>月</w:t>
      </w:r>
      <w:r>
        <w:rPr/>
        <w:t>12</w:t>
      </w:r>
      <w:r>
        <w:rPr/>
        <w:t>日管理层换届：</w:t>
      </w:r>
      <w:r>
        <w:rPr/>
        <w:t>https://static.cninfo.com.cn/finalpage/2026-09-12/1225561508.PDF</w:t>
      </w:r>
    </w:p>
    <w:p>
      <w:pPr>
        <w:pStyle w:val="Normal"/>
        <w:rPr/>
      </w:pPr>
      <w:r>
        <w:rPr/>
        <w:t>- 8</w:t>
      </w:r>
      <w:r>
        <w:rPr/>
        <w:t>月</w:t>
      </w:r>
      <w:r>
        <w:rPr/>
        <w:t>27</w:t>
      </w:r>
      <w:r>
        <w:rPr/>
        <w:t>日募集资金报告：</w:t>
      </w:r>
      <w:r>
        <w:rPr/>
        <w:t>https://static.cninfo.com.cn/finalpage/2026-08-27/1225514377.PDF</w:t>
      </w:r>
    </w:p>
    <w:p>
      <w:pPr>
        <w:pStyle w:val="Normal"/>
        <w:rPr/>
      </w:pPr>
      <w:r>
        <w:rPr/>
        <w:t>- 4</w:t>
      </w:r>
      <w:r>
        <w:rPr/>
        <w:t>月</w:t>
      </w:r>
      <w:r>
        <w:rPr/>
        <w:t>13</w:t>
      </w:r>
      <w:r>
        <w:rPr/>
        <w:t>日随机三期原论文：</w:t>
      </w:r>
      <w:r>
        <w:rPr/>
        <w:t>https://doi.org/10.1038/s41392-026-02618-3</w:t>
      </w:r>
    </w:p>
    <w:p>
      <w:pPr>
        <w:pStyle w:val="Normal"/>
        <w:rPr/>
      </w:pPr>
      <w:r>
        <w:rPr/>
        <w:t xml:space="preserve">- </w:t>
      </w:r>
      <w:r>
        <w:rPr/>
        <w:t>原全文数据：</w:t>
      </w:r>
      <w:r>
        <w:rPr/>
        <w:t>https://www.ebi.ac.uk/europepmc/webservices/rest/PMC13071078/fullTextXML</w:t>
      </w:r>
    </w:p>
    <w:p>
      <w:pPr>
        <w:pStyle w:val="Normal"/>
        <w:rPr/>
      </w:pPr>
      <w:r>
        <w:rPr/>
        <w:t>- HP515</w:t>
      </w:r>
      <w:r>
        <w:rPr/>
        <w:t>二期新闻，页面发表</w:t>
      </w:r>
      <w:r>
        <w:rPr/>
        <w:t>6</w:t>
      </w:r>
      <w:r>
        <w:rPr/>
        <w:t>月</w:t>
      </w:r>
      <w:r>
        <w:rPr/>
        <w:t>16</w:t>
      </w:r>
      <w:r>
        <w:rPr/>
        <w:t>日：</w:t>
      </w:r>
      <w:r>
        <w:rPr/>
        <w:t>https://www.hinovapharma.com/news/202607/609.html</w:t>
      </w:r>
    </w:p>
    <w:p>
      <w:pPr>
        <w:pStyle w:val="Normal"/>
        <w:rPr/>
      </w:pPr>
      <w:r>
        <w:rPr/>
        <w:t>- BCR</w:t>
      </w:r>
      <w:r>
        <w:rPr/>
        <w:t>试验新闻，页面发表</w:t>
      </w:r>
      <w:r>
        <w:rPr/>
        <w:t>7</w:t>
      </w:r>
      <w:r>
        <w:rPr/>
        <w:t>月</w:t>
      </w:r>
      <w:r>
        <w:rPr/>
        <w:t>16</w:t>
      </w:r>
      <w:r>
        <w:rPr/>
        <w:t>日：</w:t>
      </w:r>
      <w:r>
        <w:rPr/>
        <w:t>https://www.hinovapharma.com/news/202607/610.html</w:t>
      </w:r>
    </w:p>
    <w:p>
      <w:pPr>
        <w:pStyle w:val="Normal"/>
        <w:rPr/>
      </w:pPr>
      <w:r>
        <w:rPr/>
        <w:t xml:space="preserve">- </w:t>
      </w:r>
      <w:r>
        <w:rPr/>
        <w:t>行情、复权、修复原记录：</w:t>
      </w:r>
      <w:r>
        <w:rPr/>
        <w:t>data/market_snapshot_locked.json</w:t>
      </w:r>
      <w:r>
        <w:rPr/>
        <w:t>，</w:t>
      </w:r>
      <w:r>
        <w:rPr/>
        <w:t>data/history/S005.json</w:t>
      </w:r>
      <w:r>
        <w:rPr/>
        <w:t>。</w:t>
      </w:r>
      <w:r>
        <w:br w:type="page"/>
      </w:r>
    </w:p>
    <w:p>
      <w:pPr>
        <w:pStyle w:val="Heading1"/>
        <w:rPr/>
      </w:pPr>
      <w:bookmarkStart w:id="6" w:name="__RefHeading___Toc47879_312338234"/>
      <w:bookmarkEnd w:id="6"/>
      <w:r>
        <w:rPr>
          <w:color w:val="000000"/>
        </w:rPr>
        <w:t xml:space="preserve">商汤 </w:t>
      </w:r>
      <w:r>
        <w:rPr>
          <w:color w:val="000000"/>
        </w:rPr>
        <w:t>00020 HK</w:t>
      </w:r>
    </w:p>
    <w:p>
      <w:pPr>
        <w:pStyle w:val="Normal"/>
        <w:rPr/>
      </w:pPr>
      <w:r>
        <w:rPr/>
        <w:t xml:space="preserve">00020.HK </w:t>
      </w:r>
      <w:r>
        <w:rPr/>
        <w:t xml:space="preserve">现价 </w:t>
      </w:r>
      <w:r>
        <w:rPr/>
        <w:t>1.20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+16.14%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+16.14%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+43.04%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+43.04%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+67.44%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+67.44%</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0.77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-35.90%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1.22HKD</w:t>
      </w:r>
      <w:r>
        <w:rPr/>
        <w:t>，期望股价回报</w:t>
      </w:r>
      <w:r>
        <w:rPr/>
        <w:t>+2.06%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0.49</w:t>
              <w:br/>
              <w:t>-58.76%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w:t>
              <w:br/>
              <w:t>+13.44%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2.01</w:t>
              <w:br/>
              <w:t>+67.10%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0.43</w:t>
              <w:br/>
              <w:t>-64.08%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1.39</w:t>
              <w:br/>
              <w:t>+16.14%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w:t>
              <w:br/>
              <w:t>+79.88%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0.25</w:t>
              <w:br/>
              <w:t>-79.26%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1.72</w:t>
              <w:br/>
              <w:t>+43.04%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w:t>
              <w:br/>
              <w:t>+162.64%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0.15</w:t>
              <w:br/>
              <w:t>-87.52%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2.01</w:t>
              <w:br/>
              <w:t>+67.44%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4.22</w:t>
              <w:br/>
              <w:t>+251.93%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+10.86%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中；官方财务和锁定量价高；分业务现金毛利、资金可转移性、金融组合比例归属及融资价中低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+19.12%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+16.14%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+21.94%</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+35.89%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+50.19%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+67.44%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+75.81%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基准日：</w:t>
      </w:r>
      <w:r>
        <w:rPr/>
        <w:t>2026</w:t>
      </w:r>
      <w:r>
        <w:rPr/>
        <w:t>年</w:t>
      </w:r>
      <w:r>
        <w:rPr/>
        <w:t>10</w:t>
      </w:r>
      <w:r>
        <w:rPr/>
        <w:t>月</w:t>
      </w:r>
      <w:r>
        <w:rPr/>
        <w:t>9</w:t>
      </w:r>
      <w:r>
        <w:rPr/>
        <w:t>日。价格：</w:t>
      </w:r>
      <w:r>
        <w:rPr/>
        <w:t>1.20</w:t>
      </w:r>
      <w:r>
        <w:rPr/>
        <w:t>港元。资料截至该日。发行人</w:t>
      </w:r>
      <w:r>
        <w:rPr/>
        <w:t>I089</w:t>
      </w:r>
      <w:r>
        <w:rPr/>
        <w:t>，证券</w:t>
      </w:r>
      <w:r>
        <w:rPr/>
        <w:t>S100</w:t>
      </w:r>
      <w:r>
        <w:rPr/>
        <w:t>。研究版本：</w:t>
      </w:r>
      <w:r>
        <w:rPr/>
        <w:t>sensetime-ai-normal-core-evsales-liquid-portfolio-lp-financing-v1.0</w:t>
      </w:r>
      <w:r>
        <w:rPr/>
        <w:t>。进取型标准，证据可信度中；财务与量价来源较强，经营拆分、金融组合归母、资金可调配性与未来融资价属于研究假设。全文单独分析该公司，不将行业共同材料计入有效汉字。</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基准本币总回报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0.7692</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1.2808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1.5680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0.4949</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1.3613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2.0052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0.4311</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1.3936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2.1586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0.2489</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1.7164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3.1517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43.04%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0.1497</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2.0093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4.2232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67.44%</w:t>
            </w:r>
          </w:p>
        </w:tc>
      </w:tr>
    </w:tbl>
    <w:p>
      <w:pPr>
        <w:pStyle w:val="Normal"/>
        <w:rPr/>
      </w:pPr>
      <w:r>
        <w:rPr/>
      </w:r>
    </w:p>
    <w:p>
      <w:pPr>
        <w:pStyle w:val="Normal"/>
        <w:rPr/>
      </w:pPr>
      <w:r>
        <w:rPr/>
        <w:t>所有价格为港元；各期无股息研究假设，价格与含分红回报相等。三年基准年化</w:t>
      </w:r>
      <w:r>
        <w:rPr/>
        <w:t>12.67%</w:t>
      </w:r>
      <w:r>
        <w:rPr/>
        <w:t>，五年基准年化</w:t>
      </w:r>
      <w:r>
        <w:rPr/>
        <w:t>10.86%</w:t>
      </w:r>
      <w:r>
        <w:rPr/>
        <w:t>。一年香港目标日前最后交易日为</w:t>
      </w:r>
      <w:r>
        <w:rPr/>
        <w:t>2027</w:t>
      </w:r>
      <w:r>
        <w:rPr/>
        <w:t>年</w:t>
      </w:r>
      <w:r>
        <w:rPr/>
        <w:t>10</w:t>
      </w:r>
      <w:r>
        <w:rPr/>
        <w:t>月</w:t>
      </w:r>
      <w:r>
        <w:rPr/>
        <w:t>7</w:t>
      </w:r>
      <w:r>
        <w:rPr/>
        <w:t>日；三年五年市场日历待公布后复核。年底判断权重</w:t>
      </w:r>
      <w:r>
        <w:rPr/>
        <w:t>25%/50%/25%</w:t>
      </w:r>
      <w:r>
        <w:rPr/>
        <w:t>，期望价</w:t>
      </w:r>
      <w:r>
        <w:rPr/>
        <w:t>1.2247</w:t>
      </w:r>
      <w:r>
        <w:rPr/>
        <w:t>港元，期望回报</w:t>
      </w:r>
      <w:r>
        <w:rPr/>
        <w:t>2.06%</w:t>
      </w:r>
      <w:r>
        <w:rPr/>
        <w:t>，权重敏感性防御</w:t>
      </w:r>
      <w:r>
        <w:rPr/>
        <w:t>1.1049</w:t>
      </w:r>
      <w:r>
        <w:rPr/>
        <w:t>、积极</w:t>
      </w:r>
      <w:r>
        <w:rPr/>
        <w:t>1.3445</w:t>
      </w:r>
      <w:r>
        <w:rPr/>
        <w:t>港元。未来融资与流动性不存在保证。</w:t>
      </w:r>
    </w:p>
    <w:p>
      <w:pPr>
        <w:pStyle w:val="Heading2"/>
        <w:rPr/>
      </w:pPr>
      <w:r>
        <w:rPr>
          <w:color w:val="000000"/>
        </w:rPr>
        <w:t>投资结论</w:t>
      </w:r>
    </w:p>
    <w:p>
      <w:pPr>
        <w:pStyle w:val="Normal"/>
        <w:rPr/>
      </w:pPr>
      <w:r>
        <w:rPr/>
        <w:t>商汤的研究结论是长于短、条件多于表面目标价所暗示的确定性。生成式人工智能收入已占主体，经常特征收入增长迅速，计算基础设施与模型的协同有实际业务基础；但基准日股价仍处于日线和周线下降趋势，首次国际财务报告准则盈利也没有证明核心业务已经赚到现金。半年得分较低，一年属于观察和条件兑现梯队，三年、五年可列成长候选梯队。最终全名单名次由统一评分计算，不能把这里的中长期分数解释成获利概率，也不能因为价格低于两港元就推断便宜。</w:t>
      </w:r>
    </w:p>
    <w:p>
      <w:pPr>
        <w:pStyle w:val="Normal"/>
        <w:rPr/>
      </w:pPr>
      <w:r>
        <w:rPr/>
        <w:t>基准情景的核心条件是企业付费需求增长能够覆盖模型研发、算力折旧和资本开支，生成式业务现金毛利率逐步提升，客户付款不持续落后于收入确认，并能在不大幅损害普通股股东权益的情况下配置金融资产和外部资金。该情景下，公司正常归母盈利在二〇三〇年才转正，远晚于上半年的账面扭亏。这个时间差决定了公司不能直接使用上半年六亿元盈利乘二再套成熟软件公司的市盈率。当前股价对于真实经营转折仍有要求，投资逻辑主要依靠后续验证。</w:t>
      </w:r>
    </w:p>
    <w:p>
      <w:pPr>
        <w:pStyle w:val="Normal"/>
        <w:rPr/>
      </w:pPr>
      <w:r>
        <w:rPr/>
        <w:t>悲观路径包括模型服务同质化、推理单价快速下降、企业项目回款拖延、计算设备投入回收期拉长以及股权融资价格持续走低。模型里悲观五年价格约一角五分港元，并不是预测某一日期必然破产，也不是最大损失边界。它显示即使通过持续融资维持经营，普通股每股价值仍可能被现金消耗与摊薄严重侵蚀。乐观情景则要求任务交付成为高价值产品，客户持续使用和复购能够形成规模收益，海外市场拓展与国内算力复用共同改善利润，条件比一句“人工智能需求增长”具体得多。</w:t>
      </w:r>
    </w:p>
    <w:p>
      <w:pPr>
        <w:pStyle w:val="Normal"/>
        <w:rPr/>
      </w:pPr>
      <w:r>
        <w:rPr/>
        <w:t>最需要推翻或确认推荐的证据有三类。第一，连续财报中剔除金融投资与处置后的经营亏损是否显著收窄，而不是仅公布调整净亏损改善。第二，经常特征收入和跨期确认收入的增长是否伴随应收回款、合同续签和可用资金稳定。第三，资本开支、股权激励、基金有限合伙人权益和子公司优先权是否逐步透明并受到约束。只要这些证据长期反向变化，即使行业空间继续扩大，也必须下调三年和五年评分；技术图形一时反弹不能替代经营反证。</w:t>
      </w:r>
    </w:p>
    <w:p>
      <w:pPr>
        <w:pStyle w:val="Heading2"/>
        <w:rPr/>
      </w:pPr>
      <w:r>
        <w:rPr>
          <w:color w:val="000000"/>
        </w:rPr>
        <w:t>业务结构与收入质量</w:t>
      </w:r>
    </w:p>
    <w:p>
      <w:pPr>
        <w:pStyle w:val="Normal"/>
        <w:rPr/>
      </w:pPr>
      <w:r>
        <w:rPr/>
        <w:t>二〇二六年上半年收入为二十九亿一千零九十四万六千元人民币，同比增长百分之二十三点四。生成式人工智能收入约二十三亿二千七百二十万元，增长百分之二十八点二，占总收入百分之七十九点九；计算机视觉收入约四亿九千六百八十万元，增长百分之十三点九；其余业务约八千六百九十万元。这个结构显示公司从早期视觉项目导向转向模型、算力与代理应用导向。研究不能把旧业务标签的低增长简单延伸到整个集团，也不能认为生成式收入名称本身证明已具备订阅软件经济性。</w:t>
      </w:r>
    </w:p>
    <w:p>
      <w:pPr>
        <w:pStyle w:val="Normal"/>
        <w:rPr/>
      </w:pPr>
      <w:r>
        <w:rPr/>
        <w:t>收入来源至少要从产品、合同和交付方式三个角度阅读。模型调用及推理算力服务可能随着客户使用量增长，平台与代理工作流可能提高客户黏性，传统视觉解决方案仍可作为垂直行业入口；与此同时，硬件、项目分包及本地交付也可能包含在合同中。不同合同对于毛利、应收、客户续签和资本占用的影响差异很大。公司财报没有公开足以逐一还原所有产品利润的完整数据，因此本研究分业务收入与现金毛利使用代理假设，并明确保留误差，避免用笼统软件收入倍数掩盖交付成本。</w:t>
      </w:r>
    </w:p>
    <w:p>
      <w:pPr>
        <w:pStyle w:val="Normal"/>
        <w:rPr/>
      </w:pPr>
      <w:r>
        <w:rPr/>
        <w:t>公司首次披露的经常特征收入，上半年为十一亿四千四百七十万元，同比增长百分之一百二十四点四，占收入百分之三十九点三。定义是报告期内现有合同产生、在合同期间具备经常性特征的收入。它是当期收入的分类，既不是年化经常收入，也不是未来已锁定订单总额；它与生成式和视觉分类交叉，不能再相加得到更大营业规模。增长方向令人关注，但在取得合同年限、流失率、净收入留存、按量费率及客户集中度数据以前，不能给它与成熟全球订阅平台完全相同的估值。</w:t>
      </w:r>
    </w:p>
    <w:p>
      <w:pPr>
        <w:pStyle w:val="Normal"/>
        <w:rPr/>
      </w:pPr>
      <w:r>
        <w:rPr/>
        <w:t>按会计确认方式，上半年随时间确认收入十亿一千一百四十一万三千元，去年同期约三亿七千零六万三千元；在某一时点确认收入十八亿九千九百五十三万三千元。随时间确认增长与服务化方向一致，但其金额并不等于经常特征收入，合同分类也不自动等于订阅。一个多年项目同样可能随时间确认，未来新增销售仍需要人力交付。研究要观察是否能在相近员工和研发投入下取得更多付费任务，只有这样的收入增长才能改变经营杠杆，单纯改变确认时序不能提高企业价值。</w:t>
      </w:r>
    </w:p>
    <w:p>
      <w:pPr>
        <w:pStyle w:val="Normal"/>
        <w:rPr/>
      </w:pPr>
      <w:r>
        <w:rPr/>
        <w:t>客户结构有一定改善。最大客户占上半年收入约百分之十一点九，而上年同期单一主要客户占比约百分之四十点三。集中度下降降低了单一大型项目延迟的冲击，也更符合可复制平台的商业路径。然而超过一千家企业客户及新增超过一百家客户属于数量指标，不能从客户数反推平均合同额或续约价值。小客户增加可能提升覆盖面，也可能增加销售和支持成本；如果新增收入依靠高折扣或定制改造，则客户扩张不必然改善现金回报。模型没有另加“客户数乘客单价”一套重复收入。</w:t>
      </w:r>
    </w:p>
    <w:p>
      <w:pPr>
        <w:pStyle w:val="Normal"/>
        <w:rPr/>
      </w:pPr>
      <w:r>
        <w:rPr/>
        <w:t>国内收入二十四亿九千八百一十二万四千元，境外收入约四亿一千二百八十二万二千元，境外同比增长约百分之一百二十七。东南亚增长较明显，香港和中东也纳入其他地区。境外扩张给公司增加不同支付能力和需求结构的客户，但并非统一低风险市场。当地合作、人员、数据合规、硬件部署和货币结算都可能拉长现金周期。研究基准收入增长包含境外贡献，不另外增加沙特合营公司全部收入与估值；投资者应关注普通股股东享有的净收益和优先股条件，而非集团公布的总合同规模。</w:t>
      </w:r>
    </w:p>
    <w:p>
      <w:pPr>
        <w:pStyle w:val="Normal"/>
        <w:rPr/>
      </w:pPr>
      <w:r>
        <w:rPr/>
        <w:t>“</w:t>
      </w:r>
      <w:r>
        <w:rPr/>
        <w:t>一套模型系统、一个算力工厂、一个代理框架”是公司描述业务协同的方式。经济意义在于同一基础研发和硬件可以服务更多任务，减少每个客户从头构建的成本。但协同是否真实，应通过现金毛利、交付周期、设备利用率和持续付费验证。公司披露的模型能力、统一多模态架构和视觉推理测试属于公司技术声明，本研究未独立重做测试，不称其为全球最强。排行榜得分与可持续商业议价力之间还隔着成本、可靠性、行业集成、渠道和售后，模型估值不因为单次榜单名次自动提高。</w:t>
      </w:r>
    </w:p>
    <w:p>
      <w:pPr>
        <w:pStyle w:val="Heading2"/>
        <w:rPr/>
      </w:pPr>
      <w:r>
        <w:rPr>
          <w:color w:val="000000"/>
        </w:rPr>
        <w:t>行业竞争与经济前景</w:t>
      </w:r>
    </w:p>
    <w:p>
      <w:pPr>
        <w:pStyle w:val="Normal"/>
        <w:rPr/>
      </w:pPr>
      <w:r>
        <w:rPr/>
        <w:t>企业人工智能的需求有长期基础。金融、工业、零售、内容生产、公共服务和软件研发均存在可以被自动化的重复劳动，视觉和多模态任务也可连接物理场景。商汤过去的行业项目经验提供客户入口和场景数据理解，这与纯消费聊天产品有所不同。长期机会取决于能否把项目经验转化为标准化产品，而不是不断增加工程师来维持增长。如果每增加一元收入就增加相近的交付人力、算力租赁与应收占用，市场规模再大也难带来高资本回报，五年评分的商业质量维度因而仍保持审慎。</w:t>
      </w:r>
    </w:p>
    <w:p>
      <w:pPr>
        <w:pStyle w:val="Normal"/>
        <w:rPr/>
      </w:pPr>
      <w:r>
        <w:rPr/>
        <w:t>竞争来自大型互联网平台、独立模型公司、开源模型、云计算供应商与行业软件企业。大平台可通过既有客户渠道和现金流提供低价基础服务，开源模型降低客户进入门槛，行业软件企业可以把代理嵌入既有工作流。商汤需要证明其统一多模态能力、算力优化、本地部署或行业交付足以抵抗基础模型降价。不同竞争者不是完全替代，但基础调用价格下调会改变客户谈判权。基准现金毛利提升已经要求技术效率和收入组合改善，若竞争把效率节省全部传给客户，模型应同时下调毛利与销售倍数。</w:t>
      </w:r>
    </w:p>
    <w:p>
      <w:pPr>
        <w:pStyle w:val="Normal"/>
        <w:rPr/>
      </w:pPr>
      <w:r>
        <w:rPr/>
        <w:t>推理成本下降具有双重效应。一方面，同样预算可以完成更多任务，企业愿意尝试更广泛使用，现有设备产出也可能提高；另一方面，每个调用的收入与价差可能下降，早期购买的硬件相对于新设备效率可能落后。投资者不能只记录使用量增长而忽略单位收入和电力成本。公司上半年披露单位电力成本下降百分之八、节省约一千二百万元，是有方向性的效率信号，但远不足以单独解释几十亿元年度资本开支。真正的经营转折需要多种效率改进累积，且不被价格竞争抵消。</w:t>
      </w:r>
    </w:p>
    <w:p>
      <w:pPr>
        <w:pStyle w:val="Normal"/>
        <w:rPr/>
      </w:pPr>
      <w:r>
        <w:rPr/>
        <w:t>截至中报发布时计算能力约四万八千拍次，七月每日词元调用量约二点四万亿、较前期增长显著，这些属于晚于六月末的经营时点指标。它们支持公司规模扩张方向，却不能作为上半年已确认收入，更不能把调用量按未经公开的平均费率乘成销售额。外部模型客户的接入可能提高设备使用率，也可能以较低毛利的算力服务为主。模型不预设所有词元都是付费、所有客户都是长期合约或所有算力都是满负荷，估值只通过财报可验证的收入及研究现金毛利体现。</w:t>
      </w:r>
    </w:p>
    <w:p>
      <w:pPr>
        <w:pStyle w:val="Normal"/>
        <w:rPr/>
      </w:pPr>
      <w:r>
        <w:rPr/>
        <w:t>国内经济增速与企业预算会影响项目落地。企业即使认可人工智能，预算收紧时仍可能先试点，再延迟全面部署；政府和国有客户的审批与付款流程也可能滞后。降息有助于融资和估值，但商汤依靠现金、定存和理财取得的收益可能下降，利息收入改善不能永久支撑亏损业务。不同宏观变量在模型中作用方向不同，因此不把“降息利好科技”作为全部解释。基准经营增长与回款已经独立设置，利率只作用于融资与财资，防止同一宏观利好被多次计分。</w:t>
      </w:r>
    </w:p>
    <w:p>
      <w:pPr>
        <w:pStyle w:val="Normal"/>
        <w:rPr/>
      </w:pPr>
      <w:r>
        <w:rPr/>
        <w:t>美国出口限制、国产硬件供给和软件生态会影响高端算力的采购、利用效率和维护成本。国产替代可增加本地部署机会，也可能要求重新适配模型和运维流程。公司计划持续建设国产算力中心，香港科学园的长期算力计划以及海外集群同样需要资本和电力。研究没有把二〇三〇年计划规模视作截止日已建成资产，也没有给计划单独加一笔估值。计划实施快于客户现金收入时反而会提高融资风险；执行阶段应重点跟踪采购付款、设备折旧、已锁定客户和可兑现容量收益。</w:t>
      </w:r>
    </w:p>
    <w:p>
      <w:pPr>
        <w:pStyle w:val="Heading2"/>
        <w:rPr/>
      </w:pPr>
      <w:r>
        <w:rPr>
          <w:color w:val="000000"/>
        </w:rPr>
        <w:t>财务实绩与正常盈利</w:t>
      </w:r>
    </w:p>
    <w:p>
      <w:pPr>
        <w:pStyle w:val="Normal"/>
        <w:rPr/>
      </w:pPr>
      <w:r>
        <w:rPr/>
        <w:t>上半年毛利十二亿零六百二十三万六千元，毛利率约百分之四十一点四，比上年同期提高约二点九个百分点，毛利增长超过收入增长。销售费用二亿七千零九十三万三千元，管理费用五亿一千七百九十九万五千元，研发费用十七亿五千五百五十八万五千元。只扣这三项费用，毛利之后仍亏十三亿三千八百二十七万七千元。增加政府补助与税收返还、减计信用减值净收益后的正常核心经营亏损仍约十一亿八千九百六十二万二千元。这才是模型与现阶段经营状况连接的起点。</w:t>
      </w:r>
    </w:p>
    <w:p>
      <w:pPr>
        <w:pStyle w:val="Normal"/>
        <w:rPr/>
      </w:pPr>
      <w:r>
        <w:rPr/>
        <w:t>账面经营利润九亿四千五百一十五万五千元、归母利润六亿零七百四十二万元，主要因为其他收益净额二十一亿二千七百四十五万五千元。该项目包括金融资产公允价值收益四十五亿八千八百零八万四千元，减有限合伙人基金净值增加三十一亿九千七百六十三万四千元，再包含子公司处置收益五亿二千一百零二万四千元、投资处置收益八千零三十九万七千元与汇兑等。金融资产获益并非全属于普通股股东，收益与现金入账也不一致，不能把这一组数字视作模型服务客户支付的经营利润。</w:t>
      </w:r>
    </w:p>
    <w:p>
      <w:pPr>
        <w:pStyle w:val="Normal"/>
        <w:rPr/>
      </w:pPr>
      <w:r>
        <w:rPr/>
        <w:t>子公司处置收益尤其需要区别。上半年某些子公司失去控制后变为合营或联营，保留权益按公允价值重新衡量四亿五千九百六十万元，加转出的净负债约六千一百四十二万四千元，产生五亿二千一百零二万四千元会计收益。但现金流披露子公司处置净现金流出一亿三千零九万九千元。两者同时成立，不代表财报矛盾；会计处理重估了剩余权益，而现金可能随被处置子公司离开合并范围。模型剔除此类收益，不另把其会计金额加作可用现金，防止估值和资金跑道同时被夸大。</w:t>
      </w:r>
    </w:p>
    <w:p>
      <w:pPr>
        <w:pStyle w:val="Normal"/>
        <w:rPr/>
      </w:pPr>
      <w:r>
        <w:rPr/>
        <w:t>公司调整净亏损约三亿八千五百九十万元，同比收窄，但这仍不是完全清洁的正常利润。公司调整主要加回优先股公允价值变动和股份支付、扣除未实现金融收益并处理有限合伙人净值；处置收益及部分其他项目仍可能留在其中。研究不能因为名称含“调整”就默认全部一次性已排除。本模型保留股份支付为真实利润成本，排除全部金融组合估值、处置、联营波动和不确定汇兑，只对政府补助与返还单独预算，因而盈利路径比直接引用公司调整亏损转折更保守。</w:t>
      </w:r>
    </w:p>
    <w:p>
      <w:pPr>
        <w:pStyle w:val="Normal"/>
        <w:rPr/>
      </w:pPr>
      <w:r>
        <w:rPr/>
        <w:t>二〇二五年收入五十亿一千四百六十四万元，毛利二十亿五千六百四十二万四千元，归母亏损十七亿六千五百九十二万九千元，经营现金流净流出三亿零一百一十四万二千元。经营现金流改善有营运资本释放贡献：调整后的经营前现金流约流出十四亿三千零一十一万一千元，资产负债变化净释放约十一亿三千八百六十七万元。应付款增加贡献显著，不能认为当年现金流接近零就意味着长期经营已接近收支平衡。增长阶段如果供应商付款周期正常化，现金占用会再次上升。</w:t>
      </w:r>
    </w:p>
    <w:p>
      <w:pPr>
        <w:pStyle w:val="Normal"/>
        <w:rPr/>
      </w:pPr>
      <w:r>
        <w:rPr/>
        <w:t>上半年经营现金流净流出七亿六千三百七十三万一千元，显著低于账面盈利。设备和无形资产购买现金合计二十三亿三千七百零六万三千元；仅经营与这两项投入合并，就有约三十一亿元资金流出。集团现金余额仍大，部分原因是配售、借款及外部基金资金进入，不能只看期末余额而忽略来源。公司可以在持续亏损阶段保持较强流动性，但普通股股东要评估融资换来多少长期价值，资本开支若只是维持竞争力而没有形成高回报，收入增长也可能无法补偿稀释。</w:t>
      </w:r>
    </w:p>
    <w:p>
      <w:pPr>
        <w:pStyle w:val="Normal"/>
        <w:rPr/>
      </w:pPr>
      <w:r>
        <w:rPr/>
        <w:t>费用按性质包括员工成本十一亿六千五百七十九万二千元、硬件与项目分包十一亿五千二百四十万四千元、折旧摊销七亿三千二百七十二万元、服务器运行及云服务七亿二千九百一十六万元。不同成本不会随收入等比例变化。研发人员具有固定投入性质，云服务可能与使用量关联，硬件交付成本与项目组合有关，折旧取决于过去投资和寿命。本模型把现金毛利与现金费用分开，避免同时把折旧留在毛利又在经营利润重复扣除；同时不将折旧加回后的利润视为自由现金流。</w:t>
      </w:r>
    </w:p>
    <w:p>
      <w:pPr>
        <w:pStyle w:val="Normal"/>
        <w:rPr/>
      </w:pPr>
      <w:r>
        <w:rPr/>
        <w:t>股份支付上半年二亿二千五百三十七万六千元，包含在员工成本；固定资产折旧六亿四千二百九十三万五千元，使用权折旧四千零六万四千元，无形资产摊销四千九百七十二万一千元，合计与费用按性质表相符。成本项中折旧摊销约二亿九千六百四十八万元，剩余分布于销售、管理和研发。股票报酬可以减少现金工资，但会给现有股东增加股份权益成本。本模型在利润中扣股份支付、在资金中加回，同时单独增加待发行奖励与未来新奖励，不用“非现金”字样消除其经济代价。</w:t>
      </w:r>
    </w:p>
    <w:p>
      <w:pPr>
        <w:pStyle w:val="Heading2"/>
        <w:rPr/>
      </w:pPr>
      <w:r>
        <w:rPr>
          <w:color w:val="000000"/>
        </w:rPr>
        <w:t>营运资本 资金与资产归属</w:t>
      </w:r>
    </w:p>
    <w:p>
      <w:pPr>
        <w:pStyle w:val="Normal"/>
        <w:rPr/>
      </w:pPr>
      <w:r>
        <w:rPr/>
        <w:t>净应收账款由二〇二五年末约二十五亿一千零四十万元增加到上半年三十七亿六千二百九十万元，毛额约七十亿三千九百四十万元，累计减值约三十二亿七千六百五十万元。这一减值存量反映部分历史合同的回收风险，并非本期全部新坏账。收入增长带来的新应收需要与已收现金对照，历史减值转回也不能简单代表客户付款。研究最关心账龄、回款集中度及相关方应收；当净应收增长长期超过收入时，应下调现金毛利的可实现程度，不能等待账面亏损出现才调整推荐。</w:t>
      </w:r>
    </w:p>
    <w:p>
      <w:pPr>
        <w:pStyle w:val="Normal"/>
        <w:rPr/>
      </w:pPr>
      <w:r>
        <w:rPr/>
        <w:t>上半年没有足够完整的经营现金流调整附注来精确拆出所有非现金项目与营运资本。本研究以正常核心经营亏损加股份支付、折旧计算的现金经营代理，与财报现金使用数之间保留约五亿元差额，称为现金流校准残差，不能全部宣称为纯营运资本增加。其可能包含补助收付时差、信用调整、已剔除项目及分类差异。未来模型的营运资本输入是额外经营现金占用假设，信用损失作为预期回款折损预算，因此没有再无条件加回该研究损失；这一保守边界需要与正式账龄资料共同更新。</w:t>
      </w:r>
    </w:p>
    <w:p>
      <w:pPr>
        <w:pStyle w:val="Normal"/>
        <w:rPr/>
      </w:pPr>
      <w:r>
        <w:rPr/>
        <w:t>六月末现金九十八亿七千七百二十四万四千元、定存三十一亿二千四百零二万一千元、非保本理财七亿四千一百七十七万六千元，合计一百三十七亿四千三百零四万一千元人民币。受限现金一亿零一百八十五万四千元排除。合计是合并口径可用财资财富，不是母公司可以当天全部转出的现金。模型再留悲观十五亿元、基准七点五亿元、乐观五亿元的不可自由调配风险储备；这属于研究折扣，不能说财报已逐一披露相同受限金额，也不能将非保本理财叫作银行现金。</w:t>
      </w:r>
    </w:p>
    <w:p>
      <w:pPr>
        <w:pStyle w:val="Normal"/>
        <w:rPr/>
      </w:pPr>
      <w:r>
        <w:rPr/>
        <w:t>集团长期金融资产一百二十七亿八千零六十四万八千元，包含带优先权的未上市投资、债券、基金、上市和非上市股权。其中上市股权约五十亿三千二百六十二万八千元，估值变动对账面利润影响巨大；其他资产流动性、赎回权和回收能力各异。带有赎回条款的投资会按债务工具会计分类，但这并不保证被投资企业能在压力情景中足额兑付。研究不给全部金融资产现金等价物待遇，使用组合回收折扣并扣有限合伙人权益，明确这是资料不足下的组合代理而非精确逐项净值。</w:t>
      </w:r>
    </w:p>
    <w:p>
      <w:pPr>
        <w:pStyle w:val="Normal"/>
        <w:rPr/>
      </w:pPr>
      <w:r>
        <w:rPr/>
        <w:t>外部有限合伙人净资产权益五十三亿零一百五十一万一千元在财报列金融负债，它与基金资产估值共同变动。若将长期金融资产全部相加，却不扣这项权益，会高估普通股股东资产；若再扣有限合伙人累计注资金额，则可能把同一权益重复扣除。本研究只扣净值权益，资产和权益适用同样组合变化及退出比例，保留归母组合约七十四亿七千九百一十三万七千元的原始差額。基准再乘百分之八十五回收率；精确分配、基金收益优先顺序和管理费未完全公开，因此这个数字不能称作可核母公司净现金。</w:t>
      </w:r>
    </w:p>
    <w:p>
      <w:pPr>
        <w:pStyle w:val="Normal"/>
        <w:rPr/>
      </w:pPr>
      <w:r>
        <w:rPr/>
        <w:t>北京基金于二〇二一年八月设立、期限八年，二〇二九年的潜在退出构成中期资金事件。基金到期不等于全部资产立即现金化，可能延长、分配实物资产或遭遇市场折价。模型仅研究二〇二九年出售组合的一半，外部权益按相同比例退出，归母净回收部分进入资金，同时减少金融资产余值；另留百分之十处置成本、税费与不确定性准备。没有把回收现金和出售前资产同时相加。若届时不能退出，基准现金低点会降低，融资需求可能提前，三年推荐必须重新计算。</w:t>
      </w:r>
    </w:p>
    <w:p>
      <w:pPr>
        <w:pStyle w:val="Normal"/>
        <w:rPr/>
      </w:pPr>
      <w:r>
        <w:rPr/>
        <w:t>集团投资物业账面二十五亿零七百八十四万五千元，已作为借款抵押，有租赁收入和未来最低收租资料。由于财报未充分拆出独立租赁经营利润及具体收入分类，本研究没有把物业净值另加到模型里，同时保留相关收入在营业收入的现有范围。否则既以收入倍数估营业价值，又加物业资产，可能重复计量。设备、计算中心和办公建筑也不另按账面值加给经营价值，因为模型销售倍数已假设这些资产支持服务交付。账面资产有用，但不能每项都转成增量普通股价值。</w:t>
      </w:r>
    </w:p>
    <w:p>
      <w:pPr>
        <w:pStyle w:val="Normal"/>
        <w:rPr/>
      </w:pPr>
      <w:r>
        <w:rPr/>
        <w:t>借款账面六十亿七千六百四十四万四千元，包括三百三十九万三千元应计利息；本金约六十亿七千三百零五万一千元。基准资金桥从本金开始，应计利息在首期付一次。租赁负债二亿零四百七十六万三千元另列。模型以完整租赁现金支付、加回利润中的租息处理资金，租赁本金同时减少负债，新增租约增加负债，避免将租息重复扣两次。短期租赁与服务器云服务若已在现金费用中则不再作为融资租赁重复扣除，未来租赁改变时必须保持利润与现金口径同步。</w:t>
      </w:r>
    </w:p>
    <w:p>
      <w:pPr>
        <w:pStyle w:val="Normal"/>
        <w:rPr/>
      </w:pPr>
      <w:r>
        <w:rPr/>
        <w:t>借款具有抵押和保证安排，并有重要子公司的贷款契约要求。约十八亿三千六百万元贷款涉及资产负债比率、利息覆盖、偿债覆盖、净资产和收入约束，上半年披露合规，管理层认为年末可继续满足。研究不会把这一管理层判断扩展为未来多年保证。中报的六个月、十二个月等期限表描述利率风险及重新定价日期，不能全部说成严格本金到期日。融资压力不仅来自利率，还来自保证主体、抵押资产和契约指标；即使集团现金很高，个别子公司资金与集团转移限制也可能影响借款续作。</w:t>
      </w:r>
    </w:p>
    <w:p>
      <w:pPr>
        <w:pStyle w:val="Heading2"/>
        <w:rPr/>
      </w:pPr>
      <w:r>
        <w:rPr>
          <w:color w:val="000000"/>
        </w:rPr>
        <w:t>优先权 融资与股份经济</w:t>
      </w:r>
    </w:p>
    <w:p>
      <w:pPr>
        <w:pStyle w:val="Normal"/>
        <w:rPr/>
      </w:pPr>
      <w:r>
        <w:rPr/>
        <w:t>中东子公司优先股负债约十二亿一千一百七十九万三千元，合作方持有四十九股优先股，集团持有五十一股普通股。首期认购一亿五千五百万美元，第二期五千二百万美元有条件，本期没有新收款。合作方在特定事件发生时有要求收购其优先股的权利，清算或行使相关权利时涉及百分之八优先回报。流动负债分类源于其可以随时转换，不等于公司必须在年底现金偿还全部。本模型保留负债作为普通股估值扣项，没有同时假定第二期资金必然进入或转换后再加全部子公司价值。</w:t>
      </w:r>
    </w:p>
    <w:p>
      <w:pPr>
        <w:pStyle w:val="Normal"/>
        <w:rPr/>
      </w:pPr>
      <w:r>
        <w:rPr/>
        <w:t>其他摊销成本优先权负债一亿六千六百二十二万四千元，部分由非控制股东注资形成，附带集团无法完全控制的赎回条件。上半年新增五千万元在会计上既确认非控制权益、又从其他储备反映相关负债，因此不能机械地把非控制权益一亿四千四百三十万二千元全部扣一次，再把同一优先权负债全额扣一次。模型扣优先权负债，另留悲观一亿五千万元、基准一亿元、乐观八千万元残余非控制经济权益代理。这个处理防止已知重复，并承认完整经济分配仍有不确定性，后续应以合同明细替换代理。</w:t>
      </w:r>
    </w:p>
    <w:p>
      <w:pPr>
        <w:pStyle w:val="Normal"/>
        <w:rPr/>
      </w:pPr>
      <w:r>
        <w:rPr/>
        <w:t>四月配售十七亿股，每股一点九一港元，净款约三十二亿三千万港元，财报人民币入账二十八亿三千一百零五万五千元。该笔资金已包含六月末财资，不再作为未来收入或再次添加现金。配售价高于基准日一点二零港元，说明融资时点会显著影响现有股东稀释。股价下跌不会直接拿走已取得资金，但未来同等现金需求需要发行更多股份。不能因公司过去成功配售就保证未来可以在类似价格融资；悲观模型让融资价下降，展示同一业务亏损如何通过股份数量放大每股损害。</w:t>
      </w:r>
    </w:p>
    <w:p>
      <w:pPr>
        <w:pStyle w:val="Normal"/>
        <w:rPr/>
      </w:pPr>
      <w:r>
        <w:rPr/>
        <w:t>九月末法律总股数四百二十二亿一千六百五十九万零七百零三股，包含五亿零九百八十四万四千三百七十三股甲类和四百一十七亿零六百七十四万六千三百三十股乙类。甲类转乙类只改变类别，不增加经济股份。估值使用甲乙合计，与部分行情网站按乙类股显示的市值可能不同。现有员工信托持股属于已发行法律股份，出售或归属可增加市场供给但不再新增法律股数；会计计算每股利润时扣未归属股的规则与交易所库存股披露不同，模型从完整法律总股起算，避免低估潜在经济摊薄。</w:t>
      </w:r>
    </w:p>
    <w:p>
      <w:pPr>
        <w:pStyle w:val="Normal"/>
        <w:rPr/>
      </w:pPr>
      <w:r>
        <w:rPr/>
        <w:t>九月月报披露二〇二二年奖励计划待发行约二十三亿六千九百二十一万八千三百九十五股，模型按二〇二七至二〇三二年研究排期进入股数。二〇二五年九月的大额绩效奖励、二〇二六年一月奖励及后来员工授予均受绩效和归属条件约束，不能把全部待发行当成今年立即发出，也不能因未计费用就忽略未来权益。九月新增一亿二千七百五十四万零四百六十二份奖励，最早归属不少于十二个月，故本模型二〇二六年下半年没有凭空安排此项新增股。未来新增奖励另设研究预算，不声称董事会已批准。</w:t>
      </w:r>
    </w:p>
    <w:p>
      <w:pPr>
        <w:pStyle w:val="Normal"/>
        <w:rPr/>
      </w:pPr>
      <w:r>
        <w:rPr/>
        <w:t>首次公开发行前期权由既有信托股份支持，模型不将所有期权行权再作为新增股，却允许员工行权现金进入资金；具体未来现金按保守预算，且不是承诺。股份支付费用与归属股数不是逐年机械同额，因为授予公允价值、绩效判断和归属期不同。模型清楚区分费用、现金与新发行股，使投资者能够修改其中一项检查影响。股权激励有助于保留研发人员，但如果现金利润恢复持续推迟而奖励持续扩大，技术人才价值可能主要被员工分享，普通股股东的每股收益反而难以改善。</w:t>
      </w:r>
    </w:p>
    <w:p>
      <w:pPr>
        <w:pStyle w:val="Heading2"/>
        <w:rPr/>
      </w:pPr>
      <w:r>
        <w:rPr>
          <w:color w:val="000000"/>
        </w:rPr>
        <w:t>量价 技术形态与半年判断</w:t>
      </w:r>
    </w:p>
    <w:p>
      <w:pPr>
        <w:pStyle w:val="Normal"/>
        <w:rPr/>
      </w:pPr>
      <w:r>
        <w:rPr/>
        <w:t>基准日收盘一点二零港元，日线样本七百三十九日、周线一百五十七周，至少三年价格历史按锁定快照统一复权并归一至基准名义价。二十、六十、一百二十、二百五十日均线分别一点二三三、一点三六四八三三、一点五一八八三三、一点九零九六八港元，现价低于其百分之二点六八、十二点零八、二十点九九、三十七点一六。四均线五日斜率均向下，说明中短长期压力尚未消除。低价区域与已经确认底部是不同命题，目前数据仅支持接近阶段低位。</w:t>
      </w:r>
    </w:p>
    <w:p>
      <w:pPr>
        <w:pStyle w:val="Normal"/>
        <w:rPr/>
      </w:pPr>
      <w:r>
        <w:rPr/>
        <w:t>二十日回报负百分之八点零五，六十日回报负百分之十三点六七，相对市场超额分别负百分之五点零七和十点四八；相对恒生科技粗粒度行业基准约负百分之四点九八和零点五零。短期明显弱于市场，六十日与行业的差距较小，显示行业环境和个股压力同时存在。恒生科技不是纯人工智能软件指数，其比较只能说明大型科技背景，不能把细行业优势精确量化。评分仅将趋势、量能和相对表现共同归入技术维度，不让多个相似指标重复提高或降低同一风险的权重。</w:t>
      </w:r>
    </w:p>
    <w:p>
      <w:pPr>
        <w:pStyle w:val="Normal"/>
        <w:rPr/>
      </w:pPr>
      <w:r>
        <w:rPr/>
        <w:t>最近二十日区间一点一三至一点三一五港元，现价距下沿负百分之五点八三，距上沿正百分之九点五八；六十日上沿一点六二港元，对应正百分之三十五。区间高低点是未经触碰次数筛选的观察位，不是经过验证的不可跌破支撑或必达目标。首先观察能否稳在一点一三之上并重获二十日均线，再看突破一点三一五是否伴随持续量能与相对强弱改善。即使上破一点三一五，六十日均线附近及一点五二、一点六二仍有压力，不应将一次突破直接等同长期反转。</w:t>
      </w:r>
    </w:p>
    <w:p>
      <w:pPr>
        <w:pStyle w:val="Normal"/>
        <w:rPr/>
      </w:pPr>
      <w:r>
        <w:rPr/>
        <w:t>五十二周最高二点九四、最低一点一三港元，现价距最高跌约百分之五十九点一八，最大区间回撤约百分之六十点五五。大幅回撤既说明市场预期已降温，也提示过去的高估值不能轻易作为回归目标。以前的高点可能对应不同流动性、竞争和盈利预期；若收入倍数长期下降，股价并不需要回到旧高。半年技术评估因而先要求趋势证据，而不是仅凭跌幅推算反弹空间。乐观两港元左右的半年情景要求经营和市场共同改善，没有把二点九四旧高设为自然磁力位。</w:t>
      </w:r>
    </w:p>
    <w:p>
      <w:pPr>
        <w:pStyle w:val="Normal"/>
        <w:rPr/>
      </w:pPr>
      <w:r>
        <w:rPr/>
        <w:t>当日成交三亿七千六百六十六万九千二百股，成交额约四亿四千一百二十九万六千六百八十四港元，股量与手数严格区别。五、二十、六十日平均股量约二点一一、二点九一、四点五一亿股，最近成交活跃度比六十日均值下降。当日量比按此前二十日均量为一点三零六七，不是盘中同时间段逐笔量比。放量可以说明参与增加，但必须结合价格方向；单日量比高于一并不能证明资金买入优于卖出，更不能直接断言大机构吸筹。</w:t>
      </w:r>
    </w:p>
    <w:p>
      <w:pPr>
        <w:pStyle w:val="Normal"/>
        <w:rPr/>
      </w:pPr>
      <w:r>
        <w:rPr/>
        <w:t>最近二十日上涨七日、下跌十二日、平盘一日，上涨日总量约二十一点四八亿股、下跌日三十三点二七亿股，比例零点六四六。下跌交易日承载更多股量，尚未出现明确持续的上涨量能优势。该指标受日数不对称影响，不能单独判断所有卖出者身份，但与下降均线和相对弱势共同构成半年低技术分证据。若未来上涨日数量与平均成交都改善，并且回踩时成交收缩，判断可以逐步修订；没有逐笔成交，本研究不绘制声称精确的持仓成本分布，也不推断所谓主力成本。</w:t>
      </w:r>
    </w:p>
    <w:p>
      <w:pPr>
        <w:pStyle w:val="Normal"/>
        <w:rPr/>
      </w:pPr>
      <w:r>
        <w:rPr/>
        <w:t>总法律股量换手代理约百分之零点八九二，不是自由流通换手率；分母包括甲类、员工信托等经济股份，实际可交易股份可能更少。周线二十、六十、一百二十周均线约一点三九七七五、一点九五二五八三、一点七一八三七五港元，现价均在下方，二十周斜率负百分之十一点零一。二百五十周历史不足，保留缺失，不能补造。最近周量相对周均量约零点四六六，上涨下跌周量比约零点六六，周级别尚未支持明确反转，半年观察必须同时等待日周结构转好。</w:t>
      </w:r>
    </w:p>
    <w:p>
      <w:pPr>
        <w:pStyle w:val="Normal"/>
        <w:rPr/>
      </w:pPr>
      <w:r>
        <w:rPr/>
        <w:t>日线相对强弱指标约四十二点一三，周线约三十二点九一，并未提供独立强买入信号；日线平滑异同移动平均柱略转正但差值很小，周线仍弱。日均真实波幅约零点零五六六港元、占价百分之四点七二，周波幅约百分之十三点四四，提示低价股短期波动可很大。这些指标只辅助识别节奏，不能重复计分或决定年底估值。技术判断失效条件包括明显跌破一点一三且未迅速收复、反弹无法保持二十日均线、放量下跌延续，或公司出现融资、回款和经营重大负面变化。</w:t>
      </w:r>
    </w:p>
    <w:p>
      <w:pPr>
        <w:pStyle w:val="Heading2"/>
        <w:rPr/>
      </w:pPr>
      <w:r>
        <w:rPr>
          <w:color w:val="000000"/>
        </w:rPr>
        <w:t>估值方法与模型边界</w:t>
      </w:r>
    </w:p>
    <w:p>
      <w:pPr>
        <w:pStyle w:val="Normal"/>
        <w:rPr/>
      </w:pPr>
      <w:r>
        <w:rPr/>
        <w:t>本研究采用营业价值加净金融资产的单套活动模型。营业价值等于目标时点未来十二个月收入乘情景企业价值收入倍数，净金融资产来自年度经营、资本开支、债务、租赁、优先权、组合退出及股权融资滚动，最后除以前瞻法律股份并换算港元。没有把现金流折现结果与收入倍数相加，也没有给每项算力设备再估一笔资产。成熟盈利公司可以用市盈率，商汤现阶段正常盈利仍负，收入倍数更适合表达市场对盈利路径的预期，但必须同时检查现金消耗和可实现长期利润率。</w:t>
      </w:r>
    </w:p>
    <w:p>
      <w:pPr>
        <w:pStyle w:val="Normal"/>
        <w:rPr/>
      </w:pPr>
      <w:r>
        <w:rPr/>
        <w:t>当前法律总市值约五百零六亿六千万元港币，按研究换算一点一港元兑一元人民币约四百六十亿五千万元人民币。账面净资产约三百零一亿元，表面市净率约一点五三倍，但净资产包含金融组合、长期设备、应收和潜在优先权，因此不能与高流动性现金账户类比。基准六月净金融资产经过组合回收折扣、不可调配储备和优先权扣除后，明显低于整个净资产。收入倍数也要区别权益市值和企业价值，本模型加入净资产桥，避免把普通股价格收入比直接作为经营倍数使用。</w:t>
      </w:r>
    </w:p>
    <w:p>
      <w:pPr>
        <w:pStyle w:val="Normal"/>
        <w:rPr/>
      </w:pPr>
      <w:r>
        <w:rPr/>
        <w:t>现金毛利代理以生成式、视觉和其他收入分别设置。上半年成本中的股份支付未完整分业务公开，研究暂取二千万元分配至销售成本，剩余股份支付分配给销售、管理和研发；这不是官方分部利润。把成本折旧与该股份支付加回，得到现金毛利代理十五亿二千二百七十一万六千元，同时从总利润扣回全部折旧及股份支付，严格对接正常核心经营亏损。这种方法允许模拟算力现金成本与资本开支的不同时间，但假设误差会影响毛利率，使用者应修改代理并查看结果，不能把小数位视为经济精度。</w:t>
      </w:r>
    </w:p>
    <w:p>
      <w:pPr>
        <w:pStyle w:val="Normal"/>
        <w:rPr/>
      </w:pPr>
      <w:r>
        <w:rPr/>
        <w:t>二〇二六年营业、折旧、股份支付与资本开支输入为全年预算，计算资金时扣已知上半年实际得到下半年部分；其他融资、租赁、营运资本与权益输入从下半年直接开始。首期所得税按下半年正常税前利润及独立现金税时差预算，既不年化上半年税费，也不声称等于全年税费减实绩。二〇二七年起年度完整计算。目标时点营业收入用当年和下一年全年预算按日历权重拼接未来十二个月，余额和股份使用年度内线性代理；年底利润对下半年正常利润年化进行近似，注明季节性不足。该近似不等同逐月已签订单预测，半年资料公布后应替换；它比把财报全年流量和半年余额不加区分直接混用更可追踪。</w:t>
      </w:r>
    </w:p>
    <w:p>
      <w:pPr>
        <w:pStyle w:val="Normal"/>
        <w:rPr/>
      </w:pPr>
      <w:r>
        <w:rPr/>
        <w:t>模型基准二〇二六年全年收入六十五亿元，二〇二七年八十三亿元，二〇二八年一百零四亿元，二〇二九年一百二十八点二亿元，二〇三一年一百八十一点九亿元。这要求生成式业务持续增长，但明显没有按词元二十二倍增长外推收入。生成式现金毛利从百分之五十四逐步到百分之六十七，视觉现金毛利假设百分之四十六；折旧从二〇二六年十五亿元上升到二〇三一年三十点五亿元，研发现金投入也增长。收入规模和现金效率必须同时兑现，不能靠永久压缩研发而维持技术竞争力。</w:t>
      </w:r>
    </w:p>
    <w:p>
      <w:pPr>
        <w:pStyle w:val="Normal"/>
        <w:rPr/>
      </w:pPr>
      <w:r>
        <w:rPr/>
        <w:t>基准二〇二七年正常归母亏损约十八点八五亿元，二〇二八年十二点二七亿元，二〇二九年仍小幅亏约一点一七亿元，二〇三〇年盈利约十点四四亿元，二〇三一年约二十二点二二亿元。它比部分券商口径二〇二八年调整盈利更慢，主要因为保留股份支付、设备折旧并排除投资收益。二〇二九年后盈利改善要求设备和模型复用达到规模，不能只是会计减少折旧。相应现金经营流在利润转正前可以转正，但年度资本开支仍高，投资者应始终把自由资金变化与正常利润分开看。</w:t>
      </w:r>
    </w:p>
    <w:p>
      <w:pPr>
        <w:pStyle w:val="Normal"/>
        <w:rPr/>
      </w:pPr>
      <w:r>
        <w:rPr/>
        <w:t>基准未来资本开支二〇二七年三十八亿元、二〇二八年三十五亿元、二〇二九年三十二亿元，后期维持三十亿元以上规模。六月末起点经储备扣除后，二〇二六年末可用资金约一百零五点四四亿元，二〇二八年低至四十二点零六亿元；研究二〇二九年组合部分退出使资金回升到六十二点九亿元。这条路径没有新增普通股融资，但依赖金融组合可按假设变现和客户回款。若这些条件未发生，必须启动模型最低三十亿元资金保护与自动融资，不可继续使用原无融资每股价格。</w:t>
      </w:r>
    </w:p>
    <w:p>
      <w:pPr>
        <w:pStyle w:val="Normal"/>
        <w:rPr/>
      </w:pPr>
      <w:r>
        <w:rPr/>
        <w:t>悲观情景生成式增长放慢、现金毛利停滞且研发仍必须投入。二〇二八年开始出现权益融资，二〇二九年即使出售部分组合也继续补资金，二〇三〇年以后在更低发行价筹集同等资本需要大量新股。二〇三一年末法律股可到七百二十多亿股，二〇三二年约八百六十多亿股。融资设百分之二点五发行费，现金净得额与股数按总筹资额同步计算。模型能够保持最低资金不代表市场一定接纳融资；如果融资失败或契约触发，下行情形会比表中更差，需要独立停排或重估。</w:t>
      </w:r>
    </w:p>
    <w:p>
      <w:pPr>
        <w:pStyle w:val="Normal"/>
        <w:rPr/>
      </w:pPr>
      <w:r>
        <w:rPr/>
        <w:t>乐观情景二〇二七年收入九十四亿元、二〇二八年一百三十亿元、二〇二九年一百七十六亿元，二〇三一年二百八十四亿元。生成式现金毛利和代理交付效率改善更快，二〇二八年正常利润接近转正，之后经营现金显著增长，但资本开支也更高而非人为降到零。基准和乐观均计未来员工奖励，股份增长不会停止。乐观目标反映收入与利润共同兑现，若只有客户数量或调用增长而收费与毛利不足，不能保留乐观销售倍数；这种条件是评分上限的重要约束。</w:t>
      </w:r>
    </w:p>
    <w:p>
      <w:pPr>
        <w:pStyle w:val="Heading2"/>
        <w:rPr/>
      </w:pPr>
      <w:r>
        <w:rPr>
          <w:color w:val="000000"/>
        </w:rPr>
        <w:t>四个期限的收益来源与反证</w:t>
      </w:r>
    </w:p>
    <w:p>
      <w:pPr>
        <w:pStyle w:val="Normal"/>
        <w:rPr/>
      </w:pPr>
      <w:r>
        <w:rPr/>
        <w:t>半年基准一點三六一三港元、上涨百分之十三点四四，悲观零点四九四九、乐观二点零零五二港元。基准并非趋势已经确认的买入信号，它假设二〇二六年年报及二〇二七年早期订单能支持未来十二个月收入约八十八点六四亿元，以五倍营业收入的企业价值、时点净金融资产和前瞻股数计算。短期反弹空间受到一点三一五、一点三六五等技术压力影响。若年报正常核心亏损扩大、现金消耗高于预算或新项目毛利下降，必须下调倍数；股价放量跌破区间下沿则技术判断先失效。</w:t>
      </w:r>
    </w:p>
    <w:p>
      <w:pPr>
        <w:pStyle w:val="Normal"/>
        <w:rPr/>
      </w:pPr>
      <w:r>
        <w:rPr/>
        <w:t>一年基准一点三九三六港元、上涨百分之十六点一四，悲观零点四三一一、乐观二点一五八六。目标日对应二〇二七年中报已经公开、未来十二个月收入约九十九点零五亿元，经营倍数基准四点八倍。公司仍需承担正常亏损，收益主要来自市场逐步认可收入持续性与利润路径，不来自分红。推荐成立需要经常特征收入留存、生成式现金毛利和应收收款共同改善；如果市场看到业务只是低毛利算力转售或依赖补助，收入增长也无法支撑现有倍数，一年反证比技术反弹更重要。</w:t>
      </w:r>
    </w:p>
    <w:p>
      <w:pPr>
        <w:pStyle w:val="Normal"/>
        <w:rPr/>
      </w:pPr>
      <w:r>
        <w:rPr/>
        <w:t>三年基准一点七一六四港元、上涨百分之四十三点零四、年化约百分之十二点六七，悲观零点二四八九、乐观三点一五一七。目标时点未来十二个月收入基准约一百四十八点五二亿元，正常归母利润拼接约七点七七亿元，意味着核心经营开始走向可持续盈利。收入倍数基准四点四倍，已比短期下降，避免同时要求高增长与更高估值。收益来自营业规模增长、现金毛利与资金结构稳定。如果二〇二九年核心利润仍远低于预算、基金无法回收或大厂把代理定价压低，三年成长论点需要实质性撤销。</w:t>
      </w:r>
    </w:p>
    <w:p>
      <w:pPr>
        <w:pStyle w:val="Normal"/>
        <w:rPr/>
      </w:pPr>
      <w:r>
        <w:rPr/>
        <w:t>五年基准二点零零九三港元、上涨百分之六十七点四四、年化约百分之十点八六，悲观零点一四九七、乐观四点二二三二。未来十二个月收入基准约二百零一点二二亿元，正常归母利润约三十一点一六亿元，销售倍数降低到三点八倍，经营现金对资本开支的覆盖才逐步改善。长期评分不使用技术指标，重点在商业质量和资本纪律。若技术架构无法持续跟进、客户留存不佳或股权报酬长期侵蚀股东收益，不能因为曾经建立大量算力就推断五年竞争优势永久存在。</w:t>
      </w:r>
    </w:p>
    <w:p>
      <w:pPr>
        <w:pStyle w:val="Normal"/>
        <w:rPr/>
      </w:pPr>
      <w:r>
        <w:rPr/>
        <w:t>十年经营展望不另给单一精确股价。潜在成功形态是企业代理、视觉与多模态平台能通过行业工作流形成客户黏性，算力和模型效率形成可持续成本优势，资本开支更多来自经营现金，金融组合退居辅助而非利润主体。失败形态则是服务被基础云和开源能力标准化，企业更换供应商容易，集团不断投入下一代硬件而缺乏利润，最终由持续融资承担研发。投资者需要观察平台生态、第三方开发者、接口可迁移性与行业渠道；十年持续性取决于可收取的现金价值，而不是现阶段模型参数或设备规模。</w:t>
      </w:r>
    </w:p>
    <w:p>
      <w:pPr>
        <w:pStyle w:val="Heading2"/>
        <w:rPr/>
      </w:pPr>
      <w:r>
        <w:rPr>
          <w:color w:val="000000"/>
        </w:rPr>
        <w:t>年底专项与机构目标价比较</w:t>
      </w:r>
    </w:p>
    <w:p>
      <w:pPr>
        <w:pStyle w:val="Normal"/>
        <w:rPr/>
      </w:pPr>
      <w:r>
        <w:rPr/>
        <w:t>年底悲观零点七六九二港元，较现价负百分之三十五点九零；基准一点二八零八、正百分之六点七四；乐观一点五六八零、正百分之三十点六七。剩余交易期较短，主要变量是年末客户预算、收入确认和回款、算力市场情绪、海外订单以及融资或奖励信息。年底营业倍数悲观二点三、基准五、乐观六点五，市场兑现因子分别零点六五、零点七、零点五五。这些因子是年底信息能被价格吸收程度的判断假设，不是统计拟合，也没有按十二个月券商目标剩余月份线性缩小。</w:t>
      </w:r>
    </w:p>
    <w:p>
      <w:pPr>
        <w:pStyle w:val="Normal"/>
        <w:rPr/>
      </w:pPr>
      <w:r>
        <w:rPr/>
        <w:t>默认权重计算期望价一点二二四七港元，对现价约百分之二点零六。将权重改为悲观百分之四十、基准百分之五十、乐观百分之十，期望价一点一零四九；改为百分之十、五十、四十则一点三四四五。区间显示基准短期预期收益不高，却有较大情景分散，故年底和半年不应成为进取名单中最优先的低条件候选。权重是研究者判断，情景不是置信区间，真正极端事件可以落在区间外。年底期望值与一年基准价的差异来自信息与估值兑现，并非模型相互矛盾。</w:t>
      </w:r>
    </w:p>
    <w:p>
      <w:pPr>
        <w:pStyle w:val="Normal"/>
        <w:rPr/>
      </w:pPr>
      <w:r>
        <w:rPr/>
        <w:t>公开新闻转述中，高盛九月二十八日目标二点零三港元、中性；摩根大通九月二十四日首予增持、目标二港元。两项处于截止日九十天内，可作为市场预期参照，新闻没有明确目标期限，本研究没有补填十二个月。高盛八月十八日二点零五旧目标与九月二十九日重复转载去重，摩通同日不同平台转载也只留一项。按照当前价格，两项名义上涨空间约百分之六十九和六十七，但它们对应不同盈利定义、估值时间和资金处理，不能直接当作年底预期收益。</w:t>
      </w:r>
    </w:p>
    <w:p>
      <w:pPr>
        <w:pStyle w:val="Normal"/>
        <w:rPr/>
      </w:pPr>
      <w:r>
        <w:rPr/>
        <w:t>摩通新闻提到二〇二六至二〇二八年收入复合增长约百分之二十八、二〇二八年收入一百零三点八七亿元、调整盈利十一点一三亿元，并以二〇二八年企业价值息税折旧摊销前盈利倍数约十五倍作参照。本研究二〇二八年收入一百零四亿元接近这一规模，但正常归母仍亏十二点二七亿元。差异并不意味着谁的收入一定错误，而在于股份支付、折旧、投资项目和资本结构口径。投资者必须取得原始研报后再逐项对接；未经核实，不把新闻的调整盈利替代本模型正常经营盈利。</w:t>
      </w:r>
    </w:p>
    <w:p>
      <w:pPr>
        <w:pStyle w:val="Normal"/>
        <w:rPr/>
      </w:pPr>
      <w:r>
        <w:rPr/>
        <w:t>汇丰研究三月三十一日目标二港元、持有，新闻关注竞争地位，已超过九十天，仅保留旧参照。里昂三月三十日二点七港元、跑赢大市，属于中资所属研究机构，本研究外资统计不计，但仍列机构比较；招银国际八月二十八日二点四五港元、买入，属于中资。没有取得这些机构原始报告，评级、金额、日期从公开转述记录并标明出处。人工智能行业新闻含其他公司目标及泛行业判断，不能因为网页归入商汤栏目就被当作商汤目标价，更不能为缺失期限和预测细节补造数字。</w:t>
      </w:r>
    </w:p>
    <w:p>
      <w:pPr>
        <w:pStyle w:val="Heading2"/>
        <w:rPr/>
      </w:pPr>
      <w:r>
        <w:rPr>
          <w:color w:val="000000"/>
        </w:rPr>
        <w:t>敏感性 观察纪律与结论更新</w:t>
      </w:r>
    </w:p>
    <w:p>
      <w:pPr>
        <w:pStyle w:val="Normal"/>
        <w:rPr/>
      </w:pPr>
      <w:r>
        <w:rPr/>
        <w:t>销售倍数变化对目标有显著影响。营业收入为正时，倍数每改变一倍，权益每股理论价值改变未来十二个月收入除以股数再乘港元换算；目标价格还受年底兑现因子影响。基准一年收入约九十九亿元、股数约四百二十六亿股时，一倍营业收入对应约零点二五六港元每股，远大于基准一年相对现价的余量。这说明判断公司经营质量和可接受倍数比追求目标价小数精度重要。若长期毛利与资本回报不成立，不能靠把倍数从四点八调到六就解决基本面缺口。</w:t>
      </w:r>
    </w:p>
    <w:p>
      <w:pPr>
        <w:pStyle w:val="Normal"/>
        <w:rPr/>
      </w:pPr>
      <w:r>
        <w:rPr/>
        <w:t>汇率敏感性按研究港币兑人民币换算一点一计算，不声称这是基准日已核即期。人民币走弱会降低人民币利润和资产折算港币的价值，融资所需股份也因换算改变；港币相对人民币升贬同时影响人民币投资者持有港股的总回报。因此只在最终美元或人民币账户层面乘汇率变化会遗漏公司融资路径反馈。模型允许修改统一换算并重算现金与股份，海外真实收入、成本和资产币种尚需进一步拆分。投资者本币主要结果为港元，人民币回报另由总表敏感性展示，二者不能混作同一收益。</w:t>
      </w:r>
    </w:p>
    <w:p>
      <w:pPr>
        <w:pStyle w:val="Normal"/>
        <w:rPr/>
      </w:pPr>
      <w:r>
        <w:rPr/>
        <w:t>模型最脆弱的资金假设是组合回收与资金自由调配。即使账面金融资产很高，有限合伙人分配、未上市投资条款、抵押和子公司资金要求都可能阻止自由变现。需要同时测试回收折扣降低、二〇二九年退出比例降至零和资本开支增加；若最低资金触发，融资新增股与发行费应自动传导至所有期限目标。活动模型只保留一套计算，通过依次选择悲观、基准和乐观保存快照；修改输入后旧快照须标记待刷新，不能把上一次无融资情景误当最新结果，最终表格明确版本和日期。</w:t>
      </w:r>
    </w:p>
    <w:p>
      <w:pPr>
        <w:pStyle w:val="Normal"/>
        <w:rPr/>
      </w:pPr>
      <w:r>
        <w:rPr/>
        <w:t>对进取型投资者而言，商汤有可以理解的成长选择权，但选择权不能不计成本。短期低位、技术反弹、机构目标与行业高热度都可能提供交易机会，真正长期回报要依靠正常盈利、客户现金和资本回收。当前半年技术分低，一年回报与悲观损失不对称，三年五年更值得观察但仍要求经营转折。研究不将弱势技术直接转成长期看空，也不将长期行业机会转成短期追涨理由，四期限需要分别验证。</w:t>
      </w:r>
    </w:p>
    <w:p>
      <w:pPr>
        <w:pStyle w:val="Normal"/>
        <w:rPr/>
      </w:pPr>
      <w:r>
        <w:rPr/>
        <w:t>更新时首先替换正式年报和中报的收入、毛利、研发、股份支付、折旧、资本开支和回款数据，再核月报总股、奖励、配售及优先权合同；确认模型资金和股份仍闭合后才更新目标和评分。若正常经营连续超预算、经常收入续费改善、资本开支回报明确且周线趋势恢复，可以提高一年推荐；若只是金融投资上涨带动账面盈利，维持核心判断。最重要的结论成立条件始终是客户愿意持续付费并形成可分配给普通股的现金，而不是集团资产表或技术公告越来越长。</w:t>
      </w:r>
    </w:p>
    <w:p>
      <w:pPr>
        <w:pStyle w:val="Heading2"/>
        <w:rPr/>
      </w:pPr>
      <w:r>
        <w:rPr>
          <w:color w:val="000000"/>
        </w:rPr>
        <w:t>来源</w:t>
      </w:r>
    </w:p>
    <w:p>
      <w:pPr>
        <w:pStyle w:val="Normal"/>
        <w:rPr/>
      </w:pPr>
      <w:r>
        <w:rPr/>
        <w:t>原始公告、</w:t>
      </w:r>
      <w:r>
        <w:rPr/>
        <w:t>PDF</w:t>
      </w:r>
      <w:r>
        <w:rPr/>
        <w:t>与发布时间均保存于</w:t>
      </w:r>
      <w:r>
        <w:rPr/>
        <w:t>data/sensetime_sources.json</w:t>
      </w:r>
      <w:r>
        <w:rPr/>
        <w:t>。主要原件如下，均在截止日前公开；结果、中报、年报和奖励多为收盘后公布，已注明准确时间。机构目标全部新闻转述，未取得原始研报。</w:t>
      </w:r>
    </w:p>
    <w:p>
      <w:pPr>
        <w:pStyle w:val="Normal"/>
        <w:rPr/>
      </w:pPr>
      <w:r>
        <w:rPr/>
        <w:t>- 2026</w:t>
      </w:r>
      <w:r>
        <w:rPr/>
        <w:t>中报，</w:t>
      </w:r>
      <w:r>
        <w:rPr/>
        <w:t>2026-09-23 17:00</w:t>
      </w:r>
      <w:r>
        <w:rPr/>
        <w:t>：</w:t>
      </w:r>
      <w:r>
        <w:rPr/>
        <w:t>https://www1.hkexnews.hk/listedco/listconews/sehk/2026/0923/2026092300702.pdf</w:t>
      </w:r>
    </w:p>
    <w:p>
      <w:pPr>
        <w:pStyle w:val="Normal"/>
        <w:rPr/>
      </w:pPr>
      <w:r>
        <w:rPr/>
        <w:t>- 2026</w:t>
      </w:r>
      <w:r>
        <w:rPr/>
        <w:t>半年结果，</w:t>
      </w:r>
      <w:r>
        <w:rPr/>
        <w:t>2026-08-26 16:45</w:t>
      </w:r>
      <w:r>
        <w:rPr/>
        <w:t>：</w:t>
      </w:r>
      <w:r>
        <w:rPr/>
        <w:t>https://www1.hkexnews.hk/listedco/listconews/sehk/2026/0826/2026082600408.pdf</w:t>
      </w:r>
    </w:p>
    <w:p>
      <w:pPr>
        <w:pStyle w:val="Normal"/>
        <w:rPr/>
      </w:pPr>
      <w:r>
        <w:rPr/>
        <w:t>- 2025</w:t>
      </w:r>
      <w:r>
        <w:rPr/>
        <w:t>年报，</w:t>
      </w:r>
      <w:r>
        <w:rPr/>
        <w:t>2026-04-27 16:34</w:t>
      </w:r>
      <w:r>
        <w:rPr/>
        <w:t>：</w:t>
      </w:r>
      <w:r>
        <w:rPr/>
        <w:t>https://www1.hkexnews.hk/listedco/listconews/sehk/2026/0427/2026042700722.pdf</w:t>
      </w:r>
    </w:p>
    <w:p>
      <w:pPr>
        <w:pStyle w:val="Normal"/>
        <w:rPr/>
      </w:pPr>
      <w:r>
        <w:rPr/>
        <w:t xml:space="preserve">- </w:t>
      </w:r>
      <w:r>
        <w:rPr/>
        <w:t>九月月报，</w:t>
      </w:r>
      <w:r>
        <w:rPr/>
        <w:t>2026-10-07 17:09</w:t>
      </w:r>
      <w:r>
        <w:rPr/>
        <w:t>：</w:t>
      </w:r>
      <w:r>
        <w:rPr/>
        <w:t>https://www1.hkexnews.hk/listedco/listconews/sehk/2026/1007/2026100701172.pdf</w:t>
      </w:r>
    </w:p>
    <w:p>
      <w:pPr>
        <w:pStyle w:val="Normal"/>
        <w:rPr/>
      </w:pPr>
      <w:r>
        <w:rPr/>
        <w:t xml:space="preserve">- </w:t>
      </w:r>
      <w:r>
        <w:rPr/>
        <w:t>九月奖励，</w:t>
      </w:r>
      <w:r>
        <w:rPr/>
        <w:t>2026-09-28 20:55</w:t>
      </w:r>
      <w:r>
        <w:rPr/>
        <w:t>：</w:t>
      </w:r>
      <w:r>
        <w:rPr/>
        <w:t>https://www1.hkexnews.hk/listedco/listconews/sehk/2026/0928/2026092801837.pdf</w:t>
      </w:r>
    </w:p>
    <w:p>
      <w:pPr>
        <w:pStyle w:val="Normal"/>
        <w:rPr/>
      </w:pPr>
      <w:r>
        <w:rPr/>
        <w:t xml:space="preserve">- </w:t>
      </w:r>
      <w:r>
        <w:rPr/>
        <w:t>高盛目标：</w:t>
      </w:r>
      <w:r>
        <w:rPr/>
        <w:t>https://www.aastocks.com/sc/stocks/analysis/stock-aafn-con/00020/AAFN/NOW.1546635/research-report</w:t>
      </w:r>
    </w:p>
    <w:p>
      <w:pPr>
        <w:pStyle w:val="Normal"/>
        <w:rPr/>
      </w:pPr>
      <w:r>
        <w:rPr/>
        <w:t xml:space="preserve">- </w:t>
      </w:r>
      <w:r>
        <w:rPr/>
        <w:t>摩根大通目标：</w:t>
      </w:r>
      <w:r>
        <w:rPr/>
        <w:t>https://www.aastocks.com/sc/stocks/analysis/stock-aafn-con/00020/AAFN/NOW.1546262/research-report</w:t>
      </w:r>
    </w:p>
    <w:p>
      <w:pPr>
        <w:pStyle w:val="Normal"/>
        <w:rPr/>
      </w:pPr>
      <w:r>
        <w:rPr/>
        <w:t xml:space="preserve">- </w:t>
      </w:r>
      <w:r>
        <w:rPr/>
        <w:t>汇丰研究：</w:t>
      </w:r>
      <w:r>
        <w:rPr/>
        <w:t>https://www.aastocks.com/sc/stocks/analysis/stock-aafn-con/00020/AAFN/NOW.1514832/research-report</w:t>
      </w:r>
    </w:p>
    <w:p>
      <w:pPr>
        <w:pStyle w:val="Normal"/>
        <w:rPr/>
      </w:pPr>
      <w:r>
        <w:rPr/>
        <w:t xml:space="preserve">- </w:t>
      </w:r>
      <w:r>
        <w:rPr/>
        <w:t>里昂：</w:t>
      </w:r>
      <w:r>
        <w:rPr/>
        <w:t>https://www.aastocks.com/sc/stocks/analysis/stock-aafn-con/00020/AAFN/NOW.1514170/research-report</w:t>
      </w:r>
    </w:p>
    <w:p>
      <w:pPr>
        <w:pStyle w:val="Normal"/>
        <w:rPr/>
      </w:pPr>
      <w:r>
        <w:rPr/>
        <w:t xml:space="preserve">- </w:t>
      </w:r>
      <w:r>
        <w:rPr/>
        <w:t>招银国际：</w:t>
      </w:r>
      <w:r>
        <w:rPr/>
        <w:t>https://www.aastocks.com/sc/stocks/analysis/stock-aafn-con/00020/AAFN/NOW.1541595/research-report</w:t>
      </w:r>
    </w:p>
    <w:p>
      <w:pPr>
        <w:pStyle w:val="Normal"/>
        <w:rPr/>
      </w:pPr>
      <w:r>
        <w:rPr/>
        <w:t>行情使用固定</w:t>
      </w:r>
      <w:r>
        <w:rPr/>
        <w:t>market-v1.6</w:t>
      </w:r>
      <w:r>
        <w:rPr/>
        <w:t>双来源核验快照。技术序列、复权、成交量单位及相关限制由总表记录；没有逐笔分布或自由流通换手率时保留缺失。本文表格为正式模型快照，修改后须刷新并同步跨格式数字。</w:t>
      </w:r>
      <w:r>
        <w:br w:type="page"/>
      </w:r>
    </w:p>
    <w:p>
      <w:pPr>
        <w:pStyle w:val="Heading1"/>
        <w:rPr/>
      </w:pPr>
      <w:bookmarkStart w:id="7" w:name="__RefHeading___Toc47881_312338234"/>
      <w:bookmarkEnd w:id="7"/>
      <w:r>
        <w:rPr>
          <w:color w:val="000000"/>
        </w:rPr>
        <w:t xml:space="preserve">康希诺生物 </w:t>
      </w:r>
      <w:r>
        <w:rPr>
          <w:color w:val="000000"/>
        </w:rPr>
        <w:t>06185 HK</w:t>
      </w:r>
    </w:p>
    <w:p>
      <w:pPr>
        <w:pStyle w:val="Normal"/>
        <w:rPr/>
      </w:pPr>
      <w:r>
        <w:rPr/>
        <w:t xml:space="preserve">06185.HK </w:t>
      </w:r>
      <w:r>
        <w:rPr/>
        <w:t xml:space="preserve">现价 </w:t>
      </w:r>
      <w:r>
        <w:rPr/>
        <w:t>35.02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21.76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-37.87%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-37.87%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-1.91%</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-19.46%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+53.22%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30.58HKD</w:t>
      </w:r>
      <w:r>
        <w:rPr/>
        <w:t>，期望股价回报</w:t>
      </w:r>
      <w:r>
        <w:rPr/>
        <w:t>-12.67%</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3.50</w:t>
              <w:br/>
              <w:t>-90.00%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24.15</w:t>
              <w:br/>
              <w:t>-31.04%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70.59</w:t>
              <w:br/>
              <w:t>+101.57%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21.76</w:t>
              <w:br/>
              <w:t>-37.87%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104.51</w:t>
              <w:br/>
              <w:t>+198.43%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27.56</w:t>
              <w:br/>
              <w:t>-21.30%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126.54</w:t>
              <w:br/>
              <w:t>+261.34%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31.02</w:t>
              <w:br/>
              <w:t>-11.43%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144.12</w:t>
              <w:br/>
              <w:t>+311.54%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-37.87%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-34.76%</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研究基准为</w:t>
      </w:r>
      <w:r>
        <w:rPr/>
        <w:t>2026</w:t>
      </w:r>
      <w:r>
        <w:rPr/>
        <w:t>年</w:t>
      </w:r>
      <w:r>
        <w:rPr/>
        <w:t>10</w:t>
      </w:r>
      <w:r>
        <w:rPr/>
        <w:t>月</w:t>
      </w:r>
      <w:r>
        <w:rPr/>
        <w:t>9</w:t>
      </w:r>
      <w:r>
        <w:rPr/>
        <w:t>日收盘，发行人</w:t>
      </w:r>
      <w:r>
        <w:rPr/>
        <w:t>I042</w:t>
      </w:r>
      <w:r>
        <w:rPr/>
        <w:t>、证券</w:t>
      </w:r>
      <w:r>
        <w:rPr/>
        <w:t>S049</w:t>
      </w:r>
      <w:r>
        <w:rPr/>
        <w:t>、代码</w:t>
      </w:r>
      <w:r>
        <w:rPr/>
        <w:t>06185.HK</w:t>
      </w:r>
      <w:r>
        <w:rPr/>
        <w:t>，价格</w:t>
      </w:r>
      <w:r>
        <w:rPr/>
        <w:t>35.02</w:t>
      </w:r>
      <w:r>
        <w:rPr/>
        <w:t>港元。模型版本</w:t>
      </w:r>
      <w:r>
        <w:rPr/>
        <w:t>cansino-v1-productNetCash-capexTransferDistinction-AHoptions</w:t>
      </w:r>
      <w:r>
        <w:rPr/>
        <w:t>。首次中期业绩于</w:t>
      </w:r>
      <w:r>
        <w:rPr/>
        <w:t>2026</w:t>
      </w:r>
      <w:r>
        <w:rPr/>
        <w:t>年</w:t>
      </w:r>
      <w:r>
        <w:rPr/>
        <w:t>8</w:t>
      </w:r>
      <w:r>
        <w:rPr/>
        <w:t>月</w:t>
      </w:r>
      <w:r>
        <w:rPr/>
        <w:t>27</w:t>
      </w:r>
      <w:r>
        <w:rPr/>
        <w:t>日</w:t>
      </w:r>
      <w:r>
        <w:rPr/>
        <w:t>19:14</w:t>
      </w:r>
      <w:r>
        <w:rPr/>
        <w:t>披露、</w:t>
      </w:r>
      <w:r>
        <w:rPr/>
        <w:t>PRC</w:t>
      </w:r>
      <w:r>
        <w:rPr/>
        <w:t>完整半年财报同日</w:t>
      </w:r>
      <w:r>
        <w:rPr/>
        <w:t>19:18</w:t>
      </w:r>
      <w:r>
        <w:rPr/>
        <w:t>，完整港股中报</w:t>
      </w:r>
      <w:r>
        <w:rPr/>
        <w:t>9</w:t>
      </w:r>
      <w:r>
        <w:rPr/>
        <w:t>月</w:t>
      </w:r>
      <w:r>
        <w:rPr/>
        <w:t>17</w:t>
      </w:r>
      <w:r>
        <w:rPr/>
        <w:t>日</w:t>
      </w:r>
      <w:r>
        <w:rPr/>
        <w:t>16:30</w:t>
      </w:r>
      <w:r>
        <w:rPr/>
        <w:t>；年报</w:t>
      </w:r>
      <w:r>
        <w:rPr/>
        <w:t>4</w:t>
      </w:r>
      <w:r>
        <w:rPr/>
        <w:t>月</w:t>
      </w:r>
      <w:r>
        <w:rPr/>
        <w:t>22</w:t>
      </w:r>
      <w:r>
        <w:rPr/>
        <w:t>日</w:t>
      </w:r>
      <w:r>
        <w:rPr/>
        <w:t>16:43</w:t>
      </w:r>
      <w:r>
        <w:rPr/>
        <w:t>，</w:t>
      </w:r>
      <w:r>
        <w:rPr/>
        <w:t>9</w:t>
      </w:r>
      <w:r>
        <w:rPr/>
        <w:t>月月报</w:t>
      </w:r>
      <w:r>
        <w:rPr/>
        <w:t>10</w:t>
      </w:r>
      <w:r>
        <w:rPr/>
        <w:t>月</w:t>
      </w:r>
      <w:r>
        <w:rPr/>
        <w:t>7</w:t>
      </w:r>
      <w:r>
        <w:rPr/>
        <w:t>日</w:t>
      </w:r>
      <w:r>
        <w:rPr/>
        <w:t>16:36</w:t>
      </w:r>
      <w:r>
        <w:rPr/>
        <w:t>。均在香港收盘后发布，属于截止日前公开资料。所有未来销量、净价格、商业化时间、融资、分红及临床成功率均为研究假设。</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w:t>
            </w:r>
            <w:r>
              <w:rPr>
                <w:rFonts w:eastAsia="微软雅黑" w:ascii="微软雅黑" w:hAnsi="微软雅黑"/>
                <w:b/>
                <w:color w:val="FFFFFF"/>
                <w:sz w:val="17"/>
              </w:rPr>
              <w:t>HKD</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推荐定位</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3.502000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24.148326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70.588105</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-31.044187%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量价较强，估值支持不足的观察候选</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一年实际</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21.758045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104.510675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-37.869660%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需要新品销售证明的条件候选</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27.559735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126.540440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-21.302869%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组合成长候选，非本榜核心优先</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31.018265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144.121999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-11.426999%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长期选择权较多，基准回报仍偏弱</w:t>
            </w:r>
          </w:p>
        </w:tc>
      </w:tr>
    </w:tbl>
    <w:p>
      <w:pPr>
        <w:pStyle w:val="Normal"/>
        <w:rPr/>
      </w:pPr>
      <w:r>
        <w:rPr/>
      </w:r>
    </w:p>
    <w:p>
      <w:pPr>
        <w:pStyle w:val="Normal"/>
        <w:rPr/>
      </w:pPr>
      <w:r>
        <w:rPr/>
        <w:t>年底悲观</w:t>
      </w:r>
      <w:r>
        <w:rPr/>
        <w:t>12.257000</w:t>
      </w:r>
      <w:r>
        <w:rPr/>
        <w:t>港元、基准</w:t>
      </w:r>
      <w:r>
        <w:rPr/>
        <w:t>28.206795</w:t>
      </w:r>
      <w:r>
        <w:rPr/>
        <w:t>港元、乐观</w:t>
      </w:r>
      <w:r>
        <w:rPr/>
        <w:t>53.658080</w:t>
      </w:r>
      <w:r>
        <w:rPr/>
        <w:t>港元，相对当前分别为</w:t>
      </w:r>
      <w:r>
        <w:rPr/>
        <w:t>-65.000000%</w:t>
      </w:r>
      <w:r>
        <w:rPr/>
        <w:t>、</w:t>
      </w:r>
      <w:r>
        <w:rPr/>
        <w:t>-19.455182%</w:t>
      </w:r>
      <w:r>
        <w:rPr/>
        <w:t>、</w:t>
      </w:r>
      <w:r>
        <w:rPr/>
        <w:t>53.221245%</w:t>
      </w:r>
      <w:r>
        <w:rPr/>
        <w:t>。</w:t>
      </w:r>
      <w:r>
        <w:rPr/>
        <w:t>25%</w:t>
      </w:r>
      <w:r>
        <w:rPr/>
        <w:t>、</w:t>
      </w:r>
      <w:r>
        <w:rPr/>
        <w:t>50%</w:t>
      </w:r>
      <w:r>
        <w:rPr/>
        <w:t>、</w:t>
      </w:r>
      <w:r>
        <w:rPr/>
        <w:t>25%</w:t>
      </w:r>
      <w:r>
        <w:rPr/>
        <w:t>判断权重的期望价</w:t>
      </w:r>
      <w:r>
        <w:rPr/>
        <w:t>30.582168</w:t>
      </w:r>
      <w:r>
        <w:rPr/>
        <w:t>港元、期望回报</w:t>
      </w:r>
      <w:r>
        <w:rPr/>
        <w:t>-12.672280%</w:t>
      </w:r>
      <w:r>
        <w:rPr/>
        <w:t>；不是统计置信区间或最大损失边界。模型不把里昂</w:t>
      </w:r>
      <w:r>
        <w:rPr/>
        <w:t>49.6</w:t>
      </w:r>
      <w:r>
        <w:rPr/>
        <w:t>港元的公开标题目标直接作为年底价。康希诺存在实际产品增长机会，但本研究当前将它定位为观察与条件候选，推荐梯队必须由全名单四期限排名统一确定。</w:t>
      </w:r>
    </w:p>
    <w:p>
      <w:pPr>
        <w:pStyle w:val="Normal"/>
        <w:rPr/>
      </w:pPr>
      <w:r>
        <w:rPr/>
        <w:t>五年基准累计研究股息</w:t>
      </w:r>
      <w:r>
        <w:rPr/>
        <w:t>3.334592</w:t>
      </w:r>
      <w:r>
        <w:rPr/>
        <w:t>港元，含分红总回报</w:t>
      </w:r>
      <w:r>
        <w:rPr/>
        <w:t>-1.905034%</w:t>
      </w:r>
      <w:r>
        <w:rPr/>
        <w:t>、年化</w:t>
      </w:r>
      <w:r>
        <w:rPr/>
        <w:t>-0.383996%</w:t>
      </w:r>
      <w:r>
        <w:rPr/>
        <w:t>；三年基准尚无已付研究股息，含分红回报</w:t>
      </w:r>
      <w:r>
        <w:rPr/>
        <w:t>-21.302869%</w:t>
      </w:r>
      <w:r>
        <w:rPr/>
        <w:t>、年化</w:t>
      </w:r>
      <w:r>
        <w:rPr/>
        <w:t>-7.673251%</w:t>
      </w:r>
      <w:r>
        <w:rPr/>
        <w:t>。乐观五年股息</w:t>
      </w:r>
      <w:r>
        <w:rPr/>
        <w:t>7.996103</w:t>
      </w:r>
      <w:r>
        <w:rPr/>
        <w:t>港元、总回报</w:t>
      </w:r>
      <w:r>
        <w:rPr/>
        <w:t>334.374935%</w:t>
      </w:r>
      <w:r>
        <w:rPr/>
        <w:t>、年化</w:t>
      </w:r>
      <w:r>
        <w:rPr/>
        <w:t>34.149920%</w:t>
      </w:r>
      <w:r>
        <w:rPr/>
        <w:t>；悲观资金计划失效时普通股内在值设零，仅作为经营不能持续且没有新救助资本的压力边界。三年和五年目标交易日须在届时市场日历公布后重新核验。</w:t>
      </w:r>
    </w:p>
    <w:p>
      <w:pPr>
        <w:pStyle w:val="Heading2"/>
        <w:rPr/>
      </w:pPr>
      <w:r>
        <w:rPr>
          <w:color w:val="000000"/>
        </w:rPr>
        <w:t>一 投资结论与商业转型的判断</w:t>
      </w:r>
    </w:p>
    <w:p>
      <w:pPr>
        <w:pStyle w:val="Normal"/>
        <w:rPr/>
      </w:pPr>
      <w:r>
        <w:rPr/>
        <w:t>康希诺的投资逻辑已由疫情期间的单一巨大需求，转为脑膜炎疫苗底座与肺炎、百白破、破伤风等新品的商业化。公司已有产品获批和真实收入，不能仅归入没有销售的研发平台；与此同时，近期微利也不能证明疫苗组合已经稳定赚取现金。当前</w:t>
      </w:r>
      <w:r>
        <w:rPr/>
        <w:t>35.02</w:t>
      </w:r>
      <w:r>
        <w:rPr/>
        <w:t>港元反映了相当一部分新品增长和技术平台预期，长期机会与买入价格需要一起判断。研究对长期业务质量给分高于近端估值，因为已有产品可以降低纯临床风险，但尚未形成足够高、可分配的基准回报。</w:t>
      </w:r>
    </w:p>
    <w:p>
      <w:pPr>
        <w:pStyle w:val="Normal"/>
        <w:rPr/>
      </w:pPr>
      <w:r>
        <w:rPr/>
        <w:t>进取型选择并不意味着忽略估值下限。康希诺的乐观值很高，是多款已批疫苗快速放量、成人品类扩大、海外技术收入增加以及后期项目按较高成功率进入市场的共同结果。若只选这一尾部数字，投资者容易高估现实可获得回报。一年期加权期望价略高于现价，但基准值显著低于现价，说明期望高度受乐观尾部影响。半年与年底加权值仍低于现价，因此当前证据支持保持观察并检验现金兑现，尚不足以把它置于所有期限最推荐位置。</w:t>
      </w:r>
    </w:p>
    <w:p>
      <w:pPr>
        <w:pStyle w:val="Normal"/>
        <w:rPr/>
      </w:pPr>
      <w:r>
        <w:rPr/>
        <w:t>最关键的正面证据是</w:t>
      </w:r>
      <w:r>
        <w:rPr/>
        <w:t>2026</w:t>
      </w:r>
      <w:r>
        <w:rPr/>
        <w:t>年上半年收入增长、疫苗毛利和多个新品上市。最关键的反面证据是经营现金仍为负、应收款和退款负债较高、工业园后续投入不小，以及现有自费疫苗市场的价格和支付约束。两组事实必须同时进入判断。上涨过程中，获批事件可能推动情绪，但最终可分配利润取决于接种、回款、推广费用和维护产能的真实成本。如果未来只看到渠道入库增长而没有终端接种与现金回收，当前业务改善判断就应下调。</w:t>
      </w:r>
    </w:p>
    <w:p>
      <w:pPr>
        <w:pStyle w:val="Normal"/>
        <w:rPr/>
      </w:pPr>
      <w:r>
        <w:rPr/>
        <w:t>结论成立需要四条连续证据链：脑膜炎产品维持净销售而没有大规模退货；肺炎和百白破新品在省级准入后形成重复订单；研发与工业园投入能够转成产能和未来产品，而非持续闲置；现金、存款和理财可以按模型计划使用且股权激励没有超预算稀释。任何单一条件都不足以替代其他条件。尤其临床早期的</w:t>
      </w:r>
      <w:r>
        <w:rPr/>
        <w:t>mRNA</w:t>
      </w:r>
      <w:r>
        <w:rPr/>
        <w:t>平台不能抵消当期主营回款恶化，未来可核验的癌症治疗证据出现之前，该平台只应获得有限净选择权。</w:t>
      </w:r>
    </w:p>
    <w:p>
      <w:pPr>
        <w:pStyle w:val="Heading2"/>
        <w:rPr/>
      </w:pPr>
      <w:r>
        <w:rPr>
          <w:color w:val="000000"/>
        </w:rPr>
        <w:t>二 收入结构与经营底座</w:t>
      </w:r>
    </w:p>
    <w:p>
      <w:pPr>
        <w:pStyle w:val="Normal"/>
        <w:rPr/>
      </w:pPr>
      <w:r>
        <w:rPr/>
        <w:t>2026</w:t>
      </w:r>
      <w:r>
        <w:rPr/>
        <w:t>年上半年港股财务口径收入</w:t>
      </w:r>
      <w:r>
        <w:rPr/>
        <w:t>5.46653</w:t>
      </w:r>
      <w:r>
        <w:rPr/>
        <w:t>亿元，疫苗销售</w:t>
      </w:r>
      <w:r>
        <w:rPr/>
        <w:t>3.93495</w:t>
      </w:r>
      <w:r>
        <w:rPr/>
        <w:t>亿元，中间品供应</w:t>
      </w:r>
      <w:r>
        <w:rPr/>
        <w:t>9,881.6</w:t>
      </w:r>
      <w:r>
        <w:rPr/>
        <w:t>万元，技术转移与</w:t>
      </w:r>
      <w:r>
        <w:rPr/>
        <w:t>CDMO</w:t>
      </w:r>
      <w:r>
        <w:rPr/>
        <w:t>服务</w:t>
      </w:r>
      <w:r>
        <w:rPr/>
        <w:t>5,334.2</w:t>
      </w:r>
      <w:r>
        <w:rPr/>
        <w:t>万元，许可</w:t>
      </w:r>
      <w:r>
        <w:rPr/>
        <w:t>100</w:t>
      </w:r>
      <w:r>
        <w:rPr/>
        <w:t>万元。国内收入</w:t>
      </w:r>
      <w:r>
        <w:rPr/>
        <w:t>3.94495</w:t>
      </w:r>
      <w:r>
        <w:rPr/>
        <w:t>亿元、海外</w:t>
      </w:r>
      <w:r>
        <w:rPr/>
        <w:t>1.52158</w:t>
      </w:r>
      <w:r>
        <w:rPr/>
        <w:t>亿元。这里海外收入与中间品和技术服务之和相等，不能再额外加入一份同等规模的海外终端疫苗销售。出口中间品体现生产与技术能力，也意味着公司未必享有当地患者终端价格的全部经济利益。估值模型按照公司实际能够取得的净收入建设，而非全球接种市场总额。</w:t>
      </w:r>
    </w:p>
    <w:p>
      <w:pPr>
        <w:pStyle w:val="Normal"/>
        <w:rPr/>
      </w:pPr>
      <w:r>
        <w:rPr/>
        <w:t>上半年疫苗销售没有逐款公布完整金额，因此研究中的脑膜炎、肺炎、百白破和破伤风分拆不是财报事实。</w:t>
      </w:r>
      <w:r>
        <w:rPr/>
        <w:t>2025</w:t>
      </w:r>
      <w:r>
        <w:rPr/>
        <w:t>年全年收入</w:t>
      </w:r>
      <w:r>
        <w:rPr/>
        <w:t>10.59393</w:t>
      </w:r>
      <w:r>
        <w:rPr/>
        <w:t>亿元，其中脑膜炎</w:t>
      </w:r>
      <w:r>
        <w:rPr/>
        <w:t>9.67748</w:t>
      </w:r>
      <w:r>
        <w:rPr/>
        <w:t>亿元、新冠</w:t>
      </w:r>
      <w:r>
        <w:rPr/>
        <w:t>2,266.5</w:t>
      </w:r>
      <w:r>
        <w:rPr/>
        <w:t>万元、肺炎</w:t>
      </w:r>
      <w:r>
        <w:rPr/>
        <w:t>2,073.5</w:t>
      </w:r>
      <w:r>
        <w:rPr/>
        <w:t>万元、技术和半成品</w:t>
      </w:r>
      <w:r>
        <w:rPr/>
        <w:t>1,680.8</w:t>
      </w:r>
      <w:r>
        <w:rPr/>
        <w:t>万元、</w:t>
      </w:r>
      <w:r>
        <w:rPr/>
        <w:t>CDMO3,143.7</w:t>
      </w:r>
      <w:r>
        <w:rPr/>
        <w:t>万元。这个结构显示新业务尚处于商业化早期，脑膜炎仍是主要基础。</w:t>
      </w:r>
      <w:r>
        <w:rPr/>
        <w:t>2026</w:t>
      </w:r>
      <w:r>
        <w:rPr/>
        <w:t>年预测必须根据获批、批签发和渠道进度给出明确假设，不能把</w:t>
      </w:r>
      <w:r>
        <w:rPr/>
        <w:t>2025</w:t>
      </w:r>
      <w:r>
        <w:rPr/>
        <w:t>年末上市品自动视为</w:t>
      </w:r>
      <w:r>
        <w:rPr/>
        <w:t>2026</w:t>
      </w:r>
      <w:r>
        <w:rPr/>
        <w:t>年占据全国市场。</w:t>
      </w:r>
    </w:p>
    <w:p>
      <w:pPr>
        <w:pStyle w:val="Normal"/>
        <w:rPr/>
      </w:pPr>
      <w:r>
        <w:rPr/>
        <w:t>疫苗收入常有季节、采购和准入节奏。省级目录准入代表可销售范围扩大，不保证接种人数立即增加；首批批签发意味着产品供应具备条件，也不等于每一剂都形成收入或现金。价格、推广费用、预付款及退货安排会影响收入确认。公司若通过地方疾控和接种点销售，订单与回款周期也可能长于普通消费品。观察半年报告时，需要结合应收款、退款负债、销售费和库存判断渠道吸收，而不能仅把营收增长率当终端需求增速。</w:t>
      </w:r>
    </w:p>
    <w:p>
      <w:pPr>
        <w:pStyle w:val="Normal"/>
        <w:rPr/>
      </w:pPr>
      <w:r>
        <w:rPr/>
        <w:t>2026</w:t>
      </w:r>
      <w:r>
        <w:rPr/>
        <w:t>年基准全年收入设为</w:t>
      </w:r>
      <w:r>
        <w:rPr/>
        <w:t>12.70</w:t>
      </w:r>
      <w:r>
        <w:rPr/>
        <w:t>亿元，比</w:t>
      </w:r>
      <w:r>
        <w:rPr/>
        <w:t>2025</w:t>
      </w:r>
      <w:r>
        <w:rPr/>
        <w:t>年增加但没有把上半年简单翻倍；脑膜炎</w:t>
      </w:r>
      <w:r>
        <w:rPr/>
        <w:t>9.0</w:t>
      </w:r>
      <w:r>
        <w:rPr/>
        <w:t>亿元、肺炎</w:t>
      </w:r>
      <w:r>
        <w:rPr/>
        <w:t>7,500</w:t>
      </w:r>
      <w:r>
        <w:rPr/>
        <w:t>万元、婴幼儿百白破</w:t>
      </w:r>
      <w:r>
        <w:rPr/>
        <w:t>2,500</w:t>
      </w:r>
      <w:r>
        <w:rPr/>
        <w:t>万元、破伤风</w:t>
      </w:r>
      <w:r>
        <w:rPr/>
        <w:t>500</w:t>
      </w:r>
      <w:r>
        <w:rPr/>
        <w:t>万元、中间品</w:t>
      </w:r>
      <w:r>
        <w:rPr/>
        <w:t>1.60</w:t>
      </w:r>
      <w:r>
        <w:rPr/>
        <w:t>亿元、服务</w:t>
      </w:r>
      <w:r>
        <w:rPr/>
        <w:t>8,000</w:t>
      </w:r>
      <w:r>
        <w:rPr/>
        <w:t>万元及旧业务</w:t>
      </w:r>
      <w:r>
        <w:rPr/>
        <w:t>2,500</w:t>
      </w:r>
      <w:r>
        <w:rPr/>
        <w:t>万元。该拆分与半年总体数据相容，但具体产品金额待公司后续披露更新。</w:t>
      </w:r>
      <w:r>
        <w:rPr/>
        <w:t>2027</w:t>
      </w:r>
      <w:r>
        <w:rPr/>
        <w:t>年基准核心收入</w:t>
      </w:r>
      <w:r>
        <w:rPr/>
        <w:t>18.22</w:t>
      </w:r>
      <w:r>
        <w:rPr/>
        <w:t>亿元，另有成人加强针的风险收入，增长主要来自新品爬坡。此假设已要求显著商业进展，因此不能把基准下行归因于模型完全没有考虑新品。</w:t>
      </w:r>
    </w:p>
    <w:p>
      <w:pPr>
        <w:pStyle w:val="Heading2"/>
        <w:rPr/>
      </w:pPr>
      <w:r>
        <w:rPr>
          <w:color w:val="000000"/>
        </w:rPr>
        <w:t>三 脑膜炎产品的竞争和年龄拓展</w:t>
      </w:r>
    </w:p>
    <w:p>
      <w:pPr>
        <w:pStyle w:val="Normal"/>
        <w:rPr/>
      </w:pPr>
      <w:r>
        <w:rPr/>
        <w:t>Menhycia</w:t>
      </w:r>
      <w:r>
        <w:rPr/>
        <w:t>是四价脑膜炎球菌结合疫苗，</w:t>
      </w:r>
      <w:r>
        <w:rPr/>
        <w:t>Menphecia</w:t>
      </w:r>
      <w:r>
        <w:rPr/>
        <w:t>是二价结合疫苗。结合技术对于免疫原性和较小年龄使用具有商业意义，但产品价值还要经过实际保护证据、安全性、程序、支付和接种推广。</w:t>
      </w:r>
      <w:r>
        <w:rPr/>
        <w:t>2026</w:t>
      </w:r>
      <w:r>
        <w:rPr/>
        <w:t>年</w:t>
      </w:r>
      <w:r>
        <w:rPr/>
        <w:t>2</w:t>
      </w:r>
      <w:r>
        <w:rPr/>
        <w:t>月四价产品的年龄范围扩展至三个月至六岁，即截至</w:t>
      </w:r>
      <w:r>
        <w:rPr/>
        <w:t>83</w:t>
      </w:r>
      <w:r>
        <w:rPr/>
        <w:t>个月；</w:t>
      </w:r>
      <w:r>
        <w:rPr/>
        <w:t>7</w:t>
      </w:r>
      <w:r>
        <w:rPr/>
        <w:t>月三个月至十七岁补充申请受理。后者在截止日属于审评事项，不能把受理写成已获批或把所有新增年龄人口都计入现年销量。十八至五十九岁的临床总结完成也只是后续申报路径的一步。</w:t>
      </w:r>
    </w:p>
    <w:p>
      <w:pPr>
        <w:pStyle w:val="Normal"/>
        <w:rPr/>
      </w:pPr>
      <w:r>
        <w:rPr/>
        <w:t>年龄扩展可能提高单一产品生命周期价值，因为推广队伍、质控平台和品牌基础可以复用。三个月儿童使用与成人使用的接种频次、基础免疫和加强程序不同，价格和付款者也不同。若把所有人群按同一接种剂量计算，会夸大需求。研究将年龄扩展体现在脑膜炎收入增长而没有独立叠加一个新产品峰值，以防原有收入和新增适应人群被重复计入。下一次更新应优先核对标签、实际接种程序及各年龄销售结构，而非只统计获批国家数。</w:t>
      </w:r>
    </w:p>
    <w:p>
      <w:pPr>
        <w:pStyle w:val="Normal"/>
        <w:rPr/>
      </w:pPr>
      <w:r>
        <w:rPr/>
        <w:t>印尼产品</w:t>
      </w:r>
      <w:r>
        <w:rPr/>
        <w:t>2024</w:t>
      </w:r>
      <w:r>
        <w:rPr/>
        <w:t>年获批、</w:t>
      </w:r>
      <w:r>
        <w:rPr/>
        <w:t>2025</w:t>
      </w:r>
      <w:r>
        <w:rPr/>
        <w:t>年获得清真认证，首批供应在</w:t>
      </w:r>
      <w:r>
        <w:rPr/>
        <w:t>2025</w:t>
      </w:r>
      <w:r>
        <w:rPr/>
        <w:t>年</w:t>
      </w:r>
      <w:r>
        <w:rPr/>
        <w:t>9</w:t>
      </w:r>
      <w:r>
        <w:rPr/>
        <w:t>月；阿根廷</w:t>
      </w:r>
      <w:r>
        <w:rPr/>
        <w:t>2026</w:t>
      </w:r>
      <w:r>
        <w:rPr/>
        <w:t>年</w:t>
      </w:r>
      <w:r>
        <w:rPr/>
        <w:t>6</w:t>
      </w:r>
      <w:r>
        <w:rPr/>
        <w:t>月取得注册。它们说明海外合规和本地化合作正在展开，但各市场疫苗采购预算、价格、供货模式和竞争不同。海外供应若通过技术转移或中间品完成，康希诺获得的净利益可能低于直接成品销售。模型已有</w:t>
      </w:r>
      <w:r>
        <w:rPr/>
        <w:t>Intermediate</w:t>
      </w:r>
      <w:r>
        <w:rPr/>
        <w:t>和</w:t>
      </w:r>
      <w:r>
        <w:rPr/>
        <w:t>Services</w:t>
      </w:r>
      <w:r>
        <w:rPr/>
        <w:t>两项，未把海外注册国家的全部市场再加在脑膜炎自销收入之上。原始合同价格和最低采购承诺未取得时，应承认量和毛利的不确定性。</w:t>
      </w:r>
    </w:p>
    <w:p>
      <w:pPr>
        <w:pStyle w:val="Normal"/>
        <w:rPr/>
      </w:pPr>
      <w:r>
        <w:rPr/>
        <w:t>脑膜炎基准</w:t>
      </w:r>
      <w:r>
        <w:rPr/>
        <w:t>2027</w:t>
      </w:r>
      <w:r>
        <w:rPr/>
        <w:t>至</w:t>
      </w:r>
      <w:r>
        <w:rPr/>
        <w:t>2032</w:t>
      </w:r>
      <w:r>
        <w:rPr/>
        <w:t>年收入由</w:t>
      </w:r>
      <w:r>
        <w:rPr/>
        <w:t>10.3</w:t>
      </w:r>
      <w:r>
        <w:rPr/>
        <w:t>亿元增至</w:t>
      </w:r>
      <w:r>
        <w:rPr/>
        <w:t>14.8</w:t>
      </w:r>
      <w:r>
        <w:rPr/>
        <w:t>亿元，乐观由</w:t>
      </w:r>
      <w:r>
        <w:rPr/>
        <w:t>12.5</w:t>
      </w:r>
      <w:r>
        <w:rPr/>
        <w:t>亿元增至</w:t>
      </w:r>
      <w:r>
        <w:rPr/>
        <w:t>24</w:t>
      </w:r>
      <w:r>
        <w:rPr/>
        <w:t>亿元，悲观则逐渐回落。乐观路径需要年龄扩展、市场教育、采购和海外净利益一起改善；悲观反映竞争及自费预算下降，不是认为疫苗失去全部临床价值。脑膜炎是近期估值最重要的基础之一，敏感性中</w:t>
      </w:r>
      <w:r>
        <w:rPr/>
        <w:t>2027</w:t>
      </w:r>
      <w:r>
        <w:rPr/>
        <w:t>年后净销售减少</w:t>
      </w:r>
      <w:r>
        <w:rPr/>
        <w:t>20%</w:t>
      </w:r>
      <w:r>
        <w:rPr/>
        <w:t>，一年基准内在值由</w:t>
      </w:r>
      <w:r>
        <w:rPr/>
        <w:t>21.76</w:t>
      </w:r>
      <w:r>
        <w:rPr/>
        <w:t>降至</w:t>
      </w:r>
      <w:r>
        <w:rPr/>
        <w:t>18.64</w:t>
      </w:r>
      <w:r>
        <w:rPr/>
        <w:t>港元。该影响明显高于将</w:t>
      </w:r>
      <w:r>
        <w:rPr/>
        <w:t>mRNA</w:t>
      </w:r>
      <w:r>
        <w:rPr/>
        <w:t>净权益完全归零，说明当前应先验证成熟业务。</w:t>
      </w:r>
    </w:p>
    <w:p>
      <w:pPr>
        <w:pStyle w:val="Heading2"/>
        <w:rPr/>
      </w:pPr>
      <w:r>
        <w:rPr>
          <w:color w:val="000000"/>
        </w:rPr>
        <w:t>四 肺炎疫苗和高价产品迭代</w:t>
      </w:r>
    </w:p>
    <w:p>
      <w:pPr>
        <w:pStyle w:val="Normal"/>
        <w:rPr/>
      </w:pPr>
      <w:r>
        <w:rPr/>
        <w:t>PCV13i</w:t>
      </w:r>
      <w:r>
        <w:rPr/>
        <w:t>于</w:t>
      </w:r>
      <w:r>
        <w:rPr/>
        <w:t>2025</w:t>
      </w:r>
      <w:r>
        <w:rPr/>
        <w:t>年</w:t>
      </w:r>
      <w:r>
        <w:rPr/>
        <w:t>6</w:t>
      </w:r>
      <w:r>
        <w:rPr/>
        <w:t>月获批，</w:t>
      </w:r>
      <w:r>
        <w:rPr/>
        <w:t>2026</w:t>
      </w:r>
      <w:r>
        <w:rPr/>
        <w:t>年中报披露在接近三十个省级市场推进。双载体等技术特征需要放在实际临床免疫证据和使用便利性中判断，不能仅以技术名称认定胜过所有竞品。中国肺炎结合疫苗有既有供应、价格竞争和接种程序，进入市场后还需品牌、接种点教育与连续供应。</w:t>
      </w:r>
      <w:r>
        <w:rPr/>
        <w:t>2025</w:t>
      </w:r>
      <w:r>
        <w:rPr/>
        <w:t>年该品销售只有</w:t>
      </w:r>
      <w:r>
        <w:rPr/>
        <w:t>2,073.5</w:t>
      </w:r>
      <w:r>
        <w:rPr/>
        <w:t>万元，提示起量阶段较早；基准</w:t>
      </w:r>
      <w:r>
        <w:rPr/>
        <w:t>2027</w:t>
      </w:r>
      <w:r>
        <w:rPr/>
        <w:t>年</w:t>
      </w:r>
      <w:r>
        <w:rPr/>
        <w:t>2.8</w:t>
      </w:r>
      <w:r>
        <w:rPr/>
        <w:t>亿元和</w:t>
      </w:r>
      <w:r>
        <w:rPr/>
        <w:t>2032</w:t>
      </w:r>
      <w:r>
        <w:rPr/>
        <w:t>年</w:t>
      </w:r>
      <w:r>
        <w:rPr/>
        <w:t>10.3</w:t>
      </w:r>
      <w:r>
        <w:rPr/>
        <w:t>亿元已经假设明显市场渗透，必须由新增订单和回款支撑。</w:t>
      </w:r>
    </w:p>
    <w:p>
      <w:pPr>
        <w:pStyle w:val="Normal"/>
        <w:rPr/>
      </w:pPr>
      <w:r>
        <w:rPr/>
        <w:t>肺炎需求的长期驱动包括儿童疾病负担、接种意识和可及性，负面驱动包括出生数减少、自费支付能力及竞品升级。不能只用儿童总人口乘最高标价当可得收入，还应扣未接种比例、免费计划替代、渠道折扣、剂次数和竞争份额。若纳入公共支付，量可能提高而净单价降低；若维持自费，高毛利也可能伴随低渗透。模型使用分年净销售与毛利假设，让量价变化可单独修改，未把市场空间标题直接转换为现值。</w:t>
      </w:r>
    </w:p>
    <w:p>
      <w:pPr>
        <w:pStyle w:val="Normal"/>
        <w:rPr/>
      </w:pPr>
      <w:r>
        <w:rPr/>
        <w:t>PCV24</w:t>
      </w:r>
      <w:r>
        <w:rPr/>
        <w:t>于</w:t>
      </w:r>
      <w:r>
        <w:rPr/>
        <w:t>2026</w:t>
      </w:r>
      <w:r>
        <w:rPr/>
        <w:t>年</w:t>
      </w:r>
      <w:r>
        <w:rPr/>
        <w:t>1</w:t>
      </w:r>
      <w:r>
        <w:rPr/>
        <w:t>月取得中国临床试验批准，</w:t>
      </w:r>
      <w:r>
        <w:rPr/>
        <w:t>5</w:t>
      </w:r>
      <w:r>
        <w:rPr/>
        <w:t>月开始一期、二期研究并完成首位入组，中报称一期各组入组进行。更高价数有覆盖优势的可能，却要证明每种关键血清型的免疫反应、干扰、安全性和生产一致性。全球没有商业化同名二十四价产品不代表没有二十价、二十一价以及更高价在研竞争。不能把临床试验批准误写成注册批准，也不能因价数高就给予接近成功的概率。基准商业年</w:t>
      </w:r>
      <w:r>
        <w:rPr/>
        <w:t>2032</w:t>
      </w:r>
      <w:r>
        <w:rPr/>
        <w:t>、风险因子</w:t>
      </w:r>
      <w:r>
        <w:rPr/>
        <w:t>43%</w:t>
      </w:r>
      <w:r>
        <w:rPr/>
        <w:t>均是研究假设。</w:t>
      </w:r>
    </w:p>
    <w:p>
      <w:pPr>
        <w:pStyle w:val="Normal"/>
        <w:rPr/>
      </w:pPr>
      <w:r>
        <w:rPr/>
        <w:t>估值把</w:t>
      </w:r>
      <w:r>
        <w:rPr/>
        <w:t>PCV24</w:t>
      </w:r>
      <w:r>
        <w:rPr/>
        <w:t>与蛋白肺炎疫苗增加收入时，按设定比例扣除</w:t>
      </w:r>
      <w:r>
        <w:rPr/>
        <w:t>PCV13</w:t>
      </w:r>
      <w:r>
        <w:rPr/>
        <w:t>的转换销售。消费者可能由旧品转新，而非产生完全新增患者。当前扣重是简化比例，尚非精确接种人群模型；如果未来标签显示覆盖完全不同人群，需要重新计算，而不是保留机械扣除。乐观假设同时考虑更大市场和较低替代比例，悲观则提高替代压力并延后上市。基准</w:t>
      </w:r>
      <w:r>
        <w:rPr/>
        <w:t>PCV</w:t>
      </w:r>
      <w:r>
        <w:rPr/>
        <w:t>及</w:t>
      </w:r>
      <w:r>
        <w:rPr/>
        <w:t>DT</w:t>
      </w:r>
      <w:r>
        <w:rPr/>
        <w:t>新品销售减少</w:t>
      </w:r>
      <w:r>
        <w:rPr/>
        <w:t>30%</w:t>
      </w:r>
      <w:r>
        <w:rPr/>
        <w:t>的敏感性把一年内在值降至</w:t>
      </w:r>
      <w:r>
        <w:rPr/>
        <w:t>15.90</w:t>
      </w:r>
      <w:r>
        <w:rPr/>
        <w:t>港元，显示已批新品也有重要商业风险。</w:t>
      </w:r>
    </w:p>
    <w:p>
      <w:pPr>
        <w:pStyle w:val="Heading2"/>
        <w:rPr/>
      </w:pPr>
      <w:r>
        <w:rPr>
          <w:color w:val="000000"/>
        </w:rPr>
        <w:t>五 百白破 破伤风和成人市场</w:t>
      </w:r>
    </w:p>
    <w:p>
      <w:pPr>
        <w:pStyle w:val="Normal"/>
        <w:rPr/>
      </w:pPr>
      <w:r>
        <w:rPr/>
        <w:t>婴幼儿</w:t>
      </w:r>
      <w:r>
        <w:rPr/>
        <w:t>DT3cP</w:t>
      </w:r>
      <w:r>
        <w:rPr/>
        <w:t>于</w:t>
      </w:r>
      <w:r>
        <w:rPr/>
        <w:t>2026</w:t>
      </w:r>
      <w:r>
        <w:rPr/>
        <w:t>年</w:t>
      </w:r>
      <w:r>
        <w:rPr/>
        <w:t>4</w:t>
      </w:r>
      <w:r>
        <w:rPr/>
        <w:t>月</w:t>
      </w:r>
      <w:r>
        <w:rPr/>
        <w:t>12</w:t>
      </w:r>
      <w:r>
        <w:rPr/>
        <w:t>日获批，初始批签发和十余省份供货已经开展。单组分设计的科学价值需要看临床免疫证据和一致性，商业优势还包括接种程序、价格、替换习惯及长期安全监测。婴幼儿百白破是成熟免疫领域，进入并不意味着立即获得全国份额。公司可能借已有疫苗渠道缩短推广，但该产品的目标医生、接种场景和供应计划与脑膜炎并非完全相同。基准</w:t>
      </w:r>
      <w:r>
        <w:rPr/>
        <w:t>2027</w:t>
      </w:r>
      <w:r>
        <w:rPr/>
        <w:t>年销售</w:t>
      </w:r>
      <w:r>
        <w:rPr/>
        <w:t>1.4</w:t>
      </w:r>
      <w:r>
        <w:rPr/>
        <w:t>亿元，</w:t>
      </w:r>
      <w:r>
        <w:rPr/>
        <w:t>2032</w:t>
      </w:r>
      <w:r>
        <w:rPr/>
        <w:t>年</w:t>
      </w:r>
      <w:r>
        <w:rPr/>
        <w:t>12</w:t>
      </w:r>
      <w:r>
        <w:rPr/>
        <w:t>亿元，要求多年持续渗透。</w:t>
      </w:r>
    </w:p>
    <w:p>
      <w:pPr>
        <w:pStyle w:val="Normal"/>
        <w:rPr/>
      </w:pPr>
      <w:r>
        <w:rPr/>
        <w:t>百白破的机会在于质量、供应稳定及新的产品选择，风险是既有组合疫苗和地方采购改变单品需求。联合疫苗减少接种次数的便利性可能促使用户升级，也可能挤压单品的峰值寿命。研究同时估算</w:t>
      </w:r>
      <w:r>
        <w:rPr/>
        <w:t>DT3cP-Hib-MCV4</w:t>
      </w:r>
      <w:r>
        <w:rPr/>
        <w:t>联合品时扣减婴幼儿</w:t>
      </w:r>
      <w:r>
        <w:rPr/>
        <w:t>DT</w:t>
      </w:r>
      <w:r>
        <w:rPr/>
        <w:t>销售，避免把同一个儿童的整个疗程算两次。未来若有其他公司联合产品更快上市，康希诺单品增长可能短于模型假设；这会同时影响收入、产能使用和营销费用回收，不能只调远期倍数而保留销量。</w:t>
      </w:r>
    </w:p>
    <w:p>
      <w:pPr>
        <w:pStyle w:val="Normal"/>
        <w:rPr/>
      </w:pPr>
      <w:r>
        <w:rPr/>
        <w:t>破伤风疫苗</w:t>
      </w:r>
      <w:r>
        <w:rPr/>
        <w:t>2026</w:t>
      </w:r>
      <w:r>
        <w:rPr/>
        <w:t>年</w:t>
      </w:r>
      <w:r>
        <w:rPr/>
        <w:t>8</w:t>
      </w:r>
      <w:r>
        <w:rPr/>
        <w:t>月</w:t>
      </w:r>
      <w:r>
        <w:rPr/>
        <w:t>20</w:t>
      </w:r>
      <w:r>
        <w:rPr/>
        <w:t>日获批，原</w:t>
      </w:r>
      <w:r>
        <w:rPr/>
        <w:t>2025</w:t>
      </w:r>
      <w:r>
        <w:rPr/>
        <w:t>年</w:t>
      </w:r>
      <w:r>
        <w:rPr/>
        <w:t>3</w:t>
      </w:r>
      <w:r>
        <w:rPr/>
        <w:t>月已与</w:t>
      </w:r>
      <w:r>
        <w:rPr/>
        <w:t>Grand Life Sciences</w:t>
      </w:r>
      <w:r>
        <w:rPr/>
        <w:t>订立大中华区独家推广安排。独家推广不是将全部制造权转让，也不是公司获得终端票价所有利益。原合同完整佣金和净价未足够公开，所以模型对</w:t>
      </w:r>
      <w:r>
        <w:rPr/>
        <w:t>Tetanus</w:t>
      </w:r>
      <w:r>
        <w:rPr/>
        <w:t>采用较低毛利假设，基准</w:t>
      </w:r>
      <w:r>
        <w:rPr/>
        <w:t>50%</w:t>
      </w:r>
      <w:r>
        <w:rPr/>
        <w:t>、乐观</w:t>
      </w:r>
      <w:r>
        <w:rPr/>
        <w:t>58%</w:t>
      </w:r>
      <w:r>
        <w:rPr/>
        <w:t>、悲观</w:t>
      </w:r>
      <w:r>
        <w:rPr/>
        <w:t>40%</w:t>
      </w:r>
      <w:r>
        <w:rPr/>
        <w:t>，作为净经济近似。该项目在近端收入较小，却能拓展产品组合和渠道利用。应关注推广费用、预付款递延和实际销量，而不能把合作公告本身当确定净现金。</w:t>
      </w:r>
    </w:p>
    <w:p>
      <w:pPr>
        <w:pStyle w:val="Normal"/>
        <w:rPr/>
      </w:pPr>
      <w:r>
        <w:rPr/>
        <w:t>青少年和成人</w:t>
      </w:r>
      <w:r>
        <w:rPr/>
        <w:t>Td5cP</w:t>
      </w:r>
      <w:r>
        <w:rPr/>
        <w:t>在</w:t>
      </w:r>
      <w:r>
        <w:rPr/>
        <w:t>2026</w:t>
      </w:r>
      <w:r>
        <w:rPr/>
        <w:t>年</w:t>
      </w:r>
      <w:r>
        <w:rPr/>
        <w:t>5</w:t>
      </w:r>
      <w:r>
        <w:rPr/>
        <w:t>月进入优先审评，</w:t>
      </w:r>
      <w:r>
        <w:rPr/>
        <w:t>8</w:t>
      </w:r>
      <w:r>
        <w:rPr/>
        <w:t>月</w:t>
      </w:r>
      <w:r>
        <w:rPr/>
        <w:t>16</w:t>
      </w:r>
      <w:r>
        <w:rPr/>
        <w:t>日新药申请受理。截止日仍未获批，本研究将其作为单独风险资产，基准</w:t>
      </w:r>
      <w:r>
        <w:rPr/>
        <w:t>2027</w:t>
      </w:r>
      <w:r>
        <w:rPr/>
        <w:t>年商业化和</w:t>
      </w:r>
      <w:r>
        <w:rPr/>
        <w:t>86%</w:t>
      </w:r>
      <w:r>
        <w:rPr/>
        <w:t>风险因子不构成监管预测。成人加强针市场理论规模大，但接种认知、雇主或个人支付和实际推荐程序决定可得收入。模型没有将成人基础人口一次乘标价作为峰值，而取逐步爬坡的净疫苗销售。若审批延迟，短期催化与现金流都需下调；若标签和接种便利性优于假设，长期价值才会上修。</w:t>
      </w:r>
    </w:p>
    <w:p>
      <w:pPr>
        <w:pStyle w:val="Heading2"/>
        <w:rPr/>
      </w:pPr>
      <w:r>
        <w:rPr>
          <w:color w:val="000000"/>
        </w:rPr>
        <w:t>六 脊灰 结核和全球公共卫生项目</w:t>
      </w:r>
    </w:p>
    <w:p>
      <w:pPr>
        <w:pStyle w:val="Normal"/>
        <w:rPr/>
      </w:pPr>
      <w:r>
        <w:rPr/>
        <w:t>重组脊灰</w:t>
      </w:r>
      <w:r>
        <w:rPr/>
        <w:t>VLP</w:t>
      </w:r>
      <w:r>
        <w:rPr/>
        <w:t>项目在澳大利亚开展一期、印尼开展一期和二期，中国</w:t>
      </w:r>
      <w:r>
        <w:rPr/>
        <w:t>2025</w:t>
      </w:r>
      <w:r>
        <w:rPr/>
        <w:t>年</w:t>
      </w:r>
      <w:r>
        <w:rPr/>
        <w:t>7</w:t>
      </w:r>
      <w:r>
        <w:rPr/>
        <w:t>月取得临床许可。中报指出印尼二期主要现场工作完成，下一步根据结果评估开发。现场完成不等于结果达到终点，也不等于三期或注册完成。脊灰疫苗的全球公共卫生价值很大，采购却往往受国际项目、预算、资格、供应稳定和成本约束。公司取得技术与研发资助说明项目受到支持，但资助不是固定采购订单，全球疾病需求也不会自动成为上市公司净利润。</w:t>
      </w:r>
    </w:p>
    <w:p>
      <w:pPr>
        <w:pStyle w:val="Normal"/>
        <w:rPr/>
      </w:pPr>
      <w:r>
        <w:rPr/>
        <w:t>Gates</w:t>
      </w:r>
      <w:r>
        <w:rPr/>
        <w:t>等机构对项目的资助应从商业回报分离。上半年</w:t>
      </w:r>
      <w:r>
        <w:rPr/>
        <w:t>Gates</w:t>
      </w:r>
      <w:r>
        <w:rPr/>
        <w:t>相关其他收入</w:t>
      </w:r>
      <w:r>
        <w:rPr/>
        <w:t>2,796.5</w:t>
      </w:r>
      <w:r>
        <w:rPr/>
        <w:t>万元，可以减轻当期研究负担，可能附有用途和交付条件；它不宜按永久性高毛利服务年金资本化。本模型把资助列单独年度输入并逐步减少，脊灰未来价值则采用全球终端规模转换为康希诺净中间品和技术收入的方式。基准净收入率</w:t>
      </w:r>
      <w:r>
        <w:rPr/>
        <w:t>20%</w:t>
      </w:r>
      <w:r>
        <w:rPr/>
        <w:t>、风险因子</w:t>
      </w:r>
      <w:r>
        <w:rPr/>
        <w:t>43%</w:t>
      </w:r>
      <w:r>
        <w:rPr/>
        <w:t>是研究假设，尚非原合同百分比。若未来公开采购、制造责任和许可条款，应替换该近似。</w:t>
      </w:r>
    </w:p>
    <w:p>
      <w:pPr>
        <w:pStyle w:val="Normal"/>
        <w:rPr/>
      </w:pPr>
      <w:r>
        <w:rPr/>
        <w:t>吸入结核加强疫苗的权利需要准确表述：</w:t>
      </w:r>
      <w:r>
        <w:rPr/>
        <w:t>McMaster</w:t>
      </w:r>
      <w:r>
        <w:rPr/>
        <w:t>相关技术全球独家，同时某些腺病毒专利为非独家，并不等于全球所有结核疫苗技术都由公司垄断。印尼一期在进行，保护效力可能需要大样本和较长随访。结核负担与商业可及性相隔多个步骤，包括使用对象、与现有预防方案的配合、成本及公共采购。模型给该项目较晚商业时间和较低成功率，将其作为有限净许可权益。对于这种长期项目，监管试验许可不能替代比较有效性或现场保护证据。</w:t>
      </w:r>
    </w:p>
    <w:p>
      <w:pPr>
        <w:pStyle w:val="Normal"/>
        <w:rPr/>
      </w:pPr>
      <w:r>
        <w:rPr/>
        <w:t>脊灰与结核可能帮助康希诺建立海外工艺和质量平台，但工艺能力与公司收益归属必须分别核验。如果在合作国投入设备、培训和技术转移，早期现金付出可能先于服务费和版税。汇率、当地税、进口限制与采购信用也会改变净利润。投资者应要求看到分阶段可收款合同和验收事实，再提高近期估值。当前不会把同一项目的中间品、全球终端销售、许可峰值与资助上限全部相加；这类重复计算特别容易使小公司估值被放大。</w:t>
      </w:r>
    </w:p>
    <w:p>
      <w:pPr>
        <w:pStyle w:val="Heading2"/>
        <w:rPr/>
      </w:pPr>
      <w:r>
        <w:rPr>
          <w:color w:val="000000"/>
        </w:rPr>
        <w:t>七 蛋白肺炎 带状疱疹和联合品临床选择权</w:t>
      </w:r>
    </w:p>
    <w:p>
      <w:pPr>
        <w:pStyle w:val="Normal"/>
        <w:rPr/>
      </w:pPr>
      <w:r>
        <w:rPr/>
        <w:t>蛋白肺炎球菌疫苗在</w:t>
      </w:r>
      <w:r>
        <w:rPr/>
        <w:t>2024</w:t>
      </w:r>
      <w:r>
        <w:rPr/>
        <w:t>年</w:t>
      </w:r>
      <w:r>
        <w:rPr/>
        <w:t>4</w:t>
      </w:r>
      <w:r>
        <w:rPr/>
        <w:t>月公布一期初步积极结果，后续阶段仍在评估与规划。初步免疫信号有助于确定技术路线，不等于疾病保护已经成立。相比结合疫苗，蛋白路线的免疫机制、终点与监管可接受性需要独立研究；不能把</w:t>
      </w:r>
      <w:r>
        <w:rPr/>
        <w:t>PCV13</w:t>
      </w:r>
      <w:r>
        <w:rPr/>
        <w:t>的成功概率直接移植过去。基准</w:t>
      </w:r>
      <w:r>
        <w:rPr/>
        <w:t>2035</w:t>
      </w:r>
      <w:r>
        <w:rPr/>
        <w:t>年商业化、</w:t>
      </w:r>
      <w:r>
        <w:rPr/>
        <w:t>28%</w:t>
      </w:r>
      <w:r>
        <w:rPr/>
        <w:t>风险因子体现较早阶段与远期价值，模型仍保留研发费用。若后续没有明确研究设计、终点和投入，公司可能调整优先级，选择权也应相应折价。</w:t>
      </w:r>
    </w:p>
    <w:p>
      <w:pPr>
        <w:pStyle w:val="Normal"/>
        <w:rPr/>
      </w:pPr>
      <w:r>
        <w:rPr/>
        <w:t>带状疱疹</w:t>
      </w:r>
      <w:r>
        <w:rPr/>
        <w:t>ChAdOx1</w:t>
      </w:r>
      <w:r>
        <w:rPr/>
        <w:t>项目与</w:t>
      </w:r>
      <w:r>
        <w:rPr/>
        <w:t>Barinthus</w:t>
      </w:r>
      <w:r>
        <w:rPr/>
        <w:t>合作，加拿大一期已完成，下一步按市场竞争综合评估。临床前与</w:t>
      </w:r>
      <w:r>
        <w:rPr/>
        <w:t>Shingrix</w:t>
      </w:r>
      <w:r>
        <w:rPr/>
        <w:t>的免疫比较不能写成临床有效性领先，因为物种、剂量、免疫终点与保护效果并非同一个证据等级。带状疱疹需求受老龄化和预防意识支持，但既有成熟疫苗提高新产品的安全、效力和支付门槛。模型采用净经济组而不是全权全球销售，权益未公开的部分以明确净收入率近似。若合作范围改变，应直接修改权益，而非只改变峰值。</w:t>
      </w:r>
    </w:p>
    <w:p>
      <w:pPr>
        <w:pStyle w:val="Normal"/>
        <w:rPr/>
      </w:pPr>
      <w:r>
        <w:rPr/>
        <w:t>DT3cP-Hib-MCV4</w:t>
      </w:r>
      <w:r>
        <w:rPr/>
        <w:t>联合疫苗</w:t>
      </w:r>
      <w:r>
        <w:rPr/>
        <w:t>2025</w:t>
      </w:r>
      <w:r>
        <w:rPr/>
        <w:t>年</w:t>
      </w:r>
      <w:r>
        <w:rPr/>
        <w:t>12</w:t>
      </w:r>
      <w:r>
        <w:rPr/>
        <w:t>月启动一期并完成首位入组，中报称一期入组完成。</w:t>
      </w:r>
      <w:r>
        <w:rPr/>
        <w:t>Hib</w:t>
      </w:r>
      <w:r>
        <w:rPr/>
        <w:t>单项一期血清学等信息不能代表联合品已经完成注册性试验；多组分可能存在免疫干扰，生产一致性和安全性也需组合证据。即使各组件已有批准，联合品仍要验证完整产品。模型把其商业化设在基准</w:t>
      </w:r>
      <w:r>
        <w:rPr/>
        <w:t>2033</w:t>
      </w:r>
      <w:r>
        <w:rPr/>
        <w:t>年、成功率</w:t>
      </w:r>
      <w:r>
        <w:rPr/>
        <w:t>39%</w:t>
      </w:r>
      <w:r>
        <w:rPr/>
        <w:t>，并扣单品转换；没有把已获批</w:t>
      </w:r>
      <w:r>
        <w:rPr/>
        <w:t>DT</w:t>
      </w:r>
      <w:r>
        <w:rPr/>
        <w:t>组件的概率套给联合疫苗。它可能改善接种便利性，也可能提高生产与研发成本。</w:t>
      </w:r>
    </w:p>
    <w:p>
      <w:pPr>
        <w:pStyle w:val="Normal"/>
        <w:rPr/>
      </w:pPr>
      <w:r>
        <w:rPr/>
        <w:t>这些项目的价值并非互不相关。肺炎蛋白路线和高价结合路线可能竞争同一预算；联合品成功可能替代自家单品；海外公共项目受同一制造和质量能力约束。当前逐资产概率不等于独立事件概率，乐观情景要求多项结果同时成立，实际联合发生的频率无法由公开资料精确估计。研究保留三情景而不宣称置信度。分项目模型的用途是让读者看清价值来自哪些权利和哪个时间，而不是用数量多制造确定性。</w:t>
      </w:r>
    </w:p>
    <w:p>
      <w:pPr>
        <w:pStyle w:val="Heading2"/>
        <w:rPr/>
      </w:pPr>
      <w:r>
        <w:rPr>
          <w:color w:val="000000"/>
        </w:rPr>
        <w:t xml:space="preserve">八 </w:t>
      </w:r>
      <w:r>
        <w:rPr>
          <w:color w:val="000000"/>
        </w:rPr>
        <w:t>mRNA</w:t>
      </w:r>
      <w:r>
        <w:rPr>
          <w:color w:val="000000"/>
        </w:rPr>
        <w:t>和</w:t>
      </w:r>
      <w:r>
        <w:rPr>
          <w:color w:val="000000"/>
        </w:rPr>
        <w:t>LNP</w:t>
      </w:r>
      <w:r>
        <w:rPr>
          <w:color w:val="000000"/>
        </w:rPr>
        <w:t>平台的合理边界</w:t>
      </w:r>
    </w:p>
    <w:p>
      <w:pPr>
        <w:pStyle w:val="Normal"/>
        <w:rPr/>
      </w:pPr>
      <w:r>
        <w:rPr/>
        <w:t>公司</w:t>
      </w:r>
      <w:r>
        <w:rPr/>
        <w:t>mRNA</w:t>
      </w:r>
      <w:r>
        <w:rPr/>
        <w:t>治疗项目包括胶质母细胞瘤、横纹肌肉瘤、宫颈癌以及体内</w:t>
      </w:r>
      <w:r>
        <w:rPr/>
        <w:t>CAR</w:t>
      </w:r>
      <w:r>
        <w:rPr/>
        <w:t>等早期方向。与</w:t>
      </w:r>
      <w:r>
        <w:rPr/>
        <w:t>PanRu</w:t>
      </w:r>
      <w:r>
        <w:rPr/>
        <w:t>合作涉及</w:t>
      </w:r>
      <w:r>
        <w:rPr/>
        <w:t>ISL3C LNP</w:t>
      </w:r>
      <w:r>
        <w:rPr/>
        <w:t>及</w:t>
      </w:r>
      <w:r>
        <w:rPr/>
        <w:t>PRBT001</w:t>
      </w:r>
      <w:r>
        <w:rPr/>
        <w:t>前列腺项目，</w:t>
      </w:r>
      <w:r>
        <w:rPr/>
        <w:t>2026</w:t>
      </w:r>
      <w:r>
        <w:rPr/>
        <w:t>年</w:t>
      </w:r>
      <w:r>
        <w:rPr/>
        <w:t>8</w:t>
      </w:r>
      <w:r>
        <w:rPr/>
        <w:t>月还公布与</w:t>
      </w:r>
      <w:r>
        <w:rPr/>
        <w:t>deepGeneAI</w:t>
      </w:r>
      <w:r>
        <w:rPr/>
        <w:t>战略框架。框架、平台合作和早期治疗构想具有研发意义，不能视为已收到巨额许可现金或证明治疗成功。不同肿瘤免疫环境、递送效率、毒性和剂量决定临床可行性，其他公司的</w:t>
      </w:r>
      <w:r>
        <w:rPr/>
        <w:t>mRNA</w:t>
      </w:r>
      <w:r>
        <w:rPr/>
        <w:t>积极结果只说明某一路线可能有效，不能替代康希诺自己的证据。</w:t>
      </w:r>
    </w:p>
    <w:p>
      <w:pPr>
        <w:pStyle w:val="Normal"/>
        <w:rPr/>
      </w:pPr>
      <w:r>
        <w:rPr/>
        <w:t>9</w:t>
      </w:r>
      <w:r>
        <w:rPr/>
        <w:t>月</w:t>
      </w:r>
      <w:r>
        <w:rPr/>
        <w:t>30</w:t>
      </w:r>
      <w:r>
        <w:rPr/>
        <w:t>日</w:t>
      </w:r>
      <w:r>
        <w:rPr/>
        <w:t>A</w:t>
      </w:r>
      <w:r>
        <w:rPr/>
        <w:t>股异常波动公告说明海外</w:t>
      </w:r>
      <w:r>
        <w:rPr/>
        <w:t>mRNA</w:t>
      </w:r>
      <w:r>
        <w:rPr/>
        <w:t>阶段性数据背景和公司自身项目仍较早期。研究保留该公告发布时间，封面</w:t>
      </w:r>
      <w:r>
        <w:rPr/>
        <w:t>9</w:t>
      </w:r>
      <w:r>
        <w:rPr/>
        <w:t>月</w:t>
      </w:r>
      <w:r>
        <w:rPr/>
        <w:t>30</w:t>
      </w:r>
      <w:r>
        <w:rPr/>
        <w:t>日与内文日期不同均在截止日前，不用之后资料补强前期判断。里昂</w:t>
      </w:r>
      <w:r>
        <w:rPr/>
        <w:t>8</w:t>
      </w:r>
      <w:r>
        <w:rPr/>
        <w:t>月</w:t>
      </w:r>
      <w:r>
        <w:rPr/>
        <w:t>20</w:t>
      </w:r>
      <w:r>
        <w:rPr/>
        <w:t>日新闻对海外成功及康希诺</w:t>
      </w:r>
      <w:r>
        <w:rPr/>
        <w:t>LNP</w:t>
      </w:r>
      <w:r>
        <w:rPr/>
        <w:t>优势的评价属于机构二手观点，不应写成公司已经完成三期或获</w:t>
      </w:r>
      <w:r>
        <w:rPr/>
        <w:t>FDA</w:t>
      </w:r>
      <w:r>
        <w:rPr/>
        <w:t>批准。技术安全性需要可核验的剂量、患者数、观察时间和不良事件，而不能通过新闻形容词确认。</w:t>
      </w:r>
    </w:p>
    <w:p>
      <w:pPr>
        <w:pStyle w:val="Normal"/>
        <w:rPr/>
      </w:pPr>
      <w:r>
        <w:rPr/>
        <w:t>模型把这些项目集中为一个</w:t>
      </w:r>
      <w:r>
        <w:rPr/>
        <w:t>mRNA</w:t>
      </w:r>
      <w:r>
        <w:rPr/>
        <w:t>净权益组，基准风险因子</w:t>
      </w:r>
      <w:r>
        <w:rPr/>
        <w:t>8%</w:t>
      </w:r>
      <w:r>
        <w:rPr/>
        <w:t>、</w:t>
      </w:r>
      <w:r>
        <w:rPr/>
        <w:t>2038</w:t>
      </w:r>
      <w:r>
        <w:rPr/>
        <w:t>年商业化、净收入率</w:t>
      </w:r>
      <w:r>
        <w:rPr/>
        <w:t>16%</w:t>
      </w:r>
      <w:r>
        <w:rPr/>
        <w:t>。这些输入明确是研究假设，不是合作分成条款或管理层指引。把多个治疗和同一平台分成数个全权全球市场会重复估值，也会忽略研发资源竞争。净组可以保留潜力，又避免同时加入终端销售、</w:t>
      </w:r>
      <w:r>
        <w:rPr/>
        <w:t>CDMO</w:t>
      </w:r>
      <w:r>
        <w:rPr/>
        <w:t>和许可三份收入。未来出现独立临床结果和不同净权利后，可以拆分；当前不应凭领域名称提高近端估值。</w:t>
      </w:r>
    </w:p>
    <w:p>
      <w:pPr>
        <w:pStyle w:val="Normal"/>
        <w:rPr/>
      </w:pPr>
      <w:r>
        <w:rPr/>
        <w:t>敏感性中将</w:t>
      </w:r>
      <w:r>
        <w:rPr/>
        <w:t>mRNA</w:t>
      </w:r>
      <w:r>
        <w:rPr/>
        <w:t>净权益完全归零，一年内在值只从</w:t>
      </w:r>
      <w:r>
        <w:rPr/>
        <w:t>21.76</w:t>
      </w:r>
      <w:r>
        <w:rPr/>
        <w:t>降至</w:t>
      </w:r>
      <w:r>
        <w:rPr/>
        <w:t>21.73</w:t>
      </w:r>
      <w:r>
        <w:rPr/>
        <w:t>港元，说明基准模型并不依赖</w:t>
      </w:r>
      <w:r>
        <w:rPr/>
        <w:t>mRNA</w:t>
      </w:r>
      <w:r>
        <w:rPr/>
        <w:t>热度。乐观路径对这一组给予较高但仍早期的概率，因此远期尾部会扩大。短期股价若主要因平台题材上涨，而成熟疫苗销售和应收款没有改善，技术性强势可以继续但基本面安全边际会减少。投资者应将热度作为成交和预期变化的证据，不作为成功概率的临床证据。</w:t>
      </w:r>
    </w:p>
    <w:p>
      <w:pPr>
        <w:pStyle w:val="Heading2"/>
        <w:rPr/>
      </w:pPr>
      <w:r>
        <w:rPr>
          <w:color w:val="000000"/>
        </w:rPr>
        <w:t>九 毛利 费用与微利的解释</w:t>
      </w:r>
    </w:p>
    <w:p>
      <w:pPr>
        <w:pStyle w:val="Normal"/>
        <w:rPr/>
      </w:pPr>
      <w:r>
        <w:rPr/>
        <w:t>上半年总成本</w:t>
      </w:r>
      <w:r>
        <w:rPr/>
        <w:t>1.33186</w:t>
      </w:r>
      <w:r>
        <w:rPr/>
        <w:t>亿元、毛利</w:t>
      </w:r>
      <w:r>
        <w:rPr/>
        <w:t>4.13467</w:t>
      </w:r>
      <w:r>
        <w:rPr/>
        <w:t>亿元，整体毛利率约</w:t>
      </w:r>
      <w:r>
        <w:rPr/>
        <w:t>75.6%</w:t>
      </w:r>
      <w:r>
        <w:rPr/>
        <w:t>。疫苗毛利</w:t>
      </w:r>
      <w:r>
        <w:rPr/>
        <w:t>3.24309</w:t>
      </w:r>
      <w:r>
        <w:rPr/>
        <w:t>亿元，中间品</w:t>
      </w:r>
      <w:r>
        <w:rPr/>
        <w:t>4,895.7</w:t>
      </w:r>
      <w:r>
        <w:rPr/>
        <w:t>万元，技术服务</w:t>
      </w:r>
      <w:r>
        <w:rPr/>
        <w:t>3,920.1</w:t>
      </w:r>
      <w:r>
        <w:rPr/>
        <w:t>万元，许可</w:t>
      </w:r>
      <w:r>
        <w:rPr/>
        <w:t>100</w:t>
      </w:r>
      <w:r>
        <w:rPr/>
        <w:t>万元。疫苗毛利需要扣</w:t>
      </w:r>
      <w:r>
        <w:rPr/>
        <w:t>6,646,000</w:t>
      </w:r>
      <w:r>
        <w:rPr/>
        <w:t>元库存和退货相关减值一次，不能在成本分部后再扣一次。高毛利疫苗销售能覆盖较多研发和推广，但中间品毛利率约</w:t>
      </w:r>
      <w:r>
        <w:rPr/>
        <w:t>49.5%</w:t>
      </w:r>
      <w:r>
        <w:rPr/>
        <w:t>，服务约</w:t>
      </w:r>
      <w:r>
        <w:rPr/>
        <w:t>73.5%</w:t>
      </w:r>
      <w:r>
        <w:rPr/>
        <w:t>，收入组合改变会影响总利润。总毛利率提升并不总代表同一产品价格改善，也可能是销售结构变化。</w:t>
      </w:r>
    </w:p>
    <w:p>
      <w:pPr>
        <w:pStyle w:val="Normal"/>
        <w:rPr/>
      </w:pPr>
      <w:r>
        <w:rPr/>
        <w:t>销售费</w:t>
      </w:r>
      <w:r>
        <w:rPr/>
        <w:t>1.96681</w:t>
      </w:r>
      <w:r>
        <w:rPr/>
        <w:t>亿元、行政</w:t>
      </w:r>
      <w:r>
        <w:rPr/>
        <w:t>8,503.9</w:t>
      </w:r>
      <w:r>
        <w:rPr/>
        <w:t>万元、费用化研发</w:t>
      </w:r>
      <w:r>
        <w:rPr/>
        <w:t>1.55492</w:t>
      </w:r>
      <w:r>
        <w:rPr/>
        <w:t>亿元、信用减值</w:t>
      </w:r>
      <w:r>
        <w:rPr/>
        <w:t>917.1</w:t>
      </w:r>
      <w:r>
        <w:rPr/>
        <w:t>万元，几项合计已接近大部分毛利。经营利润</w:t>
      </w:r>
      <w:r>
        <w:rPr/>
        <w:t>2,753.7</w:t>
      </w:r>
      <w:r>
        <w:rPr/>
        <w:t>万元，进一步扣净融资成本和税后，集团与归母均亏损</w:t>
      </w:r>
      <w:r>
        <w:rPr/>
        <w:t>72.1</w:t>
      </w:r>
      <w:r>
        <w:rPr/>
        <w:t>万元。其它收入</w:t>
      </w:r>
      <w:r>
        <w:rPr/>
        <w:t>4,658</w:t>
      </w:r>
      <w:r>
        <w:rPr/>
        <w:t>万元中包含</w:t>
      </w:r>
      <w:r>
        <w:rPr/>
        <w:t>Gates</w:t>
      </w:r>
      <w:r>
        <w:rPr/>
        <w:t>资助、政府项目及理财收益，其它收益</w:t>
      </w:r>
      <w:r>
        <w:rPr/>
        <w:t>1,671.1</w:t>
      </w:r>
      <w:r>
        <w:rPr/>
        <w:t>万元包含公允价值和押金等。把接近盈亏平衡的结果直接年化计算</w:t>
      </w:r>
      <w:r>
        <w:rPr/>
        <w:t>PE</w:t>
      </w:r>
      <w:r>
        <w:rPr/>
        <w:t>，会得到高度不稳定的倍数，也掩盖主业盈利尚需改善的事实。</w:t>
      </w:r>
    </w:p>
    <w:p>
      <w:pPr>
        <w:pStyle w:val="Normal"/>
        <w:rPr/>
      </w:pPr>
      <w:r>
        <w:rPr/>
        <w:t>融资成本</w:t>
      </w:r>
      <w:r>
        <w:rPr/>
        <w:t>3,506.5</w:t>
      </w:r>
      <w:r>
        <w:rPr/>
        <w:t>万元中，借款利息</w:t>
      </w:r>
      <w:r>
        <w:rPr/>
        <w:t>1,282</w:t>
      </w:r>
      <w:r>
        <w:rPr/>
        <w:t>万元、租息</w:t>
      </w:r>
      <w:r>
        <w:rPr/>
        <w:t>28</w:t>
      </w:r>
      <w:r>
        <w:rPr/>
        <w:t>万元、银行费用</w:t>
      </w:r>
      <w:r>
        <w:rPr/>
        <w:t>9.3</w:t>
      </w:r>
      <w:r>
        <w:rPr/>
        <w:t>万元和汇兑损失</w:t>
      </w:r>
      <w:r>
        <w:rPr/>
        <w:t>2,187.2</w:t>
      </w:r>
      <w:r>
        <w:rPr/>
        <w:t>万元。汇兑损失不是每期同方向重复的经营支出，但海外经济敞口真实存在；排除当期一次性汇兑作正常利润代理时，必须保留汇率敏感性。利息和税不能因为本金较低就忽略。上半年所得税</w:t>
      </w:r>
      <w:r>
        <w:rPr/>
        <w:t>675.9</w:t>
      </w:r>
      <w:r>
        <w:rPr/>
        <w:t>万元主要递延，现金缴税很少，未来盈利后现金税可能增加，研究并不把当期低现金税永久沿用。</w:t>
      </w:r>
    </w:p>
    <w:p>
      <w:pPr>
        <w:pStyle w:val="Normal"/>
        <w:rPr/>
      </w:pPr>
      <w:r>
        <w:rPr/>
        <w:t>基准费用随收入规模提高，研发</w:t>
      </w:r>
      <w:r>
        <w:rPr/>
        <w:t>2027</w:t>
      </w:r>
      <w:r>
        <w:rPr/>
        <w:t>至</w:t>
      </w:r>
      <w:r>
        <w:rPr/>
        <w:t>2032</w:t>
      </w:r>
      <w:r>
        <w:rPr/>
        <w:t>年由</w:t>
      </w:r>
      <w:r>
        <w:rPr/>
        <w:t>3.4</w:t>
      </w:r>
      <w:r>
        <w:rPr/>
        <w:t>亿元增至</w:t>
      </w:r>
      <w:r>
        <w:rPr/>
        <w:t>6</w:t>
      </w:r>
      <w:r>
        <w:rPr/>
        <w:t>亿元，销售费由</w:t>
      </w:r>
      <w:r>
        <w:rPr/>
        <w:t>4.5</w:t>
      </w:r>
      <w:r>
        <w:rPr/>
        <w:t>亿元增至</w:t>
      </w:r>
      <w:r>
        <w:rPr/>
        <w:t>8.2</w:t>
      </w:r>
      <w:r>
        <w:rPr/>
        <w:t>亿元，行政由</w:t>
      </w:r>
      <w:r>
        <w:rPr/>
        <w:t>1.8</w:t>
      </w:r>
      <w:r>
        <w:rPr/>
        <w:t>亿元增至</w:t>
      </w:r>
      <w:r>
        <w:rPr/>
        <w:t>2.8</w:t>
      </w:r>
      <w:r>
        <w:rPr/>
        <w:t>亿元。风险资产新增收入另加销售费用比例，防止早期产品只加毛利不加商业成本。费用路径已经包含一定规模效应，因此若公司为新品市场投入更高费用，基准利润会低于模型。每年额外增加一亿元研发的敏感性，一年内在值降到</w:t>
      </w:r>
      <w:r>
        <w:rPr/>
        <w:t>20.26</w:t>
      </w:r>
      <w:r>
        <w:rPr/>
        <w:t>港元。研发增加可能提升未来成功概率，但不能自动视为没有经济成本。</w:t>
      </w:r>
    </w:p>
    <w:p>
      <w:pPr>
        <w:pStyle w:val="Heading2"/>
        <w:rPr/>
      </w:pPr>
      <w:r>
        <w:rPr>
          <w:color w:val="000000"/>
        </w:rPr>
        <w:t>十 研发资本化 折旧与现金核验</w:t>
      </w:r>
    </w:p>
    <w:p>
      <w:pPr>
        <w:pStyle w:val="Normal"/>
        <w:rPr/>
      </w:pPr>
      <w:r>
        <w:rPr/>
        <w:t>本次核验发现中英文港股中报文字将</w:t>
      </w:r>
      <w:r>
        <w:rPr/>
        <w:t>6,709.8</w:t>
      </w:r>
      <w:r>
        <w:rPr/>
        <w:t>万元称为资本化开发成本，但</w:t>
      </w:r>
      <w:r>
        <w:rPr/>
        <w:t>PRC</w:t>
      </w:r>
      <w:r>
        <w:rPr/>
        <w:t>完整半年度研发附表明确：费用化</w:t>
      </w:r>
      <w:r>
        <w:rPr/>
        <w:t>1.5549225483</w:t>
      </w:r>
      <w:r>
        <w:rPr/>
        <w:t>亿元、本期新增资本化</w:t>
      </w:r>
      <w:r>
        <w:rPr/>
        <w:t>1,035.911868</w:t>
      </w:r>
      <w:r>
        <w:rPr/>
        <w:t>万元，合计投入</w:t>
      </w:r>
      <w:r>
        <w:rPr/>
        <w:t>1.6585137351</w:t>
      </w:r>
      <w:r>
        <w:rPr/>
        <w:t>亿元；期初开发余额</w:t>
      </w:r>
      <w:r>
        <w:rPr/>
        <w:t>1.2494118222</w:t>
      </w:r>
      <w:r>
        <w:rPr/>
        <w:t>亿元、本期增加</w:t>
      </w:r>
      <w:r>
        <w:rPr/>
        <w:t>1,035.911868</w:t>
      </w:r>
      <w:r>
        <w:rPr/>
        <w:t>万元、本期转入无形资产</w:t>
      </w:r>
      <w:r>
        <w:rPr/>
        <w:t>6,709.775302</w:t>
      </w:r>
      <w:r>
        <w:rPr/>
        <w:t>万元、期末</w:t>
      </w:r>
      <w:r>
        <w:rPr/>
        <w:t>6,820.254788</w:t>
      </w:r>
      <w:r>
        <w:rPr/>
        <w:t>万元。两份披露的数字可以在转结项目上对应，因此不能把</w:t>
      </w:r>
      <w:r>
        <w:rPr/>
        <w:t>6,709.8</w:t>
      </w:r>
      <w:r>
        <w:rPr/>
        <w:t>万元再次当本期研发现金新增大扣。</w:t>
      </w:r>
    </w:p>
    <w:p>
      <w:pPr>
        <w:pStyle w:val="Normal"/>
        <w:rPr/>
      </w:pPr>
      <w:r>
        <w:rPr/>
        <w:t>现金流原件购建固定资产</w:t>
      </w:r>
      <w:r>
        <w:rPr/>
        <w:t>4,511.8</w:t>
      </w:r>
      <w:r>
        <w:rPr/>
        <w:t>万元、无形资产</w:t>
      </w:r>
      <w:r>
        <w:rPr/>
        <w:t>1,237.8</w:t>
      </w:r>
      <w:r>
        <w:rPr/>
        <w:t>万元，合计</w:t>
      </w:r>
      <w:r>
        <w:rPr/>
        <w:t>5,749.6</w:t>
      </w:r>
      <w:r>
        <w:rPr/>
        <w:t>万元，与</w:t>
      </w:r>
      <w:r>
        <w:rPr/>
        <w:t>PRC</w:t>
      </w:r>
      <w:r>
        <w:rPr/>
        <w:t>现金购建</w:t>
      </w:r>
      <w:r>
        <w:rPr/>
        <w:t>5,749.589013</w:t>
      </w:r>
      <w:r>
        <w:rPr/>
        <w:t>万元接近一致。会计固定资产新增</w:t>
      </w:r>
      <w:r>
        <w:rPr/>
        <w:t>3,210.3</w:t>
      </w:r>
      <w:r>
        <w:rPr/>
        <w:t>万元、软件新增</w:t>
      </w:r>
      <w:r>
        <w:rPr/>
        <w:t>201.9</w:t>
      </w:r>
      <w:r>
        <w:rPr/>
        <w:t>万元也不能替代真实现金支出，因为付款时点、应付设备款和资产转移不同。本模型以实际现金资本开支作为半年锚，全年预算减去这笔已付金额，开发转结不额外扣现金。未来</w:t>
      </w:r>
      <w:r>
        <w:rPr/>
        <w:t>capex</w:t>
      </w:r>
      <w:r>
        <w:rPr/>
        <w:t>包含设备、资本化研发和维护需求，仍需用新报告校正。</w:t>
      </w:r>
    </w:p>
    <w:p>
      <w:pPr>
        <w:pStyle w:val="Normal"/>
        <w:rPr/>
      </w:pPr>
      <w:r>
        <w:rPr/>
        <w:t>上半年损益内固定资产折旧</w:t>
      </w:r>
      <w:r>
        <w:rPr/>
        <w:t>8,090.4</w:t>
      </w:r>
      <w:r>
        <w:rPr/>
        <w:t>万元、使用权资产</w:t>
      </w:r>
      <w:r>
        <w:rPr/>
        <w:t>418.1</w:t>
      </w:r>
      <w:r>
        <w:rPr/>
        <w:t>万元、无形资产摊销</w:t>
      </w:r>
      <w:r>
        <w:rPr/>
        <w:t>1,239.6</w:t>
      </w:r>
      <w:r>
        <w:rPr/>
        <w:t>万元。模型折旧预算包含使用权折旧加回，正常利润中仍扣租息，现金另外扣租赁本金，形成租赁总现金负担，而不是加回折旧后遗忘租金。未来使用权新增和续租仍可能提高现金支出，当前用年度租本金和利息近似。</w:t>
      </w:r>
      <w:r>
        <w:rPr/>
        <w:t>FCFF</w:t>
      </w:r>
      <w:r>
        <w:rPr/>
        <w:t>列只作经营现金参考，最终价值来自股东分配，不把</w:t>
      </w:r>
      <w:r>
        <w:rPr/>
        <w:t>FCFF</w:t>
      </w:r>
      <w:r>
        <w:rPr/>
        <w:t>与分配同时折现。这个边界需要在表内可见。</w:t>
      </w:r>
    </w:p>
    <w:p>
      <w:pPr>
        <w:pStyle w:val="Normal"/>
        <w:rPr/>
      </w:pPr>
      <w:r>
        <w:rPr/>
        <w:t>股份支付上半年</w:t>
      </w:r>
      <w:r>
        <w:rPr/>
        <w:t>2,494.8</w:t>
      </w:r>
      <w:r>
        <w:rPr/>
        <w:t>万元，不是当期现金购买费用，但会通过股权激励转成每股经济稀释。模型加回非现金</w:t>
      </w:r>
      <w:r>
        <w:rPr/>
        <w:t>SBC</w:t>
      </w:r>
      <w:r>
        <w:rPr/>
        <w:t>时，未来已授期权和新增员工股份保留在分母，不能一面加回全部费用、一面假设永久无稀释。已授期权行权还会给公司现金，金额与发行股数同时滚动。库存和在建工程有资本化员工成本，研究</w:t>
      </w:r>
      <w:r>
        <w:rPr/>
        <w:t>SBC</w:t>
      </w:r>
      <w:r>
        <w:rPr/>
        <w:t>与折旧预算是集团经济近似，尚不是各项目成本分配审计。若资本化比例明显改变，需要重建利润与现金桥。</w:t>
      </w:r>
    </w:p>
    <w:p>
      <w:pPr>
        <w:pStyle w:val="Heading2"/>
        <w:rPr/>
      </w:pPr>
      <w:r>
        <w:rPr>
          <w:color w:val="000000"/>
        </w:rPr>
        <w:t>十一 现金流和资金可用性</w:t>
      </w:r>
    </w:p>
    <w:p>
      <w:pPr>
        <w:pStyle w:val="Normal"/>
        <w:rPr/>
      </w:pPr>
      <w:r>
        <w:rPr/>
        <w:t>港股口径上半年经营现金流为负</w:t>
      </w:r>
      <w:r>
        <w:rPr/>
        <w:t>1.19548</w:t>
      </w:r>
      <w:r>
        <w:rPr/>
        <w:t>亿元，</w:t>
      </w:r>
      <w:r>
        <w:rPr/>
        <w:t>PRC</w:t>
      </w:r>
      <w:r>
        <w:rPr/>
        <w:t>口径负</w:t>
      </w:r>
      <w:r>
        <w:rPr/>
        <w:t>1.0665779167</w:t>
      </w:r>
      <w:r>
        <w:rPr/>
        <w:t>亿元，两者差约</w:t>
      </w:r>
      <w:r>
        <w:rPr/>
        <w:t>1,289</w:t>
      </w:r>
      <w:r>
        <w:rPr/>
        <w:t>万元，来自资产相关资助分类。不能选择</w:t>
      </w:r>
      <w:r>
        <w:rPr/>
        <w:t>PRC</w:t>
      </w:r>
      <w:r>
        <w:rPr/>
        <w:t>较小流出作为经营表现，又在投资现金继续加入同一补助。公司投资现金净流入</w:t>
      </w:r>
      <w:r>
        <w:rPr/>
        <w:t>4.14339</w:t>
      </w:r>
      <w:r>
        <w:rPr/>
        <w:t>亿元主要由理财赎回等支持，不是销售经营赚取；融资净流出</w:t>
      </w:r>
      <w:r>
        <w:rPr/>
        <w:t>3.25632</w:t>
      </w:r>
      <w:r>
        <w:rPr/>
        <w:t>亿元有银行还款。期末现金比年初减少并受汇率影响，因此账面收入增长与现金增量并不一致。研究使用同一港股锚，</w:t>
      </w:r>
      <w:r>
        <w:rPr/>
        <w:t>PRC</w:t>
      </w:r>
      <w:r>
        <w:rPr/>
        <w:t>用于解释差异。</w:t>
      </w:r>
    </w:p>
    <w:p>
      <w:pPr>
        <w:pStyle w:val="Normal"/>
        <w:rPr/>
      </w:pPr>
      <w:r>
        <w:rPr/>
        <w:t>首年现金预测采用全年经济现金预算减去已知上半年综合现金收益，而非把全年经营利润机械乘一半。已知港股经营流出</w:t>
      </w:r>
      <w:r>
        <w:rPr/>
        <w:t>1.19548</w:t>
      </w:r>
      <w:r>
        <w:rPr/>
        <w:t>亿元，加投资收益收现</w:t>
      </w:r>
      <w:r>
        <w:rPr/>
        <w:t>4,353.1</w:t>
      </w:r>
      <w:r>
        <w:rPr/>
        <w:t>万元、减已付融资利息</w:t>
      </w:r>
      <w:r>
        <w:rPr/>
        <w:t>1,309.5</w:t>
      </w:r>
      <w:r>
        <w:rPr/>
        <w:t>万元，得到可比半年经济现金锚负</w:t>
      </w:r>
      <w:r>
        <w:rPr/>
        <w:t>8,911.2</w:t>
      </w:r>
      <w:r>
        <w:rPr/>
        <w:t>万元；全年正常利润、折旧、</w:t>
      </w:r>
      <w:r>
        <w:rPr/>
        <w:t>SBC</w:t>
      </w:r>
      <w:r>
        <w:rPr/>
        <w:t>和营运资金预算减去这一已发生部分，再扣剩余</w:t>
      </w:r>
      <w:r>
        <w:rPr/>
        <w:t>capex</w:t>
      </w:r>
      <w:r>
        <w:rPr/>
        <w:t>、还债和租本金。这样避免六月现金已经包含上半年结果后，又重复使用前半年的经营现金。预测仍需解释全年税与季节性差异。</w:t>
      </w:r>
    </w:p>
    <w:p>
      <w:pPr>
        <w:pStyle w:val="Normal"/>
        <w:rPr/>
      </w:pPr>
      <w:r>
        <w:rPr/>
        <w:t>期末现金</w:t>
      </w:r>
      <w:r>
        <w:rPr/>
        <w:t>11.72180</w:t>
      </w:r>
      <w:r>
        <w:rPr/>
        <w:t>亿元、当前定存</w:t>
      </w:r>
      <w:r>
        <w:rPr/>
        <w:t>1.64612</w:t>
      </w:r>
      <w:r>
        <w:rPr/>
        <w:t>亿元、长期定存</w:t>
      </w:r>
      <w:r>
        <w:rPr/>
        <w:t>3.00642</w:t>
      </w:r>
      <w:r>
        <w:rPr/>
        <w:t>亿元、结构性理财</w:t>
      </w:r>
      <w:r>
        <w:rPr/>
        <w:t>5.06378</w:t>
      </w:r>
      <w:r>
        <w:rPr/>
        <w:t>亿元，四项分开滚动。长期定存到期续存进入非流动，不等于随时可自由提款；理财赎回假设需考虑期限和风险。衍生资产</w:t>
      </w:r>
      <w:r>
        <w:rPr/>
        <w:t>139.4</w:t>
      </w:r>
      <w:r>
        <w:rPr/>
        <w:t>万元不是结构性本金，受限现金</w:t>
      </w:r>
      <w:r>
        <w:rPr/>
        <w:t>57.9</w:t>
      </w:r>
      <w:r>
        <w:rPr/>
        <w:t>万元也不当作一般现金。非流动金融资产</w:t>
      </w:r>
      <w:r>
        <w:rPr/>
        <w:t>1.68657</w:t>
      </w:r>
      <w:r>
        <w:rPr/>
        <w:t>亿元包括基金</w:t>
      </w:r>
      <w:r>
        <w:rPr/>
        <w:t>1.11013</w:t>
      </w:r>
      <w:r>
        <w:rPr/>
        <w:t>亿元和权益</w:t>
      </w:r>
      <w:r>
        <w:rPr/>
        <w:t>5,764.4</w:t>
      </w:r>
      <w:r>
        <w:rPr/>
        <w:t>万元，只在终末折价回收，不作为当前现金跑道。未来更精确的合同条款应更新赎回计划。</w:t>
      </w:r>
    </w:p>
    <w:p>
      <w:pPr>
        <w:pStyle w:val="Normal"/>
        <w:rPr/>
      </w:pPr>
      <w:r>
        <w:rPr/>
        <w:t>定存和理财赎回增加现金，同时减少原余额，不能新增一笔财富；相关收益单独按年初余额和研究利率计入正常利润，再随着赎回减少。基准结构性产品</w:t>
      </w:r>
      <w:r>
        <w:rPr/>
        <w:t>2026</w:t>
      </w:r>
      <w:r>
        <w:rPr/>
        <w:t>年赎回</w:t>
      </w:r>
      <w:r>
        <w:rPr/>
        <w:t>2.5</w:t>
      </w:r>
      <w:r>
        <w:rPr/>
        <w:t>亿元、</w:t>
      </w:r>
      <w:r>
        <w:rPr/>
        <w:t>2027</w:t>
      </w:r>
      <w:r>
        <w:rPr/>
        <w:t>年余额全部赎回，长期定存</w:t>
      </w:r>
      <w:r>
        <w:rPr/>
        <w:t>2027</w:t>
      </w:r>
      <w:r>
        <w:rPr/>
        <w:t>年到期使用；这些是资金计划，不是已发生记录。利息使用年初余额为简化，实际年内到期和税可能造成差异。资金保障需要看可用日，而不只看年末余额，因此未来集中付款与兑付日期应进一步核验。</w:t>
      </w:r>
    </w:p>
    <w:p>
      <w:pPr>
        <w:pStyle w:val="Heading2"/>
        <w:rPr/>
      </w:pPr>
      <w:r>
        <w:rPr>
          <w:color w:val="000000"/>
        </w:rPr>
        <w:t>十二 应收款 库存和退款风险</w:t>
      </w:r>
    </w:p>
    <w:p>
      <w:pPr>
        <w:pStyle w:val="Normal"/>
        <w:rPr/>
      </w:pPr>
      <w:r>
        <w:rPr/>
        <w:t>期末应收款净额</w:t>
      </w:r>
      <w:r>
        <w:rPr/>
        <w:t>9.59990</w:t>
      </w:r>
      <w:r>
        <w:rPr/>
        <w:t>亿元、总额</w:t>
      </w:r>
      <w:r>
        <w:rPr/>
        <w:t>10.09133</w:t>
      </w:r>
      <w:r>
        <w:rPr/>
        <w:t>亿元、准备</w:t>
      </w:r>
      <w:r>
        <w:rPr/>
        <w:t>4,914.3</w:t>
      </w:r>
      <w:r>
        <w:rPr/>
        <w:t>万元，相比半年收入规模很大。账龄净额中一年以内仍占多数，但一至二年</w:t>
      </w:r>
      <w:r>
        <w:rPr/>
        <w:t>9,684.4</w:t>
      </w:r>
      <w:r>
        <w:rPr/>
        <w:t>万元、超过二年</w:t>
      </w:r>
      <w:r>
        <w:rPr/>
        <w:t>3,121.9</w:t>
      </w:r>
      <w:r>
        <w:rPr/>
        <w:t>万元也需注意。公司授信通常九十至二百七十日，回款偏慢可能反映采购流程，也可能是渠道库存或信用风险。不能只以坏账准备比例小认定风险小，接种和采购制度会改变可回收时间。营运资金模型保留显著现金占用，不假设收入全当期收回。</w:t>
      </w:r>
    </w:p>
    <w:p>
      <w:pPr>
        <w:pStyle w:val="Normal"/>
        <w:rPr/>
      </w:pPr>
      <w:r>
        <w:rPr/>
        <w:t>库存净额</w:t>
      </w:r>
      <w:r>
        <w:rPr/>
        <w:t>3.79118</w:t>
      </w:r>
      <w:r>
        <w:rPr/>
        <w:t>亿元、账面总额</w:t>
      </w:r>
      <w:r>
        <w:rPr/>
        <w:t>7.18882</w:t>
      </w:r>
      <w:r>
        <w:rPr/>
        <w:t>亿元、已减记</w:t>
      </w:r>
      <w:r>
        <w:rPr/>
        <w:t>3.39764</w:t>
      </w:r>
      <w:r>
        <w:rPr/>
        <w:t>亿元，历史产能与产品需求变化留下明显影响。疫苗有效期、批签发、冷链和退货条件意味着库存不完全等于未来可售现金。已减记资产仍可能有有限价值，但不能按账面毛额加到现金或</w:t>
      </w:r>
      <w:r>
        <w:rPr/>
        <w:t>NAV</w:t>
      </w:r>
      <w:r>
        <w:rPr/>
        <w:t>。若新品供应持续增加而终端接种未同步，存货和营销应付款会扩大。未来应核验产品类别、有效期和退货承诺，而不是用全库存除收入得到简单周转天数后下结论。</w:t>
      </w:r>
    </w:p>
    <w:p>
      <w:pPr>
        <w:pStyle w:val="Normal"/>
        <w:rPr/>
      </w:pPr>
      <w:r>
        <w:rPr/>
        <w:t>退款负债</w:t>
      </w:r>
      <w:r>
        <w:rPr/>
        <w:t>7,728.9</w:t>
      </w:r>
      <w:r>
        <w:rPr/>
        <w:t>万元，</w:t>
      </w:r>
      <w:r>
        <w:rPr/>
        <w:t>2025</w:t>
      </w:r>
      <w:r>
        <w:rPr/>
        <w:t>年底为</w:t>
      </w:r>
      <w:r>
        <w:rPr/>
        <w:t>5,302.5</w:t>
      </w:r>
      <w:r>
        <w:rPr/>
        <w:t>万元，增加值得跟踪。这不是所有销量必然退回，但说明收入可存在估计调整。应付推广费</w:t>
      </w:r>
      <w:r>
        <w:rPr/>
        <w:t>2.00430</w:t>
      </w:r>
      <w:r>
        <w:rPr/>
        <w:t>亿元、临床费</w:t>
      </w:r>
      <w:r>
        <w:rPr/>
        <w:t>6,591</w:t>
      </w:r>
      <w:r>
        <w:rPr/>
        <w:t>万元、资本款</w:t>
      </w:r>
      <w:r>
        <w:rPr/>
        <w:t>6,330.2</w:t>
      </w:r>
      <w:r>
        <w:rPr/>
        <w:t>万元和薪资等都影响未来现金安排。用账面货币资金减银行债得到很高净现金时，如果完全不看经营应付款和剩余投入，会高估可分配金额。本模型在未来</w:t>
      </w:r>
      <w:r>
        <w:rPr/>
        <w:t>NWC</w:t>
      </w:r>
      <w:r>
        <w:rPr/>
        <w:t>、研发、推广和</w:t>
      </w:r>
      <w:r>
        <w:rPr/>
        <w:t>capex</w:t>
      </w:r>
      <w:r>
        <w:rPr/>
        <w:t>中保留需求，未将所有应付再一次全扣为已结算债。</w:t>
      </w:r>
    </w:p>
    <w:p>
      <w:pPr>
        <w:pStyle w:val="Normal"/>
        <w:rPr/>
      </w:pPr>
      <w:r>
        <w:rPr/>
        <w:t>推翻回款改善判断的证据包括：收入增长伴随一年以上应收占比持续上升；退款负债与发货同幅或更快增长；渠道备货和终端接种之间的差距扩大；理财赎回成为补日常支出的主要来源。相反，成熟产品回款缩短、退款估计下降且新品订单重复，才能提高商业质量分。当前基准现金最低约</w:t>
      </w:r>
      <w:r>
        <w:rPr/>
        <w:t>14.719</w:t>
      </w:r>
      <w:r>
        <w:rPr/>
        <w:t>亿元不是当前母公司可随时分红现金，而是研究预算在产品按假设增长时的年度余额。它不能代替对客户信用与资金可调配的验证。</w:t>
      </w:r>
    </w:p>
    <w:p>
      <w:pPr>
        <w:pStyle w:val="Heading2"/>
        <w:rPr/>
      </w:pPr>
      <w:r>
        <w:rPr>
          <w:color w:val="000000"/>
        </w:rPr>
        <w:t>十三 银行负债 工业园和资本纪律</w:t>
      </w:r>
    </w:p>
    <w:p>
      <w:pPr>
        <w:pStyle w:val="Normal"/>
        <w:rPr/>
      </w:pPr>
      <w:r>
        <w:rPr/>
        <w:t>六月银行借款总额</w:t>
      </w:r>
      <w:r>
        <w:rPr/>
        <w:t>9.66498</w:t>
      </w:r>
      <w:r>
        <w:rPr/>
        <w:t>亿元，包含应计利息</w:t>
      </w:r>
      <w:r>
        <w:rPr/>
        <w:t>59</w:t>
      </w:r>
      <w:r>
        <w:rPr/>
        <w:t>万元，本金</w:t>
      </w:r>
      <w:r>
        <w:rPr/>
        <w:t>9.65908</w:t>
      </w:r>
      <w:r>
        <w:rPr/>
        <w:t>亿元。固定利率</w:t>
      </w:r>
      <w:r>
        <w:rPr/>
        <w:t>7,699</w:t>
      </w:r>
      <w:r>
        <w:rPr/>
        <w:t>万元、浮动</w:t>
      </w:r>
      <w:r>
        <w:rPr/>
        <w:t>8.88918</w:t>
      </w:r>
      <w:r>
        <w:rPr/>
        <w:t>亿元，披露利率约</w:t>
      </w:r>
      <w:r>
        <w:rPr/>
        <w:t>2.10%</w:t>
      </w:r>
      <w:r>
        <w:rPr/>
        <w:t>至</w:t>
      </w:r>
      <w:r>
        <w:rPr/>
        <w:t>2.30%</w:t>
      </w:r>
      <w:r>
        <w:rPr/>
        <w:t>。到期分布小于一年</w:t>
      </w:r>
      <w:r>
        <w:rPr/>
        <w:t>6,628.4</w:t>
      </w:r>
      <w:r>
        <w:rPr/>
        <w:t>万元、一至二年</w:t>
      </w:r>
      <w:r>
        <w:rPr/>
        <w:t>4.29404</w:t>
      </w:r>
      <w:r>
        <w:rPr/>
        <w:t>亿元、二至五年</w:t>
      </w:r>
      <w:r>
        <w:rPr/>
        <w:t>2.58646</w:t>
      </w:r>
      <w:r>
        <w:rPr/>
        <w:t>亿元、五年以上</w:t>
      </w:r>
      <w:r>
        <w:rPr/>
        <w:t>2.12164</w:t>
      </w:r>
      <w:r>
        <w:rPr/>
        <w:t>亿元。模型本金与应计利息分开，未来利息按余额和研究利率算，不把已计利息永远累加。利率低有融资优势，但集中到期和银行续贷仍需要经营及抵押支持。</w:t>
      </w:r>
    </w:p>
    <w:p>
      <w:pPr>
        <w:pStyle w:val="Normal"/>
        <w:rPr/>
      </w:pPr>
      <w:r>
        <w:rPr/>
        <w:t>基准</w:t>
      </w:r>
      <w:r>
        <w:rPr/>
        <w:t>2027</w:t>
      </w:r>
      <w:r>
        <w:rPr/>
        <w:t>年还</w:t>
      </w:r>
      <w:r>
        <w:rPr/>
        <w:t>2.5</w:t>
      </w:r>
      <w:r>
        <w:rPr/>
        <w:t>亿元，其余一至二年部分分后续年份处理，隐含续贷安排，不能称银行已经承诺。压力测试把</w:t>
      </w:r>
      <w:r>
        <w:rPr/>
        <w:t>2027</w:t>
      </w:r>
      <w:r>
        <w:rPr/>
        <w:t>年完整一至二年本金</w:t>
      </w:r>
      <w:r>
        <w:rPr/>
        <w:t>4.29404</w:t>
      </w:r>
      <w:r>
        <w:rPr/>
        <w:t>亿元归还，内在值略变而资金仍充足；将全部剩余银行</w:t>
      </w:r>
      <w:r>
        <w:rPr/>
        <w:t>2027</w:t>
      </w:r>
      <w:r>
        <w:rPr/>
        <w:t>年归还，最低现金约</w:t>
      </w:r>
      <w:r>
        <w:rPr/>
        <w:t>12.675</w:t>
      </w:r>
      <w:r>
        <w:rPr/>
        <w:t>亿元，模型同样未失败。这个结果表明基准业务增长下单独不续贷不是必然生存障碍，不能为了风险叙述把公司说成依赖续贷才能活。收入和回款同时走弱时才会扩大资金压力。</w:t>
      </w:r>
    </w:p>
    <w:p>
      <w:pPr>
        <w:pStyle w:val="Normal"/>
        <w:rPr/>
      </w:pPr>
      <w:r>
        <w:rPr/>
        <w:t>工业园计划总投入约</w:t>
      </w:r>
      <w:r>
        <w:rPr/>
        <w:t>22.447</w:t>
      </w:r>
      <w:r>
        <w:rPr/>
        <w:t>亿元、累计投入约</w:t>
      </w:r>
      <w:r>
        <w:rPr/>
        <w:t>9.057</w:t>
      </w:r>
      <w:r>
        <w:rPr/>
        <w:t>亿元，计划余约</w:t>
      </w:r>
      <w:r>
        <w:rPr/>
        <w:t>13.39</w:t>
      </w:r>
      <w:r>
        <w:rPr/>
        <w:t>亿元。合同资本承诺只有</w:t>
      </w:r>
      <w:r>
        <w:rPr/>
        <w:t>1,746.6</w:t>
      </w:r>
      <w:r>
        <w:rPr/>
        <w:t>万元不能当未来投入上限，因为整个计划未必已签完合同且节奏可调整。模型</w:t>
      </w:r>
      <w:r>
        <w:rPr/>
        <w:t>2026</w:t>
      </w:r>
      <w:r>
        <w:rPr/>
        <w:t>至</w:t>
      </w:r>
      <w:r>
        <w:rPr/>
        <w:t>2032</w:t>
      </w:r>
      <w:r>
        <w:rPr/>
        <w:t>基准</w:t>
      </w:r>
      <w:r>
        <w:rPr/>
        <w:t>capex</w:t>
      </w:r>
      <w:r>
        <w:rPr/>
        <w:t>约</w:t>
      </w:r>
      <w:r>
        <w:rPr/>
        <w:t>17.85</w:t>
      </w:r>
      <w:r>
        <w:rPr/>
        <w:t>亿元，除工业园还包含资本化研发、其他设备和维护，没有把所有支出都称园区承诺。若建设延期但仍需维修和利息，现金回收可能慢；若管理层能推迟低回报项目，也可能降低下行压力。关键是实际产能利用和增量回报。</w:t>
      </w:r>
    </w:p>
    <w:p>
      <w:pPr>
        <w:pStyle w:val="Normal"/>
        <w:rPr/>
      </w:pPr>
      <w:r>
        <w:rPr/>
        <w:t>资本开支增加</w:t>
      </w:r>
      <w:r>
        <w:rPr/>
        <w:t>50%</w:t>
      </w:r>
      <w:r>
        <w:rPr/>
        <w:t>的敏感性使一年基准价值降至</w:t>
      </w:r>
      <w:r>
        <w:rPr/>
        <w:t>20.16</w:t>
      </w:r>
      <w:r>
        <w:rPr/>
        <w:t>港元，影响小于新品销售减少，因为估值中的经营毛利随销售持续累积。不能由此推论厂房成本无关紧要，尤其当收入低于基准时，固定成本与建设支出会共同挤压资金。应关注在建工程转固、使用率、折旧增长以及新生产线与已批产品的匹配。闲置旧产线不应因技术平台叙事永久被忽略，历史库存和减值已经说明一次需求跃升可能留下长期成本。</w:t>
      </w:r>
    </w:p>
    <w:p>
      <w:pPr>
        <w:pStyle w:val="Heading2"/>
        <w:rPr/>
      </w:pPr>
      <w:r>
        <w:rPr>
          <w:color w:val="000000"/>
        </w:rPr>
        <w:t xml:space="preserve">十四 股权激励 </w:t>
      </w:r>
      <w:r>
        <w:rPr>
          <w:color w:val="000000"/>
        </w:rPr>
        <w:t>A H</w:t>
      </w:r>
      <w:r>
        <w:rPr>
          <w:color w:val="000000"/>
        </w:rPr>
        <w:t>股数与治理</w:t>
      </w:r>
    </w:p>
    <w:p>
      <w:pPr>
        <w:pStyle w:val="Normal"/>
        <w:rPr/>
      </w:pPr>
      <w:r>
        <w:rPr/>
        <w:t>九月月报总股数</w:t>
      </w:r>
      <w:r>
        <w:rPr/>
        <w:t>2.47043801</w:t>
      </w:r>
      <w:r>
        <w:rPr/>
        <w:t>亿股，</w:t>
      </w:r>
      <w:r>
        <w:rPr/>
        <w:t>H</w:t>
      </w:r>
      <w:r>
        <w:rPr/>
        <w:t>股</w:t>
      </w:r>
      <w:r>
        <w:rPr/>
        <w:t>1.326709</w:t>
      </w:r>
      <w:r>
        <w:rPr/>
        <w:t>亿、</w:t>
      </w:r>
      <w:r>
        <w:rPr/>
        <w:t>A</w:t>
      </w:r>
      <w:r>
        <w:rPr/>
        <w:t>股</w:t>
      </w:r>
      <w:r>
        <w:rPr/>
        <w:t>1.14372901</w:t>
      </w:r>
      <w:r>
        <w:rPr/>
        <w:t>亿，交易所口径库存股零。估值分母使用</w:t>
      </w:r>
      <w:r>
        <w:rPr/>
        <w:t>A/H</w:t>
      </w:r>
      <w:r>
        <w:rPr/>
        <w:t>全体股份，不能把</w:t>
      </w:r>
      <w:r>
        <w:rPr/>
        <w:t>H</w:t>
      </w:r>
      <w:r>
        <w:rPr/>
        <w:t>股类别市值</w:t>
      </w:r>
      <w:r>
        <w:rPr/>
        <w:t>46.4613</w:t>
      </w:r>
      <w:r>
        <w:rPr/>
        <w:t>亿港元当整个公司市值。按</w:t>
      </w:r>
      <w:r>
        <w:rPr/>
        <w:t>H</w:t>
      </w:r>
      <w:r>
        <w:rPr/>
        <w:t>价格给所有股份标记，等价整体市值约</w:t>
      </w:r>
      <w:r>
        <w:rPr/>
        <w:t>86.5147</w:t>
      </w:r>
      <w:r>
        <w:rPr/>
        <w:t>亿港元，属于</w:t>
      </w:r>
      <w:r>
        <w:rPr/>
        <w:t>H</w:t>
      </w:r>
      <w:r>
        <w:rPr/>
        <w:t>价格等价口径，不是两地实际总市值。用户全名单只列</w:t>
      </w:r>
      <w:r>
        <w:rPr/>
        <w:t>H</w:t>
      </w:r>
      <w:r>
        <w:rPr/>
        <w:t>股，但公司基本面和现金属于全部股份，目标</w:t>
      </w:r>
      <w:r>
        <w:rPr/>
        <w:t>HKD</w:t>
      </w:r>
      <w:r>
        <w:rPr/>
        <w:t>应按全股份经济权利计算。</w:t>
      </w:r>
    </w:p>
    <w:p>
      <w:pPr>
        <w:pStyle w:val="Normal"/>
        <w:rPr/>
      </w:pPr>
      <w:r>
        <w:rPr/>
        <w:t>H</w:t>
      </w:r>
      <w:r>
        <w:rPr/>
        <w:t>期权</w:t>
      </w:r>
      <w:r>
        <w:rPr/>
        <w:t>86</w:t>
      </w:r>
      <w:r>
        <w:rPr/>
        <w:t>万股、行权价</w:t>
      </w:r>
      <w:r>
        <w:rPr/>
        <w:t>49.924</w:t>
      </w:r>
      <w:r>
        <w:rPr/>
        <w:t>港元，分四十、三十、三十比例归属，期限至</w:t>
      </w:r>
      <w:r>
        <w:rPr/>
        <w:t>2029</w:t>
      </w:r>
      <w:r>
        <w:rPr/>
        <w:t>年</w:t>
      </w:r>
      <w:r>
        <w:rPr/>
        <w:t>9</w:t>
      </w:r>
      <w:r>
        <w:rPr/>
        <w:t>月</w:t>
      </w:r>
      <w:r>
        <w:rPr/>
        <w:t>26</w:t>
      </w:r>
      <w:r>
        <w:rPr/>
        <w:t>日。现价低于行权价，不能假定立即给公司现金。</w:t>
      </w:r>
      <w:r>
        <w:rPr/>
        <w:t>A</w:t>
      </w:r>
      <w:r>
        <w:rPr/>
        <w:t>股首次授予</w:t>
      </w:r>
      <w:r>
        <w:rPr/>
        <w:t>205.46</w:t>
      </w:r>
      <w:r>
        <w:rPr/>
        <w:t>万股，半年已有</w:t>
      </w:r>
      <w:r>
        <w:rPr/>
        <w:t>2.63</w:t>
      </w:r>
      <w:r>
        <w:rPr/>
        <w:t>万注销，余额</w:t>
      </w:r>
      <w:r>
        <w:rPr/>
        <w:t>202.83</w:t>
      </w:r>
      <w:r>
        <w:rPr/>
        <w:t>万；</w:t>
      </w:r>
      <w:r>
        <w:rPr/>
        <w:t>9</w:t>
      </w:r>
      <w:r>
        <w:rPr/>
        <w:t>月</w:t>
      </w:r>
      <w:r>
        <w:rPr/>
        <w:t>16</w:t>
      </w:r>
      <w:r>
        <w:rPr/>
        <w:t>日另授预留</w:t>
      </w:r>
      <w:r>
        <w:rPr/>
        <w:t>28.74</w:t>
      </w:r>
      <w:r>
        <w:rPr/>
        <w:t>万，研究总未发行已授余额</w:t>
      </w:r>
      <w:r>
        <w:rPr/>
        <w:t>231.57</w:t>
      </w:r>
      <w:r>
        <w:rPr/>
        <w:t>万股，</w:t>
      </w:r>
      <w:r>
        <w:rPr/>
        <w:t>41.20</w:t>
      </w:r>
      <w:r>
        <w:rPr/>
        <w:t>元人民币。月报仍列原授予数且未加新预留，两个来源差异保留，未来公告应继续校正。尚未授予的预留</w:t>
      </w:r>
      <w:r>
        <w:rPr/>
        <w:t>22.71</w:t>
      </w:r>
      <w:r>
        <w:rPr/>
        <w:t>万不作为当前股数。</w:t>
      </w:r>
    </w:p>
    <w:p>
      <w:pPr>
        <w:pStyle w:val="Normal"/>
        <w:rPr/>
      </w:pPr>
      <w:r>
        <w:rPr/>
        <w:t>A</w:t>
      </w:r>
      <w:r>
        <w:rPr/>
        <w:t>股行权经济条件不能由</w:t>
      </w:r>
      <w:r>
        <w:rPr/>
        <w:t>H</w:t>
      </w:r>
      <w:r>
        <w:rPr/>
        <w:t>股价格决定。</w:t>
      </w:r>
      <w:r>
        <w:rPr/>
        <w:t>9</w:t>
      </w:r>
      <w:r>
        <w:rPr/>
        <w:t>月授予公告</w:t>
      </w:r>
      <w:r>
        <w:rPr/>
        <w:t>A</w:t>
      </w:r>
      <w:r>
        <w:rPr/>
        <w:t>市价</w:t>
      </w:r>
      <w:r>
        <w:rPr/>
        <w:t>64.38</w:t>
      </w:r>
      <w:r>
        <w:rPr/>
        <w:t>元高于</w:t>
      </w:r>
      <w:r>
        <w:rPr/>
        <w:t>41.20</w:t>
      </w:r>
      <w:r>
        <w:rPr/>
        <w:t>元，员工激励可能有经济价值，但还需营业收入、临床和个人表现条件。收入考核相对</w:t>
      </w:r>
      <w:r>
        <w:rPr/>
        <w:t>2024</w:t>
      </w:r>
      <w:r>
        <w:rPr/>
        <w:t>基准的不同增长档位不是管理层经营指引，也不是公司保证实现的最低收入。模型基准</w:t>
      </w:r>
      <w:r>
        <w:rPr/>
        <w:t>A</w:t>
      </w:r>
      <w:r>
        <w:rPr/>
        <w:t>在</w:t>
      </w:r>
      <w:r>
        <w:rPr/>
        <w:t>2027</w:t>
      </w:r>
      <w:r>
        <w:rPr/>
        <w:t>和</w:t>
      </w:r>
      <w:r>
        <w:rPr/>
        <w:t>2028</w:t>
      </w:r>
      <w:r>
        <w:rPr/>
        <w:t>年有条件行权，</w:t>
      </w:r>
      <w:r>
        <w:rPr/>
        <w:t>H</w:t>
      </w:r>
      <w:r>
        <w:rPr/>
        <w:t>在</w:t>
      </w:r>
      <w:r>
        <w:rPr/>
        <w:t>2029</w:t>
      </w:r>
      <w:r>
        <w:rPr/>
        <w:t>年行权，乐观更快；悲观不行权。实际</w:t>
      </w:r>
      <w:r>
        <w:rPr/>
        <w:t>H</w:t>
      </w:r>
      <w:r>
        <w:rPr/>
        <w:t>高于行权价也不保证期权全部行使，未来应以真实披露修正现金与股份。</w:t>
      </w:r>
    </w:p>
    <w:p>
      <w:pPr>
        <w:pStyle w:val="Normal"/>
        <w:rPr/>
      </w:pPr>
      <w:r>
        <w:rPr/>
        <w:t>每次行权同时增加股份和现金，</w:t>
      </w:r>
      <w:r>
        <w:rPr/>
        <w:t>A</w:t>
      </w:r>
      <w:r>
        <w:rPr/>
        <w:t>用人民币行权价、</w:t>
      </w:r>
      <w:r>
        <w:rPr/>
        <w:t>H</w:t>
      </w:r>
      <w:r>
        <w:rPr/>
        <w:t>用港元再按研究汇率换为人民币。未来员工新增股单独表示持续激励稀释，既有发行不重复。取消全部已授期权的敏感性，一年内在价略提高至</w:t>
      </w:r>
      <w:r>
        <w:rPr/>
        <w:t>21.89</w:t>
      </w:r>
      <w:r>
        <w:rPr/>
        <w:t>港元，说明行权现金没有抵消全部稀释。治理还需关注推广合作、相关方安排、资金用途和研发优先级；截至现有资料未据此认定违规或利益输送。出现新增大量低价激励或资本分配回报不足时，应下调每股价值和治理评分。</w:t>
      </w:r>
    </w:p>
    <w:p>
      <w:pPr>
        <w:pStyle w:val="Heading2"/>
        <w:rPr/>
      </w:pPr>
      <w:r>
        <w:rPr>
          <w:color w:val="000000"/>
        </w:rPr>
        <w:t>十五 诉讼 税制和宏观传导</w:t>
      </w:r>
    </w:p>
    <w:p>
      <w:pPr>
        <w:pStyle w:val="Normal"/>
        <w:rPr/>
      </w:pPr>
      <w:r>
        <w:rPr/>
        <w:t>Belcher</w:t>
      </w:r>
      <w:r>
        <w:rPr/>
        <w:t>巴西相关诉求约</w:t>
      </w:r>
      <w:r>
        <w:rPr/>
        <w:t>1.67</w:t>
      </w:r>
      <w:r>
        <w:rPr/>
        <w:t>亿雷亚尔，折约</w:t>
      </w:r>
      <w:r>
        <w:rPr/>
        <w:t>2.20</w:t>
      </w:r>
      <w:r>
        <w:rPr/>
        <w:t>亿元人民币，管理层认为有较强抗辩、无拨备且尚未开庭。它不是已判债务，也不能忽略其潜在法律和现金影响。本研究悲观</w:t>
      </w:r>
      <w:r>
        <w:rPr/>
        <w:t>2028</w:t>
      </w:r>
      <w:r>
        <w:rPr/>
        <w:t>年支付</w:t>
      </w:r>
      <w:r>
        <w:rPr/>
        <w:t>2.20</w:t>
      </w:r>
      <w:r>
        <w:rPr/>
        <w:t>亿元作为压力，基准不计已确定赔付；金额和时间均为假设。未来若法院进展、和解或新证据出现，需更新概率和金额，而不是继续保留零拨备推论零风险。海外合同执行、公共采购及政治变化也会影响疫苗合作。</w:t>
      </w:r>
    </w:p>
    <w:p>
      <w:pPr>
        <w:pStyle w:val="Normal"/>
        <w:rPr/>
      </w:pPr>
      <w:r>
        <w:rPr/>
        <w:t>2026</w:t>
      </w:r>
      <w:r>
        <w:rPr/>
        <w:t>年</w:t>
      </w:r>
      <w:r>
        <w:rPr/>
        <w:t>1</w:t>
      </w:r>
      <w:r>
        <w:rPr/>
        <w:t>月</w:t>
      </w:r>
      <w:r>
        <w:rPr/>
        <w:t>1</w:t>
      </w:r>
      <w:r>
        <w:rPr/>
        <w:t>日起疫苗增值税由</w:t>
      </w:r>
      <w:r>
        <w:rPr/>
        <w:t>3%</w:t>
      </w:r>
      <w:r>
        <w:rPr/>
        <w:t>简易转</w:t>
      </w:r>
      <w:r>
        <w:rPr/>
        <w:t>13%</w:t>
      </w:r>
      <w:r>
        <w:rPr/>
        <w:t>一般计税，公司中报明确披露。不能简单给净利润减十个百分点，因为含税报价、可抵进项税、渠道合同和费用结构决定净影响。公司若无法向客户传导税负，净收入和毛利受压；若进项抵扣提高或采购按不含税价协商，影响会不同。模型毛利包含情景下的净结果，未把税制差额作为第二笔完整成本扣除。后续报告需要核验价格、税资产和现金缴税变化。</w:t>
      </w:r>
    </w:p>
    <w:p>
      <w:pPr>
        <w:pStyle w:val="Normal"/>
        <w:rPr/>
      </w:pPr>
      <w:r>
        <w:rPr/>
        <w:t>中国消费与地方公共预算影响自费接种和采购回款，出生数趋势影响婴幼儿市场，老龄化和成人预防可以部分对冲，但不会完全自动替代。利率变化影响银行成本和金融收益，美元、港币与人民币波动影响海外合同和</w:t>
      </w:r>
      <w:r>
        <w:rPr/>
        <w:t>H</w:t>
      </w:r>
      <w:r>
        <w:rPr/>
        <w:t>股持有者换算。港元对人民币升</w:t>
      </w:r>
      <w:r>
        <w:rPr/>
        <w:t>5%</w:t>
      </w:r>
      <w:r>
        <w:rPr/>
        <w:t>时，以港币价计算的回报转成人民币应乘</w:t>
      </w:r>
      <w:r>
        <w:rPr/>
        <w:t>1.05</w:t>
      </w:r>
      <w:r>
        <w:rPr/>
        <w:t>；贬</w:t>
      </w:r>
      <w:r>
        <w:rPr/>
        <w:t>5%</w:t>
      </w:r>
      <w:r>
        <w:rPr/>
        <w:t>则乘</w:t>
      </w:r>
      <w:r>
        <w:rPr/>
        <w:t>0.95</w:t>
      </w:r>
      <w:r>
        <w:rPr/>
        <w:t>，不能把五个百分点直接加到所有回报。公司业务货币风险与投资者换算风险是两个层面，需要分别展示。</w:t>
      </w:r>
    </w:p>
    <w:p>
      <w:pPr>
        <w:pStyle w:val="Normal"/>
        <w:rPr/>
      </w:pPr>
      <w:r>
        <w:rPr/>
        <w:t>国际合作可能受出口、知识产权、审查和公共卫生采购政策影响。疫苗相关技术也不一定与肿瘤药许可享有完全同样的政策豁免，摩根大通行业新闻不是康希诺专属政策保证。产品在当地获批之后还要处理生产资格、质量验证、进口、冷链及支付。宏观利好能够降低折现率或改善资金偏好，却不能代替免疫保护和供货盈利证据。本研究没有用宏观上涨预期覆盖公司销售、临床和现金约束，政策变化应通过具体假设进入模型。</w:t>
      </w:r>
    </w:p>
    <w:p>
      <w:pPr>
        <w:pStyle w:val="Heading2"/>
        <w:rPr/>
      </w:pPr>
      <w:r>
        <w:rPr>
          <w:color w:val="000000"/>
        </w:rPr>
        <w:t>十六 日线均线和关键观察价位</w:t>
      </w:r>
    </w:p>
    <w:p>
      <w:pPr>
        <w:pStyle w:val="Normal"/>
        <w:rPr/>
      </w:pPr>
      <w:r>
        <w:rPr/>
        <w:t>截至</w:t>
      </w:r>
      <w:r>
        <w:rPr/>
        <w:t>10</w:t>
      </w:r>
      <w:r>
        <w:rPr/>
        <w:t>月</w:t>
      </w:r>
      <w:r>
        <w:rPr/>
        <w:t>9</w:t>
      </w:r>
      <w:r>
        <w:rPr/>
        <w:t>日日线采用基准日名义价归一复权</w:t>
      </w:r>
      <w:r>
        <w:rPr/>
        <w:t>OHLC</w:t>
      </w:r>
      <w:r>
        <w:rPr/>
        <w:t>，共</w:t>
      </w:r>
      <w:r>
        <w:rPr/>
        <w:t>739</w:t>
      </w:r>
      <w:r>
        <w:rPr/>
        <w:t>根、覆盖</w:t>
      </w:r>
      <w:r>
        <w:rPr/>
        <w:t>2023</w:t>
      </w:r>
      <w:r>
        <w:rPr/>
        <w:t>年</w:t>
      </w:r>
      <w:r>
        <w:rPr/>
        <w:t>10</w:t>
      </w:r>
      <w:r>
        <w:rPr/>
        <w:t>月</w:t>
      </w:r>
      <w:r>
        <w:rPr/>
        <w:t>9</w:t>
      </w:r>
      <w:r>
        <w:rPr/>
        <w:t>日至</w:t>
      </w:r>
      <w:r>
        <w:rPr/>
        <w:t>2026</w:t>
      </w:r>
      <w:r>
        <w:rPr/>
        <w:t>年</w:t>
      </w:r>
      <w:r>
        <w:rPr/>
        <w:t>10</w:t>
      </w:r>
      <w:r>
        <w:rPr/>
        <w:t>月</w:t>
      </w:r>
      <w:r>
        <w:rPr/>
        <w:t>9</w:t>
      </w:r>
      <w:r>
        <w:rPr/>
        <w:t>日。</w:t>
      </w:r>
      <w:r>
        <w:rPr/>
        <w:t>20</w:t>
      </w:r>
      <w:r>
        <w:rPr/>
        <w:t>、</w:t>
      </w:r>
      <w:r>
        <w:rPr/>
        <w:t>60</w:t>
      </w:r>
      <w:r>
        <w:rPr/>
        <w:t>、</w:t>
      </w:r>
      <w:r>
        <w:rPr/>
        <w:t>120</w:t>
      </w:r>
      <w:r>
        <w:rPr/>
        <w:t>、</w:t>
      </w:r>
      <w:r>
        <w:rPr/>
        <w:t>250</w:t>
      </w:r>
      <w:r>
        <w:rPr/>
        <w:t>日均线分别</w:t>
      </w:r>
      <w:r>
        <w:rPr/>
        <w:t>31.236</w:t>
      </w:r>
      <w:r>
        <w:rPr/>
        <w:t>、</w:t>
      </w:r>
      <w:r>
        <w:rPr/>
        <w:t>27.974333</w:t>
      </w:r>
      <w:r>
        <w:rPr/>
        <w:t>、</w:t>
      </w:r>
      <w:r>
        <w:rPr/>
        <w:t>27.070833</w:t>
      </w:r>
      <w:r>
        <w:rPr/>
        <w:t>、</w:t>
      </w:r>
      <w:r>
        <w:rPr/>
        <w:t>32.7524</w:t>
      </w:r>
      <w:r>
        <w:rPr/>
        <w:t>港元；现价分别高</w:t>
      </w:r>
      <w:r>
        <w:rPr/>
        <w:t>12.114%</w:t>
      </w:r>
      <w:r>
        <w:rPr/>
        <w:t>、</w:t>
      </w:r>
      <w:r>
        <w:rPr/>
        <w:t>25.186%</w:t>
      </w:r>
      <w:r>
        <w:rPr/>
        <w:t>、</w:t>
      </w:r>
      <w:r>
        <w:rPr/>
        <w:t>29.364%</w:t>
      </w:r>
      <w:r>
        <w:rPr/>
        <w:t>、</w:t>
      </w:r>
      <w:r>
        <w:rPr/>
        <w:t>6.923%</w:t>
      </w:r>
      <w:r>
        <w:rPr/>
        <w:t>。最近五交易日均线斜率分别</w:t>
      </w:r>
      <w:r>
        <w:rPr/>
        <w:t>7.296%</w:t>
      </w:r>
      <w:r>
        <w:rPr/>
        <w:t>、</w:t>
      </w:r>
      <w:r>
        <w:rPr/>
        <w:t>4.051%</w:t>
      </w:r>
      <w:r>
        <w:rPr/>
        <w:t>、</w:t>
      </w:r>
      <w:r>
        <w:rPr/>
        <w:t>0.433%</w:t>
      </w:r>
      <w:r>
        <w:rPr/>
        <w:t>、负</w:t>
      </w:r>
      <w:r>
        <w:rPr/>
        <w:t>0.737%</w:t>
      </w:r>
      <w:r>
        <w:rPr/>
        <w:t>。日线中短期上涨已经存在，长期均线尚下降，判断为短期反弹转强、长期恢复未完成，不能只因穿越</w:t>
      </w:r>
      <w:r>
        <w:rPr/>
        <w:t>250</w:t>
      </w:r>
      <w:r>
        <w:rPr/>
        <w:t>日线就称多年趋势全面反转。</w:t>
      </w:r>
    </w:p>
    <w:p>
      <w:pPr>
        <w:pStyle w:val="Normal"/>
        <w:rPr/>
      </w:pPr>
      <w:r>
        <w:rPr/>
        <w:t>近</w:t>
      </w:r>
      <w:r>
        <w:rPr/>
        <w:t>20</w:t>
      </w:r>
      <w:r>
        <w:rPr/>
        <w:t>日涨</w:t>
      </w:r>
      <w:r>
        <w:rPr/>
        <w:t>30.4769%</w:t>
      </w:r>
      <w:r>
        <w:rPr/>
        <w:t>、</w:t>
      </w:r>
      <w:r>
        <w:rPr/>
        <w:t>60</w:t>
      </w:r>
      <w:r>
        <w:rPr/>
        <w:t>日涨</w:t>
      </w:r>
      <w:r>
        <w:rPr/>
        <w:t>39.9680%</w:t>
      </w:r>
      <w:r>
        <w:rPr/>
        <w:t>，</w:t>
      </w:r>
      <w:r>
        <w:rPr/>
        <w:t>120</w:t>
      </w:r>
      <w:r>
        <w:rPr/>
        <w:t>日约负</w:t>
      </w:r>
      <w:r>
        <w:rPr/>
        <w:t>0.5114%</w:t>
      </w:r>
      <w:r>
        <w:rPr/>
        <w:t>、</w:t>
      </w:r>
      <w:r>
        <w:rPr/>
        <w:t>250</w:t>
      </w:r>
      <w:r>
        <w:rPr/>
        <w:t>日负</w:t>
      </w:r>
      <w:r>
        <w:rPr/>
        <w:t>33.0402%</w:t>
      </w:r>
      <w:r>
        <w:rPr/>
        <w:t>。这表明近期回升从此前较大下跌中发生，价格仍较日线</w:t>
      </w:r>
      <w:r>
        <w:rPr/>
        <w:t>52</w:t>
      </w:r>
      <w:r>
        <w:rPr/>
        <w:t>周高</w:t>
      </w:r>
      <w:r>
        <w:rPr/>
        <w:t>53.45</w:t>
      </w:r>
      <w:r>
        <w:rPr/>
        <w:t>港元低</w:t>
      </w:r>
      <w:r>
        <w:rPr/>
        <w:t>34.48%</w:t>
      </w:r>
      <w:r>
        <w:rPr/>
        <w:t>，期间最大回撤约</w:t>
      </w:r>
      <w:r>
        <w:rPr/>
        <w:t>59.92%</w:t>
      </w:r>
      <w:r>
        <w:rPr/>
        <w:t>。从底部</w:t>
      </w:r>
      <w:r>
        <w:rPr/>
        <w:t>19.22</w:t>
      </w:r>
      <w:r>
        <w:rPr/>
        <w:t>涨</w:t>
      </w:r>
      <w:r>
        <w:rPr/>
        <w:t>82.21%</w:t>
      </w:r>
      <w:r>
        <w:rPr/>
        <w:t>并不与较高点仍低矛盾，低基数可以产生很大反弹。投资者应区分反弹速度与长期复利表现；当前价格对近期利好更敏感，也更容易在业绩未跟上时回吐。历史回撤不是未来最大损失边界。</w:t>
      </w:r>
    </w:p>
    <w:p>
      <w:pPr>
        <w:pStyle w:val="Normal"/>
        <w:rPr/>
      </w:pPr>
      <w:r>
        <w:rPr/>
        <w:t>最近</w:t>
      </w:r>
      <w:r>
        <w:rPr/>
        <w:t>20</w:t>
      </w:r>
      <w:r>
        <w:rPr/>
        <w:t>与</w:t>
      </w:r>
      <w:r>
        <w:rPr/>
        <w:t>60</w:t>
      </w:r>
      <w:r>
        <w:rPr/>
        <w:t>日最高均为</w:t>
      </w:r>
      <w:r>
        <w:rPr/>
        <w:t>40.84</w:t>
      </w:r>
      <w:r>
        <w:rPr/>
        <w:t>港元，距现价上方</w:t>
      </w:r>
      <w:r>
        <w:rPr/>
        <w:t>16.619%</w:t>
      </w:r>
      <w:r>
        <w:rPr/>
        <w:t>；</w:t>
      </w:r>
      <w:r>
        <w:rPr/>
        <w:t>20</w:t>
      </w:r>
      <w:r>
        <w:rPr/>
        <w:t>日最低</w:t>
      </w:r>
      <w:r>
        <w:rPr/>
        <w:t>25.08</w:t>
      </w:r>
      <w:r>
        <w:rPr/>
        <w:t>港元、</w:t>
      </w:r>
      <w:r>
        <w:rPr/>
        <w:t>60</w:t>
      </w:r>
      <w:r>
        <w:rPr/>
        <w:t>日最低</w:t>
      </w:r>
      <w:r>
        <w:rPr/>
        <w:t>22.64</w:t>
      </w:r>
      <w:r>
        <w:rPr/>
        <w:t>港元，距现价下方</w:t>
      </w:r>
      <w:r>
        <w:rPr/>
        <w:t>28.384%</w:t>
      </w:r>
      <w:r>
        <w:rPr/>
        <w:t>和</w:t>
      </w:r>
      <w:r>
        <w:rPr/>
        <w:t>35.351%</w:t>
      </w:r>
      <w:r>
        <w:rPr/>
        <w:t>。这些价位是区间极值观察位，未经过触碰次数、成交结构和前后趋势验证，不能称精确铁底。</w:t>
      </w:r>
      <w:r>
        <w:rPr/>
        <w:t>31.24</w:t>
      </w:r>
      <w:r>
        <w:rPr/>
        <w:t>附近</w:t>
      </w:r>
      <w:r>
        <w:rPr/>
        <w:t>20</w:t>
      </w:r>
      <w:r>
        <w:rPr/>
        <w:t>日均线与</w:t>
      </w:r>
      <w:r>
        <w:rPr/>
        <w:t>32.75</w:t>
      </w:r>
      <w:r>
        <w:rPr/>
        <w:t>长期均线构成回踩观察带，</w:t>
      </w:r>
      <w:r>
        <w:rPr/>
        <w:t>27</w:t>
      </w:r>
      <w:r>
        <w:rPr/>
        <w:t>至</w:t>
      </w:r>
      <w:r>
        <w:rPr/>
        <w:t>28</w:t>
      </w:r>
      <w:r>
        <w:rPr/>
        <w:t>附近中期均线是进一步检验位置。若价格跌破这些区域并伴随下跌成交增大，短期转强判断应下调；不存在保证回升的价位。</w:t>
      </w:r>
    </w:p>
    <w:p>
      <w:pPr>
        <w:pStyle w:val="Normal"/>
        <w:rPr/>
      </w:pPr>
      <w:r>
        <w:rPr/>
        <w:t>突破</w:t>
      </w:r>
      <w:r>
        <w:rPr/>
        <w:t>40.84</w:t>
      </w:r>
      <w:r>
        <w:rPr/>
        <w:t>的有效性应看持续收盘、成交额、随后回踩和基本信息，而非盘中一次越过。当前技术失效条件是价格持续回到</w:t>
      </w:r>
      <w:r>
        <w:rPr/>
        <w:t>20</w:t>
      </w:r>
      <w:r>
        <w:rPr/>
        <w:t>和</w:t>
      </w:r>
      <w:r>
        <w:rPr/>
        <w:t>250</w:t>
      </w:r>
      <w:r>
        <w:rPr/>
        <w:t>日均线下方、</w:t>
      </w:r>
      <w:r>
        <w:rPr/>
        <w:t>20</w:t>
      </w:r>
      <w:r>
        <w:rPr/>
        <w:t>及</w:t>
      </w:r>
      <w:r>
        <w:rPr/>
        <w:t>60</w:t>
      </w:r>
      <w:r>
        <w:rPr/>
        <w:t>日均线斜率转负、相对市场改善停止，且新品销售或现金证据无法支撑预期。技术判断失效不一定等于公司长期失败，但会显著降低半年得分。相反，放量突破后缩量回踩守住旧阻力，再出现实际订单与回款改善，才可提高短期催化可信度。模型不会因</w:t>
      </w:r>
      <w:r>
        <w:rPr/>
        <w:t>K</w:t>
      </w:r>
      <w:r>
        <w:rPr/>
        <w:t>线好看把目标价值机械上调。</w:t>
      </w:r>
    </w:p>
    <w:p>
      <w:pPr>
        <w:pStyle w:val="Heading2"/>
        <w:rPr/>
      </w:pPr>
      <w:r>
        <w:rPr>
          <w:color w:val="000000"/>
        </w:rPr>
        <w:t>十七 成交量 周线及相对强弱</w:t>
      </w:r>
    </w:p>
    <w:p>
      <w:pPr>
        <w:pStyle w:val="Normal"/>
        <w:rPr/>
      </w:pPr>
      <w:r>
        <w:rPr/>
        <w:t>10</w:t>
      </w:r>
      <w:r>
        <w:rPr/>
        <w:t>月</w:t>
      </w:r>
      <w:r>
        <w:rPr/>
        <w:t>9</w:t>
      </w:r>
      <w:r>
        <w:rPr/>
        <w:t>日开</w:t>
      </w:r>
      <w:r>
        <w:rPr/>
        <w:t>36.34</w:t>
      </w:r>
      <w:r>
        <w:rPr/>
        <w:t>、高</w:t>
      </w:r>
      <w:r>
        <w:rPr/>
        <w:t>36.96</w:t>
      </w:r>
      <w:r>
        <w:rPr/>
        <w:t>、低</w:t>
      </w:r>
      <w:r>
        <w:rPr/>
        <w:t>34.02</w:t>
      </w:r>
      <w:r>
        <w:rPr/>
        <w:t>、收</w:t>
      </w:r>
      <w:r>
        <w:rPr/>
        <w:t>35.02</w:t>
      </w:r>
      <w:r>
        <w:rPr/>
        <w:t>港元，跌</w:t>
      </w:r>
      <w:r>
        <w:rPr/>
        <w:t>2.614%</w:t>
      </w:r>
      <w:r>
        <w:rPr/>
        <w:t>，成交</w:t>
      </w:r>
      <w:r>
        <w:rPr/>
        <w:t>6,280,290</w:t>
      </w:r>
      <w:r>
        <w:rPr/>
        <w:t>股、成交额</w:t>
      </w:r>
      <w:r>
        <w:rPr/>
        <w:t>2.1984257824</w:t>
      </w:r>
      <w:r>
        <w:rPr/>
        <w:t>亿港元。五、二十、六十日均量分别</w:t>
      </w:r>
      <w:r>
        <w:rPr/>
        <w:t>444.787</w:t>
      </w:r>
      <w:r>
        <w:rPr/>
        <w:t>万、</w:t>
      </w:r>
      <w:r>
        <w:rPr/>
        <w:t>583.364</w:t>
      </w:r>
      <w:r>
        <w:rPr/>
        <w:t>万、</w:t>
      </w:r>
      <w:r>
        <w:rPr/>
        <w:t>574.653</w:t>
      </w:r>
      <w:r>
        <w:rPr/>
        <w:t>万股；当日量比按此前</w:t>
      </w:r>
      <w:r>
        <w:rPr/>
        <w:t>20</w:t>
      </w:r>
      <w:r>
        <w:rPr/>
        <w:t>日均量计算</w:t>
      </w:r>
      <w:r>
        <w:rPr/>
        <w:t>1.098246</w:t>
      </w:r>
      <w:r>
        <w:rPr/>
        <w:t>，稍高于常态而非极端放量。五日均量低于二十日均量，说明近期成交热度有所下降，但仅凭这一事实不能断言资金离场。量能要结合上涨幅度、日内波动和事件日期评价。</w:t>
      </w:r>
    </w:p>
    <w:p>
      <w:pPr>
        <w:pStyle w:val="Normal"/>
        <w:rPr/>
      </w:pPr>
      <w:r>
        <w:rPr/>
        <w:t>近</w:t>
      </w:r>
      <w:r>
        <w:rPr/>
        <w:t>20</w:t>
      </w:r>
      <w:r>
        <w:rPr/>
        <w:t>日</w:t>
      </w:r>
      <w:r>
        <w:rPr/>
        <w:t>11</w:t>
      </w:r>
      <w:r>
        <w:rPr/>
        <w:t>个上涨日成交</w:t>
      </w:r>
      <w:r>
        <w:rPr/>
        <w:t>8,026.801</w:t>
      </w:r>
      <w:r>
        <w:rPr/>
        <w:t>万股、</w:t>
      </w:r>
      <w:r>
        <w:rPr/>
        <w:t>9</w:t>
      </w:r>
      <w:r>
        <w:rPr/>
        <w:t>个下跌日</w:t>
      </w:r>
      <w:r>
        <w:rPr/>
        <w:t>3,640.474</w:t>
      </w:r>
      <w:r>
        <w:rPr/>
        <w:t>万股，上下量比</w:t>
      </w:r>
      <w:r>
        <w:rPr/>
        <w:t>2.204878</w:t>
      </w:r>
      <w:r>
        <w:rPr/>
        <w:t>。它支持反弹期间上涨日吸收较多成交这一描述，不证明特定机构吸筹或筹码集中。没有逐笔和账户身份资料，本研究不制作精确成本分布或资金身份图。日成交量除</w:t>
      </w:r>
      <w:r>
        <w:rPr/>
        <w:t>H</w:t>
      </w:r>
      <w:r>
        <w:rPr/>
        <w:t>类总股数可得约</w:t>
      </w:r>
      <w:r>
        <w:rPr/>
        <w:t>4.73%</w:t>
      </w:r>
      <w:r>
        <w:rPr/>
        <w:t>的类别发行股数换手代理，除全部</w:t>
      </w:r>
      <w:r>
        <w:rPr/>
        <w:t>A/H</w:t>
      </w:r>
      <w:r>
        <w:rPr/>
        <w:t>为约</w:t>
      </w:r>
      <w:r>
        <w:rPr/>
        <w:t>2.54%</w:t>
      </w:r>
      <w:r>
        <w:rPr/>
        <w:t>；两者都不是自由流通换手率。真实自由流通股与两地交易不能混算。</w:t>
      </w:r>
    </w:p>
    <w:p>
      <w:pPr>
        <w:pStyle w:val="Normal"/>
        <w:rPr/>
      </w:pPr>
      <w:r>
        <w:rPr/>
        <w:t>周线</w:t>
      </w:r>
      <w:r>
        <w:rPr/>
        <w:t>157</w:t>
      </w:r>
      <w:r>
        <w:rPr/>
        <w:t>根，</w:t>
      </w:r>
      <w:r>
        <w:rPr/>
        <w:t>20</w:t>
      </w:r>
      <w:r>
        <w:rPr/>
        <w:t>、</w:t>
      </w:r>
      <w:r>
        <w:rPr/>
        <w:t>60</w:t>
      </w:r>
      <w:r>
        <w:rPr/>
        <w:t>、</w:t>
      </w:r>
      <w:r>
        <w:rPr/>
        <w:t>120</w:t>
      </w:r>
      <w:r>
        <w:rPr/>
        <w:t>周均线</w:t>
      </w:r>
      <w:r>
        <w:rPr/>
        <w:t>26.303</w:t>
      </w:r>
      <w:r>
        <w:rPr/>
        <w:t>、</w:t>
      </w:r>
      <w:r>
        <w:rPr/>
        <w:t>34.7345</w:t>
      </w:r>
      <w:r>
        <w:rPr/>
        <w:t>、</w:t>
      </w:r>
      <w:r>
        <w:rPr/>
        <w:t>32.345417</w:t>
      </w:r>
      <w:r>
        <w:rPr/>
        <w:t>港元，</w:t>
      </w:r>
      <w:r>
        <w:rPr/>
        <w:t>250</w:t>
      </w:r>
      <w:r>
        <w:rPr/>
        <w:t>周数据不足留空。现价刚高于</w:t>
      </w:r>
      <w:r>
        <w:rPr/>
        <w:t>60</w:t>
      </w:r>
      <w:r>
        <w:rPr/>
        <w:t>周均线约</w:t>
      </w:r>
      <w:r>
        <w:rPr/>
        <w:t>0.822%</w:t>
      </w:r>
      <w:r>
        <w:rPr/>
        <w:t>，</w:t>
      </w:r>
      <w:r>
        <w:rPr/>
        <w:t>60</w:t>
      </w:r>
      <w:r>
        <w:rPr/>
        <w:t>周均线最近五周仍下降</w:t>
      </w:r>
      <w:r>
        <w:rPr/>
        <w:t>3.434%</w:t>
      </w:r>
      <w:r>
        <w:rPr/>
        <w:t>；</w:t>
      </w:r>
      <w:r>
        <w:rPr/>
        <w:t>20</w:t>
      </w:r>
      <w:r>
        <w:rPr/>
        <w:t>周和</w:t>
      </w:r>
      <w:r>
        <w:rPr/>
        <w:t>120</w:t>
      </w:r>
      <w:r>
        <w:rPr/>
        <w:t>周分别微升和上升。周线仍属趋势交错，日线强势需要更长时间确认。五、二十、六十周均量约</w:t>
      </w:r>
      <w:r>
        <w:rPr/>
        <w:t>2,773.72</w:t>
      </w:r>
      <w:r>
        <w:rPr/>
        <w:t>万、</w:t>
      </w:r>
      <w:r>
        <w:rPr/>
        <w:t>1,875.64</w:t>
      </w:r>
      <w:r>
        <w:rPr/>
        <w:t>万、</w:t>
      </w:r>
      <w:r>
        <w:rPr/>
        <w:t>959.60</w:t>
      </w:r>
      <w:r>
        <w:rPr/>
        <w:t>万股，近期高于长期，但节假日导致周交易天数不同，要避免把短周和完整周绝对量直接比较。</w:t>
      </w:r>
    </w:p>
    <w:p>
      <w:pPr>
        <w:pStyle w:val="Normal"/>
        <w:rPr/>
      </w:pPr>
      <w:r>
        <w:rPr/>
        <w:t>相对恒生指数近</w:t>
      </w:r>
      <w:r>
        <w:rPr/>
        <w:t>20</w:t>
      </w:r>
      <w:r>
        <w:rPr/>
        <w:t>日超额</w:t>
      </w:r>
      <w:r>
        <w:rPr/>
        <w:t>33.454808</w:t>
      </w:r>
      <w:r>
        <w:rPr/>
        <w:t>个百分点、</w:t>
      </w:r>
      <w:r>
        <w:rPr/>
        <w:t>60</w:t>
      </w:r>
      <w:r>
        <w:rPr/>
        <w:t>日</w:t>
      </w:r>
      <w:r>
        <w:rPr/>
        <w:t>43.155929</w:t>
      </w:r>
      <w:r>
        <w:rPr/>
        <w:t>个百分点，市场自身同期分别负</w:t>
      </w:r>
      <w:r>
        <w:rPr/>
        <w:t>2.977908%</w:t>
      </w:r>
      <w:r>
        <w:rPr/>
        <w:t>和负</w:t>
      </w:r>
      <w:r>
        <w:rPr/>
        <w:t>3.187903%</w:t>
      </w:r>
      <w:r>
        <w:rPr/>
        <w:t>。强相对表现有事实支持。专属疫苗行业三年可核验指数未取得，行业相对值留空，不借创新药指数称精确疫苗同业比较。</w:t>
      </w:r>
      <w:r>
        <w:rPr/>
        <w:t>RSI14</w:t>
      </w:r>
      <w:r>
        <w:rPr/>
        <w:t>为</w:t>
      </w:r>
      <w:r>
        <w:rPr/>
        <w:t>56.85</w:t>
      </w:r>
      <w:r>
        <w:rPr/>
        <w:t>、</w:t>
      </w:r>
      <w:r>
        <w:rPr/>
        <w:t>MACD</w:t>
      </w:r>
      <w:r>
        <w:rPr/>
        <w:t>柱</w:t>
      </w:r>
      <w:r>
        <w:rPr/>
        <w:t>1.0243</w:t>
      </w:r>
      <w:r>
        <w:rPr/>
        <w:t>、</w:t>
      </w:r>
      <w:r>
        <w:rPr/>
        <w:t>ATR14</w:t>
      </w:r>
      <w:r>
        <w:rPr/>
        <w:t>为</w:t>
      </w:r>
      <w:r>
        <w:rPr/>
        <w:t>2.9074</w:t>
      </w:r>
      <w:r>
        <w:rPr/>
        <w:t>港元约现价</w:t>
      </w:r>
      <w:r>
        <w:rPr/>
        <w:t>8.302%</w:t>
      </w:r>
      <w:r>
        <w:rPr/>
        <w:t>，周</w:t>
      </w:r>
      <w:r>
        <w:rPr/>
        <w:t>ATR</w:t>
      </w:r>
      <w:r>
        <w:rPr/>
        <w:t>约</w:t>
      </w:r>
      <w:r>
        <w:rPr/>
        <w:t>14.079%</w:t>
      </w:r>
      <w:r>
        <w:rPr/>
        <w:t>；辅助指标说明波动较高和动量改善，不重复加分，也不将</w:t>
      </w:r>
      <w:r>
        <w:rPr/>
        <w:t>ATR</w:t>
      </w:r>
      <w:r>
        <w:rPr/>
        <w:t>当价格必然落入的区间。</w:t>
      </w:r>
    </w:p>
    <w:p>
      <w:pPr>
        <w:pStyle w:val="Heading2"/>
        <w:rPr/>
      </w:pPr>
      <w:r>
        <w:rPr>
          <w:color w:val="000000"/>
        </w:rPr>
        <w:t>十八 估值方法与四期限收益来源</w:t>
      </w:r>
    </w:p>
    <w:p>
      <w:pPr>
        <w:pStyle w:val="Normal"/>
        <w:rPr/>
      </w:pPr>
      <w:r>
        <w:rPr/>
        <w:t>研究没有直接采用第三方行情</w:t>
      </w:r>
      <w:r>
        <w:rPr/>
        <w:t>PE280.35</w:t>
      </w:r>
      <w:r>
        <w:rPr/>
        <w:t>或</w:t>
      </w:r>
      <w:r>
        <w:rPr/>
        <w:t>PB8.18</w:t>
      </w:r>
      <w:r>
        <w:rPr/>
        <w:t>，这些字段财务期间与股数口径未核。成熟疫苗组合未来盈利可用</w:t>
      </w:r>
      <w:r>
        <w:rPr/>
        <w:t>PE</w:t>
      </w:r>
      <w:r>
        <w:rPr/>
        <w:t>交叉检查，但近端微盈、资助、公允价值和汇兑使当期倍数不稳定。主模型为七个商业分部加八组风险净权益、完整费用和</w:t>
      </w:r>
      <w:r>
        <w:rPr/>
        <w:t>capex</w:t>
      </w:r>
      <w:r>
        <w:rPr/>
        <w:t>，滚动现金、银行、存款与理财，再折现未来分配及</w:t>
      </w:r>
      <w:r>
        <w:rPr/>
        <w:t>2041</w:t>
      </w:r>
      <w:r>
        <w:rPr/>
        <w:t>有限净回收。终年现金已经扣当年股息，分配流中加入当年股息和剩余现金能闭合，不另加目标日现金或</w:t>
      </w:r>
      <w:r>
        <w:rPr/>
        <w:t>FCFF</w:t>
      </w:r>
      <w:r>
        <w:rPr/>
        <w:t>现值。</w:t>
      </w:r>
    </w:p>
    <w:p>
      <w:pPr>
        <w:pStyle w:val="Normal"/>
        <w:rPr/>
      </w:pPr>
      <w:r>
        <w:rPr/>
        <w:t>基准</w:t>
      </w:r>
      <w:r>
        <w:rPr/>
        <w:t>2027</w:t>
      </w:r>
      <w:r>
        <w:rPr/>
        <w:t>收入</w:t>
      </w:r>
      <w:r>
        <w:rPr/>
        <w:t>18.4608</w:t>
      </w:r>
      <w:r>
        <w:rPr/>
        <w:t>亿元、正常利润约</w:t>
      </w:r>
      <w:r>
        <w:rPr/>
        <w:t>3.39972</w:t>
      </w:r>
      <w:r>
        <w:rPr/>
        <w:t>亿元、每股</w:t>
      </w:r>
      <w:r>
        <w:rPr/>
        <w:t>1.37065</w:t>
      </w:r>
      <w:r>
        <w:rPr/>
        <w:t>元人民币；该盈利已高于外资新闻转述的</w:t>
      </w:r>
      <w:r>
        <w:rPr/>
        <w:t>2026</w:t>
      </w:r>
      <w:r>
        <w:rPr/>
        <w:t>预测但低于其</w:t>
      </w:r>
      <w:r>
        <w:rPr/>
        <w:t>2027</w:t>
      </w:r>
      <w:r>
        <w:rPr/>
        <w:t>每股</w:t>
      </w:r>
      <w:r>
        <w:rPr/>
        <w:t>2.15</w:t>
      </w:r>
      <w:r>
        <w:rPr/>
        <w:t>元。</w:t>
      </w:r>
      <w:r>
        <w:rPr/>
        <w:t>2029</w:t>
      </w:r>
      <w:r>
        <w:rPr/>
        <w:t>收入</w:t>
      </w:r>
      <w:r>
        <w:rPr/>
        <w:t>33.7156</w:t>
      </w:r>
      <w:r>
        <w:rPr/>
        <w:t>亿元、正常利润约</w:t>
      </w:r>
      <w:r>
        <w:rPr/>
        <w:t>9.732</w:t>
      </w:r>
      <w:r>
        <w:rPr/>
        <w:t>亿元，</w:t>
      </w:r>
      <w:r>
        <w:rPr/>
        <w:t>2031</w:t>
      </w:r>
      <w:r>
        <w:rPr/>
        <w:t>收入</w:t>
      </w:r>
      <w:r>
        <w:rPr/>
        <w:t>45.2368</w:t>
      </w:r>
      <w:r>
        <w:rPr/>
        <w:t>亿元、利润</w:t>
      </w:r>
      <w:r>
        <w:rPr/>
        <w:t>13.6882</w:t>
      </w:r>
      <w:r>
        <w:rPr/>
        <w:t>亿元，反映多款疫苗放量和费用规模效应。若只给这些利润高</w:t>
      </w:r>
      <w:r>
        <w:rPr/>
        <w:t>PE</w:t>
      </w:r>
      <w:r>
        <w:rPr/>
        <w:t>，再额外加全部现金和八组项目，会重复收入和资本。当前有限分配方法更强调维护投资后的股东经济，导致基准价低于看涨机构标题目标。</w:t>
      </w:r>
    </w:p>
    <w:p>
      <w:pPr>
        <w:pStyle w:val="Normal"/>
        <w:rPr/>
      </w:pPr>
      <w:r>
        <w:rPr/>
        <w:t>半年市场价格并不保证充分收敛内在价值，因此使用市场确认系数，悲观</w:t>
      </w:r>
      <w:r>
        <w:rPr/>
        <w:t>90%</w:t>
      </w:r>
      <w:r>
        <w:rPr/>
        <w:t>、基准</w:t>
      </w:r>
      <w:r>
        <w:rPr/>
        <w:t>75%</w:t>
      </w:r>
      <w:r>
        <w:rPr/>
        <w:t>、乐观</w:t>
      </w:r>
      <w:r>
        <w:rPr/>
        <w:t>55%</w:t>
      </w:r>
      <w:r>
        <w:rPr/>
        <w:t>；年底分别</w:t>
      </w:r>
      <w:r>
        <w:rPr/>
        <w:t>65%</w:t>
      </w:r>
      <w:r>
        <w:rPr/>
        <w:t>、</w:t>
      </w:r>
      <w:r>
        <w:rPr/>
        <w:t>45%</w:t>
      </w:r>
      <w:r>
        <w:rPr/>
        <w:t>、</w:t>
      </w:r>
      <w:r>
        <w:rPr/>
        <w:t>30%</w:t>
      </w:r>
      <w:r>
        <w:rPr/>
        <w:t>。公式为当前价加系数乘内在价与当前价差，而非将一年目标按剩余月份线性缩放。这是明示研究假设，无法从历史证明准确。半年基准</w:t>
      </w:r>
      <w:r>
        <w:rPr/>
        <w:t>24.15</w:t>
      </w:r>
      <w:r>
        <w:rPr/>
        <w:t>港元反映趋势可能部分抵消估值收敛，乐观</w:t>
      </w:r>
      <w:r>
        <w:rPr/>
        <w:t>70.59</w:t>
      </w:r>
      <w:r>
        <w:rPr/>
        <w:t>则反映新品销售预期和更高内在值。一个确认系数不能代替短期行情判断，因此技术部分仍单独评分。</w:t>
      </w:r>
    </w:p>
    <w:p>
      <w:pPr>
        <w:pStyle w:val="Normal"/>
        <w:rPr/>
      </w:pPr>
      <w:r>
        <w:rPr/>
        <w:t>一年、三年和五年以完全确认系数一计算，假设市场逐步审视产品和现金，分别基准</w:t>
      </w:r>
      <w:r>
        <w:rPr/>
        <w:t>21.76</w:t>
      </w:r>
      <w:r>
        <w:rPr/>
        <w:t>、</w:t>
      </w:r>
      <w:r>
        <w:rPr/>
        <w:t>27.56</w:t>
      </w:r>
      <w:r>
        <w:rPr/>
        <w:t>、</w:t>
      </w:r>
      <w:r>
        <w:rPr/>
        <w:t>31.02</w:t>
      </w:r>
      <w:r>
        <w:rPr/>
        <w:t>港元。三年和五年价值提高来自未来经营积累与折现期缩短，但目标前分红从价格中剥离，所以股价不能简单视为总回报。</w:t>
      </w:r>
      <w:r>
        <w:rPr/>
        <w:t>2031</w:t>
      </w:r>
      <w:r>
        <w:rPr/>
        <w:t>前基准已付股息约</w:t>
      </w:r>
      <w:r>
        <w:rPr/>
        <w:t>3.33</w:t>
      </w:r>
      <w:r>
        <w:rPr/>
        <w:t>港元，让五年总回报接近持平，仍不足以提供稳健高回报。乐观远高是同时成功和份额较大的尾部，悲观低现金模型归零；二者均不得称真实概率或必然结果。</w:t>
      </w:r>
    </w:p>
    <w:p>
      <w:pPr>
        <w:pStyle w:val="Heading2"/>
        <w:rPr/>
      </w:pPr>
      <w:r>
        <w:rPr>
          <w:color w:val="000000"/>
        </w:rPr>
        <w:t>十九 年底情景 机构目标与敏感性</w:t>
      </w:r>
    </w:p>
    <w:p>
      <w:pPr>
        <w:pStyle w:val="Normal"/>
        <w:rPr/>
      </w:pPr>
      <w:r>
        <w:rPr/>
        <w:t>年底距离基准只有约三个自然月，主要驱动是季度销量、批签发、订单、接种推广、外部利率和风险偏好。正式三季报告若在截止日后发布，当前分析只能将其作为未来催化，不能提前引用结果。悲观</w:t>
      </w:r>
      <w:r>
        <w:rPr/>
        <w:t>12.257</w:t>
      </w:r>
      <w:r>
        <w:rPr/>
        <w:t>港元反映弱产品现金和估值迅速收敛，基准</w:t>
      </w:r>
      <w:r>
        <w:rPr/>
        <w:t>28.207</w:t>
      </w:r>
      <w:r>
        <w:rPr/>
        <w:t>反映部分认可现金基础而非全面乐观，乐观</w:t>
      </w:r>
      <w:r>
        <w:rPr/>
        <w:t>53.658</w:t>
      </w:r>
      <w:r>
        <w:rPr/>
        <w:t>需要新品和海外信号较强。价格差距很大意味着近端估值不确定，不能因表格有小数就误认为预测精确。</w:t>
      </w:r>
    </w:p>
    <w:p>
      <w:pPr>
        <w:pStyle w:val="Normal"/>
        <w:rPr/>
      </w:pPr>
      <w:r>
        <w:rPr/>
        <w:t>默认权重</w:t>
      </w:r>
      <w:r>
        <w:rPr/>
        <w:t>25</w:t>
      </w:r>
      <w:r>
        <w:rPr/>
        <w:t>、</w:t>
      </w:r>
      <w:r>
        <w:rPr/>
        <w:t>50</w:t>
      </w:r>
      <w:r>
        <w:rPr/>
        <w:t>、</w:t>
      </w:r>
      <w:r>
        <w:rPr/>
        <w:t>25</w:t>
      </w:r>
      <w:r>
        <w:rPr/>
        <w:t>得到期望</w:t>
      </w:r>
      <w:r>
        <w:rPr/>
        <w:t>30.58</w:t>
      </w:r>
      <w:r>
        <w:rPr/>
        <w:t>港元；防御权重</w:t>
      </w:r>
      <w:r>
        <w:rPr/>
        <w:t>40</w:t>
      </w:r>
      <w:r>
        <w:rPr/>
        <w:t>、</w:t>
      </w:r>
      <w:r>
        <w:rPr/>
        <w:t>40</w:t>
      </w:r>
      <w:r>
        <w:rPr/>
        <w:t>、</w:t>
      </w:r>
      <w:r>
        <w:rPr/>
        <w:t>20</w:t>
      </w:r>
      <w:r>
        <w:rPr/>
        <w:t>得到</w:t>
      </w:r>
      <w:r>
        <w:rPr/>
        <w:t>26.92</w:t>
      </w:r>
      <w:r>
        <w:rPr/>
        <w:t>港元、负</w:t>
      </w:r>
      <w:r>
        <w:rPr/>
        <w:t>23.14%</w:t>
      </w:r>
      <w:r>
        <w:rPr/>
        <w:t>，偏积极</w:t>
      </w:r>
      <w:r>
        <w:rPr/>
        <w:t>20</w:t>
      </w:r>
      <w:r>
        <w:rPr/>
        <w:t>、</w:t>
      </w:r>
      <w:r>
        <w:rPr/>
        <w:t>40</w:t>
      </w:r>
      <w:r>
        <w:rPr/>
        <w:t>、</w:t>
      </w:r>
      <w:r>
        <w:rPr/>
        <w:t>40</w:t>
      </w:r>
      <w:r>
        <w:rPr/>
        <w:t>得到</w:t>
      </w:r>
      <w:r>
        <w:rPr/>
        <w:t>35.20</w:t>
      </w:r>
      <w:r>
        <w:rPr/>
        <w:t>港元、约正</w:t>
      </w:r>
      <w:r>
        <w:rPr/>
        <w:t>0.51%</w:t>
      </w:r>
      <w:r>
        <w:rPr/>
        <w:t>。这表明年底要达到当前价，研究权重须显著偏向乐观。权重属于主观判断，不是历史频率估计。投资者若看好</w:t>
      </w:r>
      <w:r>
        <w:rPr/>
        <w:t>mRNA</w:t>
      </w:r>
      <w:r>
        <w:rPr/>
        <w:t>而不相信疫苗放量，不应直接提高整家公司乐观权重，因为当前基准经济主要仍来自商业疫苗；应修改相关净权益组后重算，避免叙事与模型驱动脱节。</w:t>
      </w:r>
    </w:p>
    <w:p>
      <w:pPr>
        <w:pStyle w:val="Normal"/>
        <w:rPr/>
      </w:pPr>
      <w:r>
        <w:rPr/>
        <w:t>里昂</w:t>
      </w:r>
      <w:r>
        <w:rPr/>
        <w:t>2026</w:t>
      </w:r>
      <w:r>
        <w:rPr/>
        <w:t>年</w:t>
      </w:r>
      <w:r>
        <w:rPr/>
        <w:t>9</w:t>
      </w:r>
      <w:r>
        <w:rPr/>
        <w:t>月</w:t>
      </w:r>
      <w:r>
        <w:rPr/>
        <w:t>1</w:t>
      </w:r>
      <w:r>
        <w:rPr/>
        <w:t>日</w:t>
      </w:r>
      <w:r>
        <w:rPr/>
        <w:t>10:42</w:t>
      </w:r>
      <w:r>
        <w:rPr/>
        <w:t>公开列表标题为目标</w:t>
      </w:r>
      <w:r>
        <w:rPr/>
        <w:t>49.6</w:t>
      </w:r>
      <w:r>
        <w:rPr/>
        <w:t>港元、维持跑赢大市，日期由列表</w:t>
      </w:r>
      <w:r>
        <w:rPr/>
        <w:t>data-nt</w:t>
      </w:r>
      <w:r>
        <w:rPr/>
        <w:t>及文章编号可核，全文失效，原研报、期限和详细理由未取得。该目标约高现价</w:t>
      </w:r>
      <w:r>
        <w:rPr/>
        <w:t>41.6%</w:t>
      </w:r>
      <w:r>
        <w:rPr/>
        <w:t>，可作为公开机构参照，不能称已经验证的十二个月估值，也不缩放为年底目标。里昂现属中资金融集团，严格按股东归属划分外资时应列机构参照而非外资样本。瑞银</w:t>
      </w:r>
      <w:r>
        <w:rPr/>
        <w:t>2026</w:t>
      </w:r>
      <w:r>
        <w:rPr/>
        <w:t>年</w:t>
      </w:r>
      <w:r>
        <w:rPr/>
        <w:t>4</w:t>
      </w:r>
      <w:r>
        <w:rPr/>
        <w:t>月</w:t>
      </w:r>
      <w:r>
        <w:rPr/>
        <w:t>30</w:t>
      </w:r>
      <w:r>
        <w:rPr/>
        <w:t>日公开转述目标</w:t>
      </w:r>
      <w:r>
        <w:rPr/>
        <w:t>52.4</w:t>
      </w:r>
      <w:r>
        <w:rPr/>
        <w:t>、买入，</w:t>
      </w:r>
      <w:r>
        <w:rPr/>
        <w:t>2026</w:t>
      </w:r>
      <w:r>
        <w:rPr/>
        <w:t>至</w:t>
      </w:r>
      <w:r>
        <w:rPr/>
        <w:t>2028</w:t>
      </w:r>
      <w:r>
        <w:rPr/>
        <w:t>每股盈利</w:t>
      </w:r>
      <w:r>
        <w:rPr/>
        <w:t>0.77</w:t>
      </w:r>
      <w:r>
        <w:rPr/>
        <w:t>、</w:t>
      </w:r>
      <w:r>
        <w:rPr/>
        <w:t>2.15</w:t>
      </w:r>
      <w:r>
        <w:rPr/>
        <w:t>、</w:t>
      </w:r>
      <w:r>
        <w:rPr/>
        <w:t>3.58</w:t>
      </w:r>
      <w:r>
        <w:rPr/>
        <w:t>元人民币，超过</w:t>
      </w:r>
      <w:r>
        <w:rPr/>
        <w:t>90</w:t>
      </w:r>
      <w:r>
        <w:rPr/>
        <w:t>日，原目标期限也不明。同机构较旧</w:t>
      </w:r>
      <w:r>
        <w:rPr/>
        <w:t>64</w:t>
      </w:r>
      <w:r>
        <w:rPr/>
        <w:t>和</w:t>
      </w:r>
      <w:r>
        <w:rPr/>
        <w:t>66.6</w:t>
      </w:r>
      <w:r>
        <w:rPr/>
        <w:t>去重，避免重复算共识。</w:t>
      </w:r>
    </w:p>
    <w:p>
      <w:pPr>
        <w:pStyle w:val="Normal"/>
        <w:rPr/>
      </w:pPr>
      <w:r>
        <w:rPr/>
        <w:t>美银</w:t>
      </w:r>
      <w:r>
        <w:rPr/>
        <w:t>2025</w:t>
      </w:r>
      <w:r>
        <w:rPr/>
        <w:t>年</w:t>
      </w:r>
      <w:r>
        <w:rPr/>
        <w:t>8</w:t>
      </w:r>
      <w:r>
        <w:rPr/>
        <w:t>月</w:t>
      </w:r>
      <w:r>
        <w:rPr/>
        <w:t>22</w:t>
      </w:r>
      <w:r>
        <w:rPr/>
        <w:t>日</w:t>
      </w:r>
      <w:r>
        <w:rPr/>
        <w:t>56</w:t>
      </w:r>
      <w:r>
        <w:rPr/>
        <w:t>港元买入只属陈旧历史参照。摩根大通</w:t>
      </w:r>
      <w:r>
        <w:rPr/>
        <w:t>9</w:t>
      </w:r>
      <w:r>
        <w:rPr/>
        <w:t>月行业政策新闻未给康希诺专属目标，不收入目标均值；里昂</w:t>
      </w:r>
      <w:r>
        <w:rPr/>
        <w:t>8</w:t>
      </w:r>
      <w:r>
        <w:rPr/>
        <w:t>月</w:t>
      </w:r>
      <w:r>
        <w:rPr/>
        <w:t>mRNA</w:t>
      </w:r>
      <w:r>
        <w:rPr/>
        <w:t>异动评论没有目标，也不凑入。研究与机构目标差异主要在新品净销售、分配、长期研发、资本成本和权利归属，不能为了接近机构价格调整模型。折现率提高两百分点，一年基准值降到</w:t>
      </w:r>
      <w:r>
        <w:rPr/>
        <w:t>18.21</w:t>
      </w:r>
      <w:r>
        <w:rPr/>
        <w:t>；全部风险新品上市延后两年降到</w:t>
      </w:r>
      <w:r>
        <w:rPr/>
        <w:t>19.74</w:t>
      </w:r>
      <w:r>
        <w:rPr/>
        <w:t>；取消后续资助仅降到</w:t>
      </w:r>
      <w:r>
        <w:rPr/>
        <w:t>21.58</w:t>
      </w:r>
      <w:r>
        <w:rPr/>
        <w:t>。这些测试区分核心驱动而非罗列风险。</w:t>
      </w:r>
    </w:p>
    <w:p>
      <w:pPr>
        <w:pStyle w:val="Heading2"/>
        <w:rPr/>
      </w:pPr>
      <w:r>
        <w:rPr>
          <w:color w:val="000000"/>
        </w:rPr>
        <w:t>二十 失败路径与十年持续性</w:t>
      </w:r>
    </w:p>
    <w:p>
      <w:pPr>
        <w:pStyle w:val="Normal"/>
        <w:rPr/>
      </w:pPr>
      <w:r>
        <w:rPr/>
        <w:t>半年最重要的反证是上涨伴随现金回收恶化和销售费失控，以及价格持续跌回关键均线、相对强弱转负。一年需要真实新品重复订单和正常利润增长，若</w:t>
      </w:r>
      <w:r>
        <w:rPr/>
        <w:t>PCV/DT</w:t>
      </w:r>
      <w:r>
        <w:rPr/>
        <w:t>销售显著低于基准，当前价格没有足够保护。三年需要产品组合降低对单一脑膜炎的依赖，同时研发项目按证据推进；若后期产品延期而工业园投入刚性，规模效应会延后。五年要看维护投资后能否持续分配，单靠收入规模或高毛利率不足以成为复利资产。</w:t>
      </w:r>
    </w:p>
    <w:p>
      <w:pPr>
        <w:pStyle w:val="Normal"/>
        <w:rPr/>
      </w:pPr>
      <w:r>
        <w:rPr/>
        <w:t>推翻长期候选定位的负面证据包括：脑膜炎净销售持续衰减而新品无替代；重要疫苗出现不可接受安全或免疫一致性结果；库存及退款重复侵蚀毛利；长期应收不能回收；公司持续低价发行却未形成可用产能和临床证据；合作权益减少但估值仍按原全球经济计算。研究应同时下调业务、现金和评分，而非只把目标价调小。反过来，多个产品持续放量、回款缩短、净授权合同清晰及研发费用转化为上市品，才能推动推荐上调。</w:t>
      </w:r>
    </w:p>
    <w:p>
      <w:pPr>
        <w:pStyle w:val="Normal"/>
        <w:rPr/>
      </w:pPr>
      <w:r>
        <w:rPr/>
        <w:t>十年经营展望关注</w:t>
      </w:r>
      <w:r>
        <w:rPr/>
        <w:t>2036</w:t>
      </w:r>
      <w:r>
        <w:rPr/>
        <w:t>年前后公司是否形成儿童、成人和全球技术服务的组合，而非预测十年股价。出生数减少可能使婴幼儿单品数量受限，成人与海外市场能拓展收入却有各自支付和临床门槛。平台持续性取决于研发人才、生产质量、知识产权、资金纪律和逐代产品替换。当前模型</w:t>
      </w:r>
      <w:r>
        <w:rPr/>
        <w:t>2036</w:t>
      </w:r>
      <w:r>
        <w:rPr/>
        <w:t>年后对成熟产品设置衰减，而不是永续同一高增长；后续项目能否填补衰减应由真实证据决定，不能用一个永久增长率掩盖产品生命周期。</w:t>
      </w:r>
    </w:p>
    <w:p>
      <w:pPr>
        <w:pStyle w:val="Normal"/>
        <w:rPr/>
      </w:pPr>
      <w:r>
        <w:rPr/>
        <w:t>康希诺具备建立多品疫苗公司的条件，但投资回报还需要价格与经营匹配。当前分析优先检查成熟疫苗的净销售、现金回收和费用，而将早期</w:t>
      </w:r>
      <w:r>
        <w:rPr/>
        <w:t>mRNA</w:t>
      </w:r>
      <w:r>
        <w:rPr/>
        <w:t>保留为有限选择权。半年量价可给观察价值，长期经营潜力可给条件候选分；基准回报没有支持把现价作为所有期限首选。若后续数据改变关键假设，</w:t>
      </w:r>
      <w:r>
        <w:rPr/>
        <w:t>Excel</w:t>
      </w:r>
      <w:r>
        <w:rPr/>
        <w:t>需标待刷新并重新计算三情景快照，</w:t>
      </w:r>
      <w:r>
        <w:rPr/>
        <w:t>Word</w:t>
      </w:r>
      <w:r>
        <w:rPr/>
        <w:t>和</w:t>
      </w:r>
      <w:r>
        <w:rPr/>
        <w:t>PDF</w:t>
      </w:r>
      <w:r>
        <w:rPr/>
        <w:t>同步更新。最终推荐应建立在可核验、可反驳的输入上，而非依赖高目标价或技术热度。</w:t>
      </w:r>
    </w:p>
    <w:p>
      <w:pPr>
        <w:pStyle w:val="Heading2"/>
        <w:rPr/>
      </w:pPr>
      <w:r>
        <w:rPr>
          <w:color w:val="000000"/>
        </w:rPr>
        <w:t>来源与模型核验</w:t>
      </w:r>
    </w:p>
    <w:p>
      <w:pPr>
        <w:pStyle w:val="Normal"/>
        <w:rPr/>
      </w:pPr>
      <w:r>
        <w:rPr/>
        <w:t>主要原始资料为港交所</w:t>
      </w:r>
      <w:r>
        <w:rPr/>
        <w:t>2026</w:t>
      </w:r>
      <w:r>
        <w:rPr/>
        <w:t>中报</w:t>
      </w:r>
      <w:r>
        <w:rPr/>
        <w:t>2026091700454</w:t>
      </w:r>
      <w:r>
        <w:rPr/>
        <w:t>、首次中期业绩</w:t>
      </w:r>
      <w:r>
        <w:rPr/>
        <w:t>2026082701291</w:t>
      </w:r>
      <w:r>
        <w:rPr/>
        <w:t>、</w:t>
      </w:r>
      <w:r>
        <w:rPr/>
        <w:t>PRC</w:t>
      </w:r>
      <w:r>
        <w:rPr/>
        <w:t>半年财报</w:t>
      </w:r>
      <w:r>
        <w:rPr/>
        <w:t>2026082701309_c</w:t>
      </w:r>
      <w:r>
        <w:rPr/>
        <w:t>、</w:t>
      </w:r>
      <w:r>
        <w:rPr/>
        <w:t>2025</w:t>
      </w:r>
      <w:r>
        <w:rPr/>
        <w:t>年报</w:t>
      </w:r>
      <w:r>
        <w:rPr/>
        <w:t>2026042200604</w:t>
      </w:r>
      <w:r>
        <w:rPr/>
        <w:t>、</w:t>
      </w:r>
      <w:r>
        <w:rPr/>
        <w:t>2024</w:t>
      </w:r>
      <w:r>
        <w:rPr/>
        <w:t>年报</w:t>
      </w:r>
      <w:r>
        <w:rPr/>
        <w:t>2025041601709</w:t>
      </w:r>
      <w:r>
        <w:rPr/>
        <w:t>、九月月报</w:t>
      </w:r>
      <w:r>
        <w:rPr/>
        <w:t>2026100700856</w:t>
      </w:r>
      <w:r>
        <w:rPr/>
        <w:t>、预留激励</w:t>
      </w:r>
      <w:r>
        <w:rPr/>
        <w:t>2026091600797</w:t>
      </w:r>
      <w:r>
        <w:rPr/>
        <w:t>、</w:t>
      </w:r>
      <w:r>
        <w:rPr/>
        <w:t>PCV13</w:t>
      </w:r>
      <w:r>
        <w:rPr/>
        <w:t>批准</w:t>
      </w:r>
      <w:r>
        <w:rPr/>
        <w:t>2025062000481</w:t>
      </w:r>
      <w:r>
        <w:rPr/>
        <w:t>、</w:t>
      </w:r>
      <w:r>
        <w:rPr/>
        <w:t>DT</w:t>
      </w:r>
      <w:r>
        <w:rPr/>
        <w:t>批准</w:t>
      </w:r>
      <w:r>
        <w:rPr/>
        <w:t>2026041200003</w:t>
      </w:r>
      <w:r>
        <w:rPr/>
        <w:t>、破伤风批准</w:t>
      </w:r>
      <w:r>
        <w:rPr/>
        <w:t>2026082000983</w:t>
      </w:r>
      <w:r>
        <w:rPr/>
        <w:t>、</w:t>
      </w:r>
      <w:r>
        <w:rPr/>
        <w:t>Td</w:t>
      </w:r>
      <w:r>
        <w:rPr/>
        <w:t>受理</w:t>
      </w:r>
      <w:r>
        <w:rPr/>
        <w:t>2026081600001</w:t>
      </w:r>
      <w:r>
        <w:rPr/>
        <w:t>、</w:t>
      </w:r>
      <w:r>
        <w:rPr/>
        <w:t>MCV</w:t>
      </w:r>
      <w:r>
        <w:rPr/>
        <w:t>扩展</w:t>
      </w:r>
      <w:r>
        <w:rPr/>
        <w:t>2026071900005</w:t>
      </w:r>
      <w:r>
        <w:rPr/>
        <w:t>、阿根廷注册</w:t>
      </w:r>
      <w:r>
        <w:rPr/>
        <w:t>2026062500764</w:t>
      </w:r>
      <w:r>
        <w:rPr/>
        <w:t>、</w:t>
      </w:r>
      <w:r>
        <w:rPr/>
        <w:t>mRNA2026082600879</w:t>
      </w:r>
      <w:r>
        <w:rPr/>
        <w:t>及异常波动</w:t>
      </w:r>
      <w:r>
        <w:rPr/>
        <w:t>2026093002185_c</w:t>
      </w:r>
      <w:r>
        <w:rPr/>
        <w:t>。完整</w:t>
      </w:r>
      <w:r>
        <w:rPr/>
        <w:t>URL</w:t>
      </w:r>
      <w:r>
        <w:rPr/>
        <w:t>、发布时间及全文在</w:t>
      </w:r>
      <w:r>
        <w:rPr/>
        <w:t>data/cansino_sources.json</w:t>
      </w:r>
      <w:r>
        <w:rPr/>
        <w:t>。机构列表和原文在</w:t>
      </w:r>
      <w:r>
        <w:rPr/>
        <w:t>data/cansino_brokers.json</w:t>
      </w:r>
      <w:r>
        <w:rPr/>
        <w:t>，标题可核与全文可读分别标识。</w:t>
      </w:r>
    </w:p>
    <w:p>
      <w:pPr>
        <w:pStyle w:val="Normal"/>
        <w:widowControl/>
        <w:bidi w:val="0"/>
        <w:spacing w:lineRule="auto" w:line="336" w:before="0" w:after="140"/>
        <w:jc w:val="start"/>
        <w:rPr/>
      </w:pPr>
      <w:r>
        <w:rPr/>
        <w:t>模型数据在</w:t>
      </w:r>
      <w:r>
        <w:rPr/>
        <w:t>data/cansino_model.json</w:t>
      </w:r>
      <w:r>
        <w:rPr/>
        <w:t>，活动模型原子输入、三情景、未来股份、分配和敏感性都有版本。行情</w:t>
      </w:r>
      <w:r>
        <w:rPr/>
        <w:t>data/history/S049.json</w:t>
      </w:r>
      <w:r>
        <w:rPr/>
        <w:t>采用腾讯、</w:t>
      </w:r>
      <w:r>
        <w:rPr/>
        <w:t>Yahoo</w:t>
      </w:r>
      <w:r>
        <w:rPr/>
        <w:t>以及新浪最新报价核验；</w:t>
      </w:r>
      <w:r>
        <w:rPr/>
        <w:t>13</w:t>
      </w:r>
      <w:r>
        <w:rPr/>
        <w:t>根明确</w:t>
      </w:r>
      <w:r>
        <w:rPr/>
        <w:t>OHLC</w:t>
      </w:r>
      <w:r>
        <w:rPr/>
        <w:t>逻辑错误按同日腾讯完整</w:t>
      </w:r>
      <w:r>
        <w:rPr/>
        <w:t>bar</w:t>
      </w:r>
      <w:r>
        <w:rPr/>
        <w:t>修复，保留原字段及修复记录。股与手、复权和基准日校验在锁定快照。有效正文统计剔除标题、开头结论、表格和来源附录，只计公司独立叙述；</w:t>
      </w:r>
      <w:r>
        <w:rPr/>
        <w:t>Word/PDF</w:t>
      </w:r>
      <w:r>
        <w:rPr/>
        <w:t>由总报告同源导出并逐页核验。</w:t>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2026-10-11T15:19:31Z</dcterms:modified>
  <cp:revision>2</cp:revision>
  <dc:subject>研究数据版本 f94f3d19b4e62e0b</dc:subject>
  <dc:title>公司深研 · 第08卷</dc:title>
</cp:coreProperties>
</file>

<file path=docProps/custom.xml><?xml version="1.0" encoding="utf-8"?>
<Properties xmlns="http://schemas.openxmlformats.org/officeDocument/2006/custom-properties" xmlns:vt="http://schemas.openxmlformats.org/officeDocument/2006/docPropsVTypes"/>
</file>