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10</w:t>
      </w:r>
      <w:r>
        <w:rPr>
          <w:color w:val="000000"/>
        </w:rPr>
        <w:t>卷</w:t>
      </w:r>
    </w:p>
    <w:p>
      <w:pPr>
        <w:pStyle w:val="Normal"/>
        <w:rPr/>
      </w:pPr>
      <w:r>
        <w:rPr/>
        <w:t>阶段收录</w:t>
      </w:r>
      <w:r>
        <w:rPr/>
        <w:t>7</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57528_312338234" w:tooltip="荣昌生物 09995 HK">
            <w:r>
              <w:rPr>
                <w:rStyle w:val="Style5"/>
              </w:rPr>
              <w:t xml:space="preserve">荣昌生物 </w:t>
            </w:r>
            <w:r>
              <w:rPr>
                <w:rStyle w:val="Style5"/>
              </w:rPr>
              <w:t>09995 HK</w:t>
              <w:tab/>
              <w:t>3</w:t>
            </w:r>
          </w:hyperlink>
        </w:p>
        <w:p>
          <w:pPr>
            <w:pStyle w:val="TOC1"/>
            <w:tabs>
              <w:tab w:val="clear" w:pos="9858"/>
              <w:tab w:val="right" w:pos="9857" w:leader="dot"/>
            </w:tabs>
            <w:rPr/>
          </w:pPr>
          <w:hyperlink w:anchor="__RefHeading___Toc57530_312338234" w:tooltip="英矽智能 03696 HK">
            <w:r>
              <w:rPr>
                <w:rStyle w:val="Style5"/>
              </w:rPr>
              <w:t xml:space="preserve">英矽智能 </w:t>
            </w:r>
            <w:r>
              <w:rPr>
                <w:rStyle w:val="Style5"/>
              </w:rPr>
              <w:t>03696 HK</w:t>
              <w:tab/>
              <w:t>24</w:t>
            </w:r>
          </w:hyperlink>
        </w:p>
        <w:p>
          <w:pPr>
            <w:pStyle w:val="TOC1"/>
            <w:tabs>
              <w:tab w:val="clear" w:pos="9858"/>
              <w:tab w:val="right" w:pos="9857" w:leader="dot"/>
            </w:tabs>
            <w:rPr/>
          </w:pPr>
          <w:hyperlink w:anchor="__RefHeading___Toc57532_312338234" w:tooltip="君圣泰医药 B 02511 HK">
            <w:r>
              <w:rPr>
                <w:rStyle w:val="Style5"/>
              </w:rPr>
              <w:t xml:space="preserve">君圣泰医药 </w:t>
            </w:r>
            <w:r>
              <w:rPr>
                <w:rStyle w:val="Style5"/>
              </w:rPr>
              <w:t>B 02511 HK</w:t>
              <w:tab/>
              <w:t>44</w:t>
            </w:r>
          </w:hyperlink>
        </w:p>
        <w:p>
          <w:pPr>
            <w:pStyle w:val="TOC1"/>
            <w:tabs>
              <w:tab w:val="clear" w:pos="9858"/>
              <w:tab w:val="right" w:pos="9857" w:leader="dot"/>
            </w:tabs>
            <w:rPr/>
          </w:pPr>
          <w:hyperlink w:anchor="__RefHeading___Toc57534_312338234" w:tooltip="绿叶制药 02186 HK">
            <w:r>
              <w:rPr>
                <w:rStyle w:val="Style5"/>
              </w:rPr>
              <w:t xml:space="preserve">绿叶制药 </w:t>
            </w:r>
            <w:r>
              <w:rPr>
                <w:rStyle w:val="Style5"/>
              </w:rPr>
              <w:t>02186 HK</w:t>
              <w:tab/>
              <w:t>64</w:t>
            </w:r>
          </w:hyperlink>
        </w:p>
        <w:p>
          <w:pPr>
            <w:pStyle w:val="TOC1"/>
            <w:tabs>
              <w:tab w:val="clear" w:pos="9858"/>
              <w:tab w:val="right" w:pos="9857" w:leader="dot"/>
            </w:tabs>
            <w:rPr/>
          </w:pPr>
          <w:hyperlink w:anchor="__RefHeading___Toc57536_312338234" w:tooltip="上海医药 02607 HK">
            <w:r>
              <w:rPr>
                <w:rStyle w:val="Style5"/>
              </w:rPr>
              <w:t xml:space="preserve">上海医药 </w:t>
            </w:r>
            <w:r>
              <w:rPr>
                <w:rStyle w:val="Style5"/>
              </w:rPr>
              <w:t>02607 HK</w:t>
              <w:tab/>
              <w:t>85</w:t>
            </w:r>
          </w:hyperlink>
        </w:p>
        <w:p>
          <w:pPr>
            <w:pStyle w:val="TOC1"/>
            <w:tabs>
              <w:tab w:val="clear" w:pos="9858"/>
              <w:tab w:val="right" w:pos="9857" w:leader="dot"/>
            </w:tabs>
            <w:rPr/>
          </w:pPr>
          <w:hyperlink w:anchor="__RefHeading___Toc57538_312338234" w:tooltip="康诺亚 B 02162 HK">
            <w:r>
              <w:rPr>
                <w:rStyle w:val="Style5"/>
              </w:rPr>
              <w:t xml:space="preserve">康诺亚 </w:t>
            </w:r>
            <w:r>
              <w:rPr>
                <w:rStyle w:val="Style5"/>
              </w:rPr>
              <w:t>B 02162 HK</w:t>
              <w:tab/>
              <w:t>106</w:t>
            </w:r>
          </w:hyperlink>
        </w:p>
        <w:p>
          <w:pPr>
            <w:pStyle w:val="TOC1"/>
            <w:tabs>
              <w:tab w:val="clear" w:pos="9858"/>
              <w:tab w:val="right" w:pos="9857" w:leader="dot"/>
            </w:tabs>
            <w:rPr/>
          </w:pPr>
          <w:hyperlink w:anchor="__RefHeading___Toc57540_312338234" w:tooltip="理想汽车 W 02015 HK">
            <w:r>
              <w:rPr>
                <w:rStyle w:val="Style5"/>
              </w:rPr>
              <w:t xml:space="preserve">理想汽车 </w:t>
            </w:r>
            <w:r>
              <w:rPr>
                <w:rStyle w:val="Style5"/>
              </w:rPr>
              <w:t>W 02015 HK</w:t>
              <w:tab/>
              <w:t>126</w:t>
            </w:r>
          </w:hyperlink>
          <w:r>
            <w:rPr>
              <w:rStyle w:val="Style5"/>
            </w:rPr>
            <w:fldChar w:fldCharType="end"/>
          </w:r>
        </w:p>
      </w:sdtContent>
    </w:sdt>
    <w:p>
      <w:pPr>
        <w:pStyle w:val="Normal"/>
        <w:rPr/>
      </w:pPr>
      <w:r>
        <w:rPr/>
      </w:r>
      <w:r>
        <w:br w:type="page"/>
      </w:r>
    </w:p>
    <w:p>
      <w:pPr>
        <w:pStyle w:val="Heading1"/>
        <w:rPr/>
      </w:pPr>
      <w:bookmarkStart w:id="0" w:name="__RefHeading___Toc57528_312338234"/>
      <w:bookmarkEnd w:id="0"/>
      <w:r>
        <w:rPr>
          <w:color w:val="000000"/>
        </w:rPr>
        <w:t xml:space="preserve">荣昌生物 </w:t>
      </w:r>
      <w:r>
        <w:rPr>
          <w:color w:val="000000"/>
        </w:rPr>
        <w:t>09995 HK</w:t>
      </w:r>
    </w:p>
    <w:p>
      <w:pPr>
        <w:pStyle w:val="Normal"/>
        <w:rPr/>
      </w:pPr>
      <w:r>
        <w:rPr/>
        <w:t xml:space="preserve">09995.HK </w:t>
      </w:r>
      <w:r>
        <w:rPr/>
        <w:t xml:space="preserve">现价 </w:t>
      </w:r>
      <w:r>
        <w:rPr/>
        <w:t>70.40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69.63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71.79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81.03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82.36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76.79HKD</w:t>
      </w:r>
      <w:r>
        <w:rPr/>
        <w:t>，期望股价回报</w:t>
      </w:r>
      <w:r>
        <w:rPr/>
        <w:t>+9.08%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27.64</w:t>
              <w:br/>
              <w:t>-60.74%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69.63</w:t>
              <w:br/>
              <w:t>-1.10%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177.25</w:t>
              <w:br/>
              <w:t>+151.77%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8.12</w:t>
              <w:br/>
              <w:t>-88.46%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71.79</w:t>
              <w:br/>
              <w:t>+1.97%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259.48</w:t>
              <w:br/>
              <w:t>+268.58%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5.90</w:t>
              <w:br/>
              <w:t>-91.62%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81.03</w:t>
              <w:br/>
              <w:t>+15.09%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290.72</w:t>
              <w:br/>
              <w:t>+312.95%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4.43</w:t>
              <w:br/>
              <w:t>-93.70%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82.36</w:t>
              <w:br/>
              <w:t>+16.99%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290.05</w:t>
              <w:br/>
              <w:t>+312.00%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70.40</w:t>
      </w:r>
      <w:r>
        <w:rPr/>
        <w:t>港元，发行人</w:t>
      </w:r>
      <w:r>
        <w:rPr/>
        <w:t>I051</w:t>
      </w:r>
      <w:r>
        <w:rPr/>
        <w:t>，证券</w:t>
      </w:r>
      <w:r>
        <w:rPr/>
        <w:t>S059</w:t>
      </w:r>
      <w:r>
        <w:rPr/>
        <w:t>，模型</w:t>
      </w:r>
      <w:r>
        <w:rPr/>
        <w:t>remegen-v2-finite-assets-Vor-residual-return-aligned-score</w:t>
      </w:r>
      <w:r>
        <w:rPr/>
        <w:t>。资料截止同日，中期业绩</w:t>
      </w:r>
      <w:r>
        <w:rPr/>
        <w:t>8</w:t>
      </w:r>
      <w:r>
        <w:rPr/>
        <w:t>月</w:t>
      </w:r>
      <w:r>
        <w:rPr/>
        <w:t>24</w:t>
      </w:r>
      <w:r>
        <w:rPr/>
        <w:t>日首次公开，香港中报</w:t>
      </w:r>
      <w:r>
        <w:rPr/>
        <w:t>9</w:t>
      </w:r>
      <w:r>
        <w:rPr/>
        <w:t>月</w:t>
      </w:r>
      <w:r>
        <w:rPr/>
        <w:t>23</w:t>
      </w:r>
      <w:r>
        <w:rPr/>
        <w:t>日；海外伙伴资料保留各自发布日期。半年</w:t>
      </w:r>
      <w:r>
        <w:rPr/>
        <w:t>45.6</w:t>
      </w:r>
      <w:r>
        <w:rPr/>
        <w:t>分、一年</w:t>
      </w:r>
      <w:r>
        <w:rPr/>
        <w:t>57.9</w:t>
      </w:r>
      <w:r>
        <w:rPr/>
        <w:t>分、三年</w:t>
      </w:r>
      <w:r>
        <w:rPr/>
        <w:t>66.3</w:t>
      </w:r>
      <w:r>
        <w:rPr/>
        <w:t>分、五年</w:t>
      </w:r>
      <w:r>
        <w:rPr/>
        <w:t>69.9</w:t>
      </w:r>
      <w:r>
        <w:rPr/>
        <w:t>分。半年低优先观察、一年事件观察、三至五年高风险成长候选；全名单名次由总表统一计算。证据可信度中等，行情核验较高，未来现金分配、权益和临床估值中低。</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46.293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69.328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122.216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27.636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69.627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177.246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71.789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259.483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81.026</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290.717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15.09%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15.09%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4.432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82.357</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290.051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16.99%</w:t>
            </w:r>
          </w:p>
        </w:tc>
      </w:tr>
    </w:tbl>
    <w:p>
      <w:pPr>
        <w:pStyle w:val="Normal"/>
        <w:rPr/>
      </w:pPr>
      <w:r>
        <w:rPr/>
      </w:r>
    </w:p>
    <w:p>
      <w:pPr>
        <w:pStyle w:val="Normal"/>
        <w:rPr/>
      </w:pPr>
      <w:r>
        <w:rPr/>
        <w:t>未来各期股息零假设，三年基准年化</w:t>
      </w:r>
      <w:r>
        <w:rPr/>
        <w:t>4.80%</w:t>
      </w:r>
      <w:r>
        <w:rPr/>
        <w:t>，五年</w:t>
      </w:r>
      <w:r>
        <w:rPr/>
        <w:t>3.19%</w:t>
      </w:r>
      <w:r>
        <w:rPr/>
        <w:t>。年底</w:t>
      </w:r>
      <w:r>
        <w:rPr/>
        <w:t>25%/50%/25%</w:t>
      </w:r>
      <w:r>
        <w:rPr/>
        <w:t>判断权重期望</w:t>
      </w:r>
      <w:r>
        <w:rPr/>
        <w:t>76.791160</w:t>
      </w:r>
      <w:r>
        <w:rPr/>
        <w:t>港元、</w:t>
      </w:r>
      <w:r>
        <w:rPr/>
        <w:t>9.08%</w:t>
      </w:r>
      <w:r>
        <w:rPr/>
        <w:t>；</w:t>
      </w:r>
      <w:r>
        <w:rPr/>
        <w:t>40%/40%/20%</w:t>
      </w:r>
      <w:r>
        <w:rPr/>
        <w:t>权重为</w:t>
      </w:r>
      <w:r>
        <w:rPr/>
        <w:t>70.691441</w:t>
      </w:r>
      <w:r>
        <w:rPr/>
        <w:t>港元、</w:t>
      </w:r>
      <w:r>
        <w:rPr/>
        <w:t>0.41%</w:t>
      </w:r>
      <w:r>
        <w:rPr/>
        <w:t>，</w:t>
      </w:r>
      <w:r>
        <w:rPr/>
        <w:t>20%/40%/40%</w:t>
      </w:r>
      <w:r>
        <w:rPr/>
        <w:t>为</w:t>
      </w:r>
      <w:r>
        <w:rPr/>
        <w:t>85.876032</w:t>
      </w:r>
      <w:r>
        <w:rPr/>
        <w:t>港元、</w:t>
      </w:r>
      <w:r>
        <w:rPr/>
        <w:t>21.98%</w:t>
      </w:r>
      <w:r>
        <w:rPr/>
        <w:t>。情景权重不是统计概率，尾部范围不是最大损失边界。主要风险包括自免及</w:t>
      </w:r>
      <w:r>
        <w:rPr/>
        <w:t>ADC</w:t>
      </w:r>
      <w:r>
        <w:rPr/>
        <w:t>竞争、全球临床失败、医保净价与成本、授权款不重复性、</w:t>
      </w:r>
      <w:r>
        <w:rPr/>
        <w:t>Vor</w:t>
      </w:r>
      <w:r>
        <w:rPr/>
        <w:t>权益及双层稀释、眼科补充临床和跨境政策。结论成立需要产品规模转成可持续现金、海外数据支持注册并保持资本纪律。</w:t>
      </w:r>
    </w:p>
    <w:p>
      <w:pPr>
        <w:pStyle w:val="Heading2"/>
        <w:rPr/>
      </w:pPr>
      <w:r>
        <w:rPr>
          <w:color w:val="000000"/>
        </w:rPr>
        <w:t>一 结论 财务状态改善 股价回报仍需更多证据</w:t>
      </w:r>
    </w:p>
    <w:p>
      <w:pPr>
        <w:pStyle w:val="Normal"/>
        <w:rPr/>
      </w:pPr>
      <w:r>
        <w:rPr/>
        <w:t>荣昌是一家具有自身免疫、肿瘤和眼科布局的研发商业化企业，泰它西普与维迪西妥单抗已在中国销售，</w:t>
      </w:r>
      <w:r>
        <w:rPr/>
        <w:t>RC148</w:t>
      </w:r>
      <w:r>
        <w:rPr/>
        <w:t>等又通过海外许可获得经济权益。它在名单中的优势是已有真实药品收入，同时拥有全球合作推进的后期临床。与纯早期管线公司相比，产品能够提供更直接的商业检验；与成熟盈利公司相比，授权收入和临床结果对利润与估值仍有很大影响。</w:t>
      </w:r>
    </w:p>
    <w:p>
      <w:pPr>
        <w:pStyle w:val="Normal"/>
        <w:rPr/>
      </w:pPr>
      <w:r>
        <w:rPr/>
        <w:t>上半年香港口径收入</w:t>
      </w:r>
      <w:r>
        <w:rPr/>
        <w:t>58.50196</w:t>
      </w:r>
      <w:r>
        <w:rPr/>
        <w:t>亿元、净利润</w:t>
      </w:r>
      <w:r>
        <w:rPr/>
        <w:t>46.62283</w:t>
      </w:r>
      <w:r>
        <w:rPr/>
        <w:t>亿元，其中许可收入</w:t>
      </w:r>
      <w:r>
        <w:rPr/>
        <w:t>44.62185</w:t>
      </w:r>
      <w:r>
        <w:rPr/>
        <w:t>亿元，主要与</w:t>
      </w:r>
      <w:r>
        <w:rPr/>
        <w:t>RC148</w:t>
      </w:r>
      <w:r>
        <w:rPr/>
        <w:t>的</w:t>
      </w:r>
      <w:r>
        <w:rPr/>
        <w:t>6.5</w:t>
      </w:r>
      <w:r>
        <w:rPr/>
        <w:t>亿美元首付款有关；药品收入</w:t>
      </w:r>
      <w:r>
        <w:rPr/>
        <w:t>13.46889</w:t>
      </w:r>
      <w:r>
        <w:rPr/>
        <w:t>亿元，同比增长</w:t>
      </w:r>
      <w:r>
        <w:rPr/>
        <w:t>23.34%</w:t>
      </w:r>
      <w:r>
        <w:rPr/>
        <w:t>。财务改善与产品增长都真实，但增长幅度和收入性质不同。把超过四倍的集团收入增长作为药品增长，或者把年化净利润作为每年可重复盈利，会得到失真的低</w:t>
      </w:r>
      <w:r>
        <w:rPr/>
        <w:t>PE</w:t>
      </w:r>
      <w:r>
        <w:rPr/>
        <w:t>结论。</w:t>
      </w:r>
    </w:p>
    <w:p>
      <w:pPr>
        <w:pStyle w:val="Normal"/>
        <w:rPr/>
      </w:pPr>
      <w:r>
        <w:rPr/>
        <w:t>公司用授权收款显著降低银行借款，并购入理财产品，资金状态比此前改善。与此同时，经营现金流包含许可首付，不是独立产品业务每年能够产生同等现金的证明；</w:t>
      </w:r>
      <w:r>
        <w:rPr/>
        <w:t>Vor</w:t>
      </w:r>
      <w:r>
        <w:rPr/>
        <w:t>认股权证升值又增加非现金收益。当前估值需要把持续经营、未来合同现金和投资权益分开。不能因现金与净资产上升就假设普通股股东已经获得低风险的估值底。</w:t>
      </w:r>
    </w:p>
    <w:p>
      <w:pPr>
        <w:pStyle w:val="Normal"/>
        <w:rPr/>
      </w:pPr>
      <w:r>
        <w:rPr/>
        <w:t>70.40</w:t>
      </w:r>
      <w:r>
        <w:rPr/>
        <w:t>港元低于二十、六十、一百二十和二百五十日均线，过去六十日跌</w:t>
      </w:r>
      <w:r>
        <w:rPr/>
        <w:t>17.18%</w:t>
      </w:r>
      <w:r>
        <w:rPr/>
        <w:t>，相对恒指落后约</w:t>
      </w:r>
      <w:r>
        <w:rPr/>
        <w:t>13.99</w:t>
      </w:r>
      <w:r>
        <w:rPr/>
        <w:t>个百分点。短期量能也在下降，尚未确认底部修复。有限资产模型基准一年只有</w:t>
      </w:r>
      <w:r>
        <w:rPr/>
        <w:t>1.97%</w:t>
      </w:r>
      <w:r>
        <w:rPr/>
        <w:t>回报、三年年化</w:t>
      </w:r>
      <w:r>
        <w:rPr/>
        <w:t>4.80%</w:t>
      </w:r>
      <w:r>
        <w:rPr/>
        <w:t>，因此本章将半年推荐置于较低优先。高乐观空间来自多项海外和国内资产超预期，不能把它自动解释为高获利概率。</w:t>
      </w:r>
    </w:p>
    <w:p>
      <w:pPr>
        <w:pStyle w:val="Heading2"/>
        <w:rPr/>
      </w:pPr>
      <w:r>
        <w:rPr>
          <w:color w:val="000000"/>
        </w:rPr>
        <w:t>二 公司结构 产品与经济归属</w:t>
      </w:r>
    </w:p>
    <w:p>
      <w:pPr>
        <w:pStyle w:val="Normal"/>
        <w:rPr/>
      </w:pPr>
      <w:r>
        <w:rPr/>
        <w:t>泰它西普即</w:t>
      </w:r>
      <w:r>
        <w:rPr/>
        <w:t>RC18</w:t>
      </w:r>
      <w:r>
        <w:rPr/>
        <w:t>，通过</w:t>
      </w:r>
      <w:r>
        <w:rPr/>
        <w:t>BLyS</w:t>
      </w:r>
      <w:r>
        <w:rPr/>
        <w:t>和</w:t>
      </w:r>
      <w:r>
        <w:rPr/>
        <w:t>APRIL</w:t>
      </w:r>
      <w:r>
        <w:rPr/>
        <w:t>两个相关信号路径影响</w:t>
      </w:r>
      <w:r>
        <w:rPr/>
        <w:t>B</w:t>
      </w:r>
      <w:r>
        <w:rPr/>
        <w:t>细胞与浆细胞相关自身免疫过程。中国已有系统性红斑狼疮、类风湿关节炎、全身型重症肌无力、</w:t>
      </w:r>
      <w:r>
        <w:rPr/>
        <w:t>IgA</w:t>
      </w:r>
      <w:r>
        <w:rPr/>
        <w:t>肾病及干燥病等获批适应症，适用患者与批准方式并不相同。慢性自身免疫疾病的长期需求能够形成重复用药机会，但疗效维持、感染风险、支付和竞品都决定可得现金。</w:t>
      </w:r>
    </w:p>
    <w:p>
      <w:pPr>
        <w:pStyle w:val="Normal"/>
        <w:rPr/>
      </w:pPr>
      <w:r>
        <w:rPr/>
        <w:t>维迪西妥单抗即</w:t>
      </w:r>
      <w:r>
        <w:rPr/>
        <w:t>RC48</w:t>
      </w:r>
      <w:r>
        <w:rPr/>
        <w:t>，是</w:t>
      </w:r>
      <w:r>
        <w:rPr/>
        <w:t>HER2</w:t>
      </w:r>
      <w:r>
        <w:rPr/>
        <w:t>相关抗体偶联药物，国内已布局胃癌、尿路上皮癌及特定乳腺癌患者。它的价值不仅来自靶点，也来自抗体、连接方式、载荷、表达阈值和联合方案的临床表现。不同癌种与治疗线别的结果需要独立判断。获批后仍要与更先进的</w:t>
      </w:r>
      <w:r>
        <w:rPr/>
        <w:t>ADC</w:t>
      </w:r>
      <w:r>
        <w:rPr/>
        <w:t>、免疫和化疗组合竞争，不能把某一亚组应答率推广给所有</w:t>
      </w:r>
      <w:r>
        <w:rPr/>
        <w:t>HER2</w:t>
      </w:r>
      <w:r>
        <w:rPr/>
        <w:t>患者。</w:t>
      </w:r>
    </w:p>
    <w:p>
      <w:pPr>
        <w:pStyle w:val="Normal"/>
        <w:rPr/>
      </w:pPr>
      <w:r>
        <w:rPr/>
        <w:t>RC148</w:t>
      </w:r>
      <w:r>
        <w:rPr/>
        <w:t>是</w:t>
      </w:r>
      <w:r>
        <w:rPr/>
        <w:t>PD-1</w:t>
      </w:r>
      <w:r>
        <w:rPr/>
        <w:t>与</w:t>
      </w:r>
      <w:r>
        <w:rPr/>
        <w:t>VEGF</w:t>
      </w:r>
      <w:r>
        <w:rPr/>
        <w:t>双抗，海外除大中华权益许可给艾伯维，国内仍由荣昌开发。合作可以让海外开发利用跨国药企资源，荣昌分享约定版税及里程碑，同时失去全额海外产品利润。海外销售峰值与母公司收入不是同一个数。模型只把海外销售经版税、税与服务现金率转换后加入，不再用全球营业额乘母公司利润率。</w:t>
      </w:r>
    </w:p>
    <w:p>
      <w:pPr>
        <w:pStyle w:val="Normal"/>
        <w:rPr/>
      </w:pPr>
      <w:r>
        <w:rPr/>
        <w:t>泰它西普海外除大中华许可给</w:t>
      </w:r>
      <w:r>
        <w:rPr/>
        <w:t>Vor</w:t>
      </w:r>
      <w:r>
        <w:rPr/>
        <w:t>，维迪西妥单抗许可给</w:t>
      </w:r>
      <w:r>
        <w:rPr/>
        <w:t>Seagen</w:t>
      </w:r>
      <w:r>
        <w:rPr/>
        <w:t>并由辉瑞体系推进，许可地域又不是简单全球除中国。</w:t>
      </w:r>
      <w:r>
        <w:rPr/>
        <w:t>RC28-E</w:t>
      </w:r>
      <w:r>
        <w:rPr/>
        <w:t>眼科在中国许可给参天相关企业。这些合作都有自己的开发阶段、地域和支付义务，签约总额只能描述合同上限。多个合作伙伴减少一部分单一执行风险，也会引入合作方财务、优先项目、合同终止和数据共享风险。</w:t>
      </w:r>
    </w:p>
    <w:p>
      <w:pPr>
        <w:pStyle w:val="Normal"/>
        <w:rPr/>
      </w:pPr>
      <w:r>
        <w:rPr/>
        <w:t>荣昌持有</w:t>
      </w:r>
      <w:r>
        <w:rPr/>
        <w:t>Vor</w:t>
      </w:r>
      <w:r>
        <w:rPr/>
        <w:t>认股权证，是另一种权益。先前合同称可认购</w:t>
      </w:r>
      <w:r>
        <w:rPr/>
        <w:t>3.2</w:t>
      </w:r>
      <w:r>
        <w:rPr/>
        <w:t>亿股，</w:t>
      </w:r>
      <w:r>
        <w:rPr/>
        <w:t>Vor</w:t>
      </w:r>
      <w:r>
        <w:rPr/>
        <w:t>于</w:t>
      </w:r>
      <w:r>
        <w:rPr/>
        <w:t>2025</w:t>
      </w:r>
      <w:r>
        <w:rPr/>
        <w:t>年</w:t>
      </w:r>
      <w:r>
        <w:rPr/>
        <w:t>9</w:t>
      </w:r>
      <w:r>
        <w:rPr/>
        <w:t>月完成一比二十反向拆股后，对应现行</w:t>
      </w:r>
      <w:r>
        <w:rPr/>
        <w:t>1600</w:t>
      </w:r>
      <w:r>
        <w:rPr/>
        <w:t>万股、每股行权</w:t>
      </w:r>
      <w:r>
        <w:rPr/>
        <w:t>0.002</w:t>
      </w:r>
      <w:r>
        <w:rPr/>
        <w:t>美元。认股权证价值来自</w:t>
      </w:r>
      <w:r>
        <w:rPr/>
        <w:t>Vor</w:t>
      </w:r>
      <w:r>
        <w:rPr/>
        <w:t>在支付荣昌版税及里程碑以后、承担自身研发和商业投入的残余权益。不能把母公司版税价值与</w:t>
      </w:r>
      <w:r>
        <w:rPr/>
        <w:t>Vor</w:t>
      </w:r>
      <w:r>
        <w:rPr/>
        <w:t>未扣同一版税的完整销售价值相加，否则同一经济流会出现两次。</w:t>
      </w:r>
    </w:p>
    <w:p>
      <w:pPr>
        <w:pStyle w:val="Heading2"/>
        <w:rPr/>
      </w:pPr>
      <w:r>
        <w:rPr>
          <w:color w:val="000000"/>
        </w:rPr>
        <w:t>三 自身免疫行业周期与支付</w:t>
      </w:r>
    </w:p>
    <w:p>
      <w:pPr>
        <w:pStyle w:val="Normal"/>
        <w:rPr/>
      </w:pPr>
      <w:r>
        <w:rPr/>
        <w:t>自免疾病对长期疗法的需求与诊断、病程和治疗标准有关。患者数量很多不表示每名患者适合生物药，轻症、未诊断、支付受限和安全风险都需要过滤。泰它西普从</w:t>
      </w:r>
      <w:r>
        <w:rPr/>
        <w:t>SLE</w:t>
      </w:r>
      <w:r>
        <w:rPr/>
        <w:t>拓展到其他病种，可以让商业网络服务更多患者，但各病种的科室、检查和处方行为不同。估值不能把流行病学患者总数乘最高药价作为可实现销售。</w:t>
      </w:r>
    </w:p>
    <w:p>
      <w:pPr>
        <w:pStyle w:val="Normal"/>
        <w:rPr/>
      </w:pPr>
      <w:r>
        <w:rPr/>
        <w:t>SLE</w:t>
      </w:r>
      <w:r>
        <w:rPr/>
        <w:t>在</w:t>
      </w:r>
      <w:r>
        <w:rPr/>
        <w:t>2021</w:t>
      </w:r>
      <w:r>
        <w:rPr/>
        <w:t>年初获附条件批准、</w:t>
      </w:r>
      <w:r>
        <w:rPr/>
        <w:t>2023</w:t>
      </w:r>
      <w:r>
        <w:rPr/>
        <w:t>年转完全批准，医保持续续约；</w:t>
      </w:r>
      <w:r>
        <w:rPr/>
        <w:t>gMG</w:t>
      </w:r>
      <w:r>
        <w:rPr/>
        <w:t>于</w:t>
      </w:r>
      <w:r>
        <w:rPr/>
        <w:t>2025</w:t>
      </w:r>
      <w:r>
        <w:rPr/>
        <w:t>年获批、年底纳入医保。中报称泰它西普获准入超过</w:t>
      </w:r>
      <w:r>
        <w:rPr/>
        <w:t>1200</w:t>
      </w:r>
      <w:r>
        <w:rPr/>
        <w:t>家医院，</w:t>
      </w:r>
      <w:r>
        <w:rPr/>
        <w:t>80</w:t>
      </w:r>
      <w:r>
        <w:rPr/>
        <w:t>毫克相关剂型纳入</w:t>
      </w:r>
      <w:r>
        <w:rPr/>
        <w:t>2026</w:t>
      </w:r>
      <w:r>
        <w:rPr/>
        <w:t>基药目录。准入说明进入渠道能力，后续还需要持续处方、续用和回款。医保同时改善可及性与压低净价，商业化成效应由绝对药品收入和现金率确认。</w:t>
      </w:r>
    </w:p>
    <w:p>
      <w:pPr>
        <w:pStyle w:val="Normal"/>
        <w:rPr/>
      </w:pPr>
      <w:r>
        <w:rPr/>
        <w:t>自免行业从单靶点到不同抗体、融合蛋白和细胞治疗并行，竞争不会只停留在</w:t>
      </w:r>
      <w:r>
        <w:rPr/>
        <w:t>BLyS</w:t>
      </w:r>
      <w:r>
        <w:rPr/>
        <w:t>或</w:t>
      </w:r>
      <w:r>
        <w:rPr/>
        <w:t>APRIL</w:t>
      </w:r>
      <w:r>
        <w:rPr/>
        <w:t>。降低特定免疫信号可能提供长期控制，也需要理解免疫球蛋白、感染和疫苗反应的风险。新的</w:t>
      </w:r>
      <w:r>
        <w:rPr/>
        <w:t>FcRn</w:t>
      </w:r>
      <w:r>
        <w:rPr/>
        <w:t>、补体或细胞疗法会改变不同病种的选择，疗效、安全与给药便利性共同决定份额。本章未根据机制名称就宣称泰它西普能替代所有现有药物。</w:t>
      </w:r>
    </w:p>
    <w:p>
      <w:pPr>
        <w:pStyle w:val="Normal"/>
        <w:rPr/>
      </w:pPr>
      <w:r>
        <w:rPr/>
        <w:t>医保、商保和患者自费构成不同支付来源。新适应症获批后的前期收入可能受限于支付，而医保扩展能够提高用药人数，却降低每位患者贡献。商业组织的固定费用若被更大患者基数摊薄，净现金率有改善；若持续需要扩员或价格让步，规模效应可能低于预期。研究将商业净现金率单独设定，不把集团</w:t>
      </w:r>
      <w:r>
        <w:rPr/>
        <w:t>95%</w:t>
      </w:r>
      <w:r>
        <w:rPr/>
        <w:t>以上毛利当成熟药品净利润率。</w:t>
      </w:r>
    </w:p>
    <w:p>
      <w:pPr>
        <w:pStyle w:val="Normal"/>
        <w:rPr/>
      </w:pPr>
      <w:r>
        <w:rPr/>
        <w:t>国内经济增长变化主要影响支付能力、医院运营和融资环境，疾病需求不会因一个经济季度转弱而消失。利率下降可提升长久期管线估值，但也可能伴随风险偏好反复；美元合同与人民币产品利润对汇率的反应不同。政策和国际数据接受程度又影响海外注册。研究只使用截至日公开进展，不能把法案讨论当已实施禁令，也不能把没有限制理解为永远无风险。</w:t>
      </w:r>
    </w:p>
    <w:p>
      <w:pPr>
        <w:pStyle w:val="Heading2"/>
        <w:rPr/>
      </w:pPr>
      <w:r>
        <w:rPr>
          <w:color w:val="000000"/>
        </w:rPr>
        <w:t>四 泰它西普</w:t>
      </w:r>
      <w:r>
        <w:rPr>
          <w:color w:val="000000"/>
        </w:rPr>
        <w:t>IgA</w:t>
      </w:r>
      <w:r>
        <w:rPr>
          <w:color w:val="000000"/>
        </w:rPr>
        <w:t>肾病 蛋白尿证据与长期肾结局</w:t>
      </w:r>
    </w:p>
    <w:p>
      <w:pPr>
        <w:pStyle w:val="Normal"/>
        <w:rPr/>
      </w:pPr>
      <w:r>
        <w:rPr/>
        <w:t>6</w:t>
      </w:r>
      <w:r>
        <w:rPr/>
        <w:t>月</w:t>
      </w:r>
      <w:r>
        <w:rPr/>
        <w:t>8</w:t>
      </w:r>
      <w:r>
        <w:rPr/>
        <w:t>日公告确认泰它西普用于降低存在疾病进展风险的成人原发</w:t>
      </w:r>
      <w:r>
        <w:rPr/>
        <w:t>IgA</w:t>
      </w:r>
      <w:r>
        <w:rPr/>
        <w:t>肾病患者尿蛋白，获附条件批准，剂型为预充式注射。批准基于二期和三期</w:t>
      </w:r>
      <w:r>
        <w:rPr/>
        <w:t>A</w:t>
      </w:r>
      <w:r>
        <w:rPr/>
        <w:t>阶段数据，标签针对蛋白尿，不等于长期肾衰竭风险已被完整证明。投资分析需理解替代终点和后续确认研究的区别，否则会把当前临床证据的范围扩大到尚未观察的长期结果。</w:t>
      </w:r>
    </w:p>
    <w:p>
      <w:pPr>
        <w:pStyle w:val="Normal"/>
        <w:rPr/>
      </w:pPr>
      <w:r>
        <w:rPr/>
        <w:t>三期</w:t>
      </w:r>
      <w:r>
        <w:rPr/>
        <w:t>A</w:t>
      </w:r>
      <w:r>
        <w:rPr/>
        <w:t>阶段</w:t>
      </w:r>
      <w:r>
        <w:rPr/>
        <w:t>318</w:t>
      </w:r>
      <w:r>
        <w:rPr/>
        <w:t>例成人患者，随机一比一接受每周</w:t>
      </w:r>
      <w:r>
        <w:rPr/>
        <w:t>240</w:t>
      </w:r>
      <w:r>
        <w:rPr/>
        <w:t>毫克或安慰剂，持续三十九周，主要终点是二十四小时尿蛋白肌酐比相对基线变化。公告及中报披露治疗组下降约</w:t>
      </w:r>
      <w:r>
        <w:rPr/>
        <w:t>58.9%</w:t>
      </w:r>
      <w:r>
        <w:rPr/>
        <w:t>、安慰剂</w:t>
      </w:r>
      <w:r>
        <w:rPr/>
        <w:t>8.8%</w:t>
      </w:r>
      <w:r>
        <w:rPr/>
        <w:t>，安慰剂校正约</w:t>
      </w:r>
      <w:r>
        <w:rPr/>
        <w:t>55%</w:t>
      </w:r>
      <w:r>
        <w:rPr/>
        <w:t>，达到主要终点。这是有对照研究，比仅报告用药前后下降更有说服力；仍要查看人群标准、既有治疗和完整统计方法，不能与其他药物不同研究直接排座次。</w:t>
      </w:r>
    </w:p>
    <w:p>
      <w:pPr>
        <w:pStyle w:val="Normal"/>
        <w:rPr/>
      </w:pPr>
      <w:r>
        <w:rPr/>
        <w:t>中报披露三十九周</w:t>
      </w:r>
      <w:r>
        <w:rPr/>
        <w:t>eGFR</w:t>
      </w:r>
      <w:r>
        <w:rPr/>
        <w:t>几何均值相对基线约−</w:t>
      </w:r>
      <w:r>
        <w:rPr/>
        <w:t>1.0%</w:t>
      </w:r>
      <w:r>
        <w:rPr/>
        <w:t>，对照−</w:t>
      </w:r>
      <w:r>
        <w:rPr/>
        <w:t>7.7%</w:t>
      </w:r>
      <w:r>
        <w:rPr/>
        <w:t>，以及下降超过三成的患者比例等次要与探索结果。它们支持积极肾功能方向，但三十九周观察与多年肾保护不是同一证据强度。安全性没有新信号也不意味着稀有感染和长期免疫风险被消除。模型将获批产品保留较高商业兑现折扣，而未把附条件批准当所有未来风险归零。</w:t>
      </w:r>
    </w:p>
    <w:p>
      <w:pPr>
        <w:pStyle w:val="Normal"/>
        <w:rPr/>
      </w:pPr>
      <w:r>
        <w:rPr/>
        <w:t>IgA</w:t>
      </w:r>
      <w:r>
        <w:rPr/>
        <w:t>肾病有新的不同机制治疗进入，患者选择可能受到蛋白尿、肾功能、风险程度和既有标准治疗影响。单独药价、适用病人比例、医保时间和医生对长期收益的判断，共同决定收入。国内批准不保证海外同标签立即获批。海外许可模型目前以</w:t>
      </w:r>
      <w:r>
        <w:rPr/>
        <w:t>gMG</w:t>
      </w:r>
      <w:r>
        <w:rPr/>
        <w:t>、干燥和眼肌型组为主，未把国内</w:t>
      </w:r>
      <w:r>
        <w:rPr/>
        <w:t>IgA</w:t>
      </w:r>
      <w:r>
        <w:rPr/>
        <w:t>成功直接增加一笔未经注册路径论证的境外全市场收入。</w:t>
      </w:r>
    </w:p>
    <w:p>
      <w:pPr>
        <w:pStyle w:val="Heading2"/>
        <w:rPr/>
      </w:pPr>
      <w:r>
        <w:rPr>
          <w:color w:val="000000"/>
        </w:rPr>
        <w:t>五 干燥病 疾病活动与患者报告同时检验</w:t>
      </w:r>
    </w:p>
    <w:p>
      <w:pPr>
        <w:pStyle w:val="Normal"/>
        <w:rPr/>
      </w:pPr>
      <w:r>
        <w:rPr/>
        <w:t>6</w:t>
      </w:r>
      <w:r>
        <w:rPr/>
        <w:t>月</w:t>
      </w:r>
      <w:r>
        <w:rPr/>
        <w:t>8</w:t>
      </w:r>
      <w:r>
        <w:rPr/>
        <w:t>日另份公告批准泰它西普在常规治疗基础上用于活动性干燥病成人患者，疾病活动要求</w:t>
      </w:r>
      <w:r>
        <w:rPr/>
        <w:t>ESSDAI</w:t>
      </w:r>
      <w:r>
        <w:rPr/>
        <w:t>达到相应标准。国内三期</w:t>
      </w:r>
      <w:r>
        <w:rPr/>
        <w:t>381</w:t>
      </w:r>
      <w:r>
        <w:rPr/>
        <w:t>例，随机分配</w:t>
      </w:r>
      <w:r>
        <w:rPr/>
        <w:t>160</w:t>
      </w:r>
      <w:r>
        <w:rPr/>
        <w:t>毫克、</w:t>
      </w:r>
      <w:r>
        <w:rPr/>
        <w:t>80</w:t>
      </w:r>
      <w:r>
        <w:rPr/>
        <w:t>毫克或安慰剂，主要终点为二十四周</w:t>
      </w:r>
      <w:r>
        <w:rPr/>
        <w:t>ESSDAI</w:t>
      </w:r>
      <w:r>
        <w:rPr/>
        <w:t>变化。中报披露</w:t>
      </w:r>
      <w:r>
        <w:rPr/>
        <w:t>160</w:t>
      </w:r>
      <w:r>
        <w:rPr/>
        <w:t>毫克组下降</w:t>
      </w:r>
      <w:r>
        <w:rPr/>
        <w:t>4.4</w:t>
      </w:r>
      <w:r>
        <w:rPr/>
        <w:t>分、对照</w:t>
      </w:r>
      <w:r>
        <w:rPr/>
        <w:t>0.6</w:t>
      </w:r>
      <w:r>
        <w:rPr/>
        <w:t>分，组间差约−</w:t>
      </w:r>
      <w:r>
        <w:rPr/>
        <w:t>3.8</w:t>
      </w:r>
      <w:r>
        <w:rPr/>
        <w:t>分，置信区间约−</w:t>
      </w:r>
      <w:r>
        <w:rPr/>
        <w:t>4.6</w:t>
      </w:r>
      <w:r>
        <w:rPr/>
        <w:t>至−</w:t>
      </w:r>
      <w:r>
        <w:rPr/>
        <w:t>3.0</w:t>
      </w:r>
      <w:r>
        <w:rPr/>
        <w:t>。这里顺序必须正确，不能把反向排列文本误写成对照改善更多。</w:t>
      </w:r>
    </w:p>
    <w:p>
      <w:pPr>
        <w:pStyle w:val="Normal"/>
        <w:rPr/>
      </w:pPr>
      <w:r>
        <w:rPr/>
        <w:t>二十四周至少下降三分的比例约</w:t>
      </w:r>
      <w:r>
        <w:rPr/>
        <w:t>71.8%</w:t>
      </w:r>
      <w:r>
        <w:rPr/>
        <w:t>对</w:t>
      </w:r>
      <w:r>
        <w:rPr/>
        <w:t>19.3%</w:t>
      </w:r>
      <w:r>
        <w:rPr/>
        <w:t>，达到低疾病活动度比例</w:t>
      </w:r>
      <w:r>
        <w:rPr/>
        <w:t>49.6%</w:t>
      </w:r>
      <w:r>
        <w:rPr/>
        <w:t>对</w:t>
      </w:r>
      <w:r>
        <w:rPr/>
        <w:t>10.9%</w:t>
      </w:r>
      <w:r>
        <w:rPr/>
        <w:t>；</w:t>
      </w:r>
      <w:r>
        <w:rPr/>
        <w:t>ESSPRI</w:t>
      </w:r>
      <w:r>
        <w:rPr/>
        <w:t>患者报告症状也改善。这些指标分别反映系统性疾病活动与患者症状，均有意义，但不应因多项指标同向就把它们当彼此完全独立的试验成功重复加分。四十八周期间对照部分患者可以转入治疗，后期比较需要理解设计变化，不能将开放治疗段当持续随机对照。</w:t>
      </w:r>
    </w:p>
    <w:p>
      <w:pPr>
        <w:pStyle w:val="Normal"/>
        <w:rPr/>
      </w:pPr>
      <w:r>
        <w:rPr/>
        <w:t>干燥病相关患者总数较多，常见症状包含干眼、干口、疲劳和疼痛，部分患者有器官受累。获批标签与治疗标准限制可治疗群体，流行病学上所有患者不都是高价生物药潜在持续用户。商业推广还涉及风湿科诊断、疾病活动评估及既有治疗。模型将国内五项已批准产品合并成不重复患者收入，未为干燥患者总数再加一笔保证销售。</w:t>
      </w:r>
    </w:p>
    <w:p>
      <w:pPr>
        <w:pStyle w:val="Normal"/>
        <w:rPr/>
      </w:pPr>
      <w:r>
        <w:rPr/>
        <w:t>Vor2026</w:t>
      </w:r>
      <w:r>
        <w:rPr/>
        <w:t>年</w:t>
      </w:r>
      <w:r>
        <w:rPr/>
        <w:t>1</w:t>
      </w:r>
      <w:r>
        <w:rPr/>
        <w:t>月已启动全球干燥病三期，</w:t>
      </w:r>
      <w:r>
        <w:rPr/>
        <w:t>8</w:t>
      </w:r>
      <w:r>
        <w:rPr/>
        <w:t>月伙伴公告明确仍在入组。荣昌中报某处仍使用“择机开展”的描述，研究采用日期更具体的伙伴原公告更新阶段，同时保留两种来源差异。全球研究受监管设计和人群影响，国内成功提高信心，却不能替代全球结果。研究不会把国内的已批准和海外的临床进行混成同一成功概率。</w:t>
      </w:r>
    </w:p>
    <w:p>
      <w:pPr>
        <w:pStyle w:val="Heading2"/>
        <w:rPr/>
      </w:pPr>
      <w:r>
        <w:rPr>
          <w:color w:val="000000"/>
        </w:rPr>
        <w:t>六 重症肌无力 国内延长期与全球三期区分</w:t>
      </w:r>
    </w:p>
    <w:p>
      <w:pPr>
        <w:pStyle w:val="Normal"/>
        <w:rPr/>
      </w:pPr>
      <w:r>
        <w:rPr/>
        <w:t>中国</w:t>
      </w:r>
      <w:r>
        <w:rPr/>
        <w:t>gMG</w:t>
      </w:r>
      <w:r>
        <w:rPr/>
        <w:t>三期曾随机</w:t>
      </w:r>
      <w:r>
        <w:rPr/>
        <w:t>114</w:t>
      </w:r>
      <w:r>
        <w:rPr/>
        <w:t>名成人接受每周</w:t>
      </w:r>
      <w:r>
        <w:rPr/>
        <w:t>240</w:t>
      </w:r>
      <w:r>
        <w:rPr/>
        <w:t>毫克或安慰剂二十四周，随后为二十四周开放延长期，对照转入治疗。国内获批及医保支持销售。</w:t>
      </w:r>
      <w:r>
        <w:rPr/>
        <w:t>9</w:t>
      </w:r>
      <w:r>
        <w:rPr/>
        <w:t>月</w:t>
      </w:r>
      <w:r>
        <w:rPr/>
        <w:t>29</w:t>
      </w:r>
      <w:r>
        <w:rPr/>
        <w:t>日</w:t>
      </w:r>
      <w:r>
        <w:rPr/>
        <w:t>Vor</w:t>
      </w:r>
      <w:r>
        <w:rPr/>
        <w:t>公布新的事后分析，讨论四十八周期间的症状最小表达、达到后持续性和疾病严重度等。这是中国研究的新分析，包含开放段与事后指标，不能写作全球</w:t>
      </w:r>
      <w:r>
        <w:rPr/>
        <w:t>UPSTREAM MG</w:t>
      </w:r>
      <w:r>
        <w:rPr/>
        <w:t>顶线。</w:t>
      </w:r>
    </w:p>
    <w:p>
      <w:pPr>
        <w:pStyle w:val="Normal"/>
        <w:rPr/>
      </w:pPr>
      <w:r>
        <w:rPr/>
        <w:t>新闻称四十八周约</w:t>
      </w:r>
      <w:r>
        <w:rPr/>
        <w:t>42%</w:t>
      </w:r>
      <w:r>
        <w:rPr/>
        <w:t>曾达到</w:t>
      </w:r>
      <w:r>
        <w:rPr/>
        <w:t>MG-ADL</w:t>
      </w:r>
      <w:r>
        <w:rPr/>
        <w:t>零或一分，已达症状最小表达的事件约</w:t>
      </w:r>
      <w:r>
        <w:rPr/>
        <w:t>86.7%</w:t>
      </w:r>
      <w:r>
        <w:rPr/>
        <w:t>在下月保持；部分基线不同严重度群体应答有所区别。这些数字需要明确分母和事件定义，不能写成所有患者</w:t>
      </w:r>
      <w:r>
        <w:rPr/>
        <w:t>86.7%</w:t>
      </w:r>
      <w:r>
        <w:rPr/>
        <w:t>持续无症状，更不能把事后约</w:t>
      </w:r>
      <w:r>
        <w:rPr/>
        <w:t>42%</w:t>
      </w:r>
      <w:r>
        <w:rPr/>
        <w:t>当预先设置的主要注册终点。开放延长期也可能有选择和缺失数据影响，研究只将其作为长期效果支持性证据。</w:t>
      </w:r>
    </w:p>
    <w:p>
      <w:pPr>
        <w:pStyle w:val="Normal"/>
        <w:rPr/>
      </w:pPr>
      <w:r>
        <w:rPr/>
        <w:t>9</w:t>
      </w:r>
      <w:r>
        <w:rPr/>
        <w:t>月</w:t>
      </w:r>
      <w:r>
        <w:rPr/>
        <w:t>8</w:t>
      </w:r>
      <w:r>
        <w:rPr/>
        <w:t>日伙伴原公告确认全球</w:t>
      </w:r>
      <w:r>
        <w:rPr/>
        <w:t>UPSTREAM MG</w:t>
      </w:r>
      <w:r>
        <w:rPr/>
        <w:t>完成入组，二十四周主要终点结果仍预计</w:t>
      </w:r>
      <w:r>
        <w:rPr/>
        <w:t>2027</w:t>
      </w:r>
      <w:r>
        <w:rPr/>
        <w:t>年上半年。研究采用这一更新而非只停留在</w:t>
      </w:r>
      <w:r>
        <w:rPr/>
        <w:t>8</w:t>
      </w:r>
      <w:r>
        <w:rPr/>
        <w:t>月中报“仍在入组”；截至日没有全球结果。半年目标</w:t>
      </w:r>
      <w:r>
        <w:rPr/>
        <w:t>2027</w:t>
      </w:r>
      <w:r>
        <w:rPr/>
        <w:t>年</w:t>
      </w:r>
      <w:r>
        <w:rPr/>
        <w:t>4</w:t>
      </w:r>
      <w:r>
        <w:rPr/>
        <w:t>月</w:t>
      </w:r>
      <w:r>
        <w:rPr/>
        <w:t>9</w:t>
      </w:r>
      <w:r>
        <w:rPr/>
        <w:t>日可能早于实际读出，不能因它属于上半年便承诺半年内必然落地。一年投资逻辑可以关注该事件，但必须容纳延迟与不达终点情景。</w:t>
      </w:r>
    </w:p>
    <w:p>
      <w:pPr>
        <w:pStyle w:val="Normal"/>
        <w:rPr/>
      </w:pPr>
      <w:r>
        <w:rPr/>
        <w:t>全球眼肌型</w:t>
      </w:r>
      <w:r>
        <w:rPr/>
        <w:t>MG</w:t>
      </w:r>
      <w:r>
        <w:rPr/>
        <w:t>注册扩展计划预计</w:t>
      </w:r>
      <w:r>
        <w:rPr/>
        <w:t>2027</w:t>
      </w:r>
      <w:r>
        <w:rPr/>
        <w:t>年上半年首例给药，仍是前瞻计划。中国眼肌型研究和结缔组织相关间质性肺病等开发也要独立评估。不同疾病严重度、用药基础和终点会影响收益与安全性。模型国内新增组基准兑现折扣</w:t>
      </w:r>
      <w:r>
        <w:rPr/>
        <w:t>40%</w:t>
      </w:r>
      <w:r>
        <w:rPr/>
        <w:t>、海外</w:t>
      </w:r>
      <w:r>
        <w:rPr/>
        <w:t>gMG/</w:t>
      </w:r>
      <w:r>
        <w:rPr/>
        <w:t>干燥</w:t>
      </w:r>
      <w:r>
        <w:rPr/>
        <w:t>/</w:t>
      </w:r>
      <w:r>
        <w:rPr/>
        <w:t>眼肌组</w:t>
      </w:r>
      <w:r>
        <w:rPr/>
        <w:t>60%</w:t>
      </w:r>
      <w:r>
        <w:rPr/>
        <w:t>，是聚合开发与商业判断，不代表全部适应症共享同一个精确统计成功率。</w:t>
      </w:r>
    </w:p>
    <w:p>
      <w:pPr>
        <w:pStyle w:val="Heading2"/>
        <w:rPr/>
      </w:pPr>
      <w:r>
        <w:rPr>
          <w:color w:val="000000"/>
        </w:rPr>
        <w:t>七 维迪西妥单抗国内商业化与批准边界</w:t>
      </w:r>
    </w:p>
    <w:p>
      <w:pPr>
        <w:pStyle w:val="Normal"/>
        <w:rPr/>
      </w:pPr>
      <w:r>
        <w:rPr/>
        <w:t>RC48</w:t>
      </w:r>
      <w:r>
        <w:rPr/>
        <w:t>已在胃癌和尿路上皮癌获得批准并进入医保，</w:t>
      </w:r>
      <w:r>
        <w:rPr/>
        <w:t>2026</w:t>
      </w:r>
      <w:r>
        <w:rPr/>
        <w:t>年又增加</w:t>
      </w:r>
      <w:r>
        <w:rPr/>
        <w:t>HER2</w:t>
      </w:r>
      <w:r>
        <w:rPr/>
        <w:t>表达尿路上皮癌联合特瑞普利单抗以及特定</w:t>
      </w:r>
      <w:r>
        <w:rPr/>
        <w:t>HER2</w:t>
      </w:r>
      <w:r>
        <w:rPr/>
        <w:t>低表达且有肝转移乳腺癌患者等适应症。每份标签有治疗线别、表达和既往治疗要求，不能称可以覆盖所有乳腺癌或所有尿路上皮癌。模型已批准销售组包含这些批准扩展，不再将同一治疗人群放进新增管线组重复估值。</w:t>
      </w:r>
    </w:p>
    <w:p>
      <w:pPr>
        <w:pStyle w:val="Normal"/>
        <w:rPr/>
      </w:pPr>
      <w:r>
        <w:rPr/>
        <w:t>4</w:t>
      </w:r>
      <w:r>
        <w:rPr/>
        <w:t>月</w:t>
      </w:r>
      <w:r>
        <w:rPr/>
        <w:t>10</w:t>
      </w:r>
      <w:r>
        <w:rPr/>
        <w:t>日公告支持尿路上皮癌联合治疗新标签，研究重点是联合方案能否在实际临床与其他</w:t>
      </w:r>
      <w:r>
        <w:rPr/>
        <w:t>ADC</w:t>
      </w:r>
      <w:r>
        <w:rPr/>
        <w:t>和免疫路线竞争。给药、毒性管理、检测和疗程会影响治疗选择。维迪西妥单抗与其他药物联合后，整体方案销售不全归荣昌；相关伙伴药收入不能计入本公司产品峰值。估值的产品收入只对应荣昌自身药品现金。</w:t>
      </w:r>
    </w:p>
    <w:p>
      <w:pPr>
        <w:pStyle w:val="Normal"/>
        <w:rPr/>
      </w:pPr>
      <w:r>
        <w:rPr/>
        <w:t>乳腺癌</w:t>
      </w:r>
      <w:r>
        <w:rPr/>
        <w:t>HER2</w:t>
      </w:r>
      <w:r>
        <w:rPr/>
        <w:t>低表达标签限定既往治疗与肝转移患者，批准增加临床机会，同时竞争激烈。其他</w:t>
      </w:r>
      <w:r>
        <w:rPr/>
        <w:t>ADC</w:t>
      </w:r>
      <w:r>
        <w:rPr/>
        <w:t>在类似疾病有更广泛证据和全球商业网络，荣昌需要以真实临床价值与支付证明份额。不同研究中剂量、前线和患者比例不同，单凭响应率比较很容易失真。模型基准</w:t>
      </w:r>
      <w:r>
        <w:rPr/>
        <w:t>RC48</w:t>
      </w:r>
      <w:r>
        <w:rPr/>
        <w:t>已批销售</w:t>
      </w:r>
      <w:r>
        <w:rPr/>
        <w:t>2026</w:t>
      </w:r>
      <w:r>
        <w:rPr/>
        <w:t>年</w:t>
      </w:r>
      <w:r>
        <w:rPr/>
        <w:t>8</w:t>
      </w:r>
      <w:r>
        <w:rPr/>
        <w:t>亿元、</w:t>
      </w:r>
      <w:r>
        <w:rPr/>
        <w:t>2027</w:t>
      </w:r>
      <w:r>
        <w:rPr/>
        <w:t>年</w:t>
      </w:r>
      <w:r>
        <w:rPr/>
        <w:t>12</w:t>
      </w:r>
      <w:r>
        <w:rPr/>
        <w:t>亿元是研究路径，历史中报未给两药精确收入拆分。</w:t>
      </w:r>
    </w:p>
    <w:p>
      <w:pPr>
        <w:pStyle w:val="Normal"/>
        <w:rPr/>
      </w:pPr>
      <w:r>
        <w:rPr/>
        <w:t>公司中报披露</w:t>
      </w:r>
      <w:r>
        <w:rPr/>
        <w:t>RC48</w:t>
      </w:r>
      <w:r>
        <w:rPr/>
        <w:t>获准入超过</w:t>
      </w:r>
      <w:r>
        <w:rPr/>
        <w:t>1070</w:t>
      </w:r>
      <w:r>
        <w:rPr/>
        <w:t>家医院，肿瘤与自免采用两个销售团队，</w:t>
      </w:r>
      <w:r>
        <w:rPr/>
        <w:t>A</w:t>
      </w:r>
      <w:r>
        <w:rPr/>
        <w:t>股半年报告称分别超过</w:t>
      </w:r>
      <w:r>
        <w:rPr/>
        <w:t>500</w:t>
      </w:r>
      <w:r>
        <w:rPr/>
        <w:t>人与</w:t>
      </w:r>
      <w:r>
        <w:rPr/>
        <w:t>900</w:t>
      </w:r>
      <w:r>
        <w:rPr/>
        <w:t>人。组织覆盖有助于推广，但医院数量不是已活跃处方数，团队人数不是效率。药品总收入增长</w:t>
      </w:r>
      <w:r>
        <w:rPr/>
        <w:t>23.34%</w:t>
      </w:r>
      <w:r>
        <w:rPr/>
        <w:t>、销售费用增</w:t>
      </w:r>
      <w:r>
        <w:rPr/>
        <w:t>4.53%</w:t>
      </w:r>
      <w:r>
        <w:rPr/>
        <w:t>提供部分经营杠杆迹象，需要继续看同一团队收入、回款与费用。不能因授权之后研发下降就认为商业药销售已经无需成本。</w:t>
      </w:r>
    </w:p>
    <w:p>
      <w:pPr>
        <w:pStyle w:val="Heading2"/>
        <w:rPr/>
      </w:pPr>
      <w:r>
        <w:rPr>
          <w:color w:val="000000"/>
        </w:rPr>
        <w:t>八 胃癌及围术期膀胱 鼓励数据仍需完整确认</w:t>
      </w:r>
    </w:p>
    <w:p>
      <w:pPr>
        <w:pStyle w:val="Normal"/>
        <w:rPr/>
      </w:pPr>
      <w:r>
        <w:rPr/>
        <w:t>中报披露</w:t>
      </w:r>
      <w:r>
        <w:rPr/>
        <w:t>RC48</w:t>
      </w:r>
      <w:r>
        <w:rPr/>
        <w:t>胃癌二期与三期框架的若干数据，</w:t>
      </w:r>
      <w:r>
        <w:rPr/>
        <w:t>HER2</w:t>
      </w:r>
      <w:r>
        <w:rPr/>
        <w:t>中低表达第一阶段确认应答</w:t>
      </w:r>
      <w:r>
        <w:rPr/>
        <w:t>75.0%</w:t>
      </w:r>
      <w:r>
        <w:rPr/>
        <w:t>对</w:t>
      </w:r>
      <w:r>
        <w:rPr/>
        <w:t>47.8%</w:t>
      </w:r>
      <w:r>
        <w:rPr/>
        <w:t>，</w:t>
      </w:r>
      <w:r>
        <w:rPr/>
        <w:t>PFS</w:t>
      </w:r>
      <w:r>
        <w:rPr/>
        <w:t>风险比约</w:t>
      </w:r>
      <w:r>
        <w:rPr/>
        <w:t>0.55</w:t>
      </w:r>
      <w:r>
        <w:rPr/>
        <w:t>；第二阶段和高表达组又有不同方案与探索分析。这些是各自研究部分的结果，不能将不同阶段风险比合并成统一三期确证。事后敏感性分析需与预设检验分开，精确人群和对照也影响解释。本章不把所有胃癌一线市场按已完全成功处理。</w:t>
      </w:r>
    </w:p>
    <w:p>
      <w:pPr>
        <w:pStyle w:val="Normal"/>
        <w:rPr/>
      </w:pPr>
      <w:r>
        <w:rPr/>
        <w:t>中国</w:t>
      </w:r>
      <w:r>
        <w:rPr/>
        <w:t>HER2</w:t>
      </w:r>
      <w:r>
        <w:rPr/>
        <w:t>中低和高表达一线胃癌后期研究仍在入组，联合方案包括免疫、化疗或其他</w:t>
      </w:r>
      <w:r>
        <w:rPr/>
        <w:t>HER2</w:t>
      </w:r>
      <w:r>
        <w:rPr/>
        <w:t>药物，市场份额受整体方案成本与毒性影响。前线成功可以扩大治疗人数与疗程，却面对其他胃癌靶向和免疫竞争。模型新增国内</w:t>
      </w:r>
      <w:r>
        <w:rPr/>
        <w:t>RC48</w:t>
      </w:r>
      <w:r>
        <w:rPr/>
        <w:t>组基准峰值</w:t>
      </w:r>
      <w:r>
        <w:rPr/>
        <w:t>30</w:t>
      </w:r>
      <w:r>
        <w:rPr/>
        <w:t>亿元、</w:t>
      </w:r>
      <w:r>
        <w:rPr/>
        <w:t>2029</w:t>
      </w:r>
      <w:r>
        <w:rPr/>
        <w:t>年起、兑现折扣</w:t>
      </w:r>
      <w:r>
        <w:rPr/>
        <w:t>50%</w:t>
      </w:r>
      <w:r>
        <w:rPr/>
        <w:t>，并排除已批尿路上皮癌联合人群，避免前线标签被再次累加。</w:t>
      </w:r>
    </w:p>
    <w:p>
      <w:pPr>
        <w:pStyle w:val="Normal"/>
        <w:rPr/>
      </w:pPr>
      <w:r>
        <w:rPr/>
        <w:t>围术期肌层浸润膀胱癌研究为开放、单臂、多中心二期，</w:t>
      </w:r>
      <w:r>
        <w:rPr/>
        <w:t>47</w:t>
      </w:r>
      <w:r>
        <w:rPr/>
        <w:t>例入组，其中</w:t>
      </w:r>
      <w:r>
        <w:rPr/>
        <w:t>33</w:t>
      </w:r>
      <w:r>
        <w:rPr/>
        <w:t>例接受根治手术及清扫。报道</w:t>
      </w:r>
      <w:r>
        <w:rPr/>
        <w:t>pCR</w:t>
      </w:r>
      <w:r>
        <w:rPr/>
        <w:t>较高，后续无事件和生存率鼓舞人心，但手术人群与全部入组人群分母不同。单臂生存率不能直接证明优于标准治疗，置信区间较宽，患者选择和手术执行也影响结果。研究保留潜力，并未用小样本</w:t>
      </w:r>
      <w:r>
        <w:rPr/>
        <w:t>pCR</w:t>
      </w:r>
      <w:r>
        <w:rPr/>
        <w:t>直接替代全球注册概率。</w:t>
      </w:r>
    </w:p>
    <w:p>
      <w:pPr>
        <w:pStyle w:val="Normal"/>
        <w:rPr/>
      </w:pPr>
      <w:r>
        <w:rPr/>
        <w:t>肿瘤</w:t>
      </w:r>
      <w:r>
        <w:rPr/>
        <w:t>ADC</w:t>
      </w:r>
      <w:r>
        <w:rPr/>
        <w:t>安全需持续监测骨髓抑制、神经、肺和其他毒性，并关注联合治疗的叠加效应。中报称无新信号，不能等同于未来大规模病人没有稀有不良事件。临床获益足以推动批准之后，治疗持续性、医生学习成本和医保支付又影响实际收入。长期现金率应扣制造和商业管理，不采用授权收入的接近全毛利结构套自营药物。</w:t>
      </w:r>
    </w:p>
    <w:p>
      <w:pPr>
        <w:pStyle w:val="Heading2"/>
        <w:rPr/>
      </w:pPr>
      <w:r>
        <w:rPr>
          <w:color w:val="000000"/>
        </w:rPr>
        <w:t xml:space="preserve">九 </w:t>
      </w:r>
      <w:r>
        <w:rPr>
          <w:color w:val="000000"/>
        </w:rPr>
        <w:t>RC48</w:t>
      </w:r>
      <w:r>
        <w:rPr>
          <w:color w:val="000000"/>
        </w:rPr>
        <w:t>海外合同与竞争</w:t>
      </w:r>
    </w:p>
    <w:p>
      <w:pPr>
        <w:pStyle w:val="Normal"/>
        <w:rPr/>
      </w:pPr>
      <w:r>
        <w:rPr/>
        <w:t>Seagen</w:t>
      </w:r>
      <w:r>
        <w:rPr/>
        <w:t>于</w:t>
      </w:r>
      <w:r>
        <w:rPr/>
        <w:t>2021</w:t>
      </w:r>
      <w:r>
        <w:rPr/>
        <w:t>年取得许可，授权范围为亚洲以外的全球地区，并包括亚洲中的日本和新加坡；亚洲其他地区由荣昌保留。该边界按八月中期业绩原文“除亚洲（日本、新加坡除外）以外”核验，不能简单写成荣昌保留全亚洲或只有中国。</w:t>
      </w:r>
      <w:r>
        <w:rPr/>
        <w:t>2021</w:t>
      </w:r>
      <w:r>
        <w:rPr/>
        <w:t>年收到</w:t>
      </w:r>
      <w:r>
        <w:rPr/>
        <w:t>2</w:t>
      </w:r>
      <w:r>
        <w:rPr/>
        <w:t>亿美元首付款，未来里程碑上限不超过</w:t>
      </w:r>
      <w:r>
        <w:rPr/>
        <w:t>24</w:t>
      </w:r>
      <w:r>
        <w:rPr/>
        <w:t>亿美元，版税为高个位数到百分之十几，确切阶梯没有公开。本章海外许可模型与国内经营分开，尚未充分估值其他自留非中国地域，明确遗漏。</w:t>
      </w:r>
    </w:p>
    <w:p>
      <w:pPr>
        <w:pStyle w:val="Normal"/>
        <w:rPr/>
      </w:pPr>
      <w:r>
        <w:rPr/>
        <w:t>辉瑞体系推进全球一线尿路上皮癌三期，目前中报阶段为给药及随访，未使用截至日之后结果。全球患者、对照方案、终点和监管标准可能不同于中国研究，国内联合成功提供合理支持，却不保证全球复制。全球商业化还面对已有强势</w:t>
      </w:r>
      <w:r>
        <w:rPr/>
        <w:t>ADC</w:t>
      </w:r>
      <w:r>
        <w:rPr/>
        <w:t>方案，推广顺序和患者检测决定峰值。本章基准海外峰值</w:t>
      </w:r>
      <w:r>
        <w:rPr/>
        <w:t>25</w:t>
      </w:r>
      <w:r>
        <w:rPr/>
        <w:t>亿美元、兑现</w:t>
      </w:r>
      <w:r>
        <w:rPr/>
        <w:t>55%</w:t>
      </w:r>
      <w:r>
        <w:rPr/>
        <w:t>、</w:t>
      </w:r>
      <w:r>
        <w:rPr/>
        <w:t>2029</w:t>
      </w:r>
      <w:r>
        <w:rPr/>
        <w:t>起销售，不是伙伴指引。</w:t>
      </w:r>
    </w:p>
    <w:p>
      <w:pPr>
        <w:pStyle w:val="Normal"/>
        <w:rPr/>
      </w:pPr>
      <w:r>
        <w:rPr/>
        <w:t>许可可以转移大部分海外试验与商业资金负担，但母公司仍存在生产、数据、服务和合同履行责任。版税毛额需要扣相关税与维持服务费用，未假设每一元版税全部流到普通股。未来里程碑按部分事件与时间表折扣，</w:t>
      </w:r>
      <w:r>
        <w:rPr/>
        <w:t>2021</w:t>
      </w:r>
      <w:r>
        <w:rPr/>
        <w:t>年已收首款不再加值。全球完整开发费用和各地域权益仍缺资料，因而不能声称本章九组模型已经完成</w:t>
      </w:r>
      <w:r>
        <w:rPr/>
        <w:t>RC48</w:t>
      </w:r>
      <w:r>
        <w:rPr/>
        <w:t>全球所有适应症的</w:t>
      </w:r>
      <w:r>
        <w:rPr/>
        <w:t>DCF</w:t>
      </w:r>
      <w:r>
        <w:rPr/>
        <w:t>。</w:t>
      </w:r>
    </w:p>
    <w:p>
      <w:pPr>
        <w:pStyle w:val="Heading2"/>
        <w:rPr/>
      </w:pPr>
      <w:r>
        <w:rPr>
          <w:color w:val="000000"/>
        </w:rPr>
        <w:t xml:space="preserve">十 </w:t>
      </w:r>
      <w:r>
        <w:rPr>
          <w:color w:val="000000"/>
        </w:rPr>
        <w:t xml:space="preserve">RC148 </w:t>
      </w:r>
      <w:r>
        <w:rPr>
          <w:color w:val="000000"/>
        </w:rPr>
        <w:t>大额交易与临床风险并存</w:t>
      </w:r>
    </w:p>
    <w:p>
      <w:pPr>
        <w:pStyle w:val="Normal"/>
        <w:rPr/>
      </w:pPr>
      <w:r>
        <w:rPr/>
        <w:t>RC148</w:t>
      </w:r>
      <w:r>
        <w:rPr/>
        <w:t>与艾伯维</w:t>
      </w:r>
      <w:r>
        <w:rPr/>
        <w:t>1</w:t>
      </w:r>
      <w:r>
        <w:rPr/>
        <w:t>月</w:t>
      </w:r>
      <w:r>
        <w:rPr/>
        <w:t>12</w:t>
      </w:r>
      <w:r>
        <w:rPr/>
        <w:t>日签约、</w:t>
      </w:r>
      <w:r>
        <w:rPr/>
        <w:t>3</w:t>
      </w:r>
      <w:r>
        <w:rPr/>
        <w:t>月</w:t>
      </w:r>
      <w:r>
        <w:rPr/>
        <w:t>10</w:t>
      </w:r>
      <w:r>
        <w:rPr/>
        <w:t>日生效，</w:t>
      </w:r>
      <w:r>
        <w:rPr/>
        <w:t>4</w:t>
      </w:r>
      <w:r>
        <w:rPr/>
        <w:t>月收到</w:t>
      </w:r>
      <w:r>
        <w:rPr/>
        <w:t>6.5</w:t>
      </w:r>
      <w:r>
        <w:rPr/>
        <w:t>亿美元首付款。海外除大中华开发、生产和商业化由艾伯维享有独家权利，荣昌有最高</w:t>
      </w:r>
      <w:r>
        <w:rPr/>
        <w:t>49.5</w:t>
      </w:r>
      <w:r>
        <w:rPr/>
        <w:t>亿美元额外开发、监管和商业里程碑以及两位数分级版税。最大额是条件上限，非未来必达现金。当前现金余额已经包含首付，模型不能既加许可资产首款，又加同笔现金与上半年利润。</w:t>
      </w:r>
    </w:p>
    <w:p>
      <w:pPr>
        <w:pStyle w:val="Normal"/>
        <w:rPr/>
      </w:pPr>
      <w:r>
        <w:rPr/>
        <w:t>PD-1</w:t>
      </w:r>
      <w:r>
        <w:rPr/>
        <w:t>与</w:t>
      </w:r>
      <w:r>
        <w:rPr/>
        <w:t>VEGF</w:t>
      </w:r>
      <w:r>
        <w:rPr/>
        <w:t>双抗领域活跃，多个国内和全球项目进入后期。双机制可能提高肿瘤免疫效果，但不同分子在结合、暴露、安全和联合路径上有差异，临床证据不能在公司之间简单移植。艾伯维愿意支付大额款项支持研发价值与合作认可，仍不是后期成功证明。交易可以改善资金和执行能力，但同时提醒市场预期已经提高。</w:t>
      </w:r>
    </w:p>
    <w:p>
      <w:pPr>
        <w:pStyle w:val="Normal"/>
        <w:rPr/>
      </w:pPr>
      <w:r>
        <w:rPr/>
        <w:t>截至中报，国内鳞状非小细胞肺癌、结直肠癌等后期在推进，非鳞状相关研究</w:t>
      </w:r>
      <w:r>
        <w:rPr/>
        <w:t>IND</w:t>
      </w:r>
      <w:r>
        <w:rPr/>
        <w:t>获批；</w:t>
      </w:r>
      <w:r>
        <w:rPr/>
        <w:t>A</w:t>
      </w:r>
      <w:r>
        <w:rPr/>
        <w:t>股半年报告明确艾伯维</w:t>
      </w:r>
      <w:r>
        <w:rPr/>
        <w:t>8</w:t>
      </w:r>
      <w:r>
        <w:rPr/>
        <w:t>月启动全球一线鳞状肺癌三期。研究按原公告日期使用这个真实启动信息，没有补造读出结果。计划与已完成入组、达到终点又不同。模型国内基准峰值</w:t>
      </w:r>
      <w:r>
        <w:rPr/>
        <w:t>40</w:t>
      </w:r>
      <w:r>
        <w:rPr/>
        <w:t>亿元、海外</w:t>
      </w:r>
      <w:r>
        <w:rPr/>
        <w:t>50</w:t>
      </w:r>
      <w:r>
        <w:rPr/>
        <w:t>亿美元均有</w:t>
      </w:r>
      <w:r>
        <w:rPr/>
        <w:t>50%</w:t>
      </w:r>
      <w:r>
        <w:rPr/>
        <w:t>兑现折扣，并承認跨癌种聚合不等于逐试验模型。</w:t>
      </w:r>
    </w:p>
    <w:p>
      <w:pPr>
        <w:pStyle w:val="Normal"/>
        <w:rPr/>
      </w:pPr>
      <w:r>
        <w:rPr/>
        <w:t>RC148</w:t>
      </w:r>
      <w:r>
        <w:rPr/>
        <w:t>与其他</w:t>
      </w:r>
      <w:r>
        <w:rPr/>
        <w:t>ADC</w:t>
      </w:r>
      <w:r>
        <w:rPr/>
        <w:t>的组合潜在扩大机会，也可能增加毒性和开发成本。公司</w:t>
      </w:r>
      <w:r>
        <w:rPr/>
        <w:t>RC118</w:t>
      </w:r>
      <w:r>
        <w:rPr/>
        <w:t>与</w:t>
      </w:r>
      <w:r>
        <w:rPr/>
        <w:t>RC148</w:t>
      </w:r>
      <w:r>
        <w:rPr/>
        <w:t>胃癌组合不能同时在两个模型都按整个方案销售归荣昌而重复计算。当前九资产组对</w:t>
      </w:r>
      <w:r>
        <w:rPr/>
        <w:t>RC148</w:t>
      </w:r>
      <w:r>
        <w:rPr/>
        <w:t>聚合销售有净增量范围约束，早期</w:t>
      </w:r>
      <w:r>
        <w:rPr/>
        <w:t>RC118</w:t>
      </w:r>
      <w:r>
        <w:rPr/>
        <w:t>等未给独立额外价值，研发中央储备保留。若未来组合获得确切临床和合同资料，需要重新分配收入与成本，而不是直接在现有目标之上加一个新峰值。</w:t>
      </w:r>
    </w:p>
    <w:p>
      <w:pPr>
        <w:pStyle w:val="Heading2"/>
        <w:rPr/>
      </w:pPr>
      <w:r>
        <w:rPr>
          <w:color w:val="000000"/>
        </w:rPr>
        <w:t>十一 眼科撤回申报与其他早期管线</w:t>
      </w:r>
    </w:p>
    <w:p>
      <w:pPr>
        <w:pStyle w:val="Normal"/>
        <w:rPr/>
      </w:pPr>
      <w:r>
        <w:rPr/>
        <w:t>RC28-E</w:t>
      </w:r>
      <w:r>
        <w:rPr/>
        <w:t>融合蛋白布局</w:t>
      </w:r>
      <w:r>
        <w:rPr/>
        <w:t>VEGF</w:t>
      </w:r>
      <w:r>
        <w:rPr/>
        <w:t>与</w:t>
      </w:r>
      <w:r>
        <w:rPr/>
        <w:t>FGF</w:t>
      </w:r>
      <w:r>
        <w:rPr/>
        <w:t>相关眼科疾病，中国</w:t>
      </w:r>
      <w:r>
        <w:rPr/>
        <w:t>DME</w:t>
      </w:r>
      <w:r>
        <w:rPr/>
        <w:t>曾受理上市申请，</w:t>
      </w:r>
      <w:r>
        <w:rPr/>
        <w:t>2026</w:t>
      </w:r>
      <w:r>
        <w:rPr/>
        <w:t>年</w:t>
      </w:r>
      <w:r>
        <w:rPr/>
        <w:t>7</w:t>
      </w:r>
      <w:r>
        <w:rPr/>
        <w:t>月主动撤回，按审评对安全样本量要求补充病例后再提交。这一事件不等于药物疗效被完全否定，也不能描述为已经获批。时间、补充研究成本和监管风险都需要上调；模型中国眼科组基准起售</w:t>
      </w:r>
      <w:r>
        <w:rPr/>
        <w:t>2030</w:t>
      </w:r>
      <w:r>
        <w:rPr/>
        <w:t>年、兑现</w:t>
      </w:r>
      <w:r>
        <w:rPr/>
        <w:t>35%</w:t>
      </w:r>
      <w:r>
        <w:rPr/>
        <w:t>，并扣相关未来费用。</w:t>
      </w:r>
    </w:p>
    <w:p>
      <w:pPr>
        <w:pStyle w:val="Normal"/>
        <w:rPr/>
      </w:pPr>
      <w:r>
        <w:rPr/>
        <w:t>wAMD</w:t>
      </w:r>
      <w:r>
        <w:rPr/>
        <w:t>三期已完成患者招募，</w:t>
      </w:r>
      <w:r>
        <w:rPr/>
        <w:t>DR</w:t>
      </w:r>
      <w:r>
        <w:rPr/>
        <w:t>二期处在随访，开发阶段仍不同。参天合作有助于眼科商业网络和经验，荣昌权益是合同收入及版税，不能直接取得全部眼科销售利润。竞争已有不同抗</w:t>
      </w:r>
      <w:r>
        <w:rPr/>
        <w:t>VEGF</w:t>
      </w:r>
      <w:r>
        <w:rPr/>
        <w:t>和长效方案，药物需要证明视力、解剖及给药便利性。眼科生物药对长期安全观察要求高，补样本影响不是只延后几天的行政问题。</w:t>
      </w:r>
    </w:p>
    <w:p>
      <w:pPr>
        <w:pStyle w:val="Normal"/>
        <w:rPr/>
      </w:pPr>
      <w:r>
        <w:rPr/>
        <w:t>RC118</w:t>
      </w:r>
      <w:r>
        <w:rPr/>
        <w:t>、</w:t>
      </w:r>
      <w:r>
        <w:rPr/>
        <w:t>RC278</w:t>
      </w:r>
      <w:r>
        <w:rPr/>
        <w:t>和</w:t>
      </w:r>
      <w:r>
        <w:rPr/>
        <w:t>RC288</w:t>
      </w:r>
      <w:r>
        <w:rPr/>
        <w:t>等提供创新延续，后两者仍较早，</w:t>
      </w:r>
      <w:r>
        <w:rPr/>
        <w:t>RC2882026</w:t>
      </w:r>
      <w:r>
        <w:rPr/>
        <w:t>年</w:t>
      </w:r>
      <w:r>
        <w:rPr/>
        <w:t>5</w:t>
      </w:r>
      <w:r>
        <w:rPr/>
        <w:t>月首例给药是开发开始而非疗效结果。新靶点和双抗</w:t>
      </w:r>
      <w:r>
        <w:rPr/>
        <w:t>ADC</w:t>
      </w:r>
      <w:r>
        <w:rPr/>
        <w:t>名称不能替代毒理、表达、载荷及人群证据。当前模型额外价值为零而保留中央研发投入，防止估值随分子数量机械扩张。未来零值资产可以上修，但需要有证据与明确经济边界，不能拿来随时抵消失败药的价值损失。</w:t>
      </w:r>
    </w:p>
    <w:p>
      <w:pPr>
        <w:pStyle w:val="Heading2"/>
        <w:rPr/>
      </w:pPr>
      <w:r>
        <w:rPr>
          <w:color w:val="000000"/>
        </w:rPr>
        <w:t>十二 财务口径及利润质量</w:t>
      </w:r>
    </w:p>
    <w:p>
      <w:pPr>
        <w:pStyle w:val="Normal"/>
        <w:rPr/>
      </w:pPr>
      <w:r>
        <w:rPr/>
        <w:t>香港</w:t>
      </w:r>
      <w:r>
        <w:rPr/>
        <w:t>IFRS</w:t>
      </w:r>
      <w:r>
        <w:rPr/>
        <w:t>收入</w:t>
      </w:r>
      <w:r>
        <w:rPr/>
        <w:t>58.50196</w:t>
      </w:r>
      <w:r>
        <w:rPr/>
        <w:t>亿元，</w:t>
      </w:r>
      <w:r>
        <w:rPr/>
        <w:t>A</w:t>
      </w:r>
      <w:r>
        <w:rPr/>
        <w:t>股半年度报告收入</w:t>
      </w:r>
      <w:r>
        <w:rPr/>
        <w:t>58.532937</w:t>
      </w:r>
      <w:r>
        <w:rPr/>
        <w:t>亿元；香港销售成本</w:t>
      </w:r>
      <w:r>
        <w:rPr/>
        <w:t>2.68857</w:t>
      </w:r>
      <w:r>
        <w:rPr/>
        <w:t>亿元，</w:t>
      </w:r>
      <w:r>
        <w:rPr/>
        <w:t>A</w:t>
      </w:r>
      <w:r>
        <w:rPr/>
        <w:t>股营业成本</w:t>
      </w:r>
      <w:r>
        <w:rPr/>
        <w:t>2.50933</w:t>
      </w:r>
      <w:r>
        <w:rPr/>
        <w:t>亿元，行政、融资等科目也有列报差异。两种文件利润与经营现金主要数字一致，但不能把</w:t>
      </w:r>
      <w:r>
        <w:rPr/>
        <w:t>A</w:t>
      </w:r>
      <w:r>
        <w:rPr/>
        <w:t>股较低成本与香港收入相接，创造未经核验的正常毛利。本文分析和模型以香港财务表为主，</w:t>
      </w:r>
      <w:r>
        <w:rPr/>
        <w:t>A</w:t>
      </w:r>
      <w:r>
        <w:rPr/>
        <w:t>股比较另存，任何差异都不自动视为造假或可忽略。</w:t>
      </w:r>
    </w:p>
    <w:p>
      <w:pPr>
        <w:pStyle w:val="Normal"/>
        <w:rPr/>
      </w:pPr>
      <w:r>
        <w:rPr/>
        <w:t>香港许可</w:t>
      </w:r>
      <w:r>
        <w:rPr/>
        <w:t>44.62185</w:t>
      </w:r>
      <w:r>
        <w:rPr/>
        <w:t>亿元、药品</w:t>
      </w:r>
      <w:r>
        <w:rPr/>
        <w:t>13.46889</w:t>
      </w:r>
      <w:r>
        <w:rPr/>
        <w:t>亿元、服务</w:t>
      </w:r>
      <w:r>
        <w:rPr/>
        <w:t>0.41122</w:t>
      </w:r>
      <w:r>
        <w:rPr/>
        <w:t>亿元回到总收入。已售库存成本</w:t>
      </w:r>
      <w:r>
        <w:rPr/>
        <w:t>2.42936</w:t>
      </w:r>
      <w:r>
        <w:rPr/>
        <w:t>亿元，药品初步毛利约</w:t>
      </w:r>
      <w:r>
        <w:rPr/>
        <w:t>11.03953</w:t>
      </w:r>
      <w:r>
        <w:rPr/>
        <w:t>亿元、</w:t>
      </w:r>
      <w:r>
        <w:rPr/>
        <w:t>82%</w:t>
      </w:r>
      <w:r>
        <w:rPr/>
        <w:t>左右，而总体毛利</w:t>
      </w:r>
      <w:r>
        <w:rPr/>
        <w:t>55.81339</w:t>
      </w:r>
      <w:r>
        <w:rPr/>
        <w:t>亿元、</w:t>
      </w:r>
      <w:r>
        <w:rPr/>
        <w:t>95.40%</w:t>
      </w:r>
      <w:r>
        <w:rPr/>
        <w:t>，主要受到低直接成本许可影响。药品毛利后还需扣销售、行政与研发，不能将总体</w:t>
      </w:r>
      <w:r>
        <w:rPr/>
        <w:t>95%</w:t>
      </w:r>
      <w:r>
        <w:rPr/>
        <w:t>乘未来产品收入估净利润。许可成本与相关交易咨询费也可能在不同科目出现。</w:t>
      </w:r>
    </w:p>
    <w:p>
      <w:pPr>
        <w:pStyle w:val="Normal"/>
        <w:rPr/>
      </w:pPr>
      <w:r>
        <w:rPr/>
        <w:t>销售</w:t>
      </w:r>
      <w:r>
        <w:rPr/>
        <w:t>5.49598</w:t>
      </w:r>
      <w:r>
        <w:rPr/>
        <w:t>亿元、行政</w:t>
      </w:r>
      <w:r>
        <w:rPr/>
        <w:t>2.62442</w:t>
      </w:r>
      <w:r>
        <w:rPr/>
        <w:t>亿元、研发</w:t>
      </w:r>
      <w:r>
        <w:rPr/>
        <w:t>4.14149</w:t>
      </w:r>
      <w:r>
        <w:rPr/>
        <w:t>亿元，集团毛利减这三项是</w:t>
      </w:r>
      <w:r>
        <w:rPr/>
        <w:t>46.55150</w:t>
      </w:r>
      <w:r>
        <w:rPr/>
        <w:t>亿元，但除许可毛利后会明显改变。报告净利润</w:t>
      </w:r>
      <w:r>
        <w:rPr/>
        <w:t>46.62283</w:t>
      </w:r>
      <w:r>
        <w:rPr/>
        <w:t>亿元还包括其他收入及收益</w:t>
      </w:r>
      <w:r>
        <w:rPr/>
        <w:t>3.54888</w:t>
      </w:r>
      <w:r>
        <w:rPr/>
        <w:t>亿元，其中金融公允价值收益</w:t>
      </w:r>
      <w:r>
        <w:rPr/>
        <w:t>3.19863</w:t>
      </w:r>
      <w:r>
        <w:rPr/>
        <w:t>亿元。</w:t>
      </w:r>
      <w:r>
        <w:rPr/>
        <w:t>Vor</w:t>
      </w:r>
      <w:r>
        <w:rPr/>
        <w:t>权证价值增加约</w:t>
      </w:r>
      <w:r>
        <w:rPr/>
        <w:t>3.15394</w:t>
      </w:r>
      <w:r>
        <w:rPr/>
        <w:t>亿元，非现金。公司剔除</w:t>
      </w:r>
      <w:r>
        <w:rPr/>
        <w:t>BD</w:t>
      </w:r>
      <w:r>
        <w:rPr/>
        <w:t>接近盈亏平衡的管理层观点来自机构新闻转述，不能用它代替已公开经审计产品净利润。</w:t>
      </w:r>
    </w:p>
    <w:p>
      <w:pPr>
        <w:pStyle w:val="Normal"/>
        <w:rPr/>
      </w:pPr>
      <w:r>
        <w:rPr/>
        <w:t>A</w:t>
      </w:r>
      <w:r>
        <w:rPr/>
        <w:t>股扣非净利</w:t>
      </w:r>
      <w:r>
        <w:rPr/>
        <w:t>43.38351</w:t>
      </w:r>
      <w:r>
        <w:rPr/>
        <w:t>亿元仍包含技术许可，监管定义的非经常性损益与投资研究中的持续经营不是同一概念。虽然许可属于公司的业务活动，一笔确定首款不能年年重复；扣非并不等于全部已经变成成熟药品利润。用它乘二再算低</w:t>
      </w:r>
      <w:r>
        <w:rPr/>
        <w:t>PE</w:t>
      </w:r>
      <w:r>
        <w:rPr/>
        <w:t>会把时间集中的权益出售当永久收入。合理估值要把未来合同现金按条件和时点另列。</w:t>
      </w:r>
    </w:p>
    <w:p>
      <w:pPr>
        <w:pStyle w:val="Normal"/>
        <w:rPr/>
      </w:pPr>
      <w:r>
        <w:rPr/>
        <w:t>研发同比下降</w:t>
      </w:r>
      <w:r>
        <w:rPr/>
        <w:t>36.0%</w:t>
      </w:r>
      <w:r>
        <w:rPr/>
        <w:t>，中报解释海外技术授权减少相关临床人员、试验及材料支出。成本转移是许可的实际益处，但海外全部经济价值也相应只保留版税与里程碑；不能同时享有全海外利润和不承担海外开发。股份薪酬</w:t>
      </w:r>
      <w:r>
        <w:rPr/>
        <w:t>0.62088</w:t>
      </w:r>
      <w:r>
        <w:rPr/>
        <w:t>亿元是人才投入的经济成本，不能因调整利润忽略普通股份额。模型保留合理未来分母及费用边界。</w:t>
      </w:r>
    </w:p>
    <w:p>
      <w:pPr>
        <w:pStyle w:val="Heading2"/>
        <w:rPr/>
      </w:pPr>
      <w:r>
        <w:rPr>
          <w:color w:val="000000"/>
        </w:rPr>
        <w:t>十三 现金 债务与可用资金</w:t>
      </w:r>
    </w:p>
    <w:p>
      <w:pPr>
        <w:pStyle w:val="Normal"/>
        <w:rPr/>
      </w:pPr>
      <w:r>
        <w:rPr/>
        <w:t>经营现金流</w:t>
      </w:r>
      <w:r>
        <w:rPr/>
        <w:t>42.13823</w:t>
      </w:r>
      <w:r>
        <w:rPr/>
        <w:t>亿元，扣设备现金</w:t>
      </w:r>
      <w:r>
        <w:rPr/>
        <w:t>0.72145</w:t>
      </w:r>
      <w:r>
        <w:rPr/>
        <w:t>亿元及无形资产</w:t>
      </w:r>
      <w:r>
        <w:rPr/>
        <w:t>0.01684</w:t>
      </w:r>
      <w:r>
        <w:rPr/>
        <w:t>亿元后自由现金流约</w:t>
      </w:r>
      <w:r>
        <w:rPr/>
        <w:t>41.39994</w:t>
      </w:r>
      <w:r>
        <w:rPr/>
        <w:t>亿元。数额很强，却包含</w:t>
      </w:r>
      <w:r>
        <w:rPr/>
        <w:t>RC148</w:t>
      </w:r>
      <w:r>
        <w:rPr/>
        <w:t>大额许可收款。若粗略扣许可收入</w:t>
      </w:r>
      <w:r>
        <w:rPr/>
        <w:t>44.62185</w:t>
      </w:r>
      <w:r>
        <w:rPr/>
        <w:t>亿元，只能提示核心现金仍需验证；许可收入确认、外汇及现金实际款项不完全相同，不能将这个粗差称为审计核心经营现金。未来现金模型采用单独假设，而非年化本期自由现金。</w:t>
      </w:r>
    </w:p>
    <w:p>
      <w:pPr>
        <w:pStyle w:val="Normal"/>
        <w:rPr/>
      </w:pPr>
      <w:r>
        <w:rPr/>
        <w:t>公司偿還银行贷款约</w:t>
      </w:r>
      <w:r>
        <w:rPr/>
        <w:t>20.64028</w:t>
      </w:r>
      <w:r>
        <w:rPr/>
        <w:t>亿元，同时新增</w:t>
      </w:r>
      <w:r>
        <w:rPr/>
        <w:t>2.73037</w:t>
      </w:r>
      <w:r>
        <w:rPr/>
        <w:t>亿元，六月末银行债约</w:t>
      </w:r>
      <w:r>
        <w:rPr/>
        <w:t>1.73557</w:t>
      </w:r>
      <w:r>
        <w:rPr/>
        <w:t>亿元，较去年末</w:t>
      </w:r>
      <w:r>
        <w:rPr/>
        <w:t>21.58572</w:t>
      </w:r>
      <w:r>
        <w:rPr/>
        <w:t>亿元大降。借款降低减少融资成本与到期压力，这是更稳固的改善。净资产</w:t>
      </w:r>
      <w:r>
        <w:rPr/>
        <w:t>83.14075</w:t>
      </w:r>
      <w:r>
        <w:rPr/>
        <w:t>亿元又包括金融权证和生产资产，不能全部变成可派现金。流动性需要对照资本投入、研发和募集用途，不能只看净债变负就忽略未来资金需求。</w:t>
      </w:r>
    </w:p>
    <w:p>
      <w:pPr>
        <w:pStyle w:val="Normal"/>
        <w:rPr/>
      </w:pPr>
      <w:r>
        <w:rPr/>
        <w:t>六月现金等价物</w:t>
      </w:r>
      <w:r>
        <w:rPr/>
        <w:t>15.28895</w:t>
      </w:r>
      <w:r>
        <w:rPr/>
        <w:t>亿元、超过三个月定存</w:t>
      </w:r>
      <w:r>
        <w:rPr/>
        <w:t>0.2</w:t>
      </w:r>
      <w:r>
        <w:rPr/>
        <w:t>亿元、理财</w:t>
      </w:r>
      <w:r>
        <w:rPr/>
        <w:t>20.513</w:t>
      </w:r>
      <w:r>
        <w:rPr/>
        <w:t>亿元、</w:t>
      </w:r>
      <w:r>
        <w:rPr/>
        <w:t>Vor</w:t>
      </w:r>
      <w:r>
        <w:rPr/>
        <w:t>权证</w:t>
      </w:r>
      <w:r>
        <w:rPr/>
        <w:t>15.30905</w:t>
      </w:r>
      <w:r>
        <w:rPr/>
        <w:t>亿元，后两种都列金融资产但风险差别很大。模型理财按</w:t>
      </w:r>
      <w:r>
        <w:rPr/>
        <w:t>95%</w:t>
      </w:r>
      <w:r>
        <w:rPr/>
        <w:t>研究回收率、现金与定存按账面，扣</w:t>
      </w:r>
      <w:r>
        <w:rPr/>
        <w:t>1.73557</w:t>
      </w:r>
      <w:r>
        <w:rPr/>
        <w:t>亿元银行债和</w:t>
      </w:r>
      <w:r>
        <w:rPr/>
        <w:t>6</w:t>
      </w:r>
      <w:r>
        <w:rPr/>
        <w:t>亿元经营储备，得到</w:t>
      </w:r>
      <w:r>
        <w:rPr/>
        <w:t>27.24073</w:t>
      </w:r>
      <w:r>
        <w:rPr/>
        <w:t>亿元超额现金锚。权证不在理财现金锚，再以残余权益另算；限制存款已在现金范围外，不重复扣。</w:t>
      </w:r>
    </w:p>
    <w:p>
      <w:pPr>
        <w:pStyle w:val="Normal"/>
        <w:rPr/>
      </w:pPr>
      <w:r>
        <w:rPr/>
        <w:t>租赁法律负债约</w:t>
      </w:r>
      <w:r>
        <w:rPr/>
        <w:t>1.37462</w:t>
      </w:r>
      <w:r>
        <w:rPr/>
        <w:t>亿元，经营现金率和总部费用留经济租金后，不再减同一租赁债避免双扣。应收账款及票据</w:t>
      </w:r>
      <w:r>
        <w:rPr/>
        <w:t>5.71931</w:t>
      </w:r>
      <w:r>
        <w:rPr/>
        <w:t>亿元、库存</w:t>
      </w:r>
      <w:r>
        <w:rPr/>
        <w:t>7.58638</w:t>
      </w:r>
      <w:r>
        <w:rPr/>
        <w:t>亿元会占用资金，生产资产</w:t>
      </w:r>
      <w:r>
        <w:rPr/>
        <w:t>28.97926</w:t>
      </w:r>
      <w:r>
        <w:rPr/>
        <w:t>亿元、资本开支承诺</w:t>
      </w:r>
      <w:r>
        <w:rPr/>
        <w:t>1.14625</w:t>
      </w:r>
      <w:r>
        <w:rPr/>
        <w:t>亿元说明仍有投入。未来流动资金若扩张快于现金率，</w:t>
      </w:r>
      <w:r>
        <w:rPr/>
        <w:t>6</w:t>
      </w:r>
      <w:r>
        <w:rPr/>
        <w:t>亿元储备可能不足。模型公开这一近似，不把它称为完整审计净现金。</w:t>
      </w:r>
    </w:p>
    <w:p>
      <w:pPr>
        <w:pStyle w:val="Normal"/>
        <w:rPr/>
      </w:pPr>
      <w:r>
        <w:rPr/>
        <w:t>海外许可大额现金改善融资能力，也有特定研究与商业用途。理财产品可能到期滚动，收益不能视为药品竞争优势；权证升值更加依赖</w:t>
      </w:r>
      <w:r>
        <w:rPr/>
        <w:t>Vor</w:t>
      </w:r>
      <w:r>
        <w:rPr/>
        <w:t>价格和临床。公司未来既可能继续授权，也可能发行或加大投入。持续经营现金覆盖研发与资本支出之前，不能认定未来无须任何融资。每股价值需要把收款、使用与股数同步更新。</w:t>
      </w:r>
    </w:p>
    <w:p>
      <w:pPr>
        <w:pStyle w:val="Heading2"/>
        <w:rPr/>
      </w:pPr>
      <w:r>
        <w:rPr>
          <w:color w:val="000000"/>
        </w:rPr>
        <w:t xml:space="preserve">十四 </w:t>
      </w:r>
      <w:r>
        <w:rPr>
          <w:color w:val="000000"/>
        </w:rPr>
        <w:t>Vor</w:t>
      </w:r>
      <w:r>
        <w:rPr>
          <w:color w:val="000000"/>
        </w:rPr>
        <w:t>权益 资本结构与双计约束</w:t>
      </w:r>
    </w:p>
    <w:p>
      <w:pPr>
        <w:pStyle w:val="Normal"/>
        <w:rPr/>
      </w:pPr>
      <w:r>
        <w:rPr/>
        <w:t>Vor</w:t>
      </w:r>
      <w:r>
        <w:rPr/>
        <w:t>美国原始</w:t>
      </w:r>
      <w:r>
        <w:rPr/>
        <w:t>10-Q</w:t>
      </w:r>
      <w:r>
        <w:rPr/>
        <w:t>于</w:t>
      </w:r>
      <w:r>
        <w:rPr/>
        <w:t>8</w:t>
      </w:r>
      <w:r>
        <w:rPr/>
        <w:t>月</w:t>
      </w:r>
      <w:r>
        <w:rPr/>
        <w:t>11</w:t>
      </w:r>
      <w:r>
        <w:rPr/>
        <w:t>日披露，一比二十反向拆股</w:t>
      </w:r>
      <w:r>
        <w:rPr/>
        <w:t>2025</w:t>
      </w:r>
      <w:r>
        <w:rPr/>
        <w:t>年</w:t>
      </w:r>
      <w:r>
        <w:rPr/>
        <w:t>9</w:t>
      </w:r>
      <w:r>
        <w:rPr/>
        <w:t>月</w:t>
      </w:r>
      <w:r>
        <w:rPr/>
        <w:t>18</w:t>
      </w:r>
      <w:r>
        <w:rPr/>
        <w:t>日生效，所有历史每股数字已回溯。荣昌旧</w:t>
      </w:r>
      <w:r>
        <w:rPr/>
        <w:t>3.2</w:t>
      </w:r>
      <w:r>
        <w:rPr/>
        <w:t>亿权证对应现</w:t>
      </w:r>
      <w:r>
        <w:rPr/>
        <w:t>1600</w:t>
      </w:r>
      <w:r>
        <w:rPr/>
        <w:t>万股，行权价</w:t>
      </w:r>
      <w:r>
        <w:rPr/>
        <w:t>0.002</w:t>
      </w:r>
      <w:r>
        <w:rPr/>
        <w:t>美元，六月尚未行使。原财报</w:t>
      </w:r>
      <w:r>
        <w:rPr/>
        <w:t>3.2</w:t>
      </w:r>
      <w:r>
        <w:rPr/>
        <w:t>亿与现股数不能并列相除计算巨额控制权，也不能仍用拆前价格乘现行股份。研究保留原合同及现行转换，避免一比二十量纲错误。</w:t>
      </w:r>
    </w:p>
    <w:p>
      <w:pPr>
        <w:pStyle w:val="Normal"/>
        <w:rPr/>
      </w:pPr>
      <w:r>
        <w:rPr/>
        <w:t>Vor</w:t>
      </w:r>
      <w:r>
        <w:rPr/>
        <w:t>六月普通股约</w:t>
      </w:r>
      <w:r>
        <w:rPr/>
        <w:t>5446</w:t>
      </w:r>
      <w:r>
        <w:rPr/>
        <w:t>万，此外有</w:t>
      </w:r>
      <w:r>
        <w:rPr/>
        <w:t>PIPE</w:t>
      </w:r>
      <w:r>
        <w:rPr/>
        <w:t>预付权证、荣昌权证、期权和激励，八月初流通又因</w:t>
      </w:r>
      <w:r>
        <w:rPr/>
        <w:t>ATM</w:t>
      </w:r>
      <w:r>
        <w:rPr/>
        <w:t>增加。荣昌的经济比例要用完全稀释和未来融资分母，不能仅用</w:t>
      </w:r>
      <w:r>
        <w:rPr/>
        <w:t>5446</w:t>
      </w:r>
      <w:r>
        <w:rPr/>
        <w:t>万作长期总股数。美国会计将部分权证记为负债公允价值，经济模型若已将其转入稀释股数，不再把同一权证负债从价值扣一次。法律现金替代或特定终止条款仍需进一步完整核验。</w:t>
      </w:r>
    </w:p>
    <w:p>
      <w:pPr>
        <w:pStyle w:val="Normal"/>
        <w:rPr/>
      </w:pPr>
      <w:r>
        <w:rPr/>
        <w:t>Vor</w:t>
      </w:r>
      <w:r>
        <w:rPr/>
        <w:t>六月现金与有价证券</w:t>
      </w:r>
      <w:r>
        <w:rPr/>
        <w:t>4.661</w:t>
      </w:r>
      <w:r>
        <w:rPr/>
        <w:t>亿美元，七月</w:t>
      </w:r>
      <w:r>
        <w:rPr/>
        <w:t>ATM</w:t>
      </w:r>
      <w:r>
        <w:rPr/>
        <w:t>净收</w:t>
      </w:r>
      <w:r>
        <w:rPr/>
        <w:t>0.484</w:t>
      </w:r>
      <w:r>
        <w:rPr/>
        <w:t>亿美元，管理层称资金可支持至</w:t>
      </w:r>
      <w:r>
        <w:rPr/>
        <w:t>2029</w:t>
      </w:r>
      <w:r>
        <w:rPr/>
        <w:t>年初。这是伙伴资金计划，不保证无需融资。研发和商业人员扩张、注册费用、里程碑与竞争都可能改变消耗。荣昌既依赖伙伴推进海外药物，又持有伙伴潜在股权，两个价值因同一临床结果高度相关，不能当互不相关资产分散。</w:t>
      </w:r>
    </w:p>
    <w:p>
      <w:pPr>
        <w:pStyle w:val="Normal"/>
        <w:rPr/>
      </w:pPr>
      <w:r>
        <w:rPr/>
        <w:t>美国原合同披露泰它西普监管里程碑最高</w:t>
      </w:r>
      <w:r>
        <w:rPr/>
        <w:t>3.30</w:t>
      </w:r>
      <w:r>
        <w:rPr/>
        <w:t>亿美元、销售里程碑</w:t>
      </w:r>
      <w:r>
        <w:rPr/>
        <w:t>37.75</w:t>
      </w:r>
      <w:r>
        <w:rPr/>
        <w:t>亿美元，版税高个位至中双位数，存在常规减额。合同最高总额</w:t>
      </w:r>
      <w:r>
        <w:rPr/>
        <w:t>41.05</w:t>
      </w:r>
      <w:r>
        <w:rPr/>
        <w:t>亿美元与分项相符，不是全部近期到款。母公司版税模型在未来销售上计算可归现金，</w:t>
      </w:r>
      <w:r>
        <w:rPr/>
        <w:t>Vor</w:t>
      </w:r>
      <w:r>
        <w:rPr/>
        <w:t>残余权益先扣同一版税和假设里程碑，再扣自身研发行政。</w:t>
      </w:r>
      <w:r>
        <w:rPr/>
        <w:t>Vor</w:t>
      </w:r>
      <w:r>
        <w:rPr/>
        <w:t>现金只在</w:t>
      </w:r>
      <w:r>
        <w:rPr/>
        <w:t>Vor</w:t>
      </w:r>
      <w:r>
        <w:rPr/>
        <w:t>内部加，母现金不加第二次。</w:t>
      </w:r>
    </w:p>
    <w:p>
      <w:pPr>
        <w:pStyle w:val="Normal"/>
        <w:rPr/>
      </w:pPr>
      <w:r>
        <w:rPr/>
        <w:t>年底基准</w:t>
      </w:r>
      <w:r>
        <w:rPr/>
        <w:t>Vor</w:t>
      </w:r>
      <w:r>
        <w:rPr/>
        <w:t>未来权益约</w:t>
      </w:r>
      <w:r>
        <w:rPr/>
        <w:t>56.26318</w:t>
      </w:r>
      <w:r>
        <w:rPr/>
        <w:t>亿元，荣昌权证对应预测完全稀释</w:t>
      </w:r>
      <w:r>
        <w:rPr/>
        <w:t>1.12</w:t>
      </w:r>
      <w:r>
        <w:rPr/>
        <w:t>亿股中的</w:t>
      </w:r>
      <w:r>
        <w:rPr/>
        <w:t>14.2857%</w:t>
      </w:r>
      <w:r>
        <w:rPr/>
        <w:t>，减行权现金后再九折，得到约</w:t>
      </w:r>
      <w:r>
        <w:rPr/>
        <w:t>7.23182</w:t>
      </w:r>
      <w:r>
        <w:rPr/>
        <w:t>亿元。这个值低于六月账面</w:t>
      </w:r>
      <w:r>
        <w:rPr/>
        <w:t>15.30905</w:t>
      </w:r>
      <w:r>
        <w:rPr/>
        <w:t>亿元，不能因此将账面再补进模型。残余模型简化、商业率和未来分母都是研究假设，其他权益及完整三表未穿透。实际股价和法律行权路径可能不同，不能把该值当可立即变现的现金。</w:t>
      </w:r>
    </w:p>
    <w:p>
      <w:pPr>
        <w:pStyle w:val="Heading2"/>
        <w:rPr/>
      </w:pPr>
      <w:r>
        <w:rPr>
          <w:color w:val="000000"/>
        </w:rPr>
        <w:t>十五 荣昌股数 回购与治理</w:t>
      </w:r>
    </w:p>
    <w:p>
      <w:pPr>
        <w:pStyle w:val="Normal"/>
        <w:rPr/>
      </w:pPr>
      <w:r>
        <w:rPr/>
        <w:t>九月月报总法定股份</w:t>
      </w:r>
      <w:r>
        <w:rPr/>
        <w:t>564,477,483</w:t>
      </w:r>
      <w:r>
        <w:rPr/>
        <w:t>，其中</w:t>
      </w:r>
      <w:r>
        <w:rPr/>
        <w:t>H</w:t>
      </w:r>
      <w:r>
        <w:rPr/>
        <w:t>股</w:t>
      </w:r>
      <w:r>
        <w:rPr/>
        <w:t>208,581,239</w:t>
      </w:r>
      <w:r>
        <w:rPr/>
        <w:t>、</w:t>
      </w:r>
      <w:r>
        <w:rPr/>
        <w:t>A</w:t>
      </w:r>
      <w:r>
        <w:rPr/>
        <w:t>股</w:t>
      </w:r>
      <w:r>
        <w:rPr/>
        <w:t>355,896,244</w:t>
      </w:r>
      <w:r>
        <w:rPr/>
        <w:t>，</w:t>
      </w:r>
      <w:r>
        <w:rPr/>
        <w:t>A</w:t>
      </w:r>
      <w:r>
        <w:rPr/>
        <w:t>库存</w:t>
      </w:r>
      <w:r>
        <w:rPr/>
        <w:t>254,184</w:t>
      </w:r>
      <w:r>
        <w:rPr/>
        <w:t>股，合计不含法律库存</w:t>
      </w:r>
      <w:r>
        <w:rPr/>
        <w:t>564,223,299</w:t>
      </w:r>
      <w:r>
        <w:rPr/>
        <w:t>股。公司价值须除全公司普通股，不能只用</w:t>
      </w:r>
      <w:r>
        <w:rPr/>
        <w:t>H</w:t>
      </w:r>
      <w:r>
        <w:rPr/>
        <w:t>股分母分配全公司利润。</w:t>
      </w:r>
      <w:r>
        <w:rPr/>
        <w:t>A</w:t>
      </w:r>
      <w:r>
        <w:rPr/>
        <w:t>股</w:t>
      </w:r>
      <w:r>
        <w:rPr/>
        <w:t>688331</w:t>
      </w:r>
      <w:r>
        <w:rPr/>
        <w:t>不在用户原名单，本章不增加新的股票排序，却必须用其股数核验同一发行人权益。</w:t>
      </w:r>
      <w:r>
        <w:rPr/>
        <w:t>A/H</w:t>
      </w:r>
      <w:r>
        <w:rPr/>
        <w:t>市场价格也不能简单互换套利。</w:t>
      </w:r>
    </w:p>
    <w:p>
      <w:pPr>
        <w:pStyle w:val="Normal"/>
        <w:rPr/>
      </w:pPr>
      <w:r>
        <w:rPr/>
        <w:t>H</w:t>
      </w:r>
      <w:r>
        <w:rPr/>
        <w:t>股员工奖励由市场购入既有股，</w:t>
      </w:r>
      <w:r>
        <w:rPr/>
        <w:t>IFRS</w:t>
      </w:r>
      <w:r>
        <w:rPr/>
        <w:t>库存或奖励信托和香港月报法律库存分类不同，不应机械相加减。月报</w:t>
      </w:r>
      <w:r>
        <w:rPr/>
        <w:t>A</w:t>
      </w:r>
      <w:r>
        <w:rPr/>
        <w:t>股奖励未来可能发行与已授限制股也要区分，总额度不是即刻流通。当前模型未来分母基准年底</w:t>
      </w:r>
      <w:r>
        <w:rPr/>
        <w:t>5.69</w:t>
      </w:r>
      <w:r>
        <w:rPr/>
        <w:t>亿、半年</w:t>
      </w:r>
      <w:r>
        <w:rPr/>
        <w:t>5.76</w:t>
      </w:r>
      <w:r>
        <w:rPr/>
        <w:t>亿、一年</w:t>
      </w:r>
      <w:r>
        <w:rPr/>
        <w:t>5.9</w:t>
      </w:r>
      <w:r>
        <w:rPr/>
        <w:t>亿、三年</w:t>
      </w:r>
      <w:r>
        <w:rPr/>
        <w:t>6.3</w:t>
      </w:r>
      <w:r>
        <w:rPr/>
        <w:t>亿、五年</w:t>
      </w:r>
      <w:r>
        <w:rPr/>
        <w:t>6.75</w:t>
      </w:r>
      <w:r>
        <w:rPr/>
        <w:t>亿，均研究假设，包含合理激励与融资风险，不声称公司已公告这些股数。</w:t>
      </w:r>
    </w:p>
    <w:p>
      <w:pPr>
        <w:pStyle w:val="Normal"/>
        <w:rPr/>
      </w:pPr>
      <w:r>
        <w:rPr/>
        <w:t>回购计划</w:t>
      </w:r>
      <w:r>
        <w:rPr/>
        <w:t>2500</w:t>
      </w:r>
      <w:r>
        <w:rPr/>
        <w:t>万至</w:t>
      </w:r>
      <w:r>
        <w:rPr/>
        <w:t>5000</w:t>
      </w:r>
      <w:r>
        <w:rPr/>
        <w:t>万元人民币，用于员工持股或激励，最高价</w:t>
      </w:r>
      <w:r>
        <w:rPr/>
        <w:t>149</w:t>
      </w:r>
      <w:r>
        <w:rPr/>
        <w:t>元；截至九月底累计</w:t>
      </w:r>
      <w:r>
        <w:rPr/>
        <w:t>60040</w:t>
      </w:r>
      <w:r>
        <w:rPr/>
        <w:t>股、</w:t>
      </w:r>
      <w:r>
        <w:rPr/>
        <w:t>663.1956</w:t>
      </w:r>
      <w:r>
        <w:rPr/>
        <w:t>万元。回购不为注销，不能永久从未来稀释分母扣除；规模相对总股数约</w:t>
      </w:r>
      <w:r>
        <w:rPr/>
        <w:t>0.0106%</w:t>
      </w:r>
      <w:r>
        <w:rPr/>
        <w:t>，也不足以说明技术底被确定保护。香港镜像封面</w:t>
      </w:r>
      <w:r>
        <w:rPr/>
        <w:t>10</w:t>
      </w:r>
      <w:r>
        <w:rPr/>
        <w:t>月</w:t>
      </w:r>
      <w:r>
        <w:rPr/>
        <w:t>8</w:t>
      </w:r>
      <w:r>
        <w:rPr/>
        <w:t>日，内附公告落款</w:t>
      </w:r>
      <w:r>
        <w:rPr/>
        <w:t>10</w:t>
      </w:r>
      <w:r>
        <w:rPr/>
        <w:t>月</w:t>
      </w:r>
      <w:r>
        <w:rPr/>
        <w:t>9</w:t>
      </w:r>
      <w:r>
        <w:rPr/>
        <w:t>日，保留差异；披露数据截至九月，仍没有使用截止以后收款或交易。</w:t>
      </w:r>
    </w:p>
    <w:p>
      <w:pPr>
        <w:pStyle w:val="Normal"/>
        <w:rPr/>
      </w:pPr>
      <w:r>
        <w:rPr/>
        <w:t>治理要关注大股东和管理层决策、关联采购、奖励条件及研发资本分配。核心人才经验有价值，亲属与共同权益安排又应通过正式披露理解，不将同一共同持股重复累加成超额控制权。两期</w:t>
      </w:r>
      <w:r>
        <w:rPr/>
        <w:t>H</w:t>
      </w:r>
      <w:r>
        <w:rPr/>
        <w:t>奖励部分未设业绩目标，适合留人不等于自动保护每股回报。研究给风险维度有限分数，现金改善不能消除长期激励与投资效率风险。</w:t>
      </w:r>
    </w:p>
    <w:p>
      <w:pPr>
        <w:pStyle w:val="Heading2"/>
        <w:rPr/>
      </w:pPr>
      <w:r>
        <w:rPr>
          <w:color w:val="000000"/>
        </w:rPr>
        <w:t>十六 估值方法与九资产组</w:t>
      </w:r>
    </w:p>
    <w:p>
      <w:pPr>
        <w:pStyle w:val="Normal"/>
        <w:rPr/>
      </w:pPr>
      <w:r>
        <w:rPr/>
        <w:t>模型采用</w:t>
      </w:r>
      <w:r>
        <w:rPr/>
        <w:t>RC18</w:t>
      </w:r>
      <w:r>
        <w:rPr/>
        <w:t>和</w:t>
      </w:r>
      <w:r>
        <w:rPr/>
        <w:t>RC48</w:t>
      </w:r>
      <w:r>
        <w:rPr/>
        <w:t>中国已批产品、两者国内新增、</w:t>
      </w:r>
      <w:r>
        <w:rPr/>
        <w:t>RC148</w:t>
      </w:r>
      <w:r>
        <w:rPr/>
        <w:t>中国及海外、</w:t>
      </w:r>
      <w:r>
        <w:rPr/>
        <w:t>RC18</w:t>
      </w:r>
      <w:r>
        <w:rPr/>
        <w:t>海外、</w:t>
      </w:r>
      <w:r>
        <w:rPr/>
        <w:t>RC48</w:t>
      </w:r>
      <w:r>
        <w:rPr/>
        <w:t>海外、</w:t>
      </w:r>
      <w:r>
        <w:rPr/>
        <w:t>RC28</w:t>
      </w:r>
      <w:r>
        <w:rPr/>
        <w:t>中国共九组有限现金流。历史两药单独销售拆分没有公开完整数据，</w:t>
      </w:r>
      <w:r>
        <w:rPr/>
        <w:t>2026</w:t>
      </w:r>
      <w:r>
        <w:rPr/>
        <w:t>基准</w:t>
      </w:r>
      <w:r>
        <w:rPr/>
        <w:t>RC18</w:t>
      </w:r>
      <w:r>
        <w:rPr/>
        <w:t>二十亿元和</w:t>
      </w:r>
      <w:r>
        <w:rPr/>
        <w:t>RC48</w:t>
      </w:r>
      <w:r>
        <w:rPr/>
        <w:t>八亿元为研究路径，合计二十八亿元，不冒充已披露分药指引。已批组涵盖现有标签，新增组只计净新患者及治疗机会，避免适应症扩展重复。</w:t>
      </w:r>
    </w:p>
    <w:p>
      <w:pPr>
        <w:pStyle w:val="Normal"/>
        <w:rPr/>
      </w:pPr>
      <w:r>
        <w:rPr/>
        <w:t>未来经营现金率含制造、商业推广及管理、税、维持投资和营运资本，不含单列新增开发与非商业总部储备。逐项目开发按照研究排期全额扣，不随失败概率同比缩小；中央费用仅其他未定价项目与总部，不能再扣全部报表研发。公开逐药费用缺失，分配仍是重要误差来源。许可海外净率只保留荣昌合同收入经过税和服务，非合作伙伴经营净利。</w:t>
      </w:r>
    </w:p>
    <w:p>
      <w:pPr>
        <w:pStyle w:val="Normal"/>
        <w:rPr/>
      </w:pPr>
      <w:r>
        <w:rPr/>
        <w:t>折现率</w:t>
      </w:r>
      <w:r>
        <w:rPr/>
        <w:t>18%</w:t>
      </w:r>
      <w:r>
        <w:rPr/>
        <w:t>、</w:t>
      </w:r>
      <w:r>
        <w:rPr/>
        <w:t>14%</w:t>
      </w:r>
      <w:r>
        <w:rPr/>
        <w:t>、</w:t>
      </w:r>
      <w:r>
        <w:rPr/>
        <w:t>11%</w:t>
      </w:r>
      <w:r>
        <w:rPr/>
        <w:t>，现金流至</w:t>
      </w:r>
      <w:r>
        <w:rPr/>
        <w:t>2044</w:t>
      </w:r>
      <w:r>
        <w:rPr/>
        <w:t>年，无永续终值，商业产品达到峰值后下降。临床和商业兑现折扣单独作用收入，三者均为研究假设。新药未成功时开发费用仍可已投入，负值资产不一律剪零，只有最终普通股权益按有限责任不低于零。年度经营与费用按目标日后剩余年份计算，之前已赚现金仅通过未来现金桥，未来里程碑按假设年末事件另计。</w:t>
      </w:r>
    </w:p>
    <w:p>
      <w:pPr>
        <w:pStyle w:val="Normal"/>
        <w:rPr/>
      </w:pPr>
      <w:r>
        <w:rPr/>
        <w:t>年底基准正经营现金现值</w:t>
      </w:r>
      <w:r>
        <w:rPr/>
        <w:t>339.69035</w:t>
      </w:r>
      <w:r>
        <w:rPr/>
        <w:t>亿元，扣项目研发</w:t>
      </w:r>
      <w:r>
        <w:rPr/>
        <w:t>16.79024</w:t>
      </w:r>
      <w:r>
        <w:rPr/>
        <w:t>亿元、中央</w:t>
      </w:r>
      <w:r>
        <w:rPr/>
        <w:t>12.56946</w:t>
      </w:r>
      <w:r>
        <w:rPr/>
        <w:t>亿元，加未来里程碑</w:t>
      </w:r>
      <w:r>
        <w:rPr/>
        <w:t>10.35801</w:t>
      </w:r>
      <w:r>
        <w:rPr/>
        <w:t>亿元，资产净值</w:t>
      </w:r>
      <w:r>
        <w:rPr/>
        <w:t>320.68866</w:t>
      </w:r>
      <w:r>
        <w:rPr/>
        <w:t>亿元；加超额现金</w:t>
      </w:r>
      <w:r>
        <w:rPr/>
        <w:t>27</w:t>
      </w:r>
      <w:r>
        <w:rPr/>
        <w:t>亿元及</w:t>
      </w:r>
      <w:r>
        <w:rPr/>
        <w:t>Vor</w:t>
      </w:r>
      <w:r>
        <w:rPr/>
        <w:t>权证</w:t>
      </w:r>
      <w:r>
        <w:rPr/>
        <w:t>7.23182</w:t>
      </w:r>
      <w:r>
        <w:rPr/>
        <w:t>亿元，除</w:t>
      </w:r>
      <w:r>
        <w:rPr/>
        <w:t>5.69</w:t>
      </w:r>
      <w:r>
        <w:rPr/>
        <w:t>亿股，以人民币兑港币</w:t>
      </w:r>
      <w:r>
        <w:rPr/>
        <w:t>1.10</w:t>
      </w:r>
      <w:r>
        <w:rPr/>
        <w:t>假设得到有限内在价</w:t>
      </w:r>
      <w:r>
        <w:rPr/>
        <w:t>68.61380</w:t>
      </w:r>
      <w:r>
        <w:rPr/>
        <w:t>港元。源模型保留每年销售、成功、股比、费率、成本与折现，不能只用等效</w:t>
      </w:r>
      <w:r>
        <w:rPr/>
        <w:t>EPS</w:t>
      </w:r>
      <w:r>
        <w:rPr/>
        <w:t>掩盖结构。</w:t>
      </w:r>
    </w:p>
    <w:p>
      <w:pPr>
        <w:pStyle w:val="Heading2"/>
        <w:rPr/>
      </w:pPr>
      <w:r>
        <w:rPr>
          <w:color w:val="000000"/>
        </w:rPr>
        <w:t>十七 价值构成与敏感性</w:t>
      </w:r>
    </w:p>
    <w:p>
      <w:pPr>
        <w:pStyle w:val="Normal"/>
        <w:rPr/>
      </w:pPr>
      <w:r>
        <w:rPr/>
        <w:t>年底基准</w:t>
      </w:r>
      <w:r>
        <w:rPr/>
        <w:t>RC18</w:t>
      </w:r>
      <w:r>
        <w:rPr/>
        <w:t>已批中国现值</w:t>
      </w:r>
      <w:r>
        <w:rPr/>
        <w:t>137.14792</w:t>
      </w:r>
      <w:r>
        <w:rPr/>
        <w:t>亿元、</w:t>
      </w:r>
      <w:r>
        <w:rPr/>
        <w:t>RC48</w:t>
      </w:r>
      <w:r>
        <w:rPr/>
        <w:t>已批</w:t>
      </w:r>
      <w:r>
        <w:rPr/>
        <w:t>54.83313</w:t>
      </w:r>
      <w:r>
        <w:rPr/>
        <w:t>亿元，合计占主要资产价值过半。产品增长与现金率是推荐的第一基础，国内新标签若变现不足，海外早期项目不能仅用交易总额弥补。</w:t>
      </w:r>
      <w:r>
        <w:rPr/>
        <w:t>RC18</w:t>
      </w:r>
      <w:r>
        <w:rPr/>
        <w:t>新增</w:t>
      </w:r>
      <w:r>
        <w:rPr/>
        <w:t>2.55711</w:t>
      </w:r>
      <w:r>
        <w:rPr/>
        <w:t>亿元、</w:t>
      </w:r>
      <w:r>
        <w:rPr/>
        <w:t>RC48</w:t>
      </w:r>
      <w:r>
        <w:rPr/>
        <w:t>新增</w:t>
      </w:r>
      <w:r>
        <w:rPr/>
        <w:t>10.89433</w:t>
      </w:r>
      <w:r>
        <w:rPr/>
        <w:t>亿元体现阶段和费用折扣，与已批准业务不同。新产品价值小并不代表医学价值低，而是现有证据与兑现时间限制。</w:t>
      </w:r>
    </w:p>
    <w:p>
      <w:pPr>
        <w:pStyle w:val="Normal"/>
        <w:rPr/>
      </w:pPr>
      <w:r>
        <w:rPr/>
        <w:t>RC148</w:t>
      </w:r>
      <w:r>
        <w:rPr/>
        <w:t>中国</w:t>
      </w:r>
      <w:r>
        <w:rPr/>
        <w:t>17.11084</w:t>
      </w:r>
      <w:r>
        <w:rPr/>
        <w:t>亿元、海外</w:t>
      </w:r>
      <w:r>
        <w:rPr/>
        <w:t>45.08298</w:t>
      </w:r>
      <w:r>
        <w:rPr/>
        <w:t>亿元；</w:t>
      </w:r>
      <w:r>
        <w:rPr/>
        <w:t>RC18</w:t>
      </w:r>
      <w:r>
        <w:rPr/>
        <w:t>海外</w:t>
      </w:r>
      <w:r>
        <w:rPr/>
        <w:t>33.26306</w:t>
      </w:r>
      <w:r>
        <w:rPr/>
        <w:t>亿元、</w:t>
      </w:r>
      <w:r>
        <w:rPr/>
        <w:t>RC48</w:t>
      </w:r>
      <w:r>
        <w:rPr/>
        <w:t>海外</w:t>
      </w:r>
      <w:r>
        <w:rPr/>
        <w:t>22.26725</w:t>
      </w:r>
      <w:r>
        <w:rPr/>
        <w:t>亿元。海外权益对峰值、净价、版税和时间很敏感，尤其多个免疫和肿瘤路径都要成功。</w:t>
      </w:r>
      <w:r>
        <w:rPr/>
        <w:t>RC28</w:t>
      </w:r>
      <w:r>
        <w:rPr/>
        <w:t>基准年底约负</w:t>
      </w:r>
      <w:r>
        <w:rPr/>
        <w:t>0.25653</w:t>
      </w:r>
      <w:r>
        <w:rPr/>
        <w:t>亿元，是补充开发成本超过低概率远期现金的结果，模型没有为了好看把负项目自动删掉。后续真实审评或安全资料可以改变该值。</w:t>
      </w:r>
    </w:p>
    <w:p>
      <w:pPr>
        <w:pStyle w:val="Normal"/>
        <w:rPr/>
      </w:pPr>
      <w:r>
        <w:rPr/>
        <w:t>RC148</w:t>
      </w:r>
      <w:r>
        <w:rPr/>
        <w:t>海外基准峰值五十亿美元、版税</w:t>
      </w:r>
      <w:r>
        <w:rPr/>
        <w:t>14%</w:t>
      </w:r>
      <w:r>
        <w:rPr/>
        <w:t>、兑现</w:t>
      </w:r>
      <w:r>
        <w:rPr/>
        <w:t>50%</w:t>
      </w:r>
      <w:r>
        <w:rPr/>
        <w:t>、</w:t>
      </w:r>
      <w:r>
        <w:rPr/>
        <w:t>2030</w:t>
      </w:r>
      <w:r>
        <w:rPr/>
        <w:t>起；</w:t>
      </w:r>
      <w:r>
        <w:rPr/>
        <w:t>RC18</w:t>
      </w:r>
      <w:r>
        <w:rPr/>
        <w:t>海外三十亿美元、版税</w:t>
      </w:r>
      <w:r>
        <w:rPr/>
        <w:t>11%</w:t>
      </w:r>
      <w:r>
        <w:rPr/>
        <w:t>、兑现</w:t>
      </w:r>
      <w:r>
        <w:rPr/>
        <w:t>60%</w:t>
      </w:r>
      <w:r>
        <w:rPr/>
        <w:t>、</w:t>
      </w:r>
      <w:r>
        <w:rPr/>
        <w:t>2028</w:t>
      </w:r>
      <w:r>
        <w:rPr/>
        <w:t>起；</w:t>
      </w:r>
      <w:r>
        <w:rPr/>
        <w:t>RC48</w:t>
      </w:r>
      <w:r>
        <w:rPr/>
        <w:t>二十五亿美元、</w:t>
      </w:r>
      <w:r>
        <w:rPr/>
        <w:t>11%</w:t>
      </w:r>
      <w:r>
        <w:rPr/>
        <w:t>、</w:t>
      </w:r>
      <w:r>
        <w:rPr/>
        <w:t>55%</w:t>
      </w:r>
      <w:r>
        <w:rPr/>
        <w:t>、</w:t>
      </w:r>
      <w:r>
        <w:rPr/>
        <w:t>2029</w:t>
      </w:r>
      <w:r>
        <w:rPr/>
        <w:t>起，全部是研究假设。合同精确阶梯缺失时不能把百分数标成已核验费率。峰值改变影响母版税和</w:t>
      </w:r>
      <w:r>
        <w:rPr/>
        <w:t>Vor</w:t>
      </w:r>
      <w:r>
        <w:rPr/>
        <w:t>权益，必须同步刷新，不能只改母资产不改合作方付费成本。</w:t>
      </w:r>
    </w:p>
    <w:p>
      <w:pPr>
        <w:pStyle w:val="Normal"/>
        <w:rPr/>
      </w:pPr>
      <w:r>
        <w:rPr/>
        <w:t>较高折现与晚一年销售能显著压低长久期现金，较低峰值又会使研发费用更难摊薄。股数基准增加至五年</w:t>
      </w:r>
      <w:r>
        <w:rPr/>
        <w:t>6.75</w:t>
      </w:r>
      <w:r>
        <w:rPr/>
        <w:t>亿，使公司资产成长不能全部转成相同每股涨幅。美元兑人民币固定</w:t>
      </w:r>
      <w:r>
        <w:rPr/>
        <w:t>7.00</w:t>
      </w:r>
      <w:r>
        <w:rPr/>
        <w:t>、人民币兑港币</w:t>
      </w:r>
      <w:r>
        <w:rPr/>
        <w:t>1.10</w:t>
      </w:r>
      <w:r>
        <w:rPr/>
        <w:t>为模型假设，非截止实测；外币价值和人民币投资者换汇回报需另看敏感性。本币目标有多位小数是复算结果，不代表真实估价达到同样精度。</w:t>
      </w:r>
    </w:p>
    <w:p>
      <w:pPr>
        <w:pStyle w:val="Normal"/>
        <w:rPr/>
      </w:pPr>
      <w:r>
        <w:rPr/>
        <w:t>悲观同时用低销售、低兑现、高折现和较大融资，乐观同时相反，因此尾部很宽。临床失败通常还可能推高融资成本，多个成功也可能增加商业和生产投入，这些相关性使简单三情景仍有不足。不能拿乐观价当每个利好分别累加后的必达价格，也不能把悲观价当法定价值底。权重期望主要受右尾影响，应与基准和失败条件一起读。</w:t>
      </w:r>
    </w:p>
    <w:p>
      <w:pPr>
        <w:pStyle w:val="Heading2"/>
        <w:rPr/>
      </w:pPr>
      <w:r>
        <w:rPr>
          <w:color w:val="000000"/>
        </w:rPr>
        <w:t>十八 年底与短期市场认知桥</w:t>
      </w:r>
    </w:p>
    <w:p>
      <w:pPr>
        <w:pStyle w:val="Normal"/>
        <w:rPr/>
      </w:pPr>
      <w:r>
        <w:rPr/>
        <w:t>年底有限内在价悲观</w:t>
      </w:r>
      <w:r>
        <w:rPr/>
        <w:t>10.13</w:t>
      </w:r>
      <w:r>
        <w:rPr/>
        <w:t>港元、基准</w:t>
      </w:r>
      <w:r>
        <w:rPr/>
        <w:t>68.61</w:t>
      </w:r>
      <w:r>
        <w:rPr/>
        <w:t>、乐观</w:t>
      </w:r>
      <w:r>
        <w:rPr/>
        <w:t>243.12</w:t>
      </w:r>
      <w:r>
        <w:rPr/>
        <w:t>，描述长期经营组合在年底折现后的价值。到年底不到三个月，市场未必取得足够信息接受全部长期极端路径，本章另用现价加认知系数乘内在价与现价差计算市场目标。年底悲观</w:t>
      </w:r>
      <w:r>
        <w:rPr/>
        <w:t>40%</w:t>
      </w:r>
      <w:r>
        <w:rPr/>
        <w:t>、基准</w:t>
      </w:r>
      <w:r>
        <w:rPr/>
        <w:t>60%</w:t>
      </w:r>
      <w:r>
        <w:rPr/>
        <w:t>、乐观</w:t>
      </w:r>
      <w:r>
        <w:rPr/>
        <w:t>30%</w:t>
      </w:r>
      <w:r>
        <w:rPr/>
        <w:t>，得到</w:t>
      </w:r>
      <w:r>
        <w:rPr/>
        <w:t>46.29</w:t>
      </w:r>
      <w:r>
        <w:rPr/>
        <w:t>、</w:t>
      </w:r>
      <w:r>
        <w:rPr/>
        <w:t>69.33</w:t>
      </w:r>
      <w:r>
        <w:rPr/>
        <w:t>、</w:t>
      </w:r>
      <w:r>
        <w:rPr/>
        <w:t>122.22</w:t>
      </w:r>
      <w:r>
        <w:rPr/>
        <w:t>。系数是研究判断，没有统计校准。</w:t>
      </w:r>
    </w:p>
    <w:p>
      <w:pPr>
        <w:pStyle w:val="Normal"/>
        <w:rPr/>
      </w:pPr>
      <w:r>
        <w:rPr/>
        <w:t>年底悲观条件是销售和临床价值下修、市场风险偏好或</w:t>
      </w:r>
      <w:r>
        <w:rPr/>
        <w:t>Vor</w:t>
      </w:r>
      <w:r>
        <w:rPr/>
        <w:t>投资价值承压；基准条件是国内处方按计划、海外注册研究推进、首付款不重复作为新催化；乐观条件是商业和重要数据超预期，提高长年价值认知。短期价格仍可能因跳空超过范围，</w:t>
      </w:r>
      <w:r>
        <w:rPr/>
        <w:t>46</w:t>
      </w:r>
      <w:r>
        <w:rPr/>
        <w:t>港元不是最大损失保护。机构一年目标不能直接作为年底价，本章也没有按剩余月数将机构目标线性折算。</w:t>
      </w:r>
    </w:p>
    <w:p>
      <w:pPr>
        <w:pStyle w:val="Normal"/>
        <w:rPr/>
      </w:pPr>
      <w:r>
        <w:rPr/>
        <w:t>半年认知系数</w:t>
      </w:r>
      <w:r>
        <w:rPr/>
        <w:t>70%</w:t>
      </w:r>
      <w:r>
        <w:rPr/>
        <w:t>、</w:t>
      </w:r>
      <w:r>
        <w:rPr/>
        <w:t>90%</w:t>
      </w:r>
      <w:r>
        <w:rPr/>
        <w:t>、</w:t>
      </w:r>
      <w:r>
        <w:rPr/>
        <w:t>60%</w:t>
      </w:r>
      <w:r>
        <w:rPr/>
        <w:t>，一年以后</w:t>
      </w:r>
      <w:r>
        <w:rPr/>
        <w:t>100%</w:t>
      </w:r>
      <w:r>
        <w:rPr/>
        <w:t>，表示更多事件有机会改变市场认知。读者可以同时查看完整内在价和市场目标，理解短期价格不完全由</w:t>
      </w:r>
      <w:r>
        <w:rPr/>
        <w:t>DCF</w:t>
      </w:r>
      <w:r>
        <w:rPr/>
        <w:t>决定。系数可调就需要保留版本和刷新记录，不能事后调到吻合已发生价格而称预测准确。实际临床二元结果会跳变，连续认知桥只是简化，需要明确可用范围。</w:t>
      </w:r>
    </w:p>
    <w:p>
      <w:pPr>
        <w:pStyle w:val="Normal"/>
        <w:rPr/>
      </w:pPr>
      <w:r>
        <w:rPr/>
        <w:t>年底期望</w:t>
      </w:r>
      <w:r>
        <w:rPr/>
        <w:t>76.79</w:t>
      </w:r>
      <w:r>
        <w:rPr/>
        <w:t>港元、</w:t>
      </w:r>
      <w:r>
        <w:rPr/>
        <w:t>9.08%</w:t>
      </w:r>
      <w:r>
        <w:rPr/>
        <w:t>，基准却低于现价，来自不对称右尾。悲观加权</w:t>
      </w:r>
      <w:r>
        <w:rPr/>
        <w:t>40%</w:t>
      </w:r>
      <w:r>
        <w:rPr/>
        <w:t>后期望仅</w:t>
      </w:r>
      <w:r>
        <w:rPr/>
        <w:t>0.41%</w:t>
      </w:r>
      <w:r>
        <w:rPr/>
        <w:t>，说明上行期望对假设敏感，并没有稳固安全边际。半年期望</w:t>
      </w:r>
      <w:r>
        <w:rPr/>
        <w:t>22.21%</w:t>
      </w:r>
      <w:r>
        <w:rPr/>
        <w:t>也不能覆盖基准负回报与悲观大损失的事实。进取标准可以偏好右尾，但需要能够承担与验证，不应将权重期望当已经实现的现金收益。</w:t>
      </w:r>
    </w:p>
    <w:p>
      <w:pPr>
        <w:pStyle w:val="Heading2"/>
        <w:rPr/>
      </w:pPr>
      <w:r>
        <w:rPr>
          <w:color w:val="000000"/>
        </w:rPr>
        <w:t>十九 外资投行参照与实际信息差</w:t>
      </w:r>
    </w:p>
    <w:p>
      <w:pPr>
        <w:pStyle w:val="Normal"/>
        <w:rPr/>
      </w:pPr>
      <w:r>
        <w:rPr/>
        <w:t>大和</w:t>
      </w:r>
      <w:r>
        <w:rPr/>
        <w:t>8</w:t>
      </w:r>
      <w:r>
        <w:rPr/>
        <w:t>月</w:t>
      </w:r>
      <w:r>
        <w:rPr/>
        <w:t>26</w:t>
      </w:r>
      <w:r>
        <w:rPr/>
        <w:t>日目标</w:t>
      </w:r>
      <w:r>
        <w:rPr/>
        <w:t>108</w:t>
      </w:r>
      <w:r>
        <w:rPr/>
        <w:t>港元、买入；花旗同日</w:t>
      </w:r>
      <w:r>
        <w:rPr/>
        <w:t>127.7</w:t>
      </w:r>
      <w:r>
        <w:rPr/>
        <w:t>、买入及高风险；里昂同日</w:t>
      </w:r>
      <w:r>
        <w:rPr/>
        <w:t>144.8</w:t>
      </w:r>
      <w:r>
        <w:rPr/>
        <w:t>、跑赢大市；野村</w:t>
      </w:r>
      <w:r>
        <w:rPr/>
        <w:t>7</w:t>
      </w:r>
      <w:r>
        <w:rPr/>
        <w:t>月</w:t>
      </w:r>
      <w:r>
        <w:rPr/>
        <w:t>27</w:t>
      </w:r>
      <w:r>
        <w:rPr/>
        <w:t>日</w:t>
      </w:r>
      <w:r>
        <w:rPr/>
        <w:t>89.44</w:t>
      </w:r>
      <w:r>
        <w:rPr/>
        <w:t>、中性。相对</w:t>
      </w:r>
      <w:r>
        <w:rPr/>
        <w:t>70.40</w:t>
      </w:r>
      <w:r>
        <w:rPr/>
        <w:t>目标上行约</w:t>
      </w:r>
      <w:r>
        <w:rPr/>
        <w:t>53.41%</w:t>
      </w:r>
      <w:r>
        <w:rPr/>
        <w:t>、</w:t>
      </w:r>
      <w:r>
        <w:rPr/>
        <w:t>81.39%</w:t>
      </w:r>
      <w:r>
        <w:rPr/>
        <w:t>、</w:t>
      </w:r>
      <w:r>
        <w:rPr/>
        <w:t>105.68%</w:t>
      </w:r>
      <w:r>
        <w:rPr/>
        <w:t>和</w:t>
      </w:r>
      <w:r>
        <w:rPr/>
        <w:t>27.05%</w:t>
      </w:r>
      <w:r>
        <w:rPr/>
        <w:t>，均来自公开财经新闻转述，完整原始研报和精确目标日缺失。条目日期在九十天内，仍不能视为机构年底保证价或投资获利概率。</w:t>
      </w:r>
    </w:p>
    <w:p>
      <w:pPr>
        <w:pStyle w:val="Normal"/>
        <w:rPr/>
      </w:pPr>
      <w:r>
        <w:rPr/>
        <w:t>野村</w:t>
      </w:r>
      <w:r>
        <w:rPr/>
        <w:t>7</w:t>
      </w:r>
      <w:r>
        <w:rPr/>
        <w:t>月新闻预估二季度营业和利润，与</w:t>
      </w:r>
      <w:r>
        <w:rPr/>
        <w:t>8</w:t>
      </w:r>
      <w:r>
        <w:rPr/>
        <w:t>月实际披露有显著差异，可能与首款确认和估计时点相关。研究保留历史最新可核验目标，却不把旧预测当实际业绩。花旗和里昂引用管理层剔除</w:t>
      </w:r>
      <w:r>
        <w:rPr/>
        <w:t>BD</w:t>
      </w:r>
      <w:r>
        <w:rPr/>
        <w:t>后接近平衡观点，进一步说明机构对正常利润有自己的调整方法。公开转述没有提供完整桥时，不应给这些机构补造现金流细节。</w:t>
      </w:r>
    </w:p>
    <w:p>
      <w:pPr>
        <w:pStyle w:val="Normal"/>
        <w:rPr/>
      </w:pPr>
      <w:r>
        <w:rPr/>
        <w:t>本章一年基准</w:t>
      </w:r>
      <w:r>
        <w:rPr/>
        <w:t>71.79</w:t>
      </w:r>
      <w:r>
        <w:rPr/>
        <w:t>港元明显低于外资目标，原因是有限生命周期、保守兑现与权益现金、开发费用及未来稀释约束。机构可能对临床成功、峰值和未定价权益更乐观，也可能有更完整模型，缺原报告不能断言具体差异。外部高目标可以提示市场看法，无法单独推翻可计算基准。新资料若支持高峰值或现金率，应该正式更新输入而非只提高评级。</w:t>
      </w:r>
    </w:p>
    <w:p>
      <w:pPr>
        <w:pStyle w:val="Heading2"/>
        <w:rPr/>
      </w:pPr>
      <w:r>
        <w:rPr>
          <w:color w:val="000000"/>
        </w:rPr>
        <w:t>二十 日线均线与关键价位</w:t>
      </w:r>
    </w:p>
    <w:p>
      <w:pPr>
        <w:pStyle w:val="Normal"/>
        <w:rPr/>
      </w:pPr>
      <w:r>
        <w:rPr/>
        <w:t>行情覆盖</w:t>
      </w:r>
      <w:r>
        <w:rPr/>
        <w:t>739</w:t>
      </w:r>
      <w:r>
        <w:rPr/>
        <w:t>个真实日观察、</w:t>
      </w:r>
      <w:r>
        <w:rPr/>
        <w:t>157</w:t>
      </w:r>
      <w:r>
        <w:rPr/>
        <w:t>周，基准收盘</w:t>
      </w:r>
      <w:r>
        <w:rPr/>
        <w:t>70.40</w:t>
      </w:r>
      <w:r>
        <w:rPr/>
        <w:t>由独立来源交叉确认。三根</w:t>
      </w:r>
      <w:r>
        <w:rPr/>
        <w:t>Yahoo</w:t>
      </w:r>
      <w:r>
        <w:rPr/>
        <w:t>历史</w:t>
      </w:r>
      <w:r>
        <w:rPr/>
        <w:t>OHLC</w:t>
      </w:r>
      <w:r>
        <w:rPr/>
        <w:t>逻辑不一致，用同日腾讯完整数据修复，保留原字段和记录，不按主观涨跌异常清洗。指标按归一到基准名义价格的复权</w:t>
      </w:r>
      <w:r>
        <w:rPr/>
        <w:t>OHLC</w:t>
      </w:r>
      <w:r>
        <w:rPr/>
        <w:t>，当前样本无相关拆分行动；公司</w:t>
      </w:r>
      <w:r>
        <w:rPr/>
        <w:t>H</w:t>
      </w:r>
      <w:r>
        <w:rPr/>
        <w:t>股与</w:t>
      </w:r>
      <w:r>
        <w:rPr/>
        <w:t>Vor</w:t>
      </w:r>
      <w:r>
        <w:rPr/>
        <w:t>反向拆股是不同证券，不能将</w:t>
      </w:r>
      <w:r>
        <w:rPr/>
        <w:t>Vor</w:t>
      </w:r>
      <w:r>
        <w:rPr/>
        <w:t>行动套到荣昌</w:t>
      </w:r>
      <w:r>
        <w:rPr/>
        <w:t>K</w:t>
      </w:r>
      <w:r>
        <w:rPr/>
        <w:t>线。</w:t>
      </w:r>
    </w:p>
    <w:p>
      <w:pPr>
        <w:pStyle w:val="Normal"/>
        <w:rPr/>
      </w:pPr>
      <w:r>
        <w:rPr/>
        <w:t>二十、六十、一百二十和二百五十日均线</w:t>
      </w:r>
      <w:r>
        <w:rPr/>
        <w:t>74.3625</w:t>
      </w:r>
      <w:r>
        <w:rPr/>
        <w:t>、</w:t>
      </w:r>
      <w:r>
        <w:rPr/>
        <w:t>78.8575</w:t>
      </w:r>
      <w:r>
        <w:rPr/>
        <w:t>、</w:t>
      </w:r>
      <w:r>
        <w:rPr/>
        <w:t>81.91</w:t>
      </w:r>
      <w:r>
        <w:rPr/>
        <w:t>、</w:t>
      </w:r>
      <w:r>
        <w:rPr/>
        <w:t>85.375</w:t>
      </w:r>
      <w:r>
        <w:rPr/>
        <w:t>港元，现价分别低</w:t>
      </w:r>
      <w:r>
        <w:rPr/>
        <w:t>5.33%</w:t>
      </w:r>
      <w:r>
        <w:rPr/>
        <w:t>、</w:t>
      </w:r>
      <w:r>
        <w:rPr/>
        <w:t>10.73%</w:t>
      </w:r>
      <w:r>
        <w:rPr/>
        <w:t>、</w:t>
      </w:r>
      <w:r>
        <w:rPr/>
        <w:t>14.05%</w:t>
      </w:r>
      <w:r>
        <w:rPr/>
        <w:t>和</w:t>
      </w:r>
      <w:r>
        <w:rPr/>
        <w:t>17.54%</w:t>
      </w:r>
      <w:r>
        <w:rPr/>
        <w:t>。五个观察周期斜率约−</w:t>
      </w:r>
      <w:r>
        <w:rPr/>
        <w:t>1.92%</w:t>
      </w:r>
      <w:r>
        <w:rPr/>
        <w:t>、−</w:t>
      </w:r>
      <w:r>
        <w:rPr/>
        <w:t>1.26%</w:t>
      </w:r>
      <w:r>
        <w:rPr/>
        <w:t>、−</w:t>
      </w:r>
      <w:r>
        <w:rPr/>
        <w:t>2.14%</w:t>
      </w:r>
      <w:r>
        <w:rPr/>
        <w:t>和−</w:t>
      </w:r>
      <w:r>
        <w:rPr/>
        <w:t>0.94%</w:t>
      </w:r>
      <w:r>
        <w:rPr/>
        <w:t>，全部向下。均线和价格一致显示下降状态，不能因为现价接近一年低点就称底部已确认。改善首先需要均线止跌和收盘持续站回短均线。</w:t>
      </w:r>
    </w:p>
    <w:p>
      <w:pPr>
        <w:pStyle w:val="Normal"/>
        <w:rPr/>
      </w:pPr>
      <w:r>
        <w:rPr/>
        <w:t>过去二十日跌</w:t>
      </w:r>
      <w:r>
        <w:rPr/>
        <w:t>5.38%</w:t>
      </w:r>
      <w:r>
        <w:rPr/>
        <w:t>、六十日跌</w:t>
      </w:r>
      <w:r>
        <w:rPr/>
        <w:t>17.18%</w:t>
      </w:r>
      <w:r>
        <w:rPr/>
        <w:t>、一百二十日跌</w:t>
      </w:r>
      <w:r>
        <w:rPr/>
        <w:t>41.28%</w:t>
      </w:r>
      <w:r>
        <w:rPr/>
        <w:t>、二百五十日跌</w:t>
      </w:r>
      <w:r>
        <w:rPr/>
        <w:t>42.58%</w:t>
      </w:r>
      <w:r>
        <w:rPr/>
        <w:t>。较長阶段下跌说明市场对此前高预期有明显修正，并不直接证明资产价格已低于合理值。有限模型基准接近现价，意味着仅凭跌幅不足以产生明显估值安全边际。若技术持续弱而临床与现金改善，也应等待新的确认，不能把所有下跌都解释为错杀。</w:t>
      </w:r>
    </w:p>
    <w:p>
      <w:pPr>
        <w:pStyle w:val="Normal"/>
        <w:rPr/>
      </w:pPr>
      <w:r>
        <w:rPr/>
        <w:t>最近二十和六十日低点</w:t>
      </w:r>
      <w:r>
        <w:rPr/>
        <w:t>68</w:t>
      </w:r>
      <w:r>
        <w:rPr/>
        <w:t>港元，距离−</w:t>
      </w:r>
      <w:r>
        <w:rPr/>
        <w:t>3.41%</w:t>
      </w:r>
      <w:r>
        <w:rPr/>
        <w:t>；二十日高</w:t>
      </w:r>
      <w:r>
        <w:rPr/>
        <w:t>81.20</w:t>
      </w:r>
      <w:r>
        <w:rPr/>
        <w:t>、六十日高</w:t>
      </w:r>
      <w:r>
        <w:rPr/>
        <w:t>91.20</w:t>
      </w:r>
      <w:r>
        <w:rPr/>
        <w:t>，距离</w:t>
      </w:r>
      <w:r>
        <w:rPr/>
        <w:t>+15.34%</w:t>
      </w:r>
      <w:r>
        <w:rPr/>
        <w:t>和</w:t>
      </w:r>
      <w:r>
        <w:rPr/>
        <w:t>+29.55%</w:t>
      </w:r>
      <w:r>
        <w:rPr/>
        <w:t>。观察</w:t>
      </w:r>
      <w:r>
        <w:rPr/>
        <w:t>76</w:t>
      </w:r>
      <w:r>
        <w:rPr/>
        <w:t>至</w:t>
      </w:r>
      <w:r>
        <w:rPr/>
        <w:t>79</w:t>
      </w:r>
      <w:r>
        <w:rPr/>
        <w:t>附近均线区能否重新站稳，再看</w:t>
      </w:r>
      <w:r>
        <w:rPr/>
        <w:t>81.20</w:t>
      </w:r>
      <w:r>
        <w:rPr/>
        <w:t>突破，较长阻力来自约</w:t>
      </w:r>
      <w:r>
        <w:rPr/>
        <w:t>85</w:t>
      </w:r>
      <w:r>
        <w:rPr/>
        <w:t>至</w:t>
      </w:r>
      <w:r>
        <w:rPr/>
        <w:t>91</w:t>
      </w:r>
      <w:r>
        <w:rPr/>
        <w:t>区域。这些只是阶段端点与均线观察位，未由多次触碰或逐笔成交分布证明强度。公告跳空可能越过</w:t>
      </w:r>
      <w:r>
        <w:rPr/>
        <w:t>68</w:t>
      </w:r>
      <w:r>
        <w:rPr/>
        <w:t>，技术线不是最大损失限制。</w:t>
      </w:r>
    </w:p>
    <w:p>
      <w:pPr>
        <w:pStyle w:val="Normal"/>
        <w:rPr/>
      </w:pPr>
      <w:r>
        <w:rPr/>
        <w:t>五十二周日样本最高</w:t>
      </w:r>
      <w:r>
        <w:rPr/>
        <w:t>126.60</w:t>
      </w:r>
      <w:r>
        <w:rPr/>
        <w:t>、最低</w:t>
      </w:r>
      <w:r>
        <w:rPr/>
        <w:t>63.30</w:t>
      </w:r>
      <w:r>
        <w:rPr/>
        <w:t>，现价距高跌</w:t>
      </w:r>
      <w:r>
        <w:rPr/>
        <w:t>44.39%</w:t>
      </w:r>
      <w:r>
        <w:rPr/>
        <w:t>、较低涨</w:t>
      </w:r>
      <w:r>
        <w:rPr/>
        <w:t>11.22%</w:t>
      </w:r>
      <w:r>
        <w:rPr/>
        <w:t>，日收盘最大回撤约</w:t>
      </w:r>
      <w:r>
        <w:rPr/>
        <w:t>46.6%</w:t>
      </w:r>
      <w:r>
        <w:rPr/>
        <w:t>。周窗口最高</w:t>
      </w:r>
      <w:r>
        <w:rPr/>
        <w:t>123.10</w:t>
      </w:r>
      <w:r>
        <w:rPr/>
        <w:t>与日窗口不同，边界包含交易日不同，不能混取最高并称源错误。现价离一年低不远，提高下方历史观察的重要性，却不代表资产价值不能继续下修。价格路径与基本面要一起评估，尤其全球试验前的预期变化。</w:t>
      </w:r>
    </w:p>
    <w:p>
      <w:pPr>
        <w:pStyle w:val="Heading2"/>
        <w:rPr/>
      </w:pPr>
      <w:r>
        <w:rPr>
          <w:color w:val="000000"/>
        </w:rPr>
        <w:t>二十一 量能与相对强弱</w:t>
      </w:r>
    </w:p>
    <w:p>
      <w:pPr>
        <w:pStyle w:val="Normal"/>
        <w:rPr/>
      </w:pPr>
      <w:r>
        <w:rPr/>
        <w:t>基准日成交</w:t>
      </w:r>
      <w:r>
        <w:rPr/>
        <w:t>1,796,000</w:t>
      </w:r>
      <w:r>
        <w:rPr/>
        <w:t>股、成交额</w:t>
      </w:r>
      <w:r>
        <w:rPr/>
        <w:t>125,246,950</w:t>
      </w:r>
      <w:r>
        <w:rPr/>
        <w:t>港元，五、二十和六十日均量约</w:t>
      </w:r>
      <w:r>
        <w:rPr/>
        <w:t>1,139,878</w:t>
      </w:r>
      <w:r>
        <w:rPr/>
        <w:t>、</w:t>
      </w:r>
      <w:r>
        <w:rPr/>
        <w:t>2,090,617</w:t>
      </w:r>
      <w:r>
        <w:rPr/>
        <w:t>和</w:t>
      </w:r>
      <w:r>
        <w:rPr/>
        <w:t>2,998,709</w:t>
      </w:r>
      <w:r>
        <w:rPr/>
        <w:t>股，当日相对前二十日均量</w:t>
      </w:r>
      <w:r>
        <w:rPr/>
        <w:t>0.8504</w:t>
      </w:r>
      <w:r>
        <w:rPr/>
        <w:t>。短期均量明显低于更长窗口，说明交易热度降低。下跌缩量可以减弱抛售力度，也可能只是买卖兴趣下降，不能自动识别为主力吸筹或卖盘耗尽。复苏需有价格和持续量共同确认。</w:t>
      </w:r>
    </w:p>
    <w:p>
      <w:pPr>
        <w:pStyle w:val="Normal"/>
        <w:rPr/>
      </w:pPr>
      <w:r>
        <w:rPr/>
        <w:t>二十日上涨八天总量</w:t>
      </w:r>
      <w:r>
        <w:rPr/>
        <w:t>20,568,735</w:t>
      </w:r>
      <w:r>
        <w:rPr/>
        <w:t>股、下跌十一天</w:t>
      </w:r>
      <w:r>
        <w:rPr/>
        <w:t>20,860,111</w:t>
      </w:r>
      <w:r>
        <w:rPr/>
        <w:t>股，另平盘量</w:t>
      </w:r>
      <w:r>
        <w:rPr/>
        <w:t>383,500</w:t>
      </w:r>
      <w:r>
        <w:rPr/>
        <w:t>，总上涨下跌量比</w:t>
      </w:r>
      <w:r>
        <w:rPr/>
        <w:t>0.986</w:t>
      </w:r>
      <w:r>
        <w:rPr/>
        <w:t>。按单日平均，上涨约</w:t>
      </w:r>
      <w:r>
        <w:rPr/>
        <w:t>257.11</w:t>
      </w:r>
      <w:r>
        <w:rPr/>
        <w:t>万、下跌</w:t>
      </w:r>
      <w:r>
        <w:rPr/>
        <w:t>189.64</w:t>
      </w:r>
      <w:r>
        <w:rPr/>
        <w:t>万，上涨日平均约</w:t>
      </w:r>
      <w:r>
        <w:rPr/>
        <w:t>1.36</w:t>
      </w:r>
      <w:r>
        <w:rPr/>
        <w:t>倍，但上涨天数更少。总量和平均量描述不同，不能只挑其中一个推断资金方向。没有逐笔与持股数据时，每笔成交双方身份未知，不能声称精确机构持仓变化。</w:t>
      </w:r>
    </w:p>
    <w:p>
      <w:pPr>
        <w:pStyle w:val="Normal"/>
        <w:rPr/>
      </w:pPr>
      <w:r>
        <w:rPr/>
        <w:t>相对恒指二十日落后</w:t>
      </w:r>
      <w:r>
        <w:rPr/>
        <w:t>2.40</w:t>
      </w:r>
      <w:r>
        <w:rPr/>
        <w:t>个百分点、六十日落后</w:t>
      </w:r>
      <w:r>
        <w:rPr/>
        <w:t>13.99</w:t>
      </w:r>
      <w:r>
        <w:rPr/>
        <w:t>；相对国证港股通创新药</w:t>
      </w:r>
      <w:r>
        <w:rPr/>
        <w:t>987018</w:t>
      </w:r>
      <w:r>
        <w:rPr/>
        <w:t>粗粒度参考二十日落后</w:t>
      </w:r>
      <w:r>
        <w:rPr/>
        <w:t>6.26</w:t>
      </w:r>
      <w:r>
        <w:rPr/>
        <w:t>、六十日落后</w:t>
      </w:r>
      <w:r>
        <w:rPr/>
        <w:t>13.95</w:t>
      </w:r>
      <w:r>
        <w:rPr/>
        <w:t>。行业参考为官方单源价格指数，未含分红，也不完全对应荣昌自免肿瘤组合，不能使用不存在的指数成交量。市场和行业两窗口都弱，降低半年技术推荐；未来相对线止跌才支持公司开始被重新认可。</w:t>
      </w:r>
    </w:p>
    <w:p>
      <w:pPr>
        <w:pStyle w:val="Normal"/>
        <w:rPr/>
      </w:pPr>
      <w:r>
        <w:rPr/>
        <w:t>以法定总股数粗看当日成交占比很小，</w:t>
      </w:r>
      <w:r>
        <w:rPr/>
        <w:t>H</w:t>
      </w:r>
      <w:r>
        <w:rPr/>
        <w:t>股流通和奖励安排又影响真正换手分母，本章不提供未经验证精确换手率。</w:t>
      </w:r>
      <w:r>
        <w:rPr/>
        <w:t>H</w:t>
      </w:r>
      <w:r>
        <w:rPr/>
        <w:t>股成交额与</w:t>
      </w:r>
      <w:r>
        <w:rPr/>
        <w:t>A</w:t>
      </w:r>
      <w:r>
        <w:rPr/>
        <w:t>股药企总体资金流是不同口径，也不能把两市量直接相加当港股量比。突破时需要看多日成交、价位保持和行业相对改善；若放量一天后立即回到低位，不能称已形成可靠趋势。</w:t>
      </w:r>
    </w:p>
    <w:p>
      <w:pPr>
        <w:pStyle w:val="Heading2"/>
        <w:rPr/>
      </w:pPr>
      <w:r>
        <w:rPr>
          <w:color w:val="000000"/>
        </w:rPr>
        <w:t>二十二 周线与辅助指标</w:t>
      </w:r>
    </w:p>
    <w:p>
      <w:pPr>
        <w:pStyle w:val="Normal"/>
        <w:rPr/>
      </w:pPr>
      <w:r>
        <w:rPr/>
        <w:t>周线二十、六十、一百二十周均线</w:t>
      </w:r>
      <w:r>
        <w:rPr/>
        <w:t>77.6625</w:t>
      </w:r>
      <w:r>
        <w:rPr/>
        <w:t>、</w:t>
      </w:r>
      <w:r>
        <w:rPr/>
        <w:t>87.1725</w:t>
      </w:r>
      <w:r>
        <w:rPr/>
        <w:t>和</w:t>
      </w:r>
      <w:r>
        <w:rPr/>
        <w:t>57.42567</w:t>
      </w:r>
      <w:r>
        <w:rPr/>
        <w:t>港元，现价低</w:t>
      </w:r>
      <w:r>
        <w:rPr/>
        <w:t>9.35%</w:t>
      </w:r>
      <w:r>
        <w:rPr/>
        <w:t>、</w:t>
      </w:r>
      <w:r>
        <w:rPr/>
        <w:t>19.24%</w:t>
      </w:r>
      <w:r>
        <w:rPr/>
        <w:t>，高于一百二十周</w:t>
      </w:r>
      <w:r>
        <w:rPr/>
        <w:t>22.59%</w:t>
      </w:r>
      <w:r>
        <w:rPr/>
        <w:t>。二十周斜率明显负，六十及一百二十仍略正，反映更早上涨与最近回调叠加。</w:t>
      </w:r>
      <w:r>
        <w:rPr/>
        <w:t>157</w:t>
      </w:r>
      <w:r>
        <w:rPr/>
        <w:t>个真实周不足二百五十周，没有补造该均线。长期历史涨幅大与近年弱趋势可以共存，不宜概括成所有期限都强或都弱。</w:t>
      </w:r>
    </w:p>
    <w:p>
      <w:pPr>
        <w:pStyle w:val="Normal"/>
        <w:rPr/>
      </w:pPr>
      <w:r>
        <w:rPr/>
        <w:t>日</w:t>
      </w:r>
      <w:r>
        <w:rPr/>
        <w:t>RSI40.52</w:t>
      </w:r>
      <w:r>
        <w:rPr/>
        <w:t>、</w:t>
      </w:r>
      <w:r>
        <w:rPr/>
        <w:t>MACD</w:t>
      </w:r>
      <w:r>
        <w:rPr/>
        <w:t>差值−</w:t>
      </w:r>
      <w:r>
        <w:rPr/>
        <w:t>1.8688</w:t>
      </w:r>
      <w:r>
        <w:rPr/>
        <w:t>、信号−</w:t>
      </w:r>
      <w:r>
        <w:rPr/>
        <w:t>1.5514</w:t>
      </w:r>
      <w:r>
        <w:rPr/>
        <w:t>、双倍差柱−</w:t>
      </w:r>
      <w:r>
        <w:rPr/>
        <w:t>0.6349</w:t>
      </w:r>
      <w:r>
        <w:rPr/>
        <w:t>，均说明动量偏弱而未证明极端反转。周</w:t>
      </w:r>
      <w:r>
        <w:rPr/>
        <w:t>RSI41.90</w:t>
      </w:r>
      <w:r>
        <w:rPr/>
        <w:t>、</w:t>
      </w:r>
      <w:r>
        <w:rPr/>
        <w:t>MACD</w:t>
      </w:r>
      <w:r>
        <w:rPr/>
        <w:t>柱−</w:t>
      </w:r>
      <w:r>
        <w:rPr/>
        <w:t>1.9110</w:t>
      </w:r>
      <w:r>
        <w:rPr/>
        <w:t>同样弱。相近指标描述同一价格变化，不在评分重复当三类独立因子。技术维度</w:t>
      </w:r>
      <w:r>
        <w:rPr/>
        <w:t>1.2</w:t>
      </w:r>
      <w:r>
        <w:rPr/>
        <w:t>分与均线和相对弱一致，避免看到</w:t>
      </w:r>
      <w:r>
        <w:rPr/>
        <w:t>RSI</w:t>
      </w:r>
      <w:r>
        <w:rPr/>
        <w:t>较低就把超跌本身加成高买入分。</w:t>
      </w:r>
    </w:p>
    <w:p>
      <w:pPr>
        <w:pStyle w:val="Normal"/>
        <w:rPr/>
      </w:pPr>
      <w:r>
        <w:rPr/>
        <w:t>日</w:t>
      </w:r>
      <w:r>
        <w:rPr/>
        <w:t>ATR3.6517</w:t>
      </w:r>
      <w:r>
        <w:rPr/>
        <w:t>港元、占</w:t>
      </w:r>
      <w:r>
        <w:rPr/>
        <w:t>5.19%</w:t>
      </w:r>
      <w:r>
        <w:rPr/>
        <w:t>，周</w:t>
      </w:r>
      <w:r>
        <w:rPr/>
        <w:t>ATR10.1746</w:t>
      </w:r>
      <w:r>
        <w:rPr/>
        <w:t>、占</w:t>
      </w:r>
      <w:r>
        <w:rPr/>
        <w:t>14.45%</w:t>
      </w:r>
      <w:r>
        <w:rPr/>
        <w:t>，历史波幅很大。</w:t>
      </w:r>
      <w:r>
        <w:rPr/>
        <w:t>68</w:t>
      </w:r>
      <w:r>
        <w:rPr/>
        <w:t>观察低点距现价仅</w:t>
      </w:r>
      <w:r>
        <w:rPr/>
        <w:t>3.41%</w:t>
      </w:r>
      <w:r>
        <w:rPr/>
        <w:t>，小于日</w:t>
      </w:r>
      <w:r>
        <w:rPr/>
        <w:t>ATR</w:t>
      </w:r>
      <w:r>
        <w:rPr/>
        <w:t>比例，正常波动便可能穿越，不能将该线当精确保护。临床负面造成跳空时实际卖出可能更差。仓位应与能够承受的资金损失相匹配，而非按模型较长乐观尾部倒推很大持仓。</w:t>
      </w:r>
    </w:p>
    <w:p>
      <w:pPr>
        <w:pStyle w:val="Normal"/>
        <w:rPr/>
      </w:pPr>
      <w:r>
        <w:rPr/>
        <w:t>近期五周均量约</w:t>
      </w:r>
      <w:r>
        <w:rPr/>
        <w:t>990</w:t>
      </w:r>
      <w:r>
        <w:rPr/>
        <w:t>万、二十周</w:t>
      </w:r>
      <w:r>
        <w:rPr/>
        <w:t>1931</w:t>
      </w:r>
      <w:r>
        <w:rPr/>
        <w:t>万、六十周</w:t>
      </w:r>
      <w:r>
        <w:rPr/>
        <w:t>2208</w:t>
      </w:r>
      <w:r>
        <w:rPr/>
        <w:t>万，交易热度下降；二十周上升七、下降十二，合计量比</w:t>
      </w:r>
      <w:r>
        <w:rPr/>
        <w:t>0.778</w:t>
      </w:r>
      <w:r>
        <w:rPr/>
        <w:t>。基准所在周受假期和交易天数影响，周量比不能机械同比完整正常周。价格回升到</w:t>
      </w:r>
      <w:r>
        <w:rPr/>
        <w:t>77</w:t>
      </w:r>
      <w:r>
        <w:rPr/>
        <w:t>至</w:t>
      </w:r>
      <w:r>
        <w:rPr/>
        <w:t>79</w:t>
      </w:r>
      <w:r>
        <w:rPr/>
        <w:t>并保持、周动量改善和相对线修复，才支持技术分提高。若跌</w:t>
      </w:r>
      <w:r>
        <w:rPr/>
        <w:t>63.30</w:t>
      </w:r>
      <w:r>
        <w:rPr/>
        <w:t>附近并有销售或临床不利，长期高位回调可能进一步扩大。</w:t>
      </w:r>
    </w:p>
    <w:p>
      <w:pPr>
        <w:pStyle w:val="Heading2"/>
        <w:rPr/>
      </w:pPr>
      <w:r>
        <w:rPr>
          <w:color w:val="000000"/>
        </w:rPr>
        <w:t>二十三 半年投资逻辑与反证</w:t>
      </w:r>
    </w:p>
    <w:p>
      <w:pPr>
        <w:pStyle w:val="Normal"/>
        <w:rPr/>
      </w:pPr>
      <w:r>
        <w:rPr/>
        <w:t>半年最重要观察是年报剔除大额</w:t>
      </w:r>
      <w:r>
        <w:rPr/>
        <w:t>BD</w:t>
      </w:r>
      <w:r>
        <w:rPr/>
        <w:t>后产品和现金是否向可持续平衡靠近，泰它西普新适应症处方是否增长，</w:t>
      </w:r>
      <w:r>
        <w:rPr/>
        <w:t>RC48</w:t>
      </w:r>
      <w:r>
        <w:rPr/>
        <w:t>新标签能否变销售，全球</w:t>
      </w:r>
      <w:r>
        <w:rPr/>
        <w:t>gMG</w:t>
      </w:r>
      <w:r>
        <w:rPr/>
        <w:t>数据时间是否清晰。</w:t>
      </w:r>
      <w:r>
        <w:rPr/>
        <w:t>2027</w:t>
      </w:r>
      <w:r>
        <w:rPr/>
        <w:t>上半年预期不保证</w:t>
      </w:r>
      <w:r>
        <w:rPr/>
        <w:t>4</w:t>
      </w:r>
      <w:r>
        <w:rPr/>
        <w:t>月</w:t>
      </w:r>
      <w:r>
        <w:rPr/>
        <w:t>9</w:t>
      </w:r>
      <w:r>
        <w:rPr/>
        <w:t>日前出结果，短期目标不能提前认定成功。</w:t>
      </w:r>
      <w:r>
        <w:rPr/>
        <w:t>RC148</w:t>
      </w:r>
      <w:r>
        <w:rPr/>
        <w:t>临床及眼科补充资料也应按真实公开时点更新，避免把计划列为已完成催化。</w:t>
      </w:r>
    </w:p>
    <w:p>
      <w:pPr>
        <w:pStyle w:val="Normal"/>
        <w:rPr/>
      </w:pPr>
      <w:r>
        <w:rPr/>
        <w:t>半年基准</w:t>
      </w:r>
      <w:r>
        <w:rPr/>
        <w:t>69.63</w:t>
      </w:r>
      <w:r>
        <w:rPr/>
        <w:t>港元、回报−</w:t>
      </w:r>
      <w:r>
        <w:rPr/>
        <w:t>1.10%</w:t>
      </w:r>
      <w:r>
        <w:rPr/>
        <w:t>，悲观</w:t>
      </w:r>
      <w:r>
        <w:rPr/>
        <w:t>27.64</w:t>
      </w:r>
      <w:r>
        <w:rPr/>
        <w:t>、乐观</w:t>
      </w:r>
      <w:r>
        <w:rPr/>
        <w:t>177.25</w:t>
      </w:r>
      <w:r>
        <w:rPr/>
        <w:t>，评分</w:t>
      </w:r>
      <w:r>
        <w:rPr/>
        <w:t>45.6</w:t>
      </w:r>
      <w:r>
        <w:rPr/>
        <w:t>分。估值</w:t>
      </w:r>
      <w:r>
        <w:rPr/>
        <w:t>1.1</w:t>
      </w:r>
      <w:r>
        <w:rPr/>
        <w:t>、技术</w:t>
      </w:r>
      <w:r>
        <w:rPr/>
        <w:t>1.2</w:t>
      </w:r>
      <w:r>
        <w:rPr/>
        <w:t>、经营</w:t>
      </w:r>
      <w:r>
        <w:rPr/>
        <w:t>3.7</w:t>
      </w:r>
      <w:r>
        <w:rPr/>
        <w:t>、行业</w:t>
      </w:r>
      <w:r>
        <w:rPr/>
        <w:t>4.3</w:t>
      </w:r>
      <w:r>
        <w:rPr/>
        <w:t>、催化</w:t>
      </w:r>
      <w:r>
        <w:rPr/>
        <w:t>4.3</w:t>
      </w:r>
      <w:r>
        <w:rPr/>
        <w:t>、风险</w:t>
      </w:r>
      <w:r>
        <w:rPr/>
        <w:t>2.3</w:t>
      </w:r>
      <w:r>
        <w:rPr/>
        <w:t>按权重得分，显示短期弱点清楚。长期行业潜力并未被否定，但当前进取型选择仍需价格、信息和回报共同支持。半年期望</w:t>
      </w:r>
      <w:r>
        <w:rPr/>
        <w:t>22.21%</w:t>
      </w:r>
      <w:r>
        <w:rPr/>
        <w:t>受右尾影响，不代替基准和大损失路径。</w:t>
      </w:r>
    </w:p>
    <w:p>
      <w:pPr>
        <w:pStyle w:val="Normal"/>
        <w:rPr/>
      </w:pPr>
      <w:r>
        <w:rPr/>
        <w:t>改善条件是产品商业现金超研究假设、全球数据支持明确临床价值、股价回到</w:t>
      </w:r>
      <w:r>
        <w:rPr/>
        <w:t>74</w:t>
      </w:r>
      <w:r>
        <w:rPr/>
        <w:t>至</w:t>
      </w:r>
      <w:r>
        <w:rPr/>
        <w:t>79</w:t>
      </w:r>
      <w:r>
        <w:rPr/>
        <w:t>并持续量能、相对行业停止落后。失败路径是费用和营运资本抵消收入、全球数据延迟或不利、</w:t>
      </w:r>
      <w:r>
        <w:rPr/>
        <w:t>RC28</w:t>
      </w:r>
      <w:r>
        <w:rPr/>
        <w:t>补充研究扩大成本以及短期关键价位跌破。技术跌破独立不是临床失败，却在负面事实同步出现时要求撤销修复判断，不能用几年后市场空间来掩盖半年逻辑失效。</w:t>
      </w:r>
    </w:p>
    <w:p>
      <w:pPr>
        <w:pStyle w:val="Heading2"/>
        <w:rPr/>
      </w:pPr>
      <w:r>
        <w:rPr>
          <w:color w:val="000000"/>
        </w:rPr>
        <w:t>二十四 一年判断与反证</w:t>
      </w:r>
    </w:p>
    <w:p>
      <w:pPr>
        <w:pStyle w:val="Normal"/>
        <w:rPr/>
      </w:pPr>
      <w:r>
        <w:rPr/>
        <w:t>一年应至少把全球</w:t>
      </w:r>
      <w:r>
        <w:rPr/>
        <w:t>gMG</w:t>
      </w:r>
      <w:r>
        <w:rPr/>
        <w:t>读出从预期推进到可审查结果，看到国内新适应症完整商业年度的贡献，以及</w:t>
      </w:r>
      <w:r>
        <w:rPr/>
        <w:t>RC148</w:t>
      </w:r>
      <w:r>
        <w:rPr/>
        <w:t>与</w:t>
      </w:r>
      <w:r>
        <w:rPr/>
        <w:t>RC48</w:t>
      </w:r>
      <w:r>
        <w:rPr/>
        <w:t>海外后期进展。研究本身没有把这些尚未发生结果填成成功，基准保持兑现折扣。一年</w:t>
      </w:r>
      <w:r>
        <w:rPr/>
        <w:t>71.79</w:t>
      </w:r>
      <w:r>
        <w:rPr/>
        <w:t>港元仅</w:t>
      </w:r>
      <w:r>
        <w:rPr/>
        <w:t>1.97%</w:t>
      </w:r>
      <w:r>
        <w:rPr/>
        <w:t>上涨、</w:t>
      </w:r>
      <w:r>
        <w:rPr/>
        <w:t>57.9</w:t>
      </w:r>
      <w:r>
        <w:rPr/>
        <w:t>分，提示现价要求较强超预期。机构高目标代表不同假设，可以比较，不能作为缺乏自身现金证据时的买入依据。</w:t>
      </w:r>
    </w:p>
    <w:p>
      <w:pPr>
        <w:pStyle w:val="Normal"/>
        <w:rPr/>
      </w:pPr>
      <w:r>
        <w:rPr/>
        <w:t>一年提升来自产品收入及净现金率增长、全球数据降低失败风险、注册路径改善与新款实际收取。每项变化应更新相应现金、概率或起售时间，不在资产</w:t>
      </w:r>
      <w:r>
        <w:rPr/>
        <w:t>DCF</w:t>
      </w:r>
      <w:r>
        <w:rPr/>
        <w:t>之外再加同一新闻溢价。国内疗法需求稳固同时竞争加快，支付净价和给药选择需要更新。若海外结果没有差异化，仅统计显著仍可能不足支撑很高峰值，商业份额要跟着证据调整。</w:t>
      </w:r>
    </w:p>
    <w:p>
      <w:pPr>
        <w:pStyle w:val="Normal"/>
        <w:rPr/>
      </w:pPr>
      <w:r>
        <w:rPr/>
        <w:t>一年反证包括全球</w:t>
      </w:r>
      <w:r>
        <w:rPr/>
        <w:t>gMG</w:t>
      </w:r>
      <w:r>
        <w:rPr/>
        <w:t>关键终点失败或安全问题、竞争显著削弱份额、收入增长但核心现金继续负、</w:t>
      </w:r>
      <w:r>
        <w:rPr/>
        <w:t>Vor</w:t>
      </w:r>
      <w:r>
        <w:rPr/>
        <w:t>或荣昌融资比预计多，以及合同或数据共享影响注册。母公司版税与</w:t>
      </w:r>
      <w:r>
        <w:rPr/>
        <w:t>Vor</w:t>
      </w:r>
      <w:r>
        <w:rPr/>
        <w:t>权证会同时受同一海外结果影响，不能拿投资权证抵消临床损失。公司若需要重新承担原授权开发，现金和费用也应重设，而非只降低版税收入一列。</w:t>
      </w:r>
    </w:p>
    <w:p>
      <w:pPr>
        <w:pStyle w:val="Heading2"/>
        <w:rPr/>
      </w:pPr>
      <w:r>
        <w:rPr>
          <w:color w:val="000000"/>
        </w:rPr>
        <w:t>二十五 三年判断与反证</w:t>
      </w:r>
    </w:p>
    <w:p>
      <w:pPr>
        <w:pStyle w:val="Normal"/>
        <w:rPr/>
      </w:pPr>
      <w:r>
        <w:rPr/>
        <w:t>三年基准</w:t>
      </w:r>
      <w:r>
        <w:rPr/>
        <w:t>81.03</w:t>
      </w:r>
      <w:r>
        <w:rPr/>
        <w:t>港元、回报</w:t>
      </w:r>
      <w:r>
        <w:rPr/>
        <w:t>15.09%</w:t>
      </w:r>
      <w:r>
        <w:rPr/>
        <w:t>、年化</w:t>
      </w:r>
      <w:r>
        <w:rPr/>
        <w:t>4.80%</w:t>
      </w:r>
      <w:r>
        <w:rPr/>
        <w:t>，</w:t>
      </w:r>
      <w:r>
        <w:rPr/>
        <w:t>66.3</w:t>
      </w:r>
      <w:r>
        <w:rPr/>
        <w:t>分。逻辑从近期</w:t>
      </w:r>
      <w:r>
        <w:rPr/>
        <w:t>BD</w:t>
      </w:r>
      <w:r>
        <w:rPr/>
        <w:t>转向国内规模药品和部分海外许可形成真正重复现金。公司应能证明商业网络效率、生产投资回报以及研发优先顺序；多个靶点的成功需要医学和资本效率共同支持。产品峰值增长被未来分母增加和生命周期衰退约束，所以公司经营规模扩张不必然等于高每股收益。</w:t>
      </w:r>
    </w:p>
    <w:p>
      <w:pPr>
        <w:pStyle w:val="Normal"/>
        <w:rPr/>
      </w:pPr>
      <w:r>
        <w:rPr/>
        <w:t>海外</w:t>
      </w:r>
      <w:r>
        <w:rPr/>
        <w:t>RC148</w:t>
      </w:r>
      <w:r>
        <w:rPr/>
        <w:t>、</w:t>
      </w:r>
      <w:r>
        <w:rPr/>
        <w:t>RC18</w:t>
      </w:r>
      <w:r>
        <w:rPr/>
        <w:t>和</w:t>
      </w:r>
      <w:r>
        <w:rPr/>
        <w:t>RC48</w:t>
      </w:r>
      <w:r>
        <w:rPr/>
        <w:t>提供三条潜在现金路线，但竞争、全球监管、跨境政策与风险偏好存在相关性。国内自免与肿瘤需求差异可降低部分集中，却不是完全独立。基准尾部高度不对称，推荐应与能够接受的大幅下行结合。若投资判断确实强于模型，要明确哪个具体收入、费率或临床证据被低估，不能只说看好创新药。</w:t>
      </w:r>
    </w:p>
    <w:p>
      <w:pPr>
        <w:pStyle w:val="Normal"/>
        <w:rPr/>
      </w:pPr>
      <w:r>
        <w:rPr/>
        <w:t>三年失败路径是海外上市延后、国内净价和费用导致现金率不足、研发投入持续增加却没有新资产兑现、合作方改变优先顺序和股数更大。模型对较早项目保留成本，减少无限管线加值。重大失败时应停止不合算开发并重新配置资本；若组织无法执行淘汰，长期中央费用要提高而不是假定所有投入会最终回收。</w:t>
      </w:r>
    </w:p>
    <w:p>
      <w:pPr>
        <w:pStyle w:val="Heading2"/>
        <w:rPr/>
      </w:pPr>
      <w:r>
        <w:rPr>
          <w:color w:val="000000"/>
        </w:rPr>
        <w:t>二十六 五年与十年经营持续性</w:t>
      </w:r>
    </w:p>
    <w:p>
      <w:pPr>
        <w:pStyle w:val="Normal"/>
        <w:rPr/>
      </w:pPr>
      <w:r>
        <w:rPr/>
        <w:t>五年基准</w:t>
      </w:r>
      <w:r>
        <w:rPr/>
        <w:t>82.36</w:t>
      </w:r>
      <w:r>
        <w:rPr/>
        <w:t>港元、回报</w:t>
      </w:r>
      <w:r>
        <w:rPr/>
        <w:t>16.99%</w:t>
      </w:r>
      <w:r>
        <w:rPr/>
        <w:t>、年化</w:t>
      </w:r>
      <w:r>
        <w:rPr/>
        <w:t>3.19%</w:t>
      </w:r>
      <w:r>
        <w:rPr/>
        <w:t>，</w:t>
      </w:r>
      <w:r>
        <w:rPr/>
        <w:t>69.9</w:t>
      </w:r>
      <w:r>
        <w:rPr/>
        <w:t>分。到</w:t>
      </w:r>
      <w:r>
        <w:rPr/>
        <w:t>2031</w:t>
      </w:r>
      <w:r>
        <w:rPr/>
        <w:t>年，持续商业现金应覆盖研发并为新产品提供资源，海外版税应由真实销售验证，授权不再只靠大额首付填利润。盈利产品生命周期也可能进入竞争和降价阶段，模型延伸到</w:t>
      </w:r>
      <w:r>
        <w:rPr/>
        <w:t>2044</w:t>
      </w:r>
      <w:r>
        <w:rPr/>
        <w:t>但不设置无限终值。延长投资时长并不会自动提高现价安全边际。</w:t>
      </w:r>
    </w:p>
    <w:p>
      <w:pPr>
        <w:pStyle w:val="Normal"/>
        <w:rPr/>
      </w:pPr>
      <w:r>
        <w:rPr/>
        <w:t>十年经营机会是形成自免平台与肿瘤</w:t>
      </w:r>
      <w:r>
        <w:rPr/>
        <w:t>ADC</w:t>
      </w:r>
      <w:r>
        <w:rPr/>
        <w:t>、双抗的稳定产品组合，利用国内临床执行和全球伙伴进行可持续开发。企业需要及时放弃无效项目、把现金投入有证据的管线、维持生产质量与长期安全监测。业务越复杂，对管理和合约执行要求越高。一个成功交易说明阶段能力，十年持续性需要多个产品现金与每股价值形成连续记录。</w:t>
      </w:r>
    </w:p>
    <w:p>
      <w:pPr>
        <w:pStyle w:val="Normal"/>
        <w:rPr/>
      </w:pPr>
      <w:r>
        <w:rPr/>
        <w:t>十年反证是核心产品被更好机制替代，海外权利和投资比例因融资不断缩水，公司只能继续出售未来权益支撑当期研发，或研发组织长期没有新增获批现金。相反，如果国内现金覆盖开发、海外后期多次成功并持续产生现金，当前未充分定价自留地域和早期资产可获得更强依据。研究应跟真实证据刷新，而不能通过写更远目标把近年失败路径隐藏。</w:t>
      </w:r>
    </w:p>
    <w:p>
      <w:pPr>
        <w:pStyle w:val="Heading2"/>
        <w:rPr/>
      </w:pPr>
      <w:r>
        <w:rPr>
          <w:color w:val="000000"/>
        </w:rPr>
        <w:t>二十七 跟踪重点与模型可用范围</w:t>
      </w:r>
    </w:p>
    <w:p>
      <w:pPr>
        <w:pStyle w:val="Normal"/>
        <w:rPr/>
      </w:pPr>
      <w:r>
        <w:rPr/>
        <w:t>跟踪产品需看绝对收入、销售费用效率、库存应收和经营现金；跟踪临床需看预设终点、全患者数据、安全与监管路径；跟踪合同需看实际现金、地域、版税和里程碑条件；跟踪资本需看普通股、奖励与伙伴稀释。四类信息共同决定每股回报，任何单类漂亮数字都不足以形成完整推荐。股价量能用于观察市场确认，而不是证明临床或股权经济事实。</w:t>
      </w:r>
    </w:p>
    <w:p>
      <w:pPr>
        <w:pStyle w:val="Normal"/>
        <w:rPr/>
      </w:pPr>
      <w:r>
        <w:rPr/>
        <w:t>本章完成主要业务、财务、临床与量价及四期限讨论，估值仍为九个多适应症资产组与</w:t>
      </w:r>
      <w:r>
        <w:rPr/>
        <w:t>Vor</w:t>
      </w:r>
      <w:r>
        <w:rPr/>
        <w:t>简化残余权益，没有完整全球逐药患者和三表预算。短期认知系数、利润现金率和未来分母都是研究假设，精确合同阶梯及部分权益缺失明确保存。字数和完全重复检查通过也不代表模型限制消失，最终总表与</w:t>
      </w:r>
      <w:r>
        <w:rPr/>
        <w:t>Word</w:t>
      </w:r>
      <w:r>
        <w:rPr/>
        <w:t>、</w:t>
      </w:r>
      <w:r>
        <w:rPr/>
        <w:t>PDF</w:t>
      </w:r>
      <w:r>
        <w:rPr/>
        <w:t>仍须检查数字一致、来源与中文页面。</w:t>
      </w:r>
    </w:p>
    <w:p>
      <w:pPr>
        <w:pStyle w:val="Heading2"/>
        <w:rPr/>
      </w:pPr>
      <w:r>
        <w:rPr>
          <w:color w:val="000000"/>
        </w:rPr>
        <w:t>来源与复核记录</w:t>
      </w:r>
    </w:p>
    <w:p>
      <w:pPr>
        <w:pStyle w:val="Normal"/>
        <w:rPr/>
      </w:pPr>
      <w:r>
        <w:rPr/>
        <w:t>- [</w:t>
      </w:r>
      <w:r>
        <w:rPr/>
        <w:t>香港中报</w:t>
      </w:r>
      <w:r>
        <w:rPr/>
        <w:t>9</w:t>
      </w:r>
      <w:r>
        <w:rPr/>
        <w:t>月</w:t>
      </w:r>
      <w:r>
        <w:rPr/>
        <w:t>23</w:t>
      </w:r>
      <w:r>
        <w:rPr/>
        <w:t>日</w:t>
      </w:r>
      <w:r>
        <w:rPr/>
        <w:t>](https://iis.aastocks.com/20260923/12342386-0.PDF)</w:t>
      </w:r>
      <w:r>
        <w:rPr/>
        <w:t>、</w:t>
      </w:r>
      <w:r>
        <w:rPr/>
        <w:t>[</w:t>
      </w:r>
      <w:r>
        <w:rPr/>
        <w:t>中期业绩</w:t>
      </w:r>
      <w:r>
        <w:rPr/>
        <w:t>8</w:t>
      </w:r>
      <w:r>
        <w:rPr/>
        <w:t>月</w:t>
      </w:r>
      <w:r>
        <w:rPr/>
        <w:t>24</w:t>
      </w:r>
      <w:r>
        <w:rPr/>
        <w:t>日</w:t>
      </w:r>
      <w:r>
        <w:rPr/>
        <w:t>](https://iis.aastocks.com/20260824/12297192-0.PDF)</w:t>
      </w:r>
      <w:r>
        <w:rPr/>
        <w:t>、</w:t>
      </w:r>
      <w:r>
        <w:rPr/>
        <w:t>[A</w:t>
      </w:r>
      <w:r>
        <w:rPr/>
        <w:t>股半年度全文</w:t>
      </w:r>
      <w:r>
        <w:rPr/>
        <w:t>8</w:t>
      </w:r>
      <w:r>
        <w:rPr/>
        <w:t>月</w:t>
      </w:r>
      <w:r>
        <w:rPr/>
        <w:t>24</w:t>
      </w:r>
      <w:r>
        <w:rPr/>
        <w:t>日</w:t>
      </w:r>
      <w:r>
        <w:rPr/>
        <w:t>](https://iis.aastocks.com/20260824/12297215-0.PDF)</w:t>
      </w:r>
      <w:r>
        <w:rPr/>
        <w:t>。</w:t>
      </w:r>
      <w:r>
        <w:rPr/>
        <w:t>2026H1</w:t>
      </w:r>
      <w:r>
        <w:rPr/>
        <w:t>，以香港</w:t>
      </w:r>
      <w:r>
        <w:rPr/>
        <w:t>IFRS</w:t>
      </w:r>
      <w:r>
        <w:rPr/>
        <w:t>财务桥为主，</w:t>
      </w:r>
      <w:r>
        <w:rPr/>
        <w:t>PRC</w:t>
      </w:r>
      <w:r>
        <w:rPr/>
        <w:t>列報差异独立保存。</w:t>
      </w:r>
    </w:p>
    <w:p>
      <w:pPr>
        <w:pStyle w:val="Normal"/>
        <w:rPr/>
      </w:pPr>
      <w:r>
        <w:rPr/>
        <w:t>- [2025</w:t>
      </w:r>
      <w:r>
        <w:rPr/>
        <w:t>年度报告</w:t>
      </w:r>
      <w:r>
        <w:rPr/>
        <w:t>4</w:t>
      </w:r>
      <w:r>
        <w:rPr/>
        <w:t>月</w:t>
      </w:r>
      <w:r>
        <w:rPr/>
        <w:t>28</w:t>
      </w:r>
      <w:r>
        <w:rPr/>
        <w:t>日</w:t>
      </w:r>
      <w:r>
        <w:rPr/>
        <w:t>](https://iis.aastocks.com/20260428/12127780-0.PDF)</w:t>
      </w:r>
      <w:r>
        <w:rPr/>
        <w:t>。权益、许可、</w:t>
      </w:r>
      <w:r>
        <w:rPr/>
        <w:t>2025</w:t>
      </w:r>
      <w:r>
        <w:rPr/>
        <w:t>历史与财务，未把旧未来计划当</w:t>
      </w:r>
      <w:r>
        <w:rPr/>
        <w:t>2026</w:t>
      </w:r>
      <w:r>
        <w:rPr/>
        <w:t>已完成。</w:t>
      </w:r>
    </w:p>
    <w:p>
      <w:pPr>
        <w:pStyle w:val="Normal"/>
        <w:rPr/>
      </w:pPr>
      <w:r>
        <w:rPr/>
        <w:t>- [IgA</w:t>
      </w:r>
      <w:r>
        <w:rPr/>
        <w:t>附条件批准</w:t>
      </w:r>
      <w:r>
        <w:rPr/>
        <w:t>6</w:t>
      </w:r>
      <w:r>
        <w:rPr/>
        <w:t>月</w:t>
      </w:r>
      <w:r>
        <w:rPr/>
        <w:t>8</w:t>
      </w:r>
      <w:r>
        <w:rPr/>
        <w:t>日</w:t>
      </w:r>
      <w:r>
        <w:rPr/>
        <w:t>](https://iis.aastocks.com/20260608/12195131-0.PDF)</w:t>
      </w:r>
      <w:r>
        <w:rPr/>
        <w:t>、</w:t>
      </w:r>
      <w:r>
        <w:rPr/>
        <w:t>[</w:t>
      </w:r>
      <w:r>
        <w:rPr/>
        <w:t>干燥病批准</w:t>
      </w:r>
      <w:r>
        <w:rPr/>
        <w:t>6</w:t>
      </w:r>
      <w:r>
        <w:rPr/>
        <w:t>月</w:t>
      </w:r>
      <w:r>
        <w:rPr/>
        <w:t>8</w:t>
      </w:r>
      <w:r>
        <w:rPr/>
        <w:t>日</w:t>
      </w:r>
      <w:r>
        <w:rPr/>
        <w:t>](https://iis.aastocks.com/20260608/12195053-0.PDF)</w:t>
      </w:r>
      <w:r>
        <w:rPr/>
        <w:t>。蛋白尿标签及对照数据边界保留。</w:t>
      </w:r>
    </w:p>
    <w:p>
      <w:pPr>
        <w:pStyle w:val="Normal"/>
        <w:rPr/>
      </w:pPr>
      <w:r>
        <w:rPr/>
        <w:t>- [RC48</w:t>
      </w:r>
      <w:r>
        <w:rPr/>
        <w:t>尿路上皮癌</w:t>
      </w:r>
      <w:r>
        <w:rPr/>
        <w:t>4</w:t>
      </w:r>
      <w:r>
        <w:rPr/>
        <w:t>月</w:t>
      </w:r>
      <w:r>
        <w:rPr/>
        <w:t>10</w:t>
      </w:r>
      <w:r>
        <w:rPr/>
        <w:t>日</w:t>
      </w:r>
      <w:r>
        <w:rPr/>
        <w:t>](https://iis.aastocks.com/20260410/12102455-0.PDF)</w:t>
      </w:r>
      <w:r>
        <w:rPr/>
        <w:t>、</w:t>
      </w:r>
      <w:r>
        <w:rPr/>
        <w:t>[</w:t>
      </w:r>
      <w:r>
        <w:rPr/>
        <w:t>低表达乳腺癌</w:t>
      </w:r>
      <w:r>
        <w:rPr/>
        <w:t>3</w:t>
      </w:r>
      <w:r>
        <w:rPr/>
        <w:t>月</w:t>
      </w:r>
      <w:r>
        <w:rPr/>
        <w:t>23</w:t>
      </w:r>
      <w:r>
        <w:rPr/>
        <w:t>日</w:t>
      </w:r>
      <w:r>
        <w:rPr/>
        <w:t>](https://iis.aastocks.com/20260323/12063373-0.PDF)</w:t>
      </w:r>
      <w:r>
        <w:rPr/>
        <w:t>。不扩大标签人群。</w:t>
      </w:r>
    </w:p>
    <w:p>
      <w:pPr>
        <w:pStyle w:val="Normal"/>
        <w:rPr/>
      </w:pPr>
      <w:r>
        <w:rPr/>
        <w:t>- [RC148</w:t>
      </w:r>
      <w:r>
        <w:rPr/>
        <w:t>首款实收</w:t>
      </w:r>
      <w:r>
        <w:rPr/>
        <w:t>4</w:t>
      </w:r>
      <w:r>
        <w:rPr/>
        <w:t>月</w:t>
      </w:r>
      <w:r>
        <w:rPr/>
        <w:t>15</w:t>
      </w:r>
      <w:r>
        <w:rPr/>
        <w:t>日</w:t>
      </w:r>
      <w:r>
        <w:rPr/>
        <w:t>](https://iis.aastocks.com/20260415/12106173-0.PDF)</w:t>
      </w:r>
      <w:r>
        <w:rPr/>
        <w:t>。</w:t>
      </w:r>
      <w:r>
        <w:rPr/>
        <w:t>650</w:t>
      </w:r>
      <w:r>
        <w:rPr/>
        <w:t>百万美元已在现金，不加第二次；</w:t>
      </w:r>
      <w:r>
        <w:rPr/>
        <w:t>1</w:t>
      </w:r>
      <w:r>
        <w:rPr/>
        <w:t>月协议旧镜像</w:t>
      </w:r>
      <w:r>
        <w:rPr/>
        <w:t>404</w:t>
      </w:r>
      <w:r>
        <w:rPr/>
        <w:t>，条款由中报及</w:t>
      </w:r>
      <w:r>
        <w:rPr/>
        <w:t>A</w:t>
      </w:r>
      <w:r>
        <w:rPr/>
        <w:t>股原文核验。</w:t>
      </w:r>
    </w:p>
    <w:p>
      <w:pPr>
        <w:pStyle w:val="Normal"/>
        <w:rPr/>
      </w:pPr>
      <w:r>
        <w:rPr/>
        <w:t>- [Vor</w:t>
      </w:r>
      <w:r>
        <w:rPr/>
        <w:t>原始</w:t>
      </w:r>
      <w:r>
        <w:rPr/>
        <w:t>SEC10-Q8</w:t>
      </w:r>
      <w:r>
        <w:rPr/>
        <w:t>月</w:t>
      </w:r>
      <w:r>
        <w:rPr/>
        <w:t>11</w:t>
      </w:r>
      <w:r>
        <w:rPr/>
        <w:t>日</w:t>
      </w:r>
      <w:r>
        <w:rPr/>
        <w:t>](https://www.sec.gov/Archives/edgar/data/1817229/000119312526343607/vor-20260630.htm)</w:t>
      </w:r>
      <w:r>
        <w:rPr/>
        <w:t>。</w:t>
      </w:r>
      <w:r>
        <w:rPr/>
        <w:t>1:20</w:t>
      </w:r>
      <w:r>
        <w:rPr/>
        <w:t>反拆、</w:t>
      </w:r>
      <w:r>
        <w:rPr/>
        <w:t>16</w:t>
      </w:r>
      <w:r>
        <w:rPr/>
        <w:t>百万权证及</w:t>
      </w:r>
      <w:r>
        <w:rPr/>
        <w:t>.002</w:t>
      </w:r>
      <w:r>
        <w:rPr/>
        <w:t>美元、合同里程碑、版税、伙伴资金与稀释。</w:t>
      </w:r>
    </w:p>
    <w:p>
      <w:pPr>
        <w:pStyle w:val="Normal"/>
        <w:rPr/>
      </w:pPr>
      <w:r>
        <w:rPr/>
        <w:t>- [Vor</w:t>
      </w:r>
      <w:r>
        <w:rPr/>
        <w:t>全球</w:t>
      </w:r>
      <w:r>
        <w:rPr/>
        <w:t>MG</w:t>
      </w:r>
      <w:r>
        <w:rPr/>
        <w:t>完成入组</w:t>
      </w:r>
      <w:r>
        <w:rPr/>
        <w:t>9</w:t>
      </w:r>
      <w:r>
        <w:rPr/>
        <w:t>月</w:t>
      </w:r>
      <w:r>
        <w:rPr/>
        <w:t>8</w:t>
      </w:r>
      <w:r>
        <w:rPr/>
        <w:t>日</w:t>
      </w:r>
      <w:r>
        <w:rPr/>
        <w:t>](https://ir.vorbio.com/news-releases/news-release-details/vor-completes-enrollment-global-phase-3-upstream-mg-trial-and)</w:t>
      </w:r>
      <w:r>
        <w:rPr/>
        <w:t>、</w:t>
      </w:r>
      <w:r>
        <w:rPr/>
        <w:t>[</w:t>
      </w:r>
      <w:r>
        <w:rPr/>
        <w:t>中国事后</w:t>
      </w:r>
      <w:r>
        <w:rPr/>
        <w:t>48</w:t>
      </w:r>
      <w:r>
        <w:rPr/>
        <w:t>周分析</w:t>
      </w:r>
      <w:r>
        <w:rPr/>
        <w:t>9</w:t>
      </w:r>
      <w:r>
        <w:rPr/>
        <w:t>月</w:t>
      </w:r>
      <w:r>
        <w:rPr/>
        <w:t>29</w:t>
      </w:r>
      <w:r>
        <w:rPr/>
        <w:t>日</w:t>
      </w:r>
      <w:r>
        <w:rPr/>
        <w:t>](https://ir.vorbio.com/news-releases/news-release-details/telitacicept-demonstrates-deep-and-durable-minimal-symptom)</w:t>
      </w:r>
      <w:r>
        <w:rPr/>
        <w:t>、</w:t>
      </w:r>
      <w:r>
        <w:rPr/>
        <w:t>[Vor</w:t>
      </w:r>
      <w:r>
        <w:rPr/>
        <w:t>财务及临床</w:t>
      </w:r>
      <w:r>
        <w:rPr/>
        <w:t>8</w:t>
      </w:r>
      <w:r>
        <w:rPr/>
        <w:t>月</w:t>
      </w:r>
      <w:r>
        <w:rPr/>
        <w:t>11</w:t>
      </w:r>
      <w:r>
        <w:rPr/>
        <w:t>日</w:t>
      </w:r>
      <w:r>
        <w:rPr/>
        <w:t>](https://ir.vorbio.com/news-releases/news-release-details/vor-bio-reports-second-quarter-2026-financial-results-and)</w:t>
      </w:r>
      <w:r>
        <w:rPr/>
        <w:t>。全球</w:t>
      </w:r>
      <w:r>
        <w:rPr/>
        <w:t>2027H1</w:t>
      </w:r>
      <w:r>
        <w:rPr/>
        <w:t>读出仍是预期。</w:t>
      </w:r>
    </w:p>
    <w:p>
      <w:pPr>
        <w:pStyle w:val="Normal"/>
        <w:rPr/>
      </w:pPr>
      <w:r>
        <w:rPr/>
        <w:t>- [</w:t>
      </w:r>
      <w:r>
        <w:rPr/>
        <w:t>九月股份月报</w:t>
      </w:r>
      <w:r>
        <w:rPr/>
        <w:t>10</w:t>
      </w:r>
      <w:r>
        <w:rPr/>
        <w:t>月</w:t>
      </w:r>
      <w:r>
        <w:rPr/>
        <w:t>6</w:t>
      </w:r>
      <w:r>
        <w:rPr/>
        <w:t>日</w:t>
      </w:r>
      <w:r>
        <w:rPr/>
        <w:t>](https://iis.aastocks.com/20261006/12363419-0.PDF)</w:t>
      </w:r>
      <w:r>
        <w:rPr/>
        <w:t>、</w:t>
      </w:r>
      <w:r>
        <w:rPr/>
        <w:t>[</w:t>
      </w:r>
      <w:r>
        <w:rPr/>
        <w:t>回购进展镜像</w:t>
      </w:r>
      <w:r>
        <w:rPr/>
        <w:t>10</w:t>
      </w:r>
      <w:r>
        <w:rPr/>
        <w:t>月</w:t>
      </w:r>
      <w:r>
        <w:rPr/>
        <w:t>8</w:t>
      </w:r>
      <w:r>
        <w:rPr/>
        <w:t>日</w:t>
      </w:r>
      <w:r>
        <w:rPr/>
        <w:t>](https://iis.aastocks.com/20261008/12367180-0.PDF)</w:t>
      </w:r>
      <w:r>
        <w:rPr/>
        <w:t>。内附落款</w:t>
      </w:r>
      <w:r>
        <w:rPr/>
        <w:t>10</w:t>
      </w:r>
      <w:r>
        <w:rPr/>
        <w:t>月</w:t>
      </w:r>
      <w:r>
        <w:rPr/>
        <w:t>9</w:t>
      </w:r>
      <w:r>
        <w:rPr/>
        <w:t>日差异保留；回购用途奖励不注销。</w:t>
      </w:r>
    </w:p>
    <w:p>
      <w:pPr>
        <w:pStyle w:val="Normal"/>
        <w:rPr/>
      </w:pPr>
      <w:r>
        <w:rPr/>
        <w:t xml:space="preserve">- </w:t>
      </w:r>
      <w:r>
        <w:rPr/>
        <w:t>外资公开转述：</w:t>
      </w:r>
      <w:r>
        <w:rPr/>
        <w:t>[</w:t>
      </w:r>
      <w:r>
        <w:rPr/>
        <w:t>大和</w:t>
      </w:r>
      <w:r>
        <w:rPr/>
        <w:t>8</w:t>
      </w:r>
      <w:r>
        <w:rPr/>
        <w:t>月</w:t>
      </w:r>
      <w:r>
        <w:rPr/>
        <w:t>26</w:t>
      </w:r>
      <w:r>
        <w:rPr/>
        <w:t>日</w:t>
      </w:r>
      <w:r>
        <w:rPr/>
        <w:t>](https://www.aastocks.com/tc/stocks/analysis/stock-aafn-con/09995/AAFN/NOW.1540935/research-report)</w:t>
      </w:r>
      <w:r>
        <w:rPr/>
        <w:t>、</w:t>
      </w:r>
      <w:r>
        <w:rPr/>
        <w:t>[</w:t>
      </w:r>
      <w:r>
        <w:rPr/>
        <w:t>花旗</w:t>
      </w:r>
      <w:r>
        <w:rPr/>
        <w:t>8</w:t>
      </w:r>
      <w:r>
        <w:rPr/>
        <w:t>月</w:t>
      </w:r>
      <w:r>
        <w:rPr/>
        <w:t>26</w:t>
      </w:r>
      <w:r>
        <w:rPr/>
        <w:t>日</w:t>
      </w:r>
      <w:r>
        <w:rPr/>
        <w:t>](https://www.aastocks.com/tc/stocks/analysis/stock-aafn-con/09995/AAFN/NOW.1540934/research-report)</w:t>
      </w:r>
      <w:r>
        <w:rPr/>
        <w:t>、</w:t>
      </w:r>
      <w:r>
        <w:rPr/>
        <w:t>[</w:t>
      </w:r>
      <w:r>
        <w:rPr/>
        <w:t>里昂</w:t>
      </w:r>
      <w:r>
        <w:rPr/>
        <w:t>8</w:t>
      </w:r>
      <w:r>
        <w:rPr/>
        <w:t>月</w:t>
      </w:r>
      <w:r>
        <w:rPr/>
        <w:t>26</w:t>
      </w:r>
      <w:r>
        <w:rPr/>
        <w:t>日</w:t>
      </w:r>
      <w:r>
        <w:rPr/>
        <w:t>](https://www.aastocks.com/tc/stocks/analysis/stock-aafn-con/09995/AAFN/NOW.1540835/research-report)</w:t>
      </w:r>
      <w:r>
        <w:rPr/>
        <w:t>、</w:t>
      </w:r>
      <w:r>
        <w:rPr/>
        <w:t>[</w:t>
      </w:r>
      <w:r>
        <w:rPr/>
        <w:t>野村</w:t>
      </w:r>
      <w:r>
        <w:rPr/>
        <w:t>7</w:t>
      </w:r>
      <w:r>
        <w:rPr/>
        <w:t>月</w:t>
      </w:r>
      <w:r>
        <w:rPr/>
        <w:t>27</w:t>
      </w:r>
      <w:r>
        <w:rPr/>
        <w:t>日</w:t>
      </w:r>
      <w:r>
        <w:rPr/>
        <w:t>](https://www.aastocks.com/tc/stocks/analysis/stock-aafn-con/09995/AAFN/NOW.1535088/research-report)</w:t>
      </w:r>
      <w:r>
        <w:rPr/>
        <w:t>。期限与完整原研报缺失，野村旧预测不代实际。</w:t>
      </w:r>
    </w:p>
    <w:p>
      <w:pPr>
        <w:pStyle w:val="Normal"/>
        <w:rPr/>
      </w:pPr>
      <w:r>
        <w:rPr/>
        <w:t xml:space="preserve">- </w:t>
      </w:r>
      <w:r>
        <w:rPr/>
        <w:t>原生年度现金、成本、权益、股数、税和短期桥存</w:t>
      </w:r>
      <w:r>
        <w:rPr/>
        <w:t>data/remegen_model.json</w:t>
      </w:r>
      <w:r>
        <w:rPr/>
        <w:t>；全部来源存</w:t>
      </w:r>
      <w:r>
        <w:rPr/>
        <w:t>remegen_sources</w:t>
      </w:r>
      <w:r>
        <w:rPr/>
        <w:t>、</w:t>
      </w:r>
      <w:r>
        <w:rPr/>
        <w:t>historical</w:t>
      </w:r>
      <w:r>
        <w:rPr/>
        <w:t>、</w:t>
      </w:r>
      <w:r>
        <w:rPr/>
        <w:t>partner</w:t>
      </w:r>
      <w:r>
        <w:rPr/>
        <w:t>及</w:t>
      </w:r>
      <w:r>
        <w:rPr/>
        <w:t>vor_sec_source</w:t>
      </w:r>
      <w:r>
        <w:rPr/>
        <w:t>。行情及独立交叉</w:t>
      </w:r>
      <w:r>
        <w:rPr/>
        <w:t>S059</w:t>
      </w:r>
      <w:r>
        <w:rPr/>
        <w:t>见</w:t>
      </w:r>
      <w:r>
        <w:rPr/>
        <w:t>market_snapshot_locked</w:t>
      </w:r>
      <w:r>
        <w:rPr/>
        <w:t>，</w:t>
      </w:r>
      <w:r>
        <w:rPr/>
        <w:t>3</w:t>
      </w:r>
      <w:r>
        <w:rPr/>
        <w:t>根修复可追溯，行业为</w:t>
      </w:r>
      <w:r>
        <w:rPr/>
        <w:t>987018</w:t>
      </w:r>
      <w:r>
        <w:rPr/>
        <w:t>粗粒度单源价格指数。</w:t>
      </w:r>
      <w:r>
        <w:br w:type="page"/>
      </w:r>
    </w:p>
    <w:p>
      <w:pPr>
        <w:pStyle w:val="Heading1"/>
        <w:rPr/>
      </w:pPr>
      <w:bookmarkStart w:id="1" w:name="__RefHeading___Toc57530_312338234"/>
      <w:bookmarkEnd w:id="1"/>
      <w:r>
        <w:rPr>
          <w:color w:val="000000"/>
        </w:rPr>
        <w:t xml:space="preserve">英矽智能 </w:t>
      </w:r>
      <w:r>
        <w:rPr>
          <w:color w:val="000000"/>
        </w:rPr>
        <w:t>03696 HK</w:t>
      </w:r>
    </w:p>
    <w:p>
      <w:pPr>
        <w:pStyle w:val="Normal"/>
        <w:rPr/>
      </w:pPr>
      <w:r>
        <w:rPr/>
        <w:t xml:space="preserve">03696.HK </w:t>
      </w:r>
      <w:r>
        <w:rPr/>
        <w:t xml:space="preserve">现价 </w:t>
      </w:r>
      <w:r>
        <w:rPr/>
        <w:t>49.00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-87.45%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-87.45%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-83.83%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-83.83%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29.46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-39.88%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33.97HKD</w:t>
      </w:r>
      <w:r>
        <w:rPr/>
        <w:t>，期望股价回报</w:t>
      </w:r>
      <w:r>
        <w:rPr/>
        <w:t>-30.66%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w:t>
              <w:br/>
              <w:t>-85.00%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18.74</w:t>
              <w:br/>
              <w:t>-61.75%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67.28</w:t>
              <w:br/>
              <w:t>+37.30%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6.15</w:t>
              <w:br/>
              <w:t>-87.45%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86.60</w:t>
              <w:br/>
              <w:t>+76.73%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7.93</w:t>
              <w:br/>
              <w:t>-83.83%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106.77</w:t>
              <w:br/>
              <w:t>+117.91%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10.21</w:t>
              <w:br/>
              <w:t>-79.17%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129.96</w:t>
              <w:br/>
              <w:t>+165.23%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-59.84%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-86.83%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-83.02%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-78.13%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研究基准为</w:t>
      </w:r>
      <w:r>
        <w:rPr/>
        <w:t>2026</w:t>
      </w:r>
      <w:r>
        <w:rPr/>
        <w:t>年</w:t>
      </w:r>
      <w:r>
        <w:rPr/>
        <w:t>10</w:t>
      </w:r>
      <w:r>
        <w:rPr/>
        <w:t>月</w:t>
      </w:r>
      <w:r>
        <w:rPr/>
        <w:t>9</w:t>
      </w:r>
      <w:r>
        <w:rPr/>
        <w:t>日收盘，发行人</w:t>
      </w:r>
      <w:r>
        <w:rPr/>
        <w:t>I008</w:t>
      </w:r>
      <w:r>
        <w:rPr/>
        <w:t>、证券</w:t>
      </w:r>
      <w:r>
        <w:rPr/>
        <w:t>S008</w:t>
      </w:r>
      <w:r>
        <w:rPr/>
        <w:t>、</w:t>
      </w:r>
      <w:r>
        <w:rPr/>
        <w:t>03696.HK</w:t>
      </w:r>
      <w:r>
        <w:rPr/>
        <w:t>，价格</w:t>
      </w:r>
      <w:r>
        <w:rPr/>
        <w:t>49</w:t>
      </w:r>
      <w:r>
        <w:rPr/>
        <w:t>港元。财务使用美元，模型金额单位为美元十亿，港元兑美元</w:t>
      </w:r>
      <w:r>
        <w:rPr/>
        <w:t>7.8</w:t>
      </w:r>
      <w:r>
        <w:rPr/>
        <w:t>是统一研究假设。版本</w:t>
      </w:r>
      <w:r>
        <w:rPr/>
        <w:t>insilico-v2-26yearNetRights-CBrepayConvert-H1actualBridge</w:t>
      </w:r>
      <w:r>
        <w:rPr/>
        <w:t>。</w:t>
      </w:r>
      <w:r>
        <w:rPr/>
        <w:t>2026</w:t>
      </w:r>
      <w:r>
        <w:rPr/>
        <w:t>中期业绩</w:t>
      </w:r>
      <w:r>
        <w:rPr/>
        <w:t>8</w:t>
      </w:r>
      <w:r>
        <w:rPr/>
        <w:t>月</w:t>
      </w:r>
      <w:r>
        <w:rPr/>
        <w:t>26</w:t>
      </w:r>
      <w:r>
        <w:rPr/>
        <w:t>日</w:t>
      </w:r>
      <w:r>
        <w:rPr/>
        <w:t>17:00</w:t>
      </w:r>
      <w:r>
        <w:rPr/>
        <w:t>、完整中报</w:t>
      </w:r>
      <w:r>
        <w:rPr/>
        <w:t>17:08</w:t>
      </w:r>
      <w:r>
        <w:rPr/>
        <w:t>，可转债定价</w:t>
      </w:r>
      <w:r>
        <w:rPr/>
        <w:t>8</w:t>
      </w:r>
      <w:r>
        <w:rPr/>
        <w:t>月</w:t>
      </w:r>
      <w:r>
        <w:rPr/>
        <w:t>28</w:t>
      </w:r>
      <w:r>
        <w:rPr/>
        <w:t>日</w:t>
      </w:r>
      <w:r>
        <w:rPr/>
        <w:t>06:23</w:t>
      </w:r>
      <w:r>
        <w:rPr/>
        <w:t>、完成发行</w:t>
      </w:r>
      <w:r>
        <w:rPr/>
        <w:t>9</w:t>
      </w:r>
      <w:r>
        <w:rPr/>
        <w:t>月</w:t>
      </w:r>
      <w:r>
        <w:rPr/>
        <w:t>3</w:t>
      </w:r>
      <w:r>
        <w:rPr/>
        <w:t>日</w:t>
      </w:r>
      <w:r>
        <w:rPr/>
        <w:t>22:01</w:t>
      </w:r>
      <w:r>
        <w:rPr/>
        <w:t>，</w:t>
      </w:r>
      <w:r>
        <w:rPr/>
        <w:t>9</w:t>
      </w:r>
      <w:r>
        <w:rPr/>
        <w:t>月月报</w:t>
      </w:r>
      <w:r>
        <w:rPr/>
        <w:t>10</w:t>
      </w:r>
      <w:r>
        <w:rPr/>
        <w:t>月</w:t>
      </w:r>
      <w:r>
        <w:rPr/>
        <w:t>7</w:t>
      </w:r>
      <w:r>
        <w:rPr/>
        <w:t>日</w:t>
      </w:r>
      <w:r>
        <w:rPr/>
        <w:t>17:00</w:t>
      </w:r>
      <w:r>
        <w:rPr/>
        <w:t>，均保留发布时间。截止后会议、公告及股价不进入研究。</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r>
              <w:rPr>
                <w:rFonts w:eastAsia="微软雅黑" w:ascii="微软雅黑" w:hAnsi="微软雅黑"/>
                <w:b/>
                <w:color w:val="FFFFFF"/>
                <w:sz w:val="17"/>
              </w:rPr>
              <w:t>HKD</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定位</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7.350000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18.741236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67.278761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-61.752580%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量价与估值需改善的观察候选</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一年实际</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6.147087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86.598795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-87.454924%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长期资产可研究，现价支持不足</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7.925698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106.774618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-83.825106%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临床验证候选，非核心优先</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10.208313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129.963405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-79.166708%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多资产选择权，仍需乐观经营兑现</w:t>
            </w:r>
          </w:p>
        </w:tc>
      </w:tr>
    </w:tbl>
    <w:p>
      <w:pPr>
        <w:pStyle w:val="Normal"/>
        <w:rPr/>
      </w:pPr>
      <w:r>
        <w:rPr/>
      </w:r>
    </w:p>
    <w:p>
      <w:pPr>
        <w:pStyle w:val="Normal"/>
        <w:rPr/>
      </w:pPr>
      <w:r>
        <w:rPr/>
        <w:t>年底悲观</w:t>
      </w:r>
      <w:r>
        <w:rPr/>
        <w:t>17.150000</w:t>
      </w:r>
      <w:r>
        <w:rPr/>
        <w:t>港元、基准</w:t>
      </w:r>
      <w:r>
        <w:rPr/>
        <w:t>29.460280</w:t>
      </w:r>
      <w:r>
        <w:rPr/>
        <w:t>港元、乐观</w:t>
      </w:r>
      <w:r>
        <w:rPr/>
        <w:t>59.829206</w:t>
      </w:r>
      <w:r>
        <w:rPr/>
        <w:t>港元，分别较现价</w:t>
      </w:r>
      <w:r>
        <w:rPr/>
        <w:t>-65.000000%</w:t>
      </w:r>
      <w:r>
        <w:rPr/>
        <w:t>、</w:t>
      </w:r>
      <w:r>
        <w:rPr/>
        <w:t>-39.876980%</w:t>
      </w:r>
      <w:r>
        <w:rPr/>
        <w:t>、</w:t>
      </w:r>
      <w:r>
        <w:rPr/>
        <w:t>22.100420%</w:t>
      </w:r>
      <w:r>
        <w:rPr/>
        <w:t>。判断权重</w:t>
      </w:r>
      <w:r>
        <w:rPr/>
        <w:t>25%</w:t>
      </w:r>
      <w:r>
        <w:rPr/>
        <w:t>、</w:t>
      </w:r>
      <w:r>
        <w:rPr/>
        <w:t>50%</w:t>
      </w:r>
      <w:r>
        <w:rPr/>
        <w:t>、</w:t>
      </w:r>
      <w:r>
        <w:rPr/>
        <w:t>25%</w:t>
      </w:r>
      <w:r>
        <w:rPr/>
        <w:t>的年底期望价</w:t>
      </w:r>
      <w:r>
        <w:rPr/>
        <w:t>33.974941</w:t>
      </w:r>
      <w:r>
        <w:rPr/>
        <w:t>港元，期望回报</w:t>
      </w:r>
      <w:r>
        <w:rPr/>
        <w:t>-30.663385%</w:t>
      </w:r>
      <w:r>
        <w:rPr/>
        <w:t>。半年期望</w:t>
      </w:r>
      <w:r>
        <w:rPr/>
        <w:t>28.027808</w:t>
      </w:r>
      <w:r>
        <w:rPr/>
        <w:t>、一年</w:t>
      </w:r>
      <w:r>
        <w:rPr/>
        <w:t>24.723243</w:t>
      </w:r>
      <w:r>
        <w:rPr/>
        <w:t>、三年</w:t>
      </w:r>
      <w:r>
        <w:rPr/>
        <w:t>30.656504</w:t>
      </w:r>
      <w:r>
        <w:rPr/>
        <w:t>、五年</w:t>
      </w:r>
      <w:r>
        <w:rPr/>
        <w:t>37.595008</w:t>
      </w:r>
      <w:r>
        <w:rPr/>
        <w:t>港元。年底权重改为</w:t>
      </w:r>
      <w:r>
        <w:rPr/>
        <w:t>40%</w:t>
      </w:r>
      <w:r>
        <w:rPr/>
        <w:t>、</w:t>
      </w:r>
      <w:r>
        <w:rPr/>
        <w:t>40%</w:t>
      </w:r>
      <w:r>
        <w:rPr/>
        <w:t>、</w:t>
      </w:r>
      <w:r>
        <w:rPr/>
        <w:t>20%</w:t>
      </w:r>
      <w:r>
        <w:rPr/>
        <w:t>，期望</w:t>
      </w:r>
      <w:r>
        <w:rPr/>
        <w:t>30.609953</w:t>
      </w:r>
      <w:r>
        <w:rPr/>
        <w:t>港元、回报</w:t>
      </w:r>
      <w:r>
        <w:rPr/>
        <w:t>-37.530708%</w:t>
      </w:r>
      <w:r>
        <w:rPr/>
        <w:t>；改为</w:t>
      </w:r>
      <w:r>
        <w:rPr/>
        <w:t>20%</w:t>
      </w:r>
      <w:r>
        <w:rPr/>
        <w:t>、</w:t>
      </w:r>
      <w:r>
        <w:rPr/>
        <w:t>40%</w:t>
      </w:r>
      <w:r>
        <w:rPr/>
        <w:t>、</w:t>
      </w:r>
      <w:r>
        <w:rPr/>
        <w:t>40%</w:t>
      </w:r>
      <w:r>
        <w:rPr/>
        <w:t>，期望</w:t>
      </w:r>
      <w:r>
        <w:rPr/>
        <w:t>39.145794</w:t>
      </w:r>
      <w:r>
        <w:rPr/>
        <w:t>、回报</w:t>
      </w:r>
      <w:r>
        <w:rPr/>
        <w:t>-20.110624%</w:t>
      </w:r>
      <w:r>
        <w:rPr/>
        <w:t>。情景是研究假设，不能解释为置信区间。悲观资金计划失效的普通股内在值设零，不预测必然破产，也不表示现价只能波动于这些点。</w:t>
      </w:r>
    </w:p>
    <w:p>
      <w:pPr>
        <w:pStyle w:val="Normal"/>
        <w:rPr/>
      </w:pPr>
      <w:r>
        <w:rPr/>
        <w:t>基准三年和五年尚无已付研究股息，含分红回报分别</w:t>
      </w:r>
      <w:r>
        <w:rPr/>
        <w:t>-83.825106%</w:t>
      </w:r>
      <w:r>
        <w:rPr/>
        <w:t>、</w:t>
      </w:r>
      <w:r>
        <w:rPr/>
        <w:t>-79.166708%</w:t>
      </w:r>
      <w:r>
        <w:rPr/>
        <w:t>，年化</w:t>
      </w:r>
      <w:r>
        <w:rPr/>
        <w:t>-45.507010%</w:t>
      </w:r>
      <w:r>
        <w:rPr/>
        <w:t>、</w:t>
      </w:r>
      <w:r>
        <w:rPr/>
        <w:t>-26.931040%</w:t>
      </w:r>
      <w:r>
        <w:rPr/>
        <w:t>。乐观五年研究股息</w:t>
      </w:r>
      <w:r>
        <w:rPr/>
        <w:t>1.452898</w:t>
      </w:r>
      <w:r>
        <w:rPr/>
        <w:t>港元，含分红年化</w:t>
      </w:r>
      <w:r>
        <w:rPr/>
        <w:t>21.815448%</w:t>
      </w:r>
      <w:r>
        <w:rPr/>
        <w:t>。全部期限仍按本币回报，人民币购买港股另叠汇率与交易成本。远期交易日待市场日历正式发布复核。</w:t>
      </w:r>
    </w:p>
    <w:p>
      <w:pPr>
        <w:pStyle w:val="Heading2"/>
        <w:rPr/>
      </w:pPr>
      <w:r>
        <w:rPr>
          <w:color w:val="000000"/>
        </w:rPr>
        <w:t>一 推荐结论及其成立条件</w:t>
      </w:r>
    </w:p>
    <w:p>
      <w:pPr>
        <w:pStyle w:val="Normal"/>
        <w:rPr/>
      </w:pPr>
      <w:r>
        <w:rPr/>
        <w:t>英矽最吸引人的地方，是把计算平台、药物设计、实验验证、临床资产和跨国授权串成完整的商业路线。它已经获得真实合作和首付款，领先项目进入中国三期，不能被视为只有演示模型的概念企业。投资难点则是，计算效率的进步先于注册药物的盈利，资金支出先于风险调整后的销售现金，上市价格又已反映显著未来成长。本研究因此给长期商业质量较高分，却对</w:t>
      </w:r>
      <w:r>
        <w:rPr/>
        <w:t>49</w:t>
      </w:r>
      <w:r>
        <w:rPr/>
        <w:t>港元的预期回报给低分。公司值得深入观察，当前证据还不足以使它成为四榜最优先的买入对象。</w:t>
      </w:r>
    </w:p>
    <w:p>
      <w:pPr>
        <w:pStyle w:val="Normal"/>
        <w:rPr/>
      </w:pPr>
      <w:r>
        <w:rPr/>
        <w:t>进取型投资标准应追求有依据的上行，而不能自动采用机构最高目标价。英矽的乐观五年值接近</w:t>
      </w:r>
      <w:r>
        <w:rPr/>
        <w:t>130</w:t>
      </w:r>
      <w:r>
        <w:rPr/>
        <w:t>港元，是软件与发现服务加速、现有合作连续支付里程碑、多个自研资产获得临床成功、可转债转换且未来员工稀释受控的共同结果。若只关注这个结果，会忽略基准情景较弱的股东回报。当前</w:t>
      </w:r>
      <w:r>
        <w:rPr/>
        <w:t>25%</w:t>
      </w:r>
      <w:r>
        <w:rPr/>
        <w:t>、</w:t>
      </w:r>
      <w:r>
        <w:rPr/>
        <w:t>50%</w:t>
      </w:r>
      <w:r>
        <w:rPr/>
        <w:t>、</w:t>
      </w:r>
      <w:r>
        <w:rPr/>
        <w:t>25%</w:t>
      </w:r>
      <w:r>
        <w:rPr/>
        <w:t>权重下各期限期望均低于</w:t>
      </w:r>
      <w:r>
        <w:rPr/>
        <w:t>49</w:t>
      </w:r>
      <w:r>
        <w:rPr/>
        <w:t>港元，意味着乐观尾部虽大，尚不足以补偿这里设定的失败和现金消耗风险。</w:t>
      </w:r>
    </w:p>
    <w:p>
      <w:pPr>
        <w:pStyle w:val="Normal"/>
        <w:rPr/>
      </w:pPr>
      <w:r>
        <w:rPr/>
        <w:t>基准模型把</w:t>
      </w:r>
      <w:r>
        <w:rPr/>
        <w:t>2027</w:t>
      </w:r>
      <w:r>
        <w:rPr/>
        <w:t>收入设为</w:t>
      </w:r>
      <w:r>
        <w:rPr/>
        <w:t>1.844</w:t>
      </w:r>
      <w:r>
        <w:rPr/>
        <w:t>亿美元、</w:t>
      </w:r>
      <w:r>
        <w:rPr/>
        <w:t>2029</w:t>
      </w:r>
      <w:r>
        <w:rPr/>
        <w:t>为</w:t>
      </w:r>
      <w:r>
        <w:rPr/>
        <w:t>3.095</w:t>
      </w:r>
      <w:r>
        <w:rPr/>
        <w:t>亿美元、</w:t>
      </w:r>
      <w:r>
        <w:rPr/>
        <w:t>2031</w:t>
      </w:r>
      <w:r>
        <w:rPr/>
        <w:t>为</w:t>
      </w:r>
      <w:r>
        <w:rPr/>
        <w:t>3.961</w:t>
      </w:r>
      <w:r>
        <w:rPr/>
        <w:t>亿美元，已经包含持续新增交易和多项风险调整里程碑。公司仍在扩平台与临床，</w:t>
      </w:r>
      <w:r>
        <w:rPr/>
        <w:t>2027</w:t>
      </w:r>
      <w:r>
        <w:rPr/>
        <w:t>研发预算</w:t>
      </w:r>
      <w:r>
        <w:rPr/>
        <w:t>1.74</w:t>
      </w:r>
      <w:r>
        <w:rPr/>
        <w:t>亿美元、</w:t>
      </w:r>
      <w:r>
        <w:rPr/>
        <w:t>2029</w:t>
      </w:r>
      <w:r>
        <w:rPr/>
        <w:t>为</w:t>
      </w:r>
      <w:r>
        <w:rPr/>
        <w:t>2.85</w:t>
      </w:r>
      <w:r>
        <w:rPr/>
        <w:t>亿美元，早期利润被再投入。低估值不是假定公司没有成长，而是收入增长与股东现金回报的距离很长。要推翻本研究低回报判断，需要项目成果在更低研发投入下兑现，或授权净经济明显高于已建模假设，并且这些改善有真实收款或临床证据支持。</w:t>
      </w:r>
    </w:p>
    <w:p>
      <w:pPr>
        <w:pStyle w:val="Normal"/>
        <w:rPr/>
      </w:pPr>
      <w:r>
        <w:rPr/>
        <w:t>判断成立的条件包括：现有合作没有重大终止、相关研发付款可按履约收取；中国</w:t>
      </w:r>
      <w:r>
        <w:rPr/>
        <w:t>IPF</w:t>
      </w:r>
      <w:r>
        <w:rPr/>
        <w:t>三期保持招募和随访进度且安全性可接受；合作伙伴愿意承担越来越多后续开发成本；平台新增人员与模型投入能提高每美元研发的产出；公司能处理</w:t>
      </w:r>
      <w:r>
        <w:rPr/>
        <w:t>2027</w:t>
      </w:r>
      <w:r>
        <w:rPr/>
        <w:t>年</w:t>
      </w:r>
      <w:r>
        <w:rPr/>
        <w:t>3.05</w:t>
      </w:r>
      <w:r>
        <w:rPr/>
        <w:t>亿美元债券到期而保留充分临床资金。任何一个条件恶化，都应先更新现金和成功率，再讨论股价是否便宜。新模型名称、媒体热度或董事增持不能取代这些条件。</w:t>
      </w:r>
    </w:p>
    <w:p>
      <w:pPr>
        <w:pStyle w:val="Heading2"/>
        <w:rPr/>
      </w:pPr>
      <w:r>
        <w:rPr>
          <w:color w:val="000000"/>
        </w:rPr>
        <w:t>二 发行人 上市历史与股票供给</w:t>
      </w:r>
    </w:p>
    <w:p>
      <w:pPr>
        <w:pStyle w:val="Normal"/>
        <w:rPr/>
      </w:pPr>
      <w:r>
        <w:rPr/>
        <w:t>上市主体</w:t>
      </w:r>
      <w:r>
        <w:rPr/>
        <w:t>InSilico Medicine Cayman TopCo</w:t>
      </w:r>
      <w:r>
        <w:rPr/>
        <w:t>为开曼公司，财务报告以美元呈现，股票在香港以港元交易。不同地区研发和商业合作使其具有全球组织特征，但客户地理收入不代表某地已售处方药。代码</w:t>
      </w:r>
      <w:r>
        <w:rPr/>
        <w:t>3696</w:t>
      </w:r>
      <w:r>
        <w:rPr/>
        <w:t>与</w:t>
      </w:r>
      <w:r>
        <w:rPr/>
        <w:t>03696</w:t>
      </w:r>
      <w:r>
        <w:rPr/>
        <w:t>在香港指同一证券，当前总股数</w:t>
      </w:r>
      <w:r>
        <w:rPr/>
        <w:t>5.85120194</w:t>
      </w:r>
      <w:r>
        <w:rPr/>
        <w:t>亿股应用于全公司市值，不能只用某个流通账户或</w:t>
      </w:r>
      <w:r>
        <w:rPr/>
        <w:t>IPO</w:t>
      </w:r>
      <w:r>
        <w:rPr/>
        <w:t>发售股数。现价乘总股数约为</w:t>
      </w:r>
      <w:r>
        <w:rPr/>
        <w:t>286.71</w:t>
      </w:r>
      <w:r>
        <w:rPr/>
        <w:t>亿港元，按研究汇率约</w:t>
      </w:r>
      <w:r>
        <w:rPr/>
        <w:t>36.76</w:t>
      </w:r>
      <w:r>
        <w:rPr/>
        <w:t>亿美元，明显大于当期软件订阅规模。</w:t>
      </w:r>
    </w:p>
    <w:p>
      <w:pPr>
        <w:pStyle w:val="Normal"/>
        <w:rPr/>
      </w:pPr>
      <w:r>
        <w:rPr/>
        <w:t>公司</w:t>
      </w:r>
      <w:r>
        <w:rPr/>
        <w:t>2025</w:t>
      </w:r>
      <w:r>
        <w:rPr/>
        <w:t>年</w:t>
      </w:r>
      <w:r>
        <w:rPr/>
        <w:t>12</w:t>
      </w:r>
      <w:r>
        <w:rPr/>
        <w:t>月</w:t>
      </w:r>
      <w:r>
        <w:rPr/>
        <w:t>30</w:t>
      </w:r>
      <w:r>
        <w:rPr/>
        <w:t>日上市，至截止日只有</w:t>
      </w:r>
      <w:r>
        <w:rPr/>
        <w:t>192</w:t>
      </w:r>
      <w:r>
        <w:rPr/>
        <w:t>根实际日线和</w:t>
      </w:r>
      <w:r>
        <w:rPr/>
        <w:t>41</w:t>
      </w:r>
      <w:r>
        <w:rPr/>
        <w:t>个周线样本。上市前一拆二十及优先股转换改变了资本结构，历史每股亏损与当前普通股不能直接比较。</w:t>
      </w:r>
      <w:r>
        <w:rPr/>
        <w:t>2025</w:t>
      </w:r>
      <w:r>
        <w:rPr/>
        <w:t>年加权平均股数仍受上市前结构影响，用那一分母乘现价会严重低估市值。</w:t>
      </w:r>
      <w:r>
        <w:rPr/>
        <w:t>2026</w:t>
      </w:r>
      <w:r>
        <w:rPr/>
        <w:t>年</w:t>
      </w:r>
      <w:r>
        <w:rPr/>
        <w:t>6</w:t>
      </w:r>
      <w:r>
        <w:rPr/>
        <w:t>月末普通股</w:t>
      </w:r>
      <w:r>
        <w:rPr/>
        <w:t>5.75837982</w:t>
      </w:r>
      <w:r>
        <w:rPr/>
        <w:t>亿，</w:t>
      </w:r>
      <w:r>
        <w:rPr/>
        <w:t>9</w:t>
      </w:r>
      <w:r>
        <w:rPr/>
        <w:t>月末</w:t>
      </w:r>
      <w:r>
        <w:rPr/>
        <w:t>5.85120194</w:t>
      </w:r>
      <w:r>
        <w:rPr/>
        <w:t>亿，增量包括已经发生的期权行权和受限股发行，应与未来稀释分开。</w:t>
      </w:r>
    </w:p>
    <w:p>
      <w:pPr>
        <w:pStyle w:val="Normal"/>
        <w:rPr/>
      </w:pPr>
      <w:r>
        <w:rPr/>
        <w:t>2026</w:t>
      </w:r>
      <w:r>
        <w:rPr/>
        <w:t>年</w:t>
      </w:r>
      <w:r>
        <w:rPr/>
        <w:t>7</w:t>
      </w:r>
      <w:r>
        <w:rPr/>
        <w:t>月新增期权股份</w:t>
      </w:r>
      <w:r>
        <w:rPr/>
        <w:t>452.6093</w:t>
      </w:r>
      <w:r>
        <w:rPr/>
        <w:t>万、受限股</w:t>
      </w:r>
      <w:r>
        <w:rPr/>
        <w:t>207.2771</w:t>
      </w:r>
      <w:r>
        <w:rPr/>
        <w:t>万，</w:t>
      </w:r>
      <w:r>
        <w:rPr/>
        <w:t>8</w:t>
      </w:r>
      <w:r>
        <w:rPr/>
        <w:t>月新增期权</w:t>
      </w:r>
      <w:r>
        <w:rPr/>
        <w:t>20</w:t>
      </w:r>
      <w:r>
        <w:rPr/>
        <w:t>万、受限股</w:t>
      </w:r>
      <w:r>
        <w:rPr/>
        <w:t>4.7264</w:t>
      </w:r>
      <w:r>
        <w:rPr/>
        <w:t>万，</w:t>
      </w:r>
      <w:r>
        <w:rPr/>
        <w:t>9</w:t>
      </w:r>
      <w:r>
        <w:rPr/>
        <w:t>月新增期权</w:t>
      </w:r>
      <w:r>
        <w:rPr/>
        <w:t>238.8859</w:t>
      </w:r>
      <w:r>
        <w:rPr/>
        <w:t>万、受限股</w:t>
      </w:r>
      <w:r>
        <w:rPr/>
        <w:t>4.7225</w:t>
      </w:r>
      <w:r>
        <w:rPr/>
        <w:t>万。六项合计</w:t>
      </w:r>
      <w:r>
        <w:rPr/>
        <w:t>928.2212</w:t>
      </w:r>
      <w:r>
        <w:rPr/>
        <w:t>万，恰好解释六月至九月股数增长。模型起点采用九月末股数，这些已发行股份不会在未来再加一遍。相应</w:t>
      </w:r>
      <w:r>
        <w:rPr/>
        <w:t>7</w:t>
      </w:r>
      <w:r>
        <w:rPr/>
        <w:t>月至</w:t>
      </w:r>
      <w:r>
        <w:rPr/>
        <w:t>9</w:t>
      </w:r>
      <w:r>
        <w:rPr/>
        <w:t>月已收行权款合计</w:t>
      </w:r>
      <w:r>
        <w:rPr/>
        <w:t>4388.738622</w:t>
      </w:r>
      <w:r>
        <w:rPr/>
        <w:t>万港元，也作为六月现金起点后的已知融资现金单独计入，不与未来行权收入混用。</w:t>
      </w:r>
    </w:p>
    <w:p>
      <w:pPr>
        <w:pStyle w:val="Normal"/>
        <w:rPr/>
      </w:pPr>
      <w:r>
        <w:rPr/>
        <w:t>9</w:t>
      </w:r>
      <w:r>
        <w:rPr/>
        <w:t>月末尚余期权</w:t>
      </w:r>
      <w:r>
        <w:rPr/>
        <w:t>1777.6905</w:t>
      </w:r>
      <w:r>
        <w:rPr/>
        <w:t>万股。六月财务表期权</w:t>
      </w:r>
      <w:r>
        <w:rPr/>
        <w:t>2531.4297</w:t>
      </w:r>
      <w:r>
        <w:rPr/>
        <w:t>万，其中</w:t>
      </w:r>
      <w:r>
        <w:rPr/>
        <w:t>2165.2345</w:t>
      </w:r>
      <w:r>
        <w:rPr/>
        <w:t>万当时可行权，不能在九月起点继续全部视为未发行。剩余期权加权行权价未有九月完整分层表，本研究每股</w:t>
      </w:r>
      <w:r>
        <w:rPr/>
        <w:t>0.92</w:t>
      </w:r>
      <w:r>
        <w:rPr/>
        <w:t>美元是可修改假设，不能冒充合同新平均价。未来行权时模型同时增加现金与股份，若取消行权，则现金更少而稀释也更少。这个配对在现金紧张时可能改变可持续经营判断，不应只强调其一。</w:t>
      </w:r>
    </w:p>
    <w:p>
      <w:pPr>
        <w:pStyle w:val="Normal"/>
        <w:rPr/>
      </w:pPr>
      <w:r>
        <w:rPr/>
        <w:t>受限股方面，六月未归属上市前计划</w:t>
      </w:r>
      <w:r>
        <w:rPr/>
        <w:t>263.2553</w:t>
      </w:r>
      <w:r>
        <w:rPr/>
        <w:t>万股，与会计附注</w:t>
      </w:r>
      <w:r>
        <w:rPr/>
        <w:t>2019</w:t>
      </w:r>
      <w:r>
        <w:rPr/>
        <w:t>、</w:t>
      </w:r>
      <w:r>
        <w:rPr/>
        <w:t>2021</w:t>
      </w:r>
      <w:r>
        <w:rPr/>
        <w:t>、</w:t>
      </w:r>
      <w:r>
        <w:rPr/>
        <w:t>2022</w:t>
      </w:r>
      <w:r>
        <w:rPr/>
        <w:t>三组余额合计相同。扣</w:t>
      </w:r>
      <w:r>
        <w:rPr/>
        <w:t>7</w:t>
      </w:r>
      <w:r>
        <w:rPr/>
        <w:t>月</w:t>
      </w:r>
      <w:r>
        <w:rPr/>
        <w:t>165.418</w:t>
      </w:r>
      <w:r>
        <w:rPr/>
        <w:t>万、</w:t>
      </w:r>
      <w:r>
        <w:rPr/>
        <w:t>8</w:t>
      </w:r>
      <w:r>
        <w:rPr/>
        <w:t>月</w:t>
      </w:r>
      <w:r>
        <w:rPr/>
        <w:t>4.7264</w:t>
      </w:r>
      <w:r>
        <w:rPr/>
        <w:t>万、</w:t>
      </w:r>
      <w:r>
        <w:rPr/>
        <w:t>9</w:t>
      </w:r>
      <w:r>
        <w:rPr/>
        <w:t>月</w:t>
      </w:r>
      <w:r>
        <w:rPr/>
        <w:t>4.7225</w:t>
      </w:r>
      <w:r>
        <w:rPr/>
        <w:t>万实际发行后，剩</w:t>
      </w:r>
      <w:r>
        <w:rPr/>
        <w:t>88.3884</w:t>
      </w:r>
      <w:r>
        <w:rPr/>
        <w:t>万。上市后</w:t>
      </w:r>
      <w:r>
        <w:rPr/>
        <w:t>4</w:t>
      </w:r>
      <w:r>
        <w:rPr/>
        <w:t>月授予</w:t>
      </w:r>
      <w:r>
        <w:rPr/>
        <w:t>370.6886</w:t>
      </w:r>
      <w:r>
        <w:rPr/>
        <w:t>万，</w:t>
      </w:r>
      <w:r>
        <w:rPr/>
        <w:t>7</w:t>
      </w:r>
      <w:r>
        <w:rPr/>
        <w:t>月已发行</w:t>
      </w:r>
      <w:r>
        <w:rPr/>
        <w:t>41.8591</w:t>
      </w:r>
      <w:r>
        <w:rPr/>
        <w:t>万，剩</w:t>
      </w:r>
      <w:r>
        <w:rPr/>
        <w:t>328.8295</w:t>
      </w:r>
      <w:r>
        <w:rPr/>
        <w:t>万。未来合计</w:t>
      </w:r>
      <w:r>
        <w:rPr/>
        <w:t>417.2179</w:t>
      </w:r>
      <w:r>
        <w:rPr/>
        <w:t>万受限股进入稀释预算。已批准但未授予的计划容量代表潜在授权，不等于当前已发行股票；新增员工权益预算另列，不能把计划上限一次加进现股。</w:t>
      </w:r>
    </w:p>
    <w:p>
      <w:pPr>
        <w:pStyle w:val="Normal"/>
        <w:rPr/>
      </w:pPr>
      <w:r>
        <w:rPr/>
        <w:t>两位</w:t>
      </w:r>
      <w:r>
        <w:rPr/>
        <w:t>CEO</w:t>
      </w:r>
      <w:r>
        <w:rPr/>
        <w:t>于</w:t>
      </w:r>
      <w:r>
        <w:rPr/>
        <w:t>6</w:t>
      </w:r>
      <w:r>
        <w:rPr/>
        <w:t>月公告延长锁定期至</w:t>
      </w:r>
      <w:r>
        <w:rPr/>
        <w:t>2027</w:t>
      </w:r>
      <w:r>
        <w:rPr/>
        <w:t>年</w:t>
      </w:r>
      <w:r>
        <w:rPr/>
        <w:t>6</w:t>
      </w:r>
      <w:r>
        <w:rPr/>
        <w:t>月</w:t>
      </w:r>
      <w:r>
        <w:rPr/>
        <w:t>29</w:t>
      </w:r>
      <w:r>
        <w:rPr/>
        <w:t>日，这有助于降低特定持股短期出售预期，但不冻结所有股东和激励股份。公告保留现金</w:t>
      </w:r>
      <w:r>
        <w:rPr/>
        <w:t>less</w:t>
      </w:r>
      <w:r>
        <w:rPr/>
        <w:t>行权或归属等例外，投资者仍应观察实际发行和交易供给。主席</w:t>
      </w:r>
      <w:r>
        <w:rPr/>
        <w:t>9</w:t>
      </w:r>
      <w:r>
        <w:rPr/>
        <w:t>月首批增持</w:t>
      </w:r>
      <w:r>
        <w:rPr/>
        <w:t>11.35</w:t>
      </w:r>
      <w:r>
        <w:rPr/>
        <w:t>万股可作为信心线索，相对总股数很小，不能据此推导价格支撑或公司回购规模。</w:t>
      </w:r>
      <w:r>
        <w:rPr/>
        <w:t>5</w:t>
      </w:r>
      <w:r>
        <w:rPr/>
        <w:t>月对阿布扎比二次上市报道，公司明确尚无具体决定，该事项也没有确定融资收益可以计入。</w:t>
      </w:r>
    </w:p>
    <w:p>
      <w:pPr>
        <w:pStyle w:val="Heading2"/>
        <w:rPr/>
      </w:pPr>
      <w:r>
        <w:rPr>
          <w:color w:val="000000"/>
        </w:rPr>
        <w:t>三 商业模式 三种权益路径决定收入质量</w:t>
      </w:r>
    </w:p>
    <w:p>
      <w:pPr>
        <w:pStyle w:val="Normal"/>
        <w:rPr/>
      </w:pPr>
      <w:r>
        <w:rPr/>
        <w:t>公司的药物发现业务至少存在三种不同权益关系。完全自研的项目保留</w:t>
      </w:r>
      <w:r>
        <w:rPr/>
        <w:t>IP</w:t>
      </w:r>
      <w:r>
        <w:rPr/>
        <w:t>，后续可自销或授权；联合开发可能只保留部分</w:t>
      </w:r>
      <w:r>
        <w:rPr/>
        <w:t>IP</w:t>
      </w:r>
      <w:r>
        <w:rPr/>
        <w:t>和经济权益；纯服务项目则由客户持有</w:t>
      </w:r>
      <w:r>
        <w:rPr/>
        <w:t>IP</w:t>
      </w:r>
      <w:r>
        <w:rPr/>
        <w:t>，公司只获取服务费用。这种区别决定资产价值，而非技术名称决定价值。同一项计算或实验成果若已经收费完成且无保留权利，就不能再给它全球药物销售现值。相反，拥有可许可资产的项目，后续里程碑和版税可以形成持续权益，但研发、监管与销售失败会影响收款。</w:t>
      </w:r>
    </w:p>
    <w:p>
      <w:pPr>
        <w:pStyle w:val="Normal"/>
        <w:rPr/>
      </w:pPr>
      <w:r>
        <w:rPr/>
        <w:t>Pharma.AI</w:t>
      </w:r>
      <w:r>
        <w:rPr/>
        <w:t>体系包含生物学、化学、临床及科学研究相关工具，平台的实用性在于筛选靶点、设计分子、提出实验和解读资料。发现时间缩短、候选化合物数量提升是公司陈述的效率指标。它们可能降低早期筛选成本，却不等同于人体治疗成功率增加到同样比例。靶点在细胞和动物中有效，仍可能因人体暴露、毒性、疾病异质性、终点选择或竞争药物失败。估值应把早期效率和后期临床成功分别处理。</w:t>
      </w:r>
    </w:p>
    <w:p>
      <w:pPr>
        <w:pStyle w:val="Normal"/>
        <w:rPr/>
      </w:pPr>
      <w:r>
        <w:rPr/>
        <w:t>2025</w:t>
      </w:r>
      <w:r>
        <w:rPr/>
        <w:t>年药物发现收入</w:t>
      </w:r>
      <w:r>
        <w:rPr/>
        <w:t>2495.2</w:t>
      </w:r>
      <w:r>
        <w:rPr/>
        <w:t>万美元，管线开发</w:t>
      </w:r>
      <w:r>
        <w:rPr/>
        <w:t>2388.5</w:t>
      </w:r>
      <w:r>
        <w:rPr/>
        <w:t>万美元，软件</w:t>
      </w:r>
      <w:r>
        <w:rPr/>
        <w:t>491.3</w:t>
      </w:r>
      <w:r>
        <w:rPr/>
        <w:t>万美元，其他发现</w:t>
      </w:r>
      <w:r>
        <w:rPr/>
        <w:t>248.9</w:t>
      </w:r>
      <w:r>
        <w:rPr/>
        <w:t>万美元。</w:t>
      </w:r>
      <w:r>
        <w:rPr/>
        <w:t>2024</w:t>
      </w:r>
      <w:r>
        <w:rPr/>
        <w:t>年管线开发</w:t>
      </w:r>
      <w:r>
        <w:rPr/>
        <w:t>7658.9</w:t>
      </w:r>
      <w:r>
        <w:rPr/>
        <w:t>万美元，显著高于</w:t>
      </w:r>
      <w:r>
        <w:rPr/>
        <w:t>2025</w:t>
      </w:r>
      <w:r>
        <w:rPr/>
        <w:t>，说明授权收入会随大项目时间波动。</w:t>
      </w:r>
      <w:r>
        <w:rPr/>
        <w:t>2026</w:t>
      </w:r>
      <w:r>
        <w:rPr/>
        <w:t>上半年发现与管线收入</w:t>
      </w:r>
      <w:r>
        <w:rPr/>
        <w:t>1.03131</w:t>
      </w:r>
      <w:r>
        <w:rPr/>
        <w:t>亿美元，软件</w:t>
      </w:r>
      <w:r>
        <w:rPr/>
        <w:t>269.7</w:t>
      </w:r>
      <w:r>
        <w:rPr/>
        <w:t>万美元、其他</w:t>
      </w:r>
      <w:r>
        <w:rPr/>
        <w:t>47.5</w:t>
      </w:r>
      <w:r>
        <w:rPr/>
        <w:t>万美元。结构显示商业验证已经出现，收入却仍主要来自项目交易，而非大量稳定软件账户。连续增长的论证需要观察多家客户重复合作与付款，不宜用上半年总收入作为订阅年化基数。</w:t>
      </w:r>
    </w:p>
    <w:p>
      <w:pPr>
        <w:pStyle w:val="Normal"/>
        <w:rPr/>
      </w:pPr>
      <w:r>
        <w:rPr/>
        <w:t>客户是否愿意续费和续签，是平台价值的重要证据。软件可以形成低资本的重复收入，但药企也可能采用自建工具或更便宜的基础模型；服务则要求人员、实验和项目管理，毛利较低；许可收入毛利高，但数量和时间不稳定。模型为软件、服务、已签近端和未来新交易分别设收入和毛利率，避免把所有项目按同一高软件毛利解释。不同类型应考察续约率、交付周期、合作成本、权益保留和应收回款，现披露未覆盖的指标明确为缺失。</w:t>
      </w:r>
    </w:p>
    <w:p>
      <w:pPr>
        <w:pStyle w:val="Normal"/>
        <w:rPr/>
      </w:pPr>
      <w:r>
        <w:rPr/>
        <w:t>公司称累计产生</w:t>
      </w:r>
      <w:r>
        <w:rPr/>
        <w:t>33</w:t>
      </w:r>
      <w:r>
        <w:rPr/>
        <w:t>个</w:t>
      </w:r>
      <w:r>
        <w:rPr/>
        <w:t>PCC</w:t>
      </w:r>
      <w:r>
        <w:rPr/>
        <w:t>，合作覆盖全球前二十大药企中的多家。</w:t>
      </w:r>
      <w:r>
        <w:rPr/>
        <w:t>PCC</w:t>
      </w:r>
      <w:r>
        <w:rPr/>
        <w:t>是临床前候选化合物，不等于已批准新药，也不保证每个项目都归英矽。数量指标可以证明发现活跃度，不能直接把</w:t>
      </w:r>
      <w:r>
        <w:rPr/>
        <w:t>33</w:t>
      </w:r>
      <w:r>
        <w:rPr/>
        <w:t>乘一个标准药物估值。多个化合物可能共享靶点、适应症和市场，失败也可能具有相关性。本研究用九个有限净经济组容纳已有资产和项目，而没有给每个</w:t>
      </w:r>
      <w:r>
        <w:rPr/>
        <w:t>PCC</w:t>
      </w:r>
      <w:r>
        <w:rPr/>
        <w:t>独立完整全球市场，从而保留成长同时控制重复权益。</w:t>
      </w:r>
    </w:p>
    <w:p>
      <w:pPr>
        <w:pStyle w:val="Normal"/>
        <w:rPr/>
      </w:pPr>
      <w:r>
        <w:rPr/>
        <w:t>9</w:t>
      </w:r>
      <w:r>
        <w:rPr/>
        <w:t>月</w:t>
      </w:r>
      <w:r>
        <w:rPr/>
        <w:t>21</w:t>
      </w:r>
      <w:r>
        <w:rPr/>
        <w:t>日公司公告与基础模型实验室共同开发生物学模型，合同价值上限为数千万美元，包含收入分享框架。对方名称、净分配比例和具体付款节奏未完整公开，这项业务可以增加长期模型变现路径，但不能被当作截止日已收取的固定大额现金。若未来披露分成，将按英矽净经济和履约费用调整服务或新交易预算，不会同时把合同总金额、全额服务收入及完整销售版税都加进去。</w:t>
      </w:r>
    </w:p>
    <w:p>
      <w:pPr>
        <w:pStyle w:val="Heading2"/>
        <w:rPr/>
      </w:pPr>
      <w:r>
        <w:rPr>
          <w:color w:val="000000"/>
        </w:rPr>
        <w:t>四 行业需求 竞争及经济前景</w:t>
      </w:r>
    </w:p>
    <w:p>
      <w:pPr>
        <w:pStyle w:val="Normal"/>
        <w:rPr/>
      </w:pPr>
      <w:r>
        <w:rPr/>
        <w:t>制药研发的困难不仅是设计分子，而是以可接受成本证明治疗获益。许多成熟药企面临专利到期、内部研发效率压力和新产品需求，因此愿意购买有差异化证据的资产。英矽可以通过缩短发现过程取得更多试错机会，并以跨国合作降低部分后续融资压力。行业周期上，授权活跃通常有利于首付款、服务预算和项目估值，但市场融资恢复也会吸引更多竞争者。客户会比较内部平台、学术机构、其他</w:t>
      </w:r>
      <w:r>
        <w:rPr/>
        <w:t>AI</w:t>
      </w:r>
      <w:r>
        <w:rPr/>
        <w:t>公司和传统发现团队的成本及最终临床质量。</w:t>
      </w:r>
    </w:p>
    <w:p>
      <w:pPr>
        <w:pStyle w:val="Normal"/>
        <w:rPr/>
      </w:pPr>
      <w:r>
        <w:rPr/>
        <w:t>利率影响两条路径：长期药物权益折现，以及药企和生物科技客户预算。英矽的净现金在利率较高时产生利息，但这不能抵消远期资产价值下降。若融资窗口收窄，早期合作客户可能缩减项目，交易谈判也可能改为低首款、高条件里程碑。若全球资金偏好风险，新增交易和市场识别可能更快，股票可先涨于利润。量价信号与净经济假设应同时观察，不能把宽松市场自动理解成临床成功。</w:t>
      </w:r>
    </w:p>
    <w:p>
      <w:pPr>
        <w:pStyle w:val="Normal"/>
        <w:rPr/>
      </w:pPr>
      <w:r>
        <w:rPr/>
        <w:t>美国客户地域收入占上半年约</w:t>
      </w:r>
      <w:r>
        <w:rPr/>
        <w:t>90%</w:t>
      </w:r>
      <w:r>
        <w:rPr/>
        <w:t>，其含义是客户分类和合作集中度，而不是美国市场处方药销售。在跨境数据、药物许可、安全审查或知识产权规则改变时，公司可能面临交付和合同限制。花旗</w:t>
      </w:r>
      <w:r>
        <w:rPr/>
        <w:t>9</w:t>
      </w:r>
      <w:r>
        <w:rPr/>
        <w:t>月行业转述对常规治疗授权政策较乐观，但那是专家观点和待出台规则，不能作为已经生效的免责条件。英矽还涉及人工智能、生物信息学及实验数据，所受政策可能与普通成品药交易不同。研究将政策视为风险和催化，不假定任何法案或规则一定通过。</w:t>
      </w:r>
    </w:p>
    <w:p>
      <w:pPr>
        <w:pStyle w:val="Normal"/>
        <w:rPr/>
      </w:pPr>
      <w:r>
        <w:rPr/>
        <w:t>人民币工资、实验费用与美元收入形成一定自然汇率错配。人民币贬值可能降低美元计价研发成本，但中国临床、国内药价和基金出资也受人民币变化影响。港元与美元联系汇率使证券币种转换相对稳定，人民币投资者最终回报仍有汇率变化。基本估值使用固定</w:t>
      </w:r>
      <w:r>
        <w:rPr/>
        <w:t>7.8</w:t>
      </w:r>
      <w:r>
        <w:rPr/>
        <w:t>港元兑美元，</w:t>
      </w:r>
      <w:r>
        <w:rPr/>
        <w:t>CB</w:t>
      </w:r>
      <w:r>
        <w:rPr/>
        <w:t>转换股份却用合同</w:t>
      </w:r>
      <w:r>
        <w:rPr/>
        <w:t>7.8394</w:t>
      </w:r>
      <w:r>
        <w:rPr/>
        <w:t>，二者不能互换。国内</w:t>
      </w:r>
      <w:r>
        <w:rPr/>
        <w:t>IPF</w:t>
      </w:r>
      <w:r>
        <w:rPr/>
        <w:t>销售金额虽在美元模型中呈现，仍源于人民币支付与医保价格假设，应通过敏感性而非精确汇率预测解释。</w:t>
      </w:r>
    </w:p>
    <w:p>
      <w:pPr>
        <w:pStyle w:val="Normal"/>
        <w:rPr/>
      </w:pPr>
      <w:r>
        <w:rPr/>
        <w:t>人工智能竞争可能使基础模型能力在三至五年趋同。富瑞公开观点也强调药物资产的重要性超过永久专有模型优势，这与本研究有限平台终值一致。护城河应来自专有实验数据、失败信息、验证体系、药企流程整合和临床资产权益。若先进第三方工具可低成本复制设计过程，纯软件议价权可能下降；若英矽的数据和反馈闭环能显著减少无效实验，平台仍可保持合作吸引力。投资者需检验项目转化和单位经济，而不能用参数规模替代竞争优势。</w:t>
      </w:r>
    </w:p>
    <w:p>
      <w:pPr>
        <w:pStyle w:val="Normal"/>
        <w:rPr/>
      </w:pPr>
      <w:r>
        <w:rPr/>
        <w:t>临床外包、实验自动化与人才成本同样影响行业利润。发现效率上升可能使药企选择更多项目，反而增加后续试验总预算。企业以规模扩张吸收研发人员时，早期合作盈利可能全部投入未来资产。基金投资和国际布局有望获得数据、项目和市场渠道，也会增加资本配置难度。英矽的长线回报取决于能否保留高质量资产净份额、让伙伴承担适当开发费用，以及在资本市场周期低点仍有资金选择权。</w:t>
      </w:r>
    </w:p>
    <w:p>
      <w:pPr>
        <w:pStyle w:val="Heading2"/>
        <w:rPr/>
      </w:pPr>
      <w:r>
        <w:rPr>
          <w:color w:val="000000"/>
        </w:rPr>
        <w:t xml:space="preserve">五 </w:t>
      </w:r>
      <w:r>
        <w:rPr>
          <w:color w:val="000000"/>
        </w:rPr>
        <w:t>Rentosertib</w:t>
      </w:r>
      <w:r>
        <w:rPr>
          <w:color w:val="000000"/>
        </w:rPr>
        <w:t>的临床证据与注册路径</w:t>
      </w:r>
    </w:p>
    <w:p>
      <w:pPr>
        <w:pStyle w:val="Normal"/>
        <w:rPr/>
      </w:pPr>
      <w:r>
        <w:rPr/>
        <w:t>Rentosertib</w:t>
      </w:r>
      <w:r>
        <w:rPr/>
        <w:t>为口服</w:t>
      </w:r>
      <w:r>
        <w:rPr/>
        <w:t>TNIK</w:t>
      </w:r>
      <w:r>
        <w:rPr/>
        <w:t>抑制剂，主要开发方向是特发性肺纤维化。</w:t>
      </w:r>
      <w:r>
        <w:rPr/>
        <w:t>IPF</w:t>
      </w:r>
      <w:r>
        <w:rPr/>
        <w:t>具有严重、持续进展的疾病负担，现有治疗仍有疗效、耐受性和适用患者限制。新机制若能改善肺功能并保持长期安全性，商业价值可能较大。疾病需求只能证明试验值得进行，不能替代有效性证据。公司获得中国突破性治疗相关资格和美国孤儿药资格，有助于沟通开发路径，均不能解释为上市批准、临床疗效认证或不需要完整注册试验。</w:t>
      </w:r>
    </w:p>
    <w:p>
      <w:pPr>
        <w:pStyle w:val="Normal"/>
        <w:rPr/>
      </w:pPr>
      <w:r>
        <w:rPr/>
        <w:t>2025</w:t>
      </w:r>
      <w:r>
        <w:rPr/>
        <w:t>年</w:t>
      </w:r>
      <w:r>
        <w:rPr/>
        <w:t>6</w:t>
      </w:r>
      <w:r>
        <w:rPr/>
        <w:t>月</w:t>
      </w:r>
      <w:r>
        <w:rPr/>
        <w:t>3</w:t>
      </w:r>
      <w:r>
        <w:rPr/>
        <w:t>日</w:t>
      </w:r>
      <w:r>
        <w:rPr/>
        <w:t>Nature Medicine</w:t>
      </w:r>
      <w:r>
        <w:rPr/>
        <w:t>原论文的随机</w:t>
      </w:r>
      <w:r>
        <w:rPr/>
        <w:t>IIa</w:t>
      </w:r>
      <w:r>
        <w:rPr/>
        <w:t>摘要可直接核验。四组人数分别</w:t>
      </w:r>
      <w:r>
        <w:rPr/>
        <w:t>18</w:t>
      </w:r>
      <w:r>
        <w:rPr/>
        <w:t>、</w:t>
      </w:r>
      <w:r>
        <w:rPr/>
        <w:t>18</w:t>
      </w:r>
      <w:r>
        <w:rPr/>
        <w:t>、</w:t>
      </w:r>
      <w:r>
        <w:rPr/>
        <w:t>18</w:t>
      </w:r>
      <w:r>
        <w:rPr/>
        <w:t>、</w:t>
      </w:r>
      <w:r>
        <w:rPr/>
        <w:t>17</w:t>
      </w:r>
      <w:r>
        <w:rPr/>
        <w:t>，总</w:t>
      </w:r>
      <w:r>
        <w:rPr/>
        <w:t>71</w:t>
      </w:r>
      <w:r>
        <w:rPr/>
        <w:t>人，治疗</w:t>
      </w:r>
      <w:r>
        <w:rPr/>
        <w:t>12</w:t>
      </w:r>
      <w:r>
        <w:rPr/>
        <w:t>周。主要终点是至少一次治疗期间不良事件的患者比例，各组</w:t>
      </w:r>
      <w:r>
        <w:rPr/>
        <w:t>72.2%</w:t>
      </w:r>
      <w:r>
        <w:rPr/>
        <w:t>、</w:t>
      </w:r>
      <w:r>
        <w:rPr/>
        <w:t>83.3%</w:t>
      </w:r>
      <w:r>
        <w:rPr/>
        <w:t>、</w:t>
      </w:r>
      <w:r>
        <w:rPr/>
        <w:t>83.3%</w:t>
      </w:r>
      <w:r>
        <w:rPr/>
        <w:t>、</w:t>
      </w:r>
      <w:r>
        <w:rPr/>
        <w:t>70.6%</w:t>
      </w:r>
      <w:r>
        <w:rPr/>
        <w:t>。</w:t>
      </w:r>
      <w:r>
        <w:rPr/>
        <w:t>60</w:t>
      </w:r>
      <w:r>
        <w:rPr/>
        <w:t>毫克每日一次组平均</w:t>
      </w:r>
      <w:r>
        <w:rPr/>
        <w:t>FVC</w:t>
      </w:r>
      <w:r>
        <w:rPr/>
        <w:t>变化为增加</w:t>
      </w:r>
      <w:r>
        <w:rPr/>
        <w:t>98.4</w:t>
      </w:r>
      <w:r>
        <w:rPr/>
        <w:t>毫升，</w:t>
      </w:r>
      <w:r>
        <w:rPr/>
        <w:t>95%</w:t>
      </w:r>
      <w:r>
        <w:rPr/>
        <w:t>区间</w:t>
      </w:r>
      <w:r>
        <w:rPr/>
        <w:t>10.9</w:t>
      </w:r>
      <w:r>
        <w:rPr/>
        <w:t>至</w:t>
      </w:r>
      <w:r>
        <w:rPr/>
        <w:t>185.9</w:t>
      </w:r>
      <w:r>
        <w:rPr/>
        <w:t>；安慰剂减少</w:t>
      </w:r>
      <w:r>
        <w:rPr/>
        <w:t>20.3</w:t>
      </w:r>
      <w:r>
        <w:rPr/>
        <w:t>毫升，区间负</w:t>
      </w:r>
      <w:r>
        <w:rPr/>
        <w:t>116.1</w:t>
      </w:r>
      <w:r>
        <w:rPr/>
        <w:t>至</w:t>
      </w:r>
      <w:r>
        <w:rPr/>
        <w:t>75.6</w:t>
      </w:r>
      <w:r>
        <w:rPr/>
        <w:t>。这一</w:t>
      </w:r>
      <w:r>
        <w:rPr/>
        <w:t>FVC</w:t>
      </w:r>
      <w:r>
        <w:rPr/>
        <w:t>结果属于次要终点，小样本和短随访使其足以支持更大试验，却不足以确定</w:t>
      </w:r>
      <w:r>
        <w:rPr/>
        <w:t>52</w:t>
      </w:r>
      <w:r>
        <w:rPr/>
        <w:t>周注册效果。</w:t>
      </w:r>
    </w:p>
    <w:p>
      <w:pPr>
        <w:pStyle w:val="Normal"/>
        <w:rPr/>
      </w:pPr>
      <w:r>
        <w:rPr/>
        <w:t>对安全性的判断必须包含不利证据。原摘要提到与治疗相关的严重不良事件较低，但导致停药的主要事件包括肝毒性和腹泻。不能只摘取“安全耐受”字样而忽略具体停药因素。三期需要在更多患者、较长用药和复杂合并症环境下验证肝功能、暴露及停药率。如果有效剂量带来更高停药、患者难以持续治疗，即使肺功能平均值有信号，商业使用范围和净价格也可能下降。模型成功率因此低于已获批产品，乐观值也不采用确定性成功。</w:t>
      </w:r>
    </w:p>
    <w:p>
      <w:pPr>
        <w:pStyle w:val="Normal"/>
        <w:rPr/>
      </w:pPr>
      <w:r>
        <w:rPr/>
        <w:t>公开</w:t>
      </w:r>
      <w:r>
        <w:rPr/>
        <w:t>JPM</w:t>
      </w:r>
      <w:r>
        <w:rPr/>
        <w:t>新闻提到</w:t>
      </w:r>
      <w:r>
        <w:rPr/>
        <w:t>IIa</w:t>
      </w:r>
      <w:r>
        <w:rPr/>
        <w:t>人数</w:t>
      </w:r>
      <w:r>
        <w:rPr/>
        <w:t>128</w:t>
      </w:r>
      <w:r>
        <w:rPr/>
        <w:t>，与原随机试验摘要</w:t>
      </w:r>
      <w:r>
        <w:rPr/>
        <w:t>71</w:t>
      </w:r>
      <w:r>
        <w:rPr/>
        <w:t>人存在口径冲突。现有材料不足以解释</w:t>
      </w:r>
      <w:r>
        <w:rPr/>
        <w:t>128</w:t>
      </w:r>
      <w:r>
        <w:rPr/>
        <w:t>是否纳入其他队列或转述错误，本报告不以</w:t>
      </w:r>
      <w:r>
        <w:rPr/>
        <w:t>128</w:t>
      </w:r>
      <w:r>
        <w:rPr/>
        <w:t>作为随机疗效分母。</w:t>
      </w:r>
      <w:r>
        <w:rPr/>
        <w:t>42</w:t>
      </w:r>
      <w:r>
        <w:rPr/>
        <w:t>名患者的衰老蛋白探索属于更小亚组，可能存在选样、多重分析和疾病改善混杂。生物年龄时钟变化不能证明延长寿命、逆转衰老或支持健康人使用。本模型没有加入独立“长寿药”收入，相关研究仅视为后续可检验假设和合作机会。</w:t>
      </w:r>
    </w:p>
    <w:p>
      <w:pPr>
        <w:pStyle w:val="Normal"/>
        <w:rPr/>
      </w:pPr>
      <w:r>
        <w:rPr/>
        <w:t>2026</w:t>
      </w:r>
      <w:r>
        <w:rPr/>
        <w:t>年</w:t>
      </w:r>
      <w:r>
        <w:rPr/>
        <w:t>7</w:t>
      </w:r>
      <w:r>
        <w:rPr/>
        <w:t>月公司公告启动中国</w:t>
      </w:r>
      <w:r>
        <w:rPr/>
        <w:t>III</w:t>
      </w:r>
      <w:r>
        <w:rPr/>
        <w:t>期</w:t>
      </w:r>
      <w:r>
        <w:rPr/>
        <w:t>GENESIS-IPF-3</w:t>
      </w:r>
      <w:r>
        <w:rPr/>
        <w:t>，</w:t>
      </w:r>
      <w:r>
        <w:rPr/>
        <w:t>9</w:t>
      </w:r>
      <w:r>
        <w:rPr/>
        <w:t>月</w:t>
      </w:r>
      <w:r>
        <w:rPr/>
        <w:t>10</w:t>
      </w:r>
      <w:r>
        <w:rPr/>
        <w:t>日公告首批患者入组并给药。研究计划</w:t>
      </w:r>
      <w:r>
        <w:rPr/>
        <w:t>320</w:t>
      </w:r>
      <w:r>
        <w:rPr/>
        <w:t>名患者、</w:t>
      </w:r>
      <w:r>
        <w:rPr/>
        <w:t>47</w:t>
      </w:r>
      <w:r>
        <w:rPr/>
        <w:t>中心、</w:t>
      </w:r>
      <w:r>
        <w:rPr/>
        <w:t>52</w:t>
      </w:r>
      <w:r>
        <w:rPr/>
        <w:t>周、随机双盲安慰剂对照，主要终点为</w:t>
      </w:r>
      <w:r>
        <w:rPr/>
        <w:t>52</w:t>
      </w:r>
      <w:r>
        <w:rPr/>
        <w:t>周</w:t>
      </w:r>
      <w:r>
        <w:rPr/>
        <w:t>FVC</w:t>
      </w:r>
      <w:r>
        <w:rPr/>
        <w:t>年下降率，关键次要终点包括首次疾病进展时间。首例给药是执行进度的证据，不能说明已完成全部招募、剂量优于对照或有中期疗效。半年投资期限更适合观察中心启动、招募、预算和安全性更新，不适合期待一年随访终点已经成熟。</w:t>
      </w:r>
    </w:p>
    <w:p>
      <w:pPr>
        <w:pStyle w:val="Normal"/>
        <w:rPr/>
      </w:pPr>
      <w:r>
        <w:rPr/>
        <w:t>富瑞</w:t>
      </w:r>
      <w:r>
        <w:rPr/>
        <w:t>9</w:t>
      </w:r>
      <w:r>
        <w:rPr/>
        <w:t>月会议转述预计</w:t>
      </w:r>
      <w:r>
        <w:rPr/>
        <w:t>2029</w:t>
      </w:r>
      <w:r>
        <w:rPr/>
        <w:t>年顶线结果，试验及</w:t>
      </w:r>
      <w:r>
        <w:rPr/>
        <w:t>CMC</w:t>
      </w:r>
      <w:r>
        <w:rPr/>
        <w:t>总成本约</w:t>
      </w:r>
      <w:r>
        <w:rPr/>
        <w:t>2</w:t>
      </w:r>
      <w:r>
        <w:rPr/>
        <w:t>亿元人民币。这个日期和成本可作为研究参照，原始公司预算及全部监管安排未完整取得，不能标为确定合同开支。基准把中国商业首年设</w:t>
      </w:r>
      <w:r>
        <w:rPr/>
        <w:t>2030</w:t>
      </w:r>
      <w:r>
        <w:rPr/>
        <w:t>，乐观</w:t>
      </w:r>
      <w:r>
        <w:rPr/>
        <w:t>2029</w:t>
      </w:r>
      <w:r>
        <w:rPr/>
        <w:t>，悲观</w:t>
      </w:r>
      <w:r>
        <w:rPr/>
        <w:t>2032</w:t>
      </w:r>
      <w:r>
        <w:rPr/>
        <w:t>，反映读出、申报、审评、生产与准入时间差。若招募延迟一年或需补充试验，现金消耗和商业现值会同时恶化。成功率不能保持不变而只把上市日期往后挪。</w:t>
      </w:r>
    </w:p>
    <w:p>
      <w:pPr>
        <w:pStyle w:val="Normal"/>
        <w:rPr/>
      </w:pPr>
      <w:r>
        <w:rPr/>
        <w:t>美国口服</w:t>
      </w:r>
      <w:r>
        <w:rPr/>
        <w:t>IND</w:t>
      </w:r>
      <w:r>
        <w:rPr/>
        <w:t>在中报明确为公司因研发策略调整主动置为</w:t>
      </w:r>
      <w:r>
        <w:rPr/>
        <w:t>inactive</w:t>
      </w:r>
      <w:r>
        <w:rPr/>
        <w:t>。富瑞转述美国</w:t>
      </w:r>
      <w:r>
        <w:rPr/>
        <w:t>II</w:t>
      </w:r>
      <w:r>
        <w:rPr/>
        <w:t>期招募慢，二者均不足以证明已核监管临床</w:t>
      </w:r>
      <w:r>
        <w:rPr/>
        <w:t>hold</w:t>
      </w:r>
      <w:r>
        <w:rPr/>
        <w:t>或确切安全问题。未来海外授权仍需要合作方评估数据是否能支撑当地路径，可能需要新的</w:t>
      </w:r>
      <w:r>
        <w:rPr/>
        <w:t>IIb</w:t>
      </w:r>
      <w:r>
        <w:rPr/>
        <w:t>或</w:t>
      </w:r>
      <w:r>
        <w:rPr/>
        <w:t>III</w:t>
      </w:r>
      <w:r>
        <w:rPr/>
        <w:t>期。模型的境外口服权益成功率低于中国晚期项目，并延后商业时间，避免中国试验成功立即转换为全世界注册。潜在境外</w:t>
      </w:r>
      <w:r>
        <w:rPr/>
        <w:t>license</w:t>
      </w:r>
      <w:r>
        <w:rPr/>
        <w:t>首款和版税属于净权益，不与全自销额同时累计。</w:t>
      </w:r>
    </w:p>
    <w:p>
      <w:pPr>
        <w:pStyle w:val="Normal"/>
        <w:rPr/>
      </w:pPr>
      <w:r>
        <w:rPr/>
        <w:t>吸入</w:t>
      </w:r>
      <w:r>
        <w:rPr/>
        <w:t>Rentosertib</w:t>
      </w:r>
      <w:r>
        <w:rPr/>
        <w:t>于</w:t>
      </w:r>
      <w:r>
        <w:rPr/>
        <w:t>4</w:t>
      </w:r>
      <w:r>
        <w:rPr/>
        <w:t>月取得</w:t>
      </w:r>
      <w:r>
        <w:rPr/>
        <w:t>CDEIND</w:t>
      </w:r>
      <w:r>
        <w:rPr/>
        <w:t>，存在局部暴露和耐受性优化的探索价值。该剂型仍早期，不能用动物纤维化数据认定临床优势。吸入与口服覆盖可能重叠，二者不是两个完全独立的全球</w:t>
      </w:r>
      <w:r>
        <w:rPr/>
        <w:t>IPF</w:t>
      </w:r>
      <w:r>
        <w:rPr/>
        <w:t>市场。本模型把境外</w:t>
      </w:r>
      <w:r>
        <w:rPr/>
        <w:t>oral</w:t>
      </w:r>
      <w:r>
        <w:rPr/>
        <w:t>和吸入增量放在一个净经济组，已经扣同患者替代和不确定合作份额。后续若能证明不同患者群或联合使用，可修订市场拆分；在此之前，新增剂型名称不自动增加完整峰值销售。</w:t>
      </w:r>
    </w:p>
    <w:p>
      <w:pPr>
        <w:pStyle w:val="Heading2"/>
        <w:rPr/>
      </w:pPr>
      <w:r>
        <w:rPr>
          <w:color w:val="000000"/>
        </w:rPr>
        <w:t>六 其他自研临床资产的经济含义</w:t>
      </w:r>
    </w:p>
    <w:p>
      <w:pPr>
        <w:pStyle w:val="Normal"/>
        <w:rPr/>
      </w:pPr>
      <w:r>
        <w:rPr/>
        <w:t>Garutadustat</w:t>
      </w:r>
      <w:r>
        <w:rPr/>
        <w:t>即</w:t>
      </w:r>
      <w:r>
        <w:rPr/>
        <w:t>ISM5411</w:t>
      </w:r>
      <w:r>
        <w:rPr/>
        <w:t>，靶向</w:t>
      </w:r>
      <w:r>
        <w:rPr/>
        <w:t>PHD1/2</w:t>
      </w:r>
      <w:r>
        <w:rPr/>
        <w:t>、强调肠道限制暴露，用于炎症性肠病。局部机制可能在安全性和慢病耐受方面有优势，但</w:t>
      </w:r>
      <w:r>
        <w:rPr/>
        <w:t>UC</w:t>
      </w:r>
      <w:r>
        <w:rPr/>
        <w:t>与</w:t>
      </w:r>
      <w:r>
        <w:rPr/>
        <w:t>CD</w:t>
      </w:r>
      <w:r>
        <w:rPr/>
        <w:t>市场已有多类生物制剂和口服小分子。新产品需要证明症状、内镜、维持缓解与安全性，不能仅以健康受试者</w:t>
      </w:r>
      <w:r>
        <w:rPr/>
        <w:t>I</w:t>
      </w:r>
      <w:r>
        <w:rPr/>
        <w:t>期完成得出竞争优势。中国</w:t>
      </w:r>
      <w:r>
        <w:rPr/>
        <w:t>IIa</w:t>
      </w:r>
      <w:r>
        <w:rPr/>
        <w:t>已启动并首例给药，基准商业首年</w:t>
      </w:r>
      <w:r>
        <w:rPr/>
        <w:t>2033</w:t>
      </w:r>
      <w:r>
        <w:rPr/>
        <w:t>、成功率</w:t>
      </w:r>
      <w:r>
        <w:rPr/>
        <w:t>24%</w:t>
      </w:r>
      <w:r>
        <w:rPr/>
        <w:t>，净实现率</w:t>
      </w:r>
      <w:r>
        <w:rPr/>
        <w:t>42%</w:t>
      </w:r>
      <w:r>
        <w:rPr/>
        <w:t>是研究预算，涵盖可能合作和渠道成本，而非已披露授权条款。</w:t>
      </w:r>
    </w:p>
    <w:p>
      <w:pPr>
        <w:pStyle w:val="Normal"/>
        <w:rPr/>
      </w:pPr>
      <w:r>
        <w:rPr/>
        <w:t>IBD</w:t>
      </w:r>
      <w:r>
        <w:rPr/>
        <w:t>市场潜力受疗效、既往治疗失败人群、给药便利、医保与医生接受度共同影响。若只能在窄人群中改善早期指标，峰值销售会低于全面替代假设；若具有良好长期安全与组合治疗空间，授权价值可能提高。本研究把后续里程碑与净销售分开，同时保留</w:t>
      </w:r>
      <w:r>
        <w:rPr/>
        <w:t>II</w:t>
      </w:r>
      <w:r>
        <w:rPr/>
        <w:t>及</w:t>
      </w:r>
      <w:r>
        <w:rPr/>
        <w:t>III</w:t>
      </w:r>
      <w:r>
        <w:rPr/>
        <w:t>期完整临床费用。未来试验未达关键临床或内镜终点、剂量无法维持、全身暴露超预期，均应下调成功率和峰值，不能靠其他管线数量补偿。</w:t>
      </w:r>
    </w:p>
    <w:p>
      <w:pPr>
        <w:pStyle w:val="Normal"/>
        <w:rPr/>
      </w:pPr>
      <w:r>
        <w:rPr/>
        <w:t>ISM3412</w:t>
      </w:r>
      <w:r>
        <w:rPr/>
        <w:t>为</w:t>
      </w:r>
      <w:r>
        <w:rPr/>
        <w:t>MAT2A</w:t>
      </w:r>
      <w:r>
        <w:rPr/>
        <w:t>抑制剂，针对</w:t>
      </w:r>
      <w:r>
        <w:rPr/>
        <w:t>MTAP</w:t>
      </w:r>
      <w:r>
        <w:rPr/>
        <w:t>缺失癌症合成致死路径。全球</w:t>
      </w:r>
      <w:r>
        <w:rPr/>
        <w:t>I</w:t>
      </w:r>
      <w:r>
        <w:rPr/>
        <w:t>期首例给药已在</w:t>
      </w:r>
      <w:r>
        <w:rPr/>
        <w:t>2025</w:t>
      </w:r>
      <w:r>
        <w:rPr/>
        <w:t>年公告，截止日仍缺少成熟注册剂量、反应持续时间和对照数据。该领域具有机制吸引力，同时竞争者可能在选择患者、生物标记和联合方案方面领先。模型给基准</w:t>
      </w:r>
      <w:r>
        <w:rPr/>
        <w:t>2035</w:t>
      </w:r>
      <w:r>
        <w:rPr/>
        <w:t>商业首年、</w:t>
      </w:r>
      <w:r>
        <w:rPr/>
        <w:t>14%</w:t>
      </w:r>
      <w:r>
        <w:rPr/>
        <w:t>成功率，体现临床早期风险。治疗人群需要按肿瘤种类和检测率限制，不能把所有实体瘤都当作</w:t>
      </w:r>
      <w:r>
        <w:rPr/>
        <w:t>MAT2A</w:t>
      </w:r>
      <w:r>
        <w:rPr/>
        <w:t>有效适应症。</w:t>
      </w:r>
    </w:p>
    <w:p>
      <w:pPr>
        <w:pStyle w:val="Normal"/>
        <w:rPr/>
      </w:pPr>
      <w:r>
        <w:rPr/>
        <w:t>ISM6331</w:t>
      </w:r>
      <w:r>
        <w:rPr/>
        <w:t>为</w:t>
      </w:r>
      <w:r>
        <w:rPr/>
        <w:t>pan-TEAD</w:t>
      </w:r>
      <w:r>
        <w:rPr/>
        <w:t>抑制剂，开发间皮瘤及其他实体瘤。美国</w:t>
      </w:r>
      <w:r>
        <w:rPr/>
        <w:t>Fast Track</w:t>
      </w:r>
      <w:r>
        <w:rPr/>
        <w:t>和孤儿药资格已公告，可能改善监管沟通，但早期肿瘤药仍需确定治疗窗口。公司</w:t>
      </w:r>
      <w:r>
        <w:rPr/>
        <w:t>7</w:t>
      </w:r>
      <w:r>
        <w:rPr/>
        <w:t>月披露</w:t>
      </w:r>
      <w:r>
        <w:rPr/>
        <w:t>I</w:t>
      </w:r>
      <w:r>
        <w:rPr/>
        <w:t>期资料被接受于</w:t>
      </w:r>
      <w:r>
        <w:rPr/>
        <w:t>ESMO2026</w:t>
      </w:r>
      <w:r>
        <w:rPr/>
        <w:t>快速口头报告，正式大会在截止日之后，不能把尚未公开的会议结果写为已证实</w:t>
      </w:r>
      <w:r>
        <w:rPr/>
        <w:t>ORR</w:t>
      </w:r>
      <w:r>
        <w:rPr/>
        <w:t>。这里给予的</w:t>
      </w:r>
      <w:r>
        <w:rPr/>
        <w:t>17%</w:t>
      </w:r>
      <w:r>
        <w:rPr/>
        <w:t>基准成功率和</w:t>
      </w:r>
      <w:r>
        <w:rPr/>
        <w:t>2034</w:t>
      </w:r>
      <w:r>
        <w:rPr/>
        <w:t>首商业年是研究判断，依据机制与进度，未借用未知会议数据提高疗效预期。</w:t>
      </w:r>
    </w:p>
    <w:p>
      <w:pPr>
        <w:pStyle w:val="Normal"/>
        <w:rPr/>
      </w:pPr>
      <w:r>
        <w:rPr/>
        <w:t>TEAD</w:t>
      </w:r>
      <w:r>
        <w:rPr/>
        <w:t>的上市价值取决于可持续反应、安全性与患者选择。若需要联合已有药物，净收入分配、额外试验成本及监管时间会改变。间皮瘤需求明显，但市场规模有限，扩大至其他肿瘤要有各自证据。模型峰值组合为</w:t>
      </w:r>
      <w:r>
        <w:rPr/>
        <w:t>15</w:t>
      </w:r>
      <w:r>
        <w:rPr/>
        <w:t>亿美元</w:t>
      </w:r>
      <w:r>
        <w:rPr/>
        <w:t>global gross</w:t>
      </w:r>
      <w:r>
        <w:rPr/>
        <w:t>，净实现率</w:t>
      </w:r>
      <w:r>
        <w:rPr/>
        <w:t>45%</w:t>
      </w:r>
      <w:r>
        <w:rPr/>
        <w:t>，并乘</w:t>
      </w:r>
      <w:r>
        <w:rPr/>
        <w:t>17%</w:t>
      </w:r>
      <w:r>
        <w:rPr/>
        <w:t>阶段风险，而非公司将获得</w:t>
      </w:r>
      <w:r>
        <w:rPr/>
        <w:t>15</w:t>
      </w:r>
      <w:r>
        <w:rPr/>
        <w:t>亿美元收入。下一次评估应追踪安全性、剂量限制、评价人数、确认反应、持续时间和既往治疗构成，避免把个别最佳反应当全试验结论。</w:t>
      </w:r>
    </w:p>
    <w:p>
      <w:pPr>
        <w:pStyle w:val="Normal"/>
        <w:rPr/>
      </w:pPr>
      <w:r>
        <w:rPr/>
        <w:t>ISM8969</w:t>
      </w:r>
      <w:r>
        <w:rPr/>
        <w:t>为脑穿透</w:t>
      </w:r>
      <w:r>
        <w:rPr/>
        <w:t>NLRP3</w:t>
      </w:r>
      <w:r>
        <w:rPr/>
        <w:t>抑制剂，与</w:t>
      </w:r>
      <w:r>
        <w:rPr/>
        <w:t>Hygtia</w:t>
      </w:r>
      <w:r>
        <w:rPr/>
        <w:t>全球共同开发、双方各</w:t>
      </w:r>
      <w:r>
        <w:rPr/>
        <w:t>50%</w:t>
      </w:r>
      <w:r>
        <w:rPr/>
        <w:t>经济权益。澳大利亚</w:t>
      </w:r>
      <w:r>
        <w:rPr/>
        <w:t>I</w:t>
      </w:r>
      <w:r>
        <w:rPr/>
        <w:t>期首剂、中国与美国</w:t>
      </w:r>
      <w:r>
        <w:rPr/>
        <w:t>IND</w:t>
      </w:r>
      <w:r>
        <w:rPr/>
        <w:t>进度有原始披露，但神经炎症疾病的有效性可能远晚于</w:t>
      </w:r>
      <w:r>
        <w:rPr/>
        <w:t>I</w:t>
      </w:r>
      <w:r>
        <w:rPr/>
        <w:t>期安全性。帕金森等疾病异质性、随访和生物标记增加开发难度。模型对全球</w:t>
      </w:r>
      <w:r>
        <w:rPr/>
        <w:t>gross</w:t>
      </w:r>
      <w:r>
        <w:rPr/>
        <w:t>销售先乘净实现率，再乘</w:t>
      </w:r>
      <w:r>
        <w:rPr/>
        <w:t>50%</w:t>
      </w:r>
      <w:r>
        <w:rPr/>
        <w:t>权益与阶段成功率，避免完整</w:t>
      </w:r>
      <w:r>
        <w:rPr/>
        <w:t>global</w:t>
      </w:r>
      <w:r>
        <w:rPr/>
        <w:t>药值全部归英矽。已收首款、未来里程碑和共同研发费用也各有归属，不能重复加总。</w:t>
      </w:r>
    </w:p>
    <w:p>
      <w:pPr>
        <w:pStyle w:val="Normal"/>
        <w:rPr/>
      </w:pPr>
      <w:r>
        <w:rPr/>
        <w:t>现有未授权早期</w:t>
      </w:r>
      <w:r>
        <w:rPr/>
        <w:t>PCC</w:t>
      </w:r>
      <w:r>
        <w:rPr/>
        <w:t>包含</w:t>
      </w:r>
      <w:r>
        <w:rPr/>
        <w:t>pan-KRAS</w:t>
      </w:r>
      <w:r>
        <w:rPr/>
        <w:t>、</w:t>
      </w:r>
      <w:r>
        <w:rPr/>
        <w:t>PRMT5</w:t>
      </w:r>
      <w:r>
        <w:rPr/>
        <w:t>、外周</w:t>
      </w:r>
      <w:r>
        <w:rPr/>
        <w:t>NLRP3</w:t>
      </w:r>
      <w:r>
        <w:rPr/>
        <w:t>、</w:t>
      </w:r>
      <w:r>
        <w:rPr/>
        <w:t>NR3C1</w:t>
      </w:r>
      <w:r>
        <w:rPr/>
        <w:t>、眼科、疼痛及</w:t>
      </w:r>
      <w:r>
        <w:rPr/>
        <w:t>Lp(a)</w:t>
      </w:r>
      <w:r>
        <w:rPr/>
        <w:t>等方向。未知</w:t>
      </w:r>
      <w:r>
        <w:rPr/>
        <w:t>Target Y</w:t>
      </w:r>
      <w:r>
        <w:rPr/>
        <w:t>和</w:t>
      </w:r>
      <w:r>
        <w:rPr/>
        <w:t>Z</w:t>
      </w:r>
      <w:r>
        <w:rPr/>
        <w:t>的名称不足以测算完整适应症，</w:t>
      </w:r>
      <w:r>
        <w:rPr/>
        <w:t>GIPR</w:t>
      </w:r>
      <w:r>
        <w:rPr/>
        <w:t>候选进入</w:t>
      </w:r>
      <w:r>
        <w:rPr/>
        <w:t>PCC</w:t>
      </w:r>
      <w:r>
        <w:rPr/>
        <w:t>也不是</w:t>
      </w:r>
      <w:r>
        <w:rPr/>
        <w:t>GLP-1</w:t>
      </w:r>
      <w:r>
        <w:rPr/>
        <w:t>商业批准。本研究仅给有限保留资产组合，基准</w:t>
      </w:r>
      <w:r>
        <w:rPr/>
        <w:t>2038</w:t>
      </w:r>
      <w:r>
        <w:rPr/>
        <w:t>首商业年、</w:t>
      </w:r>
      <w:r>
        <w:rPr/>
        <w:t>7%</w:t>
      </w:r>
      <w:r>
        <w:rPr/>
        <w:t>成功率、</w:t>
      </w:r>
      <w:r>
        <w:rPr/>
        <w:t>27%</w:t>
      </w:r>
      <w:r>
        <w:rPr/>
        <w:t>净实现率，已经把多种商业路径合并。早期组合临床费用按预算存在，未来授权取得时需从保留权益中移除相应份额再增加净收款，不能一边出售一边保持完整所有权。</w:t>
      </w:r>
    </w:p>
    <w:p>
      <w:pPr>
        <w:pStyle w:val="Heading2"/>
        <w:rPr/>
      </w:pPr>
      <w:r>
        <w:rPr>
          <w:color w:val="000000"/>
        </w:rPr>
        <w:t>七 许可资产与合作合同的去重</w:t>
      </w:r>
    </w:p>
    <w:p>
      <w:pPr>
        <w:pStyle w:val="Normal"/>
        <w:rPr/>
      </w:pPr>
      <w:r>
        <w:rPr/>
        <w:t>Exelixis</w:t>
      </w:r>
      <w:r>
        <w:rPr/>
        <w:t>获得</w:t>
      </w:r>
      <w:r>
        <w:rPr/>
        <w:t>ISM3091</w:t>
      </w:r>
      <w:r>
        <w:rPr/>
        <w:t>及相关</w:t>
      </w:r>
      <w:r>
        <w:rPr/>
        <w:t>USP1</w:t>
      </w:r>
      <w:r>
        <w:rPr/>
        <w:t>化合物全球独家许可。原招股书披露版税在中个位数至低十几百分比，并记录历史首款和首个里程碑。那证明英矽可以输出有经济价值的资产，同时意味着后续</w:t>
      </w:r>
      <w:r>
        <w:rPr/>
        <w:t>global</w:t>
      </w:r>
      <w:r>
        <w:rPr/>
        <w:t>产品销售主要归合作方。模型把</w:t>
      </w:r>
      <w:r>
        <w:rPr/>
        <w:t>ISM3091</w:t>
      </w:r>
      <w:r>
        <w:rPr/>
        <w:t>、</w:t>
      </w:r>
      <w:r>
        <w:rPr/>
        <w:t>KAT6</w:t>
      </w:r>
      <w:r>
        <w:rPr/>
        <w:t>、</w:t>
      </w:r>
      <w:r>
        <w:rPr/>
        <w:t>KIF18A</w:t>
      </w:r>
      <w:r>
        <w:rPr/>
        <w:t>、</w:t>
      </w:r>
      <w:r>
        <w:rPr/>
        <w:t>QPCTL</w:t>
      </w:r>
      <w:r>
        <w:rPr/>
        <w:t>和</w:t>
      </w:r>
      <w:r>
        <w:rPr/>
        <w:t>ENPP1</w:t>
      </w:r>
      <w:r>
        <w:rPr/>
        <w:t>放在已许可净版税组合，</w:t>
      </w:r>
      <w:r>
        <w:rPr/>
        <w:t>gross</w:t>
      </w:r>
      <w:r>
        <w:rPr/>
        <w:t>峰值合计再乘研究净率和成功率。历史收到的钱已在现金或历史收入，不重新作为未来资产价值加入。</w:t>
      </w:r>
    </w:p>
    <w:p>
      <w:pPr>
        <w:pStyle w:val="Normal"/>
        <w:rPr/>
      </w:pPr>
      <w:r>
        <w:rPr/>
        <w:t>Stemline</w:t>
      </w:r>
      <w:r>
        <w:rPr/>
        <w:t>获得</w:t>
      </w:r>
      <w:r>
        <w:rPr/>
        <w:t>KAT6</w:t>
      </w:r>
      <w:r>
        <w:rPr/>
        <w:t>相关全球许可，招股书记载</w:t>
      </w:r>
      <w:r>
        <w:rPr/>
        <w:t>1200</w:t>
      </w:r>
      <w:r>
        <w:rPr/>
        <w:t>万美元首款与分阶段研发义务，版税中个位数至低双位数。</w:t>
      </w:r>
      <w:r>
        <w:rPr/>
        <w:t>ISM9682</w:t>
      </w:r>
      <w:r>
        <w:rPr/>
        <w:t>达到首次人体相关里程碑，公司</w:t>
      </w:r>
      <w:r>
        <w:rPr/>
        <w:t>2026</w:t>
      </w:r>
      <w:r>
        <w:rPr/>
        <w:t>年</w:t>
      </w:r>
      <w:r>
        <w:rPr/>
        <w:t>2</w:t>
      </w:r>
      <w:r>
        <w:rPr/>
        <w:t>月公告收取</w:t>
      </w:r>
      <w:r>
        <w:rPr/>
        <w:t>3900</w:t>
      </w:r>
      <w:r>
        <w:rPr/>
        <w:t>万港元。首次人体里程碑属于现金与合作验证，不代表药物已售。不同靶点临床失败相关性和开发节奏不能完全独立，本研究采用有限组合以避免早期数量产生虚假精确性，后续能取得各项目成熟数据时再拆更细资产。</w:t>
      </w:r>
    </w:p>
    <w:p>
      <w:pPr>
        <w:pStyle w:val="Normal"/>
        <w:rPr/>
      </w:pPr>
      <w:r>
        <w:rPr/>
        <w:t>Lilly3</w:t>
      </w:r>
      <w:r>
        <w:rPr/>
        <w:t>月合作</w:t>
      </w:r>
      <w:r>
        <w:rPr/>
        <w:t>11500</w:t>
      </w:r>
      <w:r>
        <w:rPr/>
        <w:t>万美元首付款，最高潜在总金额约</w:t>
      </w:r>
      <w:r>
        <w:rPr/>
        <w:t>27.5</w:t>
      </w:r>
      <w:r>
        <w:rPr/>
        <w:t>亿美元，另有分层未来销售版税。上半年</w:t>
      </w:r>
      <w:r>
        <w:rPr/>
        <w:t>1.031</w:t>
      </w:r>
      <w:r>
        <w:rPr/>
        <w:t>亿美元发现与管线收入的增长主要来自该类交易。潜在总价包含未来开发、监管和商业条件，不能直接当固定应收、现金或现值。</w:t>
      </w:r>
      <w:r>
        <w:rPr/>
        <w:t>H1</w:t>
      </w:r>
      <w:r>
        <w:rPr/>
        <w:t>收款和已确认收入之间存在履约递延，模型只以实际</w:t>
      </w:r>
      <w:r>
        <w:rPr/>
        <w:t>H1</w:t>
      </w:r>
      <w:r>
        <w:rPr/>
        <w:t>现金锚起步，后续</w:t>
      </w:r>
      <w:r>
        <w:rPr/>
        <w:t>SignedNear</w:t>
      </w:r>
      <w:r>
        <w:rPr/>
        <w:t>预算处理剩余近端履约，绝不在</w:t>
      </w:r>
      <w:r>
        <w:rPr/>
        <w:t>H2</w:t>
      </w:r>
      <w:r>
        <w:rPr/>
        <w:t>再次放入完整</w:t>
      </w:r>
      <w:r>
        <w:rPr/>
        <w:t>11500</w:t>
      </w:r>
      <w:r>
        <w:rPr/>
        <w:t>万美元。</w:t>
      </w:r>
    </w:p>
    <w:p>
      <w:pPr>
        <w:pStyle w:val="Normal"/>
        <w:rPr/>
      </w:pPr>
      <w:r>
        <w:rPr/>
        <w:t>Servier1</w:t>
      </w:r>
      <w:r>
        <w:rPr/>
        <w:t>月合作最高</w:t>
      </w:r>
      <w:r>
        <w:rPr/>
        <w:t>8.88</w:t>
      </w:r>
      <w:r>
        <w:rPr/>
        <w:t>亿美元，首款和近端研发付款合计上限</w:t>
      </w:r>
      <w:r>
        <w:rPr/>
        <w:t>3200</w:t>
      </w:r>
      <w:r>
        <w:rPr/>
        <w:t>万美元，合作方分担研发并承担后续临床和商业化。</w:t>
      </w:r>
      <w:r>
        <w:rPr/>
        <w:t>SK6</w:t>
      </w:r>
      <w:r>
        <w:rPr/>
        <w:t>月合作首款与近端</w:t>
      </w:r>
      <w:r>
        <w:rPr/>
        <w:t>milestone</w:t>
      </w:r>
      <w:r>
        <w:rPr/>
        <w:t>合计上限</w:t>
      </w:r>
      <w:r>
        <w:rPr/>
        <w:t>1800</w:t>
      </w:r>
      <w:r>
        <w:rPr/>
        <w:t>万美元，最高潜在</w:t>
      </w:r>
      <w:r>
        <w:rPr/>
        <w:t>25</w:t>
      </w:r>
      <w:r>
        <w:rPr/>
        <w:t>亿美元，未来版税个位数。</w:t>
      </w:r>
      <w:r>
        <w:rPr/>
        <w:t>Takeda7</w:t>
      </w:r>
      <w:r>
        <w:rPr/>
        <w:t>月合作启动、近端付款和里程碑合计约</w:t>
      </w:r>
      <w:r>
        <w:rPr/>
        <w:t>6000</w:t>
      </w:r>
      <w:r>
        <w:rPr/>
        <w:t>万美元，最高总金额约</w:t>
      </w:r>
      <w:r>
        <w:rPr/>
        <w:t>6</w:t>
      </w:r>
      <w:r>
        <w:rPr/>
        <w:t>亿美元，取得选定疗法全球独占权。这三个“近端”数并非都在公告时确定已付，模型按三情景给履约和收款预算，不能相加全额成为当期现金。</w:t>
      </w:r>
    </w:p>
    <w:p>
      <w:pPr>
        <w:pStyle w:val="Normal"/>
        <w:rPr/>
      </w:pPr>
      <w:r>
        <w:rPr/>
        <w:t>Qilu</w:t>
      </w:r>
      <w:r>
        <w:rPr/>
        <w:t>、</w:t>
      </w:r>
      <w:r>
        <w:rPr/>
        <w:t>CMS</w:t>
      </w:r>
      <w:r>
        <w:rPr/>
        <w:t>和</w:t>
      </w:r>
      <w:r>
        <w:rPr/>
        <w:t>Tenacia</w:t>
      </w:r>
      <w:r>
        <w:rPr/>
        <w:t>涉及心脏代谢、</w:t>
      </w:r>
      <w:r>
        <w:rPr/>
        <w:t>CNS</w:t>
      </w:r>
      <w:r>
        <w:rPr/>
        <w:t>、自身免疫等多个发现合作。公告总价或最高合作价值可证明业务范围扩张，但净收费、</w:t>
      </w:r>
      <w:r>
        <w:rPr/>
        <w:t>IP</w:t>
      </w:r>
      <w:r>
        <w:rPr/>
        <w:t>比例和付款条件未全部公开。</w:t>
      </w:r>
      <w:r>
        <w:rPr/>
        <w:t>Taigen</w:t>
      </w:r>
      <w:r>
        <w:rPr/>
        <w:t>对</w:t>
      </w:r>
      <w:r>
        <w:rPr/>
        <w:t>ISM4808</w:t>
      </w:r>
      <w:r>
        <w:rPr/>
        <w:t>获得大中华独占，英矽保留境外，</w:t>
      </w:r>
      <w:r>
        <w:rPr/>
        <w:t>Nav1.8</w:t>
      </w:r>
      <w:r>
        <w:rPr/>
        <w:t>亦有地域授权关系。不同地域权利应从全球资产中拆除或按净组处理。未知净比率的项目使用明确研究假设，证据可信度为中，不能通过“合作伙伴知名”直接把净经济假设提升到高可信。</w:t>
      </w:r>
    </w:p>
    <w:p>
      <w:pPr>
        <w:pStyle w:val="Normal"/>
        <w:rPr/>
      </w:pPr>
      <w:r>
        <w:rPr/>
        <w:t>九药物组中的</w:t>
      </w:r>
      <w:r>
        <w:rPr/>
        <w:t>PartnerNew</w:t>
      </w:r>
      <w:r>
        <w:rPr/>
        <w:t>只包含已签发现合作未来的条件里程碑和净版税，</w:t>
      </w:r>
      <w:r>
        <w:rPr/>
        <w:t>SignedNear</w:t>
      </w:r>
      <w:r>
        <w:rPr/>
        <w:t>记录其近端预算。</w:t>
      </w:r>
      <w:r>
        <w:rPr/>
        <w:t>NewDeals</w:t>
      </w:r>
      <w:r>
        <w:rPr/>
        <w:t>则代表截止后尚未签约的新项目平均交易预算，并假定较早出售</w:t>
      </w:r>
      <w:r>
        <w:rPr/>
        <w:t>IP</w:t>
      </w:r>
      <w:r>
        <w:rPr/>
        <w:t>且不另留完整药物价值。这三项是相互排除的经济路径。未来公司披露一项新大交易时，应更新确切项目池、移除被售保留权益、替换新交易概率收入，并核实现金和递延，不能直接在所有预算之上加一个</w:t>
      </w:r>
      <w:r>
        <w:rPr/>
        <w:t>headline</w:t>
      </w:r>
      <w:r>
        <w:rPr/>
        <w:t>总值。</w:t>
      </w:r>
    </w:p>
    <w:p>
      <w:pPr>
        <w:pStyle w:val="Heading2"/>
        <w:rPr/>
      </w:pPr>
      <w:r>
        <w:rPr>
          <w:color w:val="000000"/>
        </w:rPr>
        <w:t>八 财务表现 利润质量与现金结构</w:t>
      </w:r>
    </w:p>
    <w:p>
      <w:pPr>
        <w:pStyle w:val="Normal"/>
        <w:rPr/>
      </w:pPr>
      <w:r>
        <w:rPr/>
        <w:t>公司</w:t>
      </w:r>
      <w:r>
        <w:rPr/>
        <w:t>2022</w:t>
      </w:r>
      <w:r>
        <w:rPr/>
        <w:t>至</w:t>
      </w:r>
      <w:r>
        <w:rPr/>
        <w:t>2025</w:t>
      </w:r>
      <w:r>
        <w:rPr/>
        <w:t>年收入分别</w:t>
      </w:r>
      <w:r>
        <w:rPr/>
        <w:t>3014.7</w:t>
      </w:r>
      <w:r>
        <w:rPr/>
        <w:t>万、</w:t>
      </w:r>
      <w:r>
        <w:rPr/>
        <w:t>5118.0</w:t>
      </w:r>
      <w:r>
        <w:rPr/>
        <w:t>万、</w:t>
      </w:r>
      <w:r>
        <w:rPr/>
        <w:t>8583.4</w:t>
      </w:r>
      <w:r>
        <w:rPr/>
        <w:t>万、</w:t>
      </w:r>
      <w:r>
        <w:rPr/>
        <w:t>5623.9</w:t>
      </w:r>
      <w:r>
        <w:rPr/>
        <w:t>万美元，</w:t>
      </w:r>
      <w:r>
        <w:rPr/>
        <w:t>2025</w:t>
      </w:r>
      <w:r>
        <w:rPr/>
        <w:t>下降</w:t>
      </w:r>
      <w:r>
        <w:rPr/>
        <w:t>34.5%</w:t>
      </w:r>
      <w:r>
        <w:rPr/>
        <w:t>。高毛利授权收入随签约和履约阶段大幅波动，较低收入年份并不自动证明平台失效，较高年份也不证明稳定盈利。</w:t>
      </w:r>
      <w:r>
        <w:rPr/>
        <w:t>2025</w:t>
      </w:r>
      <w:r>
        <w:rPr/>
        <w:t>研发</w:t>
      </w:r>
      <w:r>
        <w:rPr/>
        <w:t>8137.9</w:t>
      </w:r>
      <w:r>
        <w:rPr/>
        <w:t>万美元，仍高于总收入，经营现金流负</w:t>
      </w:r>
      <w:r>
        <w:rPr/>
        <w:t>7676.6</w:t>
      </w:r>
      <w:r>
        <w:rPr/>
        <w:t>万美元。</w:t>
      </w:r>
      <w:r>
        <w:rPr/>
        <w:t>2024</w:t>
      </w:r>
      <w:r>
        <w:rPr/>
        <w:t>经营现金流负</w:t>
      </w:r>
      <w:r>
        <w:rPr/>
        <w:t>5740.1</w:t>
      </w:r>
      <w:r>
        <w:rPr/>
        <w:t>万美元，说明现金消耗持续，不能只用会计净亏损判断资金跑道。</w:t>
      </w:r>
    </w:p>
    <w:p>
      <w:pPr>
        <w:pStyle w:val="Normal"/>
        <w:rPr/>
      </w:pPr>
      <w:r>
        <w:rPr/>
        <w:t>2025</w:t>
      </w:r>
      <w:r>
        <w:rPr/>
        <w:t>净亏损</w:t>
      </w:r>
      <w:r>
        <w:rPr/>
        <w:t>3.52316</w:t>
      </w:r>
      <w:r>
        <w:rPr/>
        <w:t>亿美元，其中优先股公允价值损失</w:t>
      </w:r>
      <w:r>
        <w:rPr/>
        <w:t>2.96701</w:t>
      </w:r>
      <w:r>
        <w:rPr/>
        <w:t>亿美元为主要非现金项，</w:t>
      </w:r>
      <w:r>
        <w:rPr/>
        <w:t>IPO</w:t>
      </w:r>
      <w:r>
        <w:rPr/>
        <w:t>时优先股转换为普通股。研究不能把这部分非现金重估认作每年现金研发支出，也不能因此忽略真实经营亏损。经调整亏损</w:t>
      </w:r>
      <w:r>
        <w:rPr/>
        <w:t>4383.4</w:t>
      </w:r>
      <w:r>
        <w:rPr/>
        <w:t>万美元，加回股权薪酬和上市费用，但这是补充财务指标，不是股东可拿走的现金。</w:t>
      </w:r>
      <w:r>
        <w:rPr/>
        <w:t>2024</w:t>
      </w:r>
      <w:r>
        <w:rPr/>
        <w:t>相应调整亏损</w:t>
      </w:r>
      <w:r>
        <w:rPr/>
        <w:t>2266.5</w:t>
      </w:r>
      <w:r>
        <w:rPr/>
        <w:t>万美元，</w:t>
      </w:r>
      <w:r>
        <w:rPr/>
        <w:t>2025</w:t>
      </w:r>
      <w:r>
        <w:rPr/>
        <w:t>经营表现并未因会计结构改善而自动变强。</w:t>
      </w:r>
    </w:p>
    <w:p>
      <w:pPr>
        <w:pStyle w:val="Normal"/>
        <w:rPr/>
      </w:pPr>
      <w:r>
        <w:rPr/>
        <w:t>2026</w:t>
      </w:r>
      <w:r>
        <w:rPr/>
        <w:t>上半年收入</w:t>
      </w:r>
      <w:r>
        <w:rPr/>
        <w:t>1.06303</w:t>
      </w:r>
      <w:r>
        <w:rPr/>
        <w:t>亿美元、毛利</w:t>
      </w:r>
      <w:r>
        <w:rPr/>
        <w:t>9596.5</w:t>
      </w:r>
      <w:r>
        <w:rPr/>
        <w:t>万美元，毛利率约</w:t>
      </w:r>
      <w:r>
        <w:rPr/>
        <w:t>90.3%</w:t>
      </w:r>
      <w:r>
        <w:rPr/>
        <w:t>，归母利润</w:t>
      </w:r>
      <w:r>
        <w:rPr/>
        <w:t>3553.7</w:t>
      </w:r>
      <w:r>
        <w:rPr/>
        <w:t>万美元，调整利润</w:t>
      </w:r>
      <w:r>
        <w:rPr/>
        <w:t>5122.7</w:t>
      </w:r>
      <w:r>
        <w:rPr/>
        <w:t>万美元。研发</w:t>
      </w:r>
      <w:r>
        <w:rPr/>
        <w:t>4932.8</w:t>
      </w:r>
      <w:r>
        <w:rPr/>
        <w:t>万美元、销售</w:t>
      </w:r>
      <w:r>
        <w:rPr/>
        <w:t>636.5</w:t>
      </w:r>
      <w:r>
        <w:rPr/>
        <w:t>万美元、行政</w:t>
      </w:r>
      <w:r>
        <w:rPr/>
        <w:t>1257.7</w:t>
      </w:r>
      <w:r>
        <w:rPr/>
        <w:t>万美元，其他收入</w:t>
      </w:r>
      <w:r>
        <w:rPr/>
        <w:t>886.2</w:t>
      </w:r>
      <w:r>
        <w:rPr/>
        <w:t>万美元中银行利息</w:t>
      </w:r>
      <w:r>
        <w:rPr/>
        <w:t>778.1</w:t>
      </w:r>
      <w:r>
        <w:rPr/>
        <w:t>万美元。利润转正的重要来源是高毛利交易和利息，不是处方药组合稳定商业销售。完整分析应把未来交易间断、研发扩张和利率下降同时纳入，避免以上半年盈利乘二再套成熟药企</w:t>
      </w:r>
      <w:r>
        <w:rPr/>
        <w:t>PE</w:t>
      </w:r>
      <w:r>
        <w:rPr/>
        <w:t>。</w:t>
      </w:r>
    </w:p>
    <w:p>
      <w:pPr>
        <w:pStyle w:val="Normal"/>
        <w:rPr/>
      </w:pPr>
      <w:r>
        <w:rPr/>
        <w:t>H1</w:t>
      </w:r>
      <w:r>
        <w:rPr/>
        <w:t>股权薪酬总</w:t>
      </w:r>
      <w:r>
        <w:rPr/>
        <w:t>1569</w:t>
      </w:r>
      <w:r>
        <w:rPr/>
        <w:t>万美元，费用明细销售</w:t>
      </w:r>
      <w:r>
        <w:rPr/>
        <w:t>227</w:t>
      </w:r>
      <w:r>
        <w:rPr/>
        <w:t>万、研发</w:t>
      </w:r>
      <w:r>
        <w:rPr/>
        <w:t>845.3</w:t>
      </w:r>
      <w:r>
        <w:rPr/>
        <w:t>万、行政</w:t>
      </w:r>
      <w:r>
        <w:rPr/>
        <w:t>496.7</w:t>
      </w:r>
      <w:r>
        <w:rPr/>
        <w:t>万相加可核。某附注“其他员工”</w:t>
      </w:r>
      <w:r>
        <w:rPr/>
        <w:t>1427.3</w:t>
      </w:r>
      <w:r>
        <w:rPr/>
        <w:t>万美元未含全部董事部分，不能用它替代集团总股权薪酬。现金模型将</w:t>
      </w:r>
      <w:r>
        <w:rPr/>
        <w:t>SBC</w:t>
      </w:r>
      <w:r>
        <w:rPr/>
        <w:t>加回，与未来已授和新授股份稀释配对，持续员工激励不是没有成本。若实际激励费用和股份更高，则每股药物价值会下降，即使损益调整利润看起来更高。发行股数和股票报酬应形成一套互相核对的记录。</w:t>
      </w:r>
    </w:p>
    <w:p>
      <w:pPr>
        <w:pStyle w:val="Normal"/>
        <w:rPr/>
      </w:pPr>
      <w:r>
        <w:rPr/>
        <w:t>六月现金</w:t>
      </w:r>
      <w:r>
        <w:rPr/>
        <w:t>3.57617</w:t>
      </w:r>
      <w:r>
        <w:rPr/>
        <w:t>亿美元，三个月以上定存</w:t>
      </w:r>
      <w:r>
        <w:rPr/>
        <w:t>1.0895</w:t>
      </w:r>
      <w:r>
        <w:rPr/>
        <w:t>亿美元，货币基金</w:t>
      </w:r>
      <w:r>
        <w:rPr/>
        <w:t>1.08338</w:t>
      </w:r>
      <w:r>
        <w:rPr/>
        <w:t>亿美元，另有当期上市股</w:t>
      </w:r>
      <w:r>
        <w:rPr/>
        <w:t>991.3</w:t>
      </w:r>
      <w:r>
        <w:rPr/>
        <w:t>万美元、非当期上市股</w:t>
      </w:r>
      <w:r>
        <w:rPr/>
        <w:t>69.3</w:t>
      </w:r>
      <w:r>
        <w:rPr/>
        <w:t>万美元和未上市股</w:t>
      </w:r>
      <w:r>
        <w:rPr/>
        <w:t>440.4</w:t>
      </w:r>
      <w:r>
        <w:rPr/>
        <w:t>万美元。公司宣传现金及短投</w:t>
      </w:r>
      <w:r>
        <w:rPr/>
        <w:t>5.84818</w:t>
      </w:r>
      <w:r>
        <w:rPr/>
        <w:t>亿美元包含当期股权投资，不能全部视为保本、随时可用的现金。研究资金桥分现金、定存和</w:t>
      </w:r>
      <w:r>
        <w:rPr/>
        <w:t>MMF</w:t>
      </w:r>
      <w:r>
        <w:rPr/>
        <w:t>，金融股权</w:t>
      </w:r>
      <w:r>
        <w:rPr/>
        <w:t>1501</w:t>
      </w:r>
      <w:r>
        <w:rPr/>
        <w:t>万美元仅按终末折价回收，不把它当确定研发支付来源。</w:t>
      </w:r>
      <w:r>
        <w:rPr/>
        <w:t>MMF</w:t>
      </w:r>
      <w:r>
        <w:rPr/>
        <w:t>可短期赎回仍有净值风险，定存提前动用也可能损失利息。</w:t>
      </w:r>
    </w:p>
    <w:p>
      <w:pPr>
        <w:pStyle w:val="Normal"/>
        <w:rPr/>
      </w:pPr>
      <w:r>
        <w:rPr/>
        <w:t>六月银行本金</w:t>
      </w:r>
      <w:r>
        <w:rPr/>
        <w:t>1468.2</w:t>
      </w:r>
      <w:r>
        <w:rPr/>
        <w:t>万美元、租赁负债</w:t>
      </w:r>
      <w:r>
        <w:rPr/>
        <w:t>497.4</w:t>
      </w:r>
      <w:r>
        <w:rPr/>
        <w:t>万美元，应收净</w:t>
      </w:r>
      <w:r>
        <w:rPr/>
        <w:t>446.6</w:t>
      </w:r>
      <w:r>
        <w:rPr/>
        <w:t>万美元，合同负债</w:t>
      </w:r>
      <w:r>
        <w:rPr/>
        <w:t>2918.4</w:t>
      </w:r>
      <w:r>
        <w:rPr/>
        <w:t>万美元。合同负债代表已收款但未完成服务，不能再当未来可收现金。营运资金预算必须包含后续收入确认和履约支出，否则首付款先增加现金，收入随后确认时又增加一次现金。模型通过全年经济现金预算减</w:t>
      </w:r>
      <w:r>
        <w:rPr/>
        <w:t>H1</w:t>
      </w:r>
      <w:r>
        <w:rPr/>
        <w:t>实际经济现金</w:t>
      </w:r>
      <w:r>
        <w:rPr/>
        <w:t>8552.5</w:t>
      </w:r>
      <w:r>
        <w:rPr/>
        <w:t>万美元，避免把上半年交易收款再计入后半年，</w:t>
      </w:r>
      <w:r>
        <w:rPr/>
        <w:t>NWC</w:t>
      </w:r>
      <w:r>
        <w:rPr/>
        <w:t>单列作为未来递延和回款时间差研究。</w:t>
      </w:r>
    </w:p>
    <w:p>
      <w:pPr>
        <w:pStyle w:val="Normal"/>
        <w:rPr/>
      </w:pPr>
      <w:r>
        <w:rPr/>
        <w:t>H1</w:t>
      </w:r>
      <w:r>
        <w:rPr/>
        <w:t>经营现金流</w:t>
      </w:r>
      <w:r>
        <w:rPr/>
        <w:t>7898.5</w:t>
      </w:r>
      <w:r>
        <w:rPr/>
        <w:t>万美元，另有投资分类银行利息现金</w:t>
      </w:r>
      <w:r>
        <w:rPr/>
        <w:t>575.2</w:t>
      </w:r>
      <w:r>
        <w:rPr/>
        <w:t>万美元、</w:t>
      </w:r>
      <w:r>
        <w:rPr/>
        <w:t>MMF</w:t>
      </w:r>
      <w:r>
        <w:rPr/>
        <w:t>收益</w:t>
      </w:r>
      <w:r>
        <w:rPr/>
        <w:t>68.4</w:t>
      </w:r>
      <w:r>
        <w:rPr/>
        <w:t>万美元，融资分类支付利息</w:t>
      </w:r>
      <w:r>
        <w:rPr/>
        <w:t>16.6</w:t>
      </w:r>
      <w:r>
        <w:rPr/>
        <w:t>万美元，形成经济现金</w:t>
      </w:r>
      <w:r>
        <w:rPr/>
        <w:t>8552.5</w:t>
      </w:r>
      <w:r>
        <w:rPr/>
        <w:t>万美元。全年预算扣这一已发生额，使用现金付出的</w:t>
      </w:r>
      <w:r>
        <w:rPr/>
        <w:t>PPE93.2</w:t>
      </w:r>
      <w:r>
        <w:rPr/>
        <w:t>万美元作为资本支出锚，会计资产新增</w:t>
      </w:r>
      <w:r>
        <w:rPr/>
        <w:t>75.2</w:t>
      </w:r>
      <w:r>
        <w:rPr/>
        <w:t>万美元不替代实际现金。租赁本金已付</w:t>
      </w:r>
      <w:r>
        <w:rPr/>
        <w:t>79.6</w:t>
      </w:r>
      <w:r>
        <w:rPr/>
        <w:t>万美元从全年预算扣除，</w:t>
      </w:r>
      <w:r>
        <w:rPr/>
        <w:t>ROU</w:t>
      </w:r>
      <w:r>
        <w:rPr/>
        <w:t>折旧加回、租息保留在利润、现金租赁本金另扣，避免租赁费用少算或重复。</w:t>
      </w:r>
    </w:p>
    <w:p>
      <w:pPr>
        <w:pStyle w:val="Heading2"/>
        <w:rPr/>
      </w:pPr>
      <w:r>
        <w:rPr>
          <w:color w:val="000000"/>
        </w:rPr>
        <w:t>九 可转债和基金投资的现金影响</w:t>
      </w:r>
    </w:p>
    <w:p>
      <w:pPr>
        <w:pStyle w:val="Normal"/>
        <w:rPr/>
      </w:pPr>
      <w:r>
        <w:rPr/>
        <w:t>公司</w:t>
      </w:r>
      <w:r>
        <w:rPr/>
        <w:t>9</w:t>
      </w:r>
      <w:r>
        <w:rPr/>
        <w:t>月完成发行</w:t>
      </w:r>
      <w:r>
        <w:rPr/>
        <w:t>3.05</w:t>
      </w:r>
      <w:r>
        <w:rPr/>
        <w:t>亿美元零息可转债，净款</w:t>
      </w:r>
      <w:r>
        <w:rPr/>
        <w:t>3.016</w:t>
      </w:r>
      <w:r>
        <w:rPr/>
        <w:t>亿美元，期限约至</w:t>
      </w:r>
      <w:r>
        <w:rPr/>
        <w:t>2027</w:t>
      </w:r>
      <w:r>
        <w:rPr/>
        <w:t>年</w:t>
      </w:r>
      <w:r>
        <w:rPr/>
        <w:t>9</w:t>
      </w:r>
      <w:r>
        <w:rPr/>
        <w:t>月</w:t>
      </w:r>
      <w:r>
        <w:rPr/>
        <w:t>1</w:t>
      </w:r>
      <w:r>
        <w:rPr/>
        <w:t>日。零息不等于免费资本，</w:t>
      </w:r>
      <w:r>
        <w:rPr/>
        <w:t>340</w:t>
      </w:r>
      <w:r>
        <w:rPr/>
        <w:t>万美元发行费用降低净所得，还可能出现稀释、赎回和价格调整。债券本金现金与负债同时入表，本模型以六月现金为起点，在</w:t>
      </w:r>
      <w:r>
        <w:rPr/>
        <w:t>H2</w:t>
      </w:r>
      <w:r>
        <w:rPr/>
        <w:t>加净款且加本金负债，费用已反映净款，不再单扣一次。若用债券现金改善跑道却不记录偿还或转股，股东价值会被严重高估。</w:t>
      </w:r>
    </w:p>
    <w:p>
      <w:pPr>
        <w:pStyle w:val="Normal"/>
        <w:rPr/>
      </w:pPr>
      <w:r>
        <w:rPr/>
        <w:t>初始转换价</w:t>
      </w:r>
      <w:r>
        <w:rPr/>
        <w:t>58.07</w:t>
      </w:r>
      <w:r>
        <w:rPr/>
        <w:t>港元，合同固定换算</w:t>
      </w:r>
      <w:r>
        <w:rPr/>
        <w:t>7.8394</w:t>
      </w:r>
      <w:r>
        <w:rPr/>
        <w:t>港元兑美元，全部转换可产生约</w:t>
      </w:r>
      <w:r>
        <w:rPr/>
        <w:t>4117.4737</w:t>
      </w:r>
      <w:r>
        <w:rPr/>
        <w:t>万股。合同按整股处理，模型用十亿股连续数近似与公告仅有不足一股差异。可转股由持有人选择，现价</w:t>
      </w:r>
      <w:r>
        <w:rPr/>
        <w:t>49</w:t>
      </w:r>
      <w:r>
        <w:rPr/>
        <w:t>低于初价，不能假定到期必然转换。发行人特定提前赎回还涉及经过六个月、连续交易日价格阈值等条件，普通股上涨超过转换价并不自动证明全部条件满足。本研究悲观和基准现金偿还本金，乐观假设全部转换并计新股。</w:t>
      </w:r>
    </w:p>
    <w:p>
      <w:pPr>
        <w:pStyle w:val="Normal"/>
        <w:rPr/>
      </w:pPr>
      <w:r>
        <w:rPr/>
        <w:t>基准</w:t>
      </w:r>
      <w:r>
        <w:rPr/>
        <w:t>2026</w:t>
      </w:r>
      <w:r>
        <w:rPr/>
        <w:t>年末研究现金约</w:t>
      </w:r>
      <w:r>
        <w:rPr/>
        <w:t>7.16002</w:t>
      </w:r>
      <w:r>
        <w:rPr/>
        <w:t>亿美元，包括已发行融资、分期开支及投资赎回，不能解释为</w:t>
      </w:r>
      <w:r>
        <w:rPr/>
        <w:t>9</w:t>
      </w:r>
      <w:r>
        <w:rPr/>
        <w:t>月公司真实现金披露。</w:t>
      </w:r>
      <w:r>
        <w:rPr/>
        <w:t>2027</w:t>
      </w:r>
      <w:r>
        <w:rPr/>
        <w:t>偿还本金后年末约</w:t>
      </w:r>
      <w:r>
        <w:rPr/>
        <w:t>4.59741</w:t>
      </w:r>
      <w:r>
        <w:rPr/>
        <w:t>亿美元，后续多资产投入使</w:t>
      </w:r>
      <w:r>
        <w:rPr/>
        <w:t>2033</w:t>
      </w:r>
      <w:r>
        <w:rPr/>
        <w:t>最低现金约</w:t>
      </w:r>
      <w:r>
        <w:rPr/>
        <w:t>2900.1</w:t>
      </w:r>
      <w:r>
        <w:rPr/>
        <w:t>万美元，略高于</w:t>
      </w:r>
      <w:r>
        <w:rPr/>
        <w:t>2500</w:t>
      </w:r>
      <w:r>
        <w:rPr/>
        <w:t>万美元研究最低储备。该裕度很薄，若近端收款减半、临床费用增加、期权现金不来或项目延期，就可能低于储备。中期风险来自资金消耗和资产兑现时间，不能只看当前融资后余额判断未来安全。</w:t>
      </w:r>
    </w:p>
    <w:p>
      <w:pPr>
        <w:pStyle w:val="Normal"/>
        <w:rPr/>
      </w:pPr>
      <w:r>
        <w:rPr/>
        <w:t>乐观转股免去现金偿还，但发行约</w:t>
      </w:r>
      <w:r>
        <w:rPr/>
        <w:t>4117</w:t>
      </w:r>
      <w:r>
        <w:rPr/>
        <w:t>万股份，股权价值不能保留无稀释分母。基准全部转股敏感性使最低现金约</w:t>
      </w:r>
      <w:r>
        <w:rPr/>
        <w:t>3.803</w:t>
      </w:r>
      <w:r>
        <w:rPr/>
        <w:t>亿美元，一年内在约</w:t>
      </w:r>
      <w:r>
        <w:rPr/>
        <w:t>6.32</w:t>
      </w:r>
      <w:r>
        <w:rPr/>
        <w:t>港元，提升流动性却没有令现价</w:t>
      </w:r>
      <w:r>
        <w:rPr/>
        <w:t>49</w:t>
      </w:r>
      <w:r>
        <w:rPr/>
        <w:t>获得支持。原因是融资现金也延后分配，长期价值仍由净药物收益和投入决定。未来若再融资，应明确价格、发行费用、时间和股数；模型悲观只给</w:t>
      </w:r>
      <w:r>
        <w:rPr/>
        <w:t>2028</w:t>
      </w:r>
      <w:r>
        <w:rPr/>
        <w:t>、</w:t>
      </w:r>
      <w:r>
        <w:rPr/>
        <w:t>2029</w:t>
      </w:r>
      <w:r>
        <w:rPr/>
        <w:t>各</w:t>
      </w:r>
      <w:r>
        <w:rPr/>
        <w:t>8000</w:t>
      </w:r>
      <w:r>
        <w:rPr/>
        <w:t>万美元有限股权融资，若仍失败则内在归零，不设置无上限自动资金填补。</w:t>
      </w:r>
    </w:p>
    <w:p>
      <w:pPr>
        <w:pStyle w:val="Normal"/>
        <w:rPr/>
      </w:pPr>
      <w:r>
        <w:rPr/>
        <w:t>8</w:t>
      </w:r>
      <w:r>
        <w:rPr/>
        <w:t>月</w:t>
      </w:r>
      <w:r>
        <w:rPr/>
        <w:t>18</w:t>
      </w:r>
      <w:r>
        <w:rPr/>
        <w:t>日基金公告提出合计约</w:t>
      </w:r>
      <w:r>
        <w:rPr/>
        <w:t>3.055</w:t>
      </w:r>
      <w:r>
        <w:rPr/>
        <w:t>亿元人民币出资安排，包括</w:t>
      </w:r>
      <w:r>
        <w:rPr/>
        <w:t>300</w:t>
      </w:r>
      <w:r>
        <w:rPr/>
        <w:t>万元合资公司和</w:t>
      </w:r>
      <w:r>
        <w:rPr/>
        <w:t>3.025</w:t>
      </w:r>
      <w:r>
        <w:rPr/>
        <w:t>亿元基金，基金目标规模</w:t>
      </w:r>
      <w:r>
        <w:rPr/>
        <w:t>10.1</w:t>
      </w:r>
      <w:r>
        <w:rPr/>
        <w:t>亿元。截止日尚无确定协议，不能把全部基金规模视为英矽持有资产或全部现金义务。基准模型约</w:t>
      </w:r>
      <w:r>
        <w:rPr/>
        <w:t>4300</w:t>
      </w:r>
      <w:r>
        <w:rPr/>
        <w:t>万美元分两年投入，作为可修改研究预算并终末</w:t>
      </w:r>
      <w:r>
        <w:rPr/>
        <w:t>65%</w:t>
      </w:r>
      <w:r>
        <w:rPr/>
        <w:t>回收，不当当前已签资本承诺。若基金不成立，现金裕度改善；若实际出资更大或投资流动性差，现金储备和资本配置风险增大。</w:t>
      </w:r>
    </w:p>
    <w:p>
      <w:pPr>
        <w:pStyle w:val="Heading2"/>
        <w:rPr/>
      </w:pPr>
      <w:r>
        <w:rPr>
          <w:color w:val="000000"/>
        </w:rPr>
        <w:t>十 估值模型 参数和合理范围</w:t>
      </w:r>
    </w:p>
    <w:p>
      <w:pPr>
        <w:pStyle w:val="Normal"/>
        <w:rPr/>
      </w:pPr>
      <w:r>
        <w:rPr/>
        <w:t>本研究采用有限股东现金分配模型，将四种项目收入、九资产风险净经济、平台研发、完整临床、资本支出、营运资金、融资、股权激励及分配逐年联结。计算</w:t>
      </w:r>
      <w:r>
        <w:rPr/>
        <w:t>2026</w:t>
      </w:r>
      <w:r>
        <w:rPr/>
        <w:t>至</w:t>
      </w:r>
      <w:r>
        <w:rPr/>
        <w:t>2051</w:t>
      </w:r>
      <w:r>
        <w:rPr/>
        <w:t>共</w:t>
      </w:r>
      <w:r>
        <w:rPr/>
        <w:t>26</w:t>
      </w:r>
      <w:r>
        <w:rPr/>
        <w:t>年，覆盖晚期商业化资产完整爬坡，</w:t>
      </w:r>
      <w:r>
        <w:rPr/>
        <w:t>2036</w:t>
      </w:r>
      <w:r>
        <w:rPr/>
        <w:t>后新交易和对应平台</w:t>
      </w:r>
      <w:r>
        <w:rPr/>
        <w:t>/</w:t>
      </w:r>
      <w:r>
        <w:rPr/>
        <w:t>临床投入共同退坡，不假定永久技术垄断。最终回收只含已形成现金、未赎回投资及折价金融权益，扣剩债；期间股息按各年稀释股数计算。不会再将目标现金、原首款或全部项目销售额叠加。</w:t>
      </w:r>
    </w:p>
    <w:p>
      <w:pPr>
        <w:pStyle w:val="Normal"/>
        <w:rPr/>
      </w:pPr>
      <w:r>
        <w:rPr/>
        <w:t>商业资产的</w:t>
      </w:r>
      <w:r>
        <w:rPr/>
        <w:t>gross</w:t>
      </w:r>
      <w:r>
        <w:rPr/>
        <w:t>峰值乘净收入率、权益与临床成功率，形成风险净收入。自研临床费用则按实际计划预算存在，不简单乘成功率消失，反映试验必须先投入的现实。已许可项目净版税费率和机会属于公司经济份额，按阶段风险调整；开发里程碑设开始年、四年总额和条件概率，近端款从该项移除。药物成熟时间与净率公开为研究输入，读者可修改而检查全部现金、利润和股份联动。</w:t>
      </w:r>
    </w:p>
    <w:p>
      <w:pPr>
        <w:pStyle w:val="Normal"/>
        <w:rPr/>
      </w:pPr>
      <w:r>
        <w:rPr/>
        <w:t>基准中国</w:t>
      </w:r>
      <w:r>
        <w:rPr/>
        <w:t>IPFgross</w:t>
      </w:r>
      <w:r>
        <w:rPr/>
        <w:t>峰值</w:t>
      </w:r>
      <w:r>
        <w:rPr/>
        <w:t>5.8</w:t>
      </w:r>
      <w:r>
        <w:rPr/>
        <w:t>亿美元、</w:t>
      </w:r>
      <w:r>
        <w:rPr/>
        <w:t>53%</w:t>
      </w:r>
      <w:r>
        <w:rPr/>
        <w:t>成功率、</w:t>
      </w:r>
      <w:r>
        <w:rPr/>
        <w:t>2030</w:t>
      </w:r>
      <w:r>
        <w:rPr/>
        <w:t>首商业年，对应收入曲线第一年仅</w:t>
      </w:r>
      <w:r>
        <w:rPr/>
        <w:t>4%</w:t>
      </w:r>
      <w:r>
        <w:rPr/>
        <w:t>峰值。境外与吸入组合</w:t>
      </w:r>
      <w:r>
        <w:rPr/>
        <w:t>gross20</w:t>
      </w:r>
      <w:r>
        <w:rPr/>
        <w:t>亿美元、</w:t>
      </w:r>
      <w:r>
        <w:rPr/>
        <w:t>24%</w:t>
      </w:r>
      <w:r>
        <w:rPr/>
        <w:t>成功率、净实现</w:t>
      </w:r>
      <w:r>
        <w:rPr/>
        <w:t>16%</w:t>
      </w:r>
      <w:r>
        <w:rPr/>
        <w:t>、</w:t>
      </w:r>
      <w:r>
        <w:rPr/>
        <w:t>2033</w:t>
      </w:r>
      <w:r>
        <w:rPr/>
        <w:t>首年。</w:t>
      </w:r>
      <w:r>
        <w:rPr/>
        <w:t>IBDgross18</w:t>
      </w:r>
      <w:r>
        <w:rPr/>
        <w:t>亿美元、</w:t>
      </w:r>
      <w:r>
        <w:rPr/>
        <w:t>24%</w:t>
      </w:r>
      <w:r>
        <w:rPr/>
        <w:t>成功率、净实现</w:t>
      </w:r>
      <w:r>
        <w:rPr/>
        <w:t>42%</w:t>
      </w:r>
      <w:r>
        <w:rPr/>
        <w:t>、</w:t>
      </w:r>
      <w:r>
        <w:rPr/>
        <w:t>2033</w:t>
      </w:r>
      <w:r>
        <w:rPr/>
        <w:t>首年。</w:t>
      </w:r>
      <w:r>
        <w:rPr/>
        <w:t>MAT2A</w:t>
      </w:r>
      <w:r>
        <w:rPr/>
        <w:t>和</w:t>
      </w:r>
      <w:r>
        <w:rPr/>
        <w:t>TEAD</w:t>
      </w:r>
      <w:r>
        <w:rPr/>
        <w:t>基准成功率分别</w:t>
      </w:r>
      <w:r>
        <w:rPr/>
        <w:t>14%</w:t>
      </w:r>
      <w:r>
        <w:rPr/>
        <w:t>和</w:t>
      </w:r>
      <w:r>
        <w:rPr/>
        <w:t>17%</w:t>
      </w:r>
      <w:r>
        <w:rPr/>
        <w:t>，净率</w:t>
      </w:r>
      <w:r>
        <w:rPr/>
        <w:t>45%</w:t>
      </w:r>
      <w:r>
        <w:rPr/>
        <w:t>，首年</w:t>
      </w:r>
      <w:r>
        <w:rPr/>
        <w:t>2035</w:t>
      </w:r>
      <w:r>
        <w:rPr/>
        <w:t>和</w:t>
      </w:r>
      <w:r>
        <w:rPr/>
        <w:t>2034</w:t>
      </w:r>
      <w:r>
        <w:rPr/>
        <w:t>。这些是成长假设并非公司盈利指引，大小应由后续患者数据、净定价、支付与竞争证据修订。</w:t>
      </w:r>
    </w:p>
    <w:p>
      <w:pPr>
        <w:pStyle w:val="Normal"/>
        <w:rPr/>
      </w:pPr>
      <w:r>
        <w:rPr/>
        <w:t>已许可五靶点组合</w:t>
      </w:r>
      <w:r>
        <w:rPr/>
        <w:t>gross</w:t>
      </w:r>
      <w:r>
        <w:rPr/>
        <w:t>峰值</w:t>
      </w:r>
      <w:r>
        <w:rPr/>
        <w:t>36</w:t>
      </w:r>
      <w:r>
        <w:rPr/>
        <w:t>亿美元、</w:t>
      </w:r>
      <w:r>
        <w:rPr/>
        <w:t>18%</w:t>
      </w:r>
      <w:r>
        <w:rPr/>
        <w:t>成功率、</w:t>
      </w:r>
      <w:r>
        <w:rPr/>
        <w:t>9.5%</w:t>
      </w:r>
      <w:r>
        <w:rPr/>
        <w:t>净率；已签新发现合作组合</w:t>
      </w:r>
      <w:r>
        <w:rPr/>
        <w:t>gross50</w:t>
      </w:r>
      <w:r>
        <w:rPr/>
        <w:t>亿美元、</w:t>
      </w:r>
      <w:r>
        <w:rPr/>
        <w:t>9%</w:t>
      </w:r>
      <w:r>
        <w:rPr/>
        <w:t>成功率、</w:t>
      </w:r>
      <w:r>
        <w:rPr/>
        <w:t>7.5%</w:t>
      </w:r>
      <w:r>
        <w:rPr/>
        <w:t>净率；保留</w:t>
      </w:r>
      <w:r>
        <w:rPr/>
        <w:t>PCC</w:t>
      </w:r>
      <w:r>
        <w:rPr/>
        <w:t>组合</w:t>
      </w:r>
      <w:r>
        <w:rPr/>
        <w:t>gross40</w:t>
      </w:r>
      <w:r>
        <w:rPr/>
        <w:t>亿美元、</w:t>
      </w:r>
      <w:r>
        <w:rPr/>
        <w:t>7%</w:t>
      </w:r>
      <w:r>
        <w:rPr/>
        <w:t>成功率、</w:t>
      </w:r>
      <w:r>
        <w:rPr/>
        <w:t>27%</w:t>
      </w:r>
      <w:r>
        <w:rPr/>
        <w:t>净率。每项</w:t>
      </w:r>
      <w:r>
        <w:rPr/>
        <w:t>gross</w:t>
      </w:r>
      <w:r>
        <w:rPr/>
        <w:t>均为组合总额，不能理解为每个靶点都拥有相同销售规模。</w:t>
      </w:r>
      <w:r>
        <w:rPr/>
        <w:t>NLRP3</w:t>
      </w:r>
      <w:r>
        <w:rPr/>
        <w:t>还额外乘</w:t>
      </w:r>
      <w:r>
        <w:rPr/>
        <w:t>50%</w:t>
      </w:r>
      <w:r>
        <w:rPr/>
        <w:t>权益。峰值和成功率高低会共同改变现金与资金失败状态，不能只在总报告显示上行而隐藏临床和融资下行。</w:t>
      </w:r>
    </w:p>
    <w:p>
      <w:pPr>
        <w:pStyle w:val="Normal"/>
        <w:rPr/>
      </w:pPr>
      <w:r>
        <w:rPr/>
        <w:t>基准软件</w:t>
      </w:r>
      <w:r>
        <w:rPr/>
        <w:t>2026</w:t>
      </w:r>
      <w:r>
        <w:rPr/>
        <w:t>收入</w:t>
      </w:r>
      <w:r>
        <w:rPr/>
        <w:t>580</w:t>
      </w:r>
      <w:r>
        <w:rPr/>
        <w:t>万美元、</w:t>
      </w:r>
      <w:r>
        <w:rPr/>
        <w:t>2027</w:t>
      </w:r>
      <w:r>
        <w:rPr/>
        <w:t>为</w:t>
      </w:r>
      <w:r>
        <w:rPr/>
        <w:t>800</w:t>
      </w:r>
      <w:r>
        <w:rPr/>
        <w:t>万、</w:t>
      </w:r>
      <w:r>
        <w:rPr/>
        <w:t>2031</w:t>
      </w:r>
      <w:r>
        <w:rPr/>
        <w:t>为</w:t>
      </w:r>
      <w:r>
        <w:rPr/>
        <w:t>2900</w:t>
      </w:r>
      <w:r>
        <w:rPr/>
        <w:t>万；服务</w:t>
      </w:r>
      <w:r>
        <w:rPr/>
        <w:t>2027</w:t>
      </w:r>
      <w:r>
        <w:rPr/>
        <w:t>为</w:t>
      </w:r>
      <w:r>
        <w:rPr/>
        <w:t>3500</w:t>
      </w:r>
      <w:r>
        <w:rPr/>
        <w:t>万、</w:t>
      </w:r>
      <w:r>
        <w:rPr/>
        <w:t>2031</w:t>
      </w:r>
      <w:r>
        <w:rPr/>
        <w:t>为</w:t>
      </w:r>
      <w:r>
        <w:rPr/>
        <w:t>9000</w:t>
      </w:r>
      <w:r>
        <w:rPr/>
        <w:t>万。</w:t>
      </w:r>
      <w:r>
        <w:rPr/>
        <w:t>SignedNear</w:t>
      </w:r>
      <w:r>
        <w:rPr/>
        <w:t>由</w:t>
      </w:r>
      <w:r>
        <w:rPr/>
        <w:t>2026</w:t>
      </w:r>
      <w:r>
        <w:rPr/>
        <w:t>全年度</w:t>
      </w:r>
      <w:r>
        <w:rPr/>
        <w:t>1.35</w:t>
      </w:r>
      <w:r>
        <w:rPr/>
        <w:t>亿美元下降至</w:t>
      </w:r>
      <w:r>
        <w:rPr/>
        <w:t>2027</w:t>
      </w:r>
      <w:r>
        <w:rPr/>
        <w:t>为</w:t>
      </w:r>
      <w:r>
        <w:rPr/>
        <w:t>5700</w:t>
      </w:r>
      <w:r>
        <w:rPr/>
        <w:t>万，体现大首款并非每年持续。</w:t>
      </w:r>
      <w:r>
        <w:rPr/>
        <w:t>NewDeals2027</w:t>
      </w:r>
      <w:r>
        <w:rPr/>
        <w:t>为</w:t>
      </w:r>
      <w:r>
        <w:rPr/>
        <w:t>7000</w:t>
      </w:r>
      <w:r>
        <w:rPr/>
        <w:t>万、</w:t>
      </w:r>
      <w:r>
        <w:rPr/>
        <w:t>2031</w:t>
      </w:r>
      <w:r>
        <w:rPr/>
        <w:t>为</w:t>
      </w:r>
      <w:r>
        <w:rPr/>
        <w:t>1.6</w:t>
      </w:r>
      <w:r>
        <w:rPr/>
        <w:t>亿美元，需要未来多项真实签约。这样即使不以软件高增速解释项目收入，仍给发现业务可观扩张；目前风险调整股东值偏低，主要由持续研发和晚期现金时点决定。</w:t>
      </w:r>
    </w:p>
    <w:p>
      <w:pPr>
        <w:pStyle w:val="Normal"/>
        <w:rPr/>
      </w:pPr>
      <w:r>
        <w:rPr/>
        <w:t>模型三情景折现率</w:t>
      </w:r>
      <w:r>
        <w:rPr/>
        <w:t>17%</w:t>
      </w:r>
      <w:r>
        <w:rPr/>
        <w:t>、</w:t>
      </w:r>
      <w:r>
        <w:rPr/>
        <w:t>13.5%</w:t>
      </w:r>
      <w:r>
        <w:rPr/>
        <w:t>、</w:t>
      </w:r>
      <w:r>
        <w:rPr/>
        <w:t>11%</w:t>
      </w:r>
      <w:r>
        <w:rPr/>
        <w:t>，反映不同经营、融资和临床风险，不能把它们看作精确市场要求。基准研发</w:t>
      </w:r>
      <w:r>
        <w:rPr/>
        <w:t>2030</w:t>
      </w:r>
      <w:r>
        <w:rPr/>
        <w:t>约</w:t>
      </w:r>
      <w:r>
        <w:rPr/>
        <w:t>3.11</w:t>
      </w:r>
      <w:r>
        <w:rPr/>
        <w:t>亿美元，显著大于</w:t>
      </w:r>
      <w:r>
        <w:rPr/>
        <w:t>H1</w:t>
      </w:r>
      <w:r>
        <w:rPr/>
        <w:t>年化，是扩多个</w:t>
      </w:r>
      <w:r>
        <w:rPr/>
        <w:t>II/III</w:t>
      </w:r>
      <w:r>
        <w:rPr/>
        <w:t>期和平台的预算。乐观投入更高但交易和净收益更强，悲观项目弱而投入不充分收缩。未来若公司证明合作方承担临床、使费用显著低于这里预算，本研究可上修；若削研发只换来项目减少，则不应单独降低费用而保留所有销售。</w:t>
      </w:r>
    </w:p>
    <w:p>
      <w:pPr>
        <w:pStyle w:val="Normal"/>
        <w:rPr/>
      </w:pPr>
      <w:r>
        <w:rPr/>
        <w:t>半年和年底价格采用市场逐步识别净现金价值的假设，不宣称市场将在几个月内精确交易内在值。年底悲观、基准、乐观识别比例</w:t>
      </w:r>
      <w:r>
        <w:rPr/>
        <w:t>65%</w:t>
      </w:r>
      <w:r>
        <w:rPr/>
        <w:t>、</w:t>
      </w:r>
      <w:r>
        <w:rPr/>
        <w:t>45%</w:t>
      </w:r>
      <w:r>
        <w:rPr/>
        <w:t>、</w:t>
      </w:r>
      <w:r>
        <w:rPr/>
        <w:t>35%</w:t>
      </w:r>
      <w:r>
        <w:rPr/>
        <w:t>，半年</w:t>
      </w:r>
      <w:r>
        <w:rPr/>
        <w:t>85%</w:t>
      </w:r>
      <w:r>
        <w:rPr/>
        <w:t>、</w:t>
      </w:r>
      <w:r>
        <w:rPr/>
        <w:t>70%</w:t>
      </w:r>
      <w:r>
        <w:rPr/>
        <w:t>、</w:t>
      </w:r>
      <w:r>
        <w:rPr/>
        <w:t>55%</w:t>
      </w:r>
      <w:r>
        <w:rPr/>
        <w:t>；一年后采用完整对应内在值。较长短期识别差异解释市场情绪可能延续，却是主要模型限制。若股价保持高溢价，短期价格可能超研究区间；若突发严重临床或监管风险，也可能更快下跌。识别系数不等于概率，机构目标更不能替代它。</w:t>
      </w:r>
    </w:p>
    <w:p>
      <w:pPr>
        <w:pStyle w:val="Normal"/>
        <w:rPr/>
      </w:pPr>
      <w:r>
        <w:rPr/>
        <w:t>敏感性显示，所有临床商业日期延两年、</w:t>
      </w:r>
      <w:r>
        <w:rPr/>
        <w:t>2027</w:t>
      </w:r>
      <w:r>
        <w:rPr/>
        <w:t>起新交易收入减半、后续临床费用增</w:t>
      </w:r>
      <w:r>
        <w:rPr/>
        <w:t>30%</w:t>
      </w:r>
      <w:r>
        <w:rPr/>
        <w:t>、中国</w:t>
      </w:r>
      <w:r>
        <w:rPr/>
        <w:t>IPF</w:t>
      </w:r>
      <w:r>
        <w:rPr/>
        <w:t>净权益归零，均使基准资金计划失效。取消基金出资提高最低现金至约</w:t>
      </w:r>
      <w:r>
        <w:rPr/>
        <w:t>7822</w:t>
      </w:r>
      <w:r>
        <w:rPr/>
        <w:t>万美元，但一年价值只略增；平台研发减</w:t>
      </w:r>
      <w:r>
        <w:rPr/>
        <w:t>20%</w:t>
      </w:r>
      <w:r>
        <w:rPr/>
        <w:t>可改善现金，不过是否维持相同产出需验证。追加</w:t>
      </w:r>
      <w:r>
        <w:rPr/>
        <w:t>1.5</w:t>
      </w:r>
      <w:r>
        <w:rPr/>
        <w:t>亿美元股权融资以</w:t>
      </w:r>
      <w:r>
        <w:rPr/>
        <w:t>30</w:t>
      </w:r>
      <w:r>
        <w:rPr/>
        <w:t>港元发行虽改善资金，股数与费用配对后价值提升有限。它们是压力实验，不能解释为发生概率，也不能把资金失败阈值当公司破产预测。</w:t>
      </w:r>
    </w:p>
    <w:p>
      <w:pPr>
        <w:pStyle w:val="Heading2"/>
        <w:rPr/>
      </w:pPr>
      <w:r>
        <w:rPr>
          <w:color w:val="000000"/>
        </w:rPr>
        <w:t>十一 半年日线 周线与关键价位</w:t>
      </w:r>
    </w:p>
    <w:p>
      <w:pPr>
        <w:pStyle w:val="Normal"/>
        <w:rPr/>
      </w:pPr>
      <w:r>
        <w:rPr/>
        <w:t>49</w:t>
      </w:r>
      <w:r>
        <w:rPr/>
        <w:t>港元位于</w:t>
      </w:r>
      <w:r>
        <w:rPr/>
        <w:t>20</w:t>
      </w:r>
      <w:r>
        <w:rPr/>
        <w:t>日均线</w:t>
      </w:r>
      <w:r>
        <w:rPr/>
        <w:t>55.4745</w:t>
      </w:r>
      <w:r>
        <w:rPr/>
        <w:t>下方约</w:t>
      </w:r>
      <w:r>
        <w:rPr/>
        <w:t>11.67%</w:t>
      </w:r>
      <w:r>
        <w:rPr/>
        <w:t>，略高</w:t>
      </w:r>
      <w:r>
        <w:rPr/>
        <w:t>60</w:t>
      </w:r>
      <w:r>
        <w:rPr/>
        <w:t>日</w:t>
      </w:r>
      <w:r>
        <w:rPr/>
        <w:t>48.7143</w:t>
      </w:r>
      <w:r>
        <w:rPr/>
        <w:t>与</w:t>
      </w:r>
      <w:r>
        <w:rPr/>
        <w:t>120</w:t>
      </w:r>
      <w:r>
        <w:rPr/>
        <w:t>日</w:t>
      </w:r>
      <w:r>
        <w:rPr/>
        <w:t>48.6925</w:t>
      </w:r>
      <w:r>
        <w:rPr/>
        <w:t>约</w:t>
      </w:r>
      <w:r>
        <w:rPr/>
        <w:t>0.59%</w:t>
      </w:r>
      <w:r>
        <w:rPr/>
        <w:t>和</w:t>
      </w:r>
      <w:r>
        <w:rPr/>
        <w:t>0.63%</w:t>
      </w:r>
      <w:r>
        <w:rPr/>
        <w:t>。</w:t>
      </w:r>
      <w:r>
        <w:rPr/>
        <w:t>20</w:t>
      </w:r>
      <w:r>
        <w:rPr/>
        <w:t>日和</w:t>
      </w:r>
      <w:r>
        <w:rPr/>
        <w:t>60</w:t>
      </w:r>
      <w:r>
        <w:rPr/>
        <w:t>日近五日斜率为正，</w:t>
      </w:r>
      <w:r>
        <w:rPr/>
        <w:t>120</w:t>
      </w:r>
      <w:r>
        <w:rPr/>
        <w:t>日略向下，显示前期反弹尚未形成统一长周期上升。均线位置不是独立三项买入理由，</w:t>
      </w:r>
      <w:r>
        <w:rPr/>
        <w:t>20</w:t>
      </w:r>
      <w:r>
        <w:rPr/>
        <w:t>日与</w:t>
      </w:r>
      <w:r>
        <w:rPr/>
        <w:t>60</w:t>
      </w:r>
      <w:r>
        <w:rPr/>
        <w:t>日重叠信息不能重复加分。由于样本不足</w:t>
      </w:r>
      <w:r>
        <w:rPr/>
        <w:t>250</w:t>
      </w:r>
      <w:r>
        <w:rPr/>
        <w:t>日，本报告不补</w:t>
      </w:r>
      <w:r>
        <w:rPr/>
        <w:t>250</w:t>
      </w:r>
      <w:r>
        <w:rPr/>
        <w:t>日均线，也不把没有真实历史的长期趋势描述为已确认。</w:t>
      </w:r>
    </w:p>
    <w:p>
      <w:pPr>
        <w:pStyle w:val="Normal"/>
        <w:rPr/>
      </w:pPr>
      <w:r>
        <w:rPr/>
        <w:t>过去</w:t>
      </w:r>
      <w:r>
        <w:rPr/>
        <w:t>20</w:t>
      </w:r>
      <w:r>
        <w:rPr/>
        <w:t>日股价回报约负</w:t>
      </w:r>
      <w:r>
        <w:rPr/>
        <w:t>9.09%</w:t>
      </w:r>
      <w:r>
        <w:rPr/>
        <w:t>，</w:t>
      </w:r>
      <w:r>
        <w:rPr/>
        <w:t>60</w:t>
      </w:r>
      <w:r>
        <w:rPr/>
        <w:t>日约负</w:t>
      </w:r>
      <w:r>
        <w:rPr/>
        <w:t>0.04%</w:t>
      </w:r>
      <w:r>
        <w:rPr/>
        <w:t>，</w:t>
      </w:r>
      <w:r>
        <w:rPr/>
        <w:t>120</w:t>
      </w:r>
      <w:r>
        <w:rPr/>
        <w:t>日约负</w:t>
      </w:r>
      <w:r>
        <w:rPr/>
        <w:t>19.41%</w:t>
      </w:r>
      <w:r>
        <w:rPr/>
        <w:t>。这说明近期高位回落显著，</w:t>
      </w:r>
      <w:r>
        <w:rPr/>
        <w:t>60</w:t>
      </w:r>
      <w:r>
        <w:rPr/>
        <w:t>日整体更接近震荡。全上市真实历史高</w:t>
      </w:r>
      <w:r>
        <w:rPr/>
        <w:t>80.90</w:t>
      </w:r>
      <w:r>
        <w:rPr/>
        <w:t>、低</w:t>
      </w:r>
      <w:r>
        <w:rPr/>
        <w:t>29.98</w:t>
      </w:r>
      <w:r>
        <w:rPr/>
        <w:t>，最大回撤约</w:t>
      </w:r>
      <w:r>
        <w:rPr/>
        <w:t>57.22%</w:t>
      </w:r>
      <w:r>
        <w:rPr/>
        <w:t>，并不是完整</w:t>
      </w:r>
      <w:r>
        <w:rPr/>
        <w:t>52</w:t>
      </w:r>
      <w:r>
        <w:rPr/>
        <w:t>周区间。现价距历史高仍很远，不能以“回落很多”证明便宜，历史高可能反映过度溢价。较短历史的低点也不是稳定估值地板，</w:t>
      </w:r>
      <w:r>
        <w:rPr/>
        <w:t>IPO</w:t>
      </w:r>
      <w:r>
        <w:rPr/>
        <w:t>供给、交易热度与融资都改变价格结构。</w:t>
      </w:r>
    </w:p>
    <w:p>
      <w:pPr>
        <w:pStyle w:val="Normal"/>
        <w:rPr/>
      </w:pPr>
      <w:r>
        <w:rPr/>
        <w:t>近期</w:t>
      </w:r>
      <w:r>
        <w:rPr/>
        <w:t>20</w:t>
      </w:r>
      <w:r>
        <w:rPr/>
        <w:t>日低点</w:t>
      </w:r>
      <w:r>
        <w:rPr/>
        <w:t>46.60</w:t>
      </w:r>
      <w:r>
        <w:rPr/>
        <w:t>港元，距现价下方约</w:t>
      </w:r>
      <w:r>
        <w:rPr/>
        <w:t>4.90%</w:t>
      </w:r>
      <w:r>
        <w:rPr/>
        <w:t>；</w:t>
      </w:r>
      <w:r>
        <w:rPr/>
        <w:t>60</w:t>
      </w:r>
      <w:r>
        <w:rPr/>
        <w:t>日低点</w:t>
      </w:r>
      <w:r>
        <w:rPr/>
        <w:t>38.76</w:t>
      </w:r>
      <w:r>
        <w:rPr/>
        <w:t>，距离约</w:t>
      </w:r>
      <w:r>
        <w:rPr/>
        <w:t>20.90%</w:t>
      </w:r>
      <w:r>
        <w:rPr/>
        <w:t>；</w:t>
      </w:r>
      <w:r>
        <w:rPr/>
        <w:t>20</w:t>
      </w:r>
      <w:r>
        <w:rPr/>
        <w:t>至</w:t>
      </w:r>
      <w:r>
        <w:rPr/>
        <w:t>60</w:t>
      </w:r>
      <w:r>
        <w:rPr/>
        <w:t>日关键高点</w:t>
      </w:r>
      <w:r>
        <w:rPr/>
        <w:t>65.20</w:t>
      </w:r>
      <w:r>
        <w:rPr/>
        <w:t>，距现价上方约</w:t>
      </w:r>
      <w:r>
        <w:rPr/>
        <w:t>33.06%</w:t>
      </w:r>
      <w:r>
        <w:rPr/>
        <w:t>。这些是观察水平，不是精确支撑或阻力的承诺。若在</w:t>
      </w:r>
      <w:r>
        <w:rPr/>
        <w:t>46.60</w:t>
      </w:r>
      <w:r>
        <w:rPr/>
        <w:t>附近缩量稳定并重新站上</w:t>
      </w:r>
      <w:r>
        <w:rPr/>
        <w:t>55.47</w:t>
      </w:r>
      <w:r>
        <w:rPr/>
        <w:t>，短线修复判断增强；若放量跌破</w:t>
      </w:r>
      <w:r>
        <w:rPr/>
        <w:t>46.60</w:t>
      </w:r>
      <w:r>
        <w:rPr/>
        <w:t>且随后反弹无力，则</w:t>
      </w:r>
      <w:r>
        <w:rPr/>
        <w:t>48</w:t>
      </w:r>
      <w:r>
        <w:rPr/>
        <w:t>至</w:t>
      </w:r>
      <w:r>
        <w:rPr/>
        <w:t>49</w:t>
      </w:r>
      <w:r>
        <w:rPr/>
        <w:t>均线拥挤区失效，需重新观察</w:t>
      </w:r>
      <w:r>
        <w:rPr/>
        <w:t>38.76</w:t>
      </w:r>
      <w:r>
        <w:rPr/>
        <w:t>一带而不是机械抄底。</w:t>
      </w:r>
    </w:p>
    <w:p>
      <w:pPr>
        <w:pStyle w:val="Normal"/>
        <w:rPr/>
      </w:pPr>
      <w:r>
        <w:rPr/>
        <w:t>65.20</w:t>
      </w:r>
      <w:r>
        <w:rPr/>
        <w:t>向上突破需要量能、收盘保持和相对强弱共同支持。单日盘中穿越可能源于高波动，不能被当作持续突破。若成交量显著超过</w:t>
      </w:r>
      <w:r>
        <w:rPr/>
        <w:t>20</w:t>
      </w:r>
      <w:r>
        <w:rPr/>
        <w:t>日均量且连续收于关键位上方，同时</w:t>
      </w:r>
      <w:r>
        <w:rPr/>
        <w:t>20</w:t>
      </w:r>
      <w:r>
        <w:rPr/>
        <w:t>日相对行业强弱转正，可提高半年技术分。若突破后很快回落</w:t>
      </w:r>
      <w:r>
        <w:rPr/>
        <w:t>55</w:t>
      </w:r>
      <w:r>
        <w:rPr/>
        <w:t>附近且下跌成交强，则应撤销突破判断。技术条件与基本面条件同时满足才可提高推荐，不以某个形态名称替代计算和可见价位。</w:t>
      </w:r>
    </w:p>
    <w:p>
      <w:pPr>
        <w:pStyle w:val="Normal"/>
        <w:rPr/>
      </w:pPr>
      <w:r>
        <w:rPr/>
        <w:t>周线</w:t>
      </w:r>
      <w:r>
        <w:rPr/>
        <w:t>20</w:t>
      </w:r>
      <w:r>
        <w:rPr/>
        <w:t>周均线</w:t>
      </w:r>
      <w:r>
        <w:rPr/>
        <w:t>45.2675</w:t>
      </w:r>
      <w:r>
        <w:rPr/>
        <w:t>，现价高约</w:t>
      </w:r>
      <w:r>
        <w:rPr/>
        <w:t>8.25%</w:t>
      </w:r>
      <w:r>
        <w:rPr/>
        <w:t>，但近段斜率仍下降约</w:t>
      </w:r>
      <w:r>
        <w:rPr/>
        <w:t>2.99%</w:t>
      </w:r>
      <w:r>
        <w:rPr/>
        <w:t>，说明日线反弹与周线趋势尚有分歧。周</w:t>
      </w:r>
      <w:r>
        <w:rPr/>
        <w:t>ATR</w:t>
      </w:r>
      <w:r>
        <w:rPr/>
        <w:t>约</w:t>
      </w:r>
      <w:r>
        <w:rPr/>
        <w:t>9.9276</w:t>
      </w:r>
      <w:r>
        <w:rPr/>
        <w:t>港元、相对现价</w:t>
      </w:r>
      <w:r>
        <w:rPr/>
        <w:t>20.26%</w:t>
      </w:r>
      <w:r>
        <w:rPr/>
        <w:t>，单周波动可以覆盖多个所谓支撑。只有</w:t>
      </w:r>
      <w:r>
        <w:rPr/>
        <w:t>41</w:t>
      </w:r>
      <w:r>
        <w:rPr/>
        <w:t>周历史，</w:t>
      </w:r>
      <w:r>
        <w:rPr/>
        <w:t>60</w:t>
      </w:r>
      <w:r>
        <w:rPr/>
        <w:t>周及</w:t>
      </w:r>
      <w:r>
        <w:rPr/>
        <w:t>120</w:t>
      </w:r>
      <w:r>
        <w:rPr/>
        <w:t>周均线不可得。技术分析应承认新股供应和资金变化造成的不稳定性，而不能从不足一年资料推导多年周期底部或精确长期趋势。</w:t>
      </w:r>
    </w:p>
    <w:p>
      <w:pPr>
        <w:pStyle w:val="Normal"/>
        <w:rPr/>
      </w:pPr>
      <w:r>
        <w:rPr/>
        <w:t>半年观察可分为三个证据状态：</w:t>
      </w:r>
      <w:r>
        <w:rPr/>
        <w:t>46.60</w:t>
      </w:r>
      <w:r>
        <w:rPr/>
        <w:t>至</w:t>
      </w:r>
      <w:r>
        <w:rPr/>
        <w:t>55.47</w:t>
      </w:r>
      <w:r>
        <w:rPr/>
        <w:t>内为回踩与震荡候选，需要成交和收盘确认；</w:t>
      </w:r>
      <w:r>
        <w:rPr/>
        <w:t>55.47</w:t>
      </w:r>
      <w:r>
        <w:rPr/>
        <w:t>上方恢复且相对强弱改善，才有向</w:t>
      </w:r>
      <w:r>
        <w:rPr/>
        <w:t>65.20</w:t>
      </w:r>
      <w:r>
        <w:rPr/>
        <w:t>挑战的依据；</w:t>
      </w:r>
      <w:r>
        <w:rPr/>
        <w:t>46.60</w:t>
      </w:r>
      <w:r>
        <w:rPr/>
        <w:t>下方持续，则技术风险提高。价位应随新数据滚动更新，报告的固定截止日不能自动成为半年实时交易信号。若公司公告临床或合作重大变化，应先更新经济价值，再判断技术失效，不用固定止损线覆盖所有事件风险。</w:t>
      </w:r>
    </w:p>
    <w:p>
      <w:pPr>
        <w:pStyle w:val="Heading2"/>
        <w:rPr/>
      </w:pPr>
      <w:r>
        <w:rPr>
          <w:color w:val="000000"/>
        </w:rPr>
        <w:t>十二 成交量 相对强弱与辅助指标</w:t>
      </w:r>
    </w:p>
    <w:p>
      <w:pPr>
        <w:pStyle w:val="Normal"/>
        <w:rPr/>
      </w:pPr>
      <w:r>
        <w:rPr/>
        <w:t>截止日成交</w:t>
      </w:r>
      <w:r>
        <w:rPr/>
        <w:t>1625.4644</w:t>
      </w:r>
      <w:r>
        <w:rPr/>
        <w:t>万股，成交额约</w:t>
      </w:r>
      <w:r>
        <w:rPr/>
        <w:t>7.8319</w:t>
      </w:r>
      <w:r>
        <w:rPr/>
        <w:t>亿港元。成交量单位为股，不是手，香港交易批量不能直接代替股数。</w:t>
      </w:r>
      <w:r>
        <w:rPr/>
        <w:t>5</w:t>
      </w:r>
      <w:r>
        <w:rPr/>
        <w:t>、</w:t>
      </w:r>
      <w:r>
        <w:rPr/>
        <w:t>20</w:t>
      </w:r>
      <w:r>
        <w:rPr/>
        <w:t>、</w:t>
      </w:r>
      <w:r>
        <w:rPr/>
        <w:t>60</w:t>
      </w:r>
      <w:r>
        <w:rPr/>
        <w:t>日均量分别</w:t>
      </w:r>
      <w:r>
        <w:rPr/>
        <w:t>1358.6194</w:t>
      </w:r>
      <w:r>
        <w:rPr/>
        <w:t>万、</w:t>
      </w:r>
      <w:r>
        <w:rPr/>
        <w:t>1573.9755</w:t>
      </w:r>
      <w:r>
        <w:rPr/>
        <w:t>万、</w:t>
      </w:r>
      <w:r>
        <w:rPr/>
        <w:t>1542.2761</w:t>
      </w:r>
      <w:r>
        <w:rPr/>
        <w:t>万股，当日对</w:t>
      </w:r>
      <w:r>
        <w:rPr/>
        <w:t>20</w:t>
      </w:r>
      <w:r>
        <w:rPr/>
        <w:t>日量比约</w:t>
      </w:r>
      <w:r>
        <w:rPr/>
        <w:t>1.03</w:t>
      </w:r>
      <w:r>
        <w:rPr/>
        <w:t>，属于接近常态的成交。没有明显超常量支持强突破，亦不能因单日量比稍高就认定资金长期增仓。股数稀释和流通结构变化还会改变同量对应的交易压力。</w:t>
      </w:r>
    </w:p>
    <w:p>
      <w:pPr>
        <w:pStyle w:val="Normal"/>
        <w:rPr/>
      </w:pPr>
      <w:r>
        <w:rPr/>
        <w:t>近</w:t>
      </w:r>
      <w:r>
        <w:rPr/>
        <w:t>20</w:t>
      </w:r>
      <w:r>
        <w:rPr/>
        <w:t>日上涨日累计成交</w:t>
      </w:r>
      <w:r>
        <w:rPr/>
        <w:t>1.49697</w:t>
      </w:r>
      <w:r>
        <w:rPr/>
        <w:t>亿股，下跌日</w:t>
      </w:r>
      <w:r>
        <w:rPr/>
        <w:t>1.65098</w:t>
      </w:r>
      <w:r>
        <w:rPr/>
        <w:t>亿，</w:t>
      </w:r>
      <w:r>
        <w:rPr/>
        <w:t>8</w:t>
      </w:r>
      <w:r>
        <w:rPr/>
        <w:t>个上涨日和</w:t>
      </w:r>
      <w:r>
        <w:rPr/>
        <w:t>12</w:t>
      </w:r>
      <w:r>
        <w:rPr/>
        <w:t>个下跌日，二者量比约</w:t>
      </w:r>
      <w:r>
        <w:rPr/>
        <w:t>0.907</w:t>
      </w:r>
      <w:r>
        <w:rPr/>
        <w:t>。这个对照显示回落并非完全无量，但没有逐笔成交、账户持仓和主动方向数据，不能声称“主力吸筹”或“出货已结束”。价格上涨日也可能有卖盘，下跌日也可能有承接。这里把成交作为趋势强度的辅助证据，不把日</w:t>
      </w:r>
      <w:r>
        <w:rPr/>
        <w:t>K</w:t>
      </w:r>
      <w:r>
        <w:rPr/>
        <w:t>成交柱解释成特定机构行为。</w:t>
      </w:r>
    </w:p>
    <w:p>
      <w:pPr>
        <w:pStyle w:val="Normal"/>
        <w:rPr/>
      </w:pPr>
      <w:r>
        <w:rPr/>
        <w:t>20</w:t>
      </w:r>
      <w:r>
        <w:rPr/>
        <w:t>日相对恒生指数约落后</w:t>
      </w:r>
      <w:r>
        <w:rPr/>
        <w:t>6.11</w:t>
      </w:r>
      <w:r>
        <w:rPr/>
        <w:t>个百分点，</w:t>
      </w:r>
      <w:r>
        <w:rPr/>
        <w:t>60</w:t>
      </w:r>
      <w:r>
        <w:rPr/>
        <w:t>日约领先</w:t>
      </w:r>
      <w:r>
        <w:rPr/>
        <w:t>3.15</w:t>
      </w:r>
      <w:r>
        <w:rPr/>
        <w:t>个百分点。近期表现弱于市场而中期稍强，支持震荡回落判断。对创新药</w:t>
      </w:r>
      <w:r>
        <w:rPr/>
        <w:t>987018</w:t>
      </w:r>
      <w:r>
        <w:rPr/>
        <w:t>基准的</w:t>
      </w:r>
      <w:r>
        <w:rPr/>
        <w:t>20</w:t>
      </w:r>
      <w:r>
        <w:rPr/>
        <w:t>日相对约负</w:t>
      </w:r>
      <w:r>
        <w:rPr/>
        <w:t>9.97</w:t>
      </w:r>
      <w:r>
        <w:rPr/>
        <w:t>个百分点，</w:t>
      </w:r>
      <w:r>
        <w:rPr/>
        <w:t>60</w:t>
      </w:r>
      <w:r>
        <w:rPr/>
        <w:t>日正</w:t>
      </w:r>
      <w:r>
        <w:rPr/>
        <w:t>3.18</w:t>
      </w:r>
      <w:r>
        <w:rPr/>
        <w:t>个百分点，但该行业指数只有官方单源、成交量不适用，不能用于精确交易量比。它是较粗医药参照，</w:t>
      </w:r>
      <w:r>
        <w:rPr/>
        <w:t>AIDD</w:t>
      </w:r>
      <w:r>
        <w:rPr/>
        <w:t>公司的风险与指数成分不同，行业比较只用于识别资金环境，不证明同等估值。</w:t>
      </w:r>
    </w:p>
    <w:p>
      <w:pPr>
        <w:pStyle w:val="Normal"/>
        <w:rPr/>
      </w:pPr>
      <w:r>
        <w:rPr/>
        <w:t>RSI</w:t>
      </w:r>
      <w:r>
        <w:rPr/>
        <w:t>约</w:t>
      </w:r>
      <w:r>
        <w:rPr/>
        <w:t>43.61</w:t>
      </w:r>
      <w:r>
        <w:rPr/>
        <w:t>，处于中性偏弱而非极端超卖。</w:t>
      </w:r>
      <w:r>
        <w:rPr/>
        <w:t>MACD</w:t>
      </w:r>
      <w:r>
        <w:rPr/>
        <w:t>线</w:t>
      </w:r>
      <w:r>
        <w:rPr/>
        <w:t>0.8096</w:t>
      </w:r>
      <w:r>
        <w:rPr/>
        <w:t>、信号</w:t>
      </w:r>
      <w:r>
        <w:rPr/>
        <w:t>2.1586</w:t>
      </w:r>
      <w:r>
        <w:rPr/>
        <w:t>、柱差负</w:t>
      </w:r>
      <w:r>
        <w:rPr/>
        <w:t>2.6979</w:t>
      </w:r>
      <w:r>
        <w:rPr/>
        <w:t>，显示前期上行动能减弱。</w:t>
      </w:r>
      <w:r>
        <w:rPr/>
        <w:t>ATR4.1861</w:t>
      </w:r>
      <w:r>
        <w:rPr/>
        <w:t>港元、</w:t>
      </w:r>
      <w:r>
        <w:rPr/>
        <w:t>8.54%</w:t>
      </w:r>
      <w:r>
        <w:rPr/>
        <w:t>，说明一天常见价格范围已较大。三个指标都依赖相同价格序列，不能作为三份独立利好或利空证据。半年评分把趋势、量能和相对表现综合为</w:t>
      </w:r>
      <w:r>
        <w:rPr/>
        <w:t>2.5</w:t>
      </w:r>
      <w:r>
        <w:rPr/>
        <w:t>分，不因加入更多相近技术参数提高可信度。</w:t>
      </w:r>
    </w:p>
    <w:p>
      <w:pPr>
        <w:pStyle w:val="Normal"/>
        <w:rPr/>
      </w:pPr>
      <w:r>
        <w:rPr/>
        <w:t>若采用仓位预算，应以可承受的金额波动和流动性计算，而非仅看上涨目标百分比。</w:t>
      </w:r>
      <w:r>
        <w:rPr/>
        <w:t>8.54%</w:t>
      </w:r>
      <w:r>
        <w:rPr/>
        <w:t>日</w:t>
      </w:r>
      <w:r>
        <w:rPr/>
        <w:t>ATR</w:t>
      </w:r>
      <w:r>
        <w:rPr/>
        <w:t>意味着较小技术止损可能在正常震荡中被触发，事件缺口也可能超过止损线。用户本计划未指定资金规模和交易执行，本报告提供观察与失效条件，不预设杠杆仓位。进取型研究可以接受高波动，但前提是上涨空间有净经济依据，而现阶段基准期望回报不足是主要限制。</w:t>
      </w:r>
    </w:p>
    <w:p>
      <w:pPr>
        <w:pStyle w:val="Normal"/>
        <w:rPr/>
      </w:pPr>
      <w:r>
        <w:rPr/>
        <w:t>行情已用腾讯与新浪现价、</w:t>
      </w:r>
      <w:r>
        <w:rPr/>
        <w:t>Yahoo</w:t>
      </w:r>
      <w:r>
        <w:rPr/>
        <w:t>日线及腾讯复权日线核对，来源和抓取时间留档。股票上市期间的公司行动、股份增长与价格复权须区别：新增激励股不会按拆股规则补造历史价格，上市前一拆二十属于资本结构变化。日线与周线以全部真实样本计算，支撑阻力使用实际高低，缺失换手率或逐笔量不凭空填入。以后输入修改，应重新算技术表并保存版本，不能把旧图与新现价混用。</w:t>
      </w:r>
    </w:p>
    <w:p>
      <w:pPr>
        <w:pStyle w:val="Heading2"/>
        <w:rPr/>
      </w:pPr>
      <w:r>
        <w:rPr>
          <w:color w:val="000000"/>
        </w:rPr>
        <w:t>十三 外资投行目标价与本研究的差异</w:t>
      </w:r>
    </w:p>
    <w:p>
      <w:pPr>
        <w:pStyle w:val="Normal"/>
        <w:rPr/>
      </w:pPr>
      <w:r>
        <w:rPr/>
        <w:t>富瑞</w:t>
      </w:r>
      <w:r>
        <w:rPr/>
        <w:t>9</w:t>
      </w:r>
      <w:r>
        <w:rPr/>
        <w:t>月</w:t>
      </w:r>
      <w:r>
        <w:rPr/>
        <w:t>24</w:t>
      </w:r>
      <w:r>
        <w:rPr/>
        <w:t>日公开转述维持买入、目标</w:t>
      </w:r>
      <w:r>
        <w:rPr/>
        <w:t>100</w:t>
      </w:r>
      <w:r>
        <w:rPr/>
        <w:t>港元；</w:t>
      </w:r>
      <w:r>
        <w:rPr/>
        <w:t>JPM9</w:t>
      </w:r>
      <w:r>
        <w:rPr/>
        <w:t>月</w:t>
      </w:r>
      <w:r>
        <w:rPr/>
        <w:t>21</w:t>
      </w:r>
      <w:r>
        <w:rPr/>
        <w:t>日维持增持、</w:t>
      </w:r>
      <w:r>
        <w:rPr/>
        <w:t>71</w:t>
      </w:r>
      <w:r>
        <w:rPr/>
        <w:t>港元；花旗</w:t>
      </w:r>
      <w:r>
        <w:rPr/>
        <w:t>9</w:t>
      </w:r>
      <w:r>
        <w:rPr/>
        <w:t>月</w:t>
      </w:r>
      <w:r>
        <w:rPr/>
        <w:t>9</w:t>
      </w:r>
      <w:r>
        <w:rPr/>
        <w:t>日维持买入高风险、</w:t>
      </w:r>
      <w:r>
        <w:rPr/>
        <w:t>85</w:t>
      </w:r>
      <w:r>
        <w:rPr/>
        <w:t>港元；汇丰</w:t>
      </w:r>
      <w:r>
        <w:rPr/>
        <w:t>9</w:t>
      </w:r>
      <w:r>
        <w:rPr/>
        <w:t>月</w:t>
      </w:r>
      <w:r>
        <w:rPr/>
        <w:t>9</w:t>
      </w:r>
      <w:r>
        <w:rPr/>
        <w:t>日买入、</w:t>
      </w:r>
      <w:r>
        <w:rPr/>
        <w:t>84.5</w:t>
      </w:r>
      <w:r>
        <w:rPr/>
        <w:t>港元。均为可核验新闻转述，未取得原始完整机构研报。相对</w:t>
      </w:r>
      <w:r>
        <w:rPr/>
        <w:t>49</w:t>
      </w:r>
      <w:r>
        <w:rPr/>
        <w:t>分别隐含较大上涨，但不能据此估计市场获利概率。同机构旧报道已经去重，领域讨论没有专属价的文章不会凑目标。原报告未来期限不明的项目保留缺失，不统一称</w:t>
      </w:r>
      <w:r>
        <w:rPr/>
        <w:t>12</w:t>
      </w:r>
      <w:r>
        <w:rPr/>
        <w:t>个月。</w:t>
      </w:r>
    </w:p>
    <w:p>
      <w:pPr>
        <w:pStyle w:val="Normal"/>
        <w:rPr/>
      </w:pPr>
      <w:r>
        <w:rPr/>
        <w:t>JPM71</w:t>
      </w:r>
      <w:r>
        <w:rPr/>
        <w:t>明确基于</w:t>
      </w:r>
      <w:r>
        <w:rPr/>
        <w:t>2027</w:t>
      </w:r>
      <w:r>
        <w:rPr/>
        <w:t>年</w:t>
      </w:r>
      <w:r>
        <w:rPr/>
        <w:t>12</w:t>
      </w:r>
      <w:r>
        <w:rPr/>
        <w:t>月</w:t>
      </w:r>
      <w:r>
        <w:rPr/>
        <w:t>SOTP</w:t>
      </w:r>
      <w:r>
        <w:rPr/>
        <w:t>，发现业务与软件其他分别采用</w:t>
      </w:r>
      <w:r>
        <w:rPr/>
        <w:t>17.5</w:t>
      </w:r>
      <w:r>
        <w:rPr/>
        <w:t>和</w:t>
      </w:r>
      <w:r>
        <w:rPr/>
        <w:t>8.9</w:t>
      </w:r>
      <w:r>
        <w:rPr/>
        <w:t>倍</w:t>
      </w:r>
      <w:r>
        <w:rPr/>
        <w:t>EV/S</w:t>
      </w:r>
      <w:r>
        <w:rPr/>
        <w:t>，公开文字称隐含</w:t>
      </w:r>
      <w:r>
        <w:rPr/>
        <w:t>2027</w:t>
      </w:r>
      <w:r>
        <w:rPr/>
        <w:t>约</w:t>
      </w:r>
      <w:r>
        <w:rPr/>
        <w:t>19</w:t>
      </w:r>
      <w:r>
        <w:rPr/>
        <w:t>倍</w:t>
      </w:r>
      <w:r>
        <w:rPr/>
        <w:t>PS</w:t>
      </w:r>
      <w:r>
        <w:rPr/>
        <w:t>。它的目标时点晚于本计划一年实际</w:t>
      </w:r>
      <w:r>
        <w:rPr/>
        <w:t>2027</w:t>
      </w:r>
      <w:r>
        <w:rPr/>
        <w:t>年</w:t>
      </w:r>
      <w:r>
        <w:rPr/>
        <w:t>10</w:t>
      </w:r>
      <w:r>
        <w:rPr/>
        <w:t>月</w:t>
      </w:r>
      <w:r>
        <w:rPr/>
        <w:t>7</w:t>
      </w:r>
      <w:r>
        <w:rPr/>
        <w:t>日，也晚于</w:t>
      </w:r>
      <w:r>
        <w:rPr/>
        <w:t>2026</w:t>
      </w:r>
      <w:r>
        <w:rPr/>
        <w:t>年底。本研究不按剩余月份线性缩放</w:t>
      </w:r>
      <w:r>
        <w:rPr/>
        <w:t>71</w:t>
      </w:r>
      <w:r>
        <w:rPr/>
        <w:t>。不同</w:t>
      </w:r>
      <w:r>
        <w:rPr/>
        <w:t>EV/S</w:t>
      </w:r>
      <w:r>
        <w:rPr/>
        <w:t>框架可能给予平台持续交易和管线选择权较大溢价，本有限现金分配框架则要求研发、权益、临床和资金在净现金中兑现，两者存在方法差异，不能把一个目标机械作为另一个模型校准值。</w:t>
      </w:r>
    </w:p>
    <w:p>
      <w:pPr>
        <w:pStyle w:val="Normal"/>
        <w:rPr/>
      </w:pPr>
      <w:r>
        <w:rPr/>
        <w:t>富瑞强调药物资产重要性超过永久模型优势，仍给</w:t>
      </w:r>
      <w:r>
        <w:rPr/>
        <w:t>100</w:t>
      </w:r>
      <w:r>
        <w:rPr/>
        <w:t>港元。花旗</w:t>
      </w:r>
      <w:r>
        <w:rPr/>
        <w:t>DCF</w:t>
      </w:r>
      <w:r>
        <w:rPr/>
        <w:t>维持</w:t>
      </w:r>
      <w:r>
        <w:rPr/>
        <w:t>85</w:t>
      </w:r>
      <w:r>
        <w:rPr/>
        <w:t>，探索衰老蛋白证据被视为额外合作可能，但公开转述同样指出小型数据和非注册终点。汇丰</w:t>
      </w:r>
      <w:r>
        <w:rPr/>
        <w:t>84.5</w:t>
      </w:r>
      <w:r>
        <w:rPr/>
        <w:t>来自行业管理层交流，并强调管线与</w:t>
      </w:r>
      <w:r>
        <w:rPr/>
        <w:t>TNIK</w:t>
      </w:r>
      <w:r>
        <w:rPr/>
        <w:t>进度。三者所需全套峰值、成功率、开发费用、税和未来融资假设未公开，无法完整复算。这里逐条保存原日期、币种、评级和来源，让读者看到方向而非伪造一致预期模型。</w:t>
      </w:r>
    </w:p>
    <w:p>
      <w:pPr>
        <w:pStyle w:val="Normal"/>
        <w:rPr/>
      </w:pPr>
      <w:r>
        <w:rPr/>
        <w:t>研究与投行差异非常大，应主动展示而非隐藏。基准一年</w:t>
      </w:r>
      <w:r>
        <w:rPr/>
        <w:t>6.15</w:t>
      </w:r>
      <w:r>
        <w:rPr/>
        <w:t>低于所有近期投行目标，乐观</w:t>
      </w:r>
      <w:r>
        <w:rPr/>
        <w:t>86.60</w:t>
      </w:r>
      <w:r>
        <w:rPr/>
        <w:t>接近其区间，说明近期机构观点相当于本模型更乐观的业务</w:t>
      </w:r>
      <w:r>
        <w:rPr/>
        <w:t>/</w:t>
      </w:r>
      <w:r>
        <w:rPr/>
        <w:t>成本组合，而不是普通基准可自然达到。低估值也可能受研究费用预算、分配约束和有限经营期保守性影响，应随着公司更细披露修订。投资者不能把本研究低值视为确定交易价，也不应仅选择乐观外部目标否定现金约束。</w:t>
      </w:r>
    </w:p>
    <w:p>
      <w:pPr>
        <w:pStyle w:val="Heading2"/>
        <w:rPr/>
      </w:pPr>
      <w:r>
        <w:rPr>
          <w:color w:val="000000"/>
        </w:rPr>
        <w:t>十四 四期限投资逻辑 催化和失败路径</w:t>
      </w:r>
    </w:p>
    <w:p>
      <w:pPr>
        <w:pStyle w:val="Normal"/>
        <w:rPr/>
      </w:pPr>
      <w:r>
        <w:rPr/>
        <w:t>半年的核心是</w:t>
      </w:r>
      <w:r>
        <w:rPr/>
        <w:t>FY2026</w:t>
      </w:r>
      <w:r>
        <w:rPr/>
        <w:t>真实收入和现金、现有合作履约、临床执行、可转债市场预期，以及日线能否恢复</w:t>
      </w:r>
      <w:r>
        <w:rPr/>
        <w:t>20</w:t>
      </w:r>
      <w:r>
        <w:rPr/>
        <w:t>日均线。不是</w:t>
      </w:r>
      <w:r>
        <w:rPr/>
        <w:t>III</w:t>
      </w:r>
      <w:r>
        <w:rPr/>
        <w:t>期注册性结果提前公布。若持续首付款和近端收入足以覆盖新增研发，市场可保持平台溢价并改善趋势；若年报利润低、递延履约支出高、量价破位，股价可能较快回归低净值。</w:t>
      </w:r>
      <w:r>
        <w:rPr/>
        <w:t>55.5</w:t>
      </w:r>
      <w:r>
        <w:rPr/>
        <w:t>分反映行业与催化较好，但估值和近期技术条件不足，不能只因</w:t>
      </w:r>
      <w:r>
        <w:rPr/>
        <w:t>AI</w:t>
      </w:r>
      <w:r>
        <w:rPr/>
        <w:t>题材热门提高半年推荐。</w:t>
      </w:r>
    </w:p>
    <w:p>
      <w:pPr>
        <w:pStyle w:val="Normal"/>
        <w:rPr/>
      </w:pPr>
      <w:r>
        <w:rPr/>
        <w:t>一年的重要差异是债券在目标日前到期。现金还本与转股会直接影响流动性和总股数，持续发现收入则决定研发计划是否需要另融资。目标时点基准亏损仍存在，成熟</w:t>
      </w:r>
      <w:r>
        <w:rPr/>
        <w:t>PE</w:t>
      </w:r>
      <w:r>
        <w:rPr/>
        <w:t>没有意义。可核验催化包括多伙伴</w:t>
      </w:r>
      <w:r>
        <w:rPr/>
        <w:t>milestone</w:t>
      </w:r>
      <w:r>
        <w:rPr/>
        <w:t>、</w:t>
      </w:r>
      <w:r>
        <w:rPr/>
        <w:t>IBDIIa</w:t>
      </w:r>
      <w:r>
        <w:rPr/>
        <w:t>与肿瘤</w:t>
      </w:r>
      <w:r>
        <w:rPr/>
        <w:t>I</w:t>
      </w:r>
      <w:r>
        <w:rPr/>
        <w:t>期数据、国内</w:t>
      </w:r>
      <w:r>
        <w:rPr/>
        <w:t>IPF</w:t>
      </w:r>
      <w:r>
        <w:rPr/>
        <w:t>三期招募，以及真实订单和收入净份额。若只是签更多巨大潜在交易而实际收款不增，推荐不会上调；若成本与合作分担比模型更好，则应重算基准。</w:t>
      </w:r>
    </w:p>
    <w:p>
      <w:pPr>
        <w:pStyle w:val="Normal"/>
        <w:rPr/>
      </w:pPr>
      <w:r>
        <w:rPr/>
        <w:t>三年接近</w:t>
      </w:r>
      <w:r>
        <w:rPr/>
        <w:t>Rentosertib</w:t>
      </w:r>
      <w:r>
        <w:rPr/>
        <w:t>预期中国顶线时点，资产风险可能发生离散变化。明确阳性数据可提高成功率、降低后续风险并改善授权条款，但监管申报、生产、准入仍需时间。阴性或安全性问题会冲击中国与境外</w:t>
      </w:r>
      <w:r>
        <w:rPr/>
        <w:t>TNIK</w:t>
      </w:r>
      <w:r>
        <w:rPr/>
        <w:t>权益，并可能影响平台品牌。其他</w:t>
      </w:r>
      <w:r>
        <w:rPr/>
        <w:t>IBD</w:t>
      </w:r>
      <w:r>
        <w:rPr/>
        <w:t>、</w:t>
      </w:r>
      <w:r>
        <w:rPr/>
        <w:t>MAT2A</w:t>
      </w:r>
      <w:r>
        <w:rPr/>
        <w:t>、</w:t>
      </w:r>
      <w:r>
        <w:rPr/>
        <w:t>TEAD</w:t>
      </w:r>
      <w:r>
        <w:rPr/>
        <w:t>和</w:t>
      </w:r>
      <w:r>
        <w:rPr/>
        <w:t>NLRP3</w:t>
      </w:r>
      <w:r>
        <w:rPr/>
        <w:t>项目能否提供独立人体证据，将决定公司是否依赖一个核心项目。</w:t>
      </w:r>
      <w:r>
        <w:rPr/>
        <w:t>66.4</w:t>
      </w:r>
      <w:r>
        <w:rPr/>
        <w:t>分允许成长观察，却不因资产数量就认为失败风险已经充分分散。</w:t>
      </w:r>
    </w:p>
    <w:p>
      <w:pPr>
        <w:pStyle w:val="Normal"/>
        <w:rPr/>
      </w:pPr>
      <w:r>
        <w:rPr/>
        <w:t>五年基准中国</w:t>
      </w:r>
      <w:r>
        <w:rPr/>
        <w:t>IPF</w:t>
      </w:r>
      <w:r>
        <w:rPr/>
        <w:t>形成初步商业经济，其他项目仍分阶段推进。净版税可比自销更节省商业资本，软件和服务可以缓冲药物周期，持续新交易则可能填研发资金。失败路径包括旧平台优势减弱、疗效不足、适应症竞争、支付价格低、全球合作权利净比低于假设、激励稀释和融资价格差。</w:t>
      </w:r>
      <w:r>
        <w:rPr/>
        <w:t>69.8</w:t>
      </w:r>
      <w:r>
        <w:rPr/>
        <w:t>分代表较好的经营选择权，现价购买仍需要较乐观结果。本研究把业务质量与收益预期分别评分，评分不是赚钱概率。</w:t>
      </w:r>
    </w:p>
    <w:p>
      <w:pPr>
        <w:pStyle w:val="Normal"/>
        <w:rPr/>
      </w:pPr>
      <w:r>
        <w:rPr/>
        <w:t>10</w:t>
      </w:r>
      <w:r>
        <w:rPr/>
        <w:t>年展望到</w:t>
      </w:r>
      <w:r>
        <w:rPr/>
        <w:t>2036</w:t>
      </w:r>
      <w:r>
        <w:rPr/>
        <w:t>，应检验英矽能否成为有多项产品净收益的研发组织。基准模型此时收入约</w:t>
      </w:r>
      <w:r>
        <w:rPr/>
        <w:t>8.366</w:t>
      </w:r>
      <w:r>
        <w:rPr/>
        <w:t>亿美元、正常利润约</w:t>
      </w:r>
      <w:r>
        <w:rPr/>
        <w:t>2.110</w:t>
      </w:r>
      <w:r>
        <w:rPr/>
        <w:t>亿美元，仍是研究假设，要求多个项目按阶段成功并持续扩大服务。真正持续性来自药企认可、高质量数据、人才和资本配置，而不是一直保有最先进基础模型。若公司只有短期首款而没有后续</w:t>
      </w:r>
      <w:r>
        <w:rPr/>
        <w:t>milestone</w:t>
      </w:r>
      <w:r>
        <w:rPr/>
        <w:t>或产品净收益，十年商业质量判断应大幅下调，长期持有也不自动平滑亏损。</w:t>
      </w:r>
    </w:p>
    <w:p>
      <w:pPr>
        <w:pStyle w:val="Heading2"/>
        <w:rPr/>
      </w:pPr>
      <w:r>
        <w:rPr>
          <w:color w:val="000000"/>
        </w:rPr>
        <w:t>十五 反证清单 研究限制与更新规则</w:t>
      </w:r>
    </w:p>
    <w:p>
      <w:pPr>
        <w:pStyle w:val="Normal"/>
        <w:rPr/>
      </w:pPr>
      <w:r>
        <w:rPr/>
        <w:t>推荐的正面反证是现金预算被真实数据显著改善：现有合作方承担临床费用高于模型、全年新增交易净款超出预算且没有重复保留</w:t>
      </w:r>
      <w:r>
        <w:rPr/>
        <w:t>IP</w:t>
      </w:r>
      <w:r>
        <w:rPr/>
        <w:t>、软件续约和规模增长、注册终点显示明确获益，以及债券转换或可承受再融资后每股净价值提升。负面反证包括合作终止、收款延后、关键安全性信号、临床招募明显慢、商业竞争压价、全球权利不完整和持续激励超预算。所有证据需直接进入对应参数，不能只改变文字评级。</w:t>
      </w:r>
    </w:p>
    <w:p>
      <w:pPr>
        <w:pStyle w:val="Normal"/>
        <w:rPr/>
      </w:pPr>
      <w:r>
        <w:rPr/>
        <w:t>模型资金失败状态是有限研究计划低于</w:t>
      </w:r>
      <w:r>
        <w:rPr/>
        <w:t>2500</w:t>
      </w:r>
      <w:r>
        <w:rPr/>
        <w:t>万美元储备的结果，不是法定破产测试。开曼母公司与研发、商业实体的可分配储备、债务限制及资金转移未逐一审计，</w:t>
      </w:r>
      <w:r>
        <w:rPr/>
        <w:t>2030</w:t>
      </w:r>
      <w:r>
        <w:rPr/>
        <w:t>开始</w:t>
      </w:r>
      <w:r>
        <w:rPr/>
        <w:t>50%</w:t>
      </w:r>
      <w:r>
        <w:rPr/>
        <w:t>利润分配和</w:t>
      </w:r>
      <w:r>
        <w:rPr/>
        <w:t>1.5</w:t>
      </w:r>
      <w:r>
        <w:rPr/>
        <w:t>亿美元储备是保守研究代理。公司可通过项目出售、缩减研发、合作融资或股权融资改变路径，这些措施也改变未来权益和稀释。若实施，必须先建立可核验新的资金与项目组合，再给相应价格，不能设置无限免费救助。</w:t>
      </w:r>
    </w:p>
    <w:p>
      <w:pPr>
        <w:pStyle w:val="Normal"/>
        <w:rPr/>
      </w:pPr>
      <w:r>
        <w:rPr/>
        <w:t>估值最不确定的输入是后续临床成本、成功率、峰值净销售和持续新交易质量。它们之间存在相关性，三情景并不是统计独立样本。技术指标在短期可观测，却不能决定多年资产现金。资料缺失包括九月剩余期权逐份行权价、全部合作净费率与付款节奏、服务续约、逐项目研发预算和完整机构研报；缺失没有用市场目标价回填。研究截止严格限制到</w:t>
      </w:r>
      <w:r>
        <w:rPr/>
        <w:t>10</w:t>
      </w:r>
      <w:r>
        <w:rPr/>
        <w:t>月</w:t>
      </w:r>
      <w:r>
        <w:rPr/>
        <w:t>9</w:t>
      </w:r>
      <w:r>
        <w:rPr/>
        <w:t>，正式</w:t>
      </w:r>
      <w:r>
        <w:rPr/>
        <w:t>ESMO</w:t>
      </w:r>
      <w:r>
        <w:rPr/>
        <w:t>结果及后来公告只能在未来版本更新。</w:t>
      </w:r>
    </w:p>
    <w:p>
      <w:pPr>
        <w:pStyle w:val="Normal"/>
        <w:rPr/>
      </w:pPr>
      <w:r>
        <w:rPr/>
        <w:t>Excel</w:t>
      </w:r>
      <w:r>
        <w:rPr/>
        <w:t>使用单套活动模型，依次选择悲观、基准、乐观重算并保存快照。金融资产、债券和股份输入改变后，旧快照需要刷新，正文亦应同步。每个目标价格按目标除</w:t>
      </w:r>
      <w:r>
        <w:rPr/>
        <w:t>49</w:t>
      </w:r>
      <w:r>
        <w:rPr/>
        <w:t>减一算股价回报，研究股息单列，三与五年含分红年化按真实目标日计算。主体</w:t>
      </w:r>
      <w:r>
        <w:rPr/>
        <w:t>I008</w:t>
      </w:r>
      <w:r>
        <w:rPr/>
        <w:t>与证券</w:t>
      </w:r>
      <w:r>
        <w:rPr/>
        <w:t>S008</w:t>
      </w:r>
      <w:r>
        <w:rPr/>
        <w:t>保持分开，便于以后新增市场上市时共享基本面、分别比较股价和股份权利，不把同公司当两家不同长期资产。</w:t>
      </w:r>
    </w:p>
    <w:p>
      <w:pPr>
        <w:pStyle w:val="Normal"/>
        <w:rPr/>
      </w:pPr>
      <w:r>
        <w:rPr/>
        <w:t>综合结论是英矽拥有实质平台合作与临床选择权，且长期需求空间大，但</w:t>
      </w:r>
      <w:r>
        <w:rPr/>
        <w:t>49</w:t>
      </w:r>
      <w:r>
        <w:rPr/>
        <w:t>港元对高成长的要求明显。近期量价没有提供强突破证据，年度和中期现金回报在基准投入下偏弱，年底加权期望也低于现价。下一次优先观察真实年度净收款、研发成本分担、</w:t>
      </w:r>
      <w:r>
        <w:rPr/>
        <w:t>III</w:t>
      </w:r>
      <w:r>
        <w:rPr/>
        <w:t>期进度及债券处理，再判断是否能上修为高优先推荐。只有这些关键证据改善，较高乐观值才有机会从选择权变为可分配的股东收益。</w:t>
      </w:r>
    </w:p>
    <w:p>
      <w:pPr>
        <w:pStyle w:val="Heading2"/>
        <w:rPr/>
      </w:pPr>
      <w:r>
        <w:rPr>
          <w:color w:val="000000"/>
        </w:rPr>
        <w:t>来源与核验附录</w:t>
      </w:r>
    </w:p>
    <w:p>
      <w:pPr>
        <w:pStyle w:val="Normal"/>
        <w:rPr/>
      </w:pPr>
      <w:r>
        <w:rPr/>
        <w:t>- HKEX</w:t>
      </w:r>
      <w:r>
        <w:rPr/>
        <w:t>英矽</w:t>
      </w:r>
      <w:r>
        <w:rPr/>
        <w:t>2026</w:t>
      </w:r>
      <w:r>
        <w:rPr/>
        <w:t>中报，</w:t>
      </w:r>
      <w:r>
        <w:rPr/>
        <w:t>2026-08-26 17:08</w:t>
      </w:r>
      <w:r>
        <w:rPr/>
        <w:t>：</w:t>
      </w:r>
      <w:r>
        <w:rPr/>
        <w:t>https://www1.hkexnews.hk/listedco/listconews/sehk/2026/0826/2026082600542.pdf</w:t>
      </w:r>
    </w:p>
    <w:p>
      <w:pPr>
        <w:pStyle w:val="Normal"/>
        <w:rPr/>
      </w:pPr>
      <w:r>
        <w:rPr/>
        <w:t>- HKEX2025</w:t>
      </w:r>
      <w:r>
        <w:rPr/>
        <w:t>年报，</w:t>
      </w:r>
      <w:r>
        <w:rPr/>
        <w:t>2026-04-28 20:00</w:t>
      </w:r>
      <w:r>
        <w:rPr/>
        <w:t>：</w:t>
      </w:r>
      <w:r>
        <w:rPr/>
        <w:t>https://www1.hkexnews.hk/listedco/listconews/sehk/2026/0428/2026042803625.pdf</w:t>
      </w:r>
    </w:p>
    <w:p>
      <w:pPr>
        <w:pStyle w:val="Normal"/>
        <w:rPr/>
      </w:pPr>
      <w:r>
        <w:rPr/>
        <w:t>- HKEX2026</w:t>
      </w:r>
      <w:r>
        <w:rPr/>
        <w:t>年</w:t>
      </w:r>
      <w:r>
        <w:rPr/>
        <w:t>9</w:t>
      </w:r>
      <w:r>
        <w:rPr/>
        <w:t>月月报，</w:t>
      </w:r>
      <w:r>
        <w:rPr/>
        <w:t>2026-10-07 17:00</w:t>
      </w:r>
      <w:r>
        <w:rPr/>
        <w:t>：</w:t>
      </w:r>
      <w:r>
        <w:rPr/>
        <w:t>https://www1.hkexnews.hk/listedco/listconews/sehk/2026/1007/2026100701100.pdf</w:t>
      </w:r>
    </w:p>
    <w:p>
      <w:pPr>
        <w:pStyle w:val="Normal"/>
        <w:rPr/>
      </w:pPr>
      <w:r>
        <w:rPr/>
        <w:t>- HKEX</w:t>
      </w:r>
      <w:r>
        <w:rPr/>
        <w:t>可转债定价与完成，</w:t>
      </w:r>
      <w:r>
        <w:rPr/>
        <w:t>2026-08-28</w:t>
      </w:r>
      <w:r>
        <w:rPr/>
        <w:t>与</w:t>
      </w:r>
      <w:r>
        <w:rPr/>
        <w:t>09-03</w:t>
      </w:r>
      <w:r>
        <w:rPr/>
        <w:t>：</w:t>
      </w:r>
      <w:r>
        <w:rPr/>
        <w:t>https://www1.hkexnews.hk/listedco/listconews/sehk/2026/0828/2026082800033.pdf</w:t>
      </w:r>
      <w:r>
        <w:rPr/>
        <w:t>；</w:t>
      </w:r>
      <w:r>
        <w:rPr/>
        <w:t>https://www1.hkexnews.hk/listedco/listconews/sehk/2026/0903/2026090302431.pdf</w:t>
      </w:r>
    </w:p>
    <w:p>
      <w:pPr>
        <w:pStyle w:val="Normal"/>
        <w:rPr/>
      </w:pPr>
      <w:r>
        <w:rPr/>
        <w:t>- Nature Medicine</w:t>
      </w:r>
      <w:r>
        <w:rPr/>
        <w:t>原</w:t>
      </w:r>
      <w:r>
        <w:rPr/>
        <w:t>IIa</w:t>
      </w:r>
      <w:r>
        <w:rPr/>
        <w:t>随机试验，</w:t>
      </w:r>
      <w:r>
        <w:rPr/>
        <w:t>2025-06-03</w:t>
      </w:r>
      <w:r>
        <w:rPr/>
        <w:t>：</w:t>
      </w:r>
      <w:r>
        <w:rPr/>
        <w:t>https://www.nature.com/articles/s41591-025-03743-2</w:t>
      </w:r>
    </w:p>
    <w:p>
      <w:pPr>
        <w:pStyle w:val="Normal"/>
        <w:rPr/>
      </w:pPr>
      <w:r>
        <w:rPr/>
        <w:t>- JPM71</w:t>
      </w:r>
      <w:r>
        <w:rPr/>
        <w:t>目标</w:t>
      </w:r>
      <w:r>
        <w:rPr/>
        <w:t>2027</w:t>
      </w:r>
      <w:r>
        <w:rPr/>
        <w:t>年</w:t>
      </w:r>
      <w:r>
        <w:rPr/>
        <w:t>12</w:t>
      </w:r>
      <w:r>
        <w:rPr/>
        <w:t>月的公开转述：</w:t>
      </w:r>
      <w:r>
        <w:rPr/>
        <w:t>https://www.aastocks.com/tc/stocks/analysis/stock-aafn-con/03696/AAFN/NOW.1545526/research-report</w:t>
      </w:r>
    </w:p>
    <w:p>
      <w:pPr>
        <w:pStyle w:val="Normal"/>
        <w:rPr/>
      </w:pPr>
      <w:r>
        <w:rPr/>
        <w:t>- Jefferies100</w:t>
      </w:r>
      <w:r>
        <w:rPr/>
        <w:t>公开转述：</w:t>
      </w:r>
      <w:r>
        <w:rPr/>
        <w:t>https://www.aastocks.com/tc/stocks/analysis/stock-aafn-con/03696/AAFN/NOW.1546233/research-report</w:t>
      </w:r>
    </w:p>
    <w:p>
      <w:pPr>
        <w:pStyle w:val="Normal"/>
        <w:rPr/>
      </w:pPr>
      <w:r>
        <w:rPr/>
        <w:t>- Citi85</w:t>
      </w:r>
      <w:r>
        <w:rPr/>
        <w:t>公开转述：</w:t>
      </w:r>
      <w:r>
        <w:rPr/>
        <w:t>https://www.aastocks.com/tc/stocks/analysis/stock-aafn-con/03696/AAFN/NOW.1543625/research-report</w:t>
      </w:r>
    </w:p>
    <w:p>
      <w:pPr>
        <w:pStyle w:val="Normal"/>
        <w:rPr/>
      </w:pPr>
      <w:r>
        <w:rPr/>
        <w:t>- HSBC84.5</w:t>
      </w:r>
      <w:r>
        <w:rPr/>
        <w:t>公开转述：</w:t>
      </w:r>
      <w:r>
        <w:rPr/>
        <w:t>https://www.aastocks.com/tc/stocks/analysis/stock-aafn-con/03696/AAFN/NOW.1543616/research-report</w:t>
      </w:r>
    </w:p>
    <w:p>
      <w:pPr>
        <w:pStyle w:val="Normal"/>
        <w:rPr/>
      </w:pPr>
      <w:r>
        <w:rPr/>
        <w:t>公司公告、</w:t>
      </w:r>
      <w:r>
        <w:rPr/>
        <w:t>IPO</w:t>
      </w:r>
      <w:r>
        <w:rPr/>
        <w:t>及合作原文目录保留</w:t>
      </w:r>
      <w:r>
        <w:rPr/>
        <w:t>62</w:t>
      </w:r>
      <w:r>
        <w:rPr/>
        <w:t>项来源。正文不含长引用；目录、表格、图注和来源不纳入有效汉字验收。日线、周线和相对指数源存档于统一行情库，模型、敏感性与核验记录按版本保存。</w:t>
      </w:r>
      <w:r>
        <w:br w:type="page"/>
      </w:r>
    </w:p>
    <w:p>
      <w:pPr>
        <w:pStyle w:val="Heading1"/>
        <w:rPr/>
      </w:pPr>
      <w:bookmarkStart w:id="2" w:name="__RefHeading___Toc57532_312338234"/>
      <w:bookmarkEnd w:id="2"/>
      <w:r>
        <w:rPr>
          <w:color w:val="000000"/>
        </w:rPr>
        <w:t xml:space="preserve">君圣泰医药 </w:t>
      </w:r>
      <w:r>
        <w:rPr>
          <w:color w:val="000000"/>
        </w:rPr>
        <w:t>B 02511 HK</w:t>
      </w:r>
    </w:p>
    <w:p>
      <w:pPr>
        <w:pStyle w:val="Normal"/>
        <w:rPr/>
      </w:pPr>
      <w:r>
        <w:rPr/>
        <w:t xml:space="preserve">02511.HK </w:t>
      </w:r>
      <w:r>
        <w:rPr/>
        <w:t xml:space="preserve">现价 </w:t>
      </w:r>
      <w:r>
        <w:rPr/>
        <w:t>3.42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-71.60%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-50.28%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1.62HKD</w:t>
      </w:r>
      <w:r>
        <w:rPr/>
        <w:t>，期望股价回报</w:t>
      </w:r>
      <w:r>
        <w:rPr/>
        <w:t>-52.72%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0.91</w:t>
              <w:br/>
              <w:t>-73.50%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4.89</w:t>
              <w:br/>
              <w:t>+42.74%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0.97</w:t>
              <w:br/>
              <w:t>-71.60%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5.19</w:t>
              <w:br/>
              <w:t>+51.65%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w:t>
              <w:br/>
              <w:t>-62.40%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6.64</w:t>
              <w:br/>
              <w:t>+93.81%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-27.82%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w:t>
              <w:br/>
              <w:t>-50.28%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8.47</w:t>
              <w:br/>
              <w:t>+147.43%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-13.04%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HKEX</w:t>
            </w:r>
            <w:r>
              <w:rPr>
                <w:rFonts w:ascii="微软雅黑" w:hAnsi="微软雅黑" w:eastAsia="微软雅黑"/>
                <w:sz w:val="17"/>
              </w:rPr>
              <w:t>原件，临床多为公司转述，中报未审计</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686</w:t>
            </w:r>
            <w:r>
              <w:rPr>
                <w:rFonts w:ascii="微软雅黑" w:hAnsi="微软雅黑" w:eastAsia="微软雅黑"/>
                <w:sz w:val="17"/>
              </w:rPr>
              <w:t>日</w:t>
            </w:r>
            <w:r>
              <w:rPr>
                <w:rFonts w:eastAsia="微软雅黑" w:ascii="微软雅黑" w:hAnsi="微软雅黑"/>
                <w:sz w:val="17"/>
              </w:rPr>
              <w:t>147</w:t>
            </w:r>
            <w:r>
              <w:rPr>
                <w:rFonts w:ascii="微软雅黑" w:hAnsi="微软雅黑" w:eastAsia="微软雅黑"/>
                <w:sz w:val="17"/>
              </w:rPr>
              <w:t>周、两源价</w:t>
            </w:r>
            <w:r>
              <w:rPr>
                <w:rFonts w:eastAsia="微软雅黑" w:ascii="微软雅黑" w:hAnsi="微软雅黑"/>
                <w:sz w:val="17"/>
              </w:rPr>
              <w:t>/</w:t>
            </w:r>
            <w:r>
              <w:rPr>
                <w:rFonts w:ascii="微软雅黑" w:hAnsi="微软雅黑" w:eastAsia="微软雅黑"/>
                <w:sz w:val="17"/>
              </w:rPr>
              <w:t>量一致，</w:t>
            </w:r>
            <w:r>
              <w:rPr>
                <w:rFonts w:eastAsia="微软雅黑" w:ascii="微软雅黑" w:hAnsi="微软雅黑"/>
                <w:sz w:val="17"/>
              </w:rPr>
              <w:t>6</w:t>
            </w:r>
            <w:r>
              <w:rPr>
                <w:rFonts w:ascii="微软雅黑" w:hAnsi="微软雅黑" w:eastAsia="微软雅黑"/>
                <w:sz w:val="17"/>
              </w:rPr>
              <w:t>根逻辑</w:t>
            </w:r>
            <w:r>
              <w:rPr>
                <w:rFonts w:eastAsia="微软雅黑" w:ascii="微软雅黑" w:hAnsi="微软雅黑"/>
                <w:sz w:val="17"/>
              </w:rPr>
              <w:t>bar</w:t>
            </w:r>
            <w:r>
              <w:rPr>
                <w:rFonts w:ascii="微软雅黑" w:hAnsi="微软雅黑" w:eastAsia="微软雅黑"/>
                <w:sz w:val="17"/>
              </w:rPr>
              <w:t>按腾讯修复</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低：峰值</w:t>
            </w:r>
            <w:r>
              <w:rPr>
                <w:rFonts w:eastAsia="微软雅黑" w:ascii="微软雅黑" w:hAnsi="微软雅黑"/>
                <w:sz w:val="17"/>
              </w:rPr>
              <w:t>/PoS/</w:t>
            </w:r>
            <w:r>
              <w:rPr>
                <w:rFonts w:ascii="微软雅黑" w:hAnsi="微软雅黑" w:eastAsia="微软雅黑"/>
                <w:sz w:val="17"/>
              </w:rPr>
              <w:t>定价</w:t>
            </w:r>
            <w:r>
              <w:rPr>
                <w:rFonts w:eastAsia="微软雅黑" w:ascii="微软雅黑" w:hAnsi="微软雅黑"/>
                <w:sz w:val="17"/>
              </w:rPr>
              <w:t>/</w:t>
            </w:r>
            <w:r>
              <w:rPr>
                <w:rFonts w:ascii="微软雅黑" w:hAnsi="微软雅黑" w:eastAsia="微软雅黑"/>
                <w:sz w:val="17"/>
              </w:rPr>
              <w:t>审批</w:t>
            </w:r>
            <w:r>
              <w:rPr>
                <w:rFonts w:eastAsia="微软雅黑" w:ascii="微软雅黑" w:hAnsi="微软雅黑"/>
                <w:sz w:val="17"/>
              </w:rPr>
              <w:t>/</w:t>
            </w:r>
            <w:r>
              <w:rPr>
                <w:rFonts w:ascii="微软雅黑" w:hAnsi="微软雅黑" w:eastAsia="微软雅黑"/>
                <w:sz w:val="17"/>
              </w:rPr>
              <w:t>融资</w:t>
            </w:r>
            <w:r>
              <w:rPr>
                <w:rFonts w:eastAsia="微软雅黑" w:ascii="微软雅黑" w:hAnsi="微软雅黑"/>
                <w:sz w:val="17"/>
              </w:rPr>
              <w:t>/</w:t>
            </w:r>
            <w:r>
              <w:rPr>
                <w:rFonts w:ascii="微软雅黑" w:hAnsi="微软雅黑" w:eastAsia="微软雅黑"/>
                <w:sz w:val="17"/>
              </w:rPr>
              <w:t>基金退出主观，单分子多适应症高度相关</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低：公开索引只取得行业港股通新闻，未核个股外资目标</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-74.82%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-70.18%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-52.77%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-47.80%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I037</w:t>
      </w:r>
      <w:r>
        <w:rPr/>
        <w:t xml:space="preserve">｜证券 </w:t>
      </w:r>
      <w:r>
        <w:rPr/>
        <w:t>S044</w:t>
      </w:r>
      <w:r>
        <w:rPr/>
        <w:t>｜</w:t>
      </w:r>
      <w:r>
        <w:rPr/>
        <w:t>02511.HK</w:t>
      </w:r>
      <w:r>
        <w:rPr/>
        <w:t xml:space="preserve">｜价格与信息基准 </w:t>
      </w:r>
      <w:r>
        <w:rPr/>
        <w:t>2026</w:t>
      </w:r>
      <w:r>
        <w:rPr/>
        <w:t>年</w:t>
      </w:r>
      <w:r>
        <w:rPr/>
        <w:t>10</w:t>
      </w:r>
      <w:r>
        <w:rPr/>
        <w:t>月</w:t>
      </w:r>
      <w:r>
        <w:rPr/>
        <w:t>9</w:t>
      </w:r>
      <w:r>
        <w:rPr/>
        <w:t>日｜独立初版</w:t>
      </w:r>
    </w:p>
    <w:p>
      <w:pPr>
        <w:pStyle w:val="Heading2"/>
        <w:rPr/>
      </w:pPr>
      <w:r>
        <w:rPr>
          <w:color w:val="000000"/>
        </w:rPr>
        <w:t>投资结论</w:t>
      </w:r>
    </w:p>
    <w:p>
      <w:pPr>
        <w:pStyle w:val="Normal"/>
        <w:rPr/>
      </w:pPr>
      <w:r>
        <w:rPr/>
        <w:t>君圣泰适合放在高风险事件观察名单，当前不属于本研究的核心推荐。锁定收盘价为</w:t>
      </w:r>
      <w:r>
        <w:rPr/>
        <w:t>3.425</w:t>
      </w:r>
      <w:r>
        <w:rPr/>
        <w:t>港元；糖尿病三项Ⅲ期达到主要终点和新药申请受理构成真实进展，尚未取得批准、定价、医保和商业合作的确定证据。更关键的是，全球</w:t>
      </w:r>
      <w:r>
        <w:rPr/>
        <w:t>MASH</w:t>
      </w:r>
      <w:r>
        <w:rPr/>
        <w:t>开发遇到试验执行与质量管理问题，而股价所隐含的多适应症成长需要这些问题被新的、可重复的人体数据化解。用完整研发、推广、行政及后续融资成本扣除后，基准情景有限现金流价值明显低于现价；乐观情景仍有较大上行，代价是投资者必须承担非常宽的结果分布。</w:t>
      </w:r>
    </w:p>
    <w:p>
      <w:pPr>
        <w:pStyle w:val="Normal"/>
        <w:rPr/>
      </w:pPr>
      <w:r>
        <w:rPr/>
        <w:t>本章对公司的评价同时保留临床质量和投资价格两个问题。具有统计意义的降糖数据能够增加首次注册成功的可信度，却不能直接证明以当前股价买入有足够收益。公司没有主营药品收入，第三方页面上的负市盈率没有正常盈利估值意义。长期价值取决于糖尿病患者实际愿意支付的净价格、医生采用率、持续用药时间，以及扩适应症获得资金后的试验结果。把心肾代谢总市场直接乘以小份额，会跳过适应症批准、竞争、支付和公司现金能力，容易把宏大需求转变成缺少约束的目标价。</w:t>
      </w:r>
    </w:p>
    <w:p>
      <w:pPr>
        <w:pStyle w:val="Normal"/>
        <w:rPr/>
      </w:pPr>
      <w:r>
        <w:rPr/>
        <w:t>四期限得分依次为半年</w:t>
      </w:r>
      <w:r>
        <w:rPr/>
        <w:t>58.7</w:t>
      </w:r>
      <w:r>
        <w:rPr/>
        <w:t>、一年</w:t>
      </w:r>
      <w:r>
        <w:rPr/>
        <w:t>60.2</w:t>
      </w:r>
      <w:r>
        <w:rPr/>
        <w:t>、三年</w:t>
      </w:r>
      <w:r>
        <w:rPr/>
        <w:t>62.1</w:t>
      </w:r>
      <w:r>
        <w:rPr/>
        <w:t>、五年</w:t>
      </w:r>
      <w:r>
        <w:rPr/>
        <w:t>59.5</w:t>
      </w:r>
      <w:r>
        <w:rPr/>
        <w:t>，属于审慎进取观察梯队。评分采用统一六维权重，</w:t>
      </w:r>
      <w:r>
        <w:rPr/>
        <w:t>v2</w:t>
      </w:r>
      <w:r>
        <w:rPr/>
        <w:t>估值分根据基准下行及资金及时到位需求再作折价；技术形态在半年内有支持，无法抵消资金与证据风险。分数只是同名单比较工具，不是获利或审批概率。短期可关注</w:t>
      </w:r>
      <w:r>
        <w:rPr/>
        <w:t>3.10</w:t>
      </w:r>
      <w:r>
        <w:rPr/>
        <w:t>至</w:t>
      </w:r>
      <w:r>
        <w:rPr/>
        <w:t>3.665</w:t>
      </w:r>
      <w:r>
        <w:rPr/>
        <w:t>港元的观察区间；日线收盘突破区间上沿且多日成交扩大，才有更明确的交易趋势确认。若跌破</w:t>
      </w:r>
      <w:r>
        <w:rPr/>
        <w:t>3.10</w:t>
      </w:r>
      <w:r>
        <w:rPr/>
        <w:t>后无法修复，同时出现审批延迟、资金消耗上升或投资基金退出损失，现有修复逻辑会被削弱。长期持有必须能够接受追加融资和单分子相关失败带来的永久资本损失。</w:t>
      </w:r>
    </w:p>
    <w:p>
      <w:pPr>
        <w:pStyle w:val="Normal"/>
        <w:rPr/>
      </w:pPr>
      <w:r>
        <w:rPr/>
        <w:t>模型的年底悲观、基准、乐观价格分别为</w:t>
      </w:r>
      <w:r>
        <w:rPr/>
        <w:t>0</w:t>
      </w:r>
      <w:r>
        <w:rPr/>
        <w:t>、</w:t>
      </w:r>
      <w:r>
        <w:rPr/>
        <w:t>0.8740</w:t>
      </w:r>
      <w:r>
        <w:rPr/>
        <w:t>、</w:t>
      </w:r>
      <w:r>
        <w:rPr/>
        <w:t>4.7296</w:t>
      </w:r>
      <w:r>
        <w:rPr/>
        <w:t>港元，基准相对</w:t>
      </w:r>
      <w:r>
        <w:rPr/>
        <w:t>3.425</w:t>
      </w:r>
      <w:r>
        <w:rPr/>
        <w:t>港元下跌</w:t>
      </w:r>
      <w:r>
        <w:rPr/>
        <w:t>74.48%</w:t>
      </w:r>
      <w:r>
        <w:rPr/>
        <w:t>，乐观上涨</w:t>
      </w:r>
      <w:r>
        <w:rPr/>
        <w:t>38.09%</w:t>
      </w:r>
      <w:r>
        <w:rPr/>
        <w:t>；判断权重</w:t>
      </w:r>
      <w:r>
        <w:rPr/>
        <w:t>25%</w:t>
      </w:r>
      <w:r>
        <w:rPr/>
        <w:t>、</w:t>
      </w:r>
      <w:r>
        <w:rPr/>
        <w:t>50%</w:t>
      </w:r>
      <w:r>
        <w:rPr/>
        <w:t>、</w:t>
      </w:r>
      <w:r>
        <w:rPr/>
        <w:t>25%</w:t>
      </w:r>
      <w:r>
        <w:rPr/>
        <w:t>形成期望价</w:t>
      </w:r>
      <w:r>
        <w:rPr/>
        <w:t>1.6194</w:t>
      </w:r>
      <w:r>
        <w:rPr/>
        <w:t>港元，期望回报约负</w:t>
      </w:r>
      <w:r>
        <w:rPr/>
        <w:t>52.72%</w:t>
      </w:r>
      <w:r>
        <w:rPr/>
        <w:t>。本版以有限股东分红和末期净现金按各年全股折现，取代独立目标现金与企业价值相加。悲观现金路径即使获得假设融资仍出现缺口，因此该路径的可支持股东估值置零，不能被解释为断言年底必定清盘或股票只能成交零元。交易价格可能保留期权和情绪价值，也可能因融资、停牌或流动性形成完全不同的路径，情景不是最大损失边界。</w:t>
      </w:r>
    </w:p>
    <w:p>
      <w:pPr>
        <w:pStyle w:val="Normal"/>
        <w:rPr/>
      </w:pPr>
      <w:r>
        <w:rPr/>
        <w:t>半年基准价</w:t>
      </w:r>
      <w:r>
        <w:rPr/>
        <w:t>0.9077</w:t>
      </w:r>
      <w:r>
        <w:rPr/>
        <w:t>港元、乐观</w:t>
      </w:r>
      <w:r>
        <w:rPr/>
        <w:t>4.8889</w:t>
      </w:r>
      <w:r>
        <w:rPr/>
        <w:t>港元；一年基准</w:t>
      </w:r>
      <w:r>
        <w:rPr/>
        <w:t>0.9728</w:t>
      </w:r>
      <w:r>
        <w:rPr/>
        <w:t>、乐观</w:t>
      </w:r>
      <w:r>
        <w:rPr/>
        <w:t>5.1942</w:t>
      </w:r>
      <w:r>
        <w:rPr/>
        <w:t>；三年基准</w:t>
      </w:r>
      <w:r>
        <w:rPr/>
        <w:t>1.2878</w:t>
      </w:r>
      <w:r>
        <w:rPr/>
        <w:t>、乐观</w:t>
      </w:r>
      <w:r>
        <w:rPr/>
        <w:t>6.6380</w:t>
      </w:r>
      <w:r>
        <w:rPr/>
        <w:t>；五年基准</w:t>
      </w:r>
      <w:r>
        <w:rPr/>
        <w:t>1.7028</w:t>
      </w:r>
      <w:r>
        <w:rPr/>
        <w:t>、乐观</w:t>
      </w:r>
      <w:r>
        <w:rPr/>
        <w:t>8.4746</w:t>
      </w:r>
      <w:r>
        <w:rPr/>
        <w:t>，悲观五个期限均零。三年和五年基准仍低于现价，并非期限拉长就自动提高推荐等级。模型不把时间经过本身当成临床风险消失，全部情景跨期限保留相同的适应症风险折价；真实批准、合作或失败发生后才能改写参数。目标五年内没有未来已宣布分红，含息回报与价格回报相同；估值中假设</w:t>
      </w:r>
      <w:r>
        <w:rPr/>
        <w:t>2033</w:t>
      </w:r>
      <w:r>
        <w:rPr/>
        <w:t>年后将超过现金储备的部分分配，只是有限回收计算规则，非公司派息承诺。</w:t>
      </w:r>
    </w:p>
    <w:p>
      <w:pPr>
        <w:pStyle w:val="Heading2"/>
        <w:rPr/>
      </w:pPr>
      <w:r>
        <w:rPr>
          <w:color w:val="000000"/>
        </w:rPr>
        <w:t>产品定位与竞争条件</w:t>
      </w:r>
    </w:p>
    <w:p>
      <w:pPr>
        <w:pStyle w:val="Normal"/>
        <w:rPr/>
      </w:pPr>
      <w:r>
        <w:rPr/>
        <w:t>公司以</w:t>
      </w:r>
      <w:r>
        <w:rPr/>
        <w:t>HTD1801</w:t>
      </w:r>
      <w:r>
        <w:rPr/>
        <w:t>作为核心资产，定位为口服、抗炎和代谢调节药物，强调</w:t>
      </w:r>
      <w:r>
        <w:rPr/>
        <w:t>AMPK</w:t>
      </w:r>
      <w:r>
        <w:rPr/>
        <w:t>激活与</w:t>
      </w:r>
      <w:r>
        <w:rPr/>
        <w:t>NLRP3</w:t>
      </w:r>
      <w:r>
        <w:rPr/>
        <w:t>炎症小体抑制的双机制。它不是传统意义上的单个降糖机制故事，管理层希望通过一个分子连接血糖、血脂、肝脏及肾功能指标。然而机制能够解释研究方向，临床价值仍需逐项验证。对股东而言，先确认哪个适应症最接近产生现金，再评估其他适应症的增量收入，比把所有机制图上的箭头同时资本化更稳健。当前最接近商业化的是中国二型糖尿病，全球肝病、肾病和肥胖属于不同阶段的未来选择权。</w:t>
      </w:r>
    </w:p>
    <w:p>
      <w:pPr>
        <w:pStyle w:val="Normal"/>
        <w:rPr/>
      </w:pPr>
      <w:r>
        <w:rPr/>
        <w:t>截至中报，公司披露六个自有候选药物、八个潜在适应症，临床阶段的主要资产是</w:t>
      </w:r>
      <w:r>
        <w:rPr/>
        <w:t>HTD1801</w:t>
      </w:r>
      <w:r>
        <w:rPr/>
        <w:t>及</w:t>
      </w:r>
      <w:r>
        <w:rPr/>
        <w:t>HTD4010</w:t>
      </w:r>
      <w:r>
        <w:rPr/>
        <w:t>。管线数量本身并不等于资产分散：若多数价值集中于</w:t>
      </w:r>
      <w:r>
        <w:rPr/>
        <w:t>HTD1801</w:t>
      </w:r>
      <w:r>
        <w:rPr/>
        <w:t>，同一个安全性、药代、制剂、生产质量或专利问题可能同时打击多个适应症。风险调整模型因而没有把各项成功率当成互相独立的彩票，也没有用多个适应症相加来证明整体成功概率很高。增量</w:t>
      </w:r>
      <w:r>
        <w:rPr/>
        <w:t>CKD</w:t>
      </w:r>
      <w:r>
        <w:rPr/>
        <w:t>、肥胖和</w:t>
      </w:r>
      <w:r>
        <w:rPr/>
        <w:t>MASH</w:t>
      </w:r>
      <w:r>
        <w:rPr/>
        <w:t>收入另外扣除与糖尿病治疗的患者重叠，避免同一个兼病患者被重复计入不同药品销售。</w:t>
      </w:r>
    </w:p>
    <w:p>
      <w:pPr>
        <w:pStyle w:val="Normal"/>
        <w:rPr/>
      </w:pPr>
      <w:r>
        <w:rPr/>
        <w:t>糖尿病治疗需求持续且广泛，商业入口却非常拥挤。二甲双胍具有价格和使用经验优势，</w:t>
      </w:r>
      <w:r>
        <w:rPr/>
        <w:t>SGLT2</w:t>
      </w:r>
      <w:r>
        <w:rPr/>
        <w:t>类与</w:t>
      </w:r>
      <w:r>
        <w:rPr/>
        <w:t>GLP1</w:t>
      </w:r>
      <w:r>
        <w:rPr/>
        <w:t>类已形成心肾或体重方面的强大竞争，其他口服降糖方案也给医生提供成熟替代。</w:t>
      </w:r>
      <w:r>
        <w:rPr/>
        <w:t>HTD1801</w:t>
      </w:r>
      <w:r>
        <w:rPr/>
        <w:t>需要在目标患者中证明其独特利益足以覆盖新药价格及换药成本。若标签主要允许降糖，而心肾指标只能作为探索性证据，推广时能表达的优势会比机制叙述窄。模型因此没有把潜在多器官利益都换算为高溢价，而以患者实际净收入和较长爬坡期约束中国销售。</w:t>
      </w:r>
    </w:p>
    <w:p>
      <w:pPr>
        <w:pStyle w:val="Normal"/>
        <w:rPr/>
      </w:pPr>
      <w:r>
        <w:rPr/>
        <w:t>口服给药为公司提供便利性优势，特别是希望减少注射负担、需要组合治疗的患者。便利性也不是无条件护城河：每日服药频率、片数、胃肠道耐受、长期依从性和医生处方习惯都影响真实使用。糖尿病是长期治疗市场，首张处方数量不能代表全年收入，续方率与停药率往往决定推广费用能否回收。若公司与成熟商业伙伴合作，可能降低自建团队的现金压力；伙伴会要求合理经济权益和可销售证据，新首款、里程碑或版税不能在尚未签约前成为估值中的既得现金。</w:t>
      </w:r>
    </w:p>
    <w:p>
      <w:pPr>
        <w:pStyle w:val="Normal"/>
        <w:rPr/>
      </w:pPr>
      <w:r>
        <w:rPr/>
        <w:t>价格环境会影响公司能否从临床创新转化为利润。医保准入可能扩大可及性，同时压低单患者净收入；自费阶段较高价格可能限制采用。对一个刚进入商业化的药物，进入医院、医生教育、分销库存和回款都需要时间，账面销售也未必同步形成现金。基准峰值收入假设</w:t>
      </w:r>
      <w:r>
        <w:rPr/>
        <w:t>13</w:t>
      </w:r>
      <w:r>
        <w:rPr/>
        <w:t>亿元可以示意拆为</w:t>
      </w:r>
      <w:r>
        <w:rPr/>
        <w:t>65</w:t>
      </w:r>
      <w:r>
        <w:rPr/>
        <w:t>万付费患者乘以每年</w:t>
      </w:r>
      <w:r>
        <w:rPr/>
        <w:t>2000</w:t>
      </w:r>
      <w:r>
        <w:rPr/>
        <w:t>元净收入，但该拆分是研究参数，并非已核实的价格、患者数或公司指引。真实医保价、目标人群和处方数据一旦公布，必须同时调整收入与销售费用。</w:t>
      </w:r>
    </w:p>
    <w:p>
      <w:pPr>
        <w:pStyle w:val="Normal"/>
        <w:rPr/>
      </w:pPr>
      <w:r>
        <w:rPr/>
        <w:t>公司提出</w:t>
      </w:r>
      <w:r>
        <w:rPr/>
        <w:t>CKM</w:t>
      </w:r>
      <w:r>
        <w:rPr/>
        <w:t>整体治疗理念，反映糖尿病、肥胖、肾病和心血管风险之间确有交集。投资者仍应防止将“具有交集”变成“同一种药能够取代所有标准治疗”。疾病之间相关并不保证每个器官的临床终点都改善，短期生物标志变化也可能不能转化为降低住院、透析或死亡。商业上，有多项协同利益的药物可能成为组合中的一环，而非独占患者全部治疗预算。远期模型保留平台潜力，但对没有独立注册试验的适应症采用显著较低风险折价，并保留新的开发费用。</w:t>
      </w:r>
    </w:p>
    <w:p>
      <w:pPr>
        <w:pStyle w:val="Heading2"/>
        <w:rPr/>
      </w:pPr>
      <w:r>
        <w:rPr>
          <w:color w:val="000000"/>
        </w:rPr>
        <w:t>糖尿病临床证据与注册路径</w:t>
      </w:r>
    </w:p>
    <w:p>
      <w:pPr>
        <w:pStyle w:val="Normal"/>
        <w:rPr/>
      </w:pPr>
      <w:r>
        <w:rPr/>
        <w:t>2026</w:t>
      </w:r>
      <w:r>
        <w:rPr/>
        <w:t>年</w:t>
      </w:r>
      <w:r>
        <w:rPr/>
        <w:t>3</w:t>
      </w:r>
      <w:r>
        <w:rPr/>
        <w:t>月</w:t>
      </w:r>
      <w:r>
        <w:rPr/>
        <w:t>10</w:t>
      </w:r>
      <w:r>
        <w:rPr/>
        <w:t>日</w:t>
      </w:r>
      <w:r>
        <w:rPr/>
        <w:t>17</w:t>
      </w:r>
      <w:r>
        <w:rPr/>
        <w:t>时</w:t>
      </w:r>
      <w:r>
        <w:rPr/>
        <w:t>21</w:t>
      </w:r>
      <w:r>
        <w:rPr/>
        <w:t>分发布的交易所公告明确，中国药监部门受理</w:t>
      </w:r>
      <w:r>
        <w:rPr/>
        <w:t>HTD1801</w:t>
      </w:r>
      <w:r>
        <w:rPr/>
        <w:t>治疗二型糖尿病的新药上市申请。这是公司的首个</w:t>
      </w:r>
      <w:r>
        <w:rPr/>
        <w:t>NDA</w:t>
      </w:r>
      <w:r>
        <w:rPr/>
        <w:t>，表示申报进入审评流程，不等于批准上市。公告称三项多中心、随机、双盲、对照Ⅲ期研究均达到主要及多项次要终点；本章把这一进展作为中国适应症较高风险折价的依据。审评仍可能涉及疗效、安全性、药学、生产与质量控制等问题。没有公开完成批准的证据，就不能把“预计上市”写成“已经获批”，也不能据此提前确认药品收入。</w:t>
      </w:r>
    </w:p>
    <w:p>
      <w:pPr>
        <w:pStyle w:val="Normal"/>
        <w:rPr/>
      </w:pPr>
      <w:r>
        <w:rPr/>
        <w:t>SYMPHONY2</w:t>
      </w:r>
      <w:r>
        <w:rPr/>
        <w:t>针对二甲双胍控制不足的患者，</w:t>
      </w:r>
      <w:r>
        <w:rPr/>
        <w:t>24</w:t>
      </w:r>
      <w:r>
        <w:rPr/>
        <w:t>周</w:t>
      </w:r>
      <w:r>
        <w:rPr/>
        <w:t>HbA1c</w:t>
      </w:r>
      <w:r>
        <w:rPr/>
        <w:t>最小二乘均值变化为</w:t>
      </w:r>
      <w:r>
        <w:rPr/>
        <w:t>HTD1801</w:t>
      </w:r>
      <w:r>
        <w:rPr/>
        <w:t>组负</w:t>
      </w:r>
      <w:r>
        <w:rPr/>
        <w:t>1.21</w:t>
      </w:r>
      <w:r>
        <w:rPr/>
        <w:t>个百分点、安慰剂组负</w:t>
      </w:r>
      <w:r>
        <w:rPr/>
        <w:t>0.68</w:t>
      </w:r>
      <w:r>
        <w:rPr/>
        <w:t>个百分点，组间差负</w:t>
      </w:r>
      <w:r>
        <w:rPr/>
        <w:t>0.53</w:t>
      </w:r>
      <w:r>
        <w:rPr/>
        <w:t>，报告显著性小于万分之一。</w:t>
      </w:r>
      <w:r>
        <w:rPr/>
        <w:t>33%</w:t>
      </w:r>
      <w:r>
        <w:rPr/>
        <w:t>的治疗组患者达到</w:t>
      </w:r>
      <w:r>
        <w:rPr/>
        <w:t>HbA1c</w:t>
      </w:r>
      <w:r>
        <w:rPr/>
        <w:t>低于</w:t>
      </w:r>
      <w:r>
        <w:rPr/>
        <w:t>7%</w:t>
      </w:r>
      <w:r>
        <w:rPr/>
        <w:t>，对照</w:t>
      </w:r>
      <w:r>
        <w:rPr/>
        <w:t>11%</w:t>
      </w:r>
      <w:r>
        <w:rPr/>
        <w:t>。因此它具有真实的随机对照降糖证据，但相对安慰剂效果应引用负</w:t>
      </w:r>
      <w:r>
        <w:rPr/>
        <w:t>0.53</w:t>
      </w:r>
      <w:r>
        <w:rPr/>
        <w:t>，而非把从基线负</w:t>
      </w:r>
      <w:r>
        <w:rPr/>
        <w:t>1.21</w:t>
      </w:r>
      <w:r>
        <w:rPr/>
        <w:t>全部称为净增益。背景治疗、生活方式和试验管理也会让安慰剂组改善；区分总变化与对照调整变化有助于与其他药物公平比较。</w:t>
      </w:r>
    </w:p>
    <w:p>
      <w:pPr>
        <w:pStyle w:val="Normal"/>
        <w:rPr/>
      </w:pPr>
      <w:r>
        <w:rPr/>
        <w:t>52</w:t>
      </w:r>
      <w:r>
        <w:rPr/>
        <w:t>周开放延长期显示原治疗组</w:t>
      </w:r>
      <w:r>
        <w:rPr/>
        <w:t>HbA1c</w:t>
      </w:r>
      <w:r>
        <w:rPr/>
        <w:t>变化约负</w:t>
      </w:r>
      <w:r>
        <w:rPr/>
        <w:t>1.1</w:t>
      </w:r>
      <w:r>
        <w:rPr/>
        <w:t>，安慰剂转入治疗组约负</w:t>
      </w:r>
      <w:r>
        <w:rPr/>
        <w:t>1.2</w:t>
      </w:r>
      <w:r>
        <w:rPr/>
        <w:t>。持续改善支持耐久性方向，但延长期已经不再保持原来的严格随机安慰剂比较，而且完成延长观察的人可能与退出者不同。投资判断可以据此减少短期药效迅速消失的担忧，不能直接推导多年持续处方或全部患者依从性。未来需要看更完整的退出率、不良反应、不同基线人群和实际处方持续性，再把长期收入曲线中的复购与停药参数从假设替换为事实。</w:t>
      </w:r>
    </w:p>
    <w:p>
      <w:pPr>
        <w:pStyle w:val="Normal"/>
        <w:rPr/>
      </w:pPr>
      <w:r>
        <w:rPr/>
        <w:t>血脂及炎症指标提供差异化线索：中报转述</w:t>
      </w:r>
      <w:r>
        <w:rPr/>
        <w:t>24</w:t>
      </w:r>
      <w:r>
        <w:rPr/>
        <w:t>周</w:t>
      </w:r>
      <w:r>
        <w:rPr/>
        <w:t>LDL</w:t>
      </w:r>
      <w:r>
        <w:rPr/>
        <w:t>变化治疗组负</w:t>
      </w:r>
      <w:r>
        <w:rPr/>
        <w:t>13.6</w:t>
      </w:r>
      <w:r>
        <w:rPr/>
        <w:t>毫克每分升、安慰剂正</w:t>
      </w:r>
      <w:r>
        <w:rPr/>
        <w:t>0.2</w:t>
      </w:r>
      <w:r>
        <w:rPr/>
        <w:t>；</w:t>
      </w:r>
      <w:r>
        <w:rPr/>
        <w:t>GGT</w:t>
      </w:r>
      <w:r>
        <w:rPr/>
        <w:t>分别负</w:t>
      </w:r>
      <w:r>
        <w:rPr/>
        <w:t>4.4</w:t>
      </w:r>
      <w:r>
        <w:rPr/>
        <w:t>与正</w:t>
      </w:r>
      <w:r>
        <w:rPr/>
        <w:t>0.6</w:t>
      </w:r>
      <w:r>
        <w:rPr/>
        <w:t>单位每升。方向一致能够支持公司开展兼病人群研究，但这些指标变化和真实心血管事件不是同一层级的证据。商业推广及估值若使用“降低心血管风险”表述，需要确认最终标签和监管认可范围。当前不能把多个次要指标的改善分别当成多个已批准新市场的完整收入，更不应以预测风险评分下降等同于临床事件下降。</w:t>
      </w:r>
    </w:p>
    <w:p>
      <w:pPr>
        <w:pStyle w:val="Normal"/>
        <w:rPr/>
      </w:pPr>
      <w:r>
        <w:rPr/>
        <w:t>HARMONY</w:t>
      </w:r>
      <w:r>
        <w:rPr/>
        <w:t>采用达格列净作为头对头对照，</w:t>
      </w:r>
      <w:r>
        <w:rPr/>
        <w:t>24</w:t>
      </w:r>
      <w:r>
        <w:rPr/>
        <w:t>周</w:t>
      </w:r>
      <w:r>
        <w:rPr/>
        <w:t>HbA1c</w:t>
      </w:r>
      <w:r>
        <w:rPr/>
        <w:t>变化为负</w:t>
      </w:r>
      <w:r>
        <w:rPr/>
        <w:t>1.12</w:t>
      </w:r>
      <w:r>
        <w:rPr/>
        <w:t>与负</w:t>
      </w:r>
      <w:r>
        <w:rPr/>
        <w:t>0.93</w:t>
      </w:r>
      <w:r>
        <w:rPr/>
        <w:t>，公告给出的最小二乘组间差为负</w:t>
      </w:r>
      <w:r>
        <w:rPr/>
        <w:t>0.20</w:t>
      </w:r>
      <w:r>
        <w:rPr/>
        <w:t>。原始四舍五入数相减是负</w:t>
      </w:r>
      <w:r>
        <w:rPr/>
        <w:t>0.19</w:t>
      </w:r>
      <w:r>
        <w:rPr/>
        <w:t>，与模型调整后的负</w:t>
      </w:r>
      <w:r>
        <w:rPr/>
        <w:t>0.20</w:t>
      </w:r>
      <w:r>
        <w:rPr/>
        <w:t>并不矛盾，不能据此机械判定公告错误。该研究对降糖差异化有意义，但降糖终点优势不能外推为优于达格列净已经建立的肾脏或心血管硬终点效果。若医生最关心的是透析、心衰住院或死亡风险，仍会要求相应证据；模型因此没有立即替换成熟</w:t>
      </w:r>
      <w:r>
        <w:rPr/>
        <w:t>SGLT2</w:t>
      </w:r>
      <w:r>
        <w:rPr/>
        <w:t>方案的全部患者份额。</w:t>
      </w:r>
    </w:p>
    <w:p>
      <w:pPr>
        <w:pStyle w:val="Normal"/>
        <w:rPr/>
      </w:pPr>
      <w:r>
        <w:rPr/>
        <w:t>SYMPHONY1</w:t>
      </w:r>
      <w:r>
        <w:rPr/>
        <w:t>单药研究报告</w:t>
      </w:r>
      <w:r>
        <w:rPr/>
        <w:t>HbA1c</w:t>
      </w:r>
      <w:r>
        <w:rPr/>
        <w:t>下降约</w:t>
      </w:r>
      <w:r>
        <w:rPr/>
        <w:t>1.3</w:t>
      </w:r>
      <w:r>
        <w:rPr/>
        <w:t>个百分点，</w:t>
      </w:r>
      <w:r>
        <w:rPr/>
        <w:t>42%</w:t>
      </w:r>
      <w:r>
        <w:rPr/>
        <w:t>达到低于</w:t>
      </w:r>
      <w:r>
        <w:rPr/>
        <w:t>7%</w:t>
      </w:r>
      <w:r>
        <w:rPr/>
        <w:t>，基线较严重患者的下降更大。这说明不同用药背景均出现积极信号，有助于减少结果只适用于单个组合的担忧。跨研究比较仍受基线血糖、患者筛选、背景用药、统计方法和观察期影响，不应仅把最大的下降数字放到竞品旁边排列名次。最有价值的进一步材料是完整研究方案、主要分析人群、缺失数据处理及与监管标签一致的亚组结果。当前研究保持对可查原件的高可信度，同时承认公司转述不替代独立完整审阅。</w:t>
      </w:r>
    </w:p>
    <w:p>
      <w:pPr>
        <w:pStyle w:val="Normal"/>
        <w:rPr/>
      </w:pPr>
      <w:r>
        <w:rPr/>
        <w:t>安全性方面，中报称严重不良事件不常见，腹泻是最常见不良反应，大多为轻中度且随时间改善。对慢病药物而言，轻度胃肠反应也可能影响长期坚持用药和组合治疗选择，尤其在已经使用存在相似耐受问题药物的患者中。多个研究累计超过两千受试者是有价值的暴露基础，但罕见事件需要更大人群和更长时间发现。模型的成功率没有设为百分之百，乐观中国情景也保留审评和上市后风险。若出现安全性限制、用药监测要求或明显停药率，收入与营销效率必须同时下调。</w:t>
      </w:r>
    </w:p>
    <w:p>
      <w:pPr>
        <w:pStyle w:val="Normal"/>
        <w:rPr/>
      </w:pPr>
      <w:r>
        <w:rPr/>
        <w:t>NEJM Evidence</w:t>
      </w:r>
      <w:r>
        <w:rPr/>
        <w:t>发表研究及社论提高了学术可见度。公司</w:t>
      </w:r>
      <w:r>
        <w:rPr/>
        <w:t>7</w:t>
      </w:r>
      <w:r>
        <w:rPr/>
        <w:t>月</w:t>
      </w:r>
      <w:r>
        <w:rPr/>
        <w:t>10</w:t>
      </w:r>
      <w:r>
        <w:rPr/>
        <w:t>日公告具体给出了研究和社论的</w:t>
      </w:r>
      <w:r>
        <w:rPr/>
        <w:t>DOI</w:t>
      </w:r>
      <w:r>
        <w:rPr/>
        <w:t>，因此可以追溯，不应把刊物认可贬成没有意义的宣传。然而学术发表主要改善证据传播，不是药监审批、医保支付或商业伙伴必然签约的替代物。市场可能在论文和会议阶段提前交易预期，随后对批准和销售提出更高要求。半年内最好把论文传播当成医生教育的积极条件，而将可收费标签、真实定价、签署协议和现金到账作为独立的价值验证节点。</w:t>
      </w:r>
    </w:p>
    <w:p>
      <w:pPr>
        <w:pStyle w:val="Heading2"/>
        <w:rPr/>
      </w:pPr>
      <w:r>
        <w:rPr>
          <w:color w:val="000000"/>
        </w:rPr>
        <w:t xml:space="preserve">MASH </w:t>
      </w:r>
      <w:r>
        <w:rPr>
          <w:color w:val="000000"/>
        </w:rPr>
        <w:t>试验质量对全球估值的影响</w:t>
      </w:r>
    </w:p>
    <w:p>
      <w:pPr>
        <w:pStyle w:val="Normal"/>
        <w:rPr/>
      </w:pPr>
      <w:r>
        <w:rPr/>
        <w:t>CENTRICITY</w:t>
      </w:r>
      <w:r>
        <w:rPr/>
        <w:t>是全球多地区、随机双盲、安慰剂对照Ⅱ</w:t>
      </w:r>
      <w:r>
        <w:rPr/>
        <w:t>b</w:t>
      </w:r>
      <w:r>
        <w:rPr/>
        <w:t>研究，登记号</w:t>
      </w:r>
      <w:r>
        <w:rPr/>
        <w:t>NCT05623189</w:t>
      </w:r>
      <w:r>
        <w:rPr/>
        <w:t>，共</w:t>
      </w:r>
      <w:r>
        <w:rPr/>
        <w:t>218</w:t>
      </w:r>
      <w:r>
        <w:rPr/>
        <w:t>名</w:t>
      </w:r>
      <w:r>
        <w:rPr/>
        <w:t>MASH</w:t>
      </w:r>
      <w:r>
        <w:rPr/>
        <w:t>合并糖尿病或糖尿病前期患者。</w:t>
      </w:r>
      <w:r>
        <w:rPr/>
        <w:t>2026</w:t>
      </w:r>
      <w:r>
        <w:rPr/>
        <w:t>年</w:t>
      </w:r>
      <w:r>
        <w:rPr/>
        <w:t>2</w:t>
      </w:r>
      <w:r>
        <w:rPr/>
        <w:t>月</w:t>
      </w:r>
      <w:r>
        <w:rPr/>
        <w:t>5</w:t>
      </w:r>
      <w:r>
        <w:rPr/>
        <w:t>日</w:t>
      </w:r>
      <w:r>
        <w:rPr/>
        <w:t>16</w:t>
      </w:r>
      <w:r>
        <w:rPr/>
        <w:t>时</w:t>
      </w:r>
      <w:r>
        <w:rPr/>
        <w:t>56</w:t>
      </w:r>
      <w:r>
        <w:rPr/>
        <w:t>分公告披露，安慰剂组</w:t>
      </w:r>
      <w:r>
        <w:rPr/>
        <w:t>48%</w:t>
      </w:r>
      <w:r>
        <w:rPr/>
        <w:t>达到所述组织学改善组合条件，显著高于公司引用既往相似研究的通常水平。最重要的信息并非简单地说“安慰剂很强，所以药物一定有效”，而是原定试验能否在预先指定分析中提供可重复、监管可接受的有效性证据。原件未披露可独立核验的治疗组主终点效应、完整统计区间或监管接受结论，本研究不会补造这些结果。</w:t>
      </w:r>
    </w:p>
    <w:p>
      <w:pPr>
        <w:pStyle w:val="Normal"/>
        <w:rPr/>
      </w:pPr>
      <w:r>
        <w:rPr/>
        <w:t>第三方调查识别了合并用药和依从性管理问题，包括安慰剂组更多患者违反方案开始或增加</w:t>
      </w:r>
      <w:r>
        <w:rPr/>
        <w:t>GLP1</w:t>
      </w:r>
      <w:r>
        <w:rPr/>
        <w:t>类剂量。</w:t>
      </w:r>
      <w:r>
        <w:rPr/>
        <w:t>GLP1</w:t>
      </w:r>
      <w:r>
        <w:rPr/>
        <w:t>用药变化能够影响体重及肝脏状态，使组织学比较被混杂；这也说明全球试验运营质量是药物研发价值的一部分。问题可能削弱对药物本身的否定结论，但同时削弱试验给出肯定结论的能力。对资本市场来说，不能只采纳“药物未被证明失败”而忽略“注册所需证据仍需补齐”。新的研究设计、受试者管理和独立病理判读都可能增加成本与时间。</w:t>
      </w:r>
    </w:p>
    <w:p>
      <w:pPr>
        <w:pStyle w:val="Normal"/>
        <w:rPr/>
      </w:pPr>
      <w:r>
        <w:rPr/>
        <w:t>公司在控制违反方案的合并用药变化后开展事后分析，称安慰剂效应下降，</w:t>
      </w:r>
      <w:r>
        <w:rPr/>
        <w:t>HTD1801</w:t>
      </w:r>
      <w:r>
        <w:rPr/>
        <w:t>在多项组织学参数上出现治疗改善趋势。事后分析有助于解释机制和设计下一次试验，但可能受到选择、排除和分析自由度影响；它无法自动恢复随机化的原始保护，也不能保证监管机构会接受其替代主要终点。本研究没有将事后趋势写成确认性成功，没有把Ⅱ</w:t>
      </w:r>
      <w:r>
        <w:rPr/>
        <w:t>a</w:t>
      </w:r>
      <w:r>
        <w:rPr/>
        <w:t>磁共振肝脂结果当成Ⅱ</w:t>
      </w:r>
      <w:r>
        <w:rPr/>
        <w:t>b</w:t>
      </w:r>
      <w:r>
        <w:rPr/>
        <w:t>组织学成功。基准</w:t>
      </w:r>
      <w:r>
        <w:rPr/>
        <w:t>MASH</w:t>
      </w:r>
      <w:r>
        <w:rPr/>
        <w:t>成功折价仅为</w:t>
      </w:r>
      <w:r>
        <w:rPr/>
        <w:t>10%</w:t>
      </w:r>
      <w:r>
        <w:rPr/>
        <w:t>，显著低于中国糖尿病，乐观也仅</w:t>
      </w:r>
      <w:r>
        <w:rPr/>
        <w:t>20%</w:t>
      </w:r>
      <w:r>
        <w:rPr/>
        <w:t>，体现需要新证据而非已有Ⅲ期资产。</w:t>
      </w:r>
    </w:p>
    <w:p>
      <w:pPr>
        <w:pStyle w:val="Normal"/>
        <w:rPr/>
      </w:pPr>
      <w:r>
        <w:rPr/>
        <w:t>模型假设非欧洲</w:t>
      </w:r>
      <w:r>
        <w:rPr/>
        <w:t>MASH</w:t>
      </w:r>
      <w:r>
        <w:rPr/>
        <w:t>基准</w:t>
      </w:r>
      <w:r>
        <w:rPr/>
        <w:t>2033</w:t>
      </w:r>
      <w:r>
        <w:rPr/>
        <w:t>年开始收入、峰值</w:t>
      </w:r>
      <w:r>
        <w:rPr/>
        <w:t>11</w:t>
      </w:r>
      <w:r>
        <w:rPr/>
        <w:t>亿元，欧洲相关基础销售</w:t>
      </w:r>
      <w:r>
        <w:rPr/>
        <w:t>6.5</w:t>
      </w:r>
      <w:r>
        <w:rPr/>
        <w:t>亿元，但后者只计假设净版税。延迟到</w:t>
      </w:r>
      <w:r>
        <w:rPr/>
        <w:t>2033</w:t>
      </w:r>
      <w:r>
        <w:rPr/>
        <w:t>并不来自公司确定指引，是考虑补充研究、监管沟通、关键试验和审批所需时间的情景条件。峰值进一步乘风险折价和患者重叠系数，再扣完整开发费。即使成功率较低，重新设计试验的费用也没有按比例打折，因为失败项目同样会消耗现金。投资者若仅看风险调整收入而忽略开发现金，很容易把低概率的全球大市场误算为近乎免费的选择权。</w:t>
      </w:r>
    </w:p>
    <w:p>
      <w:pPr>
        <w:pStyle w:val="Normal"/>
        <w:rPr/>
      </w:pPr>
      <w:r>
        <w:rPr/>
        <w:t>公司拟与</w:t>
      </w:r>
      <w:r>
        <w:rPr/>
        <w:t>FDA</w:t>
      </w:r>
      <w:r>
        <w:rPr/>
        <w:t>沟通后综合评估未来</w:t>
      </w:r>
      <w:r>
        <w:rPr/>
        <w:t>MASH</w:t>
      </w:r>
      <w:r>
        <w:rPr/>
        <w:t>发展方案，截至截止日未取得已启动Ⅲ期或</w:t>
      </w:r>
      <w:r>
        <w:rPr/>
        <w:t>FDA</w:t>
      </w:r>
      <w:r>
        <w:rPr/>
        <w:t>明确接受关键路径的可查证据。因此半年与一年催化剂可能是监管交流和设计更新，而不是全球上市。若后续正式会议纪要、注册研究方案或新数据明确降低执行问题，本章可以上调可信度和收入时点；若仅再次发布事后亚组材料，应先看预设性、样本量和多重比较处理。最强的反证是新的、符合方案的研究不能重现效果，届时</w:t>
      </w:r>
      <w:r>
        <w:rPr/>
        <w:t>MASH</w:t>
      </w:r>
      <w:r>
        <w:rPr/>
        <w:t>正价值应归零，尚未支出的可终止成本与已经发生的成本要分开处理。</w:t>
      </w:r>
    </w:p>
    <w:p>
      <w:pPr>
        <w:pStyle w:val="Normal"/>
        <w:rPr/>
      </w:pPr>
      <w:r>
        <w:rPr/>
        <w:t>MASH</w:t>
      </w:r>
      <w:r>
        <w:rPr/>
        <w:t>竞争加速会压缩等待的价值。即使肝病患者基础庞大，其他治疗在疗效、安全、口服便利性和支付方面形成优势后，新进入者必须提供更清楚的增量。若</w:t>
      </w:r>
      <w:r>
        <w:rPr/>
        <w:t>HTD1801</w:t>
      </w:r>
      <w:r>
        <w:rPr/>
        <w:t>最终只能在兼病人群中找到细分位置，市场空间仍可观，但峰值不应沿用覆盖全部</w:t>
      </w:r>
      <w:r>
        <w:rPr/>
        <w:t>MASH</w:t>
      </w:r>
      <w:r>
        <w:rPr/>
        <w:t>患者的销售想象。开发延迟还让有效专利和独占保护剩余时间缩短，使同样的峰值收入产生较低现值。本研究以</w:t>
      </w:r>
      <w:r>
        <w:rPr/>
        <w:t>2035</w:t>
      </w:r>
      <w:r>
        <w:rPr/>
        <w:t>后每年</w:t>
      </w:r>
      <w:r>
        <w:rPr/>
        <w:t>25%</w:t>
      </w:r>
      <w:r>
        <w:rPr/>
        <w:t>额外收入侵蚀和</w:t>
      </w:r>
      <w:r>
        <w:rPr/>
        <w:t>2040</w:t>
      </w:r>
      <w:r>
        <w:rPr/>
        <w:t>零终值约束远期，没有把临床延迟当作可无限后移而价值不变的事项。</w:t>
      </w:r>
    </w:p>
    <w:p>
      <w:pPr>
        <w:pStyle w:val="Heading2"/>
        <w:rPr/>
      </w:pPr>
      <w:r>
        <w:rPr>
          <w:color w:val="000000"/>
        </w:rPr>
        <w:t>肾病 肥胖及其他管线</w:t>
      </w:r>
    </w:p>
    <w:p>
      <w:pPr>
        <w:pStyle w:val="Normal"/>
        <w:rPr/>
      </w:pPr>
      <w:r>
        <w:rPr/>
        <w:t>CKD</w:t>
      </w:r>
      <w:r>
        <w:rPr/>
        <w:t>方面，中报提出在糖尿病且轻度肾功能下降亚组中，基线</w:t>
      </w:r>
      <w:r>
        <w:rPr/>
        <w:t>eGFR</w:t>
      </w:r>
      <w:r>
        <w:rPr/>
        <w:t>介于</w:t>
      </w:r>
      <w:r>
        <w:rPr/>
        <w:t>60</w:t>
      </w:r>
      <w:r>
        <w:rPr/>
        <w:t>至</w:t>
      </w:r>
      <w:r>
        <w:rPr/>
        <w:t>90</w:t>
      </w:r>
      <w:r>
        <w:rPr/>
        <w:t>，</w:t>
      </w:r>
      <w:r>
        <w:rPr/>
        <w:t>24</w:t>
      </w:r>
      <w:r>
        <w:rPr/>
        <w:t>周</w:t>
      </w:r>
      <w:r>
        <w:rPr/>
        <w:t>HTD1801</w:t>
      </w:r>
      <w:r>
        <w:rPr/>
        <w:t>治疗后</w:t>
      </w:r>
      <w:r>
        <w:rPr/>
        <w:t>eGFR</w:t>
      </w:r>
      <w:r>
        <w:rPr/>
        <w:t>改善且没有观察到钠钾变化。这是开展独立肾病研究的依据，并非已经证明减缓终末期肾病或降低透析风险。合并多个糖尿病研究的亚组分析受筛选和基线特征影响；短期</w:t>
      </w:r>
      <w:r>
        <w:rPr/>
        <w:t>eGFR</w:t>
      </w:r>
      <w:r>
        <w:rPr/>
        <w:t>改变既可能反映有益生理作用，也需要更长期斜率、白蛋白尿和事件终点判断。模型把肾病作为增量发展项目，基准</w:t>
      </w:r>
      <w:r>
        <w:rPr/>
        <w:t>18%</w:t>
      </w:r>
      <w:r>
        <w:rPr/>
        <w:t>折价，而没有使用中国糖尿病</w:t>
      </w:r>
      <w:r>
        <w:rPr/>
        <w:t>80%</w:t>
      </w:r>
      <w:r>
        <w:rPr/>
        <w:t>的注册阶段判断。</w:t>
      </w:r>
    </w:p>
    <w:p>
      <w:pPr>
        <w:pStyle w:val="Normal"/>
        <w:rPr/>
      </w:pPr>
      <w:r>
        <w:rPr/>
        <w:t>动物研究显示血清肌酐、尿素氮、微量白蛋白和组织病理方向改善，为机制提供辅助支持。动物糖尿病肾病模型与真实人类疾病仍存在病程、背景治疗和代谢差异。公司披露研究者发起研究已经启动，但研究者发起的试验设计、统计力度和注册用途未必等同于公司赞助的关键试验。投资者应观察招募人群、标准治疗背景、终点选择和安全暴露，而非只看“进入肾病”新闻。若未来试验只支持探索性指标，仍可增强糖尿病商业差异，但独立</w:t>
      </w:r>
      <w:r>
        <w:rPr/>
        <w:t>CKD</w:t>
      </w:r>
      <w:r>
        <w:rPr/>
        <w:t>标签价值必须保持折价。</w:t>
      </w:r>
    </w:p>
    <w:p>
      <w:pPr>
        <w:pStyle w:val="Normal"/>
        <w:rPr/>
      </w:pPr>
      <w:r>
        <w:rPr/>
        <w:t>肾病开发的现金要求可能比早期机制图更大。为展示硬结局，试验通常需要足够事件和持续观察，竞争药物也提高了增量效果门槛。本章没有把小规模</w:t>
      </w:r>
      <w:r>
        <w:rPr/>
        <w:t>IIT</w:t>
      </w:r>
      <w:r>
        <w:rPr/>
        <w:t>预算当作全部全球注册费用，基准每年独立</w:t>
      </w:r>
      <w:r>
        <w:rPr/>
        <w:t>CKD</w:t>
      </w:r>
      <w:r>
        <w:rPr/>
        <w:t>开发预算在上市前保留</w:t>
      </w:r>
      <w:r>
        <w:rPr/>
        <w:t>2500</w:t>
      </w:r>
      <w:r>
        <w:rPr/>
        <w:t>万元，之外还有平台研发；该数字是可编辑情景估计，不是已签研究合同的精确费用。若实际关键试验方案规模更大，应增加预算和融资股数，而不是只上调成功率。若融资无法覆盖试验，较高的潜在终点价值不能自动让项目得到资金。</w:t>
      </w:r>
    </w:p>
    <w:p>
      <w:pPr>
        <w:pStyle w:val="Normal"/>
        <w:rPr/>
      </w:pPr>
      <w:r>
        <w:rPr/>
        <w:t>肥胖方面，公司在</w:t>
      </w:r>
      <w:r>
        <w:rPr/>
        <w:t>MASH</w:t>
      </w:r>
      <w:r>
        <w:rPr/>
        <w:t>与糖尿病Ⅱ</w:t>
      </w:r>
      <w:r>
        <w:rPr/>
        <w:t>a</w:t>
      </w:r>
      <w:r>
        <w:rPr/>
        <w:t>研究中观察到体重下降，并在动物实验中报告</w:t>
      </w:r>
      <w:r>
        <w:rPr/>
        <w:t>HTD1801</w:t>
      </w:r>
      <w:r>
        <w:rPr/>
        <w:t>与</w:t>
      </w:r>
      <w:r>
        <w:rPr/>
        <w:t>GLP1</w:t>
      </w:r>
      <w:r>
        <w:rPr/>
        <w:t>类联用增效、保留瘦体重以及减轻停药反弹。把这些结果作为人体联合试验的科学出发点合理，把保肌和防反弹当成已确证的人体商业卖点则超出证据。不同物种、剂量、饮食条件和体重组成测量影响转化。公司计划开展联合治疗Ⅱ期，尚未披露可独立核验的人体联合疗效结果。基准肥胖正价值因此仅使用</w:t>
      </w:r>
      <w:r>
        <w:rPr/>
        <w:t>6%</w:t>
      </w:r>
      <w:r>
        <w:rPr/>
        <w:t>折价，并以</w:t>
      </w:r>
      <w:r>
        <w:rPr/>
        <w:t>65%</w:t>
      </w:r>
      <w:r>
        <w:rPr/>
        <w:t>增量系数控制与糖尿病兼病患者重复计算。</w:t>
      </w:r>
    </w:p>
    <w:p>
      <w:pPr>
        <w:pStyle w:val="Normal"/>
        <w:rPr/>
      </w:pPr>
      <w:r>
        <w:rPr/>
        <w:t>肥胖商业价值也取决于成本效益。若联合药只能小幅改善体重，却增加药费、药片负担或胃肠反应，患者与保险支付方可能不愿意采用。若真实人体数据证实保留肌肉、改善长期功能或减少停药反弹，则可形成与单纯追求体重百分比不同的价值，但需要直接测量而非体重曲线的间接推断。乐观情景扩大该项目峰值和成功折价仍以临床证据出现为条件，不能因为全球</w:t>
      </w:r>
      <w:r>
        <w:rPr/>
        <w:t>GLP1</w:t>
      </w:r>
      <w:r>
        <w:rPr/>
        <w:t>收入快速增长就让所有配套药共享相同估值倍数。竞争、支付与依从性必须同时验证。</w:t>
      </w:r>
    </w:p>
    <w:p>
      <w:pPr>
        <w:pStyle w:val="Normal"/>
        <w:rPr/>
      </w:pPr>
      <w:r>
        <w:rPr/>
        <w:t>PSC</w:t>
      </w:r>
      <w:r>
        <w:rPr/>
        <w:t>是罕见慢性胆汁淤积肝病，公司</w:t>
      </w:r>
      <w:r>
        <w:rPr/>
        <w:t>2020</w:t>
      </w:r>
      <w:r>
        <w:rPr/>
        <w:t>年</w:t>
      </w:r>
      <w:r>
        <w:rPr/>
        <w:t>8</w:t>
      </w:r>
      <w:r>
        <w:rPr/>
        <w:t>月完成美国及加拿大Ⅱ期研究，报告碱性磷酸酶相对安慰剂显著下降及其他肝损伤、炎症指标改善，并取得</w:t>
      </w:r>
      <w:r>
        <w:rPr/>
        <w:t>FDA</w:t>
      </w:r>
      <w:r>
        <w:rPr/>
        <w:t>快速通道和孤儿药资格。公司称Ⅱ期结束会议后获准开展Ⅲ期；获准开始与已经启动、完成或成功是不同事实。本章未核到截止日正式Ⅲ期启动，因此收入时间基准</w:t>
      </w:r>
      <w:r>
        <w:rPr/>
        <w:t>2031</w:t>
      </w:r>
      <w:r>
        <w:rPr/>
        <w:t>年、成功折价</w:t>
      </w:r>
      <w:r>
        <w:rPr/>
        <w:t>22%</w:t>
      </w:r>
      <w:r>
        <w:rPr/>
        <w:t>。罕见病可具有较高单患者经济价值，病人招募、终点可靠性和长期病程仍可能限制开发速度，不能用孤儿资格自动转化为高批准概率。</w:t>
      </w:r>
    </w:p>
    <w:p>
      <w:pPr>
        <w:pStyle w:val="Normal"/>
        <w:rPr/>
      </w:pPr>
      <w:r>
        <w:rPr/>
        <w:t>PSC</w:t>
      </w:r>
      <w:r>
        <w:rPr/>
        <w:t>在欧洲已有授权经济关系，不能按全球自营销售全部收入计算。海普瑞的独占地区和适应症意味着君圣泰可能获得里程碑与净销售分成，而不是取得全部当地终端收入。孤儿药资格也要按监管地区区分：美国资格不等于欧洲已经申请或获准相同保护。若欧洲商业化晚于现有保护预计终期，协议中的更晚独占或新知识产权是否适用，需要原件进一步确认。模型没有给孤儿药永久终值，也未将未知欧洲版税合同条款替换为公告年度上限比例的保证收入。</w:t>
      </w:r>
    </w:p>
    <w:p>
      <w:pPr>
        <w:pStyle w:val="Normal"/>
        <w:rPr/>
      </w:pPr>
      <w:r>
        <w:rPr/>
        <w:t>HTD4010</w:t>
      </w:r>
      <w:r>
        <w:rPr/>
        <w:t>是多肽药物，定位酒精性肝炎及急性炎症相关疾病，澳大利亚Ⅰ期完成提供早期人体暴露基础。中报在动物急性肝衰竭或胰腺炎模型中提出保护作用，尚不足以确认患者获益。严重酒精性肝病存在显著未满足需求，也有患者异质性、感染、营养状况和多系统衰竭等复杂因素。基准该资产成功折价</w:t>
      </w:r>
      <w:r>
        <w:rPr/>
        <w:t>8%</w:t>
      </w:r>
      <w:r>
        <w:rPr/>
        <w:t>、</w:t>
      </w:r>
      <w:r>
        <w:rPr/>
        <w:t>2034</w:t>
      </w:r>
      <w:r>
        <w:rPr/>
        <w:t>年收入，上市前每年</w:t>
      </w:r>
      <w:r>
        <w:rPr/>
        <w:t>1200</w:t>
      </w:r>
      <w:r>
        <w:rPr/>
        <w:t>万元独立开发预算之外保留平台费用。早期项目既有选项价值也有资金占用，不能因为它属于第二分子就忽略失败开发现金。</w:t>
      </w:r>
    </w:p>
    <w:p>
      <w:pPr>
        <w:pStyle w:val="Normal"/>
        <w:rPr/>
      </w:pPr>
      <w:r>
        <w:rPr/>
        <w:t>HTF1037</w:t>
      </w:r>
      <w:r>
        <w:rPr/>
        <w:t>、</w:t>
      </w:r>
      <w:r>
        <w:rPr/>
        <w:t>HTF1057</w:t>
      </w:r>
      <w:r>
        <w:rPr/>
        <w:t>及其他未披露或临床前分子涉及线粒体解偶联、肥胖和神经退行性疾病。中报的动物保肌、能量消耗、神经保护等材料支持后续探索，但安全治疗窗口与人体适应症有效性仍未确证。本章没有为这些项目增加独立正现金流价值；平台研发预算仍覆盖早期研究，故零正价值不等于它们没有科学价值，也不等于研发完全免费。若某个资产正式进入人体并形成高质量数据，应建立独立分子模型，同时从共用研发预算中合理分配费用，避免新增</w:t>
      </w:r>
      <w:r>
        <w:rPr/>
        <w:t>NPV</w:t>
      </w:r>
      <w:r>
        <w:rPr/>
        <w:t>而不新增成本。</w:t>
      </w:r>
    </w:p>
    <w:p>
      <w:pPr>
        <w:pStyle w:val="Heading2"/>
        <w:rPr/>
      </w:pPr>
      <w:r>
        <w:rPr>
          <w:color w:val="000000"/>
        </w:rPr>
        <w:t>财务质量 现金与资本结构</w:t>
      </w:r>
    </w:p>
    <w:p>
      <w:pPr>
        <w:pStyle w:val="Normal"/>
        <w:rPr/>
      </w:pPr>
      <w:r>
        <w:rPr/>
        <w:t>公司截至</w:t>
      </w:r>
      <w:r>
        <w:rPr/>
        <w:t>2026</w:t>
      </w:r>
      <w:r>
        <w:rPr/>
        <w:t>年上半年没有主营收入，其他收入</w:t>
      </w:r>
      <w:r>
        <w:rPr/>
        <w:t>330.4</w:t>
      </w:r>
      <w:r>
        <w:rPr/>
        <w:t>万元主要不是药品销售。研发费用</w:t>
      </w:r>
      <w:r>
        <w:rPr/>
        <w:t>3682.8</w:t>
      </w:r>
      <w:r>
        <w:rPr/>
        <w:t>万元、行政费用</w:t>
      </w:r>
      <w:r>
        <w:rPr/>
        <w:t>4349.6</w:t>
      </w:r>
      <w:r>
        <w:rPr/>
        <w:t>万元、融资费用</w:t>
      </w:r>
      <w:r>
        <w:rPr/>
        <w:t>326.2</w:t>
      </w:r>
      <w:r>
        <w:rPr/>
        <w:t>万元，其他损失</w:t>
      </w:r>
      <w:r>
        <w:rPr/>
        <w:t>8698.6</w:t>
      </w:r>
      <w:r>
        <w:rPr/>
        <w:t>万元，税前亏损</w:t>
      </w:r>
      <w:r>
        <w:rPr/>
        <w:t>1.67268</w:t>
      </w:r>
      <w:r>
        <w:rPr/>
        <w:t>亿元，税后集团亏损</w:t>
      </w:r>
      <w:r>
        <w:rPr/>
        <w:t>1.67269</w:t>
      </w:r>
      <w:r>
        <w:rPr/>
        <w:t>亿元。母公司股东应占亏损</w:t>
      </w:r>
      <w:r>
        <w:rPr/>
        <w:t>1.46095</w:t>
      </w:r>
      <w:r>
        <w:rPr/>
        <w:t>亿元，少数股东承担亏损</w:t>
      </w:r>
      <w:r>
        <w:rPr/>
        <w:t>2117.4</w:t>
      </w:r>
      <w:r>
        <w:rPr/>
        <w:t>万元。把集团亏损或调整后亏损直接除以普通股计算母</w:t>
      </w:r>
      <w:r>
        <w:rPr/>
        <w:t>EPS</w:t>
      </w:r>
      <w:r>
        <w:rPr/>
        <w:t>会混淆归属。本章保留完整利润表原子输入，区分集团、母公司和合并基金少数权益，而不从第三方行情负</w:t>
      </w:r>
      <w:r>
        <w:rPr/>
        <w:t>PE</w:t>
      </w:r>
      <w:r>
        <w:rPr/>
        <w:t>推导正常盈利。</w:t>
      </w:r>
    </w:p>
    <w:p>
      <w:pPr>
        <w:pStyle w:val="Normal"/>
        <w:rPr/>
      </w:pPr>
      <w:r>
        <w:rPr/>
        <w:t>2025</w:t>
      </w:r>
      <w:r>
        <w:rPr/>
        <w:t>年主营收入同样为零，集团亏损</w:t>
      </w:r>
      <w:r>
        <w:rPr/>
        <w:t>2.32101</w:t>
      </w:r>
      <w:r>
        <w:rPr/>
        <w:t>亿元、母公司亏损</w:t>
      </w:r>
      <w:r>
        <w:rPr/>
        <w:t>2.44968</w:t>
      </w:r>
      <w:r>
        <w:rPr/>
        <w:t>亿元，少数股东盈利</w:t>
      </w:r>
      <w:r>
        <w:rPr/>
        <w:t>1286.7</w:t>
      </w:r>
      <w:r>
        <w:rPr/>
        <w:t>万元；</w:t>
      </w:r>
      <w:r>
        <w:rPr/>
        <w:t>2024</w:t>
      </w:r>
      <w:r>
        <w:rPr/>
        <w:t>年集团及母公司亏损</w:t>
      </w:r>
      <w:r>
        <w:rPr/>
        <w:t>3.81788</w:t>
      </w:r>
      <w:r>
        <w:rPr/>
        <w:t>亿元。</w:t>
      </w:r>
      <w:r>
        <w:rPr/>
        <w:t>2025</w:t>
      </w:r>
      <w:r>
        <w:rPr/>
        <w:t>集团亏损明显收窄，研发从</w:t>
      </w:r>
      <w:r>
        <w:rPr/>
        <w:t>3.63525</w:t>
      </w:r>
      <w:r>
        <w:rPr/>
        <w:t>亿元下降至</w:t>
      </w:r>
      <w:r>
        <w:rPr/>
        <w:t>1.64469</w:t>
      </w:r>
      <w:r>
        <w:rPr/>
        <w:t>亿元、行政从</w:t>
      </w:r>
      <w:r>
        <w:rPr/>
        <w:t>8122.9</w:t>
      </w:r>
      <w:r>
        <w:rPr/>
        <w:t>万元下降至</w:t>
      </w:r>
      <w:r>
        <w:rPr/>
        <w:t>5910.2</w:t>
      </w:r>
      <w:r>
        <w:rPr/>
        <w:t>万元，不能简单解释为商业盈利能力提高。它主要反映研发阶段变化、股权激励和费用控制。</w:t>
      </w:r>
      <w:r>
        <w:rPr/>
        <w:t>2026</w:t>
      </w:r>
      <w:r>
        <w:rPr/>
        <w:t>年上半年研发继续下降，但没有收入基础，减少投入可能同时减缓未来验证速度。现金效率评价需要看每项临床里程碑和剩余工作，而不是只看亏损同比百分比。</w:t>
      </w:r>
    </w:p>
    <w:p>
      <w:pPr>
        <w:pStyle w:val="Normal"/>
        <w:rPr/>
      </w:pPr>
      <w:r>
        <w:rPr/>
        <w:t>上半年研发第三方合同费用</w:t>
      </w:r>
      <w:r>
        <w:rPr/>
        <w:t>1512</w:t>
      </w:r>
      <w:r>
        <w:rPr/>
        <w:t>万元、人员</w:t>
      </w:r>
      <w:r>
        <w:rPr/>
        <w:t>1113.4</w:t>
      </w:r>
      <w:r>
        <w:rPr/>
        <w:t>万元、股权激励</w:t>
      </w:r>
      <w:r>
        <w:rPr/>
        <w:t>806.2</w:t>
      </w:r>
      <w:r>
        <w:rPr/>
        <w:t>万元、其他</w:t>
      </w:r>
      <w:r>
        <w:rPr/>
        <w:t>251.2</w:t>
      </w:r>
      <w:r>
        <w:rPr/>
        <w:t>万元，相比去年同期第三方费用</w:t>
      </w:r>
      <w:r>
        <w:rPr/>
        <w:t>7742</w:t>
      </w:r>
      <w:r>
        <w:rPr/>
        <w:t>万元大幅下降。这与大规模研究完成具有一致性，也可能为短期资金提供缓冲；未来若重新开展</w:t>
      </w:r>
      <w:r>
        <w:rPr/>
        <w:t>MASH</w:t>
      </w:r>
      <w:r>
        <w:rPr/>
        <w:t>或肾病关键研究，外包费用会再次上升。行政费用较去年同期增长约一倍，专业服务费用</w:t>
      </w:r>
      <w:r>
        <w:rPr/>
        <w:t>3009.3</w:t>
      </w:r>
      <w:r>
        <w:rPr/>
        <w:t>万元，明显高于去年</w:t>
      </w:r>
      <w:r>
        <w:rPr/>
        <w:t>629.4</w:t>
      </w:r>
      <w:r>
        <w:rPr/>
        <w:t>万元。费用性质需要持续关注，不能把所有专业咨询都认定为可永久加回的一次性事项；商业合作、注册、法律和治理工作可能持续占用资金。</w:t>
      </w:r>
    </w:p>
    <w:p>
      <w:pPr>
        <w:pStyle w:val="Normal"/>
        <w:rPr/>
      </w:pPr>
      <w:r>
        <w:rPr/>
        <w:t>股权激励在上半年计入集团费用</w:t>
      </w:r>
      <w:r>
        <w:rPr/>
        <w:t>1173.1</w:t>
      </w:r>
      <w:r>
        <w:rPr/>
        <w:t>万元，其中关键管理人员相关披露</w:t>
      </w:r>
      <w:r>
        <w:rPr/>
        <w:t>1117.6</w:t>
      </w:r>
      <w:r>
        <w:rPr/>
        <w:t>万元，这两个数字属于不同归类，不应重复相加。公司非国际财务报告准则调整后集团亏损</w:t>
      </w:r>
      <w:r>
        <w:rPr/>
        <w:t>1.55538</w:t>
      </w:r>
      <w:r>
        <w:rPr/>
        <w:t>亿元，只加回激励费用，仍然包含投资基金损失。本研究不把这一调整数称为核心母公司利润，也不在估值中把正常员工激励当作永远没有经济成本。即使通过既有信托股份交付而不增加法律股数，股份仍由经济所有者获得，影响可用于股东的价值与资本纪律；保留完整费用比机械追求“调整后”更可核验。</w:t>
      </w:r>
    </w:p>
    <w:p>
      <w:pPr>
        <w:pStyle w:val="Normal"/>
        <w:rPr/>
      </w:pPr>
      <w:r>
        <w:rPr/>
        <w:t>金融资产损失是本期重要风险。上半年</w:t>
      </w:r>
      <w:r>
        <w:rPr/>
        <w:t>FVTPL</w:t>
      </w:r>
      <w:r>
        <w:rPr/>
        <w:t>损失</w:t>
      </w:r>
      <w:r>
        <w:rPr/>
        <w:t>8622.6</w:t>
      </w:r>
      <w:r>
        <w:rPr/>
        <w:t>万元，管理层披露其中已实现约</w:t>
      </w:r>
      <w:r>
        <w:rPr/>
        <w:t>5070</w:t>
      </w:r>
      <w:r>
        <w:rPr/>
        <w:t>万元、未实现约</w:t>
      </w:r>
      <w:r>
        <w:rPr/>
        <w:t>3550</w:t>
      </w:r>
      <w:r>
        <w:rPr/>
        <w:t>万元，其他投资收入约</w:t>
      </w:r>
      <w:r>
        <w:rPr/>
        <w:t>10</w:t>
      </w:r>
      <w:r>
        <w:rPr/>
        <w:t>万元。已实现部分已经发生，不能期待市场反弹自动恢复；未实现部分也不是没有经济损失。投资对象涉及美港上市的金融科技数字资产、电商数字媒体和茶饮等行业，与药物开发相关性有限。研发公司的资金本应同时满足试验、申报和债务需求，风险资产亏损会增加未来融资需求，故该事项不仅影响会计利润，也直接影响现有股东稀释风险。</w:t>
      </w:r>
    </w:p>
    <w:p>
      <w:pPr>
        <w:pStyle w:val="Normal"/>
        <w:rPr/>
      </w:pPr>
      <w:r>
        <w:rPr/>
        <w:t>FVTPL</w:t>
      </w:r>
      <w:r>
        <w:rPr/>
        <w:t>余额从</w:t>
      </w:r>
      <w:r>
        <w:rPr/>
        <w:t>2025</w:t>
      </w:r>
      <w:r>
        <w:rPr/>
        <w:t>年底</w:t>
      </w:r>
      <w:r>
        <w:rPr/>
        <w:t>1.76813</w:t>
      </w:r>
      <w:r>
        <w:rPr/>
        <w:t>亿元降至</w:t>
      </w:r>
      <w:r>
        <w:rPr/>
        <w:t>2026</w:t>
      </w:r>
      <w:r>
        <w:rPr/>
        <w:t>年</w:t>
      </w:r>
      <w:r>
        <w:rPr/>
        <w:t>6</w:t>
      </w:r>
      <w:r>
        <w:rPr/>
        <w:t>月底</w:t>
      </w:r>
      <w:r>
        <w:rPr/>
        <w:t>5614.1</w:t>
      </w:r>
      <w:r>
        <w:rPr/>
        <w:t>万元，变化同时包含买卖、损益和基金投资者交易，不应只把余额下降当成亏损。期末包括上市股权</w:t>
      </w:r>
      <w:r>
        <w:rPr/>
        <w:t>5311.6</w:t>
      </w:r>
      <w:r>
        <w:rPr/>
        <w:t>万元和国债及货币基金</w:t>
      </w:r>
      <w:r>
        <w:rPr/>
        <w:t>302.5</w:t>
      </w:r>
      <w:r>
        <w:rPr/>
        <w:t>万元，但</w:t>
      </w:r>
      <w:r>
        <w:rPr/>
        <w:t>3473.6</w:t>
      </w:r>
      <w:r>
        <w:rPr/>
        <w:t>万元列为</w:t>
      </w:r>
      <w:r>
        <w:rPr/>
        <w:t>Level2</w:t>
      </w:r>
      <w:r>
        <w:rPr/>
        <w:t>，意味着相关上市股票没有活跃报价，使用近期交易或可比倍数估值。</w:t>
      </w:r>
      <w:r>
        <w:rPr/>
        <w:t>Level2</w:t>
      </w:r>
      <w:r>
        <w:rPr/>
        <w:t>不同于无法估值，却使退出价格和速度增加不确定性。现金桥把金融资产单独列示，不把全部余额算成随时可按账面兑付的银行存款，悲观情景还施加更大退出折损。</w:t>
      </w:r>
    </w:p>
    <w:p>
      <w:pPr>
        <w:pStyle w:val="Normal"/>
        <w:rPr/>
      </w:pPr>
      <w:r>
        <w:rPr/>
        <w:t>Apollo</w:t>
      </w:r>
      <w:r>
        <w:rPr/>
        <w:t>基金在</w:t>
      </w:r>
      <w:r>
        <w:rPr/>
        <w:t>2025</w:t>
      </w:r>
      <w:r>
        <w:rPr/>
        <w:t>年引入投资者</w:t>
      </w:r>
      <w:r>
        <w:rPr/>
        <w:t>A</w:t>
      </w:r>
      <w:r>
        <w:rPr/>
        <w:t>，公司当时持有约</w:t>
      </w:r>
      <w:r>
        <w:rPr/>
        <w:t>67%</w:t>
      </w:r>
      <w:r>
        <w:rPr/>
        <w:t>；</w:t>
      </w:r>
      <w:r>
        <w:rPr/>
        <w:t>2026</w:t>
      </w:r>
      <w:r>
        <w:rPr/>
        <w:t>年引入</w:t>
      </w:r>
      <w:r>
        <w:rPr/>
        <w:t>B</w:t>
      </w:r>
      <w:r>
        <w:rPr/>
        <w:t>后，</w:t>
      </w:r>
      <w:r>
        <w:rPr/>
        <w:t>A</w:t>
      </w:r>
      <w:r>
        <w:rPr/>
        <w:t>全部赎回，公司持有约</w:t>
      </w:r>
      <w:r>
        <w:rPr/>
        <w:t>86%</w:t>
      </w:r>
      <w:r>
        <w:rPr/>
        <w:t>、</w:t>
      </w:r>
      <w:r>
        <w:rPr/>
        <w:t>B</w:t>
      </w:r>
      <w:r>
        <w:rPr/>
        <w:t>约</w:t>
      </w:r>
      <w:r>
        <w:rPr/>
        <w:t>14%</w:t>
      </w:r>
      <w:r>
        <w:rPr/>
        <w:t>。公司仍控制基金，所以全部相关资产、现金和负债合并，少数权益单独反映。</w:t>
      </w:r>
      <w:r>
        <w:rPr/>
        <w:t>A</w:t>
      </w:r>
      <w:r>
        <w:rPr/>
        <w:t>赎回价约</w:t>
      </w:r>
      <w:r>
        <w:rPr/>
        <w:t>597</w:t>
      </w:r>
      <w:r>
        <w:rPr/>
        <w:t>万美元，已支付</w:t>
      </w:r>
      <w:r>
        <w:rPr/>
        <w:t>507.5</w:t>
      </w:r>
      <w:r>
        <w:rPr/>
        <w:t>万美元，尚有</w:t>
      </w:r>
      <w:r>
        <w:rPr/>
        <w:t>89.5</w:t>
      </w:r>
      <w:r>
        <w:rPr/>
        <w:t>万美元即</w:t>
      </w:r>
      <w:r>
        <w:rPr/>
        <w:t>614.5</w:t>
      </w:r>
      <w:r>
        <w:rPr/>
        <w:t>万元列为其他应付。不能把基金全部资产按</w:t>
      </w:r>
      <w:r>
        <w:rPr/>
        <w:t>86%</w:t>
      </w:r>
      <w:r>
        <w:rPr/>
        <w:t>折算再额外扣少数权益，也不能使用全部集团现金而完全忽略外部投资者与赎回义务。本模型采用集团金融池一次调整、扣全少数净权益和赎回应付的近似口径。</w:t>
      </w:r>
    </w:p>
    <w:p>
      <w:pPr>
        <w:pStyle w:val="Normal"/>
        <w:rPr/>
      </w:pPr>
      <w:r>
        <w:rPr/>
        <w:t>上半年现金及银行余额</w:t>
      </w:r>
      <w:r>
        <w:rPr/>
        <w:t>2.70278</w:t>
      </w:r>
      <w:r>
        <w:rPr/>
        <w:t>亿元，期初现金等价物</w:t>
      </w:r>
      <w:r>
        <w:rPr/>
        <w:t>2.32388</w:t>
      </w:r>
      <w:r>
        <w:rPr/>
        <w:t>亿元增加，表面上像资金好转，经营现金流却为负</w:t>
      </w:r>
      <w:r>
        <w:rPr/>
        <w:t>1.09312</w:t>
      </w:r>
      <w:r>
        <w:rPr/>
        <w:t>亿元。增加来自定期存款提取、金融资产买卖回收、结构实体处置收款和新增贷款等活动。投资现金流正</w:t>
      </w:r>
      <w:r>
        <w:rPr/>
        <w:t>1.44146</w:t>
      </w:r>
      <w:r>
        <w:rPr/>
        <w:t>亿元，融资正</w:t>
      </w:r>
      <w:r>
        <w:rPr/>
        <w:t>942.5</w:t>
      </w:r>
      <w:r>
        <w:rPr/>
        <w:t>万元，汇率影响负</w:t>
      </w:r>
      <w:r>
        <w:rPr/>
        <w:t>636.9</w:t>
      </w:r>
      <w:r>
        <w:rPr/>
        <w:t>万元，合计后才能核对期末余额。把投资赎回或定存转现金当成药品经营现金创造，会严重误读商业化状态；本章强调仍是研发投入型经营，公司必须通过未来销售、合作或融资解决持续消耗。</w:t>
      </w:r>
    </w:p>
    <w:p>
      <w:pPr>
        <w:pStyle w:val="Normal"/>
        <w:rPr/>
      </w:pPr>
      <w:r>
        <w:rPr/>
        <w:t>经营现金流从税前亏损调整到营运资金前负</w:t>
      </w:r>
      <w:r>
        <w:rPr/>
        <w:t>6452.9</w:t>
      </w:r>
      <w:r>
        <w:rPr/>
        <w:t>万元，随后预付款和其他应收增加</w:t>
      </w:r>
      <w:r>
        <w:rPr/>
        <w:t>2679.9</w:t>
      </w:r>
      <w:r>
        <w:rPr/>
        <w:t>万元、贸易应付减少</w:t>
      </w:r>
      <w:r>
        <w:rPr/>
        <w:t>1304</w:t>
      </w:r>
      <w:r>
        <w:rPr/>
        <w:t>万元、其他应付减少</w:t>
      </w:r>
      <w:r>
        <w:rPr/>
        <w:t>495.9</w:t>
      </w:r>
      <w:r>
        <w:rPr/>
        <w:t>万元等，最终经营流出</w:t>
      </w:r>
      <w:r>
        <w:rPr/>
        <w:t>1.09312</w:t>
      </w:r>
      <w:r>
        <w:rPr/>
        <w:t>亿元。现金消耗高于单看研发和行政剔除非现金项目的结果，说明预付款、付款节奏和合同结算很重要。未来上市备货及渠道回款还会增加营运资金需求。模型对收入保留</w:t>
      </w:r>
      <w:r>
        <w:rPr/>
        <w:t>12%</w:t>
      </w:r>
      <w:r>
        <w:rPr/>
        <w:t>营运资金系数和资本开支，不把盈利或授权名义收入直接视为当期可分配现金；季度付款节奏尚缺完整数据，因此现金桥为预算而非精确现金预报。</w:t>
      </w:r>
    </w:p>
    <w:p>
      <w:pPr>
        <w:pStyle w:val="Normal"/>
        <w:rPr/>
      </w:pPr>
      <w:r>
        <w:rPr/>
        <w:t>有息银行债务</w:t>
      </w:r>
      <w:r>
        <w:rPr/>
        <w:t>1.454</w:t>
      </w:r>
      <w:r>
        <w:rPr/>
        <w:t>亿元，其中</w:t>
      </w:r>
      <w:r>
        <w:rPr/>
        <w:t>5940</w:t>
      </w:r>
      <w:r>
        <w:rPr/>
        <w:t>万元流动、</w:t>
      </w:r>
      <w:r>
        <w:rPr/>
        <w:t>8600</w:t>
      </w:r>
      <w:r>
        <w:rPr/>
        <w:t>万元非流动，另有租赁负债</w:t>
      </w:r>
      <w:r>
        <w:rPr/>
        <w:t>935.5</w:t>
      </w:r>
      <w:r>
        <w:rPr/>
        <w:t>万元。披露借款利率约</w:t>
      </w:r>
      <w:r>
        <w:rPr/>
        <w:t>2.5%</w:t>
      </w:r>
      <w:r>
        <w:rPr/>
        <w:t>至</w:t>
      </w:r>
      <w:r>
        <w:rPr/>
        <w:t>3.5%</w:t>
      </w:r>
      <w:r>
        <w:rPr/>
        <w:t>，到期安排涉及</w:t>
      </w:r>
      <w:r>
        <w:rPr/>
        <w:t>2027</w:t>
      </w:r>
      <w:r>
        <w:rPr/>
        <w:t>与</w:t>
      </w:r>
      <w:r>
        <w:rPr/>
        <w:t>2028</w:t>
      </w:r>
      <w:r>
        <w:rPr/>
        <w:t>年。较低成本有助缓冲，但没有主营收入时，本金到期比利息率更重要；银行信用条件和授信续期不能当成必然。流动资产</w:t>
      </w:r>
      <w:r>
        <w:rPr/>
        <w:t>3.68897</w:t>
      </w:r>
      <w:r>
        <w:rPr/>
        <w:t>亿元、流动负债</w:t>
      </w:r>
      <w:r>
        <w:rPr/>
        <w:t>1.12426</w:t>
      </w:r>
      <w:r>
        <w:rPr/>
        <w:t>亿元，账面流动净资产为正，明显区别于已经出现重大负流动资产的同名单公司。仍需检查集团金融资产的可用性和母子公司资金划转，以免账面覆盖被误当成没有再融资风险。</w:t>
      </w:r>
    </w:p>
    <w:p>
      <w:pPr>
        <w:pStyle w:val="Normal"/>
        <w:rPr/>
      </w:pPr>
      <w:r>
        <w:rPr/>
        <w:t>2026</w:t>
      </w:r>
      <w:r>
        <w:rPr/>
        <w:t>年</w:t>
      </w:r>
      <w:r>
        <w:rPr/>
        <w:t>8</w:t>
      </w:r>
      <w:r>
        <w:rPr/>
        <w:t>月</w:t>
      </w:r>
      <w:r>
        <w:rPr/>
        <w:t>7</w:t>
      </w:r>
      <w:r>
        <w:rPr/>
        <w:t>日完成</w:t>
      </w:r>
      <w:r>
        <w:rPr/>
        <w:t>9871</w:t>
      </w:r>
      <w:r>
        <w:rPr/>
        <w:t>万新股配售，价格</w:t>
      </w:r>
      <w:r>
        <w:rPr/>
        <w:t>2.28</w:t>
      </w:r>
      <w:r>
        <w:rPr/>
        <w:t>港元，毛额约</w:t>
      </w:r>
      <w:r>
        <w:rPr/>
        <w:t>2.251</w:t>
      </w:r>
      <w:r>
        <w:rPr/>
        <w:t>亿港元、净额</w:t>
      </w:r>
      <w:r>
        <w:rPr/>
        <w:t>2.224</w:t>
      </w:r>
      <w:r>
        <w:rPr/>
        <w:t>亿港元；中报后续事项明确净人民币</w:t>
      </w:r>
      <w:r>
        <w:rPr/>
        <w:t>1.92507</w:t>
      </w:r>
      <w:r>
        <w:rPr/>
        <w:t>亿元。该资金不在</w:t>
      </w:r>
      <w:r>
        <w:rPr/>
        <w:t>6</w:t>
      </w:r>
      <w:r>
        <w:rPr/>
        <w:t>月底现金余额内，需要在之后桥接增加；已发行股也必须在</w:t>
      </w:r>
      <w:r>
        <w:rPr/>
        <w:t>10</w:t>
      </w:r>
      <w:r>
        <w:rPr/>
        <w:t>月</w:t>
      </w:r>
      <w:r>
        <w:rPr/>
        <w:t>9</w:t>
      </w:r>
      <w:r>
        <w:rPr/>
        <w:t>日分母内。若用模型汇率</w:t>
      </w:r>
      <w:r>
        <w:rPr/>
        <w:t>1.1</w:t>
      </w:r>
      <w:r>
        <w:rPr/>
        <w:t>直接将港元净额反算，会得到与公告实际折算不同的数值，因此本章使用原件人民币净额记录已发生融资。模型汇率仅用于未来价值换算，不能覆写历史实际交易金额。</w:t>
      </w:r>
    </w:p>
    <w:p>
      <w:pPr>
        <w:pStyle w:val="Normal"/>
        <w:rPr/>
      </w:pPr>
      <w:r>
        <w:rPr/>
        <w:t>配售资金计划约</w:t>
      </w:r>
      <w:r>
        <w:rPr/>
        <w:t>30%</w:t>
      </w:r>
      <w:r>
        <w:rPr/>
        <w:t>用于中国糖尿病商业化、</w:t>
      </w:r>
      <w:r>
        <w:rPr/>
        <w:t>45%</w:t>
      </w:r>
      <w:r>
        <w:rPr/>
        <w:t>用于</w:t>
      </w:r>
      <w:r>
        <w:rPr/>
        <w:t>CKD</w:t>
      </w:r>
      <w:r>
        <w:rPr/>
        <w:t>等新适应症、</w:t>
      </w:r>
      <w:r>
        <w:rPr/>
        <w:t>15%</w:t>
      </w:r>
      <w:r>
        <w:rPr/>
        <w:t>用于其他研发、</w:t>
      </w:r>
      <w:r>
        <w:rPr/>
        <w:t>10%</w:t>
      </w:r>
      <w:r>
        <w:rPr/>
        <w:t>营运资金，预期使用至</w:t>
      </w:r>
      <w:r>
        <w:rPr/>
        <w:t>2028</w:t>
      </w:r>
      <w:r>
        <w:rPr/>
        <w:t>年底。这是用途与预算安排，不意味着全部开发将于</w:t>
      </w:r>
      <w:r>
        <w:rPr/>
        <w:t>2028</w:t>
      </w:r>
      <w:r>
        <w:rPr/>
        <w:t>完成，也不意味着期间不会借款或另行融资。现价比</w:t>
      </w:r>
      <w:r>
        <w:rPr/>
        <w:t>2.28</w:t>
      </w:r>
      <w:r>
        <w:rPr/>
        <w:t>港元配售价高约</w:t>
      </w:r>
      <w:r>
        <w:rPr/>
        <w:t>50.22%</w:t>
      </w:r>
      <w:r>
        <w:rPr/>
        <w:t>，反映市场已有较明显的期待修复。配售价并非天然支撑位，参与者成本和卖出行为未知；它更适合用来检验未来融资对现有股东经济价值的影响。若新的融资仍需较低价格，单股价值可能改善得比企业总价值慢。</w:t>
      </w:r>
    </w:p>
    <w:p>
      <w:pPr>
        <w:pStyle w:val="Normal"/>
        <w:rPr/>
      </w:pPr>
      <w:r>
        <w:rPr/>
        <w:t>9</w:t>
      </w:r>
      <w:r>
        <w:rPr/>
        <w:t>月底法律已发股份</w:t>
      </w:r>
      <w:r>
        <w:rPr/>
        <w:t>6.70035668</w:t>
      </w:r>
      <w:r>
        <w:rPr/>
        <w:t>亿，法律库存为零，授权总数</w:t>
      </w:r>
      <w:r>
        <w:rPr/>
        <w:t>10</w:t>
      </w:r>
      <w:r>
        <w:rPr/>
        <w:t>亿。中报会计附注称</w:t>
      </w:r>
      <w:r>
        <w:rPr/>
        <w:t>6261.0764</w:t>
      </w:r>
      <w:r>
        <w:rPr/>
        <w:t>万股激励持股为“</w:t>
      </w:r>
      <w:r>
        <w:rPr/>
        <w:t>Treasure shares”</w:t>
      </w:r>
      <w:r>
        <w:rPr/>
        <w:t>，但正文明确并无法律库存；每股亏损加权分母</w:t>
      </w:r>
      <w:r>
        <w:rPr/>
        <w:t>5.08714904</w:t>
      </w:r>
      <w:r>
        <w:rPr/>
        <w:t>亿还排除了激励预留股。因此账面</w:t>
      </w:r>
      <w:r>
        <w:rPr/>
        <w:t>EPS</w:t>
      </w:r>
      <w:r>
        <w:rPr/>
        <w:t>分母不是未来估值的完整法律股数。本章采用全部已发股，既有激励交付不二次稀释，也不直接扣除。联动融资基准三年股数约</w:t>
      </w:r>
      <w:r>
        <w:rPr/>
        <w:t>7.41775</w:t>
      </w:r>
      <w:r>
        <w:rPr/>
        <w:t>亿、五年</w:t>
      </w:r>
      <w:r>
        <w:rPr/>
        <w:t>7.89601</w:t>
      </w:r>
      <w:r>
        <w:rPr/>
        <w:t>亿；悲观三年</w:t>
      </w:r>
      <w:r>
        <w:rPr/>
        <w:t>11.28369</w:t>
      </w:r>
      <w:r>
        <w:rPr/>
        <w:t>亿、五年</w:t>
      </w:r>
      <w:r>
        <w:rPr/>
        <w:t>12.50591</w:t>
      </w:r>
      <w:r>
        <w:rPr/>
        <w:t>亿超过现授权，须取得后续批准。未来融资并非已有批准，不能把模拟股数描述成已发行。</w:t>
      </w:r>
    </w:p>
    <w:p>
      <w:pPr>
        <w:pStyle w:val="Normal"/>
        <w:rPr/>
      </w:pPr>
      <w:r>
        <w:rPr/>
        <w:t>9</w:t>
      </w:r>
      <w:r>
        <w:rPr/>
        <w:t>月</w:t>
      </w:r>
      <w:r>
        <w:rPr/>
        <w:t>1</w:t>
      </w:r>
      <w:r>
        <w:rPr/>
        <w:t>日授出</w:t>
      </w:r>
      <w:r>
        <w:rPr/>
        <w:t>204.045</w:t>
      </w:r>
      <w:r>
        <w:rPr/>
        <w:t>万购股权和</w:t>
      </w:r>
      <w:r>
        <w:rPr/>
        <w:t>30.6749</w:t>
      </w:r>
      <w:r>
        <w:rPr/>
        <w:t>万奖励，购股权行使价</w:t>
      </w:r>
      <w:r>
        <w:rPr/>
        <w:t>3.154</w:t>
      </w:r>
      <w:r>
        <w:rPr/>
        <w:t>港元，首批</w:t>
      </w:r>
      <w:r>
        <w:rPr/>
        <w:t>20%</w:t>
      </w:r>
      <w:r>
        <w:rPr/>
        <w:t>于</w:t>
      </w:r>
      <w:r>
        <w:rPr/>
        <w:t>2028</w:t>
      </w:r>
      <w:r>
        <w:rPr/>
        <w:t>年</w:t>
      </w:r>
      <w:r>
        <w:rPr/>
        <w:t>5</w:t>
      </w:r>
      <w:r>
        <w:rPr/>
        <w:t>月</w:t>
      </w:r>
      <w:r>
        <w:rPr/>
        <w:t>1</w:t>
      </w:r>
      <w:r>
        <w:rPr/>
        <w:t>日归属，随后</w:t>
      </w:r>
      <w:r>
        <w:rPr/>
        <w:t>30%</w:t>
      </w:r>
      <w:r>
        <w:rPr/>
        <w:t>及</w:t>
      </w:r>
      <w:r>
        <w:rPr/>
        <w:t>50%</w:t>
      </w:r>
      <w:r>
        <w:rPr/>
        <w:t>分期，且有个人和公司表现条件。方案使用此前失效或取消的上市前激励所对应既有信托股，因此不能从授予数量直接认定额外新股已经发行。该安排可能帮助留住医务与研发人员，费用及治理仍应监督。对半年和一年资金桥，不能提前把行使款当成必收现金；对长期经济模型，也不能因其是既有股份而说激励没有任何成本。</w:t>
      </w:r>
    </w:p>
    <w:p>
      <w:pPr>
        <w:pStyle w:val="Heading2"/>
        <w:rPr/>
      </w:pPr>
      <w:r>
        <w:rPr>
          <w:color w:val="000000"/>
        </w:rPr>
        <w:t>授权权益 治理和估值方法</w:t>
      </w:r>
    </w:p>
    <w:p>
      <w:pPr>
        <w:pStyle w:val="Normal"/>
        <w:rPr/>
      </w:pPr>
      <w:r>
        <w:rPr/>
        <w:t>海普瑞</w:t>
      </w:r>
      <w:r>
        <w:rPr/>
        <w:t>2020</w:t>
      </w:r>
      <w:r>
        <w:rPr/>
        <w:t>年取得</w:t>
      </w:r>
      <w:r>
        <w:rPr/>
        <w:t>HTD1801</w:t>
      </w:r>
      <w:r>
        <w:rPr/>
        <w:t>在约定欧洲国家用于</w:t>
      </w:r>
      <w:r>
        <w:rPr/>
        <w:t>NASH</w:t>
      </w:r>
      <w:r>
        <w:rPr/>
        <w:t>及</w:t>
      </w:r>
      <w:r>
        <w:rPr/>
        <w:t>PSC</w:t>
      </w:r>
      <w:r>
        <w:rPr/>
        <w:t>的独占商业许可，并具有相关大中华知识产权转让的优先权。欧洲协议规定与批准相关的里程碑总额和后续版税安排；</w:t>
      </w:r>
      <w:r>
        <w:rPr/>
        <w:t>2025</w:t>
      </w:r>
      <w:r>
        <w:rPr/>
        <w:t>年并未收到相关款项，</w:t>
      </w:r>
      <w:r>
        <w:rPr/>
        <w:t>2026</w:t>
      </w:r>
      <w:r>
        <w:rPr/>
        <w:t>与</w:t>
      </w:r>
      <w:r>
        <w:rPr/>
        <w:t>2027</w:t>
      </w:r>
      <w:r>
        <w:rPr/>
        <w:t>预计里程碑为零。年度公告用</w:t>
      </w:r>
      <w:r>
        <w:rPr/>
        <w:t>25%</w:t>
      </w:r>
      <w:r>
        <w:rPr/>
        <w:t>乘当地净销售额确定版税上限，但上限不是合同精确费率或保底支付。本模型采用</w:t>
      </w:r>
      <w:r>
        <w:rPr/>
        <w:t>15%</w:t>
      </w:r>
      <w:r>
        <w:rPr/>
        <w:t>作为敏感的研究假设，仅计净版税收入；未来若取得准确合同或新的修订，需替换参数，不把欧洲全部终端销售加到中国自营收入。</w:t>
      </w:r>
    </w:p>
    <w:p>
      <w:pPr>
        <w:pStyle w:val="Normal"/>
        <w:rPr/>
      </w:pPr>
      <w:r>
        <w:rPr/>
        <w:t>7</w:t>
      </w:r>
      <w:r>
        <w:rPr/>
        <w:t>月</w:t>
      </w:r>
      <w:r>
        <w:rPr/>
        <w:t>10</w:t>
      </w:r>
      <w:r>
        <w:rPr/>
        <w:t>日公告提及与潜在伙伴洽谈中国首个适应症的对外授权或商业合作，可能包含首款、开发与销售里程碑及版税，并明确没有法律约束正式协议。这样的安排可能改变资金需求和收入结构，是有效观察事项。估值必须选用与最终权益相符的一套路径：若现模型按保留自营经济权益计算，就不能另加谈判中的大额首款；若日后授权，应改为净版税、保留开发费、转移费用、已收现金和新股数。首款是未来权利交换的一部分，不是没有代价的额外利润。</w:t>
      </w:r>
    </w:p>
    <w:p>
      <w:pPr>
        <w:pStyle w:val="Normal"/>
        <w:rPr/>
      </w:pPr>
      <w:r>
        <w:rPr/>
        <w:t>7</w:t>
      </w:r>
      <w:r>
        <w:rPr/>
        <w:t>月</w:t>
      </w:r>
      <w:r>
        <w:rPr/>
        <w:t>2</w:t>
      </w:r>
      <w:r>
        <w:rPr/>
        <w:t>日公司终止向创始人、董事长兼行政总裁提供最高</w:t>
      </w:r>
      <w:r>
        <w:rPr/>
        <w:t>1500</w:t>
      </w:r>
      <w:r>
        <w:rPr/>
        <w:t>万港元无抵押个人贷款的协议，并明确此前从未提款。不能把该金额当作已损失现金或尚未收回关联应收。治理评价仍要记录交易所的实质意见：其认为研发型未盈利公司对个人借款人的风险不同于银行对优质客户，借款人未证明可获得独立商业贷款同等条件，利差相对公司借款成本很小，因此原来适用部分豁免的处理不当。终止降低了资金风险，却留下内部判断和独立监督需要改进的证据。</w:t>
      </w:r>
    </w:p>
    <w:p>
      <w:pPr>
        <w:pStyle w:val="Normal"/>
        <w:rPr/>
      </w:pPr>
      <w:r>
        <w:rPr/>
        <w:t>董事长与行政总裁由同一人担任，公司解释有助战略及经营并依靠董事会平衡。集中领导可以提高研发决策速度，但临床项目、投资基金和关联安排都显示资本配置需要独立审查。投资者应看新投资委员会、集中度限制、基金退出和关联交易流程有没有实际执行，而不是只看“将完善治理”的承诺。基金没有固定投资期限，管理层正在讨论退出，尚未确认完成；若长期无法兑现，现金安全边际应进一步折价。治理风险不必被描述为对个人动机的断言，具体流程和资金结果已经足以影响评分。</w:t>
      </w:r>
    </w:p>
    <w:p>
      <w:pPr>
        <w:pStyle w:val="Normal"/>
        <w:rPr/>
      </w:pPr>
      <w:r>
        <w:rPr/>
        <w:t>2025</w:t>
      </w:r>
      <w:r>
        <w:rPr/>
        <w:t>年度由</w:t>
      </w:r>
      <w:r>
        <w:rPr/>
        <w:t>Moore</w:t>
      </w:r>
      <w:r>
        <w:rPr/>
        <w:t>审计并出具无保留意见，关键审计事项是研发费用确认与计量；</w:t>
      </w:r>
      <w:r>
        <w:rPr/>
        <w:t>2026</w:t>
      </w:r>
      <w:r>
        <w:rPr/>
        <w:t>中报未经审计。本章没有把其他公司存在的无法表示意见套用到君圣泰，也没有仅因现金亏损就自动宣布持续经营已经被审计否定。审计意见提供财务呈列可信度，不能保证临床成功或金融资产未来售价。对研究可靠性的正确处理是原件数字可信度较高、未来估值可信度较低，而非把两者混为一个简单的“高可信度目标价”。预算、权利和资本消耗依然需要独立检验。</w:t>
      </w:r>
    </w:p>
    <w:p>
      <w:pPr>
        <w:pStyle w:val="Normal"/>
        <w:rPr/>
      </w:pPr>
      <w:r>
        <w:rPr/>
        <w:t>有限股东现金流模型从</w:t>
      </w:r>
      <w:r>
        <w:rPr/>
        <w:t>2026</w:t>
      </w:r>
      <w:r>
        <w:rPr/>
        <w:t>下半年至</w:t>
      </w:r>
      <w:r>
        <w:rPr/>
        <w:t>2040</w:t>
      </w:r>
      <w:r>
        <w:rPr/>
        <w:t>逐年列示各适应症收入、成本、销售费用、独立开发、平台研发、行政、税、资本开支、营运资金、发行现金和股份。收入按证据阶段折价，开发费用完整扣除，税率长期</w:t>
      </w:r>
      <w:r>
        <w:rPr/>
        <w:t>25%</w:t>
      </w:r>
      <w:r>
        <w:rPr/>
        <w:t>，不保证高新资格续期或税损抵扣。现金从六月集团池滚动，加八月实际融资；以后新股毛融资按净因子扣费用，发行股数由毛额与发行价产生。未来股东分配和</w:t>
      </w:r>
      <w:r>
        <w:rPr/>
        <w:t>2040</w:t>
      </w:r>
      <w:r>
        <w:rPr/>
        <w:t>剩余净现金各自除当年全股，再按目标后年数折现；不另加目标现金、企业价值或未来发行款，避免把融资本身视作旧股东回报。</w:t>
      </w:r>
    </w:p>
    <w:p>
      <w:pPr>
        <w:pStyle w:val="Normal"/>
        <w:rPr/>
      </w:pPr>
      <w:r>
        <w:rPr/>
        <w:t>中国糖尿病基准销售</w:t>
      </w:r>
      <w:r>
        <w:rPr/>
        <w:t>2027</w:t>
      </w:r>
      <w:r>
        <w:rPr/>
        <w:t>年启动，峰值</w:t>
      </w:r>
      <w:r>
        <w:rPr/>
        <w:t>13</w:t>
      </w:r>
      <w:r>
        <w:rPr/>
        <w:t>亿元、毛利</w:t>
      </w:r>
      <w:r>
        <w:rPr/>
        <w:t>77%</w:t>
      </w:r>
      <w:r>
        <w:rPr/>
        <w:t>、销售费用</w:t>
      </w:r>
      <w:r>
        <w:rPr/>
        <w:t>30%</w:t>
      </w:r>
      <w:r>
        <w:rPr/>
        <w:t>、成功折价</w:t>
      </w:r>
      <w:r>
        <w:rPr/>
        <w:t>80%</w:t>
      </w:r>
      <w:r>
        <w:rPr/>
        <w:t>；悲观</w:t>
      </w:r>
      <w:r>
        <w:rPr/>
        <w:t>2029</w:t>
      </w:r>
      <w:r>
        <w:rPr/>
        <w:t>年启动、峰值</w:t>
      </w:r>
      <w:r>
        <w:rPr/>
        <w:t>5</w:t>
      </w:r>
      <w:r>
        <w:rPr/>
        <w:t>亿元、毛利</w:t>
      </w:r>
      <w:r>
        <w:rPr/>
        <w:t>70%</w:t>
      </w:r>
      <w:r>
        <w:rPr/>
        <w:t>、销售</w:t>
      </w:r>
      <w:r>
        <w:rPr/>
        <w:t>40%</w:t>
      </w:r>
      <w:r>
        <w:rPr/>
        <w:t>、折价</w:t>
      </w:r>
      <w:r>
        <w:rPr/>
        <w:t>40%</w:t>
      </w:r>
      <w:r>
        <w:rPr/>
        <w:t>；乐观</w:t>
      </w:r>
      <w:r>
        <w:rPr/>
        <w:t>2027</w:t>
      </w:r>
      <w:r>
        <w:rPr/>
        <w:t>年启动、峰值</w:t>
      </w:r>
      <w:r>
        <w:rPr/>
        <w:t>23</w:t>
      </w:r>
      <w:r>
        <w:rPr/>
        <w:t>亿元、毛利</w:t>
      </w:r>
      <w:r>
        <w:rPr/>
        <w:t>80%</w:t>
      </w:r>
      <w:r>
        <w:rPr/>
        <w:t>、销售</w:t>
      </w:r>
      <w:r>
        <w:rPr/>
        <w:t>25%</w:t>
      </w:r>
      <w:r>
        <w:rPr/>
        <w:t>、折价</w:t>
      </w:r>
      <w:r>
        <w:rPr/>
        <w:t>90%</w:t>
      </w:r>
      <w:r>
        <w:rPr/>
        <w:t>。这些是不同价格、采用与执行状态，不是精准盈利预测。上市前留药学与注册支出，上市后仍有平台研究和行政。乐观并未设为所有糖尿病患者使用，也没有给单药百分之百注册保证；一旦标签、上市时点或合作模式变化，应先改原子输入，再刷新情景快照。</w:t>
      </w:r>
    </w:p>
    <w:p>
      <w:pPr>
        <w:pStyle w:val="Normal"/>
        <w:rPr/>
      </w:pPr>
      <w:r>
        <w:rPr/>
        <w:t>基准</w:t>
      </w:r>
      <w:r>
        <w:rPr/>
        <w:t>CKD</w:t>
      </w:r>
      <w:r>
        <w:rPr/>
        <w:t>原始峰值</w:t>
      </w:r>
      <w:r>
        <w:rPr/>
        <w:t>7</w:t>
      </w:r>
      <w:r>
        <w:rPr/>
        <w:t>亿元、</w:t>
      </w:r>
      <w:r>
        <w:rPr/>
        <w:t>18%</w:t>
      </w:r>
      <w:r>
        <w:rPr/>
        <w:t>折价，非欧</w:t>
      </w:r>
      <w:r>
        <w:rPr/>
        <w:t>MASH11</w:t>
      </w:r>
      <w:r>
        <w:rPr/>
        <w:t>亿元、</w:t>
      </w:r>
      <w:r>
        <w:rPr/>
        <w:t>10%</w:t>
      </w:r>
      <w:r>
        <w:rPr/>
        <w:t>，非欧</w:t>
      </w:r>
      <w:r>
        <w:rPr/>
        <w:t>PSC3.5</w:t>
      </w:r>
      <w:r>
        <w:rPr/>
        <w:t>亿元、</w:t>
      </w:r>
      <w:r>
        <w:rPr/>
        <w:t>22%</w:t>
      </w:r>
      <w:r>
        <w:rPr/>
        <w:t>，联合肥胖</w:t>
      </w:r>
      <w:r>
        <w:rPr/>
        <w:t>8.5</w:t>
      </w:r>
      <w:r>
        <w:rPr/>
        <w:t>亿元、</w:t>
      </w:r>
      <w:r>
        <w:rPr/>
        <w:t>6%</w:t>
      </w:r>
      <w:r>
        <w:rPr/>
        <w:t>，</w:t>
      </w:r>
      <w:r>
        <w:rPr/>
        <w:t>HTD4010</w:t>
      </w:r>
      <w:r>
        <w:rPr/>
        <w:t>五亿元、</w:t>
      </w:r>
      <w:r>
        <w:rPr/>
        <w:t>8%</w:t>
      </w:r>
      <w:r>
        <w:rPr/>
        <w:t>。欧洲基础销售经</w:t>
      </w:r>
      <w:r>
        <w:rPr/>
        <w:t>15%</w:t>
      </w:r>
      <w:r>
        <w:rPr/>
        <w:t>版税再折价，并不提供完整当地经营利润。</w:t>
      </w:r>
      <w:r>
        <w:rPr/>
        <w:t>CKD</w:t>
      </w:r>
      <w:r>
        <w:rPr/>
        <w:t>与非欧</w:t>
      </w:r>
      <w:r>
        <w:rPr/>
        <w:t>MASH</w:t>
      </w:r>
      <w:r>
        <w:rPr/>
        <w:t>按</w:t>
      </w:r>
      <w:r>
        <w:rPr/>
        <w:t>80%</w:t>
      </w:r>
      <w:r>
        <w:rPr/>
        <w:t>增量，联合肥胖</w:t>
      </w:r>
      <w:r>
        <w:rPr/>
        <w:t>65%</w:t>
      </w:r>
      <w:r>
        <w:rPr/>
        <w:t>，用于减少兼病患者重复计费。增量系数同样缺实际数据，不装作已测量的患者重叠率；重要的是让重复计算显式可修改。上市后数据若证明同一患者只支付一份</w:t>
      </w:r>
      <w:r>
        <w:rPr/>
        <w:t>HTD1801</w:t>
      </w:r>
      <w:r>
        <w:rPr/>
        <w:t>费用，应进一步降低兼病增量，而不是保持全部疾病市场相加。</w:t>
      </w:r>
    </w:p>
    <w:p>
      <w:pPr>
        <w:pStyle w:val="Normal"/>
        <w:rPr/>
      </w:pPr>
      <w:r>
        <w:rPr/>
        <w:t>平台研发基准每年</w:t>
      </w:r>
      <w:r>
        <w:rPr/>
        <w:t>7500</w:t>
      </w:r>
      <w:r>
        <w:rPr/>
        <w:t>万元、行政完整预算起点</w:t>
      </w:r>
      <w:r>
        <w:rPr/>
        <w:t>7500</w:t>
      </w:r>
      <w:r>
        <w:rPr/>
        <w:t>万元并缓慢增长，另扣各适应症独立开发；</w:t>
      </w:r>
      <w:r>
        <w:rPr/>
        <w:t>MASH</w:t>
      </w:r>
      <w:r>
        <w:rPr/>
        <w:t>基准上市前独立预算每年</w:t>
      </w:r>
      <w:r>
        <w:rPr/>
        <w:t>3500</w:t>
      </w:r>
      <w:r>
        <w:rPr/>
        <w:t>万元、</w:t>
      </w:r>
      <w:r>
        <w:rPr/>
        <w:t>CKD2500</w:t>
      </w:r>
      <w:r>
        <w:rPr/>
        <w:t>万元、</w:t>
      </w:r>
      <w:r>
        <w:rPr/>
        <w:t>PSC1500</w:t>
      </w:r>
      <w:r>
        <w:rPr/>
        <w:t>万元、其他项目各</w:t>
      </w:r>
      <w:r>
        <w:rPr/>
        <w:t>1200</w:t>
      </w:r>
      <w:r>
        <w:rPr/>
        <w:t>万元。联动现金模型从行政扣出每年</w:t>
      </w:r>
      <w:r>
        <w:rPr/>
        <w:t>600</w:t>
      </w:r>
      <w:r>
        <w:rPr/>
        <w:t>万元现金租金，再在租赁现金栏单列，避免重复支出，已存租赁本金在该现金中逐年偿付，未来续租费用仍持续。峰值销售形成毛利前，完整费用可使现金长期负值。若公司集中开发或授权，费用可以下降，但净经济权益也会改变；不能只减费用、保留全部销售和首款，制造虚假改善。</w:t>
      </w:r>
    </w:p>
    <w:p>
      <w:pPr>
        <w:pStyle w:val="Normal"/>
        <w:rPr/>
      </w:pPr>
      <w:r>
        <w:rPr/>
        <w:t>保护期限限制远期价值。年报对欧洲既有知识产权预计到</w:t>
      </w:r>
      <w:r>
        <w:rPr/>
        <w:t>2035</w:t>
      </w:r>
      <w:r>
        <w:rPr/>
        <w:t>，本研究未取得所有国家、所有专利及新用途的精确终期表，因此</w:t>
      </w:r>
      <w:r>
        <w:rPr/>
        <w:t>2035</w:t>
      </w:r>
      <w:r>
        <w:rPr/>
        <w:t>后每年</w:t>
      </w:r>
      <w:r>
        <w:rPr/>
        <w:t>25%</w:t>
      </w:r>
      <w:r>
        <w:rPr/>
        <w:t>收入侵蚀是审慎统一假设，不能冒称全球核心专利都在同年失效。至</w:t>
      </w:r>
      <w:r>
        <w:rPr/>
        <w:t>2040</w:t>
      </w:r>
      <w:r>
        <w:rPr/>
        <w:t>不再设置永续终值，使十年之后尚未验证的竞争保护不会主导现值。若新专利有效权利要求和数据独占延长得到核验，远期可能上修；若早期专利竞争或协议仿制触发更早终止，应提前侵蚀。专利数量超过一百只说明申请广度，不能替代有效权利范围。</w:t>
      </w:r>
    </w:p>
    <w:p>
      <w:pPr>
        <w:pStyle w:val="Normal"/>
        <w:rPr/>
      </w:pPr>
      <w:r>
        <w:rPr/>
        <w:t>现金与融资股数形成年度滚动桥。</w:t>
      </w:r>
      <w:r>
        <w:rPr/>
        <w:t>6</w:t>
      </w:r>
      <w:r>
        <w:rPr/>
        <w:t>月底集团现金</w:t>
      </w:r>
      <w:r>
        <w:rPr/>
        <w:t>2.70278</w:t>
      </w:r>
      <w:r>
        <w:rPr/>
        <w:t>亿元加</w:t>
      </w:r>
      <w:r>
        <w:rPr/>
        <w:t>8</w:t>
      </w:r>
      <w:r>
        <w:rPr/>
        <w:t>月实际净</w:t>
      </w:r>
      <w:r>
        <w:rPr/>
        <w:t>1.92507</w:t>
      </w:r>
      <w:r>
        <w:rPr/>
        <w:t>亿元；六月</w:t>
      </w:r>
      <w:r>
        <w:rPr/>
        <w:t>FV5614.1</w:t>
      </w:r>
      <w:r>
        <w:rPr/>
        <w:t>万元假设在下半年按悲观</w:t>
      </w:r>
      <w:r>
        <w:rPr/>
        <w:t>45%</w:t>
      </w:r>
      <w:r>
        <w:rPr/>
        <w:t>、基准</w:t>
      </w:r>
      <w:r>
        <w:rPr/>
        <w:t>80%</w:t>
      </w:r>
      <w:r>
        <w:rPr/>
        <w:t>、乐观</w:t>
      </w:r>
      <w:r>
        <w:rPr/>
        <w:t>100%</w:t>
      </w:r>
      <w:r>
        <w:rPr/>
        <w:t>变现，另一次结算基金少数权益</w:t>
      </w:r>
      <w:r>
        <w:rPr/>
        <w:t>829.4</w:t>
      </w:r>
      <w:r>
        <w:rPr/>
        <w:t>万元和赎回未付</w:t>
      </w:r>
      <w:r>
        <w:rPr/>
        <w:t>614.5</w:t>
      </w:r>
      <w:r>
        <w:rPr/>
        <w:t>万元。内部现金细分仍缺，退出和结算金额不是合同保证。未来经营现金由逐项收入费用、银行和现金利息、税、营运资金及租金计算，资本开支、偿债和发行净现金分别列出；不再用目标现金倒推残差。每个下一年期初连接上年期末，任何一年现金低于零显示该融资路径无法完整持续。</w:t>
      </w:r>
    </w:p>
    <w:p>
      <w:pPr>
        <w:pStyle w:val="Normal"/>
        <w:rPr/>
      </w:pPr>
      <w:r>
        <w:rPr/>
        <w:t>后续融资基准假设二零二八年毛额一点五亿元人民币、二零三零年一亿元，净因子百分之九十七，发行价二点三港元。分别新增约七千一百七十四万和四千七百八十三万股，使总股数从现有六点七亿升至七点九亿附近。乐观仅假设二零二八年一亿元、四港元发行，悲观则在多个年份融得合计十一亿元仍不足覆盖长期消耗。发行价与时间均是研究预算，没有承诺可融资。若不作任何后续融资，基准现金最低为负约六千万元，有限模型不能支持原分配；乐观经营较好则能够保持正现金。这展示价值对资金及时到位的依赖。</w:t>
      </w:r>
    </w:p>
    <w:p>
      <w:pPr>
        <w:pStyle w:val="Normal"/>
        <w:rPr/>
      </w:pPr>
      <w:r>
        <w:rPr/>
        <w:t>验证融资经济采用无经营反例：起点现金一元、股份一股，未来按每股一元发行一股收一元，没有费用、利息、分红或经营，最终现金二元、股份二股，原股每股剩余资产仍为一元。模型必须保持这一结果，不能把未来一元现金单独加现值而得到一点五元旧股价值。真实融资可以帮助持续开发产生后续利润，同时稀释未来分配；两者在同一年度模型体现。若未来融资低于合理发行价，旧股东可能承担更大稀释，如果足额发行又无有效经营回报，扩大账上现金不能自动提升每股价值。</w:t>
      </w:r>
    </w:p>
    <w:p>
      <w:pPr>
        <w:pStyle w:val="Normal"/>
        <w:rPr/>
      </w:pPr>
      <w:r>
        <w:rPr/>
        <w:t>有限回收规则假设二零三三年起、银行偿清后，现金高于八千万元储备的百分之七十形成股东分配，余下作为运营缓冲；二零四零年回收剩余现金减未还银行，经营终值为零。支付时以当年发行后全部股数分配，目标日前已经假设支付的股息才进入该期限累计分红，未来分红则构成目标价格价值。发行按年初、分配按年末的年度近似公开列示，真实季度临床付款或融资时点可改变现金最低点。分配规则不冒充董事会派息政策，目的是让有限药物现金转换成可核每股权益而不重复计目标净资产。</w:t>
      </w:r>
    </w:p>
    <w:p>
      <w:pPr>
        <w:pStyle w:val="Normal"/>
        <w:rPr/>
      </w:pPr>
      <w:r>
        <w:rPr/>
        <w:t>没有收益稳定的成熟业务，</w:t>
      </w:r>
      <w:r>
        <w:rPr/>
        <w:t>PE</w:t>
      </w:r>
      <w:r>
        <w:rPr/>
        <w:t>、</w:t>
      </w:r>
      <w:r>
        <w:rPr/>
        <w:t>EV EBITDA</w:t>
      </w:r>
      <w:r>
        <w:rPr/>
        <w:t>或以负</w:t>
      </w:r>
      <w:r>
        <w:rPr/>
        <w:t>EPS</w:t>
      </w:r>
      <w:r>
        <w:rPr/>
        <w:t>取绝对值比较并不适用。账面净资产也无法充分解释药物权利与未来开发负债，但可以显示现价对资产的溢价。用</w:t>
      </w:r>
      <w:r>
        <w:rPr/>
        <w:t>6</w:t>
      </w:r>
      <w:r>
        <w:rPr/>
        <w:t>月底母权益</w:t>
      </w:r>
      <w:r>
        <w:rPr/>
        <w:t>1.67008</w:t>
      </w:r>
      <w:r>
        <w:rPr/>
        <w:t>亿元、</w:t>
      </w:r>
      <w:r>
        <w:rPr/>
        <w:t>9</w:t>
      </w:r>
      <w:r>
        <w:rPr/>
        <w:t>月底全股及固定模型汇率换算，</w:t>
      </w:r>
      <w:r>
        <w:rPr/>
        <w:t>PB</w:t>
      </w:r>
      <w:r>
        <w:rPr/>
        <w:t>约</w:t>
      </w:r>
      <w:r>
        <w:rPr/>
        <w:t>12.49</w:t>
      </w:r>
      <w:r>
        <w:rPr/>
        <w:t>倍；这个计算跨时点没有含</w:t>
      </w:r>
      <w:r>
        <w:rPr/>
        <w:t>8</w:t>
      </w:r>
      <w:r>
        <w:rPr/>
        <w:t>月新增现金及以后亏损，不能称为</w:t>
      </w:r>
      <w:r>
        <w:rPr/>
        <w:t>10</w:t>
      </w:r>
      <w:r>
        <w:rPr/>
        <w:t>月</w:t>
      </w:r>
      <w:r>
        <w:rPr/>
        <w:t>9</w:t>
      </w:r>
      <w:r>
        <w:rPr/>
        <w:t>日真实</w:t>
      </w:r>
      <w:r>
        <w:rPr/>
        <w:t>PB</w:t>
      </w:r>
      <w:r>
        <w:rPr/>
        <w:t>。行情提供的</w:t>
      </w:r>
      <w:r>
        <w:rPr/>
        <w:t>8.63</w:t>
      </w:r>
      <w:r>
        <w:rPr/>
        <w:t>倍口径未核，不用于目标价。有限</w:t>
      </w:r>
      <w:r>
        <w:rPr/>
        <w:t>rNPV</w:t>
      </w:r>
      <w:r>
        <w:rPr/>
        <w:t>优于机械</w:t>
      </w:r>
      <w:r>
        <w:rPr/>
        <w:t>PB</w:t>
      </w:r>
      <w:r>
        <w:rPr/>
        <w:t>的原因是它显式计入现金流、风险和稀释，同时其主观性需要完整展示。</w:t>
      </w:r>
    </w:p>
    <w:p>
      <w:pPr>
        <w:pStyle w:val="Heading2"/>
        <w:rPr/>
      </w:pPr>
      <w:r>
        <w:rPr>
          <w:color w:val="000000"/>
        </w:rPr>
        <w:t>半年量价与技术判断</w:t>
      </w:r>
    </w:p>
    <w:p>
      <w:pPr>
        <w:pStyle w:val="Normal"/>
        <w:rPr/>
      </w:pPr>
      <w:r>
        <w:rPr/>
        <w:t>历史从</w:t>
      </w:r>
      <w:r>
        <w:rPr/>
        <w:t>2023</w:t>
      </w:r>
      <w:r>
        <w:rPr/>
        <w:t>年</w:t>
      </w:r>
      <w:r>
        <w:rPr/>
        <w:t>12</w:t>
      </w:r>
      <w:r>
        <w:rPr/>
        <w:t>月</w:t>
      </w:r>
      <w:r>
        <w:rPr/>
        <w:t>22</w:t>
      </w:r>
      <w:r>
        <w:rPr/>
        <w:t>日上市开始，共</w:t>
      </w:r>
      <w:r>
        <w:rPr/>
        <w:t>686</w:t>
      </w:r>
      <w:r>
        <w:rPr/>
        <w:t>根日线、</w:t>
      </w:r>
      <w:r>
        <w:rPr/>
        <w:t>147</w:t>
      </w:r>
      <w:r>
        <w:rPr/>
        <w:t>根周线，接近三年但尚不足完整三年，不补造更早数据。行情锁定</w:t>
      </w:r>
      <w:r>
        <w:rPr/>
        <w:t>market-v1.6</w:t>
      </w:r>
      <w:r>
        <w:rPr/>
        <w:t>，由腾讯、独立新浪报价和</w:t>
      </w:r>
      <w:r>
        <w:rPr/>
        <w:t>Yahoo</w:t>
      </w:r>
      <w:r>
        <w:rPr/>
        <w:t>日线核验，收盘</w:t>
      </w:r>
      <w:r>
        <w:rPr/>
        <w:t>3.425</w:t>
      </w:r>
      <w:r>
        <w:rPr/>
        <w:t>港元、当日</w:t>
      </w:r>
      <w:r>
        <w:rPr/>
        <w:t>291.75</w:t>
      </w:r>
      <w:r>
        <w:rPr/>
        <w:t>万股、成交额</w:t>
      </w:r>
      <w:r>
        <w:rPr/>
        <w:t>962.25</w:t>
      </w:r>
      <w:r>
        <w:rPr/>
        <w:t>万港元一致。</w:t>
      </w:r>
      <w:r>
        <w:rPr/>
        <w:t>Yahoo</w:t>
      </w:r>
      <w:r>
        <w:rPr/>
        <w:t>六根逻辑不一致的</w:t>
      </w:r>
      <w:r>
        <w:rPr/>
        <w:t>OHLC</w:t>
      </w:r>
      <w:r>
        <w:rPr/>
        <w:t>已用腾讯同日完整价格栏修复并保留原字段；最近</w:t>
      </w:r>
      <w:r>
        <w:rPr/>
        <w:t>60</w:t>
      </w:r>
      <w:r>
        <w:rPr/>
        <w:t>日复权价两源没有显著差异。技术口径为基准名义价归一的复权</w:t>
      </w:r>
      <w:r>
        <w:rPr/>
        <w:t>OHLC</w:t>
      </w:r>
      <w:r>
        <w:rPr/>
        <w:t>，成交量核为股，不能再乘一百或当成手数。</w:t>
      </w:r>
    </w:p>
    <w:p>
      <w:pPr>
        <w:pStyle w:val="Normal"/>
        <w:rPr/>
      </w:pPr>
      <w:r>
        <w:rPr/>
        <w:t>日线</w:t>
      </w:r>
      <w:r>
        <w:rPr/>
        <w:t>20</w:t>
      </w:r>
      <w:r>
        <w:rPr/>
        <w:t>、</w:t>
      </w:r>
      <w:r>
        <w:rPr/>
        <w:t>60</w:t>
      </w:r>
      <w:r>
        <w:rPr/>
        <w:t>、</w:t>
      </w:r>
      <w:r>
        <w:rPr/>
        <w:t>120</w:t>
      </w:r>
      <w:r>
        <w:rPr/>
        <w:t>及</w:t>
      </w:r>
      <w:r>
        <w:rPr/>
        <w:t>250</w:t>
      </w:r>
      <w:r>
        <w:rPr/>
        <w:t>日均线分别</w:t>
      </w:r>
      <w:r>
        <w:rPr/>
        <w:t>3.404</w:t>
      </w:r>
      <w:r>
        <w:rPr/>
        <w:t>、</w:t>
      </w:r>
      <w:r>
        <w:rPr/>
        <w:t>3.2051</w:t>
      </w:r>
      <w:r>
        <w:rPr/>
        <w:t>、</w:t>
      </w:r>
      <w:r>
        <w:rPr/>
        <w:t>3.2293</w:t>
      </w:r>
      <w:r>
        <w:rPr/>
        <w:t>和</w:t>
      </w:r>
      <w:r>
        <w:rPr/>
        <w:t>3.11394</w:t>
      </w:r>
      <w:r>
        <w:rPr/>
        <w:t>港元；现价分别高</w:t>
      </w:r>
      <w:r>
        <w:rPr/>
        <w:t>0.62%</w:t>
      </w:r>
      <w:r>
        <w:rPr/>
        <w:t>、</w:t>
      </w:r>
      <w:r>
        <w:rPr/>
        <w:t>6.86%</w:t>
      </w:r>
      <w:r>
        <w:rPr/>
        <w:t>、</w:t>
      </w:r>
      <w:r>
        <w:rPr/>
        <w:t>6.06%</w:t>
      </w:r>
      <w:r>
        <w:rPr/>
        <w:t>、</w:t>
      </w:r>
      <w:r>
        <w:rPr/>
        <w:t>9.99%</w:t>
      </w:r>
      <w:r>
        <w:rPr/>
        <w:t>。过去五个交易日均线变化</w:t>
      </w:r>
      <w:r>
        <w:rPr/>
        <w:t>20</w:t>
      </w:r>
      <w:r>
        <w:rPr/>
        <w:t>日正</w:t>
      </w:r>
      <w:r>
        <w:rPr/>
        <w:t>0.67%</w:t>
      </w:r>
      <w:r>
        <w:rPr/>
        <w:t>、</w:t>
      </w:r>
      <w:r>
        <w:rPr/>
        <w:t>60</w:t>
      </w:r>
      <w:r>
        <w:rPr/>
        <w:t>日正</w:t>
      </w:r>
      <w:r>
        <w:rPr/>
        <w:t>2.35%</w:t>
      </w:r>
      <w:r>
        <w:rPr/>
        <w:t>、</w:t>
      </w:r>
      <w:r>
        <w:rPr/>
        <w:t>120</w:t>
      </w:r>
      <w:r>
        <w:rPr/>
        <w:t>日负</w:t>
      </w:r>
      <w:r>
        <w:rPr/>
        <w:t>0.19%</w:t>
      </w:r>
      <w:r>
        <w:rPr/>
        <w:t>、</w:t>
      </w:r>
      <w:r>
        <w:rPr/>
        <w:t>250</w:t>
      </w:r>
      <w:r>
        <w:rPr/>
        <w:t>日负</w:t>
      </w:r>
      <w:r>
        <w:rPr/>
        <w:t>0.25%</w:t>
      </w:r>
      <w:r>
        <w:rPr/>
        <w:t>。这说明中短期有修复，但长期均线尚未全面转向；仅现价位于全部均线之上，不能概括成强劲长期多头排列。</w:t>
      </w:r>
      <w:r>
        <w:rPr/>
        <w:t>60</w:t>
      </w:r>
      <w:r>
        <w:rPr/>
        <w:t>日均线仍略低</w:t>
      </w:r>
      <w:r>
        <w:rPr/>
        <w:t>120</w:t>
      </w:r>
      <w:r>
        <w:rPr/>
        <w:t>日，</w:t>
      </w:r>
      <w:r>
        <w:rPr/>
        <w:t>20</w:t>
      </w:r>
      <w:r>
        <w:rPr/>
        <w:t>日贴近现价，价格若连续回落容易失去短期均线支持，观察期间应关注斜率和收盘持续性。</w:t>
      </w:r>
    </w:p>
    <w:p>
      <w:pPr>
        <w:pStyle w:val="Normal"/>
        <w:rPr/>
      </w:pPr>
      <w:r>
        <w:rPr/>
        <w:t>20</w:t>
      </w:r>
      <w:r>
        <w:rPr/>
        <w:t>日股价回报负</w:t>
      </w:r>
      <w:r>
        <w:rPr/>
        <w:t>2.42%</w:t>
      </w:r>
      <w:r>
        <w:rPr/>
        <w:t>，</w:t>
      </w:r>
      <w:r>
        <w:rPr/>
        <w:t>60</w:t>
      </w:r>
      <w:r>
        <w:rPr/>
        <w:t>日正</w:t>
      </w:r>
      <w:r>
        <w:rPr/>
        <w:t>24.55%</w:t>
      </w:r>
      <w:r>
        <w:rPr/>
        <w:t>，</w:t>
      </w:r>
      <w:r>
        <w:rPr/>
        <w:t>120</w:t>
      </w:r>
      <w:r>
        <w:rPr/>
        <w:t>日负</w:t>
      </w:r>
      <w:r>
        <w:rPr/>
        <w:t>10.81%</w:t>
      </w:r>
      <w:r>
        <w:rPr/>
        <w:t>、</w:t>
      </w:r>
      <w:r>
        <w:rPr/>
        <w:t>250</w:t>
      </w:r>
      <w:r>
        <w:rPr/>
        <w:t>日负</w:t>
      </w:r>
      <w:r>
        <w:rPr/>
        <w:t>12.18%</w:t>
      </w:r>
      <w:r>
        <w:rPr/>
        <w:t>，反映较短区间快速恢复与中长期损失并存。</w:t>
      </w:r>
      <w:r>
        <w:rPr/>
        <w:t>52</w:t>
      </w:r>
      <w:r>
        <w:rPr/>
        <w:t>周高点</w:t>
      </w:r>
      <w:r>
        <w:rPr/>
        <w:t>4.72</w:t>
      </w:r>
      <w:r>
        <w:rPr/>
        <w:t>、低点</w:t>
      </w:r>
      <w:r>
        <w:rPr/>
        <w:t>1.80</w:t>
      </w:r>
      <w:r>
        <w:rPr/>
        <w:t>，现价较高点低</w:t>
      </w:r>
      <w:r>
        <w:rPr/>
        <w:t>27.44%</w:t>
      </w:r>
      <w:r>
        <w:rPr/>
        <w:t>、较低点高</w:t>
      </w:r>
      <w:r>
        <w:rPr/>
        <w:t>90.28%</w:t>
      </w:r>
      <w:r>
        <w:rPr/>
        <w:t>；日收盘序列最大回撤约</w:t>
      </w:r>
      <w:r>
        <w:rPr/>
        <w:t>54.55%</w:t>
      </w:r>
      <w:r>
        <w:rPr/>
        <w:t>。从低点反弹幅度大并不等于估值便宜，也不等于涨势耗尽，关键是新信息是否足以支持更高现金流。这里的量价信号能够提高半年交易评分，却没有改变基准估值明显低于现价的结论，长期均线权重必须随期限降低。</w:t>
      </w:r>
    </w:p>
    <w:p>
      <w:pPr>
        <w:pStyle w:val="Normal"/>
        <w:rPr/>
      </w:pPr>
      <w:r>
        <w:rPr/>
        <w:t>最近</w:t>
      </w:r>
      <w:r>
        <w:rPr/>
        <w:t>20</w:t>
      </w:r>
      <w:r>
        <w:rPr/>
        <w:t>日观察低点</w:t>
      </w:r>
      <w:r>
        <w:rPr/>
        <w:t>3.10</w:t>
      </w:r>
      <w:r>
        <w:rPr/>
        <w:t>、高点</w:t>
      </w:r>
      <w:r>
        <w:rPr/>
        <w:t>3.665</w:t>
      </w:r>
      <w:r>
        <w:rPr/>
        <w:t>，到低点约负</w:t>
      </w:r>
      <w:r>
        <w:rPr/>
        <w:t>9.49%</w:t>
      </w:r>
      <w:r>
        <w:rPr/>
        <w:t>、到高点正</w:t>
      </w:r>
      <w:r>
        <w:rPr/>
        <w:t>7.01%</w:t>
      </w:r>
      <w:r>
        <w:rPr/>
        <w:t>；</w:t>
      </w:r>
      <w:r>
        <w:rPr/>
        <w:t>60</w:t>
      </w:r>
      <w:r>
        <w:rPr/>
        <w:t>日区间</w:t>
      </w:r>
      <w:r>
        <w:rPr/>
        <w:t>2.47</w:t>
      </w:r>
      <w:r>
        <w:rPr/>
        <w:t>至</w:t>
      </w:r>
      <w:r>
        <w:rPr/>
        <w:t>3.97</w:t>
      </w:r>
      <w:r>
        <w:rPr/>
        <w:t>，距离约负</w:t>
      </w:r>
      <w:r>
        <w:rPr/>
        <w:t>27.88%</w:t>
      </w:r>
      <w:r>
        <w:rPr/>
        <w:t>、正</w:t>
      </w:r>
      <w:r>
        <w:rPr/>
        <w:t>15.91%</w:t>
      </w:r>
      <w:r>
        <w:rPr/>
        <w:t>。这些是区间极值，不是经多次触碰统计确认的支撑阻力，不能把</w:t>
      </w:r>
      <w:r>
        <w:rPr/>
        <w:t>3.10</w:t>
      </w:r>
      <w:r>
        <w:rPr/>
        <w:t>当成自动止损价或</w:t>
      </w:r>
      <w:r>
        <w:rPr/>
        <w:t>3.665</w:t>
      </w:r>
      <w:r>
        <w:rPr/>
        <w:t>当成必然突破点。现价接近短均线而尚未达到区间上沿，交易状态更像修复后的整理。有效突破应结合多日收盘、回踩不失守及成交额延续；仅盘中冲高或一次大单并不足以证明趋势转换，尤其本股流动性较低。</w:t>
      </w:r>
    </w:p>
    <w:p>
      <w:pPr>
        <w:pStyle w:val="Normal"/>
        <w:rPr/>
      </w:pPr>
      <w:r>
        <w:rPr/>
        <w:t>当日开</w:t>
      </w:r>
      <w:r>
        <w:rPr/>
        <w:t>3.36</w:t>
      </w:r>
      <w:r>
        <w:rPr/>
        <w:t>、最高</w:t>
      </w:r>
      <w:r>
        <w:rPr/>
        <w:t>3.51</w:t>
      </w:r>
      <w:r>
        <w:rPr/>
        <w:t>、最低</w:t>
      </w:r>
      <w:r>
        <w:rPr/>
        <w:t>3.22</w:t>
      </w:r>
      <w:r>
        <w:rPr/>
        <w:t>、收</w:t>
      </w:r>
      <w:r>
        <w:rPr/>
        <w:t>3.425</w:t>
      </w:r>
      <w:r>
        <w:rPr/>
        <w:t>，收盘比前日涨</w:t>
      </w:r>
      <w:r>
        <w:rPr/>
        <w:t>1.93%</w:t>
      </w:r>
      <w:r>
        <w:rPr/>
        <w:t>。日内振幅相对收盘约</w:t>
      </w:r>
      <w:r>
        <w:rPr/>
        <w:t>8.47%</w:t>
      </w:r>
      <w:r>
        <w:rPr/>
        <w:t>，在价格向上时也出现明显下探，说明事件和流动性驱动的波动仍大。收盘位于当日区间较上方属于积极细节，但并未突破</w:t>
      </w:r>
      <w:r>
        <w:rPr/>
        <w:t>3.665</w:t>
      </w:r>
      <w:r>
        <w:rPr/>
        <w:t>或</w:t>
      </w:r>
      <w:r>
        <w:rPr/>
        <w:t>3.97</w:t>
      </w:r>
      <w:r>
        <w:rPr/>
        <w:t>。若随后成交量回落而价格能保持</w:t>
      </w:r>
      <w:r>
        <w:rPr/>
        <w:t>20</w:t>
      </w:r>
      <w:r>
        <w:rPr/>
        <w:t>日均线，可解释为抛压减少的观察信号；若放量上冲后迅速收回</w:t>
      </w:r>
      <w:r>
        <w:rPr/>
        <w:t>3.10</w:t>
      </w:r>
      <w:r>
        <w:rPr/>
        <w:t>以下，应判为失败修复。所有判断都只基于可见交易，不声称识别具体主力、机构吸筹或内幕资金。</w:t>
      </w:r>
    </w:p>
    <w:p>
      <w:pPr>
        <w:pStyle w:val="Normal"/>
        <w:rPr/>
      </w:pPr>
      <w:r>
        <w:rPr/>
        <w:t>五日、</w:t>
      </w:r>
      <w:r>
        <w:rPr/>
        <w:t>20</w:t>
      </w:r>
      <w:r>
        <w:rPr/>
        <w:t>日、</w:t>
      </w:r>
      <w:r>
        <w:rPr/>
        <w:t>60</w:t>
      </w:r>
      <w:r>
        <w:rPr/>
        <w:t>日平均成交量分别</w:t>
      </w:r>
      <w:r>
        <w:rPr/>
        <w:t>71.21</w:t>
      </w:r>
      <w:r>
        <w:rPr/>
        <w:t>万、</w:t>
      </w:r>
      <w:r>
        <w:rPr/>
        <w:t>70.03</w:t>
      </w:r>
      <w:r>
        <w:rPr/>
        <w:t>万、</w:t>
      </w:r>
      <w:r>
        <w:rPr/>
        <w:t>79.55</w:t>
      </w:r>
      <w:r>
        <w:rPr/>
        <w:t>万股，当日相对前</w:t>
      </w:r>
      <w:r>
        <w:rPr/>
        <w:t>20</w:t>
      </w:r>
      <w:r>
        <w:rPr/>
        <w:t>日不含当日均量</w:t>
      </w:r>
      <w:r>
        <w:rPr/>
        <w:t>57.83</w:t>
      </w:r>
      <w:r>
        <w:rPr/>
        <w:t>万约</w:t>
      </w:r>
      <w:r>
        <w:rPr/>
        <w:t>5.045</w:t>
      </w:r>
      <w:r>
        <w:rPr/>
        <w:t>倍。若用含当日</w:t>
      </w:r>
      <w:r>
        <w:rPr/>
        <w:t>20</w:t>
      </w:r>
      <w:r>
        <w:rPr/>
        <w:t>日均量，比例约</w:t>
      </w:r>
      <w:r>
        <w:rPr/>
        <w:t>4.166</w:t>
      </w:r>
      <w:r>
        <w:rPr/>
        <w:t>倍，两者分母不同，本章明确使用前</w:t>
      </w:r>
      <w:r>
        <w:rPr/>
        <w:t>20</w:t>
      </w:r>
      <w:r>
        <w:rPr/>
        <w:t>日量比，避免看似矛盾。当日量比很高，但五日和</w:t>
      </w:r>
      <w:r>
        <w:rPr/>
        <w:t>20</w:t>
      </w:r>
      <w:r>
        <w:rPr/>
        <w:t>日均量仍低</w:t>
      </w:r>
      <w:r>
        <w:rPr/>
        <w:t>60</w:t>
      </w:r>
      <w:r>
        <w:rPr/>
        <w:t>日，意味着尚未形成持续放量。单日公告、换仓或大单都能引发量峰，必须看接下来几天成交额能否维持。量价分析不把五倍量自动等同于后续上涨概率，价格能否守住新增交易区域更有意义。</w:t>
      </w:r>
    </w:p>
    <w:p>
      <w:pPr>
        <w:pStyle w:val="Normal"/>
        <w:rPr/>
      </w:pPr>
      <w:r>
        <w:rPr/>
        <w:t>最近</w:t>
      </w:r>
      <w:r>
        <w:rPr/>
        <w:t>20</w:t>
      </w:r>
      <w:r>
        <w:rPr/>
        <w:t>日上涨日总成交</w:t>
      </w:r>
      <w:r>
        <w:rPr/>
        <w:t>766.7</w:t>
      </w:r>
      <w:r>
        <w:rPr/>
        <w:t>万股、下跌日</w:t>
      </w:r>
      <w:r>
        <w:rPr/>
        <w:t>620.18</w:t>
      </w:r>
      <w:r>
        <w:rPr/>
        <w:t>万、平盘</w:t>
      </w:r>
      <w:r>
        <w:rPr/>
        <w:t>13.75</w:t>
      </w:r>
      <w:r>
        <w:rPr/>
        <w:t>万，上涨九天、下跌十天，量比约</w:t>
      </w:r>
      <w:r>
        <w:rPr/>
        <w:t>1.236</w:t>
      </w:r>
      <w:r>
        <w:rPr/>
        <w:t>。这提供温和积极结构，但交易日数量和单日放量影响都明显。它不是逐笔买入卖出统计，也不能说买盘比卖盘多</w:t>
      </w:r>
      <w:r>
        <w:rPr/>
        <w:t>23.6%</w:t>
      </w:r>
      <w:r>
        <w:rPr/>
        <w:t>，因为每笔成交均有买卖双方。更长周线</w:t>
      </w:r>
      <w:r>
        <w:rPr/>
        <w:t>20</w:t>
      </w:r>
      <w:r>
        <w:rPr/>
        <w:t>周上涨日量</w:t>
      </w:r>
      <w:r>
        <w:rPr/>
        <w:t>3360.79</w:t>
      </w:r>
      <w:r>
        <w:rPr/>
        <w:t>万、下跌</w:t>
      </w:r>
      <w:r>
        <w:rPr/>
        <w:t>3662.55</w:t>
      </w:r>
      <w:r>
        <w:rPr/>
        <w:t>万，比约</w:t>
      </w:r>
      <w:r>
        <w:rPr/>
        <w:t>0.918</w:t>
      </w:r>
      <w:r>
        <w:rPr/>
        <w:t>，说明中期尚无一致放量优势。短期日量与中期周量差异应被保留，不从大量相似指标中选取最乐观的一组重复加分。</w:t>
      </w:r>
    </w:p>
    <w:p>
      <w:pPr>
        <w:pStyle w:val="Normal"/>
        <w:rPr/>
      </w:pPr>
      <w:r>
        <w:rPr/>
        <w:t>当日成交</w:t>
      </w:r>
      <w:r>
        <w:rPr/>
        <w:t>291.75</w:t>
      </w:r>
      <w:r>
        <w:rPr/>
        <w:t>万股相对全部法律股</w:t>
      </w:r>
      <w:r>
        <w:rPr/>
        <w:t>6.70036</w:t>
      </w:r>
      <w:r>
        <w:rPr/>
        <w:t>亿，比例约</w:t>
      </w:r>
      <w:r>
        <w:rPr/>
        <w:t>0.4354%</w:t>
      </w:r>
      <w:r>
        <w:rPr/>
        <w:t>，只属于全股口径的交易比例，不是已核自由流通换手。激励信托、主要股东和潜在锁定结构会改变可流通分母，原件未给可直接使用的</w:t>
      </w:r>
      <w:r>
        <w:rPr/>
        <w:t>10</w:t>
      </w:r>
      <w:r>
        <w:rPr/>
        <w:t>月</w:t>
      </w:r>
      <w:r>
        <w:rPr/>
        <w:t>9</w:t>
      </w:r>
      <w:r>
        <w:rPr/>
        <w:t>日自由流通总数。平均成交额及盘口深度较低意味着进出成本可能高于收盘价展示的涨幅；一次成交额不足千万元时，大额仓位无法假设都按同价完成。进取型研究也需要把流动性看作下行风险，而不只把低成交量解释为潜在拉升容易。</w:t>
      </w:r>
    </w:p>
    <w:p>
      <w:pPr>
        <w:pStyle w:val="Normal"/>
        <w:rPr/>
      </w:pPr>
      <w:r>
        <w:rPr/>
        <w:t>相对恒生指数，</w:t>
      </w:r>
      <w:r>
        <w:rPr/>
        <w:t>20</w:t>
      </w:r>
      <w:r>
        <w:rPr/>
        <w:t>日超额正</w:t>
      </w:r>
      <w:r>
        <w:rPr/>
        <w:t>0.56</w:t>
      </w:r>
      <w:r>
        <w:rPr/>
        <w:t>个百分点、</w:t>
      </w:r>
      <w:r>
        <w:rPr/>
        <w:t>60</w:t>
      </w:r>
      <w:r>
        <w:rPr/>
        <w:t>日正</w:t>
      </w:r>
      <w:r>
        <w:rPr/>
        <w:t>27.73</w:t>
      </w:r>
      <w:r>
        <w:rPr/>
        <w:t>；相对国证港股通创新药粗粒度指数，</w:t>
      </w:r>
      <w:r>
        <w:rPr/>
        <w:t>20</w:t>
      </w:r>
      <w:r>
        <w:rPr/>
        <w:t>日负</w:t>
      </w:r>
      <w:r>
        <w:rPr/>
        <w:t>3.30</w:t>
      </w:r>
      <w:r>
        <w:rPr/>
        <w:t>、</w:t>
      </w:r>
      <w:r>
        <w:rPr/>
        <w:t>60</w:t>
      </w:r>
      <w:r>
        <w:rPr/>
        <w:t>日正</w:t>
      </w:r>
      <w:r>
        <w:rPr/>
        <w:t>27.77</w:t>
      </w:r>
      <w:r>
        <w:rPr/>
        <w:t>。可见该股较大盘的中期修复突出，近期对医药行业却落后，不能笼统称为全面领涨。行业指数并非专门的代谢药比较组，政策、上市阶段和市值差异会影响解释，相关量数据也禁用。半年内若股价突破同时重新跑赢行业，可以提高趋势可信度；若行业继续上涨而公司持续落后，应检查审批、基金或治理信息是否造成个股折价。</w:t>
      </w:r>
    </w:p>
    <w:p>
      <w:pPr>
        <w:pStyle w:val="Normal"/>
        <w:rPr/>
      </w:pPr>
      <w:r>
        <w:rPr/>
        <w:t>RSI14</w:t>
      </w:r>
      <w:r>
        <w:rPr/>
        <w:t>为</w:t>
      </w:r>
      <w:r>
        <w:rPr/>
        <w:t>51.34</w:t>
      </w:r>
      <w:r>
        <w:rPr/>
        <w:t>，中性附近，日</w:t>
      </w:r>
      <w:r>
        <w:rPr/>
        <w:t>MACD DIF</w:t>
      </w:r>
      <w:r>
        <w:rPr/>
        <w:t>约</w:t>
      </w:r>
      <w:r>
        <w:rPr/>
        <w:t>0.0611</w:t>
      </w:r>
      <w:r>
        <w:rPr/>
        <w:t>、</w:t>
      </w:r>
      <w:r>
        <w:rPr/>
        <w:t>DEA0.0718</w:t>
      </w:r>
      <w:r>
        <w:rPr/>
        <w:t>，柱值按两倍差为负</w:t>
      </w:r>
      <w:r>
        <w:rPr/>
        <w:t>0.0214</w:t>
      </w:r>
      <w:r>
        <w:rPr/>
        <w:t>，短期动能并未与</w:t>
      </w:r>
      <w:r>
        <w:rPr/>
        <w:t>60</w:t>
      </w:r>
      <w:r>
        <w:rPr/>
        <w:t>日反弹完全同步。</w:t>
      </w:r>
      <w:r>
        <w:rPr/>
        <w:t>ATR14</w:t>
      </w:r>
      <w:r>
        <w:rPr/>
        <w:t>约</w:t>
      </w:r>
      <w:r>
        <w:rPr/>
        <w:t>0.2180</w:t>
      </w:r>
      <w:r>
        <w:rPr/>
        <w:t>港元，相当于现价</w:t>
      </w:r>
      <w:r>
        <w:rPr/>
        <w:t>6.37%</w:t>
      </w:r>
      <w:r>
        <w:rPr/>
        <w:t>，因此一两个</w:t>
      </w:r>
      <w:r>
        <w:rPr/>
        <w:t>ATR</w:t>
      </w:r>
      <w:r>
        <w:rPr/>
        <w:t>的波动即可跨越近均线或观察位，固定几分价格的保护范围可能被普通波动轻易触发。</w:t>
      </w:r>
      <w:r>
        <w:rPr/>
        <w:t>RSI</w:t>
      </w:r>
      <w:r>
        <w:rPr/>
        <w:t>和</w:t>
      </w:r>
      <w:r>
        <w:rPr/>
        <w:t>MACD</w:t>
      </w:r>
      <w:r>
        <w:rPr/>
        <w:t>用于说明动量状态，不独立各加一次高分；</w:t>
      </w:r>
      <w:r>
        <w:rPr/>
        <w:t>ATR</w:t>
      </w:r>
      <w:r>
        <w:rPr/>
        <w:t>用于交易幅度与失效条件。临床事件跳空可能超过</w:t>
      </w:r>
      <w:r>
        <w:rPr/>
        <w:t>ATR</w:t>
      </w:r>
      <w:r>
        <w:rPr/>
        <w:t>，历史波动不能覆盖公告跳跃的最大损失。</w:t>
      </w:r>
    </w:p>
    <w:p>
      <w:pPr>
        <w:pStyle w:val="Normal"/>
        <w:rPr/>
      </w:pPr>
      <w:r>
        <w:rPr/>
        <w:t>周线</w:t>
      </w:r>
      <w:r>
        <w:rPr/>
        <w:t>20</w:t>
      </w:r>
      <w:r>
        <w:rPr/>
        <w:t>、</w:t>
      </w:r>
      <w:r>
        <w:rPr/>
        <w:t>60</w:t>
      </w:r>
      <w:r>
        <w:rPr/>
        <w:t>、</w:t>
      </w:r>
      <w:r>
        <w:rPr/>
        <w:t>120</w:t>
      </w:r>
      <w:r>
        <w:rPr/>
        <w:t>周均线约</w:t>
      </w:r>
      <w:r>
        <w:rPr/>
        <w:t>3.062</w:t>
      </w:r>
      <w:r>
        <w:rPr/>
        <w:t>、</w:t>
      </w:r>
      <w:r>
        <w:rPr/>
        <w:t>3.1822</w:t>
      </w:r>
      <w:r>
        <w:rPr/>
        <w:t>、</w:t>
      </w:r>
      <w:r>
        <w:rPr/>
        <w:t>2.4301</w:t>
      </w:r>
      <w:r>
        <w:rPr/>
        <w:t>，现价高</w:t>
      </w:r>
      <w:r>
        <w:rPr/>
        <w:t>11.85%</w:t>
      </w:r>
      <w:r>
        <w:rPr/>
        <w:t>、</w:t>
      </w:r>
      <w:r>
        <w:rPr/>
        <w:t>7.63%</w:t>
      </w:r>
      <w:r>
        <w:rPr/>
        <w:t>、</w:t>
      </w:r>
      <w:r>
        <w:rPr/>
        <w:t>40.94%</w:t>
      </w:r>
      <w:r>
        <w:rPr/>
        <w:t>，</w:t>
      </w:r>
      <w:r>
        <w:rPr/>
        <w:t>250</w:t>
      </w:r>
      <w:r>
        <w:rPr/>
        <w:t>周均线为空。</w:t>
      </w:r>
      <w:r>
        <w:rPr/>
        <w:t>20</w:t>
      </w:r>
      <w:r>
        <w:rPr/>
        <w:t>周五周斜率负</w:t>
      </w:r>
      <w:r>
        <w:rPr/>
        <w:t>2.96%</w:t>
      </w:r>
      <w:r>
        <w:rPr/>
        <w:t>、</w:t>
      </w:r>
      <w:r>
        <w:rPr/>
        <w:t>60</w:t>
      </w:r>
      <w:r>
        <w:rPr/>
        <w:t>周正</w:t>
      </w:r>
      <w:r>
        <w:rPr/>
        <w:t>0.10%</w:t>
      </w:r>
      <w:r>
        <w:rPr/>
        <w:t>、</w:t>
      </w:r>
      <w:r>
        <w:rPr/>
        <w:t>120</w:t>
      </w:r>
      <w:r>
        <w:rPr/>
        <w:t>周负</w:t>
      </w:r>
      <w:r>
        <w:rPr/>
        <w:t>1.89%</w:t>
      </w:r>
      <w:r>
        <w:rPr/>
        <w:t>；周</w:t>
      </w:r>
      <w:r>
        <w:rPr/>
        <w:t>RSI55.60</w:t>
      </w:r>
      <w:r>
        <w:rPr/>
        <w:t>、</w:t>
      </w:r>
      <w:r>
        <w:rPr/>
        <w:t>MACD</w:t>
      </w:r>
      <w:r>
        <w:rPr/>
        <w:t>柱正</w:t>
      </w:r>
      <w:r>
        <w:rPr/>
        <w:t>0.0967</w:t>
      </w:r>
      <w:r>
        <w:rPr/>
        <w:t>，存在改善但斜率仍交错。周</w:t>
      </w:r>
      <w:r>
        <w:rPr/>
        <w:t>ATR</w:t>
      </w:r>
      <w:r>
        <w:rPr/>
        <w:t>约</w:t>
      </w:r>
      <w:r>
        <w:rPr/>
        <w:t>0.4756</w:t>
      </w:r>
      <w:r>
        <w:rPr/>
        <w:t>，相当现价</w:t>
      </w:r>
      <w:r>
        <w:rPr/>
        <w:t>13.89%</w:t>
      </w:r>
      <w:r>
        <w:rPr/>
        <w:t>。这一组信息支持“中期震荡修复”，不是已经确认长期加速。五年排名完全不计技术分，三年仅</w:t>
      </w:r>
      <w:r>
        <w:rPr/>
        <w:t>5%</w:t>
      </w:r>
      <w:r>
        <w:rPr/>
        <w:t>，避免让短期价格结构覆盖药物开发及资金的长期不确定性。</w:t>
      </w:r>
    </w:p>
    <w:p>
      <w:pPr>
        <w:pStyle w:val="Heading2"/>
        <w:rPr/>
      </w:pPr>
      <w:r>
        <w:rPr>
          <w:color w:val="000000"/>
        </w:rPr>
        <w:t>四期限逻辑 情景与反证</w:t>
      </w:r>
    </w:p>
    <w:p>
      <w:pPr>
        <w:pStyle w:val="Normal"/>
        <w:rPr/>
      </w:pPr>
      <w:r>
        <w:rPr/>
        <w:t>半年到</w:t>
      </w:r>
      <w:r>
        <w:rPr/>
        <w:t>2027</w:t>
      </w:r>
      <w:r>
        <w:rPr/>
        <w:t>年</w:t>
      </w:r>
      <w:r>
        <w:rPr/>
        <w:t>4</w:t>
      </w:r>
      <w:r>
        <w:rPr/>
        <w:t>月</w:t>
      </w:r>
      <w:r>
        <w:rPr/>
        <w:t>9</w:t>
      </w:r>
      <w:r>
        <w:rPr/>
        <w:t>日，主要变量是</w:t>
      </w:r>
      <w:r>
        <w:rPr/>
        <w:t>NDA</w:t>
      </w:r>
      <w:r>
        <w:rPr/>
        <w:t>审批、中国合作是否签署、商业化准备和基金退出。若中国</w:t>
      </w:r>
      <w:r>
        <w:rPr/>
        <w:t>2027</w:t>
      </w:r>
      <w:r>
        <w:rPr/>
        <w:t>年上市路径明确、签约权益合理且量价突破，乐观价可反映从机制转向可销售资产的预期变化。基准价仍只有</w:t>
      </w:r>
      <w:r>
        <w:rPr/>
        <w:t>0.9077</w:t>
      </w:r>
      <w:r>
        <w:rPr/>
        <w:t>港元，来自正常爬坡、全球项目费用和后续融资稀释后的有限股东价值；不是针对消息后的精准成交预测。半年进取交易要同时接受事件与资金风险，估值没有形成安全边际时，技术改善更适合作为观察条件，不能单独支持高仓位的核心推荐。年内还未假设基准新融资，未来发股仍削减现有每股分配。</w:t>
      </w:r>
    </w:p>
    <w:p>
      <w:pPr>
        <w:pStyle w:val="Normal"/>
        <w:rPr/>
      </w:pPr>
      <w:r>
        <w:rPr/>
        <w:t>一年到</w:t>
      </w:r>
      <w:r>
        <w:rPr/>
        <w:t>2027</w:t>
      </w:r>
      <w:r>
        <w:rPr/>
        <w:t>年</w:t>
      </w:r>
      <w:r>
        <w:rPr/>
        <w:t>10</w:t>
      </w:r>
      <w:r>
        <w:rPr/>
        <w:t>月</w:t>
      </w:r>
      <w:r>
        <w:rPr/>
        <w:t>7</w:t>
      </w:r>
      <w:r>
        <w:rPr/>
        <w:t>日，通常有更多注册、上市和处方数据，模型基准价</w:t>
      </w:r>
      <w:r>
        <w:rPr/>
        <w:t>0.9728</w:t>
      </w:r>
      <w:r>
        <w:rPr/>
        <w:t>港元，对现价回报负</w:t>
      </w:r>
      <w:r>
        <w:rPr/>
        <w:t>71.59%</w:t>
      </w:r>
      <w:r>
        <w:rPr/>
        <w:t>；乐观</w:t>
      </w:r>
      <w:r>
        <w:rPr/>
        <w:t>5.1942</w:t>
      </w:r>
      <w:r>
        <w:rPr/>
        <w:t>，正</w:t>
      </w:r>
      <w:r>
        <w:rPr/>
        <w:t>51.65%</w:t>
      </w:r>
      <w:r>
        <w:rPr/>
        <w:t>。如果获批但销售缓慢，投资者可能经历“好消息兑现后回落”，因为股价已包含多适应症想象。能否选择合适合作伙伴，使净收入、推广成本和回款匹配，比名义销售总额更重要。反证包括批准要求额外研究、医保定价远低假设、标签限制和持续用药差。应在收入、成本、现金和融资股数同时反映，不能只修改评分措辞。研发和发行预算需要按新信息重算，未来募资无法保证。</w:t>
      </w:r>
    </w:p>
    <w:p>
      <w:pPr>
        <w:pStyle w:val="Normal"/>
        <w:rPr/>
      </w:pPr>
      <w:r>
        <w:rPr/>
        <w:t>三年到</w:t>
      </w:r>
      <w:r>
        <w:rPr/>
        <w:t>2029</w:t>
      </w:r>
      <w:r>
        <w:rPr/>
        <w:t>年</w:t>
      </w:r>
      <w:r>
        <w:rPr/>
        <w:t>10</w:t>
      </w:r>
      <w:r>
        <w:rPr/>
        <w:t>月</w:t>
      </w:r>
      <w:r>
        <w:rPr/>
        <w:t>9</w:t>
      </w:r>
      <w:r>
        <w:rPr/>
        <w:t>日，中国产品应成为主要验证来源，全球项目可能仍处开发阶段。基准当年股数约</w:t>
      </w:r>
      <w:r>
        <w:rPr/>
        <w:t>7.41775</w:t>
      </w:r>
      <w:r>
        <w:rPr/>
        <w:t>亿，之前模拟净融资</w:t>
      </w:r>
      <w:r>
        <w:rPr/>
        <w:t>1.455</w:t>
      </w:r>
      <w:r>
        <w:rPr/>
        <w:t>亿元，基价</w:t>
      </w:r>
      <w:r>
        <w:rPr/>
        <w:t>1.2878</w:t>
      </w:r>
      <w:r>
        <w:rPr/>
        <w:t>港元，累计回报负</w:t>
      </w:r>
      <w:r>
        <w:rPr/>
        <w:t>62.40%</w:t>
      </w:r>
      <w:r>
        <w:rPr/>
        <w:t>、年化负</w:t>
      </w:r>
      <w:r>
        <w:rPr/>
        <w:t>27.82%</w:t>
      </w:r>
      <w:r>
        <w:rPr/>
        <w:t>，没有目标前分红缓冲。目标后的</w:t>
      </w:r>
      <w:r>
        <w:rPr/>
        <w:t>2030</w:t>
      </w:r>
      <w:r>
        <w:rPr/>
        <w:t>年融资仍影响未来分配股数，不能因它晚于目标日就从估值忽略。乐观三年价</w:t>
      </w:r>
      <w:r>
        <w:rPr/>
        <w:t>6.6380</w:t>
      </w:r>
      <w:r>
        <w:rPr/>
        <w:t>港元，需要更好中国销量和扩适应症证据共同成立。期限增加验证机会，也增加费用与稀释，总市值增长不保证每股增长；商业现金降低未来融资需求，长期值才有实质上修依据。</w:t>
      </w:r>
    </w:p>
    <w:p>
      <w:pPr>
        <w:pStyle w:val="Normal"/>
        <w:rPr/>
      </w:pPr>
      <w:r>
        <w:rPr/>
        <w:t>五年到</w:t>
      </w:r>
      <w:r>
        <w:rPr/>
        <w:t>2031</w:t>
      </w:r>
      <w:r>
        <w:rPr/>
        <w:t>年</w:t>
      </w:r>
      <w:r>
        <w:rPr/>
        <w:t>10</w:t>
      </w:r>
      <w:r>
        <w:rPr/>
        <w:t>月</w:t>
      </w:r>
      <w:r>
        <w:rPr/>
        <w:t>9</w:t>
      </w:r>
      <w:r>
        <w:rPr/>
        <w:t>日，基准价</w:t>
      </w:r>
      <w:r>
        <w:rPr/>
        <w:t>1.7028</w:t>
      </w:r>
      <w:r>
        <w:rPr/>
        <w:t>港元、回报负</w:t>
      </w:r>
      <w:r>
        <w:rPr/>
        <w:t>50.28%</w:t>
      </w:r>
      <w:r>
        <w:rPr/>
        <w:t>、年化负</w:t>
      </w:r>
      <w:r>
        <w:rPr/>
        <w:t>13.04%</w:t>
      </w:r>
      <w:r>
        <w:rPr/>
        <w:t>；乐观</w:t>
      </w:r>
      <w:r>
        <w:rPr/>
        <w:t>8.4746</w:t>
      </w:r>
      <w:r>
        <w:rPr/>
        <w:t>港元，反映较好经营现金积累和更接近</w:t>
      </w:r>
      <w:r>
        <w:rPr/>
        <w:t>2033</w:t>
      </w:r>
      <w:r>
        <w:rPr/>
        <w:t>以后分配，而不是期限长自动免除临床风险。五年基准总股数约</w:t>
      </w:r>
      <w:r>
        <w:rPr/>
        <w:t>7.89601</w:t>
      </w:r>
      <w:r>
        <w:rPr/>
        <w:t>亿、累计模拟净融资</w:t>
      </w:r>
      <w:r>
        <w:rPr/>
        <w:t>2.425</w:t>
      </w:r>
      <w:r>
        <w:rPr/>
        <w:t>亿元，药物扩张和每股回报仍受稀释制约。模型没有让所有研究选项无限滚动；</w:t>
      </w:r>
      <w:r>
        <w:rPr/>
        <w:t>2035</w:t>
      </w:r>
      <w:r>
        <w:rPr/>
        <w:t>后收入持续侵蚀、</w:t>
      </w:r>
      <w:r>
        <w:rPr/>
        <w:t>2040</w:t>
      </w:r>
      <w:r>
        <w:rPr/>
        <w:t>经营终值零。若</w:t>
      </w:r>
      <w:r>
        <w:rPr/>
        <w:t>2031</w:t>
      </w:r>
      <w:r>
        <w:rPr/>
        <w:t>仍无明确肾病、</w:t>
      </w:r>
      <w:r>
        <w:rPr/>
        <w:t>PSC</w:t>
      </w:r>
      <w:r>
        <w:rPr/>
        <w:t>或</w:t>
      </w:r>
      <w:r>
        <w:rPr/>
        <w:t>MASH</w:t>
      </w:r>
      <w:r>
        <w:rPr/>
        <w:t>注册证据，要检验平台高估；新分子具独立人体结果，才可以建立新资产模型并计真实开发成本。</w:t>
      </w:r>
    </w:p>
    <w:p>
      <w:pPr>
        <w:pStyle w:val="Normal"/>
        <w:rPr/>
      </w:pPr>
      <w:r>
        <w:rPr/>
        <w:t>十年经营展望至</w:t>
      </w:r>
      <w:r>
        <w:rPr/>
        <w:t>2036</w:t>
      </w:r>
      <w:r>
        <w:rPr/>
        <w:t>年，核心问题是公司能否从一个分子研发平台转为有资本纪律的慢病商业组织。维持长期竞争需要可重复临床运营、明确产品标签、可支付价格、持续安全监测、真实现金回款和新分子研发能力。若单药中国市场取得规模、扩适应症只在有证据时投入、投资基金退出且治理程序改善，企业可建立较稳固经营基础。若仍靠主题、会议及反复配售维持研究，股东将承担持续稀释而难获经营收益。十年市场需求很大不等于十年公司护城河已经存在，有限终值处理正是对此不确定性的约束。</w:t>
      </w:r>
    </w:p>
    <w:p>
      <w:pPr>
        <w:pStyle w:val="Normal"/>
        <w:rPr/>
      </w:pPr>
      <w:r>
        <w:rPr/>
        <w:t>年底只剩不足三个月，三情景不能直接套外资一年目标或按月份比例缩放。本模型从年底信息假设与之后有限股东分配计算：中国审批和合作未保证，</w:t>
      </w:r>
      <w:r>
        <w:rPr/>
        <w:t>MASH</w:t>
      </w:r>
      <w:r>
        <w:rPr/>
        <w:t>需补证据、基金退出与资金留风险。</w:t>
      </w:r>
      <w:r>
        <w:rPr/>
        <w:t>25%</w:t>
      </w:r>
      <w:r>
        <w:rPr/>
        <w:t>、</w:t>
      </w:r>
      <w:r>
        <w:rPr/>
        <w:t>50%</w:t>
      </w:r>
      <w:r>
        <w:rPr/>
        <w:t>、</w:t>
      </w:r>
      <w:r>
        <w:rPr/>
        <w:t>25%</w:t>
      </w:r>
      <w:r>
        <w:rPr/>
        <w:t>是判断权重；防守</w:t>
      </w:r>
      <w:r>
        <w:rPr/>
        <w:t>40%</w:t>
      </w:r>
      <w:r>
        <w:rPr/>
        <w:t>、</w:t>
      </w:r>
      <w:r>
        <w:rPr/>
        <w:t>45%</w:t>
      </w:r>
      <w:r>
        <w:rPr/>
        <w:t>、</w:t>
      </w:r>
      <w:r>
        <w:rPr/>
        <w:t>15%</w:t>
      </w:r>
      <w:r>
        <w:rPr/>
        <w:t>得期望价约</w:t>
      </w:r>
      <w:r>
        <w:rPr/>
        <w:t>1.1027</w:t>
      </w:r>
      <w:r>
        <w:rPr/>
        <w:t>港元，积极</w:t>
      </w:r>
      <w:r>
        <w:rPr/>
        <w:t>15%</w:t>
      </w:r>
      <w:r>
        <w:rPr/>
        <w:t>、</w:t>
      </w:r>
      <w:r>
        <w:rPr/>
        <w:t>45%</w:t>
      </w:r>
      <w:r>
        <w:rPr/>
        <w:t>、</w:t>
      </w:r>
      <w:r>
        <w:rPr/>
        <w:t>40%</w:t>
      </w:r>
      <w:r>
        <w:rPr/>
        <w:t>得</w:t>
      </w:r>
      <w:r>
        <w:rPr/>
        <w:t>2.2851</w:t>
      </w:r>
      <w:r>
        <w:rPr/>
        <w:t>港元，没有把权重装成统计信心。期望值对乐观尾部敏感，应连同三场景读，不能只引用</w:t>
      </w:r>
      <w:r>
        <w:rPr/>
        <w:t>1.6194</w:t>
      </w:r>
      <w:r>
        <w:rPr/>
        <w:t>单值。模型未来发行、开发、股息规则公开，修改任何输入都要依次刷新三快照，避免旧期望被当新结果。</w:t>
      </w:r>
    </w:p>
    <w:p>
      <w:pPr>
        <w:pStyle w:val="Normal"/>
        <w:rPr/>
      </w:pPr>
      <w:r>
        <w:rPr/>
        <w:t>乐观场景的收益来源主要是中国糖尿病更快、利润更好的采用，以及独立扩适应症证据提升，而非恒生指数或人民币自动上涨。折现率</w:t>
      </w:r>
      <w:r>
        <w:rPr/>
        <w:t>13%</w:t>
      </w:r>
      <w:r>
        <w:rPr/>
        <w:t>相对基准</w:t>
      </w:r>
      <w:r>
        <w:rPr/>
        <w:t>15%</w:t>
      </w:r>
      <w:r>
        <w:rPr/>
        <w:t>也提供部分估值空间，基金资产较少折损及更少融资股数增加每股价值。悲观场景则组合审批延迟、低净价格、推广费用高和重做试验，同时融资更贵。场景之间同时变化的参数体现不同经营世界，不能把每个乐观因素分别叠加后称为基本预期。未来只发生某一项改变时，应做单项敏感性，维持其他输入并观察价值影响。</w:t>
      </w:r>
    </w:p>
    <w:p>
      <w:pPr>
        <w:pStyle w:val="Normal"/>
        <w:rPr/>
      </w:pPr>
      <w:r>
        <w:rPr/>
        <w:t>外资目标价公开核验没有取得合格个股记录。既有</w:t>
      </w:r>
      <w:r>
        <w:rPr/>
        <w:t>AASTOCKS</w:t>
      </w:r>
      <w:r>
        <w:rPr/>
        <w:t>研究索引返回的是中金关于指数与港股通调整的行业新闻，没有君圣泰个股目标价、外资机构评级或十二个月期限，不能拿行业条目虚构目标价共识。公司论文、融资价、历史高点也都不是外资目标。源文件保留检索链接和缺失状态；缺失不意味着机构没有任何研究，表示本项目无法公开核验。当前所有情景价属于研究模型，并未由投行覆盖背书，一年目标需要用未来可查有效机构报告再交叉验证。</w:t>
      </w:r>
    </w:p>
    <w:p>
      <w:pPr>
        <w:pStyle w:val="Normal"/>
        <w:rPr/>
      </w:pPr>
      <w:r>
        <w:rPr/>
        <w:t>人民币口径另需处理汇率。模型固定每人民币</w:t>
      </w:r>
      <w:r>
        <w:rPr/>
        <w:t>1.1</w:t>
      </w:r>
      <w:r>
        <w:rPr/>
        <w:t>港元，只为将主要人民币现金流换成本币股价；已发生配售仍用原件实际人民币净额。若未来人民币对港币价值变化，目标港元价的换算会改变，持有港股并以人民币计资产的投资者还受到港币兑人民币变化。股价与汇率不能把同一换算影响重复计算两次。公司同时有美元研发和金融资产、人民币借款和港元股本，汇率还会影响真实经营现金，这一项应按各功能货币重建而非仅在最终目标价末尾机械增加收益。</w:t>
      </w:r>
    </w:p>
    <w:p>
      <w:pPr>
        <w:pStyle w:val="Normal"/>
        <w:rPr/>
      </w:pPr>
      <w:r>
        <w:rPr/>
        <w:t>能够推翻本章审慎结论的积极事实包括：正式批准且标签有清楚差异、可核价格和真实续方达到模型采用条件；完成经济权益合理并有到账的商业合作；基金退出和少数权益分配明确；新临床在预设终点证明独立肾病、</w:t>
      </w:r>
      <w:r>
        <w:rPr/>
        <w:t>MASH</w:t>
      </w:r>
      <w:r>
        <w:rPr/>
        <w:t>或肥胖利益；经营现金流明显改善并减少新股融资。负面反证包括审批追加要求、试验质量重复失控、保护时间提前受损、投资资金无法提取、关联治理未改善和实际稀释超过假设。每个事实都应对应输入、评分和来源版本，不能为了维持先前推荐而只解释新闻。</w:t>
      </w:r>
    </w:p>
    <w:p>
      <w:pPr>
        <w:pStyle w:val="Normal"/>
        <w:rPr/>
      </w:pPr>
      <w:r>
        <w:rPr/>
        <w:t>目前最合理的结论是临床中国进度真实、全球平台价值需要重新证实、资金和治理必须付出估值折价。进取型投资者可以关注事件与趋势，但在现价高于完整基准价值时，不能因为乐观空间接近翻倍就忽略主要情景下行。若投资目的只是交易审批新闻，应与以五年现金流为基础的长期判断分清收益来源；它们可对同一证券有不同分数，却应共享相同已核事实。研究持续更新的优先事项是正式审批、合同权益、季度现金、基金退出及独立临床终点，而非重复引用总市场规模。</w:t>
      </w:r>
    </w:p>
    <w:p>
      <w:pPr>
        <w:pStyle w:val="Heading2"/>
        <w:rPr/>
      </w:pPr>
      <w:r>
        <w:rPr>
          <w:color w:val="000000"/>
        </w:rPr>
        <w:t>来源与核验限制</w:t>
      </w:r>
    </w:p>
    <w:p>
      <w:pPr>
        <w:pStyle w:val="Normal"/>
        <w:rPr/>
      </w:pPr>
      <w:r>
        <w:rPr/>
        <w:t>主要原件：</w:t>
      </w:r>
      <w:r>
        <w:rPr/>
        <w:t>2026</w:t>
      </w:r>
      <w:r>
        <w:rPr/>
        <w:t>中报，</w:t>
      </w:r>
      <w:r>
        <w:rPr/>
        <w:t>2026</w:t>
      </w:r>
      <w:r>
        <w:rPr/>
        <w:t>年</w:t>
      </w:r>
      <w:r>
        <w:rPr/>
        <w:t>9</w:t>
      </w:r>
      <w:r>
        <w:rPr/>
        <w:t>月</w:t>
      </w:r>
      <w:r>
        <w:rPr/>
        <w:t>30</w:t>
      </w:r>
      <w:r>
        <w:rPr/>
        <w:t>日</w:t>
      </w:r>
      <w:r>
        <w:rPr/>
        <w:t>06:01</w:t>
      </w:r>
      <w:r>
        <w:rPr/>
        <w:t>；上半年结果，</w:t>
      </w:r>
      <w:r>
        <w:rPr/>
        <w:t>8</w:t>
      </w:r>
      <w:r>
        <w:rPr/>
        <w:t>月</w:t>
      </w:r>
      <w:r>
        <w:rPr/>
        <w:t>31</w:t>
      </w:r>
      <w:r>
        <w:rPr/>
        <w:t>日</w:t>
      </w:r>
      <w:r>
        <w:rPr/>
        <w:t>21:23</w:t>
      </w:r>
      <w:r>
        <w:rPr/>
        <w:t>（收盘后）；</w:t>
      </w:r>
      <w:r>
        <w:rPr/>
        <w:t>2025</w:t>
      </w:r>
      <w:r>
        <w:rPr/>
        <w:t>年报，</w:t>
      </w:r>
      <w:r>
        <w:rPr/>
        <w:t>4</w:t>
      </w:r>
      <w:r>
        <w:rPr/>
        <w:t>月</w:t>
      </w:r>
      <w:r>
        <w:rPr/>
        <w:t>29</w:t>
      </w:r>
      <w:r>
        <w:rPr/>
        <w:t>日</w:t>
      </w:r>
      <w:r>
        <w:rPr/>
        <w:t>19:27</w:t>
      </w:r>
      <w:r>
        <w:rPr/>
        <w:t>（收盘后）；</w:t>
      </w:r>
      <w:r>
        <w:rPr/>
        <w:t>MASHⅡb</w:t>
      </w:r>
      <w:r>
        <w:rPr/>
        <w:t>公告，</w:t>
      </w:r>
      <w:r>
        <w:rPr/>
        <w:t>2</w:t>
      </w:r>
      <w:r>
        <w:rPr/>
        <w:t>月</w:t>
      </w:r>
      <w:r>
        <w:rPr/>
        <w:t>5</w:t>
      </w:r>
      <w:r>
        <w:rPr/>
        <w:t>日</w:t>
      </w:r>
      <w:r>
        <w:rPr/>
        <w:t>16:56</w:t>
      </w:r>
      <w:r>
        <w:rPr/>
        <w:t>；</w:t>
      </w:r>
      <w:r>
        <w:rPr/>
        <w:t>NDA</w:t>
      </w:r>
      <w:r>
        <w:rPr/>
        <w:t>受理，</w:t>
      </w:r>
      <w:r>
        <w:rPr/>
        <w:t>3</w:t>
      </w:r>
      <w:r>
        <w:rPr/>
        <w:t>月</w:t>
      </w:r>
      <w:r>
        <w:rPr/>
        <w:t>10</w:t>
      </w:r>
      <w:r>
        <w:rPr/>
        <w:t>日</w:t>
      </w:r>
      <w:r>
        <w:rPr/>
        <w:t>17:21</w:t>
      </w:r>
      <w:r>
        <w:rPr/>
        <w:t>；商业更新，</w:t>
      </w:r>
      <w:r>
        <w:rPr/>
        <w:t>7</w:t>
      </w:r>
      <w:r>
        <w:rPr/>
        <w:t>月</w:t>
      </w:r>
      <w:r>
        <w:rPr/>
        <w:t>10</w:t>
      </w:r>
      <w:r>
        <w:rPr/>
        <w:t>日</w:t>
      </w:r>
      <w:r>
        <w:rPr/>
        <w:t>19:21</w:t>
      </w:r>
      <w:r>
        <w:rPr/>
        <w:t>；配售完成，</w:t>
      </w:r>
      <w:r>
        <w:rPr/>
        <w:t>8</w:t>
      </w:r>
      <w:r>
        <w:rPr/>
        <w:t>月</w:t>
      </w:r>
      <w:r>
        <w:rPr/>
        <w:t>7</w:t>
      </w:r>
      <w:r>
        <w:rPr/>
        <w:t>日</w:t>
      </w:r>
      <w:r>
        <w:rPr/>
        <w:t>16:44</w:t>
      </w:r>
      <w:r>
        <w:rPr/>
        <w:t>；关联贷款终止，</w:t>
      </w:r>
      <w:r>
        <w:rPr/>
        <w:t>7</w:t>
      </w:r>
      <w:r>
        <w:rPr/>
        <w:t>月</w:t>
      </w:r>
      <w:r>
        <w:rPr/>
        <w:t>2</w:t>
      </w:r>
      <w:r>
        <w:rPr/>
        <w:t>日</w:t>
      </w:r>
      <w:r>
        <w:rPr/>
        <w:t>19:55</w:t>
      </w:r>
      <w:r>
        <w:rPr/>
        <w:t>；</w:t>
      </w:r>
      <w:r>
        <w:rPr/>
        <w:t>9</w:t>
      </w:r>
      <w:r>
        <w:rPr/>
        <w:t>月激励，</w:t>
      </w:r>
      <w:r>
        <w:rPr/>
        <w:t>9</w:t>
      </w:r>
      <w:r>
        <w:rPr/>
        <w:t>月</w:t>
      </w:r>
      <w:r>
        <w:rPr/>
        <w:t>1</w:t>
      </w:r>
      <w:r>
        <w:rPr/>
        <w:t>日</w:t>
      </w:r>
      <w:r>
        <w:rPr/>
        <w:t>21:48</w:t>
      </w:r>
      <w:r>
        <w:rPr/>
        <w:t>；</w:t>
      </w:r>
      <w:r>
        <w:rPr/>
        <w:t>9</w:t>
      </w:r>
      <w:r>
        <w:rPr/>
        <w:t>月月报，</w:t>
      </w:r>
      <w:r>
        <w:rPr/>
        <w:t>10</w:t>
      </w:r>
      <w:r>
        <w:rPr/>
        <w:t>月</w:t>
      </w:r>
      <w:r>
        <w:rPr/>
        <w:t>2</w:t>
      </w:r>
      <w:r>
        <w:rPr/>
        <w:t>日</w:t>
      </w:r>
      <w:r>
        <w:rPr/>
        <w:t>16:34</w:t>
      </w:r>
      <w:r>
        <w:rPr/>
        <w:t>。全部为截止日前已公开交易所原件，具体</w:t>
      </w:r>
      <w:r>
        <w:rPr/>
        <w:t>URL</w:t>
      </w:r>
      <w:r>
        <w:rPr/>
        <w:t>和原</w:t>
      </w:r>
      <w:r>
        <w:rPr/>
        <w:t>PDF</w:t>
      </w:r>
      <w:r>
        <w:rPr/>
        <w:t>路径在模型</w:t>
      </w:r>
      <w:r>
        <w:rPr/>
        <w:t>sources</w:t>
      </w:r>
      <w:r>
        <w:rPr/>
        <w:t>及</w:t>
      </w:r>
      <w:r>
        <w:rPr/>
        <w:t>hightide_sources</w:t>
      </w:r>
      <w:r>
        <w:rPr/>
        <w:t>、</w:t>
      </w:r>
      <w:r>
        <w:rPr/>
        <w:t>hightide_supplement</w:t>
      </w:r>
      <w:r>
        <w:rPr/>
        <w:t>中保存。</w:t>
      </w:r>
    </w:p>
    <w:p>
      <w:pPr>
        <w:pStyle w:val="Normal"/>
        <w:rPr/>
      </w:pPr>
      <w:r>
        <w:rPr/>
        <w:t>财报人民币千元转百万元记录、未来模型亿元用十亿元单位计算，价格港元、成交量股。锁定行情</w:t>
      </w:r>
      <w:r>
        <w:rPr/>
        <w:t>market-v1.6</w:t>
      </w:r>
      <w:r>
        <w:rPr/>
        <w:t>不可重采覆盖。年度机构目标缺失；所有未来峰值、风险折价、费用、保护侵蚀、融资及汇率是研究假设。正文有效汉字验收排除标题、表格、本段来源与共用宏观，不以重复内容凑字。</w:t>
      </w:r>
      <w:r>
        <w:rPr/>
        <w:t>Word</w:t>
      </w:r>
      <w:r>
        <w:rPr/>
        <w:t>及同源</w:t>
      </w:r>
      <w:r>
        <w:rPr/>
        <w:t>PDF</w:t>
      </w:r>
      <w:r>
        <w:rPr/>
        <w:t>的编排和视觉检查由总研究集成流程完成。</w:t>
      </w:r>
      <w:r>
        <w:br w:type="page"/>
      </w:r>
    </w:p>
    <w:p>
      <w:pPr>
        <w:pStyle w:val="Heading1"/>
        <w:rPr/>
      </w:pPr>
      <w:bookmarkStart w:id="3" w:name="__RefHeading___Toc57534_312338234"/>
      <w:bookmarkEnd w:id="3"/>
      <w:r>
        <w:rPr>
          <w:color w:val="000000"/>
        </w:rPr>
        <w:t xml:space="preserve">绿叶制药 </w:t>
      </w:r>
      <w:r>
        <w:rPr>
          <w:color w:val="000000"/>
        </w:rPr>
        <w:t>02186 HK</w:t>
      </w:r>
    </w:p>
    <w:p>
      <w:pPr>
        <w:pStyle w:val="Normal"/>
        <w:rPr/>
      </w:pPr>
      <w:r>
        <w:rPr/>
        <w:t xml:space="preserve">02186.HK </w:t>
      </w:r>
      <w:r>
        <w:rPr/>
        <w:t xml:space="preserve">现价 </w:t>
      </w:r>
      <w:r>
        <w:rPr/>
        <w:t>1.73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+92.95%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+96.76%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+169.94%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+182.66%</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+46.48%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1.57HKD</w:t>
      </w:r>
      <w:r>
        <w:rPr/>
        <w:t>，期望股价回报</w:t>
      </w:r>
      <w:r>
        <w:rPr/>
        <w:t>-9.41%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0.50</w:t>
              <w:br/>
              <w:t>-71.18%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w:t>
              <w:br/>
              <w:t>-5.92%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w:t>
              <w:br/>
              <w:t>+81.92%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0.46</w:t>
              <w:br/>
              <w:t>-73.33%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w:t>
              <w:br/>
              <w:t>+38.33%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6.30</w:t>
              <w:br/>
              <w:t>+263.93%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0.42</w:t>
              <w:br/>
              <w:t>-75.59%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3.34</w:t>
              <w:br/>
              <w:t>+92.95%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9.07</w:t>
              <w:br/>
              <w:t>+424.42%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w:t>
              <w:br/>
              <w:t>-79.47%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4.67</w:t>
              <w:br/>
              <w:t>+169.94%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16.00</w:t>
              <w:br/>
              <w:t>+825.14%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medium-low</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+45.25%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+106.60%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+196.79%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研究对象为绿叶制药集团有限公司，发行人编号</w:t>
      </w:r>
      <w:r>
        <w:rPr/>
        <w:t>I030</w:t>
      </w:r>
      <w:r>
        <w:rPr/>
        <w:t>，港股证券编号</w:t>
      </w:r>
      <w:r>
        <w:rPr/>
        <w:t>S035</w:t>
      </w:r>
      <w:r>
        <w:rPr/>
        <w:t>，标准代码</w:t>
      </w:r>
      <w:r>
        <w:rPr/>
        <w:t>02186.HK</w:t>
      </w:r>
      <w:r>
        <w:rPr/>
        <w:t>。统一价格基准为二〇二六年十月九日收盘一港元七角三分。本文仅使用该日已公开资料，八月三十日十九时三十分公布的半年业绩、九月二十九日中报和十月七日九月股份月报均在截止日前。八月三十日是周日，业绩于非交易日晚上公布，不能把它解释为当日盘中已被市场消化。预测不是公司指引，模型以人民币经营数字、港币股价和明确的汇率假设相连接。</w:t>
      </w:r>
    </w:p>
    <w:p>
      <w:pPr>
        <w:pStyle w:val="Normal"/>
        <w:rPr/>
      </w:pPr>
      <w:r>
        <w:rPr/>
        <w:t>核心判断是：绿叶具备真实商业产品、跨市场制剂能力和中枢神经新品成长空间，但目前并非可以单凭股价接近低点而优先买入的高确定性标的。半年量价趋势弱，正常盈利低于报表盈利给人的印象，财务结构又把博安权益、南京融资和上市公司可转债连在一起。进取型投资者可以关注一年至五年的业务改善，一旦新品放量、毛利回升和融资成本下降同时成立，股权回报有较大弹性；如果只出现临床新闻而没有现金盈利，估值兑现会明显滞后。</w:t>
      </w:r>
    </w:p>
    <w:p>
      <w:pPr>
        <w:pStyle w:val="Normal"/>
        <w:rPr/>
      </w:pPr>
      <w:r>
        <w:rPr/>
        <w:t>四期限得分分别为半年</w:t>
      </w:r>
      <w:r>
        <w:rPr/>
        <w:t>48.6</w:t>
      </w:r>
      <w:r>
        <w:rPr/>
        <w:t>、一年</w:t>
      </w:r>
      <w:r>
        <w:rPr/>
        <w:t>59.4</w:t>
      </w:r>
      <w:r>
        <w:rPr/>
        <w:t>、三年</w:t>
      </w:r>
      <w:r>
        <w:rPr/>
        <w:t>68.4</w:t>
      </w:r>
      <w:r>
        <w:rPr/>
        <w:t>、五年</w:t>
      </w:r>
      <w:r>
        <w:rPr/>
        <w:t>69.6</w:t>
      </w:r>
      <w:r>
        <w:rPr/>
        <w:t>。半年归入低优先观察梯队，一年为有条件成长观察，三年和五年为进取型可跟踪梯队。最终全名单名次由总表统一排序，本文不会把局部得分冒称全名单前十。证据可信度为中低：主要财报、债券和临床公告已核，未来逐药收入、博安经济交换后的归属、授权分成和融资路径仍存在研究假设。评分表示证据支持的相对偏好，不能当作获利概率。</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目标时点</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基准累计现金股息港元</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二〇二六年底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0.541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1.597</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7.71%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5.92%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0.461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6.296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0.422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3.338</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9.072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+92.95%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0.066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4.670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0.220</w:t>
            </w:r>
          </w:p>
        </w:tc>
      </w:tr>
    </w:tbl>
    <w:p>
      <w:pPr>
        <w:pStyle w:val="Normal"/>
        <w:rPr/>
      </w:pPr>
      <w:r>
        <w:rPr/>
      </w:r>
    </w:p>
    <w:p>
      <w:pPr>
        <w:pStyle w:val="Normal"/>
        <w:rPr/>
      </w:pPr>
      <w:r>
        <w:rPr/>
        <w:t>以上悲观价格并不是最大损失边界。持续亏损公司仍可能有产品、牌照和销售网络的价值，本模型用受压的归属收入股权倍数保留残余经营价值；它没有宣称破产时股东还能获得该数。严重再融资失败、关键资产减值或治理事故都可能令股价接近零。乐观五年价格则需要产品增长、毛利改善、融资降息和多项研发转化共同兑现，是联合良好条件下的尾部情景，不能作为最可能目标或通常收益承诺。</w:t>
      </w:r>
    </w:p>
    <w:p>
      <w:pPr>
        <w:pStyle w:val="Heading2"/>
        <w:rPr/>
      </w:pPr>
      <w:r>
        <w:rPr>
          <w:color w:val="000000"/>
        </w:rPr>
        <w:t>一 公司是什么 成熟产品现金流与复杂制剂创新的组合</w:t>
      </w:r>
    </w:p>
    <w:p>
      <w:pPr>
        <w:pStyle w:val="Normal"/>
        <w:rPr/>
      </w:pPr>
      <w:r>
        <w:rPr/>
        <w:t>绿叶不是只有早期管线的生物科技公司，也不是纯粹依靠传统仿制药的药厂。其商业体系包含肿瘤、中枢神经、心血管和代谢产品，并利用微球、脂质体、透皮给药与新分子研发拓展产品。制剂技术有价值的原因，在于它能改变给药频率、药物释放曲线和患者使用便利；但技术新颖与临床、商业优势并非同一件事。医生是否愿意更换用药、医保能接受多少价格、生产质量能否持续稳定，决定技术能否变成可分配利润。</w:t>
      </w:r>
    </w:p>
    <w:p>
      <w:pPr>
        <w:pStyle w:val="Normal"/>
        <w:rPr/>
      </w:pPr>
      <w:r>
        <w:rPr/>
        <w:t>年报显示公司业务覆盖超过八十个国家和地区，并有中国、美国、欧洲和日本等市场的经营和合作网络。地理覆盖扩大了潜在销售空间，也让注册、质量、分销和支付环境更加复杂。产品在某一国家获批，不意味着其他国家可同步销售；以同一种化合物开发的不同制剂，也可能需要不同监管路径。研究在预测收入时必须先区分哪个法人拥有产品、谁承担注册费用、谁开票，以及合作伙伴向绿叶支付的是供货价、版税还是服务费。</w:t>
      </w:r>
    </w:p>
    <w:p>
      <w:pPr>
        <w:pStyle w:val="Normal"/>
        <w:rPr/>
      </w:pPr>
      <w:r>
        <w:rPr/>
        <w:t>中国成熟产品和海外新品的组合，本来可以让公司在收入增长与研发风险之间取得平衡。然而二〇二六年半年数字说明，旧产品压力已经显现，新产品尚未全面替代它。总收入约三十亿元人民币、产品销售约二十八点八亿元，与公司的经营规模相比并不小；但销售规模本身不能保证股东回报，因毛利、费用、融资和少数股东分享会逐层消耗收入。现阶段需要观察的是收入结构改善的质量，而不是把产品数量或覆盖国家数量直接折算成估值溢价。</w:t>
      </w:r>
    </w:p>
    <w:p>
      <w:pPr>
        <w:pStyle w:val="Normal"/>
        <w:rPr/>
      </w:pPr>
      <w:r>
        <w:rPr/>
        <w:t>上市公司的经济价值还包括博安生物持股。博安开发和商业化生物类似药与创新生物药，绿叶既能获得它的经营增长，也要承担少数股东和优先融资安排的影响。博安可以独立被市场定价，不等于绿叶能在估值时同时加上全部博安市值，再对合并盈利给一次完整倍数。这种重复会把同一药品利润计算两次。本文保留博安经济贡献，并在优先股交换后下调归属于绿叶的份额，同时明确其与未来会计合并范围的区别。</w:t>
      </w:r>
    </w:p>
    <w:p>
      <w:pPr>
        <w:pStyle w:val="Normal"/>
        <w:rPr/>
      </w:pPr>
      <w:r>
        <w:rPr/>
        <w:t>业务护城河主要来自给药平台、注册经验、制造质量和商业渠道的结合。微球粒径、释放一致性、无菌生产和放大工艺不容易被普通化学仿制能力完全替代；海外注册和工厂质量记录也能构成门槛。另一方面，跨国药企、国内制剂企业和生物类似药竞争者都在升级。平台只有持续产生有需求、可制造、能付费的新产品时才会保持价值。如果一代产品生命周期结束而下一代放量不足，平台研发费用反而成为现金负担。</w:t>
      </w:r>
    </w:p>
    <w:p>
      <w:pPr>
        <w:pStyle w:val="Heading2"/>
        <w:rPr/>
      </w:pPr>
      <w:r>
        <w:rPr>
          <w:color w:val="000000"/>
        </w:rPr>
        <w:t>二 成熟肿瘤业务 规模尚在 价格和产品替代必须正视</w:t>
      </w:r>
    </w:p>
    <w:p>
      <w:pPr>
        <w:pStyle w:val="Normal"/>
        <w:rPr/>
      </w:pPr>
      <w:r>
        <w:rPr/>
        <w:t>力扑素是紫杉醇脂质体产品，处在成熟肿瘤治疗体系中。脂质体与普通制剂在给药和使用特征上可以不同，但投资价值仍受临床路径、药物组合、药价及竞品供应约束。传统化疗在很多治疗方案中仍有重要位置，肿瘤创新疗法发展也未必立刻消灭化疗需求；不过患者数量增加不能自动抵消单价下降。若院内采购倾向更低成本制剂，或替代产品改善使用便利，成熟品的收入和毛利会继续受到压力。</w:t>
      </w:r>
    </w:p>
    <w:p>
      <w:pPr>
        <w:pStyle w:val="Normal"/>
        <w:rPr/>
      </w:pPr>
      <w:r>
        <w:rPr/>
        <w:t>百拓维属于戈舍瑞林微球相关产品，机会来自特定前列腺癌或乳腺癌治疗中的持续激素管理需求。长效给药可减少频繁用药和就诊负担，但并非对所有肿瘤患者都适用。投资时需要区别具体适应症、剂量和周期，对标相应产品而不是把全部抗肿瘤市场视为可进入空间。微球产能和稳定供货可能支持竞争，但医保与医生路径决定放量速度，产品上市后也可能经历价格谈判和销售费用投入。</w:t>
      </w:r>
    </w:p>
    <w:p>
      <w:pPr>
        <w:pStyle w:val="Normal"/>
        <w:rPr/>
      </w:pPr>
      <w:r>
        <w:rPr/>
        <w:t>博优诺是贝伐珠单抗生物类似药，具备已商业化基础。类似药市场的需求可由支付可及性改善推动，但原研药降价、国内多个竞争者和采购规则会限制单位利润。抗体制造难度和质量要求提高了进入门槛，却不能阻止已获批同类药竞争。将所有肿瘤药都定义为高毛利创新药，会误判绿叶的盈利结构。本文对成熟肿瘤和博安业务分开建模，再按产品经济归属计算，避免同一笔抗体销售混入两个收入组。</w:t>
      </w:r>
    </w:p>
    <w:p>
      <w:pPr>
        <w:pStyle w:val="Normal"/>
        <w:rPr/>
      </w:pPr>
      <w:r>
        <w:rPr/>
        <w:t>半年披露肿瘤治疗领域收入八点三六亿元人民币，同比下降约三十五点五个百分点，其中既有产品收入七点九二亿元，领域收入还包含技术或许可等项目。去年较高技术收入造成基数影响，不能把领域下降全部解释为产品销量同幅下降；但也不能反过来说变化完全是会计原因、产品经营没有压力。成熟产品降价及组合变化需要从后续产品销售、毛利和分部贡献中证实，本文基准假设仅给予温和恢复，没有立即回到旧高增长路径。</w:t>
      </w:r>
    </w:p>
    <w:p>
      <w:pPr>
        <w:pStyle w:val="Normal"/>
        <w:rPr/>
      </w:pPr>
      <w:r>
        <w:rPr/>
        <w:t>对肿瘤业务的反证应可操作。如果产品销售连续两个报告期仍下降、新长效产品的增长不足以抵销力扑素等成熟品下滑，而且毛利继续向更低水平移动，则基准情景中成熟肿瘤小幅恢复的假设必须下调。相反，若销量在合理价格下回升、渠道库存没有明显堆积、现金回款跟随销售增加，可以证明需求没有被财务口径夸大。研究重点是净产品贡献，而不是只看某款产品签约数量或获批新闻。</w:t>
      </w:r>
    </w:p>
    <w:p>
      <w:pPr>
        <w:pStyle w:val="Heading2"/>
        <w:rPr/>
      </w:pPr>
      <w:r>
        <w:rPr>
          <w:color w:val="000000"/>
        </w:rPr>
        <w:t>三 中枢神经商业化 最值得跟踪的增长发动机</w:t>
      </w:r>
    </w:p>
    <w:p>
      <w:pPr>
        <w:pStyle w:val="Normal"/>
        <w:rPr/>
      </w:pPr>
      <w:r>
        <w:rPr/>
        <w:t>若欣林为托鲁地文拉法辛相关创新药，中国抑郁症适应症已经获批并进入医保。抑郁和焦虑疾病的治疗需求长期存在，诊断率、治疗持续性和患者接受度有改善空间，但市场不会因疾病负担大而自动让单一新品占据优势。医生对疗效起效、复发、耐受、停药反应和合并用药的判断，会决定新品能否从已有抗抑郁药中取得份额。真实处方增长及续用表现比单次市场规模宣传更有估值意义。</w:t>
      </w:r>
    </w:p>
    <w:p>
      <w:pPr>
        <w:pStyle w:val="Normal"/>
        <w:rPr/>
      </w:pPr>
      <w:r>
        <w:rPr/>
        <w:t>二〇二六年一月公司披露若欣林广泛性焦虑障碍新适应症申请获受理。受理说明监管程序启动，不等于获批，管理层预期二〇二七年上半年可能获批也只是前瞻陈述。焦虑与抑郁的患者群和诊疗路径可能重叠，扩展适应症能帮助推广，但不应把两个人群完整相加并假定互不重复。本文既有中枢神经收入组包含若欣林当前商业贡献，新增适应症的改善纳入增长假设，未另加一个重复的独立资产值。</w:t>
      </w:r>
    </w:p>
    <w:p>
      <w:pPr>
        <w:pStyle w:val="Normal"/>
        <w:rPr/>
      </w:pPr>
      <w:r>
        <w:rPr/>
        <w:t>瑞可妥为利培酮长效微球制剂，中国已有获批基础，美国</w:t>
      </w:r>
      <w:r>
        <w:rPr/>
        <w:t>Rykindo</w:t>
      </w:r>
      <w:r>
        <w:rPr/>
        <w:t>于二〇二三年获批。精神疾病长期治疗中，依从性和停药复发非常重要，长效针剂可以帮助部分患者和医生管理治疗，但也要考虑给药周期、口服补充要求、耐受性和医疗机构注射能力。同类长效抗精神病产品有成熟竞争者，新进入者不能只靠批准证明商业成功。注册资格先解决能否销售，后续处方、保险覆盖和服务网络才解决能否赚钱。</w:t>
      </w:r>
    </w:p>
    <w:p>
      <w:pPr>
        <w:pStyle w:val="Normal"/>
        <w:rPr/>
      </w:pPr>
      <w:r>
        <w:rPr/>
        <w:t>Erzofri</w:t>
      </w:r>
      <w:r>
        <w:rPr/>
        <w:t>为帕利哌酮相关每月给药产品，美国于二〇二四年七月通过相应注册路径获批。其标签与具体制剂、精神分裂症或分裂情感障碍等范围有关，不应与其他帕利哌酮制剂完全混称。媒体转述的二〇二六年美国销售翻倍至四千万美元并实现收支平衡，是管理层预期，不能写成已经完成。即使达到该销售值，美国市场促销、渠道费用、患者支持和定价折扣也可能让收入到利润的转换速度较慢。</w:t>
      </w:r>
    </w:p>
    <w:p>
      <w:pPr>
        <w:pStyle w:val="Normal"/>
        <w:rPr/>
      </w:pPr>
      <w:r>
        <w:rPr/>
        <w:t>瑞百莱在中国医保目录的进入有利于可及性，但美比瑞等产品与其不是完全相同的制剂。公司的多制剂布局能够覆盖不同给药周期需求，也可能导致产品间的替代与资源分散。未来模型需要按注册地域和商业权利区分，而不是每有一种给药名称就加一个完整市场。本文把现有国内与海外中枢神经业务分开，增长随销量、组合和毛利推进，避免把药物名称较多误读成收入增长一定较高。</w:t>
      </w:r>
    </w:p>
    <w:p>
      <w:pPr>
        <w:pStyle w:val="Normal"/>
        <w:rPr/>
      </w:pPr>
      <w:r>
        <w:rPr/>
        <w:t>恩华于二〇二五年十二月取得三款长效精神药物的中国商业化合作权，这会改变绿叶的销售组织和收益方式。合作伙伴可能凭借精神科渠道降低获客成本、加快医院覆盖；但绿叶分享的经济收益要由供货、推广费用或协议分成决定。不能既把完整终端销售记入绿叶收入，再额外加合作伙伴支付的推广或版税收益。公开条款不足以重建完整逐药合同，本研究只模拟可归属于绿叶的收入和成本，并在后续披露时更新。</w:t>
      </w:r>
    </w:p>
    <w:p>
      <w:pPr>
        <w:pStyle w:val="Normal"/>
        <w:rPr/>
      </w:pPr>
      <w:r>
        <w:rPr/>
        <w:t>思瑞康和利斯的明贴剂提供成熟中枢神经产品基础。认知障碍及慢性精神病用药会受人口老龄化和长期管理需求支持，但已有产品的专利、仿制竞争和支付压力必须纳入。利斯的明贴剂及日本每周两次相关产品改善给药便利，不意味着治愈阿尔茨海默病或改变疾病进程。投资故事如果把症状管理写成疾病根治，就会在潜在定价和患者覆盖率上产生系统性高估。</w:t>
      </w:r>
    </w:p>
    <w:p>
      <w:pPr>
        <w:pStyle w:val="Normal"/>
        <w:rPr/>
      </w:pPr>
      <w:r>
        <w:rPr/>
        <w:t>中枢神经治疗领域半年收入十点六亿元，同比增长约二十二点二个百分点，确实比肿瘤业务强。该领域收入包含一定技术项目，因此研究仍需继续核产品和持续收入。支持推荐上调的条件是国内新品放量、美国业务接近持续经营盈亏平衡、推广费用占比逐步下降，同时没有异常增长的应收和库存。如果收入快增却依赖一次性合作、利润被美国费用消耗或渠道库存上升，中枢神经的好故事就不足以提升短期评分。</w:t>
      </w:r>
    </w:p>
    <w:p>
      <w:pPr>
        <w:pStyle w:val="Heading2"/>
        <w:rPr/>
      </w:pPr>
      <w:r>
        <w:rPr>
          <w:color w:val="000000"/>
        </w:rPr>
        <w:t>四 心血管 代谢和其他产品 现金贡献需要按现实支付环境估算</w:t>
      </w:r>
    </w:p>
    <w:p>
      <w:pPr>
        <w:pStyle w:val="Normal"/>
        <w:rPr/>
      </w:pPr>
      <w:r>
        <w:rPr/>
        <w:t>血脂康、麦通纳及欧开等成熟心血管产品面对的是长期慢性病管理。人口老龄化和心血管疾病负担为用药需求提供基础，但慢病市场有丰富的低价替代与处方习惯。血脂康等产品的定位不能等同于所有现代降脂治疗的完整替代，更不能用疾病患者总人数乘零售价格形成销售预测。研究需要观察可获得处方份额、医保支付、集采或地方采购影响，并重视既有渠道带来的稳定回款。</w:t>
      </w:r>
    </w:p>
    <w:p>
      <w:pPr>
        <w:pStyle w:val="Normal"/>
        <w:rPr/>
      </w:pPr>
      <w:r>
        <w:rPr/>
        <w:t>贝希等代谢产品处在成熟竞争市场。控糖治疗方案越来越多，既有品可以保留特定患者和支付层次的需求，但创新糖尿病药及其他口服产品可能改变处方结构。成熟慢病产品的理想作用是提供稳健现金流、承担部分固定费用，让高风险研发不用完全依赖外部融资。若为维持收入而不断降价、加推广和延长回款，它就不能继续按低风险现金牛估值。本文代谢收入增长低于创新中枢神经业务，毛利假设也更保守。</w:t>
      </w:r>
    </w:p>
    <w:p>
      <w:pPr>
        <w:pStyle w:val="Normal"/>
        <w:rPr/>
      </w:pPr>
      <w:r>
        <w:rPr/>
        <w:t>米美欣为羟考酮纳洛酮相关镇痛产品，并有与国药等合作安排。镇痛市场涉及医疗可及性、特殊药品管理和医生使用标准，产品便利不能绕开监管。本文不把它描述为可无限推广的普通消费药，也不把所有疼痛患者都视为目标客户。商业伙伴渠道能够降低部分销售组织负担，但公开合同不足时，应将供货和合作经济权利作为边界，避免把伙伴的完整销售额变成绿叶的利润。</w:t>
      </w:r>
    </w:p>
    <w:p>
      <w:pPr>
        <w:pStyle w:val="Normal"/>
        <w:rPr/>
      </w:pPr>
      <w:r>
        <w:rPr/>
        <w:t>其他业务规模相对小，却仍可能占用生产、注册和行政资源。公司拥有多种产品和全球市场网络，组合分散在一定程度上降低单药风险，但同时增加经营复杂度。投资者不应只关注明星新品，把尾部产品的费用、旧牌照维护及生产转移忽略。模型给其他产品有限增长，并保留持续经营成本；这比假设旧产品全部无成本地为新品提供渠道更接近实际经营。</w:t>
      </w:r>
    </w:p>
    <w:p>
      <w:pPr>
        <w:pStyle w:val="Heading2"/>
        <w:rPr/>
      </w:pPr>
      <w:r>
        <w:rPr>
          <w:color w:val="000000"/>
        </w:rPr>
        <w:t>五 博安商业产品 获批状态 权利边界与经济份额</w:t>
      </w:r>
    </w:p>
    <w:p>
      <w:pPr>
        <w:pStyle w:val="Normal"/>
        <w:rPr/>
      </w:pPr>
      <w:r>
        <w:rPr/>
        <w:t>博优倍和博洛加对应不同剂量及用途的地舒单抗生物类似药。骨质疏松及肿瘤相关骨管理有广泛需求，两个产品不能混成一个无适应症限制的大市场。二〇二六年七月美国两个生物制品许可申请获受理，说明进入审评，并非</w:t>
      </w:r>
      <w:r>
        <w:rPr/>
        <w:t>FDA</w:t>
      </w:r>
      <w:r>
        <w:rPr/>
        <w:t>已经批准。美国商业化合作与健友相关主体连接，绿叶最终取得的价值要通过博安的供货及授权经济，再乘绿叶在博安的权益比例，而不是全额美国市场销售。</w:t>
      </w:r>
    </w:p>
    <w:p>
      <w:pPr>
        <w:pStyle w:val="Normal"/>
        <w:rPr/>
      </w:pPr>
      <w:r>
        <w:rPr/>
        <w:t>类似药申报具备较成熟的临床和制造路径，风险通常与全新机制药不同，但仍受质量一致性、生产现场、参考药、专利和支付竞争影响。美国批准之后也可能出现商业进入延迟或价格低于预期。本文对地舒单抗美国业务设置分情景开卖年份、收入峰值和风险因子，基准首次经济贡献安排在二〇二七年，悲观推迟一年。相关输入是研究假设，没有把已受理写成已经产生销售现金。</w:t>
      </w:r>
    </w:p>
    <w:p>
      <w:pPr>
        <w:pStyle w:val="Normal"/>
        <w:rPr/>
      </w:pPr>
      <w:r>
        <w:rPr/>
        <w:t>BA5101</w:t>
      </w:r>
      <w:r>
        <w:rPr/>
        <w:t>度拉糖肽产品在中国二〇二五年八月获批的范围是糖尿病。度拉糖肽属于相关降糖药物类别，但不能因为同类药在减重市场热门，就自动给予未获批的减重收入。六月美国许可协议扩大海外选项，合作伙伴负责许可申请和商业化，但公开版税层级及完整付款条件未取得。本文使用外部经济收入估计，不声称它等于合同中的确切费率，也没有把国内已有收入和美国全部终端销售重复加入。</w:t>
      </w:r>
    </w:p>
    <w:p>
      <w:pPr>
        <w:pStyle w:val="Normal"/>
        <w:rPr/>
      </w:pPr>
      <w:r>
        <w:rPr/>
        <w:t>BA9101</w:t>
      </w:r>
      <w:r>
        <w:rPr/>
        <w:t>阿柏西普在中国二〇二五年十一月获批的适应症涉及新生血管性年龄相关黄斑变性和糖尿病黄斑水肿等具体范围，欧康维视拥有相关商业化安排。眼科需求随老龄化和糖尿病管理增加，但给药频率、医院覆盖、原研及其他类似药竞争会限制利润。所有眼病患者都不是它的潜在适用患者。本文把已有商业贡献放进博安核心产品组，未来增长依实际适应症和权益范围，不另为每个疾病名称添加完整价值。</w:t>
      </w:r>
    </w:p>
    <w:p>
      <w:pPr>
        <w:pStyle w:val="Normal"/>
        <w:rPr/>
      </w:pPr>
      <w:r>
        <w:rPr/>
        <w:t>BA1104</w:t>
      </w:r>
      <w:r>
        <w:rPr/>
        <w:t>纳武利尤单抗相关类似药在中国处于后期开发，管理层预计年底提交许可申请，这与监管已经批准仍有距离。美国可能采用简化药代等策略，也不是美国审批完成的证据。免疫肿瘤竞争快速变化，类似药能通过价格改善可及性，却未必取得创新药式溢价。本文未把所有待申报项目都单独给予高估值，而保留研发费用并让核心博安收入承担适度新品变化，避免未来多个项目同时成功的隐性叠加。</w:t>
      </w:r>
    </w:p>
    <w:p>
      <w:pPr>
        <w:pStyle w:val="Normal"/>
        <w:rPr/>
      </w:pPr>
      <w:r>
        <w:rPr/>
        <w:t>博安创新抗体和</w:t>
      </w:r>
      <w:r>
        <w:rPr/>
        <w:t>ADC</w:t>
      </w:r>
      <w:r>
        <w:rPr/>
        <w:t>包括不同靶点的早期项目。</w:t>
      </w:r>
      <w:r>
        <w:rPr/>
        <w:t>CLDN18.2</w:t>
      </w:r>
      <w:r>
        <w:rPr/>
        <w:t>、</w:t>
      </w:r>
      <w:r>
        <w:rPr/>
        <w:t>CD228</w:t>
      </w:r>
      <w:r>
        <w:rPr/>
        <w:t>、</w:t>
      </w:r>
      <w:r>
        <w:rPr/>
        <w:t>CD25</w:t>
      </w:r>
      <w:r>
        <w:rPr/>
        <w:t>等机制提供研究方向，但靶点受到关注不能证明某个分子已经显示有效安全性。载荷、抗体特性、脱靶和生产质量都决定结果。本文没有用全部早期资产数量乘统一估值，也没有把早期机制宣传当作注册概率。若出现可核的关键临床数据，才更新分药风险调整现金流；现阶段投入作为集团研发成本保留，机会作为十年展望中的可选项。</w:t>
      </w:r>
    </w:p>
    <w:p>
      <w:pPr>
        <w:pStyle w:val="Heading2"/>
        <w:rPr/>
      </w:pPr>
      <w:r>
        <w:rPr>
          <w:color w:val="000000"/>
        </w:rPr>
        <w:t xml:space="preserve">六 </w:t>
      </w:r>
      <w:r>
        <w:rPr>
          <w:color w:val="000000"/>
        </w:rPr>
        <w:t>LY03015</w:t>
      </w:r>
      <w:r>
        <w:rPr>
          <w:color w:val="000000"/>
        </w:rPr>
        <w:t>等早期创新 证据有希望 但不能跨试验宣称优效</w:t>
      </w:r>
    </w:p>
    <w:p>
      <w:pPr>
        <w:pStyle w:val="Normal"/>
        <w:rPr/>
      </w:pPr>
      <w:r>
        <w:rPr/>
        <w:t>LY03015</w:t>
      </w:r>
      <w:r>
        <w:rPr/>
        <w:t>同时涉及</w:t>
      </w:r>
      <w:r>
        <w:rPr/>
        <w:t>VMAT2</w:t>
      </w:r>
      <w:r>
        <w:rPr/>
        <w:t>抑制与</w:t>
      </w:r>
      <w:r>
        <w:rPr/>
        <w:t>Sigma</w:t>
      </w:r>
      <w:r>
        <w:rPr/>
        <w:t>一相关机制，主要研究方向之一为迟发性运动障碍。国内二期公告提供了真实临床信号：一百二十一名受试者、不同剂量和安慰剂组、六周治疗及停药随访，</w:t>
      </w:r>
      <w:r>
        <w:rPr/>
        <w:t>AIMS</w:t>
      </w:r>
      <w:r>
        <w:rPr/>
        <w:t>等指标有统计改善，二十毫克组报告一定比例的应答。这样的结果支持继续开展后期开发，但样本规模、随访和入组人群不足以独立证明长期安全性、持续疗效或相对已有治疗的商业优势。</w:t>
      </w:r>
    </w:p>
    <w:p>
      <w:pPr>
        <w:pStyle w:val="Normal"/>
        <w:rPr/>
      </w:pPr>
      <w:r>
        <w:rPr/>
        <w:t>公告中与历史同类研究相比较的改善幅度，不能当作头对头优于现有药物。不同试验的基线严重度、合并治疗、量表评定、安慰剂反应和缺失数据处理都可能不同。停药后两周观察，也不能证明疾病修饰或永久治愈。本文将中国项目基准商业化起点放在二〇二九年，风险识别因子五成，乐观二〇二八年、七成，悲观二〇三〇年、两成五；这些因子是模型判断，非监管承诺或统一阶段统计概率。</w:t>
      </w:r>
    </w:p>
    <w:p>
      <w:pPr>
        <w:pStyle w:val="Normal"/>
        <w:rPr/>
      </w:pPr>
      <w:r>
        <w:rPr/>
        <w:t>美国桥接研究包含十二名中国健康受试者和十二名白人健康受试者，采用单次二十毫克给药。药代结果有助于跨人群开发，但健康人单次用药不是迟发性运动障碍患者的疗效试验，也不能排除长期安全性问题。小样本中不良事件比例不同，不能证明某个种族更安全或产品在美国一定有优势。模型对美国</w:t>
      </w:r>
      <w:r>
        <w:rPr/>
        <w:t>LY03015</w:t>
      </w:r>
      <w:r>
        <w:rPr/>
        <w:t>采用更晚的开发时间和较低风险因子，基准二〇三一年才开始经济贡献，未把桥接完成直接转成半年销售。</w:t>
      </w:r>
    </w:p>
    <w:p>
      <w:pPr>
        <w:pStyle w:val="Normal"/>
        <w:rPr/>
      </w:pPr>
      <w:r>
        <w:rPr/>
        <w:t>公司预期与监管讨论后续方案、推进三期，计划本身仍依赖批准、试验设计、执行和融资。美国精神科药物市场有专业商业团队和保险谈判需求，即使开发成功，企业也要决定自建、合作或出售权利。本文模拟的是可获得的经济收益，不假定所有全球患者价值归绿叶。若三期终点、给药耐受或实际入组出现偏差，应同步下调成功因子、延迟现金流，并保留新增研发成本，不能只改收入起点而保持费用不变。</w:t>
      </w:r>
    </w:p>
    <w:p>
      <w:pPr>
        <w:pStyle w:val="Normal"/>
        <w:rPr/>
      </w:pPr>
      <w:r>
        <w:rPr/>
        <w:t>LY03017</w:t>
      </w:r>
      <w:r>
        <w:rPr/>
        <w:t>面向阿尔茨海默病精神病性障碍，二〇二六年四月二期完成首例入组。精神症状管理与认知或疾病进展是不同临床目标，不能因阿尔茨海默病市场庞大就赋予治愈价值。老龄患者的合并用药、心血管风险和长期耐受尤其关键。模型基准经济起点二〇三〇年、风险因子三成五，体现临床尚早且存在后续开发；公告中的机制合理性仅支持研究，不构成与已有药物比较的优效证据。</w:t>
      </w:r>
    </w:p>
    <w:p>
      <w:pPr>
        <w:pStyle w:val="Normal"/>
        <w:rPr/>
      </w:pPr>
      <w:r>
        <w:rPr/>
        <w:t>LY03020</w:t>
      </w:r>
      <w:r>
        <w:rPr/>
        <w:t>相关</w:t>
      </w:r>
      <w:r>
        <w:rPr/>
        <w:t>TAAR</w:t>
      </w:r>
      <w:r>
        <w:rPr/>
        <w:t>一及五羟色胺机制用于精神分裂症方向，二期首例入组说明执行进入新阶段。新机制可能帮助解决传统治疗的一些问题，也可能在真实患者中达不到预期。没有关键疗效数据前，应把机制、临床效果和商业支付分开。本文基准风险因子三成、二〇三〇年经济起点，乐观也保留较低于成熟产品的识别水平。行业中类似机制的成功或失败只能提供背景，不能替代该分子的独立结果。</w:t>
      </w:r>
    </w:p>
    <w:p>
      <w:pPr>
        <w:pStyle w:val="Normal"/>
        <w:rPr/>
      </w:pPr>
      <w:r>
        <w:rPr/>
        <w:t>LY01620</w:t>
      </w:r>
      <w:r>
        <w:rPr/>
        <w:t>涉及治疗宫颈癌前病变或</w:t>
      </w:r>
      <w:r>
        <w:rPr/>
        <w:t>HPV</w:t>
      </w:r>
      <w:r>
        <w:rPr/>
        <w:t>相关疾病的信使核糖核酸方向，不能与通常</w:t>
      </w:r>
      <w:r>
        <w:rPr/>
        <w:t>HPV</w:t>
      </w:r>
      <w:r>
        <w:rPr/>
        <w:t>预防疫苗混为一谈。预防接种的人群、疗效终点和销售渠道，与已感染或癌前病变患者的治疗试验不同。本文没有利用公众熟悉的预防疫苗市场为它套高收入，亦未给它独立正价值。将早期可选项目置于研发预算和十年展望，等关键证据成熟再进入模型，是避免重复计价和过度前置未来收益的必要边界。</w:t>
      </w:r>
    </w:p>
    <w:p>
      <w:pPr>
        <w:pStyle w:val="Heading2"/>
        <w:rPr/>
      </w:pPr>
      <w:r>
        <w:rPr>
          <w:color w:val="000000"/>
        </w:rPr>
        <w:t>七 财务质量 归母增长不能替代正常经营盈利</w:t>
      </w:r>
    </w:p>
    <w:p>
      <w:pPr>
        <w:pStyle w:val="Normal"/>
        <w:rPr/>
      </w:pPr>
      <w:r>
        <w:rPr/>
        <w:t>半年总收入三十点〇二亿元，去年三十一点八一亿元，下降约百分之五点六；其中产品销售二十八点八〇亿元对二十八点三七亿元，增长约百分之一点五。技术收入七千五百万元、许可收入约三千九百万元和研发服务约八百万元，总和使报告口径与产品口径不同。收入下降的一部分来自合作项目基数，但产品低增长也说明尚未进入全面加速。本文正常盈利不直接资本化一次性技术与许可收入，相关付款只在现金桥按明确假设进入。</w:t>
      </w:r>
    </w:p>
    <w:p>
      <w:pPr>
        <w:pStyle w:val="Normal"/>
        <w:rPr/>
      </w:pPr>
      <w:r>
        <w:rPr/>
        <w:t>毛利十九点〇二亿元，较去年二十一点五八亿元下降约百分之十一点八，毛利率从约百分之六十七点八降至六十三点四。产品组合、降价和成本共同影响利润，不能只看到销售费用下降就忽略毛利损失。销售及分销费用八亿元，同比下降约百分之二十一点五，显示渠道和组织费用改善；但如果费用削减伴随处方增长不及预期，也可能损害后续收入。基准模型从当前较低毛利逐步恢复，绝不把所有业务从第一年都放回旧高水平。</w:t>
      </w:r>
    </w:p>
    <w:p>
      <w:pPr>
        <w:pStyle w:val="Normal"/>
        <w:rPr/>
      </w:pPr>
      <w:r>
        <w:rPr/>
        <w:t>半年行政费用三点二五亿元，其他费用三点九八亿元，其中研发费用约二点五七亿元。汇兑净损失六千六百万元、可转债赎回损失五千七百万元也是其他费用的重要组成。模型把完整研发、持续其他经营成本保留，汇率和赎回损失单独解释，不能为了显示盈利改善随意把全部其他费用都称为一次性。真实持续经营中仍会发生研发失败、减值、质量与合规成本，长期估值必须为这些现金或利润消耗留出空间。</w:t>
      </w:r>
    </w:p>
    <w:p>
      <w:pPr>
        <w:pStyle w:val="Normal"/>
        <w:rPr/>
      </w:pPr>
      <w:r>
        <w:rPr/>
        <w:t>其他收入及收益四点五七亿元，其中可交换优先股公允价值收益三点一五亿元、投资公允价值收益约五千一百万元、银行利息约三千八百万元。优先股账面负债下降可以产生会计收益，但持有人交换博安股票的经济权利不会因此消失。这恰是本公司最容易误判的地方：报表纯利增长并不说明同等产品经营增量，更不代表新增现金进入。本文不把这些公允价值收益按未来每年重现处理，也不把全部其他收入等同于政府补助。</w:t>
      </w:r>
    </w:p>
    <w:p>
      <w:pPr>
        <w:pStyle w:val="Normal"/>
        <w:rPr/>
      </w:pPr>
      <w:r>
        <w:rPr/>
        <w:t>财务成本三点〇四亿元，其中银行和可转债利息、可交换优先股现金回报、贴现票据、信用证、南京融资及租赁等来源需要分开。部分债务不是简单银行贷款，票据和信用证融资可能与营运周转有关，但仍有实际资金成本和到期需求。税前盈利五点一五亿元、税后合并三点八一亿元、归母三点九〇亿元，少数权益出现亏损令归母高于合并利润。不能把归母较高理解为融资结构没有经济负担。</w:t>
      </w:r>
    </w:p>
    <w:p>
      <w:pPr>
        <w:pStyle w:val="Normal"/>
        <w:rPr/>
      </w:pPr>
      <w:r>
        <w:rPr/>
        <w:t>可以做一个保守经营桥作为识别工具：从毛利剔技术、许可及研发服务的简单贡献，再扣销售、行政、研发、持续其他费、融资，加入已核银行利息并扣联营损失，得到约九千八百万元半年税前量级。该桥不声称是公司官方调整利润，因为合作项目实际成本、所得税归属和其他持续收入公开拆分不足。它的用途是说明净报表三点九亿元与可持续产品盈利并非同一基准，而不是制造一个比法定报表更权威的新数字。</w:t>
      </w:r>
    </w:p>
    <w:p>
      <w:pPr>
        <w:pStyle w:val="Normal"/>
        <w:rPr/>
      </w:pPr>
      <w:r>
        <w:rPr/>
        <w:t>分部利润为毛利扣分配销售费的阶段贡献，未扣所有总部、其他经营、融资和税。肿瘤、心血管、代谢、中枢神经和其他分部合计十一点〇二亿元，再连接集团费用才能得到税前盈利。首次业绩公告代谢分部存在七千一百二十四点五万元与中报七千一百二十五点四万元的九千元差异，本文使用中报值使总额闭合并保留差异说明。中报横排文本部分列方向倒置，所有重要两期比较使用原正序业绩表与管理讨论核验。</w:t>
      </w:r>
    </w:p>
    <w:p>
      <w:pPr>
        <w:pStyle w:val="Normal"/>
        <w:rPr/>
      </w:pPr>
      <w:r>
        <w:rPr/>
        <w:t>每股基本盈利九点七八人民币分、稀释约二点五六分，差异大并非简单股份增加。稀释分子对优先股公允价值等作调整，部分可转债因反稀释不纳入，相应分母也不是将所有潜在股份机械相加。投资者不能拿半年基本盈利乘二，再给低市盈率断言极便宜。本文自行模拟正常经济利润、未来新增股数与资本成本，并保留法定基本和稀释指标作为财报事实，避免不同分子分母交叉配对。</w:t>
      </w:r>
    </w:p>
    <w:p>
      <w:pPr>
        <w:pStyle w:val="Heading2"/>
        <w:rPr/>
      </w:pPr>
      <w:r>
        <w:rPr>
          <w:color w:val="000000"/>
        </w:rPr>
        <w:t>八 现金流与资产 流动性增加来自什么 比增加多少更关键</w:t>
      </w:r>
    </w:p>
    <w:p>
      <w:pPr>
        <w:pStyle w:val="Normal"/>
        <w:rPr/>
      </w:pPr>
      <w:r>
        <w:rPr/>
        <w:t>经营活动净现金四点四一亿元，对去年十七点八四亿元，下降约百分之七十五点三。经营现金产生七点九六亿元，扣实际支付利息二点四〇亿元和税一点一四亿元后形成净额。一个高研发且融资结构复杂的药企，需要依赖这项现金覆盖设备、试验和偿债。净利润增长但经营现金明显下降，应提高审慎程度，而不能简单用合并现金余额增长抵销经营现金疑问。</w:t>
      </w:r>
    </w:p>
    <w:p>
      <w:pPr>
        <w:pStyle w:val="Normal"/>
        <w:rPr/>
      </w:pPr>
      <w:r>
        <w:rPr/>
        <w:t>投资活动净流入十六点〇九亿元，包括第三方贷款回收八点六五亿元、联营投资撤回三点五亿元、投资出售及利息、定期存款净提取等；资本资产现金支出约二点四八亿元。这些回收可改善流动性，却不代表药品销售重复产生同等现金。把一次贷款收回按每年持续经营流入外推，会显著高估现金跑道。本文六月现金锚包含这些已经完成的资金变化，之后不再次加回相同旧款项。</w:t>
      </w:r>
    </w:p>
    <w:p>
      <w:pPr>
        <w:pStyle w:val="Normal"/>
        <w:rPr/>
      </w:pPr>
      <w:r>
        <w:rPr/>
        <w:t>融资活动净流入十四点六三亿元，借款新增九十四点一五亿元、偿还六十七点九九亿元，另有质押现金增加、南京少数股东注资、新可转债净额及收购少数权益支付。总借款流量远大于年净新增，说明公司需要持续滚动管理资金，而不是所有债务都可放到远期。合并现金从四十四点九二亿元至八十二点一六亿元，增加还包含汇率折算；经营、投资和融资来源要分别看，才能判断持有现金是否来自持续业务。</w:t>
      </w:r>
    </w:p>
    <w:p>
      <w:pPr>
        <w:pStyle w:val="Normal"/>
        <w:rPr/>
      </w:pPr>
      <w:r>
        <w:rPr/>
        <w:t>六月非质押现金八十二点一六亿元，加原期限超过三个月的定期存款五亿元，研究流动性锚八十七点一六亿元。已质押存款二十五点七〇亿元不能再加为自由可用现金，受限制现金该期列零也不消除质押限制。不同子公司、币种、税务和监管约束会影响资金上划，博安现金尤其不能全部视为绿叶母公司可派。本文现金桥是合成集团资金预算，不是保证每个债务到期主体都能使用全部合并现金。</w:t>
      </w:r>
    </w:p>
    <w:p>
      <w:pPr>
        <w:pStyle w:val="Normal"/>
        <w:rPr/>
      </w:pPr>
      <w:r>
        <w:rPr/>
        <w:t>流动与非流动银行及其他借款合计一百〇三亿元，剔租赁约一百〇二点四六亿元，其中票据二十五点四五亿元、信用证十一点七四亿元有特别营运性质。总资产三百四十八点七五亿元、归母权益一百五十五点八一亿元，提供账面基础，但商誉、无形资产、投资和应收未必能按账面变现。每股账面价值不能当作股价下限。银行抵押、产品许可和优先结构也会决定资产处置时普通股东真正可以获得的剩余价值。</w:t>
      </w:r>
    </w:p>
    <w:p>
      <w:pPr>
        <w:pStyle w:val="Normal"/>
        <w:rPr/>
      </w:pPr>
      <w:r>
        <w:rPr/>
        <w:t>贸易应收与应收票据三十二点九二亿元、库存十一点〇八亿元，需要对照销售变化和回款。库存上升不一定意味着滞销，可能源于新品准备、生产批次或渠道节奏；但在产品增长仅百分之一点五时，它应进入观察清单。若应收持续快于收入、回收期延长并出现减值，会同时影响利润和现金。本文营运资金每年留一定消耗，不假设新品销售全部立即收现，也不因半年现金多就把现金转换评分拉高。</w:t>
      </w:r>
    </w:p>
    <w:p>
      <w:pPr>
        <w:pStyle w:val="Normal"/>
        <w:rPr/>
      </w:pPr>
      <w:r>
        <w:rPr/>
        <w:t>合同资本承诺六点四五亿元和持续研发意味着公司不能把所有流动性都用于还债。思瑞康原分销仲裁裁决约二点七三亿元已作拨备，并仍存在司法程序及新增利息，半年额外计提利息七百一十九万元左右。没有新列重大或然负债，不等于所有争议已经消失。本文保留费用与资金缓冲，未来真正结案应核现金支付和此前拨备是否足够，不能把已拨备金额再无条件扣价一次。</w:t>
      </w:r>
    </w:p>
    <w:p>
      <w:pPr>
        <w:pStyle w:val="Heading2"/>
        <w:rPr/>
      </w:pPr>
      <w:r>
        <w:rPr>
          <w:color w:val="000000"/>
        </w:rPr>
        <w:t>九 资本结构 上市公司可转债 博安交换和南京优先资金分别处理</w:t>
      </w:r>
    </w:p>
    <w:p>
      <w:pPr>
        <w:pStyle w:val="Normal"/>
        <w:rPr/>
      </w:pPr>
      <w:r>
        <w:rPr/>
        <w:t>二〇二六年六月发行的一亿八千万美元新可转债，票息百分之五点二五，二〇二七年六月十日起可转换，初始换股价二点七一港元，固定换算七点八三六四港元兑一美元，潜在新增五点二〇五亿股。相比九月已发行三十九点九四五亿股，潜在增加约百分之十三点〇三。二〇二六年底和二〇二七年四月还不能实际转换；若估值用其后的预测盈利资本结构，必须清楚说明为何已经前瞻计入。</w:t>
      </w:r>
    </w:p>
    <w:p>
      <w:pPr>
        <w:pStyle w:val="Normal"/>
        <w:rPr/>
      </w:pPr>
      <w:r>
        <w:rPr/>
        <w:t>持有人于二〇二九年六月有回售权，而最终二〇三一年六月到期。只看最终到期日会低估三年投资期内资金需求。悲观模型假定二〇二九年现金支付按七人民币兑美元的一十二点六亿元，不增加股份；基准假定二〇二八年转股，乐观二〇二七年下半年转股，后续不再现金偿还同本金。转股减少利息但摊薄每股价值，偿还不摊薄却消耗现金，两条路径互斥，不能同时选择两者的好处。</w:t>
      </w:r>
    </w:p>
    <w:p>
      <w:pPr>
        <w:pStyle w:val="Normal"/>
        <w:rPr/>
      </w:pPr>
      <w:r>
        <w:rPr/>
        <w:t>新债净资金已经进入六月现金，模型不在下半年增加一次。旧一亿八千万美元债回购后余九千〇二十六万美元于七月六日提前赎回，本研究只在六月之后现金桥扣一次，不能继续保留旧债未来利息或重复扣全部旧本金。二〇二五年另一期债券转成的二点三二八亿股已包含现股数，也不能作为新潜在稀释再加。这样的时间桥是处理公司多轮融资时避免估值错配的基础。</w:t>
      </w:r>
    </w:p>
    <w:p>
      <w:pPr>
        <w:pStyle w:val="Normal"/>
        <w:rPr/>
      </w:pPr>
      <w:r>
        <w:rPr/>
        <w:t>可交换优先股由绿叶全资</w:t>
      </w:r>
      <w:r>
        <w:rPr/>
        <w:t>LGHL</w:t>
      </w:r>
      <w:r>
        <w:rPr/>
        <w:t>发行，金额一亿五千万美元、现金回报百分之四点七五，初始可按十一点七一八港元换博安股票，既不是换绿叶新股，也不是简单永久本金债。完成后六十个月内持有人可换，期限届满尚未换的自动强制交换。二〇二五年十二月完成意味着最迟大致二〇三〇年末，不允许把悲观交换随意延至二〇三二年。发行人可选择提前赎回，但付价为交换价的一点三五倍乘应交付股数，是权利而非本模型假定必付本金。</w:t>
      </w:r>
    </w:p>
    <w:p>
      <w:pPr>
        <w:pStyle w:val="Normal"/>
        <w:rPr/>
      </w:pPr>
      <w:r>
        <w:rPr/>
        <w:t>绿叶二〇二五年博安经济持股百分之五十七点九四、博安六点二二三亿股。因优先股原合同精确汇率未单独取得，研究用七点八三六四近似估计需交付一亿〇〇三十一万股，相当博安现股约百分之十六点一二，绿叶经济份额变为约百分之四十一点八二。真实兑换受价格调整、未来博安股份和法律安排影响，本文明确为估计。不能一方面从净债再扣优先股全部账面负债，另一方面又扣博安经济权益，造成重复负担。</w:t>
      </w:r>
    </w:p>
    <w:p>
      <w:pPr>
        <w:pStyle w:val="Normal"/>
        <w:rPr/>
      </w:pPr>
      <w:r>
        <w:rPr/>
        <w:t>交换后经济份额可能低于一半，需要评估是否失去会计控制、重编合并范围。本文为看清经济利润，仍使用穿透全业务预算，再减博安非归属份额；它不是预测未来</w:t>
      </w:r>
      <w:r>
        <w:rPr/>
        <w:t>IFRS</w:t>
      </w:r>
      <w:r>
        <w:rPr/>
        <w:t>合并收入还会全部含博安。基准二〇二八年中、乐观二〇二七年中假设交换，因此当年用前后平均经济份额约百分之四十九点八八，现金回报半年；悲观二〇三〇年底交换，当年仍用原平均份额及全年回报，翌年用降低后的份额。相应资金桥也只是合成预算。</w:t>
      </w:r>
    </w:p>
    <w:p>
      <w:pPr>
        <w:pStyle w:val="Normal"/>
        <w:rPr/>
      </w:pPr>
      <w:r>
        <w:rPr/>
        <w:t>南京结构至少有三项。四点〇二亿元优先性质资金按百分之八点五基础回报，南京信石相关借款约六点一一八亿元按百分之二点九五利率且不超过五年偿还；另二〇二六年一月两投资者二点八五亿元注资具有五十四或六十个月未上市触发回购，按百分之八点五或九计算回报并扣已收股息。不能把它们都当普通银行贷款，也不能只保留少数股东利润而漏掉固定资金回报。本文逐项保留成本，不把六月一次注资当未来每年收入。</w:t>
      </w:r>
    </w:p>
    <w:p>
      <w:pPr>
        <w:pStyle w:val="Normal"/>
        <w:rPr/>
      </w:pPr>
      <w:r>
        <w:rPr/>
        <w:t>南京新注资后披露股权约百分之七十点〇一，但集团穿透分配、南京信石和其他少数股东并不等于简单直接比例。因完整归属不足，模型其他经济少数利润为研究输入，未声称能复刻未来法定归母。悲观按平均百分之八点七五五年简单回报模拟二〇三一年约四点〇九七亿元结算，当年及次年小幅减少少数利润分享；实际投资者期限、已收股息和股份回收需更新。六点一一八亿元收购贷则安排二〇三〇年付款，避免只降利息而不记本金。</w:t>
      </w:r>
    </w:p>
    <w:p>
      <w:pPr>
        <w:pStyle w:val="Heading2"/>
        <w:rPr/>
      </w:pPr>
      <w:r>
        <w:rPr>
          <w:color w:val="000000"/>
        </w:rPr>
        <w:t>十 半年日线 便宜的价格与向上的趋势是两种证据</w:t>
      </w:r>
    </w:p>
    <w:p>
      <w:pPr>
        <w:pStyle w:val="Normal"/>
        <w:rPr/>
      </w:pPr>
      <w:r>
        <w:rPr/>
        <w:t>十月九日开盘一点七七五、最高一点七八、最低一点七二五、收盘一点七三港元，日跌约百分之一点九八。使用约七百三十九个真实交易日及一百五十七周历史，复权</w:t>
      </w:r>
      <w:r>
        <w:rPr/>
        <w:t>OHLC</w:t>
      </w:r>
      <w:r>
        <w:rPr/>
        <w:t>归一到基准日名义价格。一根原始</w:t>
      </w:r>
      <w:r>
        <w:rPr/>
        <w:t>OHLC</w:t>
      </w:r>
      <w:r>
        <w:rPr/>
        <w:t>异常经过两个来源核对修复，仍作为数据限制记录。复权影响历史形态及均线，现价和未来目标使用名义港元，成交量按供应商报股，不用手与股混换。</w:t>
      </w:r>
    </w:p>
    <w:p>
      <w:pPr>
        <w:pStyle w:val="Normal"/>
        <w:rPr/>
      </w:pPr>
      <w:r>
        <w:rPr/>
        <w:t>二十、六十、一百二十、二百五十日均线分别为一点八一〇五、一点九六七九、两点〇八五五，以及两点五〇二四港元。现价分别低约百分之四点四五、十二点〇九、十七点〇五和三十点八七。四条均线最近五期斜率均负，约负一点二七、负一点四三、负二点二〇和负一点二四个百分点。短中长均线压在上方，使半年技术项只给一点三分，不能因低点附近小幅反弹就认定趋势已经反转。</w:t>
      </w:r>
    </w:p>
    <w:p>
      <w:pPr>
        <w:pStyle w:val="Normal"/>
        <w:rPr/>
      </w:pPr>
      <w:r>
        <w:rPr/>
        <w:t>近二十交易日回报负百分之五点四六、六十日负二十二点〇七、一百二十日负三十九点七二、二百五十日负五十点一四。回撤由多窗口显示，表示弱势不是一天误差。最近二百五十二日高三点六九、低一点六九，现价比低点高约百分之二点三七、比高点低约五十三点一二。下跌很多只能说明此前价格与预期发生较大调整，并不自动形成更高未来回报；若基本面和资本结构同步恶化，低位仍可能继续下移。</w:t>
      </w:r>
    </w:p>
    <w:p>
      <w:pPr>
        <w:pStyle w:val="Normal"/>
        <w:rPr/>
      </w:pPr>
      <w:r>
        <w:rPr/>
        <w:t>二十日观察支撑一点六九，离现价下方约百分之二点三一；二十日观察阻力一点九四五，上方约百分之十二点四三；六十日高点二点三一五，上方约百分之三十三点八二。它们来自区间最低最高，不是经过多次触碰统计验证的确定支撑阻力。观察分三段：先看一点六九是否稳定，其次一点八一附近短均线能否收复并转平，再看一点九四五到一点九六八区间能否突破和回踩守住。不能把最近高点直接当突破买入后的保证目标。</w:t>
      </w:r>
    </w:p>
    <w:p>
      <w:pPr>
        <w:pStyle w:val="Normal"/>
        <w:rPr/>
      </w:pPr>
      <w:r>
        <w:rPr/>
        <w:t>量能当日二千九百五十九万股、成交额约五千一百四十六万元港币，以前二十日平均量计算量比约一点一八。五、二十、六十日平均成交量约一千三百八十七万、二千五百一十二万和三千〇〇九万股，短期平均量比中期低，显示近期市场参与有减弱。当天相对均量略放大而收跌，属于需要关注的卖压现象，但单日仍不足以证明机构派发。普通价格与成交量无法提供买卖双方身份，也不能画所谓精确主力筹码。</w:t>
      </w:r>
    </w:p>
    <w:p>
      <w:pPr>
        <w:pStyle w:val="Normal"/>
        <w:rPr/>
      </w:pPr>
      <w:r>
        <w:rPr/>
        <w:t>近二十日上涨七天总量二点一三亿、下跌十三天二点八九亿，总比约零点七三八。下跌总量大一部分原因是下跌天数更多，平均上涨日约三千〇四十八万股，平均下跌日约二千二百二十三万股，反而上涨日平均量较高。因此只能说上涨持续性不足、下跌天数多，不能说平均跌量全面超过涨量。周线总涨量略高也需要结合具体周数，指标的分母不能被忽略。</w:t>
      </w:r>
    </w:p>
    <w:p>
      <w:pPr>
        <w:pStyle w:val="Normal"/>
        <w:rPr/>
      </w:pPr>
      <w:r>
        <w:rPr/>
        <w:t>按已发行股数粗算当日成交约百分之零点七四，并非自由流通换手率。大股东、库存股、可流通限制和重复成交都会改变解释，本文没有取得独立核验的自由流通逐日换手序列。成交额则直接反映交易资金规模，比较同公司时需注意价格已经跌低；股量不变时金额也会因价格降低而下降。模型将交易量、金额和波动并列解释，不把股量的一次变化重复计入多个评分项。</w:t>
      </w:r>
    </w:p>
    <w:p>
      <w:pPr>
        <w:pStyle w:val="Normal"/>
        <w:rPr/>
      </w:pPr>
      <w:r>
        <w:rPr/>
        <w:t>日</w:t>
      </w:r>
      <w:r>
        <w:rPr/>
        <w:t>RSI</w:t>
      </w:r>
      <w:r>
        <w:rPr/>
        <w:t>约三十九点四四，低于中性但尚不能说明极端超卖必反弹。</w:t>
      </w:r>
      <w:r>
        <w:rPr/>
        <w:t>MACD</w:t>
      </w:r>
      <w:r>
        <w:rPr/>
        <w:t>快慢差约负〇点〇四一三、信号负〇点〇四〇四，双倍柱负〇点〇〇一八；下跌动能变化应结合价格和均线，近零柱不等于新上升趋势。十四日</w:t>
      </w:r>
      <w:r>
        <w:rPr/>
        <w:t>ATR</w:t>
      </w:r>
      <w:r>
        <w:rPr/>
        <w:t>约八点二港仙，占现价百分之四点七四，说明日常波动相对价格较大。一点六九距现价仅约半个</w:t>
      </w:r>
      <w:r>
        <w:rPr/>
        <w:t>ATR</w:t>
      </w:r>
      <w:r>
        <w:rPr/>
        <w:t>，机械设极窄止损很容易被正常波动触发，也不能防止公告跳空。</w:t>
      </w:r>
    </w:p>
    <w:p>
      <w:pPr>
        <w:pStyle w:val="Normal"/>
        <w:rPr/>
      </w:pPr>
      <w:r>
        <w:rPr/>
        <w:t>相对恒指二十日落后二点四九个百分点、六十日落后十八点八八，显示公司弱势超过同期市场。缺少独立核验且匹配的综合医药行业基准，本研究不借恒生科技冒充行业指数，也不编造行业超额回报。这意味着量价评分有一定信息缺口，应保留中低可信度。如果未来行业整体反弹而绿叶继续落后，将支持公司特定问题判断；若公司率先改善，相对强弱才成为推荐上调的证据。</w:t>
      </w:r>
    </w:p>
    <w:p>
      <w:pPr>
        <w:pStyle w:val="Normal"/>
        <w:rPr/>
      </w:pPr>
      <w:r>
        <w:rPr/>
        <w:t>技术判断的失效与更新条件应清楚。若放量收复二十及六十日均线，回踩成交收缩且价格守住，二十及六十日相对恒指转正，当前弱势判断需要修订。若跌破一点六九并连续无法收回，或放量下跌伴随基本面坏消息，应降低观察优先级。一根阳线、一次新闻或</w:t>
      </w:r>
      <w:r>
        <w:rPr/>
        <w:t>RSI</w:t>
      </w:r>
      <w:r>
        <w:rPr/>
        <w:t>上穿都不足以单独改变推荐。没有逐笔数据时不声称精确成交量分布，也不用量价直接断言主力吸筹。</w:t>
      </w:r>
    </w:p>
    <w:p>
      <w:pPr>
        <w:pStyle w:val="Heading2"/>
        <w:rPr/>
      </w:pPr>
      <w:r>
        <w:rPr>
          <w:color w:val="000000"/>
        </w:rPr>
        <w:t>十一 周线 短动能减弱与长期修复尚未等同</w:t>
      </w:r>
    </w:p>
    <w:p>
      <w:pPr>
        <w:pStyle w:val="Normal"/>
        <w:rPr/>
      </w:pPr>
      <w:r>
        <w:rPr/>
        <w:t>二十、六十、一百二十周均线约一点九五五五、二点六一六八和二点六七五一港元，现价低约百分之十一点五三、三十三点八九和三十五点三三，近期斜率分别约负八点二九、负六点二五和负一点五三。一百五十七周历史不能计算二百五十周均线，本文明确缺失，不补造更长记录。周线显示长时间压力，半年只看日线反弹而忽略周线套牢与预期变化，会高估趋势改善程度。</w:t>
      </w:r>
    </w:p>
    <w:p>
      <w:pPr>
        <w:pStyle w:val="Normal"/>
        <w:rPr/>
      </w:pPr>
      <w:r>
        <w:rPr/>
        <w:t>周</w:t>
      </w:r>
      <w:r>
        <w:rPr/>
        <w:t>RSI</w:t>
      </w:r>
      <w:r>
        <w:rPr/>
        <w:t>约三十六点〇四，</w:t>
      </w:r>
      <w:r>
        <w:rPr/>
        <w:t>ATR</w:t>
      </w:r>
      <w:r>
        <w:rPr/>
        <w:t>约两角〇九港仙、相当现价百分之十二点〇八。周</w:t>
      </w:r>
      <w:r>
        <w:rPr/>
        <w:t>MACD</w:t>
      </w:r>
      <w:r>
        <w:rPr/>
        <w:t>柱略正〇点〇〇〇三一四，快慢线仍在负区且数值接近零。这可以描述为负动能暂缓，但不能写成强势金叉确认。周波动较大说明投资者必须接受跨周回撤，而技术观察位并不是每次下跌都能成交的风险边界。短线交易和一年基本面持有需要各自的失效标准，不能亏损时随意转换期限。</w:t>
      </w:r>
    </w:p>
    <w:p>
      <w:pPr>
        <w:pStyle w:val="Normal"/>
        <w:rPr/>
      </w:pPr>
      <w:r>
        <w:rPr/>
        <w:t>五、二十、六十周平均股量约一点一八六、一点八九三和一点五二五亿股，近期量较二十周低。二十周上涨八周总量十九点六三亿、下跌十二周十八点二三亿，总量比一点〇七六，并不与日线矛盾，因窗口、方向和聚合方式不同。日周总量只能支持参与与价格路径分析，不能识别特定资金意图。理想修复应在周收盘守住重要均线、回撤变浅和业绩改善中持续得到确认。</w:t>
      </w:r>
    </w:p>
    <w:p>
      <w:pPr>
        <w:pStyle w:val="Heading2"/>
        <w:rPr/>
      </w:pPr>
      <w:r>
        <w:rPr>
          <w:color w:val="000000"/>
        </w:rPr>
        <w:t>十二 估值模型 把产品 成本和归属重新连起来</w:t>
      </w:r>
    </w:p>
    <w:p>
      <w:pPr>
        <w:pStyle w:val="Normal"/>
        <w:rPr/>
      </w:pPr>
      <w:r>
        <w:rPr/>
        <w:t>模型不是把管理层纯利增长目标机械外推，而是建立七个不重叠的经济收入组：剔博安后的成熟肿瘤、心血管、代谢、国内中枢神经、海外中枢神经、其他，以及博安。集团财报按治疗领域分组与研究按法人经济分组不同，不能两套同时相加。基准二〇二六年正常产品经济收入五十八点三亿元、二〇二七年约六十六点六亿元；并非声称这些数字就是未来法定合并收入或逐药披露值。</w:t>
      </w:r>
    </w:p>
    <w:p>
      <w:pPr>
        <w:pStyle w:val="Normal"/>
        <w:rPr/>
      </w:pPr>
      <w:r>
        <w:rPr/>
        <w:t>基准毛利从当前产品组合压力出发逐步恢复，成熟组提升有限，中枢神经与博安随新品和规模改善。总销售、行政及完整研发均扣除，绝不把研发当永远可忽略的一次性支出。资产风险收入再按各分子自己的开始年份、峰值和识别因子加入，研发已经在集团费用，不在风险毛利中重复扣。阶段因子用于预期经济贡献，市场识别系数用于短期交易价值，情景权重用于聚合，它们是三个不同概念。</w:t>
      </w:r>
    </w:p>
    <w:p>
      <w:pPr>
        <w:pStyle w:val="Normal"/>
        <w:rPr/>
      </w:pPr>
      <w:r>
        <w:rPr/>
        <w:t>地舒单抗美国、美国度拉糖肽、</w:t>
      </w:r>
      <w:r>
        <w:rPr/>
        <w:t>LY03015</w:t>
      </w:r>
      <w:r>
        <w:rPr/>
        <w:t>中国和美国、</w:t>
      </w:r>
      <w:r>
        <w:rPr/>
        <w:t>LY03017</w:t>
      </w:r>
      <w:r>
        <w:rPr/>
        <w:t>、</w:t>
      </w:r>
      <w:r>
        <w:rPr/>
        <w:t>LY03020</w:t>
      </w:r>
      <w:r>
        <w:rPr/>
        <w:t>的基准风险因子分别八成、六成五、五成、三成五、三成五和三成，商业年份从二〇二七年至二〇三一年不等。它们有不同临床、申报和权利证据，不能统一套同一成功率。收入峰值以可获得的人民币经济收入设定，既不等于全球终端市场，也不是公开协议保证值。本文不另外叠加同一管线</w:t>
      </w:r>
      <w:r>
        <w:rPr/>
        <w:t>rNPV</w:t>
      </w:r>
      <w:r>
        <w:rPr/>
        <w:t>或全部博安市值，避免利润倍数与资产价值双计。</w:t>
      </w:r>
    </w:p>
    <w:p>
      <w:pPr>
        <w:pStyle w:val="Normal"/>
        <w:rPr/>
      </w:pPr>
      <w:r>
        <w:rPr/>
        <w:t>基准正常经济归母利润二〇二七年约三点一〇亿元、二〇二八年五点五一亿元、二〇二九年八点一八亿元、二〇三一年十三点〇八亿元。对应预测稀释股数约四十点二亿、四十五点六〇亿、四十五点八〇亿和四十六点二〇亿，新债转股已在其中。税仅对正的正常利润收取，亏损不假定马上得到可用现金税收抵免。博安成本分摊和其他少数利润是研究拆分，公开不足时不冒称可复刻法定会计归母。</w:t>
      </w:r>
    </w:p>
    <w:p>
      <w:pPr>
        <w:pStyle w:val="Normal"/>
        <w:rPr/>
      </w:pPr>
      <w:r>
        <w:rPr/>
        <w:t>一年基准用二〇二八年每股人民币〇点一二〇九、十八倍市盈率和一点一港元兑人民币得到二点三九三港元。三年用二〇二九年每股〇点一七八五、十七倍得到三点三三八；五年用二〇三一年〇点二八三〇、十五倍得到四点六七〇。成熟价格竞争、债务和复杂归属使倍数低于顶级纯创新成长药企。倍数递减也承认业务规模变大后增长可能放慢，不能把一款新品早期高增长保持十年。</w:t>
      </w:r>
    </w:p>
    <w:p>
      <w:pPr>
        <w:pStyle w:val="Normal"/>
        <w:rPr/>
      </w:pPr>
      <w:r>
        <w:rPr/>
        <w:t>年底和半年使用二〇二七年正常盈利，基准十八和十九倍，完整盈利价值约一点五二五和一点六〇九港元。市场短期未必全识别，研究以现价和完整价值之间的差额识别六成五和八成五，得到一点五九七及一点六二七。乐观识别四成及六成五，得到二点五三四及三点一四七。这是明确主观的市场信息接受假设；不是临床概率，也不是把外资十二个月目标按剩余月份线性缩放，更不是证明股价一定会向内在价值收敛。</w:t>
      </w:r>
    </w:p>
    <w:p>
      <w:pPr>
        <w:pStyle w:val="Normal"/>
        <w:rPr/>
      </w:pPr>
      <w:r>
        <w:rPr/>
        <w:t>悲观情景正常利润持续为负，不适合给予盈利市盈率，也不应直接把零盈利当零股价。本文按经济归属产品收入，剔博安少数份额并再减百分之二点五其他归属差异，用零点三八、零点三五、零点三二、零点二九和零点二五的股权对收入倍数。它已包含融资与经营风险压缩，属于受压股权倍数，不能再当企业价值扣一次净债。正常情况下可用销售网与产品组合交叉检查，极端资不抵债仍可能比该价格更差。</w:t>
      </w:r>
    </w:p>
    <w:p>
      <w:pPr>
        <w:pStyle w:val="Normal"/>
        <w:rPr/>
      </w:pPr>
      <w:r>
        <w:rPr/>
        <w:t>盈利模型不再在每股目标加全部现金、扣全部净债，因为已扣融资成本、计算稀释并按股权盈利倍数估值。现金桥用于验证能否执行，不是把同一现金价值再放进</w:t>
      </w:r>
      <w:r>
        <w:rPr/>
        <w:t>PE</w:t>
      </w:r>
      <w:r>
        <w:rPr/>
        <w:t>目标。六月八十七亿元流动性起点、后续产品现金、设备与研发、旧债七月偿付、新债转股或回售、南京贷款与回购、银行净滚动及未来股息逐项连接。基准二〇三一年合成现金约八十一点四亿元，悲观仍有账面流动性但依赖银行再融资，不等于债务主体支付无风险。</w:t>
      </w:r>
    </w:p>
    <w:p>
      <w:pPr>
        <w:pStyle w:val="Normal"/>
        <w:rPr/>
      </w:pPr>
      <w:r>
        <w:rPr/>
        <w:t>假设敏感性比精确目标小数更重要。一年基准</w:t>
      </w:r>
      <w:r>
        <w:rPr/>
        <w:t>PE</w:t>
      </w:r>
      <w:r>
        <w:rPr/>
        <w:t>增加或减少两倍，其他不变约影响每股二角六六港元；正常利润变化一亿元人民币，在十八倍及对应股数下约影响四角三四港元。毛利提高一个百分点并非全变股东利润，需扣税及少数权益；收入组混加的五亿元若错误保留，影响会非常大。汇率一点一是研究转换，不是远期保证，港币人民币换算还应与投资者计价币种和资金来源分开。</w:t>
      </w:r>
    </w:p>
    <w:p>
      <w:pPr>
        <w:pStyle w:val="Heading2"/>
        <w:rPr/>
      </w:pPr>
      <w:r>
        <w:rPr>
          <w:color w:val="000000"/>
        </w:rPr>
        <w:t>十三 年底情景 期望负回报不能被旧目标掩盖</w:t>
      </w:r>
    </w:p>
    <w:p>
      <w:pPr>
        <w:pStyle w:val="Normal"/>
        <w:rPr/>
      </w:pPr>
      <w:r>
        <w:rPr/>
        <w:t>年底悲观〇点五四一、基准一点五九七、乐观二点五三四港元，对现价分别约负六十八点七〇、负七点七一和正四十六点四八个百分点。默认权重四分之一、二分之一、四分之一，期望价一点五六七港元、期望股价回报负百分之九点四一，无预设年底股息。尽管长期有上行空间，短期资金进入并无足够赔率优势，符合半年较低推荐分。这也说明进取标准不是看到高乐观目标就忽略悲观路径。</w:t>
      </w:r>
    </w:p>
    <w:p>
      <w:pPr>
        <w:pStyle w:val="Normal"/>
        <w:rPr/>
      </w:pPr>
      <w:r>
        <w:rPr/>
        <w:t>悲观需要成熟产品价格压力未缓解、新品增速或美国回款低于预期、市场强化对资本结构与滚动债务的担忧；通常不要求所有早期管线同时失败。基准需要中枢神经增长继续、经营成本合理、没有重大坏的临床或融资消息，市场仍只部分识别二〇二七年盈利。乐观需要新品和注册进展同时支持可验证的销售改善、投资者对融资安排接受度提升，才能快速向更高完整价值靠近。年底不足三个月，基本面兑现范围有限。</w:t>
      </w:r>
    </w:p>
    <w:p>
      <w:pPr>
        <w:pStyle w:val="Normal"/>
        <w:rPr/>
      </w:pPr>
      <w:r>
        <w:rPr/>
        <w:t>权重改为悲观四成、基准四成、乐观两成，期望价一点三六二、回报负百分之二十一点二七；改为两成、四成、四成则一点七六一、正百分之一点七七。对权重十分敏感，说明这里没有统计概率优势。权重属于研究判断，不是根据历史分布估计的概率，价格区间也不是置信区间或最大涨跌范围。投资者若认为短期乐观可能性更高，应先指出具体催化与证据，再改变权重，而不是为了想要正回报任意调模型。</w:t>
      </w:r>
    </w:p>
    <w:p>
      <w:pPr>
        <w:pStyle w:val="Normal"/>
        <w:rPr/>
      </w:pPr>
      <w:r>
        <w:rPr/>
        <w:t>半年基准小幅下行，而一年基准正三十八个百分点，主要源于看二〇二八年利润、阶段性转股成本与新品增长，并不表示时间过去就自然上涨。三年基准股价加累计股息的年化约百分之二十五点三一，五年约百分之二十三点一〇，仍是经营假设下的高回报。若美国商业化、毛利和融资成本任何两项不达标，应下调多期盈利而非维持长期目标不变。长期估值必须允许滚动修订，不能用持有够久替代反证。</w:t>
      </w:r>
    </w:p>
    <w:p>
      <w:pPr>
        <w:pStyle w:val="Heading2"/>
        <w:rPr/>
      </w:pPr>
      <w:r>
        <w:rPr>
          <w:color w:val="000000"/>
        </w:rPr>
        <w:t>十四 外资目标 公开旧参照与本研究目标应有时间边界</w:t>
      </w:r>
    </w:p>
    <w:p>
      <w:pPr>
        <w:pStyle w:val="Normal"/>
        <w:rPr/>
      </w:pPr>
      <w:r>
        <w:rPr/>
        <w:t>可核的花旗二〇二六年四月十四日公开新闻转述给出四点三港元、买入评级，并下调成熟品受降价影响的收入和盈利。原始研报与精确目标到期日未公开取得，这条目标超出最近九十天，也早于半年业绩和六月融资更新，不能称近期一致目标。相对现价数学涨幅约百分之一百四十八点六，但这不代表年底或一年必然收益。花旗使用现金流折现与不同输入，本研究正常盈利及归属假设更谨慎，差异应解释而非平均。</w:t>
      </w:r>
    </w:p>
    <w:p>
      <w:pPr>
        <w:pStyle w:val="Normal"/>
        <w:rPr/>
      </w:pPr>
      <w:r>
        <w:rPr/>
        <w:t>二〇二五年花旗五港元与二〇二四年高盛三点九九港元均为更旧资料，同机构旧值从有效参照去重。行业页中出现摩根大通、汇丰或高盛对医药整体的观点，不等于这些机构给绿叶最新评级或公司目标。网页相关内容、实时股价与新闻正文的发布时间也要分开。本文只把明确公司、代码、机构、日期、币种和目标写入机构表，无法核的原研报或目标期限标缺失，不凭市场新闻生成伪共识。</w:t>
      </w:r>
    </w:p>
    <w:p>
      <w:pPr>
        <w:pStyle w:val="Normal"/>
        <w:rPr/>
      </w:pPr>
      <w:r>
        <w:rPr/>
        <w:t>管理层净利润复合增速大于百分之二十五及美国产品销售目标能够帮助设研究情景，但必须经过实际财报、现金和资本归属检验。报表纯利可被优先股公允变化影响，五年指引可能采用不同基准。本文没有把管理层目标视为盈利保证，也没有按机构目标自动倒推收入。后续若有重大事件后新的外资报告，应记录报告日期、收益期限及假设范围，再作为模型交叉验证，而不是给所有旧目标等权平均。</w:t>
      </w:r>
    </w:p>
    <w:p>
      <w:pPr>
        <w:pStyle w:val="Heading2"/>
        <w:rPr/>
      </w:pPr>
      <w:r>
        <w:rPr>
          <w:color w:val="000000"/>
        </w:rPr>
        <w:t>十五 四期限推荐成立条件与失败路径</w:t>
      </w:r>
    </w:p>
    <w:p>
      <w:pPr>
        <w:pStyle w:val="Normal"/>
        <w:rPr/>
      </w:pPr>
      <w:r>
        <w:rPr/>
        <w:t>半年重点是估值质量、弱量价和事件兑现。正常盈利价值目前不明显高于现价，四均线压制、相对落后和短量收缩使提前押注风险较高。可以观察一点六九附近是否企稳、均线是否转平，以及地舒单抗审评与若欣林申请的可核进展；但单一批准仍需商业化。因此半年推荐并非强力建仓，得分较低有明确证据。如以后价量修复且正常利润预期提高，才调整短期分数，不能因为年底乐观可能涨四十六个百分点就称赔率优秀。</w:t>
      </w:r>
    </w:p>
    <w:p>
      <w:pPr>
        <w:pStyle w:val="Normal"/>
        <w:rPr/>
      </w:pPr>
      <w:r>
        <w:rPr/>
        <w:t>一年更重视二〇二七年美国新品经营、国内中枢神经销售、渠道合作效率和二〇二八年前瞻利润。基准上行空间超过三成，有吸引力但悲观损失也很大，适合能接受较高回撤并持续核公告的投资者。失败路径包括销售增速不及、美国费用超支、成熟产品再降价、转股时点不成立或融资成本不降。若全部收入增长只来自一次性许可而产品现金没有改善，应降低经营与估值分，而不是只把技术弱势当短期噪声。</w:t>
      </w:r>
    </w:p>
    <w:p>
      <w:pPr>
        <w:pStyle w:val="Normal"/>
        <w:rPr/>
      </w:pPr>
      <w:r>
        <w:rPr/>
        <w:t>三年同时跨越新债二〇二九年回售点和部分后期管线转化。临床进展、地舒单抗及糖尿病海外经济、若欣林扩展和现有美国长效产品共同决定经营台阶。基准假定债转股，若股价和转股激励不足，现金回售可能改变研发预算和股息。这个期限的高回报需要业务改善足以覆盖约百分之十三潜在稀释；不能只看归母利润增长，还要看每股经济利润和资金承担主体。</w:t>
      </w:r>
    </w:p>
    <w:p>
      <w:pPr>
        <w:pStyle w:val="Normal"/>
        <w:rPr/>
      </w:pPr>
      <w:r>
        <w:rPr/>
        <w:t>五年主要检验制剂平台能否形成持续新品、利润现金转换是否改善、博安交换后仍有合理经济贡献，以及南京相关债务和回购如何结算。基准使用下降的</w:t>
      </w:r>
      <w:r>
        <w:rPr/>
        <w:t>PE</w:t>
      </w:r>
      <w:r>
        <w:rPr/>
        <w:t>和完整费用，支持中等进取偏好。它并非无风险长持：若新品产生很多收入却净利率长期被研发、价格与融资吞噬，五年目标要下调。上市公司治理、关联资金、子公司上市与控制权变化也可能让产品成功不能完整转为上市公司普通股收益。</w:t>
      </w:r>
    </w:p>
    <w:p>
      <w:pPr>
        <w:pStyle w:val="Normal"/>
        <w:rPr/>
      </w:pPr>
      <w:r>
        <w:rPr/>
        <w:t>十年经营展望应比五年股价更谨慎。长期精神疾病、老龄化、骨病与慢病需求有持续性，复杂制剂和生物制造可以不断产生新产品，海外注册能力若积累也有复利。但平台要面对专利到期、创新机制迭代、支付压力与制造更新，无法把二〇二七至三一年增长延伸十年。本文不给十年确定价格，只要求十年仍有可替代旧品的研发、健康净现金转换、合理资本成本和股东经济归属，才认定公司形成可持续复利基础。</w:t>
      </w:r>
    </w:p>
    <w:p>
      <w:pPr>
        <w:pStyle w:val="Normal"/>
        <w:rPr/>
      </w:pPr>
      <w:r>
        <w:rPr/>
        <w:t>最重要的反证是三类。经营方面，中枢神经产品净销售与回款连续低于基准、毛利不恢复或成熟品衰退加速；临床方面，关键项目终点不达、严重安全问题、质量检查或监管延迟使商业起点后移；资本方面，可转债回售和南京赎回未得到可执行资金安排，博安股权变化或关联交易让归属偏离模型。任一重大问题应修改盈利、现金和目标，多项同时出现应显著降低排序，不能用长期叙事维护原推荐。</w:t>
      </w:r>
    </w:p>
    <w:p>
      <w:pPr>
        <w:pStyle w:val="Normal"/>
        <w:rPr/>
      </w:pPr>
      <w:r>
        <w:rPr/>
        <w:t xml:space="preserve">可以采用有证据的滚动观察：中报和年报分别核产品收入、毛利、推广费用、实际利息、应收及库存；注册公告核受理、获批和标签；资本月报核股数与债转换；子公司文件核博安和南京经济权益。技术每日波动只提供执行参考，不取代季度经营判断。研究输入修改后应统一刷新情景快照并核 </w:t>
      </w:r>
      <w:r>
        <w:rPr/>
        <w:t>Word</w:t>
      </w:r>
      <w:r>
        <w:rPr/>
        <w:t>、</w:t>
      </w:r>
      <w:r>
        <w:rPr/>
        <w:t>PDF</w:t>
      </w:r>
      <w:r>
        <w:rPr/>
        <w:t>及</w:t>
      </w:r>
      <w:r>
        <w:rPr/>
        <w:t>Excel</w:t>
      </w:r>
      <w:r>
        <w:rPr/>
        <w:t>数字一致，避免正文仍保留旧目标、总表已采用新输入的混乱。</w:t>
      </w:r>
    </w:p>
    <w:p>
      <w:pPr>
        <w:pStyle w:val="Normal"/>
        <w:rPr/>
      </w:pPr>
      <w:r>
        <w:rPr/>
        <w:t>本章最终偏好是把绿叶列入一年以上的高风险产品转型观察，而半年暂居低优先梯队。机会真实存在于中枢神经商业化、复杂制剂和生物类似药经济，但兑现要由产品利润、现金和普通股归属证明。现价低、历史大跌或花旗旧目标较高都只能成为进一步研究的起点。投资结论成立的核心条件是正常每股盈利持续提升、资本义务得到合理处理、临床与商业化证据跟上预期；这些条件不满足时，推荐必须被推翻。</w:t>
      </w:r>
    </w:p>
    <w:p>
      <w:pPr>
        <w:pStyle w:val="Heading2"/>
        <w:rPr/>
      </w:pPr>
      <w:r>
        <w:rPr>
          <w:color w:val="000000"/>
        </w:rPr>
        <w:t>来源与核验记录</w:t>
      </w:r>
    </w:p>
    <w:p>
      <w:pPr>
        <w:pStyle w:val="Normal"/>
        <w:rPr/>
      </w:pPr>
      <w:r>
        <w:rPr/>
        <w:t xml:space="preserve">- </w:t>
      </w:r>
      <w:r>
        <w:rPr/>
        <w:t>公司二〇二六年中期业绩公告，二〇二六年八月三十日：</w:t>
      </w:r>
      <w:r>
        <w:rPr/>
        <w:t>[</w:t>
      </w:r>
      <w:r>
        <w:rPr/>
        <w:t>原始公告镜像</w:t>
      </w:r>
      <w:r>
        <w:rPr/>
        <w:t>](https://iis.aastocks.com/20260830/12307394-0.PDF)</w:t>
      </w:r>
      <w:r>
        <w:rPr/>
        <w:t>。</w:t>
      </w:r>
    </w:p>
    <w:p>
      <w:pPr>
        <w:pStyle w:val="Normal"/>
        <w:rPr/>
      </w:pPr>
      <w:r>
        <w:rPr/>
        <w:t xml:space="preserve">- </w:t>
      </w:r>
      <w:r>
        <w:rPr/>
        <w:t>公司二〇二六年中期报告，二〇二六年九月二十九日：</w:t>
      </w:r>
      <w:r>
        <w:rPr/>
        <w:t>[</w:t>
      </w:r>
      <w:r>
        <w:rPr/>
        <w:t>中报</w:t>
      </w:r>
      <w:r>
        <w:rPr/>
        <w:t>](https://iis.aastocks.com/20260929/12351613-0.PDF)</w:t>
      </w:r>
      <w:r>
        <w:rPr/>
        <w:t>。</w:t>
      </w:r>
    </w:p>
    <w:p>
      <w:pPr>
        <w:pStyle w:val="Normal"/>
        <w:rPr/>
      </w:pPr>
      <w:r>
        <w:rPr/>
        <w:t xml:space="preserve">- </w:t>
      </w:r>
      <w:r>
        <w:rPr/>
        <w:t>二〇二五年年报，二〇二六年四月二十九日：</w:t>
      </w:r>
      <w:r>
        <w:rPr/>
        <w:t>[</w:t>
      </w:r>
      <w:r>
        <w:rPr/>
        <w:t>年报</w:t>
      </w:r>
      <w:r>
        <w:rPr/>
        <w:t>](https://iis.aastocks.com/20260429/12136784-0.PDF)</w:t>
      </w:r>
      <w:r>
        <w:rPr/>
        <w:t>。</w:t>
      </w:r>
    </w:p>
    <w:p>
      <w:pPr>
        <w:pStyle w:val="Normal"/>
        <w:rPr/>
      </w:pPr>
      <w:r>
        <w:rPr/>
        <w:t xml:space="preserve">- </w:t>
      </w:r>
      <w:r>
        <w:rPr/>
        <w:t>九月证券变动月报，二〇二六年十月七日：</w:t>
      </w:r>
      <w:r>
        <w:rPr/>
        <w:t>[</w:t>
      </w:r>
      <w:r>
        <w:rPr/>
        <w:t>股数月报</w:t>
      </w:r>
      <w:r>
        <w:rPr/>
        <w:t>](https://iis.aastocks.com/20261007/12365029-0.PDF)</w:t>
      </w:r>
      <w:r>
        <w:rPr/>
        <w:t>。</w:t>
      </w:r>
    </w:p>
    <w:p>
      <w:pPr>
        <w:pStyle w:val="Normal"/>
        <w:rPr/>
      </w:pPr>
      <w:r>
        <w:rPr/>
        <w:t xml:space="preserve">- </w:t>
      </w:r>
      <w:r>
        <w:rPr/>
        <w:t>新可转债条款，二〇二六年六月四日：</w:t>
      </w:r>
      <w:r>
        <w:rPr/>
        <w:t>[</w:t>
      </w:r>
      <w:r>
        <w:rPr/>
        <w:t>条款公告</w:t>
      </w:r>
      <w:r>
        <w:rPr/>
        <w:t>](https://iis.aastocks.com/20260604/12188352-0.PDF)</w:t>
      </w:r>
      <w:r>
        <w:rPr/>
        <w:t>；完成发行：</w:t>
      </w:r>
      <w:r>
        <w:rPr/>
        <w:t>[</w:t>
      </w:r>
      <w:r>
        <w:rPr/>
        <w:t>完成公告</w:t>
      </w:r>
      <w:r>
        <w:rPr/>
        <w:t>](https://iis.aastocks.com/20260611/12198644-0.PDF)</w:t>
      </w:r>
      <w:r>
        <w:rPr/>
        <w:t>。</w:t>
      </w:r>
    </w:p>
    <w:p>
      <w:pPr>
        <w:pStyle w:val="Normal"/>
        <w:rPr/>
      </w:pPr>
      <w:r>
        <w:rPr/>
        <w:t xml:space="preserve">- </w:t>
      </w:r>
      <w:r>
        <w:rPr/>
        <w:t>旧债同步回购和余债七月赎回：</w:t>
      </w:r>
      <w:r>
        <w:rPr/>
        <w:t>[</w:t>
      </w:r>
      <w:r>
        <w:rPr/>
        <w:t>回购</w:t>
      </w:r>
      <w:r>
        <w:rPr/>
        <w:t>](https://iis.aastocks.com/20260611/12199773-0.PDF)</w:t>
      </w:r>
      <w:r>
        <w:rPr/>
        <w:t>、</w:t>
      </w:r>
      <w:r>
        <w:rPr/>
        <w:t>[</w:t>
      </w:r>
      <w:r>
        <w:rPr/>
        <w:t>余债注销</w:t>
      </w:r>
      <w:r>
        <w:rPr/>
        <w:t>](https://iis.aastocks.com/20260706/12235098-0.PDF)</w:t>
      </w:r>
      <w:r>
        <w:rPr/>
        <w:t>。</w:t>
      </w:r>
    </w:p>
    <w:p>
      <w:pPr>
        <w:pStyle w:val="Normal"/>
        <w:rPr/>
      </w:pPr>
      <w:r>
        <w:rPr/>
        <w:t>- LY03015</w:t>
      </w:r>
      <w:r>
        <w:rPr/>
        <w:t>中国二期：</w:t>
      </w:r>
      <w:r>
        <w:rPr/>
        <w:t>[</w:t>
      </w:r>
      <w:r>
        <w:rPr/>
        <w:t>临床公告</w:t>
      </w:r>
      <w:r>
        <w:rPr/>
        <w:t>](https://iis.aastocks.com/20260616/12205586-0.PDF)</w:t>
      </w:r>
      <w:r>
        <w:rPr/>
        <w:t>；美国健康人桥接：</w:t>
      </w:r>
      <w:r>
        <w:rPr/>
        <w:t>[</w:t>
      </w:r>
      <w:r>
        <w:rPr/>
        <w:t>药代公告</w:t>
      </w:r>
      <w:r>
        <w:rPr/>
        <w:t>](https://iis.aastocks.com/20260805/12274073-0.PDF)</w:t>
      </w:r>
      <w:r>
        <w:rPr/>
        <w:t>。</w:t>
      </w:r>
    </w:p>
    <w:p>
      <w:pPr>
        <w:pStyle w:val="Normal"/>
        <w:rPr/>
      </w:pPr>
      <w:r>
        <w:rPr/>
        <w:t>- LY03017</w:t>
      </w:r>
      <w:r>
        <w:rPr/>
        <w:t>二期首例、</w:t>
      </w:r>
      <w:r>
        <w:rPr/>
        <w:t>LY03020</w:t>
      </w:r>
      <w:r>
        <w:rPr/>
        <w:t>二期首例、若欣林焦虑申请：</w:t>
      </w:r>
      <w:r>
        <w:rPr/>
        <w:t>[LY03017](https://iis.aastocks.com/20260415/12107039-0.PDF)</w:t>
      </w:r>
      <w:r>
        <w:rPr/>
        <w:t>、</w:t>
      </w:r>
      <w:r>
        <w:rPr/>
        <w:t>[LY03020](https://iis.aastocks.com/20260408/12098692-0.PDF)</w:t>
      </w:r>
      <w:r>
        <w:rPr/>
        <w:t>、</w:t>
      </w:r>
      <w:r>
        <w:rPr/>
        <w:t>[</w:t>
      </w:r>
      <w:r>
        <w:rPr/>
        <w:t>若欣林交易所原件</w:t>
      </w:r>
      <w:r>
        <w:rPr/>
        <w:t>](https://www1.hkexnews.hk/listedco/listconews/sehk/2026/0108/2026010800814.pdf)</w:t>
      </w:r>
      <w:r>
        <w:rPr/>
        <w:t>。若欣林旧镜像失效，已改用交易所原件。</w:t>
      </w:r>
    </w:p>
    <w:p>
      <w:pPr>
        <w:pStyle w:val="Normal"/>
        <w:rPr/>
      </w:pPr>
      <w:r>
        <w:rPr/>
        <w:t xml:space="preserve">- </w:t>
      </w:r>
      <w:r>
        <w:rPr/>
        <w:t>交易所标题检索核首发：半年业绩八月三十日十九时三十分，年度业绩三月三十一日六时三十分，</w:t>
      </w:r>
      <w:r>
        <w:rPr/>
        <w:t>LY03015</w:t>
      </w:r>
      <w:r>
        <w:rPr/>
        <w:t>中国二期六月十六日二十二时十六分、美国桥接八月五日二十一时，九月股数十月七日十六时三十一分。交易日收盘后信息没有解释为当日盘中已知；检索响应和原件地址存档。</w:t>
      </w:r>
    </w:p>
    <w:p>
      <w:pPr>
        <w:pStyle w:val="Normal"/>
        <w:rPr/>
      </w:pPr>
      <w:r>
        <w:rPr/>
        <w:t xml:space="preserve">- </w:t>
      </w:r>
      <w:r>
        <w:rPr/>
        <w:t>花旗四月十四日目标四点三港元，二手转述，原研报及准确目标期限缺失：</w:t>
      </w:r>
      <w:r>
        <w:rPr/>
        <w:t>[</w:t>
      </w:r>
      <w:r>
        <w:rPr/>
        <w:t>财经新闻</w:t>
      </w:r>
      <w:r>
        <w:rPr/>
        <w:t>](https://www.aastocks.com/tc/stocks/analysis/stock-aafn-con/02186/AAFN/NOW.1517459/research-report)</w:t>
      </w:r>
      <w:r>
        <w:rPr/>
        <w:t>。</w:t>
      </w:r>
    </w:p>
    <w:p>
      <w:pPr>
        <w:pStyle w:val="Normal"/>
        <w:rPr/>
      </w:pPr>
      <w:r>
        <w:rPr/>
        <w:t xml:space="preserve">- </w:t>
      </w:r>
      <w:r>
        <w:rPr/>
        <w:t>行情采用</w:t>
      </w:r>
      <w:r>
        <w:rPr/>
        <w:t>Tencent</w:t>
      </w:r>
      <w:r>
        <w:rPr/>
        <w:t>与</w:t>
      </w:r>
      <w:r>
        <w:rPr/>
        <w:t>Sina</w:t>
      </w:r>
      <w:r>
        <w:rPr/>
        <w:t>报价核收盘、</w:t>
      </w:r>
      <w:r>
        <w:rPr/>
        <w:t>Yahoo</w:t>
      </w:r>
      <w:r>
        <w:rPr/>
        <w:t>日线与</w:t>
      </w:r>
      <w:r>
        <w:rPr/>
        <w:t>Tencent</w:t>
      </w:r>
      <w:r>
        <w:rPr/>
        <w:t>复权日线核历史；完整链接、字段与修复记录保存于市场锁定文件和本章模型。来源、目录、表格、标题均不计入有效正文汉字。</w:t>
      </w:r>
      <w:r>
        <w:br w:type="page"/>
      </w:r>
    </w:p>
    <w:p>
      <w:pPr>
        <w:pStyle w:val="Heading1"/>
        <w:rPr/>
      </w:pPr>
      <w:bookmarkStart w:id="4" w:name="__RefHeading___Toc57536_312338234"/>
      <w:bookmarkEnd w:id="4"/>
      <w:r>
        <w:rPr>
          <w:color w:val="000000"/>
        </w:rPr>
        <w:t xml:space="preserve">上海医药 </w:t>
      </w:r>
      <w:r>
        <w:rPr>
          <w:color w:val="000000"/>
        </w:rPr>
        <w:t>02607 HK</w:t>
      </w:r>
    </w:p>
    <w:p>
      <w:pPr>
        <w:pStyle w:val="Normal"/>
        <w:rPr/>
      </w:pPr>
      <w:r>
        <w:rPr/>
        <w:t xml:space="preserve">02607.HK </w:t>
      </w:r>
      <w:r>
        <w:rPr/>
        <w:t xml:space="preserve">现价 </w:t>
      </w:r>
      <w:r>
        <w:rPr/>
        <w:t>11.03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+43.97%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+88.49%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+102.99%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24.20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+146.60%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11.25HKD</w:t>
      </w:r>
      <w:r>
        <w:rPr/>
        <w:t>，期望股价回报</w:t>
      </w:r>
      <w:r>
        <w:rPr/>
        <w:t>+2.01%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7.15</w:t>
              <w:br/>
              <w:t>-35.18%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w:t>
              <w:br/>
              <w:t>+18.43%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18.76</w:t>
              <w:br/>
              <w:t>+70.04%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7.29</w:t>
              <w:br/>
              <w:t>-33.88%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w:t>
              <w:br/>
              <w:t>+39.62%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23.76</w:t>
              <w:br/>
              <w:t>+115.41%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w:t>
              <w:br/>
              <w:t>-37.17%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br/>
              <w:t>+88.49%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37.18</w:t>
              <w:br/>
              <w:t>+237.08%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+26.62%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6.66</w:t>
              <w:br/>
              <w:t>-39.66%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24.20</w:t>
              <w:br/>
              <w:t>+119.40%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46.20</w:t>
              <w:br/>
              <w:t>+318.86%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A/H</w:t>
            </w:r>
            <w:r>
              <w:rPr>
                <w:rFonts w:ascii="微软雅黑" w:hAnsi="微软雅黑" w:eastAsia="微软雅黑"/>
                <w:sz w:val="17"/>
              </w:rPr>
              <w:t>原财报、分部与现金注释；调整利润完整桥缺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高：锁版多来源</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2</w:t>
            </w:r>
            <w:r>
              <w:rPr>
                <w:rFonts w:ascii="微软雅黑" w:hAnsi="微软雅黑" w:eastAsia="微软雅黑"/>
                <w:sz w:val="17"/>
              </w:rPr>
              <w:t>根</w:t>
            </w:r>
            <w:r>
              <w:rPr>
                <w:rFonts w:eastAsia="微软雅黑" w:ascii="微软雅黑" w:hAnsi="微软雅黑"/>
                <w:sz w:val="17"/>
              </w:rPr>
              <w:t>OHLC</w:t>
            </w:r>
            <w:r>
              <w:rPr>
                <w:rFonts w:ascii="微软雅黑" w:hAnsi="微软雅黑" w:eastAsia="微软雅黑"/>
                <w:sz w:val="17"/>
              </w:rPr>
              <w:t>修复记录；近</w:t>
            </w:r>
            <w:r>
              <w:rPr>
                <w:rFonts w:eastAsia="微软雅黑" w:ascii="微软雅黑" w:hAnsi="微软雅黑"/>
                <w:sz w:val="17"/>
              </w:rPr>
              <w:t>60</w:t>
            </w:r>
            <w:r>
              <w:rPr>
                <w:rFonts w:ascii="微软雅黑" w:hAnsi="微软雅黑" w:eastAsia="微软雅黑"/>
                <w:sz w:val="17"/>
              </w:rPr>
              <w:t>复权跨源最大</w:t>
            </w:r>
            <w:r>
              <w:rPr>
                <w:rFonts w:eastAsia="微软雅黑" w:ascii="微软雅黑" w:hAnsi="微软雅黑"/>
                <w:sz w:val="17"/>
              </w:rPr>
              <w:t>1.07%</w:t>
            </w:r>
            <w:r>
              <w:rPr>
                <w:rFonts w:ascii="微软雅黑" w:hAnsi="微软雅黑" w:eastAsia="微软雅黑"/>
                <w:sz w:val="17"/>
              </w:rPr>
              <w:t>差留档</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中低：正常化利润</w:t>
            </w:r>
            <w:r>
              <w:rPr>
                <w:rFonts w:eastAsia="微软雅黑" w:ascii="微软雅黑" w:hAnsi="微软雅黑"/>
                <w:sz w:val="17"/>
              </w:rPr>
              <w:t>/PE/</w:t>
            </w:r>
            <w:r>
              <w:rPr>
                <w:rFonts w:ascii="微软雅黑" w:hAnsi="微软雅黑" w:eastAsia="微软雅黑"/>
                <w:sz w:val="17"/>
              </w:rPr>
              <w:t>汇率研究假设，信用和资本配置路径不确定</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中低：已核新闻，均旧于</w:t>
            </w:r>
            <w:r>
              <w:rPr>
                <w:rFonts w:eastAsia="微软雅黑" w:ascii="微软雅黑" w:hAnsi="微软雅黑"/>
                <w:sz w:val="17"/>
              </w:rPr>
              <w:t>90</w:t>
            </w:r>
            <w:r>
              <w:rPr>
                <w:rFonts w:ascii="微软雅黑" w:hAnsi="微软雅黑" w:eastAsia="微软雅黑"/>
                <w:sz w:val="17"/>
              </w:rPr>
              <w:t>天，原报告和期限未取</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+24.35%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+36.77%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+43.97%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+51.17%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+113.14%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+158.93%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I028</w:t>
      </w:r>
      <w:r>
        <w:rPr/>
        <w:t xml:space="preserve">；证券 </w:t>
      </w:r>
      <w:r>
        <w:rPr/>
        <w:t>S033</w:t>
      </w:r>
      <w:r>
        <w:rPr/>
        <w:t>。价格基准为</w:t>
      </w:r>
      <w:r>
        <w:rPr/>
        <w:t>2026</w:t>
      </w:r>
      <w:r>
        <w:rPr/>
        <w:t>年</w:t>
      </w:r>
      <w:r>
        <w:rPr/>
        <w:t>10</w:t>
      </w:r>
      <w:r>
        <w:rPr/>
        <w:t>月</w:t>
      </w:r>
      <w:r>
        <w:rPr/>
        <w:t>9</w:t>
      </w:r>
      <w:r>
        <w:rPr/>
        <w:t>日收盘</w:t>
      </w:r>
      <w:r>
        <w:rPr/>
        <w:t>11.03</w:t>
      </w:r>
      <w:r>
        <w:rPr/>
        <w:t xml:space="preserve">港元，资料截止同日。模型 </w:t>
      </w:r>
      <w:r>
        <w:rPr/>
        <w:t>shpharma-H-normalized-pe-v1.0</w:t>
      </w:r>
      <w:r>
        <w:rPr/>
        <w:t xml:space="preserve">，行情 </w:t>
      </w:r>
      <w:r>
        <w:rPr/>
        <w:t>market-v1.6</w:t>
      </w:r>
      <w:r>
        <w:rPr/>
        <w:t>。财务本币为人民币，目标股价为港元，换汇</w:t>
      </w:r>
      <w:r>
        <w:rPr/>
        <w:t>1</w:t>
      </w:r>
      <w:r>
        <w:rPr/>
        <w:t>人民币兑</w:t>
      </w:r>
      <w:r>
        <w:rPr/>
        <w:t>1.10</w:t>
      </w:r>
      <w:r>
        <w:rPr/>
        <w:t>港元属于研究假设。以下为可修订初版，排名由全名单汇总后确定。评分不是获利概率。</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基准累计税前股息</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基准总回报</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7.1500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18.7550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18.43%</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7.2930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23.7600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0.48</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43.97%</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37.1800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88.49%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102.99%</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6.6550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24.2000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119.40%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146.60%</w:t>
            </w:r>
          </w:p>
        </w:tc>
      </w:tr>
    </w:tbl>
    <w:p>
      <w:pPr>
        <w:pStyle w:val="Normal"/>
        <w:rPr/>
      </w:pPr>
      <w:r>
        <w:rPr/>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w:t>
            </w:r>
            <w:r>
              <w:rPr>
                <w:rFonts w:eastAsia="微软雅黑" w:ascii="微软雅黑" w:hAnsi="微软雅黑"/>
                <w:b/>
                <w:color w:val="FFFFFF"/>
                <w:sz w:val="17"/>
              </w:rPr>
              <w:t>2026-12-31</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25/50/25</w:t>
            </w:r>
            <w:r>
              <w:rPr>
                <w:rFonts w:ascii="微软雅黑" w:hAnsi="微软雅黑" w:eastAsia="微软雅黑"/>
                <w:b/>
                <w:color w:val="FFFFFF"/>
                <w:sz w:val="17"/>
              </w:rPr>
              <w:t>期望值</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股价港元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11.4070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11.251625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相对</w:t>
            </w:r>
            <w:r>
              <w:rPr>
                <w:rFonts w:eastAsia="微软雅黑" w:ascii="微软雅黑" w:hAnsi="微软雅黑"/>
                <w:sz w:val="17"/>
              </w:rPr>
              <w:t>11.03</w:t>
            </w:r>
            <w:r>
              <w:rPr>
                <w:rFonts w:ascii="微软雅黑" w:hAnsi="微软雅黑" w:eastAsia="微软雅黑"/>
                <w:sz w:val="17"/>
              </w:rPr>
              <w:t>回报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2.01%</w:t>
            </w:r>
          </w:p>
        </w:tc>
      </w:tr>
    </w:tbl>
    <w:p>
      <w:pPr>
        <w:pStyle w:val="Normal"/>
        <w:rPr/>
      </w:pPr>
      <w:r>
        <w:rPr/>
      </w:r>
    </w:p>
    <w:p>
      <w:pPr>
        <w:pStyle w:val="Normal"/>
        <w:rPr/>
      </w:pPr>
      <w:r>
        <w:rPr/>
        <w:t>三年基准股价年化</w:t>
      </w:r>
      <w:r>
        <w:rPr/>
        <w:t>23.53%</w:t>
      </w:r>
      <w:r>
        <w:rPr/>
        <w:t>、含息年化</w:t>
      </w:r>
      <w:r>
        <w:rPr/>
        <w:t>26.62%</w:t>
      </w:r>
      <w:r>
        <w:rPr/>
        <w:t>；五年</w:t>
      </w:r>
      <w:r>
        <w:rPr/>
        <w:t>17.02%</w:t>
      </w:r>
      <w:r>
        <w:rPr/>
        <w:t>、</w:t>
      </w:r>
      <w:r>
        <w:rPr/>
        <w:t>19.78%</w:t>
      </w:r>
      <w:r>
        <w:rPr/>
        <w:t>。均不再投资股息，未扣税费。年底情景加权为判断假设；防守</w:t>
      </w:r>
      <w:r>
        <w:rPr/>
        <w:t>40/50/10</w:t>
      </w:r>
      <w:r>
        <w:rPr/>
        <w:t>的期望价</w:t>
      </w:r>
      <w:r>
        <w:rPr/>
        <w:t>9.9605</w:t>
      </w:r>
      <w:r>
        <w:rPr/>
        <w:t>，进取</w:t>
      </w:r>
      <w:r>
        <w:rPr/>
        <w:t>10/50/40</w:t>
      </w:r>
      <w:r>
        <w:rPr/>
        <w:t>为</w:t>
      </w:r>
      <w:r>
        <w:rPr/>
        <w:t>12.54275</w:t>
      </w:r>
      <w:r>
        <w:rPr/>
        <w:t>。两者均不表示统计置信界限。</w:t>
      </w:r>
    </w:p>
    <w:p>
      <w:pPr>
        <w:pStyle w:val="Heading2"/>
        <w:rPr/>
      </w:pPr>
      <w:r>
        <w:rPr>
          <w:color w:val="000000"/>
        </w:rPr>
        <w:t>投资结论</w:t>
      </w:r>
    </w:p>
    <w:p>
      <w:pPr>
        <w:pStyle w:val="Normal"/>
        <w:rPr/>
      </w:pPr>
      <w:r>
        <w:rPr/>
        <w:t>上海医药在这份进取型名单中适合放在中期改善观察梯队。它有全国药品流通网络、工业品牌和真实现金创造能力，起点估值较低，经营效率改善可以带来可观回报。不过，它的短期量价没有确认趋势突破，流通业务的大收入对应很薄的归母利润，应收与融资需求也很大。因此半年得分低于一年和三年。推荐成立需要持续盈利恢复、回款质量改善及资本配置更克制，不能仅由“央国企”“创新药”或者低市净率三个标签推出结论。</w:t>
      </w:r>
    </w:p>
    <w:p>
      <w:pPr>
        <w:pStyle w:val="Normal"/>
        <w:rPr/>
      </w:pPr>
      <w:r>
        <w:rPr/>
        <w:t>本章最重要的区别是，制造创新药与服务创新药销售具有不同的权益价值。公司商业务创新药销售超过</w:t>
      </w:r>
      <w:r>
        <w:rPr/>
        <w:t>330</w:t>
      </w:r>
      <w:r>
        <w:rPr/>
        <w:t>亿元，但这代表商业渠道的业务规模，并非自身研发产品的全部销售收入。上药从中获得供应链服务、分销价差或合同销售收益，不能享有原创药整个利润池。估值应看服务收入毛利、信用成本、资金占用和合同稳定性。把这</w:t>
      </w:r>
      <w:r>
        <w:rPr/>
        <w:t>330</w:t>
      </w:r>
      <w:r>
        <w:rPr/>
        <w:t>亿元按高成长生物科技销售倍数定价，会把合作伙伴创造的知识产权收益归给上海医药。</w:t>
      </w:r>
    </w:p>
    <w:p>
      <w:pPr>
        <w:pStyle w:val="Normal"/>
        <w:rPr/>
      </w:pPr>
      <w:r>
        <w:rPr/>
        <w:t>当前</w:t>
      </w:r>
      <w:r>
        <w:rPr/>
        <w:t>11.03</w:t>
      </w:r>
      <w:r>
        <w:rPr/>
        <w:t>港元与基准一年</w:t>
      </w:r>
      <w:r>
        <w:rPr/>
        <w:t>15.40</w:t>
      </w:r>
      <w:r>
        <w:rPr/>
        <w:t>港元之间的空间，并非已经确定的套利。它来自正常化人民币每股盈利由研究基准</w:t>
      </w:r>
      <w:r>
        <w:rPr/>
        <w:t>1.22</w:t>
      </w:r>
      <w:r>
        <w:rPr/>
        <w:t>提升到</w:t>
      </w:r>
      <w:r>
        <w:rPr/>
        <w:t>1.40</w:t>
      </w:r>
      <w:r>
        <w:rPr/>
        <w:t>，以及</w:t>
      </w:r>
      <w:r>
        <w:rPr/>
        <w:t>H</w:t>
      </w:r>
      <w:r>
        <w:rPr/>
        <w:t>股合理市盈率由约</w:t>
      </w:r>
      <w:r>
        <w:rPr/>
        <w:t>8.22</w:t>
      </w:r>
      <w:r>
        <w:rPr/>
        <w:t>倍提升到</w:t>
      </w:r>
      <w:r>
        <w:rPr/>
        <w:t>10</w:t>
      </w:r>
      <w:r>
        <w:rPr/>
        <w:t>倍。盈利改善和倍数变化都是假设。若流通信用风险使合理倍数保持在</w:t>
      </w:r>
      <w:r>
        <w:rPr/>
        <w:t>6.5</w:t>
      </w:r>
      <w:r>
        <w:rPr/>
        <w:t>倍，即便盈利达到</w:t>
      </w:r>
      <w:r>
        <w:rPr/>
        <w:t>1.40</w:t>
      </w:r>
      <w:r>
        <w:rPr/>
        <w:t>，目标价也只约</w:t>
      </w:r>
      <w:r>
        <w:rPr/>
        <w:t>10.01</w:t>
      </w:r>
      <w:r>
        <w:rPr/>
        <w:t>港元。投资者需要分别判断赚的是盈利增长的钱还是风险溢价下降的钱，两者不能互相替代。</w:t>
      </w:r>
    </w:p>
    <w:p>
      <w:pPr>
        <w:pStyle w:val="Normal"/>
        <w:rPr/>
      </w:pPr>
      <w:r>
        <w:rPr/>
        <w:t>三年及五年目标看起来更高，主要因为较低价格起点与逐步恢复的正常化利润相叠加。三年基准归母盈利约</w:t>
      </w:r>
      <w:r>
        <w:rPr/>
        <w:t>66.75</w:t>
      </w:r>
      <w:r>
        <w:rPr/>
        <w:t>亿元、五年</w:t>
      </w:r>
      <w:r>
        <w:rPr/>
        <w:t>81.58</w:t>
      </w:r>
      <w:r>
        <w:rPr/>
        <w:t>亿元，对应收入</w:t>
      </w:r>
      <w:r>
        <w:rPr/>
        <w:t>3700</w:t>
      </w:r>
      <w:r>
        <w:rPr/>
        <w:t>亿元和</w:t>
      </w:r>
      <w:r>
        <w:rPr/>
        <w:t>4300</w:t>
      </w:r>
      <w:r>
        <w:rPr/>
        <w:t>亿元、归母净利率约</w:t>
      </w:r>
      <w:r>
        <w:rPr/>
        <w:t>1.80%</w:t>
      </w:r>
      <w:r>
        <w:rPr/>
        <w:t>和</w:t>
      </w:r>
      <w:r>
        <w:rPr/>
        <w:t>1.90%</w:t>
      </w:r>
      <w:r>
        <w:rPr/>
        <w:t>。这是从低利润率出发的渐进改善，而不是假设公司成为高净利率创新药集团。若收入扩张始终需要同样甚至更多的营运资本，盈利增长并不会等额变成股东可分配现金，这会推翻长期倍数提升。</w:t>
      </w:r>
    </w:p>
    <w:p>
      <w:pPr>
        <w:pStyle w:val="Normal"/>
        <w:rPr/>
      </w:pPr>
      <w:r>
        <w:rPr/>
        <w:t>本章不把目前处置</w:t>
      </w:r>
      <w:r>
        <w:rPr/>
        <w:t>Vitaco</w:t>
      </w:r>
      <w:r>
        <w:rPr/>
        <w:t>的预计税前所得直接计为已拥有现金，也不把</w:t>
      </w:r>
      <w:r>
        <w:rPr/>
        <w:t>ALS</w:t>
      </w:r>
      <w:r>
        <w:rPr/>
        <w:t>管线事后显著结果当作三期成功。前者尚需交割条件和最终调整，后者预设主分析没有达到统计优效。两个事项都可能改善预期，但不能成为“基准必然兑现”的利润。这样处理以后，年底加权期望回报仅</w:t>
      </w:r>
      <w:r>
        <w:rPr/>
        <w:t>2.01%</w:t>
      </w:r>
      <w:r>
        <w:rPr/>
        <w:t>，显著低于一年基准回报；剩余两个月与完整一年拥有不同信息空间，不能把一年目标直接贴成年底价。</w:t>
      </w:r>
    </w:p>
    <w:p>
      <w:pPr>
        <w:pStyle w:val="Heading2"/>
        <w:rPr/>
      </w:pPr>
      <w:r>
        <w:rPr>
          <w:color w:val="000000"/>
        </w:rPr>
        <w:t>业务结构与盈利来源</w:t>
      </w:r>
    </w:p>
    <w:p>
      <w:pPr>
        <w:pStyle w:val="Normal"/>
        <w:rPr/>
      </w:pPr>
      <w:r>
        <w:rPr/>
        <w:t>上海医药是工商结合的综合集团。工业负责药品、保健品研发制造和销售，分销为制药商、医疗机构和药房提供配送、仓储及增值服务，零售经营专业药房和加盟网络。合并中报列四个报告分部，另有总部及抵销。这样的结构可以通过自有渠道帮助工业产品准入，也可以把医院需求反馈到产品研发；同时可能出现分部间定价、投资决策和资金调度复杂的问题，分析时必须用合并口径检查协同是否真正增加利润。</w:t>
      </w:r>
    </w:p>
    <w:p>
      <w:pPr>
        <w:pStyle w:val="Normal"/>
        <w:rPr/>
      </w:pPr>
      <w:r>
        <w:rPr/>
        <w:t>2026</w:t>
      </w:r>
      <w:r>
        <w:rPr/>
        <w:t>年上半年工业分部收入</w:t>
      </w:r>
      <w:r>
        <w:rPr/>
        <w:t>131.8635</w:t>
      </w:r>
      <w:r>
        <w:rPr/>
        <w:t>亿元，对外交易</w:t>
      </w:r>
      <w:r>
        <w:rPr/>
        <w:t>113.0576</w:t>
      </w:r>
      <w:r>
        <w:rPr/>
        <w:t>亿元；分销收入</w:t>
      </w:r>
      <w:r>
        <w:rPr/>
        <w:t>1344.1111</w:t>
      </w:r>
      <w:r>
        <w:rPr/>
        <w:t>亿元，对外</w:t>
      </w:r>
      <w:r>
        <w:rPr/>
        <w:t>1314.0219</w:t>
      </w:r>
      <w:r>
        <w:rPr/>
        <w:t>亿元；零售收入</w:t>
      </w:r>
      <w:r>
        <w:rPr/>
        <w:t>40.9194</w:t>
      </w:r>
      <w:r>
        <w:rPr/>
        <w:t>亿元；其他收入</w:t>
      </w:r>
      <w:r>
        <w:rPr/>
        <w:t>8.6404</w:t>
      </w:r>
      <w:r>
        <w:rPr/>
        <w:t>亿元。分部间收入抵销</w:t>
      </w:r>
      <w:r>
        <w:rPr/>
        <w:t>50.8371</w:t>
      </w:r>
      <w:r>
        <w:rPr/>
        <w:t>亿元后，合并收入</w:t>
      </w:r>
      <w:r>
        <w:rPr/>
        <w:t>1474.6973</w:t>
      </w:r>
      <w:r>
        <w:rPr/>
        <w:t>亿元。管理层所称商业销售</w:t>
      </w:r>
      <w:r>
        <w:rPr/>
        <w:t>1342.83</w:t>
      </w:r>
      <w:r>
        <w:rPr/>
        <w:t>亿元与分部表分销、零售及抵销范围不同，不应为了表面统一而把两个指标强行相加或替换。公司业务增长和合并增长必须各自保留定义。</w:t>
      </w:r>
    </w:p>
    <w:p>
      <w:pPr>
        <w:pStyle w:val="Normal"/>
        <w:rPr/>
      </w:pPr>
      <w:r>
        <w:rPr/>
        <w:t>工业收入只占合并规模的小部分，却有更高毛利贡献。工业分部成本</w:t>
      </w:r>
      <w:r>
        <w:rPr/>
        <w:t>53.0950</w:t>
      </w:r>
      <w:r>
        <w:rPr/>
        <w:t>亿元，对应分部收入的毛利率约</w:t>
      </w:r>
      <w:r>
        <w:rPr/>
        <w:t>59.74%</w:t>
      </w:r>
      <w:r>
        <w:rPr/>
        <w:t>；分销毛利约</w:t>
      </w:r>
      <w:r>
        <w:rPr/>
        <w:t>76.6870</w:t>
      </w:r>
      <w:r>
        <w:rPr/>
        <w:t>亿元，毛利率约</w:t>
      </w:r>
      <w:r>
        <w:rPr/>
        <w:t>5.71%</w:t>
      </w:r>
      <w:r>
        <w:rPr/>
        <w:t>；零售约</w:t>
      </w:r>
      <w:r>
        <w:rPr/>
        <w:t>9.89%</w:t>
      </w:r>
      <w:r>
        <w:rPr/>
        <w:t>。集团综合毛利率约</w:t>
      </w:r>
      <w:r>
        <w:rPr/>
        <w:t>11.03%</w:t>
      </w:r>
      <w:r>
        <w:rPr/>
        <w:t>。这种差异意味着，分销多卖一百元药与工业多卖一百元自有药，增加的利润明显不同。集团收入增速变快时，应先判断结构变化，再判断利润增长，不能直接把收入增长率当作</w:t>
      </w:r>
      <w:r>
        <w:rPr/>
        <w:t>EPS</w:t>
      </w:r>
      <w:r>
        <w:rPr/>
        <w:t>增长率。</w:t>
      </w:r>
    </w:p>
    <w:p>
      <w:pPr>
        <w:pStyle w:val="Normal"/>
        <w:rPr/>
      </w:pPr>
      <w:r>
        <w:rPr/>
        <w:t>分部表显示工业扣除销售、管理和研发等项目后的分部利润</w:t>
      </w:r>
      <w:r>
        <w:rPr/>
        <w:t>18.2605</w:t>
      </w:r>
      <w:r>
        <w:rPr/>
        <w:t>亿元，分销</w:t>
      </w:r>
      <w:r>
        <w:rPr/>
        <w:t>36.6158</w:t>
      </w:r>
      <w:r>
        <w:rPr/>
        <w:t>亿元，零售</w:t>
      </w:r>
      <w:r>
        <w:rPr/>
        <w:t>0.5507</w:t>
      </w:r>
      <w:r>
        <w:rPr/>
        <w:t>亿元，其他</w:t>
      </w:r>
      <w:r>
        <w:rPr/>
        <w:t>0.3590</w:t>
      </w:r>
      <w:r>
        <w:rPr/>
        <w:t>亿元；抵销后合计</w:t>
      </w:r>
      <w:r>
        <w:rPr/>
        <w:t>55.4770</w:t>
      </w:r>
      <w:r>
        <w:rPr/>
        <w:t>亿元。该数仍需扣财务费、信用损失、资产减值并加投资收益等，才到营业利润。管理层称工业贡献归属利润</w:t>
      </w:r>
      <w:r>
        <w:rPr/>
        <w:t>13.43</w:t>
      </w:r>
      <w:r>
        <w:rPr/>
        <w:t>亿元、商业</w:t>
      </w:r>
      <w:r>
        <w:rPr/>
        <w:t>17.94</w:t>
      </w:r>
      <w:r>
        <w:rPr/>
        <w:t>亿元，又是另一口径。前者不能作为归母净利润直接分摊</w:t>
      </w:r>
      <w:r>
        <w:rPr/>
        <w:t>PE</w:t>
      </w:r>
      <w:r>
        <w:rPr/>
        <w:t>，后者也不能直接与未分配费用重复相减。</w:t>
      </w:r>
    </w:p>
    <w:p>
      <w:pPr>
        <w:pStyle w:val="Normal"/>
        <w:rPr/>
      </w:pPr>
      <w:r>
        <w:rPr/>
        <w:t>全国</w:t>
      </w:r>
      <w:r>
        <w:rPr/>
        <w:t>25</w:t>
      </w:r>
      <w:r>
        <w:rPr/>
        <w:t>个省级行政区域的商业覆盖给上海医药提供规模和服务壁垒。大型医院及跨国药企通常重视稳定交付、质量追踪、冷链、账期管理与复杂合规，替换供应链伙伴的成本较高。这里的护城河不只是一辆车或一个仓库，而是资格、信息系统、客户信用和服务连续性的组合。不过，客户越强势，供应商越可能承担长账期；广覆盖创造稳定订单的同时，也可能扩大垫资需求，所以规模本身不等于议价能力。</w:t>
      </w:r>
    </w:p>
    <w:p>
      <w:pPr>
        <w:pStyle w:val="Normal"/>
        <w:rPr/>
      </w:pPr>
      <w:r>
        <w:rPr/>
        <w:t>进口总代业务上半年销售超过</w:t>
      </w:r>
      <w:r>
        <w:rPr/>
        <w:t>200</w:t>
      </w:r>
      <w:r>
        <w:rPr/>
        <w:t>亿元，增长超过</w:t>
      </w:r>
      <w:r>
        <w:rPr/>
        <w:t>15%</w:t>
      </w:r>
      <w:r>
        <w:rPr/>
        <w:t>，新增</w:t>
      </w:r>
      <w:r>
        <w:rPr/>
        <w:t>16</w:t>
      </w:r>
      <w:r>
        <w:rPr/>
        <w:t>个品规。商业创新药超过</w:t>
      </w:r>
      <w:r>
        <w:rPr/>
        <w:t>330</w:t>
      </w:r>
      <w:r>
        <w:rPr/>
        <w:t>亿元，增长超过</w:t>
      </w:r>
      <w:r>
        <w:rPr/>
        <w:t>29%</w:t>
      </w:r>
      <w:r>
        <w:rPr/>
        <w:t>；器械大健康超过</w:t>
      </w:r>
      <w:r>
        <w:rPr/>
        <w:t>240</w:t>
      </w:r>
      <w:r>
        <w:rPr/>
        <w:t>亿元，增长超过</w:t>
      </w:r>
      <w:r>
        <w:rPr/>
        <w:t>6%</w:t>
      </w:r>
      <w:r>
        <w:rPr/>
        <w:t>。这些子类可能重叠，例如同一个进口创新药既属于总代又属于创新药服务，不能把三项相加作为独立收入。在判断结构升级时，应追踪每项的服务费率、存货责任、退货条款、结算条件和实际现金回收，公开中报尚未提供完整项目级利润桥。</w:t>
      </w:r>
    </w:p>
    <w:p>
      <w:pPr>
        <w:pStyle w:val="Normal"/>
        <w:rPr/>
      </w:pPr>
      <w:r>
        <w:rPr/>
        <w:t>合同销售服务可以让公司在配送之外提供准入、学术推广和商业化支持。如果合同从纯价差转为稳定服务费，利润率及资本效率可能改善；但推广团队成本往往先于销量发生。</w:t>
      </w:r>
      <w:r>
        <w:rPr/>
        <w:t>2026</w:t>
      </w:r>
      <w:r>
        <w:rPr/>
        <w:t>年上半年集团销售费增长</w:t>
      </w:r>
      <w:r>
        <w:rPr/>
        <w:t>6.05%</w:t>
      </w:r>
      <w:r>
        <w:rPr/>
        <w:t>，高于收入增长</w:t>
      </w:r>
      <w:r>
        <w:rPr/>
        <w:t>4.15%</w:t>
      </w:r>
      <w:r>
        <w:rPr/>
        <w:t>，说明业务扩张并非完全免成本。新产品合作数增加是领先指标，只有净服务收益和回款同时增加，才能构成更高估值依据。以签约数直接推未来利润，会忽略同质竞争及合作续期风险。</w:t>
      </w:r>
    </w:p>
    <w:p>
      <w:pPr>
        <w:pStyle w:val="Normal"/>
        <w:rPr/>
      </w:pPr>
      <w:r>
        <w:rPr/>
        <w:t>医院</w:t>
      </w:r>
      <w:r>
        <w:rPr/>
        <w:t>SPD</w:t>
      </w:r>
      <w:r>
        <w:rPr/>
        <w:t>业务有机会从耗材供货延伸到院内物流和流程管理。它的价值在于减少医院管理负担、提高追踪准确性和供应安全，而不是只扩大耗材采购额。合理商业模式需要可持续服务收费，并明确系统建设、现场人员和维护成本由谁承担。若合同只是要求配送商提供更多免费服务，收入即使增加也可能压缩净利。因此“从供应商升级合作伙伴”需要利润和合同条件验证，不能单凭称谓确认商业模式跃迁。</w:t>
      </w:r>
    </w:p>
    <w:p>
      <w:pPr>
        <w:pStyle w:val="Normal"/>
        <w:rPr/>
      </w:pPr>
      <w:r>
        <w:rPr/>
        <w:t>零售上半年收入较上期</w:t>
      </w:r>
      <w:r>
        <w:rPr/>
        <w:t>42.08</w:t>
      </w:r>
      <w:r>
        <w:rPr/>
        <w:t>亿元下降到</w:t>
      </w:r>
      <w:r>
        <w:rPr/>
        <w:t>40.92</w:t>
      </w:r>
      <w:r>
        <w:rPr/>
        <w:t>亿元，而分部利润从</w:t>
      </w:r>
      <w:r>
        <w:rPr/>
        <w:t>0.3575</w:t>
      </w:r>
      <w:r>
        <w:rPr/>
        <w:t>亿元升到</w:t>
      </w:r>
      <w:r>
        <w:rPr/>
        <w:t>0.5507</w:t>
      </w:r>
      <w:r>
        <w:rPr/>
        <w:t>亿元。其绝对利润很小，但至少显示收入与费用结构发生改善。专业药房整合、处方外流及慢病管理能增加顾客粘性，不过互联网平台和医院渠道也在竞争。长期观察应关注同店毛利、客流、处方留存、获客成本及租赁现金支出；只看网点总数可能把关闭低效门店误判成业务衰退，或把扩店成本误判成增长质量。</w:t>
      </w:r>
    </w:p>
    <w:p>
      <w:pPr>
        <w:pStyle w:val="Normal"/>
        <w:rPr/>
      </w:pPr>
      <w:r>
        <w:rPr/>
        <w:t>工业品牌和流通系统之间的协同有真实价值，但应防止把内部流转包装为新增外部销售。工业对外收入</w:t>
      </w:r>
      <w:r>
        <w:rPr/>
        <w:t>113.06</w:t>
      </w:r>
      <w:r>
        <w:rPr/>
        <w:t>亿元低于分部销售</w:t>
      </w:r>
      <w:r>
        <w:rPr/>
        <w:t>131.86</w:t>
      </w:r>
      <w:r>
        <w:rPr/>
        <w:t>亿元，其中一部分通过集团商业渠道销售。合并已经抵销内部交易。股东最终得到的是第三方需求产生的利润和现金，不是工业卖给商业时确认的内部毛利。研究模型以合并归母盈利为分母，并没有将每个分部未经抵销利润乘不同倍数后再相加。</w:t>
      </w:r>
    </w:p>
    <w:p>
      <w:pPr>
        <w:pStyle w:val="Heading2"/>
        <w:rPr/>
      </w:pPr>
      <w:r>
        <w:rPr>
          <w:color w:val="000000"/>
        </w:rPr>
        <w:t>工业产品 临床与创新转型</w:t>
      </w:r>
    </w:p>
    <w:p>
      <w:pPr>
        <w:pStyle w:val="Normal"/>
        <w:rPr/>
      </w:pPr>
      <w:r>
        <w:rPr/>
        <w:t>工业基本盘包括传统化学药、中药品牌、生化制剂和新研发产品。公司披露</w:t>
      </w:r>
      <w:r>
        <w:rPr/>
        <w:t>486</w:t>
      </w:r>
      <w:r>
        <w:rPr/>
        <w:t>个品种入选基本药物目录，本轮新纳入</w:t>
      </w:r>
      <w:r>
        <w:rPr/>
        <w:t>17</w:t>
      </w:r>
      <w:r>
        <w:rPr/>
        <w:t>个。广泛品种可以降低对单药的依赖，并受益于基层医疗可及性；但基本药物同时面对支付与采购约束，覆盖面大并不保证售价或利润增长。产品组合改善需要新准入转成终端销量，而且在厂家份额提升后仍保有合理毛利，不能把目录数量作为利润倍增的简单乘数。</w:t>
      </w:r>
    </w:p>
    <w:p>
      <w:pPr>
        <w:pStyle w:val="Normal"/>
        <w:rPr/>
      </w:pPr>
      <w:r>
        <w:rPr/>
        <w:t>中药品牌可能凭历史认知、医生使用经验、制造质量和循证研究保有渠道地位。麝香保心丸、胃复春及银杏制剂属于不同适应症与证据体系，不能统一称为“现代创新药”。对品牌药的投资判断应看患者长期需求、实际疗效证据、支付资格与替代竞争。公司所列网络药理、分子对接和动物模型可解释潜在机制，却不能替代人体随机试验的硬终点，更不能证明所有相关心脑血管适应症的临床优效。</w:t>
      </w:r>
    </w:p>
    <w:p>
      <w:pPr>
        <w:pStyle w:val="Normal"/>
        <w:rPr/>
      </w:pPr>
      <w:r>
        <w:rPr/>
        <w:t>2026</w:t>
      </w:r>
      <w:r>
        <w:rPr/>
        <w:t>年上半年麝香保心丸所提及的卒中论文整合网络药理、机器学习、分子对接及分子动力学模拟。它可以提出炎症和免疫通路的研究假说，但不是患者随机分组后显示卒中死亡或残疾降低的证据。投资者若把机制论文看作新增适应症成功，会高估市场准入速度和销量。品牌基本盘可以保持价值，新增临床主张则需要与现有获批标签、真实试验设计和终点分别核对。</w:t>
      </w:r>
    </w:p>
    <w:p>
      <w:pPr>
        <w:pStyle w:val="Normal"/>
        <w:rPr/>
      </w:pPr>
      <w:r>
        <w:rPr/>
        <w:t>胃复春胶囊上市后多中心随机、双盲、双模拟平行对照试验已完成总结报告，这是比机制研究更接近临床效果的重要进度。但本次尚未核得完整原始结果及关键效应量，不能填造疗效比例或统计显著性。上市后试验若形成可靠证据，可能支持医生认知和使用信心，实际销量还取决于适用患者、支付和竞争。试验完成本身并不代表所有终点达标，也不必然产生新的监管标签。</w:t>
      </w:r>
    </w:p>
    <w:p>
      <w:pPr>
        <w:pStyle w:val="Normal"/>
        <w:rPr/>
      </w:pPr>
      <w:r>
        <w:rPr/>
        <w:t>养心氏片所列研究是心肌梗死后射血分数降低心衰模型大鼠，银杏酮酯的一项研究涉及血管钙化药理。两者对机制与后续研发有意义，却不能直接证明人类长期生存获益。在成熟药企的估值中，更稳妥的方法是让实际销售、利润率与已核临床证据决定基本价值，预研结果只作为潜在改善线索。用动物改善幅度推人类市场渗透率，再推集团多年</w:t>
      </w:r>
      <w:r>
        <w:rPr/>
        <w:t>EPS</w:t>
      </w:r>
      <w:r>
        <w:rPr/>
        <w:t>，会把多个未验证转换环节隐藏起来。</w:t>
      </w:r>
    </w:p>
    <w:p>
      <w:pPr>
        <w:pStyle w:val="Normal"/>
        <w:rPr/>
      </w:pPr>
      <w:r>
        <w:rPr/>
        <w:t>截至中报期末公司进入申请受理及后续临床阶段的新药管线</w:t>
      </w:r>
      <w:r>
        <w:rPr/>
        <w:t>61</w:t>
      </w:r>
      <w:r>
        <w:rPr/>
        <w:t>项，其中创新药</w:t>
      </w:r>
      <w:r>
        <w:rPr/>
        <w:t>49</w:t>
      </w:r>
      <w:r>
        <w:rPr/>
        <w:t>项。数量说明研发储备，但各项目在权益、适应症、阶段、竞争和商业空间上不同。一个临床早期项目与接近上市申请项目不能使用相同成功率，也不能每项固定赋值后相加。本章采用成熟业务正常化</w:t>
      </w:r>
      <w:r>
        <w:rPr/>
        <w:t>PE</w:t>
      </w:r>
      <w:r>
        <w:rPr/>
        <w:t>，基准对新药只有温和利润贡献；没有完成逐项风险调整净现值，因此明确不声称已经对全部</w:t>
      </w:r>
      <w:r>
        <w:rPr/>
        <w:t>61</w:t>
      </w:r>
      <w:r>
        <w:rPr/>
        <w:t>项做了精确管线估值。</w:t>
      </w:r>
    </w:p>
    <w:p>
      <w:pPr>
        <w:pStyle w:val="Normal"/>
        <w:rPr/>
      </w:pPr>
      <w:r>
        <w:rPr/>
        <w:t>BCD-085</w:t>
      </w:r>
      <w:r>
        <w:rPr/>
        <w:t>为抗</w:t>
      </w:r>
      <w:r>
        <w:rPr/>
        <w:t>IL-17</w:t>
      </w:r>
      <w:r>
        <w:rPr/>
        <w:t>单克隆抗体，强直性脊柱炎上市申请已受理并处于技术审评核心阶段，完成临床试验现场核查；银屑病三期完成锁库和总结报告。监管审评推进比普通概念储备更具体，但截至截止日本章没有核得最终批准原件，仍不能标为已经上市。</w:t>
      </w:r>
      <w:r>
        <w:rPr/>
        <w:t>IL-17</w:t>
      </w:r>
      <w:r>
        <w:rPr/>
        <w:t>领域已有跨国药和国内产品竞争，上市以后要比较症状控制、安全性、注射方式、价格和渠道准入，单纯同靶点不能保证份额。</w:t>
      </w:r>
    </w:p>
    <w:p>
      <w:pPr>
        <w:pStyle w:val="Normal"/>
        <w:rPr/>
      </w:pPr>
      <w:r>
        <w:rPr/>
        <w:t>强直性脊柱炎与银屑病分别具有不同患者路径、竞争产品和评价终点。即使一个适应症获批，也不能自动把另一适应症销售全部纳入。医生选择可能受到安全性、既往治疗及医保支付影响，生物药销售通常需要专科团队和患者教育。如果</w:t>
      </w:r>
      <w:r>
        <w:rPr/>
        <w:t>BCD-085</w:t>
      </w:r>
      <w:r>
        <w:rPr/>
        <w:t>需要显著降价进入目录，销量增加不一定同幅度增加盈利。基准价值需要看到新药收入扣除推广、生产及后续研发以后，为股东提供持续净贡献。</w:t>
      </w:r>
    </w:p>
    <w:p>
      <w:pPr>
        <w:pStyle w:val="Normal"/>
        <w:rPr/>
      </w:pPr>
      <w:r>
        <w:rPr/>
        <w:t>B001</w:t>
      </w:r>
      <w:r>
        <w:rPr/>
        <w:t>静脉与</w:t>
      </w:r>
      <w:r>
        <w:rPr/>
        <w:t>B007</w:t>
      </w:r>
      <w:r>
        <w:rPr/>
        <w:t>皮下抗</w:t>
      </w:r>
      <w:r>
        <w:rPr/>
        <w:t>CD20</w:t>
      </w:r>
      <w:r>
        <w:rPr/>
        <w:t>的差异主要涉及给药路径及使用便利。</w:t>
      </w:r>
      <w:r>
        <w:rPr/>
        <w:t>B007</w:t>
      </w:r>
      <w:r>
        <w:rPr/>
        <w:t>重症肌无力二期完成全部出组和总结报告，意味着数据已进入可评估阶段；但本次没有完整原统计结果，不造缓解率、复发或免疫球蛋白下降数字。皮下注射有可能减少治疗时间和护理负担，仍需证明疗效、免疫原性、感染风险和长期安全性。便利性优势只有在临床效果与可支付性可接受时，才转成真实竞争力。</w:t>
      </w:r>
    </w:p>
    <w:p>
      <w:pPr>
        <w:pStyle w:val="Normal"/>
        <w:rPr/>
      </w:pPr>
      <w:r>
        <w:rPr/>
        <w:t>SRD4610</w:t>
      </w:r>
      <w:r>
        <w:rPr/>
        <w:t>藿苓生肌颗粒的</w:t>
      </w:r>
      <w:r>
        <w:rPr/>
        <w:t>ALS</w:t>
      </w:r>
      <w:r>
        <w:rPr/>
        <w:t>研究原文已独立取证，</w:t>
      </w:r>
      <w:r>
        <w:rPr/>
        <w:t>DOI</w:t>
      </w:r>
      <w:r>
        <w:rPr/>
        <w:t>为</w:t>
      </w:r>
      <w:r>
        <w:rPr/>
        <w:t>10.1016/j.neurot.2026.e00953</w:t>
      </w:r>
      <w:r>
        <w:rPr/>
        <w:t>，首次公开日期</w:t>
      </w:r>
      <w:r>
        <w:rPr/>
        <w:t>2026</w:t>
      </w:r>
      <w:r>
        <w:rPr/>
        <w:t>年</w:t>
      </w:r>
      <w:r>
        <w:rPr/>
        <w:t>7</w:t>
      </w:r>
      <w:r>
        <w:rPr/>
        <w:t>月</w:t>
      </w:r>
      <w:r>
        <w:rPr/>
        <w:t>27</w:t>
      </w:r>
      <w:r>
        <w:rPr/>
        <w:t>日、期刊卷期在</w:t>
      </w:r>
      <w:r>
        <w:rPr/>
        <w:t>9</w:t>
      </w:r>
      <w:r>
        <w:rPr/>
        <w:t>月。中报说明“报告期内发表”与自然半年期间存在日期差，研究保留这一差别；文章在财报公布及截止日以前已公开，因此可以使用，但不能把</w:t>
      </w:r>
      <w:r>
        <w:rPr/>
        <w:t>7</w:t>
      </w:r>
      <w:r>
        <w:rPr/>
        <w:t>月发表视为</w:t>
      </w:r>
      <w:r>
        <w:rPr/>
        <w:t>6</w:t>
      </w:r>
      <w:r>
        <w:rPr/>
        <w:t>月末已经存在的公开证据。时间资格关系到是否在历史回测中使用了事后资料。</w:t>
      </w:r>
    </w:p>
    <w:p>
      <w:pPr>
        <w:pStyle w:val="Normal"/>
        <w:rPr/>
      </w:pPr>
      <w:r>
        <w:rPr/>
        <w:t>该二期为中国</w:t>
      </w:r>
      <w:r>
        <w:rPr/>
        <w:t>11</w:t>
      </w:r>
      <w:r>
        <w:rPr/>
        <w:t>个中心、多中心随机、双盲、双模拟、利鲁唑对照试验，</w:t>
      </w:r>
      <w:r>
        <w:rPr/>
        <w:t>140</w:t>
      </w:r>
      <w:r>
        <w:rPr/>
        <w:t>例患者接受</w:t>
      </w:r>
      <w:r>
        <w:rPr/>
        <w:t>48</w:t>
      </w:r>
      <w:r>
        <w:rPr/>
        <w:t>周治疗。主终点是</w:t>
      </w:r>
      <w:r>
        <w:rPr/>
        <w:t>ALS</w:t>
      </w:r>
      <w:r>
        <w:rPr/>
        <w:t>功能评分修订量表相对基线的变化，预设分析采用协方差及末次观测结转处理缺失。原文明确，预设全分析集没有达到统计优效标准，不能把它概括为“二期已证实优于标准疗法”。投资价值在于出现了值得验证的信号，同时原预设主分析失败构成重大不确定性。</w:t>
      </w:r>
    </w:p>
    <w:p>
      <w:pPr>
        <w:pStyle w:val="Normal"/>
        <w:rPr/>
      </w:pPr>
      <w:r>
        <w:rPr/>
        <w:t>论文的事后重复测量混合模型显示组间最小二乘均值差</w:t>
      </w:r>
      <w:r>
        <w:rPr/>
        <w:t>2.29</w:t>
      </w:r>
      <w:r>
        <w:rPr/>
        <w:t>分，</w:t>
      </w:r>
      <w:r>
        <w:rPr/>
        <w:t>95%</w:t>
      </w:r>
      <w:r>
        <w:rPr/>
        <w:t>置信区间</w:t>
      </w:r>
      <w:r>
        <w:rPr/>
        <w:t>0.52</w:t>
      </w:r>
      <w:r>
        <w:rPr/>
        <w:t>至</w:t>
      </w:r>
      <w:r>
        <w:rPr/>
        <w:t>4.06</w:t>
      </w:r>
      <w:r>
        <w:rPr/>
        <w:t>，</w:t>
      </w:r>
      <w:r>
        <w:rPr/>
        <w:t>P</w:t>
      </w:r>
      <w:r>
        <w:rPr/>
        <w:t>值</w:t>
      </w:r>
      <w:r>
        <w:rPr/>
        <w:t>0.0114</w:t>
      </w:r>
      <w:r>
        <w:rPr/>
        <w:t>。原文把这一部分列为事后疗效分析；它有统计与临床讨论价值，却不等于预设确认性终点成功。缺失数据处理对于进行性神经病可能影响结果，模型之间差异需要后续预先规定的三期设计验证。投资模型不能因为一个更有利方法得到显著结果，就提高到接近确定的批准概率。</w:t>
      </w:r>
    </w:p>
    <w:p>
      <w:pPr>
        <w:pStyle w:val="Normal"/>
        <w:rPr/>
      </w:pPr>
      <w:r>
        <w:rPr/>
        <w:t>年轻患者及至少治疗一定时间的探索亚组也出现有利差异。亚组筛选可能受到多重比较、治疗暴露、退出和患者异质性的影响，应该用于生成三期假说，不能据此宣称所有</w:t>
      </w:r>
      <w:r>
        <w:rPr/>
        <w:t>ALS</w:t>
      </w:r>
      <w:r>
        <w:rPr/>
        <w:t>患者均获益。原文建议后续试验聚焦较年轻及早中期患者，并预设更合适统计模型和标志物评估。这些是设计建议，具体三期入组标准和统计计划仍需注册资料核验，本章没有假定它们已全部照此执行。</w:t>
      </w:r>
    </w:p>
    <w:p>
      <w:pPr>
        <w:pStyle w:val="Normal"/>
        <w:rPr/>
      </w:pPr>
      <w:r>
        <w:rPr/>
        <w:t>论文提到潜在生存延长约</w:t>
      </w:r>
      <w:r>
        <w:rPr/>
        <w:t>2.8</w:t>
      </w:r>
      <w:r>
        <w:rPr/>
        <w:t>至</w:t>
      </w:r>
      <w:r>
        <w:rPr/>
        <w:t>3.5</w:t>
      </w:r>
      <w:r>
        <w:rPr/>
        <w:t>个月，属于以外部关系做间接推算，并非本试验直接证明的生存获益。两组复合终点事件没有显著差异，长期延伸和神经丝轻链等资料也有限。</w:t>
      </w:r>
      <w:r>
        <w:rPr/>
        <w:t>ALS</w:t>
      </w:r>
      <w:r>
        <w:rPr/>
        <w:t>未满足需求很大，创新治疗若成功有价值，但疾病严重性不能替代证据质量。基准利润未依赖</w:t>
      </w:r>
      <w:r>
        <w:rPr/>
        <w:t>SRD4610</w:t>
      </w:r>
      <w:r>
        <w:rPr/>
        <w:t>批准及大销量，乐观情景需要三期预设终点、安全性、审评和支付均逐步验证。</w:t>
      </w:r>
    </w:p>
    <w:p>
      <w:pPr>
        <w:pStyle w:val="Normal"/>
        <w:rPr/>
      </w:pPr>
      <w:r>
        <w:rPr/>
        <w:t>SHPL-49</w:t>
      </w:r>
      <w:r>
        <w:rPr/>
        <w:t>急性缺血性卒中注射液处于三期入组推进，参芪麝蓉丸用于特定轻中度脊髓型颈椎病也完成三期统计并撰写报告。卒中急救产品需要在短时间窗内安全有效，推广依赖医院流程、真实终点和与现有治疗的关系；中药新药的特定证型和病情范围也影响可服务人数。不能把疾病总体人数直接当用药人数，更不能把试验进行或报告写作当作确认性成功。</w:t>
      </w:r>
    </w:p>
    <w:p>
      <w:pPr>
        <w:pStyle w:val="Normal"/>
        <w:rPr/>
      </w:pPr>
      <w:r>
        <w:rPr/>
        <w:t>九月批准的仿制药构成更近的商业化线索。</w:t>
      </w:r>
      <w:r>
        <w:rPr/>
        <w:t>9</w:t>
      </w:r>
      <w:r>
        <w:rPr/>
        <w:t>月</w:t>
      </w:r>
      <w:r>
        <w:rPr/>
        <w:t>1</w:t>
      </w:r>
      <w:r>
        <w:rPr/>
        <w:t>日磷酸芦可替尼片获得批准，覆盖骨髓纤维化及特定移植物抗宿主病，研发投入约</w:t>
      </w:r>
      <w:r>
        <w:rPr/>
        <w:t>2481</w:t>
      </w:r>
      <w:r>
        <w:rPr/>
        <w:t>万元；</w:t>
      </w:r>
      <w:r>
        <w:rPr/>
        <w:t>9</w:t>
      </w:r>
      <w:r>
        <w:rPr/>
        <w:t>月</w:t>
      </w:r>
      <w:r>
        <w:rPr/>
        <w:t>29</w:t>
      </w:r>
      <w:r>
        <w:rPr/>
        <w:t>日艾司奥美拉唑、艾沙康唑和紫杉醇注射液批准原件也已核。批准是法律意义上的生产准入，销售仍受原研与其他仿制竞争、采购价格、批次质量和渠道影响。它们可丰富工业组合，但不是全部享受原创药的独占收益。</w:t>
      </w:r>
    </w:p>
    <w:p>
      <w:pPr>
        <w:pStyle w:val="Normal"/>
        <w:rPr/>
      </w:pPr>
      <w:r>
        <w:rPr/>
        <w:t>公司公告转述</w:t>
      </w:r>
      <w:r>
        <w:rPr/>
        <w:t>IQVIA</w:t>
      </w:r>
      <w:r>
        <w:rPr/>
        <w:t>，</w:t>
      </w:r>
      <w:r>
        <w:rPr/>
        <w:t>2025</w:t>
      </w:r>
      <w:r>
        <w:rPr/>
        <w:t>年大陆医院采购芦可替尼约</w:t>
      </w:r>
      <w:r>
        <w:rPr/>
        <w:t>7.168</w:t>
      </w:r>
      <w:r>
        <w:rPr/>
        <w:t>亿元、艾司奥美拉唑</w:t>
      </w:r>
      <w:r>
        <w:rPr/>
        <w:t>6.3885</w:t>
      </w:r>
      <w:r>
        <w:rPr/>
        <w:t>亿元、艾沙康唑</w:t>
      </w:r>
      <w:r>
        <w:rPr/>
        <w:t>3.1452</w:t>
      </w:r>
      <w:r>
        <w:rPr/>
        <w:t>亿元、紫杉醇</w:t>
      </w:r>
      <w:r>
        <w:rPr/>
        <w:t>3.6127</w:t>
      </w:r>
      <w:r>
        <w:rPr/>
        <w:t>亿元。这是各品种特定医院采购口径，非上海医药可独占销售，更不是全球市场。新进入者可能以更低价格获得部分份额，市场总额也可能随价格变化。公告引用的第三方数据没有独立数据库原件，因此保留为公司引用事实，并未直接用</w:t>
      </w:r>
      <w:r>
        <w:rPr/>
        <w:t>100%</w:t>
      </w:r>
      <w:r>
        <w:rPr/>
        <w:t>份额计算估值。</w:t>
      </w:r>
    </w:p>
    <w:p>
      <w:pPr>
        <w:pStyle w:val="Normal"/>
        <w:rPr/>
      </w:pPr>
      <w:r>
        <w:rPr/>
        <w:t>氯维地平公告镜像路径为</w:t>
      </w:r>
      <w:r>
        <w:rPr/>
        <w:t>10</w:t>
      </w:r>
      <w:r>
        <w:rPr/>
        <w:t>月</w:t>
      </w:r>
      <w:r>
        <w:rPr/>
        <w:t>9</w:t>
      </w:r>
      <w:r>
        <w:rPr/>
        <w:t>日，文件内部却署</w:t>
      </w:r>
      <w:r>
        <w:rPr/>
        <w:t>10</w:t>
      </w:r>
      <w:r>
        <w:rPr/>
        <w:t>月</w:t>
      </w:r>
      <w:r>
        <w:rPr/>
        <w:t>10</w:t>
      </w:r>
      <w:r>
        <w:rPr/>
        <w:t>日。本次没有证据解决首次公开时分，保守不纳入截止日经营假设。这个处理避免把页面路径误当监管公告时间，也避免用截止后批准增强推荐。若未来核实确在</w:t>
      </w:r>
      <w:r>
        <w:rPr/>
        <w:t>10</w:t>
      </w:r>
      <w:r>
        <w:rPr/>
        <w:t>月</w:t>
      </w:r>
      <w:r>
        <w:rPr/>
        <w:t>9</w:t>
      </w:r>
      <w:r>
        <w:rPr/>
        <w:t>日收盘后已披露，可在新数据版本中更新，并明确其相对于收盘的时间；当前结论不需要这一新增药品支持。</w:t>
      </w:r>
    </w:p>
    <w:p>
      <w:pPr>
        <w:pStyle w:val="Heading2"/>
        <w:rPr/>
      </w:pPr>
      <w:r>
        <w:rPr>
          <w:color w:val="000000"/>
        </w:rPr>
        <w:t>行业周期与经济传导</w:t>
      </w:r>
    </w:p>
    <w:p>
      <w:pPr>
        <w:pStyle w:val="Normal"/>
        <w:rPr/>
      </w:pPr>
      <w:r>
        <w:rPr/>
        <w:t>老龄化和慢病治疗支持药品长期需求，上海医药可以通过广覆盖参与这种需求增长。不过，人口需求不是销售额的直接增长率：医保谈判与集采可能使单价下降，治疗结构也会从旧药转向新药。流通商能在新旧替代中维持配送价值，但库存跌价和旧品清理会影响短期现金。长期模型需要有健康需求增长的背景，同时接受价格和服务费率受到公共支付体系约束。</w:t>
      </w:r>
    </w:p>
    <w:p>
      <w:pPr>
        <w:pStyle w:val="Normal"/>
        <w:rPr/>
      </w:pPr>
      <w:r>
        <w:rPr/>
        <w:t>医保支付与医院回款对流通企业尤其重要。如果支付流程更直接、更及时，资金周转改善可以减少银行债务和财务费，甚至在收入增速没有显著上升时提高归母盈利。相反，医院账期延长会让配送商承担桥接资金，营业收入仍能确认而经营现金更弱。应收账款和保理费用是检验政策传导的重要指标，比泛泛判断“医药景气回暖”更能解释上海医药的利润变化。</w:t>
      </w:r>
    </w:p>
    <w:p>
      <w:pPr>
        <w:pStyle w:val="Normal"/>
        <w:rPr/>
      </w:pPr>
      <w:r>
        <w:rPr/>
        <w:t>利率下降对净融资需求较大的上海医药可能提供实际帮助。中报利息费</w:t>
      </w:r>
      <w:r>
        <w:rPr/>
        <w:t>7.0603</w:t>
      </w:r>
      <w:r>
        <w:rPr/>
        <w:t>亿元，低于上年</w:t>
      </w:r>
      <w:r>
        <w:rPr/>
        <w:t>8.8769</w:t>
      </w:r>
      <w:r>
        <w:rPr/>
        <w:t>亿元；利息收入也下降到</w:t>
      </w:r>
      <w:r>
        <w:rPr/>
        <w:t>0.8494</w:t>
      </w:r>
      <w:r>
        <w:rPr/>
        <w:t>亿元，净效果需合看。若未来平均融资成本再下降</w:t>
      </w:r>
      <w:r>
        <w:rPr/>
        <w:t>50</w:t>
      </w:r>
      <w:r>
        <w:rPr/>
        <w:t>个基点，用</w:t>
      </w:r>
      <w:r>
        <w:rPr/>
        <w:t>589.05</w:t>
      </w:r>
      <w:r>
        <w:rPr/>
        <w:t>亿元期末融资债务简单估算，税前全年节约约</w:t>
      </w:r>
      <w:r>
        <w:rPr/>
        <w:t>2.95</w:t>
      </w:r>
      <w:r>
        <w:rPr/>
        <w:t>亿元；这只是静态敏感性，债务平均数、币种、固定利率及再融资时点都会影响兑现，不是已承诺利润。</w:t>
      </w:r>
    </w:p>
    <w:p>
      <w:pPr>
        <w:pStyle w:val="Normal"/>
        <w:rPr/>
      </w:pPr>
      <w:r>
        <w:rPr/>
        <w:t>经济放缓可能使消费健康、眼科自费及非刚需业务承压，同时医院支付和地方资金安排也可能更加紧张。治疗必需性使基础药品需求相对稳定，却不能保证回款没有压力。健康消费新品需要获客、渠道和品牌投入，如果消费者降级，生产端可能先承担推广费用。工业增长、商业规模和回款要分别观察，不能用医药“防御性”把所有分部的周期风险抵销。</w:t>
      </w:r>
    </w:p>
    <w:p>
      <w:pPr>
        <w:pStyle w:val="Normal"/>
        <w:rPr/>
      </w:pPr>
      <w:r>
        <w:rPr/>
        <w:t>跨国药企将创新品种引入中国，给进口总代和全生命周期服务带来机会。上海医药的全国体系、进口流程和专科渠道有助于成为合作伙伴。不过，海外政策、供应稳定性、许可及数据要求可能影响进口计划；伙伴也可能调整中国商业模式。这里主要是供应与合作关系风险，并不等于每一项美国对外投资政策都会直接禁止上海医药的国内药品配送，需按具体法规适用范围判断。</w:t>
      </w:r>
    </w:p>
    <w:p>
      <w:pPr>
        <w:pStyle w:val="Normal"/>
        <w:rPr/>
      </w:pPr>
      <w:r>
        <w:rPr/>
        <w:t>人民币、港币、美元及澳元影响不同环节。集团财务以人民币报告，</w:t>
      </w:r>
      <w:r>
        <w:rPr/>
        <w:t>H</w:t>
      </w:r>
      <w:r>
        <w:rPr/>
        <w:t>股以港元定价，</w:t>
      </w:r>
      <w:r>
        <w:rPr/>
        <w:t>Vitaco</w:t>
      </w:r>
      <w:r>
        <w:rPr/>
        <w:t>处置对价涉及美元而标的经营更多澳新货币。公司采用套期保值也不能消除所有时点和交易对手风险。研究估价用</w:t>
      </w:r>
      <w:r>
        <w:rPr/>
        <w:t>1.10</w:t>
      </w:r>
      <w:r>
        <w:rPr/>
        <w:t>港元兑人民币只是统一模型换汇输入，实际人民币投资者还受到港币兑人民币变化。业务汇兑影响盈利和账户汇率影响投资回报要区分，避免重复计算同一汇率冲击。</w:t>
      </w:r>
    </w:p>
    <w:p>
      <w:pPr>
        <w:pStyle w:val="Normal"/>
        <w:rPr/>
      </w:pPr>
      <w:r>
        <w:rPr/>
        <w:t>行业竞争可压缩配送费率。大型流通企业凭规模更能承受价格和合规要求，小型企业退出可能提高集中度；但大型采购方也可能分享效率收益。行业集中度提高不自动意味着流通企业拥有无限定价权。上药的长期增长应来自更多高质量服务及更少资金占用，而非期待药品渠道全面恢复高价差时代。模型三年基准合理</w:t>
      </w:r>
      <w:r>
        <w:rPr/>
        <w:t>PE10.5</w:t>
      </w:r>
      <w:r>
        <w:rPr/>
        <w:t>倍已包含有限服务升级，未假设垄断收益。</w:t>
      </w:r>
    </w:p>
    <w:p>
      <w:pPr>
        <w:pStyle w:val="Normal"/>
        <w:rPr/>
      </w:pPr>
      <w:r>
        <w:rPr/>
        <w:t>数字化物流可能降低重复库存、失误和人工处理成本，但系统建设与业务整合也需要投入。最有价值的数字化结果是订单准确率、库存周转、现金回收及客户留存改善，最终进入净利率和资本效率。一个平台服务客户多或使用人工智能，并不足以让综合医药集团按纯软件倍数估值。上药的信息系统是运营资产，应以降低成本和提升客户合同质量验证回报。</w:t>
      </w:r>
    </w:p>
    <w:p>
      <w:pPr>
        <w:pStyle w:val="Heading2"/>
        <w:rPr/>
      </w:pPr>
      <w:r>
        <w:rPr>
          <w:color w:val="000000"/>
        </w:rPr>
        <w:t>财务增长 利润质量与现金</w:t>
      </w:r>
    </w:p>
    <w:p>
      <w:pPr>
        <w:pStyle w:val="Normal"/>
        <w:rPr/>
      </w:pPr>
      <w:r>
        <w:rPr/>
        <w:t>2023</w:t>
      </w:r>
      <w:r>
        <w:rPr/>
        <w:t>、</w:t>
      </w:r>
      <w:r>
        <w:rPr/>
        <w:t>2024</w:t>
      </w:r>
      <w:r>
        <w:rPr/>
        <w:t>及</w:t>
      </w:r>
      <w:r>
        <w:rPr/>
        <w:t>2025</w:t>
      </w:r>
      <w:r>
        <w:rPr/>
        <w:t>年收入分别</w:t>
      </w:r>
      <w:r>
        <w:rPr/>
        <w:t>2602.95</w:t>
      </w:r>
      <w:r>
        <w:rPr/>
        <w:t>、</w:t>
      </w:r>
      <w:r>
        <w:rPr/>
        <w:t>2752.51</w:t>
      </w:r>
      <w:r>
        <w:rPr/>
        <w:t>、</w:t>
      </w:r>
      <w:r>
        <w:rPr/>
        <w:t>2835.80</w:t>
      </w:r>
      <w:r>
        <w:rPr/>
        <w:t>亿元，规模缓慢增长。归母利润</w:t>
      </w:r>
      <w:r>
        <w:rPr/>
        <w:t>37.68</w:t>
      </w:r>
      <w:r>
        <w:rPr/>
        <w:t>、</w:t>
      </w:r>
      <w:r>
        <w:rPr/>
        <w:t>45.53</w:t>
      </w:r>
      <w:r>
        <w:rPr/>
        <w:t>、</w:t>
      </w:r>
      <w:r>
        <w:rPr/>
        <w:t>57.25</w:t>
      </w:r>
      <w:r>
        <w:rPr/>
        <w:t>亿元看似持续加速，但同期扣非利润</w:t>
      </w:r>
      <w:r>
        <w:rPr/>
        <w:t>35.96</w:t>
      </w:r>
      <w:r>
        <w:rPr/>
        <w:t>、</w:t>
      </w:r>
      <w:r>
        <w:rPr/>
        <w:t>40.65</w:t>
      </w:r>
      <w:r>
        <w:rPr/>
        <w:t>、</w:t>
      </w:r>
      <w:r>
        <w:rPr/>
        <w:t>29.80</w:t>
      </w:r>
      <w:r>
        <w:rPr/>
        <w:t>亿元，在</w:t>
      </w:r>
      <w:r>
        <w:rPr/>
        <w:t>2025</w:t>
      </w:r>
      <w:r>
        <w:rPr/>
        <w:t>年明显下降。报告利润与持续盈利方向不一致，直接用归母增长</w:t>
      </w:r>
      <w:r>
        <w:rPr/>
        <w:t>25.74%</w:t>
      </w:r>
      <w:r>
        <w:rPr/>
        <w:t>预测未来会产生偏差。上市公司处置和控制权会计可以带来一次收益，股东多年价值应由持续业务和现金决定。</w:t>
      </w:r>
    </w:p>
    <w:p>
      <w:pPr>
        <w:pStyle w:val="Normal"/>
        <w:rPr/>
      </w:pPr>
      <w:r>
        <w:rPr/>
        <w:t>2025</w:t>
      </w:r>
      <w:r>
        <w:rPr/>
        <w:t>年的非经常性损益约</w:t>
      </w:r>
      <w:r>
        <w:rPr/>
        <w:t>27.44</w:t>
      </w:r>
      <w:r>
        <w:rPr/>
        <w:t>亿元，占报告归母接近一半，主要有和黄相关控制权及资产处置因素。公司另有剔除特殊一次性口径，年报公开转述约</w:t>
      </w:r>
      <w:r>
        <w:rPr/>
        <w:t>47.21</w:t>
      </w:r>
      <w:r>
        <w:rPr/>
        <w:t>亿元，与法定扣非</w:t>
      </w:r>
      <w:r>
        <w:rPr/>
        <w:t>29.80</w:t>
      </w:r>
      <w:r>
        <w:rPr/>
        <w:t>亿元不同。本章保留三套数：报告、法定扣非、管理调整。管理调整可以帮助识别经营，但只有完整桥才能判断所有调整是否合理，不能选最高的一个数字称为“真实利润”并忽略其余。</w:t>
      </w:r>
    </w:p>
    <w:p>
      <w:pPr>
        <w:pStyle w:val="Normal"/>
        <w:rPr/>
      </w:pPr>
      <w:r>
        <w:rPr/>
        <w:t>2026</w:t>
      </w:r>
      <w:r>
        <w:rPr/>
        <w:t>上半年归母</w:t>
      </w:r>
      <w:r>
        <w:rPr/>
        <w:t>35.0445</w:t>
      </w:r>
      <w:r>
        <w:rPr/>
        <w:t>亿元同比下降</w:t>
      </w:r>
      <w:r>
        <w:rPr/>
        <w:t>21.40%</w:t>
      </w:r>
      <w:r>
        <w:rPr/>
        <w:t>，法定扣非</w:t>
      </w:r>
      <w:r>
        <w:rPr/>
        <w:t>24.7723</w:t>
      </w:r>
      <w:r>
        <w:rPr/>
        <w:t>亿元增长</w:t>
      </w:r>
      <w:r>
        <w:rPr/>
        <w:t>17.98%</w:t>
      </w:r>
      <w:r>
        <w:rPr/>
        <w:t>，公司特殊调整</w:t>
      </w:r>
      <w:r>
        <w:rPr/>
        <w:t>28.28</w:t>
      </w:r>
      <w:r>
        <w:rPr/>
        <w:t>亿元仅增长</w:t>
      </w:r>
      <w:r>
        <w:rPr/>
        <w:t>1.65%</w:t>
      </w:r>
      <w:r>
        <w:rPr/>
        <w:t>。三个增速传递不同信息：去年一次收益使报告基数较高，扣非低基数得到恢复，而管理口径显示核心扩张仍有限。本章年底正常化</w:t>
      </w:r>
      <w:r>
        <w:rPr/>
        <w:t>EPS1.22</w:t>
      </w:r>
      <w:r>
        <w:rPr/>
        <w:t>对应</w:t>
      </w:r>
      <w:r>
        <w:rPr/>
        <w:t>45.24</w:t>
      </w:r>
      <w:r>
        <w:rPr/>
        <w:t>亿元归母，是谨慎研究估计，低于简单将上半年管理利润翻倍，也未把报告利润简单年化为</w:t>
      </w:r>
      <w:r>
        <w:rPr/>
        <w:t>70</w:t>
      </w:r>
      <w:r>
        <w:rPr/>
        <w:t>亿元。</w:t>
      </w:r>
    </w:p>
    <w:p>
      <w:pPr>
        <w:pStyle w:val="Normal"/>
        <w:rPr/>
      </w:pPr>
      <w:r>
        <w:rPr/>
        <w:t>非经常性表显示非流动资产处置损益</w:t>
      </w:r>
      <w:r>
        <w:rPr/>
        <w:t>10.4180</w:t>
      </w:r>
      <w:r>
        <w:rPr/>
        <w:t>亿元、部分政府补助</w:t>
      </w:r>
      <w:r>
        <w:rPr/>
        <w:t>1.6830</w:t>
      </w:r>
      <w:r>
        <w:rPr/>
        <w:t>亿元、金融资产及负债相关变动负</w:t>
      </w:r>
      <w:r>
        <w:rPr/>
        <w:t>0.8774</w:t>
      </w:r>
      <w:r>
        <w:rPr/>
        <w:t>亿元、单独测试应收转回</w:t>
      </w:r>
      <w:r>
        <w:rPr/>
        <w:t>0.2435</w:t>
      </w:r>
      <w:r>
        <w:rPr/>
        <w:t>亿元，税及少数调整以后合计</w:t>
      </w:r>
      <w:r>
        <w:rPr/>
        <w:t>10.2722</w:t>
      </w:r>
      <w:r>
        <w:rPr/>
        <w:t>亿元。它们的存在解释报告与扣非差异，但现金收付未必同日发生。评估一次性收益还要判断出售后的未来盈利是否减少，以及取得控制后并表的少数权益怎样变化，不能只把收益当额外免费现金。</w:t>
      </w:r>
    </w:p>
    <w:p>
      <w:pPr>
        <w:pStyle w:val="Normal"/>
        <w:rPr/>
      </w:pPr>
      <w:r>
        <w:rPr/>
        <w:t>投资收益上半年</w:t>
      </w:r>
      <w:r>
        <w:rPr/>
        <w:t>8.2728</w:t>
      </w:r>
      <w:r>
        <w:rPr/>
        <w:t>亿元，上年同期</w:t>
      </w:r>
      <w:r>
        <w:rPr/>
        <w:t>32.5733</w:t>
      </w:r>
      <w:r>
        <w:rPr/>
        <w:t>亿元，下降</w:t>
      </w:r>
      <w:r>
        <w:rPr/>
        <w:t>74.60%</w:t>
      </w:r>
      <w:r>
        <w:rPr/>
        <w:t>，是报告利润回落的重要原因。资产处置收益</w:t>
      </w:r>
      <w:r>
        <w:rPr/>
        <w:t>1.7970</w:t>
      </w:r>
      <w:r>
        <w:rPr/>
        <w:t>亿元较上年</w:t>
      </w:r>
      <w:r>
        <w:rPr/>
        <w:t>0.3999</w:t>
      </w:r>
      <w:r>
        <w:rPr/>
        <w:t>亿元增加，也不能重复加到非经常性归母之外。法定利润表与非经常性表是不同层级，前者通常税前并含全集团，后者在税及少数调整后。估值输入用归母</w:t>
      </w:r>
      <w:r>
        <w:rPr/>
        <w:t>EPS</w:t>
      </w:r>
      <w:r>
        <w:rPr/>
        <w:t>可以避免把全集团税前收益和归母税后收益相加造成重复。</w:t>
      </w:r>
    </w:p>
    <w:p>
      <w:pPr>
        <w:pStyle w:val="Normal"/>
        <w:rPr/>
      </w:pPr>
      <w:r>
        <w:rPr/>
        <w:t>集团毛利约</w:t>
      </w:r>
      <w:r>
        <w:rPr/>
        <w:t>162.603</w:t>
      </w:r>
      <w:r>
        <w:rPr/>
        <w:t>亿元，需要承担销售</w:t>
      </w:r>
      <w:r>
        <w:rPr/>
        <w:t>65.3820</w:t>
      </w:r>
      <w:r>
        <w:rPr/>
        <w:t>亿元、管理</w:t>
      </w:r>
      <w:r>
        <w:rPr/>
        <w:t>27.3955</w:t>
      </w:r>
      <w:r>
        <w:rPr/>
        <w:t>亿元、研发</w:t>
      </w:r>
      <w:r>
        <w:rPr/>
        <w:t>9.7086</w:t>
      </w:r>
      <w:r>
        <w:rPr/>
        <w:t>亿元和财务</w:t>
      </w:r>
      <w:r>
        <w:rPr/>
        <w:t>6.9451</w:t>
      </w:r>
      <w:r>
        <w:rPr/>
        <w:t>亿元等。小幅费率变动就能明显影响归母利润。以收入</w:t>
      </w:r>
      <w:r>
        <w:rPr/>
        <w:t>1474.70</w:t>
      </w:r>
      <w:r>
        <w:rPr/>
        <w:t>亿元估算，销售费率变化</w:t>
      </w:r>
      <w:r>
        <w:rPr/>
        <w:t>0.1</w:t>
      </w:r>
      <w:r>
        <w:rPr/>
        <w:t>个百分点对应约</w:t>
      </w:r>
      <w:r>
        <w:rPr/>
        <w:t>1.47</w:t>
      </w:r>
      <w:r>
        <w:rPr/>
        <w:t>亿元税前利润，规模远大于很多小型新品的初期盈利。费用效率应保持质量和合规前提，不能以削减必要推广、质量或研发来短期美化利润。</w:t>
      </w:r>
    </w:p>
    <w:p>
      <w:pPr>
        <w:pStyle w:val="Normal"/>
        <w:rPr/>
      </w:pPr>
      <w:r>
        <w:rPr/>
        <w:t>研发管理投入</w:t>
      </w:r>
      <w:r>
        <w:rPr/>
        <w:t>10.53</w:t>
      </w:r>
      <w:r>
        <w:rPr/>
        <w:t>亿元、利润表研发费</w:t>
      </w:r>
      <w:r>
        <w:rPr/>
        <w:t>9.7086</w:t>
      </w:r>
      <w:r>
        <w:rPr/>
        <w:t>亿元，差额约</w:t>
      </w:r>
      <w:r>
        <w:rPr/>
        <w:t>0.8214</w:t>
      </w:r>
      <w:r>
        <w:rPr/>
        <w:t>亿元。中报管理值四舍五入，且尚未取得完整资本化桥，因此不把差额全部写成本期内部研发资本化。开发资产期末</w:t>
      </w:r>
      <w:r>
        <w:rPr/>
        <w:t>0.9227</w:t>
      </w:r>
      <w:r>
        <w:rPr/>
        <w:t>亿元也只是余额，并非当期新增金额；项目结转、摊销及减值会改变余额。对创新转型应同时看总现金研发、费用化与资本化标准，资本化不代表风险消失，只改变利润确认时间。</w:t>
      </w:r>
    </w:p>
    <w:p>
      <w:pPr>
        <w:pStyle w:val="Normal"/>
        <w:rPr/>
      </w:pPr>
      <w:r>
        <w:rPr/>
        <w:t>上半年经营现金流</w:t>
      </w:r>
      <w:r>
        <w:rPr/>
        <w:t>44.4951</w:t>
      </w:r>
      <w:r>
        <w:rPr/>
        <w:t>亿元同比增长</w:t>
      </w:r>
      <w:r>
        <w:rPr/>
        <w:t>349.78%</w:t>
      </w:r>
      <w:r>
        <w:rPr/>
        <w:t>，超过归母</w:t>
      </w:r>
      <w:r>
        <w:rPr/>
        <w:t>35.0445</w:t>
      </w:r>
      <w:r>
        <w:rPr/>
        <w:t>亿元。购建长期资产现金</w:t>
      </w:r>
      <w:r>
        <w:rPr/>
        <w:t>10.4099</w:t>
      </w:r>
      <w:r>
        <w:rPr/>
        <w:t>亿元，简单经营现金流减购建现金为</w:t>
      </w:r>
      <w:r>
        <w:rPr/>
        <w:t>34.0852</w:t>
      </w:r>
      <w:r>
        <w:rPr/>
        <w:t>亿元。这是本章统一的现金自由流量观察值，未扣少数股东分配、收购和全部资本配置，也不是直接可全部派给</w:t>
      </w:r>
      <w:r>
        <w:rPr/>
        <w:t>H</w:t>
      </w:r>
      <w:r>
        <w:rPr/>
        <w:t>股的现金。分部表资本性支出</w:t>
      </w:r>
      <w:r>
        <w:rPr/>
        <w:t>7.0894</w:t>
      </w:r>
      <w:r>
        <w:rPr/>
        <w:t>亿元与现金购建不同，不能交替使用而让自由流量被人为提高。</w:t>
      </w:r>
    </w:p>
    <w:p>
      <w:pPr>
        <w:pStyle w:val="Normal"/>
        <w:rPr/>
      </w:pPr>
      <w:r>
        <w:rPr/>
        <w:t>现金桥中存货释放约</w:t>
      </w:r>
      <w:r>
        <w:rPr/>
        <w:t>26.3590</w:t>
      </w:r>
      <w:r>
        <w:rPr/>
        <w:t>亿元，应收经营项目使用</w:t>
      </w:r>
      <w:r>
        <w:rPr/>
        <w:t>65.0475</w:t>
      </w:r>
      <w:r>
        <w:rPr/>
        <w:t>亿元，应付经营项目来源</w:t>
      </w:r>
      <w:r>
        <w:rPr/>
        <w:t>25.1768</w:t>
      </w:r>
      <w:r>
        <w:rPr/>
        <w:t>亿元。库存优化给现金明显支持，但应收仍吞噬资金。因而“现金流增加即回款全面改善”的解释不成立。更可靠的改善需要在多个期间看到应收周转、逾期结构与供应商账期保持健康，经营现金不长期依赖继续压库存或延长付款。如果库存已接近合理底部，释放效果不能无穷持续。</w:t>
      </w:r>
    </w:p>
    <w:p>
      <w:pPr>
        <w:pStyle w:val="Normal"/>
        <w:rPr/>
      </w:pPr>
      <w:r>
        <w:rPr/>
        <w:t>期末应收净额</w:t>
      </w:r>
      <w:r>
        <w:rPr/>
        <w:t>907.6788</w:t>
      </w:r>
      <w:r>
        <w:rPr/>
        <w:t>亿元，比年初</w:t>
      </w:r>
      <w:r>
        <w:rPr/>
        <w:t>823.0640</w:t>
      </w:r>
      <w:r>
        <w:rPr/>
        <w:t>亿元增加</w:t>
      </w:r>
      <w:r>
        <w:rPr/>
        <w:t>84.6148</w:t>
      </w:r>
      <w:r>
        <w:rPr/>
        <w:t>亿元；总应收</w:t>
      </w:r>
      <w:r>
        <w:rPr/>
        <w:t>941.2331</w:t>
      </w:r>
      <w:r>
        <w:rPr/>
        <w:t>亿元、准备</w:t>
      </w:r>
      <w:r>
        <w:rPr/>
        <w:t>33.5543</w:t>
      </w:r>
      <w:r>
        <w:rPr/>
        <w:t>亿元。应收增长明显快于半年收入同比增长，需要重视客户账期及业务结构。应收绝大部分在一年内，不等于没有信用风险，因为医院结算与商业信用都可能在一年内延长。余额不能直接推精确回款天数，期末与平均余额、不同收入税口径和季节性要相匹配。</w:t>
      </w:r>
    </w:p>
    <w:p>
      <w:pPr>
        <w:pStyle w:val="Normal"/>
        <w:rPr/>
      </w:pPr>
      <w:r>
        <w:rPr/>
        <w:t>总应收中一年以内</w:t>
      </w:r>
      <w:r>
        <w:rPr/>
        <w:t>887.1332</w:t>
      </w:r>
      <w:r>
        <w:rPr/>
        <w:t>亿元，一至两年</w:t>
      </w:r>
      <w:r>
        <w:rPr/>
        <w:t>33.1293</w:t>
      </w:r>
      <w:r>
        <w:rPr/>
        <w:t>亿元，两年以上</w:t>
      </w:r>
      <w:r>
        <w:rPr/>
        <w:t>20.9706</w:t>
      </w:r>
      <w:r>
        <w:rPr/>
        <w:t>亿元。长账龄部分相对总额小，但其回收与减值估计对薄利分销仍有影响。上半年信用减值损失</w:t>
      </w:r>
      <w:r>
        <w:rPr/>
        <w:t>5.0783</w:t>
      </w:r>
      <w:r>
        <w:rPr/>
        <w:t>亿元，同比增长约</w:t>
      </w:r>
      <w:r>
        <w:rPr/>
        <w:t>19.78%</w:t>
      </w:r>
      <w:r>
        <w:rPr/>
        <w:t>，说明业务规模、客户结构或风险计提发生变化。若未来为了扩大份额接受更差客户条件，收入增长可以掩盖净利率下行；应收质量是本章长期反证指标之一。</w:t>
      </w:r>
    </w:p>
    <w:p>
      <w:pPr>
        <w:pStyle w:val="Normal"/>
        <w:rPr/>
      </w:pPr>
      <w:r>
        <w:rPr/>
        <w:t>上半年无追索权保理终止确认应收约</w:t>
      </w:r>
      <w:r>
        <w:rPr/>
        <w:t>25.7200</w:t>
      </w:r>
      <w:r>
        <w:rPr/>
        <w:t>亿元，对应损失</w:t>
      </w:r>
      <w:r>
        <w:rPr/>
        <w:t>0.6277</w:t>
      </w:r>
      <w:r>
        <w:rPr/>
        <w:t>亿元；上一年同期终止确认</w:t>
      </w:r>
      <w:r>
        <w:rPr/>
        <w:t>72.0923</w:t>
      </w:r>
      <w:r>
        <w:rPr/>
        <w:t>亿元、损失</w:t>
      </w:r>
      <w:r>
        <w:rPr/>
        <w:t>0.7380</w:t>
      </w:r>
      <w:r>
        <w:rPr/>
        <w:t>亿元。两期规模与成本不同，不可把单期损失除余额直接当全年利率，因为期限、产品和风险转移条件不一致。保理可以帮助现金回流，却也有成本和是否真正转移风险的会计条件。研究留意现金改善中有多少来自经营回收，有多少来自金融安排。</w:t>
      </w:r>
    </w:p>
    <w:p>
      <w:pPr>
        <w:pStyle w:val="Normal"/>
        <w:rPr/>
      </w:pPr>
      <w:r>
        <w:rPr/>
        <w:t>存货从</w:t>
      </w:r>
      <w:r>
        <w:rPr/>
        <w:t>453.5895</w:t>
      </w:r>
      <w:r>
        <w:rPr/>
        <w:t>亿元下降到</w:t>
      </w:r>
      <w:r>
        <w:rPr/>
        <w:t>426.8499</w:t>
      </w:r>
      <w:r>
        <w:rPr/>
        <w:t>亿元，为现金提供支持，也显示库存管理在改善。制药与配送库存有不同风险：工业原料、在产品和成品受到需求与质量约束，分销商品受产品价格及效期影响。库存下降可能是效率改善，也可能是补货减弱或旧品清理；必须结合供应可用性、销售结构和减值判断。本章不以单一库存下降就确认所有营运资本问题已经解决。</w:t>
      </w:r>
    </w:p>
    <w:p>
      <w:pPr>
        <w:pStyle w:val="Normal"/>
        <w:rPr/>
      </w:pPr>
      <w:r>
        <w:rPr/>
        <w:t>银行及现金</w:t>
      </w:r>
      <w:r>
        <w:rPr/>
        <w:t>365.7297</w:t>
      </w:r>
      <w:r>
        <w:rPr/>
        <w:t>亿元，现金等价物</w:t>
      </w:r>
      <w:r>
        <w:rPr/>
        <w:t>322.8410</w:t>
      </w:r>
      <w:r>
        <w:rPr/>
        <w:t>亿元。差额</w:t>
      </w:r>
      <w:r>
        <w:rPr/>
        <w:t>42.8886</w:t>
      </w:r>
      <w:r>
        <w:rPr/>
        <w:t>亿元包括承兑保证金</w:t>
      </w:r>
      <w:r>
        <w:rPr/>
        <w:t>18.4521</w:t>
      </w:r>
      <w:r>
        <w:rPr/>
        <w:t>亿元、信用证保证金</w:t>
      </w:r>
      <w:r>
        <w:rPr/>
        <w:t>0.3510</w:t>
      </w:r>
      <w:r>
        <w:rPr/>
        <w:t>亿元、超过三个月定存</w:t>
      </w:r>
      <w:r>
        <w:rPr/>
        <w:t>17.55</w:t>
      </w:r>
      <w:r>
        <w:rPr/>
        <w:t>亿元、其他受限</w:t>
      </w:r>
      <w:r>
        <w:rPr/>
        <w:t>6.5355</w:t>
      </w:r>
      <w:r>
        <w:rPr/>
        <w:t>亿元。它们不全是永久受限，也不应都视为随时可支配现金。模型保守净债使用现金等价物，交易金融资产</w:t>
      </w:r>
      <w:r>
        <w:rPr/>
        <w:t>94.1688</w:t>
      </w:r>
      <w:r>
        <w:rPr/>
        <w:t>亿元另列，不把全部投资余额直接相加作现金，再降低净债风险。</w:t>
      </w:r>
    </w:p>
    <w:p>
      <w:pPr>
        <w:pStyle w:val="Normal"/>
        <w:rPr/>
      </w:pPr>
      <w:r>
        <w:rPr/>
        <w:t>银行债务含流动部分</w:t>
      </w:r>
      <w:r>
        <w:rPr/>
        <w:t>509.2738</w:t>
      </w:r>
      <w:r>
        <w:rPr/>
        <w:t>亿元，商业票据</w:t>
      </w:r>
      <w:r>
        <w:rPr/>
        <w:t>60.2116</w:t>
      </w:r>
      <w:r>
        <w:rPr/>
        <w:t>亿元，租赁</w:t>
      </w:r>
      <w:r>
        <w:rPr/>
        <w:t>19.5671</w:t>
      </w:r>
      <w:r>
        <w:rPr/>
        <w:t>亿元，合计</w:t>
      </w:r>
      <w:r>
        <w:rPr/>
        <w:t>589.0525</w:t>
      </w:r>
      <w:r>
        <w:rPr/>
        <w:t>亿元；减现金等价物后保守净债</w:t>
      </w:r>
      <w:r>
        <w:rPr/>
        <w:t>266.2114</w:t>
      </w:r>
      <w:r>
        <w:rPr/>
        <w:t>亿元。这不是说公司即将发生流动性危机，而是说明它具有实质融资需求，不能被高货币资金误导为净现金企业。期末债务结构短期银行借款占比高，再融资能力、利率和客户回款共同影响估值的下行风险。</w:t>
      </w:r>
    </w:p>
    <w:p>
      <w:pPr>
        <w:pStyle w:val="Normal"/>
        <w:rPr/>
      </w:pPr>
      <w:r>
        <w:rPr/>
        <w:t>集团资产</w:t>
      </w:r>
      <w:r>
        <w:rPr/>
        <w:t>2407.6942</w:t>
      </w:r>
      <w:r>
        <w:rPr/>
        <w:t>亿元，负债</w:t>
      </w:r>
      <w:r>
        <w:rPr/>
        <w:t>1479.8364</w:t>
      </w:r>
      <w:r>
        <w:rPr/>
        <w:t>亿元，归母净资产</w:t>
      </w:r>
      <w:r>
        <w:rPr/>
        <w:t>783.4796</w:t>
      </w:r>
      <w:r>
        <w:rPr/>
        <w:t>亿元、少数净资产</w:t>
      </w:r>
      <w:r>
        <w:rPr/>
        <w:t>144.3782</w:t>
      </w:r>
      <w:r>
        <w:rPr/>
        <w:t>亿元。用全股计算每股净资产</w:t>
      </w:r>
      <w:r>
        <w:rPr/>
        <w:t>21.1274</w:t>
      </w:r>
      <w:r>
        <w:rPr/>
        <w:t>人民币，按</w:t>
      </w:r>
      <w:r>
        <w:rPr/>
        <w:t>1.10</w:t>
      </w:r>
      <w:r>
        <w:rPr/>
        <w:t>研究換汇对应</w:t>
      </w:r>
      <w:r>
        <w:rPr/>
        <w:t>H</w:t>
      </w:r>
      <w:r>
        <w:rPr/>
        <w:t>股市净率约</w:t>
      </w:r>
      <w:r>
        <w:rPr/>
        <w:t>0.475</w:t>
      </w:r>
      <w:r>
        <w:rPr/>
        <w:t>倍。行情供应商另有</w:t>
      </w:r>
      <w:r>
        <w:rPr/>
        <w:t>PB</w:t>
      </w:r>
      <w:r>
        <w:rPr/>
        <w:t>字段</w:t>
      </w:r>
      <w:r>
        <w:rPr/>
        <w:t>1.56</w:t>
      </w:r>
      <w:r>
        <w:rPr/>
        <w:t>，期间及分母未核，本章不采用其最终估值。低于账面价值可能体现回报率偏低、应收信用、商誉和业务结构风险，不能把</w:t>
      </w:r>
      <w:r>
        <w:rPr/>
        <w:t>PB</w:t>
      </w:r>
      <w:r>
        <w:rPr/>
        <w:t>回到</w:t>
      </w:r>
      <w:r>
        <w:rPr/>
        <w:t>1</w:t>
      </w:r>
      <w:r>
        <w:rPr/>
        <w:t>倍当作必然目标。</w:t>
      </w:r>
    </w:p>
    <w:p>
      <w:pPr>
        <w:pStyle w:val="Normal"/>
        <w:rPr/>
      </w:pPr>
      <w:r>
        <w:rPr/>
        <w:t>商誉净额</w:t>
      </w:r>
      <w:r>
        <w:rPr/>
        <w:t>126.5294</w:t>
      </w:r>
      <w:r>
        <w:rPr/>
        <w:t>亿元，其中工业历史组合已有较多减值，分销主要两组商誉约</w:t>
      </w:r>
      <w:r>
        <w:rPr/>
        <w:t>59.3290</w:t>
      </w:r>
      <w:r>
        <w:rPr/>
        <w:t>及</w:t>
      </w:r>
      <w:r>
        <w:rPr/>
        <w:t>30.9419</w:t>
      </w:r>
      <w:r>
        <w:rPr/>
        <w:t>亿元未减。净商誉约占归母权益</w:t>
      </w:r>
      <w:r>
        <w:rPr/>
        <w:t>16%</w:t>
      </w:r>
      <w:r>
        <w:rPr/>
        <w:t>，若未来分销利润和回款低于测试假设，可能产生减值并降低报告利润及净资产。商誉减值一般不当期消耗现金，但往往反映过去收购资本回报低于预期。把它一概剔除为“非现金所以无影响”，会忽略资本配置错误的经济含义。</w:t>
      </w:r>
    </w:p>
    <w:p>
      <w:pPr>
        <w:pStyle w:val="Normal"/>
        <w:rPr/>
      </w:pPr>
      <w:r>
        <w:rPr/>
        <w:t>Zeus</w:t>
      </w:r>
      <w:r>
        <w:rPr/>
        <w:t>商誉原值</w:t>
      </w:r>
      <w:r>
        <w:rPr/>
        <w:t>9.3417</w:t>
      </w:r>
      <w:r>
        <w:rPr/>
        <w:t>亿元、累计减值</w:t>
      </w:r>
      <w:r>
        <w:rPr/>
        <w:t>8.5944</w:t>
      </w:r>
      <w:r>
        <w:rPr/>
        <w:t>亿元，剩余很少，显示这项历史投资经历了明显价值损失。拟出售可以简化资产组合并回收部分资金，但先前减值并不让任何出售都成为成功。应比较整个持有期现金投入、经营回报、收到对价及机会成本，而非只比较本次所得与已减记账面值。本章把处置看作纠正资本配置的机会，未称为已经完成的价值创造。</w:t>
      </w:r>
    </w:p>
    <w:p>
      <w:pPr>
        <w:pStyle w:val="Heading2"/>
        <w:rPr/>
      </w:pPr>
      <w:r>
        <w:rPr>
          <w:color w:val="000000"/>
        </w:rPr>
        <w:t>处置 基金 股息与治理</w:t>
      </w:r>
    </w:p>
    <w:p>
      <w:pPr>
        <w:pStyle w:val="Normal"/>
        <w:rPr/>
      </w:pPr>
      <w:r>
        <w:rPr/>
        <w:t>9</w:t>
      </w:r>
      <w:r>
        <w:rPr/>
        <w:t>月</w:t>
      </w:r>
      <w:r>
        <w:rPr/>
        <w:t>28</w:t>
      </w:r>
      <w:r>
        <w:rPr/>
        <w:t>日董事会审议、</w:t>
      </w:r>
      <w:r>
        <w:rPr/>
        <w:t>9</w:t>
      </w:r>
      <w:r>
        <w:rPr/>
        <w:t>月</w:t>
      </w:r>
      <w:r>
        <w:rPr/>
        <w:t>30</w:t>
      </w:r>
      <w:r>
        <w:rPr/>
        <w:t>日</w:t>
      </w:r>
      <w:r>
        <w:rPr/>
        <w:t>A</w:t>
      </w:r>
      <w:r>
        <w:rPr/>
        <w:t>股披露</w:t>
      </w:r>
      <w:r>
        <w:rPr/>
        <w:t>Zeus</w:t>
      </w:r>
      <w:r>
        <w:rPr/>
        <w:t>及其附属公司股权出售，协议已签但截至截止日未完成交割。交易企业价值约</w:t>
      </w:r>
      <w:r>
        <w:rPr/>
        <w:t>3.9673</w:t>
      </w:r>
      <w:r>
        <w:rPr/>
        <w:t>亿美元，预计股权价值不少于</w:t>
      </w:r>
      <w:r>
        <w:rPr/>
        <w:t>3.499</w:t>
      </w:r>
      <w:r>
        <w:rPr/>
        <w:t>亿美元；公司经济权益</w:t>
      </w:r>
      <w:r>
        <w:rPr/>
        <w:t>56.85%</w:t>
      </w:r>
      <w:r>
        <w:rPr/>
        <w:t>，普通股类别持有比例</w:t>
      </w:r>
      <w:r>
        <w:rPr/>
        <w:t>60%</w:t>
      </w:r>
      <w:r>
        <w:rPr/>
        <w:t>。预计公司所得不少于</w:t>
      </w:r>
      <w:r>
        <w:rPr/>
        <w:t>1.991</w:t>
      </w:r>
      <w:r>
        <w:rPr/>
        <w:t>亿美元或人民币约</w:t>
      </w:r>
      <w:r>
        <w:rPr/>
        <w:t>13.358</w:t>
      </w:r>
      <w:r>
        <w:rPr/>
        <w:t>亿元。企业价值、全部股权价值与公司所得是三层不同概念，不能直接将</w:t>
      </w:r>
      <w:r>
        <w:rPr/>
        <w:t>EV</w:t>
      </w:r>
      <w:r>
        <w:rPr/>
        <w:t>全额加到上药净现金。</w:t>
      </w:r>
    </w:p>
    <w:p>
      <w:pPr>
        <w:pStyle w:val="Normal"/>
        <w:rPr/>
      </w:pPr>
      <w:r>
        <w:rPr/>
        <w:t>对价仍需净债、营运资本及资本开支等最终调整，交易有监管条件、两步连续交割和共管资金安排。约</w:t>
      </w:r>
      <w:r>
        <w:rPr/>
        <w:t>1075.35</w:t>
      </w:r>
      <w:r>
        <w:rPr/>
        <w:t>万美元共管资金分</w:t>
      </w:r>
      <w:r>
        <w:rPr/>
        <w:t>12</w:t>
      </w:r>
      <w:r>
        <w:rPr/>
        <w:t>及</w:t>
      </w:r>
      <w:r>
        <w:rPr/>
        <w:t>18</w:t>
      </w:r>
      <w:r>
        <w:rPr/>
        <w:t>个月释放，税费及最终经济利润还需核验。协议签署意味着权利义务建立，未等同账户已经收到可自由分配资金。即使顺利交割，也应先判断现金怎样用于债务、研发、收购或股息，再计算对股东的回报，不能把所有税前所得立即派给每股。</w:t>
      </w:r>
    </w:p>
    <w:p>
      <w:pPr>
        <w:pStyle w:val="Normal"/>
        <w:rPr/>
      </w:pPr>
      <w:r>
        <w:rPr/>
        <w:t>Vitaco</w:t>
      </w:r>
      <w:r>
        <w:rPr/>
        <w:t>主要澳新营养消费业务，中国扩张未达原先预期，乳清等原料成本上升影响经营，与核心医药协同有限。处置的战略意义在于减少非核心管理复杂度并腾出资本。它也提示“第二增长曲线”需要严谨选择：陌生消费业务不一定依托药品渠道就能成功。未来上药优品、微生态和眼科扩张，应以投资回报及持续利润验证，不能因为旧资产卖出就自动提高所有新消费项目的估值。</w:t>
      </w:r>
    </w:p>
    <w:p>
      <w:pPr>
        <w:pStyle w:val="Normal"/>
        <w:rPr/>
      </w:pPr>
      <w:r>
        <w:rPr/>
        <w:t>预计人民币</w:t>
      </w:r>
      <w:r>
        <w:rPr/>
        <w:t>13.358</w:t>
      </w:r>
      <w:r>
        <w:rPr/>
        <w:t>亿元公司所得，相对于保守净债</w:t>
      </w:r>
      <w:r>
        <w:rPr/>
        <w:t>266.211</w:t>
      </w:r>
      <w:r>
        <w:rPr/>
        <w:t>亿元约为</w:t>
      </w:r>
      <w:r>
        <w:rPr/>
        <w:t>5%</w:t>
      </w:r>
      <w:r>
        <w:rPr/>
        <w:t>，即使全部用于降低净债也不会改变融资型流通集团的基本属性。若按融资成本估算利息节约，它属于未来运行成本变化，不能同时把出售所得加每股净资产、把利息节约加</w:t>
      </w:r>
      <w:r>
        <w:rPr/>
        <w:t>EPS</w:t>
      </w:r>
      <w:r>
        <w:rPr/>
        <w:t>并把处置会计利润乘</w:t>
      </w:r>
      <w:r>
        <w:rPr/>
        <w:t>PE</w:t>
      </w:r>
      <w:r>
        <w:rPr/>
        <w:t>而三重计算。当前基准未机械加未收到的所得，乐观情景只接受交割后资本效率改善的方向。</w:t>
      </w:r>
    </w:p>
    <w:p>
      <w:pPr>
        <w:pStyle w:val="Normal"/>
        <w:rPr/>
      </w:pPr>
      <w:r>
        <w:rPr/>
        <w:t>7</w:t>
      </w:r>
      <w:r>
        <w:rPr/>
        <w:t>月公司批准并签署生物医药二期基金协议，认缴</w:t>
      </w:r>
      <w:r>
        <w:rPr/>
        <w:t>3</w:t>
      </w:r>
      <w:r>
        <w:rPr/>
        <w:t>亿元，占总认缴</w:t>
      </w:r>
      <w:r>
        <w:rPr/>
        <w:t>15</w:t>
      </w:r>
      <w:r>
        <w:rPr/>
        <w:t>亿元的</w:t>
      </w:r>
      <w:r>
        <w:rPr/>
        <w:t>20%</w:t>
      </w:r>
      <w:r>
        <w:rPr/>
        <w:t>，通常按</w:t>
      </w:r>
      <w:r>
        <w:rPr/>
        <w:t>40%</w:t>
      </w:r>
      <w:r>
        <w:rPr/>
        <w:t>、</w:t>
      </w:r>
      <w:r>
        <w:rPr/>
        <w:t>30%</w:t>
      </w:r>
      <w:r>
        <w:rPr/>
        <w:t>、</w:t>
      </w:r>
      <w:r>
        <w:rPr/>
        <w:t>30%</w:t>
      </w:r>
      <w:r>
        <w:rPr/>
        <w:t>分期缴付，以实际缴款通知为准。初始八年期限可以延长，投资主要聚焦</w:t>
      </w:r>
      <w:r>
        <w:rPr/>
        <w:t>IND</w:t>
      </w:r>
      <w:r>
        <w:rPr/>
        <w:t>到二期创新项目。这样的基金可补充项目来源和合作网络，也有早期失败、退出延期及关联治理风险。认缴不是当日现金全额支付，基金净值也不是可随时取回现金，本章保留承诺而不造实缴日期。</w:t>
      </w:r>
    </w:p>
    <w:p>
      <w:pPr>
        <w:pStyle w:val="Normal"/>
        <w:rPr/>
      </w:pPr>
      <w:r>
        <w:rPr/>
        <w:t>基金管理费和执行事务费分别在投资期按</w:t>
      </w:r>
      <w:r>
        <w:rPr/>
        <w:t>1%</w:t>
      </w:r>
      <w:r>
        <w:rPr/>
        <w:t>、退出期</w:t>
      </w:r>
      <w:r>
        <w:rPr/>
        <w:t>0.9%</w:t>
      </w:r>
      <w:r>
        <w:rPr/>
        <w:t>收取，合看投资期约</w:t>
      </w:r>
      <w:r>
        <w:rPr/>
        <w:t>2%</w:t>
      </w:r>
      <w:r>
        <w:rPr/>
        <w:t>、退出期约</w:t>
      </w:r>
      <w:r>
        <w:rPr/>
        <w:t>1.8%</w:t>
      </w:r>
      <w:r>
        <w:rPr/>
        <w:t>的相关成本结构。</w:t>
      </w:r>
      <w:r>
        <w:rPr/>
        <w:t>8%</w:t>
      </w:r>
      <w:r>
        <w:rPr/>
        <w:t>单利门槛是在分配顺序中安排收益，不是保证回报；还存在普通合伙人追补及之后</w:t>
      </w:r>
      <w:r>
        <w:rPr/>
        <w:t>20%</w:t>
      </w:r>
      <w:r>
        <w:rPr/>
        <w:t>超额分配。若投资资产回报有限或退出延期，管理成本会消耗净收益。分析不能只看到政策基金与创新项目就认为风险已经由政府承担。</w:t>
      </w:r>
    </w:p>
    <w:p>
      <w:pPr>
        <w:pStyle w:val="Normal"/>
        <w:rPr/>
      </w:pPr>
      <w:r>
        <w:rPr/>
        <w:t>上市公司只在投委会拥有一个席位，基金涉及控股股东关联方，需要按公告的决策和回避机制监督。董事会及独董认为条款公平，这是公司治理披露事实，不等于外部研究证明所有项目都会合理定价。应关注未来关联投资、估值、管理费和退出现金流。上海医药具有国资背景与渠道资源，但上市公司少数股东仍需要现金回报与公平资本配置，国资身份不是股价或债务的无条件担保。</w:t>
      </w:r>
    </w:p>
    <w:p>
      <w:pPr>
        <w:pStyle w:val="Normal"/>
        <w:rPr/>
      </w:pPr>
      <w:r>
        <w:rPr/>
        <w:t>9</w:t>
      </w:r>
      <w:r>
        <w:rPr/>
        <w:t>月披露高级管理人员年度经营考核与薪酬安排，绩效薪酬至少占年薪</w:t>
      </w:r>
      <w:r>
        <w:rPr/>
        <w:t>50%</w:t>
      </w:r>
      <w:r>
        <w:rPr/>
        <w:t>，有递延及追回机制。这有利于让管理层关注经营结果与长周期，但效果需要看指标是否同时包含现金、资本回报及质量。仅考核收入或报告利润可能鼓励垫资扩张及一次性处置，若指标更看持续盈利和回款则较符合股东利益。本公告没有新增股本，本章不把薪酬调整作为已发生股权稀释。</w:t>
      </w:r>
    </w:p>
    <w:p>
      <w:pPr>
        <w:pStyle w:val="Normal"/>
        <w:rPr/>
      </w:pPr>
      <w:r>
        <w:rPr/>
        <w:t>九月股数月报</w:t>
      </w:r>
      <w:r>
        <w:rPr/>
        <w:t>10</w:t>
      </w:r>
      <w:r>
        <w:rPr/>
        <w:t>月</w:t>
      </w:r>
      <w:r>
        <w:rPr/>
        <w:t>2</w:t>
      </w:r>
      <w:r>
        <w:rPr/>
        <w:t>日披露全股</w:t>
      </w:r>
      <w:r>
        <w:rPr/>
        <w:t>37.08361809</w:t>
      </w:r>
      <w:r>
        <w:rPr/>
        <w:t>亿，其中</w:t>
      </w:r>
      <w:r>
        <w:rPr/>
        <w:t>A27.89289105</w:t>
      </w:r>
      <w:r>
        <w:rPr/>
        <w:t>亿、</w:t>
      </w:r>
      <w:r>
        <w:rPr/>
        <w:t>H9.19072704</w:t>
      </w:r>
      <w:r>
        <w:rPr/>
        <w:t>亿，库存为零。所有估值均将全归母盈利除以全股，</w:t>
      </w:r>
      <w:r>
        <w:rPr/>
        <w:t>H</w:t>
      </w:r>
      <w:r>
        <w:rPr/>
        <w:t>股票只使用本地倍数和港元价格。若只用</w:t>
      </w:r>
      <w:r>
        <w:rPr/>
        <w:t>H</w:t>
      </w:r>
      <w:r>
        <w:rPr/>
        <w:t>股数除全集团利润，会把</w:t>
      </w:r>
      <w:r>
        <w:rPr/>
        <w:t>EPS</w:t>
      </w:r>
      <w:r>
        <w:rPr/>
        <w:t>放大约四倍。旧</w:t>
      </w:r>
      <w:r>
        <w:rPr/>
        <w:t>2019</w:t>
      </w:r>
      <w:r>
        <w:rPr/>
        <w:t>期权已到期注销，不能把原授予数量再次加进未来分母；未来融资或新激励若有公告，要在新版本独立更新。</w:t>
      </w:r>
    </w:p>
    <w:p>
      <w:pPr>
        <w:pStyle w:val="Normal"/>
        <w:rPr/>
      </w:pPr>
      <w:r>
        <w:rPr/>
        <w:t>中期股息每股</w:t>
      </w:r>
      <w:r>
        <w:rPr/>
        <w:t>0.10</w:t>
      </w:r>
      <w:r>
        <w:rPr/>
        <w:t>人民币，更新公告换算</w:t>
      </w:r>
      <w:r>
        <w:rPr/>
        <w:t>0.11663</w:t>
      </w:r>
      <w:r>
        <w:rPr/>
        <w:t>港元，</w:t>
      </w:r>
      <w:r>
        <w:rPr/>
        <w:t>9</w:t>
      </w:r>
      <w:r>
        <w:rPr/>
        <w:t>月</w:t>
      </w:r>
      <w:r>
        <w:rPr/>
        <w:t>16</w:t>
      </w:r>
      <w:r>
        <w:rPr/>
        <w:t>日除净、</w:t>
      </w:r>
      <w:r>
        <w:rPr/>
        <w:t>9</w:t>
      </w:r>
      <w:r>
        <w:rPr/>
        <w:t>月</w:t>
      </w:r>
      <w:r>
        <w:rPr/>
        <w:t>17</w:t>
      </w:r>
      <w:r>
        <w:rPr/>
        <w:t>日记录、</w:t>
      </w:r>
      <w:r>
        <w:rPr/>
        <w:t>10</w:t>
      </w:r>
      <w:r>
        <w:rPr/>
        <w:t>月</w:t>
      </w:r>
      <w:r>
        <w:rPr/>
        <w:t>23</w:t>
      </w:r>
      <w:r>
        <w:rPr/>
        <w:t>日支付。基准日</w:t>
      </w:r>
      <w:r>
        <w:rPr/>
        <w:t>10</w:t>
      </w:r>
      <w:r>
        <w:rPr/>
        <w:t>月</w:t>
      </w:r>
      <w:r>
        <w:rPr/>
        <w:t>9</w:t>
      </w:r>
      <w:r>
        <w:rPr/>
        <w:t>日新买者不拥有该股息资格，尽管支付日在未来。因此年底和半年未来股息为零。这个区别对于回报计算很重要：支付日之后收到款的是除净前持有人，不能按“未来有派息”把已经除净的一笔又加给当前买者。</w:t>
      </w:r>
    </w:p>
    <w:p>
      <w:pPr>
        <w:pStyle w:val="Normal"/>
        <w:rPr/>
      </w:pPr>
      <w:r>
        <w:rPr/>
        <w:t>一年及多年分红属于研究假设，一年基准累计</w:t>
      </w:r>
      <w:r>
        <w:rPr/>
        <w:t>0.48</w:t>
      </w:r>
      <w:r>
        <w:rPr/>
        <w:t>港元、三年</w:t>
      </w:r>
      <w:r>
        <w:rPr/>
        <w:t>1.60</w:t>
      </w:r>
      <w:r>
        <w:rPr/>
        <w:t>港元、五年</w:t>
      </w:r>
      <w:r>
        <w:rPr/>
        <w:t>3</w:t>
      </w:r>
      <w:r>
        <w:rPr/>
        <w:t>港元，并非董事会已宣布金额。它们需要正常化盈利、母公司可分配利润和现金安排支持。少数股东占集团部分权益，合并现金也不全在上市母公司。含息总回报使用未再投资、税前累计金额，未来实际税率、汇兑和派付时点不同，不能把此数字称为投资者必得净回报。</w:t>
      </w:r>
    </w:p>
    <w:p>
      <w:pPr>
        <w:pStyle w:val="Heading2"/>
        <w:rPr/>
      </w:pPr>
      <w:r>
        <w:rPr>
          <w:color w:val="000000"/>
        </w:rPr>
        <w:t>半年日周量价分析</w:t>
      </w:r>
    </w:p>
    <w:p>
      <w:pPr>
        <w:pStyle w:val="Normal"/>
        <w:rPr/>
      </w:pPr>
      <w:r>
        <w:rPr/>
        <w:t>锁版行情覆盖</w:t>
      </w:r>
      <w:r>
        <w:rPr/>
        <w:t>739</w:t>
      </w:r>
      <w:r>
        <w:rPr/>
        <w:t>根日线、</w:t>
      </w:r>
      <w:r>
        <w:rPr/>
        <w:t>157</w:t>
      </w:r>
      <w:r>
        <w:rPr/>
        <w:t>根周线，从</w:t>
      </w:r>
      <w:r>
        <w:rPr/>
        <w:t>2023</w:t>
      </w:r>
      <w:r>
        <w:rPr/>
        <w:t>年</w:t>
      </w:r>
      <w:r>
        <w:rPr/>
        <w:t>10</w:t>
      </w:r>
      <w:r>
        <w:rPr/>
        <w:t>月</w:t>
      </w:r>
      <w:r>
        <w:rPr/>
        <w:t>9</w:t>
      </w:r>
      <w:r>
        <w:rPr/>
        <w:t>日至</w:t>
      </w:r>
      <w:r>
        <w:rPr/>
        <w:t>2026</w:t>
      </w:r>
      <w:r>
        <w:rPr/>
        <w:t>年</w:t>
      </w:r>
      <w:r>
        <w:rPr/>
        <w:t>10</w:t>
      </w:r>
      <w:r>
        <w:rPr/>
        <w:t>月</w:t>
      </w:r>
      <w:r>
        <w:rPr/>
        <w:t>9</w:t>
      </w:r>
      <w:r>
        <w:rPr/>
        <w:t>日；日线用基准名义价格归一的复权</w:t>
      </w:r>
      <w:r>
        <w:rPr/>
        <w:t>OHLC</w:t>
      </w:r>
      <w:r>
        <w:rPr/>
        <w:t>，指标与现价在同一价格尺度。腾讯和新浪最新报价均为</w:t>
      </w:r>
      <w:r>
        <w:rPr/>
        <w:t>11.03</w:t>
      </w:r>
      <w:r>
        <w:rPr/>
        <w:t>港元，成交</w:t>
      </w:r>
      <w:r>
        <w:rPr/>
        <w:t>183.95</w:t>
      </w:r>
      <w:r>
        <w:rPr/>
        <w:t>万股，成交额约</w:t>
      </w:r>
      <w:r>
        <w:rPr/>
        <w:t>2025.24</w:t>
      </w:r>
      <w:r>
        <w:rPr/>
        <w:t>万港元。历史另有</w:t>
      </w:r>
      <w:r>
        <w:rPr/>
        <w:t>Yahoo</w:t>
      </w:r>
      <w:r>
        <w:rPr/>
        <w:t>和腾讯交叉核对，两根明显</w:t>
      </w:r>
      <w:r>
        <w:rPr/>
        <w:t>OHLC</w:t>
      </w:r>
      <w:r>
        <w:rPr/>
        <w:t>逻辑错误按独立完整</w:t>
      </w:r>
      <w:r>
        <w:rPr/>
        <w:t>bar</w:t>
      </w:r>
      <w:r>
        <w:rPr/>
        <w:t>修复，修复记录保留，未按主观涨跌幅随意清洗。</w:t>
      </w:r>
    </w:p>
    <w:p>
      <w:pPr>
        <w:pStyle w:val="Normal"/>
        <w:rPr/>
      </w:pPr>
      <w:r>
        <w:rPr/>
        <w:t>近</w:t>
      </w:r>
      <w:r>
        <w:rPr/>
        <w:t>60</w:t>
      </w:r>
      <w:r>
        <w:rPr/>
        <w:t>日跨源复权均值差约</w:t>
      </w:r>
      <w:r>
        <w:rPr/>
        <w:t>0.767%</w:t>
      </w:r>
      <w:r>
        <w:rPr/>
        <w:t>、最大约</w:t>
      </w:r>
      <w:r>
        <w:rPr/>
        <w:t>1.071%</w:t>
      </w:r>
      <w:r>
        <w:rPr/>
        <w:t>，可能涉及分红复权算法或数据修订。精确历史支撑及均线应理解为当前锁版口径的观察参考，不能伪装成交易所统一提供的无误差价位。特别是</w:t>
      </w:r>
      <w:r>
        <w:rPr/>
        <w:t>9</w:t>
      </w:r>
      <w:r>
        <w:rPr/>
        <w:t>月</w:t>
      </w:r>
      <w:r>
        <w:rPr/>
        <w:t>16</w:t>
      </w:r>
      <w:r>
        <w:rPr/>
        <w:t>日股息行动跨在</w:t>
      </w:r>
      <w:r>
        <w:rPr/>
        <w:t>60</w:t>
      </w:r>
      <w:r>
        <w:rPr/>
        <w:t>日窗口内，复权方法会影响历史对比。本章未重采行情，也不混用名义历史低点与已复权均线计算精确距离。</w:t>
      </w:r>
    </w:p>
    <w:p>
      <w:pPr>
        <w:pStyle w:val="Normal"/>
        <w:rPr/>
      </w:pPr>
      <w:r>
        <w:rPr/>
        <w:t>现价比</w:t>
      </w:r>
      <w:r>
        <w:rPr/>
        <w:t>20</w:t>
      </w:r>
      <w:r>
        <w:rPr/>
        <w:t>日均线</w:t>
      </w:r>
      <w:r>
        <w:rPr/>
        <w:t>10.9029</w:t>
      </w:r>
      <w:r>
        <w:rPr/>
        <w:t>高</w:t>
      </w:r>
      <w:r>
        <w:rPr/>
        <w:t>1.17%</w:t>
      </w:r>
      <w:r>
        <w:rPr/>
        <w:t>，却比</w:t>
      </w:r>
      <w:r>
        <w:rPr/>
        <w:t>60</w:t>
      </w:r>
      <w:r>
        <w:rPr/>
        <w:t>日</w:t>
      </w:r>
      <w:r>
        <w:rPr/>
        <w:t>11.3645</w:t>
      </w:r>
      <w:r>
        <w:rPr/>
        <w:t>低</w:t>
      </w:r>
      <w:r>
        <w:rPr/>
        <w:t>2.94%</w:t>
      </w:r>
      <w:r>
        <w:rPr/>
        <w:t>、</w:t>
      </w:r>
      <w:r>
        <w:rPr/>
        <w:t>120</w:t>
      </w:r>
      <w:r>
        <w:rPr/>
        <w:t>日</w:t>
      </w:r>
      <w:r>
        <w:rPr/>
        <w:t>11.3254</w:t>
      </w:r>
      <w:r>
        <w:rPr/>
        <w:t>低</w:t>
      </w:r>
      <w:r>
        <w:rPr/>
        <w:t>2.61%</w:t>
      </w:r>
      <w:r>
        <w:rPr/>
        <w:t>、</w:t>
      </w:r>
      <w:r>
        <w:rPr/>
        <w:t>250</w:t>
      </w:r>
      <w:r>
        <w:rPr/>
        <w:t>日</w:t>
      </w:r>
      <w:r>
        <w:rPr/>
        <w:t>11.2872</w:t>
      </w:r>
      <w:r>
        <w:rPr/>
        <w:t>低</w:t>
      </w:r>
      <w:r>
        <w:rPr/>
        <w:t>2.28%</w:t>
      </w:r>
      <w:r>
        <w:rPr/>
        <w:t>。四条线过去五个交易日斜率分别负</w:t>
      </w:r>
      <w:r>
        <w:rPr/>
        <w:t>0.99%</w:t>
      </w:r>
      <w:r>
        <w:rPr/>
        <w:t>、负</w:t>
      </w:r>
      <w:r>
        <w:rPr/>
        <w:t>0.47%</w:t>
      </w:r>
      <w:r>
        <w:rPr/>
        <w:t>、负</w:t>
      </w:r>
      <w:r>
        <w:rPr/>
        <w:t>0.12%</w:t>
      </w:r>
      <w:r>
        <w:rPr/>
        <w:t>、负</w:t>
      </w:r>
      <w:r>
        <w:rPr/>
        <w:t>0.10%</w:t>
      </w:r>
      <w:r>
        <w:rPr/>
        <w:t>。这说明短反弹把价格带回短线均线上方，中长期均线仍在上方密集且略向下。不能仅因当天涨</w:t>
      </w:r>
      <w:r>
        <w:rPr/>
        <w:t>1.19%</w:t>
      </w:r>
      <w:r>
        <w:rPr/>
        <w:t>就称长期趋势反转，也不适合给技术维度满分。</w:t>
      </w:r>
    </w:p>
    <w:p>
      <w:pPr>
        <w:pStyle w:val="Normal"/>
        <w:rPr/>
      </w:pPr>
      <w:r>
        <w:rPr/>
        <w:t>20</w:t>
      </w:r>
      <w:r>
        <w:rPr/>
        <w:t>日股价回报约负</w:t>
      </w:r>
      <w:r>
        <w:rPr/>
        <w:t>0.02%</w:t>
      </w:r>
      <w:r>
        <w:rPr/>
        <w:t>，同期恒指负</w:t>
      </w:r>
      <w:r>
        <w:rPr/>
        <w:t>2.98%</w:t>
      </w:r>
      <w:r>
        <w:rPr/>
        <w:t>，超额约</w:t>
      </w:r>
      <w:r>
        <w:rPr/>
        <w:t>2.96</w:t>
      </w:r>
      <w:r>
        <w:rPr/>
        <w:t>个百分点；</w:t>
      </w:r>
      <w:r>
        <w:rPr/>
        <w:t>60</w:t>
      </w:r>
      <w:r>
        <w:rPr/>
        <w:t>日股价负</w:t>
      </w:r>
      <w:r>
        <w:rPr/>
        <w:t>8.70%</w:t>
      </w:r>
      <w:r>
        <w:rPr/>
        <w:t>，恒指负</w:t>
      </w:r>
      <w:r>
        <w:rPr/>
        <w:t>3.19%</w:t>
      </w:r>
      <w:r>
        <w:rPr/>
        <w:t>，落后约</w:t>
      </w:r>
      <w:r>
        <w:rPr/>
        <w:t>5.51</w:t>
      </w:r>
      <w:r>
        <w:rPr/>
        <w:t>个百分点。它在最近一个月相对稳住，但此前三个月相对弱。行业独立指数数据缺失，不能以超恒指就宣称领先所有医药流通股。技术评分采用市场相对表现并明确行业空缺，不用其他公司的基准数据冒名填补。</w:t>
      </w:r>
    </w:p>
    <w:p>
      <w:pPr>
        <w:pStyle w:val="Normal"/>
        <w:rPr/>
      </w:pPr>
      <w:r>
        <w:rPr/>
        <w:t>近</w:t>
      </w:r>
      <w:r>
        <w:rPr/>
        <w:t>20</w:t>
      </w:r>
      <w:r>
        <w:rPr/>
        <w:t>日观察区间</w:t>
      </w:r>
      <w:r>
        <w:rPr/>
        <w:t>10.70</w:t>
      </w:r>
      <w:r>
        <w:rPr/>
        <w:t>至</w:t>
      </w:r>
      <w:r>
        <w:rPr/>
        <w:t>11.13</w:t>
      </w:r>
      <w:r>
        <w:rPr/>
        <w:t>港元，当前到下沿约负</w:t>
      </w:r>
      <w:r>
        <w:rPr/>
        <w:t>2.99%</w:t>
      </w:r>
      <w:r>
        <w:rPr/>
        <w:t>、到上沿约正</w:t>
      </w:r>
      <w:r>
        <w:rPr/>
        <w:t>0.91%</w:t>
      </w:r>
      <w:r>
        <w:rPr/>
        <w:t>；</w:t>
      </w:r>
      <w:r>
        <w:rPr/>
        <w:t>60</w:t>
      </w:r>
      <w:r>
        <w:rPr/>
        <w:t>日上沿</w:t>
      </w:r>
      <w:r>
        <w:rPr/>
        <w:t>12.1697</w:t>
      </w:r>
      <w:r>
        <w:rPr/>
        <w:t>，距离约正</w:t>
      </w:r>
      <w:r>
        <w:rPr/>
        <w:t>10.33%</w:t>
      </w:r>
      <w:r>
        <w:rPr/>
        <w:t>。这些来自窗口极值，没有按多次触碰筛选，适合作为观察位而非保证支撑阻力。</w:t>
      </w:r>
      <w:r>
        <w:rPr/>
        <w:t>11.13</w:t>
      </w:r>
      <w:r>
        <w:rPr/>
        <w:t>附近在很近的位置，即使突破也还会遇到</w:t>
      </w:r>
      <w:r>
        <w:rPr/>
        <w:t>11.29</w:t>
      </w:r>
      <w:r>
        <w:rPr/>
        <w:t>至</w:t>
      </w:r>
      <w:r>
        <w:rPr/>
        <w:t>11.36</w:t>
      </w:r>
      <w:r>
        <w:rPr/>
        <w:t>均线区；只有越过短区间并在均线带维持，趋势改善证据才更完整。</w:t>
      </w:r>
    </w:p>
    <w:p>
      <w:pPr>
        <w:pStyle w:val="Normal"/>
        <w:rPr/>
      </w:pPr>
      <w:r>
        <w:rPr/>
        <w:t>52</w:t>
      </w:r>
      <w:r>
        <w:rPr/>
        <w:t>周复权高</w:t>
      </w:r>
      <w:r>
        <w:rPr/>
        <w:t>12.1697</w:t>
      </w:r>
      <w:r>
        <w:rPr/>
        <w:t>、低</w:t>
      </w:r>
      <w:r>
        <w:rPr/>
        <w:t>10.4744</w:t>
      </w:r>
      <w:r>
        <w:rPr/>
        <w:t>，现价离高点负</w:t>
      </w:r>
      <w:r>
        <w:rPr/>
        <w:t>9.37%</w:t>
      </w:r>
      <w:r>
        <w:rPr/>
        <w:t>、离低点正</w:t>
      </w:r>
      <w:r>
        <w:rPr/>
        <w:t>5.30%</w:t>
      </w:r>
      <w:r>
        <w:rPr/>
        <w:t>，最大日线回撤约</w:t>
      </w:r>
      <w:r>
        <w:rPr/>
        <w:t>10.93%</w:t>
      </w:r>
      <w:r>
        <w:rPr/>
        <w:t>。过去一年区间相对一些创新药股较窄，却不代表未来最大损失仅</w:t>
      </w:r>
      <w:r>
        <w:rPr/>
        <w:t>10.93%</w:t>
      </w:r>
      <w:r>
        <w:rPr/>
        <w:t>。若融资环境或经营预期明显变化，股价可以跌破历史区间，基本面悲观价</w:t>
      </w:r>
      <w:r>
        <w:rPr/>
        <w:t>6.79</w:t>
      </w:r>
      <w:r>
        <w:rPr/>
        <w:t>更是与技术低点完全不同的情景。历史波动用于理解已发生状态，不是风险边界。</w:t>
      </w:r>
    </w:p>
    <w:p>
      <w:pPr>
        <w:pStyle w:val="Normal"/>
        <w:rPr/>
      </w:pPr>
      <w:r>
        <w:rPr/>
        <w:t>当日量</w:t>
      </w:r>
      <w:r>
        <w:rPr/>
        <w:t>183.95</w:t>
      </w:r>
      <w:r>
        <w:rPr/>
        <w:t>万股，量比以前</w:t>
      </w:r>
      <w:r>
        <w:rPr/>
        <w:t>20</w:t>
      </w:r>
      <w:r>
        <w:rPr/>
        <w:t>日平均</w:t>
      </w:r>
      <w:r>
        <w:rPr/>
        <w:t>176.37</w:t>
      </w:r>
      <w:r>
        <w:rPr/>
        <w:t>万股为分母约</w:t>
      </w:r>
      <w:r>
        <w:rPr/>
        <w:t>1.043</w:t>
      </w:r>
      <w:r>
        <w:rPr/>
        <w:t>倍；</w:t>
      </w:r>
      <w:r>
        <w:rPr/>
        <w:t>5</w:t>
      </w:r>
      <w:r>
        <w:rPr/>
        <w:t>、</w:t>
      </w:r>
      <w:r>
        <w:rPr/>
        <w:t>20</w:t>
      </w:r>
      <w:r>
        <w:rPr/>
        <w:t>、</w:t>
      </w:r>
      <w:r>
        <w:rPr/>
        <w:t>60</w:t>
      </w:r>
      <w:r>
        <w:rPr/>
        <w:t>日均量约</w:t>
      </w:r>
      <w:r>
        <w:rPr/>
        <w:t>93.49</w:t>
      </w:r>
      <w:r>
        <w:rPr/>
        <w:t>、</w:t>
      </w:r>
      <w:r>
        <w:rPr/>
        <w:t>167.92</w:t>
      </w:r>
      <w:r>
        <w:rPr/>
        <w:t>、</w:t>
      </w:r>
      <w:r>
        <w:rPr/>
        <w:t>157.16</w:t>
      </w:r>
      <w:r>
        <w:rPr/>
        <w:t>万股。当天量比略高于正常，但不是明显放量突破。</w:t>
      </w:r>
      <w:r>
        <w:rPr/>
        <w:t>5</w:t>
      </w:r>
      <w:r>
        <w:rPr/>
        <w:t>日平均较低也要考虑期间休市和交易结构，不能直接把低均量描述为大资金惜售。价格上行、突破关键位及持续足够成交共同成立，才更适合提高技术信心。</w:t>
      </w:r>
    </w:p>
    <w:p>
      <w:pPr>
        <w:pStyle w:val="Normal"/>
        <w:rPr/>
      </w:pPr>
      <w:r>
        <w:rPr/>
        <w:t>近</w:t>
      </w:r>
      <w:r>
        <w:rPr/>
        <w:t>20</w:t>
      </w:r>
      <w:r>
        <w:rPr/>
        <w:t>个交易日上涨</w:t>
      </w:r>
      <w:r>
        <w:rPr/>
        <w:t>8</w:t>
      </w:r>
      <w:r>
        <w:rPr/>
        <w:t>日、下跌</w:t>
      </w:r>
      <w:r>
        <w:rPr/>
        <w:t>12</w:t>
      </w:r>
      <w:r>
        <w:rPr/>
        <w:t>日，上涨日累计量</w:t>
      </w:r>
      <w:r>
        <w:rPr/>
        <w:t>1330.51</w:t>
      </w:r>
      <w:r>
        <w:rPr/>
        <w:t>万股、下跌</w:t>
      </w:r>
      <w:r>
        <w:rPr/>
        <w:t>2027.80</w:t>
      </w:r>
      <w:r>
        <w:rPr/>
        <w:t>万股，比值</w:t>
      </w:r>
      <w:r>
        <w:rPr/>
        <w:t>0.656</w:t>
      </w:r>
      <w:r>
        <w:rPr/>
        <w:t>。下跌日数量和总量都较多，反弹尚缺强势需求证据。不过这类汇总不能证明卖方身份或持仓意图，也不支持“主力吸筹”断言。周线同类比值不同，说明窗口和颗粒度会改变观察；本章只描述可验证量价关系，没有逐笔资金流就不编精确成交成本分布。</w:t>
      </w:r>
    </w:p>
    <w:p>
      <w:pPr>
        <w:pStyle w:val="Normal"/>
        <w:rPr/>
      </w:pPr>
      <w:r>
        <w:rPr/>
        <w:t>RSI14</w:t>
      </w:r>
      <w:r>
        <w:rPr/>
        <w:t>约</w:t>
      </w:r>
      <w:r>
        <w:rPr/>
        <w:t>50.21</w:t>
      </w:r>
      <w:r>
        <w:rPr/>
        <w:t>处于中性；</w:t>
      </w:r>
      <w:r>
        <w:rPr/>
        <w:t>MACD</w:t>
      </w:r>
      <w:r>
        <w:rPr/>
        <w:t>差值负</w:t>
      </w:r>
      <w:r>
        <w:rPr/>
        <w:t>0.0910</w:t>
      </w:r>
      <w:r>
        <w:rPr/>
        <w:t>、信号负</w:t>
      </w:r>
      <w:r>
        <w:rPr/>
        <w:t>0.1211</w:t>
      </w:r>
      <w:r>
        <w:rPr/>
        <w:t>，双倍柱正</w:t>
      </w:r>
      <w:r>
        <w:rPr/>
        <w:t>0.0602</w:t>
      </w:r>
      <w:r>
        <w:rPr/>
        <w:t>，显示下跌动能缓和但两线仍在零轴下。</w:t>
      </w:r>
      <w:r>
        <w:rPr/>
        <w:t>RSI</w:t>
      </w:r>
      <w:r>
        <w:rPr/>
        <w:t>与</w:t>
      </w:r>
      <w:r>
        <w:rPr/>
        <w:t>MACD</w:t>
      </w:r>
      <w:r>
        <w:rPr/>
        <w:t>同时反映价格变化，不能重复计两份趋势加分。日</w:t>
      </w:r>
      <w:r>
        <w:rPr/>
        <w:t>ATR</w:t>
      </w:r>
      <w:r>
        <w:rPr/>
        <w:t>约</w:t>
      </w:r>
      <w:r>
        <w:rPr/>
        <w:t>0.2055</w:t>
      </w:r>
      <w:r>
        <w:rPr/>
        <w:t>港元、占现价</w:t>
      </w:r>
      <w:r>
        <w:rPr/>
        <w:t>1.86%</w:t>
      </w:r>
      <w:r>
        <w:rPr/>
        <w:t>，是近期波动尺度，可以用来判断一两毛突破的噪声程度，不是可保证止损价差，事件和跳空可以超过</w:t>
      </w:r>
      <w:r>
        <w:rPr/>
        <w:t>ATR</w:t>
      </w:r>
      <w:r>
        <w:rPr/>
        <w:t>。</w:t>
      </w:r>
    </w:p>
    <w:p>
      <w:pPr>
        <w:pStyle w:val="Normal"/>
        <w:rPr/>
      </w:pPr>
      <w:r>
        <w:rPr/>
        <w:t>周线</w:t>
      </w:r>
      <w:r>
        <w:rPr/>
        <w:t>20</w:t>
      </w:r>
      <w:r>
        <w:rPr/>
        <w:t>、</w:t>
      </w:r>
      <w:r>
        <w:rPr/>
        <w:t>60</w:t>
      </w:r>
      <w:r>
        <w:rPr/>
        <w:t>、</w:t>
      </w:r>
      <w:r>
        <w:rPr/>
        <w:t>120</w:t>
      </w:r>
      <w:r>
        <w:rPr/>
        <w:t>周均线约</w:t>
      </w:r>
      <w:r>
        <w:rPr/>
        <w:t>11.2920</w:t>
      </w:r>
      <w:r>
        <w:rPr/>
        <w:t>、</w:t>
      </w:r>
      <w:r>
        <w:rPr/>
        <w:t>11.3061</w:t>
      </w:r>
      <w:r>
        <w:rPr/>
        <w:t>、</w:t>
      </w:r>
      <w:r>
        <w:rPr/>
        <w:t>11.1461</w:t>
      </w:r>
      <w:r>
        <w:rPr/>
        <w:t>，现价仍都在下方；</w:t>
      </w:r>
      <w:r>
        <w:rPr/>
        <w:t>20</w:t>
      </w:r>
      <w:r>
        <w:rPr/>
        <w:t>和</w:t>
      </w:r>
      <w:r>
        <w:rPr/>
        <w:t>60</w:t>
      </w:r>
      <w:r>
        <w:rPr/>
        <w:t>周过去五周斜率负</w:t>
      </w:r>
      <w:r>
        <w:rPr/>
        <w:t>1.01%</w:t>
      </w:r>
      <w:r>
        <w:rPr/>
        <w:t>、负</w:t>
      </w:r>
      <w:r>
        <w:rPr/>
        <w:t>0.74%</w:t>
      </w:r>
      <w:r>
        <w:rPr/>
        <w:t>，</w:t>
      </w:r>
      <w:r>
        <w:rPr/>
        <w:t>120</w:t>
      </w:r>
      <w:r>
        <w:rPr/>
        <w:t>周正</w:t>
      </w:r>
      <w:r>
        <w:rPr/>
        <w:t>0.17%</w:t>
      </w:r>
      <w:r>
        <w:rPr/>
        <w:t>。</w:t>
      </w:r>
      <w:r>
        <w:rPr/>
        <w:t>250</w:t>
      </w:r>
      <w:r>
        <w:rPr/>
        <w:t>周历史不足，不补造。周</w:t>
      </w:r>
      <w:r>
        <w:rPr/>
        <w:t>RSI45.47</w:t>
      </w:r>
      <w:r>
        <w:rPr/>
        <w:t>、</w:t>
      </w:r>
      <w:r>
        <w:rPr/>
        <w:t>MACD</w:t>
      </w:r>
      <w:r>
        <w:rPr/>
        <w:t>双倍柱负</w:t>
      </w:r>
      <w:r>
        <w:rPr/>
        <w:t>0.1575</w:t>
      </w:r>
      <w:r>
        <w:rPr/>
        <w:t>，说明周级趋势比日级反弹更弱。周</w:t>
      </w:r>
      <w:r>
        <w:rPr/>
        <w:t>ATR0.4104</w:t>
      </w:r>
      <w:r>
        <w:rPr/>
        <w:t>港元约</w:t>
      </w:r>
      <w:r>
        <w:rPr/>
        <w:t>3.72%</w:t>
      </w:r>
      <w:r>
        <w:rPr/>
        <w:t>，长期判断至少需要几个周线收盘验证，而非用单日涨幅替代。</w:t>
      </w:r>
    </w:p>
    <w:p>
      <w:pPr>
        <w:pStyle w:val="Normal"/>
        <w:rPr/>
      </w:pPr>
      <w:r>
        <w:rPr/>
        <w:t>近</w:t>
      </w:r>
      <w:r>
        <w:rPr/>
        <w:t>20</w:t>
      </w:r>
      <w:r>
        <w:rPr/>
        <w:t>周上涨</w:t>
      </w:r>
      <w:r>
        <w:rPr/>
        <w:t>11</w:t>
      </w:r>
      <w:r>
        <w:rPr/>
        <w:t>周、下跌</w:t>
      </w:r>
      <w:r>
        <w:rPr/>
        <w:t>9</w:t>
      </w:r>
      <w:r>
        <w:rPr/>
        <w:t>周，上涨量</w:t>
      </w:r>
      <w:r>
        <w:rPr/>
        <w:t>1.144</w:t>
      </w:r>
      <w:r>
        <w:rPr/>
        <w:t>亿股、下跌</w:t>
      </w:r>
      <w:r>
        <w:rPr/>
        <w:t>0.861</w:t>
      </w:r>
      <w:r>
        <w:rPr/>
        <w:t>亿股，比约</w:t>
      </w:r>
      <w:r>
        <w:rPr/>
        <w:t>1.329</w:t>
      </w:r>
      <w:r>
        <w:rPr/>
        <w:t>，与日线近</w:t>
      </w:r>
      <w:r>
        <w:rPr/>
        <w:t>20</w:t>
      </w:r>
      <w:r>
        <w:rPr/>
        <w:t>日偏弱不同。这说明较长窗口曾有上涨成交，不能只取一个有利窗口得出稳定资金流入结论。最近周量比约</w:t>
      </w:r>
      <w:r>
        <w:rPr/>
        <w:t>0.435</w:t>
      </w:r>
      <w:r>
        <w:rPr/>
        <w:t>，更没有显示即时爆量。日周信号综合结果是短期反弹、均线密集区待确认，技术维度给</w:t>
      </w:r>
      <w:r>
        <w:rPr/>
        <w:t>2.2</w:t>
      </w:r>
      <w:r>
        <w:rPr/>
        <w:t>分，保持与事实相符而非为了进取排名抬高。</w:t>
      </w:r>
    </w:p>
    <w:p>
      <w:pPr>
        <w:pStyle w:val="Normal"/>
        <w:rPr/>
      </w:pPr>
      <w:r>
        <w:rPr/>
        <w:t>半年观察上，可把</w:t>
      </w:r>
      <w:r>
        <w:rPr/>
        <w:t>10.70</w:t>
      </w:r>
      <w:r>
        <w:rPr/>
        <w:t>至</w:t>
      </w:r>
      <w:r>
        <w:rPr/>
        <w:t>11.13</w:t>
      </w:r>
      <w:r>
        <w:rPr/>
        <w:t>视为短震荡区，</w:t>
      </w:r>
      <w:r>
        <w:rPr/>
        <w:t>11.29</w:t>
      </w:r>
      <w:r>
        <w:rPr/>
        <w:t>至</w:t>
      </w:r>
      <w:r>
        <w:rPr/>
        <w:t>11.36</w:t>
      </w:r>
      <w:r>
        <w:rPr/>
        <w:t>视为上方均线确认区，</w:t>
      </w:r>
      <w:r>
        <w:rPr/>
        <w:t>12.17</w:t>
      </w:r>
      <w:r>
        <w:rPr/>
        <w:t>视为更远的前期高点。若连续收盘越过</w:t>
      </w:r>
      <w:r>
        <w:rPr/>
        <w:t>11.36</w:t>
      </w:r>
      <w:r>
        <w:rPr/>
        <w:t>并有高于近期均量的成交，回踩仍守住，技术证据会改善；若跌破</w:t>
      </w:r>
      <w:r>
        <w:rPr/>
        <w:t>10.70</w:t>
      </w:r>
      <w:r>
        <w:rPr/>
        <w:t>并放量、</w:t>
      </w:r>
      <w:r>
        <w:rPr/>
        <w:t>20</w:t>
      </w:r>
      <w:r>
        <w:rPr/>
        <w:t>线继续下降，则短反弹判断失效。这些是后续条件，没有假设未来已经突破，更不承诺按该价即可成交。</w:t>
      </w:r>
    </w:p>
    <w:p>
      <w:pPr>
        <w:pStyle w:val="Normal"/>
        <w:rPr/>
      </w:pPr>
      <w:r>
        <w:rPr/>
        <w:t>对于进取投资者，低估值叠加未确认图形可以形成潜在机会，但机会成本也可能较高。</w:t>
      </w:r>
      <w:r>
        <w:rPr/>
        <w:t>11.13</w:t>
      </w:r>
      <w:r>
        <w:rPr/>
        <w:t>近阻力距离小，半年基准</w:t>
      </w:r>
      <w:r>
        <w:rPr/>
        <w:t>13.06</w:t>
      </w:r>
      <w:r>
        <w:rPr/>
        <w:t>需要跨过均线带和旧高区域，并获得持续盈利证据支持。若催化只有处置新闻而核心</w:t>
      </w:r>
      <w:r>
        <w:rPr/>
        <w:t>EPS</w:t>
      </w:r>
      <w:r>
        <w:rPr/>
        <w:t>没有改善，价格可能在区间内反复。本章把技术得分与估值空间分开，不因为理论目标高就把图形描述为强势，也不因技术弱就否认长期业务价值。</w:t>
      </w:r>
    </w:p>
    <w:p>
      <w:pPr>
        <w:pStyle w:val="Heading2"/>
        <w:rPr/>
      </w:pPr>
      <w:r>
        <w:rPr>
          <w:color w:val="000000"/>
        </w:rPr>
        <w:t>估值模型与期限假设</w:t>
      </w:r>
    </w:p>
    <w:p>
      <w:pPr>
        <w:pStyle w:val="Normal"/>
        <w:rPr/>
      </w:pPr>
      <w:r>
        <w:rPr/>
        <w:t>模型使用统一活动估值：目标时点正常化全归母</w:t>
      </w:r>
      <w:r>
        <w:rPr/>
        <w:t>EPS</w:t>
      </w:r>
      <w:r>
        <w:rPr/>
        <w:t>乘</w:t>
      </w:r>
      <w:r>
        <w:rPr/>
        <w:t>H</w:t>
      </w:r>
      <w:r>
        <w:rPr/>
        <w:t>股合理</w:t>
      </w:r>
      <w:r>
        <w:rPr/>
        <w:t>PE</w:t>
      </w:r>
      <w:r>
        <w:rPr/>
        <w:t>，再按研究汇率</w:t>
      </w:r>
      <w:r>
        <w:rPr/>
        <w:t>1.10</w:t>
      </w:r>
      <w:r>
        <w:rPr/>
        <w:t>转换港元；</w:t>
      </w:r>
      <w:r>
        <w:rPr/>
        <w:t>EPS</w:t>
      </w:r>
      <w:r>
        <w:rPr/>
        <w:t>乘</w:t>
      </w:r>
      <w:r>
        <w:rPr/>
        <w:t>37.08361809</w:t>
      </w:r>
      <w:r>
        <w:rPr/>
        <w:t>亿股得到目标归母利润，收入与净利率同步保存。这一模型适合已有盈利的综合药企，但不覆盖全部逐药物风险调整现金流。新药价值在目标利润假设里温和体现，不能再把管线净现值加到相同</w:t>
      </w:r>
      <w:r>
        <w:rPr/>
        <w:t>PE</w:t>
      </w:r>
      <w:r>
        <w:rPr/>
        <w:t>权益上，从而重复计价。</w:t>
      </w:r>
    </w:p>
    <w:p>
      <w:pPr>
        <w:pStyle w:val="Normal"/>
        <w:rPr/>
      </w:pPr>
      <w:r>
        <w:rPr/>
        <w:t>基准现价用研究</w:t>
      </w:r>
      <w:r>
        <w:rPr/>
        <w:t>EPS1.22</w:t>
      </w:r>
      <w:r>
        <w:rPr/>
        <w:t>对应约</w:t>
      </w:r>
      <w:r>
        <w:rPr/>
        <w:t>8.22</w:t>
      </w:r>
      <w:r>
        <w:rPr/>
        <w:t>倍</w:t>
      </w:r>
      <w:r>
        <w:rPr/>
        <w:t>H</w:t>
      </w:r>
      <w:r>
        <w:rPr/>
        <w:t>市盈率；</w:t>
      </w:r>
      <w:r>
        <w:rPr/>
        <w:t>TTM</w:t>
      </w:r>
      <w:r>
        <w:rPr/>
        <w:t>报告利润</w:t>
      </w:r>
      <w:r>
        <w:rPr/>
        <w:t>47.70</w:t>
      </w:r>
      <w:r>
        <w:rPr/>
        <w:t>亿元对应约</w:t>
      </w:r>
      <w:r>
        <w:rPr/>
        <w:t>7.80</w:t>
      </w:r>
      <w:r>
        <w:rPr/>
        <w:t>倍，而</w:t>
      </w:r>
      <w:r>
        <w:rPr/>
        <w:t>TTM</w:t>
      </w:r>
      <w:r>
        <w:rPr/>
        <w:t>法定扣非</w:t>
      </w:r>
      <w:r>
        <w:rPr/>
        <w:t>33.58</w:t>
      </w:r>
      <w:r>
        <w:rPr/>
        <w:t>亿元对应约</w:t>
      </w:r>
      <w:r>
        <w:rPr/>
        <w:t>11.07</w:t>
      </w:r>
      <w:r>
        <w:rPr/>
        <w:t>倍。三种比率相差明显，体现一次收益与正常化判断的重要性。行情提供</w:t>
      </w:r>
      <w:r>
        <w:rPr/>
        <w:t>6.45</w:t>
      </w:r>
      <w:r>
        <w:rPr/>
        <w:t>倍未经期间验证，本章不用它宣称最便宜。投资者若认为法定扣非最能代表持续盈利，当前估值吸引力就小于管理调整口径下的判断。</w:t>
      </w:r>
    </w:p>
    <w:p>
      <w:pPr>
        <w:pStyle w:val="Normal"/>
        <w:rPr/>
      </w:pPr>
      <w:r>
        <w:rPr/>
        <w:t>年底悲观</w:t>
      </w:r>
      <w:r>
        <w:rPr/>
        <w:t>EPS0.95</w:t>
      </w:r>
      <w:r>
        <w:rPr/>
        <w:t>、</w:t>
      </w:r>
      <w:r>
        <w:rPr/>
        <w:t>PE6.5</w:t>
      </w:r>
      <w:r>
        <w:rPr/>
        <w:t>得到</w:t>
      </w:r>
      <w:r>
        <w:rPr/>
        <w:t>6.7925</w:t>
      </w:r>
      <w:r>
        <w:rPr/>
        <w:t>港元；基准</w:t>
      </w:r>
      <w:r>
        <w:rPr/>
        <w:t>EPS1.22</w:t>
      </w:r>
      <w:r>
        <w:rPr/>
        <w:t>、</w:t>
      </w:r>
      <w:r>
        <w:rPr/>
        <w:t>PE8.5</w:t>
      </w:r>
      <w:r>
        <w:rPr/>
        <w:t>得到</w:t>
      </w:r>
      <w:r>
        <w:rPr/>
        <w:t>11.407</w:t>
      </w:r>
      <w:r>
        <w:rPr/>
        <w:t>；乐观</w:t>
      </w:r>
      <w:r>
        <w:rPr/>
        <w:t>EPS1.40</w:t>
      </w:r>
      <w:r>
        <w:rPr/>
        <w:t>、</w:t>
      </w:r>
      <w:r>
        <w:rPr/>
        <w:t>PE10</w:t>
      </w:r>
      <w:r>
        <w:rPr/>
        <w:t>得到</w:t>
      </w:r>
      <w:r>
        <w:rPr/>
        <w:t>15.40</w:t>
      </w:r>
      <w:r>
        <w:rPr/>
        <w:t>。对应归母利润</w:t>
      </w:r>
      <w:r>
        <w:rPr/>
        <w:t>35.23</w:t>
      </w:r>
      <w:r>
        <w:rPr/>
        <w:t>、</w:t>
      </w:r>
      <w:r>
        <w:rPr/>
        <w:t>45.24</w:t>
      </w:r>
      <w:r>
        <w:rPr/>
        <w:t>及</w:t>
      </w:r>
      <w:r>
        <w:rPr/>
        <w:t>51.92</w:t>
      </w:r>
      <w:r>
        <w:rPr/>
        <w:t>亿元，收入</w:t>
      </w:r>
      <w:r>
        <w:rPr/>
        <w:t>2870</w:t>
      </w:r>
      <w:r>
        <w:rPr/>
        <w:t>、</w:t>
      </w:r>
      <w:r>
        <w:rPr/>
        <w:t>2950</w:t>
      </w:r>
      <w:r>
        <w:rPr/>
        <w:t>和</w:t>
      </w:r>
      <w:r>
        <w:rPr/>
        <w:t>3030</w:t>
      </w:r>
      <w:r>
        <w:rPr/>
        <w:t>亿元，正常化净利率</w:t>
      </w:r>
      <w:r>
        <w:rPr/>
        <w:t>1.23%</w:t>
      </w:r>
      <w:r>
        <w:rPr/>
        <w:t>、</w:t>
      </w:r>
      <w:r>
        <w:rPr/>
        <w:t>1.53%</w:t>
      </w:r>
      <w:r>
        <w:rPr/>
        <w:t>及</w:t>
      </w:r>
      <w:r>
        <w:rPr/>
        <w:t>1.71%</w:t>
      </w:r>
      <w:r>
        <w:rPr/>
        <w:t>。这是对年底信息可能如何定价的判断，不代表全年完整财报已经公开，也不是多年价值会在两个月内兑现。</w:t>
      </w:r>
    </w:p>
    <w:p>
      <w:pPr>
        <w:pStyle w:val="Normal"/>
        <w:rPr/>
      </w:pPr>
      <w:r>
        <w:rPr/>
        <w:t>年底基准只有</w:t>
      </w:r>
      <w:r>
        <w:rPr/>
        <w:t>3.42%</w:t>
      </w:r>
      <w:r>
        <w:rPr/>
        <w:t>股价空间，加权期望</w:t>
      </w:r>
      <w:r>
        <w:rPr/>
        <w:t>2.01%</w:t>
      </w:r>
      <w:r>
        <w:rPr/>
        <w:t>，说明悲观情景与乐观情景并不对称。悲观负</w:t>
      </w:r>
      <w:r>
        <w:rPr/>
        <w:t>38.42%</w:t>
      </w:r>
      <w:r>
        <w:rPr/>
        <w:t>、乐观正</w:t>
      </w:r>
      <w:r>
        <w:rPr/>
        <w:t>39.62%</w:t>
      </w:r>
      <w:r>
        <w:rPr/>
        <w:t>，对剩余两个月而言都依赖显著预期变化，不能解读为平常日波动范围或最可能成交区。权重</w:t>
      </w:r>
      <w:r>
        <w:rPr/>
        <w:t>25/50/25</w:t>
      </w:r>
      <w:r>
        <w:rPr/>
        <w:t>用于研究比较，不由历史频率估计。年底场景也没有加已除净中期息，所以股价回报与总回报相同。</w:t>
      </w:r>
    </w:p>
    <w:p>
      <w:pPr>
        <w:pStyle w:val="Normal"/>
        <w:rPr/>
      </w:pPr>
      <w:r>
        <w:rPr/>
        <w:t>防守权重</w:t>
      </w:r>
      <w:r>
        <w:rPr/>
        <w:t>40/50/10</w:t>
      </w:r>
      <w:r>
        <w:rPr/>
        <w:t>降低期望价到</w:t>
      </w:r>
      <w:r>
        <w:rPr/>
        <w:t>9.9605</w:t>
      </w:r>
      <w:r>
        <w:rPr/>
        <w:t>，回报约负</w:t>
      </w:r>
      <w:r>
        <w:rPr/>
        <w:t>9.70%</w:t>
      </w:r>
      <w:r>
        <w:rPr/>
        <w:t>；进取</w:t>
      </w:r>
      <w:r>
        <w:rPr/>
        <w:t>10/50/40</w:t>
      </w:r>
      <w:r>
        <w:rPr/>
        <w:t>增加到</w:t>
      </w:r>
      <w:r>
        <w:rPr/>
        <w:t>12.54275</w:t>
      </w:r>
      <w:r>
        <w:rPr/>
        <w:t>，约正</w:t>
      </w:r>
      <w:r>
        <w:rPr/>
        <w:t>13.72%</w:t>
      </w:r>
      <w:r>
        <w:rPr/>
        <w:t>。权重变化本身不改变公司价值输入，只显示研究判断对风险偏好的敏感性。若需要提高推荐信心，应该新增经营证据或减少模型不确定性，不能任意提高乐观权重让期望数字更漂亮。总表应同时展示权重，避免把期望值误认为客观精确预测。</w:t>
      </w:r>
    </w:p>
    <w:p>
      <w:pPr>
        <w:pStyle w:val="Normal"/>
        <w:rPr/>
      </w:pPr>
      <w:r>
        <w:rPr/>
        <w:t>半年基准</w:t>
      </w:r>
      <w:r>
        <w:rPr/>
        <w:t>EPS1.25</w:t>
      </w:r>
      <w:r>
        <w:rPr/>
        <w:t>、</w:t>
      </w:r>
      <w:r>
        <w:rPr/>
        <w:t>PE9.5</w:t>
      </w:r>
      <w:r>
        <w:rPr/>
        <w:t>、目标</w:t>
      </w:r>
      <w:r>
        <w:rPr/>
        <w:t>13.0625</w:t>
      </w:r>
      <w:r>
        <w:rPr/>
        <w:t>港元，对应归母</w:t>
      </w:r>
      <w:r>
        <w:rPr/>
        <w:t>46.35</w:t>
      </w:r>
      <w:r>
        <w:rPr/>
        <w:t>亿元和收入</w:t>
      </w:r>
      <w:r>
        <w:rPr/>
        <w:t>3000</w:t>
      </w:r>
      <w:r>
        <w:rPr/>
        <w:t>亿元。</w:t>
      </w:r>
      <w:r>
        <w:rPr/>
        <w:t>EPS</w:t>
      </w:r>
      <w:r>
        <w:rPr/>
        <w:t>较年底温和提升，倍数提升更多，依赖年报和前瞻回款显示风险下降，并且技术突破得到确认。半年的悲观</w:t>
      </w:r>
      <w:r>
        <w:rPr/>
        <w:t>7.15</w:t>
      </w:r>
      <w:r>
        <w:rPr/>
        <w:t>和乐观</w:t>
      </w:r>
      <w:r>
        <w:rPr/>
        <w:t>18.755</w:t>
      </w:r>
      <w:r>
        <w:rPr/>
        <w:t>分别来自</w:t>
      </w:r>
      <w:r>
        <w:rPr/>
        <w:t>EPS1.0</w:t>
      </w:r>
      <w:r>
        <w:rPr/>
        <w:t>乘</w:t>
      </w:r>
      <w:r>
        <w:rPr/>
        <w:t>6.5</w:t>
      </w:r>
      <w:r>
        <w:rPr/>
        <w:t>、</w:t>
      </w:r>
      <w:r>
        <w:rPr/>
        <w:t>EPS1.55</w:t>
      </w:r>
      <w:r>
        <w:rPr/>
        <w:t>乘</w:t>
      </w:r>
      <w:r>
        <w:rPr/>
        <w:t>11</w:t>
      </w:r>
      <w:r>
        <w:rPr/>
        <w:t>。乐观需要持续利润明显恢复，不能只靠新仿制品种批准或一项处置把整个集团盈利推上去。</w:t>
      </w:r>
    </w:p>
    <w:p>
      <w:pPr>
        <w:pStyle w:val="Normal"/>
        <w:rPr/>
      </w:pPr>
      <w:r>
        <w:rPr/>
        <w:t>一年基准</w:t>
      </w:r>
      <w:r>
        <w:rPr/>
        <w:t>EPS1.40</w:t>
      </w:r>
      <w:r>
        <w:rPr/>
        <w:t>、</w:t>
      </w:r>
      <w:r>
        <w:rPr/>
        <w:t>PE10</w:t>
      </w:r>
      <w:r>
        <w:rPr/>
        <w:t>、目标</w:t>
      </w:r>
      <w:r>
        <w:rPr/>
        <w:t>15.40</w:t>
      </w:r>
      <w:r>
        <w:rPr/>
        <w:t>港元，收入</w:t>
      </w:r>
      <w:r>
        <w:rPr/>
        <w:t>3150</w:t>
      </w:r>
      <w:r>
        <w:rPr/>
        <w:t>亿元、归母</w:t>
      </w:r>
      <w:r>
        <w:rPr/>
        <w:t>51.92</w:t>
      </w:r>
      <w:r>
        <w:rPr/>
        <w:t>亿元。这一利润高于年底基准，但仍不是重新使用</w:t>
      </w:r>
      <w:r>
        <w:rPr/>
        <w:t>2025</w:t>
      </w:r>
      <w:r>
        <w:rPr/>
        <w:t>含一次收益报告利润。增长来自工业份额和费用效率、商业服务结构及有限融资节约，均需追踪。若收入达到</w:t>
      </w:r>
      <w:r>
        <w:rPr/>
        <w:t>3150</w:t>
      </w:r>
      <w:r>
        <w:rPr/>
        <w:t>亿元而净利率只有</w:t>
      </w:r>
      <w:r>
        <w:rPr/>
        <w:t>1.3%</w:t>
      </w:r>
      <w:r>
        <w:rPr/>
        <w:t>，盈利约</w:t>
      </w:r>
      <w:r>
        <w:rPr/>
        <w:t>40.95</w:t>
      </w:r>
      <w:r>
        <w:rPr/>
        <w:t>亿元，</w:t>
      </w:r>
      <w:r>
        <w:rPr/>
        <w:t>EPS</w:t>
      </w:r>
      <w:r>
        <w:rPr/>
        <w:t>约</w:t>
      </w:r>
      <w:r>
        <w:rPr/>
        <w:t>1.10</w:t>
      </w:r>
      <w:r>
        <w:rPr/>
        <w:t>；同样</w:t>
      </w:r>
      <w:r>
        <w:rPr/>
        <w:t>10</w:t>
      </w:r>
      <w:r>
        <w:rPr/>
        <w:t>倍下股价约</w:t>
      </w:r>
      <w:r>
        <w:rPr/>
        <w:t>12.15</w:t>
      </w:r>
      <w:r>
        <w:rPr/>
        <w:t>，明显低于基准，说明净利率是关键变量。</w:t>
      </w:r>
    </w:p>
    <w:p>
      <w:pPr>
        <w:pStyle w:val="Normal"/>
        <w:rPr/>
      </w:pPr>
      <w:r>
        <w:rPr/>
        <w:t>一年悲观</w:t>
      </w:r>
      <w:r>
        <w:rPr/>
        <w:t>7.293</w:t>
      </w:r>
      <w:r>
        <w:rPr/>
        <w:t>港元、乐观</w:t>
      </w:r>
      <w:r>
        <w:rPr/>
        <w:t>23.76</w:t>
      </w:r>
      <w:r>
        <w:rPr/>
        <w:t>港元，基准累计分红</w:t>
      </w:r>
      <w:r>
        <w:rPr/>
        <w:t>0.48</w:t>
      </w:r>
      <w:r>
        <w:rPr/>
        <w:t>港元使总回报</w:t>
      </w:r>
      <w:r>
        <w:rPr/>
        <w:t>43.97%</w:t>
      </w:r>
      <w:r>
        <w:rPr/>
        <w:t>。乐观</w:t>
      </w:r>
      <w:r>
        <w:rPr/>
        <w:t>EPS1.8</w:t>
      </w:r>
      <w:r>
        <w:rPr/>
        <w:t>需要归母</w:t>
      </w:r>
      <w:r>
        <w:rPr/>
        <w:t>66.75</w:t>
      </w:r>
      <w:r>
        <w:rPr/>
        <w:t>亿元，收入</w:t>
      </w:r>
      <w:r>
        <w:rPr/>
        <w:t>3400</w:t>
      </w:r>
      <w:r>
        <w:rPr/>
        <w:t>亿元及净利率约</w:t>
      </w:r>
      <w:r>
        <w:rPr/>
        <w:t>1.96%</w:t>
      </w:r>
      <w:r>
        <w:rPr/>
        <w:t>，意味着服务质量和工业贡献同步改善；若仅收入扩张、资金成本和少数权益同步增加，很难达到。目标日</w:t>
      </w:r>
      <w:r>
        <w:rPr/>
        <w:t>2027</w:t>
      </w:r>
      <w:r>
        <w:rPr/>
        <w:t>年</w:t>
      </w:r>
      <w:r>
        <w:rPr/>
        <w:t>10</w:t>
      </w:r>
      <w:r>
        <w:rPr/>
        <w:t>月</w:t>
      </w:r>
      <w:r>
        <w:rPr/>
        <w:t>9</w:t>
      </w:r>
      <w:r>
        <w:rPr/>
        <w:t>日为周六，按此前交易日</w:t>
      </w:r>
      <w:r>
        <w:rPr/>
        <w:t>10</w:t>
      </w:r>
      <w:r>
        <w:rPr/>
        <w:t>月</w:t>
      </w:r>
      <w:r>
        <w:rPr/>
        <w:t>8</w:t>
      </w:r>
      <w:r>
        <w:rPr/>
        <w:t>日处理，不把休市日当可执行成交日期。</w:t>
      </w:r>
    </w:p>
    <w:p>
      <w:pPr>
        <w:pStyle w:val="Normal"/>
        <w:rPr/>
      </w:pPr>
      <w:r>
        <w:rPr/>
        <w:t>三年基准</w:t>
      </w:r>
      <w:r>
        <w:rPr/>
        <w:t>EPS1.80</w:t>
      </w:r>
      <w:r>
        <w:rPr/>
        <w:t>、</w:t>
      </w:r>
      <w:r>
        <w:rPr/>
        <w:t>PE10.5</w:t>
      </w:r>
      <w:r>
        <w:rPr/>
        <w:t>，目标</w:t>
      </w:r>
      <w:r>
        <w:rPr/>
        <w:t>20.79</w:t>
      </w:r>
      <w:r>
        <w:rPr/>
        <w:t>港元。归母</w:t>
      </w:r>
      <w:r>
        <w:rPr/>
        <w:t>66.75</w:t>
      </w:r>
      <w:r>
        <w:rPr/>
        <w:t>亿元、净利率</w:t>
      </w:r>
      <w:r>
        <w:rPr/>
        <w:t>1.80%</w:t>
      </w:r>
      <w:r>
        <w:rPr/>
        <w:t>对综合集团并非极高，但相较当前法定扣非需要明确改善。渠道规模、进口创新品种与工业新药能够增加收益，信用成本和研发亦会分享增长。三年股价年化</w:t>
      </w:r>
      <w:r>
        <w:rPr/>
        <w:t>23.53%</w:t>
      </w:r>
      <w:r>
        <w:rPr/>
        <w:t>看起来较高，部分来自低估值起点重估；若倍数保持</w:t>
      </w:r>
      <w:r>
        <w:rPr/>
        <w:t>8.5</w:t>
      </w:r>
      <w:r>
        <w:rPr/>
        <w:t>，目标</w:t>
      </w:r>
      <w:r>
        <w:rPr/>
        <w:t>16.83</w:t>
      </w:r>
      <w:r>
        <w:rPr/>
        <w:t>，年化约</w:t>
      </w:r>
      <w:r>
        <w:rPr/>
        <w:t>15.1%</w:t>
      </w:r>
      <w:r>
        <w:rPr/>
        <w:t>，仍可能有回报但不同于主表。</w:t>
      </w:r>
    </w:p>
    <w:p>
      <w:pPr>
        <w:pStyle w:val="Normal"/>
        <w:rPr/>
      </w:pPr>
      <w:r>
        <w:rPr/>
        <w:t>五年基准</w:t>
      </w:r>
      <w:r>
        <w:rPr/>
        <w:t>EPS2.20</w:t>
      </w:r>
      <w:r>
        <w:rPr/>
        <w:t>、</w:t>
      </w:r>
      <w:r>
        <w:rPr/>
        <w:t>PE10</w:t>
      </w:r>
      <w:r>
        <w:rPr/>
        <w:t>，对应</w:t>
      </w:r>
      <w:r>
        <w:rPr/>
        <w:t>24.20</w:t>
      </w:r>
      <w:r>
        <w:rPr/>
        <w:t>港元；五年累计分红</w:t>
      </w:r>
      <w:r>
        <w:rPr/>
        <w:t>3</w:t>
      </w:r>
      <w:r>
        <w:rPr/>
        <w:t>港元将总回报提升至</w:t>
      </w:r>
      <w:r>
        <w:rPr/>
        <w:t>146.60%</w:t>
      </w:r>
      <w:r>
        <w:rPr/>
        <w:t>、年化</w:t>
      </w:r>
      <w:r>
        <w:rPr/>
        <w:t>19.78%</w:t>
      </w:r>
      <w:r>
        <w:rPr/>
        <w:t>。五年乐观</w:t>
      </w:r>
      <w:r>
        <w:rPr/>
        <w:t>46.20</w:t>
      </w:r>
      <w:r>
        <w:rPr/>
        <w:t>来自</w:t>
      </w:r>
      <w:r>
        <w:rPr/>
        <w:t>EPS3.5</w:t>
      </w:r>
      <w:r>
        <w:rPr/>
        <w:t>与</w:t>
      </w:r>
      <w:r>
        <w:rPr/>
        <w:t>PE12</w:t>
      </w:r>
      <w:r>
        <w:rPr/>
        <w:t>，要求归母</w:t>
      </w:r>
      <w:r>
        <w:rPr/>
        <w:t>129.79</w:t>
      </w:r>
      <w:r>
        <w:rPr/>
        <w:t>亿元，工业与高质量服务持续增长，这不是轻松达到的默认路径。悲观</w:t>
      </w:r>
      <w:r>
        <w:rPr/>
        <w:t>EPS1.1</w:t>
      </w:r>
      <w:r>
        <w:rPr/>
        <w:t>、</w:t>
      </w:r>
      <w:r>
        <w:rPr/>
        <w:t>PE5.5</w:t>
      </w:r>
      <w:r>
        <w:rPr/>
        <w:t>只</w:t>
      </w:r>
      <w:r>
        <w:rPr/>
        <w:t>6.655</w:t>
      </w:r>
      <w:r>
        <w:rPr/>
        <w:t>，长期业务仍能盈利但股东价格受资本效率低下压制。时间更长不会自动消除低回报资本配置风险。</w:t>
      </w:r>
    </w:p>
    <w:p>
      <w:pPr>
        <w:pStyle w:val="Normal"/>
        <w:rPr/>
      </w:pPr>
      <w:r>
        <w:rPr/>
        <w:t>模型固定全股是研究假设，不意味着未来不会融资、回购或授予新激励。如果归母利润不变而股数增加</w:t>
      </w:r>
      <w:r>
        <w:rPr/>
        <w:t>5%</w:t>
      </w:r>
      <w:r>
        <w:rPr/>
        <w:t>，每股价值约下降</w:t>
      </w:r>
      <w:r>
        <w:rPr/>
        <w:t>4.76%</w:t>
      </w:r>
      <w:r>
        <w:rPr/>
        <w:t>；减少</w:t>
      </w:r>
      <w:r>
        <w:rPr/>
        <w:t>5%</w:t>
      </w:r>
      <w:r>
        <w:rPr/>
        <w:t>则约提升</w:t>
      </w:r>
      <w:r>
        <w:rPr/>
        <w:t>5.26%</w:t>
      </w:r>
      <w:r>
        <w:rPr/>
        <w:t>。回购通常会消耗现金，需要与净债及替代投资比较，不能只减分母不减资金。当前有相当融资需求，实际融资和股东回报决策必须用新公告更新，不能按想象中的持续回购增强长期目标。</w:t>
      </w:r>
    </w:p>
    <w:p>
      <w:pPr>
        <w:pStyle w:val="Normal"/>
        <w:rPr/>
      </w:pPr>
      <w:r>
        <w:rPr/>
        <w:t>预测换汇</w:t>
      </w:r>
      <w:r>
        <w:rPr/>
        <w:t>±5%</w:t>
      </w:r>
      <w:r>
        <w:rPr/>
        <w:t>会使一年基准港元目标</w:t>
      </w:r>
      <w:r>
        <w:rPr/>
        <w:t>15.40</w:t>
      </w:r>
      <w:r>
        <w:rPr/>
        <w:t>变为</w:t>
      </w:r>
      <w:r>
        <w:rPr/>
        <w:t>14.63</w:t>
      </w:r>
      <w:r>
        <w:rPr/>
        <w:t>或</w:t>
      </w:r>
      <w:r>
        <w:rPr/>
        <w:t>16.17</w:t>
      </w:r>
      <w:r>
        <w:rPr/>
        <w:t>；人民币投资者若港币兑人民币在持有期弱</w:t>
      </w:r>
      <w:r>
        <w:rPr/>
        <w:t>5%</w:t>
      </w:r>
      <w:r>
        <w:rPr/>
        <w:t>，基准总回报</w:t>
      </w:r>
      <w:r>
        <w:rPr/>
        <w:t>43.97%</w:t>
      </w:r>
      <w:r>
        <w:rPr/>
        <w:t>约降到</w:t>
      </w:r>
      <w:r>
        <w:rPr/>
        <w:t>36.77%</w:t>
      </w:r>
      <w:r>
        <w:rPr/>
        <w:t>，强</w:t>
      </w:r>
      <w:r>
        <w:rPr/>
        <w:t>5%</w:t>
      </w:r>
      <w:r>
        <w:rPr/>
        <w:t>约升到</w:t>
      </w:r>
      <w:r>
        <w:rPr/>
        <w:t>51.17%</w:t>
      </w:r>
      <w:r>
        <w:rPr/>
        <w:t>。这是账户回报敏感性，不是已预测汇率路径。业务端可能同时有汇兑影响，若未来把业务汇率变化加入</w:t>
      </w:r>
      <w:r>
        <w:rPr/>
        <w:t>EPS</w:t>
      </w:r>
      <w:r>
        <w:rPr/>
        <w:t>，需要确认没有再次以相同冲击乘账户回报。</w:t>
      </w:r>
    </w:p>
    <w:p>
      <w:pPr>
        <w:pStyle w:val="Normal"/>
        <w:rPr/>
      </w:pPr>
      <w:r>
        <w:rPr/>
        <w:t>估值交叉检验还需要现金与账面回报。约</w:t>
      </w:r>
      <w:r>
        <w:rPr/>
        <w:t>0.475</w:t>
      </w:r>
      <w:r>
        <w:rPr/>
        <w:t>倍</w:t>
      </w:r>
      <w:r>
        <w:rPr/>
        <w:t>PB</w:t>
      </w:r>
      <w:r>
        <w:rPr/>
        <w:t>并不自动支持</w:t>
      </w:r>
      <w:r>
        <w:rPr/>
        <w:t>1</w:t>
      </w:r>
      <w:r>
        <w:rPr/>
        <w:t>倍目标，因为</w:t>
      </w:r>
      <w:r>
        <w:rPr/>
        <w:t>H1</w:t>
      </w:r>
      <w:r>
        <w:rPr/>
        <w:t>扣非加权</w:t>
      </w:r>
      <w:r>
        <w:rPr/>
        <w:t>ROE3.19%</w:t>
      </w:r>
      <w:r>
        <w:rPr/>
        <w:t>只是半年值，后续年度回报及资本成本仍待评估。若资本回报长期低于权益要求，折价具有经济理由。另一方面，净债下降、应收效率提高及工业持续利润增强可提高回报率，使合理倍数提升。模型基准</w:t>
      </w:r>
      <w:r>
        <w:rPr/>
        <w:t>PE10</w:t>
      </w:r>
      <w:r>
        <w:rPr/>
        <w:t>附近是这种有限改善的假设，非以账面折价无条件收敛。</w:t>
      </w:r>
    </w:p>
    <w:p>
      <w:pPr>
        <w:pStyle w:val="Heading2"/>
        <w:rPr/>
      </w:pPr>
      <w:r>
        <w:rPr>
          <w:color w:val="000000"/>
        </w:rPr>
        <w:t>外资目标 反证与长期观察</w:t>
      </w:r>
    </w:p>
    <w:p>
      <w:pPr>
        <w:pStyle w:val="Normal"/>
        <w:rPr/>
      </w:pPr>
      <w:r>
        <w:rPr/>
        <w:t>公开外资目标最新可核</w:t>
      </w:r>
      <w:r>
        <w:rPr/>
        <w:t>H</w:t>
      </w:r>
      <w:r>
        <w:rPr/>
        <w:t>股高盛</w:t>
      </w:r>
      <w:r>
        <w:rPr/>
        <w:t>5</w:t>
      </w:r>
      <w:r>
        <w:rPr/>
        <w:t>月</w:t>
      </w:r>
      <w:r>
        <w:rPr/>
        <w:t>5</w:t>
      </w:r>
      <w:r>
        <w:rPr/>
        <w:t>日</w:t>
      </w:r>
      <w:r>
        <w:rPr/>
        <w:t>10.63</w:t>
      </w:r>
      <w:r>
        <w:rPr/>
        <w:t>港元、沽售；大摩</w:t>
      </w:r>
      <w:r>
        <w:rPr/>
        <w:t>4</w:t>
      </w:r>
      <w:r>
        <w:rPr/>
        <w:t>月</w:t>
      </w:r>
      <w:r>
        <w:rPr/>
        <w:t>24</w:t>
      </w:r>
      <w:r>
        <w:rPr/>
        <w:t>日</w:t>
      </w:r>
      <w:r>
        <w:rPr/>
        <w:t>15.8</w:t>
      </w:r>
      <w:r>
        <w:rPr/>
        <w:t>、增持；花旗</w:t>
      </w:r>
      <w:r>
        <w:rPr/>
        <w:t>4</w:t>
      </w:r>
      <w:r>
        <w:rPr/>
        <w:t>月</w:t>
      </w:r>
      <w:r>
        <w:rPr/>
        <w:t>14</w:t>
      </w:r>
      <w:r>
        <w:rPr/>
        <w:t>日</w:t>
      </w:r>
      <w:r>
        <w:rPr/>
        <w:t>13.5</w:t>
      </w:r>
      <w:r>
        <w:rPr/>
        <w:t>、买入；美银</w:t>
      </w:r>
      <w:r>
        <w:rPr/>
        <w:t>4</w:t>
      </w:r>
      <w:r>
        <w:rPr/>
        <w:t>月</w:t>
      </w:r>
      <w:r>
        <w:rPr/>
        <w:t>8</w:t>
      </w:r>
      <w:r>
        <w:rPr/>
        <w:t>日</w:t>
      </w:r>
      <w:r>
        <w:rPr/>
        <w:t>14</w:t>
      </w:r>
      <w:r>
        <w:rPr/>
        <w:t>、买入；里昂</w:t>
      </w:r>
      <w:r>
        <w:rPr/>
        <w:t>4</w:t>
      </w:r>
      <w:r>
        <w:rPr/>
        <w:t>月</w:t>
      </w:r>
      <w:r>
        <w:rPr/>
        <w:t>8</w:t>
      </w:r>
      <w:r>
        <w:rPr/>
        <w:t>日</w:t>
      </w:r>
      <w:r>
        <w:rPr/>
        <w:t>15.2</w:t>
      </w:r>
      <w:r>
        <w:rPr/>
        <w:t>、跑赢；瑞银</w:t>
      </w:r>
      <w:r>
        <w:rPr/>
        <w:t>4</w:t>
      </w:r>
      <w:r>
        <w:rPr/>
        <w:t>月</w:t>
      </w:r>
      <w:r>
        <w:rPr/>
        <w:t>1</w:t>
      </w:r>
      <w:r>
        <w:rPr/>
        <w:t>日</w:t>
      </w:r>
      <w:r>
        <w:rPr/>
        <w:t>15.2</w:t>
      </w:r>
      <w:r>
        <w:rPr/>
        <w:t>、买入。它们均超过</w:t>
      </w:r>
      <w:r>
        <w:rPr/>
        <w:t>90</w:t>
      </w:r>
      <w:r>
        <w:rPr/>
        <w:t>天，未取得原付费研报及明确期限，不能称为半年业绩后新鲜一致目标。新闻转述用于一年估值参照，不直接用于年底，也不线性缩短剩余月份。</w:t>
      </w:r>
    </w:p>
    <w:p>
      <w:pPr>
        <w:pStyle w:val="Normal"/>
        <w:rPr/>
      </w:pPr>
      <w:r>
        <w:rPr/>
        <w:t>大摩公开预估</w:t>
      </w:r>
      <w:r>
        <w:rPr/>
        <w:t>2026</w:t>
      </w:r>
      <w:r>
        <w:rPr/>
        <w:t>、</w:t>
      </w:r>
      <w:r>
        <w:rPr/>
        <w:t>2027</w:t>
      </w:r>
      <w:r>
        <w:rPr/>
        <w:t>、</w:t>
      </w:r>
      <w:r>
        <w:rPr/>
        <w:t>2028 EPS1.46</w:t>
      </w:r>
      <w:r>
        <w:rPr/>
        <w:t>、</w:t>
      </w:r>
      <w:r>
        <w:rPr/>
        <w:t>1.61</w:t>
      </w:r>
      <w:r>
        <w:rPr/>
        <w:t>、</w:t>
      </w:r>
      <w:r>
        <w:rPr/>
        <w:t>1.72</w:t>
      </w:r>
      <w:r>
        <w:rPr/>
        <w:t>人民币，花旗归母预估</w:t>
      </w:r>
      <w:r>
        <w:rPr/>
        <w:t>49.56</w:t>
      </w:r>
      <w:r>
        <w:rPr/>
        <w:t>、</w:t>
      </w:r>
      <w:r>
        <w:rPr/>
        <w:t>53.94</w:t>
      </w:r>
      <w:r>
        <w:rPr/>
        <w:t>、</w:t>
      </w:r>
      <w:r>
        <w:rPr/>
        <w:t>57.68</w:t>
      </w:r>
      <w:r>
        <w:rPr/>
        <w:t>亿元。花旗原单位“亿元”需要正确换成</w:t>
      </w:r>
      <w:r>
        <w:rPr/>
        <w:t>49.56</w:t>
      </w:r>
      <w:r>
        <w:rPr/>
        <w:t>亿元等，而非</w:t>
      </w:r>
      <w:r>
        <w:rPr/>
        <w:t>49.56</w:t>
      </w:r>
      <w:r>
        <w:rPr/>
        <w:t>十亿元。它们与本章一年盈利假设在相近量级，但报告日期较旧、调整口径可能不同，不能声称形成独立验证。高盛强调集采价格和利润率压力，目标显著较低，也提醒合理倍数存在持续分歧。</w:t>
      </w:r>
    </w:p>
    <w:p>
      <w:pPr>
        <w:pStyle w:val="Normal"/>
        <w:rPr/>
      </w:pPr>
      <w:r>
        <w:rPr/>
        <w:t>5</w:t>
      </w:r>
      <w:r>
        <w:rPr/>
        <w:t>月</w:t>
      </w:r>
      <w:r>
        <w:rPr/>
        <w:t>5</w:t>
      </w:r>
      <w:r>
        <w:rPr/>
        <w:t>日大摩另一新闻的</w:t>
      </w:r>
      <w:r>
        <w:rPr/>
        <w:t>18.8</w:t>
      </w:r>
      <w:r>
        <w:rPr/>
        <w:t>元是</w:t>
      </w:r>
      <w:r>
        <w:rPr/>
        <w:t>A</w:t>
      </w:r>
      <w:r>
        <w:rPr/>
        <w:t>股人民币目标，不应覆盖</w:t>
      </w:r>
      <w:r>
        <w:rPr/>
        <w:t>4</w:t>
      </w:r>
      <w:r>
        <w:rPr/>
        <w:t>月</w:t>
      </w:r>
      <w:r>
        <w:rPr/>
        <w:t>24</w:t>
      </w:r>
      <w:r>
        <w:rPr/>
        <w:t>日</w:t>
      </w:r>
      <w:r>
        <w:rPr/>
        <w:t>H</w:t>
      </w:r>
      <w:r>
        <w:rPr/>
        <w:t>股</w:t>
      </w:r>
      <w:r>
        <w:rPr/>
        <w:t>15.8</w:t>
      </w:r>
      <w:r>
        <w:rPr/>
        <w:t>港元。</w:t>
      </w:r>
      <w:r>
        <w:rPr/>
        <w:t>A/H</w:t>
      </w:r>
      <w:r>
        <w:rPr/>
        <w:t>分享基本面，却受不同市场估值、流动性和投资者构成影响，目标币种和代码必须逐条保存。本名单只包含上海医药</w:t>
      </w:r>
      <w:r>
        <w:rPr/>
        <w:t>H</w:t>
      </w:r>
      <w:r>
        <w:rPr/>
        <w:t>股，</w:t>
      </w:r>
      <w:r>
        <w:rPr/>
        <w:t>A</w:t>
      </w:r>
      <w:r>
        <w:rPr/>
        <w:t>财报作为基本面原件而没有额外创造</w:t>
      </w:r>
      <w:r>
        <w:rPr/>
        <w:t>A</w:t>
      </w:r>
      <w:r>
        <w:rPr/>
        <w:t>股排名。相关市场现价或目标若未纳入名单，不把它们当作新的推荐证券。</w:t>
      </w:r>
    </w:p>
    <w:p>
      <w:pPr>
        <w:pStyle w:val="Normal"/>
        <w:rPr/>
      </w:pPr>
      <w:r>
        <w:rPr/>
        <w:t>9</w:t>
      </w:r>
      <w:r>
        <w:rPr/>
        <w:t>月</w:t>
      </w:r>
      <w:r>
        <w:rPr/>
        <w:t>22</w:t>
      </w:r>
      <w:r>
        <w:rPr/>
        <w:t>日摩通政策报道讨论美国与中国来源药物授权风险，没有上海医药公司目标价。行业政策评论可能影响市场情绪，却不能从同一新闻页面挂着上海代码就推导摩通给了公司评级或目标。本章公开报告列表中近</w:t>
      </w:r>
      <w:r>
        <w:rPr/>
        <w:t>90</w:t>
      </w:r>
      <w:r>
        <w:rPr/>
        <w:t>天公司目标缺失，直接标缺。缺失不等于机构完全没有研究，只意味着本次可公开核验资料不足，不能用任意网页转载制造一个当前共识。</w:t>
      </w:r>
    </w:p>
    <w:p>
      <w:pPr>
        <w:pStyle w:val="Normal"/>
        <w:rPr/>
      </w:pPr>
      <w:r>
        <w:rPr/>
        <w:t>半年结论的第一反证是量价跌破</w:t>
      </w:r>
      <w:r>
        <w:rPr/>
        <w:t>10.70</w:t>
      </w:r>
      <w:r>
        <w:rPr/>
        <w:t>且中长期均线继续下移，第二反证是年报前瞻显示正常化盈利和现金恢复不足。价格短期跌破技术位可能只是波动，因此需同时看放量与基本面；但不能长期把所有坏信号解释为“洗盘”。若下跌伴随信用损失、融资成本或经营指引恶化，低</w:t>
      </w:r>
      <w:r>
        <w:rPr/>
        <w:t>PE</w:t>
      </w:r>
      <w:r>
        <w:rPr/>
        <w:t>可能是利润下调前兆，应重新计算</w:t>
      </w:r>
      <w:r>
        <w:rPr/>
        <w:t>EPS</w:t>
      </w:r>
      <w:r>
        <w:rPr/>
        <w:t>和风险倍数，而不是按旧目标补仓逻辑不变。</w:t>
      </w:r>
    </w:p>
    <w:p>
      <w:pPr>
        <w:pStyle w:val="Normal"/>
        <w:rPr/>
      </w:pPr>
      <w:r>
        <w:rPr/>
        <w:t>一年结论需要工业增长至少转成持续利润、商业服务增量不被费用和垫资抵销。若收入增长保持而扣非或管理调整盈利明显下降，推荐应降级；若经营现金长期弱于持续净利润，应收增长继续显著快于销售，也要下调。</w:t>
      </w:r>
      <w:r>
        <w:rPr/>
        <w:t>Vitaco</w:t>
      </w:r>
      <w:r>
        <w:rPr/>
        <w:t>交割迟延会影响资本配置预期，但它本来不在基准持续盈利，因此不至于单独推翻全部估值；真正核心仍是主营现金质量。</w:t>
      </w:r>
    </w:p>
    <w:p>
      <w:pPr>
        <w:pStyle w:val="Normal"/>
        <w:rPr/>
      </w:pPr>
      <w:r>
        <w:rPr/>
        <w:t>三年反证是创新服务增长只有通道销售而没有稳定净服务利润，传统工业持续受价格压力，新药大多停在研发或低利润商业化状态。若集团资本开支和收购不断增加，却没有相应资本回报，低</w:t>
      </w:r>
      <w:r>
        <w:rPr/>
        <w:t>PB</w:t>
      </w:r>
      <w:r>
        <w:rPr/>
        <w:t>可能继续。临床失败属于创新业务正常风险，关键在于是否多个项目风险被充分分散、是否及时停止无效投入；不能把每一次失败都解释为与估值无关，特别是乐观情景依赖它们贡献时。</w:t>
      </w:r>
    </w:p>
    <w:p>
      <w:pPr>
        <w:pStyle w:val="Normal"/>
        <w:rPr/>
      </w:pPr>
      <w:r>
        <w:rPr/>
        <w:t>五年至十年经营可持续性来自药品需求、质量能力、全国供应网络和成熟品牌。</w:t>
      </w:r>
      <w:r>
        <w:rPr/>
        <w:t>2036</w:t>
      </w:r>
      <w:r>
        <w:rPr/>
        <w:t>年前医药品类、支付与渠道形态还会变化，公司需要持续升级而非靠现有所有产品永久增长。数字化与专业药房有机会提高效率，跨国合作与自主药物有机会扩大利润；长期更大的考验是管理能否在复杂集团中优先选择高资本回报项目，控制关联与非核心投资，不让新增规模变成更多应收和债务。</w:t>
      </w:r>
    </w:p>
    <w:p>
      <w:pPr>
        <w:pStyle w:val="Normal"/>
        <w:rPr/>
      </w:pPr>
      <w:r>
        <w:rPr/>
        <w:t>十年展望不单列精确</w:t>
      </w:r>
      <w:r>
        <w:rPr/>
        <w:t>2036</w:t>
      </w:r>
      <w:r>
        <w:rPr/>
        <w:t>股价，因为目前证据不足以把管线、政策和资金成本推到如此精细。可以提出经营边界：若上海医药维持核心流通位置并使服务费、工业产品和现金周转改善，它能够成为稳定综合医药平台；若长期利润回报低、收购损失和资金占用反复发生，则公司仍可能有庞大销售，但普通股收益受限。规模持续与股东高回报是两个都要验证的命题。</w:t>
      </w:r>
    </w:p>
    <w:p>
      <w:pPr>
        <w:pStyle w:val="Normal"/>
        <w:rPr/>
      </w:pPr>
      <w:r>
        <w:rPr/>
        <w:t>研究更新应按同一流程保存版本：先核公告首次公开及内部签署日期，记录财务期间、币种与单位，再更改正常化盈利、全股、分红资格及倍数，重新生成三种情景，最后更新总表和正文数字。新上市药品必须核监管标签，处置必须核交割和到账，基金必须核缴款。旧结果若未刷新应标待更新，不能用新的事实说明配旧模型价格造成假一致。</w:t>
      </w:r>
    </w:p>
    <w:p>
      <w:pPr>
        <w:pStyle w:val="Normal"/>
        <w:rPr/>
      </w:pPr>
      <w:r>
        <w:rPr/>
        <w:t>综合判断，上海医药一年及三年更值得关注，半年适合等待经营与技术进一步确认。基准空间并非由股价必回净资产推出，而是由持续利润和资本效率恢复产生。它在进取名单中的用途是提供有现金业务支撑的改善机会，与高风险临床纯弹性不同。推荐的主要反证、估值分母和资料缺口均已列明；在新证据出现前，不提高到高信心或将年底期望</w:t>
      </w:r>
      <w:r>
        <w:rPr/>
        <w:t>2.01%</w:t>
      </w:r>
      <w:r>
        <w:rPr/>
        <w:t>包装成确定上涨。</w:t>
      </w:r>
    </w:p>
    <w:p>
      <w:pPr>
        <w:pStyle w:val="Heading2"/>
        <w:rPr/>
      </w:pPr>
      <w:r>
        <w:rPr>
          <w:color w:val="000000"/>
        </w:rPr>
        <w:t>来源</w:t>
      </w:r>
    </w:p>
    <w:p>
      <w:pPr>
        <w:pStyle w:val="Normal"/>
        <w:rPr/>
      </w:pPr>
      <w:r>
        <w:rPr/>
        <w:t>- A</w:t>
      </w:r>
      <w:r>
        <w:rPr/>
        <w:t>中报（</w:t>
      </w:r>
      <w:r>
        <w:rPr/>
        <w:t>8</w:t>
      </w:r>
      <w:r>
        <w:rPr/>
        <w:t>月</w:t>
      </w:r>
      <w:r>
        <w:rPr/>
        <w:t>28</w:t>
      </w:r>
      <w:r>
        <w:rPr/>
        <w:t>日，未经审计）：</w:t>
      </w:r>
      <w:r>
        <w:rPr/>
        <w:t>https://static.cninfo.com.cn/finalpage/2026-08-28/1225518810.PDF</w:t>
      </w:r>
    </w:p>
    <w:p>
      <w:pPr>
        <w:pStyle w:val="Normal"/>
        <w:rPr/>
      </w:pPr>
      <w:r>
        <w:rPr/>
        <w:t>- H</w:t>
      </w:r>
      <w:r>
        <w:rPr/>
        <w:t>正式中报（</w:t>
      </w:r>
      <w:r>
        <w:rPr/>
        <w:t>9</w:t>
      </w:r>
      <w:r>
        <w:rPr/>
        <w:t>月</w:t>
      </w:r>
      <w:r>
        <w:rPr/>
        <w:t>17</w:t>
      </w:r>
      <w:r>
        <w:rPr/>
        <w:t>日；物理页</w:t>
      </w:r>
      <w:r>
        <w:rPr/>
        <w:t>60—65</w:t>
      </w:r>
      <w:r>
        <w:rPr/>
        <w:t>合并表，</w:t>
      </w:r>
      <w:r>
        <w:rPr/>
        <w:t>164—165</w:t>
      </w:r>
      <w:r>
        <w:rPr/>
        <w:t>分部）：</w:t>
      </w:r>
      <w:r>
        <w:rPr/>
        <w:t>https://iis.aastocks.com/20260917/12335519-0.PDF</w:t>
      </w:r>
    </w:p>
    <w:p>
      <w:pPr>
        <w:pStyle w:val="Normal"/>
        <w:rPr/>
      </w:pPr>
      <w:r>
        <w:rPr/>
        <w:t>- 2025</w:t>
      </w:r>
      <w:r>
        <w:rPr/>
        <w:t>年报（</w:t>
      </w:r>
      <w:r>
        <w:rPr/>
        <w:t>3</w:t>
      </w:r>
      <w:r>
        <w:rPr/>
        <w:t>月</w:t>
      </w:r>
      <w:r>
        <w:rPr/>
        <w:t>31</w:t>
      </w:r>
      <w:r>
        <w:rPr/>
        <w:t>日）：</w:t>
      </w:r>
      <w:r>
        <w:rPr/>
        <w:t>https://static.cninfo.com.cn/finalpage/2026-03-31/1225063837.PDF</w:t>
      </w:r>
    </w:p>
    <w:p>
      <w:pPr>
        <w:pStyle w:val="Normal"/>
        <w:rPr/>
      </w:pPr>
      <w:r>
        <w:rPr/>
        <w:t xml:space="preserve">- </w:t>
      </w:r>
      <w:r>
        <w:rPr/>
        <w:t>九月股数月报（</w:t>
      </w:r>
      <w:r>
        <w:rPr/>
        <w:t>10</w:t>
      </w:r>
      <w:r>
        <w:rPr/>
        <w:t>月</w:t>
      </w:r>
      <w:r>
        <w:rPr/>
        <w:t>2</w:t>
      </w:r>
      <w:r>
        <w:rPr/>
        <w:t>日）：</w:t>
      </w:r>
      <w:r>
        <w:rPr/>
        <w:t>https://iis.aastocks.com/20261002/12359200-0.PDF</w:t>
      </w:r>
    </w:p>
    <w:p>
      <w:pPr>
        <w:pStyle w:val="Normal"/>
        <w:rPr/>
      </w:pPr>
      <w:r>
        <w:rPr/>
        <w:t xml:space="preserve">- </w:t>
      </w:r>
      <w:r>
        <w:rPr/>
        <w:t>中期股息更新：</w:t>
      </w:r>
      <w:r>
        <w:rPr/>
        <w:t>https://iis.aastocks.com/20260903/12318526-0.PDF</w:t>
      </w:r>
    </w:p>
    <w:p>
      <w:pPr>
        <w:pStyle w:val="Normal"/>
        <w:rPr/>
      </w:pPr>
      <w:r>
        <w:rPr/>
        <w:t>- Zeus/Vitaco</w:t>
      </w:r>
      <w:r>
        <w:rPr/>
        <w:t>出售：</w:t>
      </w:r>
      <w:r>
        <w:rPr/>
        <w:t>https://static.cninfo.com.cn/finalpage/2026-09-30/1225589298.PDF</w:t>
      </w:r>
    </w:p>
    <w:p>
      <w:pPr>
        <w:pStyle w:val="Normal"/>
        <w:rPr/>
      </w:pPr>
      <w:r>
        <w:rPr/>
        <w:t xml:space="preserve">- </w:t>
      </w:r>
      <w:r>
        <w:rPr/>
        <w:t>二期基金及签约：</w:t>
      </w:r>
      <w:r>
        <w:rPr/>
        <w:t xml:space="preserve">https://iis.aastocks.com/20260717/12248606-0.PDF </w:t>
      </w:r>
      <w:r>
        <w:rPr/>
        <w:t>；</w:t>
      </w:r>
      <w:r>
        <w:rPr/>
        <w:t>https://iis.aastocks.com/20260724/12256173-0.PDF</w:t>
      </w:r>
    </w:p>
    <w:p>
      <w:pPr>
        <w:pStyle w:val="Normal"/>
        <w:rPr/>
      </w:pPr>
      <w:r>
        <w:rPr/>
        <w:t xml:space="preserve">- </w:t>
      </w:r>
      <w:r>
        <w:rPr/>
        <w:t>高管薪酬：</w:t>
      </w:r>
      <w:r>
        <w:rPr/>
        <w:t>https://static.cninfo.com.cn/finalpage/2026-09-30/1225589296.PDF</w:t>
      </w:r>
    </w:p>
    <w:p>
      <w:pPr>
        <w:pStyle w:val="Normal"/>
        <w:rPr/>
      </w:pPr>
      <w:r>
        <w:rPr/>
        <w:t xml:space="preserve">- </w:t>
      </w:r>
      <w:r>
        <w:rPr/>
        <w:t>芦可替尼及九月仿制批准：</w:t>
      </w:r>
      <w:r>
        <w:rPr/>
        <w:t xml:space="preserve">https://static.cninfo.com.cn/finalpage/2026-09-01/1225536227.PDF </w:t>
      </w:r>
      <w:r>
        <w:rPr/>
        <w:t>；</w:t>
      </w:r>
      <w:r>
        <w:rPr/>
        <w:t xml:space="preserve">https://static.cninfo.com.cn/finalpage/2026-09-29/1225584058.PDF </w:t>
      </w:r>
      <w:r>
        <w:rPr/>
        <w:t>；</w:t>
      </w:r>
      <w:r>
        <w:rPr/>
        <w:t xml:space="preserve">https://static.cninfo.com.cn/finalpage/2026-09-29/1225584063.PDF </w:t>
      </w:r>
      <w:r>
        <w:rPr/>
        <w:t>；</w:t>
      </w:r>
      <w:r>
        <w:rPr/>
        <w:t>https://static.cninfo.com.cn/finalpage/2026-09-29/1225584064.PDF</w:t>
      </w:r>
    </w:p>
    <w:p>
      <w:pPr>
        <w:pStyle w:val="Normal"/>
        <w:rPr/>
      </w:pPr>
      <w:r>
        <w:rPr/>
        <w:t>- ALS</w:t>
      </w:r>
      <w:r>
        <w:rPr/>
        <w:t>原文及元数据：</w:t>
      </w:r>
      <w:r>
        <w:rPr/>
        <w:t xml:space="preserve">https://www.ebi.ac.uk/europepmc/webservices/rest/PMC13445381/fullTextXML </w:t>
      </w:r>
      <w:r>
        <w:rPr/>
        <w:t>；</w:t>
      </w:r>
      <w:r>
        <w:rPr/>
        <w:t>https://doi.org/10.1016/j.neurot.2026.e00953</w:t>
      </w:r>
    </w:p>
    <w:p>
      <w:pPr>
        <w:pStyle w:val="Normal"/>
        <w:rPr/>
      </w:pPr>
      <w:r>
        <w:rPr/>
        <w:t xml:space="preserve">- </w:t>
      </w:r>
      <w:r>
        <w:rPr/>
        <w:t>首次业绩公开转述</w:t>
      </w:r>
      <w:r>
        <w:rPr/>
        <w:t>8</w:t>
      </w:r>
      <w:r>
        <w:rPr/>
        <w:t>月</w:t>
      </w:r>
      <w:r>
        <w:rPr/>
        <w:t>27</w:t>
      </w:r>
      <w:r>
        <w:rPr/>
        <w:t>日</w:t>
      </w:r>
      <w:r>
        <w:rPr/>
        <w:t>19:08</w:t>
      </w:r>
      <w:r>
        <w:rPr/>
        <w:t>：</w:t>
      </w:r>
      <w:r>
        <w:rPr/>
        <w:t>https://www.aastocks.com/tc/stocks/analysis/stock-aafn-con/02607/HK6/NOW.1541440/result-announcement</w:t>
      </w:r>
    </w:p>
    <w:p>
      <w:pPr>
        <w:pStyle w:val="Normal"/>
        <w:rPr/>
      </w:pPr>
      <w:r>
        <w:rPr/>
        <w:t xml:space="preserve">- </w:t>
      </w:r>
      <w:r>
        <w:rPr/>
        <w:t>外资逐条链接、日期、单位与缺失期限记录：</w:t>
      </w:r>
      <w:r>
        <w:rPr/>
        <w:t>data/shpharma_model.json</w:t>
      </w:r>
      <w:r>
        <w:rPr/>
        <w:t>；已抓新闻原文：</w:t>
      </w:r>
      <w:r>
        <w:rPr/>
        <w:t>data/pharma_evidence.json</w:t>
      </w:r>
      <w:r>
        <w:rPr/>
        <w:t>。</w:t>
      </w:r>
    </w:p>
    <w:p>
      <w:pPr>
        <w:pStyle w:val="Normal"/>
        <w:rPr/>
      </w:pPr>
      <w:r>
        <w:rPr/>
        <w:t xml:space="preserve">- </w:t>
      </w:r>
      <w:r>
        <w:rPr/>
        <w:t>锁版行情、复权及修复记录：</w:t>
      </w:r>
      <w:r>
        <w:rPr/>
        <w:t>data/market_snapshot_locked.json</w:t>
      </w:r>
      <w:r>
        <w:rPr/>
        <w:t>，</w:t>
      </w:r>
      <w:r>
        <w:rPr/>
        <w:t>data/history/S033.json</w:t>
      </w:r>
      <w:r>
        <w:rPr/>
        <w:t>；没有逐笔数据、行业指数及可靠换手率，不补造。</w:t>
      </w:r>
      <w:r>
        <w:br w:type="page"/>
      </w:r>
    </w:p>
    <w:p>
      <w:pPr>
        <w:pStyle w:val="Heading1"/>
        <w:rPr/>
      </w:pPr>
      <w:bookmarkStart w:id="5" w:name="__RefHeading___Toc57538_312338234"/>
      <w:bookmarkEnd w:id="5"/>
      <w:r>
        <w:rPr>
          <w:color w:val="000000"/>
        </w:rPr>
        <w:t xml:space="preserve">康诺亚 </w:t>
      </w:r>
      <w:r>
        <w:rPr>
          <w:color w:val="000000"/>
        </w:rPr>
        <w:t>B 02162 HK</w:t>
      </w:r>
    </w:p>
    <w:p>
      <w:pPr>
        <w:pStyle w:val="Normal"/>
        <w:rPr/>
      </w:pPr>
      <w:r>
        <w:rPr/>
        <w:t xml:space="preserve">02162.HK </w:t>
      </w:r>
      <w:r>
        <w:rPr/>
        <w:t xml:space="preserve">现价 </w:t>
      </w:r>
      <w:r>
        <w:rPr/>
        <w:t>78.30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86.59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91.56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82.02HKD</w:t>
      </w:r>
      <w:r>
        <w:rPr/>
        <w:t>，期望股价回报</w:t>
      </w:r>
      <w:r>
        <w:rPr/>
        <w:t>+4.75%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32.84</w:t>
              <w:br/>
              <w:t>-58.06%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75.04</w:t>
              <w:br/>
              <w:t>-4.17%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162.51</w:t>
              <w:br/>
              <w:t>+107.55%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14.44</w:t>
              <w:br/>
              <w:t>-81.55%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76.15</w:t>
              <w:br/>
              <w:t>-2.75%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226.35</w:t>
              <w:br/>
              <w:t>+189.08%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5.90</w:t>
              <w:br/>
              <w:t>-92.46%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86.59</w:t>
              <w:br/>
              <w:t>+10.58%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312.71</w:t>
              <w:br/>
              <w:t>+299.38%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3.90</w:t>
              <w:br/>
              <w:t>-95.02%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91.56</w:t>
              <w:br/>
              <w:t>+16.94%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315.41</w:t>
              <w:br/>
              <w:t>+302.83%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+22.78%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78.30</w:t>
      </w:r>
      <w:r>
        <w:rPr/>
        <w:t>港元，发行人</w:t>
      </w:r>
      <w:r>
        <w:rPr/>
        <w:t>I047</w:t>
      </w:r>
      <w:r>
        <w:rPr/>
        <w:t>，证券</w:t>
      </w:r>
      <w:r>
        <w:rPr/>
        <w:t>S054</w:t>
      </w:r>
      <w:r>
        <w:rPr/>
        <w:t>，模型</w:t>
      </w:r>
      <w:r>
        <w:rPr/>
        <w:t>keymed-v2-finite-assets-prorated-short-recognition</w:t>
      </w:r>
      <w:r>
        <w:rPr/>
        <w:t>。资料截止同日；中期业绩首次</w:t>
      </w:r>
      <w:r>
        <w:rPr/>
        <w:t>8</w:t>
      </w:r>
      <w:r>
        <w:rPr/>
        <w:t>月</w:t>
      </w:r>
      <w:r>
        <w:rPr/>
        <w:t>19</w:t>
      </w:r>
      <w:r>
        <w:rPr/>
        <w:t>日公开、中报</w:t>
      </w:r>
      <w:r>
        <w:rPr/>
        <w:t>9</w:t>
      </w:r>
      <w:r>
        <w:rPr/>
        <w:t>月</w:t>
      </w:r>
      <w:r>
        <w:rPr/>
        <w:t>22</w:t>
      </w:r>
      <w:r>
        <w:rPr/>
        <w:t>日。半年</w:t>
      </w:r>
      <w:r>
        <w:rPr/>
        <w:t>55.4</w:t>
      </w:r>
      <w:r>
        <w:rPr/>
        <w:t>分、一年</w:t>
      </w:r>
      <w:r>
        <w:rPr/>
        <w:t>60.2</w:t>
      </w:r>
      <w:r>
        <w:rPr/>
        <w:t>分、三年</w:t>
      </w:r>
      <w:r>
        <w:rPr/>
        <w:t>66.3</w:t>
      </w:r>
      <w:r>
        <w:rPr/>
        <w:t>分、五年</w:t>
      </w:r>
      <w:r>
        <w:rPr/>
        <w:t>69.4</w:t>
      </w:r>
      <w:r>
        <w:rPr/>
        <w:t>分；半年观察、一年有条件观察、三至五年高风险成长候选。全名单名次由总表统一计算，不能把本章梯队当作已完成全部公司比较的名次。证据可信度中等，行情基准较高，未来临床、产品费用分配和授权权益估值中低。</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54.079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75.198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123.618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32.840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75.039</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162.511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14.443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76.149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226.346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86.587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312.714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3.896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91.561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315.415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w:t>
            </w:r>
          </w:p>
        </w:tc>
      </w:tr>
    </w:tbl>
    <w:p>
      <w:pPr>
        <w:pStyle w:val="Normal"/>
        <w:rPr/>
      </w:pPr>
      <w:r>
        <w:rPr/>
      </w:r>
    </w:p>
    <w:p>
      <w:pPr>
        <w:pStyle w:val="Normal"/>
        <w:rPr/>
      </w:pPr>
      <w:r>
        <w:rPr/>
        <w:t>未来股息均为零假设，三年基准年化</w:t>
      </w:r>
      <w:r>
        <w:rPr/>
        <w:t>3.41%</w:t>
      </w:r>
      <w:r>
        <w:rPr/>
        <w:t>，五年</w:t>
      </w:r>
      <w:r>
        <w:rPr/>
        <w:t>3.18%</w:t>
      </w:r>
      <w:r>
        <w:rPr/>
        <w:t>。年底</w:t>
      </w:r>
      <w:r>
        <w:rPr/>
        <w:t>25%/50%/25%</w:t>
      </w:r>
      <w:r>
        <w:rPr/>
        <w:t>判断权重期望</w:t>
      </w:r>
      <w:r>
        <w:rPr/>
        <w:t>82.023160</w:t>
      </w:r>
      <w:r>
        <w:rPr/>
        <w:t>港元，回报</w:t>
      </w:r>
      <w:r>
        <w:rPr/>
        <w:t>4.75%</w:t>
      </w:r>
      <w:r>
        <w:rPr/>
        <w:t>；悲观</w:t>
      </w:r>
      <w:r>
        <w:rPr/>
        <w:t>/</w:t>
      </w:r>
      <w:r>
        <w:rPr/>
        <w:t>基准</w:t>
      </w:r>
      <w:r>
        <w:rPr/>
        <w:t>/</w:t>
      </w:r>
      <w:r>
        <w:rPr/>
        <w:t>乐观权重改为</w:t>
      </w:r>
      <w:r>
        <w:rPr/>
        <w:t>40%/40%/20%</w:t>
      </w:r>
      <w:r>
        <w:rPr/>
        <w:t>时为</w:t>
      </w:r>
      <w:r>
        <w:rPr/>
        <w:t>76.434413</w:t>
      </w:r>
      <w:r>
        <w:rPr/>
        <w:t>港元、−</w:t>
      </w:r>
      <w:r>
        <w:rPr/>
        <w:t>2.38%</w:t>
      </w:r>
      <w:r>
        <w:rPr/>
        <w:t>，改为</w:t>
      </w:r>
      <w:r>
        <w:rPr/>
        <w:t>20%/40%/40%</w:t>
      </w:r>
      <w:r>
        <w:rPr/>
        <w:t>时为</w:t>
      </w:r>
      <w:r>
        <w:rPr/>
        <w:t>90.342075</w:t>
      </w:r>
      <w:r>
        <w:rPr/>
        <w:t>港元、</w:t>
      </w:r>
      <w:r>
        <w:rPr/>
        <w:t>15.38%</w:t>
      </w:r>
      <w:r>
        <w:rPr/>
        <w:t>。这些权重不代表统计概率，情景不构成置信区间或最大损失边界。主要风险是医保后净价与投入不匹配、同靶点竞争、临床混合终点、海外权益归属误判、现金持续消耗和未来融资稀释。推荐结论需要康悦达增长转为现金、重要管线形成可审查证据并限制稀释。</w:t>
      </w:r>
    </w:p>
    <w:p>
      <w:pPr>
        <w:pStyle w:val="Heading2"/>
        <w:rPr/>
      </w:pPr>
      <w:r>
        <w:rPr>
          <w:color w:val="000000"/>
        </w:rPr>
        <w:t>一 结论 产品与授权都有进展 当前价格需要更强兑现</w:t>
      </w:r>
    </w:p>
    <w:p>
      <w:pPr>
        <w:pStyle w:val="Normal"/>
        <w:rPr/>
      </w:pPr>
      <w:r>
        <w:rPr/>
        <w:t>康诺亚在名单中具有鲜明的自身免疫疾病特色。公司已有司普奇拜单抗商业化，后续布局长效或双靶点药物，又通过国际合作分享肿瘤和免疫项目的海外经济价值。与完全没有产品销售的早期研发公司相比，真实处方收入提供了需求和执行能力的检验；与成熟大型药企相比，销售集中、现金亏损和临床二元结果仍对价值有更大影响。研究判断应同时包含商业产品与管线，而不能只凭公司从亏损变盈利的财务标题。</w:t>
      </w:r>
    </w:p>
    <w:p>
      <w:pPr>
        <w:pStyle w:val="Normal"/>
        <w:rPr/>
      </w:pPr>
      <w:r>
        <w:rPr/>
        <w:t>上半年产品销售</w:t>
      </w:r>
      <w:r>
        <w:rPr/>
        <w:t>3.92694</w:t>
      </w:r>
      <w:r>
        <w:rPr/>
        <w:t>亿元，较去年同期</w:t>
      </w:r>
      <w:r>
        <w:rPr/>
        <w:t>1.69259</w:t>
      </w:r>
      <w:r>
        <w:rPr/>
        <w:t>亿元增长约</w:t>
      </w:r>
      <w:r>
        <w:rPr/>
        <w:t>132%</w:t>
      </w:r>
      <w:r>
        <w:rPr/>
        <w:t>。康悦达进入医保后在多个自身免疫适应症扩展，说明支付可及性和商业组织正在发挥作用。另一方面，报告归母盈利</w:t>
      </w:r>
      <w:r>
        <w:rPr/>
        <w:t>12.17447</w:t>
      </w:r>
      <w:r>
        <w:rPr/>
        <w:t>亿元，主要受到出售</w:t>
      </w:r>
      <w:r>
        <w:rPr/>
        <w:t>Ouro</w:t>
      </w:r>
      <w:r>
        <w:rPr/>
        <w:t>股权相关的大额投资公允价值收益影响；经营现金流仍流出</w:t>
      </w:r>
      <w:r>
        <w:rPr/>
        <w:t>2.53794</w:t>
      </w:r>
      <w:r>
        <w:rPr/>
        <w:t>亿元，扣生产设备和无形资产现金投入后自由现金流约负</w:t>
      </w:r>
      <w:r>
        <w:rPr/>
        <w:t>3.32323</w:t>
      </w:r>
      <w:r>
        <w:rPr/>
        <w:t>亿元。账面盈利、产品增长和现金消耗是并存状态。</w:t>
      </w:r>
    </w:p>
    <w:p>
      <w:pPr>
        <w:pStyle w:val="Normal"/>
        <w:rPr/>
      </w:pPr>
      <w:r>
        <w:rPr/>
        <w:t>78.30</w:t>
      </w:r>
      <w:r>
        <w:rPr/>
        <w:t>港元处于短期区间中上部，较六十日均线仅高</w:t>
      </w:r>
      <w:r>
        <w:rPr/>
        <w:t>0.14%</w:t>
      </w:r>
      <w:r>
        <w:rPr/>
        <w:t>，过去六十个交易日跌</w:t>
      </w:r>
      <w:r>
        <w:rPr/>
        <w:t>8.90%</w:t>
      </w:r>
      <w:r>
        <w:rPr/>
        <w:t>，但过去二十日涨</w:t>
      </w:r>
      <w:r>
        <w:rPr/>
        <w:t>6.46%</w:t>
      </w:r>
      <w:r>
        <w:rPr/>
        <w:t>。这属于中期回调后的修复，还没有形成量价与多期限相对强弱全面共振。现价上方</w:t>
      </w:r>
      <w:r>
        <w:rPr/>
        <w:t>82.40</w:t>
      </w:r>
      <w:r>
        <w:rPr/>
        <w:t>、</w:t>
      </w:r>
      <w:r>
        <w:rPr/>
        <w:t>88.80</w:t>
      </w:r>
      <w:r>
        <w:rPr/>
        <w:t>和</w:t>
      </w:r>
      <w:r>
        <w:rPr/>
        <w:t>89.75</w:t>
      </w:r>
      <w:r>
        <w:rPr/>
        <w:t>港元依次是可观察高点，突破需要持续成交和基本面配合。公司临床与商业催化很多，但催化数量不直接等于低估值或高收益。</w:t>
      </w:r>
    </w:p>
    <w:p>
      <w:pPr>
        <w:pStyle w:val="Normal"/>
        <w:rPr/>
      </w:pPr>
      <w:r>
        <w:rPr/>
        <w:t>本章有限资产现金流模型的基准半年和一年目标接近</w:t>
      </w:r>
      <w:r>
        <w:rPr/>
        <w:t>75</w:t>
      </w:r>
      <w:r>
        <w:rPr/>
        <w:t>至</w:t>
      </w:r>
      <w:r>
        <w:rPr/>
        <w:t>76</w:t>
      </w:r>
      <w:r>
        <w:rPr/>
        <w:t>港元，低于现价；三年至五年基准目标虽上升，但年化回报只有约</w:t>
      </w:r>
      <w:r>
        <w:rPr/>
        <w:t>3%</w:t>
      </w:r>
      <w:r>
        <w:rPr/>
        <w:t>。这种结果意味着目前价格已反映相当一部分新产品成长和海外权益。进取型投资者可以重视它的多项目上行，但应把推荐建立在能够证明基准假设过低的证据上，而不是把所有乐观假设平均后称为确定机会。评分因此没有随着海外投行较高目标价自动提高。</w:t>
      </w:r>
    </w:p>
    <w:p>
      <w:pPr>
        <w:pStyle w:val="Heading2"/>
        <w:rPr/>
      </w:pPr>
      <w:r>
        <w:rPr>
          <w:color w:val="000000"/>
        </w:rPr>
        <w:t>二 业务结构与权益穿透</w:t>
      </w:r>
    </w:p>
    <w:p>
      <w:pPr>
        <w:pStyle w:val="Normal"/>
        <w:rPr/>
      </w:pPr>
      <w:r>
        <w:rPr/>
        <w:t>康诺亚的收入大致分为自营药品销售和合作安排收入。前者主要由康悦达贡献，需要公司持续承担制造、推广、商业组织和国内准入投入；后者来自许可、里程碑等安排，金额与时间不均匀，收入确认还可能与现金收到不同。授权可以降低部分海外开发风险，却使公司只享有约定权益，不能再把合作伙伴全部销售额视为自身收入。理解两种收入的成本、周期和归属，是后续估值的基础。</w:t>
      </w:r>
    </w:p>
    <w:p>
      <w:pPr>
        <w:pStyle w:val="Normal"/>
        <w:rPr/>
      </w:pPr>
      <w:r>
        <w:rPr/>
        <w:t>司普奇拜单抗即</w:t>
      </w:r>
      <w:r>
        <w:rPr/>
        <w:t>CM310</w:t>
      </w:r>
      <w:r>
        <w:rPr/>
        <w:t>，是靶向</w:t>
      </w:r>
      <w:r>
        <w:rPr/>
        <w:t>IL-4Rα</w:t>
      </w:r>
      <w:r>
        <w:rPr/>
        <w:t>的药物，阻断相关二型炎症信号通路，已获批成人特应性皮炎、慢性鼻窦炎伴鼻息肉及季节性过敏性鼻炎。这些疾病具有反复发作和长期管理特征，患者改善生活质量的需求与肿瘤短期救治需求不同。支付、依从性、给药便利性和真实世界获益对长期收入都重要。公司需要在医生和患者之间建立持续使用的理由，而不仅是完成首次药品销售。</w:t>
      </w:r>
    </w:p>
    <w:p>
      <w:pPr>
        <w:pStyle w:val="Normal"/>
        <w:rPr/>
      </w:pPr>
      <w:r>
        <w:rPr/>
        <w:t>CM512</w:t>
      </w:r>
      <w:r>
        <w:rPr/>
        <w:t>是</w:t>
      </w:r>
      <w:r>
        <w:rPr/>
        <w:t>TSLP</w:t>
      </w:r>
      <w:r>
        <w:rPr/>
        <w:t>与</w:t>
      </w:r>
      <w:r>
        <w:rPr/>
        <w:t>IL-13</w:t>
      </w:r>
      <w:r>
        <w:rPr/>
        <w:t>双抗，目标包括鼻息肉、哮喘、特应性皮炎、慢阻肺和慢性自发性荨麻疹等。它与</w:t>
      </w:r>
      <w:r>
        <w:rPr/>
        <w:t>CM310</w:t>
      </w:r>
      <w:r>
        <w:rPr/>
        <w:t>在部分患者和治疗路径上重叠，成功可能提高公司在自免领域的竞争力，也可能替代旧产品收入。估值必须区分扩展总市场、夺取其他企业份额和内部迁移三种来源。把</w:t>
      </w:r>
      <w:r>
        <w:rPr/>
        <w:t>CM512</w:t>
      </w:r>
      <w:r>
        <w:rPr/>
        <w:t>全部销售加到</w:t>
      </w:r>
      <w:r>
        <w:rPr/>
        <w:t>CM310</w:t>
      </w:r>
      <w:r>
        <w:rPr/>
        <w:t>原有峰值上，会把同一患者的治疗费用重复计入。</w:t>
      </w:r>
    </w:p>
    <w:p>
      <w:pPr>
        <w:pStyle w:val="Normal"/>
        <w:rPr/>
      </w:pPr>
      <w:r>
        <w:rPr/>
        <w:t>CMG901</w:t>
      </w:r>
      <w:r>
        <w:rPr/>
        <w:t>由合作企业</w:t>
      </w:r>
      <w:r>
        <w:rPr/>
        <w:t>KYM</w:t>
      </w:r>
      <w:r>
        <w:rPr/>
        <w:t>持有相关权益，康诺亚占</w:t>
      </w:r>
      <w:r>
        <w:rPr/>
        <w:t>KYM</w:t>
      </w:r>
      <w:r>
        <w:rPr/>
        <w:t>七成，</w:t>
      </w:r>
      <w:r>
        <w:rPr/>
        <w:t>Lepu</w:t>
      </w:r>
      <w:r>
        <w:rPr/>
        <w:t>方面控制的</w:t>
      </w:r>
      <w:r>
        <w:rPr/>
        <w:t>Innocube</w:t>
      </w:r>
      <w:r>
        <w:rPr/>
        <w:t>占三成。阿斯利康负责全球开发和商业化，康诺亚股东最终享有的是合同权利经过</w:t>
      </w:r>
      <w:r>
        <w:rPr/>
        <w:t>KYM</w:t>
      </w:r>
      <w:r>
        <w:rPr/>
        <w:t>经济比例后的价值。全球销售额、</w:t>
      </w:r>
      <w:r>
        <w:rPr/>
        <w:t>KYM</w:t>
      </w:r>
      <w:r>
        <w:rPr/>
        <w:t>里程碑总额和康诺亚归属金额必须分别列示。本章将两线以后胃癌组与前线及其他增量组分开，所有相关版税现金只乘一次</w:t>
      </w:r>
      <w:r>
        <w:rPr/>
        <w:t>70%</w:t>
      </w:r>
      <w:r>
        <w:rPr/>
        <w:t>，避免把合资权益误当全资资产。</w:t>
      </w:r>
    </w:p>
    <w:p>
      <w:pPr>
        <w:pStyle w:val="Normal"/>
        <w:rPr/>
      </w:pPr>
      <w:r>
        <w:rPr/>
        <w:t>CM336</w:t>
      </w:r>
      <w:r>
        <w:rPr/>
        <w:t>海外许可和</w:t>
      </w:r>
      <w:r>
        <w:rPr/>
        <w:t>Ouro</w:t>
      </w:r>
      <w:r>
        <w:rPr/>
        <w:t>股权出售涉及不同合同。康诺亚在出售</w:t>
      </w:r>
      <w:r>
        <w:rPr/>
        <w:t>Ouro</w:t>
      </w:r>
      <w:r>
        <w:rPr/>
        <w:t>股权后取得现金与或有出售对价，不再持有原来的</w:t>
      </w:r>
      <w:r>
        <w:rPr/>
        <w:t>Ouro</w:t>
      </w:r>
      <w:r>
        <w:rPr/>
        <w:t>股份；此前药物许可产生的潜在里程碑和版税权利又是另一条经济路径。</w:t>
      </w:r>
      <w:r>
        <w:rPr/>
        <w:t>CM512</w:t>
      </w:r>
      <w:r>
        <w:rPr/>
        <w:t>海外</w:t>
      </w:r>
      <w:r>
        <w:rPr/>
        <w:t>Belenos</w:t>
      </w:r>
      <w:r>
        <w:rPr/>
        <w:t>、</w:t>
      </w:r>
      <w:r>
        <w:rPr/>
        <w:t>CM313</w:t>
      </w:r>
      <w:r>
        <w:rPr/>
        <w:t>海外</w:t>
      </w:r>
      <w:r>
        <w:rPr/>
        <w:t>Timberlyne</w:t>
      </w:r>
      <w:r>
        <w:rPr/>
        <w:t>和</w:t>
      </w:r>
      <w:r>
        <w:rPr/>
        <w:t>CM355</w:t>
      </w:r>
      <w:r>
        <w:rPr/>
        <w:t>相关</w:t>
      </w:r>
      <w:r>
        <w:rPr/>
        <w:t>Prolium</w:t>
      </w:r>
      <w:r>
        <w:rPr/>
        <w:t>等安排还有股权与药物权利交叉。完整估值需要穿透被许可方的融资、股权稀释和合同范围，不能把新闻中所有交易金额直接相加。</w:t>
      </w:r>
    </w:p>
    <w:p>
      <w:pPr>
        <w:pStyle w:val="Heading2"/>
        <w:rPr/>
      </w:pPr>
      <w:r>
        <w:rPr>
          <w:color w:val="000000"/>
        </w:rPr>
        <w:t>三 自免需求 医保与竞争周期</w:t>
      </w:r>
    </w:p>
    <w:p>
      <w:pPr>
        <w:pStyle w:val="Normal"/>
        <w:rPr/>
      </w:pPr>
      <w:r>
        <w:rPr/>
        <w:t>自免及过敏疾病的长期需求并不只由总人口决定，还与诊断率、治疗标准、支付能力和医生接受程度相关。部分患者长期依赖外用药、激素或传统免疫治疗，生物药要证明在疗效、安全性和生活质量上的增益。医保可以显著降低患者负担，扩大可接受价格下的治疗人数，却也会压低厂家净价。行业增长可能呈现数量快速上升、单价下降的组合，不能用患者增长率直接外推收入增长。</w:t>
      </w:r>
    </w:p>
    <w:p>
      <w:pPr>
        <w:pStyle w:val="Normal"/>
        <w:rPr/>
      </w:pPr>
      <w:r>
        <w:rPr/>
        <w:t>康悦达全部已批适应症以及相关瓶装和自动注射剂型从</w:t>
      </w:r>
      <w:r>
        <w:rPr/>
        <w:t>2026</w:t>
      </w:r>
      <w:r>
        <w:rPr/>
        <w:t>年</w:t>
      </w:r>
      <w:r>
        <w:rPr/>
        <w:t>1</w:t>
      </w:r>
      <w:r>
        <w:rPr/>
        <w:t>月</w:t>
      </w:r>
      <w:r>
        <w:rPr/>
        <w:t>1</w:t>
      </w:r>
      <w:r>
        <w:rPr/>
        <w:t>日起纳入医保，为上半年放量提供重要背景。中报还披露</w:t>
      </w:r>
      <w:r>
        <w:rPr/>
        <w:t>2026</w:t>
      </w:r>
      <w:r>
        <w:rPr/>
        <w:t>年</w:t>
      </w:r>
      <w:r>
        <w:rPr/>
        <w:t>7</w:t>
      </w:r>
      <w:r>
        <w:rPr/>
        <w:t>月进入国家基本药物目录、</w:t>
      </w:r>
      <w:r>
        <w:rPr/>
        <w:t>9</w:t>
      </w:r>
      <w:r>
        <w:rPr/>
        <w:t>月</w:t>
      </w:r>
      <w:r>
        <w:rPr/>
        <w:t>1</w:t>
      </w:r>
      <w:r>
        <w:rPr/>
        <w:t>日起生效。两种准入改善产品可及性，但医院具体配备、地方执行、医保支付规则和医生处方都需要时间。目录身份提高可进入的渠道范围，不保证每家医院立即形成同样销售量，也不能替代真实处方数据。</w:t>
      </w:r>
    </w:p>
    <w:p>
      <w:pPr>
        <w:pStyle w:val="Normal"/>
        <w:rPr/>
      </w:pPr>
      <w:r>
        <w:rPr/>
        <w:t>医保后的核心经济问题是收入增速能否超过商业费用和回款需求。更低患者负担可以提高治疗持续时间，更多医院准入可以增加新患者，销售团队前期投入又可能在短期压住利润。若患者复用改善、存量团队覆盖更多处方，商业费用率有下降空间；若竞争迫使持续补贴和扩张，量增可能仍伴现金亏损。研究用不同现金利润率处理这些路径，并要求观察回款和库存来验证。</w:t>
      </w:r>
    </w:p>
    <w:p>
      <w:pPr>
        <w:pStyle w:val="Normal"/>
        <w:rPr/>
      </w:pPr>
      <w:r>
        <w:rPr/>
        <w:t>IL-4R</w:t>
      </w:r>
      <w:r>
        <w:rPr/>
        <w:t>、</w:t>
      </w:r>
      <w:r>
        <w:rPr/>
        <w:t>TSLP</w:t>
      </w:r>
      <w:r>
        <w:rPr/>
        <w:t>、</w:t>
      </w:r>
      <w:r>
        <w:rPr/>
        <w:t>IL-13</w:t>
      </w:r>
      <w:r>
        <w:rPr/>
        <w:t>等领域已有国内外竞争。一个机制进入临床并不能保证药物之间完全等效，分子性质、剂型、给药周期和试验患者结构会影响结果；同时，不同试验的绝对响应率不能简单横向排座次。康诺亚需要通过可比临床证据和真实世界效果证明差异，尤其是新长效产品的疗效维持与安全性。竞争会使高峰销售和利润率假设承压，行业市场总额也不等于单家公司可得份额。</w:t>
      </w:r>
    </w:p>
    <w:p>
      <w:pPr>
        <w:pStyle w:val="Normal"/>
        <w:rPr/>
      </w:pPr>
      <w:r>
        <w:rPr/>
        <w:t>经济前景对这类企业既有需求传导，也有融资传导。国内收入和医保政策以人民币为主，海外许可多以美元约定，港股投资回报以港币计价；三者汇率变化会改变报表收入和目标价格。利率下降可降低长久期资产折现压力，但若伴随消费者收入或医保预算压力，商业净价可能受限。海外研发资本回暖能改善合作和融资环境，却不能提高已经完成试验的临床事实。</w:t>
      </w:r>
    </w:p>
    <w:p>
      <w:pPr>
        <w:pStyle w:val="Heading2"/>
        <w:rPr/>
      </w:pPr>
      <w:r>
        <w:rPr>
          <w:color w:val="000000"/>
        </w:rPr>
        <w:t>四 康悦达商业化的收入与费用检验</w:t>
      </w:r>
    </w:p>
    <w:p>
      <w:pPr>
        <w:pStyle w:val="Normal"/>
        <w:rPr/>
      </w:pPr>
      <w:r>
        <w:rPr/>
        <w:t>2026</w:t>
      </w:r>
      <w:r>
        <w:rPr/>
        <w:t>年上半年集团收入</w:t>
      </w:r>
      <w:r>
        <w:rPr/>
        <w:t>6.17068</w:t>
      </w:r>
      <w:r>
        <w:rPr/>
        <w:t>亿元，其中药品销售</w:t>
      </w:r>
      <w:r>
        <w:rPr/>
        <w:t>3.92694</w:t>
      </w:r>
      <w:r>
        <w:rPr/>
        <w:t>亿元、合作收入</w:t>
      </w:r>
      <w:r>
        <w:rPr/>
        <w:t>2.24374</w:t>
      </w:r>
      <w:r>
        <w:rPr/>
        <w:t>亿元。</w:t>
      </w:r>
      <w:r>
        <w:rPr/>
        <w:t>2025</w:t>
      </w:r>
      <w:r>
        <w:rPr/>
        <w:t>年全年药品销售</w:t>
      </w:r>
      <w:r>
        <w:rPr/>
        <w:t>3.14761</w:t>
      </w:r>
      <w:r>
        <w:rPr/>
        <w:t>亿元，</w:t>
      </w:r>
      <w:r>
        <w:rPr/>
        <w:t>2024</w:t>
      </w:r>
      <w:r>
        <w:rPr/>
        <w:t>年药品销售仅</w:t>
      </w:r>
      <w:r>
        <w:rPr/>
        <w:t>0.35939</w:t>
      </w:r>
      <w:r>
        <w:rPr/>
        <w:t>亿元，显示商业化处于快速起量阶段。早期基数小使同比高增长较易出现，研究更重视绝对规模、持续用药和同一团队的产出提高。随着基数增大，未来仍需维持百余个百分点增长的难度会显著增加。</w:t>
      </w:r>
    </w:p>
    <w:p>
      <w:pPr>
        <w:pStyle w:val="Normal"/>
        <w:rPr/>
      </w:pPr>
      <w:r>
        <w:rPr/>
        <w:t>中报披露已售存货成本</w:t>
      </w:r>
      <w:r>
        <w:rPr/>
        <w:t>1.16359</w:t>
      </w:r>
      <w:r>
        <w:rPr/>
        <w:t>亿元，药品销售扣该成本约产生</w:t>
      </w:r>
      <w:r>
        <w:rPr/>
        <w:t>2.76335</w:t>
      </w:r>
      <w:r>
        <w:rPr/>
        <w:t>亿元毛利，对应约</w:t>
      </w:r>
      <w:r>
        <w:rPr/>
        <w:t>70.37%</w:t>
      </w:r>
      <w:r>
        <w:rPr/>
        <w:t>的初步药品毛利率。集团毛利</w:t>
      </w:r>
      <w:r>
        <w:rPr/>
        <w:t>4.98325</w:t>
      </w:r>
      <w:r>
        <w:rPr/>
        <w:t>亿元、总体毛利率约</w:t>
      </w:r>
      <w:r>
        <w:rPr/>
        <w:t>80.76%</w:t>
      </w:r>
      <w:r>
        <w:rPr/>
        <w:t>，其中有合作收入贡献，不能把总体毛利率直接作为自营药品毛利。药品毛利后还要承担销售和研发等费用。模型未来</w:t>
      </w:r>
      <w:r>
        <w:rPr/>
        <w:t>45%</w:t>
      </w:r>
      <w:r>
        <w:rPr/>
        <w:t>的产品净经营现金率已经假设商业规模效应较强，并非由当前</w:t>
      </w:r>
      <w:r>
        <w:rPr/>
        <w:t>80%</w:t>
      </w:r>
      <w:r>
        <w:rPr/>
        <w:t>以上集团毛利直接推出。</w:t>
      </w:r>
    </w:p>
    <w:p>
      <w:pPr>
        <w:pStyle w:val="Normal"/>
        <w:rPr/>
      </w:pPr>
      <w:r>
        <w:rPr/>
        <w:t>上半年销售开支</w:t>
      </w:r>
      <w:r>
        <w:rPr/>
        <w:t>2.18387</w:t>
      </w:r>
      <w:r>
        <w:rPr/>
        <w:t>亿元，行政开支</w:t>
      </w:r>
      <w:r>
        <w:rPr/>
        <w:t>0.85551</w:t>
      </w:r>
      <w:r>
        <w:rPr/>
        <w:t>亿元，研发开支</w:t>
      </w:r>
      <w:r>
        <w:rPr/>
        <w:t>3.38749</w:t>
      </w:r>
      <w:r>
        <w:rPr/>
        <w:t>亿元。单用集团毛利减这三项，约为负</w:t>
      </w:r>
      <w:r>
        <w:rPr/>
        <w:t>1.44362</w:t>
      </w:r>
      <w:r>
        <w:rPr/>
        <w:t>亿元，尚未纳入其他收入、融资及税等项目。这一粗桥揭示报告高盈利与持续经营现金创造之间的差距，不能把它称为经审计调整净利润。授权收入可能支持研发投入，而康悦达单独是否盈亏平衡，需要公司更详细的产品费用披露来确认。</w:t>
      </w:r>
    </w:p>
    <w:p>
      <w:pPr>
        <w:pStyle w:val="Normal"/>
        <w:rPr/>
      </w:pPr>
      <w:r>
        <w:rPr/>
        <w:t>公开机构新闻转述管理层</w:t>
      </w:r>
      <w:r>
        <w:rPr/>
        <w:t>2026</w:t>
      </w:r>
      <w:r>
        <w:rPr/>
        <w:t>年康悦达销售约</w:t>
      </w:r>
      <w:r>
        <w:rPr/>
        <w:t>8.5</w:t>
      </w:r>
      <w:r>
        <w:rPr/>
        <w:t>亿元指引，以及峰值销售超过</w:t>
      </w:r>
      <w:r>
        <w:rPr/>
        <w:t>50</w:t>
      </w:r>
      <w:r>
        <w:rPr/>
        <w:t>亿元的观点。本章将</w:t>
      </w:r>
      <w:r>
        <w:rPr/>
        <w:t>8.5</w:t>
      </w:r>
      <w:r>
        <w:rPr/>
        <w:t>亿元用作</w:t>
      </w:r>
      <w:r>
        <w:rPr/>
        <w:t>2026</w:t>
      </w:r>
      <w:r>
        <w:rPr/>
        <w:t>基准产品路径参考，明确这不是从原始中报直接抄出的确定销售表。相对上半年</w:t>
      </w:r>
      <w:r>
        <w:rPr/>
        <w:t>3.92694</w:t>
      </w:r>
      <w:r>
        <w:rPr/>
        <w:t>亿元，全年</w:t>
      </w:r>
      <w:r>
        <w:rPr/>
        <w:t>8.5</w:t>
      </w:r>
      <w:r>
        <w:rPr/>
        <w:t>亿元意味着下半年约</w:t>
      </w:r>
      <w:r>
        <w:rPr/>
        <w:t>4.57306</w:t>
      </w:r>
      <w:r>
        <w:rPr/>
        <w:t>亿元，不需要把半年收入机械乘两倍。峰值观点又取决于更长时间的适应症、准入和竞争，不能当作已经签订的订单。</w:t>
      </w:r>
    </w:p>
    <w:p>
      <w:pPr>
        <w:pStyle w:val="Normal"/>
        <w:rPr/>
      </w:pPr>
      <w:r>
        <w:rPr/>
        <w:t>基准已批适应症销售路径从</w:t>
      </w:r>
      <w:r>
        <w:rPr/>
        <w:t>2026</w:t>
      </w:r>
      <w:r>
        <w:rPr/>
        <w:t>年</w:t>
      </w:r>
      <w:r>
        <w:rPr/>
        <w:t>8.5</w:t>
      </w:r>
      <w:r>
        <w:rPr/>
        <w:t>亿元、</w:t>
      </w:r>
      <w:r>
        <w:rPr/>
        <w:t>2027</w:t>
      </w:r>
      <w:r>
        <w:rPr/>
        <w:t>年</w:t>
      </w:r>
      <w:r>
        <w:rPr/>
        <w:t>13.5</w:t>
      </w:r>
      <w:r>
        <w:rPr/>
        <w:t>亿元、</w:t>
      </w:r>
      <w:r>
        <w:rPr/>
        <w:t>2028</w:t>
      </w:r>
      <w:r>
        <w:rPr/>
        <w:t>年</w:t>
      </w:r>
      <w:r>
        <w:rPr/>
        <w:t>19</w:t>
      </w:r>
      <w:r>
        <w:rPr/>
        <w:t>亿元逐步提高至峰值</w:t>
      </w:r>
      <w:r>
        <w:rPr/>
        <w:t>50</w:t>
      </w:r>
      <w:r>
        <w:rPr/>
        <w:t>亿元，然后按有限生命周期下降。这一曲线属于研究假设，未来已批产品仍有商业风险折扣</w:t>
      </w:r>
      <w:r>
        <w:rPr/>
        <w:t>97%</w:t>
      </w:r>
      <w:r>
        <w:rPr/>
        <w:t>，不是监管成功率。新适应症增量另建一组，并排除已批准成人患者。若净价下降比预计快、复用率不足或市场向更便利的竞争药迁移，峰值和净现金率都要同步下调。</w:t>
      </w:r>
    </w:p>
    <w:p>
      <w:pPr>
        <w:pStyle w:val="Heading2"/>
        <w:rPr/>
      </w:pPr>
      <w:r>
        <w:rPr>
          <w:color w:val="000000"/>
        </w:rPr>
        <w:t xml:space="preserve">五 </w:t>
      </w:r>
      <w:r>
        <w:rPr>
          <w:color w:val="000000"/>
        </w:rPr>
        <w:t>CM310</w:t>
      </w:r>
      <w:r>
        <w:rPr>
          <w:color w:val="000000"/>
        </w:rPr>
        <w:t>新增适应症的证据与边界</w:t>
      </w:r>
    </w:p>
    <w:p>
      <w:pPr>
        <w:pStyle w:val="Normal"/>
        <w:rPr/>
      </w:pPr>
      <w:r>
        <w:rPr/>
        <w:t>青少年特应性皮炎申请</w:t>
      </w:r>
      <w:r>
        <w:rPr/>
        <w:t>2026</w:t>
      </w:r>
      <w:r>
        <w:rPr/>
        <w:t>年</w:t>
      </w:r>
      <w:r>
        <w:rPr/>
        <w:t>1</w:t>
      </w:r>
      <w:r>
        <w:rPr/>
        <w:t>月获受理，涉及</w:t>
      </w:r>
      <w:r>
        <w:rPr/>
        <w:t>180</w:t>
      </w:r>
      <w:r>
        <w:rPr/>
        <w:t>例患者的随机、双盲、安慰剂对照三期研究。中报披露十八周</w:t>
      </w:r>
      <w:r>
        <w:rPr/>
        <w:t>EASI-75</w:t>
      </w:r>
      <w:r>
        <w:rPr/>
        <w:t>达到</w:t>
      </w:r>
      <w:r>
        <w:rPr/>
        <w:t>73.9%</w:t>
      </w:r>
      <w:r>
        <w:rPr/>
        <w:t>，对照</w:t>
      </w:r>
      <w:r>
        <w:rPr/>
        <w:t>43.3%</w:t>
      </w:r>
      <w:r>
        <w:rPr/>
        <w:t>；</w:t>
      </w:r>
      <w:r>
        <w:rPr/>
        <w:t>IGA</w:t>
      </w:r>
      <w:r>
        <w:rPr/>
        <w:t>相关应答</w:t>
      </w:r>
      <w:r>
        <w:rPr/>
        <w:t>57.1%</w:t>
      </w:r>
      <w:r>
        <w:rPr/>
        <w:t>，对照</w:t>
      </w:r>
      <w:r>
        <w:rPr/>
        <w:t>25%</w:t>
      </w:r>
      <w:r>
        <w:rPr/>
        <w:t>。这些结果支持在这一具体患者群的疗效差异，仍需监管审查完整方案、统计和安全性。研究不把青少年结果直接移植给儿童、成人以外所有过敏疾病，也不把一次时间点改善视为多年持续效果。</w:t>
      </w:r>
    </w:p>
    <w:p>
      <w:pPr>
        <w:pStyle w:val="Normal"/>
        <w:rPr/>
      </w:pPr>
      <w:r>
        <w:rPr/>
        <w:t>中报同时讨论瘙痒等指标改善，并称试验未观察到结膜炎。没有观察到某种不良事件，有助于认识该试验中的安全性表现，但样本量和观察时间限制了稀有风险识别。不能把它翻译为所有未来患者永远没有眼部风险，或与其他研究的不同随访长度作简单优劣比较。商业化后药物警戒和更大患者群的安全记录，是长期现金流需要继续更新的输入。</w:t>
      </w:r>
    </w:p>
    <w:p>
      <w:pPr>
        <w:pStyle w:val="Normal"/>
        <w:rPr/>
      </w:pPr>
      <w:r>
        <w:rPr/>
        <w:t>结节性痒疹申请</w:t>
      </w:r>
      <w:r>
        <w:rPr/>
        <w:t>2026</w:t>
      </w:r>
      <w:r>
        <w:rPr/>
        <w:t>年</w:t>
      </w:r>
      <w:r>
        <w:rPr/>
        <w:t>3</w:t>
      </w:r>
      <w:r>
        <w:rPr/>
        <w:t>月获受理，儿童特应性皮炎三期在入组，青少年季节性过敏性鼻炎三期于</w:t>
      </w:r>
      <w:r>
        <w:rPr/>
        <w:t>7</w:t>
      </w:r>
      <w:r>
        <w:rPr/>
        <w:t>月启动。受理意味着进入审评程序，启动意味着试验开始，两者都不是已经完成审批。青少年、儿童和痒疹的终点、风险容忍和治疗需求有所区别。本章用新增患者组的合计</w:t>
      </w:r>
      <w:r>
        <w:rPr/>
        <w:t>70%</w:t>
      </w:r>
      <w:r>
        <w:rPr/>
        <w:t>基准兑现折扣表达不确定性，明确它不是每项试验独立成功率的完整模型。</w:t>
      </w:r>
    </w:p>
    <w:p>
      <w:pPr>
        <w:pStyle w:val="Normal"/>
        <w:rPr/>
      </w:pPr>
      <w:r>
        <w:rPr/>
        <w:t>9</w:t>
      </w:r>
      <w:r>
        <w:rPr/>
        <w:t>月</w:t>
      </w:r>
      <w:r>
        <w:rPr/>
        <w:t>2</w:t>
      </w:r>
      <w:r>
        <w:rPr/>
        <w:t>日公司与</w:t>
      </w:r>
      <w:r>
        <w:rPr/>
        <w:t>Aeira</w:t>
      </w:r>
      <w:r>
        <w:rPr/>
        <w:t>就东南亚、中亚等十八个国家和地区的上市注册及商业化达成许可。公告提到高双位数销售版税，但没有逐档确切费率。地域扩展提供潜在新增收入，仍有当地注册、支付、分销执行和现金回收风险。当前模型未凭十八这个数量添加对应十八份销售峰值，也没有把全部境外药品收入归给母公司；这一权利需获得更具体经营资料后单独刷新。</w:t>
      </w:r>
    </w:p>
    <w:p>
      <w:pPr>
        <w:pStyle w:val="Heading2"/>
        <w:rPr/>
      </w:pPr>
      <w:r>
        <w:rPr>
          <w:color w:val="000000"/>
        </w:rPr>
        <w:t xml:space="preserve">六 </w:t>
      </w:r>
      <w:r>
        <w:rPr>
          <w:color w:val="000000"/>
        </w:rPr>
        <w:t xml:space="preserve">CM512 </w:t>
      </w:r>
      <w:r>
        <w:rPr>
          <w:color w:val="000000"/>
        </w:rPr>
        <w:t>长效双抗的潜力与替代约束</w:t>
      </w:r>
    </w:p>
    <w:p>
      <w:pPr>
        <w:pStyle w:val="Normal"/>
        <w:rPr/>
      </w:pPr>
      <w:r>
        <w:rPr/>
        <w:t>8</w:t>
      </w:r>
      <w:r>
        <w:rPr/>
        <w:t>月</w:t>
      </w:r>
      <w:r>
        <w:rPr/>
        <w:t>10</w:t>
      </w:r>
      <w:r>
        <w:rPr/>
        <w:t>日公告披露</w:t>
      </w:r>
      <w:r>
        <w:rPr/>
        <w:t>CM512</w:t>
      </w:r>
      <w:r>
        <w:rPr/>
        <w:t>用于慢性鼻窦炎伴鼻息肉的二期试验达到全部研究终点。研究共</w:t>
      </w:r>
      <w:r>
        <w:rPr/>
        <w:t>120</w:t>
      </w:r>
      <w:r>
        <w:rPr/>
        <w:t>例，采用随机、双盲、安慰剂对照设计，设置</w:t>
      </w:r>
      <w:r>
        <w:rPr/>
        <w:t>300</w:t>
      </w:r>
      <w:r>
        <w:rPr/>
        <w:t>毫克每十二周、</w:t>
      </w:r>
      <w:r>
        <w:rPr/>
        <w:t>300</w:t>
      </w:r>
      <w:r>
        <w:rPr/>
        <w:t>毫克每二十四周和</w:t>
      </w:r>
      <w:r>
        <w:rPr/>
        <w:t>600</w:t>
      </w:r>
      <w:r>
        <w:rPr/>
        <w:t>毫克每二十四周等组，治疗二十四周并追加安全随访。公告称起效可在四周观察，并计划快速推进</w:t>
      </w:r>
      <w:r>
        <w:rPr/>
        <w:t>300</w:t>
      </w:r>
      <w:r>
        <w:rPr/>
        <w:t>毫克每二十四周三期。这比单纯实验室机制更接近可检验的临床进展。</w:t>
      </w:r>
    </w:p>
    <w:p>
      <w:pPr>
        <w:pStyle w:val="Normal"/>
        <w:rPr/>
      </w:pPr>
      <w:r>
        <w:rPr/>
        <w:t>截至截止日，本章核验的公告没有公开完整效应量、置信区间及各剂量间详细比较。所有终点达到的顶线表述支持积极方向，但仍不能量化与现有药物的差异幅度。半年一次给药对依从性可能有价值，同时要验证疗效能否在整个给药间隔维持、特殊患者是否需要更短周期，以及长期安全性。研究不会为尚未公开的详细数据补造响应率或绝对症状改善数值。</w:t>
      </w:r>
    </w:p>
    <w:p>
      <w:pPr>
        <w:pStyle w:val="Normal"/>
        <w:rPr/>
      </w:pPr>
      <w:r>
        <w:rPr/>
        <w:t>CM512</w:t>
      </w:r>
      <w:r>
        <w:rPr/>
        <w:t>于</w:t>
      </w:r>
      <w:r>
        <w:rPr/>
        <w:t>7</w:t>
      </w:r>
      <w:r>
        <w:rPr/>
        <w:t>月获得突破性治疗相关资格，是沟通和开发路径的积极因素，不等于最终审批，也不消除三期失败可能。哮喘、慢阻肺、特应性皮炎和慢性自发性荨麻疹等二期在进行，不能复用鼻息肉二期成功作为各病种的临床证据。某个疾病中双靶点有优势，不表示另一病种的作用和终点完全相同。各项目在模型中保留不同兑现折扣，并承認聚合估值不能代替逐试验审查。</w:t>
      </w:r>
    </w:p>
    <w:p>
      <w:pPr>
        <w:pStyle w:val="Normal"/>
        <w:rPr/>
      </w:pPr>
      <w:r>
        <w:rPr/>
        <w:t>本章中国鼻息肉净增量峰值悲观</w:t>
      </w:r>
      <w:r>
        <w:rPr/>
        <w:t>13</w:t>
      </w:r>
      <w:r>
        <w:rPr/>
        <w:t>亿元、基准</w:t>
      </w:r>
      <w:r>
        <w:rPr/>
        <w:t>35</w:t>
      </w:r>
      <w:r>
        <w:rPr/>
        <w:t>亿元、乐观</w:t>
      </w:r>
      <w:r>
        <w:rPr/>
        <w:t>60</w:t>
      </w:r>
      <w:r>
        <w:rPr/>
        <w:t>亿元，起售时间分别</w:t>
      </w:r>
      <w:r>
        <w:rPr/>
        <w:t>2030</w:t>
      </w:r>
      <w:r>
        <w:rPr/>
        <w:t>、</w:t>
      </w:r>
      <w:r>
        <w:rPr/>
        <w:t>2029</w:t>
      </w:r>
      <w:r>
        <w:rPr/>
        <w:t>和</w:t>
      </w:r>
      <w:r>
        <w:rPr/>
        <w:t>2028</w:t>
      </w:r>
      <w:r>
        <w:rPr/>
        <w:t>年，成功与商业兑现折扣</w:t>
      </w:r>
      <w:r>
        <w:rPr/>
        <w:t>15%</w:t>
      </w:r>
      <w:r>
        <w:rPr/>
        <w:t>、</w:t>
      </w:r>
      <w:r>
        <w:rPr/>
        <w:t>50%</w:t>
      </w:r>
      <w:r>
        <w:rPr/>
        <w:t>和</w:t>
      </w:r>
      <w:r>
        <w:rPr/>
        <w:t>75%</w:t>
      </w:r>
      <w:r>
        <w:rPr/>
        <w:t>。这里峰值指扣内部替代后净新增收入，不能解读为</w:t>
      </w:r>
      <w:r>
        <w:rPr/>
        <w:t>CM512</w:t>
      </w:r>
      <w:r>
        <w:rPr/>
        <w:t>总销售指引。其他中国适应症组基准净增量峰值</w:t>
      </w:r>
      <w:r>
        <w:rPr/>
        <w:t>40</w:t>
      </w:r>
      <w:r>
        <w:rPr/>
        <w:t>亿元、兑现折扣</w:t>
      </w:r>
      <w:r>
        <w:rPr/>
        <w:t>30%</w:t>
      </w:r>
      <w:r>
        <w:rPr/>
        <w:t>，风险更高。海外除大中华的许可给</w:t>
      </w:r>
      <w:r>
        <w:rPr/>
        <w:t>Belenos</w:t>
      </w:r>
      <w:r>
        <w:rPr/>
        <w:t>，母公司相关股权约</w:t>
      </w:r>
      <w:r>
        <w:rPr/>
        <w:t>30.01%</w:t>
      </w:r>
      <w:r>
        <w:rPr/>
        <w:t>，未估额外海外全销售价值。</w:t>
      </w:r>
    </w:p>
    <w:p>
      <w:pPr>
        <w:pStyle w:val="Heading2"/>
        <w:rPr/>
      </w:pPr>
      <w:r>
        <w:rPr>
          <w:color w:val="000000"/>
        </w:rPr>
        <w:t xml:space="preserve">七 </w:t>
      </w:r>
      <w:r>
        <w:rPr>
          <w:color w:val="000000"/>
        </w:rPr>
        <w:t>CMG901 OS</w:t>
      </w:r>
      <w:r>
        <w:rPr>
          <w:color w:val="000000"/>
        </w:rPr>
        <w:t>积极与</w:t>
      </w:r>
      <w:r>
        <w:rPr>
          <w:color w:val="000000"/>
        </w:rPr>
        <w:t>PFS</w:t>
      </w:r>
      <w:r>
        <w:rPr>
          <w:color w:val="000000"/>
        </w:rPr>
        <w:t>未显著须同时表达</w:t>
      </w:r>
    </w:p>
    <w:p>
      <w:pPr>
        <w:pStyle w:val="Normal"/>
        <w:rPr/>
      </w:pPr>
      <w:r>
        <w:rPr/>
        <w:t>7</w:t>
      </w:r>
      <w:r>
        <w:rPr/>
        <w:t>月</w:t>
      </w:r>
      <w:r>
        <w:rPr/>
        <w:t>28</w:t>
      </w:r>
      <w:r>
        <w:rPr/>
        <w:t>日公告是本章最需要精确措辞的临床资料。</w:t>
      </w:r>
      <w:r>
        <w:rPr/>
        <w:t>CLARITY-Gastric01</w:t>
      </w:r>
      <w:r>
        <w:rPr/>
        <w:t>共</w:t>
      </w:r>
      <w:r>
        <w:rPr/>
        <w:t>594</w:t>
      </w:r>
      <w:r>
        <w:rPr/>
        <w:t>例，在十九个国家一百七十五个中心进行，涉及符合</w:t>
      </w:r>
      <w:r>
        <w:rPr/>
        <w:t>CLDN18.2</w:t>
      </w:r>
      <w:r>
        <w:rPr/>
        <w:t>表达条件的晚期胃癌、胃食管结合部癌及相关患者。三线及以后总生存期共同主要终点达到统计显著，二线及以后总体总生存期关键次要终点也显著；二线及以后</w:t>
      </w:r>
      <w:r>
        <w:rPr/>
        <w:t>BICR</w:t>
      </w:r>
      <w:r>
        <w:rPr/>
        <w:t>无进展生存期共同主要终点未达到统计显著。不能把它压缩为所有主要终点全部成功。</w:t>
      </w:r>
    </w:p>
    <w:p>
      <w:pPr>
        <w:pStyle w:val="Normal"/>
        <w:rPr/>
      </w:pPr>
      <w:r>
        <w:rPr/>
        <w:t>OS</w:t>
      </w:r>
      <w:r>
        <w:rPr/>
        <w:t>直接体现生存获益，往往有很高临床价值；</w:t>
      </w:r>
      <w:r>
        <w:rPr/>
        <w:t>PFS</w:t>
      </w:r>
      <w:r>
        <w:rPr/>
        <w:t>未显著又提出终点结构、后续治疗、评估和患者异质性等需要解释的问题。公开顶线没有完整风险比、置信区间或绝对中位生存数据，本章不提供臆造数值。一个研究里</w:t>
      </w:r>
      <w:r>
        <w:rPr/>
        <w:t>OS</w:t>
      </w:r>
      <w:r>
        <w:rPr/>
        <w:t>和</w:t>
      </w:r>
      <w:r>
        <w:rPr/>
        <w:t>PFS</w:t>
      </w:r>
      <w:r>
        <w:rPr/>
        <w:t>不同方向不自动意味着药物无效，也不自动保证监管批准。判断需要完整数据、预设检验顺序、受益人群和安全性，不能只根据标题选择最有利的一个终点。</w:t>
      </w:r>
    </w:p>
    <w:p>
      <w:pPr>
        <w:pStyle w:val="Normal"/>
        <w:rPr/>
      </w:pPr>
      <w:r>
        <w:rPr/>
        <w:t>抗体偶联药物还需要考察表达阈值、检测方法、既往治疗和毒性管理。</w:t>
      </w:r>
      <w:r>
        <w:rPr/>
        <w:t>CLDN18.2</w:t>
      </w:r>
      <w:r>
        <w:rPr/>
        <w:t>领域存在不同治疗路线，全球市场份额取决于疗效、毒性、适用人群和治疗线别。二线后的成功证据不能直接变成一线与围术期的成功证据。医生是否采用、与现有治疗如何排序、患者检测是否普及，都会影响峰值。合作伙伴的商业能力降低部分执行风险，却无法抹去临床与竞争不确定性。</w:t>
      </w:r>
    </w:p>
    <w:p>
      <w:pPr>
        <w:pStyle w:val="Normal"/>
        <w:rPr/>
      </w:pPr>
      <w:r>
        <w:rPr/>
        <w:t>一线三期于</w:t>
      </w:r>
      <w:r>
        <w:rPr/>
        <w:t>2026</w:t>
      </w:r>
      <w:r>
        <w:rPr/>
        <w:t>年</w:t>
      </w:r>
      <w:r>
        <w:rPr/>
        <w:t>2</w:t>
      </w:r>
      <w:r>
        <w:rPr/>
        <w:t>月完成首例给药，并触发</w:t>
      </w:r>
      <w:r>
        <w:rPr/>
        <w:t>4500</w:t>
      </w:r>
      <w:r>
        <w:rPr/>
        <w:t>万美元总里程碑，康诺亚按</w:t>
      </w:r>
      <w:r>
        <w:rPr/>
        <w:t>70%</w:t>
      </w:r>
      <w:r>
        <w:rPr/>
        <w:t>取得</w:t>
      </w:r>
      <w:r>
        <w:rPr/>
        <w:t>3150</w:t>
      </w:r>
      <w:r>
        <w:rPr/>
        <w:t>万美元，中报相关合作收入约</w:t>
      </w:r>
      <w:r>
        <w:rPr/>
        <w:t>2.19265</w:t>
      </w:r>
      <w:r>
        <w:rPr/>
        <w:t>亿元。已经收到的这笔款体现合作推进，不能在估值里再作为未来里程碑加一遍。模型未来里程碑另按研究时间表和折扣计算，海外版税也经过</w:t>
      </w:r>
      <w:r>
        <w:rPr/>
        <w:t>KYM70%</w:t>
      </w:r>
      <w:r>
        <w:rPr/>
        <w:t>归属。公告转述合作方对峰值销售</w:t>
      </w:r>
      <w:r>
        <w:rPr/>
        <w:t>30</w:t>
      </w:r>
      <w:r>
        <w:rPr/>
        <w:t>亿至</w:t>
      </w:r>
      <w:r>
        <w:rPr/>
        <w:t>50</w:t>
      </w:r>
      <w:r>
        <w:rPr/>
        <w:t>亿美元的估计是经营预期，不是达到销售的证明。</w:t>
      </w:r>
    </w:p>
    <w:p>
      <w:pPr>
        <w:pStyle w:val="Normal"/>
        <w:rPr/>
      </w:pPr>
      <w:r>
        <w:rPr/>
        <w:t>基准模型两线以后组全球峰值</w:t>
      </w:r>
      <w:r>
        <w:rPr/>
        <w:t>30</w:t>
      </w:r>
      <w:r>
        <w:rPr/>
        <w:t>亿美元、版税</w:t>
      </w:r>
      <w:r>
        <w:rPr/>
        <w:t>12%</w:t>
      </w:r>
      <w:r>
        <w:rPr/>
        <w:t>、税服务后现金率</w:t>
      </w:r>
      <w:r>
        <w:rPr/>
        <w:t>82%</w:t>
      </w:r>
      <w:r>
        <w:rPr/>
        <w:t>、归属</w:t>
      </w:r>
      <w:r>
        <w:rPr/>
        <w:t>70%</w:t>
      </w:r>
      <w:r>
        <w:rPr/>
        <w:t>、兑现折扣</w:t>
      </w:r>
      <w:r>
        <w:rPr/>
        <w:t>75%</w:t>
      </w:r>
      <w:r>
        <w:rPr/>
        <w:t>，与前线及其他增量组分开。各档确切合同版税未公开，</w:t>
      </w:r>
      <w:r>
        <w:rPr/>
        <w:t>12%</w:t>
      </w:r>
      <w:r>
        <w:rPr/>
        <w:t>是研究输入。后者基准峰值</w:t>
      </w:r>
      <w:r>
        <w:rPr/>
        <w:t>25</w:t>
      </w:r>
      <w:r>
        <w:rPr/>
        <w:t>亿美元、兑现折扣</w:t>
      </w:r>
      <w:r>
        <w:rPr/>
        <w:t>35%</w:t>
      </w:r>
      <w:r>
        <w:rPr/>
        <w:t>，并不复用后线</w:t>
      </w:r>
      <w:r>
        <w:rPr/>
        <w:t>OS</w:t>
      </w:r>
      <w:r>
        <w:rPr/>
        <w:t>结果的高折扣。这种结构比把两个峰值直接当公司收入更稳妥，但仍未逐癌种、逐治疗线建立完整患者与价格模型，结论可信度因此不能列为最高。</w:t>
      </w:r>
    </w:p>
    <w:p>
      <w:pPr>
        <w:pStyle w:val="Heading2"/>
        <w:rPr/>
      </w:pPr>
      <w:r>
        <w:rPr>
          <w:color w:val="000000"/>
        </w:rPr>
        <w:t xml:space="preserve">八 </w:t>
      </w:r>
      <w:r>
        <w:rPr>
          <w:color w:val="000000"/>
        </w:rPr>
        <w:t>CM336</w:t>
      </w:r>
      <w:r>
        <w:rPr>
          <w:color w:val="000000"/>
        </w:rPr>
        <w:t>与</w:t>
      </w:r>
      <w:r>
        <w:rPr>
          <w:color w:val="000000"/>
        </w:rPr>
        <w:t>Ouro</w:t>
      </w:r>
      <w:r>
        <w:rPr>
          <w:color w:val="000000"/>
        </w:rPr>
        <w:t>出售 两条现金路径不能相加两次</w:t>
      </w:r>
    </w:p>
    <w:p>
      <w:pPr>
        <w:pStyle w:val="Normal"/>
        <w:rPr/>
      </w:pPr>
      <w:r>
        <w:rPr/>
        <w:t>6</w:t>
      </w:r>
      <w:r>
        <w:rPr/>
        <w:t>月</w:t>
      </w:r>
      <w:r>
        <w:rPr/>
        <w:t>5</w:t>
      </w:r>
      <w:r>
        <w:rPr/>
        <w:t>日更新公告确认</w:t>
      </w:r>
      <w:r>
        <w:rPr/>
        <w:t>Ouro</w:t>
      </w:r>
      <w:r>
        <w:rPr/>
        <w:t>股权出售已经完成，公司收到</w:t>
      </w:r>
      <w:r>
        <w:rPr/>
        <w:t>2.57</w:t>
      </w:r>
      <w:r>
        <w:rPr/>
        <w:t>亿美元首付款。此前</w:t>
      </w:r>
      <w:r>
        <w:rPr/>
        <w:t>3</w:t>
      </w:r>
      <w:r>
        <w:rPr/>
        <w:t>月和</w:t>
      </w:r>
      <w:r>
        <w:rPr/>
        <w:t>4</w:t>
      </w:r>
      <w:r>
        <w:rPr/>
        <w:t>月公告包含约</w:t>
      </w:r>
      <w:r>
        <w:rPr/>
        <w:t>2.5</w:t>
      </w:r>
      <w:r>
        <w:rPr/>
        <w:t>亿美元预计金额及完成条件，研究以已完成更新为准。该笔现金在六月现金余额中已经体现，不能既加入当前现金，又把出售首付款作为额外资产价值。公司不再持有原</w:t>
      </w:r>
      <w:r>
        <w:rPr/>
        <w:t>Ouro</w:t>
      </w:r>
      <w:r>
        <w:rPr/>
        <w:t>股权，也不能同时再给这份已出售股权一个估值。</w:t>
      </w:r>
    </w:p>
    <w:p>
      <w:pPr>
        <w:pStyle w:val="Normal"/>
        <w:rPr/>
      </w:pPr>
      <w:r>
        <w:rPr/>
        <w:t>出售安排还包含最多约</w:t>
      </w:r>
      <w:r>
        <w:rPr/>
        <w:t>7000</w:t>
      </w:r>
      <w:r>
        <w:rPr/>
        <w:t>万美元或有对价，与此前</w:t>
      </w:r>
      <w:r>
        <w:rPr/>
        <w:t>CM336</w:t>
      </w:r>
      <w:r>
        <w:rPr/>
        <w:t>许可可达</w:t>
      </w:r>
      <w:r>
        <w:rPr/>
        <w:t>6.10</w:t>
      </w:r>
      <w:r>
        <w:rPr/>
        <w:t>亿美元里程碑以及版税安排分属不同经济条款。潜在最大金额只是所有条件达到的上限，并非一定收款。模型把股权出售或有对价与旧许可未来里程碑分开列行，各自按时点、达成折扣、税和币种计算；不会因同一药物产生两类合同就把已经收到现金重复归属。</w:t>
      </w:r>
    </w:p>
    <w:p>
      <w:pPr>
        <w:pStyle w:val="Normal"/>
        <w:rPr/>
      </w:pPr>
      <w:r>
        <w:rPr/>
        <w:t>Ouro</w:t>
      </w:r>
      <w:r>
        <w:rPr/>
        <w:t>相关后续由</w:t>
      </w:r>
      <w:r>
        <w:rPr/>
        <w:t>Gilead</w:t>
      </w:r>
      <w:r>
        <w:rPr/>
        <w:t>和</w:t>
      </w:r>
      <w:r>
        <w:rPr/>
        <w:t>Lakefront</w:t>
      </w:r>
      <w:r>
        <w:rPr/>
        <w:t>等方参与不同工作，交易体现跨国药企对资产的兴趣，但不替代试验结果。公开</w:t>
      </w:r>
      <w:r>
        <w:rPr/>
        <w:t>AIHA</w:t>
      </w:r>
      <w:r>
        <w:rPr/>
        <w:t>数据涉及两例患者，样本很小，不能推定为普遍、持续和安全的免疫重置。未来注册研究预计</w:t>
      </w:r>
      <w:r>
        <w:rPr/>
        <w:t>2027</w:t>
      </w:r>
      <w:r>
        <w:rPr/>
        <w:t>年启动仍是计划；截至日没有完成该研究的证据。海外开发若转向更多自身免疫病种，需要在每一种疾病重新验证获益和风险。</w:t>
      </w:r>
    </w:p>
    <w:p>
      <w:pPr>
        <w:pStyle w:val="Normal"/>
        <w:rPr/>
      </w:pPr>
      <w:r>
        <w:rPr/>
        <w:t>CM336</w:t>
      </w:r>
      <w:r>
        <w:rPr/>
        <w:t>国内还布局复发难治多发性骨髓瘤及免疫疾病，其临床阶段和海外许可患者群不同。肿瘤场景能够接受的毒性与慢性免疫场景不同，不能把骨髓瘤用药经验无条件迁移到长期免疫治疗。模型海外免疫许可基准峰值</w:t>
      </w:r>
      <w:r>
        <w:rPr/>
        <w:t>40</w:t>
      </w:r>
      <w:r>
        <w:rPr/>
        <w:t>亿美元、兑现折扣</w:t>
      </w:r>
      <w:r>
        <w:rPr/>
        <w:t>25%</w:t>
      </w:r>
      <w:r>
        <w:rPr/>
        <w:t>，国内组</w:t>
      </w:r>
      <w:r>
        <w:rPr/>
        <w:t>15</w:t>
      </w:r>
      <w:r>
        <w:rPr/>
        <w:t>亿元、</w:t>
      </w:r>
      <w:r>
        <w:rPr/>
        <w:t>40%</w:t>
      </w:r>
      <w:r>
        <w:rPr/>
        <w:t>，保留大幅不确定性。实际多适应症开发成本和合同版税阶梯未完整公开，需承认价值范围可能非常宽。</w:t>
      </w:r>
    </w:p>
    <w:p>
      <w:pPr>
        <w:pStyle w:val="Heading2"/>
        <w:rPr/>
      </w:pPr>
      <w:r>
        <w:rPr>
          <w:color w:val="000000"/>
        </w:rPr>
        <w:t>九 其他管线与未估值权益</w:t>
      </w:r>
    </w:p>
    <w:p>
      <w:pPr>
        <w:pStyle w:val="Normal"/>
        <w:rPr/>
      </w:pPr>
      <w:r>
        <w:rPr/>
        <w:t>CM313</w:t>
      </w:r>
      <w:r>
        <w:rPr/>
        <w:t>国内</w:t>
      </w:r>
      <w:r>
        <w:rPr/>
        <w:t>CD38</w:t>
      </w:r>
      <w:r>
        <w:rPr/>
        <w:t>相关开发涉及</w:t>
      </w:r>
      <w:r>
        <w:rPr/>
        <w:t>ITP</w:t>
      </w:r>
      <w:r>
        <w:rPr/>
        <w:t>、</w:t>
      </w:r>
      <w:r>
        <w:rPr/>
        <w:t>IgA</w:t>
      </w:r>
      <w:r>
        <w:rPr/>
        <w:t>肾病和骨髓瘤，项目分别处于不同研究阶段。海外</w:t>
      </w:r>
      <w:r>
        <w:rPr/>
        <w:t>Timberlyne</w:t>
      </w:r>
      <w:r>
        <w:rPr/>
        <w:t>许可于</w:t>
      </w:r>
      <w:r>
        <w:rPr/>
        <w:t>2025</w:t>
      </w:r>
      <w:r>
        <w:rPr/>
        <w:t>年</w:t>
      </w:r>
      <w:r>
        <w:rPr/>
        <w:t>1</w:t>
      </w:r>
      <w:r>
        <w:rPr/>
        <w:t>月公布，包括</w:t>
      </w:r>
      <w:r>
        <w:rPr/>
        <w:t>2500</w:t>
      </w:r>
      <w:r>
        <w:rPr/>
        <w:t>万美元首付款、近期</w:t>
      </w:r>
      <w:r>
        <w:rPr/>
        <w:t>500</w:t>
      </w:r>
      <w:r>
        <w:rPr/>
        <w:t>万美元和后续最高</w:t>
      </w:r>
      <w:r>
        <w:rPr/>
        <w:t>3.375</w:t>
      </w:r>
      <w:r>
        <w:rPr/>
        <w:t>亿美元等条款，同时康诺亚拥有相关股权。股权约</w:t>
      </w:r>
      <w:r>
        <w:rPr/>
        <w:t>25.79%</w:t>
      </w:r>
      <w:r>
        <w:rPr/>
        <w:t>是历史披露，不保证融资后保持相同比例。本文仅给国内组有限现金价值，未把海外销售、全部许可上限和被许可方股权同时累加。</w:t>
      </w:r>
    </w:p>
    <w:p>
      <w:pPr>
        <w:pStyle w:val="Normal"/>
        <w:rPr/>
      </w:pPr>
      <w:r>
        <w:rPr/>
        <w:t>CM326</w:t>
      </w:r>
      <w:r>
        <w:rPr/>
        <w:t>在中国指定地域许可给石药集团，国内哮喘和鼻息肉后期研究以及慢阻肺二期的路径不同。康诺亚享有许可权益，不能按自营产品保留全部销售利润。</w:t>
      </w:r>
      <w:r>
        <w:rPr/>
        <w:t>CM355</w:t>
      </w:r>
      <w:r>
        <w:rPr/>
        <w:t>与诺诚健华共同合作，相关经济比例和地域用途也不同，海外</w:t>
      </w:r>
      <w:r>
        <w:rPr/>
        <w:t>Prolium</w:t>
      </w:r>
      <w:r>
        <w:rPr/>
        <w:t>安排需要穿透。模型中国</w:t>
      </w:r>
      <w:r>
        <w:rPr/>
        <w:t>CM326</w:t>
      </w:r>
      <w:r>
        <w:rPr/>
        <w:t>采用研究版税率，</w:t>
      </w:r>
      <w:r>
        <w:rPr/>
        <w:t>CM355</w:t>
      </w:r>
      <w:r>
        <w:rPr/>
        <w:t>及</w:t>
      </w:r>
      <w:r>
        <w:rPr/>
        <w:t>Prolium</w:t>
      </w:r>
      <w:r>
        <w:rPr/>
        <w:t>未额外定价，保留对未估值早期项目的研发储备。</w:t>
      </w:r>
    </w:p>
    <w:p>
      <w:pPr>
        <w:pStyle w:val="Normal"/>
        <w:rPr/>
      </w:pPr>
      <w:r>
        <w:rPr/>
        <w:t>CM518D1</w:t>
      </w:r>
      <w:r>
        <w:rPr/>
        <w:t>等</w:t>
      </w:r>
      <w:r>
        <w:rPr/>
        <w:t>CDH17</w:t>
      </w:r>
      <w:r>
        <w:rPr/>
        <w:t>抗体偶联药物和神经相关早期项目提供探索空间，却距离可规模化现金流较远。把每个早期靶点都赋予很高峰值，会使管线总值随项目数量无限增加。当前模型早期未充分证实资产给零额外价值，但其未来研发投入仍在中央储备中保留。零价值不代表药物没有潜力，而是现有公开证据不足以支持普通股股东当前为潜力支付确定金额。</w:t>
      </w:r>
    </w:p>
    <w:p>
      <w:pPr>
        <w:pStyle w:val="Normal"/>
        <w:rPr/>
      </w:pPr>
      <w:r>
        <w:rPr/>
        <w:t>这种处理也会造成估值遗漏。</w:t>
      </w:r>
      <w:r>
        <w:rPr/>
        <w:t>Belenos</w:t>
      </w:r>
      <w:r>
        <w:rPr/>
        <w:t>、</w:t>
      </w:r>
      <w:r>
        <w:rPr/>
        <w:t>Timberlyne</w:t>
      </w:r>
      <w:r>
        <w:rPr/>
        <w:t>及</w:t>
      </w:r>
      <w:r>
        <w:rPr/>
        <w:t>Prolium</w:t>
      </w:r>
      <w:r>
        <w:rPr/>
        <w:t>的股权可能未来值钱，</w:t>
      </w:r>
      <w:r>
        <w:rPr/>
        <w:t>CM310</w:t>
      </w:r>
      <w:r>
        <w:rPr/>
        <w:t>海外许可也可能产生现金，本章没有给完整穿透价值。遗漏是明确的不确定性，不能简单声称模型必然保守，因为已定价资产的峰值、利润率和费用也可能偏乐观。需要用新资料逐项补足，并检查合同现金是否已在现有授权模型中出现，避免用所谓安全边际掩盖相反误差。</w:t>
      </w:r>
    </w:p>
    <w:p>
      <w:pPr>
        <w:pStyle w:val="Heading2"/>
        <w:rPr/>
      </w:pPr>
      <w:r>
        <w:rPr>
          <w:color w:val="000000"/>
        </w:rPr>
        <w:t>十 财务 投资收益与经营质量分开</w:t>
      </w:r>
    </w:p>
    <w:p>
      <w:pPr>
        <w:pStyle w:val="Normal"/>
        <w:rPr/>
      </w:pPr>
      <w:r>
        <w:rPr/>
        <w:t>2025</w:t>
      </w:r>
      <w:r>
        <w:rPr/>
        <w:t>年公司收入</w:t>
      </w:r>
      <w:r>
        <w:rPr/>
        <w:t>7.16313</w:t>
      </w:r>
      <w:r>
        <w:rPr/>
        <w:t>亿元，药品</w:t>
      </w:r>
      <w:r>
        <w:rPr/>
        <w:t>3.14761</w:t>
      </w:r>
      <w:r>
        <w:rPr/>
        <w:t>亿元、合作</w:t>
      </w:r>
      <w:r>
        <w:rPr/>
        <w:t>4.01552</w:t>
      </w:r>
      <w:r>
        <w:rPr/>
        <w:t>亿元，全年亏损</w:t>
      </w:r>
      <w:r>
        <w:rPr/>
        <w:t>5.22597</w:t>
      </w:r>
      <w:r>
        <w:rPr/>
        <w:t>亿元，经调整亏损</w:t>
      </w:r>
      <w:r>
        <w:rPr/>
        <w:t>4.94834</w:t>
      </w:r>
      <w:r>
        <w:rPr/>
        <w:t>亿元主要加回股份薪酬。</w:t>
      </w:r>
      <w:r>
        <w:rPr/>
        <w:t>2024</w:t>
      </w:r>
      <w:r>
        <w:rPr/>
        <w:t>年收入</w:t>
      </w:r>
      <w:r>
        <w:rPr/>
        <w:t>4.28124</w:t>
      </w:r>
      <w:r>
        <w:rPr/>
        <w:t>亿元，药品仅</w:t>
      </w:r>
      <w:r>
        <w:rPr/>
        <w:t>0.35939</w:t>
      </w:r>
      <w:r>
        <w:rPr/>
        <w:t>亿元。历史显示授权和一次性合作安排对收入规模有重要影响。</w:t>
      </w:r>
      <w:r>
        <w:rPr/>
        <w:t>2026</w:t>
      </w:r>
      <w:r>
        <w:rPr/>
        <w:t>上半年药品占比提高，有助于向更可重复的收入结构转变，却不能据此认为授权收入已完全稳定或经营已成熟。</w:t>
      </w:r>
    </w:p>
    <w:p>
      <w:pPr>
        <w:pStyle w:val="Normal"/>
        <w:rPr/>
      </w:pPr>
      <w:r>
        <w:rPr/>
        <w:t>上半年其他收入及收益</w:t>
      </w:r>
      <w:r>
        <w:rPr/>
        <w:t>17.05973</w:t>
      </w:r>
      <w:r>
        <w:rPr/>
        <w:t>亿元，其中投资公允价值收益</w:t>
      </w:r>
      <w:r>
        <w:rPr/>
        <w:t>16.39506</w:t>
      </w:r>
      <w:r>
        <w:rPr/>
        <w:t>亿元，主要与</w:t>
      </w:r>
      <w:r>
        <w:rPr/>
        <w:t>Ouro</w:t>
      </w:r>
      <w:r>
        <w:rPr/>
        <w:t>出售有关。报告税前利润</w:t>
      </w:r>
      <w:r>
        <w:rPr/>
        <w:t>15.07767</w:t>
      </w:r>
      <w:r>
        <w:rPr/>
        <w:t>亿元、净利润</w:t>
      </w:r>
      <w:r>
        <w:rPr/>
        <w:t>12.17613</w:t>
      </w:r>
      <w:r>
        <w:rPr/>
        <w:t>亿元，税开支</w:t>
      </w:r>
      <w:r>
        <w:rPr/>
        <w:t>2.90154</w:t>
      </w:r>
      <w:r>
        <w:rPr/>
        <w:t>亿元，包含递延税开支</w:t>
      </w:r>
      <w:r>
        <w:rPr/>
        <w:t>2.66839</w:t>
      </w:r>
      <w:r>
        <w:rPr/>
        <w:t>亿元和预提税约</w:t>
      </w:r>
      <w:r>
        <w:rPr/>
        <w:t>0.21927</w:t>
      </w:r>
      <w:r>
        <w:rPr/>
        <w:t>亿元。正常化分析不能机械把投资收益从净利润减掉后称为真实净利，因为还涉及税、收益分类和其他项目。合理结论是持续经营盈利尚未得到同等力度验证。</w:t>
      </w:r>
    </w:p>
    <w:p>
      <w:pPr>
        <w:pStyle w:val="Normal"/>
        <w:rPr/>
      </w:pPr>
      <w:r>
        <w:rPr/>
        <w:t>股份薪酬上半年约</w:t>
      </w:r>
      <w:r>
        <w:rPr/>
        <w:t>0.252</w:t>
      </w:r>
      <w:r>
        <w:rPr/>
        <w:t>亿元，是重要员工激励的经济成本。剔除它可以观察现金成本，却不能让普通股股东的稀释消失。未来研究采用预测稀释股数，不将经调整盈利当无需奖励支出的利润。对研发人才密集企业，激励有助于留人，但需要跟踪授予、归属、离职和每股价值变化；股东获得的是每股现金流，而不是集团收入与会计利润的总额。</w:t>
      </w:r>
    </w:p>
    <w:p>
      <w:pPr>
        <w:pStyle w:val="Normal"/>
        <w:rPr/>
      </w:pPr>
      <w:r>
        <w:rPr/>
        <w:t>经营现金流负</w:t>
      </w:r>
      <w:r>
        <w:rPr/>
        <w:t>2.53794</w:t>
      </w:r>
      <w:r>
        <w:rPr/>
        <w:t>亿元，设备现金投入</w:t>
      </w:r>
      <w:r>
        <w:rPr/>
        <w:t>0.76828</w:t>
      </w:r>
      <w:r>
        <w:rPr/>
        <w:t>亿元、无形资产</w:t>
      </w:r>
      <w:r>
        <w:rPr/>
        <w:t>0.01701</w:t>
      </w:r>
      <w:r>
        <w:rPr/>
        <w:t>亿元，自由现金流约负</w:t>
      </w:r>
      <w:r>
        <w:rPr/>
        <w:t>3.32323</w:t>
      </w:r>
      <w:r>
        <w:rPr/>
        <w:t>亿元。投资出售现金属于投资活动，不能使经营现金流自动变为正。应收款</w:t>
      </w:r>
      <w:r>
        <w:rPr/>
        <w:t>2.10272</w:t>
      </w:r>
      <w:r>
        <w:rPr/>
        <w:t>亿元、库存</w:t>
      </w:r>
      <w:r>
        <w:rPr/>
        <w:t>2.30285</w:t>
      </w:r>
      <w:r>
        <w:rPr/>
        <w:t>亿元也占用资金；商业放量可能使营运资本上升。半年自由现金流不能代表未来每年都同幅流出，但它足以提醒模型要保留现金消耗、维持投资与融资风险。</w:t>
      </w:r>
    </w:p>
    <w:p>
      <w:pPr>
        <w:pStyle w:val="Normal"/>
        <w:rPr/>
      </w:pPr>
      <w:r>
        <w:rPr/>
        <w:t>生产设施及设备账面</w:t>
      </w:r>
      <w:r>
        <w:rPr/>
        <w:t>12.95520</w:t>
      </w:r>
      <w:r>
        <w:rPr/>
        <w:t>亿元，资本开支承诺</w:t>
      </w:r>
      <w:r>
        <w:rPr/>
        <w:t>1.92012</w:t>
      </w:r>
      <w:r>
        <w:rPr/>
        <w:t>亿元。自有生产能力可能改善供应、质量和毛利，但投资回报取决于利用率和未来销售。临床失败或商业销量低于预期时，产能资产不能按原成本立即变现；反过来，多个产品成功时追加投资可能高于目前承诺。模型净现金率已包含正常维持资本开支，新增开发与中央费用单列，不重复用全部设备账面值增加权益。</w:t>
      </w:r>
    </w:p>
    <w:p>
      <w:pPr>
        <w:pStyle w:val="Heading2"/>
        <w:rPr/>
      </w:pPr>
      <w:r>
        <w:rPr>
          <w:color w:val="000000"/>
        </w:rPr>
        <w:t>十一 流动性 税和股数</w:t>
      </w:r>
    </w:p>
    <w:p>
      <w:pPr>
        <w:pStyle w:val="Normal"/>
        <w:rPr/>
      </w:pPr>
      <w:r>
        <w:rPr/>
        <w:t>六月现金等价物</w:t>
      </w:r>
      <w:r>
        <w:rPr/>
        <w:t>23.39429</w:t>
      </w:r>
      <w:r>
        <w:rPr/>
        <w:t>亿元、定期存款</w:t>
      </w:r>
      <w:r>
        <w:rPr/>
        <w:t>5.56141</w:t>
      </w:r>
      <w:r>
        <w:rPr/>
        <w:t>亿元、结构性存款</w:t>
      </w:r>
      <w:r>
        <w:rPr/>
        <w:t>3.31637</w:t>
      </w:r>
      <w:r>
        <w:rPr/>
        <w:t>亿元，合计约</w:t>
      </w:r>
      <w:r>
        <w:rPr/>
        <w:t>32.27207</w:t>
      </w:r>
      <w:r>
        <w:rPr/>
        <w:t>亿元，另有限制性存款</w:t>
      </w:r>
      <w:r>
        <w:rPr/>
        <w:t>0.14390</w:t>
      </w:r>
      <w:r>
        <w:rPr/>
        <w:t>亿元。约</w:t>
      </w:r>
      <w:r>
        <w:rPr/>
        <w:t>32</w:t>
      </w:r>
      <w:r>
        <w:rPr/>
        <w:t>亿元现金的公司表述需要与明细口径对应，不能将限制性存款重复加进可自由使用资金。结构产品本模型按</w:t>
      </w:r>
      <w:r>
        <w:rPr/>
        <w:t>95%</w:t>
      </w:r>
      <w:r>
        <w:rPr/>
        <w:t>研究回收率计算，未声称这就是实际损失概率。银行借款</w:t>
      </w:r>
      <w:r>
        <w:rPr/>
        <w:t>6.77377</w:t>
      </w:r>
      <w:r>
        <w:rPr/>
        <w:t>亿元，其中流动部分</w:t>
      </w:r>
      <w:r>
        <w:rPr/>
        <w:t>4.25560</w:t>
      </w:r>
      <w:r>
        <w:rPr/>
        <w:t>亿元，应与现金一并考察到期压力。</w:t>
      </w:r>
    </w:p>
    <w:p>
      <w:pPr>
        <w:pStyle w:val="Normal"/>
        <w:rPr/>
      </w:pPr>
      <w:r>
        <w:rPr/>
        <w:t>现金锚从上述非限制资金扣银行债、递延税负债</w:t>
      </w:r>
      <w:r>
        <w:rPr/>
        <w:t>2.65274</w:t>
      </w:r>
      <w:r>
        <w:rPr/>
        <w:t>亿元及</w:t>
      </w:r>
      <w:r>
        <w:rPr/>
        <w:t>5</w:t>
      </w:r>
      <w:r>
        <w:rPr/>
        <w:t>亿元经营资本储备，得到</w:t>
      </w:r>
      <w:r>
        <w:rPr/>
        <w:t>17.6797415</w:t>
      </w:r>
      <w:r>
        <w:rPr/>
        <w:t>亿元研究超额现金。递延税全部扣作未来税现金储备偏谨慎，尚缺税基及支付时间的逐项预算。限制现金未包含在锚中，不再扣一次；租赁法律负债</w:t>
      </w:r>
      <w:r>
        <w:rPr/>
        <w:t>0.19317</w:t>
      </w:r>
      <w:r>
        <w:rPr/>
        <w:t>亿元独立披露，而经济租金留在经营现金及总部成本，避免再扣同一租赁现金负担。这个锚是经济可用近似，非审计净债定义。</w:t>
      </w:r>
    </w:p>
    <w:p>
      <w:pPr>
        <w:pStyle w:val="Normal"/>
        <w:rPr/>
      </w:pPr>
      <w:r>
        <w:rPr/>
        <w:t>公司对出售款用途表示约</w:t>
      </w:r>
      <w:r>
        <w:rPr/>
        <w:t>30%</w:t>
      </w:r>
      <w:r>
        <w:rPr/>
        <w:t>将在三年内支持核心商业化，约</w:t>
      </w:r>
      <w:r>
        <w:rPr/>
        <w:t>70%</w:t>
      </w:r>
      <w:r>
        <w:rPr/>
        <w:t>用于</w:t>
      </w:r>
      <w:r>
        <w:rPr/>
        <w:t>CM512</w:t>
      </w:r>
      <w:r>
        <w:rPr/>
        <w:t>、</w:t>
      </w:r>
      <w:r>
        <w:rPr/>
        <w:t>CM518D1</w:t>
      </w:r>
      <w:r>
        <w:rPr/>
        <w:t>、</w:t>
      </w:r>
      <w:r>
        <w:rPr/>
        <w:t>CM313</w:t>
      </w:r>
      <w:r>
        <w:rPr/>
        <w:t>和</w:t>
      </w:r>
      <w:r>
        <w:rPr/>
        <w:t>CM336</w:t>
      </w:r>
      <w:r>
        <w:rPr/>
        <w:t>等研发。大额现金不是长期闲置给股东的资产，而是已计划用于投入的资源。现金跑道应按经营、资本开支、税和融资共同估计，不能只用当期研发费用除现金。若管线扩张比商业回款快，即使当前余额较充足，几年后仍可能通过新股或债务融资。</w:t>
      </w:r>
    </w:p>
    <w:p>
      <w:pPr>
        <w:pStyle w:val="Normal"/>
        <w:rPr/>
      </w:pPr>
      <w:r>
        <w:rPr/>
        <w:t>九月证券月报已发行</w:t>
      </w:r>
      <w:r>
        <w:rPr/>
        <w:t>298,735,566</w:t>
      </w:r>
      <w:r>
        <w:rPr/>
        <w:t>股、月报库存股份为零。</w:t>
      </w:r>
      <w:r>
        <w:rPr/>
        <w:t>IFRS</w:t>
      </w:r>
      <w:r>
        <w:rPr/>
        <w:t>财报另有</w:t>
      </w:r>
      <w:r>
        <w:rPr/>
        <w:t>2022</w:t>
      </w:r>
      <w:r>
        <w:rPr/>
        <w:t>奖励计划预留</w:t>
      </w:r>
      <w:r>
        <w:rPr/>
        <w:t>4,136,000</w:t>
      </w:r>
      <w:r>
        <w:rPr/>
        <w:t>股，</w:t>
      </w:r>
      <w:r>
        <w:rPr/>
        <w:t>EPS</w:t>
      </w:r>
      <w:r>
        <w:rPr/>
        <w:t>加权基本</w:t>
      </w:r>
      <w:r>
        <w:rPr/>
        <w:t>283,506,861</w:t>
      </w:r>
      <w:r>
        <w:rPr/>
        <w:t>股、加权稀释</w:t>
      </w:r>
      <w:r>
        <w:rPr/>
        <w:t>286,272,946</w:t>
      </w:r>
      <w:r>
        <w:rPr/>
        <w:t>股。这些数字代表不同目的，不得互相替代。每股目标采用预测普通股总分母，不能为了提高目标价而只取较低的加权</w:t>
      </w:r>
      <w:r>
        <w:rPr/>
        <w:t>EPS</w:t>
      </w:r>
      <w:r>
        <w:rPr/>
        <w:t>股数；也不能把奖励预留与月报库存分类混称同一类法律股份。</w:t>
      </w:r>
    </w:p>
    <w:p>
      <w:pPr>
        <w:pStyle w:val="Normal"/>
        <w:rPr/>
      </w:pPr>
      <w:r>
        <w:rPr/>
        <w:t>8</w:t>
      </w:r>
      <w:r>
        <w:rPr/>
        <w:t>月</w:t>
      </w:r>
      <w:r>
        <w:rPr/>
        <w:t>19</w:t>
      </w:r>
      <w:r>
        <w:rPr/>
        <w:t>日</w:t>
      </w:r>
      <w:r>
        <w:rPr/>
        <w:t>A</w:t>
      </w:r>
      <w:r>
        <w:rPr/>
        <w:t>股科创板计划公告仅为初步建议，当时尚未向有关监管机构提交申请。发行价格、股数和完成时间没有得到确定，模型未加入未知募集款。未来股数在基准年底</w:t>
      </w:r>
      <w:r>
        <w:rPr/>
        <w:t>3</w:t>
      </w:r>
      <w:r>
        <w:rPr/>
        <w:t>亿、半年</w:t>
      </w:r>
      <w:r>
        <w:rPr/>
        <w:t>3.05</w:t>
      </w:r>
      <w:r>
        <w:rPr/>
        <w:t>亿、一年</w:t>
      </w:r>
      <w:r>
        <w:rPr/>
        <w:t>3.2</w:t>
      </w:r>
      <w:r>
        <w:rPr/>
        <w:t>亿、三年</w:t>
      </w:r>
      <w:r>
        <w:rPr/>
        <w:t>3.5</w:t>
      </w:r>
      <w:r>
        <w:rPr/>
        <w:t>亿、五年</w:t>
      </w:r>
      <w:r>
        <w:rPr/>
        <w:t>3.8</w:t>
      </w:r>
      <w:r>
        <w:rPr/>
        <w:t>亿的范围逐步变化，均是研究稀释假设。若未来融资实际条件不同，必须同时刷新资金与分母，不能只加现金或只减股数来挑选最有利结果。</w:t>
      </w:r>
    </w:p>
    <w:p>
      <w:pPr>
        <w:pStyle w:val="Heading2"/>
        <w:rPr/>
      </w:pPr>
      <w:r>
        <w:rPr>
          <w:color w:val="000000"/>
        </w:rPr>
        <w:t>十二 估值模型与现金流边界</w:t>
      </w:r>
    </w:p>
    <w:p>
      <w:pPr>
        <w:pStyle w:val="Normal"/>
        <w:rPr/>
      </w:pPr>
      <w:r>
        <w:rPr/>
        <w:t>公司当前不适合用报告</w:t>
      </w:r>
      <w:r>
        <w:rPr/>
        <w:t>PE</w:t>
      </w:r>
      <w:r>
        <w:rPr/>
        <w:t>主导估值。出售收益使年度化净利润看起来很高，若误认为可重复，容易得到很低的表面市盈率。反过来，只用药品年化收入计算销售倍数又会遗漏授权权利，却不反映持续研发现金消耗。本章采用十组有限风险调整现金流，分别计算产品经营现金、授权版税、未来里程碑、逐项目开发成本、中央储备和未来超额净现金，再除稀释股数换成港币。</w:t>
      </w:r>
    </w:p>
    <w:p>
      <w:pPr>
        <w:pStyle w:val="Normal"/>
        <w:rPr/>
      </w:pPr>
      <w:r>
        <w:rPr/>
        <w:t>资产经营现金包含研究假设的制造、销售、商业管理、税、维持资本开支和营运资本现金率，不包含新增临床开发和非商业总部储备。逐项目开发费按照研究日程完整扣，不因未来成功率低就把已经需要投入的钱同比缩小；中央费用仅对应其他未估值早期项目和非商业总部。全部研发费用不能再从模型重复扣一次。公开报表尚没有完整逐药成本，分摊是研究判断，需要列为模型重要限制。</w:t>
      </w:r>
    </w:p>
    <w:p>
      <w:pPr>
        <w:pStyle w:val="Normal"/>
        <w:rPr/>
      </w:pPr>
      <w:r>
        <w:rPr/>
        <w:t>折现率悲观</w:t>
      </w:r>
      <w:r>
        <w:rPr/>
        <w:t>18%</w:t>
      </w:r>
      <w:r>
        <w:rPr/>
        <w:t>、基准</w:t>
      </w:r>
      <w:r>
        <w:rPr/>
        <w:t>14%</w:t>
      </w:r>
      <w:r>
        <w:rPr/>
        <w:t>、乐观</w:t>
      </w:r>
      <w:r>
        <w:rPr/>
        <w:t>11%</w:t>
      </w:r>
      <w:r>
        <w:rPr/>
        <w:t>，现金流延续到</w:t>
      </w:r>
      <w:r>
        <w:rPr/>
        <w:t>2044</w:t>
      </w:r>
      <w:r>
        <w:rPr/>
        <w:t>年，没有永续终值。临床与商业兑现折扣另外作用于经营流，折现率表达资本要求和时间风险，两者均不是可以直接解释为获利概率的数字。某些多适应症资产采用聚合组，因此本章不是全管线逐药逐适应症</w:t>
      </w:r>
      <w:r>
        <w:rPr/>
        <w:t>DCF</w:t>
      </w:r>
      <w:r>
        <w:rPr/>
        <w:t>。有限期限使旧产品竞争与生命周期下降产生实质约束，但不能保证所有价格、专利和竞争变化已经精确建模。</w:t>
      </w:r>
    </w:p>
    <w:p>
      <w:pPr>
        <w:pStyle w:val="Normal"/>
        <w:rPr/>
      </w:pPr>
      <w:r>
        <w:rPr/>
        <w:t>目标时点当年的经营现金、项目费用和中央成本按目标日以后剩余年份比例计入；之前已经赚取或花掉的现金只在未来净现金桥中体现。里程碑按假设年末单次款处理，不做均匀分摊。未来超额现金桥仍是合计经营、投资、融资和里程碑变化假设，未完成逐季三表。这样处理能减少重复，却不能代替现金预算，重要收款时间变化仍需逐次刷新。</w:t>
      </w:r>
    </w:p>
    <w:p>
      <w:pPr>
        <w:pStyle w:val="Normal"/>
        <w:rPr/>
      </w:pPr>
      <w:r>
        <w:rPr/>
        <w:t>年底基准经营现金现值</w:t>
      </w:r>
      <w:r>
        <w:rPr/>
        <w:t>207.84201</w:t>
      </w:r>
      <w:r>
        <w:rPr/>
        <w:t>亿元，扣项目开发现值</w:t>
      </w:r>
      <w:r>
        <w:rPr/>
        <w:t>16.86384</w:t>
      </w:r>
      <w:r>
        <w:rPr/>
        <w:t>亿元、中央储备</w:t>
      </w:r>
      <w:r>
        <w:rPr/>
        <w:t>12.56946</w:t>
      </w:r>
      <w:r>
        <w:rPr/>
        <w:t>亿元，加未来里程碑</w:t>
      </w:r>
      <w:r>
        <w:rPr/>
        <w:t>4.53554</w:t>
      </w:r>
      <w:r>
        <w:rPr/>
        <w:t>亿元，资产净值约</w:t>
      </w:r>
      <w:r>
        <w:rPr/>
        <w:t>182.94426</w:t>
      </w:r>
      <w:r>
        <w:rPr/>
        <w:t>亿元；再加目标时点超额现金</w:t>
      </w:r>
      <w:r>
        <w:rPr/>
        <w:t>16.5</w:t>
      </w:r>
      <w:r>
        <w:rPr/>
        <w:t>亿元，除</w:t>
      </w:r>
      <w:r>
        <w:rPr/>
        <w:t>3</w:t>
      </w:r>
      <w:r>
        <w:rPr/>
        <w:t>亿股，以一人民币兑</w:t>
      </w:r>
      <w:r>
        <w:rPr/>
        <w:t>1.10</w:t>
      </w:r>
      <w:r>
        <w:rPr/>
        <w:t>港币假设换算，有限内在价</w:t>
      </w:r>
      <w:r>
        <w:rPr/>
        <w:t>73.12956</w:t>
      </w:r>
      <w:r>
        <w:rPr/>
        <w:t>港元。各项在原生模型里保留年度现金流与折现因子，不能用一个等效</w:t>
      </w:r>
      <w:r>
        <w:rPr/>
        <w:t>EPS</w:t>
      </w:r>
      <w:r>
        <w:rPr/>
        <w:t>替代这些组件。</w:t>
      </w:r>
    </w:p>
    <w:p>
      <w:pPr>
        <w:pStyle w:val="Heading2"/>
        <w:rPr/>
      </w:pPr>
      <w:r>
        <w:rPr>
          <w:color w:val="000000"/>
        </w:rPr>
        <w:t>十三 资产价值贡献与敏感性</w:t>
      </w:r>
    </w:p>
    <w:p>
      <w:pPr>
        <w:pStyle w:val="Normal"/>
        <w:rPr/>
      </w:pPr>
      <w:r>
        <w:rPr/>
        <w:t>年底基准已批</w:t>
      </w:r>
      <w:r>
        <w:rPr/>
        <w:t>CM310</w:t>
      </w:r>
      <w:r>
        <w:rPr/>
        <w:t>现金现值约</w:t>
      </w:r>
      <w:r>
        <w:rPr/>
        <w:t>89.04745</w:t>
      </w:r>
      <w:r>
        <w:rPr/>
        <w:t>亿元，新增适应症约</w:t>
      </w:r>
      <w:r>
        <w:rPr/>
        <w:t>10.01411</w:t>
      </w:r>
      <w:r>
        <w:rPr/>
        <w:t>亿元，是最主要价值来源。</w:t>
      </w:r>
      <w:r>
        <w:rPr/>
        <w:t>CM512</w:t>
      </w:r>
      <w:r>
        <w:rPr/>
        <w:t>中国鼻息肉净增量约</w:t>
      </w:r>
      <w:r>
        <w:rPr/>
        <w:t>19.65316</w:t>
      </w:r>
      <w:r>
        <w:rPr/>
        <w:t>亿元、其他适应症约</w:t>
      </w:r>
      <w:r>
        <w:rPr/>
        <w:t>7.30495</w:t>
      </w:r>
      <w:r>
        <w:rPr/>
        <w:t>亿元。已销售产品的兑现程度高于二期新药，但成熟产品仍面对净价和竞争风险。若这部分销售与现金率不达标，其他早期价值很难仅凭项目数量填补缺口，基准推荐需要首先检查商业产品。</w:t>
      </w:r>
    </w:p>
    <w:p>
      <w:pPr>
        <w:pStyle w:val="Normal"/>
        <w:rPr/>
      </w:pPr>
      <w:r>
        <w:rPr/>
        <w:t>CMG901</w:t>
      </w:r>
      <w:r>
        <w:rPr/>
        <w:t>两线以后权益基准现值约</w:t>
      </w:r>
      <w:r>
        <w:rPr/>
        <w:t>35.73577</w:t>
      </w:r>
      <w:r>
        <w:rPr/>
        <w:t>亿元，前线等增量约</w:t>
      </w:r>
      <w:r>
        <w:rPr/>
        <w:t>9.09897</w:t>
      </w:r>
      <w:r>
        <w:rPr/>
        <w:t>亿元，</w:t>
      </w:r>
      <w:r>
        <w:rPr/>
        <w:t>CM336</w:t>
      </w:r>
      <w:r>
        <w:rPr/>
        <w:t>海外约</w:t>
      </w:r>
      <w:r>
        <w:rPr/>
        <w:t>13.60482</w:t>
      </w:r>
      <w:r>
        <w:rPr/>
        <w:t>亿元。其价值高度依赖全球销售、合同版税和兑现时点，人民币美元换算也影响结果。</w:t>
      </w:r>
      <w:r>
        <w:rPr/>
        <w:t>CM336</w:t>
      </w:r>
      <w:r>
        <w:rPr/>
        <w:t>国内约</w:t>
      </w:r>
      <w:r>
        <w:rPr/>
        <w:t>4.05965</w:t>
      </w:r>
      <w:r>
        <w:rPr/>
        <w:t>亿元、</w:t>
      </w:r>
      <w:r>
        <w:rPr/>
        <w:t>CM313</w:t>
      </w:r>
      <w:r>
        <w:rPr/>
        <w:t>国内</w:t>
      </w:r>
      <w:r>
        <w:rPr/>
        <w:t>1.02234</w:t>
      </w:r>
      <w:r>
        <w:rPr/>
        <w:t>亿元、</w:t>
      </w:r>
      <w:r>
        <w:rPr/>
        <w:t>CM326</w:t>
      </w:r>
      <w:r>
        <w:rPr/>
        <w:t>许可</w:t>
      </w:r>
      <w:r>
        <w:rPr/>
        <w:t>1.43695</w:t>
      </w:r>
      <w:r>
        <w:rPr/>
        <w:t>亿元，规模较小。小价值不是临床优劣排名，而是现有阶段、归属、收入假设和费用共同作用的结果。</w:t>
      </w:r>
    </w:p>
    <w:p>
      <w:pPr>
        <w:pStyle w:val="Normal"/>
        <w:rPr/>
      </w:pPr>
      <w:r>
        <w:rPr/>
        <w:t>鼻息肉</w:t>
      </w:r>
      <w:r>
        <w:rPr/>
        <w:t>CM512</w:t>
      </w:r>
      <w:r>
        <w:rPr/>
        <w:t>基准</w:t>
      </w:r>
      <w:r>
        <w:rPr/>
        <w:t>50%</w:t>
      </w:r>
      <w:r>
        <w:rPr/>
        <w:t>兑现折扣变为</w:t>
      </w:r>
      <w:r>
        <w:rPr/>
        <w:t>40%</w:t>
      </w:r>
      <w:r>
        <w:rPr/>
        <w:t>，未考虑费用变化时，其正经营现金部分会下降两成；从</w:t>
      </w:r>
      <w:r>
        <w:rPr/>
        <w:t>2029</w:t>
      </w:r>
      <w:r>
        <w:rPr/>
        <w:t>年延至</w:t>
      </w:r>
      <w:r>
        <w:rPr/>
        <w:t>2030</w:t>
      </w:r>
      <w:r>
        <w:rPr/>
        <w:t>年还会减少早期现金并延后折现。</w:t>
      </w:r>
      <w:r>
        <w:rPr/>
        <w:t>CMG901</w:t>
      </w:r>
      <w:r>
        <w:rPr/>
        <w:t>基准版税</w:t>
      </w:r>
      <w:r>
        <w:rPr/>
        <w:t>12%</w:t>
      </w:r>
      <w:r>
        <w:rPr/>
        <w:t>变为</w:t>
      </w:r>
      <w:r>
        <w:rPr/>
        <w:t>10%</w:t>
      </w:r>
      <w:r>
        <w:rPr/>
        <w:t>，未考虑其他变化时，相关正经营流下降约六分之一。费用未必同步下降，所以净价值损失可能更大。研究采用这种输入敏感性理解风险，而不把模型的多位小数当作真正估价精度。</w:t>
      </w:r>
    </w:p>
    <w:p>
      <w:pPr>
        <w:pStyle w:val="Normal"/>
        <w:rPr/>
      </w:pPr>
      <w:r>
        <w:rPr/>
        <w:t>人民币兑港币模型固定</w:t>
      </w:r>
      <w:r>
        <w:rPr/>
        <w:t>1.10</w:t>
      </w:r>
      <w:r>
        <w:rPr/>
        <w:t>，美元兑人民币</w:t>
      </w:r>
      <w:r>
        <w:rPr/>
        <w:t>7.00</w:t>
      </w:r>
      <w:r>
        <w:rPr/>
        <w:t>，均是估值研究假设，不是截止日实测汇率。若人民币产品价值占比相同而人民币对港币整体弱</w:t>
      </w:r>
      <w:r>
        <w:rPr/>
        <w:t>5%</w:t>
      </w:r>
      <w:r>
        <w:rPr/>
        <w:t>，对应港币目标会受压；海外美元权益可产生不同方向的抵消。人民币投资者持有港股还需另看港币兑人民币的持有期变化，不能把公司报表汇率与投资者换汇回报混在一列。本币价格回报与汇率敏感性应分别读取总表。</w:t>
      </w:r>
    </w:p>
    <w:p>
      <w:pPr>
        <w:pStyle w:val="Normal"/>
        <w:rPr/>
      </w:pPr>
      <w:r>
        <w:rPr/>
        <w:t>悲观组合同时采用较低峰值、低兑现、较高折现和较大稀释，乐观组合同时相反，因此有限资产内在价尾部极宽。多个假设之间具有相关性，研发失败可以伴随融资更贵，多个成功也会推高开发和商业投入。模型明确保留这些组合，却不能称其为市场大多数情况下会达到的范围。任何期望值的高低都很依赖权重，特别是乐观尾部远高于基准时。</w:t>
      </w:r>
    </w:p>
    <w:p>
      <w:pPr>
        <w:pStyle w:val="Heading2"/>
        <w:rPr/>
      </w:pPr>
      <w:r>
        <w:rPr>
          <w:color w:val="000000"/>
        </w:rPr>
        <w:t>十四 短期市场目标与年底判断</w:t>
      </w:r>
    </w:p>
    <w:p>
      <w:pPr>
        <w:pStyle w:val="Normal"/>
        <w:rPr/>
      </w:pPr>
      <w:r>
        <w:rPr/>
        <w:t>年底有限内在价悲观</w:t>
      </w:r>
      <w:r>
        <w:rPr/>
        <w:t>9.10</w:t>
      </w:r>
      <w:r>
        <w:rPr/>
        <w:t>港元、基准</w:t>
      </w:r>
      <w:r>
        <w:rPr/>
        <w:t>73.13</w:t>
      </w:r>
      <w:r>
        <w:rPr/>
        <w:t>港元、乐观</w:t>
      </w:r>
      <w:r>
        <w:rPr/>
        <w:t>259.57</w:t>
      </w:r>
      <w:r>
        <w:rPr/>
        <w:t>港元，是长期现金路径在年底的折现结果。短短不到三个月，并不一定出现足以让市场全部接受这些长年极端路径的新信息。本章另列市场认知系数，以现价加系数乘内在价与现价差得到市场目标。系数属于公开的研究定价假设，没有统计校准，不是从机构一年目标按月份线性缩放。</w:t>
      </w:r>
    </w:p>
    <w:p>
      <w:pPr>
        <w:pStyle w:val="Normal"/>
        <w:rPr/>
      </w:pPr>
      <w:r>
        <w:rPr/>
        <w:t>年底悲观、基准和乐观系数分别</w:t>
      </w:r>
      <w:r>
        <w:rPr/>
        <w:t>35%</w:t>
      </w:r>
      <w:r>
        <w:rPr/>
        <w:t>、</w:t>
      </w:r>
      <w:r>
        <w:rPr/>
        <w:t>60%</w:t>
      </w:r>
      <w:r>
        <w:rPr/>
        <w:t>和</w:t>
      </w:r>
      <w:r>
        <w:rPr/>
        <w:t>25%</w:t>
      </w:r>
      <w:r>
        <w:rPr/>
        <w:t>，得到</w:t>
      </w:r>
      <w:r>
        <w:rPr/>
        <w:t>54.08</w:t>
      </w:r>
      <w:r>
        <w:rPr/>
        <w:t>、</w:t>
      </w:r>
      <w:r>
        <w:rPr/>
        <w:t>75.20</w:t>
      </w:r>
      <w:r>
        <w:rPr/>
        <w:t>和</w:t>
      </w:r>
      <w:r>
        <w:rPr/>
        <w:t>123.62</w:t>
      </w:r>
      <w:r>
        <w:rPr/>
        <w:t>港元。悲观情景是医保放量和现金转化不足、临床解读或市场风险偏好恶化；基准是产品继续推进、已公开数据进一步审查但未把所有长期潜力完全重估；乐观是更有力商业和临床信息提高预期。即使采用部分认知，极端事件仍可能使实际价格超出范围，因此</w:t>
      </w:r>
      <w:r>
        <w:rPr/>
        <w:t>54</w:t>
      </w:r>
      <w:r>
        <w:rPr/>
        <w:t>港元不是保护本金的硬底。</w:t>
      </w:r>
    </w:p>
    <w:p>
      <w:pPr>
        <w:pStyle w:val="Normal"/>
        <w:rPr/>
      </w:pPr>
      <w:r>
        <w:rPr/>
        <w:t>半年系数</w:t>
      </w:r>
      <w:r>
        <w:rPr/>
        <w:t>65%</w:t>
      </w:r>
      <w:r>
        <w:rPr/>
        <w:t>、</w:t>
      </w:r>
      <w:r>
        <w:rPr/>
        <w:t>80%</w:t>
      </w:r>
      <w:r>
        <w:rPr/>
        <w:t>和</w:t>
      </w:r>
      <w:r>
        <w:rPr/>
        <w:t>45%</w:t>
      </w:r>
      <w:r>
        <w:rPr/>
        <w:t>，一年</w:t>
      </w:r>
      <w:r>
        <w:rPr/>
        <w:t>90%</w:t>
      </w:r>
      <w:r>
        <w:rPr/>
        <w:t>、</w:t>
      </w:r>
      <w:r>
        <w:rPr/>
        <w:t>100%</w:t>
      </w:r>
      <w:r>
        <w:rPr/>
        <w:t>和</w:t>
      </w:r>
      <w:r>
        <w:rPr/>
        <w:t>75%</w:t>
      </w:r>
      <w:r>
        <w:rPr/>
        <w:t>，三年至五年均为</w:t>
      </w:r>
      <w:r>
        <w:rPr/>
        <w:t>100%</w:t>
      </w:r>
      <w:r>
        <w:rPr/>
        <w:t>，表示更长时间可能积累更多经营与临床证据。短期目标不仅依赖资产内在值，还依赖市场何时认可价值，认知系数本身是估值的不确定输入。投资者可以在总表检查完全重估的内在价，和本章市场目标同时比较；不能只选择较高的一列声称研究存在某个确定上涨空间。</w:t>
      </w:r>
    </w:p>
    <w:p>
      <w:pPr>
        <w:pStyle w:val="Normal"/>
        <w:rPr/>
      </w:pPr>
      <w:r>
        <w:rPr/>
        <w:t>年底</w:t>
      </w:r>
      <w:r>
        <w:rPr/>
        <w:t>25%/50%/25%</w:t>
      </w:r>
      <w:r>
        <w:rPr/>
        <w:t>权重期望</w:t>
      </w:r>
      <w:r>
        <w:rPr/>
        <w:t>82.02</w:t>
      </w:r>
      <w:r>
        <w:rPr/>
        <w:t>港元，比现价高</w:t>
      </w:r>
      <w:r>
        <w:rPr/>
        <w:t>4.75%</w:t>
      </w:r>
      <w:r>
        <w:rPr/>
        <w:t>，而基准价低于现价。两者不同是因为乐观尾部较长，期望数不是最可能价格，也不是建议按该价格交易。提高悲观权重后期望变负，说明当前安全边际并不稳固。短期进取投资应要求能改变证据的事件和量价确认，而不是把较长右尾自动当高胜率。当前评分</w:t>
      </w:r>
      <w:r>
        <w:rPr/>
        <w:t>55.4</w:t>
      </w:r>
      <w:r>
        <w:rPr/>
        <w:t>分正反映了这个约束。</w:t>
      </w:r>
    </w:p>
    <w:p>
      <w:pPr>
        <w:pStyle w:val="Heading2"/>
        <w:rPr/>
      </w:pPr>
      <w:r>
        <w:rPr>
          <w:color w:val="000000"/>
        </w:rPr>
        <w:t>十五 外资机构目标的参照与分歧</w:t>
      </w:r>
    </w:p>
    <w:p>
      <w:pPr>
        <w:pStyle w:val="Normal"/>
        <w:rPr/>
      </w:pPr>
      <w:r>
        <w:rPr/>
        <w:t>汇丰</w:t>
      </w:r>
      <w:r>
        <w:rPr/>
        <w:t>9</w:t>
      </w:r>
      <w:r>
        <w:rPr/>
        <w:t>月</w:t>
      </w:r>
      <w:r>
        <w:rPr/>
        <w:t>29</w:t>
      </w:r>
      <w:r>
        <w:rPr/>
        <w:t>日目标</w:t>
      </w:r>
      <w:r>
        <w:rPr/>
        <w:t>107</w:t>
      </w:r>
      <w:r>
        <w:rPr/>
        <w:t>港元、买入；里昂</w:t>
      </w:r>
      <w:r>
        <w:rPr/>
        <w:t>9</w:t>
      </w:r>
      <w:r>
        <w:rPr/>
        <w:t>月</w:t>
      </w:r>
      <w:r>
        <w:rPr/>
        <w:t>1</w:t>
      </w:r>
      <w:r>
        <w:rPr/>
        <w:t>日目标</w:t>
      </w:r>
      <w:r>
        <w:rPr/>
        <w:t>104</w:t>
      </w:r>
      <w:r>
        <w:rPr/>
        <w:t>港元、跑赢大市；大和</w:t>
      </w:r>
      <w:r>
        <w:rPr/>
        <w:t>8</w:t>
      </w:r>
      <w:r>
        <w:rPr/>
        <w:t>月</w:t>
      </w:r>
      <w:r>
        <w:rPr/>
        <w:t>21</w:t>
      </w:r>
      <w:r>
        <w:rPr/>
        <w:t>日</w:t>
      </w:r>
      <w:r>
        <w:rPr/>
        <w:t>110</w:t>
      </w:r>
      <w:r>
        <w:rPr/>
        <w:t>港元、买入；花旗同日</w:t>
      </w:r>
      <w:r>
        <w:rPr/>
        <w:t>97.5</w:t>
      </w:r>
      <w:r>
        <w:rPr/>
        <w:t>港元、买入及高风险；高盛</w:t>
      </w:r>
      <w:r>
        <w:rPr/>
        <w:t>9</w:t>
      </w:r>
      <w:r>
        <w:rPr/>
        <w:t>月</w:t>
      </w:r>
      <w:r>
        <w:rPr/>
        <w:t>11</w:t>
      </w:r>
      <w:r>
        <w:rPr/>
        <w:t>日</w:t>
      </w:r>
      <w:r>
        <w:rPr/>
        <w:t>118.88</w:t>
      </w:r>
      <w:r>
        <w:rPr/>
        <w:t>港元、买入。这些均是截至日可核验的公开财经新闻转述，未取得同等可公开原始完整研报，也没有统一明确目标到期日。相对</w:t>
      </w:r>
      <w:r>
        <w:rPr/>
        <w:t>78.30</w:t>
      </w:r>
      <w:r>
        <w:rPr/>
        <w:t>港元，目标涨幅大致</w:t>
      </w:r>
      <w:r>
        <w:rPr/>
        <w:t>24.52%</w:t>
      </w:r>
      <w:r>
        <w:rPr/>
        <w:t>至</w:t>
      </w:r>
      <w:r>
        <w:rPr/>
        <w:t>51.83%</w:t>
      </w:r>
      <w:r>
        <w:rPr/>
        <w:t>，不能标注为机构年底保证回报。</w:t>
      </w:r>
    </w:p>
    <w:p>
      <w:pPr>
        <w:pStyle w:val="Normal"/>
        <w:rPr/>
      </w:pPr>
      <w:r>
        <w:rPr/>
        <w:t>机构可能对</w:t>
      </w:r>
      <w:r>
        <w:rPr/>
        <w:t>CM310</w:t>
      </w:r>
      <w:r>
        <w:rPr/>
        <w:t>峰值、</w:t>
      </w:r>
      <w:r>
        <w:rPr/>
        <w:t>CM512</w:t>
      </w:r>
      <w:r>
        <w:rPr/>
        <w:t>差异化、</w:t>
      </w:r>
      <w:r>
        <w:rPr/>
        <w:t>CMG901</w:t>
      </w:r>
      <w:r>
        <w:rPr/>
        <w:t>注册概率和海外许可给予更高估值，也可能采用更完整未公开资产模型。本章基准一年</w:t>
      </w:r>
      <w:r>
        <w:rPr/>
        <w:t>76.15</w:t>
      </w:r>
      <w:r>
        <w:rPr/>
        <w:t>港元低于这些目标，分歧主要来自有限生命周期、现金率、管线兑现和稀释。缺少原报告详细模型时，不应臆造机构为什么给某个数。研究将它们作为外部参照，保留自身可计算假设，未来公开完整数据可推动基准向任一方向修订。</w:t>
      </w:r>
    </w:p>
    <w:p>
      <w:pPr>
        <w:pStyle w:val="Normal"/>
        <w:rPr/>
      </w:pPr>
      <w:r>
        <w:rPr/>
        <w:t>新闻转载需要按机构和日期去重，同一机构保留最新有效条目。目标币种为港币，不能将美元许可金额直接套作港股目标。机构上调或维持评级本身也不是临床新增证据，读者应回到报告日期与事件后信息集。最近九十天目标较新，有助于检查市场预期，但不能替代现金归属和患者模型。若截至日查不到原始期限，本章明确缺失，不补成所有报告必然十二个月。</w:t>
      </w:r>
    </w:p>
    <w:p>
      <w:pPr>
        <w:pStyle w:val="Heading2"/>
        <w:rPr/>
      </w:pPr>
      <w:r>
        <w:rPr>
          <w:color w:val="000000"/>
        </w:rPr>
        <w:t>十六 日线结构 修复尚待突破确认</w:t>
      </w:r>
    </w:p>
    <w:p>
      <w:pPr>
        <w:pStyle w:val="Normal"/>
        <w:rPr/>
      </w:pPr>
      <w:r>
        <w:rPr/>
        <w:t>锁定行情包含</w:t>
      </w:r>
      <w:r>
        <w:rPr/>
        <w:t>739</w:t>
      </w:r>
      <w:r>
        <w:rPr/>
        <w:t>个日线观测和</w:t>
      </w:r>
      <w:r>
        <w:rPr/>
        <w:t>157</w:t>
      </w:r>
      <w:r>
        <w:rPr/>
        <w:t>个周线观测，覆盖至少三年日线。基准收盘</w:t>
      </w:r>
      <w:r>
        <w:rPr/>
        <w:t>78.30</w:t>
      </w:r>
      <w:r>
        <w:rPr/>
        <w:t>港元由两个行情来源交叉核验，差异仅浮点级；当前样本未识别需要改变价格比较的拆分等公司行动。指标采用归一到基准日名义价格的复权</w:t>
      </w:r>
      <w:r>
        <w:rPr/>
        <w:t>OHLC</w:t>
      </w:r>
      <w:r>
        <w:rPr/>
        <w:t>，成交量以来源报告的股数处理，不能把股改成交易手而不修改单位。历史数据和公司行动核验仍保留在总数据版本中。</w:t>
      </w:r>
    </w:p>
    <w:p>
      <w:pPr>
        <w:pStyle w:val="Normal"/>
        <w:rPr/>
      </w:pPr>
      <w:r>
        <w:rPr/>
        <w:t>二十、六十、一百二十和二百五十日均线分别</w:t>
      </w:r>
      <w:r>
        <w:rPr/>
        <w:t>76.39</w:t>
      </w:r>
      <w:r>
        <w:rPr/>
        <w:t>、</w:t>
      </w:r>
      <w:r>
        <w:rPr/>
        <w:t>78.19</w:t>
      </w:r>
      <w:r>
        <w:rPr/>
        <w:t>、</w:t>
      </w:r>
      <w:r>
        <w:rPr/>
        <w:t>73.46333</w:t>
      </w:r>
      <w:r>
        <w:rPr/>
        <w:t>和</w:t>
      </w:r>
      <w:r>
        <w:rPr/>
        <w:t>65.96540</w:t>
      </w:r>
      <w:r>
        <w:rPr/>
        <w:t>港元，现价分别高</w:t>
      </w:r>
      <w:r>
        <w:rPr/>
        <w:t>2.50%</w:t>
      </w:r>
      <w:r>
        <w:rPr/>
        <w:t>、</w:t>
      </w:r>
      <w:r>
        <w:rPr/>
        <w:t>0.14%</w:t>
      </w:r>
      <w:r>
        <w:rPr/>
        <w:t>、</w:t>
      </w:r>
      <w:r>
        <w:rPr/>
        <w:t>6.58%</w:t>
      </w:r>
      <w:r>
        <w:rPr/>
        <w:t>和</w:t>
      </w:r>
      <w:r>
        <w:rPr/>
        <w:t>18.70%</w:t>
      </w:r>
      <w:r>
        <w:rPr/>
        <w:t>。过去五个观察周期的斜率分别约</w:t>
      </w:r>
      <w:r>
        <w:rPr/>
        <w:t>0.056%</w:t>
      </w:r>
      <w:r>
        <w:rPr/>
        <w:t>、−</w:t>
      </w:r>
      <w:r>
        <w:rPr/>
        <w:t>0.669%</w:t>
      </w:r>
      <w:r>
        <w:rPr/>
        <w:t>、</w:t>
      </w:r>
      <w:r>
        <w:rPr/>
        <w:t>0.006%</w:t>
      </w:r>
      <w:r>
        <w:rPr/>
        <w:t>和</w:t>
      </w:r>
      <w:r>
        <w:rPr/>
        <w:t>0.139%</w:t>
      </w:r>
      <w:r>
        <w:rPr/>
        <w:t>。六十日均线仍下斜，二十日与一百二十日近乎横走，长期均线温和向上，因此不能把所有均线排列概括为强劲主升浪。</w:t>
      </w:r>
    </w:p>
    <w:p>
      <w:pPr>
        <w:pStyle w:val="Normal"/>
        <w:rPr/>
      </w:pPr>
      <w:r>
        <w:rPr/>
        <w:t>过去二十日涨</w:t>
      </w:r>
      <w:r>
        <w:rPr/>
        <w:t>6.46%</w:t>
      </w:r>
      <w:r>
        <w:rPr/>
        <w:t>，六十日跌</w:t>
      </w:r>
      <w:r>
        <w:rPr/>
        <w:t>8.90%</w:t>
      </w:r>
      <w:r>
        <w:rPr/>
        <w:t>，一百二十日跌</w:t>
      </w:r>
      <w:r>
        <w:rPr/>
        <w:t>1.20%</w:t>
      </w:r>
      <w:r>
        <w:rPr/>
        <w:t>，二百五十日涨</w:t>
      </w:r>
      <w:r>
        <w:rPr/>
        <w:t>3.43%</w:t>
      </w:r>
      <w:r>
        <w:rPr/>
        <w:t>。短期改善与中期回调同时存在，表明</w:t>
      </w:r>
      <w:r>
        <w:rPr/>
        <w:t>78.30</w:t>
      </w:r>
      <w:r>
        <w:rPr/>
        <w:t>附近更接近修复区间。观察重点是收盘能否持续站在</w:t>
      </w:r>
      <w:r>
        <w:rPr/>
        <w:t>76.39</w:t>
      </w:r>
      <w:r>
        <w:rPr/>
        <w:t>至</w:t>
      </w:r>
      <w:r>
        <w:rPr/>
        <w:t>78.19</w:t>
      </w:r>
      <w:r>
        <w:rPr/>
        <w:t>港元之上、六十日均线是否止跌，以及后续高点能否提高。单日收盘恰好高于一条均线只有很小距离，不能作为独立买入依据。</w:t>
      </w:r>
    </w:p>
    <w:p>
      <w:pPr>
        <w:pStyle w:val="Normal"/>
        <w:rPr/>
      </w:pPr>
      <w:r>
        <w:rPr/>
        <w:t>最近二十和六十日低点都是</w:t>
      </w:r>
      <w:r>
        <w:rPr/>
        <w:t>71</w:t>
      </w:r>
      <w:r>
        <w:rPr/>
        <w:t>港元，距离现价约−</w:t>
      </w:r>
      <w:r>
        <w:rPr/>
        <w:t>9.32%</w:t>
      </w:r>
      <w:r>
        <w:rPr/>
        <w:t>；二十日高点</w:t>
      </w:r>
      <w:r>
        <w:rPr/>
        <w:t>82.40</w:t>
      </w:r>
      <w:r>
        <w:rPr/>
        <w:t>港元，距离</w:t>
      </w:r>
      <w:r>
        <w:rPr/>
        <w:t>+5.24%</w:t>
      </w:r>
      <w:r>
        <w:rPr/>
        <w:t>；六十日高点</w:t>
      </w:r>
      <w:r>
        <w:rPr/>
        <w:t>88.80</w:t>
      </w:r>
      <w:r>
        <w:rPr/>
        <w:t>港元，距离</w:t>
      </w:r>
      <w:r>
        <w:rPr/>
        <w:t>+13.41%</w:t>
      </w:r>
      <w:r>
        <w:rPr/>
        <w:t>；五十二周高</w:t>
      </w:r>
      <w:r>
        <w:rPr/>
        <w:t>89.75</w:t>
      </w:r>
      <w:r>
        <w:rPr/>
        <w:t>港元，距离约</w:t>
      </w:r>
      <w:r>
        <w:rPr/>
        <w:t>+14.62%</w:t>
      </w:r>
      <w:r>
        <w:rPr/>
        <w:t>。这些都是区间端点观察位，未按多次触碰和成交分布确认强支撑阻力。止损和仓位不能只依据这些点，因为临床或融资公告可能导致跳空穿越，且普通市场波动也可能反复假突破。</w:t>
      </w:r>
    </w:p>
    <w:p>
      <w:pPr>
        <w:pStyle w:val="Normal"/>
        <w:rPr/>
      </w:pPr>
      <w:r>
        <w:rPr/>
        <w:t>五十二周低</w:t>
      </w:r>
      <w:r>
        <w:rPr/>
        <w:t>44.66</w:t>
      </w:r>
      <w:r>
        <w:rPr/>
        <w:t>港元，现价较其高</w:t>
      </w:r>
      <w:r>
        <w:rPr/>
        <w:t>75.32%</w:t>
      </w:r>
      <w:r>
        <w:rPr/>
        <w:t>，窗口最大日收盘回撤约</w:t>
      </w:r>
      <w:r>
        <w:rPr/>
        <w:t>38.78%</w:t>
      </w:r>
      <w:r>
        <w:rPr/>
        <w:t>，距离高点跌</w:t>
      </w:r>
      <w:r>
        <w:rPr/>
        <w:t>12.76%</w:t>
      </w:r>
      <w:r>
        <w:rPr/>
        <w:t>。从低位上涨较多不说明当前必贵，从高点回落也不说明必便宜；它们提供的是历史价格路径和情绪波动信息。真实估值仍取决于未来现金和股数。当前模型下基准回报较弱，更需要关注回撤后的价格是否真正改善风险收益，而不是单凭距高点还有空间。</w:t>
      </w:r>
    </w:p>
    <w:p>
      <w:pPr>
        <w:pStyle w:val="Heading2"/>
        <w:rPr/>
      </w:pPr>
      <w:r>
        <w:rPr>
          <w:color w:val="000000"/>
        </w:rPr>
        <w:t>十七 量能 换手与相对强弱</w:t>
      </w:r>
    </w:p>
    <w:p>
      <w:pPr>
        <w:pStyle w:val="Normal"/>
        <w:rPr/>
      </w:pPr>
      <w:r>
        <w:rPr/>
        <w:t>10</w:t>
      </w:r>
      <w:r>
        <w:rPr/>
        <w:t>月</w:t>
      </w:r>
      <w:r>
        <w:rPr/>
        <w:t>9</w:t>
      </w:r>
      <w:r>
        <w:rPr/>
        <w:t>日成交</w:t>
      </w:r>
      <w:r>
        <w:rPr/>
        <w:t>2,798,951</w:t>
      </w:r>
      <w:r>
        <w:rPr/>
        <w:t>股、成交额</w:t>
      </w:r>
      <w:r>
        <w:rPr/>
        <w:t>213,471,120.65</w:t>
      </w:r>
      <w:r>
        <w:rPr/>
        <w:t>港元；五、二十和六十日平均成交量约</w:t>
      </w:r>
      <w:r>
        <w:rPr/>
        <w:t>1,211,905</w:t>
      </w:r>
      <w:r>
        <w:rPr/>
        <w:t>、</w:t>
      </w:r>
      <w:r>
        <w:rPr/>
        <w:t>1,648,508</w:t>
      </w:r>
      <w:r>
        <w:rPr/>
        <w:t>和</w:t>
      </w:r>
      <w:r>
        <w:rPr/>
        <w:t>2,039,075</w:t>
      </w:r>
      <w:r>
        <w:rPr/>
        <w:t>股。当日对前二十日均量比</w:t>
      </w:r>
      <w:r>
        <w:rPr/>
        <w:t>1.7345</w:t>
      </w:r>
      <w:r>
        <w:rPr/>
        <w:t>，属于单日放量；五日平均又比二十和六十日低，说明近期总体交易热度弱于较长窗口。两项并不矛盾，不能因一天量比超过一就把整个修复定义为连续资金强势流入。</w:t>
      </w:r>
    </w:p>
    <w:p>
      <w:pPr>
        <w:pStyle w:val="Normal"/>
        <w:rPr/>
      </w:pPr>
      <w:r>
        <w:rPr/>
        <w:t>过去二十日上涨八天总量</w:t>
      </w:r>
      <w:r>
        <w:rPr/>
        <w:t>15,630,396</w:t>
      </w:r>
      <w:r>
        <w:rPr/>
        <w:t>股，下跌十二天</w:t>
      </w:r>
      <w:r>
        <w:rPr/>
        <w:t>17,339,759</w:t>
      </w:r>
      <w:r>
        <w:rPr/>
        <w:t>股，上下总量比</w:t>
      </w:r>
      <w:r>
        <w:rPr/>
        <w:t>0.9014</w:t>
      </w:r>
      <w:r>
        <w:rPr/>
        <w:t>。直接看总量，下跌日更多且合计成交更大；按单日平均，上涨日约</w:t>
      </w:r>
      <w:r>
        <w:rPr/>
        <w:t>195.38</w:t>
      </w:r>
      <w:r>
        <w:rPr/>
        <w:t>万股、下跌日约</w:t>
      </w:r>
      <w:r>
        <w:rPr/>
        <w:t>144.50</w:t>
      </w:r>
      <w:r>
        <w:rPr/>
        <w:t>万股，上涨日平均约</w:t>
      </w:r>
      <w:r>
        <w:rPr/>
        <w:t>1.35</w:t>
      </w:r>
      <w:r>
        <w:rPr/>
        <w:t>倍。这提示较少上涨日能容纳较活跃成交，但不能推定买方身份或持仓变化。每笔交易同时有买卖双方，没有逐笔和持仓数据时，不应宣称精确主力吸筹。</w:t>
      </w:r>
    </w:p>
    <w:p>
      <w:pPr>
        <w:pStyle w:val="Normal"/>
        <w:rPr/>
      </w:pPr>
      <w:r>
        <w:rPr/>
        <w:t>按九月已发行约</w:t>
      </w:r>
      <w:r>
        <w:rPr/>
        <w:t>2.987</w:t>
      </w:r>
      <w:r>
        <w:rPr/>
        <w:t>亿股粗算，当日股数成交占比不足</w:t>
      </w:r>
      <w:r>
        <w:rPr/>
        <w:t>1%</w:t>
      </w:r>
      <w:r>
        <w:rPr/>
        <w:t>，但它不是可流通股口径的精确换手率。奖励预留、长期大股东持有和公众流通边界会影响分母，总表不将该粗比冒充交易所换手指标。成交額相对</w:t>
      </w:r>
      <w:r>
        <w:rPr/>
        <w:t>2.8</w:t>
      </w:r>
      <w:r>
        <w:rPr/>
        <w:t>百万股给出的平均成交价与收盘可以不同，不能误当数据不一致。成交量只有在价格位置、持续性与相对强弱同时观察时才有实际意义。</w:t>
      </w:r>
    </w:p>
    <w:p>
      <w:pPr>
        <w:pStyle w:val="Normal"/>
        <w:rPr/>
      </w:pPr>
      <w:r>
        <w:rPr/>
        <w:t>相对恒生指数，二十日超额表现约</w:t>
      </w:r>
      <w:r>
        <w:rPr/>
        <w:t>9.44</w:t>
      </w:r>
      <w:r>
        <w:rPr/>
        <w:t>个百分点，六十日却落后约</w:t>
      </w:r>
      <w:r>
        <w:rPr/>
        <w:t>5.71</w:t>
      </w:r>
      <w:r>
        <w:rPr/>
        <w:t>个百分点。相对国证港股通创新药</w:t>
      </w:r>
      <w:r>
        <w:rPr/>
        <w:t>987018</w:t>
      </w:r>
      <w:r>
        <w:rPr/>
        <w:t>粗粒度行业参考，二十日领先</w:t>
      </w:r>
      <w:r>
        <w:rPr/>
        <w:t>5.58</w:t>
      </w:r>
      <w:r>
        <w:rPr/>
        <w:t>个百分点，六十日落后</w:t>
      </w:r>
      <w:r>
        <w:rPr/>
        <w:t>5.68</w:t>
      </w:r>
      <w:r>
        <w:rPr/>
        <w:t>个百分点。参考指数为官方单来源价格指数，不能用它的不存在成交量做资金分析，且它不完全代表康诺亚的自免业务。短期修复已较市场和行业强，中期仍没有扭转持续落后。</w:t>
      </w:r>
    </w:p>
    <w:p>
      <w:pPr>
        <w:pStyle w:val="Normal"/>
        <w:rPr/>
      </w:pPr>
      <w:r>
        <w:rPr/>
        <w:t>量价确认的实用标准是突破</w:t>
      </w:r>
      <w:r>
        <w:rPr/>
        <w:t>82.40</w:t>
      </w:r>
      <w:r>
        <w:rPr/>
        <w:t>后不迅速回到区间，成交提高能连续若干日或数周维持，六十日相对强弱同步改善，并有可核验商业或临床证据。若放量只发生在一天、随后价格跌回</w:t>
      </w:r>
      <w:r>
        <w:rPr/>
        <w:t>76</w:t>
      </w:r>
      <w:r>
        <w:rPr/>
        <w:t>至</w:t>
      </w:r>
      <w:r>
        <w:rPr/>
        <w:t>78</w:t>
      </w:r>
      <w:r>
        <w:rPr/>
        <w:t>附近，短期判断会减弱；若跌破</w:t>
      </w:r>
      <w:r>
        <w:rPr/>
        <w:t>71</w:t>
      </w:r>
      <w:r>
        <w:rPr/>
        <w:t>并伴销售或现金负面变化，修复逻辑需要撤销。这里的观察条件是研究纪律，没有承诺价格一定按形态运行。</w:t>
      </w:r>
    </w:p>
    <w:p>
      <w:pPr>
        <w:pStyle w:val="Heading2"/>
        <w:rPr/>
      </w:pPr>
      <w:r>
        <w:rPr>
          <w:color w:val="000000"/>
        </w:rPr>
        <w:t>十八 周线与辅助指标</w:t>
      </w:r>
    </w:p>
    <w:p>
      <w:pPr>
        <w:pStyle w:val="Normal"/>
        <w:rPr/>
      </w:pPr>
      <w:r>
        <w:rPr/>
        <w:t>周线二十、六十和一百二十周均线</w:t>
      </w:r>
      <w:r>
        <w:rPr/>
        <w:t>73.955</w:t>
      </w:r>
      <w:r>
        <w:rPr/>
        <w:t>、</w:t>
      </w:r>
      <w:r>
        <w:rPr/>
        <w:t>66.68</w:t>
      </w:r>
      <w:r>
        <w:rPr/>
        <w:t>和</w:t>
      </w:r>
      <w:r>
        <w:rPr/>
        <w:t>53.65333</w:t>
      </w:r>
      <w:r>
        <w:rPr/>
        <w:t>港元，现价高</w:t>
      </w:r>
      <w:r>
        <w:rPr/>
        <w:t>5.88%</w:t>
      </w:r>
      <w:r>
        <w:rPr/>
        <w:t>、</w:t>
      </w:r>
      <w:r>
        <w:rPr/>
        <w:t>17.43%</w:t>
      </w:r>
      <w:r>
        <w:rPr/>
        <w:t>和</w:t>
      </w:r>
      <w:r>
        <w:rPr/>
        <w:t>45.94%</w:t>
      </w:r>
      <w:r>
        <w:rPr/>
        <w:t>，过去五个周观察斜率均正。二百五十周均线缺失，</w:t>
      </w:r>
      <w:r>
        <w:rPr/>
        <w:t>157</w:t>
      </w:r>
      <w:r>
        <w:rPr/>
        <w:t>个真实周不足以计算，模型没有补造。较长均线向上提示过去阶段上涨趋势仍有基础，但现价与一百二十周均线距离大也说明长期波动空间不能仅看短期支撑。</w:t>
      </w:r>
    </w:p>
    <w:p>
      <w:pPr>
        <w:pStyle w:val="Normal"/>
        <w:rPr/>
      </w:pPr>
      <w:r>
        <w:rPr/>
        <w:t>日</w:t>
      </w:r>
      <w:r>
        <w:rPr/>
        <w:t>RSI</w:t>
      </w:r>
      <w:r>
        <w:rPr/>
        <w:t>约</w:t>
      </w:r>
      <w:r>
        <w:rPr/>
        <w:t>51.94</w:t>
      </w:r>
      <w:r>
        <w:rPr/>
        <w:t>，接近中性；</w:t>
      </w:r>
      <w:r>
        <w:rPr/>
        <w:t>MACD</w:t>
      </w:r>
      <w:r>
        <w:rPr/>
        <w:t>差值</w:t>
      </w:r>
      <w:r>
        <w:rPr/>
        <w:t>0.2238</w:t>
      </w:r>
      <w:r>
        <w:rPr/>
        <w:t>、信号</w:t>
      </w:r>
      <w:r>
        <w:rPr/>
        <w:t>0.0493</w:t>
      </w:r>
      <w:r>
        <w:rPr/>
        <w:t>，双倍差柱</w:t>
      </w:r>
      <w:r>
        <w:rPr/>
        <w:t>0.349</w:t>
      </w:r>
      <w:r>
        <w:rPr/>
        <w:t>为正，反映短期动量改善。周</w:t>
      </w:r>
      <w:r>
        <w:rPr/>
        <w:t>RSI55.91</w:t>
      </w:r>
      <w:r>
        <w:rPr/>
        <w:t>，周</w:t>
      </w:r>
      <w:r>
        <w:rPr/>
        <w:t>MACD</w:t>
      </w:r>
      <w:r>
        <w:rPr/>
        <w:t>双倍差柱−</w:t>
      </w:r>
      <w:r>
        <w:rPr/>
        <w:t>0.9787</w:t>
      </w:r>
      <w:r>
        <w:rPr/>
        <w:t>，说明中期动量较此前高点减弱。日与周信号不同符合回调后反弹的阶段特征，研究不会把</w:t>
      </w:r>
      <w:r>
        <w:rPr/>
        <w:t>RSI</w:t>
      </w:r>
      <w:r>
        <w:rPr/>
        <w:t>、</w:t>
      </w:r>
      <w:r>
        <w:rPr/>
        <w:t>MACD</w:t>
      </w:r>
      <w:r>
        <w:rPr/>
        <w:t>和均线当三个完全独立证据重复加分。它们主要帮助描述同一价格变化。</w:t>
      </w:r>
    </w:p>
    <w:p>
      <w:pPr>
        <w:pStyle w:val="Normal"/>
        <w:rPr/>
      </w:pPr>
      <w:r>
        <w:rPr/>
        <w:t>日</w:t>
      </w:r>
      <w:r>
        <w:rPr/>
        <w:t>ATR</w:t>
      </w:r>
      <w:r>
        <w:rPr/>
        <w:t>约</w:t>
      </w:r>
      <w:r>
        <w:rPr/>
        <w:t>4.166</w:t>
      </w:r>
      <w:r>
        <w:rPr/>
        <w:t>港元、占现价</w:t>
      </w:r>
      <w:r>
        <w:rPr/>
        <w:t>5.32%</w:t>
      </w:r>
      <w:r>
        <w:rPr/>
        <w:t>，周</w:t>
      </w:r>
      <w:r>
        <w:rPr/>
        <w:t>ATR</w:t>
      </w:r>
      <w:r>
        <w:rPr/>
        <w:t>约</w:t>
      </w:r>
      <w:r>
        <w:rPr/>
        <w:t>8.592</w:t>
      </w:r>
      <w:r>
        <w:rPr/>
        <w:t>港元、占</w:t>
      </w:r>
      <w:r>
        <w:rPr/>
        <w:t>10.97%</w:t>
      </w:r>
      <w:r>
        <w:rPr/>
        <w:t>。这衡量历史真实波幅，不是未来价格分布或最大损失。二十日上方</w:t>
      </w:r>
      <w:r>
        <w:rPr/>
        <w:t>82.40</w:t>
      </w:r>
      <w:r>
        <w:rPr/>
        <w:t>距离仅</w:t>
      </w:r>
      <w:r>
        <w:rPr/>
        <w:t>5.24%</w:t>
      </w:r>
      <w:r>
        <w:rPr/>
        <w:t>，与日</w:t>
      </w:r>
      <w:r>
        <w:rPr/>
        <w:t>ATR</w:t>
      </w:r>
      <w:r>
        <w:rPr/>
        <w:t>比例相近，普通几日波动便可触及，不能说一旦触到就确认趋势。持仓规模需要考虑临床跳空和流动性，即使已有技术观察线也可能无法在理想价位退出。</w:t>
      </w:r>
    </w:p>
    <w:p>
      <w:pPr>
        <w:pStyle w:val="Normal"/>
        <w:rPr/>
      </w:pPr>
      <w:r>
        <w:rPr/>
        <w:t>周线二十周上涨与下跌周各十，成交合计比约</w:t>
      </w:r>
      <w:r>
        <w:rPr/>
        <w:t>1.179</w:t>
      </w:r>
      <w:r>
        <w:rPr/>
        <w:t>，显示先前上涨阶段交易仍有一定支持；近期五周均量约</w:t>
      </w:r>
      <w:r>
        <w:rPr/>
        <w:t>776</w:t>
      </w:r>
      <w:r>
        <w:rPr/>
        <w:t>万股，低于二十周约</w:t>
      </w:r>
      <w:r>
        <w:rPr/>
        <w:t>1256</w:t>
      </w:r>
      <w:r>
        <w:rPr/>
        <w:t>万股。基准所在周可能受假期和交易天数影响，周量比不能与完整正常周机械比较。研究据此给技术维度</w:t>
      </w:r>
      <w:r>
        <w:rPr/>
        <w:t>2.8</w:t>
      </w:r>
      <w:r>
        <w:rPr/>
        <w:t>分，承认长期均线上方与短期修复，也承认中期动量和成交持续性尚不足。</w:t>
      </w:r>
    </w:p>
    <w:p>
      <w:pPr>
        <w:pStyle w:val="Heading2"/>
        <w:rPr/>
      </w:pPr>
      <w:r>
        <w:rPr>
          <w:color w:val="000000"/>
        </w:rPr>
        <w:t>十九 半年判断与失败路径</w:t>
      </w:r>
    </w:p>
    <w:p>
      <w:pPr>
        <w:pStyle w:val="Normal"/>
        <w:rPr/>
      </w:pPr>
      <w:r>
        <w:rPr/>
        <w:t>半年目标关注年报中商业销售、经营现金、费用率和新临床资料，而不是投资收益能否再出现。康悦达全年销售如果接近或超出机构转述</w:t>
      </w:r>
      <w:r>
        <w:rPr/>
        <w:t>8.5</w:t>
      </w:r>
      <w:r>
        <w:rPr/>
        <w:t>亿元、回款改善且销售费用增速减慢，能够提高现金率可信度；</w:t>
      </w:r>
      <w:r>
        <w:rPr/>
        <w:t>CM512</w:t>
      </w:r>
      <w:r>
        <w:rPr/>
        <w:t>三期推进及详细二期披露可以调整差异化判断；</w:t>
      </w:r>
      <w:r>
        <w:rPr/>
        <w:t>CMG901</w:t>
      </w:r>
      <w:r>
        <w:rPr/>
        <w:t>完整</w:t>
      </w:r>
      <w:r>
        <w:rPr/>
        <w:t>OS/PFS</w:t>
      </w:r>
      <w:r>
        <w:rPr/>
        <w:t>和注册路径将改变后线权益折扣。每种事件要落到收入、费用或成功折扣，不重复加所谓新闻溢价。</w:t>
      </w:r>
    </w:p>
    <w:p>
      <w:pPr>
        <w:pStyle w:val="Normal"/>
        <w:rPr/>
      </w:pPr>
      <w:r>
        <w:rPr/>
        <w:t>半年基准市场目标</w:t>
      </w:r>
      <w:r>
        <w:rPr/>
        <w:t>75.04</w:t>
      </w:r>
      <w:r>
        <w:rPr/>
        <w:t>港元，悲观</w:t>
      </w:r>
      <w:r>
        <w:rPr/>
        <w:t>32.84</w:t>
      </w:r>
      <w:r>
        <w:rPr/>
        <w:t>、乐观</w:t>
      </w:r>
      <w:r>
        <w:rPr/>
        <w:t>162.51</w:t>
      </w:r>
      <w:r>
        <w:rPr/>
        <w:t>，宽度反映高风险资产重新定价而非交易区间预测。半年</w:t>
      </w:r>
      <w:r>
        <w:rPr/>
        <w:t>55.4</w:t>
      </w:r>
      <w:r>
        <w:rPr/>
        <w:t>分由估值</w:t>
      </w:r>
      <w:r>
        <w:rPr/>
        <w:t>1.0</w:t>
      </w:r>
      <w:r>
        <w:rPr/>
        <w:t>、技术</w:t>
      </w:r>
      <w:r>
        <w:rPr/>
        <w:t>2.8</w:t>
      </w:r>
      <w:r>
        <w:rPr/>
        <w:t>、经营</w:t>
      </w:r>
      <w:r>
        <w:rPr/>
        <w:t>3.8</w:t>
      </w:r>
      <w:r>
        <w:rPr/>
        <w:t>、行业</w:t>
      </w:r>
      <w:r>
        <w:rPr/>
        <w:t>4.3</w:t>
      </w:r>
      <w:r>
        <w:rPr/>
        <w:t>、催化</w:t>
      </w:r>
      <w:r>
        <w:rPr/>
        <w:t>4.5</w:t>
      </w:r>
      <w:r>
        <w:rPr/>
        <w:t>及风险</w:t>
      </w:r>
      <w:r>
        <w:rPr/>
        <w:t>2.3</w:t>
      </w:r>
      <w:r>
        <w:rPr/>
        <w:t>按用户权重产生。高行业和催化分没有消除现价回报不佳这一事实。进取标准也不能把风险分数隐去，只看乐观翻倍路径。</w:t>
      </w:r>
    </w:p>
    <w:p>
      <w:pPr>
        <w:pStyle w:val="Normal"/>
        <w:rPr/>
      </w:pPr>
      <w:r>
        <w:rPr/>
        <w:t>半年推荐提升的条件是估值输入获得实际上修支持，技术站稳</w:t>
      </w:r>
      <w:r>
        <w:rPr/>
        <w:t>82.40</w:t>
      </w:r>
      <w:r>
        <w:rPr/>
        <w:t>并改善中期相对强弱，以及经营现金表现符合商业增长。反证是产品放量主要靠费用补贴、库存应收继续扩大、临床细节弱于顶线或</w:t>
      </w:r>
      <w:r>
        <w:rPr/>
        <w:t>71</w:t>
      </w:r>
      <w:r>
        <w:rPr/>
        <w:t>观察位失守并有基本面恶化。单纯跌价并不证明资产失败，但在现金和数据同步弱时，不能用长期成长故事无限推迟重新评估。</w:t>
      </w:r>
    </w:p>
    <w:p>
      <w:pPr>
        <w:pStyle w:val="Heading2"/>
        <w:rPr/>
      </w:pPr>
      <w:r>
        <w:rPr>
          <w:color w:val="000000"/>
        </w:rPr>
        <w:t>二十 一年判断与失败路径</w:t>
      </w:r>
    </w:p>
    <w:p>
      <w:pPr>
        <w:pStyle w:val="Normal"/>
        <w:rPr/>
      </w:pPr>
      <w:r>
        <w:rPr/>
        <w:t>一年包含完整商业化年度的累积，投资逻辑应从报表药品收入走向更可持续现金，并从临床启动走向可审查后期结果。模型基准</w:t>
      </w:r>
      <w:r>
        <w:rPr/>
        <w:t>2027</w:t>
      </w:r>
      <w:r>
        <w:rPr/>
        <w:t>年已批产品</w:t>
      </w:r>
      <w:r>
        <w:rPr/>
        <w:t>13.5</w:t>
      </w:r>
      <w:r>
        <w:rPr/>
        <w:t>亿元，意味着医保后的患者和持续用药继续提升；同时研发支出不能因现金充足就无限扩张。国际合作若触发新的实际现金，需要区分是否一次性及归属比例，再决定其对未来重复价值的影响。</w:t>
      </w:r>
    </w:p>
    <w:p>
      <w:pPr>
        <w:pStyle w:val="Normal"/>
        <w:rPr/>
      </w:pPr>
      <w:r>
        <w:rPr/>
        <w:t>一年基准</w:t>
      </w:r>
      <w:r>
        <w:rPr/>
        <w:t>76.15</w:t>
      </w:r>
      <w:r>
        <w:rPr/>
        <w:t>港元、悲观</w:t>
      </w:r>
      <w:r>
        <w:rPr/>
        <w:t>14.44</w:t>
      </w:r>
      <w:r>
        <w:rPr/>
        <w:t>、乐观</w:t>
      </w:r>
      <w:r>
        <w:rPr/>
        <w:t>226.35</w:t>
      </w:r>
      <w:r>
        <w:rPr/>
        <w:t>，评分</w:t>
      </w:r>
      <w:r>
        <w:rPr/>
        <w:t>60.2</w:t>
      </w:r>
      <w:r>
        <w:rPr/>
        <w:t>分。基准仍没有提供明确正收益，机构</w:t>
      </w:r>
      <w:r>
        <w:rPr/>
        <w:t>97.5</w:t>
      </w:r>
      <w:r>
        <w:rPr/>
        <w:t>至</w:t>
      </w:r>
      <w:r>
        <w:rPr/>
        <w:t>118.88</w:t>
      </w:r>
      <w:r>
        <w:rPr/>
        <w:t>等目标则代表市场外部看法。可提升推荐的证据包括产品销量和现金效率超过模型、</w:t>
      </w:r>
      <w:r>
        <w:rPr/>
        <w:t>CM512</w:t>
      </w:r>
      <w:r>
        <w:rPr/>
        <w:t>取得更有说服力详细临床、</w:t>
      </w:r>
      <w:r>
        <w:rPr/>
        <w:t>901</w:t>
      </w:r>
      <w:r>
        <w:rPr/>
        <w:t>审查和上市路径降低不确定性、海外免疫研究扩展达到足够样本。不能只靠一次收款将一年目标提升到多年药物峰值。</w:t>
      </w:r>
    </w:p>
    <w:p>
      <w:pPr>
        <w:pStyle w:val="Normal"/>
        <w:rPr/>
      </w:pPr>
      <w:r>
        <w:rPr/>
        <w:t>失败路径包括</w:t>
      </w:r>
      <w:r>
        <w:rPr/>
        <w:t>2027</w:t>
      </w:r>
      <w:r>
        <w:rPr/>
        <w:t>年临床时间延后、多个新增适应症审批受阻、竞争价格压缩净现金率，以及融资分母增长快于现金流。</w:t>
      </w:r>
      <w:r>
        <w:rPr/>
        <w:t>A</w:t>
      </w:r>
      <w:r>
        <w:rPr/>
        <w:t>股上市若完成可以提供资本，但价格和规模可能带来不同每股影响，不宜预先当纯利好。公司若继续通过授权支持研发，仍可能长期报告收入增长却没有普通股现金回报，需要把资本消耗与版税获益同时更新。</w:t>
      </w:r>
    </w:p>
    <w:p>
      <w:pPr>
        <w:pStyle w:val="Heading2"/>
        <w:rPr/>
      </w:pPr>
      <w:r>
        <w:rPr>
          <w:color w:val="000000"/>
        </w:rPr>
        <w:t>二十一 三年判断 验证组合能否形成现金</w:t>
      </w:r>
    </w:p>
    <w:p>
      <w:pPr>
        <w:pStyle w:val="Normal"/>
        <w:rPr/>
      </w:pPr>
      <w:r>
        <w:rPr/>
        <w:t>三年应看到康悦达国内规模是否符合基准、</w:t>
      </w:r>
      <w:r>
        <w:rPr/>
        <w:t>CM512</w:t>
      </w:r>
      <w:r>
        <w:rPr/>
        <w:t>鼻息肉后期进展、</w:t>
      </w:r>
      <w:r>
        <w:rPr/>
        <w:t>CMG901</w:t>
      </w:r>
      <w:r>
        <w:rPr/>
        <w:t>海外权利是否进入商业现金阶段，以及部分免疫项目是否达到更强证据。资产组之间可以提供多条成功路径，但其相关性并不低：自免竞争、医保压力和公司研发执行可能同时影响多个项目。分散管线降低单药风险的程度，应由临床、地域和经营差异决定，不能只数分子数量。</w:t>
      </w:r>
    </w:p>
    <w:p>
      <w:pPr>
        <w:pStyle w:val="Normal"/>
        <w:rPr/>
      </w:pPr>
      <w:r>
        <w:rPr/>
        <w:t>三年基准</w:t>
      </w:r>
      <w:r>
        <w:rPr/>
        <w:t>86.59</w:t>
      </w:r>
      <w:r>
        <w:rPr/>
        <w:t>港元，相对现价</w:t>
      </w:r>
      <w:r>
        <w:rPr/>
        <w:t>10.58%</w:t>
      </w:r>
      <w:r>
        <w:rPr/>
        <w:t>、年化</w:t>
      </w:r>
      <w:r>
        <w:rPr/>
        <w:t>3.41%</w:t>
      </w:r>
      <w:r>
        <w:rPr/>
        <w:t>，</w:t>
      </w:r>
      <w:r>
        <w:rPr/>
        <w:t>66.3</w:t>
      </w:r>
      <w:r>
        <w:rPr/>
        <w:t>分主要由经营与行业较强贡献。低年化与高乐观尾部并存，说明这是一种需要看好多个资产超预期的进取候选。基准海外</w:t>
      </w:r>
      <w:r>
        <w:rPr/>
        <w:t>CMG901</w:t>
      </w:r>
      <w:r>
        <w:rPr/>
        <w:t>后线价值增加，却同时被未来稀释和已赚现金移出资产</w:t>
      </w:r>
      <w:r>
        <w:rPr/>
        <w:t>DCF</w:t>
      </w:r>
      <w:r>
        <w:rPr/>
        <w:t>约束。模型没有允许同一笔过去版税在净现金和未来现值里重复推动三年上涨。</w:t>
      </w:r>
    </w:p>
    <w:p>
      <w:pPr>
        <w:pStyle w:val="Normal"/>
        <w:rPr/>
      </w:pPr>
      <w:r>
        <w:rPr/>
        <w:t>三年主要反证是</w:t>
      </w:r>
      <w:r>
        <w:rPr/>
        <w:t>CM512</w:t>
      </w:r>
      <w:r>
        <w:rPr/>
        <w:t>不能形成可竞争产品、</w:t>
      </w:r>
      <w:r>
        <w:rPr/>
        <w:t>901</w:t>
      </w:r>
      <w:r>
        <w:rPr/>
        <w:t>全球收入远低于研究峰值路径、自免国内净价压力使商业现金率下降，或海外免疫证据不足而开发继续耗资。如果这些变化出现，应同时降低收入和兑现、延后曲线、保留已需承担费用，并增加股数风险。不能只把折现率调低来弥补经营不足，也不能用未估值早期靶点替换失败资产而不披露新证据。</w:t>
      </w:r>
    </w:p>
    <w:p>
      <w:pPr>
        <w:pStyle w:val="Heading2"/>
        <w:rPr/>
      </w:pPr>
      <w:r>
        <w:rPr>
          <w:color w:val="000000"/>
        </w:rPr>
        <w:t>二十二 五年与十年经营持续性</w:t>
      </w:r>
    </w:p>
    <w:p>
      <w:pPr>
        <w:pStyle w:val="Normal"/>
        <w:rPr/>
      </w:pPr>
      <w:r>
        <w:rPr/>
        <w:t>五年目标设在</w:t>
      </w:r>
      <w:r>
        <w:rPr/>
        <w:t>2031</w:t>
      </w:r>
      <w:r>
        <w:rPr/>
        <w:t>年名义时点，基准</w:t>
      </w:r>
      <w:r>
        <w:rPr/>
        <w:t>91.56</w:t>
      </w:r>
      <w:r>
        <w:rPr/>
        <w:t>港元、回报</w:t>
      </w:r>
      <w:r>
        <w:rPr/>
        <w:t>16.94%</w:t>
      </w:r>
      <w:r>
        <w:rPr/>
        <w:t>、年化</w:t>
      </w:r>
      <w:r>
        <w:rPr/>
        <w:t>3.18%</w:t>
      </w:r>
      <w:r>
        <w:rPr/>
        <w:t>，乐观</w:t>
      </w:r>
      <w:r>
        <w:rPr/>
        <w:t>315.41</w:t>
      </w:r>
      <w:r>
        <w:rPr/>
        <w:t>、悲观</w:t>
      </w:r>
      <w:r>
        <w:rPr/>
        <w:t>3.90</w:t>
      </w:r>
      <w:r>
        <w:rPr/>
        <w:t>。此时旧产品商业化更加成熟，新药需要承担实际现金贡献，研发组织也应该证明持续推出产品的效率。高峰销售并不是价值的终点，竞争、价格和专利生命周期可能使后续现金下降。因此长期模型保留下降曲线至</w:t>
      </w:r>
      <w:r>
        <w:rPr/>
        <w:t>2044</w:t>
      </w:r>
      <w:r>
        <w:rPr/>
        <w:t>年，不通过永续高增长终值把未来未知价值全部提前给普通股。</w:t>
      </w:r>
    </w:p>
    <w:p>
      <w:pPr>
        <w:pStyle w:val="Normal"/>
        <w:rPr/>
      </w:pPr>
      <w:r>
        <w:rPr/>
        <w:t>五年</w:t>
      </w:r>
      <w:r>
        <w:rPr/>
        <w:t>69.4</w:t>
      </w:r>
      <w:r>
        <w:rPr/>
        <w:t>分以经营质量和行业需求为主，估值仍只有</w:t>
      </w:r>
      <w:r>
        <w:rPr/>
        <w:t>1.8</w:t>
      </w:r>
      <w:r>
        <w:rPr/>
        <w:t>分。长期配置条件是形成多个能持续盈利的产品或版税源、开发失败可以及时停止、资本回报优于融资成本，并对未来股权激励和新发行保持约束。优秀研发能力还需要转为每股价值。若收入增加但股数和投入同步更快，公司的业务规模可以扩大，投资者回报仍可能不足。</w:t>
      </w:r>
    </w:p>
    <w:p>
      <w:pPr>
        <w:pStyle w:val="Normal"/>
        <w:rPr/>
      </w:pPr>
      <w:r>
        <w:rPr/>
        <w:t>十年经营展望关注公司能否从单个主产品和大额授权向自免平台过渡。应有分层产品覆盖患者，既有短期现金资产支持创新，也有明确的开发优先次序；海外伙伴关系要稳定而非每次以出售未来权益换取当期现金。长期机会包括更便利治疗、适应症扩展和国际合作，限制包括同质竞争、临床风险、支付下降和组织扩张效率。没有证据支持把</w:t>
      </w:r>
      <w:r>
        <w:rPr/>
        <w:t>2036</w:t>
      </w:r>
      <w:r>
        <w:rPr/>
        <w:t>年的全部商业成功写成已知事实。</w:t>
      </w:r>
    </w:p>
    <w:p>
      <w:pPr>
        <w:pStyle w:val="Normal"/>
        <w:rPr/>
      </w:pPr>
      <w:r>
        <w:rPr/>
        <w:t>十年后持续经营的反证会比短期技术形态更重要。若核心产品已被更强疗法替代、平台多年无法产生新上市产品、国际权益因交易与融资不断缩水，早期现金优势会消失。反过来，若商业现金覆盖研发、产品生命周期管理有效、关键项目形成全球可验证临床价值，当前有限模型遗漏的海外权益可能得到补足。研究要以新证据刷新，而不是通过延长持有期自动把失败判断改成长期投资。</w:t>
      </w:r>
    </w:p>
    <w:p>
      <w:pPr>
        <w:pStyle w:val="Heading2"/>
        <w:rPr/>
      </w:pPr>
      <w:r>
        <w:rPr>
          <w:color w:val="000000"/>
        </w:rPr>
        <w:t>二十三 跟踪纪律与研究可用范围</w:t>
      </w:r>
    </w:p>
    <w:p>
      <w:pPr>
        <w:pStyle w:val="Normal"/>
        <w:rPr/>
      </w:pPr>
      <w:r>
        <w:rPr/>
        <w:t>跟踪应以四类问题串联：产品销售是否转现金，临床顶线是否经完整数据支持，许可现金是否准确归属，股数与资金是否共同变化。产品方面观察收入、销售费用、库存应收和经营流；临床方面检查方案、终点、安全及监管路径；权益方面对照合同和母公司经济比例；资本方面核对月报及融资条款。这些变量能直接改变模型，不需要添加无法验证的资金故事。</w:t>
      </w:r>
    </w:p>
    <w:p>
      <w:pPr>
        <w:pStyle w:val="Normal"/>
        <w:rPr/>
      </w:pPr>
      <w:r>
        <w:rPr/>
        <w:t>短期观察区间</w:t>
      </w:r>
      <w:r>
        <w:rPr/>
        <w:t>71</w:t>
      </w:r>
      <w:r>
        <w:rPr/>
        <w:t>至</w:t>
      </w:r>
      <w:r>
        <w:rPr/>
        <w:t>82.40</w:t>
      </w:r>
      <w:r>
        <w:rPr/>
        <w:t>、较高确认位</w:t>
      </w:r>
      <w:r>
        <w:rPr/>
        <w:t>88.80</w:t>
      </w:r>
      <w:r>
        <w:rPr/>
        <w:t>至</w:t>
      </w:r>
      <w:r>
        <w:rPr/>
        <w:t>89.75</w:t>
      </w:r>
      <w:r>
        <w:rPr/>
        <w:t>来自真实历史端点，不能替代估值区间。若研究预测与机构目标分歧持续，应重新核查峰值、净价、支付人群、版税和稀释，而不是选取最乐观数字作为结论。财务高盈利和临床积极公告都需要拆解，特别是</w:t>
      </w:r>
      <w:r>
        <w:rPr/>
        <w:t>Ouro</w:t>
      </w:r>
      <w:r>
        <w:rPr/>
        <w:t>一次收益与</w:t>
      </w:r>
      <w:r>
        <w:rPr/>
        <w:t>901PFS</w:t>
      </w:r>
      <w:r>
        <w:rPr/>
        <w:t>结果。本章保留这些不利事实，目的在于让读者知道何种变化能够推翻推荐。</w:t>
      </w:r>
    </w:p>
    <w:p>
      <w:pPr>
        <w:pStyle w:val="Normal"/>
        <w:rPr/>
      </w:pPr>
      <w:r>
        <w:rPr/>
        <w:t>当前研究完整覆盖了主要公开业务与财务、量价和四期限判断，但估值仍是十个资产组的有限模型，未完成所有药物逐适应症现金流及</w:t>
      </w:r>
      <w:r>
        <w:rPr/>
        <w:t>NewCo</w:t>
      </w:r>
      <w:r>
        <w:rPr/>
        <w:t>股权穿透。未来现金桥、短期认知系数和费用分配都是假设，不能列为已核验公司预算。原生模型和来源可供继续刷新，公司正文达到字数并不意味着所有模型限制消失；全项目最终交付还须由总表及</w:t>
      </w:r>
      <w:r>
        <w:rPr/>
        <w:t>Word/PDF</w:t>
      </w:r>
      <w:r>
        <w:rPr/>
        <w:t>数字、页面和来源核验。</w:t>
      </w:r>
    </w:p>
    <w:p>
      <w:pPr>
        <w:pStyle w:val="Heading2"/>
        <w:rPr/>
      </w:pPr>
      <w:r>
        <w:rPr>
          <w:color w:val="000000"/>
        </w:rPr>
        <w:t>来源与复核记录</w:t>
      </w:r>
    </w:p>
    <w:p>
      <w:pPr>
        <w:pStyle w:val="Normal"/>
        <w:rPr/>
      </w:pPr>
      <w:r>
        <w:rPr/>
        <w:t xml:space="preserve">- </w:t>
      </w:r>
      <w:r>
        <w:rPr/>
        <w:t>中报</w:t>
      </w:r>
      <w:r>
        <w:rPr/>
        <w:t>9</w:t>
      </w:r>
      <w:r>
        <w:rPr/>
        <w:t>月</w:t>
      </w:r>
      <w:r>
        <w:rPr/>
        <w:t>22</w:t>
      </w:r>
      <w:r>
        <w:rPr/>
        <w:t>日，首份业绩</w:t>
      </w:r>
      <w:r>
        <w:rPr/>
        <w:t>8</w:t>
      </w:r>
      <w:r>
        <w:rPr/>
        <w:t>月</w:t>
      </w:r>
      <w:r>
        <w:rPr/>
        <w:t>19</w:t>
      </w:r>
      <w:r>
        <w:rPr/>
        <w:t>日：</w:t>
      </w:r>
      <w:r>
        <w:rPr/>
        <w:t>[</w:t>
      </w:r>
      <w:r>
        <w:rPr/>
        <w:t>中报</w:t>
      </w:r>
      <w:r>
        <w:rPr/>
        <w:t>](https://iis.aastocks.com/20260922/12341187-0.PDF)</w:t>
      </w:r>
      <w:r>
        <w:rPr/>
        <w:t>、</w:t>
      </w:r>
      <w:r>
        <w:rPr/>
        <w:t>[</w:t>
      </w:r>
      <w:r>
        <w:rPr/>
        <w:t>中期业绩</w:t>
      </w:r>
      <w:r>
        <w:rPr/>
        <w:t>](https://iis.aastocks.com/20260819/12290999-0.PDF)</w:t>
      </w:r>
      <w:r>
        <w:rPr/>
        <w:t>。期间</w:t>
      </w:r>
      <w:r>
        <w:rPr/>
        <w:t>2026H1</w:t>
      </w:r>
      <w:r>
        <w:rPr/>
        <w:t>，财务人民币百万元；保存</w:t>
      </w:r>
      <w:r>
        <w:rPr/>
        <w:t>PDF</w:t>
      </w:r>
      <w:r>
        <w:rPr/>
        <w:t>及</w:t>
      </w:r>
      <w:r>
        <w:rPr/>
        <w:t>pdfium</w:t>
      </w:r>
      <w:r>
        <w:rPr/>
        <w:t>文本，按页解读逆序文本。</w:t>
      </w:r>
    </w:p>
    <w:p>
      <w:pPr>
        <w:pStyle w:val="Normal"/>
        <w:rPr/>
      </w:pPr>
      <w:r>
        <w:rPr/>
        <w:t>- 2025</w:t>
      </w:r>
      <w:r>
        <w:rPr/>
        <w:t>年年报</w:t>
      </w:r>
      <w:r>
        <w:rPr/>
        <w:t>4</w:t>
      </w:r>
      <w:r>
        <w:rPr/>
        <w:t>月</w:t>
      </w:r>
      <w:r>
        <w:rPr/>
        <w:t>29</w:t>
      </w:r>
      <w:r>
        <w:rPr/>
        <w:t>日：</w:t>
      </w:r>
      <w:r>
        <w:rPr/>
        <w:t>[</w:t>
      </w:r>
      <w:r>
        <w:rPr/>
        <w:t>年报</w:t>
      </w:r>
      <w:r>
        <w:rPr/>
        <w:t>](https://iis.aastocks.com/20260429/12132780-0.PDF)</w:t>
      </w:r>
      <w:r>
        <w:rPr/>
        <w:t>。历史财务、开发阶段、</w:t>
      </w:r>
      <w:r>
        <w:rPr/>
        <w:t>NewCo</w:t>
      </w:r>
      <w:r>
        <w:rPr/>
        <w:t>和资本安排。</w:t>
      </w:r>
    </w:p>
    <w:p>
      <w:pPr>
        <w:pStyle w:val="Normal"/>
        <w:rPr/>
      </w:pPr>
      <w:r>
        <w:rPr/>
        <w:t>- CMG901 7</w:t>
      </w:r>
      <w:r>
        <w:rPr/>
        <w:t>月</w:t>
      </w:r>
      <w:r>
        <w:rPr/>
        <w:t>28</w:t>
      </w:r>
      <w:r>
        <w:rPr/>
        <w:t>日：</w:t>
      </w:r>
      <w:r>
        <w:rPr/>
        <w:t>[CLARITY-Gastric01](https://iis.aastocks.com/20260728/12258442-0.PDF)</w:t>
      </w:r>
      <w:r>
        <w:rPr/>
        <w:t>。分别核验</w:t>
      </w:r>
      <w:r>
        <w:rPr/>
        <w:t>OS</w:t>
      </w:r>
      <w:r>
        <w:rPr/>
        <w:t>显著和</w:t>
      </w:r>
      <w:r>
        <w:rPr/>
        <w:t>PFS</w:t>
      </w:r>
      <w:r>
        <w:rPr/>
        <w:t>未显著，未公开</w:t>
      </w:r>
      <w:r>
        <w:rPr/>
        <w:t>HR/CI</w:t>
      </w:r>
      <w:r>
        <w:rPr/>
        <w:t>不填造。</w:t>
      </w:r>
    </w:p>
    <w:p>
      <w:pPr>
        <w:pStyle w:val="Normal"/>
        <w:rPr/>
      </w:pPr>
      <w:r>
        <w:rPr/>
        <w:t>- CM512 8</w:t>
      </w:r>
      <w:r>
        <w:rPr/>
        <w:t>月</w:t>
      </w:r>
      <w:r>
        <w:rPr/>
        <w:t>10</w:t>
      </w:r>
      <w:r>
        <w:rPr/>
        <w:t>日：</w:t>
      </w:r>
      <w:r>
        <w:rPr/>
        <w:t>[</w:t>
      </w:r>
      <w:r>
        <w:rPr/>
        <w:t>二期顶线</w:t>
      </w:r>
      <w:r>
        <w:rPr/>
        <w:t>](https://iis.aastocks.com/20260810/12278066-0.PDF)</w:t>
      </w:r>
      <w:r>
        <w:rPr/>
        <w:t>。</w:t>
      </w:r>
      <w:r>
        <w:rPr/>
        <w:t>120</w:t>
      </w:r>
      <w:r>
        <w:rPr/>
        <w:t>例、多剂量、全部终点及三期计划，详细效应量缺失。</w:t>
      </w:r>
    </w:p>
    <w:p>
      <w:pPr>
        <w:pStyle w:val="Normal"/>
        <w:rPr/>
      </w:pPr>
      <w:r>
        <w:rPr/>
        <w:t>- CM310</w:t>
      </w:r>
      <w:r>
        <w:rPr/>
        <w:t>海外</w:t>
      </w:r>
      <w:r>
        <w:rPr/>
        <w:t>9</w:t>
      </w:r>
      <w:r>
        <w:rPr/>
        <w:t>月</w:t>
      </w:r>
      <w:r>
        <w:rPr/>
        <w:t>2</w:t>
      </w:r>
      <w:r>
        <w:rPr/>
        <w:t>日：</w:t>
      </w:r>
      <w:r>
        <w:rPr/>
        <w:t>[</w:t>
      </w:r>
      <w:r>
        <w:rPr/>
        <w:t>十八地域许可</w:t>
      </w:r>
      <w:r>
        <w:rPr/>
        <w:t>](https://iis.aastocks.com/20260902/12317039-0.PDF)</w:t>
      </w:r>
      <w:r>
        <w:rPr/>
        <w:t>。精确版税阶梯缺失。</w:t>
      </w:r>
    </w:p>
    <w:p>
      <w:pPr>
        <w:pStyle w:val="Normal"/>
        <w:rPr/>
      </w:pPr>
      <w:r>
        <w:rPr/>
        <w:t>- Ouro</w:t>
      </w:r>
      <w:r>
        <w:rPr/>
        <w:t>出售：</w:t>
      </w:r>
      <w:r>
        <w:rPr/>
        <w:t>[3</w:t>
      </w:r>
      <w:r>
        <w:rPr/>
        <w:t>月</w:t>
      </w:r>
      <w:r>
        <w:rPr/>
        <w:t>24</w:t>
      </w:r>
      <w:r>
        <w:rPr/>
        <w:t>日</w:t>
      </w:r>
      <w:r>
        <w:rPr/>
        <w:t>](https://iis.aastocks.com/20260324/12063871-0.PDF)</w:t>
      </w:r>
      <w:r>
        <w:rPr/>
        <w:t>、</w:t>
      </w:r>
      <w:r>
        <w:rPr/>
        <w:t>[4</w:t>
      </w:r>
      <w:r>
        <w:rPr/>
        <w:t>月</w:t>
      </w:r>
      <w:r>
        <w:rPr/>
        <w:t>15</w:t>
      </w:r>
      <w:r>
        <w:rPr/>
        <w:t>日补充</w:t>
      </w:r>
      <w:r>
        <w:rPr/>
        <w:t>](https://iis.aastocks.com/20260415/12107157-0.PDF)</w:t>
      </w:r>
      <w:r>
        <w:rPr/>
        <w:t>、</w:t>
      </w:r>
      <w:r>
        <w:rPr/>
        <w:t>[6</w:t>
      </w:r>
      <w:r>
        <w:rPr/>
        <w:t>月</w:t>
      </w:r>
      <w:r>
        <w:rPr/>
        <w:t>5</w:t>
      </w:r>
      <w:r>
        <w:rPr/>
        <w:t>日完成</w:t>
      </w:r>
      <w:r>
        <w:rPr/>
        <w:t>](https://iis.aastocks.com/20260605/12191586-0.PDF)</w:t>
      </w:r>
      <w:r>
        <w:rPr/>
        <w:t>。完成款</w:t>
      </w:r>
      <w:r>
        <w:rPr/>
        <w:t>257</w:t>
      </w:r>
      <w:r>
        <w:rPr/>
        <w:t>百万美元、或有对价与旧药许可分开。</w:t>
      </w:r>
    </w:p>
    <w:p>
      <w:pPr>
        <w:pStyle w:val="Normal"/>
        <w:rPr/>
      </w:pPr>
      <w:r>
        <w:rPr/>
        <w:t>- A</w:t>
      </w:r>
      <w:r>
        <w:rPr/>
        <w:t>股初步建议</w:t>
      </w:r>
      <w:r>
        <w:rPr/>
        <w:t>8</w:t>
      </w:r>
      <w:r>
        <w:rPr/>
        <w:t>月</w:t>
      </w:r>
      <w:r>
        <w:rPr/>
        <w:t>19</w:t>
      </w:r>
      <w:r>
        <w:rPr/>
        <w:t>日：</w:t>
      </w:r>
      <w:r>
        <w:rPr/>
        <w:t>[</w:t>
      </w:r>
      <w:r>
        <w:rPr/>
        <w:t>公告</w:t>
      </w:r>
      <w:r>
        <w:rPr/>
        <w:t>](https://iis.aastocks.com/20260819/12291025-0.PDF)</w:t>
      </w:r>
      <w:r>
        <w:rPr/>
        <w:t>。无确定发行份额和募集款，不加入未知现金。</w:t>
      </w:r>
    </w:p>
    <w:p>
      <w:pPr>
        <w:pStyle w:val="Normal"/>
        <w:rPr/>
      </w:pPr>
      <w:r>
        <w:rPr/>
        <w:t xml:space="preserve">- </w:t>
      </w:r>
      <w:r>
        <w:rPr/>
        <w:t>九月股数</w:t>
      </w:r>
      <w:r>
        <w:rPr/>
        <w:t>10</w:t>
      </w:r>
      <w:r>
        <w:rPr/>
        <w:t>月</w:t>
      </w:r>
      <w:r>
        <w:rPr/>
        <w:t>5</w:t>
      </w:r>
      <w:r>
        <w:rPr/>
        <w:t>日：</w:t>
      </w:r>
      <w:r>
        <w:rPr/>
        <w:t>[</w:t>
      </w:r>
      <w:r>
        <w:rPr/>
        <w:t>月报</w:t>
      </w:r>
      <w:r>
        <w:rPr/>
        <w:t>](https://iis.aastocks.com/20261005/12361148-0.PDF)</w:t>
      </w:r>
      <w:r>
        <w:rPr/>
        <w:t>。</w:t>
      </w:r>
      <w:r>
        <w:rPr/>
        <w:t>298,735,566</w:t>
      </w:r>
      <w:r>
        <w:rPr/>
        <w:t>已发行普通股；不混</w:t>
      </w:r>
      <w:r>
        <w:rPr/>
        <w:t>IFRS</w:t>
      </w:r>
      <w:r>
        <w:rPr/>
        <w:t>奖励预留与加权</w:t>
      </w:r>
      <w:r>
        <w:rPr/>
        <w:t>EPS</w:t>
      </w:r>
      <w:r>
        <w:rPr/>
        <w:t>。</w:t>
      </w:r>
    </w:p>
    <w:p>
      <w:pPr>
        <w:pStyle w:val="Normal"/>
        <w:rPr/>
      </w:pPr>
      <w:r>
        <w:rPr/>
        <w:t xml:space="preserve">- </w:t>
      </w:r>
      <w:r>
        <w:rPr/>
        <w:t>外资目标公开转述：</w:t>
      </w:r>
      <w:r>
        <w:rPr/>
        <w:t>[</w:t>
      </w:r>
      <w:r>
        <w:rPr/>
        <w:t>汇丰</w:t>
      </w:r>
      <w:r>
        <w:rPr/>
        <w:t>9</w:t>
      </w:r>
      <w:r>
        <w:rPr/>
        <w:t>月</w:t>
      </w:r>
      <w:r>
        <w:rPr/>
        <w:t>29</w:t>
      </w:r>
      <w:r>
        <w:rPr/>
        <w:t>日</w:t>
      </w:r>
      <w:r>
        <w:rPr/>
        <w:t>](https://www.aastocks.com/sc/stocks/news/aafn-con/NOW.1547010/recommend-news/AAFN)</w:t>
      </w:r>
      <w:r>
        <w:rPr/>
        <w:t>、</w:t>
      </w:r>
      <w:r>
        <w:rPr/>
        <w:t>[</w:t>
      </w:r>
      <w:r>
        <w:rPr/>
        <w:t>里昂</w:t>
      </w:r>
      <w:r>
        <w:rPr/>
        <w:t>9</w:t>
      </w:r>
      <w:r>
        <w:rPr/>
        <w:t>月</w:t>
      </w:r>
      <w:r>
        <w:rPr/>
        <w:t>1</w:t>
      </w:r>
      <w:r>
        <w:rPr/>
        <w:t>日</w:t>
      </w:r>
      <w:r>
        <w:rPr/>
        <w:t>](https://www.aastocks.com/sc/stocks/news/aafn-con/NOW.1542370/recommend-news/AAFN)</w:t>
      </w:r>
      <w:r>
        <w:rPr/>
        <w:t>、</w:t>
      </w:r>
      <w:r>
        <w:rPr/>
        <w:t>[</w:t>
      </w:r>
      <w:r>
        <w:rPr/>
        <w:t>大和</w:t>
      </w:r>
      <w:r>
        <w:rPr/>
        <w:t>8</w:t>
      </w:r>
      <w:r>
        <w:rPr/>
        <w:t>月</w:t>
      </w:r>
      <w:r>
        <w:rPr/>
        <w:t>21</w:t>
      </w:r>
      <w:r>
        <w:rPr/>
        <w:t>日</w:t>
      </w:r>
      <w:r>
        <w:rPr/>
        <w:t>](https://www.aastocks.com/sc/stocks/news/aafn-con/NOW.1539906/recommend-news/AAFN)</w:t>
      </w:r>
      <w:r>
        <w:rPr/>
        <w:t>、</w:t>
      </w:r>
      <w:r>
        <w:rPr/>
        <w:t>[</w:t>
      </w:r>
      <w:r>
        <w:rPr/>
        <w:t>花旗</w:t>
      </w:r>
      <w:r>
        <w:rPr/>
        <w:t>8</w:t>
      </w:r>
      <w:r>
        <w:rPr/>
        <w:t>月</w:t>
      </w:r>
      <w:r>
        <w:rPr/>
        <w:t>21</w:t>
      </w:r>
      <w:r>
        <w:rPr/>
        <w:t>日</w:t>
      </w:r>
      <w:r>
        <w:rPr/>
        <w:t>](https://www.aastocks.com/sc/stocks/news/aafn-con/NOW.1539900/recommend-news/AAFN)</w:t>
      </w:r>
      <w:r>
        <w:rPr/>
        <w:t>、</w:t>
      </w:r>
      <w:r>
        <w:rPr/>
        <w:t>[</w:t>
      </w:r>
      <w:r>
        <w:rPr/>
        <w:t>高盛</w:t>
      </w:r>
      <w:r>
        <w:rPr/>
        <w:t>9</w:t>
      </w:r>
      <w:r>
        <w:rPr/>
        <w:t>月</w:t>
      </w:r>
      <w:r>
        <w:rPr/>
        <w:t>11</w:t>
      </w:r>
      <w:r>
        <w:rPr/>
        <w:t>日</w:t>
      </w:r>
      <w:r>
        <w:rPr/>
        <w:t>](https://www.aastocks.com/sc/stocks/news/aafn-con/NOW.1544113/recommend-news/AAFN)</w:t>
      </w:r>
      <w:r>
        <w:rPr/>
        <w:t>。新闻转述，确切目标日及完整模型缺失。</w:t>
      </w:r>
    </w:p>
    <w:p>
      <w:pPr>
        <w:pStyle w:val="Normal"/>
        <w:rPr/>
      </w:pPr>
      <w:r>
        <w:rPr/>
        <w:t xml:space="preserve">- </w:t>
      </w:r>
      <w:r>
        <w:rPr/>
        <w:t>行情及交叉来源见</w:t>
      </w:r>
      <w:r>
        <w:rPr/>
        <w:t>data/market_snapshot_locked.json</w:t>
      </w:r>
      <w:r>
        <w:rPr/>
        <w:t>的</w:t>
      </w:r>
      <w:r>
        <w:rPr/>
        <w:t>S054</w:t>
      </w:r>
      <w:r>
        <w:rPr/>
        <w:t>；行业参考</w:t>
      </w:r>
      <w:r>
        <w:rPr/>
        <w:t>987018</w:t>
      </w:r>
      <w:r>
        <w:rPr/>
        <w:t>为官方单源粗粒度价格指数。年度现金、成本、里程碑、税</w:t>
      </w:r>
      <w:r>
        <w:rPr/>
        <w:t>/</w:t>
      </w:r>
      <w:r>
        <w:rPr/>
        <w:t>持股折扣及短期市场桥见</w:t>
      </w:r>
      <w:r>
        <w:rPr/>
        <w:t>data/keymed_model.json</w:t>
      </w:r>
      <w:r>
        <w:rPr/>
        <w:t>；权重及回报由同一快照计算。</w:t>
      </w:r>
      <w:r>
        <w:br w:type="page"/>
      </w:r>
    </w:p>
    <w:p>
      <w:pPr>
        <w:pStyle w:val="Heading1"/>
        <w:rPr/>
      </w:pPr>
      <w:bookmarkStart w:id="6" w:name="__RefHeading___Toc57540_312338234"/>
      <w:bookmarkEnd w:id="6"/>
      <w:r>
        <w:rPr>
          <w:color w:val="000000"/>
        </w:rPr>
        <w:t xml:space="preserve">理想汽车 </w:t>
      </w:r>
      <w:r>
        <w:rPr>
          <w:color w:val="000000"/>
        </w:rPr>
        <w:t>W 02015 HK</w:t>
      </w:r>
    </w:p>
    <w:p>
      <w:pPr>
        <w:pStyle w:val="Normal"/>
        <w:rPr/>
      </w:pPr>
      <w:r>
        <w:rPr/>
        <w:t xml:space="preserve">02015.HK </w:t>
      </w:r>
      <w:r>
        <w:rPr/>
        <w:t xml:space="preserve">现价 </w:t>
      </w:r>
      <w:r>
        <w:rPr/>
        <w:t>44.66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58.87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92.79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+107.77%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+109.11%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101.60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+131.53%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94.73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55.39HKD</w:t>
      </w:r>
      <w:r>
        <w:rPr/>
        <w:t>，期望股价回报</w:t>
      </w:r>
      <w:r>
        <w:rPr/>
        <w:t>+24.03%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16.62</w:t>
              <w:br/>
              <w:t>-62.79%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58.87</w:t>
              <w:br/>
              <w:t>+31.82%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118.99</w:t>
              <w:br/>
              <w:t>+166.44%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9.59</w:t>
              <w:br/>
              <w:t>-78.53%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69.93</w:t>
              <w:br/>
              <w:t>+56.58%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141.43</w:t>
              <w:br/>
              <w:t>+216.68%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92.79</w:t>
              <w:br/>
              <w:t>+107.77%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201.22</w:t>
              <w:br/>
              <w:t>+350.56%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+27.88%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101.60</w:t>
              <w:br/>
              <w:t>+127.50%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248.54</w:t>
              <w:br/>
              <w:t>+456.52%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+38.41%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+64.41%</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+98.66%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+119.57%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+119.95%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+143.10%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I084</w:t>
      </w:r>
      <w:r>
        <w:rPr/>
        <w:t xml:space="preserve">，证券 </w:t>
      </w:r>
      <w:r>
        <w:rPr/>
        <w:t>S095</w:t>
      </w:r>
      <w:r>
        <w:rPr/>
        <w:t>。统一基准为</w:t>
      </w:r>
      <w:r>
        <w:rPr/>
        <w:t>2026</w:t>
      </w:r>
      <w:r>
        <w:rPr/>
        <w:t>年</w:t>
      </w:r>
      <w:r>
        <w:rPr/>
        <w:t>10</w:t>
      </w:r>
      <w:r>
        <w:rPr/>
        <w:t>月</w:t>
      </w:r>
      <w:r>
        <w:rPr/>
        <w:t>9</w:t>
      </w:r>
      <w:r>
        <w:rPr/>
        <w:t>日港股收盘</w:t>
      </w:r>
      <w:r>
        <w:rPr/>
        <w:t>44.66</w:t>
      </w:r>
      <w:r>
        <w:rPr/>
        <w:t>港元；资料截止同日。美国</w:t>
      </w:r>
      <w:r>
        <w:rPr/>
        <w:t>ADS</w:t>
      </w:r>
      <w:r>
        <w:rPr/>
        <w:t>每份对应两股</w:t>
      </w:r>
      <w:r>
        <w:rPr/>
        <w:t>A</w:t>
      </w:r>
      <w:r>
        <w:rPr/>
        <w:t>类普通股，本章所有价格及目标均为一股香港上市</w:t>
      </w:r>
      <w:r>
        <w:rPr/>
        <w:t>A</w:t>
      </w:r>
      <w:r>
        <w:rPr/>
        <w:t>类普通股港元口径。公司法定报表采用美国通用会计准则，不把非</w:t>
      </w:r>
      <w:r>
        <w:rPr/>
        <w:t>GAAP</w:t>
      </w:r>
      <w:r>
        <w:rPr/>
        <w:t>调整利润或香港财报中的</w:t>
      </w:r>
      <w:r>
        <w:rPr/>
        <w:t>IFRS</w:t>
      </w:r>
      <w:r>
        <w:rPr/>
        <w:t>对照值混为同一输入。</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项目</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五年长期</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目标日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r>
              <w:rPr>
                <w:rFonts w:ascii="微软雅黑" w:hAnsi="微软雅黑" w:eastAsia="微软雅黑"/>
                <w:sz w:val="17"/>
              </w:rPr>
              <w:t>（名义</w:t>
            </w:r>
            <w:r>
              <w:rPr>
                <w:rFonts w:eastAsia="微软雅黑" w:ascii="微软雅黑" w:hAnsi="微软雅黑"/>
                <w:sz w:val="17"/>
              </w:rPr>
              <w:t>2027-10-09</w:t>
            </w: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推荐得分</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r>
              <w:rPr>
                <w:rFonts w:eastAsia="微软雅黑" w:ascii="微软雅黑" w:hAnsi="微软雅黑"/>
                <w:sz w:val="17"/>
              </w:rPr>
              <w:t>/</w:t>
            </w:r>
            <w:r>
              <w:rPr>
                <w:rFonts w:ascii="微软雅黑" w:hAnsi="微软雅黑" w:eastAsia="微软雅黑"/>
                <w:sz w:val="17"/>
              </w:rPr>
              <w:t>基准</w:t>
            </w:r>
            <w:r>
              <w:rPr>
                <w:rFonts w:eastAsia="微软雅黑" w:ascii="微软雅黑" w:hAnsi="微软雅黑"/>
                <w:sz w:val="17"/>
              </w:rPr>
              <w:t>/</w:t>
            </w:r>
            <w:r>
              <w:rPr>
                <w:rFonts w:ascii="微软雅黑" w:hAnsi="微软雅黑" w:eastAsia="微软雅黑"/>
                <w:sz w:val="17"/>
              </w:rPr>
              <w:t>乐观目标，港元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16.62/58.87/118.99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9.59/69.93/141.43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0/92.79/201.22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0/101.60/248.54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基准股价上涨空间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127.50%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基准累计现金股息，港元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基准含息总回报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131.53%</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基准含息年化</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不适用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18.28%</w:t>
            </w:r>
          </w:p>
        </w:tc>
      </w:tr>
    </w:tbl>
    <w:p>
      <w:pPr>
        <w:pStyle w:val="Normal"/>
        <w:rPr/>
      </w:pPr>
      <w:r>
        <w:rPr/>
      </w:r>
    </w:p>
    <w:p>
      <w:pPr>
        <w:pStyle w:val="Normal"/>
        <w:rPr/>
      </w:pPr>
      <w:r>
        <w:rPr/>
        <w:t>结论：进取型框架中属于有条件的产品与盈利修复候选，三年吸引力稍高于半年，尚未达到高确信成长推荐。正常经营恢复、纯电和增程组合、持续研发与现金纪律共同决定价值；大额现金提供缓冲，不能消除亏损和车型失败风险。主要成立条件为月交付及净售价改善、车辆毛利恢复、完整研发与销售成本后出现正常经营利润、补贴及价格竞争可承受。风险为持续亏损、保修与安全、纯电投入、库存及供应商资金、</w:t>
      </w:r>
      <w:r>
        <w:rPr/>
        <w:t>AI</w:t>
      </w:r>
      <w:r>
        <w:rPr/>
        <w:t>资本开支、</w:t>
      </w:r>
      <w:r>
        <w:rPr/>
        <w:t>WVR</w:t>
      </w:r>
      <w:r>
        <w:rPr/>
        <w:t>治理与股份稀释。证据可信度中，最新季度实际收入、车型分项毛利、十月现金与经济在外股数尚未公开。</w:t>
      </w:r>
    </w:p>
    <w:p>
      <w:pPr>
        <w:pStyle w:val="Heading2"/>
        <w:rPr/>
      </w:pPr>
      <w:r>
        <w:rPr>
          <w:color w:val="000000"/>
        </w:rPr>
        <w:t>一 研究对象与核心矛盾</w:t>
      </w:r>
    </w:p>
    <w:p>
      <w:pPr>
        <w:pStyle w:val="Normal"/>
        <w:rPr/>
      </w:pPr>
      <w:r>
        <w:rPr/>
        <w:t>理想汽车已经从增程家庭</w:t>
      </w:r>
      <w:r>
        <w:rPr/>
        <w:t>SUV</w:t>
      </w:r>
      <w:r>
        <w:rPr/>
        <w:t>企业扩展为同时经营增程、纯电、充电网络和智能技术的汽车公司。品牌最初的优势在于围绕家庭用户解决空间、舒适、续航与使用便利，而不是以最低售价争取所有消费者。投资者需要判断这种产品方法能否跨越车型换代与技术路线转换，继续带来合理售价和毛利；单纯看品牌知名度，无法说明未来每辆车的经济收益。</w:t>
      </w:r>
    </w:p>
    <w:p>
      <w:pPr>
        <w:pStyle w:val="Normal"/>
        <w:rPr/>
      </w:pPr>
      <w:r>
        <w:rPr/>
        <w:t>2025</w:t>
      </w:r>
      <w:r>
        <w:rPr/>
        <w:t>年交付</w:t>
      </w:r>
      <w:r>
        <w:rPr/>
        <w:t>406343</w:t>
      </w:r>
      <w:r>
        <w:rPr/>
        <w:t>辆，较</w:t>
      </w:r>
      <w:r>
        <w:rPr/>
        <w:t>2024</w:t>
      </w:r>
      <w:r>
        <w:rPr/>
        <w:t>年的</w:t>
      </w:r>
      <w:r>
        <w:rPr/>
        <w:t>500508</w:t>
      </w:r>
      <w:r>
        <w:rPr/>
        <w:t>辆下降，</w:t>
      </w:r>
      <w:r>
        <w:rPr/>
        <w:t>2026</w:t>
      </w:r>
      <w:r>
        <w:rPr/>
        <w:t>年上半年交付</w:t>
      </w:r>
      <w:r>
        <w:rPr/>
        <w:t>193472</w:t>
      </w:r>
      <w:r>
        <w:rPr/>
        <w:t>辆。规模仍大，但增长停滞与利润恶化同时出现，表明公司正经历产品与竞争转换。现价较过去较长均线低很多，可以理解为市场预期下降后的低位，也可能表示市场仍未充分反映毛利压力。低价只是研究起点，需要财务和产品兑现来证明便宜。</w:t>
      </w:r>
    </w:p>
    <w:p>
      <w:pPr>
        <w:pStyle w:val="Normal"/>
        <w:rPr/>
      </w:pPr>
      <w:r>
        <w:rPr/>
        <w:t>上半年收入</w:t>
      </w:r>
      <w:r>
        <w:rPr/>
        <w:t>486.49801</w:t>
      </w:r>
      <w:r>
        <w:rPr/>
        <w:t>亿元，经营亏损</w:t>
      </w:r>
      <w:r>
        <w:rPr/>
        <w:t>52.99640</w:t>
      </w:r>
      <w:r>
        <w:rPr/>
        <w:t>亿元，归母亏损</w:t>
      </w:r>
      <w:r>
        <w:rPr/>
        <w:t>39.93712</w:t>
      </w:r>
      <w:r>
        <w:rPr/>
        <w:t>亿元。这个结果与曾经稳定盈利的市场印象发生冲突，因此不能继续使用历史高增长时期的估值习惯。公司有较多现金和研发能力，经营利润却尚未恢复，推荐需要区分“有能力度过调整”与“已经实现盈利修复”。本章对半年评分较低，正是承认两者之间仍有距离。</w:t>
      </w:r>
    </w:p>
    <w:p>
      <w:pPr>
        <w:pStyle w:val="Normal"/>
        <w:rPr/>
      </w:pPr>
      <w:r>
        <w:rPr/>
        <w:t>车型周期对公司尤其重要，旧款消费者观望、新款推出时的生产效率、价格与产品组合会同时改变收入和成本。一款旗舰车上市可以提高平均售价，但如果实际销量小，不能覆盖研发与新产线投入；较低价车型畅销可扩大交付，却可能降低毛利。研究因而以交付数量乘汽车净收入平均价、再按毛利与完整费用建模，避免只用销量增长推断利润增长。</w:t>
      </w:r>
    </w:p>
    <w:p>
      <w:pPr>
        <w:pStyle w:val="Normal"/>
        <w:rPr/>
      </w:pPr>
      <w:r>
        <w:rPr/>
        <w:t>品牌的历史增程优势具有现实价值，消费者不必完全依赖充电条件，家庭长途出行的心理成本较低。随着纯电续航与充电改善，增程的差异化可能缩小，竞争车企也可以提供类似方案。长期价值来自产品组合、制造、软件与服务的整体能力，不能把一种动力路线视作永远排他的技术壁垒，也不能在纯电发展后宣布增程需求立即消失。</w:t>
      </w:r>
    </w:p>
    <w:p>
      <w:pPr>
        <w:pStyle w:val="Normal"/>
        <w:rPr/>
      </w:pPr>
      <w:r>
        <w:rPr/>
        <w:t>本研究采用进取型标准，愿意给成长与修复空间一定分数，但严格保留研发、股酬、保修、租赁、资本和融资成本。理想属于亏损转型制造企业，主估值采用经营销售倍数与完整利润、现金交叉检验。它不同于成熟平台</w:t>
      </w:r>
      <w:r>
        <w:rPr/>
        <w:t>PE</w:t>
      </w:r>
      <w:r>
        <w:rPr/>
        <w:t>，也不同于临床资产风险净现值。选择销售法不代表利润不重要，恰恰要明确销售最终转成正常盈利的条件。</w:t>
      </w:r>
    </w:p>
    <w:p>
      <w:pPr>
        <w:pStyle w:val="Heading2"/>
        <w:rPr/>
      </w:pPr>
      <w:r>
        <w:rPr>
          <w:color w:val="000000"/>
        </w:rPr>
        <w:t>二 家庭产品定位与竞争能力</w:t>
      </w:r>
    </w:p>
    <w:p>
      <w:pPr>
        <w:pStyle w:val="Normal"/>
        <w:rPr/>
      </w:pPr>
      <w:r>
        <w:rPr/>
        <w:t>家庭汽车采购具有较长决策周期，空间、驾乘舒适、可靠性、儿童与老人使用、充电和保修都影响选择。理想通过较明确的产品场景建立品牌，可以减少消费者在复杂配置中的选择负担。这个优势需要真实产品体验持续支持，一旦新款价格明显上升、可靠性或售后问题增加，消费者可以转向其他品牌，历史口碑并不能永久支撑溢价。</w:t>
      </w:r>
    </w:p>
    <w:p>
      <w:pPr>
        <w:pStyle w:val="Normal"/>
        <w:rPr/>
      </w:pPr>
      <w:r>
        <w:rPr/>
        <w:t>L</w:t>
      </w:r>
      <w:r>
        <w:rPr/>
        <w:t>系列增程</w:t>
      </w:r>
      <w:r>
        <w:rPr/>
        <w:t>SUV</w:t>
      </w:r>
      <w:r>
        <w:rPr/>
        <w:t>构成重要基础，纯电</w:t>
      </w:r>
      <w:r>
        <w:rPr/>
        <w:t>MEGA</w:t>
      </w:r>
      <w:r>
        <w:rPr/>
        <w:t>及</w:t>
      </w:r>
      <w:r>
        <w:rPr/>
        <w:t>i</w:t>
      </w:r>
      <w:r>
        <w:rPr/>
        <w:t>系列扩展新的需求。</w:t>
      </w:r>
      <w:r>
        <w:rPr/>
        <w:t>SUV</w:t>
      </w:r>
      <w:r>
        <w:rPr/>
        <w:t>与</w:t>
      </w:r>
      <w:r>
        <w:rPr/>
        <w:t>MPV</w:t>
      </w:r>
      <w:r>
        <w:rPr/>
        <w:t>适用场景不同，旗舰与大众价位客户也不同。公司以更多车型覆盖价格区间有助增长，同时可能产生内部替代、营销和研发复杂度。投资者应关注总销量中真正新增需求与原车型被替换的比例，而不是将每款新车的预期销量简单相加。</w:t>
      </w:r>
    </w:p>
    <w:p>
      <w:pPr>
        <w:pStyle w:val="Normal"/>
        <w:rPr/>
      </w:pPr>
      <w:r>
        <w:rPr/>
        <w:t>上半年推出全新</w:t>
      </w:r>
      <w:r>
        <w:rPr/>
        <w:t>L9</w:t>
      </w:r>
      <w:r>
        <w:rPr/>
        <w:t>和</w:t>
      </w:r>
      <w:r>
        <w:rPr/>
        <w:t>L8</w:t>
      </w:r>
      <w:r>
        <w:rPr/>
        <w:t>，官方披露使用更大电池、新一代增程系统及底盘、芯片等配置。</w:t>
      </w:r>
      <w:r>
        <w:rPr/>
        <w:t>L9 Ultra</w:t>
      </w:r>
      <w:r>
        <w:rPr/>
        <w:t>与</w:t>
      </w:r>
      <w:r>
        <w:rPr/>
        <w:t>Livis</w:t>
      </w:r>
      <w:r>
        <w:rPr/>
        <w:t>定价分别</w:t>
      </w:r>
      <w:r>
        <w:rPr/>
        <w:t>45.98</w:t>
      </w:r>
      <w:r>
        <w:rPr/>
        <w:t>万和</w:t>
      </w:r>
      <w:r>
        <w:rPr/>
        <w:t>50.98</w:t>
      </w:r>
      <w:r>
        <w:rPr/>
        <w:t>万元，</w:t>
      </w:r>
      <w:r>
        <w:rPr/>
        <w:t>L8 Ultra</w:t>
      </w:r>
      <w:r>
        <w:rPr/>
        <w:t>与</w:t>
      </w:r>
      <w:r>
        <w:rPr/>
        <w:t>Livis</w:t>
      </w:r>
      <w:r>
        <w:rPr/>
        <w:t>为</w:t>
      </w:r>
      <w:r>
        <w:rPr/>
        <w:t>36.98</w:t>
      </w:r>
      <w:r>
        <w:rPr/>
        <w:t>万和</w:t>
      </w:r>
      <w:r>
        <w:rPr/>
        <w:t>42.98</w:t>
      </w:r>
      <w:r>
        <w:rPr/>
        <w:t>万元。定价可以体现产品定位，但并不等于财务净</w:t>
      </w:r>
      <w:r>
        <w:rPr/>
        <w:t>ASP</w:t>
      </w:r>
      <w:r>
        <w:rPr/>
        <w:t>，折扣、不同车型组合、税和收入确认方式需要另行分析。模型的净平均收入价格不直接取旗舰指导价。</w:t>
      </w:r>
    </w:p>
    <w:p>
      <w:pPr>
        <w:pStyle w:val="Normal"/>
        <w:rPr/>
      </w:pPr>
      <w:r>
        <w:rPr/>
        <w:t>七月新</w:t>
      </w:r>
      <w:r>
        <w:rPr/>
        <w:t>L6</w:t>
      </w:r>
      <w:r>
        <w:rPr/>
        <w:t>定价</w:t>
      </w:r>
      <w:r>
        <w:rPr/>
        <w:t>24.98</w:t>
      </w:r>
      <w:r>
        <w:rPr/>
        <w:t>万元，九月交付超过一万辆，说明较大众价位的家庭</w:t>
      </w:r>
      <w:r>
        <w:rPr/>
        <w:t>SUV</w:t>
      </w:r>
      <w:r>
        <w:rPr/>
        <w:t>仍是重要规模来源。扩大</w:t>
      </w:r>
      <w:r>
        <w:rPr/>
        <w:t>L6</w:t>
      </w:r>
      <w:r>
        <w:rPr/>
        <w:t>占比可以吸引更广用户，却也可能稀释总汽车平均收入和毛利。公司若通过设计和供应链把较低售价转成合理单车盈利，规模扩大有价值；如果只能依靠更多优惠获得订单，交付增加也可能加重经营压力。</w:t>
      </w:r>
    </w:p>
    <w:p>
      <w:pPr>
        <w:pStyle w:val="Normal"/>
        <w:rPr/>
      </w:pPr>
      <w:r>
        <w:rPr/>
        <w:t>九月官方披露推出新</w:t>
      </w:r>
      <w:r>
        <w:rPr/>
        <w:t>MEGA Home</w:t>
      </w:r>
      <w:r>
        <w:rPr/>
        <w:t>和</w:t>
      </w:r>
      <w:r>
        <w:rPr/>
        <w:t>i9 Home</w:t>
      </w:r>
      <w:r>
        <w:rPr/>
        <w:t>，十月计划发布</w:t>
      </w:r>
      <w:r>
        <w:rPr/>
        <w:t>2026</w:t>
      </w:r>
      <w:r>
        <w:rPr/>
        <w:t>款</w:t>
      </w:r>
      <w:r>
        <w:rPr/>
        <w:t>i6</w:t>
      </w:r>
      <w:r>
        <w:rPr/>
        <w:t>并在欧洲展示。计划与已发生事项需要区分：九月交付和上市为公开事实，十月具体销量、订单与毛利尚未获得截止日数据。研究允许新车型成为催化剂，未把尚未公布的实际收益提前写成确定收入，也没有根据企业规划补造未来销量。</w:t>
      </w:r>
    </w:p>
    <w:p>
      <w:pPr>
        <w:pStyle w:val="Normal"/>
        <w:rPr/>
      </w:pPr>
      <w:r>
        <w:rPr/>
        <w:t>纯电产品不仅要求整车性能，也依赖充电网络、用户习惯和服务便利。理想扩展超充站可以提升使用体验，但基础设施需要资本、维护和地点效率。增程客户转向纯电客户，不意味着公司可以沿用相同获客成本与售价结构。纯电策略成功需要产品、供能网络和成本同步达标，不能只看单项充电功率或续航参数。</w:t>
      </w:r>
    </w:p>
    <w:p>
      <w:pPr>
        <w:pStyle w:val="Normal"/>
        <w:rPr/>
      </w:pPr>
      <w:r>
        <w:rPr/>
        <w:t>竞争来自传统自主品牌、新能源新势力和科技平台参与者，多家企业在家庭</w:t>
      </w:r>
      <w:r>
        <w:rPr/>
        <w:t>SUV</w:t>
      </w:r>
      <w:r>
        <w:rPr/>
        <w:t>、智能驾驶和高端纯电定位上重叠。比亚迪具有规模与供应链，华为合作品牌具有智能化及渠道，其他新品牌通过设计、性能或价位争取用户。理想需要靠消费者愿意支付的差异化保持毛利，并不能因为市场新能源渗透提升就必然守住份额。</w:t>
      </w:r>
    </w:p>
    <w:p>
      <w:pPr>
        <w:pStyle w:val="Normal"/>
        <w:rPr/>
      </w:pPr>
      <w:r>
        <w:rPr/>
        <w:t>汽车竞争的时间尺度比互联网流量更长，研发与产线需要提前投入，竞争价格可以快速变化。一家企业可能拥有技术方案却因量产、供应或售后落后错失周期，也可能车型成功后被竞品迅速模仿。研究把制造质量、换代效率、维修与保修同品牌和软件一起分析，避免仅以发布会技术领先决定长期评分。</w:t>
      </w:r>
    </w:p>
    <w:p>
      <w:pPr>
        <w:pStyle w:val="Heading2"/>
        <w:rPr/>
      </w:pPr>
      <w:r>
        <w:rPr>
          <w:color w:val="000000"/>
        </w:rPr>
        <w:t>三 智能驾驶 芯片与</w:t>
      </w:r>
      <w:r>
        <w:rPr>
          <w:color w:val="000000"/>
        </w:rPr>
        <w:t>AI</w:t>
      </w:r>
      <w:r>
        <w:rPr>
          <w:color w:val="000000"/>
        </w:rPr>
        <w:t>业务</w:t>
      </w:r>
    </w:p>
    <w:p>
      <w:pPr>
        <w:pStyle w:val="Normal"/>
        <w:rPr/>
      </w:pPr>
      <w:r>
        <w:rPr/>
        <w:t>官方中报披露</w:t>
      </w:r>
      <w:r>
        <w:rPr/>
        <w:t>MACH M100</w:t>
      </w:r>
      <w:r>
        <w:rPr/>
        <w:t>芯片和</w:t>
      </w:r>
      <w:r>
        <w:rPr/>
        <w:t>MACH VLA</w:t>
      </w:r>
      <w:r>
        <w:rPr/>
        <w:t>模型已经量产和车载部署，体现公司自研软硬件投入。芯片采用</w:t>
      </w:r>
      <w:r>
        <w:rPr/>
        <w:t>5</w:t>
      </w:r>
      <w:r>
        <w:rPr/>
        <w:t>纳米车规制程、宣称</w:t>
      </w:r>
      <w:r>
        <w:rPr/>
        <w:t>1280TOPS</w:t>
      </w:r>
      <w:r>
        <w:rPr/>
        <w:t>及较高利用率等性能指标，是公司技术资料，不能直接转成独立第三方验证的驾驶安全或盈利优势。投资者需要观察实际用户体验、成本、供应稳定和后续产品迭代，不能把算力指标乘估值倍数。</w:t>
      </w:r>
    </w:p>
    <w:p>
      <w:pPr>
        <w:pStyle w:val="Normal"/>
        <w:rPr/>
      </w:pPr>
      <w:r>
        <w:rPr/>
        <w:t>芯片和软件联合设计可以提高特定任务效率、控制供给并支持产品差异化，也需承担研发、验证、工具链和版本维护成本。自研并非天然比采购便宜，成本取决于出货量、设计成功与迭代频率。如果交付规模不足，固定研发分摊会偏高；若平台复用有效，多车型可以共享投入。本章完整研发费用保留，未因技术自研就将其全部资本化或剔除。</w:t>
      </w:r>
    </w:p>
    <w:p>
      <w:pPr>
        <w:pStyle w:val="Normal"/>
        <w:rPr/>
      </w:pPr>
      <w:r>
        <w:rPr/>
        <w:t>辅助驾驶的经济价值可能体现在售价、购买转化、留存和功能服务，但不能把车辆具备辅助驾驶解释为完全无人驾驶已可商用。系统需要驾驶员责任、适用条件、安全验证和监管允许。九月官方披露向近百万搭载</w:t>
      </w:r>
      <w:r>
        <w:rPr/>
        <w:t>Orin-X</w:t>
      </w:r>
      <w:r>
        <w:rPr/>
        <w:t>和</w:t>
      </w:r>
      <w:r>
        <w:rPr/>
        <w:t>Thor</w:t>
      </w:r>
      <w:r>
        <w:rPr/>
        <w:t>的平台车辆推送</w:t>
      </w:r>
      <w:r>
        <w:rPr/>
        <w:t>MACH VLA 2.0</w:t>
      </w:r>
      <w:r>
        <w:rPr/>
        <w:t>，覆盖数量显示部署基础，却不能等同新增百万付费订阅或无人驾驶收入。</w:t>
      </w:r>
    </w:p>
    <w:p>
      <w:pPr>
        <w:pStyle w:val="Normal"/>
        <w:rPr/>
      </w:pPr>
      <w:r>
        <w:rPr/>
        <w:t>自动驾驶可能提高汽车长期软件价值，同时引入技术和法律责任。升级错误、极端场景、用户误用和数据安全都可能影响信任，安全事故对家庭品牌尤其敏感。模型没有单列无可靠收入依据的自动驾驶订阅或</w:t>
      </w:r>
      <w:r>
        <w:rPr/>
        <w:t>Robotaxi</w:t>
      </w:r>
      <w:r>
        <w:rPr/>
        <w:t>资产，只在产品竞争与效率中给予条件性的成长判断。未来若披露稳定收费、成本及监管范围，才适合补充专属估值。</w:t>
      </w:r>
    </w:p>
    <w:p>
      <w:pPr>
        <w:pStyle w:val="Normal"/>
        <w:rPr/>
      </w:pPr>
      <w:r>
        <w:rPr/>
        <w:t>Mind</w:t>
      </w:r>
      <w:r>
        <w:rPr/>
        <w:t>系列云端与车端模型、</w:t>
      </w:r>
      <w:r>
        <w:rPr/>
        <w:t>AI</w:t>
      </w:r>
      <w:r>
        <w:rPr/>
        <w:t>制造和供应链工具可以改善交互、质检与流程。公司披露监控大量工艺点、替代人工检查任务等系统能力，不代表所有任务节省的人工都立即进入利润。部署费用、准确率和组织流程需要结合，模型保持服务与研发投入，并要求毛利或费用率实际改善后才能验证</w:t>
      </w:r>
      <w:r>
        <w:rPr/>
        <w:t>AI</w:t>
      </w:r>
      <w:r>
        <w:rPr/>
        <w:t>效率。技术叙述不能抵消当期经营亏损。</w:t>
      </w:r>
    </w:p>
    <w:p>
      <w:pPr>
        <w:pStyle w:val="Normal"/>
        <w:rPr/>
      </w:pPr>
      <w:r>
        <w:rPr/>
        <w:t>AI</w:t>
      </w:r>
      <w:r>
        <w:rPr/>
        <w:t>眼镜</w:t>
      </w:r>
      <w:r>
        <w:rPr/>
        <w:t>Livis</w:t>
      </w:r>
      <w:r>
        <w:rPr/>
        <w:t>已经有软件升级和功能拓展，属于汽车之外的探索。消费者电子产品的销售、毛利、退货和研发与整车不同，当前缺少足以独立估值的收入和现金数据。研究不把它按照热门消费</w:t>
      </w:r>
      <w:r>
        <w:rPr/>
        <w:t>AI</w:t>
      </w:r>
      <w:r>
        <w:rPr/>
        <w:t>硬件销量幻想加入基准，也不将七小时录像等功能指标转换成市场份额。若未来成为重要业务，应单独建收入、成本和资本回报模型。</w:t>
      </w:r>
    </w:p>
    <w:p>
      <w:pPr>
        <w:pStyle w:val="Normal"/>
        <w:rPr/>
      </w:pPr>
      <w:r>
        <w:rPr/>
        <w:t>长期看，芯片、操作系统、模型和制造联合能力可能形成更高产品效率，但优势最终需要客户支付和成本下降实现。消费者可能偏好较低价格、较可靠售后而非最多功能，公司必须在技术复杂度与家庭使用价值之间平衡。过多投入无法变现将降低股东回报，技术路线被竞争者超越也会提高费用。五年风险权重上升，反映这种投入持续性风险。</w:t>
      </w:r>
    </w:p>
    <w:p>
      <w:pPr>
        <w:pStyle w:val="Heading2"/>
        <w:rPr/>
      </w:pPr>
      <w:r>
        <w:rPr>
          <w:color w:val="000000"/>
        </w:rPr>
        <w:t>四 汽车周期 政策与经济前景</w:t>
      </w:r>
    </w:p>
    <w:p>
      <w:pPr>
        <w:pStyle w:val="Normal"/>
        <w:rPr/>
      </w:pPr>
      <w:r>
        <w:rPr/>
        <w:t>汽车购买与收入预期、贷款成本、旧车处置和补贴共同相关，大额消费对家庭资产负债感受较敏感。新能源渗透率提高可以与整体汽车需求疲弱同时发生，企业若只争取存量替代，价格竞争仍可能激烈。理想主要面对国内中高价位需求，短期经济改善未必首先体现在这一区间，本章行业评分没有用新能源长期渗透掩盖半年需求压力。</w:t>
      </w:r>
    </w:p>
    <w:p>
      <w:pPr>
        <w:pStyle w:val="Normal"/>
        <w:rPr/>
      </w:pPr>
      <w:r>
        <w:rPr/>
        <w:t>购置支持、以旧换新和税收规则会改变购买时点。政策结束前需求提前释放，可造成下一年度基数与订单压力；补贴延续也不代表企业能保留全部利益，竞品价格和消费者议价可能分走。模型允许悲观销量、平均收入与毛利同时下降，乐观也需要产品竞争支持，未用政策存在作为保证销量增长的唯一依据。</w:t>
      </w:r>
    </w:p>
    <w:p>
      <w:pPr>
        <w:pStyle w:val="Normal"/>
        <w:rPr/>
      </w:pPr>
      <w:r>
        <w:rPr/>
        <w:t>电池、金属、芯片和存储器价格会影响车辆成本，不同零部件的周期方向可以相反。碳酸锂下跌不意味着所有成本下降，智能芯片、传感器、底盘和大电池配置可能抵消节省。公司新增高规格技术若提高成本，需要客户愿意支付或制造效率改善支撑。本章毛利率从真实低位逐步恢复，是条件假设而非认为电池降价会自动修复全部利润。</w:t>
      </w:r>
    </w:p>
    <w:p>
      <w:pPr>
        <w:pStyle w:val="Normal"/>
        <w:rPr/>
      </w:pPr>
      <w:r>
        <w:rPr/>
        <w:t>利率降低有助汽车贷款和企业融资，也可能降低理想较多现金的利息收益。现金收益是法定利润的一部分，但不是车辆产品竞争力。主估值排除财资收益后把受约束现金加到权益，并从未来现金创造扣借款利息，使利率下降不能同时被假设为现金收益上升和融资成本下降的双重好处。</w:t>
      </w:r>
    </w:p>
    <w:p>
      <w:pPr>
        <w:pStyle w:val="Normal"/>
        <w:rPr/>
      </w:pPr>
      <w:r>
        <w:rPr/>
        <w:t>汇率影响公司人民币经营与美元、港元财资价值，海外拓展后也影响售价与采购。财报转换产生的汇兑损益可能与经营无关，美元融资转换为人民币时收益或损失取决于时点。持有港股投资者另外承受港元兑人民币变化，应将本币股价回报和个人资金货币回报分开。研究使用</w:t>
      </w:r>
      <w:r>
        <w:rPr/>
        <w:t>1.10</w:t>
      </w:r>
      <w:r>
        <w:rPr/>
        <w:t>港元每人民币为估值假设，不冒称截止日实时外汇报价。</w:t>
      </w:r>
    </w:p>
    <w:p>
      <w:pPr>
        <w:pStyle w:val="Normal"/>
        <w:rPr/>
      </w:pPr>
      <w:r>
        <w:rPr/>
        <w:t>出口为国内车企提供增长机会，但理想当时海外仍在扩展阶段，不能套用成熟出口企业的海外收入比例。公司与阿联酋及沙特经销商签约、进入澳门并计划欧洲展示，证明布局动作，而不是大规模稳定盈利已经形成。售后、本地法规、车型适配、备件和渠道利润需要投入，基准保留额外投资现金，对海外不赋予无成本增长。</w:t>
      </w:r>
    </w:p>
    <w:p>
      <w:pPr>
        <w:pStyle w:val="Normal"/>
        <w:rPr/>
      </w:pPr>
      <w:r>
        <w:rPr/>
        <w:t>关税、当地生产要求、数据与智能驾驶法规会影响海外路线，增程与纯电不同动力系统也可能对应不同政策。公司不能仅通过经销商把所有责任交给当地合作方，品牌质量和用户保障仍需执行。国际目标市场扩大能够增加可选路径，同时提高组织复杂度；三年乐观要求成功适配，而悲观允许海外投入不能有效弥补国内销量压力。</w:t>
      </w:r>
    </w:p>
    <w:p>
      <w:pPr>
        <w:pStyle w:val="Normal"/>
        <w:rPr/>
      </w:pPr>
      <w:r>
        <w:rPr/>
        <w:t>行业整合可以减少长期无序竞争，也可能伴随资产处置、现金困境和激烈短期促销。幸存企业仍可能在整合过程中以较低利润维持份额，不能把潜在退出企业增多当作现阶段高毛利保证。理想的规模和现金提高生存能力，未来股东收益却仍需产品、费用和资金纪律。生存优势和高投资收益需要分开评分。</w:t>
      </w:r>
    </w:p>
    <w:p>
      <w:pPr>
        <w:pStyle w:val="Heading2"/>
        <w:rPr/>
      </w:pPr>
      <w:r>
        <w:rPr>
          <w:color w:val="000000"/>
        </w:rPr>
        <w:t>五 交付数据 渠道与真实需求</w:t>
      </w:r>
    </w:p>
    <w:p>
      <w:pPr>
        <w:pStyle w:val="Normal"/>
        <w:rPr/>
      </w:pPr>
      <w:r>
        <w:rPr/>
        <w:t>2026</w:t>
      </w:r>
      <w:r>
        <w:rPr/>
        <w:t>年七月交付</w:t>
      </w:r>
      <w:r>
        <w:rPr/>
        <w:t>30468</w:t>
      </w:r>
      <w:r>
        <w:rPr/>
        <w:t>辆、八月</w:t>
      </w:r>
      <w:r>
        <w:rPr/>
        <w:t>37679</w:t>
      </w:r>
      <w:r>
        <w:rPr/>
        <w:t>辆、九月</w:t>
      </w:r>
      <w:r>
        <w:rPr/>
        <w:t>31817</w:t>
      </w:r>
      <w:r>
        <w:rPr/>
        <w:t>辆，合计</w:t>
      </w:r>
      <w:r>
        <w:rPr/>
        <w:t>99964</w:t>
      </w:r>
      <w:r>
        <w:rPr/>
        <w:t>辆。该结果处于公司第三季度</w:t>
      </w:r>
      <w:r>
        <w:rPr/>
        <w:t>95000</w:t>
      </w:r>
      <w:r>
        <w:rPr/>
        <w:t>至</w:t>
      </w:r>
      <w:r>
        <w:rPr/>
        <w:t>100000</w:t>
      </w:r>
      <w:r>
        <w:rPr/>
        <w:t>辆指引上端，属于截至日已经可核验的销售表现。季度实际收入和毛利尚未披露，因此不能因交付达上端就宣布收入、利润或现金也超预期。车型组合、净售价、优惠和成本可能令利润与数量表现不同。</w:t>
      </w:r>
    </w:p>
    <w:p>
      <w:pPr>
        <w:pStyle w:val="Normal"/>
        <w:rPr/>
      </w:pPr>
      <w:r>
        <w:rPr/>
        <w:t>九月环比八月减少，说明单月增长不能简单沿一条直线外推。车型推出、生产切换、节假日和交付安排都可能造成月度波动，定性原因需要企业或可靠数据支持，不能从数字直接断言订单失败或需求爆发。研究更关注连续季度总量、车型结构和毛利，而不是选取最好月份乘十二预测全年。</w:t>
      </w:r>
    </w:p>
    <w:p>
      <w:pPr>
        <w:pStyle w:val="Normal"/>
        <w:rPr/>
      </w:pPr>
      <w:r>
        <w:rPr/>
        <w:t>上半年企业在中国二十万元以上新能源市场宣称份额</w:t>
      </w:r>
      <w:r>
        <w:rPr/>
        <w:t>12.1%</w:t>
      </w:r>
      <w:r>
        <w:rPr/>
        <w:t>，属于定义了价格区间的公司披露，不能理解为全国全部新能源车份额。较高价位领先说明定位有基础，市场区间的竞争和需求也可能变化。若新增车型向更低价格覆盖，原有价格区间份额与公司总收入的关系需要调整，不能将一个份额指标永久用作全部业务护城河。</w:t>
      </w:r>
    </w:p>
    <w:p>
      <w:pPr>
        <w:pStyle w:val="Normal"/>
        <w:rPr/>
      </w:pPr>
      <w:r>
        <w:rPr/>
        <w:t>九月末零售店</w:t>
      </w:r>
      <w:r>
        <w:rPr/>
        <w:t>485</w:t>
      </w:r>
      <w:r>
        <w:rPr/>
        <w:t>家、服务中心及授权服务店</w:t>
      </w:r>
      <w:r>
        <w:rPr/>
        <w:t>532</w:t>
      </w:r>
      <w:r>
        <w:rPr/>
        <w:t>家，分别覆盖</w:t>
      </w:r>
      <w:r>
        <w:rPr/>
        <w:t>160</w:t>
      </w:r>
      <w:r>
        <w:rPr/>
        <w:t>和</w:t>
      </w:r>
      <w:r>
        <w:rPr/>
        <w:t>217</w:t>
      </w:r>
      <w:r>
        <w:rPr/>
        <w:t>个城市；六月店数为</w:t>
      </w:r>
      <w:r>
        <w:rPr/>
        <w:t>495</w:t>
      </w:r>
      <w:r>
        <w:rPr/>
        <w:t>和</w:t>
      </w:r>
      <w:r>
        <w:rPr/>
        <w:t>536</w:t>
      </w:r>
      <w:r>
        <w:rPr/>
        <w:t>家。门店减少可能体现效率优化或需求与网络调整，公开数量本身不能区分所有原因。投资者应配合单店订单、服务效率和区域覆盖判断。削减低效门店有助成本，削减必要服务则可能损害品牌长期价值。</w:t>
      </w:r>
    </w:p>
    <w:p>
      <w:pPr>
        <w:pStyle w:val="Normal"/>
        <w:rPr/>
      </w:pPr>
      <w:r>
        <w:rPr/>
        <w:t>门店伙伴计划通过经营决策与利益分享提高一线动力，具有改善转化和成本效率的可能性。渠道激励也需要考察销售行为、价格透明和售后配合，不能只看门店人员积极性。模型把销售行政从上半年成本基础逐步随规模增长，未假设伙伴计划能立刻永久减少全部渠道费用，也未把团队变化视作确定性利润增量。</w:t>
      </w:r>
    </w:p>
    <w:p>
      <w:pPr>
        <w:pStyle w:val="Normal"/>
        <w:rPr/>
      </w:pPr>
      <w:r>
        <w:rPr/>
        <w:t>九月末超充站</w:t>
      </w:r>
      <w:r>
        <w:rPr/>
        <w:t>4188</w:t>
      </w:r>
      <w:r>
        <w:rPr/>
        <w:t>座、充电桩</w:t>
      </w:r>
      <w:r>
        <w:rPr/>
        <w:t>23077</w:t>
      </w:r>
      <w:r>
        <w:rPr/>
        <w:t>根，六月为</w:t>
      </w:r>
      <w:r>
        <w:rPr/>
        <w:t>4097</w:t>
      </w:r>
      <w:r>
        <w:rPr/>
        <w:t>座和</w:t>
      </w:r>
      <w:r>
        <w:rPr/>
        <w:t>22593</w:t>
      </w:r>
      <w:r>
        <w:rPr/>
        <w:t>根，网络继续扩张。站点数量是供给指标，经济回报取决于位置、利用率、电价、维护和对车型购买的帮助。一个稀疏需求地区新站可能暂时降低效率，成熟高频站可能提升便利。研究把网络视作产品支撑与资本需求，未将每站按统一利润资本化。</w:t>
      </w:r>
    </w:p>
    <w:p>
      <w:pPr>
        <w:pStyle w:val="Normal"/>
        <w:rPr/>
      </w:pPr>
      <w:r>
        <w:rPr/>
        <w:t>产能利用率对毛利影响较大，但截至日没有取得完整车型及工厂逐项利用率。交付量不能直接等于产量，也不能与宣传产能简单相除得出真实利用率。模型通过收入与毛利假设允许规模改善，并在限制中标明原始利用率缺失。没有证据时不制造精确单厂盈亏平衡量，但要求未来披露和利润结果检验方向。</w:t>
      </w:r>
    </w:p>
    <w:p>
      <w:pPr>
        <w:pStyle w:val="Normal"/>
        <w:rPr/>
      </w:pPr>
      <w:r>
        <w:rPr/>
        <w:t>订单、锁单、取消与交付是不同指标，发布会热度或销售人员反馈不足以替代审计收入。理想月度交付公告频繁，为研究提供了真实更新基础，仍没有揭示全部退款、定价和盈利。投资者应坚持从交付到收入、毛利、经营费用和现金的完整链条，避免一个高频数量指标吸收所有注意力。</w:t>
      </w:r>
    </w:p>
    <w:p>
      <w:pPr>
        <w:pStyle w:val="Heading2"/>
        <w:rPr/>
      </w:pPr>
      <w:r>
        <w:rPr>
          <w:color w:val="000000"/>
        </w:rPr>
        <w:t>六 历史财务与利润恶化的含义</w:t>
      </w:r>
    </w:p>
    <w:p>
      <w:pPr>
        <w:pStyle w:val="Normal"/>
        <w:rPr/>
      </w:pPr>
      <w:r>
        <w:rPr/>
        <w:t>2024</w:t>
      </w:r>
      <w:r>
        <w:rPr/>
        <w:t>年收入</w:t>
      </w:r>
      <w:r>
        <w:rPr/>
        <w:t>1444.59946</w:t>
      </w:r>
      <w:r>
        <w:rPr/>
        <w:t>亿元，毛利</w:t>
      </w:r>
      <w:r>
        <w:rPr/>
        <w:t>296.56138</w:t>
      </w:r>
      <w:r>
        <w:rPr/>
        <w:t>亿元，经营利润</w:t>
      </w:r>
      <w:r>
        <w:rPr/>
        <w:t>70.19114</w:t>
      </w:r>
      <w:r>
        <w:rPr/>
        <w:t>亿元，归母利润</w:t>
      </w:r>
      <w:r>
        <w:rPr/>
        <w:t>80.32350</w:t>
      </w:r>
      <w:r>
        <w:rPr/>
        <w:t>亿元；</w:t>
      </w:r>
      <w:r>
        <w:rPr/>
        <w:t>2025</w:t>
      </w:r>
      <w:r>
        <w:rPr/>
        <w:t>年收入</w:t>
      </w:r>
      <w:r>
        <w:rPr/>
        <w:t>1123.12511</w:t>
      </w:r>
      <w:r>
        <w:rPr/>
        <w:t>亿元，毛利</w:t>
      </w:r>
      <w:r>
        <w:rPr/>
        <w:t>209.85058</w:t>
      </w:r>
      <w:r>
        <w:rPr/>
        <w:t>亿元，经营亏损</w:t>
      </w:r>
      <w:r>
        <w:rPr/>
        <w:t>5.21117</w:t>
      </w:r>
      <w:r>
        <w:rPr/>
        <w:t>亿元，归母利润</w:t>
      </w:r>
      <w:r>
        <w:rPr/>
        <w:t>11.24438</w:t>
      </w:r>
      <w:r>
        <w:rPr/>
        <w:t>亿元。历史利润变化幅度远大于销量变化，表明售价、产品组合和费用杠杆重要。盈利企业的身份不能只看当年净利润是否仍为正。</w:t>
      </w:r>
    </w:p>
    <w:p>
      <w:pPr>
        <w:pStyle w:val="Normal"/>
        <w:rPr/>
      </w:pPr>
      <w:r>
        <w:rPr/>
        <w:t>2025</w:t>
      </w:r>
      <w:r>
        <w:rPr/>
        <w:t>年车辆收入</w:t>
      </w:r>
      <w:r>
        <w:rPr/>
        <w:t>1066.831</w:t>
      </w:r>
      <w:r>
        <w:rPr/>
        <w:t>亿元、其他服务</w:t>
      </w:r>
      <w:r>
        <w:rPr/>
        <w:t>56.29411</w:t>
      </w:r>
      <w:r>
        <w:rPr/>
        <w:t>亿元，车辆成本</w:t>
      </w:r>
      <w:r>
        <w:rPr/>
        <w:t>875.91473</w:t>
      </w:r>
      <w:r>
        <w:rPr/>
        <w:t>亿元、服务成本</w:t>
      </w:r>
      <w:r>
        <w:rPr/>
        <w:t>37.35980</w:t>
      </w:r>
      <w:r>
        <w:rPr/>
        <w:t>亿元。车辆毛利率</w:t>
      </w:r>
      <w:r>
        <w:rPr/>
        <w:t>17.9%</w:t>
      </w:r>
      <w:r>
        <w:rPr/>
        <w:t>，低于</w:t>
      </w:r>
      <w:r>
        <w:rPr/>
        <w:t>2024</w:t>
      </w:r>
      <w:r>
        <w:rPr/>
        <w:t>年的</w:t>
      </w:r>
      <w:r>
        <w:rPr/>
        <w:t>19.8%</w:t>
      </w:r>
      <w:r>
        <w:rPr/>
        <w:t>；</w:t>
      </w:r>
      <w:r>
        <w:rPr/>
        <w:t>2026</w:t>
      </w:r>
      <w:r>
        <w:rPr/>
        <w:t>年上半年车辆毛利进一步大幅下降。公司过去的合理单车盈利不能永久沿用到新车型与竞争周期，目标模型需要依据真实低位调整，再明确恢复所需条件。</w:t>
      </w:r>
    </w:p>
    <w:p>
      <w:pPr>
        <w:pStyle w:val="Normal"/>
        <w:rPr/>
      </w:pPr>
      <w:r>
        <w:rPr/>
        <w:t>2025</w:t>
      </w:r>
      <w:r>
        <w:rPr/>
        <w:t>年研发</w:t>
      </w:r>
      <w:r>
        <w:rPr/>
        <w:t>113.14949</w:t>
      </w:r>
      <w:r>
        <w:rPr/>
        <w:t>亿元、销售行政</w:t>
      </w:r>
      <w:r>
        <w:rPr/>
        <w:t>106.64857</w:t>
      </w:r>
      <w:r>
        <w:rPr/>
        <w:t>亿元，其他经营收入</w:t>
      </w:r>
      <w:r>
        <w:rPr/>
        <w:t>4.73631</w:t>
      </w:r>
      <w:r>
        <w:rPr/>
        <w:t>亿元。两项主要费用合计接近二百二十亿元，表明公司需要相当规模与毛利才能覆盖持续研发和渠道。经营亏损但净利润仍正，主要受到利息与投资收入等支持。投资者若用净利润和销售规模简单计算利润率，会高估当年汽车主业的稳定盈利能力。</w:t>
      </w:r>
    </w:p>
    <w:p>
      <w:pPr>
        <w:pStyle w:val="Normal"/>
        <w:rPr/>
      </w:pPr>
      <w:r>
        <w:rPr/>
        <w:t>2025</w:t>
      </w:r>
      <w:r>
        <w:rPr/>
        <w:t>年利息与投资收益</w:t>
      </w:r>
      <w:r>
        <w:rPr/>
        <w:t>19.18883</w:t>
      </w:r>
      <w:r>
        <w:rPr/>
        <w:t>亿元、利息支出</w:t>
      </w:r>
      <w:r>
        <w:rPr/>
        <w:t>1.68078</w:t>
      </w:r>
      <w:r>
        <w:rPr/>
        <w:t>亿元、其他收益</w:t>
      </w:r>
      <w:r>
        <w:rPr/>
        <w:t>0.67447</w:t>
      </w:r>
      <w:r>
        <w:rPr/>
        <w:t>亿元，税前利润</w:t>
      </w:r>
      <w:r>
        <w:rPr/>
        <w:t>12.97135</w:t>
      </w:r>
      <w:r>
        <w:rPr/>
        <w:t>亿元。存款和投资可以提供股东价值，但不能用这些收益证明车型已经盈利。主模型排除财资项目，受约束现金进入权益桥，并扣相关债务本金。这样可以避免净利润</w:t>
      </w:r>
      <w:r>
        <w:rPr/>
        <w:t>PE</w:t>
      </w:r>
      <w:r>
        <w:rPr/>
        <w:t>把现金收益资本化后再全额加现金的重复。</w:t>
      </w:r>
    </w:p>
    <w:p>
      <w:pPr>
        <w:pStyle w:val="Normal"/>
        <w:rPr/>
      </w:pPr>
      <w:r>
        <w:rPr/>
        <w:t>2025</w:t>
      </w:r>
      <w:r>
        <w:rPr/>
        <w:t>年非</w:t>
      </w:r>
      <w:r>
        <w:rPr/>
        <w:t>GAAP</w:t>
      </w:r>
      <w:r>
        <w:rPr/>
        <w:t>集团利润</w:t>
      </w:r>
      <w:r>
        <w:rPr/>
        <w:t>23.97182</w:t>
      </w:r>
      <w:r>
        <w:rPr/>
        <w:t>亿元，由集团利润</w:t>
      </w:r>
      <w:r>
        <w:rPr/>
        <w:t>11.39428</w:t>
      </w:r>
      <w:r>
        <w:rPr/>
        <w:t>亿元加股酬</w:t>
      </w:r>
      <w:r>
        <w:rPr/>
        <w:t>12.57754</w:t>
      </w:r>
      <w:r>
        <w:rPr/>
        <w:t>亿元得到。股酬当期可能没有现金支出，但股东承担权益稀释与人才成本，不能全部当作无经济负担。模型研发、销售及其他费用保留常态股酬，未来股数单独设稀释，用正常成本估值而不是直接拿非</w:t>
      </w:r>
      <w:r>
        <w:rPr/>
        <w:t>GAAP</w:t>
      </w:r>
      <w:r>
        <w:rPr/>
        <w:t>利润乘倍数。</w:t>
      </w:r>
    </w:p>
    <w:p>
      <w:pPr>
        <w:pStyle w:val="Normal"/>
        <w:rPr/>
      </w:pPr>
      <w:r>
        <w:rPr/>
        <w:t>上半年车辆收入</w:t>
      </w:r>
      <w:r>
        <w:rPr/>
        <w:t>455.99670</w:t>
      </w:r>
      <w:r>
        <w:rPr/>
        <w:t>亿元、其他收入</w:t>
      </w:r>
      <w:r>
        <w:rPr/>
        <w:t>30.50131</w:t>
      </w:r>
      <w:r>
        <w:rPr/>
        <w:t>亿元，车辆成本</w:t>
      </w:r>
      <w:r>
        <w:rPr/>
        <w:t>420.21304</w:t>
      </w:r>
      <w:r>
        <w:rPr/>
        <w:t>亿元、其他成本</w:t>
      </w:r>
      <w:r>
        <w:rPr/>
        <w:t>19.84397</w:t>
      </w:r>
      <w:r>
        <w:rPr/>
        <w:t>亿元，合计毛利</w:t>
      </w:r>
      <w:r>
        <w:rPr/>
        <w:t>46.441</w:t>
      </w:r>
      <w:r>
        <w:rPr/>
        <w:t>亿元。完整研发</w:t>
      </w:r>
      <w:r>
        <w:rPr/>
        <w:t>54.97792</w:t>
      </w:r>
      <w:r>
        <w:rPr/>
        <w:t>亿元、销售行政</w:t>
      </w:r>
      <w:r>
        <w:rPr/>
        <w:t>43.27247</w:t>
      </w:r>
      <w:r>
        <w:rPr/>
        <w:t>亿元及其他经营费用</w:t>
      </w:r>
      <w:r>
        <w:rPr/>
        <w:t>1.18701</w:t>
      </w:r>
      <w:r>
        <w:rPr/>
        <w:t>亿元后，经营亏损</w:t>
      </w:r>
      <w:r>
        <w:rPr/>
        <w:t>52.99640</w:t>
      </w:r>
      <w:r>
        <w:rPr/>
        <w:t>亿元。低毛利无法覆盖持续投入是核心矛盾，不是单一会计调整项目可以解释。</w:t>
      </w:r>
    </w:p>
    <w:p>
      <w:pPr>
        <w:pStyle w:val="Normal"/>
        <w:rPr/>
      </w:pPr>
      <w:r>
        <w:rPr/>
        <w:t>上半年利息与投资收入</w:t>
      </w:r>
      <w:r>
        <w:rPr/>
        <w:t>8.49053</w:t>
      </w:r>
      <w:r>
        <w:rPr/>
        <w:t>亿元、利息支出</w:t>
      </w:r>
      <w:r>
        <w:rPr/>
        <w:t>1.56906</w:t>
      </w:r>
      <w:r>
        <w:rPr/>
        <w:t>亿元、其他收入</w:t>
      </w:r>
      <w:r>
        <w:rPr/>
        <w:t>0.57447</w:t>
      </w:r>
      <w:r>
        <w:rPr/>
        <w:t>亿元，税前亏损</w:t>
      </w:r>
      <w:r>
        <w:rPr/>
        <w:t>45.50046</w:t>
      </w:r>
      <w:r>
        <w:rPr/>
        <w:t>亿元。集团亏损</w:t>
      </w:r>
      <w:r>
        <w:rPr/>
        <w:t>39.81289</w:t>
      </w:r>
      <w:r>
        <w:rPr/>
        <w:t>亿元、少数利润</w:t>
      </w:r>
      <w:r>
        <w:rPr/>
        <w:t>0.12423</w:t>
      </w:r>
      <w:r>
        <w:rPr/>
        <w:t>亿元，归母亏损</w:t>
      </w:r>
      <w:r>
        <w:rPr/>
        <w:t>39.93712</w:t>
      </w:r>
      <w:r>
        <w:rPr/>
        <w:t>亿元。上半年综合归母亏损</w:t>
      </w:r>
      <w:r>
        <w:rPr/>
        <w:t>44.28787</w:t>
      </w:r>
      <w:r>
        <w:rPr/>
        <w:t>亿元还包含外币转换等其他综合损失，不能把综合损失与经营现金消耗或净利润混为一项。</w:t>
      </w:r>
    </w:p>
    <w:p>
      <w:pPr>
        <w:pStyle w:val="Normal"/>
        <w:rPr/>
      </w:pPr>
      <w:r>
        <w:rPr/>
        <w:t>上半年非</w:t>
      </w:r>
      <w:r>
        <w:rPr/>
        <w:t>GAAP</w:t>
      </w:r>
      <w:r>
        <w:rPr/>
        <w:t>集团亏损</w:t>
      </w:r>
      <w:r>
        <w:rPr/>
        <w:t>36.06512</w:t>
      </w:r>
      <w:r>
        <w:rPr/>
        <w:t>亿元，由集团亏损加股酬</w:t>
      </w:r>
      <w:r>
        <w:rPr/>
        <w:t>3.74777</w:t>
      </w:r>
      <w:r>
        <w:rPr/>
        <w:t>亿元得到，仍明显亏损。非</w:t>
      </w:r>
      <w:r>
        <w:rPr/>
        <w:t>GAAP</w:t>
      </w:r>
      <w:r>
        <w:rPr/>
        <w:t>口径并没有把公司变成盈利，也不是归母同值。研究表格使用正常归母经营利润，正文保留法定集团与归母差异，让投资者知道不同数据的归属和成本。混用股酬调整和少数权益可让目标</w:t>
      </w:r>
      <w:r>
        <w:rPr/>
        <w:t>EPS</w:t>
      </w:r>
      <w:r>
        <w:rPr/>
        <w:t>出现明显偏差。</w:t>
      </w:r>
    </w:p>
    <w:p>
      <w:pPr>
        <w:pStyle w:val="Heading2"/>
        <w:rPr/>
      </w:pPr>
      <w:r>
        <w:rPr>
          <w:color w:val="000000"/>
        </w:rPr>
        <w:t>七 季度毛利 费用与税收质量</w:t>
      </w:r>
    </w:p>
    <w:p>
      <w:pPr>
        <w:pStyle w:val="Normal"/>
        <w:rPr/>
      </w:pPr>
      <w:r>
        <w:rPr/>
        <w:t>2026</w:t>
      </w:r>
      <w:r>
        <w:rPr/>
        <w:t>年一季度车辆毛利</w:t>
      </w:r>
      <w:r>
        <w:rPr/>
        <w:t>6.1%</w:t>
      </w:r>
      <w:r>
        <w:rPr/>
        <w:t>、总毛利</w:t>
      </w:r>
      <w:r>
        <w:rPr/>
        <w:t>7.9%</w:t>
      </w:r>
      <w:r>
        <w:rPr/>
        <w:t>，二季度车辆</w:t>
      </w:r>
      <w:r>
        <w:rPr/>
        <w:t>9.4%</w:t>
      </w:r>
      <w:r>
        <w:rPr/>
        <w:t>、总毛利</w:t>
      </w:r>
      <w:r>
        <w:rPr/>
        <w:t>11.0%</w:t>
      </w:r>
      <w:r>
        <w:rPr/>
        <w:t>，显示环比修复。二季度收入</w:t>
      </w:r>
      <w:r>
        <w:rPr/>
        <w:t>256.66890</w:t>
      </w:r>
      <w:r>
        <w:rPr/>
        <w:t>亿元、毛利</w:t>
      </w:r>
      <w:r>
        <w:rPr/>
        <w:t>28.36055</w:t>
      </w:r>
      <w:r>
        <w:rPr/>
        <w:t>亿元，研发</w:t>
      </w:r>
      <w:r>
        <w:rPr/>
        <w:t>27.75633</w:t>
      </w:r>
      <w:r>
        <w:rPr/>
        <w:t>亿元、销售行政</w:t>
      </w:r>
      <w:r>
        <w:rPr/>
        <w:t>22.78044</w:t>
      </w:r>
      <w:r>
        <w:rPr/>
        <w:t>亿元，经营亏损</w:t>
      </w:r>
      <w:r>
        <w:rPr/>
        <w:t>23.00850</w:t>
      </w:r>
      <w:r>
        <w:rPr/>
        <w:t>亿元。毛利率上升是积极证据，绝对毛利仍不足覆盖费用，因此不能将季度边际改善直接认定完整盈利转折。</w:t>
      </w:r>
    </w:p>
    <w:p>
      <w:pPr>
        <w:pStyle w:val="Normal"/>
        <w:rPr/>
      </w:pPr>
      <w:r>
        <w:rPr/>
        <w:t>公司二季度净亏损</w:t>
      </w:r>
      <w:r>
        <w:rPr/>
        <w:t>17.05257</w:t>
      </w:r>
      <w:r>
        <w:rPr/>
        <w:t>亿元，较一季度</w:t>
      </w:r>
      <w:r>
        <w:rPr/>
        <w:t>22.76032</w:t>
      </w:r>
      <w:r>
        <w:rPr/>
        <w:t>亿元收窄；二季度经营现金小额流入</w:t>
      </w:r>
      <w:r>
        <w:rPr/>
        <w:t>0.15025</w:t>
      </w:r>
      <w:r>
        <w:rPr/>
        <w:t>亿元，自由现金仍流出</w:t>
      </w:r>
      <w:r>
        <w:rPr/>
        <w:t>13.00765</w:t>
      </w:r>
      <w:r>
        <w:rPr/>
        <w:t>亿元。两组改善需要一起看，现金恢复部分来自营运资本变化，利润收窄也受税与财资影响。未来如果毛利继续恢复而现金仍明显流出，需要检查库存、供应商付款与资本支出是否超预期。</w:t>
      </w:r>
    </w:p>
    <w:p>
      <w:pPr>
        <w:pStyle w:val="Normal"/>
        <w:rPr/>
      </w:pPr>
      <w:r>
        <w:rPr/>
        <w:t>官方二季度收入同比下降</w:t>
      </w:r>
      <w:r>
        <w:rPr/>
        <w:t>15.1%</w:t>
      </w:r>
      <w:r>
        <w:rPr/>
        <w:t>，上半年收入同比下降</w:t>
      </w:r>
      <w:r>
        <w:rPr/>
        <w:t>13.4%</w:t>
      </w:r>
      <w:r>
        <w:rPr/>
        <w:t>。一条公开机构转述把二季度降幅误写为上半年，本章使用官方原件纠正。研究在引用外资观点时不能把机构新闻的文字错误作为财报输入，也不能因数字来自知名报告就忽略期间核对。公司事实、机构判断和研究假设需要保持区分。</w:t>
      </w:r>
    </w:p>
    <w:p>
      <w:pPr>
        <w:pStyle w:val="Normal"/>
        <w:rPr/>
      </w:pPr>
      <w:r>
        <w:rPr/>
        <w:t>上半年所得税收益</w:t>
      </w:r>
      <w:r>
        <w:rPr/>
        <w:t>5.68757</w:t>
      </w:r>
      <w:r>
        <w:rPr/>
        <w:t>亿元，由当期税费</w:t>
      </w:r>
      <w:r>
        <w:rPr/>
        <w:t>0.16310</w:t>
      </w:r>
      <w:r>
        <w:rPr/>
        <w:t>亿元和递延税收益</w:t>
      </w:r>
      <w:r>
        <w:rPr/>
        <w:t>5.85067</w:t>
      </w:r>
      <w:r>
        <w:rPr/>
        <w:t>亿元组成。税收收益减少账面亏损，并不意味着当期公司收到了相同金额现金退款；上半年实际缴税</w:t>
      </w:r>
      <w:r>
        <w:rPr/>
        <w:t>7.11387</w:t>
      </w:r>
      <w:r>
        <w:rPr/>
        <w:t>亿元。未来亏损不能自动创造可分配税盾，主模型正经营利润才计算税，对亏损不假设立即现金退税。</w:t>
      </w:r>
    </w:p>
    <w:p>
      <w:pPr>
        <w:pStyle w:val="Normal"/>
        <w:rPr/>
      </w:pPr>
      <w:r>
        <w:rPr/>
        <w:t>税务优惠、研发加计扣除和地区结构可能降低正常税负，也存在资格、税率和全球最低税规则变化。公司中报披露部分软件企业优惠变化及最低税影响，研究在中长期税率假设上逐渐提高，避免永久维持最有利时点。税率恢复应与地区利润和研发分布相符，若未来真实有效税率高于模型，则目标应及时下调。</w:t>
      </w:r>
    </w:p>
    <w:p>
      <w:pPr>
        <w:pStyle w:val="Normal"/>
        <w:rPr/>
      </w:pPr>
      <w:r>
        <w:rPr/>
        <w:t>保修成本、库存减值和旧车型采购承诺是汽车经营真实成本，上半年库存减值和采购承诺损失合计</w:t>
      </w:r>
      <w:r>
        <w:rPr/>
        <w:t>2.69922</w:t>
      </w:r>
      <w:r>
        <w:rPr/>
        <w:t>亿元。换代能够改善产品，也可能产生旧零件与整车库存处置。模型毛利和其他经营成本保留正常风险，现金储备包括保修和供应链，未把所有换代支出统一剔除为一次性，以防企业每年换代却每年宣称费用不影响长期盈利。</w:t>
      </w:r>
    </w:p>
    <w:p>
      <w:pPr>
        <w:pStyle w:val="Normal"/>
        <w:rPr/>
      </w:pPr>
      <w:r>
        <w:rPr/>
        <w:t>研发是理想竞争力来源，同时是经营成本。在上半年真实研发接近五十五亿元情况下，未来销量增长需要继续投入新车、芯片和软件，不适合假设研发绝对金额快速下降。基准模型通过规模和毛利提高覆盖费用，乐观仍增加研发预算；悲观则保留费用刚性，表现产品失败时收入下降而费用难同步减少的风险。</w:t>
      </w:r>
    </w:p>
    <w:p>
      <w:pPr>
        <w:pStyle w:val="Heading2"/>
        <w:rPr/>
      </w:pPr>
      <w:r>
        <w:rPr>
          <w:color w:val="000000"/>
        </w:rPr>
        <w:t>八 现金储备 债务和现金跑道</w:t>
      </w:r>
    </w:p>
    <w:p>
      <w:pPr>
        <w:pStyle w:val="Normal"/>
        <w:rPr/>
      </w:pPr>
      <w:r>
        <w:rPr/>
        <w:t>六月末现金及等价物</w:t>
      </w:r>
      <w:r>
        <w:rPr/>
        <w:t>401.17782</w:t>
      </w:r>
      <w:r>
        <w:rPr/>
        <w:t>亿元，短期存款</w:t>
      </w:r>
      <w:r>
        <w:rPr/>
        <w:t>406.64846</w:t>
      </w:r>
      <w:r>
        <w:rPr/>
        <w:t>亿元、短期金融工具</w:t>
      </w:r>
      <w:r>
        <w:rPr/>
        <w:t>48.09428</w:t>
      </w:r>
      <w:r>
        <w:rPr/>
        <w:t>亿元，长期存款</w:t>
      </w:r>
      <w:r>
        <w:rPr/>
        <w:t>18.83895</w:t>
      </w:r>
      <w:r>
        <w:rPr/>
        <w:t>亿元，合计非受限广义现金</w:t>
      </w:r>
      <w:r>
        <w:rPr/>
        <w:t>874.75951</w:t>
      </w:r>
      <w:r>
        <w:rPr/>
        <w:t>亿元。公司披露现金头寸约</w:t>
      </w:r>
      <w:r>
        <w:rPr/>
        <w:t>875</w:t>
      </w:r>
      <w:r>
        <w:rPr/>
        <w:t>亿元还包含受限现金</w:t>
      </w:r>
      <w:r>
        <w:rPr/>
        <w:t>0.14782</w:t>
      </w:r>
      <w:r>
        <w:rPr/>
        <w:t>亿元，本章将受限项排除。长期投资总额</w:t>
      </w:r>
      <w:r>
        <w:rPr/>
        <w:t>29.76994</w:t>
      </w:r>
      <w:r>
        <w:rPr/>
        <w:t>亿元中，长期存款与其他权益投资区分，不能把全部长期投资重复计为现金。</w:t>
      </w:r>
    </w:p>
    <w:p>
      <w:pPr>
        <w:pStyle w:val="Normal"/>
        <w:rPr/>
      </w:pPr>
      <w:r>
        <w:rPr/>
        <w:t>大额现金为研发、产线、车型转换和用户服务提供缓冲，显著好于现金不足的初创制造商。现金也有供应商、保修、资本和债务责任，不是可以随时全额分给股东。主模型基准年底必要经营保修储备三百亿元，随规模增长到五年五百二十亿元；这是研究约束而非公司披露的最低现金规定，修改时应理解承担的营运风险。</w:t>
      </w:r>
    </w:p>
    <w:p>
      <w:pPr>
        <w:pStyle w:val="Normal"/>
        <w:rPr/>
      </w:pPr>
      <w:r>
        <w:rPr/>
        <w:t>六月借款账面</w:t>
      </w:r>
      <w:r>
        <w:rPr/>
        <w:t>71.50204</w:t>
      </w:r>
      <w:r>
        <w:rPr/>
        <w:t>亿元，包含短期</w:t>
      </w:r>
      <w:r>
        <w:rPr/>
        <w:t>2.86205</w:t>
      </w:r>
      <w:r>
        <w:rPr/>
        <w:t>亿元与长期</w:t>
      </w:r>
      <w:r>
        <w:rPr/>
        <w:t>68.63999</w:t>
      </w:r>
      <w:r>
        <w:rPr/>
        <w:t>亿元。可转债本金</w:t>
      </w:r>
      <w:r>
        <w:rPr/>
        <w:t>9.89945</w:t>
      </w:r>
      <w:r>
        <w:rPr/>
        <w:t>亿元、账面</w:t>
      </w:r>
      <w:r>
        <w:rPr/>
        <w:t>9.84611</w:t>
      </w:r>
      <w:r>
        <w:rPr/>
        <w:t>亿元，差额为未摊发行成本；新科技债还有</w:t>
      </w:r>
      <w:r>
        <w:rPr/>
        <w:t>0.04507</w:t>
      </w:r>
      <w:r>
        <w:rPr/>
        <w:t>亿元未摊发行成本。按各项本金合计，模型使用</w:t>
      </w:r>
      <w:r>
        <w:rPr/>
        <w:t>71.60045</w:t>
      </w:r>
      <w:r>
        <w:rPr/>
        <w:t>亿元偿付准备。估值偿付责任按本金处理，法定负债桥按账面处理，不能混用后又重复扣同一未摊差额。</w:t>
      </w:r>
    </w:p>
    <w:p>
      <w:pPr>
        <w:pStyle w:val="Normal"/>
        <w:rPr/>
      </w:pPr>
      <w:r>
        <w:rPr/>
        <w:t>2021</w:t>
      </w:r>
      <w:r>
        <w:rPr/>
        <w:t>年可转债原本金</w:t>
      </w:r>
      <w:r>
        <w:rPr/>
        <w:t>8.625</w:t>
      </w:r>
      <w:r>
        <w:rPr/>
        <w:t>亿美元，</w:t>
      </w:r>
      <w:r>
        <w:rPr/>
        <w:t>2026</w:t>
      </w:r>
      <w:r>
        <w:rPr/>
        <w:t>年四月底投资者回售</w:t>
      </w:r>
      <w:r>
        <w:rPr/>
        <w:t>7.168</w:t>
      </w:r>
      <w:r>
        <w:rPr/>
        <w:t>亿美元，剩</w:t>
      </w:r>
      <w:r>
        <w:rPr/>
        <w:t>1.457</w:t>
      </w:r>
      <w:r>
        <w:rPr/>
        <w:t>亿美元，</w:t>
      </w:r>
      <w:r>
        <w:rPr/>
        <w:t>2028</w:t>
      </w:r>
      <w:r>
        <w:rPr/>
        <w:t>年到期。原始转股价每</w:t>
      </w:r>
      <w:r>
        <w:rPr/>
        <w:t>ADS</w:t>
      </w:r>
      <w:r>
        <w:rPr/>
        <w:t>约</w:t>
      </w:r>
      <w:r>
        <w:rPr/>
        <w:t>28.34</w:t>
      </w:r>
      <w:r>
        <w:rPr/>
        <w:t>美元，等于一股</w:t>
      </w:r>
      <w:r>
        <w:rPr/>
        <w:t>A</w:t>
      </w:r>
      <w:r>
        <w:rPr/>
        <w:t>类约</w:t>
      </w:r>
      <w:r>
        <w:rPr/>
        <w:t>14.17</w:t>
      </w:r>
      <w:r>
        <w:rPr/>
        <w:t>美元。剩余可转换约</w:t>
      </w:r>
      <w:r>
        <w:rPr/>
        <w:t>10281116</w:t>
      </w:r>
      <w:r>
        <w:rPr/>
        <w:t>股</w:t>
      </w:r>
      <w:r>
        <w:rPr/>
        <w:t>A</w:t>
      </w:r>
      <w:r>
        <w:rPr/>
        <w:t>类是潜在上限，不是已经发行。本章基准保留本金偿付准备，若未来改为转换，必须同时减少债务责任和增加股数。</w:t>
      </w:r>
    </w:p>
    <w:p>
      <w:pPr>
        <w:pStyle w:val="Normal"/>
        <w:rPr/>
      </w:pPr>
      <w:r>
        <w:rPr/>
        <w:t>六月新科技创新债本金二十亿元、三年期、票息</w:t>
      </w:r>
      <w:r>
        <w:rPr/>
        <w:t>1.75%</w:t>
      </w:r>
      <w:r>
        <w:rPr/>
        <w:t>，另有有抵押借款及可用额度。借款额度可以提供流动性，不等于已经到账现金，也不等于未来能无条件提款或续贷。部分工厂和土地抵押、财务条款及付款安排需要持续遵守；模型不通过把未提款额度加到现金人为抬高目标，也不把借新还旧视为创造利润。</w:t>
      </w:r>
    </w:p>
    <w:p>
      <w:pPr>
        <w:pStyle w:val="Normal"/>
        <w:rPr/>
      </w:pPr>
      <w:r>
        <w:rPr/>
        <w:t>上半年经营现金流负</w:t>
      </w:r>
      <w:r>
        <w:rPr/>
        <w:t>60.75969</w:t>
      </w:r>
      <w:r>
        <w:rPr/>
        <w:t>亿元，资本现金</w:t>
      </w:r>
      <w:r>
        <w:rPr/>
        <w:t>26.13116</w:t>
      </w:r>
      <w:r>
        <w:rPr/>
        <w:t>亿元，自由现金流负</w:t>
      </w:r>
      <w:r>
        <w:rPr/>
        <w:t>86.89085</w:t>
      </w:r>
      <w:r>
        <w:rPr/>
        <w:t>亿元。固定资产处置现金</w:t>
      </w:r>
      <w:r>
        <w:rPr/>
        <w:t>7.28197</w:t>
      </w:r>
      <w:r>
        <w:rPr/>
        <w:t>亿元为另外投资流入，不能把它当稳定汽车经营收入。</w:t>
      </w:r>
      <w:r>
        <w:rPr/>
        <w:t>2025</w:t>
      </w:r>
      <w:r>
        <w:rPr/>
        <w:t>年自由现金流负</w:t>
      </w:r>
      <w:r>
        <w:rPr/>
        <w:t>128.16914</w:t>
      </w:r>
      <w:r>
        <w:rPr/>
        <w:t>亿元，现金消耗已经持续两个阶段，因此当前现金虽多，若经营长期不修复仍会被研发、资本和付款需求侵蚀。</w:t>
      </w:r>
    </w:p>
    <w:p>
      <w:pPr>
        <w:pStyle w:val="Normal"/>
        <w:rPr/>
      </w:pPr>
      <w:r>
        <w:rPr/>
        <w:t>上半年经营现金包含缴税、供应商和租赁等不同项目，不应只拿净亏损推算现金跑道。贸易及票据应付款</w:t>
      </w:r>
      <w:r>
        <w:rPr/>
        <w:t>387.5608</w:t>
      </w:r>
      <w:r>
        <w:rPr/>
        <w:t>亿元，票据</w:t>
      </w:r>
      <w:r>
        <w:rPr/>
        <w:t>153.0609</w:t>
      </w:r>
      <w:r>
        <w:rPr/>
        <w:t>亿元，延期结算为现金管理提供空间，也意味着未来付款责任。若销量下降、供应商缩短账期或旧采购承诺兑现，现金消耗可以明显高于损益。本章未来营运资本增量在悲观情景更高，反映这一可能性。</w:t>
      </w:r>
    </w:p>
    <w:p>
      <w:pPr>
        <w:pStyle w:val="Normal"/>
        <w:rPr/>
      </w:pPr>
      <w:r>
        <w:rPr/>
        <w:t>USGAAP</w:t>
      </w:r>
      <w:r>
        <w:rPr/>
        <w:t>经营租成本已经纳入持续经营费用，现金流桥不再把全部经营使用权摊销加回又漏扣租赁现金。融资租赁则分别列本金和未来现金支出。上半年现金流折旧摊销及土地经营租成本加回</w:t>
      </w:r>
      <w:r>
        <w:rPr/>
        <w:t>27.18023</w:t>
      </w:r>
      <w:r>
        <w:rPr/>
        <w:t>亿元不是纯粹不含租赁的</w:t>
      </w:r>
      <w:r>
        <w:rPr/>
        <w:t>DA</w:t>
      </w:r>
      <w:r>
        <w:rPr/>
        <w:t>，模型使用独立不含经营</w:t>
      </w:r>
      <w:r>
        <w:rPr/>
        <w:t>ROU</w:t>
      </w:r>
      <w:r>
        <w:rPr/>
        <w:t>的假设值，并保留完整费用，以避免会计口径导致现金被高估。</w:t>
      </w:r>
    </w:p>
    <w:p>
      <w:pPr>
        <w:pStyle w:val="Normal"/>
        <w:rPr/>
      </w:pPr>
      <w:r>
        <w:rPr/>
        <w:t>六月到锁定日的真实净现金尚未公开，模型悲观、基准、乐观设置负一百亿、负六十亿、负三十亿元净变动，包含已发生后续经营及回购等总体影响，不能称作十月实测现金。锁定后现金积累另算，未来新增回购另扣，避免同一七至九月资金被重复计算。新季度披露后应优先替换这项估计，而不是只调整目标倍数。</w:t>
      </w:r>
    </w:p>
    <w:p>
      <w:pPr>
        <w:pStyle w:val="Heading2"/>
        <w:rPr/>
      </w:pPr>
      <w:r>
        <w:rPr>
          <w:color w:val="000000"/>
        </w:rPr>
        <w:t>九 股份 回购与治理</w:t>
      </w:r>
    </w:p>
    <w:p>
      <w:pPr>
        <w:pStyle w:val="Normal"/>
        <w:rPr/>
      </w:pPr>
      <w:r>
        <w:rPr/>
        <w:t>九月月报披露</w:t>
      </w:r>
      <w:r>
        <w:rPr/>
        <w:t>A</w:t>
      </w:r>
      <w:r>
        <w:rPr/>
        <w:t>类非库存股份</w:t>
      </w:r>
      <w:r>
        <w:rPr/>
        <w:t>1716030157</w:t>
      </w:r>
      <w:r>
        <w:rPr/>
        <w:t>股，</w:t>
      </w:r>
      <w:r>
        <w:rPr/>
        <w:t>B</w:t>
      </w:r>
      <w:r>
        <w:rPr/>
        <w:t>类</w:t>
      </w:r>
      <w:r>
        <w:rPr/>
        <w:t>345199159</w:t>
      </w:r>
      <w:r>
        <w:rPr/>
        <w:t>股，合计</w:t>
      </w:r>
      <w:r>
        <w:rPr/>
        <w:t>2061229316</w:t>
      </w:r>
      <w:r>
        <w:rPr/>
        <w:t>股，回购库存</w:t>
      </w:r>
      <w:r>
        <w:rPr/>
        <w:t>102294952</w:t>
      </w:r>
      <w:r>
        <w:rPr/>
        <w:t>股，含库存法定总股</w:t>
      </w:r>
      <w:r>
        <w:rPr/>
        <w:t>2163524268</w:t>
      </w:r>
      <w:r>
        <w:rPr/>
        <w:t>股。估值使用非库存</w:t>
      </w:r>
      <w:r>
        <w:rPr/>
        <w:t>A</w:t>
      </w:r>
      <w:r>
        <w:rPr/>
        <w:t>加</w:t>
      </w:r>
      <w:r>
        <w:rPr/>
        <w:t>B</w:t>
      </w:r>
      <w:r>
        <w:rPr/>
        <w:t>，因为两类股份对应经济权益，不能仅用香港流通</w:t>
      </w:r>
      <w:r>
        <w:rPr/>
        <w:t>A</w:t>
      </w:r>
      <w:r>
        <w:rPr/>
        <w:t>股数分配全部企业价值。</w:t>
      </w:r>
      <w:r>
        <w:rPr/>
        <w:t>B</w:t>
      </w:r>
      <w:r>
        <w:rPr/>
        <w:t>类投票权与经济权利需区分，上市报价是一股</w:t>
      </w:r>
      <w:r>
        <w:rPr/>
        <w:t>A</w:t>
      </w:r>
      <w:r>
        <w:rPr/>
        <w:t>，不代表公司只有这一类股。</w:t>
      </w:r>
    </w:p>
    <w:p>
      <w:pPr>
        <w:pStyle w:val="Normal"/>
        <w:rPr/>
      </w:pPr>
      <w:r>
        <w:rPr/>
        <w:t>法定股份与</w:t>
      </w:r>
      <w:r>
        <w:rPr/>
        <w:t>USGAAP</w:t>
      </w:r>
      <w:r>
        <w:rPr/>
        <w:t>经济在外股数并不完全相同，六月官方经济在外</w:t>
      </w:r>
      <w:r>
        <w:rPr/>
        <w:t>1973963298</w:t>
      </w:r>
      <w:r>
        <w:rPr/>
        <w:t>股，扣除回购库存后的法定股仍</w:t>
      </w:r>
      <w:r>
        <w:rPr/>
        <w:t>2098992140</w:t>
      </w:r>
      <w:r>
        <w:rPr/>
        <w:t>股，差额</w:t>
      </w:r>
      <w:r>
        <w:rPr/>
        <w:t>125028842</w:t>
      </w:r>
      <w:r>
        <w:rPr/>
        <w:t>股包含</w:t>
      </w:r>
      <w:r>
        <w:rPr/>
        <w:t>CEO</w:t>
      </w:r>
      <w:r>
        <w:rPr/>
        <w:t>奖股和存托人保留奖股等安排。九月精确经济在外数未取得，本章保守以法定非库存股作分母，避免无证据延续六月数字。这个口径对目标价偏保守，必须明示。</w:t>
      </w:r>
    </w:p>
    <w:p>
      <w:pPr>
        <w:pStyle w:val="Normal"/>
        <w:rPr/>
      </w:pPr>
      <w:r>
        <w:rPr/>
        <w:t>CEO</w:t>
      </w:r>
      <w:r>
        <w:rPr/>
        <w:t>奖股</w:t>
      </w:r>
      <w:r>
        <w:rPr/>
        <w:t>108557400</w:t>
      </w:r>
      <w:r>
        <w:rPr/>
        <w:t>股已经存在法定资本中，未来条件归属影响经济在外与治理，不能在法定基准分母上再次完整新增。存托人保留股份用于后续奖励行权也有相似口径差别，研究不将每项期权与奖励容量都直接加到股数。未来普通新增股份和库存转售分别设假设，既保留真实潜在稀释，也避免同一奖励被计入两次。</w:t>
      </w:r>
    </w:p>
    <w:p>
      <w:pPr>
        <w:pStyle w:val="Normal"/>
        <w:rPr/>
      </w:pPr>
      <w:r>
        <w:rPr/>
        <w:t>九月回购</w:t>
      </w:r>
      <w:r>
        <w:rPr/>
        <w:t>10040700</w:t>
      </w:r>
      <w:r>
        <w:rPr/>
        <w:t>股，形成库存而非立即注销；月报股数相应减少非库存股、增加库存，总法定股不变。库存股份未来可以按适用规则转售或用于奖励，长期稀释并未因回购永久消失。模型未来库存转售增加股数，同时只有实际出售价格对应现金才加入权益；免费奖励与出售应使用不同价格，不能把全部库存恢复视作免费资金。</w:t>
      </w:r>
    </w:p>
    <w:p>
      <w:pPr>
        <w:pStyle w:val="Normal"/>
        <w:rPr/>
      </w:pPr>
      <w:r>
        <w:rPr/>
        <w:t>三月公布十亿美元回购计划，二季度及后续已使用部分资金。总计划容量不是剩余可随时兑现的金额，管理层也可调整、暂停或终止。本章未来回购只是研究假设，金额与平均价格共同减少股数，并从现金扣本金。公司现金流仍负时大额回购可能支持每股价值，也可能减少研发与服务缓冲，需要按价格和资金安全判断。</w:t>
      </w:r>
    </w:p>
    <w:p>
      <w:pPr>
        <w:pStyle w:val="Normal"/>
        <w:rPr/>
      </w:pPr>
      <w:r>
        <w:rPr/>
        <w:t>WVR</w:t>
      </w:r>
      <w:r>
        <w:rPr/>
        <w:t>结构使创始人投票控制显著高于经济持股比例，公司也通过</w:t>
      </w:r>
      <w:r>
        <w:rPr/>
        <w:t>B</w:t>
      </w:r>
      <w:r>
        <w:rPr/>
        <w:t>转</w:t>
      </w:r>
      <w:r>
        <w:rPr/>
        <w:t>A</w:t>
      </w:r>
      <w:r>
        <w:rPr/>
        <w:t>维持相应上市规则约束。这种治理有利于长期产品决策的连贯性，同时减少普通投资者对资本配置和战略变化的影响。研究不能把创始人愿景直接等同普通股东利益，长期需观察关联安排、股酬条件、回购与投资回报，并给治理风险较高权重。</w:t>
      </w:r>
    </w:p>
    <w:p>
      <w:pPr>
        <w:pStyle w:val="Normal"/>
        <w:rPr/>
      </w:pPr>
      <w:r>
        <w:rPr/>
        <w:t>ADS</w:t>
      </w:r>
      <w:r>
        <w:rPr/>
        <w:t>每份对应两股</w:t>
      </w:r>
      <w:r>
        <w:rPr/>
        <w:t>A</w:t>
      </w:r>
      <w:r>
        <w:rPr/>
        <w:t>类普通股，美国和香港市场报价、交易时段与转换可能造成短期差异。机构美国目标价不能直接写成香港每股目标，必须明确转换和汇率，且转换后仍非年底估值。本章只记录港元目标，拒绝混用美元</w:t>
      </w:r>
      <w:r>
        <w:rPr/>
        <w:t>ADS</w:t>
      </w:r>
      <w:r>
        <w:rPr/>
        <w:t>与港元股价；行情系统提供的</w:t>
      </w:r>
      <w:r>
        <w:rPr/>
        <w:t>PE</w:t>
      </w:r>
      <w:r>
        <w:rPr/>
        <w:t>与市值也未核验股份口径，未作为最终模型输入。</w:t>
      </w:r>
    </w:p>
    <w:p>
      <w:pPr>
        <w:pStyle w:val="Heading2"/>
        <w:rPr/>
      </w:pPr>
      <w:r>
        <w:rPr>
          <w:color w:val="000000"/>
        </w:rPr>
        <w:t>十 半年</w:t>
      </w:r>
      <w:r>
        <w:rPr>
          <w:color w:val="000000"/>
        </w:rPr>
        <w:t>K</w:t>
      </w:r>
      <w:r>
        <w:rPr>
          <w:color w:val="000000"/>
        </w:rPr>
        <w:t>线 量能和相对强弱</w:t>
      </w:r>
    </w:p>
    <w:p>
      <w:pPr>
        <w:pStyle w:val="Normal"/>
        <w:rPr/>
      </w:pPr>
      <w:r>
        <w:rPr/>
        <w:t>行情锁定三年</w:t>
      </w:r>
      <w:r>
        <w:rPr/>
        <w:t>739</w:t>
      </w:r>
      <w:r>
        <w:rPr/>
        <w:t>个交易日、</w:t>
      </w:r>
      <w:r>
        <w:rPr/>
        <w:t>157</w:t>
      </w:r>
      <w:r>
        <w:rPr/>
        <w:t>根周线，复权</w:t>
      </w:r>
      <w:r>
        <w:rPr/>
        <w:t>OHLC</w:t>
      </w:r>
      <w:r>
        <w:rPr/>
        <w:t>统一归一到基准名义价格。十月九日收盘</w:t>
      </w:r>
      <w:r>
        <w:rPr/>
        <w:t>44.66</w:t>
      </w:r>
      <w:r>
        <w:rPr/>
        <w:t>港元，上涨</w:t>
      </w:r>
      <w:r>
        <w:rPr/>
        <w:t>3.81%</w:t>
      </w:r>
      <w:r>
        <w:rPr/>
        <w:t>，成交</w:t>
      </w:r>
      <w:r>
        <w:rPr/>
        <w:t>8412994</w:t>
      </w:r>
      <w:r>
        <w:rPr/>
        <w:t>股、金额</w:t>
      </w:r>
      <w:r>
        <w:rPr/>
        <w:t>374511004.42</w:t>
      </w:r>
      <w:r>
        <w:rPr/>
        <w:t>港元。反弹日表现较好，但仍需结合长期下降结构。公开新闻的自动技术形态标题不能替代本章独立检查，尤其不能把当天三角形提示解释为已经确认半年大幅上涨。</w:t>
      </w:r>
    </w:p>
    <w:p>
      <w:pPr>
        <w:pStyle w:val="Normal"/>
        <w:rPr/>
      </w:pPr>
      <w:r>
        <w:rPr/>
        <w:t>20</w:t>
      </w:r>
      <w:r>
        <w:rPr/>
        <w:t>、</w:t>
      </w:r>
      <w:r>
        <w:rPr/>
        <w:t>60</w:t>
      </w:r>
      <w:r>
        <w:rPr/>
        <w:t>、</w:t>
      </w:r>
      <w:r>
        <w:rPr/>
        <w:t>120</w:t>
      </w:r>
      <w:r>
        <w:rPr/>
        <w:t>、</w:t>
      </w:r>
      <w:r>
        <w:rPr/>
        <w:t>250</w:t>
      </w:r>
      <w:r>
        <w:rPr/>
        <w:t>日均线分别</w:t>
      </w:r>
      <w:r>
        <w:rPr/>
        <w:t>45.191</w:t>
      </w:r>
      <w:r>
        <w:rPr/>
        <w:t>、</w:t>
      </w:r>
      <w:r>
        <w:rPr/>
        <w:t>47.798833</w:t>
      </w:r>
      <w:r>
        <w:rPr/>
        <w:t>、</w:t>
      </w:r>
      <w:r>
        <w:rPr/>
        <w:t>53.563333</w:t>
      </w:r>
      <w:r>
        <w:rPr/>
        <w:t>、</w:t>
      </w:r>
      <w:r>
        <w:rPr/>
        <w:t>63.214</w:t>
      </w:r>
      <w:r>
        <w:rPr/>
        <w:t>港元，现价全部低于均线，距离约负</w:t>
      </w:r>
      <w:r>
        <w:rPr/>
        <w:t>1.18%</w:t>
      </w:r>
      <w:r>
        <w:rPr/>
        <w:t>、负</w:t>
      </w:r>
      <w:r>
        <w:rPr/>
        <w:t>6.57%</w:t>
      </w:r>
      <w:r>
        <w:rPr/>
        <w:t>、负</w:t>
      </w:r>
      <w:r>
        <w:rPr/>
        <w:t>16.62%</w:t>
      </w:r>
      <w:r>
        <w:rPr/>
        <w:t>和负</w:t>
      </w:r>
      <w:r>
        <w:rPr/>
        <w:t>29.35%</w:t>
      </w:r>
      <w:r>
        <w:rPr/>
        <w:t>。短期均线接近，意味着少量反弹可能站上</w:t>
      </w:r>
      <w:r>
        <w:rPr/>
        <w:t>20</w:t>
      </w:r>
      <w:r>
        <w:rPr/>
        <w:t>日线；长均线仍远，说明长期恢复需要更明显的价格和时间。日均线并不是公司公允价值，也不是卖出或买入的保证价。</w:t>
      </w:r>
    </w:p>
    <w:p>
      <w:pPr>
        <w:pStyle w:val="Normal"/>
        <w:rPr/>
      </w:pPr>
      <w:r>
        <w:rPr/>
        <w:t>锁定窗口五日均线斜率对应四条均线约负</w:t>
      </w:r>
      <w:r>
        <w:rPr/>
        <w:t>2.74%</w:t>
      </w:r>
      <w:r>
        <w:rPr/>
        <w:t>、负</w:t>
      </w:r>
      <w:r>
        <w:rPr/>
        <w:t>0.90%</w:t>
      </w:r>
      <w:r>
        <w:rPr/>
        <w:t>、负</w:t>
      </w:r>
      <w:r>
        <w:rPr/>
        <w:t>2.20%</w:t>
      </w:r>
      <w:r>
        <w:rPr/>
        <w:t>、负</w:t>
      </w:r>
      <w:r>
        <w:rPr/>
        <w:t>1.79%</w:t>
      </w:r>
      <w:r>
        <w:rPr/>
        <w:t>，方向均下降。均线位置与斜率共同支持中短期偏弱，不能因为最后一天涨</w:t>
      </w:r>
      <w:r>
        <w:rPr/>
        <w:t>3.81%</w:t>
      </w:r>
      <w:r>
        <w:rPr/>
        <w:t>就忽略前面累积。多个均线与回撤高度相关，技术评分将它们合并判断，不将每个指标作为独立证据反复加分或扣分。</w:t>
      </w:r>
    </w:p>
    <w:p>
      <w:pPr>
        <w:pStyle w:val="Normal"/>
        <w:rPr/>
      </w:pPr>
      <w:r>
        <w:rPr/>
        <w:t>二十日回报负</w:t>
      </w:r>
      <w:r>
        <w:rPr/>
        <w:t>3.92%</w:t>
      </w:r>
      <w:r>
        <w:rPr/>
        <w:t>，六十日负</w:t>
      </w:r>
      <w:r>
        <w:rPr/>
        <w:t>11.39%</w:t>
      </w:r>
      <w:r>
        <w:rPr/>
        <w:t>，一年完整窗口回报与回撤较大。锁定日线一年高</w:t>
      </w:r>
      <w:r>
        <w:rPr/>
        <w:t>103.30</w:t>
      </w:r>
      <w:r>
        <w:rPr/>
        <w:t>、低</w:t>
      </w:r>
      <w:r>
        <w:rPr/>
        <w:t>41.70</w:t>
      </w:r>
      <w:r>
        <w:rPr/>
        <w:t>港元，现价较高点低</w:t>
      </w:r>
      <w:r>
        <w:rPr/>
        <w:t>56.77%</w:t>
      </w:r>
      <w:r>
        <w:rPr/>
        <w:t>，较低点高</w:t>
      </w:r>
      <w:r>
        <w:rPr/>
        <w:t>7.10%</w:t>
      </w:r>
      <w:r>
        <w:rPr/>
        <w:t>，最大回撤约</w:t>
      </w:r>
      <w:r>
        <w:rPr/>
        <w:t>58.43%</w:t>
      </w:r>
      <w:r>
        <w:rPr/>
        <w:t>。供应商实时一年高字段与复权日线窗口不同，研究采用一致日线窗口，并不混用新闻高价与复权低价计算回撤。</w:t>
      </w:r>
    </w:p>
    <w:p>
      <w:pPr>
        <w:pStyle w:val="Normal"/>
        <w:rPr/>
      </w:pPr>
      <w:r>
        <w:rPr/>
        <w:t>二十日区间支撑</w:t>
      </w:r>
      <w:r>
        <w:rPr/>
        <w:t>41.70</w:t>
      </w:r>
      <w:r>
        <w:rPr/>
        <w:t>港元、阻力</w:t>
      </w:r>
      <w:r>
        <w:rPr/>
        <w:t>48.46</w:t>
      </w:r>
      <w:r>
        <w:rPr/>
        <w:t>港元，距离现价负</w:t>
      </w:r>
      <w:r>
        <w:rPr/>
        <w:t>6.63%</w:t>
      </w:r>
      <w:r>
        <w:rPr/>
        <w:t>和正</w:t>
      </w:r>
      <w:r>
        <w:rPr/>
        <w:t>8.51%</w:t>
      </w:r>
      <w:r>
        <w:rPr/>
        <w:t>；六十日阻力</w:t>
      </w:r>
      <w:r>
        <w:rPr/>
        <w:t>56.10</w:t>
      </w:r>
      <w:r>
        <w:rPr/>
        <w:t>港元、距离正</w:t>
      </w:r>
      <w:r>
        <w:rPr/>
        <w:t>25.62%</w:t>
      </w:r>
      <w:r>
        <w:rPr/>
        <w:t>。这些是区间观察位，未按每一触碰次数筛选，也没有保证价格会在此反转。半年执行可先观察</w:t>
      </w:r>
      <w:r>
        <w:rPr/>
        <w:t>44</w:t>
      </w:r>
      <w:r>
        <w:rPr/>
        <w:t>至</w:t>
      </w:r>
      <w:r>
        <w:rPr/>
        <w:t>48.5</w:t>
      </w:r>
      <w:r>
        <w:rPr/>
        <w:t>区间是否形成抬高低点，随后验证</w:t>
      </w:r>
      <w:r>
        <w:rPr/>
        <w:t>60</w:t>
      </w:r>
      <w:r>
        <w:rPr/>
        <w:t>日线与</w:t>
      </w:r>
      <w:r>
        <w:rPr/>
        <w:t>56.1</w:t>
      </w:r>
      <w:r>
        <w:rPr/>
        <w:t>阻力，不能把一次盘中越线当作完整趋势恢复。</w:t>
      </w:r>
    </w:p>
    <w:p>
      <w:pPr>
        <w:pStyle w:val="Normal"/>
        <w:rPr/>
      </w:pPr>
      <w:r>
        <w:rPr/>
        <w:t>五、二十、六十日均量</w:t>
      </w:r>
      <w:r>
        <w:rPr/>
        <w:t>471.3</w:t>
      </w:r>
      <w:r>
        <w:rPr/>
        <w:t>万、</w:t>
      </w:r>
      <w:r>
        <w:rPr/>
        <w:t>807.7</w:t>
      </w:r>
      <w:r>
        <w:rPr/>
        <w:t>万、</w:t>
      </w:r>
      <w:r>
        <w:rPr/>
        <w:t>948.8</w:t>
      </w:r>
      <w:r>
        <w:rPr/>
        <w:t>万股，前二十日均量</w:t>
      </w:r>
      <w:r>
        <w:rPr/>
        <w:t>805.606685</w:t>
      </w:r>
      <w:r>
        <w:rPr/>
        <w:t>万股。十月九日量比</w:t>
      </w:r>
      <w:r>
        <w:rPr/>
        <w:t>1.044</w:t>
      </w:r>
      <w:r>
        <w:rPr/>
        <w:t>，接近正常均量，没有明显多倍放量；五日均量较低表示近期参与减少。若后续突破</w:t>
      </w:r>
      <w:r>
        <w:rPr/>
        <w:t>48.46</w:t>
      </w:r>
      <w:r>
        <w:rPr/>
        <w:t>且量能持续增加、回踩缩量并守住较高低点，可提高修复判断；单日上涨加正常量尚不足以证明机构长期积累。</w:t>
      </w:r>
    </w:p>
    <w:p>
      <w:pPr>
        <w:pStyle w:val="Normal"/>
        <w:rPr/>
      </w:pPr>
      <w:r>
        <w:rPr/>
        <w:t>二十日上涨十一天、下跌九天，上涨日总量</w:t>
      </w:r>
      <w:r>
        <w:rPr/>
        <w:t>8603.4188</w:t>
      </w:r>
      <w:r>
        <w:rPr/>
        <w:t>万股、下跌</w:t>
      </w:r>
      <w:r>
        <w:rPr/>
        <w:t>7551.4106</w:t>
      </w:r>
      <w:r>
        <w:rPr/>
        <w:t>万股，总量比</w:t>
      </w:r>
      <w:r>
        <w:rPr/>
        <w:t>1.139</w:t>
      </w:r>
      <w:r>
        <w:rPr/>
        <w:t>。上涨天数较多，总量比不能直接当成单位日买盘强度，价格同期仍负回报，说明上涨与下跌幅度不同。研究既认可近期日线供需较同程等极弱形态稍好，也承认未形成长期转强，不从总量推测具体大户持仓或主力成本。</w:t>
      </w:r>
    </w:p>
    <w:p>
      <w:pPr>
        <w:pStyle w:val="Normal"/>
        <w:rPr/>
      </w:pPr>
      <w:r>
        <w:rPr/>
        <w:t>相对恒生指数二十日弱</w:t>
      </w:r>
      <w:r>
        <w:rPr/>
        <w:t>0.94</w:t>
      </w:r>
      <w:r>
        <w:rPr/>
        <w:t>个百分点、六十日弱</w:t>
      </w:r>
      <w:r>
        <w:rPr/>
        <w:t>8.20</w:t>
      </w:r>
      <w:r>
        <w:rPr/>
        <w:t>个百分点；相对恒生科技粗基准二十日弱</w:t>
      </w:r>
      <w:r>
        <w:rPr/>
        <w:t>0.85</w:t>
      </w:r>
      <w:r>
        <w:rPr/>
        <w:t>、六十日强</w:t>
      </w:r>
      <w:r>
        <w:rPr/>
        <w:t>1.78</w:t>
      </w:r>
      <w:r>
        <w:rPr/>
        <w:t>个百分点。科技指数不是汽车行业精确基准，六十日相对略强不能证明汽车份额或盈利优势。研究保留两种比较以识别港股风险偏好影响，未将一个基准的强弱作为确定公司基本面结论。</w:t>
      </w:r>
    </w:p>
    <w:p>
      <w:pPr>
        <w:pStyle w:val="Normal"/>
        <w:rPr/>
      </w:pPr>
      <w:r>
        <w:rPr/>
        <w:t>日线</w:t>
      </w:r>
      <w:r>
        <w:rPr/>
        <w:t>RSI46.50</w:t>
      </w:r>
      <w:r>
        <w:rPr/>
        <w:t>接近中性偏弱，</w:t>
      </w:r>
      <w:r>
        <w:rPr/>
        <w:t>MACD DIF</w:t>
      </w:r>
      <w:r>
        <w:rPr/>
        <w:t>负</w:t>
      </w:r>
      <w:r>
        <w:rPr/>
        <w:t>1.193486</w:t>
      </w:r>
      <w:r>
        <w:rPr/>
        <w:t>、</w:t>
      </w:r>
      <w:r>
        <w:rPr/>
        <w:t>DEA</w:t>
      </w:r>
      <w:r>
        <w:rPr/>
        <w:t>负</w:t>
      </w:r>
      <w:r>
        <w:rPr/>
        <w:t>1.131096</w:t>
      </w:r>
      <w:r>
        <w:rPr/>
        <w:t>、柱负</w:t>
      </w:r>
      <w:r>
        <w:rPr/>
        <w:t>0.124779</w:t>
      </w:r>
      <w:r>
        <w:rPr/>
        <w:t>，短期动能尚未一致转强。</w:t>
      </w:r>
      <w:r>
        <w:rPr/>
        <w:t>ATR1.678674</w:t>
      </w:r>
      <w:r>
        <w:rPr/>
        <w:t>港元，约</w:t>
      </w:r>
      <w:r>
        <w:rPr/>
        <w:t>3.76%</w:t>
      </w:r>
      <w:r>
        <w:rPr/>
        <w:t>，提示日常波动已较大。指标都由同一价格序列生成，作用是辅助观察趋势和风险距离，不独立产生目标价，也不把指标中性视作没有下跌风险。</w:t>
      </w:r>
    </w:p>
    <w:p>
      <w:pPr>
        <w:pStyle w:val="Normal"/>
        <w:rPr/>
      </w:pPr>
      <w:r>
        <w:rPr/>
        <w:t>周线</w:t>
      </w:r>
      <w:r>
        <w:rPr/>
        <w:t>20</w:t>
      </w:r>
      <w:r>
        <w:rPr/>
        <w:t>、</w:t>
      </w:r>
      <w:r>
        <w:rPr/>
        <w:t>60</w:t>
      </w:r>
      <w:r>
        <w:rPr/>
        <w:t>、</w:t>
      </w:r>
      <w:r>
        <w:rPr/>
        <w:t>120</w:t>
      </w:r>
      <w:r>
        <w:rPr/>
        <w:t>周均线</w:t>
      </w:r>
      <w:r>
        <w:rPr/>
        <w:t>49.284</w:t>
      </w:r>
      <w:r>
        <w:rPr/>
        <w:t>、</w:t>
      </w:r>
      <w:r>
        <w:rPr/>
        <w:t>66.781333</w:t>
      </w:r>
      <w:r>
        <w:rPr/>
        <w:t>、</w:t>
      </w:r>
      <w:r>
        <w:rPr/>
        <w:t>81.500667</w:t>
      </w:r>
      <w:r>
        <w:rPr/>
        <w:t>港元，方向下降，</w:t>
      </w:r>
      <w:r>
        <w:rPr/>
        <w:t>250</w:t>
      </w:r>
      <w:r>
        <w:rPr/>
        <w:t>周缺失。周</w:t>
      </w:r>
      <w:r>
        <w:rPr/>
        <w:t>RSI36.68</w:t>
      </w:r>
      <w:r>
        <w:rPr/>
        <w:t>、</w:t>
      </w:r>
      <w:r>
        <w:rPr/>
        <w:t>ATR</w:t>
      </w:r>
      <w:r>
        <w:rPr/>
        <w:t>比例</w:t>
      </w:r>
      <w:r>
        <w:rPr/>
        <w:t>11.15%</w:t>
      </w:r>
      <w:r>
        <w:rPr/>
        <w:t>，</w:t>
      </w:r>
      <w:r>
        <w:rPr/>
        <w:t>MACD</w:t>
      </w:r>
      <w:r>
        <w:rPr/>
        <w:t>柱正</w:t>
      </w:r>
      <w:r>
        <w:rPr/>
        <w:t>0.505612</w:t>
      </w:r>
      <w:r>
        <w:rPr/>
        <w:t>但</w:t>
      </w:r>
      <w:r>
        <w:rPr/>
        <w:t>DIF</w:t>
      </w:r>
      <w:r>
        <w:rPr/>
        <w:t>与</w:t>
      </w:r>
      <w:r>
        <w:rPr/>
        <w:t>DEA</w:t>
      </w:r>
      <w:r>
        <w:rPr/>
        <w:t>仍在负区，表现为长期弱势中的动能改善。日周信号没有构成稳定上行结构，半年技术分</w:t>
      </w:r>
      <w:r>
        <w:rPr/>
        <w:t>2.4</w:t>
      </w:r>
      <w:r>
        <w:rPr/>
        <w:t>，较差形态略好但远低于强势成长股。本章不造长期周均线或精确筹码分布。</w:t>
      </w:r>
    </w:p>
    <w:p>
      <w:pPr>
        <w:pStyle w:val="Heading2"/>
        <w:rPr/>
      </w:pPr>
      <w:r>
        <w:rPr>
          <w:color w:val="000000"/>
        </w:rPr>
        <w:t>十一 估值结构 销售倍数与敏感性</w:t>
      </w:r>
    </w:p>
    <w:p>
      <w:pPr>
        <w:pStyle w:val="Normal"/>
        <w:rPr/>
      </w:pPr>
      <w:r>
        <w:rPr/>
        <w:t>主模型汽车收入等于百万辆交付乘千元人民币净</w:t>
      </w:r>
      <w:r>
        <w:rPr/>
        <w:t>ASP</w:t>
      </w:r>
      <w:r>
        <w:rPr/>
        <w:t>，单位结果为十亿元；再加服务收入，分项毛利减全部研发、销售行政和正常其他成本形成经营利润。正利润扣税及少数经营归属，亏损不认即时退税。经营</w:t>
      </w:r>
      <w:r>
        <w:rPr/>
        <w:t>EV</w:t>
      </w:r>
      <w:r>
        <w:rPr/>
        <w:t>按收入乘销售倍数估计，同时展示完整利润及隐含经营</w:t>
      </w:r>
      <w:r>
        <w:rPr/>
        <w:t>PE</w:t>
      </w:r>
      <w:r>
        <w:rPr/>
        <w:t>，现金则按负债、储备、资本和分配逐项调整。</w:t>
      </w:r>
    </w:p>
    <w:p>
      <w:pPr>
        <w:pStyle w:val="Normal"/>
        <w:rPr/>
      </w:pPr>
      <w:r>
        <w:rPr/>
        <w:t>年底基准正常年率交付四十万辆、净汽车</w:t>
      </w:r>
      <w:r>
        <w:rPr/>
        <w:t>ASP</w:t>
      </w:r>
      <w:r>
        <w:rPr/>
        <w:t>二十四万元、服务收入六十五亿元，合计收入</w:t>
      </w:r>
      <w:r>
        <w:rPr/>
        <w:t>1025</w:t>
      </w:r>
      <w:r>
        <w:rPr/>
        <w:t>亿元；汽车毛利</w:t>
      </w:r>
      <w:r>
        <w:rPr/>
        <w:t>13%</w:t>
      </w:r>
      <w:r>
        <w:rPr/>
        <w:t>、服务</w:t>
      </w:r>
      <w:r>
        <w:rPr/>
        <w:t>34%</w:t>
      </w:r>
      <w:r>
        <w:rPr/>
        <w:t>，研发</w:t>
      </w:r>
      <w:r>
        <w:rPr/>
        <w:t>112</w:t>
      </w:r>
      <w:r>
        <w:rPr/>
        <w:t>亿元、销售行政</w:t>
      </w:r>
      <w:r>
        <w:rPr/>
        <w:t>89</w:t>
      </w:r>
      <w:r>
        <w:rPr/>
        <w:t>亿元、其他成本</w:t>
      </w:r>
      <w:r>
        <w:rPr/>
        <w:t>2</w:t>
      </w:r>
      <w:r>
        <w:rPr/>
        <w:t>亿元。正常归母经营亏损</w:t>
      </w:r>
      <w:r>
        <w:rPr/>
        <w:t>56.5</w:t>
      </w:r>
      <w:r>
        <w:rPr/>
        <w:t>亿元，说明年底基准仍没有要求全面盈利。</w:t>
      </w:r>
      <w:r>
        <w:rPr/>
        <w:t>0.55</w:t>
      </w:r>
      <w:r>
        <w:rPr/>
        <w:t>倍经营销售估值给予产品和盈利恢复选择权，需要未来利润改善支撑，不能解释为当期廉价</w:t>
      </w:r>
      <w:r>
        <w:rPr/>
        <w:t>PE</w:t>
      </w:r>
      <w:r>
        <w:rPr/>
        <w:t>。</w:t>
      </w:r>
    </w:p>
    <w:p>
      <w:pPr>
        <w:pStyle w:val="Normal"/>
        <w:rPr/>
      </w:pPr>
      <w:r>
        <w:rPr/>
        <w:t>半年基准正常年率四十四万辆、净</w:t>
      </w:r>
      <w:r>
        <w:rPr/>
        <w:t>ASP23.8</w:t>
      </w:r>
      <w:r>
        <w:rPr/>
        <w:t>万元、服务七十亿元，收入</w:t>
      </w:r>
      <w:r>
        <w:rPr/>
        <w:t>1117.2</w:t>
      </w:r>
      <w:r>
        <w:rPr/>
        <w:t>亿元，汽车毛利</w:t>
      </w:r>
      <w:r>
        <w:rPr/>
        <w:t>15%</w:t>
      </w:r>
      <w:r>
        <w:rPr/>
        <w:t>、研发</w:t>
      </w:r>
      <w:r>
        <w:rPr/>
        <w:t>116</w:t>
      </w:r>
      <w:r>
        <w:rPr/>
        <w:t>亿元、销售行政</w:t>
      </w:r>
      <w:r>
        <w:rPr/>
        <w:t>91</w:t>
      </w:r>
      <w:r>
        <w:rPr/>
        <w:t>亿元，正常归母亏损</w:t>
      </w:r>
      <w:r>
        <w:rPr/>
        <w:t>28.77</w:t>
      </w:r>
      <w:r>
        <w:rPr/>
        <w:t>亿元。经营</w:t>
      </w:r>
      <w:r>
        <w:rPr/>
        <w:t>EV</w:t>
      </w:r>
      <w:r>
        <w:rPr/>
        <w:t>销售</w:t>
      </w:r>
      <w:r>
        <w:rPr/>
        <w:t>0.65</w:t>
      </w:r>
      <w:r>
        <w:rPr/>
        <w:t>倍体现修复进展，但利润仍负。基准目标</w:t>
      </w:r>
      <w:r>
        <w:rPr/>
        <w:t>58.87</w:t>
      </w:r>
      <w:r>
        <w:rPr/>
        <w:t>港元要求市场承认收入质量和未来盈利路线；如果修复停滞，销售倍数可能下调，即使收入维持也会产生股价损失。</w:t>
      </w:r>
    </w:p>
    <w:p>
      <w:pPr>
        <w:pStyle w:val="Normal"/>
        <w:rPr/>
      </w:pPr>
      <w:r>
        <w:rPr/>
        <w:t>一年基准五十二万辆、净</w:t>
      </w:r>
      <w:r>
        <w:rPr/>
        <w:t>ASP23.6</w:t>
      </w:r>
      <w:r>
        <w:rPr/>
        <w:t>万元、服务八十二亿元，正常收入</w:t>
      </w:r>
      <w:r>
        <w:rPr/>
        <w:t>1309.2</w:t>
      </w:r>
      <w:r>
        <w:rPr/>
        <w:t>亿元、车辆毛利</w:t>
      </w:r>
      <w:r>
        <w:rPr/>
        <w:t>17%</w:t>
      </w:r>
      <w:r>
        <w:rPr/>
        <w:t>、服务</w:t>
      </w:r>
      <w:r>
        <w:rPr/>
        <w:t>35%</w:t>
      </w:r>
      <w:r>
        <w:rPr/>
        <w:t>，研发</w:t>
      </w:r>
      <w:r>
        <w:rPr/>
        <w:t>125</w:t>
      </w:r>
      <w:r>
        <w:rPr/>
        <w:t>亿元、销售行政</w:t>
      </w:r>
      <w:r>
        <w:rPr/>
        <w:t>98</w:t>
      </w:r>
      <w:r>
        <w:rPr/>
        <w:t>亿元，正常归母经营利润</w:t>
      </w:r>
      <w:r>
        <w:rPr/>
        <w:t>8.91832</w:t>
      </w:r>
      <w:r>
        <w:rPr/>
        <w:t>亿元。销售倍数</w:t>
      </w:r>
      <w:r>
        <w:rPr/>
        <w:t>0.75</w:t>
      </w:r>
      <w:r>
        <w:rPr/>
        <w:t>对应经营</w:t>
      </w:r>
      <w:r>
        <w:rPr/>
        <w:t>EV981.9</w:t>
      </w:r>
      <w:r>
        <w:rPr/>
        <w:t>亿元，隐含当期正常经营</w:t>
      </w:r>
      <w:r>
        <w:rPr/>
        <w:t>PE</w:t>
      </w:r>
      <w:r>
        <w:rPr/>
        <w:t>约</w:t>
      </w:r>
      <w:r>
        <w:rPr/>
        <w:t>110</w:t>
      </w:r>
      <w:r>
        <w:rPr/>
        <w:t>倍，很高。该估值必须依赖随后利润上升，不能因刚转正就声称便宜成熟盈利公司。</w:t>
      </w:r>
    </w:p>
    <w:p>
      <w:pPr>
        <w:pStyle w:val="Normal"/>
        <w:rPr/>
      </w:pPr>
      <w:r>
        <w:rPr/>
        <w:t>三年基准收入</w:t>
      </w:r>
      <w:r>
        <w:rPr/>
        <w:t>1953</w:t>
      </w:r>
      <w:r>
        <w:rPr/>
        <w:t>亿元，正常归母利润</w:t>
      </w:r>
      <w:r>
        <w:rPr/>
        <w:t>68.95595</w:t>
      </w:r>
      <w:r>
        <w:rPr/>
        <w:t>亿元，经营销售倍数</w:t>
      </w:r>
      <w:r>
        <w:rPr/>
        <w:t>0.80</w:t>
      </w:r>
      <w:r>
        <w:rPr/>
        <w:t>，隐含经营</w:t>
      </w:r>
      <w:r>
        <w:rPr/>
        <w:t>PE22.66</w:t>
      </w:r>
      <w:r>
        <w:rPr/>
        <w:t>倍；五年收入</w:t>
      </w:r>
      <w:r>
        <w:rPr/>
        <w:t>2520</w:t>
      </w:r>
      <w:r>
        <w:rPr/>
        <w:t>亿元、正常归母</w:t>
      </w:r>
      <w:r>
        <w:rPr/>
        <w:t>106.4225</w:t>
      </w:r>
      <w:r>
        <w:rPr/>
        <w:t>亿元，销售</w:t>
      </w:r>
      <w:r>
        <w:rPr/>
        <w:t>0.75</w:t>
      </w:r>
      <w:r>
        <w:rPr/>
        <w:t>倍、隐含</w:t>
      </w:r>
      <w:r>
        <w:rPr/>
        <w:t>17.76</w:t>
      </w:r>
      <w:r>
        <w:rPr/>
        <w:t>倍。远期利润改善使销售倍数更可解释，同时资本、费用和分配继续增长。基准长期没有维持一年高隐含</w:t>
      </w:r>
      <w:r>
        <w:rPr/>
        <w:t>PE</w:t>
      </w:r>
      <w:r>
        <w:rPr/>
        <w:t>，避免收入故事永久掩盖盈利能力不足。</w:t>
      </w:r>
    </w:p>
    <w:p>
      <w:pPr>
        <w:pStyle w:val="Normal"/>
        <w:rPr/>
      </w:pPr>
      <w:r>
        <w:rPr/>
        <w:t>乐观情景要求交付与毛利同时提高，一年六十八万辆、汽车毛利</w:t>
      </w:r>
      <w:r>
        <w:rPr/>
        <w:t>20%</w:t>
      </w:r>
      <w:r>
        <w:rPr/>
        <w:t>，三年一百一十万辆、</w:t>
      </w:r>
      <w:r>
        <w:rPr/>
        <w:t>22%</w:t>
      </w:r>
      <w:r>
        <w:rPr/>
        <w:t>，五年一百五十五万辆、</w:t>
      </w:r>
      <w:r>
        <w:rPr/>
        <w:t>22.5%</w:t>
      </w:r>
      <w:r>
        <w:rPr/>
        <w:t>，正常归母分别</w:t>
      </w:r>
      <w:r>
        <w:rPr/>
        <w:t>109.6394</w:t>
      </w:r>
      <w:r>
        <w:rPr/>
        <w:t>、</w:t>
      </w:r>
      <w:r>
        <w:rPr/>
        <w:t>254.725</w:t>
      </w:r>
      <w:r>
        <w:rPr/>
        <w:t>、</w:t>
      </w:r>
      <w:r>
        <w:rPr/>
        <w:t>390.22</w:t>
      </w:r>
      <w:r>
        <w:rPr/>
        <w:t>亿元。研发、渠道、资本和现金储备也明显提高，未把增长收入全部当利润。这样高的结果需要产品、制造、服务与海外多项成功，属于高要求路线。</w:t>
      </w:r>
    </w:p>
    <w:p>
      <w:pPr>
        <w:pStyle w:val="Normal"/>
        <w:rPr/>
      </w:pPr>
      <w:r>
        <w:rPr/>
        <w:t>悲观交付从年底三十二万辆下降到五年二十万辆，净</w:t>
      </w:r>
      <w:r>
        <w:rPr/>
        <w:t>ASP</w:t>
      </w:r>
      <w:r>
        <w:rPr/>
        <w:t>和毛利同时受压，费用较难下降，正常亏损不断累积。三至五年调整现金与经营价值不足支撑股东权益，目标截零。零价是该压力资本模型的剩余权益表达，非断言企业必然破产或精确交易价；未来若融资救助，必须增加现金和股份，不能继续保留原分母计算所谓恢复空间。</w:t>
      </w:r>
    </w:p>
    <w:p>
      <w:pPr>
        <w:pStyle w:val="Normal"/>
        <w:rPr/>
      </w:pPr>
      <w:r>
        <w:rPr/>
        <w:t>现金桥以六月非受限现金</w:t>
      </w:r>
      <w:r>
        <w:rPr/>
        <w:t>874.76</w:t>
      </w:r>
      <w:r>
        <w:rPr/>
        <w:t>亿元为锚，减本金、融资租和少数现金准备，按六月后变化和锁定后正常现金积累调整，再扣必要储备、额外投资、回购及累计股息。经营成本保留</w:t>
      </w:r>
      <w:r>
        <w:rPr/>
        <w:t>USGAAP</w:t>
      </w:r>
      <w:r>
        <w:rPr/>
        <w:t>租赁，</w:t>
      </w:r>
      <w:r>
        <w:rPr/>
        <w:t>DA</w:t>
      </w:r>
      <w:r>
        <w:rPr/>
        <w:t>加回不含经营</w:t>
      </w:r>
      <w:r>
        <w:rPr/>
        <w:t>ROU</w:t>
      </w:r>
      <w:r>
        <w:rPr/>
        <w:t>，未来融资租与借款息扣现金。它是有明确口径的简化现金代理，需要后续实际账期与成本替换。</w:t>
      </w:r>
    </w:p>
    <w:p>
      <w:pPr>
        <w:pStyle w:val="Normal"/>
        <w:rPr/>
      </w:pPr>
      <w:r>
        <w:rPr/>
        <w:t>年底基准销售倍数每变</w:t>
      </w:r>
      <w:r>
        <w:rPr/>
        <w:t>0.10</w:t>
      </w:r>
      <w:r>
        <w:rPr/>
        <w:t>倍，在其他输入不变情况下经营价值约变</w:t>
      </w:r>
      <w:r>
        <w:rPr/>
        <w:t>102.5</w:t>
      </w:r>
      <w:r>
        <w:rPr/>
        <w:t>亿元人民币，折合每股约</w:t>
      </w:r>
      <w:r>
        <w:rPr/>
        <w:t>5.45</w:t>
      </w:r>
      <w:r>
        <w:rPr/>
        <w:t>港元；汽车毛利每变一个百分点，约变</w:t>
      </w:r>
      <w:r>
        <w:rPr/>
        <w:t>9.6</w:t>
      </w:r>
      <w:r>
        <w:rPr/>
        <w:t>亿元正常经营收益并影响现金。本章使用单套活动模型允许这些驱动修改，但销售倍数与毛利不是完全独立的商业世界，毛利恶化通常也会降低倍数。敏感性数值用于理解假设，不预测现实按线性变化。</w:t>
      </w:r>
    </w:p>
    <w:p>
      <w:pPr>
        <w:pStyle w:val="Heading2"/>
        <w:rPr/>
      </w:pPr>
      <w:r>
        <w:rPr>
          <w:color w:val="000000"/>
        </w:rPr>
        <w:t>十二 四期限收益来源和失败路径</w:t>
      </w:r>
    </w:p>
    <w:p>
      <w:pPr>
        <w:pStyle w:val="Normal"/>
        <w:rPr/>
      </w:pPr>
      <w:r>
        <w:rPr/>
        <w:t>半年目标</w:t>
      </w:r>
      <w:r>
        <w:rPr/>
        <w:t>16.62</w:t>
      </w:r>
      <w:r>
        <w:rPr/>
        <w:t>、</w:t>
      </w:r>
      <w:r>
        <w:rPr/>
        <w:t>58.87</w:t>
      </w:r>
      <w:r>
        <w:rPr/>
        <w:t>、</w:t>
      </w:r>
      <w:r>
        <w:rPr/>
        <w:t>118.99</w:t>
      </w:r>
      <w:r>
        <w:rPr/>
        <w:t>港元，对应负</w:t>
      </w:r>
      <w:r>
        <w:rPr/>
        <w:t>62.79%</w:t>
      </w:r>
      <w:r>
        <w:rPr/>
        <w:t>、正</w:t>
      </w:r>
      <w:r>
        <w:rPr/>
        <w:t>31.82%</w:t>
      </w:r>
      <w:r>
        <w:rPr/>
        <w:t>、正</w:t>
      </w:r>
      <w:r>
        <w:rPr/>
        <w:t>166.44%</w:t>
      </w:r>
      <w:r>
        <w:rPr/>
        <w:t>。基准来自产品与毛利逐步修复、现金纪律和</w:t>
      </w:r>
      <w:r>
        <w:rPr/>
        <w:t>0.65</w:t>
      </w:r>
      <w:r>
        <w:rPr/>
        <w:t>倍经营销售估值，乐观同时要求明显规模和盈利改善。半年技术权重</w:t>
      </w:r>
      <w:r>
        <w:rPr/>
        <w:t>30%</w:t>
      </w:r>
      <w:r>
        <w:rPr/>
        <w:t>，经营亏损与日周下降令总分</w:t>
      </w:r>
      <w:r>
        <w:rPr/>
        <w:t>56.4</w:t>
      </w:r>
      <w:r>
        <w:rPr/>
        <w:t>；上涨空间存在，但不足以盖过产品和执行风险。</w:t>
      </w:r>
    </w:p>
    <w:p>
      <w:pPr>
        <w:pStyle w:val="Normal"/>
        <w:rPr/>
      </w:pPr>
      <w:r>
        <w:rPr/>
        <w:t>半年催化剂包括新</w:t>
      </w:r>
      <w:r>
        <w:rPr/>
        <w:t>L6</w:t>
      </w:r>
      <w:r>
        <w:rPr/>
        <w:t>、纯电更新和</w:t>
      </w:r>
      <w:r>
        <w:rPr/>
        <w:t>i9</w:t>
      </w:r>
      <w:r>
        <w:rPr/>
        <w:t>的持续交付、真实季度毛利、费用和现金，以及关键阻力修复。模型没有承诺尚未公布的季度日期和销量，未来公告是验证点。若交付增加却净</w:t>
      </w:r>
      <w:r>
        <w:rPr/>
        <w:t>ASP</w:t>
      </w:r>
      <w:r>
        <w:rPr/>
        <w:t>、毛利进一步下降，应降低增长质量评分；若反弹没有量能及经营支持，也不应把估值修复升级为稳定成长趋势。</w:t>
      </w:r>
    </w:p>
    <w:p>
      <w:pPr>
        <w:pStyle w:val="Normal"/>
        <w:rPr/>
      </w:pPr>
      <w:r>
        <w:rPr/>
        <w:t>一年目标</w:t>
      </w:r>
      <w:r>
        <w:rPr/>
        <w:t>9.59</w:t>
      </w:r>
      <w:r>
        <w:rPr/>
        <w:t>、</w:t>
      </w:r>
      <w:r>
        <w:rPr/>
        <w:t>69.93</w:t>
      </w:r>
      <w:r>
        <w:rPr/>
        <w:t>、</w:t>
      </w:r>
      <w:r>
        <w:rPr/>
        <w:t>141.43</w:t>
      </w:r>
      <w:r>
        <w:rPr/>
        <w:t>港元，基准股价回报</w:t>
      </w:r>
      <w:r>
        <w:rPr/>
        <w:t>56.58%</w:t>
      </w:r>
      <w:r>
        <w:rPr/>
        <w:t>，不假设股息。更多季度可以检验产品组合、渠道效率及研发成果，正常盈利刚转正仍需后续持续扩大。</w:t>
      </w:r>
      <w:r>
        <w:rPr/>
        <w:t>61.1</w:t>
      </w:r>
      <w:r>
        <w:rPr/>
        <w:t>分反映产品与现金有优势、盈利和竞争待验证。失败路径是新增车型内部替代高于新增需求，技术配置成本高、渠道激励无法提高转化，亏损持续。</w:t>
      </w:r>
    </w:p>
    <w:p>
      <w:pPr>
        <w:pStyle w:val="Normal"/>
        <w:rPr/>
      </w:pPr>
      <w:r>
        <w:rPr/>
        <w:t>三年基准</w:t>
      </w:r>
      <w:r>
        <w:rPr/>
        <w:t>92.79</w:t>
      </w:r>
      <w:r>
        <w:rPr/>
        <w:t>港元、累计股息</w:t>
      </w:r>
      <w:r>
        <w:rPr/>
        <w:t>0.60</w:t>
      </w:r>
      <w:r>
        <w:rPr/>
        <w:t>港元，含息回报</w:t>
      </w:r>
      <w:r>
        <w:rPr/>
        <w:t>109.11%</w:t>
      </w:r>
      <w:r>
        <w:rPr/>
        <w:t>、年化</w:t>
      </w:r>
      <w:r>
        <w:rPr/>
        <w:t>27.88%</w:t>
      </w:r>
      <w:r>
        <w:rPr/>
        <w:t>。推荐</w:t>
      </w:r>
      <w:r>
        <w:rPr/>
        <w:t>65.3</w:t>
      </w:r>
      <w:r>
        <w:rPr/>
        <w:t>分来自更充分的产品迭代和规模杠杆空间，但不假设所有新业务都会成功。市场若只维持较低销售倍数，或者经营利润率无法提高到模型水平，实际回报会显著偏低。持有三年增加验证机会，也增加车型、技术和政策变化次数。</w:t>
      </w:r>
    </w:p>
    <w:p>
      <w:pPr>
        <w:pStyle w:val="Normal"/>
        <w:rPr/>
      </w:pPr>
      <w:r>
        <w:rPr/>
        <w:t>三年乐观</w:t>
      </w:r>
      <w:r>
        <w:rPr/>
        <w:t>201.22</w:t>
      </w:r>
      <w:r>
        <w:rPr/>
        <w:t>港元需要远高于基准的收入和利润，部分来自多车型与海外推进；悲观零价包括持续亏损、营运和研发消耗，并无长期分红。资本约束较差时企业可以融资或重组，但原股东可能被稀释。投资者不能只从“现金八百多亿”推断不可能进入压力情景，现金属于可消耗资源，不是不会变动的资产承诺。</w:t>
      </w:r>
    </w:p>
    <w:p>
      <w:pPr>
        <w:pStyle w:val="Normal"/>
        <w:rPr/>
      </w:pPr>
      <w:r>
        <w:rPr/>
        <w:t>五年基准</w:t>
      </w:r>
      <w:r>
        <w:rPr/>
        <w:t>101.60</w:t>
      </w:r>
      <w:r>
        <w:rPr/>
        <w:t>港元、累计息</w:t>
      </w:r>
      <w:r>
        <w:rPr/>
        <w:t>1.80</w:t>
      </w:r>
      <w:r>
        <w:rPr/>
        <w:t>港元，含息总回报</w:t>
      </w:r>
      <w:r>
        <w:rPr/>
        <w:t>131.53%</w:t>
      </w:r>
      <w:r>
        <w:rPr/>
        <w:t>、年化</w:t>
      </w:r>
      <w:r>
        <w:rPr/>
        <w:t>18.28%</w:t>
      </w:r>
      <w:r>
        <w:rPr/>
        <w:t>，评分</w:t>
      </w:r>
      <w:r>
        <w:rPr/>
        <w:t>65.1</w:t>
      </w:r>
      <w:r>
        <w:rPr/>
        <w:t>略低于三年。经营规模提高但成熟倍数降低，更多资本、研发和稀释累积，故股价不会简单跟随收入成倍增长。长期收益来源由车型恢复逐渐转向正常现金回报，若没有利润质量与资本纪律，持有时间本身不会创造复利。</w:t>
      </w:r>
    </w:p>
    <w:p>
      <w:pPr>
        <w:pStyle w:val="Normal"/>
        <w:rPr/>
      </w:pPr>
      <w:r>
        <w:rPr/>
        <w:t>未来股息全部是研究假设，当前亏损阶段没有把现金储备视作必须分红的依据。模型先扣派息现金再加股东总回报，回购也扣现金并减股数。若真实管理层选择更大</w:t>
      </w:r>
      <w:r>
        <w:rPr/>
        <w:t>AI</w:t>
      </w:r>
      <w:r>
        <w:rPr/>
        <w:t>和海外投资，应调整资本与股息同时重新算目标，不能沿用相同分红和现金余额。收益比较需要保持每个期限分配口径一致。</w:t>
      </w:r>
    </w:p>
    <w:p>
      <w:pPr>
        <w:pStyle w:val="Heading2"/>
        <w:rPr/>
      </w:pPr>
      <w:r>
        <w:rPr>
          <w:color w:val="000000"/>
        </w:rPr>
        <w:t>十三 年底专项和外资目标</w:t>
      </w:r>
    </w:p>
    <w:p>
      <w:pPr>
        <w:pStyle w:val="Normal"/>
        <w:rPr/>
      </w:pPr>
      <w:r>
        <w:rPr/>
        <w:t>2026</w:t>
      </w:r>
      <w:r>
        <w:rPr/>
        <w:t>年香港最后交易日三情景</w:t>
      </w:r>
      <w:r>
        <w:rPr/>
        <w:t>22.15</w:t>
      </w:r>
      <w:r>
        <w:rPr/>
        <w:t>、</w:t>
      </w:r>
      <w:r>
        <w:rPr/>
        <w:t>52.34</w:t>
      </w:r>
      <w:r>
        <w:rPr/>
        <w:t>、</w:t>
      </w:r>
      <w:r>
        <w:rPr/>
        <w:t>94.73</w:t>
      </w:r>
      <w:r>
        <w:rPr/>
        <w:t>港元，相对现价负</w:t>
      </w:r>
      <w:r>
        <w:rPr/>
        <w:t>50.40%</w:t>
      </w:r>
      <w:r>
        <w:rPr/>
        <w:t>、正</w:t>
      </w:r>
      <w:r>
        <w:rPr/>
        <w:t>17.20%</w:t>
      </w:r>
      <w:r>
        <w:rPr/>
        <w:t>、正</w:t>
      </w:r>
      <w:r>
        <w:rPr/>
        <w:t>112.11%</w:t>
      </w:r>
      <w:r>
        <w:rPr/>
        <w:t>。基准正常经营仍亏损，由可归属调整现金及较低经营销售估值支撑价值。年底剩余信息有限，股价重估可以快也可以慢，不把十二个月机构目标按剩余月份缩放，不把年底价理解为沿平滑路线形成。</w:t>
      </w:r>
    </w:p>
    <w:p>
      <w:pPr>
        <w:pStyle w:val="Normal"/>
        <w:rPr/>
      </w:pPr>
      <w:r>
        <w:rPr/>
        <w:t>悲观年底要求价格竞争和车型组合压低</w:t>
      </w:r>
      <w:r>
        <w:rPr/>
        <w:t>ASP</w:t>
      </w:r>
      <w:r>
        <w:rPr/>
        <w:t>及毛利、研发和销售难收缩，现金储备上升且六月后消耗偏大；市场给予</w:t>
      </w:r>
      <w:r>
        <w:rPr/>
        <w:t>0.18</w:t>
      </w:r>
      <w:r>
        <w:rPr/>
        <w:t>倍经营销售估值。它保留一定品牌及生产业务价值，但普通股仍有约一半损失。基准要求毛利边际恢复、销量维持、成本和回购可控；乐观需要更高交付、单车收入、利润及市场认同同时发生。</w:t>
      </w:r>
    </w:p>
    <w:p>
      <w:pPr>
        <w:pStyle w:val="Normal"/>
        <w:rPr/>
      </w:pPr>
      <w:r>
        <w:rPr/>
        <w:t>悲观</w:t>
      </w:r>
      <w:r>
        <w:rPr/>
        <w:t>25%</w:t>
      </w:r>
      <w:r>
        <w:rPr/>
        <w:t>、基准</w:t>
      </w:r>
      <w:r>
        <w:rPr/>
        <w:t>50%</w:t>
      </w:r>
      <w:r>
        <w:rPr/>
        <w:t>、乐观</w:t>
      </w:r>
      <w:r>
        <w:rPr/>
        <w:t>25%</w:t>
      </w:r>
      <w:r>
        <w:rPr/>
        <w:t>权重产生期望</w:t>
      </w:r>
      <w:r>
        <w:rPr/>
        <w:t>55.39</w:t>
      </w:r>
      <w:r>
        <w:rPr/>
        <w:t>港元，期望股价回报</w:t>
      </w:r>
      <w:r>
        <w:rPr/>
        <w:t>24.03%</w:t>
      </w:r>
      <w:r>
        <w:rPr/>
        <w:t>。这是主观研究权重，不能称作统计概率、置信区间或最大损失界限。实际投资者只会经历一种结果路径，并不会在年底收到加权平均价。极端安全、政策或流动性事件可以令价格超出设定区间，因此回报空间必须结合反证条件使用。</w:t>
      </w:r>
    </w:p>
    <w:p>
      <w:pPr>
        <w:pStyle w:val="Normal"/>
        <w:rPr/>
      </w:pPr>
      <w:r>
        <w:rPr/>
        <w:t>防御权重</w:t>
      </w:r>
      <w:r>
        <w:rPr/>
        <w:t>40%</w:t>
      </w:r>
      <w:r>
        <w:rPr/>
        <w:t>、</w:t>
      </w:r>
      <w:r>
        <w:rPr/>
        <w:t>50%</w:t>
      </w:r>
      <w:r>
        <w:rPr/>
        <w:t>、</w:t>
      </w:r>
      <w:r>
        <w:rPr/>
        <w:t>10%</w:t>
      </w:r>
      <w:r>
        <w:rPr/>
        <w:t>得到</w:t>
      </w:r>
      <w:r>
        <w:rPr/>
        <w:t>44.503</w:t>
      </w:r>
      <w:r>
        <w:rPr/>
        <w:t>港元，相对现价负</w:t>
      </w:r>
      <w:r>
        <w:rPr/>
        <w:t>0.35%</w:t>
      </w:r>
      <w:r>
        <w:rPr/>
        <w:t>；积极</w:t>
      </w:r>
      <w:r>
        <w:rPr/>
        <w:t>10%</w:t>
      </w:r>
      <w:r>
        <w:rPr/>
        <w:t>、</w:t>
      </w:r>
      <w:r>
        <w:rPr/>
        <w:t>50%</w:t>
      </w:r>
      <w:r>
        <w:rPr/>
        <w:t>、</w:t>
      </w:r>
      <w:r>
        <w:rPr/>
        <w:t>40%</w:t>
      </w:r>
      <w:r>
        <w:rPr/>
        <w:t>得到</w:t>
      </w:r>
      <w:r>
        <w:rPr/>
        <w:t>66.277</w:t>
      </w:r>
      <w:r>
        <w:rPr/>
        <w:t>港元、正</w:t>
      </w:r>
      <w:r>
        <w:rPr/>
        <w:t>48.40%</w:t>
      </w:r>
      <w:r>
        <w:rPr/>
        <w:t>。仅改变尾部意见，期望结果从近乎无回报到明显上涨，说明结论对乐观路线可信度敏感。投资者需要先检查毛利和产品，而不是挑选最有利的权重来证明购买合理。</w:t>
      </w:r>
    </w:p>
    <w:p>
      <w:pPr>
        <w:pStyle w:val="Normal"/>
        <w:rPr/>
      </w:pPr>
      <w:r>
        <w:rPr/>
        <w:t>公开外资最新可核验记录中，大摩九月十六日将港元目标从</w:t>
      </w:r>
      <w:r>
        <w:rPr/>
        <w:t>78.5</w:t>
      </w:r>
      <w:r>
        <w:rPr/>
        <w:t>降至</w:t>
      </w:r>
      <w:r>
        <w:rPr/>
        <w:t>68.5</w:t>
      </w:r>
      <w:r>
        <w:rPr/>
        <w:t>，评级增持；高盛八月二十八日从</w:t>
      </w:r>
      <w:r>
        <w:rPr/>
        <w:t>61</w:t>
      </w:r>
      <w:r>
        <w:rPr/>
        <w:t>降至</w:t>
      </w:r>
      <w:r>
        <w:rPr/>
        <w:t>55</w:t>
      </w:r>
      <w:r>
        <w:rPr/>
        <w:t>，评级中性。完整原始研报未取得，公开摘要未明确目标期限，不能擅自统一为十二个月。它们是市场观点参照，不是年底预测，本章保存新闻日期、代码和币种并将旧目标去重。</w:t>
      </w:r>
    </w:p>
    <w:p>
      <w:pPr>
        <w:pStyle w:val="Normal"/>
        <w:rPr/>
      </w:pPr>
      <w:r>
        <w:rPr/>
        <w:t>高盛摘要预期产品过渡和竞争、平均收入及毛利压力，并下修后续盈利，提供了重要反证。公开新闻披露其</w:t>
      </w:r>
      <w:r>
        <w:rPr/>
        <w:t>2026</w:t>
      </w:r>
      <w:r>
        <w:rPr/>
        <w:t>净亏损预测约三十八亿元、</w:t>
      </w:r>
      <w:r>
        <w:rPr/>
        <w:t>2027</w:t>
      </w:r>
      <w:r>
        <w:rPr/>
        <w:t>约三亿元亏损、</w:t>
      </w:r>
      <w:r>
        <w:rPr/>
        <w:t>2028</w:t>
      </w:r>
      <w:r>
        <w:rPr/>
        <w:t>约四十亿元利润，均为机构判断而非公司保证。本章正常经营利润排财资和税时差，期间使用目标</w:t>
      </w:r>
      <w:r>
        <w:rPr/>
        <w:t>NTM</w:t>
      </w:r>
      <w:r>
        <w:rPr/>
        <w:t>年率，因此不与机构年度法定利润直接比较数字大小。</w:t>
      </w:r>
    </w:p>
    <w:p>
      <w:pPr>
        <w:pStyle w:val="Normal"/>
        <w:rPr/>
      </w:pPr>
      <w:r>
        <w:rPr/>
        <w:t>中金八月二十八日港元目标</w:t>
      </w:r>
      <w:r>
        <w:rPr/>
        <w:t>68</w:t>
      </w:r>
      <w:r>
        <w:rPr/>
        <w:t>、跑赢行业，作为中资机构另列，未冒称外资。其公开新闻存在上半年与二季度收入降幅混写，本章仅记录可核验目标和评级，财务依公司原件。美国</w:t>
      </w:r>
      <w:r>
        <w:rPr/>
        <w:t>ADS</w:t>
      </w:r>
      <w:r>
        <w:rPr/>
        <w:t>目标涉及两股换算与美元汇率，不进入本章港元共识。目标价接近不说明模型相同，原报告缺失时不能编造机构收入与现金假设。</w:t>
      </w:r>
    </w:p>
    <w:p>
      <w:pPr>
        <w:pStyle w:val="Normal"/>
        <w:rPr/>
      </w:pPr>
      <w:r>
        <w:rPr/>
        <w:t>本章一年基准</w:t>
      </w:r>
      <w:r>
        <w:rPr/>
        <w:t>69.93</w:t>
      </w:r>
      <w:r>
        <w:rPr/>
        <w:t>港元略高于这些公开目标，年底</w:t>
      </w:r>
      <w:r>
        <w:rPr/>
        <w:t>52.34</w:t>
      </w:r>
      <w:r>
        <w:rPr/>
        <w:t>接近高盛观点，形成相互检查但不是由机构平均生成。差异主要来自产品规模、正常毛利、销售估值及受约束现金，而非简单评级偏好。以后获得新报告应检查模型信息是否有遗漏，若公司事实改变，独立模型也需更新；知名机构名称本身不能替代现金与盈利核验。</w:t>
      </w:r>
    </w:p>
    <w:p>
      <w:pPr>
        <w:pStyle w:val="Heading2"/>
        <w:rPr/>
      </w:pPr>
      <w:r>
        <w:rPr>
          <w:color w:val="000000"/>
        </w:rPr>
        <w:t>十四 评分依据 风险与推翻推荐的条件</w:t>
      </w:r>
    </w:p>
    <w:p>
      <w:pPr>
        <w:pStyle w:val="Normal"/>
        <w:rPr/>
      </w:pPr>
      <w:r>
        <w:rPr/>
        <w:t>半年六维分数为估值</w:t>
      </w:r>
      <w:r>
        <w:rPr/>
        <w:t>2.8</w:t>
      </w:r>
      <w:r>
        <w:rPr/>
        <w:t>、技术</w:t>
      </w:r>
      <w:r>
        <w:rPr/>
        <w:t>2.4</w:t>
      </w:r>
      <w:r>
        <w:rPr/>
        <w:t>、经营</w:t>
      </w:r>
      <w:r>
        <w:rPr/>
        <w:t>2.8</w:t>
      </w:r>
      <w:r>
        <w:rPr/>
        <w:t>、行业</w:t>
      </w:r>
      <w:r>
        <w:rPr/>
        <w:t>2.7</w:t>
      </w:r>
      <w:r>
        <w:rPr/>
        <w:t>、催化</w:t>
      </w:r>
      <w:r>
        <w:rPr/>
        <w:t>3.6</w:t>
      </w:r>
      <w:r>
        <w:rPr/>
        <w:t>、风险防护</w:t>
      </w:r>
      <w:r>
        <w:rPr/>
        <w:t>3.5</w:t>
      </w:r>
      <w:r>
        <w:rPr/>
        <w:t>，按用户权重合计</w:t>
      </w:r>
      <w:r>
        <w:rPr/>
        <w:t>56.4</w:t>
      </w:r>
      <w:r>
        <w:rPr/>
        <w:t>。估值没有因为回撤大而给高分，盈利尚负与销售法敏感性限制确信度；催化较高来自真实车型周期；风险防护认可现金缓冲但不忽略供应、保修与治理。评分表示相对研究评价，不解释为获利概率。</w:t>
      </w:r>
    </w:p>
    <w:p>
      <w:pPr>
        <w:pStyle w:val="Normal"/>
        <w:rPr/>
      </w:pPr>
      <w:r>
        <w:rPr/>
        <w:t>一年六维</w:t>
      </w:r>
      <w:r>
        <w:rPr/>
        <w:t>3.2</w:t>
      </w:r>
      <w:r>
        <w:rPr/>
        <w:t>、</w:t>
      </w:r>
      <w:r>
        <w:rPr/>
        <w:t>2.4</w:t>
      </w:r>
      <w:r>
        <w:rPr/>
        <w:t>、</w:t>
      </w:r>
      <w:r>
        <w:rPr/>
        <w:t>3.0</w:t>
      </w:r>
      <w:r>
        <w:rPr/>
        <w:t>、</w:t>
      </w:r>
      <w:r>
        <w:rPr/>
        <w:t>2.9</w:t>
      </w:r>
      <w:r>
        <w:rPr/>
        <w:t>、</w:t>
      </w:r>
      <w:r>
        <w:rPr/>
        <w:t>3.8</w:t>
      </w:r>
      <w:r>
        <w:rPr/>
        <w:t>、</w:t>
      </w:r>
      <w:r>
        <w:rPr/>
        <w:t>3.3</w:t>
      </w:r>
      <w:r>
        <w:rPr/>
        <w:t>，总</w:t>
      </w:r>
      <w:r>
        <w:rPr/>
        <w:t>61.1</w:t>
      </w:r>
      <w:r>
        <w:rPr/>
        <w:t>；三年</w:t>
      </w:r>
      <w:r>
        <w:rPr/>
        <w:t>3.4</w:t>
      </w:r>
      <w:r>
        <w:rPr/>
        <w:t>、</w:t>
      </w:r>
      <w:r>
        <w:rPr/>
        <w:t>2.4</w:t>
      </w:r>
      <w:r>
        <w:rPr/>
        <w:t>、</w:t>
      </w:r>
      <w:r>
        <w:rPr/>
        <w:t>3.3</w:t>
      </w:r>
      <w:r>
        <w:rPr/>
        <w:t>、</w:t>
      </w:r>
      <w:r>
        <w:rPr/>
        <w:t>3.2</w:t>
      </w:r>
      <w:r>
        <w:rPr/>
        <w:t>、</w:t>
      </w:r>
      <w:r>
        <w:rPr/>
        <w:t>3.8</w:t>
      </w:r>
      <w:r>
        <w:rPr/>
        <w:t>、</w:t>
      </w:r>
      <w:r>
        <w:rPr/>
        <w:t>3.1</w:t>
      </w:r>
      <w:r>
        <w:rPr/>
        <w:t>，总</w:t>
      </w:r>
      <w:r>
        <w:rPr/>
        <w:t>65.3</w:t>
      </w:r>
      <w:r>
        <w:rPr/>
        <w:t>；五年</w:t>
      </w:r>
      <w:r>
        <w:rPr/>
        <w:t>3.3</w:t>
      </w:r>
      <w:r>
        <w:rPr/>
        <w:t>、</w:t>
      </w:r>
      <w:r>
        <w:rPr/>
        <w:t>2.4</w:t>
      </w:r>
      <w:r>
        <w:rPr/>
        <w:t>、</w:t>
      </w:r>
      <w:r>
        <w:rPr/>
        <w:t>3.4</w:t>
      </w:r>
      <w:r>
        <w:rPr/>
        <w:t>、</w:t>
      </w:r>
      <w:r>
        <w:rPr/>
        <w:t>3.1</w:t>
      </w:r>
      <w:r>
        <w:rPr/>
        <w:t>、</w:t>
      </w:r>
      <w:r>
        <w:rPr/>
        <w:t>3.6</w:t>
      </w:r>
      <w:r>
        <w:rPr/>
        <w:t>、</w:t>
      </w:r>
      <w:r>
        <w:rPr/>
        <w:t>2.9</w:t>
      </w:r>
      <w:r>
        <w:rPr/>
        <w:t>，总</w:t>
      </w:r>
      <w:r>
        <w:rPr/>
        <w:t>65.1</w:t>
      </w:r>
      <w:r>
        <w:rPr/>
        <w:t>。五年技术权重零，保留技术事实但不计分。期限延长给经营验证更多时间，也提高资本配置与治理重要性，所以长期得分不会机械持续上升。</w:t>
      </w:r>
    </w:p>
    <w:p>
      <w:pPr>
        <w:pStyle w:val="Normal"/>
        <w:rPr/>
      </w:pPr>
      <w:r>
        <w:rPr/>
        <w:t>最核心反证是毛利无法恢复。如果新产品交付增长仍伴随净</w:t>
      </w:r>
      <w:r>
        <w:rPr/>
        <w:t>ASP</w:t>
      </w:r>
      <w:r>
        <w:rPr/>
        <w:t>下降、配置成本上升和车辆毛利低位，就应降低正常收入与盈利假设。经营费用缩减只能提供有限帮助，大额研发和售后不可永久取消。模型在一年刚转正阶段隐含</w:t>
      </w:r>
      <w:r>
        <w:rPr/>
        <w:t>PE</w:t>
      </w:r>
      <w:r>
        <w:rPr/>
        <w:t>很高，需要后续盈利兑现；若不兑现，销售倍数应降低而非继续等待无期限恢复。</w:t>
      </w:r>
    </w:p>
    <w:p>
      <w:pPr>
        <w:pStyle w:val="Normal"/>
        <w:rPr/>
      </w:pPr>
      <w:r>
        <w:rPr/>
        <w:t>第二类反证是产品组合与渠道。若</w:t>
      </w:r>
      <w:r>
        <w:rPr/>
        <w:t>L6</w:t>
      </w:r>
      <w:r>
        <w:rPr/>
        <w:t>等大众车型主要替代原高价车型、纯电不能形成稳定需求、旗舰销量不足覆盖投入，规模与毛利就难同时提升。若门店减少伴随转化下降或售后体验变差，应调整效率评价。公司发布参数和店数不够，收入、毛利、服务质量和用户信任才构成持续证据。</w:t>
      </w:r>
    </w:p>
    <w:p>
      <w:pPr>
        <w:pStyle w:val="Normal"/>
        <w:rPr/>
      </w:pPr>
      <w:r>
        <w:rPr/>
        <w:t>第三类反证是现金消耗。经营亏损、资本现金、供应商账期、保修和回购若使季度消耗高于模型，必要现金缓冲会缩小。十月实时现金缺失是本章重要限制，不能因六月数额大就忽略后续。融资可以解决流动性，但新增本金或股份必须进入估值，不能在风险段承认融资然后在目标分母保留原股数。</w:t>
      </w:r>
    </w:p>
    <w:p>
      <w:pPr>
        <w:pStyle w:val="Normal"/>
        <w:rPr/>
      </w:pPr>
      <w:r>
        <w:rPr/>
        <w:t>第四类反证涉及安全、合规和技术。严重产品缺陷、保修支出、辅助驾驶问题或软件服务不达预期，会伤害家庭品牌并提升成本。公司技术宣称需要实际产品与独立验证，不能因自研芯片参数强就排除安全风险。研究不提前断言事件会发生，而是明确如果发生，毛利、费用、资本与估值都需要重新评估。</w:t>
      </w:r>
    </w:p>
    <w:p>
      <w:pPr>
        <w:pStyle w:val="Normal"/>
        <w:rPr/>
      </w:pPr>
      <w:r>
        <w:rPr/>
        <w:t>第五类反证是治理与资本配置。长期不断扩张新业务却不能提高每股现金回报、股酬超过经营改善、库存转售稀释或高价回购耗尽缓冲，都削弱股东价值。</w:t>
      </w:r>
      <w:r>
        <w:rPr/>
        <w:t>WVR</w:t>
      </w:r>
      <w:r>
        <w:rPr/>
        <w:t>提高战略连续性，同时要求普通投资者主动检查经济利益。高增长行业不能替错误资本动作提供永久免责，三五年评分的风险维度因而下降。</w:t>
      </w:r>
    </w:p>
    <w:p>
      <w:pPr>
        <w:pStyle w:val="Normal"/>
        <w:rPr/>
      </w:pPr>
      <w:r>
        <w:rPr/>
        <w:t>技术失效条件包括跌破</w:t>
      </w:r>
      <w:r>
        <w:rPr/>
        <w:t>41.70</w:t>
      </w:r>
      <w:r>
        <w:rPr/>
        <w:t>后无法收复、下跌量扩大且相对指数继续弱，或者股价反弹却无法在</w:t>
      </w:r>
      <w:r>
        <w:rPr/>
        <w:t>48.46</w:t>
      </w:r>
      <w:r>
        <w:rPr/>
        <w:t>及</w:t>
      </w:r>
      <w:r>
        <w:rPr/>
        <w:t>60</w:t>
      </w:r>
      <w:r>
        <w:rPr/>
        <w:t>日线之上稳定。改善条件是低点抬高、均线转平、突破有持续量能并配合经营毛利兑现。没有自由流通换手和逐笔资料，本章不做精确筹码判断，不以量价直接断言资金身份。技术与基本面反证需分别更新，不能只选择支持持仓的指标。</w:t>
      </w:r>
    </w:p>
    <w:p>
      <w:pPr>
        <w:pStyle w:val="Heading2"/>
        <w:rPr/>
      </w:pPr>
      <w:r>
        <w:rPr>
          <w:color w:val="000000"/>
        </w:rPr>
        <w:t>十五 十年展望与更新路线</w:t>
      </w:r>
    </w:p>
    <w:p>
      <w:pPr>
        <w:pStyle w:val="Normal"/>
        <w:rPr/>
      </w:pPr>
      <w:r>
        <w:rPr/>
        <w:t>十年经营可持续性取决于理想是否保持家庭产品信任，并把多车型、技术和服务转化为稳定现金。汽车市场不会因电动化完成而停止换车需求，但产品、渠道和智能化竞争会改变利润归属。增程可以继续有适用场景，纯电也会扩大，公司需要在两条路线保持资本效率，不能将当前强项或新投入直接视作十年护城河。</w:t>
      </w:r>
    </w:p>
    <w:p>
      <w:pPr>
        <w:pStyle w:val="Normal"/>
        <w:rPr/>
      </w:pPr>
      <w:r>
        <w:rPr/>
        <w:t>理想若成功形成共享平台、软硬件协同、可靠制造与高效售后，多车型可以提高规模并减少单位成本。若每次换代都需要新投入与大额降价，收入可能保持规模而资本回报偏低。十年研究重点是正常毛利与研发、资本和用户服务之间的关系，而不是产品数量或</w:t>
      </w:r>
      <w:r>
        <w:rPr/>
        <w:t>AI</w:t>
      </w:r>
      <w:r>
        <w:rPr/>
        <w:t>名词多少。经营利润最终要转成现金，再归属于合理股数。</w:t>
      </w:r>
    </w:p>
    <w:p>
      <w:pPr>
        <w:pStyle w:val="Normal"/>
        <w:rPr/>
      </w:pPr>
      <w:r>
        <w:rPr/>
        <w:t>长期海外业务提供额外市场，需要在当地服务、法规和供给上形成能力。国内成功经验可用于设计和效率，不保证消费者愿意支付相同溢价。经销商和当地伙伴能帮助起步，也分走部分利润，本章没有给十年单一机械股价。五年之后不确定性更大，适宜保留经营路线与反证，而不是按短期涨幅复利延伸。</w:t>
      </w:r>
    </w:p>
    <w:p>
      <w:pPr>
        <w:pStyle w:val="Normal"/>
        <w:rPr/>
      </w:pPr>
      <w:r>
        <w:rPr/>
        <w:t>理想较充裕的现金允许试错，试错是否有价值取决于反馈、止损和聚焦。</w:t>
      </w:r>
      <w:r>
        <w:rPr/>
        <w:t>AI</w:t>
      </w:r>
      <w:r>
        <w:rPr/>
        <w:t>眼镜、具身技术、充电自动化和海外如果缺乏清晰现金回报，应控制投入；如果核心车型被忽略，新业务也无法弥补品牌流失。普通股东需要看到管理层在技术愿景和资本回报之间保持纪律，</w:t>
      </w:r>
      <w:r>
        <w:rPr/>
        <w:t>WVR</w:t>
      </w:r>
      <w:r>
        <w:rPr/>
        <w:t>结构使这一判断更加重要。</w:t>
      </w:r>
    </w:p>
    <w:p>
      <w:pPr>
        <w:pStyle w:val="Normal"/>
        <w:rPr/>
      </w:pPr>
      <w:r>
        <w:rPr/>
        <w:t>下一次更新优先收集第三季度实际收入、车型组合、毛利、完整费用及现金，替换六月后净变动假设；再核验股数、库存和可转债，最后按锁定复权与股单位刷新日周量价。交付已达季度指引上端是事实，季度盈利结果仍缺失，研究不能用订单热度提前完成这些检查。新消息改变输入后，需要重跑一套活动模型保存新情景。</w:t>
      </w:r>
    </w:p>
    <w:p>
      <w:pPr>
        <w:pStyle w:val="Normal"/>
        <w:rPr/>
      </w:pPr>
      <w:r>
        <w:rPr/>
        <w:t>当前结论保持有条件的成长修复候选，三年稍优于半年。现价和现金提供一定空间，真实经营亏损、弱趋势及销售倍数的高隐含盈利要求限制确信度。未来产品、毛利与现金一起改善可以提高推荐；若出现关键反证，应降低目标和评分。投资逻辑需要能够被实际数据推翻，才不是把任何结果都解释为长期正确的故事。</w:t>
      </w:r>
    </w:p>
    <w:p>
      <w:pPr>
        <w:pStyle w:val="Heading2"/>
        <w:rPr/>
      </w:pPr>
      <w:r>
        <w:rPr>
          <w:color w:val="000000"/>
        </w:rPr>
        <w:t>来源与模型核验</w:t>
      </w:r>
    </w:p>
    <w:p>
      <w:pPr>
        <w:pStyle w:val="Normal"/>
        <w:rPr/>
      </w:pPr>
      <w:r>
        <w:rPr/>
        <w:t>本章财务事实主要来自交易所公司原件，保留香港发布时间及收盘后标记。机构目标为公开新闻转述，完整研报与最新摘要目标期限缺失。研究未使用</w:t>
      </w:r>
      <w:r>
        <w:rPr/>
        <w:t>2026</w:t>
      </w:r>
      <w:r>
        <w:rPr/>
        <w:t>年</w:t>
      </w:r>
      <w:r>
        <w:rPr/>
        <w:t>10</w:t>
      </w:r>
      <w:r>
        <w:rPr/>
        <w:t>月</w:t>
      </w:r>
      <w:r>
        <w:rPr/>
        <w:t>9</w:t>
      </w:r>
      <w:r>
        <w:rPr/>
        <w:t>日之后公开事实。</w:t>
      </w:r>
    </w:p>
    <w:p>
      <w:pPr>
        <w:pStyle w:val="Normal"/>
        <w:rPr/>
      </w:pPr>
      <w:r>
        <w:rPr/>
        <w:t>- 2025</w:t>
      </w:r>
      <w:r>
        <w:rPr/>
        <w:t>年年报，</w:t>
      </w:r>
      <w:r>
        <w:rPr/>
        <w:t>2026-04-10 16:36</w:t>
      </w:r>
      <w:r>
        <w:rPr/>
        <w:t>：</w:t>
      </w:r>
      <w:r>
        <w:rPr/>
        <w:t>[</w:t>
      </w:r>
      <w:r>
        <w:rPr/>
        <w:t>公司原件</w:t>
      </w:r>
      <w:r>
        <w:rPr/>
        <w:t>](https://www1.hkexnews.hk/listedco/listconews/sehk/2026/0410/2026041000366.pdf)</w:t>
      </w:r>
      <w:r>
        <w:rPr/>
        <w:t>。</w:t>
      </w:r>
    </w:p>
    <w:p>
      <w:pPr>
        <w:pStyle w:val="Normal"/>
        <w:rPr/>
      </w:pPr>
      <w:r>
        <w:rPr/>
        <w:t>- 2025</w:t>
      </w:r>
      <w:r>
        <w:rPr/>
        <w:t>年业绩，</w:t>
      </w:r>
      <w:r>
        <w:rPr/>
        <w:t>2026-03-12 16:30</w:t>
      </w:r>
      <w:r>
        <w:rPr/>
        <w:t>：</w:t>
      </w:r>
      <w:r>
        <w:rPr/>
        <w:t>[</w:t>
      </w:r>
      <w:r>
        <w:rPr/>
        <w:t>公司原件</w:t>
      </w:r>
      <w:r>
        <w:rPr/>
        <w:t>](https://www1.hkexnews.hk/listedco/listconews/sehk/2026/0312/2026031200310.pdf)</w:t>
      </w:r>
      <w:r>
        <w:rPr/>
        <w:t>。</w:t>
      </w:r>
    </w:p>
    <w:p>
      <w:pPr>
        <w:pStyle w:val="Normal"/>
        <w:rPr/>
      </w:pPr>
      <w:r>
        <w:rPr/>
        <w:t>- 2026</w:t>
      </w:r>
      <w:r>
        <w:rPr/>
        <w:t>年中报，</w:t>
      </w:r>
      <w:r>
        <w:rPr/>
        <w:t>2026-09-08 16:30</w:t>
      </w:r>
      <w:r>
        <w:rPr/>
        <w:t>：</w:t>
      </w:r>
      <w:r>
        <w:rPr/>
        <w:t>[</w:t>
      </w:r>
      <w:r>
        <w:rPr/>
        <w:t>公司原件</w:t>
      </w:r>
      <w:r>
        <w:rPr/>
        <w:t>](https://www1.hkexnews.hk/listedco/listconews/sehk/2026/0908/2026090800186.pdf)</w:t>
      </w:r>
      <w:r>
        <w:rPr/>
        <w:t>。</w:t>
      </w:r>
    </w:p>
    <w:p>
      <w:pPr>
        <w:pStyle w:val="Normal"/>
        <w:rPr/>
      </w:pPr>
      <w:r>
        <w:rPr/>
        <w:t>- 2026</w:t>
      </w:r>
      <w:r>
        <w:rPr/>
        <w:t>年中期业绩，</w:t>
      </w:r>
      <w:r>
        <w:rPr/>
        <w:t>2026-08-26 17:04</w:t>
      </w:r>
      <w:r>
        <w:rPr/>
        <w:t>：</w:t>
      </w:r>
      <w:r>
        <w:rPr/>
        <w:t>[</w:t>
      </w:r>
      <w:r>
        <w:rPr/>
        <w:t>公司原件</w:t>
      </w:r>
      <w:r>
        <w:rPr/>
        <w:t>](https://www1.hkexnews.hk/listedco/listconews/sehk/2026/0826/2026082600506.pdf)</w:t>
      </w:r>
      <w:r>
        <w:rPr/>
        <w:t>。</w:t>
      </w:r>
    </w:p>
    <w:p>
      <w:pPr>
        <w:pStyle w:val="Normal"/>
        <w:rPr/>
      </w:pPr>
      <w:r>
        <w:rPr/>
        <w:t>- 2026</w:t>
      </w:r>
      <w:r>
        <w:rPr/>
        <w:t>年二季度业绩，</w:t>
      </w:r>
      <w:r>
        <w:rPr/>
        <w:t>2026-08-26 16:30</w:t>
      </w:r>
      <w:r>
        <w:rPr/>
        <w:t>：</w:t>
      </w:r>
      <w:r>
        <w:rPr/>
        <w:t>[</w:t>
      </w:r>
      <w:r>
        <w:rPr/>
        <w:t>公司原件</w:t>
      </w:r>
      <w:r>
        <w:rPr/>
        <w:t>](https://www1.hkexnews.hk/listedco/listconews/sehk/2026/0826/2026082600316.pdf)</w:t>
      </w:r>
      <w:r>
        <w:rPr/>
        <w:t>。</w:t>
      </w:r>
    </w:p>
    <w:p>
      <w:pPr>
        <w:pStyle w:val="Normal"/>
        <w:rPr/>
      </w:pPr>
      <w:r>
        <w:rPr/>
        <w:t>- 2026</w:t>
      </w:r>
      <w:r>
        <w:rPr/>
        <w:t>年一季度业绩，</w:t>
      </w:r>
      <w:r>
        <w:rPr/>
        <w:t>2026-05-28 16:30</w:t>
      </w:r>
      <w:r>
        <w:rPr/>
        <w:t>：</w:t>
      </w:r>
      <w:r>
        <w:rPr/>
        <w:t>[</w:t>
      </w:r>
      <w:r>
        <w:rPr/>
        <w:t>公司原件</w:t>
      </w:r>
      <w:r>
        <w:rPr/>
        <w:t>](https://www1.hkexnews.hk/listedco/listconews/sehk/2026/0528/2026052800509.pdf)</w:t>
      </w:r>
      <w:r>
        <w:rPr/>
        <w:t>。</w:t>
      </w:r>
    </w:p>
    <w:p>
      <w:pPr>
        <w:pStyle w:val="Normal"/>
        <w:rPr/>
      </w:pPr>
      <w:r>
        <w:rPr/>
        <w:t xml:space="preserve">- </w:t>
      </w:r>
      <w:r>
        <w:rPr/>
        <w:t>九月交付，</w:t>
      </w:r>
      <w:r>
        <w:rPr/>
        <w:t>2026-10-01 18:12</w:t>
      </w:r>
      <w:r>
        <w:rPr/>
        <w:t>：</w:t>
      </w:r>
      <w:r>
        <w:rPr/>
        <w:t>[</w:t>
      </w:r>
      <w:r>
        <w:rPr/>
        <w:t>公司原件</w:t>
      </w:r>
      <w:r>
        <w:rPr/>
        <w:t>](https://www1.hkexnews.hk/listedco/listconews/sehk/2026/1001/2026100100037.pdf)</w:t>
      </w:r>
      <w:r>
        <w:rPr/>
        <w:t>。</w:t>
      </w:r>
    </w:p>
    <w:p>
      <w:pPr>
        <w:pStyle w:val="Normal"/>
        <w:rPr/>
      </w:pPr>
      <w:r>
        <w:rPr/>
        <w:t xml:space="preserve">- </w:t>
      </w:r>
      <w:r>
        <w:rPr/>
        <w:t>八月交付，</w:t>
      </w:r>
      <w:r>
        <w:rPr/>
        <w:t>2026-09-01 12:00</w:t>
      </w:r>
      <w:r>
        <w:rPr/>
        <w:t>：</w:t>
      </w:r>
      <w:r>
        <w:rPr/>
        <w:t>[</w:t>
      </w:r>
      <w:r>
        <w:rPr/>
        <w:t>公司原件</w:t>
      </w:r>
      <w:r>
        <w:rPr/>
        <w:t>](https://www1.hkexnews.hk/listedco/listconews/sehk/2026/0901/2026090100613.pdf)</w:t>
      </w:r>
      <w:r>
        <w:rPr/>
        <w:t>。</w:t>
      </w:r>
    </w:p>
    <w:p>
      <w:pPr>
        <w:pStyle w:val="Normal"/>
        <w:rPr/>
      </w:pPr>
      <w:r>
        <w:rPr/>
        <w:t xml:space="preserve">- </w:t>
      </w:r>
      <w:r>
        <w:rPr/>
        <w:t>七月交付，</w:t>
      </w:r>
      <w:r>
        <w:rPr/>
        <w:t>2026-08-02 18:02</w:t>
      </w:r>
      <w:r>
        <w:rPr/>
        <w:t>：</w:t>
      </w:r>
      <w:r>
        <w:rPr/>
        <w:t>[</w:t>
      </w:r>
      <w:r>
        <w:rPr/>
        <w:t>公司原件</w:t>
      </w:r>
      <w:r>
        <w:rPr/>
        <w:t>](https://www1.hkexnews.hk/listedco/listconews/sehk/2026/0802/2026080200003.pdf)</w:t>
      </w:r>
      <w:r>
        <w:rPr/>
        <w:t>。</w:t>
      </w:r>
    </w:p>
    <w:p>
      <w:pPr>
        <w:pStyle w:val="Normal"/>
        <w:rPr/>
      </w:pPr>
      <w:r>
        <w:rPr/>
        <w:t xml:space="preserve">- </w:t>
      </w:r>
      <w:r>
        <w:rPr/>
        <w:t>回购计划，</w:t>
      </w:r>
      <w:r>
        <w:rPr/>
        <w:t>2026-03-24 22:08</w:t>
      </w:r>
      <w:r>
        <w:rPr/>
        <w:t>：</w:t>
      </w:r>
      <w:r>
        <w:rPr/>
        <w:t>[</w:t>
      </w:r>
      <w:r>
        <w:rPr/>
        <w:t>公司原件</w:t>
      </w:r>
      <w:r>
        <w:rPr/>
        <w:t>](https://www1.hkexnews.hk/listedco/listconews/sehk/2026/0324/2026032401608.pdf)</w:t>
      </w:r>
      <w:r>
        <w:rPr/>
        <w:t>。</w:t>
      </w:r>
    </w:p>
    <w:p>
      <w:pPr>
        <w:pStyle w:val="Normal"/>
        <w:rPr/>
      </w:pPr>
      <w:r>
        <w:rPr/>
        <w:t xml:space="preserve">- </w:t>
      </w:r>
      <w:r>
        <w:rPr/>
        <w:t>九月股份月报，</w:t>
      </w:r>
      <w:r>
        <w:rPr/>
        <w:t>2026-10-07 16:30</w:t>
      </w:r>
      <w:r>
        <w:rPr/>
        <w:t>：</w:t>
      </w:r>
      <w:r>
        <w:rPr/>
        <w:t>[</w:t>
      </w:r>
      <w:r>
        <w:rPr/>
        <w:t>公司原件</w:t>
      </w:r>
      <w:r>
        <w:rPr/>
        <w:t>](https://www1.hkexnews.hk/listedco/listconews/sehk/2026/1007/2026100700656.pdf)</w:t>
      </w:r>
      <w:r>
        <w:rPr/>
        <w:t>。</w:t>
      </w:r>
    </w:p>
    <w:p>
      <w:pPr>
        <w:pStyle w:val="Normal"/>
        <w:rPr/>
      </w:pPr>
      <w:r>
        <w:rPr/>
        <w:t xml:space="preserve">- </w:t>
      </w:r>
      <w:r>
        <w:rPr/>
        <w:t>大摩九月十六日目标</w:t>
      </w:r>
      <w:r>
        <w:rPr/>
        <w:t>68.5</w:t>
      </w:r>
      <w:r>
        <w:rPr/>
        <w:t>港元：</w:t>
      </w:r>
      <w:r>
        <w:rPr/>
        <w:t>[</w:t>
      </w:r>
      <w:r>
        <w:rPr/>
        <w:t>公开新闻</w:t>
      </w:r>
      <w:r>
        <w:rPr/>
        <w:t>](https://www.aastocks.com/sc/stocks/analysis/stock-aafn-con/02015/AAFN/NOW.1544829/research-report)</w:t>
      </w:r>
      <w:r>
        <w:rPr/>
        <w:t>。</w:t>
      </w:r>
    </w:p>
    <w:p>
      <w:pPr>
        <w:pStyle w:val="Normal"/>
        <w:rPr/>
      </w:pPr>
      <w:r>
        <w:rPr/>
        <w:t xml:space="preserve">- </w:t>
      </w:r>
      <w:r>
        <w:rPr/>
        <w:t>高盛八月二十八日目标</w:t>
      </w:r>
      <w:r>
        <w:rPr/>
        <w:t>55</w:t>
      </w:r>
      <w:r>
        <w:rPr/>
        <w:t>港元：</w:t>
      </w:r>
      <w:r>
        <w:rPr/>
        <w:t>[</w:t>
      </w:r>
      <w:r>
        <w:rPr/>
        <w:t>公开新闻</w:t>
      </w:r>
      <w:r>
        <w:rPr/>
        <w:t>](https://www.aastocks.com/sc/stocks/analysis/stock-aafn-con/02015/AAFN/NOW.1541713/research-report)</w:t>
      </w:r>
      <w:r>
        <w:rPr/>
        <w:t>。</w:t>
      </w:r>
    </w:p>
    <w:p>
      <w:pPr>
        <w:pStyle w:val="Normal"/>
        <w:rPr/>
      </w:pPr>
      <w:r>
        <w:rPr/>
        <w:t xml:space="preserve">- </w:t>
      </w:r>
      <w:r>
        <w:rPr/>
        <w:t>中金八月二十八日目标</w:t>
      </w:r>
      <w:r>
        <w:rPr/>
        <w:t>68</w:t>
      </w:r>
      <w:r>
        <w:rPr/>
        <w:t>港元：</w:t>
      </w:r>
      <w:r>
        <w:rPr/>
        <w:t>[</w:t>
      </w:r>
      <w:r>
        <w:rPr/>
        <w:t>公开新闻</w:t>
      </w:r>
      <w:r>
        <w:rPr/>
        <w:t>](https://www.aastocks.com/sc/stocks/analysis/stock-aafn-con/02015/AAFN/NOW.1541707/research-report)</w:t>
      </w:r>
      <w:r>
        <w:rPr/>
        <w:t>。</w:t>
      </w:r>
    </w:p>
    <w:p>
      <w:pPr>
        <w:pStyle w:val="Normal"/>
        <w:widowControl/>
        <w:bidi w:val="0"/>
        <w:spacing w:lineRule="auto" w:line="336" w:before="0" w:after="140"/>
        <w:jc w:val="start"/>
        <w:rPr/>
      </w:pPr>
      <w:r>
        <w:rPr/>
        <w:t>模型版本</w:t>
      </w:r>
      <w:r>
        <w:rPr/>
        <w:t>liauto-fullcost-volume-ASP-operating-EVsales-capital-v1.0</w:t>
      </w:r>
      <w:r>
        <w:rPr/>
        <w:t>，</w:t>
      </w:r>
      <w:r>
        <w:rPr/>
        <w:t>34</w:t>
      </w:r>
      <w:r>
        <w:rPr/>
        <w:t>个原子驱动、五期限三情景</w:t>
      </w:r>
      <w:r>
        <w:rPr/>
        <w:t>510</w:t>
      </w:r>
      <w:r>
        <w:rPr/>
        <w:t>输入。正常年率及现金、估值和股数均研究假设，未作为公司指引。单套活动经营模型逐情景保存比较快照，输入改变后应刷新；独立财务桥、字数和重复段落检查以及专属工作表修改恢复核验另存。最终</w:t>
      </w:r>
      <w:r>
        <w:rPr/>
        <w:t>Word/PDF</w:t>
      </w:r>
      <w:r>
        <w:rPr/>
        <w:t>分页、图表与中文可读性由总报告流程验收。</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147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2026-10-11T15:19:38Z</dcterms:modified>
  <cp:revision>2</cp:revision>
  <dc:subject>研究数据版本 f94f3d19b4e62e0b</dc:subject>
  <dc:title>公司深研 · 第10卷</dc:title>
</cp:coreProperties>
</file>

<file path=docProps/custom.xml><?xml version="1.0" encoding="utf-8"?>
<Properties xmlns="http://schemas.openxmlformats.org/officeDocument/2006/custom-properties" xmlns:vt="http://schemas.openxmlformats.org/officeDocument/2006/docPropsVTypes"/>
</file>