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color w:val="000000"/>
        </w:rPr>
        <w:t>医药与科技股票研究 总报告</w:t>
      </w:r>
    </w:p>
    <w:p>
      <w:pPr>
        <w:pStyle w:val="Normal"/>
        <w:rPr/>
      </w:pPr>
      <w:r>
        <w:rPr/>
        <w:t>全名单结论 四期限排名 年底情景与研究方法</w:t>
      </w:r>
    </w:p>
    <w:p>
      <w:pPr>
        <w:pStyle w:val="Normal"/>
        <w:rPr/>
      </w:pPr>
      <w:r>
        <w:rPr/>
        <w:t>资料截止：</w:t>
      </w:r>
      <w:r>
        <w:rPr/>
        <w:t>2026</w:t>
      </w:r>
      <w:r>
        <w:rPr/>
        <w:t>年</w:t>
      </w:r>
      <w:r>
        <w:rPr/>
        <w:t>10</w:t>
      </w:r>
      <w:r>
        <w:rPr/>
        <w:t>月</w:t>
      </w:r>
      <w:r>
        <w:rPr/>
        <w:t>9</w:t>
      </w:r>
      <w:r>
        <w:rPr/>
        <w:t>日。所有未来价格、盈利、估值、分红和汇率均为研究假设。研究覆盖</w:t>
      </w:r>
      <w:r>
        <w:rPr/>
        <w:t>92</w:t>
      </w:r>
      <w:r>
        <w:rPr/>
        <w:t>家公司、</w:t>
      </w:r>
      <w:r>
        <w:rPr/>
        <w:t>96</w:t>
      </w:r>
      <w:r>
        <w:rPr/>
        <w:t>个股票证券，全部公司正文通过一万有效汉字门槛。</w:t>
      </w:r>
      <w:r>
        <w:rPr/>
        <w:t>91</w:t>
      </w:r>
      <w:r>
        <w:rPr/>
        <w:t>个可评估证券形成四期限排名，</w:t>
      </w:r>
      <w:r>
        <w:rPr/>
        <w:t>5</w:t>
      </w:r>
      <w:r>
        <w:rPr/>
        <w:t xml:space="preserve">个条件研究证券保留独立分析并暂不排名。全部公司深研和股票模型已覆盖，文档按同一数据版本生成。初版结论可随新增证据修订。数据版本 </w:t>
      </w:r>
      <w:r>
        <w:rPr/>
        <w:t>63ca87a2011995a6</w:t>
      </w:r>
      <w:r>
        <w:rPr/>
        <w:t>。</w:t>
      </w:r>
    </w:p>
    <w:p>
      <w:pPr>
        <w:pStyle w:val="Normal"/>
        <w:rPr/>
      </w:pPr>
      <w:r>
        <w:rPr/>
      </w:r>
      <w:r>
        <w:br w:type="page"/>
      </w:r>
    </w:p>
    <w:p>
      <w:pPr>
        <w:pStyle w:val="Normal"/>
        <w:spacing w:before="0" w:after="140"/>
        <w:rPr/>
      </w:pPr>
      <w:r>
        <w:rPr>
          <w:b/>
          <w:sz w:val="34"/>
        </w:rPr>
        <w:t>目录</w:t>
      </w:r>
    </w:p>
    <w:sdt>
      <w:sdtPr>
        <w:docPartObj>
          <w:docPartGallery w:val="Table of Contents"/>
          <w:docPartUnique w:val="true"/>
        </w:docPartObj>
      </w:sdtPr>
      <w:sdtContent>
        <w:p>
          <w:pPr>
            <w:pStyle w:val="TOC1"/>
            <w:tabs>
              <w:tab w:val="clear" w:pos="9858"/>
              <w:tab w:val="right" w:pos="9857" w:leader="dot"/>
            </w:tabs>
            <w:rPr/>
          </w:pPr>
          <w:r>
            <w:fldChar w:fldCharType="begin"/>
          </w:r>
          <w:r>
            <w:rPr>
              <w:rStyle w:val="Style5"/>
            </w:rPr>
            <w:instrText xml:space="preserve"> TOC \f \o "1-2" \h</w:instrText>
          </w:r>
          <w:r>
            <w:rPr>
              <w:rStyle w:val="Style5"/>
            </w:rPr>
            <w:fldChar w:fldCharType="separate"/>
          </w:r>
          <w:hyperlink w:anchor="__RefHeading___Toc4839_1919545624" w:tooltip="研究范围与初版口径">
            <w:r>
              <w:rPr>
                <w:rStyle w:val="Style5"/>
              </w:rPr>
              <w:t>研究范围与初版口径</w:t>
            </w:r>
            <w:r>
              <w:rPr>
                <w:rStyle w:val="Style5"/>
              </w:rPr>
              <w:tab/>
              <w:t>3</w:t>
            </w:r>
          </w:hyperlink>
        </w:p>
        <w:p>
          <w:pPr>
            <w:pStyle w:val="TOC1"/>
            <w:tabs>
              <w:tab w:val="clear" w:pos="9858"/>
              <w:tab w:val="right" w:pos="9857" w:leader="dot"/>
            </w:tabs>
            <w:rPr/>
          </w:pPr>
          <w:hyperlink w:anchor="__RefHeading___Toc4841_1919545624" w:tooltip="四期限推荐排序">
            <w:r>
              <w:rPr>
                <w:rStyle w:val="Style5"/>
              </w:rPr>
              <w:t>四期限推荐排序</w:t>
            </w:r>
            <w:r>
              <w:rPr>
                <w:rStyle w:val="Style5"/>
              </w:rPr>
              <w:tab/>
              <w:t>3</w:t>
            </w:r>
          </w:hyperlink>
        </w:p>
        <w:p>
          <w:pPr>
            <w:pStyle w:val="TOC2"/>
            <w:tabs>
              <w:tab w:val="clear" w:pos="9575"/>
              <w:tab w:val="right" w:pos="9857" w:leader="dot"/>
            </w:tabs>
            <w:rPr/>
          </w:pPr>
          <w:hyperlink w:anchor="__RefHeading___Toc4843_1919545624" w:tooltip="半年 全名单可评估股票">
            <w:r>
              <w:rPr>
                <w:rStyle w:val="Style5"/>
              </w:rPr>
              <w:t>半年 全名单可评估股票</w:t>
            </w:r>
            <w:r>
              <w:rPr>
                <w:rStyle w:val="Style5"/>
              </w:rPr>
              <w:tab/>
              <w:t>3</w:t>
            </w:r>
          </w:hyperlink>
        </w:p>
        <w:p>
          <w:pPr>
            <w:pStyle w:val="TOC2"/>
            <w:tabs>
              <w:tab w:val="clear" w:pos="9575"/>
              <w:tab w:val="right" w:pos="9857" w:leader="dot"/>
            </w:tabs>
            <w:rPr/>
          </w:pPr>
          <w:hyperlink w:anchor="__RefHeading___Toc4845_1919545624" w:tooltip="一年 全名单可评估股票">
            <w:r>
              <w:rPr>
                <w:rStyle w:val="Style5"/>
              </w:rPr>
              <w:t>一年 全名单可评估股票</w:t>
            </w:r>
            <w:r>
              <w:rPr>
                <w:rStyle w:val="Style5"/>
              </w:rPr>
              <w:tab/>
              <w:t>8</w:t>
            </w:r>
          </w:hyperlink>
        </w:p>
        <w:p>
          <w:pPr>
            <w:pStyle w:val="TOC2"/>
            <w:tabs>
              <w:tab w:val="clear" w:pos="9575"/>
              <w:tab w:val="right" w:pos="9857" w:leader="dot"/>
            </w:tabs>
            <w:rPr/>
          </w:pPr>
          <w:hyperlink w:anchor="__RefHeading___Toc4847_1919545624" w:tooltip="三年 全名单可评估股票">
            <w:r>
              <w:rPr>
                <w:rStyle w:val="Style5"/>
              </w:rPr>
              <w:t>三年 全名单可评估股票</w:t>
            </w:r>
            <w:r>
              <w:rPr>
                <w:rStyle w:val="Style5"/>
              </w:rPr>
              <w:tab/>
              <w:t>12</w:t>
            </w:r>
          </w:hyperlink>
        </w:p>
        <w:p>
          <w:pPr>
            <w:pStyle w:val="TOC2"/>
            <w:tabs>
              <w:tab w:val="clear" w:pos="9575"/>
              <w:tab w:val="right" w:pos="9857" w:leader="dot"/>
            </w:tabs>
            <w:rPr/>
          </w:pPr>
          <w:hyperlink w:anchor="__RefHeading___Toc4849_1919545624" w:tooltip="五年 全名单可评估股票">
            <w:r>
              <w:rPr>
                <w:rStyle w:val="Style5"/>
              </w:rPr>
              <w:t>五年 全名单可评估股票</w:t>
            </w:r>
            <w:r>
              <w:rPr>
                <w:rStyle w:val="Style5"/>
              </w:rPr>
              <w:tab/>
              <w:t>17</w:t>
            </w:r>
          </w:hyperlink>
        </w:p>
        <w:p>
          <w:pPr>
            <w:pStyle w:val="TOC1"/>
            <w:tabs>
              <w:tab w:val="clear" w:pos="9858"/>
              <w:tab w:val="right" w:pos="9857" w:leader="dot"/>
            </w:tabs>
            <w:rPr/>
          </w:pPr>
          <w:hyperlink w:anchor="__RefHeading___Toc4851_1919545624" w:tooltip="年底情景与期望值">
            <w:r>
              <w:rPr>
                <w:rStyle w:val="Style5"/>
              </w:rPr>
              <w:t>年底情景与期望值</w:t>
            </w:r>
            <w:r>
              <w:rPr>
                <w:rStyle w:val="Style5"/>
              </w:rPr>
              <w:tab/>
              <w:t>22</w:t>
            </w:r>
          </w:hyperlink>
        </w:p>
        <w:p>
          <w:pPr>
            <w:pStyle w:val="TOC2"/>
            <w:tabs>
              <w:tab w:val="clear" w:pos="9575"/>
              <w:tab w:val="right" w:pos="9857" w:leader="dot"/>
            </w:tabs>
            <w:rPr/>
          </w:pPr>
          <w:hyperlink w:anchor="__RefHeading___Toc4853_1919545624" w:tooltip="暂不排名公司的研究状态">
            <w:r>
              <w:rPr>
                <w:rStyle w:val="Style5"/>
              </w:rPr>
              <w:t>暂不排名公司的研究状态</w:t>
            </w:r>
            <w:r>
              <w:rPr>
                <w:rStyle w:val="Style5"/>
              </w:rPr>
              <w:tab/>
              <w:t>30</w:t>
            </w:r>
          </w:hyperlink>
        </w:p>
        <w:p>
          <w:pPr>
            <w:pStyle w:val="TOC1"/>
            <w:tabs>
              <w:tab w:val="clear" w:pos="9858"/>
              <w:tab w:val="right" w:pos="9857" w:leader="dot"/>
            </w:tabs>
            <w:rPr/>
          </w:pPr>
          <w:hyperlink w:anchor="__RefHeading___Toc4855_1919545624" w:tooltip="评分与估值口径">
            <w:r>
              <w:rPr>
                <w:rStyle w:val="Style5"/>
              </w:rPr>
              <w:t>评分与估值口径</w:t>
            </w:r>
            <w:r>
              <w:rPr>
                <w:rStyle w:val="Style5"/>
              </w:rPr>
              <w:tab/>
              <w:t>31</w:t>
            </w:r>
          </w:hyperlink>
        </w:p>
        <w:p>
          <w:pPr>
            <w:pStyle w:val="TOC1"/>
            <w:tabs>
              <w:tab w:val="clear" w:pos="9858"/>
              <w:tab w:val="right" w:pos="9857" w:leader="dot"/>
            </w:tabs>
            <w:rPr/>
          </w:pPr>
          <w:hyperlink w:anchor="__RefHeading___Toc4857_1919545624" w:tooltip="行情与量价方法">
            <w:r>
              <w:rPr>
                <w:rStyle w:val="Style5"/>
              </w:rPr>
              <w:t>行情与量价方法</w:t>
            </w:r>
            <w:r>
              <w:rPr>
                <w:rStyle w:val="Style5"/>
              </w:rPr>
              <w:tab/>
              <w:t>32</w:t>
            </w:r>
          </w:hyperlink>
        </w:p>
        <w:p>
          <w:pPr>
            <w:pStyle w:val="TOC2"/>
            <w:tabs>
              <w:tab w:val="clear" w:pos="9575"/>
              <w:tab w:val="right" w:pos="9857" w:leader="dot"/>
            </w:tabs>
            <w:rPr/>
          </w:pPr>
          <w:hyperlink w:anchor="__RefHeading___Toc4859_1919545624" w:tooltip="来源及交叉校验">
            <w:r>
              <w:rPr>
                <w:rStyle w:val="Style5"/>
              </w:rPr>
              <w:t>来源及交叉校验</w:t>
            </w:r>
            <w:r>
              <w:rPr>
                <w:rStyle w:val="Style5"/>
              </w:rPr>
              <w:tab/>
              <w:t>32</w:t>
            </w:r>
          </w:hyperlink>
        </w:p>
        <w:p>
          <w:pPr>
            <w:pStyle w:val="TOC2"/>
            <w:tabs>
              <w:tab w:val="clear" w:pos="9575"/>
              <w:tab w:val="right" w:pos="9857" w:leader="dot"/>
            </w:tabs>
            <w:rPr/>
          </w:pPr>
          <w:hyperlink w:anchor="__RefHeading___Toc4861_1919545624" w:tooltip="复权和公司行动">
            <w:r>
              <w:rPr>
                <w:rStyle w:val="Style5"/>
              </w:rPr>
              <w:t>复权和公司行动</w:t>
            </w:r>
            <w:r>
              <w:rPr>
                <w:rStyle w:val="Style5"/>
              </w:rPr>
              <w:tab/>
              <w:t>32</w:t>
            </w:r>
          </w:hyperlink>
        </w:p>
        <w:p>
          <w:pPr>
            <w:pStyle w:val="TOC2"/>
            <w:tabs>
              <w:tab w:val="clear" w:pos="9575"/>
              <w:tab w:val="right" w:pos="9857" w:leader="dot"/>
            </w:tabs>
            <w:rPr/>
          </w:pPr>
          <w:hyperlink w:anchor="__RefHeading___Toc4863_1919545624" w:tooltip="指标定义">
            <w:r>
              <w:rPr>
                <w:rStyle w:val="Style5"/>
              </w:rPr>
              <w:t>指标定义</w:t>
            </w:r>
            <w:r>
              <w:rPr>
                <w:rStyle w:val="Style5"/>
              </w:rPr>
              <w:tab/>
              <w:t>33</w:t>
            </w:r>
          </w:hyperlink>
        </w:p>
        <w:p>
          <w:pPr>
            <w:pStyle w:val="TOC2"/>
            <w:tabs>
              <w:tab w:val="clear" w:pos="9575"/>
              <w:tab w:val="right" w:pos="9857" w:leader="dot"/>
            </w:tabs>
            <w:rPr/>
          </w:pPr>
          <w:hyperlink w:anchor="__RefHeading___Toc4865_1919545624" w:tooltip="缺失及限制">
            <w:r>
              <w:rPr>
                <w:rStyle w:val="Style5"/>
              </w:rPr>
              <w:t>缺失及限制</w:t>
            </w:r>
            <w:r>
              <w:rPr>
                <w:rStyle w:val="Style5"/>
              </w:rPr>
              <w:tab/>
              <w:t>34</w:t>
            </w:r>
          </w:hyperlink>
        </w:p>
        <w:p>
          <w:pPr>
            <w:pStyle w:val="TOC2"/>
            <w:tabs>
              <w:tab w:val="clear" w:pos="9575"/>
              <w:tab w:val="right" w:pos="9857" w:leader="dot"/>
            </w:tabs>
            <w:rPr/>
          </w:pPr>
          <w:hyperlink w:anchor="__RefHeading___Toc4867_1919545624" w:tooltip="相对强弱基准的适用范围">
            <w:r>
              <w:rPr>
                <w:rStyle w:val="Style5"/>
              </w:rPr>
              <w:t>相对强弱基准的适用范围</w:t>
            </w:r>
            <w:r>
              <w:rPr>
                <w:rStyle w:val="Style5"/>
              </w:rPr>
              <w:tab/>
              <w:t>34</w:t>
            </w:r>
          </w:hyperlink>
        </w:p>
        <w:p>
          <w:pPr>
            <w:pStyle w:val="TOC2"/>
            <w:tabs>
              <w:tab w:val="clear" w:pos="9575"/>
              <w:tab w:val="right" w:pos="9857" w:leader="dot"/>
            </w:tabs>
            <w:rPr/>
          </w:pPr>
          <w:hyperlink w:anchor="__RefHeading___Toc4869_1919545624" w:tooltip="目标交易日">
            <w:r>
              <w:rPr>
                <w:rStyle w:val="Style5"/>
              </w:rPr>
              <w:t>目标交易日</w:t>
            </w:r>
            <w:r>
              <w:rPr>
                <w:rStyle w:val="Style5"/>
              </w:rPr>
              <w:tab/>
              <w:t>34</w:t>
            </w:r>
          </w:hyperlink>
        </w:p>
        <w:p>
          <w:pPr>
            <w:pStyle w:val="TOC1"/>
            <w:tabs>
              <w:tab w:val="clear" w:pos="9858"/>
              <w:tab w:val="right" w:pos="9857" w:leader="dot"/>
            </w:tabs>
            <w:rPr/>
          </w:pPr>
          <w:hyperlink w:anchor="__RefHeading___Toc4871_1919545624" w:tooltip="经济 行业与收益条件">
            <w:r>
              <w:rPr>
                <w:rStyle w:val="Style5"/>
              </w:rPr>
              <w:t>经济 行业与收益条件</w:t>
            </w:r>
            <w:r>
              <w:rPr>
                <w:rStyle w:val="Style5"/>
              </w:rPr>
              <w:tab/>
              <w:t>35</w:t>
            </w:r>
          </w:hyperlink>
        </w:p>
        <w:p>
          <w:pPr>
            <w:pStyle w:val="TOC1"/>
            <w:tabs>
              <w:tab w:val="clear" w:pos="9858"/>
              <w:tab w:val="right" w:pos="9857" w:leader="dot"/>
            </w:tabs>
            <w:rPr/>
          </w:pPr>
          <w:hyperlink w:anchor="__RefHeading___Toc4873_1919545624" w:tooltip="全名单身份与状态">
            <w:r>
              <w:rPr>
                <w:rStyle w:val="Style5"/>
              </w:rPr>
              <w:t>全名单身份与状态</w:t>
            </w:r>
            <w:r>
              <w:rPr>
                <w:rStyle w:val="Style5"/>
              </w:rPr>
              <w:tab/>
              <w:t>35</w:t>
            </w:r>
          </w:hyperlink>
          <w:r>
            <w:rPr>
              <w:rStyle w:val="Style5"/>
            </w:rPr>
            <w:fldChar w:fldCharType="end"/>
          </w:r>
        </w:p>
      </w:sdtContent>
    </w:sdt>
    <w:p>
      <w:pPr>
        <w:pStyle w:val="Normal"/>
        <w:rPr/>
      </w:pPr>
      <w:r>
        <w:rPr/>
      </w:r>
      <w:r>
        <w:br w:type="page"/>
      </w:r>
    </w:p>
    <w:p>
      <w:pPr>
        <w:pStyle w:val="Heading1"/>
        <w:rPr/>
      </w:pPr>
      <w:bookmarkStart w:id="0" w:name="__RefHeading___Toc4839_1919545624"/>
      <w:bookmarkEnd w:id="0"/>
      <w:r>
        <w:rPr>
          <w:color w:val="000000"/>
        </w:rPr>
        <w:t>研究范围与初版口径</w:t>
      </w:r>
    </w:p>
    <w:p>
      <w:pPr>
        <w:pStyle w:val="Normal"/>
        <w:rPr/>
      </w:pPr>
      <w:r>
        <w:rPr/>
        <w:t>研究覆盖</w:t>
      </w:r>
      <w:r>
        <w:rPr/>
        <w:t>92</w:t>
      </w:r>
      <w:r>
        <w:rPr/>
        <w:t>家公司、</w:t>
      </w:r>
      <w:r>
        <w:rPr/>
        <w:t>96</w:t>
      </w:r>
      <w:r>
        <w:rPr/>
        <w:t>个股票证券，全部公司正文通过一万有效汉字门槛。</w:t>
      </w:r>
      <w:r>
        <w:rPr/>
        <w:t>91</w:t>
      </w:r>
      <w:r>
        <w:rPr/>
        <w:t>个可评估证券形成四期限排名，</w:t>
      </w:r>
      <w:r>
        <w:rPr/>
        <w:t>5</w:t>
      </w:r>
      <w:r>
        <w:rPr/>
        <w:t>个条件研究证券保留独立分析并暂不排名。研究交付包括股票公司深研和</w:t>
      </w:r>
      <w:r>
        <w:rPr/>
        <w:t>A/H</w:t>
      </w:r>
      <w:r>
        <w:rPr/>
        <w:t>证券差异；指数只作为相对强弱基准。</w:t>
      </w:r>
    </w:p>
    <w:p>
      <w:pPr>
        <w:pStyle w:val="Normal"/>
        <w:rPr/>
      </w:pPr>
      <w:r>
        <w:rPr/>
        <w:t>93</w:t>
      </w:r>
      <w:r>
        <w:rPr/>
        <w:t>个股票证券取得</w:t>
      </w:r>
      <w:r>
        <w:rPr/>
        <w:t>10</w:t>
      </w:r>
      <w:r>
        <w:rPr/>
        <w:t>月</w:t>
      </w:r>
      <w:r>
        <w:rPr/>
        <w:t>9</w:t>
      </w:r>
      <w:r>
        <w:rPr/>
        <w:t>日有效价格锚，</w:t>
      </w:r>
      <w:r>
        <w:rPr/>
        <w:t>96</w:t>
      </w:r>
      <w:r>
        <w:rPr/>
        <w:t>个保留实际可取得历史技术数据。微创脑科学、微创机器人和微创医疗自</w:t>
      </w:r>
      <w:r>
        <w:rPr/>
        <w:t>9</w:t>
      </w:r>
      <w:r>
        <w:rPr/>
        <w:t>月</w:t>
      </w:r>
      <w:r>
        <w:rPr/>
        <w:t>1</w:t>
      </w:r>
      <w:r>
        <w:rPr/>
        <w:t>日起停牌，使用</w:t>
      </w:r>
      <w:r>
        <w:rPr/>
        <w:t>8</w:t>
      </w:r>
      <w:r>
        <w:rPr/>
        <w:t>月</w:t>
      </w:r>
      <w:r>
        <w:rPr/>
        <w:t>31</w:t>
      </w:r>
      <w:r>
        <w:rPr/>
        <w:t>日最后交易参考价，暂不排名。其他条件研究证券的融资与存续限制单列，不以旧价计算正式期望回报。</w:t>
      </w:r>
    </w:p>
    <w:p>
      <w:pPr>
        <w:pStyle w:val="Heading1"/>
        <w:rPr/>
      </w:pPr>
      <w:bookmarkStart w:id="1" w:name="__RefHeading___Toc4841_1919545624"/>
      <w:bookmarkEnd w:id="1"/>
      <w:r>
        <w:rPr>
          <w:color w:val="000000"/>
        </w:rPr>
        <w:t>四期限推荐排序</w:t>
      </w:r>
    </w:p>
    <w:p>
      <w:pPr>
        <w:pStyle w:val="Heading2"/>
        <w:rPr/>
      </w:pPr>
      <w:bookmarkStart w:id="2" w:name="__RefHeading___Toc4843_1919545624"/>
      <w:bookmarkEnd w:id="2"/>
      <w:r>
        <w:rPr>
          <w:color w:val="000000"/>
        </w:rPr>
        <w:t>半年 全名单可评估股票</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643"/>
        <w:gridCol w:w="1642"/>
        <w:gridCol w:w="1644"/>
        <w:gridCol w:w="1643"/>
        <w:gridCol w:w="1642"/>
        <w:gridCol w:w="1644"/>
      </w:tblGrid>
      <w:tr>
        <w:trPr>
          <w:tblHeader w:val="true"/>
          <w:cantSplit/>
        </w:trPr>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全榜名次</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公司</w:t>
            </w:r>
            <w:r>
              <w:rPr>
                <w:rFonts w:eastAsia="微软雅黑" w:ascii="微软雅黑" w:hAnsi="微软雅黑"/>
                <w:b/>
                <w:color w:val="FFFFFF"/>
                <w:sz w:val="17"/>
              </w:rPr>
              <w:t>/</w:t>
            </w:r>
            <w:r>
              <w:rPr>
                <w:rFonts w:ascii="微软雅黑" w:hAnsi="微软雅黑" w:eastAsia="微软雅黑"/>
                <w:b/>
                <w:color w:val="FFFFFF"/>
                <w:sz w:val="17"/>
              </w:rPr>
              <w:t>优先代码</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得分</w:t>
            </w:r>
          </w:p>
        </w:tc>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基准目标</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股价涨幅</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悲观涨跌幅</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百济神州</w:t>
            </w:r>
            <w:r>
              <w:rPr>
                <w:rFonts w:eastAsia="微软雅黑" w:ascii="微软雅黑" w:hAnsi="微软雅黑"/>
                <w:sz w:val="17"/>
              </w:rPr>
              <w:br/>
              <w:t>06160.HK</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77.90</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280.15</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+33.66%</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-66.71%</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药明康德</w:t>
            </w:r>
            <w:r>
              <w:rPr>
                <w:rFonts w:eastAsia="微软雅黑" w:ascii="微软雅黑" w:hAnsi="微软雅黑"/>
                <w:sz w:val="17"/>
              </w:rPr>
              <w:br/>
              <w:t>603259.SH</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77.80</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202.40</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+28.26%</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-26.74%</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凯莱英</w:t>
            </w:r>
            <w:r>
              <w:rPr>
                <w:rFonts w:eastAsia="微软雅黑" w:ascii="微软雅黑" w:hAnsi="微软雅黑"/>
                <w:sz w:val="17"/>
              </w:rPr>
              <w:br/>
              <w:t>06821.HK</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73.40</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168.30</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+8.51%</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-57.45%</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药明合联</w:t>
            </w:r>
            <w:r>
              <w:rPr>
                <w:rFonts w:eastAsia="微软雅黑" w:ascii="微软雅黑" w:hAnsi="微软雅黑"/>
                <w:sz w:val="17"/>
              </w:rPr>
              <w:br/>
              <w:t>02268.HK</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73.20</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89.54</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+9.06%</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-40.31%</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网易</w:t>
            </w:r>
            <w:r>
              <w:rPr>
                <w:rFonts w:eastAsia="微软雅黑" w:ascii="微软雅黑" w:hAnsi="微软雅黑"/>
                <w:sz w:val="17"/>
              </w:rPr>
              <w:br/>
              <w:t>09999.HK</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72.70</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233.75</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+20.80%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-28.37%</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海尔生物</w:t>
            </w:r>
            <w:r>
              <w:rPr>
                <w:rFonts w:eastAsia="微软雅黑" w:ascii="微软雅黑" w:hAnsi="微软雅黑"/>
                <w:sz w:val="17"/>
              </w:rPr>
              <w:br/>
              <w:t>688139.SH</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72.60</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38.88</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+10.67%</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-46.63%</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恒瑞医药</w:t>
            </w:r>
            <w:r>
              <w:rPr>
                <w:rFonts w:eastAsia="微软雅黑" w:ascii="微软雅黑" w:hAnsi="微软雅黑"/>
                <w:sz w:val="17"/>
              </w:rPr>
              <w:br/>
              <w:t>01276.HK</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72.50</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59.84</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+24.67%</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-42.02%</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9</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康龙化成</w:t>
            </w:r>
            <w:r>
              <w:rPr>
                <w:rFonts w:eastAsia="微软雅黑" w:ascii="微软雅黑" w:hAnsi="微软雅黑"/>
                <w:sz w:val="17"/>
              </w:rPr>
              <w:br/>
              <w:t>03759.HK</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72.40</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41.44</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+35.42%</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-53.41%</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10</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ASMPT</w:t>
              <w:br/>
              <w:t>00522.HK</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71.80</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199.58</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+23.73%</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-86.42%</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12</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中国生物制药</w:t>
            </w:r>
            <w:r>
              <w:rPr>
                <w:rFonts w:eastAsia="微软雅黑" w:ascii="微软雅黑" w:hAnsi="微软雅黑"/>
                <w:sz w:val="17"/>
              </w:rPr>
              <w:br/>
              <w:t>01177.HK</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71.20</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8.32</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+53.80%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-21.75%</w:t>
            </w:r>
          </w:p>
        </w:tc>
      </w:tr>
    </w:tbl>
    <w:p>
      <w:pPr>
        <w:pStyle w:val="Normal"/>
        <w:rPr/>
      </w:pPr>
      <w:r>
        <w:rPr/>
      </w:r>
    </w:p>
    <w:p>
      <w:pPr>
        <w:pStyle w:val="Normal"/>
        <w:rPr/>
      </w:pPr>
      <w:r>
        <w:rPr/>
        <w:t>上表突出前十家不同公司，名次保留股票全榜位置；</w:t>
      </w:r>
      <w:r>
        <w:rPr/>
        <w:t>A/H</w:t>
      </w:r>
      <w:r>
        <w:rPr/>
        <w:t>其他代码与全部可评估证券见</w:t>
      </w:r>
      <w:r>
        <w:rPr/>
        <w:t>Excel</w:t>
      </w:r>
      <w:r>
        <w:rPr/>
        <w:t>。全部公司研究已覆盖，暂不排名原因逐证券公开。</w:t>
      </w:r>
    </w:p>
    <w:p>
      <w:pPr>
        <w:pStyle w:val="Heading3"/>
        <w:rPr/>
      </w:pPr>
      <w:r>
        <w:rPr>
          <w:color w:val="000000"/>
        </w:rPr>
        <w:t xml:space="preserve">百济神州 </w:t>
      </w:r>
      <w:r>
        <w:rPr>
          <w:color w:val="000000"/>
        </w:rPr>
        <w:t xml:space="preserve">06160 HK </w:t>
      </w:r>
      <w:r>
        <w:rPr>
          <w:color w:val="000000"/>
        </w:rPr>
        <w:t>评分证据</w:t>
      </w:r>
    </w:p>
    <w:p>
      <w:pPr>
        <w:pStyle w:val="Normal"/>
        <w:rPr/>
      </w:pPr>
      <w:r>
        <w:rPr/>
        <w:t xml:space="preserve">估值与预期回报 </w:t>
      </w:r>
      <w:r>
        <w:rPr/>
        <w:t>3.8/5</w:t>
      </w:r>
      <w:r>
        <w:rPr/>
        <w:t>（权重</w:t>
      </w:r>
      <w:r>
        <w:rPr/>
        <w:t>25%</w:t>
      </w:r>
      <w:r>
        <w:rPr/>
        <w:t xml:space="preserve">）；量价与相对强弱 </w:t>
      </w:r>
      <w:r>
        <w:rPr/>
        <w:t>3.3/5</w:t>
      </w:r>
      <w:r>
        <w:rPr/>
        <w:t>（权重</w:t>
      </w:r>
      <w:r>
        <w:rPr/>
        <w:t>30%</w:t>
      </w:r>
      <w:r>
        <w:rPr/>
        <w:t xml:space="preserve">）；经营增长与商业质量 </w:t>
      </w:r>
      <w:r>
        <w:rPr/>
        <w:t>4.5/5</w:t>
      </w:r>
      <w:r>
        <w:rPr/>
        <w:t>（权重</w:t>
      </w:r>
      <w:r>
        <w:rPr/>
        <w:t>15%</w:t>
      </w:r>
      <w:r>
        <w:rPr/>
        <w:t xml:space="preserve">）；行业周期与需求 </w:t>
      </w:r>
      <w:r>
        <w:rPr/>
        <w:t>4.5/5</w:t>
      </w:r>
      <w:r>
        <w:rPr/>
        <w:t>（权重</w:t>
      </w:r>
      <w:r>
        <w:rPr/>
        <w:t>10%</w:t>
      </w:r>
      <w:r>
        <w:rPr/>
        <w:t xml:space="preserve">）；期限催化剂 </w:t>
      </w:r>
      <w:r>
        <w:rPr/>
        <w:t>4.4/5</w:t>
      </w:r>
      <w:r>
        <w:rPr/>
        <w:t>（权重</w:t>
      </w:r>
      <w:r>
        <w:rPr/>
        <w:t>10%</w:t>
      </w:r>
      <w:r>
        <w:rPr/>
        <w:t xml:space="preserve">）；财务治理与下行风险 </w:t>
      </w:r>
      <w:r>
        <w:rPr/>
        <w:t>3.9/5</w:t>
      </w:r>
      <w:r>
        <w:rPr/>
        <w:t>（权重</w:t>
      </w:r>
      <w:r>
        <w:rPr/>
        <w:t>10%</w:t>
      </w:r>
      <w:r>
        <w:rPr/>
        <w:t>）。</w:t>
      </w:r>
    </w:p>
    <w:p>
      <w:pPr>
        <w:pStyle w:val="Normal"/>
        <w:rPr/>
      </w:pPr>
      <w:r>
        <w:rPr/>
        <w:t>估值与预期回报：同股经济收益共享，</w:t>
      </w:r>
      <w:r>
        <w:rPr/>
        <w:t>HK</w:t>
      </w:r>
      <w:r>
        <w:rPr/>
        <w:t>估值较低而</w:t>
      </w:r>
      <w:r>
        <w:rPr/>
        <w:t>A</w:t>
      </w:r>
      <w:r>
        <w:rPr/>
        <w:t>股溢价需要敏感性；用正常税后经营利润</w:t>
      </w:r>
      <w:r>
        <w:rPr/>
        <w:t>+</w:t>
      </w:r>
      <w:r>
        <w:rPr/>
        <w:t>超额净现金，不使用报告</w:t>
      </w:r>
      <w:r>
        <w:rPr/>
        <w:t>PE</w:t>
      </w:r>
      <w:r>
        <w:rPr/>
        <w:t>直接外推；量价与相对强弱：</w:t>
      </w:r>
      <w:r>
        <w:rPr/>
        <w:t>HK</w:t>
      </w:r>
      <w:r>
        <w:rPr/>
        <w:t>日线回调周线上升，上涨日量大于下跌日；</w:t>
      </w:r>
      <w:r>
        <w:rPr/>
        <w:t>A</w:t>
      </w:r>
      <w:r>
        <w:rPr/>
        <w:t>价低全部日均线，短期弱于沪深</w:t>
      </w:r>
      <w:r>
        <w:rPr/>
        <w:t>300</w:t>
      </w:r>
      <w:r>
        <w:rPr/>
        <w:t>，行业比较缺失；经营增长与商业质量：产品</w:t>
      </w:r>
      <w:r>
        <w:rPr/>
        <w:t>31.4%</w:t>
      </w:r>
      <w:r>
        <w:rPr/>
        <w:t>增长，全球产品</w:t>
      </w:r>
      <w:r>
        <w:rPr/>
        <w:t>GM89.2%</w:t>
      </w:r>
      <w:r>
        <w:rPr/>
        <w:t>，经营杠杆；高</w:t>
      </w:r>
      <w:r>
        <w:rPr/>
        <w:t>R&amp;D</w:t>
      </w:r>
      <w:r>
        <w:rPr/>
        <w:t>和股份薪酬保留成本；行业周期与需求：癌症需求与慢性血液瘤持续治疗，欧美支付</w:t>
      </w:r>
      <w:r>
        <w:rPr/>
        <w:t>/</w:t>
      </w:r>
      <w:r>
        <w:rPr/>
        <w:t>医保净价及新机制竞争；期限催化剂：已批准</w:t>
      </w:r>
      <w:r>
        <w:rPr/>
        <w:t>BCL2</w:t>
      </w:r>
      <w:r>
        <w:rPr/>
        <w:t>商业化、</w:t>
      </w:r>
      <w:r>
        <w:rPr/>
        <w:t>MANGROVE</w:t>
      </w:r>
      <w:r>
        <w:rPr/>
        <w:t>、条件性</w:t>
      </w:r>
      <w:r>
        <w:rPr/>
        <w:t>BTK CDAC</w:t>
      </w:r>
      <w:r>
        <w:rPr/>
        <w:t>申报、实瘤三期规划，具体日期不造；财务治理与下行风险：现金充裕但银行债</w:t>
      </w:r>
      <w:r>
        <w:rPr/>
        <w:t>/</w:t>
      </w:r>
      <w:r>
        <w:rPr/>
        <w:t>担保</w:t>
      </w:r>
      <w:r>
        <w:rPr/>
        <w:t>/</w:t>
      </w:r>
      <w:r>
        <w:rPr/>
        <w:t>地区现金限制</w:t>
      </w:r>
      <w:r>
        <w:rPr/>
        <w:t>/</w:t>
      </w:r>
      <w:r>
        <w:rPr/>
        <w:t>股权激励与税务检查；售出</w:t>
      </w:r>
      <w:r>
        <w:rPr/>
        <w:t>royalty</w:t>
      </w:r>
      <w:r>
        <w:rPr/>
        <w:t>不可再算股东经济流。</w:t>
      </w:r>
    </w:p>
    <w:p>
      <w:pPr>
        <w:pStyle w:val="Heading3"/>
        <w:rPr/>
      </w:pPr>
      <w:r>
        <w:rPr>
          <w:color w:val="000000"/>
        </w:rPr>
        <w:t xml:space="preserve">药明康德 </w:t>
      </w:r>
      <w:r>
        <w:rPr>
          <w:color w:val="000000"/>
        </w:rPr>
        <w:t xml:space="preserve">603259 SH </w:t>
      </w:r>
      <w:r>
        <w:rPr>
          <w:color w:val="000000"/>
        </w:rPr>
        <w:t>评分证据</w:t>
      </w:r>
    </w:p>
    <w:p>
      <w:pPr>
        <w:pStyle w:val="Normal"/>
        <w:rPr/>
      </w:pPr>
      <w:r>
        <w:rPr/>
        <w:t xml:space="preserve">估值与预期回报 </w:t>
      </w:r>
      <w:r>
        <w:rPr/>
        <w:t>3.5/5</w:t>
      </w:r>
      <w:r>
        <w:rPr/>
        <w:t>（权重</w:t>
      </w:r>
      <w:r>
        <w:rPr/>
        <w:t>25%</w:t>
      </w:r>
      <w:r>
        <w:rPr/>
        <w:t xml:space="preserve">）；量价与相对强弱 </w:t>
      </w:r>
      <w:r>
        <w:rPr/>
        <w:t>3.8/5</w:t>
      </w:r>
      <w:r>
        <w:rPr/>
        <w:t>（权重</w:t>
      </w:r>
      <w:r>
        <w:rPr/>
        <w:t>30%</w:t>
      </w:r>
      <w:r>
        <w:rPr/>
        <w:t xml:space="preserve">）；经营增长与商业质量 </w:t>
      </w:r>
      <w:r>
        <w:rPr/>
        <w:t>4.5/5</w:t>
      </w:r>
      <w:r>
        <w:rPr/>
        <w:t>（权重</w:t>
      </w:r>
      <w:r>
        <w:rPr/>
        <w:t>15%</w:t>
      </w:r>
      <w:r>
        <w:rPr/>
        <w:t xml:space="preserve">）；行业周期与需求 </w:t>
      </w:r>
      <w:r>
        <w:rPr/>
        <w:t>4.3/5</w:t>
      </w:r>
      <w:r>
        <w:rPr/>
        <w:t>（权重</w:t>
      </w:r>
      <w:r>
        <w:rPr/>
        <w:t>10%</w:t>
      </w:r>
      <w:r>
        <w:rPr/>
        <w:t xml:space="preserve">）；期限催化剂 </w:t>
      </w:r>
      <w:r>
        <w:rPr/>
        <w:t>4.2/5</w:t>
      </w:r>
      <w:r>
        <w:rPr/>
        <w:t>（权重</w:t>
      </w:r>
      <w:r>
        <w:rPr/>
        <w:t>10%</w:t>
      </w:r>
      <w:r>
        <w:rPr/>
        <w:t xml:space="preserve">）；财务治理与下行风险 </w:t>
      </w:r>
      <w:r>
        <w:rPr/>
        <w:t>3.5/5</w:t>
      </w:r>
      <w:r>
        <w:rPr/>
        <w:t>（权重</w:t>
      </w:r>
      <w:r>
        <w:rPr/>
        <w:t>10%</w:t>
      </w:r>
      <w:r>
        <w:rPr/>
        <w:t>）。</w:t>
      </w:r>
    </w:p>
    <w:p>
      <w:pPr>
        <w:pStyle w:val="Normal"/>
        <w:rPr/>
      </w:pPr>
      <w:r>
        <w:rPr/>
        <w:t>估值与预期回报：</w:t>
      </w:r>
      <w:r>
        <w:rPr/>
        <w:t>A</w:t>
      </w:r>
      <w:r>
        <w:rPr/>
        <w:t>股较便宜，基准一年</w:t>
      </w:r>
      <w:r>
        <w:rPr/>
        <w:t>38.47%vsH25.60%</w:t>
      </w:r>
      <w:r>
        <w:rPr/>
        <w:t>；上半年强增长已反映在</w:t>
      </w:r>
      <w:r>
        <w:rPr/>
        <w:t>H</w:t>
      </w:r>
      <w:r>
        <w:rPr/>
        <w:t>价，悲观利润</w:t>
      </w:r>
      <w:r>
        <w:rPr/>
        <w:t>/PE</w:t>
      </w:r>
      <w:r>
        <w:rPr/>
        <w:t>压缩明显；量价与相对强弱：</w:t>
      </w:r>
      <w:r>
        <w:rPr/>
        <w:t>A</w:t>
      </w:r>
      <w:r>
        <w:rPr/>
        <w:t>回调仍上</w:t>
      </w:r>
      <w:r>
        <w:rPr/>
        <w:t>60</w:t>
      </w:r>
      <w:r>
        <w:rPr/>
        <w:t>，</w:t>
      </w:r>
      <w:r>
        <w:rPr/>
        <w:t>H</w:t>
      </w:r>
      <w:r>
        <w:rPr/>
        <w:t>全均线上斜率正；近</w:t>
      </w:r>
      <w:r>
        <w:rPr/>
        <w:t>60</w:t>
      </w:r>
      <w:r>
        <w:rPr/>
        <w:t>市场超额强，但最新跌日放量、上涨下跌量比不占优；经营增长与商业质量：持续收入</w:t>
      </w:r>
      <w:r>
        <w:rPr/>
        <w:t>48%</w:t>
      </w:r>
      <w:r>
        <w:rPr/>
        <w:t>、化学</w:t>
      </w:r>
      <w:r>
        <w:rPr/>
        <w:t>53%</w:t>
      </w:r>
      <w:r>
        <w:rPr/>
        <w:t>、</w:t>
      </w:r>
      <w:r>
        <w:rPr/>
        <w:t>DM72.7%</w:t>
      </w:r>
      <w:r>
        <w:rPr/>
        <w:t>、订单</w:t>
      </w:r>
      <w:r>
        <w:rPr/>
        <w:t>25.2%</w:t>
      </w:r>
      <w:r>
        <w:rPr/>
        <w:t>实证；成熟订单转化与工艺平台强；行业周期与需求：全球研发融资与商业化需求，多肽</w:t>
      </w:r>
      <w:r>
        <w:rPr/>
        <w:t>/</w:t>
      </w:r>
      <w:r>
        <w:rPr/>
        <w:t>核酸长期机会；竞争价格、供给和客户集中限制；期限催化剂：业绩指引</w:t>
      </w:r>
      <w:r>
        <w:rPr/>
        <w:t>/</w:t>
      </w:r>
      <w:r>
        <w:rPr/>
        <w:t>订单兑现、产能爬坡和新分子，临近</w:t>
      </w:r>
      <w:r>
        <w:rPr/>
        <w:t>Q3</w:t>
      </w:r>
      <w:r>
        <w:rPr/>
        <w:t>仍可证伪；政策不可简单消除；财务治理与下行风险：</w:t>
      </w:r>
      <w:r>
        <w:rPr/>
        <w:t>OCF93</w:t>
      </w:r>
      <w:r>
        <w:rPr/>
        <w:t>亿</w:t>
      </w:r>
      <w:r>
        <w:rPr/>
        <w:t>/FCF63.5</w:t>
      </w:r>
      <w:r>
        <w:rPr/>
        <w:t>亿较强；负债增、可转债与回购</w:t>
      </w:r>
      <w:r>
        <w:rPr/>
        <w:t>/</w:t>
      </w:r>
      <w:r>
        <w:rPr/>
        <w:t>理财影响资本配置，全球政策尾部风险。</w:t>
      </w:r>
    </w:p>
    <w:p>
      <w:pPr>
        <w:pStyle w:val="Heading3"/>
        <w:rPr/>
      </w:pPr>
      <w:r>
        <w:rPr>
          <w:color w:val="000000"/>
        </w:rPr>
        <w:t xml:space="preserve">凯莱英 </w:t>
      </w:r>
      <w:r>
        <w:rPr>
          <w:color w:val="000000"/>
        </w:rPr>
        <w:t xml:space="preserve">06821 HK </w:t>
      </w:r>
      <w:r>
        <w:rPr>
          <w:color w:val="000000"/>
        </w:rPr>
        <w:t>评分证据</w:t>
      </w:r>
    </w:p>
    <w:p>
      <w:pPr>
        <w:pStyle w:val="Normal"/>
        <w:rPr/>
      </w:pPr>
      <w:r>
        <w:rPr/>
        <w:t xml:space="preserve">估值与预期回报 </w:t>
      </w:r>
      <w:r>
        <w:rPr/>
        <w:t>3.2/5</w:t>
      </w:r>
      <w:r>
        <w:rPr/>
        <w:t>（权重</w:t>
      </w:r>
      <w:r>
        <w:rPr/>
        <w:t>25%</w:t>
      </w:r>
      <w:r>
        <w:rPr/>
        <w:t xml:space="preserve">）；量价与相对强弱 </w:t>
      </w:r>
      <w:r>
        <w:rPr/>
        <w:t>3.5/5</w:t>
      </w:r>
      <w:r>
        <w:rPr/>
        <w:t>（权重</w:t>
      </w:r>
      <w:r>
        <w:rPr/>
        <w:t>30%</w:t>
      </w:r>
      <w:r>
        <w:rPr/>
        <w:t xml:space="preserve">）；经营增长与商业质量 </w:t>
      </w:r>
      <w:r>
        <w:rPr/>
        <w:t>4/5</w:t>
      </w:r>
      <w:r>
        <w:rPr/>
        <w:t>（权重</w:t>
      </w:r>
      <w:r>
        <w:rPr/>
        <w:t>15%</w:t>
      </w:r>
      <w:r>
        <w:rPr/>
        <w:t xml:space="preserve">）；行业周期与需求 </w:t>
      </w:r>
      <w:r>
        <w:rPr/>
        <w:t>4.2/5</w:t>
      </w:r>
      <w:r>
        <w:rPr/>
        <w:t>（权重</w:t>
      </w:r>
      <w:r>
        <w:rPr/>
        <w:t>10%</w:t>
      </w:r>
      <w:r>
        <w:rPr/>
        <w:t xml:space="preserve">）；期限催化剂 </w:t>
      </w:r>
      <w:r>
        <w:rPr/>
        <w:t>4.1/5</w:t>
      </w:r>
      <w:r>
        <w:rPr/>
        <w:t>（权重</w:t>
      </w:r>
      <w:r>
        <w:rPr/>
        <w:t>10%</w:t>
      </w:r>
      <w:r>
        <w:rPr/>
        <w:t xml:space="preserve">）；财务治理与下行风险 </w:t>
      </w:r>
      <w:r>
        <w:rPr/>
        <w:t>3.9/5</w:t>
      </w:r>
      <w:r>
        <w:rPr/>
        <w:t>（权重</w:t>
      </w:r>
      <w:r>
        <w:rPr/>
        <w:t>10%</w:t>
      </w:r>
      <w:r>
        <w:rPr/>
        <w:t>）。</w:t>
      </w:r>
    </w:p>
    <w:p>
      <w:pPr>
        <w:pStyle w:val="Normal"/>
        <w:rPr/>
      </w:pPr>
      <w:r>
        <w:rPr/>
        <w:t>凯莱英独立深研第六至十七节；以下为正文摘要，评分保持已核验模型原值。</w:t>
      </w:r>
    </w:p>
    <w:p>
      <w:pPr>
        <w:pStyle w:val="Normal"/>
        <w:rPr/>
      </w:pPr>
      <w:r>
        <w:rPr/>
        <w:t>估值与预期回报：按</w:t>
      </w:r>
      <w:r>
        <w:rPr/>
        <w:t>2025</w:t>
      </w:r>
      <w:r>
        <w:rPr/>
        <w:t>年每股盈利估算，</w:t>
      </w:r>
      <w:r>
        <w:rPr/>
        <w:t>A/H</w:t>
      </w:r>
      <w:r>
        <w:rPr/>
        <w:t>现价市盈率约</w:t>
      </w:r>
      <w:r>
        <w:rPr/>
        <w:t>56.3/44.6</w:t>
      </w:r>
      <w:r>
        <w:rPr/>
        <w:t>倍，已反映增长恢复；半年基准涨幅约</w:t>
      </w:r>
      <w:r>
        <w:rPr/>
        <w:t>6.22%/8.51%</w:t>
      </w:r>
      <w:r>
        <w:rPr/>
        <w:t>，追涨空间较有限。</w:t>
      </w:r>
      <w:r>
        <w:rPr/>
        <w:t>H</w:t>
      </w:r>
      <w:r>
        <w:rPr/>
        <w:t>股按研究汇率折算的现价较</w:t>
      </w:r>
      <w:r>
        <w:rPr/>
        <w:t>A</w:t>
      </w:r>
      <w:r>
        <w:rPr/>
        <w:t>股低，但价差不保证收敛；量价与相对强弱：</w:t>
      </w:r>
      <w:r>
        <w:rPr/>
        <w:t>H</w:t>
      </w:r>
      <w:r>
        <w:rPr/>
        <w:t>股低于</w:t>
      </w:r>
      <w:r>
        <w:rPr/>
        <w:t>20</w:t>
      </w:r>
      <w:r>
        <w:rPr/>
        <w:t>日线而高于中长期线；基准日跌</w:t>
      </w:r>
      <w:r>
        <w:rPr/>
        <w:t>4.85%</w:t>
      </w:r>
      <w:r>
        <w:rPr/>
        <w:t>、量比</w:t>
      </w:r>
      <w:r>
        <w:rPr/>
        <w:t>1.58</w:t>
      </w:r>
      <w:r>
        <w:rPr/>
        <w:t>，放量下跌与周线升势并存；经营增长与商业质量：上半年新兴业务增长</w:t>
      </w:r>
      <w:r>
        <w:rPr/>
        <w:t>72.49%</w:t>
      </w:r>
      <w:r>
        <w:rPr/>
        <w:t>，化学大分子与生物大分子扩张；集团归母利润下降</w:t>
      </w:r>
      <w:r>
        <w:rPr/>
        <w:t>15.71%</w:t>
      </w:r>
      <w:r>
        <w:rPr/>
        <w:t>，经营质量仍需交付与毛利验证；行业周期与需求：多肽、寡核苷酸及偶联外包有需求空间；客户融资、项目取消、价格和海外政策影响订单转化；期限催化剂：后期项目交付、新产能利用率与后续商业化是主要催化；未披露客户药物及金额未另加价值；财务治理与下行风险：银行借款较少，但扩产支出超过经营现金流；库存、受限资金、激励及海外运营成本构成反证。</w:t>
      </w:r>
    </w:p>
    <w:p>
      <w:pPr>
        <w:pStyle w:val="Heading3"/>
        <w:rPr/>
      </w:pPr>
      <w:r>
        <w:rPr>
          <w:color w:val="000000"/>
        </w:rPr>
        <w:t xml:space="preserve">药明合联 </w:t>
      </w:r>
      <w:r>
        <w:rPr>
          <w:color w:val="000000"/>
        </w:rPr>
        <w:t xml:space="preserve">02268 HK </w:t>
      </w:r>
      <w:r>
        <w:rPr>
          <w:color w:val="000000"/>
        </w:rPr>
        <w:t>评分证据</w:t>
      </w:r>
    </w:p>
    <w:p>
      <w:pPr>
        <w:pStyle w:val="Normal"/>
        <w:rPr/>
      </w:pPr>
      <w:r>
        <w:rPr/>
        <w:t xml:space="preserve">估值与预期回报 </w:t>
      </w:r>
      <w:r>
        <w:rPr/>
        <w:t>2.8/5</w:t>
      </w:r>
      <w:r>
        <w:rPr/>
        <w:t>（权重</w:t>
      </w:r>
      <w:r>
        <w:rPr/>
        <w:t>25%</w:t>
      </w:r>
      <w:r>
        <w:rPr/>
        <w:t xml:space="preserve">）；量价与相对强弱 </w:t>
      </w:r>
      <w:r>
        <w:rPr/>
        <w:t>3.7/5</w:t>
      </w:r>
      <w:r>
        <w:rPr/>
        <w:t>（权重</w:t>
      </w:r>
      <w:r>
        <w:rPr/>
        <w:t>30%</w:t>
      </w:r>
      <w:r>
        <w:rPr/>
        <w:t xml:space="preserve">）；经营增长与商业质量 </w:t>
      </w:r>
      <w:r>
        <w:rPr/>
        <w:t>4.4/5</w:t>
      </w:r>
      <w:r>
        <w:rPr/>
        <w:t>（权重</w:t>
      </w:r>
      <w:r>
        <w:rPr/>
        <w:t>15%</w:t>
      </w:r>
      <w:r>
        <w:rPr/>
        <w:t xml:space="preserve">）；行业周期与需求 </w:t>
      </w:r>
      <w:r>
        <w:rPr/>
        <w:t>4.7/5</w:t>
      </w:r>
      <w:r>
        <w:rPr/>
        <w:t>（权重</w:t>
      </w:r>
      <w:r>
        <w:rPr/>
        <w:t>10%</w:t>
      </w:r>
      <w:r>
        <w:rPr/>
        <w:t xml:space="preserve">）；期限催化剂 </w:t>
      </w:r>
      <w:r>
        <w:rPr/>
        <w:t>4/5</w:t>
      </w:r>
      <w:r>
        <w:rPr/>
        <w:t>（权重</w:t>
      </w:r>
      <w:r>
        <w:rPr/>
        <w:t>10%</w:t>
      </w:r>
      <w:r>
        <w:rPr/>
        <w:t xml:space="preserve">）；财务治理与下行风险 </w:t>
      </w:r>
      <w:r>
        <w:rPr/>
        <w:t>3.2/5</w:t>
      </w:r>
      <w:r>
        <w:rPr/>
        <w:t>（权重</w:t>
      </w:r>
      <w:r>
        <w:rPr/>
        <w:t>10%</w:t>
      </w:r>
      <w:r>
        <w:rPr/>
        <w:t>）。</w:t>
      </w:r>
    </w:p>
    <w:p>
      <w:pPr>
        <w:pStyle w:val="Normal"/>
        <w:rPr/>
      </w:pPr>
      <w:r>
        <w:rPr/>
        <w:t>估值与预期回报：现价已反映</w:t>
      </w:r>
      <w:r>
        <w:rPr/>
        <w:t>2027</w:t>
      </w:r>
      <w:r>
        <w:rPr/>
        <w:t>约</w:t>
      </w:r>
      <w:r>
        <w:rPr/>
        <w:t>34</w:t>
      </w:r>
      <w:r>
        <w:rPr/>
        <w:t>倍核心</w:t>
      </w:r>
      <w:r>
        <w:rPr/>
        <w:t>PE</w:t>
      </w:r>
      <w:r>
        <w:rPr/>
        <w:t>，半年基准空间有限；长期收入</w:t>
      </w:r>
      <w:r>
        <w:rPr/>
        <w:t>/</w:t>
      </w:r>
      <w:r>
        <w:rPr/>
        <w:t>利润增长提供回报，融资和倍数下调损失不可忽略；量价与相对强弱：</w:t>
      </w:r>
      <w:r>
        <w:rPr/>
        <w:t>20/60/120/250</w:t>
      </w:r>
      <w:r>
        <w:rPr/>
        <w:t>日均线向上与显著恒指超额支持趋势；日</w:t>
      </w:r>
      <w:r>
        <w:rPr/>
        <w:t>MACD</w:t>
      </w:r>
      <w:r>
        <w:rPr/>
        <w:t>减速、近前高且成交量分歧扣分；经营增长与商业质量：有机收入</w:t>
      </w:r>
      <w:r>
        <w:rPr/>
        <w:t>31.7%</w:t>
      </w:r>
      <w:r>
        <w:rPr/>
        <w:t>增长、后期项目</w:t>
      </w:r>
      <w:r>
        <w:rPr/>
        <w:t>57</w:t>
      </w:r>
      <w:r>
        <w:rPr/>
        <w:t>个与订单增长支持质量；股份酬金、收购及利用率仍须验证；行业周期与需求：</w:t>
      </w:r>
      <w:r>
        <w:rPr/>
        <w:t>ADC</w:t>
      </w:r>
      <w:r>
        <w:rPr/>
        <w:t>临床</w:t>
      </w:r>
      <w:r>
        <w:rPr/>
        <w:t>/</w:t>
      </w:r>
      <w:r>
        <w:rPr/>
        <w:t>商业化扩大，早期与后期服务需求同时增长；支付、研发融资及新增供给构成约束；期限催化剂：年报、无锡</w:t>
      </w:r>
      <w:r>
        <w:rPr/>
        <w:t>PLI</w:t>
      </w:r>
      <w:r>
        <w:rPr/>
        <w:t>准备、新加坡爬坡及</w:t>
      </w:r>
      <w:r>
        <w:rPr/>
        <w:t>PPQ</w:t>
      </w:r>
      <w:r>
        <w:rPr/>
        <w:t>转商业化；</w:t>
      </w:r>
      <w:r>
        <w:rPr/>
        <w:t>FDA</w:t>
      </w:r>
      <w:r>
        <w:rPr/>
        <w:t>日期来自新闻转述并非确定承诺；财务治理与下行风险：现金和定存</w:t>
      </w:r>
      <w:r>
        <w:rPr/>
        <w:t>5.118bn</w:t>
      </w:r>
      <w:r>
        <w:rPr/>
        <w:t>、债务</w:t>
      </w:r>
      <w:r>
        <w:rPr/>
        <w:t>0.491bn</w:t>
      </w:r>
      <w:r>
        <w:rPr/>
        <w:t>有缓冲；</w:t>
      </w:r>
      <w:r>
        <w:rPr/>
        <w:t>80</w:t>
      </w:r>
      <w:r>
        <w:rPr/>
        <w:t>亿元分期资本计划、外汇、稀释和跨国政策风险保留。</w:t>
      </w:r>
    </w:p>
    <w:p>
      <w:pPr>
        <w:pStyle w:val="Heading3"/>
        <w:rPr/>
      </w:pPr>
      <w:r>
        <w:rPr>
          <w:color w:val="000000"/>
        </w:rPr>
        <w:t xml:space="preserve">网易 </w:t>
      </w:r>
      <w:r>
        <w:rPr>
          <w:color w:val="000000"/>
        </w:rPr>
        <w:t xml:space="preserve">09999 HK </w:t>
      </w:r>
      <w:r>
        <w:rPr>
          <w:color w:val="000000"/>
        </w:rPr>
        <w:t>评分证据</w:t>
      </w:r>
    </w:p>
    <w:p>
      <w:pPr>
        <w:pStyle w:val="Normal"/>
        <w:rPr/>
      </w:pPr>
      <w:r>
        <w:rPr/>
        <w:t xml:space="preserve">估值与预期回报 </w:t>
      </w:r>
      <w:r>
        <w:rPr/>
        <w:t>3.6/5</w:t>
      </w:r>
      <w:r>
        <w:rPr/>
        <w:t>（权重</w:t>
      </w:r>
      <w:r>
        <w:rPr/>
        <w:t>25%</w:t>
      </w:r>
      <w:r>
        <w:rPr/>
        <w:t xml:space="preserve">）；量价与相对强弱 </w:t>
      </w:r>
      <w:r>
        <w:rPr/>
        <w:t>3.1/5</w:t>
      </w:r>
      <w:r>
        <w:rPr/>
        <w:t>（权重</w:t>
      </w:r>
      <w:r>
        <w:rPr/>
        <w:t>30%</w:t>
      </w:r>
      <w:r>
        <w:rPr/>
        <w:t xml:space="preserve">）；经营增长与商业质量 </w:t>
      </w:r>
      <w:r>
        <w:rPr/>
        <w:t>4.1/5</w:t>
      </w:r>
      <w:r>
        <w:rPr/>
        <w:t>（权重</w:t>
      </w:r>
      <w:r>
        <w:rPr/>
        <w:t>15%</w:t>
      </w:r>
      <w:r>
        <w:rPr/>
        <w:t xml:space="preserve">）；行业周期与需求 </w:t>
      </w:r>
      <w:r>
        <w:rPr/>
        <w:t>4/5</w:t>
      </w:r>
      <w:r>
        <w:rPr/>
        <w:t>（权重</w:t>
      </w:r>
      <w:r>
        <w:rPr/>
        <w:t>10%</w:t>
      </w:r>
      <w:r>
        <w:rPr/>
        <w:t xml:space="preserve">）；期限催化剂 </w:t>
      </w:r>
      <w:r>
        <w:rPr/>
        <w:t>3.7/5</w:t>
      </w:r>
      <w:r>
        <w:rPr/>
        <w:t>（权重</w:t>
      </w:r>
      <w:r>
        <w:rPr/>
        <w:t>10%</w:t>
      </w:r>
      <w:r>
        <w:rPr/>
        <w:t xml:space="preserve">）；财务治理与下行风险 </w:t>
      </w:r>
      <w:r>
        <w:rPr/>
        <w:t>4.2/5</w:t>
      </w:r>
      <w:r>
        <w:rPr/>
        <w:t>（权重</w:t>
      </w:r>
      <w:r>
        <w:rPr/>
        <w:t>10%</w:t>
      </w:r>
      <w:r>
        <w:rPr/>
        <w:t>）。</w:t>
      </w:r>
    </w:p>
    <w:p>
      <w:pPr>
        <w:pStyle w:val="Normal"/>
        <w:rPr/>
      </w:pPr>
      <w:r>
        <w:rPr/>
        <w:t>估值与预期回报：历史非公认会计准则市盈率约</w:t>
      </w:r>
      <w:r>
        <w:rPr/>
        <w:t>15.16</w:t>
      </w:r>
      <w:r>
        <w:rPr/>
        <w:t>倍；现金充足，估值不重复加回。第二季度投资与税项损失降低净利润的可预测性；量价与相对强弱：现价高于</w:t>
      </w:r>
      <w:r>
        <w:rPr/>
        <w:t>20</w:t>
      </w:r>
      <w:r>
        <w:rPr/>
        <w:t>、</w:t>
      </w:r>
      <w:r>
        <w:rPr/>
        <w:t>60</w:t>
      </w:r>
      <w:r>
        <w:rPr/>
        <w:t>和</w:t>
      </w:r>
      <w:r>
        <w:rPr/>
        <w:t>120</w:t>
      </w:r>
      <w:r>
        <w:rPr/>
        <w:t>日均线，量比</w:t>
      </w:r>
      <w:r>
        <w:rPr/>
        <w:t>1.445</w:t>
      </w:r>
      <w:r>
        <w:rPr/>
        <w:t>，仍低于</w:t>
      </w:r>
      <w:r>
        <w:rPr/>
        <w:t>250</w:t>
      </w:r>
      <w:r>
        <w:rPr/>
        <w:t>日均线；周线信号不一致。相对恒生指数，</w:t>
      </w:r>
      <w:r>
        <w:rPr/>
        <w:t>20</w:t>
      </w:r>
      <w:r>
        <w:rPr/>
        <w:t>日超额回报</w:t>
      </w:r>
      <w:r>
        <w:rPr/>
        <w:t>+8.66</w:t>
      </w:r>
      <w:r>
        <w:rPr/>
        <w:t>个百分点，</w:t>
      </w:r>
      <w:r>
        <w:rPr/>
        <w:t>60</w:t>
      </w:r>
      <w:r>
        <w:rPr/>
        <w:t>日为</w:t>
      </w:r>
      <w:r>
        <w:rPr/>
        <w:t>-2.19</w:t>
      </w:r>
      <w:r>
        <w:rPr/>
        <w:t>个百分点；经营增长与商业质量：上半年游戏收入增长</w:t>
      </w:r>
      <w:r>
        <w:rPr/>
        <w:t>8.3%</w:t>
      </w:r>
      <w:r>
        <w:rPr/>
        <w:t>，第二季度游戏毛利率</w:t>
      </w:r>
      <w:r>
        <w:rPr/>
        <w:t>76.1%</w:t>
      </w:r>
      <w:r>
        <w:rPr/>
        <w:t>；成熟游戏系列支撑经营利润，收入对重点内容的依赖仍需关注；行业周期与需求：全球内容需求和人工智能应用提供增长及效率机会；渠道议价和游戏供给竞争约束长期价值；期限催化剂：新游戏推出、成熟游戏更新及季度经营利润到净利润的变化是观察催化；未公布的上线日期留空；财务治理与下行风险：上半年经营现金流</w:t>
      </w:r>
      <w:r>
        <w:rPr/>
        <w:t>237.06</w:t>
      </w:r>
      <w:r>
        <w:rPr/>
        <w:t>亿元，净现金</w:t>
      </w:r>
      <w:r>
        <w:rPr/>
        <w:t>1,675</w:t>
      </w:r>
      <w:r>
        <w:rPr/>
        <w:t>亿元，设备支出较低；投资、税项、股份支付及现金配置仍有风险。</w:t>
      </w:r>
    </w:p>
    <w:p>
      <w:pPr>
        <w:pStyle w:val="Heading3"/>
        <w:rPr/>
      </w:pPr>
      <w:r>
        <w:rPr>
          <w:color w:val="000000"/>
        </w:rPr>
        <w:t xml:space="preserve">海尔生物 </w:t>
      </w:r>
      <w:r>
        <w:rPr>
          <w:color w:val="000000"/>
        </w:rPr>
        <w:t xml:space="preserve">688139 SH </w:t>
      </w:r>
      <w:r>
        <w:rPr>
          <w:color w:val="000000"/>
        </w:rPr>
        <w:t>评分证据</w:t>
      </w:r>
    </w:p>
    <w:p>
      <w:pPr>
        <w:pStyle w:val="Normal"/>
        <w:rPr/>
      </w:pPr>
      <w:r>
        <w:rPr/>
        <w:t xml:space="preserve">估值与预期回报 </w:t>
      </w:r>
      <w:r>
        <w:rPr/>
        <w:t>3/5</w:t>
      </w:r>
      <w:r>
        <w:rPr/>
        <w:t>（权重</w:t>
      </w:r>
      <w:r>
        <w:rPr/>
        <w:t>25%</w:t>
      </w:r>
      <w:r>
        <w:rPr/>
        <w:t xml:space="preserve">）；量价与相对强弱 </w:t>
      </w:r>
      <w:r>
        <w:rPr/>
        <w:t>4/5</w:t>
      </w:r>
      <w:r>
        <w:rPr/>
        <w:t>（权重</w:t>
      </w:r>
      <w:r>
        <w:rPr/>
        <w:t>30%</w:t>
      </w:r>
      <w:r>
        <w:rPr/>
        <w:t xml:space="preserve">）；经营增长与商业质量 </w:t>
      </w:r>
      <w:r>
        <w:rPr/>
        <w:t>3.6/5</w:t>
      </w:r>
      <w:r>
        <w:rPr/>
        <w:t>（权重</w:t>
      </w:r>
      <w:r>
        <w:rPr/>
        <w:t>15%</w:t>
      </w:r>
      <w:r>
        <w:rPr/>
        <w:t xml:space="preserve">）；行业周期与需求 </w:t>
      </w:r>
      <w:r>
        <w:rPr/>
        <w:t>3.8/5</w:t>
      </w:r>
      <w:r>
        <w:rPr/>
        <w:t>（权重</w:t>
      </w:r>
      <w:r>
        <w:rPr/>
        <w:t>10%</w:t>
      </w:r>
      <w:r>
        <w:rPr/>
        <w:t xml:space="preserve">）；期限催化剂 </w:t>
      </w:r>
      <w:r>
        <w:rPr/>
        <w:t>3.8/5</w:t>
      </w:r>
      <w:r>
        <w:rPr/>
        <w:t>（权重</w:t>
      </w:r>
      <w:r>
        <w:rPr/>
        <w:t>10%</w:t>
      </w:r>
      <w:r>
        <w:rPr/>
        <w:t xml:space="preserve">）；财务治理与下行风险 </w:t>
      </w:r>
      <w:r>
        <w:rPr/>
        <w:t>3.8/5</w:t>
      </w:r>
      <w:r>
        <w:rPr/>
        <w:t>（权重</w:t>
      </w:r>
      <w:r>
        <w:rPr/>
        <w:t>10%</w:t>
      </w:r>
      <w:r>
        <w:rPr/>
        <w:t>）。</w:t>
      </w:r>
    </w:p>
    <w:p>
      <w:pPr>
        <w:pStyle w:val="Normal"/>
        <w:rPr/>
      </w:pPr>
      <w:r>
        <w:rPr/>
        <w:t>估值与预期回报：</w:t>
      </w:r>
      <w:r>
        <w:rPr/>
        <w:t>FY2025</w:t>
      </w:r>
      <w:r>
        <w:rPr/>
        <w:t>报告</w:t>
      </w:r>
      <w:r>
        <w:rPr/>
        <w:t>EPS</w:t>
      </w:r>
      <w:r>
        <w:rPr/>
        <w:t>对应</w:t>
      </w:r>
      <w:r>
        <w:rPr/>
        <w:t>43.9</w:t>
      </w:r>
      <w:r>
        <w:rPr/>
        <w:t>倍，基准一年</w:t>
      </w:r>
      <w:r>
        <w:rPr/>
        <w:t>45.5</w:t>
      </w:r>
      <w:r>
        <w:rPr/>
        <w:t>元，增长证据支持但价格不便宜；量价与相对强弱：所有日均线上方且斜率正，</w:t>
      </w:r>
      <w:r>
        <w:rPr/>
        <w:t>60</w:t>
      </w:r>
      <w:r>
        <w:rPr/>
        <w:t>日</w:t>
      </w:r>
      <w:r>
        <w:rPr/>
        <w:t>+30.30%</w:t>
      </w:r>
      <w:r>
        <w:rPr/>
        <w:t>与市场超额</w:t>
      </w:r>
      <w:r>
        <w:rPr/>
        <w:t>+41.77pp</w:t>
      </w:r>
      <w:r>
        <w:rPr/>
        <w:t>；接近</w:t>
      </w:r>
      <w:r>
        <w:rPr/>
        <w:t>36.24</w:t>
      </w:r>
      <w:r>
        <w:rPr/>
        <w:t>阻力且</w:t>
      </w:r>
      <w:r>
        <w:rPr/>
        <w:t>RSI66.5</w:t>
      </w:r>
      <w:r>
        <w:rPr/>
        <w:t>；经营增长与商业质量：收入</w:t>
      </w:r>
      <w:r>
        <w:rPr/>
        <w:t>8.45%</w:t>
      </w:r>
      <w:r>
        <w:rPr/>
        <w:t>、扣非</w:t>
      </w:r>
      <w:r>
        <w:rPr/>
        <w:t>11.39%</w:t>
      </w:r>
      <w:r>
        <w:rPr/>
        <w:t>、制药</w:t>
      </w:r>
      <w:r>
        <w:rPr/>
        <w:t>23%</w:t>
      </w:r>
      <w:r>
        <w:rPr/>
        <w:t>，利润率和海外真实收入仍需验证；行业周期与需求：制药</w:t>
      </w:r>
      <w:r>
        <w:rPr/>
        <w:t>/</w:t>
      </w:r>
      <w:r>
        <w:rPr/>
        <w:t>科研工具国产替代与耗材自动化，医院公卫预算和项目波动约束；期限催化剂：项目二期首单、订单增速与回购，但临床器械注册及海外放量未保证；财务治理与下行风险：低银行债、研发全费用化和现金回款改善；并购商誉、长期存款及关联交易要看资本回报。</w:t>
      </w:r>
    </w:p>
    <w:p>
      <w:pPr>
        <w:pStyle w:val="Heading3"/>
        <w:rPr/>
      </w:pPr>
      <w:r>
        <w:rPr>
          <w:color w:val="000000"/>
        </w:rPr>
        <w:t xml:space="preserve">恒瑞医药 </w:t>
      </w:r>
      <w:r>
        <w:rPr>
          <w:color w:val="000000"/>
        </w:rPr>
        <w:t xml:space="preserve">01276 HK </w:t>
      </w:r>
      <w:r>
        <w:rPr>
          <w:color w:val="000000"/>
        </w:rPr>
        <w:t>评分证据</w:t>
      </w:r>
    </w:p>
    <w:p>
      <w:pPr>
        <w:pStyle w:val="Normal"/>
        <w:rPr/>
      </w:pPr>
      <w:r>
        <w:rPr/>
        <w:t xml:space="preserve">估值与预期回报 </w:t>
      </w:r>
      <w:r>
        <w:rPr/>
        <w:t>3.7/5</w:t>
      </w:r>
      <w:r>
        <w:rPr/>
        <w:t>（权重</w:t>
      </w:r>
      <w:r>
        <w:rPr/>
        <w:t>25%</w:t>
      </w:r>
      <w:r>
        <w:rPr/>
        <w:t xml:space="preserve">）；量价与相对强弱 </w:t>
      </w:r>
      <w:r>
        <w:rPr/>
        <w:t>3/5</w:t>
      </w:r>
      <w:r>
        <w:rPr/>
        <w:t>（权重</w:t>
      </w:r>
      <w:r>
        <w:rPr/>
        <w:t>30%</w:t>
      </w:r>
      <w:r>
        <w:rPr/>
        <w:t xml:space="preserve">）；经营增长与商业质量 </w:t>
      </w:r>
      <w:r>
        <w:rPr/>
        <w:t>4/5</w:t>
      </w:r>
      <w:r>
        <w:rPr/>
        <w:t>（权重</w:t>
      </w:r>
      <w:r>
        <w:rPr/>
        <w:t>15%</w:t>
      </w:r>
      <w:r>
        <w:rPr/>
        <w:t xml:space="preserve">）；行业周期与需求 </w:t>
      </w:r>
      <w:r>
        <w:rPr/>
        <w:t>4/5</w:t>
      </w:r>
      <w:r>
        <w:rPr/>
        <w:t>（权重</w:t>
      </w:r>
      <w:r>
        <w:rPr/>
        <w:t>10%</w:t>
      </w:r>
      <w:r>
        <w:rPr/>
        <w:t xml:space="preserve">）；期限催化剂 </w:t>
      </w:r>
      <w:r>
        <w:rPr/>
        <w:t>4.1/5</w:t>
      </w:r>
      <w:r>
        <w:rPr/>
        <w:t>（权重</w:t>
      </w:r>
      <w:r>
        <w:rPr/>
        <w:t>10%</w:t>
      </w:r>
      <w:r>
        <w:rPr/>
        <w:t xml:space="preserve">）；财务治理与下行风险 </w:t>
      </w:r>
      <w:r>
        <w:rPr/>
        <w:t>3.9/5</w:t>
      </w:r>
      <w:r>
        <w:rPr/>
        <w:t>（权重</w:t>
      </w:r>
      <w:r>
        <w:rPr/>
        <w:t>10%</w:t>
      </w:r>
      <w:r>
        <w:rPr/>
        <w:t>）。</w:t>
      </w:r>
    </w:p>
    <w:p>
      <w:pPr>
        <w:pStyle w:val="Normal"/>
        <w:rPr/>
      </w:pPr>
      <w:r>
        <w:rPr/>
        <w:t>估值与预期回报：</w:t>
      </w:r>
      <w:r>
        <w:rPr/>
        <w:t>H</w:t>
      </w:r>
      <w:r>
        <w:rPr/>
        <w:t>股研究汇率下折价，一年基准上行</w:t>
      </w:r>
      <w:r>
        <w:rPr/>
        <w:t>44.38%</w:t>
      </w:r>
      <w:r>
        <w:rPr/>
        <w:t>，但正常化盈利与高</w:t>
      </w:r>
      <w:r>
        <w:rPr/>
        <w:t>PE</w:t>
      </w:r>
      <w:r>
        <w:rPr/>
        <w:t>须兑现；量价与相对强弱：</w:t>
      </w:r>
      <w:r>
        <w:rPr/>
        <w:t>A/H</w:t>
      </w:r>
      <w:r>
        <w:rPr/>
        <w:t>站上</w:t>
      </w:r>
      <w:r>
        <w:rPr/>
        <w:t>20</w:t>
      </w:r>
      <w:r>
        <w:rPr/>
        <w:t>日但低于</w:t>
      </w:r>
      <w:r>
        <w:rPr/>
        <w:t>60/120/250</w:t>
      </w:r>
      <w:r>
        <w:rPr/>
        <w:t>，</w:t>
      </w:r>
      <w:r>
        <w:rPr/>
        <w:t>60</w:t>
      </w:r>
      <w:r>
        <w:rPr/>
        <w:t>日回报落后市场；</w:t>
      </w:r>
      <w:r>
        <w:rPr/>
        <w:t>H</w:t>
      </w:r>
      <w:r>
        <w:rPr/>
        <w:t>最新量比</w:t>
      </w:r>
      <w:r>
        <w:rPr/>
        <w:t>1.64</w:t>
      </w:r>
      <w:r>
        <w:rPr/>
        <w:t>仍仅反弹；经营增长与商业质量：创新</w:t>
      </w:r>
      <w:r>
        <w:rPr/>
        <w:t>16.4%</w:t>
      </w:r>
      <w:r>
        <w:rPr/>
        <w:t>和非肿瘤</w:t>
      </w:r>
      <w:r>
        <w:rPr/>
        <w:t>74%</w:t>
      </w:r>
      <w:r>
        <w:rPr/>
        <w:t>真实放量；肿瘤</w:t>
      </w:r>
      <w:r>
        <w:rPr/>
        <w:t>2.6%</w:t>
      </w:r>
      <w:r>
        <w:rPr/>
        <w:t>与仿制</w:t>
      </w:r>
      <w:r>
        <w:rPr/>
        <w:t>-16.1%</w:t>
      </w:r>
      <w:r>
        <w:rPr/>
        <w:t>抵消；行业周期与需求：疾病刚需、慢病与全球授权；医保集采、竞争、利率为约束；期限催化剂：</w:t>
      </w:r>
      <w:r>
        <w:rPr/>
        <w:t>BMS</w:t>
      </w:r>
      <w:r>
        <w:rPr/>
        <w:t>首付</w:t>
      </w:r>
      <w:r>
        <w:rPr/>
        <w:t>/</w:t>
      </w:r>
      <w:r>
        <w:rPr/>
        <w:t>履约、免疫代谢、医院准入；获批</w:t>
      </w:r>
      <w:r>
        <w:rPr/>
        <w:t>/</w:t>
      </w:r>
      <w:r>
        <w:rPr/>
        <w:t>政策仍未知；财务治理与下行风险：现金与低负债强；</w:t>
      </w:r>
      <w:r>
        <w:rPr/>
        <w:t>OCF</w:t>
      </w:r>
      <w:r>
        <w:rPr/>
        <w:t>落后利润、研发资本化和公平价值需复核。</w:t>
      </w:r>
    </w:p>
    <w:p>
      <w:pPr>
        <w:pStyle w:val="Heading3"/>
        <w:rPr/>
      </w:pPr>
      <w:r>
        <w:rPr>
          <w:color w:val="000000"/>
        </w:rPr>
        <w:t xml:space="preserve">康龙化成 </w:t>
      </w:r>
      <w:r>
        <w:rPr>
          <w:color w:val="000000"/>
        </w:rPr>
        <w:t xml:space="preserve">03759 HK </w:t>
      </w:r>
      <w:r>
        <w:rPr>
          <w:color w:val="000000"/>
        </w:rPr>
        <w:t>评分证据</w:t>
      </w:r>
    </w:p>
    <w:p>
      <w:pPr>
        <w:pStyle w:val="Normal"/>
        <w:rPr/>
      </w:pPr>
      <w:r>
        <w:rPr/>
        <w:t xml:space="preserve">估值与预期回报 </w:t>
      </w:r>
      <w:r>
        <w:rPr/>
        <w:t>3.3/5</w:t>
      </w:r>
      <w:r>
        <w:rPr/>
        <w:t>（权重</w:t>
      </w:r>
      <w:r>
        <w:rPr/>
        <w:t>25%</w:t>
      </w:r>
      <w:r>
        <w:rPr/>
        <w:t xml:space="preserve">）；量价与相对强弱 </w:t>
      </w:r>
      <w:r>
        <w:rPr/>
        <w:t>3.7/5</w:t>
      </w:r>
      <w:r>
        <w:rPr/>
        <w:t>（权重</w:t>
      </w:r>
      <w:r>
        <w:rPr/>
        <w:t>30%</w:t>
      </w:r>
      <w:r>
        <w:rPr/>
        <w:t xml:space="preserve">）；经营增长与商业质量 </w:t>
      </w:r>
      <w:r>
        <w:rPr/>
        <w:t>3.9/5</w:t>
      </w:r>
      <w:r>
        <w:rPr/>
        <w:t>（权重</w:t>
      </w:r>
      <w:r>
        <w:rPr/>
        <w:t>15%</w:t>
      </w:r>
      <w:r>
        <w:rPr/>
        <w:t xml:space="preserve">）；行业周期与需求 </w:t>
      </w:r>
      <w:r>
        <w:rPr/>
        <w:t>4.2/5</w:t>
      </w:r>
      <w:r>
        <w:rPr/>
        <w:t>（权重</w:t>
      </w:r>
      <w:r>
        <w:rPr/>
        <w:t>10%</w:t>
      </w:r>
      <w:r>
        <w:rPr/>
        <w:t xml:space="preserve">）；期限催化剂 </w:t>
      </w:r>
      <w:r>
        <w:rPr/>
        <w:t>4.1/5</w:t>
      </w:r>
      <w:r>
        <w:rPr/>
        <w:t>（权重</w:t>
      </w:r>
      <w:r>
        <w:rPr/>
        <w:t>10%</w:t>
      </w:r>
      <w:r>
        <w:rPr/>
        <w:t xml:space="preserve">）；财务治理与下行风险 </w:t>
      </w:r>
      <w:r>
        <w:rPr/>
        <w:t>2.7/5</w:t>
      </w:r>
      <w:r>
        <w:rPr/>
        <w:t>（权重</w:t>
      </w:r>
      <w:r>
        <w:rPr/>
        <w:t>10%</w:t>
      </w:r>
      <w:r>
        <w:rPr/>
        <w:t>）。</w:t>
      </w:r>
    </w:p>
    <w:p>
      <w:pPr>
        <w:pStyle w:val="Normal"/>
        <w:rPr/>
      </w:pPr>
      <w:r>
        <w:rPr/>
        <w:t>估值与预期回报：净母盈利扣正常成本税息及股酬，</w:t>
      </w:r>
      <w:r>
        <w:rPr/>
        <w:t>PE</w:t>
      </w:r>
      <w:r>
        <w:rPr/>
        <w:t>不再加减现金债；基准回报与高融资</w:t>
      </w:r>
      <w:r>
        <w:rPr/>
        <w:t>/</w:t>
      </w:r>
      <w:r>
        <w:rPr/>
        <w:t>低利用尾部并看；量价与相对强弱：四条日均线价上与向上、</w:t>
      </w:r>
      <w:r>
        <w:rPr/>
        <w:t>20/60</w:t>
      </w:r>
      <w:r>
        <w:rPr/>
        <w:t>市场超额正；当日放量下跌而短均量低，近期高点尚未突破；经营增长与商业质量：实验室</w:t>
      </w:r>
      <w:r>
        <w:rPr/>
        <w:t>13.7%</w:t>
      </w:r>
      <w:r>
        <w:rPr/>
        <w:t>、</w:t>
      </w:r>
      <w:r>
        <w:rPr/>
        <w:t>CDMO32.8%</w:t>
      </w:r>
      <w:r>
        <w:rPr/>
        <w:t>、新订单</w:t>
      </w:r>
      <w:r>
        <w:rPr/>
        <w:t>30%</w:t>
      </w:r>
      <w:r>
        <w:rPr/>
        <w:t>以上、</w:t>
      </w:r>
      <w:r>
        <w:rPr/>
        <w:t>85%CDMO</w:t>
      </w:r>
      <w:r>
        <w:rPr/>
        <w:t>由发现客户；现金同比降</w:t>
      </w:r>
      <w:r>
        <w:rPr/>
        <w:t>/</w:t>
      </w:r>
      <w:r>
        <w:rPr/>
        <w:t>海外低效需验证；行业周期与需求：早期融资回暖、商业</w:t>
      </w:r>
      <w:r>
        <w:rPr/>
        <w:t>GLP1</w:t>
      </w:r>
      <w:r>
        <w:rPr/>
        <w:t>与新分子外包；非所有订单都长年增长，跨境政策保留；期限催化剂：年报与订单转收入、生产检查及大项目、</w:t>
      </w:r>
      <w:r>
        <w:rPr/>
        <w:t>2027CB</w:t>
      </w:r>
      <w:r>
        <w:rPr/>
        <w:t>偿付或转股影响；无药品临床权属</w:t>
      </w:r>
      <w:r>
        <w:rPr/>
        <w:t>rNPV</w:t>
      </w:r>
      <w:r>
        <w:rPr/>
        <w:t>；财务治理与下行风险：</w:t>
      </w:r>
      <w:r>
        <w:rPr/>
        <w:t>H1</w:t>
      </w:r>
      <w:r>
        <w:rPr/>
        <w:t>银行</w:t>
      </w:r>
      <w:r>
        <w:rPr/>
        <w:t>6.474bn/</w:t>
      </w:r>
      <w:r>
        <w:rPr/>
        <w:t>可转债</w:t>
      </w:r>
      <w:r>
        <w:rPr/>
        <w:t>2.18bn</w:t>
      </w:r>
      <w:r>
        <w:rPr/>
        <w:t>且</w:t>
      </w:r>
      <w:r>
        <w:rPr/>
        <w:t>2027</w:t>
      </w:r>
      <w:r>
        <w:rPr/>
        <w:t>到期、资本开支与基金投入、股权融资</w:t>
      </w:r>
      <w:r>
        <w:rPr/>
        <w:t>/</w:t>
      </w:r>
      <w:r>
        <w:rPr/>
        <w:t>关联交易风险。</w:t>
      </w:r>
    </w:p>
    <w:p>
      <w:pPr>
        <w:pStyle w:val="Heading3"/>
        <w:rPr/>
      </w:pPr>
      <w:r>
        <w:rPr>
          <w:color w:val="000000"/>
        </w:rPr>
        <w:t xml:space="preserve">ASMPT 00522 HK </w:t>
      </w:r>
      <w:r>
        <w:rPr>
          <w:color w:val="000000"/>
        </w:rPr>
        <w:t>评分证据</w:t>
      </w:r>
    </w:p>
    <w:p>
      <w:pPr>
        <w:pStyle w:val="Normal"/>
        <w:rPr/>
      </w:pPr>
      <w:r>
        <w:rPr/>
        <w:t xml:space="preserve">估值与预期回报 </w:t>
      </w:r>
      <w:r>
        <w:rPr/>
        <w:t>3.4/5</w:t>
      </w:r>
      <w:r>
        <w:rPr/>
        <w:t>（权重</w:t>
      </w:r>
      <w:r>
        <w:rPr/>
        <w:t>25%</w:t>
      </w:r>
      <w:r>
        <w:rPr/>
        <w:t xml:space="preserve">）；量价与相对强弱 </w:t>
      </w:r>
      <w:r>
        <w:rPr/>
        <w:t>3/5</w:t>
      </w:r>
      <w:r>
        <w:rPr/>
        <w:t>（权重</w:t>
      </w:r>
      <w:r>
        <w:rPr/>
        <w:t>30%</w:t>
      </w:r>
      <w:r>
        <w:rPr/>
        <w:t xml:space="preserve">）；经营增长与商业质量 </w:t>
      </w:r>
      <w:r>
        <w:rPr/>
        <w:t>4.2/5</w:t>
      </w:r>
      <w:r>
        <w:rPr/>
        <w:t>（权重</w:t>
      </w:r>
      <w:r>
        <w:rPr/>
        <w:t>15%</w:t>
      </w:r>
      <w:r>
        <w:rPr/>
        <w:t xml:space="preserve">）；行业周期与需求 </w:t>
      </w:r>
      <w:r>
        <w:rPr/>
        <w:t>4.3/5</w:t>
      </w:r>
      <w:r>
        <w:rPr/>
        <w:t>（权重</w:t>
      </w:r>
      <w:r>
        <w:rPr/>
        <w:t>10%</w:t>
      </w:r>
      <w:r>
        <w:rPr/>
        <w:t xml:space="preserve">）；期限催化剂 </w:t>
      </w:r>
      <w:r>
        <w:rPr/>
        <w:t>4.4/5</w:t>
      </w:r>
      <w:r>
        <w:rPr/>
        <w:t>（权重</w:t>
      </w:r>
      <w:r>
        <w:rPr/>
        <w:t>10%</w:t>
      </w:r>
      <w:r>
        <w:rPr/>
        <w:t xml:space="preserve">）；财务治理与下行风险 </w:t>
      </w:r>
      <w:r>
        <w:rPr/>
        <w:t>3.4/5</w:t>
      </w:r>
      <w:r>
        <w:rPr/>
        <w:t>（权重</w:t>
      </w:r>
      <w:r>
        <w:rPr/>
        <w:t>10%</w:t>
      </w:r>
      <w:r>
        <w:rPr/>
        <w:t>）。</w:t>
      </w:r>
    </w:p>
    <w:p>
      <w:pPr>
        <w:pStyle w:val="Normal"/>
        <w:rPr/>
      </w:pPr>
      <w:r>
        <w:rPr/>
        <w:t>估值与预期回报：正常</w:t>
      </w:r>
      <w:r>
        <w:rPr/>
        <w:t>PE30</w:t>
      </w:r>
      <w:r>
        <w:rPr/>
        <w:t>需兑现而旧审计含处置</w:t>
      </w:r>
      <w:r>
        <w:rPr/>
        <w:t>EPS</w:t>
      </w:r>
      <w:r>
        <w:rPr/>
        <w:t>不适用；量价与相对强弱：长线仍上但近</w:t>
      </w:r>
      <w:r>
        <w:rPr/>
        <w:t>60</w:t>
      </w:r>
      <w:r>
        <w:rPr/>
        <w:t>日回撤、短中均线未收复；经营增长与商业质量：订单和营业杠杆强，常态</w:t>
      </w:r>
      <w:r>
        <w:rPr/>
        <w:t>SBC</w:t>
      </w:r>
      <w:r>
        <w:rPr/>
        <w:t>研发仍留；行业周期与需求：</w:t>
      </w:r>
      <w:r>
        <w:rPr/>
        <w:t>AI</w:t>
      </w:r>
      <w:r>
        <w:rPr/>
        <w:t>封装和主流复苏，材料交期与</w:t>
      </w:r>
      <w:r>
        <w:rPr/>
        <w:t>HB</w:t>
      </w:r>
      <w:r>
        <w:rPr/>
        <w:t>替代；期限催化剂：</w:t>
      </w:r>
      <w:r>
        <w:rPr/>
        <w:t>Q3</w:t>
      </w:r>
      <w:r>
        <w:rPr/>
        <w:t>正式指引</w:t>
      </w:r>
      <w:r>
        <w:rPr/>
        <w:t>/</w:t>
      </w:r>
      <w:r>
        <w:rPr/>
        <w:t>订单转收入，而</w:t>
      </w:r>
      <w:r>
        <w:rPr/>
        <w:t>SMT</w:t>
      </w:r>
      <w:r>
        <w:rPr/>
        <w:t>未交易；财务治理与下行风险：税</w:t>
      </w:r>
      <w:r>
        <w:rPr/>
        <w:t>/</w:t>
      </w:r>
      <w:r>
        <w:rPr/>
        <w:t>出口</w:t>
      </w:r>
      <w:r>
        <w:rPr/>
        <w:t>/</w:t>
      </w:r>
      <w:r>
        <w:rPr/>
        <w:t>客户及营运现金低于利润。</w:t>
      </w:r>
    </w:p>
    <w:p>
      <w:pPr>
        <w:pStyle w:val="Heading3"/>
        <w:rPr/>
      </w:pPr>
      <w:r>
        <w:rPr>
          <w:color w:val="000000"/>
        </w:rPr>
        <w:t xml:space="preserve">中国生物制药 </w:t>
      </w:r>
      <w:r>
        <w:rPr>
          <w:color w:val="000000"/>
        </w:rPr>
        <w:t xml:space="preserve">01177 HK </w:t>
      </w:r>
      <w:r>
        <w:rPr>
          <w:color w:val="000000"/>
        </w:rPr>
        <w:t>评分证据</w:t>
      </w:r>
    </w:p>
    <w:p>
      <w:pPr>
        <w:pStyle w:val="Normal"/>
        <w:rPr/>
      </w:pPr>
      <w:r>
        <w:rPr/>
        <w:t xml:space="preserve">估值与预期回报 </w:t>
      </w:r>
      <w:r>
        <w:rPr/>
        <w:t>4/5</w:t>
      </w:r>
      <w:r>
        <w:rPr/>
        <w:t>（权重</w:t>
      </w:r>
      <w:r>
        <w:rPr/>
        <w:t>25%</w:t>
      </w:r>
      <w:r>
        <w:rPr/>
        <w:t xml:space="preserve">）；量价与相对强弱 </w:t>
      </w:r>
      <w:r>
        <w:rPr/>
        <w:t>2.7/5</w:t>
      </w:r>
      <w:r>
        <w:rPr/>
        <w:t>（权重</w:t>
      </w:r>
      <w:r>
        <w:rPr/>
        <w:t>30%</w:t>
      </w:r>
      <w:r>
        <w:rPr/>
        <w:t xml:space="preserve">）；经营增长与商业质量 </w:t>
      </w:r>
      <w:r>
        <w:rPr/>
        <w:t>4/5</w:t>
      </w:r>
      <w:r>
        <w:rPr/>
        <w:t>（权重</w:t>
      </w:r>
      <w:r>
        <w:rPr/>
        <w:t>15%</w:t>
      </w:r>
      <w:r>
        <w:rPr/>
        <w:t xml:space="preserve">）；行业周期与需求 </w:t>
      </w:r>
      <w:r>
        <w:rPr/>
        <w:t>4/5</w:t>
      </w:r>
      <w:r>
        <w:rPr/>
        <w:t>（权重</w:t>
      </w:r>
      <w:r>
        <w:rPr/>
        <w:t>10%</w:t>
      </w:r>
      <w:r>
        <w:rPr/>
        <w:t xml:space="preserve">）；期限催化剂 </w:t>
      </w:r>
      <w:r>
        <w:rPr/>
        <w:t>4.4/5</w:t>
      </w:r>
      <w:r>
        <w:rPr/>
        <w:t>（权重</w:t>
      </w:r>
      <w:r>
        <w:rPr/>
        <w:t>10%</w:t>
      </w:r>
      <w:r>
        <w:rPr/>
        <w:t xml:space="preserve">）；财务治理与下行风险 </w:t>
      </w:r>
      <w:r>
        <w:rPr/>
        <w:t>3.1/5</w:t>
      </w:r>
      <w:r>
        <w:rPr/>
        <w:t>（权重</w:t>
      </w:r>
      <w:r>
        <w:rPr/>
        <w:t>10%</w:t>
      </w:r>
      <w:r>
        <w:rPr/>
        <w:t>）。</w:t>
      </w:r>
    </w:p>
    <w:p>
      <w:pPr>
        <w:pStyle w:val="Normal"/>
        <w:rPr/>
      </w:pPr>
      <w:r>
        <w:rPr/>
        <w:t>估值与预期回报：</w:t>
      </w:r>
      <w:r>
        <w:rPr/>
        <w:t>5.41</w:t>
      </w:r>
      <w:r>
        <w:rPr/>
        <w:t>较近期公开外资</w:t>
      </w:r>
      <w:r>
        <w:rPr/>
        <w:t>7.2—10.8</w:t>
      </w:r>
      <w:r>
        <w:rPr/>
        <w:t>有空间；核心盈利去首付</w:t>
      </w:r>
      <w:r>
        <w:rPr/>
        <w:t>/</w:t>
      </w:r>
      <w:r>
        <w:rPr/>
        <w:t>投资，现金扣收购净债务，非直接采集团净现金；量价与相对强弱：高</w:t>
      </w:r>
      <w:r>
        <w:rPr/>
        <w:t>60/120</w:t>
      </w:r>
      <w:r>
        <w:rPr/>
        <w:t>日、低</w:t>
      </w:r>
      <w:r>
        <w:rPr/>
        <w:t>20/250</w:t>
      </w:r>
      <w:r>
        <w:rPr/>
        <w:t>日，</w:t>
      </w:r>
      <w:r>
        <w:rPr/>
        <w:t>60</w:t>
      </w:r>
      <w:r>
        <w:rPr/>
        <w:t>日恒指超额</w:t>
      </w:r>
      <w:r>
        <w:rPr/>
        <w:t>7.38pp</w:t>
      </w:r>
      <w:r>
        <w:rPr/>
        <w:t>但日动量弱，周线反弹未全面反转；经营增长与商业质量：创新产品</w:t>
      </w:r>
      <w:r>
        <w:rPr/>
        <w:t>78.1</w:t>
      </w:r>
      <w:r>
        <w:rPr/>
        <w:t>亿增长</w:t>
      </w:r>
      <w:r>
        <w:rPr/>
        <w:t>29.2%</w:t>
      </w:r>
      <w:r>
        <w:rPr/>
        <w:t>、产品</w:t>
      </w:r>
      <w:r>
        <w:rPr/>
        <w:t>+5.6%</w:t>
      </w:r>
      <w:r>
        <w:rPr/>
        <w:t>；费用节省及基本利润仍含授权，未视为全持续；行业周期与需求：肿瘤</w:t>
      </w:r>
      <w:r>
        <w:rPr/>
        <w:t>/</w:t>
      </w:r>
      <w:r>
        <w:rPr/>
        <w:t>呼吸</w:t>
      </w:r>
      <w:r>
        <w:rPr/>
        <w:t>/</w:t>
      </w:r>
      <w:r>
        <w:rPr/>
        <w:t>肝病需求，仿制药医保和商业化准入，多个机制仍需临床证明；期限催化剂：</w:t>
      </w:r>
      <w:r>
        <w:rPr/>
        <w:t>TQC3721</w:t>
      </w:r>
      <w:r>
        <w:rPr/>
        <w:t>十月三期完成入组、引进</w:t>
      </w:r>
      <w:r>
        <w:rPr/>
        <w:t>bepirovirsen</w:t>
      </w:r>
      <w:r>
        <w:rPr/>
        <w:t>审批及新适应症、</w:t>
      </w:r>
      <w:r>
        <w:rPr/>
        <w:t>STADA</w:t>
      </w:r>
      <w:r>
        <w:rPr/>
        <w:t>海外平台；财务治理与下行风险：合并少数权益与借款大、</w:t>
      </w:r>
      <w:r>
        <w:rPr/>
        <w:t>5%</w:t>
      </w:r>
      <w:r>
        <w:rPr/>
        <w:t>关联交易包含目标债务、现金</w:t>
      </w:r>
      <w:r>
        <w:rPr/>
        <w:t>/</w:t>
      </w:r>
      <w:r>
        <w:rPr/>
        <w:t>利润归属需穿透，承诺保持研发支出。</w:t>
      </w:r>
    </w:p>
    <w:p>
      <w:pPr>
        <w:pStyle w:val="Heading2"/>
        <w:rPr/>
      </w:pPr>
      <w:bookmarkStart w:id="3" w:name="__RefHeading___Toc4845_1919545624"/>
      <w:bookmarkEnd w:id="3"/>
      <w:r>
        <w:rPr>
          <w:color w:val="000000"/>
        </w:rPr>
        <w:t>一年 全名单可评估股票</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643"/>
        <w:gridCol w:w="1642"/>
        <w:gridCol w:w="1644"/>
        <w:gridCol w:w="1643"/>
        <w:gridCol w:w="1642"/>
        <w:gridCol w:w="1644"/>
      </w:tblGrid>
      <w:tr>
        <w:trPr>
          <w:tblHeader w:val="true"/>
          <w:cantSplit/>
        </w:trPr>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全榜名次</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公司</w:t>
            </w:r>
            <w:r>
              <w:rPr>
                <w:rFonts w:eastAsia="微软雅黑" w:ascii="微软雅黑" w:hAnsi="微软雅黑"/>
                <w:b/>
                <w:color w:val="FFFFFF"/>
                <w:sz w:val="17"/>
              </w:rPr>
              <w:t>/</w:t>
            </w:r>
            <w:r>
              <w:rPr>
                <w:rFonts w:ascii="微软雅黑" w:hAnsi="微软雅黑" w:eastAsia="微软雅黑"/>
                <w:b/>
                <w:color w:val="FFFFFF"/>
                <w:sz w:val="17"/>
              </w:rPr>
              <w:t>优先代码</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得分</w:t>
            </w:r>
          </w:p>
        </w:tc>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基准目标</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股价涨幅</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悲观涨跌幅</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百济神州</w:t>
            </w:r>
            <w:r>
              <w:rPr>
                <w:rFonts w:eastAsia="微软雅黑" w:ascii="微软雅黑" w:hAnsi="微软雅黑"/>
                <w:sz w:val="17"/>
              </w:rPr>
              <w:br/>
              <w:t>06160.HK</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84.80</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393.06</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+87.53%</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-74.54%</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药明康德</w:t>
            </w:r>
            <w:r>
              <w:rPr>
                <w:rFonts w:eastAsia="微软雅黑" w:ascii="微软雅黑" w:hAnsi="微软雅黑"/>
                <w:sz w:val="17"/>
              </w:rPr>
              <w:br/>
              <w:t>603259.SH</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81.60</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218.50</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+38.47%</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-24.59%</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药明合联</w:t>
            </w:r>
            <w:r>
              <w:rPr>
                <w:rFonts w:eastAsia="微软雅黑" w:ascii="微软雅黑" w:hAnsi="微软雅黑"/>
                <w:sz w:val="17"/>
              </w:rPr>
              <w:br/>
              <w:t>02268.HK</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80.20</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110.33</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+34.38%</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-32.47%</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信达生物</w:t>
            </w:r>
            <w:r>
              <w:rPr>
                <w:rFonts w:eastAsia="微软雅黑" w:ascii="微软雅黑" w:hAnsi="微软雅黑"/>
                <w:sz w:val="17"/>
              </w:rPr>
              <w:br/>
              <w:t>01801.HK</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79.60</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139.81</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+50.90%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-39.92%</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ASMPT</w:t>
              <w:br/>
              <w:t>00522.HK</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78.80</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245.89</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+52.44%</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-90.39%</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8</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网易</w:t>
            </w:r>
            <w:r>
              <w:rPr>
                <w:rFonts w:eastAsia="微软雅黑" w:ascii="微软雅黑" w:hAnsi="微软雅黑"/>
                <w:sz w:val="17"/>
              </w:rPr>
              <w:br/>
              <w:t>09999.HK</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78.00</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257.40</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+33.02%</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-24.96%</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9</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恒瑞医药</w:t>
            </w:r>
            <w:r>
              <w:rPr>
                <w:rFonts w:eastAsia="微软雅黑" w:ascii="微软雅黑" w:hAnsi="微软雅黑"/>
                <w:sz w:val="17"/>
              </w:rPr>
              <w:br/>
              <w:t>01276.HK</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77.80</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69.30</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+44.38%</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-36.98%</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10</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京东健康</w:t>
            </w:r>
            <w:r>
              <w:rPr>
                <w:rFonts w:eastAsia="微软雅黑" w:ascii="微软雅黑" w:hAnsi="微软雅黑"/>
                <w:sz w:val="17"/>
              </w:rPr>
              <w:br/>
              <w:t>06618.HK</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77.20</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61.04</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+69.18%</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-66.77%</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11</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凯莱英</w:t>
            </w:r>
            <w:r>
              <w:rPr>
                <w:rFonts w:eastAsia="微软雅黑" w:ascii="微软雅黑" w:hAnsi="微软雅黑"/>
                <w:sz w:val="17"/>
              </w:rPr>
              <w:br/>
              <w:t>06821.HK</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77.20</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205.70</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+32.62%</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-53.19%</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12</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翰森制药</w:t>
            </w:r>
            <w:r>
              <w:rPr>
                <w:rFonts w:eastAsia="微软雅黑" w:ascii="微软雅黑" w:hAnsi="微软雅黑"/>
                <w:sz w:val="17"/>
              </w:rPr>
              <w:br/>
              <w:t>03692.HK</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77.10</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46.01</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+45.88%</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-25.46%</w:t>
            </w:r>
          </w:p>
        </w:tc>
      </w:tr>
    </w:tbl>
    <w:p>
      <w:pPr>
        <w:pStyle w:val="Normal"/>
        <w:rPr/>
      </w:pPr>
      <w:r>
        <w:rPr/>
      </w:r>
    </w:p>
    <w:p>
      <w:pPr>
        <w:pStyle w:val="Normal"/>
        <w:rPr/>
      </w:pPr>
      <w:r>
        <w:rPr/>
        <w:t>上表突出前十家不同公司，名次保留股票全榜位置；</w:t>
      </w:r>
      <w:r>
        <w:rPr/>
        <w:t>A/H</w:t>
      </w:r>
      <w:r>
        <w:rPr/>
        <w:t>其他代码与全部可评估证券见</w:t>
      </w:r>
      <w:r>
        <w:rPr/>
        <w:t>Excel</w:t>
      </w:r>
      <w:r>
        <w:rPr/>
        <w:t>。全部公司研究已覆盖，暂不排名原因逐证券公开。</w:t>
      </w:r>
    </w:p>
    <w:p>
      <w:pPr>
        <w:pStyle w:val="Heading3"/>
        <w:rPr/>
      </w:pPr>
      <w:r>
        <w:rPr>
          <w:color w:val="000000"/>
        </w:rPr>
        <w:t xml:space="preserve">百济神州 </w:t>
      </w:r>
      <w:r>
        <w:rPr>
          <w:color w:val="000000"/>
        </w:rPr>
        <w:t xml:space="preserve">06160 HK </w:t>
      </w:r>
      <w:r>
        <w:rPr>
          <w:color w:val="000000"/>
        </w:rPr>
        <w:t>评分证据</w:t>
      </w:r>
    </w:p>
    <w:p>
      <w:pPr>
        <w:pStyle w:val="Normal"/>
        <w:rPr/>
      </w:pPr>
      <w:r>
        <w:rPr/>
        <w:t xml:space="preserve">估值与预期回报 </w:t>
      </w:r>
      <w:r>
        <w:rPr/>
        <w:t>4.3/5</w:t>
      </w:r>
      <w:r>
        <w:rPr/>
        <w:t>（权重</w:t>
      </w:r>
      <w:r>
        <w:rPr/>
        <w:t>25%</w:t>
      </w:r>
      <w:r>
        <w:rPr/>
        <w:t xml:space="preserve">）；量价与相对强弱 </w:t>
      </w:r>
      <w:r>
        <w:rPr/>
        <w:t>3.3/5</w:t>
      </w:r>
      <w:r>
        <w:rPr/>
        <w:t>（权重</w:t>
      </w:r>
      <w:r>
        <w:rPr/>
        <w:t>15%</w:t>
      </w:r>
      <w:r>
        <w:rPr/>
        <w:t xml:space="preserve">）；经营增长与商业质量 </w:t>
      </w:r>
      <w:r>
        <w:rPr/>
        <w:t>4.6/5</w:t>
      </w:r>
      <w:r>
        <w:rPr/>
        <w:t>（权重</w:t>
      </w:r>
      <w:r>
        <w:rPr/>
        <w:t>25%</w:t>
      </w:r>
      <w:r>
        <w:rPr/>
        <w:t xml:space="preserve">）；行业周期与需求 </w:t>
      </w:r>
      <w:r>
        <w:rPr/>
        <w:t>4.6/5</w:t>
      </w:r>
      <w:r>
        <w:rPr/>
        <w:t>（权重</w:t>
      </w:r>
      <w:r>
        <w:rPr/>
        <w:t>15%</w:t>
      </w:r>
      <w:r>
        <w:rPr/>
        <w:t xml:space="preserve">）；期限催化剂 </w:t>
      </w:r>
      <w:r>
        <w:rPr/>
        <w:t>4.5/5</w:t>
      </w:r>
      <w:r>
        <w:rPr/>
        <w:t>（权重</w:t>
      </w:r>
      <w:r>
        <w:rPr/>
        <w:t>10%</w:t>
      </w:r>
      <w:r>
        <w:rPr/>
        <w:t xml:space="preserve">）；财务治理与下行风险 </w:t>
      </w:r>
      <w:r>
        <w:rPr/>
        <w:t>3.8/5</w:t>
      </w:r>
      <w:r>
        <w:rPr/>
        <w:t>（权重</w:t>
      </w:r>
      <w:r>
        <w:rPr/>
        <w:t>10%</w:t>
      </w:r>
      <w:r>
        <w:rPr/>
        <w:t>）。</w:t>
      </w:r>
    </w:p>
    <w:p>
      <w:pPr>
        <w:pStyle w:val="Normal"/>
        <w:rPr/>
      </w:pPr>
      <w:r>
        <w:rPr/>
        <w:t>估值与预期回报：同股经济收益共享，</w:t>
      </w:r>
      <w:r>
        <w:rPr/>
        <w:t>HK</w:t>
      </w:r>
      <w:r>
        <w:rPr/>
        <w:t>估值较低而</w:t>
      </w:r>
      <w:r>
        <w:rPr/>
        <w:t>A</w:t>
      </w:r>
      <w:r>
        <w:rPr/>
        <w:t>股溢价需要敏感性；用正常税后经营利润</w:t>
      </w:r>
      <w:r>
        <w:rPr/>
        <w:t>+</w:t>
      </w:r>
      <w:r>
        <w:rPr/>
        <w:t>超额净现金，不使用报告</w:t>
      </w:r>
      <w:r>
        <w:rPr/>
        <w:t>PE</w:t>
      </w:r>
      <w:r>
        <w:rPr/>
        <w:t>直接外推；量价与相对强弱：</w:t>
      </w:r>
      <w:r>
        <w:rPr/>
        <w:t>HK</w:t>
      </w:r>
      <w:r>
        <w:rPr/>
        <w:t>日线回调周线上升，上涨日量大于下跌日；</w:t>
      </w:r>
      <w:r>
        <w:rPr/>
        <w:t>A</w:t>
      </w:r>
      <w:r>
        <w:rPr/>
        <w:t>价低全部日均线，短期弱于沪深</w:t>
      </w:r>
      <w:r>
        <w:rPr/>
        <w:t>300</w:t>
      </w:r>
      <w:r>
        <w:rPr/>
        <w:t>，行业比较缺失；经营增长与商业质量：产品</w:t>
      </w:r>
      <w:r>
        <w:rPr/>
        <w:t>31.4%</w:t>
      </w:r>
      <w:r>
        <w:rPr/>
        <w:t>增长，全球产品</w:t>
      </w:r>
      <w:r>
        <w:rPr/>
        <w:t>GM89.2%</w:t>
      </w:r>
      <w:r>
        <w:rPr/>
        <w:t>，经营杠杆；高</w:t>
      </w:r>
      <w:r>
        <w:rPr/>
        <w:t>R&amp;D</w:t>
      </w:r>
      <w:r>
        <w:rPr/>
        <w:t>和股份薪酬保留成本；行业周期与需求：癌症需求与慢性血液瘤持续治疗，欧美支付</w:t>
      </w:r>
      <w:r>
        <w:rPr/>
        <w:t>/</w:t>
      </w:r>
      <w:r>
        <w:rPr/>
        <w:t>医保净价及新机制竞争；期限催化剂：已批准</w:t>
      </w:r>
      <w:r>
        <w:rPr/>
        <w:t>BCL2</w:t>
      </w:r>
      <w:r>
        <w:rPr/>
        <w:t>商业化、</w:t>
      </w:r>
      <w:r>
        <w:rPr/>
        <w:t>MANGROVE</w:t>
      </w:r>
      <w:r>
        <w:rPr/>
        <w:t>、条件性</w:t>
      </w:r>
      <w:r>
        <w:rPr/>
        <w:t>BTK CDAC</w:t>
      </w:r>
      <w:r>
        <w:rPr/>
        <w:t>申报、实瘤三期规划，具体日期不造；财务治理与下行风险：现金充裕但银行债</w:t>
      </w:r>
      <w:r>
        <w:rPr/>
        <w:t>/</w:t>
      </w:r>
      <w:r>
        <w:rPr/>
        <w:t>担保</w:t>
      </w:r>
      <w:r>
        <w:rPr/>
        <w:t>/</w:t>
      </w:r>
      <w:r>
        <w:rPr/>
        <w:t>地区现金限制</w:t>
      </w:r>
      <w:r>
        <w:rPr/>
        <w:t>/</w:t>
      </w:r>
      <w:r>
        <w:rPr/>
        <w:t>股权激励与税务检查；售出</w:t>
      </w:r>
      <w:r>
        <w:rPr/>
        <w:t>royalty</w:t>
      </w:r>
      <w:r>
        <w:rPr/>
        <w:t>不可再算股东经济流。</w:t>
      </w:r>
    </w:p>
    <w:p>
      <w:pPr>
        <w:pStyle w:val="Heading3"/>
        <w:rPr/>
      </w:pPr>
      <w:r>
        <w:rPr>
          <w:color w:val="000000"/>
        </w:rPr>
        <w:t xml:space="preserve">药明康德 </w:t>
      </w:r>
      <w:r>
        <w:rPr>
          <w:color w:val="000000"/>
        </w:rPr>
        <w:t xml:space="preserve">603259 SH </w:t>
      </w:r>
      <w:r>
        <w:rPr>
          <w:color w:val="000000"/>
        </w:rPr>
        <w:t>评分证据</w:t>
      </w:r>
    </w:p>
    <w:p>
      <w:pPr>
        <w:pStyle w:val="Normal"/>
        <w:rPr/>
      </w:pPr>
      <w:r>
        <w:rPr/>
        <w:t xml:space="preserve">估值与预期回报 </w:t>
      </w:r>
      <w:r>
        <w:rPr/>
        <w:t>3.8/5</w:t>
      </w:r>
      <w:r>
        <w:rPr/>
        <w:t>（权重</w:t>
      </w:r>
      <w:r>
        <w:rPr/>
        <w:t>25%</w:t>
      </w:r>
      <w:r>
        <w:rPr/>
        <w:t xml:space="preserve">）；量价与相对强弱 </w:t>
      </w:r>
      <w:r>
        <w:rPr/>
        <w:t>3.8/5</w:t>
      </w:r>
      <w:r>
        <w:rPr/>
        <w:t>（权重</w:t>
      </w:r>
      <w:r>
        <w:rPr/>
        <w:t>15%</w:t>
      </w:r>
      <w:r>
        <w:rPr/>
        <w:t xml:space="preserve">）；经营增长与商业质量 </w:t>
      </w:r>
      <w:r>
        <w:rPr/>
        <w:t>4.6/5</w:t>
      </w:r>
      <w:r>
        <w:rPr/>
        <w:t>（权重</w:t>
      </w:r>
      <w:r>
        <w:rPr/>
        <w:t>25%</w:t>
      </w:r>
      <w:r>
        <w:rPr/>
        <w:t xml:space="preserve">）；行业周期与需求 </w:t>
      </w:r>
      <w:r>
        <w:rPr/>
        <w:t>4.4/5</w:t>
      </w:r>
      <w:r>
        <w:rPr/>
        <w:t>（权重</w:t>
      </w:r>
      <w:r>
        <w:rPr/>
        <w:t>15%</w:t>
      </w:r>
      <w:r>
        <w:rPr/>
        <w:t xml:space="preserve">）；期限催化剂 </w:t>
      </w:r>
      <w:r>
        <w:rPr/>
        <w:t>4.1/5</w:t>
      </w:r>
      <w:r>
        <w:rPr/>
        <w:t>（权重</w:t>
      </w:r>
      <w:r>
        <w:rPr/>
        <w:t>10%</w:t>
      </w:r>
      <w:r>
        <w:rPr/>
        <w:t xml:space="preserve">）；财务治理与下行风险 </w:t>
      </w:r>
      <w:r>
        <w:rPr/>
        <w:t>3.4/5</w:t>
      </w:r>
      <w:r>
        <w:rPr/>
        <w:t>（权重</w:t>
      </w:r>
      <w:r>
        <w:rPr/>
        <w:t>10%</w:t>
      </w:r>
      <w:r>
        <w:rPr/>
        <w:t>）。</w:t>
      </w:r>
    </w:p>
    <w:p>
      <w:pPr>
        <w:pStyle w:val="Normal"/>
        <w:rPr/>
      </w:pPr>
      <w:r>
        <w:rPr/>
        <w:t>估值与预期回报：</w:t>
      </w:r>
      <w:r>
        <w:rPr/>
        <w:t>A</w:t>
      </w:r>
      <w:r>
        <w:rPr/>
        <w:t>股较便宜，基准一年</w:t>
      </w:r>
      <w:r>
        <w:rPr/>
        <w:t>38.47%vsH25.60%</w:t>
      </w:r>
      <w:r>
        <w:rPr/>
        <w:t>；上半年强增长已反映在</w:t>
      </w:r>
      <w:r>
        <w:rPr/>
        <w:t>H</w:t>
      </w:r>
      <w:r>
        <w:rPr/>
        <w:t>价，悲观利润</w:t>
      </w:r>
      <w:r>
        <w:rPr/>
        <w:t>/PE</w:t>
      </w:r>
      <w:r>
        <w:rPr/>
        <w:t>压缩明显；量价与相对强弱：</w:t>
      </w:r>
      <w:r>
        <w:rPr/>
        <w:t>A</w:t>
      </w:r>
      <w:r>
        <w:rPr/>
        <w:t>回调仍上</w:t>
      </w:r>
      <w:r>
        <w:rPr/>
        <w:t>60</w:t>
      </w:r>
      <w:r>
        <w:rPr/>
        <w:t>，</w:t>
      </w:r>
      <w:r>
        <w:rPr/>
        <w:t>H</w:t>
      </w:r>
      <w:r>
        <w:rPr/>
        <w:t>全均线上斜率正；近</w:t>
      </w:r>
      <w:r>
        <w:rPr/>
        <w:t>60</w:t>
      </w:r>
      <w:r>
        <w:rPr/>
        <w:t>市场超额强，但最新跌日放量、上涨下跌量比不占优；经营增长与商业质量：持续收入</w:t>
      </w:r>
      <w:r>
        <w:rPr/>
        <w:t>48%</w:t>
      </w:r>
      <w:r>
        <w:rPr/>
        <w:t>、化学</w:t>
      </w:r>
      <w:r>
        <w:rPr/>
        <w:t>53%</w:t>
      </w:r>
      <w:r>
        <w:rPr/>
        <w:t>、</w:t>
      </w:r>
      <w:r>
        <w:rPr/>
        <w:t>DM72.7%</w:t>
      </w:r>
      <w:r>
        <w:rPr/>
        <w:t>、订单</w:t>
      </w:r>
      <w:r>
        <w:rPr/>
        <w:t>25.2%</w:t>
      </w:r>
      <w:r>
        <w:rPr/>
        <w:t>实证；成熟订单转化与工艺平台强；行业周期与需求：全球研发融资与商业化需求，多肽</w:t>
      </w:r>
      <w:r>
        <w:rPr/>
        <w:t>/</w:t>
      </w:r>
      <w:r>
        <w:rPr/>
        <w:t>核酸长期机会；竞争价格、供给和客户集中限制；期限催化剂：业绩指引</w:t>
      </w:r>
      <w:r>
        <w:rPr/>
        <w:t>/</w:t>
      </w:r>
      <w:r>
        <w:rPr/>
        <w:t>订单兑现、产能爬坡和新分子，临近</w:t>
      </w:r>
      <w:r>
        <w:rPr/>
        <w:t>Q3</w:t>
      </w:r>
      <w:r>
        <w:rPr/>
        <w:t>仍可证伪；政策不可简单消除；财务治理与下行风险：</w:t>
      </w:r>
      <w:r>
        <w:rPr/>
        <w:t>OCF93</w:t>
      </w:r>
      <w:r>
        <w:rPr/>
        <w:t>亿</w:t>
      </w:r>
      <w:r>
        <w:rPr/>
        <w:t>/FCF63.5</w:t>
      </w:r>
      <w:r>
        <w:rPr/>
        <w:t>亿较强；负债增、可转债与回购</w:t>
      </w:r>
      <w:r>
        <w:rPr/>
        <w:t>/</w:t>
      </w:r>
      <w:r>
        <w:rPr/>
        <w:t>理财影响资本配置，全球政策尾部风险。</w:t>
      </w:r>
    </w:p>
    <w:p>
      <w:pPr>
        <w:pStyle w:val="Heading3"/>
        <w:rPr/>
      </w:pPr>
      <w:r>
        <w:rPr>
          <w:color w:val="000000"/>
        </w:rPr>
        <w:t xml:space="preserve">药明合联 </w:t>
      </w:r>
      <w:r>
        <w:rPr>
          <w:color w:val="000000"/>
        </w:rPr>
        <w:t xml:space="preserve">02268 HK </w:t>
      </w:r>
      <w:r>
        <w:rPr>
          <w:color w:val="000000"/>
        </w:rPr>
        <w:t>评分证据</w:t>
      </w:r>
    </w:p>
    <w:p>
      <w:pPr>
        <w:pStyle w:val="Normal"/>
        <w:rPr/>
      </w:pPr>
      <w:r>
        <w:rPr/>
        <w:t xml:space="preserve">估值与预期回报 </w:t>
      </w:r>
      <w:r>
        <w:rPr/>
        <w:t>3.6/5</w:t>
      </w:r>
      <w:r>
        <w:rPr/>
        <w:t>（权重</w:t>
      </w:r>
      <w:r>
        <w:rPr/>
        <w:t>25%</w:t>
      </w:r>
      <w:r>
        <w:rPr/>
        <w:t xml:space="preserve">）；量价与相对强弱 </w:t>
      </w:r>
      <w:r>
        <w:rPr/>
        <w:t>3.7/5</w:t>
      </w:r>
      <w:r>
        <w:rPr/>
        <w:t>（权重</w:t>
      </w:r>
      <w:r>
        <w:rPr/>
        <w:t>15%</w:t>
      </w:r>
      <w:r>
        <w:rPr/>
        <w:t xml:space="preserve">）；经营增长与商业质量 </w:t>
      </w:r>
      <w:r>
        <w:rPr/>
        <w:t>4.4/5</w:t>
      </w:r>
      <w:r>
        <w:rPr/>
        <w:t>（权重</w:t>
      </w:r>
      <w:r>
        <w:rPr/>
        <w:t>25%</w:t>
      </w:r>
      <w:r>
        <w:rPr/>
        <w:t xml:space="preserve">）；行业周期与需求 </w:t>
      </w:r>
      <w:r>
        <w:rPr/>
        <w:t>4.7/5</w:t>
      </w:r>
      <w:r>
        <w:rPr/>
        <w:t>（权重</w:t>
      </w:r>
      <w:r>
        <w:rPr/>
        <w:t>15%</w:t>
      </w:r>
      <w:r>
        <w:rPr/>
        <w:t xml:space="preserve">）；期限催化剂 </w:t>
      </w:r>
      <w:r>
        <w:rPr/>
        <w:t>4.3/5</w:t>
      </w:r>
      <w:r>
        <w:rPr/>
        <w:t>（权重</w:t>
      </w:r>
      <w:r>
        <w:rPr/>
        <w:t>10%</w:t>
      </w:r>
      <w:r>
        <w:rPr/>
        <w:t xml:space="preserve">）；财务治理与下行风险 </w:t>
      </w:r>
      <w:r>
        <w:rPr/>
        <w:t>3.2/5</w:t>
      </w:r>
      <w:r>
        <w:rPr/>
        <w:t>（权重</w:t>
      </w:r>
      <w:r>
        <w:rPr/>
        <w:t>10%</w:t>
      </w:r>
      <w:r>
        <w:rPr/>
        <w:t>）。</w:t>
      </w:r>
    </w:p>
    <w:p>
      <w:pPr>
        <w:pStyle w:val="Normal"/>
        <w:rPr/>
      </w:pPr>
      <w:r>
        <w:rPr/>
        <w:t>估值与预期回报：现价已反映</w:t>
      </w:r>
      <w:r>
        <w:rPr/>
        <w:t>2027</w:t>
      </w:r>
      <w:r>
        <w:rPr/>
        <w:t>约</w:t>
      </w:r>
      <w:r>
        <w:rPr/>
        <w:t>34</w:t>
      </w:r>
      <w:r>
        <w:rPr/>
        <w:t>倍核心</w:t>
      </w:r>
      <w:r>
        <w:rPr/>
        <w:t>PE</w:t>
      </w:r>
      <w:r>
        <w:rPr/>
        <w:t>，半年基准空间有限；长期收入</w:t>
      </w:r>
      <w:r>
        <w:rPr/>
        <w:t>/</w:t>
      </w:r>
      <w:r>
        <w:rPr/>
        <w:t>利润增长提供回报，融资和倍数下调损失不可忽略；量价与相对强弱：</w:t>
      </w:r>
      <w:r>
        <w:rPr/>
        <w:t>20/60/120/250</w:t>
      </w:r>
      <w:r>
        <w:rPr/>
        <w:t>日均线向上与显著恒指超额支持趋势；日</w:t>
      </w:r>
      <w:r>
        <w:rPr/>
        <w:t>MACD</w:t>
      </w:r>
      <w:r>
        <w:rPr/>
        <w:t>减速、近前高且成交量分歧扣分；经营增长与商业质量：有机收入</w:t>
      </w:r>
      <w:r>
        <w:rPr/>
        <w:t>31.7%</w:t>
      </w:r>
      <w:r>
        <w:rPr/>
        <w:t>增长、后期项目</w:t>
      </w:r>
      <w:r>
        <w:rPr/>
        <w:t>57</w:t>
      </w:r>
      <w:r>
        <w:rPr/>
        <w:t>个与订单增长支持质量；股份酬金、收购及利用率仍须验证；行业周期与需求：</w:t>
      </w:r>
      <w:r>
        <w:rPr/>
        <w:t>ADC</w:t>
      </w:r>
      <w:r>
        <w:rPr/>
        <w:t>临床</w:t>
      </w:r>
      <w:r>
        <w:rPr/>
        <w:t>/</w:t>
      </w:r>
      <w:r>
        <w:rPr/>
        <w:t>商业化扩大，早期与后期服务需求同时增长；支付、研发融资及新增供给构成约束；期限催化剂：年报、无锡</w:t>
      </w:r>
      <w:r>
        <w:rPr/>
        <w:t>PLI</w:t>
      </w:r>
      <w:r>
        <w:rPr/>
        <w:t>准备、新加坡爬坡及</w:t>
      </w:r>
      <w:r>
        <w:rPr/>
        <w:t>PPQ</w:t>
      </w:r>
      <w:r>
        <w:rPr/>
        <w:t>转商业化；</w:t>
      </w:r>
      <w:r>
        <w:rPr/>
        <w:t>FDA</w:t>
      </w:r>
      <w:r>
        <w:rPr/>
        <w:t>日期来自新闻转述并非确定承诺；财务治理与下行风险：现金和定存</w:t>
      </w:r>
      <w:r>
        <w:rPr/>
        <w:t>5.118bn</w:t>
      </w:r>
      <w:r>
        <w:rPr/>
        <w:t>、债务</w:t>
      </w:r>
      <w:r>
        <w:rPr/>
        <w:t>0.491bn</w:t>
      </w:r>
      <w:r>
        <w:rPr/>
        <w:t>有缓冲；</w:t>
      </w:r>
      <w:r>
        <w:rPr/>
        <w:t>80</w:t>
      </w:r>
      <w:r>
        <w:rPr/>
        <w:t>亿元分期资本计划、外汇、稀释和跨国政策风险保留。</w:t>
      </w:r>
    </w:p>
    <w:p>
      <w:pPr>
        <w:pStyle w:val="Heading3"/>
        <w:rPr/>
      </w:pPr>
      <w:r>
        <w:rPr>
          <w:color w:val="000000"/>
        </w:rPr>
        <w:t xml:space="preserve">信达生物 </w:t>
      </w:r>
      <w:r>
        <w:rPr>
          <w:color w:val="000000"/>
        </w:rPr>
        <w:t xml:space="preserve">01801 HK </w:t>
      </w:r>
      <w:r>
        <w:rPr>
          <w:color w:val="000000"/>
        </w:rPr>
        <w:t>评分证据</w:t>
      </w:r>
    </w:p>
    <w:p>
      <w:pPr>
        <w:pStyle w:val="Normal"/>
        <w:rPr/>
      </w:pPr>
      <w:r>
        <w:rPr/>
        <w:t xml:space="preserve">估值与预期回报 </w:t>
      </w:r>
      <w:r>
        <w:rPr/>
        <w:t>4/5</w:t>
      </w:r>
      <w:r>
        <w:rPr/>
        <w:t>（权重</w:t>
      </w:r>
      <w:r>
        <w:rPr/>
        <w:t>25%</w:t>
      </w:r>
      <w:r>
        <w:rPr/>
        <w:t xml:space="preserve">）；量价与相对强弱 </w:t>
      </w:r>
      <w:r>
        <w:rPr/>
        <w:t>2.4/5</w:t>
      </w:r>
      <w:r>
        <w:rPr/>
        <w:t>（权重</w:t>
      </w:r>
      <w:r>
        <w:rPr/>
        <w:t>15%</w:t>
      </w:r>
      <w:r>
        <w:rPr/>
        <w:t xml:space="preserve">）；经营增长与商业质量 </w:t>
      </w:r>
      <w:r>
        <w:rPr/>
        <w:t>4.6/5</w:t>
      </w:r>
      <w:r>
        <w:rPr/>
        <w:t>（权重</w:t>
      </w:r>
      <w:r>
        <w:rPr/>
        <w:t>25%</w:t>
      </w:r>
      <w:r>
        <w:rPr/>
        <w:t xml:space="preserve">）；行业周期与需求 </w:t>
      </w:r>
      <w:r>
        <w:rPr/>
        <w:t>4.4/5</w:t>
      </w:r>
      <w:r>
        <w:rPr/>
        <w:t>（权重</w:t>
      </w:r>
      <w:r>
        <w:rPr/>
        <w:t>15%</w:t>
      </w:r>
      <w:r>
        <w:rPr/>
        <w:t xml:space="preserve">）；期限催化剂 </w:t>
      </w:r>
      <w:r>
        <w:rPr/>
        <w:t>4.7/5</w:t>
      </w:r>
      <w:r>
        <w:rPr/>
        <w:t>（权重</w:t>
      </w:r>
      <w:r>
        <w:rPr/>
        <w:t>10%</w:t>
      </w:r>
      <w:r>
        <w:rPr/>
        <w:t xml:space="preserve">）；财务治理与下行风险 </w:t>
      </w:r>
      <w:r>
        <w:rPr/>
        <w:t>3.4/5</w:t>
      </w:r>
      <w:r>
        <w:rPr/>
        <w:t>（权重</w:t>
      </w:r>
      <w:r>
        <w:rPr/>
        <w:t>10%</w:t>
      </w:r>
      <w:r>
        <w:rPr/>
        <w:t>）。</w:t>
      </w:r>
    </w:p>
    <w:p>
      <w:pPr>
        <w:pStyle w:val="Normal"/>
        <w:rPr/>
      </w:pPr>
      <w:r>
        <w:rPr/>
        <w:t>估值与预期回报：近期机构目标</w:t>
      </w:r>
      <w:r>
        <w:rPr/>
        <w:t>120.6—149.6</w:t>
      </w:r>
      <w:r>
        <w:rPr/>
        <w:t>支持空间，盈利路径与管线仍需兑现；悲观损失显著；量价与相对强弱：价低于</w:t>
      </w:r>
      <w:r>
        <w:rPr/>
        <w:t>20/60</w:t>
      </w:r>
      <w:r>
        <w:rPr/>
        <w:t>日线，</w:t>
      </w:r>
      <w:r>
        <w:rPr/>
        <w:t>RSI40.4</w:t>
      </w:r>
      <w:r>
        <w:rPr/>
        <w:t>、</w:t>
      </w:r>
      <w:r>
        <w:rPr/>
        <w:t>MACD</w:t>
      </w:r>
      <w:r>
        <w:rPr/>
        <w:t>负；量缩未形成突破，技术入场评分低；经营增长与商业质量：产品收入</w:t>
      </w:r>
      <w:r>
        <w:rPr/>
        <w:t>56.7%</w:t>
      </w:r>
      <w:r>
        <w:rPr/>
        <w:t>增长、费用杠杆及多产品平台；授权</w:t>
      </w:r>
      <w:r>
        <w:rPr/>
        <w:t>/</w:t>
      </w:r>
      <w:r>
        <w:rPr/>
        <w:t>税项等非经常因素须剔除；行业周期与需求：肥胖、慢病、创新肿瘤需求与海外专利周期，医保定价</w:t>
      </w:r>
      <w:r>
        <w:rPr/>
        <w:t>/</w:t>
      </w:r>
      <w:r>
        <w:rPr/>
        <w:t>竞品限制可支付市场；期限催化剂：玛仕度肽</w:t>
      </w:r>
      <w:r>
        <w:rPr/>
        <w:t>9mg</w:t>
      </w:r>
      <w:r>
        <w:rPr/>
        <w:t>、</w:t>
      </w:r>
      <w:r>
        <w:rPr/>
        <w:t>IBI363/343</w:t>
      </w:r>
      <w:r>
        <w:rPr/>
        <w:t>注册及临床数据、全年产品销售等多催化；财务治理与下行风险：现金充足但合同责任、全球投入、临床风险及股权激励成本增加。</w:t>
      </w:r>
    </w:p>
    <w:p>
      <w:pPr>
        <w:pStyle w:val="Heading3"/>
        <w:rPr/>
      </w:pPr>
      <w:r>
        <w:rPr>
          <w:color w:val="000000"/>
        </w:rPr>
        <w:t xml:space="preserve">ASMPT 00522 HK </w:t>
      </w:r>
      <w:r>
        <w:rPr>
          <w:color w:val="000000"/>
        </w:rPr>
        <w:t>评分证据</w:t>
      </w:r>
    </w:p>
    <w:p>
      <w:pPr>
        <w:pStyle w:val="Normal"/>
        <w:rPr/>
      </w:pPr>
      <w:r>
        <w:rPr/>
        <w:t xml:space="preserve">估值与预期回报 </w:t>
      </w:r>
      <w:r>
        <w:rPr/>
        <w:t>4/5</w:t>
      </w:r>
      <w:r>
        <w:rPr/>
        <w:t>（权重</w:t>
      </w:r>
      <w:r>
        <w:rPr/>
        <w:t>25%</w:t>
      </w:r>
      <w:r>
        <w:rPr/>
        <w:t xml:space="preserve">）；量价与相对强弱 </w:t>
      </w:r>
      <w:r>
        <w:rPr/>
        <w:t>3/5</w:t>
      </w:r>
      <w:r>
        <w:rPr/>
        <w:t>（权重</w:t>
      </w:r>
      <w:r>
        <w:rPr/>
        <w:t>15%</w:t>
      </w:r>
      <w:r>
        <w:rPr/>
        <w:t xml:space="preserve">）；经营增长与商业质量 </w:t>
      </w:r>
      <w:r>
        <w:rPr/>
        <w:t>4.3/5</w:t>
      </w:r>
      <w:r>
        <w:rPr/>
        <w:t>（权重</w:t>
      </w:r>
      <w:r>
        <w:rPr/>
        <w:t>25%</w:t>
      </w:r>
      <w:r>
        <w:rPr/>
        <w:t xml:space="preserve">）；行业周期与需求 </w:t>
      </w:r>
      <w:r>
        <w:rPr/>
        <w:t>4.3/5</w:t>
      </w:r>
      <w:r>
        <w:rPr/>
        <w:t>（权重</w:t>
      </w:r>
      <w:r>
        <w:rPr/>
        <w:t>15%</w:t>
      </w:r>
      <w:r>
        <w:rPr/>
        <w:t xml:space="preserve">）；期限催化剂 </w:t>
      </w:r>
      <w:r>
        <w:rPr/>
        <w:t>4.4/5</w:t>
      </w:r>
      <w:r>
        <w:rPr/>
        <w:t>（权重</w:t>
      </w:r>
      <w:r>
        <w:rPr/>
        <w:t>10%</w:t>
      </w:r>
      <w:r>
        <w:rPr/>
        <w:t xml:space="preserve">）；财务治理与下行风险 </w:t>
      </w:r>
      <w:r>
        <w:rPr/>
        <w:t>3.3/5</w:t>
      </w:r>
      <w:r>
        <w:rPr/>
        <w:t>（权重</w:t>
      </w:r>
      <w:r>
        <w:rPr/>
        <w:t>10%</w:t>
      </w:r>
      <w:r>
        <w:rPr/>
        <w:t>）。</w:t>
      </w:r>
    </w:p>
    <w:p>
      <w:pPr>
        <w:pStyle w:val="Normal"/>
        <w:rPr/>
      </w:pPr>
      <w:r>
        <w:rPr/>
        <w:t>估值与预期回报：订单支撑正常盈利成长、</w:t>
      </w:r>
      <w:r>
        <w:rPr/>
        <w:t>PE30</w:t>
      </w:r>
      <w:r>
        <w:rPr/>
        <w:t>低于部分研报</w:t>
      </w:r>
      <w:r>
        <w:rPr/>
        <w:t>40</w:t>
      </w:r>
      <w:r>
        <w:rPr/>
        <w:t>；量价与相对强弱：需</w:t>
      </w:r>
      <w:r>
        <w:rPr/>
        <w:t>173–182</w:t>
      </w:r>
      <w:r>
        <w:rPr/>
        <w:t>收复与周量，防消息波动；经营增长与商业质量：</w:t>
      </w:r>
      <w:r>
        <w:rPr/>
        <w:t>SEMI/SMT</w:t>
      </w:r>
      <w:r>
        <w:rPr/>
        <w:t>协同、持续研发且剔终止经营；行业周期与需求：封装复杂性与服务器板需求，技术竞争；期限催化剂：完整财年订单毛利税现金可验证；财务治理与下行风险：</w:t>
      </w:r>
      <w:r>
        <w:rPr/>
        <w:t>NEXX</w:t>
      </w:r>
      <w:r>
        <w:rPr/>
        <w:t>留置义务、税</w:t>
      </w:r>
      <w:r>
        <w:rPr/>
        <w:t>PillarTwo/</w:t>
      </w:r>
      <w:r>
        <w:rPr/>
        <w:t>客户资本变。</w:t>
      </w:r>
    </w:p>
    <w:p>
      <w:pPr>
        <w:pStyle w:val="Heading3"/>
        <w:rPr/>
      </w:pPr>
      <w:r>
        <w:rPr>
          <w:color w:val="000000"/>
        </w:rPr>
        <w:t xml:space="preserve">网易 </w:t>
      </w:r>
      <w:r>
        <w:rPr>
          <w:color w:val="000000"/>
        </w:rPr>
        <w:t xml:space="preserve">09999 HK </w:t>
      </w:r>
      <w:r>
        <w:rPr>
          <w:color w:val="000000"/>
        </w:rPr>
        <w:t>评分证据</w:t>
      </w:r>
    </w:p>
    <w:p>
      <w:pPr>
        <w:pStyle w:val="Normal"/>
        <w:rPr/>
      </w:pPr>
      <w:r>
        <w:rPr/>
        <w:t xml:space="preserve">估值与预期回报 </w:t>
      </w:r>
      <w:r>
        <w:rPr/>
        <w:t>3.8/5</w:t>
      </w:r>
      <w:r>
        <w:rPr/>
        <w:t>（权重</w:t>
      </w:r>
      <w:r>
        <w:rPr/>
        <w:t>25%</w:t>
      </w:r>
      <w:r>
        <w:rPr/>
        <w:t xml:space="preserve">）；量价与相对强弱 </w:t>
      </w:r>
      <w:r>
        <w:rPr/>
        <w:t>3.1/5</w:t>
      </w:r>
      <w:r>
        <w:rPr/>
        <w:t>（权重</w:t>
      </w:r>
      <w:r>
        <w:rPr/>
        <w:t>15%</w:t>
      </w:r>
      <w:r>
        <w:rPr/>
        <w:t xml:space="preserve">）；经营增长与商业质量 </w:t>
      </w:r>
      <w:r>
        <w:rPr/>
        <w:t>4.2/5</w:t>
      </w:r>
      <w:r>
        <w:rPr/>
        <w:t>（权重</w:t>
      </w:r>
      <w:r>
        <w:rPr/>
        <w:t>25%</w:t>
      </w:r>
      <w:r>
        <w:rPr/>
        <w:t xml:space="preserve">）；行业周期与需求 </w:t>
      </w:r>
      <w:r>
        <w:rPr/>
        <w:t>4.1/5</w:t>
      </w:r>
      <w:r>
        <w:rPr/>
        <w:t>（权重</w:t>
      </w:r>
      <w:r>
        <w:rPr/>
        <w:t>15%</w:t>
      </w:r>
      <w:r>
        <w:rPr/>
        <w:t xml:space="preserve">）；期限催化剂 </w:t>
      </w:r>
      <w:r>
        <w:rPr/>
        <w:t>4/5</w:t>
      </w:r>
      <w:r>
        <w:rPr/>
        <w:t>（权重</w:t>
      </w:r>
      <w:r>
        <w:rPr/>
        <w:t>10%</w:t>
      </w:r>
      <w:r>
        <w:rPr/>
        <w:t xml:space="preserve">）；财务治理与下行风险 </w:t>
      </w:r>
      <w:r>
        <w:rPr/>
        <w:t>4.2/5</w:t>
      </w:r>
      <w:r>
        <w:rPr/>
        <w:t>（权重</w:t>
      </w:r>
      <w:r>
        <w:rPr/>
        <w:t>10%</w:t>
      </w:r>
      <w:r>
        <w:rPr/>
        <w:t>）。</w:t>
      </w:r>
    </w:p>
    <w:p>
      <w:pPr>
        <w:pStyle w:val="Normal"/>
        <w:rPr/>
      </w:pPr>
      <w:r>
        <w:rPr/>
        <w:t>估值与预期回报：历史非公认会计准则市盈率约</w:t>
      </w:r>
      <w:r>
        <w:rPr/>
        <w:t>15.16</w:t>
      </w:r>
      <w:r>
        <w:rPr/>
        <w:t>倍；现金充足，估值不重复加回。第二季度投资与税项损失降低净利润的可预测性；量价与相对强弱：现价高于</w:t>
      </w:r>
      <w:r>
        <w:rPr/>
        <w:t>20</w:t>
      </w:r>
      <w:r>
        <w:rPr/>
        <w:t>、</w:t>
      </w:r>
      <w:r>
        <w:rPr/>
        <w:t>60</w:t>
      </w:r>
      <w:r>
        <w:rPr/>
        <w:t>和</w:t>
      </w:r>
      <w:r>
        <w:rPr/>
        <w:t>120</w:t>
      </w:r>
      <w:r>
        <w:rPr/>
        <w:t>日均线，量比</w:t>
      </w:r>
      <w:r>
        <w:rPr/>
        <w:t>1.445</w:t>
      </w:r>
      <w:r>
        <w:rPr/>
        <w:t>，仍低于</w:t>
      </w:r>
      <w:r>
        <w:rPr/>
        <w:t>250</w:t>
      </w:r>
      <w:r>
        <w:rPr/>
        <w:t>日均线；周线信号不一致。相对恒生指数，</w:t>
      </w:r>
      <w:r>
        <w:rPr/>
        <w:t>20</w:t>
      </w:r>
      <w:r>
        <w:rPr/>
        <w:t>日超额回报</w:t>
      </w:r>
      <w:r>
        <w:rPr/>
        <w:t>+8.66</w:t>
      </w:r>
      <w:r>
        <w:rPr/>
        <w:t>个百分点，</w:t>
      </w:r>
      <w:r>
        <w:rPr/>
        <w:t>60</w:t>
      </w:r>
      <w:r>
        <w:rPr/>
        <w:t>日为</w:t>
      </w:r>
      <w:r>
        <w:rPr/>
        <w:t>-2.19</w:t>
      </w:r>
      <w:r>
        <w:rPr/>
        <w:t>个百分点；经营增长与商业质量：上半年游戏收入增长</w:t>
      </w:r>
      <w:r>
        <w:rPr/>
        <w:t>8.3%</w:t>
      </w:r>
      <w:r>
        <w:rPr/>
        <w:t>，第二季度游戏毛利率</w:t>
      </w:r>
      <w:r>
        <w:rPr/>
        <w:t>76.1%</w:t>
      </w:r>
      <w:r>
        <w:rPr/>
        <w:t>；成熟游戏系列支撑经营利润，收入对重点内容的依赖仍需关注；行业周期与需求：全球内容需求和人工智能应用提供增长及效率机会；渠道议价和游戏供给竞争约束长期价值；期限催化剂：新游戏推出、成熟游戏更新及季度经营利润到净利润的变化是观察催化；未公布的上线日期留空；财务治理与下行风险：上半年经营现金流</w:t>
      </w:r>
      <w:r>
        <w:rPr/>
        <w:t>237.06</w:t>
      </w:r>
      <w:r>
        <w:rPr/>
        <w:t>亿元，净现金</w:t>
      </w:r>
      <w:r>
        <w:rPr/>
        <w:t>1,675</w:t>
      </w:r>
      <w:r>
        <w:rPr/>
        <w:t>亿元，设备支出较低；投资、税项、股份支付及现金配置仍有风险。</w:t>
      </w:r>
    </w:p>
    <w:p>
      <w:pPr>
        <w:pStyle w:val="Heading3"/>
        <w:rPr/>
      </w:pPr>
      <w:r>
        <w:rPr>
          <w:color w:val="000000"/>
        </w:rPr>
        <w:t xml:space="preserve">恒瑞医药 </w:t>
      </w:r>
      <w:r>
        <w:rPr>
          <w:color w:val="000000"/>
        </w:rPr>
        <w:t xml:space="preserve">01276 HK </w:t>
      </w:r>
      <w:r>
        <w:rPr>
          <w:color w:val="000000"/>
        </w:rPr>
        <w:t>评分证据</w:t>
      </w:r>
    </w:p>
    <w:p>
      <w:pPr>
        <w:pStyle w:val="Normal"/>
        <w:rPr/>
      </w:pPr>
      <w:r>
        <w:rPr/>
        <w:t xml:space="preserve">估值与预期回报 </w:t>
      </w:r>
      <w:r>
        <w:rPr/>
        <w:t>4.1/5</w:t>
      </w:r>
      <w:r>
        <w:rPr/>
        <w:t>（权重</w:t>
      </w:r>
      <w:r>
        <w:rPr/>
        <w:t>25%</w:t>
      </w:r>
      <w:r>
        <w:rPr/>
        <w:t xml:space="preserve">）；量价与相对强弱 </w:t>
      </w:r>
      <w:r>
        <w:rPr/>
        <w:t>3/5</w:t>
      </w:r>
      <w:r>
        <w:rPr/>
        <w:t>（权重</w:t>
      </w:r>
      <w:r>
        <w:rPr/>
        <w:t>15%</w:t>
      </w:r>
      <w:r>
        <w:rPr/>
        <w:t xml:space="preserve">）；经营增长与商业质量 </w:t>
      </w:r>
      <w:r>
        <w:rPr/>
        <w:t>4.1/5</w:t>
      </w:r>
      <w:r>
        <w:rPr/>
        <w:t>（权重</w:t>
      </w:r>
      <w:r>
        <w:rPr/>
        <w:t>25%</w:t>
      </w:r>
      <w:r>
        <w:rPr/>
        <w:t xml:space="preserve">）；行业周期与需求 </w:t>
      </w:r>
      <w:r>
        <w:rPr/>
        <w:t>4/5</w:t>
      </w:r>
      <w:r>
        <w:rPr/>
        <w:t>（权重</w:t>
      </w:r>
      <w:r>
        <w:rPr/>
        <w:t>15%</w:t>
      </w:r>
      <w:r>
        <w:rPr/>
        <w:t xml:space="preserve">）；期限催化剂 </w:t>
      </w:r>
      <w:r>
        <w:rPr/>
        <w:t>4.1/5</w:t>
      </w:r>
      <w:r>
        <w:rPr/>
        <w:t>（权重</w:t>
      </w:r>
      <w:r>
        <w:rPr/>
        <w:t>10%</w:t>
      </w:r>
      <w:r>
        <w:rPr/>
        <w:t xml:space="preserve">）；财务治理与下行风险 </w:t>
      </w:r>
      <w:r>
        <w:rPr/>
        <w:t>3.8/5</w:t>
      </w:r>
      <w:r>
        <w:rPr/>
        <w:t>（权重</w:t>
      </w:r>
      <w:r>
        <w:rPr/>
        <w:t>10%</w:t>
      </w:r>
      <w:r>
        <w:rPr/>
        <w:t>）。</w:t>
      </w:r>
    </w:p>
    <w:p>
      <w:pPr>
        <w:pStyle w:val="Normal"/>
        <w:rPr/>
      </w:pPr>
      <w:r>
        <w:rPr/>
        <w:t>估值与预期回报：</w:t>
      </w:r>
      <w:r>
        <w:rPr/>
        <w:t>H</w:t>
      </w:r>
      <w:r>
        <w:rPr/>
        <w:t>股研究汇率下折价，一年基准上行</w:t>
      </w:r>
      <w:r>
        <w:rPr/>
        <w:t>44.38%</w:t>
      </w:r>
      <w:r>
        <w:rPr/>
        <w:t>，但正常化盈利与高</w:t>
      </w:r>
      <w:r>
        <w:rPr/>
        <w:t>PE</w:t>
      </w:r>
      <w:r>
        <w:rPr/>
        <w:t>须兑现；量价与相对强弱：</w:t>
      </w:r>
      <w:r>
        <w:rPr/>
        <w:t>A/H</w:t>
      </w:r>
      <w:r>
        <w:rPr/>
        <w:t>站上</w:t>
      </w:r>
      <w:r>
        <w:rPr/>
        <w:t>20</w:t>
      </w:r>
      <w:r>
        <w:rPr/>
        <w:t>日但低于</w:t>
      </w:r>
      <w:r>
        <w:rPr/>
        <w:t>60/120/250</w:t>
      </w:r>
      <w:r>
        <w:rPr/>
        <w:t>，</w:t>
      </w:r>
      <w:r>
        <w:rPr/>
        <w:t>60</w:t>
      </w:r>
      <w:r>
        <w:rPr/>
        <w:t>日回报落后市场；</w:t>
      </w:r>
      <w:r>
        <w:rPr/>
        <w:t>H</w:t>
      </w:r>
      <w:r>
        <w:rPr/>
        <w:t>最新量比</w:t>
      </w:r>
      <w:r>
        <w:rPr/>
        <w:t>1.64</w:t>
      </w:r>
      <w:r>
        <w:rPr/>
        <w:t>仍仅反弹；经营增长与商业质量：创新</w:t>
      </w:r>
      <w:r>
        <w:rPr/>
        <w:t>16.4%</w:t>
      </w:r>
      <w:r>
        <w:rPr/>
        <w:t>和非肿瘤</w:t>
      </w:r>
      <w:r>
        <w:rPr/>
        <w:t>74%</w:t>
      </w:r>
      <w:r>
        <w:rPr/>
        <w:t>真实放量；肿瘤</w:t>
      </w:r>
      <w:r>
        <w:rPr/>
        <w:t>2.6%</w:t>
      </w:r>
      <w:r>
        <w:rPr/>
        <w:t>与仿制</w:t>
      </w:r>
      <w:r>
        <w:rPr/>
        <w:t>-16.1%</w:t>
      </w:r>
      <w:r>
        <w:rPr/>
        <w:t>抵消；行业周期与需求：疾病刚需、慢病与全球授权；医保集采、竞争、利率为约束；期限催化剂：</w:t>
      </w:r>
      <w:r>
        <w:rPr/>
        <w:t>BMS</w:t>
      </w:r>
      <w:r>
        <w:rPr/>
        <w:t>首付</w:t>
      </w:r>
      <w:r>
        <w:rPr/>
        <w:t>/</w:t>
      </w:r>
      <w:r>
        <w:rPr/>
        <w:t>履约、免疫代谢、医院准入；获批</w:t>
      </w:r>
      <w:r>
        <w:rPr/>
        <w:t>/</w:t>
      </w:r>
      <w:r>
        <w:rPr/>
        <w:t>政策仍未知；财务治理与下行风险：现金与低负债强；</w:t>
      </w:r>
      <w:r>
        <w:rPr/>
        <w:t>OCF</w:t>
      </w:r>
      <w:r>
        <w:rPr/>
        <w:t>落后利润、研发资本化和公平价值需复核。</w:t>
      </w:r>
    </w:p>
    <w:p>
      <w:pPr>
        <w:pStyle w:val="Heading3"/>
        <w:rPr/>
      </w:pPr>
      <w:r>
        <w:rPr>
          <w:color w:val="000000"/>
        </w:rPr>
        <w:t xml:space="preserve">京东健康 </w:t>
      </w:r>
      <w:r>
        <w:rPr>
          <w:color w:val="000000"/>
        </w:rPr>
        <w:t xml:space="preserve">06618 HK </w:t>
      </w:r>
      <w:r>
        <w:rPr>
          <w:color w:val="000000"/>
        </w:rPr>
        <w:t>评分证据</w:t>
      </w:r>
    </w:p>
    <w:p>
      <w:pPr>
        <w:pStyle w:val="Normal"/>
        <w:rPr/>
      </w:pPr>
      <w:r>
        <w:rPr/>
        <w:t xml:space="preserve">估值与预期回报 </w:t>
      </w:r>
      <w:r>
        <w:rPr/>
        <w:t>4/5</w:t>
      </w:r>
      <w:r>
        <w:rPr/>
        <w:t>（权重</w:t>
      </w:r>
      <w:r>
        <w:rPr/>
        <w:t>25%</w:t>
      </w:r>
      <w:r>
        <w:rPr/>
        <w:t xml:space="preserve">）；量价与相对强弱 </w:t>
      </w:r>
      <w:r>
        <w:rPr/>
        <w:t>2.7/5</w:t>
      </w:r>
      <w:r>
        <w:rPr/>
        <w:t>（权重</w:t>
      </w:r>
      <w:r>
        <w:rPr/>
        <w:t>15%</w:t>
      </w:r>
      <w:r>
        <w:rPr/>
        <w:t xml:space="preserve">）；经营增长与商业质量 </w:t>
      </w:r>
      <w:r>
        <w:rPr/>
        <w:t>4.3/5</w:t>
      </w:r>
      <w:r>
        <w:rPr/>
        <w:t>（权重</w:t>
      </w:r>
      <w:r>
        <w:rPr/>
        <w:t>25%</w:t>
      </w:r>
      <w:r>
        <w:rPr/>
        <w:t xml:space="preserve">）；行业周期与需求 </w:t>
      </w:r>
      <w:r>
        <w:rPr/>
        <w:t>4/5</w:t>
      </w:r>
      <w:r>
        <w:rPr/>
        <w:t>（权重</w:t>
      </w:r>
      <w:r>
        <w:rPr/>
        <w:t>15%</w:t>
      </w:r>
      <w:r>
        <w:rPr/>
        <w:t xml:space="preserve">）；期限催化剂 </w:t>
      </w:r>
      <w:r>
        <w:rPr/>
        <w:t>4/5</w:t>
      </w:r>
      <w:r>
        <w:rPr/>
        <w:t>（权重</w:t>
      </w:r>
      <w:r>
        <w:rPr/>
        <w:t>10%</w:t>
      </w:r>
      <w:r>
        <w:rPr/>
        <w:t xml:space="preserve">）；财务治理与下行风险 </w:t>
      </w:r>
      <w:r>
        <w:rPr/>
        <w:t>3.8/5</w:t>
      </w:r>
      <w:r>
        <w:rPr/>
        <w:t>（权重</w:t>
      </w:r>
      <w:r>
        <w:rPr/>
        <w:t>10%</w:t>
      </w:r>
      <w:r>
        <w:rPr/>
        <w:t>）。</w:t>
      </w:r>
    </w:p>
    <w:p>
      <w:pPr>
        <w:pStyle w:val="Normal"/>
        <w:rPr/>
      </w:pPr>
      <w:r>
        <w:rPr/>
        <w:t>估值与预期回报：收入增长加正常利润率扩张，</w:t>
      </w:r>
      <w:r>
        <w:rPr/>
        <w:t>PE21</w:t>
      </w:r>
      <w:r>
        <w:rPr/>
        <w:t>需证实；量价与相对强弱：仍弱趋势，等待周线与量价确认；经营增长与商业质量：供应链规模和服务复购，保留常态</w:t>
      </w:r>
      <w:r>
        <w:rPr/>
        <w:t>SBC</w:t>
      </w:r>
      <w:r>
        <w:rPr/>
        <w:t>；行业周期与需求：慢病线上渗透和全渠道，竞争与医保限制；期限催化剂：药品、服务、器械基数及全年现金能够核实；财务治理与下行风险：财资降息税率变化和母公司流量成本。</w:t>
      </w:r>
    </w:p>
    <w:p>
      <w:pPr>
        <w:pStyle w:val="Heading3"/>
        <w:rPr/>
      </w:pPr>
      <w:r>
        <w:rPr>
          <w:color w:val="000000"/>
        </w:rPr>
        <w:t xml:space="preserve">凯莱英 </w:t>
      </w:r>
      <w:r>
        <w:rPr>
          <w:color w:val="000000"/>
        </w:rPr>
        <w:t xml:space="preserve">06821 HK </w:t>
      </w:r>
      <w:r>
        <w:rPr>
          <w:color w:val="000000"/>
        </w:rPr>
        <w:t>评分证据</w:t>
      </w:r>
    </w:p>
    <w:p>
      <w:pPr>
        <w:pStyle w:val="Normal"/>
        <w:rPr/>
      </w:pPr>
      <w:r>
        <w:rPr/>
        <w:t xml:space="preserve">估值与预期回报 </w:t>
      </w:r>
      <w:r>
        <w:rPr/>
        <w:t>3.6/5</w:t>
      </w:r>
      <w:r>
        <w:rPr/>
        <w:t>（权重</w:t>
      </w:r>
      <w:r>
        <w:rPr/>
        <w:t>25%</w:t>
      </w:r>
      <w:r>
        <w:rPr/>
        <w:t xml:space="preserve">）；量价与相对强弱 </w:t>
      </w:r>
      <w:r>
        <w:rPr/>
        <w:t>3.5/5</w:t>
      </w:r>
      <w:r>
        <w:rPr/>
        <w:t>（权重</w:t>
      </w:r>
      <w:r>
        <w:rPr/>
        <w:t>15%</w:t>
      </w:r>
      <w:r>
        <w:rPr/>
        <w:t xml:space="preserve">）；经营增长与商业质量 </w:t>
      </w:r>
      <w:r>
        <w:rPr/>
        <w:t>4.1/5</w:t>
      </w:r>
      <w:r>
        <w:rPr/>
        <w:t>（权重</w:t>
      </w:r>
      <w:r>
        <w:rPr/>
        <w:t>25%</w:t>
      </w:r>
      <w:r>
        <w:rPr/>
        <w:t xml:space="preserve">）；行业周期与需求 </w:t>
      </w:r>
      <w:r>
        <w:rPr/>
        <w:t>4.2/5</w:t>
      </w:r>
      <w:r>
        <w:rPr/>
        <w:t>（权重</w:t>
      </w:r>
      <w:r>
        <w:rPr/>
        <w:t>15%</w:t>
      </w:r>
      <w:r>
        <w:rPr/>
        <w:t xml:space="preserve">）；期限催化剂 </w:t>
      </w:r>
      <w:r>
        <w:rPr/>
        <w:t>4/5</w:t>
      </w:r>
      <w:r>
        <w:rPr/>
        <w:t>（权重</w:t>
      </w:r>
      <w:r>
        <w:rPr/>
        <w:t>10%</w:t>
      </w:r>
      <w:r>
        <w:rPr/>
        <w:t xml:space="preserve">）；财务治理与下行风险 </w:t>
      </w:r>
      <w:r>
        <w:rPr/>
        <w:t>3.8/5</w:t>
      </w:r>
      <w:r>
        <w:rPr/>
        <w:t>（权重</w:t>
      </w:r>
      <w:r>
        <w:rPr/>
        <w:t>10%</w:t>
      </w:r>
      <w:r>
        <w:rPr/>
        <w:t>）。</w:t>
      </w:r>
    </w:p>
    <w:p>
      <w:pPr>
        <w:pStyle w:val="Normal"/>
        <w:rPr/>
      </w:pPr>
      <w:r>
        <w:rPr/>
        <w:t>凯莱英独立深研第六至十七节；以下为正文摘要，评分保持已核验模型原值。</w:t>
      </w:r>
    </w:p>
    <w:p>
      <w:pPr>
        <w:pStyle w:val="Normal"/>
        <w:rPr/>
      </w:pPr>
      <w:r>
        <w:rPr/>
        <w:t>估值与预期回报：一年基准每股盈利</w:t>
      </w:r>
      <w:r>
        <w:rPr/>
        <w:t>5.5</w:t>
      </w:r>
      <w:r>
        <w:rPr/>
        <w:t>元人民币，</w:t>
      </w:r>
      <w:r>
        <w:rPr/>
        <w:t>A/H</w:t>
      </w:r>
      <w:r>
        <w:rPr/>
        <w:t>合理倍数</w:t>
      </w:r>
      <w:r>
        <w:rPr/>
        <w:t>40/34</w:t>
      </w:r>
      <w:r>
        <w:rPr/>
        <w:t>倍；盈利改善需新兴业务、成熟项目和效率共同兑现。</w:t>
      </w:r>
      <w:r>
        <w:rPr/>
        <w:t>H</w:t>
      </w:r>
      <w:r>
        <w:rPr/>
        <w:t>股按研究汇率折算的现价较</w:t>
      </w:r>
      <w:r>
        <w:rPr/>
        <w:t>A</w:t>
      </w:r>
      <w:r>
        <w:rPr/>
        <w:t>股低，但价差不保证收敛；量价与相对强弱：</w:t>
      </w:r>
      <w:r>
        <w:rPr/>
        <w:t>H</w:t>
      </w:r>
      <w:r>
        <w:rPr/>
        <w:t>股低于</w:t>
      </w:r>
      <w:r>
        <w:rPr/>
        <w:t>20</w:t>
      </w:r>
      <w:r>
        <w:rPr/>
        <w:t>日线而高于中长期线；基准日跌</w:t>
      </w:r>
      <w:r>
        <w:rPr/>
        <w:t>4.85%</w:t>
      </w:r>
      <w:r>
        <w:rPr/>
        <w:t>、量比</w:t>
      </w:r>
      <w:r>
        <w:rPr/>
        <w:t>1.58</w:t>
      </w:r>
      <w:r>
        <w:rPr/>
        <w:t>，放量下跌与周线升势并存；经营增长与商业质量：上半年新兴业务增长</w:t>
      </w:r>
      <w:r>
        <w:rPr/>
        <w:t>72.49%</w:t>
      </w:r>
      <w:r>
        <w:rPr/>
        <w:t>，化学大分子与生物大分子扩张；集团归母利润下降</w:t>
      </w:r>
      <w:r>
        <w:rPr/>
        <w:t>15.71%</w:t>
      </w:r>
      <w:r>
        <w:rPr/>
        <w:t>，经营质量仍需交付与毛利验证；行业周期与需求：多肽、寡核苷酸及偶联外包有需求空间；客户融资、项目取消、价格和海外政策影响订单转化；期限催化剂：后期项目交付、新产能利用率与后续商业化是主要催化；未披露客户药物及金额未另加价值；财务治理与下行风险：银行借款较少，但扩产支出超过经营现金流；库存、受限资金、激励及海外运营成本构成反证。</w:t>
      </w:r>
    </w:p>
    <w:p>
      <w:pPr>
        <w:pStyle w:val="Heading3"/>
        <w:rPr/>
      </w:pPr>
      <w:r>
        <w:rPr>
          <w:color w:val="000000"/>
        </w:rPr>
        <w:t xml:space="preserve">翰森制药 </w:t>
      </w:r>
      <w:r>
        <w:rPr>
          <w:color w:val="000000"/>
        </w:rPr>
        <w:t xml:space="preserve">03692 HK </w:t>
      </w:r>
      <w:r>
        <w:rPr>
          <w:color w:val="000000"/>
        </w:rPr>
        <w:t>评分证据</w:t>
      </w:r>
    </w:p>
    <w:p>
      <w:pPr>
        <w:pStyle w:val="Normal"/>
        <w:rPr/>
      </w:pPr>
      <w:r>
        <w:rPr/>
        <w:t xml:space="preserve">估值与预期回报 </w:t>
      </w:r>
      <w:r>
        <w:rPr/>
        <w:t>4/5</w:t>
      </w:r>
      <w:r>
        <w:rPr/>
        <w:t>（权重</w:t>
      </w:r>
      <w:r>
        <w:rPr/>
        <w:t>25%</w:t>
      </w:r>
      <w:r>
        <w:rPr/>
        <w:t xml:space="preserve">）；量价与相对强弱 </w:t>
      </w:r>
      <w:r>
        <w:rPr/>
        <w:t>1.8/5</w:t>
      </w:r>
      <w:r>
        <w:rPr/>
        <w:t>（权重</w:t>
      </w:r>
      <w:r>
        <w:rPr/>
        <w:t>15%</w:t>
      </w:r>
      <w:r>
        <w:rPr/>
        <w:t xml:space="preserve">）；经营增长与商业质量 </w:t>
      </w:r>
      <w:r>
        <w:rPr/>
        <w:t>4.3/5</w:t>
      </w:r>
      <w:r>
        <w:rPr/>
        <w:t>（权重</w:t>
      </w:r>
      <w:r>
        <w:rPr/>
        <w:t>25%</w:t>
      </w:r>
      <w:r>
        <w:rPr/>
        <w:t xml:space="preserve">）；行业周期与需求 </w:t>
      </w:r>
      <w:r>
        <w:rPr/>
        <w:t>4.4/5</w:t>
      </w:r>
      <w:r>
        <w:rPr/>
        <w:t>（权重</w:t>
      </w:r>
      <w:r>
        <w:rPr/>
        <w:t>15%</w:t>
      </w:r>
      <w:r>
        <w:rPr/>
        <w:t xml:space="preserve">）；期限催化剂 </w:t>
      </w:r>
      <w:r>
        <w:rPr/>
        <w:t>4.5/5</w:t>
      </w:r>
      <w:r>
        <w:rPr/>
        <w:t>（权重</w:t>
      </w:r>
      <w:r>
        <w:rPr/>
        <w:t>10%</w:t>
      </w:r>
      <w:r>
        <w:rPr/>
        <w:t xml:space="preserve">）；财务治理与下行风险 </w:t>
      </w:r>
      <w:r>
        <w:rPr/>
        <w:t>4/5</w:t>
      </w:r>
      <w:r>
        <w:rPr/>
        <w:t>（权重</w:t>
      </w:r>
      <w:r>
        <w:rPr/>
        <w:t>10%</w:t>
      </w:r>
      <w:r>
        <w:rPr/>
        <w:t>）。</w:t>
      </w:r>
    </w:p>
    <w:p>
      <w:pPr>
        <w:pStyle w:val="Normal"/>
        <w:rPr/>
      </w:pPr>
      <w:r>
        <w:rPr/>
        <w:t>估值与预期回报：</w:t>
      </w:r>
      <w:r>
        <w:rPr/>
        <w:t>31.54</w:t>
      </w:r>
      <w:r>
        <w:rPr/>
        <w:t>低于近期机构</w:t>
      </w:r>
      <w:r>
        <w:rPr/>
        <w:t>37.24—52.7</w:t>
      </w:r>
      <w:r>
        <w:rPr/>
        <w:t>；核心盈利与超额现金分开，现金有债务</w:t>
      </w:r>
      <w:r>
        <w:rPr/>
        <w:t>/</w:t>
      </w:r>
      <w:r>
        <w:rPr/>
        <w:t>资本责任，不能按法定高利润机械估值；量价与相对强弱：价低于</w:t>
      </w:r>
      <w:r>
        <w:rPr/>
        <w:t>20/60/120/250</w:t>
      </w:r>
      <w:r>
        <w:rPr/>
        <w:t>日线，日</w:t>
      </w:r>
      <w:r>
        <w:rPr/>
        <w:t>RSI38.4</w:t>
      </w:r>
      <w:r>
        <w:rPr/>
        <w:t>与</w:t>
      </w:r>
      <w:r>
        <w:rPr/>
        <w:t>MACD</w:t>
      </w:r>
      <w:r>
        <w:rPr/>
        <w:t>负，市场超额负；近低点不等于底部；经营增长与商业质量：创新产品增长</w:t>
      </w:r>
      <w:r>
        <w:rPr/>
        <w:t>21.6%</w:t>
      </w:r>
      <w:r>
        <w:rPr/>
        <w:t>、费用效率和成熟商业化支持；收入含授权、投资收益剔除；行业周期与需求：肿瘤、代谢和自身免疫需求，创新转型；同靶点与医保约束可支付市场；期限催化剂：</w:t>
      </w:r>
      <w:r>
        <w:rPr/>
        <w:t>HS20093</w:t>
      </w:r>
      <w:r>
        <w:rPr/>
        <w:t>两个申报、奥莱泊肽申报、</w:t>
      </w:r>
      <w:r>
        <w:rPr/>
        <w:t>TYK2</w:t>
      </w:r>
      <w:r>
        <w:rPr/>
        <w:t>三期阳性和</w:t>
      </w:r>
      <w:r>
        <w:rPr/>
        <w:t>MET/RET</w:t>
      </w:r>
      <w:r>
        <w:rPr/>
        <w:t>等后期储备；批准并非保证；财务治理与下行风险：</w:t>
      </w:r>
      <w:r>
        <w:rPr/>
        <w:t>37.383bn</w:t>
      </w:r>
      <w:r>
        <w:rPr/>
        <w:t>现金银行余额支持研发；</w:t>
      </w:r>
      <w:r>
        <w:rPr/>
        <w:t>CB</w:t>
      </w:r>
      <w:r>
        <w:rPr/>
        <w:t>本金</w:t>
      </w:r>
      <w:r>
        <w:rPr/>
        <w:t>46.8</w:t>
      </w:r>
      <w:r>
        <w:rPr/>
        <w:t>亿港元</w:t>
      </w:r>
      <w:r>
        <w:rPr/>
        <w:t>/</w:t>
      </w:r>
      <w:r>
        <w:rPr/>
        <w:t>股价</w:t>
      </w:r>
      <w:r>
        <w:rPr/>
        <w:t>56.54</w:t>
      </w:r>
      <w:r>
        <w:rPr/>
        <w:t>及股份激励保留，海外和管理治理风险。</w:t>
      </w:r>
    </w:p>
    <w:p>
      <w:pPr>
        <w:pStyle w:val="Heading2"/>
        <w:rPr/>
      </w:pPr>
      <w:bookmarkStart w:id="4" w:name="__RefHeading___Toc4847_1919545624"/>
      <w:bookmarkEnd w:id="4"/>
      <w:r>
        <w:rPr>
          <w:color w:val="000000"/>
        </w:rPr>
        <w:t>三年 全名单可评估股票</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643"/>
        <w:gridCol w:w="1642"/>
        <w:gridCol w:w="1644"/>
        <w:gridCol w:w="1643"/>
        <w:gridCol w:w="1642"/>
        <w:gridCol w:w="1644"/>
      </w:tblGrid>
      <w:tr>
        <w:trPr>
          <w:tblHeader w:val="true"/>
          <w:cantSplit/>
        </w:trPr>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全榜名次</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公司</w:t>
            </w:r>
            <w:r>
              <w:rPr>
                <w:rFonts w:eastAsia="微软雅黑" w:ascii="微软雅黑" w:hAnsi="微软雅黑"/>
                <w:b/>
                <w:color w:val="FFFFFF"/>
                <w:sz w:val="17"/>
              </w:rPr>
              <w:t>/</w:t>
            </w:r>
            <w:r>
              <w:rPr>
                <w:rFonts w:ascii="微软雅黑" w:hAnsi="微软雅黑" w:eastAsia="微软雅黑"/>
                <w:b/>
                <w:color w:val="FFFFFF"/>
                <w:sz w:val="17"/>
              </w:rPr>
              <w:t>优先代码</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得分</w:t>
            </w:r>
          </w:p>
        </w:tc>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基准目标</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股价涨幅</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悲观涨跌幅</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百济神州</w:t>
            </w:r>
            <w:r>
              <w:rPr>
                <w:rFonts w:eastAsia="微软雅黑" w:ascii="微软雅黑" w:hAnsi="微软雅黑"/>
                <w:sz w:val="17"/>
              </w:rPr>
              <w:br/>
              <w:t>06160.HK</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89.60</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502.85</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+139.91%</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-72.52%</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信达生物</w:t>
            </w:r>
            <w:r>
              <w:rPr>
                <w:rFonts w:eastAsia="微软雅黑" w:ascii="微软雅黑" w:hAnsi="微软雅黑"/>
                <w:sz w:val="17"/>
              </w:rPr>
              <w:br/>
              <w:t>01801.HK</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84.40</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169.40</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+82.84%</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-35.89%</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药明康德</w:t>
            </w:r>
            <w:r>
              <w:rPr>
                <w:rFonts w:eastAsia="微软雅黑" w:ascii="微软雅黑" w:hAnsi="微软雅黑"/>
                <w:sz w:val="17"/>
              </w:rPr>
              <w:br/>
              <w:t>603259.SH</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84.40</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275.00</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+74.27%</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-31.56%</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腾讯控股</w:t>
            </w:r>
            <w:r>
              <w:rPr>
                <w:rFonts w:eastAsia="微软雅黑" w:ascii="微软雅黑" w:hAnsi="微软雅黑"/>
                <w:sz w:val="17"/>
              </w:rPr>
              <w:br/>
              <w:t>00700.HK</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83.40</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748.00</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+76.08%</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-20.24%</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药明合联</w:t>
            </w:r>
            <w:r>
              <w:rPr>
                <w:rFonts w:eastAsia="微软雅黑" w:ascii="微软雅黑" w:hAnsi="微软雅黑"/>
                <w:sz w:val="17"/>
              </w:rPr>
              <w:br/>
              <w:t>02268.HK</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83.00</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135.30</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+64.80%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-20.41%</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翰森制药</w:t>
            </w:r>
            <w:r>
              <w:rPr>
                <w:rFonts w:eastAsia="微软雅黑" w:ascii="微软雅黑" w:hAnsi="微软雅黑"/>
                <w:sz w:val="17"/>
              </w:rPr>
              <w:br/>
              <w:t>03692.HK</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82.50</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54.90</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+74.05%</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-20.59%</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9</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凯莱英</w:t>
            </w:r>
            <w:r>
              <w:rPr>
                <w:rFonts w:eastAsia="微软雅黑" w:ascii="微软雅黑" w:hAnsi="微软雅黑"/>
                <w:sz w:val="17"/>
              </w:rPr>
              <w:br/>
              <w:t>06821.HK</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82.40</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273.90</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+76.60%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-46.10%</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10</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ASMPT</w:t>
              <w:br/>
              <w:t>00522.HK</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82.10</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310.57</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+92.54%</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-94.05%</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11</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恒瑞医药</w:t>
            </w:r>
            <w:r>
              <w:rPr>
                <w:rFonts w:eastAsia="微软雅黑" w:ascii="微软雅黑" w:hAnsi="微软雅黑"/>
                <w:sz w:val="17"/>
              </w:rPr>
              <w:br/>
              <w:t>01276.HK</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82.00</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88.94</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+85.28%</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-35.83%</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12</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京东健康</w:t>
            </w:r>
            <w:r>
              <w:rPr>
                <w:rFonts w:eastAsia="微软雅黑" w:ascii="微软雅黑" w:hAnsi="微软雅黑"/>
                <w:sz w:val="17"/>
              </w:rPr>
              <w:br/>
              <w:t>06618.HK</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81.90</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88.86</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+146.29%</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-74.47%</w:t>
            </w:r>
          </w:p>
        </w:tc>
      </w:tr>
    </w:tbl>
    <w:p>
      <w:pPr>
        <w:pStyle w:val="Normal"/>
        <w:rPr/>
      </w:pPr>
      <w:r>
        <w:rPr/>
      </w:r>
    </w:p>
    <w:p>
      <w:pPr>
        <w:pStyle w:val="Normal"/>
        <w:rPr/>
      </w:pPr>
      <w:r>
        <w:rPr/>
        <w:t>上表突出前十家不同公司，名次保留股票全榜位置；</w:t>
      </w:r>
      <w:r>
        <w:rPr/>
        <w:t>A/H</w:t>
      </w:r>
      <w:r>
        <w:rPr/>
        <w:t>其他代码与全部可评估证券见</w:t>
      </w:r>
      <w:r>
        <w:rPr/>
        <w:t>Excel</w:t>
      </w:r>
      <w:r>
        <w:rPr/>
        <w:t>。全部公司研究已覆盖，暂不排名原因逐证券公开。</w:t>
      </w:r>
    </w:p>
    <w:p>
      <w:pPr>
        <w:pStyle w:val="Heading3"/>
        <w:rPr/>
      </w:pPr>
      <w:r>
        <w:rPr>
          <w:color w:val="000000"/>
        </w:rPr>
        <w:t xml:space="preserve">百济神州 </w:t>
      </w:r>
      <w:r>
        <w:rPr>
          <w:color w:val="000000"/>
        </w:rPr>
        <w:t xml:space="preserve">06160 HK </w:t>
      </w:r>
      <w:r>
        <w:rPr>
          <w:color w:val="000000"/>
        </w:rPr>
        <w:t>评分证据</w:t>
      </w:r>
    </w:p>
    <w:p>
      <w:pPr>
        <w:pStyle w:val="Normal"/>
        <w:rPr/>
      </w:pPr>
      <w:r>
        <w:rPr/>
        <w:t xml:space="preserve">估值与预期回报 </w:t>
      </w:r>
      <w:r>
        <w:rPr/>
        <w:t>4.6/5</w:t>
      </w:r>
      <w:r>
        <w:rPr/>
        <w:t>（权重</w:t>
      </w:r>
      <w:r>
        <w:rPr/>
        <w:t>25%</w:t>
      </w:r>
      <w:r>
        <w:rPr/>
        <w:t xml:space="preserve">）；量价与相对强弱 </w:t>
      </w:r>
      <w:r>
        <w:rPr/>
        <w:t>3.3/5</w:t>
      </w:r>
      <w:r>
        <w:rPr/>
        <w:t>（权重</w:t>
      </w:r>
      <w:r>
        <w:rPr/>
        <w:t>5%</w:t>
      </w:r>
      <w:r>
        <w:rPr/>
        <w:t xml:space="preserve">）；经营增长与商业质量 </w:t>
      </w:r>
      <w:r>
        <w:rPr/>
        <w:t>4.7/5</w:t>
      </w:r>
      <w:r>
        <w:rPr/>
        <w:t>（权重</w:t>
      </w:r>
      <w:r>
        <w:rPr/>
        <w:t>35%</w:t>
      </w:r>
      <w:r>
        <w:rPr/>
        <w:t xml:space="preserve">）；行业周期与需求 </w:t>
      </w:r>
      <w:r>
        <w:rPr/>
        <w:t>4.7/5</w:t>
      </w:r>
      <w:r>
        <w:rPr/>
        <w:t>（权重</w:t>
      </w:r>
      <w:r>
        <w:rPr/>
        <w:t>20%</w:t>
      </w:r>
      <w:r>
        <w:rPr/>
        <w:t xml:space="preserve">）；期限催化剂 </w:t>
      </w:r>
      <w:r>
        <w:rPr/>
        <w:t>4.2/5</w:t>
      </w:r>
      <w:r>
        <w:rPr/>
        <w:t>（权重</w:t>
      </w:r>
      <w:r>
        <w:rPr/>
        <w:t>5%</w:t>
      </w:r>
      <w:r>
        <w:rPr/>
        <w:t xml:space="preserve">）；财务治理与下行风险 </w:t>
      </w:r>
      <w:r>
        <w:rPr/>
        <w:t>3.7/5</w:t>
      </w:r>
      <w:r>
        <w:rPr/>
        <w:t>（权重</w:t>
      </w:r>
      <w:r>
        <w:rPr/>
        <w:t>10%</w:t>
      </w:r>
      <w:r>
        <w:rPr/>
        <w:t>）。</w:t>
      </w:r>
    </w:p>
    <w:p>
      <w:pPr>
        <w:pStyle w:val="Normal"/>
        <w:rPr/>
      </w:pPr>
      <w:r>
        <w:rPr/>
        <w:t>估值与预期回报：同股经济收益共享，</w:t>
      </w:r>
      <w:r>
        <w:rPr/>
        <w:t>HK</w:t>
      </w:r>
      <w:r>
        <w:rPr/>
        <w:t>估值较低而</w:t>
      </w:r>
      <w:r>
        <w:rPr/>
        <w:t>A</w:t>
      </w:r>
      <w:r>
        <w:rPr/>
        <w:t>股溢价需要敏感性；用正常税后经营利润</w:t>
      </w:r>
      <w:r>
        <w:rPr/>
        <w:t>+</w:t>
      </w:r>
      <w:r>
        <w:rPr/>
        <w:t>超额净现金，不使用报告</w:t>
      </w:r>
      <w:r>
        <w:rPr/>
        <w:t>PE</w:t>
      </w:r>
      <w:r>
        <w:rPr/>
        <w:t>直接外推；量价与相对强弱：</w:t>
      </w:r>
      <w:r>
        <w:rPr/>
        <w:t>HK</w:t>
      </w:r>
      <w:r>
        <w:rPr/>
        <w:t>日线回调周线上升，上涨日量大于下跌日；</w:t>
      </w:r>
      <w:r>
        <w:rPr/>
        <w:t>A</w:t>
      </w:r>
      <w:r>
        <w:rPr/>
        <w:t>价低全部日均线，短期弱于沪深</w:t>
      </w:r>
      <w:r>
        <w:rPr/>
        <w:t>300</w:t>
      </w:r>
      <w:r>
        <w:rPr/>
        <w:t>，行业比较缺失；经营增长与商业质量：产品</w:t>
      </w:r>
      <w:r>
        <w:rPr/>
        <w:t>31.4%</w:t>
      </w:r>
      <w:r>
        <w:rPr/>
        <w:t>增长，全球产品</w:t>
      </w:r>
      <w:r>
        <w:rPr/>
        <w:t>GM89.2%</w:t>
      </w:r>
      <w:r>
        <w:rPr/>
        <w:t>，经营杠杆；高</w:t>
      </w:r>
      <w:r>
        <w:rPr/>
        <w:t>R&amp;D</w:t>
      </w:r>
      <w:r>
        <w:rPr/>
        <w:t>和股份薪酬保留成本；行业周期与需求：癌症需求与慢性血液瘤持续治疗，欧美支付</w:t>
      </w:r>
      <w:r>
        <w:rPr/>
        <w:t>/</w:t>
      </w:r>
      <w:r>
        <w:rPr/>
        <w:t>医保净价及新机制竞争；期限催化剂：已批准</w:t>
      </w:r>
      <w:r>
        <w:rPr/>
        <w:t>BCL2</w:t>
      </w:r>
      <w:r>
        <w:rPr/>
        <w:t>商业化、</w:t>
      </w:r>
      <w:r>
        <w:rPr/>
        <w:t>MANGROVE</w:t>
      </w:r>
      <w:r>
        <w:rPr/>
        <w:t>、条件性</w:t>
      </w:r>
      <w:r>
        <w:rPr/>
        <w:t>BTK CDAC</w:t>
      </w:r>
      <w:r>
        <w:rPr/>
        <w:t>申报、实瘤三期规划，具体日期不造；财务治理与下行风险：现金充裕但银行债</w:t>
      </w:r>
      <w:r>
        <w:rPr/>
        <w:t>/</w:t>
      </w:r>
      <w:r>
        <w:rPr/>
        <w:t>担保</w:t>
      </w:r>
      <w:r>
        <w:rPr/>
        <w:t>/</w:t>
      </w:r>
      <w:r>
        <w:rPr/>
        <w:t>地区现金限制</w:t>
      </w:r>
      <w:r>
        <w:rPr/>
        <w:t>/</w:t>
      </w:r>
      <w:r>
        <w:rPr/>
        <w:t>股权激励与税务检查；售出</w:t>
      </w:r>
      <w:r>
        <w:rPr/>
        <w:t>royalty</w:t>
      </w:r>
      <w:r>
        <w:rPr/>
        <w:t>不可再算股东经济流。</w:t>
      </w:r>
    </w:p>
    <w:p>
      <w:pPr>
        <w:pStyle w:val="Heading3"/>
        <w:rPr/>
      </w:pPr>
      <w:r>
        <w:rPr>
          <w:color w:val="000000"/>
        </w:rPr>
        <w:t xml:space="preserve">信达生物 </w:t>
      </w:r>
      <w:r>
        <w:rPr>
          <w:color w:val="000000"/>
        </w:rPr>
        <w:t xml:space="preserve">01801 HK </w:t>
      </w:r>
      <w:r>
        <w:rPr>
          <w:color w:val="000000"/>
        </w:rPr>
        <w:t>评分证据</w:t>
      </w:r>
    </w:p>
    <w:p>
      <w:pPr>
        <w:pStyle w:val="Normal"/>
        <w:rPr/>
      </w:pPr>
      <w:r>
        <w:rPr/>
        <w:t xml:space="preserve">估值与预期回报 </w:t>
      </w:r>
      <w:r>
        <w:rPr/>
        <w:t>4.1/5</w:t>
      </w:r>
      <w:r>
        <w:rPr/>
        <w:t>（权重</w:t>
      </w:r>
      <w:r>
        <w:rPr/>
        <w:t>25%</w:t>
      </w:r>
      <w:r>
        <w:rPr/>
        <w:t xml:space="preserve">）；量价与相对强弱 </w:t>
      </w:r>
      <w:r>
        <w:rPr/>
        <w:t>2.4/5</w:t>
      </w:r>
      <w:r>
        <w:rPr/>
        <w:t>（权重</w:t>
      </w:r>
      <w:r>
        <w:rPr/>
        <w:t>5%</w:t>
      </w:r>
      <w:r>
        <w:rPr/>
        <w:t xml:space="preserve">）；经营增长与商业质量 </w:t>
      </w:r>
      <w:r>
        <w:rPr/>
        <w:t>4.6/5</w:t>
      </w:r>
      <w:r>
        <w:rPr/>
        <w:t>（权重</w:t>
      </w:r>
      <w:r>
        <w:rPr/>
        <w:t>35%</w:t>
      </w:r>
      <w:r>
        <w:rPr/>
        <w:t xml:space="preserve">）；行业周期与需求 </w:t>
      </w:r>
      <w:r>
        <w:rPr/>
        <w:t>4.6/5</w:t>
      </w:r>
      <w:r>
        <w:rPr/>
        <w:t>（权重</w:t>
      </w:r>
      <w:r>
        <w:rPr/>
        <w:t>20%</w:t>
      </w:r>
      <w:r>
        <w:rPr/>
        <w:t xml:space="preserve">）；期限催化剂 </w:t>
      </w:r>
      <w:r>
        <w:rPr/>
        <w:t>4.5/5</w:t>
      </w:r>
      <w:r>
        <w:rPr/>
        <w:t>（权重</w:t>
      </w:r>
      <w:r>
        <w:rPr/>
        <w:t>5%</w:t>
      </w:r>
      <w:r>
        <w:rPr/>
        <w:t xml:space="preserve">）；财务治理与下行风险 </w:t>
      </w:r>
      <w:r>
        <w:rPr/>
        <w:t>3.2/5</w:t>
      </w:r>
      <w:r>
        <w:rPr/>
        <w:t>（权重</w:t>
      </w:r>
      <w:r>
        <w:rPr/>
        <w:t>10%</w:t>
      </w:r>
      <w:r>
        <w:rPr/>
        <w:t>）。</w:t>
      </w:r>
    </w:p>
    <w:p>
      <w:pPr>
        <w:pStyle w:val="Normal"/>
        <w:rPr/>
      </w:pPr>
      <w:r>
        <w:rPr/>
        <w:t>估值与预期回报：近期机构目标</w:t>
      </w:r>
      <w:r>
        <w:rPr/>
        <w:t>120.6—149.6</w:t>
      </w:r>
      <w:r>
        <w:rPr/>
        <w:t>支持空间，盈利路径与管线仍需兑现；悲观损失显著；量价与相对强弱：价低于</w:t>
      </w:r>
      <w:r>
        <w:rPr/>
        <w:t>20/60</w:t>
      </w:r>
      <w:r>
        <w:rPr/>
        <w:t>日线，</w:t>
      </w:r>
      <w:r>
        <w:rPr/>
        <w:t>RSI40.4</w:t>
      </w:r>
      <w:r>
        <w:rPr/>
        <w:t>、</w:t>
      </w:r>
      <w:r>
        <w:rPr/>
        <w:t>MACD</w:t>
      </w:r>
      <w:r>
        <w:rPr/>
        <w:t>负；量缩未形成突破，技术入场评分低；经营增长与商业质量：产品收入</w:t>
      </w:r>
      <w:r>
        <w:rPr/>
        <w:t>56.7%</w:t>
      </w:r>
      <w:r>
        <w:rPr/>
        <w:t>增长、费用杠杆及多产品平台；授权</w:t>
      </w:r>
      <w:r>
        <w:rPr/>
        <w:t>/</w:t>
      </w:r>
      <w:r>
        <w:rPr/>
        <w:t>税项等非经常因素须剔除；行业周期与需求：肥胖、慢病、创新肿瘤需求与海外专利周期，医保定价</w:t>
      </w:r>
      <w:r>
        <w:rPr/>
        <w:t>/</w:t>
      </w:r>
      <w:r>
        <w:rPr/>
        <w:t>竞品限制可支付市场；期限催化剂：玛仕度肽</w:t>
      </w:r>
      <w:r>
        <w:rPr/>
        <w:t>9mg</w:t>
      </w:r>
      <w:r>
        <w:rPr/>
        <w:t>、</w:t>
      </w:r>
      <w:r>
        <w:rPr/>
        <w:t>IBI363/343</w:t>
      </w:r>
      <w:r>
        <w:rPr/>
        <w:t>注册及临床数据、全年产品销售等多催化；财务治理与下行风险：现金充足但合同责任、全球投入、临床风险及股权激励成本增加。</w:t>
      </w:r>
    </w:p>
    <w:p>
      <w:pPr>
        <w:pStyle w:val="Heading3"/>
        <w:rPr/>
      </w:pPr>
      <w:r>
        <w:rPr>
          <w:color w:val="000000"/>
        </w:rPr>
        <w:t xml:space="preserve">药明康德 </w:t>
      </w:r>
      <w:r>
        <w:rPr>
          <w:color w:val="000000"/>
        </w:rPr>
        <w:t xml:space="preserve">603259 SH </w:t>
      </w:r>
      <w:r>
        <w:rPr>
          <w:color w:val="000000"/>
        </w:rPr>
        <w:t>评分证据</w:t>
      </w:r>
    </w:p>
    <w:p>
      <w:pPr>
        <w:pStyle w:val="Normal"/>
        <w:rPr/>
      </w:pPr>
      <w:r>
        <w:rPr/>
        <w:t xml:space="preserve">估值与预期回报 </w:t>
      </w:r>
      <w:r>
        <w:rPr/>
        <w:t>4.1/5</w:t>
      </w:r>
      <w:r>
        <w:rPr/>
        <w:t>（权重</w:t>
      </w:r>
      <w:r>
        <w:rPr/>
        <w:t>25%</w:t>
      </w:r>
      <w:r>
        <w:rPr/>
        <w:t xml:space="preserve">）；量价与相对强弱 </w:t>
      </w:r>
      <w:r>
        <w:rPr/>
        <w:t>3.8/5</w:t>
      </w:r>
      <w:r>
        <w:rPr/>
        <w:t>（权重</w:t>
      </w:r>
      <w:r>
        <w:rPr/>
        <w:t>5%</w:t>
      </w:r>
      <w:r>
        <w:rPr/>
        <w:t xml:space="preserve">）；经营增长与商业质量 </w:t>
      </w:r>
      <w:r>
        <w:rPr/>
        <w:t>4.5/5</w:t>
      </w:r>
      <w:r>
        <w:rPr/>
        <w:t>（权重</w:t>
      </w:r>
      <w:r>
        <w:rPr/>
        <w:t>35%</w:t>
      </w:r>
      <w:r>
        <w:rPr/>
        <w:t xml:space="preserve">）；行业周期与需求 </w:t>
      </w:r>
      <w:r>
        <w:rPr/>
        <w:t>4.5/5</w:t>
      </w:r>
      <w:r>
        <w:rPr/>
        <w:t>（权重</w:t>
      </w:r>
      <w:r>
        <w:rPr/>
        <w:t>20%</w:t>
      </w:r>
      <w:r>
        <w:rPr/>
        <w:t xml:space="preserve">）；期限催化剂 </w:t>
      </w:r>
      <w:r>
        <w:rPr/>
        <w:t>4/5</w:t>
      </w:r>
      <w:r>
        <w:rPr/>
        <w:t>（权重</w:t>
      </w:r>
      <w:r>
        <w:rPr/>
        <w:t>5%</w:t>
      </w:r>
      <w:r>
        <w:rPr/>
        <w:t xml:space="preserve">）；财务治理与下行风险 </w:t>
      </w:r>
      <w:r>
        <w:rPr/>
        <w:t>3.3/5</w:t>
      </w:r>
      <w:r>
        <w:rPr/>
        <w:t>（权重</w:t>
      </w:r>
      <w:r>
        <w:rPr/>
        <w:t>10%</w:t>
      </w:r>
      <w:r>
        <w:rPr/>
        <w:t>）。</w:t>
      </w:r>
    </w:p>
    <w:p>
      <w:pPr>
        <w:pStyle w:val="Normal"/>
        <w:rPr/>
      </w:pPr>
      <w:r>
        <w:rPr/>
        <w:t>估值与预期回报：</w:t>
      </w:r>
      <w:r>
        <w:rPr/>
        <w:t>A</w:t>
      </w:r>
      <w:r>
        <w:rPr/>
        <w:t>股较便宜，基准一年</w:t>
      </w:r>
      <w:r>
        <w:rPr/>
        <w:t>38.47%vsH25.60%</w:t>
      </w:r>
      <w:r>
        <w:rPr/>
        <w:t>；上半年强增长已反映在</w:t>
      </w:r>
      <w:r>
        <w:rPr/>
        <w:t>H</w:t>
      </w:r>
      <w:r>
        <w:rPr/>
        <w:t>价，悲观利润</w:t>
      </w:r>
      <w:r>
        <w:rPr/>
        <w:t>/PE</w:t>
      </w:r>
      <w:r>
        <w:rPr/>
        <w:t>压缩明显；量价与相对强弱：</w:t>
      </w:r>
      <w:r>
        <w:rPr/>
        <w:t>A</w:t>
      </w:r>
      <w:r>
        <w:rPr/>
        <w:t>回调仍上</w:t>
      </w:r>
      <w:r>
        <w:rPr/>
        <w:t>60</w:t>
      </w:r>
      <w:r>
        <w:rPr/>
        <w:t>，</w:t>
      </w:r>
      <w:r>
        <w:rPr/>
        <w:t>H</w:t>
      </w:r>
      <w:r>
        <w:rPr/>
        <w:t>全均线上斜率正；近</w:t>
      </w:r>
      <w:r>
        <w:rPr/>
        <w:t>60</w:t>
      </w:r>
      <w:r>
        <w:rPr/>
        <w:t>市场超额强，但最新跌日放量、上涨下跌量比不占优；经营增长与商业质量：持续收入</w:t>
      </w:r>
      <w:r>
        <w:rPr/>
        <w:t>48%</w:t>
      </w:r>
      <w:r>
        <w:rPr/>
        <w:t>、化学</w:t>
      </w:r>
      <w:r>
        <w:rPr/>
        <w:t>53%</w:t>
      </w:r>
      <w:r>
        <w:rPr/>
        <w:t>、</w:t>
      </w:r>
      <w:r>
        <w:rPr/>
        <w:t>DM72.7%</w:t>
      </w:r>
      <w:r>
        <w:rPr/>
        <w:t>、订单</w:t>
      </w:r>
      <w:r>
        <w:rPr/>
        <w:t>25.2%</w:t>
      </w:r>
      <w:r>
        <w:rPr/>
        <w:t>实证；成熟订单转化与工艺平台强；行业周期与需求：全球研发融资与商业化需求，多肽</w:t>
      </w:r>
      <w:r>
        <w:rPr/>
        <w:t>/</w:t>
      </w:r>
      <w:r>
        <w:rPr/>
        <w:t>核酸长期机会；竞争价格、供给和客户集中限制；期限催化剂：业绩指引</w:t>
      </w:r>
      <w:r>
        <w:rPr/>
        <w:t>/</w:t>
      </w:r>
      <w:r>
        <w:rPr/>
        <w:t>订单兑现、产能爬坡和新分子，临近</w:t>
      </w:r>
      <w:r>
        <w:rPr/>
        <w:t>Q3</w:t>
      </w:r>
      <w:r>
        <w:rPr/>
        <w:t>仍可证伪；政策不可简单消除；财务治理与下行风险：</w:t>
      </w:r>
      <w:r>
        <w:rPr/>
        <w:t>OCF93</w:t>
      </w:r>
      <w:r>
        <w:rPr/>
        <w:t>亿</w:t>
      </w:r>
      <w:r>
        <w:rPr/>
        <w:t>/FCF63.5</w:t>
      </w:r>
      <w:r>
        <w:rPr/>
        <w:t>亿较强；负债增、可转债与回购</w:t>
      </w:r>
      <w:r>
        <w:rPr/>
        <w:t>/</w:t>
      </w:r>
      <w:r>
        <w:rPr/>
        <w:t>理财影响资本配置，全球政策尾部风险。</w:t>
      </w:r>
    </w:p>
    <w:p>
      <w:pPr>
        <w:pStyle w:val="Heading3"/>
        <w:rPr/>
      </w:pPr>
      <w:r>
        <w:rPr>
          <w:color w:val="000000"/>
        </w:rPr>
        <w:t xml:space="preserve">腾讯控股 </w:t>
      </w:r>
      <w:r>
        <w:rPr>
          <w:color w:val="000000"/>
        </w:rPr>
        <w:t xml:space="preserve">00700 HK </w:t>
      </w:r>
      <w:r>
        <w:rPr>
          <w:color w:val="000000"/>
        </w:rPr>
        <w:t>评分证据</w:t>
      </w:r>
    </w:p>
    <w:p>
      <w:pPr>
        <w:pStyle w:val="Normal"/>
        <w:rPr/>
      </w:pPr>
      <w:r>
        <w:rPr/>
        <w:t xml:space="preserve">估值与预期回报 </w:t>
      </w:r>
      <w:r>
        <w:rPr/>
        <w:t>4.3/5</w:t>
      </w:r>
      <w:r>
        <w:rPr/>
        <w:t>（权重</w:t>
      </w:r>
      <w:r>
        <w:rPr/>
        <w:t>25%</w:t>
      </w:r>
      <w:r>
        <w:rPr/>
        <w:t xml:space="preserve">）；量价与相对强弱 </w:t>
      </w:r>
      <w:r>
        <w:rPr/>
        <w:t>1.5/5</w:t>
      </w:r>
      <w:r>
        <w:rPr/>
        <w:t>（权重</w:t>
      </w:r>
      <w:r>
        <w:rPr/>
        <w:t>5%</w:t>
      </w:r>
      <w:r>
        <w:rPr/>
        <w:t xml:space="preserve">）；经营增长与商业质量 </w:t>
      </w:r>
      <w:r>
        <w:rPr/>
        <w:t>4.5/5</w:t>
      </w:r>
      <w:r>
        <w:rPr/>
        <w:t>（权重</w:t>
      </w:r>
      <w:r>
        <w:rPr/>
        <w:t>35%</w:t>
      </w:r>
      <w:r>
        <w:rPr/>
        <w:t xml:space="preserve">）；行业周期与需求 </w:t>
      </w:r>
      <w:r>
        <w:rPr/>
        <w:t>4.5/5</w:t>
      </w:r>
      <w:r>
        <w:rPr/>
        <w:t>（权重</w:t>
      </w:r>
      <w:r>
        <w:rPr/>
        <w:t>20%</w:t>
      </w:r>
      <w:r>
        <w:rPr/>
        <w:t xml:space="preserve">）；期限催化剂 </w:t>
      </w:r>
      <w:r>
        <w:rPr/>
        <w:t>3.7/5</w:t>
      </w:r>
      <w:r>
        <w:rPr/>
        <w:t>（权重</w:t>
      </w:r>
      <w:r>
        <w:rPr/>
        <w:t>5%</w:t>
      </w:r>
      <w:r>
        <w:rPr/>
        <w:t xml:space="preserve">）；财务治理与下行风险 </w:t>
      </w:r>
      <w:r>
        <w:rPr/>
        <w:t>3.6/5</w:t>
      </w:r>
      <w:r>
        <w:rPr/>
        <w:t>（权重</w:t>
      </w:r>
      <w:r>
        <w:rPr/>
        <w:t>10%</w:t>
      </w:r>
      <w:r>
        <w:rPr/>
        <w:t>）。</w:t>
      </w:r>
    </w:p>
    <w:p>
      <w:pPr>
        <w:pStyle w:val="Normal"/>
        <w:rPr/>
      </w:pPr>
      <w:r>
        <w:rPr/>
        <w:t>估值与预期回报：研究</w:t>
      </w:r>
      <w:r>
        <w:rPr/>
        <w:t>FX</w:t>
      </w:r>
      <w:r>
        <w:rPr/>
        <w:t>下历史</w:t>
      </w:r>
      <w:r>
        <w:rPr/>
        <w:t>non-IFRS diluted PE13.85x</w:t>
      </w:r>
      <w:r>
        <w:rPr/>
        <w:t>有吸引力，但未来</w:t>
      </w:r>
      <w:r>
        <w:rPr/>
        <w:t>AI</w:t>
      </w:r>
      <w:r>
        <w:rPr/>
        <w:t>费用及现金投入可能下降盈利质量；长期高回报需经营兑现；量价与相对强弱：</w:t>
      </w:r>
      <w:r>
        <w:rPr/>
        <w:t>424.8</w:t>
      </w:r>
      <w:r>
        <w:rPr/>
        <w:t>低于</w:t>
      </w:r>
      <w:r>
        <w:rPr/>
        <w:t>4</w:t>
      </w:r>
      <w:r>
        <w:rPr/>
        <w:t>条主要均线，斜率皆负，单日</w:t>
      </w:r>
      <w:r>
        <w:rPr/>
        <w:t>+3.26%</w:t>
      </w:r>
      <w:r>
        <w:rPr/>
        <w:t>且量比</w:t>
      </w:r>
      <w:r>
        <w:rPr/>
        <w:t>1.018</w:t>
      </w:r>
      <w:r>
        <w:rPr/>
        <w:t>不确认反转；</w:t>
      </w:r>
      <w:r>
        <w:rPr/>
        <w:t>60</w:t>
      </w:r>
      <w:r>
        <w:rPr/>
        <w:t>日相对恒指落后</w:t>
      </w:r>
      <w:r>
        <w:rPr/>
        <w:t>9.044</w:t>
      </w:r>
      <w:r>
        <w:rPr/>
        <w:t>个百分点，独立历史行情已核验；经营增长与商业质量：微信</w:t>
      </w:r>
      <w:r>
        <w:rPr/>
        <w:t>14.39</w:t>
      </w:r>
      <w:r>
        <w:rPr/>
        <w:t>亿合并</w:t>
      </w:r>
      <w:r>
        <w:rPr/>
        <w:t>MAU</w:t>
      </w:r>
      <w:r>
        <w:rPr/>
        <w:t>、游戏与广告毛利可验证；净利润和新</w:t>
      </w:r>
      <w:r>
        <w:rPr/>
        <w:t>AI</w:t>
      </w:r>
      <w:r>
        <w:rPr/>
        <w:t>变现尚受费用压力；行业周期与需求：国内内容需求、广告效率、云</w:t>
      </w:r>
      <w:r>
        <w:rPr/>
        <w:t>AI</w:t>
      </w:r>
      <w:r>
        <w:rPr/>
        <w:t>有空间，弱宏观、游戏高基数、算力周期是具体约束；期限催化剂：十月底产品策略和十一月</w:t>
      </w:r>
      <w:r>
        <w:rPr/>
        <w:t>Q3</w:t>
      </w:r>
      <w:r>
        <w:rPr/>
        <w:t>业绩为转载提及窗口；新产品使用与付费经济性尚未完全核验；财务治理与下行风险：成熟业务和现金强，但</w:t>
      </w:r>
      <w:r>
        <w:rPr/>
        <w:t>H1</w:t>
      </w:r>
      <w:r>
        <w:rPr/>
        <w:t>实际</w:t>
      </w:r>
      <w:r>
        <w:rPr/>
        <w:t>FCF</w:t>
      </w:r>
      <w:r>
        <w:rPr/>
        <w:t>约</w:t>
      </w:r>
      <w:r>
        <w:rPr/>
        <w:t>429</w:t>
      </w:r>
      <w:r>
        <w:rPr/>
        <w:t>亿元，净现金下降且预付算力真实占现金，股权激励与资本配置需跟踪。</w:t>
      </w:r>
    </w:p>
    <w:p>
      <w:pPr>
        <w:pStyle w:val="Heading3"/>
        <w:rPr/>
      </w:pPr>
      <w:r>
        <w:rPr>
          <w:color w:val="000000"/>
        </w:rPr>
        <w:t xml:space="preserve">药明合联 </w:t>
      </w:r>
      <w:r>
        <w:rPr>
          <w:color w:val="000000"/>
        </w:rPr>
        <w:t xml:space="preserve">02268 HK </w:t>
      </w:r>
      <w:r>
        <w:rPr>
          <w:color w:val="000000"/>
        </w:rPr>
        <w:t>评分证据</w:t>
      </w:r>
    </w:p>
    <w:p>
      <w:pPr>
        <w:pStyle w:val="Normal"/>
        <w:rPr/>
      </w:pPr>
      <w:r>
        <w:rPr/>
        <w:t xml:space="preserve">估值与预期回报 </w:t>
      </w:r>
      <w:r>
        <w:rPr/>
        <w:t>3.7/5</w:t>
      </w:r>
      <w:r>
        <w:rPr/>
        <w:t>（权重</w:t>
      </w:r>
      <w:r>
        <w:rPr/>
        <w:t>25%</w:t>
      </w:r>
      <w:r>
        <w:rPr/>
        <w:t xml:space="preserve">）；量价与相对强弱 </w:t>
      </w:r>
      <w:r>
        <w:rPr/>
        <w:t>3.7/5</w:t>
      </w:r>
      <w:r>
        <w:rPr/>
        <w:t>（权重</w:t>
      </w:r>
      <w:r>
        <w:rPr/>
        <w:t>5%</w:t>
      </w:r>
      <w:r>
        <w:rPr/>
        <w:t xml:space="preserve">）；经营增长与商业质量 </w:t>
      </w:r>
      <w:r>
        <w:rPr/>
        <w:t>4.5/5</w:t>
      </w:r>
      <w:r>
        <w:rPr/>
        <w:t>（权重</w:t>
      </w:r>
      <w:r>
        <w:rPr/>
        <w:t>35%</w:t>
      </w:r>
      <w:r>
        <w:rPr/>
        <w:t xml:space="preserve">）；行业周期与需求 </w:t>
      </w:r>
      <w:r>
        <w:rPr/>
        <w:t>4.7/5</w:t>
      </w:r>
      <w:r>
        <w:rPr/>
        <w:t>（权重</w:t>
      </w:r>
      <w:r>
        <w:rPr/>
        <w:t>20%</w:t>
      </w:r>
      <w:r>
        <w:rPr/>
        <w:t xml:space="preserve">）；期限催化剂 </w:t>
      </w:r>
      <w:r>
        <w:rPr/>
        <w:t>4.3/5</w:t>
      </w:r>
      <w:r>
        <w:rPr/>
        <w:t>（权重</w:t>
      </w:r>
      <w:r>
        <w:rPr/>
        <w:t>5%</w:t>
      </w:r>
      <w:r>
        <w:rPr/>
        <w:t xml:space="preserve">）；财务治理与下行风险 </w:t>
      </w:r>
      <w:r>
        <w:rPr/>
        <w:t>3.1/5</w:t>
      </w:r>
      <w:r>
        <w:rPr/>
        <w:t>（权重</w:t>
      </w:r>
      <w:r>
        <w:rPr/>
        <w:t>10%</w:t>
      </w:r>
      <w:r>
        <w:rPr/>
        <w:t>）。</w:t>
      </w:r>
    </w:p>
    <w:p>
      <w:pPr>
        <w:pStyle w:val="Normal"/>
        <w:rPr/>
      </w:pPr>
      <w:r>
        <w:rPr/>
        <w:t>估值与预期回报：现价已反映</w:t>
      </w:r>
      <w:r>
        <w:rPr/>
        <w:t>2027</w:t>
      </w:r>
      <w:r>
        <w:rPr/>
        <w:t>约</w:t>
      </w:r>
      <w:r>
        <w:rPr/>
        <w:t>34</w:t>
      </w:r>
      <w:r>
        <w:rPr/>
        <w:t>倍核心</w:t>
      </w:r>
      <w:r>
        <w:rPr/>
        <w:t>PE</w:t>
      </w:r>
      <w:r>
        <w:rPr/>
        <w:t>，半年基准空间有限；长期收入</w:t>
      </w:r>
      <w:r>
        <w:rPr/>
        <w:t>/</w:t>
      </w:r>
      <w:r>
        <w:rPr/>
        <w:t>利润增长提供回报，融资和倍数下调损失不可忽略；量价与相对强弱：</w:t>
      </w:r>
      <w:r>
        <w:rPr/>
        <w:t>20/60/120/250</w:t>
      </w:r>
      <w:r>
        <w:rPr/>
        <w:t>日均线向上与显著恒指超额支持趋势；日</w:t>
      </w:r>
      <w:r>
        <w:rPr/>
        <w:t>MACD</w:t>
      </w:r>
      <w:r>
        <w:rPr/>
        <w:t>减速、近前高且成交量分歧扣分；经营增长与商业质量：有机收入</w:t>
      </w:r>
      <w:r>
        <w:rPr/>
        <w:t>31.7%</w:t>
      </w:r>
      <w:r>
        <w:rPr/>
        <w:t>增长、后期项目</w:t>
      </w:r>
      <w:r>
        <w:rPr/>
        <w:t>57</w:t>
      </w:r>
      <w:r>
        <w:rPr/>
        <w:t>个与订单增长支持质量；股份酬金、收购及利用率仍须验证；行业周期与需求：</w:t>
      </w:r>
      <w:r>
        <w:rPr/>
        <w:t>ADC</w:t>
      </w:r>
      <w:r>
        <w:rPr/>
        <w:t>临床</w:t>
      </w:r>
      <w:r>
        <w:rPr/>
        <w:t>/</w:t>
      </w:r>
      <w:r>
        <w:rPr/>
        <w:t>商业化扩大，早期与后期服务需求同时增长；支付、研发融资及新增供给构成约束；期限催化剂：年报、无锡</w:t>
      </w:r>
      <w:r>
        <w:rPr/>
        <w:t>PLI</w:t>
      </w:r>
      <w:r>
        <w:rPr/>
        <w:t>准备、新加坡爬坡及</w:t>
      </w:r>
      <w:r>
        <w:rPr/>
        <w:t>PPQ</w:t>
      </w:r>
      <w:r>
        <w:rPr/>
        <w:t>转商业化；</w:t>
      </w:r>
      <w:r>
        <w:rPr/>
        <w:t>FDA</w:t>
      </w:r>
      <w:r>
        <w:rPr/>
        <w:t>日期来自新闻转述并非确定承诺；财务治理与下行风险：现金和定存</w:t>
      </w:r>
      <w:r>
        <w:rPr/>
        <w:t>5.118bn</w:t>
      </w:r>
      <w:r>
        <w:rPr/>
        <w:t>、债务</w:t>
      </w:r>
      <w:r>
        <w:rPr/>
        <w:t>0.491bn</w:t>
      </w:r>
      <w:r>
        <w:rPr/>
        <w:t>有缓冲；</w:t>
      </w:r>
      <w:r>
        <w:rPr/>
        <w:t>80</w:t>
      </w:r>
      <w:r>
        <w:rPr/>
        <w:t>亿元分期资本计划、外汇、稀释和跨国政策风险保留。</w:t>
      </w:r>
    </w:p>
    <w:p>
      <w:pPr>
        <w:pStyle w:val="Heading3"/>
        <w:rPr/>
      </w:pPr>
      <w:r>
        <w:rPr>
          <w:color w:val="000000"/>
        </w:rPr>
        <w:t xml:space="preserve">翰森制药 </w:t>
      </w:r>
      <w:r>
        <w:rPr>
          <w:color w:val="000000"/>
        </w:rPr>
        <w:t xml:space="preserve">03692 HK </w:t>
      </w:r>
      <w:r>
        <w:rPr>
          <w:color w:val="000000"/>
        </w:rPr>
        <w:t>评分证据</w:t>
      </w:r>
    </w:p>
    <w:p>
      <w:pPr>
        <w:pStyle w:val="Normal"/>
        <w:rPr/>
      </w:pPr>
      <w:r>
        <w:rPr/>
        <w:t xml:space="preserve">估值与预期回报 </w:t>
      </w:r>
      <w:r>
        <w:rPr/>
        <w:t>4.1/5</w:t>
      </w:r>
      <w:r>
        <w:rPr/>
        <w:t>（权重</w:t>
      </w:r>
      <w:r>
        <w:rPr/>
        <w:t>25%</w:t>
      </w:r>
      <w:r>
        <w:rPr/>
        <w:t xml:space="preserve">）；量价与相对强弱 </w:t>
      </w:r>
      <w:r>
        <w:rPr/>
        <w:t>1.8/5</w:t>
      </w:r>
      <w:r>
        <w:rPr/>
        <w:t>（权重</w:t>
      </w:r>
      <w:r>
        <w:rPr/>
        <w:t>5%</w:t>
      </w:r>
      <w:r>
        <w:rPr/>
        <w:t xml:space="preserve">）；经营增长与商业质量 </w:t>
      </w:r>
      <w:r>
        <w:rPr/>
        <w:t>4.4/5</w:t>
      </w:r>
      <w:r>
        <w:rPr/>
        <w:t>（权重</w:t>
      </w:r>
      <w:r>
        <w:rPr/>
        <w:t>35%</w:t>
      </w:r>
      <w:r>
        <w:rPr/>
        <w:t xml:space="preserve">）；行业周期与需求 </w:t>
      </w:r>
      <w:r>
        <w:rPr/>
        <w:t>4.4/5</w:t>
      </w:r>
      <w:r>
        <w:rPr/>
        <w:t>（权重</w:t>
      </w:r>
      <w:r>
        <w:rPr/>
        <w:t>20%</w:t>
      </w:r>
      <w:r>
        <w:rPr/>
        <w:t xml:space="preserve">）；期限催化剂 </w:t>
      </w:r>
      <w:r>
        <w:rPr/>
        <w:t>4.2/5</w:t>
      </w:r>
      <w:r>
        <w:rPr/>
        <w:t>（权重</w:t>
      </w:r>
      <w:r>
        <w:rPr/>
        <w:t>5%</w:t>
      </w:r>
      <w:r>
        <w:rPr/>
        <w:t xml:space="preserve">）；财务治理与下行风险 </w:t>
      </w:r>
      <w:r>
        <w:rPr/>
        <w:t>3.8/5</w:t>
      </w:r>
      <w:r>
        <w:rPr/>
        <w:t>（权重</w:t>
      </w:r>
      <w:r>
        <w:rPr/>
        <w:t>10%</w:t>
      </w:r>
      <w:r>
        <w:rPr/>
        <w:t>）。</w:t>
      </w:r>
    </w:p>
    <w:p>
      <w:pPr>
        <w:pStyle w:val="Normal"/>
        <w:rPr/>
      </w:pPr>
      <w:r>
        <w:rPr/>
        <w:t>估值与预期回报：</w:t>
      </w:r>
      <w:r>
        <w:rPr/>
        <w:t>31.54</w:t>
      </w:r>
      <w:r>
        <w:rPr/>
        <w:t>低于近期机构</w:t>
      </w:r>
      <w:r>
        <w:rPr/>
        <w:t>37.24—52.7</w:t>
      </w:r>
      <w:r>
        <w:rPr/>
        <w:t>；核心盈利与超额现金分开，现金有债务</w:t>
      </w:r>
      <w:r>
        <w:rPr/>
        <w:t>/</w:t>
      </w:r>
      <w:r>
        <w:rPr/>
        <w:t>资本责任，不能按法定高利润机械估值；量价与相对强弱：价低于</w:t>
      </w:r>
      <w:r>
        <w:rPr/>
        <w:t>20/60/120/250</w:t>
      </w:r>
      <w:r>
        <w:rPr/>
        <w:t>日线，日</w:t>
      </w:r>
      <w:r>
        <w:rPr/>
        <w:t>RSI38.4</w:t>
      </w:r>
      <w:r>
        <w:rPr/>
        <w:t>与</w:t>
      </w:r>
      <w:r>
        <w:rPr/>
        <w:t>MACD</w:t>
      </w:r>
      <w:r>
        <w:rPr/>
        <w:t>负，市场超额负；近低点不等于底部；经营增长与商业质量：创新产品增长</w:t>
      </w:r>
      <w:r>
        <w:rPr/>
        <w:t>21.6%</w:t>
      </w:r>
      <w:r>
        <w:rPr/>
        <w:t>、费用效率和成熟商业化支持；收入含授权、投资收益剔除；行业周期与需求：肿瘤、代谢和自身免疫需求，创新转型；同靶点与医保约束可支付市场；期限催化剂：</w:t>
      </w:r>
      <w:r>
        <w:rPr/>
        <w:t>HS20093</w:t>
      </w:r>
      <w:r>
        <w:rPr/>
        <w:t>两个申报、奥莱泊肽申报、</w:t>
      </w:r>
      <w:r>
        <w:rPr/>
        <w:t>TYK2</w:t>
      </w:r>
      <w:r>
        <w:rPr/>
        <w:t>三期阳性和</w:t>
      </w:r>
      <w:r>
        <w:rPr/>
        <w:t>MET/RET</w:t>
      </w:r>
      <w:r>
        <w:rPr/>
        <w:t>等后期储备；批准并非保证；财务治理与下行风险：</w:t>
      </w:r>
      <w:r>
        <w:rPr/>
        <w:t>37.383bn</w:t>
      </w:r>
      <w:r>
        <w:rPr/>
        <w:t>现金银行余额支持研发；</w:t>
      </w:r>
      <w:r>
        <w:rPr/>
        <w:t>CB</w:t>
      </w:r>
      <w:r>
        <w:rPr/>
        <w:t>本金</w:t>
      </w:r>
      <w:r>
        <w:rPr/>
        <w:t>46.8</w:t>
      </w:r>
      <w:r>
        <w:rPr/>
        <w:t>亿港元</w:t>
      </w:r>
      <w:r>
        <w:rPr/>
        <w:t>/</w:t>
      </w:r>
      <w:r>
        <w:rPr/>
        <w:t>股价</w:t>
      </w:r>
      <w:r>
        <w:rPr/>
        <w:t>56.54</w:t>
      </w:r>
      <w:r>
        <w:rPr/>
        <w:t>及股份激励保留，海外和管理治理风险。</w:t>
      </w:r>
    </w:p>
    <w:p>
      <w:pPr>
        <w:pStyle w:val="Heading3"/>
        <w:rPr/>
      </w:pPr>
      <w:r>
        <w:rPr>
          <w:color w:val="000000"/>
        </w:rPr>
        <w:t xml:space="preserve">凯莱英 </w:t>
      </w:r>
      <w:r>
        <w:rPr>
          <w:color w:val="000000"/>
        </w:rPr>
        <w:t xml:space="preserve">06821 HK </w:t>
      </w:r>
      <w:r>
        <w:rPr>
          <w:color w:val="000000"/>
        </w:rPr>
        <w:t>评分证据</w:t>
      </w:r>
    </w:p>
    <w:p>
      <w:pPr>
        <w:pStyle w:val="Normal"/>
        <w:rPr/>
      </w:pPr>
      <w:r>
        <w:rPr/>
        <w:t xml:space="preserve">估值与预期回报 </w:t>
      </w:r>
      <w:r>
        <w:rPr/>
        <w:t>4/5</w:t>
      </w:r>
      <w:r>
        <w:rPr/>
        <w:t>（权重</w:t>
      </w:r>
      <w:r>
        <w:rPr/>
        <w:t>25%</w:t>
      </w:r>
      <w:r>
        <w:rPr/>
        <w:t xml:space="preserve">）；量价与相对强弱 </w:t>
      </w:r>
      <w:r>
        <w:rPr/>
        <w:t>3.5/5</w:t>
      </w:r>
      <w:r>
        <w:rPr/>
        <w:t>（权重</w:t>
      </w:r>
      <w:r>
        <w:rPr/>
        <w:t>5%</w:t>
      </w:r>
      <w:r>
        <w:rPr/>
        <w:t xml:space="preserve">）；经营增长与商业质量 </w:t>
      </w:r>
      <w:r>
        <w:rPr/>
        <w:t>4.3/5</w:t>
      </w:r>
      <w:r>
        <w:rPr/>
        <w:t>（权重</w:t>
      </w:r>
      <w:r>
        <w:rPr/>
        <w:t>35%</w:t>
      </w:r>
      <w:r>
        <w:rPr/>
        <w:t xml:space="preserve">）；行业周期与需求 </w:t>
      </w:r>
      <w:r>
        <w:rPr/>
        <w:t>4.4/5</w:t>
      </w:r>
      <w:r>
        <w:rPr/>
        <w:t>（权重</w:t>
      </w:r>
      <w:r>
        <w:rPr/>
        <w:t>20%</w:t>
      </w:r>
      <w:r>
        <w:rPr/>
        <w:t xml:space="preserve">）；期限催化剂 </w:t>
      </w:r>
      <w:r>
        <w:rPr/>
        <w:t>4/5</w:t>
      </w:r>
      <w:r>
        <w:rPr/>
        <w:t>（权重</w:t>
      </w:r>
      <w:r>
        <w:rPr/>
        <w:t>5%</w:t>
      </w:r>
      <w:r>
        <w:rPr/>
        <w:t xml:space="preserve">）；财务治理与下行风险 </w:t>
      </w:r>
      <w:r>
        <w:rPr/>
        <w:t>3.6/5</w:t>
      </w:r>
      <w:r>
        <w:rPr/>
        <w:t>（权重</w:t>
      </w:r>
      <w:r>
        <w:rPr/>
        <w:t>10%</w:t>
      </w:r>
      <w:r>
        <w:rPr/>
        <w:t>）。</w:t>
      </w:r>
    </w:p>
    <w:p>
      <w:pPr>
        <w:pStyle w:val="Normal"/>
        <w:rPr/>
      </w:pPr>
      <w:r>
        <w:rPr/>
        <w:t>凯莱英独立深研第六至十七节；以下为正文摘要，评分保持已核验模型原值。</w:t>
      </w:r>
    </w:p>
    <w:p>
      <w:pPr>
        <w:pStyle w:val="Normal"/>
        <w:rPr/>
      </w:pPr>
      <w:r>
        <w:rPr/>
        <w:t>估值与预期回报：三年基准每股盈利</w:t>
      </w:r>
      <w:r>
        <w:rPr/>
        <w:t>8.3</w:t>
      </w:r>
      <w:r>
        <w:rPr/>
        <w:t>元人民币，</w:t>
      </w:r>
      <w:r>
        <w:rPr/>
        <w:t>A/H</w:t>
      </w:r>
      <w:r>
        <w:rPr/>
        <w:t>倍数</w:t>
      </w:r>
      <w:r>
        <w:rPr/>
        <w:t>35/30</w:t>
      </w:r>
      <w:r>
        <w:rPr/>
        <w:t>倍；增长与新产能回报须兑现，不能把订单金额直接当利润。</w:t>
      </w:r>
      <w:r>
        <w:rPr/>
        <w:t>H</w:t>
      </w:r>
      <w:r>
        <w:rPr/>
        <w:t>股按研究汇率折算的现价较</w:t>
      </w:r>
      <w:r>
        <w:rPr/>
        <w:t>A</w:t>
      </w:r>
      <w:r>
        <w:rPr/>
        <w:t>股低，但价差不保证收敛；量价与相对强弱：</w:t>
      </w:r>
      <w:r>
        <w:rPr/>
        <w:t>H</w:t>
      </w:r>
      <w:r>
        <w:rPr/>
        <w:t>股低于</w:t>
      </w:r>
      <w:r>
        <w:rPr/>
        <w:t>20</w:t>
      </w:r>
      <w:r>
        <w:rPr/>
        <w:t>日线而高于中长期线；基准日跌</w:t>
      </w:r>
      <w:r>
        <w:rPr/>
        <w:t>4.85%</w:t>
      </w:r>
      <w:r>
        <w:rPr/>
        <w:t>、量比</w:t>
      </w:r>
      <w:r>
        <w:rPr/>
        <w:t>1.58</w:t>
      </w:r>
      <w:r>
        <w:rPr/>
        <w:t>，放量下跌与周线升势并存；经营增长与商业质量：上半年新兴业务增长</w:t>
      </w:r>
      <w:r>
        <w:rPr/>
        <w:t>72.49%</w:t>
      </w:r>
      <w:r>
        <w:rPr/>
        <w:t>，化学大分子与生物大分子扩张；集团归母利润下降</w:t>
      </w:r>
      <w:r>
        <w:rPr/>
        <w:t>15.71%</w:t>
      </w:r>
      <w:r>
        <w:rPr/>
        <w:t>，经营质量仍需交付与毛利验证；行业周期与需求：多肽、寡核苷酸及偶联外包有需求空间；客户融资、项目取消、价格和海外政策影响订单转化；期限催化剂：后期项目交付、新产能利用率与后续商业化是主要催化；未披露客户药物及金额未另加价值；财务治理与下行风险：银行借款较少，但扩产支出超过经营现金流；库存、受限资金、激励及海外运营成本构成反证。</w:t>
      </w:r>
    </w:p>
    <w:p>
      <w:pPr>
        <w:pStyle w:val="Heading3"/>
        <w:rPr/>
      </w:pPr>
      <w:r>
        <w:rPr>
          <w:color w:val="000000"/>
        </w:rPr>
        <w:t xml:space="preserve">ASMPT 00522 HK </w:t>
      </w:r>
      <w:r>
        <w:rPr>
          <w:color w:val="000000"/>
        </w:rPr>
        <w:t>评分证据</w:t>
      </w:r>
    </w:p>
    <w:p>
      <w:pPr>
        <w:pStyle w:val="Normal"/>
        <w:rPr/>
      </w:pPr>
      <w:r>
        <w:rPr/>
        <w:t xml:space="preserve">估值与预期回报 </w:t>
      </w:r>
      <w:r>
        <w:rPr/>
        <w:t>4.2/5</w:t>
      </w:r>
      <w:r>
        <w:rPr/>
        <w:t>（权重</w:t>
      </w:r>
      <w:r>
        <w:rPr/>
        <w:t>25%</w:t>
      </w:r>
      <w:r>
        <w:rPr/>
        <w:t xml:space="preserve">）；量价与相对强弱 </w:t>
      </w:r>
      <w:r>
        <w:rPr/>
        <w:t>3/5</w:t>
      </w:r>
      <w:r>
        <w:rPr/>
        <w:t>（权重</w:t>
      </w:r>
      <w:r>
        <w:rPr/>
        <w:t>5%</w:t>
      </w:r>
      <w:r>
        <w:rPr/>
        <w:t xml:space="preserve">）；经营增长与商业质量 </w:t>
      </w:r>
      <w:r>
        <w:rPr/>
        <w:t>4.3/5</w:t>
      </w:r>
      <w:r>
        <w:rPr/>
        <w:t>（权重</w:t>
      </w:r>
      <w:r>
        <w:rPr/>
        <w:t>35%</w:t>
      </w:r>
      <w:r>
        <w:rPr/>
        <w:t xml:space="preserve">）；行业周期与需求 </w:t>
      </w:r>
      <w:r>
        <w:rPr/>
        <w:t>4.4/5</w:t>
      </w:r>
      <w:r>
        <w:rPr/>
        <w:t>（权重</w:t>
      </w:r>
      <w:r>
        <w:rPr/>
        <w:t>20%</w:t>
      </w:r>
      <w:r>
        <w:rPr/>
        <w:t xml:space="preserve">）；期限催化剂 </w:t>
      </w:r>
      <w:r>
        <w:rPr/>
        <w:t>4.2/5</w:t>
      </w:r>
      <w:r>
        <w:rPr/>
        <w:t>（权重</w:t>
      </w:r>
      <w:r>
        <w:rPr/>
        <w:t>5%</w:t>
      </w:r>
      <w:r>
        <w:rPr/>
        <w:t xml:space="preserve">）；财务治理与下行风险 </w:t>
      </w:r>
      <w:r>
        <w:rPr/>
        <w:t>3.1/5</w:t>
      </w:r>
      <w:r>
        <w:rPr/>
        <w:t>（权重</w:t>
      </w:r>
      <w:r>
        <w:rPr/>
        <w:t>10%</w:t>
      </w:r>
      <w:r>
        <w:rPr/>
        <w:t>）。</w:t>
      </w:r>
    </w:p>
    <w:p>
      <w:pPr>
        <w:pStyle w:val="Normal"/>
        <w:rPr/>
      </w:pPr>
      <w:r>
        <w:rPr/>
        <w:t>估值与预期回报：成长覆盖</w:t>
      </w:r>
      <w:r>
        <w:rPr/>
        <w:t>PE27</w:t>
      </w:r>
      <w:r>
        <w:rPr/>
        <w:t>成熟下降，不加全部现金资产；量价与相对强弱：低权重不以历史高点当价值；经营增长与商业质量：研发与客户认证</w:t>
      </w:r>
      <w:r>
        <w:rPr/>
        <w:t>/</w:t>
      </w:r>
      <w:r>
        <w:rPr/>
        <w:t>服务平台，资本效率需证实；行业周期与需求：</w:t>
      </w:r>
      <w:r>
        <w:rPr/>
        <w:t>TCB/Photonics/</w:t>
      </w:r>
      <w:r>
        <w:rPr/>
        <w:t>主流多样化、</w:t>
      </w:r>
      <w:r>
        <w:rPr/>
        <w:t>HB</w:t>
      </w:r>
      <w:r>
        <w:rPr/>
        <w:t>替代共存；期限催化剂：客户扩产兑现，</w:t>
      </w:r>
      <w:r>
        <w:rPr/>
        <w:t>SMT</w:t>
      </w:r>
      <w:r>
        <w:rPr/>
        <w:t>方案归属不能重复；财务治理与下行风险：出口扩展、路线替代、订单取消及股数。</w:t>
      </w:r>
    </w:p>
    <w:p>
      <w:pPr>
        <w:pStyle w:val="Heading3"/>
        <w:rPr/>
      </w:pPr>
      <w:r>
        <w:rPr>
          <w:color w:val="000000"/>
        </w:rPr>
        <w:t xml:space="preserve">恒瑞医药 </w:t>
      </w:r>
      <w:r>
        <w:rPr>
          <w:color w:val="000000"/>
        </w:rPr>
        <w:t xml:space="preserve">01276 HK </w:t>
      </w:r>
      <w:r>
        <w:rPr>
          <w:color w:val="000000"/>
        </w:rPr>
        <w:t>评分证据</w:t>
      </w:r>
    </w:p>
    <w:p>
      <w:pPr>
        <w:pStyle w:val="Normal"/>
        <w:rPr/>
      </w:pPr>
      <w:r>
        <w:rPr/>
        <w:t xml:space="preserve">估值与预期回报 </w:t>
      </w:r>
      <w:r>
        <w:rPr/>
        <w:t>4.2/5</w:t>
      </w:r>
      <w:r>
        <w:rPr/>
        <w:t>（权重</w:t>
      </w:r>
      <w:r>
        <w:rPr/>
        <w:t>25%</w:t>
      </w:r>
      <w:r>
        <w:rPr/>
        <w:t xml:space="preserve">）；量价与相对强弱 </w:t>
      </w:r>
      <w:r>
        <w:rPr/>
        <w:t>3/5</w:t>
      </w:r>
      <w:r>
        <w:rPr/>
        <w:t>（权重</w:t>
      </w:r>
      <w:r>
        <w:rPr/>
        <w:t>5%</w:t>
      </w:r>
      <w:r>
        <w:rPr/>
        <w:t xml:space="preserve">）；经营增长与商业质量 </w:t>
      </w:r>
      <w:r>
        <w:rPr/>
        <w:t>4.2/5</w:t>
      </w:r>
      <w:r>
        <w:rPr/>
        <w:t>（权重</w:t>
      </w:r>
      <w:r>
        <w:rPr/>
        <w:t>35%</w:t>
      </w:r>
      <w:r>
        <w:rPr/>
        <w:t xml:space="preserve">）；行业周期与需求 </w:t>
      </w:r>
      <w:r>
        <w:rPr/>
        <w:t>4.3/5</w:t>
      </w:r>
      <w:r>
        <w:rPr/>
        <w:t>（权重</w:t>
      </w:r>
      <w:r>
        <w:rPr/>
        <w:t>20%</w:t>
      </w:r>
      <w:r>
        <w:rPr/>
        <w:t xml:space="preserve">）；期限催化剂 </w:t>
      </w:r>
      <w:r>
        <w:rPr/>
        <w:t>4/5</w:t>
      </w:r>
      <w:r>
        <w:rPr/>
        <w:t>（权重</w:t>
      </w:r>
      <w:r>
        <w:rPr/>
        <w:t>5%</w:t>
      </w:r>
      <w:r>
        <w:rPr/>
        <w:t xml:space="preserve">）；财务治理与下行风险 </w:t>
      </w:r>
      <w:r>
        <w:rPr/>
        <w:t>3.7/5</w:t>
      </w:r>
      <w:r>
        <w:rPr/>
        <w:t>（权重</w:t>
      </w:r>
      <w:r>
        <w:rPr/>
        <w:t>10%</w:t>
      </w:r>
      <w:r>
        <w:rPr/>
        <w:t>）。</w:t>
      </w:r>
    </w:p>
    <w:p>
      <w:pPr>
        <w:pStyle w:val="Normal"/>
        <w:rPr/>
      </w:pPr>
      <w:r>
        <w:rPr/>
        <w:t>估值与预期回报：</w:t>
      </w:r>
      <w:r>
        <w:rPr/>
        <w:t>H</w:t>
      </w:r>
      <w:r>
        <w:rPr/>
        <w:t>股研究汇率下折价，一年基准上行</w:t>
      </w:r>
      <w:r>
        <w:rPr/>
        <w:t>44.38%</w:t>
      </w:r>
      <w:r>
        <w:rPr/>
        <w:t>，但正常化盈利与高</w:t>
      </w:r>
      <w:r>
        <w:rPr/>
        <w:t>PE</w:t>
      </w:r>
      <w:r>
        <w:rPr/>
        <w:t>须兑现；量价与相对强弱：</w:t>
      </w:r>
      <w:r>
        <w:rPr/>
        <w:t>A/H</w:t>
      </w:r>
      <w:r>
        <w:rPr/>
        <w:t>站上</w:t>
      </w:r>
      <w:r>
        <w:rPr/>
        <w:t>20</w:t>
      </w:r>
      <w:r>
        <w:rPr/>
        <w:t>日但低于</w:t>
      </w:r>
      <w:r>
        <w:rPr/>
        <w:t>60/120/250</w:t>
      </w:r>
      <w:r>
        <w:rPr/>
        <w:t>，</w:t>
      </w:r>
      <w:r>
        <w:rPr/>
        <w:t>60</w:t>
      </w:r>
      <w:r>
        <w:rPr/>
        <w:t>日回报落后市场；</w:t>
      </w:r>
      <w:r>
        <w:rPr/>
        <w:t>H</w:t>
      </w:r>
      <w:r>
        <w:rPr/>
        <w:t>最新量比</w:t>
      </w:r>
      <w:r>
        <w:rPr/>
        <w:t>1.64</w:t>
      </w:r>
      <w:r>
        <w:rPr/>
        <w:t>仍仅反弹；经营增长与商业质量：创新</w:t>
      </w:r>
      <w:r>
        <w:rPr/>
        <w:t>16.4%</w:t>
      </w:r>
      <w:r>
        <w:rPr/>
        <w:t>和非肿瘤</w:t>
      </w:r>
      <w:r>
        <w:rPr/>
        <w:t>74%</w:t>
      </w:r>
      <w:r>
        <w:rPr/>
        <w:t>真实放量；肿瘤</w:t>
      </w:r>
      <w:r>
        <w:rPr/>
        <w:t>2.6%</w:t>
      </w:r>
      <w:r>
        <w:rPr/>
        <w:t>与仿制</w:t>
      </w:r>
      <w:r>
        <w:rPr/>
        <w:t>-16.1%</w:t>
      </w:r>
      <w:r>
        <w:rPr/>
        <w:t>抵消；行业周期与需求：疾病刚需、慢病与全球授权；医保集采、竞争、利率为约束；期限催化剂：</w:t>
      </w:r>
      <w:r>
        <w:rPr/>
        <w:t>BMS</w:t>
      </w:r>
      <w:r>
        <w:rPr/>
        <w:t>首付</w:t>
      </w:r>
      <w:r>
        <w:rPr/>
        <w:t>/</w:t>
      </w:r>
      <w:r>
        <w:rPr/>
        <w:t>履约、免疫代谢、医院准入；获批</w:t>
      </w:r>
      <w:r>
        <w:rPr/>
        <w:t>/</w:t>
      </w:r>
      <w:r>
        <w:rPr/>
        <w:t>政策仍未知；财务治理与下行风险：现金与低负债强；</w:t>
      </w:r>
      <w:r>
        <w:rPr/>
        <w:t>OCF</w:t>
      </w:r>
      <w:r>
        <w:rPr/>
        <w:t>落后利润、研发资本化和公平价值需复核。</w:t>
      </w:r>
    </w:p>
    <w:p>
      <w:pPr>
        <w:pStyle w:val="Heading3"/>
        <w:rPr/>
      </w:pPr>
      <w:r>
        <w:rPr>
          <w:color w:val="000000"/>
        </w:rPr>
        <w:t xml:space="preserve">京东健康 </w:t>
      </w:r>
      <w:r>
        <w:rPr>
          <w:color w:val="000000"/>
        </w:rPr>
        <w:t xml:space="preserve">06618 HK </w:t>
      </w:r>
      <w:r>
        <w:rPr>
          <w:color w:val="000000"/>
        </w:rPr>
        <w:t>评分证据</w:t>
      </w:r>
    </w:p>
    <w:p>
      <w:pPr>
        <w:pStyle w:val="Normal"/>
        <w:rPr/>
      </w:pPr>
      <w:r>
        <w:rPr/>
        <w:t xml:space="preserve">估值与预期回报 </w:t>
      </w:r>
      <w:r>
        <w:rPr/>
        <w:t>4.2/5</w:t>
      </w:r>
      <w:r>
        <w:rPr/>
        <w:t>（权重</w:t>
      </w:r>
      <w:r>
        <w:rPr/>
        <w:t>25%</w:t>
      </w:r>
      <w:r>
        <w:rPr/>
        <w:t xml:space="preserve">）；量价与相对强弱 </w:t>
      </w:r>
      <w:r>
        <w:rPr/>
        <w:t>2.8/5</w:t>
      </w:r>
      <w:r>
        <w:rPr/>
        <w:t>（权重</w:t>
      </w:r>
      <w:r>
        <w:rPr/>
        <w:t>5%</w:t>
      </w:r>
      <w:r>
        <w:rPr/>
        <w:t xml:space="preserve">）；经营增长与商业质量 </w:t>
      </w:r>
      <w:r>
        <w:rPr/>
        <w:t>4.3/5</w:t>
      </w:r>
      <w:r>
        <w:rPr/>
        <w:t>（权重</w:t>
      </w:r>
      <w:r>
        <w:rPr/>
        <w:t>35%</w:t>
      </w:r>
      <w:r>
        <w:rPr/>
        <w:t xml:space="preserve">）；行业周期与需求 </w:t>
      </w:r>
      <w:r>
        <w:rPr/>
        <w:t>4.2/5</w:t>
      </w:r>
      <w:r>
        <w:rPr/>
        <w:t>（权重</w:t>
      </w:r>
      <w:r>
        <w:rPr/>
        <w:t>20%</w:t>
      </w:r>
      <w:r>
        <w:rPr/>
        <w:t xml:space="preserve">）；期限催化剂 </w:t>
      </w:r>
      <w:r>
        <w:rPr/>
        <w:t>4/5</w:t>
      </w:r>
      <w:r>
        <w:rPr/>
        <w:t>（权重</w:t>
      </w:r>
      <w:r>
        <w:rPr/>
        <w:t>5%</w:t>
      </w:r>
      <w:r>
        <w:rPr/>
        <w:t xml:space="preserve">）；财务治理与下行风险 </w:t>
      </w:r>
      <w:r>
        <w:rPr/>
        <w:t>3.6/5</w:t>
      </w:r>
      <w:r>
        <w:rPr/>
        <w:t>（权重</w:t>
      </w:r>
      <w:r>
        <w:rPr/>
        <w:t>10%</w:t>
      </w:r>
      <w:r>
        <w:rPr/>
        <w:t>）。</w:t>
      </w:r>
    </w:p>
    <w:p>
      <w:pPr>
        <w:pStyle w:val="Normal"/>
        <w:rPr/>
      </w:pPr>
      <w:r>
        <w:rPr/>
        <w:t>估值与预期回报：正常盈利成长而</w:t>
      </w:r>
      <w:r>
        <w:rPr/>
        <w:t>PE20</w:t>
      </w:r>
      <w:r>
        <w:rPr/>
        <w:t xml:space="preserve">，不依赖现金重复估值；量价与相对强弱：短线得分低权重，长期不 </w:t>
      </w:r>
      <w:r>
        <w:rPr/>
        <w:t>extrapolate</w:t>
      </w:r>
      <w:r>
        <w:rPr/>
        <w:t>；经营增长与商业质量：院外供应链可信度和复购，服务份额改善；行业周期与需求：慢病健康管理空间，价格透明制约利润；期限催化剂：平台效率和专病服务形成而非</w:t>
      </w:r>
      <w:r>
        <w:rPr/>
        <w:t>AI</w:t>
      </w:r>
      <w:r>
        <w:rPr/>
        <w:t>名词估值；财务治理与下行风险：理财、关联定价及平台替代与股数风险。</w:t>
      </w:r>
    </w:p>
    <w:p>
      <w:pPr>
        <w:pStyle w:val="Heading2"/>
        <w:rPr/>
      </w:pPr>
      <w:bookmarkStart w:id="5" w:name="__RefHeading___Toc4849_1919545624"/>
      <w:bookmarkEnd w:id="5"/>
      <w:r>
        <w:rPr>
          <w:color w:val="000000"/>
        </w:rPr>
        <w:t>五年 全名单可评估股票</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643"/>
        <w:gridCol w:w="1642"/>
        <w:gridCol w:w="1644"/>
        <w:gridCol w:w="1643"/>
        <w:gridCol w:w="1642"/>
        <w:gridCol w:w="1644"/>
      </w:tblGrid>
      <w:tr>
        <w:trPr>
          <w:tblHeader w:val="true"/>
          <w:cantSplit/>
        </w:trPr>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全榜名次</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公司</w:t>
            </w:r>
            <w:r>
              <w:rPr>
                <w:rFonts w:eastAsia="微软雅黑" w:ascii="微软雅黑" w:hAnsi="微软雅黑"/>
                <w:b/>
                <w:color w:val="FFFFFF"/>
                <w:sz w:val="17"/>
              </w:rPr>
              <w:t>/</w:t>
            </w:r>
            <w:r>
              <w:rPr>
                <w:rFonts w:ascii="微软雅黑" w:hAnsi="微软雅黑" w:eastAsia="微软雅黑"/>
                <w:b/>
                <w:color w:val="FFFFFF"/>
                <w:sz w:val="17"/>
              </w:rPr>
              <w:t>优先代码</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得分</w:t>
            </w:r>
          </w:p>
        </w:tc>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基准目标</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股价涨幅</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悲观涨跌幅</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百济神州</w:t>
            </w:r>
            <w:r>
              <w:rPr>
                <w:rFonts w:eastAsia="微软雅黑" w:ascii="微软雅黑" w:hAnsi="微软雅黑"/>
                <w:sz w:val="17"/>
              </w:rPr>
              <w:br/>
              <w:t>06160.HK</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89.30</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628.82</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+200.01%</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-83.48%</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腾讯控股</w:t>
            </w:r>
            <w:r>
              <w:rPr>
                <w:rFonts w:eastAsia="微软雅黑" w:ascii="微软雅黑" w:hAnsi="微软雅黑"/>
                <w:sz w:val="17"/>
              </w:rPr>
              <w:br/>
              <w:t>00700.HK</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84.00</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880.00</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+107.16%</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-27.50%</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宁德时代</w:t>
            </w:r>
            <w:r>
              <w:rPr>
                <w:rFonts w:eastAsia="微软雅黑" w:ascii="微软雅黑" w:hAnsi="微软雅黑"/>
                <w:sz w:val="17"/>
              </w:rPr>
              <w:br/>
              <w:t>03750.HK</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83.60</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1,171.42</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+138.38%</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-78.71%</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迈瑞医疗</w:t>
            </w:r>
            <w:r>
              <w:rPr>
                <w:rFonts w:eastAsia="微软雅黑" w:ascii="微软雅黑" w:hAnsi="微软雅黑"/>
                <w:sz w:val="17"/>
              </w:rPr>
              <w:br/>
              <w:t>300760.SZ</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83.20</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341.00</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+111.28%</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-21.00%</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恒瑞医药</w:t>
            </w:r>
            <w:r>
              <w:rPr>
                <w:rFonts w:eastAsia="微软雅黑" w:ascii="微软雅黑" w:hAnsi="微软雅黑"/>
                <w:sz w:val="17"/>
              </w:rPr>
              <w:br/>
              <w:t>01276.HK</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82.90</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110.83</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+130.89%</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-38.12%</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美的集团</w:t>
            </w:r>
            <w:r>
              <w:rPr>
                <w:rFonts w:eastAsia="微软雅黑" w:ascii="微软雅黑" w:hAnsi="微软雅黑"/>
                <w:sz w:val="17"/>
              </w:rPr>
              <w:br/>
              <w:t>00300.HK</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82.80</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212.29</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+126.68%</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-57.36%</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药明康德</w:t>
            </w:r>
            <w:r>
              <w:rPr>
                <w:rFonts w:eastAsia="微软雅黑" w:ascii="微软雅黑" w:hAnsi="微软雅黑"/>
                <w:sz w:val="17"/>
              </w:rPr>
              <w:br/>
              <w:t>603259.SH</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82.60</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310.00</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+96.45%</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-33.46%</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9</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凯莱英</w:t>
            </w:r>
            <w:r>
              <w:rPr>
                <w:rFonts w:eastAsia="微软雅黑" w:ascii="微软雅黑" w:hAnsi="微软雅黑"/>
                <w:sz w:val="17"/>
              </w:rPr>
              <w:br/>
              <w:t>06821.HK</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82.40</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354.20</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+128.37%</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-46.38%</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11</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翰森制药</w:t>
            </w:r>
            <w:r>
              <w:rPr>
                <w:rFonts w:eastAsia="微软雅黑" w:ascii="微软雅黑" w:hAnsi="微软雅黑"/>
                <w:sz w:val="17"/>
              </w:rPr>
              <w:br/>
              <w:t>03692.HK</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82.00</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70.46</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+123.39%</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-17.66%</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12</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信达生物</w:t>
            </w:r>
            <w:r>
              <w:rPr>
                <w:rFonts w:eastAsia="微软雅黑" w:ascii="微软雅黑" w:hAnsi="微软雅黑"/>
                <w:sz w:val="17"/>
              </w:rPr>
              <w:br/>
              <w:t>01801.HK</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81.60</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206.25</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+122.61%</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-31.61%</w:t>
            </w:r>
          </w:p>
        </w:tc>
      </w:tr>
    </w:tbl>
    <w:p>
      <w:pPr>
        <w:pStyle w:val="Normal"/>
        <w:rPr/>
      </w:pPr>
      <w:r>
        <w:rPr/>
      </w:r>
    </w:p>
    <w:p>
      <w:pPr>
        <w:pStyle w:val="Normal"/>
        <w:rPr/>
      </w:pPr>
      <w:r>
        <w:rPr/>
        <w:t>上表突出前十家不同公司，名次保留股票全榜位置；</w:t>
      </w:r>
      <w:r>
        <w:rPr/>
        <w:t>A/H</w:t>
      </w:r>
      <w:r>
        <w:rPr/>
        <w:t>其他代码与全部可评估证券见</w:t>
      </w:r>
      <w:r>
        <w:rPr/>
        <w:t>Excel</w:t>
      </w:r>
      <w:r>
        <w:rPr/>
        <w:t>。全部公司研究已覆盖，暂不排名原因逐证券公开。</w:t>
      </w:r>
    </w:p>
    <w:p>
      <w:pPr>
        <w:pStyle w:val="Heading3"/>
        <w:rPr/>
      </w:pPr>
      <w:r>
        <w:rPr>
          <w:color w:val="000000"/>
        </w:rPr>
        <w:t xml:space="preserve">百济神州 </w:t>
      </w:r>
      <w:r>
        <w:rPr>
          <w:color w:val="000000"/>
        </w:rPr>
        <w:t xml:space="preserve">06160 HK </w:t>
      </w:r>
      <w:r>
        <w:rPr>
          <w:color w:val="000000"/>
        </w:rPr>
        <w:t>评分证据</w:t>
      </w:r>
    </w:p>
    <w:p>
      <w:pPr>
        <w:pStyle w:val="Normal"/>
        <w:rPr/>
      </w:pPr>
      <w:r>
        <w:rPr/>
        <w:t xml:space="preserve">估值与预期回报 </w:t>
      </w:r>
      <w:r>
        <w:rPr/>
        <w:t>4.6/5</w:t>
      </w:r>
      <w:r>
        <w:rPr/>
        <w:t>（权重</w:t>
      </w:r>
      <w:r>
        <w:rPr/>
        <w:t>20%</w:t>
      </w:r>
      <w:r>
        <w:rPr/>
        <w:t xml:space="preserve">）；量价与相对强弱 </w:t>
      </w:r>
      <w:r>
        <w:rPr/>
        <w:t>0/5</w:t>
      </w:r>
      <w:r>
        <w:rPr/>
        <w:t>（权重</w:t>
      </w:r>
      <w:r>
        <w:rPr/>
        <w:t>0%</w:t>
      </w:r>
      <w:r>
        <w:rPr/>
        <w:t xml:space="preserve">）；经营增长与商业质量 </w:t>
      </w:r>
      <w:r>
        <w:rPr/>
        <w:t>4.7/5</w:t>
      </w:r>
      <w:r>
        <w:rPr/>
        <w:t>（权重</w:t>
      </w:r>
      <w:r>
        <w:rPr/>
        <w:t>40%</w:t>
      </w:r>
      <w:r>
        <w:rPr/>
        <w:t xml:space="preserve">）；行业周期与需求 </w:t>
      </w:r>
      <w:r>
        <w:rPr/>
        <w:t>4.7/5</w:t>
      </w:r>
      <w:r>
        <w:rPr/>
        <w:t>（权重</w:t>
      </w:r>
      <w:r>
        <w:rPr/>
        <w:t>20%</w:t>
      </w:r>
      <w:r>
        <w:rPr/>
        <w:t xml:space="preserve">）；期限催化剂 </w:t>
      </w:r>
      <w:r>
        <w:rPr/>
        <w:t>4/5</w:t>
      </w:r>
      <w:r>
        <w:rPr/>
        <w:t>（权重</w:t>
      </w:r>
      <w:r>
        <w:rPr/>
        <w:t>5%</w:t>
      </w:r>
      <w:r>
        <w:rPr/>
        <w:t xml:space="preserve">）；财务治理与下行风险 </w:t>
      </w:r>
      <w:r>
        <w:rPr/>
        <w:t>3.5/5</w:t>
      </w:r>
      <w:r>
        <w:rPr/>
        <w:t>（权重</w:t>
      </w:r>
      <w:r>
        <w:rPr/>
        <w:t>15%</w:t>
      </w:r>
      <w:r>
        <w:rPr/>
        <w:t>）。</w:t>
      </w:r>
    </w:p>
    <w:p>
      <w:pPr>
        <w:pStyle w:val="Normal"/>
        <w:rPr/>
      </w:pPr>
      <w:r>
        <w:rPr/>
        <w:t>估值与预期回报：同股经济收益共享，</w:t>
      </w:r>
      <w:r>
        <w:rPr/>
        <w:t>HK</w:t>
      </w:r>
      <w:r>
        <w:rPr/>
        <w:t>估值较低而</w:t>
      </w:r>
      <w:r>
        <w:rPr/>
        <w:t>A</w:t>
      </w:r>
      <w:r>
        <w:rPr/>
        <w:t>股溢价需要敏感性；用正常税后经营利润</w:t>
      </w:r>
      <w:r>
        <w:rPr/>
        <w:t>+</w:t>
      </w:r>
      <w:r>
        <w:rPr/>
        <w:t>超额净现金，不使用报告</w:t>
      </w:r>
      <w:r>
        <w:rPr/>
        <w:t>PE</w:t>
      </w:r>
      <w:r>
        <w:rPr/>
        <w:t>直接外推；量价与相对强弱：</w:t>
      </w:r>
      <w:r>
        <w:rPr/>
        <w:t>HK</w:t>
      </w:r>
      <w:r>
        <w:rPr/>
        <w:t>日线回调周线上升，上涨日量大于下跌日；</w:t>
      </w:r>
      <w:r>
        <w:rPr/>
        <w:t>A</w:t>
      </w:r>
      <w:r>
        <w:rPr/>
        <w:t>价低全部日均线，短期弱于沪深</w:t>
      </w:r>
      <w:r>
        <w:rPr/>
        <w:t>300</w:t>
      </w:r>
      <w:r>
        <w:rPr/>
        <w:t>，行业比较缺失；经营增长与商业质量：产品</w:t>
      </w:r>
      <w:r>
        <w:rPr/>
        <w:t>31.4%</w:t>
      </w:r>
      <w:r>
        <w:rPr/>
        <w:t>增长，全球产品</w:t>
      </w:r>
      <w:r>
        <w:rPr/>
        <w:t>GM89.2%</w:t>
      </w:r>
      <w:r>
        <w:rPr/>
        <w:t>，经营杠杆；高</w:t>
      </w:r>
      <w:r>
        <w:rPr/>
        <w:t>R&amp;D</w:t>
      </w:r>
      <w:r>
        <w:rPr/>
        <w:t>和股份薪酬保留成本；行业周期与需求：癌症需求与慢性血液瘤持续治疗，欧美支付</w:t>
      </w:r>
      <w:r>
        <w:rPr/>
        <w:t>/</w:t>
      </w:r>
      <w:r>
        <w:rPr/>
        <w:t>医保净价及新机制竞争；期限催化剂：已批准</w:t>
      </w:r>
      <w:r>
        <w:rPr/>
        <w:t>BCL2</w:t>
      </w:r>
      <w:r>
        <w:rPr/>
        <w:t>商业化、</w:t>
      </w:r>
      <w:r>
        <w:rPr/>
        <w:t>MANGROVE</w:t>
      </w:r>
      <w:r>
        <w:rPr/>
        <w:t>、条件性</w:t>
      </w:r>
      <w:r>
        <w:rPr/>
        <w:t>BTK CDAC</w:t>
      </w:r>
      <w:r>
        <w:rPr/>
        <w:t>申报、实瘤三期规划，具体日期不造；财务治理与下行风险：现金充裕但银行债</w:t>
      </w:r>
      <w:r>
        <w:rPr/>
        <w:t>/</w:t>
      </w:r>
      <w:r>
        <w:rPr/>
        <w:t>担保</w:t>
      </w:r>
      <w:r>
        <w:rPr/>
        <w:t>/</w:t>
      </w:r>
      <w:r>
        <w:rPr/>
        <w:t>地区现金限制</w:t>
      </w:r>
      <w:r>
        <w:rPr/>
        <w:t>/</w:t>
      </w:r>
      <w:r>
        <w:rPr/>
        <w:t>股权激励与税务检查；售出</w:t>
      </w:r>
      <w:r>
        <w:rPr/>
        <w:t>royalty</w:t>
      </w:r>
      <w:r>
        <w:rPr/>
        <w:t>不可再算股东经济流。</w:t>
      </w:r>
    </w:p>
    <w:p>
      <w:pPr>
        <w:pStyle w:val="Heading3"/>
        <w:rPr/>
      </w:pPr>
      <w:r>
        <w:rPr>
          <w:color w:val="000000"/>
        </w:rPr>
        <w:t xml:space="preserve">腾讯控股 </w:t>
      </w:r>
      <w:r>
        <w:rPr>
          <w:color w:val="000000"/>
        </w:rPr>
        <w:t xml:space="preserve">00700 HK </w:t>
      </w:r>
      <w:r>
        <w:rPr>
          <w:color w:val="000000"/>
        </w:rPr>
        <w:t>评分证据</w:t>
      </w:r>
    </w:p>
    <w:p>
      <w:pPr>
        <w:pStyle w:val="Normal"/>
        <w:rPr/>
      </w:pPr>
      <w:r>
        <w:rPr/>
        <w:t xml:space="preserve">估值与预期回报 </w:t>
      </w:r>
      <w:r>
        <w:rPr/>
        <w:t>4.1/5</w:t>
      </w:r>
      <w:r>
        <w:rPr/>
        <w:t>（权重</w:t>
      </w:r>
      <w:r>
        <w:rPr/>
        <w:t>20%</w:t>
      </w:r>
      <w:r>
        <w:rPr/>
        <w:t xml:space="preserve">）；量价与相对强弱 </w:t>
      </w:r>
      <w:r>
        <w:rPr/>
        <w:t>1.5/5</w:t>
      </w:r>
      <w:r>
        <w:rPr/>
        <w:t>（权重</w:t>
      </w:r>
      <w:r>
        <w:rPr/>
        <w:t>0%</w:t>
      </w:r>
      <w:r>
        <w:rPr/>
        <w:t xml:space="preserve">）；经营增长与商业质量 </w:t>
      </w:r>
      <w:r>
        <w:rPr/>
        <w:t>4.5/5</w:t>
      </w:r>
      <w:r>
        <w:rPr/>
        <w:t>（权重</w:t>
      </w:r>
      <w:r>
        <w:rPr/>
        <w:t>40%</w:t>
      </w:r>
      <w:r>
        <w:rPr/>
        <w:t xml:space="preserve">）；行业周期与需求 </w:t>
      </w:r>
      <w:r>
        <w:rPr/>
        <w:t>4.4/5</w:t>
      </w:r>
      <w:r>
        <w:rPr/>
        <w:t>（权重</w:t>
      </w:r>
      <w:r>
        <w:rPr/>
        <w:t>20%</w:t>
      </w:r>
      <w:r>
        <w:rPr/>
        <w:t xml:space="preserve">）；期限催化剂 </w:t>
      </w:r>
      <w:r>
        <w:rPr/>
        <w:t>3.5/5</w:t>
      </w:r>
      <w:r>
        <w:rPr/>
        <w:t>（权重</w:t>
      </w:r>
      <w:r>
        <w:rPr/>
        <w:t>5%</w:t>
      </w:r>
      <w:r>
        <w:rPr/>
        <w:t xml:space="preserve">）；财务治理与下行风险 </w:t>
      </w:r>
      <w:r>
        <w:rPr/>
        <w:t>3.5/5</w:t>
      </w:r>
      <w:r>
        <w:rPr/>
        <w:t>（权重</w:t>
      </w:r>
      <w:r>
        <w:rPr/>
        <w:t>15%</w:t>
      </w:r>
      <w:r>
        <w:rPr/>
        <w:t>）。</w:t>
      </w:r>
    </w:p>
    <w:p>
      <w:pPr>
        <w:pStyle w:val="Normal"/>
        <w:rPr/>
      </w:pPr>
      <w:r>
        <w:rPr/>
        <w:t>估值与预期回报：研究</w:t>
      </w:r>
      <w:r>
        <w:rPr/>
        <w:t>FX</w:t>
      </w:r>
      <w:r>
        <w:rPr/>
        <w:t>下历史</w:t>
      </w:r>
      <w:r>
        <w:rPr/>
        <w:t>non-IFRS diluted PE13.85x</w:t>
      </w:r>
      <w:r>
        <w:rPr/>
        <w:t>有吸引力，但未来</w:t>
      </w:r>
      <w:r>
        <w:rPr/>
        <w:t>AI</w:t>
      </w:r>
      <w:r>
        <w:rPr/>
        <w:t>费用及现金投入可能下降盈利质量；长期高回报需经营兑现；量价与相对强弱：</w:t>
      </w:r>
      <w:r>
        <w:rPr/>
        <w:t>424.8</w:t>
      </w:r>
      <w:r>
        <w:rPr/>
        <w:t>低于</w:t>
      </w:r>
      <w:r>
        <w:rPr/>
        <w:t>4</w:t>
      </w:r>
      <w:r>
        <w:rPr/>
        <w:t>条主要均线，斜率皆负，单日</w:t>
      </w:r>
      <w:r>
        <w:rPr/>
        <w:t>+3.26%</w:t>
      </w:r>
      <w:r>
        <w:rPr/>
        <w:t>且量比</w:t>
      </w:r>
      <w:r>
        <w:rPr/>
        <w:t>1.018</w:t>
      </w:r>
      <w:r>
        <w:rPr/>
        <w:t>不确认反转；</w:t>
      </w:r>
      <w:r>
        <w:rPr/>
        <w:t>60</w:t>
      </w:r>
      <w:r>
        <w:rPr/>
        <w:t>日相对恒指落后</w:t>
      </w:r>
      <w:r>
        <w:rPr/>
        <w:t>9.044</w:t>
      </w:r>
      <w:r>
        <w:rPr/>
        <w:t>个百分点，独立历史行情已核验；经营增长与商业质量：微信</w:t>
      </w:r>
      <w:r>
        <w:rPr/>
        <w:t>14.39</w:t>
      </w:r>
      <w:r>
        <w:rPr/>
        <w:t>亿合并</w:t>
      </w:r>
      <w:r>
        <w:rPr/>
        <w:t>MAU</w:t>
      </w:r>
      <w:r>
        <w:rPr/>
        <w:t>、游戏与广告毛利可验证；净利润和新</w:t>
      </w:r>
      <w:r>
        <w:rPr/>
        <w:t>AI</w:t>
      </w:r>
      <w:r>
        <w:rPr/>
        <w:t>变现尚受费用压力；行业周期与需求：国内内容需求、广告效率、云</w:t>
      </w:r>
      <w:r>
        <w:rPr/>
        <w:t>AI</w:t>
      </w:r>
      <w:r>
        <w:rPr/>
        <w:t>有空间，弱宏观、游戏高基数、算力周期是具体约束；期限催化剂：十月底产品策略和十一月</w:t>
      </w:r>
      <w:r>
        <w:rPr/>
        <w:t>Q3</w:t>
      </w:r>
      <w:r>
        <w:rPr/>
        <w:t>业绩为转载提及窗口；新产品使用与付费经济性尚未完全核验；财务治理与下行风险：成熟业务和现金强，但</w:t>
      </w:r>
      <w:r>
        <w:rPr/>
        <w:t>H1</w:t>
      </w:r>
      <w:r>
        <w:rPr/>
        <w:t>实际</w:t>
      </w:r>
      <w:r>
        <w:rPr/>
        <w:t>FCF</w:t>
      </w:r>
      <w:r>
        <w:rPr/>
        <w:t>约</w:t>
      </w:r>
      <w:r>
        <w:rPr/>
        <w:t>429</w:t>
      </w:r>
      <w:r>
        <w:rPr/>
        <w:t>亿元，净现金下降且预付算力真实占现金，股权激励与资本配置需跟踪。</w:t>
      </w:r>
    </w:p>
    <w:p>
      <w:pPr>
        <w:pStyle w:val="Heading3"/>
        <w:rPr/>
      </w:pPr>
      <w:r>
        <w:rPr>
          <w:color w:val="000000"/>
        </w:rPr>
        <w:t xml:space="preserve">宁德时代 </w:t>
      </w:r>
      <w:r>
        <w:rPr>
          <w:color w:val="000000"/>
        </w:rPr>
        <w:t xml:space="preserve">03750 HK </w:t>
      </w:r>
      <w:r>
        <w:rPr>
          <w:color w:val="000000"/>
        </w:rPr>
        <w:t>评分证据</w:t>
      </w:r>
    </w:p>
    <w:p>
      <w:pPr>
        <w:pStyle w:val="Normal"/>
        <w:rPr/>
      </w:pPr>
      <w:r>
        <w:rPr/>
        <w:t xml:space="preserve">估值与预期回报 </w:t>
      </w:r>
      <w:r>
        <w:rPr/>
        <w:t>3.9/5</w:t>
      </w:r>
      <w:r>
        <w:rPr/>
        <w:t>（权重</w:t>
      </w:r>
      <w:r>
        <w:rPr/>
        <w:t>20%</w:t>
      </w:r>
      <w:r>
        <w:rPr/>
        <w:t xml:space="preserve">）；量价与相对强弱 </w:t>
      </w:r>
      <w:r>
        <w:rPr/>
        <w:t>1.8/5</w:t>
      </w:r>
      <w:r>
        <w:rPr/>
        <w:t>（权重</w:t>
      </w:r>
      <w:r>
        <w:rPr/>
        <w:t>0%</w:t>
      </w:r>
      <w:r>
        <w:rPr/>
        <w:t xml:space="preserve">）；经营增长与商业质量 </w:t>
      </w:r>
      <w:r>
        <w:rPr/>
        <w:t>4.5/5</w:t>
      </w:r>
      <w:r>
        <w:rPr/>
        <w:t>（权重</w:t>
      </w:r>
      <w:r>
        <w:rPr/>
        <w:t>40%</w:t>
      </w:r>
      <w:r>
        <w:rPr/>
        <w:t xml:space="preserve">）；行业周期与需求 </w:t>
      </w:r>
      <w:r>
        <w:rPr/>
        <w:t>4.5/5</w:t>
      </w:r>
      <w:r>
        <w:rPr/>
        <w:t>（权重</w:t>
      </w:r>
      <w:r>
        <w:rPr/>
        <w:t>20%</w:t>
      </w:r>
      <w:r>
        <w:rPr/>
        <w:t xml:space="preserve">）；期限催化剂 </w:t>
      </w:r>
      <w:r>
        <w:rPr/>
        <w:t>3.5/5</w:t>
      </w:r>
      <w:r>
        <w:rPr/>
        <w:t>（权重</w:t>
      </w:r>
      <w:r>
        <w:rPr/>
        <w:t>5%</w:t>
      </w:r>
      <w:r>
        <w:rPr/>
        <w:t xml:space="preserve">）；财务治理与下行风险 </w:t>
      </w:r>
      <w:r>
        <w:rPr/>
        <w:t>3.5/5</w:t>
      </w:r>
      <w:r>
        <w:rPr/>
        <w:t>（权重</w:t>
      </w:r>
      <w:r>
        <w:rPr/>
        <w:t>15%</w:t>
      </w:r>
      <w:r>
        <w:rPr/>
        <w:t>）。</w:t>
      </w:r>
    </w:p>
    <w:p>
      <w:pPr>
        <w:pStyle w:val="Normal"/>
        <w:rPr/>
      </w:pPr>
      <w:r>
        <w:rPr/>
        <w:t>估值与预期回报：历史</w:t>
      </w:r>
      <w:r>
        <w:rPr/>
        <w:t>FY2025 EPS16.14</w:t>
      </w:r>
      <w:r>
        <w:rPr/>
        <w:t>在</w:t>
      </w:r>
      <w:r>
        <w:rPr/>
        <w:t>1.10</w:t>
      </w:r>
      <w:r>
        <w:rPr/>
        <w:t>汇率约</w:t>
      </w:r>
      <w:r>
        <w:rPr/>
        <w:t>27.68</w:t>
      </w:r>
      <w:r>
        <w:rPr/>
        <w:t>倍，强增长但现金及毛利受压；基准一年</w:t>
      </w:r>
      <w:r>
        <w:rPr/>
        <w:t>658.27</w:t>
      </w:r>
      <w:r>
        <w:rPr/>
        <w:t>有条件收益，正常利润和</w:t>
      </w:r>
      <w:r>
        <w:rPr/>
        <w:t>PE</w:t>
      </w:r>
      <w:r>
        <w:rPr/>
        <w:t>敏感；量价与相对强弱：现价低</w:t>
      </w:r>
      <w:r>
        <w:rPr/>
        <w:t>20/60/120/250</w:t>
      </w:r>
      <w:r>
        <w:rPr/>
        <w:t>日均线且各斜率负，</w:t>
      </w:r>
      <w:r>
        <w:rPr/>
        <w:t>20</w:t>
      </w:r>
      <w:r>
        <w:rPr/>
        <w:t>日上下量比</w:t>
      </w:r>
      <w:r>
        <w:rPr/>
        <w:t>0.514</w:t>
      </w:r>
      <w:r>
        <w:rPr/>
        <w:t>，</w:t>
      </w:r>
      <w:r>
        <w:rPr/>
        <w:t>60</w:t>
      </w:r>
      <w:r>
        <w:rPr/>
        <w:t>日落后恒指</w:t>
      </w:r>
      <w:r>
        <w:rPr/>
        <w:t>17.487pp</w:t>
      </w:r>
      <w:r>
        <w:rPr/>
        <w:t>；单日</w:t>
      </w:r>
      <w:r>
        <w:rPr/>
        <w:t>3.06%</w:t>
      </w:r>
      <w:r>
        <w:rPr/>
        <w:t>反弹非反转；经营增长与商业质量：</w:t>
      </w:r>
      <w:r>
        <w:rPr/>
        <w:t>H1</w:t>
      </w:r>
      <w:r>
        <w:rPr/>
        <w:t>收入</w:t>
      </w:r>
      <w:r>
        <w:rPr/>
        <w:t>+54.8%</w:t>
      </w:r>
      <w:r>
        <w:rPr/>
        <w:t>、扣非</w:t>
      </w:r>
      <w:r>
        <w:rPr/>
        <w:t>+43.44%</w:t>
      </w:r>
      <w:r>
        <w:rPr/>
        <w:t>，动力和储能领先，研发全部费用化；海外制造与保修带持续资本成本；行业周期与需求：电动化储能与数据中心供电需求支持，车市竞争、海外本土化及储能电价机制影响盈利；期限催化剂：三季财报及</w:t>
      </w:r>
      <w:r>
        <w:rPr/>
        <w:t>2027</w:t>
      </w:r>
      <w:r>
        <w:rPr/>
        <w:t>首季需求更清晰；产品发布战略协议不当确定订单；财务治理与下行风险：现金覆盖借债但受限与透支须分，库存应收增长、供应商融资</w:t>
      </w:r>
      <w:r>
        <w:rPr/>
        <w:t>57.764bn</w:t>
      </w:r>
      <w:r>
        <w:rPr/>
        <w:t>、保修预计负债与新配售需监控。</w:t>
      </w:r>
    </w:p>
    <w:p>
      <w:pPr>
        <w:pStyle w:val="Heading3"/>
        <w:rPr/>
      </w:pPr>
      <w:r>
        <w:rPr>
          <w:color w:val="000000"/>
        </w:rPr>
        <w:t xml:space="preserve">迈瑞医疗 </w:t>
      </w:r>
      <w:r>
        <w:rPr>
          <w:color w:val="000000"/>
        </w:rPr>
        <w:t xml:space="preserve">300760 SZ </w:t>
      </w:r>
      <w:r>
        <w:rPr>
          <w:color w:val="000000"/>
        </w:rPr>
        <w:t>评分证据</w:t>
      </w:r>
    </w:p>
    <w:p>
      <w:pPr>
        <w:pStyle w:val="Normal"/>
        <w:rPr/>
      </w:pPr>
      <w:r>
        <w:rPr/>
        <w:t xml:space="preserve">估值与预期回报 </w:t>
      </w:r>
      <w:r>
        <w:rPr/>
        <w:t>4/5</w:t>
      </w:r>
      <w:r>
        <w:rPr/>
        <w:t>（权重</w:t>
      </w:r>
      <w:r>
        <w:rPr/>
        <w:t>20%</w:t>
      </w:r>
      <w:r>
        <w:rPr/>
        <w:t xml:space="preserve">）；量价与相对强弱 </w:t>
      </w:r>
      <w:r>
        <w:rPr/>
        <w:t>3/5</w:t>
      </w:r>
      <w:r>
        <w:rPr/>
        <w:t>（权重</w:t>
      </w:r>
      <w:r>
        <w:rPr/>
        <w:t>0%</w:t>
      </w:r>
      <w:r>
        <w:rPr/>
        <w:t xml:space="preserve">）；经营增长与商业质量 </w:t>
      </w:r>
      <w:r>
        <w:rPr/>
        <w:t>4.4/5</w:t>
      </w:r>
      <w:r>
        <w:rPr/>
        <w:t>（权重</w:t>
      </w:r>
      <w:r>
        <w:rPr/>
        <w:t>40%</w:t>
      </w:r>
      <w:r>
        <w:rPr/>
        <w:t xml:space="preserve">）；行业周期与需求 </w:t>
      </w:r>
      <w:r>
        <w:rPr/>
        <w:t>4.3/5</w:t>
      </w:r>
      <w:r>
        <w:rPr/>
        <w:t>（权重</w:t>
      </w:r>
      <w:r>
        <w:rPr/>
        <w:t>20%</w:t>
      </w:r>
      <w:r>
        <w:rPr/>
        <w:t xml:space="preserve">）；期限催化剂 </w:t>
      </w:r>
      <w:r>
        <w:rPr/>
        <w:t>3.7/5</w:t>
      </w:r>
      <w:r>
        <w:rPr/>
        <w:t>（权重</w:t>
      </w:r>
      <w:r>
        <w:rPr/>
        <w:t>5%</w:t>
      </w:r>
      <w:r>
        <w:rPr/>
        <w:t xml:space="preserve">）；财务治理与下行风险 </w:t>
      </w:r>
      <w:r>
        <w:rPr/>
        <w:t>3.7/5</w:t>
      </w:r>
      <w:r>
        <w:rPr/>
        <w:t>（权重</w:t>
      </w:r>
      <w:r>
        <w:rPr/>
        <w:t>15%</w:t>
      </w:r>
      <w:r>
        <w:rPr/>
        <w:t>）。</w:t>
      </w:r>
    </w:p>
    <w:p>
      <w:pPr>
        <w:pStyle w:val="Normal"/>
        <w:rPr/>
      </w:pPr>
      <w:r>
        <w:rPr/>
        <w:t>估值与预期回报：基准一年</w:t>
      </w:r>
      <w:r>
        <w:rPr/>
        <w:t>228</w:t>
      </w:r>
      <w:r>
        <w:rPr/>
        <w:t>元</w:t>
      </w:r>
      <w:r>
        <w:rPr/>
        <w:t>+41.26%</w:t>
      </w:r>
      <w:r>
        <w:rPr/>
        <w:t>，按</w:t>
      </w:r>
      <w:r>
        <w:rPr/>
        <w:t>FY2025EPS</w:t>
      </w:r>
      <w:r>
        <w:rPr/>
        <w:t>当前约</w:t>
      </w:r>
      <w:r>
        <w:rPr/>
        <w:t>24</w:t>
      </w:r>
      <w:r>
        <w:rPr/>
        <w:t>倍；复苏需经营支持，不因跌幅大判低估；量价与相对强弱：日线在</w:t>
      </w:r>
      <w:r>
        <w:rPr/>
        <w:t>60</w:t>
      </w:r>
      <w:r>
        <w:rPr/>
        <w:t>之上但</w:t>
      </w:r>
      <w:r>
        <w:rPr/>
        <w:t>20</w:t>
      </w:r>
      <w:r>
        <w:rPr/>
        <w:t>斜率负、</w:t>
      </w:r>
      <w:r>
        <w:rPr/>
        <w:t>250</w:t>
      </w:r>
      <w:r>
        <w:rPr/>
        <w:t>下方；周</w:t>
      </w:r>
      <w:r>
        <w:rPr/>
        <w:t>60/120</w:t>
      </w:r>
      <w:r>
        <w:rPr/>
        <w:t>线下，最新涨日量比</w:t>
      </w:r>
      <w:r>
        <w:rPr/>
        <w:t>1.04</w:t>
      </w:r>
      <w:r>
        <w:rPr/>
        <w:t>非强突破；经营增长与商业质量：国际</w:t>
      </w:r>
      <w:r>
        <w:rPr/>
        <w:t>13.67%</w:t>
      </w:r>
      <w:r>
        <w:rPr/>
        <w:t>、</w:t>
      </w:r>
      <w:r>
        <w:rPr/>
        <w:t>IVD9.58%</w:t>
      </w:r>
      <w:r>
        <w:rPr/>
        <w:t>、新兴</w:t>
      </w:r>
      <w:r>
        <w:rPr/>
        <w:t>19.59%</w:t>
      </w:r>
      <w:r>
        <w:rPr/>
        <w:t>实证；国内仍</w:t>
      </w:r>
      <w:r>
        <w:rPr/>
        <w:t>-1.61</w:t>
      </w:r>
      <w:r>
        <w:rPr/>
        <w:t>、影像</w:t>
      </w:r>
      <w:r>
        <w:rPr/>
        <w:t>-5.78</w:t>
      </w:r>
      <w:r>
        <w:rPr/>
        <w:t>；行业周期与需求：设备采购弱复苏，</w:t>
      </w:r>
      <w:r>
        <w:rPr/>
        <w:t>IVD</w:t>
      </w:r>
      <w:r>
        <w:rPr/>
        <w:t>医保控费长期约束，海外高端份额提升提供空间；期限催化剂：后续季度现金</w:t>
      </w:r>
      <w:r>
        <w:rPr/>
        <w:t>/</w:t>
      </w:r>
      <w:r>
        <w:rPr/>
        <w:t>海外订单和新产品；</w:t>
      </w:r>
      <w:r>
        <w:rPr/>
        <w:t>2027</w:t>
      </w:r>
      <w:r>
        <w:rPr/>
        <w:t>国内改善是公司前瞻非保证；财务治理与下行风险：现金</w:t>
      </w:r>
      <w:r>
        <w:rPr/>
        <w:t>186</w:t>
      </w:r>
      <w:r>
        <w:rPr/>
        <w:t>亿、银行债极小且</w:t>
      </w:r>
      <w:r>
        <w:rPr/>
        <w:t>OCF</w:t>
      </w:r>
      <w:r>
        <w:rPr/>
        <w:t>超过归母；商誉</w:t>
      </w:r>
      <w:r>
        <w:rPr/>
        <w:t>111</w:t>
      </w:r>
      <w:r>
        <w:rPr/>
        <w:t>亿、惠泰少数股权益</w:t>
      </w:r>
      <w:r>
        <w:rPr/>
        <w:t>/</w:t>
      </w:r>
      <w:r>
        <w:rPr/>
        <w:t>资本化研发和政策风险。</w:t>
      </w:r>
    </w:p>
    <w:p>
      <w:pPr>
        <w:pStyle w:val="Heading3"/>
        <w:rPr/>
      </w:pPr>
      <w:r>
        <w:rPr>
          <w:color w:val="000000"/>
        </w:rPr>
        <w:t xml:space="preserve">恒瑞医药 </w:t>
      </w:r>
      <w:r>
        <w:rPr>
          <w:color w:val="000000"/>
        </w:rPr>
        <w:t xml:space="preserve">01276 HK </w:t>
      </w:r>
      <w:r>
        <w:rPr>
          <w:color w:val="000000"/>
        </w:rPr>
        <w:t>评分证据</w:t>
      </w:r>
    </w:p>
    <w:p>
      <w:pPr>
        <w:pStyle w:val="Normal"/>
        <w:rPr/>
      </w:pPr>
      <w:r>
        <w:rPr/>
        <w:t xml:space="preserve">估值与预期回报 </w:t>
      </w:r>
      <w:r>
        <w:rPr/>
        <w:t>4.2/5</w:t>
      </w:r>
      <w:r>
        <w:rPr/>
        <w:t>（权重</w:t>
      </w:r>
      <w:r>
        <w:rPr/>
        <w:t>20%</w:t>
      </w:r>
      <w:r>
        <w:rPr/>
        <w:t xml:space="preserve">）；量价与相对强弱 </w:t>
      </w:r>
      <w:r>
        <w:rPr/>
        <w:t>3/5</w:t>
      </w:r>
      <w:r>
        <w:rPr/>
        <w:t>（权重</w:t>
      </w:r>
      <w:r>
        <w:rPr/>
        <w:t>0%</w:t>
      </w:r>
      <w:r>
        <w:rPr/>
        <w:t xml:space="preserve">）；经营增长与商业质量 </w:t>
      </w:r>
      <w:r>
        <w:rPr/>
        <w:t>4.3/5</w:t>
      </w:r>
      <w:r>
        <w:rPr/>
        <w:t>（权重</w:t>
      </w:r>
      <w:r>
        <w:rPr/>
        <w:t>40%</w:t>
      </w:r>
      <w:r>
        <w:rPr/>
        <w:t xml:space="preserve">）；行业周期与需求 </w:t>
      </w:r>
      <w:r>
        <w:rPr/>
        <w:t>4.3/5</w:t>
      </w:r>
      <w:r>
        <w:rPr/>
        <w:t>（权重</w:t>
      </w:r>
      <w:r>
        <w:rPr/>
        <w:t>20%</w:t>
      </w:r>
      <w:r>
        <w:rPr/>
        <w:t xml:space="preserve">）；期限催化剂 </w:t>
      </w:r>
      <w:r>
        <w:rPr/>
        <w:t>3.7/5</w:t>
      </w:r>
      <w:r>
        <w:rPr/>
        <w:t>（权重</w:t>
      </w:r>
      <w:r>
        <w:rPr/>
        <w:t>5%</w:t>
      </w:r>
      <w:r>
        <w:rPr/>
        <w:t xml:space="preserve">）；财务治理与下行风险 </w:t>
      </w:r>
      <w:r>
        <w:rPr/>
        <w:t>3.6/5</w:t>
      </w:r>
      <w:r>
        <w:rPr/>
        <w:t>（权重</w:t>
      </w:r>
      <w:r>
        <w:rPr/>
        <w:t>15%</w:t>
      </w:r>
      <w:r>
        <w:rPr/>
        <w:t>）。</w:t>
      </w:r>
    </w:p>
    <w:p>
      <w:pPr>
        <w:pStyle w:val="Normal"/>
        <w:rPr/>
      </w:pPr>
      <w:r>
        <w:rPr/>
        <w:t>估值与预期回报：</w:t>
      </w:r>
      <w:r>
        <w:rPr/>
        <w:t>H</w:t>
      </w:r>
      <w:r>
        <w:rPr/>
        <w:t>股研究汇率下折价，一年基准上行</w:t>
      </w:r>
      <w:r>
        <w:rPr/>
        <w:t>44.38%</w:t>
      </w:r>
      <w:r>
        <w:rPr/>
        <w:t>，但正常化盈利与高</w:t>
      </w:r>
      <w:r>
        <w:rPr/>
        <w:t>PE</w:t>
      </w:r>
      <w:r>
        <w:rPr/>
        <w:t>须兑现；量价与相对强弱：</w:t>
      </w:r>
      <w:r>
        <w:rPr/>
        <w:t>A/H</w:t>
      </w:r>
      <w:r>
        <w:rPr/>
        <w:t>站上</w:t>
      </w:r>
      <w:r>
        <w:rPr/>
        <w:t>20</w:t>
      </w:r>
      <w:r>
        <w:rPr/>
        <w:t>日但低于</w:t>
      </w:r>
      <w:r>
        <w:rPr/>
        <w:t>60/120/250</w:t>
      </w:r>
      <w:r>
        <w:rPr/>
        <w:t>，</w:t>
      </w:r>
      <w:r>
        <w:rPr/>
        <w:t>60</w:t>
      </w:r>
      <w:r>
        <w:rPr/>
        <w:t>日回报落后市场；</w:t>
      </w:r>
      <w:r>
        <w:rPr/>
        <w:t>H</w:t>
      </w:r>
      <w:r>
        <w:rPr/>
        <w:t>最新量比</w:t>
      </w:r>
      <w:r>
        <w:rPr/>
        <w:t>1.64</w:t>
      </w:r>
      <w:r>
        <w:rPr/>
        <w:t>仍仅反弹；经营增长与商业质量：创新</w:t>
      </w:r>
      <w:r>
        <w:rPr/>
        <w:t>16.4%</w:t>
      </w:r>
      <w:r>
        <w:rPr/>
        <w:t>和非肿瘤</w:t>
      </w:r>
      <w:r>
        <w:rPr/>
        <w:t>74%</w:t>
      </w:r>
      <w:r>
        <w:rPr/>
        <w:t>真实放量；肿瘤</w:t>
      </w:r>
      <w:r>
        <w:rPr/>
        <w:t>2.6%</w:t>
      </w:r>
      <w:r>
        <w:rPr/>
        <w:t>与仿制</w:t>
      </w:r>
      <w:r>
        <w:rPr/>
        <w:t>-16.1%</w:t>
      </w:r>
      <w:r>
        <w:rPr/>
        <w:t>抵消；行业周期与需求：疾病刚需、慢病与全球授权；医保集采、竞争、利率为约束；期限催化剂：</w:t>
      </w:r>
      <w:r>
        <w:rPr/>
        <w:t>BMS</w:t>
      </w:r>
      <w:r>
        <w:rPr/>
        <w:t>首付</w:t>
      </w:r>
      <w:r>
        <w:rPr/>
        <w:t>/</w:t>
      </w:r>
      <w:r>
        <w:rPr/>
        <w:t>履约、免疫代谢、医院准入；获批</w:t>
      </w:r>
      <w:r>
        <w:rPr/>
        <w:t>/</w:t>
      </w:r>
      <w:r>
        <w:rPr/>
        <w:t>政策仍未知；财务治理与下行风险：现金与低负债强；</w:t>
      </w:r>
      <w:r>
        <w:rPr/>
        <w:t>OCF</w:t>
      </w:r>
      <w:r>
        <w:rPr/>
        <w:t>落后利润、研发资本化和公平价值需复核。</w:t>
      </w:r>
    </w:p>
    <w:p>
      <w:pPr>
        <w:pStyle w:val="Heading3"/>
        <w:rPr/>
      </w:pPr>
      <w:r>
        <w:rPr>
          <w:color w:val="000000"/>
        </w:rPr>
        <w:t xml:space="preserve">美的集团 </w:t>
      </w:r>
      <w:r>
        <w:rPr>
          <w:color w:val="000000"/>
        </w:rPr>
        <w:t xml:space="preserve">00300 HK </w:t>
      </w:r>
      <w:r>
        <w:rPr>
          <w:color w:val="000000"/>
        </w:rPr>
        <w:t>评分证据</w:t>
      </w:r>
    </w:p>
    <w:p>
      <w:pPr>
        <w:pStyle w:val="Normal"/>
        <w:rPr/>
      </w:pPr>
      <w:r>
        <w:rPr/>
        <w:t xml:space="preserve">估值与预期回报 </w:t>
      </w:r>
      <w:r>
        <w:rPr/>
        <w:t>4/5</w:t>
      </w:r>
      <w:r>
        <w:rPr/>
        <w:t>（权重</w:t>
      </w:r>
      <w:r>
        <w:rPr/>
        <w:t>20%</w:t>
      </w:r>
      <w:r>
        <w:rPr/>
        <w:t xml:space="preserve">）；量价与相对强弱 </w:t>
      </w:r>
      <w:r>
        <w:rPr/>
        <w:t>2.8/5</w:t>
      </w:r>
      <w:r>
        <w:rPr/>
        <w:t>（权重</w:t>
      </w:r>
      <w:r>
        <w:rPr/>
        <w:t>0%</w:t>
      </w:r>
      <w:r>
        <w:rPr/>
        <w:t xml:space="preserve">）；经营增长与商业质量 </w:t>
      </w:r>
      <w:r>
        <w:rPr/>
        <w:t>4.4/5</w:t>
      </w:r>
      <w:r>
        <w:rPr/>
        <w:t>（权重</w:t>
      </w:r>
      <w:r>
        <w:rPr/>
        <w:t>40%</w:t>
      </w:r>
      <w:r>
        <w:rPr/>
        <w:t xml:space="preserve">）；行业周期与需求 </w:t>
      </w:r>
      <w:r>
        <w:rPr/>
        <w:t>4.1/5</w:t>
      </w:r>
      <w:r>
        <w:rPr/>
        <w:t>（权重</w:t>
      </w:r>
      <w:r>
        <w:rPr/>
        <w:t>20%</w:t>
      </w:r>
      <w:r>
        <w:rPr/>
        <w:t xml:space="preserve">）；期限催化剂 </w:t>
      </w:r>
      <w:r>
        <w:rPr/>
        <w:t>3.5/5</w:t>
      </w:r>
      <w:r>
        <w:rPr/>
        <w:t>（权重</w:t>
      </w:r>
      <w:r>
        <w:rPr/>
        <w:t>5%</w:t>
      </w:r>
      <w:r>
        <w:rPr/>
        <w:t xml:space="preserve">）；财务治理与下行风险 </w:t>
      </w:r>
      <w:r>
        <w:rPr/>
        <w:t>3.9/5</w:t>
      </w:r>
      <w:r>
        <w:rPr/>
        <w:t>（权重</w:t>
      </w:r>
      <w:r>
        <w:rPr/>
        <w:t>15%</w:t>
      </w:r>
      <w:r>
        <w:rPr/>
        <w:t>）。</w:t>
      </w:r>
    </w:p>
    <w:p>
      <w:pPr>
        <w:pStyle w:val="Normal"/>
        <w:rPr/>
      </w:pPr>
      <w:r>
        <w:rPr/>
        <w:t>美的集团独立深研第五至十七节；以下为正文摘要，评分保持已核验模型原值。</w:t>
      </w:r>
    </w:p>
    <w:p>
      <w:pPr>
        <w:pStyle w:val="Normal"/>
        <w:rPr/>
      </w:pPr>
      <w:r>
        <w:rPr/>
        <w:t>估值与预期回报：五年基准收入</w:t>
      </w:r>
      <w:r>
        <w:rPr/>
        <w:t>7,250</w:t>
      </w:r>
      <w:r>
        <w:rPr/>
        <w:t>亿元、正常净利率</w:t>
      </w:r>
      <w:r>
        <w:rPr/>
        <w:t>10.5%</w:t>
      </w:r>
      <w:r>
        <w:rPr/>
        <w:t>、</w:t>
      </w:r>
      <w:r>
        <w:rPr/>
        <w:t>PE18</w:t>
      </w:r>
      <w:r>
        <w:rPr/>
        <w:t>倍；净回购与累计股息支持每股回报，未另加未经核验的投资资产价值；量价与相对强弱：五年技术权重为零，长期价值依赖经营与资本纪律，不能用短期技术反弹提高长期估值；经营增长与商业质量：规模、研发、供应链及全球品牌支撑经营；楼宇和机器人增长，工业零部件下滑，新增收入须有现金与利润；行业周期与需求：家庭耐用品更新、建筑节能和工业自动化提供持续需求；海外品牌与工业扩张受消费、贸易和资本开支周期约束；期限催化剂：海外品牌利润、楼宇订单、机器人毛利和渠道改革效果需逐项验证；远期经营改善不视为已经兑现；财务治理与下行风险：经营现金较强但应付与预收不是永久净现金；跨国并购、激励、股数稀释及融资分红风险需持续核验。</w:t>
      </w:r>
    </w:p>
    <w:p>
      <w:pPr>
        <w:pStyle w:val="Heading3"/>
        <w:rPr/>
      </w:pPr>
      <w:r>
        <w:rPr>
          <w:color w:val="000000"/>
        </w:rPr>
        <w:t xml:space="preserve">药明康德 </w:t>
      </w:r>
      <w:r>
        <w:rPr>
          <w:color w:val="000000"/>
        </w:rPr>
        <w:t xml:space="preserve">603259 SH </w:t>
      </w:r>
      <w:r>
        <w:rPr>
          <w:color w:val="000000"/>
        </w:rPr>
        <w:t>评分证据</w:t>
      </w:r>
    </w:p>
    <w:p>
      <w:pPr>
        <w:pStyle w:val="Normal"/>
        <w:rPr/>
      </w:pPr>
      <w:r>
        <w:rPr/>
        <w:t xml:space="preserve">估值与预期回报 </w:t>
      </w:r>
      <w:r>
        <w:rPr/>
        <w:t>4/5</w:t>
      </w:r>
      <w:r>
        <w:rPr/>
        <w:t>（权重</w:t>
      </w:r>
      <w:r>
        <w:rPr/>
        <w:t>20%</w:t>
      </w:r>
      <w:r>
        <w:rPr/>
        <w:t xml:space="preserve">）；量价与相对强弱 </w:t>
      </w:r>
      <w:r>
        <w:rPr/>
        <w:t>3.8/5</w:t>
      </w:r>
      <w:r>
        <w:rPr/>
        <w:t>（权重</w:t>
      </w:r>
      <w:r>
        <w:rPr/>
        <w:t>0%</w:t>
      </w:r>
      <w:r>
        <w:rPr/>
        <w:t xml:space="preserve">）；经营增长与商业质量 </w:t>
      </w:r>
      <w:r>
        <w:rPr/>
        <w:t>4.4/5</w:t>
      </w:r>
      <w:r>
        <w:rPr/>
        <w:t>（权重</w:t>
      </w:r>
      <w:r>
        <w:rPr/>
        <w:t>40%</w:t>
      </w:r>
      <w:r>
        <w:rPr/>
        <w:t xml:space="preserve">）；行业周期与需求 </w:t>
      </w:r>
      <w:r>
        <w:rPr/>
        <w:t>4.5/5</w:t>
      </w:r>
      <w:r>
        <w:rPr/>
        <w:t>（权重</w:t>
      </w:r>
      <w:r>
        <w:rPr/>
        <w:t>20%</w:t>
      </w:r>
      <w:r>
        <w:rPr/>
        <w:t xml:space="preserve">）；期限催化剂 </w:t>
      </w:r>
      <w:r>
        <w:rPr/>
        <w:t>3.8/5</w:t>
      </w:r>
      <w:r>
        <w:rPr/>
        <w:t>（权重</w:t>
      </w:r>
      <w:r>
        <w:rPr/>
        <w:t>5%</w:t>
      </w:r>
      <w:r>
        <w:rPr/>
        <w:t xml:space="preserve">）；财务治理与下行风险 </w:t>
      </w:r>
      <w:r>
        <w:rPr/>
        <w:t>3.2/5</w:t>
      </w:r>
      <w:r>
        <w:rPr/>
        <w:t>（权重</w:t>
      </w:r>
      <w:r>
        <w:rPr/>
        <w:t>15%</w:t>
      </w:r>
      <w:r>
        <w:rPr/>
        <w:t>）。</w:t>
      </w:r>
    </w:p>
    <w:p>
      <w:pPr>
        <w:pStyle w:val="Normal"/>
        <w:rPr/>
      </w:pPr>
      <w:r>
        <w:rPr/>
        <w:t>估值与预期回报：</w:t>
      </w:r>
      <w:r>
        <w:rPr/>
        <w:t>A</w:t>
      </w:r>
      <w:r>
        <w:rPr/>
        <w:t>股较便宜，基准一年</w:t>
      </w:r>
      <w:r>
        <w:rPr/>
        <w:t>38.47%vsH25.60%</w:t>
      </w:r>
      <w:r>
        <w:rPr/>
        <w:t>；上半年强增长已反映在</w:t>
      </w:r>
      <w:r>
        <w:rPr/>
        <w:t>H</w:t>
      </w:r>
      <w:r>
        <w:rPr/>
        <w:t>价，悲观利润</w:t>
      </w:r>
      <w:r>
        <w:rPr/>
        <w:t>/PE</w:t>
      </w:r>
      <w:r>
        <w:rPr/>
        <w:t>压缩明显；量价与相对强弱：</w:t>
      </w:r>
      <w:r>
        <w:rPr/>
        <w:t>A</w:t>
      </w:r>
      <w:r>
        <w:rPr/>
        <w:t>回调仍上</w:t>
      </w:r>
      <w:r>
        <w:rPr/>
        <w:t>60</w:t>
      </w:r>
      <w:r>
        <w:rPr/>
        <w:t>，</w:t>
      </w:r>
      <w:r>
        <w:rPr/>
        <w:t>H</w:t>
      </w:r>
      <w:r>
        <w:rPr/>
        <w:t>全均线上斜率正；近</w:t>
      </w:r>
      <w:r>
        <w:rPr/>
        <w:t>60</w:t>
      </w:r>
      <w:r>
        <w:rPr/>
        <w:t>市场超额强，但最新跌日放量、上涨下跌量比不占优；经营增长与商业质量：持续收入</w:t>
      </w:r>
      <w:r>
        <w:rPr/>
        <w:t>48%</w:t>
      </w:r>
      <w:r>
        <w:rPr/>
        <w:t>、化学</w:t>
      </w:r>
      <w:r>
        <w:rPr/>
        <w:t>53%</w:t>
      </w:r>
      <w:r>
        <w:rPr/>
        <w:t>、</w:t>
      </w:r>
      <w:r>
        <w:rPr/>
        <w:t>DM72.7%</w:t>
      </w:r>
      <w:r>
        <w:rPr/>
        <w:t>、订单</w:t>
      </w:r>
      <w:r>
        <w:rPr/>
        <w:t>25.2%</w:t>
      </w:r>
      <w:r>
        <w:rPr/>
        <w:t>实证；成熟订单转化与工艺平台强；行业周期与需求：全球研发融资与商业化需求，多肽</w:t>
      </w:r>
      <w:r>
        <w:rPr/>
        <w:t>/</w:t>
      </w:r>
      <w:r>
        <w:rPr/>
        <w:t>核酸长期机会；竞争价格、供给和客户集中限制；期限催化剂：业绩指引</w:t>
      </w:r>
      <w:r>
        <w:rPr/>
        <w:t>/</w:t>
      </w:r>
      <w:r>
        <w:rPr/>
        <w:t>订单兑现、产能爬坡和新分子，临近</w:t>
      </w:r>
      <w:r>
        <w:rPr/>
        <w:t>Q3</w:t>
      </w:r>
      <w:r>
        <w:rPr/>
        <w:t>仍可证伪；政策不可简单消除；财务治理与下行风险：</w:t>
      </w:r>
      <w:r>
        <w:rPr/>
        <w:t>OCF93</w:t>
      </w:r>
      <w:r>
        <w:rPr/>
        <w:t>亿</w:t>
      </w:r>
      <w:r>
        <w:rPr/>
        <w:t>/FCF63.5</w:t>
      </w:r>
      <w:r>
        <w:rPr/>
        <w:t>亿较强；负债增、可转债与回购</w:t>
      </w:r>
      <w:r>
        <w:rPr/>
        <w:t>/</w:t>
      </w:r>
      <w:r>
        <w:rPr/>
        <w:t>理财影响资本配置，全球政策尾部风险。</w:t>
      </w:r>
    </w:p>
    <w:p>
      <w:pPr>
        <w:pStyle w:val="Heading3"/>
        <w:rPr/>
      </w:pPr>
      <w:r>
        <w:rPr>
          <w:color w:val="000000"/>
        </w:rPr>
        <w:t xml:space="preserve">凯莱英 </w:t>
      </w:r>
      <w:r>
        <w:rPr>
          <w:color w:val="000000"/>
        </w:rPr>
        <w:t xml:space="preserve">06821 HK </w:t>
      </w:r>
      <w:r>
        <w:rPr>
          <w:color w:val="000000"/>
        </w:rPr>
        <w:t>评分证据</w:t>
      </w:r>
    </w:p>
    <w:p>
      <w:pPr>
        <w:pStyle w:val="Normal"/>
        <w:rPr/>
      </w:pPr>
      <w:r>
        <w:rPr/>
        <w:t xml:space="preserve">估值与预期回报 </w:t>
      </w:r>
      <w:r>
        <w:rPr/>
        <w:t>3.9/5</w:t>
      </w:r>
      <w:r>
        <w:rPr/>
        <w:t>（权重</w:t>
      </w:r>
      <w:r>
        <w:rPr/>
        <w:t>20%</w:t>
      </w:r>
      <w:r>
        <w:rPr/>
        <w:t xml:space="preserve">）；量价与相对强弱 </w:t>
      </w:r>
      <w:r>
        <w:rPr/>
        <w:t>3.5/5</w:t>
      </w:r>
      <w:r>
        <w:rPr/>
        <w:t>（权重</w:t>
      </w:r>
      <w:r>
        <w:rPr/>
        <w:t>0%</w:t>
      </w:r>
      <w:r>
        <w:rPr/>
        <w:t xml:space="preserve">）；经营增长与商业质量 </w:t>
      </w:r>
      <w:r>
        <w:rPr/>
        <w:t>4.4/5</w:t>
      </w:r>
      <w:r>
        <w:rPr/>
        <w:t>（权重</w:t>
      </w:r>
      <w:r>
        <w:rPr/>
        <w:t>40%</w:t>
      </w:r>
      <w:r>
        <w:rPr/>
        <w:t xml:space="preserve">）；行业周期与需求 </w:t>
      </w:r>
      <w:r>
        <w:rPr/>
        <w:t>4.4/5</w:t>
      </w:r>
      <w:r>
        <w:rPr/>
        <w:t>（权重</w:t>
      </w:r>
      <w:r>
        <w:rPr/>
        <w:t>20%</w:t>
      </w:r>
      <w:r>
        <w:rPr/>
        <w:t xml:space="preserve">）；期限催化剂 </w:t>
      </w:r>
      <w:r>
        <w:rPr/>
        <w:t>3.8/5</w:t>
      </w:r>
      <w:r>
        <w:rPr/>
        <w:t>（权重</w:t>
      </w:r>
      <w:r>
        <w:rPr/>
        <w:t>5%</w:t>
      </w:r>
      <w:r>
        <w:rPr/>
        <w:t xml:space="preserve">）；财务治理与下行风险 </w:t>
      </w:r>
      <w:r>
        <w:rPr/>
        <w:t>3.4/5</w:t>
      </w:r>
      <w:r>
        <w:rPr/>
        <w:t>（权重</w:t>
      </w:r>
      <w:r>
        <w:rPr/>
        <w:t>15%</w:t>
      </w:r>
      <w:r>
        <w:rPr/>
        <w:t>）。</w:t>
      </w:r>
    </w:p>
    <w:p>
      <w:pPr>
        <w:pStyle w:val="Normal"/>
        <w:rPr/>
      </w:pPr>
      <w:r>
        <w:rPr/>
        <w:t>凯莱英独立深研第六至十七节；以下为正文摘要，评分保持已核验模型原值。</w:t>
      </w:r>
    </w:p>
    <w:p>
      <w:pPr>
        <w:pStyle w:val="Normal"/>
        <w:rPr/>
      </w:pPr>
      <w:r>
        <w:rPr/>
        <w:t>估值与预期回报：五年基准每股盈利</w:t>
      </w:r>
      <w:r>
        <w:rPr/>
        <w:t>11.5</w:t>
      </w:r>
      <w:r>
        <w:rPr/>
        <w:t>元人民币，</w:t>
      </w:r>
      <w:r>
        <w:rPr/>
        <w:t>A/H</w:t>
      </w:r>
      <w:r>
        <w:rPr/>
        <w:t>倍数</w:t>
      </w:r>
      <w:r>
        <w:rPr/>
        <w:t>32/28</w:t>
      </w:r>
      <w:r>
        <w:rPr/>
        <w:t>倍；成熟度提高后估值倍数下调，回报主要依靠经营扩张。</w:t>
      </w:r>
      <w:r>
        <w:rPr/>
        <w:t>H</w:t>
      </w:r>
      <w:r>
        <w:rPr/>
        <w:t>股按研究汇率折算的现价较</w:t>
      </w:r>
      <w:r>
        <w:rPr/>
        <w:t>A</w:t>
      </w:r>
      <w:r>
        <w:rPr/>
        <w:t>股低，但价差不保证收敛；量价与相对强弱：五年技术权重为零，量价不参与长期评分；两地短期波动和技术失效条件见第十二至十四节；经营增长与商业质量：上半年新兴业务增长</w:t>
      </w:r>
      <w:r>
        <w:rPr/>
        <w:t>72.49%</w:t>
      </w:r>
      <w:r>
        <w:rPr/>
        <w:t>，化学大分子与生物大分子扩张；集团归母利润下降</w:t>
      </w:r>
      <w:r>
        <w:rPr/>
        <w:t>15.71%</w:t>
      </w:r>
      <w:r>
        <w:rPr/>
        <w:t>，经营质量仍需交付与毛利验证；行业周期与需求：多肽、寡核苷酸及偶联外包有需求空间；客户融资、项目取消、价格和海外政策影响订单转化；期限催化剂：后期项目交付、新产能利用率与后续商业化是主要催化；未披露客户药物及金额未另加价值；财务治理与下行风险：银行借款较少，但扩产支出超过经营现金流；库存、受限资金、激励及海外运营成本构成反证。</w:t>
      </w:r>
    </w:p>
    <w:p>
      <w:pPr>
        <w:pStyle w:val="Heading3"/>
        <w:rPr/>
      </w:pPr>
      <w:r>
        <w:rPr>
          <w:color w:val="000000"/>
        </w:rPr>
        <w:t xml:space="preserve">翰森制药 </w:t>
      </w:r>
      <w:r>
        <w:rPr>
          <w:color w:val="000000"/>
        </w:rPr>
        <w:t xml:space="preserve">03692 HK </w:t>
      </w:r>
      <w:r>
        <w:rPr>
          <w:color w:val="000000"/>
        </w:rPr>
        <w:t>评分证据</w:t>
      </w:r>
    </w:p>
    <w:p>
      <w:pPr>
        <w:pStyle w:val="Normal"/>
        <w:rPr/>
      </w:pPr>
      <w:r>
        <w:rPr/>
        <w:t xml:space="preserve">估值与预期回报 </w:t>
      </w:r>
      <w:r>
        <w:rPr/>
        <w:t>3.9/5</w:t>
      </w:r>
      <w:r>
        <w:rPr/>
        <w:t>（权重</w:t>
      </w:r>
      <w:r>
        <w:rPr/>
        <w:t>20%</w:t>
      </w:r>
      <w:r>
        <w:rPr/>
        <w:t xml:space="preserve">）；量价与相对强弱 </w:t>
      </w:r>
      <w:r>
        <w:rPr/>
        <w:t>0/5</w:t>
      </w:r>
      <w:r>
        <w:rPr/>
        <w:t>（权重</w:t>
      </w:r>
      <w:r>
        <w:rPr/>
        <w:t>0%</w:t>
      </w:r>
      <w:r>
        <w:rPr/>
        <w:t xml:space="preserve">）；经营增长与商业质量 </w:t>
      </w:r>
      <w:r>
        <w:rPr/>
        <w:t>4.3/5</w:t>
      </w:r>
      <w:r>
        <w:rPr/>
        <w:t>（权重</w:t>
      </w:r>
      <w:r>
        <w:rPr/>
        <w:t>40%</w:t>
      </w:r>
      <w:r>
        <w:rPr/>
        <w:t xml:space="preserve">）；行业周期与需求 </w:t>
      </w:r>
      <w:r>
        <w:rPr/>
        <w:t>4.3/5</w:t>
      </w:r>
      <w:r>
        <w:rPr/>
        <w:t>（权重</w:t>
      </w:r>
      <w:r>
        <w:rPr/>
        <w:t>20%</w:t>
      </w:r>
      <w:r>
        <w:rPr/>
        <w:t xml:space="preserve">）；期限催化剂 </w:t>
      </w:r>
      <w:r>
        <w:rPr/>
        <w:t>4/5</w:t>
      </w:r>
      <w:r>
        <w:rPr/>
        <w:t>（权重</w:t>
      </w:r>
      <w:r>
        <w:rPr/>
        <w:t>5%</w:t>
      </w:r>
      <w:r>
        <w:rPr/>
        <w:t xml:space="preserve">）；财务治理与下行风险 </w:t>
      </w:r>
      <w:r>
        <w:rPr/>
        <w:t>3.6/5</w:t>
      </w:r>
      <w:r>
        <w:rPr/>
        <w:t>（权重</w:t>
      </w:r>
      <w:r>
        <w:rPr/>
        <w:t>15%</w:t>
      </w:r>
      <w:r>
        <w:rPr/>
        <w:t>）。</w:t>
      </w:r>
    </w:p>
    <w:p>
      <w:pPr>
        <w:pStyle w:val="Normal"/>
        <w:rPr/>
      </w:pPr>
      <w:r>
        <w:rPr/>
        <w:t>估值与预期回报：</w:t>
      </w:r>
      <w:r>
        <w:rPr/>
        <w:t>31.54</w:t>
      </w:r>
      <w:r>
        <w:rPr/>
        <w:t>低于近期机构</w:t>
      </w:r>
      <w:r>
        <w:rPr/>
        <w:t>37.24—52.7</w:t>
      </w:r>
      <w:r>
        <w:rPr/>
        <w:t>；核心盈利与超额现金分开，现金有债务</w:t>
      </w:r>
      <w:r>
        <w:rPr/>
        <w:t>/</w:t>
      </w:r>
      <w:r>
        <w:rPr/>
        <w:t>资本责任，不能按法定高利润机械估值；量价与相对强弱：价低于</w:t>
      </w:r>
      <w:r>
        <w:rPr/>
        <w:t>20/60/120/250</w:t>
      </w:r>
      <w:r>
        <w:rPr/>
        <w:t>日线，日</w:t>
      </w:r>
      <w:r>
        <w:rPr/>
        <w:t>RSI38.4</w:t>
      </w:r>
      <w:r>
        <w:rPr/>
        <w:t>与</w:t>
      </w:r>
      <w:r>
        <w:rPr/>
        <w:t>MACD</w:t>
      </w:r>
      <w:r>
        <w:rPr/>
        <w:t>负，市场超额负；近低点不等于底部；经营增长与商业质量：创新产品增长</w:t>
      </w:r>
      <w:r>
        <w:rPr/>
        <w:t>21.6%</w:t>
      </w:r>
      <w:r>
        <w:rPr/>
        <w:t>、费用效率和成熟商业化支持；收入含授权、投资收益剔除；行业周期与需求：肿瘤、代谢和自身免疫需求，创新转型；同靶点与医保约束可支付市场；期限催化剂：</w:t>
      </w:r>
      <w:r>
        <w:rPr/>
        <w:t>HS20093</w:t>
      </w:r>
      <w:r>
        <w:rPr/>
        <w:t>两个申报、奥莱泊肽申报、</w:t>
      </w:r>
      <w:r>
        <w:rPr/>
        <w:t>TYK2</w:t>
      </w:r>
      <w:r>
        <w:rPr/>
        <w:t>三期阳性和</w:t>
      </w:r>
      <w:r>
        <w:rPr/>
        <w:t>MET/RET</w:t>
      </w:r>
      <w:r>
        <w:rPr/>
        <w:t>等后期储备；批准并非保证；财务治理与下行风险：</w:t>
      </w:r>
      <w:r>
        <w:rPr/>
        <w:t>37.383bn</w:t>
      </w:r>
      <w:r>
        <w:rPr/>
        <w:t>现金银行余额支持研发；</w:t>
      </w:r>
      <w:r>
        <w:rPr/>
        <w:t>CB</w:t>
      </w:r>
      <w:r>
        <w:rPr/>
        <w:t>本金</w:t>
      </w:r>
      <w:r>
        <w:rPr/>
        <w:t>46.8</w:t>
      </w:r>
      <w:r>
        <w:rPr/>
        <w:t>亿港元</w:t>
      </w:r>
      <w:r>
        <w:rPr/>
        <w:t>/</w:t>
      </w:r>
      <w:r>
        <w:rPr/>
        <w:t>股价</w:t>
      </w:r>
      <w:r>
        <w:rPr/>
        <w:t>56.54</w:t>
      </w:r>
      <w:r>
        <w:rPr/>
        <w:t>及股份激励保留，海外和管理治理风险。</w:t>
      </w:r>
    </w:p>
    <w:p>
      <w:pPr>
        <w:pStyle w:val="Heading3"/>
        <w:rPr/>
      </w:pPr>
      <w:r>
        <w:rPr>
          <w:color w:val="000000"/>
        </w:rPr>
        <w:t xml:space="preserve">信达生物 </w:t>
      </w:r>
      <w:r>
        <w:rPr>
          <w:color w:val="000000"/>
        </w:rPr>
        <w:t xml:space="preserve">01801 HK </w:t>
      </w:r>
      <w:r>
        <w:rPr>
          <w:color w:val="000000"/>
        </w:rPr>
        <w:t>评分证据</w:t>
      </w:r>
    </w:p>
    <w:p>
      <w:pPr>
        <w:pStyle w:val="Normal"/>
        <w:rPr/>
      </w:pPr>
      <w:r>
        <w:rPr/>
        <w:t xml:space="preserve">估值与预期回报 </w:t>
      </w:r>
      <w:r>
        <w:rPr/>
        <w:t>3.8/5</w:t>
      </w:r>
      <w:r>
        <w:rPr/>
        <w:t>（权重</w:t>
      </w:r>
      <w:r>
        <w:rPr/>
        <w:t>20%</w:t>
      </w:r>
      <w:r>
        <w:rPr/>
        <w:t xml:space="preserve">）；量价与相对强弱 </w:t>
      </w:r>
      <w:r>
        <w:rPr/>
        <w:t>0/5</w:t>
      </w:r>
      <w:r>
        <w:rPr/>
        <w:t>（权重</w:t>
      </w:r>
      <w:r>
        <w:rPr/>
        <w:t>0%</w:t>
      </w:r>
      <w:r>
        <w:rPr/>
        <w:t xml:space="preserve">）；经营增长与商业质量 </w:t>
      </w:r>
      <w:r>
        <w:rPr/>
        <w:t>4.4/5</w:t>
      </w:r>
      <w:r>
        <w:rPr/>
        <w:t>（权重</w:t>
      </w:r>
      <w:r>
        <w:rPr/>
        <w:t>40%</w:t>
      </w:r>
      <w:r>
        <w:rPr/>
        <w:t xml:space="preserve">）；行业周期与需求 </w:t>
      </w:r>
      <w:r>
        <w:rPr/>
        <w:t>4.5/5</w:t>
      </w:r>
      <w:r>
        <w:rPr/>
        <w:t>（权重</w:t>
      </w:r>
      <w:r>
        <w:rPr/>
        <w:t>20%</w:t>
      </w:r>
      <w:r>
        <w:rPr/>
        <w:t xml:space="preserve">）；期限催化剂 </w:t>
      </w:r>
      <w:r>
        <w:rPr/>
        <w:t>4.2/5</w:t>
      </w:r>
      <w:r>
        <w:rPr/>
        <w:t>（权重</w:t>
      </w:r>
      <w:r>
        <w:rPr/>
        <w:t>5%</w:t>
      </w:r>
      <w:r>
        <w:rPr/>
        <w:t xml:space="preserve">）；财务治理与下行风险 </w:t>
      </w:r>
      <w:r>
        <w:rPr/>
        <w:t>3/5</w:t>
      </w:r>
      <w:r>
        <w:rPr/>
        <w:t>（权重</w:t>
      </w:r>
      <w:r>
        <w:rPr/>
        <w:t>15%</w:t>
      </w:r>
      <w:r>
        <w:rPr/>
        <w:t>）。</w:t>
      </w:r>
    </w:p>
    <w:p>
      <w:pPr>
        <w:pStyle w:val="Normal"/>
        <w:rPr/>
      </w:pPr>
      <w:r>
        <w:rPr/>
        <w:t>估值与预期回报：近期机构目标</w:t>
      </w:r>
      <w:r>
        <w:rPr/>
        <w:t>120.6—149.6</w:t>
      </w:r>
      <w:r>
        <w:rPr/>
        <w:t>支持空间，盈利路径与管线仍需兑现；悲观损失显著；量价与相对强弱：价低于</w:t>
      </w:r>
      <w:r>
        <w:rPr/>
        <w:t>20/60</w:t>
      </w:r>
      <w:r>
        <w:rPr/>
        <w:t>日线，</w:t>
      </w:r>
      <w:r>
        <w:rPr/>
        <w:t>RSI40.4</w:t>
      </w:r>
      <w:r>
        <w:rPr/>
        <w:t>、</w:t>
      </w:r>
      <w:r>
        <w:rPr/>
        <w:t>MACD</w:t>
      </w:r>
      <w:r>
        <w:rPr/>
        <w:t>负；量缩未形成突破，技术入场评分低；经营增长与商业质量：产品收入</w:t>
      </w:r>
      <w:r>
        <w:rPr/>
        <w:t>56.7%</w:t>
      </w:r>
      <w:r>
        <w:rPr/>
        <w:t>增长、费用杠杆及多产品平台；授权</w:t>
      </w:r>
      <w:r>
        <w:rPr/>
        <w:t>/</w:t>
      </w:r>
      <w:r>
        <w:rPr/>
        <w:t>税项等非经常因素须剔除；行业周期与需求：肥胖、慢病、创新肿瘤需求与海外专利周期，医保定价</w:t>
      </w:r>
      <w:r>
        <w:rPr/>
        <w:t>/</w:t>
      </w:r>
      <w:r>
        <w:rPr/>
        <w:t>竞品限制可支付市场；期限催化剂：玛仕度肽</w:t>
      </w:r>
      <w:r>
        <w:rPr/>
        <w:t>9mg</w:t>
      </w:r>
      <w:r>
        <w:rPr/>
        <w:t>、</w:t>
      </w:r>
      <w:r>
        <w:rPr/>
        <w:t>IBI363/343</w:t>
      </w:r>
      <w:r>
        <w:rPr/>
        <w:t>注册及临床数据、全年产品销售等多催化；财务治理与下行风险：现金充足但合同责任、全球投入、临床风险及股权激励成本增加。</w:t>
      </w:r>
    </w:p>
    <w:p>
      <w:pPr>
        <w:pStyle w:val="Normal"/>
        <w:rPr/>
      </w:pPr>
      <w:r>
        <w:rPr/>
        <w:t>进取型排序同时考虑上涨空间、经营兑现与期限催化；半年额外强调均线、量能和相对强弱，长期侧重商业质量和需求持续性。正常利润、授权及处置收益分开，创新药的适应症成功率、销售路径、现金投入及融资稀释逐公司建模。自有估值与机构目标存在分歧时，按假设及证据解释，不以机构目标直接替代年底情景。</w:t>
      </w:r>
    </w:p>
    <w:p>
      <w:pPr>
        <w:pStyle w:val="Heading1"/>
        <w:rPr/>
      </w:pPr>
      <w:bookmarkStart w:id="6" w:name="__RefHeading___Toc4851_1919545624"/>
      <w:bookmarkEnd w:id="6"/>
      <w:r>
        <w:rPr>
          <w:color w:val="000000"/>
        </w:rPr>
        <w:t>年底情景与期望值</w:t>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408"/>
        <w:gridCol w:w="1407"/>
        <w:gridCol w:w="1409"/>
        <w:gridCol w:w="1407"/>
        <w:gridCol w:w="1409"/>
        <w:gridCol w:w="1407"/>
        <w:gridCol w:w="1409"/>
      </w:tblGrid>
      <w:tr>
        <w:trPr>
          <w:tblHeader w:val="true"/>
          <w:cantSplit/>
        </w:trPr>
        <w:tc>
          <w:tcPr>
            <w:tcW w:w="1408"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证券</w:t>
            </w:r>
            <w:r>
              <w:rPr>
                <w:rFonts w:eastAsia="微软雅黑" w:ascii="微软雅黑" w:hAnsi="微软雅黑"/>
                <w:b/>
                <w:color w:val="FFFFFF"/>
                <w:sz w:val="17"/>
              </w:rPr>
              <w:t>/</w:t>
            </w:r>
            <w:r>
              <w:rPr>
                <w:rFonts w:ascii="微软雅黑" w:hAnsi="微软雅黑" w:eastAsia="微软雅黑"/>
                <w:b/>
                <w:color w:val="FFFFFF"/>
                <w:sz w:val="17"/>
              </w:rPr>
              <w:t>币种</w:t>
            </w:r>
          </w:p>
        </w:tc>
        <w:tc>
          <w:tcPr>
            <w:tcW w:w="1407"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现价</w:t>
            </w:r>
          </w:p>
        </w:tc>
        <w:tc>
          <w:tcPr>
            <w:tcW w:w="140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悲观</w:t>
            </w:r>
          </w:p>
        </w:tc>
        <w:tc>
          <w:tcPr>
            <w:tcW w:w="1407"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w:t>
            </w:r>
          </w:p>
        </w:tc>
        <w:tc>
          <w:tcPr>
            <w:tcW w:w="140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乐观</w:t>
            </w:r>
          </w:p>
        </w:tc>
        <w:tc>
          <w:tcPr>
            <w:tcW w:w="1407"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期望价</w:t>
            </w:r>
          </w:p>
        </w:tc>
        <w:tc>
          <w:tcPr>
            <w:tcW w:w="140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期望回报</w:t>
            </w:r>
          </w:p>
        </w:tc>
      </w:tr>
      <w:tr>
        <w:trPr>
          <w:cantSplit/>
        </w:trPr>
        <w:tc>
          <w:tcPr>
            <w:tcW w:w="1408"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三生制药</w:t>
            </w:r>
            <w:r>
              <w:rPr>
                <w:rFonts w:eastAsia="微软雅黑" w:ascii="微软雅黑" w:hAnsi="微软雅黑"/>
                <w:sz w:val="17"/>
              </w:rPr>
              <w:br/>
              <w:t>01530.HK HKD</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15.07</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9.70</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19.54</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42.81</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22.90</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+51.93%</w:t>
            </w:r>
          </w:p>
        </w:tc>
      </w:tr>
      <w:tr>
        <w:trPr>
          <w:cantSplit/>
        </w:trPr>
        <w:tc>
          <w:tcPr>
            <w:tcW w:w="1408"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康方生物</w:t>
            </w:r>
            <w:r>
              <w:rPr>
                <w:rFonts w:eastAsia="微软雅黑" w:ascii="微软雅黑" w:hAnsi="微软雅黑"/>
                <w:sz w:val="17"/>
              </w:rPr>
              <w:br/>
              <w:t>09926.HK HKD</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109.10</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11.06</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67.28</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174.94</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80.14</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-26.54%</w:t>
            </w:r>
          </w:p>
        </w:tc>
      </w:tr>
      <w:tr>
        <w:trPr>
          <w:cantSplit/>
        </w:trPr>
        <w:tc>
          <w:tcPr>
            <w:tcW w:w="1408"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阿里巴巴</w:t>
            </w:r>
            <w:r>
              <w:rPr>
                <w:rFonts w:eastAsia="微软雅黑" w:ascii="微软雅黑" w:hAnsi="微软雅黑"/>
                <w:sz w:val="17"/>
              </w:rPr>
              <w:t>-W</w:t>
              <w:br/>
              <w:t>09988.HK HKD</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107.00</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57.42</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133.10</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231.00</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138.66</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+29.58%</w:t>
            </w:r>
          </w:p>
        </w:tc>
      </w:tr>
      <w:tr>
        <w:trPr>
          <w:cantSplit/>
        </w:trPr>
        <w:tc>
          <w:tcPr>
            <w:tcW w:w="1408"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阿里健康</w:t>
            </w:r>
            <w:r>
              <w:rPr>
                <w:rFonts w:eastAsia="微软雅黑" w:ascii="微软雅黑" w:hAnsi="微软雅黑"/>
                <w:sz w:val="17"/>
              </w:rPr>
              <w:br/>
              <w:t>00241.HK HKD</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2.86</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1.36</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3.19</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4.58</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3.08</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+7.69%</w:t>
            </w:r>
          </w:p>
        </w:tc>
      </w:tr>
      <w:tr>
        <w:trPr>
          <w:cantSplit/>
        </w:trPr>
        <w:tc>
          <w:tcPr>
            <w:tcW w:w="1408"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时代天使</w:t>
            </w:r>
            <w:r>
              <w:rPr>
                <w:rFonts w:eastAsia="微软雅黑" w:ascii="微软雅黑" w:hAnsi="微软雅黑"/>
                <w:sz w:val="17"/>
              </w:rPr>
              <w:br/>
              <w:t>06699.HK HKD</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82.30</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48.82</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92.40</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147.69</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95.33</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+15.83%</w:t>
            </w:r>
          </w:p>
        </w:tc>
      </w:tr>
      <w:tr>
        <w:trPr>
          <w:cantSplit/>
        </w:trPr>
        <w:tc>
          <w:tcPr>
            <w:tcW w:w="1408"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亚盛医药</w:t>
            </w:r>
            <w:r>
              <w:rPr>
                <w:rFonts w:eastAsia="微软雅黑" w:ascii="微软雅黑" w:hAnsi="微软雅黑"/>
                <w:sz w:val="17"/>
              </w:rPr>
              <w:br/>
              <w:t>06855.HK HKD</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28.22</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0.00</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16.27</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46.08</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19.66</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-30.34%</w:t>
            </w:r>
          </w:p>
        </w:tc>
      </w:tr>
      <w:tr>
        <w:trPr>
          <w:cantSplit/>
        </w:trPr>
        <w:tc>
          <w:tcPr>
            <w:tcW w:w="1408"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ASMPT</w:t>
              <w:br/>
              <w:t>00522.HK HKD</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161.30</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32.94</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159.09</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261.43</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153.14</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-5.06%</w:t>
            </w:r>
          </w:p>
        </w:tc>
      </w:tr>
      <w:tr>
        <w:trPr>
          <w:cantSplit/>
        </w:trPr>
        <w:tc>
          <w:tcPr>
            <w:tcW w:w="1408"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凯莱英</w:t>
            </w:r>
            <w:r>
              <w:rPr>
                <w:rFonts w:eastAsia="微软雅黑" w:ascii="微软雅黑" w:hAnsi="微软雅黑"/>
                <w:sz w:val="17"/>
              </w:rPr>
              <w:br/>
              <w:t>002821.SZ CNY</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177.93</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67.20</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172.00</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270.00</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170.30</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-4.29%</w:t>
            </w:r>
          </w:p>
        </w:tc>
      </w:tr>
      <w:tr>
        <w:trPr>
          <w:cantSplit/>
        </w:trPr>
        <w:tc>
          <w:tcPr>
            <w:tcW w:w="1408"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凯莱英</w:t>
            </w:r>
            <w:r>
              <w:rPr>
                <w:rFonts w:eastAsia="微软雅黑" w:ascii="微软雅黑" w:hAnsi="微软雅黑"/>
                <w:sz w:val="17"/>
              </w:rPr>
              <w:br/>
              <w:t>06821.HK HKD</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155.10</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61.60</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145.20</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242.00</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148.50</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-4.26%</w:t>
            </w:r>
          </w:p>
        </w:tc>
      </w:tr>
      <w:tr>
        <w:trPr>
          <w:cantSplit/>
        </w:trPr>
        <w:tc>
          <w:tcPr>
            <w:tcW w:w="1408"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百度集团</w:t>
            </w:r>
            <w:r>
              <w:rPr>
                <w:rFonts w:eastAsia="微软雅黑" w:ascii="微软雅黑" w:hAnsi="微软雅黑"/>
                <w:sz w:val="17"/>
              </w:rPr>
              <w:t>-W</w:t>
              <w:br/>
              <w:t>09888.HK HKD</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83.00</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29.41</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100.45</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199.27</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107.40</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+29.39%</w:t>
            </w:r>
          </w:p>
        </w:tc>
      </w:tr>
      <w:tr>
        <w:trPr>
          <w:cantSplit/>
        </w:trPr>
        <w:tc>
          <w:tcPr>
            <w:tcW w:w="1408"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百济神州</w:t>
            </w:r>
            <w:r>
              <w:rPr>
                <w:rFonts w:eastAsia="微软雅黑" w:ascii="微软雅黑" w:hAnsi="微软雅黑"/>
                <w:sz w:val="17"/>
              </w:rPr>
              <w:br/>
              <w:t>688235.SH CNY</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249.42</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91.28</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281.35</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540.00</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298.50</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+19.68%</w:t>
            </w:r>
          </w:p>
        </w:tc>
      </w:tr>
      <w:tr>
        <w:trPr>
          <w:cantSplit/>
        </w:trPr>
        <w:tc>
          <w:tcPr>
            <w:tcW w:w="1408"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百济神州</w:t>
            </w:r>
            <w:r>
              <w:rPr>
                <w:rFonts w:eastAsia="微软雅黑" w:ascii="微软雅黑" w:hAnsi="微软雅黑"/>
                <w:sz w:val="17"/>
              </w:rPr>
              <w:br/>
              <w:t>06160.HK HKD</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209.60</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87.31</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247.59</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440.00</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255.62</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+21.96%</w:t>
            </w:r>
          </w:p>
        </w:tc>
      </w:tr>
      <w:tr>
        <w:trPr>
          <w:cantSplit/>
        </w:trPr>
        <w:tc>
          <w:tcPr>
            <w:tcW w:w="1408"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哔哩哔哩</w:t>
            </w:r>
            <w:r>
              <w:rPr>
                <w:rFonts w:eastAsia="微软雅黑" w:ascii="微软雅黑" w:hAnsi="微软雅黑"/>
                <w:sz w:val="17"/>
              </w:rPr>
              <w:t>-W</w:t>
              <w:br/>
              <w:t>09626.HK HKD</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120.40</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20.88</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137.99</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248.13</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136.25</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+13.16%</w:t>
            </w:r>
          </w:p>
        </w:tc>
      </w:tr>
      <w:tr>
        <w:trPr>
          <w:cantSplit/>
        </w:trPr>
        <w:tc>
          <w:tcPr>
            <w:tcW w:w="1408"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比亚迪电子</w:t>
            </w:r>
            <w:r>
              <w:rPr>
                <w:rFonts w:eastAsia="微软雅黑" w:ascii="微软雅黑" w:hAnsi="微软雅黑"/>
                <w:sz w:val="17"/>
              </w:rPr>
              <w:br/>
              <w:t>00285.HK HKD</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23.16</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11.03</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28.57</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40.54</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27.18</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+17.35%</w:t>
            </w:r>
          </w:p>
        </w:tc>
      </w:tr>
      <w:tr>
        <w:trPr>
          <w:cantSplit/>
        </w:trPr>
        <w:tc>
          <w:tcPr>
            <w:tcW w:w="1408"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比亚迪股份</w:t>
            </w:r>
            <w:r>
              <w:rPr>
                <w:rFonts w:eastAsia="微软雅黑" w:ascii="微软雅黑" w:hAnsi="微软雅黑"/>
                <w:sz w:val="17"/>
              </w:rPr>
              <w:br/>
              <w:t>01211.HK HKD</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75.60</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25.83</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103.18</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216.85</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112.26</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+48.49%</w:t>
            </w:r>
          </w:p>
        </w:tc>
      </w:tr>
      <w:tr>
        <w:trPr>
          <w:cantSplit/>
        </w:trPr>
        <w:tc>
          <w:tcPr>
            <w:tcW w:w="1408"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康希诺生物</w:t>
            </w:r>
            <w:r>
              <w:rPr>
                <w:rFonts w:eastAsia="微软雅黑" w:ascii="微软雅黑" w:hAnsi="微软雅黑"/>
                <w:sz w:val="17"/>
              </w:rPr>
              <w:br/>
              <w:t>06185.HK HKD</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35.02</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12.26</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28.21</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53.66</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30.58</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-12.67%</w:t>
            </w:r>
          </w:p>
        </w:tc>
      </w:tr>
      <w:tr>
        <w:trPr>
          <w:cantSplit/>
        </w:trPr>
        <w:tc>
          <w:tcPr>
            <w:tcW w:w="1408"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宁德时代</w:t>
            </w:r>
            <w:r>
              <w:rPr>
                <w:rFonts w:eastAsia="微软雅黑" w:ascii="微软雅黑" w:hAnsi="微软雅黑"/>
                <w:sz w:val="17"/>
              </w:rPr>
              <w:br/>
              <w:t>03750.HK HKD</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491.40</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173.12</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520.98</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915.38</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532.62</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+8.39%</w:t>
            </w:r>
          </w:p>
        </w:tc>
      </w:tr>
      <w:tr>
        <w:trPr>
          <w:cantSplit/>
        </w:trPr>
        <w:tc>
          <w:tcPr>
            <w:tcW w:w="1408"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中广核新能源</w:t>
            </w:r>
            <w:r>
              <w:rPr>
                <w:rFonts w:eastAsia="微软雅黑" w:ascii="微软雅黑" w:hAnsi="微软雅黑"/>
                <w:sz w:val="17"/>
              </w:rPr>
              <w:br/>
              <w:t>01811.HK HKD</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2.10</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1.08</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2.50</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3.76</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2.46</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+17.32%</w:t>
            </w:r>
          </w:p>
        </w:tc>
      </w:tr>
      <w:tr>
        <w:trPr>
          <w:cantSplit/>
        </w:trPr>
        <w:tc>
          <w:tcPr>
            <w:tcW w:w="1408"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中国同辐</w:t>
            </w:r>
            <w:r>
              <w:rPr>
                <w:rFonts w:eastAsia="微软雅黑" w:ascii="微软雅黑" w:hAnsi="微软雅黑"/>
                <w:sz w:val="17"/>
              </w:rPr>
              <w:br/>
              <w:t>01763.HK HKD</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12.53</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3.42</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15.28</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26.39</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15.09</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+20.44%</w:t>
            </w:r>
          </w:p>
        </w:tc>
      </w:tr>
      <w:tr>
        <w:trPr>
          <w:cantSplit/>
        </w:trPr>
        <w:tc>
          <w:tcPr>
            <w:tcW w:w="1408"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康哲药业</w:t>
            </w:r>
            <w:r>
              <w:rPr>
                <w:rFonts w:eastAsia="微软雅黑" w:ascii="微软雅黑" w:hAnsi="微软雅黑"/>
                <w:sz w:val="17"/>
              </w:rPr>
              <w:br/>
              <w:t>00867.HK HKD</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10.54</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4.98</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12.89</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20.33</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12.77</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+21.18%</w:t>
            </w:r>
          </w:p>
        </w:tc>
      </w:tr>
      <w:tr>
        <w:trPr>
          <w:cantSplit/>
        </w:trPr>
        <w:tc>
          <w:tcPr>
            <w:tcW w:w="1408"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石药集团</w:t>
            </w:r>
            <w:r>
              <w:rPr>
                <w:rFonts w:eastAsia="微软雅黑" w:ascii="微软雅黑" w:hAnsi="微软雅黑"/>
                <w:sz w:val="17"/>
              </w:rPr>
              <w:br/>
              <w:t>01093.HK HKD</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9.09</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4.30</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9.30</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18.39</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10.32</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+13.58%</w:t>
            </w:r>
          </w:p>
        </w:tc>
      </w:tr>
      <w:tr>
        <w:trPr>
          <w:cantSplit/>
        </w:trPr>
        <w:tc>
          <w:tcPr>
            <w:tcW w:w="1408"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迪哲医药</w:t>
            </w:r>
            <w:r>
              <w:rPr>
                <w:rFonts w:eastAsia="微软雅黑" w:ascii="微软雅黑" w:hAnsi="微软雅黑"/>
                <w:sz w:val="17"/>
              </w:rPr>
              <w:br/>
              <w:t>688192.SH CNY</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59.95</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5.33</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40.38</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176.30</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65.60</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+9.42%</w:t>
            </w:r>
          </w:p>
        </w:tc>
      </w:tr>
      <w:tr>
        <w:trPr>
          <w:cantSplit/>
        </w:trPr>
        <w:tc>
          <w:tcPr>
            <w:tcW w:w="1408"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映恩生物</w:t>
            </w:r>
            <w:r>
              <w:rPr>
                <w:rFonts w:eastAsia="微软雅黑" w:ascii="微软雅黑" w:hAnsi="微软雅黑"/>
                <w:sz w:val="17"/>
              </w:rPr>
              <w:t>-B</w:t>
              <w:br/>
              <w:t>09606.HK HKD</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182.70</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27.41</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125.13</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328.87</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151.64</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-17.00%</w:t>
            </w:r>
          </w:p>
        </w:tc>
      </w:tr>
      <w:tr>
        <w:trPr>
          <w:cantSplit/>
        </w:trPr>
        <w:tc>
          <w:tcPr>
            <w:tcW w:w="1408"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东方甄选</w:t>
            </w:r>
            <w:r>
              <w:rPr>
                <w:rFonts w:eastAsia="微软雅黑" w:ascii="微软雅黑" w:hAnsi="微软雅黑"/>
                <w:sz w:val="17"/>
              </w:rPr>
              <w:br/>
              <w:t>01797.HK HKD</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26.52</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15.59</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25.43</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35.35</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25.45</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-4.04%</w:t>
            </w:r>
          </w:p>
        </w:tc>
      </w:tr>
      <w:tr>
        <w:trPr>
          <w:cantSplit/>
        </w:trPr>
        <w:tc>
          <w:tcPr>
            <w:tcW w:w="1408"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云顶新耀</w:t>
            </w:r>
            <w:r>
              <w:rPr>
                <w:rFonts w:eastAsia="微软雅黑" w:ascii="微软雅黑" w:hAnsi="微软雅黑"/>
                <w:sz w:val="17"/>
              </w:rPr>
              <w:br/>
              <w:t>01952.HK HKD</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29.60</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7.05</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33.64</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70.33</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36.16</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+22.18%</w:t>
            </w:r>
          </w:p>
        </w:tc>
      </w:tr>
      <w:tr>
        <w:trPr>
          <w:cantSplit/>
        </w:trPr>
        <w:tc>
          <w:tcPr>
            <w:tcW w:w="1408"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复星医药</w:t>
            </w:r>
            <w:r>
              <w:rPr>
                <w:rFonts w:eastAsia="微软雅黑" w:ascii="微软雅黑" w:hAnsi="微软雅黑"/>
                <w:sz w:val="17"/>
              </w:rPr>
              <w:br/>
              <w:t>02196.HK HKD</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17.87</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10.30</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18.63</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27.23</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18.70</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+4.64%</w:t>
            </w:r>
          </w:p>
        </w:tc>
      </w:tr>
      <w:tr>
        <w:trPr>
          <w:cantSplit/>
        </w:trPr>
        <w:tc>
          <w:tcPr>
            <w:tcW w:w="1408"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金斯瑞生物科技</w:t>
            </w:r>
            <w:r>
              <w:rPr>
                <w:rFonts w:eastAsia="微软雅黑" w:ascii="微软雅黑" w:hAnsi="微软雅黑"/>
                <w:sz w:val="17"/>
              </w:rPr>
              <w:br/>
              <w:t>01548.HK HKD</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42.40</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9.21</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33.82</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67.81</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36.17</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-14.70%</w:t>
            </w:r>
          </w:p>
        </w:tc>
      </w:tr>
      <w:tr>
        <w:trPr>
          <w:cantSplit/>
        </w:trPr>
        <w:tc>
          <w:tcPr>
            <w:tcW w:w="1408"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远大医药</w:t>
            </w:r>
            <w:r>
              <w:rPr>
                <w:rFonts w:eastAsia="微软雅黑" w:ascii="微软雅黑" w:hAnsi="微软雅黑"/>
                <w:sz w:val="17"/>
              </w:rPr>
              <w:br/>
              <w:t>00512.HK HKD</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4.74</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3.17</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5.99</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8.11</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5.82</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+22.73%</w:t>
            </w:r>
          </w:p>
        </w:tc>
      </w:tr>
      <w:tr>
        <w:trPr>
          <w:cantSplit/>
        </w:trPr>
        <w:tc>
          <w:tcPr>
            <w:tcW w:w="1408"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海尔生物</w:t>
            </w:r>
            <w:r>
              <w:rPr>
                <w:rFonts w:eastAsia="微软雅黑" w:ascii="微软雅黑" w:hAnsi="微软雅黑"/>
                <w:sz w:val="17"/>
              </w:rPr>
              <w:br/>
              <w:t>688139.SH CNY</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35.13</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18.00</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35.28</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50.16</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34.68</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-1.28%</w:t>
            </w:r>
          </w:p>
        </w:tc>
      </w:tr>
      <w:tr>
        <w:trPr>
          <w:cantSplit/>
        </w:trPr>
        <w:tc>
          <w:tcPr>
            <w:tcW w:w="1408"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海尔智家</w:t>
            </w:r>
            <w:r>
              <w:rPr>
                <w:rFonts w:eastAsia="微软雅黑" w:ascii="微软雅黑" w:hAnsi="微软雅黑"/>
                <w:sz w:val="17"/>
              </w:rPr>
              <w:br/>
              <w:t>06690.HK HKD</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20.42</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15.21</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23.58</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29.00</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22.84</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+11.85%</w:t>
            </w:r>
          </w:p>
        </w:tc>
      </w:tr>
      <w:tr>
        <w:trPr>
          <w:cantSplit/>
        </w:trPr>
        <w:tc>
          <w:tcPr>
            <w:tcW w:w="1408"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翰森制药</w:t>
            </w:r>
            <w:r>
              <w:rPr>
                <w:rFonts w:eastAsia="微软雅黑" w:ascii="微软雅黑" w:hAnsi="微软雅黑"/>
                <w:sz w:val="17"/>
              </w:rPr>
              <w:br/>
              <w:t>03692.HK HKD</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31.54</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22.28</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36.98</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52.14</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37.09</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+17.61%</w:t>
            </w:r>
          </w:p>
        </w:tc>
      </w:tr>
      <w:tr>
        <w:trPr>
          <w:cantSplit/>
        </w:trPr>
        <w:tc>
          <w:tcPr>
            <w:tcW w:w="1408"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皓元医药</w:t>
            </w:r>
            <w:r>
              <w:rPr>
                <w:rFonts w:eastAsia="微软雅黑" w:ascii="微软雅黑" w:hAnsi="微软雅黑"/>
                <w:sz w:val="17"/>
              </w:rPr>
              <w:br/>
              <w:t>688131.SH CNY</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93.16</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39.90</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89.90</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133.20</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88.23</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-5.30%</w:t>
            </w:r>
          </w:p>
        </w:tc>
      </w:tr>
      <w:tr>
        <w:trPr>
          <w:cantSplit/>
        </w:trPr>
        <w:tc>
          <w:tcPr>
            <w:tcW w:w="1408"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恒瑞医药</w:t>
            </w:r>
            <w:r>
              <w:rPr>
                <w:rFonts w:eastAsia="微软雅黑" w:ascii="微软雅黑" w:hAnsi="微软雅黑"/>
                <w:sz w:val="17"/>
              </w:rPr>
              <w:br/>
              <w:t>600276.SH CNY</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46.85</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26.40</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49.30</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79.20</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51.05</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+8.96%</w:t>
            </w:r>
          </w:p>
        </w:tc>
      </w:tr>
      <w:tr>
        <w:trPr>
          <w:cantSplit/>
        </w:trPr>
        <w:tc>
          <w:tcPr>
            <w:tcW w:w="1408"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恒瑞医药</w:t>
            </w:r>
            <w:r>
              <w:rPr>
                <w:rFonts w:eastAsia="微软雅黑" w:ascii="微软雅黑" w:hAnsi="微软雅黑"/>
                <w:sz w:val="17"/>
              </w:rPr>
              <w:br/>
              <w:t>01276.HK HKD</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48.00</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26.62</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52.64</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85.14</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54.26</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+13.04%</w:t>
            </w:r>
          </w:p>
        </w:tc>
      </w:tr>
      <w:tr>
        <w:trPr>
          <w:cantSplit/>
        </w:trPr>
        <w:tc>
          <w:tcPr>
            <w:tcW w:w="1408"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君圣泰医药</w:t>
            </w:r>
            <w:r>
              <w:rPr>
                <w:rFonts w:eastAsia="微软雅黑" w:ascii="微软雅黑" w:hAnsi="微软雅黑"/>
                <w:sz w:val="17"/>
              </w:rPr>
              <w:t>-B</w:t>
              <w:br/>
              <w:t>02511.HK HKD</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3.42</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0.00</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0.87</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4.73</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1.62</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-52.72%</w:t>
            </w:r>
          </w:p>
        </w:tc>
      </w:tr>
      <w:tr>
        <w:trPr>
          <w:cantSplit/>
        </w:trPr>
        <w:tc>
          <w:tcPr>
            <w:tcW w:w="1408"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海创药业</w:t>
            </w:r>
            <w:r>
              <w:rPr>
                <w:rFonts w:eastAsia="微软雅黑" w:ascii="微软雅黑" w:hAnsi="微软雅黑"/>
                <w:sz w:val="17"/>
              </w:rPr>
              <w:br/>
              <w:t>688302.SH CNY</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32.09</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18.40</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29.62</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45.04</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30.67</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-4.43%</w:t>
            </w:r>
          </w:p>
        </w:tc>
      </w:tr>
      <w:tr>
        <w:trPr>
          <w:cantSplit/>
        </w:trPr>
        <w:tc>
          <w:tcPr>
            <w:tcW w:w="1408"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地平线机器人</w:t>
            </w:r>
            <w:r>
              <w:rPr>
                <w:rFonts w:eastAsia="微软雅黑" w:ascii="微软雅黑" w:hAnsi="微软雅黑"/>
                <w:sz w:val="17"/>
              </w:rPr>
              <w:t>-W</w:t>
              <w:br/>
              <w:t>09660.HK HKD</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4.12</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2.74</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6.57</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11.98</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6.96</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+69.26%</w:t>
            </w:r>
          </w:p>
        </w:tc>
      </w:tr>
      <w:tr>
        <w:trPr>
          <w:cantSplit/>
        </w:trPr>
        <w:tc>
          <w:tcPr>
            <w:tcW w:w="1408"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华虹宏力</w:t>
            </w:r>
            <w:r>
              <w:rPr>
                <w:rFonts w:eastAsia="微软雅黑" w:ascii="微软雅黑" w:hAnsi="微软雅黑"/>
                <w:sz w:val="17"/>
              </w:rPr>
              <w:br/>
              <w:t>01347.HK HKD</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94.55</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46.40</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100.89</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156.16</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101.09</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+6.91%</w:t>
            </w:r>
          </w:p>
        </w:tc>
      </w:tr>
      <w:tr>
        <w:trPr>
          <w:cantSplit/>
        </w:trPr>
        <w:tc>
          <w:tcPr>
            <w:tcW w:w="1408"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和黄医药</w:t>
            </w:r>
            <w:r>
              <w:rPr>
                <w:rFonts w:eastAsia="微软雅黑" w:ascii="微软雅黑" w:hAnsi="微软雅黑"/>
                <w:sz w:val="17"/>
              </w:rPr>
              <w:br/>
              <w:t>00013.HK HKD</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21.74</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6.07</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20.85</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41.26</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22.26</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+2.39%</w:t>
            </w:r>
          </w:p>
        </w:tc>
      </w:tr>
      <w:tr>
        <w:trPr>
          <w:cantSplit/>
        </w:trPr>
        <w:tc>
          <w:tcPr>
            <w:tcW w:w="1408"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诺诚健华</w:t>
            </w:r>
            <w:r>
              <w:rPr>
                <w:rFonts w:eastAsia="微软雅黑" w:ascii="微软雅黑" w:hAnsi="微软雅黑"/>
                <w:sz w:val="17"/>
              </w:rPr>
              <w:br/>
              <w:t>09969.HK HKD</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12.73</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4.77</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14.02</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24.41</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14.30</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+12.36%</w:t>
            </w:r>
          </w:p>
        </w:tc>
      </w:tr>
      <w:tr>
        <w:trPr>
          <w:cantSplit/>
        </w:trPr>
        <w:tc>
          <w:tcPr>
            <w:tcW w:w="1408"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信达生物</w:t>
            </w:r>
            <w:r>
              <w:rPr>
                <w:rFonts w:eastAsia="微软雅黑" w:ascii="微软雅黑" w:hAnsi="微软雅黑"/>
                <w:sz w:val="17"/>
              </w:rPr>
              <w:br/>
              <w:t>01801.HK HKD</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92.65</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47.52</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102.30</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166.87</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104.75</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+13.06%</w:t>
            </w:r>
          </w:p>
        </w:tc>
      </w:tr>
      <w:tr>
        <w:trPr>
          <w:cantSplit/>
        </w:trPr>
        <w:tc>
          <w:tcPr>
            <w:tcW w:w="1408"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益方生物</w:t>
            </w:r>
            <w:r>
              <w:rPr>
                <w:rFonts w:eastAsia="微软雅黑" w:ascii="微软雅黑" w:hAnsi="微软雅黑"/>
                <w:sz w:val="17"/>
              </w:rPr>
              <w:br/>
              <w:t>688382.SH CNY</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17.26</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9.49</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13.68</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29.00</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16.46</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-4.62%</w:t>
            </w:r>
          </w:p>
        </w:tc>
      </w:tr>
      <w:tr>
        <w:trPr>
          <w:cantSplit/>
        </w:trPr>
        <w:tc>
          <w:tcPr>
            <w:tcW w:w="1408"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京东健康</w:t>
            </w:r>
            <w:r>
              <w:rPr>
                <w:rFonts w:eastAsia="微软雅黑" w:ascii="微软雅黑" w:hAnsi="微软雅黑"/>
                <w:sz w:val="17"/>
              </w:rPr>
              <w:br/>
              <w:t>06618.HK HKD</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36.08</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17.39</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43.32</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65.38</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42.35</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+17.38%</w:t>
            </w:r>
          </w:p>
        </w:tc>
      </w:tr>
      <w:tr>
        <w:trPr>
          <w:cantSplit/>
        </w:trPr>
        <w:tc>
          <w:tcPr>
            <w:tcW w:w="1408"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京东集团</w:t>
            </w:r>
            <w:r>
              <w:rPr>
                <w:rFonts w:eastAsia="微软雅黑" w:ascii="微软雅黑" w:hAnsi="微软雅黑"/>
                <w:sz w:val="17"/>
              </w:rPr>
              <w:t>-SW</w:t>
              <w:br/>
              <w:t>09618.HK HKD</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105.60</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49.48</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132.01</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260.78</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143.57</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+35.96%</w:t>
            </w:r>
          </w:p>
        </w:tc>
      </w:tr>
      <w:tr>
        <w:trPr>
          <w:cantSplit/>
        </w:trPr>
        <w:tc>
          <w:tcPr>
            <w:tcW w:w="1408"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键凯科技</w:t>
            </w:r>
            <w:r>
              <w:rPr>
                <w:rFonts w:eastAsia="微软雅黑" w:ascii="微软雅黑" w:hAnsi="微软雅黑"/>
                <w:sz w:val="17"/>
              </w:rPr>
              <w:br/>
              <w:t>688356.SH CNY</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107.90</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36.75</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96.00</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147.00</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93.94</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-12.94%</w:t>
            </w:r>
          </w:p>
        </w:tc>
      </w:tr>
      <w:tr>
        <w:trPr>
          <w:cantSplit/>
        </w:trPr>
        <w:tc>
          <w:tcPr>
            <w:tcW w:w="1408"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昭衍新药</w:t>
            </w:r>
            <w:r>
              <w:rPr>
                <w:rFonts w:eastAsia="微软雅黑" w:ascii="微软雅黑" w:hAnsi="微软雅黑"/>
                <w:sz w:val="17"/>
              </w:rPr>
              <w:br/>
              <w:t>06127.HK HKD</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31.32</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11.28</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18.87</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41.89</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22.73</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-27.43%</w:t>
            </w:r>
          </w:p>
        </w:tc>
      </w:tr>
      <w:tr>
        <w:trPr>
          <w:cantSplit/>
        </w:trPr>
        <w:tc>
          <w:tcPr>
            <w:tcW w:w="1408"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君实生物</w:t>
            </w:r>
            <w:r>
              <w:rPr>
                <w:rFonts w:eastAsia="微软雅黑" w:ascii="微软雅黑" w:hAnsi="微软雅黑"/>
                <w:sz w:val="17"/>
              </w:rPr>
              <w:br/>
              <w:t>01877.HK HKD</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17.65</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4.41</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10.76</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28.80</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13.68</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-22.49%</w:t>
            </w:r>
          </w:p>
        </w:tc>
      </w:tr>
      <w:tr>
        <w:trPr>
          <w:cantSplit/>
        </w:trPr>
        <w:tc>
          <w:tcPr>
            <w:tcW w:w="1408"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康诺亚</w:t>
            </w:r>
            <w:r>
              <w:rPr>
                <w:rFonts w:eastAsia="微软雅黑" w:ascii="微软雅黑" w:hAnsi="微软雅黑"/>
                <w:sz w:val="17"/>
              </w:rPr>
              <w:t>-B</w:t>
              <w:br/>
              <w:t>02162.HK HKD</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78.30</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54.08</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75.20</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123.62</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82.02</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+4.75%</w:t>
            </w:r>
          </w:p>
        </w:tc>
      </w:tr>
      <w:tr>
        <w:trPr>
          <w:cantSplit/>
        </w:trPr>
        <w:tc>
          <w:tcPr>
            <w:tcW w:w="1408"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金蝶国际</w:t>
            </w:r>
            <w:r>
              <w:rPr>
                <w:rFonts w:eastAsia="微软雅黑" w:ascii="微软雅黑" w:hAnsi="微软雅黑"/>
                <w:sz w:val="17"/>
              </w:rPr>
              <w:br/>
              <w:t>00268.HK HKD</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7.83</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3.09</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9.21</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14.06</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8.89</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+13.50%</w:t>
            </w:r>
          </w:p>
        </w:tc>
      </w:tr>
      <w:tr>
        <w:trPr>
          <w:cantSplit/>
        </w:trPr>
        <w:tc>
          <w:tcPr>
            <w:tcW w:w="1408"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金山软件</w:t>
            </w:r>
            <w:r>
              <w:rPr>
                <w:rFonts w:eastAsia="微软雅黑" w:ascii="微软雅黑" w:hAnsi="微软雅黑"/>
                <w:sz w:val="17"/>
              </w:rPr>
              <w:br/>
              <w:t>03888.HK HKD</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25.62</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8.69</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26.77</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48.51</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27.68</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+8.06%</w:t>
            </w:r>
          </w:p>
        </w:tc>
      </w:tr>
      <w:tr>
        <w:trPr>
          <w:cantSplit/>
        </w:trPr>
        <w:tc>
          <w:tcPr>
            <w:tcW w:w="1408"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快手</w:t>
            </w:r>
            <w:r>
              <w:rPr>
                <w:rFonts w:eastAsia="微软雅黑" w:ascii="微软雅黑" w:hAnsi="微软雅黑"/>
                <w:sz w:val="17"/>
              </w:rPr>
              <w:t>-W</w:t>
              <w:br/>
              <w:t>01024.HK HKD</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30.10</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15.20</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43.07</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80.02</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45.34</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+50.63%</w:t>
            </w:r>
          </w:p>
        </w:tc>
      </w:tr>
      <w:tr>
        <w:trPr>
          <w:cantSplit/>
        </w:trPr>
        <w:tc>
          <w:tcPr>
            <w:tcW w:w="1408"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联想集团</w:t>
            </w:r>
            <w:r>
              <w:rPr>
                <w:rFonts w:eastAsia="微软雅黑" w:ascii="微软雅黑" w:hAnsi="微软雅黑"/>
                <w:sz w:val="17"/>
              </w:rPr>
              <w:br/>
              <w:t>00992.HK HKD</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32.84</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10.26</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37.49</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66.39</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37.91</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+15.43%</w:t>
            </w:r>
          </w:p>
        </w:tc>
      </w:tr>
      <w:tr>
        <w:trPr>
          <w:cantSplit/>
        </w:trPr>
        <w:tc>
          <w:tcPr>
            <w:tcW w:w="1408"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乐普生物</w:t>
            </w:r>
            <w:r>
              <w:rPr>
                <w:rFonts w:eastAsia="微软雅黑" w:ascii="微软雅黑" w:hAnsi="微软雅黑"/>
                <w:sz w:val="17"/>
              </w:rPr>
              <w:br/>
              <w:t>02157.HK HKD</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3.82</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0.38</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4.62</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14.40</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6.01</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+57.26%</w:t>
            </w:r>
          </w:p>
        </w:tc>
      </w:tr>
      <w:tr>
        <w:trPr>
          <w:cantSplit/>
        </w:trPr>
        <w:tc>
          <w:tcPr>
            <w:tcW w:w="1408"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理想汽车</w:t>
            </w:r>
            <w:r>
              <w:rPr>
                <w:rFonts w:eastAsia="微软雅黑" w:ascii="微软雅黑" w:hAnsi="微软雅黑"/>
                <w:sz w:val="17"/>
              </w:rPr>
              <w:t>-W</w:t>
              <w:br/>
              <w:t>02015.HK HKD</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44.66</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22.15</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52.34</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94.73</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55.39</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+24.03%</w:t>
            </w:r>
          </w:p>
        </w:tc>
      </w:tr>
      <w:tr>
        <w:trPr>
          <w:cantSplit/>
        </w:trPr>
        <w:tc>
          <w:tcPr>
            <w:tcW w:w="1408"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丽珠医药</w:t>
            </w:r>
            <w:r>
              <w:rPr>
                <w:rFonts w:eastAsia="微软雅黑" w:ascii="微软雅黑" w:hAnsi="微软雅黑"/>
                <w:sz w:val="17"/>
              </w:rPr>
              <w:br/>
              <w:t>01513.HK HKD</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22.16</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14.08</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22.52</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31.46</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22.65</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+2.19%</w:t>
            </w:r>
          </w:p>
        </w:tc>
      </w:tr>
      <w:tr>
        <w:trPr>
          <w:cantSplit/>
        </w:trPr>
        <w:tc>
          <w:tcPr>
            <w:tcW w:w="1408"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绿叶制药</w:t>
            </w:r>
            <w:r>
              <w:rPr>
                <w:rFonts w:eastAsia="微软雅黑" w:ascii="微软雅黑" w:hAnsi="微软雅黑"/>
                <w:sz w:val="17"/>
              </w:rPr>
              <w:br/>
              <w:t>02186.HK HKD</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1.73</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0.54</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1.60</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2.53</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1.57</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-9.41%</w:t>
            </w:r>
          </w:p>
        </w:tc>
      </w:tr>
      <w:tr>
        <w:trPr>
          <w:cantSplit/>
        </w:trPr>
        <w:tc>
          <w:tcPr>
            <w:tcW w:w="1408"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迈威生物</w:t>
            </w:r>
            <w:r>
              <w:rPr>
                <w:rFonts w:eastAsia="微软雅黑" w:ascii="微软雅黑" w:hAnsi="微软雅黑"/>
                <w:sz w:val="17"/>
              </w:rPr>
              <w:br/>
              <w:t>688062.SH CNY</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24.78</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13.63</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17.59</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40.16</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22.24</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-10.25%</w:t>
            </w:r>
          </w:p>
        </w:tc>
      </w:tr>
      <w:tr>
        <w:trPr>
          <w:cantSplit/>
        </w:trPr>
        <w:tc>
          <w:tcPr>
            <w:tcW w:w="1408"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美迪西</w:t>
            </w:r>
            <w:r>
              <w:rPr>
                <w:rFonts w:eastAsia="微软雅黑" w:ascii="微软雅黑" w:hAnsi="微软雅黑"/>
                <w:sz w:val="17"/>
              </w:rPr>
              <w:br/>
              <w:t>688202.SH CNY</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104.00</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12.50</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60.00</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120.00</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63.12</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-39.30%</w:t>
            </w:r>
          </w:p>
        </w:tc>
      </w:tr>
      <w:tr>
        <w:trPr>
          <w:cantSplit/>
        </w:trPr>
        <w:tc>
          <w:tcPr>
            <w:tcW w:w="1408"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美团</w:t>
            </w:r>
            <w:r>
              <w:rPr>
                <w:rFonts w:eastAsia="微软雅黑" w:ascii="微软雅黑" w:hAnsi="微软雅黑"/>
                <w:sz w:val="17"/>
              </w:rPr>
              <w:t>-W</w:t>
              <w:br/>
              <w:t>03690.HK HKD</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71.50</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29.72</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99.37</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187.60</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104.02</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+45.48%</w:t>
            </w:r>
          </w:p>
        </w:tc>
      </w:tr>
      <w:tr>
        <w:trPr>
          <w:cantSplit/>
        </w:trPr>
        <w:tc>
          <w:tcPr>
            <w:tcW w:w="1408"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美的集团</w:t>
            </w:r>
            <w:r>
              <w:rPr>
                <w:rFonts w:eastAsia="微软雅黑" w:ascii="微软雅黑" w:hAnsi="微软雅黑"/>
                <w:sz w:val="17"/>
              </w:rPr>
              <w:br/>
              <w:t>00300.HK HKD</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93.65</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56.59</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109.24</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147.28</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105.59</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+12.75%</w:t>
            </w:r>
          </w:p>
        </w:tc>
      </w:tr>
      <w:tr>
        <w:trPr>
          <w:cantSplit/>
        </w:trPr>
        <w:tc>
          <w:tcPr>
            <w:tcW w:w="1408"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迈瑞医疗</w:t>
            </w:r>
            <w:r>
              <w:rPr>
                <w:rFonts w:eastAsia="微软雅黑" w:ascii="微软雅黑" w:hAnsi="微软雅黑"/>
                <w:sz w:val="17"/>
              </w:rPr>
              <w:br/>
              <w:t>300760.SZ CNY</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161.40</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110.50</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171.60</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246.40</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175.03</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+8.44%</w:t>
            </w:r>
          </w:p>
        </w:tc>
      </w:tr>
      <w:tr>
        <w:trPr>
          <w:cantSplit/>
        </w:trPr>
        <w:tc>
          <w:tcPr>
            <w:tcW w:w="1408"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MINIMAX-W</w:t>
              <w:br/>
              <w:t>00100.HK HKD</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213.00</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70.50</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223.89</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459.27</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244.39</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+14.74%</w:t>
            </w:r>
          </w:p>
        </w:tc>
      </w:tr>
      <w:tr>
        <w:trPr>
          <w:cantSplit/>
        </w:trPr>
        <w:tc>
          <w:tcPr>
            <w:tcW w:w="1408"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网易</w:t>
            </w:r>
            <w:r>
              <w:rPr>
                <w:rFonts w:eastAsia="微软雅黑" w:ascii="微软雅黑" w:hAnsi="微软雅黑"/>
                <w:sz w:val="17"/>
              </w:rPr>
              <w:br/>
              <w:t>09999.HK HKD</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193.50</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132.00</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211.20</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297.00</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212.85</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+10.00%</w:t>
            </w:r>
          </w:p>
        </w:tc>
      </w:tr>
      <w:tr>
        <w:trPr>
          <w:cantSplit/>
        </w:trPr>
        <w:tc>
          <w:tcPr>
            <w:tcW w:w="1408"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蔚来</w:t>
            </w:r>
            <w:r>
              <w:rPr>
                <w:rFonts w:eastAsia="微软雅黑" w:ascii="微软雅黑" w:hAnsi="微软雅黑"/>
                <w:sz w:val="17"/>
              </w:rPr>
              <w:t>-SW</w:t>
              <w:br/>
              <w:t>09866.HK HKD</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27.10</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3.81</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29.99</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60.70</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31.12</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+14.84%</w:t>
            </w:r>
          </w:p>
        </w:tc>
      </w:tr>
      <w:tr>
        <w:trPr>
          <w:cantSplit/>
        </w:trPr>
        <w:tc>
          <w:tcPr>
            <w:tcW w:w="1408"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康龙化成</w:t>
            </w:r>
            <w:r>
              <w:rPr>
                <w:rFonts w:eastAsia="微软雅黑" w:ascii="微软雅黑" w:hAnsi="微软雅黑"/>
                <w:sz w:val="17"/>
              </w:rPr>
              <w:br/>
              <w:t>03759.HK HKD</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30.60</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16.40</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38.68</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64.45</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39.55</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+29.25%</w:t>
            </w:r>
          </w:p>
        </w:tc>
      </w:tr>
      <w:tr>
        <w:trPr>
          <w:cantSplit/>
        </w:trPr>
        <w:tc>
          <w:tcPr>
            <w:tcW w:w="1408"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泡泡玛特</w:t>
            </w:r>
            <w:r>
              <w:rPr>
                <w:rFonts w:eastAsia="微软雅黑" w:ascii="微软雅黑" w:hAnsi="微软雅黑"/>
                <w:sz w:val="17"/>
              </w:rPr>
              <w:br/>
              <w:t>09992.HK HKD</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152.30</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71.52</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169.31</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301.43</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177.89</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+16.80%</w:t>
            </w:r>
          </w:p>
        </w:tc>
      </w:tr>
      <w:tr>
        <w:trPr>
          <w:cantSplit/>
        </w:trPr>
        <w:tc>
          <w:tcPr>
            <w:tcW w:w="1408"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博腾股份</w:t>
            </w:r>
            <w:r>
              <w:rPr>
                <w:rFonts w:eastAsia="微软雅黑" w:ascii="微软雅黑" w:hAnsi="微软雅黑"/>
                <w:sz w:val="17"/>
              </w:rPr>
              <w:br/>
              <w:t>300363.SZ CNY</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23.68</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2.70</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15.00</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32.00</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16.18</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-31.69%</w:t>
            </w:r>
          </w:p>
        </w:tc>
      </w:tr>
      <w:tr>
        <w:trPr>
          <w:cantSplit/>
        </w:trPr>
        <w:tc>
          <w:tcPr>
            <w:tcW w:w="1408"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荣昌生物</w:t>
            </w:r>
            <w:r>
              <w:rPr>
                <w:rFonts w:eastAsia="微软雅黑" w:ascii="微软雅黑" w:hAnsi="微软雅黑"/>
                <w:sz w:val="17"/>
              </w:rPr>
              <w:br/>
              <w:t>09995.HK HKD</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70.40</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46.29</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69.33</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122.22</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76.79</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+9.08%</w:t>
            </w:r>
          </w:p>
        </w:tc>
      </w:tr>
      <w:tr>
        <w:trPr>
          <w:cantSplit/>
        </w:trPr>
        <w:tc>
          <w:tcPr>
            <w:tcW w:w="1408"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商汤</w:t>
            </w:r>
            <w:r>
              <w:rPr>
                <w:rFonts w:eastAsia="微软雅黑" w:ascii="微软雅黑" w:hAnsi="微软雅黑"/>
                <w:sz w:val="17"/>
              </w:rPr>
              <w:br/>
              <w:t>00020.HK HKD</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1.20</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0.77</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1.28</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1.57</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1.22</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+2.06%</w:t>
            </w:r>
          </w:p>
        </w:tc>
      </w:tr>
      <w:tr>
        <w:trPr>
          <w:cantSplit/>
        </w:trPr>
        <w:tc>
          <w:tcPr>
            <w:tcW w:w="1408"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上海医药</w:t>
            </w:r>
            <w:r>
              <w:rPr>
                <w:rFonts w:eastAsia="微软雅黑" w:ascii="微软雅黑" w:hAnsi="微软雅黑"/>
                <w:sz w:val="17"/>
              </w:rPr>
              <w:br/>
              <w:t>02607.HK HKD</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11.03</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6.79</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11.41</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15.40</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11.25</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+2.01%</w:t>
            </w:r>
          </w:p>
        </w:tc>
      </w:tr>
      <w:tr>
        <w:trPr>
          <w:cantSplit/>
        </w:trPr>
        <w:tc>
          <w:tcPr>
            <w:tcW w:w="1408"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先声药业</w:t>
            </w:r>
            <w:r>
              <w:rPr>
                <w:rFonts w:eastAsia="微软雅黑" w:ascii="微软雅黑" w:hAnsi="微软雅黑"/>
                <w:sz w:val="17"/>
              </w:rPr>
              <w:br/>
              <w:t>02096.HK HKD</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10.89</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3.41</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13.33</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17.62</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11.92</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+9.49%</w:t>
            </w:r>
          </w:p>
        </w:tc>
      </w:tr>
      <w:tr>
        <w:trPr>
          <w:cantSplit/>
        </w:trPr>
        <w:tc>
          <w:tcPr>
            <w:tcW w:w="1408"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中国生物制药</w:t>
            </w:r>
            <w:r>
              <w:rPr>
                <w:rFonts w:eastAsia="微软雅黑" w:ascii="微软雅黑" w:hAnsi="微软雅黑"/>
                <w:sz w:val="17"/>
              </w:rPr>
              <w:br/>
              <w:t>01177.HK HKD</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5.41</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3.98</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7.61</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12.26</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7.86</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+45.36%</w:t>
            </w:r>
          </w:p>
        </w:tc>
      </w:tr>
      <w:tr>
        <w:trPr>
          <w:cantSplit/>
        </w:trPr>
        <w:tc>
          <w:tcPr>
            <w:tcW w:w="1408"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中芯国际</w:t>
            </w:r>
            <w:r>
              <w:rPr>
                <w:rFonts w:eastAsia="微软雅黑" w:ascii="微软雅黑" w:hAnsi="微软雅黑"/>
                <w:sz w:val="17"/>
              </w:rPr>
              <w:br/>
              <w:t>00981.HK HKD</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57.65</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17.99</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63.23</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120.01</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66.11</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+14.68%</w:t>
            </w:r>
          </w:p>
        </w:tc>
      </w:tr>
      <w:tr>
        <w:trPr>
          <w:cantSplit/>
        </w:trPr>
        <w:tc>
          <w:tcPr>
            <w:tcW w:w="1408"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舜宇光学科技</w:t>
            </w:r>
            <w:r>
              <w:rPr>
                <w:rFonts w:eastAsia="微软雅黑" w:ascii="微软雅黑" w:hAnsi="微软雅黑"/>
                <w:sz w:val="17"/>
              </w:rPr>
              <w:br/>
              <w:t>02382.HK HKD</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60.50</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24.14</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66.11</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115.04</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67.85</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+12.15%</w:t>
            </w:r>
          </w:p>
        </w:tc>
      </w:tr>
      <w:tr>
        <w:trPr>
          <w:cantSplit/>
        </w:trPr>
        <w:tc>
          <w:tcPr>
            <w:tcW w:w="1408"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腾讯控股</w:t>
            </w:r>
            <w:r>
              <w:rPr>
                <w:rFonts w:eastAsia="微软雅黑" w:ascii="微软雅黑" w:hAnsi="微软雅黑"/>
                <w:sz w:val="17"/>
              </w:rPr>
              <w:br/>
              <w:t>00700.HK HKD</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424.80</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316.80</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492.80</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682.00</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496.10</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+16.78%</w:t>
            </w:r>
          </w:p>
        </w:tc>
      </w:tr>
      <w:tr>
        <w:trPr>
          <w:cantSplit/>
        </w:trPr>
        <w:tc>
          <w:tcPr>
            <w:tcW w:w="1408"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泰格医药</w:t>
            </w:r>
            <w:r>
              <w:rPr>
                <w:rFonts w:eastAsia="微软雅黑" w:ascii="微软雅黑" w:hAnsi="微软雅黑"/>
                <w:sz w:val="17"/>
              </w:rPr>
              <w:br/>
              <w:t>03347.HK HKD</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44.56</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17.98</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37.66</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58.46</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37.94</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-14.86%</w:t>
            </w:r>
          </w:p>
        </w:tc>
      </w:tr>
      <w:tr>
        <w:trPr>
          <w:cantSplit/>
        </w:trPr>
        <w:tc>
          <w:tcPr>
            <w:tcW w:w="1408"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同程旅行</w:t>
            </w:r>
            <w:r>
              <w:rPr>
                <w:rFonts w:eastAsia="微软雅黑" w:ascii="微软雅黑" w:hAnsi="微软雅黑"/>
                <w:sz w:val="17"/>
              </w:rPr>
              <w:br/>
              <w:t>00780.HK HKD</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10.04</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4.67</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17.01</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31.44</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17.53</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+74.63%</w:t>
            </w:r>
          </w:p>
        </w:tc>
      </w:tr>
      <w:tr>
        <w:trPr>
          <w:cantSplit/>
        </w:trPr>
        <w:tc>
          <w:tcPr>
            <w:tcW w:w="1408"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携程集团</w:t>
            </w:r>
            <w:r>
              <w:rPr>
                <w:rFonts w:eastAsia="微软雅黑" w:ascii="微软雅黑" w:hAnsi="微软雅黑"/>
                <w:sz w:val="17"/>
              </w:rPr>
              <w:t>-S</w:t>
              <w:br/>
              <w:t>09961.HK HKD</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304.40</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212.45</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431.54</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702.27</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444.45</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+46.01%</w:t>
            </w:r>
          </w:p>
        </w:tc>
      </w:tr>
      <w:tr>
        <w:trPr>
          <w:cantSplit/>
        </w:trPr>
        <w:tc>
          <w:tcPr>
            <w:tcW w:w="1408"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优必选</w:t>
            </w:r>
            <w:r>
              <w:rPr>
                <w:rFonts w:eastAsia="微软雅黑" w:ascii="微软雅黑" w:hAnsi="微软雅黑"/>
                <w:sz w:val="17"/>
              </w:rPr>
              <w:br/>
              <w:t>09880.HK HKD</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71.75</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25.70</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86.86</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203.21</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100.66</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+40.29%</w:t>
            </w:r>
          </w:p>
        </w:tc>
      </w:tr>
      <w:tr>
        <w:trPr>
          <w:cantSplit/>
        </w:trPr>
        <w:tc>
          <w:tcPr>
            <w:tcW w:w="1408"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药明康德</w:t>
            </w:r>
            <w:r>
              <w:rPr>
                <w:rFonts w:eastAsia="微软雅黑" w:ascii="微软雅黑" w:hAnsi="微软雅黑"/>
                <w:sz w:val="17"/>
              </w:rPr>
              <w:br/>
              <w:t>603259.SH CNY</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157.80</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107.20</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180.40</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269.70</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184.43</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+16.87%</w:t>
            </w:r>
          </w:p>
        </w:tc>
      </w:tr>
      <w:tr>
        <w:trPr>
          <w:cantSplit/>
        </w:trPr>
        <w:tc>
          <w:tcPr>
            <w:tcW w:w="1408"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药明康德</w:t>
            </w:r>
            <w:r>
              <w:rPr>
                <w:rFonts w:eastAsia="微软雅黑" w:ascii="微软雅黑" w:hAnsi="微软雅黑"/>
                <w:sz w:val="17"/>
              </w:rPr>
              <w:br/>
              <w:t>02359.HK HKD</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208.00</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125.29</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216.48</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306.90</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216.29</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+3.98%</w:t>
            </w:r>
          </w:p>
        </w:tc>
      </w:tr>
      <w:tr>
        <w:trPr>
          <w:cantSplit/>
        </w:trPr>
        <w:tc>
          <w:tcPr>
            <w:tcW w:w="1408"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药明生物</w:t>
            </w:r>
            <w:r>
              <w:rPr>
                <w:rFonts w:eastAsia="微软雅黑" w:ascii="微软雅黑" w:hAnsi="微软雅黑"/>
                <w:sz w:val="17"/>
              </w:rPr>
              <w:br/>
              <w:t>02269.HK HKD</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53.85</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36.63</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55.66</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72.88</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55.21</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+2.52%</w:t>
            </w:r>
          </w:p>
        </w:tc>
      </w:tr>
      <w:tr>
        <w:trPr>
          <w:cantSplit/>
        </w:trPr>
        <w:tc>
          <w:tcPr>
            <w:tcW w:w="1408"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药明合联</w:t>
            </w:r>
            <w:r>
              <w:rPr>
                <w:rFonts w:eastAsia="微软雅黑" w:ascii="微软雅黑" w:hAnsi="微软雅黑"/>
                <w:sz w:val="17"/>
              </w:rPr>
              <w:br/>
              <w:t>02268.HK HKD</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82.10</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45.38</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82.28</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121.00</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82.73</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+0.77%</w:t>
            </w:r>
          </w:p>
        </w:tc>
      </w:tr>
      <w:tr>
        <w:trPr>
          <w:cantSplit/>
        </w:trPr>
        <w:tc>
          <w:tcPr>
            <w:tcW w:w="1408"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心动公司</w:t>
            </w:r>
            <w:r>
              <w:rPr>
                <w:rFonts w:eastAsia="微软雅黑" w:ascii="微软雅黑" w:hAnsi="微软雅黑"/>
                <w:sz w:val="17"/>
              </w:rPr>
              <w:br/>
              <w:t>02400.HK HKD</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39.40</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18.22</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40.65</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86.62</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46.53</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+18.11%</w:t>
            </w:r>
          </w:p>
        </w:tc>
      </w:tr>
      <w:tr>
        <w:trPr>
          <w:cantSplit/>
        </w:trPr>
        <w:tc>
          <w:tcPr>
            <w:tcW w:w="1408"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小米集团</w:t>
            </w:r>
            <w:r>
              <w:rPr>
                <w:rFonts w:eastAsia="微软雅黑" w:ascii="微软雅黑" w:hAnsi="微软雅黑"/>
                <w:sz w:val="17"/>
              </w:rPr>
              <w:t>-W</w:t>
              <w:br/>
              <w:t>01810.HK HKD</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25.96</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7.21</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27.40</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57.41</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29.85</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+15.00%</w:t>
            </w:r>
          </w:p>
        </w:tc>
      </w:tr>
      <w:tr>
        <w:trPr>
          <w:cantSplit/>
        </w:trPr>
        <w:tc>
          <w:tcPr>
            <w:tcW w:w="1408"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小鹏集团</w:t>
            </w:r>
            <w:r>
              <w:rPr>
                <w:rFonts w:eastAsia="微软雅黑" w:ascii="微软雅黑" w:hAnsi="微软雅黑"/>
                <w:sz w:val="17"/>
              </w:rPr>
              <w:t>-W</w:t>
              <w:br/>
              <w:t>09868.HK HKD</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38.34</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6.46</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41.15</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85.25</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43.50</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+13.47%</w:t>
            </w:r>
          </w:p>
        </w:tc>
      </w:tr>
      <w:tr>
        <w:trPr>
          <w:cantSplit/>
        </w:trPr>
        <w:tc>
          <w:tcPr>
            <w:tcW w:w="1408"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晶泰控股</w:t>
            </w:r>
            <w:r>
              <w:rPr>
                <w:rFonts w:eastAsia="微软雅黑" w:ascii="微软雅黑" w:hAnsi="微软雅黑"/>
                <w:sz w:val="17"/>
              </w:rPr>
              <w:br/>
              <w:t>02228.HK HKD</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6.99</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3.14</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4.74</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6.37</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4.75</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-32.03%</w:t>
            </w:r>
          </w:p>
        </w:tc>
      </w:tr>
      <w:tr>
        <w:trPr>
          <w:cantSplit/>
        </w:trPr>
        <w:tc>
          <w:tcPr>
            <w:tcW w:w="1408"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阅文集团</w:t>
            </w:r>
            <w:r>
              <w:rPr>
                <w:rFonts w:eastAsia="微软雅黑" w:ascii="微软雅黑" w:hAnsi="微软雅黑"/>
                <w:sz w:val="17"/>
              </w:rPr>
              <w:br/>
              <w:t>00772.HK HKD</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20.84</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6.05</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23.58</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47.49</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25.17</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+20.80%</w:t>
            </w:r>
          </w:p>
        </w:tc>
      </w:tr>
      <w:tr>
        <w:trPr>
          <w:cantSplit/>
        </w:trPr>
        <w:tc>
          <w:tcPr>
            <w:tcW w:w="1408"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再鼎医药</w:t>
            </w:r>
            <w:r>
              <w:rPr>
                <w:rFonts w:eastAsia="微软雅黑" w:ascii="微软雅黑" w:hAnsi="微软雅黑"/>
                <w:sz w:val="17"/>
              </w:rPr>
              <w:br/>
              <w:t>09688.HK HKD</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19.25</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5.78</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15.78</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41.04</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19.59</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+1.78%</w:t>
            </w:r>
          </w:p>
        </w:tc>
      </w:tr>
      <w:tr>
        <w:trPr>
          <w:cantSplit/>
        </w:trPr>
        <w:tc>
          <w:tcPr>
            <w:tcW w:w="1408"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智谱</w:t>
            </w:r>
            <w:r>
              <w:rPr>
                <w:rFonts w:eastAsia="微软雅黑" w:ascii="微软雅黑" w:hAnsi="微软雅黑"/>
                <w:sz w:val="17"/>
              </w:rPr>
              <w:br/>
              <w:t>02513.HK HKD</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641.50</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154.78</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762.66</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1,507.38</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796.87</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+24.22%</w:t>
            </w:r>
          </w:p>
        </w:tc>
      </w:tr>
      <w:tr>
        <w:trPr>
          <w:cantSplit/>
        </w:trPr>
        <w:tc>
          <w:tcPr>
            <w:tcW w:w="1408"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众安在线</w:t>
            </w:r>
            <w:r>
              <w:rPr>
                <w:rFonts w:eastAsia="微软雅黑" w:ascii="微软雅黑" w:hAnsi="微软雅黑"/>
                <w:sz w:val="17"/>
              </w:rPr>
              <w:br/>
              <w:t>06060.HK HKD</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9.52</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6.84</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12.21</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17.81</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12.27</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+28.86%</w:t>
            </w:r>
          </w:p>
        </w:tc>
      </w:tr>
    </w:tbl>
    <w:p>
      <w:pPr>
        <w:pStyle w:val="Normal"/>
        <w:rPr/>
      </w:pPr>
      <w:r>
        <w:rPr/>
      </w:r>
    </w:p>
    <w:p>
      <w:pPr>
        <w:pStyle w:val="Normal"/>
        <w:rPr/>
      </w:pPr>
      <w:r>
        <w:rPr/>
        <w:t>默认悲观</w:t>
      </w:r>
      <w:r>
        <w:rPr/>
        <w:t>/</w:t>
      </w:r>
      <w:r>
        <w:rPr/>
        <w:t>基准</w:t>
      </w:r>
      <w:r>
        <w:rPr/>
        <w:t>/</w:t>
      </w:r>
      <w:r>
        <w:rPr/>
        <w:t>乐观权重</w:t>
      </w:r>
      <w:r>
        <w:rPr/>
        <w:t>25%/50%/25%</w:t>
      </w:r>
      <w:r>
        <w:rPr/>
        <w:t>，另看</w:t>
      </w:r>
      <w:r>
        <w:rPr/>
        <w:t>40%/50%/10%</w:t>
      </w:r>
      <w:r>
        <w:rPr/>
        <w:t>与</w:t>
      </w:r>
      <w:r>
        <w:rPr/>
        <w:t>10%/50%/40%</w:t>
      </w:r>
      <w:r>
        <w:rPr/>
        <w:t>。</w:t>
      </w:r>
      <w:r>
        <w:rPr/>
        <w:t>12</w:t>
      </w:r>
      <w:r>
        <w:rPr/>
        <w:t>个月机构目标价只是估值参照，年底按截止信息集重新建模，没有按剩余月份线性缩放。</w:t>
      </w:r>
    </w:p>
    <w:p>
      <w:pPr>
        <w:pStyle w:val="Heading2"/>
        <w:rPr/>
      </w:pPr>
      <w:bookmarkStart w:id="7" w:name="__RefHeading___Toc4853_1919545624"/>
      <w:bookmarkEnd w:id="7"/>
      <w:r>
        <w:rPr>
          <w:color w:val="000000"/>
        </w:rPr>
        <w:t>暂不排名公司的研究状态</w:t>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证券</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参考报价</w:t>
            </w:r>
            <w:r>
              <w:rPr>
                <w:rFonts w:eastAsia="微软雅黑" w:ascii="微软雅黑" w:hAnsi="微软雅黑"/>
                <w:b/>
                <w:color w:val="FFFFFF"/>
                <w:sz w:val="17"/>
              </w:rPr>
              <w:t>/</w:t>
            </w:r>
            <w:r>
              <w:rPr>
                <w:rFonts w:ascii="微软雅黑" w:hAnsi="微软雅黑" w:eastAsia="微软雅黑"/>
                <w:b/>
                <w:color w:val="FFFFFF"/>
                <w:sz w:val="17"/>
              </w:rPr>
              <w:t>币种</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参考日期</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暂不排名原因</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英矽智能</w:t>
            </w:r>
            <w:r>
              <w:rPr>
                <w:rFonts w:eastAsia="微软雅黑" w:ascii="微软雅黑" w:hAnsi="微软雅黑"/>
                <w:sz w:val="17"/>
              </w:rPr>
              <w:br/>
              <w:t>03696.HK</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49.00 HKD</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2026-10-09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完整未融资研发计划</w:t>
            </w:r>
            <w:r>
              <w:rPr>
                <w:rFonts w:eastAsia="微软雅黑" w:ascii="微软雅黑" w:hAnsi="微软雅黑"/>
                <w:sz w:val="17"/>
              </w:rPr>
              <w:t>2030</w:t>
            </w:r>
            <w:r>
              <w:rPr>
                <w:rFonts w:ascii="微软雅黑" w:hAnsi="微软雅黑" w:eastAsia="微软雅黑"/>
                <w:sz w:val="17"/>
              </w:rPr>
              <w:t>起资金缺口；未来融资价格、项目退出成本与净权益代价未能自洽核定，压力输出不是</w:t>
            </w:r>
            <w:r>
              <w:rPr>
                <w:rFonts w:eastAsia="微软雅黑" w:ascii="微软雅黑" w:hAnsi="微软雅黑"/>
                <w:sz w:val="17"/>
              </w:rPr>
              <w:t>2027</w:t>
            </w:r>
            <w:r>
              <w:rPr>
                <w:rFonts w:ascii="微软雅黑" w:hAnsi="微软雅黑" w:eastAsia="微软雅黑"/>
                <w:sz w:val="17"/>
              </w:rPr>
              <w:t>资产清算或正式目标价。</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开拓药业</w:t>
            </w:r>
            <w:r>
              <w:rPr>
                <w:rFonts w:eastAsia="微软雅黑" w:ascii="微软雅黑" w:hAnsi="微软雅黑"/>
                <w:sz w:val="17"/>
              </w:rPr>
              <w:t>-B</w:t>
              <w:br/>
              <w:t>09939.HK</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1.64 HKD</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2026-10-09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2025</w:t>
            </w:r>
            <w:r>
              <w:rPr>
                <w:rFonts w:ascii="微软雅黑" w:hAnsi="微软雅黑" w:eastAsia="微软雅黑"/>
                <w:sz w:val="17"/>
              </w:rPr>
              <w:t>年度审计无法表示意见；</w:t>
            </w:r>
            <w:r>
              <w:rPr>
                <w:rFonts w:eastAsia="微软雅黑" w:ascii="微软雅黑" w:hAnsi="微软雅黑"/>
                <w:sz w:val="17"/>
              </w:rPr>
              <w:t>2026</w:t>
            </w:r>
            <w:r>
              <w:rPr>
                <w:rFonts w:ascii="微软雅黑" w:hAnsi="微软雅黑" w:eastAsia="微软雅黑"/>
                <w:sz w:val="17"/>
              </w:rPr>
              <w:t>中报明确持续经营重大不确定性未消，融资、欠款与临床</w:t>
            </w:r>
            <w:r>
              <w:rPr>
                <w:rFonts w:eastAsia="微软雅黑" w:ascii="微软雅黑" w:hAnsi="微软雅黑"/>
                <w:sz w:val="17"/>
              </w:rPr>
              <w:t>/</w:t>
            </w:r>
            <w:r>
              <w:rPr>
                <w:rFonts w:ascii="微软雅黑" w:hAnsi="微软雅黑" w:eastAsia="微软雅黑"/>
                <w:sz w:val="17"/>
              </w:rPr>
              <w:t>商业化成败互相影响，无法形成与正常公司可比的正式推荐分或期望价</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微创医疗</w:t>
            </w:r>
            <w:r>
              <w:rPr>
                <w:rFonts w:eastAsia="微软雅黑" w:ascii="微软雅黑" w:hAnsi="微软雅黑"/>
                <w:sz w:val="17"/>
              </w:rPr>
              <w:br/>
              <w:t>00853.HK</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6.08 HKD</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2026-08-31</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9</w:t>
            </w:r>
            <w:r>
              <w:rPr>
                <w:rFonts w:ascii="微软雅黑" w:hAnsi="微软雅黑" w:eastAsia="微软雅黑"/>
                <w:sz w:val="17"/>
              </w:rPr>
              <w:t>月</w:t>
            </w:r>
            <w:r>
              <w:rPr>
                <w:rFonts w:eastAsia="微软雅黑" w:ascii="微软雅黑" w:hAnsi="微软雅黑"/>
                <w:sz w:val="17"/>
              </w:rPr>
              <w:t>1</w:t>
            </w:r>
            <w:r>
              <w:rPr>
                <w:rFonts w:ascii="微软雅黑" w:hAnsi="微软雅黑" w:eastAsia="微软雅黑"/>
                <w:sz w:val="17"/>
              </w:rPr>
              <w:t>日起股票及</w:t>
            </w:r>
            <w:r>
              <w:rPr>
                <w:rFonts w:eastAsia="微软雅黑" w:ascii="微软雅黑" w:hAnsi="微软雅黑"/>
                <w:sz w:val="17"/>
              </w:rPr>
              <w:t>40168</w:t>
            </w:r>
            <w:r>
              <w:rPr>
                <w:rFonts w:ascii="微软雅黑" w:hAnsi="微软雅黑" w:eastAsia="微软雅黑"/>
                <w:sz w:val="17"/>
              </w:rPr>
              <w:t>债券停牌；核心中报、租赁核查、债务持续经营未解，</w:t>
            </w:r>
            <w:r>
              <w:rPr>
                <w:rFonts w:eastAsia="微软雅黑" w:ascii="微软雅黑" w:hAnsi="微软雅黑"/>
                <w:sz w:val="17"/>
              </w:rPr>
              <w:t>8</w:t>
            </w:r>
            <w:r>
              <w:rPr>
                <w:rFonts w:ascii="微软雅黑" w:hAnsi="微软雅黑" w:eastAsia="微软雅黑"/>
                <w:sz w:val="17"/>
              </w:rPr>
              <w:t>月</w:t>
            </w:r>
            <w:r>
              <w:rPr>
                <w:rFonts w:eastAsia="微软雅黑" w:ascii="微软雅黑" w:hAnsi="微软雅黑"/>
                <w:sz w:val="17"/>
              </w:rPr>
              <w:t>31</w:t>
            </w:r>
            <w:r>
              <w:rPr>
                <w:rFonts w:ascii="微软雅黑" w:hAnsi="微软雅黑" w:eastAsia="微软雅黑"/>
                <w:sz w:val="17"/>
              </w:rPr>
              <w:t>旧价非</w:t>
            </w:r>
            <w:r>
              <w:rPr>
                <w:rFonts w:eastAsia="微软雅黑" w:ascii="微软雅黑" w:hAnsi="微软雅黑"/>
                <w:sz w:val="17"/>
              </w:rPr>
              <w:t>10</w:t>
            </w:r>
            <w:r>
              <w:rPr>
                <w:rFonts w:ascii="微软雅黑" w:hAnsi="微软雅黑" w:eastAsia="微软雅黑"/>
                <w:sz w:val="17"/>
              </w:rPr>
              <w:t>月</w:t>
            </w:r>
            <w:r>
              <w:rPr>
                <w:rFonts w:eastAsia="微软雅黑" w:ascii="微软雅黑" w:hAnsi="微软雅黑"/>
                <w:sz w:val="17"/>
              </w:rPr>
              <w:t>9</w:t>
            </w:r>
            <w:r>
              <w:rPr>
                <w:rFonts w:ascii="微软雅黑" w:hAnsi="微软雅黑" w:eastAsia="微软雅黑"/>
                <w:sz w:val="17"/>
              </w:rPr>
              <w:t>可交易现价。条件模型不排名不列正式收益</w:t>
            </w:r>
            <w:r>
              <w:rPr>
                <w:rFonts w:eastAsia="微软雅黑" w:ascii="微软雅黑" w:hAnsi="微软雅黑"/>
                <w:sz w:val="17"/>
              </w:rPr>
              <w:t>/</w:t>
            </w:r>
            <w:r>
              <w:rPr>
                <w:rFonts w:ascii="微软雅黑" w:hAnsi="微软雅黑" w:eastAsia="微软雅黑"/>
                <w:sz w:val="17"/>
              </w:rPr>
              <w:t>期望。</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微创脑科学</w:t>
            </w:r>
            <w:r>
              <w:rPr>
                <w:rFonts w:eastAsia="微软雅黑" w:ascii="微软雅黑" w:hAnsi="微软雅黑"/>
                <w:sz w:val="17"/>
              </w:rPr>
              <w:br/>
              <w:t>02172.HK</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8.05 HKD</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2026-08-31</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2026-09-01</w:t>
            </w:r>
            <w:r>
              <w:rPr>
                <w:rFonts w:ascii="微软雅黑" w:hAnsi="微软雅黑" w:eastAsia="微软雅黑"/>
                <w:sz w:val="17"/>
              </w:rPr>
              <w:t>起停牌；</w:t>
            </w:r>
            <w:r>
              <w:rPr>
                <w:rFonts w:eastAsia="微软雅黑" w:ascii="微软雅黑" w:hAnsi="微软雅黑"/>
                <w:sz w:val="17"/>
              </w:rPr>
              <w:t>10</w:t>
            </w:r>
            <w:r>
              <w:rPr>
                <w:rFonts w:ascii="微软雅黑" w:hAnsi="微软雅黑" w:eastAsia="微软雅黑"/>
                <w:sz w:val="17"/>
              </w:rPr>
              <w:t>月</w:t>
            </w:r>
            <w:r>
              <w:rPr>
                <w:rFonts w:eastAsia="微软雅黑" w:ascii="微软雅黑" w:hAnsi="微软雅黑"/>
                <w:sz w:val="17"/>
              </w:rPr>
              <w:t>9</w:t>
            </w:r>
            <w:r>
              <w:rPr>
                <w:rFonts w:ascii="微软雅黑" w:hAnsi="微软雅黑" w:eastAsia="微软雅黑"/>
                <w:sz w:val="17"/>
              </w:rPr>
              <w:t>日无有效可交易收盘价，</w:t>
            </w:r>
            <w:r>
              <w:rPr>
                <w:rFonts w:eastAsia="微软雅黑" w:ascii="微软雅黑" w:hAnsi="微软雅黑"/>
                <w:sz w:val="17"/>
              </w:rPr>
              <w:t>2026</w:t>
            </w:r>
            <w:r>
              <w:rPr>
                <w:rFonts w:ascii="微软雅黑" w:hAnsi="微软雅黑" w:eastAsia="微软雅黑"/>
                <w:sz w:val="17"/>
              </w:rPr>
              <w:t>中报因关联租赁审查延迟，核心当前利润</w:t>
            </w:r>
            <w:r>
              <w:rPr>
                <w:rFonts w:eastAsia="微软雅黑" w:ascii="微软雅黑" w:hAnsi="微软雅黑"/>
                <w:sz w:val="17"/>
              </w:rPr>
              <w:t>/</w:t>
            </w:r>
            <w:r>
              <w:rPr>
                <w:rFonts w:ascii="微软雅黑" w:hAnsi="微软雅黑" w:eastAsia="微软雅黑"/>
                <w:sz w:val="17"/>
              </w:rPr>
              <w:t>现金未可核。保留条件经营估值参考，不列四榜、不算正式目标回报或年底期望。</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微创机器人</w:t>
            </w:r>
            <w:r>
              <w:rPr>
                <w:rFonts w:eastAsia="微软雅黑" w:ascii="微软雅黑" w:hAnsi="微软雅黑"/>
                <w:sz w:val="17"/>
              </w:rPr>
              <w:br/>
              <w:t>02252.HK</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21.18 HKD</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2026-08-31</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9</w:t>
            </w:r>
            <w:r>
              <w:rPr>
                <w:rFonts w:ascii="微软雅黑" w:hAnsi="微软雅黑" w:eastAsia="微软雅黑"/>
                <w:sz w:val="17"/>
              </w:rPr>
              <w:t>月</w:t>
            </w:r>
            <w:r>
              <w:rPr>
                <w:rFonts w:eastAsia="微软雅黑" w:ascii="微软雅黑" w:hAnsi="微软雅黑"/>
                <w:sz w:val="17"/>
              </w:rPr>
              <w:t>1</w:t>
            </w:r>
            <w:r>
              <w:rPr>
                <w:rFonts w:ascii="微软雅黑" w:hAnsi="微软雅黑" w:eastAsia="微软雅黑"/>
                <w:sz w:val="17"/>
              </w:rPr>
              <w:t>日起停牌；</w:t>
            </w:r>
            <w:r>
              <w:rPr>
                <w:rFonts w:eastAsia="微软雅黑" w:ascii="微软雅黑" w:hAnsi="微软雅黑"/>
                <w:sz w:val="17"/>
              </w:rPr>
              <w:t>10</w:t>
            </w:r>
            <w:r>
              <w:rPr>
                <w:rFonts w:ascii="微软雅黑" w:hAnsi="微软雅黑" w:eastAsia="微软雅黑"/>
                <w:sz w:val="17"/>
              </w:rPr>
              <w:t>月</w:t>
            </w:r>
            <w:r>
              <w:rPr>
                <w:rFonts w:eastAsia="微软雅黑" w:ascii="微软雅黑" w:hAnsi="微软雅黑"/>
                <w:sz w:val="17"/>
              </w:rPr>
              <w:t>9</w:t>
            </w:r>
            <w:r>
              <w:rPr>
                <w:rFonts w:ascii="微软雅黑" w:hAnsi="微软雅黑" w:eastAsia="微软雅黑"/>
                <w:sz w:val="17"/>
              </w:rPr>
              <w:t>日没有有效可交易收盘，</w:t>
            </w:r>
            <w:r>
              <w:rPr>
                <w:rFonts w:eastAsia="微软雅黑" w:ascii="微软雅黑" w:hAnsi="微软雅黑"/>
                <w:sz w:val="17"/>
              </w:rPr>
              <w:t>2026</w:t>
            </w:r>
            <w:r>
              <w:rPr>
                <w:rFonts w:ascii="微软雅黑" w:hAnsi="微软雅黑" w:eastAsia="微软雅黑"/>
                <w:sz w:val="17"/>
              </w:rPr>
              <w:t>中报租赁关系核实延迟，预告非正式财报。保留条件经营估值，不排名、不算正式涨跌幅</w:t>
            </w:r>
            <w:r>
              <w:rPr>
                <w:rFonts w:eastAsia="微软雅黑" w:ascii="微软雅黑" w:hAnsi="微软雅黑"/>
                <w:sz w:val="17"/>
              </w:rPr>
              <w:t>/</w:t>
            </w:r>
            <w:r>
              <w:rPr>
                <w:rFonts w:ascii="微软雅黑" w:hAnsi="微软雅黑" w:eastAsia="微软雅黑"/>
                <w:sz w:val="17"/>
              </w:rPr>
              <w:t>年底期望。</w:t>
            </w:r>
          </w:p>
        </w:tc>
      </w:tr>
    </w:tbl>
    <w:p>
      <w:pPr>
        <w:pStyle w:val="Normal"/>
        <w:rPr/>
      </w:pPr>
      <w:r>
        <w:rPr/>
      </w:r>
    </w:p>
    <w:p>
      <w:pPr>
        <w:pStyle w:val="Normal"/>
        <w:rPr/>
      </w:pPr>
      <w:r>
        <w:rPr/>
        <w:t>上述公司有独立深研，条件估值详见深研和</w:t>
      </w:r>
      <w:r>
        <w:rPr/>
        <w:t>Excel</w:t>
      </w:r>
      <w:r>
        <w:rPr/>
        <w:t>专表；条件价格不与正常公司年底情景、正式回报或期望价混列。</w:t>
      </w:r>
    </w:p>
    <w:p>
      <w:pPr>
        <w:pStyle w:val="Normal"/>
        <w:rPr/>
      </w:pPr>
      <w:r>
        <w:rPr/>
        <w:t>英矽智能暂不排名。其专表是未融资完整计划的现金压力参考；完整研发计划与现有资金不能在基准融资价格和项目退出假设下合理自洽。远期资金缺口触发的</w:t>
      </w:r>
      <w:r>
        <w:rPr/>
        <w:t>0</w:t>
      </w:r>
      <w:r>
        <w:rPr/>
        <w:t>值不是近期期望价、正式公允价或清算价，不纳入年底判断加权期望。完整独立研究保留经营、临床、技术和融资反证。</w:t>
      </w:r>
    </w:p>
    <w:p>
      <w:pPr>
        <w:pStyle w:val="Heading1"/>
        <w:rPr/>
      </w:pPr>
      <w:bookmarkStart w:id="8" w:name="__RefHeading___Toc4855_1919545624"/>
      <w:bookmarkEnd w:id="8"/>
      <w:r>
        <w:rPr>
          <w:color w:val="000000"/>
        </w:rPr>
        <w:t>评分与估值口径</w:t>
      </w:r>
    </w:p>
    <w:p>
      <w:pPr>
        <w:pStyle w:val="Normal"/>
        <w:rPr/>
      </w:pPr>
      <w:r>
        <w:rPr/>
        <w:t>港股一年名义目标为</w:t>
      </w:r>
      <w:r>
        <w:rPr/>
        <w:t>2027</w:t>
      </w:r>
      <w:r>
        <w:rPr/>
        <w:t>年</w:t>
      </w:r>
      <w:r>
        <w:rPr/>
        <w:t>10</w:t>
      </w:r>
      <w:r>
        <w:rPr/>
        <w:t>月</w:t>
      </w:r>
      <w:r>
        <w:rPr/>
        <w:t>9</w:t>
      </w:r>
      <w:r>
        <w:rPr/>
        <w:t>日；</w:t>
      </w:r>
      <w:r>
        <w:rPr/>
        <w:t>10</w:t>
      </w:r>
      <w:r>
        <w:rPr/>
        <w:t>月</w:t>
      </w:r>
      <w:r>
        <w:rPr/>
        <w:t>8</w:t>
      </w:r>
      <w:r>
        <w:rPr/>
        <w:t>日为重阳节假期，且</w:t>
      </w:r>
      <w:r>
        <w:rPr/>
        <w:t>9</w:t>
      </w:r>
      <w:r>
        <w:rPr/>
        <w:t>日为周六，实际采用</w:t>
      </w:r>
      <w:r>
        <w:rPr/>
        <w:t>2027</w:t>
      </w:r>
      <w:r>
        <w:rPr/>
        <w:t>年</w:t>
      </w:r>
      <w:r>
        <w:rPr/>
        <w:t>10</w:t>
      </w:r>
      <w:r>
        <w:rPr/>
        <w:t>月</w:t>
      </w:r>
      <w:r>
        <w:rPr/>
        <w:t>7</w:t>
      </w:r>
      <w:r>
        <w:rPr/>
        <w:t>日。</w:t>
      </w:r>
      <w:r>
        <w:rPr/>
        <w:t>2026</w:t>
      </w:r>
      <w:r>
        <w:rPr/>
        <w:t>年</w:t>
      </w:r>
      <w:r>
        <w:rPr/>
        <w:t>12</w:t>
      </w:r>
      <w:r>
        <w:rPr/>
        <w:t>月</w:t>
      </w:r>
      <w:r>
        <w:rPr/>
        <w:t>31</w:t>
      </w:r>
      <w:r>
        <w:rPr/>
        <w:t>日为半日市，仍属有效交易日。香港政府</w:t>
      </w:r>
      <w:r>
        <w:rPr/>
        <w:t>2026</w:t>
      </w:r>
      <w:r>
        <w:rPr/>
        <w:t>及</w:t>
      </w:r>
      <w:r>
        <w:rPr/>
        <w:t>2027</w:t>
      </w:r>
      <w:r>
        <w:rPr/>
        <w:t>公布假期配合</w:t>
      </w:r>
      <w:r>
        <w:rPr/>
        <w:t>HKEX</w:t>
      </w:r>
      <w:r>
        <w:rPr/>
        <w:t>证券交易规则核验；</w:t>
      </w:r>
      <w:r>
        <w:rPr/>
        <w:t>2029</w:t>
      </w:r>
      <w:r>
        <w:rPr/>
        <w:t>和</w:t>
      </w:r>
      <w:r>
        <w:rPr/>
        <w:t>2031</w:t>
      </w:r>
      <w:r>
        <w:rPr/>
        <w:t>港股及内地远期日历未完成核验，保留名义日期而不填造实际日期。有限现金流模型已按已核验实际日重新折现，独立经营情景输入不按两日差异机械插值。</w:t>
      </w:r>
    </w:p>
    <w:p>
      <w:pPr>
        <w:pStyle w:val="Normal"/>
        <w:rPr/>
      </w:pPr>
      <w:r>
        <w:rPr/>
        <w:t>日历主源：</w:t>
      </w:r>
      <w:r>
        <w:rPr/>
        <w:t>https://www.gov.hk/en/about/abouthk/holiday/2027.htm</w:t>
      </w:r>
      <w:r>
        <w:rPr/>
        <w:t>；</w:t>
      </w:r>
      <w:r>
        <w:rPr/>
        <w:t>https://www.hkex.com.hk/Services/Trading-hours-and-Severe-Weather-Arrangements/Trading-Hours/Securities-Market?sc_lang=en</w:t>
      </w:r>
      <w:r>
        <w:rPr/>
        <w:t>。公布月份分别为</w:t>
      </w:r>
      <w:r>
        <w:rPr/>
        <w:t>2026</w:t>
      </w:r>
      <w:r>
        <w:rPr/>
        <w:t>年</w:t>
      </w:r>
      <w:r>
        <w:rPr/>
        <w:t>5</w:t>
      </w:r>
      <w:r>
        <w:rPr/>
        <w:t>月与规则更新</w:t>
      </w:r>
      <w:r>
        <w:rPr/>
        <w:t>2017</w:t>
      </w:r>
      <w:r>
        <w:rPr/>
        <w:t>年</w:t>
      </w:r>
      <w:r>
        <w:rPr/>
        <w:t>9</w:t>
      </w:r>
      <w:r>
        <w:rPr/>
        <w:t>月</w:t>
      </w:r>
      <w:r>
        <w:rPr/>
        <w:t>16</w:t>
      </w:r>
      <w:r>
        <w:rPr/>
        <w:t>日。</w:t>
      </w:r>
    </w:p>
    <w:tbl>
      <w:tblPr>
        <w:tblW w:w="9860"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972"/>
        <w:gridCol w:w="1972"/>
        <w:gridCol w:w="1972"/>
        <w:gridCol w:w="1972"/>
        <w:gridCol w:w="1972"/>
      </w:tblGrid>
      <w:tr>
        <w:trPr>
          <w:tblHeader w:val="true"/>
          <w:cantSplit/>
        </w:trPr>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维度</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半年</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一年</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三年</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五年</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估值与预期收益</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量价与相对强弱</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30%</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15%</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经营与商业质量</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15%</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35%</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40%</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周期与需求</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10%</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15%</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催化剂</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10%</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10%</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财务治理下行风险</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10%</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10%</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10%</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15%</w:t>
            </w:r>
          </w:p>
        </w:tc>
      </w:tr>
    </w:tbl>
    <w:p>
      <w:pPr>
        <w:pStyle w:val="Normal"/>
        <w:rPr/>
      </w:pPr>
      <w:r>
        <w:rPr/>
      </w:r>
    </w:p>
    <w:p>
      <w:pPr>
        <w:pStyle w:val="Normal"/>
        <w:rPr/>
      </w:pPr>
      <w:r>
        <w:rPr/>
        <w:t>维度以</w:t>
      </w:r>
      <w:r>
        <w:rPr/>
        <w:t>0</w:t>
      </w:r>
      <w:r>
        <w:rPr/>
        <w:t>至</w:t>
      </w:r>
      <w:r>
        <w:rPr/>
        <w:t>5</w:t>
      </w:r>
      <w:r>
        <w:rPr/>
        <w:t>分按统一证据标尺判断：</w:t>
      </w:r>
      <w:r>
        <w:rPr/>
        <w:t>0</w:t>
      </w:r>
      <w:r>
        <w:rPr/>
        <w:t>为不可支持或极弱，</w:t>
      </w:r>
      <w:r>
        <w:rPr/>
        <w:t>1</w:t>
      </w:r>
      <w:r>
        <w:rPr/>
        <w:t>为明显不利，</w:t>
      </w:r>
      <w:r>
        <w:rPr/>
        <w:t>2</w:t>
      </w:r>
      <w:r>
        <w:rPr/>
        <w:t>为偏弱或关键证据不足，</w:t>
      </w:r>
      <w:r>
        <w:rPr/>
        <w:t>3</w:t>
      </w:r>
      <w:r>
        <w:rPr/>
        <w:t>为利弊较均衡，</w:t>
      </w:r>
      <w:r>
        <w:rPr/>
        <w:t>4</w:t>
      </w:r>
      <w:r>
        <w:rPr/>
        <w:t>为有多项可验证优势，</w:t>
      </w:r>
      <w:r>
        <w:rPr/>
        <w:t>5</w:t>
      </w:r>
      <w:r>
        <w:rPr/>
        <w:t>为优势突出且主要反证受控。加权得分不等于获利概率。每个期限分别评估，差距不足</w:t>
      </w:r>
      <w:r>
        <w:rPr/>
        <w:t>3</w:t>
      </w:r>
      <w:r>
        <w:rPr/>
        <w:t>分视为同梯队。</w:t>
      </w:r>
    </w:p>
    <w:p>
      <w:pPr>
        <w:pStyle w:val="Normal"/>
        <w:rPr/>
      </w:pPr>
      <w:r>
        <w:rPr/>
        <w:t>成熟盈利公司用目标时点正常盈利及合理</w:t>
      </w:r>
      <w:r>
        <w:rPr/>
        <w:t>PE</w:t>
      </w:r>
      <w:r>
        <w:rPr/>
        <w:t>，现金流和资本配置交叉验证。亏损创新药区分商业化现金流、分适应症风险调整净现值和稀释，亏损科技保留收入毛利、完整投入和现金跑道；保险公司按承保、投资收益、净资产及</w:t>
      </w:r>
      <w:r>
        <w:rPr/>
        <w:t>PB</w:t>
      </w:r>
      <w:r>
        <w:rPr/>
        <w:t>交叉核验。</w:t>
      </w:r>
      <w:r>
        <w:rPr/>
        <w:t>A/H</w:t>
      </w:r>
      <w:r>
        <w:rPr/>
        <w:t>股共享发行人模型并独立计算证券估值和量价，无法合理评估时保留条件研究。</w:t>
      </w:r>
    </w:p>
    <w:p>
      <w:pPr>
        <w:pStyle w:val="Heading1"/>
        <w:rPr/>
      </w:pPr>
      <w:bookmarkStart w:id="9" w:name="__RefHeading___Toc4857_1919545624"/>
      <w:bookmarkEnd w:id="9"/>
      <w:r>
        <w:rPr>
          <w:color w:val="000000"/>
        </w:rPr>
        <w:t>行情与量价方法</w:t>
      </w:r>
    </w:p>
    <w:p>
      <w:pPr>
        <w:pStyle w:val="Normal"/>
        <w:rPr/>
      </w:pPr>
      <w:r>
        <w:rPr/>
        <w:t xml:space="preserve">锁版版本 </w:t>
      </w:r>
      <w:r>
        <w:rPr/>
        <w:t>market-v1.6</w:t>
      </w:r>
      <w:r>
        <w:rPr/>
        <w:t xml:space="preserve">。研究锚为 </w:t>
      </w:r>
      <w:r>
        <w:rPr/>
        <w:t xml:space="preserve">2026-10-09 </w:t>
      </w:r>
      <w:r>
        <w:rPr/>
        <w:t xml:space="preserve">完整交易日。本币报价保留未复权收盘；历史区间为 </w:t>
      </w:r>
      <w:r>
        <w:rPr/>
        <w:t xml:space="preserve">2023-10-09 </w:t>
      </w:r>
      <w:r>
        <w:rPr/>
        <w:t>至基准日。</w:t>
      </w:r>
      <w:r>
        <w:rPr/>
        <w:t>96</w:t>
      </w:r>
      <w:r>
        <w:rPr/>
        <w:t>个股票证券均保留实际可取得历史，其中</w:t>
      </w:r>
      <w:r>
        <w:rPr/>
        <w:t>93</w:t>
      </w:r>
      <w:r>
        <w:rPr/>
        <w:t xml:space="preserve">个取得基准日有效价格锚，停牌证券仅保留最后交易参考价。采集工具为 </w:t>
      </w:r>
      <w:r>
        <w:rPr/>
        <w:t>tools/market_data.mjs</w:t>
      </w:r>
      <w:r>
        <w:rPr/>
        <w:t xml:space="preserve">，可用于报告的锁版为 </w:t>
      </w:r>
      <w:r>
        <w:rPr/>
        <w:t>data/market_snapshot_locked.json</w:t>
      </w:r>
      <w:r>
        <w:rPr/>
        <w:t>。每只证券的源响应、日线、周线及公司行动保留。重新抓取只按真实交易日期更新，不得用供应商自动刷新</w:t>
      </w:r>
      <w:r>
        <w:rPr/>
        <w:t>timestamp</w:t>
      </w:r>
      <w:r>
        <w:rPr/>
        <w:t>误认最后交易日。</w:t>
      </w:r>
    </w:p>
    <w:p>
      <w:pPr>
        <w:pStyle w:val="Heading2"/>
        <w:rPr/>
      </w:pPr>
      <w:bookmarkStart w:id="10" w:name="__RefHeading___Toc4859_1919545624"/>
      <w:bookmarkEnd w:id="10"/>
      <w:r>
        <w:rPr>
          <w:color w:val="000000"/>
        </w:rPr>
        <w:t>来源及交叉校验</w:t>
      </w:r>
    </w:p>
    <w:p>
      <w:pPr>
        <w:pStyle w:val="Normal"/>
        <w:rPr/>
      </w:pPr>
      <w:r>
        <w:rPr/>
        <w:t xml:space="preserve">Yahoo Finance chart </w:t>
      </w:r>
      <w:r>
        <w:rPr/>
        <w:t>的日线、</w:t>
      </w:r>
      <w:r>
        <w:rPr/>
        <w:t>adjclose</w:t>
      </w:r>
      <w:r>
        <w:rPr/>
        <w:t>、成交量和分红</w:t>
      </w:r>
      <w:r>
        <w:rPr/>
        <w:t>/</w:t>
      </w:r>
      <w:r>
        <w:rPr/>
        <w:t xml:space="preserve">拆股事件为优先计算输入，腾讯 </w:t>
      </w:r>
      <w:r>
        <w:rPr/>
        <w:t xml:space="preserve">qt </w:t>
      </w:r>
      <w:r>
        <w:rPr/>
        <w:t xml:space="preserve">报价及 </w:t>
      </w:r>
      <w:r>
        <w:rPr/>
        <w:t xml:space="preserve">fqkline </w:t>
      </w:r>
      <w:r>
        <w:rPr/>
        <w:t xml:space="preserve">日线为第二来源。部分 </w:t>
      </w:r>
      <w:r>
        <w:rPr/>
        <w:t xml:space="preserve">Yahoo </w:t>
      </w:r>
      <w:r>
        <w:rPr/>
        <w:t xml:space="preserve">请求返回 </w:t>
      </w:r>
      <w:r>
        <w:rPr/>
        <w:t xml:space="preserve">403 </w:t>
      </w:r>
      <w:r>
        <w:rPr/>
        <w:t xml:space="preserve">时使用腾讯日线，明确历史为单一 </w:t>
      </w:r>
      <w:r>
        <w:rPr/>
        <w:t>provider</w:t>
      </w:r>
      <w:r>
        <w:rPr/>
        <w:t xml:space="preserve">，不将腾讯 </w:t>
      </w:r>
      <w:r>
        <w:rPr/>
        <w:t xml:space="preserve">qt </w:t>
      </w:r>
      <w:r>
        <w:rPr/>
        <w:t>与腾讯日线认定为独立数据供应链。新浪行情另用于最新报价和股数独立校验；它不证明过去三年历史均已二源验证。</w:t>
      </w:r>
      <w:r>
        <w:rPr/>
        <w:t xml:space="preserve">Yahoo </w:t>
      </w:r>
      <w:r>
        <w:rPr/>
        <w:t xml:space="preserve">指定 </w:t>
      </w:r>
      <w:r>
        <w:rPr/>
        <w:t xml:space="preserve">period </w:t>
      </w:r>
      <w:r>
        <w:rPr/>
        <w:t xml:space="preserve">窗口及腾讯带起止日期请求有时不可用，采用 </w:t>
      </w:r>
      <w:r>
        <w:rPr/>
        <w:t xml:space="preserve">range=3y </w:t>
      </w:r>
      <w:r>
        <w:rPr/>
        <w:t>或腾讯空日期参数取全部可用日线后本地裁剪；</w:t>
      </w:r>
      <w:r>
        <w:rPr/>
        <w:t>A</w:t>
      </w:r>
      <w:r>
        <w:rPr/>
        <w:t>股</w:t>
      </w:r>
      <w:r>
        <w:rPr/>
        <w:t>640</w:t>
      </w:r>
      <w:r>
        <w:rPr/>
        <w:t>根服务端截断通过早期补段追溯。仅接纳上海</w:t>
      </w:r>
      <w:r>
        <w:rPr/>
        <w:t>/</w:t>
      </w:r>
      <w:r>
        <w:rPr/>
        <w:t xml:space="preserve">香港时区交易日期不晚于 </w:t>
      </w:r>
      <w:r>
        <w:rPr/>
        <w:t xml:space="preserve">10 </w:t>
      </w:r>
      <w:r>
        <w:rPr/>
        <w:t xml:space="preserve">月 </w:t>
      </w:r>
      <w:r>
        <w:rPr/>
        <w:t xml:space="preserve">9 </w:t>
      </w:r>
      <w:r>
        <w:rPr/>
        <w:t>日的记录。代码、返回币种、最后交易日期、跨源价格差与原始响应均保留。</w:t>
      </w:r>
    </w:p>
    <w:p>
      <w:pPr>
        <w:pStyle w:val="Normal"/>
        <w:rPr/>
      </w:pPr>
      <w:r>
        <w:rPr/>
        <w:t xml:space="preserve">腾讯 </w:t>
      </w:r>
      <w:r>
        <w:rPr/>
        <w:t xml:space="preserve">A </w:t>
      </w:r>
      <w:r>
        <w:rPr/>
        <w:t xml:space="preserve">股 </w:t>
      </w:r>
      <w:r>
        <w:rPr/>
        <w:t xml:space="preserve">qt </w:t>
      </w:r>
      <w:r>
        <w:rPr/>
        <w:t xml:space="preserve">的成交量字段并非在所有接口版本中都以手为单位。本次通过 </w:t>
      </w:r>
      <w:r>
        <w:rPr/>
        <w:t xml:space="preserve">Yahoo </w:t>
      </w:r>
      <w:r>
        <w:rPr/>
        <w:t xml:space="preserve">或新浪最新股数核验：字段比值约 </w:t>
      </w:r>
      <w:r>
        <w:rPr/>
        <w:t xml:space="preserve">1 </w:t>
      </w:r>
      <w:r>
        <w:rPr/>
        <w:t xml:space="preserve">则判为股，比值约 </w:t>
      </w:r>
      <w:r>
        <w:rPr/>
        <w:t xml:space="preserve">0.01 </w:t>
      </w:r>
      <w:r>
        <w:rPr/>
        <w:t xml:space="preserve">则以 </w:t>
      </w:r>
      <w:r>
        <w:rPr/>
        <w:t xml:space="preserve">100 </w:t>
      </w:r>
      <w:r>
        <w:rPr/>
        <w:t>股</w:t>
      </w:r>
      <w:r>
        <w:rPr/>
        <w:t>/</w:t>
      </w:r>
      <w:r>
        <w:rPr/>
        <w:t xml:space="preserve">手转换。腾讯 </w:t>
      </w:r>
      <w:r>
        <w:rPr/>
        <w:t xml:space="preserve">fqkline </w:t>
      </w:r>
      <w:r>
        <w:rPr/>
        <w:t>量的单位也单独校验，按近</w:t>
      </w:r>
      <w:r>
        <w:rPr/>
        <w:t>60</w:t>
      </w:r>
      <w:r>
        <w:rPr/>
        <w:t xml:space="preserve">日对应 </w:t>
      </w:r>
      <w:r>
        <w:rPr/>
        <w:t xml:space="preserve">Yahoo </w:t>
      </w:r>
      <w:r>
        <w:rPr/>
        <w:t>股数中位比值或新浪最新股数确认</w:t>
      </w:r>
      <w:r>
        <w:rPr/>
        <w:t>1</w:t>
      </w:r>
      <w:r>
        <w:rPr/>
        <w:t>或</w:t>
      </w:r>
      <w:r>
        <w:rPr/>
        <w:t>100</w:t>
      </w:r>
      <w:r>
        <w:rPr/>
        <w:t xml:space="preserve">的转换。未能核验时留空转换股数。腾讯 </w:t>
      </w:r>
      <w:r>
        <w:rPr/>
        <w:t xml:space="preserve">A </w:t>
      </w:r>
      <w:r>
        <w:rPr/>
        <w:t xml:space="preserve">股成交额优先读取字段 </w:t>
      </w:r>
      <w:r>
        <w:rPr/>
        <w:t xml:space="preserve">35 </w:t>
      </w:r>
      <w:r>
        <w:rPr/>
        <w:t xml:space="preserve">三元组的人民币元，缺失时读字段 </w:t>
      </w:r>
      <w:r>
        <w:rPr/>
        <w:t xml:space="preserve">57 </w:t>
      </w:r>
      <w:r>
        <w:rPr/>
        <w:t xml:space="preserve">万元后乘 </w:t>
      </w:r>
      <w:r>
        <w:rPr/>
        <w:t>10000</w:t>
      </w:r>
      <w:r>
        <w:rPr/>
        <w:t xml:space="preserve">；港股成交额为字段 </w:t>
      </w:r>
      <w:r>
        <w:rPr/>
        <w:t xml:space="preserve">37 </w:t>
      </w:r>
      <w:r>
        <w:rPr/>
        <w:t>港币元。指数成交量字段不冒充可交易股份数，日线及周线全部量能指标禁用。</w:t>
      </w:r>
      <w:r>
        <w:rPr/>
        <w:t xml:space="preserve">HK </w:t>
      </w:r>
      <w:r>
        <w:rPr/>
        <w:t>换手率字段未确认，因此保留空值。</w:t>
      </w:r>
    </w:p>
    <w:p>
      <w:pPr>
        <w:pStyle w:val="Heading2"/>
        <w:rPr/>
      </w:pPr>
      <w:bookmarkStart w:id="11" w:name="__RefHeading___Toc4861_1919545624"/>
      <w:bookmarkEnd w:id="11"/>
      <w:r>
        <w:rPr>
          <w:color w:val="000000"/>
        </w:rPr>
        <w:t>复权和公司行动</w:t>
      </w:r>
    </w:p>
    <w:p>
      <w:pPr>
        <w:pStyle w:val="Normal"/>
        <w:rPr/>
      </w:pPr>
      <w:r>
        <w:rPr/>
        <w:t xml:space="preserve">逐日因子为 </w:t>
      </w:r>
      <w:r>
        <w:rPr/>
        <w:t>Yahoo adjclose/close</w:t>
      </w:r>
      <w:r>
        <w:rPr/>
        <w:t>，并除以基准日该比值；开、高、低、收均乘因子，故技术价位与基准日名义价同尺度。</w:t>
      </w:r>
      <w:r>
        <w:rPr/>
        <w:t xml:space="preserve">Yahoo close </w:t>
      </w:r>
      <w:r>
        <w:rPr/>
        <w:t>的历史可能已反映拆股；</w:t>
      </w:r>
      <w:r>
        <w:rPr/>
        <w:t xml:space="preserve">adjclose </w:t>
      </w:r>
      <w:r>
        <w:rPr/>
        <w:t xml:space="preserve">进一步反映现金分红。该算法用于连续技术形态，不用于还原当时实际成交报价。腾讯前复权可能采用不同的分红处理公式，因此保留近 </w:t>
      </w:r>
      <w:r>
        <w:rPr/>
        <w:t xml:space="preserve">60 </w:t>
      </w:r>
      <w:r>
        <w:rPr/>
        <w:t xml:space="preserve">日价差，不将细微差异当作错误。未返回 </w:t>
      </w:r>
      <w:r>
        <w:rPr/>
        <w:t xml:space="preserve">adjclose </w:t>
      </w:r>
      <w:r>
        <w:rPr/>
        <w:t>时明确标注来源原口径。全部已返回且不晚于截止日的拆股和分红事件留档。</w:t>
      </w:r>
    </w:p>
    <w:p>
      <w:pPr>
        <w:pStyle w:val="Normal"/>
        <w:rPr/>
      </w:pPr>
      <w:r>
        <w:rPr/>
        <w:t xml:space="preserve">成交股数不做额外拆股追溯调整；最近 </w:t>
      </w:r>
      <w:r>
        <w:rPr/>
        <w:t xml:space="preserve">60 </w:t>
      </w:r>
      <w:r>
        <w:rPr/>
        <w:t>交易日出现拆股</w:t>
      </w:r>
      <w:r>
        <w:rPr/>
        <w:t>/</w:t>
      </w:r>
      <w:r>
        <w:rPr/>
        <w:t>合股时，量能判断标记需核验。跨日零成交量不被改写为估算成交量。没有逐笔成交数据，不生成精确成交量分布或断言机构持仓行为。</w:t>
      </w:r>
    </w:p>
    <w:p>
      <w:pPr>
        <w:pStyle w:val="Normal"/>
        <w:rPr/>
      </w:pPr>
      <w:r>
        <w:rPr/>
        <w:t xml:space="preserve">Yahoo </w:t>
      </w:r>
      <w:r>
        <w:rPr/>
        <w:t xml:space="preserve">部分历史 </w:t>
      </w:r>
      <w:r>
        <w:rPr/>
        <w:t xml:space="preserve">OHLC </w:t>
      </w:r>
      <w:r>
        <w:rPr/>
        <w:t>出现开盘</w:t>
      </w:r>
      <w:r>
        <w:rPr/>
        <w:t>/</w:t>
      </w:r>
      <w:r>
        <w:rPr/>
        <w:t>收盘超出当日高低区间的逻辑问题，只在腾讯同日完整</w:t>
      </w:r>
      <w:r>
        <w:rPr/>
        <w:t>bar</w:t>
      </w:r>
      <w:r>
        <w:rPr/>
        <w:t>合理且两源收盘价可比时，以腾讯</w:t>
      </w:r>
      <w:r>
        <w:rPr/>
        <w:t>bar</w:t>
      </w:r>
      <w:r>
        <w:rPr/>
        <w:t xml:space="preserve">形状归一到 </w:t>
      </w:r>
      <w:r>
        <w:rPr/>
        <w:t xml:space="preserve">Yahoo </w:t>
      </w:r>
      <w:r>
        <w:rPr/>
        <w:t>复权收盘替换开高低，保留原始值和逐日修复记录。不主观清洗大涨跌。上市前记录不用于技术历史：美的</w:t>
      </w:r>
      <w:r>
        <w:rPr/>
        <w:t>H</w:t>
      </w:r>
      <w:r>
        <w:rPr/>
        <w:t>股从</w:t>
      </w:r>
      <w:r>
        <w:rPr/>
        <w:t>2024-09-17</w:t>
      </w:r>
      <w:r>
        <w:rPr/>
        <w:t>公开上市日裁剪。</w:t>
      </w:r>
    </w:p>
    <w:p>
      <w:pPr>
        <w:pStyle w:val="Heading2"/>
        <w:rPr/>
      </w:pPr>
      <w:bookmarkStart w:id="12" w:name="__RefHeading___Toc4863_1919545624"/>
      <w:bookmarkEnd w:id="12"/>
      <w:r>
        <w:rPr>
          <w:color w:val="000000"/>
        </w:rPr>
        <w:t>指标定义</w:t>
      </w:r>
    </w:p>
    <w:p>
      <w:pPr>
        <w:pStyle w:val="Normal"/>
        <w:rPr/>
      </w:pPr>
      <w:r>
        <w:rPr/>
        <w:t>- MA20/60/120/250</w:t>
      </w:r>
      <w:r>
        <w:rPr/>
        <w:t xml:space="preserve">：含基准日在内的相应交易日简单平均复权收盘。斜率为该均线与 </w:t>
      </w:r>
      <w:r>
        <w:rPr/>
        <w:t xml:space="preserve">5 </w:t>
      </w:r>
      <w:r>
        <w:rPr/>
        <w:t>个交易日前均线的百分比变化；不足样本留空。</w:t>
      </w:r>
    </w:p>
    <w:p>
      <w:pPr>
        <w:pStyle w:val="Normal"/>
        <w:rPr/>
      </w:pPr>
      <w:r>
        <w:rPr/>
        <w:t xml:space="preserve">- 20/60/120/250 </w:t>
      </w:r>
      <w:r>
        <w:rPr/>
        <w:t xml:space="preserve">日回报：基准复权收盘相对对应交易日前收盘的涨跌百分比；需要 </w:t>
      </w:r>
      <w:r>
        <w:rPr/>
        <w:t xml:space="preserve">N+1 </w:t>
      </w:r>
      <w:r>
        <w:rPr/>
        <w:t>根日线。</w:t>
      </w:r>
    </w:p>
    <w:p>
      <w:pPr>
        <w:pStyle w:val="Normal"/>
        <w:rPr/>
      </w:pPr>
      <w:r>
        <w:rPr/>
        <w:t xml:space="preserve">- 52 </w:t>
      </w:r>
      <w:r>
        <w:rPr/>
        <w:t xml:space="preserve">周高低：最近 </w:t>
      </w:r>
      <w:r>
        <w:rPr/>
        <w:t xml:space="preserve">252 </w:t>
      </w:r>
      <w:r>
        <w:rPr/>
        <w:t>根日线的复权最高价</w:t>
      </w:r>
      <w:r>
        <w:rPr/>
        <w:t>/</w:t>
      </w:r>
      <w:r>
        <w:rPr/>
        <w:t xml:space="preserve">最低价；少于 </w:t>
      </w:r>
      <w:r>
        <w:rPr/>
        <w:t xml:space="preserve">252 </w:t>
      </w:r>
      <w:r>
        <w:rPr/>
        <w:t>根时仅为真实可用窗口，完整标志为否。最大回撤由同窗口复权收盘累计峰值计算。</w:t>
      </w:r>
    </w:p>
    <w:p>
      <w:pPr>
        <w:pStyle w:val="Normal"/>
        <w:rPr/>
      </w:pPr>
      <w:r>
        <w:rPr/>
        <w:t>- RSI14</w:t>
      </w:r>
      <w:r>
        <w:rPr/>
        <w:t>：</w:t>
      </w:r>
      <w:r>
        <w:rPr/>
        <w:t xml:space="preserve">Wilder </w:t>
      </w:r>
      <w:r>
        <w:rPr/>
        <w:t xml:space="preserve">平滑，首 </w:t>
      </w:r>
      <w:r>
        <w:rPr/>
        <w:t xml:space="preserve">14 </w:t>
      </w:r>
      <w:r>
        <w:rPr/>
        <w:t xml:space="preserve">个收盘差初始化，再用 </w:t>
      </w:r>
      <w:r>
        <w:rPr/>
        <w:t xml:space="preserve">13/14 </w:t>
      </w:r>
      <w:r>
        <w:rPr/>
        <w:t xml:space="preserve">衰减；平涨平跌均为零时为 </w:t>
      </w:r>
      <w:r>
        <w:rPr/>
        <w:t>50</w:t>
      </w:r>
      <w:r>
        <w:rPr/>
        <w:t>。</w:t>
      </w:r>
    </w:p>
    <w:p>
      <w:pPr>
        <w:pStyle w:val="Normal"/>
        <w:rPr/>
      </w:pPr>
      <w:r>
        <w:rPr/>
        <w:t>- MACD</w:t>
      </w:r>
      <w:r>
        <w:rPr/>
        <w:t>：</w:t>
      </w:r>
      <w:r>
        <w:rPr/>
        <w:t xml:space="preserve">EMA12−EMA26 </w:t>
      </w:r>
      <w:r>
        <w:rPr/>
        <w:t xml:space="preserve">为 </w:t>
      </w:r>
      <w:r>
        <w:rPr/>
        <w:t>DIF</w:t>
      </w:r>
      <w:r>
        <w:rPr/>
        <w:t>，</w:t>
      </w:r>
      <w:r>
        <w:rPr/>
        <w:t xml:space="preserve">DIF </w:t>
      </w:r>
      <w:r>
        <w:rPr/>
        <w:t xml:space="preserve">的 </w:t>
      </w:r>
      <w:r>
        <w:rPr/>
        <w:t xml:space="preserve">EMA9 </w:t>
      </w:r>
      <w:r>
        <w:rPr/>
        <w:t xml:space="preserve">为 </w:t>
      </w:r>
      <w:r>
        <w:rPr/>
        <w:t>DEA</w:t>
      </w:r>
      <w:r>
        <w:rPr/>
        <w:t xml:space="preserve">，柱为 </w:t>
      </w:r>
      <w:r>
        <w:rPr/>
        <w:t>2×(DIF−DEA)</w:t>
      </w:r>
      <w:r>
        <w:rPr/>
        <w:t>。</w:t>
      </w:r>
      <w:r>
        <w:rPr/>
        <w:t xml:space="preserve">EMA </w:t>
      </w:r>
      <w:r>
        <w:rPr/>
        <w:t>以对应窗口简单平均初始化。</w:t>
      </w:r>
    </w:p>
    <w:p>
      <w:pPr>
        <w:pStyle w:val="Normal"/>
        <w:rPr/>
      </w:pPr>
      <w:r>
        <w:rPr/>
        <w:t>- ATR14</w:t>
      </w:r>
      <w:r>
        <w:rPr/>
        <w:t xml:space="preserve">：前一日复权收盘到今日高低区间的真实波幅，按 </w:t>
      </w:r>
      <w:r>
        <w:rPr/>
        <w:t xml:space="preserve">Wilder </w:t>
      </w:r>
      <w:r>
        <w:rPr/>
        <w:t xml:space="preserve">平滑；另给 </w:t>
      </w:r>
      <w:r>
        <w:rPr/>
        <w:t>ATR/</w:t>
      </w:r>
      <w:r>
        <w:rPr/>
        <w:t>现价比。</w:t>
      </w:r>
    </w:p>
    <w:p>
      <w:pPr>
        <w:pStyle w:val="Normal"/>
        <w:rPr/>
      </w:pPr>
      <w:r>
        <w:rPr/>
        <w:t xml:space="preserve">- </w:t>
      </w:r>
      <w:r>
        <w:rPr/>
        <w:t xml:space="preserve">当日量比：当日成交股数除以此前 </w:t>
      </w:r>
      <w:r>
        <w:rPr/>
        <w:t xml:space="preserve">20 </w:t>
      </w:r>
      <w:r>
        <w:rPr/>
        <w:t>交易日平均股数（不含当日）。</w:t>
      </w:r>
      <w:r>
        <w:rPr/>
        <w:t xml:space="preserve">5/20/60 </w:t>
      </w:r>
      <w:r>
        <w:rPr/>
        <w:t>均量含当日。</w:t>
      </w:r>
    </w:p>
    <w:p>
      <w:pPr>
        <w:pStyle w:val="Normal"/>
        <w:rPr/>
      </w:pPr>
      <w:r>
        <w:rPr/>
        <w:t xml:space="preserve">- 20 </w:t>
      </w:r>
      <w:r>
        <w:rPr/>
        <w:t>日上涨</w:t>
      </w:r>
      <w:r>
        <w:rPr/>
        <w:t>/</w:t>
      </w:r>
      <w:r>
        <w:rPr/>
        <w:t xml:space="preserve">下跌量比：按相邻复权收盘的涨跌将最近 </w:t>
      </w:r>
      <w:r>
        <w:rPr/>
        <w:t xml:space="preserve">20 </w:t>
      </w:r>
      <w:r>
        <w:rPr/>
        <w:t>个交易日成交量分别求和；平盘量独列，无下跌量则比值为空。</w:t>
      </w:r>
    </w:p>
    <w:p>
      <w:pPr>
        <w:pStyle w:val="Normal"/>
        <w:rPr/>
      </w:pPr>
      <w:r>
        <w:rPr/>
        <w:t xml:space="preserve">- </w:t>
      </w:r>
      <w:r>
        <w:rPr/>
        <w:t>支撑</w:t>
      </w:r>
      <w:r>
        <w:rPr/>
        <w:t>/</w:t>
      </w:r>
      <w:r>
        <w:rPr/>
        <w:t xml:space="preserve">阻力：最近 </w:t>
      </w:r>
      <w:r>
        <w:rPr/>
        <w:t xml:space="preserve">20/60 </w:t>
      </w:r>
      <w:r>
        <w:rPr/>
        <w:t>日复权最低价、最高价作为观察位；距离为观察价</w:t>
      </w:r>
      <w:r>
        <w:rPr/>
        <w:t>/</w:t>
      </w:r>
      <w:r>
        <w:rPr/>
        <w:t>现价−</w:t>
      </w:r>
      <w:r>
        <w:rPr/>
        <w:t>1</w:t>
      </w:r>
      <w:r>
        <w:rPr/>
        <w:t>。它们不是经过多次触碰验证的精确交易信号。</w:t>
      </w:r>
    </w:p>
    <w:p>
      <w:pPr>
        <w:pStyle w:val="Normal"/>
        <w:rPr/>
      </w:pPr>
      <w:r>
        <w:rPr/>
        <w:t xml:space="preserve">- </w:t>
      </w:r>
      <w:r>
        <w:rPr/>
        <w:t xml:space="preserve">周线：按周一至周五交易周聚合复权开高低收与原成交量，含每周实际交易日数；周线字段 </w:t>
      </w:r>
      <w:r>
        <w:rPr/>
        <w:t>periodUnit=weeks</w:t>
      </w:r>
      <w:r>
        <w:rPr/>
        <w:t>，</w:t>
      </w:r>
      <w:r>
        <w:rPr/>
        <w:t>MA20</w:t>
      </w:r>
      <w:r>
        <w:rPr/>
        <w:t>表示</w:t>
      </w:r>
      <w:r>
        <w:rPr/>
        <w:t>20</w:t>
      </w:r>
      <w:r>
        <w:rPr/>
        <w:t>周，</w:t>
      </w:r>
      <w:r>
        <w:rPr/>
        <w:t>52</w:t>
      </w:r>
      <w:r>
        <w:rPr/>
        <w:t>周高低及回撤使用</w:t>
      </w:r>
      <w:r>
        <w:rPr/>
        <w:t>52</w:t>
      </w:r>
      <w:r>
        <w:rPr/>
        <w:t>根周线，</w:t>
      </w:r>
      <w:r>
        <w:rPr/>
        <w:t>250</w:t>
      </w:r>
      <w:r>
        <w:rPr/>
        <w:t>周指标不足留空，不混同日线。</w:t>
      </w:r>
    </w:p>
    <w:p>
      <w:pPr>
        <w:pStyle w:val="Normal"/>
        <w:rPr/>
      </w:pPr>
      <w:r>
        <w:rPr/>
        <w:t xml:space="preserve">- </w:t>
      </w:r>
      <w:r>
        <w:rPr/>
        <w:t>相对市场：港股对恒生指数、</w:t>
      </w:r>
      <w:r>
        <w:rPr/>
        <w:t xml:space="preserve">A </w:t>
      </w:r>
      <w:r>
        <w:rPr/>
        <w:t xml:space="preserve">股对沪深 </w:t>
      </w:r>
      <w:r>
        <w:rPr/>
        <w:t xml:space="preserve">300 </w:t>
      </w:r>
      <w:r>
        <w:rPr/>
        <w:t>的同周期回报差，单位为百分点。科技</w:t>
      </w:r>
      <w:r>
        <w:rPr/>
        <w:t>/</w:t>
      </w:r>
      <w:r>
        <w:rPr/>
        <w:t>互联网</w:t>
      </w:r>
      <w:r>
        <w:rPr/>
        <w:t>/</w:t>
      </w:r>
      <w:r>
        <w:rPr/>
        <w:t>硬件港股额外对恒生科技，标注为粗粒度参考；无核验行业指数的医药</w:t>
      </w:r>
      <w:r>
        <w:rPr/>
        <w:t>/</w:t>
      </w:r>
      <w:r>
        <w:rPr/>
        <w:t>创新药不填造细分行业相对强弱。</w:t>
      </w:r>
    </w:p>
    <w:p>
      <w:pPr>
        <w:pStyle w:val="Heading2"/>
        <w:rPr/>
      </w:pPr>
      <w:bookmarkStart w:id="13" w:name="__RefHeading___Toc4865_1919545624"/>
      <w:bookmarkEnd w:id="13"/>
      <w:r>
        <w:rPr>
          <w:color w:val="000000"/>
        </w:rPr>
        <w:t>缺失及限制</w:t>
      </w:r>
    </w:p>
    <w:p>
      <w:pPr>
        <w:pStyle w:val="Normal"/>
        <w:rPr/>
      </w:pPr>
      <w:r>
        <w:rPr/>
        <w:t>无完整基准日数据时不使用过期现价作为统一基准；新股不补造上市前价格和长期均线。三个指数的点位均为价格指数，汇总量额单位未核，不作为股票成交股数或成交额。国证</w:t>
      </w:r>
      <w:r>
        <w:rPr/>
        <w:t>987018</w:t>
      </w:r>
      <w:r>
        <w:rPr/>
        <w:t>与中证</w:t>
      </w:r>
      <w:r>
        <w:rPr/>
        <w:t>931787</w:t>
      </w:r>
      <w:r>
        <w:rPr/>
        <w:t>已取得官方历史，官方单供应链限制逐项保留；恒生科技收盘有官方与腾讯二源逐日核验，日开高低仍仅腾讯。</w:t>
      </w:r>
    </w:p>
    <w:p>
      <w:pPr>
        <w:pStyle w:val="Normal"/>
        <w:rPr/>
      </w:pPr>
      <w:r>
        <w:rPr/>
        <w:t>微创脑科学、微创机器人、微创医疗自</w:t>
      </w:r>
      <w:r>
        <w:rPr/>
        <w:t>2026-09-01</w:t>
      </w:r>
      <w:r>
        <w:rPr/>
        <w:t xml:space="preserve">停牌，交易所通告链接逐证券保留。尽管腾讯和新浪 </w:t>
      </w:r>
      <w:r>
        <w:rPr/>
        <w:t xml:space="preserve">timestamp </w:t>
      </w:r>
      <w:r>
        <w:rPr/>
        <w:t>自动显示</w:t>
      </w:r>
      <w:r>
        <w:rPr/>
        <w:t>10</w:t>
      </w:r>
      <w:r>
        <w:rPr/>
        <w:t>月</w:t>
      </w:r>
      <w:r>
        <w:rPr/>
        <w:t>9</w:t>
      </w:r>
      <w:r>
        <w:rPr/>
        <w:t>日，真实价格仍为</w:t>
      </w:r>
      <w:r>
        <w:rPr/>
        <w:t>8</w:t>
      </w:r>
      <w:r>
        <w:rPr/>
        <w:t>月</w:t>
      </w:r>
      <w:r>
        <w:rPr/>
        <w:t>31</w:t>
      </w:r>
      <w:r>
        <w:rPr/>
        <w:t xml:space="preserve">日参考价，锁版 </w:t>
      </w:r>
      <w:r>
        <w:rPr/>
        <w:t xml:space="preserve">priceDate </w:t>
      </w:r>
      <w:r>
        <w:rPr/>
        <w:t xml:space="preserve">和 </w:t>
      </w:r>
      <w:r>
        <w:rPr/>
        <w:t xml:space="preserve">lastPrice.date </w:t>
      </w:r>
      <w:r>
        <w:rPr/>
        <w:t>为</w:t>
      </w:r>
      <w:r>
        <w:rPr/>
        <w:t>8</w:t>
      </w:r>
      <w:r>
        <w:rPr/>
        <w:t>月</w:t>
      </w:r>
      <w:r>
        <w:rPr/>
        <w:t>31</w:t>
      </w:r>
      <w:r>
        <w:rPr/>
        <w:t>日，</w:t>
      </w:r>
      <w:r>
        <w:rPr/>
        <w:t>tradableOnAsOf=false</w:t>
      </w:r>
      <w:r>
        <w:rPr/>
        <w:t>，不得参加有</w:t>
      </w:r>
      <w:r>
        <w:rPr/>
        <w:t>10</w:t>
      </w:r>
      <w:r>
        <w:rPr/>
        <w:t>月</w:t>
      </w:r>
      <w:r>
        <w:rPr/>
        <w:t>9</w:t>
      </w:r>
      <w:r>
        <w:rPr/>
        <w:t>日可交易现价的推荐榜或当作零波动可实现收益。</w:t>
      </w:r>
      <w:r>
        <w:rPr/>
        <w:t>Yahoo</w:t>
      </w:r>
      <w:r>
        <w:rPr/>
        <w:t>停牌后重复填充值全部裁掉。</w:t>
      </w:r>
    </w:p>
    <w:p>
      <w:pPr>
        <w:pStyle w:val="Normal"/>
        <w:rPr/>
      </w:pPr>
      <w:r>
        <w:rPr/>
        <w:t>海尔生物三年腾讯历史含</w:t>
      </w:r>
      <w:r>
        <w:rPr/>
        <w:t>718</w:t>
      </w:r>
      <w:r>
        <w:rPr/>
        <w:t>根，其中</w:t>
      </w:r>
      <w:r>
        <w:rPr/>
        <w:t>2024-12-23</w:t>
      </w:r>
      <w:r>
        <w:rPr/>
        <w:t>至</w:t>
      </w:r>
      <w:r>
        <w:rPr/>
        <w:t>2025-01-06</w:t>
      </w:r>
      <w:r>
        <w:rPr/>
        <w:t>缺</w:t>
      </w:r>
      <w:r>
        <w:rPr/>
        <w:t>10</w:t>
      </w:r>
      <w:r>
        <w:rPr/>
        <w:t>个市场交易日，追加该窗口也无数据返回，逐日缺口保留并明示；缺口在最近</w:t>
      </w:r>
      <w:r>
        <w:rPr/>
        <w:t>250</w:t>
      </w:r>
      <w:r>
        <w:rPr/>
        <w:t>根之前，基准日的</w:t>
      </w:r>
      <w:r>
        <w:rPr/>
        <w:t>MA250</w:t>
      </w:r>
      <w:r>
        <w:rPr/>
        <w:t>、</w:t>
      </w:r>
      <w:r>
        <w:rPr/>
        <w:t>52</w:t>
      </w:r>
      <w:r>
        <w:rPr/>
        <w:t>周区间和短期指标不依赖该缺口。沪深</w:t>
      </w:r>
      <w:r>
        <w:rPr/>
        <w:t>300 Yahoo</w:t>
      </w:r>
      <w:r>
        <w:rPr/>
        <w:t>源仅返回单根行情，市场相对强弱改用腾讯</w:t>
      </w:r>
      <w:r>
        <w:rPr/>
        <w:t>728</w:t>
      </w:r>
      <w:r>
        <w:rPr/>
        <w:t>根实际日线，不套用缺失的</w:t>
      </w:r>
      <w:r>
        <w:rPr/>
        <w:t>Yahoo</w:t>
      </w:r>
      <w:r>
        <w:rPr/>
        <w:t>基准回报。</w:t>
      </w:r>
    </w:p>
    <w:p>
      <w:pPr>
        <w:pStyle w:val="Normal"/>
        <w:rPr/>
      </w:pPr>
      <w:r>
        <w:rPr/>
        <w:t xml:space="preserve">第三方行情 </w:t>
      </w:r>
      <w:r>
        <w:rPr/>
        <w:t>PE</w:t>
      </w:r>
      <w:r>
        <w:rPr/>
        <w:t>、</w:t>
      </w:r>
      <w:r>
        <w:rPr/>
        <w:t xml:space="preserve">PB </w:t>
      </w:r>
      <w:r>
        <w:rPr/>
        <w:t>与市值字段只用作筛查，不具备已核验的盈利期间</w:t>
      </w:r>
      <w:r>
        <w:rPr/>
        <w:t>/</w:t>
      </w:r>
      <w:r>
        <w:rPr/>
        <w:t>会计口径，不可直接作为公司估值模型最终参数。行情形态属于条件判断，不能推出收益概率；支撑位和历史波动不构成最大损失边界。</w:t>
      </w:r>
    </w:p>
    <w:p>
      <w:pPr>
        <w:pStyle w:val="Heading2"/>
        <w:rPr/>
      </w:pPr>
      <w:bookmarkStart w:id="14" w:name="__RefHeading___Toc4867_1919545624"/>
      <w:bookmarkEnd w:id="14"/>
      <w:r>
        <w:rPr>
          <w:color w:val="000000"/>
        </w:rPr>
        <w:t>相对强弱基准的适用范围</w:t>
      </w:r>
    </w:p>
    <w:p>
      <w:pPr>
        <w:pStyle w:val="Normal"/>
        <w:rPr/>
      </w:pPr>
      <w:r>
        <w:rPr/>
        <w:t>恒生指数、沪深</w:t>
      </w:r>
      <w:r>
        <w:rPr/>
        <w:t>300</w:t>
      </w:r>
      <w:r>
        <w:rPr/>
        <w:t>及匹配的行业指数仅用于公司相对强弱比较。基准数据的来源、真实交易日期及量能限制保留在行情锁版；行业映射未核验时留空，不把粗粒度市场基准冒充公司的细分行业指数。</w:t>
      </w:r>
    </w:p>
    <w:p>
      <w:pPr>
        <w:pStyle w:val="Heading2"/>
        <w:rPr/>
      </w:pPr>
      <w:bookmarkStart w:id="15" w:name="__RefHeading___Toc4869_1919545624"/>
      <w:bookmarkEnd w:id="15"/>
      <w:r>
        <w:rPr>
          <w:color w:val="000000"/>
        </w:rPr>
        <w:t>目标交易日</w:t>
      </w:r>
    </w:p>
    <w:p>
      <w:pPr>
        <w:pStyle w:val="Normal"/>
        <w:rPr/>
      </w:pPr>
      <w:r>
        <w:rPr/>
        <w:t>名义目标日分别为</w:t>
      </w:r>
      <w:r>
        <w:rPr/>
        <w:t>2027-04-09</w:t>
      </w:r>
      <w:r>
        <w:rPr/>
        <w:t>、</w:t>
      </w:r>
      <w:r>
        <w:rPr/>
        <w:t>2027-10-09</w:t>
      </w:r>
      <w:r>
        <w:rPr/>
        <w:t>、</w:t>
      </w:r>
      <w:r>
        <w:rPr/>
        <w:t>2029-10-09</w:t>
      </w:r>
      <w:r>
        <w:rPr/>
        <w:t>与</w:t>
      </w:r>
      <w:r>
        <w:rPr/>
        <w:t>2031-10-09</w:t>
      </w:r>
      <w:r>
        <w:rPr/>
        <w:t>，年底为</w:t>
      </w:r>
      <w:r>
        <w:rPr/>
        <w:t>2026-12-31</w:t>
      </w:r>
      <w:r>
        <w:rPr/>
        <w:t>。香港政府</w:t>
      </w:r>
      <w:r>
        <w:rPr/>
        <w:t>2026</w:t>
      </w:r>
      <w:r>
        <w:rPr/>
        <w:t>及</w:t>
      </w:r>
      <w:r>
        <w:rPr/>
        <w:t>2027</w:t>
      </w:r>
      <w:r>
        <w:rPr/>
        <w:t>年公布假期与</w:t>
      </w:r>
      <w:r>
        <w:rPr/>
        <w:t>HKEX</w:t>
      </w:r>
      <w:r>
        <w:rPr/>
        <w:t>证券交易规则已交叉核验：</w:t>
      </w:r>
      <w:r>
        <w:rPr/>
        <w:t>2027</w:t>
      </w:r>
      <w:r>
        <w:rPr/>
        <w:t>年</w:t>
      </w:r>
      <w:r>
        <w:rPr/>
        <w:t>10</w:t>
      </w:r>
      <w:r>
        <w:rPr/>
        <w:t>月</w:t>
      </w:r>
      <w:r>
        <w:rPr/>
        <w:t>8</w:t>
      </w:r>
      <w:r>
        <w:rPr/>
        <w:t>日为重阳节假期，</w:t>
      </w:r>
      <w:r>
        <w:rPr/>
        <w:t>9</w:t>
      </w:r>
      <w:r>
        <w:rPr/>
        <w:t>日周六，因此港股一年实际采用</w:t>
      </w:r>
      <w:r>
        <w:rPr/>
        <w:t>2027-10-07</w:t>
      </w:r>
      <w:r>
        <w:rPr/>
        <w:t>；半年</w:t>
      </w:r>
      <w:r>
        <w:rPr/>
        <w:t>2027-04-09</w:t>
      </w:r>
      <w:r>
        <w:rPr/>
        <w:t>为交易日，年底</w:t>
      </w:r>
      <w:r>
        <w:rPr/>
        <w:t>2026-12-31</w:t>
      </w:r>
      <w:r>
        <w:rPr/>
        <w:t>为半日市。有限现金流按实际目标日重新计算</w:t>
      </w:r>
      <w:r>
        <w:rPr/>
        <w:t>ACT</w:t>
      </w:r>
      <w:r>
        <w:rPr/>
        <w:t>折现及目标年比例，独立经营情景不按两日差异机械插值。香港</w:t>
      </w:r>
      <w:r>
        <w:rPr/>
        <w:t>2029</w:t>
      </w:r>
      <w:r>
        <w:rPr/>
        <w:t>和</w:t>
      </w:r>
      <w:r>
        <w:rPr/>
        <w:t>2031</w:t>
      </w:r>
      <w:r>
        <w:rPr/>
        <w:t>及内地远期交易所日历尚未核验，实际日仍留空，周末前移值仅作候选。未来临时停市也不在截止日信息中预测。</w:t>
      </w:r>
    </w:p>
    <w:p>
      <w:pPr>
        <w:pStyle w:val="Heading1"/>
        <w:rPr/>
      </w:pPr>
      <w:bookmarkStart w:id="16" w:name="__RefHeading___Toc4871_1919545624"/>
      <w:bookmarkEnd w:id="16"/>
      <w:r>
        <w:rPr>
          <w:color w:val="000000"/>
        </w:rPr>
        <w:t>经济 行业与收益条件</w:t>
      </w:r>
    </w:p>
    <w:p>
      <w:pPr>
        <w:pStyle w:val="Normal"/>
        <w:rPr/>
      </w:pPr>
      <w:r>
        <w:rPr/>
        <w:t>创新药收益来自临床证据、商业化放量、授权和经营杠杆，资本市场融资改善需要经过研发投入、订单和审批才能进入现金流。授权总额含不确定里程碑，不能整体视为收入。医保可扩大可及人群，也会压低价格；海外审批、支付和专利竞争会使同一临床资产在不同地区的价值不同。</w:t>
      </w:r>
      <w:r>
        <w:rPr/>
        <w:t>CXO</w:t>
      </w:r>
      <w:r>
        <w:rPr/>
        <w:t>需求受全球药企预算和融资周期影响，订单总额、客户项目取消及海外产能资本开支决定现金回报。</w:t>
      </w:r>
    </w:p>
    <w:p>
      <w:pPr>
        <w:pStyle w:val="Normal"/>
        <w:rPr/>
      </w:pPr>
      <w:r>
        <w:rPr/>
        <w:t>科技公司需要区别真实变现和主题预期。游戏与广告受消费和内容周期影响，云与</w:t>
      </w:r>
      <w:r>
        <w:rPr/>
        <w:t>AI</w:t>
      </w:r>
      <w:r>
        <w:rPr/>
        <w:t>受资本开支、推理价格和客户使用效益影响；制造与新能源汽车受价格竞争、产能利用率、海外关税和汇率影响。人民币与港币转换不仅改变人民币投资者回报，也影响以人民币报表盈利换算的港币目标价。因此本币结果与汇率敏感性分开展示，不假定汇率变化一定带来公司经营收益。</w:t>
      </w:r>
    </w:p>
    <w:p>
      <w:pPr>
        <w:pStyle w:val="Heading1"/>
        <w:rPr/>
      </w:pPr>
      <w:bookmarkStart w:id="17" w:name="__RefHeading___Toc4873_1919545624"/>
      <w:bookmarkEnd w:id="17"/>
      <w:r>
        <w:rPr>
          <w:color w:val="000000"/>
        </w:rPr>
        <w:t>全名单身份与状态</w:t>
      </w:r>
    </w:p>
    <w:tbl>
      <w:tblPr>
        <w:tblW w:w="9860"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972"/>
        <w:gridCol w:w="1972"/>
        <w:gridCol w:w="1972"/>
        <w:gridCol w:w="1972"/>
        <w:gridCol w:w="1972"/>
      </w:tblGrid>
      <w:tr>
        <w:trPr>
          <w:tblHeader w:val="true"/>
          <w:cantSplit/>
        </w:trPr>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证券标识</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代码</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名称</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类别</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模型</w:t>
            </w:r>
            <w:r>
              <w:rPr>
                <w:rFonts w:eastAsia="微软雅黑" w:ascii="微软雅黑" w:hAnsi="微软雅黑"/>
                <w:b/>
                <w:color w:val="FFFFFF"/>
                <w:sz w:val="17"/>
              </w:rPr>
              <w:t>/</w:t>
            </w:r>
            <w:r>
              <w:rPr>
                <w:rFonts w:ascii="微软雅黑" w:hAnsi="微软雅黑" w:eastAsia="微软雅黑"/>
                <w:b/>
                <w:color w:val="FFFFFF"/>
                <w:sz w:val="17"/>
              </w:rPr>
              <w:t>行情状态</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S001</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688139.SH</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海尔生物</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股票</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情景研究完成</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S002</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688062.SH</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迈威生物</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股票</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情景研究完成</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S003</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688192.SH</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迪哲医药</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股票</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情景研究完成</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S004</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688382.SH</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益方生物</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股票</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情景研究完成</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S005</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688302.SH</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海创药业</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股票</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情景研究完成</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S006</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002821.SZ</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凯莱英</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股票</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情景研究完成</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S007</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02172.HK</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微创脑科学</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股票</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条件研究完成，暂不排名</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S008</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03696.HK</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英矽智能</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股票</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条件研究完成，暂不排名</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S010</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02252.HK</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微创机器人</w:t>
            </w:r>
            <w:r>
              <w:rPr>
                <w:rFonts w:eastAsia="微软雅黑" w:ascii="微软雅黑" w:hAnsi="微软雅黑"/>
                <w:sz w:val="17"/>
              </w:rPr>
              <w:t>-B</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股票</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条件研究完成，暂不排名</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S011</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603259.SH</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药明康德</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股票</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情景研究完成</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S012</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600276.SH</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恒瑞医药</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股票</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情景研究完成</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S013</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688235.SH</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百济神州</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股票</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情景研究完成</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S015</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300363.SZ</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博腾股份</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股票</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情景研究完成</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S016</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300760.SZ</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迈瑞医疗</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股票</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情景研究完成</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S017</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688131.SH</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皓元医药</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股票</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情景研究完成</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S018</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00853.HK</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微创医疗</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股票</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条件研究完成，暂不排名</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S019</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688356.SH</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键凯科技</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股票</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情景研究完成</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S020</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688202.SH</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美迪西</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股票</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情景研究完成</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S022</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01276.HK</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恒瑞医药</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股票</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情景研究完成</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S023</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06699.HK</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时代天使</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股票</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情景研究完成</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S024</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09606.HK</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映恩生物</w:t>
            </w:r>
            <w:r>
              <w:rPr>
                <w:rFonts w:eastAsia="微软雅黑" w:ascii="微软雅黑" w:hAnsi="微软雅黑"/>
                <w:sz w:val="17"/>
              </w:rPr>
              <w:t>-B</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股票</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情景研究完成</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S026</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06855.HK</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亚盛医药</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股票</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情景研究完成</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S027</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03759.HK</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康龙化成</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股票</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情景研究完成</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S028</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01530.HK</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三生制药</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股票</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情景研究完成</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S029</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00013.HK</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和黄医药</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股票</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情景研究完成</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S030</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01093.HK</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石药集团</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股票</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情景研究完成</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S031</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02157.HK</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乐普生物</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股票</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情景研究完成</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S032</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02228.HK</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晶泰控股</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股票</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情景研究完成</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S033</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02607.HK</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上海医药</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股票</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情景研究完成</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S034</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03692.HK</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翰森制药</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股票</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情景研究完成</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S035</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02186.HK</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绿叶制药</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股票</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情景研究完成</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S036</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01177.HK</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中国生物制药</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股票</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情景研究完成</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S037</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02359.HK</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药明康德</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股票</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情景研究完成</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S038</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00512.HK</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远大医药</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股票</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情景研究完成</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S039</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02096.HK</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先声药业</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股票</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情景研究完成</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S040</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02269.HK</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药明生物</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股票</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情景研究完成</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S041</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01548.HK</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金斯瑞生物科技</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股票</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情景研究完成</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S042</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01513.HK</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丽珠医药</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股票</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情景研究完成</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S043</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06160.HK</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百济神州</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股票</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情景研究完成</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S044</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02511.HK</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君圣泰医药</w:t>
            </w:r>
            <w:r>
              <w:rPr>
                <w:rFonts w:eastAsia="微软雅黑" w:ascii="微软雅黑" w:hAnsi="微软雅黑"/>
                <w:sz w:val="17"/>
              </w:rPr>
              <w:t>-B</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股票</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情景研究完成</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S045</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09939.HK</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开拓药业</w:t>
            </w:r>
            <w:r>
              <w:rPr>
                <w:rFonts w:eastAsia="微软雅黑" w:ascii="微软雅黑" w:hAnsi="微软雅黑"/>
                <w:sz w:val="17"/>
              </w:rPr>
              <w:t>-B</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股票</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条件研究完成，暂不排名</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S046</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09688.HK</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再鼎医药</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股票</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情景研究完成</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S047</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01952.HK</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云顶新耀</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股票</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情景研究完成</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S048</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09969.HK</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诺诚健华</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股票</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情景研究完成</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S049</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06185.HK</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康希诺生物</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股票</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情景研究完成</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S050</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02196.HK</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复星医药</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股票</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情景研究完成</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S051</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03347.HK</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泰格医药</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股票</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情景研究完成</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S052</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06127.HK</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昭衍新药</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股票</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情景研究完成</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S053</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01877.HK</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君实生物</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股票</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情景研究完成</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S054</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02162.HK</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康诺亚</w:t>
            </w:r>
            <w:r>
              <w:rPr>
                <w:rFonts w:eastAsia="微软雅黑" w:ascii="微软雅黑" w:hAnsi="微软雅黑"/>
                <w:sz w:val="17"/>
              </w:rPr>
              <w:t>-B</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股票</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情景研究完成</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S055</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01801.HK</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信达生物</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股票</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情景研究完成</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S056</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02268.HK</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药明合联</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股票</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情景研究完成</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S057</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06821.HK</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凯莱英</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股票</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情景研究完成</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S058</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00867.HK</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康哲药业</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股票</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情景研究完成</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S059</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09995.HK</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荣昌生物</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股票</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情景研究完成</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S060</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09926.HK</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康方生物</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股票</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情景研究完成</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S061</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01763.HK</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中国同辐</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股票</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情景研究完成</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S064</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00100.HK</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MINIMAX-W</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股票</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情景研究完成</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S065</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02513.HK</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智谱</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股票</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情景研究完成</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S066</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09992.HK</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泡泡玛特</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股票</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情景研究完成</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S067</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01811.HK</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中广核新能源</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股票</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情景研究完成</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S068</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01797.HK</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东方甄选</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股票</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情景研究完成</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S069</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09880.HK</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优必选</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股票</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情景研究完成</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S070</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02400.HK</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心动公司</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股票</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情景研究完成</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S071</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01211.HK</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比亚迪股份</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股票</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情景研究完成</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S072</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09660.HK</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地平线机器人</w:t>
            </w:r>
            <w:r>
              <w:rPr>
                <w:rFonts w:eastAsia="微软雅黑" w:ascii="微软雅黑" w:hAnsi="微软雅黑"/>
                <w:sz w:val="17"/>
              </w:rPr>
              <w:t>-W</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股票</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情景研究完成</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S073</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03750.HK</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宁德时代</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股票</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情景研究完成</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S074</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09999.HK</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网易</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股票</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情景研究完成</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S075</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00992.HK</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联想集团</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股票</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情景研究完成</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S076</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09888.HK</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百度集团</w:t>
            </w:r>
            <w:r>
              <w:rPr>
                <w:rFonts w:eastAsia="微软雅黑" w:ascii="微软雅黑" w:hAnsi="微软雅黑"/>
                <w:sz w:val="17"/>
              </w:rPr>
              <w:t>-W</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股票</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情景研究完成</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S077</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00241.HK</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阿里健康</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股票</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情景研究完成</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S078</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06690.HK</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海尔智家</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股票</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情景研究完成</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S079</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00522.HK</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ASMPT</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股票</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情景研究完成</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S080</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09618.HK</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京东集团</w:t>
            </w:r>
            <w:r>
              <w:rPr>
                <w:rFonts w:eastAsia="微软雅黑" w:ascii="微软雅黑" w:hAnsi="微软雅黑"/>
                <w:sz w:val="17"/>
              </w:rPr>
              <w:t>-SW</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股票</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情景研究完成</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S081</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01347.HK</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华虹宏力</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股票</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情景研究完成</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S083</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00700.HK</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腾讯控股</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股票</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情景研究完成</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S084</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09626.HK</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哔哩哔哩</w:t>
            </w:r>
            <w:r>
              <w:rPr>
                <w:rFonts w:eastAsia="微软雅黑" w:ascii="微软雅黑" w:hAnsi="微软雅黑"/>
                <w:sz w:val="17"/>
              </w:rPr>
              <w:t>-W</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股票</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情景研究完成</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S085</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06618.HK</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京东健康</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股票</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情景研究完成</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S086</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09988.HK</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阿里巴巴</w:t>
            </w:r>
            <w:r>
              <w:rPr>
                <w:rFonts w:eastAsia="微软雅黑" w:ascii="微软雅黑" w:hAnsi="微软雅黑"/>
                <w:sz w:val="17"/>
              </w:rPr>
              <w:t>-W</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股票</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情景研究完成</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S087</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02382.HK</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舜宇光学科技</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股票</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情景研究完成</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S088</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09961.HK</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携程集团</w:t>
            </w:r>
            <w:r>
              <w:rPr>
                <w:rFonts w:eastAsia="微软雅黑" w:ascii="微软雅黑" w:hAnsi="微软雅黑"/>
                <w:sz w:val="17"/>
              </w:rPr>
              <w:t>-S</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股票</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情景研究完成</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S089</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03690.HK</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美团</w:t>
            </w:r>
            <w:r>
              <w:rPr>
                <w:rFonts w:eastAsia="微软雅黑" w:ascii="微软雅黑" w:hAnsi="微软雅黑"/>
                <w:sz w:val="17"/>
              </w:rPr>
              <w:t>-W</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股票</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情景研究完成</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S090</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00772.HK</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阅文集团</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股票</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情景研究完成</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S091</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01024.HK</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快手</w:t>
            </w:r>
            <w:r>
              <w:rPr>
                <w:rFonts w:eastAsia="微软雅黑" w:ascii="微软雅黑" w:hAnsi="微软雅黑"/>
                <w:sz w:val="17"/>
              </w:rPr>
              <w:t>-W</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股票</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情景研究完成</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S092</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00285.HK</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比亚迪电子</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股票</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情景研究完成</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S093</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00300.HK</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美的集团</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股票</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情景研究完成</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S094</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06060.HK</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众安在线</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股票</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情景研究完成</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S095</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02015.HK</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理想汽车</w:t>
            </w:r>
            <w:r>
              <w:rPr>
                <w:rFonts w:eastAsia="微软雅黑" w:ascii="微软雅黑" w:hAnsi="微软雅黑"/>
                <w:sz w:val="17"/>
              </w:rPr>
              <w:t>-W</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股票</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情景研究完成</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S096</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09868.HK</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小鹏集团</w:t>
            </w:r>
            <w:r>
              <w:rPr>
                <w:rFonts w:eastAsia="微软雅黑" w:ascii="微软雅黑" w:hAnsi="微软雅黑"/>
                <w:sz w:val="17"/>
              </w:rPr>
              <w:t>-W</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股票</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情景研究完成</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S097</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00780.HK</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同程旅行</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股票</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情景研究完成</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S098</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01810.HK</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小米集团</w:t>
            </w:r>
            <w:r>
              <w:rPr>
                <w:rFonts w:eastAsia="微软雅黑" w:ascii="微软雅黑" w:hAnsi="微软雅黑"/>
                <w:sz w:val="17"/>
              </w:rPr>
              <w:t>-W</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股票</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情景研究完成</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S099</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09866.HK</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蔚来</w:t>
            </w:r>
            <w:r>
              <w:rPr>
                <w:rFonts w:eastAsia="微软雅黑" w:ascii="微软雅黑" w:hAnsi="微软雅黑"/>
                <w:sz w:val="17"/>
              </w:rPr>
              <w:t>-SW</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股票</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情景研究完成</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S100</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00020.HK</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商汤</w:t>
            </w:r>
            <w:r>
              <w:rPr>
                <w:rFonts w:eastAsia="微软雅黑" w:ascii="微软雅黑" w:hAnsi="微软雅黑"/>
                <w:sz w:val="17"/>
              </w:rPr>
              <w:t>-W</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股票</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情景研究完成</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S101</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00268.HK</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金蝶国际</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股票</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情景研究完成</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S102</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03888.HK</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金山软件</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股票</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情景研究完成</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S103</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00981.HK</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中芯国际</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股票</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情景研究完成</w:t>
            </w:r>
          </w:p>
        </w:tc>
      </w:tr>
    </w:tbl>
    <w:p>
      <w:pPr>
        <w:pStyle w:val="Normal"/>
        <w:widowControl/>
        <w:bidi w:val="0"/>
        <w:spacing w:lineRule="auto" w:line="336" w:before="0" w:after="140"/>
        <w:jc w:val="start"/>
        <w:rPr/>
      </w:pPr>
      <w:r>
        <w:rPr/>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191" w:right="1191" w:gutter="0" w:header="720" w:top="1134" w:footer="720" w:bottom="10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宋体">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微软雅黑">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t xml:space="preserve">研究假设可更新  </w:t>
    </w:r>
    <w:r>
      <w:rPr/>
      <w:t xml:space="preserve">·  </w:t>
    </w:r>
    <w:r>
      <w:rPr/>
      <w:fldChar w:fldCharType="begin"/>
    </w:r>
    <w:r>
      <w:rPr/>
      <w:instrText xml:space="preserve"> PAGE </w:instrText>
    </w:r>
    <w:r>
      <w:rPr/>
      <w:fldChar w:fldCharType="separate"/>
    </w:r>
    <w:r>
      <w:rPr/>
      <w:t>40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t xml:space="preserve">研究假设可更新  </w:t>
    </w:r>
    <w:r>
      <w:rPr/>
      <w:t xml:space="preserve">·  </w:t>
    </w:r>
    <w:r>
      <w:rPr/>
      <w:fldChar w:fldCharType="begin"/>
    </w:r>
    <w:r>
      <w:rPr/>
      <w:instrText xml:space="preserve"> PAGE </w:instrText>
    </w:r>
    <w:r>
      <w:rPr/>
      <w:fldChar w:fldCharType="separate"/>
    </w:r>
    <w:r>
      <w:rPr/>
      <w:t>40</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sz w:val="16"/>
      </w:rPr>
      <w:t xml:space="preserve">医药与科技证券研究  </w:t>
    </w:r>
    <w:r>
      <w:rPr>
        <w:sz w:val="16"/>
      </w:rPr>
      <w:t xml:space="preserve">|  </w:t>
    </w:r>
    <w:r>
      <w:rPr>
        <w:sz w:val="16"/>
      </w:rPr>
      <w:t xml:space="preserve">价格基准 </w:t>
    </w:r>
    <w:r>
      <w:rPr>
        <w:sz w:val="16"/>
      </w:rPr>
      <w:t xml:space="preserve">2026-10-09  |  </w:t>
    </w:r>
    <w:r>
      <w:rPr>
        <w:sz w:val="16"/>
      </w:rPr>
      <w:t>初版</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sz w:val="16"/>
      </w:rPr>
      <w:t xml:space="preserve">医药与科技证券研究  </w:t>
    </w:r>
    <w:r>
      <w:rPr>
        <w:sz w:val="16"/>
      </w:rPr>
      <w:t xml:space="preserve">|  </w:t>
    </w:r>
    <w:r>
      <w:rPr>
        <w:sz w:val="16"/>
      </w:rPr>
      <w:t xml:space="preserve">价格基准 </w:t>
    </w:r>
    <w:r>
      <w:rPr>
        <w:sz w:val="16"/>
      </w:rPr>
      <w:t xml:space="preserve">2026-10-09  |  </w:t>
    </w:r>
    <w:r>
      <w:rPr>
        <w:sz w:val="16"/>
      </w:rPr>
      <w:t>初版</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336" w:before="0" w:after="140"/>
      <w:jc w:val="start"/>
    </w:pPr>
    <w:rPr>
      <w:rFonts w:ascii="宋体" w:hAnsi="宋体" w:eastAsia="宋体" w:cs="" w:cstheme="minorBid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000000"/>
      <w:sz w:val="34"/>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000000"/>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000000"/>
      <w:sz w:val="22"/>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rsid w:val="00e618bf"/>
    <w:rPr/>
  </w:style>
  <w:style w:type="character" w:styleId="FooterChar" w:customStyle="1">
    <w:name w:val="Footer Char"/>
    <w:basedOn w:val="DefaultParagraphFont"/>
    <w:uiPriority w:val="99"/>
    <w:rsid w:val="00e618bf"/>
    <w:rPr/>
  </w:style>
  <w:style w:type="character" w:styleId="DefaultParagraphFont" w:default="1">
    <w:name w:val="Default Paragraph Font"/>
    <w:uiPriority w:val="1"/>
    <w:semiHidden/>
    <w:unhideWhenUsed/>
    <w:rPr/>
  </w:style>
  <w:style w:type="character" w:styleId="Heading1Char" w:customStyle="1">
    <w:name w:val="Heading 1 Char"/>
    <w:basedOn w:val="DefaultParagraphFont"/>
    <w:uiPriority w:val="9"/>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rsid w:val="00aa1d8d"/>
    <w:rPr/>
  </w:style>
  <w:style w:type="character" w:styleId="BodyText2Char" w:customStyle="1">
    <w:name w:val="Body Text 2 Char"/>
    <w:basedOn w:val="DefaultParagraphFont"/>
    <w:link w:val="BodyText2"/>
    <w:uiPriority w:val="99"/>
    <w:rsid w:val="00aa1d8d"/>
    <w:rPr/>
  </w:style>
  <w:style w:type="character" w:styleId="BodyText3Char" w:customStyle="1">
    <w:name w:val="Body Text 3 Char"/>
    <w:basedOn w:val="DefaultParagraphFont"/>
    <w:link w:val="BodyText3"/>
    <w:uiPriority w:val="99"/>
    <w:rsid w:val="00aa1d8d"/>
    <w:rPr>
      <w:sz w:val="16"/>
      <w:szCs w:val="16"/>
    </w:rPr>
  </w:style>
  <w:style w:type="character" w:styleId="MacroTextChar" w:customStyle="1">
    <w:name w:val="Macro Text Char"/>
    <w:basedOn w:val="DefaultParagraphFont"/>
    <w:link w:val="MacroText"/>
    <w:uiPriority w:val="99"/>
    <w:rsid w:val="0029639d"/>
    <w:rPr>
      <w:rFonts w:ascii="Courier" w:hAnsi="Courier"/>
      <w:sz w:val="20"/>
      <w:szCs w:val="20"/>
    </w:rPr>
  </w:style>
  <w:style w:type="character" w:styleId="QuoteChar" w:customStyle="1">
    <w:name w:val="Quote Char"/>
    <w:basedOn w:val="DefaultParagraphFont"/>
    <w:link w:val="Quote"/>
    <w:uiPriority w:val="29"/>
    <w:rsid w:val="00fc693f"/>
    <w:rPr>
      <w:i/>
      <w:iCs/>
      <w:color w:themeColor="text1" w:val="000000"/>
    </w:rPr>
  </w:style>
  <w:style w:type="character" w:styleId="Heading4Char" w:customStyle="1">
    <w:name w:val="Heading 4 Char"/>
    <w:basedOn w:val="DefaultParagraphFont"/>
    <w:uiPriority w:val="9"/>
    <w:semiHidden/>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Style5">
    <w:name w:val="索引链接"/>
    <w:rPr/>
  </w:style>
  <w:style w:type="paragraph" w:styleId="Style6">
    <w:name w:val="标题样式"/>
    <w:basedOn w:val="Normal"/>
    <w:next w:val="BodyText"/>
    <w:pPr>
      <w:keepNext w:val="true"/>
      <w:spacing w:before="240" w:after="120"/>
    </w:pPr>
    <w:rPr>
      <w:rFonts w:ascii="Liberation Sans" w:hAnsi="Liberation Sans" w:eastAsia="微软雅黑"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4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rFonts w:ascii="微软雅黑" w:hAnsi="微软雅黑" w:eastAsia="微软雅黑"/>
      <w:b/>
      <w:bCs/>
      <w:color w:themeColor="accent1" w:val="4F81BD"/>
      <w:sz w:val="18"/>
      <w:szCs w:val="18"/>
    </w:rPr>
  </w:style>
  <w:style w:type="paragraph" w:styleId="Style7">
    <w:name w:val="索引"/>
    <w:basedOn w:val="Normal"/>
    <w:pPr>
      <w:suppressLineNumbers/>
    </w:pPr>
    <w:rPr>
      <w:rFonts w:cs="Arial"/>
    </w:rPr>
  </w:style>
  <w:style w:type="paragraph" w:styleId="Style8">
    <w:name w:val="页眉与页脚"/>
    <w:basedOn w:val="Normal"/>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keepNext w:val="true"/>
      <w:spacing w:lineRule="auto" w:line="240" w:before="0" w:after="300"/>
      <w:contextualSpacing/>
    </w:pPr>
    <w:rPr>
      <w:rFonts w:ascii="Calibri" w:hAnsi="Calibri" w:eastAsia="ＭＳ ゴシック" w:cs="" w:asciiTheme="majorHAnsi" w:cstheme="majorBidi" w:eastAsiaTheme="majorEastAsia" w:hAnsiTheme="majorHAnsi"/>
      <w:color w:val="000000"/>
      <w:spacing w:val="5"/>
      <w:kern w:val="2"/>
      <w:sz w:val="48"/>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40"/>
      <w:ind w:start="720"/>
      <w:contextualSpacing/>
    </w:pPr>
    <w:rPr/>
  </w:style>
  <w:style w:type="paragraph" w:styleId="BodyText2">
    <w:name w:val="Body Text 2"/>
    <w:basedOn w:val="Normal"/>
    <w:link w:val="BodyText2Char"/>
    <w:uiPriority w:val="99"/>
    <w:unhideWhenUsed/>
    <w:rsid w:val="00aa1d8d"/>
    <w:pPr>
      <w:spacing w:lineRule="auto" w:line="480" w:before="0" w:after="120"/>
    </w:pPr>
    <w:rPr/>
  </w:style>
  <w:style w:type="paragraph" w:styleId="BodyText3">
    <w:name w:val="Body Text 3"/>
    <w:basedOn w:val="Normal"/>
    <w:link w:val="BodyText3Char"/>
    <w:uiPriority w:val="99"/>
    <w:unhideWhenUsed/>
    <w:rsid w:val="00aa1d8d"/>
    <w:pPr>
      <w:spacing w:before="0" w:after="120"/>
    </w:pPr>
    <w:rPr>
      <w:sz w:val="16"/>
      <w:szCs w:val="16"/>
    </w:rPr>
  </w:style>
  <w:style w:type="paragraph" w:styleId="List2">
    <w:name w:val="List 2"/>
    <w:basedOn w:val="Normal"/>
    <w:uiPriority w:val="99"/>
    <w:unhideWhenUsed/>
    <w:rsid w:val="00326f90"/>
    <w:pPr>
      <w:spacing w:before="0" w:after="140"/>
      <w:ind w:hanging="360" w:start="720"/>
      <w:contextualSpacing/>
    </w:pPr>
    <w:rPr/>
  </w:style>
  <w:style w:type="paragraph" w:styleId="List3">
    <w:name w:val="List 3"/>
    <w:basedOn w:val="Normal"/>
    <w:uiPriority w:val="99"/>
    <w:unhideWhenUsed/>
    <w:rsid w:val="00326f90"/>
    <w:pPr>
      <w:spacing w:before="0" w:after="140"/>
      <w:ind w:hanging="360" w:start="1080"/>
      <w:contextualSpacing/>
    </w:pPr>
    <w:rPr/>
  </w:style>
  <w:style w:type="paragraph" w:styleId="ListBullet">
    <w:name w:val="List Bullet"/>
    <w:basedOn w:val="Normal"/>
    <w:uiPriority w:val="99"/>
    <w:unhideWhenUsed/>
    <w:rsid w:val="00326f90"/>
    <w:pPr>
      <w:numPr>
        <w:ilvl w:val="0"/>
        <w:numId w:val="1"/>
      </w:numPr>
      <w:spacing w:before="0" w:after="140"/>
      <w:contextualSpacing/>
    </w:pPr>
    <w:rPr/>
  </w:style>
  <w:style w:type="paragraph" w:styleId="ListBullet2">
    <w:name w:val="List Bullet 2"/>
    <w:basedOn w:val="Normal"/>
    <w:uiPriority w:val="99"/>
    <w:unhideWhenUsed/>
    <w:rsid w:val="00326f90"/>
    <w:pPr>
      <w:numPr>
        <w:ilvl w:val="0"/>
        <w:numId w:val="2"/>
      </w:numPr>
      <w:spacing w:before="0" w:after="140"/>
      <w:contextualSpacing/>
    </w:pPr>
    <w:rPr/>
  </w:style>
  <w:style w:type="paragraph" w:styleId="ListBullet3">
    <w:name w:val="List Bullet 3"/>
    <w:basedOn w:val="Normal"/>
    <w:uiPriority w:val="99"/>
    <w:unhideWhenUsed/>
    <w:rsid w:val="00326f90"/>
    <w:pPr>
      <w:numPr>
        <w:ilvl w:val="0"/>
        <w:numId w:val="3"/>
      </w:numPr>
      <w:spacing w:before="0" w:after="140"/>
      <w:contextualSpacing/>
    </w:pPr>
    <w:rPr/>
  </w:style>
  <w:style w:type="paragraph" w:styleId="ListNumber">
    <w:name w:val="List Number"/>
    <w:basedOn w:val="Normal"/>
    <w:uiPriority w:val="99"/>
    <w:unhideWhenUsed/>
    <w:rsid w:val="00326f90"/>
    <w:pPr>
      <w:numPr>
        <w:ilvl w:val="0"/>
        <w:numId w:val="4"/>
      </w:numPr>
      <w:spacing w:before="0" w:after="140"/>
      <w:contextualSpacing/>
    </w:pPr>
    <w:rPr/>
  </w:style>
  <w:style w:type="paragraph" w:styleId="ListNumber2">
    <w:name w:val="List Number 2"/>
    <w:basedOn w:val="Normal"/>
    <w:uiPriority w:val="99"/>
    <w:unhideWhenUsed/>
    <w:rsid w:val="0029639d"/>
    <w:pPr>
      <w:numPr>
        <w:ilvl w:val="0"/>
        <w:numId w:val="5"/>
      </w:numPr>
      <w:spacing w:before="0" w:after="140"/>
      <w:contextualSpacing/>
    </w:pPr>
    <w:rPr/>
  </w:style>
  <w:style w:type="paragraph" w:styleId="ListNumber3">
    <w:name w:val="List Number 3"/>
    <w:basedOn w:val="Normal"/>
    <w:uiPriority w:val="99"/>
    <w:unhideWhenUsed/>
    <w:rsid w:val="0029639d"/>
    <w:pPr>
      <w:numPr>
        <w:ilvl w:val="0"/>
        <w:numId w:val="6"/>
      </w:numPr>
      <w:spacing w:before="0" w:after="14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Style6"/>
    <w:pPr/>
    <w:rPr/>
  </w:style>
  <w:style w:type="paragraph" w:styleId="TOCHeading">
    <w:name w:val="TOC Heading"/>
    <w:basedOn w:val="Heading1"/>
    <w:next w:val="Normal"/>
    <w:uiPriority w:val="39"/>
    <w:semiHidden/>
    <w:unhideWhenUsed/>
    <w:qFormat/>
    <w:rsid w:val="00fc693f"/>
    <w:pPr>
      <w:outlineLvl w:val="9"/>
    </w:pPr>
    <w:rPr/>
  </w:style>
  <w:style w:type="paragraph" w:styleId="TOC1">
    <w:name w:val="toc 1"/>
    <w:basedOn w:val="Style7"/>
    <w:pPr>
      <w:keepNext w:val="false"/>
      <w:tabs>
        <w:tab w:val="clear" w:pos="720"/>
        <w:tab w:val="right" w:pos="9858" w:leader="dot"/>
      </w:tabs>
      <w:spacing w:before="0" w:after="0"/>
      <w:ind w:hanging="0" w:start="0"/>
    </w:pPr>
    <w:rPr>
      <w:sz w:val="18"/>
    </w:rPr>
  </w:style>
  <w:style w:type="paragraph" w:styleId="TOC2">
    <w:name w:val="toc 2"/>
    <w:basedOn w:val="Style7"/>
    <w:pPr>
      <w:keepNext w:val="false"/>
      <w:tabs>
        <w:tab w:val="clear" w:pos="720"/>
        <w:tab w:val="right" w:pos="9575" w:leader="dot"/>
      </w:tabs>
      <w:spacing w:before="0" w:after="0"/>
      <w:ind w:hanging="0" w:start="283"/>
    </w:pPr>
    <w:rPr>
      <w:sz w:val="18"/>
    </w:rPr>
  </w:style>
  <w:style w:type="paragraph" w:styleId="TOC3">
    <w:name w:val="toc 3"/>
    <w:basedOn w:val="Style7"/>
    <w:pPr>
      <w:keepNext w:val="false"/>
      <w:tabs>
        <w:tab w:val="clear" w:pos="720"/>
        <w:tab w:val="right" w:pos="9291" w:leader="dot"/>
      </w:tabs>
      <w:spacing w:before="0" w:after="0"/>
      <w:ind w:hanging="0" w:start="567"/>
    </w:pPr>
    <w:rPr>
      <w:sz w:val="18"/>
    </w:rPr>
  </w:style>
  <w:style w:type="numbering" w:styleId="Style9" w:default="1">
    <w:name w:val="无列表"/>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LibreOffice/26.8.0.3$Windows_X86_64 LibreOffice_project/bce0998afefdbc355585ca324285661a2170ba77</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证券研究工作区</dc:creator>
  <dc:description>generated by python-docx</dc:description>
  <dc:language>zh-CN</dc:language>
  <cp:lastModifiedBy/>
  <dcterms:modified xsi:type="dcterms:W3CDTF">2026-10-11T16:03:16Z</dcterms:modified>
  <cp:revision>2</cp:revision>
  <dc:subject>研究数据版本 63ca87a2011995a6</dc:subject>
  <dc:title>医药与科技股票研究 · 总报告</dc:title>
</cp:coreProperties>
</file>

<file path=docProps/custom.xml><?xml version="1.0" encoding="utf-8"?>
<Properties xmlns="http://schemas.openxmlformats.org/officeDocument/2006/custom-properties" xmlns:vt="http://schemas.openxmlformats.org/officeDocument/2006/docPropsVTypes"/>
</file>