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05</w:t>
      </w:r>
      <w:r>
        <w:rPr>
          <w:color w:val="000000"/>
        </w:rPr>
        <w:t>卷</w:t>
      </w:r>
    </w:p>
    <w:p>
      <w:pPr>
        <w:pStyle w:val="Normal"/>
        <w:rPr/>
      </w:pPr>
      <w:r>
        <w:rPr/>
        <w:t>本卷</w:t>
      </w:r>
      <w:r>
        <w:rPr/>
        <w:t>8</w:t>
      </w:r>
      <w:r>
        <w:rPr/>
        <w:t>家公司 按四榜最高名次 同名次一年得分及代码安排</w:t>
      </w:r>
    </w:p>
    <w:p>
      <w:pPr>
        <w:pStyle w:val="Normal"/>
        <w:rPr/>
      </w:pPr>
      <w:r>
        <w:rPr/>
        <w:t>资料截止：</w:t>
      </w:r>
      <w:r>
        <w:rPr/>
        <w:t>2026</w:t>
      </w:r>
      <w:r>
        <w:rPr/>
        <w:t>年</w:t>
      </w:r>
      <w:r>
        <w:rPr/>
        <w:t>10</w:t>
      </w:r>
      <w:r>
        <w:rPr/>
        <w:t>月</w:t>
      </w:r>
      <w:r>
        <w:rPr/>
        <w:t>9</w:t>
      </w:r>
      <w:r>
        <w:rPr/>
        <w:t>日。所有未来价格、盈利、估值、分红和汇率均为研究假设。研究覆盖</w:t>
      </w:r>
      <w:r>
        <w:rPr/>
        <w:t>92</w:t>
      </w:r>
      <w:r>
        <w:rPr/>
        <w:t>家公司、</w:t>
      </w:r>
      <w:r>
        <w:rPr/>
        <w:t>96</w:t>
      </w:r>
      <w:r>
        <w:rPr/>
        <w:t>个股票证券，全部公司正文通过一万有效汉字门槛。</w:t>
      </w:r>
      <w:r>
        <w:rPr/>
        <w:t>91</w:t>
      </w:r>
      <w:r>
        <w:rPr/>
        <w:t>个可评估证券形成四期限排名，</w:t>
      </w:r>
      <w:r>
        <w:rPr/>
        <w:t>5</w:t>
      </w:r>
      <w:r>
        <w:rPr/>
        <w:t xml:space="preserve">个条件研究证券保留独立分析并暂不排名。全部公司深研和股票模型已覆盖，文档按同一数据版本生成。初版结论可随新增证据修订。数据版本 </w:t>
      </w:r>
      <w:r>
        <w:rPr/>
        <w:t>63ca87a2011995a6</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27119_1364803659" w:tooltip="心动公司 02400 HK">
            <w:r>
              <w:rPr>
                <w:rStyle w:val="Style5"/>
              </w:rPr>
              <w:t xml:space="preserve">心动公司 </w:t>
            </w:r>
            <w:r>
              <w:rPr>
                <w:rStyle w:val="Style5"/>
              </w:rPr>
              <w:t>02400 HK</w:t>
              <w:tab/>
              <w:t>3</w:t>
            </w:r>
          </w:hyperlink>
        </w:p>
        <w:p>
          <w:pPr>
            <w:pStyle w:val="TOC1"/>
            <w:tabs>
              <w:tab w:val="clear" w:pos="9858"/>
              <w:tab w:val="right" w:pos="9857" w:leader="dot"/>
            </w:tabs>
            <w:rPr/>
          </w:pPr>
          <w:hyperlink w:anchor="__RefHeading___Toc27121_1364803659" w:tooltip="诺诚健华 09969 HK">
            <w:r>
              <w:rPr>
                <w:rStyle w:val="Style5"/>
              </w:rPr>
              <w:t xml:space="preserve">诺诚健华 </w:t>
            </w:r>
            <w:r>
              <w:rPr>
                <w:rStyle w:val="Style5"/>
              </w:rPr>
              <w:t>09969 HK</w:t>
              <w:tab/>
              <w:t>25</w:t>
            </w:r>
          </w:hyperlink>
        </w:p>
        <w:p>
          <w:pPr>
            <w:pStyle w:val="TOC1"/>
            <w:tabs>
              <w:tab w:val="clear" w:pos="9858"/>
              <w:tab w:val="right" w:pos="9857" w:leader="dot"/>
            </w:tabs>
            <w:rPr/>
          </w:pPr>
          <w:hyperlink w:anchor="__RefHeading___Toc27123_1364803659" w:tooltip="阅文集团 00772 HK">
            <w:r>
              <w:rPr>
                <w:rStyle w:val="Style5"/>
              </w:rPr>
              <w:t xml:space="preserve">阅文集团 </w:t>
            </w:r>
            <w:r>
              <w:rPr>
                <w:rStyle w:val="Style5"/>
              </w:rPr>
              <w:t>00772 HK</w:t>
              <w:tab/>
              <w:t>47</w:t>
            </w:r>
          </w:hyperlink>
        </w:p>
        <w:p>
          <w:pPr>
            <w:pStyle w:val="TOC1"/>
            <w:tabs>
              <w:tab w:val="clear" w:pos="9858"/>
              <w:tab w:val="right" w:pos="9857" w:leader="dot"/>
            </w:tabs>
            <w:rPr/>
          </w:pPr>
          <w:hyperlink w:anchor="__RefHeading___Toc27125_1364803659" w:tooltip="哔哩哔哩 W 09626 HK">
            <w:r>
              <w:rPr>
                <w:rStyle w:val="Style5"/>
              </w:rPr>
              <w:t xml:space="preserve">哔哩哔哩 </w:t>
            </w:r>
            <w:r>
              <w:rPr>
                <w:rStyle w:val="Style5"/>
              </w:rPr>
              <w:t>W 09626 HK</w:t>
              <w:tab/>
              <w:t>69</w:t>
            </w:r>
          </w:hyperlink>
        </w:p>
        <w:p>
          <w:pPr>
            <w:pStyle w:val="TOC1"/>
            <w:tabs>
              <w:tab w:val="clear" w:pos="9858"/>
              <w:tab w:val="right" w:pos="9857" w:leader="dot"/>
            </w:tabs>
            <w:rPr/>
          </w:pPr>
          <w:hyperlink w:anchor="__RefHeading___Toc27127_1364803659" w:tooltip="携程集团 S 09961 HK">
            <w:r>
              <w:rPr>
                <w:rStyle w:val="Style5"/>
              </w:rPr>
              <w:t xml:space="preserve">携程集团 </w:t>
            </w:r>
            <w:r>
              <w:rPr>
                <w:rStyle w:val="Style5"/>
              </w:rPr>
              <w:t>S 09961 HK</w:t>
              <w:tab/>
              <w:t>88</w:t>
            </w:r>
          </w:hyperlink>
        </w:p>
        <w:p>
          <w:pPr>
            <w:pStyle w:val="TOC1"/>
            <w:tabs>
              <w:tab w:val="clear" w:pos="9858"/>
              <w:tab w:val="right" w:pos="9857" w:leader="dot"/>
            </w:tabs>
            <w:rPr/>
          </w:pPr>
          <w:hyperlink w:anchor="__RefHeading___Toc27129_1364803659" w:tooltip="康方生物 09926 HK">
            <w:r>
              <w:rPr>
                <w:rStyle w:val="Style5"/>
              </w:rPr>
              <w:t xml:space="preserve">康方生物 </w:t>
            </w:r>
            <w:r>
              <w:rPr>
                <w:rStyle w:val="Style5"/>
              </w:rPr>
              <w:t>09926 HK</w:t>
              <w:tab/>
              <w:t>108</w:t>
            </w:r>
          </w:hyperlink>
        </w:p>
        <w:p>
          <w:pPr>
            <w:pStyle w:val="TOC1"/>
            <w:tabs>
              <w:tab w:val="clear" w:pos="9858"/>
              <w:tab w:val="right" w:pos="9857" w:leader="dot"/>
            </w:tabs>
            <w:rPr/>
          </w:pPr>
          <w:hyperlink w:anchor="__RefHeading___Toc27131_1364803659" w:tooltip="小米集团 W 01810 HK">
            <w:r>
              <w:rPr>
                <w:rStyle w:val="Style5"/>
              </w:rPr>
              <w:t xml:space="preserve">小米集团 </w:t>
            </w:r>
            <w:r>
              <w:rPr>
                <w:rStyle w:val="Style5"/>
              </w:rPr>
              <w:t>W 01810 HK</w:t>
              <w:tab/>
              <w:t>125</w:t>
            </w:r>
          </w:hyperlink>
        </w:p>
        <w:p>
          <w:pPr>
            <w:pStyle w:val="TOC1"/>
            <w:tabs>
              <w:tab w:val="clear" w:pos="9858"/>
              <w:tab w:val="right" w:pos="9857" w:leader="dot"/>
            </w:tabs>
            <w:rPr/>
          </w:pPr>
          <w:hyperlink w:anchor="__RefHeading___Toc27133_1364803659" w:tooltip="皓元医药 688131 SH">
            <w:r>
              <w:rPr>
                <w:rStyle w:val="Style5"/>
              </w:rPr>
              <w:t xml:space="preserve">皓元医药 </w:t>
            </w:r>
            <w:r>
              <w:rPr>
                <w:rStyle w:val="Style5"/>
              </w:rPr>
              <w:t>688131 SH</w:t>
              <w:tab/>
              <w:t>143</w:t>
            </w:r>
          </w:hyperlink>
          <w:r>
            <w:rPr>
              <w:rStyle w:val="Style5"/>
            </w:rPr>
            <w:fldChar w:fldCharType="end"/>
          </w:r>
        </w:p>
      </w:sdtContent>
    </w:sdt>
    <w:p>
      <w:pPr>
        <w:pStyle w:val="Normal"/>
        <w:rPr/>
      </w:pPr>
      <w:r>
        <w:rPr/>
      </w:r>
      <w:r>
        <w:br w:type="page"/>
      </w:r>
    </w:p>
    <w:p>
      <w:pPr>
        <w:pStyle w:val="Heading1"/>
        <w:rPr/>
      </w:pPr>
      <w:bookmarkStart w:id="0" w:name="__RefHeading___Toc27119_1364803659"/>
      <w:bookmarkEnd w:id="0"/>
      <w:r>
        <w:rPr>
          <w:color w:val="000000"/>
        </w:rPr>
        <w:t xml:space="preserve">心动公司 </w:t>
      </w:r>
      <w:r>
        <w:rPr>
          <w:color w:val="000000"/>
        </w:rPr>
        <w:t>02400 HK</w:t>
      </w:r>
    </w:p>
    <w:p>
      <w:pPr>
        <w:pStyle w:val="Normal"/>
        <w:rPr/>
      </w:pPr>
      <w:r>
        <w:rPr/>
        <w:t xml:space="preserve">02400.HK </w:t>
      </w:r>
      <w:r>
        <w:rPr/>
        <w:t xml:space="preserve">现价 </w:t>
      </w:r>
      <w:r>
        <w:rPr/>
        <w:t>39.40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58.02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+47.26%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+85.46%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+89.01%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76.72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+94.72%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+102.34%</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18.22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40.65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46.53HKD</w:t>
      </w:r>
      <w:r>
        <w:rPr/>
        <w:t>，期望股价回报</w:t>
      </w:r>
      <w:r>
        <w:rPr/>
        <w:t>+18.11%</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13.99</w:t>
              <w:br/>
              <w:t>-64.49%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47.59</w:t>
              <w:br/>
              <w:t>+20.79%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105.18</w:t>
              <w:br/>
              <w:t>+166.95%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12.81</w:t>
              <w:br/>
              <w:t>-67.49%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58.02</w:t>
              <w:br/>
              <w:t>+47.26%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132.66</w:t>
              <w:br/>
              <w:t>+236.70%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8.86</w:t>
              <w:br/>
              <w:t>-77.51%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73.07</w:t>
              <w:br/>
              <w:t>+85.46%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190.84</w:t>
              <w:br/>
              <w:t>+384.37%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+23.64%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8.32</w:t>
              <w:br/>
              <w:t>-78.88%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76.72</w:t>
              <w:br/>
              <w:t>+94.72%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235.43</w:t>
              <w:br/>
              <w:t>+497.54%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+15.14%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中：锁定行情</w:t>
            </w:r>
            <w:r>
              <w:rPr>
                <w:rFonts w:eastAsia="微软雅黑" w:ascii="微软雅黑" w:hAnsi="微软雅黑"/>
                <w:sz w:val="17"/>
              </w:rPr>
              <w:t>/</w:t>
            </w:r>
            <w:r>
              <w:rPr>
                <w:rFonts w:ascii="微软雅黑" w:hAnsi="微软雅黑" w:eastAsia="微软雅黑"/>
                <w:sz w:val="17"/>
              </w:rPr>
              <w:t>交易所财务及股数高；产品收入未分拆、未来费用与生命周期中低，</w:t>
            </w:r>
            <w:r>
              <w:rPr>
                <w:rFonts w:eastAsia="微软雅黑" w:ascii="微软雅黑" w:hAnsi="微软雅黑"/>
                <w:sz w:val="17"/>
              </w:rPr>
              <w:t>90</w:t>
            </w:r>
            <w:r>
              <w:rPr>
                <w:rFonts w:ascii="微软雅黑" w:hAnsi="微软雅黑" w:eastAsia="微软雅黑"/>
                <w:sz w:val="17"/>
              </w:rPr>
              <w:t>日外资公司特定更新未找到</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+14.75%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+26.83%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+55.55%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+89.01%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+98.46%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+92.22%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+102.34%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+112.45%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I060</w:t>
      </w:r>
      <w:r>
        <w:rPr/>
        <w:t>，证券</w:t>
      </w:r>
      <w:r>
        <w:rPr/>
        <w:t>S070</w:t>
      </w:r>
      <w:r>
        <w:rPr/>
        <w:t>，优先代码</w:t>
      </w:r>
      <w:r>
        <w:rPr/>
        <w:t>02400.HK</w:t>
      </w:r>
      <w:r>
        <w:rPr/>
        <w:t>。全部行情固定</w:t>
      </w:r>
      <w:r>
        <w:rPr/>
        <w:t>2026</w:t>
      </w:r>
      <w:r>
        <w:rPr/>
        <w:t>年</w:t>
      </w:r>
      <w:r>
        <w:rPr/>
        <w:t>10</w:t>
      </w:r>
      <w:r>
        <w:rPr/>
        <w:t>月</w:t>
      </w:r>
      <w:r>
        <w:rPr/>
        <w:t>9</w:t>
      </w:r>
      <w:r>
        <w:rPr/>
        <w:t>日收盘</w:t>
      </w:r>
      <w:r>
        <w:rPr/>
        <w:t>39.40</w:t>
      </w:r>
      <w:r>
        <w:rPr/>
        <w:t>港元，资料截止同日。判断采用进取型标准。证据可信度中：交易所财务、法定股数和锁定日线较高，单作生命周期、未来平台转化和成本率中低。四榜梯队以总表动态结果为准，本章不自行宣布前十。</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w:t>
            </w:r>
            <w:r>
              <w:rPr>
                <w:rFonts w:eastAsia="微软雅黑" w:ascii="微软雅黑" w:hAnsi="微软雅黑"/>
                <w:b/>
                <w:color w:val="FFFFFF"/>
                <w:sz w:val="17"/>
              </w:rPr>
              <w:t>HKD</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累计基准现金息</w:t>
            </w:r>
            <w:r>
              <w:rPr>
                <w:rFonts w:eastAsia="微软雅黑" w:ascii="微软雅黑" w:hAnsi="微软雅黑"/>
                <w:b/>
                <w:color w:val="FFFFFF"/>
                <w:sz w:val="17"/>
              </w:rPr>
              <w:t>HKD</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13.99 / 47.59 / 105.18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20.79%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12.81 / 58.02 / 132.66</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47.26%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48.15%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8.86 / 73.07 / 190.84</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85.46%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89.01%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8.32 / 76.72 / 235.43</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94.72%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102.34%</w:t>
            </w:r>
          </w:p>
        </w:tc>
      </w:tr>
    </w:tbl>
    <w:p>
      <w:pPr>
        <w:pStyle w:val="Normal"/>
        <w:rPr/>
      </w:pPr>
      <w:r>
        <w:rPr/>
      </w:r>
    </w:p>
    <w:p>
      <w:pPr>
        <w:pStyle w:val="Normal"/>
        <w:rPr/>
      </w:pPr>
      <w:r>
        <w:rPr/>
        <w:t>三年、五年基准含息年化分别</w:t>
      </w:r>
      <w:r>
        <w:rPr/>
        <w:t>23.64%</w:t>
      </w:r>
      <w:r>
        <w:rPr/>
        <w:t>、</w:t>
      </w:r>
      <w:r>
        <w:rPr/>
        <w:t>15.14%</w:t>
      </w:r>
      <w:r>
        <w:rPr/>
        <w:t>。年底悲观</w:t>
      </w:r>
      <w:r>
        <w:rPr/>
        <w:t>18.22</w:t>
      </w:r>
      <w:r>
        <w:rPr/>
        <w:t>、基准</w:t>
      </w:r>
      <w:r>
        <w:rPr/>
        <w:t>40.65</w:t>
      </w:r>
      <w:r>
        <w:rPr/>
        <w:t>、乐观</w:t>
      </w:r>
      <w:r>
        <w:rPr/>
        <w:t>86.62</w:t>
      </w:r>
      <w:r>
        <w:rPr/>
        <w:t>港元，对应−</w:t>
      </w:r>
      <w:r>
        <w:rPr/>
        <w:t>53.76%</w:t>
      </w:r>
      <w:r>
        <w:rPr/>
        <w:t>、</w:t>
      </w:r>
      <w:r>
        <w:rPr/>
        <w:t>+3.17%</w:t>
      </w:r>
      <w:r>
        <w:rPr/>
        <w:t>、</w:t>
      </w:r>
      <w:r>
        <w:rPr/>
        <w:t>+119.85%</w:t>
      </w:r>
      <w:r>
        <w:rPr/>
        <w:t>。</w:t>
      </w:r>
      <w:r>
        <w:rPr/>
        <w:t>25%/50%/25%</w:t>
      </w:r>
      <w:r>
        <w:rPr/>
        <w:t>判断权重期望</w:t>
      </w:r>
      <w:r>
        <w:rPr/>
        <w:t>46.535</w:t>
      </w:r>
      <w:r>
        <w:rPr/>
        <w:t>港元、</w:t>
      </w:r>
      <w:r>
        <w:rPr/>
        <w:t>+18.11%</w:t>
      </w:r>
      <w:r>
        <w:rPr/>
        <w:t>；</w:t>
      </w:r>
      <w:r>
        <w:rPr/>
        <w:t>40%/50%/10%</w:t>
      </w:r>
      <w:r>
        <w:rPr/>
        <w:t>防御权重</w:t>
      </w:r>
      <w:r>
        <w:rPr/>
        <w:t>36.275</w:t>
      </w:r>
      <w:r>
        <w:rPr/>
        <w:t>港元、−</w:t>
      </w:r>
      <w:r>
        <w:rPr/>
        <w:t>7.93%</w:t>
      </w:r>
      <w:r>
        <w:rPr/>
        <w:t>；</w:t>
      </w:r>
      <w:r>
        <w:rPr/>
        <w:t>10%/50%/40%</w:t>
      </w:r>
      <w:r>
        <w:rPr/>
        <w:t>积极权重</w:t>
      </w:r>
      <w:r>
        <w:rPr/>
        <w:t>56.795</w:t>
      </w:r>
      <w:r>
        <w:rPr/>
        <w:t>港元、</w:t>
      </w:r>
      <w:r>
        <w:rPr/>
        <w:t>+44.15%</w:t>
      </w:r>
      <w:r>
        <w:rPr/>
        <w:t>。情景幅度是条件估值结果，不能理解为未来两个月波动置信区间。</w:t>
      </w:r>
    </w:p>
    <w:p>
      <w:pPr>
        <w:pStyle w:val="Normal"/>
        <w:rPr/>
      </w:pPr>
      <w:r>
        <w:rPr/>
        <w:t>主要结论成立条件：核心产品留存能抵消上线初期回落，</w:t>
      </w:r>
      <w:r>
        <w:rPr/>
        <w:t>Tap</w:t>
      </w:r>
      <w:r>
        <w:rPr/>
        <w:t>广告转化恢复，研发尤其</w:t>
      </w:r>
      <w:r>
        <w:rPr/>
        <w:t>AI</w:t>
      </w:r>
      <w:r>
        <w:rPr/>
        <w:t>支出带来可见产品效率，正常税后归母利润及现金流足够支撑估值。推翻条件包括广告收入连续衰减、产品组合未补旧作、渠道成本持续侵蚀毛利、研发失去回报或少数权益及回购造成每股经济利益恶化。</w:t>
      </w:r>
    </w:p>
    <w:p>
      <w:pPr>
        <w:pStyle w:val="Heading2"/>
        <w:rPr/>
      </w:pPr>
      <w:r>
        <w:rPr>
          <w:color w:val="000000"/>
        </w:rPr>
        <w:t>一 两条业务之间的经济联系</w:t>
      </w:r>
    </w:p>
    <w:p>
      <w:pPr>
        <w:pStyle w:val="Normal"/>
        <w:rPr/>
      </w:pPr>
      <w:r>
        <w:rPr/>
        <w:t>心动的投资对象由游戏研发发行和</w:t>
      </w:r>
      <w:r>
        <w:rPr/>
        <w:t>TapTap</w:t>
      </w:r>
      <w:r>
        <w:rPr/>
        <w:t>平台两条正式业务构成。游戏以内容吸引玩家并获得付费，平台以发现、评价、下载和社区服务连接玩家与开发者，主要通过在线营销服务变现。两条业务互相提供内容和流量，但收入机制不同。将全部业务估成纯广告平台，会低估游戏制作与维护成本；将全部估成单一游戏发行商，又会漏看</w:t>
      </w:r>
      <w:r>
        <w:rPr/>
        <w:t>TapTap</w:t>
      </w:r>
      <w:r>
        <w:rPr/>
        <w:t>对获客及开发者关系的积累。因此本模型分别预测收入与毛利，再扣完整集团费用。</w:t>
      </w:r>
    </w:p>
    <w:p>
      <w:pPr>
        <w:pStyle w:val="Normal"/>
        <w:rPr/>
      </w:pPr>
      <w:r>
        <w:rPr/>
        <w:t>2025</w:t>
      </w:r>
      <w:r>
        <w:rPr/>
        <w:t>年游戏收入</w:t>
      </w:r>
      <w:r>
        <w:rPr/>
        <w:t>37.96067</w:t>
      </w:r>
      <w:r>
        <w:rPr/>
        <w:t>亿元，</w:t>
      </w:r>
      <w:r>
        <w:rPr/>
        <w:t>TapTap</w:t>
      </w:r>
      <w:r>
        <w:rPr/>
        <w:t>收入</w:t>
      </w:r>
      <w:r>
        <w:rPr/>
        <w:t>19.67672</w:t>
      </w:r>
      <w:r>
        <w:rPr/>
        <w:t>亿元，总收入</w:t>
      </w:r>
      <w:r>
        <w:rPr/>
        <w:t>57.63739</w:t>
      </w:r>
      <w:r>
        <w:rPr/>
        <w:t>亿元。</w:t>
      </w:r>
      <w:r>
        <w:rPr/>
        <w:t>2026</w:t>
      </w:r>
      <w:r>
        <w:rPr/>
        <w:t>年上半年游戏收入</w:t>
      </w:r>
      <w:r>
        <w:rPr/>
        <w:t>23.17903</w:t>
      </w:r>
      <w:r>
        <w:rPr/>
        <w:t>亿元，平台</w:t>
      </w:r>
      <w:r>
        <w:rPr/>
        <w:t>9.94332</w:t>
      </w:r>
      <w:r>
        <w:rPr/>
        <w:t>亿元，集团</w:t>
      </w:r>
      <w:r>
        <w:rPr/>
        <w:t>33.12235</w:t>
      </w:r>
      <w:r>
        <w:rPr/>
        <w:t>亿元。游戏比重由全年约三分之二提升至上半年的七成，短期增长的主要推动力来自游戏，平台收入反而同比下降。业务比例变化会改变整体毛利率和收入波动，不能沿用过去平台高增长时的集团利润率而不解释结构。</w:t>
      </w:r>
    </w:p>
    <w:p>
      <w:pPr>
        <w:pStyle w:val="Normal"/>
        <w:rPr/>
      </w:pPr>
      <w:r>
        <w:rPr/>
        <w:t>平台对公司的帮助可以沿三步检查。首先，独家或特色内容是否让用户持续访问；其次，开发者是否愿意在平台增加推广预算；最后，推广效果是否改善、广告收入能否覆盖平台建设及集团研发投入。用户规模只是第一步的指标，无法单独证明后两步。现阶段</w:t>
      </w:r>
      <w:r>
        <w:rPr/>
        <w:t>TapTap</w:t>
      </w:r>
      <w:r>
        <w:rPr/>
        <w:t>国内用户增加而广告持平，已经提醒投资者，内容流量与现金回报之间存在需要验证的距离。</w:t>
      </w:r>
    </w:p>
    <w:p>
      <w:pPr>
        <w:pStyle w:val="Normal"/>
        <w:rPr/>
      </w:pPr>
      <w:r>
        <w:rPr/>
        <w:t>游戏业务的壁垒也不能仅用上线产品数量说明。一款游戏要维持长期回报，需要稳定更新、玩家社区、内容节奏、付费设计和多地区运营。上线数量增多会消耗研发与营销资源，如果旧游戏更新减少、新作又未形成留存，组合可能出现收入空窗。公司的平台可以降低某些试错成本，却不能保证每个内部项目成功，也不能免除第三方内容授权及分成。</w:t>
      </w:r>
    </w:p>
    <w:p>
      <w:pPr>
        <w:pStyle w:val="Normal"/>
        <w:rPr/>
      </w:pPr>
      <w:r>
        <w:rPr/>
        <w:t>心动较大的进取型吸引力来自两个现存基础：已有盈利产品为研发提供资金，平台拥有真实的国内用户和广告客户。它并非仅凭远期故事融资的未商业化企业。不过，收入集中于几款游戏及国内平台，使每个关键产品和广告周期的变化都会影响归母利润。三年评分高于半年，是因为组织与产品组合需要时间兑现；五年评分再降低，则反映长期竞争和资本配置可能削弱这种优势。</w:t>
      </w:r>
    </w:p>
    <w:p>
      <w:pPr>
        <w:pStyle w:val="Heading2"/>
        <w:rPr/>
      </w:pPr>
      <w:r>
        <w:rPr>
          <w:color w:val="000000"/>
        </w:rPr>
        <w:t>二 国内游戏收入与海外扩张的不同质量</w:t>
      </w:r>
    </w:p>
    <w:p>
      <w:pPr>
        <w:pStyle w:val="Normal"/>
        <w:rPr/>
      </w:pPr>
      <w:r>
        <w:rPr/>
        <w:t>上半年游戏经营收入中，国内为</w:t>
      </w:r>
      <w:r>
        <w:rPr/>
        <w:t>7.99741</w:t>
      </w:r>
      <w:r>
        <w:rPr/>
        <w:t>亿元，海外</w:t>
      </w:r>
      <w:r>
        <w:rPr/>
        <w:t>14.82609</w:t>
      </w:r>
      <w:r>
        <w:rPr/>
        <w:t>亿元；去年同期分别</w:t>
      </w:r>
      <w:r>
        <w:rPr/>
        <w:t>10.29406</w:t>
      </w:r>
      <w:r>
        <w:rPr/>
        <w:t>亿元和</w:t>
      </w:r>
      <w:r>
        <w:rPr/>
        <w:t>10.15707</w:t>
      </w:r>
      <w:r>
        <w:rPr/>
        <w:t>亿元。海外增加较多，国内减少，两者相加的经营收入与正式游戏收入还存在其他收入分类差异。这个结构说明增长不是各地区均匀复苏，不能把海外成功直接外推为国内所有产品改善。研究模型用游戏整体收入，但论证必须保留地区分化。</w:t>
      </w:r>
    </w:p>
    <w:p>
      <w:pPr>
        <w:pStyle w:val="Normal"/>
        <w:rPr/>
      </w:pPr>
      <w:r>
        <w:rPr/>
        <w:t>海外扩张带来更大的用户池和多币种收入，也提高本地化、渠道推广和客服要求。海外玩家的设备、社交习惯及支付能力差异较大，同一产品在多个市场的收入高峰未必同步。首发推荐位和宣传活动能推高早期用户，后续需要真实留存维持。投资者应区分上线初期新增、正常活跃及稳定付费，尤其不能把某个月第三方流水估计乘十二作为长期收入。</w:t>
      </w:r>
    </w:p>
    <w:p>
      <w:pPr>
        <w:pStyle w:val="Normal"/>
        <w:rPr/>
      </w:pPr>
      <w:r>
        <w:rPr/>
        <w:t>2026</w:t>
      </w:r>
      <w:r>
        <w:rPr/>
        <w:t>年上半年游戏毛利率约</w:t>
      </w:r>
      <w:r>
        <w:rPr/>
        <w:t>64.0%</w:t>
      </w:r>
      <w:r>
        <w:rPr/>
        <w:t>，低于上年同期约</w:t>
      </w:r>
      <w:r>
        <w:rPr/>
        <w:t>68%</w:t>
      </w:r>
      <w:r>
        <w:rPr/>
        <w:t>。公司解释渠道及收入结构影响，这意味着海外规模扩张并未全部转成毛利扩张。按收入减成本计算，游戏毛利</w:t>
      </w:r>
      <w:r>
        <w:rPr/>
        <w:t>14.82742</w:t>
      </w:r>
      <w:r>
        <w:rPr/>
        <w:t>亿元。收入增长若主要依赖付费渠道，增量销售还要负担推广开支，最终归母盈利可能不及收入曲线。这个变化也是全年正常化模型没有直接采用</w:t>
      </w:r>
      <w:r>
        <w:rPr/>
        <w:t>2025</w:t>
      </w:r>
      <w:r>
        <w:rPr/>
        <w:t>年整体高利润率的原因。</w:t>
      </w:r>
    </w:p>
    <w:p>
      <w:pPr>
        <w:pStyle w:val="Normal"/>
        <w:rPr/>
      </w:pPr>
      <w:r>
        <w:rPr/>
        <w:t>渠道费通常与分发平台、支付方式和合同安排有关，不能仅凭自有</w:t>
      </w:r>
      <w:r>
        <w:rPr/>
        <w:t>TapTap</w:t>
      </w:r>
      <w:r>
        <w:rPr/>
        <w:t>存在就假设海外渠道费用消失。某些自有分发路径可减少中间成本，但跨设备使用、支付便利和区域监管可能维持第三方渠道的重要性。模型一年基准游戏毛利</w:t>
      </w:r>
      <w:r>
        <w:rPr/>
        <w:t>66%</w:t>
      </w:r>
      <w:r>
        <w:rPr/>
        <w:t>，较上半年恢复但未跳到极高水平，要求收入组合和运营效率确有改善。乐观</w:t>
      </w:r>
      <w:r>
        <w:rPr/>
        <w:t>69%</w:t>
      </w:r>
      <w:r>
        <w:rPr/>
        <w:t>的假设则需要更强的自有内容与分发效果。</w:t>
      </w:r>
    </w:p>
    <w:p>
      <w:pPr>
        <w:pStyle w:val="Normal"/>
        <w:rPr/>
      </w:pPr>
      <w:r>
        <w:rPr/>
        <w:t>游戏经营收入约</w:t>
      </w:r>
      <w:r>
        <w:rPr/>
        <w:t>95%</w:t>
      </w:r>
      <w:r>
        <w:rPr/>
        <w:t>采用总额确认，少部分采用净额确认。上半年总额确认</w:t>
      </w:r>
      <w:r>
        <w:rPr/>
        <w:t>21.68245</w:t>
      </w:r>
      <w:r>
        <w:rPr/>
        <w:t>亿元、净额</w:t>
      </w:r>
      <w:r>
        <w:rPr/>
        <w:t>1.14105</w:t>
      </w:r>
      <w:r>
        <w:rPr/>
        <w:t>亿元，二者合计</w:t>
      </w:r>
      <w:r>
        <w:rPr/>
        <w:t>22.82350</w:t>
      </w:r>
      <w:r>
        <w:rPr/>
        <w:t>亿元经营收入。总额模式会把渠道及合作成本列入费用，净额模式收入已经扣除部分支出。因此比较不同公司的收入倍数或推广率时，必须先看确认口径；同样流水也可能对应不同报表收入。这里不将游戏平台收入与流水估计混作同一指标。</w:t>
      </w:r>
    </w:p>
    <w:p>
      <w:pPr>
        <w:pStyle w:val="Heading2"/>
        <w:rPr/>
      </w:pPr>
      <w:r>
        <w:rPr>
          <w:color w:val="000000"/>
        </w:rPr>
        <w:t>三 心动小镇的社交长尾与上线回落</w:t>
      </w:r>
    </w:p>
    <w:p>
      <w:pPr>
        <w:pStyle w:val="Normal"/>
        <w:rPr/>
      </w:pPr>
      <w:r>
        <w:rPr/>
        <w:t>心动小镇国内于</w:t>
      </w:r>
      <w:r>
        <w:rPr/>
        <w:t>2024</w:t>
      </w:r>
      <w:r>
        <w:rPr/>
        <w:t>年</w:t>
      </w:r>
      <w:r>
        <w:rPr/>
        <w:t>7</w:t>
      </w:r>
      <w:r>
        <w:rPr/>
        <w:t>月推出，海外于</w:t>
      </w:r>
      <w:r>
        <w:rPr/>
        <w:t>2026</w:t>
      </w:r>
      <w:r>
        <w:rPr/>
        <w:t>年</w:t>
      </w:r>
      <w:r>
        <w:rPr/>
        <w:t>1</w:t>
      </w:r>
      <w:r>
        <w:rPr/>
        <w:t>月推出。公司中报明确表示，用户已从各市场上线初期水平回落。这个描述比早期下载榜更接近投资判断核心：产品已经完成首发获客，下一步要证明社交关系、持续内容和装扮付费能让玩家留下。海外启动形成上半年收入贡献，但目前不能据启动成功断定长期日活和付费稳定。</w:t>
      </w:r>
    </w:p>
    <w:p>
      <w:pPr>
        <w:pStyle w:val="Normal"/>
        <w:rPr/>
      </w:pPr>
      <w:r>
        <w:rPr/>
        <w:t>生活模拟与社交产品的潜力在于玩家建立习惯和关系后，内容消耗不完全依赖线性通关。家园、装扮和互动可以带来重复使用，持续更新有机会形成多年收入。不过相应风险是游戏深度和付费节奏不足，玩家新鲜感消退后可能回归其他社交或娱乐产品。付费设计过度又可能损害社区氛围，使留存和收益互相冲突。长期成功需要开发团队维持这种平衡。</w:t>
      </w:r>
    </w:p>
    <w:p>
      <w:pPr>
        <w:pStyle w:val="Normal"/>
        <w:rPr/>
      </w:pPr>
      <w:r>
        <w:rPr/>
        <w:t>报告没有给出小镇单独收入、留存率、付费率及地区利润，不能把集团游戏收入增长全部归因给小镇，也不能计算精确单作净现值。本模型把它与其他游戏放在正式游戏分部，情景通过收入、毛利和营销成本表达组合效果。缺少产品级数据会降低估值可信度，但不妨碍用公司已经披露的整体经营结果检查总利润是否可达。</w:t>
      </w:r>
    </w:p>
    <w:p>
      <w:pPr>
        <w:pStyle w:val="Normal"/>
        <w:rPr/>
      </w:pPr>
      <w:r>
        <w:rPr/>
        <w:t>对小镇更有意义的未来信息是上线后若干季度的稳定运营，而非再次获得一次下载排名。若海外用户回落后趋稳，更新和节庆内容能产生重复付费，宣传开支占收入比例下降，则说明首发投资逐步转为运营收益。若每轮内容更新都需大量买量，且收入高峰很快消退，则应降低游戏收入和毛利假设，同时提高持续推广成本，不能只调低目标</w:t>
      </w:r>
      <w:r>
        <w:rPr/>
        <w:t>PE</w:t>
      </w:r>
      <w:r>
        <w:rPr/>
        <w:t>。</w:t>
      </w:r>
    </w:p>
    <w:p>
      <w:pPr>
        <w:pStyle w:val="Normal"/>
        <w:rPr/>
      </w:pPr>
      <w:r>
        <w:rPr/>
        <w:t>小镇也有可能为</w:t>
      </w:r>
      <w:r>
        <w:rPr/>
        <w:t>TapTap</w:t>
      </w:r>
      <w:r>
        <w:rPr/>
        <w:t>带来独家内容吸引力，但游戏用户不自动转成平台广告收入。用户若只为一款产品打开应用，其他广告展示和新游戏发现仍受使用场景限制。公司应通过多款内容丰富平台，而不能长期依赖一个社交游戏承担流量增长、平台转化和集团利润三重任务。三年乐观情景必须包含组合进步，而不是小镇单作永久维持首发增长。</w:t>
      </w:r>
    </w:p>
    <w:p>
      <w:pPr>
        <w:pStyle w:val="Heading2"/>
        <w:rPr/>
      </w:pPr>
      <w:r>
        <w:rPr>
          <w:color w:val="000000"/>
        </w:rPr>
        <w:t>四 火炬系列 第三方发行与产品组合</w:t>
      </w:r>
    </w:p>
    <w:p>
      <w:pPr>
        <w:pStyle w:val="Normal"/>
        <w:rPr/>
      </w:pPr>
      <w:r>
        <w:rPr/>
        <w:t>火炬之光无限属于公司重要游戏之一，赛季型运营使内容更新与付费有较明确节奏。赛季设计可以让回流玩家重新体验成长，也能降低纯粹依赖新用户的压力。但每个赛季仍需有足够新内容和职业平衡，重复体验会消耗玩家兴趣。收入在赛季之间可能波动，半年财务不能简单按两个相同季度年化，更不能用一轮赛季高点推算全部年度流水。</w:t>
      </w:r>
    </w:p>
    <w:p>
      <w:pPr>
        <w:pStyle w:val="Normal"/>
        <w:rPr/>
      </w:pPr>
      <w:r>
        <w:rPr/>
        <w:t>公司取得火炬相关知识产权，有助于长期使用、内容开发和品牌控制。不过收购范围和已有无限资产不能混淆，交易排除已经属于公司的部分无限资产以及终端用户个人资料。知识产权并不是新增全部游戏资产的完整重购，也不意味着公司获得无条件可变现的用户数据。投资价值需要看未来产品维护和新内容回报，不能把交易评估金额直接叠加到上市公司市值。</w:t>
      </w:r>
    </w:p>
    <w:p>
      <w:pPr>
        <w:pStyle w:val="Normal"/>
        <w:rPr/>
      </w:pPr>
      <w:r>
        <w:rPr/>
        <w:t>星痕共鸣为第三方开发、心动发行，日韩于</w:t>
      </w:r>
      <w:r>
        <w:rPr/>
        <w:t>2025</w:t>
      </w:r>
      <w:r>
        <w:rPr/>
        <w:t>年</w:t>
      </w:r>
      <w:r>
        <w:rPr/>
        <w:t>12</w:t>
      </w:r>
      <w:r>
        <w:rPr/>
        <w:t>月推出。发行模式可降低自研全部资本投入，却需支付合作分成并依赖开发者更新。研究时要分别评价发行权期限、地域、推广投入和内容控制能力。截止日资料没有完整合同经济条款，所以模型通过整体毛利和销售费用体现，而不声称已掌握该产品固定利润分成率。</w:t>
      </w:r>
    </w:p>
    <w:p>
      <w:pPr>
        <w:pStyle w:val="Normal"/>
        <w:rPr/>
      </w:pPr>
      <w:r>
        <w:rPr/>
        <w:t>伊瑟、香肠派对与火炬、小镇、星痕列为上半年前五主要游戏。不同类型、地区和年龄层让收入来源更分散，但产品之间仍竞争团队、推广预算和玩家时间。公司拥有</w:t>
      </w:r>
      <w:r>
        <w:rPr/>
        <w:t>23</w:t>
      </w:r>
      <w:r>
        <w:rPr/>
        <w:t>款在线游戏、</w:t>
      </w:r>
      <w:r>
        <w:rPr/>
        <w:t>52</w:t>
      </w:r>
      <w:r>
        <w:rPr/>
        <w:t>款买断制游戏及</w:t>
      </w:r>
      <w:r>
        <w:rPr/>
        <w:t>3</w:t>
      </w:r>
      <w:r>
        <w:rPr/>
        <w:t>款在研在线游戏，数量是经营覆盖而不是等权收入来源。上市产品如果规模小或处于后期，不能凭总数推导低集中风险。</w:t>
      </w:r>
    </w:p>
    <w:p>
      <w:pPr>
        <w:pStyle w:val="Normal"/>
        <w:rPr/>
      </w:pPr>
      <w:r>
        <w:rPr/>
        <w:t>买断制游戏上半年收入</w:t>
      </w:r>
      <w:r>
        <w:rPr/>
        <w:t>0.82529</w:t>
      </w:r>
      <w:r>
        <w:rPr/>
        <w:t>亿元，体量较在线经营收入小，但可丰富社区和多端内容。玩家购买一次后，持续收益更多依赖新作品、扩展内容或平台服务。它的经济质量与在线长线付费不同，不能给同样的永续留存率。公司提及潜水员戴夫移动版本与</w:t>
      </w:r>
      <w:r>
        <w:rPr/>
        <w:t>PC</w:t>
      </w:r>
      <w:r>
        <w:rPr/>
        <w:t>进度同步，这类多端体验有助于内容生态，但必须观察实际销量和开发成本才能转为估值增量。</w:t>
      </w:r>
    </w:p>
    <w:p>
      <w:pPr>
        <w:pStyle w:val="Heading2"/>
        <w:rPr/>
      </w:pPr>
      <w:r>
        <w:rPr>
          <w:color w:val="000000"/>
        </w:rPr>
        <w:t xml:space="preserve">五 </w:t>
      </w:r>
      <w:r>
        <w:rPr>
          <w:color w:val="000000"/>
        </w:rPr>
        <w:t>TapTap</w:t>
      </w:r>
      <w:r>
        <w:rPr>
          <w:color w:val="000000"/>
        </w:rPr>
        <w:t>国内用户与广告变现</w:t>
      </w:r>
    </w:p>
    <w:p>
      <w:pPr>
        <w:pStyle w:val="Normal"/>
        <w:rPr/>
      </w:pPr>
      <w:r>
        <w:rPr/>
        <w:t>TapTap</w:t>
      </w:r>
      <w:r>
        <w:rPr/>
        <w:t>国内平均月活用户</w:t>
      </w:r>
      <w:r>
        <w:rPr/>
        <w:t>4539.7</w:t>
      </w:r>
      <w:r>
        <w:rPr/>
        <w:t>万，同比增加</w:t>
      </w:r>
      <w:r>
        <w:rPr/>
        <w:t>4.1%</w:t>
      </w:r>
      <w:r>
        <w:rPr/>
        <w:t>，是一项实际规模指标。平台上半年收入</w:t>
      </w:r>
      <w:r>
        <w:rPr/>
        <w:t>9.94332</w:t>
      </w:r>
      <w:r>
        <w:rPr/>
        <w:t>亿元，同比下降</w:t>
      </w:r>
      <w:r>
        <w:rPr/>
        <w:t>1.6%</w:t>
      </w:r>
      <w:r>
        <w:rPr/>
        <w:t>，其中在线营销</w:t>
      </w:r>
      <w:r>
        <w:rPr/>
        <w:t>9.72321</w:t>
      </w:r>
      <w:r>
        <w:rPr/>
        <w:t>亿元与去年</w:t>
      </w:r>
      <w:r>
        <w:rPr/>
        <w:t>9.76083</w:t>
      </w:r>
      <w:r>
        <w:rPr/>
        <w:t>亿元大体持平。用户增而广告不增，说明流量增加没有同步提升商业回报。也可能有广告客户预算、投放组合或展示强度变化，但资料不足以把原因唯一归于某一个因素。</w:t>
      </w:r>
    </w:p>
    <w:p>
      <w:pPr>
        <w:pStyle w:val="Normal"/>
        <w:rPr/>
      </w:pPr>
      <w:r>
        <w:rPr/>
        <w:t>将半年度在线营销收入除国内平均月活，得到每个平均月活对应约</w:t>
      </w:r>
      <w:r>
        <w:rPr/>
        <w:t>21.42</w:t>
      </w:r>
      <w:r>
        <w:rPr/>
        <w:t>元半年收入，上年约</w:t>
      </w:r>
      <w:r>
        <w:rPr/>
        <w:t>22.37</w:t>
      </w:r>
      <w:r>
        <w:rPr/>
        <w:t>元。这个计算只是粗略强度指标，不是严格每用户收入，因为收入计量期间与平均月活、广告地区和用户去重口径不同。它仍提示商业转化没有随着月活增长增强，故一年基准平台收入</w:t>
      </w:r>
      <w:r>
        <w:rPr/>
        <w:t>24</w:t>
      </w:r>
      <w:r>
        <w:rPr/>
        <w:t>亿元的预测要求广告预算和转化改善，不能仅依赖用户数自然增长。</w:t>
      </w:r>
    </w:p>
    <w:p>
      <w:pPr>
        <w:pStyle w:val="Normal"/>
        <w:rPr/>
      </w:pPr>
      <w:r>
        <w:rPr/>
        <w:t>TapTap</w:t>
      </w:r>
      <w:r>
        <w:rPr/>
        <w:t>平台毛利率上半年</w:t>
      </w:r>
      <w:r>
        <w:rPr/>
        <w:t>85.1%</w:t>
      </w:r>
      <w:r>
        <w:rPr/>
        <w:t>，上年</w:t>
      </w:r>
      <w:r>
        <w:rPr/>
        <w:t>83.6%</w:t>
      </w:r>
      <w:r>
        <w:rPr/>
        <w:t>，成本为</w:t>
      </w:r>
      <w:r>
        <w:rPr/>
        <w:t>1.47789</w:t>
      </w:r>
      <w:r>
        <w:rPr/>
        <w:t>亿元，同比减少。毛利</w:t>
      </w:r>
      <w:r>
        <w:rPr/>
        <w:t>8.46543</w:t>
      </w:r>
      <w:r>
        <w:rPr/>
        <w:t>亿元，平台确有较高的收入毛利质量，但高毛利不等于全部平台毛利归上市公司。集团销售、研发、行政支出同时支持平台和游戏，且部分平台实体存在少数权益。若用平台收入乘高毛利再独立估值，还要分配真实共享费用、税及经济权益。</w:t>
      </w:r>
    </w:p>
    <w:p>
      <w:pPr>
        <w:pStyle w:val="Normal"/>
        <w:rPr/>
      </w:pPr>
      <w:r>
        <w:rPr/>
        <w:t>平台对开发者的吸引力与发现效率有关。真实社区评价、用户兴趣和内容互动有机会提高营销匹配，使广告客户获取有效用户。相反，如果广告过多损伤评价信任，或推荐向集团自有游戏倾斜，第三方开发者可能减少投入。平台质量需要通过用户、开发者和广告回报三个群体共同验证。现在没有公开全部转化率与客户留存，报告不虚构这些指标。</w:t>
      </w:r>
    </w:p>
    <w:p>
      <w:pPr>
        <w:pStyle w:val="Normal"/>
        <w:rPr/>
      </w:pPr>
      <w:r>
        <w:rPr/>
        <w:t>上半年一个</w:t>
      </w:r>
      <w:r>
        <w:rPr/>
        <w:t>TapTap</w:t>
      </w:r>
      <w:r>
        <w:rPr/>
        <w:t>客户占集团收入约</w:t>
      </w:r>
      <w:r>
        <w:rPr/>
        <w:t>15%</w:t>
      </w:r>
      <w:r>
        <w:rPr/>
        <w:t>，去年同期</w:t>
      </w:r>
      <w:r>
        <w:rPr/>
        <w:t>21%</w:t>
      </w:r>
      <w:r>
        <w:rPr/>
        <w:t>。集中度下降可以减轻单客依赖，但并不自动表明新客户快速增长，也可能只是该客户收入下降和集团游戏收入提高改变分母。公司没有公开其名字，本报告不将其猜成腾讯或任何指定企业。对于单客风险，应关注总广告收入及应收回款，而不是用猜测客户身份替代证据。</w:t>
      </w:r>
    </w:p>
    <w:p>
      <w:pPr>
        <w:pStyle w:val="Heading2"/>
        <w:rPr/>
      </w:pPr>
      <w:r>
        <w:rPr>
          <w:color w:val="000000"/>
        </w:rPr>
        <w:t xml:space="preserve">六 </w:t>
      </w:r>
      <w:r>
        <w:rPr>
          <w:color w:val="000000"/>
        </w:rPr>
        <w:t xml:space="preserve">PC </w:t>
      </w:r>
      <w:r>
        <w:rPr>
          <w:color w:val="000000"/>
        </w:rPr>
        <w:t>国际平台与</w:t>
      </w:r>
      <w:r>
        <w:rPr>
          <w:color w:val="000000"/>
        </w:rPr>
        <w:t>AI</w:t>
      </w:r>
      <w:r>
        <w:rPr>
          <w:color w:val="000000"/>
        </w:rPr>
        <w:t>工具的兑现顺序</w:t>
      </w:r>
    </w:p>
    <w:p>
      <w:pPr>
        <w:pStyle w:val="Normal"/>
        <w:rPr/>
      </w:pPr>
      <w:r>
        <w:rPr/>
        <w:t>TapTap PC</w:t>
      </w:r>
      <w:r>
        <w:rPr/>
        <w:t>于</w:t>
      </w:r>
      <w:r>
        <w:rPr/>
        <w:t>2025</w:t>
      </w:r>
      <w:r>
        <w:rPr/>
        <w:t>年</w:t>
      </w:r>
      <w:r>
        <w:rPr/>
        <w:t>4</w:t>
      </w:r>
      <w:r>
        <w:rPr/>
        <w:t>月正式推出，截至中报已与多家</w:t>
      </w:r>
      <w:r>
        <w:rPr/>
        <w:t>PC</w:t>
      </w:r>
      <w:r>
        <w:rPr/>
        <w:t>游戏开发者和发行商合作。</w:t>
      </w:r>
      <w:r>
        <w:rPr/>
        <w:t>PC</w:t>
      </w:r>
      <w:r>
        <w:rPr/>
        <w:t>产品扩大设备范围，可承接更复杂游戏和多端进度，也会遭遇成熟</w:t>
      </w:r>
      <w:r>
        <w:rPr/>
        <w:t>PC</w:t>
      </w:r>
      <w:r>
        <w:rPr/>
        <w:t>商店、发行渠道和玩家已有账号的竞争。平台需要提高安装、支付、社交和推荐的便利程度，才可能形成反复使用。仅有</w:t>
      </w:r>
      <w:r>
        <w:rPr/>
        <w:t>PC</w:t>
      </w:r>
      <w:r>
        <w:rPr/>
        <w:t>入口不意味着原本移动广告利润可以原样迁移。</w:t>
      </w:r>
    </w:p>
    <w:p>
      <w:pPr>
        <w:pStyle w:val="Normal"/>
        <w:rPr/>
      </w:pPr>
      <w:r>
        <w:rPr/>
        <w:t>海外</w:t>
      </w:r>
      <w:r>
        <w:rPr/>
        <w:t>TapTap</w:t>
      </w:r>
      <w:r>
        <w:rPr/>
        <w:t>平均月活</w:t>
      </w:r>
      <w:r>
        <w:rPr/>
        <w:t>311.5</w:t>
      </w:r>
      <w:r>
        <w:rPr/>
        <w:t>万，比去年</w:t>
      </w:r>
      <w:r>
        <w:rPr/>
        <w:t>502</w:t>
      </w:r>
      <w:r>
        <w:rPr/>
        <w:t>万下降</w:t>
      </w:r>
      <w:r>
        <w:rPr/>
        <w:t>37.9%</w:t>
      </w:r>
      <w:r>
        <w:rPr/>
        <w:t>，中报明确仍未变现。这为全球平台故事设置了重要边界。海外发行增长与海外平台增长并非同一件事，玩家可以通过其他商店下载游戏而不使用</w:t>
      </w:r>
      <w:r>
        <w:rPr/>
        <w:t>TapTap</w:t>
      </w:r>
      <w:r>
        <w:rPr/>
        <w:t>。投资者应把国际平台看成需要重新验证用户和成本的业务，不能给尚未披露收入的国际流量套用国内每用户变现倍数。</w:t>
      </w:r>
    </w:p>
    <w:p>
      <w:pPr>
        <w:pStyle w:val="Normal"/>
        <w:rPr/>
      </w:pPr>
      <w:r>
        <w:rPr/>
        <w:t>TapTap Maker</w:t>
      </w:r>
      <w:r>
        <w:rPr/>
        <w:t>于</w:t>
      </w:r>
      <w:r>
        <w:rPr/>
        <w:t>2026</w:t>
      </w:r>
      <w:r>
        <w:rPr/>
        <w:t>年</w:t>
      </w:r>
      <w:r>
        <w:rPr/>
        <w:t>1</w:t>
      </w:r>
      <w:r>
        <w:rPr/>
        <w:t>月开始邀请测试，截至中报发布时用户已用其开发并发布超过</w:t>
      </w:r>
      <w:r>
        <w:rPr/>
        <w:t>6000</w:t>
      </w:r>
      <w:r>
        <w:rPr/>
        <w:t>款游戏。供给增加能让非专业创作者试验内容，平台可能因此获得多样游戏。但发布数量不等于玩家体验质量，更不等于付费用户、广告客户或创作者分成收入。报告不为这</w:t>
      </w:r>
      <w:r>
        <w:rPr/>
        <w:t>6000</w:t>
      </w:r>
      <w:r>
        <w:rPr/>
        <w:t>款游戏设置虚构收入单价，也不以数量直接计算独立</w:t>
      </w:r>
      <w:r>
        <w:rPr/>
        <w:t>AI</w:t>
      </w:r>
      <w:r>
        <w:rPr/>
        <w:t>市值。</w:t>
      </w:r>
    </w:p>
    <w:p>
      <w:pPr>
        <w:pStyle w:val="Normal"/>
        <w:rPr/>
      </w:pPr>
      <w:r>
        <w:rPr/>
        <w:t>2026</w:t>
      </w:r>
      <w:r>
        <w:rPr/>
        <w:t>年</w:t>
      </w:r>
      <w:r>
        <w:rPr/>
        <w:t>7</w:t>
      </w:r>
      <w:r>
        <w:rPr/>
        <w:t>月公司开源</w:t>
      </w:r>
      <w:r>
        <w:rPr/>
        <w:t>Cindy</w:t>
      </w:r>
      <w:r>
        <w:rPr/>
        <w:t>，体现技术和开发者关系方向。开源可形成社区支持、扩大使用并帮助改进工具，短期也可能增加计算、维护和支持支出。没有公开独立商业合同和收费机制时，应把</w:t>
      </w:r>
      <w:r>
        <w:rPr/>
        <w:t>AI</w:t>
      </w:r>
      <w:r>
        <w:rPr/>
        <w:t>影响先放进研发成本及产品效率，而不是单列高估值收入。模型乐观情景需要工具提高内容质量或转化，基准仅允许逐步改善。</w:t>
      </w:r>
    </w:p>
    <w:p>
      <w:pPr>
        <w:pStyle w:val="Normal"/>
        <w:rPr/>
      </w:pPr>
      <w:r>
        <w:rPr/>
        <w:t>AI</w:t>
      </w:r>
      <w:r>
        <w:rPr/>
        <w:t>降低制作门槛同样会增加市场供给。平台能更容易收到游戏，却更难筛选真正值得玩家花时间的内容。粗糙或重复内容若泛滥，用户发现体验可能变差，广告匹配也会受损。心动的长期机会在于用社区、推荐和工具共同提高内容发现效率，失败路径则是只承担更多算力及审核成本而没有更多现金收入。这个双向效应使五年行业评分没有达到最高档。</w:t>
      </w:r>
    </w:p>
    <w:p>
      <w:pPr>
        <w:pStyle w:val="Heading2"/>
        <w:rPr/>
      </w:pPr>
      <w:r>
        <w:rPr>
          <w:color w:val="000000"/>
        </w:rPr>
        <w:t>七 收入增长为什么没有带来同比利润增长</w:t>
      </w:r>
    </w:p>
    <w:p>
      <w:pPr>
        <w:pStyle w:val="Normal"/>
        <w:rPr/>
      </w:pPr>
      <w:r>
        <w:rPr/>
        <w:t>上半年集团收入</w:t>
      </w:r>
      <w:r>
        <w:rPr/>
        <w:t>33.12235</w:t>
      </w:r>
      <w:r>
        <w:rPr/>
        <w:t>亿元，同比增长约</w:t>
      </w:r>
      <w:r>
        <w:rPr/>
        <w:t>7.5%</w:t>
      </w:r>
      <w:r>
        <w:rPr/>
        <w:t>，集团净利润</w:t>
      </w:r>
      <w:r>
        <w:rPr/>
        <w:t>7.24312</w:t>
      </w:r>
      <w:r>
        <w:rPr/>
        <w:t>亿元，同比下降</w:t>
      </w:r>
      <w:r>
        <w:rPr/>
        <w:t>10.6%</w:t>
      </w:r>
      <w:r>
        <w:rPr/>
        <w:t>，归母</w:t>
      </w:r>
      <w:r>
        <w:rPr/>
        <w:t>7.14297</w:t>
      </w:r>
      <w:r>
        <w:rPr/>
        <w:t>亿元，同比下降</w:t>
      </w:r>
      <w:r>
        <w:rPr/>
        <w:t>5.4%</w:t>
      </w:r>
      <w:r>
        <w:rPr/>
        <w:t>。集团与归母降幅不同来自少数权益变化，不能拿集团降幅写成上市股东盈利降幅。收入在增长、盈利在下降说明当前主要问题并非完全缺少需求，而是毛利结构、投入和税费决定收入能留下多少。</w:t>
      </w:r>
    </w:p>
    <w:p>
      <w:pPr>
        <w:pStyle w:val="Normal"/>
        <w:rPr/>
      </w:pPr>
      <w:r>
        <w:rPr/>
        <w:t>集团上半年毛利</w:t>
      </w:r>
      <w:r>
        <w:rPr/>
        <w:t>23.29285</w:t>
      </w:r>
      <w:r>
        <w:rPr/>
        <w:t>亿元，毛利率</w:t>
      </w:r>
      <w:r>
        <w:rPr/>
        <w:t>70.32%</w:t>
      </w:r>
      <w:r>
        <w:rPr/>
        <w:t>，低于</w:t>
      </w:r>
      <w:r>
        <w:rPr/>
        <w:t>2025</w:t>
      </w:r>
      <w:r>
        <w:rPr/>
        <w:t>全年</w:t>
      </w:r>
      <w:r>
        <w:rPr/>
        <w:t>73.82%</w:t>
      </w:r>
      <w:r>
        <w:rPr/>
        <w:t>。销售</w:t>
      </w:r>
      <w:r>
        <w:rPr/>
        <w:t>7.695</w:t>
      </w:r>
      <w:r>
        <w:rPr/>
        <w:t>亿元、研发</w:t>
      </w:r>
      <w:r>
        <w:rPr/>
        <w:t>6.39233</w:t>
      </w:r>
      <w:r>
        <w:rPr/>
        <w:t>亿元、行政</w:t>
      </w:r>
      <w:r>
        <w:rPr/>
        <w:t>1.38210</w:t>
      </w:r>
      <w:r>
        <w:rPr/>
        <w:t>亿元，三项合计</w:t>
      </w:r>
      <w:r>
        <w:rPr/>
        <w:t>15.46943</w:t>
      </w:r>
      <w:r>
        <w:rPr/>
        <w:t>亿元。经营利润</w:t>
      </w:r>
      <w:r>
        <w:rPr/>
        <w:t>8.46119</w:t>
      </w:r>
      <w:r>
        <w:rPr/>
        <w:t>亿元，占收入</w:t>
      </w:r>
      <w:r>
        <w:rPr/>
        <w:t>25.55%</w:t>
      </w:r>
      <w:r>
        <w:rPr/>
        <w:t>，</w:t>
      </w:r>
      <w:r>
        <w:rPr/>
        <w:t>2025</w:t>
      </w:r>
      <w:r>
        <w:rPr/>
        <w:t>全年约</w:t>
      </w:r>
      <w:r>
        <w:rPr/>
        <w:t>29.15%</w:t>
      </w:r>
      <w:r>
        <w:rPr/>
        <w:t>。不同半年和全年有季节差异，但即使不进行机械同比，费用与毛利组合仍足以说明不能沿用旧高利润率。</w:t>
      </w:r>
    </w:p>
    <w:p>
      <w:pPr>
        <w:pStyle w:val="Normal"/>
        <w:rPr/>
      </w:pPr>
      <w:r>
        <w:rPr/>
        <w:t>销售费用同比增加</w:t>
      </w:r>
      <w:r>
        <w:rPr/>
        <w:t>3.4%</w:t>
      </w:r>
      <w:r>
        <w:rPr/>
        <w:t>，部分绩效报酬减少抵消了推广增加。公司收入与推广效率需要长期联看：首发营销可为未来运营建立用户，但如果新增收入总依赖等比例买量，扩张未必带来显著经营杠杆。模型一年基准销售</w:t>
      </w:r>
      <w:r>
        <w:rPr/>
        <w:t>18.8</w:t>
      </w:r>
      <w:r>
        <w:rPr/>
        <w:t>亿元，随着收入</w:t>
      </w:r>
      <w:r>
        <w:rPr/>
        <w:t>78.5</w:t>
      </w:r>
      <w:r>
        <w:rPr/>
        <w:t>亿元增加而提高，避免假设收入扩大时推广费用完全不动。低估必要营销会虚增目标利润。</w:t>
      </w:r>
    </w:p>
    <w:p>
      <w:pPr>
        <w:pStyle w:val="Normal"/>
        <w:rPr/>
      </w:pPr>
      <w:r>
        <w:rPr/>
        <w:t>研发费用同比增加</w:t>
      </w:r>
      <w:r>
        <w:rPr/>
        <w:t>16.5%</w:t>
      </w:r>
      <w:r>
        <w:rPr/>
        <w:t>，主要受到</w:t>
      </w:r>
      <w:r>
        <w:rPr/>
        <w:t>AI</w:t>
      </w:r>
      <w:r>
        <w:rPr/>
        <w:t>计算和专业技术服务影响。上半年</w:t>
      </w:r>
      <w:r>
        <w:rPr/>
        <w:t>AI</w:t>
      </w:r>
      <w:r>
        <w:rPr/>
        <w:t>计算费用</w:t>
      </w:r>
      <w:r>
        <w:rPr/>
        <w:t>0.71064</w:t>
      </w:r>
      <w:r>
        <w:rPr/>
        <w:t>亿元，上年仅</w:t>
      </w:r>
      <w:r>
        <w:rPr/>
        <w:t>0.00683</w:t>
      </w:r>
      <w:r>
        <w:rPr/>
        <w:t>亿元，增加约</w:t>
      </w:r>
      <w:r>
        <w:rPr/>
        <w:t>0.70381</w:t>
      </w:r>
      <w:r>
        <w:rPr/>
        <w:t>亿元；研发员工</w:t>
      </w:r>
      <w:r>
        <w:rPr/>
        <w:t>1093</w:t>
      </w:r>
      <w:r>
        <w:rPr/>
        <w:t>人，略低于</w:t>
      </w:r>
      <w:r>
        <w:rPr/>
        <w:t>2025</w:t>
      </w:r>
      <w:r>
        <w:rPr/>
        <w:t>年末</w:t>
      </w:r>
      <w:r>
        <w:rPr/>
        <w:t>1106</w:t>
      </w:r>
      <w:r>
        <w:rPr/>
        <w:t>人。人员没有扩张并不表示研发费用已经下降，外部计算与技术服务可以显著增加支出。因此不能用员工数稳定作为利润恢复的充分证据。</w:t>
      </w:r>
    </w:p>
    <w:p>
      <w:pPr>
        <w:pStyle w:val="Normal"/>
        <w:rPr/>
      </w:pPr>
      <w:r>
        <w:rPr/>
        <w:t>行政费用同比增加</w:t>
      </w:r>
      <w:r>
        <w:rPr/>
        <w:t>9.7%</w:t>
      </w:r>
      <w:r>
        <w:rPr/>
        <w:t>，税附加增加并由绩效报酬减少部分抵消。高增长公司往往关注研发和收入，忽略行政及合规费用会随地区、交易和平台规模扩大。半年基准行政</w:t>
      </w:r>
      <w:r>
        <w:rPr/>
        <w:t>3.1</w:t>
      </w:r>
      <w:r>
        <w:rPr/>
        <w:t>亿元，一年</w:t>
      </w:r>
      <w:r>
        <w:rPr/>
        <w:t>3.35</w:t>
      </w:r>
      <w:r>
        <w:rPr/>
        <w:t>亿元，三年</w:t>
      </w:r>
      <w:r>
        <w:rPr/>
        <w:t>4.7</w:t>
      </w:r>
      <w:r>
        <w:rPr/>
        <w:t>亿元，五年</w:t>
      </w:r>
      <w:r>
        <w:rPr/>
        <w:t>6</w:t>
      </w:r>
      <w:r>
        <w:rPr/>
        <w:t>亿元，明确承担长期组织成本。若监管或跨境经营进一步抬高费用，要直接修订正常利润而不只口头列风险。</w:t>
      </w:r>
    </w:p>
    <w:p>
      <w:pPr>
        <w:pStyle w:val="Heading2"/>
        <w:rPr/>
      </w:pPr>
      <w:r>
        <w:rPr>
          <w:color w:val="000000"/>
        </w:rPr>
        <w:t>八 税率 补助和正常利润口径</w:t>
      </w:r>
    </w:p>
    <w:p>
      <w:pPr>
        <w:pStyle w:val="Normal"/>
        <w:rPr/>
      </w:pPr>
      <w:r>
        <w:rPr/>
        <w:t>2025</w:t>
      </w:r>
      <w:r>
        <w:rPr/>
        <w:t>年税前利润</w:t>
      </w:r>
      <w:r>
        <w:rPr/>
        <w:t>17.18916</w:t>
      </w:r>
      <w:r>
        <w:rPr/>
        <w:t>亿元，所得税</w:t>
      </w:r>
      <w:r>
        <w:rPr/>
        <w:t>0.62407</w:t>
      </w:r>
      <w:r>
        <w:rPr/>
        <w:t>亿元，实际税率约</w:t>
      </w:r>
      <w:r>
        <w:rPr/>
        <w:t>3.63%</w:t>
      </w:r>
      <w:r>
        <w:rPr/>
        <w:t>。这个税率明显低于一般法定水平，包含历史亏损及递延影响，无法证明永续低税资格。上半年税前</w:t>
      </w:r>
      <w:r>
        <w:rPr/>
        <w:t>8.64320</w:t>
      </w:r>
      <w:r>
        <w:rPr/>
        <w:t>亿元，所得税</w:t>
      </w:r>
      <w:r>
        <w:rPr/>
        <w:t>1.40008</w:t>
      </w:r>
      <w:r>
        <w:rPr/>
        <w:t>亿元，实际约</w:t>
      </w:r>
      <w:r>
        <w:rPr/>
        <w:t>16.20%</w:t>
      </w:r>
      <w:r>
        <w:rPr/>
        <w:t>；当期税</w:t>
      </w:r>
      <w:r>
        <w:rPr/>
        <w:t>2.05824</w:t>
      </w:r>
      <w:r>
        <w:rPr/>
        <w:t>亿元，被递延税抵免</w:t>
      </w:r>
      <w:r>
        <w:rPr/>
        <w:t>0.65816</w:t>
      </w:r>
      <w:r>
        <w:rPr/>
        <w:t>亿元部分抵消。正常估值应考虑这些因素会变化。</w:t>
      </w:r>
    </w:p>
    <w:p>
      <w:pPr>
        <w:pStyle w:val="Normal"/>
        <w:rPr/>
      </w:pPr>
      <w:r>
        <w:rPr/>
        <w:t>中报列出未确认税亏</w:t>
      </w:r>
      <w:r>
        <w:rPr/>
        <w:t>34.40</w:t>
      </w:r>
      <w:r>
        <w:rPr/>
        <w:t>亿元和未确认递延税资产</w:t>
      </w:r>
      <w:r>
        <w:rPr/>
        <w:t>5.99</w:t>
      </w:r>
      <w:r>
        <w:rPr/>
        <w:t>亿元。未确认代表会计判断尚未满足确认条件，不能把全部金额当成等值可立即兑现现金，也不能自动从每年税款扣除。不同主体、地区、期限和利润来源会影响可用性。模型基准税率年底</w:t>
      </w:r>
      <w:r>
        <w:rPr/>
        <w:t>17%</w:t>
      </w:r>
      <w:r>
        <w:rPr/>
        <w:t>、一年</w:t>
      </w:r>
      <w:r>
        <w:rPr/>
        <w:t>18%</w:t>
      </w:r>
      <w:r>
        <w:rPr/>
        <w:t>、三年</w:t>
      </w:r>
      <w:r>
        <w:rPr/>
        <w:t>19%</w:t>
      </w:r>
      <w:r>
        <w:rPr/>
        <w:t>、五年</w:t>
      </w:r>
      <w:r>
        <w:rPr/>
        <w:t>20%</w:t>
      </w:r>
      <w:r>
        <w:rPr/>
        <w:t>，保留一定改善但不永续沿用</w:t>
      </w:r>
      <w:r>
        <w:rPr/>
        <w:t>2025</w:t>
      </w:r>
      <w:r>
        <w:rPr/>
        <w:t>低税。</w:t>
      </w:r>
    </w:p>
    <w:p>
      <w:pPr>
        <w:pStyle w:val="Normal"/>
        <w:rPr/>
      </w:pPr>
      <w:r>
        <w:rPr/>
        <w:t>上半年其他收入</w:t>
      </w:r>
      <w:r>
        <w:rPr/>
        <w:t>0.54246</w:t>
      </w:r>
      <w:r>
        <w:rPr/>
        <w:t>亿元，其中政府补助</w:t>
      </w:r>
      <w:r>
        <w:rPr/>
        <w:t>0.53716</w:t>
      </w:r>
      <w:r>
        <w:rPr/>
        <w:t>亿元，较</w:t>
      </w:r>
      <w:r>
        <w:rPr/>
        <w:t>2025</w:t>
      </w:r>
      <w:r>
        <w:rPr/>
        <w:t>全年补助相关收入较高。补助有真实经济价值，但项目、审批与付款时间未必每年相同。正常利润预测仍给基准</w:t>
      </w:r>
      <w:r>
        <w:rPr/>
        <w:t>0.45</w:t>
      </w:r>
      <w:r>
        <w:rPr/>
        <w:t>亿元至</w:t>
      </w:r>
      <w:r>
        <w:rPr/>
        <w:t>0.60</w:t>
      </w:r>
      <w:r>
        <w:rPr/>
        <w:t>亿元逐步收入，不把上半年较高补助简单翻倍固化。悲观仅少量，乐观提高但没有借补助承担核心增长逻辑。</w:t>
      </w:r>
    </w:p>
    <w:p>
      <w:pPr>
        <w:pStyle w:val="Normal"/>
        <w:rPr/>
      </w:pPr>
      <w:r>
        <w:rPr/>
        <w:t>其他收益主要包含汇兑和金融产品公允价值变化，上半年净</w:t>
      </w:r>
      <w:r>
        <w:rPr/>
        <w:t>0.06673</w:t>
      </w:r>
      <w:r>
        <w:rPr/>
        <w:t>亿元。汇率和公允价值变化可能逆转，与游戏内容和广告能力关系较弱。活动模型不直接持续复制该项，财资只明确给正常存款利息、租赁利息及银行费用。联营收益按照税后单列，避免再对已经税后的权益法收益重复按集团税率征税。</w:t>
      </w:r>
    </w:p>
    <w:p>
      <w:pPr>
        <w:pStyle w:val="Normal"/>
        <w:rPr/>
      </w:pPr>
      <w:r>
        <w:rPr/>
        <w:t>公司上半年调整归母</w:t>
      </w:r>
      <w:r>
        <w:rPr/>
        <w:t>7.71984</w:t>
      </w:r>
      <w:r>
        <w:rPr/>
        <w:t>亿元，在法定归母基础加回归母股酬</w:t>
      </w:r>
      <w:r>
        <w:rPr/>
        <w:t>0.57687</w:t>
      </w:r>
      <w:r>
        <w:rPr/>
        <w:t>亿元；</w:t>
      </w:r>
      <w:r>
        <w:rPr/>
        <w:t>2025</w:t>
      </w:r>
      <w:r>
        <w:rPr/>
        <w:t>调整归母</w:t>
      </w:r>
      <w:r>
        <w:rPr/>
        <w:t>16.28563</w:t>
      </w:r>
      <w:r>
        <w:rPr/>
        <w:t>亿元还加回投资公允价值损失。非现金费用有利于分析现金，但股酬持续承担员工报酬和股东经济成本。本报告正常盈利保留常态股酬、</w:t>
      </w:r>
      <w:r>
        <w:rPr/>
        <w:t>AI</w:t>
      </w:r>
      <w:r>
        <w:rPr/>
        <w:t>研发和</w:t>
      </w:r>
      <w:r>
        <w:rPr/>
        <w:t>IP</w:t>
      </w:r>
      <w:r>
        <w:rPr/>
        <w:t>摊销，调整利润只作解释，不作为无条件更高估值的分母。</w:t>
      </w:r>
    </w:p>
    <w:p>
      <w:pPr>
        <w:pStyle w:val="Heading2"/>
        <w:rPr/>
      </w:pPr>
      <w:r>
        <w:rPr>
          <w:color w:val="000000"/>
        </w:rPr>
        <w:t>九 现金流 应收和研发资金能力</w:t>
      </w:r>
    </w:p>
    <w:p>
      <w:pPr>
        <w:pStyle w:val="Normal"/>
        <w:rPr/>
      </w:pPr>
      <w:r>
        <w:rPr/>
        <w:t>2025</w:t>
      </w:r>
      <w:r>
        <w:rPr/>
        <w:t>经营现金流</w:t>
      </w:r>
      <w:r>
        <w:rPr/>
        <w:t>17.12603</w:t>
      </w:r>
      <w:r>
        <w:rPr/>
        <w:t>亿元，高于集团净利润</w:t>
      </w:r>
      <w:r>
        <w:rPr/>
        <w:t>16.56509</w:t>
      </w:r>
      <w:r>
        <w:rPr/>
        <w:t>亿元，现金转化较好。扣</w:t>
      </w:r>
      <w:r>
        <w:rPr/>
        <w:t>PPE0.10087</w:t>
      </w:r>
      <w:r>
        <w:rPr/>
        <w:t>亿元、无形资产现金</w:t>
      </w:r>
      <w:r>
        <w:rPr/>
        <w:t>3.11947</w:t>
      </w:r>
      <w:r>
        <w:rPr/>
        <w:t>亿元和含息租赁现金</w:t>
      </w:r>
      <w:r>
        <w:rPr/>
        <w:t>0.42667</w:t>
      </w:r>
      <w:r>
        <w:rPr/>
        <w:t>亿元，约</w:t>
      </w:r>
      <w:r>
        <w:rPr/>
        <w:t>13.47902</w:t>
      </w:r>
      <w:r>
        <w:rPr/>
        <w:t>亿元。这个资本现金后指标仍不是严格归母自由现金流，存在集团权益、税和营运资本范围，但比仅看净利润更有助于判断研发与资本分配能力。</w:t>
      </w:r>
    </w:p>
    <w:p>
      <w:pPr>
        <w:pStyle w:val="Normal"/>
        <w:rPr/>
      </w:pPr>
      <w:r>
        <w:rPr/>
        <w:t>上半年经营现金流</w:t>
      </w:r>
      <w:r>
        <w:rPr/>
        <w:t>7.11934</w:t>
      </w:r>
      <w:r>
        <w:rPr/>
        <w:t>亿元，接近集团净利润</w:t>
      </w:r>
      <w:r>
        <w:rPr/>
        <w:t>7.24312</w:t>
      </w:r>
      <w:r>
        <w:rPr/>
        <w:t>亿元。扣</w:t>
      </w:r>
      <w:r>
        <w:rPr/>
        <w:t>PPE0.10554</w:t>
      </w:r>
      <w:r>
        <w:rPr/>
        <w:t>亿元、无形资产现金</w:t>
      </w:r>
      <w:r>
        <w:rPr/>
        <w:t>0.01692</w:t>
      </w:r>
      <w:r>
        <w:rPr/>
        <w:t>亿元和含息租赁支付</w:t>
      </w:r>
      <w:r>
        <w:rPr/>
        <w:t>0.15477</w:t>
      </w:r>
      <w:r>
        <w:rPr/>
        <w:t>亿元，代理约</w:t>
      </w:r>
      <w:r>
        <w:rPr/>
        <w:t>6.84211</w:t>
      </w:r>
      <w:r>
        <w:rPr/>
        <w:t>亿元。资本现金较</w:t>
      </w:r>
      <w:r>
        <w:rPr/>
        <w:t>2025</w:t>
      </w:r>
      <w:r>
        <w:rPr/>
        <w:t>全年小，不能据半年低现金支出认定以后所有</w:t>
      </w:r>
      <w:r>
        <w:rPr/>
        <w:t>IP</w:t>
      </w:r>
      <w:r>
        <w:rPr/>
        <w:t>和开发成本都很低。研发已大部分费用化，也仍可能出现授权、技术、资产采购及新业务投入。</w:t>
      </w:r>
    </w:p>
    <w:p>
      <w:pPr>
        <w:pStyle w:val="Normal"/>
        <w:rPr/>
      </w:pPr>
      <w:r>
        <w:rPr/>
        <w:t>上半年应收由</w:t>
      </w:r>
      <w:r>
        <w:rPr/>
        <w:t>4.11198</w:t>
      </w:r>
      <w:r>
        <w:rPr/>
        <w:t>亿元增至</w:t>
      </w:r>
      <w:r>
        <w:rPr/>
        <w:t>5.93367</w:t>
      </w:r>
      <w:r>
        <w:rPr/>
        <w:t>亿元，增加</w:t>
      </w:r>
      <w:r>
        <w:rPr/>
        <w:t>44.30%</w:t>
      </w:r>
      <w:r>
        <w:rPr/>
        <w:t>，明显快于收入增幅。海外分发结算、广告账期与结构变化可造成增长，现有资料不足以认定坏账或特定客户拖欠。但需要查看后续回款、账龄及信用成本。模型保留正常信用费用，避免用上半年的信用减值转回作为永续收入改善。</w:t>
      </w:r>
    </w:p>
    <w:p>
      <w:pPr>
        <w:pStyle w:val="Normal"/>
        <w:rPr/>
      </w:pPr>
      <w:r>
        <w:rPr/>
        <w:t>合同负债由</w:t>
      </w:r>
      <w:r>
        <w:rPr/>
        <w:t>2.48156</w:t>
      </w:r>
      <w:r>
        <w:rPr/>
        <w:t>亿元增至</w:t>
      </w:r>
      <w:r>
        <w:rPr/>
        <w:t>2.91696</w:t>
      </w:r>
      <w:r>
        <w:rPr/>
        <w:t>亿元。玩家或客户预付有助于营运现金，但尚未履约部分需要未来服务和内容，不能把全部合同负债当多余资本随时派发。收入确认与收款不同，活动模型现金代理扣年度营运资本增量，而利润依会计经营年率。没有完整逐期现金桥时，不能声称已精确计算每个目标日集团现金余额。</w:t>
      </w:r>
    </w:p>
    <w:p>
      <w:pPr>
        <w:pStyle w:val="Normal"/>
        <w:rPr/>
      </w:pPr>
      <w:r>
        <w:rPr/>
        <w:t>六月现金</w:t>
      </w:r>
      <w:r>
        <w:rPr/>
        <w:t>37.78775</w:t>
      </w:r>
      <w:r>
        <w:rPr/>
        <w:t>亿元、短期投资</w:t>
      </w:r>
      <w:r>
        <w:rPr/>
        <w:t>1.18672</w:t>
      </w:r>
      <w:r>
        <w:rPr/>
        <w:t>亿元，其中短期定存</w:t>
      </w:r>
      <w:r>
        <w:rPr/>
        <w:t>0.22</w:t>
      </w:r>
      <w:r>
        <w:rPr/>
        <w:t>亿元、理财</w:t>
      </w:r>
      <w:r>
        <w:rPr/>
        <w:t>0.96672</w:t>
      </w:r>
      <w:r>
        <w:rPr/>
        <w:t>亿元。无银行借款对融资风险有帮助，但租赁负债</w:t>
      </w:r>
      <w:r>
        <w:rPr/>
        <w:t>1.12776</w:t>
      </w:r>
      <w:r>
        <w:rPr/>
        <w:t>亿元仍是真实负债，而且现金位于不同实体。财务厚度能支持试错，却不能保证上市公司可无损抽取全部资金。模型盈利包含存款利息，所以目标价不再叠加全部净现金，避免重复计值。</w:t>
      </w:r>
    </w:p>
    <w:p>
      <w:pPr>
        <w:pStyle w:val="Heading2"/>
        <w:rPr/>
      </w:pPr>
      <w:r>
        <w:rPr>
          <w:color w:val="000000"/>
        </w:rPr>
        <w:t>十 股数 少数权益和治理范围</w:t>
      </w:r>
    </w:p>
    <w:p>
      <w:pPr>
        <w:pStyle w:val="Normal"/>
        <w:rPr/>
      </w:pPr>
      <w:r>
        <w:rPr/>
        <w:t>九月末法定已发行</w:t>
      </w:r>
      <w:r>
        <w:rPr/>
        <w:t>483895564</w:t>
      </w:r>
      <w:r>
        <w:rPr/>
        <w:t>股、库藏股零，另有</w:t>
      </w:r>
      <w:r>
        <w:rPr/>
        <w:t>3597800</w:t>
      </w:r>
      <w:r>
        <w:rPr/>
        <w:t>股已回购待注销。法定股数与经济流通口径不同，本模型在起始经济股数扣已买待注销，资金已经支付，不会再次从未来现金扣同笔回购。归母每股价值还增加未来正常期权潜在股份，并扣未来额外回购股份，分别处理已完成动作和未来研究假设。</w:t>
      </w:r>
    </w:p>
    <w:p>
      <w:pPr>
        <w:pStyle w:val="Normal"/>
        <w:rPr/>
      </w:pPr>
      <w:r>
        <w:rPr/>
        <w:t>上半年基本加权股数约</w:t>
      </w:r>
      <w:r>
        <w:rPr/>
        <w:t>4.79363</w:t>
      </w:r>
      <w:r>
        <w:rPr/>
        <w:t>亿，稀释约</w:t>
      </w:r>
      <w:r>
        <w:rPr/>
        <w:t>4.97699</w:t>
      </w:r>
      <w:r>
        <w:rPr/>
        <w:t>亿，均不是九月末法律股数。</w:t>
      </w:r>
      <w:r>
        <w:rPr/>
        <w:t>EPS</w:t>
      </w:r>
      <w:r>
        <w:rPr/>
        <w:t>年度期间使用加权分母，目标价则使用预计目标经济分母。直接以法定股数解释历史</w:t>
      </w:r>
      <w:r>
        <w:rPr/>
        <w:t>EPS</w:t>
      </w:r>
      <w:r>
        <w:rPr/>
        <w:t>会产生差异；直接把历史全部稀释差额叠加未来新期权也可能重复。模型保留独立目标稀释假设，公开累积尺度，读者可修改验证每股影响。</w:t>
      </w:r>
    </w:p>
    <w:p>
      <w:pPr>
        <w:pStyle w:val="Normal"/>
        <w:rPr/>
      </w:pPr>
      <w:r>
        <w:rPr/>
        <w:t>2025</w:t>
      </w:r>
      <w:r>
        <w:rPr/>
        <w:t>年报列</w:t>
      </w:r>
      <w:r>
        <w:rPr/>
        <w:t>TapTap</w:t>
      </w:r>
      <w:r>
        <w:rPr/>
        <w:t>相关主要实体有效持股</w:t>
      </w:r>
      <w:r>
        <w:rPr/>
        <w:t>88.57%</w:t>
      </w:r>
      <w:r>
        <w:rPr/>
        <w:t>，</w:t>
      </w:r>
      <w:r>
        <w:rPr/>
        <w:t>2024</w:t>
      </w:r>
      <w:r>
        <w:rPr/>
        <w:t>为</w:t>
      </w:r>
      <w:r>
        <w:rPr/>
        <w:t>83.73%</w:t>
      </w:r>
      <w:r>
        <w:rPr/>
        <w:t>，购买少数权益改变集团归属。</w:t>
      </w:r>
      <w:r>
        <w:rPr/>
        <w:t>2026</w:t>
      </w:r>
      <w:r>
        <w:rPr/>
        <w:t>上半年少数利润只有</w:t>
      </w:r>
      <w:r>
        <w:rPr/>
        <w:t>0.10015</w:t>
      </w:r>
      <w:r>
        <w:rPr/>
        <w:t>亿元，</w:t>
      </w:r>
      <w:r>
        <w:rPr/>
        <w:t>2025</w:t>
      </w:r>
      <w:r>
        <w:rPr/>
        <w:t>全年</w:t>
      </w:r>
      <w:r>
        <w:rPr/>
        <w:t>1.21235</w:t>
      </w:r>
      <w:r>
        <w:rPr/>
        <w:t>亿元，但不同实体利润和投资阶段导致份额不能按平台毛利简单计算。模型明确扣正常少数利润基准年底</w:t>
      </w:r>
      <w:r>
        <w:rPr/>
        <w:t>0.35</w:t>
      </w:r>
      <w:r>
        <w:rPr/>
        <w:t>亿元、一年</w:t>
      </w:r>
      <w:r>
        <w:rPr/>
        <w:t>0.50</w:t>
      </w:r>
      <w:r>
        <w:rPr/>
        <w:t>亿元、三年</w:t>
      </w:r>
      <w:r>
        <w:rPr/>
        <w:t>0.85</w:t>
      </w:r>
      <w:r>
        <w:rPr/>
        <w:t>亿元、五年</w:t>
      </w:r>
      <w:r>
        <w:rPr/>
        <w:t>1.10</w:t>
      </w:r>
      <w:r>
        <w:rPr/>
        <w:t>亿元，避免将集团全部利润视作母公司。</w:t>
      </w:r>
    </w:p>
    <w:p>
      <w:pPr>
        <w:pStyle w:val="Normal"/>
        <w:rPr/>
      </w:pPr>
      <w:r>
        <w:rPr/>
        <w:t>年报关于部分境内业务的合约安排，以及股东、董事和关联交易治理，有助于确认经济权利实现路径。合约控制与直接法律所有权存在差别，监管和执行变化可能影响资金流转。这里不将所有现金视为无条件可分红，也不因常规披露就认定存在已发生违约。长期风险评分保留治理折扣，条件变化时需要重新检查而不是永久沿用。</w:t>
      </w:r>
    </w:p>
    <w:p>
      <w:pPr>
        <w:pStyle w:val="Normal"/>
        <w:rPr/>
      </w:pPr>
      <w:r>
        <w:rPr/>
        <w:t>员工激励可能帮助保留核心创作团队，也会影响每股回报。九月未行权期权约</w:t>
      </w:r>
      <w:r>
        <w:rPr/>
        <w:t>14045254</w:t>
      </w:r>
      <w:r>
        <w:rPr/>
        <w:t>股，月内行权</w:t>
      </w:r>
      <w:r>
        <w:rPr/>
        <w:t>15200</w:t>
      </w:r>
      <w:r>
        <w:rPr/>
        <w:t>股；七月新授</w:t>
      </w:r>
      <w:r>
        <w:rPr/>
        <w:t>85894</w:t>
      </w:r>
      <w:r>
        <w:rPr/>
        <w:t>股，行权</w:t>
      </w:r>
      <w:r>
        <w:rPr/>
        <w:t>46.952</w:t>
      </w:r>
      <w:r>
        <w:rPr/>
        <w:t>港元，四月授予曾有更正。计划上限不是当前已发股份，行权价也不是公司保证的股价。长期模型把正常潜在稀释扩大，即使公司回购，基准五年经济股数仍约</w:t>
      </w:r>
      <w:r>
        <w:rPr/>
        <w:t>5.41298</w:t>
      </w:r>
      <w:r>
        <w:rPr/>
        <w:t>亿。</w:t>
      </w:r>
    </w:p>
    <w:p>
      <w:pPr>
        <w:pStyle w:val="Heading2"/>
        <w:rPr/>
      </w:pPr>
      <w:r>
        <w:rPr>
          <w:color w:val="000000"/>
        </w:rPr>
        <w:t>十一 回购资金与价格风险</w:t>
      </w:r>
    </w:p>
    <w:p>
      <w:pPr>
        <w:pStyle w:val="Normal"/>
        <w:rPr/>
      </w:pPr>
      <w:r>
        <w:rPr/>
        <w:t>上半年发行人买回</w:t>
      </w:r>
      <w:r>
        <w:rPr/>
        <w:t>7882600</w:t>
      </w:r>
      <w:r>
        <w:rPr/>
        <w:t>股，港币对价</w:t>
      </w:r>
      <w:r>
        <w:rPr/>
        <w:t>4.93211712</w:t>
      </w:r>
      <w:r>
        <w:rPr/>
        <w:t>亿元，其中</w:t>
      </w:r>
      <w:r>
        <w:rPr/>
        <w:t>5824600</w:t>
      </w:r>
      <w:r>
        <w:rPr/>
        <w:t>股六月注销，其余</w:t>
      </w:r>
      <w:r>
        <w:rPr/>
        <w:t>2058000</w:t>
      </w:r>
      <w:r>
        <w:rPr/>
        <w:t>股八月注销。现金流人民币回购</w:t>
      </w:r>
      <w:r>
        <w:rPr/>
        <w:t>5.11978</w:t>
      </w:r>
      <w:r>
        <w:rPr/>
        <w:t>亿元包含发行人</w:t>
      </w:r>
      <w:r>
        <w:rPr/>
        <w:t>4.39120</w:t>
      </w:r>
      <w:r>
        <w:rPr/>
        <w:t>亿元与</w:t>
      </w:r>
      <w:r>
        <w:rPr/>
        <w:t>RSU</w:t>
      </w:r>
      <w:r>
        <w:rPr/>
        <w:t>市场买入</w:t>
      </w:r>
      <w:r>
        <w:rPr/>
        <w:t>0.72858</w:t>
      </w:r>
      <w:r>
        <w:rPr/>
        <w:t>亿元，币种和范围均不同。不能把港币发行人对价强行与人民币全部现金对账，也不能据差异声称资金丢失。</w:t>
      </w:r>
    </w:p>
    <w:p>
      <w:pPr>
        <w:pStyle w:val="Normal"/>
        <w:rPr/>
      </w:pPr>
      <w:r>
        <w:rPr/>
        <w:t>RSU</w:t>
      </w:r>
      <w:r>
        <w:rPr/>
        <w:t>受托人在市场买</w:t>
      </w:r>
      <w:r>
        <w:rPr/>
        <w:t>1537000</w:t>
      </w:r>
      <w:r>
        <w:rPr/>
        <w:t>股，不是等量新增发行，因此不能一边扣市场购买现金、一边把同批股票全部作为新发稀释。股酬费用和期权发行仍需保留，因为薪酬经济成本真实。模型现金交叉扣年度现金股酬购买，利润保留常态费用，两者用于不同分析而不会在目标</w:t>
      </w:r>
      <w:r>
        <w:rPr/>
        <w:t>PE</w:t>
      </w:r>
      <w:r>
        <w:rPr/>
        <w:t>上重复扣同笔资产价值。</w:t>
      </w:r>
    </w:p>
    <w:p>
      <w:pPr>
        <w:pStyle w:val="Normal"/>
        <w:rPr/>
      </w:pPr>
      <w:r>
        <w:rPr/>
        <w:t>六月自动回购计划新额度</w:t>
      </w:r>
      <w:r>
        <w:rPr/>
        <w:t>4</w:t>
      </w:r>
      <w:r>
        <w:rPr/>
        <w:t>亿港元，最长到</w:t>
      </w:r>
      <w:r>
        <w:rPr/>
        <w:t>2026</w:t>
      </w:r>
      <w:r>
        <w:rPr/>
        <w:t>年</w:t>
      </w:r>
      <w:r>
        <w:rPr/>
        <w:t>11</w:t>
      </w:r>
      <w:r>
        <w:rPr/>
        <w:t>月</w:t>
      </w:r>
      <w:r>
        <w:rPr/>
        <w:t>11</w:t>
      </w:r>
      <w:r>
        <w:rPr/>
        <w:t>日。上限提供潜在资本动作，但资料没有独立证明额度在截止日全数用尽，不能把最大预算写成已发生现金。也不能把自动回购当价格底部保证：公司购买时股价可继续下降，未来可能结束计划或调整资本用途。年底模型基准额外回购</w:t>
      </w:r>
      <w:r>
        <w:rPr/>
        <w:t>7000</w:t>
      </w:r>
      <w:r>
        <w:rPr/>
        <w:t>万港元，是明确研究假设。</w:t>
      </w:r>
    </w:p>
    <w:p>
      <w:pPr>
        <w:pStyle w:val="Normal"/>
        <w:rPr/>
      </w:pPr>
      <w:r>
        <w:rPr/>
        <w:t>回购价值取决于价格与长期盈利，而不是回购股数本身。公司在高价买股票后，后续即便注销提高每股比例，所花现金也可能本可用于更高回报研发或较低价购股。当前价格</w:t>
      </w:r>
      <w:r>
        <w:rPr/>
        <w:t>39.4</w:t>
      </w:r>
      <w:r>
        <w:rPr/>
        <w:t>港元距</w:t>
      </w:r>
      <w:r>
        <w:rPr/>
        <w:t>52</w:t>
      </w:r>
      <w:r>
        <w:rPr/>
        <w:t>周高点显著回落，历史回购的经济效果需跨周期检查。未来预算用假设均价计算，不能声称能在所有情况下准确买到指定低价。</w:t>
      </w:r>
    </w:p>
    <w:p>
      <w:pPr>
        <w:pStyle w:val="Normal"/>
        <w:rPr/>
      </w:pPr>
      <w:r>
        <w:rPr/>
        <w:t>长期基准累计额外回购一年</w:t>
      </w:r>
      <w:r>
        <w:rPr/>
        <w:t>2.5</w:t>
      </w:r>
      <w:r>
        <w:rPr/>
        <w:t>亿、三年</w:t>
      </w:r>
      <w:r>
        <w:rPr/>
        <w:t>9</w:t>
      </w:r>
      <w:r>
        <w:rPr/>
        <w:t>亿、五年</w:t>
      </w:r>
      <w:r>
        <w:rPr/>
        <w:t>18</w:t>
      </w:r>
      <w:r>
        <w:rPr/>
        <w:t>亿港元，分别配合</w:t>
      </w:r>
      <w:r>
        <w:rPr/>
        <w:t>45</w:t>
      </w:r>
      <w:r>
        <w:rPr/>
        <w:t>、</w:t>
      </w:r>
      <w:r>
        <w:rPr/>
        <w:t>59</w:t>
      </w:r>
      <w:r>
        <w:rPr/>
        <w:t>、</w:t>
      </w:r>
      <w:r>
        <w:rPr/>
        <w:t>75</w:t>
      </w:r>
      <w:r>
        <w:rPr/>
        <w:t>港元假设均价。未来期权稀释仍使股数上升，刻意不把回购等同持续降低总分母。读者修改平均价、预算或稀释，就应重算</w:t>
      </w:r>
      <w:r>
        <w:rPr/>
        <w:t>EPS</w:t>
      </w:r>
      <w:r>
        <w:rPr/>
        <w:t>及目标，不应只刷新回购表而保留旧目标价。这也是单套活动模型与情景快照更新流程必要的原因。</w:t>
      </w:r>
    </w:p>
    <w:p>
      <w:pPr>
        <w:pStyle w:val="Heading2"/>
        <w:rPr/>
      </w:pPr>
      <w:r>
        <w:rPr>
          <w:color w:val="000000"/>
        </w:rPr>
        <w:t>十二 火炬</w:t>
      </w:r>
      <w:r>
        <w:rPr>
          <w:color w:val="000000"/>
        </w:rPr>
        <w:t>IP</w:t>
      </w:r>
      <w:r>
        <w:rPr>
          <w:color w:val="000000"/>
        </w:rPr>
        <w:t>交易与摊销的会计边界</w:t>
      </w:r>
    </w:p>
    <w:p>
      <w:pPr>
        <w:pStyle w:val="Normal"/>
        <w:rPr/>
      </w:pPr>
      <w:r>
        <w:rPr/>
        <w:t>2025</w:t>
      </w:r>
      <w:r>
        <w:rPr/>
        <w:t>年</w:t>
      </w:r>
      <w:r>
        <w:rPr/>
        <w:t>12</w:t>
      </w:r>
      <w:r>
        <w:rPr/>
        <w:t>月</w:t>
      </w:r>
      <w:r>
        <w:rPr/>
        <w:t>29</w:t>
      </w:r>
      <w:r>
        <w:rPr/>
        <w:t>日协议代价</w:t>
      </w:r>
      <w:r>
        <w:rPr/>
        <w:t>3718</w:t>
      </w:r>
      <w:r>
        <w:rPr/>
        <w:t>万美元，独立评估</w:t>
      </w:r>
      <w:r>
        <w:rPr/>
        <w:t>3735.4</w:t>
      </w:r>
      <w:r>
        <w:rPr/>
        <w:t>万美元，两者相近但不相同。</w:t>
      </w:r>
      <w:r>
        <w:rPr/>
        <w:t>2026</w:t>
      </w:r>
      <w:r>
        <w:rPr/>
        <w:t>年</w:t>
      </w:r>
      <w:r>
        <w:rPr/>
        <w:t>1</w:t>
      </w:r>
      <w:r>
        <w:rPr/>
        <w:t>月</w:t>
      </w:r>
      <w:r>
        <w:rPr/>
        <w:t>16</w:t>
      </w:r>
      <w:r>
        <w:rPr/>
        <w:t>日进一步公告说明付款以已有贷款本金和累计利息抵销，不是</w:t>
      </w:r>
      <w:r>
        <w:rPr/>
        <w:t>2026</w:t>
      </w:r>
      <w:r>
        <w:rPr/>
        <w:t>再付同额新现金。投资者如果把交易金额再次从六月现金扣除，会低估资金；如果忽略以前债权投入，又会高估无成本取得</w:t>
      </w:r>
      <w:r>
        <w:rPr/>
        <w:t>IP</w:t>
      </w:r>
      <w:r>
        <w:rPr/>
        <w:t>，两种处理都不正确。</w:t>
      </w:r>
    </w:p>
    <w:p>
      <w:pPr>
        <w:pStyle w:val="Normal"/>
        <w:rPr/>
      </w:pPr>
      <w:r>
        <w:rPr/>
        <w:t>交易评估采用许可费节省方法，许可费率</w:t>
      </w:r>
      <w:r>
        <w:rPr/>
        <w:t>8%</w:t>
      </w:r>
      <w:r>
        <w:rPr/>
        <w:t>、使用寿命</w:t>
      </w:r>
      <w:r>
        <w:rPr/>
        <w:t>7</w:t>
      </w:r>
      <w:r>
        <w:rPr/>
        <w:t>年、月维护约</w:t>
      </w:r>
      <w:r>
        <w:rPr/>
        <w:t>2.8</w:t>
      </w:r>
      <w:r>
        <w:rPr/>
        <w:t>万美元。这些是资产评估假设，不能直接理解为证券目标价模型或完整公开产品流水预测。未来适用性仍取决于品牌、技术和市场。报告仅利用它解释摊销、维护和资本成本，不把评估值替代全公司价值，也不声称已经掌握其估值底稿每年销量。</w:t>
      </w:r>
    </w:p>
    <w:p>
      <w:pPr>
        <w:pStyle w:val="Normal"/>
        <w:rPr/>
      </w:pPr>
      <w:r>
        <w:rPr/>
        <w:t>上半年</w:t>
      </w:r>
      <w:r>
        <w:rPr/>
        <w:t>PPE</w:t>
      </w:r>
      <w:r>
        <w:rPr/>
        <w:t>和使用权折旧约</w:t>
      </w:r>
      <w:r>
        <w:rPr/>
        <w:t>0.25965</w:t>
      </w:r>
      <w:r>
        <w:rPr/>
        <w:t>亿元，无形摊销</w:t>
      </w:r>
      <w:r>
        <w:rPr/>
        <w:t>0.51570</w:t>
      </w:r>
      <w:r>
        <w:rPr/>
        <w:t>亿元，合计</w:t>
      </w:r>
      <w:r>
        <w:rPr/>
        <w:t>0.77535</w:t>
      </w:r>
      <w:r>
        <w:rPr/>
        <w:t>亿元，比上年无形摊销提高。</w:t>
      </w:r>
      <w:r>
        <w:rPr/>
        <w:t>IP</w:t>
      </w:r>
      <w:r>
        <w:rPr/>
        <w:t>带来控制权同时承担会计成本，若在正常</w:t>
      </w:r>
      <w:r>
        <w:rPr/>
        <w:t>PE</w:t>
      </w:r>
      <w:r>
        <w:rPr/>
        <w:t>中全部加回摊销并另加</w:t>
      </w:r>
      <w:r>
        <w:rPr/>
        <w:t>IP</w:t>
      </w:r>
      <w:r>
        <w:rPr/>
        <w:t>价值，会把同一资产收益重复资本化。此模型在完整分部成本与费用中保留摊销，现金代理才加回折旧摊销并扣资本支出。</w:t>
      </w:r>
    </w:p>
    <w:p>
      <w:pPr>
        <w:pStyle w:val="Normal"/>
        <w:rPr/>
      </w:pPr>
      <w:r>
        <w:rPr/>
        <w:t>2025</w:t>
      </w:r>
      <w:r>
        <w:rPr/>
        <w:t>现金流无形购置</w:t>
      </w:r>
      <w:r>
        <w:rPr/>
        <w:t>3.11947</w:t>
      </w:r>
      <w:r>
        <w:rPr/>
        <w:t>亿元包含其他内容，协议的债权抵销付款方式不允许将两者强断为同一笔现金。取得、结算、资产确认和现金支付时间可能不同。只有逐笔附注及现金说明足够时才能做精确资产现金桥。现有研究保留已披露总量并明确边界，不用猜测制造一个看似完全相等的对账。</w:t>
      </w:r>
    </w:p>
    <w:p>
      <w:pPr>
        <w:pStyle w:val="Normal"/>
        <w:rPr/>
      </w:pPr>
      <w:r>
        <w:rPr/>
        <w:t>IP</w:t>
      </w:r>
      <w:r>
        <w:rPr/>
        <w:t>长期价值需要能在多个产品、内容更新或授权上形成可持续现金，而不是购买本身完成就兑现。品牌可能随着玩家代际变化失去吸引力，技术和玩法也需要不断升级。五年基准研发</w:t>
      </w:r>
      <w:r>
        <w:rPr/>
        <w:t>29</w:t>
      </w:r>
      <w:r>
        <w:rPr/>
        <w:t>亿元、资本现金</w:t>
      </w:r>
      <w:r>
        <w:rPr/>
        <w:t>3.2</w:t>
      </w:r>
      <w:r>
        <w:rPr/>
        <w:t>亿元年率，给未来维护和内容投入留出空间。若实际回报弱，利润率及</w:t>
      </w:r>
      <w:r>
        <w:rPr/>
        <w:t>PE</w:t>
      </w:r>
      <w:r>
        <w:rPr/>
        <w:t>同时应下降，过去资产评估值不能作为股价不会下跌的依据。</w:t>
      </w:r>
    </w:p>
    <w:p>
      <w:pPr>
        <w:pStyle w:val="Heading2"/>
        <w:rPr/>
      </w:pPr>
      <w:r>
        <w:rPr>
          <w:color w:val="000000"/>
        </w:rPr>
        <w:t>十三 经济 监管与汇率如何落到公司利润</w:t>
      </w:r>
    </w:p>
    <w:p>
      <w:pPr>
        <w:pStyle w:val="Normal"/>
        <w:rPr/>
      </w:pPr>
      <w:r>
        <w:rPr/>
        <w:t>消费收入和信心影响娱乐预算，但游戏付费也取决于产品体验与用户关系。经济放缓可能使玩家选择低成本娱乐，增加时长却减少付费，广告客户则更重视投放回收期。心动收入因此不与宏观消费简单同涨同跌。研究需检查营销收入、付费用户和费用变化，不能仅因某项宏观刺激就给全部游戏收入增加固定百分比。</w:t>
      </w:r>
    </w:p>
    <w:p>
      <w:pPr>
        <w:pStyle w:val="Normal"/>
        <w:rPr/>
      </w:pPr>
      <w:r>
        <w:rPr/>
        <w:t>版号、内容监管及未成年人保护影响国内上线和运营，政策供给改善也会增加同业新品竞争。取得版号不等于上线成功，测试热度更不等于正式批准。截止资料并未给完整三款在研项目名称、日期及版号，本报告不补造上线清单。早期投行关于</w:t>
      </w:r>
      <w:r>
        <w:rPr/>
        <w:t>RO2</w:t>
      </w:r>
      <w:r>
        <w:rPr/>
        <w:t>的预计列作历史预期，不能写成截至十月已推出或已经获得批准。</w:t>
      </w:r>
    </w:p>
    <w:p>
      <w:pPr>
        <w:pStyle w:val="Normal"/>
        <w:rPr/>
      </w:pPr>
      <w:r>
        <w:rPr/>
        <w:t>海外政策还包括平台支付、隐私、年龄保护及内容审核。不同市场要求可能增加本地实体、客服、翻译和税务成本。多地区收入能分散单市场，但合规组织也更复杂。模型正常行政费用和有效税率逐步提高，已把部分国际化成本落进利润；无法量化的极端停服或合约失效，仍需用额外压力判断，而不是承诺三情景覆盖全部损失。</w:t>
      </w:r>
    </w:p>
    <w:p>
      <w:pPr>
        <w:pStyle w:val="Normal"/>
        <w:rPr/>
      </w:pPr>
      <w:r>
        <w:rPr/>
        <w:t>利率下降会降低存款收益，也可能提高成长股可接受估值，两种方向不同。上半年存款利息</w:t>
      </w:r>
      <w:r>
        <w:rPr/>
        <w:t>0.19037</w:t>
      </w:r>
      <w:r>
        <w:rPr/>
        <w:t>亿元，</w:t>
      </w:r>
      <w:r>
        <w:rPr/>
        <w:t>2025</w:t>
      </w:r>
      <w:r>
        <w:rPr/>
        <w:t>全年</w:t>
      </w:r>
      <w:r>
        <w:rPr/>
        <w:t>0.46668</w:t>
      </w:r>
      <w:r>
        <w:rPr/>
        <w:t>亿元，规模相对游戏毛利小，所以不能把利息作为主收益来源。活动模型给明确正常利息、租息与银行费，读者修改利率影响时需同时看盈利和估值，不应只调高</w:t>
      </w:r>
      <w:r>
        <w:rPr/>
        <w:t>PE</w:t>
      </w:r>
      <w:r>
        <w:rPr/>
        <w:t>忽略现金收益减少。</w:t>
      </w:r>
    </w:p>
    <w:p>
      <w:pPr>
        <w:pStyle w:val="Normal"/>
        <w:rPr/>
      </w:pPr>
      <w:r>
        <w:rPr/>
        <w:t>报价为港元、经营主币为人民币，海外收入还存在其他币种。模型</w:t>
      </w:r>
      <w:r>
        <w:rPr/>
        <w:t>HKD</w:t>
      </w:r>
      <w:r>
        <w:rPr/>
        <w:t>每</w:t>
      </w:r>
      <w:r>
        <w:rPr/>
        <w:t>CNY1.10</w:t>
      </w:r>
      <w:r>
        <w:rPr/>
        <w:t>是估值转换假设，不声称锁定即期汇率。人民币投资者将港元本币回报折回人民币时，应以港币兑人民币相对变化计算乘积，例如本币收益</w:t>
      </w:r>
      <w:r>
        <w:rPr/>
        <w:t>20.79%</w:t>
      </w:r>
      <w:r>
        <w:rPr/>
        <w:t>遇港币人民币价值下降</w:t>
      </w:r>
      <w:r>
        <w:rPr/>
        <w:t>5%</w:t>
      </w:r>
      <w:r>
        <w:rPr/>
        <w:t>，人民币总回报约</w:t>
      </w:r>
      <w:r>
        <w:rPr/>
        <w:t>14.75%</w:t>
      </w:r>
      <w:r>
        <w:rPr/>
        <w:t>。这种持有者汇率敏感性与公司报表汇兑损益不同。</w:t>
      </w:r>
    </w:p>
    <w:p>
      <w:pPr>
        <w:pStyle w:val="Heading2"/>
        <w:rPr/>
      </w:pPr>
      <w:r>
        <w:rPr>
          <w:color w:val="000000"/>
        </w:rPr>
        <w:t>十四 历史估值参照与正常化</w:t>
      </w:r>
      <w:r>
        <w:rPr>
          <w:color w:val="000000"/>
        </w:rPr>
        <w:t>PE</w:t>
      </w:r>
    </w:p>
    <w:p>
      <w:pPr>
        <w:pStyle w:val="Normal"/>
        <w:rPr/>
      </w:pPr>
      <w:r>
        <w:rPr/>
        <w:t>按</w:t>
      </w:r>
      <w:r>
        <w:rPr/>
        <w:t>2025</w:t>
      </w:r>
      <w:r>
        <w:rPr/>
        <w:t>归母</w:t>
      </w:r>
      <w:r>
        <w:rPr/>
        <w:t>15.35274</w:t>
      </w:r>
      <w:r>
        <w:rPr/>
        <w:t>亿元加上</w:t>
      </w:r>
      <w:r>
        <w:rPr/>
        <w:t>2026</w:t>
      </w:r>
      <w:r>
        <w:rPr/>
        <w:t>上半年</w:t>
      </w:r>
      <w:r>
        <w:rPr/>
        <w:t>7.14297</w:t>
      </w:r>
      <w:r>
        <w:rPr/>
        <w:t>亿元、减去上年同期</w:t>
      </w:r>
      <w:r>
        <w:rPr/>
        <w:t>7.54856</w:t>
      </w:r>
      <w:r>
        <w:rPr/>
        <w:t>亿元，滚动归母约</w:t>
      </w:r>
      <w:r>
        <w:rPr/>
        <w:t>14.94715</w:t>
      </w:r>
      <w:r>
        <w:rPr/>
        <w:t>亿元。以当前经济股数和</w:t>
      </w:r>
      <w:r>
        <w:rPr/>
        <w:t>HKD</w:t>
      </w:r>
      <w:r>
        <w:rPr/>
        <w:t>每</w:t>
      </w:r>
      <w:r>
        <w:rPr/>
        <w:t>CNY1.10</w:t>
      </w:r>
      <w:r>
        <w:rPr/>
        <w:t>转换，滚动法定</w:t>
      </w:r>
      <w:r>
        <w:rPr/>
        <w:t>PE</w:t>
      </w:r>
      <w:r>
        <w:rPr/>
        <w:t>约</w:t>
      </w:r>
      <w:r>
        <w:rPr/>
        <w:t>11.5</w:t>
      </w:r>
      <w:r>
        <w:rPr/>
        <w:t>倍。它解释市场价格已经明显低于旧高目标，但不能证明真正正常利润只有一个确定值。滚动利润仍包含低税、补助、单作生命周期和费用变化。</w:t>
      </w:r>
    </w:p>
    <w:p>
      <w:pPr>
        <w:pStyle w:val="Normal"/>
        <w:rPr/>
      </w:pPr>
      <w:r>
        <w:rPr/>
        <w:t>年底基准正常归母</w:t>
      </w:r>
      <w:r>
        <w:rPr/>
        <w:t>11.936982</w:t>
      </w:r>
      <w:r>
        <w:rPr/>
        <w:t>亿元，低于滚动法定利润，明确把研发、正常税费和收入组合压力纳入。基准</w:t>
      </w:r>
      <w:r>
        <w:rPr/>
        <w:t>EPS2.463759</w:t>
      </w:r>
      <w:r>
        <w:rPr/>
        <w:t>元人民币，</w:t>
      </w:r>
      <w:r>
        <w:rPr/>
        <w:t>15</w:t>
      </w:r>
      <w:r>
        <w:rPr/>
        <w:t>倍</w:t>
      </w:r>
      <w:r>
        <w:rPr/>
        <w:t>PE</w:t>
      </w:r>
      <w:r>
        <w:rPr/>
        <w:t>并按</w:t>
      </w:r>
      <w:r>
        <w:rPr/>
        <w:t>1.10</w:t>
      </w:r>
      <w:r>
        <w:rPr/>
        <w:t>转换，目标</w:t>
      </w:r>
      <w:r>
        <w:rPr/>
        <w:t>40.65</w:t>
      </w:r>
      <w:r>
        <w:rPr/>
        <w:t>港元。换言之，当前价格若正常盈利比法定滚动低，就未必极度便宜。半年和一年上行需要利润改善，与单纯恢复旧估值是两项不同假设。</w:t>
      </w:r>
    </w:p>
    <w:p>
      <w:pPr>
        <w:pStyle w:val="Normal"/>
        <w:rPr/>
      </w:pPr>
      <w:r>
        <w:rPr/>
        <w:t>PE</w:t>
      </w:r>
      <w:r>
        <w:rPr/>
        <w:t>给予的是归母持续盈利，包括正常存款利息，不能再把全部现金单独加上市值。若改做核心经营利润倍数加超额净现金，需要去除财资收益、识别运营所需现金及少数权益，并处理税与分红限制。本研究保持单方法一致，现金和</w:t>
      </w:r>
      <w:r>
        <w:rPr/>
        <w:t>IP</w:t>
      </w:r>
      <w:r>
        <w:rPr/>
        <w:t>价值只作交叉，避免不同方法在乐观时重复叠加、悲观时又任意切换。</w:t>
      </w:r>
    </w:p>
    <w:p>
      <w:pPr>
        <w:pStyle w:val="Normal"/>
        <w:rPr/>
      </w:pPr>
      <w:r>
        <w:rPr/>
        <w:t>小型游戏平台相对腾讯、网易有更高单产品波动和较低业务分散，对高倍数要求更强增长证据。它也可能比成熟大公司有更大百分比增长空间。模型一年基准</w:t>
      </w:r>
      <w:r>
        <w:rPr/>
        <w:t>17</w:t>
      </w:r>
      <w:r>
        <w:rPr/>
        <w:t>倍、三年</w:t>
      </w:r>
      <w:r>
        <w:rPr/>
        <w:t>17</w:t>
      </w:r>
      <w:r>
        <w:rPr/>
        <w:t>倍、五年</w:t>
      </w:r>
      <w:r>
        <w:rPr/>
        <w:t>16</w:t>
      </w:r>
      <w:r>
        <w:rPr/>
        <w:t>倍，表达规模扩大后利润复利主导、估值逐渐成熟。乐观</w:t>
      </w:r>
      <w:r>
        <w:rPr/>
        <w:t>21</w:t>
      </w:r>
      <w:r>
        <w:rPr/>
        <w:t>至</w:t>
      </w:r>
      <w:r>
        <w:rPr/>
        <w:t>22</w:t>
      </w:r>
      <w:r>
        <w:rPr/>
        <w:t>倍要求平台转化和产品组合均改善，不凭</w:t>
      </w:r>
      <w:r>
        <w:rPr/>
        <w:t>AI</w:t>
      </w:r>
      <w:r>
        <w:rPr/>
        <w:t>标签自动给高倍数。</w:t>
      </w:r>
    </w:p>
    <w:p>
      <w:pPr>
        <w:pStyle w:val="Normal"/>
        <w:rPr/>
      </w:pPr>
      <w:r>
        <w:rPr/>
        <w:t>过去</w:t>
      </w:r>
      <w:r>
        <w:rPr/>
        <w:t>92.45</w:t>
      </w:r>
      <w:r>
        <w:rPr/>
        <w:t>港元高点不是内在价值证明，跌幅</w:t>
      </w:r>
      <w:r>
        <w:rPr/>
        <w:t>57.38%</w:t>
      </w:r>
      <w:r>
        <w:rPr/>
        <w:t>只说明历史持仓承受的回撤。用高点作为“必然回归”目标会忽略当时产品预期与财务口径。当前目标从收入、毛利、费用、税及股数重新计算，因而既能低于高点，也能在乐观长期超过它。高价与低价都必须由相同经济规则检验。</w:t>
      </w:r>
    </w:p>
    <w:p>
      <w:pPr>
        <w:pStyle w:val="Heading2"/>
        <w:rPr/>
      </w:pPr>
      <w:r>
        <w:rPr>
          <w:color w:val="000000"/>
        </w:rPr>
        <w:t>十五 活动模型的经营及股本计算</w:t>
      </w:r>
    </w:p>
    <w:p>
      <w:pPr>
        <w:pStyle w:val="Normal"/>
        <w:rPr/>
      </w:pPr>
      <w:r>
        <w:rPr/>
        <w:t>每个期限预测目标时点可见的未来十二个月正常经营年率，而非统一</w:t>
      </w:r>
      <w:r>
        <w:rPr/>
        <w:t>2026</w:t>
      </w:r>
      <w:r>
        <w:rPr/>
        <w:t>全年收入，也不是截止到目标日的累计销售。先把游戏收入乘游戏毛利率，平台收入乘平台毛利率，得到集团毛利。扣完整销售、研发、行政和正常信用成本，加正常补助，再加存款利息、减租赁利息及银行費，形成正常税前利润。</w:t>
      </w:r>
    </w:p>
    <w:p>
      <w:pPr>
        <w:pStyle w:val="Normal"/>
        <w:rPr/>
      </w:pPr>
      <w:r>
        <w:rPr/>
        <w:t>正税前利润按有效税率扣税，亏损不自动确认立即税收益；税后联营收益单加，少数股东利润单扣，得到归母年率。未来股数从九月法定股数减已回购待注销，减未来额外回购预算除平均价，再加正常期权潜在股份。归母利润除经济股数得</w:t>
      </w:r>
      <w:r>
        <w:rPr/>
        <w:t>EPS</w:t>
      </w:r>
      <w:r>
        <w:rPr/>
        <w:t>，按六位小数及两位价格统一计算，目标价等于</w:t>
      </w:r>
      <w:r>
        <w:rPr/>
        <w:t>EPS</w:t>
      </w:r>
      <w:r>
        <w:rPr/>
        <w:t>乘</w:t>
      </w:r>
      <w:r>
        <w:rPr/>
        <w:t>PE</w:t>
      </w:r>
      <w:r>
        <w:rPr/>
        <w:t>乘汇率。</w:t>
      </w:r>
    </w:p>
    <w:p>
      <w:pPr>
        <w:pStyle w:val="Normal"/>
        <w:rPr/>
      </w:pPr>
      <w:r>
        <w:rPr/>
        <w:t>现金交叉用归母正常利润加年度折旧摊销，减资本现金、营运资本增量及现金股酬购买。这是判断正常盈利现金质量的代理，不能与完整三张表或严格归母现金分派等同。它不直接再加到</w:t>
      </w:r>
      <w:r>
        <w:rPr/>
        <w:t>PE</w:t>
      </w:r>
      <w:r>
        <w:rPr/>
        <w:t>价格上，也不预测精确结束现金。财务跑道相较亏损科技公司较好，但若游戏和广告同时下降，未来投入仍可消耗现金。</w:t>
      </w:r>
    </w:p>
    <w:p>
      <w:pPr>
        <w:pStyle w:val="Normal"/>
        <w:rPr/>
      </w:pPr>
      <w:r>
        <w:rPr/>
        <w:t>一年基准游戏</w:t>
      </w:r>
      <w:r>
        <w:rPr/>
        <w:t>54.5</w:t>
      </w:r>
      <w:r>
        <w:rPr/>
        <w:t>亿元、平台</w:t>
      </w:r>
      <w:r>
        <w:rPr/>
        <w:t>24</w:t>
      </w:r>
      <w:r>
        <w:rPr/>
        <w:t>亿元，毛利率</w:t>
      </w:r>
      <w:r>
        <w:rPr/>
        <w:t>66%</w:t>
      </w:r>
      <w:r>
        <w:rPr/>
        <w:t>及</w:t>
      </w:r>
      <w:r>
        <w:rPr/>
        <w:t>85.5%</w:t>
      </w:r>
      <w:r>
        <w:rPr/>
        <w:t>，集团毛利</w:t>
      </w:r>
      <w:r>
        <w:rPr/>
        <w:t>56.49</w:t>
      </w:r>
      <w:r>
        <w:rPr/>
        <w:t>亿元。销售</w:t>
      </w:r>
      <w:r>
        <w:rPr/>
        <w:t>18.8</w:t>
      </w:r>
      <w:r>
        <w:rPr/>
        <w:t>亿元、研发</w:t>
      </w:r>
      <w:r>
        <w:rPr/>
        <w:t>15.8</w:t>
      </w:r>
      <w:r>
        <w:rPr/>
        <w:t>亿元、行政</w:t>
      </w:r>
      <w:r>
        <w:rPr/>
        <w:t>3.35</w:t>
      </w:r>
      <w:r>
        <w:rPr/>
        <w:t>亿元、信用</w:t>
      </w:r>
      <w:r>
        <w:rPr/>
        <w:t>0.12</w:t>
      </w:r>
      <w:r>
        <w:rPr/>
        <w:t>亿元、补助</w:t>
      </w:r>
      <w:r>
        <w:rPr/>
        <w:t>0.55</w:t>
      </w:r>
      <w:r>
        <w:rPr/>
        <w:t>亿元，正常核心利润</w:t>
      </w:r>
      <w:r>
        <w:rPr/>
        <w:t>18.97</w:t>
      </w:r>
      <w:r>
        <w:rPr/>
        <w:t>亿元；加净财资</w:t>
      </w:r>
      <w:r>
        <w:rPr/>
        <w:t>0.30</w:t>
      </w:r>
      <w:r>
        <w:rPr/>
        <w:t>亿元、扣</w:t>
      </w:r>
      <w:r>
        <w:rPr/>
        <w:t>18%</w:t>
      </w:r>
      <w:r>
        <w:rPr/>
        <w:t>税，再加联营</w:t>
      </w:r>
      <w:r>
        <w:rPr/>
        <w:t>0.05</w:t>
      </w:r>
      <w:r>
        <w:rPr/>
        <w:t>亿元、减少数</w:t>
      </w:r>
      <w:r>
        <w:rPr/>
        <w:t>0.50</w:t>
      </w:r>
      <w:r>
        <w:rPr/>
        <w:t>亿元，归母约</w:t>
      </w:r>
      <w:r>
        <w:rPr/>
        <w:t>15.3514</w:t>
      </w:r>
      <w:r>
        <w:rPr/>
        <w:t>亿元。</w:t>
      </w:r>
    </w:p>
    <w:p>
      <w:pPr>
        <w:pStyle w:val="Normal"/>
        <w:rPr/>
      </w:pPr>
      <w:r>
        <w:rPr/>
        <w:t>一年基准额外回购</w:t>
      </w:r>
      <w:r>
        <w:rPr/>
        <w:t>2.5</w:t>
      </w:r>
      <w:r>
        <w:rPr/>
        <w:t>亿港元以</w:t>
      </w:r>
      <w:r>
        <w:rPr/>
        <w:t>45</w:t>
      </w:r>
      <w:r>
        <w:rPr/>
        <w:t>元均价计算，正常期权增</w:t>
      </w:r>
      <w:r>
        <w:rPr/>
        <w:t>0.20</w:t>
      </w:r>
      <w:r>
        <w:rPr/>
        <w:t>亿股，经济股数约</w:t>
      </w:r>
      <w:r>
        <w:rPr/>
        <w:t>4.94742</w:t>
      </w:r>
      <w:r>
        <w:rPr/>
        <w:t>亿，</w:t>
      </w:r>
      <w:r>
        <w:rPr/>
        <w:t>EPS3.102909</w:t>
      </w:r>
      <w:r>
        <w:rPr/>
        <w:t>元人民币，</w:t>
      </w:r>
      <w:r>
        <w:rPr/>
        <w:t>17</w:t>
      </w:r>
      <w:r>
        <w:rPr/>
        <w:t>倍</w:t>
      </w:r>
      <w:r>
        <w:rPr/>
        <w:t>PE</w:t>
      </w:r>
      <w:r>
        <w:rPr/>
        <w:t>和</w:t>
      </w:r>
      <w:r>
        <w:rPr/>
        <w:t>1.10</w:t>
      </w:r>
      <w:r>
        <w:rPr/>
        <w:t>转换成</w:t>
      </w:r>
      <w:r>
        <w:rPr/>
        <w:t>58.02</w:t>
      </w:r>
      <w:r>
        <w:rPr/>
        <w:t>港元。这些中间数允许读者定位偏差：若利润低是毛利或税问题，就改相应驱动；若每股低是稀释问题，就改股数，不能靠直接覆盖目标价掩盖经营原因。</w:t>
      </w:r>
    </w:p>
    <w:p>
      <w:pPr>
        <w:pStyle w:val="Heading2"/>
        <w:rPr/>
      </w:pPr>
      <w:r>
        <w:rPr>
          <w:color w:val="000000"/>
        </w:rPr>
        <w:t>十六 年底三情景及期望值的适用限制</w:t>
      </w:r>
    </w:p>
    <w:p>
      <w:pPr>
        <w:pStyle w:val="Normal"/>
        <w:rPr/>
      </w:pPr>
      <w:r>
        <w:rPr/>
        <w:t>年底基准游戏</w:t>
      </w:r>
      <w:r>
        <w:rPr/>
        <w:t>45.5</w:t>
      </w:r>
      <w:r>
        <w:rPr/>
        <w:t>亿元、平台</w:t>
      </w:r>
      <w:r>
        <w:rPr/>
        <w:t>20.4</w:t>
      </w:r>
      <w:r>
        <w:rPr/>
        <w:t>亿元年率，毛利</w:t>
      </w:r>
      <w:r>
        <w:rPr/>
        <w:t>64%</w:t>
      </w:r>
      <w:r>
        <w:rPr/>
        <w:t>和</w:t>
      </w:r>
      <w:r>
        <w:rPr/>
        <w:t>85.1%</w:t>
      </w:r>
      <w:r>
        <w:rPr/>
        <w:t>，销售</w:t>
      </w:r>
      <w:r>
        <w:rPr/>
        <w:t>15.5</w:t>
      </w:r>
      <w:r>
        <w:rPr/>
        <w:t>亿元、研发</w:t>
      </w:r>
      <w:r>
        <w:rPr/>
        <w:t>14</w:t>
      </w:r>
      <w:r>
        <w:rPr/>
        <w:t>亿元、行政</w:t>
      </w:r>
      <w:r>
        <w:rPr/>
        <w:t>2.85</w:t>
      </w:r>
      <w:r>
        <w:rPr/>
        <w:t>亿元。它假设截至年底市场看到较稳定的产品运营，尚未给完整新作大成功。正常归母约</w:t>
      </w:r>
      <w:r>
        <w:rPr/>
        <w:t>11.94</w:t>
      </w:r>
      <w:r>
        <w:rPr/>
        <w:t>亿元，目标</w:t>
      </w:r>
      <w:r>
        <w:rPr/>
        <w:t>15</w:t>
      </w:r>
      <w:r>
        <w:rPr/>
        <w:t>倍</w:t>
      </w:r>
      <w:r>
        <w:rPr/>
        <w:t>PE40.65</w:t>
      </w:r>
      <w:r>
        <w:rPr/>
        <w:t>港元。距当前上涨只有</w:t>
      </w:r>
      <w:r>
        <w:rPr/>
        <w:t>3.17%</w:t>
      </w:r>
      <w:r>
        <w:rPr/>
        <w:t>，体现短期报告期内成本压力尚难被未来故事全部抵消。</w:t>
      </w:r>
    </w:p>
    <w:p>
      <w:pPr>
        <w:pStyle w:val="Normal"/>
        <w:rPr/>
      </w:pPr>
      <w:r>
        <w:rPr/>
        <w:t>年底悲观游戏</w:t>
      </w:r>
      <w:r>
        <w:rPr/>
        <w:t>41.5</w:t>
      </w:r>
      <w:r>
        <w:rPr/>
        <w:t>亿元、平台</w:t>
      </w:r>
      <w:r>
        <w:rPr/>
        <w:t>19</w:t>
      </w:r>
      <w:r>
        <w:rPr/>
        <w:t>亿元年率，游戏毛利</w:t>
      </w:r>
      <w:r>
        <w:rPr/>
        <w:t>61%</w:t>
      </w:r>
      <w:r>
        <w:rPr/>
        <w:t>、平台</w:t>
      </w:r>
      <w:r>
        <w:rPr/>
        <w:t>83%</w:t>
      </w:r>
      <w:r>
        <w:rPr/>
        <w:t>，销售</w:t>
      </w:r>
      <w:r>
        <w:rPr/>
        <w:t>14.4</w:t>
      </w:r>
      <w:r>
        <w:rPr/>
        <w:t>亿元、研发</w:t>
      </w:r>
      <w:r>
        <w:rPr/>
        <w:t>13</w:t>
      </w:r>
      <w:r>
        <w:rPr/>
        <w:t>亿元，税</w:t>
      </w:r>
      <w:r>
        <w:rPr/>
        <w:t>22%</w:t>
      </w:r>
      <w:r>
        <w:rPr/>
        <w:t>，目标</w:t>
      </w:r>
      <w:r>
        <w:rPr/>
        <w:t>10</w:t>
      </w:r>
      <w:r>
        <w:rPr/>
        <w:t>倍</w:t>
      </w:r>
      <w:r>
        <w:rPr/>
        <w:t>PE</w:t>
      </w:r>
      <w:r>
        <w:rPr/>
        <w:t>。正常归母</w:t>
      </w:r>
      <w:r>
        <w:rPr/>
        <w:t>8.0403</w:t>
      </w:r>
      <w:r>
        <w:rPr/>
        <w:t>亿元，</w:t>
      </w:r>
      <w:r>
        <w:rPr/>
        <w:t>EPS1.656289</w:t>
      </w:r>
      <w:r>
        <w:rPr/>
        <w:t>，目标</w:t>
      </w:r>
      <w:r>
        <w:rPr/>
        <w:t>18.22</w:t>
      </w:r>
      <w:r>
        <w:rPr/>
        <w:t>港元。它需要旧作与渠道压力、平台转化弱以及估值压缩共同发生，不能解释成市场普通日常波动的预计下限。</w:t>
      </w:r>
    </w:p>
    <w:p>
      <w:pPr>
        <w:pStyle w:val="Normal"/>
        <w:rPr/>
      </w:pPr>
      <w:r>
        <w:rPr/>
        <w:t>年底乐观游戏</w:t>
      </w:r>
      <w:r>
        <w:rPr/>
        <w:t>51.5</w:t>
      </w:r>
      <w:r>
        <w:rPr/>
        <w:t>亿元、平台</w:t>
      </w:r>
      <w:r>
        <w:rPr/>
        <w:t>22.1</w:t>
      </w:r>
      <w:r>
        <w:rPr/>
        <w:t>亿元年率，毛利</w:t>
      </w:r>
      <w:r>
        <w:rPr/>
        <w:t>67%</w:t>
      </w:r>
      <w:r>
        <w:rPr/>
        <w:t>和</w:t>
      </w:r>
      <w:r>
        <w:rPr/>
        <w:t>86.6%</w:t>
      </w:r>
      <w:r>
        <w:rPr/>
        <w:t>，研发</w:t>
      </w:r>
      <w:r>
        <w:rPr/>
        <w:t>13.4</w:t>
      </w:r>
      <w:r>
        <w:rPr/>
        <w:t>亿元，税</w:t>
      </w:r>
      <w:r>
        <w:rPr/>
        <w:t>14.5%</w:t>
      </w:r>
      <w:r>
        <w:rPr/>
        <w:t>，归母约</w:t>
      </w:r>
      <w:r>
        <w:rPr/>
        <w:t>19.06</w:t>
      </w:r>
      <w:r>
        <w:rPr/>
        <w:t>亿元。</w:t>
      </w:r>
      <w:r>
        <w:rPr/>
        <w:t>20</w:t>
      </w:r>
      <w:r>
        <w:rPr/>
        <w:t>倍</w:t>
      </w:r>
      <w:r>
        <w:rPr/>
        <w:t>PE</w:t>
      </w:r>
      <w:r>
        <w:rPr/>
        <w:t>对应</w:t>
      </w:r>
      <w:r>
        <w:rPr/>
        <w:t>86.62</w:t>
      </w:r>
      <w:r>
        <w:rPr/>
        <w:t>港元，要求较强经营证据和风险偏好同时改善。短时间内出现完整这些条件的难度较高；</w:t>
      </w:r>
      <w:r>
        <w:rPr/>
        <w:t>25%</w:t>
      </w:r>
      <w:r>
        <w:rPr/>
        <w:t>权重是本研究判断假设，不是历史统计测出的发生率，读者应特别关注期望被右尾抬高的程度。</w:t>
      </w:r>
    </w:p>
    <w:p>
      <w:pPr>
        <w:pStyle w:val="Normal"/>
        <w:rPr/>
      </w:pPr>
      <w:r>
        <w:rPr/>
        <w:t>25%/50%/25%</w:t>
      </w:r>
      <w:r>
        <w:rPr/>
        <w:t>的算术加权价</w:t>
      </w:r>
      <w:r>
        <w:rPr/>
        <w:t>46.535</w:t>
      </w:r>
      <w:r>
        <w:rPr/>
        <w:t>港元，高于基准</w:t>
      </w:r>
      <w:r>
        <w:rPr/>
        <w:t>40.65</w:t>
      </w:r>
      <w:r>
        <w:rPr/>
        <w:t>，因为乐观尾部幅度较大。权重改为防御组合后期望</w:t>
      </w:r>
      <w:r>
        <w:rPr/>
        <w:t>36.275</w:t>
      </w:r>
      <w:r>
        <w:rPr/>
        <w:t>，低于现价，这说明“期望上涨</w:t>
      </w:r>
      <w:r>
        <w:rPr/>
        <w:t>18.11%”</w:t>
      </w:r>
      <w:r>
        <w:rPr/>
        <w:t>高度依赖对乐观结果的权重。不能把加权价当保证兑现价格，也不能用其替代本金风险或资金规划。总表同时保留基准和期望，避免选择较好看的一项。</w:t>
      </w:r>
    </w:p>
    <w:p>
      <w:pPr>
        <w:pStyle w:val="Normal"/>
        <w:rPr/>
      </w:pPr>
      <w:r>
        <w:rPr/>
        <w:t>年底时间较短，可能没有完整全年财务公布。目标仍基于截至年底市场可见信息对正常年率与估值的判断，而不声称已提前知道全年报。外资旧目标不能线性缩到剩余月份，也不直接采用为年底价。实际若缺少经营更新或市场注意力不足，股价可能无法迅速接近计算价值，估值结果与交易路径应分开理解。</w:t>
      </w:r>
    </w:p>
    <w:p>
      <w:pPr>
        <w:pStyle w:val="Heading2"/>
        <w:rPr/>
      </w:pPr>
      <w:r>
        <w:rPr>
          <w:color w:val="000000"/>
        </w:rPr>
        <w:t>十七 半年日线位置与支撑阻力</w:t>
      </w:r>
    </w:p>
    <w:p>
      <w:pPr>
        <w:pStyle w:val="Normal"/>
        <w:rPr/>
      </w:pPr>
      <w:r>
        <w:rPr/>
        <w:t>锁定行情共有</w:t>
      </w:r>
      <w:r>
        <w:rPr/>
        <w:t>739</w:t>
      </w:r>
      <w:r>
        <w:rPr/>
        <w:t>根真实日线，生成</w:t>
      </w:r>
      <w:r>
        <w:rPr/>
        <w:t>157</w:t>
      </w:r>
      <w:r>
        <w:rPr/>
        <w:t>根周线，历史窗口内两处供应商</w:t>
      </w:r>
      <w:r>
        <w:rPr/>
        <w:t>OHLC</w:t>
      </w:r>
      <w:r>
        <w:rPr/>
        <w:t>异常已修复并保留记录。价格按基准日名义价格归一的复权序列分析，成交量为股。两行情来源核对一致。没有逐笔成交和完整换手资料，因此不绘制声称精确筹码分布，不通过</w:t>
      </w:r>
      <w:r>
        <w:rPr/>
        <w:t>K</w:t>
      </w:r>
      <w:r>
        <w:rPr/>
        <w:t>线宣布主力吸筹。技术指标用于描述行为，不替代利润证据。</w:t>
      </w:r>
    </w:p>
    <w:p>
      <w:pPr>
        <w:pStyle w:val="Normal"/>
        <w:rPr/>
      </w:pPr>
      <w:r>
        <w:rPr/>
        <w:t>10</w:t>
      </w:r>
      <w:r>
        <w:rPr/>
        <w:t>月</w:t>
      </w:r>
      <w:r>
        <w:rPr/>
        <w:t>9</w:t>
      </w:r>
      <w:r>
        <w:rPr/>
        <w:t>日开</w:t>
      </w:r>
      <w:r>
        <w:rPr/>
        <w:t>37.26</w:t>
      </w:r>
      <w:r>
        <w:rPr/>
        <w:t>、低</w:t>
      </w:r>
      <w:r>
        <w:rPr/>
        <w:t>37.26</w:t>
      </w:r>
      <w:r>
        <w:rPr/>
        <w:t>、高</w:t>
      </w:r>
      <w:r>
        <w:rPr/>
        <w:t>39.60</w:t>
      </w:r>
      <w:r>
        <w:rPr/>
        <w:t>、收</w:t>
      </w:r>
      <w:r>
        <w:rPr/>
        <w:t>39.40</w:t>
      </w:r>
      <w:r>
        <w:rPr/>
        <w:t>港元，当日上涨约</w:t>
      </w:r>
      <w:r>
        <w:rPr/>
        <w:t>4.9%</w:t>
      </w:r>
      <w:r>
        <w:rPr/>
        <w:t>。收盘靠近当日高位，说明当天反弹有持续至收盘的买价，但只能判断当日。</w:t>
      </w:r>
      <w:r>
        <w:rPr/>
        <w:t>20</w:t>
      </w:r>
      <w:r>
        <w:rPr/>
        <w:t>日均线</w:t>
      </w:r>
      <w:r>
        <w:rPr/>
        <w:t>38.864</w:t>
      </w:r>
      <w:r>
        <w:rPr/>
        <w:t>，现价上方</w:t>
      </w:r>
      <w:r>
        <w:rPr/>
        <w:t>1.38%</w:t>
      </w:r>
      <w:r>
        <w:rPr/>
        <w:t>；</w:t>
      </w:r>
      <w:r>
        <w:rPr/>
        <w:t>60</w:t>
      </w:r>
      <w:r>
        <w:rPr/>
        <w:t>日</w:t>
      </w:r>
      <w:r>
        <w:rPr/>
        <w:t>41.825334</w:t>
      </w:r>
      <w:r>
        <w:rPr/>
        <w:t>、</w:t>
      </w:r>
      <w:r>
        <w:rPr/>
        <w:t>120</w:t>
      </w:r>
      <w:r>
        <w:rPr/>
        <w:t>日</w:t>
      </w:r>
      <w:r>
        <w:rPr/>
        <w:t>47.377667</w:t>
      </w:r>
      <w:r>
        <w:rPr/>
        <w:t>、</w:t>
      </w:r>
      <w:r>
        <w:rPr/>
        <w:t>250</w:t>
      </w:r>
      <w:r>
        <w:rPr/>
        <w:t>日</w:t>
      </w:r>
      <w:r>
        <w:rPr/>
        <w:t>59.96348</w:t>
      </w:r>
      <w:r>
        <w:rPr/>
        <w:t>，现价分别低</w:t>
      </w:r>
      <w:r>
        <w:rPr/>
        <w:t>5.80%</w:t>
      </w:r>
      <w:r>
        <w:rPr/>
        <w:t>、</w:t>
      </w:r>
      <w:r>
        <w:rPr/>
        <w:t>16.84%</w:t>
      </w:r>
      <w:r>
        <w:rPr/>
        <w:t>、</w:t>
      </w:r>
      <w:r>
        <w:rPr/>
        <w:t>34.29%</w:t>
      </w:r>
      <w:r>
        <w:rPr/>
        <w:t>，中期位置仍较弱。</w:t>
      </w:r>
    </w:p>
    <w:p>
      <w:pPr>
        <w:pStyle w:val="Normal"/>
        <w:rPr/>
      </w:pPr>
      <w:r>
        <w:rPr/>
        <w:t>四条日均线的五日斜率全部下降，</w:t>
      </w:r>
      <w:r>
        <w:rPr/>
        <w:t>20</w:t>
      </w:r>
      <w:r>
        <w:rPr/>
        <w:t>日约−</w:t>
      </w:r>
      <w:r>
        <w:rPr/>
        <w:t>2.28%</w:t>
      </w:r>
      <w:r>
        <w:rPr/>
        <w:t>、</w:t>
      </w:r>
      <w:r>
        <w:rPr/>
        <w:t>60</w:t>
      </w:r>
      <w:r>
        <w:rPr/>
        <w:t>日−</w:t>
      </w:r>
      <w:r>
        <w:rPr/>
        <w:t>1.08%</w:t>
      </w:r>
      <w:r>
        <w:rPr/>
        <w:t>、</w:t>
      </w:r>
      <w:r>
        <w:rPr/>
        <w:t>120</w:t>
      </w:r>
      <w:r>
        <w:rPr/>
        <w:t>日−</w:t>
      </w:r>
      <w:r>
        <w:rPr/>
        <w:t>2.17%</w:t>
      </w:r>
      <w:r>
        <w:rPr/>
        <w:t>、</w:t>
      </w:r>
      <w:r>
        <w:rPr/>
        <w:t>250</w:t>
      </w:r>
      <w:r>
        <w:rPr/>
        <w:t>日−</w:t>
      </w:r>
      <w:r>
        <w:rPr/>
        <w:t>1.40%</w:t>
      </w:r>
      <w:r>
        <w:rPr/>
        <w:t>。短线站回</w:t>
      </w:r>
      <w:r>
        <w:rPr/>
        <w:t>20</w:t>
      </w:r>
      <w:r>
        <w:rPr/>
        <w:t>日线与均线方向未改善可以同时存在。判断为下跌后反弹，而不是已确立中期反转。若价格持续回到</w:t>
      </w:r>
      <w:r>
        <w:rPr/>
        <w:t>60</w:t>
      </w:r>
      <w:r>
        <w:rPr/>
        <w:t>日线以上并让短均线转平，趋势证据才升级；单日大涨不能为技术维度最高分。</w:t>
      </w:r>
    </w:p>
    <w:p>
      <w:pPr>
        <w:pStyle w:val="Normal"/>
        <w:rPr/>
      </w:pPr>
      <w:r>
        <w:rPr/>
        <w:t>最近</w:t>
      </w:r>
      <w:r>
        <w:rPr/>
        <w:t>20</w:t>
      </w:r>
      <w:r>
        <w:rPr/>
        <w:t>日区间低</w:t>
      </w:r>
      <w:r>
        <w:rPr/>
        <w:t>36.82</w:t>
      </w:r>
      <w:r>
        <w:rPr/>
        <w:t>、高</w:t>
      </w:r>
      <w:r>
        <w:rPr/>
        <w:t>42.68</w:t>
      </w:r>
      <w:r>
        <w:rPr/>
        <w:t>，分别距收盘−</w:t>
      </w:r>
      <w:r>
        <w:rPr/>
        <w:t>6.55%</w:t>
      </w:r>
      <w:r>
        <w:rPr/>
        <w:t>和</w:t>
      </w:r>
      <w:r>
        <w:rPr/>
        <w:t>+8.32%</w:t>
      </w:r>
      <w:r>
        <w:rPr/>
        <w:t>；</w:t>
      </w:r>
      <w:r>
        <w:rPr/>
        <w:t>60</w:t>
      </w:r>
      <w:r>
        <w:rPr/>
        <w:t>日高</w:t>
      </w:r>
      <w:r>
        <w:rPr/>
        <w:t>48.82</w:t>
      </w:r>
      <w:r>
        <w:rPr/>
        <w:t>，距收盘</w:t>
      </w:r>
      <w:r>
        <w:rPr/>
        <w:t>+23.91%</w:t>
      </w:r>
      <w:r>
        <w:rPr/>
        <w:t>。这些是区间极值观察位，没有完整触碰次数筛选，不等于统计可靠支撑。</w:t>
      </w:r>
      <w:r>
        <w:rPr/>
        <w:t>36.82</w:t>
      </w:r>
      <w:r>
        <w:rPr/>
        <w:t>失守可能引发继续下探；</w:t>
      </w:r>
      <w:r>
        <w:rPr/>
        <w:t>42.68</w:t>
      </w:r>
      <w:r>
        <w:rPr/>
        <w:t>和</w:t>
      </w:r>
      <w:r>
        <w:rPr/>
        <w:t>60</w:t>
      </w:r>
      <w:r>
        <w:rPr/>
        <w:t>日均线附近可能面对前期套牢及短线卖出，需要看价格和量能是否共同改善。</w:t>
      </w:r>
    </w:p>
    <w:p>
      <w:pPr>
        <w:pStyle w:val="Normal"/>
        <w:rPr/>
      </w:pPr>
      <w:r>
        <w:rPr/>
        <w:t>一年高</w:t>
      </w:r>
      <w:r>
        <w:rPr/>
        <w:t>92.45</w:t>
      </w:r>
      <w:r>
        <w:rPr/>
        <w:t>、低</w:t>
      </w:r>
      <w:r>
        <w:rPr/>
        <w:t>36.82</w:t>
      </w:r>
      <w:r>
        <w:rPr/>
        <w:t>，距高−</w:t>
      </w:r>
      <w:r>
        <w:rPr/>
        <w:t>57.38%</w:t>
      </w:r>
      <w:r>
        <w:rPr/>
        <w:t>、距低</w:t>
      </w:r>
      <w:r>
        <w:rPr/>
        <w:t>+7.01%</w:t>
      </w:r>
      <w:r>
        <w:rPr/>
        <w:t>。高点至低点回撤较深，使小幅反弹看起来迅速，但低价并不提供估值底。</w:t>
      </w:r>
      <w:r>
        <w:rPr/>
        <w:t>ATR</w:t>
      </w:r>
      <w:r>
        <w:rPr/>
        <w:t>约</w:t>
      </w:r>
      <w:r>
        <w:rPr/>
        <w:t>1.833414</w:t>
      </w:r>
      <w:r>
        <w:rPr/>
        <w:t>港元，为现价</w:t>
      </w:r>
      <w:r>
        <w:rPr/>
        <w:t>4.65%</w:t>
      </w:r>
      <w:r>
        <w:rPr/>
        <w:t>，一两个交易日普通振幅可覆盖</w:t>
      </w:r>
      <w:r>
        <w:rPr/>
        <w:t>20</w:t>
      </w:r>
      <w:r>
        <w:rPr/>
        <w:t>日均线附近空间。观察区间必须容纳真实波动，而不是把几角价格变化写成重大趋势突破。</w:t>
      </w:r>
    </w:p>
    <w:p>
      <w:pPr>
        <w:pStyle w:val="Heading2"/>
        <w:rPr/>
      </w:pPr>
      <w:r>
        <w:rPr>
          <w:color w:val="000000"/>
        </w:rPr>
        <w:t>十八 量能 周线及相对强弱</w:t>
      </w:r>
    </w:p>
    <w:p>
      <w:pPr>
        <w:pStyle w:val="Normal"/>
        <w:rPr/>
      </w:pPr>
      <w:r>
        <w:rPr/>
        <w:t>当日成交</w:t>
      </w:r>
      <w:r>
        <w:rPr/>
        <w:t>1477820</w:t>
      </w:r>
      <w:r>
        <w:rPr/>
        <w:t>股，</w:t>
      </w:r>
      <w:r>
        <w:rPr/>
        <w:t>5</w:t>
      </w:r>
      <w:r>
        <w:rPr/>
        <w:t>日均量</w:t>
      </w:r>
      <w:r>
        <w:rPr/>
        <w:t>906556.6</w:t>
      </w:r>
      <w:r>
        <w:rPr/>
        <w:t>股，</w:t>
      </w:r>
      <w:r>
        <w:rPr/>
        <w:t>20</w:t>
      </w:r>
      <w:r>
        <w:rPr/>
        <w:t>日</w:t>
      </w:r>
      <w:r>
        <w:rPr/>
        <w:t>1840565.85</w:t>
      </w:r>
      <w:r>
        <w:rPr/>
        <w:t>股，</w:t>
      </w:r>
      <w:r>
        <w:rPr/>
        <w:t>60</w:t>
      </w:r>
      <w:r>
        <w:rPr/>
        <w:t>日</w:t>
      </w:r>
      <w:r>
        <w:rPr/>
        <w:t>2772525.55</w:t>
      </w:r>
      <w:r>
        <w:rPr/>
        <w:t>股。当日虽高于</w:t>
      </w:r>
      <w:r>
        <w:rPr/>
        <w:t>5</w:t>
      </w:r>
      <w:r>
        <w:rPr/>
        <w:t>日均量，却低于</w:t>
      </w:r>
      <w:r>
        <w:rPr/>
        <w:t>20</w:t>
      </w:r>
      <w:r>
        <w:rPr/>
        <w:t>日和</w:t>
      </w:r>
      <w:r>
        <w:rPr/>
        <w:t>60</w:t>
      </w:r>
      <w:r>
        <w:rPr/>
        <w:t>日均量；相对此前</w:t>
      </w:r>
      <w:r>
        <w:rPr/>
        <w:t>20</w:t>
      </w:r>
      <w:r>
        <w:rPr/>
        <w:t>日均</w:t>
      </w:r>
      <w:r>
        <w:rPr/>
        <w:t>1912394.85</w:t>
      </w:r>
      <w:r>
        <w:rPr/>
        <w:t>股，量比</w:t>
      </w:r>
      <w:r>
        <w:rPr/>
        <w:t>0.772759</w:t>
      </w:r>
      <w:r>
        <w:rPr/>
        <w:t>。反弹缺少明显放量支持，不能用当日上涨</w:t>
      </w:r>
      <w:r>
        <w:rPr/>
        <w:t>4.9%</w:t>
      </w:r>
      <w:r>
        <w:rPr/>
        <w:t>说成资金强烈确认中期趋势。</w:t>
      </w:r>
    </w:p>
    <w:p>
      <w:pPr>
        <w:pStyle w:val="Normal"/>
        <w:rPr/>
      </w:pPr>
      <w:r>
        <w:rPr/>
        <w:t>最近</w:t>
      </w:r>
      <w:r>
        <w:rPr/>
        <w:t>20</w:t>
      </w:r>
      <w:r>
        <w:rPr/>
        <w:t>日上涨</w:t>
      </w:r>
      <w:r>
        <w:rPr/>
        <w:t>9</w:t>
      </w:r>
      <w:r>
        <w:rPr/>
        <w:t>天、下跌</w:t>
      </w:r>
      <w:r>
        <w:rPr/>
        <w:t>11</w:t>
      </w:r>
      <w:r>
        <w:rPr/>
        <w:t>天，上涨日量</w:t>
      </w:r>
      <w:r>
        <w:rPr/>
        <w:t>19907242</w:t>
      </w:r>
      <w:r>
        <w:rPr/>
        <w:t>、下跌日量</w:t>
      </w:r>
      <w:r>
        <w:rPr/>
        <w:t>16904075</w:t>
      </w:r>
      <w:r>
        <w:rPr/>
        <w:t>股，比例</w:t>
      </w:r>
      <w:r>
        <w:rPr/>
        <w:t>1.177659</w:t>
      </w:r>
      <w:r>
        <w:rPr/>
        <w:t>。上涨量略多与当日量比不足不矛盾，两个统计回答不同问题。它显示短区间买卖较有拉锯，尚没有充分证明强势累积。交易日结构、事件和低基数都会影响比例，不用单一比值推断机构仓位。</w:t>
      </w:r>
    </w:p>
    <w:p>
      <w:pPr>
        <w:pStyle w:val="Normal"/>
        <w:rPr/>
      </w:pPr>
      <w:r>
        <w:rPr/>
        <w:t>周线</w:t>
      </w:r>
      <w:r>
        <w:rPr/>
        <w:t>20</w:t>
      </w:r>
      <w:r>
        <w:rPr/>
        <w:t>周</w:t>
      </w:r>
      <w:r>
        <w:rPr/>
        <w:t>43.6975</w:t>
      </w:r>
      <w:r>
        <w:rPr/>
        <w:t>、</w:t>
      </w:r>
      <w:r>
        <w:rPr/>
        <w:t>60</w:t>
      </w:r>
      <w:r>
        <w:rPr/>
        <w:t>周</w:t>
      </w:r>
      <w:r>
        <w:rPr/>
        <w:t>62.083334</w:t>
      </w:r>
      <w:r>
        <w:rPr/>
        <w:t>、</w:t>
      </w:r>
      <w:r>
        <w:rPr/>
        <w:t>120</w:t>
      </w:r>
      <w:r>
        <w:rPr/>
        <w:t>周</w:t>
      </w:r>
      <w:r>
        <w:rPr/>
        <w:t>46.570783</w:t>
      </w:r>
      <w:r>
        <w:rPr/>
        <w:t>，当前都在下方；历史仅</w:t>
      </w:r>
      <w:r>
        <w:rPr/>
        <w:t>157</w:t>
      </w:r>
      <w:r>
        <w:rPr/>
        <w:t>周，无法给</w:t>
      </w:r>
      <w:r>
        <w:rPr/>
        <w:t>250</w:t>
      </w:r>
      <w:r>
        <w:rPr/>
        <w:t>周均线。</w:t>
      </w:r>
      <w:r>
        <w:rPr/>
        <w:t>20</w:t>
      </w:r>
      <w:r>
        <w:rPr/>
        <w:t>周和</w:t>
      </w:r>
      <w:r>
        <w:rPr/>
        <w:t>60</w:t>
      </w:r>
      <w:r>
        <w:rPr/>
        <w:t>周均线仍下降，</w:t>
      </w:r>
      <w:r>
        <w:rPr/>
        <w:t>120</w:t>
      </w:r>
      <w:r>
        <w:rPr/>
        <w:t>周略升体现较早上涨进入长期窗口，不能拿长期升线抵消最近下跌。现价低</w:t>
      </w:r>
      <w:r>
        <w:rPr/>
        <w:t>20</w:t>
      </w:r>
      <w:r>
        <w:rPr/>
        <w:t>周约</w:t>
      </w:r>
      <w:r>
        <w:rPr/>
        <w:t>9.83%</w:t>
      </w:r>
      <w:r>
        <w:rPr/>
        <w:t>、低</w:t>
      </w:r>
      <w:r>
        <w:rPr/>
        <w:t>60</w:t>
      </w:r>
      <w:r>
        <w:rPr/>
        <w:t>周</w:t>
      </w:r>
      <w:r>
        <w:rPr/>
        <w:t>36.54%</w:t>
      </w:r>
      <w:r>
        <w:rPr/>
        <w:t>，周线仍提示需花时间消化过去上涨及预期变化。</w:t>
      </w:r>
    </w:p>
    <w:p>
      <w:pPr>
        <w:pStyle w:val="Normal"/>
        <w:rPr/>
      </w:pPr>
      <w:r>
        <w:rPr/>
        <w:t>最近</w:t>
      </w:r>
      <w:r>
        <w:rPr/>
        <w:t>20</w:t>
      </w:r>
      <w:r>
        <w:rPr/>
        <w:t>周上涨量</w:t>
      </w:r>
      <w:r>
        <w:rPr/>
        <w:t>84654933</w:t>
      </w:r>
      <w:r>
        <w:rPr/>
        <w:t>、下跌</w:t>
      </w:r>
      <w:r>
        <w:rPr/>
        <w:t>208274805</w:t>
      </w:r>
      <w:r>
        <w:rPr/>
        <w:t>股，比例</w:t>
      </w:r>
      <w:r>
        <w:rPr/>
        <w:t>0.406458</w:t>
      </w:r>
      <w:r>
        <w:rPr/>
        <w:t>，显示较长区间的弱势成交更明显。当前周量比</w:t>
      </w:r>
      <w:r>
        <w:rPr/>
        <w:t>0.287422</w:t>
      </w:r>
      <w:r>
        <w:rPr/>
        <w:t>还受到国庆交易日、假期及部分资金参与减少影响，不能机械称全部资金撤退。日线反弹与周线偏弱共同构成半年低技术分，未来若周线恢复并在正常交易周放量，才会修改。</w:t>
      </w:r>
    </w:p>
    <w:p>
      <w:pPr>
        <w:pStyle w:val="Normal"/>
        <w:rPr/>
      </w:pPr>
      <w:r>
        <w:rPr/>
        <w:t>20</w:t>
      </w:r>
      <w:r>
        <w:rPr/>
        <w:t>日收益−</w:t>
      </w:r>
      <w:r>
        <w:rPr/>
        <w:t>1.89%</w:t>
      </w:r>
      <w:r>
        <w:rPr/>
        <w:t>、</w:t>
      </w:r>
      <w:r>
        <w:rPr/>
        <w:t>60</w:t>
      </w:r>
      <w:r>
        <w:rPr/>
        <w:t>日−</w:t>
      </w:r>
      <w:r>
        <w:rPr/>
        <w:t>12.87%</w:t>
      </w:r>
      <w:r>
        <w:rPr/>
        <w:t>，相对恒生指数</w:t>
      </w:r>
      <w:r>
        <w:rPr/>
        <w:t>20</w:t>
      </w:r>
      <w:r>
        <w:rPr/>
        <w:t>日好</w:t>
      </w:r>
      <w:r>
        <w:rPr/>
        <w:t>1.09</w:t>
      </w:r>
      <w:r>
        <w:rPr/>
        <w:t>个百分点、</w:t>
      </w:r>
      <w:r>
        <w:rPr/>
        <w:t>60</w:t>
      </w:r>
      <w:r>
        <w:rPr/>
        <w:t>日差</w:t>
      </w:r>
      <w:r>
        <w:rPr/>
        <w:t>9.68</w:t>
      </w:r>
      <w:r>
        <w:rPr/>
        <w:t>个百分点。相对恒生科技</w:t>
      </w:r>
      <w:r>
        <w:rPr/>
        <w:t>20</w:t>
      </w:r>
      <w:r>
        <w:rPr/>
        <w:t>日好</w:t>
      </w:r>
      <w:r>
        <w:rPr/>
        <w:t>1.17</w:t>
      </w:r>
      <w:r>
        <w:rPr/>
        <w:t>、</w:t>
      </w:r>
      <w:r>
        <w:rPr/>
        <w:t>60</w:t>
      </w:r>
      <w:r>
        <w:rPr/>
        <w:t>日好</w:t>
      </w:r>
      <w:r>
        <w:rPr/>
        <w:t>0.30</w:t>
      </w:r>
      <w:r>
        <w:rPr/>
        <w:t>个百分点，但恒生科技是粗科技基准而非专属游戏指数。股票略好于同期疲弱科技指数，不代表绝对趋势上涨，也不能把不同基准结果挑选成统一强势结论。</w:t>
      </w:r>
    </w:p>
    <w:p>
      <w:pPr>
        <w:pStyle w:val="Heading2"/>
        <w:rPr/>
      </w:pPr>
      <w:r>
        <w:rPr>
          <w:color w:val="000000"/>
        </w:rPr>
        <w:t>十九 辅助指标和半年交易观察条件</w:t>
      </w:r>
    </w:p>
    <w:p>
      <w:pPr>
        <w:pStyle w:val="Normal"/>
        <w:rPr/>
      </w:pPr>
      <w:r>
        <w:rPr/>
        <w:t>RSI14</w:t>
      </w:r>
      <w:r>
        <w:rPr/>
        <w:t>约</w:t>
      </w:r>
      <w:r>
        <w:rPr/>
        <w:t>48.87</w:t>
      </w:r>
      <w:r>
        <w:rPr/>
        <w:t>，接近中性区域，既未显示强势持续也不属极端超卖。</w:t>
      </w:r>
      <w:r>
        <w:rPr/>
        <w:t>MACD</w:t>
      </w:r>
      <w:r>
        <w:rPr/>
        <w:t>的</w:t>
      </w:r>
      <w:r>
        <w:rPr/>
        <w:t>DIF−0.759626</w:t>
      </w:r>
      <w:r>
        <w:rPr/>
        <w:t>、</w:t>
      </w:r>
      <w:r>
        <w:rPr/>
        <w:t>DEA−0.848022</w:t>
      </w:r>
      <w:r>
        <w:rPr/>
        <w:t>，柱按二倍差为正</w:t>
      </w:r>
      <w:r>
        <w:rPr/>
        <w:t>0.176791</w:t>
      </w:r>
      <w:r>
        <w:rPr/>
        <w:t>，说明短期动能相对改善但两线仍在零轴下。与</w:t>
      </w:r>
      <w:r>
        <w:rPr/>
        <w:t>20</w:t>
      </w:r>
      <w:r>
        <w:rPr/>
        <w:t>日线初站回相互印证，却是同一短期反弹的相近证据，评分不会对这些指标重复奖励。</w:t>
      </w:r>
    </w:p>
    <w:p>
      <w:pPr>
        <w:pStyle w:val="Normal"/>
        <w:rPr/>
      </w:pPr>
      <w:r>
        <w:rPr/>
        <w:t>短期观察可分为</w:t>
      </w:r>
      <w:r>
        <w:rPr/>
        <w:t>36.82</w:t>
      </w:r>
      <w:r>
        <w:rPr/>
        <w:t>至</w:t>
      </w:r>
      <w:r>
        <w:rPr/>
        <w:t>42.68</w:t>
      </w:r>
      <w:r>
        <w:rPr/>
        <w:t>的原区间，及</w:t>
      </w:r>
      <w:r>
        <w:rPr/>
        <w:t>42.68</w:t>
      </w:r>
      <w:r>
        <w:rPr/>
        <w:t>至</w:t>
      </w:r>
      <w:r>
        <w:rPr/>
        <w:t>48.82</w:t>
      </w:r>
      <w:r>
        <w:rPr/>
        <w:t>的修复区间。前段只有价格止跌和有限反弹，后段需要突破</w:t>
      </w:r>
      <w:r>
        <w:rPr/>
        <w:t>20</w:t>
      </w:r>
      <w:r>
        <w:rPr/>
        <w:t>日高点并收复</w:t>
      </w:r>
      <w:r>
        <w:rPr/>
        <w:t>60</w:t>
      </w:r>
      <w:r>
        <w:rPr/>
        <w:t>日线。突破质量取决于是否持续、是否有相对正常均量增加以及回踩能否维持；不能用某日瞬间触价算已经完成。观察条件是未来验证规则，不是保证成交的指令。</w:t>
      </w:r>
    </w:p>
    <w:p>
      <w:pPr>
        <w:pStyle w:val="Normal"/>
        <w:rPr/>
      </w:pPr>
      <w:r>
        <w:rPr/>
        <w:t>若跌破</w:t>
      </w:r>
      <w:r>
        <w:rPr/>
        <w:t>36.82</w:t>
      </w:r>
      <w:r>
        <w:rPr/>
        <w:t>后持续不能收回，短期止跌解释失效，应降技术分并检查是否出现新的经营预期下修。若放量升到</w:t>
      </w:r>
      <w:r>
        <w:rPr/>
        <w:t>42.68</w:t>
      </w:r>
      <w:r>
        <w:rPr/>
        <w:t>以上、短均线转平，再回踩仍保持，则半年价格修复概率的证据改善，但公司正常利润仍需同步验证。强图形可以帮助交易时机，不足以自动提高三年经营评分。</w:t>
      </w:r>
    </w:p>
    <w:p>
      <w:pPr>
        <w:pStyle w:val="Normal"/>
        <w:rPr/>
      </w:pPr>
      <w:r>
        <w:rPr/>
        <w:t>用现价到区间低的</w:t>
      </w:r>
      <w:r>
        <w:rPr/>
        <w:t>6.55%</w:t>
      </w:r>
      <w:r>
        <w:rPr/>
        <w:t>距离设想止损，不能保证实际损失止于这个数字。业绩、海外事件或市场缺口可导致开盘跳过价位，成交流动性也会改变卖出价格。本研究悲观价格来自利润和估值，不由技术支撑机械截断。投资时长半年仍要承受财务信息更新，不能只凭日线买入后完全忽略企业。</w:t>
      </w:r>
    </w:p>
    <w:p>
      <w:pPr>
        <w:pStyle w:val="Normal"/>
        <w:rPr/>
      </w:pPr>
      <w:r>
        <w:rPr/>
        <w:t>成交额和换手率如果没有完整可核记录，应保留缺失而不按收盘乘全部成交量冒充精确成交额。日线量价统计是在供应商股单位、已处理公司行动的范围内计算，不能精确识别谁买卖。较稳妥的技术结论是当前反弹尚待确认，市场相对表现略有改善而周线仍弱；这与半年</w:t>
      </w:r>
      <w:r>
        <w:rPr/>
        <w:t>65.3</w:t>
      </w:r>
      <w:r>
        <w:rPr/>
        <w:t>分相符。</w:t>
      </w:r>
    </w:p>
    <w:p>
      <w:pPr>
        <w:pStyle w:val="Heading2"/>
        <w:rPr/>
      </w:pPr>
      <w:r>
        <w:rPr>
          <w:color w:val="000000"/>
        </w:rPr>
        <w:t>二十 半年到一年的收益来源</w:t>
      </w:r>
    </w:p>
    <w:p>
      <w:pPr>
        <w:pStyle w:val="Normal"/>
        <w:rPr/>
      </w:pPr>
      <w:r>
        <w:rPr/>
        <w:t>半年基准游戏</w:t>
      </w:r>
      <w:r>
        <w:rPr/>
        <w:t>49</w:t>
      </w:r>
      <w:r>
        <w:rPr/>
        <w:t>亿元、平台</w:t>
      </w:r>
      <w:r>
        <w:rPr/>
        <w:t>21.7</w:t>
      </w:r>
      <w:r>
        <w:rPr/>
        <w:t>亿元正常年率，游戏毛利</w:t>
      </w:r>
      <w:r>
        <w:rPr/>
        <w:t>65%</w:t>
      </w:r>
      <w:r>
        <w:rPr/>
        <w:t>、平台</w:t>
      </w:r>
      <w:r>
        <w:rPr/>
        <w:t>85.3%</w:t>
      </w:r>
      <w:r>
        <w:rPr/>
        <w:t>，正常归母约</w:t>
      </w:r>
      <w:r>
        <w:rPr/>
        <w:t>13.26908</w:t>
      </w:r>
      <w:r>
        <w:rPr/>
        <w:t>亿元，</w:t>
      </w:r>
      <w:r>
        <w:rPr/>
        <w:t>EPS2.703968</w:t>
      </w:r>
      <w:r>
        <w:rPr/>
        <w:t>，</w:t>
      </w:r>
      <w:r>
        <w:rPr/>
        <w:t>16</w:t>
      </w:r>
      <w:r>
        <w:rPr/>
        <w:t>倍</w:t>
      </w:r>
      <w:r>
        <w:rPr/>
        <w:t>PE47.59</w:t>
      </w:r>
      <w:r>
        <w:rPr/>
        <w:t>港元。收益约</w:t>
      </w:r>
      <w:r>
        <w:rPr/>
        <w:t>20.79%</w:t>
      </w:r>
      <w:r>
        <w:rPr/>
        <w:t>主要来自正常利润较年底恢复以及估值小幅提高。需要产品维护和广告恢复，同时完整研发</w:t>
      </w:r>
      <w:r>
        <w:rPr/>
        <w:t>14.6</w:t>
      </w:r>
      <w:r>
        <w:rPr/>
        <w:t>亿元和销售</w:t>
      </w:r>
      <w:r>
        <w:rPr/>
        <w:t>16.8</w:t>
      </w:r>
      <w:r>
        <w:rPr/>
        <w:t>亿元仍承担，不设成本突然消失。</w:t>
      </w:r>
    </w:p>
    <w:p>
      <w:pPr>
        <w:pStyle w:val="Normal"/>
        <w:rPr/>
      </w:pPr>
      <w:r>
        <w:rPr/>
        <w:t>半年催化包括全年经营更新、</w:t>
      </w:r>
      <w:r>
        <w:rPr/>
        <w:t>2025</w:t>
      </w:r>
      <w:r>
        <w:rPr/>
        <w:t>与</w:t>
      </w:r>
      <w:r>
        <w:rPr/>
        <w:t>2026</w:t>
      </w:r>
      <w:r>
        <w:rPr/>
        <w:t>费用比较、产品赛季及海外留存信息、回购计划结束后的资本行为、</w:t>
      </w:r>
      <w:r>
        <w:rPr/>
        <w:t>TapTap PC</w:t>
      </w:r>
      <w:r>
        <w:rPr/>
        <w:t>商业合作效果。它们的结果尚未公开，不作已实现事实。若更新只显示下载增长而未改善收入及利润，就不足以支持全年正常盈利恢复。技术确认能改善短时进入条件，但没有现金和盈利改善时只会形成估值波动。</w:t>
      </w:r>
    </w:p>
    <w:p>
      <w:pPr>
        <w:pStyle w:val="Normal"/>
        <w:rPr/>
      </w:pPr>
      <w:r>
        <w:rPr/>
        <w:t>一年基准</w:t>
      </w:r>
      <w:r>
        <w:rPr/>
        <w:t>58.02</w:t>
      </w:r>
      <w:r>
        <w:rPr/>
        <w:t>港元，含假设</w:t>
      </w:r>
      <w:r>
        <w:rPr/>
        <w:t>0.35</w:t>
      </w:r>
      <w:r>
        <w:rPr/>
        <w:t>港元累计现金息，总回报约</w:t>
      </w:r>
      <w:r>
        <w:rPr/>
        <w:t>48.15%</w:t>
      </w:r>
      <w:r>
        <w:rPr/>
        <w:t>。与半年相比，游戏和平台收入提高，正常盈利达到约</w:t>
      </w:r>
      <w:r>
        <w:rPr/>
        <w:t>15.35</w:t>
      </w:r>
      <w:r>
        <w:rPr/>
        <w:t>亿元，而经济股数也受期权增加。这里没有把未来分红称作已宣布承诺，股息来自研究资本配置假设。若公司继续把全部资金投研发而不分红，股价目标不一定同步变化，但含息回报应据实际修订。</w:t>
      </w:r>
    </w:p>
    <w:p>
      <w:pPr>
        <w:pStyle w:val="Normal"/>
        <w:rPr/>
      </w:pPr>
      <w:r>
        <w:rPr/>
        <w:t>一年悲观</w:t>
      </w:r>
      <w:r>
        <w:rPr/>
        <w:t>12.81</w:t>
      </w:r>
      <w:r>
        <w:rPr/>
        <w:t>港元来自游戏</w:t>
      </w:r>
      <w:r>
        <w:rPr/>
        <w:t>42</w:t>
      </w:r>
      <w:r>
        <w:rPr/>
        <w:t>亿元、平台</w:t>
      </w:r>
      <w:r>
        <w:rPr/>
        <w:t>19</w:t>
      </w:r>
      <w:r>
        <w:rPr/>
        <w:t>亿元、毛利及费用不利、税</w:t>
      </w:r>
      <w:r>
        <w:rPr/>
        <w:t>23.5%</w:t>
      </w:r>
      <w:r>
        <w:rPr/>
        <w:t>、</w:t>
      </w:r>
      <w:r>
        <w:rPr/>
        <w:t>9</w:t>
      </w:r>
      <w:r>
        <w:rPr/>
        <w:t>倍</w:t>
      </w:r>
      <w:r>
        <w:rPr/>
        <w:t>PE</w:t>
      </w:r>
      <w:r>
        <w:rPr/>
        <w:t>，反映盈利衰弱和风险偏好共同作用。虽然悲观收入不为零，固定研发及营销仍使归母仅约</w:t>
      </w:r>
      <w:r>
        <w:rPr/>
        <w:t>6.41</w:t>
      </w:r>
      <w:r>
        <w:rPr/>
        <w:t>亿元。公司现金减少融资迫切性，却无法阻止每股经营价值下降。承受−</w:t>
      </w:r>
      <w:r>
        <w:rPr/>
        <w:t>67.49%</w:t>
      </w:r>
      <w:r>
        <w:rPr/>
        <w:t>情景是进取型收益讨论的重要对照。</w:t>
      </w:r>
    </w:p>
    <w:p>
      <w:pPr>
        <w:pStyle w:val="Normal"/>
        <w:rPr/>
      </w:pPr>
      <w:r>
        <w:rPr/>
        <w:t>一年乐观</w:t>
      </w:r>
      <w:r>
        <w:rPr/>
        <w:t>132.66</w:t>
      </w:r>
      <w:r>
        <w:rPr/>
        <w:t>港元要求游戏</w:t>
      </w:r>
      <w:r>
        <w:rPr/>
        <w:t>68</w:t>
      </w:r>
      <w:r>
        <w:rPr/>
        <w:t>亿元、平台</w:t>
      </w:r>
      <w:r>
        <w:rPr/>
        <w:t>29.2</w:t>
      </w:r>
      <w:r>
        <w:rPr/>
        <w:t>亿元、游戏毛利</w:t>
      </w:r>
      <w:r>
        <w:rPr/>
        <w:t>69%</w:t>
      </w:r>
      <w:r>
        <w:rPr/>
        <w:t>，归母</w:t>
      </w:r>
      <w:r>
        <w:rPr/>
        <w:t>27.33</w:t>
      </w:r>
      <w:r>
        <w:rPr/>
        <w:t>亿元并有</w:t>
      </w:r>
      <w:r>
        <w:rPr/>
        <w:t>22</w:t>
      </w:r>
      <w:r>
        <w:rPr/>
        <w:t>倍</w:t>
      </w:r>
      <w:r>
        <w:rPr/>
        <w:t>PE</w:t>
      </w:r>
      <w:r>
        <w:rPr/>
        <w:t>。其上行比基准大得多，意味着新品和平台都成功，还需要费用利用率提高。它不该当最可能价格，更不能因旧机构目标靠近这个区域就证明成立。实际若仅某一条业务好转，应使用中间驱动重算，而不跳到完整乐观。</w:t>
      </w:r>
    </w:p>
    <w:p>
      <w:pPr>
        <w:pStyle w:val="Heading2"/>
        <w:rPr/>
      </w:pPr>
      <w:r>
        <w:rPr>
          <w:color w:val="000000"/>
        </w:rPr>
        <w:t>二十一 三年复利与五年经营上限</w:t>
      </w:r>
    </w:p>
    <w:p>
      <w:pPr>
        <w:pStyle w:val="Normal"/>
        <w:rPr/>
      </w:pPr>
      <w:r>
        <w:rPr/>
        <w:t>三年基准游戏</w:t>
      </w:r>
      <w:r>
        <w:rPr/>
        <w:t>75</w:t>
      </w:r>
      <w:r>
        <w:rPr/>
        <w:t>亿元、平台</w:t>
      </w:r>
      <w:r>
        <w:rPr/>
        <w:t>33.5</w:t>
      </w:r>
      <w:r>
        <w:rPr/>
        <w:t>亿元正常年率，总</w:t>
      </w:r>
      <w:r>
        <w:rPr/>
        <w:t>108.5</w:t>
      </w:r>
      <w:r>
        <w:rPr/>
        <w:t>亿元，销售</w:t>
      </w:r>
      <w:r>
        <w:rPr/>
        <w:t>27</w:t>
      </w:r>
      <w:r>
        <w:rPr/>
        <w:t>亿、研发</w:t>
      </w:r>
      <w:r>
        <w:rPr/>
        <w:t>22.2</w:t>
      </w:r>
      <w:r>
        <w:rPr/>
        <w:t>亿、行政</w:t>
      </w:r>
      <w:r>
        <w:rPr/>
        <w:t>4.7</w:t>
      </w:r>
      <w:r>
        <w:rPr/>
        <w:t>亿，税</w:t>
      </w:r>
      <w:r>
        <w:rPr/>
        <w:t>19%</w:t>
      </w:r>
      <w:r>
        <w:rPr/>
        <w:t>，归母</w:t>
      </w:r>
      <w:r>
        <w:rPr/>
        <w:t>20.3205</w:t>
      </w:r>
      <w:r>
        <w:rPr/>
        <w:t>亿元。相较</w:t>
      </w:r>
      <w:r>
        <w:rPr/>
        <w:t>2025</w:t>
      </w:r>
      <w:r>
        <w:rPr/>
        <w:t>收入和盈利都增长，但并未把平台高毛利完全转成无成本集团利润。正常股数约</w:t>
      </w:r>
      <w:r>
        <w:rPr/>
        <w:t>5.20044</w:t>
      </w:r>
      <w:r>
        <w:rPr/>
        <w:t>亿、</w:t>
      </w:r>
      <w:r>
        <w:rPr/>
        <w:t>EPS3.907461</w:t>
      </w:r>
      <w:r>
        <w:rPr/>
        <w:t>，</w:t>
      </w:r>
      <w:r>
        <w:rPr/>
        <w:t>17</w:t>
      </w:r>
      <w:r>
        <w:rPr/>
        <w:t>倍</w:t>
      </w:r>
      <w:r>
        <w:rPr/>
        <w:t>PE73.07</w:t>
      </w:r>
      <w:r>
        <w:rPr/>
        <w:t>港元，基准含息年化</w:t>
      </w:r>
      <w:r>
        <w:rPr/>
        <w:t>23.64%</w:t>
      </w:r>
      <w:r>
        <w:rPr/>
        <w:t>。</w:t>
      </w:r>
    </w:p>
    <w:p>
      <w:pPr>
        <w:pStyle w:val="Normal"/>
        <w:rPr/>
      </w:pPr>
      <w:r>
        <w:rPr/>
        <w:t>三年需要多款内容相继补位，使生命周期风险从单一爆款转为可管理组合。平台广告还要从当前停滞转为稳定增长，</w:t>
      </w:r>
      <w:r>
        <w:rPr/>
        <w:t>PC</w:t>
      </w:r>
      <w:r>
        <w:rPr/>
        <w:t>增加实际使用和合作价值。研发团队如果能够用</w:t>
      </w:r>
      <w:r>
        <w:rPr/>
        <w:t>AI</w:t>
      </w:r>
      <w:r>
        <w:rPr/>
        <w:t>提高制作速度、质量或更新效率，可产生利润杠杆，但模型同时提高研发绝对额。评估重点是每笔新增研发取得的长期收入，而不是费用增长越快越值得高估值。</w:t>
      </w:r>
    </w:p>
    <w:p>
      <w:pPr>
        <w:pStyle w:val="Normal"/>
        <w:rPr/>
      </w:pPr>
      <w:r>
        <w:rPr/>
        <w:t>五年基准游戏</w:t>
      </w:r>
      <w:r>
        <w:rPr/>
        <w:t>92</w:t>
      </w:r>
      <w:r>
        <w:rPr/>
        <w:t>亿元、平台</w:t>
      </w:r>
      <w:r>
        <w:rPr/>
        <w:t>42</w:t>
      </w:r>
      <w:r>
        <w:rPr/>
        <w:t>亿元，总</w:t>
      </w:r>
      <w:r>
        <w:rPr/>
        <w:t>134</w:t>
      </w:r>
      <w:r>
        <w:rPr/>
        <w:t>亿元，研发</w:t>
      </w:r>
      <w:r>
        <w:rPr/>
        <w:t>29</w:t>
      </w:r>
      <w:r>
        <w:rPr/>
        <w:t>亿元、销售</w:t>
      </w:r>
      <w:r>
        <w:rPr/>
        <w:t>33</w:t>
      </w:r>
      <w:r>
        <w:rPr/>
        <w:t>亿元、行政</w:t>
      </w:r>
      <w:r>
        <w:rPr/>
        <w:t>6</w:t>
      </w:r>
      <w:r>
        <w:rPr/>
        <w:t>亿元，税</w:t>
      </w:r>
      <w:r>
        <w:rPr/>
        <w:t>20%</w:t>
      </w:r>
      <w:r>
        <w:rPr/>
        <w:t>，归母</w:t>
      </w:r>
      <w:r>
        <w:rPr/>
        <w:t>23.596</w:t>
      </w:r>
      <w:r>
        <w:rPr/>
        <w:t>亿元，正常经济股数约</w:t>
      </w:r>
      <w:r>
        <w:rPr/>
        <w:t>5.41298</w:t>
      </w:r>
      <w:r>
        <w:rPr/>
        <w:t>亿。</w:t>
      </w:r>
      <w:r>
        <w:rPr/>
        <w:t>16</w:t>
      </w:r>
      <w:r>
        <w:rPr/>
        <w:t>倍</w:t>
      </w:r>
      <w:r>
        <w:rPr/>
        <w:t>PE76.72</w:t>
      </w:r>
      <w:r>
        <w:rPr/>
        <w:t>港元，累计股息</w:t>
      </w:r>
      <w:r>
        <w:rPr/>
        <w:t>3</w:t>
      </w:r>
      <w:r>
        <w:rPr/>
        <w:t>港元，含息年化</w:t>
      </w:r>
      <w:r>
        <w:rPr/>
        <w:t>15.14%</w:t>
      </w:r>
      <w:r>
        <w:rPr/>
        <w:t>。五年价格比三年仅缓慢提高，表达产品更替成本、成熟税费和稀释会降低增量每股复利。</w:t>
      </w:r>
    </w:p>
    <w:p>
      <w:pPr>
        <w:pStyle w:val="Normal"/>
        <w:rPr/>
      </w:pPr>
      <w:r>
        <w:rPr/>
        <w:t>五年乐观</w:t>
      </w:r>
      <w:r>
        <w:rPr/>
        <w:t>235.43</w:t>
      </w:r>
      <w:r>
        <w:rPr/>
        <w:t>港元要求游戏</w:t>
      </w:r>
      <w:r>
        <w:rPr/>
        <w:t>150</w:t>
      </w:r>
      <w:r>
        <w:rPr/>
        <w:t>亿元、平台</w:t>
      </w:r>
      <w:r>
        <w:rPr/>
        <w:t>68</w:t>
      </w:r>
      <w:r>
        <w:rPr/>
        <w:t>亿元、毛利</w:t>
      </w:r>
      <w:r>
        <w:rPr/>
        <w:t>70%</w:t>
      </w:r>
      <w:r>
        <w:rPr/>
        <w:t>和</w:t>
      </w:r>
      <w:r>
        <w:rPr/>
        <w:t>88.5%</w:t>
      </w:r>
      <w:r>
        <w:rPr/>
        <w:t>，归母</w:t>
      </w:r>
      <w:r>
        <w:rPr/>
        <w:t>57.1892</w:t>
      </w:r>
      <w:r>
        <w:rPr/>
        <w:t>亿元，并维持</w:t>
      </w:r>
      <w:r>
        <w:rPr/>
        <w:t>21</w:t>
      </w:r>
      <w:r>
        <w:rPr/>
        <w:t>倍</w:t>
      </w:r>
      <w:r>
        <w:rPr/>
        <w:t>PE</w:t>
      </w:r>
      <w:r>
        <w:rPr/>
        <w:t>。它意味着公司已形成强的多产品、多设备与广告平台能力，不能只用现有产品自然延伸。悲观</w:t>
      </w:r>
      <w:r>
        <w:rPr/>
        <w:t>8.32</w:t>
      </w:r>
      <w:r>
        <w:rPr/>
        <w:t>港元则收入仍存在但研发和销售吞噬利润，常态期权持续稀释，</w:t>
      </w:r>
      <w:r>
        <w:rPr/>
        <w:t>7</w:t>
      </w:r>
      <w:r>
        <w:rPr/>
        <w:t>倍</w:t>
      </w:r>
      <w:r>
        <w:rPr/>
        <w:t>PE</w:t>
      </w:r>
      <w:r>
        <w:rPr/>
        <w:t>反映市场对资本回报失去信心。</w:t>
      </w:r>
    </w:p>
    <w:p>
      <w:pPr>
        <w:pStyle w:val="Normal"/>
        <w:rPr/>
      </w:pPr>
      <w:r>
        <w:rPr/>
        <w:t>三年评分</w:t>
      </w:r>
      <w:r>
        <w:rPr/>
        <w:t>74.3</w:t>
      </w:r>
      <w:r>
        <w:rPr/>
        <w:t>，主要来自低价下经营增长潜力与合理倍数；五年</w:t>
      </w:r>
      <w:r>
        <w:rPr/>
        <w:t>70.2</w:t>
      </w:r>
      <w:r>
        <w:rPr/>
        <w:t>，下降不是断言公司五年必然变坏，而是信息距离增加、平台竞争和激励成本更难预测。远期高目标应对应更严格的反证机制和更低信心。若长期实际经营比基准好，模型可以逐步提高收入或利润率；不必在今天把所有技术机会一次资本化。</w:t>
      </w:r>
    </w:p>
    <w:p>
      <w:pPr>
        <w:pStyle w:val="Heading2"/>
        <w:rPr/>
      </w:pPr>
      <w:r>
        <w:rPr>
          <w:color w:val="000000"/>
        </w:rPr>
        <w:t>二十二 十年持续性与不可外推的事项</w:t>
      </w:r>
    </w:p>
    <w:p>
      <w:pPr>
        <w:pStyle w:val="Normal"/>
        <w:rPr/>
      </w:pPr>
      <w:r>
        <w:rPr/>
        <w:t>十年视角看心动能否让研发文化、玩家信任和开发者关系跨越多轮产品周期。某一代游戏会老去，创作者和玩家使用设备也会变化，公司需要不断更新组织。自有平台可能帮助保持用户关系，但市场发现入口可能被操作系统、短视频、</w:t>
      </w:r>
      <w:r>
        <w:rPr/>
        <w:t>AI</w:t>
      </w:r>
      <w:r>
        <w:rPr/>
        <w:t>助手和综合商店重新分配。十年展望用经营持续性分析，不给虚假精确</w:t>
      </w:r>
      <w:r>
        <w:rPr/>
        <w:t>2036</w:t>
      </w:r>
      <w:r>
        <w:rPr/>
        <w:t>股价。</w:t>
      </w:r>
    </w:p>
    <w:p>
      <w:pPr>
        <w:pStyle w:val="Normal"/>
        <w:rPr/>
      </w:pPr>
      <w:r>
        <w:rPr/>
        <w:t>若</w:t>
      </w:r>
      <w:r>
        <w:rPr/>
        <w:t>TapTap</w:t>
      </w:r>
      <w:r>
        <w:rPr/>
        <w:t>能维持客观评价与高效发现，</w:t>
      </w:r>
      <w:r>
        <w:rPr/>
        <w:t>AI</w:t>
      </w:r>
      <w:r>
        <w:rPr/>
        <w:t>工具增加优质内容而非垃圾供给，用户愿意跨设备持续访问，则公司有机会从几个游戏收益升级为内容和分发生态。商业回报还要保持广告负担适度、开发者可获收益及集团费用受控。每个环节都需实际数据，不能把平台规模与工具开源两件事拼成已经成立的十年护城河。</w:t>
      </w:r>
    </w:p>
    <w:p>
      <w:pPr>
        <w:pStyle w:val="Normal"/>
        <w:rPr/>
      </w:pPr>
      <w:r>
        <w:rPr/>
        <w:t>游戏研发组织对人才、项目纪律和取消失败项目能力敏感。长期优秀企业可以承认某款试验失败，把资源转到更好项目；若激励仅奖励上线数量或下载规模，就可能持续耗现金。现有报表无法完整测量组织文化，但研发回报、项目资产减值、薪酬及股数变化能提供外部观察。长期治理判断因此与利润数字一样需要更新。</w:t>
      </w:r>
    </w:p>
    <w:p>
      <w:pPr>
        <w:pStyle w:val="Normal"/>
        <w:rPr/>
      </w:pPr>
      <w:r>
        <w:rPr/>
        <w:t>国际收入扩大也可能提高币种、税及监管复杂度，多地区并不自动降低所有风险。玩家隐私、支付争议、版权及未成年人保护等事件可能单独影响关键产品。三情景没有覆盖无限尾部，极端业务失效需要另行评估。公司现有现金提供调整空间，长期如果误用资金或失去核心团队，这个空间会随时间耗尽。</w:t>
      </w:r>
    </w:p>
    <w:p>
      <w:pPr>
        <w:pStyle w:val="Normal"/>
        <w:rPr/>
      </w:pPr>
      <w:r>
        <w:rPr/>
        <w:t>十年经营有希望与当前投资吸引力是不同判断。好的组织若价格过高，投资回报仍可能差；当前较低价格若反映永久盈利衰弱，也未必便宜。四期评分从每股正常盈利、估值和证据推导，把这些因素同时考虑。报告不以长线信念取消成本纪律，也不以短线图形差否定所有未来研发价值。</w:t>
      </w:r>
    </w:p>
    <w:p>
      <w:pPr>
        <w:pStyle w:val="Heading2"/>
        <w:rPr/>
      </w:pPr>
      <w:r>
        <w:rPr>
          <w:color w:val="000000"/>
        </w:rPr>
        <w:t>二十三 外资目标价与中报后的信息差</w:t>
      </w:r>
    </w:p>
    <w:p>
      <w:pPr>
        <w:pStyle w:val="Normal"/>
        <w:rPr/>
      </w:pPr>
      <w:r>
        <w:rPr/>
        <w:t>公开可核记录中，花旗</w:t>
      </w:r>
      <w:r>
        <w:rPr/>
        <w:t>2026</w:t>
      </w:r>
      <w:r>
        <w:rPr/>
        <w:t>年</w:t>
      </w:r>
      <w:r>
        <w:rPr/>
        <w:t>3</w:t>
      </w:r>
      <w:r>
        <w:rPr/>
        <w:t>月</w:t>
      </w:r>
      <w:r>
        <w:rPr/>
        <w:t>10</w:t>
      </w:r>
      <w:r>
        <w:rPr/>
        <w:t>日</w:t>
      </w:r>
      <w:r>
        <w:rPr/>
        <w:t>94</w:t>
      </w:r>
      <w:r>
        <w:rPr/>
        <w:t>港元、买入并列高风险；高盛</w:t>
      </w:r>
      <w:r>
        <w:rPr/>
        <w:t>2026</w:t>
      </w:r>
      <w:r>
        <w:rPr/>
        <w:t>年</w:t>
      </w:r>
      <w:r>
        <w:rPr/>
        <w:t>1</w:t>
      </w:r>
      <w:r>
        <w:rPr/>
        <w:t>月</w:t>
      </w:r>
      <w:r>
        <w:rPr/>
        <w:t>19</w:t>
      </w:r>
      <w:r>
        <w:rPr/>
        <w:t>日</w:t>
      </w:r>
      <w:r>
        <w:rPr/>
        <w:t>85.4</w:t>
      </w:r>
      <w:r>
        <w:rPr/>
        <w:t>港元、中性；里昂</w:t>
      </w:r>
      <w:r>
        <w:rPr/>
        <w:t>2025</w:t>
      </w:r>
      <w:r>
        <w:rPr/>
        <w:t>年</w:t>
      </w:r>
      <w:r>
        <w:rPr/>
        <w:t>9</w:t>
      </w:r>
      <w:r>
        <w:rPr/>
        <w:t>月</w:t>
      </w:r>
      <w:r>
        <w:rPr/>
        <w:t>2</w:t>
      </w:r>
      <w:r>
        <w:rPr/>
        <w:t>日</w:t>
      </w:r>
      <w:r>
        <w:rPr/>
        <w:t>90</w:t>
      </w:r>
      <w:r>
        <w:rPr/>
        <w:t>港元、跑赢大市。中金</w:t>
      </w:r>
      <w:r>
        <w:rPr/>
        <w:t>2025</w:t>
      </w:r>
      <w:r>
        <w:rPr/>
        <w:t>年</w:t>
      </w:r>
      <w:r>
        <w:rPr/>
        <w:t>11</w:t>
      </w:r>
      <w:r>
        <w:rPr/>
        <w:t>月</w:t>
      </w:r>
      <w:r>
        <w:rPr/>
        <w:t>17</w:t>
      </w:r>
      <w:r>
        <w:rPr/>
        <w:t>日</w:t>
      </w:r>
      <w:r>
        <w:rPr/>
        <w:t>89.5</w:t>
      </w:r>
      <w:r>
        <w:rPr/>
        <w:t>港元、跑赢行业，中资机构另列。均为新闻转述，未取得原始研报，目标期限未明确，全部超过</w:t>
      </w:r>
      <w:r>
        <w:rPr/>
        <w:t>90</w:t>
      </w:r>
      <w:r>
        <w:rPr/>
        <w:t>天且在本次中报之前。</w:t>
      </w:r>
    </w:p>
    <w:p>
      <w:pPr>
        <w:pStyle w:val="Normal"/>
        <w:rPr/>
      </w:pPr>
      <w:r>
        <w:rPr/>
        <w:t>旧花旗摘要曾有</w:t>
      </w:r>
      <w:r>
        <w:rPr/>
        <w:t>2026</w:t>
      </w:r>
      <w:r>
        <w:rPr/>
        <w:t>及</w:t>
      </w:r>
      <w:r>
        <w:rPr/>
        <w:t>2027</w:t>
      </w:r>
      <w:r>
        <w:rPr/>
        <w:t>收入</w:t>
      </w:r>
      <w:r>
        <w:rPr/>
        <w:t>72.9</w:t>
      </w:r>
      <w:r>
        <w:rPr/>
        <w:t>亿、</w:t>
      </w:r>
      <w:r>
        <w:rPr/>
        <w:t>77.2</w:t>
      </w:r>
      <w:r>
        <w:rPr/>
        <w:t>亿元和调整利润</w:t>
      </w:r>
      <w:r>
        <w:rPr/>
        <w:t>19</w:t>
      </w:r>
      <w:r>
        <w:rPr/>
        <w:t>亿、</w:t>
      </w:r>
      <w:r>
        <w:rPr/>
        <w:t>20</w:t>
      </w:r>
      <w:r>
        <w:rPr/>
        <w:t>亿元预测，也涉及小镇早期海外表现。这些数字描述当时分析师假设，不是截止日已经发生经营。中报显示小镇用户从首发回落、广告持平及</w:t>
      </w:r>
      <w:r>
        <w:rPr/>
        <w:t>AI</w:t>
      </w:r>
      <w:r>
        <w:rPr/>
        <w:t>费用增加，要求重新审核增长和利润预测，不能把旧报告价格称当前共识或最新</w:t>
      </w:r>
      <w:r>
        <w:rPr/>
        <w:t>12</w:t>
      </w:r>
      <w:r>
        <w:rPr/>
        <w:t>个月有效目标。</w:t>
      </w:r>
    </w:p>
    <w:p>
      <w:pPr>
        <w:pStyle w:val="Normal"/>
        <w:rPr/>
      </w:pPr>
      <w:r>
        <w:rPr/>
        <w:t>花旗旧目标相对现价上涨很大，但其预测利润口径可能加回股酬，本研究正常利润保留持续成本。机构与本报告目标差异首先应核收入、成本、税和股数，再看</w:t>
      </w:r>
      <w:r>
        <w:rPr/>
        <w:t>PE</w:t>
      </w:r>
      <w:r>
        <w:rPr/>
        <w:t>，而非认定其中一个一定错误。对未知目标期限，本报告明确空缺，不人为填写十二个月；一年估值参照保留历史参考身份，年底不用它直接插值。</w:t>
      </w:r>
    </w:p>
    <w:p>
      <w:pPr>
        <w:pStyle w:val="Normal"/>
        <w:rPr/>
      </w:pPr>
      <w:r>
        <w:rPr/>
        <w:t>截至截止日检索未找到最近</w:t>
      </w:r>
      <w:r>
        <w:rPr/>
        <w:t>90</w:t>
      </w:r>
      <w:r>
        <w:rPr/>
        <w:t>天可公开核验的公司特定外资新目标。公开缺失不意味着市场没有私有研报，只表示本研究不能证明其数字。重转载同一机构和同一日期去重，保留最新可查历史记录。读者如果取得原研报，应核发布时间和是否中报之后，再更新机构表，不能把网站近期页面时间误作报告更新日。</w:t>
      </w:r>
    </w:p>
    <w:p>
      <w:pPr>
        <w:pStyle w:val="Normal"/>
        <w:rPr/>
      </w:pPr>
      <w:r>
        <w:rPr/>
        <w:t>旧高目标可以提醒潜在乐观假设范围，但不能独立增加估值评分。评分需要本公司实际财务与模型解释，尤其半年权重</w:t>
      </w:r>
      <w:r>
        <w:rPr/>
        <w:t>30%</w:t>
      </w:r>
      <w:r>
        <w:rPr/>
        <w:t>的技术现状仍弱。机构推荐存在目标期和风险承受差异，报告同时展示悲观条件，使外部观点与自建模型可比较。最终收益仍来自经营兑现和市场定价，分析师评级本身不产生现金。</w:t>
      </w:r>
    </w:p>
    <w:p>
      <w:pPr>
        <w:pStyle w:val="Heading2"/>
        <w:rPr/>
      </w:pPr>
      <w:r>
        <w:rPr>
          <w:color w:val="000000"/>
        </w:rPr>
        <w:t>二十四 分数依据及可执行的反证</w:t>
      </w:r>
    </w:p>
    <w:p>
      <w:pPr>
        <w:pStyle w:val="Normal"/>
        <w:rPr/>
      </w:pPr>
      <w:r>
        <w:rPr/>
        <w:t>半年六维</w:t>
      </w:r>
      <w:r>
        <w:rPr/>
        <w:t>0</w:t>
      </w:r>
      <w:r>
        <w:rPr/>
        <w:t>至</w:t>
      </w:r>
      <w:r>
        <w:rPr/>
        <w:t>5</w:t>
      </w:r>
      <w:r>
        <w:rPr/>
        <w:t>分分别</w:t>
      </w:r>
      <w:r>
        <w:rPr/>
        <w:t>3.7</w:t>
      </w:r>
      <w:r>
        <w:rPr/>
        <w:t>、</w:t>
      </w:r>
      <w:r>
        <w:rPr/>
        <w:t>2.4</w:t>
      </w:r>
      <w:r>
        <w:rPr/>
        <w:t>、</w:t>
      </w:r>
      <w:r>
        <w:rPr/>
        <w:t>3.4</w:t>
      </w:r>
      <w:r>
        <w:rPr/>
        <w:t>、</w:t>
      </w:r>
      <w:r>
        <w:rPr/>
        <w:t>3.8</w:t>
      </w:r>
      <w:r>
        <w:rPr/>
        <w:t>、</w:t>
      </w:r>
      <w:r>
        <w:rPr/>
        <w:t>3.8</w:t>
      </w:r>
      <w:r>
        <w:rPr/>
        <w:t>、</w:t>
      </w:r>
      <w:r>
        <w:rPr/>
        <w:t>3.5</w:t>
      </w:r>
      <w:r>
        <w:rPr/>
        <w:t>，按</w:t>
      </w:r>
      <w:r>
        <w:rPr/>
        <w:t>25/30/15/10/10/10</w:t>
      </w:r>
      <w:r>
        <w:rPr/>
        <w:t>权重得</w:t>
      </w:r>
      <w:r>
        <w:rPr/>
        <w:t>65.3</w:t>
      </w:r>
      <w:r>
        <w:rPr/>
        <w:t>。估值有恢复空间，但正常盈利低于滚动法定；技术反弹尚弱；经营广告与费用待验证；行业精品和社交需求有机会；催化有全年更新；现金减少财务风险而产品集中保留折扣。评分是相对推荐解释，不是</w:t>
      </w:r>
      <w:r>
        <w:rPr/>
        <w:t>65.3%</w:t>
      </w:r>
      <w:r>
        <w:rPr/>
        <w:t>获利概率。</w:t>
      </w:r>
    </w:p>
    <w:p>
      <w:pPr>
        <w:pStyle w:val="Normal"/>
        <w:rPr/>
      </w:pPr>
      <w:r>
        <w:rPr/>
        <w:t>一年六维</w:t>
      </w:r>
      <w:r>
        <w:rPr/>
        <w:t>4.0</w:t>
      </w:r>
      <w:r>
        <w:rPr/>
        <w:t>、</w:t>
      </w:r>
      <w:r>
        <w:rPr/>
        <w:t>2.4</w:t>
      </w:r>
      <w:r>
        <w:rPr/>
        <w:t>、</w:t>
      </w:r>
      <w:r>
        <w:rPr/>
        <w:t>3.5</w:t>
      </w:r>
      <w:r>
        <w:rPr/>
        <w:t>、</w:t>
      </w:r>
      <w:r>
        <w:rPr/>
        <w:t>3.9</w:t>
      </w:r>
      <w:r>
        <w:rPr/>
        <w:t>、</w:t>
      </w:r>
      <w:r>
        <w:rPr/>
        <w:t>3.7</w:t>
      </w:r>
      <w:r>
        <w:rPr/>
        <w:t>、</w:t>
      </w:r>
      <w:r>
        <w:rPr/>
        <w:t>3.4</w:t>
      </w:r>
      <w:r>
        <w:rPr/>
        <w:t>，得</w:t>
      </w:r>
      <w:r>
        <w:rPr/>
        <w:t>70.6</w:t>
      </w:r>
      <w:r>
        <w:rPr/>
        <w:t>。更长时间允许新品、平台和成本效率验证，技术权重减为</w:t>
      </w:r>
      <w:r>
        <w:rPr/>
        <w:t>15%</w:t>
      </w:r>
      <w:r>
        <w:rPr/>
        <w:t>，增长权重提高。三年</w:t>
      </w:r>
      <w:r>
        <w:rPr/>
        <w:t>4.1</w:t>
      </w:r>
      <w:r>
        <w:rPr/>
        <w:t>、</w:t>
      </w:r>
      <w:r>
        <w:rPr/>
        <w:t>2.4</w:t>
      </w:r>
      <w:r>
        <w:rPr/>
        <w:t>、</w:t>
      </w:r>
      <w:r>
        <w:rPr/>
        <w:t>3.6</w:t>
      </w:r>
      <w:r>
        <w:rPr/>
        <w:t>、</w:t>
      </w:r>
      <w:r>
        <w:rPr/>
        <w:t>4.0</w:t>
      </w:r>
      <w:r>
        <w:rPr/>
        <w:t>、</w:t>
      </w:r>
      <w:r>
        <w:rPr/>
        <w:t>3.6</w:t>
      </w:r>
      <w:r>
        <w:rPr/>
        <w:t>、</w:t>
      </w:r>
      <w:r>
        <w:rPr/>
        <w:t>3.3</w:t>
      </w:r>
      <w:r>
        <w:rPr/>
        <w:t>，得</w:t>
      </w:r>
      <w:r>
        <w:rPr/>
        <w:t>74.3</w:t>
      </w:r>
      <w:r>
        <w:rPr/>
        <w:t>，经营</w:t>
      </w:r>
      <w:r>
        <w:rPr/>
        <w:t>35%</w:t>
      </w:r>
      <w:r>
        <w:rPr/>
        <w:t>及行业</w:t>
      </w:r>
      <w:r>
        <w:rPr/>
        <w:t>20%</w:t>
      </w:r>
      <w:r>
        <w:rPr/>
        <w:t>主导。五年</w:t>
      </w:r>
      <w:r>
        <w:rPr/>
        <w:t>3.8</w:t>
      </w:r>
      <w:r>
        <w:rPr/>
        <w:t>、</w:t>
      </w:r>
      <w:r>
        <w:rPr/>
        <w:t>2.4</w:t>
      </w:r>
      <w:r>
        <w:rPr/>
        <w:t>、</w:t>
      </w:r>
      <w:r>
        <w:rPr/>
        <w:t>3.4</w:t>
      </w:r>
      <w:r>
        <w:rPr/>
        <w:t>、</w:t>
      </w:r>
      <w:r>
        <w:rPr/>
        <w:t>3.8</w:t>
      </w:r>
      <w:r>
        <w:rPr/>
        <w:t>、</w:t>
      </w:r>
      <w:r>
        <w:rPr/>
        <w:t>3.3</w:t>
      </w:r>
      <w:r>
        <w:rPr/>
        <w:t>、</w:t>
      </w:r>
      <w:r>
        <w:rPr/>
        <w:t>3.1</w:t>
      </w:r>
      <w:r>
        <w:rPr/>
        <w:t>，技术权重零，长期治理与资本风险</w:t>
      </w:r>
      <w:r>
        <w:rPr/>
        <w:t>15%</w:t>
      </w:r>
      <w:r>
        <w:rPr/>
        <w:t>，得</w:t>
      </w:r>
      <w:r>
        <w:rPr/>
        <w:t>70.2</w:t>
      </w:r>
      <w:r>
        <w:rPr/>
        <w:t>。</w:t>
      </w:r>
    </w:p>
    <w:p>
      <w:pPr>
        <w:pStyle w:val="Normal"/>
        <w:rPr/>
      </w:pPr>
      <w:r>
        <w:rPr/>
        <w:t>首要经营反证是广告连续下降且国内月活保持，说明转化或广告客户关系弱于基准；其次是海外游戏增长不能改善毛利和销售效率，说明扩张更多给渠道与买量；再者是</w:t>
      </w:r>
      <w:r>
        <w:rPr/>
        <w:t>AI</w:t>
      </w:r>
      <w:r>
        <w:rPr/>
        <w:t>研发长期扩大而上线和运营利润未改善。出现这些变化应分别调整平台收入、游戏毛利、销售和研发，而不只在文字风险栏注明。</w:t>
      </w:r>
    </w:p>
    <w:p>
      <w:pPr>
        <w:pStyle w:val="Normal"/>
        <w:rPr/>
      </w:pPr>
      <w:r>
        <w:rPr/>
        <w:t>资本反证包括回购高价、期权稀释超假设、少数权益利润显著提高、现金回款恶化及税率无法恢复。若融资或新资本交易改变股数与资金权利，所有期限应同步重算。技术反证</w:t>
      </w:r>
      <w:r>
        <w:rPr/>
        <w:t>36.82</w:t>
      </w:r>
      <w:r>
        <w:rPr/>
        <w:t>失守和弱周线延续首先影响半年评分，单作临床无关而产品留存及版号才是此公司的专属证据，不能套医药通用风险。</w:t>
      </w:r>
    </w:p>
    <w:p>
      <w:pPr>
        <w:pStyle w:val="Normal"/>
        <w:rPr/>
      </w:pPr>
      <w:r>
        <w:rPr/>
        <w:t>进取型结论是三年值得重点比较、一年有条件关注、半年需要等待量价和盈利证据、五年保留组织及平台选择权。目标价的高上行伴随很大悲观损失，本公司适合能持续跟踪内容周期和资本动作的研究比较。总表同分和差距小于三分规则决定最终梯队，本章不给绕过统一方法的特别优先级。</w:t>
      </w:r>
    </w:p>
    <w:p>
      <w:pPr>
        <w:pStyle w:val="Heading2"/>
        <w:rPr/>
      </w:pPr>
      <w:r>
        <w:rPr>
          <w:color w:val="000000"/>
        </w:rPr>
        <w:t>来源与模型核验</w:t>
      </w:r>
    </w:p>
    <w:p>
      <w:pPr>
        <w:pStyle w:val="Normal"/>
        <w:rPr/>
      </w:pPr>
      <w:r>
        <w:rPr/>
        <w:t>- 2025</w:t>
      </w:r>
      <w:r>
        <w:rPr/>
        <w:t>年报：</w:t>
      </w:r>
      <w:r>
        <w:rPr/>
        <w:t>2026</w:t>
      </w:r>
      <w:r>
        <w:rPr/>
        <w:t>年</w:t>
      </w:r>
      <w:r>
        <w:rPr/>
        <w:t>4</w:t>
      </w:r>
      <w:r>
        <w:rPr/>
        <w:t>月</w:t>
      </w:r>
      <w:r>
        <w:rPr/>
        <w:t>29</w:t>
      </w:r>
      <w:r>
        <w:rPr/>
        <w:t>日</w:t>
      </w:r>
      <w:r>
        <w:rPr/>
        <w:t>19:07</w:t>
      </w:r>
      <w:r>
        <w:rPr/>
        <w:t>收盘后，</w:t>
      </w:r>
      <w:r>
        <w:rPr/>
        <w:t>[HKEX</w:t>
      </w:r>
      <w:r>
        <w:rPr/>
        <w:t>原件</w:t>
      </w:r>
      <w:r>
        <w:rPr/>
        <w:t>](https://www1.hkexnews.hk/listedco/listconews/sehk/2026/0429/2026042903788.pdf)</w:t>
      </w:r>
      <w:r>
        <w:rPr/>
        <w:t>，重点财务、子公司有效权益、少数交易、现金及股酬附注。</w:t>
      </w:r>
    </w:p>
    <w:p>
      <w:pPr>
        <w:pStyle w:val="Normal"/>
        <w:rPr/>
      </w:pPr>
      <w:r>
        <w:rPr/>
        <w:t>- 2026</w:t>
      </w:r>
      <w:r>
        <w:rPr/>
        <w:t>中报：</w:t>
      </w:r>
      <w:r>
        <w:rPr/>
        <w:t>9</w:t>
      </w:r>
      <w:r>
        <w:rPr/>
        <w:t>月</w:t>
      </w:r>
      <w:r>
        <w:rPr/>
        <w:t>29</w:t>
      </w:r>
      <w:r>
        <w:rPr/>
        <w:t>日</w:t>
      </w:r>
      <w:r>
        <w:rPr/>
        <w:t>16:30</w:t>
      </w:r>
      <w:r>
        <w:rPr/>
        <w:t>收盘后，</w:t>
      </w:r>
      <w:r>
        <w:rPr/>
        <w:t>[HKEX</w:t>
      </w:r>
      <w:r>
        <w:rPr/>
        <w:t>原件</w:t>
      </w:r>
      <w:r>
        <w:rPr/>
        <w:t>](https://www1.hkexnews.hk/listedco/listconews/sehk/2026/0929/2026092900352.pdf)</w:t>
      </w:r>
      <w:r>
        <w:rPr/>
        <w:t>，业务页</w:t>
      </w:r>
      <w:r>
        <w:rPr/>
        <w:t>4—11</w:t>
      </w:r>
      <w:r>
        <w:rPr/>
        <w:t>、管理费用</w:t>
      </w:r>
      <w:r>
        <w:rPr/>
        <w:t>12—14</w:t>
      </w:r>
      <w:r>
        <w:rPr/>
        <w:t>、股本及租赁</w:t>
      </w:r>
      <w:r>
        <w:rPr/>
        <w:t>91—93</w:t>
      </w:r>
      <w:r>
        <w:rPr/>
        <w:t>；首次业绩</w:t>
      </w:r>
      <w:r>
        <w:rPr/>
        <w:t>8</w:t>
      </w:r>
      <w:r>
        <w:rPr/>
        <w:t>月</w:t>
      </w:r>
      <w:r>
        <w:rPr/>
        <w:t>28</w:t>
      </w:r>
      <w:r>
        <w:rPr/>
        <w:t>日</w:t>
      </w:r>
      <w:r>
        <w:rPr/>
        <w:t>12:01</w:t>
      </w:r>
      <w:r>
        <w:rPr/>
        <w:t>盘中已披露。</w:t>
      </w:r>
    </w:p>
    <w:p>
      <w:pPr>
        <w:pStyle w:val="Normal"/>
        <w:rPr/>
      </w:pPr>
      <w:r>
        <w:rPr/>
        <w:t xml:space="preserve">- </w:t>
      </w:r>
      <w:r>
        <w:rPr/>
        <w:t>九月月报：</w:t>
      </w:r>
      <w:r>
        <w:rPr/>
        <w:t>10</w:t>
      </w:r>
      <w:r>
        <w:rPr/>
        <w:t>月</w:t>
      </w:r>
      <w:r>
        <w:rPr/>
        <w:t>6</w:t>
      </w:r>
      <w:r>
        <w:rPr/>
        <w:t>日</w:t>
      </w:r>
      <w:r>
        <w:rPr/>
        <w:t>16:31</w:t>
      </w:r>
      <w:r>
        <w:rPr/>
        <w:t>收盘后，</w:t>
      </w:r>
      <w:r>
        <w:rPr/>
        <w:t>[HKEX</w:t>
      </w:r>
      <w:r>
        <w:rPr/>
        <w:t>原件</w:t>
      </w:r>
      <w:r>
        <w:rPr/>
        <w:t>](https://www1.hkexnews.hk/listedco/listconews/sehk/2026/1006/2026100600494.pdf)</w:t>
      </w:r>
      <w:r>
        <w:rPr/>
        <w:t>，发行股、期权、回购待注销。</w:t>
      </w:r>
    </w:p>
    <w:p>
      <w:pPr>
        <w:pStyle w:val="Normal"/>
        <w:rPr/>
      </w:pPr>
      <w:r>
        <w:rPr/>
        <w:t xml:space="preserve">- </w:t>
      </w:r>
      <w:r>
        <w:rPr/>
        <w:t>自动回购计划：</w:t>
      </w:r>
      <w:r>
        <w:rPr/>
        <w:t>[6</w:t>
      </w:r>
      <w:r>
        <w:rPr/>
        <w:t>月</w:t>
      </w:r>
      <w:r>
        <w:rPr/>
        <w:t>10</w:t>
      </w:r>
      <w:r>
        <w:rPr/>
        <w:t>日</w:t>
      </w:r>
      <w:r>
        <w:rPr/>
        <w:t>20:02</w:t>
      </w:r>
      <w:r>
        <w:rPr/>
        <w:t>公告</w:t>
      </w:r>
      <w:r>
        <w:rPr/>
        <w:t>](https://www1.hkexnews.hk/listedco/listconews/sehk/2026/0610/2026061001374.pdf)</w:t>
      </w:r>
      <w:r>
        <w:rPr/>
        <w:t>，额度和到期并非全部已执行现金。</w:t>
      </w:r>
    </w:p>
    <w:p>
      <w:pPr>
        <w:pStyle w:val="Normal"/>
        <w:rPr/>
      </w:pPr>
      <w:r>
        <w:rPr/>
        <w:t xml:space="preserve">- </w:t>
      </w:r>
      <w:r>
        <w:rPr/>
        <w:t>火炬交易：</w:t>
      </w:r>
      <w:r>
        <w:rPr/>
        <w:t>[12</w:t>
      </w:r>
      <w:r>
        <w:rPr/>
        <w:t>月</w:t>
      </w:r>
      <w:r>
        <w:rPr/>
        <w:t>29</w:t>
      </w:r>
      <w:r>
        <w:rPr/>
        <w:t>日原协议公告</w:t>
      </w:r>
      <w:r>
        <w:rPr/>
        <w:t>](https://www1.hkexnews.hk/listedco/listconews/sehk/2025/1229/2025122901555.pdf)</w:t>
      </w:r>
      <w:r>
        <w:rPr/>
        <w:t>、</w:t>
      </w:r>
      <w:r>
        <w:rPr/>
        <w:t>[1</w:t>
      </w:r>
      <w:r>
        <w:rPr/>
        <w:t>月</w:t>
      </w:r>
      <w:r>
        <w:rPr/>
        <w:t>16</w:t>
      </w:r>
      <w:r>
        <w:rPr/>
        <w:t>日补充公告</w:t>
      </w:r>
      <w:r>
        <w:rPr/>
        <w:t>](https://www1.hkexnews.hk/listedco/listconews/sehk/2026/0116/2026011600538.pdf)</w:t>
      </w:r>
      <w:r>
        <w:rPr/>
        <w:t>，价格、抵销结算及评估边界。</w:t>
      </w:r>
    </w:p>
    <w:p>
      <w:pPr>
        <w:pStyle w:val="Normal"/>
        <w:rPr/>
      </w:pPr>
      <w:r>
        <w:rPr/>
        <w:t xml:space="preserve">- </w:t>
      </w:r>
      <w:r>
        <w:rPr/>
        <w:t>外资新闻：</w:t>
      </w:r>
      <w:r>
        <w:rPr/>
        <w:t>[</w:t>
      </w:r>
      <w:r>
        <w:rPr/>
        <w:t>花旗</w:t>
      </w:r>
      <w:r>
        <w:rPr/>
        <w:t>](https://www.aastocks.com/sc/stocks/analysis/stock-aafn-con/02400/AAFN/NOW.1507896/research-report)</w:t>
      </w:r>
      <w:r>
        <w:rPr/>
        <w:t>、</w:t>
      </w:r>
      <w:r>
        <w:rPr/>
        <w:t>[</w:t>
      </w:r>
      <w:r>
        <w:rPr/>
        <w:t>高盛</w:t>
      </w:r>
      <w:r>
        <w:rPr/>
        <w:t>](https://www.aastocks.com/sc/stocks/analysis/stock-aafn-con/02400/AAFN/NOW.1497081/research-report)</w:t>
      </w:r>
      <w:r>
        <w:rPr/>
        <w:t>、</w:t>
      </w:r>
      <w:r>
        <w:rPr/>
        <w:t>[</w:t>
      </w:r>
      <w:r>
        <w:rPr/>
        <w:t>里昂</w:t>
      </w:r>
      <w:r>
        <w:rPr/>
        <w:t>](https://www.aastocks.com/sc/stocks/analysis/stock-aafn-con/02400/AAFN/NOW.1467437/research-report)</w:t>
      </w:r>
      <w:r>
        <w:rPr/>
        <w:t>；原研报和期限缺失，中金独列来源。全部超过</w:t>
      </w:r>
      <w:r>
        <w:rPr/>
        <w:t>90</w:t>
      </w:r>
      <w:r>
        <w:rPr/>
        <w:t>天。</w:t>
      </w:r>
    </w:p>
    <w:p>
      <w:pPr>
        <w:pStyle w:val="Normal"/>
        <w:rPr/>
      </w:pPr>
      <w:r>
        <w:rPr/>
        <w:t xml:space="preserve">- </w:t>
      </w:r>
      <w:r>
        <w:rPr/>
        <w:t>行情、复权及</w:t>
      </w:r>
      <w:r>
        <w:rPr/>
        <w:t>OHLC</w:t>
      </w:r>
      <w:r>
        <w:rPr/>
        <w:t>修复采用锁定快照与</w:t>
      </w:r>
      <w:r>
        <w:rPr/>
        <w:t>S070</w:t>
      </w:r>
      <w:r>
        <w:rPr/>
        <w:t>历史；独立正文有效汉字、重复段落、财务桥、</w:t>
      </w:r>
      <w:r>
        <w:rPr/>
        <w:t>15</w:t>
      </w:r>
      <w:r>
        <w:rPr/>
        <w:t>情景、权重及年化由专属</w:t>
      </w:r>
      <w:r>
        <w:rPr/>
        <w:t>QA</w:t>
      </w:r>
      <w:r>
        <w:rPr/>
        <w:t>保存。正文结论与模型版本一致，最终</w:t>
      </w:r>
      <w:r>
        <w:rPr/>
        <w:t>Word/PDF</w:t>
      </w:r>
      <w:r>
        <w:rPr/>
        <w:t>分页核验另由全集成验收执行。</w:t>
      </w:r>
      <w:r>
        <w:br w:type="page"/>
      </w:r>
    </w:p>
    <w:p>
      <w:pPr>
        <w:pStyle w:val="Heading1"/>
        <w:rPr/>
      </w:pPr>
      <w:bookmarkStart w:id="1" w:name="__RefHeading___Toc27121_1364803659"/>
      <w:bookmarkEnd w:id="1"/>
      <w:r>
        <w:rPr>
          <w:color w:val="000000"/>
        </w:rPr>
        <w:t xml:space="preserve">诺诚健华 </w:t>
      </w:r>
      <w:r>
        <w:rPr>
          <w:color w:val="000000"/>
        </w:rPr>
        <w:t>09969 HK</w:t>
      </w:r>
    </w:p>
    <w:p>
      <w:pPr>
        <w:pStyle w:val="Normal"/>
        <w:rPr/>
      </w:pPr>
      <w:r>
        <w:rPr/>
        <w:t xml:space="preserve">09969.HK </w:t>
      </w:r>
      <w:r>
        <w:rPr/>
        <w:t xml:space="preserve">现价 </w:t>
      </w:r>
      <w:r>
        <w:rPr/>
        <w:t>12.73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18.53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+45.56%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+45.56%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+69.91%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+70.15%</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14.02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24.41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+91.73%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14.30HKD</w:t>
      </w:r>
      <w:r>
        <w:rPr/>
        <w:t>，期望股价回报</w:t>
      </w:r>
      <w:r>
        <w:rPr/>
        <w:t>+12.36%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4.83</w:t>
              <w:br/>
              <w:t>-62.04%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14.60</w:t>
              <w:br/>
              <w:t>+14.66%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31.54</w:t>
              <w:br/>
              <w:t>+147.76%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4.96</w:t>
              <w:br/>
              <w:t>-61.05%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15.60</w:t>
              <w:br/>
              <w:t>+22.53%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41.32</w:t>
              <w:br/>
              <w:t>+224.62%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5.23</w:t>
              <w:br/>
              <w:t>-58.92%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18.53</w:t>
              <w:br/>
              <w:t>+45.56%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48.81</w:t>
              <w:br/>
              <w:t>+283.40%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5.39</w:t>
              <w:br/>
              <w:t>-57.69%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21.63</w:t>
              <w:br/>
              <w:t>+69.91%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56.73</w:t>
              <w:br/>
              <w:t>+345.67%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+28.66%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+52.84%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+61.64%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+78.65%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研究基准：发行人</w:t>
      </w:r>
      <w:r>
        <w:rPr/>
        <w:t>I041</w:t>
      </w:r>
      <w:r>
        <w:rPr/>
        <w:t>，证券</w:t>
      </w:r>
      <w:r>
        <w:rPr/>
        <w:t>S048</w:t>
      </w:r>
      <w:r>
        <w:rPr/>
        <w:t>，</w:t>
      </w:r>
      <w:r>
        <w:rPr/>
        <w:t>09969.HK</w:t>
      </w:r>
      <w:r>
        <w:rPr/>
        <w:t>；统一价格为</w:t>
      </w:r>
      <w:r>
        <w:rPr/>
        <w:t>2026</w:t>
      </w:r>
      <w:r>
        <w:rPr/>
        <w:t>年</w:t>
      </w:r>
      <w:r>
        <w:rPr/>
        <w:t>10</w:t>
      </w:r>
      <w:r>
        <w:rPr/>
        <w:t>月</w:t>
      </w:r>
      <w:r>
        <w:rPr/>
        <w:t>9</w:t>
      </w:r>
      <w:r>
        <w:rPr/>
        <w:t>日收盘</w:t>
      </w:r>
      <w:r>
        <w:rPr/>
        <w:t>12.73</w:t>
      </w:r>
      <w:r>
        <w:rPr/>
        <w:t>港元。资料截止该日，模型版本</w:t>
      </w:r>
      <w:r>
        <w:rPr/>
        <w:t>innocare-v2-finiteFCFF-restrictedCash-netdebt-cleared-allshares</w:t>
      </w:r>
      <w:r>
        <w:rPr/>
        <w:t>。</w:t>
      </w:r>
      <w:r>
        <w:rPr/>
        <w:t>2027</w:t>
      </w:r>
      <w:r>
        <w:rPr/>
        <w:t>年</w:t>
      </w:r>
      <w:r>
        <w:rPr/>
        <w:t>10</w:t>
      </w:r>
      <w:r>
        <w:rPr/>
        <w:t>月</w:t>
      </w:r>
      <w:r>
        <w:rPr/>
        <w:t>9</w:t>
      </w:r>
      <w:r>
        <w:rPr/>
        <w:t>日为周六，一年价格目标先使用此前</w:t>
      </w:r>
      <w:r>
        <w:rPr/>
        <w:t>10</w:t>
      </w:r>
      <w:r>
        <w:rPr/>
        <w:t>月</w:t>
      </w:r>
      <w:r>
        <w:rPr/>
        <w:t>7</w:t>
      </w:r>
      <w:r>
        <w:rPr/>
        <w:t>日；其余未来交易日须以届时交易所日历复核。经营预测为研究假设，金额默认人民币；股价与股息为港币。</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悲观目标</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乐观目标</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4.8324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14.5968</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31.5396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不年化</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4.9583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15.5984</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41.3242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不单列</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5.2292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18.5297</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48.8067</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45.56%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45.56%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13.33%</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77.6</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5.3867</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21.6295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56.7342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69.91%</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70.15%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11.22%</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另列</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4.7684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14.0185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24.4074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10.12%</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不年化</w:t>
            </w:r>
          </w:p>
        </w:tc>
      </w:tr>
    </w:tbl>
    <w:p>
      <w:pPr>
        <w:pStyle w:val="Normal"/>
        <w:rPr/>
      </w:pPr>
      <w:r>
        <w:rPr/>
      </w:r>
    </w:p>
    <w:p>
      <w:pPr>
        <w:pStyle w:val="Normal"/>
        <w:rPr/>
      </w:pPr>
      <w:r>
        <w:rPr/>
        <w:t>诺诚健华更适合作为三年至五年的进取型候选，短期只能给条件式推荐。其商业化业务已经有真实收入和医院网络，研发管线也跨过了纯概念阶段；但股价低于四条日均线、近两个月相对行业偏弱，且现有利润仍含显著授权收入与金融收益。四期限分数对应的是本名单统一尺度上的研究偏好，推荐梯队应与全名单当期排名同时阅读，不能把七十多分解读为七成成功率。</w:t>
      </w:r>
    </w:p>
    <w:p>
      <w:pPr>
        <w:pStyle w:val="Normal"/>
        <w:rPr/>
      </w:pPr>
      <w:r>
        <w:rPr/>
        <w:t>本章结论的关键条件是奥布替尼既有适应症继续带来处方增长，新增自免产品在长期安全性、注册和支付端逐步过关，且公司为这些收入支付的研发和商业投入没有长期失控。半年观察重点是年报、审评进度及量价修复；一年关注自免申报与</w:t>
      </w:r>
      <w:r>
        <w:rPr/>
        <w:t>ICP-248</w:t>
      </w:r>
      <w:r>
        <w:rPr/>
        <w:t>注册证据；三年关注产品组合现金流；五年关注在竞争、专利和融资后剩余的每股价值。只要安全性、临床结果、定价或资本结构发生重大不利改变，本章目标价就应重算。</w:t>
      </w:r>
    </w:p>
    <w:p>
      <w:pPr>
        <w:pStyle w:val="Heading2"/>
        <w:rPr/>
      </w:pPr>
      <w:r>
        <w:rPr>
          <w:color w:val="000000"/>
        </w:rPr>
        <w:t>一 先辨认买到的资产以及未买到的收益</w:t>
      </w:r>
    </w:p>
    <w:p>
      <w:pPr>
        <w:pStyle w:val="Normal"/>
        <w:rPr/>
      </w:pPr>
      <w:r>
        <w:rPr/>
        <w:t>诺诚的股票代表一家以小分子发现、临床开发和商业化为主要能力的药物企业，拥有奥布替尼等产品、多个自免和肿瘤候选资产，以及对外许可产生的合同权益。投资者并不是直接买下一个行业的全部疾病市场，也不是买下公告中全部交易上限。产品获批地域、疾病适应症、合同保留权利、受方付款条件和最终普通股数，共同决定一股港股能分到多少现金。遗漏任一环节，都可能得到方向正确而数量错误的估值。</w:t>
      </w:r>
    </w:p>
    <w:p>
      <w:pPr>
        <w:pStyle w:val="Normal"/>
        <w:rPr/>
      </w:pPr>
      <w:r>
        <w:rPr/>
        <w:t>用户名单只列出港股</w:t>
      </w:r>
      <w:r>
        <w:rPr/>
        <w:t>09969</w:t>
      </w:r>
      <w:r>
        <w:rPr/>
        <w:t>，但公司另有科创板人民币股票。九月月报列示香港已发行总股数</w:t>
      </w:r>
      <w:r>
        <w:rPr/>
        <w:t>14.96284235</w:t>
      </w:r>
      <w:r>
        <w:rPr/>
        <w:t>亿，其中库藏</w:t>
      </w:r>
      <w:r>
        <w:rPr/>
        <w:t>248.6</w:t>
      </w:r>
      <w:r>
        <w:rPr/>
        <w:t>万股；上海股份</w:t>
      </w:r>
      <w:r>
        <w:rPr/>
        <w:t>2.73403904</w:t>
      </w:r>
      <w:r>
        <w:rPr/>
        <w:t>亿。两地法定总股数</w:t>
      </w:r>
      <w:r>
        <w:rPr/>
        <w:t>17.69688139</w:t>
      </w:r>
      <w:r>
        <w:rPr/>
        <w:t>亿，扣法定库藏后为</w:t>
      </w:r>
      <w:r>
        <w:rPr/>
        <w:t>17.67202139</w:t>
      </w:r>
      <w:r>
        <w:rPr/>
        <w:t>亿。公司层面收入、研发、现金和债务必须先放在同一发行人模型中，再转换成港元每股价值，不能只除以香港公开流通股份。两地市场交易价可以不同，经济分母不能凭报价网站的市值字段选择。</w:t>
      </w:r>
    </w:p>
    <w:p>
      <w:pPr>
        <w:pStyle w:val="Normal"/>
        <w:rPr/>
      </w:pPr>
      <w:r>
        <w:rPr/>
        <w:t>中报用于计算每股收益的加权平均基本股数</w:t>
      </w:r>
      <w:r>
        <w:rPr/>
        <w:t>16.99507</w:t>
      </w:r>
      <w:r>
        <w:rPr/>
        <w:t>亿、稀释股数</w:t>
      </w:r>
      <w:r>
        <w:rPr/>
        <w:t>17.18016</w:t>
      </w:r>
      <w:r>
        <w:rPr/>
        <w:t>亿，和期末法定股数并不相同。约</w:t>
      </w:r>
      <w:r>
        <w:rPr/>
        <w:t>6188</w:t>
      </w:r>
      <w:r>
        <w:rPr/>
        <w:t>万股已为激励计划预留在信托中，未归属时对财报分母的处理与法定发行数有区别。对多年估值而言，员工将来取得这些经济权益的可能性不能永远忽略。本模型年底稀释分母</w:t>
      </w:r>
      <w:r>
        <w:rPr/>
        <w:t>17.72</w:t>
      </w:r>
      <w:r>
        <w:rPr/>
        <w:t>亿，再按情景增加；既有港股信托转让不直接当作新发行，科创板新股奖励和后续融资则另进分母。</w:t>
      </w:r>
    </w:p>
    <w:p>
      <w:pPr>
        <w:pStyle w:val="Normal"/>
        <w:rPr/>
      </w:pPr>
      <w:r>
        <w:rPr/>
        <w:t>公司主线可以分成两个相互支持的系统。第一个是血液瘤商业基础：奥布替尼负责现有现金收入，坦昔妥单抗和佐来曲替尼扩展医生覆盖，</w:t>
      </w:r>
      <w:r>
        <w:rPr/>
        <w:t>ICP-248</w:t>
      </w:r>
      <w:r>
        <w:rPr/>
        <w:t>尝试把单药销售升级为深度缓解的固定疗程组合。第二个是自免研发矩阵：</w:t>
      </w:r>
      <w:r>
        <w:rPr/>
        <w:t>BTK</w:t>
      </w:r>
      <w:r>
        <w:rPr/>
        <w:t>、</w:t>
      </w:r>
      <w:r>
        <w:rPr/>
        <w:t>TYK2</w:t>
      </w:r>
      <w:r>
        <w:rPr/>
        <w:t>及更早期新机制，试图把小分子能力迁移到慢性疾病。两个系统共享发现、临床和销售能力，但病人、终点、竞争者和支付路径不同，不能通过一个统一增长率替代分别判断。</w:t>
      </w:r>
    </w:p>
    <w:p>
      <w:pPr>
        <w:pStyle w:val="Heading2"/>
        <w:rPr/>
      </w:pPr>
      <w:r>
        <w:rPr>
          <w:color w:val="000000"/>
        </w:rPr>
        <w:t>二 商业基础 奥布替尼为何有价值 以及价值在哪里受限</w:t>
      </w:r>
    </w:p>
    <w:p>
      <w:pPr>
        <w:pStyle w:val="Normal"/>
        <w:rPr/>
      </w:pPr>
      <w:r>
        <w:rPr/>
        <w:t>奥布替尼是公司当前最清晰的商业化资产。中报指出，一线</w:t>
      </w:r>
      <w:r>
        <w:rPr/>
        <w:t>CLL/SLL</w:t>
      </w:r>
      <w:r>
        <w:rPr/>
        <w:t>批准并纳入医保，扩大可治疗人群；复发难治边缘区淋巴瘤仍提供差异化定位；指南推荐更新以及医院覆盖推动医生使用。它在中国的业务有实际产品、监管基础和重复处方，和完全依赖未来临床成功的项目相比，收入可信度更高。</w:t>
      </w:r>
      <w:r>
        <w:rPr/>
        <w:t>2026</w:t>
      </w:r>
      <w:r>
        <w:rPr/>
        <w:t>年上半年总产品收入</w:t>
      </w:r>
      <w:r>
        <w:rPr/>
        <w:t>9.18142</w:t>
      </w:r>
      <w:r>
        <w:rPr/>
        <w:t>亿元，同比增长</w:t>
      </w:r>
      <w:r>
        <w:rPr/>
        <w:t>43.2%</w:t>
      </w:r>
      <w:r>
        <w:rPr/>
        <w:t>，显示商业系统正在扩大，但该总数还包括新上市品种。</w:t>
      </w:r>
    </w:p>
    <w:p>
      <w:pPr>
        <w:pStyle w:val="Normal"/>
        <w:rPr/>
      </w:pPr>
      <w:r>
        <w:rPr/>
        <w:t>重要限制是中报没有提供足够细致、可统一核验的每个产品收入拆分。本模型</w:t>
      </w:r>
      <w:r>
        <w:rPr/>
        <w:t>2026</w:t>
      </w:r>
      <w:r>
        <w:rPr/>
        <w:t>基准奥布替尼</w:t>
      </w:r>
      <w:r>
        <w:rPr/>
        <w:t>18.7</w:t>
      </w:r>
      <w:r>
        <w:rPr/>
        <w:t>亿元、坦昔妥</w:t>
      </w:r>
      <w:r>
        <w:rPr/>
        <w:t>1</w:t>
      </w:r>
      <w:r>
        <w:rPr/>
        <w:t>亿元、佐来</w:t>
      </w:r>
      <w:r>
        <w:rPr/>
        <w:t>0.8</w:t>
      </w:r>
      <w:r>
        <w:rPr/>
        <w:t>亿元，是为估值设置的年度研究路径，不能表述为公司已披露全年收入。三者合计</w:t>
      </w:r>
      <w:r>
        <w:rPr/>
        <w:t>20.5</w:t>
      </w:r>
      <w:r>
        <w:rPr/>
        <w:t>亿元，加服务后总既有经济收入</w:t>
      </w:r>
      <w:r>
        <w:rPr/>
        <w:t>20.63</w:t>
      </w:r>
      <w:r>
        <w:rPr/>
        <w:t>亿元；相对于上半年</w:t>
      </w:r>
      <w:r>
        <w:rPr/>
        <w:t>9.18</w:t>
      </w:r>
      <w:r>
        <w:rPr/>
        <w:t>亿元产品销售，这一路径要求下半年继续增长。既有品种的贡献比例一旦披露，应以原公告替换，而非把本章假设反写成历史事实。</w:t>
      </w:r>
    </w:p>
    <w:p>
      <w:pPr>
        <w:pStyle w:val="Normal"/>
        <w:rPr/>
      </w:pPr>
      <w:r>
        <w:rPr/>
        <w:t>奥布替尼未来收入由新患者进入、医生选择、价格、治疗持续时间和停药率共同构成。医保准入通常扩大处方量，同时压低单患者净收入；临床疗效与耐受性改善可能延长用药，但疾病进展、竞争产品和联合固定疗程也可能缩短持续收入。模型基准既有肿瘤业务从</w:t>
      </w:r>
      <w:r>
        <w:rPr/>
        <w:t>18.7</w:t>
      </w:r>
      <w:r>
        <w:rPr/>
        <w:t>亿元增长至</w:t>
      </w:r>
      <w:r>
        <w:rPr/>
        <w:t>2032</w:t>
      </w:r>
      <w:r>
        <w:rPr/>
        <w:t>年的</w:t>
      </w:r>
      <w:r>
        <w:rPr/>
        <w:t>37.2</w:t>
      </w:r>
      <w:r>
        <w:rPr/>
        <w:t>亿元，悲观最高仅约</w:t>
      </w:r>
      <w:r>
        <w:rPr/>
        <w:t>19.5</w:t>
      </w:r>
      <w:r>
        <w:rPr/>
        <w:t>亿元后回落，乐观达</w:t>
      </w:r>
      <w:r>
        <w:rPr/>
        <w:t>53</w:t>
      </w:r>
      <w:r>
        <w:rPr/>
        <w:t>亿元。这个分歧是对可达份额与净价格的判断，不能等同于患者人数预测。</w:t>
      </w:r>
    </w:p>
    <w:p>
      <w:pPr>
        <w:pStyle w:val="Normal"/>
        <w:rPr/>
      </w:pPr>
      <w:r>
        <w:rPr/>
        <w:t>血液瘤领域已有强大国际和国内</w:t>
      </w:r>
      <w:r>
        <w:rPr/>
        <w:t>BTK</w:t>
      </w:r>
      <w:r>
        <w:rPr/>
        <w:t>竞争者，医生选药还会参考不同分子安全性、长期随访、联合证据、耐药后的治疗顺序以及药物相互作用。公司在某些适应症拥有明确位置，并不意味着所有</w:t>
      </w:r>
      <w:r>
        <w:rPr/>
        <w:t>CLL</w:t>
      </w:r>
      <w:r>
        <w:rPr/>
        <w:t>、</w:t>
      </w:r>
      <w:r>
        <w:rPr/>
        <w:t>MCL</w:t>
      </w:r>
      <w:r>
        <w:rPr/>
        <w:t>与</w:t>
      </w:r>
      <w:r>
        <w:rPr/>
        <w:t>MZL</w:t>
      </w:r>
      <w:r>
        <w:rPr/>
        <w:t>都归公司。指南中的一级或二级推荐也是临床选择证据，不自动等于独占批准标签。本模型把当前业务与新一线</w:t>
      </w:r>
      <w:r>
        <w:rPr/>
        <w:t>MCL</w:t>
      </w:r>
      <w:r>
        <w:rPr/>
        <w:t>增量分开，避免将同一病人在既有收入、指南扩展及新药组合中重复计算。</w:t>
      </w:r>
    </w:p>
    <w:p>
      <w:pPr>
        <w:pStyle w:val="Normal"/>
        <w:rPr/>
      </w:pPr>
      <w:r>
        <w:rPr/>
        <w:t>其海外版图必须按标签逐一辨认。截止日，中报提到澳洲复发难治</w:t>
      </w:r>
      <w:r>
        <w:rPr/>
        <w:t>MCL</w:t>
      </w:r>
      <w:r>
        <w:rPr/>
        <w:t>和新加坡复发难治</w:t>
      </w:r>
      <w:r>
        <w:rPr/>
        <w:t>MZL</w:t>
      </w:r>
      <w:r>
        <w:rPr/>
        <w:t>批准，不能将此写为美国全面获批。海外肿瘤领域仍有更大空间，但注册成本、全球随机研究、医生渠道和支付谈判均需资源，本模型没有直接把美国血液瘤大市场赋予公司全部销售。这样可能低估远期成功的价值，却能把当下已有证据与未来选择权隔开，防止地域错配制造虚假的低估值。</w:t>
      </w:r>
    </w:p>
    <w:p>
      <w:pPr>
        <w:pStyle w:val="Heading2"/>
        <w:rPr/>
      </w:pPr>
      <w:r>
        <w:rPr>
          <w:color w:val="000000"/>
        </w:rPr>
        <w:t>三 新上市商业化品种 增长需要净经济权利支持</w:t>
      </w:r>
    </w:p>
    <w:p>
      <w:pPr>
        <w:pStyle w:val="Normal"/>
        <w:rPr/>
      </w:pPr>
      <w:r>
        <w:rPr/>
        <w:t>坦昔妥单抗</w:t>
      </w:r>
      <w:r>
        <w:rPr/>
        <w:t>2025</w:t>
      </w:r>
      <w:r>
        <w:rPr/>
        <w:t>年</w:t>
      </w:r>
      <w:r>
        <w:rPr/>
        <w:t>5</w:t>
      </w:r>
      <w:r>
        <w:rPr/>
        <w:t>月获中国批准，与来那度胺联用于不适合自体干细胞移植的复发难治</w:t>
      </w:r>
      <w:r>
        <w:rPr/>
        <w:t>DLBCL</w:t>
      </w:r>
      <w:r>
        <w:rPr/>
        <w:t>成人，</w:t>
      </w:r>
      <w:r>
        <w:rPr/>
        <w:t>2025</w:t>
      </w:r>
      <w:r>
        <w:rPr/>
        <w:t>年</w:t>
      </w:r>
      <w:r>
        <w:rPr/>
        <w:t>9</w:t>
      </w:r>
      <w:r>
        <w:rPr/>
        <w:t>月商业上市。</w:t>
      </w:r>
      <w:r>
        <w:rPr/>
        <w:t>2026</w:t>
      </w:r>
      <w:r>
        <w:rPr/>
        <w:t>年是首个完整商业年度，因此医生教育、院内准入、药物供应和患者支付会使季度表现具有爬坡特征。中报披露中国单臂研究</w:t>
      </w:r>
      <w:r>
        <w:rPr/>
        <w:t>ORR73.1%</w:t>
      </w:r>
      <w:r>
        <w:rPr/>
        <w:t>、完全缓解</w:t>
      </w:r>
      <w:r>
        <w:rPr/>
        <w:t>34.6%</w:t>
      </w:r>
      <w:r>
        <w:rPr/>
        <w:t>，可支持临床活性判断；但单臂结果不能直接证明相对于当前所有二线治疗有生存优势，估值要保留竞争选择的不确定性。</w:t>
      </w:r>
    </w:p>
    <w:p>
      <w:pPr>
        <w:pStyle w:val="Normal"/>
        <w:rPr/>
      </w:pPr>
      <w:r>
        <w:rPr/>
        <w:t>全球</w:t>
      </w:r>
      <w:r>
        <w:rPr/>
        <w:t>frontMIND</w:t>
      </w:r>
      <w:r>
        <w:rPr/>
        <w:t>三期显示一线组合</w:t>
      </w:r>
      <w:r>
        <w:rPr/>
        <w:t>PFS</w:t>
      </w:r>
      <w:r>
        <w:rPr/>
        <w:t>改善，为生命周期扩展提供证据，然而全球研究成功、外国批准和诺诚中国权益是三件事。国外批准的滤泡淋巴瘤适应症也不能立即成为国内可销售标签。模型既有坦昔妥收入只对应已建立的本地商业业务，未来峰值受净经济权利和分成约束；毛利基准仅</w:t>
      </w:r>
      <w:r>
        <w:rPr/>
        <w:t>60%</w:t>
      </w:r>
      <w:r>
        <w:rPr/>
        <w:t>，明显低于自研奥布替尼。这个差异体现许可引进、供应成本和合作经济权利，精确条款不足时不假装所有终端销售都成为母公司净现金。</w:t>
      </w:r>
    </w:p>
    <w:p>
      <w:pPr>
        <w:pStyle w:val="Normal"/>
        <w:rPr/>
      </w:pPr>
      <w:r>
        <w:rPr/>
        <w:t>佐来曲替尼是第二代泛</w:t>
      </w:r>
      <w:r>
        <w:rPr/>
        <w:t>TRK</w:t>
      </w:r>
      <w:r>
        <w:rPr/>
        <w:t>抑制剂，</w:t>
      </w:r>
      <w:r>
        <w:rPr/>
        <w:t>2025</w:t>
      </w:r>
      <w:r>
        <w:rPr/>
        <w:t>年</w:t>
      </w:r>
      <w:r>
        <w:rPr/>
        <w:t>12</w:t>
      </w:r>
      <w:r>
        <w:rPr/>
        <w:t>月获中国批准用于</w:t>
      </w:r>
      <w:r>
        <w:rPr/>
        <w:t>NTRK</w:t>
      </w:r>
      <w:r>
        <w:rPr/>
        <w:t>融合阳性成人及青少年肿瘤。中报介绍注册性二期</w:t>
      </w:r>
      <w:r>
        <w:rPr/>
        <w:t>IRC</w:t>
      </w:r>
      <w:r>
        <w:rPr/>
        <w:t>评估</w:t>
      </w:r>
      <w:r>
        <w:rPr/>
        <w:t>ORR89.1%</w:t>
      </w:r>
      <w:r>
        <w:rPr/>
        <w:t>，并给出置信区间</w:t>
      </w:r>
      <w:r>
        <w:rPr/>
        <w:t>77.8%</w:t>
      </w:r>
      <w:r>
        <w:rPr/>
        <w:t>至</w:t>
      </w:r>
      <w:r>
        <w:rPr/>
        <w:t>95.9%</w:t>
      </w:r>
      <w:r>
        <w:rPr/>
        <w:t>。高缓解率对于分子筛选后的患者有意义，但</w:t>
      </w:r>
      <w:r>
        <w:rPr/>
        <w:t>NTRK</w:t>
      </w:r>
      <w:r>
        <w:rPr/>
        <w:t>融合属于较少见驱动异常，检测率、样本质量和医生转诊影响可治疗市场。不能拿全部实体瘤发病规模乘以该缓解率，得到一个与实际标签完全不相称的收入预测。</w:t>
      </w:r>
    </w:p>
    <w:p>
      <w:pPr>
        <w:pStyle w:val="Normal"/>
        <w:rPr/>
      </w:pPr>
      <w:r>
        <w:rPr/>
        <w:t>儿童补充适应症在截止日是申报及优先审评阶段，不是已经批准。它可以扩大可达病人群，但绝对人数、剂型、安全和长期随访仍影响商业贡献。模型对佐来</w:t>
      </w:r>
      <w:r>
        <w:rPr/>
        <w:t>2032</w:t>
      </w:r>
      <w:r>
        <w:rPr/>
        <w:t>基准收入</w:t>
      </w:r>
      <w:r>
        <w:rPr/>
        <w:t>5.5</w:t>
      </w:r>
      <w:r>
        <w:rPr/>
        <w:t>亿元、乐观</w:t>
      </w:r>
      <w:r>
        <w:rPr/>
        <w:t>10.4</w:t>
      </w:r>
      <w:r>
        <w:rPr/>
        <w:t>亿元、悲观</w:t>
      </w:r>
      <w:r>
        <w:rPr/>
        <w:t>1.2</w:t>
      </w:r>
      <w:r>
        <w:rPr/>
        <w:t>亿元，是罕见分子适应症产品的不同渗透路径。只要检测覆盖改善与真实世界持续疗效获得证实，可以提高增长；若临床使用因支付、耐药或同类竞争受限，则必须下调销量和峰值，而不只调整估值倍数。</w:t>
      </w:r>
    </w:p>
    <w:p>
      <w:pPr>
        <w:pStyle w:val="Normal"/>
        <w:rPr/>
      </w:pPr>
      <w:r>
        <w:rPr/>
        <w:t>新产品能够复用已有肿瘤销售系统，但不能把复用理解为零新增费用。每个新品仍需要医学事务、患者教育、渠道库存与适应症推广；新病种的专家网络也可能与</w:t>
      </w:r>
      <w:r>
        <w:rPr/>
        <w:t>BTK</w:t>
      </w:r>
      <w:r>
        <w:rPr/>
        <w:t>传统医生群不同。基准销售费用从</w:t>
      </w:r>
      <w:r>
        <w:rPr/>
        <w:t>2026</w:t>
      </w:r>
      <w:r>
        <w:rPr/>
        <w:t>年</w:t>
      </w:r>
      <w:r>
        <w:rPr/>
        <w:t>5.7</w:t>
      </w:r>
      <w:r>
        <w:rPr/>
        <w:t>亿元增至</w:t>
      </w:r>
      <w:r>
        <w:rPr/>
        <w:t>2032</w:t>
      </w:r>
      <w:r>
        <w:rPr/>
        <w:t>年</w:t>
      </w:r>
      <w:r>
        <w:rPr/>
        <w:t>12.8</w:t>
      </w:r>
      <w:r>
        <w:rPr/>
        <w:t>亿元，行政从</w:t>
      </w:r>
      <w:r>
        <w:rPr/>
        <w:t>2.3</w:t>
      </w:r>
      <w:r>
        <w:rPr/>
        <w:t>亿元增至</w:t>
      </w:r>
      <w:r>
        <w:rPr/>
        <w:t>3.5</w:t>
      </w:r>
      <w:r>
        <w:rPr/>
        <w:t>亿元。产品增长若快于费用，经营杠杆有机会兑现；若商业团队扩张先于处方、医保谈判又压价，营收上升可能伴随自由现金下降。</w:t>
      </w:r>
    </w:p>
    <w:p>
      <w:pPr>
        <w:pStyle w:val="Heading2"/>
        <w:rPr/>
      </w:pPr>
      <w:r>
        <w:rPr>
          <w:color w:val="000000"/>
        </w:rPr>
        <w:t xml:space="preserve">四 </w:t>
      </w:r>
      <w:r>
        <w:rPr>
          <w:color w:val="000000"/>
        </w:rPr>
        <w:t xml:space="preserve">ICP 248 </w:t>
      </w:r>
      <w:r>
        <w:rPr>
          <w:color w:val="000000"/>
        </w:rPr>
        <w:t>最有潜力的血液瘤第二支柱仍需要随机证据</w:t>
      </w:r>
    </w:p>
    <w:p>
      <w:pPr>
        <w:pStyle w:val="Normal"/>
        <w:rPr/>
      </w:pPr>
      <w:r>
        <w:rPr/>
        <w:t>Mesutoclax</w:t>
      </w:r>
      <w:r>
        <w:rPr/>
        <w:t>即</w:t>
      </w:r>
      <w:r>
        <w:rPr/>
        <w:t>ICP-248</w:t>
      </w:r>
      <w:r>
        <w:rPr/>
        <w:t>，是高选择性</w:t>
      </w:r>
      <w:r>
        <w:rPr/>
        <w:t>BCL-2</w:t>
      </w:r>
      <w:r>
        <w:rPr/>
        <w:t>抑制剂。中报列出七项临床试验、四项注册性研究，包括与奥布替尼的一线</w:t>
      </w:r>
      <w:r>
        <w:rPr/>
        <w:t>CLL</w:t>
      </w:r>
      <w:r>
        <w:rPr/>
        <w:t>固定疗程组合、</w:t>
      </w:r>
      <w:r>
        <w:rPr/>
        <w:t>BTK</w:t>
      </w:r>
      <w:r>
        <w:rPr/>
        <w:t>治疗后</w:t>
      </w:r>
      <w:r>
        <w:rPr/>
        <w:t>MCL</w:t>
      </w:r>
      <w:r>
        <w:rPr/>
        <w:t>注册性二期、复发难治</w:t>
      </w:r>
      <w:r>
        <w:rPr/>
        <w:t>MCL</w:t>
      </w:r>
      <w:r>
        <w:rPr/>
        <w:t>随机三期以及与维奈克拉比较的</w:t>
      </w:r>
      <w:r>
        <w:rPr/>
        <w:t>AML</w:t>
      </w:r>
      <w:r>
        <w:rPr/>
        <w:t>研究。这个组合使公司有机会从连续</w:t>
      </w:r>
      <w:r>
        <w:rPr/>
        <w:t>BTK</w:t>
      </w:r>
      <w:r>
        <w:rPr/>
        <w:t>单药转换到全口服深度缓解方案，并扩大患者治疗顺序覆盖。价值不在试验数量本身，而在能否证明缓解深度、持续性、安全和治疗成本共同改善。</w:t>
      </w:r>
    </w:p>
    <w:p>
      <w:pPr>
        <w:pStyle w:val="Normal"/>
        <w:rPr/>
      </w:pPr>
      <w:r>
        <w:rPr/>
        <w:t>一线</w:t>
      </w:r>
      <w:r>
        <w:rPr/>
        <w:t>CLL</w:t>
      </w:r>
      <w:r>
        <w:rPr/>
        <w:t>研究的三期入组于</w:t>
      </w:r>
      <w:r>
        <w:rPr/>
        <w:t>2026</w:t>
      </w:r>
      <w:r>
        <w:rPr/>
        <w:t>年</w:t>
      </w:r>
      <w:r>
        <w:rPr/>
        <w:t>2</w:t>
      </w:r>
      <w:r>
        <w:rPr/>
        <w:t>月完成，说明临床执行效率，但完成入组不是取得主要终点。截止日公开的二期</w:t>
      </w:r>
      <w:r>
        <w:rPr/>
        <w:t>125</w:t>
      </w:r>
      <w:r>
        <w:rPr/>
        <w:t>毫克组合数据包括</w:t>
      </w:r>
      <w:r>
        <w:rPr/>
        <w:t>ORR100%</w:t>
      </w:r>
      <w:r>
        <w:rPr/>
        <w:t>、完全缓解</w:t>
      </w:r>
      <w:r>
        <w:rPr/>
        <w:t>52.4%</w:t>
      </w:r>
      <w:r>
        <w:rPr/>
        <w:t>、</w:t>
      </w:r>
      <w:r>
        <w:rPr/>
        <w:t>36</w:t>
      </w:r>
      <w:r>
        <w:rPr/>
        <w:t>周外周血</w:t>
      </w:r>
      <w:r>
        <w:rPr/>
        <w:t>uMRD65%</w:t>
      </w:r>
      <w:r>
        <w:rPr/>
        <w:t>、十二个月</w:t>
      </w:r>
      <w:r>
        <w:rPr/>
        <w:t>PFS100%</w:t>
      </w:r>
      <w:r>
        <w:rPr/>
        <w:t>。这些数据值得重视，也必须结合样本规模、选择条件、随访成熟度和是否随机来看。百分之百反应率在小样本中容易造成直观冲击，不能当作对真实临床人群长期失败率为零的证明。</w:t>
      </w:r>
    </w:p>
    <w:p>
      <w:pPr>
        <w:pStyle w:val="Normal"/>
        <w:rPr/>
      </w:pPr>
      <w:r>
        <w:rPr/>
        <w:t>固定疗程具有明显患者价值：若在有限治疗后维持深度缓解，可减少长期服药负担，并改善费用和依从性。但对公司经济价值存在两面性。组合可能吸引更多患者和更高总净收入，也可能缩短奥布替尼连续服用时间，替代原本的多年单药收入。因此模型</w:t>
      </w:r>
      <w:r>
        <w:rPr/>
        <w:t>CLL</w:t>
      </w:r>
      <w:r>
        <w:rPr/>
        <w:t>项目只为</w:t>
      </w:r>
      <w:r>
        <w:rPr/>
        <w:t>ICP-248</w:t>
      </w:r>
      <w:r>
        <w:rPr/>
        <w:t>自身药物收入设峰值，奥布替尼成分仍留在原商业模型；没有再次把整个组合销售加到两种药各自的收入中，这避免把协同效应夸成双倍市场。</w:t>
      </w:r>
    </w:p>
    <w:p>
      <w:pPr>
        <w:pStyle w:val="Normal"/>
        <w:rPr/>
      </w:pPr>
      <w:r>
        <w:rPr/>
        <w:t>AML</w:t>
      </w:r>
      <w:r>
        <w:rPr/>
        <w:t>领域中报有</w:t>
      </w:r>
      <w:r>
        <w:rPr/>
        <w:t>44</w:t>
      </w:r>
      <w:r>
        <w:rPr/>
        <w:t>名可评估初治患者，复合完全缓解</w:t>
      </w:r>
      <w:r>
        <w:rPr/>
        <w:t>81.8%</w:t>
      </w:r>
      <w:r>
        <w:rPr/>
        <w:t>、完全缓解</w:t>
      </w:r>
      <w:r>
        <w:rPr/>
        <w:t>63.6%</w:t>
      </w:r>
      <w:r>
        <w:rPr/>
        <w:t>、六个月</w:t>
      </w:r>
      <w:r>
        <w:rPr/>
        <w:t>OS90.5%</w:t>
      </w:r>
      <w:r>
        <w:rPr/>
        <w:t>，与阿扎胞苷联合显示活性。然而这些结果不能跨试验直接证明优于维奈克拉，年龄、疾病风险、分子状态、支持治疗和入组标准都影响结果。头对头三期的随机证据更能决定替代能力。模型基准</w:t>
      </w:r>
      <w:r>
        <w:rPr/>
        <w:t>AML</w:t>
      </w:r>
      <w:r>
        <w:rPr/>
        <w:t>成功因子</w:t>
      </w:r>
      <w:r>
        <w:rPr/>
        <w:t>48%</w:t>
      </w:r>
      <w:r>
        <w:rPr/>
        <w:t>，比已达主要终点的</w:t>
      </w:r>
      <w:r>
        <w:rPr/>
        <w:t>TYK2</w:t>
      </w:r>
      <w:r>
        <w:rPr/>
        <w:t>项目低，反映尚缺注册性疗效和安全性成熟验证，而不是将所有三期项目套同一概率。</w:t>
      </w:r>
    </w:p>
    <w:p>
      <w:pPr>
        <w:pStyle w:val="Normal"/>
        <w:rPr/>
      </w:pPr>
      <w:r>
        <w:rPr/>
        <w:t>CLL</w:t>
      </w:r>
      <w:r>
        <w:rPr/>
        <w:t>、</w:t>
      </w:r>
      <w:r>
        <w:rPr/>
        <w:t>MCL</w:t>
      </w:r>
      <w:r>
        <w:rPr/>
        <w:t>与</w:t>
      </w:r>
      <w:r>
        <w:rPr/>
        <w:t>AML</w:t>
      </w:r>
      <w:r>
        <w:rPr/>
        <w:t>本章分别设定峰值和上市年，既反映患者群不同，也反映研究证据的差异。基准</w:t>
      </w:r>
      <w:r>
        <w:rPr/>
        <w:t>CLL</w:t>
      </w:r>
      <w:r>
        <w:rPr/>
        <w:t>首商业年</w:t>
      </w:r>
      <w:r>
        <w:rPr/>
        <w:t>2028</w:t>
      </w:r>
      <w:r>
        <w:rPr/>
        <w:t>、峰值</w:t>
      </w:r>
      <w:r>
        <w:rPr/>
        <w:t>13</w:t>
      </w:r>
      <w:r>
        <w:rPr/>
        <w:t>亿元；</w:t>
      </w:r>
      <w:r>
        <w:rPr/>
        <w:t>MCL</w:t>
      </w:r>
      <w:r>
        <w:rPr/>
        <w:t>同年、峰值</w:t>
      </w:r>
      <w:r>
        <w:rPr/>
        <w:t>5</w:t>
      </w:r>
      <w:r>
        <w:rPr/>
        <w:t>亿元；</w:t>
      </w:r>
      <w:r>
        <w:rPr/>
        <w:t>AML2030</w:t>
      </w:r>
      <w:r>
        <w:rPr/>
        <w:t>、峰值</w:t>
      </w:r>
      <w:r>
        <w:rPr/>
        <w:t>10</w:t>
      </w:r>
      <w:r>
        <w:rPr/>
        <w:t>亿元。对应风险因子</w:t>
      </w:r>
      <w:r>
        <w:rPr/>
        <w:t>65%</w:t>
      </w:r>
      <w:r>
        <w:rPr/>
        <w:t>、</w:t>
      </w:r>
      <w:r>
        <w:rPr/>
        <w:t>67%</w:t>
      </w:r>
      <w:r>
        <w:rPr/>
        <w:t>、</w:t>
      </w:r>
      <w:r>
        <w:rPr/>
        <w:t>48%</w:t>
      </w:r>
      <w:r>
        <w:rPr/>
        <w:t>。这些峰值是成功后名义年收入，再乘风险因子进入模型，不能把风险后的数重新乘一个“公司成功率”。悲观延迟与份额下降共同发生，乐观需要随机研究支持，绝不只靠早期高</w:t>
      </w:r>
      <w:r>
        <w:rPr/>
        <w:t>ORR</w:t>
      </w:r>
      <w:r>
        <w:rPr/>
        <w:t>升级。</w:t>
      </w:r>
    </w:p>
    <w:p>
      <w:pPr>
        <w:pStyle w:val="Normal"/>
        <w:rPr/>
      </w:pPr>
      <w:r>
        <w:rPr/>
        <w:t>ICP-248</w:t>
      </w:r>
      <w:r>
        <w:rPr/>
        <w:t>可以推翻推荐的变化包括关键三期未达终点、严重感染或骨髓抑制等风险改变获益平衡、固定疗程深度缓解无法持续、与现有疗法相比只有有限改进，以及竞争者先达到相同效果。即使临床成功，若医保净价低于假设、使用主要替代公司已有产品、或者国际开发需要超预算投入，每股价值仍可能低于本章基准。临床成功和投资成功相关，但不相同；模型应同时修改概率、峰值、费用、上市年和股数，而非只改新闻标题。</w:t>
      </w:r>
    </w:p>
    <w:p>
      <w:pPr>
        <w:pStyle w:val="Heading2"/>
        <w:rPr/>
      </w:pPr>
      <w:r>
        <w:rPr>
          <w:color w:val="000000"/>
        </w:rPr>
        <w:t>五 奥布替尼自免拓展及</w:t>
      </w:r>
      <w:r>
        <w:rPr>
          <w:color w:val="000000"/>
        </w:rPr>
        <w:t>Zenas</w:t>
      </w:r>
      <w:r>
        <w:rPr>
          <w:color w:val="000000"/>
        </w:rPr>
        <w:t>合同 地域是估值核心</w:t>
      </w:r>
    </w:p>
    <w:p>
      <w:pPr>
        <w:pStyle w:val="Normal"/>
        <w:rPr/>
      </w:pPr>
      <w:r>
        <w:rPr/>
        <w:t>奥布替尼用于</w:t>
      </w:r>
      <w:r>
        <w:rPr/>
        <w:t>ITP</w:t>
      </w:r>
      <w:r>
        <w:rPr/>
        <w:t>的新药申请</w:t>
      </w:r>
      <w:r>
        <w:rPr/>
        <w:t>2026</w:t>
      </w:r>
      <w:r>
        <w:rPr/>
        <w:t>年</w:t>
      </w:r>
      <w:r>
        <w:rPr/>
        <w:t>5</w:t>
      </w:r>
      <w:r>
        <w:rPr/>
        <w:t>月获受理，是从肿瘤扩展到自身免疫的重要进程。它可能把现有小分子制造和药理能力转化为新病种收入，但受理不等于批准，更不等于医保覆盖和广泛处方。</w:t>
      </w:r>
      <w:r>
        <w:rPr/>
        <w:t>ITP</w:t>
      </w:r>
      <w:r>
        <w:rPr/>
        <w:t>患者的既往治疗、血小板反应持续性、出血事件、感染及长期安全性均影响临床地位。本模型中国</w:t>
      </w:r>
      <w:r>
        <w:rPr/>
        <w:t>ITP</w:t>
      </w:r>
      <w:r>
        <w:rPr/>
        <w:t>基准</w:t>
      </w:r>
      <w:r>
        <w:rPr/>
        <w:t>2027</w:t>
      </w:r>
      <w:r>
        <w:rPr/>
        <w:t>首商业年、</w:t>
      </w:r>
      <w:r>
        <w:rPr/>
        <w:t>9</w:t>
      </w:r>
      <w:r>
        <w:rPr/>
        <w:t>亿元峰值、</w:t>
      </w:r>
      <w:r>
        <w:rPr/>
        <w:t>80%</w:t>
      </w:r>
      <w:r>
        <w:rPr/>
        <w:t>风险因子，保留审评与证据的不确定性，未假设所有潜在患者转换。</w:t>
      </w:r>
    </w:p>
    <w:p>
      <w:pPr>
        <w:pStyle w:val="Normal"/>
        <w:rPr/>
      </w:pPr>
      <w:r>
        <w:rPr/>
        <w:t>SLE</w:t>
      </w:r>
      <w:r>
        <w:rPr/>
        <w:t>二期在严格类固醇减量要求下，</w:t>
      </w:r>
      <w:r>
        <w:rPr/>
        <w:t>75</w:t>
      </w:r>
      <w:r>
        <w:rPr/>
        <w:t>毫克组</w:t>
      </w:r>
      <w:r>
        <w:rPr/>
        <w:t>48</w:t>
      </w:r>
      <w:r>
        <w:rPr/>
        <w:t>周</w:t>
      </w:r>
      <w:r>
        <w:rPr/>
        <w:t>SRI-4</w:t>
      </w:r>
      <w:r>
        <w:rPr/>
        <w:t>反应</w:t>
      </w:r>
      <w:r>
        <w:rPr/>
        <w:t>57.1%</w:t>
      </w:r>
      <w:r>
        <w:rPr/>
        <w:t>，安慰剂</w:t>
      </w:r>
      <w:r>
        <w:rPr/>
        <w:t>34.4%</w:t>
      </w:r>
      <w:r>
        <w:rPr/>
        <w:t>；中报还介绍疾病活动较高亚组改善，以及降至每日不超过</w:t>
      </w:r>
      <w:r>
        <w:rPr/>
        <w:t>7.5</w:t>
      </w:r>
      <w:r>
        <w:rPr/>
        <w:t>毫克类固醇的比例。随机二期信号为进一步开发提供支持，但亚组与全体结果要分别阅读，不能选最强亚组作为未来全人群平均效果。三期首例</w:t>
      </w:r>
      <w:r>
        <w:rPr/>
        <w:t>2026</w:t>
      </w:r>
      <w:r>
        <w:rPr/>
        <w:t>年</w:t>
      </w:r>
      <w:r>
        <w:rPr/>
        <w:t>4</w:t>
      </w:r>
      <w:r>
        <w:rPr/>
        <w:t>月入组，距离成熟主要终点仍有时间，本章基准</w:t>
      </w:r>
      <w:r>
        <w:rPr/>
        <w:t>2029</w:t>
      </w:r>
      <w:r>
        <w:rPr/>
        <w:t>商业年与</w:t>
      </w:r>
      <w:r>
        <w:rPr/>
        <w:t>55%</w:t>
      </w:r>
      <w:r>
        <w:rPr/>
        <w:t>风险因子反映这一阶段差距。</w:t>
      </w:r>
    </w:p>
    <w:p>
      <w:pPr>
        <w:pStyle w:val="Normal"/>
        <w:rPr/>
      </w:pPr>
      <w:r>
        <w:rPr/>
        <w:t>SLE</w:t>
      </w:r>
      <w:r>
        <w:rPr/>
        <w:t>的机会来自慢性病中减少活动、复发及激素负担，而挑战来自疾病异质性。相同药理机制可能对不同器官、不同背景治疗、不同疾病活动状态产生不同效果。患者与医生还会比较既有生物药、其他口服产品及多药联合的长期风险收益。模型</w:t>
      </w:r>
      <w:r>
        <w:rPr/>
        <w:t>SLE</w:t>
      </w:r>
      <w:r>
        <w:rPr/>
        <w:t>基准名义峰值</w:t>
      </w:r>
      <w:r>
        <w:rPr/>
        <w:t>14</w:t>
      </w:r>
      <w:r>
        <w:rPr/>
        <w:t>亿元，乐观</w:t>
      </w:r>
      <w:r>
        <w:rPr/>
        <w:t>27</w:t>
      </w:r>
      <w:r>
        <w:rPr/>
        <w:t>亿元，悲观</w:t>
      </w:r>
      <w:r>
        <w:rPr/>
        <w:t>5.5</w:t>
      </w:r>
      <w:r>
        <w:rPr/>
        <w:t>亿元，并未使用整个全球狼疮市场。若三期试验设计与二期差异使效果收窄，或者安全性限制广泛使用，不能因为二期成功而保留原峰值。</w:t>
      </w:r>
    </w:p>
    <w:p>
      <w:pPr>
        <w:pStyle w:val="Normal"/>
        <w:rPr/>
      </w:pPr>
      <w:r>
        <w:rPr/>
        <w:t>2025</w:t>
      </w:r>
      <w:r>
        <w:rPr/>
        <w:t>年</w:t>
      </w:r>
      <w:r>
        <w:rPr/>
        <w:t>10</w:t>
      </w:r>
      <w:r>
        <w:rPr/>
        <w:t>月</w:t>
      </w:r>
      <w:r>
        <w:rPr/>
        <w:t>8</w:t>
      </w:r>
      <w:r>
        <w:rPr/>
        <w:t>日</w:t>
      </w:r>
      <w:r>
        <w:rPr/>
        <w:t>Zenas</w:t>
      </w:r>
      <w:r>
        <w:rPr/>
        <w:t>许可原公告给出的权利边界尤为重要：奥布替尼的多发性硬化领域在全球许可给</w:t>
      </w:r>
      <w:r>
        <w:rPr/>
        <w:t>Zenas</w:t>
      </w:r>
      <w:r>
        <w:rPr/>
        <w:t>，全球范围包括中国；其他非肿瘤领域仅许可大中华及东南亚以外地区，诺诚保留全球肿瘤以及大中华、东南亚的其他非肿瘤权利。不能将“中国自免权益保留”笼统扩展为“中国</w:t>
      </w:r>
      <w:r>
        <w:rPr/>
        <w:t>MS</w:t>
      </w:r>
      <w:r>
        <w:rPr/>
        <w:t>直接销售保留”。本模型全球</w:t>
      </w:r>
      <w:r>
        <w:rPr/>
        <w:t>MS</w:t>
      </w:r>
      <w:r>
        <w:rPr/>
        <w:t>只计诺诚可取得的经济版税收入，不另加中国</w:t>
      </w:r>
      <w:r>
        <w:rPr/>
        <w:t>MS</w:t>
      </w:r>
      <w:r>
        <w:rPr/>
        <w:t>自销，直接消除一个常见地域重复估值错误。</w:t>
      </w:r>
    </w:p>
    <w:p>
      <w:pPr>
        <w:pStyle w:val="Normal"/>
        <w:rPr/>
      </w:pPr>
      <w:r>
        <w:rPr/>
        <w:t>Zenas</w:t>
      </w:r>
      <w:r>
        <w:rPr/>
        <w:t>合同还包括</w:t>
      </w:r>
      <w:r>
        <w:rPr/>
        <w:t>IL-17</w:t>
      </w:r>
      <w:r>
        <w:rPr/>
        <w:t>口服项目在大中华和东南亚之外的许可，以及另一脑渗透</w:t>
      </w:r>
      <w:r>
        <w:rPr/>
        <w:t>TYK2</w:t>
      </w:r>
      <w:r>
        <w:rPr/>
        <w:t>资产的全球许可。公告称现金首付及近期款合计最高</w:t>
      </w:r>
      <w:r>
        <w:rPr/>
        <w:t>1</w:t>
      </w:r>
      <w:r>
        <w:rPr/>
        <w:t>亿美元、最多七百万股</w:t>
      </w:r>
      <w:r>
        <w:rPr/>
        <w:t>Zenas</w:t>
      </w:r>
      <w:r>
        <w:rPr/>
        <w:t>普通股、总潜在交易超过</w:t>
      </w:r>
      <w:r>
        <w:rPr/>
        <w:t>20</w:t>
      </w:r>
      <w:r>
        <w:rPr/>
        <w:t>亿美元、分层版税可至高十位数百分比。上限不等于全部收到，也不是一个可直接加到市值的现金资产。每笔条件付款需要各自达成临床或商业条件，版税比例有阶梯和调整条款，本模型用可核验地域及保守经济收入假设，不创造未公开的确切档位。</w:t>
      </w:r>
    </w:p>
    <w:p>
      <w:pPr>
        <w:pStyle w:val="Normal"/>
        <w:rPr/>
      </w:pPr>
      <w:r>
        <w:rPr/>
        <w:t>全球</w:t>
      </w:r>
      <w:r>
        <w:rPr/>
        <w:t>PPMS</w:t>
      </w:r>
      <w:r>
        <w:rPr/>
        <w:t>和非活动性</w:t>
      </w:r>
      <w:r>
        <w:rPr/>
        <w:t>SPMS</w:t>
      </w:r>
      <w:r>
        <w:rPr/>
        <w:t>三期正在推进，是</w:t>
      </w:r>
      <w:r>
        <w:rPr/>
        <w:t>MS</w:t>
      </w:r>
      <w:r>
        <w:rPr/>
        <w:t>商业机会的核心，但截止日没有可用于假设已经成功的主要结果。慢性神经疾病试验需要长期随访，残疾进展、终点定义与背景治疗都会影响证据。对公司而言，合作可减少部分后期研发和海外商业负担，换来比直接销售低的收入参与比例。基准模型全球</w:t>
      </w:r>
      <w:r>
        <w:rPr/>
        <w:t>MS</w:t>
      </w:r>
      <w:r>
        <w:rPr/>
        <w:t>名义峰值指诺诚经济版税人民币</w:t>
      </w:r>
      <w:r>
        <w:rPr/>
        <w:t>9.5</w:t>
      </w:r>
      <w:r>
        <w:rPr/>
        <w:t>亿元，风险因子</w:t>
      </w:r>
      <w:r>
        <w:rPr/>
        <w:t>55%</w:t>
      </w:r>
      <w:r>
        <w:rPr/>
        <w:t>、</w:t>
      </w:r>
      <w:r>
        <w:rPr/>
        <w:t>2030</w:t>
      </w:r>
      <w:r>
        <w:rPr/>
        <w:t>首商业年；这个数不是全球终端产品销售，不能再乘版税比例一次。</w:t>
      </w:r>
    </w:p>
    <w:p>
      <w:pPr>
        <w:pStyle w:val="Heading2"/>
        <w:rPr/>
      </w:pPr>
      <w:r>
        <w:rPr>
          <w:color w:val="000000"/>
        </w:rPr>
        <w:t xml:space="preserve">六 </w:t>
      </w:r>
      <w:r>
        <w:rPr>
          <w:color w:val="000000"/>
        </w:rPr>
        <w:t>TYK2</w:t>
      </w:r>
      <w:r>
        <w:rPr>
          <w:color w:val="000000"/>
        </w:rPr>
        <w:t>矩阵 两条后期证据带来机会 也带来集中风险</w:t>
      </w:r>
    </w:p>
    <w:p>
      <w:pPr>
        <w:pStyle w:val="Normal"/>
        <w:rPr/>
      </w:pPr>
      <w:r>
        <w:rPr/>
        <w:t>Soficitinib</w:t>
      </w:r>
      <w:r>
        <w:rPr/>
        <w:t>即</w:t>
      </w:r>
      <w:r>
        <w:rPr/>
        <w:t>ICP-332</w:t>
      </w:r>
      <w:r>
        <w:rPr/>
        <w:t>用于中重度特应性皮炎三期，</w:t>
      </w:r>
      <w:r>
        <w:rPr/>
        <w:t>2026</w:t>
      </w:r>
      <w:r>
        <w:rPr/>
        <w:t>年</w:t>
      </w:r>
      <w:r>
        <w:rPr/>
        <w:t>7</w:t>
      </w:r>
      <w:r>
        <w:rPr/>
        <w:t>月</w:t>
      </w:r>
      <w:r>
        <w:rPr/>
        <w:t>15</w:t>
      </w:r>
      <w:r>
        <w:rPr/>
        <w:t>日公告主要终点成功，多个次要终点也达成，未观察到新的安全信号。它将公司自免体系从早期药理故事推进到注册性证据阶段。本章据此提高相对早期项目的风险因子，但仍保留长期安全、完整数据、注册审评和支付准入的不确定性。公告没有披露完整三期具体反应率，不能借用二期百分比冒充三期结果，也不能把“无新信号”写成绝对无风险。</w:t>
      </w:r>
    </w:p>
    <w:p>
      <w:pPr>
        <w:pStyle w:val="Normal"/>
        <w:rPr/>
      </w:pPr>
      <w:r>
        <w:rPr/>
        <w:t>公司计划完成</w:t>
      </w:r>
      <w:r>
        <w:rPr/>
        <w:t>52</w:t>
      </w:r>
      <w:r>
        <w:rPr/>
        <w:t>周安全随访后提交新药申请，说明申报还受观察时长约束。</w:t>
      </w:r>
      <w:r>
        <w:rPr/>
        <w:t>AD</w:t>
      </w:r>
      <w:r>
        <w:rPr/>
        <w:t>患者往往需要长期控制症状和瘙痒，医生会在疗效起效速度、长期复发控制、感染及实验室监测之间选择；患者还会比较注射生物药与口服治疗的方便性和成本。模型中国</w:t>
      </w:r>
      <w:r>
        <w:rPr/>
        <w:t>AD</w:t>
      </w:r>
      <w:r>
        <w:rPr/>
        <w:t>基准</w:t>
      </w:r>
      <w:r>
        <w:rPr/>
        <w:t>2028</w:t>
      </w:r>
      <w:r>
        <w:rPr/>
        <w:t>首商业年、名义峰值</w:t>
      </w:r>
      <w:r>
        <w:rPr/>
        <w:t>15.5</w:t>
      </w:r>
      <w:r>
        <w:rPr/>
        <w:t>亿元、风险因子</w:t>
      </w:r>
      <w:r>
        <w:rPr/>
        <w:t>82%</w:t>
      </w:r>
      <w:r>
        <w:rPr/>
        <w:t>，并不是药理选择性达标就自然获得市场。若长期安全导致标签收窄，估值应同时削减成功因子和可达份额。</w:t>
      </w:r>
    </w:p>
    <w:p>
      <w:pPr>
        <w:pStyle w:val="Normal"/>
        <w:rPr/>
      </w:pPr>
      <w:r>
        <w:rPr/>
        <w:t>口服</w:t>
      </w:r>
      <w:r>
        <w:rPr/>
        <w:t>TYK2</w:t>
      </w:r>
      <w:r>
        <w:rPr/>
        <w:t>与既有</w:t>
      </w:r>
      <w:r>
        <w:rPr/>
        <w:t>JAK</w:t>
      </w:r>
      <w:r>
        <w:rPr/>
        <w:t>产品不同的选择性，可能提供有吸引力的风险收益，但体外选择性并不能完全替代人类长期证据。中报提到对</w:t>
      </w:r>
      <w:r>
        <w:rPr/>
        <w:t>JAK2</w:t>
      </w:r>
      <w:r>
        <w:rPr/>
        <w:t>约四百倍选择性，这是药理特征；将其转换成“严重不良反应低四百倍”没有依据。生物学系统中的暴露、活性代谢物、受体通路和患者基础疾病都会改变实际效应。投资分析应观察试验中的感染、血液学、肝脏及其他安全结果，而不以一个机制倍数直接给长期商业质量满分。</w:t>
      </w:r>
    </w:p>
    <w:p>
      <w:pPr>
        <w:pStyle w:val="Normal"/>
        <w:rPr/>
      </w:pPr>
      <w:r>
        <w:rPr/>
        <w:t>ICP-332</w:t>
      </w:r>
      <w:r>
        <w:rPr/>
        <w:t>白癜风项目公告明确是适应性二</w:t>
      </w:r>
      <w:r>
        <w:rPr/>
        <w:t>/</w:t>
      </w:r>
      <w:r>
        <w:rPr/>
        <w:t>三期研究的二期部分。第</w:t>
      </w:r>
      <w:r>
        <w:rPr/>
        <w:t>24</w:t>
      </w:r>
      <w:r>
        <w:rPr/>
        <w:t>周</w:t>
      </w:r>
      <w:r>
        <w:rPr/>
        <w:t>80</w:t>
      </w:r>
      <w:r>
        <w:rPr/>
        <w:t>与</w:t>
      </w:r>
      <w:r>
        <w:rPr/>
        <w:t>120</w:t>
      </w:r>
      <w:r>
        <w:rPr/>
        <w:t>毫克组面部</w:t>
      </w:r>
      <w:r>
        <w:rPr/>
        <w:t>VASI</w:t>
      </w:r>
      <w:r>
        <w:rPr/>
        <w:t>最小二乘平均百分比改善</w:t>
      </w:r>
      <w:r>
        <w:rPr/>
        <w:t>38.8%</w:t>
      </w:r>
      <w:r>
        <w:rPr/>
        <w:t>和</w:t>
      </w:r>
      <w:r>
        <w:rPr/>
        <w:t>41.2%</w:t>
      </w:r>
      <w:r>
        <w:rPr/>
        <w:t>，安慰剂</w:t>
      </w:r>
      <w:r>
        <w:rPr/>
        <w:t>2.2%</w:t>
      </w:r>
      <w:r>
        <w:rPr/>
        <w:t>，两剂量组比较均有统计显著性。这里的指标是评分相对基线变化，不能误写成</w:t>
      </w:r>
      <w:r>
        <w:rPr/>
        <w:t>38.8%</w:t>
      </w:r>
      <w:r>
        <w:rPr/>
        <w:t>的病人完全复色，也不能称三期已成功。公司尚需与监管沟通三期设计，基准首商业年</w:t>
      </w:r>
      <w:r>
        <w:rPr/>
        <w:t>2030</w:t>
      </w:r>
      <w:r>
        <w:rPr/>
        <w:t>、风险因子</w:t>
      </w:r>
      <w:r>
        <w:rPr/>
        <w:t>55%</w:t>
      </w:r>
      <w:r>
        <w:rPr/>
        <w:t>、峰值</w:t>
      </w:r>
      <w:r>
        <w:rPr/>
        <w:t>9</w:t>
      </w:r>
      <w:r>
        <w:rPr/>
        <w:t>亿元，阶段比</w:t>
      </w:r>
      <w:r>
        <w:rPr/>
        <w:t>AD</w:t>
      </w:r>
      <w:r>
        <w:rPr/>
        <w:t>更早，分值和估值理应不同。</w:t>
      </w:r>
    </w:p>
    <w:p>
      <w:pPr>
        <w:pStyle w:val="Normal"/>
        <w:rPr/>
      </w:pPr>
      <w:r>
        <w:rPr/>
        <w:t>白癜风长期治疗还涉及复色维持、身体与面部差异、生活质量、光疗组合及患者支付。统计显著性与患者实际满意度有交集，但不能完全互换。较大市场需求不保证高持续处方率，慢性外观相关疾病在支付端也可能比严重系统疾病更敏感。若后续三期把指标和人群调整后不能复现二期改善，或者停药后效果快速消失，本章未来现金路径应下修；若持久复色与安全得到明确支持，则有理由上调成功因子与市场渗透。</w:t>
      </w:r>
    </w:p>
    <w:p>
      <w:pPr>
        <w:pStyle w:val="Normal"/>
        <w:rPr/>
      </w:pPr>
      <w:r>
        <w:rPr/>
        <w:t>Fadeucravacitinib</w:t>
      </w:r>
      <w:r>
        <w:rPr/>
        <w:t>即</w:t>
      </w:r>
      <w:r>
        <w:rPr/>
        <w:t>ICP-488</w:t>
      </w:r>
      <w:r>
        <w:rPr/>
        <w:t>是结合</w:t>
      </w:r>
      <w:r>
        <w:rPr/>
        <w:t>TYK2</w:t>
      </w:r>
      <w:r>
        <w:rPr/>
        <w:t>假激酶</w:t>
      </w:r>
      <w:r>
        <w:rPr/>
        <w:t>JH2</w:t>
      </w:r>
      <w:r>
        <w:rPr/>
        <w:t>的变构抑制剂，银屑病三期</w:t>
      </w:r>
      <w:r>
        <w:rPr/>
        <w:t>2026</w:t>
      </w:r>
      <w:r>
        <w:rPr/>
        <w:t>年</w:t>
      </w:r>
      <w:r>
        <w:rPr/>
        <w:t>7</w:t>
      </w:r>
      <w:r>
        <w:rPr/>
        <w:t>月</w:t>
      </w:r>
      <w:r>
        <w:rPr/>
        <w:t>27</w:t>
      </w:r>
      <w:r>
        <w:rPr/>
        <w:t>日公告达主要终点，详细疗效安全仍待后续披露。它与</w:t>
      </w:r>
      <w:r>
        <w:rPr/>
        <w:t>ICP-332</w:t>
      </w:r>
      <w:r>
        <w:rPr/>
        <w:t>的药理作用、目标病种和开发路径不同，不能只因为同属</w:t>
      </w:r>
      <w:r>
        <w:rPr/>
        <w:t>TYK2</w:t>
      </w:r>
      <w:r>
        <w:rPr/>
        <w:t>就合并为一项概率。模型银屑病基准</w:t>
      </w:r>
      <w:r>
        <w:rPr/>
        <w:t>2028</w:t>
      </w:r>
      <w:r>
        <w:rPr/>
        <w:t>商业、名义峰值</w:t>
      </w:r>
      <w:r>
        <w:rPr/>
        <w:t>15</w:t>
      </w:r>
      <w:r>
        <w:rPr/>
        <w:t>亿元、</w:t>
      </w:r>
      <w:r>
        <w:rPr/>
        <w:t>83%</w:t>
      </w:r>
      <w:r>
        <w:rPr/>
        <w:t>风险因子。</w:t>
      </w:r>
      <w:r>
        <w:rPr/>
        <w:t>CLE</w:t>
      </w:r>
      <w:r>
        <w:rPr/>
        <w:t>二期首例</w:t>
      </w:r>
      <w:r>
        <w:rPr/>
        <w:t>5</w:t>
      </w:r>
      <w:r>
        <w:rPr/>
        <w:t>月入组、风险因子仅</w:t>
      </w:r>
      <w:r>
        <w:rPr/>
        <w:t>36%</w:t>
      </w:r>
      <w:r>
        <w:rPr/>
        <w:t>，体现同一分子在一个适应症成功并不能保证另一个适应症有效。</w:t>
      </w:r>
    </w:p>
    <w:p>
      <w:pPr>
        <w:pStyle w:val="Normal"/>
        <w:rPr/>
      </w:pPr>
      <w:r>
        <w:rPr/>
        <w:t>两款</w:t>
      </w:r>
      <w:r>
        <w:rPr/>
        <w:t>TYK2</w:t>
      </w:r>
      <w:r>
        <w:rPr/>
        <w:t>项目让公司对慢性炎症病种具有更完整布局，同时形成风险相关性。监管对该机制的长期安全意见、同类竞争价格或口服疗法接受度变化，可能同时影响两条管线。本模型逐适应症概率分别设置，但不是声称它们统计独立；乐观、基准、悲观在费用、价格和批准路径中允许共同变化。若一项严重机制相关安全信号出现，不能只把单个资产删去而保留其他资产原概率，必须重新评估整个同机制组合。</w:t>
      </w:r>
    </w:p>
    <w:p>
      <w:pPr>
        <w:pStyle w:val="Heading2"/>
        <w:rPr/>
      </w:pPr>
      <w:r>
        <w:rPr>
          <w:color w:val="000000"/>
        </w:rPr>
        <w:t>七 早期平台与礼来合作 质量认可不能变成确定收入</w:t>
      </w:r>
    </w:p>
    <w:p>
      <w:pPr>
        <w:pStyle w:val="Normal"/>
        <w:rPr/>
      </w:pPr>
      <w:r>
        <w:rPr/>
        <w:t>2026</w:t>
      </w:r>
      <w:r>
        <w:rPr/>
        <w:t>年</w:t>
      </w:r>
      <w:r>
        <w:rPr/>
        <w:t>9</w:t>
      </w:r>
      <w:r>
        <w:rPr/>
        <w:t>月</w:t>
      </w:r>
      <w:r>
        <w:rPr/>
        <w:t>24</w:t>
      </w:r>
      <w:r>
        <w:rPr/>
        <w:t>日礼来合作公告称最多五个靶点，最高</w:t>
      </w:r>
      <w:r>
        <w:rPr/>
        <w:t>1</w:t>
      </w:r>
      <w:r>
        <w:rPr/>
        <w:t>亿美元首付款及近期付款，最高约</w:t>
      </w:r>
      <w:r>
        <w:rPr/>
        <w:t>32.5</w:t>
      </w:r>
      <w:r>
        <w:rPr/>
        <w:t>亿美元开发和商业里程碑，以及个位数比例分层净销售版税。公告没有披露具体靶点、候选化合物、人体临床阶段或已付金额。后续瑞银新闻转述管理层称项目从药物发现阶段开始，但这是转述，证据等级低于原协议。研究可认为合作验证平台吸引力，不能补造五个药物名称和未来每一个临床结果。</w:t>
      </w:r>
    </w:p>
    <w:p>
      <w:pPr>
        <w:pStyle w:val="Normal"/>
        <w:rPr/>
      </w:pPr>
      <w:r>
        <w:rPr/>
        <w:t>模型对这项合作有两处彼此区分的处理。现金预算基准</w:t>
      </w:r>
      <w:r>
        <w:rPr/>
        <w:t>2026</w:t>
      </w:r>
      <w:r>
        <w:rPr/>
        <w:t>至</w:t>
      </w:r>
      <w:r>
        <w:rPr/>
        <w:t>2028</w:t>
      </w:r>
      <w:r>
        <w:rPr/>
        <w:t>选定</w:t>
      </w:r>
      <w:r>
        <w:rPr/>
        <w:t>0.4</w:t>
      </w:r>
      <w:r>
        <w:rPr/>
        <w:t>、</w:t>
      </w:r>
      <w:r>
        <w:rPr/>
        <w:t>0.35</w:t>
      </w:r>
      <w:r>
        <w:rPr/>
        <w:t>、</w:t>
      </w:r>
      <w:r>
        <w:rPr/>
        <w:t>0.25</w:t>
      </w:r>
      <w:r>
        <w:rPr/>
        <w:t>亿美元，总和不超过公告</w:t>
      </w:r>
      <w:r>
        <w:rPr/>
        <w:t>1</w:t>
      </w:r>
      <w:r>
        <w:rPr/>
        <w:t>亿美元上限，再用</w:t>
      </w:r>
      <w:r>
        <w:rPr/>
        <w:t>85%</w:t>
      </w:r>
      <w:r>
        <w:rPr/>
        <w:t>净到账研究因子扣税和成本；悲观只选</w:t>
      </w:r>
      <w:r>
        <w:rPr/>
        <w:t>0.15</w:t>
      </w:r>
      <w:r>
        <w:rPr/>
        <w:t>与</w:t>
      </w:r>
      <w:r>
        <w:rPr/>
        <w:t>0.2</w:t>
      </w:r>
      <w:r>
        <w:rPr/>
        <w:t>亿美元，乐观</w:t>
      </w:r>
      <w:r>
        <w:rPr/>
        <w:t>0.55</w:t>
      </w:r>
      <w:r>
        <w:rPr/>
        <w:t>、</w:t>
      </w:r>
      <w:r>
        <w:rPr/>
        <w:t>0.3</w:t>
      </w:r>
      <w:r>
        <w:rPr/>
        <w:t>、</w:t>
      </w:r>
      <w:r>
        <w:rPr/>
        <w:t>0.15</w:t>
      </w:r>
      <w:r>
        <w:rPr/>
        <w:t>亿美元。它们均属于未来付款假设，不是银行到账事实。另有</w:t>
      </w:r>
      <w:r>
        <w:rPr/>
        <w:t>2035</w:t>
      </w:r>
      <w:r>
        <w:rPr/>
        <w:t>开始的经济版税组合选择权，基准</w:t>
      </w:r>
      <w:r>
        <w:rPr/>
        <w:t>12%</w:t>
      </w:r>
      <w:r>
        <w:rPr/>
        <w:t>风险因子、名义峰值人民币</w:t>
      </w:r>
      <w:r>
        <w:rPr/>
        <w:t>2</w:t>
      </w:r>
      <w:r>
        <w:rPr/>
        <w:t>亿元；</w:t>
      </w:r>
      <w:r>
        <w:rPr/>
        <w:t>32.5</w:t>
      </w:r>
      <w:r>
        <w:rPr/>
        <w:t>亿美元上限没有作为一个整体资产加入。</w:t>
      </w:r>
    </w:p>
    <w:p>
      <w:pPr>
        <w:pStyle w:val="Normal"/>
        <w:rPr/>
      </w:pPr>
      <w:r>
        <w:rPr/>
        <w:t>为了防止同合同被重复资本化，里程碑现金没有再进入产品经营</w:t>
      </w:r>
      <w:r>
        <w:rPr/>
        <w:t>FCFF</w:t>
      </w:r>
      <w:r>
        <w:rPr/>
        <w:t>。模型估出的经营业务值来自产品和可收取版税的未来收入减去完整费用；条件首付及选定里程碑只在对应年份增加现金。授权会计收入可能早于或晚于收款，因此正文区分收入、应收权利与现金。若未来协议披露精确研发补偿或付款安排，可以改成对应费用抵销或独立现金项目，但不能同时保留旧预算和新付款，再将报告利润加一个</w:t>
      </w:r>
      <w:r>
        <w:rPr/>
        <w:t>PE</w:t>
      </w:r>
      <w:r>
        <w:rPr/>
        <w:t>估值。</w:t>
      </w:r>
    </w:p>
    <w:p>
      <w:pPr>
        <w:pStyle w:val="Normal"/>
        <w:rPr/>
      </w:pPr>
      <w:r>
        <w:rPr/>
        <w:t>ICP-054</w:t>
      </w:r>
      <w:r>
        <w:rPr/>
        <w:t>、</w:t>
      </w:r>
      <w:r>
        <w:rPr/>
        <w:t>ICP-538</w:t>
      </w:r>
      <w:r>
        <w:rPr/>
        <w:t>、</w:t>
      </w:r>
      <w:r>
        <w:rPr/>
        <w:t>ADC</w:t>
      </w:r>
      <w:r>
        <w:rPr/>
        <w:t>平台等早期资产让公司具有持续创新机会，但截止日人体证据仍较早。健康志愿者</w:t>
      </w:r>
      <w:r>
        <w:rPr/>
        <w:t>SAD</w:t>
      </w:r>
      <w:r>
        <w:rPr/>
        <w:t>或</w:t>
      </w:r>
      <w:r>
        <w:rPr/>
        <w:t>MAD</w:t>
      </w:r>
      <w:r>
        <w:rPr/>
        <w:t>可支持药代与安全探索，动物模型抑制效果可支持机制；两者都不能当作患者临床获益。模型对</w:t>
      </w:r>
      <w:r>
        <w:rPr/>
        <w:t>ICP-054</w:t>
      </w:r>
      <w:r>
        <w:rPr/>
        <w:t>海外许可、</w:t>
      </w:r>
      <w:r>
        <w:rPr/>
        <w:t>Prolium</w:t>
      </w:r>
      <w:r>
        <w:rPr/>
        <w:t>经济权益和礼来组合设有限选择权，对若干自留早期资产直接不给额外估值，同时完整研发预算仍保留。这样不是断言它们没价值，而是将证据不足的潜力与可确认支出对称呈现。</w:t>
      </w:r>
    </w:p>
    <w:p>
      <w:pPr>
        <w:pStyle w:val="Normal"/>
        <w:rPr/>
      </w:pPr>
      <w:r>
        <w:rPr/>
        <w:t>ICP-B02</w:t>
      </w:r>
      <w:r>
        <w:rPr/>
        <w:t>与康诺亚共同开发、许可给</w:t>
      </w:r>
      <w:r>
        <w:rPr/>
        <w:t>Prolium</w:t>
      </w:r>
      <w:r>
        <w:rPr/>
        <w:t>的地域和病种也需细分：非肿瘤全球，以及亚洲之外肿瘤。模型使用诺诚可归属经济收入假设，不能把合作资产全部世界销售归给诺诚。持有</w:t>
      </w:r>
      <w:r>
        <w:rPr/>
        <w:t>Prolium675</w:t>
      </w:r>
      <w:r>
        <w:rPr/>
        <w:t>万股、</w:t>
      </w:r>
      <w:r>
        <w:rPr/>
        <w:t>8.75%</w:t>
      </w:r>
      <w:r>
        <w:rPr/>
        <w:t>的账面股权约</w:t>
      </w:r>
      <w:r>
        <w:rPr/>
        <w:t>2398.8</w:t>
      </w:r>
      <w:r>
        <w:rPr/>
        <w:t>万元，是非上市金融投资，不是现金等价物。本章没有另外叠加其全部账面价值，避免在共同药物版税与受方资本价值上制造难以核验的加总。若后续可穿透受方现金与权利，才应建立更精细残余权益模型。</w:t>
      </w:r>
    </w:p>
    <w:p>
      <w:pPr>
        <w:pStyle w:val="Heading2"/>
        <w:rPr/>
      </w:pPr>
      <w:r>
        <w:rPr>
          <w:color w:val="000000"/>
        </w:rPr>
        <w:t>八 财务质量 利润转正与产品现金创造之间有差别</w:t>
      </w:r>
    </w:p>
    <w:p>
      <w:pPr>
        <w:pStyle w:val="Normal"/>
        <w:rPr/>
      </w:pPr>
      <w:r>
        <w:rPr/>
        <w:t>历史财务显示公司处于从研发投入期转向商业规模期的过程中。</w:t>
      </w:r>
      <w:r>
        <w:rPr/>
        <w:t>2023</w:t>
      </w:r>
      <w:r>
        <w:rPr/>
        <w:t>年收入</w:t>
      </w:r>
      <w:r>
        <w:rPr/>
        <w:t>7.38537</w:t>
      </w:r>
      <w:r>
        <w:rPr/>
        <w:t>亿元、母公司净亏</w:t>
      </w:r>
      <w:r>
        <w:rPr/>
        <w:t>6.31263</w:t>
      </w:r>
      <w:r>
        <w:rPr/>
        <w:t>亿元、研发</w:t>
      </w:r>
      <w:r>
        <w:rPr/>
        <w:t>7.51176</w:t>
      </w:r>
      <w:r>
        <w:rPr/>
        <w:t>亿元、经营现金净流出</w:t>
      </w:r>
      <w:r>
        <w:rPr/>
        <w:t>6.7134</w:t>
      </w:r>
      <w:r>
        <w:rPr/>
        <w:t>亿元；</w:t>
      </w:r>
      <w:r>
        <w:rPr/>
        <w:t>2024</w:t>
      </w:r>
      <w:r>
        <w:rPr/>
        <w:t>年收入</w:t>
      </w:r>
      <w:r>
        <w:rPr/>
        <w:t>10.09448</w:t>
      </w:r>
      <w:r>
        <w:rPr/>
        <w:t>亿元、产品</w:t>
      </w:r>
      <w:r>
        <w:rPr/>
        <w:t>10.05621</w:t>
      </w:r>
      <w:r>
        <w:rPr/>
        <w:t>亿元、母公司亏损</w:t>
      </w:r>
      <w:r>
        <w:rPr/>
        <w:t>4.40633</w:t>
      </w:r>
      <w:r>
        <w:rPr/>
        <w:t>亿元、研发</w:t>
      </w:r>
      <w:r>
        <w:rPr/>
        <w:t>8.14027</w:t>
      </w:r>
      <w:r>
        <w:rPr/>
        <w:t>亿元、经营流出</w:t>
      </w:r>
      <w:r>
        <w:rPr/>
        <w:t>3.65551</w:t>
      </w:r>
      <w:r>
        <w:rPr/>
        <w:t>亿元。产品销售增长和亏损收窄是可追溯进展，但仍需要外部现金或既有融资资产支持持续研发，不能把经营改善直接等同于完全成熟盈利。</w:t>
      </w:r>
    </w:p>
    <w:p>
      <w:pPr>
        <w:pStyle w:val="Normal"/>
        <w:rPr/>
      </w:pPr>
      <w:r>
        <w:rPr/>
        <w:t>2025</w:t>
      </w:r>
      <w:r>
        <w:rPr/>
        <w:t>年收入</w:t>
      </w:r>
      <w:r>
        <w:rPr/>
        <w:t>23.74906</w:t>
      </w:r>
      <w:r>
        <w:rPr/>
        <w:t>亿元、母公司利润</w:t>
      </w:r>
      <w:r>
        <w:rPr/>
        <w:t>6.42467</w:t>
      </w:r>
      <w:r>
        <w:rPr/>
        <w:t>亿元，看起来出现显著跨越。其中产品销售</w:t>
      </w:r>
      <w:r>
        <w:rPr/>
        <w:t>14.42369</w:t>
      </w:r>
      <w:r>
        <w:rPr/>
        <w:t>亿元，合作收入</w:t>
      </w:r>
      <w:r>
        <w:rPr/>
        <w:t>9.04036</w:t>
      </w:r>
      <w:r>
        <w:rPr/>
        <w:t>亿元，现金流表还明确有</w:t>
      </w:r>
      <w:r>
        <w:rPr/>
        <w:t>7.01682</w:t>
      </w:r>
      <w:r>
        <w:rPr/>
        <w:t>亿元非现金结算收入。全年经营净流入仅</w:t>
      </w:r>
      <w:r>
        <w:rPr/>
        <w:t>8390.1</w:t>
      </w:r>
      <w:r>
        <w:rPr/>
        <w:t>万元，远低于报告利润。授权换取上市受方股票本身可以有真实价值，但属于金融资产而非当期可自由花费的现金；其市场价格和出售限制不同于银行余额。判断利润质量必须把这种交易与日常产品利润分开，而不是简单年化。</w:t>
      </w:r>
    </w:p>
    <w:p>
      <w:pPr>
        <w:pStyle w:val="Normal"/>
        <w:rPr/>
      </w:pPr>
      <w:r>
        <w:rPr/>
        <w:t>2026</w:t>
      </w:r>
      <w:r>
        <w:rPr/>
        <w:t>上半年收入</w:t>
      </w:r>
      <w:r>
        <w:rPr/>
        <w:t>11.37057</w:t>
      </w:r>
      <w:r>
        <w:rPr/>
        <w:t>亿元，产品</w:t>
      </w:r>
      <w:r>
        <w:rPr/>
        <w:t>9.18142</w:t>
      </w:r>
      <w:r>
        <w:rPr/>
        <w:t>亿元、合作</w:t>
      </w:r>
      <w:r>
        <w:rPr/>
        <w:t>2.13392</w:t>
      </w:r>
      <w:r>
        <w:rPr/>
        <w:t>亿元、服务</w:t>
      </w:r>
      <w:r>
        <w:rPr/>
        <w:t>552.3</w:t>
      </w:r>
      <w:r>
        <w:rPr/>
        <w:t>万元。产品毛利</w:t>
      </w:r>
      <w:r>
        <w:rPr/>
        <w:t>8.02553</w:t>
      </w:r>
      <w:r>
        <w:rPr/>
        <w:t>亿元，折算毛利率约</w:t>
      </w:r>
      <w:r>
        <w:rPr/>
        <w:t>87.41%</w:t>
      </w:r>
      <w:r>
        <w:rPr/>
        <w:t>；合作毛利等于收入使合并毛利率达到</w:t>
      </w:r>
      <w:r>
        <w:rPr/>
        <w:t>89.54%</w:t>
      </w:r>
      <w:r>
        <w:rPr/>
        <w:t>。若用合并毛利率去预测将来所有新品，会把高毛利许可收入的贡献复制到需要生产、采购和渠道成本的产品上。模型既有自研产品与引进产品毛利分别设置，不让授权收入抬高所有业务的经营盈利能力。</w:t>
      </w:r>
    </w:p>
    <w:p>
      <w:pPr>
        <w:pStyle w:val="Normal"/>
        <w:rPr/>
      </w:pPr>
      <w:r>
        <w:rPr/>
        <w:t>同期销售</w:t>
      </w:r>
      <w:r>
        <w:rPr/>
        <w:t>2.69144</w:t>
      </w:r>
      <w:r>
        <w:rPr/>
        <w:t>亿元、研发</w:t>
      </w:r>
      <w:r>
        <w:rPr/>
        <w:t>4.97074</w:t>
      </w:r>
      <w:r>
        <w:rPr/>
        <w:t>亿元、行政</w:t>
      </w:r>
      <w:r>
        <w:rPr/>
        <w:t>1.12164</w:t>
      </w:r>
      <w:r>
        <w:rPr/>
        <w:t>亿元，总计约</w:t>
      </w:r>
      <w:r>
        <w:rPr/>
        <w:t>8.78382</w:t>
      </w:r>
      <w:r>
        <w:rPr/>
        <w:t>亿元；产品毛利加服务毛利还不足覆盖这三项开支。净利润</w:t>
      </w:r>
      <w:r>
        <w:rPr/>
        <w:t>2.39669</w:t>
      </w:r>
      <w:r>
        <w:rPr/>
        <w:t>亿元、母公司</w:t>
      </w:r>
      <w:r>
        <w:rPr/>
        <w:t>2.46356</w:t>
      </w:r>
      <w:r>
        <w:rPr/>
        <w:t>亿元，同时其他收入收益</w:t>
      </w:r>
      <w:r>
        <w:rPr/>
        <w:t>1.38029</w:t>
      </w:r>
      <w:r>
        <w:rPr/>
        <w:t>亿元，包括政府补助、银行利息、理财收益、公允价值和汇兑变化。剔掉合作及全部其他收益后的税前利润桥为负约</w:t>
      </w:r>
      <w:r>
        <w:rPr/>
        <w:t>1.04</w:t>
      </w:r>
      <w:r>
        <w:rPr/>
        <w:t>亿元，虽然这个机械桥不等于一份经公司确认的“正常利润”，却清楚说明当期报告盈利尚不能完全归于日常产品业务。</w:t>
      </w:r>
    </w:p>
    <w:p>
      <w:pPr>
        <w:pStyle w:val="Normal"/>
        <w:rPr/>
      </w:pPr>
      <w:r>
        <w:rPr/>
        <w:t>母公司利润与综合收益出现另一个需要解释的差异。上半年母公司利润</w:t>
      </w:r>
      <w:r>
        <w:rPr/>
        <w:t>2.46356</w:t>
      </w:r>
      <w:r>
        <w:rPr/>
        <w:t>亿元，但母公司综合收益为负</w:t>
      </w:r>
      <w:r>
        <w:rPr/>
        <w:t>1.30006</w:t>
      </w:r>
      <w:r>
        <w:rPr/>
        <w:t>亿元，主要受汇兑储备和</w:t>
      </w:r>
      <w:r>
        <w:rPr/>
        <w:t>Zenas</w:t>
      </w:r>
      <w:r>
        <w:rPr/>
        <w:t>股权公允价值变动影响。</w:t>
      </w:r>
      <w:r>
        <w:rPr/>
        <w:t>Zenas</w:t>
      </w:r>
      <w:r>
        <w:rPr/>
        <w:t>相关其他综合收益减少约</w:t>
      </w:r>
      <w:r>
        <w:rPr/>
        <w:t>2.89018</w:t>
      </w:r>
      <w:r>
        <w:rPr/>
        <w:t>亿元，并伴随税务影响。该损失不经过净利润，不意味着经济价值没变化；而且不经过利润表，也不能把净利润当作所有股东财富变化的完整度量。估值必须直接看战略投资的可变价值和归属现金。</w:t>
      </w:r>
    </w:p>
    <w:p>
      <w:pPr>
        <w:pStyle w:val="Normal"/>
        <w:rPr/>
      </w:pPr>
      <w:r>
        <w:rPr/>
        <w:t>经营现金净流入</w:t>
      </w:r>
      <w:r>
        <w:rPr/>
        <w:t>8147.4</w:t>
      </w:r>
      <w:r>
        <w:rPr/>
        <w:t>万元，对比去年同期流出</w:t>
      </w:r>
      <w:r>
        <w:rPr/>
        <w:t>6181.6</w:t>
      </w:r>
      <w:r>
        <w:rPr/>
        <w:t>万元，有实质改善。应收账款净额</w:t>
      </w:r>
      <w:r>
        <w:rPr/>
        <w:t>5.50424</w:t>
      </w:r>
      <w:r>
        <w:rPr/>
        <w:t>亿元、存货</w:t>
      </w:r>
      <w:r>
        <w:rPr/>
        <w:t>1.98533</w:t>
      </w:r>
      <w:r>
        <w:rPr/>
        <w:t>亿元显示商业扩张仍占用营运资本；合同负债减少、应付款变化也会造成现金与利润时间差。现金流中收到的银行利息和理财收益分布于不同类别，不能仅从一条</w:t>
      </w:r>
      <w:r>
        <w:rPr/>
        <w:t>OCF</w:t>
      </w:r>
      <w:r>
        <w:rPr/>
        <w:t>推断全部产品现金能力。未来应特别观察销售增长后应收账龄是否延长、库存是否超处方需求以及预收款是否以一次性授权为主。</w:t>
      </w:r>
    </w:p>
    <w:p>
      <w:pPr>
        <w:pStyle w:val="Heading2"/>
        <w:rPr/>
      </w:pPr>
      <w:r>
        <w:rPr>
          <w:color w:val="000000"/>
        </w:rPr>
        <w:t>九 现金 金融产品及必须支付的义务</w:t>
      </w:r>
    </w:p>
    <w:p>
      <w:pPr>
        <w:pStyle w:val="Normal"/>
        <w:rPr/>
      </w:pPr>
      <w:r>
        <w:rPr/>
        <w:t>“</w:t>
      </w:r>
      <w:r>
        <w:rPr/>
        <w:t>现金及相关账户</w:t>
      </w:r>
      <w:r>
        <w:rPr/>
        <w:t>84.30515</w:t>
      </w:r>
      <w:r>
        <w:rPr/>
        <w:t>亿元”是公司摘要指标，包括现金银行、其他金融资产及应收利息；财报现金等价物只有</w:t>
      </w:r>
      <w:r>
        <w:rPr/>
        <w:t>48.43837</w:t>
      </w:r>
      <w:r>
        <w:rPr/>
        <w:t>亿元。现金银行</w:t>
      </w:r>
      <w:r>
        <w:rPr/>
        <w:t>63.10061</w:t>
      </w:r>
      <w:r>
        <w:rPr/>
        <w:t>亿元中含</w:t>
      </w:r>
      <w:r>
        <w:rPr/>
        <w:t>14.65545</w:t>
      </w:r>
      <w:r>
        <w:rPr/>
        <w:t>亿元超过三个月定期存款及</w:t>
      </w:r>
      <w:r>
        <w:rPr/>
        <w:t>67.9</w:t>
      </w:r>
      <w:r>
        <w:rPr/>
        <w:t>万元抵押存款。另有</w:t>
      </w:r>
      <w:r>
        <w:rPr/>
        <w:t>12.02268</w:t>
      </w:r>
      <w:r>
        <w:rPr/>
        <w:t>亿元按摊余成本银行存单与固定利率票据，</w:t>
      </w:r>
      <w:r>
        <w:rPr/>
        <w:t>9.00062</w:t>
      </w:r>
      <w:r>
        <w:rPr/>
        <w:t>亿元结构性存款。后者浮动收益挂钩外汇、黄金或十年期美国国债利率，金融性质和即时支出能力不等同于普通活期存款。</w:t>
      </w:r>
    </w:p>
    <w:p>
      <w:pPr>
        <w:pStyle w:val="Normal"/>
        <w:rPr/>
      </w:pPr>
      <w:r>
        <w:rPr/>
        <w:t>模型现金起点从</w:t>
      </w:r>
      <w:r>
        <w:rPr/>
        <w:t>63.10061</w:t>
      </w:r>
      <w:r>
        <w:rPr/>
        <w:t>亿元扣掉受限</w:t>
      </w:r>
      <w:r>
        <w:rPr/>
        <w:t>67.9</w:t>
      </w:r>
      <w:r>
        <w:rPr/>
        <w:t>万元，银行票据按</w:t>
      </w:r>
      <w:r>
        <w:rPr/>
        <w:t>98%</w:t>
      </w:r>
      <w:r>
        <w:rPr/>
        <w:t>回收研究值、结构性存款按</w:t>
      </w:r>
      <w:r>
        <w:rPr/>
        <w:t>95%</w:t>
      </w:r>
      <w:r>
        <w:rPr/>
        <w:t>，再保守扣少数权益</w:t>
      </w:r>
      <w:r>
        <w:rPr/>
        <w:t>1566.2</w:t>
      </w:r>
      <w:r>
        <w:rPr/>
        <w:t>万元，得到</w:t>
      </w:r>
      <w:r>
        <w:rPr/>
        <w:t>83.2700154</w:t>
      </w:r>
      <w:r>
        <w:rPr/>
        <w:t>亿元经济现金。回收折扣并不是断言银行会违约，更不是统计估计；它用来呈现期限、流动性与产品风险在可分配价值中的影响。原始财报数与模型折扣独立保存，输入改动后须重新计算三个情景，不能把折后经济现金再标成“已核验账面现金”。</w:t>
      </w:r>
    </w:p>
    <w:p>
      <w:pPr>
        <w:pStyle w:val="Normal"/>
        <w:rPr/>
      </w:pPr>
      <w:r>
        <w:rPr/>
        <w:t>银行借款总额</w:t>
      </w:r>
      <w:r>
        <w:rPr/>
        <w:t>18.71973</w:t>
      </w:r>
      <w:r>
        <w:rPr/>
        <w:t>亿元，其中</w:t>
      </w:r>
      <w:r>
        <w:rPr/>
        <w:t>8.90473</w:t>
      </w:r>
      <w:r>
        <w:rPr/>
        <w:t>亿元一年内到期。摘要中现金很大，并不意味着借款可以省略，借款同时带来利息、抵押和再融资要求。模型</w:t>
      </w:r>
      <w:r>
        <w:rPr/>
        <w:t>2026</w:t>
      </w:r>
      <w:r>
        <w:rPr/>
        <w:t>下半年偿</w:t>
      </w:r>
      <w:r>
        <w:rPr/>
        <w:t>1.25</w:t>
      </w:r>
      <w:r>
        <w:rPr/>
        <w:t>亿元、</w:t>
      </w:r>
      <w:r>
        <w:rPr/>
        <w:t>2027</w:t>
      </w:r>
      <w:r>
        <w:rPr/>
        <w:t>偿</w:t>
      </w:r>
      <w:r>
        <w:rPr/>
        <w:t>6.4</w:t>
      </w:r>
      <w:r>
        <w:rPr/>
        <w:t>亿元、之后逐步归还、</w:t>
      </w:r>
      <w:r>
        <w:rPr/>
        <w:t>2031</w:t>
      </w:r>
      <w:r>
        <w:rPr/>
        <w:t>清偿；这是时间预算假设，总偿还与期初借款严格相符。到目标日股权价值中再扣尚未偿还银行，而已偿还部分已经减少现金，不能把原始全部债务在每一个目标日重新扣一遍。</w:t>
      </w:r>
    </w:p>
    <w:p>
      <w:pPr>
        <w:pStyle w:val="Normal"/>
        <w:rPr/>
      </w:pPr>
      <w:r>
        <w:rPr/>
        <w:t>北京政府相关项目长期应付款账面</w:t>
      </w:r>
      <w:r>
        <w:rPr/>
        <w:t>3.31878</w:t>
      </w:r>
      <w:r>
        <w:rPr/>
        <w:t>亿元，年报合同说明原本金合计</w:t>
      </w:r>
      <w:r>
        <w:rPr/>
        <w:t>3.75</w:t>
      </w:r>
      <w:r>
        <w:rPr/>
        <w:t>亿元、五年持有期限和较低约定利率。会计账面因初始折价不同于最终名义偿还金额。本模型以</w:t>
      </w:r>
      <w:r>
        <w:rPr/>
        <w:t>3.75</w:t>
      </w:r>
      <w:r>
        <w:rPr/>
        <w:t>亿元名义本金作为经济义务，</w:t>
      </w:r>
      <w:r>
        <w:rPr/>
        <w:t>2026</w:t>
      </w:r>
      <w:r>
        <w:rPr/>
        <w:t>假设付</w:t>
      </w:r>
      <w:r>
        <w:rPr/>
        <w:t>0.5</w:t>
      </w:r>
      <w:r>
        <w:rPr/>
        <w:t>亿元、</w:t>
      </w:r>
      <w:r>
        <w:rPr/>
        <w:t>2027</w:t>
      </w:r>
      <w:r>
        <w:rPr/>
        <w:t>付</w:t>
      </w:r>
      <w:r>
        <w:rPr/>
        <w:t>3.25</w:t>
      </w:r>
      <w:r>
        <w:rPr/>
        <w:t>亿元，较账面数更保守；若取得实际结算文件，应替换为确切支付。政府补助不等于这笔债消失，也不能在利润中保留补助收益后把付款义务从资本结构中去掉。</w:t>
      </w:r>
    </w:p>
    <w:p>
      <w:pPr>
        <w:pStyle w:val="Normal"/>
        <w:rPr/>
      </w:pPr>
      <w:r>
        <w:rPr/>
        <w:t>广州子公司剩余</w:t>
      </w:r>
      <w:r>
        <w:rPr/>
        <w:t>7%</w:t>
      </w:r>
      <w:r>
        <w:rPr/>
        <w:t>少数股权收购的总应付约</w:t>
      </w:r>
      <w:r>
        <w:rPr/>
        <w:t>4.76336</w:t>
      </w:r>
      <w:r>
        <w:rPr/>
        <w:t>亿元，中报说明</w:t>
      </w:r>
      <w:r>
        <w:rPr/>
        <w:t>2026</w:t>
      </w:r>
      <w:r>
        <w:rPr/>
        <w:t>年</w:t>
      </w:r>
      <w:r>
        <w:rPr/>
        <w:t>7</w:t>
      </w:r>
      <w:r>
        <w:rPr/>
        <w:t>月分两次已支付</w:t>
      </w:r>
      <w:r>
        <w:rPr/>
        <w:t>2.3817</w:t>
      </w:r>
      <w:r>
        <w:rPr/>
        <w:t>亿元，并预计第二批年底前完成。本模型现金从六月起滚动，所以</w:t>
      </w:r>
      <w:r>
        <w:rPr/>
        <w:t>2026</w:t>
      </w:r>
      <w:r>
        <w:rPr/>
        <w:t>扣完整</w:t>
      </w:r>
      <w:r>
        <w:rPr/>
        <w:t>4.76336</w:t>
      </w:r>
      <w:r>
        <w:rPr/>
        <w:t>亿元，其中包含已知七月付款，不在年底再扣一份剩余收购负债。六月少数权益储备与未来收购价并非同一数，保守储备虽可能减少少量价值，却不能替代合同付款。本章专门保留支付桥，防止从巨大现金摘要中遗漏这一义务。</w:t>
      </w:r>
    </w:p>
    <w:p>
      <w:pPr>
        <w:pStyle w:val="Normal"/>
        <w:rPr/>
      </w:pPr>
      <w:r>
        <w:rPr/>
        <w:t>租赁负债当期和长期合计</w:t>
      </w:r>
      <w:r>
        <w:rPr/>
        <w:t>2918.5</w:t>
      </w:r>
      <w:r>
        <w:rPr/>
        <w:t>万元。模型经营费用按经济租金口径保留，折旧加回主要为设备与无形摊销，不将使用权资产折旧全部当额外现金，因此不再把同一租赁负债第二次从股权扣掉。这是估值口径选择，原法定负债仍在财务表中展示。若未来改用完全会计</w:t>
      </w:r>
      <w:r>
        <w:rPr/>
        <w:t>EBIT</w:t>
      </w:r>
      <w:r>
        <w:rPr/>
        <w:t>和全部使用权折旧加回，则必须同时重建租赁支付及债务扣减；不能在两个口径中各挑一个提高目标价的字段。</w:t>
      </w:r>
    </w:p>
    <w:p>
      <w:pPr>
        <w:pStyle w:val="Heading2"/>
        <w:rPr/>
      </w:pPr>
      <w:r>
        <w:rPr>
          <w:color w:val="000000"/>
        </w:rPr>
        <w:t>十 战略股权 汇率与融资稀释</w:t>
      </w:r>
    </w:p>
    <w:p>
      <w:pPr>
        <w:pStyle w:val="Normal"/>
        <w:rPr/>
      </w:pPr>
      <w:r>
        <w:rPr/>
        <w:t>六月持有五百万股</w:t>
      </w:r>
      <w:r>
        <w:rPr/>
        <w:t>Zenas</w:t>
      </w:r>
      <w:r>
        <w:rPr/>
        <w:t>股票，账面</w:t>
      </w:r>
      <w:r>
        <w:rPr/>
        <w:t>8.64303</w:t>
      </w:r>
      <w:r>
        <w:rPr/>
        <w:t>亿元；</w:t>
      </w:r>
      <w:r>
        <w:rPr/>
        <w:t>8</w:t>
      </w:r>
      <w:r>
        <w:rPr/>
        <w:t>月</w:t>
      </w:r>
      <w:r>
        <w:rPr/>
        <w:t>14</w:t>
      </w:r>
      <w:r>
        <w:rPr/>
        <w:t>日达成</w:t>
      </w:r>
      <w:r>
        <w:rPr/>
        <w:t>ICP-022</w:t>
      </w:r>
      <w:r>
        <w:rPr/>
        <w:t>短期里程碑后，公司有权取得额外二百万股及</w:t>
      </w:r>
      <w:r>
        <w:rPr/>
        <w:t>2500</w:t>
      </w:r>
      <w:r>
        <w:rPr/>
        <w:t>万美元现金。公告用的是“有权取得”，本章没有把它写成银行已经收到，也没有确证全部股份完成登记。模型基准、乐观假设现金</w:t>
      </w:r>
      <w:r>
        <w:rPr/>
        <w:t>2026</w:t>
      </w:r>
      <w:r>
        <w:rPr/>
        <w:t>净到账，悲观</w:t>
      </w:r>
      <w:r>
        <w:rPr/>
        <w:t>2027</w:t>
      </w:r>
      <w:r>
        <w:rPr/>
        <w:t>；七百万股作为达到条件后的经济权益假设。原六月五百万股账面价值不会再被加到七百万股市场值之外，否则相同股票被算两次。</w:t>
      </w:r>
    </w:p>
    <w:p>
      <w:pPr>
        <w:pStyle w:val="Normal"/>
        <w:rPr/>
      </w:pPr>
      <w:r>
        <w:rPr/>
        <w:t>时间基准也需严格处理。</w:t>
      </w:r>
      <w:r>
        <w:rPr/>
        <w:t>ZBIO</w:t>
      </w:r>
      <w:r>
        <w:rPr/>
        <w:t>美国</w:t>
      </w:r>
      <w:r>
        <w:rPr/>
        <w:t>10</w:t>
      </w:r>
      <w:r>
        <w:rPr/>
        <w:t>月</w:t>
      </w:r>
      <w:r>
        <w:rPr/>
        <w:t>9</w:t>
      </w:r>
      <w:r>
        <w:rPr/>
        <w:t>日收盘</w:t>
      </w:r>
      <w:r>
        <w:rPr/>
        <w:t>27.26</w:t>
      </w:r>
      <w:r>
        <w:rPr/>
        <w:t>美元有</w:t>
      </w:r>
      <w:r>
        <w:rPr/>
        <w:t>Yahoo</w:t>
      </w:r>
      <w:r>
        <w:rPr/>
        <w:t>与腾讯交叉核验，但美国该时点晚于香港</w:t>
      </w:r>
      <w:r>
        <w:rPr/>
        <w:t>10</w:t>
      </w:r>
      <w:r>
        <w:rPr/>
        <w:t>月</w:t>
      </w:r>
      <w:r>
        <w:rPr/>
        <w:t>9</w:t>
      </w:r>
      <w:r>
        <w:rPr/>
        <w:t>日收盘，不能让晚出现的信息决定港股基准时钟下的投资判断。本模型基准年末假设以</w:t>
      </w:r>
      <w:r>
        <w:rPr/>
        <w:t>10</w:t>
      </w:r>
      <w:r>
        <w:rPr/>
        <w:t>月</w:t>
      </w:r>
      <w:r>
        <w:rPr/>
        <w:t>8</w:t>
      </w:r>
      <w:r>
        <w:rPr/>
        <w:t>日美国收盘约</w:t>
      </w:r>
      <w:r>
        <w:rPr/>
        <w:t>26.24</w:t>
      </w:r>
      <w:r>
        <w:rPr/>
        <w:t>美元作为起始参照，另将</w:t>
      </w:r>
      <w:r>
        <w:rPr/>
        <w:t>10</w:t>
      </w:r>
      <w:r>
        <w:rPr/>
        <w:t>月</w:t>
      </w:r>
      <w:r>
        <w:rPr/>
        <w:t>9</w:t>
      </w:r>
      <w:r>
        <w:rPr/>
        <w:t>日</w:t>
      </w:r>
      <w:r>
        <w:rPr/>
        <w:t>27.26</w:t>
      </w:r>
      <w:r>
        <w:rPr/>
        <w:t>列为日終参考。两者都不代表未来年底必然价，</w:t>
      </w:r>
      <w:r>
        <w:rPr/>
        <w:t>Zenas</w:t>
      </w:r>
      <w:r>
        <w:rPr/>
        <w:t>本身是临床型企业，其股票对试验、融资和风险偏好高度敏感。</w:t>
      </w:r>
    </w:p>
    <w:p>
      <w:pPr>
        <w:pStyle w:val="Normal"/>
        <w:rPr/>
      </w:pPr>
      <w:r>
        <w:rPr/>
        <w:t>模型</w:t>
      </w:r>
      <w:r>
        <w:rPr/>
        <w:t>Zenas</w:t>
      </w:r>
      <w:r>
        <w:rPr/>
        <w:t>基准权益回收因子</w:t>
      </w:r>
      <w:r>
        <w:rPr/>
        <w:t>80%</w:t>
      </w:r>
      <w:r>
        <w:rPr/>
        <w:t>、悲观</w:t>
      </w:r>
      <w:r>
        <w:rPr/>
        <w:t>65%</w:t>
      </w:r>
      <w:r>
        <w:rPr/>
        <w:t>、乐观</w:t>
      </w:r>
      <w:r>
        <w:rPr/>
        <w:t>90%</w:t>
      </w:r>
      <w:r>
        <w:rPr/>
        <w:t>，反映战略持有、交易限制、税费和受方资本风险的简化判断。这个股价路径不是对</w:t>
      </w:r>
      <w:r>
        <w:rPr/>
        <w:t>Zenas</w:t>
      </w:r>
      <w:r>
        <w:rPr/>
        <w:t>全部经营的穿透现金流估值，也不能视为与诺诚</w:t>
      </w:r>
      <w:r>
        <w:rPr/>
        <w:t>MS</w:t>
      </w:r>
      <w:r>
        <w:rPr/>
        <w:t>版税完全独立的资产。相同全球试验成功可能同时提升两者，失败也可能同时压低。因此本章的情景共同调整，不将股权和版税的乐观端当成两个互不相关的免费选项；有了受方充分财务模型后，应进一步替换简化股权假设。</w:t>
      </w:r>
    </w:p>
    <w:p>
      <w:pPr>
        <w:pStyle w:val="Normal"/>
        <w:rPr/>
      </w:pPr>
      <w:r>
        <w:rPr/>
        <w:t>人民币财报与港元股价之间用</w:t>
      </w:r>
      <w:r>
        <w:rPr/>
        <w:t>1</w:t>
      </w:r>
      <w:r>
        <w:rPr/>
        <w:t>人民币等于</w:t>
      </w:r>
      <w:r>
        <w:rPr/>
        <w:t>1.1</w:t>
      </w:r>
      <w:r>
        <w:rPr/>
        <w:t>港元的统一研究换算，而</w:t>
      </w:r>
      <w:r>
        <w:rPr/>
        <w:t>2500</w:t>
      </w:r>
      <w:r>
        <w:rPr/>
        <w:t>万美元与礼来付款用</w:t>
      </w:r>
      <w:r>
        <w:rPr/>
        <w:t>1</w:t>
      </w:r>
      <w:r>
        <w:rPr/>
        <w:t>美元等于</w:t>
      </w:r>
      <w:r>
        <w:rPr/>
        <w:t>7</w:t>
      </w:r>
      <w:r>
        <w:rPr/>
        <w:t>人民币。这些是可编辑估值假设，不是声称未来汇率恒定。若港元对人民币变动</w:t>
      </w:r>
      <w:r>
        <w:rPr/>
        <w:t>5%</w:t>
      </w:r>
      <w:r>
        <w:rPr/>
        <w:t>，在其余人民币模型固定的机械敏感性中，港股价格约同幅变化；持人民币的投资者还要将港币投资回报换回人民币。但美元版税和美元金融资产同时受汇率影响，完整重算应通过经营与现金模型，不能只在最终股价乘一个汇率。</w:t>
      </w:r>
    </w:p>
    <w:p>
      <w:pPr>
        <w:pStyle w:val="Normal"/>
        <w:rPr/>
      </w:pPr>
      <w:r>
        <w:rPr/>
        <w:t>员工股权激励是研发企业留才的一种工具，也是真实经济成本。上半年股份支付</w:t>
      </w:r>
      <w:r>
        <w:rPr/>
        <w:t>5669.9</w:t>
      </w:r>
      <w:r>
        <w:rPr/>
        <w:t>万元，在利润中保留；现金模型加回非现金项后，再按百分之百股份支付金额预留奖励补充预算。这个处理不会凭一次非现金费用加回创造永久免费现金。现有预发行信托股票转移与未来新增人民币股份的稀释应区分，融资新股则同时增加现金和股数。只有股数、收到现金、奖励费用三项完整串联，才可判断未来增长是否改善每股价值。</w:t>
      </w:r>
    </w:p>
    <w:p>
      <w:pPr>
        <w:pStyle w:val="Heading2"/>
        <w:rPr/>
      </w:pPr>
      <w:r>
        <w:rPr>
          <w:color w:val="000000"/>
        </w:rPr>
        <w:t>十一 估值方法与经营假设 为什么不直接采用</w:t>
      </w:r>
      <w:r>
        <w:rPr>
          <w:color w:val="000000"/>
        </w:rPr>
        <w:t>PE</w:t>
      </w:r>
    </w:p>
    <w:p>
      <w:pPr>
        <w:pStyle w:val="Normal"/>
        <w:rPr/>
      </w:pPr>
      <w:r>
        <w:rPr/>
        <w:t>本章采用</w:t>
      </w:r>
      <w:r>
        <w:rPr/>
        <w:t>2026</w:t>
      </w:r>
      <w:r>
        <w:rPr/>
        <w:t>至</w:t>
      </w:r>
      <w:r>
        <w:rPr/>
        <w:t>2041</w:t>
      </w:r>
      <w:r>
        <w:rPr/>
        <w:t>明确经营年份的有限</w:t>
      </w:r>
      <w:r>
        <w:rPr/>
        <w:t>FCFF</w:t>
      </w:r>
      <w:r>
        <w:rPr/>
        <w:t>，四个既有收入组加十五个分药适应症风险收入组，不加</w:t>
      </w:r>
      <w:r>
        <w:rPr/>
        <w:t>2041</w:t>
      </w:r>
      <w:r>
        <w:rPr/>
        <w:t>之后终值。收入乘各自毛利率，扣全部销售、行政、研发和其他费用，正</w:t>
      </w:r>
      <w:r>
        <w:rPr/>
        <w:t>EBIT</w:t>
      </w:r>
      <w:r>
        <w:rPr/>
        <w:t>按情景税率扣税，再加设备折旧、扣资本开支和营运资金形成经营现金。银行存款利息只进入正常利润与现金预算，不能在已经加现金的股权价值中再次按永续业务折现，从而避免现金收益重复资本化。</w:t>
      </w:r>
    </w:p>
    <w:p>
      <w:pPr>
        <w:pStyle w:val="Normal"/>
        <w:rPr/>
      </w:pPr>
      <w:r>
        <w:rPr/>
        <w:t>风险项目首先设成功后名义峰值和商业首年，然后用爬坡曲线与各自风险因子。基准已达三期顶线的</w:t>
      </w:r>
      <w:r>
        <w:rPr/>
        <w:t>AD</w:t>
      </w:r>
      <w:r>
        <w:rPr/>
        <w:t>、银屑病用</w:t>
      </w:r>
      <w:r>
        <w:rPr/>
        <w:t>82%</w:t>
      </w:r>
      <w:r>
        <w:rPr/>
        <w:t>、</w:t>
      </w:r>
      <w:r>
        <w:rPr/>
        <w:t>83%</w:t>
      </w:r>
      <w:r>
        <w:rPr/>
        <w:t>，处于注册性推进的</w:t>
      </w:r>
      <w:r>
        <w:rPr/>
        <w:t>ICP-248</w:t>
      </w:r>
      <w:r>
        <w:rPr/>
        <w:t>按病种</w:t>
      </w:r>
      <w:r>
        <w:rPr/>
        <w:t>48%</w:t>
      </w:r>
      <w:r>
        <w:rPr/>
        <w:t>至</w:t>
      </w:r>
      <w:r>
        <w:rPr/>
        <w:t>67%</w:t>
      </w:r>
      <w:r>
        <w:rPr/>
        <w:t>，更早期项目</w:t>
      </w:r>
      <w:r>
        <w:rPr/>
        <w:t>12%</w:t>
      </w:r>
      <w:r>
        <w:rPr/>
        <w:t>至</w:t>
      </w:r>
      <w:r>
        <w:rPr/>
        <w:t>36%</w:t>
      </w:r>
      <w:r>
        <w:rPr/>
        <w:t>，不同证据得到不同权重。概率不是监管官方成功率，也不是准确统计预测；其目的是把失败可能放进价值，而非只在风险段落提一句。费用没有按相同比例减免，失败前所投入研发仍全额承担。</w:t>
      </w:r>
    </w:p>
    <w:p>
      <w:pPr>
        <w:pStyle w:val="Normal"/>
        <w:rPr/>
      </w:pPr>
      <w:r>
        <w:rPr/>
        <w:t>所有项目还使用有限生命周期爬坡与衰减，当前核心业务</w:t>
      </w:r>
      <w:r>
        <w:rPr/>
        <w:t>2034</w:t>
      </w:r>
      <w:r>
        <w:rPr/>
        <w:t>之后按情景下降。这个衰减年是竞争和专利影响的模型假设，不能写成已核验各药专利到期日在</w:t>
      </w:r>
      <w:r>
        <w:rPr/>
        <w:t>2034</w:t>
      </w:r>
      <w:r>
        <w:rPr/>
        <w:t>年。新药即使商业成功，也可能受到新机制、仿制、医保再议价或患者选择变化限制。无终值并不代表公司</w:t>
      </w:r>
      <w:r>
        <w:rPr/>
        <w:t>2042</w:t>
      </w:r>
      <w:r>
        <w:rPr/>
        <w:t>消失，而是当前证据不足以可靠给无限经营增值。十年后新平台带来的价值在经营展望讨论，不能无依据地以永续增长补回。</w:t>
      </w:r>
    </w:p>
    <w:p>
      <w:pPr>
        <w:pStyle w:val="Normal"/>
        <w:rPr/>
      </w:pPr>
      <w:r>
        <w:rPr/>
        <w:t>2026</w:t>
      </w:r>
      <w:r>
        <w:rPr/>
        <w:t>基准全收入</w:t>
      </w:r>
      <w:r>
        <w:rPr/>
        <w:t>20.63</w:t>
      </w:r>
      <w:r>
        <w:rPr/>
        <w:t>亿元、研发</w:t>
      </w:r>
      <w:r>
        <w:rPr/>
        <w:t>10.4</w:t>
      </w:r>
      <w:r>
        <w:rPr/>
        <w:t>亿元、</w:t>
      </w:r>
      <w:r>
        <w:rPr/>
        <w:t>FCFF</w:t>
      </w:r>
      <w:r>
        <w:rPr/>
        <w:t>负</w:t>
      </w:r>
      <w:r>
        <w:rPr/>
        <w:t>2.2468</w:t>
      </w:r>
      <w:r>
        <w:rPr/>
        <w:t>亿元；</w:t>
      </w:r>
      <w:r>
        <w:rPr/>
        <w:t>2027</w:t>
      </w:r>
      <w:r>
        <w:rPr/>
        <w:t>全收入</w:t>
      </w:r>
      <w:r>
        <w:rPr/>
        <w:t>26.744</w:t>
      </w:r>
      <w:r>
        <w:rPr/>
        <w:t>亿元、研发</w:t>
      </w:r>
      <w:r>
        <w:rPr/>
        <w:t>11.5</w:t>
      </w:r>
      <w:r>
        <w:rPr/>
        <w:t>亿元、</w:t>
      </w:r>
      <w:r>
        <w:rPr/>
        <w:t>FCFF</w:t>
      </w:r>
      <w:r>
        <w:rPr/>
        <w:t>仍负约</w:t>
      </w:r>
      <w:r>
        <w:rPr/>
        <w:t>7826</w:t>
      </w:r>
      <w:r>
        <w:rPr/>
        <w:t>万元；</w:t>
      </w:r>
      <w:r>
        <w:rPr/>
        <w:t>2028</w:t>
      </w:r>
      <w:r>
        <w:rPr/>
        <w:t>全收入</w:t>
      </w:r>
      <w:r>
        <w:rPr/>
        <w:t>36.1332</w:t>
      </w:r>
      <w:r>
        <w:rPr/>
        <w:t>亿元、</w:t>
      </w:r>
      <w:r>
        <w:rPr/>
        <w:t>FCFF</w:t>
      </w:r>
      <w:r>
        <w:rPr/>
        <w:t>约</w:t>
      </w:r>
      <w:r>
        <w:rPr/>
        <w:t>3.2811</w:t>
      </w:r>
      <w:r>
        <w:rPr/>
        <w:t>亿元。到</w:t>
      </w:r>
      <w:r>
        <w:rPr/>
        <w:t>2031</w:t>
      </w:r>
      <w:r>
        <w:rPr/>
        <w:t>基准收入</w:t>
      </w:r>
      <w:r>
        <w:rPr/>
        <w:t>83.0418</w:t>
      </w:r>
      <w:r>
        <w:rPr/>
        <w:t>亿元、研发</w:t>
      </w:r>
      <w:r>
        <w:rPr/>
        <w:t>14</w:t>
      </w:r>
      <w:r>
        <w:rPr/>
        <w:t>亿元、</w:t>
      </w:r>
      <w:r>
        <w:rPr/>
        <w:t>FCFF</w:t>
      </w:r>
      <w:r>
        <w:rPr/>
        <w:t>约</w:t>
      </w:r>
      <w:r>
        <w:rPr/>
        <w:t>29.0133</w:t>
      </w:r>
      <w:r>
        <w:rPr/>
        <w:t>亿元，要求多项自免和血液瘤项目陆续商业化。这个经营跃迁是三年至五年上涨逻辑，也说明价格依赖尚未兑现的产品组合；若新品延迟，负现金期会更长。</w:t>
      </w:r>
    </w:p>
    <w:p>
      <w:pPr>
        <w:pStyle w:val="Normal"/>
        <w:rPr/>
      </w:pPr>
      <w:r>
        <w:rPr/>
        <w:t>基准</w:t>
      </w:r>
      <w:r>
        <w:rPr/>
        <w:t>2032</w:t>
      </w:r>
      <w:r>
        <w:rPr/>
        <w:t>收入约</w:t>
      </w:r>
      <w:r>
        <w:rPr/>
        <w:t>101.2228</w:t>
      </w:r>
      <w:r>
        <w:rPr/>
        <w:t>亿元，不是当下公司指引，更不能作为已确认订单。它由奥布替尼、新引进与精准肿瘤、</w:t>
      </w:r>
      <w:r>
        <w:rPr/>
        <w:t>ICP-248</w:t>
      </w:r>
      <w:r>
        <w:rPr/>
        <w:t>、自免新增及许可经济收入共同构成，各项目名义收入经过风险调整。悲观情景对研发采取失败项目停投的路径，</w:t>
      </w:r>
      <w:r>
        <w:rPr/>
        <w:t>2026</w:t>
      </w:r>
      <w:r>
        <w:rPr/>
        <w:t>约</w:t>
      </w:r>
      <w:r>
        <w:rPr/>
        <w:t>10.1</w:t>
      </w:r>
      <w:r>
        <w:rPr/>
        <w:t>亿元、</w:t>
      </w:r>
      <w:r>
        <w:rPr/>
        <w:t>2032</w:t>
      </w:r>
      <w:r>
        <w:rPr/>
        <w:t>约</w:t>
      </w:r>
      <w:r>
        <w:rPr/>
        <w:t>6.9</w:t>
      </w:r>
      <w:r>
        <w:rPr/>
        <w:t>亿元，而不是为了降低费用凭空提高盈利。现实中公司能否及时终止失败项目属于治理判断；若继续投入而商业不足，悲观价也可能再下修，并不是最大损失边界。</w:t>
      </w:r>
    </w:p>
    <w:p>
      <w:pPr>
        <w:pStyle w:val="Normal"/>
        <w:rPr/>
      </w:pPr>
      <w:r>
        <w:rPr/>
        <w:t>报告</w:t>
      </w:r>
      <w:r>
        <w:rPr/>
        <w:t>PE</w:t>
      </w:r>
      <w:r>
        <w:rPr/>
        <w:t>可作为对照，不能作为主模型。第三方报价</w:t>
      </w:r>
      <w:r>
        <w:rPr/>
        <w:t>PE31.63</w:t>
      </w:r>
      <w:r>
        <w:rPr/>
        <w:t>、</w:t>
      </w:r>
      <w:r>
        <w:rPr/>
        <w:t>PB6.94</w:t>
      </w:r>
      <w:r>
        <w:rPr/>
        <w:t>的口径与期间未核；按全公司当前股数和六月母公司净资产机械计算的</w:t>
      </w:r>
      <w:r>
        <w:rPr/>
        <w:t>PB</w:t>
      </w:r>
      <w:r>
        <w:rPr/>
        <w:t>约</w:t>
      </w:r>
      <w:r>
        <w:rPr/>
        <w:t>2.7</w:t>
      </w:r>
      <w:r>
        <w:rPr/>
        <w:t>倍，与报价字段明显不同。用</w:t>
      </w:r>
      <w:r>
        <w:rPr/>
        <w:t>2025</w:t>
      </w:r>
      <w:r>
        <w:rPr/>
        <w:t>及上半年归属净利润作滚动粗桥仍含大额许可及金融收益，也不能证明成熟盈利估值便宜。本模型</w:t>
      </w:r>
      <w:r>
        <w:rPr/>
        <w:t>2026</w:t>
      </w:r>
      <w:r>
        <w:rPr/>
        <w:t>正常</w:t>
      </w:r>
      <w:r>
        <w:rPr/>
        <w:t>EPS</w:t>
      </w:r>
      <w:r>
        <w:rPr/>
        <w:t>约</w:t>
      </w:r>
      <w:r>
        <w:rPr/>
        <w:t>0.036</w:t>
      </w:r>
      <w:r>
        <w:rPr/>
        <w:t>元人民币，</w:t>
      </w:r>
      <w:r>
        <w:rPr/>
        <w:t>2027</w:t>
      </w:r>
      <w:r>
        <w:rPr/>
        <w:t>约</w:t>
      </w:r>
      <w:r>
        <w:rPr/>
        <w:t>0.164</w:t>
      </w:r>
      <w:r>
        <w:rPr/>
        <w:t>元、</w:t>
      </w:r>
      <w:r>
        <w:rPr/>
        <w:t>2028</w:t>
      </w:r>
      <w:r>
        <w:rPr/>
        <w:t>约</w:t>
      </w:r>
      <w:r>
        <w:rPr/>
        <w:t>0.422</w:t>
      </w:r>
      <w:r>
        <w:rPr/>
        <w:t>元；前两年盈利脆弱时，</w:t>
      </w:r>
      <w:r>
        <w:rPr/>
        <w:t>PE</w:t>
      </w:r>
      <w:r>
        <w:rPr/>
        <w:t>对小分母异常敏感，更需要有限现金流估值。</w:t>
      </w:r>
    </w:p>
    <w:p>
      <w:pPr>
        <w:pStyle w:val="Normal"/>
        <w:rPr/>
      </w:pPr>
      <w:r>
        <w:rPr/>
        <w:t>年底基准经营业务现值约</w:t>
      </w:r>
      <w:r>
        <w:rPr/>
        <w:t>165.1488</w:t>
      </w:r>
      <w:r>
        <w:rPr/>
        <w:t>亿元，加目标经济现金</w:t>
      </w:r>
      <w:r>
        <w:rPr/>
        <w:t>80.006</w:t>
      </w:r>
      <w:r>
        <w:rPr/>
        <w:t>亿元及</w:t>
      </w:r>
      <w:r>
        <w:rPr/>
        <w:t>Zenas</w:t>
      </w:r>
      <w:r>
        <w:rPr/>
        <w:t>权益</w:t>
      </w:r>
      <w:r>
        <w:rPr/>
        <w:t>10.2861</w:t>
      </w:r>
      <w:r>
        <w:rPr/>
        <w:t>亿元，减银行</w:t>
      </w:r>
      <w:r>
        <w:rPr/>
        <w:t>17.46973</w:t>
      </w:r>
      <w:r>
        <w:rPr/>
        <w:t>亿元和政府余额</w:t>
      </w:r>
      <w:r>
        <w:rPr/>
        <w:t>3.25</w:t>
      </w:r>
      <w:r>
        <w:rPr/>
        <w:t>亿元，得到约</w:t>
      </w:r>
      <w:r>
        <w:rPr/>
        <w:t>234.7211</w:t>
      </w:r>
      <w:r>
        <w:rPr/>
        <w:t>亿元归属价值；按</w:t>
      </w:r>
      <w:r>
        <w:rPr/>
        <w:t>17.72</w:t>
      </w:r>
      <w:r>
        <w:rPr/>
        <w:t>亿股和汇率形成内在价</w:t>
      </w:r>
      <w:r>
        <w:rPr/>
        <w:t>14.5707</w:t>
      </w:r>
      <w:r>
        <w:rPr/>
        <w:t>港元。年底市场识别因子</w:t>
      </w:r>
      <w:r>
        <w:rPr/>
        <w:t>70%</w:t>
      </w:r>
      <w:r>
        <w:rPr/>
        <w:t>将基准目标设为</w:t>
      </w:r>
      <w:r>
        <w:rPr/>
        <w:t>14.0185</w:t>
      </w:r>
      <w:r>
        <w:rPr/>
        <w:t>港元，表达年底可能尚未完全兑现多年价值。该因子是研究判断，不是临床概率，不能再乘到每个药物收入，也不能与情景</w:t>
      </w:r>
      <w:r>
        <w:rPr/>
        <w:t>25%</w:t>
      </w:r>
      <w:r>
        <w:rPr/>
        <w:t>权重混用。</w:t>
      </w:r>
    </w:p>
    <w:p>
      <w:pPr>
        <w:pStyle w:val="Heading2"/>
        <w:rPr/>
      </w:pPr>
      <w:r>
        <w:rPr>
          <w:color w:val="000000"/>
        </w:rPr>
        <w:t>十二 半年量价 尚未确认的反转不应加成长分</w:t>
      </w:r>
    </w:p>
    <w:p>
      <w:pPr>
        <w:pStyle w:val="Normal"/>
        <w:rPr/>
      </w:pPr>
      <w:r>
        <w:rPr/>
        <w:t>统一行情使用</w:t>
      </w:r>
      <w:r>
        <w:rPr/>
        <w:t>739</w:t>
      </w:r>
      <w:r>
        <w:rPr/>
        <w:t>根真实日线，覆盖</w:t>
      </w:r>
      <w:r>
        <w:rPr/>
        <w:t>2023</w:t>
      </w:r>
      <w:r>
        <w:rPr/>
        <w:t>年</w:t>
      </w:r>
      <w:r>
        <w:rPr/>
        <w:t>10</w:t>
      </w:r>
      <w:r>
        <w:rPr/>
        <w:t>月</w:t>
      </w:r>
      <w:r>
        <w:rPr/>
        <w:t>9</w:t>
      </w:r>
      <w:r>
        <w:rPr/>
        <w:t>日至</w:t>
      </w:r>
      <w:r>
        <w:rPr/>
        <w:t>2026</w:t>
      </w:r>
      <w:r>
        <w:rPr/>
        <w:t>年</w:t>
      </w:r>
      <w:r>
        <w:rPr/>
        <w:t>10</w:t>
      </w:r>
      <w:r>
        <w:rPr/>
        <w:t>月</w:t>
      </w:r>
      <w:r>
        <w:rPr/>
        <w:t>9</w:t>
      </w:r>
      <w:r>
        <w:rPr/>
        <w:t>日，并生成</w:t>
      </w:r>
      <w:r>
        <w:rPr/>
        <w:t>157</w:t>
      </w:r>
      <w:r>
        <w:rPr/>
        <w:t>根周线。收盘价</w:t>
      </w:r>
      <w:r>
        <w:rPr/>
        <w:t>12.73</w:t>
      </w:r>
      <w:r>
        <w:rPr/>
        <w:t>与腾讯、新浪及</w:t>
      </w:r>
      <w:r>
        <w:rPr/>
        <w:t>Yahoo</w:t>
      </w:r>
      <w:r>
        <w:rPr/>
        <w:t>日线一致，历史两来源有</w:t>
      </w:r>
      <w:r>
        <w:rPr/>
        <w:t>739</w:t>
      </w:r>
      <w:r>
        <w:rPr/>
        <w:t>天配对。五根</w:t>
      </w:r>
      <w:r>
        <w:rPr/>
        <w:t>Yahoo</w:t>
      </w:r>
      <w:r>
        <w:rPr/>
        <w:t>原始</w:t>
      </w:r>
      <w:r>
        <w:rPr/>
        <w:t>OHLC</w:t>
      </w:r>
      <w:r>
        <w:rPr/>
        <w:t>出现逻辑冲突，按腾讯同日完整</w:t>
      </w:r>
      <w:r>
        <w:rPr/>
        <w:t>bar</w:t>
      </w:r>
      <w:r>
        <w:rPr/>
        <w:t>修复并保留记录；没有把“看起来异常”的正常波动主观删除。图形以基准日名义价格归一复权</w:t>
      </w:r>
      <w:r>
        <w:rPr/>
        <w:t>OHLC</w:t>
      </w:r>
      <w:r>
        <w:rPr/>
        <w:t>处理，股票量单位为股，不能将股误当手使量能放大一百倍。</w:t>
      </w:r>
    </w:p>
    <w:p>
      <w:pPr>
        <w:pStyle w:val="Normal"/>
        <w:rPr/>
      </w:pPr>
      <w:r>
        <w:rPr/>
        <w:t>20</w:t>
      </w:r>
      <w:r>
        <w:rPr/>
        <w:t>、</w:t>
      </w:r>
      <w:r>
        <w:rPr/>
        <w:t>60</w:t>
      </w:r>
      <w:r>
        <w:rPr/>
        <w:t>、</w:t>
      </w:r>
      <w:r>
        <w:rPr/>
        <w:t>120</w:t>
      </w:r>
      <w:r>
        <w:rPr/>
        <w:t>、</w:t>
      </w:r>
      <w:r>
        <w:rPr/>
        <w:t>250</w:t>
      </w:r>
      <w:r>
        <w:rPr/>
        <w:t>日均线分别</w:t>
      </w:r>
      <w:r>
        <w:rPr/>
        <w:t>14.388</w:t>
      </w:r>
      <w:r>
        <w:rPr/>
        <w:t>、</w:t>
      </w:r>
      <w:r>
        <w:rPr/>
        <w:t>14.3505</w:t>
      </w:r>
      <w:r>
        <w:rPr/>
        <w:t>、</w:t>
      </w:r>
      <w:r>
        <w:rPr/>
        <w:t>13.4138</w:t>
      </w:r>
      <w:r>
        <w:rPr/>
        <w:t>、</w:t>
      </w:r>
      <w:r>
        <w:rPr/>
        <w:t>13.4513</w:t>
      </w:r>
      <w:r>
        <w:rPr/>
        <w:t>港元，现价分别低</w:t>
      </w:r>
      <w:r>
        <w:rPr/>
        <w:t>11.52%</w:t>
      </w:r>
      <w:r>
        <w:rPr/>
        <w:t>、</w:t>
      </w:r>
      <w:r>
        <w:rPr/>
        <w:t>11.29%</w:t>
      </w:r>
      <w:r>
        <w:rPr/>
        <w:t>、</w:t>
      </w:r>
      <w:r>
        <w:rPr/>
        <w:t>5.10%</w:t>
      </w:r>
      <w:r>
        <w:rPr/>
        <w:t>、</w:t>
      </w:r>
      <w:r>
        <w:rPr/>
        <w:t>5.36%</w:t>
      </w:r>
      <w:r>
        <w:rPr/>
        <w:t>。四条均线过去五日斜率均负，</w:t>
      </w:r>
      <w:r>
        <w:rPr/>
        <w:t>20</w:t>
      </w:r>
      <w:r>
        <w:rPr/>
        <w:t>日约负</w:t>
      </w:r>
      <w:r>
        <w:rPr/>
        <w:t>2.37%</w:t>
      </w:r>
      <w:r>
        <w:rPr/>
        <w:t>、</w:t>
      </w:r>
      <w:r>
        <w:rPr/>
        <w:t>60</w:t>
      </w:r>
      <w:r>
        <w:rPr/>
        <w:t>日负</w:t>
      </w:r>
      <w:r>
        <w:rPr/>
        <w:t>0.68%</w:t>
      </w:r>
      <w:r>
        <w:rPr/>
        <w:t>、</w:t>
      </w:r>
      <w:r>
        <w:rPr/>
        <w:t>120</w:t>
      </w:r>
      <w:r>
        <w:rPr/>
        <w:t>日负</w:t>
      </w:r>
      <w:r>
        <w:rPr/>
        <w:t>0.67%</w:t>
      </w:r>
      <w:r>
        <w:rPr/>
        <w:t>、</w:t>
      </w:r>
      <w:r>
        <w:rPr/>
        <w:t>250</w:t>
      </w:r>
      <w:r>
        <w:rPr/>
        <w:t>日负</w:t>
      </w:r>
      <w:r>
        <w:rPr/>
        <w:t>0.72%</w:t>
      </w:r>
      <w:r>
        <w:rPr/>
        <w:t>。这组证据支持中短期下降，长线均线也未提供明确向上支撑。公司基本面成长与股票趋势偏弱可以同时成立，技术维度不能因为长期行业吸引力而自动加到四分。</w:t>
      </w:r>
    </w:p>
    <w:p>
      <w:pPr>
        <w:pStyle w:val="Normal"/>
        <w:rPr/>
      </w:pPr>
      <w:r>
        <w:rPr/>
        <w:t>周线提供不同尺度：</w:t>
      </w:r>
      <w:r>
        <w:rPr/>
        <w:t>20</w:t>
      </w:r>
      <w:r>
        <w:rPr/>
        <w:t>周均线</w:t>
      </w:r>
      <w:r>
        <w:rPr/>
        <w:t>13.2865</w:t>
      </w:r>
      <w:r>
        <w:rPr/>
        <w:t>、</w:t>
      </w:r>
      <w:r>
        <w:rPr/>
        <w:t>60</w:t>
      </w:r>
      <w:r>
        <w:rPr/>
        <w:t>周</w:t>
      </w:r>
      <w:r>
        <w:rPr/>
        <w:t>13.9308</w:t>
      </w:r>
      <w:r>
        <w:rPr/>
        <w:t>、</w:t>
      </w:r>
      <w:r>
        <w:rPr/>
        <w:t>120</w:t>
      </w:r>
      <w:r>
        <w:rPr/>
        <w:t>周</w:t>
      </w:r>
      <w:r>
        <w:rPr/>
        <w:t>11.2178</w:t>
      </w:r>
      <w:r>
        <w:rPr/>
        <w:t>；现价在</w:t>
      </w:r>
      <w:r>
        <w:rPr/>
        <w:t>20</w:t>
      </w:r>
      <w:r>
        <w:rPr/>
        <w:t>和</w:t>
      </w:r>
      <w:r>
        <w:rPr/>
        <w:t>60</w:t>
      </w:r>
      <w:r>
        <w:rPr/>
        <w:t>周以下、</w:t>
      </w:r>
      <w:r>
        <w:rPr/>
        <w:t>120</w:t>
      </w:r>
      <w:r>
        <w:rPr/>
        <w:t>周以上。</w:t>
      </w:r>
      <w:r>
        <w:rPr/>
        <w:t>20</w:t>
      </w:r>
      <w:r>
        <w:rPr/>
        <w:t>周均线近五周轻微上升，但</w:t>
      </w:r>
      <w:r>
        <w:rPr/>
        <w:t>60</w:t>
      </w:r>
      <w:r>
        <w:rPr/>
        <w:t>周下降，说明更长调整过程中存在阶段修复而非统一上升趋势。周</w:t>
      </w:r>
      <w:r>
        <w:rPr/>
        <w:t>RSI</w:t>
      </w:r>
      <w:r>
        <w:rPr/>
        <w:t>约</w:t>
      </w:r>
      <w:r>
        <w:rPr/>
        <w:t>45.42</w:t>
      </w:r>
      <w:r>
        <w:rPr/>
        <w:t>、</w:t>
      </w:r>
      <w:r>
        <w:rPr/>
        <w:t>MACD</w:t>
      </w:r>
      <w:r>
        <w:rPr/>
        <w:t>柱为负，也未给出强趋势确认。只有</w:t>
      </w:r>
      <w:r>
        <w:rPr/>
        <w:t>157</w:t>
      </w:r>
      <w:r>
        <w:rPr/>
        <w:t>根周线，不存在可核验的</w:t>
      </w:r>
      <w:r>
        <w:rPr/>
        <w:t>250</w:t>
      </w:r>
      <w:r>
        <w:rPr/>
        <w:t>周均线；日</w:t>
      </w:r>
      <w:r>
        <w:rPr/>
        <w:t>250</w:t>
      </w:r>
      <w:r>
        <w:rPr/>
        <w:t>与周</w:t>
      </w:r>
      <w:r>
        <w:rPr/>
        <w:t>250</w:t>
      </w:r>
      <w:r>
        <w:rPr/>
        <w:t>时间尺度不同，不能把日线指标复制到周线满足表格完整性。</w:t>
      </w:r>
    </w:p>
    <w:p>
      <w:pPr>
        <w:pStyle w:val="Normal"/>
        <w:rPr/>
      </w:pPr>
      <w:r>
        <w:rPr/>
        <w:t>最近</w:t>
      </w:r>
      <w:r>
        <w:rPr/>
        <w:t>20</w:t>
      </w:r>
      <w:r>
        <w:rPr/>
        <w:t>与</w:t>
      </w:r>
      <w:r>
        <w:rPr/>
        <w:t>60</w:t>
      </w:r>
      <w:r>
        <w:rPr/>
        <w:t>日最低</w:t>
      </w:r>
      <w:r>
        <w:rPr/>
        <w:t>11.98</w:t>
      </w:r>
      <w:r>
        <w:rPr/>
        <w:t>、最高</w:t>
      </w:r>
      <w:r>
        <w:rPr/>
        <w:t>16.20</w:t>
      </w:r>
      <w:r>
        <w:rPr/>
        <w:t>，是未经触碰次数筛选的区间观察位。从</w:t>
      </w:r>
      <w:r>
        <w:rPr/>
        <w:t>12.73</w:t>
      </w:r>
      <w:r>
        <w:rPr/>
        <w:t>到</w:t>
      </w:r>
      <w:r>
        <w:rPr/>
        <w:t>11.98</w:t>
      </w:r>
      <w:r>
        <w:rPr/>
        <w:t>约负</w:t>
      </w:r>
      <w:r>
        <w:rPr/>
        <w:t>5.89%</w:t>
      </w:r>
      <w:r>
        <w:rPr/>
        <w:t>，到</w:t>
      </w:r>
      <w:r>
        <w:rPr/>
        <w:t>16.20</w:t>
      </w:r>
      <w:r>
        <w:rPr/>
        <w:t>约正</w:t>
      </w:r>
      <w:r>
        <w:rPr/>
        <w:t>27.26%</w:t>
      </w:r>
      <w:r>
        <w:rPr/>
        <w:t>；它们不是精确买卖指令。</w:t>
      </w:r>
      <w:r>
        <w:rPr/>
        <w:t>11.98</w:t>
      </w:r>
      <w:r>
        <w:rPr/>
        <w:t>也是基准日低点，单日低位反弹可以说明当日卖压后有承接，但不能证明未来支撑牢固。更有意义的是后续是否多次在该区域减少下跌速度、收盘守住、成交下降，并在反弹时重新收复短均线；跌破后原支撑可能转换成压力。</w:t>
      </w:r>
    </w:p>
    <w:p>
      <w:pPr>
        <w:pStyle w:val="Normal"/>
        <w:rPr/>
      </w:pPr>
      <w:r>
        <w:rPr/>
        <w:t>日线最近</w:t>
      </w:r>
      <w:r>
        <w:rPr/>
        <w:t>252</w:t>
      </w:r>
      <w:r>
        <w:rPr/>
        <w:t>日高</w:t>
      </w:r>
      <w:r>
        <w:rPr/>
        <w:t>20.18</w:t>
      </w:r>
      <w:r>
        <w:rPr/>
        <w:t>、低</w:t>
      </w:r>
      <w:r>
        <w:rPr/>
        <w:t>9.65</w:t>
      </w:r>
      <w:r>
        <w:rPr/>
        <w:t>，现价距高低分别负</w:t>
      </w:r>
      <w:r>
        <w:rPr/>
        <w:t>36.92%</w:t>
      </w:r>
      <w:r>
        <w:rPr/>
        <w:t>和正</w:t>
      </w:r>
      <w:r>
        <w:rPr/>
        <w:t>31.92%</w:t>
      </w:r>
      <w:r>
        <w:rPr/>
        <w:t>，最大回撤约</w:t>
      </w:r>
      <w:r>
        <w:rPr/>
        <w:t>47.18%</w:t>
      </w:r>
      <w:r>
        <w:rPr/>
        <w:t>。周线</w:t>
      </w:r>
      <w:r>
        <w:rPr/>
        <w:t>52</w:t>
      </w:r>
      <w:r>
        <w:rPr/>
        <w:t>周高</w:t>
      </w:r>
      <w:r>
        <w:rPr/>
        <w:t>16.20</w:t>
      </w:r>
      <w:r>
        <w:rPr/>
        <w:t>与日窗口高</w:t>
      </w:r>
      <w:r>
        <w:rPr/>
        <w:t>20.18</w:t>
      </w:r>
      <w:r>
        <w:rPr/>
        <w:t>不同，来自滚动窗口和边界日期，不能择低高点制造较浅回撤。对于进取投资者，这种历史波动说明</w:t>
      </w:r>
      <w:r>
        <w:rPr/>
        <w:t>15%</w:t>
      </w:r>
      <w:r>
        <w:rPr/>
        <w:t>的基准半年上行并不是压倒性风险收益优势。</w:t>
      </w:r>
      <w:r>
        <w:rPr/>
        <w:t>ATR</w:t>
      </w:r>
      <w:r>
        <w:rPr/>
        <w:t>约</w:t>
      </w:r>
      <w:r>
        <w:rPr/>
        <w:t>0.9026</w:t>
      </w:r>
      <w:r>
        <w:rPr/>
        <w:t>港元、占价格</w:t>
      </w:r>
      <w:r>
        <w:rPr/>
        <w:t>7.09%</w:t>
      </w:r>
      <w:r>
        <w:rPr/>
        <w:t>，正常波动就可能很大，技术失效区域应有时间和波幅容忍，而非假装精准止损必然成交。</w:t>
      </w:r>
    </w:p>
    <w:p>
      <w:pPr>
        <w:pStyle w:val="Normal"/>
        <w:rPr/>
      </w:pPr>
      <w:r>
        <w:rPr/>
        <w:t>基准日成交</w:t>
      </w:r>
      <w:r>
        <w:rPr/>
        <w:t>950.995</w:t>
      </w:r>
      <w:r>
        <w:rPr/>
        <w:t>万股、成交额</w:t>
      </w:r>
      <w:r>
        <w:rPr/>
        <w:t>1.18085</w:t>
      </w:r>
      <w:r>
        <w:rPr/>
        <w:t>亿港元，较前</w:t>
      </w:r>
      <w:r>
        <w:rPr/>
        <w:t>20</w:t>
      </w:r>
      <w:r>
        <w:rPr/>
        <w:t>日均量的量比约</w:t>
      </w:r>
      <w:r>
        <w:rPr/>
        <w:t>0.9888</w:t>
      </w:r>
      <w:r>
        <w:rPr/>
        <w:t>；五、</w:t>
      </w:r>
      <w:r>
        <w:rPr/>
        <w:t>20</w:t>
      </w:r>
      <w:r>
        <w:rPr/>
        <w:t>、</w:t>
      </w:r>
      <w:r>
        <w:rPr/>
        <w:t>60</w:t>
      </w:r>
      <w:r>
        <w:rPr/>
        <w:t>日均量</w:t>
      </w:r>
      <w:r>
        <w:rPr/>
        <w:t>641.36</w:t>
      </w:r>
      <w:r>
        <w:rPr/>
        <w:t>、</w:t>
      </w:r>
      <w:r>
        <w:rPr/>
        <w:t>963.87</w:t>
      </w:r>
      <w:r>
        <w:rPr/>
        <w:t>、</w:t>
      </w:r>
      <w:r>
        <w:rPr/>
        <w:t>828.81</w:t>
      </w:r>
      <w:r>
        <w:rPr/>
        <w:t>万股。相对五日近期冷清水平当天较活跃，但相对</w:t>
      </w:r>
      <w:r>
        <w:rPr/>
        <w:t>20</w:t>
      </w:r>
      <w:r>
        <w:rPr/>
        <w:t>日常态并未显著放量，不能称强劲放量突破。</w:t>
      </w:r>
      <w:r>
        <w:rPr/>
        <w:t>20</w:t>
      </w:r>
      <w:r>
        <w:rPr/>
        <w:t>日上涨日累计</w:t>
      </w:r>
      <w:r>
        <w:rPr/>
        <w:t>9152.58</w:t>
      </w:r>
      <w:r>
        <w:rPr/>
        <w:t>万股、下跌日</w:t>
      </w:r>
      <w:r>
        <w:rPr/>
        <w:t>10124.81</w:t>
      </w:r>
      <w:r>
        <w:rPr/>
        <w:t>万股，上下量比</w:t>
      </w:r>
      <w:r>
        <w:rPr/>
        <w:t>0.904</w:t>
      </w:r>
      <w:r>
        <w:rPr/>
        <w:t>，九天上涨、十一天下跌。这个简单统计表明卖出波段成交更重，不能直接推断具体机构净流出。</w:t>
      </w:r>
    </w:p>
    <w:p>
      <w:pPr>
        <w:pStyle w:val="Normal"/>
        <w:rPr/>
      </w:pPr>
      <w:r>
        <w:rPr/>
        <w:t>过去</w:t>
      </w:r>
      <w:r>
        <w:rPr/>
        <w:t>20</w:t>
      </w:r>
      <w:r>
        <w:rPr/>
        <w:t>日股价负</w:t>
      </w:r>
      <w:r>
        <w:rPr/>
        <w:t>7.01%</w:t>
      </w:r>
      <w:r>
        <w:rPr/>
        <w:t>、</w:t>
      </w:r>
      <w:r>
        <w:rPr/>
        <w:t>60</w:t>
      </w:r>
      <w:r>
        <w:rPr/>
        <w:t>日负</w:t>
      </w:r>
      <w:r>
        <w:rPr/>
        <w:t>13.34%</w:t>
      </w:r>
      <w:r>
        <w:rPr/>
        <w:t>；恒生指数同期负</w:t>
      </w:r>
      <w:r>
        <w:rPr/>
        <w:t>2.98%</w:t>
      </w:r>
      <w:r>
        <w:rPr/>
        <w:t>、负</w:t>
      </w:r>
      <w:r>
        <w:rPr/>
        <w:t>3.19%</w:t>
      </w:r>
      <w:r>
        <w:rPr/>
        <w:t>，超额分别负</w:t>
      </w:r>
      <w:r>
        <w:rPr/>
        <w:t>4.03</w:t>
      </w:r>
      <w:r>
        <w:rPr/>
        <w:t>和负</w:t>
      </w:r>
      <w:r>
        <w:rPr/>
        <w:t>10.15</w:t>
      </w:r>
      <w:r>
        <w:rPr/>
        <w:t>个百分点。相对国证港股通创新药粗基准也分别落后</w:t>
      </w:r>
      <w:r>
        <w:rPr/>
        <w:t>7.89</w:t>
      </w:r>
      <w:r>
        <w:rPr/>
        <w:t>和</w:t>
      </w:r>
      <w:r>
        <w:rPr/>
        <w:t>10.12</w:t>
      </w:r>
      <w:r>
        <w:rPr/>
        <w:t>个百分点。行业指数是官方单来源价回报、非含息，不作为公司专属同行组合；这个限制不会改变诺诚近期相对偏弱的方向。短期评分</w:t>
      </w:r>
      <w:r>
        <w:rPr/>
        <w:t>1.6</w:t>
      </w:r>
      <w:r>
        <w:rPr/>
        <w:t>分反映趋势和相对强弱一起较差，未重复把</w:t>
      </w:r>
      <w:r>
        <w:rPr/>
        <w:t>RSI</w:t>
      </w:r>
      <w:r>
        <w:rPr/>
        <w:t>、</w:t>
      </w:r>
      <w:r>
        <w:rPr/>
        <w:t>MACD</w:t>
      </w:r>
      <w:r>
        <w:rPr/>
        <w:t>及均线各算一次同一种下跌信号。</w:t>
      </w:r>
    </w:p>
    <w:p>
      <w:pPr>
        <w:pStyle w:val="Normal"/>
        <w:rPr/>
      </w:pPr>
      <w:r>
        <w:rPr/>
        <w:t>RSI14</w:t>
      </w:r>
      <w:r>
        <w:rPr/>
        <w:t>约</w:t>
      </w:r>
      <w:r>
        <w:rPr/>
        <w:t>38.57</w:t>
      </w:r>
      <w:r>
        <w:rPr/>
        <w:t>，</w:t>
      </w:r>
      <w:r>
        <w:rPr/>
        <w:t>DIF</w:t>
      </w:r>
      <w:r>
        <w:rPr/>
        <w:t>负</w:t>
      </w:r>
      <w:r>
        <w:rPr/>
        <w:t>0.3934</w:t>
      </w:r>
      <w:r>
        <w:rPr/>
        <w:t>、</w:t>
      </w:r>
      <w:r>
        <w:rPr/>
        <w:t>DEA</w:t>
      </w:r>
      <w:r>
        <w:rPr/>
        <w:t>负</w:t>
      </w:r>
      <w:r>
        <w:rPr/>
        <w:t>0.1490</w:t>
      </w:r>
      <w:r>
        <w:rPr/>
        <w:t>、柱负</w:t>
      </w:r>
      <w:r>
        <w:rPr/>
        <w:t>0.4887</w:t>
      </w:r>
      <w:r>
        <w:rPr/>
        <w:t>，意味着价格动量仍偏弱，但尚非能够证明必然反弹的信号。观察修复可以分两层：先能否回到</w:t>
      </w:r>
      <w:r>
        <w:rPr/>
        <w:t>13.41</w:t>
      </w:r>
      <w:r>
        <w:rPr/>
        <w:t>至</w:t>
      </w:r>
      <w:r>
        <w:rPr/>
        <w:t>13.45</w:t>
      </w:r>
      <w:r>
        <w:rPr/>
        <w:t>附近的中长日均线区域，再能否收复</w:t>
      </w:r>
      <w:r>
        <w:rPr/>
        <w:t>14.35</w:t>
      </w:r>
      <w:r>
        <w:rPr/>
        <w:t>至</w:t>
      </w:r>
      <w:r>
        <w:rPr/>
        <w:t>14.39</w:t>
      </w:r>
      <w:r>
        <w:rPr/>
        <w:t>的</w:t>
      </w:r>
      <w:r>
        <w:rPr/>
        <w:t>20</w:t>
      </w:r>
      <w:r>
        <w:rPr/>
        <w:t>与</w:t>
      </w:r>
      <w:r>
        <w:rPr/>
        <w:t>60</w:t>
      </w:r>
      <w:r>
        <w:rPr/>
        <w:t>日均线。若突破需要持续收盘站稳、成交改善、相对行业回报转正支持；单日拉升或盘中穿越不足。若</w:t>
      </w:r>
      <w:r>
        <w:rPr/>
        <w:t>11.98</w:t>
      </w:r>
      <w:r>
        <w:rPr/>
        <w:t>失守并伴随下跌成交扩大、均线进一步下弯，半年技术论据应明确失效。</w:t>
      </w:r>
    </w:p>
    <w:p>
      <w:pPr>
        <w:pStyle w:val="Normal"/>
        <w:rPr/>
      </w:pPr>
      <w:r>
        <w:rPr/>
        <w:t>没有逐笔交易、完整订单簿或受益所有人数据，本章不绘制声称精确的成交筹码分布，也不把缩量震荡说成“主力吸筹”。成交额与股量能核验，精确换手率因自由流通分母不足不填造；用港股法定全股数算出的比例与真实可交易浮筹周转不同。图形的作用是辨认风险偏好、供需行为和入场条件，不承担证明临床成功或经营价值的任务。任何技术修复都仍需与年报、注册公告和估值假设共同判断。</w:t>
      </w:r>
    </w:p>
    <w:p>
      <w:pPr>
        <w:pStyle w:val="Heading2"/>
        <w:rPr/>
      </w:pPr>
      <w:r>
        <w:rPr>
          <w:color w:val="000000"/>
        </w:rPr>
        <w:t>十三 半年与一年 催化剂何时成为每股价值</w:t>
      </w:r>
    </w:p>
    <w:p>
      <w:pPr>
        <w:pStyle w:val="Normal"/>
        <w:rPr/>
      </w:pPr>
      <w:r>
        <w:rPr/>
        <w:t>半年目标</w:t>
      </w:r>
      <w:r>
        <w:rPr/>
        <w:t>2027</w:t>
      </w:r>
      <w:r>
        <w:rPr/>
        <w:t>年</w:t>
      </w:r>
      <w:r>
        <w:rPr/>
        <w:t>4</w:t>
      </w:r>
      <w:r>
        <w:rPr/>
        <w:t>月</w:t>
      </w:r>
      <w:r>
        <w:rPr/>
        <w:t>9</w:t>
      </w:r>
      <w:r>
        <w:rPr/>
        <w:t>日，基准</w:t>
      </w:r>
      <w:r>
        <w:rPr/>
        <w:t>14.5968</w:t>
      </w:r>
      <w:r>
        <w:rPr/>
        <w:t>、上涨</w:t>
      </w:r>
      <w:r>
        <w:rPr/>
        <w:t>14.66%</w:t>
      </w:r>
      <w:r>
        <w:rPr/>
        <w:t>，悲观</w:t>
      </w:r>
      <w:r>
        <w:rPr/>
        <w:t>4.8324</w:t>
      </w:r>
      <w:r>
        <w:rPr/>
        <w:t>、下降</w:t>
      </w:r>
      <w:r>
        <w:rPr/>
        <w:t>62.04%</w:t>
      </w:r>
      <w:r>
        <w:rPr/>
        <w:t>，乐观</w:t>
      </w:r>
      <w:r>
        <w:rPr/>
        <w:t>31.5396</w:t>
      </w:r>
      <w:r>
        <w:rPr/>
        <w:t>、上涨</w:t>
      </w:r>
      <w:r>
        <w:rPr/>
        <w:t>147.76%</w:t>
      </w:r>
      <w:r>
        <w:rPr/>
        <w:t>。乐观右尾要求多个因素共同改善：监管流程、长期安全或新数据显著增强市场信心，产品销售强于预期，且风险偏好允许部分远期现金流更快被识别。它不是最可能结果，也不是承诺半年股价翻倍。当前下行趋势使短期赔率缺少量价确认，</w:t>
      </w:r>
      <w:r>
        <w:rPr/>
        <w:t>60.4</w:t>
      </w:r>
      <w:r>
        <w:rPr/>
        <w:t>分应理解为等待条件改善的研究候选。</w:t>
      </w:r>
    </w:p>
    <w:p>
      <w:pPr>
        <w:pStyle w:val="Normal"/>
        <w:rPr/>
      </w:pPr>
      <w:r>
        <w:rPr/>
        <w:t>半年基准现金预算仍处于研发和新产品投入阶段，</w:t>
      </w:r>
      <w:r>
        <w:rPr/>
        <w:t>FCFF</w:t>
      </w:r>
      <w:r>
        <w:rPr/>
        <w:t>没有完全转正。因此股价收益主要来自信息改善与风险折价减小，而不是短时间累计巨额经营现金。年度产品销售、处方持续性、授权收款真实性、政府与收购义务支付进程，以及自免申报节点，都能改变市场预期。催化剂名单不能当作确定日程：除公司明确披露日期外，本章不编造</w:t>
      </w:r>
      <w:r>
        <w:rPr/>
        <w:t>NDA</w:t>
      </w:r>
      <w:r>
        <w:rPr/>
        <w:t>批准日或注册结果；延迟会影响收入起始年、现金烧损和折现，而不仅影响情绪。</w:t>
      </w:r>
    </w:p>
    <w:p>
      <w:pPr>
        <w:pStyle w:val="Normal"/>
        <w:rPr/>
      </w:pPr>
      <w:r>
        <w:rPr/>
        <w:t>一年基准</w:t>
      </w:r>
      <w:r>
        <w:rPr/>
        <w:t>15.5984</w:t>
      </w:r>
      <w:r>
        <w:rPr/>
        <w:t>、上涨</w:t>
      </w:r>
      <w:r>
        <w:rPr/>
        <w:t>22.53%</w:t>
      </w:r>
      <w:r>
        <w:rPr/>
        <w:t>，悲观</w:t>
      </w:r>
      <w:r>
        <w:rPr/>
        <w:t>4.9583</w:t>
      </w:r>
      <w:r>
        <w:rPr/>
        <w:t>、下降</w:t>
      </w:r>
      <w:r>
        <w:rPr/>
        <w:t>61.04%</w:t>
      </w:r>
      <w:r>
        <w:rPr/>
        <w:t>，乐观</w:t>
      </w:r>
      <w:r>
        <w:rPr/>
        <w:t>41.3242</w:t>
      </w:r>
      <w:r>
        <w:rPr/>
        <w:t>。该期限更容易观察到奥布替尼现有商业表现和</w:t>
      </w:r>
      <w:r>
        <w:rPr/>
        <w:t>TYK2</w:t>
      </w:r>
      <w:r>
        <w:rPr/>
        <w:t>申报推进，也有机会取得</w:t>
      </w:r>
      <w:r>
        <w:rPr/>
        <w:t>ICP-248</w:t>
      </w:r>
      <w:r>
        <w:rPr/>
        <w:t>更成熟注册证据。但一年价格仍对多年产品组合价值敏感，因为模型</w:t>
      </w:r>
      <w:r>
        <w:rPr/>
        <w:t>2027</w:t>
      </w:r>
      <w:r>
        <w:rPr/>
        <w:t>经营现金仍弱，</w:t>
      </w:r>
      <w:r>
        <w:rPr/>
        <w:t>2028</w:t>
      </w:r>
      <w:r>
        <w:rPr/>
        <w:t>之后的规模收益才开始承担主要支撑。若年内新品获批但标签、支付和医生渗透低于预期，估值不能只按批准新闻上调，应看实际上市质量。</w:t>
      </w:r>
    </w:p>
    <w:p>
      <w:pPr>
        <w:pStyle w:val="Normal"/>
        <w:rPr/>
      </w:pPr>
      <w:r>
        <w:rPr/>
        <w:t>一年正常</w:t>
      </w:r>
      <w:r>
        <w:rPr/>
        <w:t>EPS</w:t>
      </w:r>
      <w:r>
        <w:rPr/>
        <w:t>基准约</w:t>
      </w:r>
      <w:r>
        <w:rPr/>
        <w:t>0.164</w:t>
      </w:r>
      <w:r>
        <w:rPr/>
        <w:t>元人民币，即使机械换算为港币，股价除以它仍是较高倍数，说明投资者购买的是未来组合而非单年低</w:t>
      </w:r>
      <w:r>
        <w:rPr/>
        <w:t>PE</w:t>
      </w:r>
      <w:r>
        <w:rPr/>
        <w:t>。与高成长公司相比，这不一定不合理；但相对已成熟盈利医药，它要求更多未来证据。若全年报告利润因</w:t>
      </w:r>
      <w:r>
        <w:rPr/>
        <w:t>BD</w:t>
      </w:r>
      <w:r>
        <w:rPr/>
        <w:t>转正，而产品现金与费用关系没有改善，本章不会因为</w:t>
      </w:r>
      <w:r>
        <w:rPr/>
        <w:t>PE</w:t>
      </w:r>
      <w:r>
        <w:rPr/>
        <w:t>下降自动提高推荐。反之，若产品毛利能稳定覆盖研发销售行政且应收回款良好，估值可信度可以提高。</w:t>
      </w:r>
    </w:p>
    <w:p>
      <w:pPr>
        <w:pStyle w:val="Normal"/>
        <w:rPr/>
      </w:pPr>
      <w:r>
        <w:rPr/>
        <w:t>半年与一年最重要反证包括：奥布替尼增长显著低于本章基准、合并毛利好看却引进产品经济性不足、研发支出超预算、关键试验与监管安全要求延长时间、以及新股融资价格过低。技术上的跌破观察位会降低短期分，基本面失效则同时降低所有期限的分。两类反证不要互相替代：价格上涨不能证明研发费用合理，价格下跌也不能单独证明药物失败。推荐必须由对应证据更新，才能保留研究纪律。</w:t>
      </w:r>
    </w:p>
    <w:p>
      <w:pPr>
        <w:pStyle w:val="Heading2"/>
        <w:rPr/>
      </w:pPr>
      <w:r>
        <w:rPr>
          <w:color w:val="000000"/>
        </w:rPr>
        <w:t>十四 三年与五年 成长兑现后仍要看每股现金</w:t>
      </w:r>
    </w:p>
    <w:p>
      <w:pPr>
        <w:pStyle w:val="Normal"/>
        <w:rPr/>
      </w:pPr>
      <w:r>
        <w:rPr/>
        <w:t>三年基准</w:t>
      </w:r>
      <w:r>
        <w:rPr/>
        <w:t>18.5297</w:t>
      </w:r>
      <w:r>
        <w:rPr/>
        <w:t>港元、股价上涨</w:t>
      </w:r>
      <w:r>
        <w:rPr/>
        <w:t>45.56%</w:t>
      </w:r>
      <w:r>
        <w:rPr/>
        <w:t>、含息年化</w:t>
      </w:r>
      <w:r>
        <w:rPr/>
        <w:t>13.33%</w:t>
      </w:r>
      <w:r>
        <w:rPr/>
        <w:t>；五年基准</w:t>
      </w:r>
      <w:r>
        <w:rPr/>
        <w:t>21.6295</w:t>
      </w:r>
      <w:r>
        <w:rPr/>
        <w:t>、上涨</w:t>
      </w:r>
      <w:r>
        <w:rPr/>
        <w:t>69.91%</w:t>
      </w:r>
      <w:r>
        <w:rPr/>
        <w:t>，基准累计股息仅</w:t>
      </w:r>
      <w:r>
        <w:rPr/>
        <w:t>0.03</w:t>
      </w:r>
      <w:r>
        <w:rPr/>
        <w:t>港元、含息总回报</w:t>
      </w:r>
      <w:r>
        <w:rPr/>
        <w:t>70.15%</w:t>
      </w:r>
      <w:r>
        <w:rPr/>
        <w:t>、年化</w:t>
      </w:r>
      <w:r>
        <w:rPr/>
        <w:t>11.22%</w:t>
      </w:r>
      <w:r>
        <w:rPr/>
        <w:t>。后者年化低于三年，不是模型矛盾，而是有限生命周期、费用、竞争和更大分母逐渐限制新增每股价值。模型没有让长期收益自动高于短期，也没有将五年期间每年都假设同一上涨率；当前成长跃迁后，价值增加速度可能减慢。</w:t>
      </w:r>
    </w:p>
    <w:p>
      <w:pPr>
        <w:pStyle w:val="Normal"/>
        <w:rPr/>
      </w:pPr>
      <w:r>
        <w:rPr/>
        <w:t>三年窗口核心是多个资产是否从研究证据转成产品经营体系。基准到</w:t>
      </w:r>
      <w:r>
        <w:rPr/>
        <w:t>2029</w:t>
      </w:r>
      <w:r>
        <w:rPr/>
        <w:t>收入</w:t>
      </w:r>
      <w:r>
        <w:rPr/>
        <w:t>48.2622</w:t>
      </w:r>
      <w:r>
        <w:rPr/>
        <w:t>亿元、研发</w:t>
      </w:r>
      <w:r>
        <w:rPr/>
        <w:t>12.8</w:t>
      </w:r>
      <w:r>
        <w:rPr/>
        <w:t>亿元、</w:t>
      </w:r>
      <w:r>
        <w:rPr/>
        <w:t>FCFF</w:t>
      </w:r>
      <w:r>
        <w:rPr/>
        <w:t>约</w:t>
      </w:r>
      <w:r>
        <w:rPr/>
        <w:t>9.1817</w:t>
      </w:r>
      <w:r>
        <w:rPr/>
        <w:t>亿元，需要既有产品继续增长、部分</w:t>
      </w:r>
      <w:r>
        <w:rPr/>
        <w:t>ICP-248</w:t>
      </w:r>
      <w:r>
        <w:rPr/>
        <w:t>和</w:t>
      </w:r>
      <w:r>
        <w:rPr/>
        <w:t>TYK2</w:t>
      </w:r>
      <w:r>
        <w:rPr/>
        <w:t>商业启动，同时销售组织吸收新品费用。若达成，公司将更接近可以以正常现金估值的企业，财务质量分提高。若仅授权交易带来利润，但商业化新品不赚钱，不能认定完成转型。三年推荐分</w:t>
      </w:r>
      <w:r>
        <w:rPr/>
        <w:t>75.4</w:t>
      </w:r>
      <w:r>
        <w:rPr/>
        <w:t>体现成长空间及真实产品基础，也留足失败下行。</w:t>
      </w:r>
    </w:p>
    <w:p>
      <w:pPr>
        <w:pStyle w:val="Normal"/>
        <w:rPr/>
      </w:pPr>
      <w:r>
        <w:rPr/>
        <w:t>五年要求更高：不是只等到一次数据读出，而是维持慢性患者使用、医生口碑、支付谈判、研发生产质量及人才系统。基准</w:t>
      </w:r>
      <w:r>
        <w:rPr/>
        <w:t>2031</w:t>
      </w:r>
      <w:r>
        <w:rPr/>
        <w:t>现金约</w:t>
      </w:r>
      <w:r>
        <w:rPr/>
        <w:t>136.56</w:t>
      </w:r>
      <w:r>
        <w:rPr/>
        <w:t>亿元属于年度预算结果，仍需在各次分红、资本开支和债务后确认；到目标日期通过年度线性插值约</w:t>
      </w:r>
      <w:r>
        <w:rPr/>
        <w:t>129.43</w:t>
      </w:r>
      <w:r>
        <w:rPr/>
        <w:t>亿元，不能称真实未来银行余额。把累计现金加到剩余</w:t>
      </w:r>
      <w:r>
        <w:rPr/>
        <w:t>FCFF</w:t>
      </w:r>
      <w:r>
        <w:rPr/>
        <w:t>价值后只计算一次，并减尚未清偿债务，才能区分公司积累的财富与已花掉的研发支出。</w:t>
      </w:r>
    </w:p>
    <w:p>
      <w:pPr>
        <w:pStyle w:val="Normal"/>
        <w:rPr/>
      </w:pPr>
      <w:r>
        <w:rPr/>
        <w:t>悲观长期目标约</w:t>
      </w:r>
      <w:r>
        <w:rPr/>
        <w:t>5.23</w:t>
      </w:r>
      <w:r>
        <w:rPr/>
        <w:t>至</w:t>
      </w:r>
      <w:r>
        <w:rPr/>
        <w:t>5.39</w:t>
      </w:r>
      <w:r>
        <w:rPr/>
        <w:t>港元，反映核心业务尚存在、部分项目较低成功率、费用适时收缩与现金储备；这不是最坏情景。如果多个项目失败而公司不缩减费用，现金储备会更快减少；若发生重大治理或资产损失，跌幅也能超出本章区间。乐观三年</w:t>
      </w:r>
      <w:r>
        <w:rPr/>
        <w:t>48.8067</w:t>
      </w:r>
      <w:r>
        <w:rPr/>
        <w:t>、五年</w:t>
      </w:r>
      <w:r>
        <w:rPr/>
        <w:t>56.7342</w:t>
      </w:r>
      <w:r>
        <w:rPr/>
        <w:t>，需要重要自免和组合疗法成功且净价格、份额及资本效率同时较强。右尾对期望价影响大，不能把高期望当作低亏损概率。</w:t>
      </w:r>
    </w:p>
    <w:p>
      <w:pPr>
        <w:pStyle w:val="Normal"/>
        <w:rPr/>
      </w:pPr>
      <w:r>
        <w:rPr/>
        <w:t>十年经营展望中，公司最有希望形成小分子与免疫机制组合的持续创新平台，以商业产品现金支撑下一代资产。但长期能力取决于发现项目能否持续进入有临床差异的候选、后期试验能否避免重复拥挤赛道、全球合作能否保留合理经济权利及研发组织能否停止低效投入。</w:t>
      </w:r>
      <w:r>
        <w:rPr/>
        <w:t>2035</w:t>
      </w:r>
      <w:r>
        <w:rPr/>
        <w:t>之后当前品种可能被新疗法和专利竞争侵蚀，真正十年价值应来自持续替换产品，而不是当前药物无限增长。没有足够临床与专利证据，本章不赋予永续平台溢价。</w:t>
      </w:r>
    </w:p>
    <w:p>
      <w:pPr>
        <w:pStyle w:val="Heading2"/>
        <w:rPr/>
      </w:pPr>
      <w:r>
        <w:rPr>
          <w:color w:val="000000"/>
        </w:rPr>
        <w:t>十五 宏观 行业周期与政策如何具体改变本公司</w:t>
      </w:r>
    </w:p>
    <w:p>
      <w:pPr>
        <w:pStyle w:val="Normal"/>
        <w:rPr/>
      </w:pPr>
      <w:r>
        <w:rPr/>
        <w:t>利率对诺诚有两个方向的作用。利率下降减少现金银行收益，也可能降低借款费用；更重要的是远期临床现金流的折现率降低，常提高创新药估值。由于模型业务现值不含存款利息，折现率与现金收益分别进入不同部分，不会把宽松利率的好处算两次。若全球利率上升而风险偏好下降，远期自免和早期许可现金更敏感，短期股价可以先下跌，即便现有药物处方尚未变化，这正是长期业务与半年趋势不能直接互换的原因。</w:t>
      </w:r>
    </w:p>
    <w:p>
      <w:pPr>
        <w:pStyle w:val="Normal"/>
        <w:rPr/>
      </w:pPr>
      <w:r>
        <w:rPr/>
        <w:t>国内医保与医院准入影响实际销量和净价。奥布替尼一线医保扩大患者可达性，但议价也可能压低单患者收入；新品自免领域的病人数量很大，支付端可能更严格比较生物制剂和其他口服药。宏观需求不能只看总患病率，还要看可诊断、符合标签、被医生选择、能支付、愿持续治疗的患者链。基准峰值是这种链路下的研究判断，若医保谈判价格低于假设，销量增加未必弥补单价下降，应同时更新毛利和销售费用。</w:t>
      </w:r>
    </w:p>
    <w:p>
      <w:pPr>
        <w:pStyle w:val="Normal"/>
        <w:rPr/>
      </w:pPr>
      <w:r>
        <w:rPr/>
        <w:t>海外政策会通过合作合同、融资与监管路径影响公司。美国对中国临床数据或投资技术范围的政策讨论，应以原法条和执行规则为准，不能把新闻中的拟议规则写成已生效禁令。诺诚对外许可地理安排让受方承担部分海外开发，但跨境资金和研发合作仍受监管。若限制范围收窄、优质合作继续发生，可降低部分风险折价；若规则影响关键数据接受或合作支付，则需调整上市年及开发成本。行业政策情绪波动尤其会影响本章半年的市场识别因子。</w:t>
      </w:r>
    </w:p>
    <w:p>
      <w:pPr>
        <w:pStyle w:val="Normal"/>
        <w:rPr/>
      </w:pPr>
      <w:r>
        <w:rPr/>
        <w:t>创新药行业周期既包含资金供给，也包含临床证据周期。融资活跃时早期项目更容易获得伙伴与资金，高额交易新闻促进估值；资金紧张时同样的项目可能被延迟或要求更低权益价格。诺诚现金储备和商业平台较强，具有穿越部分融资低谷的条件，但不能因此忽略银行、政府款、收购与研发支出。景气上行能让潜在价值更快被市场识别，真正可持续价值仍需长期疗效和现金回报，而不是高交易总额新闻的数量。</w:t>
      </w:r>
    </w:p>
    <w:p>
      <w:pPr>
        <w:pStyle w:val="Heading2"/>
        <w:rPr/>
      </w:pPr>
      <w:r>
        <w:rPr>
          <w:color w:val="000000"/>
        </w:rPr>
        <w:t>十六 年底情景 期望与机构目标的使用边界</w:t>
      </w:r>
    </w:p>
    <w:p>
      <w:pPr>
        <w:pStyle w:val="Normal"/>
        <w:rPr/>
      </w:pPr>
      <w:r>
        <w:rPr/>
        <w:t>年底悲观</w:t>
      </w:r>
      <w:r>
        <w:rPr/>
        <w:t>4.7684</w:t>
      </w:r>
      <w:r>
        <w:rPr/>
        <w:t>港元，较现价下降</w:t>
      </w:r>
      <w:r>
        <w:rPr/>
        <w:t>62.54%</w:t>
      </w:r>
      <w:r>
        <w:rPr/>
        <w:t>，对应产品增长或临床预期明显下修、远期开发兑现较弱及市场对研究资产的折价；基准</w:t>
      </w:r>
      <w:r>
        <w:rPr/>
        <w:t>14.0185</w:t>
      </w:r>
      <w:r>
        <w:rPr/>
        <w:t>、上涨</w:t>
      </w:r>
      <w:r>
        <w:rPr/>
        <w:t>10.12%</w:t>
      </w:r>
      <w:r>
        <w:rPr/>
        <w:t>，要求商业销售和重要研究按计划、条件款部分取得且费用纪律维持；乐观</w:t>
      </w:r>
      <w:r>
        <w:rPr/>
        <w:t>24.4074</w:t>
      </w:r>
      <w:r>
        <w:rPr/>
        <w:t>、上涨</w:t>
      </w:r>
      <w:r>
        <w:rPr/>
        <w:t>91.73%</w:t>
      </w:r>
      <w:r>
        <w:rPr/>
        <w:t>，要求产品及自免证据较强、市场较快识别远期价值。年底时间短，所以乐观只识别</w:t>
      </w:r>
      <w:r>
        <w:rPr/>
        <w:t>45%</w:t>
      </w:r>
      <w:r>
        <w:rPr/>
        <w:t>内在价值变化，基准</w:t>
      </w:r>
      <w:r>
        <w:rPr/>
        <w:t>70%</w:t>
      </w:r>
      <w:r>
        <w:rPr/>
        <w:t>；不是把一年机构目标按两个月线性缩放。</w:t>
      </w:r>
    </w:p>
    <w:p>
      <w:pPr>
        <w:pStyle w:val="Normal"/>
        <w:rPr/>
      </w:pPr>
      <w:r>
        <w:rPr/>
        <w:t>默认</w:t>
      </w:r>
      <w:r>
        <w:rPr/>
        <w:t>25%</w:t>
      </w:r>
      <w:r>
        <w:rPr/>
        <w:t>、</w:t>
      </w:r>
      <w:r>
        <w:rPr/>
        <w:t>50%</w:t>
      </w:r>
      <w:r>
        <w:rPr/>
        <w:t>、</w:t>
      </w:r>
      <w:r>
        <w:rPr/>
        <w:t>25%</w:t>
      </w:r>
      <w:r>
        <w:rPr/>
        <w:t>研究权重给出年底期望</w:t>
      </w:r>
      <w:r>
        <w:rPr/>
        <w:t>14.3032</w:t>
      </w:r>
      <w:r>
        <w:rPr/>
        <w:t>港元、期望股价回报</w:t>
      </w:r>
      <w:r>
        <w:rPr/>
        <w:t>12.36%</w:t>
      </w:r>
      <w:r>
        <w:rPr/>
        <w:t>。若权重改为悲观</w:t>
      </w:r>
      <w:r>
        <w:rPr/>
        <w:t>40%</w:t>
      </w:r>
      <w:r>
        <w:rPr/>
        <w:t>、基准</w:t>
      </w:r>
      <w:r>
        <w:rPr/>
        <w:t>40%</w:t>
      </w:r>
      <w:r>
        <w:rPr/>
        <w:t>、乐观</w:t>
      </w:r>
      <w:r>
        <w:rPr/>
        <w:t>20%</w:t>
      </w:r>
      <w:r>
        <w:rPr/>
        <w:t>，期望</w:t>
      </w:r>
      <w:r>
        <w:rPr/>
        <w:t>12.3963</w:t>
      </w:r>
      <w:r>
        <w:rPr/>
        <w:t>、负</w:t>
      </w:r>
      <w:r>
        <w:rPr/>
        <w:t>2.62%</w:t>
      </w:r>
      <w:r>
        <w:rPr/>
        <w:t>；若改为</w:t>
      </w:r>
      <w:r>
        <w:rPr/>
        <w:t>20%</w:t>
      </w:r>
      <w:r>
        <w:rPr/>
        <w:t>、</w:t>
      </w:r>
      <w:r>
        <w:rPr/>
        <w:t>40%</w:t>
      </w:r>
      <w:r>
        <w:rPr/>
        <w:t>、</w:t>
      </w:r>
      <w:r>
        <w:rPr/>
        <w:t>40%</w:t>
      </w:r>
      <w:r>
        <w:rPr/>
        <w:t>，期望</w:t>
      </w:r>
      <w:r>
        <w:rPr/>
        <w:t>16.3241</w:t>
      </w:r>
      <w:r>
        <w:rPr/>
        <w:t>、正</w:t>
      </w:r>
      <w:r>
        <w:rPr/>
        <w:t>28.23%</w:t>
      </w:r>
      <w:r>
        <w:rPr/>
        <w:t>。这种敏感性说明分布右尾与判断权重显著影响结论。权重不是通过足够历史样本统计出来的获利概率，价格区间不是置信区间，也不是最大损失边界。对进取投资者，更应并列看悲观损失而非只看期望数字。</w:t>
      </w:r>
    </w:p>
    <w:p>
      <w:pPr>
        <w:pStyle w:val="Normal"/>
        <w:rPr/>
      </w:pPr>
      <w:r>
        <w:rPr/>
        <w:t>公开可核验最新外资新闻中，瑞银</w:t>
      </w:r>
      <w:r>
        <w:rPr/>
        <w:t>9</w:t>
      </w:r>
      <w:r>
        <w:rPr/>
        <w:t>月</w:t>
      </w:r>
      <w:r>
        <w:rPr/>
        <w:t>25</w:t>
      </w:r>
      <w:r>
        <w:rPr/>
        <w:t>日买入、目标</w:t>
      </w:r>
      <w:r>
        <w:rPr/>
        <w:t>21.8</w:t>
      </w:r>
      <w:r>
        <w:rPr/>
        <w:t>港元；高盛</w:t>
      </w:r>
      <w:r>
        <w:rPr/>
        <w:t>8</w:t>
      </w:r>
      <w:r>
        <w:rPr/>
        <w:t>月</w:t>
      </w:r>
      <w:r>
        <w:rPr/>
        <w:t>28</w:t>
      </w:r>
      <w:r>
        <w:rPr/>
        <w:t>日买入、目标</w:t>
      </w:r>
      <w:r>
        <w:rPr/>
        <w:t>22.71</w:t>
      </w:r>
      <w:r>
        <w:rPr/>
        <w:t>港元，均在</w:t>
      </w:r>
      <w:r>
        <w:rPr/>
        <w:t>90</w:t>
      </w:r>
      <w:r>
        <w:rPr/>
        <w:t>天内；摩根士丹利</w:t>
      </w:r>
      <w:r>
        <w:rPr/>
        <w:t>5</w:t>
      </w:r>
      <w:r>
        <w:rPr/>
        <w:t>月</w:t>
      </w:r>
      <w:r>
        <w:rPr/>
        <w:t>29</w:t>
      </w:r>
      <w:r>
        <w:rPr/>
        <w:t>日增持、目标</w:t>
      </w:r>
      <w:r>
        <w:rPr/>
        <w:t>17</w:t>
      </w:r>
      <w:r>
        <w:rPr/>
        <w:t>港元，超</w:t>
      </w:r>
      <w:r>
        <w:rPr/>
        <w:t>90</w:t>
      </w:r>
      <w:r>
        <w:rPr/>
        <w:t>天并列为较旧参考。相对</w:t>
      </w:r>
      <w:r>
        <w:rPr/>
        <w:t>12.73</w:t>
      </w:r>
      <w:r>
        <w:rPr/>
        <w:t>，三个目标约正</w:t>
      </w:r>
      <w:r>
        <w:rPr/>
        <w:t>71%</w:t>
      </w:r>
      <w:r>
        <w:rPr/>
        <w:t>、</w:t>
      </w:r>
      <w:r>
        <w:rPr/>
        <w:t>78%</w:t>
      </w:r>
      <w:r>
        <w:rPr/>
        <w:t>、</w:t>
      </w:r>
      <w:r>
        <w:rPr/>
        <w:t>34%</w:t>
      </w:r>
      <w:r>
        <w:rPr/>
        <w:t>，但原始研报与确切目标期限未取得，本章不称它们为公司年底可达价格。新闻转述原文、日期、货币和机构分别保留，同机构旧目标不再作为独立共识样本。</w:t>
      </w:r>
    </w:p>
    <w:p>
      <w:pPr>
        <w:pStyle w:val="Normal"/>
        <w:rPr/>
      </w:pPr>
      <w:r>
        <w:rPr/>
        <w:t>高盛新闻称把</w:t>
      </w:r>
      <w:r>
        <w:rPr/>
        <w:t>ICP-332</w:t>
      </w:r>
      <w:r>
        <w:rPr/>
        <w:t>、</w:t>
      </w:r>
      <w:r>
        <w:rPr/>
        <w:t>ICP-488</w:t>
      </w:r>
      <w:r>
        <w:rPr/>
        <w:t>成功概率从</w:t>
      </w:r>
      <w:r>
        <w:rPr/>
        <w:t>70%</w:t>
      </w:r>
      <w:r>
        <w:rPr/>
        <w:t>上调至</w:t>
      </w:r>
      <w:r>
        <w:rPr/>
        <w:t>100%</w:t>
      </w:r>
      <w:r>
        <w:rPr/>
        <w:t>，并提高</w:t>
      </w:r>
      <w:r>
        <w:rPr/>
        <w:t>2026</w:t>
      </w:r>
      <w:r>
        <w:rPr/>
        <w:t>至</w:t>
      </w:r>
      <w:r>
        <w:rPr/>
        <w:t>2028EPS</w:t>
      </w:r>
      <w:r>
        <w:rPr/>
        <w:t>预测；这是机构建模假设，不能转换为监管事实。诺诚原公告仍警示未必最终开发、上市或商业化，本模型基准</w:t>
      </w:r>
      <w:r>
        <w:rPr/>
        <w:t>82%</w:t>
      </w:r>
      <w:r>
        <w:rPr/>
        <w:t>与</w:t>
      </w:r>
      <w:r>
        <w:rPr/>
        <w:t>83%</w:t>
      </w:r>
      <w:r>
        <w:rPr/>
        <w:t>保留长期安全和注册风险。不同概率、上市年、经济权利、费用预算和终值可解释本研究一年</w:t>
      </w:r>
      <w:r>
        <w:rPr/>
        <w:t>15.5984</w:t>
      </w:r>
      <w:r>
        <w:rPr/>
        <w:t>低于高盛</w:t>
      </w:r>
      <w:r>
        <w:rPr/>
        <w:t>22.71</w:t>
      </w:r>
      <w:r>
        <w:rPr/>
        <w:t>。与机构目标分歧应回到输入比较，而不是为了与高目标一致把本章概率全部改成一。</w:t>
      </w:r>
    </w:p>
    <w:p>
      <w:pPr>
        <w:pStyle w:val="Normal"/>
        <w:rPr/>
      </w:pPr>
      <w:r>
        <w:rPr/>
        <w:t>在总名单中，诺诚的优势是现有产品体系、较强经济现金和多个较成熟自免候选；弱点是短期相对趋势、尚未充分独立盈利的产品系统，以及对多个研究项目共同成功的依赖。它可以在三年至五年进取榜争取较前梯队，但是否进入前十需与同一截止日其他公司的基准含息回报和悲观损失比较。没有完成这种横向比较前，本章不自行宣称“全名单第一”。半年仅条件式关注，所有目标价格都应与上文反证和活动模型一起更新。</w:t>
      </w:r>
    </w:p>
    <w:p>
      <w:pPr>
        <w:pStyle w:val="Heading2"/>
        <w:rPr/>
      </w:pPr>
      <w:r>
        <w:rPr>
          <w:color w:val="000000"/>
        </w:rPr>
        <w:t>十七 独立敏感性 哪些假设真正驱动价格</w:t>
      </w:r>
    </w:p>
    <w:p>
      <w:pPr>
        <w:pStyle w:val="Normal"/>
        <w:rPr/>
      </w:pPr>
      <w:r>
        <w:rPr/>
        <w:t>保持基准经营、现金和股数不变，只把折现率从</w:t>
      </w:r>
      <w:r>
        <w:rPr/>
        <w:t>11.5%</w:t>
      </w:r>
      <w:r>
        <w:rPr/>
        <w:t>改为</w:t>
      </w:r>
      <w:r>
        <w:rPr/>
        <w:t>9.5%</w:t>
      </w:r>
      <w:r>
        <w:rPr/>
        <w:t>或</w:t>
      </w:r>
      <w:r>
        <w:rPr/>
        <w:t>13.5%</w:t>
      </w:r>
      <w:r>
        <w:rPr/>
        <w:t>，一年内在价分别为</w:t>
      </w:r>
      <w:r>
        <w:rPr/>
        <w:t>17.0997</w:t>
      </w:r>
      <w:r>
        <w:rPr/>
        <w:t>和</w:t>
      </w:r>
      <w:r>
        <w:rPr/>
        <w:t>14.3275</w:t>
      </w:r>
      <w:r>
        <w:rPr/>
        <w:t>港元，对比中值</w:t>
      </w:r>
      <w:r>
        <w:rPr/>
        <w:t>15.5984</w:t>
      </w:r>
      <w:r>
        <w:rPr/>
        <w:t>。半年目标相应为</w:t>
      </w:r>
      <w:r>
        <w:rPr/>
        <w:t>15.8990</w:t>
      </w:r>
      <w:r>
        <w:rPr/>
        <w:t>和</w:t>
      </w:r>
      <w:r>
        <w:rPr/>
        <w:t>13.4968</w:t>
      </w:r>
      <w:r>
        <w:rPr/>
        <w:t>，股价空间从约</w:t>
      </w:r>
      <w:r>
        <w:rPr/>
        <w:t>24.89%</w:t>
      </w:r>
      <w:r>
        <w:rPr/>
        <w:t>变成</w:t>
      </w:r>
      <w:r>
        <w:rPr/>
        <w:t>6.02%</w:t>
      </w:r>
      <w:r>
        <w:rPr/>
        <w:t>。这些结果说明折现率是重要驱动，但不能完全解释极宽的乐观悲观区间；临床收入、费用、上市年与融资路径共同变化才形成尾部。降低折现率不能用于补救缺少临床证据的项目，也不能让已失败资产重新产生收入。</w:t>
      </w:r>
    </w:p>
    <w:p>
      <w:pPr>
        <w:pStyle w:val="Normal"/>
        <w:rPr/>
      </w:pPr>
      <w:r>
        <w:rPr/>
        <w:t>更直接的反证测试是把所有</w:t>
      </w:r>
      <w:r>
        <w:rPr/>
        <w:t>ICP-332</w:t>
      </w:r>
      <w:r>
        <w:rPr/>
        <w:t>和</w:t>
      </w:r>
      <w:r>
        <w:rPr/>
        <w:t>ICP-488</w:t>
      </w:r>
      <w:r>
        <w:rPr/>
        <w:t>未来收入设为零，保留全部研发与其他基准业务，并重新滚动现金。这个单项压力下一年价约</w:t>
      </w:r>
      <w:r>
        <w:rPr/>
        <w:t>10.4691</w:t>
      </w:r>
      <w:r>
        <w:rPr/>
        <w:t>港元，较现价负</w:t>
      </w:r>
      <w:r>
        <w:rPr/>
        <w:t>17.76%</w:t>
      </w:r>
      <w:r>
        <w:rPr/>
        <w:t>；三年</w:t>
      </w:r>
      <w:r>
        <w:rPr/>
        <w:t>12.2682</w:t>
      </w:r>
      <w:r>
        <w:rPr/>
        <w:t>、约负</w:t>
      </w:r>
      <w:r>
        <w:rPr/>
        <w:t>3.63%</w:t>
      </w:r>
      <w:r>
        <w:rPr/>
        <w:t>；五年</w:t>
      </w:r>
      <w:r>
        <w:rPr/>
        <w:t>14.1023</w:t>
      </w:r>
      <w:r>
        <w:rPr/>
        <w:t>、约正</w:t>
      </w:r>
      <w:r>
        <w:rPr/>
        <w:t>10.78%</w:t>
      </w:r>
      <w:r>
        <w:rPr/>
        <w:t>。因此本章推荐的长期优势很大程度依赖</w:t>
      </w:r>
      <w:r>
        <w:rPr/>
        <w:t>TYK2</w:t>
      </w:r>
      <w:r>
        <w:rPr/>
        <w:t>体系，不能把多项自免适应症当成自然分散。压力试验没有同时降低奥布替尼、自免以外资产或</w:t>
      </w:r>
      <w:r>
        <w:rPr/>
        <w:t>Zenas</w:t>
      </w:r>
      <w:r>
        <w:rPr/>
        <w:t>权益，现实机制相关问题可能引发更广泛下调，结果不是全部失败的价格下限。</w:t>
      </w:r>
    </w:p>
    <w:p>
      <w:pPr>
        <w:pStyle w:val="Normal"/>
        <w:rPr/>
      </w:pPr>
      <w:r>
        <w:rPr/>
        <w:t>把</w:t>
      </w:r>
      <w:r>
        <w:rPr/>
        <w:t>Zenas</w:t>
      </w:r>
      <w:r>
        <w:rPr/>
        <w:t>战略股权值单独设零、保持可取得版税和现金权利不变，一年目标降至</w:t>
      </w:r>
      <w:r>
        <w:rPr/>
        <w:t>14.9345</w:t>
      </w:r>
      <w:r>
        <w:rPr/>
        <w:t>，五年</w:t>
      </w:r>
      <w:r>
        <w:rPr/>
        <w:t>20.7367</w:t>
      </w:r>
      <w:r>
        <w:rPr/>
        <w:t>；说明战略股权有贡献，但不是本章上涨逻辑的全部。若受方股权价值下跌源于同一</w:t>
      </w:r>
      <w:r>
        <w:rPr/>
        <w:t>MS</w:t>
      </w:r>
      <w:r>
        <w:rPr/>
        <w:t>临床失败，现实中应同时降低相关版税，而不是只运行此隔离测试。本章给该测试的目的在于辨认价值来源，不声称股票持有、研发和许可收入之间独立。对真实不利事件进行再估值时，相关输入必须同时更新。</w:t>
      </w:r>
    </w:p>
    <w:p>
      <w:pPr>
        <w:pStyle w:val="Normal"/>
        <w:rPr/>
      </w:pPr>
      <w:r>
        <w:rPr/>
        <w:t>把基准每年研发预算提高</w:t>
      </w:r>
      <w:r>
        <w:rPr/>
        <w:t>40%</w:t>
      </w:r>
      <w:r>
        <w:rPr/>
        <w:t>、其余假设固定并重算现金，一年目标只剩</w:t>
      </w:r>
      <w:r>
        <w:rPr/>
        <w:t>13.3244</w:t>
      </w:r>
      <w:r>
        <w:rPr/>
        <w:t>、约正</w:t>
      </w:r>
      <w:r>
        <w:rPr/>
        <w:t>4.67%</w:t>
      </w:r>
      <w:r>
        <w:rPr/>
        <w:t>，半年</w:t>
      </w:r>
      <w:r>
        <w:rPr/>
        <w:t>12.7446</w:t>
      </w:r>
      <w:r>
        <w:rPr/>
        <w:t>、接近现价；三年</w:t>
      </w:r>
      <w:r>
        <w:rPr/>
        <w:t>15.8407</w:t>
      </w:r>
      <w:r>
        <w:rPr/>
        <w:t>、五年</w:t>
      </w:r>
      <w:r>
        <w:rPr/>
        <w:t>18.5536</w:t>
      </w:r>
      <w:r>
        <w:rPr/>
        <w:t>。研发能力确实是增长来源，但不是无价格的好事。若为实现相同销售付出更大费用，股东回报显著降低；若加研发同时创造更强新产品，则必须另外取得证据并计入新增现金，不能仅因为投资增加而假设回报自动增加。这组压力显示费用纪律是推荐成立的实质条件。</w:t>
      </w:r>
    </w:p>
    <w:p>
      <w:pPr>
        <w:pStyle w:val="Heading2"/>
        <w:rPr/>
      </w:pPr>
      <w:r>
        <w:rPr>
          <w:color w:val="000000"/>
        </w:rPr>
        <w:t>十八 核验与续研记录</w:t>
      </w:r>
    </w:p>
    <w:p>
      <w:pPr>
        <w:pStyle w:val="Normal"/>
        <w:rPr/>
      </w:pPr>
      <w:r>
        <w:rPr/>
        <w:t>本章原始财务按香港财报人民币千元转换为人民币百万元或亿元，未混用科创板其他会计口径的成本与香港收益。历史</w:t>
      </w:r>
      <w:r>
        <w:rPr/>
        <w:t>2023</w:t>
      </w:r>
      <w:r>
        <w:rPr/>
        <w:t>至</w:t>
      </w:r>
      <w:r>
        <w:rPr/>
        <w:t>2025</w:t>
      </w:r>
      <w:r>
        <w:rPr/>
        <w:t>来自年报及审计比较数，</w:t>
      </w:r>
      <w:r>
        <w:rPr/>
        <w:t>2026</w:t>
      </w:r>
      <w:r>
        <w:rPr/>
        <w:t>上半年来自中报与首发业绩；中报</w:t>
      </w:r>
      <w:r>
        <w:rPr/>
        <w:t>8</w:t>
      </w:r>
      <w:r>
        <w:rPr/>
        <w:t>月</w:t>
      </w:r>
      <w:r>
        <w:rPr/>
        <w:t>24</w:t>
      </w:r>
      <w:r>
        <w:rPr/>
        <w:t>日</w:t>
      </w:r>
      <w:r>
        <w:rPr/>
        <w:t>17</w:t>
      </w:r>
      <w:r>
        <w:rPr/>
        <w:t>时</w:t>
      </w:r>
      <w:r>
        <w:rPr/>
        <w:t>31</w:t>
      </w:r>
      <w:r>
        <w:rPr/>
        <w:t>分首发、</w:t>
      </w:r>
      <w:r>
        <w:rPr/>
        <w:t>9</w:t>
      </w:r>
      <w:r>
        <w:rPr/>
        <w:t>月</w:t>
      </w:r>
      <w:r>
        <w:rPr/>
        <w:t>22</w:t>
      </w:r>
      <w:r>
        <w:rPr/>
        <w:t>日</w:t>
      </w:r>
      <w:r>
        <w:rPr/>
        <w:t>16</w:t>
      </w:r>
      <w:r>
        <w:rPr/>
        <w:t>时</w:t>
      </w:r>
      <w:r>
        <w:rPr/>
        <w:t>35</w:t>
      </w:r>
      <w:r>
        <w:rPr/>
        <w:t>分完整报告，均为香港收盘后。三项</w:t>
      </w:r>
      <w:r>
        <w:rPr/>
        <w:t>TYK2</w:t>
      </w:r>
      <w:r>
        <w:rPr/>
        <w:t>公告也保留</w:t>
      </w:r>
      <w:r>
        <w:rPr/>
        <w:t>7</w:t>
      </w:r>
      <w:r>
        <w:rPr/>
        <w:t>月</w:t>
      </w:r>
      <w:r>
        <w:rPr/>
        <w:t>15</w:t>
      </w:r>
      <w:r>
        <w:rPr/>
        <w:t>日</w:t>
      </w:r>
      <w:r>
        <w:rPr/>
        <w:t>18</w:t>
      </w:r>
      <w:r>
        <w:rPr/>
        <w:t>时</w:t>
      </w:r>
      <w:r>
        <w:rPr/>
        <w:t>56</w:t>
      </w:r>
      <w:r>
        <w:rPr/>
        <w:t>分、</w:t>
      </w:r>
      <w:r>
        <w:rPr/>
        <w:t>16</w:t>
      </w:r>
      <w:r>
        <w:rPr/>
        <w:t>日</w:t>
      </w:r>
      <w:r>
        <w:rPr/>
        <w:t>16</w:t>
      </w:r>
      <w:r>
        <w:rPr/>
        <w:t>时</w:t>
      </w:r>
      <w:r>
        <w:rPr/>
        <w:t>41</w:t>
      </w:r>
      <w:r>
        <w:rPr/>
        <w:t>分、</w:t>
      </w:r>
      <w:r>
        <w:rPr/>
        <w:t>27</w:t>
      </w:r>
      <w:r>
        <w:rPr/>
        <w:t>日</w:t>
      </w:r>
      <w:r>
        <w:rPr/>
        <w:t>17</w:t>
      </w:r>
      <w:r>
        <w:rPr/>
        <w:t>时</w:t>
      </w:r>
      <w:r>
        <w:rPr/>
        <w:t>32</w:t>
      </w:r>
      <w:r>
        <w:rPr/>
        <w:t>分的发布时间，保证事件研究不提前把盘后信息塞入当天收盘解释。</w:t>
      </w:r>
    </w:p>
    <w:p>
      <w:pPr>
        <w:pStyle w:val="Normal"/>
        <w:rPr/>
      </w:pPr>
      <w:r>
        <w:rPr/>
        <w:t>模型独立核验包括每年收入、毛利、</w:t>
      </w:r>
      <w:r>
        <w:rPr/>
        <w:t>EBIT</w:t>
      </w:r>
      <w:r>
        <w:rPr/>
        <w:t>、</w:t>
      </w:r>
      <w:r>
        <w:rPr/>
        <w:t>FCFF</w:t>
      </w:r>
      <w:r>
        <w:rPr/>
        <w:t>、正常利润、现金、全部借款偿还、政府款、收购款、每个风险资产及五个目标时点。原子输入代表修改验证概率、商业起始年、研发、战略股权价、现金、折现、收购和奖励预算能正确传递。正文数为同源快照四舍五入，工作簿与文档只能以同一活动假设重新计算后同步更新；用户编辑输入时旧快照应标待刷新，不能让漂亮表格隐藏未更新的公式结果。</w:t>
      </w:r>
    </w:p>
    <w:p>
      <w:pPr>
        <w:pStyle w:val="Normal"/>
        <w:rPr/>
      </w:pPr>
      <w:r>
        <w:rPr/>
        <w:t>后续优先补充逐产品收入拆分、精准合同分层版税、</w:t>
      </w:r>
      <w:r>
        <w:rPr/>
        <w:t>Zenas</w:t>
      </w:r>
      <w:r>
        <w:rPr/>
        <w:t>二百万股及</w:t>
      </w:r>
      <w:r>
        <w:rPr/>
        <w:t>2500</w:t>
      </w:r>
      <w:r>
        <w:rPr/>
        <w:t>万美元到账登记、广州第二批付款、政府项目实际结算和更完整安全数据。若取得这些资料，将首先修订现金及临床模型，再更新四榜和年底表，最后同步</w:t>
      </w:r>
      <w:r>
        <w:rPr/>
        <w:t>Word</w:t>
      </w:r>
      <w:r>
        <w:rPr/>
        <w:t>与</w:t>
      </w:r>
      <w:r>
        <w:rPr/>
        <w:t>PDF</w:t>
      </w:r>
      <w:r>
        <w:rPr/>
        <w:t>。本章已经达到独立正文要求，但信息缺口仍如实保留；有价值的研究是把证据、不确定性和价格连在一起，而不是以长篇幅掩盖未知输入。</w:t>
      </w:r>
    </w:p>
    <w:p>
      <w:pPr>
        <w:pStyle w:val="Heading2"/>
        <w:rPr/>
      </w:pPr>
      <w:r>
        <w:rPr>
          <w:color w:val="000000"/>
        </w:rPr>
        <w:t>来源与复核记录</w:t>
      </w:r>
    </w:p>
    <w:p>
      <w:pPr>
        <w:pStyle w:val="Normal"/>
        <w:rPr/>
      </w:pPr>
      <w:r>
        <w:rPr/>
        <w:t xml:space="preserve">- </w:t>
      </w:r>
      <w:r>
        <w:rPr/>
        <w:t>诺诚</w:t>
      </w:r>
      <w:r>
        <w:rPr/>
        <w:t>2026</w:t>
      </w:r>
      <w:r>
        <w:rPr/>
        <w:t>中报，</w:t>
      </w:r>
      <w:r>
        <w:rPr/>
        <w:t>9</w:t>
      </w:r>
      <w:r>
        <w:rPr/>
        <w:t>月</w:t>
      </w:r>
      <w:r>
        <w:rPr/>
        <w:t>22</w:t>
      </w:r>
      <w:r>
        <w:rPr/>
        <w:t>日</w:t>
      </w:r>
      <w:r>
        <w:rPr/>
        <w:t>16:35</w:t>
      </w:r>
      <w:r>
        <w:rPr/>
        <w:t>完整披露：</w:t>
      </w:r>
      <w:r>
        <w:rPr/>
        <w:t>[</w:t>
      </w:r>
      <w:r>
        <w:rPr/>
        <w:t>原文镜像</w:t>
      </w:r>
      <w:r>
        <w:rPr/>
        <w:t>](https://iis.aastocks.com/20260922/12341027-0.PDF)</w:t>
      </w:r>
      <w:r>
        <w:rPr/>
        <w:t>，</w:t>
      </w:r>
      <w:r>
        <w:rPr/>
        <w:t>[</w:t>
      </w:r>
      <w:r>
        <w:rPr/>
        <w:t>首发业绩</w:t>
      </w:r>
      <w:r>
        <w:rPr/>
        <w:t>](https://iis.aastocks.com/20260824/12296225-0.PDF)</w:t>
      </w:r>
      <w:r>
        <w:rPr/>
        <w:t>。</w:t>
      </w:r>
    </w:p>
    <w:p>
      <w:pPr>
        <w:pStyle w:val="Normal"/>
        <w:rPr/>
      </w:pPr>
      <w:r>
        <w:rPr/>
        <w:t xml:space="preserve">- </w:t>
      </w:r>
      <w:r>
        <w:rPr/>
        <w:t>九月股数月报，</w:t>
      </w:r>
      <w:r>
        <w:rPr/>
        <w:t>10</w:t>
      </w:r>
      <w:r>
        <w:rPr/>
        <w:t>月</w:t>
      </w:r>
      <w:r>
        <w:rPr/>
        <w:t>6</w:t>
      </w:r>
      <w:r>
        <w:rPr/>
        <w:t>日</w:t>
      </w:r>
      <w:r>
        <w:rPr/>
        <w:t>16:37</w:t>
      </w:r>
      <w:r>
        <w:rPr/>
        <w:t>：</w:t>
      </w:r>
      <w:r>
        <w:rPr/>
        <w:t>[</w:t>
      </w:r>
      <w:r>
        <w:rPr/>
        <w:t>原文</w:t>
      </w:r>
      <w:r>
        <w:rPr/>
        <w:t>](https://iis.aastocks.com/20261006/12363395-0.PDF)</w:t>
      </w:r>
      <w:r>
        <w:rPr/>
        <w:t>。</w:t>
      </w:r>
    </w:p>
    <w:p>
      <w:pPr>
        <w:pStyle w:val="Normal"/>
        <w:rPr/>
      </w:pPr>
      <w:r>
        <w:rPr/>
        <w:t xml:space="preserve">- </w:t>
      </w:r>
      <w:r>
        <w:rPr/>
        <w:t>礼来合作</w:t>
      </w:r>
      <w:r>
        <w:rPr/>
        <w:t>9</w:t>
      </w:r>
      <w:r>
        <w:rPr/>
        <w:t>月</w:t>
      </w:r>
      <w:r>
        <w:rPr/>
        <w:t>24</w:t>
      </w:r>
      <w:r>
        <w:rPr/>
        <w:t>日</w:t>
      </w:r>
      <w:r>
        <w:rPr/>
        <w:t>12:05</w:t>
      </w:r>
      <w:r>
        <w:rPr/>
        <w:t>：</w:t>
      </w:r>
      <w:r>
        <w:rPr/>
        <w:t>[</w:t>
      </w:r>
      <w:r>
        <w:rPr/>
        <w:t>原公告</w:t>
      </w:r>
      <w:r>
        <w:rPr/>
        <w:t>](https://iis.aastocks.com/20260924/12344175-0.PDF)</w:t>
      </w:r>
      <w:r>
        <w:rPr/>
        <w:t>。</w:t>
      </w:r>
    </w:p>
    <w:p>
      <w:pPr>
        <w:pStyle w:val="Normal"/>
        <w:rPr/>
      </w:pPr>
      <w:r>
        <w:rPr/>
        <w:t>- ICP-332 AD</w:t>
      </w:r>
      <w:r>
        <w:rPr/>
        <w:t>、白癜风及</w:t>
      </w:r>
      <w:r>
        <w:rPr/>
        <w:t>ICP-488</w:t>
      </w:r>
      <w:r>
        <w:rPr/>
        <w:t>银屑病：</w:t>
      </w:r>
      <w:r>
        <w:rPr/>
        <w:t>[AD](https://iis.aastocks.com/20260715/12245426-0.PDF)</w:t>
      </w:r>
      <w:r>
        <w:rPr/>
        <w:t>、</w:t>
      </w:r>
      <w:r>
        <w:rPr/>
        <w:t>[</w:t>
      </w:r>
      <w:r>
        <w:rPr/>
        <w:t>白癜风</w:t>
      </w:r>
      <w:r>
        <w:rPr/>
        <w:t>](https://iis.aastocks.com/20260716/12246491-0.PDF)</w:t>
      </w:r>
      <w:r>
        <w:rPr/>
        <w:t>、</w:t>
      </w:r>
      <w:r>
        <w:rPr/>
        <w:t>[</w:t>
      </w:r>
      <w:r>
        <w:rPr/>
        <w:t>银屑病</w:t>
      </w:r>
      <w:r>
        <w:rPr/>
        <w:t>](https://iis.aastocks.com/20260727/12257424-0.PDF)</w:t>
      </w:r>
      <w:r>
        <w:rPr/>
        <w:t>。</w:t>
      </w:r>
    </w:p>
    <w:p>
      <w:pPr>
        <w:pStyle w:val="Normal"/>
        <w:rPr/>
      </w:pPr>
      <w:r>
        <w:rPr/>
        <w:t>- 2025</w:t>
      </w:r>
      <w:r>
        <w:rPr/>
        <w:t>、</w:t>
      </w:r>
      <w:r>
        <w:rPr/>
        <w:t>2024</w:t>
      </w:r>
      <w:r>
        <w:rPr/>
        <w:t>、</w:t>
      </w:r>
      <w:r>
        <w:rPr/>
        <w:t>2023</w:t>
      </w:r>
      <w:r>
        <w:rPr/>
        <w:t>年报：</w:t>
      </w:r>
      <w:r>
        <w:rPr/>
        <w:t>[2025](https://www1.hkexnews.hk/listedco/listconews/sehk/2026/0423/2026042302006.pdf)</w:t>
      </w:r>
      <w:r>
        <w:rPr/>
        <w:t>，其他原文与证据保存在</w:t>
      </w:r>
      <w:r>
        <w:rPr/>
        <w:t>data/innocare_extra_sources.json</w:t>
      </w:r>
      <w:r>
        <w:rPr/>
        <w:t>。</w:t>
      </w:r>
    </w:p>
    <w:p>
      <w:pPr>
        <w:pStyle w:val="Normal"/>
        <w:rPr/>
      </w:pPr>
      <w:r>
        <w:rPr/>
        <w:t>- Zenas2025</w:t>
      </w:r>
      <w:r>
        <w:rPr/>
        <w:t>年</w:t>
      </w:r>
      <w:r>
        <w:rPr/>
        <w:t>10</w:t>
      </w:r>
      <w:r>
        <w:rPr/>
        <w:t>月</w:t>
      </w:r>
      <w:r>
        <w:rPr/>
        <w:t>8</w:t>
      </w:r>
      <w:r>
        <w:rPr/>
        <w:t>日</w:t>
      </w:r>
      <w:r>
        <w:rPr/>
        <w:t>16:53</w:t>
      </w:r>
      <w:r>
        <w:rPr/>
        <w:t>许可原公告，地域及付款原文保存在</w:t>
      </w:r>
      <w:r>
        <w:rPr/>
        <w:t>data/innocare_extra_sources.json</w:t>
      </w:r>
      <w:r>
        <w:rPr/>
        <w:t>，</w:t>
      </w:r>
      <w:r>
        <w:rPr/>
        <w:t>HKEX</w:t>
      </w:r>
      <w:r>
        <w:rPr/>
        <w:t>历史标题在</w:t>
      </w:r>
      <w:r>
        <w:rPr/>
        <w:t>data/innocare_historical_titles.json</w:t>
      </w:r>
      <w:r>
        <w:rPr/>
        <w:t>。</w:t>
      </w:r>
    </w:p>
    <w:p>
      <w:pPr>
        <w:pStyle w:val="Normal"/>
        <w:rPr/>
      </w:pPr>
      <w:r>
        <w:rPr/>
        <w:t>- [</w:t>
      </w:r>
      <w:r>
        <w:rPr/>
        <w:t>瑞银</w:t>
      </w:r>
      <w:r>
        <w:rPr/>
        <w:t>9</w:t>
      </w:r>
      <w:r>
        <w:rPr/>
        <w:t>月</w:t>
      </w:r>
      <w:r>
        <w:rPr/>
        <w:t>25</w:t>
      </w:r>
      <w:r>
        <w:rPr/>
        <w:t>日</w:t>
      </w:r>
      <w:r>
        <w:rPr/>
        <w:t>](https://www.aastocks.com/tc/stocks/analysis/stock-aafn-con/09969/AAFN/NOW.1546470/research-report)</w:t>
      </w:r>
      <w:r>
        <w:rPr/>
        <w:t>、</w:t>
      </w:r>
      <w:r>
        <w:rPr/>
        <w:t>[</w:t>
      </w:r>
      <w:r>
        <w:rPr/>
        <w:t>高盛</w:t>
      </w:r>
      <w:r>
        <w:rPr/>
        <w:t>8</w:t>
      </w:r>
      <w:r>
        <w:rPr/>
        <w:t>月</w:t>
      </w:r>
      <w:r>
        <w:rPr/>
        <w:t>28</w:t>
      </w:r>
      <w:r>
        <w:rPr/>
        <w:t>日</w:t>
      </w:r>
      <w:r>
        <w:rPr/>
        <w:t>](https://www.aastocks.com/tc/stocks/analysis/stock-aafn-con/09969/AAFN/NOW.1541725/research-report)</w:t>
      </w:r>
      <w:r>
        <w:rPr/>
        <w:t>、</w:t>
      </w:r>
      <w:r>
        <w:rPr/>
        <w:t>[</w:t>
      </w:r>
      <w:r>
        <w:rPr/>
        <w:t>大摩</w:t>
      </w:r>
      <w:r>
        <w:rPr/>
        <w:t>5</w:t>
      </w:r>
      <w:r>
        <w:rPr/>
        <w:t>月</w:t>
      </w:r>
      <w:r>
        <w:rPr/>
        <w:t>29</w:t>
      </w:r>
      <w:r>
        <w:rPr/>
        <w:t>日</w:t>
      </w:r>
      <w:r>
        <w:rPr/>
        <w:t>](https://www.aastocks.com/tc/stocks/analysis/stock-aafn-con/09969/AAFN/NOW.1526701/research-report)</w:t>
      </w:r>
      <w:r>
        <w:rPr/>
        <w:t>，均为新闻转述而非原研报。</w:t>
      </w:r>
    </w:p>
    <w:p>
      <w:pPr>
        <w:pStyle w:val="Normal"/>
        <w:rPr/>
      </w:pPr>
      <w:r>
        <w:rPr/>
        <w:t xml:space="preserve">- </w:t>
      </w:r>
      <w:r>
        <w:rPr/>
        <w:t>行情、量价与修复记录：</w:t>
      </w:r>
      <w:r>
        <w:rPr/>
        <w:t>data/market_snapshot_locked.json</w:t>
      </w:r>
      <w:r>
        <w:rPr/>
        <w:t>中</w:t>
      </w:r>
      <w:r>
        <w:rPr/>
        <w:t>S048</w:t>
      </w:r>
      <w:r>
        <w:rPr/>
        <w:t>、</w:t>
      </w:r>
      <w:r>
        <w:rPr/>
        <w:t>data/history/S048.json</w:t>
      </w:r>
      <w:r>
        <w:rPr/>
        <w:t>；</w:t>
      </w:r>
      <w:r>
        <w:rPr/>
        <w:t>ZBIO</w:t>
      </w:r>
      <w:r>
        <w:rPr/>
        <w:t>严格基准与美国日终参考分别保存，不用晚于港股收盘的数据作为当时已知信息。</w:t>
      </w:r>
    </w:p>
    <w:p>
      <w:pPr>
        <w:pStyle w:val="Normal"/>
        <w:rPr/>
      </w:pPr>
      <w:r>
        <w:rPr/>
        <w:t xml:space="preserve">- </w:t>
      </w:r>
      <w:r>
        <w:rPr/>
        <w:t>活动模型：</w:t>
      </w:r>
      <w:r>
        <w:rPr/>
        <w:t>data/innocare_model.pending.json</w:t>
      </w:r>
      <w:r>
        <w:rPr/>
        <w:t>；代码</w:t>
      </w:r>
      <w:r>
        <w:rPr/>
        <w:t>tools/innocare_model.mjs</w:t>
      </w:r>
      <w:r>
        <w:rPr/>
        <w:t>、</w:t>
      </w:r>
      <w:r>
        <w:rPr/>
        <w:t>tools/innocare_native.mjs</w:t>
      </w:r>
      <w:r>
        <w:rPr/>
        <w:t>；独立核验</w:t>
      </w:r>
      <w:r>
        <w:rPr/>
        <w:t>data/I041_independent_qa.json</w:t>
      </w:r>
      <w:r>
        <w:rPr/>
        <w:t>。本文未将待完成的工作簿持久刷新及文档渲染写成已通过。</w:t>
      </w:r>
      <w:r>
        <w:br w:type="page"/>
      </w:r>
    </w:p>
    <w:p>
      <w:pPr>
        <w:pStyle w:val="Heading1"/>
        <w:rPr/>
      </w:pPr>
      <w:bookmarkStart w:id="2" w:name="__RefHeading___Toc27123_1364803659"/>
      <w:bookmarkEnd w:id="2"/>
      <w:r>
        <w:rPr>
          <w:color w:val="000000"/>
        </w:rPr>
        <w:t xml:space="preserve">阅文集团 </w:t>
      </w:r>
      <w:r>
        <w:rPr>
          <w:color w:val="000000"/>
        </w:rPr>
        <w:t>00772 HK</w:t>
      </w:r>
    </w:p>
    <w:p>
      <w:pPr>
        <w:pStyle w:val="Normal"/>
        <w:rPr/>
      </w:pPr>
      <w:r>
        <w:rPr/>
        <w:t xml:space="preserve">00772.HK </w:t>
      </w:r>
      <w:r>
        <w:rPr/>
        <w:t xml:space="preserve">现价 </w:t>
      </w:r>
      <w:r>
        <w:rPr/>
        <w:t>20.84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26.10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27.44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+31.67%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+32.15%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+31.96%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22.81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+15.21%</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-70.97%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47.49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25.17HKD</w:t>
      </w:r>
      <w:r>
        <w:rPr/>
        <w:t>，期望股价回报</w:t>
      </w:r>
      <w:r>
        <w:rPr/>
        <w:t>+20.80%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4.80</w:t>
              <w:br/>
              <w:t>-76.97%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26.10</w:t>
              <w:br/>
              <w:t>+25.24%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52.21</w:t>
              <w:br/>
              <w:t>+150.53%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w:t>
              <w:br/>
              <w:t>-84.36%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27.44</w:t>
              <w:br/>
              <w:t>+31.67%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59.05</w:t>
              <w:br/>
              <w:t>+183.35%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26.95</w:t>
              <w:br/>
              <w:t>+29.32%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79.53</w:t>
              <w:br/>
              <w:t>+281.62%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22.81</w:t>
              <w:br/>
              <w:t>+9.45%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101.45</w:t>
              <w:br/>
              <w:t>+386.80%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+2.87%</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+25.36%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+31.96%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+38.56%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+20.97%</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I079</w:t>
      </w:r>
      <w:r>
        <w:rPr/>
        <w:t>，证券</w:t>
      </w:r>
      <w:r>
        <w:rPr/>
        <w:t>S090</w:t>
      </w:r>
      <w:r>
        <w:rPr/>
        <w:t>，</w:t>
      </w:r>
      <w:r>
        <w:rPr/>
        <w:t>00772.HK</w:t>
      </w:r>
      <w:r>
        <w:rPr/>
        <w:t>。统一基准</w:t>
      </w:r>
      <w:r>
        <w:rPr/>
        <w:t>2026</w:t>
      </w:r>
      <w:r>
        <w:rPr/>
        <w:t>年</w:t>
      </w:r>
      <w:r>
        <w:rPr/>
        <w:t>10</w:t>
      </w:r>
      <w:r>
        <w:rPr/>
        <w:t>月</w:t>
      </w:r>
      <w:r>
        <w:rPr/>
        <w:t>9</w:t>
      </w:r>
      <w:r>
        <w:rPr/>
        <w:t>日收盘</w:t>
      </w:r>
      <w:r>
        <w:rPr/>
        <w:t>20.84</w:t>
      </w:r>
      <w:r>
        <w:rPr/>
        <w:t>港元；资料截止该日，</w:t>
      </w:r>
      <w:r>
        <w:rPr/>
        <w:t>10</w:t>
      </w:r>
      <w:r>
        <w:rPr/>
        <w:t>月</w:t>
      </w:r>
      <w:r>
        <w:rPr/>
        <w:t>9</w:t>
      </w:r>
      <w:r>
        <w:rPr/>
        <w:t>日</w:t>
      </w:r>
      <w:r>
        <w:rPr/>
        <w:t>17:07</w:t>
      </w:r>
      <w:r>
        <w:rPr/>
        <w:t>的回购公告明确属于收盘后信息。可信度中：正式财务和行情可核，未来利润、现金、产品效益及目标价均为研究假设。四榜推荐梯队以全名单总表为准。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累计基准息港元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4.80 / 26.10 / 52.21</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 / 27.44 / 59.05</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31.67%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32.15%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 / 26.95 / 79.53</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29.32%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0.55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31.96%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 / 22.81 / 101.45</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15.21%</w:t>
            </w:r>
          </w:p>
        </w:tc>
      </w:tr>
    </w:tbl>
    <w:p>
      <w:pPr>
        <w:pStyle w:val="Normal"/>
        <w:rPr/>
      </w:pPr>
      <w:r>
        <w:rPr/>
      </w:r>
    </w:p>
    <w:p>
      <w:pPr>
        <w:pStyle w:val="Normal"/>
        <w:rPr/>
      </w:pPr>
      <w:r>
        <w:rPr/>
        <w:t>三年、五年基准含息年化</w:t>
      </w:r>
      <w:r>
        <w:rPr/>
        <w:t>9.68%</w:t>
      </w:r>
      <w:r>
        <w:rPr/>
        <w:t>、</w:t>
      </w:r>
      <w:r>
        <w:rPr/>
        <w:t>2.87%</w:t>
      </w:r>
      <w:r>
        <w:rPr/>
        <w:t>。年底悲观</w:t>
      </w:r>
      <w:r>
        <w:rPr/>
        <w:t>6.05</w:t>
      </w:r>
      <w:r>
        <w:rPr/>
        <w:t>、基准</w:t>
      </w:r>
      <w:r>
        <w:rPr/>
        <w:t>23.58</w:t>
      </w:r>
      <w:r>
        <w:rPr/>
        <w:t>、乐观</w:t>
      </w:r>
      <w:r>
        <w:rPr/>
        <w:t>47.49</w:t>
      </w:r>
      <w:r>
        <w:rPr/>
        <w:t>港元，对现价−</w:t>
      </w:r>
      <w:r>
        <w:rPr/>
        <w:t>70.97%</w:t>
      </w:r>
      <w:r>
        <w:rPr/>
        <w:t>、</w:t>
      </w:r>
      <w:r>
        <w:rPr/>
        <w:t>+13.15%</w:t>
      </w:r>
      <w:r>
        <w:rPr/>
        <w:t>、</w:t>
      </w:r>
      <w:r>
        <w:rPr/>
        <w:t>+127.88%</w:t>
      </w:r>
      <w:r>
        <w:rPr/>
        <w:t>。</w:t>
      </w:r>
      <w:r>
        <w:rPr/>
        <w:t>25/50/25</w:t>
      </w:r>
      <w:r>
        <w:rPr/>
        <w:t>判断权重期望</w:t>
      </w:r>
      <w:r>
        <w:rPr/>
        <w:t>25.175</w:t>
      </w:r>
      <w:r>
        <w:rPr/>
        <w:t>港元、</w:t>
      </w:r>
      <w:r>
        <w:rPr/>
        <w:t>+20.80%</w:t>
      </w:r>
      <w:r>
        <w:rPr/>
        <w:t>；防御</w:t>
      </w:r>
      <w:r>
        <w:rPr/>
        <w:t>40/50/10</w:t>
      </w:r>
      <w:r>
        <w:rPr/>
        <w:t>期望</w:t>
      </w:r>
      <w:r>
        <w:rPr/>
        <w:t>18.959</w:t>
      </w:r>
      <w:r>
        <w:rPr/>
        <w:t>港元、−</w:t>
      </w:r>
      <w:r>
        <w:rPr/>
        <w:t>9.03%</w:t>
      </w:r>
      <w:r>
        <w:rPr/>
        <w:t>；积极</w:t>
      </w:r>
      <w:r>
        <w:rPr/>
        <w:t>10/50/40</w:t>
      </w:r>
      <w:r>
        <w:rPr/>
        <w:t>期望</w:t>
      </w:r>
      <w:r>
        <w:rPr/>
        <w:t>31.391</w:t>
      </w:r>
      <w:r>
        <w:rPr/>
        <w:t>港元、</w:t>
      </w:r>
      <w:r>
        <w:rPr/>
        <w:t>+50.63%</w:t>
      </w:r>
      <w:r>
        <w:rPr/>
        <w:t>。长期零价是经营亏损与现金持续消耗假设下的权益价值下限，不代表预测必然破产、最大损失统计界限或可在零价成交。</w:t>
      </w:r>
    </w:p>
    <w:p>
      <w:pPr>
        <w:pStyle w:val="Normal"/>
        <w:rPr/>
      </w:pPr>
      <w:r>
        <w:rPr/>
        <w:t>结论成立条件：在线阅读付费人群逐步稳定，</w:t>
      </w:r>
      <w:r>
        <w:rPr/>
        <w:t>IP</w:t>
      </w:r>
      <w:r>
        <w:rPr/>
        <w:t>可视化增长经完整营销、研发、股酬、版权及现金成本后产生收益；资本配置不消耗现有安全垫。主要风险是免费内容和</w:t>
      </w:r>
      <w:r>
        <w:rPr/>
        <w:t>AI</w:t>
      </w:r>
      <w:r>
        <w:rPr/>
        <w:t>供给替代、投流涨价、影视减值、关联收购、平台规则、人才契约及融资稀释。进取型组合可研究阶段性反弹和一年转型，但五年基准回报不足以支持无条件长期优先配置。</w:t>
      </w:r>
    </w:p>
    <w:p>
      <w:pPr>
        <w:pStyle w:val="Heading2"/>
        <w:rPr/>
      </w:pPr>
      <w:r>
        <w:rPr>
          <w:color w:val="000000"/>
        </w:rPr>
        <w:t>一 业务定位与投资命题</w:t>
      </w:r>
    </w:p>
    <w:p>
      <w:pPr>
        <w:pStyle w:val="Normal"/>
        <w:rPr/>
      </w:pPr>
      <w:r>
        <w:rPr/>
        <w:t>阅文拥有在线文学作品和作者生态，并把文字内容开发为影视、动画、游戏、短剧及衍生品。它的价值链从创作开始，却并不止于付费章节。一部作品可能在原站产生阅读收入，也可能通过其他平台的改编或授权获得收益。投资者需要分辨版权归属、收益分成与实际开发能力，不能把读者认识某个作品直接等同于上市公司获得全部消费金额。</w:t>
      </w:r>
    </w:p>
    <w:p>
      <w:pPr>
        <w:pStyle w:val="Normal"/>
        <w:rPr/>
      </w:pPr>
      <w:r>
        <w:rPr/>
        <w:t>公司的核心转型是把在线阅读的内容积累转为可视化</w:t>
      </w:r>
      <w:r>
        <w:rPr/>
        <w:t>IP</w:t>
      </w:r>
      <w:r>
        <w:rPr/>
        <w:t>价值。在线阅读</w:t>
      </w:r>
      <w:r>
        <w:rPr/>
        <w:t>2026</w:t>
      </w:r>
      <w:r>
        <w:rPr/>
        <w:t>上半年收入</w:t>
      </w:r>
      <w:r>
        <w:rPr/>
        <w:t>18.40019</w:t>
      </w:r>
      <w:r>
        <w:rPr/>
        <w:t>亿元，</w:t>
      </w:r>
      <w:r>
        <w:rPr/>
        <w:t>IP</w:t>
      </w:r>
      <w:r>
        <w:rPr/>
        <w:t>运营及其他</w:t>
      </w:r>
      <w:r>
        <w:rPr/>
        <w:t>16.91369</w:t>
      </w:r>
      <w:r>
        <w:rPr/>
        <w:t>亿元，分别占</w:t>
      </w:r>
      <w:r>
        <w:rPr/>
        <w:t>52.1%</w:t>
      </w:r>
      <w:r>
        <w:rPr/>
        <w:t>和</w:t>
      </w:r>
      <w:r>
        <w:rPr/>
        <w:t>47.9%</w:t>
      </w:r>
      <w:r>
        <w:rPr/>
        <w:t>。在线仍是收入基础，新业务已经接近一半。结构变化能提供增长，却也会改变毛利、营销、研发和项目风险。原来的轻量阅读平台估值框架需要调整为具有制作与渠道投入的混合内容公司。</w:t>
      </w:r>
    </w:p>
    <w:p>
      <w:pPr>
        <w:pStyle w:val="Normal"/>
        <w:rPr/>
      </w:pPr>
      <w:r>
        <w:rPr/>
        <w:t>本研究的推荐并非押注作品库自然升值，而是判断公司能否把越来越多的作品转化为有现金贡献的产品。内容库存、观看次数、年度产量和周边</w:t>
      </w:r>
      <w:r>
        <w:rPr/>
        <w:t>GMV</w:t>
      </w:r>
      <w:r>
        <w:rPr/>
        <w:t>均是经营线索，不能替代利润及现金。尤其</w:t>
      </w:r>
      <w:r>
        <w:rPr/>
        <w:t>AI</w:t>
      </w:r>
      <w:r>
        <w:rPr/>
        <w:t>降低制作门槛时，内容数量会大幅增加，优质题材、发行渠道与商业运营的重要性可能同时提高，也可能把竞争推向高投流成本。</w:t>
      </w:r>
    </w:p>
    <w:p>
      <w:pPr>
        <w:pStyle w:val="Normal"/>
        <w:rPr/>
      </w:pPr>
      <w:r>
        <w:rPr/>
        <w:t>进取型标准重视转型潜力和低位反弹，但仍要求收益空间与失败路径一起呈现。阅文目前更接近经营结构调整中的候选公司：半年有量价改善，一年有业务验证，三年有</w:t>
      </w:r>
      <w:r>
        <w:rPr/>
        <w:t>IP</w:t>
      </w:r>
      <w:r>
        <w:rPr/>
        <w:t>平台化机会，五年回报却高度受成本和资本分配制约。本章因此不给一个贯穿所有期限的“买入”标签，而分别解释每个目标日需要什么证据才能达到对应价格。</w:t>
      </w:r>
    </w:p>
    <w:p>
      <w:pPr>
        <w:pStyle w:val="Heading2"/>
        <w:rPr/>
      </w:pPr>
      <w:r>
        <w:rPr>
          <w:color w:val="000000"/>
        </w:rPr>
        <w:t>二 阅读生态的供给与产权基础</w:t>
      </w:r>
    </w:p>
    <w:p>
      <w:pPr>
        <w:pStyle w:val="Normal"/>
        <w:rPr/>
      </w:pPr>
      <w:r>
        <w:rPr/>
        <w:t>公司披露上半年新增约</w:t>
      </w:r>
      <w:r>
        <w:rPr/>
        <w:t>24</w:t>
      </w:r>
      <w:r>
        <w:rPr/>
        <w:t>万名作者、</w:t>
      </w:r>
      <w:r>
        <w:rPr/>
        <w:t>46</w:t>
      </w:r>
      <w:r>
        <w:rPr/>
        <w:t>万部作品以及超过</w:t>
      </w:r>
      <w:r>
        <w:rPr/>
        <w:t>300</w:t>
      </w:r>
      <w:r>
        <w:rPr/>
        <w:t>亿字的内容。新作者和新增作品保证供给广度，却不意味着每部作品都有可出售的改编价值。创作成本、作品完结率、读者反馈和授权条款决定经济结果。研究更关注头部与中腰部作者的留存、优质作品形成速度和合同执行，而不是用作品总数乘一个未经核验的平均版权价格。</w:t>
      </w:r>
    </w:p>
    <w:p>
      <w:pPr>
        <w:pStyle w:val="Normal"/>
        <w:rPr/>
      </w:pPr>
      <w:r>
        <w:rPr/>
        <w:t>新签作者中，上半年作品收入超过百万元的作者里，三十岁以下占</w:t>
      </w:r>
      <w:r>
        <w:rPr/>
        <w:t>57%</w:t>
      </w:r>
      <w:r>
        <w:rPr/>
        <w:t>，同比增长</w:t>
      </w:r>
      <w:r>
        <w:rPr/>
        <w:t>49%</w:t>
      </w:r>
      <w:r>
        <w:rPr/>
        <w:t>。这一数据说明年轻作者能产生商业成绩，不能理解成所有新作者都能达到百万收入。优质作品供给能否代际更新比单个爆款更加重要。如果头部作者出走、合同收益分配失衡或者创作者转向免费平台，作品库未来质量可能弱于现有规模所暗示的稳定性。</w:t>
      </w:r>
    </w:p>
    <w:p>
      <w:pPr>
        <w:pStyle w:val="Normal"/>
        <w:rPr/>
      </w:pPr>
      <w:r>
        <w:rPr/>
        <w:t>文学创作的护城河包含社区反馈、付费支持、编辑培育与读者习惯。作者通过连载反馈调整情节，读者通过订阅和票选形成互动，这些过程具有累积性。不过用户也可以跨平台阅读，题材并非永久独占。合同的改编权、续作权、海外权和衍生品权常常存在差别，研究没有把全部文字供给当成可无限期、全渠道、全额变现的上市公司资产。</w:t>
      </w:r>
    </w:p>
    <w:p>
      <w:pPr>
        <w:pStyle w:val="Normal"/>
        <w:rPr/>
      </w:pPr>
      <w:r>
        <w:rPr/>
        <w:t>公司自身平台与腾讯渠道的关系也影响产权价值的兑现。腾讯体系能够提供视频、游戏和流量入口，但关联生态不是保证收益的订单。授权价格、项目开发进度以及平台预算会变化。阅文需要维持原创供给的独立吸引力，同时利用渠道合作。本模型不把腾讯全部内容需求当作确定的阅文收入，也不因控股关系就假设利润率没有市场竞争约束。</w:t>
      </w:r>
    </w:p>
    <w:p>
      <w:pPr>
        <w:pStyle w:val="Heading2"/>
        <w:rPr/>
      </w:pPr>
      <w:r>
        <w:rPr>
          <w:color w:val="000000"/>
        </w:rPr>
        <w:t>三 在线阅读的收入压力</w:t>
      </w:r>
    </w:p>
    <w:p>
      <w:pPr>
        <w:pStyle w:val="Normal"/>
        <w:rPr/>
      </w:pPr>
      <w:r>
        <w:rPr/>
        <w:t>上半年在线业务收入同比下降</w:t>
      </w:r>
      <w:r>
        <w:rPr/>
        <w:t>7.3%</w:t>
      </w:r>
      <w:r>
        <w:rPr/>
        <w:t>，自有平台产品收入</w:t>
      </w:r>
      <w:r>
        <w:rPr/>
        <w:t>16.23449</w:t>
      </w:r>
      <w:r>
        <w:rPr/>
        <w:t>亿元下降</w:t>
      </w:r>
      <w:r>
        <w:rPr/>
        <w:t>7.0%</w:t>
      </w:r>
      <w:r>
        <w:rPr/>
        <w:t>，腾讯渠道</w:t>
      </w:r>
      <w:r>
        <w:rPr/>
        <w:t>0.84881</w:t>
      </w:r>
      <w:r>
        <w:rPr/>
        <w:t>亿元，第三方平台</w:t>
      </w:r>
      <w:r>
        <w:rPr/>
        <w:t>1.31689</w:t>
      </w:r>
      <w:r>
        <w:rPr/>
        <w:t>亿元。公司解释免费内容占比增加、内容分发向短剧和</w:t>
      </w:r>
      <w:r>
        <w:rPr/>
        <w:t>AI</w:t>
      </w:r>
      <w:r>
        <w:rPr/>
        <w:t>漫剧转移以及竞争压力。自有平台稳定的访问规模和下降的收入可以同时出现，投资分析必须追踪变现结构，而不能只用用户数量稳定证明业务稳定。</w:t>
      </w:r>
    </w:p>
    <w:p>
      <w:pPr>
        <w:pStyle w:val="Normal"/>
        <w:rPr/>
      </w:pPr>
      <w:r>
        <w:rPr/>
        <w:t>平均月活跃用户为</w:t>
      </w:r>
      <w:r>
        <w:rPr/>
        <w:t>1.341</w:t>
      </w:r>
      <w:r>
        <w:rPr/>
        <w:t>亿，去年同期</w:t>
      </w:r>
      <w:r>
        <w:rPr/>
        <w:t>1.413</w:t>
      </w:r>
      <w:r>
        <w:rPr/>
        <w:t>亿，同比下降</w:t>
      </w:r>
      <w:r>
        <w:rPr/>
        <w:t>5.1%</w:t>
      </w:r>
      <w:r>
        <w:rPr/>
        <w:t>。其中自有平台月活</w:t>
      </w:r>
      <w:r>
        <w:rPr/>
        <w:t>1.035</w:t>
      </w:r>
      <w:r>
        <w:rPr/>
        <w:t>亿，同比增长</w:t>
      </w:r>
      <w:r>
        <w:rPr/>
        <w:t>0.8%</w:t>
      </w:r>
      <w:r>
        <w:rPr/>
        <w:t>；腾讯自营渠道月活</w:t>
      </w:r>
      <w:r>
        <w:rPr/>
        <w:t>3060</w:t>
      </w:r>
      <w:r>
        <w:rPr/>
        <w:t>万，同比下降</w:t>
      </w:r>
      <w:r>
        <w:rPr/>
        <w:t>20.5%</w:t>
      </w:r>
      <w:r>
        <w:rPr/>
        <w:t>。这一结构表明部分用户向自有入口迁移，不能把总下降全归因于内容失去吸引力。不过自有月活微升而收入下降，也说明转移没有完全抵消费费模式与内容形态改变对商业结果的影响。</w:t>
      </w:r>
    </w:p>
    <w:p>
      <w:pPr>
        <w:pStyle w:val="Normal"/>
        <w:rPr/>
      </w:pPr>
      <w:r>
        <w:rPr/>
        <w:t>平均月付费用户</w:t>
      </w:r>
      <w:r>
        <w:rPr/>
        <w:t>820</w:t>
      </w:r>
      <w:r>
        <w:rPr/>
        <w:t>万，去年</w:t>
      </w:r>
      <w:r>
        <w:rPr/>
        <w:t>920</w:t>
      </w:r>
      <w:r>
        <w:rPr/>
        <w:t>万，下降</w:t>
      </w:r>
      <w:r>
        <w:rPr/>
        <w:t>10.9%</w:t>
      </w:r>
      <w:r>
        <w:rPr/>
        <w:t>。月均每付费用户收入</w:t>
      </w:r>
      <w:r>
        <w:rPr/>
        <w:t>32.7</w:t>
      </w:r>
      <w:r>
        <w:rPr/>
        <w:t>元，去年</w:t>
      </w:r>
      <w:r>
        <w:rPr/>
        <w:t>31.3</w:t>
      </w:r>
      <w:r>
        <w:rPr/>
        <w:t>元，增长</w:t>
      </w:r>
      <w:r>
        <w:rPr/>
        <w:t>4.5%</w:t>
      </w:r>
      <w:r>
        <w:rPr/>
        <w:t>。</w:t>
      </w:r>
      <w:r>
        <w:rPr/>
        <w:t>ARPU</w:t>
      </w:r>
      <w:r>
        <w:rPr/>
        <w:t>提高主要来自低</w:t>
      </w:r>
      <w:r>
        <w:rPr/>
        <w:t>ARPU</w:t>
      </w:r>
      <w:r>
        <w:rPr/>
        <w:t>用户转向免费内容的结构效应，这与普遍涨价或产品价值提升不同。剩下的高付费人群更集中，短期可维持收入质量，长期却要防止付费群体持续缩小导致均值好看、总收入继续下降。</w:t>
      </w:r>
    </w:p>
    <w:p>
      <w:pPr>
        <w:pStyle w:val="Normal"/>
        <w:rPr/>
      </w:pPr>
      <w:r>
        <w:rPr/>
        <w:t>把</w:t>
      </w:r>
      <w:r>
        <w:rPr/>
        <w:t>820</w:t>
      </w:r>
      <w:r>
        <w:rPr/>
        <w:t>万付费用户与</w:t>
      </w:r>
      <w:r>
        <w:rPr/>
        <w:t>32.7</w:t>
      </w:r>
      <w:r>
        <w:rPr/>
        <w:t>元月</w:t>
      </w:r>
      <w:r>
        <w:rPr/>
        <w:t>ARPU</w:t>
      </w:r>
      <w:r>
        <w:rPr/>
        <w:t>简单相乘并年化，不能覆盖公司全部在线收入。指标定义对应自有产品和腾讯自营渠道的阅读收入，在线业务还包括广告及第三方分发等。模型直接使用正式分部收入，再给明确增长假设，避免把不同统计范围拼成伪精确收入桥。未来若公司披露更详细广告与阅读拆分，才可进一步提高驱动模型的细度。</w:t>
      </w:r>
    </w:p>
    <w:p>
      <w:pPr>
        <w:pStyle w:val="Heading2"/>
        <w:rPr/>
      </w:pPr>
      <w:r>
        <w:rPr>
          <w:color w:val="000000"/>
        </w:rPr>
        <w:t>四 免费内容与付费体系的竞争</w:t>
      </w:r>
    </w:p>
    <w:p>
      <w:pPr>
        <w:pStyle w:val="Normal"/>
        <w:rPr/>
      </w:pPr>
      <w:r>
        <w:rPr/>
        <w:t>免费阅读通过广告补贴用户消费时间，付费阅读依赖作品质量、更新连续性和读者支付意愿。两者会共存，但竞争会改变用户选择。消费较弱时，部分轻度用户更愿意接受广告。</w:t>
      </w:r>
      <w:r>
        <w:rPr/>
        <w:t>AI</w:t>
      </w:r>
      <w:r>
        <w:rPr/>
        <w:t>与短视频增加免费内容供给后，付费章节需要更强的叙事质量与长期追更价值。阅文不能仅靠历史知名作品维持所有细分群体的付费比例。</w:t>
      </w:r>
    </w:p>
    <w:p>
      <w:pPr>
        <w:pStyle w:val="Normal"/>
        <w:rPr/>
      </w:pPr>
      <w:r>
        <w:rPr/>
        <w:t>免费业务的毛利与收费阅读未必相同。广告收入需要有效展示、平台分成和用户时长，可能带来较低单用户收入；同时内容采购或作者分成仍是成本。业务收入下降而在线毛利率从</w:t>
      </w:r>
      <w:r>
        <w:rPr/>
        <w:t>49.8%</w:t>
      </w:r>
      <w:r>
        <w:rPr/>
        <w:t>升至</w:t>
      </w:r>
      <w:r>
        <w:rPr/>
        <w:t>52.5%</w:t>
      </w:r>
      <w:r>
        <w:rPr/>
        <w:t>，可以反映成本结构调整，不代表免费模式已完全成功。应继续观察毛利总额、留存与营销支出，因为上半年在线毛利金额仍略低于去年。</w:t>
      </w:r>
    </w:p>
    <w:p>
      <w:pPr>
        <w:pStyle w:val="Normal"/>
        <w:rPr/>
      </w:pPr>
      <w:r>
        <w:rPr/>
        <w:t>付费生态的优势是读者可直接支持高质量连载，作者也可得到更清晰的作品反馈。若免费渠道推动更广泛用户触达，最后又回流到付费或改编消费，转型可能改善总体</w:t>
      </w:r>
      <w:r>
        <w:rPr/>
        <w:t>IP</w:t>
      </w:r>
      <w:r>
        <w:rPr/>
        <w:t>收益。但这种跨形态转化必须用数据验证。公司提到</w:t>
      </w:r>
      <w:r>
        <w:rPr/>
        <w:t>AI</w:t>
      </w:r>
      <w:r>
        <w:rPr/>
        <w:t>漫剧带动原著进入榜单只是个别案例，不能假设所有观看量都会转为付费用户或把同一用户的不同互动重复计为收入。</w:t>
      </w:r>
    </w:p>
    <w:p>
      <w:pPr>
        <w:pStyle w:val="Normal"/>
        <w:rPr/>
      </w:pPr>
      <w:r>
        <w:rPr/>
        <w:t>反证之一是付费用户连续两个可比报告期出现双位数下降，而</w:t>
      </w:r>
      <w:r>
        <w:rPr/>
        <w:t>IP</w:t>
      </w:r>
      <w:r>
        <w:rPr/>
        <w:t>新业务的经营现金贡献没有弥补。另一反证是自有平台的免费流量增加，却需要同比更高的获客费用才能保持总收入。发生这些变化时，模型应下调在线收入和毛利，降低终端倍数。若只调整收入而保留过去平台高利润率，便会低估商业模式变化带来的下行。</w:t>
      </w:r>
    </w:p>
    <w:p>
      <w:pPr>
        <w:pStyle w:val="Heading2"/>
        <w:rPr/>
      </w:pPr>
      <w:r>
        <w:rPr>
          <w:color w:val="000000"/>
        </w:rPr>
        <w:t xml:space="preserve">五 </w:t>
      </w:r>
      <w:r>
        <w:rPr>
          <w:color w:val="000000"/>
        </w:rPr>
        <w:t>IP</w:t>
      </w:r>
      <w:r>
        <w:rPr>
          <w:color w:val="000000"/>
        </w:rPr>
        <w:t>运营增长的质量</w:t>
      </w:r>
    </w:p>
    <w:p>
      <w:pPr>
        <w:pStyle w:val="Normal"/>
        <w:rPr/>
      </w:pPr>
      <w:r>
        <w:rPr/>
        <w:t>上半年</w:t>
      </w:r>
      <w:r>
        <w:rPr/>
        <w:t>IP</w:t>
      </w:r>
      <w:r>
        <w:rPr/>
        <w:t>运营本体收入</w:t>
      </w:r>
      <w:r>
        <w:rPr/>
        <w:t>16.13930</w:t>
      </w:r>
      <w:r>
        <w:rPr/>
        <w:t>亿元，同比增长</w:t>
      </w:r>
      <w:r>
        <w:rPr/>
        <w:t>41.9%</w:t>
      </w:r>
      <w:r>
        <w:rPr/>
        <w:t>；连同实体书等其他业务，总分部增长</w:t>
      </w:r>
      <w:r>
        <w:rPr/>
        <w:t>40.3%</w:t>
      </w:r>
      <w:r>
        <w:rPr/>
        <w:t>。增长由短剧、</w:t>
      </w:r>
      <w:r>
        <w:rPr/>
        <w:t>AI</w:t>
      </w:r>
      <w:r>
        <w:rPr/>
        <w:t>漫剧、剧集和衍生品等多个方向贡献。多元收入有机会减轻对单部影视作品的依赖，但分部未完整披露每条子业务的利润。模型没有把各类产品全部按最高毛利估值，而在</w:t>
      </w:r>
      <w:r>
        <w:rPr/>
        <w:t>IP</w:t>
      </w:r>
      <w:r>
        <w:rPr/>
        <w:t>综合毛利中体现制作、渠道和产品销售的不同结构。</w:t>
      </w:r>
    </w:p>
    <w:p>
      <w:pPr>
        <w:pStyle w:val="Normal"/>
        <w:rPr/>
      </w:pPr>
      <w:r>
        <w:rPr/>
        <w:t>IP</w:t>
      </w:r>
      <w:r>
        <w:rPr/>
        <w:t>分部毛利</w:t>
      </w:r>
      <w:r>
        <w:rPr/>
        <w:t>8.26983</w:t>
      </w:r>
      <w:r>
        <w:rPr/>
        <w:t>亿元，毛利率</w:t>
      </w:r>
      <w:r>
        <w:rPr/>
        <w:t>48.9%</w:t>
      </w:r>
      <w:r>
        <w:rPr/>
        <w:t>，去年同期</w:t>
      </w:r>
      <w:r>
        <w:rPr/>
        <w:t>51.7%</w:t>
      </w:r>
      <w:r>
        <w:rPr/>
        <w:t>。收入快速增加而毛利率下降，是判断转型质量的重要信号。新业务能扩大总毛利，却需要更高制作投入或不同收益分配。短期培育阶段可以接受一定利润率下降，但若营销、研发和行政也随收入迅速增加，股东最终得到的利润增长会明显慢于</w:t>
      </w:r>
      <w:r>
        <w:rPr/>
        <w:t>IP</w:t>
      </w:r>
      <w:r>
        <w:rPr/>
        <w:t>收入增长。</w:t>
      </w:r>
    </w:p>
    <w:p>
      <w:pPr>
        <w:pStyle w:val="Normal"/>
        <w:rPr/>
      </w:pPr>
      <w:r>
        <w:rPr/>
        <w:t>一个成功</w:t>
      </w:r>
      <w:r>
        <w:rPr/>
        <w:t>IP</w:t>
      </w:r>
      <w:r>
        <w:rPr/>
        <w:t>可以形成文字、动画、影视与商品的互相促进，也可能不同产品互相分流。发行方有必要为每种形态匹配预算和用户场景。剧集的长周期制作与短剧的快速测试逻辑不同，不能在财务预测中假设每次开发都复制同一成功率。模型用综合成本约束，而没有为公司未披露项目建立虚构的逐片利润或票房占比。</w:t>
      </w:r>
    </w:p>
    <w:p>
      <w:pPr>
        <w:pStyle w:val="Normal"/>
        <w:rPr/>
      </w:pPr>
      <w:r>
        <w:rPr/>
        <w:t>投资逻辑的关键在于复用能够降低获客和开发成本。若原著读者、动画观众和周边用户之间具有稳定交叉转化，公司可提升同一版权的终身价值。若每个形态都需重新购买流量，作品库的协同价值就较低。后续报告中的营销占比、收入复购及现金回收会比单纯增加改编数量更能解释估值变化，研究据此设置反证条件。</w:t>
      </w:r>
    </w:p>
    <w:p>
      <w:pPr>
        <w:pStyle w:val="Heading2"/>
        <w:rPr/>
      </w:pPr>
      <w:r>
        <w:rPr>
          <w:color w:val="000000"/>
        </w:rPr>
        <w:t>六 短剧及</w:t>
      </w:r>
      <w:r>
        <w:rPr>
          <w:color w:val="000000"/>
        </w:rPr>
        <w:t>AI</w:t>
      </w:r>
      <w:r>
        <w:rPr>
          <w:color w:val="000000"/>
        </w:rPr>
        <w:t>漫剧的机会与边界</w:t>
      </w:r>
    </w:p>
    <w:p>
      <w:pPr>
        <w:pStyle w:val="Normal"/>
        <w:rPr/>
      </w:pPr>
      <w:r>
        <w:rPr/>
        <w:t>公司披露短剧和</w:t>
      </w:r>
      <w:r>
        <w:rPr/>
        <w:t>AI</w:t>
      </w:r>
      <w:r>
        <w:rPr/>
        <w:t>漫剧上半年收入超过</w:t>
      </w:r>
      <w:r>
        <w:rPr/>
        <w:t>4.3</w:t>
      </w:r>
      <w:r>
        <w:rPr/>
        <w:t>亿元，较去年增长</w:t>
      </w:r>
      <w:r>
        <w:rPr/>
        <w:t>2.3</w:t>
      </w:r>
      <w:r>
        <w:rPr/>
        <w:t>倍，属于正式公司公告可核的数据。该数字包含两种形态，不能据此虚构</w:t>
      </w:r>
      <w:r>
        <w:rPr/>
        <w:t>AI</w:t>
      </w:r>
      <w:r>
        <w:rPr/>
        <w:t>漫剧单独收入、毛利或市场份额。它已经是值得关注的收入来源，但与集团</w:t>
      </w:r>
      <w:r>
        <w:rPr/>
        <w:t>35.31</w:t>
      </w:r>
      <w:r>
        <w:rPr/>
        <w:t>亿元半年收入相比仍是少数。要驱动整体利润，需要维持增长并改善制作、投流和渠道的净贡献。</w:t>
      </w:r>
    </w:p>
    <w:p>
      <w:pPr>
        <w:pStyle w:val="Normal"/>
        <w:rPr/>
      </w:pPr>
      <w:r>
        <w:rPr/>
        <w:t>上半年上线超过</w:t>
      </w:r>
      <w:r>
        <w:rPr/>
        <w:t>90</w:t>
      </w:r>
      <w:r>
        <w:rPr/>
        <w:t>部短剧，</w:t>
      </w:r>
      <w:r>
        <w:rPr/>
        <w:t>46</w:t>
      </w:r>
      <w:r>
        <w:rPr/>
        <w:t>部</w:t>
      </w:r>
      <w:r>
        <w:rPr/>
        <w:t>AI</w:t>
      </w:r>
      <w:r>
        <w:rPr/>
        <w:t>漫剧各超过一亿观看次数。公司将爆款率与行业平均比较，属于公司经营陈述，统计样本和行业范围并未在财报中完整公开。观看量可能跨平台累计，并不等于独立付费用户。研究保留这些线索的来源属性，不把观看次数直接乘一个假定收入率来制造更高的盈利预测。</w:t>
      </w:r>
    </w:p>
    <w:p>
      <w:pPr>
        <w:pStyle w:val="Normal"/>
        <w:rPr/>
      </w:pPr>
      <w:r>
        <w:rPr/>
        <w:t>AI</w:t>
      </w:r>
      <w:r>
        <w:rPr/>
        <w:t>能降低部分画面生产、翻译和流程管理成本，但高质量商业作品仍需要人物、剧情、审美和版权审核。快速生产也可能提高测试数量和投流预算，节省的制作费用不必全部转化为利润。公司研发费用明显增加，说明工具与游戏开发需要前期投入。估值要看每部作品在完整成本后的收益，而不能把</w:t>
      </w:r>
      <w:r>
        <w:rPr/>
        <w:t>AI</w:t>
      </w:r>
      <w:r>
        <w:rPr/>
        <w:t>视为能自动把综合毛利推向软件行业水平。</w:t>
      </w:r>
    </w:p>
    <w:p>
      <w:pPr>
        <w:pStyle w:val="Normal"/>
        <w:rPr/>
      </w:pPr>
      <w:r>
        <w:rPr/>
        <w:t>短剧商业化还受渠道规则、广告竞价和退款等影响。发行规模扩张容易出现收入增长较快、现金回收较慢，或爆款销售集中于短周期的问题。公司未公开足够的逐剧现金明细，模型将这种不确定性放入营销费用和营运资本假设。若未来短剧收入保持高增长但营销比例持续上升，应减少乐观情景权重，不能用增长本身证明竞争优势。</w:t>
      </w:r>
    </w:p>
    <w:p>
      <w:pPr>
        <w:pStyle w:val="Heading2"/>
        <w:rPr/>
      </w:pPr>
      <w:r>
        <w:rPr>
          <w:color w:val="000000"/>
        </w:rPr>
        <w:t xml:space="preserve">七 </w:t>
      </w:r>
      <w:r>
        <w:rPr>
          <w:color w:val="000000"/>
        </w:rPr>
        <w:t>AI</w:t>
      </w:r>
      <w:r>
        <w:rPr>
          <w:color w:val="000000"/>
        </w:rPr>
        <w:t>工具与生产流程</w:t>
      </w:r>
    </w:p>
    <w:p>
      <w:pPr>
        <w:pStyle w:val="Normal"/>
        <w:rPr/>
      </w:pPr>
      <w:r>
        <w:rPr/>
        <w:t>公司推出面向创作者和运营者的</w:t>
      </w:r>
      <w:r>
        <w:rPr/>
        <w:t>NovelBuddy</w:t>
      </w:r>
      <w:r>
        <w:rPr/>
        <w:t>、</w:t>
      </w:r>
      <w:r>
        <w:rPr/>
        <w:t>DramaBuddy</w:t>
      </w:r>
      <w:r>
        <w:rPr/>
        <w:t>及</w:t>
      </w:r>
      <w:r>
        <w:rPr/>
        <w:t>IPBuddy</w:t>
      </w:r>
      <w:r>
        <w:rPr/>
        <w:t>等工具，分别用于写作辅助、漫剧制作和版权选择。工具的用途能提高研发效率和项目筛选质量，但公告没有提供完整收费用户、订阅价格或单独盈利数据。因此本模型不为工具单独加一笔软件估值，也不把内部使用次数当作外部收入，以免与内容业务效率改善重复计价。</w:t>
      </w:r>
    </w:p>
    <w:p>
      <w:pPr>
        <w:pStyle w:val="Normal"/>
        <w:rPr/>
      </w:pPr>
      <w:r>
        <w:rPr/>
        <w:t>写作工具可以降低基础素材生成成本，却难以代替作者对情节、人物关系和读者预期的长期管理。平台若允许大量质量接近的内容涌入，编辑与推荐成本可能增加。保护作者权益、明确训练数据来源和识别抄袭成为新的经营工作。工具价值须结合作者留存和作品商业表现判断，不能只看模型能力演示或生成速度。</w:t>
      </w:r>
    </w:p>
    <w:p>
      <w:pPr>
        <w:pStyle w:val="Normal"/>
        <w:rPr/>
      </w:pPr>
      <w:r>
        <w:rPr/>
        <w:t>IP</w:t>
      </w:r>
      <w:r>
        <w:rPr/>
        <w:t>选择工具若确实提升开发命中率，可以减少无效版权采购和失败项目，这对现金收益比增加上线数量更有意义。但算法也可能偏好已经热门的题材，造成内容同质化。阅文需要保持新题材和新作者的培育。研究在长期情景中保留研发与内容减值，不把所有算法筛选结果当成已成功的项目，也不推断公司拥有不可复制的基础大模型技术垄断。</w:t>
      </w:r>
    </w:p>
    <w:p>
      <w:pPr>
        <w:pStyle w:val="Normal"/>
        <w:rPr/>
      </w:pPr>
      <w:r>
        <w:rPr/>
        <w:t>AI</w:t>
      </w:r>
      <w:r>
        <w:rPr/>
        <w:t>制作链条的长期经济分配尚不稳定。基础模型、算力供应、制作工具、版权方和发行渠道都可能要求分成。公司能够控制原创作品和部分开发流程，却不一定控制最终流量入口。未来如果工具变成行业标准，成本优势可能被竞争者分享；如果内容版权更稀缺，阅文更有机会受益。长期推荐需要持续观察哪一环获得更多利润。</w:t>
      </w:r>
    </w:p>
    <w:p>
      <w:pPr>
        <w:pStyle w:val="Heading2"/>
        <w:rPr/>
      </w:pPr>
      <w:r>
        <w:rPr>
          <w:color w:val="000000"/>
        </w:rPr>
        <w:t>八 影视与新丽的重估</w:t>
      </w:r>
    </w:p>
    <w:p>
      <w:pPr>
        <w:pStyle w:val="Normal"/>
        <w:rPr/>
      </w:pPr>
      <w:r>
        <w:rPr/>
        <w:t>2025</w:t>
      </w:r>
      <w:r>
        <w:rPr/>
        <w:t>年新丽相关影视业务商誉减值</w:t>
      </w:r>
      <w:r>
        <w:rPr/>
        <w:t>18.12556</w:t>
      </w:r>
      <w:r>
        <w:rPr/>
        <w:t>亿元，前一年亦有</w:t>
      </w:r>
      <w:r>
        <w:rPr/>
        <w:t>11.04592</w:t>
      </w:r>
      <w:r>
        <w:rPr/>
        <w:t>亿元减值。</w:t>
      </w:r>
      <w:r>
        <w:rPr/>
        <w:t>2025</w:t>
      </w:r>
      <w:r>
        <w:rPr/>
        <w:t>年末相关商誉已全部减完，今后不会再对这部分商誉重复确认损失。但“商誉清零”只是账面处理完成，不等于影视业务不再亏损。剧本、在制品、预付款、版权和合同收入仍可能出现减值或延期，项目投入也继续需要真实现金。</w:t>
      </w:r>
    </w:p>
    <w:p>
      <w:pPr>
        <w:pStyle w:val="Normal"/>
        <w:rPr/>
      </w:pPr>
      <w:r>
        <w:rPr/>
        <w:t>公司在盈利预警中解释长剧和电影受到短剧与碎片化消费的竞争，高品质制作采取更谨慎节奏，可能延长开发、拍摄和后期。延长周期既可能提高作品质量，也会推迟回款并增加资金占用。对投资者而言，需要比较更高质量能带来的收入与更长资金周期的成本。不能只把非现金商誉损失加回，就恢复以前的高增长估值。</w:t>
      </w:r>
    </w:p>
    <w:p>
      <w:pPr>
        <w:pStyle w:val="Normal"/>
        <w:rPr/>
      </w:pPr>
      <w:r>
        <w:rPr/>
        <w:t>2025</w:t>
      </w:r>
      <w:r>
        <w:rPr/>
        <w:t>年集团收入</w:t>
      </w:r>
      <w:r>
        <w:rPr/>
        <w:t>73.66176</w:t>
      </w:r>
      <w:r>
        <w:rPr/>
        <w:t>亿元，下降</w:t>
      </w:r>
      <w:r>
        <w:rPr/>
        <w:t>9.3%</w:t>
      </w:r>
      <w:r>
        <w:rPr/>
        <w:t>；归母法定亏损</w:t>
      </w:r>
      <w:r>
        <w:rPr/>
        <w:t>7.76054</w:t>
      </w:r>
      <w:r>
        <w:rPr/>
        <w:t>亿元，非</w:t>
      </w:r>
      <w:r>
        <w:rPr/>
        <w:t>IFRS</w:t>
      </w:r>
      <w:r>
        <w:rPr/>
        <w:t>归母</w:t>
      </w:r>
      <w:r>
        <w:rPr/>
        <w:t>8.58486</w:t>
      </w:r>
      <w:r>
        <w:rPr/>
        <w:t>亿元。两套数相差很大，主要包含商誉与投资相关调整。影视板块的经济失败会反映在资本回报，虽然不会每年以同等商誉损失出现。模型因此保留未来内容减值、正常营销及资本投入，对正常盈利的定义严于公司调整指标。</w:t>
      </w:r>
    </w:p>
    <w:p>
      <w:pPr>
        <w:pStyle w:val="Normal"/>
        <w:rPr/>
      </w:pPr>
      <w:r>
        <w:rPr/>
        <w:t>影视作品的热度排行可用于判断受众，但票房、平台热度、分账收入和上市公司利润是不同数据。没有公司正式项目权利和分成资料时，本章不把媒体上的票房总额直接当成集团收入。半年内影视安排是催化剂线索，三年以上应看作品组合、资本周转和组织能力。若仍依赖少数高预算项目，估值应保留波动折价。</w:t>
      </w:r>
    </w:p>
    <w:p>
      <w:pPr>
        <w:pStyle w:val="Heading2"/>
        <w:rPr/>
      </w:pPr>
      <w:r>
        <w:rPr>
          <w:color w:val="000000"/>
        </w:rPr>
        <w:t>九 衍生品与消费周期</w:t>
      </w:r>
    </w:p>
    <w:p>
      <w:pPr>
        <w:pStyle w:val="Normal"/>
        <w:rPr/>
      </w:pPr>
      <w:r>
        <w:rPr/>
        <w:t>公司披露</w:t>
      </w:r>
      <w:r>
        <w:rPr/>
        <w:t>IP</w:t>
      </w:r>
      <w:r>
        <w:rPr/>
        <w:t>衍生品上半年</w:t>
      </w:r>
      <w:r>
        <w:rPr/>
        <w:t>GMV7.8</w:t>
      </w:r>
      <w:r>
        <w:rPr/>
        <w:t>亿元，同比增长超过</w:t>
      </w:r>
      <w:r>
        <w:rPr/>
        <w:t>60%</w:t>
      </w:r>
      <w:r>
        <w:rPr/>
        <w:t>。</w:t>
      </w:r>
      <w:r>
        <w:rPr/>
        <w:t>GMV</w:t>
      </w:r>
      <w:r>
        <w:rPr/>
        <w:t>是消费者商品交易规模，与上市公司收入确认方式不同。授权模式可能只收许可费，自营模式可能按商品销售收入确认，同时承担库存和渠道成本。模型没有用</w:t>
      </w:r>
      <w:r>
        <w:rPr/>
        <w:t>7.8</w:t>
      </w:r>
      <w:r>
        <w:rPr/>
        <w:t>亿元直接替换</w:t>
      </w:r>
      <w:r>
        <w:rPr/>
        <w:t>IP</w:t>
      </w:r>
      <w:r>
        <w:rPr/>
        <w:t>分部收入，也没有按泡泡玛特等成熟消费品牌的利润率直接估值。</w:t>
      </w:r>
    </w:p>
    <w:p>
      <w:pPr>
        <w:pStyle w:val="Normal"/>
        <w:rPr/>
      </w:pPr>
      <w:r>
        <w:rPr/>
        <w:t>公司扩展毛绒、生活用品、贵金属和轻量周边，线上小程序、电商、直播及线下合作共同参与销售。这些产品能够增强粉丝黏性，但消费偏好、库存周转和渠道管理会影响利润。</w:t>
      </w:r>
      <w:r>
        <w:rPr/>
        <w:t>IP</w:t>
      </w:r>
      <w:r>
        <w:rPr/>
        <w:t>粉丝不必对每个品类都有同样支付意愿；商品质量与设计也决定复购。研究把衍生品作为</w:t>
      </w:r>
      <w:r>
        <w:rPr/>
        <w:t>IP</w:t>
      </w:r>
      <w:r>
        <w:rPr/>
        <w:t>变现的一条路线，而非天然具有稳定高溢价的独立品牌。</w:t>
      </w:r>
    </w:p>
    <w:p>
      <w:pPr>
        <w:pStyle w:val="Normal"/>
        <w:rPr/>
      </w:pPr>
      <w:r>
        <w:rPr/>
        <w:t>六月存货</w:t>
      </w:r>
      <w:r>
        <w:rPr/>
        <w:t>6.15247</w:t>
      </w:r>
      <w:r>
        <w:rPr/>
        <w:t>亿元，包括改编权和剧本以及实体商品，不能全部解释为滞销周边。年报附注明确计提存货及改编权减值并计入成本。不同库存有不同生命周期，剧本和版权也可能不能开发。分析应保留正常减值并关注具体品类周转。若商品业务扩张带来库存和预付款上升而现金流不增加，增长的风险会比</w:t>
      </w:r>
      <w:r>
        <w:rPr/>
        <w:t>GMV</w:t>
      </w:r>
      <w:r>
        <w:rPr/>
        <w:t>所呈现的更高。</w:t>
      </w:r>
    </w:p>
    <w:p>
      <w:pPr>
        <w:pStyle w:val="Normal"/>
        <w:rPr/>
      </w:pPr>
      <w:r>
        <w:rPr/>
        <w:t>经济前景影响可选消费，弱收入预期可能压低单笔消费和复购。热门</w:t>
      </w:r>
      <w:r>
        <w:rPr/>
        <w:t>IP</w:t>
      </w:r>
      <w:r>
        <w:rPr/>
        <w:t>产品也可能在总体消费低迷中表现良好，但这种韧性需要真实销售证据。海外门店合作和跨境电商提供新增市场，同时有物流、语言、知识产权和本地渠道成本。乐观情景承认海外扩张机会，基准则不假设全国或全球门店体系已经形成。</w:t>
      </w:r>
    </w:p>
    <w:p>
      <w:pPr>
        <w:pStyle w:val="Heading2"/>
        <w:rPr/>
      </w:pPr>
      <w:r>
        <w:rPr>
          <w:color w:val="000000"/>
        </w:rPr>
        <w:t>十 游戏授权与研发投入</w:t>
      </w:r>
    </w:p>
    <w:p>
      <w:pPr>
        <w:pStyle w:val="Normal"/>
        <w:rPr/>
      </w:pPr>
      <w:r>
        <w:rPr/>
        <w:t>IP</w:t>
      </w:r>
      <w:r>
        <w:rPr/>
        <w:t>改编游戏能够提供授权费、流水分成或自营收入，不同模式对应不同风险。公司公告提到多个</w:t>
      </w:r>
      <w:r>
        <w:rPr/>
        <w:t>IP</w:t>
      </w:r>
      <w:r>
        <w:rPr/>
        <w:t>联动，并预期部分改编游戏后续上线，属于未来经营计划。上线日期、审批、留存、付费和长线运营尚需验证。本研究不把“预计很快上线”作为已确定收入，也不根据原著热度预设一款游戏必然成为爆款。</w:t>
      </w:r>
    </w:p>
    <w:p>
      <w:pPr>
        <w:pStyle w:val="Normal"/>
        <w:rPr/>
      </w:pPr>
      <w:r>
        <w:rPr/>
        <w:t>上半年研发</w:t>
      </w:r>
      <w:r>
        <w:rPr/>
        <w:t>2.99612</w:t>
      </w:r>
      <w:r>
        <w:rPr/>
        <w:t>亿元，同比增长约</w:t>
      </w:r>
      <w:r>
        <w:rPr/>
        <w:t>39.8%</w:t>
      </w:r>
      <w:r>
        <w:rPr/>
        <w:t>，包含研发人员和游戏开发外包；游戏开发外包</w:t>
      </w:r>
      <w:r>
        <w:rPr/>
        <w:t>0.74272</w:t>
      </w:r>
      <w:r>
        <w:rPr/>
        <w:t>亿元，明显高于去年</w:t>
      </w:r>
      <w:r>
        <w:rPr/>
        <w:t>0.13760</w:t>
      </w:r>
      <w:r>
        <w:rPr/>
        <w:t>亿元。研发已经进入行政费用，不能在完整行政之上再次扣全额研发。模型将行政分拆为研发与其他行政，两者合计后只扣一次。这既保留真实投入，也防止简单利润率假设漏掉正在扩大的费用。</w:t>
      </w:r>
    </w:p>
    <w:p>
      <w:pPr>
        <w:pStyle w:val="Normal"/>
        <w:rPr/>
      </w:pPr>
      <w:r>
        <w:rPr/>
        <w:t>游戏研发和影视制作都有前期投入，但运营反馈和收入节奏不同。授权模式可减少自营风险，也会分享更多收益；自营模式有更大上行，却承担技术、推广和运营。公司对完整各项目预算披露有限，因此模型只通过研发、</w:t>
      </w:r>
      <w:r>
        <w:rPr/>
        <w:t>IP</w:t>
      </w:r>
      <w:r>
        <w:rPr/>
        <w:t>综合毛利、营销和营运资本表现游戏业务预期，不假装具备逐款现金流精度。</w:t>
      </w:r>
    </w:p>
    <w:p>
      <w:pPr>
        <w:pStyle w:val="Normal"/>
        <w:rPr/>
      </w:pPr>
      <w:r>
        <w:rPr/>
        <w:t>一年情景可以由已有改编与联动验证增长，三年更需要产品矩阵连续性。若上线后只带来短期流水而没有持续现金，终端倍数不应提高。相反，若产品能低成本触达原著粉丝并维持较长生命周期，</w:t>
      </w:r>
      <w:r>
        <w:rPr/>
        <w:t>IP</w:t>
      </w:r>
      <w:r>
        <w:rPr/>
        <w:t>生态更有价值。反证包括研发投入继续增加但产品延期、推广费用过高以及授权条款削弱净收益，需同步下调收入和估值。</w:t>
      </w:r>
    </w:p>
    <w:p>
      <w:pPr>
        <w:pStyle w:val="Heading2"/>
        <w:rPr/>
      </w:pPr>
      <w:r>
        <w:rPr>
          <w:color w:val="000000"/>
        </w:rPr>
        <w:t>十一 海外与</w:t>
      </w:r>
      <w:r>
        <w:rPr>
          <w:color w:val="000000"/>
        </w:rPr>
        <w:t>WebNovel</w:t>
      </w:r>
    </w:p>
    <w:p>
      <w:pPr>
        <w:pStyle w:val="Normal"/>
        <w:rPr/>
      </w:pPr>
      <w:r>
        <w:rPr/>
        <w:t>公司披露六月末</w:t>
      </w:r>
      <w:r>
        <w:rPr/>
        <w:t>WebNovel</w:t>
      </w:r>
      <w:r>
        <w:rPr/>
        <w:t>有超过三万部</w:t>
      </w:r>
      <w:r>
        <w:rPr/>
        <w:t>AI</w:t>
      </w:r>
      <w:r>
        <w:rPr/>
        <w:t>翻译作品，上半年贡献平台小说收入</w:t>
      </w:r>
      <w:r>
        <w:rPr/>
        <w:t>40%</w:t>
      </w:r>
      <w:r>
        <w:rPr/>
        <w:t>，小语种作品收入同比增长</w:t>
      </w:r>
      <w:r>
        <w:rPr/>
        <w:t>160%</w:t>
      </w:r>
      <w:r>
        <w:rPr/>
        <w:t>。这些均限于</w:t>
      </w:r>
      <w:r>
        <w:rPr/>
        <w:t>WebNovel</w:t>
      </w:r>
      <w:r>
        <w:rPr/>
        <w:t>的特定业务范围，不能把</w:t>
      </w:r>
      <w:r>
        <w:rPr/>
        <w:t>40%</w:t>
      </w:r>
      <w:r>
        <w:rPr/>
        <w:t>乘集团收入作为</w:t>
      </w:r>
      <w:r>
        <w:rPr/>
        <w:t>AI</w:t>
      </w:r>
      <w:r>
        <w:rPr/>
        <w:t>收入。较低基数可以形成高增长，翻译也有助于增加供给，但海外整体规模与利润未完整披露，估值暂不单独加一笔海外平台高倍数。</w:t>
      </w:r>
    </w:p>
    <w:p>
      <w:pPr>
        <w:pStyle w:val="Normal"/>
        <w:rPr/>
      </w:pPr>
      <w:r>
        <w:rPr/>
        <w:t>海外用户对故事节奏、文化背景、订阅和支付方式存在差异。自动翻译能减少语言门槛，却可能影响细节和人物表达，质量需要编辑及读者反馈。当地版权合同、支付渠道和平台运营仍需投入。公司若能从翻译走向适合本地消费的产品，空间更大；若仅大量上架作品，可能出现供给增加、收入和留存增长不足的问题。</w:t>
      </w:r>
    </w:p>
    <w:p>
      <w:pPr>
        <w:pStyle w:val="Normal"/>
        <w:rPr/>
      </w:pPr>
      <w:r>
        <w:rPr/>
        <w:t>国内优质</w:t>
      </w:r>
      <w:r>
        <w:rPr/>
        <w:t>IP</w:t>
      </w:r>
      <w:r>
        <w:rPr/>
        <w:t>可以跨境，但不同形态的成功不一定同步。一本小说的海外读者不必购买周边或观看同一剧集，市场推广和改编需重新匹配受众。长期乐观情景给</w:t>
      </w:r>
      <w:r>
        <w:rPr/>
        <w:t>IP</w:t>
      </w:r>
      <w:r>
        <w:rPr/>
        <w:t>业务更高收入与毛利，但同时保留研发、销售和资本成本。基准没有假设海外免费流量都能直接转化为高价付费或腾讯渠道为公司提供无限的低成本推广。</w:t>
      </w:r>
    </w:p>
    <w:p>
      <w:pPr>
        <w:pStyle w:val="Normal"/>
        <w:rPr/>
      </w:pPr>
      <w:r>
        <w:rPr/>
        <w:t>汇率影响海外经营收入和港股投资者的本币回报，二者不应混为一项。集团业务主要以人民币计量，而港股价格以港币表示。本模型使用每人民币</w:t>
      </w:r>
      <w:r>
        <w:rPr/>
        <w:t>1.10</w:t>
      </w:r>
      <w:r>
        <w:rPr/>
        <w:t>港币作为估值换算假设，并在投资总回报中另做港币兑人民币敏感性。汇兑浮盈不纳入正常经营利润，避免波动财务收益与主业增长被重复加分。</w:t>
      </w:r>
    </w:p>
    <w:p>
      <w:pPr>
        <w:pStyle w:val="Heading2"/>
        <w:rPr/>
      </w:pPr>
      <w:r>
        <w:rPr>
          <w:color w:val="000000"/>
        </w:rPr>
        <w:t>十二 宏观需求与行业周期</w:t>
      </w:r>
    </w:p>
    <w:p>
      <w:pPr>
        <w:pStyle w:val="Normal"/>
        <w:rPr/>
      </w:pPr>
      <w:r>
        <w:rPr/>
        <w:t>在线娱乐需求受家庭收入、时间分配和竞争产品共同影响。收入压力增加可能使轻度用户转向免费阅读，却未必减少总娱乐时长。短剧和</w:t>
      </w:r>
      <w:r>
        <w:rPr/>
        <w:t>AI</w:t>
      </w:r>
      <w:r>
        <w:rPr/>
        <w:t>漫剧可能取得更多注意力，长剧制作则面临更强选择。阅文同时受益于新形态又承受旧形态调整，因此不能用“内容行业景气”一个标签概括。模型分别设置在线与</w:t>
      </w:r>
      <w:r>
        <w:rPr/>
        <w:t>IP</w:t>
      </w:r>
      <w:r>
        <w:rPr/>
        <w:t>收入，而不统一提高所有板块增长。</w:t>
      </w:r>
    </w:p>
    <w:p>
      <w:pPr>
        <w:pStyle w:val="Normal"/>
        <w:rPr/>
      </w:pPr>
      <w:r>
        <w:rPr/>
        <w:t>广告支出和消费信心影响免费内容变现、衍生品及获客成本。广告需求改善可能提高每次展示收入，也可能推升公司投流价格。只有当收入改善大于营销成本，公司才能获得利润。上半年销售营销约占收入</w:t>
      </w:r>
      <w:r>
        <w:rPr/>
        <w:t>28.6%</w:t>
      </w:r>
      <w:r>
        <w:rPr/>
        <w:t>，已经是重要成本。利率下降虽可帮助资产估值，却会降低存款收益；本模型因单独估值现金，将存款利息排除经营</w:t>
      </w:r>
      <w:r>
        <w:rPr/>
        <w:t>PE</w:t>
      </w:r>
      <w:r>
        <w:rPr/>
        <w:t>。</w:t>
      </w:r>
    </w:p>
    <w:p>
      <w:pPr>
        <w:pStyle w:val="Normal"/>
        <w:rPr/>
      </w:pPr>
      <w:r>
        <w:rPr/>
        <w:t>行业制作效率提高可能创造新市场，也可能加剧供给过剩。题材相似、更新过快及平台推荐机制会缩短作品生命周期。版权保护和内容审核影响商业化边界，低成本生成不等于低合规成本。公司要维持作品质量、作者关系和发行效率。长期评分对需求空间与商业质量分别加权，既承认成长，也不把行业总产量扩张等同于单家公司高利润。</w:t>
      </w:r>
    </w:p>
    <w:p>
      <w:pPr>
        <w:pStyle w:val="Normal"/>
        <w:rPr/>
      </w:pPr>
      <w:r>
        <w:rPr/>
        <w:t>集团在国内外上市资产估值环境中还受资金风险偏好影响。港股成长公司在利率和流动性变化时可能快速重新定价，基本面改善与估值扩张可以叠加，亦可能反向放大下跌。半年量价权重较高，是因为进场节奏会显著影响短期结果；五年技术权重为零，是因为长期收益必须回到现金和产权，不能由当前反弹形态来证明。</w:t>
      </w:r>
    </w:p>
    <w:p>
      <w:pPr>
        <w:pStyle w:val="Heading2"/>
        <w:rPr/>
      </w:pPr>
      <w:r>
        <w:rPr>
          <w:color w:val="000000"/>
        </w:rPr>
        <w:t>十三 历史财务与正常利润桥</w:t>
      </w:r>
    </w:p>
    <w:p>
      <w:pPr>
        <w:pStyle w:val="Normal"/>
        <w:rPr/>
      </w:pPr>
      <w:r>
        <w:rPr/>
        <w:t>2025</w:t>
      </w:r>
      <w:r>
        <w:rPr/>
        <w:t>年毛利</w:t>
      </w:r>
      <w:r>
        <w:rPr/>
        <w:t>33.96814</w:t>
      </w:r>
      <w:r>
        <w:rPr/>
        <w:t>亿元，销售</w:t>
      </w:r>
      <w:r>
        <w:rPr/>
        <w:t>20.10985</w:t>
      </w:r>
      <w:r>
        <w:rPr/>
        <w:t>亿元、行政</w:t>
      </w:r>
      <w:r>
        <w:rPr/>
        <w:t>10.07346</w:t>
      </w:r>
      <w:r>
        <w:rPr/>
        <w:t>亿元、信用成本</w:t>
      </w:r>
      <w:r>
        <w:rPr/>
        <w:t>1.04054</w:t>
      </w:r>
      <w:r>
        <w:rPr/>
        <w:t>亿元，另有投资及商誉等损益。这表明主营毛利扣完整费用后并非很厚。非</w:t>
      </w:r>
      <w:r>
        <w:rPr/>
        <w:t>IFRS</w:t>
      </w:r>
      <w:r>
        <w:rPr/>
        <w:t>利润</w:t>
      </w:r>
      <w:r>
        <w:rPr/>
        <w:t>8.58486</w:t>
      </w:r>
      <w:r>
        <w:rPr/>
        <w:t>亿元对理解经营有帮助，但加回股酬和收购无形资产摊销会提高数值。本研究保留长期经营所需费用，不将公司调整口径直接作为</w:t>
      </w:r>
      <w:r>
        <w:rPr/>
        <w:t>PE</w:t>
      </w:r>
      <w:r>
        <w:rPr/>
        <w:t>分母。</w:t>
      </w:r>
    </w:p>
    <w:p>
      <w:pPr>
        <w:pStyle w:val="Normal"/>
        <w:rPr/>
      </w:pPr>
      <w:r>
        <w:rPr/>
        <w:t>2026</w:t>
      </w:r>
      <w:r>
        <w:rPr/>
        <w:t>上半年集团收入</w:t>
      </w:r>
      <w:r>
        <w:rPr/>
        <w:t>35.31388</w:t>
      </w:r>
      <w:r>
        <w:rPr/>
        <w:t>亿元、毛利</w:t>
      </w:r>
      <w:r>
        <w:rPr/>
        <w:t>17.92093</w:t>
      </w:r>
      <w:r>
        <w:rPr/>
        <w:t>亿元、销售</w:t>
      </w:r>
      <w:r>
        <w:rPr/>
        <w:t>10.11398</w:t>
      </w:r>
      <w:r>
        <w:rPr/>
        <w:t>亿元、行政</w:t>
      </w:r>
      <w:r>
        <w:rPr/>
        <w:t>5.59988</w:t>
      </w:r>
      <w:r>
        <w:rPr/>
        <w:t>亿元、信用费</w:t>
      </w:r>
      <w:r>
        <w:rPr/>
        <w:t>0.06220</w:t>
      </w:r>
      <w:r>
        <w:rPr/>
        <w:t>亿元。存款利息</w:t>
      </w:r>
      <w:r>
        <w:rPr/>
        <w:t>0.81306</w:t>
      </w:r>
      <w:r>
        <w:rPr/>
        <w:t>亿元、其他损失</w:t>
      </w:r>
      <w:r>
        <w:rPr/>
        <w:t>0.24996</w:t>
      </w:r>
      <w:r>
        <w:rPr/>
        <w:t>亿元后，经营利润</w:t>
      </w:r>
      <w:r>
        <w:rPr/>
        <w:t>2.70797</w:t>
      </w:r>
      <w:r>
        <w:rPr/>
        <w:t>亿元。再加财务净收入</w:t>
      </w:r>
      <w:r>
        <w:rPr/>
        <w:t>0.00529</w:t>
      </w:r>
      <w:r>
        <w:rPr/>
        <w:t>亿元、联营及合营</w:t>
      </w:r>
      <w:r>
        <w:rPr/>
        <w:t>0.88778</w:t>
      </w:r>
      <w:r>
        <w:rPr/>
        <w:t>亿元，税前</w:t>
      </w:r>
      <w:r>
        <w:rPr/>
        <w:t>3.60104</w:t>
      </w:r>
      <w:r>
        <w:rPr/>
        <w:t>亿元，税</w:t>
      </w:r>
      <w:r>
        <w:rPr/>
        <w:t>2.24940</w:t>
      </w:r>
      <w:r>
        <w:rPr/>
        <w:t>亿元，归母</w:t>
      </w:r>
      <w:r>
        <w:rPr/>
        <w:t>1.35376</w:t>
      </w:r>
      <w:r>
        <w:rPr/>
        <w:t>亿元，桥接关系逐项可核。</w:t>
      </w:r>
    </w:p>
    <w:p>
      <w:pPr>
        <w:pStyle w:val="Normal"/>
        <w:rPr/>
      </w:pPr>
      <w:r>
        <w:rPr/>
        <w:t>完整费用中股酬</w:t>
      </w:r>
      <w:r>
        <w:rPr/>
        <w:t>0.78946</w:t>
      </w:r>
      <w:r>
        <w:rPr/>
        <w:t>亿元，研发</w:t>
      </w:r>
      <w:r>
        <w:rPr/>
        <w:t>2.99612</w:t>
      </w:r>
      <w:r>
        <w:rPr/>
        <w:t>亿元，全部无形摊销</w:t>
      </w:r>
      <w:r>
        <w:rPr/>
        <w:t>0.40318</w:t>
      </w:r>
      <w:r>
        <w:rPr/>
        <w:t>亿元，其中收购产生摊销</w:t>
      </w:r>
      <w:r>
        <w:rPr/>
        <w:t>0.10193</w:t>
      </w:r>
      <w:r>
        <w:rPr/>
        <w:t>亿元。股酬和研发都与团队维持和新产品开发相关，不能因不是当期现金支付或属于</w:t>
      </w:r>
      <w:r>
        <w:rPr/>
        <w:t>AI</w:t>
      </w:r>
      <w:r>
        <w:rPr/>
        <w:t>投入就全面加回。版权摊销对应资产消耗，亦不是永远可忽略。模型通过分部毛利和完整销售、研发、其他行政保留这些常态费用。</w:t>
      </w:r>
    </w:p>
    <w:p>
      <w:pPr>
        <w:pStyle w:val="Normal"/>
        <w:rPr/>
      </w:pPr>
      <w:r>
        <w:rPr/>
        <w:t>本章正常经营利润排除存款利息、汇兑、未实现投资、资产出售及联营收益，再保留必要版权追偿、正常补助和额外</w:t>
      </w:r>
      <w:r>
        <w:rPr/>
        <w:t>IP</w:t>
      </w:r>
      <w:r>
        <w:rPr/>
        <w:t>减值。现金和联营资产另按权益桥估值。这样既避免把集团低回报现金与高成长业务用同一倍数资本化，也避免</w:t>
      </w:r>
      <w:r>
        <w:rPr/>
        <w:t>PE</w:t>
      </w:r>
      <w:r>
        <w:rPr/>
        <w:t>已包含财资收益后再加全部现金。不同估值口径的目标必须先校准，不能只看哪个数字更大。</w:t>
      </w:r>
    </w:p>
    <w:p>
      <w:pPr>
        <w:pStyle w:val="Heading2"/>
        <w:rPr/>
      </w:pPr>
      <w:r>
        <w:rPr>
          <w:color w:val="000000"/>
        </w:rPr>
        <w:t>十四 税务事项的精确处理</w:t>
      </w:r>
    </w:p>
    <w:p>
      <w:pPr>
        <w:pStyle w:val="Normal"/>
        <w:rPr/>
      </w:pPr>
      <w:r>
        <w:rPr/>
        <w:t>六月三日公告说子公司按税务机关通知自查霍尔果斯相关</w:t>
      </w:r>
      <w:r>
        <w:rPr/>
        <w:t>2020</w:t>
      </w:r>
      <w:r>
        <w:rPr/>
        <w:t>至</w:t>
      </w:r>
      <w:r>
        <w:rPr/>
        <w:t>2022</w:t>
      </w:r>
      <w:r>
        <w:rPr/>
        <w:t>年税务风险，补税及滞纳金约三亿元，不涉及行政处罚，并已支付。中报落实为</w:t>
      </w:r>
      <w:r>
        <w:rPr/>
        <w:t>3.00030</w:t>
      </w:r>
      <w:r>
        <w:rPr/>
        <w:t>亿元，其中企业所得税</w:t>
      </w:r>
      <w:r>
        <w:rPr/>
        <w:t>1.66220</w:t>
      </w:r>
      <w:r>
        <w:rPr/>
        <w:t>亿元、具体历史滞纳金</w:t>
      </w:r>
      <w:r>
        <w:rPr/>
        <w:t>1.33810</w:t>
      </w:r>
      <w:r>
        <w:rPr/>
        <w:t>亿元。支付日期、损益确认和普通未来税率是三件不同的事，研究分别记录，不把已经支付的款项再次从十月现金扣掉。</w:t>
      </w:r>
    </w:p>
    <w:p>
      <w:pPr>
        <w:pStyle w:val="Normal"/>
        <w:rPr/>
      </w:pPr>
      <w:r>
        <w:rPr/>
        <w:t>报表其他损失行的全部税务滞纳金为</w:t>
      </w:r>
      <w:r>
        <w:rPr/>
        <w:t>1.34669</w:t>
      </w:r>
      <w:r>
        <w:rPr/>
        <w:t>亿元，略高于该历史事项的</w:t>
      </w:r>
      <w:r>
        <w:rPr/>
        <w:t>1.33810</w:t>
      </w:r>
      <w:r>
        <w:rPr/>
        <w:t>亿元，差额不能未经解释就全部当作同一事件加回。历史事项使法定归母减少约三亿元，剔除它可看经营背景，但这种机械加回仍含投资、联营及其他非正常项目。本模型最终从收入和完整成本重新构建正常经营利润，而不是只对法定利润加三亿元年化。</w:t>
      </w:r>
    </w:p>
    <w:p>
      <w:pPr>
        <w:pStyle w:val="Normal"/>
        <w:rPr/>
      </w:pPr>
      <w:r>
        <w:rPr/>
        <w:t>上半年非</w:t>
      </w:r>
      <w:r>
        <w:rPr/>
        <w:t>IFRS</w:t>
      </w:r>
      <w:r>
        <w:rPr/>
        <w:t>归母</w:t>
      </w:r>
      <w:r>
        <w:rPr/>
        <w:t>2.58838</w:t>
      </w:r>
      <w:r>
        <w:rPr/>
        <w:t>亿元较去年</w:t>
      </w:r>
      <w:r>
        <w:rPr/>
        <w:t>5.07807</w:t>
      </w:r>
      <w:r>
        <w:rPr/>
        <w:t>亿元下降</w:t>
      </w:r>
      <w:r>
        <w:rPr/>
        <w:t>49%</w:t>
      </w:r>
      <w:r>
        <w:rPr/>
        <w:t>，公司称主要受税务事项影响。该调整口径仍没有全面剔除本次税务支付，故简单使用其同比降幅也可能误读主营。相反，把税款全加回非</w:t>
      </w:r>
      <w:r>
        <w:rPr/>
        <w:t>IFRS</w:t>
      </w:r>
      <w:r>
        <w:rPr/>
        <w:t>后就套长期高</w:t>
      </w:r>
      <w:r>
        <w:rPr/>
        <w:t>PE</w:t>
      </w:r>
      <w:r>
        <w:rPr/>
        <w:t>，同样会忽略阅读下降、成本扩大和版权消耗。研究同时保留原数、事件金额及自建桥，便于读者追溯。</w:t>
      </w:r>
    </w:p>
    <w:p>
      <w:pPr>
        <w:pStyle w:val="Normal"/>
        <w:rPr/>
      </w:pPr>
      <w:r>
        <w:rPr/>
        <w:t>未来有效税率不能直接采用含历史补税的上半年</w:t>
      </w:r>
      <w:r>
        <w:rPr/>
        <w:t>62.5%</w:t>
      </w:r>
      <w:r>
        <w:rPr/>
        <w:t>，也不能假设所有子公司永久享受最低优惠。模型对正的经营税基设置</w:t>
      </w:r>
      <w:r>
        <w:rPr/>
        <w:t>18%</w:t>
      </w:r>
      <w:r>
        <w:rPr/>
        <w:t>至</w:t>
      </w:r>
      <w:r>
        <w:rPr/>
        <w:t>21%</w:t>
      </w:r>
      <w:r>
        <w:rPr/>
        <w:t>左右基准税率，悲观更高；经营亏损不即时确认税收益。税务事件也提示治理和历史优惠可持续性需要检查。若出现新范围追缴或优惠变化，需更新现金、正常税及风险评分，而非继续把所有费用视为一次性。</w:t>
      </w:r>
    </w:p>
    <w:p>
      <w:pPr>
        <w:pStyle w:val="Heading2"/>
        <w:rPr/>
      </w:pPr>
      <w:r>
        <w:rPr>
          <w:color w:val="000000"/>
        </w:rPr>
        <w:t>十五 现金流与财务安全垫</w:t>
      </w:r>
    </w:p>
    <w:p>
      <w:pPr>
        <w:pStyle w:val="Normal"/>
        <w:rPr/>
      </w:pPr>
      <w:r>
        <w:rPr/>
        <w:t>上半年经营产生现金</w:t>
      </w:r>
      <w:r>
        <w:rPr/>
        <w:t>5.92468</w:t>
      </w:r>
      <w:r>
        <w:rPr/>
        <w:t>亿元，支付所得税</w:t>
      </w:r>
      <w:r>
        <w:rPr/>
        <w:t>3.03095</w:t>
      </w:r>
      <w:r>
        <w:rPr/>
        <w:t>亿元后经营现金</w:t>
      </w:r>
      <w:r>
        <w:rPr/>
        <w:t>2.89373</w:t>
      </w:r>
      <w:r>
        <w:rPr/>
        <w:t>亿元。公司定义自由现金扣租赁本金</w:t>
      </w:r>
      <w:r>
        <w:rPr/>
        <w:t>0.41366</w:t>
      </w:r>
      <w:r>
        <w:rPr/>
        <w:t>亿元和资本开支</w:t>
      </w:r>
      <w:r>
        <w:rPr/>
        <w:t>0.43601</w:t>
      </w:r>
      <w:r>
        <w:rPr/>
        <w:t>亿元，得约</w:t>
      </w:r>
      <w:r>
        <w:rPr/>
        <w:t>2.04406</w:t>
      </w:r>
      <w:r>
        <w:rPr/>
        <w:t>亿元。由于租赁利息另在融资现金流，本研究进一步扣</w:t>
      </w:r>
      <w:r>
        <w:rPr/>
        <w:t>0.03096</w:t>
      </w:r>
      <w:r>
        <w:rPr/>
        <w:t>亿元得到约</w:t>
      </w:r>
      <w:r>
        <w:rPr/>
        <w:t>2.01310</w:t>
      </w:r>
      <w:r>
        <w:rPr/>
        <w:t>亿元代理。自由现金口径必须注明，不能把利息遗漏后与别家公司完整现金收益直接比较。</w:t>
      </w:r>
    </w:p>
    <w:p>
      <w:pPr>
        <w:pStyle w:val="Normal"/>
        <w:rPr/>
      </w:pPr>
      <w:r>
        <w:rPr/>
        <w:t>2025</w:t>
      </w:r>
      <w:r>
        <w:rPr/>
        <w:t>年经营现金为负</w:t>
      </w:r>
      <w:r>
        <w:rPr/>
        <w:t>2.76514</w:t>
      </w:r>
      <w:r>
        <w:rPr/>
        <w:t>亿元，与</w:t>
      </w:r>
      <w:r>
        <w:rPr/>
        <w:t>2024</w:t>
      </w:r>
      <w:r>
        <w:rPr/>
        <w:t>年较强现金流反差较大，说明项目交付与周转会影响现金。半年转正是积极变化，却不能用六个月结果证明长剧、游戏和</w:t>
      </w:r>
      <w:r>
        <w:rPr/>
        <w:t>IP</w:t>
      </w:r>
      <w:r>
        <w:rPr/>
        <w:t>业务从此稳定。六月应收</w:t>
      </w:r>
      <w:r>
        <w:rPr/>
        <w:t>15.50012</w:t>
      </w:r>
      <w:r>
        <w:rPr/>
        <w:t>亿元、流动预付款</w:t>
      </w:r>
      <w:r>
        <w:rPr/>
        <w:t>15.61933</w:t>
      </w:r>
      <w:r>
        <w:rPr/>
        <w:t>亿元，规模值得关注。公司即使没有借款，也可能因为制作、预付版权和营销在收益实现前持续占用资金。</w:t>
      </w:r>
    </w:p>
    <w:p>
      <w:pPr>
        <w:pStyle w:val="Normal"/>
        <w:rPr/>
      </w:pPr>
      <w:r>
        <w:rPr/>
        <w:t>六月现金等价物</w:t>
      </w:r>
      <w:r>
        <w:rPr/>
        <w:t>26.17427</w:t>
      </w:r>
      <w:r>
        <w:rPr/>
        <w:t>亿元，长期原期限存款</w:t>
      </w:r>
      <w:r>
        <w:rPr/>
        <w:t>22.12245</w:t>
      </w:r>
      <w:r>
        <w:rPr/>
        <w:t>亿元、流动存款</w:t>
      </w:r>
      <w:r>
        <w:rPr/>
        <w:t>30.02839</w:t>
      </w:r>
      <w:r>
        <w:rPr/>
        <w:t>亿元，加现金类其他产品后公司净现金</w:t>
      </w:r>
      <w:r>
        <w:rPr/>
        <w:t>98.61365</w:t>
      </w:r>
      <w:r>
        <w:rPr/>
        <w:t>亿元，借款为零。这个“净现金”定义不扣所有贸易、合同或租赁负债，不能等同于全部可立即分配给股东的金额。集团还需要运营储备和未来投入，估值因此扣明确储备、收购、回购及股息现金。</w:t>
      </w:r>
    </w:p>
    <w:p>
      <w:pPr>
        <w:pStyle w:val="Normal"/>
        <w:rPr/>
      </w:pPr>
      <w:r>
        <w:rPr/>
        <w:t>现金桥中折旧摊销含使用权资产，资本现金也包括租赁本金，二者成对处理；租赁利息已在正常利润扣除。营运资本增加另扣，不把在制影视和预付款都当固定资本开支重复计算。现金积累是正常年率现金代理乘明确时间系数，不是已发生的财务数。若新增收购或项目预付大于假设，现金价值和目标价会相应降低。</w:t>
      </w:r>
    </w:p>
    <w:p>
      <w:pPr>
        <w:pStyle w:val="Heading2"/>
        <w:rPr/>
      </w:pPr>
      <w:r>
        <w:rPr>
          <w:color w:val="000000"/>
        </w:rPr>
        <w:t>十六 资产质量与减值风险</w:t>
      </w:r>
    </w:p>
    <w:p>
      <w:pPr>
        <w:pStyle w:val="Normal"/>
        <w:rPr/>
      </w:pPr>
      <w:r>
        <w:rPr/>
        <w:t>六月无形资产</w:t>
      </w:r>
      <w:r>
        <w:rPr/>
        <w:t>42.56947</w:t>
      </w:r>
      <w:r>
        <w:rPr/>
        <w:t>亿元，规模明显高于当期利润。商誉清零只涉及新丽的特定商誉，其他商标、版权和作品资产仍会消耗。影视在制品</w:t>
      </w:r>
      <w:r>
        <w:rPr/>
        <w:t>5.19110</w:t>
      </w:r>
      <w:r>
        <w:rPr/>
        <w:t>亿元、完成品</w:t>
      </w:r>
      <w:r>
        <w:rPr/>
        <w:t>0.01460</w:t>
      </w:r>
      <w:r>
        <w:rPr/>
        <w:t>亿元，期末合计</w:t>
      </w:r>
      <w:r>
        <w:rPr/>
        <w:t>5.20570</w:t>
      </w:r>
      <w:r>
        <w:rPr/>
        <w:t>亿元；年初</w:t>
      </w:r>
      <w:r>
        <w:rPr/>
        <w:t>6.49443</w:t>
      </w:r>
      <w:r>
        <w:rPr/>
        <w:t>亿元，加新增</w:t>
      </w:r>
      <w:r>
        <w:rPr/>
        <w:t>3.04387</w:t>
      </w:r>
      <w:r>
        <w:rPr/>
        <w:t>亿元，扣成本</w:t>
      </w:r>
      <w:r>
        <w:rPr/>
        <w:t>4.33260</w:t>
      </w:r>
      <w:r>
        <w:rPr/>
        <w:t>亿元恰好桥接期末。账面变化可核，但项目能否顺利变现还需持续观察。</w:t>
      </w:r>
    </w:p>
    <w:p>
      <w:pPr>
        <w:pStyle w:val="Normal"/>
        <w:rPr/>
      </w:pPr>
      <w:r>
        <w:rPr/>
        <w:t>影视成本中含</w:t>
      </w:r>
      <w:r>
        <w:rPr/>
        <w:t>0.17934</w:t>
      </w:r>
      <w:r>
        <w:rPr/>
        <w:t>亿元减值，说明失败和延期是正常内容经营风险。资产减值未必每期同额，却不应从长期模型永久删除。本模型额外</w:t>
      </w:r>
      <w:r>
        <w:rPr/>
        <w:t>IP</w:t>
      </w:r>
      <w:r>
        <w:rPr/>
        <w:t>减值与毛利内正常内容成本分开，避免既假设最高毛利又完全不承担项目失败。悲观情景让减值和营销压力同时上升，反映内容业务在竞争恶化时多种风险可能一同发生。</w:t>
      </w:r>
    </w:p>
    <w:p>
      <w:pPr>
        <w:pStyle w:val="Normal"/>
        <w:rPr/>
      </w:pPr>
      <w:r>
        <w:rPr/>
        <w:t>流动预付款、版权与合同负债有不同经济含义。合同负债是尚待履行服务所收款，不能把收现直接当自由利润。预付款可能锁定未来作品，也可能增加无法回收风险。应收账款下降有助于现金，但需要看是否来自回款、业务结构或减值。研究没有把资产负债表每笔资产全部相加到现金估值，经营</w:t>
      </w:r>
      <w:r>
        <w:rPr/>
        <w:t>PE</w:t>
      </w:r>
      <w:r>
        <w:rPr/>
        <w:t>已包含其持续创造收益的作用。</w:t>
      </w:r>
    </w:p>
    <w:p>
      <w:pPr>
        <w:pStyle w:val="Normal"/>
        <w:rPr/>
      </w:pPr>
      <w:r>
        <w:rPr/>
        <w:t>投资资产有</w:t>
      </w:r>
      <w:r>
        <w:rPr/>
        <w:t>FVPL</w:t>
      </w:r>
      <w:r>
        <w:rPr/>
        <w:t>、</w:t>
      </w:r>
      <w:r>
        <w:rPr/>
        <w:t>FVOCI</w:t>
      </w:r>
      <w:r>
        <w:rPr/>
        <w:t>、联营与合营，收益可能包括重估和出售。上半年某音频投资被关联公司收购，公司获得现金及腾讯音乐股份，并产生重估损失。收到股票不是等同收到全部现金，股价变化也非主业增长。估值在现金锚之外仅保留折价后的其他联营权益</w:t>
      </w:r>
      <w:r>
        <w:rPr/>
        <w:t>NAV</w:t>
      </w:r>
      <w:r>
        <w:rPr/>
        <w:t>假设，不把所有未实现利润年化，也不把同一财务资产在多个位置重复加值。</w:t>
      </w:r>
    </w:p>
    <w:p>
      <w:pPr>
        <w:pStyle w:val="Heading2"/>
        <w:rPr/>
      </w:pPr>
      <w:r>
        <w:rPr>
          <w:color w:val="000000"/>
        </w:rPr>
        <w:t>十七 关联收购与资本配置</w:t>
      </w:r>
    </w:p>
    <w:p>
      <w:pPr>
        <w:pStyle w:val="Normal"/>
        <w:rPr/>
      </w:pPr>
      <w:r>
        <w:rPr/>
        <w:t>公司六月签订收购武汉艺画开天</w:t>
      </w:r>
      <w:r>
        <w:rPr/>
        <w:t>28.22%</w:t>
      </w:r>
      <w:r>
        <w:rPr/>
        <w:t>权益协议，现金代价</w:t>
      </w:r>
      <w:r>
        <w:rPr/>
        <w:t>4.0078</w:t>
      </w:r>
      <w:r>
        <w:rPr/>
        <w:t>亿元。七月三十一日全部条件满足并完成付款，集团持股增至</w:t>
      </w:r>
      <w:r>
        <w:rPr/>
        <w:t>59.70%</w:t>
      </w:r>
      <w:r>
        <w:rPr/>
        <w:t>，该完成事实在中报后续事项中公开。它发生在六月现金锚之后、研究截止前，因此现金模型明确扣这笔款项。不能仅使用六月</w:t>
      </w:r>
      <w:r>
        <w:rPr/>
        <w:t>98.61</w:t>
      </w:r>
      <w:r>
        <w:rPr/>
        <w:t>亿元净现金而忽略已完成收购，也不能在未来额外收购再扣一遍。</w:t>
      </w:r>
    </w:p>
    <w:p>
      <w:pPr>
        <w:pStyle w:val="Normal"/>
        <w:rPr/>
      </w:pPr>
      <w:r>
        <w:rPr/>
        <w:t>艺画开天从事动画和游戏内容，与</w:t>
      </w:r>
      <w:r>
        <w:rPr/>
        <w:t>IP</w:t>
      </w:r>
      <w:r>
        <w:rPr/>
        <w:t>开发存在协同，控制权可能提升项目协调。但收购属于腾讯关联交易，价格、权益优先条款和后续投资需以公告解释。公告引用全部股权评估值</w:t>
      </w:r>
      <w:r>
        <w:rPr/>
        <w:t>13.10</w:t>
      </w:r>
      <w:r>
        <w:rPr/>
        <w:t>亿元，而交易权益含反稀释、赎回和清算优先等权利，不能用</w:t>
      </w:r>
      <w:r>
        <w:rPr/>
        <w:t>28.22%</w:t>
      </w:r>
      <w:r>
        <w:rPr/>
        <w:t>简单除代价就断言所有普通股同价。估值应承认权利差异而保留不确定性。</w:t>
      </w:r>
    </w:p>
    <w:p>
      <w:pPr>
        <w:pStyle w:val="Normal"/>
        <w:rPr/>
      </w:pPr>
      <w:r>
        <w:rPr/>
        <w:t>收购后合并范围和少数股东权益可能变化。集团收入会增加一些被控制业务，但上市股东不能享有其全部利润。模型将</w:t>
      </w:r>
      <w:r>
        <w:rPr/>
        <w:t>IP</w:t>
      </w:r>
      <w:r>
        <w:rPr/>
        <w:t>收入和正常少数利润一起调整，没有在归母经营</w:t>
      </w:r>
      <w:r>
        <w:rPr/>
        <w:t>PE</w:t>
      </w:r>
      <w:r>
        <w:rPr/>
        <w:t>之外再单独把艺画开天整体股权估值全部加上。这样避免并购后同一业务既计经营收益又计资产</w:t>
      </w:r>
      <w:r>
        <w:rPr/>
        <w:t>NAV</w:t>
      </w:r>
      <w:r>
        <w:rPr/>
        <w:t>。未来正式合并数据出来，需替换假设并核对购买价分摊。</w:t>
      </w:r>
    </w:p>
    <w:p>
      <w:pPr>
        <w:pStyle w:val="Normal"/>
        <w:rPr/>
      </w:pPr>
      <w:r>
        <w:rPr/>
        <w:t>厚现金可以支持战略收购，也能支持回购和分红，三者会竞争资金。资本配置优劣不只看交易是否有业务关联，还要看投入回报、收购后执行和每股收益。历史商誉损失提示需要保持纪律。若公司不断扩大并购却没有相应利润和现金，长期安全垫会减少；模型的未来收购现金因此是独立可编辑输入，不假设所有剩余现金永远静止。</w:t>
      </w:r>
    </w:p>
    <w:p>
      <w:pPr>
        <w:pStyle w:val="Heading2"/>
        <w:rPr/>
      </w:pPr>
      <w:r>
        <w:rPr>
          <w:color w:val="000000"/>
        </w:rPr>
        <w:t>十八 股数 激励与回购</w:t>
      </w:r>
    </w:p>
    <w:p>
      <w:pPr>
        <w:pStyle w:val="Normal"/>
        <w:rPr/>
      </w:pPr>
      <w:r>
        <w:rPr/>
        <w:t>九月月报期末法定股</w:t>
      </w:r>
      <w:r>
        <w:rPr/>
        <w:t>10.14293517</w:t>
      </w:r>
      <w:r>
        <w:rPr/>
        <w:t>亿，十月八日注销</w:t>
      </w:r>
      <w:r>
        <w:rPr/>
        <w:t>420</w:t>
      </w:r>
      <w:r>
        <w:rPr/>
        <w:t>万股后为</w:t>
      </w:r>
      <w:r>
        <w:rPr/>
        <w:t>10.10093517</w:t>
      </w:r>
      <w:r>
        <w:rPr/>
        <w:t>亿。十月九日法定股不变，已购待注销</w:t>
      </w:r>
      <w:r>
        <w:rPr/>
        <w:t>106.1</w:t>
      </w:r>
      <w:r>
        <w:rPr/>
        <w:t>万股，其中当日购买</w:t>
      </w:r>
      <w:r>
        <w:rPr/>
        <w:t>6.1</w:t>
      </w:r>
      <w:r>
        <w:rPr/>
        <w:t>万股，代价</w:t>
      </w:r>
      <w:r>
        <w:rPr/>
        <w:t>121.549</w:t>
      </w:r>
      <w:r>
        <w:rPr/>
        <w:t>万港元。法定股、待注销股、财报</w:t>
      </w:r>
      <w:r>
        <w:rPr/>
        <w:t>EPS</w:t>
      </w:r>
      <w:r>
        <w:rPr/>
        <w:t>加权股数和未来经济股数不同。本模型用最新法定股起步，再扣已购待注销，加入未来回购与正常激励稀释。</w:t>
      </w:r>
    </w:p>
    <w:p>
      <w:pPr>
        <w:pStyle w:val="Normal"/>
        <w:rPr/>
      </w:pPr>
      <w:r>
        <w:rPr/>
        <w:t>十月九日回购公告发布时间</w:t>
      </w:r>
      <w:r>
        <w:rPr/>
        <w:t>17:07</w:t>
      </w:r>
      <w:r>
        <w:rPr/>
        <w:t>，晚于港股收盘，研究保留该事实并标明它不可能解释当日盘中全部走势。公告只是当天回购的正式补充，不是允许引入十月十日以后的经营资料。当天成交</w:t>
      </w:r>
      <w:r>
        <w:rPr/>
        <w:t>1018</w:t>
      </w:r>
      <w:r>
        <w:rPr/>
        <w:t>万余股，公司买</w:t>
      </w:r>
      <w:r>
        <w:rPr/>
        <w:t>6.1</w:t>
      </w:r>
      <w:r>
        <w:rPr/>
        <w:t>万股，占比很小，不能把放量上涨归因于回购单一因素，更不能据此判断特定资金持续吸筹。</w:t>
      </w:r>
    </w:p>
    <w:p>
      <w:pPr>
        <w:pStyle w:val="Normal"/>
        <w:rPr/>
      </w:pPr>
      <w:r>
        <w:rPr/>
        <w:t>九月期权存量约</w:t>
      </w:r>
      <w:r>
        <w:rPr/>
        <w:t>945</w:t>
      </w:r>
      <w:r>
        <w:rPr/>
        <w:t>万份，月报列可能新增发行约</w:t>
      </w:r>
      <w:r>
        <w:rPr/>
        <w:t>699</w:t>
      </w:r>
      <w:r>
        <w:rPr/>
        <w:t>万股及未授容量等，容量不是现时已经新增的股份。模型使用未来正常稀释假设，避免把全部未授容量一次性视作发行；同时也没有忽略股酬经济成本。常态股酬已经在经营费用，股数稀释仍需反映权利归属，两者并非相互排斥，现金购股与新股发行须按具体方式区分。</w:t>
      </w:r>
    </w:p>
    <w:p>
      <w:pPr>
        <w:pStyle w:val="Normal"/>
        <w:rPr/>
      </w:pPr>
      <w:r>
        <w:rPr/>
        <w:t>未来回购减少股数，但也消耗现金。权益桥将港币回购额换成人民币从超额现金扣除，并用同一回购额除平均购买价计算减少的股份。低价回购可能增厚每股价值，高价回购可能损害价值，结果由模型自然计算。累计股息也从现金扣除，再单列给投资者总回报，不能把派发前全部现金留在目标价同时再加分红。</w:t>
      </w:r>
    </w:p>
    <w:p>
      <w:pPr>
        <w:pStyle w:val="Heading2"/>
        <w:rPr/>
      </w:pPr>
      <w:r>
        <w:rPr>
          <w:color w:val="000000"/>
        </w:rPr>
        <w:t>十九 半年日线结构</w:t>
      </w:r>
    </w:p>
    <w:p>
      <w:pPr>
        <w:pStyle w:val="Normal"/>
        <w:rPr/>
      </w:pPr>
      <w:r>
        <w:rPr/>
        <w:t>基准日收盘</w:t>
      </w:r>
      <w:r>
        <w:rPr/>
        <w:t>20.84</w:t>
      </w:r>
      <w:r>
        <w:rPr/>
        <w:t>港元，较前一日</w:t>
      </w:r>
      <w:r>
        <w:rPr/>
        <w:t>19.64</w:t>
      </w:r>
      <w:r>
        <w:rPr/>
        <w:t>上涨</w:t>
      </w:r>
      <w:r>
        <w:rPr/>
        <w:t>6.11%</w:t>
      </w:r>
      <w:r>
        <w:rPr/>
        <w:t>，开</w:t>
      </w:r>
      <w:r>
        <w:rPr/>
        <w:t>19.60</w:t>
      </w:r>
      <w:r>
        <w:rPr/>
        <w:t>、最高</w:t>
      </w:r>
      <w:r>
        <w:rPr/>
        <w:t>21.22</w:t>
      </w:r>
      <w:r>
        <w:rPr/>
        <w:t>、最低</w:t>
      </w:r>
      <w:r>
        <w:rPr/>
        <w:t>19.47</w:t>
      </w:r>
      <w:r>
        <w:rPr/>
        <w:t>。收盘靠近日内高位但没有收在最高点，反映买方较强，也说明上方仍有卖出。单日大涨发生在长期下跌之后，可能是修复的开端，也可能只是震荡中的反弹。判断需要结合后续收盘位置和量能，而不能用一根阳线确认半年趋势反转。</w:t>
      </w:r>
    </w:p>
    <w:p>
      <w:pPr>
        <w:pStyle w:val="Normal"/>
        <w:rPr/>
      </w:pPr>
      <w:r>
        <w:rPr/>
        <w:t>日线</w:t>
      </w:r>
      <w:r>
        <w:rPr/>
        <w:t>20</w:t>
      </w:r>
      <w:r>
        <w:rPr/>
        <w:t>、</w:t>
      </w:r>
      <w:r>
        <w:rPr/>
        <w:t>60</w:t>
      </w:r>
      <w:r>
        <w:rPr/>
        <w:t>、</w:t>
      </w:r>
      <w:r>
        <w:rPr/>
        <w:t>120</w:t>
      </w:r>
      <w:r>
        <w:rPr/>
        <w:t>、</w:t>
      </w:r>
      <w:r>
        <w:rPr/>
        <w:t>250</w:t>
      </w:r>
      <w:r>
        <w:rPr/>
        <w:t>日均线分别</w:t>
      </w:r>
      <w:r>
        <w:rPr/>
        <w:t>19.6715</w:t>
      </w:r>
      <w:r>
        <w:rPr/>
        <w:t>、</w:t>
      </w:r>
      <w:r>
        <w:rPr/>
        <w:t>20.142833</w:t>
      </w:r>
      <w:r>
        <w:rPr/>
        <w:t>、</w:t>
      </w:r>
      <w:r>
        <w:rPr/>
        <w:t>21.621917</w:t>
      </w:r>
      <w:r>
        <w:rPr/>
        <w:t>、</w:t>
      </w:r>
      <w:r>
        <w:rPr/>
        <w:t>28.3526</w:t>
      </w:r>
      <w:r>
        <w:rPr/>
        <w:t>。现价高</w:t>
      </w:r>
      <w:r>
        <w:rPr/>
        <w:t>20</w:t>
      </w:r>
      <w:r>
        <w:rPr/>
        <w:t>线</w:t>
      </w:r>
      <w:r>
        <w:rPr/>
        <w:t>5.94%</w:t>
      </w:r>
      <w:r>
        <w:rPr/>
        <w:t>、高</w:t>
      </w:r>
      <w:r>
        <w:rPr/>
        <w:t>60</w:t>
      </w:r>
      <w:r>
        <w:rPr/>
        <w:t>线</w:t>
      </w:r>
      <w:r>
        <w:rPr/>
        <w:t>3.46%</w:t>
      </w:r>
      <w:r>
        <w:rPr/>
        <w:t>，低</w:t>
      </w:r>
      <w:r>
        <w:rPr/>
        <w:t>120</w:t>
      </w:r>
      <w:r>
        <w:rPr/>
        <w:t>线</w:t>
      </w:r>
      <w:r>
        <w:rPr/>
        <w:t>3.62%</w:t>
      </w:r>
      <w:r>
        <w:rPr/>
        <w:t>、低</w:t>
      </w:r>
      <w:r>
        <w:rPr/>
        <w:t>250</w:t>
      </w:r>
      <w:r>
        <w:rPr/>
        <w:t>线</w:t>
      </w:r>
      <w:r>
        <w:rPr/>
        <w:t>26.50%</w:t>
      </w:r>
      <w:r>
        <w:rPr/>
        <w:t>。它处于短期均线上方、长期均线下方的交错结构。半年操作需要突破</w:t>
      </w:r>
      <w:r>
        <w:rPr/>
        <w:t>120</w:t>
      </w:r>
      <w:r>
        <w:rPr/>
        <w:t>日附近的压力并建立更高的低点，长期投资则不能把</w:t>
      </w:r>
      <w:r>
        <w:rPr/>
        <w:t>20</w:t>
      </w:r>
      <w:r>
        <w:rPr/>
        <w:t>线突破看作旧长期下跌已经结束。</w:t>
      </w:r>
    </w:p>
    <w:p>
      <w:pPr>
        <w:pStyle w:val="Normal"/>
        <w:rPr/>
      </w:pPr>
      <w:r>
        <w:rPr/>
        <w:t>四条均线最近五个交易日的斜率分别约−</w:t>
      </w:r>
      <w:r>
        <w:rPr/>
        <w:t>1.30%</w:t>
      </w:r>
      <w:r>
        <w:rPr/>
        <w:t>、−</w:t>
      </w:r>
      <w:r>
        <w:rPr/>
        <w:t>0.08%</w:t>
      </w:r>
      <w:r>
        <w:rPr/>
        <w:t>、−</w:t>
      </w:r>
      <w:r>
        <w:rPr/>
        <w:t>1.27%</w:t>
      </w:r>
      <w:r>
        <w:rPr/>
        <w:t>、−</w:t>
      </w:r>
      <w:r>
        <w:rPr/>
        <w:t>1.37%</w:t>
      </w:r>
      <w:r>
        <w:rPr/>
        <w:t>，均仍向下。价格上涨先于均线转向是正常现象，但均线下降意味着过去平均持仓成本还在下降。接下来若股价维持</w:t>
      </w:r>
      <w:r>
        <w:rPr/>
        <w:t>20</w:t>
      </w:r>
      <w:r>
        <w:rPr/>
        <w:t>至</w:t>
      </w:r>
      <w:r>
        <w:rPr/>
        <w:t>21</w:t>
      </w:r>
      <w:r>
        <w:rPr/>
        <w:t>港元区间并推动</w:t>
      </w:r>
      <w:r>
        <w:rPr/>
        <w:t>20</w:t>
      </w:r>
      <w:r>
        <w:rPr/>
        <w:t>、</w:t>
      </w:r>
      <w:r>
        <w:rPr/>
        <w:t>60</w:t>
      </w:r>
      <w:r>
        <w:rPr/>
        <w:t>线走平上行，反弹可信度提高；若迅速回到两条短线以下，则单日突破的持续性不足。</w:t>
      </w:r>
    </w:p>
    <w:p>
      <w:pPr>
        <w:pStyle w:val="Normal"/>
        <w:rPr/>
      </w:pPr>
      <w:r>
        <w:rPr/>
        <w:t>最近二十日观察低点</w:t>
      </w:r>
      <w:r>
        <w:rPr/>
        <w:t>18.72</w:t>
      </w:r>
      <w:r>
        <w:rPr/>
        <w:t>、高点</w:t>
      </w:r>
      <w:r>
        <w:rPr/>
        <w:t>21.22</w:t>
      </w:r>
      <w:r>
        <w:rPr/>
        <w:t>，距离现价约−</w:t>
      </w:r>
      <w:r>
        <w:rPr/>
        <w:t>10.17%</w:t>
      </w:r>
      <w:r>
        <w:rPr/>
        <w:t>和</w:t>
      </w:r>
      <w:r>
        <w:rPr/>
        <w:t>+1.82%</w:t>
      </w:r>
      <w:r>
        <w:rPr/>
        <w:t>；六十日低</w:t>
      </w:r>
      <w:r>
        <w:rPr/>
        <w:t>18</w:t>
      </w:r>
      <w:r>
        <w:rPr/>
        <w:t>、高</w:t>
      </w:r>
      <w:r>
        <w:rPr/>
        <w:t>23.14</w:t>
      </w:r>
      <w:r>
        <w:rPr/>
        <w:t>，距离−</w:t>
      </w:r>
      <w:r>
        <w:rPr/>
        <w:t>13.63%</w:t>
      </w:r>
      <w:r>
        <w:rPr/>
        <w:t>和</w:t>
      </w:r>
      <w:r>
        <w:rPr/>
        <w:t>+11.04%</w:t>
      </w:r>
      <w:r>
        <w:rPr/>
        <w:t>。这些是区间高低形成的观察位，不是经过逐笔成交验证的精确筹码峰。上方压力近，下方距离较大，因此以当前价追入需要未来有效突破的理由，不能只因潜在半年目标</w:t>
      </w:r>
      <w:r>
        <w:rPr/>
        <w:t>26.10</w:t>
      </w:r>
      <w:r>
        <w:rPr/>
        <w:t>就忽视进场风险收益比。</w:t>
      </w:r>
    </w:p>
    <w:p>
      <w:pPr>
        <w:pStyle w:val="Heading2"/>
        <w:rPr/>
      </w:pPr>
      <w:r>
        <w:rPr>
          <w:color w:val="000000"/>
        </w:rPr>
        <w:t>二十 周线 回撤与形态失效</w:t>
      </w:r>
    </w:p>
    <w:p>
      <w:pPr>
        <w:pStyle w:val="Normal"/>
        <w:rPr/>
      </w:pPr>
      <w:r>
        <w:rPr/>
        <w:t>历史覆盖</w:t>
      </w:r>
      <w:r>
        <w:rPr/>
        <w:t>739</w:t>
      </w:r>
      <w:r>
        <w:rPr/>
        <w:t>个交易日、</w:t>
      </w:r>
      <w:r>
        <w:rPr/>
        <w:t>157</w:t>
      </w:r>
      <w:r>
        <w:rPr/>
        <w:t>周，从</w:t>
      </w:r>
      <w:r>
        <w:rPr/>
        <w:t>2023</w:t>
      </w:r>
      <w:r>
        <w:rPr/>
        <w:t>年十月九日至基准日。周</w:t>
      </w:r>
      <w:r>
        <w:rPr/>
        <w:t>20</w:t>
      </w:r>
      <w:r>
        <w:rPr/>
        <w:t>线</w:t>
      </w:r>
      <w:r>
        <w:rPr/>
        <w:t>20.537</w:t>
      </w:r>
      <w:r>
        <w:rPr/>
        <w:t>，现价略高</w:t>
      </w:r>
      <w:r>
        <w:rPr/>
        <w:t>1.48%</w:t>
      </w:r>
      <w:r>
        <w:rPr/>
        <w:t>；周</w:t>
      </w:r>
      <w:r>
        <w:rPr/>
        <w:t>60</w:t>
      </w:r>
      <w:r>
        <w:rPr/>
        <w:t>线</w:t>
      </w:r>
      <w:r>
        <w:rPr/>
        <w:t>29.62</w:t>
      </w:r>
      <w:r>
        <w:rPr/>
        <w:t>和周</w:t>
      </w:r>
      <w:r>
        <w:rPr/>
        <w:t>120</w:t>
      </w:r>
      <w:r>
        <w:rPr/>
        <w:t>线</w:t>
      </w:r>
      <w:r>
        <w:rPr/>
        <w:t>28.515833</w:t>
      </w:r>
      <w:r>
        <w:rPr/>
        <w:t>，现价仍低约</w:t>
      </w:r>
      <w:r>
        <w:rPr/>
        <w:t>29.64%</w:t>
      </w:r>
      <w:r>
        <w:rPr/>
        <w:t>和</w:t>
      </w:r>
      <w:r>
        <w:rPr/>
        <w:t>26.92%</w:t>
      </w:r>
      <w:r>
        <w:rPr/>
        <w:t>。三年数据不足</w:t>
      </w:r>
      <w:r>
        <w:rPr/>
        <w:t>250</w:t>
      </w:r>
      <w:r>
        <w:rPr/>
        <w:t>周，不补造该线。日线修复与周线低位相互印证，但周线中长期趋势仍未完成翻转，半年技术分不能给出满分趋势评级。</w:t>
      </w:r>
    </w:p>
    <w:p>
      <w:pPr>
        <w:pStyle w:val="Normal"/>
        <w:rPr/>
      </w:pPr>
      <w:r>
        <w:rPr/>
        <w:t>周</w:t>
      </w:r>
      <w:r>
        <w:rPr/>
        <w:t>20</w:t>
      </w:r>
      <w:r>
        <w:rPr/>
        <w:t>、</w:t>
      </w:r>
      <w:r>
        <w:rPr/>
        <w:t>60</w:t>
      </w:r>
      <w:r>
        <w:rPr/>
        <w:t>、</w:t>
      </w:r>
      <w:r>
        <w:rPr/>
        <w:t>120</w:t>
      </w:r>
      <w:r>
        <w:rPr/>
        <w:t>均线五周斜率约−</w:t>
      </w:r>
      <w:r>
        <w:rPr/>
        <w:t>6.17%</w:t>
      </w:r>
      <w:r>
        <w:rPr/>
        <w:t>、−</w:t>
      </w:r>
      <w:r>
        <w:rPr/>
        <w:t>3.39%</w:t>
      </w:r>
      <w:r>
        <w:rPr/>
        <w:t>、−</w:t>
      </w:r>
      <w:r>
        <w:rPr/>
        <w:t>0.98%</w:t>
      </w:r>
      <w:r>
        <w:rPr/>
        <w:t>。周线</w:t>
      </w:r>
      <w:r>
        <w:rPr/>
        <w:t>RSI</w:t>
      </w:r>
      <w:r>
        <w:rPr/>
        <w:t>约</w:t>
      </w:r>
      <w:r>
        <w:rPr/>
        <w:t>44.77</w:t>
      </w:r>
      <w:r>
        <w:rPr/>
        <w:t>，周</w:t>
      </w:r>
      <w:r>
        <w:rPr/>
        <w:t>MACD</w:t>
      </w:r>
      <w:r>
        <w:rPr/>
        <w:t>虽有修复，</w:t>
      </w:r>
      <w:r>
        <w:rPr/>
        <w:t>DIF</w:t>
      </w:r>
      <w:r>
        <w:rPr/>
        <w:t>仍为负。改善可以发生在弱趋势中，并不保证新牛市。需要观察周收盘能否持续站稳</w:t>
      </w:r>
      <w:r>
        <w:rPr/>
        <w:t>20</w:t>
      </w:r>
      <w:r>
        <w:rPr/>
        <w:t>周线、低点抬升以及周量扩大。当前周成交相对过去二十周均量较低，更不能把日线一日放量扩大为周线持续资金流入结论。</w:t>
      </w:r>
    </w:p>
    <w:p>
      <w:pPr>
        <w:pStyle w:val="Normal"/>
        <w:rPr/>
      </w:pPr>
      <w:r>
        <w:rPr/>
        <w:t>过去</w:t>
      </w:r>
      <w:r>
        <w:rPr/>
        <w:t>252</w:t>
      </w:r>
      <w:r>
        <w:rPr/>
        <w:t>个交易日最高</w:t>
      </w:r>
      <w:r>
        <w:rPr/>
        <w:t>45.50</w:t>
      </w:r>
      <w:r>
        <w:rPr/>
        <w:t>、最低</w:t>
      </w:r>
      <w:r>
        <w:rPr/>
        <w:t>18.00</w:t>
      </w:r>
      <w:r>
        <w:rPr/>
        <w:t>，现价距高点约−</w:t>
      </w:r>
      <w:r>
        <w:rPr/>
        <w:t>54.20%</w:t>
      </w:r>
      <w:r>
        <w:rPr/>
        <w:t>，距低点</w:t>
      </w:r>
      <w:r>
        <w:rPr/>
        <w:t>+15.78%</w:t>
      </w:r>
      <w:r>
        <w:rPr/>
        <w:t>，日线窗口最大回撤约</w:t>
      </w:r>
      <w:r>
        <w:rPr/>
        <w:t>58.69%</w:t>
      </w:r>
      <w:r>
        <w:rPr/>
        <w:t>。深跌提供重估机会，也表明市场曾显著下调盈利和模式预期。跌幅大本身不构成便宜，旧高点可能建立在不同盈利和估值假设上。恢复到</w:t>
      </w:r>
      <w:r>
        <w:rPr/>
        <w:t>45.50</w:t>
      </w:r>
      <w:r>
        <w:rPr/>
        <w:t>需要盈利、现金和风险溢价共同改善，不是天然的均值回归目标。</w:t>
      </w:r>
    </w:p>
    <w:p>
      <w:pPr>
        <w:pStyle w:val="Normal"/>
        <w:rPr/>
      </w:pPr>
      <w:r>
        <w:rPr/>
        <w:t>技术反证可以分层设置：失去</w:t>
      </w:r>
      <w:r>
        <w:rPr/>
        <w:t>20.14</w:t>
      </w:r>
      <w:r>
        <w:rPr/>
        <w:t>至</w:t>
      </w:r>
      <w:r>
        <w:rPr/>
        <w:t>19.67</w:t>
      </w:r>
      <w:r>
        <w:rPr/>
        <w:t>的短期均线带，反弹节奏减弱；跌破</w:t>
      </w:r>
      <w:r>
        <w:rPr/>
        <w:t>18.72</w:t>
      </w:r>
      <w:r>
        <w:rPr/>
        <w:t>并伴随较大下跌成交，最近低点结构失效；跌破</w:t>
      </w:r>
      <w:r>
        <w:rPr/>
        <w:t>18</w:t>
      </w:r>
      <w:r>
        <w:rPr/>
        <w:t>则六十日及年度低位观察受到挑战。这些不是保证止损成交的边界，公告或市场冲击可能产生跳空。半年研究应同时跟踪基本面反证，不能只在价格触及线位时才处理业绩恶化。</w:t>
      </w:r>
    </w:p>
    <w:p>
      <w:pPr>
        <w:pStyle w:val="Heading2"/>
        <w:rPr/>
      </w:pPr>
      <w:r>
        <w:rPr>
          <w:color w:val="000000"/>
        </w:rPr>
        <w:t>二十一 成交量与相对强弱</w:t>
      </w:r>
    </w:p>
    <w:p>
      <w:pPr>
        <w:pStyle w:val="Normal"/>
        <w:rPr/>
      </w:pPr>
      <w:r>
        <w:rPr/>
        <w:t>当日成交</w:t>
      </w:r>
      <w:r>
        <w:rPr/>
        <w:t>10180180</w:t>
      </w:r>
      <w:r>
        <w:rPr/>
        <w:t>股，成交额约</w:t>
      </w:r>
      <w:r>
        <w:rPr/>
        <w:t>2.090976</w:t>
      </w:r>
      <w:r>
        <w:rPr/>
        <w:t>亿元港币，与新浪、腾讯报价及独立历史日线核对，单位为股而非手。五、二十、六十日平均成交约</w:t>
      </w:r>
      <w:r>
        <w:rPr/>
        <w:t>396.35</w:t>
      </w:r>
      <w:r>
        <w:rPr/>
        <w:t>万、</w:t>
      </w:r>
      <w:r>
        <w:rPr/>
        <w:t>407.67</w:t>
      </w:r>
      <w:r>
        <w:rPr/>
        <w:t>万、</w:t>
      </w:r>
      <w:r>
        <w:rPr/>
        <w:t>581.42</w:t>
      </w:r>
      <w:r>
        <w:rPr/>
        <w:t>万股。二十日含当日均量会受放量日影响，研究用之前二十日</w:t>
      </w:r>
      <w:r>
        <w:rPr/>
        <w:t>376.56</w:t>
      </w:r>
      <w:r>
        <w:rPr/>
        <w:t>万股作为当日量比基数，得</w:t>
      </w:r>
      <w:r>
        <w:rPr/>
        <w:t>2.703</w:t>
      </w:r>
      <w:r>
        <w:rPr/>
        <w:t>倍，避免混用口径夸大或压低量能。</w:t>
      </w:r>
    </w:p>
    <w:p>
      <w:pPr>
        <w:pStyle w:val="Normal"/>
        <w:rPr/>
      </w:pPr>
      <w:r>
        <w:rPr/>
        <w:t>最近二十日上涨日成交总量约</w:t>
      </w:r>
      <w:r>
        <w:rPr/>
        <w:t>5280.89</w:t>
      </w:r>
      <w:r>
        <w:rPr/>
        <w:t>万股，下跌日</w:t>
      </w:r>
      <w:r>
        <w:rPr/>
        <w:t>2436.62</w:t>
      </w:r>
      <w:r>
        <w:rPr/>
        <w:t>万股，比值</w:t>
      </w:r>
      <w:r>
        <w:rPr/>
        <w:t>2.167</w:t>
      </w:r>
      <w:r>
        <w:rPr/>
        <w:t>；上涨日十天，下跌日九天。上涨日量较大是支持反弹的证据，但统计时间短且受当日显著放量影响。不能据此识别买卖者身份，也不能断言主力吸筹。更可靠的后续观察是突破日放量、回踩成交收缩以及支撑区是否能形成多个较高低点。</w:t>
      </w:r>
    </w:p>
    <w:p>
      <w:pPr>
        <w:pStyle w:val="Normal"/>
        <w:rPr/>
      </w:pPr>
      <w:r>
        <w:rPr/>
        <w:t>二十日股价回报</w:t>
      </w:r>
      <w:r>
        <w:rPr/>
        <w:t>5.63%</w:t>
      </w:r>
      <w:r>
        <w:rPr/>
        <w:t>、六十日</w:t>
      </w:r>
      <w:r>
        <w:rPr/>
        <w:t>0.39%</w:t>
      </w:r>
      <w:r>
        <w:rPr/>
        <w:t>；同期恒生指数回报−</w:t>
      </w:r>
      <w:r>
        <w:rPr/>
        <w:t>2.98%</w:t>
      </w:r>
      <w:r>
        <w:rPr/>
        <w:t>与−</w:t>
      </w:r>
      <w:r>
        <w:rPr/>
        <w:t>3.19%</w:t>
      </w:r>
      <w:r>
        <w:rPr/>
        <w:t>，超额约</w:t>
      </w:r>
      <w:r>
        <w:rPr/>
        <w:t>8.60</w:t>
      </w:r>
      <w:r>
        <w:rPr/>
        <w:t>及</w:t>
      </w:r>
      <w:r>
        <w:rPr/>
        <w:t>3.57</w:t>
      </w:r>
      <w:r>
        <w:rPr/>
        <w:t>个百分点。相对恒生科技约</w:t>
      </w:r>
      <w:r>
        <w:rPr/>
        <w:t>8.69</w:t>
      </w:r>
      <w:r>
        <w:rPr/>
        <w:t>和</w:t>
      </w:r>
      <w:r>
        <w:rPr/>
        <w:t>13.55</w:t>
      </w:r>
      <w:r>
        <w:rPr/>
        <w:t>个百分点，后者是科技互联网粗粒度参考，并非专属文学或内容行业指数。相对强弱改善说明近期表现较市场好，不代表已消除过去一年大幅下跌或证明所有传媒公司处在共同上行周期。</w:t>
      </w:r>
    </w:p>
    <w:p>
      <w:pPr>
        <w:pStyle w:val="Normal"/>
        <w:rPr/>
      </w:pPr>
      <w:r>
        <w:rPr/>
        <w:t>本数据没有可核验逐笔及完整流通盘换手口径，故不绘制声称精确的成本分布，也不使用报价中缺失换手率。</w:t>
      </w:r>
      <w:r>
        <w:rPr/>
        <w:t>RSI14</w:t>
      </w:r>
      <w:r>
        <w:rPr/>
        <w:t>约</w:t>
      </w:r>
      <w:r>
        <w:rPr/>
        <w:t>57.51</w:t>
      </w:r>
      <w:r>
        <w:rPr/>
        <w:t>、</w:t>
      </w:r>
      <w:r>
        <w:rPr/>
        <w:t>MACD</w:t>
      </w:r>
      <w:r>
        <w:rPr/>
        <w:t>的</w:t>
      </w:r>
      <w:r>
        <w:rPr/>
        <w:t>DIF−0.0515</w:t>
      </w:r>
      <w:r>
        <w:rPr/>
        <w:t>、</w:t>
      </w:r>
      <w:r>
        <w:rPr/>
        <w:t>DEA−0.1478</w:t>
      </w:r>
      <w:r>
        <w:rPr/>
        <w:t>，柱值</w:t>
      </w:r>
      <w:r>
        <w:rPr/>
        <w:t>0.1926</w:t>
      </w:r>
      <w:r>
        <w:rPr/>
        <w:t>，显示动量修复；</w:t>
      </w:r>
      <w:r>
        <w:rPr/>
        <w:t>ATR14</w:t>
      </w:r>
      <w:r>
        <w:rPr/>
        <w:t>约</w:t>
      </w:r>
      <w:r>
        <w:rPr/>
        <w:t>0.949</w:t>
      </w:r>
      <w:r>
        <w:rPr/>
        <w:t>港元，占股价</w:t>
      </w:r>
      <w:r>
        <w:rPr/>
        <w:t>4.55%</w:t>
      </w:r>
      <w:r>
        <w:rPr/>
        <w:t>，说明正常日波动也较大。相近动量指标只作辅助，不重复在评分中累加同一反弹证据。</w:t>
      </w:r>
    </w:p>
    <w:p>
      <w:pPr>
        <w:pStyle w:val="Heading2"/>
        <w:rPr/>
      </w:pPr>
      <w:r>
        <w:rPr>
          <w:color w:val="000000"/>
        </w:rPr>
        <w:t>二十二 半年期限的投资逻辑</w:t>
      </w:r>
    </w:p>
    <w:p>
      <w:pPr>
        <w:pStyle w:val="Normal"/>
        <w:rPr/>
      </w:pPr>
      <w:r>
        <w:rPr/>
        <w:t>半年基准目标</w:t>
      </w:r>
      <w:r>
        <w:rPr/>
        <w:t>26.10</w:t>
      </w:r>
      <w:r>
        <w:rPr/>
        <w:t>港元，较现价</w:t>
      </w:r>
      <w:r>
        <w:rPr/>
        <w:t>+25.24%</w:t>
      </w:r>
      <w:r>
        <w:rPr/>
        <w:t>，基准假设在线正常年率收入</w:t>
      </w:r>
      <w:r>
        <w:rPr/>
        <w:t>38.5</w:t>
      </w:r>
      <w:r>
        <w:rPr/>
        <w:t>亿元、</w:t>
      </w:r>
      <w:r>
        <w:rPr/>
        <w:t>IP</w:t>
      </w:r>
      <w:r>
        <w:rPr/>
        <w:t>及其他</w:t>
      </w:r>
      <w:r>
        <w:rPr/>
        <w:t>45.5</w:t>
      </w:r>
      <w:r>
        <w:rPr/>
        <w:t>亿元，总</w:t>
      </w:r>
      <w:r>
        <w:rPr/>
        <w:t>84</w:t>
      </w:r>
      <w:r>
        <w:rPr/>
        <w:t>亿元；在线和</w:t>
      </w:r>
      <w:r>
        <w:rPr/>
        <w:t>IP</w:t>
      </w:r>
      <w:r>
        <w:rPr/>
        <w:t>毛利</w:t>
      </w:r>
      <w:r>
        <w:rPr/>
        <w:t>53.5%</w:t>
      </w:r>
      <w:r>
        <w:rPr/>
        <w:t>、</w:t>
      </w:r>
      <w:r>
        <w:rPr/>
        <w:t>51.5%</w:t>
      </w:r>
      <w:r>
        <w:rPr/>
        <w:t>。这是目标时点未来正常年率，不是预言</w:t>
      </w:r>
      <w:r>
        <w:rPr/>
        <w:t>2026</w:t>
      </w:r>
      <w:r>
        <w:rPr/>
        <w:t>完整全年已实现这些收入。目标需要</w:t>
      </w:r>
      <w:r>
        <w:rPr/>
        <w:t>IP</w:t>
      </w:r>
      <w:r>
        <w:rPr/>
        <w:t>增长继续承担完整销售</w:t>
      </w:r>
      <w:r>
        <w:rPr/>
        <w:t>22</w:t>
      </w:r>
      <w:r>
        <w:rPr/>
        <w:t>亿元、研发</w:t>
      </w:r>
      <w:r>
        <w:rPr/>
        <w:t>7.5</w:t>
      </w:r>
      <w:r>
        <w:rPr/>
        <w:t>亿元和其他行政</w:t>
      </w:r>
      <w:r>
        <w:rPr/>
        <w:t>5.9</w:t>
      </w:r>
      <w:r>
        <w:rPr/>
        <w:t>亿元后，归母正常经营</w:t>
      </w:r>
      <w:r>
        <w:rPr/>
        <w:t>7.30505</w:t>
      </w:r>
      <w:r>
        <w:rPr/>
        <w:t>亿元。</w:t>
      </w:r>
    </w:p>
    <w:p>
      <w:pPr>
        <w:pStyle w:val="Normal"/>
        <w:rPr/>
      </w:pPr>
      <w:r>
        <w:rPr/>
        <w:t>半年经营</w:t>
      </w:r>
      <w:r>
        <w:rPr/>
        <w:t>PE23</w:t>
      </w:r>
      <w:r>
        <w:rPr/>
        <w:t>倍，超额现金、联营权益与股数共同形成目标。收入扩张、成本效率和估值保持必须同时兑现。短剧和</w:t>
      </w:r>
      <w:r>
        <w:rPr/>
        <w:t>AI</w:t>
      </w:r>
      <w:r>
        <w:rPr/>
        <w:t>漫剧、游戏改编、后续影视及年度业绩可能提供催化，但不存在可确认的必然事件收益。技术上优先观察</w:t>
      </w:r>
      <w:r>
        <w:rPr/>
        <w:t>21.22</w:t>
      </w:r>
      <w:r>
        <w:rPr/>
        <w:t>与</w:t>
      </w:r>
      <w:r>
        <w:rPr/>
        <w:t>21.62</w:t>
      </w:r>
      <w:r>
        <w:rPr/>
        <w:t>区域突破后能否形成有效回踩，再看</w:t>
      </w:r>
      <w:r>
        <w:rPr/>
        <w:t>23.14</w:t>
      </w:r>
      <w:r>
        <w:rPr/>
        <w:t>，价格前进过程中的量价变化比直接设目标成交指令更有信息。</w:t>
      </w:r>
    </w:p>
    <w:p>
      <w:pPr>
        <w:pStyle w:val="Normal"/>
        <w:rPr/>
      </w:pPr>
      <w:r>
        <w:rPr/>
        <w:t>半年悲观</w:t>
      </w:r>
      <w:r>
        <w:rPr/>
        <w:t>4.80</w:t>
      </w:r>
      <w:r>
        <w:rPr/>
        <w:t>、乐观</w:t>
      </w:r>
      <w:r>
        <w:rPr/>
        <w:t>52.21</w:t>
      </w:r>
      <w:r>
        <w:rPr/>
        <w:t>港元区间很宽，因为经营利润对毛利和营销敏感。悲观假设在线下降、</w:t>
      </w:r>
      <w:r>
        <w:rPr/>
        <w:t>IP</w:t>
      </w:r>
      <w:r>
        <w:rPr/>
        <w:t>低毛利与固定费用导致归母亏损，现金仍提供残余价值；乐观要求</w:t>
      </w:r>
      <w:r>
        <w:rPr/>
        <w:t>IP</w:t>
      </w:r>
      <w:r>
        <w:rPr/>
        <w:t>收入</w:t>
      </w:r>
      <w:r>
        <w:rPr/>
        <w:t>55</w:t>
      </w:r>
      <w:r>
        <w:rPr/>
        <w:t>亿元及</w:t>
      </w:r>
      <w:r>
        <w:rPr/>
        <w:t>56%</w:t>
      </w:r>
      <w:r>
        <w:rPr/>
        <w:t>毛利、在线较强、销售效率改善，并使用</w:t>
      </w:r>
      <w:r>
        <w:rPr/>
        <w:t>31</w:t>
      </w:r>
      <w:r>
        <w:rPr/>
        <w:t>倍经营</w:t>
      </w:r>
      <w:r>
        <w:rPr/>
        <w:t>PE</w:t>
      </w:r>
      <w:r>
        <w:rPr/>
        <w:t>。乐观不是基准之外随意加一成，它代表多项经营和市场条件同时改善，发生权重应保持审慎。</w:t>
      </w:r>
    </w:p>
    <w:p>
      <w:pPr>
        <w:pStyle w:val="Normal"/>
        <w:rPr/>
      </w:pPr>
      <w:r>
        <w:rPr/>
        <w:t>65.2</w:t>
      </w:r>
      <w:r>
        <w:rPr/>
        <w:t>分的半年结果由估值</w:t>
      </w:r>
      <w:r>
        <w:rPr/>
        <w:t>3.1</w:t>
      </w:r>
      <w:r>
        <w:rPr/>
        <w:t>、技术</w:t>
      </w:r>
      <w:r>
        <w:rPr/>
        <w:t>3.3</w:t>
      </w:r>
      <w:r>
        <w:rPr/>
        <w:t>、经营</w:t>
      </w:r>
      <w:r>
        <w:rPr/>
        <w:t>3.1</w:t>
      </w:r>
      <w:r>
        <w:rPr/>
        <w:t>、行业</w:t>
      </w:r>
      <w:r>
        <w:rPr/>
        <w:t>3.5</w:t>
      </w:r>
      <w:r>
        <w:rPr/>
        <w:t>、催化</w:t>
      </w:r>
      <w:r>
        <w:rPr/>
        <w:t>3.5</w:t>
      </w:r>
      <w:r>
        <w:rPr/>
        <w:t>、风险</w:t>
      </w:r>
      <w:r>
        <w:rPr/>
        <w:t>3.3</w:t>
      </w:r>
      <w:r>
        <w:rPr/>
        <w:t>按</w:t>
      </w:r>
      <w:r>
        <w:rPr/>
        <w:t>25/30/15/10/10/10</w:t>
      </w:r>
      <w:r>
        <w:rPr/>
        <w:t>加权。放量和相对强弱有正贡献，均线仍下降和压力较近限制技术分；现金较厚支持风险分，经营转型与大悲观损失限制估值分。评分不是上涨概率，前十名是否入围还取决于全名单的其他公司，不能只看单家公司故事。</w:t>
      </w:r>
    </w:p>
    <w:p>
      <w:pPr>
        <w:pStyle w:val="Heading2"/>
        <w:rPr/>
      </w:pPr>
      <w:r>
        <w:rPr>
          <w:color w:val="000000"/>
        </w:rPr>
        <w:t>二十三 一年期限的经营验证</w:t>
      </w:r>
    </w:p>
    <w:p>
      <w:pPr>
        <w:pStyle w:val="Normal"/>
        <w:rPr/>
      </w:pPr>
      <w:r>
        <w:rPr/>
        <w:t>一年基准目标</w:t>
      </w:r>
      <w:r>
        <w:rPr/>
        <w:t>27.44</w:t>
      </w:r>
      <w:r>
        <w:rPr/>
        <w:t>港元，股价</w:t>
      </w:r>
      <w:r>
        <w:rPr/>
        <w:t>+31.67%</w:t>
      </w:r>
      <w:r>
        <w:rPr/>
        <w:t>，累计息</w:t>
      </w:r>
      <w:r>
        <w:rPr/>
        <w:t>0.10</w:t>
      </w:r>
      <w:r>
        <w:rPr/>
        <w:t>港元后总回报</w:t>
      </w:r>
      <w:r>
        <w:rPr/>
        <w:t>32.15%</w:t>
      </w:r>
      <w:r>
        <w:rPr/>
        <w:t>。假设在线</w:t>
      </w:r>
      <w:r>
        <w:rPr/>
        <w:t>40</w:t>
      </w:r>
      <w:r>
        <w:rPr/>
        <w:t>亿元、</w:t>
      </w:r>
      <w:r>
        <w:rPr/>
        <w:t>IP52</w:t>
      </w:r>
      <w:r>
        <w:rPr/>
        <w:t>亿元，总</w:t>
      </w:r>
      <w:r>
        <w:rPr/>
        <w:t>92</w:t>
      </w:r>
      <w:r>
        <w:rPr/>
        <w:t>亿元，毛利</w:t>
      </w:r>
      <w:r>
        <w:rPr/>
        <w:t>54%</w:t>
      </w:r>
      <w:r>
        <w:rPr/>
        <w:t>与</w:t>
      </w:r>
      <w:r>
        <w:rPr/>
        <w:t>52.5%</w:t>
      </w:r>
      <w:r>
        <w:rPr/>
        <w:t>；销售</w:t>
      </w:r>
      <w:r>
        <w:rPr/>
        <w:t>24</w:t>
      </w:r>
      <w:r>
        <w:rPr/>
        <w:t>亿元、研发</w:t>
      </w:r>
      <w:r>
        <w:rPr/>
        <w:t>8.5</w:t>
      </w:r>
      <w:r>
        <w:rPr/>
        <w:t>亿元、其他行政</w:t>
      </w:r>
      <w:r>
        <w:rPr/>
        <w:t>6.6</w:t>
      </w:r>
      <w:r>
        <w:rPr/>
        <w:t>亿元，正常归母</w:t>
      </w:r>
      <w:r>
        <w:rPr/>
        <w:t>8.0483</w:t>
      </w:r>
      <w:r>
        <w:rPr/>
        <w:t>亿元。目标正常经营增长需要阅读逐步稳定与</w:t>
      </w:r>
      <w:r>
        <w:rPr/>
        <w:t>IP</w:t>
      </w:r>
      <w:r>
        <w:rPr/>
        <w:t>持续商业化，不能依靠</w:t>
      </w:r>
      <w:r>
        <w:rPr/>
        <w:t>2025</w:t>
      </w:r>
      <w:r>
        <w:rPr/>
        <w:t>商誉减值不再出现就自动实现。</w:t>
      </w:r>
    </w:p>
    <w:p>
      <w:pPr>
        <w:pStyle w:val="Normal"/>
        <w:rPr/>
      </w:pPr>
      <w:r>
        <w:rPr/>
        <w:t>一年比半年多一个完整经营验证窗口，能更清晰检验付费用户、免费流量收益、短剧投流和游戏上线表现。若收入提升且销售比例下降、研发成果产生产品，正常利润及倍数可以更有支撑。若主要收入来自个别交付或关联订单，应降低可持续盈利估计。公司管理层的未来产品计划需要逐期转为已上线、已确认收入和已回款证据。</w:t>
      </w:r>
    </w:p>
    <w:p>
      <w:pPr>
        <w:pStyle w:val="Normal"/>
        <w:rPr/>
      </w:pPr>
      <w:r>
        <w:rPr/>
        <w:t>一年悲观</w:t>
      </w:r>
      <w:r>
        <w:rPr/>
        <w:t>3.26</w:t>
      </w:r>
      <w:r>
        <w:rPr/>
        <w:t>、乐观</w:t>
      </w:r>
      <w:r>
        <w:rPr/>
        <w:t>59.05</w:t>
      </w:r>
      <w:r>
        <w:rPr/>
        <w:t>港元。悲观经营年率亏损</w:t>
      </w:r>
      <w:r>
        <w:rPr/>
        <w:t>6.28</w:t>
      </w:r>
      <w:r>
        <w:rPr/>
        <w:t>亿元并持续占用现金，仍假设不分红；乐观经营归母</w:t>
      </w:r>
      <w:r>
        <w:rPr/>
        <w:t>15.13225</w:t>
      </w:r>
      <w:r>
        <w:rPr/>
        <w:t>亿元，</w:t>
      </w:r>
      <w:r>
        <w:rPr/>
        <w:t>IP</w:t>
      </w:r>
      <w:r>
        <w:rPr/>
        <w:t>收入</w:t>
      </w:r>
      <w:r>
        <w:rPr/>
        <w:t>67</w:t>
      </w:r>
      <w:r>
        <w:rPr/>
        <w:t>亿元及</w:t>
      </w:r>
      <w:r>
        <w:rPr/>
        <w:t>57.5%</w:t>
      </w:r>
      <w:r>
        <w:rPr/>
        <w:t>毛利，同时有更强在线业务。</w:t>
      </w:r>
      <w:r>
        <w:rPr/>
        <w:t>31</w:t>
      </w:r>
      <w:r>
        <w:rPr/>
        <w:t>倍经营</w:t>
      </w:r>
      <w:r>
        <w:rPr/>
        <w:t>PE</w:t>
      </w:r>
      <w:r>
        <w:rPr/>
        <w:t>与增长成功组合才支持高端价格，不能只把外资最高目标上调至这个数。市场风险偏好下降也可能使盈利改善但股价低于基准。</w:t>
      </w:r>
    </w:p>
    <w:p>
      <w:pPr>
        <w:pStyle w:val="Normal"/>
        <w:rPr/>
      </w:pPr>
      <w:r>
        <w:rPr/>
        <w:t>一年</w:t>
      </w:r>
      <w:r>
        <w:rPr/>
        <w:t>68.9</w:t>
      </w:r>
      <w:r>
        <w:rPr/>
        <w:t>分给估值</w:t>
      </w:r>
      <w:r>
        <w:rPr/>
        <w:t>3.5</w:t>
      </w:r>
      <w:r>
        <w:rPr/>
        <w:t>、技术</w:t>
      </w:r>
      <w:r>
        <w:rPr/>
        <w:t>3.3</w:t>
      </w:r>
      <w:r>
        <w:rPr/>
        <w:t>、经营</w:t>
      </w:r>
      <w:r>
        <w:rPr/>
        <w:t>3.4</w:t>
      </w:r>
      <w:r>
        <w:rPr/>
        <w:t>、行业</w:t>
      </w:r>
      <w:r>
        <w:rPr/>
        <w:t>3.7</w:t>
      </w:r>
      <w:r>
        <w:rPr/>
        <w:t>、催化</w:t>
      </w:r>
      <w:r>
        <w:rPr/>
        <w:t>3.5</w:t>
      </w:r>
      <w:r>
        <w:rPr/>
        <w:t>、风险</w:t>
      </w:r>
      <w:r>
        <w:rPr/>
        <w:t>3.2</w:t>
      </w:r>
      <w:r>
        <w:rPr/>
        <w:t>，权重</w:t>
      </w:r>
      <w:r>
        <w:rPr/>
        <w:t>25/15/25/15/10/10</w:t>
      </w:r>
      <w:r>
        <w:rPr/>
        <w:t>。相较半年更重视真实商业化，技术影响下降。投资反证包括阅读变现继续弱、完整费用后</w:t>
      </w:r>
      <w:r>
        <w:rPr/>
        <w:t>IP</w:t>
      </w:r>
      <w:r>
        <w:rPr/>
        <w:t>利润不增、现金使用超过预算及收购少数权益削弱归母。出现这些证据要修改模型，不能因为目标日还没到就把失败定义为暂时波动。</w:t>
      </w:r>
    </w:p>
    <w:p>
      <w:pPr>
        <w:pStyle w:val="Heading2"/>
        <w:rPr/>
      </w:pPr>
      <w:r>
        <w:rPr>
          <w:color w:val="000000"/>
        </w:rPr>
        <w:t>二十四 三年期限的复利与限制</w:t>
      </w:r>
    </w:p>
    <w:p>
      <w:pPr>
        <w:pStyle w:val="Normal"/>
        <w:rPr/>
      </w:pPr>
      <w:r>
        <w:rPr/>
        <w:t>三年基准收入</w:t>
      </w:r>
      <w:r>
        <w:rPr/>
        <w:t>121</w:t>
      </w:r>
      <w:r>
        <w:rPr/>
        <w:t>亿元，在线</w:t>
      </w:r>
      <w:r>
        <w:rPr/>
        <w:t>45</w:t>
      </w:r>
      <w:r>
        <w:rPr/>
        <w:t>亿元、</w:t>
      </w:r>
      <w:r>
        <w:rPr/>
        <w:t>IP76</w:t>
      </w:r>
      <w:r>
        <w:rPr/>
        <w:t>亿元，综合增长更多来自</w:t>
      </w:r>
      <w:r>
        <w:rPr/>
        <w:t>IP</w:t>
      </w:r>
      <w:r>
        <w:rPr/>
        <w:t>。毛利</w:t>
      </w:r>
      <w:r>
        <w:rPr/>
        <w:t>55%</w:t>
      </w:r>
      <w:r>
        <w:rPr/>
        <w:t>与</w:t>
      </w:r>
      <w:r>
        <w:rPr/>
        <w:t>54%</w:t>
      </w:r>
      <w:r>
        <w:rPr/>
        <w:t>，销售</w:t>
      </w:r>
      <w:r>
        <w:rPr/>
        <w:t>32.5</w:t>
      </w:r>
      <w:r>
        <w:rPr/>
        <w:t>亿元、研发</w:t>
      </w:r>
      <w:r>
        <w:rPr/>
        <w:t>12</w:t>
      </w:r>
      <w:r>
        <w:rPr/>
        <w:t>亿元、其他行政</w:t>
      </w:r>
      <w:r>
        <w:rPr/>
        <w:t>9.5</w:t>
      </w:r>
      <w:r>
        <w:rPr/>
        <w:t>亿元，正常归母</w:t>
      </w:r>
      <w:r>
        <w:rPr/>
        <w:t>9.02</w:t>
      </w:r>
      <w:r>
        <w:rPr/>
        <w:t>亿元。收入增长大于利润增长，因为模型继续支付竞争、内容与组织成本。三年目标</w:t>
      </w:r>
      <w:r>
        <w:rPr/>
        <w:t>26.95</w:t>
      </w:r>
      <w:r>
        <w:rPr/>
        <w:t>港元较现价</w:t>
      </w:r>
      <w:r>
        <w:rPr/>
        <w:t>+29.32%</w:t>
      </w:r>
      <w:r>
        <w:rPr/>
        <w:t>，累计息</w:t>
      </w:r>
      <w:r>
        <w:rPr/>
        <w:t>0.55</w:t>
      </w:r>
      <w:r>
        <w:rPr/>
        <w:t>港元，总回报</w:t>
      </w:r>
      <w:r>
        <w:rPr/>
        <w:t>31.96%</w:t>
      </w:r>
      <w:r>
        <w:rPr/>
        <w:t>，年化</w:t>
      </w:r>
      <w:r>
        <w:rPr/>
        <w:t>9.68%</w:t>
      </w:r>
      <w:r>
        <w:rPr/>
        <w:t>，并非高增长营收自然对应高投资复利。</w:t>
      </w:r>
    </w:p>
    <w:p>
      <w:pPr>
        <w:pStyle w:val="Normal"/>
        <w:rPr/>
      </w:pPr>
      <w:r>
        <w:rPr/>
        <w:t>三年可观察</w:t>
      </w:r>
      <w:r>
        <w:rPr/>
        <w:t>IP</w:t>
      </w:r>
      <w:r>
        <w:rPr/>
        <w:t>矩阵、海外和</w:t>
      </w:r>
      <w:r>
        <w:rPr/>
        <w:t>AI</w:t>
      </w:r>
      <w:r>
        <w:rPr/>
        <w:t>工具是否真正改善生产与发行效率。基准没有假设每个渠道形成独家垄断，也没有让作品库永久按最高授权价出售。成功条件是持续原创、高质量改编、产品组合与现金回收一起建立。若公司能证明营销效率更好和新业务重复收益更强，可提高利润，而不是先提高</w:t>
      </w:r>
      <w:r>
        <w:rPr/>
        <w:t>PE</w:t>
      </w:r>
      <w:r>
        <w:rPr/>
        <w:t>来补足投资者期望回报。</w:t>
      </w:r>
    </w:p>
    <w:p>
      <w:pPr>
        <w:pStyle w:val="Normal"/>
        <w:rPr/>
      </w:pPr>
      <w:r>
        <w:rPr/>
        <w:t>悲观长期利润持续亏损，正常经营价值和现金消耗相加后权益模型降到零，下限不是对市场交易价格的精确预测；经营管理层也可能缩减成本、出售资产或融资改变路径。乐观三年</w:t>
      </w:r>
      <w:r>
        <w:rPr/>
        <w:t>79.53</w:t>
      </w:r>
      <w:r>
        <w:rPr/>
        <w:t>港元要求</w:t>
      </w:r>
      <w:r>
        <w:rPr/>
        <w:t>IP120</w:t>
      </w:r>
      <w:r>
        <w:rPr/>
        <w:t>亿元、在线</w:t>
      </w:r>
      <w:r>
        <w:rPr/>
        <w:t>60</w:t>
      </w:r>
      <w:r>
        <w:rPr/>
        <w:t>亿元、较高毛利及完整费用后归母</w:t>
      </w:r>
      <w:r>
        <w:rPr/>
        <w:t>23.9316</w:t>
      </w:r>
      <w:r>
        <w:rPr/>
        <w:t>亿元，</w:t>
      </w:r>
      <w:r>
        <w:rPr/>
        <w:t>30</w:t>
      </w:r>
      <w:r>
        <w:rPr/>
        <w:t>倍</w:t>
      </w:r>
      <w:r>
        <w:rPr/>
        <w:t>PE</w:t>
      </w:r>
      <w:r>
        <w:rPr/>
        <w:t>。不同选择与竞争反应会改变结果，不能把两端当统计置信带。</w:t>
      </w:r>
    </w:p>
    <w:p>
      <w:pPr>
        <w:pStyle w:val="Normal"/>
        <w:rPr/>
      </w:pPr>
      <w:r>
        <w:rPr/>
        <w:t>三年</w:t>
      </w:r>
      <w:r>
        <w:rPr/>
        <w:t>72.7</w:t>
      </w:r>
      <w:r>
        <w:rPr/>
        <w:t>分突出经营和行业空间，技术仅</w:t>
      </w:r>
      <w:r>
        <w:rPr/>
        <w:t>5%</w:t>
      </w:r>
      <w:r>
        <w:rPr/>
        <w:t>，其中估值</w:t>
      </w:r>
      <w:r>
        <w:rPr/>
        <w:t>3.7</w:t>
      </w:r>
      <w:r>
        <w:rPr/>
        <w:t>、经营</w:t>
      </w:r>
      <w:r>
        <w:rPr/>
        <w:t>3.7</w:t>
      </w:r>
      <w:r>
        <w:rPr/>
        <w:t>、行业</w:t>
      </w:r>
      <w:r>
        <w:rPr/>
        <w:t>3.9</w:t>
      </w:r>
      <w:r>
        <w:rPr/>
        <w:t>。得分较高反映进取型研究机会，不意味着基准年化足够吸引所有投资者。与其他高质量公司相比，阅文需要更大安全边际或更强商业化证据才适合长期核心位置。推荐应把赔率、持有过程和失败成本共同比较，而不是仅按乐观价格最高就排序。</w:t>
      </w:r>
    </w:p>
    <w:p>
      <w:pPr>
        <w:pStyle w:val="Heading2"/>
        <w:rPr/>
      </w:pPr>
      <w:r>
        <w:rPr>
          <w:color w:val="000000"/>
        </w:rPr>
        <w:t>二十五 五年及十年经营持续性</w:t>
      </w:r>
    </w:p>
    <w:p>
      <w:pPr>
        <w:pStyle w:val="Normal"/>
        <w:rPr/>
      </w:pPr>
      <w:r>
        <w:rPr/>
        <w:t>五年基准收入</w:t>
      </w:r>
      <w:r>
        <w:rPr/>
        <w:t>151</w:t>
      </w:r>
      <w:r>
        <w:rPr/>
        <w:t>亿元，在线</w:t>
      </w:r>
      <w:r>
        <w:rPr/>
        <w:t>51</w:t>
      </w:r>
      <w:r>
        <w:rPr/>
        <w:t>亿元、</w:t>
      </w:r>
      <w:r>
        <w:rPr/>
        <w:t>IP100</w:t>
      </w:r>
      <w:r>
        <w:rPr/>
        <w:t>亿元，正常归母</w:t>
      </w:r>
      <w:r>
        <w:rPr/>
        <w:t>9.7706</w:t>
      </w:r>
      <w:r>
        <w:rPr/>
        <w:t>亿元；目标</w:t>
      </w:r>
      <w:r>
        <w:rPr/>
        <w:t>22.81</w:t>
      </w:r>
      <w:r>
        <w:rPr/>
        <w:t>港元，股价</w:t>
      </w:r>
      <w:r>
        <w:rPr/>
        <w:t>+9.45%</w:t>
      </w:r>
      <w:r>
        <w:rPr/>
        <w:t>，累计息</w:t>
      </w:r>
      <w:r>
        <w:rPr/>
        <w:t>1.20</w:t>
      </w:r>
      <w:r>
        <w:rPr/>
        <w:t>港元后总回报</w:t>
      </w:r>
      <w:r>
        <w:rPr/>
        <w:t>15.21%</w:t>
      </w:r>
      <w:r>
        <w:rPr/>
        <w:t>，年化仅</w:t>
      </w:r>
      <w:r>
        <w:rPr/>
        <w:t>2.87%</w:t>
      </w:r>
      <w:r>
        <w:rPr/>
        <w:t>。经营</w:t>
      </w:r>
      <w:r>
        <w:rPr/>
        <w:t>PE</w:t>
      </w:r>
      <w:r>
        <w:rPr/>
        <w:t>降至</w:t>
      </w:r>
      <w:r>
        <w:rPr/>
        <w:t>21</w:t>
      </w:r>
      <w:r>
        <w:rPr/>
        <w:t>倍、必要现金储备与资本投入增加、正常稀释抵消部分回购，解释目标没有随营收翻倍而同步翻倍。这个结果提醒长期买入需要更强利润率及资本回报证据。</w:t>
      </w:r>
    </w:p>
    <w:p>
      <w:pPr>
        <w:pStyle w:val="Normal"/>
        <w:rPr/>
      </w:pPr>
      <w:r>
        <w:rPr/>
        <w:t>五年乐观</w:t>
      </w:r>
      <w:r>
        <w:rPr/>
        <w:t>101.45</w:t>
      </w:r>
      <w:r>
        <w:rPr/>
        <w:t>港元要求在线</w:t>
      </w:r>
      <w:r>
        <w:rPr/>
        <w:t>80</w:t>
      </w:r>
      <w:r>
        <w:rPr/>
        <w:t>亿元、</w:t>
      </w:r>
      <w:r>
        <w:rPr/>
        <w:t>IP190</w:t>
      </w:r>
      <w:r>
        <w:rPr/>
        <w:t>亿元、较高综合毛利，完整费用后正常归母</w:t>
      </w:r>
      <w:r>
        <w:rPr/>
        <w:t>37.5162</w:t>
      </w:r>
      <w:r>
        <w:rPr/>
        <w:t>亿元，</w:t>
      </w:r>
      <w:r>
        <w:rPr/>
        <w:t>27</w:t>
      </w:r>
      <w:r>
        <w:rPr/>
        <w:t>倍经营</w:t>
      </w:r>
      <w:r>
        <w:rPr/>
        <w:t>PE</w:t>
      </w:r>
      <w:r>
        <w:rPr/>
        <w:t>。它代表</w:t>
      </w:r>
      <w:r>
        <w:rPr/>
        <w:t>IP</w:t>
      </w:r>
      <w:r>
        <w:rPr/>
        <w:t>变现组织与海外市场取得实质成功，不能仅由</w:t>
      </w:r>
      <w:r>
        <w:rPr/>
        <w:t>AI</w:t>
      </w:r>
      <w:r>
        <w:rPr/>
        <w:t>工具升级推导。悲观仍是深度经营侵蚀导致权益下限为零；任何融资、资产出售或收缩都会改变股数与现金，模型必须重建，不应继续沿原路径机械外推。</w:t>
      </w:r>
    </w:p>
    <w:p>
      <w:pPr>
        <w:pStyle w:val="Normal"/>
        <w:rPr/>
      </w:pPr>
      <w:r>
        <w:rPr/>
        <w:t>十年展望更关注原创内容能否代际更新、作者是否愿意留在生态、平台能否拥有跨形态发行能力，以及资本分配是否创造每股现金。</w:t>
      </w:r>
      <w:r>
        <w:rPr/>
        <w:t>AI</w:t>
      </w:r>
      <w:r>
        <w:rPr/>
        <w:t>可能让一般文本和画面更廉价，使好故事、人物和社区更重要，也可能改变读者入口并侵蚀平台议价。公司应从现有版权库走向持续生成和经营新</w:t>
      </w:r>
      <w:r>
        <w:rPr/>
        <w:t>IP</w:t>
      </w:r>
      <w:r>
        <w:rPr/>
        <w:t>的组织，才能避免过去作品价值随用户代际衰减。</w:t>
      </w:r>
    </w:p>
    <w:p>
      <w:pPr>
        <w:pStyle w:val="Normal"/>
        <w:rPr/>
      </w:pPr>
      <w:r>
        <w:rPr/>
        <w:t>68.8</w:t>
      </w:r>
      <w:r>
        <w:rPr/>
        <w:t>分的五年评分不应单独被解释为长期强推荐：估值</w:t>
      </w:r>
      <w:r>
        <w:rPr/>
        <w:t>3.4</w:t>
      </w:r>
      <w:r>
        <w:rPr/>
        <w:t>、经营</w:t>
      </w:r>
      <w:r>
        <w:rPr/>
        <w:t>3.6</w:t>
      </w:r>
      <w:r>
        <w:rPr/>
        <w:t>、行业</w:t>
      </w:r>
      <w:r>
        <w:rPr/>
        <w:t>3.7</w:t>
      </w:r>
      <w:r>
        <w:rPr/>
        <w:t>、催化</w:t>
      </w:r>
      <w:r>
        <w:rPr/>
        <w:t>3.2</w:t>
      </w:r>
      <w:r>
        <w:rPr/>
        <w:t>、风险</w:t>
      </w:r>
      <w:r>
        <w:rPr/>
        <w:t>2.8</w:t>
      </w:r>
      <w:r>
        <w:rPr/>
        <w:t>，技术权重为零。基准长期回报偏低，经营机会与资本纪律之间有明显张力。本章结论优先一年商业化验证和阶段性交易研究，长期位置应随利润质量提高再上调。十年不提供伪精确价格，保留经营持续性与可推翻条件。</w:t>
      </w:r>
    </w:p>
    <w:p>
      <w:pPr>
        <w:pStyle w:val="Heading2"/>
        <w:rPr/>
      </w:pPr>
      <w:r>
        <w:rPr>
          <w:color w:val="000000"/>
        </w:rPr>
        <w:t>二十六 年底情景与判断权重</w:t>
      </w:r>
    </w:p>
    <w:p>
      <w:pPr>
        <w:pStyle w:val="Normal"/>
        <w:rPr/>
      </w:pPr>
      <w:r>
        <w:rPr/>
        <w:t>年底基准</w:t>
      </w:r>
      <w:r>
        <w:rPr/>
        <w:t>23.58</w:t>
      </w:r>
      <w:r>
        <w:rPr/>
        <w:t>港元主要依赖市场看到正常经营年率改善和</w:t>
      </w:r>
      <w:r>
        <w:rPr/>
        <w:t>IP</w:t>
      </w:r>
      <w:r>
        <w:rPr/>
        <w:t>收入扩张，而非短时间内真的赚出多年利润。在线</w:t>
      </w:r>
      <w:r>
        <w:rPr/>
        <w:t>38</w:t>
      </w:r>
      <w:r>
        <w:rPr/>
        <w:t>亿元、</w:t>
      </w:r>
      <w:r>
        <w:rPr/>
        <w:t>IP41.5</w:t>
      </w:r>
      <w:r>
        <w:rPr/>
        <w:t>亿元，毛利</w:t>
      </w:r>
      <w:r>
        <w:rPr/>
        <w:t>53%</w:t>
      </w:r>
      <w:r>
        <w:rPr/>
        <w:t>和</w:t>
      </w:r>
      <w:r>
        <w:rPr/>
        <w:t>50%</w:t>
      </w:r>
      <w:r>
        <w:rPr/>
        <w:t>，正常归母</w:t>
      </w:r>
      <w:r>
        <w:rPr/>
        <w:t>6.2196</w:t>
      </w:r>
      <w:r>
        <w:rPr/>
        <w:t>亿元，经营</w:t>
      </w:r>
      <w:r>
        <w:rPr/>
        <w:t>23</w:t>
      </w:r>
      <w:r>
        <w:rPr/>
        <w:t>倍；六月现金扣七月收购及后续净变动、保留</w:t>
      </w:r>
      <w:r>
        <w:rPr/>
        <w:t>20</w:t>
      </w:r>
      <w:r>
        <w:rPr/>
        <w:t>亿元运营储备，再扣未来回购。剩余联营权益折价计入，合成每股价格，全部驱动在活动模型公开。</w:t>
      </w:r>
    </w:p>
    <w:p>
      <w:pPr>
        <w:pStyle w:val="Normal"/>
        <w:rPr/>
      </w:pPr>
      <w:r>
        <w:rPr/>
        <w:t>年底悲观</w:t>
      </w:r>
      <w:r>
        <w:rPr/>
        <w:t>6.05</w:t>
      </w:r>
      <w:r>
        <w:rPr/>
        <w:t>港元反映在线</w:t>
      </w:r>
      <w:r>
        <w:rPr/>
        <w:t>35.5</w:t>
      </w:r>
      <w:r>
        <w:rPr/>
        <w:t>亿元、</w:t>
      </w:r>
      <w:r>
        <w:rPr/>
        <w:t>IP34.5</w:t>
      </w:r>
      <w:r>
        <w:rPr/>
        <w:t>亿元、毛利</w:t>
      </w:r>
      <w:r>
        <w:rPr/>
        <w:t>50%</w:t>
      </w:r>
      <w:r>
        <w:rPr/>
        <w:t>和</w:t>
      </w:r>
      <w:r>
        <w:rPr/>
        <w:t>43%</w:t>
      </w:r>
      <w:r>
        <w:rPr/>
        <w:t>，销售研发行政不能及时收缩导致经营亏损，同时需要更多运营储备和现金消耗。它属于压力情景，剩余季度不必实际发生全部年率亏损才会重估：市场可能提前下调未来价值。乐观</w:t>
      </w:r>
      <w:r>
        <w:rPr/>
        <w:t>47.49</w:t>
      </w:r>
      <w:r>
        <w:rPr/>
        <w:t>则要求经营年率与倍数同时改善，任何一项缺失都会使价格低于上端。</w:t>
      </w:r>
    </w:p>
    <w:p>
      <w:pPr>
        <w:pStyle w:val="Normal"/>
        <w:rPr/>
      </w:pPr>
      <w:r>
        <w:rPr/>
        <w:t>25%</w:t>
      </w:r>
      <w:r>
        <w:rPr/>
        <w:t>悲观、</w:t>
      </w:r>
      <w:r>
        <w:rPr/>
        <w:t>50%</w:t>
      </w:r>
      <w:r>
        <w:rPr/>
        <w:t>基准、</w:t>
      </w:r>
      <w:r>
        <w:rPr/>
        <w:t>25%</w:t>
      </w:r>
      <w:r>
        <w:rPr/>
        <w:t>乐观得期望</w:t>
      </w:r>
      <w:r>
        <w:rPr/>
        <w:t>25.175</w:t>
      </w:r>
      <w:r>
        <w:rPr/>
        <w:t>港元，相对现价</w:t>
      </w:r>
      <w:r>
        <w:rPr/>
        <w:t>+20.80%</w:t>
      </w:r>
      <w:r>
        <w:rPr/>
        <w:t>。这只是对三个研究情景的判断加权，不是历史回归得到的精确概率分布。上端相距较大，使期望高于基准；投资者若认为乐观证据不足，改用</w:t>
      </w:r>
      <w:r>
        <w:rPr/>
        <w:t>40/50/10</w:t>
      </w:r>
      <w:r>
        <w:rPr/>
        <w:t>会降至</w:t>
      </w:r>
      <w:r>
        <w:rPr/>
        <w:t>18.959</w:t>
      </w:r>
      <w:r>
        <w:rPr/>
        <w:t>港元、−</w:t>
      </w:r>
      <w:r>
        <w:rPr/>
        <w:t>9.03%</w:t>
      </w:r>
      <w:r>
        <w:rPr/>
        <w:t>。积极</w:t>
      </w:r>
      <w:r>
        <w:rPr/>
        <w:t>10/50/40</w:t>
      </w:r>
      <w:r>
        <w:rPr/>
        <w:t>则</w:t>
      </w:r>
      <w:r>
        <w:rPr/>
        <w:t>31.391</w:t>
      </w:r>
      <w:r>
        <w:rPr/>
        <w:t>港元、</w:t>
      </w:r>
      <w:r>
        <w:rPr/>
        <w:t>+50.63%</w:t>
      </w:r>
      <w:r>
        <w:rPr/>
        <w:t>，权重敏感性影响很大。</w:t>
      </w:r>
    </w:p>
    <w:p>
      <w:pPr>
        <w:pStyle w:val="Normal"/>
        <w:rPr/>
      </w:pPr>
      <w:r>
        <w:rPr/>
        <w:t>年底目标不用外资一年目标按剩余月份线性缩放。商业催化与估值调整可能非线性、提前反映或者延后，简单按时间比例会制造错误精度。股价也可能在年底前先突破上端、随后回落，或跌到悲观以下。年底价格是目标时点情景，不是过程波动极值；半年目标和年底目标可以不同，不能混为一张技术止盈止损表。</w:t>
      </w:r>
    </w:p>
    <w:p>
      <w:pPr>
        <w:pStyle w:val="Heading2"/>
        <w:rPr/>
      </w:pPr>
      <w:r>
        <w:rPr>
          <w:color w:val="000000"/>
        </w:rPr>
        <w:t>二十七 机构目标与估值交叉</w:t>
      </w:r>
    </w:p>
    <w:p>
      <w:pPr>
        <w:pStyle w:val="Normal"/>
        <w:rPr/>
      </w:pPr>
      <w:r>
        <w:rPr/>
        <w:t>公开新闻转述中，野村八月十八日</w:t>
      </w:r>
      <w:r>
        <w:rPr/>
        <w:t>25</w:t>
      </w:r>
      <w:r>
        <w:rPr/>
        <w:t>港元中性，瑞银八月十三日</w:t>
      </w:r>
      <w:r>
        <w:rPr/>
        <w:t>29.5</w:t>
      </w:r>
      <w:r>
        <w:rPr/>
        <w:t>港元买入，花旗同日</w:t>
      </w:r>
      <w:r>
        <w:rPr/>
        <w:t>25</w:t>
      </w:r>
      <w:r>
        <w:rPr/>
        <w:t>港元买入，大摩八月十二日</w:t>
      </w:r>
      <w:r>
        <w:rPr/>
        <w:t>20</w:t>
      </w:r>
      <w:r>
        <w:rPr/>
        <w:t>港元与大市同步，里昂八月十日</w:t>
      </w:r>
      <w:r>
        <w:rPr/>
        <w:t>24.3</w:t>
      </w:r>
      <w:r>
        <w:rPr/>
        <w:t>港元跑赢，富瑞七月二十三日</w:t>
      </w:r>
      <w:r>
        <w:rPr/>
        <w:t>24.4</w:t>
      </w:r>
      <w:r>
        <w:rPr/>
        <w:t>港元买入。全部在最近九十日内，但里昂报告在中期正式业绩之前，不能算业绩后的观点。各机构保留最新有效记录，旧大摩</w:t>
      </w:r>
      <w:r>
        <w:rPr/>
        <w:t>23</w:t>
      </w:r>
      <w:r>
        <w:rPr/>
        <w:t>港元不重复计入。</w:t>
      </w:r>
    </w:p>
    <w:p>
      <w:pPr>
        <w:pStyle w:val="Normal"/>
        <w:rPr/>
      </w:pPr>
      <w:r>
        <w:rPr/>
        <w:t>这些摘要没有明确目标期限，研究记录为缺失，不能擅填十二个月。原始完整研报未取得，新闻转述与原件财务来源分别标明。机构价对估值交叉有参考意义，但不同利润定义、资本回购、现金储备和倍数造成差别，简单平均不是自身模型。当前自建一年</w:t>
      </w:r>
      <w:r>
        <w:rPr/>
        <w:t>27.44</w:t>
      </w:r>
      <w:r>
        <w:rPr/>
        <w:t>与公开目标区域接近，只能说明部分经营假设可比较，不能把一致当独立证实。</w:t>
      </w:r>
    </w:p>
    <w:p>
      <w:pPr>
        <w:pStyle w:val="Normal"/>
        <w:rPr/>
      </w:pPr>
      <w:r>
        <w:rPr/>
        <w:t>野村强调阅读变现和付费人数压力，瑞银较重视</w:t>
      </w:r>
      <w:r>
        <w:rPr/>
        <w:t>AI</w:t>
      </w:r>
      <w:r>
        <w:rPr/>
        <w:t>驱动</w:t>
      </w:r>
      <w:r>
        <w:rPr/>
        <w:t>IP</w:t>
      </w:r>
      <w:r>
        <w:rPr/>
        <w:t>，花旗等关注中期利润。对同一家公司，机构分歧正说明收入增长与利润兑现的路径尚有不确定性。研究把负面观点转为可检验指标：在线付费流失、广告变现、投流成本；积极观点也需检验</w:t>
      </w:r>
      <w:r>
        <w:rPr/>
        <w:t>IP</w:t>
      </w:r>
      <w:r>
        <w:rPr/>
        <w:t>现金贡献。没有把外资评级数量直接转换成推荐分或胜率。</w:t>
      </w:r>
    </w:p>
    <w:p>
      <w:pPr>
        <w:pStyle w:val="Normal"/>
        <w:rPr/>
      </w:pPr>
      <w:r>
        <w:rPr/>
        <w:t>估值交叉包括正常经营收益率、现金代理与资产质量。基准一年正常归母约</w:t>
      </w:r>
      <w:r>
        <w:rPr/>
        <w:t>8.05</w:t>
      </w:r>
      <w:r>
        <w:rPr/>
        <w:t>亿元，不含财资利息和联营，因此经营</w:t>
      </w:r>
      <w:r>
        <w:rPr/>
        <w:t>PE23</w:t>
      </w:r>
      <w:r>
        <w:rPr/>
        <w:t>倍之外加超额现金合理；若改用含财资的集团</w:t>
      </w:r>
      <w:r>
        <w:rPr/>
        <w:t>PE</w:t>
      </w:r>
      <w:r>
        <w:rPr/>
        <w:t>，就必须取消重复现金添加或单独拆分。历史负</w:t>
      </w:r>
      <w:r>
        <w:rPr/>
        <w:t>PE</w:t>
      </w:r>
      <w:r>
        <w:rPr/>
        <w:t>和行情</w:t>
      </w:r>
      <w:r>
        <w:rPr/>
        <w:t>PB</w:t>
      </w:r>
      <w:r>
        <w:rPr/>
        <w:t>字段期间未核，不能直接作为低估证据。市值与法定股数可自行核算，不因第三方字段好看就覆盖原件。</w:t>
      </w:r>
    </w:p>
    <w:p>
      <w:pPr>
        <w:pStyle w:val="Heading2"/>
        <w:rPr/>
      </w:pPr>
      <w:r>
        <w:rPr>
          <w:color w:val="000000"/>
        </w:rPr>
        <w:t>二十八 敏感性与模型修订规则</w:t>
      </w:r>
    </w:p>
    <w:p>
      <w:pPr>
        <w:pStyle w:val="Normal"/>
        <w:rPr/>
      </w:pPr>
      <w:r>
        <w:rPr/>
        <w:t>一年基准</w:t>
      </w:r>
      <w:r>
        <w:rPr/>
        <w:t>IP</w:t>
      </w:r>
      <w:r>
        <w:rPr/>
        <w:t>收入</w:t>
      </w:r>
      <w:r>
        <w:rPr/>
        <w:t>52</w:t>
      </w:r>
      <w:r>
        <w:rPr/>
        <w:t>亿元，毛利每降低一个百分点会使毛利减少</w:t>
      </w:r>
      <w:r>
        <w:rPr/>
        <w:t>0.52</w:t>
      </w:r>
      <w:r>
        <w:rPr/>
        <w:t>亿元，扣税和少数后再乘</w:t>
      </w:r>
      <w:r>
        <w:rPr/>
        <w:t>PE</w:t>
      </w:r>
      <w:r>
        <w:rPr/>
        <w:t>，可明显影响目标。营销费增加一亿元同样直接压缩税前利润；费用是否伴随新收入必须同时判断。这样解释收益的弹性比统一目标价上下浮动二成更有用。实际模型可修改对应原子输入并重算三情景快照，保持经营因果与估值同步。</w:t>
      </w:r>
    </w:p>
    <w:p>
      <w:pPr>
        <w:pStyle w:val="Normal"/>
        <w:rPr/>
      </w:pPr>
      <w:r>
        <w:rPr/>
        <w:t>PE</w:t>
      </w:r>
      <w:r>
        <w:rPr/>
        <w:t>变化影响经营价值，现金部分不受同一比例放大。若一年经营</w:t>
      </w:r>
      <w:r>
        <w:rPr/>
        <w:t>PE</w:t>
      </w:r>
      <w:r>
        <w:rPr/>
        <w:t>从</w:t>
      </w:r>
      <w:r>
        <w:rPr/>
        <w:t>23</w:t>
      </w:r>
      <w:r>
        <w:rPr/>
        <w:t>降到</w:t>
      </w:r>
      <w:r>
        <w:rPr/>
        <w:t>20</w:t>
      </w:r>
      <w:r>
        <w:rPr/>
        <w:t>，正常经营价值减少约</w:t>
      </w:r>
      <w:r>
        <w:rPr/>
        <w:t>24.14</w:t>
      </w:r>
      <w:r>
        <w:rPr/>
        <w:t>亿元人民币，在其余不变时每股约减少</w:t>
      </w:r>
      <w:r>
        <w:rPr/>
        <w:t>2.61</w:t>
      </w:r>
      <w:r>
        <w:rPr/>
        <w:t>港元。若再有获客费用或现金消耗，作用会叠加。上涨空间计算使用目标除</w:t>
      </w:r>
      <w:r>
        <w:rPr/>
        <w:t>20.84</w:t>
      </w:r>
      <w:r>
        <w:rPr/>
        <w:t>减一，分红单列；不能把股息收益加进目标价后又在总回报重复增加。</w:t>
      </w:r>
    </w:p>
    <w:p>
      <w:pPr>
        <w:pStyle w:val="Normal"/>
        <w:rPr/>
      </w:pPr>
      <w:r>
        <w:rPr/>
        <w:t>人民币投资者回报要乘港币兑人民币变化。举例一年基准股价加股息总回报</w:t>
      </w:r>
      <w:r>
        <w:rPr/>
        <w:t>32.15%</w:t>
      </w:r>
      <w:r>
        <w:rPr/>
        <w:t>，若港币相对人民币贬值</w:t>
      </w:r>
      <w:r>
        <w:rPr/>
        <w:t>5%</w:t>
      </w:r>
      <w:r>
        <w:rPr/>
        <w:t>，人民币总回报约</w:t>
      </w:r>
      <w:r>
        <w:rPr/>
        <w:t>25.54%</w:t>
      </w:r>
      <w:r>
        <w:rPr/>
        <w:t>；升值</w:t>
      </w:r>
      <w:r>
        <w:rPr/>
        <w:t>5%</w:t>
      </w:r>
      <w:r>
        <w:rPr/>
        <w:t>则约</w:t>
      </w:r>
      <w:r>
        <w:rPr/>
        <w:t>38.76%</w:t>
      </w:r>
      <w:r>
        <w:rPr/>
        <w:t>。这仅是投资币种转换敏感性，经营汇率已在利润驱动里另处理。没有把两个方向重复加权，也没有假设当前</w:t>
      </w:r>
      <w:r>
        <w:rPr/>
        <w:t>1.10</w:t>
      </w:r>
      <w:r>
        <w:rPr/>
        <w:t>港币每人民币就是未来实际汇率。</w:t>
      </w:r>
    </w:p>
    <w:p>
      <w:pPr>
        <w:pStyle w:val="Normal"/>
        <w:rPr/>
      </w:pPr>
      <w:r>
        <w:rPr/>
        <w:t>每次新财报、收购、回购、权益变动或重大版权事件都应记录公开日期和版本，然后更新正常收入、费用、现金与股数，不只手工改目标。输入变更后旧快照必须标待刷新，按单一活动模型依次选悲观、基准、乐观重算并保存。若某输入缺失，所选情景应暴露缺失而非变成零盈利，未选情景缺失也不应阻断有效基准计算。</w:t>
      </w:r>
    </w:p>
    <w:p>
      <w:pPr>
        <w:pStyle w:val="Heading2"/>
        <w:rPr/>
      </w:pPr>
      <w:r>
        <w:rPr>
          <w:color w:val="000000"/>
        </w:rPr>
        <w:t>二十九 推荐的反证与观察清单</w:t>
      </w:r>
    </w:p>
    <w:p>
      <w:pPr>
        <w:pStyle w:val="Normal"/>
        <w:rPr/>
      </w:pPr>
      <w:r>
        <w:rPr/>
        <w:t>半年观察围绕突破是否持续和年度经营信号：有效站稳</w:t>
      </w:r>
      <w:r>
        <w:rPr/>
        <w:t>120</w:t>
      </w:r>
      <w:r>
        <w:rPr/>
        <w:t>日附近、回踩量缩、低点抬升，同时阅读没有更快下滑，</w:t>
      </w:r>
      <w:r>
        <w:rPr/>
        <w:t>IP</w:t>
      </w:r>
      <w:r>
        <w:rPr/>
        <w:t>增长没有明显增加现金消耗。若价格强而经营弱，评分可能暂时有技术贡献，估值却需下调。技术失效和基本面失效应分别记录，以免用短线价格反弹替代原来推荐所依赖的利润条件。</w:t>
      </w:r>
    </w:p>
    <w:p>
      <w:pPr>
        <w:pStyle w:val="Normal"/>
        <w:rPr/>
      </w:pPr>
      <w:r>
        <w:rPr/>
        <w:t>一年观察付费人数稳定、免费变现改善、短剧与</w:t>
      </w:r>
      <w:r>
        <w:rPr/>
        <w:t>AI</w:t>
      </w:r>
      <w:r>
        <w:rPr/>
        <w:t>漫剧净贡献、游戏产品完成商业验证，及资本配置在预算内。公司若披露子业务利润和现金，应以新证据替换综合假设。若收购后的少数股东利润超出模型、股酬和稀释增长更快，归母与每股收益可能低于集团收入增长。不能只因经营收入超预期就认定股东回报也超预期。</w:t>
      </w:r>
    </w:p>
    <w:p>
      <w:pPr>
        <w:pStyle w:val="Normal"/>
        <w:rPr/>
      </w:pPr>
      <w:r>
        <w:rPr/>
        <w:t>三年至十年的反证是原创生态流失、版权合同与平台依赖恶化、持续高投流令作品库无法转为低成本收益，以及资本安全垫被低回报并购耗尽。也要检查作品更新代际、海外用户留存与收费、核心员工激励是否与每股现金一致。模型所列最悲观并非所有风险都已穷尽，治理事件或新技术竞争可能产生超出原区间的路径。</w:t>
      </w:r>
    </w:p>
    <w:p>
      <w:pPr>
        <w:pStyle w:val="Normal"/>
        <w:rPr/>
      </w:pPr>
      <w:r>
        <w:rPr/>
        <w:t>对进取型投资者，阅文更值得按证据逐步研究，不能把潜在多倍乐观价格当成配置仓位依据。半年与一年基准上涨空间较有吸引力，但悲观损失大且周线尚弱；三年基准回报温和，五年低回报反映竞争和资本约束。若新业务证明更强利润，模型可提高成长；在此之前，保持条件式推荐比以题材热度给永久五星更符合研究结果。</w:t>
      </w:r>
    </w:p>
    <w:p>
      <w:pPr>
        <w:pStyle w:val="Heading2"/>
        <w:rPr/>
      </w:pPr>
      <w:r>
        <w:rPr>
          <w:color w:val="000000"/>
        </w:rPr>
        <w:t>来源与模型核验</w:t>
      </w:r>
    </w:p>
    <w:p>
      <w:pPr>
        <w:pStyle w:val="Normal"/>
        <w:rPr/>
      </w:pPr>
      <w:r>
        <w:rPr/>
        <w:t>原始公司年报、中期报告、业绩、税务及关联收购、九月月报、十月八九日回购披露均存</w:t>
      </w:r>
      <w:r>
        <w:rPr/>
        <w:t>data/tech_raw/yuewen_*</w:t>
      </w:r>
      <w:r>
        <w:rPr/>
        <w:t>，来源链接与发布时间见</w:t>
      </w:r>
      <w:r>
        <w:rPr/>
        <w:t>data/yuewen_model.json</w:t>
      </w:r>
      <w:r>
        <w:rPr/>
        <w:t>。主要中报：</w:t>
      </w:r>
      <w:r>
        <w:rPr/>
        <w:t>https://www1.hkexnews.hk/listedco/listconews/sehk/2026/0916/2026091600256.pdf</w:t>
      </w:r>
      <w:r>
        <w:rPr/>
        <w:t>；税务：</w:t>
      </w:r>
      <w:r>
        <w:rPr/>
        <w:t>https://www1.hkexnews.hk/listedco/listconews/sehk/2026/0603/2026060302696.pdf</w:t>
      </w:r>
      <w:r>
        <w:rPr/>
        <w:t>；基准日回购：</w:t>
      </w:r>
      <w:r>
        <w:rPr/>
        <w:t>https://www1.hkexnews.hk/listedco/listconews/sehk/2026/1009/2026100900442.pdf</w:t>
      </w:r>
      <w:r>
        <w:rPr/>
        <w:t>。</w:t>
      </w:r>
    </w:p>
    <w:p>
      <w:pPr>
        <w:pStyle w:val="Normal"/>
        <w:rPr/>
      </w:pPr>
      <w:r>
        <w:rPr/>
        <w:t>机构摘要链接逐条保留机构、发布日期、币种、评级、目标期限缺失及转述属性。行情使用锁定</w:t>
      </w:r>
      <w:r>
        <w:rPr/>
        <w:t>data/market_snapshot_locked.json</w:t>
      </w:r>
      <w:r>
        <w:rPr/>
        <w:t>及</w:t>
      </w:r>
      <w:r>
        <w:rPr/>
        <w:t>S090</w:t>
      </w:r>
      <w:r>
        <w:rPr/>
        <w:t>历史文件，</w:t>
      </w:r>
      <w:r>
        <w:rPr/>
        <w:t>Yahoo</w:t>
      </w:r>
      <w:r>
        <w:rPr/>
        <w:t>与腾讯交叉，最新价亦与新浪核对；一根</w:t>
      </w:r>
      <w:r>
        <w:rPr/>
        <w:t>OHLC</w:t>
      </w:r>
      <w:r>
        <w:rPr/>
        <w:t>逻辑错误按腾讯同日完整</w:t>
      </w:r>
      <w:r>
        <w:rPr/>
        <w:t>bar</w:t>
      </w:r>
      <w:r>
        <w:rPr/>
        <w:t>修复并保留记录。没有新增截止日以后的经营事件。模型采用单一活动正常利润与现金权益桥，</w:t>
      </w:r>
      <w:r>
        <w:rPr/>
        <w:t>525</w:t>
      </w:r>
      <w:r>
        <w:rPr/>
        <w:t>原子输入、三种情景依次计算，最终整卷</w:t>
      </w:r>
      <w:r>
        <w:rPr/>
        <w:t>Word/PDF</w:t>
      </w:r>
      <w:r>
        <w:rPr/>
        <w:t>分页和</w:t>
      </w:r>
      <w:r>
        <w:rPr/>
        <w:t>Excel</w:t>
      </w:r>
      <w:r>
        <w:rPr/>
        <w:t>总表集成验收由总任务继续完成。</w:t>
      </w:r>
      <w:r>
        <w:br w:type="page"/>
      </w:r>
    </w:p>
    <w:p>
      <w:pPr>
        <w:pStyle w:val="Heading1"/>
        <w:rPr/>
      </w:pPr>
      <w:bookmarkStart w:id="3" w:name="__RefHeading___Toc27125_1364803659"/>
      <w:bookmarkEnd w:id="3"/>
      <w:r>
        <w:rPr>
          <w:color w:val="000000"/>
        </w:rPr>
        <w:t xml:space="preserve">哔哩哔哩 </w:t>
      </w:r>
      <w:r>
        <w:rPr>
          <w:color w:val="000000"/>
        </w:rPr>
        <w:t>W 09626 HK</w:t>
      </w:r>
    </w:p>
    <w:p>
      <w:pPr>
        <w:pStyle w:val="Normal"/>
        <w:rPr/>
      </w:pPr>
      <w:r>
        <w:rPr/>
        <w:t xml:space="preserve">09626.HK </w:t>
      </w:r>
      <w:r>
        <w:rPr/>
        <w:t xml:space="preserve">现价 </w:t>
      </w:r>
      <w:r>
        <w:rPr/>
        <w:t>120.40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157.33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182.72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+51.76%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+51.76%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276.71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+129.83%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+130.66%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319.58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+165.43%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+168.75%</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137.99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248.13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136.25HKD</w:t>
      </w:r>
      <w:r>
        <w:rPr/>
        <w:t>，期望股价回报</w:t>
      </w:r>
      <w:r>
        <w:rPr/>
        <w:t>+13.16%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13.41</w:t>
              <w:br/>
              <w:t>-88.86%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157.33</w:t>
              <w:br/>
              <w:t>+30.67%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294.24</w:t>
              <w:br/>
              <w:t>+144.39%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9.77</w:t>
              <w:br/>
              <w:t>-91.89%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182.72</w:t>
              <w:br/>
              <w:t>+51.76%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372.59</w:t>
              <w:br/>
              <w:t>+209.46%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w:t>
              <w:br/>
              <w:t>-96.45%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276.71</w:t>
              <w:br/>
              <w:t>+129.83%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648.37</w:t>
              <w:br/>
              <w:t>+438.51%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+32.13%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0.64</w:t>
              <w:br/>
              <w:t>-99.47%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319.58</w:t>
              <w:br/>
              <w:t>+165.43%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901.50</w:t>
              <w:br/>
              <w:t>+648.75%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中：行情</w:t>
            </w:r>
            <w:r>
              <w:rPr>
                <w:rFonts w:eastAsia="微软雅黑" w:ascii="微软雅黑" w:hAnsi="微软雅黑"/>
                <w:sz w:val="17"/>
              </w:rPr>
              <w:t>/</w:t>
            </w:r>
            <w:r>
              <w:rPr>
                <w:rFonts w:ascii="微软雅黑" w:hAnsi="微软雅黑" w:eastAsia="微软雅黑"/>
                <w:sz w:val="17"/>
              </w:rPr>
              <w:t>报表高，分部正常利润率、游戏成功、</w:t>
            </w:r>
            <w:r>
              <w:rPr>
                <w:rFonts w:eastAsia="微软雅黑" w:ascii="微软雅黑" w:hAnsi="微软雅黑"/>
                <w:sz w:val="17"/>
              </w:rPr>
              <w:t>AI</w:t>
            </w:r>
            <w:r>
              <w:rPr>
                <w:rFonts w:ascii="微软雅黑" w:hAnsi="微软雅黑" w:eastAsia="微软雅黑"/>
                <w:sz w:val="17"/>
              </w:rPr>
              <w:t>回报和未来股数中低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+37.21%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+44.17%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+51.76%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+59.35%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+119.12%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+130.66%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+142.19%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+155.32%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+168.75%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+182.19%</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I073</w:t>
      </w:r>
      <w:r>
        <w:rPr/>
        <w:t>，证券</w:t>
      </w:r>
      <w:r>
        <w:rPr/>
        <w:t>S084</w:t>
      </w:r>
      <w:r>
        <w:rPr/>
        <w:t>，</w:t>
      </w:r>
      <w:r>
        <w:rPr/>
        <w:t>09626.HK</w:t>
      </w:r>
      <w:r>
        <w:rPr/>
        <w:t>；独立研究初版。研究和收盘基准</w:t>
      </w:r>
      <w:r>
        <w:rPr/>
        <w:t>2026</w:t>
      </w:r>
      <w:r>
        <w:rPr/>
        <w:t>年</w:t>
      </w:r>
      <w:r>
        <w:rPr/>
        <w:t>10</w:t>
      </w:r>
      <w:r>
        <w:rPr/>
        <w:t>月</w:t>
      </w:r>
      <w:r>
        <w:rPr/>
        <w:t>9</w:t>
      </w:r>
      <w:r>
        <w:rPr/>
        <w:t>日，现价</w:t>
      </w:r>
      <w:r>
        <w:rPr/>
        <w:t>120.40</w:t>
      </w:r>
      <w:r>
        <w:rPr/>
        <w:t>港元，主要财务人民币。人民币兑港币</w:t>
      </w:r>
      <w:r>
        <w:rPr/>
        <w:t>1.10</w:t>
      </w:r>
      <w:r>
        <w:rPr/>
        <w:t>、美元兑港币</w:t>
      </w:r>
      <w:r>
        <w:rPr/>
        <w:t>7.8</w:t>
      </w:r>
      <w:r>
        <w:rPr/>
        <w:t>均为研究假设；</w:t>
      </w:r>
      <w:r>
        <w:rPr/>
        <w:t>1</w:t>
      </w:r>
      <w:r>
        <w:rPr/>
        <w:t>份</w:t>
      </w:r>
      <w:r>
        <w:rPr/>
        <w:t>BILI ADS</w:t>
      </w:r>
      <w:r>
        <w:rPr/>
        <w:t>代表</w:t>
      </w:r>
      <w:r>
        <w:rPr/>
        <w:t>1</w:t>
      </w:r>
      <w:r>
        <w:rPr/>
        <w:t>股</w:t>
      </w:r>
      <w:r>
        <w:rPr/>
        <w:t>Z</w:t>
      </w:r>
      <w:r>
        <w:rPr/>
        <w:t>类普通股。有效正文不计本段、结论卡、标题、表格、来源和共用宏观内容。</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游戏验证与弱趋势并存</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13.41</w:t>
            </w:r>
            <w:r>
              <w:rPr>
                <w:rFonts w:ascii="微软雅黑" w:hAnsi="微软雅黑" w:eastAsia="微软雅黑"/>
                <w:sz w:val="17"/>
              </w:rPr>
              <w:t>／</w:t>
            </w:r>
            <w:r>
              <w:rPr>
                <w:rFonts w:eastAsia="微软雅黑" w:ascii="微软雅黑" w:hAnsi="微软雅黑"/>
                <w:sz w:val="17"/>
              </w:rPr>
              <w:t>157.33</w:t>
            </w:r>
            <w:r>
              <w:rPr>
                <w:rFonts w:ascii="微软雅黑" w:hAnsi="微软雅黑" w:eastAsia="微软雅黑"/>
                <w:sz w:val="17"/>
              </w:rPr>
              <w:t>／</w:t>
            </w:r>
            <w:r>
              <w:rPr>
                <w:rFonts w:eastAsia="微软雅黑" w:ascii="微软雅黑" w:hAnsi="微软雅黑"/>
                <w:sz w:val="17"/>
              </w:rPr>
              <w:t>294.24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30.67%</w:t>
            </w:r>
            <w:r>
              <w:rPr>
                <w:rFonts w:ascii="微软雅黑" w:hAnsi="微软雅黑" w:eastAsia="微软雅黑"/>
                <w:sz w:val="17"/>
              </w:rPr>
              <w:t>／</w:t>
            </w:r>
            <w:r>
              <w:rPr>
                <w:rFonts w:eastAsia="微软雅黑" w:ascii="微软雅黑" w:hAnsi="微软雅黑"/>
                <w:sz w:val="17"/>
              </w:rPr>
              <w:t>30.67%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广告和游戏盈利改善候选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9.77</w:t>
            </w:r>
            <w:r>
              <w:rPr>
                <w:rFonts w:ascii="微软雅黑" w:hAnsi="微软雅黑" w:eastAsia="微软雅黑"/>
                <w:sz w:val="17"/>
              </w:rPr>
              <w:t>／</w:t>
            </w:r>
            <w:r>
              <w:rPr>
                <w:rFonts w:eastAsia="微软雅黑" w:ascii="微软雅黑" w:hAnsi="微软雅黑"/>
                <w:sz w:val="17"/>
              </w:rPr>
              <w:t>182.72</w:t>
            </w:r>
            <w:r>
              <w:rPr>
                <w:rFonts w:ascii="微软雅黑" w:hAnsi="微软雅黑" w:eastAsia="微软雅黑"/>
                <w:sz w:val="17"/>
              </w:rPr>
              <w:t>／</w:t>
            </w:r>
            <w:r>
              <w:rPr>
                <w:rFonts w:eastAsia="微软雅黑" w:ascii="微软雅黑" w:hAnsi="微软雅黑"/>
                <w:sz w:val="17"/>
              </w:rPr>
              <w:t>372.59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51.76%</w:t>
            </w:r>
            <w:r>
              <w:rPr>
                <w:rFonts w:ascii="微软雅黑" w:hAnsi="微软雅黑" w:eastAsia="微软雅黑"/>
                <w:sz w:val="17"/>
              </w:rPr>
              <w:t>／</w:t>
            </w:r>
            <w:r>
              <w:rPr>
                <w:rFonts w:eastAsia="微软雅黑" w:ascii="微软雅黑" w:hAnsi="微软雅黑"/>
                <w:sz w:val="17"/>
              </w:rPr>
              <w:t>51.76%</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有条件内容社区成长</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4.28</w:t>
            </w:r>
            <w:r>
              <w:rPr>
                <w:rFonts w:ascii="微软雅黑" w:hAnsi="微软雅黑" w:eastAsia="微软雅黑"/>
                <w:sz w:val="17"/>
              </w:rPr>
              <w:t>／</w:t>
            </w:r>
            <w:r>
              <w:rPr>
                <w:rFonts w:eastAsia="微软雅黑" w:ascii="微软雅黑" w:hAnsi="微软雅黑"/>
                <w:sz w:val="17"/>
              </w:rPr>
              <w:t>276.71</w:t>
            </w:r>
            <w:r>
              <w:rPr>
                <w:rFonts w:ascii="微软雅黑" w:hAnsi="微软雅黑" w:eastAsia="微软雅黑"/>
                <w:sz w:val="17"/>
              </w:rPr>
              <w:t>／</w:t>
            </w:r>
            <w:r>
              <w:rPr>
                <w:rFonts w:eastAsia="微软雅黑" w:ascii="微软雅黑" w:hAnsi="微软雅黑"/>
                <w:sz w:val="17"/>
              </w:rPr>
              <w:t>648.37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129.83%</w:t>
            </w:r>
            <w:r>
              <w:rPr>
                <w:rFonts w:ascii="微软雅黑" w:hAnsi="微软雅黑" w:eastAsia="微软雅黑"/>
                <w:sz w:val="17"/>
              </w:rPr>
              <w:t>／</w:t>
            </w:r>
            <w:r>
              <w:rPr>
                <w:rFonts w:eastAsia="微软雅黑" w:ascii="微软雅黑" w:hAnsi="微软雅黑"/>
                <w:sz w:val="17"/>
              </w:rPr>
              <w:t>130.66%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优先检验平台与资本质量</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0.64</w:t>
            </w:r>
            <w:r>
              <w:rPr>
                <w:rFonts w:ascii="微软雅黑" w:hAnsi="微软雅黑" w:eastAsia="微软雅黑"/>
                <w:sz w:val="17"/>
              </w:rPr>
              <w:t>／</w:t>
            </w:r>
            <w:r>
              <w:rPr>
                <w:rFonts w:eastAsia="微软雅黑" w:ascii="微软雅黑" w:hAnsi="微软雅黑"/>
                <w:sz w:val="17"/>
              </w:rPr>
              <w:t>319.58</w:t>
            </w:r>
            <w:r>
              <w:rPr>
                <w:rFonts w:ascii="微软雅黑" w:hAnsi="微软雅黑" w:eastAsia="微软雅黑"/>
                <w:sz w:val="17"/>
              </w:rPr>
              <w:t>／</w:t>
            </w:r>
            <w:r>
              <w:rPr>
                <w:rFonts w:eastAsia="微软雅黑" w:ascii="微软雅黑" w:hAnsi="微软雅黑"/>
                <w:sz w:val="17"/>
              </w:rPr>
              <w:t>901.50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165.43%</w:t>
            </w:r>
            <w:r>
              <w:rPr>
                <w:rFonts w:ascii="微软雅黑" w:hAnsi="微软雅黑" w:eastAsia="微软雅黑"/>
                <w:sz w:val="17"/>
              </w:rPr>
              <w:t>／</w:t>
            </w:r>
            <w:r>
              <w:rPr>
                <w:rFonts w:eastAsia="微软雅黑" w:ascii="微软雅黑" w:hAnsi="微软雅黑"/>
                <w:sz w:val="17"/>
              </w:rPr>
              <w:t>168.75%</w:t>
            </w:r>
          </w:p>
        </w:tc>
      </w:tr>
    </w:tbl>
    <w:p>
      <w:pPr>
        <w:pStyle w:val="Normal"/>
        <w:rPr/>
      </w:pPr>
      <w:r>
        <w:rPr/>
      </w:r>
    </w:p>
    <w:p>
      <w:pPr>
        <w:pStyle w:val="Normal"/>
        <w:rPr/>
      </w:pPr>
      <w:r>
        <w:rPr/>
        <w:t>未来累计股息半年</w:t>
      </w:r>
      <w:r>
        <w:rPr/>
        <w:t>0</w:t>
      </w:r>
      <w:r>
        <w:rPr/>
        <w:t>／</w:t>
      </w:r>
      <w:r>
        <w:rPr/>
        <w:t>0</w:t>
      </w:r>
      <w:r>
        <w:rPr/>
        <w:t>／</w:t>
      </w:r>
      <w:r>
        <w:rPr/>
        <w:t>0</w:t>
      </w:r>
      <w:r>
        <w:rPr/>
        <w:t>、一年</w:t>
      </w:r>
      <w:r>
        <w:rPr/>
        <w:t>0</w:t>
      </w:r>
      <w:r>
        <w:rPr/>
        <w:t>／</w:t>
      </w:r>
      <w:r>
        <w:rPr/>
        <w:t>0</w:t>
      </w:r>
      <w:r>
        <w:rPr/>
        <w:t>／</w:t>
      </w:r>
      <w:r>
        <w:rPr/>
        <w:t>0</w:t>
      </w:r>
      <w:r>
        <w:rPr/>
        <w:t>、三年</w:t>
      </w:r>
      <w:r>
        <w:rPr/>
        <w:t>0</w:t>
      </w:r>
      <w:r>
        <w:rPr/>
        <w:t>／</w:t>
      </w:r>
      <w:r>
        <w:rPr/>
        <w:t>1</w:t>
      </w:r>
      <w:r>
        <w:rPr/>
        <w:t>／</w:t>
      </w:r>
      <w:r>
        <w:rPr/>
        <w:t>3</w:t>
      </w:r>
      <w:r>
        <w:rPr/>
        <w:t>、五年</w:t>
      </w:r>
      <w:r>
        <w:rPr/>
        <w:t>0</w:t>
      </w:r>
      <w:r>
        <w:rPr/>
        <w:t>／</w:t>
      </w:r>
      <w:r>
        <w:rPr/>
        <w:t>4</w:t>
      </w:r>
      <w:r>
        <w:rPr/>
        <w:t>／</w:t>
      </w:r>
      <w:r>
        <w:rPr/>
        <w:t>10</w:t>
      </w:r>
      <w:r>
        <w:rPr/>
        <w:t>港元，仅研究假设。基准三年、五年含息年化</w:t>
      </w:r>
      <w:r>
        <w:rPr/>
        <w:t>32.13%</w:t>
      </w:r>
      <w:r>
        <w:rPr/>
        <w:t>、</w:t>
      </w:r>
      <w:r>
        <w:rPr/>
        <w:t>21.86%</w:t>
      </w:r>
      <w:r>
        <w:rPr/>
        <w:t>。悲观很低反映利润和估值同时受挫，不代表现金清算估值或最大损失。</w:t>
      </w:r>
    </w:p>
    <w:p>
      <w:pPr>
        <w:pStyle w:val="Normal"/>
        <w:rPr/>
      </w:pPr>
      <w:r>
        <w:rPr/>
        <w:t>年底</w:t>
      </w:r>
      <w:r>
        <w:rPr/>
        <w:t>20.88</w:t>
      </w:r>
      <w:r>
        <w:rPr/>
        <w:t>／</w:t>
      </w:r>
      <w:r>
        <w:rPr/>
        <w:t>137.99</w:t>
      </w:r>
      <w:r>
        <w:rPr/>
        <w:t>／</w:t>
      </w:r>
      <w:r>
        <w:rPr/>
        <w:t>248.13</w:t>
      </w:r>
      <w:r>
        <w:rPr/>
        <w:t>港元，涨跌−</w:t>
      </w:r>
      <w:r>
        <w:rPr/>
        <w:t>82.66%</w:t>
      </w:r>
      <w:r>
        <w:rPr/>
        <w:t>／</w:t>
      </w:r>
      <w:r>
        <w:rPr/>
        <w:t>+14.61%</w:t>
      </w:r>
      <w:r>
        <w:rPr/>
        <w:t>／</w:t>
      </w:r>
      <w:r>
        <w:rPr/>
        <w:t>+106.09%</w:t>
      </w:r>
      <w:r>
        <w:rPr/>
        <w:t>；判断权重</w:t>
      </w:r>
      <w:r>
        <w:rPr/>
        <w:t>25%</w:t>
      </w:r>
      <w:r>
        <w:rPr/>
        <w:t>／</w:t>
      </w:r>
      <w:r>
        <w:rPr/>
        <w:t>50%</w:t>
      </w:r>
      <w:r>
        <w:rPr/>
        <w:t>／</w:t>
      </w:r>
      <w:r>
        <w:rPr/>
        <w:t>25%</w:t>
      </w:r>
      <w:r>
        <w:rPr/>
        <w:t>期望</w:t>
      </w:r>
      <w:r>
        <w:rPr/>
        <w:t>136.2475</w:t>
      </w:r>
      <w:r>
        <w:rPr/>
        <w:t>港元、</w:t>
      </w:r>
      <w:r>
        <w:rPr/>
        <w:t>+13.16%</w:t>
      </w:r>
      <w:r>
        <w:rPr/>
        <w:t>。防御</w:t>
      </w:r>
      <w:r>
        <w:rPr/>
        <w:t>40%</w:t>
      </w:r>
      <w:r>
        <w:rPr/>
        <w:t>／</w:t>
      </w:r>
      <w:r>
        <w:rPr/>
        <w:t>50%</w:t>
      </w:r>
      <w:r>
        <w:rPr/>
        <w:t>／</w:t>
      </w:r>
      <w:r>
        <w:rPr/>
        <w:t>10%</w:t>
      </w:r>
      <w:r>
        <w:rPr/>
        <w:t>期望</w:t>
      </w:r>
      <w:r>
        <w:rPr/>
        <w:t>102.16</w:t>
      </w:r>
      <w:r>
        <w:rPr/>
        <w:t>港元、−</w:t>
      </w:r>
      <w:r>
        <w:rPr/>
        <w:t>15.15%</w:t>
      </w:r>
      <w:r>
        <w:rPr/>
        <w:t>；积极</w:t>
      </w:r>
      <w:r>
        <w:rPr/>
        <w:t>10%</w:t>
      </w:r>
      <w:r>
        <w:rPr/>
        <w:t>／</w:t>
      </w:r>
      <w:r>
        <w:rPr/>
        <w:t>50%</w:t>
      </w:r>
      <w:r>
        <w:rPr/>
        <w:t>／</w:t>
      </w:r>
      <w:r>
        <w:rPr/>
        <w:t>40%</w:t>
      </w:r>
      <w:r>
        <w:rPr/>
        <w:t>期望</w:t>
      </w:r>
      <w:r>
        <w:rPr/>
        <w:t>170.335</w:t>
      </w:r>
      <w:r>
        <w:rPr/>
        <w:t>港元、</w:t>
      </w:r>
      <w:r>
        <w:rPr/>
        <w:t>+41.47%</w:t>
      </w:r>
      <w:r>
        <w:rPr/>
        <w:t>。权重为主观假设，价格情景非统计区间。</w:t>
      </w:r>
    </w:p>
    <w:p>
      <w:pPr>
        <w:pStyle w:val="Normal"/>
        <w:rPr/>
      </w:pPr>
      <w:r>
        <w:rPr/>
        <w:t>主要风险：广告预算和负荷、创作者分成、新游戏长尾、</w:t>
      </w:r>
      <w:r>
        <w:rPr/>
        <w:t>AI</w:t>
      </w:r>
      <w:r>
        <w:rPr/>
        <w:t>设备与折旧、版权现金、可转债现金赎回、股数稀释、加权投票权及监管。结论成立需要社区流量转为有效商业回报，新游戏收益覆盖买量，资本投入不会吞噬正常利润。资料较强，未来游戏和利润率证据中低；全名单名次和推荐梯队由总表计算。</w:t>
      </w:r>
    </w:p>
    <w:p>
      <w:pPr>
        <w:pStyle w:val="Heading2"/>
        <w:rPr/>
      </w:pPr>
      <w:r>
        <w:rPr>
          <w:color w:val="000000"/>
        </w:rPr>
        <w:t>一 投资判断的焦点</w:t>
      </w:r>
    </w:p>
    <w:p>
      <w:pPr>
        <w:pStyle w:val="Normal"/>
        <w:rPr/>
      </w:pPr>
      <w:r>
        <w:rPr/>
        <w:t>B</w:t>
      </w:r>
      <w:r>
        <w:rPr/>
        <w:t>站已经从长期亏损走到年度和季度法定盈利，广告收入是最有力的经营证据，游戏收入暂时受旧产品高基数压制。当前问题不是用户是否喜欢平台，而是这种偏好能否在持续内容分成、服务器、营销和研发之后，为普通股产生稳定回报。高互动和长观看时间提供商业机会，收益仍受广告客户预算及游戏表现影响。公司不能仅靠累计用户规模估值，研究需要把流量、价格和成本连接起来。</w:t>
      </w:r>
    </w:p>
    <w:p>
      <w:pPr>
        <w:pStyle w:val="Normal"/>
        <w:rPr/>
      </w:pPr>
      <w:r>
        <w:rPr/>
        <w:t>二零二五年法定归母盈利十一点九三五三一亿元，二零二六年上半年五点五三三五零八亿元，利润转折已经有实际财报支持。与此同时，半年经营现金流低于去年，设备支出明显增加，说明利润增长没有完全变成自由现金扩张。进取型研究可以重视游戏和广告的弹性，但应先扣常态股份薪酬和人工智能折旧，避免把调整利润全额当股东可得现金。普通股回报取决于资本结构之后的每股份额。</w:t>
      </w:r>
    </w:p>
    <w:p>
      <w:pPr>
        <w:pStyle w:val="Normal"/>
        <w:rPr/>
      </w:pPr>
      <w:r>
        <w:rPr/>
        <w:t>半年得分低于一年和三年，主要因技术仍弱，且新游戏首发不等于成功长尾。日线只回到二十日均线之上，多数中长期均线下降，量能也没有形成广泛确认。一年有更多机会看到广告效率、游戏付费和完整年度设备现金；三年可以评价平台经营杠杆，却跨过可转债持有人赎回窗口。时间延长增加了验证信息，也增加资本和产品替代风险，不能把远期上涨空间直接解释为更安全。</w:t>
      </w:r>
    </w:p>
    <w:p>
      <w:pPr>
        <w:pStyle w:val="Normal"/>
        <w:rPr/>
      </w:pPr>
      <w:r>
        <w:rPr/>
        <w:t>上市代码分别涉及香港普通股和美国存托凭证，股权本质与汇率及交易时间必须分清。机构有些给美元目标，有些给港币，不能不核存托比例直接比较。香港市场价格还可能受美股前夜、港股通资金和借股对冲影响。对进取投资者，一年基准具有较好上行，但悲观损失极大。低股价相对历史高点只是背景，是否值得承担风险取决于正常盈利是否能够持续，而不是等候价格自动回到过去。</w:t>
      </w:r>
    </w:p>
    <w:p>
      <w:pPr>
        <w:pStyle w:val="Heading2"/>
        <w:rPr/>
      </w:pPr>
      <w:r>
        <w:rPr>
          <w:color w:val="000000"/>
        </w:rPr>
        <w:t>二 社区的资产与货币化边界</w:t>
      </w:r>
    </w:p>
    <w:p>
      <w:pPr>
        <w:pStyle w:val="Normal"/>
        <w:rPr/>
      </w:pPr>
      <w:r>
        <w:rPr/>
        <w:t>第二季度平均日活一亿一千六百五十万，同比增加约百分之七，平均每日使用一百一十三分钟，用户总时长增加约一成四。公司称月活约三亿七千一百万；半年平均月活约三亿七千三百万，两个期间不完全一致，不应挑选较高值代表季度。用户指标按公司设备及账户规则计算，有移动端、电视和电脑口径，不等于逐人唯一的全国人口。研究只按披露比较，不凭总量推导精确市场渗透率。</w:t>
      </w:r>
    </w:p>
    <w:p>
      <w:pPr>
        <w:pStyle w:val="Normal"/>
        <w:rPr/>
      </w:pPr>
      <w:r>
        <w:rPr/>
        <w:t>中长视频与兴趣社区的优势来自创作者、观看习惯和评论互动。用户在知识、游戏、音乐和生活内容中形成身份及信任，平台可以帮助广告客户解释复杂产品。它与短内容快速消耗的商业方式不同，较长视频更适合决策和品牌建立，但也需要更高制作投入。高质量内容能够吸引观众，平台仍需合理分配创作者收入。若创作者收益下降，优质供给可能向其他平台迁移，流量优势便难长期保持。</w:t>
      </w:r>
    </w:p>
    <w:p>
      <w:pPr>
        <w:pStyle w:val="Normal"/>
        <w:rPr/>
      </w:pPr>
      <w:r>
        <w:rPr/>
        <w:t>半年超过五分钟视频观看时长增加两成，游戏及一般娱乐时长分别增加约二成三、三成二，知识类增加一成七，音乐类增加二成四。数据表明内容需求广泛，不只是单一题材。但内容时长增长不自动对应同幅广告收入，更长观看可能增加带宽和创作者分成。真正的经营质量是用户满意与每单位商业收入提高同时成立，不能用时长增长单独证明利润率会永久扩张。模型从收入和正常费用出发，不把时长直接资本化。</w:t>
      </w:r>
    </w:p>
    <w:p>
      <w:pPr>
        <w:pStyle w:val="Normal"/>
        <w:rPr/>
      </w:pPr>
      <w:r>
        <w:rPr/>
        <w:t>正式会员约二亿九千九百万，十二个月留存约八成，反映社区粘性。正式会员与付费大会员不是同一种口径，不能混用推算订阅收入。半年底付费大会员约二千五百七十万，同比增加约百分之九，约八成在年度或自动续费计划。自动续费能够提升收入可见性，但折扣、取消和内容权益影响实际现金与确认节奏。大会员持续价值需要版权和自制内容投入，不能把全部订阅收费看成零成本年金。</w:t>
      </w:r>
    </w:p>
    <w:p>
      <w:pPr>
        <w:pStyle w:val="Normal"/>
        <w:rPr/>
      </w:pPr>
      <w:r>
        <w:rPr/>
        <w:t>创作者粉丝充电收入半年增加超过五成，能够加强用户与创作者之间直接支持。这个业务收入增速是方向证据，公开材料没有足够独立利润和平台抽成细节，不单独赋予巨大估值。创作者平均收入增长两成二亦受样本结构和头部集中影响，不能推断每位创作者收入都增加。健康生态要求不同规模创作者都能看到成长路径，平台的变现不能只依赖少数爆款，以免内容成本和商业收入过度波动。</w:t>
      </w:r>
    </w:p>
    <w:p>
      <w:pPr>
        <w:pStyle w:val="Normal"/>
        <w:rPr/>
      </w:pPr>
      <w:r>
        <w:rPr/>
        <w:t>公司称每月用户互动超过一百七十亿次，能提供兴趣和内容推荐信号。互动次数不是现金收入，也不是不可复制数据资产的现值。互动是否真实、是否能改善广告转化、是否得到用户合规授权，决定其商业用处。高互动有助推荐和创作者关系，但不能排除用户同时使用其他平台。研究将其视为社区质量支持，不把互动量乘以任意价格形成所谓数据估值，以免重复计入广告与会员价值。</w:t>
      </w:r>
    </w:p>
    <w:p>
      <w:pPr>
        <w:pStyle w:val="Heading2"/>
        <w:rPr/>
      </w:pPr>
      <w:r>
        <w:rPr>
          <w:color w:val="000000"/>
        </w:rPr>
        <w:t>三 广告的成长质量</w:t>
      </w:r>
    </w:p>
    <w:p>
      <w:pPr>
        <w:pStyle w:val="Normal"/>
        <w:rPr/>
      </w:pPr>
      <w:r>
        <w:rPr/>
        <w:t>二零二五年广告收入一百点五八四三亿元，二零二六年上半年五十七点一九五四七亿元，同比增加约二成九，第二季度三十一点三零七五九亿元、增加约二成八。它是集团收入增长和利润改善的主动力。广告收入增加可能来自活跃与时长、库存、客户数、定向效果及价格，需要分解原因。没有公开完整价格和展示量数据，不能断言全部增长来自单次广告价格提升，也不以总增速直接代替单位经济效益。</w:t>
      </w:r>
    </w:p>
    <w:p>
      <w:pPr>
        <w:pStyle w:val="Normal"/>
        <w:rPr/>
      </w:pPr>
      <w:r>
        <w:rPr/>
        <w:t>平台主要广告行业包括游戏、互联网服务、数码和家电、电商、汽车，其他增长较快的领域有家装和服饰。用户年龄和消费需求变化有助广告客户扩展，但行业集中仍可能影响预算周期。游戏发行商需要投放，若游戏行业延迟新品或营销预算下降，会影响平台广告，同时影响自有游戏。这种相关性意味着广告与游戏不是完全独立风险，组合收入不能被误视为天然抵销所有波动。</w:t>
      </w:r>
    </w:p>
    <w:p>
      <w:pPr>
        <w:pStyle w:val="Normal"/>
        <w:rPr/>
      </w:pPr>
      <w:r>
        <w:rPr/>
        <w:t>搜索、播放页、电脑和电视场景增加商业库存，可以扩大收入而不只提高原有位置密度。用户搜索带有更高意图，广告匹配良好时可能提升客户投入回报。不过，新库存质量和用户接受度需持续检验，商业内容过多会削弱自然内容的信任。短期提高广告负荷能够推高收入，长期可能压低时长和留存。基准假设效率改善与适度库存扩张，避免把每个新广告位都当无成本收入增长。</w:t>
      </w:r>
    </w:p>
    <w:p>
      <w:pPr>
        <w:pStyle w:val="Normal"/>
        <w:rPr/>
      </w:pPr>
      <w:r>
        <w:rPr/>
        <w:t>人工智能用于理解产品、创意、用户兴趣和转化目标，也可帮助广告主生成素材。提高点击率只是链条之一，客户更在意成交和新增客户价值。若广告素材数量增加但同质化，点击和后续留存未必同步改善。公司需要在透明标识、真实性和隐私规则下运用模型，才能保持平台信任。模型允许广告收入较快增长，但正常利润率继续扣服务器、研发和商业技术成本，不把人工智能效果当纯利润。</w:t>
      </w:r>
    </w:p>
    <w:p>
      <w:pPr>
        <w:pStyle w:val="Normal"/>
        <w:rPr/>
      </w:pPr>
      <w:r>
        <w:rPr/>
        <w:t>广告价格受客户自身产品利润和现金流限制。经济景气时营销预算扩大，弱周期时客户更偏效果投放，会让平台承担更严格转化考核。</w:t>
      </w:r>
      <w:r>
        <w:rPr/>
        <w:t>B</w:t>
      </w:r>
      <w:r>
        <w:rPr/>
        <w:t>站的兴趣内容在部分品类有解释力和消费影响，不代表所有行业都愿意支付高价。研究应观察游戏以外广告客户扩张能否降低集中风险，同时比较收入增长和应收回款。广告账期明显拉长时，利润增长可能先于现金，这会降低推荐的经营质量。</w:t>
      </w:r>
    </w:p>
    <w:p>
      <w:pPr>
        <w:pStyle w:val="Normal"/>
        <w:rPr/>
      </w:pPr>
      <w:r>
        <w:rPr/>
        <w:t>平台与电商广告的合作有可能缩短交易链，但用户访问</w:t>
      </w:r>
      <w:r>
        <w:rPr/>
        <w:t>B</w:t>
      </w:r>
      <w:r>
        <w:rPr/>
        <w:t>站主要为内容和社区，商业转化必须尊重这种目的。过度促销可能损伤创作者和观众关系，降低优质内容供给。广泛商品覆盖也不等于平台拥有全部交易收入，合作分成和广告收费需要区分。本章没有另加电商市场规模价值，因为已实现的商业化已经在广告和其他收入中。新增场景应以收入及净成本证据验证后再修订估值。</w:t>
      </w:r>
    </w:p>
    <w:p>
      <w:pPr>
        <w:pStyle w:val="Heading2"/>
        <w:rPr/>
      </w:pPr>
      <w:r>
        <w:rPr>
          <w:color w:val="000000"/>
        </w:rPr>
        <w:t>四 游戏周期与产品组合</w:t>
      </w:r>
    </w:p>
    <w:p>
      <w:pPr>
        <w:pStyle w:val="Normal"/>
        <w:rPr/>
      </w:pPr>
      <w:r>
        <w:rPr/>
        <w:t>二零二五年手游收入六十三点九四六三八亿元，较二零二四年的五十六点一零三二三亿元增加。半年二十九点一四四五四亿元，同比下降约一成三，第二季度十三点九一九零二亿元、下降約一成四。《三国：谋定天下》进入较稳定成熟期，旧高基数削弱同比表现。游戏收入下降既有时间基数，也可能有真实用户和付费变化，不能只用高基数三个字消除所有担忧。需要看老产品活跃、付费和运营成本。</w:t>
      </w:r>
    </w:p>
    <w:p>
      <w:pPr>
        <w:pStyle w:val="Normal"/>
        <w:rPr/>
      </w:pPr>
      <w:r>
        <w:rPr/>
        <w:t>长线游戏能够形成重复内容更新和付费，但不是永续许可。《命运冠位指定》和《碧蓝航线》等老产品具有用户积累，仍需更新、运营和授权关系支持。代理游戏收入还要分给开发者、渠道和相关权利人，账面收入并不全部留在平台。自研产品潜在利润率更高，也承担开发、延期和失败风险。模型合并正常利润率综合这些差异，不将所有游戏收入按最成功自研产品的高利润率计算。</w:t>
      </w:r>
    </w:p>
    <w:p>
      <w:pPr>
        <w:pStyle w:val="Normal"/>
        <w:rPr/>
      </w:pPr>
      <w:r>
        <w:rPr/>
        <w:t>公司中报列出已在七月推出的代理休闲卡牌《</w:t>
      </w:r>
      <w:r>
        <w:rPr/>
        <w:t>NCard</w:t>
      </w:r>
      <w:r>
        <w:rPr/>
        <w:t>》，以及取得监管批准的新产品，包括自研模拟游戏《</w:t>
      </w:r>
      <w:r>
        <w:rPr/>
        <w:t>Lumi Master</w:t>
      </w:r>
      <w:r>
        <w:rPr/>
        <w:t>》、代理策略游戏《</w:t>
      </w:r>
      <w:r>
        <w:rPr/>
        <w:t>San Wang</w:t>
      </w:r>
      <w:r>
        <w:rPr/>
        <w:t>》和大型多人游戏《</w:t>
      </w:r>
      <w:r>
        <w:rPr/>
        <w:t>Ragnarok Online 3</w:t>
      </w:r>
      <w:r>
        <w:rPr/>
        <w:t>》。版号或批准降低上线合规不确定性，仍不是商业成功保证。机构新闻提到九月十七日新游戏全球上线，这属前瞻排期，尚未取得足够上线后完整收入和长尾数据。估值不能把排期视为确定流水，必须保留延期和付费不足。</w:t>
      </w:r>
    </w:p>
    <w:p>
      <w:pPr>
        <w:pStyle w:val="Normal"/>
        <w:rPr/>
      </w:pPr>
      <w:r>
        <w:rPr/>
        <w:t>新游戏首发收入可能较高，但买量、营销和渠道费用也集中发生。用户获取成本提高时，流水增长未必提高净利润。首发榜单是实时热度，不能准确换算净收入或整个生命周期收益。研究更关心一个月到多个季度的留存、活动更新、付费深度和营销投入回收。没有逐游戏利润披露，不能制造精确的某游戏净现值，本章用合并收入及利润率情景处理，并说明新产品失败会影响哪些输入。</w:t>
      </w:r>
    </w:p>
    <w:p>
      <w:pPr>
        <w:pStyle w:val="Normal"/>
        <w:rPr/>
      </w:pPr>
      <w:r>
        <w:rPr/>
        <w:t>平台的游戏内容社区能够降低发现和传播成本，但平台用户喜欢游戏视频不代表一定玩自有发行游戏。内容与产品之间有匹配、题材和竞争差异；自有游戏投放若侵占自然推荐，也可能影响用户信任。优势在于获取兴趣反馈和建立社区运营，不是强制把所有观众变玩家。基准允许游戏从低基数恢复，并未假设每个新产品都爆款，三年需要多个类型产品形成较均衡组合。</w:t>
      </w:r>
    </w:p>
    <w:p>
      <w:pPr>
        <w:pStyle w:val="Normal"/>
        <w:rPr/>
      </w:pPr>
      <w:r>
        <w:rPr/>
        <w:t>游戏周期与监管审批、未成年人保护、海外隐私和当地内容规则相关。批准批次增加有利于新品供给，也会增加全行业竞争。全球发行扩大市场，意味着语言、服务、支付及运营成本增加，不应直接按中国玩家习惯复制。自研项目研发成本已在持续费用中，不能在成功估值时剔除全部研发、失败时又把支出称为一次性。持续开发能力与纪律比单款发布数量更能解释长期回报。</w:t>
      </w:r>
    </w:p>
    <w:p>
      <w:pPr>
        <w:pStyle w:val="Heading2"/>
        <w:rPr/>
      </w:pPr>
      <w:r>
        <w:rPr>
          <w:color w:val="000000"/>
        </w:rPr>
        <w:t>五 其他收入与成本结构</w:t>
      </w:r>
    </w:p>
    <w:p>
      <w:pPr>
        <w:pStyle w:val="Normal"/>
        <w:rPr/>
      </w:pPr>
      <w:r>
        <w:rPr/>
        <w:t>增值服务半年五十八点七九九亿元，同比增加约百分之四，第二季度二十九点六七四一五亿元、增加约百分之五。包括会员、直播和其他服务，业务的成本及分成不同。会员增长说明付费基础扩大，直播则受主播、用户及监管影响，不能将整个块按纯会员利润率估值。较稳定的增值服务帮助平滑广告和游戏周期，但成长较慢时也限制集团总增速。模型对这部分采用温和扩张，不靠它短期翻倍支持高目标。</w:t>
      </w:r>
    </w:p>
    <w:p>
      <w:pPr>
        <w:pStyle w:val="Normal"/>
        <w:rPr/>
      </w:pPr>
      <w:r>
        <w:rPr/>
        <w:t>知识和内容付费具有更直接消费意愿，平台需要维护内容质量及权益。会员价格上涨或权益变化可能增加每用户收入，也可能导致取消与用户抵触。公开没有完整同口径客单价和留存分解，本章不能推导某次价格调整的必然利润。需要看到收费、内容投入和实际续费共同改善。若通过大额促销拉高会员数，现金和确认周期会不同，不能只看人数增长就给商业质量加分。</w:t>
      </w:r>
    </w:p>
    <w:p>
      <w:pPr>
        <w:pStyle w:val="Normal"/>
        <w:rPr/>
      </w:pPr>
      <w:r>
        <w:rPr/>
        <w:t>衍生品及其他半年约八点九八零五七亿元，第二季度四点四九八四七亿元，同比小幅增长。</w:t>
      </w:r>
      <w:r>
        <w:rPr/>
        <w:t>IP</w:t>
      </w:r>
      <w:r>
        <w:rPr/>
        <w:t>商品和相关业务能够延伸社区文化，但涉及库存、供应链、版权和销售成本，不能按软件倍数估值。线下活动可加强用户连接，收入可能受档期和场地影响，商业规模尚不支持独立巨大加值。模型包含在总收入里，不再重复计算社区</w:t>
      </w:r>
      <w:r>
        <w:rPr/>
        <w:t>IP</w:t>
      </w:r>
      <w:r>
        <w:rPr/>
        <w:t>所有潜在授权价值，也不以线下到场人数直接推算可兑现现金。</w:t>
      </w:r>
    </w:p>
    <w:p>
      <w:pPr>
        <w:pStyle w:val="Normal"/>
        <w:rPr/>
      </w:pPr>
      <w:r>
        <w:rPr/>
        <w:t>第二季度收入分成成本约三十点八亿元，占总成本较大，说明创作者、主播、游戏合作和其他伙伴收益是核心支出。平台提高广告效率后是否能保留更多毛利，需要看分成约定和创作者供给。降低分成可短期提高利润，长期可能损害内容生态，不能将分成率单向下调当最容易的盈利路径。正常利润率假设保留持续伙伴经济，增长来自合理收入组合和效率，而非无限削减供给者回报。</w:t>
      </w:r>
    </w:p>
    <w:p>
      <w:pPr>
        <w:pStyle w:val="Normal"/>
        <w:rPr/>
      </w:pPr>
      <w:r>
        <w:rPr/>
        <w:t>版权内容的购买与摊销跨期，年度无形资产现金采购约十三点一四四四一亿元，内容和游戏许可证都有使用期限。设备和内容投入使经营现金流与股东自由现金不同。内容生产资产、无形资产和商誉也存在减值风险。某项版权减值可影响利润而非当期新现金，但原始投入已经发生，不能视为无经济损失。本章不会将所有摊销都剔除，因为用户和产品持续需要新的内容投入。</w:t>
      </w:r>
    </w:p>
    <w:p>
      <w:pPr>
        <w:pStyle w:val="Heading2"/>
        <w:rPr/>
      </w:pPr>
      <w:r>
        <w:rPr>
          <w:color w:val="000000"/>
        </w:rPr>
        <w:t>六 经济环境与竞争</w:t>
      </w:r>
    </w:p>
    <w:p>
      <w:pPr>
        <w:pStyle w:val="Normal"/>
        <w:rPr/>
      </w:pPr>
      <w:r>
        <w:rPr/>
        <w:t>居民收入、消费信心和企业营销利润影响广告与付费娱乐。娱乐消费相对有韧性，但用户可以减少充值、等促销或转免费内容；低单价并不意味着需求无周期。广告客户也会按产品销售调整预算，广告增速超过整体经济增长需要份额、效率或库存持续改善。</w:t>
      </w:r>
      <w:r>
        <w:rPr/>
        <w:t>B</w:t>
      </w:r>
      <w:r>
        <w:rPr/>
        <w:t>站社区用户逐渐成熟能吸引新行业预算，未来宏观疲弱仍可能压低价格和回款。基准允许结构成长，不假设整体消费突然进入强繁荣。</w:t>
      </w:r>
    </w:p>
    <w:p>
      <w:pPr>
        <w:pStyle w:val="Normal"/>
        <w:rPr/>
      </w:pPr>
      <w:r>
        <w:rPr/>
        <w:t>内容竞争来自短视频、社交、流媒体、搜索和其他游戏社区，用户可以多平台使用。竞争不仅争夺时长，也争夺创作者收入和广告预算。长内容与社区信任提供差异，平台需要持续推荐质量与治理，不能因品牌独特就推断流量不会流失。其他平台也可以投资中长视频或创作者扶持。长期得分重视质量但保留竞争风险，若用户活动下降且单位收入停滞，应调低增长和利润率，不只降低技术评分。</w:t>
      </w:r>
    </w:p>
    <w:p>
      <w:pPr>
        <w:pStyle w:val="Normal"/>
        <w:rPr/>
      </w:pPr>
      <w:r>
        <w:rPr/>
        <w:t>人工智能生成内容降低制作成本，可能丰富供给，也可能制造同质化、虚假和版权问题。社区的真实作者、专业解释和长期关系在供给泛滥时更有价值，但用户识别质量需要更好筛选。平台投入审核和推荐会增加成本，生成内容未必比人工内容具有同样广告信任。不能把人工智能视频供给增加直接解释成零成本扩张，模型始终保留治理和技术支出。若低质内容侵蚀信任，商业效率会受到反向影响。</w:t>
      </w:r>
    </w:p>
    <w:p>
      <w:pPr>
        <w:pStyle w:val="Normal"/>
        <w:rPr/>
      </w:pPr>
      <w:r>
        <w:rPr/>
        <w:t>大模型和视频生成投入对</w:t>
      </w:r>
      <w:r>
        <w:rPr/>
        <w:t>B</w:t>
      </w:r>
      <w:r>
        <w:rPr/>
        <w:t>站有工具价值，也可能成为资本配置风险。平台可以用外部模型改善创作和广告，不一定必须自建所有算力和基础能力。公司当前设备资产上升快，需要检验实际使用率、采购价格和更新周期。只要投入回报不足，较强广告增长也可能被折旧及现金支出抵销。公开机构转述全年人工智能资本开支十亿元，但原件现金设备采购已超过这一金额，二者范围不同，不能称十亿元为全部投入上限。</w:t>
      </w:r>
    </w:p>
    <w:p>
      <w:pPr>
        <w:pStyle w:val="Normal"/>
        <w:rPr/>
      </w:pPr>
      <w:r>
        <w:rPr/>
        <w:t>人民币业务与美元债务产生汇率敞口，美元利率还影响资金收益和再融资。人民币贬值可能提高美元本金折算负担，同时改变港股本币估值；不能只把人民币贬值视为出口优势，因为主要收入来自国内内容。半年汇兑损失一点六四二二六亿元，提示汇率真实影响利润。模型有限税后融资净项不永久保留最大利息收益，资金部署、回购和偿债减少现金时应同步修正财资，不得加现金价值又留全部旧利息。</w:t>
      </w:r>
    </w:p>
    <w:p>
      <w:pPr>
        <w:pStyle w:val="Normal"/>
        <w:rPr/>
      </w:pPr>
      <w:r>
        <w:rPr/>
        <w:t>监管影响内容版权、直播、游戏、未成年人、数据和跨境发行。社区长期运营需要可预期审核和产品合规，不能用某一次版号发布认为政策风险完全消除。加权投票权和海外控股架构还影响普通股股东治理及监管信任。高增长必须在许可及版权下发生，无法合规变现的流量没有同等价值。风险得分同时反映经营及治理，不将政策文件和用户规模各列一项后忽视现金实际影响。</w:t>
      </w:r>
    </w:p>
    <w:p>
      <w:pPr>
        <w:pStyle w:val="Heading2"/>
        <w:rPr/>
      </w:pPr>
      <w:r>
        <w:rPr>
          <w:color w:val="000000"/>
        </w:rPr>
        <w:t>七 历史利润与正常化</w:t>
      </w:r>
    </w:p>
    <w:p>
      <w:pPr>
        <w:pStyle w:val="Normal"/>
        <w:rPr/>
      </w:pPr>
      <w:r>
        <w:rPr/>
        <w:t>二零二三、二零二四、二零二五年收入约二百二十五点二八、二百六十八点三二、三百零三点四八亿元，毛利从五十四点四二提升到一百一十一点一四亿元。经营利润由负五十点六四亿元、负十三点四四亿元走向正十一点二四亿元，归母由负四十八点二二亿元、负十三点四六亿元变为正十一点九三亿元。转折规模很大，有成本纪律和广告结构证据，但早期亏损仍说明平台曾需较长变现投入，不能无条件保证未来利润只升不降。</w:t>
      </w:r>
    </w:p>
    <w:p>
      <w:pPr>
        <w:pStyle w:val="Normal"/>
        <w:rPr/>
      </w:pPr>
      <w:r>
        <w:rPr/>
        <w:t>全年广告和增值服务提供更大比例收入，游戏与其他业务变化导致结构和毛利不同。总毛利率约三成六点六，而半年约三成七点二，改善幅度较前两年更缓。高毛利广告继续增长有助扩张，平台还会增加服务器折旧与创作者相关成本。模型基准长期营业率上升需要经营杠杆持续，不是简单把最近毛利率每年增加固定百分点。毛利改善若停滞而费用恢复增长，利润弹性会明显减弱。</w:t>
      </w:r>
    </w:p>
    <w:p>
      <w:pPr>
        <w:pStyle w:val="Normal"/>
        <w:rPr/>
      </w:pPr>
      <w:r>
        <w:rPr/>
        <w:t>半年法定经营利润五点三九六二五亿元，较去年二点六六六二亿元改善；销售营销二十二点一五三零三亿元几乎持平，管理十点四三五一五亿元，研发十九点二九七五三亿元增加。收入增长被更稳定销售费用部分转为利润，同时研发设备折旧开始增加。第二季度法定经营率约百分之四点七，远低一年基准正常化百分之十点八。该差距需要新产品和规模兑现，不能写成当前利润率已经达到目标。</w:t>
      </w:r>
    </w:p>
    <w:p>
      <w:pPr>
        <w:pStyle w:val="Normal"/>
        <w:rPr/>
      </w:pPr>
      <w:r>
        <w:rPr/>
        <w:t>第二季度集团净利三点三九零七六亿元、归母三点四三七二九亿元，调整集团净利七点零三六二七亿元、调整归母七点零八二八亿元。少数股东亏损使归母略高集团净利，不能用集团调整净利与归母法定净利混合计算增长。法定和调整每股利润还涉及不同稀释分母和可转债利息加回，简单净利除注册股数并非正式会计每股盈利。本章未来采用经济分母，明确为研究判断。</w:t>
      </w:r>
    </w:p>
    <w:p>
      <w:pPr>
        <w:pStyle w:val="Normal"/>
        <w:rPr/>
      </w:pPr>
      <w:r>
        <w:rPr/>
        <w:t>半年调整经营利润十二点二零零一亿元，差额包括股份薪酬五点九九一零一亿元和收购无形资产摊销零点八一三七四亿元。调整利润比法定高，能帮助排除部分并购噪音，但股份薪酬持续发生，会稀释或需现金回购抵销。正常营业率保留这项经济成本，不以调整数字直接代表普通股自由现金。若自研和人工智能需要更高激励，利润率与股数可能同时承压，不能只在两个模型中任选较有利处理。</w:t>
      </w:r>
    </w:p>
    <w:p>
      <w:pPr>
        <w:pStyle w:val="Normal"/>
        <w:rPr/>
      </w:pPr>
      <w:r>
        <w:rPr/>
        <w:t>半年投资净损失约九百五十五点一万元、净利息约一点三一八四一亿元、汇兑损失一点六四二二六亿元，并有其他净收入。正常化应看持续财资、融资、税和股东归属，不选择最大有利部分。投资损失和汇率部分可波动，说明法定净利不完全跟随经营。模型税后净项基准取有限正值，同时保留不利融资情景。它是汇总研究储备，不声称能精确逐项重建未来会计费用。</w:t>
      </w:r>
    </w:p>
    <w:p>
      <w:pPr>
        <w:pStyle w:val="Normal"/>
        <w:rPr/>
      </w:pPr>
      <w:r>
        <w:rPr/>
        <w:t>全年每股摊薄盈利二点七四人民币元，半年一点二五元，第二季度零点七八元；不是港币，也不是调整盈利。现价按研究汇率除全年摊薄约四十倍，滚动归母利润代理约十五点三七亿元除经济分母再计算约三十四倍，仍有成长估值。调整每股看起来更便宜，不能因此忽略股份薪酬。股价从高点大跌可能部分反映利润、资本投入和估值预期回落，本章不把跌幅当独立便宜证明。</w:t>
      </w:r>
    </w:p>
    <w:p>
      <w:pPr>
        <w:pStyle w:val="Heading2"/>
        <w:rPr/>
      </w:pPr>
      <w:r>
        <w:rPr>
          <w:color w:val="000000"/>
        </w:rPr>
        <w:t>八 现金流与设备投资</w:t>
      </w:r>
    </w:p>
    <w:p>
      <w:pPr>
        <w:pStyle w:val="Normal"/>
        <w:rPr/>
      </w:pPr>
      <w:r>
        <w:rPr/>
        <w:t>全年经营现金流七十一点四七一零八亿元，二零二四年六十点一四八五四亿元，二零二三年仅二点六六六二二亿元。现金显著改善除了盈利，还有分成应付、递延收入和其他营运资金变化。内容及游戏预收先到账有利资金，但未来仍需提供服务、支付分成和版权成本。经营现金大于利润并不意味着差额全部可派，必须判断营运资金变化是否持续，以及设备和内容现金需求。</w:t>
      </w:r>
    </w:p>
    <w:p>
      <w:pPr>
        <w:pStyle w:val="Normal"/>
        <w:rPr/>
      </w:pPr>
      <w:r>
        <w:rPr/>
        <w:t>二零二五年扣设备采购五点一二八五八亿元、无形资产十三点一四四四一亿元后，现金代理五十三点一九八零九亿元，未计所有并购和投资。按美国经营租赁准则，办公室租赁现金和利息已在经营现金中，不再仿照其他公司融资租赁本金重复扣除。即使现金代理较强，股份薪酬被加回产生的部分也有经济成本，分红能力需要考虑回购抵销稀释，而不是直接把现金代理当股东每年应得金额。</w:t>
      </w:r>
    </w:p>
    <w:p>
      <w:pPr>
        <w:pStyle w:val="Normal"/>
        <w:rPr/>
      </w:pPr>
      <w:r>
        <w:rPr/>
        <w:t>半年经营现金二十九点五二四五七亿元，去年同期三十二点九一三六亿元；设备现金十二点一九七零八亿元、无形资产七点三八一三五亿元，扣后代理九点九四六一四亿元。现金大幅低于去年同口径约二十五点一八二五七亿元，主要设备投入增加及营运资金。它不必说明广告经营恶化，却确实限制近端自由现金收益率。推荐的利润改善条件必须同时监控现金投入，不能只写调整净利增长四成。</w:t>
      </w:r>
    </w:p>
    <w:p>
      <w:pPr>
        <w:pStyle w:val="Normal"/>
        <w:rPr/>
      </w:pPr>
      <w:r>
        <w:rPr/>
        <w:t>半年设备采购还包含七点三六九九五亿元通过应付融资的非现金增加，无形资产亦有四点七三九七八亿元非现金采购。它们不是本期现金再扣一次，但意味着未来付款和资产折旧压力。将现金资本开支作为唯一成本会低估设备更新负担；把非现金新增全部当未来年度同额追加又可能重复。需要跟踪应付结算与新采购，本章保留资本压力说明，正常营业率含持续折旧和适当资本回报要求。</w:t>
      </w:r>
    </w:p>
    <w:p>
      <w:pPr>
        <w:pStyle w:val="Normal"/>
        <w:rPr/>
      </w:pPr>
      <w:r>
        <w:rPr/>
        <w:t>设备净值从年末六点九五一零五亿元增至二十点七六五七一亿元，与公司称研发费用增加主要因服务器折旧相符。硬件折旧可能落后采购现金发生，短期会计利润不充分反映资金投放。若设备寿命短、使用率低或需要快速升级，正常利润和自由现金都可能受压。人工智能投资必须提高广告、推荐、创作或新增收费，才能说明回报；购置设备本身不等于新增可独立出售的人工智能业务价值。</w:t>
      </w:r>
    </w:p>
    <w:p>
      <w:pPr>
        <w:pStyle w:val="Normal"/>
        <w:rPr/>
      </w:pPr>
      <w:r>
        <w:rPr/>
        <w:t>半年应收净额十六点八一一一九亿元，高于年末十二点六八二一九亿元，经营现金里应收变化负三点八二三五九亿元。广告增长与账期需要一起看，客户质量弱时收入确认先于回款。应付增加、递延收入变化和税款时点也影响现金。某一半年现金不足可以有季节性解释，但若完整年度持续恶化，应降低估值和财务质量评分。现金是验证利润的结果，不应通过选取最有利季度掩盖问题。</w:t>
      </w:r>
    </w:p>
    <w:p>
      <w:pPr>
        <w:pStyle w:val="Heading2"/>
        <w:rPr/>
      </w:pPr>
      <w:r>
        <w:rPr>
          <w:color w:val="000000"/>
        </w:rPr>
        <w:t>九 资本结构与九月交易</w:t>
      </w:r>
    </w:p>
    <w:p>
      <w:pPr>
        <w:pStyle w:val="Normal"/>
        <w:rPr/>
      </w:pPr>
      <w:r>
        <w:rPr/>
        <w:t>半年底现金、存款和短期投资合计二百四十二点九九七零六亿元，现金等价物只有五十一点六三七九六亿元。其余为定期存款和短期投资，资产类型、币种及期限不同。短期贷款及流动债务约四十八点七八六四三亿元、长期债务四十六点三五六四七亿元，简单相减约一百四十七点八五亿元。这个差额尚未扣运营、预收履约、未来设备、限制和资金用途，不能作为无条件每股现金或悲观清算底线。</w:t>
      </w:r>
    </w:p>
    <w:p>
      <w:pPr>
        <w:pStyle w:val="Normal"/>
        <w:rPr/>
      </w:pPr>
      <w:r>
        <w:rPr/>
        <w:t>旧二零三零债本金六点九亿美元，利率百分之零点六二五，初始转换价一百八十五点六三港元，可转约二千九百一十点零五六一万股，持有人可在二零二八年六月一日要求现金回购，早于到期二零三零年六月一日。低票息降低当前利息，但转股或现金偿还仍有成本。三年目标跨过现金回购窗口，不能只在债到期年份才讨论负担；股价低于转换价时，现金路线压力更重要。</w:t>
      </w:r>
    </w:p>
    <w:p>
      <w:pPr>
        <w:pStyle w:val="Normal"/>
        <w:rPr/>
      </w:pPr>
      <w:r>
        <w:rPr/>
        <w:t>九月市场发行五亿美元二零三一可转债和约一亿美元同时回购已完成。新债不支付常规利息，初始转换价一百五十五点七九港元，五亿美元可转约二千五百一十六点八七万股；若全七亿美元方案完成可转约三千五百二十三点六一八万股。新债二零三一年九月十五日到期，持有人二零二九年九月十五日可以要求现金回购。三年目标也跨过这个窗口，五年目标则在法定到期之后，两段资本风险均需反映。</w:t>
      </w:r>
    </w:p>
    <w:p>
      <w:pPr>
        <w:pStyle w:val="Normal"/>
        <w:rPr/>
      </w:pPr>
      <w:r>
        <w:rPr/>
        <w:t>公司同时借股配售约六百九十七点六七六万股以支持债券投资者对冲，腾讯子公司二级出售二千六百三十七点四九万股。二者不是公司新发普通股，公司没有从该配售获得股权筹资。公司在该交易回购六百七十九点五五四万股，价格一百一十五点三八港元，九月月报称仍待注销。不能把二级出售数量加到公司新发股数，也不能把全部交易所得当公司现金，这是普通股估值需要守住的边界。</w:t>
      </w:r>
    </w:p>
    <w:p>
      <w:pPr>
        <w:pStyle w:val="Normal"/>
        <w:rPr/>
      </w:pPr>
      <w:r>
        <w:rPr/>
        <w:t>腾讯另拟认购两亿美元可转债，公司拟用两亿美元回购腾讯一千三百五十九点一零九万股。九月九日完成公告明确该部分仍需独立股东批准；九月二十五日通函安排十月二十八日下午四点半股东会。截至基准日尚未完成，不能采用九月八日机构新闻称全部持股已转债的语气。基准可以条件考虑将来的交易，必须标成假设。减持压力可能改变，不能说未来股东出售风险永久消失。</w:t>
      </w:r>
    </w:p>
    <w:p>
      <w:pPr>
        <w:pStyle w:val="Normal"/>
        <w:rPr/>
      </w:pPr>
      <w:r>
        <w:rPr/>
        <w:t>九月月报</w:t>
      </w:r>
      <w:r>
        <w:rPr/>
        <w:t>Y</w:t>
      </w:r>
      <w:r>
        <w:rPr/>
        <w:t>股七千九百七十万零十股、</w:t>
      </w:r>
      <w:r>
        <w:rPr/>
        <w:t>Z</w:t>
      </w:r>
      <w:r>
        <w:rPr/>
        <w:t>股三亿四千零四十三万四千七百三十六股，合计四亿二千零一十三万四千七百四十六股，库存零。</w:t>
      </w:r>
      <w:r>
        <w:rPr/>
        <w:t>Z</w:t>
      </w:r>
      <w:r>
        <w:rPr/>
        <w:t>余额不含另四百八十九点九三六四万预留奖励股份，待注销回购仍有注册口径影响。正常未来分母要净考虑回购、潜在转换、期权及奖励，不是拿流通股乘固定系数。模型基准年底四点七五亿、一年四点八二亿、三年四点九亿、五年五点零五亿属于经济判断，不声称精确法定摊薄结果。</w:t>
      </w:r>
    </w:p>
    <w:p>
      <w:pPr>
        <w:pStyle w:val="Normal"/>
        <w:rPr/>
      </w:pPr>
      <w:r>
        <w:rPr/>
        <w:t>九月新授限制性股份单位四百五十八点零八零一万份，说明激励持续发生。公司六月批准两年三亿美元回购，旧二亿美元计划五月已完成。回购与奖励并行时，应看净股数和买回价格，而不是只把回购宣布金额当每股价值增加。回购由发债融资时还承担未来本金或转换成本。普通股股东获得的是经营和资本安排后的份额，不能同时把债筹资金、回购减少股数及忽略转股的三种好处全部加在一起。</w:t>
      </w:r>
    </w:p>
    <w:p>
      <w:pPr>
        <w:pStyle w:val="Normal"/>
        <w:rPr/>
      </w:pPr>
      <w:r>
        <w:rPr/>
        <w:t>模型主线按经济股份转换储备估值，有限财资已进入正常利润，没有再加全部现金或同一债务负债扣值。若走现金回购债券路线，需要移除对应潜在股数，同时扣现金、评估再融资和利息，不可继续留最大转股分母又全部扣同债本金。现金偿付两批合计本金在全七亿美元新方案情况下约十三点九亿美元，不考虑汇率与其他小债差异。资金部署和自由现金是否足以支付，比低票息更重要，必须另作压力重算。</w:t>
      </w:r>
    </w:p>
    <w:p>
      <w:pPr>
        <w:pStyle w:val="Heading2"/>
        <w:rPr/>
      </w:pPr>
      <w:r>
        <w:rPr>
          <w:color w:val="000000"/>
        </w:rPr>
        <w:t>十 日线与周线趋势</w:t>
      </w:r>
    </w:p>
    <w:p>
      <w:pPr>
        <w:pStyle w:val="Normal"/>
        <w:rPr/>
      </w:pPr>
      <w:r>
        <w:rPr/>
        <w:t>基准日收盘一百二十点四港元，二十日均线一百一十七点八七五，六十日一百二十九点八四六七，一百二十日一百三十九点七三五八，二百五十日一百七十八点九八四四。价格高二十日约百分之二点一四，却低后三条约百分之七点二八、十三点八四、三十二点七三。只有最近均线改善，不能称已经形成多头排列。半年技术判断更像低位反弹观察，需要突破中期均线和区间之后再提高信心。</w:t>
      </w:r>
    </w:p>
    <w:p>
      <w:pPr>
        <w:pStyle w:val="Normal"/>
        <w:rPr/>
      </w:pPr>
      <w:r>
        <w:rPr/>
        <w:t>四条日均线五期变化均为负，分别约百分之一点三六、一点四九、二点二二、一点一零。斜率反映近期移动平均变化，并非精确回归速度。现价站回二十日时均线仍下降，可能是下跌中反弹，也可能是初期转折，现有证据无法确定。后续保持一百二十五点三上方并逐渐使二十、六十日均线走平，会提高可信度；跌回区间低点会推翻短线修复判断。不能凭长周期远低价格就确认抄底区间。</w:t>
      </w:r>
    </w:p>
    <w:p>
      <w:pPr>
        <w:pStyle w:val="Normal"/>
        <w:rPr/>
      </w:pPr>
      <w:r>
        <w:rPr/>
        <w:t>周线二十、六十、一百二十周均线约一百三十一点八、一百八十点二一六七、一百六十四点八五三三，现价都在其下，距离约百分之八点六五、三十三点一九、二十六点九七。二十、六十周五期变化负百分之七点七八、三点零四，一百二十周约略正零点零二。短中周线仍弱，长期轻微平缓不构成强反转。三年共一百五十七周不足二百五十周，缺失该均线明确保留，不补造历史。</w:t>
      </w:r>
    </w:p>
    <w:p>
      <w:pPr>
        <w:pStyle w:val="Normal"/>
        <w:rPr/>
      </w:pPr>
      <w:r>
        <w:rPr/>
        <w:t>最近二十日最低一百一十二点二、最高一百二十五点三，距现价约负百分之六点八一、正百分之四点零七。最近六十日高一百五十三点八，距现价约百分之二十七点七四，低位相同。这些是实际区间极值，不是经过成交和多次触碰确认的强支撑。价格接近下沿意味着技术失效距离较近，也意味着弱势风险。没有最大损失保证，跳空和成交流动性可能使实际交易偏离观察位。</w:t>
      </w:r>
    </w:p>
    <w:p>
      <w:pPr>
        <w:pStyle w:val="Normal"/>
        <w:rPr/>
      </w:pPr>
      <w:r>
        <w:rPr/>
        <w:t>十二个月高二百八十五点六、低一百一十二点二，现价较高点回撤约百分之五十七点八四、较低点高约百分之七点三一，日线窗口最大回撤约百分之五十九点四三。历史高位反映过去市场信息和倍数，不是未来必须达到的价值。周线回撤与日线略不同是聚合窗口差异。若正常盈利改善但倍数只温和修复，价格不必回旧高才能形成收益。以高点作单一目标会掩盖利润和资本结构变化。</w:t>
      </w:r>
    </w:p>
    <w:p>
      <w:pPr>
        <w:pStyle w:val="Heading2"/>
        <w:rPr/>
      </w:pPr>
      <w:r>
        <w:rPr>
          <w:color w:val="000000"/>
        </w:rPr>
        <w:t>十一 量能 动量与相对表现</w:t>
      </w:r>
    </w:p>
    <w:p>
      <w:pPr>
        <w:pStyle w:val="Normal"/>
        <w:rPr/>
      </w:pPr>
      <w:r>
        <w:rPr/>
        <w:t>当天成交约三百零二点一三八万股，五、二十、六十日均量约一百六十八点一七万、三百三十五点零六万、四百零六点九四万股。当日较前二十日均量约零点八八一倍，有较短期交易增加但尚未中期放量确认。报价和日线成交量单位核为股，不将股与手混用；成交额按锁定行情保存。换手率未取得可靠可比口径，本章不以股数简单推所谓自由流通换手，也不假定美国与香港成交完全独立。</w:t>
      </w:r>
    </w:p>
    <w:p>
      <w:pPr>
        <w:pStyle w:val="Normal"/>
        <w:rPr/>
      </w:pPr>
      <w:r>
        <w:rPr/>
        <w:t>二十日上涨累计三千五百一十三点五五万股、下跌三千一百八十七点七五万股，上跌量比约一点一零二，但上涨十二日、下跌八日。按每交易日比较，下跌日平均量反而较高，不能由累计上涨量略大就断言持续资金承接。没有逐笔和持有人身份，无法说某类机构正在吸筹；股票转移、套利和市场对冲都可能影响成交。量价只帮助识别交易活跃与趋势确认，不替代经营价值判断。</w:t>
      </w:r>
    </w:p>
    <w:p>
      <w:pPr>
        <w:pStyle w:val="Normal"/>
        <w:rPr/>
      </w:pPr>
      <w:r>
        <w:rPr/>
        <w:t>周线二十、六十周平均量约二千一百五十一点八四万、二千二百三十二点一二万股，近期一周相对前二十周均量约零点三六八。近期周成交较少，说明价格修复尚未配合持续广泛参与。五周平均量高于当前周又可能包含前期更活跃下跌，不能仅平均值上升说多头增强。需要多个完整交易周及价格结构验证，日量与周量有相关性，不应在评分里分别加两次独立好处。</w:t>
      </w:r>
    </w:p>
    <w:p>
      <w:pPr>
        <w:pStyle w:val="Normal"/>
        <w:rPr/>
      </w:pPr>
      <w:r>
        <w:rPr/>
        <w:t>二十日回报负百分之一点一五，六十日负百分之十八点五九；二十日较恒生超额约正一点八三个百分点，六十日负十五点四一。较恒生科技粗粒度参考分别正一点九一、负五点四三，近期略稳但中期明显弱。恒生科技包含不同互联网、设备和硬件，不代表纯内容行业指数。相对表现支持半年量价只给二点五分，不能因二十日稍好就忽略六十日大幅跑输，也不能将弱势自动等价为便宜。</w:t>
      </w:r>
    </w:p>
    <w:p>
      <w:pPr>
        <w:pStyle w:val="Normal"/>
        <w:rPr/>
      </w:pPr>
      <w:r>
        <w:rPr/>
        <w:t>十四日相对强弱指标约五十点零五，中性；移动平均收敛指标差离负二点五三八、信号负三点二八一，双倍差柱正一点四八六，说明下跌动能缓和。它们与站回二十日线描述相近现象，不重复加分。平均真实波幅约四点一二九港元，占现价百分之三点四三；周平均真实波幅约十三点四四一，超过价格一成。几个港币穿越观察位可能是普通波动，技术失效条件需要连续价格与成交支持。</w:t>
      </w:r>
    </w:p>
    <w:p>
      <w:pPr>
        <w:pStyle w:val="Normal"/>
        <w:rPr/>
      </w:pPr>
      <w:r>
        <w:rPr/>
        <w:t>技术的积极观察是突破一百二十五点三并维持，随后挑战六十日一百二十九点八五附近，量能至少不能持续萎缩且相对大盘改善。失效为再跌一百一十二点二，或反弹中出现经营利润和现金明显恶化。即使技术改善，也只提高半年评分，三年价值仍由广告、游戏和现金决定。若业务改善而价格弱，可以保持长期研究但降低交易时点判断，两种结论应同时写清，避免把所有期限混在同一个买入理由。</w:t>
      </w:r>
    </w:p>
    <w:p>
      <w:pPr>
        <w:pStyle w:val="Heading2"/>
        <w:rPr/>
      </w:pPr>
      <w:r>
        <w:rPr>
          <w:color w:val="000000"/>
        </w:rPr>
        <w:t>十二 估值桥与当前价格</w:t>
      </w:r>
    </w:p>
    <w:p>
      <w:pPr>
        <w:pStyle w:val="Normal"/>
        <w:rPr/>
      </w:pPr>
      <w:r>
        <w:rPr/>
        <w:t>模型将广告、增值服务、手游、</w:t>
      </w:r>
      <w:r>
        <w:rPr/>
        <w:t>IP</w:t>
      </w:r>
      <w:r>
        <w:rPr/>
        <w:t>及其他收入相加，乘充分扣内容分成、服务器、版权摊销、买量、管理、正常研发和持续股份薪酬的合并营业率。税后因子零点八，再加有限税后融资、联营、股东归属及分子储备净项，除经济摊薄普通股，乘市盈率和人民币港币换算。该桥是下一年度化正常利润，不声称逐业务披露独立利润。未加全部现金、独立人工智能估值或子公司市值，避免重复归属。</w:t>
      </w:r>
    </w:p>
    <w:p>
      <w:pPr>
        <w:pStyle w:val="Normal"/>
        <w:rPr/>
      </w:pPr>
      <w:r>
        <w:rPr/>
        <w:t>年底基准广告一百四十亿元、增值一百三十亿元、游戏六十五亿元、其他二十亿元，总收入三百五十五亿元，正常营业率百分之八点七。税后营业利润二十四点七零八亿元，加一点二亿元有限税后净项，除四点七五亿股，每股约五点四五四三一六人民币元，二十三倍及汇率得一百三十七点九九港元。目标不是年底公布全年利润，而是当时对未来十二个月规模的估值，需要现有证据支持渐进改善。</w:t>
      </w:r>
    </w:p>
    <w:p>
      <w:pPr>
        <w:pStyle w:val="Normal"/>
        <w:rPr/>
      </w:pPr>
      <w:r>
        <w:rPr/>
        <w:t>半年基准总收入三百七十四亿元、营业率百分之九点五，分母四点七八亿，一年总收入四百零五亿元、营业率百分之十点八、分母四点八二亿。一年每股约七点五五零二零七元，二十二倍得一百八十二点七二港元。基准营业率明显高于目前季度法定水平，主要依赖广告结构、新游戏与费用纪律，不是当前盈利的机械倍数。若人工智能折旧和买量增加超过收入带来的杠杆，需要下调营业率和目标，而不是简单延后兑现日期。</w:t>
      </w:r>
    </w:p>
    <w:p>
      <w:pPr>
        <w:pStyle w:val="Normal"/>
        <w:rPr/>
      </w:pPr>
      <w:r>
        <w:rPr/>
        <w:t>当前股价以去年法定摊薄盈利计算约四十倍，以粗滚动归母利润和较高经济股数计算仍约三十多倍。它能够被成长解释，但不能称传统低估值成熟媒体。游戏恢复及广告增长如果停滞，低利润公司的市盈率会迅速变高。用市销率交叉看，当前市值相对滚动收入约一倍多，低收入倍数不自动保证便宜，因为利润率和持续内容成本不同。收入不能被当可分配现金，需要利润及资产周转验证。</w:t>
      </w:r>
    </w:p>
    <w:p>
      <w:pPr>
        <w:pStyle w:val="Normal"/>
        <w:rPr/>
      </w:pPr>
      <w:r>
        <w:rPr/>
        <w:t>模型基准三年总收入五百零八亿元、营业率百分之十四、股数四点九亿，五年六百零五亿元、营业率百分之十五点五、股数五点零五亿。倍数分别二十一和十九，随着成熟下降。收入与利润率双升使回报较高，也要求内容、游戏和广告生态持续改善。不能说全部利润提升来自裁员，长线经营需要创作者、技术和开发团队投入。若增长只能由高买量或大额内容支出维持，模型中的利润率不能成立。</w:t>
      </w:r>
    </w:p>
    <w:p>
      <w:pPr>
        <w:pStyle w:val="Normal"/>
        <w:rPr/>
      </w:pPr>
      <w:r>
        <w:rPr/>
        <w:t>一年基准营业率上下两个百分点，其他不变，每股利润变化约一点三四四元，目标变化约三十二点五三港元，约现价二成七。市盈率上下三倍约变化二十四点九二港元，约现价二成一；二者可能同向变化。分母上升一成，其他不变股价约下降百分之九点一。这个敏感性说明利润和估值的少量差异可造成明显价格变化，小数精度只是核算规则，不应使投资者相信预测具有同样精度。</w:t>
      </w:r>
    </w:p>
    <w:p>
      <w:pPr>
        <w:pStyle w:val="Normal"/>
        <w:rPr/>
      </w:pPr>
      <w:r>
        <w:rPr/>
        <w:t>如果一年广告收入比基准少一成，在合并营业率固定的简化条件下，正常利润和价格会下降；真实情况下共同费用刚性可能让损失更大。反之游戏超预期可能提高收入，但买量和开发分成会减少利润弹性，不能把收入增量百分之百加净利。公司未披露足够独立贡献率，模型用情景总营业率反映这些关系。此限制降低预测可信度，优点是明确给出可修改的规模和费用假设，而非隐藏在最终价格里。</w:t>
      </w:r>
    </w:p>
    <w:p>
      <w:pPr>
        <w:pStyle w:val="Normal"/>
        <w:rPr/>
      </w:pPr>
      <w:r>
        <w:rPr/>
        <w:t>人民币兑港币假设上下百分之十，一年基准约变一百六十四点四四八至二百点九九二港元，其他经营不变。美元机构目标换港币也有自身汇率假设，两种转换不能混用。对人民币持有人，未来港币换回人民币的变化还影响总回报，不应同时加到企业港币目标和投资者收益两次。以本币回报为主，汇率单独敏感性，实际税费和跨市场套利成本不被模型自动覆盖。</w:t>
      </w:r>
    </w:p>
    <w:p>
      <w:pPr>
        <w:pStyle w:val="Heading2"/>
        <w:rPr/>
      </w:pPr>
      <w:r>
        <w:rPr>
          <w:color w:val="000000"/>
        </w:rPr>
        <w:t>十三 半年与一年投资路径</w:t>
      </w:r>
    </w:p>
    <w:p>
      <w:pPr>
        <w:pStyle w:val="Normal"/>
        <w:rPr/>
      </w:pPr>
      <w:r>
        <w:rPr/>
        <w:t>半年基准一百五十七点三三港元，上行三成零点六七，主要验证新年度经营，而非仅靠日线回到旧高。需要广告保持较快增长、新游戏逐渐减轻旧产品下滑、设备利用和折旧可控，销售投入不失去纪律。资本交易批准可以改变股数和供给，但不能代替盈利验证。若股价突破而自由现金继续明显走弱，半年评分仍应谨慎；若经营强但技术持续弱，目标价值和交易时机须分开处理。</w:t>
      </w:r>
    </w:p>
    <w:p>
      <w:pPr>
        <w:pStyle w:val="Normal"/>
        <w:rPr/>
      </w:pPr>
      <w:r>
        <w:rPr/>
        <w:t>半年悲观十三点四一港元，收入规模比基准低且营业率只有百分之二点八，融资净项不利、股数更高、倍数十一；乐观二百九十四点二四，营业率百分之十二点五、较强新品和广告，倍数二十八。悲观低价不是基于立即清算资产，而是持续投资和市场只愿为微薄利润支付低倍数。公司资产可能有残余价值，实际股价也可能更低，模型情景不能用作保护本金边界。重建现金赎回路线时应同步股数调整。</w:t>
      </w:r>
    </w:p>
    <w:p>
      <w:pPr>
        <w:pStyle w:val="Normal"/>
        <w:rPr/>
      </w:pPr>
      <w:r>
        <w:rPr/>
        <w:t>一年基准一百八十二点七二，股价及含息回报均约五成一点七六，未来一年基准不派息。收益主要由正常利润增长，倍数比年底和半年略降，不依赖持续估值抬升。游戏的第一个上线季度不够，应看到多个季度存量用户、付费和营销回收。广告需要在高基数下维持效率，社区质量不能因商业负荷受到损伤。满足这些条件才能维持一年较高成长推荐，不能只因为外资仍看好而保持目标。</w:t>
      </w:r>
    </w:p>
    <w:p>
      <w:pPr>
        <w:pStyle w:val="Normal"/>
        <w:rPr/>
      </w:pPr>
      <w:r>
        <w:rPr/>
        <w:t>一年悲观九点七七港元、乐观三百七十二点五九，跨度大来自利润薄时的经营杠杆和市场倍数。高波幅与进取排序并存，悲观路径包括广告明显放缓、老游戏下滑、新品付费不足和投入刚性；乐观路径要求收入组合与利润率同步强，不只是某游戏初期排名。分数只反映证据与收益风险权衡，不是达到高价的概率。若未来信息改变现金、游戏或竞争，应修订情景和总表，不保留旧目标制造确定感。</w:t>
      </w:r>
    </w:p>
    <w:p>
      <w:pPr>
        <w:pStyle w:val="Heading2"/>
        <w:rPr/>
      </w:pPr>
      <w:r>
        <w:rPr>
          <w:color w:val="000000"/>
        </w:rPr>
        <w:t>十四 三年与五年的收益来源</w:t>
      </w:r>
    </w:p>
    <w:p>
      <w:pPr>
        <w:pStyle w:val="Normal"/>
        <w:rPr/>
      </w:pPr>
      <w:r>
        <w:rPr/>
        <w:t>三年基准二百七十六点七一港元，累计分红一港元，含息总回报约一百三十点六六个百分点、年化三成二点一三。广告和游戏在现有规模上扩张、共同费用被摊薄是主要逻辑，股数反映更多经济稀释。这个回报较高，但跨过二零二八旧债与二零二九新债现金回购窗口。投资者需要有足够现金或转换条件支持，不能将资本风险留到到期日之后才处理。自由现金能力是长期价值检验核心。</w:t>
      </w:r>
    </w:p>
    <w:p>
      <w:pPr>
        <w:pStyle w:val="Normal"/>
        <w:rPr/>
      </w:pPr>
      <w:r>
        <w:rPr/>
        <w:t>三年悲观四点二八港元，乐观六百四十八点三七。悲观描述社区和产品组合变现不足、费用持续以及资本压力，乐观需要广告收入二百九十亿元、游戏一百六十亿元、较高正常利润率，显著超基准。它不是对单款游戏峰值流水的简单复利，而是整个组织形成稳定产品组合的条件。若三年只靠一次爆款且后续产品失败，不能使用乐观利润率和倍数，应回到周期化游戏与成熟广告估值。</w:t>
      </w:r>
    </w:p>
    <w:p>
      <w:pPr>
        <w:pStyle w:val="Normal"/>
        <w:rPr/>
      </w:pPr>
      <w:r>
        <w:rPr/>
        <w:t>五年基准三百一十九点五八港元，累计息四港元，含息总回报约一百六十八点七五、年化约二成一点八六。成熟市盈率降至十九，收入和利润增长抵销倍数下降。主线要求用户仍信任平台、创作者可持续获益、广告效果能收费、游戏开发和发行纪律成熟。日线在五年评分权重为零，不会因为当前小反弹而提高长期质量。重大产品替代与资本用途变化需要重新估值，五年不是无更新持有承诺。</w:t>
      </w:r>
    </w:p>
    <w:p>
      <w:pPr>
        <w:pStyle w:val="Normal"/>
        <w:rPr/>
      </w:pPr>
      <w:r>
        <w:rPr/>
        <w:t>五年悲观零点六四港元、乐观九百零一点五。极低悲观反映接近零正常利润并持续稀释，非对现金资产变现的准确预测；高乐观要求广告四百一十亿元、游戏二百二十亿元、营业率百分之二十一和较高生态效率。两者都不是统计尾部或最大最小值，实际可完全偏离。长期决策更应关注失败路径能否承受，而非高情景倍数。现金赎回、股票转换和融资必须保持一致模型，不能将不同路线混合提升收益。</w:t>
      </w:r>
    </w:p>
    <w:p>
      <w:pPr>
        <w:pStyle w:val="Heading2"/>
        <w:rPr/>
      </w:pPr>
      <w:r>
        <w:rPr>
          <w:color w:val="000000"/>
        </w:rPr>
        <w:t>十五 年底专项与外资机构</w:t>
      </w:r>
    </w:p>
    <w:p>
      <w:pPr>
        <w:pStyle w:val="Normal"/>
        <w:rPr/>
      </w:pPr>
      <w:r>
        <w:rPr/>
        <w:t>年底基准一百三十七点九九港元，需要市场对下一年度广告和游戏正常利润有更明确判断，但年底并没有已审计完整全年结果。悲观二十点八八、乐观二百四十八点一三体现经营预期和风险溢价变化，不能按一年目标剩余时间线性折算。已经公开的资本交易和待批准部分分别保留，十月九日之后的真实结果不提前写成事实。年底收益可以主要由估值变化形成，下一年度如果利润未兑现，价格仍可能逆转。</w:t>
      </w:r>
    </w:p>
    <w:p>
      <w:pPr>
        <w:pStyle w:val="Normal"/>
        <w:rPr/>
      </w:pPr>
      <w:r>
        <w:rPr/>
        <w:t>权重二十五、五十、二十五得期望一百三十六点二四七五，回报约百分之十三点一六；防御权重期望一百零二点一六，回报负百分之十五点一五；积极一百七十点三三五，上行四成一点四七。积极与防御差距说明情景判断的重要性，期望不是最可能单点。没有概率分布或历史统计校准，不给统计置信区间。投资者若认为资本开支和游戏成功率与基准不同，应修改条件和权重，重新算全部结果。</w:t>
      </w:r>
    </w:p>
    <w:p>
      <w:pPr>
        <w:pStyle w:val="Normal"/>
        <w:rPr/>
      </w:pPr>
      <w:r>
        <w:rPr/>
        <w:t>摩根大通九月八日港股目标一百七十、增持，并给美国目标二十二美元，以二零二七年预测市盈率十六倍替代此前二十四倍。预测盈利年不是目标期限，公开转载未明确统一十二个月，登记为空缺。机构认为新游戏周期和股东出售压力变化有利，同时下调广告、买量和盈利预期，显示成长与估值调整可以并存。其腾讯股份转债描述须以九月九日原件及九月二十五日通函修正，不能照搬已完成语气。</w:t>
      </w:r>
    </w:p>
    <w:p>
      <w:pPr>
        <w:pStyle w:val="Normal"/>
        <w:rPr/>
      </w:pPr>
      <w:r>
        <w:rPr/>
        <w:t>摩根士丹利八月二十八日美国目标二十七美元、增持，里昂同日二十二点五美元、跑赢大市，均为新闻转述，原始研报未取得。按一份存托一股及七点八研究汇率，相当二百一十点六、一百七十五点五港元参考，并不是两家机构直接发布的香港目标。大摩称未来十五个月游戏排期，里昂讨论人工智能资本投入，这些是经营观察期限及风险，不应自动作目标价期限。币种、代码和转换假设在表中分别记录。</w:t>
      </w:r>
    </w:p>
    <w:p>
      <w:pPr>
        <w:pStyle w:val="Normal"/>
        <w:rPr/>
      </w:pPr>
      <w:r>
        <w:rPr/>
        <w:t>招银国际八月三十一日美国二十八美元、买入，海通国际八月十七日二十六美元、跑赢大市，按假设转换分别二百一十八点四、二百零二点八港元。两家是中资国际机构，与外资投行类别分开标注，海通在第二季正式结果之前，存在业绩前假设限制。所有报告在九十天窗口内，但不同时间信息集和估值不同，不能简单平均成为共识目标。可核价格提供参考，真正一年估值仍由本章正常利润及资金路线计算。</w:t>
      </w:r>
    </w:p>
    <w:p>
      <w:pPr>
        <w:pStyle w:val="Heading2"/>
        <w:rPr/>
      </w:pPr>
      <w:r>
        <w:rPr>
          <w:color w:val="000000"/>
        </w:rPr>
        <w:t>十六 评分反证与十年经营展望</w:t>
      </w:r>
    </w:p>
    <w:p>
      <w:pPr>
        <w:pStyle w:val="Normal"/>
        <w:rPr/>
      </w:pPr>
      <w:r>
        <w:rPr/>
        <w:t>半年六维三点五、二点五、三点六、三点五、四、二点九，按权重得六十四点一；一年七十点七、三年七十五点二、五年七十三点七。催化较明确不代表结果必然良好，弱技术和资本风险压低近端评分。三年最高是因社区与广告经营杠杆有空间，五年稍低因长期内容替代和股份变化更不确定。与全名单差小于三分归同梯队，不将零点几分写成确定优劣，最终同分还需比较收益及悲观损失。</w:t>
      </w:r>
    </w:p>
    <w:p>
      <w:pPr>
        <w:pStyle w:val="Normal"/>
        <w:rPr/>
      </w:pPr>
      <w:r>
        <w:rPr/>
        <w:t>经营反证是广告增速持续降到不足抵销成本、客户账期恶化、日活和时长与内容质量同步下降。游戏反证是新品首发之后留存和付费不足、老产品衰减加速、买量提高却回收变差。资金反证是设备现金和应付持续增加、折旧侵蚀利润、回购靠借款而经营现金不足，或者非上市投资需要额外投入。每项反证都要对应收入、营业率、税后净项和股数变化，不能只改最终价格而隐藏逻辑。</w:t>
      </w:r>
    </w:p>
    <w:p>
      <w:pPr>
        <w:pStyle w:val="Normal"/>
        <w:rPr/>
      </w:pPr>
      <w:r>
        <w:rPr/>
        <w:t>资本反证尤其包括现金回购债券窗口到来而自由资金不足、腾讯待批准交易与基准不同、限制性奖励净稀释高于模型。若现金路线出现，先从经济股份中移除对应转股，再扣偿付资金和调整利息，保留同一资金链。若发生股份路线，未来股东份额变小但相应本金负担消失，不能两者都扣到最坏后声称精确价值。压力路径可比原悲观更差，也可能有资产缓冲，必须重新计算而非机械使用旧表。</w:t>
      </w:r>
    </w:p>
    <w:p>
      <w:pPr>
        <w:pStyle w:val="Normal"/>
        <w:rPr/>
      </w:pPr>
      <w:r>
        <w:rPr/>
        <w:t>十年经营持续性取决于优质内容、兴趣关系和用户信任是否仍有需求，广告商是否愿意为这些关系付费。平台形式可能从视频页发展到更互动内容、工具和游戏，成功需要治理与创作者共生。人工智能让内容生产更便宜，稀缺可能转向真实性、专业性和关系；</w:t>
      </w:r>
      <w:r>
        <w:rPr/>
        <w:t>B</w:t>
      </w:r>
      <w:r>
        <w:rPr/>
        <w:t>站有机会，也有成本。十年不提供精确目标价，不把现有增长率复利到巨大规模。五年之后应依据实际利润、资本回报和社区变化建立新的估值。</w:t>
      </w:r>
    </w:p>
    <w:p>
      <w:pPr>
        <w:pStyle w:val="Normal"/>
        <w:rPr/>
      </w:pPr>
      <w:r>
        <w:rPr/>
        <w:t>后续每次财报应统一看广告、增值、游戏四块收入，法定与调整利润差额，常态股份薪酬，服务器与版权现金及非现金应付，经营现金和经济股数。新游戏应看长尾而非只发布，社区应看真实活跃与商业接受度，机构观点须更新日期与信息集。现有证据支持一年至三年有条件成长候选，半年需趋势与经营确认，五年需更强现金和资本纪律。推荐成立于这些可检验条件，失败路径同样是研究结论的一部分。</w:t>
      </w:r>
    </w:p>
    <w:p>
      <w:pPr>
        <w:pStyle w:val="Heading2"/>
        <w:rPr/>
      </w:pPr>
      <w:r>
        <w:rPr>
          <w:color w:val="000000"/>
        </w:rPr>
        <w:t>来源与模型核验</w:t>
      </w:r>
    </w:p>
    <w:p>
      <w:pPr>
        <w:pStyle w:val="Normal"/>
        <w:rPr/>
      </w:pPr>
      <w:r>
        <w:rPr/>
        <w:t>- FY2025</w:t>
      </w:r>
      <w:r>
        <w:rPr/>
        <w:t>审计</w:t>
      </w:r>
      <w:r>
        <w:rPr/>
        <w:t>20-F</w:t>
      </w:r>
      <w:r>
        <w:rPr/>
        <w:t>，官网</w:t>
      </w:r>
      <w:r>
        <w:rPr/>
        <w:t>2026-04-16</w:t>
      </w:r>
      <w:r>
        <w:rPr/>
        <w:t>：</w:t>
      </w:r>
      <w:r>
        <w:rPr/>
        <w:t>[</w:t>
      </w:r>
      <w:r>
        <w:rPr/>
        <w:t>原件</w:t>
      </w:r>
      <w:r>
        <w:rPr/>
        <w:t>](https://ir.bilibili.com/media/uclpt3pv/2025-annual-report-on-form-20-f-1.pdf)</w:t>
      </w:r>
      <w:r>
        <w:rPr/>
        <w:t>。全年结果</w:t>
      </w:r>
      <w:r>
        <w:rPr/>
        <w:t>2026-03-05</w:t>
      </w:r>
      <w:r>
        <w:rPr/>
        <w:t>：</w:t>
      </w:r>
      <w:r>
        <w:rPr/>
        <w:t>[</w:t>
      </w:r>
      <w:r>
        <w:rPr/>
        <w:t>原件</w:t>
      </w:r>
      <w:r>
        <w:rPr/>
        <w:t>](https://ir.bilibili.com/media/bk3fpbje/bilibili-inc-announces-fourth-quarter-and-fiscal-year-2025-financial-results.pdf)</w:t>
      </w:r>
      <w:r>
        <w:rPr/>
        <w:t>。财务千元转百万元，美元仅便利折算不作经营货币。</w:t>
      </w:r>
    </w:p>
    <w:p>
      <w:pPr>
        <w:pStyle w:val="Normal"/>
        <w:rPr/>
      </w:pPr>
      <w:r>
        <w:rPr/>
        <w:t>- Q1</w:t>
      </w:r>
      <w:r>
        <w:rPr/>
        <w:t>结果</w:t>
      </w:r>
      <w:r>
        <w:rPr/>
        <w:t>2026-05-19</w:t>
      </w:r>
      <w:r>
        <w:rPr/>
        <w:t>：</w:t>
      </w:r>
      <w:r>
        <w:rPr/>
        <w:t>[</w:t>
      </w:r>
      <w:r>
        <w:rPr/>
        <w:t>原件</w:t>
      </w:r>
      <w:r>
        <w:rPr/>
        <w:t>](https://ir.bilibili.com/media/ntpl1py1/bilibili-inc-announces-first-quarter-2026-financial-results.pdf)</w:t>
      </w:r>
      <w:r>
        <w:rPr/>
        <w:t>；</w:t>
      </w:r>
      <w:r>
        <w:rPr/>
        <w:t>Q2</w:t>
      </w:r>
      <w:r>
        <w:rPr/>
        <w:t>结果</w:t>
      </w:r>
      <w:r>
        <w:rPr/>
        <w:t>2026-08-27</w:t>
      </w:r>
      <w:r>
        <w:rPr/>
        <w:t>：</w:t>
      </w:r>
      <w:r>
        <w:rPr/>
        <w:t>[</w:t>
      </w:r>
      <w:r>
        <w:rPr/>
        <w:t>原件</w:t>
      </w:r>
      <w:r>
        <w:rPr/>
        <w:t>](https://ir.bilibili.com/media/ywxkb3pf/bilibili-inc-announces-second-quarter-2026-financial-results.pdf)</w:t>
      </w:r>
      <w:r>
        <w:rPr/>
        <w:t>。未经审计。</w:t>
      </w:r>
    </w:p>
    <w:p>
      <w:pPr>
        <w:pStyle w:val="Normal"/>
        <w:rPr/>
      </w:pPr>
      <w:r>
        <w:rPr/>
        <w:t>- H1</w:t>
      </w:r>
      <w:r>
        <w:rPr/>
        <w:t>中报</w:t>
      </w:r>
      <w:r>
        <w:rPr/>
        <w:t>2026-09-24</w:t>
      </w:r>
      <w:r>
        <w:rPr/>
        <w:t>：</w:t>
      </w:r>
      <w:r>
        <w:rPr/>
        <w:t>[</w:t>
      </w:r>
      <w:r>
        <w:rPr/>
        <w:t>原件</w:t>
      </w:r>
      <w:r>
        <w:rPr/>
        <w:t>](https://ea-cdn.eurolandir.com/press-releases-attachments/4182942/HKEX-EPS_20260924_12345494_0.PDF)</w:t>
      </w:r>
      <w:r>
        <w:rPr/>
        <w:t>。</w:t>
      </w:r>
      <w:r>
        <w:rPr/>
        <w:t>Euroland</w:t>
      </w:r>
      <w:r>
        <w:rPr/>
        <w:t>原始</w:t>
      </w:r>
      <w:r>
        <w:rPr/>
        <w:t>1790265624000</w:t>
      </w:r>
      <w:r>
        <w:rPr/>
        <w:t>保留，时区未确认，不机械转香港时刻。</w:t>
      </w:r>
    </w:p>
    <w:p>
      <w:pPr>
        <w:pStyle w:val="Normal"/>
        <w:rPr/>
      </w:pPr>
      <w:r>
        <w:rPr/>
        <w:t>- 9/6</w:t>
      </w:r>
      <w:r>
        <w:rPr/>
        <w:t>定价公告，协议</w:t>
      </w:r>
      <w:r>
        <w:rPr/>
        <w:t>9/4</w:t>
      </w:r>
      <w:r>
        <w:rPr/>
        <w:t>香港交易后：</w:t>
      </w:r>
      <w:r>
        <w:rPr/>
        <w:t>[</w:t>
      </w:r>
      <w:r>
        <w:rPr/>
        <w:t>原件</w:t>
      </w:r>
      <w:r>
        <w:rPr/>
        <w:t>](https://ea-cdn.eurolandir.com/press-releases-attachments/4177822/HKEX-EPS_20260906_12322306_0.PDF)</w:t>
      </w:r>
      <w:r>
        <w:rPr/>
        <w:t>；</w:t>
      </w:r>
      <w:r>
        <w:rPr/>
        <w:t>9/9</w:t>
      </w:r>
      <w:r>
        <w:rPr/>
        <w:t>完成：</w:t>
      </w:r>
      <w:r>
        <w:rPr/>
        <w:t>[</w:t>
      </w:r>
      <w:r>
        <w:rPr/>
        <w:t>原件</w:t>
      </w:r>
      <w:r>
        <w:rPr/>
        <w:t>](https://ea-cdn.eurolandir.com/press-releases-attachments/4179017/HKEX-EPS_20260909_12326476_0.PDF)</w:t>
      </w:r>
      <w:r>
        <w:rPr/>
        <w:t>；</w:t>
      </w:r>
      <w:r>
        <w:rPr/>
        <w:t>9/25</w:t>
      </w:r>
      <w:r>
        <w:rPr/>
        <w:t>通函：</w:t>
      </w:r>
      <w:r>
        <w:rPr/>
        <w:t>[</w:t>
      </w:r>
      <w:r>
        <w:rPr/>
        <w:t>原件</w:t>
      </w:r>
      <w:r>
        <w:rPr/>
        <w:t>](https://ea-cdn.eurolandir.com/press-releases-attachments/4184306/HKEX-EPS_20260925_12347343_0.PDF)</w:t>
      </w:r>
      <w:r>
        <w:rPr/>
        <w:t>。腾讯</w:t>
      </w:r>
      <w:r>
        <w:rPr/>
        <w:t>2</w:t>
      </w:r>
      <w:r>
        <w:rPr/>
        <w:t>億美元部分截至基准日未批准，</w:t>
      </w:r>
      <w:r>
        <w:rPr/>
        <w:t>EGM10/28</w:t>
      </w:r>
      <w:r>
        <w:rPr/>
        <w:t>。</w:t>
      </w:r>
    </w:p>
    <w:p>
      <w:pPr>
        <w:pStyle w:val="Normal"/>
        <w:rPr/>
      </w:pPr>
      <w:r>
        <w:rPr/>
        <w:t xml:space="preserve">- </w:t>
      </w:r>
      <w:r>
        <w:rPr/>
        <w:t>九月股份月报</w:t>
      </w:r>
      <w:r>
        <w:rPr/>
        <w:t>10/8</w:t>
      </w:r>
      <w:r>
        <w:rPr/>
        <w:t>提交：</w:t>
      </w:r>
      <w:r>
        <w:rPr/>
        <w:t>[</w:t>
      </w:r>
      <w:r>
        <w:rPr/>
        <w:t>原件</w:t>
      </w:r>
      <w:r>
        <w:rPr/>
        <w:t>](https://ea-cdn.eurolandir.com/press-releases-attachments/4193029/HKEX-EPS_20261008_12366371_0.PDF)</w:t>
      </w:r>
      <w:r>
        <w:rPr/>
        <w:t>；</w:t>
      </w:r>
      <w:r>
        <w:rPr/>
        <w:t>9/16RSU</w:t>
      </w:r>
      <w:r>
        <w:rPr/>
        <w:t>：</w:t>
      </w:r>
      <w:r>
        <w:rPr/>
        <w:t>[</w:t>
      </w:r>
      <w:r>
        <w:rPr/>
        <w:t>原件</w:t>
      </w:r>
      <w:r>
        <w:rPr/>
        <w:t>](https://ea-cdn.eurolandir.com/press-releases-attachments/4180586/HKEX-EPS_20260916_12334489_0.PDF)</w:t>
      </w:r>
      <w:r>
        <w:rPr/>
        <w:t>。预留奖励和待注销股份分别处理。</w:t>
      </w:r>
    </w:p>
    <w:p>
      <w:pPr>
        <w:pStyle w:val="Normal"/>
        <w:rPr/>
      </w:pPr>
      <w:r>
        <w:rPr/>
        <w:t xml:space="preserve">- </w:t>
      </w:r>
      <w:r>
        <w:rPr/>
        <w:t>行情锁定</w:t>
      </w:r>
      <w:r>
        <w:rPr/>
        <w:t>data/market_snapshot_locked.json</w:t>
      </w:r>
      <w:r>
        <w:rPr/>
        <w:t>，</w:t>
      </w:r>
      <w:r>
        <w:rPr/>
        <w:t>739</w:t>
      </w:r>
      <w:r>
        <w:rPr/>
        <w:t>日</w:t>
      </w:r>
      <w:r>
        <w:rPr/>
        <w:t>157</w:t>
      </w:r>
      <w:r>
        <w:rPr/>
        <w:t>周；基准名义价格归一的复权</w:t>
      </w:r>
      <w:r>
        <w:rPr/>
        <w:t>OHLC</w:t>
      </w:r>
      <w:r>
        <w:rPr/>
        <w:t>，成交量股，</w:t>
      </w:r>
      <w:r>
        <w:rPr/>
        <w:t>Yahoo</w:t>
      </w:r>
      <w:r>
        <w:rPr/>
        <w:t>／</w:t>
      </w:r>
      <w:r>
        <w:rPr/>
        <w:t>Tencent</w:t>
      </w:r>
      <w:r>
        <w:rPr/>
        <w:t>历史与</w:t>
      </w:r>
      <w:r>
        <w:rPr/>
        <w:t>Tencent</w:t>
      </w:r>
      <w:r>
        <w:rPr/>
        <w:t>／</w:t>
      </w:r>
      <w:r>
        <w:rPr/>
        <w:t>Sina</w:t>
      </w:r>
      <w:r>
        <w:rPr/>
        <w:t>报价核对。换手缺可靠口径，不造精确筹码。</w:t>
      </w:r>
    </w:p>
    <w:p>
      <w:pPr>
        <w:pStyle w:val="Normal"/>
        <w:rPr/>
      </w:pPr>
      <w:r>
        <w:rPr/>
        <w:t xml:space="preserve">- </w:t>
      </w:r>
      <w:r>
        <w:rPr/>
        <w:t>单套</w:t>
      </w:r>
      <w:r>
        <w:rPr/>
        <w:t>data/bilibili_model.json</w:t>
      </w:r>
      <w:r>
        <w:rPr/>
        <w:t>，</w:t>
      </w:r>
      <w:r>
        <w:rPr/>
        <w:t>bilibili-normalized-content-games-dilution-v1.0</w:t>
      </w:r>
      <w:r>
        <w:rPr/>
        <w:t>；机构日期代码币种目标及新闻</w:t>
      </w:r>
      <w:r>
        <w:rPr/>
        <w:t>URL</w:t>
      </w:r>
      <w:r>
        <w:rPr/>
        <w:t>逐条存档，公开目标期限缺失。</w:t>
      </w:r>
      <w:r>
        <w:rPr/>
        <w:t>EPS</w:t>
      </w:r>
      <w:r>
        <w:rPr/>
        <w:t>六位、价末端两位；持续</w:t>
      </w:r>
      <w:r>
        <w:rPr/>
        <w:t>SBC</w:t>
      </w:r>
      <w:r>
        <w:rPr/>
        <w:t>、折旧保留，现金与转换路线互斥，正常</w:t>
      </w:r>
      <w:r>
        <w:rPr/>
        <w:t>PE</w:t>
      </w:r>
      <w:r>
        <w:rPr/>
        <w:t>不另加全现金。</w:t>
      </w:r>
      <w:r>
        <w:br w:type="page"/>
      </w:r>
    </w:p>
    <w:p>
      <w:pPr>
        <w:pStyle w:val="Heading1"/>
        <w:rPr/>
      </w:pPr>
      <w:bookmarkStart w:id="4" w:name="__RefHeading___Toc27127_1364803659"/>
      <w:bookmarkEnd w:id="4"/>
      <w:r>
        <w:rPr>
          <w:color w:val="000000"/>
        </w:rPr>
        <w:t xml:space="preserve">携程集团 </w:t>
      </w:r>
      <w:r>
        <w:rPr>
          <w:color w:val="000000"/>
        </w:rPr>
        <w:t>S 09961 HK</w:t>
      </w:r>
    </w:p>
    <w:p>
      <w:pPr>
        <w:pStyle w:val="Normal"/>
        <w:rPr/>
      </w:pPr>
      <w:r>
        <w:rPr/>
        <w:t xml:space="preserve">09961.HK </w:t>
      </w:r>
      <w:r>
        <w:rPr/>
        <w:t xml:space="preserve">现价 </w:t>
      </w:r>
      <w:r>
        <w:rPr/>
        <w:t>304.40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467.91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+53.72%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+53.72%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519.23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+70.57%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+70.90%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723.39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+137.64%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+139.29%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864.27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+183.93%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+187.21%</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212.45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431.54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+41.77%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702.27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+130.71%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444.45HKD</w:t>
      </w:r>
      <w:r>
        <w:rPr/>
        <w:t>，期望股价回报</w:t>
      </w:r>
      <w:r>
        <w:rPr/>
        <w:t>+46.01%</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212.45</w:t>
              <w:br/>
              <w:t>-30.21%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467.91</w:t>
              <w:br/>
              <w:t>+53.72%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829.16</w:t>
              <w:br/>
              <w:t>+172.39%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197.68</w:t>
              <w:br/>
              <w:t>-35.06%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519.23</w:t>
              <w:br/>
              <w:t>+70.57%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936.90</w:t>
              <w:br/>
              <w:t>+207.79%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170.29</w:t>
              <w:br/>
              <w:t>-44.06%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723.39</w:t>
              <w:br/>
              <w:t>+137.64%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1,532.44</w:t>
              <w:br/>
              <w:t>+403.43%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+33.75%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135.75</w:t>
              <w:br/>
              <w:t>-55.40%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864.27</w:t>
              <w:br/>
              <w:t>+183.93%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2,154.58</w:t>
              <w:br/>
              <w:t>+607.81%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+23.49%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基本面主源</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高（官网</w:t>
            </w:r>
            <w:r>
              <w:rPr>
                <w:rFonts w:eastAsia="微软雅黑" w:ascii="微软雅黑" w:hAnsi="微软雅黑"/>
                <w:sz w:val="17"/>
              </w:rPr>
              <w:t>PDF+6-K</w:t>
            </w:r>
            <w:r>
              <w:rPr>
                <w:rFonts w:ascii="微软雅黑" w:hAnsi="微软雅黑" w:eastAsia="微软雅黑"/>
                <w:sz w:val="17"/>
              </w:rPr>
              <w:t>原财表，电话会转录冲突单独标记）</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高（锁版双报价双日线）</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中低（研究</w:t>
            </w:r>
            <w:r>
              <w:rPr>
                <w:rFonts w:eastAsia="微软雅黑" w:ascii="微软雅黑" w:hAnsi="微软雅黑"/>
                <w:sz w:val="17"/>
              </w:rPr>
              <w:t>NTM</w:t>
            </w:r>
            <w:r>
              <w:rPr>
                <w:rFonts w:ascii="微软雅黑" w:hAnsi="微软雅黑" w:eastAsia="微软雅黑"/>
                <w:sz w:val="17"/>
              </w:rPr>
              <w:t>收入</w:t>
            </w:r>
            <w:r>
              <w:rPr>
                <w:rFonts w:eastAsia="微软雅黑" w:ascii="微软雅黑" w:hAnsi="微软雅黑"/>
                <w:sz w:val="17"/>
              </w:rPr>
              <w:t>/</w:t>
            </w:r>
            <w:r>
              <w:rPr>
                <w:rFonts w:ascii="微软雅黑" w:hAnsi="微软雅黑" w:eastAsia="微软雅黑"/>
                <w:sz w:val="17"/>
              </w:rPr>
              <w:t>利润率</w:t>
            </w:r>
            <w:r>
              <w:rPr>
                <w:rFonts w:eastAsia="微软雅黑" w:ascii="微软雅黑" w:hAnsi="微软雅黑"/>
                <w:sz w:val="17"/>
              </w:rPr>
              <w:t>/</w:t>
            </w:r>
            <w:r>
              <w:rPr>
                <w:rFonts w:ascii="微软雅黑" w:hAnsi="微软雅黑" w:eastAsia="微软雅黑"/>
                <w:sz w:val="17"/>
              </w:rPr>
              <w:t>税率</w:t>
            </w:r>
            <w:r>
              <w:rPr>
                <w:rFonts w:eastAsia="微软雅黑" w:ascii="微软雅黑" w:hAnsi="微软雅黑"/>
                <w:sz w:val="17"/>
              </w:rPr>
              <w:t>/</w:t>
            </w:r>
            <w:r>
              <w:rPr>
                <w:rFonts w:ascii="微软雅黑" w:hAnsi="微软雅黑" w:eastAsia="微软雅黑"/>
                <w:sz w:val="17"/>
              </w:rPr>
              <w:t>股数</w:t>
            </w:r>
            <w:r>
              <w:rPr>
                <w:rFonts w:eastAsia="微软雅黑" w:ascii="微软雅黑" w:hAnsi="微软雅黑"/>
                <w:sz w:val="17"/>
              </w:rPr>
              <w:t>/</w:t>
            </w:r>
            <w:r>
              <w:rPr>
                <w:rFonts w:ascii="微软雅黑" w:hAnsi="微软雅黑" w:eastAsia="微软雅黑"/>
                <w:sz w:val="17"/>
              </w:rPr>
              <w:t>罚款保留</w:t>
            </w:r>
            <w:r>
              <w:rPr>
                <w:rFonts w:eastAsia="微软雅黑" w:ascii="微软雅黑" w:hAnsi="微软雅黑"/>
                <w:sz w:val="17"/>
              </w:rPr>
              <w:t>/PE/FX</w:t>
            </w:r>
            <w:r>
              <w:rPr>
                <w:rFonts w:ascii="微软雅黑" w:hAnsi="微软雅黑" w:eastAsia="微软雅黑"/>
                <w:sz w:val="17"/>
              </w:rPr>
              <w:t>）</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中（公开转载，机构目标期限未知不补造）</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+46.03%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+53.72%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+61.40%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+70.90%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+79.45%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+127.32%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+139.29%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+151.25%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+172.85%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+201.57%</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结论卡与推荐条件</w:t>
      </w:r>
    </w:p>
    <w:p>
      <w:pPr>
        <w:pStyle w:val="Normal"/>
        <w:rPr/>
      </w:pPr>
      <w:r>
        <w:rPr/>
        <w:t>携程有成熟旅游供给、交易和履约基础，国际平台及入境旅游仍有较好成长机会。当前研究价值是监管后常态盈利与股价重估之间的差距，最需要警惕的误判是把</w:t>
      </w:r>
      <w:r>
        <w:rPr/>
        <w:t>2025</w:t>
      </w:r>
      <w:r>
        <w:rPr/>
        <w:t>年仍含大额投资收益的</w:t>
      </w:r>
      <w:r>
        <w:rPr/>
        <w:t>non-GAAP</w:t>
      </w:r>
      <w:r>
        <w:rPr/>
        <w:t>利润当经常盈利，或者把</w:t>
      </w:r>
      <w:r>
        <w:rPr/>
        <w:t>52</w:t>
      </w:r>
      <w:r>
        <w:rPr/>
        <w:t>亿元反垄断罚款从调整利润剔除后当现金成本不存在。</w:t>
      </w:r>
    </w:p>
    <w:p>
      <w:pPr>
        <w:pStyle w:val="Normal"/>
        <w:rPr/>
      </w:pPr>
      <w:r>
        <w:rPr/>
        <w:t>半年、一年、三年、五年评分</w:t>
      </w:r>
      <w:r>
        <w:rPr/>
        <w:t>59.6</w:t>
      </w:r>
      <w:r>
        <w:rPr/>
        <w:t>、</w:t>
      </w:r>
      <w:r>
        <w:rPr/>
        <w:t>69.1</w:t>
      </w:r>
      <w:r>
        <w:rPr/>
        <w:t>、</w:t>
      </w:r>
      <w:r>
        <w:rPr/>
        <w:t>76.5</w:t>
      </w:r>
      <w:r>
        <w:rPr/>
        <w:t>、</w:t>
      </w:r>
      <w:r>
        <w:rPr/>
        <w:t>77.3</w:t>
      </w:r>
      <w:r>
        <w:rPr/>
        <w:t>分，分别属时机待确认、有条件进取、较优成长候选、较优成长候选。四榜实际名次由总表统一比较，这里只表达证据条件。现价处于中短期下降结构，半年技术评分较低；三至五年价值依赖国际增长与监管后平台经济性，不保证股价随时间自动回升。</w:t>
      </w:r>
    </w:p>
    <w:p>
      <w:pPr>
        <w:pStyle w:val="Normal"/>
        <w:rPr/>
      </w:pPr>
      <w:r>
        <w:rPr/>
        <w:t>年底悲观、基准、乐观价格</w:t>
      </w:r>
      <w:r>
        <w:rPr/>
        <w:t>212.45</w:t>
      </w:r>
      <w:r>
        <w:rPr/>
        <w:t>、</w:t>
      </w:r>
      <w:r>
        <w:rPr/>
        <w:t>431.54</w:t>
      </w:r>
      <w:r>
        <w:rPr/>
        <w:t>、</w:t>
      </w:r>
      <w:r>
        <w:rPr/>
        <w:t>702.27</w:t>
      </w:r>
      <w:r>
        <w:rPr/>
        <w:t>港元，相对现价负</w:t>
      </w:r>
      <w:r>
        <w:rPr/>
        <w:t>30.21%</w:t>
      </w:r>
      <w:r>
        <w:rPr/>
        <w:t>、正</w:t>
      </w:r>
      <w:r>
        <w:rPr/>
        <w:t>41.77%</w:t>
      </w:r>
      <w:r>
        <w:rPr/>
        <w:t>、正</w:t>
      </w:r>
      <w:r>
        <w:rPr/>
        <w:t>130.71%</w:t>
      </w:r>
      <w:r>
        <w:rPr/>
        <w:t>；半年</w:t>
      </w:r>
      <w:r>
        <w:rPr/>
        <w:t>212.45</w:t>
      </w:r>
      <w:r>
        <w:rPr/>
        <w:t>、</w:t>
      </w:r>
      <w:r>
        <w:rPr/>
        <w:t>467.91</w:t>
      </w:r>
      <w:r>
        <w:rPr/>
        <w:t>、</w:t>
      </w:r>
      <w:r>
        <w:rPr/>
        <w:t>829.16</w:t>
      </w:r>
      <w:r>
        <w:rPr/>
        <w:t>港元，负</w:t>
      </w:r>
      <w:r>
        <w:rPr/>
        <w:t>30.21%</w:t>
      </w:r>
      <w:r>
        <w:rPr/>
        <w:t>、正</w:t>
      </w:r>
      <w:r>
        <w:rPr/>
        <w:t>53.72%</w:t>
      </w:r>
      <w:r>
        <w:rPr/>
        <w:t>、正</w:t>
      </w:r>
      <w:r>
        <w:rPr/>
        <w:t>172.39%</w:t>
      </w:r>
      <w:r>
        <w:rPr/>
        <w:t>；一年</w:t>
      </w:r>
      <w:r>
        <w:rPr/>
        <w:t>197.68</w:t>
      </w:r>
      <w:r>
        <w:rPr/>
        <w:t>、</w:t>
      </w:r>
      <w:r>
        <w:rPr/>
        <w:t>519.23</w:t>
      </w:r>
      <w:r>
        <w:rPr/>
        <w:t>、</w:t>
      </w:r>
      <w:r>
        <w:rPr/>
        <w:t>936.90</w:t>
      </w:r>
      <w:r>
        <w:rPr/>
        <w:t>港元，负</w:t>
      </w:r>
      <w:r>
        <w:rPr/>
        <w:t>35.06%</w:t>
      </w:r>
      <w:r>
        <w:rPr/>
        <w:t>、正</w:t>
      </w:r>
      <w:r>
        <w:rPr/>
        <w:t>70.57%</w:t>
      </w:r>
      <w:r>
        <w:rPr/>
        <w:t>、正</w:t>
      </w:r>
      <w:r>
        <w:rPr/>
        <w:t>207.79%</w:t>
      </w:r>
      <w:r>
        <w:rPr/>
        <w:t>。三年</w:t>
      </w:r>
      <w:r>
        <w:rPr/>
        <w:t>170.29</w:t>
      </w:r>
      <w:r>
        <w:rPr/>
        <w:t>、</w:t>
      </w:r>
      <w:r>
        <w:rPr/>
        <w:t>723.39</w:t>
      </w:r>
      <w:r>
        <w:rPr/>
        <w:t>、</w:t>
      </w:r>
      <w:r>
        <w:rPr/>
        <w:t>1532.44</w:t>
      </w:r>
      <w:r>
        <w:rPr/>
        <w:t>港元，负</w:t>
      </w:r>
      <w:r>
        <w:rPr/>
        <w:t>44.06%</w:t>
      </w:r>
      <w:r>
        <w:rPr/>
        <w:t>、正</w:t>
      </w:r>
      <w:r>
        <w:rPr/>
        <w:t>137.64%</w:t>
      </w:r>
      <w:r>
        <w:rPr/>
        <w:t>、正</w:t>
      </w:r>
      <w:r>
        <w:rPr/>
        <w:t>403.43%</w:t>
      </w:r>
      <w:r>
        <w:rPr/>
        <w:t>；五年</w:t>
      </w:r>
      <w:r>
        <w:rPr/>
        <w:t>135.75</w:t>
      </w:r>
      <w:r>
        <w:rPr/>
        <w:t>、</w:t>
      </w:r>
      <w:r>
        <w:rPr/>
        <w:t>864.27</w:t>
      </w:r>
      <w:r>
        <w:rPr/>
        <w:t>、</w:t>
      </w:r>
      <w:r>
        <w:rPr/>
        <w:t>2154.58</w:t>
      </w:r>
      <w:r>
        <w:rPr/>
        <w:t>港元，负</w:t>
      </w:r>
      <w:r>
        <w:rPr/>
        <w:t>55.40%</w:t>
      </w:r>
      <w:r>
        <w:rPr/>
        <w:t>、正</w:t>
      </w:r>
      <w:r>
        <w:rPr/>
        <w:t>183.93%</w:t>
      </w:r>
      <w:r>
        <w:rPr/>
        <w:t>、正</w:t>
      </w:r>
      <w:r>
        <w:rPr/>
        <w:t>607.81%</w:t>
      </w:r>
      <w:r>
        <w:rPr/>
        <w:t>。</w:t>
      </w:r>
    </w:p>
    <w:p>
      <w:pPr>
        <w:pStyle w:val="Normal"/>
        <w:rPr/>
      </w:pPr>
      <w:r>
        <w:rPr/>
        <w:t>全部价格来自正常收入与经营利润率、税、股数和</w:t>
      </w:r>
      <w:r>
        <w:rPr/>
        <w:t>PE</w:t>
      </w:r>
      <w:r>
        <w:rPr/>
        <w:t>的情景，扣一次</w:t>
      </w:r>
      <w:r>
        <w:rPr/>
        <w:t>51.8</w:t>
      </w:r>
      <w:r>
        <w:rPr/>
        <w:t>亿元罚款资本价值预留，不是机构预测或统计区间。年底</w:t>
      </w:r>
      <w:r>
        <w:rPr/>
        <w:t>25%</w:t>
      </w:r>
      <w:r>
        <w:rPr/>
        <w:t>、</w:t>
      </w:r>
      <w:r>
        <w:rPr/>
        <w:t>50%</w:t>
      </w:r>
      <w:r>
        <w:rPr/>
        <w:t>、</w:t>
      </w:r>
      <w:r>
        <w:rPr/>
        <w:t>25%</w:t>
      </w:r>
      <w:r>
        <w:rPr/>
        <w:t>权重期望价</w:t>
      </w:r>
      <w:r>
        <w:rPr/>
        <w:t>444.45</w:t>
      </w:r>
      <w:r>
        <w:rPr/>
        <w:t>港元、回报</w:t>
      </w:r>
      <w:r>
        <w:rPr/>
        <w:t>46.01%</w:t>
      </w:r>
      <w:r>
        <w:rPr/>
        <w:t>，偏高的期望受乐观端宽度影响。核心条件是旅游需求、合作规则和国际增长形成可持续利润，且现金、股数与营销费用可控；如条件被推翻，目标及评分须重算。</w:t>
      </w:r>
    </w:p>
    <w:p>
      <w:pPr>
        <w:pStyle w:val="Heading2"/>
        <w:rPr/>
      </w:pPr>
      <w:r>
        <w:rPr>
          <w:color w:val="000000"/>
        </w:rPr>
        <w:t>一 旅游平台经济与携程的价值来源</w:t>
      </w:r>
    </w:p>
    <w:p>
      <w:pPr>
        <w:pStyle w:val="Normal"/>
        <w:rPr/>
      </w:pPr>
      <w:r>
        <w:rPr/>
        <w:t>携程连接旅客、酒店、航空铁路、目的地与企业差旅，主要价值是帮助消费者找到可用产品、比较价格和规则、完成支付与预订，并在变化时提供履约支持。旅行消费跨越不同供应商、时区与服务环节，可靠的库存、售后和改签处理形成进入壁垒。平台有规模优势，但不直接控制所有供应的定价与容量，也无法消除天气、政策和地缘造成的出行中断。</w:t>
      </w:r>
    </w:p>
    <w:p>
      <w:pPr>
        <w:pStyle w:val="Normal"/>
        <w:rPr/>
      </w:pPr>
      <w:r>
        <w:rPr/>
        <w:t>集团品牌含携程、去哪儿、</w:t>
      </w:r>
      <w:r>
        <w:rPr/>
        <w:t>Trip.com</w:t>
      </w:r>
      <w:r>
        <w:rPr/>
        <w:t>和</w:t>
      </w:r>
      <w:r>
        <w:rPr/>
        <w:t>Skyscanner</w:t>
      </w:r>
      <w:r>
        <w:rPr/>
        <w:t>，面对不同价格偏好、地区与使用场景。多品牌可覆盖更广客户，亦可能带来资源重叠和内部竞争。用户可以使用平台查询后转到航空酒店直销，也可以在不同渠道比较。长期利润取决于平台提供的增量价值能否支持佣金与服务收费，不能仅凭预订规模证明强定价权。</w:t>
      </w:r>
    </w:p>
    <w:p>
      <w:pPr>
        <w:pStyle w:val="Normal"/>
        <w:rPr/>
      </w:pPr>
      <w:r>
        <w:rPr/>
        <w:t>旅游具有非必需但深受生活方式支持的特征，需求随收入、休假、交通、签证与安全环境变化。休闲、商务、入境和国际客源不同，可以分散部分单一市场风险，但大范围冲击仍可使多个业务同时受压。平台的轻设备资本模式优于直接持有酒店机队，却仍需要客服、研发、市场投入和运营资金，不能称零资本或零履约责任。</w:t>
      </w:r>
    </w:p>
    <w:p>
      <w:pPr>
        <w:pStyle w:val="Normal"/>
        <w:rPr/>
      </w:pPr>
      <w:r>
        <w:rPr/>
        <w:t>本研究围绕核心旅行经营盈利建模，金融和联营只作有限税后贡献，既不把投资处置收益年化，也不追加全部现金和投资市值。人工智能提高匹配和服务的可能性有价值，但公司不依赖大型基础模型训练回报才能维持主要业务。判断应看旅行平台价值是否增强，而不是将泛人工智能主题直接换成高倍数。</w:t>
      </w:r>
    </w:p>
    <w:p>
      <w:pPr>
        <w:pStyle w:val="Heading2"/>
        <w:rPr/>
      </w:pPr>
      <w:r>
        <w:rPr>
          <w:color w:val="000000"/>
        </w:rPr>
        <w:t>二 历史恢复与正常盈利的锚</w:t>
      </w:r>
    </w:p>
    <w:p>
      <w:pPr>
        <w:pStyle w:val="Normal"/>
        <w:rPr/>
      </w:pPr>
      <w:r>
        <w:rPr/>
        <w:t>年报列示</w:t>
      </w:r>
      <w:r>
        <w:rPr/>
        <w:t>2023</w:t>
      </w:r>
      <w:r>
        <w:rPr/>
        <w:t>、</w:t>
      </w:r>
      <w:r>
        <w:rPr/>
        <w:t>2024</w:t>
      </w:r>
      <w:r>
        <w:rPr/>
        <w:t>、</w:t>
      </w:r>
      <w:r>
        <w:rPr/>
        <w:t>2025</w:t>
      </w:r>
      <w:r>
        <w:rPr/>
        <w:t>年净收入</w:t>
      </w:r>
      <w:r>
        <w:rPr/>
        <w:t>445.10</w:t>
      </w:r>
      <w:r>
        <w:rPr/>
        <w:t>、</w:t>
      </w:r>
      <w:r>
        <w:rPr/>
        <w:t>532.94</w:t>
      </w:r>
      <w:r>
        <w:rPr/>
        <w:t>、</w:t>
      </w:r>
      <w:r>
        <w:rPr/>
        <w:t>624.09</w:t>
      </w:r>
      <w:r>
        <w:rPr/>
        <w:t>亿元，经营利润</w:t>
      </w:r>
      <w:r>
        <w:rPr/>
        <w:t>113.24</w:t>
      </w:r>
      <w:r>
        <w:rPr/>
        <w:t>、</w:t>
      </w:r>
      <w:r>
        <w:rPr/>
        <w:t>141.77</w:t>
      </w:r>
      <w:r>
        <w:rPr/>
        <w:t>、</w:t>
      </w:r>
      <w:r>
        <w:rPr/>
        <w:t>157.73</w:t>
      </w:r>
      <w:r>
        <w:rPr/>
        <w:t>亿元。连续恢复与增长提供历史经营基础，但利润增长慢于某些收入增速，销售营销与产品投入明显增加。旅游从低基数恢复后，不能假设每年沿用重启阶段增长率，成熟业务与新客源须分别理解。</w:t>
      </w:r>
    </w:p>
    <w:p>
      <w:pPr>
        <w:pStyle w:val="Normal"/>
        <w:rPr/>
      </w:pPr>
      <w:r>
        <w:rPr/>
        <w:t>2025</w:t>
      </w:r>
      <w:r>
        <w:rPr/>
        <w:t>年法定归母净利润</w:t>
      </w:r>
      <w:r>
        <w:rPr/>
        <w:t>332.94</w:t>
      </w:r>
      <w:r>
        <w:rPr/>
        <w:t>亿元、摊薄</w:t>
      </w:r>
      <w:r>
        <w:rPr/>
        <w:t>EPS47.67</w:t>
      </w:r>
      <w:r>
        <w:rPr/>
        <w:t>元，</w:t>
      </w:r>
      <w:r>
        <w:rPr/>
        <w:t>non-GAAP</w:t>
      </w:r>
      <w:r>
        <w:rPr/>
        <w:t>净利润约</w:t>
      </w:r>
      <w:r>
        <w:rPr/>
        <w:t>318</w:t>
      </w:r>
      <w:r>
        <w:rPr/>
        <w:t>亿元、</w:t>
      </w:r>
      <w:r>
        <w:rPr/>
        <w:t>EPS45.59</w:t>
      </w:r>
      <w:r>
        <w:rPr/>
        <w:t>元。两个利润看起来都很高，但年度披露明确</w:t>
      </w:r>
      <w:r>
        <w:rPr/>
        <w:t>non-GAAP</w:t>
      </w:r>
      <w:r>
        <w:rPr/>
        <w:t>仍含约</w:t>
      </w:r>
      <w:r>
        <w:rPr/>
        <w:t>159</w:t>
      </w:r>
      <w:r>
        <w:rPr/>
        <w:t>亿元其他投资相关收益。年报显示出售</w:t>
      </w:r>
      <w:r>
        <w:rPr/>
        <w:t>MakeMyTrip</w:t>
      </w:r>
      <w:r>
        <w:rPr/>
        <w:t>约</w:t>
      </w:r>
      <w:r>
        <w:rPr/>
        <w:t>3400</w:t>
      </w:r>
      <w:r>
        <w:rPr/>
        <w:t>万</w:t>
      </w:r>
      <w:r>
        <w:rPr/>
        <w:t>B</w:t>
      </w:r>
      <w:r>
        <w:rPr/>
        <w:t>类股份、总价</w:t>
      </w:r>
      <w:r>
        <w:rPr/>
        <w:t>30</w:t>
      </w:r>
      <w:r>
        <w:rPr/>
        <w:t>亿美元，获得约</w:t>
      </w:r>
      <w:r>
        <w:rPr/>
        <w:t>152</w:t>
      </w:r>
      <w:r>
        <w:rPr/>
        <w:t>亿元处置增益。它是资本交易结果，不是旅行平台每年可以重复的佣金。</w:t>
      </w:r>
    </w:p>
    <w:p>
      <w:pPr>
        <w:pStyle w:val="Normal"/>
        <w:rPr/>
      </w:pPr>
      <w:r>
        <w:rPr/>
        <w:t>如果直接用</w:t>
      </w:r>
      <w:r>
        <w:rPr/>
        <w:t>45.59</w:t>
      </w:r>
      <w:r>
        <w:rPr/>
        <w:t>元、</w:t>
      </w:r>
      <w:r>
        <w:rPr/>
        <w:t>1.10</w:t>
      </w:r>
      <w:r>
        <w:rPr/>
        <w:t>汇率估值，现价</w:t>
      </w:r>
      <w:r>
        <w:rPr/>
        <w:t>PE</w:t>
      </w:r>
      <w:r>
        <w:rPr/>
        <w:t>只有</w:t>
      </w:r>
      <w:r>
        <w:rPr/>
        <w:t>6.07</w:t>
      </w:r>
      <w:r>
        <w:rPr/>
        <w:t>倍，容易得出极端便宜的印象。将年度约</w:t>
      </w:r>
      <w:r>
        <w:rPr/>
        <w:t>159</w:t>
      </w:r>
      <w:r>
        <w:rPr/>
        <w:t>亿元非经常其他投资收益粗略剥离，剩余利润约</w:t>
      </w:r>
      <w:r>
        <w:rPr/>
        <w:t>159</w:t>
      </w:r>
      <w:r>
        <w:rPr/>
        <w:t>亿元，对约</w:t>
      </w:r>
      <w:r>
        <w:rPr/>
        <w:t>6.98</w:t>
      </w:r>
      <w:r>
        <w:rPr/>
        <w:t>亿股给出</w:t>
      </w:r>
      <w:r>
        <w:rPr/>
        <w:t>EPS</w:t>
      </w:r>
      <w:r>
        <w:rPr/>
        <w:t>约</w:t>
      </w:r>
      <w:r>
        <w:rPr/>
        <w:t>22.8</w:t>
      </w:r>
      <w:r>
        <w:rPr/>
        <w:t>元、</w:t>
      </w:r>
      <w:r>
        <w:rPr/>
        <w:t>PE</w:t>
      </w:r>
      <w:r>
        <w:rPr/>
        <w:t>约</w:t>
      </w:r>
      <w:r>
        <w:rPr/>
        <w:t>12</w:t>
      </w:r>
      <w:r>
        <w:rPr/>
        <w:t>倍，但处置税、联营和准确股数仍需桥接，这只是提醒而不是正式调整年度</w:t>
      </w:r>
      <w:r>
        <w:rPr/>
        <w:t>EPS</w:t>
      </w:r>
      <w:r>
        <w:rPr/>
        <w:t>。主模型选择经营利润桥，避免在调整指标里再次遗漏一次性投资收益。</w:t>
      </w:r>
    </w:p>
    <w:p>
      <w:pPr>
        <w:pStyle w:val="Normal"/>
        <w:rPr/>
      </w:pPr>
      <w:r>
        <w:rPr/>
        <w:t>2026</w:t>
      </w:r>
      <w:r>
        <w:rPr/>
        <w:t>年上半年净收入</w:t>
      </w:r>
      <w:r>
        <w:rPr/>
        <w:t>318.71</w:t>
      </w:r>
      <w:r>
        <w:rPr/>
        <w:t>亿元，同比增长</w:t>
      </w:r>
      <w:r>
        <w:rPr/>
        <w:t>11.15%</w:t>
      </w:r>
      <w:r>
        <w:rPr/>
        <w:t>；</w:t>
      </w:r>
      <w:r>
        <w:rPr/>
        <w:t>non-GAAP</w:t>
      </w:r>
      <w:r>
        <w:rPr/>
        <w:t>归母</w:t>
      </w:r>
      <w:r>
        <w:rPr/>
        <w:t>87.03</w:t>
      </w:r>
      <w:r>
        <w:rPr/>
        <w:t>亿元，同比</w:t>
      </w:r>
      <w:r>
        <w:rPr/>
        <w:t>91.99</w:t>
      </w:r>
      <w:r>
        <w:rPr/>
        <w:t>亿元下降约</w:t>
      </w:r>
      <w:r>
        <w:rPr/>
        <w:t>5.39%</w:t>
      </w:r>
      <w:r>
        <w:rPr/>
        <w:t>，</w:t>
      </w:r>
      <w:r>
        <w:rPr/>
        <w:t>EPS12.98</w:t>
      </w:r>
      <w:r>
        <w:rPr/>
        <w:t>元，同比</w:t>
      </w:r>
      <w:r>
        <w:rPr/>
        <w:t>13.16</w:t>
      </w:r>
      <w:r>
        <w:rPr/>
        <w:t>下降约</w:t>
      </w:r>
      <w:r>
        <w:rPr/>
        <w:t>1.37%</w:t>
      </w:r>
      <w:r>
        <w:rPr/>
        <w:t>。股数缩减帮助每股表现，但利润并未随收入高速增长。法定上半年归母仅</w:t>
      </w:r>
      <w:r>
        <w:rPr/>
        <w:t>0.41</w:t>
      </w:r>
      <w:r>
        <w:rPr/>
        <w:t>亿元，被罚款及投资联营等影响。研究要区别核心规模增长、利润率变化与股东每股回报。</w:t>
      </w:r>
    </w:p>
    <w:p>
      <w:pPr>
        <w:pStyle w:val="Heading2"/>
        <w:rPr/>
      </w:pPr>
      <w:r>
        <w:rPr>
          <w:color w:val="000000"/>
        </w:rPr>
        <w:t>三 住宿预订与酒店合作规则</w:t>
      </w:r>
    </w:p>
    <w:p>
      <w:pPr>
        <w:pStyle w:val="Normal"/>
        <w:rPr/>
      </w:pPr>
      <w:r>
        <w:rPr/>
        <w:t>2025</w:t>
      </w:r>
      <w:r>
        <w:rPr/>
        <w:t>年住宿预订收入约</w:t>
      </w:r>
      <w:r>
        <w:rPr/>
        <w:t>261</w:t>
      </w:r>
      <w:r>
        <w:rPr/>
        <w:t>亿元、占集团</w:t>
      </w:r>
      <w:r>
        <w:rPr/>
        <w:t>42%</w:t>
      </w:r>
      <w:r>
        <w:rPr/>
        <w:t>，是利润分析的核心。公司主要从酒店合作佣金取得收入，在预订不可取消、履约义务满足时确认，故预订量与财报收入可能存在时差。价格、入住量、取消率、佣金和产品组合都会影响收入，不能仅根据全国酒店间夜增长推导携程佣金同比。</w:t>
      </w:r>
    </w:p>
    <w:p>
      <w:pPr>
        <w:pStyle w:val="Normal"/>
        <w:rPr/>
      </w:pPr>
      <w:r>
        <w:rPr/>
        <w:t>六月住宿收入</w:t>
      </w:r>
      <w:r>
        <w:rPr/>
        <w:t>65.76</w:t>
      </w:r>
      <w:r>
        <w:rPr/>
        <w:t>亿元，同比增长约</w:t>
      </w:r>
      <w:r>
        <w:rPr/>
        <w:t>6%</w:t>
      </w:r>
      <w:r>
        <w:rPr/>
        <w:t>，包括监管相关</w:t>
      </w:r>
      <w:r>
        <w:rPr/>
        <w:t>1.22</w:t>
      </w:r>
      <w:r>
        <w:rPr/>
        <w:t>亿元收入抵减，电话会称剔除该项约增长</w:t>
      </w:r>
      <w:r>
        <w:rPr/>
        <w:t>8%</w:t>
      </w:r>
      <w:r>
        <w:rPr/>
        <w:t>。实际财报净额必须保留，可比增速用于解释经营。收入抵减与</w:t>
      </w:r>
      <w:r>
        <w:rPr/>
        <w:t>51.8</w:t>
      </w:r>
      <w:r>
        <w:rPr/>
        <w:t>亿元罚款是不同财务行，不能把两者合成后同时在利润、现金和估值重复扣减，也不能因公司称一次性就忽略合作模式后续变化。</w:t>
      </w:r>
    </w:p>
    <w:p>
      <w:pPr>
        <w:pStyle w:val="Normal"/>
        <w:rPr/>
      </w:pPr>
      <w:r>
        <w:rPr/>
        <w:t>新合作框架强调开放、透明与价值创造，管理层认为有助可持续伙伴关系。平台提供需求、技术和服务，酒店愿意支付合理费用的前提是得到真实增量；如果监管要求更低抽成或更多商家选择权，佣金可能下降。与此同时更开放的生态可增强信任和供给留存。研究不能只选利好或利空，应观察有效抽成、交易质量、营销投入和正常经营利润。</w:t>
      </w:r>
    </w:p>
    <w:p>
      <w:pPr>
        <w:pStyle w:val="Normal"/>
        <w:rPr/>
      </w:pPr>
      <w:r>
        <w:rPr/>
        <w:t>投行转述估计抽成率微降若干百分点的分数，不是公司公开的完整佣金表。本研究不补造各酒店等级费率，不把转载的估计当监管硬性规则。模型年底基准正常</w:t>
      </w:r>
      <w:r>
        <w:rPr/>
        <w:t>EBIT</w:t>
      </w:r>
      <w:r>
        <w:rPr/>
        <w:t>率</w:t>
      </w:r>
      <w:r>
        <w:rPr/>
        <w:t>28%</w:t>
      </w:r>
      <w:r>
        <w:rPr/>
        <w:t>、一年</w:t>
      </w:r>
      <w:r>
        <w:rPr/>
        <w:t>30%</w:t>
      </w:r>
      <w:r>
        <w:rPr/>
        <w:t>，给合作规则适应留下成本；若持续费率压力大于效率收益，利润率必须下调，即使住宿量仍增长。</w:t>
      </w:r>
    </w:p>
    <w:p>
      <w:pPr>
        <w:pStyle w:val="Heading2"/>
        <w:rPr/>
      </w:pPr>
      <w:r>
        <w:rPr>
          <w:color w:val="000000"/>
        </w:rPr>
        <w:t>四 酒店供给 服务与平台竞争</w:t>
      </w:r>
    </w:p>
    <w:p>
      <w:pPr>
        <w:pStyle w:val="Normal"/>
        <w:rPr/>
      </w:pPr>
      <w:r>
        <w:rPr/>
        <w:t>携程供给网络和高频交易数据能够帮助用户找酒店，也能帮助酒店获客和运营。供给丰富可降低用户搜索成本，服务可靠可提高复购，尤其在复杂和跨境行程。高价值用户的服务要求也更高，退款、投诉、房型确认和不确定交付会增加成本，不能把高客单全部看作高利润。</w:t>
      </w:r>
    </w:p>
    <w:p>
      <w:pPr>
        <w:pStyle w:val="Normal"/>
        <w:rPr/>
      </w:pPr>
      <w:r>
        <w:rPr/>
        <w:t>平台与酒店既合作也竞争，酒店直销会员、其他平台和内容渠道都可能争取同一旅客。平台若提高佣金但不能增加生意，酒店有迁移动力；若压低费用却保留重服务，平台利润受压。可持续均衡是让消费者和供应商都得到明确价值，监管框架变化后更需要商业质量证明。</w:t>
      </w:r>
    </w:p>
    <w:p>
      <w:pPr>
        <w:pStyle w:val="Normal"/>
        <w:rPr/>
      </w:pPr>
      <w:r>
        <w:rPr/>
        <w:t>连锁酒店有品牌和直销体系，单体酒店可能更依赖平台曝光，地区和档次的佣金经济不同。酒店供给扩张可能降低房价，间夜增加却平台收入增长有限；供给紧张时房价上涨也可能压低出行量。研究模型使用净收入增长和利润率，而不是统一给所有酒店订单固定金额，再外推平台价值。</w:t>
      </w:r>
    </w:p>
    <w:p>
      <w:pPr>
        <w:pStyle w:val="Normal"/>
        <w:rPr/>
      </w:pPr>
      <w:r>
        <w:rPr/>
        <w:t>长期优势还来自库存接口、售后标准、支付和商家工具，其建设需要时间。新渠道可以很快聚合信息，却要建立可靠履约关系。若人工智能入口吸引用户，携程可提供交易基础设施，也可能被压低获客端收益。平台供给优势不是免受入口变化的护城河，需要看收费和合作选择权如何变化。</w:t>
      </w:r>
    </w:p>
    <w:p>
      <w:pPr>
        <w:pStyle w:val="Heading2"/>
        <w:rPr/>
      </w:pPr>
      <w:r>
        <w:rPr>
          <w:color w:val="000000"/>
        </w:rPr>
        <w:t>五 交通票务与油价周期</w:t>
      </w:r>
    </w:p>
    <w:p>
      <w:pPr>
        <w:pStyle w:val="Normal"/>
        <w:rPr/>
      </w:pPr>
      <w:r>
        <w:rPr/>
        <w:t>2025</w:t>
      </w:r>
      <w:r>
        <w:rPr/>
        <w:t>年交通票务收入约</w:t>
      </w:r>
      <w:r>
        <w:rPr/>
        <w:t>225</w:t>
      </w:r>
      <w:r>
        <w:rPr/>
        <w:t>亿元、占集团</w:t>
      </w:r>
      <w:r>
        <w:rPr/>
        <w:t>36%</w:t>
      </w:r>
      <w:r>
        <w:rPr/>
        <w:t>；六月</w:t>
      </w:r>
      <w:r>
        <w:rPr/>
        <w:t>53.50</w:t>
      </w:r>
      <w:r>
        <w:rPr/>
        <w:t>亿元，同比下降约</w:t>
      </w:r>
      <w:r>
        <w:rPr/>
        <w:t>1%</w:t>
      </w:r>
      <w:r>
        <w:rPr/>
        <w:t>、环比下降约</w:t>
      </w:r>
      <w:r>
        <w:rPr/>
        <w:t>12%</w:t>
      </w:r>
      <w:r>
        <w:rPr/>
        <w:t>。公司解释能源价格和地缘波动影响。机票、高铁、航线和服务费的组合不同，票价上涨并不保证平台收入上涨，因为旅客可以缩短行程、换目的地或减少次数，平台收入还受收费方式和附加服务影响。</w:t>
      </w:r>
    </w:p>
    <w:p>
      <w:pPr>
        <w:pStyle w:val="Normal"/>
        <w:rPr/>
      </w:pPr>
      <w:r>
        <w:rPr/>
        <w:t>高燃油成本通常进入机票和附加费，尤其影响长途出境预算。铁路或短途航线可能获益，但旅客迁移也会改变平台单笔收入和服务成本。航空公司有直销渠道，部分旅客在比价后直接购买，平台需提供组合行程、售后和价格价值，不能依靠交通量自然取得固定份额。</w:t>
      </w:r>
    </w:p>
    <w:p>
      <w:pPr>
        <w:pStyle w:val="Normal"/>
        <w:rPr/>
      </w:pPr>
      <w:r>
        <w:rPr/>
        <w:t>地缘风险会影响航班供给、签证、保险和消费者信心，突发取消与改签还会增加客服负担。季度收入下滑可能具有周期成分，管理层预计压力缓和后潜在恢复，但此判断不是确定时间表。半年需要看需求和航线价格，一年需要看服务收入及利润率是否改善，长期则取决于平台在更复杂全球交通网络里的价值。</w:t>
      </w:r>
    </w:p>
    <w:p>
      <w:pPr>
        <w:pStyle w:val="Normal"/>
        <w:rPr/>
      </w:pPr>
      <w:r>
        <w:rPr/>
        <w:t>如果油价缓和、供给恢复，用户更容易出行，需求可能增加；票价下降也可能压低某些佣金收入，因此最终净影响须看量价与服务费。悲观模型未依赖油价大幅上升才成立，只要常态收费下降、获客成本提高或外部需求偏弱，收入与利润率就可能低于基准。</w:t>
      </w:r>
    </w:p>
    <w:p>
      <w:pPr>
        <w:pStyle w:val="Heading2"/>
        <w:rPr/>
      </w:pPr>
      <w:r>
        <w:rPr>
          <w:color w:val="000000"/>
        </w:rPr>
        <w:t>六 度假产品与企业差旅</w:t>
      </w:r>
    </w:p>
    <w:p>
      <w:pPr>
        <w:pStyle w:val="Normal"/>
        <w:rPr/>
      </w:pPr>
      <w:r>
        <w:rPr/>
        <w:t>六月打包旅游收入</w:t>
      </w:r>
      <w:r>
        <w:rPr/>
        <w:t>11.61</w:t>
      </w:r>
      <w:r>
        <w:rPr/>
        <w:t>亿元，同比增长</w:t>
      </w:r>
      <w:r>
        <w:rPr/>
        <w:t>8%</w:t>
      </w:r>
      <w:r>
        <w:rPr/>
        <w:t>，企业差旅</w:t>
      </w:r>
      <w:r>
        <w:rPr/>
        <w:t>7.71</w:t>
      </w:r>
      <w:r>
        <w:rPr/>
        <w:t>亿元，增长</w:t>
      </w:r>
      <w:r>
        <w:rPr/>
        <w:t>11%</w:t>
      </w:r>
      <w:r>
        <w:rPr/>
        <w:t>。度假产品整合酒店、交通和体验，客单可能更高，履约链更长，退改风险和服务费用也更高。企业差旅依赖企业预算、协议供应、费用管理与服务可靠性，其增长既来自出行需求，也来自企业外包和数字化管理。</w:t>
      </w:r>
    </w:p>
    <w:p>
      <w:pPr>
        <w:pStyle w:val="Normal"/>
        <w:rPr/>
      </w:pPr>
      <w:r>
        <w:rPr/>
        <w:t>定制旅行满足更个性化需求，公司电话会提到部分高端和定制预订增长，但不同基数、订单范围与确认时间未完整公开。不能把某细类订单</w:t>
      </w:r>
      <w:r>
        <w:rPr/>
        <w:t>600%</w:t>
      </w:r>
      <w:r>
        <w:rPr/>
        <w:t>增长套到整个度假收入。投资价值在于高质量供给能否带来稳定服务利润，以及获客、行程设计和售后人员成本是否得到覆盖。</w:t>
      </w:r>
    </w:p>
    <w:p>
      <w:pPr>
        <w:pStyle w:val="Normal"/>
        <w:rPr/>
      </w:pPr>
      <w:r>
        <w:rPr/>
        <w:t>商务出行对经济活动敏感，企业可以减少会议、改为线上，亦可在跨国业务恢复后增加旅行。差旅平台的审批和结算工具有黏性，却需要信贷、预付款和账期管理。现金流不能只按佣金利润估计，企业应收、供应商付款与客户结算时间都会影响运营资金。</w:t>
      </w:r>
    </w:p>
    <w:p>
      <w:pPr>
        <w:pStyle w:val="Normal"/>
        <w:rPr/>
      </w:pPr>
      <w:r>
        <w:rPr/>
        <w:t>这些业务在集团收入中比住宿和交通小，提供多样化与服务深度，也不能单独解释所有未来利润增长。三年模型收入</w:t>
      </w:r>
      <w:r>
        <w:rPr/>
        <w:t>950</w:t>
      </w:r>
      <w:r>
        <w:rPr/>
        <w:t>亿元需要多个业务与国际平台共同增长，不是把一个定制订单高增速复制到集团。若高端需求转弱或企业预算下降，度假和差旅的收入与利润贡献应同步调整。</w:t>
      </w:r>
    </w:p>
    <w:p>
      <w:pPr>
        <w:pStyle w:val="Heading2"/>
        <w:rPr/>
      </w:pPr>
      <w:r>
        <w:rPr>
          <w:color w:val="000000"/>
        </w:rPr>
        <w:t>七 国际平台成长与获客成本</w:t>
      </w:r>
    </w:p>
    <w:p>
      <w:pPr>
        <w:pStyle w:val="Normal"/>
        <w:rPr/>
      </w:pPr>
      <w:r>
        <w:rPr/>
        <w:t>六月国际</w:t>
      </w:r>
      <w:r>
        <w:rPr/>
        <w:t>OTA</w:t>
      </w:r>
      <w:r>
        <w:rPr/>
        <w:t>平台收入同比超过</w:t>
      </w:r>
      <w:r>
        <w:rPr/>
        <w:t>50%</w:t>
      </w:r>
      <w:r>
        <w:rPr/>
        <w:t>，是公司已披露的高增长部分。它服务世界各地用户与目的地，增长不全依赖中国出境，因此扩展可寻址市场。品牌、本地语言、支付、客服和供给需要逐市场建设，国际业务增长也可能由较低基数和持续营销驱动，不能把</w:t>
      </w:r>
      <w:r>
        <w:rPr/>
        <w:t>50%</w:t>
      </w:r>
      <w:r>
        <w:rPr/>
        <w:t>当永久增长率。</w:t>
      </w:r>
    </w:p>
    <w:p>
      <w:pPr>
        <w:pStyle w:val="Normal"/>
        <w:rPr/>
      </w:pPr>
      <w:r>
        <w:rPr/>
        <w:t>电话会称国际平台利润率改善，营销效率和运营能力有贡献，但没有给全部地区完整利润。集团销售营销费用六月</w:t>
      </w:r>
      <w:r>
        <w:rPr/>
        <w:t>38.41</w:t>
      </w:r>
      <w:r>
        <w:rPr/>
        <w:t>亿元，同比增长</w:t>
      </w:r>
      <w:r>
        <w:rPr/>
        <w:t>15%</w:t>
      </w:r>
      <w:r>
        <w:rPr/>
        <w:t>，明显高于集团收入增速；国际扩张是原因之一。研究须看营销后利润与客户复购，若高增长伴每年更高获客成本，长期价值小于收入规模所暗示。</w:t>
      </w:r>
    </w:p>
    <w:p>
      <w:pPr>
        <w:pStyle w:val="Normal"/>
        <w:rPr/>
      </w:pPr>
      <w:r>
        <w:rPr/>
        <w:t>全球旅游竞争包括其他大型</w:t>
      </w:r>
      <w:r>
        <w:rPr/>
        <w:t>OTA</w:t>
      </w:r>
      <w:r>
        <w:rPr/>
        <w:t>、搜索比价、酒店航空直销和地区平台。携程技术、供给与服务可以通过规模共享，但不同市场消费者认知和渠道成本不同。已有国内优势不自动复制到欧美，区域法规、支付习惯和商家议价改变利润率。乐观长期模型要求全球需求与高质量平台经济持续成立，不能只靠一次市场扩张。</w:t>
      </w:r>
    </w:p>
    <w:p>
      <w:pPr>
        <w:pStyle w:val="Normal"/>
        <w:rPr/>
      </w:pPr>
      <w:r>
        <w:rPr/>
        <w:t>品牌与供给投入形成长期资产的可能性可用复购、自然流量和订单质量观察。纯促销用户在优惠结束后流失，不应给予同样长期价值。当前缺少完整客户分层数据，模型通过收入与利润率范围表达，不给一个未公开的终身客户价值倍数。增长高并不保证合理投资回报，资本与费用纪律同样重要。</w:t>
      </w:r>
    </w:p>
    <w:p>
      <w:pPr>
        <w:pStyle w:val="Heading2"/>
        <w:rPr/>
      </w:pPr>
      <w:r>
        <w:rPr>
          <w:color w:val="000000"/>
        </w:rPr>
        <w:t>八 入境旅游 政策与服务能力</w:t>
      </w:r>
    </w:p>
    <w:p>
      <w:pPr>
        <w:pStyle w:val="Normal"/>
        <w:rPr/>
      </w:pPr>
      <w:r>
        <w:rPr/>
        <w:t>六月入境收入保持高双位数增长，公司预计未来几年扩大服务人数。入境旅游有结构机会，涉及签证便利、航班、支付、语言和目的地供给。政策改善降低摩擦，但旅游体验需要可预订产品、可靠交通、客服和当地服务，携程已有全球入口与国内供给有优势。</w:t>
      </w:r>
    </w:p>
    <w:p>
      <w:pPr>
        <w:pStyle w:val="Normal"/>
        <w:rPr/>
      </w:pPr>
      <w:r>
        <w:rPr/>
        <w:t>公司提出五年服务两亿入境游客的方向，本文不把该人数当已保证收入，更不乘固定消费金额作为估值。游客可使用多个平台，人数与平台可确认收入不同，重复旅行和服务范围也需定义。经营模型要看平台承担何种服务、收费与成本，以及地方供给改善是否形成实际交易。</w:t>
      </w:r>
    </w:p>
    <w:p>
      <w:pPr>
        <w:pStyle w:val="Normal"/>
        <w:rPr/>
      </w:pPr>
      <w:r>
        <w:rPr/>
        <w:t>入境客户偏好不同，涉及更多语言、支付和售后需求，客服成本可能高于国内标准订单。城市以外目的地扩张有助需求多样化，也提高库存、交通和服务整合复杂度。若平台能标准化高质量供给，有可持续竞争优势；若服务问题增加补偿和人力，规模增长未必改善利润。</w:t>
      </w:r>
    </w:p>
    <w:p>
      <w:pPr>
        <w:pStyle w:val="Normal"/>
        <w:rPr/>
      </w:pPr>
      <w:r>
        <w:rPr/>
        <w:t>对宏观而言，入境客源分散可以缓和国内消费弱势，但全球安全和航空成本仍重要，来源市场集中可能形成周期风险。三至五年基准接受结构增长，一年则需验证高基数和实际运营收益。若政策利好已经被预期，而收入增长低于预期，股价可能先调整，不能把长期空间当短期催化必然兑现。</w:t>
      </w:r>
    </w:p>
    <w:p>
      <w:pPr>
        <w:pStyle w:val="Heading2"/>
        <w:rPr/>
      </w:pPr>
      <w:r>
        <w:rPr>
          <w:color w:val="000000"/>
        </w:rPr>
        <w:t>九 人工智能对旅行入口的影响</w:t>
      </w:r>
    </w:p>
    <w:p>
      <w:pPr>
        <w:pStyle w:val="Normal"/>
        <w:rPr/>
      </w:pPr>
      <w:r>
        <w:rPr/>
        <w:t>公司披露</w:t>
      </w:r>
      <w:r>
        <w:rPr/>
        <w:t>TripGenie</w:t>
      </w:r>
      <w:r>
        <w:rPr/>
        <w:t>人工智能辅助订单同比约增长</w:t>
      </w:r>
      <w:r>
        <w:rPr/>
        <w:t>400%</w:t>
      </w:r>
      <w:r>
        <w:rPr/>
        <w:t>，近</w:t>
      </w:r>
      <w:r>
        <w:rPr/>
        <w:t>60%</w:t>
      </w:r>
      <w:r>
        <w:rPr/>
        <w:t>互动涉及预订，说明应用从灵感向交易扩展。这个增长属于特定功能指标，不是集团订单增长</w:t>
      </w:r>
      <w:r>
        <w:rPr/>
        <w:t>400%</w:t>
      </w:r>
      <w:r>
        <w:rPr/>
        <w:t>，也未披露其独立净收入。研究应问人工智能是否提高转化、节约客服和改善搜索，而不直接将互动数变成利润。</w:t>
      </w:r>
    </w:p>
    <w:p>
      <w:pPr>
        <w:pStyle w:val="Normal"/>
        <w:rPr/>
      </w:pPr>
      <w:r>
        <w:rPr/>
        <w:t>旅行建议和真实交易之间有复杂步骤：库存、价格、取消规则、付款、确认、履约和后续变化。通用模型能够提出行程，也可能信息过时或误解限制，平台的实时供给和服务有价值。携程可与新人工智能入口合作提供闭环，也可能因为流量被外部入口掌握而支付渠道费用。机会与议价风险同时存在。</w:t>
      </w:r>
    </w:p>
    <w:p>
      <w:pPr>
        <w:pStyle w:val="Normal"/>
        <w:rPr/>
      </w:pPr>
      <w:r>
        <w:rPr/>
        <w:t>公司说重点是应用开发和后训练，不是从零建设巨型基础模型，因此其</w:t>
      </w:r>
      <w:r>
        <w:rPr/>
        <w:t>AI</w:t>
      </w:r>
      <w:r>
        <w:rPr/>
        <w:t>资本开支逻辑不同于阿里云。即使成本较可控，推理调用、数据治理、模型采购和研发仍需支出；效率收益需要真实减成本或提高利润，不能把所有研发称未来资产而从当前利润里剔除。主模型在正常</w:t>
      </w:r>
      <w:r>
        <w:rPr/>
        <w:t>EBIT</w:t>
      </w:r>
      <w:r>
        <w:rPr/>
        <w:t>率中体现经营成本，乐观效率改善需验证。</w:t>
      </w:r>
    </w:p>
    <w:p>
      <w:pPr>
        <w:pStyle w:val="Normal"/>
        <w:rPr/>
      </w:pPr>
      <w:r>
        <w:rPr/>
        <w:t>长期若人工智能使比价更容易，消费者更频繁选择最低总价，平台佣金空间可能受压；同时搜索和服务效率改善可降低成本，提高转化。最终可持续利润取决于供给质量、交易可靠与服务价值，不只模型回答能力。评分将人工智能作为商业效率和竞争因素，不作为额外估值金额重复相加。</w:t>
      </w:r>
    </w:p>
    <w:p>
      <w:pPr>
        <w:pStyle w:val="Heading2"/>
        <w:rPr/>
      </w:pPr>
      <w:r>
        <w:rPr>
          <w:color w:val="000000"/>
        </w:rPr>
        <w:t>十 罚款 收入抵减和持续监管影响</w:t>
      </w:r>
    </w:p>
    <w:p>
      <w:pPr>
        <w:pStyle w:val="Normal"/>
        <w:rPr/>
      </w:pPr>
      <w:r>
        <w:rPr/>
        <w:t>官方</w:t>
      </w:r>
      <w:r>
        <w:rPr/>
        <w:t>6-K</w:t>
      </w:r>
      <w:r>
        <w:rPr/>
        <w:t>财表反垄断罚款精确为</w:t>
      </w:r>
      <w:r>
        <w:rPr/>
        <w:t>51.80</w:t>
      </w:r>
      <w:r>
        <w:rPr/>
        <w:t>亿元，新闻稿用</w:t>
      </w:r>
      <w:r>
        <w:rPr/>
        <w:t>52</w:t>
      </w:r>
      <w:r>
        <w:rPr/>
        <w:t>亿元四舍五入。公司网站电话会转录某回答写</w:t>
      </w:r>
      <w:r>
        <w:rPr/>
        <w:t>52.8</w:t>
      </w:r>
      <w:r>
        <w:rPr/>
        <w:t>亿元，与财表冲突，本文优先原财表，不使用矛盾转录数。同回答提住宿收入抵减</w:t>
      </w:r>
      <w:r>
        <w:rPr/>
        <w:t>1.22</w:t>
      </w:r>
      <w:r>
        <w:rPr/>
        <w:t>亿元，是另一个项目。资料核验必须保留差异，不能把不同口径相加制造更准确数字。</w:t>
      </w:r>
    </w:p>
    <w:p>
      <w:pPr>
        <w:pStyle w:val="Normal"/>
        <w:rPr/>
      </w:pPr>
      <w:r>
        <w:rPr/>
        <w:t>罚款剔除后六月法定归母约</w:t>
      </w:r>
      <w:r>
        <w:rPr/>
        <w:t>27.22</w:t>
      </w:r>
      <w:r>
        <w:rPr/>
        <w:t>亿元，但</w:t>
      </w:r>
      <w:r>
        <w:rPr/>
        <w:t>non-GAAP</w:t>
      </w:r>
      <w:r>
        <w:rPr/>
        <w:t>归母</w:t>
      </w:r>
      <w:r>
        <w:rPr/>
        <w:t>47.98</w:t>
      </w:r>
      <w:r>
        <w:rPr/>
        <w:t>亿元还剔除股份报酬、投资与可交换债公允价值变化及税效。因此</w:t>
      </w:r>
      <w:r>
        <w:rPr/>
        <w:t>47.98</w:t>
      </w:r>
      <w:r>
        <w:rPr/>
        <w:t>不是单纯去罚款后的结果，也不是把罚款已支付的证明。六月现金资源披露和公开财表未提供付款时点，本研究不能写已付清或尚未支付的确定状态。</w:t>
      </w:r>
    </w:p>
    <w:p>
      <w:pPr>
        <w:pStyle w:val="Normal"/>
        <w:rPr/>
      </w:pPr>
      <w:r>
        <w:rPr/>
        <w:t>估值对支付状态不明作</w:t>
      </w:r>
      <w:r>
        <w:rPr/>
        <w:t>51.8</w:t>
      </w:r>
      <w:r>
        <w:rPr/>
        <w:t>亿元单次资本价值预留，以研究股数换算每股约</w:t>
      </w:r>
      <w:r>
        <w:rPr/>
        <w:t>8</w:t>
      </w:r>
      <w:r>
        <w:rPr/>
        <w:t>至</w:t>
      </w:r>
      <w:r>
        <w:rPr/>
        <w:t>10</w:t>
      </w:r>
      <w:r>
        <w:rPr/>
        <w:t>港元，从</w:t>
      </w:r>
      <w:r>
        <w:rPr/>
        <w:t>EPS</w:t>
      </w:r>
      <w:r>
        <w:rPr/>
        <w:t>乘</w:t>
      </w:r>
      <w:r>
        <w:rPr/>
        <w:t>PE</w:t>
      </w:r>
      <w:r>
        <w:rPr/>
        <w:t>后的价格扣减。它不是每年从利润重复扣一笔罚款，亦不是在已减现金的模型上再次扣。当前</w:t>
      </w:r>
      <w:r>
        <w:rPr/>
        <w:t>PE</w:t>
      </w:r>
      <w:r>
        <w:rPr/>
        <w:t>模型不另加净现金，单独预留明确现金损失，若日后有完整现金桥证明重复反映须修订。该方法保守简化，现金损失事实与时点不确定都公开。</w:t>
      </w:r>
    </w:p>
    <w:p>
      <w:pPr>
        <w:pStyle w:val="Normal"/>
        <w:rPr/>
      </w:pPr>
      <w:r>
        <w:rPr/>
        <w:t>持续监管影响则进入收入、利润率与费用。合作规则改变可能影响佣金、营销、工具和平台透明成本，不能只说一次性罚款后风险结束。基准利润率较高要求平台价值仍足以支持收费；悲观降低利润率并减少增长。未来若规则适应改善商家关系，有利于长期质量，但必须用净收益与供给验证，不靠管理层积极表述。</w:t>
      </w:r>
    </w:p>
    <w:p>
      <w:pPr>
        <w:pStyle w:val="Heading2"/>
        <w:rPr/>
      </w:pPr>
      <w:r>
        <w:rPr>
          <w:color w:val="000000"/>
        </w:rPr>
        <w:t>十一 财务利润桥与费用质量</w:t>
      </w:r>
    </w:p>
    <w:p>
      <w:pPr>
        <w:pStyle w:val="Normal"/>
        <w:rPr/>
      </w:pPr>
      <w:r>
        <w:rPr/>
        <w:t>六月收入</w:t>
      </w:r>
      <w:r>
        <w:rPr/>
        <w:t>156.63</w:t>
      </w:r>
      <w:r>
        <w:rPr/>
        <w:t>亿元，收入成本</w:t>
      </w:r>
      <w:r>
        <w:rPr/>
        <w:t>31.60</w:t>
      </w:r>
      <w:r>
        <w:rPr/>
        <w:t>亿元、产品开发</w:t>
      </w:r>
      <w:r>
        <w:rPr/>
        <w:t>37.92</w:t>
      </w:r>
      <w:r>
        <w:rPr/>
        <w:t>亿元、销售营销</w:t>
      </w:r>
      <w:r>
        <w:rPr/>
        <w:t>38.41</w:t>
      </w:r>
      <w:r>
        <w:rPr/>
        <w:t>亿元、管理</w:t>
      </w:r>
      <w:r>
        <w:rPr/>
        <w:t>63.32</w:t>
      </w:r>
      <w:r>
        <w:rPr/>
        <w:t>亿元，法定经营亏损</w:t>
      </w:r>
      <w:r>
        <w:rPr/>
        <w:t>14.62</w:t>
      </w:r>
      <w:r>
        <w:rPr/>
        <w:t>亿元。管理费包含</w:t>
      </w:r>
      <w:r>
        <w:rPr/>
        <w:t>51.80</w:t>
      </w:r>
      <w:r>
        <w:rPr/>
        <w:t>亿元罚款，剔罚款后仍有</w:t>
      </w:r>
      <w:r>
        <w:rPr/>
        <w:t>11.52</w:t>
      </w:r>
      <w:r>
        <w:rPr/>
        <w:t>亿元左右。调整</w:t>
      </w:r>
      <w:r>
        <w:rPr/>
        <w:t>EBITDA45.65</w:t>
      </w:r>
      <w:r>
        <w:rPr/>
        <w:t>亿元，扣折旧摊销</w:t>
      </w:r>
      <w:r>
        <w:rPr/>
        <w:t>2</w:t>
      </w:r>
      <w:r>
        <w:rPr/>
        <w:t>亿元得研究调整</w:t>
      </w:r>
      <w:r>
        <w:rPr/>
        <w:t>EBIT43.65</w:t>
      </w:r>
      <w:r>
        <w:rPr/>
        <w:t>亿元、约</w:t>
      </w:r>
      <w:r>
        <w:rPr/>
        <w:t>27.87%</w:t>
      </w:r>
      <w:r>
        <w:rPr/>
        <w:t>收入。它反映正常经营基础，却剔除非现金股份报酬，不能当法定可分配盈利。</w:t>
      </w:r>
    </w:p>
    <w:p>
      <w:pPr>
        <w:pStyle w:val="Normal"/>
        <w:rPr/>
      </w:pPr>
      <w:r>
        <w:rPr/>
        <w:t>上半年产品研发</w:t>
      </w:r>
      <w:r>
        <w:rPr/>
        <w:t>78.54</w:t>
      </w:r>
      <w:r>
        <w:rPr/>
        <w:t>亿元、营销</w:t>
      </w:r>
      <w:r>
        <w:rPr/>
        <w:t>75.88</w:t>
      </w:r>
      <w:r>
        <w:rPr/>
        <w:t>亿元，与收入</w:t>
      </w:r>
      <w:r>
        <w:rPr/>
        <w:t>318.71</w:t>
      </w:r>
      <w:r>
        <w:rPr/>
        <w:t>亿元相比各占约四分之一，说明平台需要持续投入。六月成本同比</w:t>
      </w:r>
      <w:r>
        <w:rPr/>
        <w:t>12%</w:t>
      </w:r>
      <w:r>
        <w:rPr/>
        <w:t>、研发</w:t>
      </w:r>
      <w:r>
        <w:rPr/>
        <w:t>8%</w:t>
      </w:r>
      <w:r>
        <w:rPr/>
        <w:t>、营销</w:t>
      </w:r>
      <w:r>
        <w:rPr/>
        <w:t>15%</w:t>
      </w:r>
      <w:r>
        <w:rPr/>
        <w:t>，集团收入</w:t>
      </w:r>
      <w:r>
        <w:rPr/>
        <w:t>6%</w:t>
      </w:r>
      <w:r>
        <w:rPr/>
        <w:t>，正常利润率承压。国际投入可能有未来收益，但费用增长超过收入不能长期以增长名义忽视，需看复购、效率和交易回报。</w:t>
      </w:r>
    </w:p>
    <w:p>
      <w:pPr>
        <w:pStyle w:val="Normal"/>
        <w:rPr/>
      </w:pPr>
      <w:r>
        <w:rPr/>
        <w:t>股份报酬六月</w:t>
      </w:r>
      <w:r>
        <w:rPr/>
        <w:t>6.47</w:t>
      </w:r>
      <w:r>
        <w:rPr/>
        <w:t>亿元、上半年</w:t>
      </w:r>
      <w:r>
        <w:rPr/>
        <w:t>13.38</w:t>
      </w:r>
      <w:r>
        <w:rPr/>
        <w:t>亿元，比去年上半年</w:t>
      </w:r>
      <w:r>
        <w:rPr/>
        <w:t>10.46</w:t>
      </w:r>
      <w:r>
        <w:rPr/>
        <w:t>亿元提高。调整指标加回它便于看现金式成本，却意味着潜在摊薄和激励价值仍存在。模型股数在悲观逐年增加、基准温和减少、乐观减少更多，反映回购与授予的净结果假设，不保证董事会继续缩股。</w:t>
      </w:r>
    </w:p>
    <w:p>
      <w:pPr>
        <w:pStyle w:val="Normal"/>
        <w:rPr/>
      </w:pPr>
      <w:r>
        <w:rPr/>
        <w:t>联营上半年亏损</w:t>
      </w:r>
      <w:r>
        <w:rPr/>
        <w:t>5.81</w:t>
      </w:r>
      <w:r>
        <w:rPr/>
        <w:t>亿元、六月盈利</w:t>
      </w:r>
      <w:r>
        <w:rPr/>
        <w:t>5.70</w:t>
      </w:r>
      <w:r>
        <w:rPr/>
        <w:t>亿元，变化说明投资组合和确认时差影响归母。利息收入半年</w:t>
      </w:r>
      <w:r>
        <w:rPr/>
        <w:t>11.25</w:t>
      </w:r>
      <w:r>
        <w:rPr/>
        <w:t>亿元、利息支出</w:t>
      </w:r>
      <w:r>
        <w:rPr/>
        <w:t>2.32</w:t>
      </w:r>
      <w:r>
        <w:rPr/>
        <w:t>亿元，贡献较稳定但随现金部署与利率变化。主模型只加有限税后金融联营贡献，不把投资处置或公允价值损益作为稳态增长，也不在</w:t>
      </w:r>
      <w:r>
        <w:rPr/>
        <w:t>EPS</w:t>
      </w:r>
      <w:r>
        <w:rPr/>
        <w:t>之后再追加所有投资价值。</w:t>
      </w:r>
    </w:p>
    <w:p>
      <w:pPr>
        <w:pStyle w:val="Heading2"/>
        <w:rPr/>
      </w:pPr>
      <w:r>
        <w:rPr>
          <w:color w:val="000000"/>
        </w:rPr>
        <w:t>十二 现金 资产与运营资金</w:t>
      </w:r>
    </w:p>
    <w:p>
      <w:pPr>
        <w:pStyle w:val="Normal"/>
        <w:rPr/>
      </w:pPr>
      <w:r>
        <w:rPr/>
        <w:t>六月广义现金资源</w:t>
      </w:r>
      <w:r>
        <w:rPr/>
        <w:t>1005.16</w:t>
      </w:r>
      <w:r>
        <w:rPr/>
        <w:t>亿元，包括受限现金、短期投资与持有至到期存款产品。财表现金等价物与受限现金合并</w:t>
      </w:r>
      <w:r>
        <w:rPr/>
        <w:t>560.16</w:t>
      </w:r>
      <w:r>
        <w:rPr/>
        <w:t>亿元，短期投资</w:t>
      </w:r>
      <w:r>
        <w:rPr/>
        <w:t>234.99</w:t>
      </w:r>
      <w:r>
        <w:rPr/>
        <w:t>亿元，较长期存款产品</w:t>
      </w:r>
      <w:r>
        <w:rPr/>
        <w:t>210.01</w:t>
      </w:r>
      <w:r>
        <w:rPr/>
        <w:t>亿元。受限现金和较长期产品不能全部作为随时可分配现金，客户和供应商资金也伴随履约义务。</w:t>
      </w:r>
    </w:p>
    <w:p>
      <w:pPr>
        <w:pStyle w:val="Normal"/>
        <w:rPr/>
      </w:pPr>
      <w:r>
        <w:rPr/>
        <w:t>短期债务及一年内长期债</w:t>
      </w:r>
      <w:r>
        <w:rPr/>
        <w:t>257.67</w:t>
      </w:r>
      <w:r>
        <w:rPr/>
        <w:t>亿元、长期债</w:t>
      </w:r>
      <w:r>
        <w:rPr/>
        <w:t>6.30</w:t>
      </w:r>
      <w:r>
        <w:rPr/>
        <w:t>亿元，合计有息债</w:t>
      </w:r>
      <w:r>
        <w:rPr/>
        <w:t>263.97</w:t>
      </w:r>
      <w:r>
        <w:rPr/>
        <w:t>亿元。广义资源减有息债约</w:t>
      </w:r>
      <w:r>
        <w:rPr/>
        <w:t>741.19</w:t>
      </w:r>
      <w:r>
        <w:rPr/>
        <w:t>亿元是研究流动性近似，不是最终净现金估值；未扣租赁、运营负债与受限部分。短债占比提高可能反映到期分类变化，不必立即推断偿付危机，但需核偿还或再融资计划。</w:t>
      </w:r>
    </w:p>
    <w:p>
      <w:pPr>
        <w:pStyle w:val="Normal"/>
        <w:rPr/>
      </w:pPr>
      <w:r>
        <w:rPr/>
        <w:t>六月客户预收</w:t>
      </w:r>
      <w:r>
        <w:rPr/>
        <w:t>208.61</w:t>
      </w:r>
      <w:r>
        <w:rPr/>
        <w:t>亿元、应付款</w:t>
      </w:r>
      <w:r>
        <w:rPr/>
        <w:t>199.58</w:t>
      </w:r>
      <w:r>
        <w:rPr/>
        <w:t>亿元、应收</w:t>
      </w:r>
      <w:r>
        <w:rPr/>
        <w:t>170.53</w:t>
      </w:r>
      <w:r>
        <w:rPr/>
        <w:t>亿元，业务规模与结算节奏影响资金。客户预付可支持现金，旅游中断和退款又会使现金流逆转；商家账期变化也会影响平台。高毛利净收入不等于全部销售现金可分配，需看应收预付和客户保障资金。</w:t>
      </w:r>
    </w:p>
    <w:p>
      <w:pPr>
        <w:pStyle w:val="Normal"/>
        <w:rPr/>
      </w:pPr>
      <w:r>
        <w:rPr/>
        <w:t>2025</w:t>
      </w:r>
      <w:r>
        <w:rPr/>
        <w:t>年运营现金流</w:t>
      </w:r>
      <w:r>
        <w:rPr/>
        <w:t>143.79</w:t>
      </w:r>
      <w:r>
        <w:rPr/>
        <w:t>亿元，低于</w:t>
      </w:r>
      <w:r>
        <w:rPr/>
        <w:t>2024</w:t>
      </w:r>
      <w:r>
        <w:rPr/>
        <w:t>年</w:t>
      </w:r>
      <w:r>
        <w:rPr/>
        <w:t>196.25</w:t>
      </w:r>
      <w:r>
        <w:rPr/>
        <w:t>亿元及</w:t>
      </w:r>
      <w:r>
        <w:rPr/>
        <w:t>2023</w:t>
      </w:r>
      <w:r>
        <w:rPr/>
        <w:t>年</w:t>
      </w:r>
      <w:r>
        <w:rPr/>
        <w:t>220.04</w:t>
      </w:r>
      <w:r>
        <w:rPr/>
        <w:t>亿元。设备软件购买</w:t>
      </w:r>
      <w:r>
        <w:rPr/>
        <w:t>7.97</w:t>
      </w:r>
      <w:r>
        <w:rPr/>
        <w:t>亿元，研究</w:t>
      </w:r>
      <w:r>
        <w:rPr/>
        <w:t>OCF</w:t>
      </w:r>
      <w:r>
        <w:rPr/>
        <w:t>减此项</w:t>
      </w:r>
      <w:r>
        <w:rPr/>
        <w:t>135.82</w:t>
      </w:r>
      <w:r>
        <w:rPr/>
        <w:t>亿元只是近似现金指标，未扣全部贷款、投资和融资。</w:t>
      </w:r>
      <w:r>
        <w:rPr/>
        <w:t>2026H1</w:t>
      </w:r>
      <w:r>
        <w:rPr/>
        <w:t>可核财表没有现金流页，本文留缺而不补造。罚款、回购与业务投入应在新披露后进入完整现金桥。</w:t>
      </w:r>
    </w:p>
    <w:p>
      <w:pPr>
        <w:pStyle w:val="Heading2"/>
        <w:rPr/>
      </w:pPr>
      <w:r>
        <w:rPr>
          <w:color w:val="000000"/>
        </w:rPr>
        <w:t>十三 投资组合与资本配置</w:t>
      </w:r>
    </w:p>
    <w:p>
      <w:pPr>
        <w:pStyle w:val="Normal"/>
        <w:rPr/>
      </w:pPr>
      <w:r>
        <w:rPr/>
        <w:t>出售部分</w:t>
      </w:r>
      <w:r>
        <w:rPr/>
        <w:t>MakeMyTrip</w:t>
      </w:r>
      <w:r>
        <w:rPr/>
        <w:t>权益带来大额收益和现金，不意味着剩余投资没有价值，也不意味着全部投资收益都不可再出现。问题是旅行主业估值不能依赖每年相同处置增益。公司仍有相关投资和战略关系，联营贡献可帮助业务协同，但每项资产的变现、税和非控股归属不同，不能把账面投资总额简单加在含投资收益</w:t>
      </w:r>
      <w:r>
        <w:rPr/>
        <w:t>EPS</w:t>
      </w:r>
      <w:r>
        <w:rPr/>
        <w:t>估值上。</w:t>
      </w:r>
    </w:p>
    <w:p>
      <w:pPr>
        <w:pStyle w:val="Normal"/>
        <w:rPr/>
      </w:pPr>
      <w:r>
        <w:rPr/>
        <w:t>年报披露</w:t>
      </w:r>
      <w:r>
        <w:rPr/>
        <w:t>2025</w:t>
      </w:r>
      <w:r>
        <w:rPr/>
        <w:t>年投资长期资产与相关融资项目有较大现金进出，运营现金、投资处置和股东回报需要分开观察。处置收益与处置现金也不相等：收益是售价与账面基础差额，现金还有税和交易条件。用收益证明现金充沛，或将收到现金再当完整年度新增利润，都容易重复。</w:t>
      </w:r>
    </w:p>
    <w:p>
      <w:pPr>
        <w:pStyle w:val="Normal"/>
        <w:rPr/>
      </w:pPr>
      <w:r>
        <w:rPr/>
        <w:t>平台投资其他旅游服务商可能增强全球覆盖与渠道，但战略价值须最终回到集团收益。若联营持续亏损或投资因行业竞争减值，既影响盈利也消耗资本。模型税后其他贡献年底基准</w:t>
      </w:r>
      <w:r>
        <w:rPr/>
        <w:t>15</w:t>
      </w:r>
      <w:r>
        <w:rPr/>
        <w:t>亿元，未把</w:t>
      </w:r>
      <w:r>
        <w:rPr/>
        <w:t>2025</w:t>
      </w:r>
      <w:r>
        <w:rPr/>
        <w:t>年的投资结果复制，悲观减少至</w:t>
      </w:r>
      <w:r>
        <w:rPr/>
        <w:t>3</w:t>
      </w:r>
      <w:r>
        <w:rPr/>
        <w:t>至</w:t>
      </w:r>
      <w:r>
        <w:rPr/>
        <w:t>5</w:t>
      </w:r>
      <w:r>
        <w:rPr/>
        <w:t>亿元，乐观保持</w:t>
      </w:r>
      <w:r>
        <w:rPr/>
        <w:t>20</w:t>
      </w:r>
      <w:r>
        <w:rPr/>
        <w:t>亿元，呈现有限稳态贡献。</w:t>
      </w:r>
    </w:p>
    <w:p>
      <w:pPr>
        <w:pStyle w:val="Normal"/>
        <w:rPr/>
      </w:pPr>
      <w:r>
        <w:rPr/>
        <w:t>资本配置的考验是如何在回购、分红、全球扩张、人工智能服务和偿债之间选择。股价低时回购可以提高每股收益，但若长期业务回报下降，回购只是减少现金缓冲。研究应看回购价格与正常盈利价值、资金来源和净股数，而非把每一次回购都当管理层保证未来上涨。</w:t>
      </w:r>
    </w:p>
    <w:p>
      <w:pPr>
        <w:pStyle w:val="Heading2"/>
        <w:rPr/>
      </w:pPr>
      <w:r>
        <w:rPr>
          <w:color w:val="000000"/>
        </w:rPr>
        <w:t>十四 回购 股息与摊薄股数</w:t>
      </w:r>
    </w:p>
    <w:p>
      <w:pPr>
        <w:pStyle w:val="Normal"/>
        <w:rPr/>
      </w:pPr>
      <w:r>
        <w:rPr/>
        <w:t>2025</w:t>
      </w:r>
      <w:r>
        <w:rPr/>
        <w:t>年公司回购约</w:t>
      </w:r>
      <w:r>
        <w:rPr/>
        <w:t>1000</w:t>
      </w:r>
      <w:r>
        <w:rPr/>
        <w:t>万</w:t>
      </w:r>
      <w:r>
        <w:rPr/>
        <w:t>ADS</w:t>
      </w:r>
      <w:r>
        <w:rPr/>
        <w:t>，支付约</w:t>
      </w:r>
      <w:r>
        <w:rPr/>
        <w:t>6.13</w:t>
      </w:r>
      <w:r>
        <w:rPr/>
        <w:t>亿美元；年报现金流中回购现金</w:t>
      </w:r>
      <w:r>
        <w:rPr/>
        <w:t>43.96</w:t>
      </w:r>
      <w:r>
        <w:rPr/>
        <w:t>亿元，含结算与口径差异。该事实支持公司有股东回报行为，但不能假设未来永远每年以相同比例缩股。</w:t>
      </w:r>
      <w:r>
        <w:rPr/>
        <w:t>2026</w:t>
      </w:r>
      <w:r>
        <w:rPr/>
        <w:t>年六月</w:t>
      </w:r>
      <w:r>
        <w:rPr/>
        <w:t>non-GAAP</w:t>
      </w:r>
      <w:r>
        <w:rPr/>
        <w:t>摊薄股数约</w:t>
      </w:r>
      <w:r>
        <w:rPr/>
        <w:t>6.5936</w:t>
      </w:r>
      <w:r>
        <w:rPr/>
        <w:t>亿，较去年六月</w:t>
      </w:r>
      <w:r>
        <w:rPr/>
        <w:t>6.9571</w:t>
      </w:r>
      <w:r>
        <w:rPr/>
        <w:t>亿减少，解释了利润下降而</w:t>
      </w:r>
      <w:r>
        <w:rPr/>
        <w:t>EPS</w:t>
      </w:r>
      <w:r>
        <w:rPr/>
        <w:t>微升。</w:t>
      </w:r>
    </w:p>
    <w:p>
      <w:pPr>
        <w:pStyle w:val="Normal"/>
        <w:rPr/>
      </w:pPr>
      <w:r>
        <w:rPr/>
        <w:t>六月法定亏损</w:t>
      </w:r>
      <w:r>
        <w:rPr/>
        <w:t>EPS</w:t>
      </w:r>
      <w:r>
        <w:rPr/>
        <w:t>使用约</w:t>
      </w:r>
      <w:r>
        <w:rPr/>
        <w:t>6.3233</w:t>
      </w:r>
      <w:r>
        <w:rPr/>
        <w:t>亿股，而</w:t>
      </w:r>
      <w:r>
        <w:rPr/>
        <w:t>non-GAAP</w:t>
      </w:r>
      <w:r>
        <w:rPr/>
        <w:t>盈利</w:t>
      </w:r>
      <w:r>
        <w:rPr/>
        <w:t>EPS</w:t>
      </w:r>
      <w:r>
        <w:rPr/>
        <w:t>使用约</w:t>
      </w:r>
      <w:r>
        <w:rPr/>
        <w:t>6.5936</w:t>
      </w:r>
      <w:r>
        <w:rPr/>
        <w:t>亿股，原因是亏损时潜在摊薄普通股可呈反摊薄，不纳入同样分母。不能用法定亏损分母计算正常未来</w:t>
      </w:r>
      <w:r>
        <w:rPr/>
        <w:t>EPS</w:t>
      </w:r>
      <w:r>
        <w:rPr/>
        <w:t>，否则会高估每股盈利。本文未来桥明确使用盈利状态下研究摊薄股数，包含股份报酬、债券和回购影响。</w:t>
      </w:r>
    </w:p>
    <w:p>
      <w:pPr>
        <w:pStyle w:val="Normal"/>
        <w:rPr/>
      </w:pPr>
      <w:r>
        <w:rPr/>
        <w:t>一年基准</w:t>
      </w:r>
      <w:r>
        <w:rPr/>
        <w:t>6.50</w:t>
      </w:r>
      <w:r>
        <w:rPr/>
        <w:t>亿股、三年</w:t>
      </w:r>
      <w:r>
        <w:rPr/>
        <w:t>6.40</w:t>
      </w:r>
      <w:r>
        <w:rPr/>
        <w:t>亿、五年</w:t>
      </w:r>
      <w:r>
        <w:rPr/>
        <w:t>6.30</w:t>
      </w:r>
      <w:r>
        <w:rPr/>
        <w:t>亿，仅假设温和净缩股；悲观一年</w:t>
      </w:r>
      <w:r>
        <w:rPr/>
        <w:t>7.0</w:t>
      </w:r>
      <w:r>
        <w:rPr/>
        <w:t>亿、五年</w:t>
      </w:r>
      <w:r>
        <w:rPr/>
        <w:t>7.5</w:t>
      </w:r>
      <w:r>
        <w:rPr/>
        <w:t>亿，反映持续激励和潜在融资；乐观五年</w:t>
      </w:r>
      <w:r>
        <w:rPr/>
        <w:t>5.9</w:t>
      </w:r>
      <w:r>
        <w:rPr/>
        <w:t>亿，需要现金支持回购。股数是情景驱动而非公司已承诺，若实际变化偏离，应保持收入利润不变时单独重算</w:t>
      </w:r>
      <w:r>
        <w:rPr/>
        <w:t>EPS</w:t>
      </w:r>
      <w:r>
        <w:rPr/>
        <w:t>，不把股数收益藏在营业增长里。</w:t>
      </w:r>
    </w:p>
    <w:p>
      <w:pPr>
        <w:pStyle w:val="Normal"/>
        <w:rPr/>
      </w:pPr>
      <w:r>
        <w:rPr/>
        <w:t>未来分红年底及半年设零，一年基准</w:t>
      </w:r>
      <w:r>
        <w:rPr/>
        <w:t>1</w:t>
      </w:r>
      <w:r>
        <w:rPr/>
        <w:t>港元、乐观</w:t>
      </w:r>
      <w:r>
        <w:rPr/>
        <w:t>2</w:t>
      </w:r>
      <w:r>
        <w:rPr/>
        <w:t>港元，三年基准</w:t>
      </w:r>
      <w:r>
        <w:rPr/>
        <w:t>5</w:t>
      </w:r>
      <w:r>
        <w:rPr/>
        <w:t>、乐观</w:t>
      </w:r>
      <w:r>
        <w:rPr/>
        <w:t>10</w:t>
      </w:r>
      <w:r>
        <w:rPr/>
        <w:t>港元，五年基准</w:t>
      </w:r>
      <w:r>
        <w:rPr/>
        <w:t>10</w:t>
      </w:r>
      <w:r>
        <w:rPr/>
        <w:t>、乐观</w:t>
      </w:r>
      <w:r>
        <w:rPr/>
        <w:t>20</w:t>
      </w:r>
      <w:r>
        <w:rPr/>
        <w:t>港元，悲观均零。分红尚未承诺，现金不再投资，过往已除息股息不再计入现价起点的回报。股票涨幅与含分红总回报单列，避免把公司既有现金资产和未来分红都重复加为额外价值。</w:t>
      </w:r>
    </w:p>
    <w:p>
      <w:pPr>
        <w:pStyle w:val="Heading2"/>
        <w:rPr/>
      </w:pPr>
      <w:r>
        <w:rPr>
          <w:color w:val="000000"/>
        </w:rPr>
        <w:t>十五 消费 汇率和经济前景</w:t>
      </w:r>
    </w:p>
    <w:p>
      <w:pPr>
        <w:pStyle w:val="Normal"/>
        <w:rPr/>
      </w:pPr>
      <w:r>
        <w:rPr/>
        <w:t>旅行需求与可支配收入和休假相关，消费者可能保持出行次数却降低住宿档次、缩短距离或增加比价。这样总人数稳健并不保证平台净收入高增。公司六月收入放缓、交通偏弱，说明宏观与价格因素仍在传导。对于进取研究，增长空间应来自更广服务和国际需求，而不是假设国内消费永远恢复得比市场快。</w:t>
      </w:r>
    </w:p>
    <w:p>
      <w:pPr>
        <w:pStyle w:val="Normal"/>
        <w:rPr/>
      </w:pPr>
      <w:r>
        <w:rPr/>
        <w:t>高端旅游和大众旅游可以出现不同表现，公司披露国际高端舱位与定制需求强，但不能据此忽略其他业务。高端收入增长可能提高单笔价值，也可能集中在少数较有消费能力群体，若其需求放缓，结构优势会逆转。国内消费政策、家庭休假和节庆可以刺激订单，持续收益仍需看常态复购与价格。</w:t>
      </w:r>
    </w:p>
    <w:p>
      <w:pPr>
        <w:pStyle w:val="Normal"/>
        <w:rPr/>
      </w:pPr>
      <w:r>
        <w:rPr/>
        <w:t>利率下降可能降低融资成本，亦减少现金利息收入。平台持有广义资源较大，金融贡献并非恒定。人民币变化影响中国旅客出境购买力、海外供给成本与集团折算，海外客源也受其自身货币影响。股票港元回报应与人民币账户价值分开，本文</w:t>
      </w:r>
      <w:r>
        <w:rPr/>
        <w:t>FX</w:t>
      </w:r>
      <w:r>
        <w:rPr/>
        <w:t>敏感仅固定人民币</w:t>
      </w:r>
      <w:r>
        <w:rPr/>
        <w:t>EPS</w:t>
      </w:r>
      <w:r>
        <w:rPr/>
        <w:t>和</w:t>
      </w:r>
      <w:r>
        <w:rPr/>
        <w:t>PE</w:t>
      </w:r>
      <w:r>
        <w:rPr/>
        <w:t>下的价格变化，不宣称经营汇率敞口被完整测量。</w:t>
      </w:r>
    </w:p>
    <w:p>
      <w:pPr>
        <w:pStyle w:val="Normal"/>
        <w:rPr/>
      </w:pPr>
      <w:r>
        <w:rPr/>
        <w:t>旅游供给周期影响航空与酒店价格，高价格可提高部分佣金但减少预订，更多供给可扩大需求同时降低单价。平台能否在价格变化中维持用户与商家关系，是经营质量的体现。悲观情景不只预测衰退，也容纳价格与抽成压力；乐观则要求需求、供给和营销效率的组合改善。</w:t>
      </w:r>
    </w:p>
    <w:p>
      <w:pPr>
        <w:pStyle w:val="Heading2"/>
        <w:rPr/>
      </w:pPr>
      <w:r>
        <w:rPr>
          <w:color w:val="000000"/>
        </w:rPr>
        <w:t>十六 治理 合规与用户信任</w:t>
      </w:r>
    </w:p>
    <w:p>
      <w:pPr>
        <w:pStyle w:val="Normal"/>
        <w:rPr/>
      </w:pPr>
      <w:r>
        <w:rPr/>
        <w:t>公司经历反垄断调查与处罚，说明平台长期价值除了规模还受治理和规则边界约束。更透明合作可能修复酒店关系，但落地需要工具、合同与执行标准，短期可能增加成本。若整改只在文件上完成、实际合作关系和收费仍引发问题，后续处罚和声誉风险会继续压低估值。</w:t>
      </w:r>
    </w:p>
    <w:p>
      <w:pPr>
        <w:pStyle w:val="Normal"/>
        <w:rPr/>
      </w:pPr>
      <w:r>
        <w:rPr/>
        <w:t>旅游用户对隐私、价格透明、取消规则和售后特别敏感。推荐排序、加价服务和个性化功能若不能解释清楚，可能损害信任或触发消费者保护。人工智能建议进一步增加准确性要求，用户不能仅从漂亮行程得到保证，平台仍需处理真实供应和履约问题。高增长若伴投诉、退款和补偿增加，盈利质量应降低。</w:t>
      </w:r>
    </w:p>
    <w:p>
      <w:pPr>
        <w:pStyle w:val="Normal"/>
        <w:rPr/>
      </w:pPr>
      <w:r>
        <w:rPr/>
        <w:t>年报</w:t>
      </w:r>
      <w:r>
        <w:rPr/>
        <w:t>VIE</w:t>
      </w:r>
      <w:r>
        <w:rPr/>
        <w:t>与跨境上市安排表明投资者持有上市发行人权益，部分业务通过合同控制。监管和资金调拨会影响现金分配，不能把每个经营实体资产当直接自由现金。公司股东结构和董事变化应观察对资本配置与透明度的作用，本文没有以未核内幕或股东动机替代事实。</w:t>
      </w:r>
    </w:p>
    <w:p>
      <w:pPr>
        <w:pStyle w:val="Normal"/>
        <w:rPr/>
      </w:pPr>
      <w:r>
        <w:rPr/>
        <w:t>治理维度评分保持中等偏谨慎，原因是成熟现金业务和公开披露提供基础，但监管后的经常佣金、罚款付款时点、投资收益和股数仍有重要不确定。低风险分数不等于否定商业价值，而是防止高增长和高目标使实际约束在综合榜中失去权重。</w:t>
      </w:r>
    </w:p>
    <w:p>
      <w:pPr>
        <w:pStyle w:val="Heading2"/>
        <w:rPr/>
      </w:pPr>
      <w:r>
        <w:rPr>
          <w:color w:val="000000"/>
        </w:rPr>
        <w:t>十七 日线趋势 均线和价位</w:t>
      </w:r>
    </w:p>
    <w:p>
      <w:pPr>
        <w:pStyle w:val="Normal"/>
        <w:rPr/>
      </w:pPr>
      <w:r>
        <w:rPr/>
        <w:t>锁版日线共</w:t>
      </w:r>
      <w:r>
        <w:rPr/>
        <w:t>739</w:t>
      </w:r>
      <w:r>
        <w:rPr/>
        <w:t>日，覆盖</w:t>
      </w:r>
      <w:r>
        <w:rPr/>
        <w:t>2023</w:t>
      </w:r>
      <w:r>
        <w:rPr/>
        <w:t>年</w:t>
      </w:r>
      <w:r>
        <w:rPr/>
        <w:t>10</w:t>
      </w:r>
      <w:r>
        <w:rPr/>
        <w:t>月</w:t>
      </w:r>
      <w:r>
        <w:rPr/>
        <w:t>9</w:t>
      </w:r>
      <w:r>
        <w:rPr/>
        <w:t>日至</w:t>
      </w:r>
      <w:r>
        <w:rPr/>
        <w:t>2026</w:t>
      </w:r>
      <w:r>
        <w:rPr/>
        <w:t>年</w:t>
      </w:r>
      <w:r>
        <w:rPr/>
        <w:t>10</w:t>
      </w:r>
      <w:r>
        <w:rPr/>
        <w:t>月</w:t>
      </w:r>
      <w:r>
        <w:rPr/>
        <w:t>9</w:t>
      </w:r>
      <w:r>
        <w:rPr/>
        <w:t>日，双源</w:t>
      </w:r>
      <w:r>
        <w:rPr/>
        <w:t>Yahoo</w:t>
      </w:r>
      <w:r>
        <w:rPr/>
        <w:t>和腾讯复权历史相符，最新腾讯新浪收盘</w:t>
      </w:r>
      <w:r>
        <w:rPr/>
        <w:t>304.40</w:t>
      </w:r>
      <w:r>
        <w:rPr/>
        <w:t>港元，成交量同为</w:t>
      </w:r>
      <w:r>
        <w:rPr/>
        <w:t>192.2874</w:t>
      </w:r>
      <w:r>
        <w:rPr/>
        <w:t>万股。日线用基准日名义收盘归一复权</w:t>
      </w:r>
      <w:r>
        <w:rPr/>
        <w:t>OHLC</w:t>
      </w:r>
      <w:r>
        <w:rPr/>
        <w:t>，股息与公司行动保留。成交量单位核为股，不将供应商股数误写手数。</w:t>
      </w:r>
    </w:p>
    <w:p>
      <w:pPr>
        <w:pStyle w:val="Normal"/>
        <w:rPr/>
      </w:pPr>
      <w:r>
        <w:rPr/>
        <w:t>二十、六十、一百二十、二百五十日均线</w:t>
      </w:r>
      <w:r>
        <w:rPr/>
        <w:t>310.82</w:t>
      </w:r>
      <w:r>
        <w:rPr/>
        <w:t>、</w:t>
      </w:r>
      <w:r>
        <w:rPr/>
        <w:t>337.14</w:t>
      </w:r>
      <w:r>
        <w:rPr/>
        <w:t>、</w:t>
      </w:r>
      <w:r>
        <w:rPr/>
        <w:t>354.595</w:t>
      </w:r>
      <w:r>
        <w:rPr/>
        <w:t>、</w:t>
      </w:r>
      <w:r>
        <w:rPr/>
        <w:t>428.9152</w:t>
      </w:r>
      <w:r>
        <w:rPr/>
        <w:t>港元，现价分别低</w:t>
      </w:r>
      <w:r>
        <w:rPr/>
        <w:t>2.07%</w:t>
      </w:r>
      <w:r>
        <w:rPr/>
        <w:t>、</w:t>
      </w:r>
      <w:r>
        <w:rPr/>
        <w:t>9.71%</w:t>
      </w:r>
      <w:r>
        <w:rPr/>
        <w:t>、</w:t>
      </w:r>
      <w:r>
        <w:rPr/>
        <w:t>14.16%</w:t>
      </w:r>
      <w:r>
        <w:rPr/>
        <w:t>、</w:t>
      </w:r>
      <w:r>
        <w:rPr/>
        <w:t>29.03%</w:t>
      </w:r>
      <w:r>
        <w:rPr/>
        <w:t>。过去五日均线变化为负</w:t>
      </w:r>
      <w:r>
        <w:rPr/>
        <w:t>1.52%</w:t>
      </w:r>
      <w:r>
        <w:rPr/>
        <w:t>、负</w:t>
      </w:r>
      <w:r>
        <w:rPr/>
        <w:t>0.84%</w:t>
      </w:r>
      <w:r>
        <w:rPr/>
        <w:t>、负</w:t>
      </w:r>
      <w:r>
        <w:rPr/>
        <w:t>1.29%</w:t>
      </w:r>
      <w:r>
        <w:rPr/>
        <w:t>、负</w:t>
      </w:r>
      <w:r>
        <w:rPr/>
        <w:t>1.34%</w:t>
      </w:r>
      <w:r>
        <w:rPr/>
        <w:t>。价格低于全部均线且斜率负，支持中短期下降判断。单日反弹</w:t>
      </w:r>
      <w:r>
        <w:rPr/>
        <w:t>2.84%</w:t>
      </w:r>
      <w:r>
        <w:rPr/>
        <w:t>并未收复最短主要均线，半年不宜以趋势反转为默认前提。</w:t>
      </w:r>
    </w:p>
    <w:p>
      <w:pPr>
        <w:pStyle w:val="Normal"/>
        <w:rPr/>
      </w:pPr>
      <w:r>
        <w:rPr/>
        <w:t>二十日低点</w:t>
      </w:r>
      <w:r>
        <w:rPr/>
        <w:t>294.60</w:t>
      </w:r>
      <w:r>
        <w:rPr/>
        <w:t>、高点</w:t>
      </w:r>
      <w:r>
        <w:rPr/>
        <w:t>325.60</w:t>
      </w:r>
      <w:r>
        <w:rPr/>
        <w:t>港元，现价距离分别负</w:t>
      </w:r>
      <w:r>
        <w:rPr/>
        <w:t>3.22%</w:t>
      </w:r>
      <w:r>
        <w:rPr/>
        <w:t>、正</w:t>
      </w:r>
      <w:r>
        <w:rPr/>
        <w:t>6.96%</w:t>
      </w:r>
      <w:r>
        <w:rPr/>
        <w:t>；六十日高</w:t>
      </w:r>
      <w:r>
        <w:rPr/>
        <w:t>375.20</w:t>
      </w:r>
      <w:r>
        <w:rPr/>
        <w:t>，距离正</w:t>
      </w:r>
      <w:r>
        <w:rPr/>
        <w:t>23.26%</w:t>
      </w:r>
      <w:r>
        <w:rPr/>
        <w:t>。这些是窗口极值，未按多次触碰确认，故为观察位而不是必守支持。</w:t>
      </w:r>
      <w:r>
        <w:rPr/>
        <w:t>310.82</w:t>
      </w:r>
      <w:r>
        <w:rPr/>
        <w:t>先是短均线观察，</w:t>
      </w:r>
      <w:r>
        <w:rPr/>
        <w:t>325.60</w:t>
      </w:r>
      <w:r>
        <w:rPr/>
        <w:t>是近段上沿，</w:t>
      </w:r>
      <w:r>
        <w:rPr/>
        <w:t>337.14</w:t>
      </w:r>
      <w:r>
        <w:rPr/>
        <w:t>至</w:t>
      </w:r>
      <w:r>
        <w:rPr/>
        <w:t>354.60</w:t>
      </w:r>
      <w:r>
        <w:rPr/>
        <w:t>是中期均线区；若持续突破后保持，修复证据增强。</w:t>
      </w:r>
    </w:p>
    <w:p>
      <w:pPr>
        <w:pStyle w:val="Normal"/>
        <w:rPr/>
      </w:pPr>
      <w:r>
        <w:rPr/>
        <w:t>现价距</w:t>
      </w:r>
      <w:r>
        <w:rPr/>
        <w:t>294.60</w:t>
      </w:r>
      <w:r>
        <w:rPr/>
        <w:t>只有约</w:t>
      </w:r>
      <w:r>
        <w:rPr/>
        <w:t>9.8</w:t>
      </w:r>
      <w:r>
        <w:rPr/>
        <w:t>港元，日</w:t>
      </w:r>
      <w:r>
        <w:rPr/>
        <w:t>ATR</w:t>
      </w:r>
      <w:r>
        <w:rPr/>
        <w:t>约</w:t>
      </w:r>
      <w:r>
        <w:rPr/>
        <w:t>8.84</w:t>
      </w:r>
      <w:r>
        <w:rPr/>
        <w:t>港元、</w:t>
      </w:r>
      <w:r>
        <w:rPr/>
        <w:t>2.90%</w:t>
      </w:r>
      <w:r>
        <w:rPr/>
        <w:t>，正常波动便可能触及，不能宣称跌幅仅</w:t>
      </w:r>
      <w:r>
        <w:rPr/>
        <w:t>3.22%</w:t>
      </w:r>
      <w:r>
        <w:rPr/>
        <w:t>。若破低后持续不能收回，半年修复条件被削弱；如果业绩或政策突变，跳空可能越过观察价。技术价位是条件检查，不是损失上限，研究价格区间也不提供保本。</w:t>
      </w:r>
    </w:p>
    <w:p>
      <w:pPr>
        <w:pStyle w:val="Heading2"/>
        <w:rPr/>
      </w:pPr>
      <w:r>
        <w:rPr>
          <w:color w:val="000000"/>
        </w:rPr>
        <w:t>十八 成交量 相对强弱与动量</w:t>
      </w:r>
    </w:p>
    <w:p>
      <w:pPr>
        <w:pStyle w:val="Normal"/>
        <w:rPr/>
      </w:pPr>
      <w:r>
        <w:rPr/>
        <w:t>十月九日开</w:t>
      </w:r>
      <w:r>
        <w:rPr/>
        <w:t>298.80</w:t>
      </w:r>
      <w:r>
        <w:rPr/>
        <w:t>、高</w:t>
      </w:r>
      <w:r>
        <w:rPr/>
        <w:t>305.60</w:t>
      </w:r>
      <w:r>
        <w:rPr/>
        <w:t>、低</w:t>
      </w:r>
      <w:r>
        <w:rPr/>
        <w:t>298.60</w:t>
      </w:r>
      <w:r>
        <w:rPr/>
        <w:t>、收</w:t>
      </w:r>
      <w:r>
        <w:rPr/>
        <w:t>304.40</w:t>
      </w:r>
      <w:r>
        <w:rPr/>
        <w:t>港元，涨</w:t>
      </w:r>
      <w:r>
        <w:rPr/>
        <w:t>2.84%</w:t>
      </w:r>
      <w:r>
        <w:rPr/>
        <w:t>，成交</w:t>
      </w:r>
      <w:r>
        <w:rPr/>
        <w:t>192.2874</w:t>
      </w:r>
      <w:r>
        <w:rPr/>
        <w:t>万股、</w:t>
      </w:r>
      <w:r>
        <w:rPr/>
        <w:t>5.8322</w:t>
      </w:r>
      <w:r>
        <w:rPr/>
        <w:t>亿港元。五、二十、六十日均量</w:t>
      </w:r>
      <w:r>
        <w:rPr/>
        <w:t>135.13</w:t>
      </w:r>
      <w:r>
        <w:rPr/>
        <w:t>、</w:t>
      </w:r>
      <w:r>
        <w:rPr/>
        <w:t>290.29</w:t>
      </w:r>
      <w:r>
        <w:rPr/>
        <w:t>、</w:t>
      </w:r>
      <w:r>
        <w:rPr/>
        <w:t>285.14</w:t>
      </w:r>
      <w:r>
        <w:rPr/>
        <w:t>万股，按前二十日均量定义当日量比</w:t>
      </w:r>
      <w:r>
        <w:rPr/>
        <w:t>0.637</w:t>
      </w:r>
      <w:r>
        <w:rPr/>
        <w:t>。上涨伴成交低于近期均值，局部价格承接存在但不足以证明大量增量资金进入，不能以单日涨幅宣布反转。</w:t>
      </w:r>
    </w:p>
    <w:p>
      <w:pPr>
        <w:pStyle w:val="Normal"/>
        <w:rPr/>
      </w:pPr>
      <w:r>
        <w:rPr/>
        <w:t>最近二十日十个上涨日量</w:t>
      </w:r>
      <w:r>
        <w:rPr/>
        <w:t>3054.66</w:t>
      </w:r>
      <w:r>
        <w:rPr/>
        <w:t>万股、九个下跌日</w:t>
      </w:r>
      <w:r>
        <w:rPr/>
        <w:t>2406.07</w:t>
      </w:r>
      <w:r>
        <w:rPr/>
        <w:t>万股，另有平盘量</w:t>
      </w:r>
      <w:r>
        <w:rPr/>
        <w:t>345.01</w:t>
      </w:r>
      <w:r>
        <w:rPr/>
        <w:t>万股，上下量比</w:t>
      </w:r>
      <w:r>
        <w:rPr/>
        <w:t>1.27</w:t>
      </w:r>
      <w:r>
        <w:rPr/>
        <w:t>。这个结构比当日缩量更好，但需看窗口与单日不同，不能挑一个有利指标叠加多个高分。没有逐笔和真实持仓变化，成交量无法证明特定机构或主力成本，本文不制作精确筹码分布。</w:t>
      </w:r>
    </w:p>
    <w:p>
      <w:pPr>
        <w:pStyle w:val="Normal"/>
        <w:rPr/>
      </w:pPr>
      <w:r>
        <w:rPr/>
        <w:t>二十日股价回报负</w:t>
      </w:r>
      <w:r>
        <w:rPr/>
        <w:t>1.42%</w:t>
      </w:r>
      <w:r>
        <w:rPr/>
        <w:t>、恒指负</w:t>
      </w:r>
      <w:r>
        <w:rPr/>
        <w:t>2.98%</w:t>
      </w:r>
      <w:r>
        <w:rPr/>
        <w:t>，超额正</w:t>
      </w:r>
      <w:r>
        <w:rPr/>
        <w:t>1.55</w:t>
      </w:r>
      <w:r>
        <w:rPr/>
        <w:t>个百分点；六十日股价负</w:t>
      </w:r>
      <w:r>
        <w:rPr/>
        <w:t>11.05%</w:t>
      </w:r>
      <w:r>
        <w:rPr/>
        <w:t>、恒指负</w:t>
      </w:r>
      <w:r>
        <w:rPr/>
        <w:t>3.19%</w:t>
      </w:r>
      <w:r>
        <w:rPr/>
        <w:t>，超额负</w:t>
      </w:r>
      <w:r>
        <w:rPr/>
        <w:t>7.86</w:t>
      </w:r>
      <w:r>
        <w:rPr/>
        <w:t>个百分点。相对恒生科技二十和六十日分别正</w:t>
      </w:r>
      <w:r>
        <w:rPr/>
        <w:t>1.64</w:t>
      </w:r>
      <w:r>
        <w:rPr/>
        <w:t>、正</w:t>
      </w:r>
      <w:r>
        <w:rPr/>
        <w:t>2.12</w:t>
      </w:r>
      <w:r>
        <w:rPr/>
        <w:t>个百分点，但恒科是粗粒度参考，不是专属旅游行业基准。相对更弱行业领先不等于绝对趋势强，半年需同时看宽市场比较。</w:t>
      </w:r>
    </w:p>
    <w:p>
      <w:pPr>
        <w:pStyle w:val="Normal"/>
        <w:rPr/>
      </w:pPr>
      <w:r>
        <w:rPr/>
        <w:t>RSI</w:t>
      </w:r>
      <w:r>
        <w:rPr/>
        <w:t>十四日</w:t>
      </w:r>
      <w:r>
        <w:rPr/>
        <w:t>40.27</w:t>
      </w:r>
      <w:r>
        <w:rPr/>
        <w:t>，</w:t>
      </w:r>
      <w:r>
        <w:rPr/>
        <w:t>MACD</w:t>
      </w:r>
      <w:r>
        <w:rPr/>
        <w:t>快慢差负</w:t>
      </w:r>
      <w:r>
        <w:rPr/>
        <w:t>8.978</w:t>
      </w:r>
      <w:r>
        <w:rPr/>
        <w:t>、信号负</w:t>
      </w:r>
      <w:r>
        <w:rPr/>
        <w:t>8.973</w:t>
      </w:r>
      <w:r>
        <w:rPr/>
        <w:t>、双倍柱约负</w:t>
      </w:r>
      <w:r>
        <w:rPr/>
        <w:t>0.0108</w:t>
      </w:r>
      <w:r>
        <w:rPr/>
        <w:t>，接近收敛但未表现强动量。辅助指标与均线反映相近价格信息，模型不重复计分。没有已验证自由流通分母时换手率留缺，成交金额与流动性也不能替代未来订单、业绩和政策风险。</w:t>
      </w:r>
    </w:p>
    <w:p>
      <w:pPr>
        <w:pStyle w:val="Heading2"/>
        <w:rPr/>
      </w:pPr>
      <w:r>
        <w:rPr>
          <w:color w:val="000000"/>
        </w:rPr>
        <w:t>十九 周线和阶段回撤</w:t>
      </w:r>
    </w:p>
    <w:p>
      <w:pPr>
        <w:pStyle w:val="Normal"/>
        <w:rPr/>
      </w:pPr>
      <w:r>
        <w:rPr/>
        <w:t>真实日线生成</w:t>
      </w:r>
      <w:r>
        <w:rPr/>
        <w:t>157</w:t>
      </w:r>
      <w:r>
        <w:rPr/>
        <w:t>周，二十、六十、一百二十周均线</w:t>
      </w:r>
      <w:r>
        <w:rPr/>
        <w:t>337.97</w:t>
      </w:r>
      <w:r>
        <w:rPr/>
        <w:t>、</w:t>
      </w:r>
      <w:r>
        <w:rPr/>
        <w:t>442.24</w:t>
      </w:r>
      <w:r>
        <w:rPr/>
        <w:t>、</w:t>
      </w:r>
      <w:r>
        <w:rPr/>
        <w:t>454.52</w:t>
      </w:r>
      <w:r>
        <w:rPr/>
        <w:t>港元，现价分别低</w:t>
      </w:r>
      <w:r>
        <w:rPr/>
        <w:t>9.93%</w:t>
      </w:r>
      <w:r>
        <w:rPr/>
        <w:t>、</w:t>
      </w:r>
      <w:r>
        <w:rPr/>
        <w:t>31.17%</w:t>
      </w:r>
      <w:r>
        <w:rPr/>
        <w:t>、</w:t>
      </w:r>
      <w:r>
        <w:rPr/>
        <w:t>33.03%</w:t>
      </w:r>
      <w:r>
        <w:rPr/>
        <w:t>，全部斜率为负。二百五十周数据不足留空。周线没有形成与日线反弹一致的强修复，说明中期下降仍需时间和基本面催化改变。</w:t>
      </w:r>
    </w:p>
    <w:p>
      <w:pPr>
        <w:pStyle w:val="Normal"/>
        <w:rPr/>
      </w:pPr>
      <w:r>
        <w:rPr/>
        <w:t>周</w:t>
      </w:r>
      <w:r>
        <w:rPr/>
        <w:t>RSI34.74</w:t>
      </w:r>
      <w:r>
        <w:rPr/>
        <w:t>，</w:t>
      </w:r>
      <w:r>
        <w:rPr/>
        <w:t>ATR24.19</w:t>
      </w:r>
      <w:r>
        <w:rPr/>
        <w:t>港元、</w:t>
      </w:r>
      <w:r>
        <w:rPr/>
        <w:t>7.95%</w:t>
      </w:r>
      <w:r>
        <w:rPr/>
        <w:t>，说明跨周正常波动远大于近端支撑距离。</w:t>
      </w:r>
      <w:r>
        <w:rPr/>
        <w:t>MACD</w:t>
      </w:r>
      <w:r>
        <w:rPr/>
        <w:t>双线负、柱略正，体现下降动力边际变化而非趋势已翻转。周线二十周上涨量与下跌量之比约</w:t>
      </w:r>
      <w:r>
        <w:rPr/>
        <w:t>1.22</w:t>
      </w:r>
      <w:r>
        <w:rPr/>
        <w:t>，稍利承接，但价格仍在各均线下，不能依据成交略占优就直接提高技术评分。</w:t>
      </w:r>
    </w:p>
    <w:p>
      <w:pPr>
        <w:pStyle w:val="Normal"/>
        <w:rPr/>
      </w:pPr>
      <w:r>
        <w:rPr/>
        <w:t>二百五十二交易日高点</w:t>
      </w:r>
      <w:r>
        <w:rPr/>
        <w:t>613</w:t>
      </w:r>
      <w:r>
        <w:rPr/>
        <w:t>、低</w:t>
      </w:r>
      <w:r>
        <w:rPr/>
        <w:t>294.60</w:t>
      </w:r>
      <w:r>
        <w:rPr/>
        <w:t>港元，现价较高点低</w:t>
      </w:r>
      <w:r>
        <w:rPr/>
        <w:t>50.34%</w:t>
      </w:r>
      <w:r>
        <w:rPr/>
        <w:t>、较低点高</w:t>
      </w:r>
      <w:r>
        <w:rPr/>
        <w:t>3.33%</w:t>
      </w:r>
      <w:r>
        <w:rPr/>
        <w:t>，窗口最大回撤约</w:t>
      </w:r>
      <w:r>
        <w:rPr/>
        <w:t>51.40%</w:t>
      </w:r>
      <w:r>
        <w:rPr/>
        <w:t>。跌幅大既包含市场情绪，也可能反映监管、利润和竞争预期变化。回到</w:t>
      </w:r>
      <w:r>
        <w:rPr/>
        <w:t>613</w:t>
      </w:r>
      <w:r>
        <w:rPr/>
        <w:t>需要约</w:t>
      </w:r>
      <w:r>
        <w:rPr/>
        <w:t>101.38%</w:t>
      </w:r>
      <w:r>
        <w:rPr/>
        <w:t>上涨，距离历史高点本身不能当目标上涨空间依据。</w:t>
      </w:r>
    </w:p>
    <w:p>
      <w:pPr>
        <w:pStyle w:val="Normal"/>
        <w:rPr/>
      </w:pPr>
      <w:r>
        <w:rPr/>
        <w:t>半年技术成立条件为收复二十日并逐步改善六十日结构、上涨成交持续支持、相对恒指转强、近段低点未持续失守。如果只有消息刺激的短涨而后重新破低，修复失效。三至五年不以周线作为主要评分，但若价格反映新的经营风险，仍应回到利润与现金核验，而不是以长期为由忽视。</w:t>
      </w:r>
    </w:p>
    <w:p>
      <w:pPr>
        <w:pStyle w:val="Heading2"/>
        <w:rPr/>
      </w:pPr>
      <w:r>
        <w:rPr>
          <w:color w:val="000000"/>
        </w:rPr>
        <w:t>二十 正常经营估值的设计</w:t>
      </w:r>
    </w:p>
    <w:p>
      <w:pPr>
        <w:pStyle w:val="Normal"/>
        <w:rPr/>
      </w:pPr>
      <w:r>
        <w:rPr/>
        <w:t>活动模型以目标时点</w:t>
      </w:r>
      <w:r>
        <w:rPr/>
        <w:t>NTM</w:t>
      </w:r>
      <w:r>
        <w:rPr/>
        <w:t>净收入乘正常调整</w:t>
      </w:r>
      <w:r>
        <w:rPr/>
        <w:t>EBIT</w:t>
      </w:r>
      <w:r>
        <w:rPr/>
        <w:t>率，包含折旧、剔非现金股份报酬与一次性罚款；按</w:t>
      </w:r>
      <w:r>
        <w:rPr/>
        <w:t>20%</w:t>
      </w:r>
      <w:r>
        <w:rPr/>
        <w:t>研究税率计算后，加有限税后利息和联营净贡献，除研究摊薄股数，</w:t>
      </w:r>
      <w:r>
        <w:rPr/>
        <w:t>EPS</w:t>
      </w:r>
      <w:r>
        <w:rPr/>
        <w:t>四舍五入两位，再乘</w:t>
      </w:r>
      <w:r>
        <w:rPr/>
        <w:t>PE</w:t>
      </w:r>
      <w:r>
        <w:rPr/>
        <w:t>和</w:t>
      </w:r>
      <w:r>
        <w:rPr/>
        <w:t>1.10</w:t>
      </w:r>
      <w:r>
        <w:rPr/>
        <w:t>研究</w:t>
      </w:r>
      <w:r>
        <w:rPr/>
        <w:t>FX</w:t>
      </w:r>
      <w:r>
        <w:rPr/>
        <w:t>。最终扣</w:t>
      </w:r>
      <w:r>
        <w:rPr/>
        <w:t>51.8</w:t>
      </w:r>
      <w:r>
        <w:rPr/>
        <w:t>亿元单次罚款资本预留按股数折算的港元金额，价格保留两位。</w:t>
      </w:r>
    </w:p>
    <w:p>
      <w:pPr>
        <w:pStyle w:val="Normal"/>
        <w:rPr/>
      </w:pPr>
      <w:r>
        <w:rPr/>
        <w:t>正常利润率参考六月调整</w:t>
      </w:r>
      <w:r>
        <w:rPr/>
        <w:t>EBIT</w:t>
      </w:r>
      <w:r>
        <w:rPr/>
        <w:t>约</w:t>
      </w:r>
      <w:r>
        <w:rPr/>
        <w:t>27.87%</w:t>
      </w:r>
      <w:r>
        <w:rPr/>
        <w:t>，年底基准</w:t>
      </w:r>
      <w:r>
        <w:rPr/>
        <w:t>28%</w:t>
      </w:r>
      <w:r>
        <w:rPr/>
        <w:t>、一年</w:t>
      </w:r>
      <w:r>
        <w:rPr/>
        <w:t>30%</w:t>
      </w:r>
      <w:r>
        <w:rPr/>
        <w:t>、三年及五年</w:t>
      </w:r>
      <w:r>
        <w:rPr/>
        <w:t>31%</w:t>
      </w:r>
      <w:r>
        <w:rPr/>
        <w:t>。未来提高来自国际规模、营销效率和平台服务，需受到监管与供给成本约束。成熟平台轻设备资本有利于现金转化，却不保证更高利润率永久成立。悲观降至</w:t>
      </w:r>
      <w:r>
        <w:rPr/>
        <w:t>20%</w:t>
      </w:r>
      <w:r>
        <w:rPr/>
        <w:t>至</w:t>
      </w:r>
      <w:r>
        <w:rPr/>
        <w:t>23%</w:t>
      </w:r>
      <w:r>
        <w:rPr/>
        <w:t>，乐观最高</w:t>
      </w:r>
      <w:r>
        <w:rPr/>
        <w:t>37%</w:t>
      </w:r>
      <w:r>
        <w:rPr/>
        <w:t>，后者要求很强效率并有较大兑现门槛。</w:t>
      </w:r>
    </w:p>
    <w:p>
      <w:pPr>
        <w:pStyle w:val="Normal"/>
        <w:rPr/>
      </w:pPr>
      <w:r>
        <w:rPr/>
        <w:t>PE</w:t>
      </w:r>
      <w:r>
        <w:rPr/>
        <w:t>年底和一年基准</w:t>
      </w:r>
      <w:r>
        <w:rPr/>
        <w:t>16</w:t>
      </w:r>
      <w:r>
        <w:rPr/>
        <w:t>倍，三年</w:t>
      </w:r>
      <w:r>
        <w:rPr/>
        <w:t>17</w:t>
      </w:r>
      <w:r>
        <w:rPr/>
        <w:t>、五年</w:t>
      </w:r>
      <w:r>
        <w:rPr/>
        <w:t>16</w:t>
      </w:r>
      <w:r>
        <w:rPr/>
        <w:t>倍，未采用在大投资收益下显示的低行情倍数，也未用机构目标反推出自有</w:t>
      </w:r>
      <w:r>
        <w:rPr/>
        <w:t>EPS</w:t>
      </w:r>
      <w:r>
        <w:rPr/>
        <w:t>。乐观较高倍数代表市场对持续国际增长与高质量盈利更有信心，悲观</w:t>
      </w:r>
      <w:r>
        <w:rPr/>
        <w:t>9</w:t>
      </w:r>
      <w:r>
        <w:rPr/>
        <w:t>至</w:t>
      </w:r>
      <w:r>
        <w:rPr/>
        <w:t>12</w:t>
      </w:r>
      <w:r>
        <w:rPr/>
        <w:t>倍体现低增长、规则压力和风险溢价。估值倍数是研究假设，不能视为历史市场必然回归点。</w:t>
      </w:r>
    </w:p>
    <w:p>
      <w:pPr>
        <w:pStyle w:val="Normal"/>
        <w:rPr/>
      </w:pPr>
      <w:r>
        <w:rPr/>
        <w:t>单次罚款资本预留不同期限按对应股数约</w:t>
      </w:r>
      <w:r>
        <w:rPr/>
        <w:t>8</w:t>
      </w:r>
      <w:r>
        <w:rPr/>
        <w:t>至</w:t>
      </w:r>
      <w:r>
        <w:rPr/>
        <w:t>10</w:t>
      </w:r>
      <w:r>
        <w:rPr/>
        <w:t>港元，不把罚款每年再从经营利润扣一次，也不把它按</w:t>
      </w:r>
      <w:r>
        <w:rPr/>
        <w:t>PE</w:t>
      </w:r>
      <w:r>
        <w:rPr/>
        <w:t>放大成永久年度损失。这是避免过度调整与忽略现金的平衡。完整</w:t>
      </w:r>
      <w:r>
        <w:rPr/>
        <w:t>DCF</w:t>
      </w:r>
      <w:r>
        <w:rPr/>
        <w:t>与现金桥仍需付款时点和后续资料，本文保留限制。监管长期经济影响已通过收入利润率反映，不因付罚款结束而归零。</w:t>
      </w:r>
    </w:p>
    <w:p>
      <w:pPr>
        <w:pStyle w:val="Heading2"/>
        <w:rPr/>
      </w:pPr>
      <w:r>
        <w:rPr>
          <w:color w:val="000000"/>
        </w:rPr>
        <w:t>二十一 年底三情景与期望值</w:t>
      </w:r>
    </w:p>
    <w:p>
      <w:pPr>
        <w:pStyle w:val="Normal"/>
        <w:rPr/>
      </w:pPr>
      <w:r>
        <w:rPr/>
        <w:t>年底基准</w:t>
      </w:r>
      <w:r>
        <w:rPr/>
        <w:t>NTM</w:t>
      </w:r>
      <w:r>
        <w:rPr/>
        <w:t>收入</w:t>
      </w:r>
      <w:r>
        <w:rPr/>
        <w:t>670</w:t>
      </w:r>
      <w:r>
        <w:rPr/>
        <w:t>亿元、正常</w:t>
      </w:r>
      <w:r>
        <w:rPr/>
        <w:t>EBIT</w:t>
      </w:r>
      <w:r>
        <w:rPr/>
        <w:t>率</w:t>
      </w:r>
      <w:r>
        <w:rPr/>
        <w:t>28%</w:t>
      </w:r>
      <w:r>
        <w:rPr/>
        <w:t>，</w:t>
      </w:r>
      <w:r>
        <w:rPr/>
        <w:t>EBIT187.6</w:t>
      </w:r>
      <w:r>
        <w:rPr/>
        <w:t>亿元，税后</w:t>
      </w:r>
      <w:r>
        <w:rPr/>
        <w:t>150.08</w:t>
      </w:r>
      <w:r>
        <w:rPr/>
        <w:t>亿元，加</w:t>
      </w:r>
      <w:r>
        <w:rPr/>
        <w:t>15</w:t>
      </w:r>
      <w:r>
        <w:rPr/>
        <w:t>亿元其他净贡献得</w:t>
      </w:r>
      <w:r>
        <w:rPr/>
        <w:t>165.08</w:t>
      </w:r>
      <w:r>
        <w:rPr/>
        <w:t>亿元，除</w:t>
      </w:r>
      <w:r>
        <w:rPr/>
        <w:t>6.60</w:t>
      </w:r>
      <w:r>
        <w:rPr/>
        <w:t>亿股</w:t>
      </w:r>
      <w:r>
        <w:rPr/>
        <w:t>EPS25.01</w:t>
      </w:r>
      <w:r>
        <w:rPr/>
        <w:t>元。</w:t>
      </w:r>
      <w:r>
        <w:rPr/>
        <w:t>16</w:t>
      </w:r>
      <w:r>
        <w:rPr/>
        <w:t>倍与</w:t>
      </w:r>
      <w:r>
        <w:rPr/>
        <w:t>1.10</w:t>
      </w:r>
      <w:r>
        <w:rPr/>
        <w:t>换算约</w:t>
      </w:r>
      <w:r>
        <w:rPr/>
        <w:t>440.18</w:t>
      </w:r>
      <w:r>
        <w:rPr/>
        <w:t>港元，扣一次罚款每股</w:t>
      </w:r>
      <w:r>
        <w:rPr/>
        <w:t>8.63</w:t>
      </w:r>
      <w:r>
        <w:rPr/>
        <w:t>港元得</w:t>
      </w:r>
      <w:r>
        <w:rPr/>
        <w:t>431.54</w:t>
      </w:r>
      <w:r>
        <w:rPr/>
        <w:t>。它要求常态旅行增长、规则适应和费用纪律，较六月盈利能力温和恢复，仍不是已经实现的年度预测。</w:t>
      </w:r>
    </w:p>
    <w:p>
      <w:pPr>
        <w:pStyle w:val="Normal"/>
        <w:rPr/>
      </w:pPr>
      <w:r>
        <w:rPr/>
        <w:t>悲观收入</w:t>
      </w:r>
      <w:r>
        <w:rPr/>
        <w:t>600</w:t>
      </w:r>
      <w:r>
        <w:rPr/>
        <w:t>亿元、</w:t>
      </w:r>
      <w:r>
        <w:rPr/>
        <w:t>23%</w:t>
      </w:r>
      <w:r>
        <w:rPr/>
        <w:t>正常</w:t>
      </w:r>
      <w:r>
        <w:rPr/>
        <w:t>EBIT</w:t>
      </w:r>
      <w:r>
        <w:rPr/>
        <w:t>率、税后其他</w:t>
      </w:r>
      <w:r>
        <w:rPr/>
        <w:t>5</w:t>
      </w:r>
      <w:r>
        <w:rPr/>
        <w:t>亿元、</w:t>
      </w:r>
      <w:r>
        <w:rPr/>
        <w:t>6.90</w:t>
      </w:r>
      <w:r>
        <w:rPr/>
        <w:t>亿股，</w:t>
      </w:r>
      <w:r>
        <w:rPr/>
        <w:t>EPS16.72</w:t>
      </w:r>
      <w:r>
        <w:rPr/>
        <w:t>元，</w:t>
      </w:r>
      <w:r>
        <w:rPr/>
        <w:t>12</w:t>
      </w:r>
      <w:r>
        <w:rPr/>
        <w:t>倍扣罚款后</w:t>
      </w:r>
      <w:r>
        <w:rPr/>
        <w:t>212.45</w:t>
      </w:r>
      <w:r>
        <w:rPr/>
        <w:t>港元。相对当前负</w:t>
      </w:r>
      <w:r>
        <w:rPr/>
        <w:t>30.21%</w:t>
      </w:r>
      <w:r>
        <w:rPr/>
        <w:t>，代表低需求、抽成受压与费用难降，市场给予较低倍数。更差情况下价格可低于此值，尤其若新增处罚或大范围旅行中断，本区间不是最大损失。</w:t>
      </w:r>
    </w:p>
    <w:p>
      <w:pPr>
        <w:pStyle w:val="Normal"/>
        <w:rPr/>
      </w:pPr>
      <w:r>
        <w:rPr/>
        <w:t>乐观收入</w:t>
      </w:r>
      <w:r>
        <w:rPr/>
        <w:t>720</w:t>
      </w:r>
      <w:r>
        <w:rPr/>
        <w:t>亿元、</w:t>
      </w:r>
      <w:r>
        <w:rPr/>
        <w:t>33%</w:t>
      </w:r>
      <w:r>
        <w:rPr/>
        <w:t>利润率、税后其他</w:t>
      </w:r>
      <w:r>
        <w:rPr/>
        <w:t>20</w:t>
      </w:r>
      <w:r>
        <w:rPr/>
        <w:t>亿元、</w:t>
      </w:r>
      <w:r>
        <w:rPr/>
        <w:t>6.50</w:t>
      </w:r>
      <w:r>
        <w:rPr/>
        <w:t>亿股，</w:t>
      </w:r>
      <w:r>
        <w:rPr/>
        <w:t>EPS32.32</w:t>
      </w:r>
      <w:r>
        <w:rPr/>
        <w:t>元，</w:t>
      </w:r>
      <w:r>
        <w:rPr/>
        <w:t>20</w:t>
      </w:r>
      <w:r>
        <w:rPr/>
        <w:t>倍扣罚款得</w:t>
      </w:r>
      <w:r>
        <w:rPr/>
        <w:t>702.27</w:t>
      </w:r>
      <w:r>
        <w:rPr/>
        <w:t>港元。相对当前高</w:t>
      </w:r>
      <w:r>
        <w:rPr/>
        <w:t>130.71%</w:t>
      </w:r>
      <w:r>
        <w:rPr/>
        <w:t>，需要盈利恢复、风险溢价下降与国际效率同时强。年底距离基准日不到三个月，市场可以提前定价未来盈利，但短时间实现大重估并非高确定性。乐观端只描述条件，不是最推荐的预测点。</w:t>
      </w:r>
    </w:p>
    <w:p>
      <w:pPr>
        <w:pStyle w:val="Normal"/>
        <w:rPr/>
      </w:pPr>
      <w:r>
        <w:rPr/>
        <w:t>默认权重得到</w:t>
      </w:r>
      <w:r>
        <w:rPr/>
        <w:t>444.45</w:t>
      </w:r>
      <w:r>
        <w:rPr/>
        <w:t>港元、回报</w:t>
      </w:r>
      <w:r>
        <w:rPr/>
        <w:t>46.01%</w:t>
      </w:r>
      <w:r>
        <w:rPr/>
        <w:t>，高于</w:t>
      </w:r>
      <w:r>
        <w:rPr/>
        <w:t>431.54</w:t>
      </w:r>
      <w:r>
        <w:rPr/>
        <w:t>基准，源于乐观端更宽。</w:t>
      </w:r>
      <w:r>
        <w:rPr/>
        <w:t>40%</w:t>
      </w:r>
      <w:r>
        <w:rPr/>
        <w:t>、</w:t>
      </w:r>
      <w:r>
        <w:rPr/>
        <w:t>50%</w:t>
      </w:r>
      <w:r>
        <w:rPr/>
        <w:t>、</w:t>
      </w:r>
      <w:r>
        <w:rPr/>
        <w:t>10%</w:t>
      </w:r>
      <w:r>
        <w:rPr/>
        <w:t>权重得到</w:t>
      </w:r>
      <w:r>
        <w:rPr/>
        <w:t>370.977</w:t>
      </w:r>
      <w:r>
        <w:rPr/>
        <w:t>港元、</w:t>
      </w:r>
      <w:r>
        <w:rPr/>
        <w:t>21.87%</w:t>
      </w:r>
      <w:r>
        <w:rPr/>
        <w:t>；</w:t>
      </w:r>
      <w:r>
        <w:rPr/>
        <w:t>10%</w:t>
      </w:r>
      <w:r>
        <w:rPr/>
        <w:t>、</w:t>
      </w:r>
      <w:r>
        <w:rPr/>
        <w:t>50%</w:t>
      </w:r>
      <w:r>
        <w:rPr/>
        <w:t>、</w:t>
      </w:r>
      <w:r>
        <w:rPr/>
        <w:t>40%</w:t>
      </w:r>
      <w:r>
        <w:rPr/>
        <w:t>得</w:t>
      </w:r>
      <w:r>
        <w:rPr/>
        <w:t>517.923</w:t>
      </w:r>
      <w:r>
        <w:rPr/>
        <w:t>港元、</w:t>
      </w:r>
      <w:r>
        <w:rPr/>
        <w:t>70.15%</w:t>
      </w:r>
      <w:r>
        <w:rPr/>
        <w:t>。即使防御权重期望为正，也不说明实际不会亏损，期望只是判断情景算术，不构成获利概率。关注年底价格必须同时读每个条件及悲观损失。</w:t>
      </w:r>
    </w:p>
    <w:p>
      <w:pPr>
        <w:pStyle w:val="Heading2"/>
        <w:rPr/>
      </w:pPr>
      <w:r>
        <w:rPr>
          <w:color w:val="000000"/>
        </w:rPr>
        <w:t>二十二 半年与一年投资逻辑</w:t>
      </w:r>
    </w:p>
    <w:p>
      <w:pPr>
        <w:pStyle w:val="Normal"/>
        <w:rPr/>
      </w:pPr>
      <w:r>
        <w:rPr/>
        <w:t>半年基准</w:t>
      </w:r>
      <w:r>
        <w:rPr/>
        <w:t>NTM</w:t>
      </w:r>
      <w:r>
        <w:rPr/>
        <w:t>收入</w:t>
      </w:r>
      <w:r>
        <w:rPr/>
        <w:t>700</w:t>
      </w:r>
      <w:r>
        <w:rPr/>
        <w:t>亿元、</w:t>
      </w:r>
      <w:r>
        <w:rPr/>
        <w:t>29%</w:t>
      </w:r>
      <w:r>
        <w:rPr/>
        <w:t>利润率、税后其他</w:t>
      </w:r>
      <w:r>
        <w:rPr/>
        <w:t>15</w:t>
      </w:r>
      <w:r>
        <w:rPr/>
        <w:t>亿元、</w:t>
      </w:r>
      <w:r>
        <w:rPr/>
        <w:t>6.55</w:t>
      </w:r>
      <w:r>
        <w:rPr/>
        <w:t>亿股，</w:t>
      </w:r>
      <w:r>
        <w:rPr/>
        <w:t>EPS27.08</w:t>
      </w:r>
      <w:r>
        <w:rPr/>
        <w:t>元，</w:t>
      </w:r>
      <w:r>
        <w:rPr/>
        <w:t>16</w:t>
      </w:r>
      <w:r>
        <w:rPr/>
        <w:t>倍扣一次罚款得</w:t>
      </w:r>
      <w:r>
        <w:rPr/>
        <w:t>467.91</w:t>
      </w:r>
      <w:r>
        <w:rPr/>
        <w:t>港元、上涨</w:t>
      </w:r>
      <w:r>
        <w:rPr/>
        <w:t>53.72%</w:t>
      </w:r>
      <w:r>
        <w:rPr/>
        <w:t>。这个收益依赖后续盈利信息和市场认定规则冲击可控，目前均线与成交未确认，因而综合分数</w:t>
      </w:r>
      <w:r>
        <w:rPr/>
        <w:t>59.6</w:t>
      </w:r>
      <w:r>
        <w:rPr/>
        <w:t>较低。高估值空间与差时机可以同时存在，不能只因目标高就排到短期榜首。</w:t>
      </w:r>
    </w:p>
    <w:p>
      <w:pPr>
        <w:pStyle w:val="Normal"/>
        <w:rPr/>
      </w:pPr>
      <w:r>
        <w:rPr/>
        <w:t>一年基准收入</w:t>
      </w:r>
      <w:r>
        <w:rPr/>
        <w:t>750</w:t>
      </w:r>
      <w:r>
        <w:rPr/>
        <w:t>亿元、</w:t>
      </w:r>
      <w:r>
        <w:rPr/>
        <w:t>30%</w:t>
      </w:r>
      <w:r>
        <w:rPr/>
        <w:t>利润率，正常</w:t>
      </w:r>
      <w:r>
        <w:rPr/>
        <w:t>EBIT225</w:t>
      </w:r>
      <w:r>
        <w:rPr/>
        <w:t>亿元、税后</w:t>
      </w:r>
      <w:r>
        <w:rPr/>
        <w:t>180</w:t>
      </w:r>
      <w:r>
        <w:rPr/>
        <w:t>亿元加</w:t>
      </w:r>
      <w:r>
        <w:rPr/>
        <w:t>15</w:t>
      </w:r>
      <w:r>
        <w:rPr/>
        <w:t>亿元贡献，</w:t>
      </w:r>
      <w:r>
        <w:rPr/>
        <w:t>6.50</w:t>
      </w:r>
      <w:r>
        <w:rPr/>
        <w:t>亿股得</w:t>
      </w:r>
      <w:r>
        <w:rPr/>
        <w:t>EPS30</w:t>
      </w:r>
      <w:r>
        <w:rPr/>
        <w:t>元，</w:t>
      </w:r>
      <w:r>
        <w:rPr/>
        <w:t>16</w:t>
      </w:r>
      <w:r>
        <w:rPr/>
        <w:t>倍换算</w:t>
      </w:r>
      <w:r>
        <w:rPr/>
        <w:t>528</w:t>
      </w:r>
      <w:r>
        <w:rPr/>
        <w:t>港元，扣罚款</w:t>
      </w:r>
      <w:r>
        <w:rPr/>
        <w:t>8.77</w:t>
      </w:r>
      <w:r>
        <w:rPr/>
        <w:t>得</w:t>
      </w:r>
      <w:r>
        <w:rPr/>
        <w:t>519.23</w:t>
      </w:r>
      <w:r>
        <w:rPr/>
        <w:t>港元。价回报</w:t>
      </w:r>
      <w:r>
        <w:rPr/>
        <w:t>70.57%</w:t>
      </w:r>
      <w:r>
        <w:rPr/>
        <w:t>，加</w:t>
      </w:r>
      <w:r>
        <w:rPr/>
        <w:t>1</w:t>
      </w:r>
      <w:r>
        <w:rPr/>
        <w:t>港元研究分红总回报</w:t>
      </w:r>
      <w:r>
        <w:rPr/>
        <w:t>70.90%</w:t>
      </w:r>
      <w:r>
        <w:rPr/>
        <w:t>。相较</w:t>
      </w:r>
      <w:r>
        <w:rPr/>
        <w:t>2025</w:t>
      </w:r>
      <w:r>
        <w:rPr/>
        <w:t>已剥大投资收益的经营锚，盈利和国际规模需要恢复和增长，而不是直接复用</w:t>
      </w:r>
      <w:r>
        <w:rPr/>
        <w:t>45.59</w:t>
      </w:r>
      <w:r>
        <w:rPr/>
        <w:t>元年度</w:t>
      </w:r>
      <w:r>
        <w:rPr/>
        <w:t>EPS</w:t>
      </w:r>
      <w:r>
        <w:rPr/>
        <w:t>。</w:t>
      </w:r>
    </w:p>
    <w:p>
      <w:pPr>
        <w:pStyle w:val="Normal"/>
        <w:rPr/>
      </w:pPr>
      <w:r>
        <w:rPr/>
        <w:t>半年悲观</w:t>
      </w:r>
      <w:r>
        <w:rPr/>
        <w:t>212.45</w:t>
      </w:r>
      <w:r>
        <w:rPr/>
        <w:t>保持收入与低利润率压力，一年悲观</w:t>
      </w:r>
      <w:r>
        <w:rPr/>
        <w:t>197.68</w:t>
      </w:r>
      <w:r>
        <w:rPr/>
        <w:t>，后者给予</w:t>
      </w:r>
      <w:r>
        <w:rPr/>
        <w:t>11</w:t>
      </w:r>
      <w:r>
        <w:rPr/>
        <w:t>倍，因为更多时间未带来恢复时风险溢价可能提高。半年乐观</w:t>
      </w:r>
      <w:r>
        <w:rPr/>
        <w:t>829.16</w:t>
      </w:r>
      <w:r>
        <w:rPr/>
        <w:t>、一年</w:t>
      </w:r>
      <w:r>
        <w:rPr/>
        <w:t>936.90</w:t>
      </w:r>
      <w:r>
        <w:rPr/>
        <w:t>要求收入</w:t>
      </w:r>
      <w:r>
        <w:rPr/>
        <w:t>780</w:t>
      </w:r>
      <w:r>
        <w:rPr/>
        <w:t>至</w:t>
      </w:r>
      <w:r>
        <w:rPr/>
        <w:t>850</w:t>
      </w:r>
      <w:r>
        <w:rPr/>
        <w:t>亿元、</w:t>
      </w:r>
      <w:r>
        <w:rPr/>
        <w:t>34%</w:t>
      </w:r>
      <w:r>
        <w:rPr/>
        <w:t>至</w:t>
      </w:r>
      <w:r>
        <w:rPr/>
        <w:t>35%</w:t>
      </w:r>
      <w:r>
        <w:rPr/>
        <w:t>利润率、股数继续减少和</w:t>
      </w:r>
      <w:r>
        <w:rPr/>
        <w:t>21</w:t>
      </w:r>
      <w:r>
        <w:rPr/>
        <w:t>倍。高增长场景仍需营销效率与供应利润共同兑现，短期热度不足以证明。</w:t>
      </w:r>
    </w:p>
    <w:p>
      <w:pPr>
        <w:pStyle w:val="Normal"/>
        <w:rPr/>
      </w:pPr>
      <w:r>
        <w:rPr/>
        <w:t>一年催化不是固定宣布日期的盈利上涨，而是业绩披露、酒店规则更清晰、国际平台增长和费用回报可评估。旺季收入应考虑季节性，第三季度通常旅行高峰，不能用旺季利润率外推全年。若恢复需要更多营销或让佣金，利润可能落后订单，投资者需重算目标，不能把订单高增直接当利润。</w:t>
      </w:r>
    </w:p>
    <w:p>
      <w:pPr>
        <w:pStyle w:val="Heading2"/>
        <w:rPr/>
      </w:pPr>
      <w:r>
        <w:rPr>
          <w:color w:val="000000"/>
        </w:rPr>
        <w:t>二十三 三年与五年增长要求</w:t>
      </w:r>
    </w:p>
    <w:p>
      <w:pPr>
        <w:pStyle w:val="Normal"/>
        <w:rPr/>
      </w:pPr>
      <w:r>
        <w:rPr/>
        <w:t>三年基准</w:t>
      </w:r>
      <w:r>
        <w:rPr/>
        <w:t>NTM</w:t>
      </w:r>
      <w:r>
        <w:rPr/>
        <w:t>收入</w:t>
      </w:r>
      <w:r>
        <w:rPr/>
        <w:t>950</w:t>
      </w:r>
      <w:r>
        <w:rPr/>
        <w:t>亿元、</w:t>
      </w:r>
      <w:r>
        <w:rPr/>
        <w:t>31%</w:t>
      </w:r>
      <w:r>
        <w:rPr/>
        <w:t>正常利润率、税后其他</w:t>
      </w:r>
      <w:r>
        <w:rPr/>
        <w:t>15</w:t>
      </w:r>
      <w:r>
        <w:rPr/>
        <w:t>亿元、</w:t>
      </w:r>
      <w:r>
        <w:rPr/>
        <w:t>6.40</w:t>
      </w:r>
      <w:r>
        <w:rPr/>
        <w:t>亿股，</w:t>
      </w:r>
      <w:r>
        <w:rPr/>
        <w:t>EPS39.16</w:t>
      </w:r>
      <w:r>
        <w:rPr/>
        <w:t>元，</w:t>
      </w:r>
      <w:r>
        <w:rPr/>
        <w:t>17</w:t>
      </w:r>
      <w:r>
        <w:rPr/>
        <w:t>倍扣罚款得</w:t>
      </w:r>
      <w:r>
        <w:rPr/>
        <w:t>723.39</w:t>
      </w:r>
      <w:r>
        <w:rPr/>
        <w:t>港元。股票涨幅</w:t>
      </w:r>
      <w:r>
        <w:rPr/>
        <w:t>137.64%</w:t>
      </w:r>
      <w:r>
        <w:rPr/>
        <w:t>，累计</w:t>
      </w:r>
      <w:r>
        <w:rPr/>
        <w:t>5</w:t>
      </w:r>
      <w:r>
        <w:rPr/>
        <w:t>港元分红后总回报</w:t>
      </w:r>
      <w:r>
        <w:rPr/>
        <w:t>139.29%</w:t>
      </w:r>
      <w:r>
        <w:rPr/>
        <w:t>，按期末现金价值不再投资计算年化</w:t>
      </w:r>
      <w:r>
        <w:rPr/>
        <w:t>33.75%</w:t>
      </w:r>
      <w:r>
        <w:rPr/>
        <w:t>。较高年化包含从低估值与监管压力恢复，并不代表主业每年增长</w:t>
      </w:r>
      <w:r>
        <w:rPr/>
        <w:t>34%</w:t>
      </w:r>
      <w:r>
        <w:rPr/>
        <w:t>，收益来源须区分。</w:t>
      </w:r>
    </w:p>
    <w:p>
      <w:pPr>
        <w:pStyle w:val="Normal"/>
        <w:rPr/>
      </w:pPr>
      <w:r>
        <w:rPr/>
        <w:t>三年收入</w:t>
      </w:r>
      <w:r>
        <w:rPr/>
        <w:t>950</w:t>
      </w:r>
      <w:r>
        <w:rPr/>
        <w:t>亿元较</w:t>
      </w:r>
      <w:r>
        <w:rPr/>
        <w:t>2025</w:t>
      </w:r>
      <w:r>
        <w:rPr/>
        <w:t>年</w:t>
      </w:r>
      <w:r>
        <w:rPr/>
        <w:t>624.09</w:t>
      </w:r>
      <w:r>
        <w:rPr/>
        <w:t>亿元明显提高，需要国际、入境与国内价值业务共同贡献。</w:t>
      </w:r>
      <w:r>
        <w:rPr/>
        <w:t>31%</w:t>
      </w:r>
      <w:r>
        <w:rPr/>
        <w:t>正常利润率高于六月约</w:t>
      </w:r>
      <w:r>
        <w:rPr/>
        <w:t>27.87%</w:t>
      </w:r>
      <w:r>
        <w:rPr/>
        <w:t>，要求营销后效率更好而不是仅毛利提高。若收入达标但利润率维持</w:t>
      </w:r>
      <w:r>
        <w:rPr/>
        <w:t>25%</w:t>
      </w:r>
      <w:r>
        <w:rPr/>
        <w:t>，每年</w:t>
      </w:r>
      <w:r>
        <w:rPr/>
        <w:t>EBIT</w:t>
      </w:r>
      <w:r>
        <w:rPr/>
        <w:t>少</w:t>
      </w:r>
      <w:r>
        <w:rPr/>
        <w:t>57</w:t>
      </w:r>
      <w:r>
        <w:rPr/>
        <w:t>亿元，税后</w:t>
      </w:r>
      <w:r>
        <w:rPr/>
        <w:t>EPS</w:t>
      </w:r>
      <w:r>
        <w:rPr/>
        <w:t>与目标明显下降。增长与利润率不能同时无条件乐观，公开模型保留各假设。</w:t>
      </w:r>
    </w:p>
    <w:p>
      <w:pPr>
        <w:pStyle w:val="Normal"/>
        <w:rPr/>
      </w:pPr>
      <w:r>
        <w:rPr/>
        <w:t>五年基准收入</w:t>
      </w:r>
      <w:r>
        <w:rPr/>
        <w:t>1200</w:t>
      </w:r>
      <w:r>
        <w:rPr/>
        <w:t>亿元、</w:t>
      </w:r>
      <w:r>
        <w:rPr/>
        <w:t>31%</w:t>
      </w:r>
      <w:r>
        <w:rPr/>
        <w:t>利润率、税后其他</w:t>
      </w:r>
      <w:r>
        <w:rPr/>
        <w:t>15</w:t>
      </w:r>
      <w:r>
        <w:rPr/>
        <w:t>亿元、</w:t>
      </w:r>
      <w:r>
        <w:rPr/>
        <w:t>6.30</w:t>
      </w:r>
      <w:r>
        <w:rPr/>
        <w:t>亿股，</w:t>
      </w:r>
      <w:r>
        <w:rPr/>
        <w:t>EPS49.62</w:t>
      </w:r>
      <w:r>
        <w:rPr/>
        <w:t>元、</w:t>
      </w:r>
      <w:r>
        <w:rPr/>
        <w:t>16</w:t>
      </w:r>
      <w:r>
        <w:rPr/>
        <w:t>倍扣罚款得</w:t>
      </w:r>
      <w:r>
        <w:rPr/>
        <w:t>864.27</w:t>
      </w:r>
      <w:r>
        <w:rPr/>
        <w:t>港元，股票上升</w:t>
      </w:r>
      <w:r>
        <w:rPr/>
        <w:t>183.93%</w:t>
      </w:r>
      <w:r>
        <w:rPr/>
        <w:t>、加</w:t>
      </w:r>
      <w:r>
        <w:rPr/>
        <w:t>10</w:t>
      </w:r>
      <w:r>
        <w:rPr/>
        <w:t>港元分红总回报</w:t>
      </w:r>
      <w:r>
        <w:rPr/>
        <w:t>187.21%</w:t>
      </w:r>
      <w:r>
        <w:rPr/>
        <w:t>、年化约</w:t>
      </w:r>
      <w:r>
        <w:rPr/>
        <w:t>23.49%</w:t>
      </w:r>
      <w:r>
        <w:rPr/>
        <w:t>。此</w:t>
      </w:r>
      <w:r>
        <w:rPr/>
        <w:t>EPS</w:t>
      </w:r>
      <w:r>
        <w:rPr/>
        <w:t>超过</w:t>
      </w:r>
      <w:r>
        <w:rPr/>
        <w:t>2025</w:t>
      </w:r>
      <w:r>
        <w:rPr/>
        <w:t>含大投资收益的</w:t>
      </w:r>
      <w:r>
        <w:rPr/>
        <w:t>45.59</w:t>
      </w:r>
      <w:r>
        <w:rPr/>
        <w:t>，但来自未来经营桥，必须有收入和效率支撑，不能说现有年度利润已经支持长期目标。</w:t>
      </w:r>
    </w:p>
    <w:p>
      <w:pPr>
        <w:pStyle w:val="Normal"/>
        <w:rPr/>
      </w:pPr>
      <w:r>
        <w:rPr/>
        <w:t>三年与五年悲观</w:t>
      </w:r>
      <w:r>
        <w:rPr/>
        <w:t>170.29</w:t>
      </w:r>
      <w:r>
        <w:rPr/>
        <w:t>、</w:t>
      </w:r>
      <w:r>
        <w:rPr/>
        <w:t>135.75</w:t>
      </w:r>
      <w:r>
        <w:rPr/>
        <w:t>港元，反映收入只有</w:t>
      </w:r>
      <w:r>
        <w:rPr/>
        <w:t>640</w:t>
      </w:r>
      <w:r>
        <w:rPr/>
        <w:t>至</w:t>
      </w:r>
      <w:r>
        <w:rPr/>
        <w:t>660</w:t>
      </w:r>
      <w:r>
        <w:rPr/>
        <w:t>亿元、利润率</w:t>
      </w:r>
      <w:r>
        <w:rPr/>
        <w:t>22%</w:t>
      </w:r>
      <w:r>
        <w:rPr/>
        <w:t>至</w:t>
      </w:r>
      <w:r>
        <w:rPr/>
        <w:t>20%</w:t>
      </w:r>
      <w:r>
        <w:rPr/>
        <w:t>、股数增至</w:t>
      </w:r>
      <w:r>
        <w:rPr/>
        <w:t>7.2</w:t>
      </w:r>
      <w:r>
        <w:rPr/>
        <w:t>亿和</w:t>
      </w:r>
      <w:r>
        <w:rPr/>
        <w:t>7.5</w:t>
      </w:r>
      <w:r>
        <w:rPr/>
        <w:t>亿及倍数</w:t>
      </w:r>
      <w:r>
        <w:rPr/>
        <w:t>10</w:t>
      </w:r>
      <w:r>
        <w:rPr/>
        <w:t>至</w:t>
      </w:r>
      <w:r>
        <w:rPr/>
        <w:t>9</w:t>
      </w:r>
      <w:r>
        <w:rPr/>
        <w:t>。乐观</w:t>
      </w:r>
      <w:r>
        <w:rPr/>
        <w:t>1532.44</w:t>
      </w:r>
      <w:r>
        <w:rPr/>
        <w:t>、</w:t>
      </w:r>
      <w:r>
        <w:rPr/>
        <w:t>2154.58</w:t>
      </w:r>
      <w:r>
        <w:rPr/>
        <w:t>则要求收入</w:t>
      </w:r>
      <w:r>
        <w:rPr/>
        <w:t>1280</w:t>
      </w:r>
      <w:r>
        <w:rPr/>
        <w:t>至</w:t>
      </w:r>
      <w:r>
        <w:rPr/>
        <w:t>1800</w:t>
      </w:r>
      <w:r>
        <w:rPr/>
        <w:t>亿元、利润率</w:t>
      </w:r>
      <w:r>
        <w:rPr/>
        <w:t>36%</w:t>
      </w:r>
      <w:r>
        <w:rPr/>
        <w:t>至</w:t>
      </w:r>
      <w:r>
        <w:rPr/>
        <w:t>37%</w:t>
      </w:r>
      <w:r>
        <w:rPr/>
        <w:t>、净缩股与较高</w:t>
      </w:r>
      <w:r>
        <w:rPr/>
        <w:t>PE</w:t>
      </w:r>
      <w:r>
        <w:rPr/>
        <w:t>，兑现门槛很高。长久期可以放大成功收益，也会放大错误商业假设损失。</w:t>
      </w:r>
    </w:p>
    <w:p>
      <w:pPr>
        <w:pStyle w:val="Heading2"/>
        <w:rPr/>
      </w:pPr>
      <w:r>
        <w:rPr>
          <w:color w:val="000000"/>
        </w:rPr>
        <w:t>二十四 十年持续性与失败路径</w:t>
      </w:r>
    </w:p>
    <w:p>
      <w:pPr>
        <w:pStyle w:val="Normal"/>
        <w:rPr/>
      </w:pPr>
      <w:r>
        <w:rPr/>
        <w:t>十年经营展望的优势是旅行需求、供给网络与复杂履约服务可能长期存在，国际品牌与技术能力能够继续扩展。人工智能可以改变入口，却很难自动替代支付确认、改签、退订和目的地售后。携程若成为多入口可信旅行交易基础设施，有长期经济价值，但商业收费可能从当前佣金模式演化，不能永久保持同样利润率。</w:t>
      </w:r>
    </w:p>
    <w:p>
      <w:pPr>
        <w:pStyle w:val="Normal"/>
        <w:rPr/>
      </w:pPr>
      <w:r>
        <w:rPr/>
        <w:t>失败路径包括酒店航空直销与人工智能入口压低平台收费、全球获客成本持续增加、规则限制商业化、消费者信任受损，以及投资组合消耗资本。某些路径不一定使收入下降，例如用户更多却单位收入和利润更低，资本回报仍可能变差。因此十年持续性需看净收益与现金，而不是只看服务人数和全球覆盖。</w:t>
      </w:r>
    </w:p>
    <w:p>
      <w:pPr>
        <w:pStyle w:val="Normal"/>
        <w:rPr/>
      </w:pPr>
      <w:r>
        <w:rPr/>
        <w:t>设备资本开支相对小不意味所有投入都轻，研发、服务与营销是经常性费用，不能像土地设备一样容易出售变现。平台若为了竞争每年更高投入，却没有提升自然复购，长期经济相当于不断买流量。高毛利收入在这种情况下未必有高自由现金回报，应将长期倍数下调。</w:t>
      </w:r>
    </w:p>
    <w:p>
      <w:pPr>
        <w:pStyle w:val="Normal"/>
        <w:rPr/>
      </w:pPr>
      <w:r>
        <w:rPr/>
        <w:t>成功路径则是消费者信任、供给工具和服务效率相互增强，国际自然流量提高，国内规则促进更稳定伙伴关系，人工智能减少摩擦并提高转化。此时集团可以不依赖投资处置支持收益，正常利润与现金足以支付股东回报。十年不设精确价格，按经营条件持续更新三至五年模型更有证据基础。</w:t>
      </w:r>
    </w:p>
    <w:p>
      <w:pPr>
        <w:pStyle w:val="Heading2"/>
        <w:rPr/>
      </w:pPr>
      <w:r>
        <w:rPr>
          <w:color w:val="000000"/>
        </w:rPr>
        <w:t>二十五 估值与汇率敏感性</w:t>
      </w:r>
    </w:p>
    <w:p>
      <w:pPr>
        <w:pStyle w:val="Normal"/>
        <w:rPr/>
      </w:pPr>
      <w:r>
        <w:rPr/>
        <w:t>一年基准</w:t>
      </w:r>
      <w:r>
        <w:rPr/>
        <w:t>EPS30</w:t>
      </w:r>
      <w:r>
        <w:rPr/>
        <w:t>元，若</w:t>
      </w:r>
      <w:r>
        <w:rPr/>
        <w:t>PE13</w:t>
      </w:r>
      <w:r>
        <w:rPr/>
        <w:t>、</w:t>
      </w:r>
      <w:r>
        <w:rPr/>
        <w:t>16</w:t>
      </w:r>
      <w:r>
        <w:rPr/>
        <w:t>、</w:t>
      </w:r>
      <w:r>
        <w:rPr/>
        <w:t>19</w:t>
      </w:r>
      <w:r>
        <w:rPr/>
        <w:t>倍，扣同一次罚款与</w:t>
      </w:r>
      <w:r>
        <w:rPr/>
        <w:t>1.10</w:t>
      </w:r>
      <w:r>
        <w:rPr/>
        <w:t>汇率后价格约</w:t>
      </w:r>
      <w:r>
        <w:rPr/>
        <w:t>420.23</w:t>
      </w:r>
      <w:r>
        <w:rPr/>
        <w:t>、</w:t>
      </w:r>
      <w:r>
        <w:rPr/>
        <w:t>519.23</w:t>
      </w:r>
      <w:r>
        <w:rPr/>
        <w:t>、</w:t>
      </w:r>
      <w:r>
        <w:rPr/>
        <w:t>618.23</w:t>
      </w:r>
      <w:r>
        <w:rPr/>
        <w:t>港元。仅倍数改变就使目标跨度较大，说明机构目标不同未必都是盈利观点不同。利润率每变动一个百分点，</w:t>
      </w:r>
      <w:r>
        <w:rPr/>
        <w:t>750</w:t>
      </w:r>
      <w:r>
        <w:rPr/>
        <w:t>亿元收入下</w:t>
      </w:r>
      <w:r>
        <w:rPr/>
        <w:t>EBIT</w:t>
      </w:r>
      <w:r>
        <w:rPr/>
        <w:t>变化</w:t>
      </w:r>
      <w:r>
        <w:rPr/>
        <w:t>7.5</w:t>
      </w:r>
      <w:r>
        <w:rPr/>
        <w:t>亿元，按</w:t>
      </w:r>
      <w:r>
        <w:rPr/>
        <w:t>20%</w:t>
      </w:r>
      <w:r>
        <w:rPr/>
        <w:t>税率与</w:t>
      </w:r>
      <w:r>
        <w:rPr/>
        <w:t>6.5</w:t>
      </w:r>
      <w:r>
        <w:rPr/>
        <w:t>亿股约改变</w:t>
      </w:r>
      <w:r>
        <w:rPr/>
        <w:t>EPS0.923</w:t>
      </w:r>
      <w:r>
        <w:rPr/>
        <w:t>元、目标约</w:t>
      </w:r>
      <w:r>
        <w:rPr/>
        <w:t>16.25</w:t>
      </w:r>
      <w:r>
        <w:rPr/>
        <w:t>港元。</w:t>
      </w:r>
    </w:p>
    <w:p>
      <w:pPr>
        <w:pStyle w:val="Normal"/>
        <w:rPr/>
      </w:pPr>
      <w:r>
        <w:rPr/>
        <w:t>一年若股数由</w:t>
      </w:r>
      <w:r>
        <w:rPr/>
        <w:t>6.5</w:t>
      </w:r>
      <w:r>
        <w:rPr/>
        <w:t>亿变</w:t>
      </w:r>
      <w:r>
        <w:rPr/>
        <w:t>7.0</w:t>
      </w:r>
      <w:r>
        <w:rPr/>
        <w:t>亿而盈利不变，</w:t>
      </w:r>
      <w:r>
        <w:rPr/>
        <w:t>EPS</w:t>
      </w:r>
      <w:r>
        <w:rPr/>
        <w:t>下降约</w:t>
      </w:r>
      <w:r>
        <w:rPr/>
        <w:t>7.14%</w:t>
      </w:r>
      <w:r>
        <w:rPr/>
        <w:t>，价格也相近下降，罚款每股扣减略少只是小影响。税率由</w:t>
      </w:r>
      <w:r>
        <w:rPr/>
        <w:t>20%</w:t>
      </w:r>
      <w:r>
        <w:rPr/>
        <w:t>变</w:t>
      </w:r>
      <w:r>
        <w:rPr/>
        <w:t>25%</w:t>
      </w:r>
      <w:r>
        <w:rPr/>
        <w:t>，</w:t>
      </w:r>
      <w:r>
        <w:rPr/>
        <w:t>225</w:t>
      </w:r>
      <w:r>
        <w:rPr/>
        <w:t>亿元正常</w:t>
      </w:r>
      <w:r>
        <w:rPr/>
        <w:t>EBIT</w:t>
      </w:r>
      <w:r>
        <w:rPr/>
        <w:t>下税后利润少</w:t>
      </w:r>
      <w:r>
        <w:rPr/>
        <w:t>11.25</w:t>
      </w:r>
      <w:r>
        <w:rPr/>
        <w:t>亿元、</w:t>
      </w:r>
      <w:r>
        <w:rPr/>
        <w:t>EPS</w:t>
      </w:r>
      <w:r>
        <w:rPr/>
        <w:t>少约</w:t>
      </w:r>
      <w:r>
        <w:rPr/>
        <w:t>1.73</w:t>
      </w:r>
      <w:r>
        <w:rPr/>
        <w:t>元、价格约少</w:t>
      </w:r>
      <w:r>
        <w:rPr/>
        <w:t>30.46</w:t>
      </w:r>
      <w:r>
        <w:rPr/>
        <w:t>港元。正常经营税、股数与利润率是目标可复核的主要驱动，不在一个综合风险折价里隐藏。</w:t>
      </w:r>
    </w:p>
    <w:p>
      <w:pPr>
        <w:pStyle w:val="Normal"/>
        <w:rPr/>
      </w:pPr>
      <w:r>
        <w:rPr/>
        <w:t>研究</w:t>
      </w:r>
      <w:r>
        <w:rPr/>
        <w:t>FX</w:t>
      </w:r>
      <w:r>
        <w:rPr/>
        <w:t>高或低</w:t>
      </w:r>
      <w:r>
        <w:rPr/>
        <w:t>5%</w:t>
      </w:r>
      <w:r>
        <w:rPr/>
        <w:t>，固定人民币盈利、</w:t>
      </w:r>
      <w:r>
        <w:rPr/>
        <w:t>PE</w:t>
      </w:r>
      <w:r>
        <w:rPr/>
        <w:t>及人民币罚款折算下港元价格也大致同比高或低</w:t>
      </w:r>
      <w:r>
        <w:rPr/>
        <w:t>5%</w:t>
      </w:r>
      <w:r>
        <w:rPr/>
        <w:t>。人民币账户总回报应按期末港元资产和股息转换人民币，与期初兑换成本比较；港币升值能改善账户结果，贬值会削弱，不能把港元上涨自动当人民币同幅上涨。实际业务汇率还影响需求，单纯换算敏感并不包含全部经营敞口。</w:t>
      </w:r>
    </w:p>
    <w:p>
      <w:pPr>
        <w:pStyle w:val="Normal"/>
        <w:rPr/>
      </w:pPr>
      <w:r>
        <w:rPr/>
        <w:t>罚款资本扣减约</w:t>
      </w:r>
      <w:r>
        <w:rPr/>
        <w:t>8</w:t>
      </w:r>
      <w:r>
        <w:rPr/>
        <w:t>至</w:t>
      </w:r>
      <w:r>
        <w:rPr/>
        <w:t>10</w:t>
      </w:r>
      <w:r>
        <w:rPr/>
        <w:t>港元，只占当前价约</w:t>
      </w:r>
      <w:r>
        <w:rPr/>
        <w:t>3%</w:t>
      </w:r>
      <w:r>
        <w:rPr/>
        <w:t>，因此不能用它单独解释</w:t>
      </w:r>
      <w:r>
        <w:rPr/>
        <w:t>50%</w:t>
      </w:r>
      <w:r>
        <w:rPr/>
        <w:t>历史回撤，也不能认为付款后价格必然恢复。回撤核心还包含佣金、需求、费用、盈利质量与风险溢价，模型必须看这些变量。若持续规则压力更强，盈利桥变化可能远大于罚款单次金额。</w:t>
      </w:r>
    </w:p>
    <w:p>
      <w:pPr>
        <w:pStyle w:val="Heading2"/>
        <w:rPr/>
      </w:pPr>
      <w:r>
        <w:rPr>
          <w:color w:val="000000"/>
        </w:rPr>
        <w:t>二十六 外资目标价与信息时点</w:t>
      </w:r>
    </w:p>
    <w:p>
      <w:pPr>
        <w:pStyle w:val="Normal"/>
        <w:rPr/>
      </w:pPr>
      <w:r>
        <w:rPr/>
        <w:t>公开高盛九月十八日表列携程目标</w:t>
      </w:r>
      <w:r>
        <w:rPr/>
        <w:t>536</w:t>
      </w:r>
      <w:r>
        <w:rPr/>
        <w:t>港元、买入，九月十七日有详细业绩转述同目标；同机构保留较新有效记录，去重转载。大华继显十月五日</w:t>
      </w:r>
      <w:r>
        <w:rPr/>
        <w:t>508</w:t>
      </w:r>
      <w:r>
        <w:rPr/>
        <w:t>港元、买入。目标期限在公开转载未明确时留空，不宣称都为十二个月。两者相对</w:t>
      </w:r>
      <w:r>
        <w:rPr/>
        <w:t>304.40</w:t>
      </w:r>
      <w:r>
        <w:rPr/>
        <w:t>空间</w:t>
      </w:r>
      <w:r>
        <w:rPr/>
        <w:t>76.08%</w:t>
      </w:r>
      <w:r>
        <w:rPr/>
        <w:t>、</w:t>
      </w:r>
      <w:r>
        <w:rPr/>
        <w:t>66.89%</w:t>
      </w:r>
      <w:r>
        <w:rPr/>
        <w:t>，可与本文一年</w:t>
      </w:r>
      <w:r>
        <w:rPr/>
        <w:t>519.23</w:t>
      </w:r>
      <w:r>
        <w:rPr/>
        <w:t>基准参照，但不替代本模型。</w:t>
      </w:r>
    </w:p>
    <w:p>
      <w:pPr>
        <w:pStyle w:val="Normal"/>
        <w:rPr/>
      </w:pPr>
      <w:r>
        <w:rPr/>
        <w:t>高盛转述称业绩大致符合预期、新酒店分级影响未如市场担心严重，也给九月季度收入和利润指引。原公司发布与电话会记录未明确呈现全部相同指引数字，本文将这些保留为机构转述信息，不冒充已核公司结果。公开资讯可以提供方向，核心经营输入优先官方财表，矛盾必须注明。</w:t>
      </w:r>
    </w:p>
    <w:p>
      <w:pPr>
        <w:pStyle w:val="Normal"/>
        <w:rPr/>
      </w:pPr>
      <w:r>
        <w:rPr/>
        <w:t>中银国际九月十七日</w:t>
      </w:r>
      <w:r>
        <w:rPr/>
        <w:t>427</w:t>
      </w:r>
      <w:r>
        <w:rPr/>
        <w:t>港元是中资机构参照，不混进外资目标统计，公开转述同时提醒新监管和高油价压力。机构目标之间差异说明不确定性仍大，也可能因为盈利、倍数、估值方法和时点不同。本文不计算简单平均然后称市场共识，缺原研报限制一并保留。</w:t>
      </w:r>
    </w:p>
    <w:p>
      <w:pPr>
        <w:pStyle w:val="Normal"/>
        <w:rPr/>
      </w:pPr>
      <w:r>
        <w:rPr/>
        <w:t>年底</w:t>
      </w:r>
      <w:r>
        <w:rPr/>
        <w:t>431.54</w:t>
      </w:r>
      <w:r>
        <w:rPr/>
        <w:t>基准不是将</w:t>
      </w:r>
      <w:r>
        <w:rPr/>
        <w:t>536</w:t>
      </w:r>
      <w:r>
        <w:rPr/>
        <w:t>乘剩余月数，也不是套机构一年目标到年底。它采用年底可能观察的</w:t>
      </w:r>
      <w:r>
        <w:rPr/>
        <w:t>NTM</w:t>
      </w:r>
      <w:r>
        <w:rPr/>
        <w:t>盈利</w:t>
      </w:r>
      <w:r>
        <w:rPr/>
        <w:t>25.01</w:t>
      </w:r>
      <w:r>
        <w:rPr/>
        <w:t>元与</w:t>
      </w:r>
      <w:r>
        <w:rPr/>
        <w:t>16</w:t>
      </w:r>
      <w:r>
        <w:rPr/>
        <w:t>倍等条件，一年则</w:t>
      </w:r>
      <w:r>
        <w:rPr/>
        <w:t>NTM</w:t>
      </w:r>
      <w:r>
        <w:rPr/>
        <w:t>盈利</w:t>
      </w:r>
      <w:r>
        <w:rPr/>
        <w:t>30</w:t>
      </w:r>
      <w:r>
        <w:rPr/>
        <w:t>元，含不同增长与效率假设。机构目标资料截止后有修订不属于本版，后续刷新须保留发布时间，避免用未来知识解释当时推荐。</w:t>
      </w:r>
    </w:p>
    <w:p>
      <w:pPr>
        <w:pStyle w:val="Heading2"/>
        <w:rPr/>
      </w:pPr>
      <w:r>
        <w:rPr>
          <w:color w:val="000000"/>
        </w:rPr>
        <w:t>二十七 四期限评分与证据解释</w:t>
      </w:r>
    </w:p>
    <w:p>
      <w:pPr>
        <w:pStyle w:val="Normal"/>
        <w:rPr/>
      </w:pPr>
      <w:r>
        <w:rPr/>
        <w:t>半年六维估值</w:t>
      </w:r>
      <w:r>
        <w:rPr/>
        <w:t>3.8</w:t>
      </w:r>
      <w:r>
        <w:rPr/>
        <w:t>、技术</w:t>
      </w:r>
      <w:r>
        <w:rPr/>
        <w:t>1.4</w:t>
      </w:r>
      <w:r>
        <w:rPr/>
        <w:t>、经营</w:t>
      </w:r>
      <w:r>
        <w:rPr/>
        <w:t>3.8</w:t>
      </w:r>
      <w:r>
        <w:rPr/>
        <w:t>、行业</w:t>
      </w:r>
      <w:r>
        <w:rPr/>
        <w:t>3.9</w:t>
      </w:r>
      <w:r>
        <w:rPr/>
        <w:t>、催化</w:t>
      </w:r>
      <w:r>
        <w:rPr/>
        <w:t>3.4</w:t>
      </w:r>
      <w:r>
        <w:rPr/>
        <w:t>、风险</w:t>
      </w:r>
      <w:r>
        <w:rPr/>
        <w:t>3.1</w:t>
      </w:r>
      <w:r>
        <w:rPr/>
        <w:t>，按</w:t>
      </w:r>
      <w:r>
        <w:rPr/>
        <w:t>25%</w:t>
      </w:r>
      <w:r>
        <w:rPr/>
        <w:t>、</w:t>
      </w:r>
      <w:r>
        <w:rPr/>
        <w:t>30%</w:t>
      </w:r>
      <w:r>
        <w:rPr/>
        <w:t>、</w:t>
      </w:r>
      <w:r>
        <w:rPr/>
        <w:t>15%</w:t>
      </w:r>
      <w:r>
        <w:rPr/>
        <w:t>、</w:t>
      </w:r>
      <w:r>
        <w:rPr/>
        <w:t>10%</w:t>
      </w:r>
      <w:r>
        <w:rPr/>
        <w:t>、</w:t>
      </w:r>
      <w:r>
        <w:rPr/>
        <w:t>10%</w:t>
      </w:r>
      <w:r>
        <w:rPr/>
        <w:t>、</w:t>
      </w:r>
      <w:r>
        <w:rPr/>
        <w:t>10%</w:t>
      </w:r>
      <w:r>
        <w:rPr/>
        <w:t>得</w:t>
      </w:r>
      <w:r>
        <w:rPr/>
        <w:t>59.6</w:t>
      </w:r>
      <w:r>
        <w:rPr/>
        <w:t>。估值有正常盈利恢复空间，技术低于均线和缩量反弹显著拉低时机分，催化需要等待披露，风险因规则和现金未知保持谨慎。评分不是股价上涨概率，各维零至五刻度反映证据判断。</w:t>
      </w:r>
    </w:p>
    <w:p>
      <w:pPr>
        <w:pStyle w:val="Normal"/>
        <w:rPr/>
      </w:pPr>
      <w:r>
        <w:rPr/>
        <w:t>一年估值</w:t>
      </w:r>
      <w:r>
        <w:rPr/>
        <w:t>4.0</w:t>
      </w:r>
      <w:r>
        <w:rPr/>
        <w:t>、技术</w:t>
      </w:r>
      <w:r>
        <w:rPr/>
        <w:t>1.4</w:t>
      </w:r>
      <w:r>
        <w:rPr/>
        <w:t>、经营</w:t>
      </w:r>
      <w:r>
        <w:rPr/>
        <w:t>3.9</w:t>
      </w:r>
      <w:r>
        <w:rPr/>
        <w:t>、周期</w:t>
      </w:r>
      <w:r>
        <w:rPr/>
        <w:t>4.0</w:t>
      </w:r>
      <w:r>
        <w:rPr/>
        <w:t>、催化</w:t>
      </w:r>
      <w:r>
        <w:rPr/>
        <w:t>3.6</w:t>
      </w:r>
      <w:r>
        <w:rPr/>
        <w:t>、风险</w:t>
      </w:r>
      <w:r>
        <w:rPr/>
        <w:t>3.1</w:t>
      </w:r>
      <w:r>
        <w:rPr/>
        <w:t>，按统一权重得</w:t>
      </w:r>
      <w:r>
        <w:rPr/>
        <w:t>69.1</w:t>
      </w:r>
      <w:r>
        <w:rPr/>
        <w:t>。三年估值</w:t>
      </w:r>
      <w:r>
        <w:rPr/>
        <w:t>4</w:t>
      </w:r>
      <w:r>
        <w:rPr/>
        <w:t>、技术</w:t>
      </w:r>
      <w:r>
        <w:rPr/>
        <w:t>1.4</w:t>
      </w:r>
      <w:r>
        <w:rPr/>
        <w:t>、经营</w:t>
      </w:r>
      <w:r>
        <w:rPr/>
        <w:t>4.1</w:t>
      </w:r>
      <w:r>
        <w:rPr/>
        <w:t>、周期</w:t>
      </w:r>
      <w:r>
        <w:rPr/>
        <w:t>4.2</w:t>
      </w:r>
      <w:r>
        <w:rPr/>
        <w:t>、催化</w:t>
      </w:r>
      <w:r>
        <w:rPr/>
        <w:t>3.6</w:t>
      </w:r>
      <w:r>
        <w:rPr/>
        <w:t>、风险</w:t>
      </w:r>
      <w:r>
        <w:rPr/>
        <w:t>3</w:t>
      </w:r>
      <w:r>
        <w:rPr/>
        <w:t>，技术仅</w:t>
      </w:r>
      <w:r>
        <w:rPr/>
        <w:t>5%</w:t>
      </w:r>
      <w:r>
        <w:rPr/>
        <w:t>得</w:t>
      </w:r>
      <w:r>
        <w:rPr/>
        <w:t>76.5</w:t>
      </w:r>
      <w:r>
        <w:rPr/>
        <w:t>。五年估值</w:t>
      </w:r>
      <w:r>
        <w:rPr/>
        <w:t>3.9</w:t>
      </w:r>
      <w:r>
        <w:rPr/>
        <w:t>、经营</w:t>
      </w:r>
      <w:r>
        <w:rPr/>
        <w:t>4.1</w:t>
      </w:r>
      <w:r>
        <w:rPr/>
        <w:t>、周期</w:t>
      </w:r>
      <w:r>
        <w:rPr/>
        <w:t>4.1</w:t>
      </w:r>
      <w:r>
        <w:rPr/>
        <w:t>、催化</w:t>
      </w:r>
      <w:r>
        <w:rPr/>
        <w:t>3.5</w:t>
      </w:r>
      <w:r>
        <w:rPr/>
        <w:t>、风险</w:t>
      </w:r>
      <w:r>
        <w:rPr/>
        <w:t>3</w:t>
      </w:r>
      <w:r>
        <w:rPr/>
        <w:t>，技术权重零，得</w:t>
      </w:r>
      <w:r>
        <w:rPr/>
        <w:t>77.3</w:t>
      </w:r>
      <w:r>
        <w:rPr/>
        <w:t>。长期经营优势权重提高，但风险不随时间自动降低。</w:t>
      </w:r>
    </w:p>
    <w:p>
      <w:pPr>
        <w:pStyle w:val="Normal"/>
        <w:rPr/>
      </w:pPr>
      <w:r>
        <w:rPr/>
        <w:t>原始财务与技术计算可靠度较高，估值可靠度中低，因为未来收入、利润率、税率、股数与倍数属于假设，罚款付款时点未核。公开机构转载可靠度中等，完整报告和明确信息缺失。推荐分数与数据可信度分开，不能将高评分当资料全部确定，也不因目标高而把假设升格事实。</w:t>
      </w:r>
    </w:p>
    <w:p>
      <w:pPr>
        <w:pStyle w:val="Normal"/>
        <w:rPr/>
      </w:pPr>
      <w:r>
        <w:rPr/>
        <w:t>公司在总表与其他旅游、互联网和医药发行人比较时，必须用同权重与同一基准价，</w:t>
      </w:r>
      <w:r>
        <w:rPr/>
        <w:t>A/H</w:t>
      </w:r>
      <w:r>
        <w:rPr/>
        <w:t>不同证券原则也一样。最终前十应突出不同发行人，差距不足三分归梯队，避免小数点排名制造过度确定性。携程当前半年分数低于自身长期，不意味着半年必跌，而是证据更不支持在短期兑现全部估值。</w:t>
      </w:r>
    </w:p>
    <w:p>
      <w:pPr>
        <w:pStyle w:val="Heading2"/>
        <w:rPr/>
      </w:pPr>
      <w:r>
        <w:rPr>
          <w:color w:val="000000"/>
        </w:rPr>
        <w:t>二十八 反证与待核验项目</w:t>
      </w:r>
    </w:p>
    <w:p>
      <w:pPr>
        <w:pStyle w:val="Normal"/>
        <w:rPr/>
      </w:pPr>
      <w:r>
        <w:rPr/>
        <w:t>推荐反证包括酒店新合作规则持续降低正常利润、营销费用增长高于净收入且国际复购未改善、交通需求受外部成本长期抑制、人工智能入口降低平台收费、现金支出和股数超过模型。连续多季情况比单季季节波动更有意义，若核心经济性被改变，应下调长期而非只推迟目标时点。</w:t>
      </w:r>
    </w:p>
    <w:p>
      <w:pPr>
        <w:pStyle w:val="Normal"/>
        <w:rPr/>
      </w:pPr>
      <w:r>
        <w:rPr/>
        <w:t>现金必须核罚款实际支付、受限资金、</w:t>
      </w:r>
      <w:r>
        <w:rPr/>
        <w:t>2026</w:t>
      </w:r>
      <w:r>
        <w:rPr/>
        <w:t>半年或后续运营现金流、短债到期处理和回购净效果。本文没有实际付款证据，不以现金余额变化倒推；也没有</w:t>
      </w:r>
      <w:r>
        <w:rPr/>
        <w:t>H1</w:t>
      </w:r>
      <w:r>
        <w:rPr/>
        <w:t>现金流页，不填造</w:t>
      </w:r>
      <w:r>
        <w:rPr/>
        <w:t>FCF</w:t>
      </w:r>
      <w:r>
        <w:rPr/>
        <w:t>。金融联营一次性损益继续与经营利润区分，尤其不能把新投资收益抬高的</w:t>
      </w:r>
      <w:r>
        <w:rPr/>
        <w:t>EPS</w:t>
      </w:r>
      <w:r>
        <w:rPr/>
        <w:t>当平台增长。</w:t>
      </w:r>
    </w:p>
    <w:p>
      <w:pPr>
        <w:pStyle w:val="Normal"/>
        <w:rPr/>
      </w:pPr>
      <w:r>
        <w:rPr/>
        <w:t>技术待验证是收复均线、量能持续性与相对恒指变化，支撑阻力仅极值观察，无精确筹码与机构流入判断。若技术恢复而利润未恢复，半年市场可能上涨但估值风险增高；若利润改善而价格仍下降，长期逻辑可保留但入场时机须审慎。两个维度不替代彼此。</w:t>
      </w:r>
    </w:p>
    <w:p>
      <w:pPr>
        <w:pStyle w:val="Normal"/>
        <w:rPr/>
      </w:pPr>
      <w:r>
        <w:rPr/>
        <w:t>完整论点是成熟旅行平台有国际与服务效率空间，低股价可能提供恢复收益，但正常盈利必须剥投资增益，罚款与持续规则必须真实计入。年底和四期限情景展示成长上行及利润下行情形，长期目标有高经营要求，不能依据历史高点或机构买入标签单独决策。后续新资料应按单套模型刷新并修订全名单总表。</w:t>
      </w:r>
    </w:p>
    <w:p>
      <w:pPr>
        <w:pStyle w:val="Heading2"/>
        <w:rPr/>
      </w:pPr>
      <w:r>
        <w:rPr>
          <w:color w:val="000000"/>
        </w:rPr>
        <w:t>来源与核验记录</w:t>
      </w:r>
    </w:p>
    <w:p>
      <w:pPr>
        <w:pStyle w:val="Normal"/>
        <w:rPr/>
      </w:pPr>
      <w:r>
        <w:rPr/>
        <w:t xml:space="preserve">1. </w:t>
      </w:r>
      <w:r>
        <w:rPr/>
        <w:t>公司六月季度新闻稿，</w:t>
      </w:r>
      <w:r>
        <w:rPr/>
        <w:t>2026-09-15</w:t>
      </w:r>
      <w:r>
        <w:rPr/>
        <w:t>美国发布日期：</w:t>
      </w:r>
      <w:r>
        <w:rPr/>
        <w:t>https://investors.trip.com/static-files/2f337a9d-0a49-4c46-8764-bce15cc9e3f0</w:t>
      </w:r>
    </w:p>
    <w:p>
      <w:pPr>
        <w:pStyle w:val="Normal"/>
        <w:rPr/>
      </w:pPr>
      <w:r>
        <w:rPr/>
        <w:t xml:space="preserve">2. </w:t>
      </w:r>
      <w:r>
        <w:rPr/>
        <w:t>公司</w:t>
      </w:r>
      <w:r>
        <w:rPr/>
        <w:t>2026Q2 Form 6-K</w:t>
      </w:r>
      <w:r>
        <w:rPr/>
        <w:t>原财表，同期发布：</w:t>
      </w:r>
      <w:r>
        <w:rPr/>
        <w:t>https://investors.trip.com/system/files-encrypted/nasdaq_kms/assets/2026/09/15/18-14-50/Form%206-K%202026%20Q2-EN.xlsx</w:t>
      </w:r>
    </w:p>
    <w:p>
      <w:pPr>
        <w:pStyle w:val="Normal"/>
        <w:rPr/>
      </w:pPr>
      <w:r>
        <w:rPr/>
        <w:t xml:space="preserve">3. </w:t>
      </w:r>
      <w:r>
        <w:rPr/>
        <w:t>公司网站电话会转录，</w:t>
      </w:r>
      <w:r>
        <w:rPr/>
        <w:t>2026-09-16</w:t>
      </w:r>
      <w:r>
        <w:rPr/>
        <w:t>香港时间；罚款</w:t>
      </w:r>
      <w:r>
        <w:rPr/>
        <w:t>5.28bn</w:t>
      </w:r>
      <w:r>
        <w:rPr/>
        <w:t>文字与原财表冲突优先财表：</w:t>
      </w:r>
      <w:r>
        <w:rPr/>
        <w:t>https://investors.trip.com/static-files/b37720cc-2263-4a11-bd61-1fb6cd5190d1</w:t>
      </w:r>
    </w:p>
    <w:p>
      <w:pPr>
        <w:pStyle w:val="Normal"/>
        <w:rPr/>
      </w:pPr>
      <w:r>
        <w:rPr/>
        <w:t>4. 2025</w:t>
      </w:r>
      <w:r>
        <w:rPr/>
        <w:t>年度</w:t>
      </w:r>
      <w:r>
        <w:rPr/>
        <w:t>20-F</w:t>
      </w:r>
      <w:r>
        <w:rPr/>
        <w:t>，</w:t>
      </w:r>
      <w:r>
        <w:rPr/>
        <w:t>2026-04-28</w:t>
      </w:r>
      <w:r>
        <w:rPr/>
        <w:t>官网文件：</w:t>
      </w:r>
      <w:r>
        <w:rPr/>
        <w:t>https://investors.trip.com/system/files-encrypted/nasdaq_kms/assets/2026/04/28/7-57-44/TCOM%2020F_04282026.pdf</w:t>
      </w:r>
    </w:p>
    <w:p>
      <w:pPr>
        <w:pStyle w:val="Normal"/>
        <w:rPr/>
      </w:pPr>
      <w:r>
        <w:rPr/>
        <w:t xml:space="preserve">5. </w:t>
      </w:r>
      <w:r>
        <w:rPr/>
        <w:t>公司</w:t>
      </w:r>
      <w:r>
        <w:rPr/>
        <w:t>2025</w:t>
      </w:r>
      <w:r>
        <w:rPr/>
        <w:t>年度结果，</w:t>
      </w:r>
      <w:r>
        <w:rPr/>
        <w:t>2026-02-25</w:t>
      </w:r>
      <w:r>
        <w:rPr/>
        <w:t>：</w:t>
      </w:r>
      <w:r>
        <w:rPr/>
        <w:t>https://investors.trip.com/system/files-encrypted/nasdaq_kms/assets/2026/02/25/18-33-13/Trip.com%20Group%20Limited%20Reports%20Unaudited%20Fourth%20Quarter%20and%20Full%20Year%20of%202025%20Financial%20Results.pdf</w:t>
      </w:r>
    </w:p>
    <w:p>
      <w:pPr>
        <w:pStyle w:val="Normal"/>
        <w:rPr/>
      </w:pPr>
      <w:r>
        <w:rPr/>
        <w:t xml:space="preserve">6. </w:t>
      </w:r>
      <w:r>
        <w:rPr/>
        <w:t>高盛最新有效表列，</w:t>
      </w:r>
      <w:r>
        <w:rPr/>
        <w:t>2026-09-18 16:30</w:t>
      </w:r>
      <w:r>
        <w:rPr/>
        <w:t>公开转载：</w:t>
      </w:r>
      <w:r>
        <w:rPr/>
        <w:t>https://www.aastocks.com/sc/stocks/analysis/stock-aafn-con/09961/AAFN/NOW.1545319/research-report</w:t>
      </w:r>
    </w:p>
    <w:p>
      <w:pPr>
        <w:pStyle w:val="Normal"/>
        <w:rPr/>
      </w:pPr>
      <w:r>
        <w:rPr/>
        <w:t xml:space="preserve">7. </w:t>
      </w:r>
      <w:r>
        <w:rPr/>
        <w:t>高盛详细评论，</w:t>
      </w:r>
      <w:r>
        <w:rPr/>
        <w:t>2026-09-17 12:05</w:t>
      </w:r>
      <w:r>
        <w:rPr/>
        <w:t>公开转载：</w:t>
      </w:r>
      <w:r>
        <w:rPr/>
        <w:t>https://www.aastocks.com/sc/stocks/analysis/stock-aafn-con/09961/AAFN/NOW.1545015/research-report</w:t>
      </w:r>
    </w:p>
    <w:p>
      <w:pPr>
        <w:pStyle w:val="Normal"/>
        <w:rPr/>
      </w:pPr>
      <w:r>
        <w:rPr/>
        <w:t xml:space="preserve">8. </w:t>
      </w:r>
      <w:r>
        <w:rPr/>
        <w:t>大华继显，</w:t>
      </w:r>
      <w:r>
        <w:rPr/>
        <w:t>2026-10-05 12:58</w:t>
      </w:r>
      <w:r>
        <w:rPr/>
        <w:t>：</w:t>
      </w:r>
      <w:r>
        <w:rPr/>
        <w:t>https://www.aastocks.com/sc/stocks/analysis/stock-aafn-con/09961/AAFN/NOW.1547727/research-report</w:t>
      </w:r>
    </w:p>
    <w:p>
      <w:pPr>
        <w:pStyle w:val="Normal"/>
        <w:rPr/>
      </w:pPr>
      <w:r>
        <w:rPr/>
        <w:t xml:space="preserve">9. </w:t>
      </w:r>
      <w:r>
        <w:rPr/>
        <w:t>中银国际中资参照，</w:t>
      </w:r>
      <w:r>
        <w:rPr/>
        <w:t>2026-09-17</w:t>
      </w:r>
      <w:r>
        <w:rPr/>
        <w:t>：</w:t>
      </w:r>
      <w:r>
        <w:rPr/>
        <w:t>https://www.aastocks.com/sc/stocks/analysis/stock-aafn-con/09961/AAFN/NOW.1545092/research-report</w:t>
      </w:r>
    </w:p>
    <w:p>
      <w:pPr>
        <w:pStyle w:val="Normal"/>
        <w:rPr/>
      </w:pPr>
      <w:r>
        <w:rPr/>
        <w:t xml:space="preserve">10. </w:t>
      </w:r>
      <w:r>
        <w:rPr/>
        <w:t>锁版行情</w:t>
      </w:r>
      <w:r>
        <w:rPr/>
        <w:t>data/market_snapshot_locked.json</w:t>
      </w:r>
      <w:r>
        <w:rPr/>
        <w:t>；历史</w:t>
      </w:r>
      <w:r>
        <w:rPr/>
        <w:t>data/history/S088.json</w:t>
      </w:r>
      <w:r>
        <w:rPr/>
        <w:t>；活动模型</w:t>
      </w:r>
      <w:r>
        <w:rPr/>
        <w:t>data/trip_model.json</w:t>
      </w:r>
      <w:r>
        <w:rPr/>
        <w:t>。</w:t>
      </w:r>
      <w:r>
        <w:br w:type="page"/>
      </w:r>
    </w:p>
    <w:p>
      <w:pPr>
        <w:pStyle w:val="Heading1"/>
        <w:rPr/>
      </w:pPr>
      <w:bookmarkStart w:id="5" w:name="__RefHeading___Toc27129_1364803659"/>
      <w:bookmarkEnd w:id="5"/>
      <w:r>
        <w:rPr>
          <w:color w:val="000000"/>
        </w:rPr>
        <w:t xml:space="preserve">康方生物 </w:t>
      </w:r>
      <w:r>
        <w:rPr>
          <w:color w:val="000000"/>
        </w:rPr>
        <w:t>09926 HK</w:t>
      </w:r>
    </w:p>
    <w:p>
      <w:pPr>
        <w:pStyle w:val="Normal"/>
        <w:rPr/>
      </w:pPr>
      <w:r>
        <w:rPr/>
        <w:t xml:space="preserve">09926.HK </w:t>
      </w:r>
      <w:r>
        <w:rPr/>
        <w:t xml:space="preserve">现价 </w:t>
      </w:r>
      <w:r>
        <w:rPr/>
        <w:t>109.10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71.29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-34.65%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-34.65%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86.85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125.03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153.02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+40.26%</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-89.86%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174.94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+60.35%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80.14HKD</w:t>
      </w:r>
      <w:r>
        <w:rPr/>
        <w:t>，期望股价回报</w:t>
      </w:r>
      <w:r>
        <w:rPr/>
        <w:t>-26.54%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10.94</w:t>
              <w:br/>
              <w:t>-89.97%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71.29</w:t>
              <w:br/>
              <w:t>-34.65%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187.74</w:t>
              <w:br/>
              <w:t>+72.08%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14.55</w:t>
              <w:br/>
              <w:t>-86.66%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86.85</w:t>
              <w:br/>
              <w:t>-20.40%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226.20</w:t>
              <w:br/>
              <w:t>+107.34%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17.06</w:t>
              <w:br/>
              <w:t>-84.36%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125.03</w:t>
              <w:br/>
              <w:t>+14.60%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318.41</w:t>
              <w:br/>
              <w:t>+191.85%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17.15</w:t>
              <w:br/>
              <w:t>-84.28%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153.02</w:t>
              <w:br/>
              <w:t>+40.26%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387.98</w:t>
              <w:br/>
              <w:t>+255.61%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一年日期修订：全部未来现金流</w:t>
      </w:r>
      <w:r>
        <w:rPr/>
        <w:t>ACT</w:t>
      </w:r>
      <w:r>
        <w:rPr/>
        <w:t>折现、目标年比例及目标现金</w:t>
      </w:r>
      <w:r>
        <w:rPr/>
        <w:t>/</w:t>
      </w:r>
      <w:r>
        <w:rPr/>
        <w:t>股数按实际日重算；经营假设不变。下文保留的额外压力测试按原假设日期运行，属于历史模型敏感性；核心三情景以上表及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r>
              <w:rPr>
                <w:rFonts w:eastAsia="微软雅黑" w:ascii="微软雅黑" w:hAnsi="微软雅黑"/>
                <w:sz w:val="17"/>
              </w:rPr>
              <w:t>-</w:t>
            </w:r>
            <w:r>
              <w:rPr>
                <w:rFonts w:ascii="微软雅黑" w:hAnsi="微软雅黑" w:eastAsia="微软雅黑"/>
                <w:sz w:val="17"/>
              </w:rPr>
              <w:t>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-37.92%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-34.65%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-31.39%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-24.38%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+33.25%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+47.27%</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109.10</w:t>
      </w:r>
      <w:r>
        <w:rPr/>
        <w:t>港元；资料截止同日。原中报</w:t>
      </w:r>
      <w:r>
        <w:rPr/>
        <w:t>9</w:t>
      </w:r>
      <w:r>
        <w:rPr/>
        <w:t>月</w:t>
      </w:r>
      <w:r>
        <w:rPr/>
        <w:t>30</w:t>
      </w:r>
      <w:r>
        <w:rPr/>
        <w:t>日公开，</w:t>
      </w:r>
      <w:r>
        <w:rPr/>
        <w:t>8</w:t>
      </w:r>
      <w:r>
        <w:rPr/>
        <w:t>月</w:t>
      </w:r>
      <w:r>
        <w:rPr/>
        <w:t>27</w:t>
      </w:r>
      <w:r>
        <w:rPr/>
        <w:t>日业绩公告先行。模型</w:t>
      </w:r>
      <w:r>
        <w:rPr/>
        <w:t>akeso-v2-year-end-cashflows</w:t>
      </w:r>
      <w:r>
        <w:rPr/>
        <w:t>；证据可信度中低，主要限制是海外分成及逐适应症原合同未全面核验。半年</w:t>
      </w:r>
      <w:r>
        <w:rPr/>
        <w:t>63.8</w:t>
      </w:r>
      <w:r>
        <w:rPr/>
        <w:t>分、一年</w:t>
      </w:r>
      <w:r>
        <w:rPr/>
        <w:t>69.9</w:t>
      </w:r>
      <w:r>
        <w:rPr/>
        <w:t>分、三年</w:t>
      </w:r>
      <w:r>
        <w:rPr/>
        <w:t>76.8</w:t>
      </w:r>
      <w:r>
        <w:rPr/>
        <w:t>分、五年</w:t>
      </w:r>
      <w:r>
        <w:rPr/>
        <w:t>76.5</w:t>
      </w:r>
      <w:r>
        <w:rPr/>
        <w:t>分；全名单名次及梯队由统一总表集成。商业和临床质量有吸引力，现价对较强海外成功已有要求，基准短期价值低于现价，宜列观察而非无条件买入。</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基准价格及含分红回报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67.28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174.94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71.29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-34.65%</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86.85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226.20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-20.40%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125.03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318.41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17.15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387.98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40.26%</w:t>
            </w:r>
          </w:p>
        </w:tc>
      </w:tr>
    </w:tbl>
    <w:p>
      <w:pPr>
        <w:pStyle w:val="Normal"/>
        <w:rPr/>
      </w:pPr>
      <w:r>
        <w:rPr/>
      </w:r>
    </w:p>
    <w:p>
      <w:pPr>
        <w:pStyle w:val="Normal"/>
        <w:rPr/>
      </w:pPr>
      <w:r>
        <w:rPr/>
        <w:t>股息暂设零，三年基准年化</w:t>
      </w:r>
      <w:r>
        <w:rPr/>
        <w:t>4.65%</w:t>
      </w:r>
      <w:r>
        <w:rPr/>
        <w:t>，五年基准</w:t>
      </w:r>
      <w:r>
        <w:rPr/>
        <w:t>7.00%</w:t>
      </w:r>
      <w:r>
        <w:rPr/>
        <w:t>。年底</w:t>
      </w:r>
      <w:r>
        <w:rPr/>
        <w:t>25/50/25</w:t>
      </w:r>
      <w:r>
        <w:rPr/>
        <w:t>判断权重下期望</w:t>
      </w:r>
      <w:r>
        <w:rPr/>
        <w:t>80.1436</w:t>
      </w:r>
      <w:r>
        <w:rPr/>
        <w:t>港元、期望回报</w:t>
      </w:r>
      <w:r>
        <w:rPr/>
        <w:t>-26.54%</w:t>
      </w:r>
      <w:r>
        <w:rPr/>
        <w:t>。区间很宽并非统计置信区间，悲观也非最大损失边界。目标来自国内经营利润估值与海外授权现金流简化</w:t>
      </w:r>
      <w:r>
        <w:rPr/>
        <w:t>rNPV</w:t>
      </w:r>
      <w:r>
        <w:rPr/>
        <w:t>；逐药物完整现金流模型尚未通过最终验收，不把公开投行目标直接搬到年底。</w:t>
      </w:r>
    </w:p>
    <w:p>
      <w:pPr>
        <w:pStyle w:val="Heading2"/>
        <w:rPr/>
      </w:pPr>
      <w:r>
        <w:rPr>
          <w:color w:val="000000"/>
        </w:rPr>
        <w:t>一 投资结论先区分药物质量和买入价值</w:t>
      </w:r>
    </w:p>
    <w:p>
      <w:pPr>
        <w:pStyle w:val="Normal"/>
        <w:rPr/>
      </w:pPr>
      <w:r>
        <w:rPr/>
        <w:t>康方拥有两款已在中国上市的肿瘤免疫双抗：卡度尼利与依沃西。依沃西的多项随机研究、全球开发和合作伙伴扩张，使它成为名单中最有国际成长弹性的资产之一。这种质量值得深入研究，尤其相较只有很早期临床或缺乏资金的创新药企业，公司已经具备产品、制造和销售基础。但药物质量高并不自动说明当前市值便宜，股票回报仍取决于现金流权益和价格。</w:t>
      </w:r>
    </w:p>
    <w:p>
      <w:pPr>
        <w:pStyle w:val="Normal"/>
        <w:rPr/>
      </w:pPr>
      <w:r>
        <w:rPr/>
        <w:t>现价一百〇九点一港元对应约九点二亿已发行股，市场隐含股权价值已在千亿港元附近。国内法定收入尚约十八亿元半年，集团仍亏损，估值主要不能由当前利润支撑。市场实际支付的是未来国内产品放量、海外版税和更多适应症成功的价值。若海外权益只在一部分肺癌市场兑现，或净价和市占率低于预期，即使药物成功，股价仍可能低于当前水平。</w:t>
      </w:r>
    </w:p>
    <w:p>
      <w:pPr>
        <w:pStyle w:val="Normal"/>
        <w:rPr/>
      </w:pPr>
      <w:r>
        <w:rPr/>
        <w:t>本章先建立可计算的国内经营利润和海外版税模块，再看得出的价格与投行目标差异。模型基准短期低于现价，三年与五年仅有较温和回报；乐观则非常高，说明投资高度依赖全球临床、峰值销售和分成。这种结果需要如实展示，不为追平机构价格而人为提高假设。对于进取型投资者，潜在上行值得关注，基准不足和巨大悲观损失也必须进入排名。</w:t>
      </w:r>
    </w:p>
    <w:p>
      <w:pPr>
        <w:pStyle w:val="Normal"/>
        <w:rPr/>
      </w:pPr>
      <w:r>
        <w:rPr/>
        <w:t>判断可信度中低并不是否认原财报或价格数据。历史收入、财务与量价均有原始依据；不确定主要来自预测需要的地区权益、实际分成、共同开发责任、逐适应症销量和未来成本。模型把这些缺口明示为假设，不能把一个输出精确到分的表称为已经核验完整估值。后续获得合同和临床原文时，应升级模型并同步更新总表。</w:t>
      </w:r>
    </w:p>
    <w:p>
      <w:pPr>
        <w:pStyle w:val="Heading2"/>
        <w:rPr/>
      </w:pPr>
      <w:r>
        <w:rPr>
          <w:color w:val="000000"/>
        </w:rPr>
        <w:t>二 平台与商业化基础</w:t>
      </w:r>
    </w:p>
    <w:p>
      <w:pPr>
        <w:pStyle w:val="Normal"/>
        <w:rPr/>
      </w:pPr>
      <w:r>
        <w:rPr/>
        <w:t>公司以双抗及多抗技术建立研发平台，已经向</w:t>
      </w:r>
      <w:r>
        <w:rPr/>
        <w:t>ADC</w:t>
      </w:r>
      <w:r>
        <w:rPr/>
        <w:t>、三抗、细胞治疗、</w:t>
      </w:r>
      <w:r>
        <w:rPr/>
        <w:t>siRNA</w:t>
      </w:r>
      <w:r>
        <w:rPr/>
        <w:t>及肿瘤疫苗拓展。平台价值在于能反复产生具有临床差异化的药物，并以可靠质量生产，不能仅由靶点数量或新技术名称决定。双抗结构提供同时调节两条路径的可能，也使生产、剂量、安全和临床设计更复杂。成功来自实际效益风险与患者使用，而非分子设计天然优越。</w:t>
      </w:r>
    </w:p>
    <w:p>
      <w:pPr>
        <w:pStyle w:val="Normal"/>
        <w:rPr/>
      </w:pPr>
      <w:r>
        <w:rPr/>
        <w:t>截至报告期，公司自主商业化前五款创新药的十二项已批适应症进入新版医保，销售团队超过一千六百人；全部员工四千〇八十二。产品和渠道已形成，能够降低下一款同科室药物的初始铺设成本。但多个科室和多个治疗领域有不同专业要求，扩大团队可能继续增加固定费用。商业化护城河需要在销售增长时体现每位员工产出、费用率和现金回款，而不是队伍规模本身。</w:t>
      </w:r>
    </w:p>
    <w:p>
      <w:pPr>
        <w:pStyle w:val="Normal"/>
        <w:rPr/>
      </w:pPr>
      <w:r>
        <w:rPr/>
        <w:t>已运行产能约五万五千升，其中不锈钢和一次性反应器构成不同生产方式。产能可以支持核心产品增长及向合作方供货，利用率不足也会造成折旧和成本。对于新的双抗或</w:t>
      </w:r>
      <w:r>
        <w:rPr/>
        <w:t>ADC</w:t>
      </w:r>
      <w:r>
        <w:rPr/>
        <w:t>，需要分别核验工艺、批次一致性和监管要求，不能将所有产能按同等高毛利收入计算。核心药全球销售扩大可能要求更多供应能力，其资本支出必须在现金模型中预留。</w:t>
      </w:r>
    </w:p>
    <w:p>
      <w:pPr>
        <w:pStyle w:val="Normal"/>
        <w:rPr/>
      </w:pPr>
      <w:r>
        <w:rPr/>
        <w:t>业务资源目前集中于两款肿瘤双抗，其他商业药提供补充。集中让执行更聚焦，但也使依沃西临床和定价对公司价值影响很大。与成熟多产品药企相比，公司经营和估值更受单一资产事件驱动；与只有单管线公司相比，国内销售和现金提供缓冲。风险评分应反映这个位置，不能因已上市就把临床风险删除，也不能因尚亏损就忽略商业化基础。</w:t>
      </w:r>
    </w:p>
    <w:p>
      <w:pPr>
        <w:pStyle w:val="Heading2"/>
        <w:rPr/>
      </w:pPr>
      <w:r>
        <w:rPr>
          <w:color w:val="000000"/>
        </w:rPr>
        <w:t>三 依沃西中国临床与适应症扩张</w:t>
      </w:r>
    </w:p>
    <w:p>
      <w:pPr>
        <w:pStyle w:val="Normal"/>
        <w:rPr/>
      </w:pPr>
      <w:r>
        <w:rPr/>
        <w:t>依沃西为</w:t>
      </w:r>
      <w:r>
        <w:rPr/>
        <w:t>PD</w:t>
      </w:r>
      <w:r>
        <w:rPr/>
        <w:t>一及</w:t>
      </w:r>
      <w:r>
        <w:rPr/>
        <w:t>VEGF</w:t>
      </w:r>
      <w:r>
        <w:rPr/>
        <w:t>双抗，中国已获三项适应症，其中前两项进入医保；八月批准联合化疗一线鳞状非小细胞肺癌，来自</w:t>
      </w:r>
      <w:r>
        <w:rPr/>
        <w:t>HARMONi</w:t>
      </w:r>
      <w:r>
        <w:rPr/>
        <w:t>六研究。研究取得无进展与总生存的积极结果比只报告反应率更有价值，因为直接比较患者疾病控制及生存。但获批范围、对照方案、入组人群和数据成熟度仍需要逐研究核验，不能将所有阳性汇总为全球任意癌种都有效。</w:t>
      </w:r>
    </w:p>
    <w:p>
      <w:pPr>
        <w:pStyle w:val="Normal"/>
        <w:rPr/>
      </w:pPr>
      <w:r>
        <w:rPr/>
        <w:t>EGFR</w:t>
      </w:r>
      <w:r>
        <w:rPr/>
        <w:t>抑制剂后进展的人群、</w:t>
      </w:r>
      <w:r>
        <w:rPr/>
        <w:t>PDL</w:t>
      </w:r>
      <w:r>
        <w:rPr/>
        <w:t>一阳性一线单药人群、一线鳞癌联合化疗人群，临床需求与标准治疗不同。单药与联合化疗也有不同效益风险、治疗长度和成本。估值如果把同一患者在多个治疗线别重复计算，会高估市场；如果假设所有肺癌患者都符合标签，会更严重。逐适应症模型应从患者流、检测、用药线别和可支付人数出发。</w:t>
      </w:r>
    </w:p>
    <w:p>
      <w:pPr>
        <w:pStyle w:val="Normal"/>
        <w:rPr/>
      </w:pPr>
      <w:r>
        <w:rPr/>
        <w:t>依沃西还在耐药肺癌、小细胞肺癌巩固、胆道癌、结直肠癌、三阴乳腺癌、胰腺癌和头颈癌开展研究。多项试验提高资产选择权，但临床费用、样本竞争和管理复杂性也增加。每个癌种对免疫和血管机制的反应不同，肺癌成功不能统一赋予其他癌种相同概率。模型因此把较成熟肺癌和更早非肺癌分开，不过聚合模块仍是简化，未满足完整逐适应症验收。</w:t>
      </w:r>
    </w:p>
    <w:p>
      <w:pPr>
        <w:pStyle w:val="Normal"/>
        <w:rPr/>
      </w:pPr>
      <w:r>
        <w:rPr/>
        <w:t>公司中报用较强措辞描述全球和中国疗效一致，并引用外部榜单对药物风险调整价值的估计。原文陈述可以作为公司观点记录，但不是独立的估值输入。第三方药物总价值可能包含所有地区和不同权益，与康方股东可得现金不同；不能将榜单二百多亿美元的药物价值直接等同公司股权价值。研究需要把治疗效果和经济权利分离。</w:t>
      </w:r>
    </w:p>
    <w:p>
      <w:pPr>
        <w:pStyle w:val="Heading2"/>
        <w:rPr/>
      </w:pPr>
      <w:r>
        <w:rPr>
          <w:color w:val="000000"/>
        </w:rPr>
        <w:t xml:space="preserve">四 </w:t>
      </w:r>
      <w:r>
        <w:rPr>
          <w:color w:val="000000"/>
        </w:rPr>
        <w:t>HARMONi</w:t>
      </w:r>
      <w:r>
        <w:rPr>
          <w:color w:val="000000"/>
        </w:rPr>
        <w:t>二总生存数据的意义与限制</w:t>
      </w:r>
    </w:p>
    <w:p>
      <w:pPr>
        <w:pStyle w:val="Normal"/>
        <w:rPr/>
      </w:pPr>
      <w:r>
        <w:rPr/>
        <w:t>九月摩根大通公开转述</w:t>
      </w:r>
      <w:r>
        <w:rPr/>
        <w:t>HARMONi</w:t>
      </w:r>
      <w:r>
        <w:rPr/>
        <w:t>二第二次计划中期分析，总生存风险比〇点七三，置信区间〇点五七至〇点九五，中位生存三十点八个月对二十二点六个月。较成熟随访和对照结果提高临床可信度，尤其比早期风险比仍不成熟时更有解释力。但新闻转述不是完整统计分析计划，需要保留预设事件数、显著性分配和数据截止日，避免把任意更新时间都当独立确认性试验。</w:t>
      </w:r>
    </w:p>
    <w:p>
      <w:pPr>
        <w:pStyle w:val="Normal"/>
        <w:rPr/>
      </w:pPr>
      <w:r>
        <w:rPr/>
        <w:t>报道给出严重治疗相关不良事件两组百分之二十九点九与二十一点六，导致永久停药分别四点一与五个百分点。严重事件比例更高，永久停药略低，两者说明效益风险需要完整解释，不能只选择有利安全指标。血管抑制机制可能涉及出血、血压、蛋白尿和不同患者限制，免疫机制也有自身风险；临床决策必须看真实标签和研究资料，投资叙述不应将安全性简化为没有问题。</w:t>
      </w:r>
    </w:p>
    <w:p>
      <w:pPr>
        <w:pStyle w:val="Normal"/>
        <w:rPr/>
      </w:pPr>
      <w:r>
        <w:rPr/>
        <w:t>亚组中鳞癌和高</w:t>
      </w:r>
      <w:r>
        <w:rPr/>
        <w:t>PDL</w:t>
      </w:r>
      <w:r>
        <w:rPr/>
        <w:t>一人群表现支持全球试验信心，但亚组分析样本较小、多重比较和治疗差异需考虑。全球</w:t>
      </w:r>
      <w:r>
        <w:rPr/>
        <w:t>HARMONi</w:t>
      </w:r>
      <w:r>
        <w:rPr/>
        <w:t>三与</w:t>
      </w:r>
      <w:r>
        <w:rPr/>
        <w:t>HARMONi</w:t>
      </w:r>
      <w:r>
        <w:rPr/>
        <w:t>七有不同对照、联合方式和地区人群，不能把中国亚组风险比直接复制为全球三期预期值。它是降低风险的一项证据，不是保证未来终点达到。适应症成功率需要随随机证据更新，不能永久固定。</w:t>
      </w:r>
    </w:p>
    <w:p>
      <w:pPr>
        <w:pStyle w:val="Normal"/>
        <w:rPr/>
      </w:pPr>
      <w:r>
        <w:rPr/>
        <w:t>总生存显著改善增加医生接受新治疗的可能，也可能支持指南地位；商业成功仍受审批、价格、支付和竞争影响。医保价格若明显低于过去，销量增长不一定带来对应利润。海外监管可能关注某地区数据代表性、治疗序列和安全群体。半年催化高分与高风险同时成立，不能把临床积极结果转述为年底价格必涨。</w:t>
      </w:r>
    </w:p>
    <w:p>
      <w:pPr>
        <w:pStyle w:val="Heading2"/>
        <w:rPr/>
      </w:pPr>
      <w:r>
        <w:rPr>
          <w:color w:val="000000"/>
        </w:rPr>
        <w:t>五 海外监管和全球试验</w:t>
      </w:r>
    </w:p>
    <w:p>
      <w:pPr>
        <w:pStyle w:val="Normal"/>
        <w:rPr/>
      </w:pPr>
      <w:r>
        <w:rPr/>
        <w:t>公司中报披露合作伙伴向美国监管提交第三代</w:t>
      </w:r>
      <w:r>
        <w:rPr/>
        <w:t>EGFR</w:t>
      </w:r>
      <w:r>
        <w:rPr/>
        <w:t>抑制剂后进展肺癌的生物制品申请，一月获受理并在审评。受理确认申请进入审查过程，不等于已批准，也不意味着其他一线人群获批。首个海外适应症有望建立市场和供应基础，但规模及竞争地位可能与后续大适应症不同。估值应将首个较窄人群和大市场一线临床分开。</w:t>
      </w:r>
    </w:p>
    <w:p>
      <w:pPr>
        <w:pStyle w:val="Normal"/>
        <w:rPr/>
      </w:pPr>
      <w:r>
        <w:rPr/>
        <w:t>全球</w:t>
      </w:r>
      <w:r>
        <w:rPr/>
        <w:t>HARMONi</w:t>
      </w:r>
      <w:r>
        <w:rPr/>
        <w:t>三分鳞状和非鳞状队列，比较联合化疗与帕博利珠联合化疗；</w:t>
      </w:r>
      <w:r>
        <w:rPr/>
        <w:t>HARMONi</w:t>
      </w:r>
      <w:r>
        <w:rPr/>
        <w:t>七在高</w:t>
      </w:r>
      <w:r>
        <w:rPr/>
        <w:t>PDL</w:t>
      </w:r>
      <w:r>
        <w:rPr/>
        <w:t>一人群比较单药。标准治疗变化、后续治疗、地区分布及终点选择影响结果。早期中国研究的表现有参考价值，全球入组和患者背景可能不同。对每项研究应追踪入组完成、事件积累、预设分析与统计计划，不根据股价走势推断临床是否会成功。</w:t>
      </w:r>
    </w:p>
    <w:p>
      <w:pPr>
        <w:pStyle w:val="Normal"/>
        <w:rPr/>
      </w:pPr>
      <w:r>
        <w:rPr/>
        <w:t>结直肠癌全球研究、头颈癌组合及尿路上皮癌与</w:t>
      </w:r>
      <w:r>
        <w:rPr/>
        <w:t>ADC</w:t>
      </w:r>
      <w:r>
        <w:rPr/>
        <w:t>联用进一步扩展平台。与不同公司的抗癌药合作可以提供互补机制，但也意味着合作双方分担成本和分享新治疗方案的经济收益。联用成功后，患者支付的是多药成本，可能影响使用和定价；单药标签价值与联用市场份额不能简单叠加。非肺癌峰值销售需要更多证据，模型给予较低成功判断。</w:t>
      </w:r>
    </w:p>
    <w:p>
      <w:pPr>
        <w:pStyle w:val="Normal"/>
        <w:rPr/>
      </w:pPr>
      <w:r>
        <w:rPr/>
        <w:t>全球获批之后还需要商业组织、支付准入、供货和医生信任。合作伙伴承担部分执行，康方仍依赖伙伴能力和资金。审批延迟不仅把销售向后推，还延长研发和准备成本，减少净现值；药品进入市场较晚可能遇到更多竞品。因此失败情景应同时调整成功、时间、份额和成本，不能只把一个日期后移而维持所有现金收益不变。</w:t>
      </w:r>
    </w:p>
    <w:p>
      <w:pPr>
        <w:pStyle w:val="Heading2"/>
        <w:rPr/>
      </w:pPr>
      <w:r>
        <w:rPr>
          <w:color w:val="000000"/>
        </w:rPr>
        <w:t xml:space="preserve">六 </w:t>
      </w:r>
      <w:r>
        <w:rPr>
          <w:color w:val="000000"/>
        </w:rPr>
        <w:t>Summit</w:t>
      </w:r>
      <w:r>
        <w:rPr>
          <w:color w:val="000000"/>
        </w:rPr>
        <w:t>及阿斯利康投资对康方的作用</w:t>
      </w:r>
    </w:p>
    <w:p>
      <w:pPr>
        <w:pStyle w:val="Normal"/>
        <w:rPr/>
      </w:pPr>
      <w:r>
        <w:rPr/>
        <w:t>九月二十九日港股开市前，</w:t>
      </w:r>
      <w:r>
        <w:rPr/>
        <w:t>Summit</w:t>
      </w:r>
      <w:r>
        <w:rPr/>
        <w:t>获阿斯利康二十亿美元战略投资的消息进入公开信息，采用可转换优先股形式，并与</w:t>
      </w:r>
      <w:r>
        <w:rPr/>
        <w:t>CLDN</w:t>
      </w:r>
      <w:r>
        <w:rPr/>
        <w:t>十八点二</w:t>
      </w:r>
      <w:r>
        <w:rPr/>
        <w:t>ADC</w:t>
      </w:r>
      <w:r>
        <w:rPr/>
        <w:t>开展联合研究。资金和全球药企参与有助于支持昂贵试验，可能改善依沃西非肺癌开发能力。它不是直接向康方支付二十亿美元，不能把这笔钱加入康方现金余额或授权收入。</w:t>
      </w:r>
    </w:p>
    <w:p>
      <w:pPr>
        <w:pStyle w:val="Normal"/>
        <w:rPr/>
      </w:pPr>
      <w:r>
        <w:rPr/>
        <w:t>大药企愿意投资说明资产与组合有战略吸引力，但战略投资不替代随机临床证明。可转换优先股对</w:t>
      </w:r>
      <w:r>
        <w:rPr/>
        <w:t>Summit</w:t>
      </w:r>
      <w:r>
        <w:rPr/>
        <w:t>股东的稀释、优先权和治理影响，也不同于康方国内融资。康方持有</w:t>
      </w:r>
      <w:r>
        <w:rPr/>
        <w:t>Summit</w:t>
      </w:r>
      <w:r>
        <w:rPr/>
        <w:t>少数股权，可能间接受到融资和股数变化影响，版税合同又是一条独立收益路径。分析不能把持股市值、伙伴融资现金和未来版税全额重复加入。</w:t>
      </w:r>
    </w:p>
    <w:p>
      <w:pPr>
        <w:pStyle w:val="Normal"/>
        <w:rPr/>
      </w:pPr>
      <w:r>
        <w:rPr/>
        <w:t>六月末康方持</w:t>
      </w:r>
      <w:r>
        <w:rPr/>
        <w:t>Summit</w:t>
      </w:r>
      <w:r>
        <w:rPr/>
        <w:t>约三千二百〇六万股、约百分之四点〇四，因董事代表而按权益法核算，投资账面二点五〇一亿元。上半年分担其亏损一点一四二亿元，较去年少，是康方法定亏损收窄的原因之一。这项会计亏损不直接反映国内药品盈利，也不必与</w:t>
      </w:r>
      <w:r>
        <w:rPr/>
        <w:t>Summit</w:t>
      </w:r>
      <w:r>
        <w:rPr/>
        <w:t>股价变化相同。投资价值与权益法损益应分开，后续股份和融资变化需要更新。</w:t>
      </w:r>
    </w:p>
    <w:p>
      <w:pPr>
        <w:pStyle w:val="Normal"/>
        <w:rPr/>
      </w:pPr>
      <w:r>
        <w:rPr/>
        <w:t>原模型未单独加入</w:t>
      </w:r>
      <w:r>
        <w:rPr/>
        <w:t>Summit</w:t>
      </w:r>
      <w:r>
        <w:rPr/>
        <w:t>股权价值，因为基准日独立市值、优先股条款及持股稀释尚未完成核验。零计值不是宣布股权没有价值，而是避免用不可靠数值制造精准目标。完整模型应该将持股按可核验权益估值，同时避免与按合同拥有的版税现金重叠。若这项价值补齐，目标可能提高或降低，必须以证据修订而非预先保证。</w:t>
      </w:r>
    </w:p>
    <w:p>
      <w:pPr>
        <w:pStyle w:val="Heading2"/>
        <w:rPr/>
      </w:pPr>
      <w:r>
        <w:rPr>
          <w:color w:val="000000"/>
        </w:rPr>
        <w:t>七 卡度尼利提供第二支柱</w:t>
      </w:r>
    </w:p>
    <w:p>
      <w:pPr>
        <w:pStyle w:val="Normal"/>
        <w:rPr/>
      </w:pPr>
      <w:r>
        <w:rPr/>
        <w:t>卡度尼利为</w:t>
      </w:r>
      <w:r>
        <w:rPr/>
        <w:t>PD</w:t>
      </w:r>
      <w:r>
        <w:rPr/>
        <w:t>一及</w:t>
      </w:r>
      <w:r>
        <w:rPr/>
        <w:t>CTLA</w:t>
      </w:r>
      <w:r>
        <w:rPr/>
        <w:t>四双抗，中国三项获批适应症全部进入医保，包括宫颈癌及胃癌等。其不同免疫机制与依沃西互补，帮助公司减少完全依赖同一产品销售。新一线和围手术期研究可能拓展治疗窗口，但每个市场的患者、治疗长度和医保价不同。不能把获批适应症数量直接对应相同收入倍增。</w:t>
      </w:r>
    </w:p>
    <w:p>
      <w:pPr>
        <w:pStyle w:val="Normal"/>
        <w:rPr/>
      </w:pPr>
      <w:r>
        <w:rPr/>
        <w:t>公司强调在胃癌低</w:t>
      </w:r>
      <w:r>
        <w:rPr/>
        <w:t>PDL</w:t>
      </w:r>
      <w:r>
        <w:rPr/>
        <w:t>一和阴性人群的获益，需以具体随机研究和标签核验，而不是将“全人群”转写为对所有患者同等有效。胃癌</w:t>
      </w:r>
      <w:r>
        <w:rPr/>
        <w:t>HER</w:t>
      </w:r>
      <w:r>
        <w:rPr/>
        <w:t>二状态、治疗线别和基线情况限制适用范围；免疫治疗安全性和组合负担也影响医生使用。临床差异如果明确，可能改善市场份额，医保支付和竞品方案仍限制价格。</w:t>
      </w:r>
    </w:p>
    <w:p>
      <w:pPr>
        <w:pStyle w:val="Normal"/>
        <w:rPr/>
      </w:pPr>
      <w:r>
        <w:rPr/>
        <w:t>海外与研究机构开展胃癌及围手术期临床，显示公司并非只有依沃西可以国际化。较早研究尚未提供成熟全球商业价值，因此本模型国内经营模块包含卡度销售，海外模块没有额外给未核验项目高估值。完整估值可以建立分药物概率与现金流，但需要更详细的数据、地区权益和成本；当前漏计选择权的可能性需与过度乐观的风险一起展示。</w:t>
      </w:r>
    </w:p>
    <w:p>
      <w:pPr>
        <w:pStyle w:val="Normal"/>
        <w:rPr/>
      </w:pPr>
      <w:r>
        <w:rPr/>
        <w:t>公司在肝癌、肺癌和结肠癌继续开发卡度联合或单药。研究可能增加生命周期，也可能需要较长时间和大量患者资源。现有销售收入增长应该先验证医保准入和医生采纳，而不能全部依赖未来适应症。若卡度商业表现稳定，可以资助研发并提高国内价值；若产品份额受到新免疫组合竞争，国内利润目标也应调低。</w:t>
      </w:r>
    </w:p>
    <w:p>
      <w:pPr>
        <w:pStyle w:val="Heading2"/>
        <w:rPr/>
      </w:pPr>
      <w:r>
        <w:rPr>
          <w:color w:val="000000"/>
        </w:rPr>
        <w:t>八 其他药物和早期平台的选择权</w:t>
      </w:r>
    </w:p>
    <w:p>
      <w:pPr>
        <w:pStyle w:val="Normal"/>
        <w:rPr/>
      </w:pPr>
      <w:r>
        <w:rPr/>
        <w:t>伊努西</w:t>
      </w:r>
      <w:r>
        <w:rPr/>
        <w:t>PCSK</w:t>
      </w:r>
      <w:r>
        <w:rPr/>
        <w:t>九及依若奇</w:t>
      </w:r>
      <w:r>
        <w:rPr/>
        <w:t>IL</w:t>
      </w:r>
      <w:r>
        <w:rPr/>
        <w:t>十二和</w:t>
      </w:r>
      <w:r>
        <w:rPr/>
        <w:t>IL</w:t>
      </w:r>
      <w:r>
        <w:rPr/>
        <w:t>二十三等产品贡献部分收入，慢病市场可以提供治疗持续性，但需不同的专科资源。部分商业化权益授给济川等伙伴，协议方式影响收入是产品销售、授权还是分成。公司披露产品获批不等于拥有全部销售收益，估值必须核对权利和费用。国内模块采用正常利润假设，也需要继续用单品财务验证。</w:t>
      </w:r>
    </w:p>
    <w:p>
      <w:pPr>
        <w:pStyle w:val="Normal"/>
        <w:rPr/>
      </w:pPr>
      <w:r>
        <w:rPr/>
        <w:t>双抗</w:t>
      </w:r>
      <w:r>
        <w:rPr/>
        <w:t>ADC</w:t>
      </w:r>
      <w:r>
        <w:rPr/>
        <w:t>、</w:t>
      </w:r>
      <w:r>
        <w:rPr/>
        <w:t>TCE</w:t>
      </w:r>
      <w:r>
        <w:rPr/>
        <w:t>、多抗及肿瘤疫苗代表下一代技术，可能与两款核心双抗联用或独立使用。临床前及一期项目价值应按实际药理、安全性和验证水平判断。创新名字和更多靶点不能代替成功率证据，复杂分子可能提高制造与毒性风险。大量早期项目的相关性也较高，同一平台问题可能影响多个候选药，不能视为完全分散。</w:t>
      </w:r>
    </w:p>
    <w:p>
      <w:pPr>
        <w:pStyle w:val="Normal"/>
        <w:rPr/>
      </w:pPr>
      <w:r>
        <w:rPr/>
        <w:t>阿尔茨海默病抗体采用脑穿透等新路径，公司进入中枢神经领域拓展市场，也增加疾病复杂性和长期开发成本。临床前机制或早期安全性距离认知终点、支付和上市有较长路径。模型不把所有早期管线赋零风险高峰销售额，其他早期价值暂设零，作为缺证据处理。未来有可靠随机数据和清晰权益后可以逐步加入，而非永久忽略。</w:t>
      </w:r>
    </w:p>
    <w:p>
      <w:pPr>
        <w:pStyle w:val="Normal"/>
        <w:rPr/>
      </w:pPr>
      <w:r>
        <w:rPr/>
        <w:t>平台价值真正有力的证据是不同机制项目反复取得临床差异化、适当交易和资本回报。如果公司只增加项目而退出少、成本上升快，研发数量增长未必增加股东价值。长期评分应看阶段门控、资源配置和成功项目回报，而不是研发预算越大分越高。较高经营分保持在四分左右，不因新技术覆盖广就给满分。</w:t>
      </w:r>
    </w:p>
    <w:p>
      <w:pPr>
        <w:pStyle w:val="Heading2"/>
        <w:rPr/>
      </w:pPr>
      <w:r>
        <w:rPr>
          <w:color w:val="000000"/>
        </w:rPr>
        <w:t>九 收入双口径与增长质量</w:t>
      </w:r>
    </w:p>
    <w:p>
      <w:pPr>
        <w:pStyle w:val="Normal"/>
        <w:rPr/>
      </w:pPr>
      <w:r>
        <w:rPr/>
        <w:t>原中报附注商业销售十八点六五八八亿元，加授权〇点〇二四六亿元，得到十八点六八三四亿元，扣支付或应付客户的分销成本〇点六二六六亿元，法定收入十八点〇五六八亿元。报告摘要商业销售十八点〇三二亿元是按扣分销后接近净产品口径表达。新闻十八点六八亿元和原报十八点〇六亿元差异已找到解释，不能再称作资料互相冲突。</w:t>
      </w:r>
    </w:p>
    <w:p>
      <w:pPr>
        <w:pStyle w:val="Normal"/>
        <w:rPr/>
      </w:pPr>
      <w:r>
        <w:rPr/>
        <w:t>分销成本是实际获得净收入需要承担的经济成本。比较增长时，扣分销前商业销售同比约三成三，法定收入同比约百分之二十七点九，两个增幅可同时成立。券商采用商业总销售描述渠道放量，公司盈利则受净收入影响。估值应使用一致净口径，不把扣分销前增幅用到净收入基数上，从而高估增长。</w:t>
      </w:r>
    </w:p>
    <w:p>
      <w:pPr>
        <w:pStyle w:val="Normal"/>
        <w:rPr/>
      </w:pPr>
      <w:r>
        <w:rPr/>
        <w:t>上半年毛利十三点四〇五亿元，按法定收入毛利率约百分之七十四点二，较同期改善。销售费用七点八五六亿元，相对净商业收入约百分之四十三点六，同比下降四点二四个百分点，体现规模效应。费用绝对额增长，仍需继续验证销售网络利用率。两款双抗医保放量可能使收入增加并改善单位费用，但药价压力和更多推广成本限制盈利。</w:t>
      </w:r>
    </w:p>
    <w:p>
      <w:pPr>
        <w:pStyle w:val="Normal"/>
        <w:rPr/>
      </w:pPr>
      <w:r>
        <w:rPr/>
        <w:t>公司授权收入只有二百多万元，当前收入主要来自药品和伙伴相关产品服务，不是一次大额授权款推动利润。向</w:t>
      </w:r>
      <w:r>
        <w:rPr/>
        <w:t>Summit</w:t>
      </w:r>
      <w:r>
        <w:rPr/>
        <w:t>产品材料销售约一点〇八三亿元、服务收入一点九〇四亿元，也需要区分最终商业药品和临床供应。伙伴开发扩大可以增加服务，但未来其收入是否持续需看合同和研究规模，不能永久按同比高增外推。</w:t>
      </w:r>
    </w:p>
    <w:p>
      <w:pPr>
        <w:pStyle w:val="Heading2"/>
        <w:rPr/>
      </w:pPr>
      <w:r>
        <w:rPr>
          <w:color w:val="000000"/>
        </w:rPr>
        <w:t>十 法定亏损与持续经营利润</w:t>
      </w:r>
    </w:p>
    <w:p>
      <w:pPr>
        <w:pStyle w:val="Normal"/>
        <w:rPr/>
      </w:pPr>
      <w:r>
        <w:rPr/>
        <w:t>集团亏损四点四七二亿元，归母四点二四二亿元，非控股亏损〇点二三〇亿元。新闻四点二四对应归母而不是原报告错误。公司投资价值应使用母公司股东可得利润，成熟估值不能采用集团全部利润忽略少数股东。本章同时保留法定集团与归母口径，避免跨公司比较的分母不一致。</w:t>
      </w:r>
    </w:p>
    <w:p>
      <w:pPr>
        <w:pStyle w:val="Normal"/>
        <w:rPr/>
      </w:pPr>
      <w:r>
        <w:rPr/>
        <w:t>上半年研发七点八三三亿元，同比约百分之七点一增长；销售和行政合计约九点五五二亿元，超过毛利的大部分。持续经营尚未形成成熟归母利润，直接用当前负</w:t>
      </w:r>
      <w:r>
        <w:rPr/>
        <w:t>EPS</w:t>
      </w:r>
      <w:r>
        <w:rPr/>
        <w:t>计算</w:t>
      </w:r>
      <w:r>
        <w:rPr/>
        <w:t>PE</w:t>
      </w:r>
      <w:r>
        <w:rPr/>
        <w:t>没有经济意义。未来国内盈利需产品净销售增长、毛利率稳定和费用比例降低，不能仅靠</w:t>
      </w:r>
      <w:r>
        <w:rPr/>
        <w:t>Summit</w:t>
      </w:r>
      <w:r>
        <w:rPr/>
        <w:t>投资亏损减少称公司商业利润达到拐点。</w:t>
      </w:r>
    </w:p>
    <w:p>
      <w:pPr>
        <w:pStyle w:val="Normal"/>
        <w:rPr/>
      </w:pPr>
      <w:r>
        <w:rPr/>
        <w:t>利息收入约一点四八四亿元、金融及补助提供收益，</w:t>
      </w:r>
      <w:r>
        <w:rPr/>
        <w:t>Summit</w:t>
      </w:r>
      <w:r>
        <w:rPr/>
        <w:t>亏损一点一四二亿元、外汇和其他费用抵销。各种因素使法定亏损与药品核心经营不同，剔除某项可帮助解释，却不能简单把所有负项目加回而保留所有收益。未来利润模型应明确持续研发、营销、税和股份费用，投资损益和银行利息分开处理。</w:t>
      </w:r>
    </w:p>
    <w:p>
      <w:pPr>
        <w:pStyle w:val="Normal"/>
        <w:rPr/>
      </w:pPr>
      <w:r>
        <w:rPr/>
        <w:t>本模型国内二〇二八年基准核心归母利润十点五亿元、三十倍估值，形成三百一十五亿元国内价值；这个利润假设相对当前亏损需要明显改善。不是公司指引，也未核验单品毛利和费率到同等精度。若国内净收入放量低于预期、销售费率持续高，利润可能只有悲观三点五亿元，国内价值大幅下降。经营质量较好不能直接消除这种现金回报差异。</w:t>
      </w:r>
    </w:p>
    <w:p>
      <w:pPr>
        <w:pStyle w:val="Heading2"/>
        <w:rPr/>
      </w:pPr>
      <w:r>
        <w:rPr>
          <w:color w:val="000000"/>
        </w:rPr>
        <w:t>十一 经营现金 存货与回款</w:t>
      </w:r>
    </w:p>
    <w:p>
      <w:pPr>
        <w:pStyle w:val="Normal"/>
        <w:rPr/>
      </w:pPr>
      <w:r>
        <w:rPr/>
        <w:t>上半年经营现金净额二点九〇三亿元由去年负值转正，但其中已收银行利息一点六九二亿元。营运所得现金约一点二四四亿元，说明现金改善存在，药品自身经营余量仍较薄。经营现金为正并不代表自由现金为正，设备现金购买三点二五六亿元已略高于总经营现金；再计租赁、其他投资和融资，仍需要资金。</w:t>
      </w:r>
    </w:p>
    <w:p>
      <w:pPr>
        <w:pStyle w:val="Normal"/>
        <w:rPr/>
      </w:pPr>
      <w:r>
        <w:rPr/>
        <w:t>应收由十点二一七亿元降至九点六六四亿元，增长期余额下降是正面线索；但三个月以上及一年以上应收增加，结构需要继续观察。非控股股东相关应收一点五六五亿元高于年末〇点三二六亿元，涉及特定伙伴的付款路径和信用。不能只看总余额下降就忽略关联或集中回款风险，也不能没有证据就断言欠款难收。</w:t>
      </w:r>
    </w:p>
    <w:p>
      <w:pPr>
        <w:pStyle w:val="Normal"/>
        <w:rPr/>
      </w:pPr>
      <w:r>
        <w:rPr/>
        <w:t>库存由九点三一六亿元增加至十一点〇四九亿元，约两成增长，原现金流表同时有存货减值六千多万元。备货可以支持更多适应症和全球临床，药品有效期、医保净价和需求偏差可能造成损失。量价研究不应把库存变化解释为股市主力行为；财务研究则要核验库存周转、销货节奏和退货合同，与销售增长保持对应。</w:t>
      </w:r>
    </w:p>
    <w:p>
      <w:pPr>
        <w:pStyle w:val="Normal"/>
        <w:rPr/>
      </w:pPr>
      <w:r>
        <w:rPr/>
        <w:t>资本承诺五点六亿元高于年末二点六三亿元，主要包括广州生产及研发设施。研发成本和设备付款对现金跑道的影响不同：研发多数计当期费用，设备分期折旧但立即耗现金。总现金较多可以支持投入，未来扩大产能是否产生订单、利用率和回报才决定价值。模型中央研发储备只是简化抵减，完整</w:t>
      </w:r>
      <w:r>
        <w:rPr/>
        <w:t>DCF</w:t>
      </w:r>
      <w:r>
        <w:rPr/>
        <w:t>应逐年安排这些付款而非一个统一扣减。</w:t>
      </w:r>
    </w:p>
    <w:p>
      <w:pPr>
        <w:pStyle w:val="Heading2"/>
        <w:rPr/>
      </w:pPr>
      <w:r>
        <w:rPr>
          <w:color w:val="000000"/>
        </w:rPr>
        <w:t>十二 现金口径 借款与融资</w:t>
      </w:r>
    </w:p>
    <w:p>
      <w:pPr>
        <w:pStyle w:val="Normal"/>
        <w:rPr/>
      </w:pPr>
      <w:r>
        <w:rPr/>
        <w:t>财务状况表现金及银行余额八十六点八九二亿元，附注现金等价物十点五三九亿元，广义资金含理财合计九十一点六亿元。差别主要是长期定存、受限和金融产品，不是所有钱可以当日无成本转换。银行定存相对安全，也应看期限、提前支取和币种。现金多于短债降低迫切融资压力，但不能把全部余额直接当净现金每股加到药物价值上。</w:t>
      </w:r>
    </w:p>
    <w:p>
      <w:pPr>
        <w:pStyle w:val="Normal"/>
        <w:rPr/>
      </w:pPr>
      <w:r>
        <w:rPr/>
        <w:t>计息借款四十九点六四九亿元，租赁约〇点一九八亿元，银行债务增长。广义资金减计息借款约四十一点九五一亿元，是净资金起点的简化口径；现金等价物单独不足以覆盖全部借款，但长期存款和贷款期限要匹配。公司一年内借款约九点七四七亿元，其余多在未来数年到期，不能用即期现金和全部长期债务不区分到期压力。</w:t>
      </w:r>
    </w:p>
    <w:p>
      <w:pPr>
        <w:pStyle w:val="Normal"/>
        <w:rPr/>
      </w:pPr>
      <w:r>
        <w:rPr/>
        <w:t>二〇二四配售约十九点二四亿港元净额已用完，二〇二五配售约三十四点九三亿港元，六月末未用约十五点〇一亿港元并计划到次年年底使用。资金增强开发能力，也显示历史扩张需要资本市场补充。二〇二五配售价一百四十九点五四港元并不构成股价支持位，机构买入价格不保证以后市场不跌；它也不能作为当前合理估值锚。</w:t>
      </w:r>
    </w:p>
    <w:p>
      <w:pPr>
        <w:pStyle w:val="Normal"/>
        <w:rPr/>
      </w:pPr>
      <w:r>
        <w:rPr/>
        <w:t>模型目标净现金年底基准三十四亿元、三年四十亿元、五年六十亿元，是考虑投入和未来现金流后的独立快照假设。目标日前收到的版税现金不继续包含在目标日以后的</w:t>
      </w:r>
      <w:r>
        <w:rPr/>
        <w:t>rNPV</w:t>
      </w:r>
      <w:r>
        <w:rPr/>
        <w:t>，并通过目标现金余额体现；否则会重复计收益。现金预测尚缺逐年完整表，是重要限制，不应把这些假设称为已经核验的管理层现金计划。</w:t>
      </w:r>
    </w:p>
    <w:p>
      <w:pPr>
        <w:pStyle w:val="Heading2"/>
        <w:rPr/>
      </w:pPr>
      <w:r>
        <w:rPr>
          <w:color w:val="000000"/>
        </w:rPr>
        <w:t>十三 股数 激励及治理</w:t>
      </w:r>
    </w:p>
    <w:p>
      <w:pPr>
        <w:pStyle w:val="Normal"/>
        <w:rPr/>
      </w:pPr>
      <w:r>
        <w:rPr/>
        <w:t>六月末已发行九点二一一四亿股，期内加权股数九点一八六四亿。因为亏损，受限股和期权在法定稀释</w:t>
      </w:r>
      <w:r>
        <w:rPr/>
        <w:t>EPS</w:t>
      </w:r>
      <w:r>
        <w:rPr/>
        <w:t>中反稀释而不增加分母，这不表示未来盈利时没有稀释。估值需要在盈利后纳入潜在授予、归属、回购和融资的股数变化，不能直接将亏损期基础股数永久用于五年目标。</w:t>
      </w:r>
    </w:p>
    <w:p>
      <w:pPr>
        <w:pStyle w:val="Normal"/>
        <w:rPr/>
      </w:pPr>
      <w:r>
        <w:rPr/>
        <w:t>本模型年底基准未来股数九点五亿、半年九点五五、一年九点七、三年十亿、五年十点四亿，悲观给予更高融资股数。这些全部是研究假设而非公告已发行量。乐观也保留激励稀释，避免成功后利润全额归当前股东的假象。若公司进行新的配售或扩大计划，目标需按新的资金和股数同时重算，不能只扣稀释不加资金，或只加资金不加股数。</w:t>
      </w:r>
    </w:p>
    <w:p>
      <w:pPr>
        <w:pStyle w:val="Normal"/>
        <w:rPr/>
      </w:pPr>
      <w:r>
        <w:rPr/>
        <w:t>上半年受托人市场购买一百三十八万股用于激励，现金约一亿港币。它与股份注销式回购的经济作用不同，通常仍用于奖励而不是永久减少所有权分母。分析股东回报不能把所有买股公告都当注销回购提高</w:t>
      </w:r>
      <w:r>
        <w:rPr/>
        <w:t>EPS</w:t>
      </w:r>
      <w:r>
        <w:rPr/>
        <w:t>。股份奖励和期权开支合计约一点一〇七亿元，虽然非现金，也代表未来分享价值，应在经营与股数同时考虑。</w:t>
      </w:r>
    </w:p>
    <w:p>
      <w:pPr>
        <w:pStyle w:val="Normal"/>
        <w:rPr/>
      </w:pPr>
      <w:r>
        <w:rPr/>
        <w:t>主席与首席执行官由同一人担任，中报披露不符合相关职务区分条文并给出解释。创始人集中领导可能提高研发决策一致性，也增加监督和关键人员风险，需要关注独立董事、资本配置与关联合作。治理分不因公司称有制衡而自动满分，也不因角色合一就断言存在违规损失。风险应依据披露和实际决策持续检验。</w:t>
      </w:r>
    </w:p>
    <w:p>
      <w:pPr>
        <w:pStyle w:val="Heading2"/>
        <w:rPr/>
      </w:pPr>
      <w:r>
        <w:rPr>
          <w:color w:val="000000"/>
        </w:rPr>
        <w:t>十四 行业与经济周期</w:t>
      </w:r>
    </w:p>
    <w:p>
      <w:pPr>
        <w:pStyle w:val="Normal"/>
        <w:rPr/>
      </w:pPr>
      <w:r>
        <w:rPr/>
        <w:t>免疫肿瘤治疗升级、大药企专利到期和联合疗法需求为公司提供长期空间，但开发竞争也会加快。领先药物可能面对其他</w:t>
      </w:r>
      <w:r>
        <w:rPr/>
        <w:t>PD</w:t>
      </w:r>
      <w:r>
        <w:rPr/>
        <w:t>一及</w:t>
      </w:r>
      <w:r>
        <w:rPr/>
        <w:t>VEGF</w:t>
      </w:r>
      <w:r>
        <w:rPr/>
        <w:t>双抗、更好</w:t>
      </w:r>
      <w:r>
        <w:rPr/>
        <w:t>ADC</w:t>
      </w:r>
      <w:r>
        <w:rPr/>
        <w:t>或新的免疫调节机制，未来份额不应仅按今天研究进度排列。新进入者如果在疗效、安全性、便利性或价格更有优势，先行临床价值会下降，长估值倍数需要正常化。</w:t>
      </w:r>
    </w:p>
    <w:p>
      <w:pPr>
        <w:pStyle w:val="Normal"/>
        <w:rPr/>
      </w:pPr>
      <w:r>
        <w:rPr/>
        <w:t>中国医保扩大覆盖有助于销量，却压低净价；药品从自费转医保后利润取决于量增、疗程和分销费用。肿瘤治疗相对刚性，患者选择仍受支付和就医能力影响。宏观经济改善可提升诊断与治疗可及性，医院预算和支付控制也可能限制高价联合用药。模型不能对全部适应症用全球商业价格估国内销售，更不能以美国峰值份额替代中国净收入。</w:t>
      </w:r>
    </w:p>
    <w:p>
      <w:pPr>
        <w:pStyle w:val="Normal"/>
        <w:rPr/>
      </w:pPr>
      <w:r>
        <w:rPr/>
        <w:t>海外市场审批、支付和药价政策影响版税净销售基础。美国高标价不等同企业净收入，折扣、渠道、保险和政策压力都会降低基础；组合用药也受整体治疗成本限制。伙伴负责商业化不意味着康方免受价格风险，因为版税通常与净销售相关。海外药物需求大和国内研发成本优势可以同时成立，但股东现金要在合同和支付后实现。</w:t>
      </w:r>
    </w:p>
    <w:p>
      <w:pPr>
        <w:pStyle w:val="Normal"/>
        <w:rPr/>
      </w:pPr>
      <w:r>
        <w:rPr/>
        <w:t>利率上升对长期现金流估值造成压力，尤其药物大部分价值在数年以后；融资成本也影响伙伴开发能力。人民币升贬会改变美元版税转换和港币目标，不应只看某半年账面汇兑亏损。模型假设美元兑人民币六点八、人民币兑港币一点一，用于敏感性而非基准日实测汇率。报告主口径仍港币，人民币投资者再考虑港币汇率变化。</w:t>
      </w:r>
    </w:p>
    <w:p>
      <w:pPr>
        <w:pStyle w:val="Heading2"/>
        <w:rPr/>
      </w:pPr>
      <w:r>
        <w:rPr>
          <w:color w:val="000000"/>
        </w:rPr>
        <w:t>十五 日线反弹尚未全面修复长趋势</w:t>
      </w:r>
    </w:p>
    <w:p>
      <w:pPr>
        <w:pStyle w:val="Normal"/>
        <w:rPr/>
      </w:pPr>
      <w:r>
        <w:rPr/>
        <w:t>基准日价一百〇九点一，二十日均线九十九点三六七五、六十日九十六点三九五八、一百二十日一百〇三点〇〇八八、二百五十日一百一十点六九六四。现价在前三条之上而略低于年线；近五日二十及六十日线向上，一百二十及二百五十日仍下行。短期反弹与长线调整并存，不能称所有周期已经进入强上升。</w:t>
      </w:r>
    </w:p>
    <w:p>
      <w:pPr>
        <w:pStyle w:val="Normal"/>
        <w:rPr/>
      </w:pPr>
      <w:r>
        <w:rPr/>
        <w:t>现价高于二十日线约百分之九点七九，六十日十三点一八、一百二十日五点九一，低于年线一点四四。与依赖消息的快速反弹相比，价格到短均线有较大偏离，若回踩可能出现近一成波动。年线约一百一十一附近又与近区间高点接近，需要看能否有效突破和保持。均线不是精确阻力，连续成交及信息才能判断该位置意义。</w:t>
      </w:r>
    </w:p>
    <w:p>
      <w:pPr>
        <w:pStyle w:val="Normal"/>
        <w:rPr/>
      </w:pPr>
      <w:r>
        <w:rPr/>
        <w:t>二十日上涨百分之十六点五六、六十日七点一七，但一百二十日下降二十七点七五、二百五十日下降二十一点九六。长短回报明显分化，说明当前是较大跌幅后的反弹。五十二周高一百五十六、低八十点二，现价比高低约负三十点〇六和正三十六点〇三，历史最大日线回撤约四十五个百分点。高波动不能以良好临床前景忽略。</w:t>
      </w:r>
    </w:p>
    <w:p>
      <w:pPr>
        <w:pStyle w:val="Normal"/>
        <w:rPr/>
      </w:pPr>
      <w:r>
        <w:rPr/>
        <w:t>最近二十日低八十九点八五、高一百一十一点五，六十日低八十五点二、高同一区间高点。现价到最近高点只有约百分之二点二，到二十日低点负十七点六四、六十日低点负二十一点九一。这里是区间边缘未筛触碰次数，提供观察距离而非保证止损价。短线潜在突破空间与回踩风险不对称，需要新的量能和基本面支持，不能追涨只看历史高一百五十六。</w:t>
      </w:r>
    </w:p>
    <w:p>
      <w:pPr>
        <w:pStyle w:val="Normal"/>
        <w:rPr/>
      </w:pPr>
      <w:r>
        <w:rPr/>
        <w:t>RSI</w:t>
      </w:r>
      <w:r>
        <w:rPr/>
        <w:t>十四约六十点二七，</w:t>
      </w:r>
      <w:r>
        <w:rPr/>
        <w:t>MACD</w:t>
      </w:r>
      <w:r>
        <w:rPr/>
        <w:t>差离三点八七四、信号二点七〇七、两倍差柱二点三三四，反弹动能正；</w:t>
      </w:r>
      <w:r>
        <w:rPr/>
        <w:t>ATR</w:t>
      </w:r>
      <w:r>
        <w:rPr/>
        <w:t>五点五六七港元，占现价百分之五点一〇。单日波动可能较大，技术指标来自同一价格不重复加分。周</w:t>
      </w:r>
      <w:r>
        <w:rPr/>
        <w:t>RSI</w:t>
      </w:r>
      <w:r>
        <w:rPr/>
        <w:t>五十三点五三，周</w:t>
      </w:r>
      <w:r>
        <w:rPr/>
        <w:t>MACD</w:t>
      </w:r>
      <w:r>
        <w:rPr/>
        <w:t>柱正但差离仍负，支持下跌动能修复而非长趋势全面正转。</w:t>
      </w:r>
    </w:p>
    <w:p>
      <w:pPr>
        <w:pStyle w:val="Heading2"/>
        <w:rPr/>
      </w:pPr>
      <w:r>
        <w:rPr>
          <w:color w:val="000000"/>
        </w:rPr>
        <w:t>十六 周线 成交量与相对强弱</w:t>
      </w:r>
    </w:p>
    <w:p>
      <w:pPr>
        <w:pStyle w:val="Normal"/>
        <w:rPr/>
      </w:pPr>
      <w:r>
        <w:rPr/>
        <w:t>周二十均线九十六点四五二五、六十周一百一十五点一八〇八、一百二十周九十五点三四一七。价格高于二十和一百二十周但低于六十周；二十和六十周近五周斜率仍负，一百二十周向上。三年只有一百五十七周，二百五十周没有数据。週期指标需按周解释，工具通用文字里“六十日”不适用于这组，应读作六十周。</w:t>
      </w:r>
    </w:p>
    <w:p>
      <w:pPr>
        <w:pStyle w:val="Normal"/>
        <w:rPr/>
      </w:pPr>
      <w:r>
        <w:rPr/>
        <w:t>当天成交一千〇六十二万股，金额约十一点二九一亿港币，全天量相对前二十日均量一点〇六九倍。五日均量六百一十三万股，二十日一千〇一十万，六十日一千〇九九万，近期量明显缩小。反弹在低均量中发生可能是卖压减弱，也可能参与不足；只有突破后成交和价格保持才帮助区分，不能直接称主力惜售。</w:t>
      </w:r>
    </w:p>
    <w:p>
      <w:pPr>
        <w:pStyle w:val="Normal"/>
        <w:rPr/>
      </w:pPr>
      <w:r>
        <w:rPr/>
        <w:t>最近二十日上涨八天、下跌十二天，上涨日量一亿一千三百四十一万，下跌八千八百六十八万，总比一点二七九。上涨日平均一千四百一十八万、下跌七百三十九万，上涨交易更活跃，是正面线索；但几次事件日可显著影响均量，不能把量方向视为机构净流入。没有账户和逐笔资料，不能绘制精确筹码分布或声称知道大资金成本。</w:t>
      </w:r>
    </w:p>
    <w:p>
      <w:pPr>
        <w:pStyle w:val="Normal"/>
        <w:rPr/>
      </w:pPr>
      <w:r>
        <w:rPr/>
        <w:t>二十周上涨与下跌各十周，量分别五点五四三和七点二〇九亿股，比例〇点七六九，长周期下跌成交更多；最近周量比约〇点四七八。长量和短量不完全一致，反映长期调整中短期修复的可能。技术三点三分而非四五分，是承认最近动能同时保留较长抛压及低参与度的约束。</w:t>
      </w:r>
    </w:p>
    <w:p>
      <w:pPr>
        <w:pStyle w:val="Normal"/>
        <w:rPr/>
      </w:pPr>
      <w:r>
        <w:rPr/>
        <w:t>相对恒指，二十日超额十九点五四个百分点、六十日十点三六，显示短期显著跑赢市场。行业细分基准仍缺，无法断言在创新药板块内最强；板块资金一起进入也能产生市场超额。若后续回踩放量、关键临床信息不支持，市场相对强弱可能快速反向。技术分析用于半年节奏和失效复核，不能作为全球临床成功的间接证据。</w:t>
      </w:r>
    </w:p>
    <w:p>
      <w:pPr>
        <w:pStyle w:val="Heading2"/>
        <w:rPr/>
      </w:pPr>
      <w:r>
        <w:rPr>
          <w:color w:val="000000"/>
        </w:rPr>
        <w:t>十七 简化风险调整模型的透明输入</w:t>
      </w:r>
    </w:p>
    <w:p>
      <w:pPr>
        <w:pStyle w:val="Normal"/>
        <w:rPr/>
      </w:pPr>
      <w:r>
        <w:rPr/>
        <w:t>模型国内模块取目标附近经营归母利润乘合理</w:t>
      </w:r>
      <w:r>
        <w:rPr/>
        <w:t>PE</w:t>
      </w:r>
      <w:r>
        <w:rPr/>
        <w:t>，不包含海外版税、一次里程碑、银行利息或</w:t>
      </w:r>
      <w:r>
        <w:rPr/>
        <w:t>Summit</w:t>
      </w:r>
      <w:r>
        <w:rPr/>
        <w:t>投资盈亏；它包含国内持续研发、销售、正常税和股份成本。海外模块分肺癌与非肺癌，按二〇二七至二〇四二年逐年净销售乘版税、税后系数及成功判断，再折现到目标日。加目标净现金，减中央未来研发储备，除未来稀释股份后换港币。没有终端永续价值，其他早期管线暂零。</w:t>
      </w:r>
    </w:p>
    <w:p>
      <w:pPr>
        <w:pStyle w:val="Normal"/>
        <w:rPr/>
      </w:pPr>
      <w:r>
        <w:rPr/>
        <w:t>肺癌全球净销售基准从二〇二八年五亿美元爬至二〇三五至三六年约一百〇五亿美元，再随竞争和生命周期下降；非肺癌基准从二〇三〇年三亿美元到峰值五十亿美元。乐观肺癌峰值一百九十亿、非肺癌一百三十亿，悲观仅较小市场。销售路径是研究假设，未声称公司或投行预测。峰值对应药物全部相关地区净销售，康方只获得假设版税部分，不是将它全计公司收入。</w:t>
      </w:r>
    </w:p>
    <w:p>
      <w:pPr>
        <w:pStyle w:val="Normal"/>
        <w:rPr/>
      </w:pPr>
      <w:r>
        <w:rPr/>
        <w:t>版税悲观一成、基准一成五、乐观一成八，税假设两成，折现率十四、十一、九点五个百分点。实际版税条款未逐合同全文核验，所以这里有明确证据限制。基准肺癌成功判断年底七成、三年八成八，非肺癌年底两成五、三年五成；较成熟三期和审评提高肺癌权重，更早癌种降低权重。它们是主观经营临床判断，非统一行业阶段成功频率。</w:t>
      </w:r>
    </w:p>
    <w:p>
      <w:pPr>
        <w:pStyle w:val="Normal"/>
        <w:rPr/>
      </w:pPr>
      <w:r>
        <w:rPr/>
        <w:t>年底基准肺癌风险调整净现值约三十二点三九亿美元、非肺癌三点九五亿美元；按美元兑人民币六点八约二百四十七亿元，加国内三百一十五亿元、净现金三十四亿元，减研发储备十五亿元，得到股权约五百八十一亿元，除九点五亿股、乘港币换算得到六十七点二八。逐年版税现金假设每年十二月三十一日流入，从目标日按实际天数除三百六十五点二五折现，目标日之前现金不重复放入未来净现值。这个算式说明国内和海外现金需要多强才能支持千亿港币现价，不依赖机构平均目标。</w:t>
      </w:r>
    </w:p>
    <w:p>
      <w:pPr>
        <w:pStyle w:val="Heading2"/>
        <w:rPr/>
      </w:pPr>
      <w:r>
        <w:rPr>
          <w:color w:val="000000"/>
        </w:rPr>
        <w:t>十八 模型局限与敏感性如何影响推荐</w:t>
      </w:r>
    </w:p>
    <w:p>
      <w:pPr>
        <w:pStyle w:val="Normal"/>
        <w:rPr/>
      </w:pPr>
      <w:r>
        <w:rPr/>
        <w:t>模型不是完整逐药物</w:t>
      </w:r>
      <w:r>
        <w:rPr/>
        <w:t>rNPV</w:t>
      </w:r>
      <w:r>
        <w:rPr/>
        <w:t>，非肺癌把多个异质适应症聚合，成本储备未逐年、销售与版税未全部合同核验，国内也用</w:t>
      </w:r>
      <w:r>
        <w:rPr/>
        <w:t>PE</w:t>
      </w:r>
      <w:r>
        <w:rPr/>
        <w:t>交叉而非分产品</w:t>
      </w:r>
      <w:r>
        <w:rPr/>
        <w:t>DCF</w:t>
      </w:r>
      <w:r>
        <w:rPr/>
        <w:t>。简化使可复算优于空洞目标，但预测误差仍大。模型价格低于机构不能证明投行错误，也不能证明股票必跌；它说明以这套明确现金路径，现价已经要求更强销售、权益或成功证据。应据此提出补证问题，而非用技术反弹掩盖估值缺口。</w:t>
      </w:r>
    </w:p>
    <w:p>
      <w:pPr>
        <w:pStyle w:val="Normal"/>
        <w:rPr/>
      </w:pPr>
      <w:r>
        <w:rPr/>
        <w:t>若版税从一成五升至一成八，在相同销售和风险判断下海外模块约提高两成；若峰值销售普遍提高五成，海外价值也接近提高五成，但可能需要更多研发和更低净价，不能只调收入不调成本。若折现率提高，较晚的非肺癌价值受影响更大；若审批延迟，现金向后移动且支出延长，价值下降。真实估值应组合检验，避免分别挑每一项最乐观并称基准。</w:t>
      </w:r>
    </w:p>
    <w:p>
      <w:pPr>
        <w:pStyle w:val="Normal"/>
        <w:rPr/>
      </w:pPr>
      <w:r>
        <w:rPr/>
        <w:t>悲观目标约十一至十七港元很低，来自主要全球价值失败、国内利润较小及较低倍数，不是预测股票必到该价。零期权或其他漏计可能使这个场景低估剩余资产，清算、未上市管线及持股仍可能提供价值；反过来，若严重安全或质量问题，实际损失也可超出。对宽区间应明确模型覆盖缺口，不能把最低价格当最大风险保护。</w:t>
      </w:r>
    </w:p>
    <w:p>
      <w:pPr>
        <w:pStyle w:val="Normal"/>
        <w:rPr/>
      </w:pPr>
      <w:r>
        <w:rPr/>
        <w:t>较远基准三年一百二十五点〇三、五年一百五十三点〇二，对应累计回报十四点六〇和四十点二六，年化四点六五及七个百分点。对进取型目标而言，这样的基准年化并不十分突出，尤其伴随大下行；因此估值维度三年二点八、五年三分，低于经营和行业分。不能只因乐观三百多港元就放到首选梯队，推荐必须综合收益、风险和证据。</w:t>
      </w:r>
    </w:p>
    <w:p>
      <w:pPr>
        <w:pStyle w:val="Heading2"/>
        <w:rPr/>
      </w:pPr>
      <w:r>
        <w:rPr>
          <w:color w:val="000000"/>
        </w:rPr>
        <w:t>十九 年底情景及四期限条件</w:t>
      </w:r>
    </w:p>
    <w:p>
      <w:pPr>
        <w:pStyle w:val="Normal"/>
        <w:rPr/>
      </w:pPr>
      <w:r>
        <w:rPr/>
        <w:t>年底悲观十一点〇六、基准六十七点二八、乐观一百七十四点九四，相对现价约负八十九点八六、负三十八点三三、正六十点三五个百分点。悲观要求全球临床或审评重要失败、国内利润不足；基准采用肺癌较高但未完全成功判断和合理份额，仍不能支撑现价；乐观要求重要随机及监管兑现、较高全球销量和分成。价格目标宽反映模型模块集中，非统计置信区间。</w:t>
      </w:r>
    </w:p>
    <w:p>
      <w:pPr>
        <w:pStyle w:val="Normal"/>
        <w:rPr/>
      </w:pPr>
      <w:r>
        <w:rPr/>
        <w:t>默认权重四分之一、二分之一、四分之一，年底期望八十点一四三六港元、回报负二十六点五四。四成悲观、四成基准、两成乐观时约六十六点三二七八；两成悲观、四成基准、四成乐观约九十九点一〇三六，仍低于现价。权重是判断，不是客观市场概率；现价高于三种加权结果提醒短期估值安全垫不足，不能靠把乐观权重再提高来保证推荐。</w:t>
      </w:r>
    </w:p>
    <w:p>
      <w:pPr>
        <w:pStyle w:val="Normal"/>
        <w:rPr/>
      </w:pPr>
      <w:r>
        <w:rPr/>
        <w:t>半年关注全年销售、经营现金、重要监管和全球三期。基准七十一点二九低于现价，短期催化高分与估值低分共同作用，综合六十三点八；价格突破可以改善技术但不会自动提升内在价值。一年基准八十六点八七，期望约一百〇三点六四低于现价，说明事件分布上行抵销部分下行但基准仍不足。若收到可核验权益和更强数据，可以重算，不把现有目标永久固定。</w:t>
      </w:r>
    </w:p>
    <w:p>
      <w:pPr>
        <w:pStyle w:val="Normal"/>
        <w:rPr/>
      </w:pPr>
      <w:r>
        <w:rPr/>
        <w:t>三年核心是全球关键适应症获批后销售和国内利润形成，而非不断公布更多探索研究。五年需要海外版税持续、竞争地位稳固、国内商业平台和资本效率提高。三年和五年评分七十六点八与七十六点五，比短期高，但证据中低与巨大宽区间须在榜单显著显示。长期最有价值的反证是每股现金和商业回报，研发管线多不能代替它们。</w:t>
      </w:r>
    </w:p>
    <w:p>
      <w:pPr>
        <w:pStyle w:val="Heading2"/>
        <w:rPr/>
      </w:pPr>
      <w:r>
        <w:rPr>
          <w:color w:val="000000"/>
        </w:rPr>
        <w:t>二十 投行目标和推翻判断的证据</w:t>
      </w:r>
    </w:p>
    <w:p>
      <w:pPr>
        <w:pStyle w:val="Normal"/>
        <w:rPr/>
      </w:pPr>
      <w:r>
        <w:rPr/>
        <w:t>公开可核验近期目标汇丰一百六十三、美银一百三十六、野村一百三十八点二九、摩根大通一百二十五港元，里昂一百七十七点八作为中资控制国际券商另列。摩根大通明确使用二〇二七年十二月</w:t>
      </w:r>
      <w:r>
        <w:rPr/>
        <w:t>DCF</w:t>
      </w:r>
      <w:r>
        <w:rPr/>
        <w:t>，终端增速三个百分点、资本成本九点六个百分点，不能当年底目标或默认一年。其他公开转述未明确日期，目标期限缺失保留。</w:t>
      </w:r>
    </w:p>
    <w:p>
      <w:pPr>
        <w:pStyle w:val="Normal"/>
        <w:rPr/>
      </w:pPr>
      <w:r>
        <w:rPr/>
        <w:t>投行多使用完整公司</w:t>
      </w:r>
      <w:r>
        <w:rPr/>
        <w:t>DCF</w:t>
      </w:r>
      <w:r>
        <w:rPr/>
        <w:t>和更高全球资产价值，可能包括本模型暂未加入的终端、早期药物、</w:t>
      </w:r>
      <w:r>
        <w:rPr/>
        <w:t>Summit</w:t>
      </w:r>
      <w:r>
        <w:rPr/>
        <w:t>持股、里程碑或更高海外份额。是否合理需要原模型及权益支持。本章不把这些可能因素虚构为机构实际假设；目前只有新闻摘要，不能宣称已审阅全部原研报。低于投行目标的重要差异应留在研究总表，同时提示简化模型未通过最终逐资产验收。</w:t>
      </w:r>
    </w:p>
    <w:p>
      <w:pPr>
        <w:pStyle w:val="Normal"/>
        <w:rPr/>
      </w:pPr>
      <w:r>
        <w:rPr/>
        <w:t>推翻短期谨慎判断的证据包括全球随机数据与监管有效降低风险、实际分成和地区权益高于现假设、国内持续利润明显胜路径，以及可靠现金流证明更高价值。如果只有伙伴股价或康方技术反弹，而现金和权益没有改变，不足以推翻估值判断。反向推翻长期正面判断的证据则是主要试验失败、治疗安全性限制、竞品优势、净价不足、伙伴撤资或不合理稀释。</w:t>
      </w:r>
    </w:p>
    <w:p>
      <w:pPr>
        <w:pStyle w:val="Normal"/>
        <w:rPr/>
      </w:pPr>
      <w:r>
        <w:rPr/>
        <w:t>十年展望需要验证双抗平台能否反复产出，而不是只持有一款领先药的热度。若依沃西全球成功形成现金、卡度和其他药稳定增长，资金可支持更好研发，可能建立持续创新循环；如果公司用所有现金扩张新机制而缺少阶段退出，成功药的回报也可能被低效投入消耗。长期股东获得每股现金而非药物榜单名次，治理、融资与资本配置应和临床同等被检验。</w:t>
      </w:r>
    </w:p>
    <w:p>
      <w:pPr>
        <w:pStyle w:val="Heading2"/>
        <w:rPr/>
      </w:pPr>
      <w:r>
        <w:rPr>
          <w:color w:val="000000"/>
        </w:rPr>
        <w:t>来源与复核记录 不计入有效正文</w:t>
      </w:r>
    </w:p>
    <w:p>
      <w:pPr>
        <w:pStyle w:val="Normal"/>
        <w:rPr/>
      </w:pPr>
      <w:r>
        <w:rPr/>
        <w:t>- [</w:t>
      </w:r>
      <w:r>
        <w:rPr/>
        <w:t>康方</w:t>
      </w:r>
      <w:r>
        <w:rPr/>
        <w:t>2026</w:t>
      </w:r>
      <w:r>
        <w:rPr/>
        <w:t>中期报告</w:t>
      </w:r>
      <w:r>
        <w:rPr/>
        <w:t>](https://iis.aastocks.com/20260930/12353049-0.PDF)</w:t>
      </w:r>
      <w:r>
        <w:rPr/>
        <w:t>，</w:t>
      </w:r>
      <w:r>
        <w:rPr/>
        <w:t>9</w:t>
      </w:r>
      <w:r>
        <w:rPr/>
        <w:t>月</w:t>
      </w:r>
      <w:r>
        <w:rPr/>
        <w:t>30</w:t>
      </w:r>
      <w:r>
        <w:rPr/>
        <w:t>日公开，重点</w:t>
      </w:r>
      <w:r>
        <w:rPr/>
        <w:t>PDF</w:t>
      </w:r>
      <w:r>
        <w:rPr/>
        <w:t>页</w:t>
      </w:r>
      <w:r>
        <w:rPr/>
        <w:t>10—29</w:t>
      </w:r>
      <w:r>
        <w:rPr/>
        <w:t>、</w:t>
      </w:r>
      <w:r>
        <w:rPr/>
        <w:t>30—32</w:t>
      </w:r>
      <w:r>
        <w:rPr/>
        <w:t>、</w:t>
      </w:r>
      <w:r>
        <w:rPr/>
        <w:t>71—78</w:t>
      </w:r>
      <w:r>
        <w:rPr/>
        <w:t>、</w:t>
      </w:r>
      <w:r>
        <w:rPr/>
        <w:t>80—82</w:t>
      </w:r>
      <w:r>
        <w:rPr/>
        <w:t>、</w:t>
      </w:r>
      <w:r>
        <w:rPr/>
        <w:t>86—91</w:t>
      </w:r>
      <w:r>
        <w:rPr/>
        <w:t>、</w:t>
      </w:r>
      <w:r>
        <w:rPr/>
        <w:t>93</w:t>
      </w:r>
      <w:r>
        <w:rPr/>
        <w:t>；</w:t>
      </w:r>
      <w:r>
        <w:rPr/>
        <w:t>[8</w:t>
      </w:r>
      <w:r>
        <w:rPr/>
        <w:t>月</w:t>
      </w:r>
      <w:r>
        <w:rPr/>
        <w:t>27</w:t>
      </w:r>
      <w:r>
        <w:rPr/>
        <w:t>日中期公告</w:t>
      </w:r>
      <w:r>
        <w:rPr/>
        <w:t>](https://iis.aastocks.com/20260827/12303376-0.PDF)</w:t>
      </w:r>
      <w:r>
        <w:rPr/>
        <w:t>原数字交叉。</w:t>
      </w:r>
    </w:p>
    <w:p>
      <w:pPr>
        <w:pStyle w:val="Normal"/>
        <w:rPr/>
      </w:pPr>
      <w:r>
        <w:rPr/>
        <w:t>- [</w:t>
      </w:r>
      <w:r>
        <w:rPr/>
        <w:t>摩通</w:t>
      </w:r>
      <w:r>
        <w:rPr/>
        <w:t>9</w:t>
      </w:r>
      <w:r>
        <w:rPr/>
        <w:t>月</w:t>
      </w:r>
      <w:r>
        <w:rPr/>
        <w:t>14</w:t>
      </w:r>
      <w:r>
        <w:rPr/>
        <w:t>日</w:t>
      </w:r>
      <w:r>
        <w:rPr/>
        <w:t>HARMONi</w:t>
      </w:r>
      <w:r>
        <w:rPr/>
        <w:t>二数据及</w:t>
      </w:r>
      <w:r>
        <w:rPr/>
        <w:t>125</w:t>
      </w:r>
      <w:r>
        <w:rPr/>
        <w:t>港元</w:t>
      </w:r>
      <w:r>
        <w:rPr/>
        <w:t>](https://www.aastocks.com/tc/stocks/analysis/stock-aafn-con/09926/AAFN/NOW.1544291/research-report)</w:t>
      </w:r>
      <w:r>
        <w:rPr/>
        <w:t>；</w:t>
      </w:r>
      <w:r>
        <w:rPr/>
        <w:t>[</w:t>
      </w:r>
      <w:r>
        <w:rPr/>
        <w:t>美银</w:t>
      </w:r>
      <w:r>
        <w:rPr/>
        <w:t>9</w:t>
      </w:r>
      <w:r>
        <w:rPr/>
        <w:t>月</w:t>
      </w:r>
      <w:r>
        <w:rPr/>
        <w:t>14</w:t>
      </w:r>
      <w:r>
        <w:rPr/>
        <w:t>日</w:t>
      </w:r>
      <w:r>
        <w:rPr/>
        <w:t>136](https://www.aastocks.com/tc/stocks/analysis/stock-aafn-con/09926/AAFN/NOW.1544352/research-report)</w:t>
      </w:r>
      <w:r>
        <w:rPr/>
        <w:t>；</w:t>
      </w:r>
      <w:r>
        <w:rPr/>
        <w:t>[</w:t>
      </w:r>
      <w:r>
        <w:rPr/>
        <w:t>汇丰</w:t>
      </w:r>
      <w:r>
        <w:rPr/>
        <w:t>9</w:t>
      </w:r>
      <w:r>
        <w:rPr/>
        <w:t>月</w:t>
      </w:r>
      <w:r>
        <w:rPr/>
        <w:t>29</w:t>
      </w:r>
      <w:r>
        <w:rPr/>
        <w:t>日</w:t>
      </w:r>
      <w:r>
        <w:rPr/>
        <w:t>163](https://www.aastocks.com/tc/stocks/analysis/stock-aafn-con/01801/AAFN/NOW.1547010/research-report)</w:t>
      </w:r>
      <w:r>
        <w:rPr/>
        <w:t>。</w:t>
      </w:r>
    </w:p>
    <w:p>
      <w:pPr>
        <w:pStyle w:val="Normal"/>
        <w:rPr/>
      </w:pPr>
      <w:r>
        <w:rPr/>
        <w:t>- [</w:t>
      </w:r>
      <w:r>
        <w:rPr/>
        <w:t>野村</w:t>
      </w:r>
      <w:r>
        <w:rPr/>
        <w:t>9</w:t>
      </w:r>
      <w:r>
        <w:rPr/>
        <w:t>月</w:t>
      </w:r>
      <w:r>
        <w:rPr/>
        <w:t>30</w:t>
      </w:r>
      <w:r>
        <w:rPr/>
        <w:t>日</w:t>
      </w:r>
      <w:r>
        <w:rPr/>
        <w:t>138.29</w:t>
      </w:r>
      <w:r>
        <w:rPr/>
        <w:t>及伙伴融资</w:t>
      </w:r>
      <w:r>
        <w:rPr/>
        <w:t>](https://www.aastocks.com/tc/stocks/analysis/stock-aafn-con/09926/AAFN/NOW.1547156/research-report)</w:t>
      </w:r>
      <w:r>
        <w:rPr/>
        <w:t>；</w:t>
      </w:r>
      <w:r>
        <w:rPr/>
        <w:t>[</w:t>
      </w:r>
      <w:r>
        <w:rPr/>
        <w:t>大和</w:t>
      </w:r>
      <w:r>
        <w:rPr/>
        <w:t>9</w:t>
      </w:r>
      <w:r>
        <w:rPr/>
        <w:t>月</w:t>
      </w:r>
      <w:r>
        <w:rPr/>
        <w:t>30</w:t>
      </w:r>
      <w:r>
        <w:rPr/>
        <w:t>日合作判断</w:t>
      </w:r>
      <w:r>
        <w:rPr/>
        <w:t>](https://www.aastocks.com/tc/stocks/analysis/stock-aafn-con/09926/AAFN/NOW.1547164/research-report)</w:t>
      </w:r>
      <w:r>
        <w:rPr/>
        <w:t>；</w:t>
      </w:r>
      <w:r>
        <w:rPr/>
        <w:t>[</w:t>
      </w:r>
      <w:r>
        <w:rPr/>
        <w:t>里昂</w:t>
      </w:r>
      <w:r>
        <w:rPr/>
        <w:t>8</w:t>
      </w:r>
      <w:r>
        <w:rPr/>
        <w:t>月</w:t>
      </w:r>
      <w:r>
        <w:rPr/>
        <w:t>31</w:t>
      </w:r>
      <w:r>
        <w:rPr/>
        <w:t>日</w:t>
      </w:r>
      <w:r>
        <w:rPr/>
        <w:t>177.8](https://www.aastocks.com/tc/stocks/analysis/stock-aafn-con/09926/AAFN/NOW.1542128/research-report)</w:t>
      </w:r>
      <w:r>
        <w:rPr/>
        <w:t>。目标转述多无明确期限，未冒充原研报。</w:t>
      </w:r>
    </w:p>
    <w:p>
      <w:pPr>
        <w:pStyle w:val="Normal"/>
        <w:rPr/>
      </w:pPr>
      <w:r>
        <w:rPr/>
        <w:t xml:space="preserve">- </w:t>
      </w:r>
      <w:r>
        <w:rPr/>
        <w:t>行情</w:t>
      </w:r>
      <w:r>
        <w:rPr/>
        <w:t>data/market_snapshot.json S060</w:t>
      </w:r>
      <w:r>
        <w:rPr/>
        <w:t>及</w:t>
      </w:r>
      <w:r>
        <w:rPr/>
        <w:t>data/history/S060.json</w:t>
      </w:r>
      <w:r>
        <w:rPr/>
        <w:t>，三年</w:t>
      </w:r>
      <w:r>
        <w:rPr/>
        <w:t>739</w:t>
      </w:r>
      <w:r>
        <w:rPr/>
        <w:t>日、</w:t>
      </w:r>
      <w:r>
        <w:rPr/>
        <w:t>157</w:t>
      </w:r>
      <w:r>
        <w:rPr/>
        <w:t>周，腾讯</w:t>
      </w:r>
      <w:r>
        <w:rPr/>
        <w:t>/Yahoo</w:t>
      </w:r>
      <w:r>
        <w:rPr/>
        <w:t>历史及腾讯新浪收盘核对，成交股数与币种统一；无逐笔故不声称主力吸筹或精确筹码成本；行业基准缺失。</w:t>
      </w:r>
    </w:p>
    <w:p>
      <w:pPr>
        <w:pStyle w:val="Normal"/>
        <w:rPr/>
      </w:pPr>
      <w:r>
        <w:rPr/>
        <w:t>- data/akeso_model.json</w:t>
      </w:r>
      <w:r>
        <w:rPr/>
        <w:t>与</w:t>
      </w:r>
      <w:r>
        <w:rPr/>
        <w:t>tools/akeso_model.mjs</w:t>
      </w:r>
      <w:r>
        <w:rPr/>
        <w:t>含逐年销售及折现、成功判断、现金股数、评分和快照；海外条款及完整逐适应症现金流未全面核验，模型可信度中低，不能宣称完整验收完成。</w:t>
      </w:r>
      <w:r>
        <w:br w:type="page"/>
      </w:r>
    </w:p>
    <w:p>
      <w:pPr>
        <w:pStyle w:val="Heading1"/>
        <w:rPr/>
      </w:pPr>
      <w:bookmarkStart w:id="6" w:name="__RefHeading___Toc27131_1364803659"/>
      <w:bookmarkEnd w:id="6"/>
      <w:r>
        <w:rPr>
          <w:color w:val="000000"/>
        </w:rPr>
        <w:t xml:space="preserve">小米集团 </w:t>
      </w:r>
      <w:r>
        <w:rPr>
          <w:color w:val="000000"/>
        </w:rPr>
        <w:t>W 01810 HK</w:t>
      </w:r>
    </w:p>
    <w:p>
      <w:pPr>
        <w:pStyle w:val="Normal"/>
        <w:rPr/>
      </w:pPr>
      <w:r>
        <w:rPr/>
        <w:t xml:space="preserve">01810.HK </w:t>
      </w:r>
      <w:r>
        <w:rPr/>
        <w:t xml:space="preserve">现价 </w:t>
      </w:r>
      <w:r>
        <w:rPr/>
        <w:t>25.96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32.83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+26.46%</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+49.15%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+49.15%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55.47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+113.67%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+113.67%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69.65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+168.30%</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-72.23%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57.41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29.85HKD</w:t>
      </w:r>
      <w:r>
        <w:rPr/>
        <w:t>，期望股价回报</w:t>
      </w:r>
      <w:r>
        <w:rPr/>
        <w:t>+15.00%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7.78</w:t>
              <w:br/>
              <w:t>-70.03%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32.83</w:t>
              <w:br/>
              <w:t>+26.46%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64.38</w:t>
              <w:br/>
              <w:t>+148.00%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7.29</w:t>
              <w:br/>
              <w:t>-71.92%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38.72</w:t>
              <w:br/>
              <w:t>+49.15%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80.61</w:t>
              <w:br/>
              <w:t>+210.52%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6.16</w:t>
              <w:br/>
              <w:t>-76.27%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55.47</w:t>
              <w:br/>
              <w:t>+113.67%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131.79</w:t>
              <w:br/>
              <w:t>+407.67%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4.88</w:t>
              <w:br/>
              <w:t>-81.20%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69.65</w:t>
              <w:br/>
              <w:t>+168.30%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179.95</w:t>
              <w:br/>
              <w:t>+593.18%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+21.82%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基本面主源</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高（官网季度财表与年报，调整</w:t>
            </w:r>
            <w:r>
              <w:rPr>
                <w:rFonts w:eastAsia="微软雅黑" w:ascii="微软雅黑" w:hAnsi="微软雅黑"/>
                <w:sz w:val="17"/>
              </w:rPr>
              <w:t>EPS</w:t>
            </w:r>
            <w:r>
              <w:rPr>
                <w:rFonts w:ascii="微软雅黑" w:hAnsi="微软雅黑" w:eastAsia="微软雅黑"/>
                <w:sz w:val="17"/>
              </w:rPr>
              <w:t>研究近似独立标明）</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高（锁版双报价及双日线，换手率缺失）</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中低（正常</w:t>
            </w:r>
            <w:r>
              <w:rPr>
                <w:rFonts w:eastAsia="微软雅黑" w:ascii="微软雅黑" w:hAnsi="微软雅黑"/>
                <w:sz w:val="17"/>
              </w:rPr>
              <w:t>EBIT</w:t>
            </w:r>
            <w:r>
              <w:rPr>
                <w:rFonts w:ascii="微软雅黑" w:hAnsi="微软雅黑" w:eastAsia="微软雅黑"/>
                <w:sz w:val="17"/>
              </w:rPr>
              <w:t>、税、股数、</w:t>
            </w:r>
            <w:r>
              <w:rPr>
                <w:rFonts w:eastAsia="微软雅黑" w:ascii="微软雅黑" w:hAnsi="微软雅黑"/>
                <w:sz w:val="17"/>
              </w:rPr>
              <w:t>FX</w:t>
            </w:r>
            <w:r>
              <w:rPr>
                <w:rFonts w:ascii="微软雅黑" w:hAnsi="微软雅黑" w:eastAsia="微软雅黑"/>
                <w:sz w:val="17"/>
              </w:rPr>
              <w:t>和</w:t>
            </w:r>
            <w:r>
              <w:rPr>
                <w:rFonts w:eastAsia="微软雅黑" w:ascii="微软雅黑" w:hAnsi="微软雅黑"/>
                <w:sz w:val="17"/>
              </w:rPr>
              <w:t>PE</w:t>
            </w:r>
            <w:r>
              <w:rPr>
                <w:rFonts w:ascii="微软雅黑" w:hAnsi="微软雅黑" w:eastAsia="微软雅黑"/>
                <w:sz w:val="17"/>
              </w:rPr>
              <w:t>均研究假设）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中（公开新闻转述，目标期限</w:t>
            </w:r>
            <w:r>
              <w:rPr>
                <w:rFonts w:eastAsia="微软雅黑" w:ascii="微软雅黑" w:hAnsi="微软雅黑"/>
                <w:sz w:val="17"/>
              </w:rPr>
              <w:t>未披露</w:t>
            </w:r>
            <w:r>
              <w:rPr>
                <w:rFonts w:ascii="微软雅黑" w:hAnsi="微软雅黑" w:eastAsia="微软雅黑"/>
                <w:sz w:val="17"/>
              </w:rPr>
              <w:t>）</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+32.79%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+41.69%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+56.61%</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+124.36%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+154.88%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+168.30%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+181.71%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Heading2"/>
        <w:rPr/>
      </w:pPr>
      <w:r>
        <w:rPr>
          <w:color w:val="000000"/>
        </w:rPr>
        <w:t>结论卡与推荐条件</w:t>
      </w:r>
    </w:p>
    <w:p>
      <w:pPr>
        <w:pStyle w:val="Normal"/>
        <w:rPr/>
      </w:pPr>
      <w:r>
        <w:rPr/>
        <w:t>小米的长期价值来自手机、物联网、互联网服务和汽车的用户关系能否转化为持续每股现金收益。汽车及人工智能扩大经营空间，也扩大研发、资本开支与质量责任。现价较阶段高位大幅下降，不能单靠回撤判断便宜。上半年收入下降</w:t>
      </w:r>
      <w:r>
        <w:rPr/>
        <w:t>8.4%</w:t>
      </w:r>
      <w:r>
        <w:rPr/>
        <w:t>、调整集团净利润下降</w:t>
      </w:r>
      <w:r>
        <w:rPr/>
        <w:t>42.8%</w:t>
      </w:r>
      <w:r>
        <w:rPr/>
        <w:t>，显示组件、补贴、车型结构与投入已经改变短期盈利锚。</w:t>
      </w:r>
    </w:p>
    <w:p>
      <w:pPr>
        <w:pStyle w:val="Normal"/>
        <w:rPr/>
      </w:pPr>
      <w:r>
        <w:rPr/>
        <w:t>半年、一年、三年、五年评分</w:t>
      </w:r>
      <w:r>
        <w:rPr/>
        <w:t>61.9</w:t>
      </w:r>
      <w:r>
        <w:rPr/>
        <w:t>、</w:t>
      </w:r>
      <w:r>
        <w:rPr/>
        <w:t>69.8</w:t>
      </w:r>
      <w:r>
        <w:rPr/>
        <w:t>、</w:t>
      </w:r>
      <w:r>
        <w:rPr/>
        <w:t>76.8</w:t>
      </w:r>
      <w:r>
        <w:rPr/>
        <w:t>、</w:t>
      </w:r>
      <w:r>
        <w:rPr/>
        <w:t>77.0</w:t>
      </w:r>
      <w:r>
        <w:rPr/>
        <w:t>分，依次为时机待确认、有条件进取、较优成长候选、较优成长候选。总表统一决定跨公司名次。本公司最适合在盈利和现金流修复有证据时提高判断，不能把当日放量上涨直接视为中长期反转。</w:t>
      </w:r>
    </w:p>
    <w:p>
      <w:pPr>
        <w:pStyle w:val="Normal"/>
        <w:rPr/>
      </w:pPr>
      <w:r>
        <w:rPr/>
        <w:t>年底三情景</w:t>
      </w:r>
      <w:r>
        <w:rPr/>
        <w:t>7.21</w:t>
      </w:r>
      <w:r>
        <w:rPr/>
        <w:t>、</w:t>
      </w:r>
      <w:r>
        <w:rPr/>
        <w:t>27.40</w:t>
      </w:r>
      <w:r>
        <w:rPr/>
        <w:t>、</w:t>
      </w:r>
      <w:r>
        <w:rPr/>
        <w:t>57.41</w:t>
      </w:r>
      <w:r>
        <w:rPr/>
        <w:t>港元，涨跌幅负</w:t>
      </w:r>
      <w:r>
        <w:rPr/>
        <w:t>72.23%</w:t>
      </w:r>
      <w:r>
        <w:rPr/>
        <w:t>、正</w:t>
      </w:r>
      <w:r>
        <w:rPr/>
        <w:t>5.55%</w:t>
      </w:r>
      <w:r>
        <w:rPr/>
        <w:t>、正</w:t>
      </w:r>
      <w:r>
        <w:rPr/>
        <w:t>121.15%</w:t>
      </w:r>
      <w:r>
        <w:rPr/>
        <w:t>；半年</w:t>
      </w:r>
      <w:r>
        <w:rPr/>
        <w:t>7.78</w:t>
      </w:r>
      <w:r>
        <w:rPr/>
        <w:t>、</w:t>
      </w:r>
      <w:r>
        <w:rPr/>
        <w:t>32.83</w:t>
      </w:r>
      <w:r>
        <w:rPr/>
        <w:t>、</w:t>
      </w:r>
      <w:r>
        <w:rPr/>
        <w:t>64.38</w:t>
      </w:r>
      <w:r>
        <w:rPr/>
        <w:t>港元，负</w:t>
      </w:r>
      <w:r>
        <w:rPr/>
        <w:t>70.03%</w:t>
      </w:r>
      <w:r>
        <w:rPr/>
        <w:t>、正</w:t>
      </w:r>
      <w:r>
        <w:rPr/>
        <w:t>26.46%</w:t>
      </w:r>
      <w:r>
        <w:rPr/>
        <w:t>、正</w:t>
      </w:r>
      <w:r>
        <w:rPr/>
        <w:t>148.00%</w:t>
      </w:r>
      <w:r>
        <w:rPr/>
        <w:t>；一年</w:t>
      </w:r>
      <w:r>
        <w:rPr/>
        <w:t>7.29</w:t>
      </w:r>
      <w:r>
        <w:rPr/>
        <w:t>、</w:t>
      </w:r>
      <w:r>
        <w:rPr/>
        <w:t>38.72</w:t>
      </w:r>
      <w:r>
        <w:rPr/>
        <w:t>、</w:t>
      </w:r>
      <w:r>
        <w:rPr/>
        <w:t>80.61</w:t>
      </w:r>
      <w:r>
        <w:rPr/>
        <w:t>港元，负</w:t>
      </w:r>
      <w:r>
        <w:rPr/>
        <w:t>71.92%</w:t>
      </w:r>
      <w:r>
        <w:rPr/>
        <w:t>、正</w:t>
      </w:r>
      <w:r>
        <w:rPr/>
        <w:t>49.15%</w:t>
      </w:r>
      <w:r>
        <w:rPr/>
        <w:t>、正</w:t>
      </w:r>
      <w:r>
        <w:rPr/>
        <w:t>210.52%</w:t>
      </w:r>
      <w:r>
        <w:rPr/>
        <w:t>。三年</w:t>
      </w:r>
      <w:r>
        <w:rPr/>
        <w:t>6.16</w:t>
      </w:r>
      <w:r>
        <w:rPr/>
        <w:t>、</w:t>
      </w:r>
      <w:r>
        <w:rPr/>
        <w:t>55.47</w:t>
      </w:r>
      <w:r>
        <w:rPr/>
        <w:t>、</w:t>
      </w:r>
      <w:r>
        <w:rPr/>
        <w:t>131.79</w:t>
      </w:r>
      <w:r>
        <w:rPr/>
        <w:t>港元，负</w:t>
      </w:r>
      <w:r>
        <w:rPr/>
        <w:t>76.27%</w:t>
      </w:r>
      <w:r>
        <w:rPr/>
        <w:t>、正</w:t>
      </w:r>
      <w:r>
        <w:rPr/>
        <w:t>113.67%</w:t>
      </w:r>
      <w:r>
        <w:rPr/>
        <w:t>、正</w:t>
      </w:r>
      <w:r>
        <w:rPr/>
        <w:t>407.67%</w:t>
      </w:r>
      <w:r>
        <w:rPr/>
        <w:t>；五年</w:t>
      </w:r>
      <w:r>
        <w:rPr/>
        <w:t>4.88</w:t>
      </w:r>
      <w:r>
        <w:rPr/>
        <w:t>、</w:t>
      </w:r>
      <w:r>
        <w:rPr/>
        <w:t>69.65</w:t>
      </w:r>
      <w:r>
        <w:rPr/>
        <w:t>、</w:t>
      </w:r>
      <w:r>
        <w:rPr/>
        <w:t>179.95</w:t>
      </w:r>
      <w:r>
        <w:rPr/>
        <w:t>港元，负</w:t>
      </w:r>
      <w:r>
        <w:rPr/>
        <w:t>81.20%</w:t>
      </w:r>
      <w:r>
        <w:rPr/>
        <w:t>、正</w:t>
      </w:r>
      <w:r>
        <w:rPr/>
        <w:t>168.30%</w:t>
      </w:r>
      <w:r>
        <w:rPr/>
        <w:t>、正</w:t>
      </w:r>
      <w:r>
        <w:rPr/>
        <w:t>593.18%</w:t>
      </w:r>
      <w:r>
        <w:rPr/>
        <w:t>。</w:t>
      </w:r>
    </w:p>
    <w:p>
      <w:pPr>
        <w:pStyle w:val="Normal"/>
        <w:rPr/>
      </w:pPr>
      <w:r>
        <w:rPr/>
        <w:t>年底权重</w:t>
      </w:r>
      <w:r>
        <w:rPr/>
        <w:t>25%</w:t>
      </w:r>
      <w:r>
        <w:rPr/>
        <w:t>、</w:t>
      </w:r>
      <w:r>
        <w:rPr/>
        <w:t>50%</w:t>
      </w:r>
      <w:r>
        <w:rPr/>
        <w:t>、</w:t>
      </w:r>
      <w:r>
        <w:rPr/>
        <w:t>25%</w:t>
      </w:r>
      <w:r>
        <w:rPr/>
        <w:t>的期望</w:t>
      </w:r>
      <w:r>
        <w:rPr/>
        <w:t>29.855</w:t>
      </w:r>
      <w:r>
        <w:rPr/>
        <w:t>港元、回报</w:t>
      </w:r>
      <w:r>
        <w:rPr/>
        <w:t>15.00%</w:t>
      </w:r>
      <w:r>
        <w:rPr/>
        <w:t>；偏防御权重</w:t>
      </w:r>
      <w:r>
        <w:rPr/>
        <w:t>40%</w:t>
      </w:r>
      <w:r>
        <w:rPr/>
        <w:t>、</w:t>
      </w:r>
      <w:r>
        <w:rPr/>
        <w:t>50%</w:t>
      </w:r>
      <w:r>
        <w:rPr/>
        <w:t>、</w:t>
      </w:r>
      <w:r>
        <w:rPr/>
        <w:t>10%</w:t>
      </w:r>
      <w:r>
        <w:rPr/>
        <w:t>为</w:t>
      </w:r>
      <w:r>
        <w:rPr/>
        <w:t>22.325</w:t>
      </w:r>
      <w:r>
        <w:rPr/>
        <w:t>港元、负</w:t>
      </w:r>
      <w:r>
        <w:rPr/>
        <w:t>14.00%</w:t>
      </w:r>
      <w:r>
        <w:rPr/>
        <w:t>，偏乐观</w:t>
      </w:r>
      <w:r>
        <w:rPr/>
        <w:t>10%</w:t>
      </w:r>
      <w:r>
        <w:rPr/>
        <w:t>、</w:t>
      </w:r>
      <w:r>
        <w:rPr/>
        <w:t>50%</w:t>
      </w:r>
      <w:r>
        <w:rPr/>
        <w:t>、</w:t>
      </w:r>
      <w:r>
        <w:rPr/>
        <w:t>40%</w:t>
      </w:r>
      <w:r>
        <w:rPr/>
        <w:t>为</w:t>
      </w:r>
      <w:r>
        <w:rPr/>
        <w:t>37.385</w:t>
      </w:r>
      <w:r>
        <w:rPr/>
        <w:t>港元、正</w:t>
      </w:r>
      <w:r>
        <w:rPr/>
        <w:t>44.01%</w:t>
      </w:r>
      <w:r>
        <w:rPr/>
        <w:t>。情景跨度大，权重是判断假设，低价不是清算底，高价不是承诺；现金部署或新业务退出会改变低端盈利估值。分红暂零，三年及五年基准年化回报</w:t>
      </w:r>
      <w:r>
        <w:rPr/>
        <w:t>28.80%</w:t>
      </w:r>
      <w:r>
        <w:rPr/>
        <w:t>、</w:t>
      </w:r>
      <w:r>
        <w:rPr/>
        <w:t>21.82%</w:t>
      </w:r>
      <w:r>
        <w:rPr/>
        <w:t>。</w:t>
      </w:r>
    </w:p>
    <w:p>
      <w:pPr>
        <w:pStyle w:val="Heading2"/>
        <w:rPr/>
      </w:pPr>
      <w:r>
        <w:rPr>
          <w:color w:val="000000"/>
        </w:rPr>
        <w:t>一 公司价值的核心问题</w:t>
      </w:r>
    </w:p>
    <w:p>
      <w:pPr>
        <w:pStyle w:val="Normal"/>
        <w:rPr/>
      </w:pPr>
      <w:r>
        <w:rPr/>
        <w:t>小米已经超过单一手机厂商的边界，业务包含手机和智能设备、互联网服务、汽车以及人工智能新投入。共同点是面向大量消费者建立设备、软件、渠道和品牌关系，不同点是利润率、研发周期和资本需求差别很大。手机薄利销售与互联网广告高毛利可以形成互补，汽车则需要工厂、售后、研发和安全验证。将所有收入套一个互联网倍数，会掩盖制造和现金风险。</w:t>
      </w:r>
    </w:p>
    <w:p>
      <w:pPr>
        <w:pStyle w:val="Normal"/>
        <w:rPr/>
      </w:pPr>
      <w:r>
        <w:rPr/>
        <w:t>投资论点是既有用户关系能够降低新产品获客成本，平台与供应链能力帮助产品迭代，规模最终产生每股利润。但用户使用多个小米设备不等于一定购买汽车，也不等于愿意为人工智能服务付费。品牌可以帮助启动需求，持续竞争优势还需产品、可靠性、软件体验和渠道服务共同支持。本研究把这些机会放进分部经营利润的不同情景，不另给泛生态概念价值。</w:t>
      </w:r>
    </w:p>
    <w:p>
      <w:pPr>
        <w:pStyle w:val="Normal"/>
        <w:rPr/>
      </w:pPr>
      <w:r>
        <w:rPr/>
        <w:t>进取型标准重视三至五年的扩张，却必须接受扩张阶段利润不稳定。公司并非需要等待全部新业务成功才有价值，成熟设备与服务业务提供基础；但基础业务可能受新业务投入拖累，资金也不是无限。判断应围绕正常经营利润、股数和现金形成，不能把融资规模、产品热度或设备连接数量直接当作股东回报。</w:t>
      </w:r>
    </w:p>
    <w:p>
      <w:pPr>
        <w:pStyle w:val="Heading2"/>
        <w:rPr/>
      </w:pPr>
      <w:r>
        <w:rPr>
          <w:color w:val="000000"/>
        </w:rPr>
        <w:t>二 历史增长与新的利润锚</w:t>
      </w:r>
    </w:p>
    <w:p>
      <w:pPr>
        <w:pStyle w:val="Normal"/>
        <w:rPr/>
      </w:pPr>
      <w:r>
        <w:rPr/>
        <w:t>年报显示二零二三至二零二五年收入由</w:t>
      </w:r>
      <w:r>
        <w:rPr/>
        <w:t>2709.70</w:t>
      </w:r>
      <w:r>
        <w:rPr/>
        <w:t>亿元升至</w:t>
      </w:r>
      <w:r>
        <w:rPr/>
        <w:t>3659.06</w:t>
      </w:r>
      <w:r>
        <w:rPr/>
        <w:t>亿元，再到</w:t>
      </w:r>
      <w:r>
        <w:rPr/>
        <w:t>4572.87</w:t>
      </w:r>
      <w:r>
        <w:rPr/>
        <w:t>亿元；调整集团净利润由</w:t>
      </w:r>
      <w:r>
        <w:rPr/>
        <w:t>192.73</w:t>
      </w:r>
      <w:r>
        <w:rPr/>
        <w:t>亿元升至</w:t>
      </w:r>
      <w:r>
        <w:rPr/>
        <w:t>272.35</w:t>
      </w:r>
      <w:r>
        <w:rPr/>
        <w:t>亿元，再到</w:t>
      </w:r>
      <w:r>
        <w:rPr/>
        <w:t>391.66</w:t>
      </w:r>
      <w:r>
        <w:rPr/>
        <w:t>亿元。二零二五年收入和调整利润同时创高点，反映手机及物联网基础、汽车扩张和业务组合改善。汽车新业务收入首次超过千亿元，对增长贡献显著，不能把这段扩张速度全部归于手机升级。</w:t>
      </w:r>
    </w:p>
    <w:p>
      <w:pPr>
        <w:pStyle w:val="Normal"/>
        <w:rPr/>
      </w:pPr>
      <w:r>
        <w:rPr/>
        <w:t>二零二六上半年收入</w:t>
      </w:r>
      <w:r>
        <w:rPr/>
        <w:t>2080.63</w:t>
      </w:r>
      <w:r>
        <w:rPr/>
        <w:t>亿元，同比下降约百分之八点四，调整集团净利润</w:t>
      </w:r>
      <w:r>
        <w:rPr/>
        <w:t>122.91</w:t>
      </w:r>
      <w:r>
        <w:rPr/>
        <w:t>亿元，同比下降约百分之四十二点八。六月季度收入</w:t>
      </w:r>
      <w:r>
        <w:rPr/>
        <w:t>1089.22</w:t>
      </w:r>
      <w:r>
        <w:rPr/>
        <w:t>亿元，同比下降约百分之六点一，调整净利润</w:t>
      </w:r>
      <w:r>
        <w:rPr/>
        <w:t>62.19</w:t>
      </w:r>
      <w:r>
        <w:rPr/>
        <w:t>亿元，同比下降约百分之四十二点六。法定利润受投资公允价值及其他因素影响，降幅较小并不证明主营压力不大。最新经营基础已经弱于上一年高峰。</w:t>
      </w:r>
    </w:p>
    <w:p>
      <w:pPr>
        <w:pStyle w:val="Normal"/>
        <w:rPr/>
      </w:pPr>
      <w:r>
        <w:rPr/>
        <w:t>研究不能简单把二零二五全年盈利贴上“正常”标签，也不能将半年度低点永久化。关键是利润下滑来自可以缓解的组件周期和补贴变化，还是价格竞争、产品结构和投入长期重塑利润。年度模型必须区分手机与设备基础、汽车与人工智能新业务、金融贡献和股数；季度之间的季节性又决定简单乘四或乘二可能误导。</w:t>
      </w:r>
    </w:p>
    <w:p>
      <w:pPr>
        <w:pStyle w:val="Heading2"/>
        <w:rPr/>
      </w:pPr>
      <w:r>
        <w:rPr>
          <w:color w:val="000000"/>
        </w:rPr>
        <w:t>三 手机收入 出货与高端化</w:t>
      </w:r>
    </w:p>
    <w:p>
      <w:pPr>
        <w:pStyle w:val="Normal"/>
        <w:rPr/>
      </w:pPr>
      <w:r>
        <w:rPr/>
        <w:t>六月手机收入约</w:t>
      </w:r>
      <w:r>
        <w:rPr/>
        <w:t>421</w:t>
      </w:r>
      <w:r>
        <w:rPr/>
        <w:t>亿元，出货</w:t>
      </w:r>
      <w:r>
        <w:rPr/>
        <w:t>3120</w:t>
      </w:r>
      <w:r>
        <w:rPr/>
        <w:t>万台，平均售价</w:t>
      </w:r>
      <w:r>
        <w:rPr/>
        <w:t>1351</w:t>
      </w:r>
      <w:r>
        <w:rPr/>
        <w:t>元，同比增长百分之二十五点九。售价上升说明产品结构、地域或定价发生变化，但不能单凭这一数字认定高端化完全成功。收入还取决于总出货量、销售节奏和渠道库存；如果低端数量减少而高端数量未充分补足，平均售价上升可以与收入下降同时出现。</w:t>
      </w:r>
    </w:p>
    <w:p>
      <w:pPr>
        <w:pStyle w:val="Normal"/>
        <w:rPr/>
      </w:pPr>
      <w:r>
        <w:rPr/>
        <w:t>高端竞争需要影像、芯片、系统、设计、服务和渠道多方面投入。消费者愿意为可靠体验支付溢价，有助降低价格竞争，但成熟高端对手已有用户惯性和服务体系。小米的产品性能及价格组合可以扩大份额，维持份额却可能需要更多研发与营销。研究不预设其可以快速获得既有高端品牌的利润率，基准只允许渐进改善。</w:t>
      </w:r>
    </w:p>
    <w:p>
      <w:pPr>
        <w:pStyle w:val="Normal"/>
        <w:rPr/>
      </w:pPr>
      <w:r>
        <w:rPr/>
        <w:t>手机也是连接物联网与互联网服务的入口，出货扩大可能带来长期活跃用户，但装机与活跃变现存在时差。消费者跨品牌换机、应用渠道规则以及区域监管都会影响收入。重要观察是海外和国内用户、产品价位、渠道售后、毛利与库存的同步表现，而不是单独统计发布会关注或短期销售名次。</w:t>
      </w:r>
    </w:p>
    <w:p>
      <w:pPr>
        <w:pStyle w:val="Heading2"/>
        <w:rPr/>
      </w:pPr>
      <w:r>
        <w:rPr>
          <w:color w:val="000000"/>
        </w:rPr>
        <w:t>四 组件成本与手机毛利</w:t>
      </w:r>
    </w:p>
    <w:p>
      <w:pPr>
        <w:pStyle w:val="Normal"/>
        <w:rPr/>
      </w:pPr>
      <w:r>
        <w:rPr/>
        <w:t>六月手机毛利率为百分之八点五，上一年同季百分之十一点五。尽管平均售价大幅上升，毛利率仍下降，报告解释为关键组件价格上涨。这是对高端化叙事的直接约束：更高价格未完全抵消成本，结构改善不必然产生更高单位利润。模型需要考虑售价、采购成本、促销和产品组合，不能只以收入增长估计利润。</w:t>
      </w:r>
    </w:p>
    <w:p>
      <w:pPr>
        <w:pStyle w:val="Normal"/>
        <w:rPr/>
      </w:pPr>
      <w:r>
        <w:rPr/>
        <w:t>存储、芯片、显示和其他核心部件受全球供需、产能、库存及新技术需求影响。人工智能设备可能增加硬件配置，但也可能使采购成本上升。公司可以提前采购、优化产品和转嫁部分成本，提前采购又会占用现金并承担价格回落与库存过时风险。六月库存增加，使成本管理与现金管理必须一起观察。</w:t>
      </w:r>
    </w:p>
    <w:p>
      <w:pPr>
        <w:pStyle w:val="Normal"/>
        <w:rPr/>
      </w:pPr>
      <w:r>
        <w:rPr/>
        <w:t>半年基准允许手机及设备毛利从压力位置逐步修复，悲观则保留组件昂贵、需求疲弱及折扣加剧。若随后两季售价仍升而毛利继续降，正常利润预测应下调；若供应改善且毛利回升，也需核对渠道库存与退货，确保修复由终端经济性支持。库存会计和价格促销可以使短期报表与真实需求暂时偏离。</w:t>
      </w:r>
    </w:p>
    <w:p>
      <w:pPr>
        <w:pStyle w:val="Heading2"/>
        <w:rPr/>
      </w:pPr>
      <w:r>
        <w:rPr>
          <w:color w:val="000000"/>
        </w:rPr>
        <w:t>五 物联网与家电的成长边界</w:t>
      </w:r>
    </w:p>
    <w:p>
      <w:pPr>
        <w:pStyle w:val="Normal"/>
        <w:rPr/>
      </w:pPr>
      <w:r>
        <w:rPr/>
        <w:t>六月物联网及生活消费产品收入约</w:t>
      </w:r>
      <w:r>
        <w:rPr/>
        <w:t>313</w:t>
      </w:r>
      <w:r>
        <w:rPr/>
        <w:t>亿元，同比下降百分之十九点二，毛利率百分之二十点一，上一年同期百分之二十二点五。报告提到国内补贴减少及关键组件涨价，海外生活产品和穿戴改善部分抵消。这个业务包含不同耐用消费品与使用周期，不适合只用设备总连接数推算当季销售或利润。</w:t>
      </w:r>
    </w:p>
    <w:p>
      <w:pPr>
        <w:pStyle w:val="Normal"/>
        <w:rPr/>
      </w:pPr>
      <w:r>
        <w:rPr/>
        <w:t>智能家电与穿戴可以加强日常用户关系，用户跨设备控制、自动化和售后便利具有价值。家电却有物流、安装、维修、季节性与更长更换周期；单个品类竞争格局也不同。增长需要渠道、产品可靠性和服务网络，不能把手机线上销售经验全部无成本复制。新店与海外市场扩张会先增加费用。</w:t>
      </w:r>
    </w:p>
    <w:p>
      <w:pPr>
        <w:pStyle w:val="Normal"/>
        <w:rPr/>
      </w:pPr>
      <w:r>
        <w:rPr/>
        <w:t>连接数量增长表明生态覆盖更广，但财务价值要看收入、毛利、复购和服务成本。五台及以上设备用户更深度使用生态，可能有更高留存，也可能已完成主要硬件购买，未来销售放缓。本研究把联网用户当业务质量佐证，不为每台设备另加估值，防止与产品利润重复计算。</w:t>
      </w:r>
    </w:p>
    <w:p>
      <w:pPr>
        <w:pStyle w:val="Heading2"/>
        <w:rPr/>
      </w:pPr>
      <w:r>
        <w:rPr>
          <w:color w:val="000000"/>
        </w:rPr>
        <w:t>六 互联网服务的利润支撑</w:t>
      </w:r>
    </w:p>
    <w:p>
      <w:pPr>
        <w:pStyle w:val="Normal"/>
        <w:rPr/>
      </w:pPr>
      <w:r>
        <w:rPr/>
        <w:t>六月互联网服务收入约</w:t>
      </w:r>
      <w:r>
        <w:rPr/>
        <w:t>90</w:t>
      </w:r>
      <w:r>
        <w:rPr/>
        <w:t>亿元，同比略降百分之零点六，毛利率百分之七十六点八；广告收入约</w:t>
      </w:r>
      <w:r>
        <w:rPr/>
        <w:t>72</w:t>
      </w:r>
      <w:r>
        <w:rPr/>
        <w:t>亿元，同比增长百分之四点八。毛利率上升与广告贡献改善有关，游戏利润变化部分抵消。高毛利服务在集团低毛利制造收入中占比较小，却能明显影响正常利润，因此收入占比并不等同利润贡献占比。</w:t>
      </w:r>
    </w:p>
    <w:p>
      <w:pPr>
        <w:pStyle w:val="Normal"/>
        <w:rPr/>
      </w:pPr>
      <w:r>
        <w:rPr/>
        <w:t>全球月活用户约</w:t>
      </w:r>
      <w:r>
        <w:rPr/>
        <w:t>7.665</w:t>
      </w:r>
      <w:r>
        <w:rPr/>
        <w:t>亿，为广告和服务提供潜在触达。用户规模不是完全自有流量，广告预算受宏观消费、行业投入和效果竞争影响，用户体验与隐私规则又约束广告负载。长期增长可能来自海外变现与功能服务，但需要兼顾地区规则、支付能力和合作分成，不能假设所有用户具有相同价值。</w:t>
      </w:r>
    </w:p>
    <w:p>
      <w:pPr>
        <w:pStyle w:val="Normal"/>
        <w:rPr/>
      </w:pPr>
      <w:r>
        <w:rPr/>
        <w:t>人工智能可能改善广告匹配、搜索与设备交互，也会增加算力及产品成本。若新入口改变广告展示与应用分发，旧变现机制可能被重塑。基准需要互联网利润继续稳定支持集团，乐观才加入更好的商业化；若月活增长但收入、毛利和用户留存持续恶化，生态的利润支撑应降级。</w:t>
      </w:r>
    </w:p>
    <w:p>
      <w:pPr>
        <w:pStyle w:val="Heading2"/>
        <w:rPr/>
      </w:pPr>
      <w:r>
        <w:rPr>
          <w:color w:val="000000"/>
        </w:rPr>
        <w:t>七 设备生态与竞争优势核验</w:t>
      </w:r>
    </w:p>
    <w:p>
      <w:pPr>
        <w:pStyle w:val="Normal"/>
        <w:rPr/>
      </w:pPr>
      <w:r>
        <w:rPr/>
        <w:t>六月连接物联网设备约</w:t>
      </w:r>
      <w:r>
        <w:rPr/>
        <w:t>11.608</w:t>
      </w:r>
      <w:r>
        <w:rPr/>
        <w:t>亿，五台及以上设备用户约</w:t>
      </w:r>
      <w:r>
        <w:rPr/>
        <w:t>2460</w:t>
      </w:r>
      <w:r>
        <w:rPr/>
        <w:t>万，米家月活约</w:t>
      </w:r>
      <w:r>
        <w:rPr/>
        <w:t>1.241</w:t>
      </w:r>
      <w:r>
        <w:rPr/>
        <w:t>亿。多设备用户与米家活跃说明互联体验具有真实使用基础，对品牌扩展和软件改善有帮助。数据仍是公司定义口径，不能直接与不同厂商累计销售、活跃设备或注册账户相比较，亦不能将连接设备等同付费用户。</w:t>
      </w:r>
    </w:p>
    <w:p>
      <w:pPr>
        <w:pStyle w:val="Normal"/>
        <w:rPr/>
      </w:pPr>
      <w:r>
        <w:rPr/>
        <w:t>生态优势需要设备互通稳定、兼容广、使用简单，并在换机时保留体验。开放与封闭各有取舍：开放有助覆盖，封闭有助一致体验与收入控制。用户愿意切换品牌的成本通常低于企业核心软件迁移，产品质量或隐私事件可能迅速削弱信任。研究避免给消费生态赋予无条件垄断属性。</w:t>
      </w:r>
    </w:p>
    <w:p>
      <w:pPr>
        <w:pStyle w:val="Normal"/>
        <w:rPr/>
      </w:pPr>
      <w:r>
        <w:rPr/>
        <w:t>更有力的证据包括跨品类复购、活跃留存、服务收入、售后成本及有机获客效率，当前公开材料并未完整提供每个指标。缺失不代表优势不存在，但降低精细估值可信度。将用户数字与财务共同验证，比为巨大设备数量套固定单台市值更可靠；主模型因此仍以经营利润为核心。</w:t>
      </w:r>
    </w:p>
    <w:p>
      <w:pPr>
        <w:pStyle w:val="Heading2"/>
        <w:rPr/>
      </w:pPr>
      <w:r>
        <w:rPr>
          <w:color w:val="000000"/>
        </w:rPr>
        <w:t>八 汽车收入与交付结构</w:t>
      </w:r>
    </w:p>
    <w:p>
      <w:pPr>
        <w:pStyle w:val="Normal"/>
        <w:rPr/>
      </w:pPr>
      <w:r>
        <w:rPr/>
        <w:t>六月汽车交付</w:t>
      </w:r>
      <w:r>
        <w:rPr/>
        <w:t>104199</w:t>
      </w:r>
      <w:r>
        <w:rPr/>
        <w:t>辆，同比增长百分之二十八点二，汽车收入约</w:t>
      </w:r>
      <w:r>
        <w:rPr/>
        <w:t>239</w:t>
      </w:r>
      <w:r>
        <w:rPr/>
        <w:t>亿元，同比增长约百分之十五点九。交付增长快于收入，说明平均收入、车型结构或确认节奏发生变化。报告提到高价</w:t>
      </w:r>
      <w:r>
        <w:rPr/>
        <w:t>SU7 Ultra</w:t>
      </w:r>
      <w:r>
        <w:rPr/>
        <w:t>贡献降低，不能只看交付增长就假设单车收入与盈利同步提升。新车型组合需要在毛利与服务成本中验证。</w:t>
      </w:r>
    </w:p>
    <w:p>
      <w:pPr>
        <w:pStyle w:val="Normal"/>
        <w:rPr/>
      </w:pPr>
      <w:r>
        <w:rPr/>
        <w:t>汽车需求由产品竞争力、价格、充电、使用安全和品牌共同决定。小米原有消费者关系可以带来初期关注，汽车是更高金额、更长使用周期的购买，决策还受交付等待和售后网络影响。订单热度应区分意向、订金、锁单、交付与退单，公开材料未完整提供可统一核算的订单转化，研究不补造。</w:t>
      </w:r>
    </w:p>
    <w:p>
      <w:pPr>
        <w:pStyle w:val="Normal"/>
        <w:rPr/>
      </w:pPr>
      <w:r>
        <w:rPr/>
        <w:t>二零二五全年交付</w:t>
      </w:r>
      <w:r>
        <w:rPr/>
        <w:t>411082</w:t>
      </w:r>
      <w:r>
        <w:rPr/>
        <w:t>辆，新业务收入</w:t>
      </w:r>
      <w:r>
        <w:rPr/>
        <w:t>1061</w:t>
      </w:r>
      <w:r>
        <w:rPr/>
        <w:t>亿元，全年首次经营盈利约九亿元。这说明规模能力已经形成，但二零二六六月新业务亏损显示全年高点并非永久保证。汽车投资价值需要多年质量、产品周期和单位经济性支持，不能把上一年交付快速扩张乘以固定高单车利润线性外推。</w:t>
      </w:r>
    </w:p>
    <w:p>
      <w:pPr>
        <w:pStyle w:val="Heading2"/>
        <w:rPr/>
      </w:pPr>
      <w:r>
        <w:rPr>
          <w:color w:val="000000"/>
        </w:rPr>
        <w:t>九 新业务毛利与盈亏</w:t>
      </w:r>
    </w:p>
    <w:p>
      <w:pPr>
        <w:pStyle w:val="Normal"/>
        <w:rPr/>
      </w:pPr>
      <w:r>
        <w:rPr/>
        <w:t>六月汽车、人工智能及其他新业务收入约</w:t>
      </w:r>
      <w:r>
        <w:rPr/>
        <w:t>249</w:t>
      </w:r>
      <w:r>
        <w:rPr/>
        <w:t>亿元，毛利约</w:t>
      </w:r>
      <w:r>
        <w:rPr/>
        <w:t>47.92</w:t>
      </w:r>
      <w:r>
        <w:rPr/>
        <w:t>亿元，毛利率百分之十九点二，去年同季百分之二十六点四。分部费用约</w:t>
      </w:r>
      <w:r>
        <w:rPr/>
        <w:t>74</w:t>
      </w:r>
      <w:r>
        <w:rPr/>
        <w:t>亿元，同比增长百分之二十五点七，经营亏损约</w:t>
      </w:r>
      <w:r>
        <w:rPr/>
        <w:t>26</w:t>
      </w:r>
      <w:r>
        <w:rPr/>
        <w:t>亿元。经营收入在年报定义为毛利减经营费用，与集团法定经营利润含投资和补贴的结构不同，不能混用。</w:t>
      </w:r>
    </w:p>
    <w:p>
      <w:pPr>
        <w:pStyle w:val="Normal"/>
        <w:rPr/>
      </w:pPr>
      <w:r>
        <w:rPr/>
        <w:t>毛利下降既有车型结构与组件成本，也有人工智能成本增加。新业务内汽车与人工智能没有完整独立利润表，无法把全部亏损归给人工智能、再宣布汽车已经稳定高利润。研究将两者合并建模，明确正常分部利润是假设；只有未来披露或现金桥能支持时才进一步细拆。</w:t>
      </w:r>
    </w:p>
    <w:p>
      <w:pPr>
        <w:pStyle w:val="Normal"/>
        <w:rPr/>
      </w:pPr>
      <w:r>
        <w:rPr/>
        <w:t>基准一年允许新业务转为正经营利润四十亿元，三年一百八十亿元，五年三百二十亿元，代表规模、车型组合与成本效率共同改善。不是单靠交付数量就能完成。悲观保留持续投入和竞争亏损，乐观才允许更高产品与服务利润。若费用长期增长快于毛利，新业务基准需要延后或下调。</w:t>
      </w:r>
    </w:p>
    <w:p>
      <w:pPr>
        <w:pStyle w:val="Heading2"/>
        <w:rPr/>
      </w:pPr>
      <w:r>
        <w:rPr>
          <w:color w:val="000000"/>
        </w:rPr>
        <w:t>十 汽车制造 安全与售后责任</w:t>
      </w:r>
    </w:p>
    <w:p>
      <w:pPr>
        <w:pStyle w:val="Normal"/>
        <w:rPr/>
      </w:pPr>
      <w:r>
        <w:rPr/>
        <w:t>汽车制造需要稳定供应、工艺、检验与交付，每台车后续保修、事故处理和软件维护形成长期责任。早期销量增长可能掩盖质量成本的延迟出现，安全相关问题又可能影响全品牌。研究不根据单一网络事件推断事故率，也不把公司自述安全能力当独立统计证明；应观察官方监管、召回及财报保修成本。</w:t>
      </w:r>
    </w:p>
    <w:p>
      <w:pPr>
        <w:pStyle w:val="Normal"/>
        <w:rPr/>
      </w:pPr>
      <w:r>
        <w:rPr/>
        <w:t>工厂利用率提升可以摊薄固定成本，产能提前建设又可能在需求低于预期时产生折旧压力。车辆新平台、技术升级与车型迭代需要持续研发，旧库存定价可能受新产品影响。规模制造能力具有价值，但并不消除周期，市场竞争可能把部分效率收益让渡给消费者。</w:t>
      </w:r>
    </w:p>
    <w:p>
      <w:pPr>
        <w:pStyle w:val="Normal"/>
        <w:rPr/>
      </w:pPr>
      <w:r>
        <w:rPr/>
        <w:t>售后覆盖、维修时间、零件与二手保值影响客户体验和长期复购。手机用户习惯无法完全替代汽车售后网络。三年基准利润的成立条件包括扩大交付同时控制质量和保修成本，不只追求生产数量；出现系统性质量、监管或服务问题时，利润与估值倍数应同时降低，而非仅减去一次罚款。</w:t>
      </w:r>
    </w:p>
    <w:p>
      <w:pPr>
        <w:pStyle w:val="Heading2"/>
        <w:rPr/>
      </w:pPr>
      <w:r>
        <w:rPr>
          <w:color w:val="000000"/>
        </w:rPr>
        <w:t>十一 人工智能与软件投入</w:t>
      </w:r>
    </w:p>
    <w:p>
      <w:pPr>
        <w:pStyle w:val="Normal"/>
        <w:rPr/>
      </w:pPr>
      <w:r>
        <w:rPr/>
        <w:t>公司公开披露</w:t>
      </w:r>
      <w:r>
        <w:rPr/>
        <w:t>MiMo</w:t>
      </w:r>
      <w:r>
        <w:rPr/>
        <w:t>、</w:t>
      </w:r>
      <w:r>
        <w:rPr/>
        <w:t>HyperOS</w:t>
      </w:r>
      <w:r>
        <w:rPr/>
        <w:t>及相关人工智能产品和七八月的新进展，这些在截止日前可以作为事实背景。模型能力或排行榜名次有公司表述属性，缺少统一独立评测时不能称全球最强。产品发布与用户体验改善具有潜在价值，但不自动等同可计入未来现金流的付费业务。</w:t>
      </w:r>
    </w:p>
    <w:p>
      <w:pPr>
        <w:pStyle w:val="Normal"/>
        <w:rPr/>
      </w:pPr>
      <w:r>
        <w:rPr/>
        <w:t>六月研发费用约</w:t>
      </w:r>
      <w:r>
        <w:rPr/>
        <w:t>92</w:t>
      </w:r>
      <w:r>
        <w:rPr/>
        <w:t>亿元，同比增长百分之十八点九，报告提到新业务尤其人工智能基础设施及手机项目节奏。研发既包括为现有收入保持竞争力的投入，也包括未来机会；若将所有研发从盈利中加回，就会高估消费硬件和汽车的正常利润。本模型正常分部</w:t>
      </w:r>
      <w:r>
        <w:rPr/>
        <w:t>EBIT</w:t>
      </w:r>
      <w:r>
        <w:rPr/>
        <w:t>保留研发与股份报酬经济成本。</w:t>
      </w:r>
    </w:p>
    <w:p>
      <w:pPr>
        <w:pStyle w:val="Normal"/>
        <w:rPr/>
      </w:pPr>
      <w:r>
        <w:rPr/>
        <w:t>人工智能可以增强设备交互、广告、客服和开发效率，但商业收益应通过留存、变现、成本节约和付费检验。端侧推理与云端服务有不同算力成本，汽车智能功能又有安全责任。基准只要求投入与业务改善逐步匹配，乐观才承认更高利润；没有收入或效率证据时不为技术主题追加第二层市值。</w:t>
      </w:r>
    </w:p>
    <w:p>
      <w:pPr>
        <w:pStyle w:val="Heading2"/>
        <w:rPr/>
      </w:pPr>
      <w:r>
        <w:rPr>
          <w:color w:val="000000"/>
        </w:rPr>
        <w:t>十二 研发和渠道的费用约束</w:t>
      </w:r>
    </w:p>
    <w:p>
      <w:pPr>
        <w:pStyle w:val="Normal"/>
        <w:rPr/>
      </w:pPr>
      <w:r>
        <w:rPr/>
        <w:t>六月总经营费用约</w:t>
      </w:r>
      <w:r>
        <w:rPr/>
        <w:t>194</w:t>
      </w:r>
      <w:r>
        <w:rPr/>
        <w:t>亿元，同比增长百分之十二点八，销售营销約</w:t>
      </w:r>
      <w:r>
        <w:rPr/>
        <w:t>86</w:t>
      </w:r>
      <w:r>
        <w:rPr/>
        <w:t>亿元，同比增长百分之十一点二，行政约</w:t>
      </w:r>
      <w:r>
        <w:rPr/>
        <w:t>15</w:t>
      </w:r>
      <w:r>
        <w:rPr/>
        <w:t>亿元。新零售与海外拓展、汽车营销和人工智能研发都在增加投入。费用增长而收入下降会放大利润波动，这与收入高速扩张时的正向经营杠杆相反，需直接反映在半年评分。</w:t>
      </w:r>
    </w:p>
    <w:p>
      <w:pPr>
        <w:pStyle w:val="Normal"/>
        <w:rPr/>
      </w:pPr>
      <w:r>
        <w:rPr/>
        <w:t>费用不应全部被视为无效，它可以建设产品和服务能力，但投入回报具有时间差和不确定性。渠道扩张应看同店效率、物流售后和消费者需求，研发应看产品与收入能力；公开材料未给每个项目投资回报，研究不假设所有支出都产生高回报资产。持续投入也不能无限延后盈利责任。</w:t>
      </w:r>
    </w:p>
    <w:p>
      <w:pPr>
        <w:pStyle w:val="Normal"/>
        <w:rPr/>
      </w:pPr>
      <w:r>
        <w:rPr/>
        <w:t>基准正常手机物联网</w:t>
      </w:r>
      <w:r>
        <w:rPr/>
        <w:t>EBIT</w:t>
      </w:r>
      <w:r>
        <w:rPr/>
        <w:t>一年三百八十亿元、三年四百六十亿元，要求毛利、服务与费用效率共同修复。假如公司继续高投入却没有相应新增毛利，预测需要下降。把当期费用全部留在模型，有助避免将每年都发生的“战略投入”反复剔除，最终使纸面利润远高于现金形成。</w:t>
      </w:r>
    </w:p>
    <w:p>
      <w:pPr>
        <w:pStyle w:val="Heading2"/>
        <w:rPr/>
      </w:pPr>
      <w:r>
        <w:rPr>
          <w:color w:val="000000"/>
        </w:rPr>
        <w:t>十三 法定 调整与经常盈利</w:t>
      </w:r>
    </w:p>
    <w:p>
      <w:pPr>
        <w:pStyle w:val="Normal"/>
        <w:rPr/>
      </w:pPr>
      <w:r>
        <w:rPr/>
        <w:t>六月法定集团净利润</w:t>
      </w:r>
      <w:r>
        <w:rPr/>
        <w:t>94.63</w:t>
      </w:r>
      <w:r>
        <w:rPr/>
        <w:t>亿元，调整集团净利润</w:t>
      </w:r>
      <w:r>
        <w:rPr/>
        <w:t>62.19</w:t>
      </w:r>
      <w:r>
        <w:rPr/>
        <w:t>亿元。调整表剔除投资公允价值净变化、加入股份报酬、并考虑无形资产摊销、金融负债变化和税影响。法定利润高于调整利润，主要提示本季投资增益较大。投资公允价值约</w:t>
      </w:r>
      <w:r>
        <w:rPr/>
        <w:t>65</w:t>
      </w:r>
      <w:r>
        <w:rPr/>
        <w:t>亿元，不能机械年化作为手机或汽车经营收益。</w:t>
      </w:r>
    </w:p>
    <w:p>
      <w:pPr>
        <w:pStyle w:val="Normal"/>
        <w:rPr/>
      </w:pPr>
      <w:r>
        <w:rPr/>
        <w:t>六月其他收入约</w:t>
      </w:r>
      <w:r>
        <w:rPr/>
        <w:t>22</w:t>
      </w:r>
      <w:r>
        <w:rPr/>
        <w:t>亿元，主要因补贴收入增加；净金融收入约七亿元。补贴可能与资格、政策及项目有关，持续性需核，不应直接乘四。金融贡献与现金规模有关，又会随利率和资金使用变化。主模型只给有限税后其他贡献，把非经常投资增益与不确定补贴排除，避免过度依赖非主营改善。</w:t>
      </w:r>
    </w:p>
    <w:p>
      <w:pPr>
        <w:pStyle w:val="Normal"/>
        <w:rPr/>
      </w:pPr>
      <w:r>
        <w:rPr/>
        <w:t>公司调整净利是集团口径，不完全等于股东归母正常净利；本研究引用时明示。以其除法定摊薄股数得到调整</w:t>
      </w:r>
      <w:r>
        <w:rPr/>
        <w:t>EPS</w:t>
      </w:r>
      <w:r>
        <w:rPr/>
        <w:t>只是研究近似，未冒充公司披露的调整每股利润。正式目标选择分部正常利润桥、税与目标股数，保留股份报酬经济成本，和第三方显示的</w:t>
      </w:r>
      <w:r>
        <w:rPr/>
        <w:t>PE</w:t>
      </w:r>
      <w:r>
        <w:rPr/>
        <w:t>字段保持独立。</w:t>
      </w:r>
    </w:p>
    <w:p>
      <w:pPr>
        <w:pStyle w:val="Heading2"/>
        <w:rPr/>
      </w:pPr>
      <w:r>
        <w:rPr>
          <w:color w:val="000000"/>
        </w:rPr>
        <w:t>十四 经营现金流的变化</w:t>
      </w:r>
    </w:p>
    <w:p>
      <w:pPr>
        <w:pStyle w:val="Normal"/>
        <w:rPr/>
      </w:pPr>
      <w:r>
        <w:rPr/>
        <w:t>二零二五正式经营现金流</w:t>
      </w:r>
      <w:r>
        <w:rPr/>
        <w:t>341.42</w:t>
      </w:r>
      <w:r>
        <w:rPr/>
        <w:t>亿元，二零二四</w:t>
      </w:r>
      <w:r>
        <w:rPr/>
        <w:t>392.95</w:t>
      </w:r>
      <w:r>
        <w:rPr/>
        <w:t>亿元；盈利上升但经营现金流下降，已经说明会计增长与现金形成不完全同步。二零二六上半年正式经营现金流</w:t>
      </w:r>
      <w:r>
        <w:rPr/>
        <w:t>20.50</w:t>
      </w:r>
      <w:r>
        <w:rPr/>
        <w:t>亿元，上一年同期约</w:t>
      </w:r>
      <w:r>
        <w:rPr/>
        <w:t>280.55</w:t>
      </w:r>
      <w:r>
        <w:rPr/>
        <w:t>亿元，降幅明显。第一季约负</w:t>
      </w:r>
      <w:r>
        <w:rPr/>
        <w:t>17.92</w:t>
      </w:r>
      <w:r>
        <w:rPr/>
        <w:t>亿元，第二季约正</w:t>
      </w:r>
      <w:r>
        <w:rPr/>
        <w:t>38.42</w:t>
      </w:r>
      <w:r>
        <w:rPr/>
        <w:t>亿元，不能把季度转正直接解读为现金完全恢复。</w:t>
      </w:r>
    </w:p>
    <w:p>
      <w:pPr>
        <w:pStyle w:val="Normal"/>
        <w:rPr/>
      </w:pPr>
      <w:r>
        <w:rPr/>
        <w:t>管理层补充的调整经营现金流第一季约负</w:t>
      </w:r>
      <w:r>
        <w:rPr/>
        <w:t>52</w:t>
      </w:r>
      <w:r>
        <w:rPr/>
        <w:t>亿元、第二季约正</w:t>
      </w:r>
      <w:r>
        <w:rPr/>
        <w:t>112</w:t>
      </w:r>
      <w:r>
        <w:rPr/>
        <w:t>亿元，剔除金融保理、相关应收和受限现金等变化。报告说明该指标未经审计或审阅。它帮助理解业务项目，但不能替代财表正式经营现金流，也不能将正式数据与调整数据任选较高项估值。两口径差异本身应成为核验问题。</w:t>
      </w:r>
    </w:p>
    <w:p>
      <w:pPr>
        <w:pStyle w:val="Normal"/>
        <w:rPr/>
      </w:pPr>
      <w:r>
        <w:rPr/>
        <w:t>现金压力与增长期备货、供应商账期和金融活动有关，未必代表经营结构已经恶化到不可恢复。但若高增长或利润修复持续不能产生现金，股东需要更多融资支持。半年最重要的验证之一是正式经营现金流、存货、应付款和预付同步改善；只看调整利润回升不足以提高财务安全评分。</w:t>
      </w:r>
    </w:p>
    <w:p>
      <w:pPr>
        <w:pStyle w:val="Heading2"/>
        <w:rPr/>
      </w:pPr>
      <w:r>
        <w:rPr>
          <w:color w:val="000000"/>
        </w:rPr>
        <w:t>十五 营运资金与供应链融资</w:t>
      </w:r>
    </w:p>
    <w:p>
      <w:pPr>
        <w:pStyle w:val="Normal"/>
        <w:rPr/>
      </w:pPr>
      <w:r>
        <w:rPr/>
        <w:t>六月季存货增加约</w:t>
      </w:r>
      <w:r>
        <w:rPr/>
        <w:t>95</w:t>
      </w:r>
      <w:r>
        <w:rPr/>
        <w:t>亿元，预付及其他应收增加约</w:t>
      </w:r>
      <w:r>
        <w:rPr/>
        <w:t>41</w:t>
      </w:r>
      <w:r>
        <w:rPr/>
        <w:t>亿元，应付增加约</w:t>
      </w:r>
      <w:r>
        <w:rPr/>
        <w:t>162</w:t>
      </w:r>
      <w:r>
        <w:rPr/>
        <w:t>亿元。应付增加可以支持经营现金，存货与预付增长又占用资金，净效果受报告口径与项目分类影响。研究不将这些数字简单相加重造现金表，也不把增加应付都解释为供应商信任或无成本资金。</w:t>
      </w:r>
    </w:p>
    <w:p>
      <w:pPr>
        <w:pStyle w:val="Normal"/>
        <w:rPr/>
      </w:pPr>
      <w:r>
        <w:rPr/>
        <w:t>供应链规模允许公司谈判账期，但账期过长可能转移压力给供应商，影响后续价格、稳定性与质量。需求低于预期时库存需折价或减值，预付安排也可能难以快速回收。汽车与新产品组件不同，旧库存可用性需要具体核验，库存金额增长不能一概当作即将交付的确定订单。</w:t>
      </w:r>
    </w:p>
    <w:p>
      <w:pPr>
        <w:pStyle w:val="Normal"/>
        <w:rPr/>
      </w:pPr>
      <w:r>
        <w:rPr/>
        <w:t>半年反证是库存持续增而收入毛利不改善，或经营现金主要靠延长应付支撑。积极证据则是交付销售、毛利及库存周转一起修复。当前没有完整逐产品周转与渠道库存数据，研究将缺口保留，不为模型写出精确但不可追溯的库存天数。现金桥比单季利润更适合检验扩张质量。</w:t>
      </w:r>
    </w:p>
    <w:p>
      <w:pPr>
        <w:pStyle w:val="Heading2"/>
        <w:rPr/>
      </w:pPr>
      <w:r>
        <w:rPr>
          <w:color w:val="000000"/>
        </w:rPr>
        <w:t>十六 资本开支与自由现金定义</w:t>
      </w:r>
    </w:p>
    <w:p>
      <w:pPr>
        <w:pStyle w:val="Normal"/>
        <w:rPr/>
      </w:pPr>
      <w:r>
        <w:rPr/>
        <w:t>二零二五现金表购买固定资产、土地使用权和无形资产</w:t>
      </w:r>
      <w:r>
        <w:rPr/>
        <w:t>127.69</w:t>
      </w:r>
      <w:r>
        <w:rPr/>
        <w:t>亿元，正式经营现金减该项约</w:t>
      </w:r>
      <w:r>
        <w:rPr/>
        <w:t>213.73</w:t>
      </w:r>
      <w:r>
        <w:rPr/>
        <w:t>亿元，是研究自由现金代理。融资现金流还列示递延无形资产对价约</w:t>
      </w:r>
      <w:r>
        <w:rPr/>
        <w:t>25</w:t>
      </w:r>
      <w:r>
        <w:rPr/>
        <w:t>亿元以及租赁支付，投资活动也含其他资本部署。若只减固定资产项就称全部可分配现金，会遗漏经济成本和不同列报方式。</w:t>
      </w:r>
    </w:p>
    <w:p>
      <w:pPr>
        <w:pStyle w:val="Normal"/>
        <w:rPr/>
      </w:pPr>
      <w:r>
        <w:rPr/>
        <w:t>二零二六第一、第二季度管理资本开支约</w:t>
      </w:r>
      <w:r>
        <w:rPr/>
        <w:t>32.74</w:t>
      </w:r>
      <w:r>
        <w:rPr/>
        <w:t>、</w:t>
      </w:r>
      <w:r>
        <w:rPr/>
        <w:t>36.21</w:t>
      </w:r>
      <w:r>
        <w:rPr/>
        <w:t>亿元，第二季现金购买固定资产约</w:t>
      </w:r>
      <w:r>
        <w:rPr/>
        <w:t>15</w:t>
      </w:r>
      <w:r>
        <w:rPr/>
        <w:t>亿元。差异可来自定义、应付款和支付时点，不能混用一个口径的经营现金与另一个口径的资本开支，宣称精确自由现金。新业务资本开支约</w:t>
      </w:r>
      <w:r>
        <w:rPr/>
        <w:t>23.83</w:t>
      </w:r>
      <w:r>
        <w:rPr/>
        <w:t>亿元，也不能与总资本开支再次相加。</w:t>
      </w:r>
    </w:p>
    <w:p>
      <w:pPr>
        <w:pStyle w:val="Normal"/>
        <w:rPr/>
      </w:pPr>
      <w:r>
        <w:rPr/>
        <w:t>汽车工厂、设备、软件及人工智能基础设施形成长期投入，未来折旧与更新需要持续现金。扩张期可以容忍暂时低自由现金，但合理估值必须看到利用率与盈利路径。五年基准需要利润逐渐转成现金，不能永远靠资本市场融资；资本开支超预算且没有新增回报时，盈利目标、股数和估值都应重算。</w:t>
      </w:r>
    </w:p>
    <w:p>
      <w:pPr>
        <w:pStyle w:val="Heading2"/>
        <w:rPr/>
      </w:pPr>
      <w:r>
        <w:rPr>
          <w:color w:val="000000"/>
        </w:rPr>
        <w:t>十七 现金 借款与资源口径</w:t>
      </w:r>
    </w:p>
    <w:p>
      <w:pPr>
        <w:pStyle w:val="Normal"/>
        <w:rPr/>
      </w:pPr>
      <w:r>
        <w:rPr/>
        <w:t>六月现金等价物</w:t>
      </w:r>
      <w:r>
        <w:rPr/>
        <w:t>372.52</w:t>
      </w:r>
      <w:r>
        <w:rPr/>
        <w:t>亿元，公司广义现金资源约</w:t>
      </w:r>
      <w:r>
        <w:rPr/>
        <w:t>2193</w:t>
      </w:r>
      <w:r>
        <w:rPr/>
        <w:t>亿元。后者包含受限现金、定期存款、短期投资及部分长期财资投资，不是全部可随时回购的现金。借款合计</w:t>
      </w:r>
      <w:r>
        <w:rPr/>
        <w:t>392.77</w:t>
      </w:r>
      <w:r>
        <w:rPr/>
        <w:t>亿元，其中流动</w:t>
      </w:r>
      <w:r>
        <w:rPr/>
        <w:t>295.70</w:t>
      </w:r>
      <w:r>
        <w:rPr/>
        <w:t>亿元、非流动</w:t>
      </w:r>
      <w:r>
        <w:rPr/>
        <w:t>97.06</w:t>
      </w:r>
      <w:r>
        <w:rPr/>
        <w:t>亿元。广义资源减借款近似</w:t>
      </w:r>
      <w:r>
        <w:rPr/>
        <w:t>1800.23</w:t>
      </w:r>
      <w:r>
        <w:rPr/>
        <w:t>亿元，只是流动性参考，不等于已核可分配净现金。</w:t>
      </w:r>
    </w:p>
    <w:p>
      <w:pPr>
        <w:pStyle w:val="Normal"/>
        <w:rPr/>
      </w:pPr>
      <w:r>
        <w:rPr/>
        <w:t>充足资源有助承受新业务投入，但资金有期限、币种、受限和风险差别。汽车营运、保修、资本开支和金融业务可能需要保留部分资金，资本配置也由管理层决定。不能把全部广义资源除股数当硬性股价底；投资资产损失、资金使用或持续亏损可能改变可用资源。</w:t>
      </w:r>
    </w:p>
    <w:p>
      <w:pPr>
        <w:pStyle w:val="Normal"/>
        <w:rPr/>
      </w:pPr>
      <w:r>
        <w:rPr/>
        <w:t>本模型税后其他含有限金融贡献，因此不再额外加全部净现金与投资市值，避免资本收益和资本价值同时重复。严重悲观价格以盈利估值表达，未做清算资产模型，可能低于现金支持下的合理退出价值；如果新业务退出、回购或资本返还有新证据，应另做一致的资本桥，并相应去掉重复金融盈利。</w:t>
      </w:r>
    </w:p>
    <w:p>
      <w:pPr>
        <w:pStyle w:val="Heading2"/>
        <w:rPr/>
      </w:pPr>
      <w:r>
        <w:rPr>
          <w:color w:val="000000"/>
        </w:rPr>
        <w:t>十八 股数 配售与可转债</w:t>
      </w:r>
    </w:p>
    <w:p>
      <w:pPr>
        <w:pStyle w:val="Normal"/>
        <w:rPr/>
      </w:pPr>
      <w:r>
        <w:rPr/>
        <w:t>二零二五配售及认购八亿股，价格</w:t>
      </w:r>
      <w:r>
        <w:rPr/>
        <w:t>53.25</w:t>
      </w:r>
      <w:r>
        <w:rPr/>
        <w:t>港元，募集总额</w:t>
      </w:r>
      <w:r>
        <w:rPr/>
        <w:t>426</w:t>
      </w:r>
      <w:r>
        <w:rPr/>
        <w:t>亿港元；现金流实际发行净流入</w:t>
      </w:r>
      <w:r>
        <w:rPr/>
        <w:t>392.26</w:t>
      </w:r>
      <w:r>
        <w:rPr/>
        <w:t>亿元人民币。总额与净额、港币与人民币不同，不能直接相减称费用。融资增强资源并稀释股东，能否增厚每股价值取决于投向和回报，而不是募集价格高于现价便能自动创造价值。</w:t>
      </w:r>
    </w:p>
    <w:p>
      <w:pPr>
        <w:pStyle w:val="Normal"/>
        <w:rPr/>
      </w:pPr>
      <w:r>
        <w:rPr/>
        <w:t>上半年法定摊薄股数约</w:t>
      </w:r>
      <w:r>
        <w:rPr/>
        <w:t>264.51879</w:t>
      </w:r>
      <w:r>
        <w:rPr/>
        <w:t>亿，第二季</w:t>
      </w:r>
      <w:r>
        <w:rPr/>
        <w:t>265.08777</w:t>
      </w:r>
      <w:r>
        <w:rPr/>
        <w:t>亿。二零二七可转债初始转换价</w:t>
      </w:r>
      <w:r>
        <w:rPr/>
        <w:t>36.74</w:t>
      </w:r>
      <w:r>
        <w:rPr/>
        <w:t>港元并可调整，年报披露八点五五亿美元原发行规模；到期、转股和回购安排都影响股数与现金。季度潜在转股约</w:t>
      </w:r>
      <w:r>
        <w:rPr/>
        <w:t>1.68310</w:t>
      </w:r>
      <w:r>
        <w:rPr/>
        <w:t>亿股，部分期间反摊薄未纳入不代表以后没有稀释。</w:t>
      </w:r>
    </w:p>
    <w:p>
      <w:pPr>
        <w:pStyle w:val="Normal"/>
        <w:rPr/>
      </w:pPr>
      <w:r>
        <w:rPr/>
        <w:t>模型半年股数三情景</w:t>
      </w:r>
      <w:r>
        <w:rPr/>
        <w:t>275</w:t>
      </w:r>
      <w:r>
        <w:rPr/>
        <w:t>、</w:t>
      </w:r>
      <w:r>
        <w:rPr/>
        <w:t>263</w:t>
      </w:r>
      <w:r>
        <w:rPr/>
        <w:t>、</w:t>
      </w:r>
      <w:r>
        <w:rPr/>
        <w:t>258</w:t>
      </w:r>
      <w:r>
        <w:rPr/>
        <w:t>亿，一年</w:t>
      </w:r>
      <w:r>
        <w:rPr/>
        <w:t>280</w:t>
      </w:r>
      <w:r>
        <w:rPr/>
        <w:t>、</w:t>
      </w:r>
      <w:r>
        <w:rPr/>
        <w:t>260</w:t>
      </w:r>
      <w:r>
        <w:rPr/>
        <w:t>、</w:t>
      </w:r>
      <w:r>
        <w:rPr/>
        <w:t>255</w:t>
      </w:r>
      <w:r>
        <w:rPr/>
        <w:t>亿，长期悲观增股而基准及乐观净缩股。不同假设反映授予、转股、回购和可能融资，不是已公布股份承诺。回购可抵消部分稀释，但若同时高投入和再配售，不能永久外推股数下降，</w:t>
      </w:r>
      <w:r>
        <w:rPr/>
        <w:t>EPS</w:t>
      </w:r>
      <w:r>
        <w:rPr/>
        <w:t>增长应与总盈利增长分开核验。</w:t>
      </w:r>
    </w:p>
    <w:p>
      <w:pPr>
        <w:pStyle w:val="Heading2"/>
        <w:rPr/>
      </w:pPr>
      <w:r>
        <w:rPr>
          <w:color w:val="000000"/>
        </w:rPr>
        <w:t>十九 回购 分红与治理</w:t>
      </w:r>
    </w:p>
    <w:p>
      <w:pPr>
        <w:pStyle w:val="Normal"/>
        <w:rPr/>
      </w:pPr>
      <w:r>
        <w:rPr/>
        <w:t>公司截至八月十三日回购</w:t>
      </w:r>
      <w:r>
        <w:rPr/>
        <w:t>377465400</w:t>
      </w:r>
      <w:r>
        <w:rPr/>
        <w:t>股，金额约</w:t>
      </w:r>
      <w:r>
        <w:rPr/>
        <w:t>116.66</w:t>
      </w:r>
      <w:r>
        <w:rPr/>
        <w:t>亿港元，包含七八月，不能全部写成上半年回购。五月二十六日新回购计划上限</w:t>
      </w:r>
      <w:r>
        <w:rPr/>
        <w:t>200</w:t>
      </w:r>
      <w:r>
        <w:rPr/>
        <w:t>亿港元，是额度而非全部已使用。每股价值取决于回购价格、资金成本与后续授予，回购金额本身不证明管理层承诺固定股价底。</w:t>
      </w:r>
    </w:p>
    <w:p>
      <w:pPr>
        <w:pStyle w:val="Normal"/>
        <w:rPr/>
      </w:pPr>
      <w:r>
        <w:rPr/>
        <w:t>主模型现金分红暂为零，含分红总回报因此与股价回报相同。这个设定是避免凭空给未来分红，不表示公司永不分红。若未来明确派息，需要核对除权与目标股价，不能把已在历史价格里反映的旧股息再加入未来收益。回购也不作为额外现金分红加入总回报，影响通过股数体现。</w:t>
      </w:r>
    </w:p>
    <w:p>
      <w:pPr>
        <w:pStyle w:val="Normal"/>
        <w:rPr/>
      </w:pPr>
      <w:r>
        <w:rPr/>
        <w:t>多类股份与表决权结构使经济权益和治理控制不同，小股东不能简单以持股数量推断对资本配置的影响。新业务具有创始人战略属性，资源可能长期倾向增长。投资者应观察激励、关联交易、资本开支及风险披露，基准要求扩张和每股现金回报逐步协调；治理风险以长期财务维度扣分体现。</w:t>
      </w:r>
    </w:p>
    <w:p>
      <w:pPr>
        <w:pStyle w:val="Heading2"/>
        <w:rPr/>
      </w:pPr>
      <w:r>
        <w:rPr>
          <w:color w:val="000000"/>
        </w:rPr>
        <w:t>二十 经济与行业周期</w:t>
      </w:r>
    </w:p>
    <w:p>
      <w:pPr>
        <w:pStyle w:val="Normal"/>
        <w:rPr/>
      </w:pPr>
      <w:r>
        <w:rPr/>
        <w:t>手机与家电需求受就业收入、消费者信心、换机周期、补贴和渠道库存影响。补贴减弱可以带来高基数压力，提前消费又会影响后续需求；同比下降未必全是产品竞争失败，但也不能全部归咎政策。消费者在预算约束下可能选择更便宜产品，或延后购买，直接影响售价、结构和毛利。</w:t>
      </w:r>
    </w:p>
    <w:p>
      <w:pPr>
        <w:pStyle w:val="Normal"/>
        <w:rPr/>
      </w:pPr>
      <w:r>
        <w:rPr/>
        <w:t>汽车竞争受价格、供给、技术迭代和融资环境影响，强需求不保证制造商利润，因为新增产能与促销会分配收益。新技术扩大市场同时提高研发门槛，较短产品周期使库存和折旧风险上升。小米的品牌与生态有机会，但其汽车长期利润仍需与其他成熟车厂的规模、质量和资金优势竞争。</w:t>
      </w:r>
    </w:p>
    <w:p>
      <w:pPr>
        <w:pStyle w:val="Normal"/>
        <w:rPr/>
      </w:pPr>
      <w:r>
        <w:rPr/>
        <w:t>人工智能与智能家居具有长期需求空间，资本市场情绪可以先于利润改善，也可以在投入高于预期时压低估值。行业评分高于短期经营评分，是承认市场空间而非断言公司必胜。未来三至五年需要证明行业扩张能够转成公司利润，不能因宏观主题持续就保持原评分。</w:t>
      </w:r>
    </w:p>
    <w:p>
      <w:pPr>
        <w:pStyle w:val="Heading2"/>
        <w:rPr/>
      </w:pPr>
      <w:r>
        <w:rPr>
          <w:color w:val="000000"/>
        </w:rPr>
        <w:t>二十一 汇率 利率与海外政策</w:t>
      </w:r>
    </w:p>
    <w:p>
      <w:pPr>
        <w:pStyle w:val="Normal"/>
        <w:rPr/>
      </w:pPr>
      <w:r>
        <w:rPr/>
        <w:t>集团跨地区收入、采购和金融资产使人民币、港币、美元及其他币种变化影响不同。股价为港元而主要盈利人民币，研究以每人民币</w:t>
      </w:r>
      <w:r>
        <w:rPr/>
        <w:t>1.10</w:t>
      </w:r>
      <w:r>
        <w:rPr/>
        <w:t>港元换算。若只改变换算率正负百分之五，目标港元价格相应变化正负百分之五；真实经营还受采购、定价和汇兑影响，不能把单项敏感性当全面汇率预测。</w:t>
      </w:r>
    </w:p>
    <w:p>
      <w:pPr>
        <w:pStyle w:val="Normal"/>
        <w:rPr/>
      </w:pPr>
      <w:r>
        <w:rPr/>
        <w:t>利率下降可能降低金融收入及融资成本，也可能提高市场估值，净效果取决于现金、借款和资本部署。模型税后其他不是恒定无风险收益，五年悲观降至十五亿元。港股风险偏好和折现率亦影响</w:t>
      </w:r>
      <w:r>
        <w:rPr/>
        <w:t>PE</w:t>
      </w:r>
      <w:r>
        <w:rPr/>
        <w:t>，即使经营符合预测，倍数变化可以抵消利润增长。这是长期目标不能仅由</w:t>
      </w:r>
      <w:r>
        <w:rPr/>
        <w:t>EPS</w:t>
      </w:r>
      <w:r>
        <w:rPr/>
        <w:t>确定的原因。</w:t>
      </w:r>
    </w:p>
    <w:p>
      <w:pPr>
        <w:pStyle w:val="Normal"/>
        <w:rPr/>
      </w:pPr>
      <w:r>
        <w:rPr/>
        <w:t>海外扩展需要产品认证、售后、隐私数据、税务、关税和当地竞争适配。公司计划的海外汽车进入时间不是已核订单或利润。供应链与出口限制可能影响高端组件与人工智能，研究不假设必然发生某一政策结果；新规则、地区损失或合规成本出现时，需要按具体收入与成本重算。</w:t>
      </w:r>
    </w:p>
    <w:p>
      <w:pPr>
        <w:pStyle w:val="Heading2"/>
        <w:rPr/>
      </w:pPr>
      <w:r>
        <w:rPr>
          <w:color w:val="000000"/>
        </w:rPr>
        <w:t>二十二 日线均线与趋势</w:t>
      </w:r>
    </w:p>
    <w:p>
      <w:pPr>
        <w:pStyle w:val="Normal"/>
        <w:rPr/>
      </w:pPr>
      <w:r>
        <w:rPr/>
        <w:t>锁版行情共有</w:t>
      </w:r>
      <w:r>
        <w:rPr/>
        <w:t>739</w:t>
      </w:r>
      <w:r>
        <w:rPr/>
        <w:t>个日线，覆盖三年窗口，收盘</w:t>
      </w:r>
      <w:r>
        <w:rPr/>
        <w:t>25.96</w:t>
      </w:r>
      <w:r>
        <w:rPr/>
        <w:t>港元。二十、六十、一百二十、二百五十日均线分别</w:t>
      </w:r>
      <w:r>
        <w:rPr/>
        <w:t>25.721</w:t>
      </w:r>
      <w:r>
        <w:rPr/>
        <w:t>、</w:t>
      </w:r>
      <w:r>
        <w:rPr/>
        <w:t>26.962</w:t>
      </w:r>
      <w:r>
        <w:rPr/>
        <w:t>、</w:t>
      </w:r>
      <w:r>
        <w:rPr/>
        <w:t>27.3575</w:t>
      </w:r>
      <w:r>
        <w:rPr/>
        <w:t>、</w:t>
      </w:r>
      <w:r>
        <w:rPr/>
        <w:t>33.2828</w:t>
      </w:r>
      <w:r>
        <w:rPr/>
        <w:t>港元。现价高于二十日约百分之零点九三，低于其余均线约百分之三点七二、五点一一、二十二点零零。均线近五日斜率全部为负，短线反弹尚未改变中期压力。</w:t>
      </w:r>
    </w:p>
    <w:p>
      <w:pPr>
        <w:pStyle w:val="Normal"/>
        <w:rPr/>
      </w:pPr>
      <w:r>
        <w:rPr/>
        <w:t>十月九日开盘</w:t>
      </w:r>
      <w:r>
        <w:rPr/>
        <w:t>23.84</w:t>
      </w:r>
      <w:r>
        <w:rPr/>
        <w:t>、最低</w:t>
      </w:r>
      <w:r>
        <w:rPr/>
        <w:t>23.78</w:t>
      </w:r>
      <w:r>
        <w:rPr/>
        <w:t>、最高及收盘</w:t>
      </w:r>
      <w:r>
        <w:rPr/>
        <w:t>25.96</w:t>
      </w:r>
      <w:r>
        <w:rPr/>
        <w:t>，日涨百分之九点七二，收近当日高点且有较大实体，表明当天买方需求明显改善。单日形态只说明当日，不证明连续资金流入。前期下跌位置可以产生技术修复，后续能否稳定站上六十及一百二十日线比当日涨幅更适合判断半年趋势。</w:t>
      </w:r>
    </w:p>
    <w:p>
      <w:pPr>
        <w:pStyle w:val="Normal"/>
        <w:rPr/>
      </w:pPr>
      <w:r>
        <w:rPr/>
        <w:t>二十日收益约百分之零点一五，六十日负百分之五点六零，一百二十日负百分之十八点八八，二百五十日负百分之五十三点四八。不同窗口仍有显著差异，不能称所有周期同步转强。半年技术分二点六体现反弹信息与下降结构并存，未把多条相关均线分别重复加分。</w:t>
      </w:r>
    </w:p>
    <w:p>
      <w:pPr>
        <w:pStyle w:val="Heading2"/>
        <w:rPr/>
      </w:pPr>
      <w:r>
        <w:rPr>
          <w:color w:val="000000"/>
        </w:rPr>
        <w:t>二十三 量能 成交额与真实性限制</w:t>
      </w:r>
    </w:p>
    <w:p>
      <w:pPr>
        <w:pStyle w:val="Normal"/>
        <w:rPr/>
      </w:pPr>
      <w:r>
        <w:rPr/>
        <w:t>十月九日成交</w:t>
      </w:r>
      <w:r>
        <w:rPr/>
        <w:t>255608451</w:t>
      </w:r>
      <w:r>
        <w:rPr/>
        <w:t>股，成交额约</w:t>
      </w:r>
      <w:r>
        <w:rPr/>
        <w:t>64.97</w:t>
      </w:r>
      <w:r>
        <w:rPr/>
        <w:t>亿港元，股票数量与独立日线核对。五、二十、六十日平均成交分别约</w:t>
      </w:r>
      <w:r>
        <w:rPr/>
        <w:t>1.13755</w:t>
      </w:r>
      <w:r>
        <w:rPr/>
        <w:t>、</w:t>
      </w:r>
      <w:r>
        <w:rPr/>
        <w:t>1.10081</w:t>
      </w:r>
      <w:r>
        <w:rPr/>
        <w:t>、</w:t>
      </w:r>
      <w:r>
        <w:rPr/>
        <w:t>1.51563</w:t>
      </w:r>
      <w:r>
        <w:rPr/>
        <w:t>亿股，当日相对此前二十日均量量比</w:t>
      </w:r>
      <w:r>
        <w:rPr/>
        <w:t>2.440545</w:t>
      </w:r>
      <w:r>
        <w:rPr/>
        <w:t>。使用此前均量避免把当天成交纳入分母后稀释放量程度，表明当日活跃度较近期明显提高。</w:t>
      </w:r>
    </w:p>
    <w:p>
      <w:pPr>
        <w:pStyle w:val="Normal"/>
        <w:rPr/>
      </w:pPr>
      <w:r>
        <w:rPr/>
        <w:t>最近二十日上涨日成交约</w:t>
      </w:r>
      <w:r>
        <w:rPr/>
        <w:t>10.10686</w:t>
      </w:r>
      <w:r>
        <w:rPr/>
        <w:t>亿股，下跌日约</w:t>
      </w:r>
      <w:r>
        <w:rPr/>
        <w:t>11.90943</w:t>
      </w:r>
      <w:r>
        <w:rPr/>
        <w:t>亿股，八个上涨日、十二个下跌日，上下总量比</w:t>
      </w:r>
      <w:r>
        <w:rPr/>
        <w:t>0.848644</w:t>
      </w:r>
      <w:r>
        <w:rPr/>
        <w:t>。上涨总量仍弱于下跌总量，当天放量不能抹除前期压力；也不能由总量比直接识别机构买卖。六十日均量高于二十日，意味着更早阶段成交更活跃，需结合价格位置判断。</w:t>
      </w:r>
    </w:p>
    <w:p>
      <w:pPr>
        <w:pStyle w:val="Normal"/>
        <w:rPr/>
      </w:pPr>
      <w:r>
        <w:rPr/>
        <w:t>成交额为港币、成交量为股，不混手数。可取得的公开换手率字段为空，本研究不以零代替，也不使用未经核实的自由流通股精算换手。没有逐笔交易与投资者身份，不绘制所谓精确筹码分布，不称主力吸筹。当前能支持的是反弹伴放量，趋势是否延续必须由后续交易验证。</w:t>
      </w:r>
    </w:p>
    <w:p>
      <w:pPr>
        <w:pStyle w:val="Heading2"/>
        <w:rPr/>
      </w:pPr>
      <w:r>
        <w:rPr>
          <w:color w:val="000000"/>
        </w:rPr>
        <w:t>二十四 支撑 阻力与回撤</w:t>
      </w:r>
    </w:p>
    <w:p>
      <w:pPr>
        <w:pStyle w:val="Normal"/>
        <w:rPr/>
      </w:pPr>
      <w:r>
        <w:rPr/>
        <w:t>近期二十与六十日区间最低</w:t>
      </w:r>
      <w:r>
        <w:rPr/>
        <w:t>23.58</w:t>
      </w:r>
      <w:r>
        <w:rPr/>
        <w:t>港元，距现价负百分之九点一七；二十日最高</w:t>
      </w:r>
      <w:r>
        <w:rPr/>
        <w:t>28.22</w:t>
      </w:r>
      <w:r>
        <w:rPr/>
        <w:t>，距现价正百分之八点七一；六十日最高</w:t>
      </w:r>
      <w:r>
        <w:rPr/>
        <w:t>32.40</w:t>
      </w:r>
      <w:r>
        <w:rPr/>
        <w:t>，距现价正百分之二十四点八一。这些是区间观察位，未按触碰次数筛选，不能当市场必然承认的支撑阻力。均线与阶段价格可以合并看位置，不给每个价位独立分数。</w:t>
      </w:r>
    </w:p>
    <w:p>
      <w:pPr>
        <w:pStyle w:val="Normal"/>
        <w:rPr/>
      </w:pPr>
      <w:r>
        <w:rPr/>
        <w:t>最近</w:t>
      </w:r>
      <w:r>
        <w:rPr/>
        <w:t>252</w:t>
      </w:r>
      <w:r>
        <w:rPr/>
        <w:t>日高约</w:t>
      </w:r>
      <w:r>
        <w:rPr/>
        <w:t>56.55</w:t>
      </w:r>
      <w:r>
        <w:rPr/>
        <w:t>、低</w:t>
      </w:r>
      <w:r>
        <w:rPr/>
        <w:t>21.30</w:t>
      </w:r>
      <w:r>
        <w:rPr/>
        <w:t>，现价较高位负百分之五十四点零九，较低位正百分之二十一点八八，窗口最大回撤约百分之六十一点六一。这里交易日窗口与数据商滚动五十二周或周线窗口并不完全相同，故不混用较低的网页高点。回撤大只表示历史损失，不自动证明剩余风险小。</w:t>
      </w:r>
    </w:p>
    <w:p>
      <w:pPr>
        <w:pStyle w:val="Normal"/>
        <w:rPr/>
      </w:pPr>
      <w:r>
        <w:rPr/>
        <w:t>观察顺序是二十日附近能否守住、六十日与一百二十日压力能否逐步突破、二十八点二二及三十二点四零能否由阻力转为有效回踩区域。若跌破二十三点五八并放量延续，近期反弹判断失效；若突破后迅速回落也应降低技术分。财务反证可以在价格尚未破位时先推翻投资逻辑。</w:t>
      </w:r>
    </w:p>
    <w:p>
      <w:pPr>
        <w:pStyle w:val="Heading2"/>
        <w:rPr/>
      </w:pPr>
      <w:r>
        <w:rPr>
          <w:color w:val="000000"/>
        </w:rPr>
        <w:t>二十五 周线与辅助指标</w:t>
      </w:r>
    </w:p>
    <w:p>
      <w:pPr>
        <w:pStyle w:val="Normal"/>
        <w:rPr/>
      </w:pPr>
      <w:r>
        <w:rPr/>
        <w:t>周线共有</w:t>
      </w:r>
      <w:r>
        <w:rPr/>
        <w:t>157</w:t>
      </w:r>
      <w:r>
        <w:rPr/>
        <w:t>根，二十、六十、一百二十周均线约</w:t>
      </w:r>
      <w:r>
        <w:rPr/>
        <w:t>26.302</w:t>
      </w:r>
      <w:r>
        <w:rPr/>
        <w:t>、</w:t>
      </w:r>
      <w:r>
        <w:rPr/>
        <w:t>35.524</w:t>
      </w:r>
      <w:r>
        <w:rPr/>
        <w:t>、</w:t>
      </w:r>
      <w:r>
        <w:rPr/>
        <w:t>36.4677</w:t>
      </w:r>
      <w:r>
        <w:rPr/>
        <w:t>，现价都在下方。二十及六十周线近五周斜率下降，一百二十周线略升，表示较长期历史均值尚有滞后支撑而中期下降明显。没有二百五十周足够窗口，保持空值，不以日线长期均线冒充周线数据。</w:t>
      </w:r>
    </w:p>
    <w:p>
      <w:pPr>
        <w:pStyle w:val="Normal"/>
        <w:rPr/>
      </w:pPr>
      <w:r>
        <w:rPr/>
        <w:t>日线十四期</w:t>
      </w:r>
      <w:r>
        <w:rPr/>
        <w:t>RSI</w:t>
      </w:r>
      <w:r>
        <w:rPr/>
        <w:t>约</w:t>
      </w:r>
      <w:r>
        <w:rPr/>
        <w:t>51.05</w:t>
      </w:r>
      <w:r>
        <w:rPr/>
        <w:t>，已离开极弱区但不代表必涨；</w:t>
      </w:r>
      <w:r>
        <w:rPr/>
        <w:t>MACD</w:t>
      </w:r>
      <w:r>
        <w:rPr/>
        <w:t>快慢线仍负，柱约负</w:t>
      </w:r>
      <w:r>
        <w:rPr/>
        <w:t>0.1672</w:t>
      </w:r>
      <w:r>
        <w:rPr/>
        <w:t>，动能确认不足。日</w:t>
      </w:r>
      <w:r>
        <w:rPr/>
        <w:t>ATR</w:t>
      </w:r>
      <w:r>
        <w:rPr/>
        <w:t>约</w:t>
      </w:r>
      <w:r>
        <w:rPr/>
        <w:t>1.0274</w:t>
      </w:r>
      <w:r>
        <w:rPr/>
        <w:t>港元、占现价百分之三点九六，说明普通短期波动可以较大。指标与均线相关，只作辅助验证，不能把</w:t>
      </w:r>
      <w:r>
        <w:rPr/>
        <w:t>RSI</w:t>
      </w:r>
      <w:r>
        <w:rPr/>
        <w:t>、</w:t>
      </w:r>
      <w:r>
        <w:rPr/>
        <w:t>MACD</w:t>
      </w:r>
      <w:r>
        <w:rPr/>
        <w:t>与多个均线的同一趋势重复计分。</w:t>
      </w:r>
    </w:p>
    <w:p>
      <w:pPr>
        <w:pStyle w:val="Normal"/>
        <w:rPr/>
      </w:pPr>
      <w:r>
        <w:rPr/>
        <w:t>周线</w:t>
      </w:r>
      <w:r>
        <w:rPr/>
        <w:t>RSI</w:t>
      </w:r>
      <w:r>
        <w:rPr/>
        <w:t>约</w:t>
      </w:r>
      <w:r>
        <w:rPr/>
        <w:t>43.31</w:t>
      </w:r>
      <w:r>
        <w:rPr/>
        <w:t>、</w:t>
      </w:r>
      <w:r>
        <w:rPr/>
        <w:t>ATR</w:t>
      </w:r>
      <w:r>
        <w:rPr/>
        <w:t>约</w:t>
      </w:r>
      <w:r>
        <w:rPr/>
        <w:t>2.7058</w:t>
      </w:r>
      <w:r>
        <w:rPr/>
        <w:t>港元、占现价百分之十点四二；周</w:t>
      </w:r>
      <w:r>
        <w:rPr/>
        <w:t>MACD</w:t>
      </w:r>
      <w:r>
        <w:rPr/>
        <w:t>柱转正与价格仍低于均线可以同时出现，反映下跌减速不必然转为上升。半年需要日线和周线逐渐协调，波动指标主要用于识别观察区间宽度，不能将一个</w:t>
      </w:r>
      <w:r>
        <w:rPr/>
        <w:t>ATR</w:t>
      </w:r>
      <w:r>
        <w:rPr/>
        <w:t>当最大损失或保证止损成交的界限。</w:t>
      </w:r>
    </w:p>
    <w:p>
      <w:pPr>
        <w:pStyle w:val="Heading2"/>
        <w:rPr/>
      </w:pPr>
      <w:r>
        <w:rPr>
          <w:color w:val="000000"/>
        </w:rPr>
        <w:t>二十六 相对强弱与市场基准</w:t>
      </w:r>
    </w:p>
    <w:p>
      <w:pPr>
        <w:pStyle w:val="Normal"/>
        <w:rPr/>
      </w:pPr>
      <w:r>
        <w:rPr/>
        <w:t>二十日收益约百分之零点一五，相对恒生指数领先</w:t>
      </w:r>
      <w:r>
        <w:rPr/>
        <w:t>3.132</w:t>
      </w:r>
      <w:r>
        <w:rPr/>
        <w:t>个百分点，相对恒生科技领先</w:t>
      </w:r>
      <w:r>
        <w:rPr/>
        <w:t>3.217</w:t>
      </w:r>
      <w:r>
        <w:rPr/>
        <w:t>个百分点；六十日收益负百分之五点六零，相对恒指落后</w:t>
      </w:r>
      <w:r>
        <w:rPr/>
        <w:t>2.412</w:t>
      </w:r>
      <w:r>
        <w:rPr/>
        <w:t>个百分点，相对恒科领先</w:t>
      </w:r>
      <w:r>
        <w:rPr/>
        <w:t>7.568</w:t>
      </w:r>
      <w:r>
        <w:rPr/>
        <w:t>个百分点。公司在科技弱市中相对抗跌，但对广义港股的中期表现仍偏弱，不宜只选最有利比较对象。</w:t>
      </w:r>
    </w:p>
    <w:p>
      <w:pPr>
        <w:pStyle w:val="Normal"/>
        <w:rPr/>
      </w:pPr>
      <w:r>
        <w:rPr/>
        <w:t>恒生科技包含互联网与硬件，是粗粒度行业参考，不是专属汽车或手机竞争基准。公司多业务结构使单一指数难以完整解释，专属汽车基准未核时保持缺口，不补造。相对强弱可以帮助看风险偏好和主题资金，但不能证明经营优势，其他成分权重和事件也会影响结果。</w:t>
      </w:r>
    </w:p>
    <w:p>
      <w:pPr>
        <w:pStyle w:val="Normal"/>
        <w:rPr/>
      </w:pPr>
      <w:r>
        <w:rPr/>
        <w:t>价格、量能、均线与相对强弱共同支持“放量反弹，仍需中期确认”。若后续价格在市场修复时持续落后，或市场下跌时出现更大跌幅，技术评分应下降；若盈利改善同时领先恒指与行业，则提高可信度。技术高分不能替代财务与估值，但半年权重较高，足以使排名低于长期成长判断。</w:t>
      </w:r>
    </w:p>
    <w:p>
      <w:pPr>
        <w:pStyle w:val="Heading2"/>
        <w:rPr/>
      </w:pPr>
      <w:r>
        <w:rPr>
          <w:color w:val="000000"/>
        </w:rPr>
        <w:t>二十七 半年投资逻辑与催化剂</w:t>
      </w:r>
    </w:p>
    <w:p>
      <w:pPr>
        <w:pStyle w:val="Normal"/>
        <w:rPr/>
      </w:pPr>
      <w:r>
        <w:rPr/>
        <w:t>半年基准</w:t>
      </w:r>
      <w:r>
        <w:rPr/>
        <w:t>32.83</w:t>
      </w:r>
      <w:r>
        <w:rPr/>
        <w:t>港元，现价上涨空间百分之二十六点四六。目标由手机物联网正常</w:t>
      </w:r>
      <w:r>
        <w:rPr/>
        <w:t>EBIT</w:t>
      </w:r>
      <w:r>
        <w:rPr/>
        <w:t>三百六十亿元、新业务负二十亿元、税后其他三十亿元、股数</w:t>
      </w:r>
      <w:r>
        <w:rPr/>
        <w:t>263</w:t>
      </w:r>
      <w:r>
        <w:rPr/>
        <w:t>亿及二十六倍</w:t>
      </w:r>
      <w:r>
        <w:rPr/>
        <w:t>PE</w:t>
      </w:r>
      <w:r>
        <w:rPr/>
        <w:t>得到。这个盈利是目标时点未来十二个月正常水平，不是半年内累计利润；需要成本压力缓解、旧业务效率与新业务亏损收窄。</w:t>
      </w:r>
    </w:p>
    <w:p>
      <w:pPr>
        <w:pStyle w:val="Normal"/>
        <w:rPr/>
      </w:pPr>
      <w:r>
        <w:rPr/>
        <w:t>下一次季度披露、组件毛利、汽车交付组合、研发和正式现金流是主要验证窗口，具体未公告日期不补造。半年技术关注六十日线与二十八点二二区域，突破后需成交与回踩支持。产品发布可以形成情绪催化，但若只推高销量预测而不改善毛利和现金，不足以支持持续估值提升。</w:t>
      </w:r>
    </w:p>
    <w:p>
      <w:pPr>
        <w:pStyle w:val="Normal"/>
        <w:rPr/>
      </w:pPr>
      <w:r>
        <w:rPr/>
        <w:t>半年悲观</w:t>
      </w:r>
      <w:r>
        <w:rPr/>
        <w:t>7.78</w:t>
      </w:r>
      <w:r>
        <w:rPr/>
        <w:t>港元意味着旧业务压力与新业务持续亏损并存，正常</w:t>
      </w:r>
      <w:r>
        <w:rPr/>
        <w:t>EPS</w:t>
      </w:r>
      <w:r>
        <w:rPr/>
        <w:t>仅</w:t>
      </w:r>
      <w:r>
        <w:rPr/>
        <w:t>0.393</w:t>
      </w:r>
      <w:r>
        <w:rPr/>
        <w:t>元、十八倍；乐观</w:t>
      </w:r>
      <w:r>
        <w:rPr/>
        <w:t>64.38</w:t>
      </w:r>
      <w:r>
        <w:rPr/>
        <w:t>要求</w:t>
      </w:r>
      <w:r>
        <w:rPr/>
        <w:t>EPS1.829</w:t>
      </w:r>
      <w:r>
        <w:rPr/>
        <w:t>元、三十二倍。跨度体现投入和估值敏感，不是半年统计波幅。进取型也不应仅看乐观端，技术未确认、盈利下降和悲观损失使半年评分只有</w:t>
      </w:r>
      <w:r>
        <w:rPr/>
        <w:t>61.9</w:t>
      </w:r>
      <w:r>
        <w:rPr/>
        <w:t>，反证出现须重算。</w:t>
      </w:r>
    </w:p>
    <w:p>
      <w:pPr>
        <w:pStyle w:val="Heading2"/>
        <w:rPr/>
      </w:pPr>
      <w:r>
        <w:rPr>
          <w:color w:val="000000"/>
        </w:rPr>
        <w:t>二十八 一年投资逻辑与执行条件</w:t>
      </w:r>
    </w:p>
    <w:p>
      <w:pPr>
        <w:pStyle w:val="Normal"/>
        <w:rPr/>
      </w:pPr>
      <w:r>
        <w:rPr/>
        <w:t>一年基准</w:t>
      </w:r>
      <w:r>
        <w:rPr/>
        <w:t>38.72</w:t>
      </w:r>
      <w:r>
        <w:rPr/>
        <w:t>港元，上涨空间百分之四十九点一五。假设旧业务正常</w:t>
      </w:r>
      <w:r>
        <w:rPr/>
        <w:t>EBIT</w:t>
      </w:r>
      <w:r>
        <w:rPr/>
        <w:t>三百八十亿元，新业务四十亿元，税后其他三十亿元，目标股数</w:t>
      </w:r>
      <w:r>
        <w:rPr/>
        <w:t>260</w:t>
      </w:r>
      <w:r>
        <w:rPr/>
        <w:t>亿，</w:t>
      </w:r>
      <w:r>
        <w:rPr/>
        <w:t>EPS1.408</w:t>
      </w:r>
      <w:r>
        <w:rPr/>
        <w:t>元、二十五倍</w:t>
      </w:r>
      <w:r>
        <w:rPr/>
        <w:t>PE</w:t>
      </w:r>
      <w:r>
        <w:rPr/>
        <w:t>。收益来自旧业务修复、新业务跨越盈亏和股数管理，不需要股票回到历史最高位，也不能仅因现价低于机构目标就成立。</w:t>
      </w:r>
    </w:p>
    <w:p>
      <w:pPr>
        <w:pStyle w:val="Normal"/>
        <w:rPr/>
      </w:pPr>
      <w:r>
        <w:rPr/>
        <w:t>一年更有机会看到车型、渠道与人工智能投入回报，仍可能有促销、质量和组件变化。新业务由六月季度亏损向年度正常盈利转变，需要毛利增加超过费用扩张；即使交付符合预期，平均价格下降或售后费用增加也可能阻止。旧业务恢复又需在国内补贴与海外扩张之间建立新的利润结构。</w:t>
      </w:r>
    </w:p>
    <w:p>
      <w:pPr>
        <w:pStyle w:val="Normal"/>
        <w:rPr/>
      </w:pPr>
      <w:r>
        <w:rPr/>
        <w:t>一年悲观</w:t>
      </w:r>
      <w:r>
        <w:rPr/>
        <w:t>7.29</w:t>
      </w:r>
      <w:r>
        <w:rPr/>
        <w:t>、乐观</w:t>
      </w:r>
      <w:r>
        <w:rPr/>
        <w:t>80.61</w:t>
      </w:r>
      <w:r>
        <w:rPr/>
        <w:t>港元。悲观股数</w:t>
      </w:r>
      <w:r>
        <w:rPr/>
        <w:t>280</w:t>
      </w:r>
      <w:r>
        <w:rPr/>
        <w:t>亿、</w:t>
      </w:r>
      <w:r>
        <w:rPr/>
        <w:t>PE</w:t>
      </w:r>
      <w:r>
        <w:rPr/>
        <w:t>十六倍，体现融资及信心压力；乐观股数</w:t>
      </w:r>
      <w:r>
        <w:rPr/>
        <w:t>255</w:t>
      </w:r>
      <w:r>
        <w:rPr/>
        <w:t>亿、</w:t>
      </w:r>
      <w:r>
        <w:rPr/>
        <w:t>PE</w:t>
      </w:r>
      <w:r>
        <w:rPr/>
        <w:t>三十二倍，要求更强经营和资本效率。评分</w:t>
      </w:r>
      <w:r>
        <w:rPr/>
        <w:t>69.8</w:t>
      </w:r>
      <w:r>
        <w:rPr/>
        <w:t>比半年高是增加经营验证时间，不是风险消失。若一年内现金与分部利润没有改善，不能把目标日期顺延而维持同样高增长假设。</w:t>
      </w:r>
    </w:p>
    <w:p>
      <w:pPr>
        <w:pStyle w:val="Heading2"/>
        <w:rPr/>
      </w:pPr>
      <w:r>
        <w:rPr>
          <w:color w:val="000000"/>
        </w:rPr>
        <w:t>二十九 三年与五年的经营桥</w:t>
      </w:r>
    </w:p>
    <w:p>
      <w:pPr>
        <w:pStyle w:val="Normal"/>
        <w:rPr/>
      </w:pPr>
      <w:r>
        <w:rPr/>
        <w:t>三年基准旧业务</w:t>
      </w:r>
      <w:r>
        <w:rPr/>
        <w:t>EBIT</w:t>
      </w:r>
      <w:r>
        <w:rPr/>
        <w:t>四百六十亿元、新业务一百八十亿元，税后其他三十亿元，股数</w:t>
      </w:r>
      <w:r>
        <w:rPr/>
        <w:t>258</w:t>
      </w:r>
      <w:r>
        <w:rPr/>
        <w:t>亿，</w:t>
      </w:r>
      <w:r>
        <w:rPr/>
        <w:t>EPS2.101</w:t>
      </w:r>
      <w:r>
        <w:rPr/>
        <w:t>元、二十四倍，价格</w:t>
      </w:r>
      <w:r>
        <w:rPr/>
        <w:t>55.47</w:t>
      </w:r>
      <w:r>
        <w:rPr/>
        <w:t>港元、上涨百分之一百一十三点六七，年化约百分之二十八点八零。三年需要产品、服务与汽车经营规模产生利润，而不是仅靠市场再给予更高倍数；股数假设也需要实际回购净额支持。</w:t>
      </w:r>
    </w:p>
    <w:p>
      <w:pPr>
        <w:pStyle w:val="Normal"/>
        <w:rPr/>
      </w:pPr>
      <w:r>
        <w:rPr/>
        <w:t>五年基准旧业务</w:t>
      </w:r>
      <w:r>
        <w:rPr/>
        <w:t>EBIT</w:t>
      </w:r>
      <w:r>
        <w:rPr/>
        <w:t>五百六十亿元、新业务三百二十亿元，税后其他三十亿元，股数</w:t>
      </w:r>
      <w:r>
        <w:rPr/>
        <w:t>255</w:t>
      </w:r>
      <w:r>
        <w:rPr/>
        <w:t>亿，</w:t>
      </w:r>
      <w:r>
        <w:rPr/>
        <w:t>EPS2.878</w:t>
      </w:r>
      <w:r>
        <w:rPr/>
        <w:t>元、二十二倍，价格</w:t>
      </w:r>
      <w:r>
        <w:rPr/>
        <w:t>69.65</w:t>
      </w:r>
      <w:r>
        <w:rPr/>
        <w:t>港元、上涨百分之一百六十八点三零，年化约百分之二十一点八二。倍数随成熟下降，盈利增长仍可产生回报。这个结果不包含单独人工智能或汽车分拆估值，避免同业务重复。</w:t>
      </w:r>
    </w:p>
    <w:p>
      <w:pPr>
        <w:pStyle w:val="Normal"/>
        <w:rPr/>
      </w:pPr>
      <w:r>
        <w:rPr/>
        <w:t>长期悲观价格</w:t>
      </w:r>
      <w:r>
        <w:rPr/>
        <w:t>6.16</w:t>
      </w:r>
      <w:r>
        <w:rPr/>
        <w:t>及</w:t>
      </w:r>
      <w:r>
        <w:rPr/>
        <w:t>4.88</w:t>
      </w:r>
      <w:r>
        <w:rPr/>
        <w:t>港元，代表成熟业务利润受压、新业务亏损与股数增加持续；乐观</w:t>
      </w:r>
      <w:r>
        <w:rPr/>
        <w:t>131.79</w:t>
      </w:r>
      <w:r>
        <w:rPr/>
        <w:t>及</w:t>
      </w:r>
      <w:r>
        <w:rPr/>
        <w:t>179.95</w:t>
      </w:r>
      <w:r>
        <w:rPr/>
        <w:t>港元，要求全业务强增长和高效率。乐观不是增长率简单复制，需未来经营证据逐年校准。五年分</w:t>
      </w:r>
      <w:r>
        <w:rPr/>
        <w:t>76.8</w:t>
      </w:r>
      <w:r>
        <w:rPr/>
        <w:t>至</w:t>
      </w:r>
      <w:r>
        <w:rPr/>
        <w:t>77.0</w:t>
      </w:r>
      <w:r>
        <w:rPr/>
        <w:t>附近，成长空间高但资金、治理与竞争压低可靠性，不能解释成获利概率。</w:t>
      </w:r>
    </w:p>
    <w:p>
      <w:pPr>
        <w:pStyle w:val="Heading2"/>
        <w:rPr/>
      </w:pPr>
      <w:r>
        <w:rPr>
          <w:color w:val="000000"/>
        </w:rPr>
        <w:t>三十 年底价格与权重解释</w:t>
      </w:r>
    </w:p>
    <w:p>
      <w:pPr>
        <w:pStyle w:val="Normal"/>
        <w:rPr/>
      </w:pPr>
      <w:r>
        <w:rPr/>
        <w:t>年底基准旧业务</w:t>
      </w:r>
      <w:r>
        <w:rPr/>
        <w:t>EBIT</w:t>
      </w:r>
      <w:r>
        <w:rPr/>
        <w:t>三百四十亿元、新业务负六十亿元，税后其他三十亿元，股数</w:t>
      </w:r>
      <w:r>
        <w:rPr/>
        <w:t>265</w:t>
      </w:r>
      <w:r>
        <w:rPr/>
        <w:t>亿，正常</w:t>
      </w:r>
      <w:r>
        <w:rPr/>
        <w:t>EPS0.958</w:t>
      </w:r>
      <w:r>
        <w:rPr/>
        <w:t>元、二十六倍，价格</w:t>
      </w:r>
      <w:r>
        <w:rPr/>
        <w:t>27.40</w:t>
      </w:r>
      <w:r>
        <w:rPr/>
        <w:t>港元。年底距离基准只有较短时间，目标反映市场对未来正常盈利的定价，不要求所有利润在年底现金兑现。价格能否重估取决于未来披露与预期，不能用全年经营目标线性分摊月份。</w:t>
      </w:r>
    </w:p>
    <w:p>
      <w:pPr>
        <w:pStyle w:val="Normal"/>
        <w:rPr/>
      </w:pPr>
      <w:r>
        <w:rPr/>
        <w:t>悲观</w:t>
      </w:r>
      <w:r>
        <w:rPr/>
        <w:t>7.21</w:t>
      </w:r>
      <w:r>
        <w:rPr/>
        <w:t>港元来自</w:t>
      </w:r>
      <w:r>
        <w:rPr/>
        <w:t>EPS0.364</w:t>
      </w:r>
      <w:r>
        <w:rPr/>
        <w:t>元、十八倍；乐观</w:t>
      </w:r>
      <w:r>
        <w:rPr/>
        <w:t>57.41</w:t>
      </w:r>
      <w:r>
        <w:rPr/>
        <w:t>来自</w:t>
      </w:r>
      <w:r>
        <w:rPr/>
        <w:t>EPS1.631</w:t>
      </w:r>
      <w:r>
        <w:rPr/>
        <w:t>元、三十二倍。加权</w:t>
      </w:r>
      <w:r>
        <w:rPr/>
        <w:t>29.855</w:t>
      </w:r>
      <w:r>
        <w:rPr/>
        <w:t>港元高于基准，是乐观端距离较大造成，不能称最可能价格。防御权重得</w:t>
      </w:r>
      <w:r>
        <w:rPr/>
        <w:t>22.325</w:t>
      </w:r>
      <w:r>
        <w:rPr/>
        <w:t>、积极权重</w:t>
      </w:r>
      <w:r>
        <w:rPr/>
        <w:t>37.385</w:t>
      </w:r>
      <w:r>
        <w:rPr/>
        <w:t>，足以说明结论对权重敏感。权重不是历史统计成功率，范围也不是最大波动或损失边界。</w:t>
      </w:r>
    </w:p>
    <w:p>
      <w:pPr>
        <w:pStyle w:val="Normal"/>
        <w:rPr/>
      </w:pPr>
      <w:r>
        <w:rPr/>
        <w:t>短期严重悲观隐含盈利和市场信心同时受损，低价可能低估现金部署或业务退出价值，因此仅作一致盈利模型压力情景。更完整资产支持估值须先剥离金融收益再考虑可用现金、债务与退出成本，当前不能随意在低端加全现金而高端不扣金融收益。年底主要观察毛利、现金和新业务费用是否支持预期。</w:t>
      </w:r>
    </w:p>
    <w:p>
      <w:pPr>
        <w:pStyle w:val="Heading2"/>
        <w:rPr/>
      </w:pPr>
      <w:r>
        <w:rPr>
          <w:color w:val="000000"/>
        </w:rPr>
        <w:t>三十一 估值敏感性与反向检验</w:t>
      </w:r>
    </w:p>
    <w:p>
      <w:pPr>
        <w:pStyle w:val="Normal"/>
        <w:rPr/>
      </w:pPr>
      <w:r>
        <w:rPr/>
        <w:t>目标</w:t>
      </w:r>
      <w:r>
        <w:rPr/>
        <w:t>EPS</w:t>
      </w:r>
      <w:r>
        <w:rPr/>
        <w:t>先保留三位，再乘</w:t>
      </w:r>
      <w:r>
        <w:rPr/>
        <w:t>PE</w:t>
      </w:r>
      <w:r>
        <w:rPr/>
        <w:t>与汇率，价格保留两位。手机物联网与新业务正常</w:t>
      </w:r>
      <w:r>
        <w:rPr/>
        <w:t>EBIT</w:t>
      </w:r>
      <w:r>
        <w:rPr/>
        <w:t>每增加十亿元，在一年基准二十百分比税率、</w:t>
      </w:r>
      <w:r>
        <w:rPr/>
        <w:t>260</w:t>
      </w:r>
      <w:r>
        <w:rPr/>
        <w:t>亿股、二十五倍和</w:t>
      </w:r>
      <w:r>
        <w:rPr/>
        <w:t>1.10</w:t>
      </w:r>
      <w:r>
        <w:rPr/>
        <w:t>汇率下，理论股价增加约</w:t>
      </w:r>
      <w:r>
        <w:rPr/>
        <w:t>0.846</w:t>
      </w:r>
      <w:r>
        <w:rPr/>
        <w:t>港元，舍入会略有差异。两分部同税率只是研究简化，真实地域税率与亏损抵扣需要更详细税桥支持。</w:t>
      </w:r>
    </w:p>
    <w:p>
      <w:pPr>
        <w:pStyle w:val="Normal"/>
        <w:rPr/>
      </w:pPr>
      <w:r>
        <w:rPr/>
        <w:t>一年基准</w:t>
      </w:r>
      <w:r>
        <w:rPr/>
        <w:t>EPS1.408</w:t>
      </w:r>
      <w:r>
        <w:rPr/>
        <w:t>元，若倍数分别二十、二十五、三十倍，价格约</w:t>
      </w:r>
      <w:r>
        <w:rPr/>
        <w:t>30.98</w:t>
      </w:r>
      <w:r>
        <w:rPr/>
        <w:t>、</w:t>
      </w:r>
      <w:r>
        <w:rPr/>
        <w:t>38.72</w:t>
      </w:r>
      <w:r>
        <w:rPr/>
        <w:t>、</w:t>
      </w:r>
      <w:r>
        <w:rPr/>
        <w:t>46.46</w:t>
      </w:r>
      <w:r>
        <w:rPr/>
        <w:t>港元；如果</w:t>
      </w:r>
      <w:r>
        <w:rPr/>
        <w:t>EPS</w:t>
      </w:r>
      <w:r>
        <w:rPr/>
        <w:t>只有一年悲观</w:t>
      </w:r>
      <w:r>
        <w:rPr/>
        <w:t>0.414</w:t>
      </w:r>
      <w:r>
        <w:rPr/>
        <w:t>元，即使保持二十五倍也约</w:t>
      </w:r>
      <w:r>
        <w:rPr/>
        <w:t>11.39</w:t>
      </w:r>
      <w:r>
        <w:rPr/>
        <w:t>港元。说明经营落差比小幅</w:t>
      </w:r>
      <w:r>
        <w:rPr/>
        <w:t>PE</w:t>
      </w:r>
      <w:r>
        <w:rPr/>
        <w:t>变化更重要。现价反向对应二十五倍时所需</w:t>
      </w:r>
      <w:r>
        <w:rPr/>
        <w:t>EPS</w:t>
      </w:r>
      <w:r>
        <w:rPr/>
        <w:t>约</w:t>
      </w:r>
      <w:r>
        <w:rPr/>
        <w:t>0.944</w:t>
      </w:r>
      <w:r>
        <w:rPr/>
        <w:t>元，是检验常态盈利能否支持当前价的直接问题。</w:t>
      </w:r>
    </w:p>
    <w:p>
      <w:pPr>
        <w:pStyle w:val="Normal"/>
        <w:rPr/>
      </w:pPr>
      <w:r>
        <w:rPr/>
        <w:t>净缩股可提高</w:t>
      </w:r>
      <w:r>
        <w:rPr/>
        <w:t>EPS</w:t>
      </w:r>
      <w:r>
        <w:rPr/>
        <w:t>，但若资金来自牺牲高回报项目或增加债务，不一定提高总价值。长期股数、利润与</w:t>
      </w:r>
      <w:r>
        <w:rPr/>
        <w:t>PE</w:t>
      </w:r>
      <w:r>
        <w:rPr/>
        <w:t>不可各自选最乐观再拼合，情景必须内部一致。二十百分比税率、税后其他、股数及利润都是假设，未来公司披露可推翻；模型给出透明可改输入，而非把价格包装成精确预测。</w:t>
      </w:r>
    </w:p>
    <w:p>
      <w:pPr>
        <w:pStyle w:val="Heading2"/>
        <w:rPr/>
      </w:pPr>
      <w:r>
        <w:rPr>
          <w:color w:val="000000"/>
        </w:rPr>
        <w:t>三十二 外资目标价与资料限制</w:t>
      </w:r>
    </w:p>
    <w:p>
      <w:pPr>
        <w:pStyle w:val="Normal"/>
        <w:rPr/>
      </w:pPr>
      <w:r>
        <w:rPr/>
        <w:t>公开新闻转述汇丰九月三十日买入、目标</w:t>
      </w:r>
      <w:r>
        <w:rPr/>
        <w:t>33.2</w:t>
      </w:r>
      <w:r>
        <w:rPr/>
        <w:t>港元，花旗十月二日买入、目标</w:t>
      </w:r>
      <w:r>
        <w:rPr/>
        <w:t>34</w:t>
      </w:r>
      <w:r>
        <w:rPr/>
        <w:t>港元，距现价约百分之二十七点八九和三十点九七。未取得原始研报完整模型与明确目标期限，目标期限保持空值，不擅自全部称十二个月。机构名称、日期、币种、证券和来源单独保留，转载不冒充原研报。</w:t>
      </w:r>
    </w:p>
    <w:p>
      <w:pPr>
        <w:pStyle w:val="Normal"/>
        <w:rPr/>
      </w:pPr>
      <w:r>
        <w:rPr/>
        <w:t>汇丰转述预测二零二六及二零二七交付</w:t>
      </w:r>
      <w:r>
        <w:rPr/>
        <w:t>425600</w:t>
      </w:r>
      <w:r>
        <w:rPr/>
        <w:t>和</w:t>
      </w:r>
      <w:r>
        <w:rPr/>
        <w:t>540000</w:t>
      </w:r>
      <w:r>
        <w:rPr/>
        <w:t>辆，以及未来调整利润增长假设，是机构预测，不是实际交付或公司承诺。研究基准半年</w:t>
      </w:r>
      <w:r>
        <w:rPr/>
        <w:t>32.83</w:t>
      </w:r>
      <w:r>
        <w:rPr/>
        <w:t>与目标附近只是独立结果接近，不代表投行验证了本模型；不同机构可以使用不同盈利、业务组合、股数与分部估值，需了解差异。</w:t>
      </w:r>
    </w:p>
    <w:p>
      <w:pPr>
        <w:pStyle w:val="Normal"/>
        <w:rPr/>
      </w:pPr>
      <w:r>
        <w:rPr/>
        <w:t>机构目标不直接用于年底，也不按剩余月份线性缩小。目标变动可能因模型假设、市场倍数和竞争变化，与评级保持买入不矛盾。当前公开目标数量有限，不构造虚假的外资一致预期或平均概率。后续重大事件后新报告需要替换同机构旧记录并保留版本，来源不足的条目明确缺失。</w:t>
      </w:r>
    </w:p>
    <w:p>
      <w:pPr>
        <w:pStyle w:val="Heading2"/>
        <w:rPr/>
      </w:pPr>
      <w:r>
        <w:rPr>
          <w:color w:val="000000"/>
        </w:rPr>
        <w:t>三十三 评分证据与结论的推翻</w:t>
      </w:r>
    </w:p>
    <w:p>
      <w:pPr>
        <w:pStyle w:val="Normal"/>
        <w:rPr/>
      </w:pPr>
      <w:r>
        <w:rPr/>
        <w:t>半年六维评分依次</w:t>
      </w:r>
      <w:r>
        <w:rPr/>
        <w:t>3.1</w:t>
      </w:r>
      <w:r>
        <w:rPr/>
        <w:t>、</w:t>
      </w:r>
      <w:r>
        <w:rPr/>
        <w:t>2.6</w:t>
      </w:r>
      <w:r>
        <w:rPr/>
        <w:t>、</w:t>
      </w:r>
      <w:r>
        <w:rPr/>
        <w:t>3.2</w:t>
      </w:r>
      <w:r>
        <w:rPr/>
        <w:t>、</w:t>
      </w:r>
      <w:r>
        <w:rPr/>
        <w:t>3.8</w:t>
      </w:r>
      <w:r>
        <w:rPr/>
        <w:t>、</w:t>
      </w:r>
      <w:r>
        <w:rPr/>
        <w:t>3.8</w:t>
      </w:r>
      <w:r>
        <w:rPr/>
        <w:t>、</w:t>
      </w:r>
      <w:r>
        <w:rPr/>
        <w:t>3.0</w:t>
      </w:r>
      <w:r>
        <w:rPr/>
        <w:t>，一年</w:t>
      </w:r>
      <w:r>
        <w:rPr/>
        <w:t>3.5</w:t>
      </w:r>
      <w:r>
        <w:rPr/>
        <w:t>、</w:t>
      </w:r>
      <w:r>
        <w:rPr/>
        <w:t>2.6</w:t>
      </w:r>
      <w:r>
        <w:rPr/>
        <w:t>、</w:t>
      </w:r>
      <w:r>
        <w:rPr/>
        <w:t>3.7</w:t>
      </w:r>
      <w:r>
        <w:rPr/>
        <w:t>、</w:t>
      </w:r>
      <w:r>
        <w:rPr/>
        <w:t>4.0</w:t>
      </w:r>
      <w:r>
        <w:rPr/>
        <w:t>、</w:t>
      </w:r>
      <w:r>
        <w:rPr/>
        <w:t>4.0</w:t>
      </w:r>
      <w:r>
        <w:rPr/>
        <w:t>、</w:t>
      </w:r>
      <w:r>
        <w:rPr/>
        <w:t>3.0</w:t>
      </w:r>
      <w:r>
        <w:rPr/>
        <w:t>，三年</w:t>
      </w:r>
      <w:r>
        <w:rPr/>
        <w:t>4.0</w:t>
      </w:r>
      <w:r>
        <w:rPr/>
        <w:t>、</w:t>
      </w:r>
      <w:r>
        <w:rPr/>
        <w:t>2.6</w:t>
      </w:r>
      <w:r>
        <w:rPr/>
        <w:t>、</w:t>
      </w:r>
      <w:r>
        <w:rPr/>
        <w:t>4.0</w:t>
      </w:r>
      <w:r>
        <w:rPr/>
        <w:t>、</w:t>
      </w:r>
      <w:r>
        <w:rPr/>
        <w:t>4.2</w:t>
      </w:r>
      <w:r>
        <w:rPr/>
        <w:t>、</w:t>
      </w:r>
      <w:r>
        <w:rPr/>
        <w:t>3.8</w:t>
      </w:r>
      <w:r>
        <w:rPr/>
        <w:t>、</w:t>
      </w:r>
      <w:r>
        <w:rPr/>
        <w:t>2.8</w:t>
      </w:r>
      <w:r>
        <w:rPr/>
        <w:t>，五年</w:t>
      </w:r>
      <w:r>
        <w:rPr/>
        <w:t>3.9</w:t>
      </w:r>
      <w:r>
        <w:rPr/>
        <w:t>、</w:t>
      </w:r>
      <w:r>
        <w:rPr/>
        <w:t>2.6</w:t>
      </w:r>
      <w:r>
        <w:rPr/>
        <w:t>、</w:t>
      </w:r>
      <w:r>
        <w:rPr/>
        <w:t>4.1</w:t>
      </w:r>
      <w:r>
        <w:rPr/>
        <w:t>、</w:t>
      </w:r>
      <w:r>
        <w:rPr/>
        <w:t>4.2</w:t>
      </w:r>
      <w:r>
        <w:rPr/>
        <w:t>、</w:t>
      </w:r>
      <w:r>
        <w:rPr/>
        <w:t>3.7</w:t>
      </w:r>
      <w:r>
        <w:rPr/>
        <w:t>、</w:t>
      </w:r>
      <w:r>
        <w:rPr/>
        <w:t>2.7</w:t>
      </w:r>
      <w:r>
        <w:rPr/>
        <w:t>。相同维度统一零至五分，按总方案权重计算。技术分长期权重降低，业务、行业与财务权重提高，避免用短期反弹决定五年价值。</w:t>
      </w:r>
    </w:p>
    <w:p>
      <w:pPr>
        <w:pStyle w:val="Normal"/>
        <w:rPr/>
      </w:pPr>
      <w:r>
        <w:rPr/>
        <w:t>高行业空间与成熟用户基础支持成长分，收入和调整盈利下滑、汽车新业务亏损及正式现金流弱限制短期分。估值有修复空间，但极端悲观损失与低端模型局限降低质量；催化来自可观察经营而非泛题材；财务资源充足又存在借款、股权结构、研发和资本配置风险，长期不能直接满分。</w:t>
      </w:r>
    </w:p>
    <w:p>
      <w:pPr>
        <w:pStyle w:val="Normal"/>
        <w:rPr/>
      </w:pPr>
      <w:r>
        <w:rPr/>
        <w:t>推荐可被以下实质变化推翻：手机毛利与出货持续下降、互联网用户变现失效、汽车交付增长而毛利费用长期失衡、系统性质量问题、现金无法覆盖持续投入、融资稀释超过利润增长。技术破位只推翻时机判断，经营恶化推翻长期逻辑。评分不是胜率，差距小于三分由总表归同梯队，不宣称精确优劣。</w:t>
      </w:r>
    </w:p>
    <w:p>
      <w:pPr>
        <w:pStyle w:val="Heading2"/>
        <w:rPr/>
      </w:pPr>
      <w:r>
        <w:rPr>
          <w:color w:val="000000"/>
        </w:rPr>
        <w:t>三十四 十年经营持续性与更新机制</w:t>
      </w:r>
    </w:p>
    <w:p>
      <w:pPr>
        <w:pStyle w:val="Normal"/>
        <w:rPr/>
      </w:pPr>
      <w:r>
        <w:rPr/>
        <w:t>十年展望更适合问公司能否维持消费者信任、持续推出有用产品并在技术迭代中产生现金。手机与设备可能趋成熟，互联网变现方式可能被人工智能改变，汽车竞争也可能更重软件与服务。品牌与用户关系是起点，长期价值需跨产品周期证明，当前不为十年给一个没有证据支持的确定股价。</w:t>
      </w:r>
    </w:p>
    <w:p>
      <w:pPr>
        <w:pStyle w:val="Normal"/>
        <w:rPr/>
      </w:pPr>
      <w:r>
        <w:rPr/>
        <w:t>可持续路径是旧业务稳定现金、汽车质量和效率成熟、人工智能投入与收益平衡，资源分配从扩张逐渐转向每股回报。失败路径是多业务同时高投入、制造竞争使利润被价格让渡、用户生态没有足够付费、融资和股数增长吞噬盈利。公司可以调整战略，模型必须随退出、转型或资本返还而改变，不能固守初版。</w:t>
      </w:r>
    </w:p>
    <w:p>
      <w:pPr>
        <w:pStyle w:val="Normal"/>
        <w:rPr/>
      </w:pPr>
      <w:r>
        <w:rPr/>
        <w:t>每次更新先核公司财表与公告发布时间、经营期间、币种、股数与现金定义，再刷新三情景和评分。行情继续使用锁定基准，只在新版本明确改变日期；重大新事实不回填成截止日前已知。初版可信度为主源财务较高、量价较高、估值中低、公开机构转述中等。投资结论成立于明确条件，而不是研究字数或目标价格精度。</w:t>
      </w:r>
    </w:p>
    <w:p>
      <w:pPr>
        <w:pStyle w:val="Heading2"/>
        <w:rPr/>
      </w:pPr>
      <w:r>
        <w:rPr>
          <w:color w:val="000000"/>
        </w:rPr>
        <w:t>来源与核验记录 不计有效正文</w:t>
      </w:r>
    </w:p>
    <w:p>
      <w:pPr>
        <w:pStyle w:val="Normal"/>
        <w:rPr/>
      </w:pPr>
      <w:r>
        <w:rPr/>
        <w:t xml:space="preserve">- </w:t>
      </w:r>
      <w:r>
        <w:rPr/>
        <w:t>公司六月季度与半年财表，</w:t>
      </w:r>
      <w:r>
        <w:rPr/>
        <w:t>2026</w:t>
      </w:r>
      <w:r>
        <w:rPr/>
        <w:t>年</w:t>
      </w:r>
      <w:r>
        <w:rPr/>
        <w:t>8</w:t>
      </w:r>
      <w:r>
        <w:rPr/>
        <w:t>月</w:t>
      </w:r>
      <w:r>
        <w:rPr/>
        <w:t>18</w:t>
      </w:r>
      <w:r>
        <w:rPr/>
        <w:t>日：</w:t>
      </w:r>
      <w:r>
        <w:rPr/>
        <w:t>[</w:t>
      </w:r>
      <w:r>
        <w:rPr/>
        <w:t>官方</w:t>
      </w:r>
      <w:r>
        <w:rPr/>
        <w:t>PDF](https://ir.mi.com/static-files/4a85fc36-8a6d-4c24-b45b-b18d5d162e6c)</w:t>
      </w:r>
      <w:r>
        <w:rPr/>
        <w:t>。本地</w:t>
      </w:r>
      <w:r>
        <w:rPr/>
        <w:t>data/tech_raw/xiaomi_2026q2.pdf</w:t>
      </w:r>
      <w:r>
        <w:rPr/>
        <w:t>及</w:t>
      </w:r>
      <w:r>
        <w:rPr/>
        <w:t>txt</w:t>
      </w:r>
      <w:r>
        <w:rPr/>
        <w:t>。</w:t>
      </w:r>
    </w:p>
    <w:p>
      <w:pPr>
        <w:pStyle w:val="Normal"/>
        <w:rPr/>
      </w:pPr>
      <w:r>
        <w:rPr/>
        <w:t>- 2025</w:t>
      </w:r>
      <w:r>
        <w:rPr/>
        <w:t>年年报，官网文件日期</w:t>
      </w:r>
      <w:r>
        <w:rPr/>
        <w:t>2026</w:t>
      </w:r>
      <w:r>
        <w:rPr/>
        <w:t>年</w:t>
      </w:r>
      <w:r>
        <w:rPr/>
        <w:t>4</w:t>
      </w:r>
      <w:r>
        <w:rPr/>
        <w:t>月</w:t>
      </w:r>
      <w:r>
        <w:rPr/>
        <w:t>28</w:t>
      </w:r>
      <w:r>
        <w:rPr/>
        <w:t>日：</w:t>
      </w:r>
      <w:r>
        <w:rPr/>
        <w:t>[</w:t>
      </w:r>
      <w:r>
        <w:rPr/>
        <w:t>官方年报</w:t>
      </w:r>
      <w:r>
        <w:rPr/>
        <w:t>](https://ir.mi.com/system/files-encrypted/nasdaq_kms/assets/2026/04/28/5-29-08/Xiaomi%202025%20AR_EN.pdf)</w:t>
      </w:r>
      <w:r>
        <w:rPr/>
        <w:t>。本地</w:t>
      </w:r>
      <w:r>
        <w:rPr/>
        <w:t>data/tech_raw/xiaomi_2025annual.pdf</w:t>
      </w:r>
      <w:r>
        <w:rPr/>
        <w:t>及</w:t>
      </w:r>
      <w:r>
        <w:rPr/>
        <w:t>txt</w:t>
      </w:r>
      <w:r>
        <w:rPr/>
        <w:t>。英文财表可读，中文字体提取局部警告不视为全部文件失效。</w:t>
      </w:r>
    </w:p>
    <w:p>
      <w:pPr>
        <w:pStyle w:val="Normal"/>
        <w:rPr/>
      </w:pPr>
      <w:r>
        <w:rPr/>
        <w:t xml:space="preserve">- </w:t>
      </w:r>
      <w:r>
        <w:rPr/>
        <w:t>汇丰</w:t>
      </w:r>
      <w:r>
        <w:rPr/>
        <w:t>2026</w:t>
      </w:r>
      <w:r>
        <w:rPr/>
        <w:t>年</w:t>
      </w:r>
      <w:r>
        <w:rPr/>
        <w:t>9</w:t>
      </w:r>
      <w:r>
        <w:rPr/>
        <w:t>月</w:t>
      </w:r>
      <w:r>
        <w:rPr/>
        <w:t>30</w:t>
      </w:r>
      <w:r>
        <w:rPr/>
        <w:t>日公开转述：</w:t>
      </w:r>
      <w:r>
        <w:rPr/>
        <w:t>[</w:t>
      </w:r>
      <w:r>
        <w:rPr/>
        <w:t>新闻</w:t>
      </w:r>
      <w:r>
        <w:rPr/>
        <w:t>](https://www.aastocks.com/sc/stocks/analysis/stock-aafn-con/01810/AAFN/NOW.1547181/research-report)</w:t>
      </w:r>
      <w:r>
        <w:rPr/>
        <w:t>。花旗</w:t>
      </w:r>
      <w:r>
        <w:rPr/>
        <w:t>2026</w:t>
      </w:r>
      <w:r>
        <w:rPr/>
        <w:t>年</w:t>
      </w:r>
      <w:r>
        <w:rPr/>
        <w:t>10</w:t>
      </w:r>
      <w:r>
        <w:rPr/>
        <w:t>月</w:t>
      </w:r>
      <w:r>
        <w:rPr/>
        <w:t>2</w:t>
      </w:r>
      <w:r>
        <w:rPr/>
        <w:t>日：</w:t>
      </w:r>
      <w:r>
        <w:rPr/>
        <w:t>[</w:t>
      </w:r>
      <w:r>
        <w:rPr/>
        <w:t>新闻</w:t>
      </w:r>
      <w:r>
        <w:rPr/>
        <w:t>](https://www.aastocks.com/sc/stocks/analysis/stock-aafn-con/01810/AAFN/NOW.1547472/research-report)</w:t>
      </w:r>
      <w:r>
        <w:rPr/>
        <w:t>。原研报及目标期限未取得。</w:t>
      </w:r>
    </w:p>
    <w:p>
      <w:pPr>
        <w:pStyle w:val="Normal"/>
        <w:rPr/>
      </w:pPr>
      <w:r>
        <w:rPr/>
        <w:t xml:space="preserve">- </w:t>
      </w:r>
      <w:r>
        <w:rPr/>
        <w:t>锁版行情</w:t>
      </w:r>
      <w:r>
        <w:rPr/>
        <w:t>data/market_snapshot_locked.json</w:t>
      </w:r>
      <w:r>
        <w:rPr/>
        <w:t>、日线</w:t>
      </w:r>
      <w:r>
        <w:rPr/>
        <w:t>data/history/S098.json</w:t>
      </w:r>
      <w:r>
        <w:rPr/>
        <w:t>；腾讯与新浪当日价量、</w:t>
      </w:r>
      <w:r>
        <w:rPr/>
        <w:t>Yahoo</w:t>
      </w:r>
      <w:r>
        <w:rPr/>
        <w:t>与腾讯历史日线交叉；无逐笔身份和已核自由流通换手率。</w:t>
      </w:r>
    </w:p>
    <w:p>
      <w:pPr>
        <w:pStyle w:val="Normal"/>
        <w:rPr/>
      </w:pPr>
      <w:r>
        <w:rPr/>
        <w:t xml:space="preserve">- </w:t>
      </w:r>
      <w:r>
        <w:rPr/>
        <w:t>模型</w:t>
      </w:r>
      <w:r>
        <w:rPr/>
        <w:t>data/xiaomi_model.json</w:t>
      </w:r>
      <w:r>
        <w:rPr/>
        <w:t>；正常利润、税、</w:t>
      </w:r>
      <w:r>
        <w:rPr/>
        <w:t>PE</w:t>
      </w:r>
      <w:r>
        <w:rPr/>
        <w:t>、股数、金融贡献和</w:t>
      </w:r>
      <w:r>
        <w:rPr/>
        <w:t>FX</w:t>
      </w:r>
      <w:r>
        <w:rPr/>
        <w:t>为研究假设；</w:t>
      </w:r>
      <w:r>
        <w:rPr/>
        <w:t>EPS</w:t>
      </w:r>
      <w:r>
        <w:rPr/>
        <w:t>三位，价格两位，三情景顺序悲观、基准、乐观。独立正文与模型复算记录</w:t>
      </w:r>
      <w:r>
        <w:rPr/>
        <w:t>qa/xiaomi_qa.json</w:t>
      </w:r>
      <w:r>
        <w:rPr/>
        <w:t>。</w:t>
      </w:r>
      <w:r>
        <w:br w:type="page"/>
      </w:r>
    </w:p>
    <w:p>
      <w:pPr>
        <w:pStyle w:val="Heading1"/>
        <w:rPr/>
      </w:pPr>
      <w:bookmarkStart w:id="7" w:name="__RefHeading___Toc27133_1364803659"/>
      <w:bookmarkEnd w:id="7"/>
      <w:r>
        <w:rPr>
          <w:color w:val="000000"/>
        </w:rPr>
        <w:t xml:space="preserve">皓元医药 </w:t>
      </w:r>
      <w:r>
        <w:rPr>
          <w:color w:val="000000"/>
        </w:rPr>
        <w:t>688131 SH</w:t>
      </w:r>
    </w:p>
    <w:p>
      <w:pPr>
        <w:pStyle w:val="Normal"/>
        <w:rPr/>
      </w:pPr>
      <w:r>
        <w:rPr/>
        <w:t xml:space="preserve">688131.SH </w:t>
      </w:r>
      <w:r>
        <w:rPr/>
        <w:t xml:space="preserve">现价 </w:t>
      </w:r>
      <w:r>
        <w:rPr/>
        <w:t>93.16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117.00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+25.89%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171.60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+85.38%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209.00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+124.35%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+126.81%</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39.90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89.90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88.23CNY</w:t>
      </w:r>
      <w:r>
        <w:rPr/>
        <w:t>，期望股价回报</w:t>
      </w:r>
      <w:r>
        <w:rPr/>
        <w:t>-5.30%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39.60</w:t>
              <w:br/>
              <w:t>-57.49%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99.00</w:t>
              <w:br/>
              <w:t>+6.27%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161.00</w:t>
              <w:br/>
              <w:t>+72.82%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40.80</w:t>
              <w:br/>
              <w:t>-56.20%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117.00</w:t>
              <w:br/>
              <w:t>+25.59%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195.00</w:t>
              <w:br/>
              <w:t>+109.32%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45.00</w:t>
              <w:br/>
              <w:t>-51.70%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171.60</w:t>
              <w:br/>
              <w:t>+84.20%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377.00</w:t>
              <w:br/>
              <w:t>+304.68%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+22.84%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46.80</w:t>
              <w:br/>
              <w:t>-49.76%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209.00</w:t>
              <w:br/>
              <w:t>+124.35%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500.00</w:t>
              <w:br/>
              <w:t>+436.71%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高：公司原财报及专项公告；少数减值桥待核</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728</w:t>
            </w:r>
            <w:r>
              <w:rPr>
                <w:rFonts w:ascii="微软雅黑" w:hAnsi="微软雅黑" w:eastAsia="微软雅黑"/>
                <w:sz w:val="17"/>
              </w:rPr>
              <w:t>日双源交叉，统一复权和股单位</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中低：利润率、倍数、完全转股为情景</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I015</w:t>
      </w:r>
      <w:r>
        <w:rPr/>
        <w:t xml:space="preserve">；证券 </w:t>
      </w:r>
      <w:r>
        <w:rPr/>
        <w:t>S017</w:t>
      </w:r>
      <w:r>
        <w:rPr/>
        <w:t>，</w:t>
      </w:r>
      <w:r>
        <w:rPr/>
        <w:t>688131.SH</w:t>
      </w:r>
      <w:r>
        <w:rPr/>
        <w:t>。统一锚点为</w:t>
      </w:r>
      <w:r>
        <w:rPr/>
        <w:t>2026</w:t>
      </w:r>
      <w:r>
        <w:rPr/>
        <w:t>年</w:t>
      </w:r>
      <w:r>
        <w:rPr/>
        <w:t>10</w:t>
      </w:r>
      <w:r>
        <w:rPr/>
        <w:t>月</w:t>
      </w:r>
      <w:r>
        <w:rPr/>
        <w:t>9</w:t>
      </w:r>
      <w:r>
        <w:rPr/>
        <w:t>日收盘</w:t>
      </w:r>
      <w:r>
        <w:rPr/>
        <w:t>93.16</w:t>
      </w:r>
      <w:r>
        <w:rPr/>
        <w:t>元人民币，资料截止该日。独立初版，事实、模型假设、未核事项分别标识。股数专项公告刊载日期为</w:t>
      </w:r>
      <w:r>
        <w:rPr/>
        <w:t>10</w:t>
      </w:r>
      <w:r>
        <w:rPr/>
        <w:t>月</w:t>
      </w:r>
      <w:r>
        <w:rPr/>
        <w:t>9</w:t>
      </w:r>
      <w:r>
        <w:rPr/>
        <w:t>日，具体首次公开时刻未核，保守列作可能盘后发布；它不用于解释当天成交或涨跌。正文与</w:t>
      </w:r>
      <w:r>
        <w:rPr/>
        <w:t>haoyuan_model.json</w:t>
      </w:r>
      <w:r>
        <w:rPr/>
        <w:t>同源，财务金额如无另注均为人民币百万元。</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乐观价格，元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基准累计税前分红，元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39.60 / 99.00 / 161.00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40.80 / 117.00 / 195.00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25.89%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45.00 / 171.60 / 377.00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84.20%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85.38%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46.80 / 209.00 / 500.00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124.35%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126.81%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39.90 / 89.90 / 133.20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-3.50%</w:t>
            </w:r>
          </w:p>
        </w:tc>
      </w:tr>
    </w:tbl>
    <w:p>
      <w:pPr>
        <w:pStyle w:val="Normal"/>
        <w:rPr/>
      </w:pPr>
      <w:r>
        <w:rPr/>
      </w:r>
    </w:p>
    <w:p>
      <w:pPr>
        <w:pStyle w:val="Normal"/>
        <w:rPr/>
      </w:pPr>
      <w:r>
        <w:rPr/>
        <w:t>三年、五年基准含分红年化分别</w:t>
      </w:r>
      <w:r>
        <w:rPr/>
        <w:t>22.84%</w:t>
      </w:r>
      <w:r>
        <w:rPr/>
        <w:t>、</w:t>
      </w:r>
      <w:r>
        <w:rPr/>
        <w:t>17.80%</w:t>
      </w:r>
      <w:r>
        <w:rPr/>
        <w:t>。年底</w:t>
      </w:r>
      <w:r>
        <w:rPr/>
        <w:t>25%/50%/25%</w:t>
      </w:r>
      <w:r>
        <w:rPr/>
        <w:t>情景加权价格</w:t>
      </w:r>
      <w:r>
        <w:rPr/>
        <w:t>88.225</w:t>
      </w:r>
      <w:r>
        <w:rPr/>
        <w:t>元，期望股价回报</w:t>
      </w:r>
      <w:r>
        <w:rPr/>
        <w:t>-5.30%</w:t>
      </w:r>
      <w:r>
        <w:rPr/>
        <w:t>；</w:t>
      </w:r>
      <w:r>
        <w:rPr/>
        <w:t>40%/50%/10%</w:t>
      </w:r>
      <w:r>
        <w:rPr/>
        <w:t>和</w:t>
      </w:r>
      <w:r>
        <w:rPr/>
        <w:t>10%/50%/40%</w:t>
      </w:r>
      <w:r>
        <w:rPr/>
        <w:t>权重分别得到</w:t>
      </w:r>
      <w:r>
        <w:rPr/>
        <w:t>74.23</w:t>
      </w:r>
      <w:r>
        <w:rPr/>
        <w:t>元、</w:t>
      </w:r>
      <w:r>
        <w:rPr/>
        <w:t>102.22</w:t>
      </w:r>
      <w:r>
        <w:rPr/>
        <w:t>元。范围不是统计置信区间、最低可能价格或最大损失界限。整体梯队由全名单总表按得分差距小于</w:t>
      </w:r>
      <w:r>
        <w:rPr/>
        <w:t>3</w:t>
      </w:r>
      <w:r>
        <w:rPr/>
        <w:t>分归组；本章相对判断为半年审慎观察、一年有条件推荐、三年及五年成长候选。得分不表示盈利概率。</w:t>
      </w:r>
    </w:p>
    <w:p>
      <w:pPr>
        <w:pStyle w:val="Heading2"/>
        <w:rPr/>
      </w:pPr>
      <w:r>
        <w:rPr>
          <w:color w:val="000000"/>
        </w:rPr>
        <w:t>投资结论</w:t>
      </w:r>
    </w:p>
    <w:p>
      <w:pPr>
        <w:pStyle w:val="Normal"/>
        <w:rPr/>
      </w:pPr>
      <w:r>
        <w:rPr/>
        <w:t>皓元医药值得进入进取型组合的中长期候选名单，推荐强度在三年比半年更高。核心依据是前端生命科学试剂已形成可见的产品目录、化学能力和海外销售网络，</w:t>
      </w:r>
      <w:r>
        <w:rPr/>
        <w:t>2026</w:t>
      </w:r>
      <w:r>
        <w:rPr/>
        <w:t>年上半年该业务收入增长</w:t>
      </w:r>
      <w:r>
        <w:rPr/>
        <w:t>34.03%</w:t>
      </w:r>
      <w:r>
        <w:rPr/>
        <w:t>，同时后端毛利率较</w:t>
      </w:r>
      <w:r>
        <w:rPr/>
        <w:t>2025</w:t>
      </w:r>
      <w:r>
        <w:rPr/>
        <w:t>年有所改善。但</w:t>
      </w:r>
      <w:r>
        <w:rPr/>
        <w:t>93.16</w:t>
      </w:r>
      <w:r>
        <w:rPr/>
        <w:t>元的股票价格要求持续兑现，</w:t>
      </w:r>
      <w:r>
        <w:rPr/>
        <w:t>2025</w:t>
      </w:r>
      <w:r>
        <w:rPr/>
        <w:t>年报告稀释每股收益只有</w:t>
      </w:r>
      <w:r>
        <w:rPr/>
        <w:t>1.13</w:t>
      </w:r>
      <w:r>
        <w:rPr/>
        <w:t>元，按这个历史口径计算市盈率约</w:t>
      </w:r>
      <w:r>
        <w:rPr/>
        <w:t>82.44</w:t>
      </w:r>
      <w:r>
        <w:rPr/>
        <w:t>倍。成长质量可以支持溢价，已经存在的高倍数却限制了半年基准空间，不能把行业景气回升直接翻译成股票便宜。</w:t>
      </w:r>
    </w:p>
    <w:p>
      <w:pPr>
        <w:pStyle w:val="Normal"/>
        <w:rPr/>
      </w:pPr>
      <w:r>
        <w:rPr/>
        <w:t>本章一年基准</w:t>
      </w:r>
      <w:r>
        <w:rPr/>
        <w:t>117</w:t>
      </w:r>
      <w:r>
        <w:rPr/>
        <w:t>元建立在未来十二个月归母盈利能力约</w:t>
      </w:r>
      <w:r>
        <w:rPr/>
        <w:t>525.86</w:t>
      </w:r>
      <w:r>
        <w:rPr/>
        <w:t>百万元、完全转股后股数约</w:t>
      </w:r>
      <w:r>
        <w:rPr/>
        <w:t>233.71</w:t>
      </w:r>
      <w:r>
        <w:rPr/>
        <w:t>百万股和</w:t>
      </w:r>
      <w:r>
        <w:rPr/>
        <w:t>52</w:t>
      </w:r>
      <w:r>
        <w:rPr/>
        <w:t>倍市盈率上。与</w:t>
      </w:r>
      <w:r>
        <w:rPr/>
        <w:t>2025</w:t>
      </w:r>
      <w:r>
        <w:rPr/>
        <w:t>年归母</w:t>
      </w:r>
      <w:r>
        <w:rPr/>
        <w:t>239.81</w:t>
      </w:r>
      <w:r>
        <w:rPr/>
        <w:t>百万元比较，这一利润要求并不温和，需要收入增长、后端毛利率、汇兑扰动和费用效率同时改善。上涨空间</w:t>
      </w:r>
      <w:r>
        <w:rPr/>
        <w:t>25.59%</w:t>
      </w:r>
      <w:r>
        <w:rPr/>
        <w:t>不是只要收入保持增长就能实现。若利润恢复慢于设定，或者市场只给四十倍估值，一年目标会显著下降。因此推荐必须同时附有盈利验证条件，不能单看前端增速。</w:t>
      </w:r>
    </w:p>
    <w:p>
      <w:pPr>
        <w:pStyle w:val="Normal"/>
        <w:rPr/>
      </w:pPr>
      <w:r>
        <w:rPr/>
        <w:t>短期最需要观察的负面组合是库存和应收扩大、员工持股平台减持、可转债潜在转股以及日线跌破二十日均线。上半年经营现金流</w:t>
      </w:r>
      <w:r>
        <w:rPr/>
        <w:t>77.06</w:t>
      </w:r>
      <w:r>
        <w:rPr/>
        <w:t>百万元虽然由负转正，但扣除购建长期资产现金</w:t>
      </w:r>
      <w:r>
        <w:rPr/>
        <w:t>84.14</w:t>
      </w:r>
      <w:r>
        <w:rPr/>
        <w:t>百万元后约负</w:t>
      </w:r>
      <w:r>
        <w:rPr/>
        <w:t>7.08</w:t>
      </w:r>
      <w:r>
        <w:rPr/>
        <w:t>百万元，利润尚未充分变成可分配现金。二十日上涨日总量与下跌日总量之比约</w:t>
      </w:r>
      <w:r>
        <w:rPr/>
        <w:t>0.973</w:t>
      </w:r>
      <w:r>
        <w:rPr/>
        <w:t>，不能据此声称资金持续吸筹。年底期望价格低于现价，反映模型对短期高估值和利润兑现风险的判断，不代表公司长期业务没有价值。</w:t>
      </w:r>
    </w:p>
    <w:p>
      <w:pPr>
        <w:pStyle w:val="Normal"/>
        <w:rPr/>
      </w:pPr>
      <w:r>
        <w:rPr/>
        <w:t>推荐成立条件是前端需求继续扩张而价格与交付质量保持、后端增长逐步超出低速状态、存货计提占比不持续上升、归母增长逐渐超过收入增长且现金回款改善。反证也相应清楚：如果未来多个报告期前端明显减速而管理销售费用不降，后端扩产继续亏损，或库存减值吞噬大部分增量毛利，应下调长期盈利与评分。任何未经验证的</w:t>
      </w:r>
      <w:r>
        <w:rPr/>
        <w:t>ADC</w:t>
      </w:r>
      <w:r>
        <w:rPr/>
        <w:t>大订单、</w:t>
      </w:r>
      <w:r>
        <w:rPr/>
        <w:t>FDA</w:t>
      </w:r>
      <w:r>
        <w:rPr/>
        <w:t>检查描述或人工智能合成效率，都不能单独推翻这些财务反证。</w:t>
      </w:r>
    </w:p>
    <w:p>
      <w:pPr>
        <w:pStyle w:val="Heading2"/>
        <w:rPr/>
      </w:pPr>
      <w:r>
        <w:rPr>
          <w:color w:val="000000"/>
        </w:rPr>
        <w:t>商业模式与前后端收入结构</w:t>
      </w:r>
    </w:p>
    <w:p>
      <w:pPr>
        <w:pStyle w:val="Normal"/>
        <w:rPr/>
      </w:pPr>
      <w:r>
        <w:rPr/>
        <w:t>皓元的业务需要分成两类理解。前端提供药物发现和生命科学研究所需工具化合物、生化试剂和分子砌块，订单粒度较小、品类多，重在目录覆盖、质量稳定和快速交付。后端提供原料药、中间体、制剂及创新药工艺研发与生产服务，单项目金额和阶段跨度更大，重在技术放大、质量合规、产线利用率及客户药物推进。两类业务都服务医药研发，但收入节奏、资产占用、毛利率与失败路径不同，用一个</w:t>
      </w:r>
      <w:r>
        <w:rPr/>
        <w:t>CXO</w:t>
      </w:r>
      <w:r>
        <w:rPr/>
        <w:t>平均倍数会隐藏这种差异。</w:t>
      </w:r>
    </w:p>
    <w:p>
      <w:pPr>
        <w:pStyle w:val="Normal"/>
        <w:rPr/>
      </w:pPr>
      <w:r>
        <w:rPr/>
        <w:t>2026</w:t>
      </w:r>
      <w:r>
        <w:rPr/>
        <w:t>年上半年前端收入约</w:t>
      </w:r>
      <w:r>
        <w:rPr/>
        <w:t>1211.91</w:t>
      </w:r>
      <w:r>
        <w:rPr/>
        <w:t>百万元，后端约</w:t>
      </w:r>
      <w:r>
        <w:rPr/>
        <w:t>425.12</w:t>
      </w:r>
      <w:r>
        <w:rPr/>
        <w:t>百万元，两者是公司主营分类，不能要求与合并营业收入</w:t>
      </w:r>
      <w:r>
        <w:rPr/>
        <w:t>1647.97</w:t>
      </w:r>
      <w:r>
        <w:rPr/>
        <w:t>百万元完全相等，差额还有其他业务和披露口径。前端约占主营收入七成以上，增长</w:t>
      </w:r>
      <w:r>
        <w:rPr/>
        <w:t>34.03%</w:t>
      </w:r>
      <w:r>
        <w:rPr/>
        <w:t>、毛利率约</w:t>
      </w:r>
      <w:r>
        <w:rPr/>
        <w:t>62%</w:t>
      </w:r>
      <w:r>
        <w:rPr/>
        <w:t>；后端增长</w:t>
      </w:r>
      <w:r>
        <w:rPr/>
        <w:t>6.45%</w:t>
      </w:r>
      <w:r>
        <w:rPr/>
        <w:t>、毛利率约</w:t>
      </w:r>
      <w:r>
        <w:rPr/>
        <w:t>19.5%</w:t>
      </w:r>
      <w:r>
        <w:rPr/>
        <w:t>。前端贡献更强的毛利基础，后端占收入四分之一左右却可能消耗更多组织和固定资产资源，整体利润率由两者混合决定，不能只展示较好的一端。</w:t>
      </w:r>
    </w:p>
    <w:p>
      <w:pPr>
        <w:pStyle w:val="Normal"/>
        <w:rPr/>
      </w:pPr>
      <w:r>
        <w:rPr/>
        <w:t>前端内部，工具化合物与生化试剂上半年收入约</w:t>
      </w:r>
      <w:r>
        <w:rPr/>
        <w:t>858.44</w:t>
      </w:r>
      <w:r>
        <w:rPr/>
        <w:t>百万元、增长</w:t>
      </w:r>
      <w:r>
        <w:rPr/>
        <w:t>32.8%</w:t>
      </w:r>
      <w:r>
        <w:rPr/>
        <w:t>，分子砌块约</w:t>
      </w:r>
      <w:r>
        <w:rPr/>
        <w:t>353.47</w:t>
      </w:r>
      <w:r>
        <w:rPr/>
        <w:t>百万元、增长</w:t>
      </w:r>
      <w:r>
        <w:rPr/>
        <w:t>37.1%</w:t>
      </w:r>
      <w:r>
        <w:rPr/>
        <w:t>。这两类相互联系，但需求并不完全同步。工具和生化试剂侧重研究实验的重复使用与验证，砌块更依赖药物化学设计和合成路线需求。若客户从探索项目转向少数已验证项目，工具购买数量和复杂砌块定制程度可能出现不同变化。研究时需要追踪分类订单和毛利，而不能把它们视作同一增长指标重复计分。</w:t>
      </w:r>
    </w:p>
    <w:p>
      <w:pPr>
        <w:pStyle w:val="Normal"/>
        <w:rPr/>
      </w:pPr>
      <w:r>
        <w:rPr/>
        <w:t>后端中，特色原料药、中间体与</w:t>
      </w:r>
      <w:r>
        <w:rPr/>
        <w:t>CMO</w:t>
      </w:r>
      <w:r>
        <w:rPr/>
        <w:t>约</w:t>
      </w:r>
      <w:r>
        <w:rPr/>
        <w:t>141.32</w:t>
      </w:r>
      <w:r>
        <w:rPr/>
        <w:t>百万元，创新药</w:t>
      </w:r>
      <w:r>
        <w:rPr/>
        <w:t>CRDMO</w:t>
      </w:r>
      <w:r>
        <w:rPr/>
        <w:t>约</w:t>
      </w:r>
      <w:r>
        <w:rPr/>
        <w:t>283.80</w:t>
      </w:r>
      <w:r>
        <w:rPr/>
        <w:t>百万元，后者增长</w:t>
      </w:r>
      <w:r>
        <w:rPr/>
        <w:t>15.5%</w:t>
      </w:r>
      <w:r>
        <w:rPr/>
        <w:t>。这些子分类能解释后端内部结构，却不能把子分类再加到</w:t>
      </w:r>
      <w:r>
        <w:rPr/>
        <w:t>425.12</w:t>
      </w:r>
      <w:r>
        <w:rPr/>
        <w:t>百万元之外。商业化原料业务可能提供稳定现金回款，但存在客户去库存与价格竞争；创新药服务可能增速较高，订单却受临床推进影响更大。后端整体增速较低提示机会仍处于转化阶段，不能因为创新项目增长就宣布整个生产业务已进入高利用率周期。</w:t>
      </w:r>
    </w:p>
    <w:p>
      <w:pPr>
        <w:pStyle w:val="Normal"/>
        <w:rPr/>
      </w:pPr>
      <w:r>
        <w:rPr/>
        <w:t>2025</w:t>
      </w:r>
      <w:r>
        <w:rPr/>
        <w:t>年前端收入</w:t>
      </w:r>
      <w:r>
        <w:rPr/>
        <w:t>1991.15</w:t>
      </w:r>
      <w:r>
        <w:rPr/>
        <w:t>百万元、增长</w:t>
      </w:r>
      <w:r>
        <w:rPr/>
        <w:t>32.83%</w:t>
      </w:r>
      <w:r>
        <w:rPr/>
        <w:t>、毛利率</w:t>
      </w:r>
      <w:r>
        <w:rPr/>
        <w:t>61.91%</w:t>
      </w:r>
      <w:r>
        <w:rPr/>
        <w:t>，后端</w:t>
      </w:r>
      <w:r>
        <w:rPr/>
        <w:t>872.24</w:t>
      </w:r>
      <w:r>
        <w:rPr/>
        <w:t>百万元、增长</w:t>
      </w:r>
      <w:r>
        <w:rPr/>
        <w:t>15.59%</w:t>
      </w:r>
      <w:r>
        <w:rPr/>
        <w:t>、毛利率</w:t>
      </w:r>
      <w:r>
        <w:rPr/>
        <w:t>13.63%</w:t>
      </w:r>
      <w:r>
        <w:rPr/>
        <w:t>。上半年前端毛利率大致稳定，后端改善约六个百分点，方向值得肯定。后端的低基数意味着少量较高毛利项目交付可能大幅影响百分比，但同时更容易受到订单组合扰动。没有分期利用率和产品毛利桥时，不能将毛利率上行全部归因于规模效应，也不能设定产线已经达到某个未经披露的百分比。</w:t>
      </w:r>
    </w:p>
    <w:p>
      <w:pPr>
        <w:pStyle w:val="Normal"/>
        <w:rPr/>
      </w:pPr>
      <w:r>
        <w:rPr/>
        <w:t>公司目录和渠道的价值在于实验人员能用较少采购摩擦找到足够多的分子与试剂，缩短研发流程中的等待。目录广度提高一次性匹配机会，稳定纯度与结构确证则决定是否重复采购。若客户因实验失败更换供应商，几万种产品并不能自动构成护城河。长期模型更看重验证记录、复购、交付和成本控制之间的闭环，但这些部分缺乏完整客户留存公开数据，因此商业质量得分是有条件判断，不能将目录规模当作绝对忠诚度。</w:t>
      </w:r>
    </w:p>
    <w:p>
      <w:pPr>
        <w:pStyle w:val="Heading2"/>
        <w:rPr/>
      </w:pPr>
      <w:r>
        <w:rPr>
          <w:color w:val="000000"/>
        </w:rPr>
        <w:t>前端试剂的竞争优势与局限</w:t>
      </w:r>
    </w:p>
    <w:p>
      <w:pPr>
        <w:pStyle w:val="Normal"/>
        <w:rPr/>
      </w:pPr>
      <w:r>
        <w:rPr/>
        <w:t>中报披露已储备约</w:t>
      </w:r>
      <w:r>
        <w:rPr/>
        <w:t>18.2</w:t>
      </w:r>
      <w:r>
        <w:rPr/>
        <w:t>万种生命科学试剂，其中工具化合物和生化试剂约</w:t>
      </w:r>
      <w:r>
        <w:rPr/>
        <w:t>6.9</w:t>
      </w:r>
      <w:r>
        <w:rPr/>
        <w:t>万种、分子砌块约</w:t>
      </w:r>
      <w:r>
        <w:rPr/>
        <w:t>11.3</w:t>
      </w:r>
      <w:r>
        <w:rPr/>
        <w:t>万种，生化试剂超过</w:t>
      </w:r>
      <w:r>
        <w:rPr/>
        <w:t>2.8</w:t>
      </w:r>
      <w:r>
        <w:rPr/>
        <w:t>万种。这些均为公司统计口径，目录内不同盐型、纯度、包装和新增分子可能影响数量，不能与竞争者未经统一定义的产品总数直接比较。产品储备越广，库存管理、质量检测和需求预测难度越高，营业机会与资产风险一起增加，财务报表中的存货计提正是广目录模式必须支付的代价之一。</w:t>
      </w:r>
    </w:p>
    <w:p>
      <w:pPr>
        <w:pStyle w:val="Normal"/>
        <w:rPr/>
      </w:pPr>
      <w:r>
        <w:rPr/>
        <w:t>公司披露上半年订单超过</w:t>
      </w:r>
      <w:r>
        <w:rPr/>
        <w:t>88</w:t>
      </w:r>
      <w:r>
        <w:rPr/>
        <w:t>万笔，可以支持业务由大量小订单组成的判断，但它不等于</w:t>
      </w:r>
      <w:r>
        <w:rPr/>
        <w:t>88</w:t>
      </w:r>
      <w:r>
        <w:rPr/>
        <w:t>万个独立客户，也不证明平均价格提升。订单数增加可能来自新客户、更多重复实验、更小包装或订单拆分，需要客单价和客户数才能区分。若收入增长主要由订单量带动，物流、售后和分拣能力会成为效率瓶颈；若主要来自高附加值产品，毛利率和研发成本则更重要。本章未填造订单客单价，而以收入、毛利与费用作为可核验结果指标。</w:t>
      </w:r>
    </w:p>
    <w:p>
      <w:pPr>
        <w:pStyle w:val="Normal"/>
        <w:rPr/>
      </w:pPr>
      <w:r>
        <w:rPr/>
        <w:t>前端高毛利率容易被误解为低资本要求。小包装实验产品的账面毛利可以很高，但产品开发、文献资料整理、合成失败、检验、仓储及销售渠道耗费并不全部计入单件营业成本。上半年研发费用</w:t>
      </w:r>
      <w:r>
        <w:rPr/>
        <w:t>133.73</w:t>
      </w:r>
      <w:r>
        <w:rPr/>
        <w:t>百万元、销售</w:t>
      </w:r>
      <w:r>
        <w:rPr/>
        <w:t>169.88</w:t>
      </w:r>
      <w:r>
        <w:rPr/>
        <w:t>百万元、管理</w:t>
      </w:r>
      <w:r>
        <w:rPr/>
        <w:t>191.09</w:t>
      </w:r>
      <w:r>
        <w:rPr/>
        <w:t>百万元，合计规模大。因此评价平台竞争力，应当看毛利扣除这些持续投入后的经营回报，不能直接将</w:t>
      </w:r>
      <w:r>
        <w:rPr/>
        <w:t>62%</w:t>
      </w:r>
      <w:r>
        <w:rPr/>
        <w:t>毛利率乘收入作为股东利润。长期定价溢价最终需要稳定净利与现金流证明。</w:t>
      </w:r>
    </w:p>
    <w:p>
      <w:pPr>
        <w:pStyle w:val="Normal"/>
        <w:rPr/>
      </w:pPr>
      <w:r>
        <w:rPr/>
        <w:t>快速交付是科研试剂的真实价值来源。实验人员通常面临人员、仪器和项目时间约束，如果一项关键分子能按时到达，价格差额可能小于实验停顿成本。海外仓储与本地渠道因此可能降低客户等待并增加复购。不过区域库存重复也会扩大资金占用，当需求突然变化时，库存不能总在地区间无成本调配。皓元海外布局的优势和存货风险具有共同原因，不能在商业章节肯定库存广度而在财务章节把相关减值全部当作偶发事项加回。</w:t>
      </w:r>
    </w:p>
    <w:p>
      <w:pPr>
        <w:pStyle w:val="Normal"/>
        <w:rPr/>
      </w:pPr>
      <w:r>
        <w:rPr/>
        <w:t>品牌</w:t>
      </w:r>
      <w:r>
        <w:rPr/>
        <w:t>MCE</w:t>
      </w:r>
      <w:r>
        <w:rPr/>
        <w:t>等渠道的积累可以提高被研究人员发现和引用的机会。公司披露相关引用文献超过八万三千篇，这支持其进入部分实验流程，但文献引用不是市场份额或未来采购合同。不同论文的使用金额、发表时间和后续项目价值差异很大。文献数据库若准确、可复现并便于客户选择，会增强营销效率；如果仅扩大页面数量而质量不稳定，则难以维持信任。本章把引用当作业务证据的辅项，没有按引用篇数单独赋予估值。</w:t>
      </w:r>
    </w:p>
    <w:p>
      <w:pPr>
        <w:pStyle w:val="Normal"/>
        <w:rPr/>
      </w:pPr>
      <w:r>
        <w:rPr/>
        <w:t>竞争既来自国际成熟试剂平台，也来自国内同类供应商和客户自建采购渠道。皓元在中国研发供应链、化学合成和相对成本上可能有优势，国际企业则在验证体系、长期渠道和多地区服务方面有积累。客户选择并非只比较单价，还要比较实验结果可靠性、批次一致性和供应可持续性。未来价格竞争可能先体现在通用分子，差异化能力更可能保留在复杂分子、特殊生化试剂及定制服务。没有可核验统一份额数据，本章不声称公司已是所有产品领域的市场第一。</w:t>
      </w:r>
    </w:p>
    <w:p>
      <w:pPr>
        <w:pStyle w:val="Heading2"/>
        <w:rPr/>
      </w:pPr>
      <w:r>
        <w:rPr>
          <w:color w:val="000000"/>
        </w:rPr>
        <w:t>后端工艺 产能与</w:t>
      </w:r>
      <w:r>
        <w:rPr>
          <w:color w:val="000000"/>
        </w:rPr>
        <w:t>ADC</w:t>
      </w:r>
      <w:r>
        <w:rPr>
          <w:color w:val="000000"/>
        </w:rPr>
        <w:t>机会</w:t>
      </w:r>
    </w:p>
    <w:p>
      <w:pPr>
        <w:pStyle w:val="Normal"/>
        <w:rPr/>
      </w:pPr>
      <w:r>
        <w:rPr/>
        <w:t>后端订单是当前成长故事中最具弹性、同时最容易被过度外推的部分。中报披露后端在手订单超过</w:t>
      </w:r>
      <w:r>
        <w:rPr/>
        <w:t>1000</w:t>
      </w:r>
      <w:r>
        <w:rPr/>
        <w:t>百万元、增长</w:t>
      </w:r>
      <w:r>
        <w:rPr/>
        <w:t>72.6%</w:t>
      </w:r>
      <w:r>
        <w:rPr/>
        <w:t>，其中小分子超过</w:t>
      </w:r>
      <w:r>
        <w:rPr/>
        <w:t>870</w:t>
      </w:r>
      <w:r>
        <w:rPr/>
        <w:t>百万元、增长</w:t>
      </w:r>
      <w:r>
        <w:rPr/>
        <w:t>47.3%</w:t>
      </w:r>
      <w:r>
        <w:rPr/>
        <w:t>，</w:t>
      </w:r>
      <w:r>
        <w:rPr/>
        <w:t>ADC</w:t>
      </w:r>
      <w:r>
        <w:rPr/>
        <w:t>及大分子超过</w:t>
      </w:r>
      <w:r>
        <w:rPr/>
        <w:t>150</w:t>
      </w:r>
      <w:r>
        <w:rPr/>
        <w:t>百万元。金额用“大于”描述，子分类范围和交叉关系需遵循公司定义，不能精确相加倒推不存在的订单总额。订单通常跨阶段交付，也可能变更或取消；在手余额不是未来一年确认收入，更不是同额利润或现金。</w:t>
      </w:r>
    </w:p>
    <w:p>
      <w:pPr>
        <w:pStyle w:val="Normal"/>
        <w:rPr/>
      </w:pPr>
      <w:r>
        <w:rPr/>
        <w:t>特色原料与</w:t>
      </w:r>
      <w:r>
        <w:rPr/>
        <w:t>CMO</w:t>
      </w:r>
      <w:r>
        <w:rPr/>
        <w:t>累计项目超过</w:t>
      </w:r>
      <w:r>
        <w:rPr/>
        <w:t>440</w:t>
      </w:r>
      <w:r>
        <w:rPr/>
        <w:t>项，商业化约</w:t>
      </w:r>
      <w:r>
        <w:rPr/>
        <w:t>84</w:t>
      </w:r>
      <w:r>
        <w:rPr/>
        <w:t>项；创新</w:t>
      </w:r>
      <w:r>
        <w:rPr/>
        <w:t>CRDMO</w:t>
      </w:r>
      <w:r>
        <w:rPr/>
        <w:t>累计项目超过</w:t>
      </w:r>
      <w:r>
        <w:rPr/>
        <w:t>1100</w:t>
      </w:r>
      <w:r>
        <w:rPr/>
        <w:t>项，后期及商业化约</w:t>
      </w:r>
      <w:r>
        <w:rPr/>
        <w:t>160</w:t>
      </w:r>
      <w:r>
        <w:rPr/>
        <w:t>项。这些公司统计显示项目漏斗已形成，但累计项目包括历史任务，不等于当前活跃或高收入项目。商业阶段占比有助于识别需求稳定性，却仍需要项目集中度和单项目利润率。本章没有将</w:t>
      </w:r>
      <w:r>
        <w:rPr/>
        <w:t>160</w:t>
      </w:r>
      <w:r>
        <w:rPr/>
        <w:t>项直接乘假设平均收入生成估值，因为小项目与大项目差距、项目存续率和签约阶段均缺乏统一可核资料。</w:t>
      </w:r>
    </w:p>
    <w:p>
      <w:pPr>
        <w:pStyle w:val="Normal"/>
        <w:rPr/>
      </w:pPr>
      <w:r>
        <w:rPr/>
        <w:t>ADC</w:t>
      </w:r>
      <w:r>
        <w:rPr/>
        <w:t>服务可能涉及抗体、连接子与载荷、偶联、分析、制剂及灌装，不同环节有不同质量与工艺难度。皓元披露已有五条高活性产线、十六项</w:t>
      </w:r>
      <w:r>
        <w:rPr/>
        <w:t>Payload-Linker</w:t>
      </w:r>
      <w:r>
        <w:rPr/>
        <w:t>相关</w:t>
      </w:r>
      <w:r>
        <w:rPr/>
        <w:t>sec-DMF</w:t>
      </w:r>
      <w:r>
        <w:rPr/>
        <w:t>备案并参与六项</w:t>
      </w:r>
      <w:r>
        <w:rPr/>
        <w:t>BLA</w:t>
      </w:r>
      <w:r>
        <w:rPr/>
        <w:t>申报，体现一定技术和合规经验。不过</w:t>
      </w:r>
      <w:r>
        <w:rPr/>
        <w:t>DMF</w:t>
      </w:r>
      <w:r>
        <w:rPr/>
        <w:t>备案本身不是药品获批，参与客户申报也不意味着获得长期商业订单。客户药物能否获批、上市剂量、工艺变更和供应商分配共同决定实际生产需求，不能按备案数量给予成功概率为百分之百的现金流。</w:t>
      </w:r>
    </w:p>
    <w:p>
      <w:pPr>
        <w:pStyle w:val="Normal"/>
        <w:rPr/>
      </w:pPr>
      <w:r>
        <w:rPr/>
        <w:t>公司披露承接</w:t>
      </w:r>
      <w:r>
        <w:rPr/>
        <w:t>ADC</w:t>
      </w:r>
      <w:r>
        <w:rPr/>
        <w:t>项目超过一百项及相关合作客户超过一千五百家，需要审慎区分范围。广义客户可能包含购买试剂或特定原料的机构，并不都属于大型</w:t>
      </w:r>
      <w:r>
        <w:rPr/>
        <w:t>ADC</w:t>
      </w:r>
      <w:r>
        <w:rPr/>
        <w:t>合同制造客户。临床资产和服务项目也存在一项药物对应多个阶段或多个服务合同的情况。投资判断可以认可需求扩展趋势，但必须以独立的收入和交付数据确认。将所有客户都视作同等规模</w:t>
      </w:r>
      <w:r>
        <w:rPr/>
        <w:t>CDMO</w:t>
      </w:r>
      <w:r>
        <w:rPr/>
        <w:t>客户，会把潜在市场夸大并造成远期利润模型失真。</w:t>
      </w:r>
    </w:p>
    <w:p>
      <w:pPr>
        <w:pStyle w:val="Normal"/>
        <w:rPr/>
      </w:pPr>
      <w:r>
        <w:rPr/>
        <w:t>马鞍山、启东、重庆等基地投入运行，菏泽仍在建设，增加的是可服务工艺和未来产能，而非即时利润。新基地爬坡通常先出现员工、折旧和验证成本，然后订单才逐步填充。中报仅描述正常爬坡，未披露统一可比较利用率，因此本章不编造六成或八成开工率。长期模型假定利用率和产品组合逐步改善，属于经营条件；如果基地投入越来越多但后端毛利和现金流没有相应提升，就必须下调资本回报而不是延长兑现期限。</w:t>
      </w:r>
    </w:p>
    <w:p>
      <w:pPr>
        <w:pStyle w:val="Normal"/>
        <w:rPr/>
      </w:pPr>
      <w:r>
        <w:rPr/>
        <w:t>八月重庆基地扩展抗体、</w:t>
      </w:r>
      <w:r>
        <w:rPr/>
        <w:t>ADC</w:t>
      </w:r>
      <w:r>
        <w:rPr/>
        <w:t>和灌装能力，启东药源工厂</w:t>
      </w:r>
      <w:r>
        <w:rPr/>
        <w:t>FDA</w:t>
      </w:r>
      <w:r>
        <w:rPr/>
        <w:t>零缺陷检查描述来自公司中报。前者是能力范围扩大，后者是公司披露的监管检查结果；本章尚未取得监管检查原件，保留证据等级差异。即使原始检查结果最终确认，也只能证明特定时点、范围内的检查情况，不能保证以后所有客户申报通过或永远没有缺陷。估值需要看到订单转化和持续合规，不能仅凭零缺陷表述给全部后端业务套高倍数。</w:t>
      </w:r>
    </w:p>
    <w:p>
      <w:pPr>
        <w:pStyle w:val="Normal"/>
        <w:rPr/>
      </w:pPr>
      <w:r>
        <w:rPr/>
        <w:t>后端最理想的路径是先用研发和小批次工艺获得客户信任，再在临床后期和商业化中扩大批量，前端试剂则提供客户接触机会。这个协同有逻辑，但并非客户买了试剂就自然把生产订单交给同一集团。生产客户会独立审计质量、供应链与保密制度，有时为降低集中度主动分散供应商。跟踪协同应看前端客户转后端的真实收入、获客成本和项目利润，而不能把两类收入交叉重复归因于同一网络效应。</w:t>
      </w:r>
    </w:p>
    <w:p>
      <w:pPr>
        <w:pStyle w:val="Heading2"/>
        <w:rPr/>
      </w:pPr>
      <w:r>
        <w:rPr>
          <w:color w:val="000000"/>
        </w:rPr>
        <w:t>人工智能 研发与临床风险的正确边界</w:t>
      </w:r>
    </w:p>
    <w:p>
      <w:pPr>
        <w:pStyle w:val="Normal"/>
        <w:rPr/>
      </w:pPr>
      <w:r>
        <w:rPr/>
        <w:t>公司介绍</w:t>
      </w:r>
      <w:r>
        <w:rPr/>
        <w:t>MegaUni</w:t>
      </w:r>
      <w:r>
        <w:rPr/>
        <w:t>等人工智能辅助合成应用，披露平均合成周期约二至三周、成功率超过</w:t>
      </w:r>
      <w:r>
        <w:rPr/>
        <w:t>85%</w:t>
      </w:r>
      <w:r>
        <w:rPr/>
        <w:t>，这属于具体应用场景和公司口径。它描述的是合成工作完成，不是新药临床成功或监管获批概率。人工智能提高路线设计、分子选择和流程效率的可能价值，应该通过交付速度、材料消耗和研发产出来验证。若这些节约已经进入费用和毛利，估值中再加入单独的巨大软件价值会重复计算。本章没有对该平台使用独立软件销售倍数。</w:t>
      </w:r>
    </w:p>
    <w:p>
      <w:pPr>
        <w:pStyle w:val="Normal"/>
        <w:rPr/>
      </w:pPr>
      <w:r>
        <w:rPr/>
        <w:t>对皓元而言，人工智能的竞争意义也有两面。提高复杂分子合成效率可能扩大可销售目录，并使相同研发队伍处理更多任务；行业普遍采用相似技术后，客户也可能要求更低价格或更短交付时间，部分效率收益会被竞争传递出去。长期护城河更可能来自真实实验反馈、合成数据质量和与生产验证结合的能力。公开资料尚不能核算算法独占性与新增付费收入，因此本章仅在商业效率条件中讨论其作用。</w:t>
      </w:r>
    </w:p>
    <w:p>
      <w:pPr>
        <w:pStyle w:val="Normal"/>
        <w:rPr/>
      </w:pPr>
      <w:r>
        <w:rPr/>
        <w:t>2026</w:t>
      </w:r>
      <w:r>
        <w:rPr/>
        <w:t>年上半年研发投入</w:t>
      </w:r>
      <w:r>
        <w:rPr/>
        <w:t>133.73</w:t>
      </w:r>
      <w:r>
        <w:rPr/>
        <w:t>百万元，同比增长</w:t>
      </w:r>
      <w:r>
        <w:rPr/>
        <w:t>14.40%</w:t>
      </w:r>
      <w:r>
        <w:rPr/>
        <w:t>，占收入</w:t>
      </w:r>
      <w:r>
        <w:rPr/>
        <w:t>8.11%</w:t>
      </w:r>
      <w:r>
        <w:rPr/>
        <w:t>，表中未列资本化投入，财务研发费用与投入一致。研发人员</w:t>
      </w:r>
      <w:r>
        <w:rPr/>
        <w:t>563</w:t>
      </w:r>
      <w:r>
        <w:rPr/>
        <w:t>人，高于上年同期</w:t>
      </w:r>
      <w:r>
        <w:rPr/>
        <w:t>459</w:t>
      </w:r>
      <w:r>
        <w:rPr/>
        <w:t>人；博士</w:t>
      </w:r>
      <w:r>
        <w:rPr/>
        <w:t>25</w:t>
      </w:r>
      <w:r>
        <w:rPr/>
        <w:t>、硕士</w:t>
      </w:r>
      <w:r>
        <w:rPr/>
        <w:t>216</w:t>
      </w:r>
      <w:r>
        <w:rPr/>
        <w:t>，公司披露的研发人员结构有助于理解投入方向。研发占收入比例下降不等于削减投入，收入增长更快即可造成比例下降；但如果新技术和产品越来越复杂，未来研发投入可能重新加速。本章利润假设保持持续投入，未将全部研发加回以制造低市盈率。</w:t>
      </w:r>
    </w:p>
    <w:p>
      <w:pPr>
        <w:pStyle w:val="Normal"/>
        <w:rPr/>
      </w:pPr>
      <w:r>
        <w:rPr/>
        <w:t>药物客户临床失败会影响皓元后端项目，但皓元不是直接拥有全部客户药物收益的创新药企业。无需给所有试剂收入逐项套临床阶段成功率，也不能把客户全球药物销售额全部纳入皓元现金流。试剂可以在探索阶段就被购买，后端合同则随阶段推进确认服务收入。真正需要风险调整的是特定生产订单延续、容量使用和收款，而非假定公司取得客户药品权益。本章缺乏合同逐项信息，因此用阶段分散、收入组合与盈利敏感性表达风险。</w:t>
      </w:r>
    </w:p>
    <w:p>
      <w:pPr>
        <w:pStyle w:val="Normal"/>
        <w:rPr/>
      </w:pPr>
      <w:r>
        <w:rPr/>
        <w:t>客户项目分散可以降低单一失败冲击，但不能彻底分散共同因素。行业融资紧缩时，多家小型生物科技企业同时削减研发项目；医保和定价政策使同一疾病领域的商业预测下降，也可能同时影响多个客户。</w:t>
      </w:r>
      <w:r>
        <w:rPr/>
        <w:t>ADC</w:t>
      </w:r>
      <w:r>
        <w:rPr/>
        <w:t>项目数量多并不意味着药物机制、融资来源和适应症完全独立。如果研发主题过于集中，项目风险会相关。本章乐观情景要求客户需求和公司交付一起改善，而不是把大量项目当作自动降低风险的充分证据。</w:t>
      </w:r>
    </w:p>
    <w:p>
      <w:pPr>
        <w:pStyle w:val="Heading2"/>
        <w:rPr/>
      </w:pPr>
      <w:r>
        <w:rPr>
          <w:color w:val="000000"/>
        </w:rPr>
        <w:t>行业周期与经济传导</w:t>
      </w:r>
    </w:p>
    <w:p>
      <w:pPr>
        <w:pStyle w:val="Normal"/>
        <w:rPr/>
      </w:pPr>
      <w:r>
        <w:rPr/>
        <w:t>科研试剂与工艺服务的需求源头是研发预算和项目活动。大型药企可以用产品现金流支持研发，中小生物科技企业更依赖股权、授权交易和融资市场，高校及公共科研机构则依赖预算执行。利率下降可能提高融资可得性、减少远期资产折现压力，但并不立刻带来同样比例的采购增长；资金获得后通常还需立项、招聘和实验安排。半年判断更看已签订单与当期回款，三年判断才更适合观察融资改善逐步进入研发需求的传导。</w:t>
      </w:r>
    </w:p>
    <w:p>
      <w:pPr>
        <w:pStyle w:val="Normal"/>
        <w:rPr/>
      </w:pPr>
      <w:r>
        <w:rPr/>
        <w:t>中国创新药对外授权活跃可以扩大研发项目的资金来源，并提升相关工艺服务机会，但客户取得授权首付款不等于立即向皓元支付订单。合作伙伴可能重新选择供应商或调整临床路径，技术转移也可能产生新的审计和工艺要求。对试剂业务来说，项目重启与实验量更直接；对商业生产来说，是否保留供应关系更加重要。因此行业授权交易金额可以是背景，却不能按固定比例换算皓元订单，更不能将所有授权价值乘倍数变成公司目标价。</w:t>
      </w:r>
    </w:p>
    <w:p>
      <w:pPr>
        <w:pStyle w:val="Normal"/>
        <w:rPr/>
      </w:pPr>
      <w:r>
        <w:rPr/>
        <w:t>海外研发需求对皓元既是空间也是风险。</w:t>
      </w:r>
      <w:r>
        <w:rPr/>
        <w:t>2026</w:t>
      </w:r>
      <w:r>
        <w:rPr/>
        <w:t>年上半年境外主营收入占比</w:t>
      </w:r>
      <w:r>
        <w:rPr/>
        <w:t>42.24%</w:t>
      </w:r>
      <w:r>
        <w:rPr/>
        <w:t>，公司披露海外收入约</w:t>
      </w:r>
      <w:r>
        <w:rPr/>
        <w:t>691.40</w:t>
      </w:r>
      <w:r>
        <w:rPr/>
        <w:t>百万元、同比增长</w:t>
      </w:r>
      <w:r>
        <w:rPr/>
        <w:t>23.24%</w:t>
      </w:r>
      <w:r>
        <w:rPr/>
        <w:t>。这一比例说明海外不是边缘业务，汇率、交付政策与区域渠道变化可以实质影响财务。地域收入按销售或客户所在地口径，不一定等于产品生产地和终端研发所在地。没有逐市场完整数据，本章没有把境外统一视作美国，也不把单一政策对所有境外收入作等额冲击。</w:t>
      </w:r>
    </w:p>
    <w:p>
      <w:pPr>
        <w:pStyle w:val="Normal"/>
        <w:rPr/>
      </w:pPr>
      <w:r>
        <w:rPr/>
        <w:t>贸易限制可能通过运输成本、客户审查、供应商替换和数据保密影响订单。不同化学试剂、原料和生产服务的关税分类及监管要求不同，不能假设所有产品同税率、同禁令。若美国客户因政策降低单一供应商集中度，订单可能在地区之间重分配；欧洲和亚洲渠道也不能保证完全抵消。由于未完成每项法条和商品分类核验，本章只把这些路径纳入悲观条件，没有宣称公司受某项最新法律完全豁免或一定被排除。</w:t>
      </w:r>
    </w:p>
    <w:p>
      <w:pPr>
        <w:pStyle w:val="Normal"/>
        <w:rPr/>
      </w:pPr>
      <w:r>
        <w:rPr/>
        <w:t>医保政策对皓元的作用主要经客户研发和商业化回报间接发生。创新药支付改善可能提高客户推进项目意愿，集采和谈判降价则可能压缩部分原料或制剂项目利润。但研究试剂不是直接医保收费产品，不能按药价降幅直接压缩其全公司收入。同一政策可能让某些仿制项目减少、某些创新项目增加，重要的是客户项目结构变化。本章对后端特色原料业务保留价格压力，对前端保留研发活动扩张空间，分别进入场景假设。</w:t>
      </w:r>
    </w:p>
    <w:p>
      <w:pPr>
        <w:pStyle w:val="Normal"/>
        <w:rPr/>
      </w:pPr>
      <w:r>
        <w:rPr/>
        <w:t>人民币升值可以减少进口采购成本，但公司有较大外币现金和应收资产，可能产生汇兑损失并压低海外收入折算值。</w:t>
      </w:r>
      <w:r>
        <w:rPr/>
        <w:t>2026</w:t>
      </w:r>
      <w:r>
        <w:rPr/>
        <w:t>年上半年财务费用显著增加，说明汇率已是实际影响因素，不只是风险列表中的抽象因素。海外本币费用与调价机制有一定自然对冲，但对冲程度取决于收支币种、发生时点和合同。不能假设境外收入四成就有四成利润敞口，也不能用某个汇率变化简单乘全部收入计算汇兑损失。</w:t>
      </w:r>
    </w:p>
    <w:p>
      <w:pPr>
        <w:pStyle w:val="Normal"/>
        <w:rPr/>
      </w:pPr>
      <w:r>
        <w:rPr/>
        <w:t>消费经济对皓元的传导较间接。普通居民消费恢复可能帮助总体经济和融资环境，却不会像互联网广告或旅游那样迅速映射到科研试剂订单。医院诊療需求和医药销售改善可能支持客户现金流，但研发周期长于消费周期。进取型组合若希望半年受益于消费刺激，应比较其他行业的传导速度；皓元更适合由研发需求和公司份额提升解释，不能把所有宏观利好笼统计入催化剂评分。</w:t>
      </w:r>
    </w:p>
    <w:p>
      <w:pPr>
        <w:pStyle w:val="Normal"/>
        <w:rPr/>
      </w:pPr>
      <w:r>
        <w:rPr/>
        <w:t>行业周期还包括客户去库存和供应商扩产。前端小包装多品类不完全符合传统原料周期，但实验预算紧缩同样会减少重复采购，库存可能先累积后计提。后端扩产具有更典型的固定成本和利用率约束，同行同时增加能力会压低报价。公司收入增长可以来自抢份额而不是行业总需求快速扩张，后者若更弱，价格可能继续竞争。远期盈利设定要求公司在扩张中保持定价和成本纪律，不以行业规模变大替代公司实际回报。</w:t>
      </w:r>
    </w:p>
    <w:p>
      <w:pPr>
        <w:pStyle w:val="Heading2"/>
        <w:rPr/>
      </w:pPr>
      <w:r>
        <w:rPr>
          <w:color w:val="000000"/>
        </w:rPr>
        <w:t>历史增长与利润质量</w:t>
      </w:r>
    </w:p>
    <w:p>
      <w:pPr>
        <w:pStyle w:val="Normal"/>
        <w:rPr/>
      </w:pPr>
      <w:r>
        <w:rPr/>
        <w:t>2023</w:t>
      </w:r>
      <w:r>
        <w:rPr/>
        <w:t>、</w:t>
      </w:r>
      <w:r>
        <w:rPr/>
        <w:t>2024</w:t>
      </w:r>
      <w:r>
        <w:rPr/>
        <w:t>、</w:t>
      </w:r>
      <w:r>
        <w:rPr/>
        <w:t>2025</w:t>
      </w:r>
      <w:r>
        <w:rPr/>
        <w:t>年收入分别</w:t>
      </w:r>
      <w:r>
        <w:rPr/>
        <w:t>1880.05</w:t>
      </w:r>
      <w:r>
        <w:rPr/>
        <w:t>、</w:t>
      </w:r>
      <w:r>
        <w:rPr/>
        <w:t>2270.18</w:t>
      </w:r>
      <w:r>
        <w:rPr/>
        <w:t>、</w:t>
      </w:r>
      <w:r>
        <w:rPr/>
        <w:t>2876.90</w:t>
      </w:r>
      <w:r>
        <w:rPr/>
        <w:t>百万元，归母分别</w:t>
      </w:r>
      <w:r>
        <w:rPr/>
        <w:t>127.45</w:t>
      </w:r>
      <w:r>
        <w:rPr/>
        <w:t>、</w:t>
      </w:r>
      <w:r>
        <w:rPr/>
        <w:t>201.59</w:t>
      </w:r>
      <w:r>
        <w:rPr/>
        <w:t>、</w:t>
      </w:r>
      <w:r>
        <w:rPr/>
        <w:t>239.81</w:t>
      </w:r>
      <w:r>
        <w:rPr/>
        <w:t>百万元。三年呈现较快收入增长，但利润增长并非每年同步：</w:t>
      </w:r>
      <w:r>
        <w:rPr/>
        <w:t>2024</w:t>
      </w:r>
      <w:r>
        <w:rPr/>
        <w:t>年利润改善较强，</w:t>
      </w:r>
      <w:r>
        <w:rPr/>
        <w:t>2025</w:t>
      </w:r>
      <w:r>
        <w:rPr/>
        <w:t>年收入继续扩张而归母增幅较弱。按归母除收入，净利率约</w:t>
      </w:r>
      <w:r>
        <w:rPr/>
        <w:t>6.78%</w:t>
      </w:r>
      <w:r>
        <w:rPr/>
        <w:t>、</w:t>
      </w:r>
      <w:r>
        <w:rPr/>
        <w:t>8.88%</w:t>
      </w:r>
      <w:r>
        <w:rPr/>
        <w:t>、</w:t>
      </w:r>
      <w:r>
        <w:rPr/>
        <w:t>8.34%</w:t>
      </w:r>
      <w:r>
        <w:rPr/>
        <w:t>。这表明业务规模已经恢复增长，成本、产能与损失项目仍限制盈利，不能用最新半年度增长率覆盖历史波动。</w:t>
      </w:r>
    </w:p>
    <w:p>
      <w:pPr>
        <w:pStyle w:val="Normal"/>
        <w:rPr/>
      </w:pPr>
      <w:r>
        <w:rPr/>
        <w:t>扣非利润</w:t>
      </w:r>
      <w:r>
        <w:rPr/>
        <w:t>2023</w:t>
      </w:r>
      <w:r>
        <w:rPr/>
        <w:t>年</w:t>
      </w:r>
      <w:r>
        <w:rPr/>
        <w:t>110.13</w:t>
      </w:r>
      <w:r>
        <w:rPr/>
        <w:t>、</w:t>
      </w:r>
      <w:r>
        <w:rPr/>
        <w:t>2024</w:t>
      </w:r>
      <w:r>
        <w:rPr/>
        <w:t>年</w:t>
      </w:r>
      <w:r>
        <w:rPr/>
        <w:t>178.95</w:t>
      </w:r>
      <w:r>
        <w:rPr/>
        <w:t>、</w:t>
      </w:r>
      <w:r>
        <w:rPr/>
        <w:t>2025</w:t>
      </w:r>
      <w:r>
        <w:rPr/>
        <w:t>年</w:t>
      </w:r>
      <w:r>
        <w:rPr/>
        <w:t>247.13</w:t>
      </w:r>
      <w:r>
        <w:rPr/>
        <w:t>百万元，与报告归母方向并不完全一致。</w:t>
      </w:r>
      <w:r>
        <w:rPr/>
        <w:t>2025</w:t>
      </w:r>
      <w:r>
        <w:rPr/>
        <w:t>年扣非高于归母，说明非经常损益整体为负，非经常项目并非总是美化盈利。本章估值以目标时点可持续归母能力为基础，并参考扣非解释质量，而不是固定选利润较高的口径。非经常与经常分类须按披露和经济实质判断，不能把所有不利费用都排除，却保留所有有利补助。</w:t>
      </w:r>
    </w:p>
    <w:p>
      <w:pPr>
        <w:pStyle w:val="Normal"/>
        <w:rPr/>
      </w:pPr>
      <w:r>
        <w:rPr/>
        <w:t>2026</w:t>
      </w:r>
      <w:r>
        <w:rPr/>
        <w:t>年上半年收入</w:t>
      </w:r>
      <w:r>
        <w:rPr/>
        <w:t>1647.97</w:t>
      </w:r>
      <w:r>
        <w:rPr/>
        <w:t>百万元、归母</w:t>
      </w:r>
      <w:r>
        <w:rPr/>
        <w:t>171.20</w:t>
      </w:r>
      <w:r>
        <w:rPr/>
        <w:t>、扣非</w:t>
      </w:r>
      <w:r>
        <w:rPr/>
        <w:t>154.93</w:t>
      </w:r>
      <w:r>
        <w:rPr/>
        <w:t>，分别增长</w:t>
      </w:r>
      <w:r>
        <w:rPr/>
        <w:t>25.71%</w:t>
      </w:r>
      <w:r>
        <w:rPr/>
        <w:t>、</w:t>
      </w:r>
      <w:r>
        <w:rPr/>
        <w:t>12.81%</w:t>
      </w:r>
      <w:r>
        <w:rPr/>
        <w:t>、</w:t>
      </w:r>
      <w:r>
        <w:rPr/>
        <w:t>10.21%</w:t>
      </w:r>
      <w:r>
        <w:rPr/>
        <w:t>。报告净利</w:t>
      </w:r>
      <w:r>
        <w:rPr/>
        <w:t>162.10</w:t>
      </w:r>
      <w:r>
        <w:rPr/>
        <w:t>百万元比归母低，原因是少数股东亏损约</w:t>
      </w:r>
      <w:r>
        <w:rPr/>
        <w:t>9.10</w:t>
      </w:r>
      <w:r>
        <w:rPr/>
        <w:t>百万元；归母与集团净利不能互换。投资者持有母公司股份，目标盈利需要归母，但对子公司整体经营效率分析仍要看亏损被少数股东分担的情况。如果未来少数股权比例变化，同样经营利润可能导致归母改变，本章远期假设需随权益结构修订。</w:t>
      </w:r>
    </w:p>
    <w:p>
      <w:pPr>
        <w:pStyle w:val="Normal"/>
        <w:rPr/>
      </w:pPr>
      <w:r>
        <w:rPr/>
        <w:t>上半年营业成本</w:t>
      </w:r>
      <w:r>
        <w:rPr/>
        <w:t>811.40</w:t>
      </w:r>
      <w:r>
        <w:rPr/>
        <w:t>百万元，相对于收入计算合并毛利约</w:t>
      </w:r>
      <w:r>
        <w:rPr/>
        <w:t>50.76%</w:t>
      </w:r>
      <w:r>
        <w:rPr/>
        <w:t>，高于</w:t>
      </w:r>
      <w:r>
        <w:rPr/>
        <w:t>2025</w:t>
      </w:r>
      <w:r>
        <w:rPr/>
        <w:t>年按营业成本</w:t>
      </w:r>
      <w:r>
        <w:rPr/>
        <w:t>1521.78</w:t>
      </w:r>
      <w:r>
        <w:rPr/>
        <w:t>百万元计算的约</w:t>
      </w:r>
      <w:r>
        <w:rPr/>
        <w:t>47.10%</w:t>
      </w:r>
      <w:r>
        <w:rPr/>
        <w:t>。这一改善与前端占比高及后端毛利提升相符，却未完全进入净利率。销售费用增长</w:t>
      </w:r>
      <w:r>
        <w:rPr/>
        <w:t>30.45%</w:t>
      </w:r>
      <w:r>
        <w:rPr/>
        <w:t>、管理</w:t>
      </w:r>
      <w:r>
        <w:rPr/>
        <w:t>31.02%</w:t>
      </w:r>
      <w:r>
        <w:rPr/>
        <w:t>、财务</w:t>
      </w:r>
      <w:r>
        <w:rPr/>
        <w:t>319.24%</w:t>
      </w:r>
      <w:r>
        <w:rPr/>
        <w:t>，研发</w:t>
      </w:r>
      <w:r>
        <w:rPr/>
        <w:t>14.40%</w:t>
      </w:r>
      <w:r>
        <w:rPr/>
        <w:t>，费用和损失吸收了新增毛利。毛利提升可以是盈利修复的前置证据，最终验证仍需费用增长逐步低于收入，而不能把整个毛利改善都外推为归母增长。</w:t>
      </w:r>
    </w:p>
    <w:p>
      <w:pPr>
        <w:pStyle w:val="Normal"/>
        <w:rPr/>
      </w:pPr>
      <w:r>
        <w:rPr/>
        <w:t>2025</w:t>
      </w:r>
      <w:r>
        <w:rPr/>
        <w:t>年第四季度收入</w:t>
      </w:r>
      <w:r>
        <w:rPr/>
        <w:t>817.83</w:t>
      </w:r>
      <w:r>
        <w:rPr/>
        <w:t>百万元，归母仅</w:t>
      </w:r>
      <w:r>
        <w:rPr/>
        <w:t>3.15</w:t>
      </w:r>
      <w:r>
        <w:rPr/>
        <w:t>百万元，扣非</w:t>
      </w:r>
      <w:r>
        <w:rPr/>
        <w:t>23.95</w:t>
      </w:r>
      <w:r>
        <w:rPr/>
        <w:t>百万元，经营现金流</w:t>
      </w:r>
      <w:r>
        <w:rPr/>
        <w:t>223.17</w:t>
      </w:r>
      <w:r>
        <w:rPr/>
        <w:t>百万元。单季收入与利润背离值得重视，但未获得完整季度利润桥前，不宜断言完全由某一个年末减值造成。年度财报披露资产减值</w:t>
      </w:r>
      <w:r>
        <w:rPr/>
        <w:t>134.09</w:t>
      </w:r>
      <w:r>
        <w:rPr/>
        <w:t>百万元、固定资产拆除报废损失</w:t>
      </w:r>
      <w:r>
        <w:rPr/>
        <w:t>19.24</w:t>
      </w:r>
      <w:r>
        <w:rPr/>
        <w:t>百万元及非同一控制合并原持有权益重估损失</w:t>
      </w:r>
      <w:r>
        <w:rPr/>
        <w:t>19.29</w:t>
      </w:r>
      <w:r>
        <w:rPr/>
        <w:t>百万元，项目发生时点与归母税后归属需要进一步逐项核对。此处仅列年度事实，未擅自加回成季度正常利润。</w:t>
      </w:r>
    </w:p>
    <w:p>
      <w:pPr>
        <w:pStyle w:val="Normal"/>
        <w:rPr/>
      </w:pPr>
      <w:r>
        <w:rPr/>
        <w:t>年度非流动资产处置类非经常损益表列负</w:t>
      </w:r>
      <w:r>
        <w:rPr/>
        <w:t>32.28</w:t>
      </w:r>
      <w:r>
        <w:rPr/>
        <w:t>百万元，而利润表资产处置收益正</w:t>
      </w:r>
      <w:r>
        <w:rPr/>
        <w:t>0.79</w:t>
      </w:r>
      <w:r>
        <w:rPr/>
        <w:t>百万元，两者不是同一窄口径。处置类别可能包含相关减值、报废等项目，完整分类桥本章仍留待核验。年报说明营业外支出大幅增长主要因子公司部分资产拆除报废，能够证明某些投入没有继续创造价值。把所有项目叫作一次性并忽视经济损失，会高估历史资本回报；长期模型应要求这种损失频率下降，而非仅从调整利润中删除。</w:t>
      </w:r>
    </w:p>
    <w:p>
      <w:pPr>
        <w:pStyle w:val="Normal"/>
        <w:rPr/>
      </w:pPr>
      <w:r>
        <w:rPr/>
        <w:t>2025</w:t>
      </w:r>
      <w:r>
        <w:rPr/>
        <w:t>年税前利润</w:t>
      </w:r>
      <w:r>
        <w:rPr/>
        <w:t>275.78</w:t>
      </w:r>
      <w:r>
        <w:rPr/>
        <w:t>百万元，所得税费用</w:t>
      </w:r>
      <w:r>
        <w:rPr/>
        <w:t>44.13</w:t>
      </w:r>
      <w:r>
        <w:rPr/>
        <w:t>百万元，其中当期</w:t>
      </w:r>
      <w:r>
        <w:rPr/>
        <w:t>93.93</w:t>
      </w:r>
      <w:r>
        <w:rPr/>
        <w:t>、递延负</w:t>
      </w:r>
      <w:r>
        <w:rPr/>
        <w:t>49.80</w:t>
      </w:r>
      <w:r>
        <w:rPr/>
        <w:t>百万元。研发加计扣除和递延税影响使有效税率与现金税率不同，现金流估值不能只用利润表有效税率。</w:t>
      </w:r>
      <w:r>
        <w:rPr/>
        <w:t>2026</w:t>
      </w:r>
      <w:r>
        <w:rPr/>
        <w:t>年六月资产负债表递延所得税资产</w:t>
      </w:r>
      <w:r>
        <w:rPr/>
        <w:t>205.73</w:t>
      </w:r>
      <w:r>
        <w:rPr/>
        <w:t>百万元，其中可抵扣亏损相关部分较大，需要未来盈利兑现支持回收。若亏损子公司长期不能盈利，这些资产也可能有减值压力，不能把递延税资产视作随时可用于还债的现金。</w:t>
      </w:r>
    </w:p>
    <w:p>
      <w:pPr>
        <w:pStyle w:val="Normal"/>
        <w:rPr/>
      </w:pPr>
      <w:r>
        <w:rPr/>
        <w:t>非经常差额上半年约</w:t>
      </w:r>
      <w:r>
        <w:rPr/>
        <w:t>16.27</w:t>
      </w:r>
      <w:r>
        <w:rPr/>
        <w:t>百万元，包含补助等影响。投资者应把政策补助看作财务支持而非终端需求的替代证据，补助能够改善利润，却不能保证产品持续竞争力。主营业务相关补助是否经常需要按公司会计规则与经济持续性区分；本章没有把所有其他收益都归为一次性，也未设定每年必定同额补助。远期盈利假设首先依赖业务毛利与费用效率，再给有限正常收益空间。</w:t>
      </w:r>
    </w:p>
    <w:p>
      <w:pPr>
        <w:pStyle w:val="Heading2"/>
        <w:rPr/>
      </w:pPr>
      <w:r>
        <w:rPr>
          <w:color w:val="000000"/>
        </w:rPr>
        <w:t>库存 应收与现金流</w:t>
      </w:r>
    </w:p>
    <w:p>
      <w:pPr>
        <w:pStyle w:val="Normal"/>
        <w:rPr/>
      </w:pPr>
      <w:r>
        <w:rPr/>
        <w:t>六月末净存货</w:t>
      </w:r>
      <w:r>
        <w:rPr/>
        <w:t>1585.21</w:t>
      </w:r>
      <w:r>
        <w:rPr/>
        <w:t>百万元，期初</w:t>
      </w:r>
      <w:r>
        <w:rPr/>
        <w:t>1405.97</w:t>
      </w:r>
      <w:r>
        <w:rPr/>
        <w:t>百万元；应收账款</w:t>
      </w:r>
      <w:r>
        <w:rPr/>
        <w:t>799.59</w:t>
      </w:r>
      <w:r>
        <w:rPr/>
        <w:t>百万元，期初</w:t>
      </w:r>
      <w:r>
        <w:rPr/>
        <w:t>646.06</w:t>
      </w:r>
      <w:r>
        <w:rPr/>
        <w:t>百万元。两者增加占用资金，尤其是试剂广目录和后端在制品需求，不能仅从收入增长推断周转已改善。期末存货是时点值，半年度成本和季节性也影响天数计算，本章没有用单一时点简单宣称精确周转天数。更可靠的观察是存货与应收增长是否连续超过业务增长、账龄与库龄是否恶化及其后回款情况。</w:t>
      </w:r>
    </w:p>
    <w:p>
      <w:pPr>
        <w:pStyle w:val="Normal"/>
        <w:rPr/>
      </w:pPr>
      <w:r>
        <w:rPr/>
        <w:t>上半年存货跌价准备计提</w:t>
      </w:r>
      <w:r>
        <w:rPr/>
        <w:t>80.53</w:t>
      </w:r>
      <w:r>
        <w:rPr/>
        <w:t>百万元、总资产减值净额</w:t>
      </w:r>
      <w:r>
        <w:rPr/>
        <w:t>79.89</w:t>
      </w:r>
      <w:r>
        <w:rPr/>
        <w:t>百万元，其中合同资产减值有小额转回。期末存货准备约</w:t>
      </w:r>
      <w:r>
        <w:rPr/>
        <w:t>423.96</w:t>
      </w:r>
      <w:r>
        <w:rPr/>
        <w:t>百万元，占存货账面余额约</w:t>
      </w:r>
      <w:r>
        <w:rPr/>
        <w:t>21.10%</w:t>
      </w:r>
      <w:r>
        <w:rPr/>
        <w:t>，净库存和准备需区分，不能把准备写成四十二亿元。准备占比高一方面说明公司已计提较多，另一方面也反映长尾品类的经济消耗。没有后续销售和库龄明细验证，不能断言计提绝对充分或未来再无减值；未来收益需要包含适当持续损耗。</w:t>
      </w:r>
    </w:p>
    <w:p>
      <w:pPr>
        <w:pStyle w:val="Normal"/>
        <w:rPr/>
      </w:pPr>
      <w:r>
        <w:rPr/>
        <w:t>中报风险章节披露当期存货计提减少归母净利约</w:t>
      </w:r>
      <w:r>
        <w:rPr/>
        <w:t>74.43</w:t>
      </w:r>
      <w:r>
        <w:rPr/>
        <w:t>百万元，占</w:t>
      </w:r>
      <w:r>
        <w:rPr/>
        <w:t>2025</w:t>
      </w:r>
      <w:r>
        <w:rPr/>
        <w:t>年归母约</w:t>
      </w:r>
      <w:r>
        <w:rPr/>
        <w:t>31.04%</w:t>
      </w:r>
      <w:r>
        <w:rPr/>
        <w:t>。这直接体现存货对股东盈利的影响。计提是非现金会计费用，但相关采购与研发现金通常已在更早期间支付，不能因为本期不付现金就认定无成本。若库存被再次变现，部分经济价值可以恢复；若长期无需求，先前投入已损失。本章主模型不统一加回存货损失，并以未来计提占比下降作为盈利修复条件之一。</w:t>
      </w:r>
    </w:p>
    <w:p>
      <w:pPr>
        <w:pStyle w:val="Normal"/>
        <w:rPr/>
      </w:pPr>
      <w:r>
        <w:rPr/>
        <w:t>上半年信用减值</w:t>
      </w:r>
      <w:r>
        <w:rPr/>
        <w:t>12.997</w:t>
      </w:r>
      <w:r>
        <w:rPr/>
        <w:t>百万元，其中应收账款坏账损失</w:t>
      </w:r>
      <w:r>
        <w:rPr/>
        <w:t>12.412</w:t>
      </w:r>
      <w:r>
        <w:rPr/>
        <w:t>百万元，高于上年同期相关规模。收入增长与应收增长同时出现时，需要区分正常账期、客户资金压力和新客户拓展。公司称加大催款力度带动经营现金流改善，但现金流补充资料仍显示经营性应收项目增加耗用</w:t>
      </w:r>
      <w:r>
        <w:rPr/>
        <w:t>157.99</w:t>
      </w:r>
      <w:r>
        <w:rPr/>
        <w:t>百万元。这两项并不冲突：可以相对去年更努力收款，同时规模扩张继续占款。判断回款质量要看多个报告期，不能把一次由负转正当作问题已完全解决。</w:t>
      </w:r>
    </w:p>
    <w:p>
      <w:pPr>
        <w:pStyle w:val="Normal"/>
        <w:rPr/>
      </w:pPr>
      <w:r>
        <w:rPr/>
        <w:t>经营现金流</w:t>
      </w:r>
      <w:r>
        <w:rPr/>
        <w:t>2023</w:t>
      </w:r>
      <w:r>
        <w:rPr/>
        <w:t>年负</w:t>
      </w:r>
      <w:r>
        <w:rPr/>
        <w:t>63.61</w:t>
      </w:r>
      <w:r>
        <w:rPr/>
        <w:t>、</w:t>
      </w:r>
      <w:r>
        <w:rPr/>
        <w:t>2024</w:t>
      </w:r>
      <w:r>
        <w:rPr/>
        <w:t>年</w:t>
      </w:r>
      <w:r>
        <w:rPr/>
        <w:t>381.96</w:t>
      </w:r>
      <w:r>
        <w:rPr/>
        <w:t>、</w:t>
      </w:r>
      <w:r>
        <w:rPr/>
        <w:t>2025</w:t>
      </w:r>
      <w:r>
        <w:rPr/>
        <w:t>年</w:t>
      </w:r>
      <w:r>
        <w:rPr/>
        <w:t>317.75</w:t>
      </w:r>
      <w:r>
        <w:rPr/>
        <w:t>百万元，波动明显。扣购建长期资产现金后，</w:t>
      </w:r>
      <w:r>
        <w:rPr/>
        <w:t>2024</w:t>
      </w:r>
      <w:r>
        <w:rPr/>
        <w:t>年约</w:t>
      </w:r>
      <w:r>
        <w:rPr/>
        <w:t>77.50</w:t>
      </w:r>
      <w:r>
        <w:rPr/>
        <w:t>、</w:t>
      </w:r>
      <w:r>
        <w:rPr/>
        <w:t>2025</w:t>
      </w:r>
      <w:r>
        <w:rPr/>
        <w:t>年</w:t>
      </w:r>
      <w:r>
        <w:rPr/>
        <w:t>95.96</w:t>
      </w:r>
      <w:r>
        <w:rPr/>
        <w:t>百万元，这些简单自由现金流指标未扣并购、也未把租赁本金重新纳入，与完整股权自由现金流有差别。它们说明资本开支缓和后现金创造改善，但仍低于同年归母利润。上半年约负</w:t>
      </w:r>
      <w:r>
        <w:rPr/>
        <w:t>7.08</w:t>
      </w:r>
      <w:r>
        <w:rPr/>
        <w:t>百万元提示现金化进程尚在进行，而不是已经具备高现金收益型公司的特征。</w:t>
      </w:r>
    </w:p>
    <w:p>
      <w:pPr>
        <w:pStyle w:val="Normal"/>
        <w:rPr/>
      </w:pPr>
      <w:r>
        <w:rPr/>
        <w:t>2026</w:t>
      </w:r>
      <w:r>
        <w:rPr/>
        <w:t>年半年现金流桥中存货增加耗用</w:t>
      </w:r>
      <w:r>
        <w:rPr/>
        <w:t>269.24</w:t>
      </w:r>
      <w:r>
        <w:rPr/>
        <w:t>百万元、经营应收耗用</w:t>
      </w:r>
      <w:r>
        <w:rPr/>
        <w:t>157.99</w:t>
      </w:r>
      <w:r>
        <w:rPr/>
        <w:t>、经营应付增加贡献</w:t>
      </w:r>
      <w:r>
        <w:rPr/>
        <w:t>72.51</w:t>
      </w:r>
      <w:r>
        <w:rPr/>
        <w:t>百万元。非现金折旧、摊销、减值和财务项目加回提高桥上的现金利润，但营运资本消耗仍很大。特别是存货现金占用规模超过归母净利，展示广目录与扩张需要资金支持。评价管理层不能只要求降低库存绝对额，因为这也可能损害交付；更合理的是提高每单位目录和订单的现金产出，减少无需求库存并改善预测。</w:t>
      </w:r>
    </w:p>
    <w:p>
      <w:pPr>
        <w:pStyle w:val="Normal"/>
        <w:rPr/>
      </w:pPr>
      <w:r>
        <w:rPr/>
        <w:t>现金流中的投资支付和收回投资金额较大，大部分与理财等滚动安排有关，不能把数十亿元资金往来全部视作新基地资本开支。上半年购建长期资产现金只有</w:t>
      </w:r>
      <w:r>
        <w:rPr/>
        <w:t>84.14</w:t>
      </w:r>
      <w:r>
        <w:rPr/>
        <w:t>百万元，投资支付</w:t>
      </w:r>
      <w:r>
        <w:rPr/>
        <w:t>2364.55</w:t>
      </w:r>
      <w:r>
        <w:rPr/>
        <w:t>与收回</w:t>
      </w:r>
      <w:r>
        <w:rPr/>
        <w:t>2355.00</w:t>
      </w:r>
      <w:r>
        <w:rPr/>
        <w:t>百万元需分开。若仅看投资现金流负值可能高估经营扩产消耗；若仅看理财回收又可能误认为主营现金大增。本章以购建项与经营项分别核算，保留完整投资事项待进一步拆分。</w:t>
      </w:r>
    </w:p>
    <w:p>
      <w:pPr>
        <w:pStyle w:val="Normal"/>
        <w:rPr/>
      </w:pPr>
      <w:r>
        <w:rPr/>
        <w:t>在利润与现金流之间，本章把现金转换给出的反证权重较高。进取型投资可以接受成长阶段营运资本增加，却应要求增量资金最终对应更高收入、毛利和回款。若未来收入增长降到低速而库存仍加快扩大，意味着预备资金未带来相应经济收益。若全年现金流改善主要来自应付延长而客户回款没有改善，也不能视作商业质量全面提高。保持同样估值倍数需要经营现金流跟上，而不是仅凭会计每股收益上升。</w:t>
      </w:r>
    </w:p>
    <w:p>
      <w:pPr>
        <w:pStyle w:val="Heading2"/>
        <w:rPr/>
      </w:pPr>
      <w:r>
        <w:rPr>
          <w:color w:val="000000"/>
        </w:rPr>
        <w:t>现金债务 可转债与股东行为</w:t>
      </w:r>
    </w:p>
    <w:p>
      <w:pPr>
        <w:pStyle w:val="Normal"/>
        <w:rPr/>
      </w:pPr>
      <w:r>
        <w:rPr/>
        <w:t>六月末货币资金</w:t>
      </w:r>
      <w:r>
        <w:rPr/>
        <w:t>1569.77</w:t>
      </w:r>
      <w:r>
        <w:rPr/>
        <w:t>百万元，但现金及现金等价物只有</w:t>
      </w:r>
      <w:r>
        <w:rPr/>
        <w:t>1221.17</w:t>
      </w:r>
      <w:r>
        <w:rPr/>
        <w:t>百万元。差额</w:t>
      </w:r>
      <w:r>
        <w:rPr/>
        <w:t>348.61</w:t>
      </w:r>
      <w:r>
        <w:rPr/>
        <w:t>百万元包括</w:t>
      </w:r>
      <w:r>
        <w:rPr/>
        <w:t>330.00</w:t>
      </w:r>
      <w:r>
        <w:rPr/>
        <w:t>百万元结构性存款圈存或银行贷款冻结及</w:t>
      </w:r>
      <w:r>
        <w:rPr/>
        <w:t>18.61</w:t>
      </w:r>
      <w:r>
        <w:rPr/>
        <w:t>百万元受限保证金。评价偿债能力要使用可调动资金并考虑地域、担保和时点，不能把全部货币资金直接抵消当期负债。另一方面受限不等于永久损失，可能在期限届满后释放；本章只保持口径分离，没有一概把受限资产价值归零。</w:t>
      </w:r>
    </w:p>
    <w:p>
      <w:pPr>
        <w:pStyle w:val="Normal"/>
        <w:rPr/>
      </w:pPr>
      <w:r>
        <w:rPr/>
        <w:t>银行债务含短借</w:t>
      </w:r>
      <w:r>
        <w:rPr/>
        <w:t>968.55</w:t>
      </w:r>
      <w:r>
        <w:rPr/>
        <w:t>百万元、长期</w:t>
      </w:r>
      <w:r>
        <w:rPr/>
        <w:t>247.30</w:t>
      </w:r>
      <w:r>
        <w:rPr/>
        <w:t>及一年内到期</w:t>
      </w:r>
      <w:r>
        <w:rPr/>
        <w:t>90.93</w:t>
      </w:r>
      <w:r>
        <w:rPr/>
        <w:t>，总计约</w:t>
      </w:r>
      <w:r>
        <w:rPr/>
        <w:t>1306.79</w:t>
      </w:r>
      <w:r>
        <w:rPr/>
        <w:t>百万元；租赁负债含长期</w:t>
      </w:r>
      <w:r>
        <w:rPr/>
        <w:t>274.88</w:t>
      </w:r>
      <w:r>
        <w:rPr/>
        <w:t>和一年内</w:t>
      </w:r>
      <w:r>
        <w:rPr/>
        <w:t>57.11</w:t>
      </w:r>
      <w:r>
        <w:rPr/>
        <w:t>，总计</w:t>
      </w:r>
      <w:r>
        <w:rPr/>
        <w:t>331.99</w:t>
      </w:r>
      <w:r>
        <w:rPr/>
        <w:t>百万元。应付债券账面</w:t>
      </w:r>
      <w:r>
        <w:rPr/>
        <w:t>740.44</w:t>
      </w:r>
      <w:r>
        <w:rPr/>
        <w:t>百万元与尚未转股面值</w:t>
      </w:r>
      <w:r>
        <w:rPr/>
        <w:t>821.84</w:t>
      </w:r>
      <w:r>
        <w:rPr/>
        <w:t>百万元不同，摊余成本和权益拆分影响账面值。把货币资金与这些简单对比，不能称公司净现金充裕。资本结构存在实质负担，未来扩张需由回款、经营盈利或融资共同支持。</w:t>
      </w:r>
    </w:p>
    <w:p>
      <w:pPr>
        <w:pStyle w:val="Normal"/>
        <w:rPr/>
      </w:pPr>
      <w:r>
        <w:rPr/>
        <w:t>2026</w:t>
      </w:r>
      <w:r>
        <w:rPr/>
        <w:t>年上半年利息费用</w:t>
      </w:r>
      <w:r>
        <w:rPr/>
        <w:t>25.58</w:t>
      </w:r>
      <w:r>
        <w:rPr/>
        <w:t>百万元，另有未确认融资费用</w:t>
      </w:r>
      <w:r>
        <w:rPr/>
        <w:t>7.28</w:t>
      </w:r>
      <w:r>
        <w:rPr/>
        <w:t>百万元；财务费用</w:t>
      </w:r>
      <w:r>
        <w:rPr/>
        <w:t>69.97</w:t>
      </w:r>
      <w:r>
        <w:rPr/>
        <w:t>百万元还包括汇兑和手续费。债券票面利息不等于会计有效利息，估值中若假设转股，应明确减去什么费用而不是只减低票息。主模型采用完全转股后利润，并以全年税后利息节约</w:t>
      </w:r>
      <w:r>
        <w:rPr/>
        <w:t>22</w:t>
      </w:r>
      <w:r>
        <w:rPr/>
        <w:t>百万元作为研究桥假设，非公司指引。与不转股利润的区别已保存于模型，后续应按债券摊销表和转股实际日期进一步修订。</w:t>
      </w:r>
    </w:p>
    <w:p>
      <w:pPr>
        <w:pStyle w:val="Normal"/>
        <w:rPr/>
      </w:pPr>
      <w:r>
        <w:rPr/>
        <w:t>截至九月末总股本</w:t>
      </w:r>
      <w:r>
        <w:rPr/>
        <w:t>213234116</w:t>
      </w:r>
      <w:r>
        <w:rPr/>
        <w:t>股，未转股债券本金</w:t>
      </w:r>
      <w:r>
        <w:rPr/>
        <w:t>821836000</w:t>
      </w:r>
      <w:r>
        <w:rPr/>
        <w:t>元，转股价</w:t>
      </w:r>
      <w:r>
        <w:rPr/>
        <w:t>40.13</w:t>
      </w:r>
      <w:r>
        <w:rPr/>
        <w:t>元。若这些本金全部按现价转股条款换股，理论新增约</w:t>
      </w:r>
      <w:r>
        <w:rPr/>
        <w:t>20479342</w:t>
      </w:r>
      <w:r>
        <w:rPr/>
        <w:t>股，股数变约</w:t>
      </w:r>
      <w:r>
        <w:rPr/>
        <w:t>233713458</w:t>
      </w:r>
      <w:r>
        <w:rPr/>
        <w:t>股，较现股数增加</w:t>
      </w:r>
      <w:r>
        <w:rPr/>
        <w:t>9.60%</w:t>
      </w:r>
      <w:r>
        <w:rPr/>
        <w:t>。这只是基于当前条款的测算，不是已发行事实；未来分红调整、赎回、回售和少量现金尾差会改变结果。转股不会为公司带来第二笔同额募集款，因为募集现金早已在发行时进入公司，不能把去债价值与新增现金重复加入股价。</w:t>
      </w:r>
    </w:p>
    <w:p>
      <w:pPr>
        <w:pStyle w:val="Normal"/>
        <w:rPr/>
      </w:pPr>
      <w:r>
        <w:rPr/>
        <w:t>主估值所有场景采用完全转股股数，并从包含</w:t>
      </w:r>
      <w:r>
        <w:rPr/>
        <w:t>22</w:t>
      </w:r>
      <w:r>
        <w:rPr/>
        <w:t>百万元税后利息节约的目标利润计算</w:t>
      </w:r>
      <w:r>
        <w:rPr/>
        <w:t>EPS</w:t>
      </w:r>
      <w:r>
        <w:rPr/>
        <w:t>。这有利于防止在现价高于转股价时只用小股数高估每股收益，但转股时间未必如此。未转股场景应使用较少股数、保留相应利息与债务，不可仅删去新增股票却保持完全转股利润不变。模型保存未转股经营利润桥，作为资本结构敏感性；正式更新需要同时修订债券本金、利息、现金偿债和估值风险溢价。</w:t>
      </w:r>
    </w:p>
    <w:p>
      <w:pPr>
        <w:pStyle w:val="Normal"/>
        <w:rPr/>
      </w:pPr>
      <w:r>
        <w:rPr/>
        <w:t>在一年基准中完全转股利润约</w:t>
      </w:r>
      <w:r>
        <w:rPr/>
        <w:t>525.86</w:t>
      </w:r>
      <w:r>
        <w:rPr/>
        <w:t>百万元，扣</w:t>
      </w:r>
      <w:r>
        <w:rPr/>
        <w:t>22</w:t>
      </w:r>
      <w:r>
        <w:rPr/>
        <w:t>百万元假设节约后的不转股利润约</w:t>
      </w:r>
      <w:r>
        <w:rPr/>
        <w:t>503.86</w:t>
      </w:r>
      <w:r>
        <w:rPr/>
        <w:t>百万元，对现有</w:t>
      </w:r>
      <w:r>
        <w:rPr/>
        <w:t>213.23</w:t>
      </w:r>
      <w:r>
        <w:rPr/>
        <w:t>百万股约每股</w:t>
      </w:r>
      <w:r>
        <w:rPr/>
        <w:t>2.363</w:t>
      </w:r>
      <w:r>
        <w:rPr/>
        <w:t>元。完全转股</w:t>
      </w:r>
      <w:r>
        <w:rPr/>
        <w:t>EPS</w:t>
      </w:r>
      <w:r>
        <w:rPr/>
        <w:t>为</w:t>
      </w:r>
      <w:r>
        <w:rPr/>
        <w:t>2.25</w:t>
      </w:r>
      <w:r>
        <w:rPr/>
        <w:t>元，说明低利息债券转换造成的股数增加可以大于利息节约，转股不总是提高</w:t>
      </w:r>
      <w:r>
        <w:rPr/>
        <w:t>EPS</w:t>
      </w:r>
      <w:r>
        <w:rPr/>
        <w:t>。未转股也留下到期偿债和融资风险，不能凭较高</w:t>
      </w:r>
      <w:r>
        <w:rPr/>
        <w:t>EPS</w:t>
      </w:r>
      <w:r>
        <w:rPr/>
        <w:t>就判断更优。本章以稀释口径排序，避免股数选择人为提高推荐分数。</w:t>
      </w:r>
    </w:p>
    <w:p>
      <w:pPr>
        <w:pStyle w:val="Normal"/>
        <w:rPr/>
      </w:pPr>
      <w:r>
        <w:rPr/>
        <w:t>中报显示公司在</w:t>
      </w:r>
      <w:r>
        <w:rPr/>
        <w:t>2026</w:t>
      </w:r>
      <w:r>
        <w:rPr/>
        <w:t>年六月十日至十月九日期间决定不行使提前赎回权，如果十月十日后再次触发需另作决策。研究截止日并未知道未来董事会选择，不能假定十月后必定强赎，也不能假定永久不赎回。现价显著高于转股价只是经济激励之一，持有人还可能考虑债券溢价和条款价值。此项作为年底及半年供给观察因素，并不编造某天开始强制转股的时间表。</w:t>
      </w:r>
    </w:p>
    <w:p>
      <w:pPr>
        <w:pStyle w:val="Normal"/>
        <w:rPr/>
      </w:pPr>
      <w:r>
        <w:rPr/>
        <w:t>上半年确认股份支付费用</w:t>
      </w:r>
      <w:r>
        <w:rPr/>
        <w:t>15.85</w:t>
      </w:r>
      <w:r>
        <w:rPr/>
        <w:t>百万元，股权激励归属增加股数，和债券转股是不同来源。激励可帮助留住研发与经营人员，但对股东既有费用也有稀释。业绩考核若只重收入而轻现金回报，可能强化目录扩张和产能建设而忽视资金效率；是否存在这种激励偏差需具体计划核验，不能直接指责管理层。本章保留新增激励约百分之五股数压力的敏感性，未来归属应逐期更新。</w:t>
      </w:r>
    </w:p>
    <w:p>
      <w:pPr>
        <w:pStyle w:val="Normal"/>
        <w:rPr/>
      </w:pPr>
      <w:r>
        <w:rPr/>
        <w:t>九月十二日减持计划披露三个人员持股平台拟合计减持不超过</w:t>
      </w:r>
      <w:r>
        <w:rPr/>
        <w:t>499</w:t>
      </w:r>
      <w:r>
        <w:rPr/>
        <w:t>万股、占当前股本不超过</w:t>
      </w:r>
      <w:r>
        <w:rPr/>
        <w:t>2.34%</w:t>
      </w:r>
      <w:r>
        <w:rPr/>
        <w:t>，计划窗口九月十七日至十二月十六日，原因为个人资金需求。公告明确这些主体不是控股股东、实际控制人或其一致行动人，不能误写为控股股东清仓。计划也不等于已经执行全部股份，截止日没有获得完整实施结果。短期供给可能压制反弹，但员工正常兑现本身不足以推翻经营逻辑，须结合实际卖出与业务变化判断。</w:t>
      </w:r>
    </w:p>
    <w:p>
      <w:pPr>
        <w:pStyle w:val="Normal"/>
        <w:rPr/>
      </w:pPr>
      <w:r>
        <w:rPr/>
        <w:t>并购带来的商誉六月末</w:t>
      </w:r>
      <w:r>
        <w:rPr/>
        <w:t>377.52</w:t>
      </w:r>
      <w:r>
        <w:rPr/>
        <w:t>百万元，其中药源约</w:t>
      </w:r>
      <w:r>
        <w:rPr/>
        <w:t>280.25</w:t>
      </w:r>
      <w:r>
        <w:rPr/>
        <w:t>、英国</w:t>
      </w:r>
      <w:r>
        <w:rPr/>
        <w:t>FC</w:t>
      </w:r>
      <w:r>
        <w:rPr/>
        <w:t>约</w:t>
      </w:r>
      <w:r>
        <w:rPr/>
        <w:t>82.62</w:t>
      </w:r>
      <w:r>
        <w:rPr/>
        <w:t>百万元是主要组成。菏泽商誉已累计计提约</w:t>
      </w:r>
      <w:r>
        <w:rPr/>
        <w:t>6.29</w:t>
      </w:r>
      <w:r>
        <w:rPr/>
        <w:t>百万元，年报也披露部分固定资产减值。这提示并购和基地投入存在不同回报质量。控股子公司全部收入进入合并，但归母只对应母公司权益，不能把有少数股东的全部资产估值都归给上市股东。本章利润使用归母口径，远期若并购更多或买入少数权益，需要同时考虑支付现金和新增债务。</w:t>
      </w:r>
    </w:p>
    <w:p>
      <w:pPr>
        <w:pStyle w:val="Heading2"/>
        <w:rPr/>
      </w:pPr>
      <w:r>
        <w:rPr>
          <w:color w:val="000000"/>
        </w:rPr>
        <w:t>半年日线 周线与量能判断</w:t>
      </w:r>
    </w:p>
    <w:p>
      <w:pPr>
        <w:pStyle w:val="Normal"/>
        <w:rPr/>
      </w:pPr>
      <w:r>
        <w:rPr/>
        <w:t>日线历史为</w:t>
      </w:r>
      <w:r>
        <w:rPr/>
        <w:t>2023</w:t>
      </w:r>
      <w:r>
        <w:rPr/>
        <w:t>年十月九日至</w:t>
      </w:r>
      <w:r>
        <w:rPr/>
        <w:t>2026</w:t>
      </w:r>
      <w:r>
        <w:rPr/>
        <w:t>年十月九日</w:t>
      </w:r>
      <w:r>
        <w:rPr/>
        <w:t>728</w:t>
      </w:r>
      <w:r>
        <w:rPr/>
        <w:t>个真实交易日，使用基准日名义价格归一的复权</w:t>
      </w:r>
      <w:r>
        <w:rPr/>
        <w:t>OHLC</w:t>
      </w:r>
      <w:r>
        <w:rPr/>
        <w:t>，股数与成交量单位区别核验。最新收盘</w:t>
      </w:r>
      <w:r>
        <w:rPr/>
        <w:t>93.16</w:t>
      </w:r>
      <w:r>
        <w:rPr/>
        <w:t>元由腾讯、新浪和</w:t>
      </w:r>
      <w:r>
        <w:rPr/>
        <w:t>Yahoo</w:t>
      </w:r>
      <w:r>
        <w:rPr/>
        <w:t>相互核对，成交</w:t>
      </w:r>
      <w:r>
        <w:rPr/>
        <w:t>5828186</w:t>
      </w:r>
      <w:r>
        <w:rPr/>
        <w:t>股、成交额</w:t>
      </w:r>
      <w:r>
        <w:rPr/>
        <w:t>533438952</w:t>
      </w:r>
      <w:r>
        <w:rPr/>
        <w:t>元，公开报价换手率</w:t>
      </w:r>
      <w:r>
        <w:rPr/>
        <w:t>2.73%</w:t>
      </w:r>
      <w:r>
        <w:rPr/>
        <w:t>。历史腾讯与</w:t>
      </w:r>
      <w:r>
        <w:rPr/>
        <w:t>Yahoo</w:t>
      </w:r>
      <w:r>
        <w:rPr/>
        <w:t>近期六十日复权均价差约</w:t>
      </w:r>
      <w:r>
        <w:rPr/>
        <w:t>0.0109%</w:t>
      </w:r>
      <w:r>
        <w:rPr/>
        <w:t>、最大约</w:t>
      </w:r>
      <w:r>
        <w:rPr/>
        <w:t>0.0410%</w:t>
      </w:r>
      <w:r>
        <w:rPr/>
        <w:t>，没有明确</w:t>
      </w:r>
      <w:r>
        <w:rPr/>
        <w:t>OHLC</w:t>
      </w:r>
      <w:r>
        <w:rPr/>
        <w:t>异常待修。这支持当前技术计算可信，但行情接口仍有供应商修订风险，更新时应保留原版本。</w:t>
      </w:r>
    </w:p>
    <w:p>
      <w:pPr>
        <w:pStyle w:val="Normal"/>
        <w:rPr/>
      </w:pPr>
      <w:r>
        <w:rPr/>
        <w:t>二十、六十、一百二十、二百五十日均线分别</w:t>
      </w:r>
      <w:r>
        <w:rPr/>
        <w:t>95.57</w:t>
      </w:r>
      <w:r>
        <w:rPr/>
        <w:t>、</w:t>
      </w:r>
      <w:r>
        <w:rPr/>
        <w:t>89.72</w:t>
      </w:r>
      <w:r>
        <w:rPr/>
        <w:t>、</w:t>
      </w:r>
      <w:r>
        <w:rPr/>
        <w:t>83.97</w:t>
      </w:r>
      <w:r>
        <w:rPr/>
        <w:t>、</w:t>
      </w:r>
      <w:r>
        <w:rPr/>
        <w:t>78.92</w:t>
      </w:r>
      <w:r>
        <w:rPr/>
        <w:t>元；现价较这些均线分别低</w:t>
      </w:r>
      <w:r>
        <w:rPr/>
        <w:t>2.52%</w:t>
      </w:r>
      <w:r>
        <w:rPr/>
        <w:t>、高</w:t>
      </w:r>
      <w:r>
        <w:rPr/>
        <w:t>3.83%</w:t>
      </w:r>
      <w:r>
        <w:rPr/>
        <w:t>、高</w:t>
      </w:r>
      <w:r>
        <w:rPr/>
        <w:t>10.94%</w:t>
      </w:r>
      <w:r>
        <w:rPr/>
        <w:t>、高</w:t>
      </w:r>
      <w:r>
        <w:rPr/>
        <w:t>18.04%</w:t>
      </w:r>
      <w:r>
        <w:rPr/>
        <w:t>。四条均线五日斜率均正，分别约</w:t>
      </w:r>
      <w:r>
        <w:rPr/>
        <w:t>1.19%</w:t>
      </w:r>
      <w:r>
        <w:rPr/>
        <w:t>、</w:t>
      </w:r>
      <w:r>
        <w:rPr/>
        <w:t>0.88%</w:t>
      </w:r>
      <w:r>
        <w:rPr/>
        <w:t>、</w:t>
      </w:r>
      <w:r>
        <w:rPr/>
        <w:t>1.27%</w:t>
      </w:r>
      <w:r>
        <w:rPr/>
        <w:t>、</w:t>
      </w:r>
      <w:r>
        <w:rPr/>
        <w:t>0.54%</w:t>
      </w:r>
      <w:r>
        <w:rPr/>
        <w:t>，这呈现中期上行框架内的短期回调。现价低于二十日线说明短线并非全周期强势，不能只因长期线向上就判断新突破已完成。技术评分据此适中，而没有给最高档。</w:t>
      </w:r>
    </w:p>
    <w:p>
      <w:pPr>
        <w:pStyle w:val="Normal"/>
        <w:rPr/>
      </w:pPr>
      <w:r>
        <w:rPr/>
        <w:t>最近二十日低高观察区间约</w:t>
      </w:r>
      <w:r>
        <w:rPr/>
        <w:t>85.12</w:t>
      </w:r>
      <w:r>
        <w:rPr/>
        <w:t>至</w:t>
      </w:r>
      <w:r>
        <w:rPr/>
        <w:t>111.30</w:t>
      </w:r>
      <w:r>
        <w:rPr/>
        <w:t>元，现价到区间低点约负</w:t>
      </w:r>
      <w:r>
        <w:rPr/>
        <w:t>8.63%</w:t>
      </w:r>
      <w:r>
        <w:rPr/>
        <w:t>、到高点约正</w:t>
      </w:r>
      <w:r>
        <w:rPr/>
        <w:t>19.47%</w:t>
      </w:r>
      <w:r>
        <w:rPr/>
        <w:t>。这些是区间极值，并未经过多次触碰筛选，不应称为必然有效支撑和压力。最近六十日低点约</w:t>
      </w:r>
      <w:r>
        <w:rPr/>
        <w:t>66.94</w:t>
      </w:r>
      <w:r>
        <w:rPr/>
        <w:t>元，到现价相差较大，说明波动范围足够宽，若中期趋势破坏，技术下行不能只限定在二十日低点。本章以</w:t>
      </w:r>
      <w:r>
        <w:rPr/>
        <w:t>89.72</w:t>
      </w:r>
      <w:r>
        <w:rPr/>
        <w:t>元均线和</w:t>
      </w:r>
      <w:r>
        <w:rPr/>
        <w:t>85.12</w:t>
      </w:r>
      <w:r>
        <w:rPr/>
        <w:t>元近期低点作为近端观察带，</w:t>
      </w:r>
      <w:r>
        <w:rPr/>
        <w:t>111.30</w:t>
      </w:r>
      <w:r>
        <w:rPr/>
        <w:t>元为较远突破观察位。</w:t>
      </w:r>
    </w:p>
    <w:p>
      <w:pPr>
        <w:pStyle w:val="Normal"/>
        <w:rPr/>
      </w:pPr>
      <w:r>
        <w:rPr/>
        <w:t>当日开</w:t>
      </w:r>
      <w:r>
        <w:rPr/>
        <w:t>94.53</w:t>
      </w:r>
      <w:r>
        <w:rPr/>
        <w:t>、高</w:t>
      </w:r>
      <w:r>
        <w:rPr/>
        <w:t>95.68</w:t>
      </w:r>
      <w:r>
        <w:rPr/>
        <w:t>、低</w:t>
      </w:r>
      <w:r>
        <w:rPr/>
        <w:t>89.00</w:t>
      </w:r>
      <w:r>
        <w:rPr/>
        <w:t>、收</w:t>
      </w:r>
      <w:r>
        <w:rPr/>
        <w:t>93.16</w:t>
      </w:r>
      <w:r>
        <w:rPr/>
        <w:t>元，收盘较前日跌</w:t>
      </w:r>
      <w:r>
        <w:rPr/>
        <w:t>1.05%</w:t>
      </w:r>
      <w:r>
        <w:rPr/>
        <w:t>，日内有明显下探回升，但并未收复二十日均线。单日下影显示</w:t>
      </w:r>
      <w:r>
        <w:rPr/>
        <w:t>89</w:t>
      </w:r>
      <w:r>
        <w:rPr/>
        <w:t>元附近存在买卖交换，不证明某一类资金在累积持仓。需要后续数日确认价格能否维持在六十日线之上，并观察反弹量与回落量的变化。若下探后迅速再次失守</w:t>
      </w:r>
      <w:r>
        <w:rPr/>
        <w:t>89</w:t>
      </w:r>
      <w:r>
        <w:rPr/>
        <w:t>元、量能加大，单日回升的技术含义应减弱，不能把它当作永久底部形态。</w:t>
      </w:r>
    </w:p>
    <w:p>
      <w:pPr>
        <w:pStyle w:val="Normal"/>
        <w:rPr/>
      </w:pPr>
      <w:r>
        <w:rPr/>
        <w:t>五、二十、六十日均量分别约</w:t>
      </w:r>
      <w:r>
        <w:rPr/>
        <w:t>582.48</w:t>
      </w:r>
      <w:r>
        <w:rPr/>
        <w:t>、</w:t>
      </w:r>
      <w:r>
        <w:rPr/>
        <w:t>487.51</w:t>
      </w:r>
      <w:r>
        <w:rPr/>
        <w:t>、</w:t>
      </w:r>
      <w:r>
        <w:rPr/>
        <w:t>589.28</w:t>
      </w:r>
      <w:r>
        <w:rPr/>
        <w:t>万股，当日相对此前二十日均量约</w:t>
      </w:r>
      <w:r>
        <w:rPr/>
        <w:t>1.234</w:t>
      </w:r>
      <w:r>
        <w:rPr/>
        <w:t>倍。这里的量比定义为每日总量与前二十日均量之比，区别于交易终端按时段计算的实时量比，不能互换。最新量高于二十日均值但接近六十日均值，并不是极端放量。量价组合为相对温和放量的回调和日内恢复，尚不足以确认资金趋势反转或完成新的上行突破。</w:t>
      </w:r>
    </w:p>
    <w:p>
      <w:pPr>
        <w:pStyle w:val="Normal"/>
        <w:rPr/>
      </w:pPr>
      <w:r>
        <w:rPr/>
        <w:t>最近二十日上涨日十天、下跌日十天，上涨日总量</w:t>
      </w:r>
      <w:r>
        <w:rPr/>
        <w:t>4808.75</w:t>
      </w:r>
      <w:r>
        <w:rPr/>
        <w:t>万股，下跌日</w:t>
      </w:r>
      <w:r>
        <w:rPr/>
        <w:t>4941.38</w:t>
      </w:r>
      <w:r>
        <w:rPr/>
        <w:t>万股，比值</w:t>
      </w:r>
      <w:r>
        <w:rPr/>
        <w:t>0.973</w:t>
      </w:r>
      <w:r>
        <w:rPr/>
        <w:t>。天数相同有助于解释总量比例，结果显示两侧成交接近且略偏下跌日，未形成持续上攻占优的量证据。若未来反弹总量增加但价格始终不能突破前高，也可能意味着供给充分，而非必然看涨。成交量只能说明发生交易，不能识别最终持仓人，缺乏逐笔和账户证据时，本章不使用主力吸筹或筹码高度集中等说法。</w:t>
      </w:r>
    </w:p>
    <w:p>
      <w:pPr>
        <w:pStyle w:val="Normal"/>
        <w:rPr/>
      </w:pPr>
      <w:r>
        <w:rPr/>
        <w:t>二十日价格回报约</w:t>
      </w:r>
      <w:r>
        <w:rPr/>
        <w:t>1.41%</w:t>
      </w:r>
      <w:r>
        <w:rPr/>
        <w:t>、六十日</w:t>
      </w:r>
      <w:r>
        <w:rPr/>
        <w:t>10.15%</w:t>
      </w:r>
      <w:r>
        <w:rPr/>
        <w:t>，同期沪深三百分别负</w:t>
      </w:r>
      <w:r>
        <w:rPr/>
        <w:t>5.17%</w:t>
      </w:r>
      <w:r>
        <w:rPr/>
        <w:t>、负</w:t>
      </w:r>
      <w:r>
        <w:rPr/>
        <w:t>11.46%</w:t>
      </w:r>
      <w:r>
        <w:rPr/>
        <w:t>，超额分别</w:t>
      </w:r>
      <w:r>
        <w:rPr/>
        <w:t>6.58</w:t>
      </w:r>
      <w:r>
        <w:rPr/>
        <w:t>和</w:t>
      </w:r>
      <w:r>
        <w:rPr/>
        <w:t>21.61</w:t>
      </w:r>
      <w:r>
        <w:rPr/>
        <w:t>个百分点。公司在市场下跌中较强，支持其具有独立经营和行业预期，但超额收益并不意味着绝对低风险：它也可能使相对估值溢价更高。</w:t>
      </w:r>
      <w:r>
        <w:rPr/>
        <w:t>CXO</w:t>
      </w:r>
      <w:r>
        <w:rPr/>
        <w:t>试剂细分基准历史尚未取得，行业超额留空，不能用港股创新药指数代替</w:t>
      </w:r>
      <w:r>
        <w:rPr/>
        <w:t>A</w:t>
      </w:r>
      <w:r>
        <w:rPr/>
        <w:t>股科研试剂同行。本章技术权重只使用已核市场超额和实际量价。</w:t>
      </w:r>
    </w:p>
    <w:p>
      <w:pPr>
        <w:pStyle w:val="Normal"/>
        <w:rPr/>
      </w:pPr>
      <w:r>
        <w:rPr/>
        <w:t>周线由同一日线聚合，共</w:t>
      </w:r>
      <w:r>
        <w:rPr/>
        <w:t>155</w:t>
      </w:r>
      <w:r>
        <w:rPr/>
        <w:t>周，二十、六十、一百二十周均线约</w:t>
      </w:r>
      <w:r>
        <w:rPr/>
        <w:t>87.69</w:t>
      </w:r>
      <w:r>
        <w:rPr/>
        <w:t>、</w:t>
      </w:r>
      <w:r>
        <w:rPr/>
        <w:t>78.07</w:t>
      </w:r>
      <w:r>
        <w:rPr/>
        <w:t>、</w:t>
      </w:r>
      <w:r>
        <w:rPr/>
        <w:t>57.25</w:t>
      </w:r>
      <w:r>
        <w:rPr/>
        <w:t>元，现价在其上；二百五十周超出历史长度而留空。周线</w:t>
      </w:r>
      <w:r>
        <w:rPr/>
        <w:t>MACD</w:t>
      </w:r>
      <w:r>
        <w:rPr/>
        <w:t>差值为正、十四周</w:t>
      </w:r>
      <w:r>
        <w:rPr/>
        <w:t>RSI</w:t>
      </w:r>
      <w:r>
        <w:rPr/>
        <w:t>约</w:t>
      </w:r>
      <w:r>
        <w:rPr/>
        <w:t>55.15</w:t>
      </w:r>
      <w:r>
        <w:rPr/>
        <w:t>，符合中期恢复而非极端超买。国庆假期使最后一周只有较少交易日，周成交量低不能直接视作投资者撤退，必须按周内交易天数判断。本章没有用不完整假期周的放缩量独立降低趋势评分。</w:t>
      </w:r>
    </w:p>
    <w:p>
      <w:pPr>
        <w:pStyle w:val="Normal"/>
        <w:rPr/>
      </w:pPr>
      <w:r>
        <w:rPr/>
        <w:t>日线十四日</w:t>
      </w:r>
      <w:r>
        <w:rPr/>
        <w:t>RSI</w:t>
      </w:r>
      <w:r>
        <w:rPr/>
        <w:t>约</w:t>
      </w:r>
      <w:r>
        <w:rPr/>
        <w:t>47.02</w:t>
      </w:r>
      <w:r>
        <w:rPr/>
        <w:t>、</w:t>
      </w:r>
      <w:r>
        <w:rPr/>
        <w:t>MACD</w:t>
      </w:r>
      <w:r>
        <w:rPr/>
        <w:t>的</w:t>
      </w:r>
      <w:r>
        <w:rPr/>
        <w:t>DIF1.590</w:t>
      </w:r>
      <w:r>
        <w:rPr/>
        <w:t>低于</w:t>
      </w:r>
      <w:r>
        <w:rPr/>
        <w:t>DEA2.178</w:t>
      </w:r>
      <w:r>
        <w:rPr/>
        <w:t>，柱值按二倍差定义约负</w:t>
      </w:r>
      <w:r>
        <w:rPr/>
        <w:t>1.177</w:t>
      </w:r>
      <w:r>
        <w:rPr/>
        <w:t>，表示近期动量降温。十四日</w:t>
      </w:r>
      <w:r>
        <w:rPr/>
        <w:t>ATR</w:t>
      </w:r>
      <w:r>
        <w:rPr/>
        <w:t>约</w:t>
      </w:r>
      <w:r>
        <w:rPr/>
        <w:t>5.72</w:t>
      </w:r>
      <w:r>
        <w:rPr/>
        <w:t>元、占现价</w:t>
      </w:r>
      <w:r>
        <w:rPr/>
        <w:t>6.14%</w:t>
      </w:r>
      <w:r>
        <w:rPr/>
        <w:t>，说明正常波动本已较大，价格短期跌破一条均线可能只是噪声。</w:t>
      </w:r>
      <w:r>
        <w:rPr/>
        <w:t>RSI</w:t>
      </w:r>
      <w:r>
        <w:rPr/>
        <w:t>、</w:t>
      </w:r>
      <w:r>
        <w:rPr/>
        <w:t>MACD</w:t>
      </w:r>
      <w:r>
        <w:rPr/>
        <w:t>和均线都从同一价格序列衍生，本章不将这些相关指标各自重复加分。它们仅帮助确认回调幅度、趋势与风险预算，不能提供可统计保证的买卖成功率。</w:t>
      </w:r>
    </w:p>
    <w:p>
      <w:pPr>
        <w:pStyle w:val="Normal"/>
        <w:rPr/>
      </w:pPr>
      <w:r>
        <w:rPr/>
        <w:t>半年技术改善条件是先在</w:t>
      </w:r>
      <w:r>
        <w:rPr/>
        <w:t>89</w:t>
      </w:r>
      <w:r>
        <w:rPr/>
        <w:t>至</w:t>
      </w:r>
      <w:r>
        <w:rPr/>
        <w:t>90</w:t>
      </w:r>
      <w:r>
        <w:rPr/>
        <w:t>元附近保持中期框架，再收复约</w:t>
      </w:r>
      <w:r>
        <w:rPr/>
        <w:t>95.6</w:t>
      </w:r>
      <w:r>
        <w:rPr/>
        <w:t>元二十日均线，反弹过程中上涨日量能逐步占优；若进一步突破</w:t>
      </w:r>
      <w:r>
        <w:rPr/>
        <w:t>111.3</w:t>
      </w:r>
      <w:r>
        <w:rPr/>
        <w:t>元区间高点，需要数日价格和成交确认。数值来自截止日历史，未来会随均线和新交易变化，不能把它们当静止指令。突破确认也不能覆盖盈利低于预期的反证，特别是在已有高估值和潜在供给情况下，价格创新高只证明市场当时愿意支付更高价格。</w:t>
      </w:r>
    </w:p>
    <w:p>
      <w:pPr>
        <w:pStyle w:val="Normal"/>
        <w:rPr/>
      </w:pPr>
      <w:r>
        <w:rPr/>
        <w:t>技术判断失效条件包括连续跌破六十日线并无法恢复、随后失守</w:t>
      </w:r>
      <w:r>
        <w:rPr/>
        <w:t>85.1</w:t>
      </w:r>
      <w:r>
        <w:rPr/>
        <w:t>元近期低点且回落量明显扩大，或者反弹长期被二十日线压制。若跌向</w:t>
      </w:r>
      <w:r>
        <w:rPr/>
        <w:t>120</w:t>
      </w:r>
      <w:r>
        <w:rPr/>
        <w:t>日或</w:t>
      </w:r>
      <w:r>
        <w:rPr/>
        <w:t>250</w:t>
      </w:r>
      <w:r>
        <w:rPr/>
        <w:t>日线，应重评盈利预期而非仅判断技术便宜。</w:t>
      </w:r>
      <w:r>
        <w:rPr/>
        <w:t>ATR</w:t>
      </w:r>
      <w:r>
        <w:rPr/>
        <w:t>所反映的常态幅度提示单日止损很容易受噪声影响，本章不给适用于所有持仓人的固定交易指令。技术位是观察与模型复核触发条件，实际风险承受还取决于仓位、组合相关性和现金需求。</w:t>
      </w:r>
    </w:p>
    <w:p>
      <w:pPr>
        <w:pStyle w:val="Heading2"/>
        <w:rPr/>
      </w:pPr>
      <w:r>
        <w:rPr>
          <w:color w:val="000000"/>
        </w:rPr>
        <w:t>估值方法与四期限经营要求</w:t>
      </w:r>
    </w:p>
    <w:p>
      <w:pPr>
        <w:pStyle w:val="Normal"/>
        <w:rPr/>
      </w:pPr>
      <w:r>
        <w:rPr/>
        <w:t>皓元已经盈利，主模型采用目标时点未来十二个月可持续归母稀释</w:t>
      </w:r>
      <w:r>
        <w:rPr/>
        <w:t>EPS</w:t>
      </w:r>
      <w:r>
        <w:rPr/>
        <w:t>乘合理</w:t>
      </w:r>
      <w:r>
        <w:rPr/>
        <w:t>PE</w:t>
      </w:r>
      <w:r>
        <w:rPr/>
        <w:t>，并用收入、净利率、股数和现金流交叉检查。这个口径在年底也适用，年底</w:t>
      </w:r>
      <w:r>
        <w:rPr/>
        <w:t>1.55</w:t>
      </w:r>
      <w:r>
        <w:rPr/>
        <w:t>元基准</w:t>
      </w:r>
      <w:r>
        <w:rPr/>
        <w:t>EPS</w:t>
      </w:r>
      <w:r>
        <w:rPr/>
        <w:t>代表当时可能被市场定价的未来盈利能力，并非断言</w:t>
      </w:r>
      <w:r>
        <w:rPr/>
        <w:t>2026</w:t>
      </w:r>
      <w:r>
        <w:rPr/>
        <w:t>年度已经实现同额报告</w:t>
      </w:r>
      <w:r>
        <w:rPr/>
        <w:t>EPS</w:t>
      </w:r>
      <w:r>
        <w:rPr/>
        <w:t>。时间越远，未来十二个月盈利能力越不确定，模型需要滚动核验。</w:t>
      </w:r>
      <w:r>
        <w:rPr/>
        <w:t>PE</w:t>
      </w:r>
      <w:r>
        <w:rPr/>
        <w:t>同时包含增长和风险判断，不能把这个简单情景模型冒充精确分部</w:t>
      </w:r>
      <w:r>
        <w:rPr/>
        <w:t>DCF</w:t>
      </w:r>
      <w:r>
        <w:rPr/>
        <w:t>或机构一致预测。</w:t>
      </w:r>
    </w:p>
    <w:p>
      <w:pPr>
        <w:pStyle w:val="Normal"/>
        <w:rPr/>
      </w:pPr>
      <w:r>
        <w:rPr/>
        <w:t>所有期限使用同一活动模型和三种假设快照，完全转股股数约</w:t>
      </w:r>
      <w:r>
        <w:rPr/>
        <w:t>233.71</w:t>
      </w:r>
      <w:r>
        <w:rPr/>
        <w:t>百万股。</w:t>
      </w:r>
      <w:r>
        <w:rPr/>
        <w:t>EPS</w:t>
      </w:r>
      <w:r>
        <w:rPr/>
        <w:t>对应的归母利润已含</w:t>
      </w:r>
      <w:r>
        <w:rPr/>
        <w:t>22</w:t>
      </w:r>
      <w:r>
        <w:rPr/>
        <w:t>百万元税后转债利息节约研究假设，保存不转股利润桥用于复核。净利润本身包含现金收益和融资成本，不再额外增加全部货币资金或债务消失的价值。这样避免重复计值，但仍须结合净债和现金流评估所选</w:t>
      </w:r>
      <w:r>
        <w:rPr/>
        <w:t>PE</w:t>
      </w:r>
      <w:r>
        <w:rPr/>
        <w:t>合理性；由于完整分部</w:t>
      </w:r>
      <w:r>
        <w:rPr/>
        <w:t>DCF</w:t>
      </w:r>
      <w:r>
        <w:rPr/>
        <w:t>未完成，远期估值可信度低于原始财务事实。</w:t>
      </w:r>
    </w:p>
    <w:p>
      <w:pPr>
        <w:pStyle w:val="Normal"/>
        <w:rPr/>
      </w:pPr>
      <w:r>
        <w:rPr/>
        <w:t>半年悲观、基准、乐观</w:t>
      </w:r>
      <w:r>
        <w:rPr/>
        <w:t>EPS</w:t>
      </w:r>
      <w:r>
        <w:rPr/>
        <w:t>分别</w:t>
      </w:r>
      <w:r>
        <w:rPr/>
        <w:t>1.10</w:t>
      </w:r>
      <w:r>
        <w:rPr/>
        <w:t>、</w:t>
      </w:r>
      <w:r>
        <w:rPr/>
        <w:t>1.80</w:t>
      </w:r>
      <w:r>
        <w:rPr/>
        <w:t>、</w:t>
      </w:r>
      <w:r>
        <w:rPr/>
        <w:t>2.30</w:t>
      </w:r>
      <w:r>
        <w:rPr/>
        <w:t>元，</w:t>
      </w:r>
      <w:r>
        <w:rPr/>
        <w:t>PE36</w:t>
      </w:r>
      <w:r>
        <w:rPr/>
        <w:t>、</w:t>
      </w:r>
      <w:r>
        <w:rPr/>
        <w:t>55</w:t>
      </w:r>
      <w:r>
        <w:rPr/>
        <w:t>、</w:t>
      </w:r>
      <w:r>
        <w:rPr/>
        <w:t>70</w:t>
      </w:r>
      <w:r>
        <w:rPr/>
        <w:t>倍，价格</w:t>
      </w:r>
      <w:r>
        <w:rPr/>
        <w:t>39.60</w:t>
      </w:r>
      <w:r>
        <w:rPr/>
        <w:t>、</w:t>
      </w:r>
      <w:r>
        <w:rPr/>
        <w:t>99.00</w:t>
      </w:r>
      <w:r>
        <w:rPr/>
        <w:t>、</w:t>
      </w:r>
      <w:r>
        <w:rPr/>
        <w:t>161.00</w:t>
      </w:r>
      <w:r>
        <w:rPr/>
        <w:t>元。基准对应未来十二个月收入</w:t>
      </w:r>
      <w:r>
        <w:rPr/>
        <w:t>3900</w:t>
      </w:r>
      <w:r>
        <w:rPr/>
        <w:t>百万元、归母</w:t>
      </w:r>
      <w:r>
        <w:rPr/>
        <w:t>420.68</w:t>
      </w:r>
      <w:r>
        <w:rPr/>
        <w:t>百万元、净利率</w:t>
      </w:r>
      <w:r>
        <w:rPr/>
        <w:t>10.79%</w:t>
      </w:r>
      <w:r>
        <w:rPr/>
        <w:t>。比</w:t>
      </w:r>
      <w:r>
        <w:rPr/>
        <w:t>2025</w:t>
      </w:r>
      <w:r>
        <w:rPr/>
        <w:t>年</w:t>
      </w:r>
      <w:r>
        <w:rPr/>
        <w:t>8.34%</w:t>
      </w:r>
      <w:r>
        <w:rPr/>
        <w:t>净利率有改善，但仍不是把</w:t>
      </w:r>
      <w:r>
        <w:rPr/>
        <w:t>62%</w:t>
      </w:r>
      <w:r>
        <w:rPr/>
        <w:t>前端毛利全部当净利。基准股价空间只有</w:t>
      </w:r>
      <w:r>
        <w:rPr/>
        <w:t>6.27%</w:t>
      </w:r>
      <w:r>
        <w:rPr/>
        <w:t>，说明成长需要部分消化当前溢价；乐观空间</w:t>
      </w:r>
      <w:r>
        <w:rPr/>
        <w:t>72.82%</w:t>
      </w:r>
      <w:r>
        <w:rPr/>
        <w:t>同时要求更好利润和更高倍数，不能仅由均线转强实现。</w:t>
      </w:r>
    </w:p>
    <w:p>
      <w:pPr>
        <w:pStyle w:val="Normal"/>
        <w:rPr/>
      </w:pPr>
      <w:r>
        <w:rPr/>
        <w:t>一年悲观、基准、乐观</w:t>
      </w:r>
      <w:r>
        <w:rPr/>
        <w:t>EPS1.20</w:t>
      </w:r>
      <w:r>
        <w:rPr/>
        <w:t>、</w:t>
      </w:r>
      <w:r>
        <w:rPr/>
        <w:t>2.25</w:t>
      </w:r>
      <w:r>
        <w:rPr/>
        <w:t>、</w:t>
      </w:r>
      <w:r>
        <w:rPr/>
        <w:t>3.00</w:t>
      </w:r>
      <w:r>
        <w:rPr/>
        <w:t>元，</w:t>
      </w:r>
      <w:r>
        <w:rPr/>
        <w:t>PE34</w:t>
      </w:r>
      <w:r>
        <w:rPr/>
        <w:t>、</w:t>
      </w:r>
      <w:r>
        <w:rPr/>
        <w:t>52</w:t>
      </w:r>
      <w:r>
        <w:rPr/>
        <w:t>、</w:t>
      </w:r>
      <w:r>
        <w:rPr/>
        <w:t>65</w:t>
      </w:r>
      <w:r>
        <w:rPr/>
        <w:t>倍，对应</w:t>
      </w:r>
      <w:r>
        <w:rPr/>
        <w:t>40.80</w:t>
      </w:r>
      <w:r>
        <w:rPr/>
        <w:t>、</w:t>
      </w:r>
      <w:r>
        <w:rPr/>
        <w:t>117.00</w:t>
      </w:r>
      <w:r>
        <w:rPr/>
        <w:t>、</w:t>
      </w:r>
      <w:r>
        <w:rPr/>
        <w:t>195.00</w:t>
      </w:r>
      <w:r>
        <w:rPr/>
        <w:t>元。基准收入</w:t>
      </w:r>
      <w:r>
        <w:rPr/>
        <w:t>4450</w:t>
      </w:r>
      <w:r>
        <w:rPr/>
        <w:t>百万元、归母</w:t>
      </w:r>
      <w:r>
        <w:rPr/>
        <w:t>525.86</w:t>
      </w:r>
      <w:r>
        <w:rPr/>
        <w:t>百万元、净利率</w:t>
      </w:r>
      <w:r>
        <w:rPr/>
        <w:t>11.82%</w:t>
      </w:r>
      <w:r>
        <w:rPr/>
        <w:t>，要求前端较快扩张、后端效率改善及费用增长降速。价格空间</w:t>
      </w:r>
      <w:r>
        <w:rPr/>
        <w:t>25.59%</w:t>
      </w:r>
      <w:r>
        <w:rPr/>
        <w:t>、加假设分红</w:t>
      </w:r>
      <w:r>
        <w:rPr/>
        <w:t>0.28</w:t>
      </w:r>
      <w:r>
        <w:rPr/>
        <w:t>元后</w:t>
      </w:r>
      <w:r>
        <w:rPr/>
        <w:t>25.89%</w:t>
      </w:r>
      <w:r>
        <w:rPr/>
        <w:t>，分红贡献较小。悲观负</w:t>
      </w:r>
      <w:r>
        <w:rPr/>
        <w:t>56.20%</w:t>
      </w:r>
      <w:r>
        <w:rPr/>
        <w:t>提示即使公司保持盈利，增长和倍数同时下降仍会造成较大损失，不能只看乐观翻倍可能。</w:t>
      </w:r>
    </w:p>
    <w:p>
      <w:pPr>
        <w:pStyle w:val="Normal"/>
        <w:rPr/>
      </w:pPr>
      <w:r>
        <w:rPr/>
        <w:t>三年基准收入</w:t>
      </w:r>
      <w:r>
        <w:rPr/>
        <w:t>6700</w:t>
      </w:r>
      <w:r>
        <w:rPr/>
        <w:t>百万元、归母</w:t>
      </w:r>
      <w:r>
        <w:rPr/>
        <w:t>911.48</w:t>
      </w:r>
      <w:r>
        <w:rPr/>
        <w:t>百万元、稀释</w:t>
      </w:r>
      <w:r>
        <w:rPr/>
        <w:t>EPS3.90</w:t>
      </w:r>
      <w:r>
        <w:rPr/>
        <w:t>元、净利率</w:t>
      </w:r>
      <w:r>
        <w:rPr/>
        <w:t>13.60%</w:t>
      </w:r>
      <w:r>
        <w:rPr/>
        <w:t>、</w:t>
      </w:r>
      <w:r>
        <w:rPr/>
        <w:t>PE44</w:t>
      </w:r>
      <w:r>
        <w:rPr/>
        <w:t>倍，目标</w:t>
      </w:r>
      <w:r>
        <w:rPr/>
        <w:t>171.60</w:t>
      </w:r>
      <w:r>
        <w:rPr/>
        <w:t>元。收入大幅增长需全球目录与渠道持续扩张、后端商业项目转化；净利率还要求减少库存无效消耗和新基地亏损。基准股价回报</w:t>
      </w:r>
      <w:r>
        <w:rPr/>
        <w:t>84.20%</w:t>
      </w:r>
      <w:r>
        <w:rPr/>
        <w:t>，加累计假设分红</w:t>
      </w:r>
      <w:r>
        <w:rPr/>
        <w:t>1.10</w:t>
      </w:r>
      <w:r>
        <w:rPr/>
        <w:t>元后</w:t>
      </w:r>
      <w:r>
        <w:rPr/>
        <w:t>85.38%</w:t>
      </w:r>
      <w:r>
        <w:rPr/>
        <w:t>，年化</w:t>
      </w:r>
      <w:r>
        <w:rPr/>
        <w:t>22.84%</w:t>
      </w:r>
      <w:r>
        <w:rPr/>
        <w:t>。这不是只提高倍数的模型，</w:t>
      </w:r>
      <w:r>
        <w:rPr/>
        <w:t>PE</w:t>
      </w:r>
      <w:r>
        <w:rPr/>
        <w:t>比一年降低，但盈利要求较高，反证是收入扩张难以转成相应现金与净利。</w:t>
      </w:r>
    </w:p>
    <w:p>
      <w:pPr>
        <w:pStyle w:val="Normal"/>
        <w:rPr/>
      </w:pPr>
      <w:r>
        <w:rPr/>
        <w:t>五年基准收入</w:t>
      </w:r>
      <w:r>
        <w:rPr/>
        <w:t>9000</w:t>
      </w:r>
      <w:r>
        <w:rPr/>
        <w:t>百万元、归母</w:t>
      </w:r>
      <w:r>
        <w:rPr/>
        <w:t>1285.42</w:t>
      </w:r>
      <w:r>
        <w:rPr/>
        <w:t>百万元、</w:t>
      </w:r>
      <w:r>
        <w:rPr/>
        <w:t>EPS5.50</w:t>
      </w:r>
      <w:r>
        <w:rPr/>
        <w:t>元、净利率</w:t>
      </w:r>
      <w:r>
        <w:rPr/>
        <w:t>14.28%</w:t>
      </w:r>
      <w:r>
        <w:rPr/>
        <w:t>、</w:t>
      </w:r>
      <w:r>
        <w:rPr/>
        <w:t>PE38</w:t>
      </w:r>
      <w:r>
        <w:rPr/>
        <w:t>倍，目标</w:t>
      </w:r>
      <w:r>
        <w:rPr/>
        <w:t>209</w:t>
      </w:r>
      <w:r>
        <w:rPr/>
        <w:t>元。收入约为</w:t>
      </w:r>
      <w:r>
        <w:rPr/>
        <w:t>2025</w:t>
      </w:r>
      <w:r>
        <w:rPr/>
        <w:t>年的三倍以上，经营能力需跨地区、品类和客户阶段持续升级；</w:t>
      </w:r>
      <w:r>
        <w:rPr/>
        <w:t>PE</w:t>
      </w:r>
      <w:r>
        <w:rPr/>
        <w:t>随公司规模和成长率成熟而下降。价格回报</w:t>
      </w:r>
      <w:r>
        <w:rPr/>
        <w:t>124.35%</w:t>
      </w:r>
      <w:r>
        <w:rPr/>
        <w:t>，累计假设分红</w:t>
      </w:r>
      <w:r>
        <w:rPr/>
        <w:t>2.30</w:t>
      </w:r>
      <w:r>
        <w:rPr/>
        <w:t>元后</w:t>
      </w:r>
      <w:r>
        <w:rPr/>
        <w:t>126.81%</w:t>
      </w:r>
      <w:r>
        <w:rPr/>
        <w:t>、年化</w:t>
      </w:r>
      <w:r>
        <w:rPr/>
        <w:t>17.80%</w:t>
      </w:r>
      <w:r>
        <w:rPr/>
        <w:t>。五年分数略高于三年，长期年化却较低，说明质量评分与收益率不是同一量，且持有更久并不保证年化更高。</w:t>
      </w:r>
    </w:p>
    <w:p>
      <w:pPr>
        <w:pStyle w:val="Normal"/>
        <w:rPr/>
      </w:pPr>
      <w:r>
        <w:rPr/>
        <w:t>乐观三年</w:t>
      </w:r>
      <w:r>
        <w:rPr/>
        <w:t>377</w:t>
      </w:r>
      <w:r>
        <w:rPr/>
        <w:t>元和五年</w:t>
      </w:r>
      <w:r>
        <w:rPr/>
        <w:t>500</w:t>
      </w:r>
      <w:r>
        <w:rPr/>
        <w:t>元对应更强的盈利与持续高估值，三年收入</w:t>
      </w:r>
      <w:r>
        <w:rPr/>
        <w:t>9600</w:t>
      </w:r>
      <w:r>
        <w:rPr/>
        <w:t>百万元、</w:t>
      </w:r>
      <w:r>
        <w:rPr/>
        <w:t>EPS6.50</w:t>
      </w:r>
      <w:r>
        <w:rPr/>
        <w:t>元，五年收入</w:t>
      </w:r>
      <w:r>
        <w:rPr/>
        <w:t>14000</w:t>
      </w:r>
      <w:r>
        <w:rPr/>
        <w:t>百万元、</w:t>
      </w:r>
      <w:r>
        <w:rPr/>
        <w:t>EPS10</w:t>
      </w:r>
      <w:r>
        <w:rPr/>
        <w:t>元。它们需要前端全球份额、复杂试剂定价和后端商业生产都成功，同时资产周转改善。不能只靠目录增加或单一</w:t>
      </w:r>
      <w:r>
        <w:rPr/>
        <w:t>ADC</w:t>
      </w:r>
      <w:r>
        <w:rPr/>
        <w:t>客户做到全部条件。基准和乐观区分保留了行业机会，但乐观并非最可能结果，模型没有根据想要的上涨幅度倒推必然实现的利润。</w:t>
      </w:r>
    </w:p>
    <w:p>
      <w:pPr>
        <w:pStyle w:val="Normal"/>
        <w:rPr/>
      </w:pPr>
      <w:r>
        <w:rPr/>
        <w:t>悲观三年</w:t>
      </w:r>
      <w:r>
        <w:rPr/>
        <w:t>45</w:t>
      </w:r>
      <w:r>
        <w:rPr/>
        <w:t>元、五年</w:t>
      </w:r>
      <w:r>
        <w:rPr/>
        <w:t>46.80</w:t>
      </w:r>
      <w:r>
        <w:rPr/>
        <w:t>元并不是停止经营假设，仍设收入</w:t>
      </w:r>
      <w:r>
        <w:rPr/>
        <w:t>4000</w:t>
      </w:r>
      <w:r>
        <w:rPr/>
        <w:t>、</w:t>
      </w:r>
      <w:r>
        <w:rPr/>
        <w:t>4800</w:t>
      </w:r>
      <w:r>
        <w:rPr/>
        <w:t>百万元以及归母</w:t>
      </w:r>
      <w:r>
        <w:rPr/>
        <w:t>350.57</w:t>
      </w:r>
      <w:r>
        <w:rPr/>
        <w:t>、</w:t>
      </w:r>
      <w:r>
        <w:rPr/>
        <w:t>420.68</w:t>
      </w:r>
      <w:r>
        <w:rPr/>
        <w:t>百万元，反映公司保持收入却长期利润效率较低、估值收缩。股价可能跌至该区间之外，尤其是严重合规事故、融资困难或需求衰退时。悲观条件并非所有最坏事件同时发生，而是便于比较普通经营失望的情景，不能将其当作保证下限。这解释为什么长期成长候选仍需严格反证和仓位纪律。</w:t>
      </w:r>
    </w:p>
    <w:p>
      <w:pPr>
        <w:pStyle w:val="Normal"/>
        <w:rPr/>
      </w:pPr>
      <w:r>
        <w:rPr/>
        <w:t>以一年基准</w:t>
      </w:r>
      <w:r>
        <w:rPr/>
        <w:t>EPS2.25</w:t>
      </w:r>
      <w:r>
        <w:rPr/>
        <w:t>元为例，</w:t>
      </w:r>
      <w:r>
        <w:rPr/>
        <w:t>PE40</w:t>
      </w:r>
      <w:r>
        <w:rPr/>
        <w:t>、</w:t>
      </w:r>
      <w:r>
        <w:rPr/>
        <w:t>50</w:t>
      </w:r>
      <w:r>
        <w:rPr/>
        <w:t>、</w:t>
      </w:r>
      <w:r>
        <w:rPr/>
        <w:t>60</w:t>
      </w:r>
      <w:r>
        <w:rPr/>
        <w:t>倍对应</w:t>
      </w:r>
      <w:r>
        <w:rPr/>
        <w:t>90</w:t>
      </w:r>
      <w:r>
        <w:rPr/>
        <w:t>、</w:t>
      </w:r>
      <w:r>
        <w:rPr/>
        <w:t>112.5</w:t>
      </w:r>
      <w:r>
        <w:rPr/>
        <w:t>、</w:t>
      </w:r>
      <w:r>
        <w:rPr/>
        <w:t>135</w:t>
      </w:r>
      <w:r>
        <w:rPr/>
        <w:t>元，单是倍数变化就可以从接近现价降至明显上涨。若</w:t>
      </w:r>
      <w:r>
        <w:rPr/>
        <w:t>EPS</w:t>
      </w:r>
      <w:r>
        <w:rPr/>
        <w:t>只有</w:t>
      </w:r>
      <w:r>
        <w:rPr/>
        <w:t>1.80</w:t>
      </w:r>
      <w:r>
        <w:rPr/>
        <w:t>元且</w:t>
      </w:r>
      <w:r>
        <w:rPr/>
        <w:t>PE40</w:t>
      </w:r>
      <w:r>
        <w:rPr/>
        <w:t>倍，价格</w:t>
      </w:r>
      <w:r>
        <w:rPr/>
        <w:t>72</w:t>
      </w:r>
      <w:r>
        <w:rPr/>
        <w:t>元，较现价约负</w:t>
      </w:r>
      <w:r>
        <w:rPr/>
        <w:t>22.71%</w:t>
      </w:r>
      <w:r>
        <w:rPr/>
        <w:t>；若</w:t>
      </w:r>
      <w:r>
        <w:rPr/>
        <w:t>EPS2.70</w:t>
      </w:r>
      <w:r>
        <w:rPr/>
        <w:t>且</w:t>
      </w:r>
      <w:r>
        <w:rPr/>
        <w:t>60</w:t>
      </w:r>
      <w:r>
        <w:rPr/>
        <w:t>倍为</w:t>
      </w:r>
      <w:r>
        <w:rPr/>
        <w:t>162</w:t>
      </w:r>
      <w:r>
        <w:rPr/>
        <w:t>元，约正</w:t>
      </w:r>
      <w:r>
        <w:rPr/>
        <w:t>73.89%</w:t>
      </w:r>
      <w:r>
        <w:rPr/>
        <w:t>。盈利和估值的联合敏感性比单点目标更有用，因为市场会同时调整两者。这里的数字是透明数学结果，不是另外新增未经证据支持的机构目标。</w:t>
      </w:r>
    </w:p>
    <w:p>
      <w:pPr>
        <w:pStyle w:val="Normal"/>
        <w:rPr/>
      </w:pPr>
      <w:r>
        <w:rPr/>
        <w:t>股数再增加百分之五而总归母利润保持，一年基准</w:t>
      </w:r>
      <w:r>
        <w:rPr/>
        <w:t>EPS</w:t>
      </w:r>
      <w:r>
        <w:rPr/>
        <w:t>将约降至</w:t>
      </w:r>
      <w:r>
        <w:rPr/>
        <w:t>2.143</w:t>
      </w:r>
      <w:r>
        <w:rPr/>
        <w:t>元，</w:t>
      </w:r>
      <w:r>
        <w:rPr/>
        <w:t>52</w:t>
      </w:r>
      <w:r>
        <w:rPr/>
        <w:t>倍约</w:t>
      </w:r>
      <w:r>
        <w:rPr/>
        <w:t>111.43</w:t>
      </w:r>
      <w:r>
        <w:rPr/>
        <w:t>元，较</w:t>
      </w:r>
      <w:r>
        <w:rPr/>
        <w:t>117</w:t>
      </w:r>
      <w:r>
        <w:rPr/>
        <w:t>元下降</w:t>
      </w:r>
      <w:r>
        <w:rPr/>
        <w:t>4.76%</w:t>
      </w:r>
      <w:r>
        <w:rPr/>
        <w:t>。若费用因新增激励上升，</w:t>
      </w:r>
      <w:r>
        <w:rPr/>
        <w:t>EPS</w:t>
      </w:r>
      <w:r>
        <w:rPr/>
        <w:t>下降会更大，不能只考虑分母。库存减值每增加</w:t>
      </w:r>
      <w:r>
        <w:rPr/>
        <w:t>50</w:t>
      </w:r>
      <w:r>
        <w:rPr/>
        <w:t>百万元税前且无其他抵消，按</w:t>
      </w:r>
      <w:r>
        <w:rPr/>
        <w:t>15%</w:t>
      </w:r>
      <w:r>
        <w:rPr/>
        <w:t>研究税率对应归母约减少</w:t>
      </w:r>
      <w:r>
        <w:rPr/>
        <w:t>42.5</w:t>
      </w:r>
      <w:r>
        <w:rPr/>
        <w:t>百万元、每股约</w:t>
      </w:r>
      <w:r>
        <w:rPr/>
        <w:t>0.182</w:t>
      </w:r>
      <w:r>
        <w:rPr/>
        <w:t>元；</w:t>
      </w:r>
      <w:r>
        <w:rPr/>
        <w:t>52</w:t>
      </w:r>
      <w:r>
        <w:rPr/>
        <w:t>倍下价格敏感约</w:t>
      </w:r>
      <w:r>
        <w:rPr/>
        <w:t>9.46</w:t>
      </w:r>
      <w:r>
        <w:rPr/>
        <w:t>元。税率和归母归属并非所有实体相同，该计算只是压力测试，正式调整应使用真实税和权益结构。</w:t>
      </w:r>
    </w:p>
    <w:p>
      <w:pPr>
        <w:pStyle w:val="Normal"/>
        <w:rPr/>
      </w:pPr>
      <w:r>
        <w:rPr/>
        <w:t>本章未完成独立历史</w:t>
      </w:r>
      <w:r>
        <w:rPr/>
        <w:t>PE</w:t>
      </w:r>
      <w:r>
        <w:rPr/>
        <w:t>分位和可比同行统一盈利桥，故没有宣称</w:t>
      </w:r>
      <w:r>
        <w:rPr/>
        <w:t>93</w:t>
      </w:r>
      <w:r>
        <w:rPr/>
        <w:t>元处于历史最便宜或最贵百分位。行情商</w:t>
      </w:r>
      <w:r>
        <w:rPr/>
        <w:t>PE76.63</w:t>
      </w:r>
      <w:r>
        <w:rPr/>
        <w:t>倍字段口径未核，不采用为核心输入；历史</w:t>
      </w:r>
      <w:r>
        <w:rPr/>
        <w:t>2025EPS1.13</w:t>
      </w:r>
      <w:r>
        <w:rPr/>
        <w:t>对应</w:t>
      </w:r>
      <w:r>
        <w:rPr/>
        <w:t>82.44</w:t>
      </w:r>
      <w:r>
        <w:rPr/>
        <w:t>倍、一年基准</w:t>
      </w:r>
      <w:r>
        <w:rPr/>
        <w:t>2.25</w:t>
      </w:r>
      <w:r>
        <w:rPr/>
        <w:t>对应</w:t>
      </w:r>
      <w:r>
        <w:rPr/>
        <w:t>41.40</w:t>
      </w:r>
      <w:r>
        <w:rPr/>
        <w:t>倍，分母不同得到不同结果是正常的。投资者需要分清报告盈利、滚动盈利和研究预期盈利，不应在描述便宜时选最高预测，在描述增长时又选最低基数。</w:t>
      </w:r>
    </w:p>
    <w:p>
      <w:pPr>
        <w:pStyle w:val="Heading2"/>
        <w:rPr/>
      </w:pPr>
      <w:r>
        <w:rPr>
          <w:color w:val="000000"/>
        </w:rPr>
        <w:t>年底情景与机构目标边界</w:t>
      </w:r>
    </w:p>
    <w:p>
      <w:pPr>
        <w:pStyle w:val="Normal"/>
        <w:rPr/>
      </w:pPr>
      <w:r>
        <w:rPr/>
        <w:t>年底悲观</w:t>
      </w:r>
      <w:r>
        <w:rPr/>
        <w:t>39.90</w:t>
      </w:r>
      <w:r>
        <w:rPr/>
        <w:t>元由</w:t>
      </w:r>
      <w:r>
        <w:rPr/>
        <w:t>EPS1.05</w:t>
      </w:r>
      <w:r>
        <w:rPr/>
        <w:t>元与</w:t>
      </w:r>
      <w:r>
        <w:rPr/>
        <w:t>38</w:t>
      </w:r>
      <w:r>
        <w:rPr/>
        <w:t>倍得到，基准</w:t>
      </w:r>
      <w:r>
        <w:rPr/>
        <w:t>89.90</w:t>
      </w:r>
      <w:r>
        <w:rPr/>
        <w:t>元由</w:t>
      </w:r>
      <w:r>
        <w:rPr/>
        <w:t>1.55</w:t>
      </w:r>
      <w:r>
        <w:rPr/>
        <w:t>元与</w:t>
      </w:r>
      <w:r>
        <w:rPr/>
        <w:t>58</w:t>
      </w:r>
      <w:r>
        <w:rPr/>
        <w:t>倍得到，乐观</w:t>
      </w:r>
      <w:r>
        <w:rPr/>
        <w:t>133.20</w:t>
      </w:r>
      <w:r>
        <w:rPr/>
        <w:t>元由</w:t>
      </w:r>
      <w:r>
        <w:rPr/>
        <w:t>1.85</w:t>
      </w:r>
      <w:r>
        <w:rPr/>
        <w:t>元与</w:t>
      </w:r>
      <w:r>
        <w:rPr/>
        <w:t>72</w:t>
      </w:r>
      <w:r>
        <w:rPr/>
        <w:t>倍得到，分别相对</w:t>
      </w:r>
      <w:r>
        <w:rPr/>
        <w:t>93.16</w:t>
      </w:r>
      <w:r>
        <w:rPr/>
        <w:t>元为负</w:t>
      </w:r>
      <w:r>
        <w:rPr/>
        <w:t>57.17%</w:t>
      </w:r>
      <w:r>
        <w:rPr/>
        <w:t>、负</w:t>
      </w:r>
      <w:r>
        <w:rPr/>
        <w:t>3.50%</w:t>
      </w:r>
      <w:r>
        <w:rPr/>
        <w:t>、正</w:t>
      </w:r>
      <w:r>
        <w:rPr/>
        <w:t>42.98%</w:t>
      </w:r>
      <w:r>
        <w:rPr/>
        <w:t>。距离年底只有有限交易时间，但公司高波动和高估值使价格范围仍可很宽。悲观下跌不是按剩余月份线性缩减的一年跌幅，乐观也不是把一年目标平均到季度，而是年底可能掌握的经营信息和市场估值组合。</w:t>
      </w:r>
    </w:p>
    <w:p>
      <w:pPr>
        <w:pStyle w:val="Normal"/>
        <w:rPr/>
      </w:pPr>
      <w:r>
        <w:rPr/>
        <w:t>基准年底未来盈利能力约</w:t>
      </w:r>
      <w:r>
        <w:rPr/>
        <w:t>362.26</w:t>
      </w:r>
      <w:r>
        <w:rPr/>
        <w:t>百万元、收入</w:t>
      </w:r>
      <w:r>
        <w:rPr/>
        <w:t>3450</w:t>
      </w:r>
      <w:r>
        <w:rPr/>
        <w:t>百万元、净利率</w:t>
      </w:r>
      <w:r>
        <w:rPr/>
        <w:t>10.50%</w:t>
      </w:r>
      <w:r>
        <w:rPr/>
        <w:t>。这是一个相对温和改善但仍保留短期不确定性的设定，要求前端增长没有显著恶化、后端毛利渐进修复、汇率损失不继续扩大。年底前可能有三季度信息和订单更新，但完整年度审计结果通常尚不可得，因此应为可见性不足保留风险。基准估值</w:t>
      </w:r>
      <w:r>
        <w:rPr/>
        <w:t>58</w:t>
      </w:r>
      <w:r>
        <w:rPr/>
        <w:t>倍高于一年</w:t>
      </w:r>
      <w:r>
        <w:rPr/>
        <w:t>52</w:t>
      </w:r>
      <w:r>
        <w:rPr/>
        <w:t>倍，反映市场在较早阶段可能给更高成长倍数，仍不保证股票上涨。</w:t>
      </w:r>
    </w:p>
    <w:p>
      <w:pPr>
        <w:pStyle w:val="Normal"/>
        <w:rPr/>
      </w:pPr>
      <w:r>
        <w:rPr/>
        <w:t>年底乐观需要季度利润和现金回款显著超预期、市场对前端全球扩张及后端</w:t>
      </w:r>
      <w:r>
        <w:rPr/>
        <w:t>ADC</w:t>
      </w:r>
      <w:r>
        <w:rPr/>
        <w:t>交付给予积极定价，减持供给顺利被吸收。其未来收入</w:t>
      </w:r>
      <w:r>
        <w:rPr/>
        <w:t>3800</w:t>
      </w:r>
      <w:r>
        <w:rPr/>
        <w:t>百万元、归母</w:t>
      </w:r>
      <w:r>
        <w:rPr/>
        <w:t>432.37</w:t>
      </w:r>
      <w:r>
        <w:rPr/>
        <w:t>百万元、净利率</w:t>
      </w:r>
      <w:r>
        <w:rPr/>
        <w:t>11.38%</w:t>
      </w:r>
      <w:r>
        <w:rPr/>
        <w:t>的设定已经比基准更强，还配</w:t>
      </w:r>
      <w:r>
        <w:rPr/>
        <w:t>72</w:t>
      </w:r>
      <w:r>
        <w:rPr/>
        <w:t>倍估值，因此含双重乐观。若只有订单新闻而利润未跟进，不应直接采用这个价格。若技术突破却库存损耗恶化，同样需分解信息，不能把市场上涨自动视作经营假设被证实。</w:t>
      </w:r>
    </w:p>
    <w:p>
      <w:pPr>
        <w:pStyle w:val="Normal"/>
        <w:rPr/>
      </w:pPr>
      <w:r>
        <w:rPr/>
        <w:t>年底悲观包含前端需求或价格不达预期、后端订单确认慢、库存或汇兑损失增加、潜在转股及减持供给压制、市场风险偏好下降。未来收入</w:t>
      </w:r>
      <w:r>
        <w:rPr/>
        <w:t>3000</w:t>
      </w:r>
      <w:r>
        <w:rPr/>
        <w:t>百万元、归母</w:t>
      </w:r>
      <w:r>
        <w:rPr/>
        <w:t>245.40</w:t>
      </w:r>
      <w:r>
        <w:rPr/>
        <w:t>百万元、净利率</w:t>
      </w:r>
      <w:r>
        <w:rPr/>
        <w:t>8.18%</w:t>
      </w:r>
      <w:r>
        <w:rPr/>
        <w:t>仍接近历史水平，估值降至</w:t>
      </w:r>
      <w:r>
        <w:rPr/>
        <w:t>38</w:t>
      </w:r>
      <w:r>
        <w:rPr/>
        <w:t>倍就造成较大价格跌幅。这说明高价购买成长股的主要风险可以是重新定价，而不必公司倒闭。情景没有给每个风险编造独立概率，也没有用风险清单长度机械决定权重。</w:t>
      </w:r>
    </w:p>
    <w:p>
      <w:pPr>
        <w:pStyle w:val="Normal"/>
        <w:rPr/>
      </w:pPr>
      <w:r>
        <w:rPr/>
        <w:t>默认</w:t>
      </w:r>
      <w:r>
        <w:rPr/>
        <w:t>25%/50%/25%</w:t>
      </w:r>
      <w:r>
        <w:rPr/>
        <w:t>是研究判断权重，数学期望</w:t>
      </w:r>
      <w:r>
        <w:rPr/>
        <w:t>88.225</w:t>
      </w:r>
      <w:r>
        <w:rPr/>
        <w:t>元、回报负</w:t>
      </w:r>
      <w:r>
        <w:rPr/>
        <w:t>5.30%</w:t>
      </w:r>
      <w:r>
        <w:rPr/>
        <w:t>。更保守</w:t>
      </w:r>
      <w:r>
        <w:rPr/>
        <w:t>40%/50%/10%</w:t>
      </w:r>
      <w:r>
        <w:rPr/>
        <w:t>为</w:t>
      </w:r>
      <w:r>
        <w:rPr/>
        <w:t>74.23</w:t>
      </w:r>
      <w:r>
        <w:rPr/>
        <w:t>元，回报约负</w:t>
      </w:r>
      <w:r>
        <w:rPr/>
        <w:t>20.32%</w:t>
      </w:r>
      <w:r>
        <w:rPr/>
        <w:t>；更积极</w:t>
      </w:r>
      <w:r>
        <w:rPr/>
        <w:t>10%/50%/40%</w:t>
      </w:r>
      <w:r>
        <w:rPr/>
        <w:t>为</w:t>
      </w:r>
      <w:r>
        <w:rPr/>
        <w:t>102.22</w:t>
      </w:r>
      <w:r>
        <w:rPr/>
        <w:t>元，约正</w:t>
      </w:r>
      <w:r>
        <w:rPr/>
        <w:t>9.73%</w:t>
      </w:r>
      <w:r>
        <w:rPr/>
        <w:t>。权重敏感性说明结论对乐观和悲观取舍有实质依赖，不能把单一期望当作公允价值唯一答案。个人投资决策可用不同判断，但须保留同一场景价格和公式，不能改完权重却继续引用旧期望值。</w:t>
      </w:r>
    </w:p>
    <w:p>
      <w:pPr>
        <w:pStyle w:val="Normal"/>
        <w:rPr/>
      </w:pPr>
      <w:r>
        <w:rPr/>
        <w:t>本轮未得到截止日前公开可核验的外资机构皓元目标价，机构、日期、币种、期限字段保留缺失。国内研究报道若存在，不自动算作外资，也不将没有原文的网络价位填进模型。查不到不代表没有机构覆盖，而是本章证据集不具备可验证条目。后续如取得报告，应核对是否在重大事件前、是否包含转债稀释、目标期限和利润口径；十二个月目标只用于一年交叉参照，不能直接当年底价格。</w:t>
      </w:r>
    </w:p>
    <w:p>
      <w:pPr>
        <w:pStyle w:val="Heading2"/>
        <w:rPr/>
      </w:pPr>
      <w:r>
        <w:rPr>
          <w:color w:val="000000"/>
        </w:rPr>
        <w:t>期限内催化 失败路径与十年展望</w:t>
      </w:r>
    </w:p>
    <w:p>
      <w:pPr>
        <w:pStyle w:val="Normal"/>
        <w:rPr/>
      </w:pPr>
      <w:r>
        <w:rPr/>
        <w:t>半年催化主要是三季度及年度预告信息、前端订单与收入增速、后端毛利改善、现金回款以及转债和减持实施进度。目标日</w:t>
      </w:r>
      <w:r>
        <w:rPr/>
        <w:t>2027</w:t>
      </w:r>
      <w:r>
        <w:rPr/>
        <w:t>年四月九日可能早于</w:t>
      </w:r>
      <w:r>
        <w:rPr/>
        <w:t>2026</w:t>
      </w:r>
      <w:r>
        <w:rPr/>
        <w:t>年完整年报发布时间，不能假定届时所有年报附注已公开，因此半年估值依赖已知公告和当时可见盈利能力。价格回到二十日线以上只是一个市场确认因素，必须配经营证据。若未有更好利润和量价，</w:t>
      </w:r>
      <w:r>
        <w:rPr/>
        <w:t>62.2</w:t>
      </w:r>
      <w:r>
        <w:rPr/>
        <w:t>分更适合观察而非全年最优先选择。</w:t>
      </w:r>
    </w:p>
    <w:p>
      <w:pPr>
        <w:pStyle w:val="Normal"/>
        <w:rPr/>
      </w:pPr>
      <w:r>
        <w:rPr/>
        <w:t>一年催化是在完整年度信息和</w:t>
      </w:r>
      <w:r>
        <w:rPr/>
        <w:t>2027</w:t>
      </w:r>
      <w:r>
        <w:rPr/>
        <w:t>中报下，市场能够较清楚评价试剂平台规模效应、后端产能爬坡及现金转换。基准</w:t>
      </w:r>
      <w:r>
        <w:rPr/>
        <w:t>EPS2.25</w:t>
      </w:r>
      <w:r>
        <w:rPr/>
        <w:t>元要求真实利润约</w:t>
      </w:r>
      <w:r>
        <w:rPr/>
        <w:t>526</w:t>
      </w:r>
      <w:r>
        <w:rPr/>
        <w:t>百万元，不能把未经调整的合成效率或在手订单代替。若前端增速仍高，但管理销售费用继续增长更快、后端毛利不升，则一年利润可能达不到预期，应降目标或倍数。风险减少和盈利上升可以一起驱动收益，二者的证据都应保留。</w:t>
      </w:r>
    </w:p>
    <w:p>
      <w:pPr>
        <w:pStyle w:val="Normal"/>
        <w:rPr/>
      </w:pPr>
      <w:r>
        <w:rPr/>
        <w:t>三年催化是公司从单纯扩目录和建基地，转向更稳定的全球供应和商业生产体系。所需要的结果包括前端复购、复杂试剂占比与海外渠道效率提高，后端更多客户项目进入大批量交付，投入资产产生现金回报。公司可以在收入增长中获得规模效应，但跨地区管理、人力和环保成本也可能抵消。</w:t>
      </w:r>
      <w:r>
        <w:rPr/>
        <w:t>76.3</w:t>
      </w:r>
      <w:r>
        <w:rPr/>
        <w:t>分体现这一机会，不能被理解成高确定性兑现；如果到</w:t>
      </w:r>
      <w:r>
        <w:rPr/>
        <w:t>2028</w:t>
      </w:r>
      <w:r>
        <w:rPr/>
        <w:t>年仍看不到现金质量改善，就应提前重新评价而非等目标日。</w:t>
      </w:r>
    </w:p>
    <w:p>
      <w:pPr>
        <w:pStyle w:val="Normal"/>
        <w:rPr/>
      </w:pPr>
      <w:r>
        <w:rPr/>
        <w:t>五年目标更依赖经营可持续性，产品目录必须保持研究相关性、质量可信和成本可控，生产业务必须形成合规记录与适应客户的工艺。长期竞争者可能复制通用产品和数字渠道，客户也会整合采购平台，现有广度未必永久领先。模型</w:t>
      </w:r>
      <w:r>
        <w:rPr/>
        <w:t>PE</w:t>
      </w:r>
      <w:r>
        <w:rPr/>
        <w:t>从一年</w:t>
      </w:r>
      <w:r>
        <w:rPr/>
        <w:t>52</w:t>
      </w:r>
      <w:r>
        <w:rPr/>
        <w:t>倍逐步降到五年</w:t>
      </w:r>
      <w:r>
        <w:rPr/>
        <w:t>38</w:t>
      </w:r>
      <w:r>
        <w:rPr/>
        <w:t>倍正是对成熟和竞争的考虑。若增长动力只来自不断并购却资本回报低、自由现金流长期不足，则五年基础假设应被推翻。</w:t>
      </w:r>
    </w:p>
    <w:p>
      <w:pPr>
        <w:pStyle w:val="Normal"/>
        <w:rPr/>
      </w:pPr>
      <w:r>
        <w:rPr/>
        <w:t>十年展望不给未经核验的</w:t>
      </w:r>
      <w:r>
        <w:rPr/>
        <w:t>2036</w:t>
      </w:r>
      <w:r>
        <w:rPr/>
        <w:t>年股价。可持续优势应来自经过验证的化学与生化产品、实验数据、稳定全球交付、复杂工艺与商业供应能力，而不是当前某一个热门研发主题。如果未来药物研发越来越多采用新分子类别，公司需要持续更新目录和能力；若人工智能使通用合成更便宜，公司需要在验证、质量和复杂任务保持价值。长期经营成功可能仍存在，但价格回报同时取决于买入估值、稀释和现金分配，不能把十年行业发展等同于股票必然倍增。</w:t>
      </w:r>
    </w:p>
    <w:p>
      <w:pPr>
        <w:pStyle w:val="Normal"/>
        <w:rPr/>
      </w:pPr>
      <w:r>
        <w:rPr/>
        <w:t>明确反证包括连续多个期间前端收入增长明显失速、综合毛利回吐而费用不降、后端订单增加却收入及利用率迟迟不转化、库存准备比例和现金占用持续上升、客户质量或合规出现重大问题、受限现金与短债同时增加、持续融资稀释超过经营收益。任一重要反证出现，应重估相关情景而非简单只降低技术分。反证可由公开财报、专项公告与真实交易数据确认，研究者不需要等待股价先跌到悲观目标才承认假设改变。</w:t>
      </w:r>
    </w:p>
    <w:p>
      <w:pPr>
        <w:pStyle w:val="Normal"/>
        <w:rPr/>
      </w:pPr>
      <w:r>
        <w:rPr/>
        <w:t>最终判断是皓元具有较强前端成长证据和有条件的后端修复空间，但现价估值与现金、资本结构使短期推荐不能排在最前。中长期评分较高的前提是增长真正进入归母和自由现金流，且完全转股后的每股权益仍持续提高。所有价格是透明经营与倍数假设的输出，后续财报与股数变化会触发刷新。现阶段应同时阅读目标空间、悲观损失和证据缺口，才能判断这一候选是否符合进取型组合所承受的波动。</w:t>
      </w:r>
    </w:p>
    <w:p>
      <w:pPr>
        <w:pStyle w:val="Heading2"/>
        <w:rPr/>
      </w:pPr>
      <w:r>
        <w:rPr>
          <w:color w:val="000000"/>
        </w:rPr>
        <w:t>来源与核验记录</w:t>
      </w:r>
    </w:p>
    <w:p>
      <w:pPr>
        <w:pStyle w:val="Normal"/>
        <w:rPr/>
      </w:pPr>
      <w:r>
        <w:rPr/>
        <w:t>1. [2026</w:t>
      </w:r>
      <w:r>
        <w:rPr/>
        <w:t>年半年度报告，</w:t>
      </w:r>
      <w:r>
        <w:rPr/>
        <w:t>2026-08-27](https://static.cninfo.com.cn/finalpage/2026-08-27/1225513068.PDF)</w:t>
      </w:r>
      <w:r>
        <w:rPr/>
        <w:t>，原</w:t>
      </w:r>
      <w:r>
        <w:rPr/>
        <w:t>PDF284</w:t>
      </w:r>
      <w:r>
        <w:rPr/>
        <w:t>页。主要财务</w:t>
      </w:r>
      <w:r>
        <w:rPr/>
        <w:t>9—10</w:t>
      </w:r>
      <w:r>
        <w:rPr/>
        <w:t>、业务</w:t>
      </w:r>
      <w:r>
        <w:rPr/>
        <w:t>16—23</w:t>
      </w:r>
      <w:r>
        <w:rPr/>
        <w:t>、研发投入相关章节、风险</w:t>
      </w:r>
      <w:r>
        <w:rPr/>
        <w:t>53—54</w:t>
      </w:r>
      <w:r>
        <w:rPr/>
        <w:t>、资产负债</w:t>
      </w:r>
      <w:r>
        <w:rPr/>
        <w:t>111—113</w:t>
      </w:r>
      <w:r>
        <w:rPr/>
        <w:t>、利润</w:t>
      </w:r>
      <w:r>
        <w:rPr/>
        <w:t>115—117</w:t>
      </w:r>
      <w:r>
        <w:rPr/>
        <w:t>、现金流</w:t>
      </w:r>
      <w:r>
        <w:rPr/>
        <w:t>119—121</w:t>
      </w:r>
      <w:r>
        <w:rPr/>
        <w:t>、债务</w:t>
      </w:r>
      <w:r>
        <w:rPr/>
        <w:t>222—225</w:t>
      </w:r>
      <w:r>
        <w:rPr/>
        <w:t>、费用</w:t>
      </w:r>
      <w:r>
        <w:rPr/>
        <w:t>234</w:t>
      </w:r>
      <w:r>
        <w:rPr/>
        <w:t>、减值</w:t>
      </w:r>
      <w:r>
        <w:rPr/>
        <w:t>236</w:t>
      </w:r>
      <w:r>
        <w:rPr/>
        <w:t>、现金桥</w:t>
      </w:r>
      <w:r>
        <w:rPr/>
        <w:t>241</w:t>
      </w:r>
      <w:r>
        <w:rPr/>
        <w:t>、受限现金</w:t>
      </w:r>
      <w:r>
        <w:rPr/>
        <w:t>242</w:t>
      </w:r>
      <w:r>
        <w:rPr/>
        <w:t>、外币</w:t>
      </w:r>
      <w:r>
        <w:rPr/>
        <w:t>242—243</w:t>
      </w:r>
      <w:r>
        <w:rPr/>
        <w:t>。金额原单位元，正文统一除以一百万。</w:t>
      </w:r>
    </w:p>
    <w:p>
      <w:pPr>
        <w:pStyle w:val="Normal"/>
        <w:rPr/>
      </w:pPr>
      <w:r>
        <w:rPr/>
        <w:t>2. [2025</w:t>
      </w:r>
      <w:r>
        <w:rPr/>
        <w:t>年年度报告更新版，</w:t>
      </w:r>
      <w:r>
        <w:rPr/>
        <w:t>2026-04-24](https://static.cninfo.com.cn/finalpage/2026-04-24/1225160544.PDF)</w:t>
      </w:r>
      <w:r>
        <w:rPr/>
        <w:t>，</w:t>
      </w:r>
      <w:r>
        <w:rPr/>
        <w:t>352</w:t>
      </w:r>
      <w:r>
        <w:rPr/>
        <w:t>页；</w:t>
      </w:r>
      <w:r>
        <w:rPr/>
        <w:t>[</w:t>
      </w:r>
      <w:r>
        <w:rPr/>
        <w:t>首次刊载版本，</w:t>
      </w:r>
      <w:r>
        <w:rPr/>
        <w:t>2026-04-23](https://static.cninfo.com.cn/finalpage/2026-04-23/1225154385.PDF)</w:t>
      </w:r>
      <w:r>
        <w:rPr/>
        <w:t>。历史财务</w:t>
      </w:r>
      <w:r>
        <w:rPr/>
        <w:t>12—14</w:t>
      </w:r>
      <w:r>
        <w:rPr/>
        <w:t>、分部</w:t>
      </w:r>
      <w:r>
        <w:rPr/>
        <w:t>63</w:t>
      </w:r>
      <w:r>
        <w:rPr/>
        <w:t>附近、利润</w:t>
      </w:r>
      <w:r>
        <w:rPr/>
        <w:t>178—180</w:t>
      </w:r>
      <w:r>
        <w:rPr/>
        <w:t>、现金流</w:t>
      </w:r>
      <w:r>
        <w:rPr/>
        <w:t>182—183</w:t>
      </w:r>
      <w:r>
        <w:rPr/>
        <w:t>、重估</w:t>
      </w:r>
      <w:r>
        <w:rPr/>
        <w:t>299</w:t>
      </w:r>
      <w:r>
        <w:rPr/>
        <w:t>、减值</w:t>
      </w:r>
      <w:r>
        <w:rPr/>
        <w:t>300</w:t>
      </w:r>
      <w:r>
        <w:rPr/>
        <w:t>、报废</w:t>
      </w:r>
      <w:r>
        <w:rPr/>
        <w:t>301—302</w:t>
      </w:r>
      <w:r>
        <w:rPr/>
        <w:t>。首次和更新日分开保留，版本差异尚未全篇逐项比对。</w:t>
      </w:r>
    </w:p>
    <w:p>
      <w:pPr>
        <w:pStyle w:val="Normal"/>
        <w:rPr/>
      </w:pPr>
      <w:r>
        <w:rPr/>
        <w:t>3. [</w:t>
      </w:r>
      <w:r>
        <w:rPr/>
        <w:t>可转债转股及股份变动，</w:t>
      </w:r>
      <w:r>
        <w:rPr/>
        <w:t>2026-10-09](https://static.cninfo.com.cn/finalpage/2026-10-09/1225596147.PDF)</w:t>
      </w:r>
      <w:r>
        <w:rPr/>
        <w:t>，</w:t>
      </w:r>
      <w:r>
        <w:rPr/>
        <w:t>5</w:t>
      </w:r>
      <w:r>
        <w:rPr/>
        <w:t>页，</w:t>
      </w:r>
      <w:r>
        <w:rPr/>
        <w:t>9/30</w:t>
      </w:r>
      <w:r>
        <w:rPr/>
        <w:t>股数</w:t>
      </w:r>
      <w:r>
        <w:rPr/>
        <w:t>213234116</w:t>
      </w:r>
      <w:r>
        <w:rPr/>
        <w:t>、剩余本金</w:t>
      </w:r>
      <w:r>
        <w:rPr/>
        <w:t>821836000</w:t>
      </w:r>
      <w:r>
        <w:rPr/>
        <w:t>元；具体首次公开时刻未核，保守标注可能盘后，不解释当日行情。</w:t>
      </w:r>
    </w:p>
    <w:p>
      <w:pPr>
        <w:pStyle w:val="Normal"/>
        <w:rPr/>
      </w:pPr>
      <w:r>
        <w:rPr/>
        <w:t>4. [</w:t>
      </w:r>
      <w:r>
        <w:rPr/>
        <w:t>半年度分派实施，</w:t>
      </w:r>
      <w:r>
        <w:rPr/>
        <w:t>2026-09-14](https://static.cninfo.com.cn/finalpage/2026-09-14/1225562054.PDF)</w:t>
      </w:r>
      <w:r>
        <w:rPr/>
        <w:t>，</w:t>
      </w:r>
      <w:r>
        <w:rPr/>
        <w:t>4</w:t>
      </w:r>
      <w:r>
        <w:rPr/>
        <w:t>页；每股</w:t>
      </w:r>
      <w:r>
        <w:rPr/>
        <w:t>0.09</w:t>
      </w:r>
      <w:r>
        <w:rPr/>
        <w:t>元，</w:t>
      </w:r>
      <w:r>
        <w:rPr/>
        <w:t>9/21</w:t>
      </w:r>
      <w:r>
        <w:rPr/>
        <w:t>除息和发放，已付分红不计未来收益。</w:t>
      </w:r>
    </w:p>
    <w:p>
      <w:pPr>
        <w:pStyle w:val="Normal"/>
        <w:rPr/>
      </w:pPr>
      <w:r>
        <w:rPr/>
        <w:t>5. [</w:t>
      </w:r>
      <w:r>
        <w:rPr/>
        <w:t>转股价调整，</w:t>
      </w:r>
      <w:r>
        <w:rPr/>
        <w:t>2026-09-14](https://static.cninfo.com.cn/finalpage/2026-09-14/1225562056.PDF)</w:t>
      </w:r>
      <w:r>
        <w:rPr/>
        <w:t>，</w:t>
      </w:r>
      <w:r>
        <w:rPr/>
        <w:t>4</w:t>
      </w:r>
      <w:r>
        <w:rPr/>
        <w:t>页，</w:t>
      </w:r>
      <w:r>
        <w:rPr/>
        <w:t>40.22</w:t>
      </w:r>
      <w:r>
        <w:rPr/>
        <w:t>调整</w:t>
      </w:r>
      <w:r>
        <w:rPr/>
        <w:t>40.13</w:t>
      </w:r>
      <w:r>
        <w:rPr/>
        <w:t>元，自</w:t>
      </w:r>
      <w:r>
        <w:rPr/>
        <w:t>9/21</w:t>
      </w:r>
      <w:r>
        <w:rPr/>
        <w:t>生效。</w:t>
      </w:r>
    </w:p>
    <w:p>
      <w:pPr>
        <w:pStyle w:val="Normal"/>
        <w:rPr/>
      </w:pPr>
      <w:r>
        <w:rPr/>
        <w:t>6. [</w:t>
      </w:r>
      <w:r>
        <w:rPr/>
        <w:t>员工平台减持计划，</w:t>
      </w:r>
      <w:r>
        <w:rPr/>
        <w:t>2026-09-12](https://static.cninfo.com.cn/finalpage/2026-09-12/1225559369.PDF)</w:t>
      </w:r>
      <w:r>
        <w:rPr/>
        <w:t>，</w:t>
      </w:r>
      <w:r>
        <w:rPr/>
        <w:t>8</w:t>
      </w:r>
      <w:r>
        <w:rPr/>
        <w:t>页，</w:t>
      </w:r>
      <w:r>
        <w:rPr/>
        <w:t>9/17—12/16</w:t>
      </w:r>
      <w:r>
        <w:rPr/>
        <w:t>拟不超</w:t>
      </w:r>
      <w:r>
        <w:rPr/>
        <w:t>499</w:t>
      </w:r>
      <w:r>
        <w:rPr/>
        <w:t>万股；计划与实际成交分开。</w:t>
      </w:r>
    </w:p>
    <w:p>
      <w:pPr>
        <w:pStyle w:val="Normal"/>
        <w:rPr/>
      </w:pPr>
      <w:r>
        <w:rPr/>
        <w:t>7. [</w:t>
      </w:r>
      <w:r>
        <w:rPr/>
        <w:t>回售结果，</w:t>
      </w:r>
      <w:r>
        <w:rPr/>
        <w:t>2026-09-09](https://static.cninfo.com.cn/finalpage/2026-09-09/1225553973.PDF)</w:t>
      </w:r>
      <w:r>
        <w:rPr/>
        <w:t>，</w:t>
      </w:r>
      <w:r>
        <w:rPr/>
        <w:t>3</w:t>
      </w:r>
      <w:r>
        <w:rPr/>
        <w:t>页；保留原文件，未把回售提示当作实际大额现金流。</w:t>
      </w:r>
    </w:p>
    <w:p>
      <w:pPr>
        <w:pStyle w:val="Normal"/>
        <w:rPr/>
      </w:pPr>
      <w:r>
        <w:rPr/>
        <w:t xml:space="preserve">8. </w:t>
      </w:r>
      <w:r>
        <w:rPr/>
        <w:t>腾讯现价与日线、</w:t>
      </w:r>
      <w:r>
        <w:rPr/>
        <w:t>Yahoo</w:t>
      </w:r>
      <w:r>
        <w:rPr/>
        <w:t>日线及新浪现价见</w:t>
      </w:r>
      <w:r>
        <w:rPr/>
        <w:t>market_snapshot_locked.json</w:t>
      </w:r>
      <w:r>
        <w:rPr/>
        <w:t>中</w:t>
      </w:r>
      <w:r>
        <w:rPr/>
        <w:t>S017</w:t>
      </w:r>
      <w:r>
        <w:rPr/>
        <w:t>对应源</w:t>
      </w:r>
      <w:r>
        <w:rPr/>
        <w:t>URL</w:t>
      </w:r>
      <w:r>
        <w:rPr/>
        <w:t>、抓取时间、原字段与</w:t>
      </w:r>
      <w:r>
        <w:rPr/>
        <w:t>crossValidation</w:t>
      </w:r>
      <w:r>
        <w:rPr/>
        <w:t>；历史</w:t>
      </w:r>
      <w:r>
        <w:rPr/>
        <w:t>data/history/S017.json</w:t>
      </w:r>
      <w:r>
        <w:rPr/>
        <w:t>。股票价格锚</w:t>
      </w:r>
      <w:r>
        <w:rPr/>
        <w:t>2026-10-09</w:t>
      </w:r>
      <w:r>
        <w:rPr/>
        <w:t>，行情原数据锁版</w:t>
      </w:r>
      <w:r>
        <w:rPr/>
        <w:t>market-v1.4</w:t>
      </w:r>
      <w:r>
        <w:rPr/>
        <w:t>。本章不改行情。</w:t>
      </w:r>
    </w:p>
    <w:p>
      <w:pPr>
        <w:pStyle w:val="Normal"/>
        <w:rPr/>
      </w:pPr>
      <w:r>
        <w:rPr/>
        <w:t xml:space="preserve">9. </w:t>
      </w:r>
      <w:r>
        <w:rPr/>
        <w:t>模型</w:t>
      </w:r>
      <w:r>
        <w:rPr/>
        <w:t>tools/haoyuan_model.mjs</w:t>
      </w:r>
      <w:r>
        <w:rPr/>
        <w:t>、</w:t>
      </w:r>
      <w:r>
        <w:rPr/>
        <w:t>data/haoyuan_model.json</w:t>
      </w:r>
      <w:r>
        <w:rPr/>
        <w:t>；评分权重半年</w:t>
      </w:r>
      <w:r>
        <w:rPr/>
        <w:t>25/30/15/10/10/10</w:t>
      </w:r>
      <w:r>
        <w:rPr/>
        <w:t>、一年</w:t>
      </w:r>
      <w:r>
        <w:rPr/>
        <w:t>25/15/25/15/10/10</w:t>
      </w:r>
      <w:r>
        <w:rPr/>
        <w:t>、三年</w:t>
      </w:r>
      <w:r>
        <w:rPr/>
        <w:t>25/5/35/20/5/10</w:t>
      </w:r>
      <w:r>
        <w:rPr/>
        <w:t>、五年</w:t>
      </w:r>
      <w:r>
        <w:rPr/>
        <w:t>20/0/40/20/5/15</w:t>
      </w:r>
      <w:r>
        <w:rPr/>
        <w:t>，每维度</w:t>
      </w:r>
      <w:r>
        <w:rPr/>
        <w:t>0—5</w:t>
      </w:r>
      <w:r>
        <w:rPr/>
        <w:t>。来源与表格不计独立有效汉字。</w:t>
      </w:r>
    </w:p>
    <w:p>
      <w:pPr>
        <w:pStyle w:val="Normal"/>
        <w:widowControl/>
        <w:bidi w:val="0"/>
        <w:spacing w:lineRule="auto" w:line="336" w:before="0" w:after="140"/>
        <w:jc w:val="start"/>
        <w:rPr/>
      </w:pPr>
      <w:r>
        <w:rPr/>
        <w:t>尚缺项目：分部完整</w:t>
      </w:r>
      <w:r>
        <w:rPr/>
        <w:t>DCF</w:t>
      </w:r>
      <w:r>
        <w:rPr/>
        <w:t>、独立历史估值分位与同业盈利桥、外资原研报、</w:t>
      </w:r>
      <w:r>
        <w:rPr/>
        <w:t>FDA</w:t>
      </w:r>
      <w:r>
        <w:rPr/>
        <w:t>监管检查原件、</w:t>
      </w:r>
      <w:r>
        <w:rPr/>
        <w:t>2025Q4</w:t>
      </w:r>
      <w:r>
        <w:rPr/>
        <w:t>完整利润桥、非经常处置分类桥、</w:t>
      </w:r>
      <w:r>
        <w:rPr/>
        <w:t>CXO</w:t>
      </w:r>
      <w:r>
        <w:rPr/>
        <w:t>细分指数，以及截止日专项公告精确首次公开时刻。上述缺口不以填造数据补齐；本稿核验通过仅说明现有事实、计算、字数和重复检查通过，不代表所有问题已获得原始证据。</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2026-10-11T16:23:32Z</dcterms:modified>
  <cp:revision>2</cp:revision>
  <dc:subject>研究数据版本 63ca87a2011995a6</dc:subject>
  <dc:title>公司深研 · 第05卷</dc:title>
</cp:coreProperties>
</file>

<file path=docProps/custom.xml><?xml version="1.0" encoding="utf-8"?>
<Properties xmlns="http://schemas.openxmlformats.org/officeDocument/2006/custom-properties" xmlns:vt="http://schemas.openxmlformats.org/officeDocument/2006/docPropsVTypes"/>
</file>