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color w:val="000000"/>
        </w:rPr>
        <w:t>公司深研 第</w:t>
      </w:r>
      <w:r>
        <w:rPr>
          <w:color w:val="000000"/>
        </w:rPr>
        <w:t>07</w:t>
      </w:r>
      <w:r>
        <w:rPr>
          <w:color w:val="000000"/>
        </w:rPr>
        <w:t>卷</w:t>
      </w:r>
    </w:p>
    <w:p>
      <w:pPr>
        <w:pStyle w:val="Normal"/>
        <w:rPr/>
      </w:pPr>
      <w:r>
        <w:rPr/>
        <w:t>本卷</w:t>
      </w:r>
      <w:r>
        <w:rPr/>
        <w:t>8</w:t>
      </w:r>
      <w:r>
        <w:rPr/>
        <w:t>家公司 按四榜最高名次 同名次一年得分及代码安排</w:t>
      </w:r>
    </w:p>
    <w:p>
      <w:pPr>
        <w:pStyle w:val="Normal"/>
        <w:rPr/>
      </w:pPr>
      <w:r>
        <w:rPr/>
        <w:t>资料截止：</w:t>
      </w:r>
      <w:r>
        <w:rPr/>
        <w:t>2026</w:t>
      </w:r>
      <w:r>
        <w:rPr/>
        <w:t>年</w:t>
      </w:r>
      <w:r>
        <w:rPr/>
        <w:t>10</w:t>
      </w:r>
      <w:r>
        <w:rPr/>
        <w:t>月</w:t>
      </w:r>
      <w:r>
        <w:rPr/>
        <w:t>9</w:t>
      </w:r>
      <w:r>
        <w:rPr/>
        <w:t>日。所有未来价格、盈利、估值、分红和汇率均为研究假设。研究覆盖</w:t>
      </w:r>
      <w:r>
        <w:rPr/>
        <w:t>92</w:t>
      </w:r>
      <w:r>
        <w:rPr/>
        <w:t>家公司、</w:t>
      </w:r>
      <w:r>
        <w:rPr/>
        <w:t>96</w:t>
      </w:r>
      <w:r>
        <w:rPr/>
        <w:t>个股票证券，全部公司正文通过一万有效汉字门槛。</w:t>
      </w:r>
      <w:r>
        <w:rPr/>
        <w:t>91</w:t>
      </w:r>
      <w:r>
        <w:rPr/>
        <w:t>个可评估证券形成四期限排名，</w:t>
      </w:r>
      <w:r>
        <w:rPr/>
        <w:t>5</w:t>
      </w:r>
      <w:r>
        <w:rPr/>
        <w:t xml:space="preserve">个条件研究证券保留独立分析并暂不排名。全部公司深研和股票模型已覆盖，文档按同一数据版本生成。初版结论可随新增证据修订。数据版本 </w:t>
      </w:r>
      <w:r>
        <w:rPr/>
        <w:t>63ca87a2011995a6</w:t>
      </w:r>
      <w:r>
        <w:rPr/>
        <w:t>。</w:t>
      </w:r>
    </w:p>
    <w:p>
      <w:pPr>
        <w:pStyle w:val="Normal"/>
        <w:rPr/>
      </w:pPr>
      <w:r>
        <w:rPr/>
      </w:r>
      <w:r>
        <w:br w:type="page"/>
      </w:r>
    </w:p>
    <w:p>
      <w:pPr>
        <w:pStyle w:val="Normal"/>
        <w:spacing w:before="0" w:after="140"/>
        <w:rPr/>
      </w:pPr>
      <w:r>
        <w:rPr>
          <w:b/>
          <w:sz w:val="34"/>
        </w:rPr>
        <w:t>目录</w:t>
      </w:r>
    </w:p>
    <w:sdt>
      <w:sdtPr>
        <w:docPartObj>
          <w:docPartGallery w:val="Table of Contents"/>
          <w:docPartUnique w:val="true"/>
        </w:docPartObj>
      </w:sdtPr>
      <w:sdtContent>
        <w:p>
          <w:pPr>
            <w:pStyle w:val="TOC1"/>
            <w:tabs>
              <w:tab w:val="clear" w:pos="9858"/>
              <w:tab w:val="right" w:pos="9857" w:leader="dot"/>
            </w:tabs>
            <w:rPr/>
          </w:pPr>
          <w:r>
            <w:fldChar w:fldCharType="begin"/>
          </w:r>
          <w:r>
            <w:rPr>
              <w:rStyle w:val="Style5"/>
            </w:rPr>
            <w:instrText xml:space="preserve"> TOC \f \o "1-1" \h</w:instrText>
          </w:r>
          <w:r>
            <w:rPr>
              <w:rStyle w:val="Style5"/>
            </w:rPr>
            <w:fldChar w:fldCharType="separate"/>
          </w:r>
          <w:hyperlink w:anchor="__RefHeading___Toc38176_1364803659" w:tooltip="阿里健康 00241 HK">
            <w:r>
              <w:rPr>
                <w:rStyle w:val="Style5"/>
              </w:rPr>
              <w:t xml:space="preserve">阿里健康 </w:t>
            </w:r>
            <w:r>
              <w:rPr>
                <w:rStyle w:val="Style5"/>
              </w:rPr>
              <w:t>00241 HK</w:t>
              <w:tab/>
              <w:t>3</w:t>
            </w:r>
          </w:hyperlink>
        </w:p>
        <w:p>
          <w:pPr>
            <w:pStyle w:val="TOC1"/>
            <w:tabs>
              <w:tab w:val="clear" w:pos="9858"/>
              <w:tab w:val="right" w:pos="9857" w:leader="dot"/>
            </w:tabs>
            <w:rPr/>
          </w:pPr>
          <w:hyperlink w:anchor="__RefHeading___Toc38178_1364803659" w:tooltip="华虹宏力 01347 HK">
            <w:r>
              <w:rPr>
                <w:rStyle w:val="Style5"/>
              </w:rPr>
              <w:t xml:space="preserve">华虹宏力 </w:t>
            </w:r>
            <w:r>
              <w:rPr>
                <w:rStyle w:val="Style5"/>
              </w:rPr>
              <w:t>01347 HK</w:t>
              <w:tab/>
              <w:t>25</w:t>
            </w:r>
          </w:hyperlink>
        </w:p>
        <w:p>
          <w:pPr>
            <w:pStyle w:val="TOC1"/>
            <w:tabs>
              <w:tab w:val="clear" w:pos="9858"/>
              <w:tab w:val="right" w:pos="9857" w:leader="dot"/>
            </w:tabs>
            <w:rPr/>
          </w:pPr>
          <w:hyperlink w:anchor="__RefHeading___Toc38180_1364803659" w:tooltip="京东集团 SW 09618 HK">
            <w:r>
              <w:rPr>
                <w:rStyle w:val="Style5"/>
              </w:rPr>
              <w:t xml:space="preserve">京东集团 </w:t>
            </w:r>
            <w:r>
              <w:rPr>
                <w:rStyle w:val="Style5"/>
              </w:rPr>
              <w:t>SW 09618 HK</w:t>
              <w:tab/>
              <w:t>48</w:t>
            </w:r>
          </w:hyperlink>
        </w:p>
        <w:p>
          <w:pPr>
            <w:pStyle w:val="TOC1"/>
            <w:tabs>
              <w:tab w:val="clear" w:pos="9858"/>
              <w:tab w:val="right" w:pos="9857" w:leader="dot"/>
            </w:tabs>
            <w:rPr/>
          </w:pPr>
          <w:hyperlink w:anchor="__RefHeading___Toc38182_1364803659" w:tooltip="中广核新能源 01811 HK">
            <w:r>
              <w:rPr>
                <w:rStyle w:val="Style5"/>
              </w:rPr>
              <w:t xml:space="preserve">中广核新能源 </w:t>
            </w:r>
            <w:r>
              <w:rPr>
                <w:rStyle w:val="Style5"/>
              </w:rPr>
              <w:t>01811 HK</w:t>
              <w:tab/>
              <w:t>67</w:t>
            </w:r>
          </w:hyperlink>
        </w:p>
        <w:p>
          <w:pPr>
            <w:pStyle w:val="TOC1"/>
            <w:tabs>
              <w:tab w:val="clear" w:pos="9858"/>
              <w:tab w:val="right" w:pos="9857" w:leader="dot"/>
            </w:tabs>
            <w:rPr/>
          </w:pPr>
          <w:hyperlink w:anchor="__RefHeading___Toc38184_1364803659" w:tooltip="博腾股份 300363 SZ">
            <w:r>
              <w:rPr>
                <w:rStyle w:val="Style5"/>
              </w:rPr>
              <w:t xml:space="preserve">博腾股份 </w:t>
            </w:r>
            <w:r>
              <w:rPr>
                <w:rStyle w:val="Style5"/>
              </w:rPr>
              <w:t>300363 SZ</w:t>
              <w:tab/>
              <w:t>86</w:t>
            </w:r>
          </w:hyperlink>
        </w:p>
        <w:p>
          <w:pPr>
            <w:pStyle w:val="TOC1"/>
            <w:tabs>
              <w:tab w:val="clear" w:pos="9858"/>
              <w:tab w:val="right" w:pos="9857" w:leader="dot"/>
            </w:tabs>
            <w:rPr/>
          </w:pPr>
          <w:hyperlink w:anchor="__RefHeading___Toc38186_1364803659" w:tooltip="美迪西 688202 SH">
            <w:r>
              <w:rPr>
                <w:rStyle w:val="Style5"/>
              </w:rPr>
              <w:t xml:space="preserve">美迪西 </w:t>
            </w:r>
            <w:r>
              <w:rPr>
                <w:rStyle w:val="Style5"/>
              </w:rPr>
              <w:t>688202 SH</w:t>
              <w:tab/>
              <w:t>106</w:t>
            </w:r>
          </w:hyperlink>
        </w:p>
        <w:p>
          <w:pPr>
            <w:pStyle w:val="TOC1"/>
            <w:tabs>
              <w:tab w:val="clear" w:pos="9858"/>
              <w:tab w:val="right" w:pos="9857" w:leader="dot"/>
            </w:tabs>
            <w:rPr/>
          </w:pPr>
          <w:hyperlink w:anchor="__RefHeading___Toc38188_1364803659" w:tooltip="东方甄选 01797 HK">
            <w:r>
              <w:rPr>
                <w:rStyle w:val="Style5"/>
              </w:rPr>
              <w:t xml:space="preserve">东方甄选 </w:t>
            </w:r>
            <w:r>
              <w:rPr>
                <w:rStyle w:val="Style5"/>
              </w:rPr>
              <w:t>01797 HK</w:t>
              <w:tab/>
              <w:t>125</w:t>
            </w:r>
          </w:hyperlink>
        </w:p>
        <w:p>
          <w:pPr>
            <w:pStyle w:val="TOC1"/>
            <w:tabs>
              <w:tab w:val="clear" w:pos="9858"/>
              <w:tab w:val="right" w:pos="9857" w:leader="dot"/>
            </w:tabs>
            <w:rPr/>
          </w:pPr>
          <w:hyperlink w:anchor="__RefHeading___Toc38190_1364803659" w:tooltip="丽珠医药 01513 HK">
            <w:r>
              <w:rPr>
                <w:rStyle w:val="Style5"/>
              </w:rPr>
              <w:t xml:space="preserve">丽珠医药 </w:t>
            </w:r>
            <w:r>
              <w:rPr>
                <w:rStyle w:val="Style5"/>
              </w:rPr>
              <w:t>01513 HK</w:t>
              <w:tab/>
              <w:t>141</w:t>
            </w:r>
          </w:hyperlink>
          <w:r>
            <w:rPr>
              <w:rStyle w:val="Style5"/>
            </w:rPr>
            <w:fldChar w:fldCharType="end"/>
          </w:r>
        </w:p>
      </w:sdtContent>
    </w:sdt>
    <w:p>
      <w:pPr>
        <w:pStyle w:val="Normal"/>
        <w:rPr/>
      </w:pPr>
      <w:r>
        <w:rPr/>
      </w:r>
      <w:r>
        <w:br w:type="page"/>
      </w:r>
    </w:p>
    <w:p>
      <w:pPr>
        <w:pStyle w:val="Heading1"/>
        <w:rPr/>
      </w:pPr>
      <w:bookmarkStart w:id="0" w:name="__RefHeading___Toc38176_1364803659"/>
      <w:bookmarkEnd w:id="0"/>
      <w:r>
        <w:rPr>
          <w:color w:val="000000"/>
        </w:rPr>
        <w:t xml:space="preserve">阿里健康 </w:t>
      </w:r>
      <w:r>
        <w:rPr>
          <w:color w:val="000000"/>
        </w:rPr>
        <w:t>00241 HK</w:t>
      </w:r>
    </w:p>
    <w:p>
      <w:pPr>
        <w:pStyle w:val="Normal"/>
        <w:rPr/>
      </w:pPr>
      <w:r>
        <w:rPr/>
        <w:t xml:space="preserve">00241.HK </w:t>
      </w:r>
      <w:r>
        <w:rPr/>
        <w:t xml:space="preserve">现价 </w:t>
      </w:r>
      <w:r>
        <w:rPr/>
        <w:t>2.86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+22.03%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+22.03%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+47.55%</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+102.45%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+111.19%</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+146.85%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+165.38%</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-52.45%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+11.54%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+60.14%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3.08HKD</w:t>
      </w:r>
      <w:r>
        <w:rPr/>
        <w:t>，期望股价回报</w:t>
      </w:r>
      <w:r>
        <w:rPr/>
        <w:t>+7.69%</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1.12</w:t>
              <w:br/>
              <w:t>-60.84%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3.49</w:t>
              <w:br/>
              <w:t>+22.03%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5.55</w:t>
              <w:br/>
              <w:t>+94.06%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0.93</w:t>
              <w:br/>
              <w:t>-67.48%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4.15</w:t>
              <w:br/>
              <w:t>+45.10%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7.23</w:t>
              <w:br/>
              <w:t>+152.80%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0.68</w:t>
              <w:br/>
              <w:t>-76.22%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5.79</w:t>
              <w:br/>
              <w:t>+102.45%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12.27</w:t>
              <w:br/>
              <w:t>+329.02%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+28.30%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0.47</w:t>
              <w:br/>
              <w:t>-83.57%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7.06</w:t>
              <w:br/>
              <w:t>+146.85%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17.04</w:t>
              <w:br/>
              <w:t>+495.80%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+21.56%</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中：官方财务及现价高，新闻转述指引中、长期经营率</w:t>
            </w:r>
            <w:r>
              <w:rPr>
                <w:rFonts w:eastAsia="微软雅黑" w:ascii="微软雅黑" w:hAnsi="微软雅黑"/>
                <w:sz w:val="17"/>
              </w:rPr>
              <w:t>/</w:t>
            </w:r>
            <w:r>
              <w:rPr>
                <w:rFonts w:ascii="微软雅黑" w:hAnsi="微软雅黑" w:eastAsia="微软雅黑"/>
                <w:sz w:val="17"/>
              </w:rPr>
              <w:t>股数及估值中低</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+15.93%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+22.03%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+28.13%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+40.17%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+47.55%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+54.93%</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+100.63%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+111.19%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+121.75%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+152.12%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+165.38%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+178.65%</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I067</w:t>
      </w:r>
      <w:r>
        <w:rPr/>
        <w:t>，证券</w:t>
      </w:r>
      <w:r>
        <w:rPr/>
        <w:t>S077</w:t>
      </w:r>
      <w:r>
        <w:rPr/>
        <w:t>，</w:t>
      </w:r>
      <w:r>
        <w:rPr/>
        <w:t>00241.HK</w:t>
      </w:r>
      <w:r>
        <w:rPr/>
        <w:t>（用户代码</w:t>
      </w:r>
      <w:r>
        <w:rPr/>
        <w:t>0241.HK</w:t>
      </w:r>
      <w:r>
        <w:rPr/>
        <w:t>）；研究初版。价格与信息截止</w:t>
      </w:r>
      <w:r>
        <w:rPr/>
        <w:t>2026-10-09</w:t>
      </w:r>
      <w:r>
        <w:rPr/>
        <w:t>，收盘</w:t>
      </w:r>
      <w:r>
        <w:rPr/>
        <w:t>2.86</w:t>
      </w:r>
      <w:r>
        <w:rPr/>
        <w:t>港元，财务人民币，人民币兑港币</w:t>
      </w:r>
      <w:r>
        <w:rPr/>
        <w:t>1.10</w:t>
      </w:r>
      <w:r>
        <w:rPr/>
        <w:t>为研究假设。标题、元数据、结论卡、表格、来源及共用宏观不计有效正文。</w:t>
      </w:r>
    </w:p>
    <w:p>
      <w:pPr>
        <w:pStyle w:val="Heading2"/>
        <w:rPr/>
      </w:pPr>
      <w:r>
        <w:rPr>
          <w:color w:val="000000"/>
        </w:rPr>
        <w:t>结论卡</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本章判断</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悲观／基准／乐观港元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基准股价／含息回报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58.1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弱量价中的有条件修复</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1.12</w:t>
            </w:r>
            <w:r>
              <w:rPr>
                <w:rFonts w:ascii="微软雅黑" w:hAnsi="微软雅黑" w:eastAsia="微软雅黑"/>
                <w:sz w:val="17"/>
              </w:rPr>
              <w:t>／</w:t>
            </w:r>
            <w:r>
              <w:rPr>
                <w:rFonts w:eastAsia="微软雅黑" w:ascii="微软雅黑" w:hAnsi="微软雅黑"/>
                <w:sz w:val="17"/>
              </w:rPr>
              <w:t>3.49</w:t>
            </w:r>
            <w:r>
              <w:rPr>
                <w:rFonts w:ascii="微软雅黑" w:hAnsi="微软雅黑" w:eastAsia="微软雅黑"/>
                <w:sz w:val="17"/>
              </w:rPr>
              <w:t>／</w:t>
            </w:r>
            <w:r>
              <w:rPr>
                <w:rFonts w:eastAsia="微软雅黑" w:ascii="微软雅黑" w:hAnsi="微软雅黑"/>
                <w:sz w:val="17"/>
              </w:rPr>
              <w:t>5.55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22.03%</w:t>
            </w:r>
            <w:r>
              <w:rPr>
                <w:rFonts w:ascii="微软雅黑" w:hAnsi="微软雅黑" w:eastAsia="微软雅黑"/>
                <w:sz w:val="17"/>
              </w:rPr>
              <w:t>／</w:t>
            </w:r>
            <w:r>
              <w:rPr>
                <w:rFonts w:eastAsia="微软雅黑" w:ascii="微软雅黑" w:hAnsi="微软雅黑"/>
                <w:sz w:val="17"/>
              </w:rPr>
              <w:t>22.03%</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正常利润与投入验证候选</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0.93</w:t>
            </w:r>
            <w:r>
              <w:rPr>
                <w:rFonts w:ascii="微软雅黑" w:hAnsi="微软雅黑" w:eastAsia="微软雅黑"/>
                <w:sz w:val="17"/>
              </w:rPr>
              <w:t>／</w:t>
            </w:r>
            <w:r>
              <w:rPr>
                <w:rFonts w:eastAsia="微软雅黑" w:ascii="微软雅黑" w:hAnsi="微软雅黑"/>
                <w:sz w:val="17"/>
              </w:rPr>
              <w:t>4.15</w:t>
            </w:r>
            <w:r>
              <w:rPr>
                <w:rFonts w:ascii="微软雅黑" w:hAnsi="微软雅黑" w:eastAsia="微软雅黑"/>
                <w:sz w:val="17"/>
              </w:rPr>
              <w:t>／</w:t>
            </w:r>
            <w:r>
              <w:rPr>
                <w:rFonts w:eastAsia="微软雅黑" w:ascii="微软雅黑" w:hAnsi="微软雅黑"/>
                <w:sz w:val="17"/>
              </w:rPr>
              <w:t>7.23</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45.10%</w:t>
            </w:r>
            <w:r>
              <w:rPr>
                <w:rFonts w:ascii="微软雅黑" w:hAnsi="微软雅黑" w:eastAsia="微软雅黑"/>
                <w:sz w:val="17"/>
              </w:rPr>
              <w:t>／</w:t>
            </w:r>
            <w:r>
              <w:rPr>
                <w:rFonts w:eastAsia="微软雅黑" w:ascii="微软雅黑" w:hAnsi="微软雅黑"/>
                <w:sz w:val="17"/>
              </w:rPr>
              <w:t>47.55%</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75.5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院外药和数字服务成长候选</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0.68</w:t>
            </w:r>
            <w:r>
              <w:rPr>
                <w:rFonts w:ascii="微软雅黑" w:hAnsi="微软雅黑" w:eastAsia="微软雅黑"/>
                <w:sz w:val="17"/>
              </w:rPr>
              <w:t>／</w:t>
            </w:r>
            <w:r>
              <w:rPr>
                <w:rFonts w:eastAsia="微软雅黑" w:ascii="微软雅黑" w:hAnsi="微软雅黑"/>
                <w:sz w:val="17"/>
              </w:rPr>
              <w:t>5.79</w:t>
            </w:r>
            <w:r>
              <w:rPr>
                <w:rFonts w:ascii="微软雅黑" w:hAnsi="微软雅黑" w:eastAsia="微软雅黑"/>
                <w:sz w:val="17"/>
              </w:rPr>
              <w:t>／</w:t>
            </w:r>
            <w:r>
              <w:rPr>
                <w:rFonts w:eastAsia="微软雅黑" w:ascii="微软雅黑" w:hAnsi="微软雅黑"/>
                <w:sz w:val="17"/>
              </w:rPr>
              <w:t>12.27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102.45%</w:t>
            </w:r>
            <w:r>
              <w:rPr>
                <w:rFonts w:ascii="微软雅黑" w:hAnsi="微软雅黑" w:eastAsia="微软雅黑"/>
                <w:sz w:val="17"/>
              </w:rPr>
              <w:t>／</w:t>
            </w:r>
            <w:r>
              <w:rPr>
                <w:rFonts w:eastAsia="微软雅黑" w:ascii="微软雅黑" w:hAnsi="微软雅黑"/>
                <w:sz w:val="17"/>
              </w:rPr>
              <w:t>111.19%</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渠道持续性需严格验证</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0.47</w:t>
            </w:r>
            <w:r>
              <w:rPr>
                <w:rFonts w:ascii="微软雅黑" w:hAnsi="微软雅黑" w:eastAsia="微软雅黑"/>
                <w:sz w:val="17"/>
              </w:rPr>
              <w:t>／</w:t>
            </w:r>
            <w:r>
              <w:rPr>
                <w:rFonts w:eastAsia="微软雅黑" w:ascii="微软雅黑" w:hAnsi="微软雅黑"/>
                <w:sz w:val="17"/>
              </w:rPr>
              <w:t>7.06</w:t>
            </w:r>
            <w:r>
              <w:rPr>
                <w:rFonts w:ascii="微软雅黑" w:hAnsi="微软雅黑" w:eastAsia="微软雅黑"/>
                <w:sz w:val="17"/>
              </w:rPr>
              <w:t>／</w:t>
            </w:r>
            <w:r>
              <w:rPr>
                <w:rFonts w:eastAsia="微软雅黑" w:ascii="微软雅黑" w:hAnsi="微软雅黑"/>
                <w:sz w:val="17"/>
              </w:rPr>
              <w:t>17.04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146.85%</w:t>
            </w:r>
            <w:r>
              <w:rPr>
                <w:rFonts w:ascii="微软雅黑" w:hAnsi="微软雅黑" w:eastAsia="微软雅黑"/>
                <w:sz w:val="17"/>
              </w:rPr>
              <w:t>／</w:t>
            </w:r>
            <w:r>
              <w:rPr>
                <w:rFonts w:eastAsia="微软雅黑" w:ascii="微软雅黑" w:hAnsi="微软雅黑"/>
                <w:sz w:val="17"/>
              </w:rPr>
              <w:t>165.38%</w:t>
            </w:r>
          </w:p>
        </w:tc>
      </w:tr>
    </w:tbl>
    <w:p>
      <w:pPr>
        <w:pStyle w:val="Normal"/>
        <w:rPr/>
      </w:pPr>
      <w:r>
        <w:rPr/>
      </w:r>
    </w:p>
    <w:p>
      <w:pPr>
        <w:pStyle w:val="Normal"/>
        <w:rPr/>
      </w:pPr>
      <w:r>
        <w:rPr/>
        <w:t>未来累计股息半年</w:t>
      </w:r>
      <w:r>
        <w:rPr/>
        <w:t>0</w:t>
      </w:r>
      <w:r>
        <w:rPr/>
        <w:t>／</w:t>
      </w:r>
      <w:r>
        <w:rPr/>
        <w:t>0</w:t>
      </w:r>
      <w:r>
        <w:rPr/>
        <w:t>／</w:t>
      </w:r>
      <w:r>
        <w:rPr/>
        <w:t>0</w:t>
      </w:r>
      <w:r>
        <w:rPr/>
        <w:t>，一年</w:t>
      </w:r>
      <w:r>
        <w:rPr/>
        <w:t>0.03</w:t>
      </w:r>
      <w:r>
        <w:rPr/>
        <w:t>／</w:t>
      </w:r>
      <w:r>
        <w:rPr/>
        <w:t>0.07</w:t>
      </w:r>
      <w:r>
        <w:rPr/>
        <w:t>／</w:t>
      </w:r>
      <w:r>
        <w:rPr/>
        <w:t>0.10</w:t>
      </w:r>
      <w:r>
        <w:rPr/>
        <w:t>，三年</w:t>
      </w:r>
      <w:r>
        <w:rPr/>
        <w:t>0.07</w:t>
      </w:r>
      <w:r>
        <w:rPr/>
        <w:t>／</w:t>
      </w:r>
      <w:r>
        <w:rPr/>
        <w:t>0.25</w:t>
      </w:r>
      <w:r>
        <w:rPr/>
        <w:t>／</w:t>
      </w:r>
      <w:r>
        <w:rPr/>
        <w:t>0.43</w:t>
      </w:r>
      <w:r>
        <w:rPr/>
        <w:t>，五年</w:t>
      </w:r>
      <w:r>
        <w:rPr/>
        <w:t>0.10</w:t>
      </w:r>
      <w:r>
        <w:rPr/>
        <w:t>／</w:t>
      </w:r>
      <w:r>
        <w:rPr/>
        <w:t>0.53</w:t>
      </w:r>
      <w:r>
        <w:rPr/>
        <w:t>／</w:t>
      </w:r>
      <w:r>
        <w:rPr/>
        <w:t>0.98</w:t>
      </w:r>
      <w:r>
        <w:rPr/>
        <w:t>港元，均研究假设；基准三年、五年含息年化</w:t>
      </w:r>
      <w:r>
        <w:rPr/>
        <w:t>28.30%</w:t>
      </w:r>
      <w:r>
        <w:rPr/>
        <w:t>、</w:t>
      </w:r>
      <w:r>
        <w:rPr/>
        <w:t>21.56%</w:t>
      </w:r>
      <w:r>
        <w:rPr/>
        <w:t>。</w:t>
      </w:r>
      <w:r>
        <w:rPr/>
        <w:t>2026</w:t>
      </w:r>
      <w:r>
        <w:rPr/>
        <w:t>年</w:t>
      </w:r>
      <w:r>
        <w:rPr/>
        <w:t>8</w:t>
      </w:r>
      <w:r>
        <w:rPr/>
        <w:t>月</w:t>
      </w:r>
      <w:r>
        <w:rPr/>
        <w:t>12</w:t>
      </w:r>
      <w:r>
        <w:rPr/>
        <w:t>日已除息、</w:t>
      </w:r>
      <w:r>
        <w:rPr/>
        <w:t>9</w:t>
      </w:r>
      <w:r>
        <w:rPr/>
        <w:t>月</w:t>
      </w:r>
      <w:r>
        <w:rPr/>
        <w:t>2</w:t>
      </w:r>
      <w:r>
        <w:rPr/>
        <w:t>日支付的</w:t>
      </w:r>
      <w:r>
        <w:rPr/>
        <w:t>0.2249</w:t>
      </w:r>
      <w:r>
        <w:rPr/>
        <w:t>港元普通加特别息不重复纳入未来收益。全名单名次及差小于</w:t>
      </w:r>
      <w:r>
        <w:rPr/>
        <w:t>3</w:t>
      </w:r>
      <w:r>
        <w:rPr/>
        <w:t>分的梯队由总表计算，得分不是获利概率。</w:t>
      </w:r>
    </w:p>
    <w:p>
      <w:pPr>
        <w:pStyle w:val="Normal"/>
        <w:rPr/>
      </w:pPr>
      <w:r>
        <w:rPr/>
        <w:t>年底悲观／基准／乐观</w:t>
      </w:r>
      <w:r>
        <w:rPr/>
        <w:t>1.36</w:t>
      </w:r>
      <w:r>
        <w:rPr/>
        <w:t>／</w:t>
      </w:r>
      <w:r>
        <w:rPr/>
        <w:t>3.19</w:t>
      </w:r>
      <w:r>
        <w:rPr/>
        <w:t>／</w:t>
      </w:r>
      <w:r>
        <w:rPr/>
        <w:t>4.58</w:t>
      </w:r>
      <w:r>
        <w:rPr/>
        <w:t>港元，对现价−</w:t>
      </w:r>
      <w:r>
        <w:rPr/>
        <w:t>52.45%</w:t>
      </w:r>
      <w:r>
        <w:rPr/>
        <w:t>／</w:t>
      </w:r>
      <w:r>
        <w:rPr/>
        <w:t>+11.54%</w:t>
      </w:r>
      <w:r>
        <w:rPr/>
        <w:t>／</w:t>
      </w:r>
      <w:r>
        <w:rPr/>
        <w:t>+60.14%</w:t>
      </w:r>
      <w:r>
        <w:rPr/>
        <w:t>；</w:t>
      </w:r>
      <w:r>
        <w:rPr/>
        <w:t>25%</w:t>
      </w:r>
      <w:r>
        <w:rPr/>
        <w:t>／</w:t>
      </w:r>
      <w:r>
        <w:rPr/>
        <w:t>50%</w:t>
      </w:r>
      <w:r>
        <w:rPr/>
        <w:t>／</w:t>
      </w:r>
      <w:r>
        <w:rPr/>
        <w:t>25%</w:t>
      </w:r>
      <w:r>
        <w:rPr/>
        <w:t>判断权重期望</w:t>
      </w:r>
      <w:r>
        <w:rPr/>
        <w:t>3.08</w:t>
      </w:r>
      <w:r>
        <w:rPr/>
        <w:t>港元，</w:t>
      </w:r>
      <w:r>
        <w:rPr/>
        <w:t>+7.69%</w:t>
      </w:r>
      <w:r>
        <w:rPr/>
        <w:t>。防御</w:t>
      </w:r>
      <w:r>
        <w:rPr/>
        <w:t>40%</w:t>
      </w:r>
      <w:r>
        <w:rPr/>
        <w:t>／</w:t>
      </w:r>
      <w:r>
        <w:rPr/>
        <w:t>50%</w:t>
      </w:r>
      <w:r>
        <w:rPr/>
        <w:t>／</w:t>
      </w:r>
      <w:r>
        <w:rPr/>
        <w:t>10%</w:t>
      </w:r>
      <w:r>
        <w:rPr/>
        <w:t>期望</w:t>
      </w:r>
      <w:r>
        <w:rPr/>
        <w:t>2.597</w:t>
      </w:r>
      <w:r>
        <w:rPr/>
        <w:t>港元、−</w:t>
      </w:r>
      <w:r>
        <w:rPr/>
        <w:t>9.20%</w:t>
      </w:r>
      <w:r>
        <w:rPr/>
        <w:t>；积极</w:t>
      </w:r>
      <w:r>
        <w:rPr/>
        <w:t>10%</w:t>
      </w:r>
      <w:r>
        <w:rPr/>
        <w:t>／</w:t>
      </w:r>
      <w:r>
        <w:rPr/>
        <w:t>50%</w:t>
      </w:r>
      <w:r>
        <w:rPr/>
        <w:t>／</w:t>
      </w:r>
      <w:r>
        <w:rPr/>
        <w:t>40%</w:t>
      </w:r>
      <w:r>
        <w:rPr/>
        <w:t>期望</w:t>
      </w:r>
      <w:r>
        <w:rPr/>
        <w:t>3.563</w:t>
      </w:r>
      <w:r>
        <w:rPr/>
        <w:t>港元、</w:t>
      </w:r>
      <w:r>
        <w:rPr/>
        <w:t>+24.58%</w:t>
      </w:r>
      <w:r>
        <w:rPr/>
        <w:t>。这些是经营估值情景，不是统计置信区间或最大损失边界。</w:t>
      </w:r>
    </w:p>
    <w:p>
      <w:pPr>
        <w:pStyle w:val="Normal"/>
        <w:rPr/>
      </w:pPr>
      <w:r>
        <w:rPr/>
        <w:t>核心风险：营养品及器械监管与补贴高基数、商品价格竞争、平台收费增长放缓、全渠道履约和医疗</w:t>
      </w:r>
      <w:r>
        <w:rPr/>
        <w:t>AI</w:t>
      </w:r>
      <w:r>
        <w:rPr/>
        <w:t>投入、关联流量云成本、现金财资回报下降、</w:t>
      </w:r>
      <w:r>
        <w:rPr/>
        <w:t>VIE</w:t>
      </w:r>
      <w:r>
        <w:rPr/>
        <w:t>及主席</w:t>
      </w:r>
      <w:r>
        <w:rPr/>
        <w:t>CEO</w:t>
      </w:r>
      <w:r>
        <w:rPr/>
        <w:t>合一治理、医疗责任与持续股权稀释。推荐需药品增长覆盖非药弱势、正常核心利润及现金转化改善、</w:t>
      </w:r>
      <w:r>
        <w:rPr/>
        <w:t>AI</w:t>
      </w:r>
      <w:r>
        <w:rPr/>
        <w:t>和服务获得可核付费；证据中，财报及行情高，新闻转述指引中，远期利润率及估值中低。</w:t>
      </w:r>
    </w:p>
    <w:p>
      <w:pPr>
        <w:pStyle w:val="Heading2"/>
        <w:rPr/>
      </w:pPr>
      <w:r>
        <w:rPr>
          <w:color w:val="000000"/>
        </w:rPr>
        <w:t>一 投资命题与时间边界</w:t>
      </w:r>
    </w:p>
    <w:p>
      <w:pPr>
        <w:pStyle w:val="Normal"/>
        <w:rPr/>
      </w:pPr>
      <w:r>
        <w:rPr/>
        <w:t>阿里健康已经从早期互联网医疗概念进入真实药品销售、平台服务及数字化业务的盈利阶段。本章关注的不是药品能否在线交易，而是渠道扩张与医疗技术投入能否给普通股股东留下可持续利润。公司借助淘宝天猫等入口接触消费者，承担直销库存和履约，同时向商家提供平台及广告服务，盈利既取决于药品需求，也取决于流量与供应链成本。母公司生态提供机会，却不自动构成免费资源或无条件归属上市公司的独立价值。</w:t>
      </w:r>
    </w:p>
    <w:p>
      <w:pPr>
        <w:pStyle w:val="Normal"/>
        <w:rPr/>
      </w:pPr>
      <w:r>
        <w:rPr/>
        <w:t>统一价格为二零二六年十月九日收盘二点八六港元。最新完整财务年度截至同年三月三十一日，不能把财年名称误认为自然年度。截至二零二五年九月三十日的中期属于二零二六财年上半年，截止日尚无二零二六年九月末中期财报。机构对后一期间收入和利润的预测只作预期参照；本章不以预测替代实际，也不把尚未公布的业绩作为技术走势已验证的依据。</w:t>
      </w:r>
    </w:p>
    <w:p>
      <w:pPr>
        <w:pStyle w:val="Normal"/>
        <w:rPr/>
      </w:pPr>
      <w:r>
        <w:rPr/>
        <w:t>全年业绩五月十四日收盘后发布，年报七月六日收盘后公开，二者均处于资料范围。年报还讨论五月推出氢离子，属于报告期后但截止前可用的信息，不能冒充三月末已有收入。九月十一日收盘后管理层变动和九月十五日股份奖励影响治理与资本假设，需覆盖年报时点旧身份。官网目录后来上传的日期不改变交易所首次公开时间，估值输入采用正式公告而不使用带校样占位符的文件。</w:t>
      </w:r>
    </w:p>
    <w:p>
      <w:pPr>
        <w:pStyle w:val="Normal"/>
        <w:rPr/>
      </w:pPr>
      <w:r>
        <w:rPr/>
        <w:t>进取型标准允许接受经营转型风险，却仍需比较上涨幅度与兑现难度。半年得分较低，是因为价格仍在下降均线下、下跌日成交量较大，利润指引的下调也尚待报表确认；三年得分提高，是因为供应链和医疗数字服务需要时间形成可见回报。五年不能继续无限提高推荐强度，价格透明、处方入口和母公司依赖可能削弱渠道经济性，长期目标价上升并不代表风险随时间下降。</w:t>
      </w:r>
    </w:p>
    <w:p>
      <w:pPr>
        <w:pStyle w:val="Heading2"/>
        <w:rPr/>
      </w:pPr>
      <w:r>
        <w:rPr>
          <w:color w:val="000000"/>
        </w:rPr>
        <w:t>二 收入结构与报告分部</w:t>
      </w:r>
    </w:p>
    <w:p>
      <w:pPr>
        <w:pStyle w:val="Normal"/>
        <w:rPr/>
      </w:pPr>
      <w:r>
        <w:rPr/>
        <w:t>二零二六财年收入三百四十二点五五一二二亿元，较上年三百零五点九八二九二亿元增长约一成二，前一年度为二百七十点二六五五五亿元。收入包括药品直销二百九十六点六四九八九亿元、医药电商平台三十六点三八四六六亿元、医疗与数字服务九点五一六六七亿元。直销占比约八成六点六，意味着总体收入增长首先由商品销量、价格与品类推动，不能将全公司收入理解为轻资产技术订阅。</w:t>
      </w:r>
    </w:p>
    <w:p>
      <w:pPr>
        <w:pStyle w:val="Normal"/>
        <w:rPr/>
      </w:pPr>
      <w:r>
        <w:rPr/>
        <w:t>直销收入还含相关广告及商业活动，平台收入主要反映平台服务和相关收费，医疗数字又集合多种异质业务。商品交易按总额确认与平台收费按净服务收入确认，会造成收入规模与经济价值不成比例。研究把三类收入相加后使用合并正常核心利润率，不虚构各业务独立营业利润。公司虽披露收入类别，主要经营决策者仍把整体作为一个报告分部管理，因此没有足够资料直接给每一子业务套不同利润倍数。</w:t>
      </w:r>
    </w:p>
    <w:p>
      <w:pPr>
        <w:pStyle w:val="Normal"/>
        <w:rPr/>
      </w:pPr>
      <w:r>
        <w:rPr/>
        <w:t>平台收入较上年仅增加约百分之一点四，直销增长约百分之十三点六，医疗数字增长约百分之七点五。商户和商品数量增长并未同幅转成平台收入，这说明交易规模、收费比例、流量效果与业务结构需要进一步核实。平台收入低增长不是单一原因的充分证据，可能有交易类别、商家投放、收费规则或收入确认时点影响。本章不从商户数直接推导高增长佣金，而将平台变现作为一年及三年的核心验证事项。</w:t>
      </w:r>
    </w:p>
    <w:p>
      <w:pPr>
        <w:pStyle w:val="Normal"/>
        <w:rPr/>
      </w:pPr>
      <w:r>
        <w:rPr/>
        <w:t>所有外部收入归属中国内地，主要非金融长期资产也在内地。港币上市不意味着经营风险主要在香港，收入、税负和现金生成仍由内地需求与监管决定。上市股份与人民币业务现金之间有汇率和利润分配路径，研究先计算本币股价回报，再另作人民币投资者汇率敏感性。没有披露完整分部现金流，也不能以数字服务名义把集团现金与商品利润重复分配到多个估值单元。</w:t>
      </w:r>
    </w:p>
    <w:p>
      <w:pPr>
        <w:pStyle w:val="Heading2"/>
        <w:rPr/>
      </w:pPr>
      <w:r>
        <w:rPr>
          <w:color w:val="000000"/>
        </w:rPr>
        <w:t>三 直销的竞争能力与约束</w:t>
      </w:r>
    </w:p>
    <w:p>
      <w:pPr>
        <w:pStyle w:val="Normal"/>
        <w:rPr/>
      </w:pPr>
      <w:r>
        <w:rPr/>
        <w:t>直销通过采购、库存和物流保障真品、可负担性和专业服务。药品对储存、追溯、处方和售后有特殊要求，可靠供应链比普通零售更难建设，形成一定信任和规模门槛。公司依托天猫、淘宝、支付宝、即时零售等入口扩大触达，若能使患者更便利地找到合规药品，重复需求可降低长期获客成本。不过流量广泛不等于定价能力强，消费者仍会比较同一药品在医院、线下药房和其他平台的价格。</w:t>
      </w:r>
    </w:p>
    <w:p>
      <w:pPr>
        <w:pStyle w:val="Normal"/>
        <w:rPr/>
      </w:pPr>
      <w:r>
        <w:rPr/>
        <w:t>报告期直销会员平均收入增加超过百分之十四，商品数量增加百分之七十九至约二百二十万，累计付费慢病用户增加百分之二十三。上述指标支持产品选择、会员购买和患者黏性改善，但不能互相简单相乘。商品种类更多可能增加库存复杂度，会员收入也会受到品类价格和购买频次影响。累计慢病用户不是同期新增活跃患者，更不是终身锁定客户，本章没有把账户数乘任意终身价值另加到市值。</w:t>
      </w:r>
    </w:p>
    <w:p>
      <w:pPr>
        <w:pStyle w:val="Normal"/>
        <w:rPr/>
      </w:pPr>
      <w:r>
        <w:rPr/>
        <w:t>采购规模能改善供货和部分价格条件，库存管理则决定毛利是否被损耗侵蚀。药品保质期、批次、冷链及需求波动，使扩品类既可能增加收入，也可能增加过期与滞销。全年库存计提一点三零七四八亿元，已经包含在成本，不能从正常利润再重复扣除；但未来正常利润率必须保留合理损耗。若库存增长持续快于药品需求或新品转化，报表毛利改善可能被后续减值逆转，推荐应随之下修。</w:t>
      </w:r>
    </w:p>
    <w:p>
      <w:pPr>
        <w:pStyle w:val="Normal"/>
        <w:rPr/>
      </w:pPr>
      <w:r>
        <w:rPr/>
        <w:t>直销也承担客服、退换、药事支持和仓配费用，收入规模扩张的价值取决于单位成本而非订单总数。增量订单若需要更多加急配送、复杂冷链和低价补贴，可能提高销售却不提高贡献利润。模型允许采购和履约协同逐步提升核心率，但不假设线上流量与送达成本归零。未来应同时观察商品增长、毛利、履约费用率和现金周转，单看营收超预期不足以确认估值基础提高。</w:t>
      </w:r>
    </w:p>
    <w:p>
      <w:pPr>
        <w:pStyle w:val="Heading2"/>
        <w:rPr/>
      </w:pPr>
      <w:r>
        <w:rPr>
          <w:color w:val="000000"/>
        </w:rPr>
        <w:t>四 平台与广告经济性</w:t>
      </w:r>
    </w:p>
    <w:p>
      <w:pPr>
        <w:pStyle w:val="Normal"/>
        <w:rPr/>
      </w:pPr>
      <w:r>
        <w:rPr/>
        <w:t>天猫健康平台截至报告期有交易商户约四万七千五百家，同比增长百分之二十六，有交易商品种类约二千七百五十万，增长超过百分之二十五点八。规模可以提高消费者找到商品的效率，也能向商户提供推广和运营服务。平台仍需保持广告效果与交易体验，商户愿意付费的根本是增量订单和品牌经营收益。若以更高收费弥补交易停滞，短期利润可能好看，但商户会调整预算、转向其他渠道或增加直接经营。</w:t>
      </w:r>
    </w:p>
    <w:p>
      <w:pPr>
        <w:pStyle w:val="Normal"/>
        <w:rPr/>
      </w:pPr>
      <w:r>
        <w:rPr/>
        <w:t>平台并非完全独立于母公司，淘宝天猫基础设施、营销与技术服务关系到收入与成本。关联交易显示公司既购买流量技术服务，也向阿里妈妈提供材料审查与增值服务。这些交易可能分布在收入、销售成本及不同费用，不适合全部再从已披露利润扣一次，也不适合全部视为额外利润。研究正常盈利保留持续流量成本，评估的是整个上市公司与关联体系交易后留下的收益。</w:t>
      </w:r>
    </w:p>
    <w:p>
      <w:pPr>
        <w:pStyle w:val="Normal"/>
        <w:rPr/>
      </w:pPr>
      <w:r>
        <w:rPr/>
        <w:t>新药首发和品牌合作能够吸引用户与商户，但平台不拥有这些药物的专利。年报披露新品增长计划带动重点新品交易，证明经营活动存在，却不能把交易额等同收入或净利。所谓独家首发可能仅是阶段合作，稳定经济价值取决于后续供货、复购和患者管理。估值不为每项合作单独增加药物风险调整净现值，因为本公司获得的是渠道与服务经济利益，而非完整研发商业化权利。</w:t>
      </w:r>
    </w:p>
    <w:p>
      <w:pPr>
        <w:pStyle w:val="Normal"/>
        <w:rPr/>
      </w:pPr>
      <w:r>
        <w:rPr/>
        <w:t>未来平台收入增速若明显超过直销而营销费用同步受控，可能支持更高核心率；若商户数增长而平台收费持续平缓，则需要下调规模变现假设。两种情况都应由报表而非宣传指标判定。广告负荷、商户回报和消费者信任之间存在平衡，长期模型没有无限提高收费的自由度。服务业务的利润弹性可作为成长来源，但在未获独立利润披露前只能通过合并利润与现金反向验证。</w:t>
      </w:r>
    </w:p>
    <w:p>
      <w:pPr>
        <w:pStyle w:val="Heading2"/>
        <w:rPr/>
      </w:pPr>
      <w:r>
        <w:rPr>
          <w:color w:val="000000"/>
        </w:rPr>
        <w:t>五 慢病 创新药与处方边界</w:t>
      </w:r>
    </w:p>
    <w:p>
      <w:pPr>
        <w:pStyle w:val="Normal"/>
        <w:rPr/>
      </w:pPr>
      <w:r>
        <w:rPr/>
        <w:t>慢病重复用药及患者教育支持较稳定的院外需求，线上查询、续方和送达可以降低寻找药品的时间成本。公司提到会员用药持续时间增长，这可能反映更好的依从性或用户结构，但不能据此认定临床结果已改善。慢病经营需要真实处方、药师支持、患者隐私和风险分流，重复交易价值建立在合规服务上。老龄化提供需求底盘，支付压力与价格竞争仍可能使渠道利润小于收入增长。</w:t>
      </w:r>
    </w:p>
    <w:p>
      <w:pPr>
        <w:pStyle w:val="Normal"/>
        <w:rPr/>
      </w:pPr>
      <w:r>
        <w:rPr/>
        <w:t>创新药渠道关注糖尿病、脱发、失眠和鼻炎等需求，公司扩展首发合作与药企患者服务。创新药更丰富的选择可提升专业形象和客单价，却受适应症、医保及自费能力限制。高价新品不是无限市场，患者需要合理诊疗与持续随访，平台不能通过促销替代医学决策。模型中直销增长包含品类改善的可能，但不假设所有创新药上市都对应高利润独占销售，也不计入药企全球专利价值。</w:t>
      </w:r>
    </w:p>
    <w:p>
      <w:pPr>
        <w:pStyle w:val="Normal"/>
        <w:rPr/>
      </w:pPr>
      <w:r>
        <w:rPr/>
        <w:t>减重及代谢药物引发关注，同时涉及适应症、处方审核和不当使用风险。部分机构认为监管对公司合规流程影响有限，这属于公开研报转述，而不是全国所有地区规则已统一或永久豁免。公司需要按现行许可和流程经营，在规则改变时调整商品与服务。若严格审核降低部分销售，收入短期受压可能换来更稳的长期质量；但合规投入和医疗责任成本必须计入估值，不能用需求热度抵消监管约束。</w:t>
      </w:r>
    </w:p>
    <w:p>
      <w:pPr>
        <w:pStyle w:val="Normal"/>
        <w:rPr/>
      </w:pPr>
      <w:r>
        <w:rPr/>
        <w:t>院外处方流动也受医院、医保账户、电子处方互通和患者习惯影响。政策推动数字化不必然让某一家平台独占入口，医院自建系统、线下药房和其他互联网医院均会参与。投资逻辑成立需公司在真品、价格、配送与药事服务中保持可见优势，而不只是市场总规模扩大。若线上购买便利逐步成为各渠道标准，渠道溢价可能缩小，长期合理估值应反映竞争成熟而不是永远按早期渗透率支付高倍数。</w:t>
      </w:r>
    </w:p>
    <w:p>
      <w:pPr>
        <w:pStyle w:val="Heading2"/>
        <w:rPr/>
      </w:pPr>
      <w:r>
        <w:rPr>
          <w:color w:val="000000"/>
        </w:rPr>
        <w:t>六 营养品与器械的周期压力</w:t>
      </w:r>
    </w:p>
    <w:p>
      <w:pPr>
        <w:pStyle w:val="Normal"/>
        <w:rPr/>
      </w:pPr>
      <w:r>
        <w:rPr/>
        <w:t>最新机构报道指营养品受到监管逆风与补贴减少，医疗器械受到补贴高基数影响，药品仍保持较强增长。公司收入增长指引由百分之十至十五降至七至十的说法来自管理层交流新闻转述，未找到相同内容的正式公告。因此研究将其视为截止日市场预期的重要变化，不能把报道中的单项增速当作审计数据。营养品和器械并未独立披露完整财务，模型不伪造其销售规模和利润贡献。</w:t>
      </w:r>
    </w:p>
    <w:p>
      <w:pPr>
        <w:pStyle w:val="Normal"/>
        <w:rPr/>
      </w:pPr>
      <w:r>
        <w:rPr/>
        <w:t>营养品包含不同价格和用途，消费者信任、可支配收入、进口管理及宣传合规都会影响销量。商品监管趋严可能筛除不合规供给，短期拖累收入，长期对规范平台有潜在好处，但改善不会自动转成利润。合规商户需要调整包装、宣传与注册，消费者也可能转向其他类别。悲观情景包括恢复晚于预期、促销和退货增加，基准只允许有限恢复，不以管理层认为见底的转述作为确定底部。</w:t>
      </w:r>
    </w:p>
    <w:p>
      <w:pPr>
        <w:pStyle w:val="Normal"/>
        <w:rPr/>
      </w:pPr>
      <w:r>
        <w:rPr/>
        <w:t>器械补贴曾提高需求，取消或减少补贴后同比增速会受到基数扰动。对于耐用品，前期购买可能提前消耗后续需求，低基数带来的同比修复也不代表销量创新高。公司需要在品类选择、价格和售后中形成真实差异，不能靠长期补贴维持利润。观察时应比较两年需求、毛利和单位现金贡献，而不是看到下一阶段跌幅收窄就给满成长分；本章把补贴影响列入半年和一年经营验证。</w:t>
      </w:r>
    </w:p>
    <w:p>
      <w:pPr>
        <w:pStyle w:val="Normal"/>
        <w:rPr/>
      </w:pPr>
      <w:r>
        <w:rPr/>
        <w:t>非药品疲弱与药品稳健同时出现时，收入组合变化可能降低或提高总体毛利，取决于具体品类与服务收费。规模增长放缓也会使仓配和研发固定投入占比提高。公司计划将节省补贴重新投入供应链，意味着营销降费未必立即转成更高净利润。基准正常率只是温和提高，乐观情景需要非药恢复、药品增长和履约效率共同兑现；仅其中一项改善不足以达到最高目标价。</w:t>
      </w:r>
    </w:p>
    <w:p>
      <w:pPr>
        <w:pStyle w:val="Heading2"/>
        <w:rPr/>
      </w:pPr>
      <w:r>
        <w:rPr>
          <w:color w:val="000000"/>
        </w:rPr>
        <w:t>七 履约 冷链与全渠道整合</w:t>
      </w:r>
    </w:p>
    <w:p>
      <w:pPr>
        <w:pStyle w:val="Normal"/>
        <w:rPr/>
      </w:pPr>
      <w:r>
        <w:rPr/>
        <w:t>年报披露冷链仓网络扩展到广州、杭州、天津、昆山、郑州和成都，并在上海及长三角部分城市拓展半日达。药品物流存在温度、批次和追溯要求，网络覆盖能提高可供品类与服务速度，尤其对部分创新药有价值。扩网初期需要仓储、设备、人员与系统，利用率不足会拖累费用。研究不把每个新仓当作立即产生独立资产溢价，而通过正常履约率和现金资本需求体现其经济后果。</w:t>
      </w:r>
    </w:p>
    <w:p>
      <w:pPr>
        <w:pStyle w:val="Normal"/>
        <w:rPr/>
      </w:pPr>
      <w:r>
        <w:rPr/>
        <w:t>全渠道药房把预先购买与即时用药连接，可以在不同需求场景中提高便利性。急用药追求速度，慢病续配追求稳定和成本，二者可能共享部分库存信息，却不能全部共享最后一公里成本。若订单调度、缺货替代和服务流程有效，库存与配送效率有机会改善；若渠道各自补贴，用户只是从一个入口迁到另一个入口，集团新增收益可能有限。评价必须看合并利润与现金，不能把两个入口订单各算一次。</w:t>
      </w:r>
    </w:p>
    <w:p>
      <w:pPr>
        <w:pStyle w:val="Normal"/>
        <w:rPr/>
      </w:pPr>
      <w:r>
        <w:rPr/>
        <w:t>供应链投入既可能是经营费用，也可能是资本支出和租赁承诺，报表小额设备购置不能证明扩张没有资本成本。合作仓和第三方物流会将部分资产投入转化为持续费用，正常利润率已经保留这些支出。线下服务若扩大，还会带来履约质量、人员管理和医疗责任。未来需要观察费用率及合同义务，不能只比较固定资产余额就把公司称为完全无资本负担的技术平台。</w:t>
      </w:r>
    </w:p>
    <w:p>
      <w:pPr>
        <w:pStyle w:val="Normal"/>
        <w:rPr/>
      </w:pPr>
      <w:r>
        <w:rPr/>
        <w:t>全渠道逻辑失败的路径是更快送达只换来更低价格和更高成本，采购规模没有弥补配送补贴，用户依旧依价格流动。成功路径则是慢病复购和合理库存提高利用率、缺货减少、客诉与退货下降，使服务质量和单位成本同时改善。本章允许三年正常率提高至百分之七点五，但需要经营实证；若物流费用持续快于收入增长，应优先下调利润率，而不是提高远期销售额抵消问题。</w:t>
      </w:r>
    </w:p>
    <w:p>
      <w:pPr>
        <w:pStyle w:val="Heading2"/>
        <w:rPr/>
      </w:pPr>
      <w:r>
        <w:rPr>
          <w:color w:val="000000"/>
        </w:rPr>
        <w:t>八 医疗与数字服务的真实规模</w:t>
      </w:r>
    </w:p>
    <w:p>
      <w:pPr>
        <w:pStyle w:val="Normal"/>
        <w:rPr/>
      </w:pPr>
      <w:r>
        <w:rPr/>
        <w:t>医疗与数字服务收入九点五一六六七亿元，只占集团不到百分之三，包括医疗服务、追溯和其他数字业务。合同执业医师、药师与营养师接近二十七万，小鹿中医注册医师约十五万七千，说明资源网络存在；但人数不等于全职员工、付费活跃医生或可重复确认收入。平台可以降低资源搜索成本，服务质量仍取决于医师、流程和患者需求，本章没有对签约人数逐个赋予独立市值。</w:t>
      </w:r>
    </w:p>
    <w:p>
      <w:pPr>
        <w:pStyle w:val="Normal"/>
        <w:rPr/>
      </w:pPr>
      <w:r>
        <w:rPr/>
        <w:t>在线咨询、体检预约、接种、口腔、心理、验光和护理等业务的收入确认与利润结构不同。部分为撮合与管理服务，部分需要更重履约和本地医疗资源，因此不能统一按高毛利订阅看待。年报的居家检测试点覆盖部分城市，报告出具时间代表服务流程目标，不等于全国规模化运营完成。临床服务需要保证采样、报告解释和后续分流，便捷交付本身不能替代准确性与责任边界。</w:t>
      </w:r>
    </w:p>
    <w:p>
      <w:pPr>
        <w:pStyle w:val="Normal"/>
        <w:rPr/>
      </w:pPr>
      <w:r>
        <w:rPr/>
        <w:t>小鹿中医网络和慢病患者服务可以形成长期信任，亦受到医师质量、药品供应及服务一致性影响。平台需要避免将咨询转化率置于合理医疗之上，否则短期交易增长可能带来长期声誉与监管损失。服务增长应通过患者满意度、持续复购、合规收入和现金贡献验证。在没有单项营业利润的条件下，估值不为中医、检验和护理分别累加高倍数资产，从而保持与合并现金流一致。</w:t>
      </w:r>
    </w:p>
    <w:p>
      <w:pPr>
        <w:pStyle w:val="Normal"/>
        <w:rPr/>
      </w:pPr>
      <w:r>
        <w:rPr/>
        <w:t>基准数字服务收入在一年时点未来十二个月达到十三点五亿元、三年二十五亿元、五年四十五亿元，增长高于直销但起点较小。数字收入增长对集团重要，却仍不能单独支撑所有目标价，正常核心率改善必须同时由商品和平台效率提供。乐观数字服务达到八十亿元属于远期商业成功假设，须有真实企业或医疗客户付费；若收入仍停留在小规模项目，三年和五年目标应向基准以下修订。</w:t>
      </w:r>
    </w:p>
    <w:p>
      <w:pPr>
        <w:pStyle w:val="Heading2"/>
        <w:rPr/>
      </w:pPr>
      <w:r>
        <w:rPr>
          <w:color w:val="000000"/>
        </w:rPr>
        <w:t>九 药品追溯与企业服务</w:t>
      </w:r>
    </w:p>
    <w:p>
      <w:pPr>
        <w:pStyle w:val="Normal"/>
        <w:rPr/>
      </w:pPr>
      <w:r>
        <w:rPr/>
        <w:t>码上放心追溯网络服务药品生产、批发、零售及医疗机构，年报提到与一千三百余家药企合作，超过三千家制造商和一万一千家流通企业使用电子检验报告相关服务。追溯要求使合规数字基础设施有持续需求，但普遍使用不等于每个节点都有高额付费。网络价值来自数据一致、互通、可靠性和企业经营收益，不能仅凭节点数推导利润；研究将其与医疗数字收入共同建模。</w:t>
      </w:r>
    </w:p>
    <w:p>
      <w:pPr>
        <w:pStyle w:val="Normal"/>
        <w:rPr/>
      </w:pPr>
      <w:r>
        <w:rPr/>
        <w:t>监管要求一物一码和医保追溯可能扩大覆盖，也可能提高接口标准化，使不同供应商更容易互通。标准化可以增强网络有效性，同时降低封闭数据壁垒，价值最终留给谁需看收费、服务和客户切换成本。公司必须遵守数据用途限制，不能默认合规追溯数据可任意转为广告或模型训练资产。长期价值来自在授权边界内改善供应链，而非把全部药品数据的潜在市场规模当作上市公司资产。</w:t>
      </w:r>
    </w:p>
    <w:p>
      <w:pPr>
        <w:pStyle w:val="Normal"/>
        <w:rPr/>
      </w:pPr>
      <w:r>
        <w:rPr/>
        <w:t>数字渠道管理、库存和患者教育能够帮助药企识别流通环节效率，若实际降低缺货、窜货或资料管理成本，企业可能更愿意持续付费。项目收入则可能不稳定，客户采购周期和预算变化会影响确认时点。评估需要区分软件服务、一次性项目与平台活动，观察毛利和续费而非单次签约新闻。由于未取得细分续约率和利润，本章保留证据限制，不为企业服务另设未经核实的高现金流模型。</w:t>
      </w:r>
    </w:p>
    <w:p>
      <w:pPr>
        <w:pStyle w:val="Normal"/>
        <w:rPr/>
      </w:pPr>
      <w:r>
        <w:rPr/>
        <w:t>追溯业务与商品平台之间有协同，也会产生利益冲突：企业需要相信数据管理不被用于不合理商业竞争，消费者需要信任隐私不被滥用。公司应维持合规权限与数据质量，服务事故可能影响整个品牌。三年成长分允许企业数字化贡献增加，但风险分反映数据安全、客户集中和母公司云成本。若收入增长伴随更多应收与项目交付压力，应降低利润质量评价，不能只用政策覆盖率提高估值。</w:t>
      </w:r>
    </w:p>
    <w:p>
      <w:pPr>
        <w:pStyle w:val="Heading2"/>
        <w:rPr/>
      </w:pPr>
      <w:r>
        <w:rPr>
          <w:color w:val="000000"/>
        </w:rPr>
        <w:t>十 氢离子的能力与商业化边界</w:t>
      </w:r>
    </w:p>
    <w:p>
      <w:pPr>
        <w:pStyle w:val="Normal"/>
        <w:rPr/>
      </w:pPr>
      <w:r>
        <w:rPr/>
        <w:t>氢离子五月推出，年报描述其基于通义千问、医学文献和临床资料，提供自然语言搜索、循证问答、文献综述和中英文对比。该描述支持产品定位，但响应快、幻觉率低等表述没有在本次资料中附完整独立临床比较验证。医疗工具必须把信息检索与诊断责任分开，医生需要核实原始出处。研究不把公司宣传或初步测试评价当作能替代专业判断的证据，更不把算法名称直接转成估值溢价。</w:t>
      </w:r>
    </w:p>
    <w:p>
      <w:pPr>
        <w:pStyle w:val="Normal"/>
        <w:rPr/>
      </w:pPr>
      <w:r>
        <w:rPr/>
        <w:t>医生使用场景存在真实时间成本，可靠引用、指南更新和本地临床术语可以提高实用性。付费意愿却受医院采购、个人预算、免费工具和工作流整合影响，工具好用不等于用户愿意长期订阅。药企预算也可能提供商业化路径，但需处理广告透明、医学独立性和利益冲突。模型将</w:t>
      </w:r>
      <w:r>
        <w:rPr/>
        <w:t>AI</w:t>
      </w:r>
      <w:r>
        <w:rPr/>
        <w:t>投入留在常态费用内，收入只在整体数字服务中逐步体现，不另加母公司大模型的全部价值。</w:t>
      </w:r>
    </w:p>
    <w:p>
      <w:pPr>
        <w:pStyle w:val="Normal"/>
        <w:rPr/>
      </w:pPr>
      <w:r>
        <w:rPr/>
        <w:t>三年二百万月活医生、每年投入二至三亿元以及二零二九年前后收支平衡，是机构报道的管理层目标或研究判断。注册、月活、重复使用、付费和利润是不同阶梯，不能互相替代。目标时间达成也不代表每位用户产生相同收入，训练、推理、文献授权与安全审核均需持续支付。本章用较低确定性的未来服务增长承载机会，不把目标用户乘订阅价格直接作为基准估值。</w:t>
      </w:r>
    </w:p>
    <w:p>
      <w:pPr>
        <w:pStyle w:val="Normal"/>
        <w:rPr/>
      </w:pPr>
      <w:r>
        <w:rPr/>
        <w:t>AI</w:t>
      </w:r>
      <w:r>
        <w:rPr/>
        <w:t>商业化反证包括用户增长依赖免费推广、付费留存低、医学内容更新成本高、引用可靠性不足或医院限制使用。即使用户持续增长，若推理成本和专业审核随使用同步增加，利润率也可能低于传统软件。成功需要在医生工作流中形成可重复价值并覆盖成本；失败则可能使公司长期维持研发费用却无相应现金。三年与五年乐观情景明确要求经济回报兑现，不能靠技术迭代次数维持推荐。</w:t>
      </w:r>
    </w:p>
    <w:p>
      <w:pPr>
        <w:pStyle w:val="Heading2"/>
        <w:rPr/>
      </w:pPr>
      <w:r>
        <w:rPr>
          <w:color w:val="000000"/>
        </w:rPr>
        <w:t>十一 历史利润与常态营业桥</w:t>
      </w:r>
    </w:p>
    <w:p>
      <w:pPr>
        <w:pStyle w:val="Normal"/>
        <w:rPr/>
      </w:pPr>
      <w:r>
        <w:rPr/>
        <w:t>全年毛利八十二点一零一一七亿元，履约二十七点六零二二三亿元、营销二十四点五一九九六亿元、管理三点七三三六三亿元、产品开发七点八八三四七亿元。依次扣除后，研究定义的核心营业利润十八点三六一八八亿元，核心率约百分之五点三六。上年同口径十四点七八五二五亿元、百分之四点八三，显示费用效率改善，但这一计算不是公司额外披露的独立分部利润或现金指标。</w:t>
      </w:r>
    </w:p>
    <w:p>
      <w:pPr>
        <w:pStyle w:val="Normal"/>
        <w:rPr/>
      </w:pPr>
      <w:r>
        <w:rPr/>
        <w:t>核心营业桥保留股份薪酬和产品开发。股份薪酬一点六二一二四亿元不能因调整利润加回就认为免费；对普通股股东而言，现金发薪、发新股或买股激励均有经济成本。产品开发费用包含现有系统维护与新业务探索，本章也不把</w:t>
      </w:r>
      <w:r>
        <w:rPr/>
        <w:t>AI</w:t>
      </w:r>
      <w:r>
        <w:rPr/>
        <w:t>全部视为一次性投资而加回。正常利润率提升需业务价值和效率超过持续投入，不能靠换调整口径创造盈利增长。</w:t>
      </w:r>
    </w:p>
    <w:p>
      <w:pPr>
        <w:pStyle w:val="Normal"/>
        <w:rPr/>
      </w:pPr>
      <w:r>
        <w:rPr/>
        <w:t>归母利润十九点三六一六二亿元，集团利润十九点三六三四二亿元，调整集团利润二十三点二六一七八亿元，三个口径不可混用。调整项剔除公允值和投资处置等波动，同时加回股份薪酬，适合辅助观察，但不天然等于普通股可分配常态收益。投资盈亏、财资收入和联营结果仍需分别辨认，再连接到每股正常盈利。本章没有以调整集团利润直接除法律股数生成审计每股盈利。</w:t>
      </w:r>
    </w:p>
    <w:p>
      <w:pPr>
        <w:pStyle w:val="Normal"/>
        <w:rPr/>
      </w:pPr>
      <w:r>
        <w:rPr/>
        <w:t>全年下半年差额收入一百七十五点五八零二九亿元、核心营业利润七点零九七五九亿元、归母六点六九五三三亿元、调整集团九点六九八六二亿元。差额只来自全年减已披露上半年，不是另获独立审计半年度报表。它显示盈利分布和年化风险，上半年利润不能简单乘二预测下一年。季节性、投资损益、税负和业务投入均会影响差额，评价短期增长需要完整期间对照。</w:t>
      </w:r>
    </w:p>
    <w:p>
      <w:pPr>
        <w:pStyle w:val="Heading2"/>
        <w:rPr/>
      </w:pPr>
      <w:r>
        <w:rPr>
          <w:color w:val="000000"/>
        </w:rPr>
        <w:t>十二 投资收益 税负与净利润质量</w:t>
      </w:r>
    </w:p>
    <w:p>
      <w:pPr>
        <w:pStyle w:val="Normal"/>
        <w:rPr/>
      </w:pPr>
      <w:r>
        <w:rPr/>
        <w:t>其他收入及收益九点六零五四一亿元，包括银行利息四点六三四三亿元、投资与股息，以及补助、处置、视同处置和汇兑等。视同处置联营收益二点二六一七六亿元、部分处置联营零点三七六五三亿元、部分处置金融资产零点六七零五五亿元，均不是每年稳定商品经营利润。另一方面，公允值损失和联营减值也不能直接当作永久经营损失率，分析要对称剔暂态并保留资本风险。</w:t>
      </w:r>
    </w:p>
    <w:p>
      <w:pPr>
        <w:pStyle w:val="Normal"/>
        <w:rPr/>
      </w:pPr>
      <w:r>
        <w:rPr/>
        <w:t>调整利润桥从集团利润加股份薪酬、公允值损失税后额和联营减值，再扣除几类处置收益，得到二十三点二六一七八亿元。上述调整结构说明净利润增速受投资波动影响，不能据归母增长约三成五就认为商品利润同幅增长。核心营业同口径增长约二成四，更接近持续经营变化，但仍未扣正常税与财资归属。本章最终估值从收入和正常营业率起算，减少对报表暂态净项的依赖。</w:t>
      </w:r>
    </w:p>
    <w:p>
      <w:pPr>
        <w:pStyle w:val="Normal"/>
        <w:rPr/>
      </w:pPr>
      <w:r>
        <w:rPr/>
        <w:t>全年税前利润二十二点七四二二亿元，税三点三七八七八亿元，有效税率约百分之十四点八六；上年税负更低。税差可能与投资调整、区域优惠和递延项目有关，低历史税率不宜无条件永久化。模型对正常核心营业使用百分之二十二研究税率，财资另用有限税后归属净项。该税率并非公司指引，而是防止暂态低税放大多年目标价的审慎假设，后续可随有效税结构证据修订。</w:t>
      </w:r>
    </w:p>
    <w:p>
      <w:pPr>
        <w:pStyle w:val="Normal"/>
        <w:rPr/>
      </w:pPr>
      <w:r>
        <w:rPr/>
        <w:t>截至三月末现金与存款形成真实财资收益，但九月已支付普通及特别股息会降低可生息本金，利率变化也会影响收入。模型年底基准只保留二点五亿元有限税后财资联营归属净项，并没有机械年化全年银行利息或加总全部投资收益。既然目标</w:t>
      </w:r>
      <w:r>
        <w:rPr/>
        <w:t>PE</w:t>
      </w:r>
      <w:r>
        <w:rPr/>
        <w:t>包含这一收益，就不再追加全部现金和存款市值，否则同一本金被作为利润和资产估值两次。剩余现金安全垫则体现在风险评价与敏感性。</w:t>
      </w:r>
    </w:p>
    <w:p>
      <w:pPr>
        <w:pStyle w:val="Heading2"/>
        <w:rPr/>
      </w:pPr>
      <w:r>
        <w:rPr>
          <w:color w:val="000000"/>
        </w:rPr>
        <w:t>十三 现金流 周转与资本投入</w:t>
      </w:r>
    </w:p>
    <w:p>
      <w:pPr>
        <w:pStyle w:val="Normal"/>
        <w:rPr/>
      </w:pPr>
      <w:r>
        <w:rPr/>
        <w:t>全年经营现金十二点三六六三三亿元，低于上年十三点九五零三三亿元，尽管利润增加，现金没有同幅改善。库存、应收及预付款增长吸收营运资金，应付和合同负债增加提供部分抵消。企业扩张可以合理占用现金，但若这种差异多年持续，利润质量和可分配能力就需要降低评价。模型不把归母利润全额当自由现金，也不因为现金总额增加就认定全部来自本年营业增长。</w:t>
      </w:r>
    </w:p>
    <w:p>
      <w:pPr>
        <w:pStyle w:val="Normal"/>
        <w:rPr/>
      </w:pPr>
      <w:r>
        <w:rPr/>
        <w:t>经营现金流已包含收到利息二点二八二零五亿元和支付利息零点零一四零二亿元，投资现金流另有收到利息二点二七九三五亿元。收到利息在两段分布，分析财资现金要完整记录，不能漏掉投资段，也不能把经营段再加一次。设备资本支出零点零八九八七亿元、租赁本金零点二四九七八亿元另扣后，经营现金代理十二点零二六六八亿元。该代理不含所有投资和分配要求，不能当作无条件可派自由现金。</w:t>
      </w:r>
    </w:p>
    <w:p>
      <w:pPr>
        <w:pStyle w:val="Normal"/>
        <w:rPr/>
      </w:pPr>
      <w:r>
        <w:rPr/>
        <w:t>若要观察含投资段收到利息的现金能力，可以在上述代理另加二点二七九三五亿元，但必须明确口径并避免与利润财资再次双算。投资活动还有金融资产、期限存款、股息和处置，不宜直接把整段净现金当经营自由现金。存款到期会提高账面现金却不新增经济收益，理财赎回也只是资产形态改变。本章估值以正常利润为活动模型，现金检验主要用来辨认可持续性和资本分配限制。</w:t>
      </w:r>
    </w:p>
    <w:p>
      <w:pPr>
        <w:pStyle w:val="Normal"/>
        <w:rPr/>
      </w:pPr>
      <w:r>
        <w:rPr/>
        <w:t>库存十八点四八七三九亿元、应收十二点六五八九亿元、应付三十点二九七七四亿元、合同负债八点五二四八亿元。应付账期可支持商品周转，但供应商可能随竞争、信用或采购条件要求更快结算。预收服务也带来未来履约义务，不是完全闲置现金。正常增长假设不能以无限延长应付抵消库存扩张；若供应链投入增加且账期缩短，现金压力会比当期净利显示更大。</w:t>
      </w:r>
    </w:p>
    <w:p>
      <w:pPr>
        <w:pStyle w:val="Heading2"/>
        <w:rPr/>
      </w:pPr>
      <w:r>
        <w:rPr>
          <w:color w:val="000000"/>
        </w:rPr>
        <w:t>十四 现金安全垫与股息分配</w:t>
      </w:r>
    </w:p>
    <w:p>
      <w:pPr>
        <w:pStyle w:val="Normal"/>
        <w:rPr/>
      </w:pPr>
      <w:r>
        <w:rPr/>
        <w:t>三月末现金五十四点三四零九七亿元，短期定存四十四点三零九一三亿元，长期定存三十三点四八九五五亿元，限制资金三点一八七九二亿元，金融资产还有流动与非流动部分。存款具有不同期限，投资有估值和回收风险，限制资金有用途，不能全部等同即时自由现金。公司没有银行借款，有利于应对经营波动；但工资、供应链和患者服务义务仍需资金，不应仅凭无银行债就给财务风险满分。</w:t>
      </w:r>
    </w:p>
    <w:p>
      <w:pPr>
        <w:pStyle w:val="Normal"/>
        <w:rPr/>
      </w:pPr>
      <w:r>
        <w:rPr/>
        <w:t>首次普通股息每股人民币零点零五九五元与特别息零点一三五二元，实际港币零点零六八七与零点一五六二元。八月股东大会批准，八月十二日除息，九月二日支付，均早于价格基准。这笔回报属于此前持有者，不属于十月九日新投资的未来收益。现价和历史复权已考虑公司行动，若再加过去股息会重复高估预期；特别分配也不应当作未来每年常规派息。</w:t>
      </w:r>
    </w:p>
    <w:p>
      <w:pPr>
        <w:pStyle w:val="Normal"/>
        <w:rPr/>
      </w:pPr>
      <w:r>
        <w:rPr/>
        <w:t>特别息加普通息支付约三十一亿元人民币量级，可能释放过去积累资金，但金额大于单年经营现金代理，说明可重复性必须分辨。公司可以选择合理分红、供应链投入、研发或信托购股，普通股收益取决于资本配置质量。模型未来一年基准累计港币零点零七元、三年零点二五、五年零点五三，全为研究假设，不是承诺。部分研报预计普通派息率与股息率，也不能作为管理层永久保证。</w:t>
      </w:r>
    </w:p>
    <w:p>
      <w:pPr>
        <w:pStyle w:val="Normal"/>
        <w:rPr/>
      </w:pPr>
      <w:r>
        <w:rPr/>
        <w:t>保留现金与增长投入并非一定优于分红，分红也并非自动提升内在价值。若高回报项目明确，留存可促进每股利润；若</w:t>
      </w:r>
      <w:r>
        <w:rPr/>
        <w:t>AI</w:t>
      </w:r>
      <w:r>
        <w:rPr/>
        <w:t>和全渠道持续消耗而缺少收入证据，现金分配纪律更重要。模型财资收入已反映本次较大派息与未来普通息对本金的影响，未把三月末全现金原封不动放到十月末。截止完整资产负债表不足以精确计算最新现金，本章明确限制，避免给伪精确清算安全垫。</w:t>
      </w:r>
    </w:p>
    <w:p>
      <w:pPr>
        <w:pStyle w:val="Heading2"/>
        <w:rPr/>
      </w:pPr>
      <w:r>
        <w:rPr>
          <w:color w:val="000000"/>
        </w:rPr>
        <w:t>十五 股份激励 分母与资本结构</w:t>
      </w:r>
    </w:p>
    <w:p>
      <w:pPr>
        <w:pStyle w:val="Normal"/>
        <w:rPr/>
      </w:pPr>
      <w:r>
        <w:rPr/>
        <w:t>九月月报法律已发行股份一百六十一点七五三零零九六五亿股，法律库存零，当月无变。年报信托持有约四千八百八十七万五千二百零三股，会计上作为权益扣减，并非交易所法律库存股。财报基本和摊薄加权平均股份与期末法律数量不同，原因包括期间发行、信托奖励及期权规则。目标估值需要未来经济摊薄分母，不能从任何单一股数口径随意取最有利值。</w:t>
      </w:r>
    </w:p>
    <w:p>
      <w:pPr>
        <w:pStyle w:val="Normal"/>
        <w:rPr/>
      </w:pPr>
      <w:r>
        <w:rPr/>
        <w:t>全年为奖励发行八千万股到信托，已在法律股数中体现，不能再把信托已有股份当未来新发加一次。九月月报未偿期权二千零四十万五千四百六十五份，多批奖励安排可发行或转让合计一亿三千五百七十九万六千五百九十四股。其中九月新授七百六十七万二千五百份已列入该余额，不能重复加总。奖励可以新发或市场购股履约，两种方式分别影响股份和现金，需要经济储备而非机械全部加股。</w:t>
      </w:r>
    </w:p>
    <w:p>
      <w:pPr>
        <w:pStyle w:val="Normal"/>
        <w:rPr/>
      </w:pPr>
      <w:r>
        <w:rPr/>
        <w:t>九月奖励涉及十六名员工，多数按四年分批归属，部分在十二个月内，除一名指定员工外没有绩效目标。留任激励可支持人才稳定，但服务期条件与股东回报条件不同，治理评价需要注意。未归属权益可在特定行为或离职情况下失效，但不能把潜在失效视为全部不存在。模型保留正常股份薪酬，也让未来股数逐步增加，避免利润加回与分母低估同时抬高目标价。</w:t>
      </w:r>
    </w:p>
    <w:p>
      <w:pPr>
        <w:pStyle w:val="Normal"/>
        <w:rPr/>
      </w:pPr>
      <w:r>
        <w:rPr/>
        <w:t>基准经济股份年底一百六十三亿、半年一百六十三点三亿、一年一百六十三点八亿、三年一百六十五点五亿、五年一百六十七点五亿。悲观到五年一百八十亿反映激励和融资或收购稀释，乐观仍增加至一百六十五点五亿，不假定未经批准回购自动抵消。分母研究假设并非公司股本指引，也不是月报所有额度的简单相加。以后新发行、回购注销或激励变化应更新分子和分母，确保每股回报一致。</w:t>
      </w:r>
    </w:p>
    <w:p>
      <w:pPr>
        <w:pStyle w:val="Heading2"/>
        <w:rPr/>
      </w:pPr>
      <w:r>
        <w:rPr>
          <w:color w:val="000000"/>
        </w:rPr>
        <w:t xml:space="preserve">十六 母公司关系 </w:t>
      </w:r>
      <w:r>
        <w:rPr>
          <w:color w:val="000000"/>
        </w:rPr>
        <w:t>VIE</w:t>
      </w:r>
      <w:r>
        <w:rPr>
          <w:color w:val="000000"/>
        </w:rPr>
        <w:t>与治理</w:t>
      </w:r>
    </w:p>
    <w:p>
      <w:pPr>
        <w:pStyle w:val="Normal"/>
        <w:rPr/>
      </w:pPr>
      <w:r>
        <w:rPr/>
        <w:t>阿里集团控制约百分之六十三点五投票利益，提供入口、技术、营销和物流生态。控股关系有助资源协调，也使小股东依赖关联交易公平与资本分配。上市公司购买阿里妈妈、淘宝、云与菜鸟等服务，同时提供审查及增值服务，报表已经反映相关收入费用。研究不能把母公司全部市值或云业务价值加入阿里健康，也不能认为关联体系任何成功都会同幅归属这家公司普通股。</w:t>
      </w:r>
    </w:p>
    <w:p>
      <w:pPr>
        <w:pStyle w:val="Normal"/>
        <w:rPr/>
      </w:pPr>
      <w:r>
        <w:rPr/>
        <w:t>全年购买阿里妈妈营销约三十一点八七六亿元、共享服务五点三二六六四亿元、平台八点零六四四亿元、云一点三二九八五亿元、菜鸟一点三三零七二亿元、淘宝技术十点七八二二四亿元。各交易性质和入账分类不同，不能当成一张可从净利再次统一扣除的账单。数字本身说明持续服务成本真实存在，正常模型保留这些经营支出，利润率上升需要业务增长和效率而不是假设母公司长期免费支持。</w:t>
      </w:r>
    </w:p>
    <w:p>
      <w:pPr>
        <w:pStyle w:val="Normal"/>
        <w:rPr/>
      </w:pPr>
      <w:r>
        <w:rPr/>
        <w:t>部分境内实体通过合同安排控制并并表，上市公司不直接拥有法律股权，结构的可执行性与监管变化构成风险。会计控制和经济归属说明为什么其收入利润已入合并报表，也说明不能把</w:t>
      </w:r>
      <w:r>
        <w:rPr/>
        <w:t>VIE</w:t>
      </w:r>
      <w:r>
        <w:rPr/>
        <w:t>资产另加一次。公司现金分配还受境内税、留存和合规要求影响，港币上市股价不意味着所有人民币资产可即时转给股东。风险分反映这些限制，目标价并非每项境内资产无条件可出售的清算价值。</w:t>
      </w:r>
    </w:p>
    <w:p>
      <w:pPr>
        <w:pStyle w:val="Normal"/>
        <w:rPr/>
      </w:pPr>
      <w:r>
        <w:rPr/>
        <w:t>九月十一日余涌接任执行董事、主席与</w:t>
      </w:r>
      <w:r>
        <w:rPr/>
        <w:t>CEO</w:t>
      </w:r>
      <w:r>
        <w:rPr/>
        <w:t>，沈涤凡继续执行董事并负责氢离子及数字追溯，增加参与阿里集团医疗行业</w:t>
      </w:r>
      <w:r>
        <w:rPr/>
        <w:t>AI</w:t>
      </w:r>
      <w:r>
        <w:rPr/>
        <w:t>。新领导具有商户和供应链经验，可能强化全渠道执行，但不能把履历作为经营成功证据。主席与</w:t>
      </w:r>
      <w:r>
        <w:rPr/>
        <w:t>CEO</w:t>
      </w:r>
      <w:r>
        <w:rPr/>
        <w:t>合一偏离企业管治守则相关条文，公司解释统一领导的好处，小股东仍应关注董事监督与关联定价。模型在成长机会之外保留治理风险，不因人事变化立即提高利润率。</w:t>
      </w:r>
    </w:p>
    <w:p>
      <w:pPr>
        <w:pStyle w:val="Heading2"/>
        <w:rPr/>
      </w:pPr>
      <w:r>
        <w:rPr>
          <w:color w:val="000000"/>
        </w:rPr>
        <w:t>十七 公司所受经济与政策传导</w:t>
      </w:r>
    </w:p>
    <w:p>
      <w:pPr>
        <w:pStyle w:val="Normal"/>
        <w:rPr/>
      </w:pPr>
      <w:r>
        <w:rPr/>
        <w:t>内地药品需求相对稳定，但居民支出和信心仍会影响营养品、器械与部分自费医疗服务。收入放缓会传导到商品组合、广告预算和库存周转，不能把整个公司都视为防御药品业务。支付能力约束高价新品，价格下降又可能扩大可及性，二者对渠道收入利润影响并不一致。本章基准增长由药品需求和有限服务变现支持，未设宏观消费无条件快速复苏作为共同保证。</w:t>
      </w:r>
    </w:p>
    <w:p>
      <w:pPr>
        <w:pStyle w:val="Normal"/>
        <w:rPr/>
      </w:pPr>
      <w:r>
        <w:rPr/>
        <w:t>利率下降可能降低财资收益，也可能改善股票折现与风险偏好，二者需要分开。公司无银行借款，融资成本节约有限，存款利息下降对盈利反而更直接。若估值倍数上涨抵消利润下降，短期股价可能修复，却不意味着经营质量改善。模型同时调整有限财资和</w:t>
      </w:r>
      <w:r>
        <w:rPr/>
        <w:t>PE</w:t>
      </w:r>
      <w:r>
        <w:rPr/>
        <w:t>情景，避免只把降息当利好。香港市场风险溢价与内地业务利率不同，不能用单一政策利率直接推导精确股价。</w:t>
      </w:r>
    </w:p>
    <w:p>
      <w:pPr>
        <w:pStyle w:val="Normal"/>
        <w:rPr/>
      </w:pPr>
      <w:r>
        <w:rPr/>
        <w:t>人民币汇率主要影响港币估值转换和部分进口采购，经营层面还取决于供应商传导价格的能力。人民币走强可能减轻部分进口成本，但也会改变资产和跨境消费；走弱会降低同等人民币盈利换成港币的金额，渠道未必能全部涨价转嫁。研究人民币兑港币一点一是统一假设，实际股息换汇一点一五五三只说明该次支付规则，不应用于所有未来盈利换算。</w:t>
      </w:r>
    </w:p>
    <w:p>
      <w:pPr>
        <w:pStyle w:val="Normal"/>
        <w:rPr/>
      </w:pPr>
      <w:r>
        <w:rPr/>
        <w:t>医保、药品集采、追溯和互联网诊疗监管同时影响需求、单价和服务流程，不能简化为政策支持就利润上涨。规范有利可信平台，但合规投入会增加；竞争和药价透明又可能限制单位利润。海外主要通过进口健康品和药品供给影响本公司，不能把全球生物科技授权热度直接算作渠道收益。投资者需要看本公司可获得的收费和现金，不以行业新闻替代每股盈利证据。</w:t>
      </w:r>
    </w:p>
    <w:p>
      <w:pPr>
        <w:pStyle w:val="Heading2"/>
        <w:rPr/>
      </w:pPr>
      <w:r>
        <w:rPr>
          <w:color w:val="000000"/>
        </w:rPr>
        <w:t>十八 日线趋势与均线位置</w:t>
      </w:r>
    </w:p>
    <w:p>
      <w:pPr>
        <w:pStyle w:val="Normal"/>
        <w:rPr/>
      </w:pPr>
      <w:r>
        <w:rPr/>
        <w:t>日线覆盖约七百三十九个真实交易日，使用以基准日名义价归一的复权</w:t>
      </w:r>
      <w:r>
        <w:rPr/>
        <w:t>OHLC</w:t>
      </w:r>
      <w:r>
        <w:rPr/>
        <w:t>，量按股而非手。二十、六十、一百二十、二百五十日均线分别约二点八八零二五、三点一一一零六一、三点三四五二三四、四点三七一三七七港元，现价全在下方。距离分别约负百分之零点七零、八点零七、十四点五零和三十四点五七，说明短弹接近短线均线但尚未收复中长期趋势。</w:t>
      </w:r>
    </w:p>
    <w:p>
      <w:pPr>
        <w:pStyle w:val="Normal"/>
        <w:rPr/>
      </w:pPr>
      <w:r>
        <w:rPr/>
        <w:t>均线五日斜率全部为负，二十日约负百分之二点三二、六十日负零点九四、一百二十日负一点八一、二百五十日负一点四八。现价接近二十日均线不等于反转，若均线持续下移，价格不动也会看似收复，必须同时看斜率和周线。半年技术得分仅一点八，反映趋势证据弱；本章不因为价格较一年高点跌幅大就给技术或估值额外加分。</w:t>
      </w:r>
    </w:p>
    <w:p>
      <w:pPr>
        <w:pStyle w:val="Normal"/>
        <w:rPr/>
      </w:pPr>
      <w:r>
        <w:rPr/>
        <w:t>最近二十日观察区间低二点七四五、高三点零六五港元，现价到低点约负百分之四点零二，到高点约正七点一七。区间低高只是样本极值，未经重复触碰与成交聚集筛选，不能称为精确强支撑阻力。可关注守住低点后反弹能否越过区间高与下降六十日均线，随后回踩成交是否收缩；没有这些证据，当前只能判为下降趋势中的震荡及尝试修复。</w:t>
      </w:r>
    </w:p>
    <w:p>
      <w:pPr>
        <w:pStyle w:val="Normal"/>
        <w:rPr/>
      </w:pPr>
      <w:r>
        <w:rPr/>
        <w:t>六十日区间高约三点五零七九六五港元，相对现价约正百分之二十二点六六，属于复权历史观察位，不能当时原始名义报价。五十二周复权高约七点四一九二五二、低二点七四五，最大日线回撤约六成一点五。高点可能包含过去增长预期和公司行动影响，并非目标价依据；靠历史高点推算回升空间会忽略利润指引和估值改变，半年模型只使用未来正常盈利情景。</w:t>
      </w:r>
    </w:p>
    <w:p>
      <w:pPr>
        <w:pStyle w:val="Heading2"/>
        <w:rPr/>
      </w:pPr>
      <w:r>
        <w:rPr>
          <w:color w:val="000000"/>
        </w:rPr>
        <w:t>十九 日线成交量与相对强弱</w:t>
      </w:r>
    </w:p>
    <w:p>
      <w:pPr>
        <w:pStyle w:val="Normal"/>
        <w:rPr/>
      </w:pPr>
      <w:r>
        <w:rPr/>
        <w:t>基准日成交约五千七百零四万六千四百八十二股，成交额约一点六二四一亿元港币。五、二十、六十日均量约四千二百一十二万、六千四百四十七万、七千四百八十八万股，日量比按前二十日均量约零点八八九。近期量较中期下降，反弹没有足够放量确认。成交额支持市场交易规模，但无法从总量分辨买方身份；本章不称主力吸筹，也不伪造逐笔筹码或精确换手率。</w:t>
      </w:r>
    </w:p>
    <w:p>
      <w:pPr>
        <w:pStyle w:val="Normal"/>
        <w:rPr/>
      </w:pPr>
      <w:r>
        <w:rPr/>
        <w:t>二十日上涨日七天、下跌日十二天，上涨量约四点三八七亿股、下跌量约八点一二二亿股，合计量比约零点五四。天数不同会影响合计量，不能孤立解释为每个下跌日都放量，但总体显示下跌交易更显著。若后续突破时成交恢复至正常均量之上、回踩时量缩且价格维持，可以改善判断；若跌破区间低点伴随放量，当前底部尝试失效，应等待新结构而非继续引用旧支撑。</w:t>
      </w:r>
    </w:p>
    <w:p>
      <w:pPr>
        <w:pStyle w:val="Normal"/>
        <w:rPr/>
      </w:pPr>
      <w:r>
        <w:rPr/>
        <w:t>二十日和六十日复权价格回报约负百分之四点八三、十二点一三，对恒生指数分别落后一点八五和八点九四个百分点。恒生科技作为粗粒度参考，二十日落后一点七六、六十日略领先一点零四个百分点；该指数不是专属互联网医疗基准，不能因为科技整体更弱就说本公司强势。半年判断以市场及业务事实共同核实，相对收益和均线是同一技术维度，不反复加分。</w:t>
      </w:r>
    </w:p>
    <w:p>
      <w:pPr>
        <w:pStyle w:val="Normal"/>
        <w:rPr/>
      </w:pPr>
      <w:r>
        <w:rPr/>
        <w:t>RSI</w:t>
      </w:r>
      <w:r>
        <w:rPr/>
        <w:t>约四十二点四六，未形成强动量，</w:t>
      </w:r>
      <w:r>
        <w:rPr/>
        <w:t>MACD</w:t>
      </w:r>
      <w:r>
        <w:rPr/>
        <w:t>差值和信号线仍为负，正柱约零点零一七五零八只提示负动量收敛，不能证明上升趋势。</w:t>
      </w:r>
      <w:r>
        <w:rPr/>
        <w:t>ATR</w:t>
      </w:r>
      <w:r>
        <w:rPr/>
        <w:t>约零点零八零一三七港元、现价百分之二点八零，意味着日内或跨日波动可能超过看似很近的低点距离。辅助指标用于解释波动与节奏，不分别算三套利好。止损或观察价遇跳空不保证成交，技术失效条件不是最大损失封顶。</w:t>
      </w:r>
    </w:p>
    <w:p>
      <w:pPr>
        <w:pStyle w:val="Heading2"/>
        <w:rPr/>
      </w:pPr>
      <w:r>
        <w:rPr>
          <w:color w:val="000000"/>
        </w:rPr>
        <w:t>二十 周线与半年操作观察</w:t>
      </w:r>
    </w:p>
    <w:p>
      <w:pPr>
        <w:pStyle w:val="Normal"/>
        <w:rPr/>
      </w:pPr>
      <w:r>
        <w:rPr/>
        <w:t>周线约一百五十七根，二十、六十、一百二十周均线约三点一三八二零九、四点五一六三六零、四点二零零零六七港元，现价均低于它们，五周斜率全负。数据只有约三年，二百五十周均线不足不补造。周二十日词义需区分，二十周趋势反映更长周期，不能与日二十均线混用。周线回撤口径与日线不同，本章不把两者当作两次独立市场风险。</w:t>
      </w:r>
    </w:p>
    <w:p>
      <w:pPr>
        <w:pStyle w:val="Normal"/>
        <w:rPr/>
      </w:pPr>
      <w:r>
        <w:rPr/>
        <w:t>最近一周相对前二十周均量约零点四三六，上涨周累计量对下跌周约零点四零九，周</w:t>
      </w:r>
      <w:r>
        <w:rPr/>
        <w:t>RSI</w:t>
      </w:r>
      <w:r>
        <w:rPr/>
        <w:t>约三十一点五。交易较低也受国庆期间交易日数影响，不应把周量缩全部解读为抛售衰竭，尤其这一周与满五日周不可直接比较。仍需后续完整周恢复交易后检验价格与量能。周</w:t>
      </w:r>
      <w:r>
        <w:rPr/>
        <w:t>MACD</w:t>
      </w:r>
      <w:r>
        <w:rPr/>
        <w:t>正柱同时处于负区域，最多支持观察跌势减缓，不能越过日周均线证据给出趋势反转结论。</w:t>
      </w:r>
    </w:p>
    <w:p>
      <w:pPr>
        <w:pStyle w:val="Normal"/>
        <w:rPr/>
      </w:pPr>
      <w:r>
        <w:rPr/>
        <w:t>半年可观察三个步骤：先守住二点七四五区间低，再越过三点零六五与六十日附近，之后在回踩中保持更高低点且均线停止下降。上述不是必然交易序列，也不是条件触发后利润保证；公司指引和财报若继续走弱，突破可能只是风险偏好短弹。研究的半年基准价三点四九需要经营及估值同时改善，量价只帮助判断进入节奏，不把突破阻力直接当作内在价值上涨。</w:t>
      </w:r>
    </w:p>
    <w:p>
      <w:pPr>
        <w:pStyle w:val="Normal"/>
        <w:rPr/>
      </w:pPr>
      <w:r>
        <w:rPr/>
        <w:t>若低点破位、成交扩大、相对恒生指数继续恶化，应降低半年技术评价；若股价横盘但业绩减速，使正常每股盈利下降，则需同步降低基本面目标，而不能以形态稳定保持旧估值。反过来，公司经营强于假设而周线尚弱时，长期得分可以先改善，半年仍待证据。四期限独立评分让投资者看到经营与市场节奏差异，避免用一个乐观故事解释所有持有期。</w:t>
      </w:r>
    </w:p>
    <w:p>
      <w:pPr>
        <w:pStyle w:val="Heading2"/>
        <w:rPr/>
      </w:pPr>
      <w:r>
        <w:rPr>
          <w:color w:val="000000"/>
        </w:rPr>
        <w:t>二十一 当前估值与交叉检验</w:t>
      </w:r>
    </w:p>
    <w:p>
      <w:pPr>
        <w:pStyle w:val="Normal"/>
        <w:rPr/>
      </w:pPr>
      <w:r>
        <w:rPr/>
        <w:t>按全年摊薄人民币每股零点一一九五元、研究换汇一点一，现价静态</w:t>
      </w:r>
      <w:r>
        <w:rPr/>
        <w:t>PE</w:t>
      </w:r>
      <w:r>
        <w:rPr/>
        <w:t>约二十一点七六。每股原文人民币十一点九五分必须转成元，误把分当元会低估</w:t>
      </w:r>
      <w:r>
        <w:rPr/>
        <w:t>PE</w:t>
      </w:r>
      <w:r>
        <w:rPr/>
        <w:t>一百倍。调整集团利润并非审计</w:t>
      </w:r>
      <w:r>
        <w:rPr/>
        <w:t>EPS</w:t>
      </w:r>
      <w:r>
        <w:rPr/>
        <w:t>，不能混除期末股得出所谓官方调整市盈率。静态盈利还包含投资和财资，正常</w:t>
      </w:r>
      <w:r>
        <w:rPr/>
        <w:t>PE</w:t>
      </w:r>
      <w:r>
        <w:rPr/>
        <w:t>与它不同，本章不以供应商单一显示值直接作为活动估值输入。</w:t>
      </w:r>
    </w:p>
    <w:p>
      <w:pPr>
        <w:pStyle w:val="Normal"/>
        <w:rPr/>
      </w:pPr>
      <w:r>
        <w:rPr/>
        <w:t>法律股数计算市值约四百六十二点六一亿元港币，约为经营现金扣设备和租赁代理的三十五倍。这个现金倍数并非正式自由现金估值，因为代理保留经营段利息而未含全部投资段利息，也没有完整增长资金需求。它说明低价并不自动意味着极低现金估值，特别息释放过去本金也不能持续重复。若现金周转改善，盈利倍数可更有说服力；若利润增长而现金继续弱，合理</w:t>
      </w:r>
      <w:r>
        <w:rPr/>
        <w:t>PE</w:t>
      </w:r>
      <w:r>
        <w:rPr/>
        <w:t>需更低。</w:t>
      </w:r>
    </w:p>
    <w:p>
      <w:pPr>
        <w:pStyle w:val="Normal"/>
        <w:rPr/>
      </w:pPr>
      <w:r>
        <w:rPr/>
        <w:t>本章没有取得严格同期、同口径全行业可比正常</w:t>
      </w:r>
      <w:r>
        <w:rPr/>
        <w:t>PE</w:t>
      </w:r>
      <w:r>
        <w:rPr/>
        <w:t>序列，因此不声称处于历史最低估值分位。京东健康规模、商品与服务组成、税负、财资及研发不同，两个现价</w:t>
      </w:r>
      <w:r>
        <w:rPr/>
        <w:t>PE</w:t>
      </w:r>
      <w:r>
        <w:rPr/>
        <w:t>不能简单决定哪个更便宜。两家公司均可受益院外药渗透，阿里健康平台增长和当前量价更弱，本模型给较低期限得分。比較是研究逻辑，而不是将对方高目标价直接折算成本公司目标。</w:t>
      </w:r>
    </w:p>
    <w:p>
      <w:pPr>
        <w:pStyle w:val="Normal"/>
        <w:rPr/>
      </w:pPr>
      <w:r>
        <w:rPr/>
        <w:t>合理</w:t>
      </w:r>
      <w:r>
        <w:rPr/>
        <w:t>PE</w:t>
      </w:r>
      <w:r>
        <w:rPr/>
        <w:t>在一年基准为二十七，三年二十五、五年二十二，反映成长逐步成熟，仍要求利润质量支持。较静态倍数略高的一年基准不是凭空重估，需要正常增长、现金和投资可见度改善。悲观</w:t>
      </w:r>
      <w:r>
        <w:rPr/>
        <w:t>PE</w:t>
      </w:r>
      <w:r>
        <w:rPr/>
        <w:t>逐步降到十，体现渠道护城河和资本效率恶化；乐观仍为二十八至三十三区间，须更强经营兑现。高低目标共同调整盈利和倍数，区间因此宽，不能当作统计概率置信区间。</w:t>
      </w:r>
    </w:p>
    <w:p>
      <w:pPr>
        <w:pStyle w:val="Heading2"/>
        <w:rPr/>
      </w:pPr>
      <w:r>
        <w:rPr>
          <w:color w:val="000000"/>
        </w:rPr>
        <w:t>二十二 模型假设与期限目标</w:t>
      </w:r>
    </w:p>
    <w:p>
      <w:pPr>
        <w:pStyle w:val="Normal"/>
        <w:rPr/>
      </w:pPr>
      <w:r>
        <w:rPr/>
        <w:t>活动模型为直销、平台和医疗数字收入之和，乘正常核心营业率，再乘百分之七十八税后系数，加有限税后财资联营归属净项，除未来经济摊薄股份，乘合理</w:t>
      </w:r>
      <w:r>
        <w:rPr/>
        <w:t>PE</w:t>
      </w:r>
      <w:r>
        <w:rPr/>
        <w:t>及人民币兑港币一点一。收益先四舍五入人民币每股六位，再计算两位目标价，回报以目标价除二点八六减一。分红单列，三年及五年含息按时间年化；模型不加独立</w:t>
      </w:r>
      <w:r>
        <w:rPr/>
        <w:t>AI</w:t>
      </w:r>
      <w:r>
        <w:rPr/>
        <w:t>、母公司云或全部现金资产，避免同一收益多重估值。</w:t>
      </w:r>
    </w:p>
    <w:p>
      <w:pPr>
        <w:pStyle w:val="Normal"/>
        <w:rPr/>
      </w:pPr>
      <w:r>
        <w:rPr/>
        <w:t>年底基准未来十二个月三类收入三百二十一点五、四十点五、十亿元人民币，合计三百七十二亿元；正常核心率百分之五点四，有限财资二点五亿元，股份一百六十三亿，</w:t>
      </w:r>
      <w:r>
        <w:rPr/>
        <w:t>PE</w:t>
      </w:r>
      <w:r>
        <w:rPr/>
        <w:t>二十六，得到三点一九港元。悲观收入三百四十七点五亿元、核心率四点二、财资一点四亿元和</w:t>
      </w:r>
      <w:r>
        <w:rPr/>
        <w:t>PE</w:t>
      </w:r>
      <w:r>
        <w:rPr/>
        <w:t>十六，目标一点三六；乐观收入三百九十亿元、率五点八、财资三点五亿元和</w:t>
      </w:r>
      <w:r>
        <w:rPr/>
        <w:t>PE</w:t>
      </w:r>
      <w:r>
        <w:rPr/>
        <w:t>三十二，目标四点五八。</w:t>
      </w:r>
    </w:p>
    <w:p>
      <w:pPr>
        <w:pStyle w:val="Normal"/>
        <w:rPr/>
      </w:pPr>
      <w:r>
        <w:rPr/>
        <w:t>半年基准总收入三百八十九亿元、正常核心率五点五，有限财资二点五亿元，股份一百六十三点三亿、</w:t>
      </w:r>
      <w:r>
        <w:rPr/>
        <w:t>PE</w:t>
      </w:r>
      <w:r>
        <w:rPr/>
        <w:t>二十七，目标三点四九。一年基准总收入四百二十九亿元、率六点一，股份一百六十三点八亿，同</w:t>
      </w:r>
      <w:r>
        <w:rPr/>
        <w:t>PE</w:t>
      </w:r>
      <w:r>
        <w:rPr/>
        <w:t>二十七，目标四点一五；未来一年累计普通息零点零七，含息回报约四成七点五五。它们是目标时点未来十二个月盈利估值，不能称为公司已给出的下年度收入利润指引。</w:t>
      </w:r>
    </w:p>
    <w:p>
      <w:pPr>
        <w:pStyle w:val="Normal"/>
        <w:rPr/>
      </w:pPr>
      <w:r>
        <w:rPr/>
        <w:t>三年基准收入五百五十亿元、正常率七点五、财资二点七亿元、股份一百六十五点五亿、</w:t>
      </w:r>
      <w:r>
        <w:rPr/>
        <w:t>PE</w:t>
      </w:r>
      <w:r>
        <w:rPr/>
        <w:t>二十五，目标五点七九；五年收入七百一十亿元、率八点三、财资二点九亿元、股份一百六十七点五亿、</w:t>
      </w:r>
      <w:r>
        <w:rPr/>
        <w:t>PE</w:t>
      </w:r>
      <w:r>
        <w:rPr/>
        <w:t>二十二，目标七点零六。增长与利润改善需要平台、商品和数字业务共同贡献，基准三年含息年化约二成八点三，五年约二成一点五六。长目标不是简单将一年上涨幅度线性累乘。</w:t>
      </w:r>
    </w:p>
    <w:p>
      <w:pPr>
        <w:pStyle w:val="Heading2"/>
        <w:rPr/>
      </w:pPr>
      <w:r>
        <w:rPr>
          <w:color w:val="000000"/>
        </w:rPr>
        <w:t>二十三 悲观与乐观的经济路径</w:t>
      </w:r>
    </w:p>
    <w:p>
      <w:pPr>
        <w:pStyle w:val="Normal"/>
        <w:rPr/>
      </w:pPr>
      <w:r>
        <w:rPr/>
        <w:t>一年悲观总收入三百三十六亿元、核心率百分之三点五、财资一亿元、股份一百六十八亿、</w:t>
      </w:r>
      <w:r>
        <w:rPr/>
        <w:t>PE</w:t>
      </w:r>
      <w:r>
        <w:rPr/>
        <w:t>十四，目标零点九三港元。未来普通息零点零三为有限分配假设，不能保护本金。此情景代表非药持续弱、药品价格竞争、平台收费放缓及</w:t>
      </w:r>
      <w:r>
        <w:rPr/>
        <w:t>AI</w:t>
      </w:r>
      <w:r>
        <w:rPr/>
        <w:t>投入未变现，同时估值风险溢价扩大。公司现金和无银行债能缓解融资紧迫，却不能阻止股价对长期每股盈利重新定价。</w:t>
      </w:r>
    </w:p>
    <w:p>
      <w:pPr>
        <w:pStyle w:val="Normal"/>
        <w:rPr/>
      </w:pPr>
      <w:r>
        <w:rPr/>
        <w:t>一年乐观总收入四百九十亿元、核心率七点五、财资三点八亿元、股份一百六十三亿、</w:t>
      </w:r>
      <w:r>
        <w:rPr/>
        <w:t>PE</w:t>
      </w:r>
      <w:r>
        <w:rPr/>
        <w:t>三十三，目标七点二三港元。乐观要药品需求、平台广告和数字服务均较强，履约效率与研发商业化覆盖成本，并且资本纪律足够好。该目标高于部分近期机构价，不能据此称机构支持这一情景。它是对商业成功和较高成长估值组合的研究假设，收益空间大也意味着成立条件多。</w:t>
      </w:r>
    </w:p>
    <w:p>
      <w:pPr>
        <w:pStyle w:val="Normal"/>
        <w:rPr/>
      </w:pPr>
      <w:r>
        <w:rPr/>
        <w:t>三年悲观零点六八、五年零点四七港元，对应盈利质量下降与持续稀释，利润并非完全归零。三年乐观十二点二七、五年十七点零四则要求数字服务显著扩张、正常率接近百分之十并维持成长</w:t>
      </w:r>
      <w:r>
        <w:rPr/>
        <w:t>PE</w:t>
      </w:r>
      <w:r>
        <w:rPr/>
        <w:t>。远期最乐观路径不是正常经营预测，若患者信任、付费或现金任何关键环节未成立，目标就应回到较低情景。区间不包含所有极端事件，价格仍可能低于悲观或高于乐观，不能作为损失或盈利边界。</w:t>
      </w:r>
    </w:p>
    <w:p>
      <w:pPr>
        <w:pStyle w:val="Normal"/>
        <w:rPr/>
      </w:pPr>
      <w:r>
        <w:rPr/>
        <w:t>现金财资变化、税率、营业率、股数与</w:t>
      </w:r>
      <w:r>
        <w:rPr/>
        <w:t>PE</w:t>
      </w:r>
      <w:r>
        <w:rPr/>
        <w:t>都能改变目标。三年基准营业率每少一个百分点，会减少约四点二九亿元税后核心利润，按分母和</w:t>
      </w:r>
      <w:r>
        <w:rPr/>
        <w:t>PE</w:t>
      </w:r>
      <w:r>
        <w:rPr/>
        <w:t>对目标影响约零点七一港元；同一收入变化不能同时作为利润率改善再算一次。若</w:t>
      </w:r>
      <w:r>
        <w:rPr/>
        <w:t>PE</w:t>
      </w:r>
      <w:r>
        <w:rPr/>
        <w:t>从二十五降到二十，即使利润不变，三年目标也约少两成。敏感性帮助区分收益来自经营还是估值，不能用最高收入与最高倍数互相证明。</w:t>
      </w:r>
    </w:p>
    <w:p>
      <w:pPr>
        <w:pStyle w:val="Heading2"/>
        <w:rPr/>
      </w:pPr>
      <w:r>
        <w:rPr>
          <w:color w:val="000000"/>
        </w:rPr>
        <w:t>二十四 年底期望与催化剂</w:t>
      </w:r>
    </w:p>
    <w:p>
      <w:pPr>
        <w:pStyle w:val="Normal"/>
        <w:rPr/>
      </w:pPr>
      <w:r>
        <w:rPr/>
        <w:t>年底默认悲观四分之一、基准一半、乐观四分之一，得到期望价三点零八港元，对现价约正百分之七点六九。由于区间不对称，期望不等于基准价，更不等于最可能成交价。研究权重是判断假设，没有足够统计样本把它们解释成客观概率。主观权重变化会明显改变结果，防御期望二点五九七约负百分之九点二，积极三点五六三约正二成四点五八，显示短期推荐并不稳健到可以忽略风险态度。</w:t>
      </w:r>
    </w:p>
    <w:p>
      <w:pPr>
        <w:pStyle w:val="Normal"/>
        <w:rPr/>
      </w:pPr>
      <w:r>
        <w:rPr/>
        <w:t>年底前重点信息包括截至九月末中期业绩、双十一品类销售、最新管理层经营方向及供应链投入。中期若揭示药品增长仍强但非药和平台拖累，基准应关注费用与现金能否守住；如果收入恢复却利润率下降，乐观未必成立。年底时间较短，通常依赖预期修订和</w:t>
      </w:r>
      <w:r>
        <w:rPr/>
        <w:t>PE</w:t>
      </w:r>
      <w:r>
        <w:rPr/>
        <w:t>变化多于长期现金累积，所以量价和公告日期尤其重要。不能把十二个月投行目标直接当年底价或按剩余月数缩放。</w:t>
      </w:r>
    </w:p>
    <w:p>
      <w:pPr>
        <w:pStyle w:val="Normal"/>
        <w:rPr/>
      </w:pPr>
      <w:r>
        <w:rPr/>
        <w:t>下行因素包括利润低于新闻转述范围、现金周转继续恶化、</w:t>
      </w:r>
      <w:r>
        <w:rPr/>
        <w:t>AI</w:t>
      </w:r>
      <w:r>
        <w:rPr/>
        <w:t>投入增加、监管扩大及板块风险偏好下降。上行因素包括药品复购和平台服务明显增长、非药恢复、履约效率改善与可信付费数据。每个因素需要对收入、费用、税或</w:t>
      </w:r>
      <w:r>
        <w:rPr/>
        <w:t>PE</w:t>
      </w:r>
      <w:r>
        <w:rPr/>
        <w:t>具体传导，不能只罗列好消息。模型仍只算普通股份价，没有期权凸性或每日杠杆；年底目标遇休市按香港此前最后交易日，日历由总表统一。</w:t>
      </w:r>
    </w:p>
    <w:p>
      <w:pPr>
        <w:pStyle w:val="Normal"/>
        <w:rPr/>
      </w:pPr>
      <w:r>
        <w:rPr/>
        <w:t>截至日后任何新信息不反向进入锁定模型，否则研究无法复核。若后续财报到来，应建立新的数据版本、更新假设并重新跑三种情景，不在旧表中直接改目标价而留下旧分数。初版结论可以被新证据推翻，这正是分批研究与活动估值的用途。年底期望只有在信息、股数、币种和权重版本一致时才可比较，不能把不同报告日的目标或不同现金息口径混在一个平均值中。</w:t>
      </w:r>
    </w:p>
    <w:p>
      <w:pPr>
        <w:pStyle w:val="Heading2"/>
        <w:rPr/>
      </w:pPr>
      <w:r>
        <w:rPr>
          <w:color w:val="000000"/>
        </w:rPr>
        <w:t>二十五 外资目标的可用性</w:t>
      </w:r>
    </w:p>
    <w:p>
      <w:pPr>
        <w:pStyle w:val="Normal"/>
        <w:rPr/>
      </w:pPr>
      <w:r>
        <w:rPr/>
        <w:t>近期外资公开转述包括十月二日里昂三点七港元跑赢、九月二十三日高盛三点六中性、九月二十一日美银四点二买入和瑞银二点八沽售。里昂十月五日重复消息去重，旧机构目标由最新覆盖。瑞银本次只有公开标题可核，正文及原始研报未取得，证据低于有完整新闻正文的目标。所有近期目标期限未在转述明确，不能自动称十二个月目标，更不能继承旧高盛报告的期限。</w:t>
      </w:r>
    </w:p>
    <w:p>
      <w:pPr>
        <w:pStyle w:val="Normal"/>
        <w:rPr/>
      </w:pPr>
      <w:r>
        <w:rPr/>
        <w:t>五月二十一日富瑞五点三买入超出九十天，并处于最新营养品收入指引下调之前，只保留作为旧观点背景。五月高盛四点二明确曾用十二个月及预测盈利</w:t>
      </w:r>
      <w:r>
        <w:rPr/>
        <w:t>PE</w:t>
      </w:r>
      <w:r>
        <w:rPr/>
        <w:t>，但九月新价三点六不能无核验沿用其期限和倍数。中金九月四点五为中资国际观点，单列而不标外资。机构评级不是统一量尺，跑赢、中性、买入的参照和时间各异，目标分歧说明盈利与战略判断不同，不可投票代替分析。</w:t>
      </w:r>
    </w:p>
    <w:p>
      <w:pPr>
        <w:pStyle w:val="Normal"/>
        <w:rPr/>
      </w:pPr>
      <w:r>
        <w:rPr/>
        <w:t>里昂转述的利润范围十九至二十三亿元人民币按报道上下文接近调整口径，但没有公司正式公告逐字核实，不将其写作审计归母指引。美银预计下一中期收入一百八十一亿元、调整利润十一点六亿元只是预测，截止尚无实际财报。机构也关注氢离子与全渠道投入，恰说明短期利润兑现需要等待。研究模型比部分旧高价更低，源于常态薪酬、税、财资和现金不重复计值的统一口径。</w:t>
      </w:r>
    </w:p>
    <w:p>
      <w:pPr>
        <w:pStyle w:val="Normal"/>
        <w:rPr/>
      </w:pPr>
      <w:r>
        <w:rPr/>
        <w:t>没有取得原始研报时，新闻转述可帮助识别预期变化，但不能补造评级生效范围、目标日期、估值细节或盈利表。目标价列表记录机构、日期、港币、证券、评级与来源，期限缺失保留空值。机构目标用来交叉检验一年估值方向，而年底按自身信息集重算。若后续取得原件且证据改变，应更新机构条目与模型解释，不能用未公开报告存在的猜测填补来源空缺。</w:t>
      </w:r>
    </w:p>
    <w:p>
      <w:pPr>
        <w:pStyle w:val="Heading2"/>
        <w:rPr/>
      </w:pPr>
      <w:r>
        <w:rPr>
          <w:color w:val="000000"/>
        </w:rPr>
        <w:t>二十六 四期限逻辑与反证</w:t>
      </w:r>
    </w:p>
    <w:p>
      <w:pPr>
        <w:pStyle w:val="Normal"/>
        <w:rPr/>
      </w:pPr>
      <w:r>
        <w:rPr/>
        <w:t>半年主要是弱趋势中的估值修复观察，得分五十八点一。估值维度三点二、技术一点八、经营三点五、行业三点八、催化三点二、风险三点四，按既定权重计算。营业增长仍有基础，但量价和收入指引下调使进入条件较差。若守低、放量突破且报表现金与正常利润改善，可提高评价；若继续破位或利润下修，半年基准三点四九不成立，应降低目标与评分。</w:t>
      </w:r>
    </w:p>
    <w:p>
      <w:pPr>
        <w:pStyle w:val="Normal"/>
        <w:rPr/>
      </w:pPr>
      <w:r>
        <w:rPr/>
        <w:t>一年得分六十八点一，重点从量价转向完整财务验证。公司需要显示药品增长可以弥补非药、平台变现恢复、全渠道投入产生效率，而非单靠财资或投资收益。基准含息回报约四成七点五五，来源是正常每股盈利提高及适度成长</w:t>
      </w:r>
      <w:r>
        <w:rPr/>
        <w:t>PE</w:t>
      </w:r>
      <w:r>
        <w:rPr/>
        <w:t>，不包括过去特别息。反证为现金转化恶化、核心率明显低于假设、平台收入继续停滞或正常研发超支而收入不增，届时不能仅用长期</w:t>
      </w:r>
      <w:r>
        <w:rPr/>
        <w:t>AI</w:t>
      </w:r>
      <w:r>
        <w:rPr/>
        <w:t>故事维持一年目标。</w:t>
      </w:r>
    </w:p>
    <w:p>
      <w:pPr>
        <w:pStyle w:val="Normal"/>
        <w:rPr/>
      </w:pPr>
      <w:r>
        <w:rPr/>
        <w:t>三年得分七十五点五，经营与行业权重合计较高，慢病、供应链与数字服务有机会积累复购和企业付费。核心反证不是一季度季节波动，而是渠道优势未转成现金、医生工具持续免费且付费留存低、母公司流量成本提高或监管限制主要服务。若上述发生，应把利润率、收入或</w:t>
      </w:r>
      <w:r>
        <w:rPr/>
        <w:t>PE</w:t>
      </w:r>
      <w:r>
        <w:rPr/>
        <w:t>分别下调，不随意降低风险权重。三年收益虽较高，其成立条件也更具体，不能把评分解释为未来上涨概率。</w:t>
      </w:r>
    </w:p>
    <w:p>
      <w:pPr>
        <w:pStyle w:val="Normal"/>
        <w:rPr/>
      </w:pPr>
      <w:r>
        <w:rPr/>
        <w:t>五年得分七十四点一，技术权重零，主要看商业质量、资本分配及持续性。基准需要成熟估值下每股正常盈利增长覆盖稀释，普通分红与留存资金能共同增加回报。若线上购买成为无差别服务、药企直销和医院入口削弱平台、</w:t>
      </w:r>
      <w:r>
        <w:rPr/>
        <w:t>AI</w:t>
      </w:r>
      <w:r>
        <w:rPr/>
        <w:t>与追溯标准化使收费下降，长期成长可大幅低于模型。保留高远期区间是为了展示机会与失败幅度，不能作为无论买入价多高都值得长期持有的结论。</w:t>
      </w:r>
    </w:p>
    <w:p>
      <w:pPr>
        <w:pStyle w:val="Heading2"/>
        <w:rPr/>
      </w:pPr>
      <w:r>
        <w:rPr>
          <w:color w:val="000000"/>
        </w:rPr>
        <w:t>二十七 十年持续性与研究维护</w:t>
      </w:r>
    </w:p>
    <w:p>
      <w:pPr>
        <w:pStyle w:val="Normal"/>
        <w:rPr/>
      </w:pPr>
      <w:r>
        <w:rPr/>
        <w:t>十年经营展望关注公司能否成为值得信任的药品及专业服务供应链，而不是预测十年每天股价。需求端老龄化、慢病和医药信息复杂性仍有空间，技术端自动化与信息工具可能改善效率；同时价格更透明、渠道互通和监管标准化会压缩平台特权。公司长期价值取决于在这些变化中持续为患者和药企节约成本并提高质量，不能仅靠母公司入口或第一批用户保持溢价。</w:t>
      </w:r>
    </w:p>
    <w:p>
      <w:pPr>
        <w:pStyle w:val="Normal"/>
        <w:rPr/>
      </w:pPr>
      <w:r>
        <w:rPr/>
        <w:t>经营持续性需要三类证据：患者重复选择有临床合规和服务依据，商家与药企愿意为可量化效果付费，投入资金最终转成每股现金。若医生工具和追溯网络只是扩大使用却没有良好经济性，公司仍可能有社会价值但股票回报不足。十年里管理层、资本配置和股份数量都会变化，单次特别分红或一次产品发布不能替代持续记录。研究不把五年乐观利润再外推十年高</w:t>
      </w:r>
      <w:r>
        <w:rPr/>
        <w:t>PE</w:t>
      </w:r>
      <w:r>
        <w:rPr/>
        <w:t>。</w:t>
      </w:r>
    </w:p>
    <w:p>
      <w:pPr>
        <w:pStyle w:val="Normal"/>
        <w:rPr/>
      </w:pPr>
      <w:r>
        <w:rPr/>
        <w:t>维护清单包括财年周期、归母与集团口径、税及一次性桥、存款利息所在现金流段、法律股与信托奖励、近期投行目标及公告首次发布时间。每次输入变更需要标待刷新，重新生成情景与四评分，再核对总表、正文和图表一致。技术更新则须同时核复权、股与手单位、交易日数及公司行动，不补造不足周均线。本章保存独立模型和来源，支持新数据到来后对照旧假设，而不是覆盖研究历史。</w:t>
      </w:r>
    </w:p>
    <w:p>
      <w:pPr>
        <w:pStyle w:val="Normal"/>
        <w:rPr/>
      </w:pPr>
      <w:r>
        <w:rPr/>
        <w:t>当前结论为三年及五年有条件成长候选，一年等待正常盈利验证，半年量价修复尚弱。最值得关注的是核心经营率和现金质量能否同步改善，其次才是</w:t>
      </w:r>
      <w:r>
        <w:rPr/>
        <w:t>AI</w:t>
      </w:r>
      <w:r>
        <w:rPr/>
        <w:t>用户和新药合作数量。进取型选择应接受失败路径真实存在，并以明确反证持续检查。阿里健康有规模、信任和生态基础，但上市普通股回报最终由正常每股利润、资本纪律和买入估值决定；所有推荐分和情景均以这些条件为约束。</w:t>
      </w:r>
    </w:p>
    <w:p>
      <w:pPr>
        <w:pStyle w:val="Heading2"/>
        <w:rPr/>
      </w:pPr>
      <w:r>
        <w:rPr>
          <w:color w:val="000000"/>
        </w:rPr>
        <w:t>来源与模型核验</w:t>
      </w:r>
    </w:p>
    <w:p>
      <w:pPr>
        <w:pStyle w:val="Normal"/>
        <w:rPr/>
      </w:pPr>
      <w:r>
        <w:rPr/>
        <w:t>1. [FY2026</w:t>
      </w:r>
      <w:r>
        <w:rPr/>
        <w:t>正式年报，</w:t>
      </w:r>
      <w:r>
        <w:rPr/>
        <w:t>HKEX2026-07-06 17:04](https://www1.hkexnews.hk/listedco/listconews/sehk/2026/0706/2026070600958.pdf)</w:t>
      </w:r>
      <w:r>
        <w:rPr/>
        <w:t>，报告期截至</w:t>
      </w:r>
      <w:r>
        <w:rPr/>
        <w:t>2026-03-31</w:t>
      </w:r>
      <w:r>
        <w:rPr/>
        <w:t>，财务</w:t>
      </w:r>
      <w:r>
        <w:rPr/>
        <w:t>RMB</w:t>
      </w:r>
      <w:r>
        <w:rPr/>
        <w:t>千元转百万元。</w:t>
      </w:r>
    </w:p>
    <w:p>
      <w:pPr>
        <w:pStyle w:val="Normal"/>
        <w:rPr/>
      </w:pPr>
      <w:r>
        <w:rPr/>
        <w:t>2. [FY</w:t>
      </w:r>
      <w:r>
        <w:rPr/>
        <w:t>业绩</w:t>
      </w:r>
      <w:r>
        <w:rPr/>
        <w:t>2026-05-14 17:41](https://www1.hkexnews.hk/listedco/listconews/sehk/2026/0514/2026051400755.pdf)</w:t>
      </w:r>
      <w:r>
        <w:rPr/>
        <w:t>，正式文件替代官网</w:t>
      </w:r>
      <w:r>
        <w:rPr/>
        <w:t>Proof</w:t>
      </w:r>
      <w:r>
        <w:rPr/>
        <w:t>校样。</w:t>
      </w:r>
    </w:p>
    <w:p>
      <w:pPr>
        <w:pStyle w:val="Normal"/>
        <w:rPr/>
      </w:pPr>
      <w:r>
        <w:rPr/>
        <w:t>3. [FY2026</w:t>
      </w:r>
      <w:r>
        <w:rPr/>
        <w:t>中期</w:t>
      </w:r>
      <w:r>
        <w:rPr/>
        <w:t>2025-12-11 16:37](https://www1.hkexnews.hk/listedco/listconews/sehk/2025/1211/2025121100448.pdf)</w:t>
      </w:r>
      <w:r>
        <w:rPr/>
        <w:t>，截至</w:t>
      </w:r>
      <w:r>
        <w:rPr/>
        <w:t>2025-09-30</w:t>
      </w:r>
      <w:r>
        <w:rPr/>
        <w:t>，非</w:t>
      </w:r>
      <w:r>
        <w:rPr/>
        <w:t>2026</w:t>
      </w:r>
      <w:r>
        <w:rPr/>
        <w:t>自然年</w:t>
      </w:r>
      <w:r>
        <w:rPr/>
        <w:t>H1</w:t>
      </w:r>
      <w:r>
        <w:rPr/>
        <w:t>；</w:t>
      </w:r>
      <w:r>
        <w:rPr/>
        <w:t>[</w:t>
      </w:r>
      <w:r>
        <w:rPr/>
        <w:t>业绩</w:t>
      </w:r>
      <w:r>
        <w:rPr/>
        <w:t>2025-11-26 18:48](https://www1.hkexnews.hk/listedco/listconews/sehk/2025/1126/2025112601052.pdf)</w:t>
      </w:r>
      <w:r>
        <w:rPr/>
        <w:t>。</w:t>
      </w:r>
    </w:p>
    <w:p>
      <w:pPr>
        <w:pStyle w:val="Normal"/>
        <w:rPr/>
      </w:pPr>
      <w:r>
        <w:rPr/>
        <w:t>4. [</w:t>
      </w:r>
      <w:r>
        <w:rPr/>
        <w:t>九月月报</w:t>
      </w:r>
      <w:r>
        <w:rPr/>
        <w:t>2026-10-05 16:28](https://www1.hkexnews.hk/listedco/listconews/sehk/2026/1005/2026100500756.pdf)</w:t>
      </w:r>
      <w:r>
        <w:rPr/>
        <w:t>，法律股份与奖励余额；</w:t>
      </w:r>
      <w:r>
        <w:rPr/>
        <w:t>[</w:t>
      </w:r>
      <w:r>
        <w:rPr/>
        <w:t>奖励</w:t>
      </w:r>
      <w:r>
        <w:rPr/>
        <w:t>2026-09-15 19:47](https://www1.hkexnews.hk/listedco/listconews/sehk/2026/0915/2026091501091.pdf)</w:t>
      </w:r>
      <w:r>
        <w:rPr/>
        <w:t>。</w:t>
      </w:r>
    </w:p>
    <w:p>
      <w:pPr>
        <w:pStyle w:val="Normal"/>
        <w:rPr/>
      </w:pPr>
      <w:r>
        <w:rPr/>
        <w:t>5. [</w:t>
      </w:r>
      <w:r>
        <w:rPr/>
        <w:t>管理层</w:t>
      </w:r>
      <w:r>
        <w:rPr/>
        <w:t>2026-09-11 17:28](https://www1.hkexnews.hk/listedco/listconews/sehk/2026/0911/2026091100823.pdf)</w:t>
      </w:r>
      <w:r>
        <w:rPr/>
        <w:t>，余涌主席</w:t>
      </w:r>
      <w:r>
        <w:rPr/>
        <w:t>CEO</w:t>
      </w:r>
      <w:r>
        <w:rPr/>
        <w:t>、沈涤凡继续执行董事及</w:t>
      </w:r>
      <w:r>
        <w:rPr/>
        <w:t>AI/</w:t>
      </w:r>
      <w:r>
        <w:rPr/>
        <w:t>追溯；</w:t>
      </w:r>
      <w:r>
        <w:rPr/>
        <w:t>[</w:t>
      </w:r>
      <w:r>
        <w:rPr/>
        <w:t>普通</w:t>
      </w:r>
      <w:r>
        <w:rPr/>
        <w:t>](https://www1.hkexnews.hk/listedco/listconews/sehk/2026/0807/2026080701141.pdf)</w:t>
      </w:r>
      <w:r>
        <w:rPr/>
        <w:t>、</w:t>
      </w:r>
      <w:r>
        <w:rPr/>
        <w:t>[</w:t>
      </w:r>
      <w:r>
        <w:rPr/>
        <w:t>特别股息</w:t>
      </w:r>
      <w:r>
        <w:rPr/>
        <w:t>](https://www1.hkexnews.hk/listedco/listconews/sehk/2026/0807/2026080701151.pdf)</w:t>
      </w:r>
      <w:r>
        <w:rPr/>
        <w:t>，</w:t>
      </w:r>
      <w:r>
        <w:rPr/>
        <w:t>2026-08-07</w:t>
      </w:r>
      <w:r>
        <w:rPr/>
        <w:t>收盘后，</w:t>
      </w:r>
      <w:r>
        <w:rPr/>
        <w:t>8/12</w:t>
      </w:r>
      <w:r>
        <w:rPr/>
        <w:t>除息</w:t>
      </w:r>
      <w:r>
        <w:rPr/>
        <w:t>9/2</w:t>
      </w:r>
      <w:r>
        <w:rPr/>
        <w:t>支付。</w:t>
      </w:r>
    </w:p>
    <w:p>
      <w:pPr>
        <w:pStyle w:val="Normal"/>
        <w:rPr/>
      </w:pPr>
      <w:r>
        <w:rPr/>
        <w:t xml:space="preserve">6. </w:t>
      </w:r>
      <w:r>
        <w:rPr/>
        <w:t>外资新闻转述</w:t>
      </w:r>
      <w:r>
        <w:rPr/>
        <w:t>[</w:t>
      </w:r>
      <w:r>
        <w:rPr/>
        <w:t>里昂</w:t>
      </w:r>
      <w:r>
        <w:rPr/>
        <w:t>10/2](https://www.aastocks.com/sc/stocks/analysis/stock-aafn-con/00241/AAFN/NOW.1547540/research-report)</w:t>
      </w:r>
      <w:r>
        <w:rPr/>
        <w:t>、</w:t>
      </w:r>
      <w:r>
        <w:rPr/>
        <w:t>[</w:t>
      </w:r>
      <w:r>
        <w:rPr/>
        <w:t>高盛</w:t>
      </w:r>
      <w:r>
        <w:rPr/>
        <w:t>9/23](https://www.aastocks.com/sc/stocks/analysis/stock-aafn-con/00241/AAFN/NOW.1545923/research-report)</w:t>
      </w:r>
      <w:r>
        <w:rPr/>
        <w:t>、</w:t>
      </w:r>
      <w:r>
        <w:rPr/>
        <w:t>[</w:t>
      </w:r>
      <w:r>
        <w:rPr/>
        <w:t>美银</w:t>
      </w:r>
      <w:r>
        <w:rPr/>
        <w:t>9/21](https://www.aastocks.com/sc/stocks/analysis/stock-aafn-con/00241/AAFN/NOW.1545492/research-report)</w:t>
      </w:r>
      <w:r>
        <w:rPr/>
        <w:t>、</w:t>
      </w:r>
      <w:r>
        <w:rPr/>
        <w:t>[</w:t>
      </w:r>
      <w:r>
        <w:rPr/>
        <w:t>瑞银标题</w:t>
      </w:r>
      <w:r>
        <w:rPr/>
        <w:t>9/21](https://www.aastocks.com/sc/stocks/analysis/stock-aafn-con/00241/INFOCAST/IC4996238/research-report)</w:t>
      </w:r>
      <w:r>
        <w:rPr/>
        <w:t>、</w:t>
      </w:r>
      <w:r>
        <w:rPr/>
        <w:t>[</w:t>
      </w:r>
      <w:r>
        <w:rPr/>
        <w:t>富瑞</w:t>
      </w:r>
      <w:r>
        <w:rPr/>
        <w:t>5/21</w:t>
      </w:r>
      <w:r>
        <w:rPr/>
        <w:t>超</w:t>
      </w:r>
      <w:r>
        <w:rPr/>
        <w:t>90</w:t>
      </w:r>
      <w:r>
        <w:rPr/>
        <w:t>日</w:t>
      </w:r>
      <w:r>
        <w:rPr/>
        <w:t>](https://www.aastocks.com/sc/stocks/analysis/stock-aafn-con/00241/AAFN/NOW.1525626/research-report)</w:t>
      </w:r>
      <w:r>
        <w:rPr/>
        <w:t>。最新同机构去重；近期期限未明不继承旧报告；</w:t>
      </w:r>
      <w:r>
        <w:rPr/>
        <w:t>[</w:t>
      </w:r>
      <w:r>
        <w:rPr/>
        <w:t>中金</w:t>
      </w:r>
      <w:r>
        <w:rPr/>
        <w:t>9/21](https://www.aastocks.com/sc/stocks/analysis/stock-aafn-con/00241/AAFN/NOW.1545491/research-report)</w:t>
      </w:r>
      <w:r>
        <w:rPr/>
        <w:t>单列中资。</w:t>
      </w:r>
    </w:p>
    <w:p>
      <w:pPr>
        <w:pStyle w:val="Normal"/>
        <w:rPr/>
      </w:pPr>
      <w:r>
        <w:rPr/>
        <w:t xml:space="preserve">7. </w:t>
      </w:r>
      <w:r>
        <w:rPr/>
        <w:t>行情与</w:t>
      </w:r>
      <w:r>
        <w:rPr/>
        <w:t>739</w:t>
      </w:r>
      <w:r>
        <w:rPr/>
        <w:t>日线</w:t>
      </w:r>
      <w:r>
        <w:rPr/>
        <w:t>/157</w:t>
      </w:r>
      <w:r>
        <w:rPr/>
        <w:t>周锁定</w:t>
      </w:r>
      <w:r>
        <w:rPr/>
        <w:t>data/market_snapshot_locked.json</w:t>
      </w:r>
      <w:r>
        <w:rPr/>
        <w:t>，</w:t>
      </w:r>
      <w:r>
        <w:rPr/>
        <w:t>Yahoo/Tencent</w:t>
      </w:r>
      <w:r>
        <w:rPr/>
        <w:t>双源现价核；复权</w:t>
      </w:r>
      <w:r>
        <w:rPr/>
        <w:t>OHLC</w:t>
      </w:r>
      <w:r>
        <w:rPr/>
        <w:t>基准名义归一，量股，换手与逐笔缺失，周</w:t>
      </w:r>
      <w:r>
        <w:rPr/>
        <w:t>250</w:t>
      </w:r>
      <w:r>
        <w:rPr/>
        <w:t>无样本。</w:t>
      </w:r>
    </w:p>
    <w:p>
      <w:pPr>
        <w:pStyle w:val="Normal"/>
        <w:rPr/>
      </w:pPr>
      <w:r>
        <w:rPr/>
        <w:t>8. data/alihealth_model.json</w:t>
      </w:r>
      <w:r>
        <w:rPr/>
        <w:t>与</w:t>
      </w:r>
      <w:r>
        <w:rPr/>
        <w:t>tools/alihealth_model.mjs</w:t>
      </w:r>
      <w:r>
        <w:rPr/>
        <w:t>为单套正常盈利活动模型；财报利润桥、</w:t>
      </w:r>
      <w:r>
        <w:rPr/>
        <w:t>15</w:t>
      </w:r>
      <w:r>
        <w:rPr/>
        <w:t>情景、四评分、股价</w:t>
      </w:r>
      <w:r>
        <w:rPr/>
        <w:t>/</w:t>
      </w:r>
      <w:r>
        <w:rPr/>
        <w:t>含息</w:t>
      </w:r>
      <w:r>
        <w:rPr/>
        <w:t>/</w:t>
      </w:r>
      <w:r>
        <w:rPr/>
        <w:t>年化与字数由</w:t>
      </w:r>
      <w:r>
        <w:rPr/>
        <w:t>qa/alihealth_qa.json</w:t>
      </w:r>
      <w:r>
        <w:rPr/>
        <w:t>独立复算；最终</w:t>
      </w:r>
      <w:r>
        <w:rPr/>
        <w:t>Word/PDF</w:t>
      </w:r>
      <w:r>
        <w:rPr/>
        <w:t>和总表由集成流程核验。</w:t>
      </w:r>
      <w:r>
        <w:br w:type="page"/>
      </w:r>
    </w:p>
    <w:p>
      <w:pPr>
        <w:pStyle w:val="Heading1"/>
        <w:rPr/>
      </w:pPr>
      <w:bookmarkStart w:id="1" w:name="__RefHeading___Toc38178_1364803659"/>
      <w:bookmarkEnd w:id="1"/>
      <w:r>
        <w:rPr>
          <w:color w:val="000000"/>
        </w:rPr>
        <w:t xml:space="preserve">华虹宏力 </w:t>
      </w:r>
      <w:r>
        <w:rPr>
          <w:color w:val="000000"/>
        </w:rPr>
        <w:t>01347 HK</w:t>
      </w:r>
    </w:p>
    <w:p>
      <w:pPr>
        <w:pStyle w:val="Normal"/>
        <w:rPr/>
      </w:pPr>
      <w:r>
        <w:rPr/>
        <w:t xml:space="preserve">01347.HK </w:t>
      </w:r>
      <w:r>
        <w:rPr/>
        <w:t xml:space="preserve">现价 </w:t>
      </w:r>
      <w:r>
        <w:rPr/>
        <w:t>94.55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112.23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123.85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+30.99%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+31.09%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137.30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+45.21%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+45.85%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68.20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145.49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+53.88%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+55.25%</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46.40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-50.93%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100.89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+6.71%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156.16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+65.16%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101.09HKD</w:t>
      </w:r>
      <w:r>
        <w:rPr/>
        <w:t>，期望股价回报</w:t>
      </w:r>
      <w:r>
        <w:rPr/>
        <w:t>+6.91%</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38.86</w:t>
              <w:br/>
              <w:t>-58.90%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112.23</w:t>
              <w:br/>
              <w:t>+18.70%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179.26</w:t>
              <w:br/>
              <w:t>+89.59%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31.02</w:t>
              <w:br/>
              <w:t>-67.19%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123.85</w:t>
              <w:br/>
              <w:t>+30.99%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199.84</w:t>
              <w:br/>
              <w:t>+111.36%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18.86</w:t>
              <w:br/>
              <w:t>-80.05%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137.30</w:t>
              <w:br/>
              <w:t>+45.21%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233.31</w:t>
              <w:br/>
              <w:t>+146.76%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+13.41%</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14.22</w:t>
              <w:br/>
              <w:t>-84.96%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145.49</w:t>
              <w:br/>
              <w:t>+53.88%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264.54</w:t>
              <w:br/>
              <w:t>+179.79%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+9.20%</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中：锁定行情与</w:t>
            </w:r>
            <w:r>
              <w:rPr>
                <w:rFonts w:eastAsia="微软雅黑" w:ascii="微软雅黑" w:hAnsi="微软雅黑"/>
                <w:sz w:val="17"/>
              </w:rPr>
              <w:t>H1/FY</w:t>
            </w:r>
            <w:r>
              <w:rPr>
                <w:rFonts w:ascii="微软雅黑" w:hAnsi="微软雅黑" w:eastAsia="微软雅黑"/>
                <w:sz w:val="17"/>
              </w:rPr>
              <w:t>原件高；</w:t>
            </w:r>
            <w:r>
              <w:rPr>
                <w:rFonts w:eastAsia="微软雅黑" w:ascii="微软雅黑" w:hAnsi="微软雅黑"/>
                <w:sz w:val="17"/>
              </w:rPr>
              <w:t>9/9</w:t>
            </w:r>
            <w:r>
              <w:rPr>
                <w:rFonts w:ascii="微软雅黑" w:hAnsi="微软雅黑" w:eastAsia="微软雅黑"/>
                <w:sz w:val="17"/>
              </w:rPr>
              <w:t>组合具体权益及新资产盈利未公开、长期</w:t>
            </w:r>
            <w:r>
              <w:rPr>
                <w:rFonts w:eastAsia="微软雅黑" w:ascii="微软雅黑" w:hAnsi="微软雅黑"/>
                <w:sz w:val="17"/>
              </w:rPr>
              <w:t>ROE/PB/</w:t>
            </w:r>
            <w:r>
              <w:rPr>
                <w:rFonts w:ascii="微软雅黑" w:hAnsi="微软雅黑" w:eastAsia="微软雅黑"/>
                <w:sz w:val="17"/>
              </w:rPr>
              <w:t>融资</w:t>
            </w:r>
            <w:r>
              <w:rPr>
                <w:rFonts w:eastAsia="微软雅黑" w:ascii="微软雅黑" w:hAnsi="微软雅黑"/>
                <w:sz w:val="17"/>
              </w:rPr>
              <w:t>/</w:t>
            </w:r>
            <w:r>
              <w:rPr>
                <w:rFonts w:ascii="微软雅黑" w:hAnsi="微软雅黑" w:eastAsia="微软雅黑"/>
                <w:sz w:val="17"/>
              </w:rPr>
              <w:t>归属中低</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+12.76%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+24.63%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+24.54%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+37.65%</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+38.56%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+45.85%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+53.14%</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+47.49%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+55.25%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+63.01%</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I071</w:t>
      </w:r>
      <w:r>
        <w:rPr/>
        <w:t>，证券</w:t>
      </w:r>
      <w:r>
        <w:rPr/>
        <w:t>S081</w:t>
      </w:r>
      <w:r>
        <w:rPr/>
        <w:t>，</w:t>
      </w:r>
      <w:r>
        <w:rPr/>
        <w:t>01347.HK</w:t>
      </w:r>
      <w:r>
        <w:rPr/>
        <w:t>。研究初版，统一价格及资料截止</w:t>
      </w:r>
      <w:r>
        <w:rPr/>
        <w:t>2026-10-09</w:t>
      </w:r>
      <w:r>
        <w:rPr/>
        <w:t>，锁定收盘</w:t>
      </w:r>
      <w:r>
        <w:rPr/>
        <w:t>94.55</w:t>
      </w:r>
      <w:r>
        <w:rPr/>
        <w:t>港元；公司美元列报，活动模型美元兑港币</w:t>
      </w:r>
      <w:r>
        <w:rPr/>
        <w:t>7.80</w:t>
      </w:r>
      <w:r>
        <w:rPr/>
        <w:t>为研究假设，非声称截止即期。用户名单未包含该公司</w:t>
      </w:r>
      <w:r>
        <w:rPr/>
        <w:t>A</w:t>
      </w:r>
      <w:r>
        <w:rPr/>
        <w:t>股，但所有普通股纳入归母每股分母。正文标题、元数据、结论卡、表格、来源及共用宏观不计有效汉字。</w:t>
      </w:r>
    </w:p>
    <w:p>
      <w:pPr>
        <w:pStyle w:val="Heading2"/>
        <w:rPr/>
      </w:pPr>
      <w:r>
        <w:rPr>
          <w:color w:val="000000"/>
        </w:rPr>
        <w:t>结论卡</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本章判断</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悲观／基准／乐观港元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基准股价／含息回报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基本面复苏、量价下降待修复</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38.86</w:t>
            </w:r>
            <w:r>
              <w:rPr>
                <w:rFonts w:ascii="微软雅黑" w:hAnsi="微软雅黑" w:eastAsia="微软雅黑"/>
                <w:sz w:val="17"/>
              </w:rPr>
              <w:t>／</w:t>
            </w:r>
            <w:r>
              <w:rPr>
                <w:rFonts w:eastAsia="微软雅黑" w:ascii="微软雅黑" w:hAnsi="微软雅黑"/>
                <w:sz w:val="17"/>
              </w:rPr>
              <w:t>112.23</w:t>
            </w:r>
            <w:r>
              <w:rPr>
                <w:rFonts w:ascii="微软雅黑" w:hAnsi="微软雅黑" w:eastAsia="微软雅黑"/>
                <w:sz w:val="17"/>
              </w:rPr>
              <w:t>／</w:t>
            </w:r>
            <w:r>
              <w:rPr>
                <w:rFonts w:eastAsia="微软雅黑" w:ascii="微软雅黑" w:hAnsi="微软雅黑"/>
                <w:sz w:val="17"/>
              </w:rPr>
              <w:t>179.26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18.70%</w:t>
            </w:r>
            <w:r>
              <w:rPr>
                <w:rFonts w:ascii="微软雅黑" w:hAnsi="微软雅黑" w:eastAsia="微软雅黑"/>
                <w:sz w:val="17"/>
              </w:rPr>
              <w:t>／</w:t>
            </w:r>
            <w:r>
              <w:rPr>
                <w:rFonts w:eastAsia="微软雅黑" w:ascii="微软雅黑" w:hAnsi="微软雅黑"/>
                <w:sz w:val="17"/>
              </w:rPr>
              <w:t>18.70%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69.2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收购与特色需求正常回报候选</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31.02</w:t>
            </w:r>
            <w:r>
              <w:rPr>
                <w:rFonts w:ascii="微软雅黑" w:hAnsi="微软雅黑" w:eastAsia="微软雅黑"/>
                <w:sz w:val="17"/>
              </w:rPr>
              <w:t>／</w:t>
            </w:r>
            <w:r>
              <w:rPr>
                <w:rFonts w:eastAsia="微软雅黑" w:ascii="微软雅黑" w:hAnsi="微软雅黑"/>
                <w:sz w:val="17"/>
              </w:rPr>
              <w:t>123.85</w:t>
            </w:r>
            <w:r>
              <w:rPr>
                <w:rFonts w:ascii="微软雅黑" w:hAnsi="微软雅黑" w:eastAsia="微软雅黑"/>
                <w:sz w:val="17"/>
              </w:rPr>
              <w:t>／</w:t>
            </w:r>
            <w:r>
              <w:rPr>
                <w:rFonts w:eastAsia="微软雅黑" w:ascii="微软雅黑" w:hAnsi="微软雅黑"/>
                <w:sz w:val="17"/>
              </w:rPr>
              <w:t>199.84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30.99%</w:t>
            </w:r>
            <w:r>
              <w:rPr>
                <w:rFonts w:ascii="微软雅黑" w:hAnsi="微软雅黑" w:eastAsia="微软雅黑"/>
                <w:sz w:val="17"/>
              </w:rPr>
              <w:t>／</w:t>
            </w:r>
            <w:r>
              <w:rPr>
                <w:rFonts w:eastAsia="微软雅黑" w:ascii="微软雅黑" w:hAnsi="微软雅黑"/>
                <w:sz w:val="17"/>
              </w:rPr>
              <w:t>31.09%</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特色平台成长但资本回报约束</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18.86</w:t>
            </w:r>
            <w:r>
              <w:rPr>
                <w:rFonts w:ascii="微软雅黑" w:hAnsi="微软雅黑" w:eastAsia="微软雅黑"/>
                <w:sz w:val="17"/>
              </w:rPr>
              <w:t>／</w:t>
            </w:r>
            <w:r>
              <w:rPr>
                <w:rFonts w:eastAsia="微软雅黑" w:ascii="微软雅黑" w:hAnsi="微软雅黑"/>
                <w:sz w:val="17"/>
              </w:rPr>
              <w:t>137.30</w:t>
            </w:r>
            <w:r>
              <w:rPr>
                <w:rFonts w:ascii="微软雅黑" w:hAnsi="微软雅黑" w:eastAsia="微软雅黑"/>
                <w:sz w:val="17"/>
              </w:rPr>
              <w:t>／</w:t>
            </w:r>
            <w:r>
              <w:rPr>
                <w:rFonts w:eastAsia="微软雅黑" w:ascii="微软雅黑" w:hAnsi="微软雅黑"/>
                <w:sz w:val="17"/>
              </w:rPr>
              <w:t>233.31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45.21%</w:t>
            </w:r>
            <w:r>
              <w:rPr>
                <w:rFonts w:ascii="微软雅黑" w:hAnsi="微软雅黑" w:eastAsia="微软雅黑"/>
                <w:sz w:val="17"/>
              </w:rPr>
              <w:t>／</w:t>
            </w:r>
            <w:r>
              <w:rPr>
                <w:rFonts w:eastAsia="微软雅黑" w:ascii="微软雅黑" w:hAnsi="微软雅黑"/>
                <w:sz w:val="17"/>
              </w:rPr>
              <w:t>45.85%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需跨周期现金与</w:t>
            </w:r>
            <w:r>
              <w:rPr>
                <w:rFonts w:eastAsia="微软雅黑" w:ascii="微软雅黑" w:hAnsi="微软雅黑"/>
                <w:sz w:val="17"/>
              </w:rPr>
              <w:t>ROE</w:t>
            </w:r>
            <w:r>
              <w:rPr>
                <w:rFonts w:ascii="微软雅黑" w:hAnsi="微软雅黑" w:eastAsia="微软雅黑"/>
                <w:sz w:val="17"/>
              </w:rPr>
              <w:t>验证</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14.22</w:t>
            </w:r>
            <w:r>
              <w:rPr>
                <w:rFonts w:ascii="微软雅黑" w:hAnsi="微软雅黑" w:eastAsia="微软雅黑"/>
                <w:sz w:val="17"/>
              </w:rPr>
              <w:t>／</w:t>
            </w:r>
            <w:r>
              <w:rPr>
                <w:rFonts w:eastAsia="微软雅黑" w:ascii="微软雅黑" w:hAnsi="微软雅黑"/>
                <w:sz w:val="17"/>
              </w:rPr>
              <w:t>145.49</w:t>
            </w:r>
            <w:r>
              <w:rPr>
                <w:rFonts w:ascii="微软雅黑" w:hAnsi="微软雅黑" w:eastAsia="微软雅黑"/>
                <w:sz w:val="17"/>
              </w:rPr>
              <w:t>／</w:t>
            </w:r>
            <w:r>
              <w:rPr>
                <w:rFonts w:eastAsia="微软雅黑" w:ascii="微软雅黑" w:hAnsi="微软雅黑"/>
                <w:sz w:val="17"/>
              </w:rPr>
              <w:t>264.54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53.88%</w:t>
            </w:r>
            <w:r>
              <w:rPr>
                <w:rFonts w:ascii="微软雅黑" w:hAnsi="微软雅黑" w:eastAsia="微软雅黑"/>
                <w:sz w:val="17"/>
              </w:rPr>
              <w:t>／</w:t>
            </w:r>
            <w:r>
              <w:rPr>
                <w:rFonts w:eastAsia="微软雅黑" w:ascii="微软雅黑" w:hAnsi="微软雅黑"/>
                <w:sz w:val="17"/>
              </w:rPr>
              <w:t>55.25%</w:t>
            </w:r>
          </w:p>
        </w:tc>
      </w:tr>
    </w:tbl>
    <w:p>
      <w:pPr>
        <w:pStyle w:val="Normal"/>
        <w:rPr/>
      </w:pPr>
      <w:r>
        <w:rPr/>
      </w:r>
    </w:p>
    <w:p>
      <w:pPr>
        <w:pStyle w:val="Normal"/>
        <w:rPr/>
      </w:pPr>
      <w:r>
        <w:rPr/>
        <w:t>未来累计现金息半年</w:t>
      </w:r>
      <w:r>
        <w:rPr/>
        <w:t>0</w:t>
      </w:r>
      <w:r>
        <w:rPr/>
        <w:t>／</w:t>
      </w:r>
      <w:r>
        <w:rPr/>
        <w:t>0</w:t>
      </w:r>
      <w:r>
        <w:rPr/>
        <w:t>／</w:t>
      </w:r>
      <w:r>
        <w:rPr/>
        <w:t>0</w:t>
      </w:r>
      <w:r>
        <w:rPr/>
        <w:t>，一年</w:t>
      </w:r>
      <w:r>
        <w:rPr/>
        <w:t>0</w:t>
      </w:r>
      <w:r>
        <w:rPr/>
        <w:t>／</w:t>
      </w:r>
      <w:r>
        <w:rPr/>
        <w:t>0.10</w:t>
      </w:r>
      <w:r>
        <w:rPr/>
        <w:t>／</w:t>
      </w:r>
      <w:r>
        <w:rPr/>
        <w:t>0.20</w:t>
      </w:r>
      <w:r>
        <w:rPr/>
        <w:t>，三年</w:t>
      </w:r>
      <w:r>
        <w:rPr/>
        <w:t>0</w:t>
      </w:r>
      <w:r>
        <w:rPr/>
        <w:t>／</w:t>
      </w:r>
      <w:r>
        <w:rPr/>
        <w:t>0.60</w:t>
      </w:r>
      <w:r>
        <w:rPr/>
        <w:t>／</w:t>
      </w:r>
      <w:r>
        <w:rPr/>
        <w:t>1.20</w:t>
      </w:r>
      <w:r>
        <w:rPr/>
        <w:t>，五年</w:t>
      </w:r>
      <w:r>
        <w:rPr/>
        <w:t>0</w:t>
      </w:r>
      <w:r>
        <w:rPr/>
        <w:t>／</w:t>
      </w:r>
      <w:r>
        <w:rPr/>
        <w:t>1.30</w:t>
      </w:r>
      <w:r>
        <w:rPr/>
        <w:t>／</w:t>
      </w:r>
      <w:r>
        <w:rPr/>
        <w:t>3</w:t>
      </w:r>
      <w:r>
        <w:rPr/>
        <w:t>港元，研究假设；基准三年、五年含息年化</w:t>
      </w:r>
      <w:r>
        <w:rPr/>
        <w:t>13.41%</w:t>
      </w:r>
      <w:r>
        <w:rPr/>
        <w:t>、</w:t>
      </w:r>
      <w:r>
        <w:rPr/>
        <w:t>9.20%</w:t>
      </w:r>
      <w:r>
        <w:rPr/>
        <w:t>。</w:t>
      </w:r>
      <w:r>
        <w:rPr/>
        <w:t>FY2025</w:t>
      </w:r>
      <w:r>
        <w:rPr/>
        <w:t>及</w:t>
      </w:r>
      <w:r>
        <w:rPr/>
        <w:t>H12026</w:t>
      </w:r>
      <w:r>
        <w:rPr/>
        <w:t>均未分红，不把</w:t>
      </w:r>
      <w:r>
        <w:rPr/>
        <w:t>2024</w:t>
      </w:r>
      <w:r>
        <w:rPr/>
        <w:t>已付息重复加未来。名次与差距小于</w:t>
      </w:r>
      <w:r>
        <w:rPr/>
        <w:t>3</w:t>
      </w:r>
      <w:r>
        <w:rPr/>
        <w:t>分梯队由总表统一计算；评分不是获利概率。</w:t>
      </w:r>
    </w:p>
    <w:p>
      <w:pPr>
        <w:pStyle w:val="Normal"/>
        <w:rPr/>
      </w:pPr>
      <w:r>
        <w:rPr/>
        <w:t>年底</w:t>
      </w:r>
      <w:r>
        <w:rPr/>
        <w:t>46.40</w:t>
      </w:r>
      <w:r>
        <w:rPr/>
        <w:t>／</w:t>
      </w:r>
      <w:r>
        <w:rPr/>
        <w:t>100.89</w:t>
      </w:r>
      <w:r>
        <w:rPr/>
        <w:t>／</w:t>
      </w:r>
      <w:r>
        <w:rPr/>
        <w:t>156.16</w:t>
      </w:r>
      <w:r>
        <w:rPr/>
        <w:t>港元，涨跌−</w:t>
      </w:r>
      <w:r>
        <w:rPr/>
        <w:t>50.93%</w:t>
      </w:r>
      <w:r>
        <w:rPr/>
        <w:t>／</w:t>
      </w:r>
      <w:r>
        <w:rPr/>
        <w:t>+6.71%</w:t>
      </w:r>
      <w:r>
        <w:rPr/>
        <w:t>／</w:t>
      </w:r>
      <w:r>
        <w:rPr/>
        <w:t>+65.16%</w:t>
      </w:r>
      <w:r>
        <w:rPr/>
        <w:t>；</w:t>
      </w:r>
      <w:r>
        <w:rPr/>
        <w:t>25%</w:t>
      </w:r>
      <w:r>
        <w:rPr/>
        <w:t>／</w:t>
      </w:r>
      <w:r>
        <w:rPr/>
        <w:t>50%</w:t>
      </w:r>
      <w:r>
        <w:rPr/>
        <w:t>／</w:t>
      </w:r>
      <w:r>
        <w:rPr/>
        <w:t>25%</w:t>
      </w:r>
      <w:r>
        <w:rPr/>
        <w:t>判断权重期望</w:t>
      </w:r>
      <w:r>
        <w:rPr/>
        <w:t>101.085</w:t>
      </w:r>
      <w:r>
        <w:rPr/>
        <w:t>港元、</w:t>
      </w:r>
      <w:r>
        <w:rPr/>
        <w:t>+6.91%</w:t>
      </w:r>
      <w:r>
        <w:rPr/>
        <w:t>。防御</w:t>
      </w:r>
      <w:r>
        <w:rPr/>
        <w:t>40%</w:t>
      </w:r>
      <w:r>
        <w:rPr/>
        <w:t>／</w:t>
      </w:r>
      <w:r>
        <w:rPr/>
        <w:t>50%</w:t>
      </w:r>
      <w:r>
        <w:rPr/>
        <w:t>／</w:t>
      </w:r>
      <w:r>
        <w:rPr/>
        <w:t>10%</w:t>
      </w:r>
      <w:r>
        <w:rPr/>
        <w:t>为</w:t>
      </w:r>
      <w:r>
        <w:rPr/>
        <w:t>84.621</w:t>
      </w:r>
      <w:r>
        <w:rPr/>
        <w:t>港元、−</w:t>
      </w:r>
      <w:r>
        <w:rPr/>
        <w:t>10.50%</w:t>
      </w:r>
      <w:r>
        <w:rPr/>
        <w:t>；积极</w:t>
      </w:r>
      <w:r>
        <w:rPr/>
        <w:t>10%</w:t>
      </w:r>
      <w:r>
        <w:rPr/>
        <w:t>／</w:t>
      </w:r>
      <w:r>
        <w:rPr/>
        <w:t>50%</w:t>
      </w:r>
      <w:r>
        <w:rPr/>
        <w:t>／</w:t>
      </w:r>
      <w:r>
        <w:rPr/>
        <w:t>40%</w:t>
      </w:r>
      <w:r>
        <w:rPr/>
        <w:t>为</w:t>
      </w:r>
      <w:r>
        <w:rPr/>
        <w:t>117.549</w:t>
      </w:r>
      <w:r>
        <w:rPr/>
        <w:t>港元、</w:t>
      </w:r>
      <w:r>
        <w:rPr/>
        <w:t>+24.32%</w:t>
      </w:r>
      <w:r>
        <w:rPr/>
        <w:t>。权重是研究假设，价格区间不是统计置信区间或最大损失界限。</w:t>
      </w:r>
    </w:p>
    <w:p>
      <w:pPr>
        <w:pStyle w:val="Normal"/>
        <w:rPr/>
      </w:pPr>
      <w:r>
        <w:rPr/>
        <w:t>关键风险：成熟产能周期、价格与折旧、工厂归属和少数股东、同控制净资产处理、资本开支和债务、未来配套融资及奖励、</w:t>
      </w:r>
      <w:r>
        <w:rPr/>
        <w:t>OCI</w:t>
      </w:r>
      <w:r>
        <w:rPr/>
        <w:t>非现金、关联交易、出口与全球需求、</w:t>
      </w:r>
      <w:r>
        <w:rPr/>
        <w:t>JVIII</w:t>
      </w:r>
      <w:r>
        <w:rPr/>
        <w:t>固定回报赎回。推荐成立需特色订单与价格改善转化为每股正常现金和资本回报，不能只靠产能、补助、净资或股价回撤。证据可信度中：原件财务行情高，</w:t>
      </w:r>
      <w:r>
        <w:rPr/>
        <w:t>9/9</w:t>
      </w:r>
      <w:r>
        <w:rPr/>
        <w:t>后具体合并权益、长期</w:t>
      </w:r>
      <w:r>
        <w:rPr/>
        <w:t>ROE</w:t>
      </w:r>
      <w:r>
        <w:rPr/>
        <w:t>与</w:t>
      </w:r>
      <w:r>
        <w:rPr/>
        <w:t>PB/</w:t>
      </w:r>
      <w:r>
        <w:rPr/>
        <w:t>融资假设中低。</w:t>
      </w:r>
    </w:p>
    <w:p>
      <w:pPr>
        <w:pStyle w:val="Heading2"/>
        <w:rPr/>
      </w:pPr>
      <w:r>
        <w:rPr>
          <w:color w:val="000000"/>
        </w:rPr>
        <w:t>一 特色代工与每股经济价值</w:t>
      </w:r>
    </w:p>
    <w:p>
      <w:pPr>
        <w:pStyle w:val="Normal"/>
        <w:rPr/>
      </w:pPr>
      <w:r>
        <w:rPr/>
        <w:t>华虹的经营价值来自特色工艺、量产可靠性和客户认证，服务嵌入式及独立非易失性存储、功率器件、模拟电源、逻辑与射频。它并不以生产最先进通用计算芯片为唯一方向，成熟节点在电源、汽车、工业和消费设备中仍有重要用途。人工智能可能提高相关芯片需求，却不能把所有算力投资归为华虹的收入。研究从平台、工厂、毛利、折旧和每股归属回报逐层判断成长。</w:t>
      </w:r>
    </w:p>
    <w:p>
      <w:pPr>
        <w:pStyle w:val="Normal"/>
        <w:rPr/>
      </w:pPr>
      <w:r>
        <w:rPr/>
        <w:t>公司有技术迁移与本土供应链成长机会，当前经营也出现量价恢复，但代工需要很高资本投入。新增厂房与设备可以扩大未来收入，短期折旧和融资压力也会增加；即使利用率很高，旧设备、新设备和不同归属工厂的盈利仍不同。进取投资不是忽略资本成本，而是判断成长能否提供超额回报。模型重点看正常归母利润、每股净资、融资稀释和现金，避免只按收入增速排序。</w:t>
      </w:r>
    </w:p>
    <w:p>
      <w:pPr>
        <w:pStyle w:val="Normal"/>
        <w:rPr/>
      </w:pPr>
      <w:r>
        <w:rPr/>
        <w:t>本章四期限结果体现一年和三年优于半年，五年评分再下调。半年技术趋势弱，收购后资产需要报告确认；三年允许特色工艺、价格和规模带来经营改善；五年面对持续扩产、竞争和资本效率。远期仍有上涨空间，但基准年化明显低于部分更轻资本的科技公司。单章分数提供可比输入，最终名次必须与全名单统一计算，不因行业热度直接确定最高推荐。</w:t>
      </w:r>
    </w:p>
    <w:p>
      <w:pPr>
        <w:pStyle w:val="Heading2"/>
        <w:rPr/>
      </w:pPr>
      <w:r>
        <w:rPr>
          <w:color w:val="000000"/>
        </w:rPr>
        <w:t>二 身份 名称与信息截止</w:t>
      </w:r>
    </w:p>
    <w:p>
      <w:pPr>
        <w:pStyle w:val="Normal"/>
        <w:rPr/>
      </w:pPr>
      <w:r>
        <w:rPr/>
        <w:t>用户代码对应香港上市华虹宏力，另有境内普通股在科创板上市，属于同一发行人。公司于六月披露名称和简称改变，既有历史华虹半导体资料与当前华虹宏力应通过同一发行人识别。名单虽未要求独立推荐该公司境内股价，</w:t>
      </w:r>
      <w:r>
        <w:rPr/>
        <w:t>A</w:t>
      </w:r>
      <w:r>
        <w:rPr/>
        <w:t>股仍分享全部归母资产与利润，不能只用香港股数作为每股分母。每股盈利、净资产和稀释均按全普通股计算。</w:t>
      </w:r>
    </w:p>
    <w:p>
      <w:pPr>
        <w:pStyle w:val="Normal"/>
        <w:rPr/>
      </w:pPr>
      <w:r>
        <w:rPr/>
        <w:t>二零二五年年度业绩三月二十六日收盘后公开，年报四月九日收盘后；第二季度业绩八月十三日收盘后，中期正式业绩八月二十六日收盘后，中期报告九月二日收盘后。九月收购完成、十月修订月报和两份十月八日中文监管公告均属于截止信息。报告日期、经营期间、交易完成和公告时间各有意义，不能将未来第三季度结果或十月二十二日会议决议回填。</w:t>
      </w:r>
    </w:p>
    <w:p>
      <w:pPr>
        <w:pStyle w:val="Normal"/>
        <w:rPr/>
      </w:pPr>
      <w:r>
        <w:rPr/>
        <w:t>研究价格严格锁定九十四点五五港元，日线、周线与量能来自同一行情版本。机构新闻中出现较早的一百三十至一百五十港元交易价，不是当前基准；目标报告价格不能替代独立收盘核验。截止后公司可能重列合并资料，那应形成新数据版本。当前未知的组合资产、期间盈利和融资进程以显式假设表示，不把新闻的笼统并表描述写成已经审计的财务数字。</w:t>
      </w:r>
    </w:p>
    <w:p>
      <w:pPr>
        <w:pStyle w:val="Heading2"/>
        <w:rPr/>
      </w:pPr>
      <w:r>
        <w:rPr>
          <w:color w:val="000000"/>
        </w:rPr>
        <w:t>三 业务平台与披露层级</w:t>
      </w:r>
    </w:p>
    <w:p>
      <w:pPr>
        <w:pStyle w:val="Normal"/>
        <w:rPr/>
      </w:pPr>
      <w:r>
        <w:rPr/>
        <w:t>公司采用八英寸与十二英寸、特色集成电路与功率分立两条技术布局，关键在满足客户性能、成本与可靠性，而非每个产品都必须进入最小节点。嵌入式存储与微控制器需要工艺和设计适配，模拟电源与功率器件重视电压、导通和寿命，逻辑射频则有不同需求。技术能力不能仅用节点大小排序，量产良率、客户验证和单位晶圆回报同样重要。</w:t>
      </w:r>
    </w:p>
    <w:p>
      <w:pPr>
        <w:pStyle w:val="Normal"/>
        <w:rPr/>
      </w:pPr>
      <w:r>
        <w:rPr/>
        <w:t>第二季度平台收入嵌入式非易失存储约二亿美元、独立存储六千八百八十万美元，功率分立一点八二亿美元、逻辑射频八千三百二十万美元、模拟电源一点八三亿美元。它们合计对应同一总收入，并非五家独立企业。公开资料未提供各平台完整毛利、资本和现金，不能给每个平台统一利润率后声称精确分部估值。本章用平台解释需求，用产权工厂组合研究桥测正常回报。</w:t>
      </w:r>
    </w:p>
    <w:p>
      <w:pPr>
        <w:pStyle w:val="Normal"/>
        <w:rPr/>
      </w:pPr>
      <w:r>
        <w:rPr/>
        <w:t>终端消费约占二季度收入六成七，工业汽车两成三，通信近九个百分点，计算仅一点六个百分点。计算分类很小，不意味着所有人工智能间接需求为零，但也不能称大部分销售已经来自人工智能计算芯片。电源、存储与控制可能分散在不同终端口径，具体人工智能占比未披露。研究承认需求传导和分类限制，不为提高成长评分重新指定所有消费或功率销售为确定</w:t>
      </w:r>
      <w:r>
        <w:rPr/>
        <w:t>AI</w:t>
      </w:r>
      <w:r>
        <w:rPr/>
        <w:t>收入。</w:t>
      </w:r>
    </w:p>
    <w:p>
      <w:pPr>
        <w:pStyle w:val="Heading2"/>
        <w:rPr/>
      </w:pPr>
      <w:r>
        <w:rPr>
          <w:color w:val="000000"/>
        </w:rPr>
        <w:t>四 嵌入式存储与微控制器</w:t>
      </w:r>
    </w:p>
    <w:p>
      <w:pPr>
        <w:pStyle w:val="Normal"/>
        <w:rPr/>
      </w:pPr>
      <w:r>
        <w:rPr/>
        <w:t>嵌入式非易失性存储与微控制器把程序和数据存储同控制逻辑结合，适用于汽车、工业、智能卡和消费设备。客户对寿命、稳定性和可编程需求形成工艺验证门槛，产品在成熟节点仍有价值。第二季度相关收入同比增长约四成二，支持需求恢复和平台采用。增长需要区分销量、价格、客户结构与产能，新项目可能先验证再放量，不应直接用行业控制器出货量推算全部收入。</w:t>
      </w:r>
    </w:p>
    <w:p>
      <w:pPr>
        <w:pStyle w:val="Normal"/>
        <w:rPr/>
      </w:pPr>
      <w:r>
        <w:rPr/>
        <w:t>公司中报披露四十纳米嵌入闪存进入风险生产、车规五十五纳米进入产品采用，与海外客户合作的四十纳米微控制器量产。这些阶段具有不同商业含义，风险生产不是全部成功认证，量产也需看客户销量和盈利。技术迁移可以提高价值与拓展客户，同时带来良率、工程和资本成本。模型正常毛利逐步恢复，但研发和折旧保留，避免把平台升级当作没有成本的永久涨价。</w:t>
      </w:r>
    </w:p>
    <w:p>
      <w:pPr>
        <w:pStyle w:val="Normal"/>
        <w:rPr/>
      </w:pPr>
      <w:r>
        <w:rPr/>
        <w:t>微控制器存在库存周期、设计客户竞争和终端价格压力，汽车工业认证长有粘性，也可能锁定服务和可靠性责任。若客户最终产品销售不达，代工需求仍会受影响。三年推荐反证包括新平台无法取得重复量产订单、既有客户缩量或向其他工艺迁移。公司应由正常平台毛利和现金证明优势，发布技术节点与车规名称本身不能代替长期每股资本回报。</w:t>
      </w:r>
    </w:p>
    <w:p>
      <w:pPr>
        <w:pStyle w:val="Heading2"/>
        <w:rPr/>
      </w:pPr>
      <w:r>
        <w:rPr>
          <w:color w:val="000000"/>
        </w:rPr>
        <w:t>五 独立存储与电子库存周期</w:t>
      </w:r>
    </w:p>
    <w:p>
      <w:pPr>
        <w:pStyle w:val="Normal"/>
        <w:rPr/>
      </w:pPr>
      <w:r>
        <w:rPr/>
        <w:t>独立非易失存储第二季度收入同比增幅很高，基数较低和需求恢复共同影响结果。存储相关价格上涨可以带来晶圆</w:t>
      </w:r>
      <w:r>
        <w:rPr/>
        <w:t>ASP</w:t>
      </w:r>
      <w:r>
        <w:rPr/>
        <w:t>改善，仍与产品、客户和生产容量有关，不能把先进内存或所有存储器涨价直接等比例传给华虹。不同存储类型使用的工艺和需求不同，客户可能先补库存再扩长期采购。评价增长应看订单持续性和价格，而非只看单季倍数。</w:t>
      </w:r>
    </w:p>
    <w:p>
      <w:pPr>
        <w:pStyle w:val="Normal"/>
        <w:rPr/>
      </w:pPr>
      <w:r>
        <w:rPr/>
        <w:t>成熟存储供应受产能转移、客户预算和替代工艺影响，供给收紧时客户可能愿意签长期协议，公开新闻中的谈判并不一定是公司已签合同。研究不把传闻照付不误条款当确定收入或零取消风险，也不为所有客户补造协议期限。若价格改善形成较高短期毛利，新增产能释放和竞争进入可能缩短景气。三年基准容许增长，五年合理倍数下降以反映成熟市场。</w:t>
      </w:r>
    </w:p>
    <w:p>
      <w:pPr>
        <w:pStyle w:val="Normal"/>
        <w:rPr/>
      </w:pPr>
      <w:r>
        <w:rPr/>
        <w:t>存储需求与消费电子恢复相关，终端成本上涨也可能压低销量或促使客户减少采购。高毛利与客户压力并非永远同向，公司需要在盈利、份额与价格之间取舍。若行业热度强但公司</w:t>
      </w:r>
      <w:r>
        <w:rPr/>
        <w:t>ASP</w:t>
      </w:r>
      <w:r>
        <w:rPr/>
        <w:t>和毛利改善不足，不能仅用全球销售统计坚持原模型。反证应落实到订单、价格、利用率、产品组合和资本现金，避免把宏观库存周期当作每家公司同样受益的保证。</w:t>
      </w:r>
    </w:p>
    <w:p>
      <w:pPr>
        <w:pStyle w:val="Heading2"/>
        <w:rPr/>
      </w:pPr>
      <w:r>
        <w:rPr>
          <w:color w:val="000000"/>
        </w:rPr>
        <w:t>六 模拟 电源与人工智能传导</w:t>
      </w:r>
    </w:p>
    <w:p>
      <w:pPr>
        <w:pStyle w:val="Normal"/>
        <w:rPr/>
      </w:pPr>
      <w:r>
        <w:rPr/>
        <w:t>模拟和电源管理芯片服务设备供电、控制与信号，数据中心功率、汽车电子和消费设备都可能提高其复杂度。公司特色平台在这一市场有经验，第二季度收入增约一成三，上半年报告也描述电源平台较强增长。半年度与单季统计不能直接混称相同增速，具体平台分类和比较基数要保留。人工智能带来潜力，实际收入仍来自客户设计、项目和晶圆采购。</w:t>
      </w:r>
    </w:p>
    <w:p>
      <w:pPr>
        <w:pStyle w:val="Normal"/>
        <w:rPr/>
      </w:pPr>
      <w:r>
        <w:rPr/>
        <w:t>高功率系统需要更多有效电源和可靠器件，但代工厂并不取得整套系统电源总价值。芯片设计、终端认证和多供应链结构决定公司份额，单位价值提升还要看工艺难度、面积和定价。若每片晶圆芯片面积减少或设计优化，终端数量增长未必等比增加晶圆需求。模型将需求转成正常收入和毛利假设，而不将所有人工智能资本开支乘一个固定份额作为估值。</w:t>
      </w:r>
    </w:p>
    <w:p>
      <w:pPr>
        <w:pStyle w:val="Normal"/>
        <w:rPr/>
      </w:pPr>
      <w:r>
        <w:rPr/>
        <w:t>模拟电源的寿命和客户认证有助黏性，客户仍可以双供、压价或改设计。需求高时公司更容易涨价，供应恢复后应对竞争和利用率风险。长期成长应由多个客户项目、量产良率和资本回报支持。若价格上涨主要来自短期紧张而公司扩产很快，估值不能永远保持供给最紧时的倍数。五年评分把持续竞争放入风险权重，避免只外推一轮定价改善。</w:t>
      </w:r>
    </w:p>
    <w:p>
      <w:pPr>
        <w:pStyle w:val="Heading2"/>
        <w:rPr/>
      </w:pPr>
      <w:r>
        <w:rPr>
          <w:color w:val="000000"/>
        </w:rPr>
        <w:t>七 功率分立与新材料竞争</w:t>
      </w:r>
    </w:p>
    <w:p>
      <w:pPr>
        <w:pStyle w:val="Normal"/>
        <w:rPr/>
      </w:pPr>
      <w:r>
        <w:rPr/>
        <w:t>功率器件面向汽车、工业、绿色能源和一般电子产品，性能、成本和长期可靠性影响客户选择。二季度功率分立收入同比增约九个百分点，增长较部分存储平台温和。公司中报披露新小间距</w:t>
      </w:r>
      <w:r>
        <w:rPr/>
        <w:t>IGBT</w:t>
      </w:r>
      <w:r>
        <w:rPr/>
        <w:t>、高压超级结和相关平台量产，支持工艺升级。量产意味着商业进程较送样更成熟，仍不能假设全部新品已贡献显著利润或所有产能都转向最高价格的产品。</w:t>
      </w:r>
    </w:p>
    <w:p>
      <w:pPr>
        <w:pStyle w:val="Normal"/>
        <w:rPr/>
      </w:pPr>
      <w:r>
        <w:rPr/>
        <w:t>新材料和器件结构可能改变硅基工艺的应用范围，一些场景会选碳化硅、氮化镓或其他技术，另一些继续选择成本更合适的硅方案。不能将所有新材料市场增长归到华虹现有厂，也不能反过来认定成熟硅功率马上消失。研究关注公司实际工艺与客户，而非把行业材料热度套成确定收入。三年模型允许平台迭代，但保持资本与研发成本，长期需重新检验技术适配。</w:t>
      </w:r>
    </w:p>
    <w:p>
      <w:pPr>
        <w:pStyle w:val="Normal"/>
        <w:rPr/>
      </w:pPr>
      <w:r>
        <w:rPr/>
        <w:t>功率市场受整车降价、工业投资和能源项目节奏影响，上游器件客户利润压力可能传向代工厂。终端增长快而器件价格降也可同时发生，晶圆厂利用率不自动保证毛利改善。若产品低价竞争、库存或良率问题持续，公司需要降成本或优化组合。推荐失败路径包括功率平台不能覆盖折旧和持续技术成本，不能只因产量更多就提高每股目标。</w:t>
      </w:r>
    </w:p>
    <w:p>
      <w:pPr>
        <w:pStyle w:val="Heading2"/>
        <w:rPr/>
      </w:pPr>
      <w:r>
        <w:rPr>
          <w:color w:val="000000"/>
        </w:rPr>
        <w:t>八 逻辑射频与收购后的技术跨度</w:t>
      </w:r>
    </w:p>
    <w:p>
      <w:pPr>
        <w:pStyle w:val="Normal"/>
        <w:rPr/>
      </w:pPr>
      <w:r>
        <w:rPr/>
        <w:t>逻辑与射频二季度收入增长约两成一，节点和平台需求不同于先进通用计算。公司有特色超低功耗及相关工艺升级，收购华力微可补充十二英寸平台与应用覆盖。新的节点、设计生态与客户能力需要整合，购买资产并不自动取得未来所有客户项目。研究将目标企业收入作为独立输入，避免把收购后的全部工厂能力与原业务重复相加，也不把潜在二十八纳米订单当已兑现。</w:t>
      </w:r>
    </w:p>
    <w:p>
      <w:pPr>
        <w:pStyle w:val="Normal"/>
        <w:rPr/>
      </w:pPr>
      <w:r>
        <w:rPr/>
        <w:t>先进或较小节点不是越多越好，客户需要成本、可靠性与设计工具适配，工艺开发和良率爬坡会消耗资金。公司若能在特色功能上提供更完整方案，可能增加客户粘性；若仅进入价格竞争激烈的新市场，收入增长未必增加资本回报。三年情景要求平台扩展与工厂盈利同步，五年则评估持续更新是否带来足够收费价值，不能以一次资产注入永久上调利润率。</w:t>
      </w:r>
    </w:p>
    <w:p>
      <w:pPr>
        <w:pStyle w:val="Normal"/>
        <w:rPr/>
      </w:pPr>
      <w:r>
        <w:rPr/>
        <w:t>华力微并不等于华虹集团所有半导体资产，集团关联单位名称相近，需用法律目标和比例核验。公开完成公告确认公司直接间接获得目标全部股权，未表示收购其他先进厂或全集团资产。新闻对技术节点的描述应与通函和未来产品资料交叉。估值不把所有关联公司市值、产能和专利加到上市主体，确保推荐基于实际普通股所拥有的经济权益。</w:t>
      </w:r>
    </w:p>
    <w:p>
      <w:pPr>
        <w:pStyle w:val="Heading2"/>
        <w:rPr/>
      </w:pPr>
      <w:r>
        <w:rPr>
          <w:color w:val="000000"/>
        </w:rPr>
        <w:t>九 八英寸与十二英寸的利用率</w:t>
      </w:r>
    </w:p>
    <w:p>
      <w:pPr>
        <w:pStyle w:val="Normal"/>
        <w:rPr/>
      </w:pPr>
      <w:r>
        <w:rPr/>
        <w:t>公司二季度末月产能约五十万八千片八英寸等效晶圆，出货一百五十三万八千片等效晶圆，利用率百分之一百零二点八。利用率是平均月等效产出除估计月产能，超过百分百并非简单错误，也不是所有设备都超负荷。产线改善、估算口径和产品组合影响数字，不能把它当所有工厂同一盈利率或机械封顶再重算收入。单季出货和月容量也不能不乘期间就直接比较。</w:t>
      </w:r>
    </w:p>
    <w:p>
      <w:pPr>
        <w:pStyle w:val="Normal"/>
        <w:rPr/>
      </w:pPr>
      <w:r>
        <w:rPr/>
        <w:t>二季度八英寸收入二点七一八亿美元，十二英寸四点四五七亿美元，后者增长较快。等效晶圆需要统一面积和口径，十二英寸片数与八英寸片数不能直接相加。公司披露的技术平台与晶圆尺寸存在交叉，并未给每个尺寸完整资本和归母利润。模型产权桶帮助考虑少数股东，对价收购和新厂，而不声称这就是公司正式财务分部。</w:t>
      </w:r>
    </w:p>
    <w:p>
      <w:pPr>
        <w:pStyle w:val="Normal"/>
        <w:rPr/>
      </w:pPr>
      <w:r>
        <w:rPr/>
        <w:t>利用率高但毛利仍较低，原因需考虑折旧、新厂、产品价格和爬坡，不能只归因一项。既有厂达到较高负荷后，新增产能可能让综合利用率先下降，折旧则先增加。成长关键是新增销售毛利是否超过新资本成本，不是总容量越大就越便宜。短期与长期分析都保留利用率和毛利脱钩的可能，防止用最高负荷制造不现实的永久利润率。</w:t>
      </w:r>
    </w:p>
    <w:p>
      <w:pPr>
        <w:pStyle w:val="Heading2"/>
        <w:rPr/>
      </w:pPr>
      <w:r>
        <w:rPr>
          <w:color w:val="000000"/>
        </w:rPr>
        <w:t>十 新工厂搬入与商业投产</w:t>
      </w:r>
    </w:p>
    <w:p>
      <w:pPr>
        <w:pStyle w:val="Normal"/>
        <w:rPr/>
      </w:pPr>
      <w:r>
        <w:rPr/>
        <w:t>中报说明无锡二期规划月八万三千片十二英寸设备已在六月末搬入，安装认证进行中，预期第三季度末达到计划容量。搬入、安装、工艺认证、稳定良率和客户验收是不同阶段，不能把设备到厂当全部可收费产能。机构对以后满负荷有更积极预测，截止数据仍需区分公司计划与已经证实结果。模型以收入与毛利而非总设备到位比例估值。</w:t>
      </w:r>
    </w:p>
    <w:p>
      <w:pPr>
        <w:pStyle w:val="Normal"/>
        <w:rPr/>
      </w:pPr>
      <w:r>
        <w:rPr/>
        <w:t>新厂爬坡可能先增加折旧、人员和材料，然后形成收入，少数股东承担部分亏损又影响归母表现。产能利用率总体高并不能证明新厂立即赚钱，部分旧厂更成熟，平均统计会掩盖差异。研究把全资及百分之五十一归属工厂分开作为经营假设，既考虑负少数股东损益，也考虑未来盈利后分享收益，避免永久把新厂亏损由他人承担、后续利润全部归母。</w:t>
      </w:r>
    </w:p>
    <w:p>
      <w:pPr>
        <w:pStyle w:val="Normal"/>
        <w:rPr/>
      </w:pPr>
      <w:r>
        <w:rPr/>
        <w:t>长期建设项目需要资本、供应、能源、客户认证和工艺团队，产能释放可能受材料、设备限制或需求变化延后。延后有时是供应问题，有时反映客户预算调整，应从订单、毛利和现金判断。若大额资本支出长期未形成正常利润，净资产增加也未创造超额价值。推荐反证包括新厂良率和客户采用低于预期、持续亏损以及设备减值，不能以未来仍有市场空间无限延长兑现时间。</w:t>
      </w:r>
    </w:p>
    <w:p>
      <w:pPr>
        <w:pStyle w:val="Heading2"/>
        <w:rPr/>
      </w:pPr>
      <w:r>
        <w:rPr>
          <w:color w:val="000000"/>
        </w:rPr>
        <w:t>十一 终端 客户与地区的不同口径</w:t>
      </w:r>
    </w:p>
    <w:p>
      <w:pPr>
        <w:pStyle w:val="Normal"/>
        <w:rPr/>
      </w:pPr>
      <w:r>
        <w:rPr/>
        <w:t>二季度中国收入约七成九，北美一成三，其他亚洲和欧洲各约四个百分点。公司以客户等口径分类，地区不等于最终消费或每片晶圆出口目的；中国设计客户可能面向全球终端，北美收入也不直接等于全部受限制产品。政策与需求敞口应结合实际技术和客户资格，不能仅凭地区百分比设所有出口损失或保障国内订单绝不受海外经济影响。</w:t>
      </w:r>
    </w:p>
    <w:p>
      <w:pPr>
        <w:pStyle w:val="Normal"/>
        <w:rPr/>
      </w:pPr>
      <w:r>
        <w:rPr/>
        <w:t>消费是最大终端，手机、家电和其他电子购买力会影响订单，工业与汽车则受资本开支和车型采用节奏影响。通信同比下降而其他平台改善，提示增长不是所有终端同步。公司可以通过特色客户和平台分散，但客户行业仍可能共同进入库存调整。经营质量需要收入、</w:t>
      </w:r>
      <w:r>
        <w:rPr/>
        <w:t>ASP</w:t>
      </w:r>
      <w:r>
        <w:rPr/>
        <w:t>、客户认证与收款共同验证，不把客户名单长度或地区覆盖自动当成完全独立需求。</w:t>
      </w:r>
    </w:p>
    <w:p>
      <w:pPr>
        <w:pStyle w:val="Normal"/>
        <w:rPr/>
      </w:pPr>
      <w:r>
        <w:rPr/>
        <w:t>客户代工选择受良率、工艺、成本、交期和安全供给共同影响，本土供应优先可能增加份额，但客户仍要求实际竞争力。长期协议能降低波动，公开未取得具体合同则不能假定锁定多年利润。研究保持截止证据边界，已有订单收入不等于未来无条件付款。未来遇客户流失、设计迁移或信用压力，应同时修正量价、现金和推荐分数，不能只以宏观支持证明公司会持续增长。</w:t>
      </w:r>
    </w:p>
    <w:p>
      <w:pPr>
        <w:pStyle w:val="Heading2"/>
        <w:rPr/>
      </w:pPr>
      <w:r>
        <w:rPr>
          <w:color w:val="000000"/>
        </w:rPr>
        <w:t>十二 成熟制程周期与定价</w:t>
      </w:r>
    </w:p>
    <w:p>
      <w:pPr>
        <w:pStyle w:val="Normal"/>
        <w:rPr/>
      </w:pPr>
      <w:r>
        <w:rPr/>
        <w:t>成熟节点可以因供给约束、产品结构和客户需求进入价格改善，二季度公司明确销量与价格共同增长。此前收入下降和毛利低点说明它仍受库存与产能周期影响，特色技术不会完全消除波动。涨价能形成经营杠杆，但新资本供给、竞争者调整和终端需求可能改变议价能力。三年基准看正常价量而不是行业最紧张时刻，五年避免永久使用最高倍数。</w:t>
      </w:r>
    </w:p>
    <w:p>
      <w:pPr>
        <w:pStyle w:val="Normal"/>
        <w:rPr/>
      </w:pPr>
      <w:r>
        <w:rPr/>
        <w:t>供给约束有时来自同类产线减少，有时来自特定工艺认证难，客户无法立刻转移，价格因此改善。总成熟产能过剩与某个特色工艺紧张也可能共存，不能用单一行业判断覆盖每个平台。模型未取得各平台详细价格，使用正常毛利与收入区间，公开说明不确定。若公司收入增但毛利没有按假设改善，应检查价格、折旧、良率和组合，而不直接宣布行业逻辑完全兑现。</w:t>
      </w:r>
    </w:p>
    <w:p>
      <w:pPr>
        <w:pStyle w:val="Normal"/>
        <w:rPr/>
      </w:pPr>
      <w:r>
        <w:rPr/>
        <w:t>订单高峰后的客户库存调整可能迅速降低负荷，晶圆厂固定成本和折旧下降较慢。预期增长时新厂扩产会放大后续供给，对客户有价值，对股东未必保持超额利润。研究将悲观情景设为需求不消失但正常资本回报受压，不是所有业务归零。价格目标下降来自</w:t>
      </w:r>
      <w:r>
        <w:rPr/>
        <w:t>PB</w:t>
      </w:r>
      <w:r>
        <w:rPr/>
        <w:t>重估、</w:t>
      </w:r>
      <w:r>
        <w:rPr/>
        <w:t>OCI</w:t>
      </w:r>
      <w:r>
        <w:rPr/>
        <w:t>、减值和稀释，失败机制具体连接每股资产，而不是仅说市场风险。</w:t>
      </w:r>
    </w:p>
    <w:p>
      <w:pPr>
        <w:pStyle w:val="Heading2"/>
        <w:rPr/>
      </w:pPr>
      <w:r>
        <w:rPr>
          <w:color w:val="000000"/>
        </w:rPr>
        <w:t>十三 历史收入与利润的分离</w:t>
      </w:r>
    </w:p>
    <w:p>
      <w:pPr>
        <w:pStyle w:val="Normal"/>
        <w:rPr/>
      </w:pPr>
      <w:r>
        <w:rPr/>
        <w:t>原二零二五收入二十四点零二亿美元，同比恢复，毛利二点八二九亿美元，但销售与管理费合计四点二五六亿美元，核心经营仍负一点四二七亿。管理费包含研发，不能扣完整管理后再重复扣研发二点七六二亿美元。集团其他收入与财资减轻亏损，融资等又造成压力，税前亏八千八百五十三万。研究从原始科目核算，避免将毛利或研发加回后的数当真正净利。</w:t>
      </w:r>
    </w:p>
    <w:p>
      <w:pPr>
        <w:pStyle w:val="Normal"/>
        <w:rPr/>
      </w:pPr>
      <w:r>
        <w:rPr/>
        <w:t>全年集团亏一点一零八亿美元，归母却赚五千四百八十八万，差异来自少数股东亏一点六五七亿美元。前年归母也正，而集团整体亏损，这不是财报矛盾，是工厂权益结构的结果。分析不能只引用归母增幅就说所有工厂高盈利，更不能把少数股东负数永久视为母公司经营补助。随着新厂盈利改善，少数股东也会分享收益，归母增长可能慢于集团改善。</w:t>
      </w:r>
    </w:p>
    <w:p>
      <w:pPr>
        <w:pStyle w:val="Normal"/>
        <w:rPr/>
      </w:pPr>
      <w:r>
        <w:rPr/>
        <w:t>更早年度收入和盈利显示行业周期明显，不能把前期高毛利、高归母利润当永久正常水平。新厂和融资改变资产规模与每股分母，直接恢复某年</w:t>
      </w:r>
      <w:r>
        <w:rPr/>
        <w:t>EPS</w:t>
      </w:r>
      <w:r>
        <w:rPr/>
        <w:t>并乘现在股数也不合理。模型正常盈利由未来收入、工厂毛利、常态费用、税与归属产生，历史用于边界和资本效率校验。增长推荐要求新结构的每股回报超过资本成本，不只要求总收入重新超过旧纪录。</w:t>
      </w:r>
    </w:p>
    <w:p>
      <w:pPr>
        <w:pStyle w:val="Heading2"/>
        <w:rPr/>
      </w:pPr>
      <w:r>
        <w:rPr>
          <w:color w:val="000000"/>
        </w:rPr>
        <w:t>十四 上半年与二季度的利润桥</w:t>
      </w:r>
    </w:p>
    <w:p>
      <w:pPr>
        <w:pStyle w:val="Normal"/>
        <w:rPr/>
      </w:pPr>
      <w:r>
        <w:rPr/>
        <w:t>上半年收入十三点七八五亿美元、毛利二点零四四六亿，销售五百三十一点九万、管理二点零六九五亿，核心经营约亏七百八十点七万美元。其他收入四千七百二十一万、联营九百六十四万，融资五千七百一十万，再扣信用损失与其他费用，税前亏一千零四十九万。净集团亏一千三百三十九万，归母五千九百五十七万、少数股东负七千二百九十六万，口径分别保留。</w:t>
      </w:r>
    </w:p>
    <w:p>
      <w:pPr>
        <w:pStyle w:val="Normal"/>
        <w:rPr/>
      </w:pPr>
      <w:r>
        <w:rPr/>
        <w:t>第二季度收入七点一七七亿美元，毛利率一成六五，核心毛利扣经营费用后九百三十二万美元；加其他净收益后税前约一千一百五十一万。集团税后仅三百八十八万，归母三千八百六十四万，仍有较大少数股东负贡献。公司收入和毛利明显改善是真实证据，整体利润及现金质量仍有限。不能把新闻归母赚数当集团全部经营利润，亦不能将单季高增长直接解释为高资本回报。</w:t>
      </w:r>
    </w:p>
    <w:p>
      <w:pPr>
        <w:pStyle w:val="Normal"/>
        <w:rPr/>
      </w:pPr>
      <w:r>
        <w:rPr/>
        <w:t>二季度</w:t>
      </w:r>
      <w:r>
        <w:rPr/>
        <w:t>ROE</w:t>
      </w:r>
      <w:r>
        <w:rPr/>
        <w:t>年化约二点四个百分点，即使用归母而非集团亏损衡量，回报仍低。高利用率、收入纪录与低</w:t>
      </w:r>
      <w:r>
        <w:rPr/>
        <w:t>ROE</w:t>
      </w:r>
      <w:r>
        <w:rPr/>
        <w:t>可以同时成立，反映资本、折旧和归属结构。活动</w:t>
      </w:r>
      <w:r>
        <w:rPr/>
        <w:t>PB</w:t>
      </w:r>
      <w:r>
        <w:rPr/>
        <w:t>模型明确资本回报交叉，不能只给高净资倍数而回避低盈利。若未来利润不能按基准提高，</w:t>
      </w:r>
      <w:r>
        <w:rPr/>
        <w:t>PB</w:t>
      </w:r>
      <w:r>
        <w:rPr/>
        <w:t>溢价失去经营支持，应下修价与分数，而不是认为大幅股价回撤已经自动补足价值。</w:t>
      </w:r>
    </w:p>
    <w:p>
      <w:pPr>
        <w:pStyle w:val="Heading2"/>
        <w:rPr/>
      </w:pPr>
      <w:r>
        <w:rPr>
          <w:color w:val="000000"/>
        </w:rPr>
        <w:t>十五 研发 折旧与正常成本</w:t>
      </w:r>
    </w:p>
    <w:p>
      <w:pPr>
        <w:pStyle w:val="Normal"/>
        <w:rPr/>
      </w:pPr>
      <w:r>
        <w:rPr/>
        <w:t>研发帮助形成特色工艺、设计适配和客户认证，是持续竞争成本，不能因股价需要上涨就全加回。年度管理费用已包含研发，对正常估值需要保留技术组织和常态股份成本。研发资本化条件严格，实验、失败和开发不总能形成可回收资产。模型未来常态费用随规模上升，允许利用率摊薄但不假设技术更新成本永久固定，确保利润成长有经济基础。</w:t>
      </w:r>
    </w:p>
    <w:p>
      <w:pPr>
        <w:pStyle w:val="Normal"/>
        <w:rPr/>
      </w:pPr>
      <w:r>
        <w:rPr/>
        <w:t>上半年设备折旧附注约四点四一亿美元，其中二百二十点四万资本化，现金流调整约四点三八九亿美元。折旧总额和现金流加回不是同一数字，不能为现金估值随意选择最大项。折旧代表资本使用，</w:t>
      </w:r>
      <w:r>
        <w:rPr/>
        <w:t>EBITDA</w:t>
      </w:r>
      <w:r>
        <w:rPr/>
        <w:t>可描述短期现金生成但不能证明设备永远无需更新。研究保留折旧在毛利，只在简化现金交叉中加回并扣资本现金，避免盈利与资本价值重复高估。</w:t>
      </w:r>
    </w:p>
    <w:p>
      <w:pPr>
        <w:pStyle w:val="Normal"/>
        <w:rPr/>
      </w:pPr>
      <w:r>
        <w:rPr/>
        <w:t>若设备实际经济寿命长于会计寿命，成熟厂可能在折旧下降后盈利改善，但新工艺、竞争和维护可能缩短经济使用期限。资产评估引用调整折旧以估</w:t>
      </w:r>
      <w:r>
        <w:rPr/>
        <w:t>EBITDA</w:t>
      </w:r>
      <w:r>
        <w:rPr/>
        <w:t>，不等于所有旧设备无替代支出。本章不将折旧全部剔出长期利润，也不把所有扩产叫一次性。长期需求和工艺迭代需持续资本，正常化应区分维护、升级和扩建，在数据不充分时保留资本回报压力而非填造精确维护比例。</w:t>
      </w:r>
    </w:p>
    <w:p>
      <w:pPr>
        <w:pStyle w:val="Heading2"/>
        <w:rPr/>
      </w:pPr>
      <w:r>
        <w:rPr>
          <w:color w:val="000000"/>
        </w:rPr>
        <w:t>十六 政府支持与财资收益</w:t>
      </w:r>
    </w:p>
    <w:p>
      <w:pPr>
        <w:pStyle w:val="Normal"/>
        <w:rPr/>
      </w:pPr>
      <w:r>
        <w:rPr/>
        <w:t>年度政府补助约五千零十二万美元，上半年约一千零三十二万，补助可以支持产业建设，却不是客户愿意持续支付的技术价值。上半年利息收入二千一百九十九万，融资成本五千七百一十万，现金多不等于净利息为正。还存在汇率、租赁修改与联营收益，正常净项需要适度而非把所有其他收入外推。研究保留有限财资净贡献，不额外加全部对应资产。</w:t>
      </w:r>
    </w:p>
    <w:p>
      <w:pPr>
        <w:pStyle w:val="Normal"/>
        <w:rPr/>
      </w:pPr>
      <w:r>
        <w:rPr/>
        <w:t>资本项目补助收到现金与利润确认不同，上半年投资现金段收到设备补助二千五百三十九万，负债中政府项目资金亦可能有履约条件。不能把同一补助现金既加经营利润又加净资或自由现金。税优惠、支持资金和关联生态可以提高资金可得性，但不会保证普通股回报。若盈利主要靠补助与资产价值变化，经营质量评分应降低，价格仍需正常工厂利润和现金证明。</w:t>
      </w:r>
    </w:p>
    <w:p>
      <w:pPr>
        <w:pStyle w:val="Normal"/>
        <w:rPr/>
      </w:pPr>
      <w:r>
        <w:rPr/>
        <w:t>联营收益上半年增加，报表文字有正收益与个别说明用词不一致，模型以正式利润表为权威。权益法归属不等于关联公司全部净利或市值，</w:t>
      </w:r>
      <w:r>
        <w:rPr/>
        <w:t>PB</w:t>
      </w:r>
      <w:r>
        <w:rPr/>
        <w:t>已包含账面投资，不能再加入全部市场价值。若采用独立资产重估，需要剔相应盈利并核税和持股，两套逻辑不能拼最高。当前单套活动净资桥保持一致，财资联营只用于正常盈利和每股资本回报交叉。</w:t>
      </w:r>
    </w:p>
    <w:p>
      <w:pPr>
        <w:pStyle w:val="Heading2"/>
        <w:rPr/>
      </w:pPr>
      <w:r>
        <w:rPr>
          <w:color w:val="000000"/>
        </w:rPr>
        <w:t>十七 经营现金与高资本开支</w:t>
      </w:r>
    </w:p>
    <w:p>
      <w:pPr>
        <w:pStyle w:val="Normal"/>
        <w:rPr/>
      </w:pPr>
      <w:r>
        <w:rPr/>
        <w:t>年度经营现金六点四九九亿美元，资本现金十八点一三八亿，扣租赁本金和融资利息后，研究代理负十二点四七六亿美元。上半年经营现金四点六八五亿，资本现金十二点八一四亿，扣租赁与利息后负八点六四八亿。现金生成在改善，仍远不能覆盖建设投入。设备购买形成资产而非立即利润费用，但实际现金缺口需要融资、既有资金或外部股东支持，不能从估值分析中删除。</w:t>
      </w:r>
    </w:p>
    <w:p>
      <w:pPr>
        <w:pStyle w:val="Normal"/>
        <w:rPr/>
      </w:pPr>
      <w:r>
        <w:rPr/>
        <w:t>第二季度资本现金三点五六七亿，首季九点二四九亿，季度节奏受设备到货和付款影响。不能只以较低季度乘四声称所有后续资本需求下降，正式上半年现金已显示大额支出。现金支出和资产新增、应付款、预付款存在时差，研究在明细保留来源，不把工程容量乘设备单价制造精确预算。长期自由现金要看资本项目完成后的正常维护与新平台投入，而不是用</w:t>
      </w:r>
      <w:r>
        <w:rPr/>
        <w:t>EBITDA</w:t>
      </w:r>
      <w:r>
        <w:rPr/>
        <w:t>代替。</w:t>
      </w:r>
    </w:p>
    <w:p>
      <w:pPr>
        <w:pStyle w:val="Normal"/>
        <w:rPr/>
      </w:pPr>
      <w:r>
        <w:rPr/>
        <w:t>模型现金交叉以核心利润、折旧加回与资本现金作简化，未声称含完整营运资本、税时差和融资；基准多年仍显示扩产阶段的资本压力。资本现金资产化，所以不直接全部扣归母权益，否则会错误降低</w:t>
      </w:r>
      <w:r>
        <w:rPr/>
        <w:t>PB</w:t>
      </w:r>
      <w:r>
        <w:rPr/>
        <w:t>；但融资、稀释、</w:t>
      </w:r>
      <w:r>
        <w:rPr/>
        <w:t>OCI</w:t>
      </w:r>
      <w:r>
        <w:rPr/>
        <w:t>、减值和回报要求体现其经济后果。净資增长与股东自由现金不同，二者必须同时比较，不能把账面厂房增加当收到可分配现金。</w:t>
      </w:r>
    </w:p>
    <w:p>
      <w:pPr>
        <w:pStyle w:val="Heading2"/>
        <w:rPr/>
      </w:pPr>
      <w:r>
        <w:rPr>
          <w:color w:val="000000"/>
        </w:rPr>
        <w:t>十八 现金债务与到期结构</w:t>
      </w:r>
    </w:p>
    <w:p>
      <w:pPr>
        <w:pStyle w:val="Normal"/>
        <w:rPr/>
      </w:pPr>
      <w:r>
        <w:rPr/>
        <w:t>六月末现金四十五点三二亿美元、定存及质押四千五百三十六万，银行债三十五点六八亿，表面净现金仍正。当前债约十九点零二亿，非当前十六点六五亿，债务期限变化提高再融资关注；另有租赁和长应付款。不能只扣银行债后称所有现金自由分红，募集资金专户、项目资金、营运和币种需求都限制可用性。债务偿付与新工厂投资需要一起评估。</w:t>
      </w:r>
    </w:p>
    <w:p>
      <w:pPr>
        <w:pStyle w:val="Normal"/>
        <w:rPr/>
      </w:pPr>
      <w:r>
        <w:rPr/>
        <w:t>上半年新贷款八点五零九亿、还款五点六九八亿，借款增加支持资本建设，利息现金四千九百七十四万。部分利息可能资本化，利润表成本与现金支付不同，不能用单一低报表利息推算所有债务便宜。长期应付款也可能带有资金属性，具体条款需原始附注与后续合同。模型财资压力与融资净额是研究假设，不把截至六月债务错误说成十月精确净债。</w:t>
      </w:r>
    </w:p>
    <w:p>
      <w:pPr>
        <w:pStyle w:val="Normal"/>
        <w:rPr/>
      </w:pPr>
      <w:r>
        <w:rPr/>
        <w:t>公司现金主要人民币，部分美元贷款与功能币不一致，会受汇率影响。利率下降或续贷可缓冲，若需求转弱仍可能面临高固定支出。政策支持增加融资选择，但普通股承担效率和稀释风险。研究不因国资背景假设无融资风险，亦不无证据声称会资金断裂；以已披露现金、当前债和承诺核影响，未来需对到期、存款限制和资本兑现更新。</w:t>
      </w:r>
    </w:p>
    <w:p>
      <w:pPr>
        <w:pStyle w:val="Heading2"/>
        <w:rPr/>
      </w:pPr>
      <w:r>
        <w:rPr>
          <w:color w:val="000000"/>
        </w:rPr>
        <w:t>十九 存货 应收与资产质量</w:t>
      </w:r>
    </w:p>
    <w:p>
      <w:pPr>
        <w:pStyle w:val="Normal"/>
        <w:rPr/>
      </w:pPr>
      <w:r>
        <w:rPr/>
        <w:t>六月库存约五点八四八亿美元、贸易票据应收三点二二五亿，公司二季度披露周转天数约八十四和四十天。这些数可作为公司口径参考，但不能据此认定全部客户零信用风险。增长可能带来更多在制品和原料，也可能在需求下降时需减值。已披露存货减值、信用损失属于真实经营成本，不能为正常毛利全部剔除，平台迭代还会影响旧材料使用价值。</w:t>
      </w:r>
    </w:p>
    <w:p>
      <w:pPr>
        <w:pStyle w:val="Normal"/>
        <w:rPr/>
      </w:pPr>
      <w:r>
        <w:rPr/>
        <w:t>设备、在建工程、预付款及可抵扣税项占资产较多，价值取决于项目利用、供应履约和未来税能力。高账面净资不是同金额随时可回收现金，工厂出售还涉及技术、员工、环境和交易限制。</w:t>
      </w:r>
      <w:r>
        <w:rPr/>
        <w:t>PB</w:t>
      </w:r>
      <w:r>
        <w:rPr/>
        <w:t>适合观察资本密集企业，但若资产不能取得合理回报，低于账面交易也可能合理。悲观情景设置减值和</w:t>
      </w:r>
      <w:r>
        <w:rPr/>
        <w:t>OCI</w:t>
      </w:r>
      <w:r>
        <w:rPr/>
        <w:t>压力，区间未声称清算价值或最大损失下限。</w:t>
      </w:r>
    </w:p>
    <w:p>
      <w:pPr>
        <w:pStyle w:val="Normal"/>
        <w:rPr/>
      </w:pPr>
      <w:r>
        <w:rPr/>
        <w:t>投资权益公允价值变化明显，上半年计入其他综合收益的资产价值增幅不会直接提供经营现金。若股价或汇率回调，归母净資与</w:t>
      </w:r>
      <w:r>
        <w:rPr/>
        <w:t>PB</w:t>
      </w:r>
      <w:r>
        <w:rPr/>
        <w:t>分母可能下降，公司实际工厂技术却未同等变化。研究同时查看正常利润和净资桥，避免用公允价值上涨支撑高长期成长。每项账面重估需保留来源与期间，不将它既称正常利润增长又加到终点资产，确保表格和文字不重复。</w:t>
      </w:r>
    </w:p>
    <w:p>
      <w:pPr>
        <w:pStyle w:val="Heading2"/>
        <w:rPr/>
      </w:pPr>
      <w:r>
        <w:rPr>
          <w:color w:val="000000"/>
        </w:rPr>
        <w:t>二十 其他综合收益与净資增长</w:t>
      </w:r>
    </w:p>
    <w:p>
      <w:pPr>
        <w:pStyle w:val="Normal"/>
        <w:rPr/>
      </w:pPr>
      <w:r>
        <w:rPr/>
        <w:t>上半年归母综合收益约五点二五一亿美元，其中归母利润仅五千九百五十七万，差约四点六五五亿属于归母其他综合收益。集团其他综合收益约五点四六三亿，包含币种折算和投资价值等，少数股东也有份额。不能把综合收益等同赚取现金，也不能仅看权益增长推算经营</w:t>
      </w:r>
      <w:r>
        <w:rPr/>
        <w:t>ROE</w:t>
      </w:r>
      <w:r>
        <w:rPr/>
        <w:t>。活动模型将未来</w:t>
      </w:r>
      <w:r>
        <w:rPr/>
        <w:t>OCI</w:t>
      </w:r>
      <w:r>
        <w:rPr/>
        <w:t>单独输入，利润留存和资产波动分开。</w:t>
      </w:r>
    </w:p>
    <w:p>
      <w:pPr>
        <w:pStyle w:val="Normal"/>
        <w:rPr/>
      </w:pPr>
      <w:r>
        <w:rPr/>
        <w:t>人民币相对美元变化会影响人民币功能币资产折为美元的账面值，报告货币变化不等于工厂实际生产回报同幅变化。投资估值和联营综合收益也可能持续波动，不能把上半年较大收益无限年化。基准未来</w:t>
      </w:r>
      <w:r>
        <w:rPr/>
        <w:t>OCI</w:t>
      </w:r>
      <w:r>
        <w:rPr/>
        <w:t>较有限，悲观累计负变化更大，乐观有温和增加；这些是研究敏感性而非声称已披露。美元兑港币转换固定研究假设后，人民币投资者另承受资产与资金汇率变化。</w:t>
      </w:r>
    </w:p>
    <w:p>
      <w:pPr>
        <w:pStyle w:val="Normal"/>
        <w:rPr/>
      </w:pPr>
      <w:r>
        <w:rPr/>
        <w:t>归母权益从年度约六十六点一三亿到中期七十一点三八亿美元，增加大部分并非当期归母利润。九月收购后还要调整同控制并表与新增股数，单纯把旧净资除旧股数再乘高</w:t>
      </w:r>
      <w:r>
        <w:rPr/>
        <w:t>PB</w:t>
      </w:r>
      <w:r>
        <w:rPr/>
        <w:t>会出错。研究清楚区分六月实际、旧通函静态、截止组合估计和目标净资。公开组合具体权益缺失时，可信度降低而非用新闻所谓九十亿美元作为当前归母资产。</w:t>
      </w:r>
    </w:p>
    <w:p>
      <w:pPr>
        <w:pStyle w:val="Heading2"/>
        <w:rPr/>
      </w:pPr>
      <w:r>
        <w:rPr>
          <w:color w:val="000000"/>
        </w:rPr>
        <w:t>二十一 华力微收购的法律结果</w:t>
      </w:r>
    </w:p>
    <w:p>
      <w:pPr>
        <w:pStyle w:val="Normal"/>
        <w:rPr/>
      </w:pPr>
      <w:r>
        <w:rPr/>
        <w:t>九月九日收购完成，九月十一日收盘后公告确认，发行一亿九千零七十六万八千三百九十二股人民币普通股，对价每股四十三点三四元。总对价八十二点六七九亿元人民币，目标收购比例约百分之九十七点五，原已有小比例持股，完成后直接间接全资。完成时间和公告时间分别保存，不能引用八月的预期闭合说法把收购当六月前已并表。</w:t>
      </w:r>
    </w:p>
    <w:p>
      <w:pPr>
        <w:pStyle w:val="Normal"/>
        <w:rPr/>
      </w:pPr>
      <w:r>
        <w:rPr/>
        <w:t>全部普通股从十七亿三千七百七十二万余增至十九亿二千八百四十九万余，香港股约十三亿二千九百九十八万不变，人民币股增至五亿九千八百五十一万余。新增股取得资产，但原股东每股归属要被新股分享，不能只把收入利润加进去而分母维持旧数。九月修订月报十月八日已公开，以修订版为准，避免用最早月报遗漏或错误股数。</w:t>
      </w:r>
    </w:p>
    <w:p>
      <w:pPr>
        <w:pStyle w:val="Normal"/>
        <w:rPr/>
      </w:pPr>
      <w:r>
        <w:rPr/>
        <w:t>不同出让方有六个月、十二个月或三十六个月等锁定，部分具有条件延長安排，影响未来流通但不是股份消失。流通股和全部经济股数不同，锁定股仍分享净资和盈利。研究未来分母不因为锁定暂小，也不把解禁当确定抛售金额。具体解禁压力与持有人行为未知，按法律安排提示期限风险，不为炒作量价假设精确资金撤退。</w:t>
      </w:r>
    </w:p>
    <w:p>
      <w:pPr>
        <w:pStyle w:val="Heading2"/>
        <w:rPr/>
      </w:pPr>
      <w:r>
        <w:rPr>
          <w:color w:val="000000"/>
        </w:rPr>
        <w:t>二十二 同控制会计与净資陷阱</w:t>
      </w:r>
    </w:p>
    <w:p>
      <w:pPr>
        <w:pStyle w:val="Normal"/>
        <w:rPr/>
      </w:pPr>
      <w:r>
        <w:rPr/>
        <w:t>通函明确公司与目标最终受上海国资控制，会计按同控制企业合并，资产负债以最终控制人账面值纳入。八十二点六七九亿元人民币交易价并非全部增加上市归母净资，不能机械加到六月权益。对价股会计视同成本、原持股、关联租赁及往来抵消影响净资。模型以旧静态净增作参照并给区间，不声称准确知道九月组合净资产，后续重列需要新版本核验。</w:t>
      </w:r>
    </w:p>
    <w:p>
      <w:pPr>
        <w:pStyle w:val="Normal"/>
        <w:rPr/>
      </w:pPr>
      <w:r>
        <w:rPr/>
        <w:t>通函旧示例以母公司二零二五六月和目标八月为基础，母归母六十二点九九零亿美元变为六十四点三二五亿，只增一点三二六三亿。集团总权益从八十八点七三六变九十点零六三亿，九十亿美元不是归母。文字中若有顾问笼统称净资增强至九十亿，仍应以正式表的归母与少数权益分行核对。该旧示例也不是二零二六九月实际，不能直接用于当前</w:t>
      </w:r>
      <w:r>
        <w:rPr/>
        <w:t>PB</w:t>
      </w:r>
      <w:r>
        <w:rPr/>
        <w:t>。</w:t>
      </w:r>
    </w:p>
    <w:p>
      <w:pPr>
        <w:pStyle w:val="Normal"/>
        <w:rPr/>
      </w:pPr>
      <w:r>
        <w:rPr/>
        <w:t>模型采用六月实际归母七十一点三八零三六亿，收购净调整悲观一亿美元、基准一点三二六三亿、乐观两亿，均显式研究假设；截止前未披露留存另设零、三千万和六千万美元。目标期再用正常利润路径积分、分红、融资、</w:t>
      </w:r>
      <w:r>
        <w:rPr/>
        <w:t>OCI</w:t>
      </w:r>
      <w:r>
        <w:rPr/>
        <w:t>和减值形成权益。相较交易价大额加净资，这样更谨慎且可刷新，但仍有组合财务缺口，不能因此给高可信度或称精确审计每股净资。</w:t>
      </w:r>
    </w:p>
    <w:p>
      <w:pPr>
        <w:pStyle w:val="Heading2"/>
        <w:rPr/>
      </w:pPr>
      <w:r>
        <w:rPr>
          <w:color w:val="000000"/>
        </w:rPr>
        <w:t>二十三 目标历史盈利与整合价值</w:t>
      </w:r>
    </w:p>
    <w:p>
      <w:pPr>
        <w:pStyle w:val="Normal"/>
        <w:rPr/>
      </w:pPr>
      <w:r>
        <w:rPr/>
        <w:t>目标通函审计利润二零二三亏三点七二亿元人民币，二零二四赚五点二二亿元，二零二五前八月赚五点一五亿元，显示明显周期和恢复。历史期间不是二零二六实际，也不把八个月简单乘全年视为保证。收购增加平台与容量，整合后要考虑原关联交易抵消、持续研发、管理、税和客户增长，不能按交易宣传中的协同把所有费用立即删除。</w:t>
      </w:r>
    </w:p>
    <w:p>
      <w:pPr>
        <w:pStyle w:val="Normal"/>
        <w:rPr/>
      </w:pPr>
      <w:r>
        <w:rPr/>
        <w:t>目标资产较旧、部分折旧账面低，现金能力和历史</w:t>
      </w:r>
      <w:r>
        <w:rPr/>
        <w:t>EPS</w:t>
      </w:r>
      <w:r>
        <w:rPr/>
        <w:t>可能与新厂不同，成本优势可能有价值。旧设备经济寿命、维修和工艺更新也需要支出，账面低不代表无限免费产能。模型目标收入从较温和前瞻到多年成长，归为全资桶，同时保留毛利与常态费用。只有实际组合披露与现金能验证整合改善，未取得新报告时不伪造目标当前利润率和全年盈利。</w:t>
      </w:r>
    </w:p>
    <w:p>
      <w:pPr>
        <w:pStyle w:val="Normal"/>
        <w:rPr/>
      </w:pPr>
      <w:r>
        <w:rPr/>
        <w:t>关联收购的治理重点是价格、独立股东保护、资本用途和之后回报。交易已履行审批和白洗等程序，仍需投资者评估资本配置，不等于所有经济风险消失。若收购后持续减值、目标客户不增长或利润更多依靠会计重列，推荐应降。模型不另加目标全估值，因为资产和经营已包含在合并净資与正常利润，避免对同一目标的现金、利润、出售价三次资本化。</w:t>
      </w:r>
    </w:p>
    <w:p>
      <w:pPr>
        <w:pStyle w:val="Heading2"/>
        <w:rPr/>
      </w:pPr>
      <w:r>
        <w:rPr>
          <w:color w:val="000000"/>
        </w:rPr>
        <w:t>二十四 无锡三期承诺与赎回义务</w:t>
      </w:r>
    </w:p>
    <w:p>
      <w:pPr>
        <w:pStyle w:val="Normal"/>
        <w:rPr/>
      </w:pPr>
      <w:r>
        <w:rPr/>
        <w:t>九月一日新</w:t>
      </w:r>
      <w:r>
        <w:rPr/>
        <w:t>JV</w:t>
      </w:r>
      <w:r>
        <w:rPr/>
        <w:t>协议规划总注册资本四十一点七亿美元，公司及全资子公司分别出资十点四二五、十点八四二亿，合计约百分之五十一。外部投资者提供其余资本，新线规划月五万五千片十二英寸。九月二十三日股东批准用途与投资，十月八日专户公告推进资金管理；注册缴付和真实量产仍需核验。批准投资不等于全部现金已支付或新产线已产生收入。</w:t>
      </w:r>
    </w:p>
    <w:p>
      <w:pPr>
        <w:pStyle w:val="Normal"/>
        <w:rPr/>
      </w:pPr>
      <w:r>
        <w:rPr/>
        <w:t>国开相关投资主体出资五点八三八亿美元，有固定回报赎回安排，九月二十九日补充明确期限不超过十年、违约等可早赎，公司也可提前选择。此类资本并非无债务属性的普通永久少数股东，未来需支付本金和参考收益。不能在正常归属中永远简单扣百分之四十九利润，却忽略赎回改变归属和现金压力。模型产权桶是一种简化，实际合同确定后需改资本与融资桥。</w:t>
      </w:r>
    </w:p>
    <w:p>
      <w:pPr>
        <w:pStyle w:val="Normal"/>
        <w:rPr/>
      </w:pPr>
      <w:r>
        <w:rPr/>
        <w:t>新厂承诺会占用资金、增加折旧与员工，对需求增长有支持，也增加长期回报要求。六月原已披露设备资本承诺三十二点四八亿美元，九月又有新的投资计划，不能把两者未经检查简单相加称全未支付，因为工程及包含关系可能交叉。研究分别列已披露期间与新项目，资金现金与账面资产转换分开。长期负债、回售和资本效率都影响普通股价值，不因外部资金支持而删除。</w:t>
      </w:r>
    </w:p>
    <w:p>
      <w:pPr>
        <w:pStyle w:val="Heading2"/>
        <w:rPr/>
      </w:pPr>
      <w:r>
        <w:rPr>
          <w:color w:val="000000"/>
        </w:rPr>
        <w:t>二十五 募集专户 母集团增资与期权</w:t>
      </w:r>
    </w:p>
    <w:p>
      <w:pPr>
        <w:pStyle w:val="Normal"/>
        <w:rPr/>
      </w:pPr>
      <w:r>
        <w:rPr/>
        <w:t>十月八日募集专户公告针对二零二三首次发行的剩余与超募资金改用途，用于无锡三期，余额含利息按转出日确定。它不是二零二六配套定增全部到账，不能把历史募集净额再加入当前现金。已公开的配套发行计划仍需发行价、最终股数和到账公告核，活动模型未来融资金额与价格为研究假设，既加净现金也增加经济普通股，不享受无稀释融资。</w:t>
      </w:r>
    </w:p>
    <w:p>
      <w:pPr>
        <w:pStyle w:val="Normal"/>
        <w:rPr/>
      </w:pPr>
      <w:r>
        <w:rPr/>
        <w:t>同日另一公告是华虹集团上层国资股权增资调整，国盛比例提高，上市公司最终控制仍上海国资委，未涉及上市股份变化。母集团收到现金不等于上市公司收到融资，不能为股价目标加同金额。集团支持和治理变化可影响未来资本安排，但没有实际上市主体交易就不能造净资和现金。研究核公告法律主体，避免新闻标题把集团与上市公司混合造成巨大模型误差。</w:t>
      </w:r>
    </w:p>
    <w:p>
      <w:pPr>
        <w:pStyle w:val="Normal"/>
        <w:rPr/>
      </w:pPr>
      <w:r>
        <w:rPr/>
        <w:t>九月二十九日拟新期权方案及最多五千二百一十四万股计划，需十月二十二日会议等条件，截止未批准未授。最低三年归属，额度不等于立即全部新增普通股；旧月报仍有很小未行权余额。未来经济稀释是研究假设，不把计划上限当已发行，也不忽略常态奖励成本。若以后授予、行权或回购有新证据，再同时更新费用、现金和股数，不能仅更新其一。</w:t>
      </w:r>
    </w:p>
    <w:p>
      <w:pPr>
        <w:pStyle w:val="Heading2"/>
        <w:rPr/>
      </w:pPr>
      <w:r>
        <w:rPr>
          <w:color w:val="000000"/>
        </w:rPr>
        <w:t>二十六 日线趋势与价格观察位</w:t>
      </w:r>
    </w:p>
    <w:p>
      <w:pPr>
        <w:pStyle w:val="Normal"/>
        <w:rPr/>
      </w:pPr>
      <w:r>
        <w:rPr/>
        <w:t>锁定日线七百三十九个观察，二十、六十、一百二十、二百五十日均线约一百零八点一二、一百二十二点五六、一百三十四点九一、一百零九点七五港元。现价低于全部，距分别负一成二五、两成二九、近三成和一成四，短中趋势明显下降。长期均线滞后上升并不等于当前价格已经获支撑，不能把从高点跌很多描述成技术多头或已确认底部。</w:t>
      </w:r>
    </w:p>
    <w:p>
      <w:pPr>
        <w:pStyle w:val="Normal"/>
        <w:rPr/>
      </w:pPr>
      <w:r>
        <w:rPr/>
        <w:t>五日均线斜率二十线负二点一二个百分点、六十线负四点四五、一百二十和二百五十线略正，表明短中均线持续下压。二十日回报负一成六三、六十日负近四成，最近市场预期大幅调整。五十二周高二百一十九点六、低六十四点五五，现价距高负五成七左右，历史最大日线回撤约五成六。跌幅是风险与预期变化，不自动提供原高价作为真实价值锚。</w:t>
      </w:r>
    </w:p>
    <w:p>
      <w:pPr>
        <w:pStyle w:val="Normal"/>
        <w:rPr/>
      </w:pPr>
      <w:r>
        <w:rPr/>
        <w:t>最近二十与六十日最低九十点二五，距现价负四点五五；二十日最高一百一十九点八、六十日一百七十二，距现价分别正两成七和八成二。窗口高低属于观察区域，未证明多次触碰或精确支撑阻力。先收复一百零三周中线与一百零八至一百一十日线区域，再看一百二十至一百二十三带更合理；若失守九十附近，不能假设跌幅仅止于窗口低点。</w:t>
      </w:r>
    </w:p>
    <w:p>
      <w:pPr>
        <w:pStyle w:val="Heading2"/>
        <w:rPr/>
      </w:pPr>
      <w:r>
        <w:rPr>
          <w:color w:val="000000"/>
        </w:rPr>
        <w:t>二十七 量能与下跌质量</w:t>
      </w:r>
    </w:p>
    <w:p>
      <w:pPr>
        <w:pStyle w:val="Normal"/>
        <w:rPr/>
      </w:pPr>
      <w:r>
        <w:rPr/>
        <w:t>基准日成交二千四百九十九万股，金额约二十三点一九二亿港元，量比约一点五九六，用此前二十日均量作分母。五、二十、六十日均量约一千四百八十七万、一千六百二十七万、二千九百八十二万股，近期量低于更长周期，单日放大不代表持续资金回流。股票与手的单位已核，成交额与量不是可以相互替代的增长指标，也不能据平均成交价推精确持仓成本。</w:t>
      </w:r>
    </w:p>
    <w:p>
      <w:pPr>
        <w:pStyle w:val="Normal"/>
        <w:rPr/>
      </w:pPr>
      <w:r>
        <w:rPr/>
        <w:t>二十日上涨六日、下跌十二日、其余平价，涨日量九千五百六十九万、跌日两亿零五百二十六万，量比约零点四七。下跌成交显著多于上涨，结合相对弱和均线下降，短线修复证据不足。分组统计仍不能识别主动买卖或投资者身份，不能断言机构派发或主力吸筹。量价只能描述交易压力与突破可信度，无逐笔和完整换手不绘伪造精确筹码分布。</w:t>
      </w:r>
    </w:p>
    <w:p>
      <w:pPr>
        <w:pStyle w:val="Normal"/>
        <w:rPr/>
      </w:pPr>
      <w:r>
        <w:rPr/>
        <w:t>反弹若放量收复一百零八至一百一十，随后回踩成交缩小并守住，可提高技术信心；反弹量弱、价格仍在下斜均线之下则更多是未证实修复。若九十点二五失守伴下跌放量，半年逻辑需降级并重新核盈利预期。不能只用一日量比超过一就确认新趋势，也不能因为长线行业乐观给图形更高分。技术与正常利润反证共同决定不同期限的观察条件。</w:t>
      </w:r>
    </w:p>
    <w:p>
      <w:pPr>
        <w:pStyle w:val="Heading2"/>
        <w:rPr/>
      </w:pPr>
      <w:r>
        <w:rPr>
          <w:color w:val="000000"/>
        </w:rPr>
        <w:t>二十八 周线 相对强弱与波动</w:t>
      </w:r>
    </w:p>
    <w:p>
      <w:pPr>
        <w:pStyle w:val="Normal"/>
        <w:rPr/>
      </w:pPr>
      <w:r>
        <w:rPr/>
        <w:t>周线一百五十七个观察，二十、六十、一百二十周均线约一百三十六点八九、一百零二点九三、六十五点一八港元，现价低于前两者，高于一百二十周。二十周下斜，六十和一百二十周仍升，说明长期巨大升幅后的中期破坏，不能因最长期均线在下就判当前趋势安全。二百五十周历史不足不补造，日周相同价格信息也不重复加成长分。</w:t>
      </w:r>
    </w:p>
    <w:p>
      <w:pPr>
        <w:pStyle w:val="Normal"/>
        <w:rPr/>
      </w:pPr>
      <w:r>
        <w:rPr/>
        <w:t>二十和六十日相对恒指分别弱约十三点三五、三十六点七四个百分点，对恒科粗基准也弱约十三点二六、二十六点七六。市场和行业粗基准都不能证明专属全球晶圆代工排名，但差异表明近期价格明显跑输。公司经营复苏与股价弱可同时发生，可能来自高估值、稀释、资本回报或预期差，研究不能未经证据简单称市场错误。短期技术分只给一点八，等待量价修复。</w:t>
      </w:r>
    </w:p>
    <w:p>
      <w:pPr>
        <w:pStyle w:val="Normal"/>
        <w:rPr/>
      </w:pPr>
      <w:r>
        <w:rPr/>
        <w:t>日</w:t>
      </w:r>
      <w:r>
        <w:rPr/>
        <w:t>RSI</w:t>
      </w:r>
      <w:r>
        <w:rPr/>
        <w:t>约三十一点九一，偏弱但未证明底；日</w:t>
      </w:r>
      <w:r>
        <w:rPr/>
        <w:t>MACD</w:t>
      </w:r>
      <w:r>
        <w:rPr/>
        <w:t>差值负五点二四、信号负四点五四，柱负一点四，动量仍弱。</w:t>
      </w:r>
      <w:r>
        <w:rPr/>
        <w:t>ATR</w:t>
      </w:r>
      <w:r>
        <w:rPr/>
        <w:t>约六点二八港元、价比六点六四，正常波动很大；周</w:t>
      </w:r>
      <w:r>
        <w:rPr/>
        <w:t>ATR</w:t>
      </w:r>
      <w:r>
        <w:rPr/>
        <w:t>价比更高，短周量比零点四三受休市交易日影响。辅助指标与均线量价结合，避免把多个相近指标重复加分，风险不以</w:t>
      </w:r>
      <w:r>
        <w:rPr/>
        <w:t>ATR</w:t>
      </w:r>
      <w:r>
        <w:rPr/>
        <w:t>数值定义绝对跌幅边界。</w:t>
      </w:r>
    </w:p>
    <w:p>
      <w:pPr>
        <w:pStyle w:val="Heading2"/>
        <w:rPr/>
      </w:pPr>
      <w:r>
        <w:rPr>
          <w:color w:val="000000"/>
        </w:rPr>
        <w:t xml:space="preserve">二十九 </w:t>
      </w:r>
      <w:r>
        <w:rPr>
          <w:color w:val="000000"/>
        </w:rPr>
        <w:t>PB</w:t>
      </w:r>
      <w:r>
        <w:rPr>
          <w:color w:val="000000"/>
        </w:rPr>
        <w:t>活动模型与正常利润交叉</w:t>
      </w:r>
    </w:p>
    <w:p>
      <w:pPr>
        <w:pStyle w:val="Normal"/>
        <w:rPr/>
      </w:pPr>
      <w:r>
        <w:rPr/>
        <w:t>活动价格用目标归母每股净資乘</w:t>
      </w:r>
      <w:r>
        <w:rPr/>
        <w:t>PB</w:t>
      </w:r>
      <w:r>
        <w:rPr/>
        <w:t>，再按美元兑港币七点八转换。六月实际归母权益加同控制收购净调整和截止前留存估计，目标期间正常归母利润用节点间梯形积分形成留存，减假设现金分红、</w:t>
      </w:r>
      <w:r>
        <w:rPr/>
        <w:t>OCI</w:t>
      </w:r>
      <w:r>
        <w:rPr/>
        <w:t>压力和减值，加净融资并增加股数。资本现金不全部直接扣权益，因为形成设备资产；成本折旧、现金缺口、融资稀释和回报要求体现建设代价，避免会计错误。</w:t>
      </w:r>
    </w:p>
    <w:p>
      <w:pPr>
        <w:pStyle w:val="Normal"/>
        <w:rPr/>
      </w:pPr>
      <w:r>
        <w:rPr/>
        <w:t>正常利润研究桥把原业务中百分之五十一工厂与全资桶分开，原收入减</w:t>
      </w:r>
      <w:r>
        <w:rPr/>
        <w:t>JV</w:t>
      </w:r>
      <w:r>
        <w:rPr/>
        <w:t>部分再加目标收入得到全资收入，各乘正常毛利并扣常态费用。集团税后利润扣少数股东份额，再加有限财资净项形成归母；亏损不假设即时税收返还。两桶数额、毛利与费用是研究假设，不是公司披露正式分部，适合解释产权和反证，不能称精确实际工厂毛利或未来审计预算。</w:t>
      </w:r>
    </w:p>
    <w:p>
      <w:pPr>
        <w:pStyle w:val="Normal"/>
        <w:rPr/>
      </w:pPr>
      <w:r>
        <w:rPr/>
        <w:t>PB</w:t>
      </w:r>
      <w:r>
        <w:rPr/>
        <w:t>本身需要资本回报支持，基准三年正常</w:t>
      </w:r>
      <w:r>
        <w:rPr/>
        <w:t>ROE</w:t>
      </w:r>
      <w:r>
        <w:rPr/>
        <w:t>约六点二五、五年六点六二，仍不足以仅靠稳定期超额收益解释三倍以上</w:t>
      </w:r>
      <w:r>
        <w:rPr/>
        <w:t>PB</w:t>
      </w:r>
      <w:r>
        <w:rPr/>
        <w:t>。这里高倍数反映继续成长和技术选择权，是进取假设而非成熟现金已证便宜。若用稳定剩余收益框架，</w:t>
      </w:r>
      <w:r>
        <w:rPr/>
        <w:t>ROE</w:t>
      </w:r>
      <w:r>
        <w:rPr/>
        <w:t>低于必要股本回报时</w:t>
      </w:r>
      <w:r>
        <w:rPr/>
        <w:t>PB</w:t>
      </w:r>
      <w:r>
        <w:rPr/>
        <w:t>理应受压，不能为高目标隐藏这一矛盾。推荐因此比仅看机构高目标更谨慎，远期估值需实际回报继续上升。</w:t>
      </w:r>
    </w:p>
    <w:p>
      <w:pPr>
        <w:pStyle w:val="Heading2"/>
        <w:rPr/>
      </w:pPr>
      <w:r>
        <w:rPr>
          <w:color w:val="000000"/>
        </w:rPr>
        <w:t>三十 估值水平与敏感性</w:t>
      </w:r>
    </w:p>
    <w:p>
      <w:pPr>
        <w:pStyle w:val="Normal"/>
        <w:rPr/>
      </w:pPr>
      <w:r>
        <w:rPr/>
        <w:t>按六月权益、收购基准净调整及截止留存假设，全普通股每股净资折港币约三十元，当前</w:t>
      </w:r>
      <w:r>
        <w:rPr/>
        <w:t>PB</w:t>
      </w:r>
      <w:r>
        <w:rPr/>
        <w:t>约三点二，并非跌幅大就低于账面。年底基准</w:t>
      </w:r>
      <w:r>
        <w:rPr/>
        <w:t>BV</w:t>
      </w:r>
      <w:r>
        <w:rPr/>
        <w:t>约三点八零四美元、</w:t>
      </w:r>
      <w:r>
        <w:rPr/>
        <w:t>PB</w:t>
      </w:r>
      <w:r>
        <w:rPr/>
        <w:t>三点四，目标一百零零点八九。若未来</w:t>
      </w:r>
      <w:r>
        <w:rPr/>
        <w:t>PB</w:t>
      </w:r>
      <w:r>
        <w:rPr/>
        <w:t>降而账面维持，价格仍可大跌，</w:t>
      </w:r>
      <w:r>
        <w:rPr/>
        <w:t>PB</w:t>
      </w:r>
      <w:r>
        <w:rPr/>
        <w:t>不能作为本金保障。账面资产中的设备、投资和限制现金需创造回报，才能支持超过账面的技术溢价。</w:t>
      </w:r>
    </w:p>
    <w:p>
      <w:pPr>
        <w:pStyle w:val="Normal"/>
        <w:rPr/>
      </w:pPr>
      <w:r>
        <w:rPr/>
        <w:t>一年基准</w:t>
      </w:r>
      <w:r>
        <w:rPr/>
        <w:t>BV</w:t>
      </w:r>
      <w:r>
        <w:rPr/>
        <w:t>约四点一七八美元、</w:t>
      </w:r>
      <w:r>
        <w:rPr/>
        <w:t>PB</w:t>
      </w:r>
      <w:r>
        <w:rPr/>
        <w:t>三点八，价格一百二十三点八五；</w:t>
      </w:r>
      <w:r>
        <w:rPr/>
        <w:t>PB</w:t>
      </w:r>
      <w:r>
        <w:rPr/>
        <w:t>每变一倍约影响三十二点六港元。净資每变一亿美元、分母近二十亿股时，对三点八倍价约影响一点五港元，说明倍数重估往往比短期利润留存更影响半年价格。融资价越低，同现金带来更多新增股，可能稀释</w:t>
      </w:r>
      <w:r>
        <w:rPr/>
        <w:t>BV</w:t>
      </w:r>
      <w:r>
        <w:rPr/>
        <w:t>；不能只加募集现金而固定分母，增资高价与低价情景差异应公开。</w:t>
      </w:r>
    </w:p>
    <w:p>
      <w:pPr>
        <w:pStyle w:val="Normal"/>
        <w:rPr/>
      </w:pPr>
      <w:r>
        <w:rPr/>
        <w:t>一年正常归母利润基准约三点九四七亿美元、每股约零点一九八，按目标折算</w:t>
      </w:r>
      <w:r>
        <w:rPr/>
        <w:t>PE</w:t>
      </w:r>
      <w:r>
        <w:rPr/>
        <w:t>仍很高，提醒资本回报改善尚未全部兑现。</w:t>
      </w:r>
      <w:r>
        <w:rPr/>
        <w:t>PB</w:t>
      </w:r>
      <w:r>
        <w:rPr/>
        <w:t>选择避免用超高</w:t>
      </w:r>
      <w:r>
        <w:rPr/>
        <w:t>PE</w:t>
      </w:r>
      <w:r>
        <w:rPr/>
        <w:t>直接设价，但不删除利润交叉；如果未来经营不能接近预期，高</w:t>
      </w:r>
      <w:r>
        <w:rPr/>
        <w:t>PB</w:t>
      </w:r>
      <w:r>
        <w:rPr/>
        <w:t>必然更难维持。成熟同行、历史范围与净資质量需共同比较，不把花旗高于历史两个标准差的</w:t>
      </w:r>
      <w:r>
        <w:rPr/>
        <w:t>PB</w:t>
      </w:r>
      <w:r>
        <w:rPr/>
        <w:t>当统计保证。模型高倍数是可反证假设，不是精确客观常数。</w:t>
      </w:r>
    </w:p>
    <w:p>
      <w:pPr>
        <w:pStyle w:val="Heading2"/>
        <w:rPr/>
      </w:pPr>
      <w:r>
        <w:rPr>
          <w:color w:val="000000"/>
        </w:rPr>
        <w:t>三十一 年底情景与期望值</w:t>
      </w:r>
    </w:p>
    <w:p>
      <w:pPr>
        <w:pStyle w:val="Normal"/>
        <w:rPr/>
      </w:pPr>
      <w:r>
        <w:rPr/>
        <w:t>年底悲观</w:t>
      </w:r>
      <w:r>
        <w:rPr/>
        <w:t>BV</w:t>
      </w:r>
      <w:r>
        <w:rPr/>
        <w:t>约三点四九九美元、</w:t>
      </w:r>
      <w:r>
        <w:rPr/>
        <w:t>PB</w:t>
      </w:r>
      <w:r>
        <w:rPr/>
        <w:t>一点七得四十六点四港元，归母正常盈利年率约五千七百八十三万美元。假设需求定价回报受压、</w:t>
      </w:r>
      <w:r>
        <w:rPr/>
        <w:t>OCI</w:t>
      </w:r>
      <w:r>
        <w:rPr/>
        <w:t>下降和减值，估值重回较低水平，跌幅约五成一；并不假设工厂收入为零。悲观仍有账面净資，但低回报与市场重估可让价格接近或低于某些资产参照，区间不是清算价格或最大风险线，实际融资和跳空仍可超出。</w:t>
      </w:r>
    </w:p>
    <w:p>
      <w:pPr>
        <w:pStyle w:val="Normal"/>
        <w:rPr/>
      </w:pPr>
      <w:r>
        <w:rPr/>
        <w:t>年底基准一百零零点八九、乐观一百五十六点一六，分别需要正常特色需求与更强价量回报得到市场认可。基准</w:t>
      </w:r>
      <w:r>
        <w:rPr/>
        <w:t>PB</w:t>
      </w:r>
      <w:r>
        <w:rPr/>
        <w:t>三点四、乐观五点一，不直接采用高盛三百三十五目标；年底前信息主要是新指引、收购后披露、工厂认证和价格修复。机构十二个月目标有更长经营窗口，不能按剩余月份线性折算，也不能把新闻目标替代独立净资和资本假设。</w:t>
      </w:r>
    </w:p>
    <w:p>
      <w:pPr>
        <w:pStyle w:val="Normal"/>
        <w:rPr/>
      </w:pPr>
      <w:r>
        <w:rPr/>
        <w:t>判断权重四分之一、二分之一、四分之一形成一百零一点零八五港元、空间近七个百分点，防御和积极分别八十四点六二一与一百一十七点五四九。权重变化使期望跨越现价，说明短期结论不稳健到可以只给乐观数。期望不是未来必到的价格，报告也未用历史频率估每种经营概率。半年的量价仍弱，年底边际空间有限，需与全名单其他公司的可验证收益和风险比较。</w:t>
      </w:r>
    </w:p>
    <w:p>
      <w:pPr>
        <w:pStyle w:val="Heading2"/>
        <w:rPr/>
      </w:pPr>
      <w:r>
        <w:rPr>
          <w:color w:val="000000"/>
        </w:rPr>
        <w:t>三十二 半年与一年投资判断</w:t>
      </w:r>
    </w:p>
    <w:p>
      <w:pPr>
        <w:pStyle w:val="Normal"/>
        <w:rPr/>
      </w:pPr>
      <w:r>
        <w:rPr/>
        <w:t>半年基准一百一十二点二三港元、价幅一成八七，目标前瞻集团收入约四十点六亿美元，正常归母利润约二点八六五億。全资桶增长、百分之五十一新厂毛利和收购整合共同支持，但资本现金和低</w:t>
      </w:r>
      <w:r>
        <w:rPr/>
        <w:t>ROE</w:t>
      </w:r>
      <w:r>
        <w:rPr/>
        <w:t>继续限制。期望催化是完整报告、订单价量、工厂验收及正常现金，图形须收复关键均线才有较强交易信心。半年不假设新分红或尚未完成融资无稀释到账。</w:t>
      </w:r>
    </w:p>
    <w:p>
      <w:pPr>
        <w:pStyle w:val="Normal"/>
        <w:rPr/>
      </w:pPr>
      <w:r>
        <w:rPr/>
        <w:t>半年悲观三十八点八六、乐观一百七十九点二六，</w:t>
      </w:r>
      <w:r>
        <w:rPr/>
        <w:t>PB</w:t>
      </w:r>
      <w:r>
        <w:rPr/>
        <w:t>一点四五和五点三，反映行业价格与市场溢价大幅差异。评分六十点五主要受技术一点八、风险二点七拖累，经营及行业较高并不能抵消全部图形弱。若九十附近失守、上涨量弱或实际毛利未改善，半年的逻辑需下调；若仅股价低而业绩好，也要解释资本回报和预期差，不能无条件称超跌机会。</w:t>
      </w:r>
    </w:p>
    <w:p>
      <w:pPr>
        <w:pStyle w:val="Normal"/>
        <w:rPr/>
      </w:pPr>
      <w:r>
        <w:rPr/>
        <w:t>一年基准一百二十三点八五、含息回报约三成一，正常利润接近部分机构后续年度预测，但归属、观察期和模型不同不能称一致共识。悲观三十一点零二、乐观一百九十九点八四，较宽区间反映新厂和融资不确定。一年得分六十九点二，需要完整组合财报验证同控制净资、正常费用与稀释，若新增资产只增收入而</w:t>
      </w:r>
      <w:r>
        <w:rPr/>
        <w:t>ROE</w:t>
      </w:r>
      <w:r>
        <w:rPr/>
        <w:t>和现金不改善，</w:t>
      </w:r>
      <w:r>
        <w:rPr/>
        <w:t>PB</w:t>
      </w:r>
      <w:r>
        <w:rPr/>
        <w:t>应下修而非继续靠市场空间支撑。</w:t>
      </w:r>
    </w:p>
    <w:p>
      <w:pPr>
        <w:pStyle w:val="Heading2"/>
        <w:rPr/>
      </w:pPr>
      <w:r>
        <w:rPr>
          <w:color w:val="000000"/>
        </w:rPr>
        <w:t>三十三 三年经营与反证</w:t>
      </w:r>
    </w:p>
    <w:p>
      <w:pPr>
        <w:pStyle w:val="Normal"/>
        <w:rPr/>
      </w:pPr>
      <w:r>
        <w:rPr/>
        <w:t>三年基准集团前瞻收入约六十三亿美元，全资与合并</w:t>
      </w:r>
      <w:r>
        <w:rPr/>
        <w:t>JV</w:t>
      </w:r>
      <w:r>
        <w:rPr/>
        <w:t>毛利扣常态费用后核心利润约九点二五亿美元；归母正常利润六点一零一亿，经济股约二十点五三五亿。</w:t>
      </w:r>
      <w:r>
        <w:rPr/>
        <w:t>BV</w:t>
      </w:r>
      <w:r>
        <w:rPr/>
        <w:t>约四点七五七美元、</w:t>
      </w:r>
      <w:r>
        <w:rPr/>
        <w:t>PB</w:t>
      </w:r>
      <w:r>
        <w:rPr/>
        <w:t>三点七，价格一百三十七点三，总回报四成五八、年化一成三四。成长有空间，但资本密集使每股回报未等同收入倍增，不能将工厂扩产新闻直接算成股价同倍数上涨。</w:t>
      </w:r>
    </w:p>
    <w:p>
      <w:pPr>
        <w:pStyle w:val="Normal"/>
        <w:rPr/>
      </w:pPr>
      <w:r>
        <w:rPr/>
        <w:t>三年得分七十三点八，经营和行业占更高权重，技术只占少量，风险二点五仍明显。悲观十八点八六、乐观二百三十三点三一要求完全不同工厂回报和估值。乐观正常</w:t>
      </w:r>
      <w:r>
        <w:rPr/>
        <w:t>ROE</w:t>
      </w:r>
      <w:r>
        <w:rPr/>
        <w:t>近一成，但高</w:t>
      </w:r>
      <w:r>
        <w:rPr/>
        <w:t>PB</w:t>
      </w:r>
      <w:r>
        <w:rPr/>
        <w:t>仍需继续增长；悲观亏损与低价融资降低每股净資。产能释放、价格、少数股东分享和资本义务互相影响，不可只保持乐观销售却忽略成本、归属和资金后果。</w:t>
      </w:r>
    </w:p>
    <w:p>
      <w:pPr>
        <w:pStyle w:val="Normal"/>
        <w:rPr/>
      </w:pPr>
      <w:r>
        <w:rPr/>
        <w:t>三年反证包括新平台不能重复量产、产能过剩导致</w:t>
      </w:r>
      <w:r>
        <w:rPr/>
        <w:t>ASP</w:t>
      </w:r>
      <w:r>
        <w:rPr/>
        <w:t>下降、折旧长期高于可收费工艺价值、收购资产减值、现金缺口需要大幅低价融资。即使国产供应需求持续，若每股利润和资本回报不足，普通股仍可能表现差。推荐应由业务质量和每股现金证明，不能以战略产业或国资支持自动推断股东必获超额收益。每期更新利润、净资和评分，结果同步总表而非仅加风险注脚。</w:t>
      </w:r>
    </w:p>
    <w:p>
      <w:pPr>
        <w:pStyle w:val="Heading2"/>
        <w:rPr/>
      </w:pPr>
      <w:r>
        <w:rPr>
          <w:color w:val="000000"/>
        </w:rPr>
        <w:t>三十四 五年与十年持续性</w:t>
      </w:r>
    </w:p>
    <w:p>
      <w:pPr>
        <w:pStyle w:val="Normal"/>
        <w:rPr/>
      </w:pPr>
      <w:r>
        <w:rPr/>
        <w:t>五年基准集团收入约八十一点二亿美元、核心利润十二点三二亿美元、归母正常七点七二四亿，</w:t>
      </w:r>
      <w:r>
        <w:rPr/>
        <w:t>BV</w:t>
      </w:r>
      <w:r>
        <w:rPr/>
        <w:t>约五点四八六美元、</w:t>
      </w:r>
      <w:r>
        <w:rPr/>
        <w:t>PB</w:t>
      </w:r>
      <w:r>
        <w:rPr/>
        <w:t>三点四，目标一百四十五点四九。累计息一港元三角、年化约九点二，经营成长部分被估值成熟、资本和股数抵消。得分六十八点二低于三年，提示长期成本及竞争需要更高证据，不把时间延长当自然提高确定性。</w:t>
      </w:r>
    </w:p>
    <w:p>
      <w:pPr>
        <w:pStyle w:val="Normal"/>
        <w:rPr/>
      </w:pPr>
      <w:r>
        <w:rPr/>
        <w:t>五年乐观二百六十四点五四要求收入一百二十点五亿美元、高端组合、毛利及资本回报持续改善，</w:t>
      </w:r>
      <w:r>
        <w:rPr/>
        <w:t>ROE</w:t>
      </w:r>
      <w:r>
        <w:rPr/>
        <w:t>约一成零七；悲观十四点二二则为长期亏损、稀释与资产重估。范围不是统计预测，需求、税、工艺和融资可能出现其他路径。大额赎回和新平台资本义务需在届时核，现阶段没有精确条款不能填造固定收益率并称准确</w:t>
      </w:r>
      <w:r>
        <w:rPr/>
        <w:t>DCF</w:t>
      </w:r>
      <w:r>
        <w:rPr/>
        <w:t>；披露不足对风险分和可信度有直接影响。</w:t>
      </w:r>
    </w:p>
    <w:p>
      <w:pPr>
        <w:pStyle w:val="Normal"/>
        <w:rPr/>
      </w:pPr>
      <w:r>
        <w:rPr/>
        <w:t>十年展望是公司能否维持可靠特色工艺、设计生态和量产经验，在汽车、电源、存储和控制中不断提供可收费价值。技术成熟、客户自研、替代材料、区域供给与设备更新都可能压低回报，集团支持不能替代资本纪律。若每代增长都需更多资本而</w:t>
      </w:r>
      <w:r>
        <w:rPr/>
        <w:t>ROE</w:t>
      </w:r>
      <w:r>
        <w:rPr/>
        <w:t>不升，净资产扩张可能只是规模壮大。长期成立条件是普通股正常现金与回报高于持续融资和技术投入成本，本章不造十年精确价格。</w:t>
      </w:r>
    </w:p>
    <w:p>
      <w:pPr>
        <w:pStyle w:val="Heading2"/>
        <w:rPr/>
      </w:pPr>
      <w:r>
        <w:rPr>
          <w:color w:val="000000"/>
        </w:rPr>
        <w:t>三十五 外资目标分歧与使用方法</w:t>
      </w:r>
    </w:p>
    <w:p>
      <w:pPr>
        <w:pStyle w:val="Normal"/>
        <w:rPr/>
      </w:pPr>
      <w:r>
        <w:rPr/>
        <w:t>高盛九月二十二日公开正文明确十二个月三百三十五港元、买入，旧七月三百三十三已去重；其长期利润改善和技术扩张路径较积极。花旗八月十七日一百七十五、买入，引用后续平均</w:t>
      </w:r>
      <w:r>
        <w:rPr/>
        <w:t>BV</w:t>
      </w:r>
      <w:r>
        <w:rPr/>
        <w:t>五倍，且自述高于历史范围约两个标准差。它不是未来获利的统计置信区间，也不证明所有高倍数会维持。两家报告目标观察与盈利假设需要分别核，不能只比较价格高低。</w:t>
      </w:r>
    </w:p>
    <w:p>
      <w:pPr>
        <w:pStyle w:val="Normal"/>
        <w:rPr/>
      </w:pPr>
      <w:r>
        <w:rPr/>
        <w:t>美银八月十四日六十九港元、跑输，担心折旧和估值，高于以前目标但评级仍谨慎；里昂同日公开正文一百九十、跑赢，预测后两年利润约三点七九和四点八三亿美元；中银国际七月三十日二百一十、买入，作为中资国际单列。跨股新闻中评级和目标需按华虹对应，不继承同篇中芯持有评级。除高盛明确十二个月，其余目标期未明，使用哪年盈利或</w:t>
      </w:r>
      <w:r>
        <w:rPr/>
        <w:t>BV</w:t>
      </w:r>
      <w:r>
        <w:rPr/>
        <w:t>不能替代期限。</w:t>
      </w:r>
    </w:p>
    <w:p>
      <w:pPr>
        <w:pStyle w:val="Normal"/>
        <w:rPr/>
      </w:pPr>
      <w:r>
        <w:rPr/>
        <w:t>全部机构资料是公开新闻转述，原始研报未取得，同机构仅保留最新有效、重复转载不增加共识。三百三十五与六十九巨大差异说明资本回报、折旧与估值判断分歧，不能平均后称真实公允价。独立活动模型更强调同控制每股净资与低</w:t>
      </w:r>
      <w:r>
        <w:rPr/>
        <w:t>ROE</w:t>
      </w:r>
      <w:r>
        <w:rPr/>
        <w:t>约束，故一年基准较多高目标低。若实际回报超预期可以上修，但须更新正常利润、权益和资本数据，不靠最高目标选择性支持。</w:t>
      </w:r>
    </w:p>
    <w:p>
      <w:pPr>
        <w:pStyle w:val="Heading2"/>
        <w:rPr/>
      </w:pPr>
      <w:r>
        <w:rPr>
          <w:color w:val="000000"/>
        </w:rPr>
        <w:t>三十六 风险 缺口与持续核验</w:t>
      </w:r>
    </w:p>
    <w:p>
      <w:pPr>
        <w:pStyle w:val="Normal"/>
        <w:rPr/>
      </w:pPr>
      <w:r>
        <w:rPr/>
        <w:t>宏观风险通过消费电子、工业汽车、客户资金成本和价格传导；政策通过设备许可、供应、安全客户与税影响。人民币功能币、美元列报、港币股价和人民币投资资金四种口径需区分，汇率变化不简单相加。公司在成熟特色市场有真实技术与认证经验，全球供给扩张和客户竞争仍可能压价。研究不为未知政策补造确定损失，也不因行业战略重要而忽略每股回报与治理。</w:t>
      </w:r>
    </w:p>
    <w:p>
      <w:pPr>
        <w:pStyle w:val="Normal"/>
        <w:rPr/>
      </w:pPr>
      <w:r>
        <w:rPr/>
        <w:t>重要缺口包括九月完成后的真实组合权益与重列、目标近期利润、各工厂完整毛利费用现金、配套融资最终价格股数、</w:t>
      </w:r>
      <w:r>
        <w:rPr/>
        <w:t>JVIII</w:t>
      </w:r>
      <w:r>
        <w:rPr/>
        <w:t>缴付投产及赎回确切成本、完整换手逐笔和大多数原研报目标期限。缺口不填成零或既成事实，研究输入标为假设，未来资料到来标待刷新。每次刷新统一重算三个情景、四评分、价格回报与文件核心数，避免旧快照被误认已经最新。</w:t>
      </w:r>
    </w:p>
    <w:p>
      <w:pPr>
        <w:pStyle w:val="Normal"/>
        <w:rPr/>
      </w:pPr>
      <w:r>
        <w:rPr/>
        <w:t>华虹的成长机会在特色需求、工艺升级、客户认证与产能利用，主要约束是低资本回报、高资本现金和复杂归属。半年偏等待趋势与报告，一年三年候选需正常盈利和净资验证，五年要求现金和资本纪律跨周期成立。股价大跌和高盛高目标都不能单独决定推荐；经营和每股模型证据若被推翻，价与分数同步下修，保留这一可反证路径才使进取研究可核验。</w:t>
      </w:r>
    </w:p>
    <w:p>
      <w:pPr>
        <w:pStyle w:val="Heading2"/>
        <w:rPr/>
      </w:pPr>
      <w:r>
        <w:rPr>
          <w:color w:val="000000"/>
        </w:rPr>
        <w:t>来源与模型核验</w:t>
      </w:r>
    </w:p>
    <w:p>
      <w:pPr>
        <w:pStyle w:val="Normal"/>
        <w:rPr/>
      </w:pPr>
      <w:r>
        <w:rPr/>
        <w:t>- [HUAHONG-annual</w:t>
      </w:r>
      <w:r>
        <w:rPr/>
        <w:t>：</w:t>
      </w:r>
      <w:r>
        <w:rPr/>
        <w:t>FY2025</w:t>
      </w:r>
      <w:r>
        <w:rPr/>
        <w:t>年报，</w:t>
      </w:r>
      <w:r>
        <w:rPr/>
        <w:t>2026-04-09 18:06](https://www1.hkexnews.hk/listedco/listconews/sehk/2026/0409/2026040901617.pdf)</w:t>
      </w:r>
      <w:r>
        <w:rPr/>
        <w:t>；</w:t>
      </w:r>
      <w:r>
        <w:rPr/>
        <w:t>[</w:t>
      </w:r>
      <w:r>
        <w:rPr/>
        <w:t>年度业绩，</w:t>
      </w:r>
      <w:r>
        <w:rPr/>
        <w:t>2026-03-26 22:22](https://www1.hkexnews.hk/listedco/listconews/sehk/2026/0326/2026032602730.pdf)</w:t>
      </w:r>
      <w:r>
        <w:rPr/>
        <w:t>。</w:t>
      </w:r>
      <w:r>
        <w:rPr/>
        <w:t>USD</w:t>
      </w:r>
      <w:r>
        <w:rPr/>
        <w:t>千元转百万，管理含</w:t>
      </w:r>
      <w:r>
        <w:rPr/>
        <w:t>RD</w:t>
      </w:r>
      <w:r>
        <w:rPr/>
        <w:t>，不重复扣。</w:t>
      </w:r>
    </w:p>
    <w:p>
      <w:pPr>
        <w:pStyle w:val="Normal"/>
        <w:rPr/>
      </w:pPr>
      <w:r>
        <w:rPr/>
        <w:t>- [HUAHONG-interim</w:t>
      </w:r>
      <w:r>
        <w:rPr/>
        <w:t>：</w:t>
      </w:r>
      <w:r>
        <w:rPr/>
        <w:t>H1</w:t>
      </w:r>
      <w:r>
        <w:rPr/>
        <w:t>中报，</w:t>
      </w:r>
      <w:r>
        <w:rPr/>
        <w:t>2026-09-02 16:30](https://www1.hkexnews.hk/listedco/listconews/sehk/2026/0902/2026090200736.pdf)</w:t>
      </w:r>
      <w:r>
        <w:rPr/>
        <w:t>；</w:t>
      </w:r>
      <w:r>
        <w:rPr/>
        <w:t>[H1</w:t>
      </w:r>
      <w:r>
        <w:rPr/>
        <w:t>业绩，</w:t>
      </w:r>
      <w:r>
        <w:rPr/>
        <w:t>2026-08-26 18:25](https://www1.hkexnews.hk/listedco/listconews/sehk/2026/0826/2026082600917.pdf)</w:t>
      </w:r>
      <w:r>
        <w:rPr/>
        <w:t>。集团亏</w:t>
      </w:r>
      <w:r>
        <w:rPr/>
        <w:t>/</w:t>
      </w:r>
      <w:r>
        <w:rPr/>
        <w:t>归母正</w:t>
      </w:r>
      <w:r>
        <w:rPr/>
        <w:t>/NCI</w:t>
      </w:r>
      <w:r>
        <w:rPr/>
        <w:t>负、</w:t>
      </w:r>
      <w:r>
        <w:rPr/>
        <w:t>OCI</w:t>
      </w:r>
      <w:r>
        <w:rPr/>
        <w:t>、资本承诺和现金分别记录。</w:t>
      </w:r>
    </w:p>
    <w:p>
      <w:pPr>
        <w:pStyle w:val="Normal"/>
        <w:rPr/>
      </w:pPr>
      <w:r>
        <w:rPr/>
        <w:t>- [Q2</w:t>
      </w:r>
      <w:r>
        <w:rPr/>
        <w:t>业绩，</w:t>
      </w:r>
      <w:r>
        <w:rPr/>
        <w:t>2026-08-13 16:40](https://www1.hkexnews.hk/listedco/listconews/sehk/2026/0813/2026081300401.pdf)</w:t>
      </w:r>
      <w:r>
        <w:rPr/>
        <w:t>。利用率</w:t>
      </w:r>
      <w:r>
        <w:rPr/>
        <w:t>102.8%</w:t>
      </w:r>
      <w:r>
        <w:rPr/>
        <w:t>、</w:t>
      </w:r>
      <w:r>
        <w:rPr/>
        <w:t>ROE2.4%</w:t>
      </w:r>
      <w:r>
        <w:rPr/>
        <w:t>、</w:t>
      </w:r>
      <w:r>
        <w:rPr/>
        <w:t>Q3</w:t>
      </w:r>
      <w:r>
        <w:rPr/>
        <w:t>指引为正式公开前瞻。</w:t>
      </w:r>
    </w:p>
    <w:p>
      <w:pPr>
        <w:pStyle w:val="Normal"/>
        <w:rPr/>
      </w:pPr>
      <w:r>
        <w:rPr/>
        <w:t>- [</w:t>
      </w:r>
      <w:r>
        <w:rPr/>
        <w:t>收购通函，</w:t>
      </w:r>
      <w:r>
        <w:rPr/>
        <w:t>2026-01-22 06:01](https://www1.hkexnews.hk/listedco/listconews/sehk/2026/0122/2026012200001.pdf)</w:t>
      </w:r>
      <w:r>
        <w:rPr/>
        <w:t>。同控制账面，旧</w:t>
      </w:r>
      <w:r>
        <w:rPr/>
        <w:t>proforma</w:t>
      </w:r>
      <w:r>
        <w:rPr/>
        <w:t>归母</w:t>
      </w:r>
      <w:r>
        <w:rPr/>
        <w:t>6299.902→6432.532mUSD</w:t>
      </w:r>
      <w:r>
        <w:rPr/>
        <w:t>，总权益</w:t>
      </w:r>
      <w:r>
        <w:rPr/>
        <w:t>9006.273</w:t>
      </w:r>
      <w:r>
        <w:rPr/>
        <w:t>非归母。</w:t>
      </w:r>
    </w:p>
    <w:p>
      <w:pPr>
        <w:pStyle w:val="Normal"/>
        <w:rPr/>
      </w:pPr>
      <w:r>
        <w:rPr/>
        <w:t>- [</w:t>
      </w:r>
      <w:r>
        <w:rPr/>
        <w:t>交易完成，</w:t>
      </w:r>
      <w:r>
        <w:rPr/>
        <w:t>2026-09-11 16:41](https://www1.hkexnews.hk/listedco/listconews/sehk/2026/0911/2026091100436.pdf)</w:t>
      </w:r>
      <w:r>
        <w:rPr/>
        <w:t>。完成</w:t>
      </w:r>
      <w:r>
        <w:rPr/>
        <w:t>9/9</w:t>
      </w:r>
      <w:r>
        <w:rPr/>
        <w:t>、新</w:t>
      </w:r>
      <w:r>
        <w:rPr/>
        <w:t>190768392A</w:t>
      </w:r>
      <w:r>
        <w:rPr/>
        <w:t>股、全</w:t>
      </w:r>
      <w:r>
        <w:rPr/>
        <w:t>1928494794</w:t>
      </w:r>
      <w:r>
        <w:rPr/>
        <w:t>，目标全资。</w:t>
      </w:r>
    </w:p>
    <w:p>
      <w:pPr>
        <w:pStyle w:val="Normal"/>
        <w:rPr/>
      </w:pPr>
      <w:r>
        <w:rPr/>
        <w:t>- [</w:t>
      </w:r>
      <w:r>
        <w:rPr/>
        <w:t>修订九月月报，</w:t>
      </w:r>
      <w:r>
        <w:rPr/>
        <w:t>2026-10-08 15:02](https://www1.hkexnews.hk/listedco/listconews/sehk/2026/1008/2026100800287.pdf)</w:t>
      </w:r>
      <w:r>
        <w:rPr/>
        <w:t>。</w:t>
      </w:r>
      <w:r>
        <w:rPr/>
        <w:t>HK1329976402</w:t>
      </w:r>
      <w:r>
        <w:rPr/>
        <w:t>、</w:t>
      </w:r>
      <w:r>
        <w:rPr/>
        <w:t>RMB598518392</w:t>
      </w:r>
      <w:r>
        <w:rPr/>
        <w:t>、库存</w:t>
      </w:r>
      <w:r>
        <w:rPr/>
        <w:t>0</w:t>
      </w:r>
      <w:r>
        <w:rPr/>
        <w:t>。</w:t>
      </w:r>
    </w:p>
    <w:p>
      <w:pPr>
        <w:pStyle w:val="Normal"/>
        <w:rPr/>
      </w:pPr>
      <w:r>
        <w:rPr/>
        <w:t>- [JVIII</w:t>
      </w:r>
      <w:r>
        <w:rPr/>
        <w:t>协议，</w:t>
      </w:r>
      <w:r>
        <w:rPr/>
        <w:t>2026-09-01 21:15](https://www1.hkexnews.hk/listedco/listconews/sehk/2026/0901/2026090103625.pdf)</w:t>
      </w:r>
      <w:r>
        <w:rPr/>
        <w:t>；</w:t>
      </w:r>
      <w:r>
        <w:rPr/>
        <w:t>[9/29 16:45</w:t>
      </w:r>
      <w:r>
        <w:rPr/>
        <w:t>固定回报赎回补充</w:t>
      </w:r>
      <w:r>
        <w:rPr/>
        <w:t>](https://www1.hkexnews.hk/listedco/listconews/sehk/2026/0929/2026092900620.pdf)</w:t>
      </w:r>
      <w:r>
        <w:rPr/>
        <w:t>；</w:t>
      </w:r>
      <w:r>
        <w:rPr/>
        <w:t>[9/23 22:29</w:t>
      </w:r>
      <w:r>
        <w:rPr/>
        <w:t>股东批准</w:t>
      </w:r>
      <w:r>
        <w:rPr/>
        <w:t>](https://www1.hkexnews.hk/listedco/listconews/sehk/2026/0923/2026092301759.pdf)</w:t>
      </w:r>
      <w:r>
        <w:rPr/>
        <w:t>。批准非全部投产。</w:t>
      </w:r>
    </w:p>
    <w:p>
      <w:pPr>
        <w:pStyle w:val="Normal"/>
        <w:rPr/>
      </w:pPr>
      <w:r>
        <w:rPr/>
        <w:t>- [9/4 17:19</w:t>
      </w:r>
      <w:r>
        <w:rPr/>
        <w:t>募集用途通函</w:t>
      </w:r>
      <w:r>
        <w:rPr/>
        <w:t>](https://www1.hkexnews.hk/listedco/listconews/sehk/2026/0904/2026090401194.pdf)</w:t>
      </w:r>
      <w:r>
        <w:rPr/>
        <w:t>；</w:t>
      </w:r>
      <w:r>
        <w:rPr/>
        <w:t>[10/8 17:54</w:t>
      </w:r>
      <w:r>
        <w:rPr/>
        <w:t>专户协议</w:t>
      </w:r>
      <w:r>
        <w:rPr/>
        <w:t>](https://www1.hkexnews.hk/listedco/listconews/sehk/2026/1008/2026100800763_c.pdf)</w:t>
      </w:r>
      <w:r>
        <w:rPr/>
        <w:t>。旧</w:t>
      </w:r>
      <w:r>
        <w:rPr/>
        <w:t>2023</w:t>
      </w:r>
      <w:r>
        <w:rPr/>
        <w:t>募集余额用途，不是</w:t>
      </w:r>
      <w:r>
        <w:rPr/>
        <w:t>2026</w:t>
      </w:r>
      <w:r>
        <w:rPr/>
        <w:t>新配套到账。</w:t>
      </w:r>
    </w:p>
    <w:p>
      <w:pPr>
        <w:pStyle w:val="Normal"/>
        <w:rPr/>
      </w:pPr>
      <w:r>
        <w:rPr/>
        <w:t>- [10/8 17:47</w:t>
      </w:r>
      <w:r>
        <w:rPr/>
        <w:t>母集团股权调整</w:t>
      </w:r>
      <w:r>
        <w:rPr/>
        <w:t>](https://www1.hkexnews.hk/listedco/listconews/sehk/2026/1008/2026100800745_c.pdf)</w:t>
      </w:r>
      <w:r>
        <w:rPr/>
        <w:t>。无上市股数变动，不把母增资加上市现金。</w:t>
      </w:r>
    </w:p>
    <w:p>
      <w:pPr>
        <w:pStyle w:val="Normal"/>
        <w:rPr/>
      </w:pPr>
      <w:r>
        <w:rPr/>
        <w:t>- [9/29 16:30</w:t>
      </w:r>
      <w:r>
        <w:rPr/>
        <w:t>拟期权方案</w:t>
      </w:r>
      <w:r>
        <w:rPr/>
        <w:t>](https://www1.hkexnews.hk/listedco/listconews/sehk/2026/0929/2026092900366.pdf)</w:t>
      </w:r>
      <w:r>
        <w:rPr/>
        <w:t>；</w:t>
      </w:r>
      <w:r>
        <w:rPr/>
        <w:t>[6/3 20:36</w:t>
      </w:r>
      <w:r>
        <w:rPr/>
        <w:t>改名</w:t>
      </w:r>
      <w:r>
        <w:rPr/>
        <w:t>](https://www1.hkexnews.hk/listedco/listconews/sehk/2026/0603/2026060302470.pdf)</w:t>
      </w:r>
      <w:r>
        <w:rPr/>
        <w:t>。拟</w:t>
      </w:r>
      <w:r>
        <w:rPr/>
        <w:t>10/22</w:t>
      </w:r>
      <w:r>
        <w:rPr/>
        <w:t>会议未回填。</w:t>
      </w:r>
    </w:p>
    <w:p>
      <w:pPr>
        <w:pStyle w:val="Normal"/>
        <w:rPr/>
      </w:pPr>
      <w:r>
        <w:rPr/>
        <w:t xml:space="preserve">- </w:t>
      </w:r>
      <w:r>
        <w:rPr/>
        <w:t>机构日期目标评级期限链接见</w:t>
      </w:r>
      <w:r>
        <w:rPr/>
        <w:t>data/huahong_model.json</w:t>
      </w:r>
      <w:r>
        <w:rPr/>
        <w:t>：高盛最新正文</w:t>
      </w:r>
      <w:r>
        <w:rPr/>
        <w:t>12</w:t>
      </w:r>
      <w:r>
        <w:rPr/>
        <w:t>个月，其余公开目标期未明；原始研报未取得，新闻转述，中银单列。</w:t>
      </w:r>
    </w:p>
    <w:p>
      <w:pPr>
        <w:pStyle w:val="Normal"/>
        <w:rPr/>
      </w:pPr>
      <w:r>
        <w:rPr/>
        <w:t xml:space="preserve">- </w:t>
      </w:r>
      <w:r>
        <w:rPr/>
        <w:t>行情锁定</w:t>
      </w:r>
      <w:r>
        <w:rPr/>
        <w:t>data/market_snapshot_locked.json S081</w:t>
      </w:r>
      <w:r>
        <w:rPr/>
        <w:t>：</w:t>
      </w:r>
      <w:r>
        <w:rPr/>
        <w:t>739</w:t>
      </w:r>
      <w:r>
        <w:rPr/>
        <w:t>日</w:t>
      </w:r>
      <w:r>
        <w:rPr/>
        <w:t>157</w:t>
      </w:r>
      <w:r>
        <w:rPr/>
        <w:t>周、基准归一复权、股数单位，</w:t>
      </w:r>
      <w:r>
        <w:rPr/>
        <w:t>Yahoo/Tencent</w:t>
      </w:r>
      <w:r>
        <w:rPr/>
        <w:t>历史与</w:t>
      </w:r>
      <w:r>
        <w:rPr/>
        <w:t>Tencent/Sina</w:t>
      </w:r>
      <w:r>
        <w:rPr/>
        <w:t>收盘交叉，无</w:t>
      </w:r>
      <w:r>
        <w:rPr/>
        <w:t>250</w:t>
      </w:r>
      <w:r>
        <w:rPr/>
        <w:t>周</w:t>
      </w:r>
      <w:r>
        <w:rPr/>
        <w:t>/</w:t>
      </w:r>
      <w:r>
        <w:rPr/>
        <w:t>逐笔缺口不填造。</w:t>
      </w:r>
    </w:p>
    <w:p>
      <w:pPr>
        <w:pStyle w:val="Normal"/>
        <w:rPr/>
      </w:pPr>
      <w:r>
        <w:rPr/>
        <w:t xml:space="preserve">- </w:t>
      </w:r>
      <w:r>
        <w:rPr/>
        <w:t>活动模型</w:t>
      </w:r>
      <w:r>
        <w:rPr/>
        <w:t>data/huahong_model.json</w:t>
      </w:r>
      <w:r>
        <w:rPr/>
        <w:t>，独立</w:t>
      </w:r>
      <w:r>
        <w:rPr/>
        <w:t>qa/huahong_qa.json</w:t>
      </w:r>
      <w:r>
        <w:rPr/>
        <w:t>；复算两产权桶、亏损税、归属、留存积分、资本现金、</w:t>
      </w:r>
      <w:r>
        <w:rPr/>
        <w:t>15</w:t>
      </w:r>
      <w:r>
        <w:rPr/>
        <w:t>组</w:t>
      </w:r>
      <w:r>
        <w:rPr/>
        <w:t>PB</w:t>
      </w:r>
      <w:r>
        <w:rPr/>
        <w:t>价格、四评分及字数。最终</w:t>
      </w:r>
      <w:r>
        <w:rPr/>
        <w:t>Word/PDF</w:t>
      </w:r>
      <w:r>
        <w:rPr/>
        <w:t>视觉及跨表数一致由根集成核验。</w:t>
      </w:r>
      <w:r>
        <w:br w:type="page"/>
      </w:r>
    </w:p>
    <w:p>
      <w:pPr>
        <w:pStyle w:val="Heading1"/>
        <w:rPr/>
      </w:pPr>
      <w:bookmarkStart w:id="2" w:name="__RefHeading___Toc38180_1364803659"/>
      <w:bookmarkEnd w:id="2"/>
      <w:r>
        <w:rPr>
          <w:color w:val="000000"/>
        </w:rPr>
        <w:t xml:space="preserve">京东集团 </w:t>
      </w:r>
      <w:r>
        <w:rPr>
          <w:color w:val="000000"/>
        </w:rPr>
        <w:t>SW 09618 HK</w:t>
      </w:r>
    </w:p>
    <w:p>
      <w:pPr>
        <w:pStyle w:val="Normal"/>
        <w:rPr/>
      </w:pPr>
      <w:r>
        <w:rPr/>
        <w:t xml:space="preserve">09618.HK </w:t>
      </w:r>
      <w:r>
        <w:rPr/>
        <w:t xml:space="preserve">现价 </w:t>
      </w:r>
      <w:r>
        <w:rPr/>
        <w:t>105.60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155.71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+47.45%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+47.45%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68.50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169.05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+60.09%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+63.87%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312.81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+196.22%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+209.48%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423.34</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+300.89%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+326.46%</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49.48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-53.14%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132.01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260.78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+146.95%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143.57HKD</w:t>
      </w:r>
      <w:r>
        <w:rPr/>
        <w:t>，期望股价回报</w:t>
      </w:r>
      <w:r>
        <w:rPr/>
        <w:t>+35.96%</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51.69</w:t>
              <w:br/>
              <w:t>-51.05%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155.71</w:t>
              <w:br/>
              <w:t>+47.45%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335.00</w:t>
              <w:br/>
              <w:t>+217.23%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49.90</w:t>
              <w:br/>
              <w:t>-52.75%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169.05</w:t>
              <w:br/>
              <w:t>+60.09%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393.11</w:t>
              <w:br/>
              <w:t>+272.26%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48.26</w:t>
              <w:br/>
              <w:t>-54.30%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312.81</w:t>
              <w:br/>
              <w:t>+196.22%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722.92</w:t>
              <w:br/>
              <w:t>+584.58%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+45.73%</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54.23</w:t>
              <w:br/>
              <w:t>-48.65%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423.34</w:t>
              <w:br/>
              <w:t>+300.89%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1,050.19</w:t>
              <w:br/>
              <w:t>+894.50%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+33.65%</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financial</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高，公司原件；季度未审计与年报审计分开</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量价</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高，锁定双源复权日线</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估值</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中，资本配置与新业务亏损路径敏感</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broker</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中，公开转述非原始研报</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+40.08%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+47.45%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+54.83%</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+55.68%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+63.87%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+72.07%</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+194.01%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+209.48%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+224.95%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+305.14%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+326.46%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+347.78%</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I070</w:t>
      </w:r>
      <w:r>
        <w:rPr/>
        <w:t>，证券</w:t>
      </w:r>
      <w:r>
        <w:rPr/>
        <w:t>S080</w:t>
      </w:r>
      <w:r>
        <w:rPr/>
        <w:t>，</w:t>
      </w:r>
      <w:r>
        <w:rPr/>
        <w:t>09618.HK</w:t>
      </w:r>
      <w:r>
        <w:rPr/>
        <w:t>；独立研究初版。价格及资料截止</w:t>
      </w:r>
      <w:r>
        <w:rPr/>
        <w:t>2026</w:t>
      </w:r>
      <w:r>
        <w:rPr/>
        <w:t>年</w:t>
      </w:r>
      <w:r>
        <w:rPr/>
        <w:t>10</w:t>
      </w:r>
      <w:r>
        <w:rPr/>
        <w:t>月</w:t>
      </w:r>
      <w:r>
        <w:rPr/>
        <w:t>9</w:t>
      </w:r>
      <w:r>
        <w:rPr/>
        <w:t>日，收盘</w:t>
      </w:r>
      <w:r>
        <w:rPr/>
        <w:t>105.60</w:t>
      </w:r>
      <w:r>
        <w:rPr/>
        <w:t>港元。每个</w:t>
      </w:r>
      <w:r>
        <w:rPr/>
        <w:t>ADS</w:t>
      </w:r>
      <w:r>
        <w:rPr/>
        <w:t>代表两股普通股，港股目标按普通股计算，京东集团不等同单独上市的京东健康或京东物流。本章有效正文排除结论卡、参数表与来源。</w:t>
      </w:r>
    </w:p>
    <w:p>
      <w:pPr>
        <w:pStyle w:val="Heading2"/>
        <w:rPr/>
      </w:pPr>
      <w:r>
        <w:rPr>
          <w:color w:val="000000"/>
        </w:rPr>
        <w:t>结论卡</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分数</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本章梯队</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乐观港元</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w:t>
            </w:r>
            <w:r>
              <w:rPr>
                <w:rFonts w:eastAsia="微软雅黑" w:ascii="微软雅黑" w:hAnsi="微软雅黑"/>
                <w:b/>
                <w:color w:val="FFFFFF"/>
                <w:sz w:val="17"/>
              </w:rPr>
              <w:t>/</w:t>
            </w:r>
            <w:r>
              <w:rPr>
                <w:rFonts w:ascii="微软雅黑" w:hAnsi="微软雅黑" w:eastAsia="微软雅黑"/>
                <w:b/>
                <w:color w:val="FFFFFF"/>
                <w:sz w:val="17"/>
              </w:rPr>
              <w:t>含息回报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观察转有条件进取</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51.69 / 155.71 / 335.00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47.45% / 47.45%</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有条件进取</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49.90 / 169.05 / 393.11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60.09% / 63.87%</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利润质量与成长观察</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48.26 / 312.81 / 722.92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196.22% / 209.48%</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长期供应链成长候选</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54.23 / 423.34 / 1050.19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300.89% / 326.46%</w:t>
            </w:r>
          </w:p>
        </w:tc>
      </w:tr>
    </w:tbl>
    <w:p>
      <w:pPr>
        <w:pStyle w:val="Normal"/>
        <w:rPr/>
      </w:pPr>
      <w:r>
        <w:rPr/>
      </w:r>
    </w:p>
    <w:p>
      <w:pPr>
        <w:pStyle w:val="Normal"/>
        <w:rPr/>
      </w:pPr>
      <w:r>
        <w:rPr/>
        <w:t>基准累计未来股息半年</w:t>
      </w:r>
      <w:r>
        <w:rPr/>
        <w:t>0</w:t>
      </w:r>
      <w:r>
        <w:rPr/>
        <w:t>、一年</w:t>
      </w:r>
      <w:r>
        <w:rPr/>
        <w:t>4</w:t>
      </w:r>
      <w:r>
        <w:rPr/>
        <w:t>、三年</w:t>
      </w:r>
      <w:r>
        <w:rPr/>
        <w:t>14</w:t>
      </w:r>
      <w:r>
        <w:rPr/>
        <w:t>、五年</w:t>
      </w:r>
      <w:r>
        <w:rPr/>
        <w:t>27</w:t>
      </w:r>
      <w:r>
        <w:rPr/>
        <w:t>港元，均为研究假设。三年、五年基准含息年化</w:t>
      </w:r>
      <w:r>
        <w:rPr/>
        <w:t>45.73%</w:t>
      </w:r>
      <w:r>
        <w:rPr/>
        <w:t>、</w:t>
      </w:r>
      <w:r>
        <w:rPr/>
        <w:t>33.65%</w:t>
      </w:r>
      <w:r>
        <w:rPr/>
        <w:t>。进取模型以零售利润、物流、持续新业务亏损和资本纪律为前提，未来可信度中，非确定收益。年底</w:t>
      </w:r>
      <w:r>
        <w:rPr/>
        <w:t>49.48/132.01/260.78</w:t>
      </w:r>
      <w:r>
        <w:rPr/>
        <w:t>港元，涨跌−</w:t>
      </w:r>
      <w:r>
        <w:rPr/>
        <w:t>53.14%/+25.01%/+146.95%</w:t>
      </w:r>
      <w:r>
        <w:rPr/>
        <w:t>；</w:t>
      </w:r>
      <w:r>
        <w:rPr/>
        <w:t>25%/50%/25%</w:t>
      </w:r>
      <w:r>
        <w:rPr/>
        <w:t>判断权重期望</w:t>
      </w:r>
      <w:r>
        <w:rPr/>
        <w:t>143.57</w:t>
      </w:r>
      <w:r>
        <w:rPr/>
        <w:t>港元、</w:t>
      </w:r>
      <w:r>
        <w:rPr/>
        <w:t>+35.96%</w:t>
      </w:r>
      <w:r>
        <w:rPr/>
        <w:t>。</w:t>
      </w:r>
    </w:p>
    <w:p>
      <w:pPr>
        <w:pStyle w:val="Normal"/>
        <w:rPr/>
      </w:pPr>
      <w:r>
        <w:rPr/>
        <w:t>主要风险：家电数码补贴高基数、零售价格竞争、即时业务亏损、欧洲及低价投入、供应商账期与库存、少数股东和股份激励。升级推荐需零售盈利保持、外卖和海外投资有纪律、现金改善可持续、技术反弹穿过较长均线。全名单共同梯队与名次由总表统一计算。</w:t>
      </w:r>
    </w:p>
    <w:p>
      <w:pPr>
        <w:pStyle w:val="Heading2"/>
        <w:rPr/>
      </w:pPr>
      <w:r>
        <w:rPr>
          <w:color w:val="000000"/>
        </w:rPr>
        <w:t>一 供应链能力与经营边界</w:t>
      </w:r>
    </w:p>
    <w:p>
      <w:pPr>
        <w:pStyle w:val="Normal"/>
        <w:rPr/>
      </w:pPr>
      <w:r>
        <w:rPr/>
        <w:t>京东的商业基础是把商品可信度、库存与交付服务连接起来。自营零售使公司能控制选品、售后和供应链，但也必须承担采购、库存、配送和消费者退款。它与主要收佣金的轻平台不同，收入规模很大、净利润率较低；一小部分商品毛利、费用率或库存损失变化，就能对股东利润产生较大影响。判断它是否低估，不能只拿总收入乘其他互联网公司的销售倍数，而应研究正常每股利润和现金创造。</w:t>
      </w:r>
    </w:p>
    <w:p>
      <w:pPr>
        <w:pStyle w:val="Normal"/>
        <w:rPr/>
      </w:pPr>
      <w:r>
        <w:rPr/>
        <w:t>京东零售包括京东健康与京东工业，京东物流另为报告分部，新业务包含外卖、京喜、物业及海外。集团持有上市子公司，合并报表会记录全部收入、再扣少数股东应占利润。若集团模型已经包含零售的健康盈利和物流盈利，再把两家上市市值全加回，容易重复计价。公司间物流交易还要抵消收入，但不是简单删除物流全部利润。本章以真实分部经营结果作为桥，归属比例保留少数股东影响。</w:t>
      </w:r>
    </w:p>
    <w:p>
      <w:pPr>
        <w:pStyle w:val="Normal"/>
        <w:rPr/>
      </w:pPr>
      <w:r>
        <w:rPr/>
        <w:t>自营商品模式的优势之一是消费者愿意为可信货品与可靠售后支付部分溢价。数码、家电、健康产品的真伪和服务难度较高，有利于形成稳定选择；价格比较又非常容易，溢价不能无限提高。品牌与消费者之间的责任要求公司持续投入客户服务。若只靠降价扩展需求，毛利可能被压缩；若提价导致用户流向其他平台，库存周转可能变慢。供应链规模的价值必须同时体现在采购条件与消费者留存，而非只有采购量。</w:t>
      </w:r>
    </w:p>
    <w:p>
      <w:pPr>
        <w:pStyle w:val="Normal"/>
        <w:rPr/>
      </w:pPr>
      <w:r>
        <w:rPr/>
        <w:t>电子与家电是京东的传统强项，也因此更暴露于消费补贴和产品周期。以旧换新能够提前推动购买，下一年的比较基数会变高；并不代表之后需求永久消失，却可能造成季度波动。上半年这一类收入下降，正是需要拆开品类的原因。手机新功能、内存与零件涨价、家电更新周期会改变售价和数量。较高商品价格可能提高名义销售额，也可能抑制购买。本章不会把补贴高峰利润当正常年度利润。</w:t>
      </w:r>
    </w:p>
    <w:p>
      <w:pPr>
        <w:pStyle w:val="Normal"/>
        <w:rPr/>
      </w:pPr>
      <w:r>
        <w:rPr/>
        <w:t>一般商品扩大可以降低家电数码的单一依赖。超市、服装、健康、家庭日用品等高频需求，能够提高用户访问和交付网络使用，但每个品类的竞争与退货不同。服饰有尺码退换和品牌渠道关系，生鲜有损耗，快消有低毛利。公司半年一般商品增长与数码家电下降并存，说明转型在收入上有作用，却不自动证明所有品类同样赚钱。研究采用整体零售经营率，保留品类组合改善的空间和失败风险。</w:t>
      </w:r>
    </w:p>
    <w:p>
      <w:pPr>
        <w:pStyle w:val="Normal"/>
        <w:rPr/>
      </w:pPr>
      <w:r>
        <w:rPr/>
        <w:t>平台与营销业务毛利通常较高，可以提高混合利润率。更多第三方供给丰富选择，减少自营库存资本；但平台需要治理商户质量，交易若大量变成低质量供给，京东的可信品牌可能受损。付费营销要让商户得到真正的成交和复购，广告收费过快增长可能提高商户成本。上半年平台营销服务增幅优于自营商品，这有助于利润，但仍需验证长期付费价值。收入转向高毛利业务不应以损害用户体验为代价。</w:t>
      </w:r>
    </w:p>
    <w:p>
      <w:pPr>
        <w:pStyle w:val="Normal"/>
        <w:rPr/>
      </w:pPr>
      <w:r>
        <w:rPr/>
        <w:t>品牌合作体现平台试图增加高质量供给。季度结果披露香奈儿官方旗舰和</w:t>
      </w:r>
      <w:r>
        <w:rPr/>
        <w:t>Costco</w:t>
      </w:r>
      <w:r>
        <w:rPr/>
        <w:t>合作，能扩充用户购买理由，但不能把单个合作公告等同一项已知利润。品牌通常要求渠道控制、服务与运营支持，合作产生的费用也要支付。部分品牌促销高增长可能来自小基数或阶段活动，不能当集团全年增长。研究关注供给是否带来持续新用户和更好的组合，同时不为每个知名品牌单独加估值，以避免营销新闻替代财务证据。</w:t>
      </w:r>
    </w:p>
    <w:p>
      <w:pPr>
        <w:pStyle w:val="Normal"/>
        <w:rPr/>
      </w:pPr>
      <w:r>
        <w:rPr/>
        <w:t>线下京东</w:t>
      </w:r>
      <w:r>
        <w:rPr/>
        <w:t>MALL</w:t>
      </w:r>
      <w:r>
        <w:rPr/>
        <w:t>让消费者现场体验与获得安装售后，可能增强家电及高价值商品转化。实体空间需要租金、设备、员工和店内库存，投资性质与纯线上流量不同。季度披露门店数量说明扩张节奏，尚不能核算每店回报。实体网络若与既有物流与售后共享可以创造协同，若各店利用不足则会成为固定成本。估值桥的经营率保留常态租赁和折旧，资本现金也通过现金流检验，不假设线下门店天然轻资产。</w:t>
      </w:r>
    </w:p>
    <w:p>
      <w:pPr>
        <w:pStyle w:val="Normal"/>
        <w:rPr/>
      </w:pPr>
      <w:r>
        <w:rPr/>
        <w:t>京东物流既支撑自营，又对外服务。对外一体化供应链客户能提高网络利用率，并减少对集团内部流量的依赖；网络规模扩大仍可能增加仓储、车辆、人力和资本开支。内部收入在合并时抵消，外部收入真实增加才贡献集团新增规模。季度物流增长较快，其中还有即时配送业务重分类的影响，不能从增速直接推导全为有机客户增长。盈利率和客户合同质量、资本使用比单一收入增速更重要。</w:t>
      </w:r>
    </w:p>
    <w:p>
      <w:pPr>
        <w:pStyle w:val="Normal"/>
        <w:rPr/>
      </w:pPr>
      <w:r>
        <w:rPr/>
        <w:t>物流一体化能力适用于需要库存管理、仓配、售后和安装的大型客户，这类合同有一定转换成本，也可能被客户议价压低回报。规模越大固定设施越多，低利用率时费用无法同步下降。外部客户高增长如果来自低价合同，利润率可能恶化。第二季度物流经营率比前年同期下降，提示收入和盈利并非同一方向。模型给予逐步而非立即高利润率的路径，要求其现金贡献穿越旺季与淡季，不能复制软件服务的利润水平。</w:t>
      </w:r>
    </w:p>
    <w:p>
      <w:pPr>
        <w:pStyle w:val="Normal"/>
        <w:rPr/>
      </w:pPr>
      <w:r>
        <w:rPr/>
        <w:t>即时配送业务自二零二六年部分转向物流对第三方商户直接服务，改变了内部与外部收入归属。新业务外部配送收入因此下降，物流外部相应增加，交易服务的经济活动不一定消失。会计展示变化让新业务收入同比降幅不能直接当作客户流失或外卖订单下降。公司结果说明了这项调整，本章明确保留说明，未来模型收入与费用的比较需按可比结构。未取得完整重列订单数据时，不构造精确市占变化。</w:t>
      </w:r>
    </w:p>
    <w:p>
      <w:pPr>
        <w:pStyle w:val="Normal"/>
        <w:rPr/>
      </w:pPr>
      <w:r>
        <w:rPr/>
        <w:t>京东外卖可以提高打开京东应用的频率，也可能给健康、生鲜和日用品带来用户。它进入的是已有高密度网络和竞争者的市场，新平台需要商户、骑手、调度与售后能力共同建设。用户在补贴期参与未必能长期留存，餐饮订单增长是否促进其他商品购买也需要证据。新业务亏损下降值得重视，却不能把它全部加回称为“真实京东利润”。公司选择继续投入，即是股东现金的现实使用，本章预测中保留持续亏损。</w:t>
      </w:r>
    </w:p>
    <w:p>
      <w:pPr>
        <w:pStyle w:val="Normal"/>
        <w:rPr/>
      </w:pPr>
      <w:r>
        <w:rPr/>
        <w:t>京喜服务低价市场，需要在价格敏感与供给可信之间找到平衡。若低价商品吸引增量消费者而共享既有履约，可能扩大密度和品牌覆盖；若原有购买者转向更低利润商品，组合改善会被抵消。与极端低价平台竞争可能要求更低配送成本，京东已有服务标准未必能够在所有订单上降到同样水平。估值模型不预设低价业务没有成本，也不将它作为与核心分部无关的纯期权。需要追踪单位补贴、退货和复购质量。</w:t>
      </w:r>
    </w:p>
    <w:p>
      <w:pPr>
        <w:pStyle w:val="Normal"/>
        <w:rPr/>
      </w:pPr>
      <w:r>
        <w:rPr/>
        <w:t>欧洲</w:t>
      </w:r>
      <w:r>
        <w:rPr/>
        <w:t>Joybuy</w:t>
      </w:r>
      <w:r>
        <w:rPr/>
        <w:t>试图提供更可信的商品和快捷配送，可以把采购与运营能力迁移到消费力较高的市场。当地商品、税务、隐私、雇佣和售后制度与国内不同，仓网前期利用低。较高客单价只是盈利条件之一，不能抵消全部人工和履约成本。季度结果只支持投资仍在推进，尚不能支持统一的长期海外净利率。模型把欧洲投入放在新业务亏损路径内，没有在集团利润之外再加一份完整国际市场估值。</w:t>
      </w:r>
    </w:p>
    <w:p>
      <w:pPr>
        <w:pStyle w:val="Normal"/>
        <w:rPr/>
      </w:pPr>
      <w:r>
        <w:rPr/>
        <w:t>海外零售也面对本地及国际平台的强竞争。物流速度、价格和货品真实性需要同时满足，单一“国内经验”并不能自动获得当地消费者信任。欧洲退款、保修、跨境税与包装回收等责任会提高运营复杂度。长期成功要靠成熟仓区的订单密度与毛利足以支付固定网络，而不是覆盖国家越多越好。若新增国家需持续投入却没有成熟区域现金，集团未来股息和回购能力会下降，本章悲观假设保留这一可能。</w:t>
      </w:r>
    </w:p>
    <w:p>
      <w:pPr>
        <w:pStyle w:val="Normal"/>
        <w:rPr/>
      </w:pPr>
      <w:r>
        <w:rPr/>
        <w:t>京东健康的药品零售、医疗服务与供应链是集团零售的一部分，不能把医药需求高增长全部外推到集团利润。处方审核、药品储存、配送和医生服务需要合规与品质成本，医保和健康政策影响服务收费。公司结果披露线下健康中心和医疗</w:t>
      </w:r>
      <w:r>
        <w:rPr/>
        <w:t>AI</w:t>
      </w:r>
      <w:r>
        <w:rPr/>
        <w:t>应用，但项目收入未提供精确独立拆分。研究不凭医疗场景给集团套创新药研发估值，也不将上市健康公司的全部现金和市值重复叠加。独立健康证券会使用另外的发行人模型。</w:t>
      </w:r>
    </w:p>
    <w:p>
      <w:pPr>
        <w:pStyle w:val="Normal"/>
        <w:rPr/>
      </w:pPr>
      <w:r>
        <w:rPr/>
        <w:t>京东工业面向企业采购，客户重视供给标准、履约和效率。</w:t>
      </w:r>
      <w:r>
        <w:rPr/>
        <w:t>AI</w:t>
      </w:r>
      <w:r>
        <w:rPr/>
        <w:t>产品比较和采购助手可以减少选型成本，但工业采购订单与消费者购买不同，信用、账期和定制要求更复杂。它可能提升集团供应链服务的价值，也带来应收管理需求。相关盈利已经在零售分部，本章不另外资本化每个</w:t>
      </w:r>
      <w:r>
        <w:rPr/>
        <w:t>AI</w:t>
      </w:r>
      <w:r>
        <w:rPr/>
        <w:t>代理的价值。需要将增长落到客户复购、服务费、毛利和现金收回，避免把企业数或工具数量作为未来净利的直接代理。</w:t>
      </w:r>
    </w:p>
    <w:p>
      <w:pPr>
        <w:pStyle w:val="Normal"/>
        <w:rPr/>
      </w:pPr>
      <w:r>
        <w:rPr/>
        <w:t>宏观消费对京东影响通过品类和价格发挥作用。居民收入预期改善可能支持大件更新，住房与搬迁也影响家电需求；经济弱时日用品仍消费但对价格更加敏感。公司传统强项带来高基数敏感度，一般商品与服务可以缓冲，尚不能完全取消周期。本章行业评分没有给满分，长期收入也不设每年高速增长。合理投资逻辑是经营质量改善和资本回报，而不是无限押注所有消费同时恢复。</w:t>
      </w:r>
    </w:p>
    <w:p>
      <w:pPr>
        <w:pStyle w:val="Normal"/>
        <w:rPr/>
      </w:pPr>
      <w:r>
        <w:rPr/>
        <w:t>补贴计划需要分别考察财政支持、覆盖品类和购买时点。补贴可以带动首购或提前换新，也可能提高消费者对优惠的等待，结束后形成需求空档。对公司而言，补贴系统还涉及商户结算和采购准备，能改变营运资金。二季度家电数码下降不能只归咎公司竞争力，也不能只用高基数解释所有问题。新的主源数据应核正常需求与补贴驱动份额，本章对未来增长设分情景，不补造未公开的补贴金额与总市场占比。</w:t>
      </w:r>
    </w:p>
    <w:p>
      <w:pPr>
        <w:pStyle w:val="Normal"/>
        <w:rPr/>
      </w:pPr>
      <w:r>
        <w:rPr/>
        <w:t>利率变化影响庞大财资收益和融资费用。降低借款利率可以帮助债务成本，却也会降低现金与短期投资收入。集团结果其他收益内有利息和投资价格变动，经营桥只保留有限正常净财资与联营收益，不采用当期全部收益作为永续利润。人民币换港币为一点一的研究假设，不能混淆公司海外收入与资金币种的完整风险。汇率对港股本币目标和人民币投资者回报分别处理，避免重复计算币值影响。</w:t>
      </w:r>
    </w:p>
    <w:p>
      <w:pPr>
        <w:pStyle w:val="Normal"/>
        <w:rPr/>
      </w:pPr>
      <w:r>
        <w:rPr/>
        <w:t>竞争格局同时涉及平台、供应链和内容入口。阿里、拼多多与短视频平台可以带来不同流量和供给，美团在即时需求有优势；京东需要用可信商品、履约和客户服务维持复购。</w:t>
      </w:r>
      <w:r>
        <w:rPr/>
        <w:t>AI</w:t>
      </w:r>
      <w:r>
        <w:rPr/>
        <w:t>可能降低商品搜索成本，使平台入口更分散，也可能扩大京东后端执行价值。是否受益取决于客户关系、库存数据和实际结算掌握，而不是使用了某个模型。研究将</w:t>
      </w:r>
      <w:r>
        <w:rPr/>
        <w:t>AI</w:t>
      </w:r>
      <w:r>
        <w:rPr/>
        <w:t>效果放在收入组合、常态费用和经营率验证，不另加没有披露现金流的技术估值。</w:t>
      </w:r>
    </w:p>
    <w:p>
      <w:pPr>
        <w:pStyle w:val="Heading2"/>
        <w:rPr/>
      </w:pPr>
      <w:r>
        <w:rPr>
          <w:color w:val="000000"/>
        </w:rPr>
        <w:t>二 盈利质量 现金与资本纪律</w:t>
      </w:r>
    </w:p>
    <w:p>
      <w:pPr>
        <w:pStyle w:val="Normal"/>
        <w:rPr/>
      </w:pPr>
      <w:r>
        <w:rPr/>
        <w:t>审计年报收入二零二三年一万零八百四十六点六二亿元、二零二四年一万一千五百八十八点一九亿元、二零二五年一万三千零九十点八五亿元。收入持续增加，归母利润却从二百四十一点六七、四百一十三点五九降到一百九十六点三一亿元。总量增长并不保证股东收益，特别是公司主动投资即时和国际业务。这里需要确认哪些是成熟业务能力，哪些是管理层选择支出的资本，而不能简单把亏损项目视为永远可随意删除。</w:t>
      </w:r>
    </w:p>
    <w:p>
      <w:pPr>
        <w:pStyle w:val="Normal"/>
        <w:rPr/>
      </w:pPr>
      <w:r>
        <w:rPr/>
        <w:t>二零二五年零售分部收入一万一千二百六十三点九九亿元、经营利润五百一十四点零二亿元，均有可观增长，但集团经营利润仅二十七点七四亿元。新业务和企业层费用消耗了很大部分核心能力。集团当年税前收益还受到联营和其他净收益支持，归母利润并不等同零售利润扣外卖。研究使用三分部桥并加入正常企业费、税率、少数股东及有限非经营收益，确保得到可解释的普通股每股利润，而不以零售利润直接除集团股数。</w:t>
      </w:r>
    </w:p>
    <w:p>
      <w:pPr>
        <w:pStyle w:val="Normal"/>
        <w:rPr/>
      </w:pPr>
      <w:r>
        <w:rPr/>
        <w:t>上半年收入六千六百二十点九五亿元，同比增长百分之零点七，归母一百二十二点三一亿元，比去年同期一百七十点六八亿元下降。二季度收入三千四百六十四点零一亿元，降百分之二点九，归母七十一点二九亿元却同比提高。两者说明利润恢复在单季出现，而年度状态仍受此前费用与收入结构影响。不能说公司二季度改善就半年全部恢复，也不应因收入下降忽略费用节约。持续变化需要更多季度而非只选择有利窗口。</w:t>
      </w:r>
    </w:p>
    <w:p>
      <w:pPr>
        <w:pStyle w:val="Normal"/>
        <w:rPr/>
      </w:pPr>
      <w:r>
        <w:rPr/>
        <w:t>零售半年收入五千六百三十九点七一亿元、经营利润二百八十四点三八亿元，经营率约百分之五；二季度四点六。半年较高率不应直接全年化，因为促销、季节与品类组合不同。物流半年收入一千二百四十六点八三亿元、利润三十二点八三亿元；新业务收入一百三十五点三九亿元、亏损二百零二点零六亿元。后者亏损超过收入，部分因为费用承载与收入重分类，不能简单解释成每一元订单都亏一元多。</w:t>
      </w:r>
    </w:p>
    <w:p>
      <w:pPr>
        <w:pStyle w:val="Normal"/>
        <w:rPr/>
      </w:pPr>
      <w:r>
        <w:rPr/>
        <w:t>新业务二季度亏损九十八点五四亿元，去年同期一百四十七点七七亿元，确有收窄，但半年比去年亏损一百六十一点零四亿元更大。季节变化和外卖推出后不同阶段使比较复杂。公司结果没有独立披露本章能核算的精确外卖每单利润或海外季度净利，新闻中的外卖亏六十亿元仅机构估算。新业务还包含物业收益，不能把分部亏损全部归外卖，再用另一条海外利润重复扣减。模型直接保留分部正常亏损路径。</w:t>
      </w:r>
    </w:p>
    <w:p>
      <w:pPr>
        <w:pStyle w:val="Normal"/>
        <w:rPr/>
      </w:pPr>
      <w:r>
        <w:rPr/>
        <w:t>集团半年法定经营利润八十三点五四亿元，联营收益四十一点八七亿元、利息费用十三点九四亿元、其他净收益六十六点零二亿元，使税前收益达到一百七十七点四九亿元。少数股东获利二十二点八六亿元也需扣除。法定归母一百二十二点三一亿元不能由经营利润直接解释，投资与财资对它影响明显。预测应正常化这部分，不把当期市场价格收益或资产销售反复写入未来盈利。集团净利与归母净利在这里差距有实际意义。</w:t>
      </w:r>
    </w:p>
    <w:p>
      <w:pPr>
        <w:pStyle w:val="Normal"/>
        <w:rPr/>
      </w:pPr>
      <w:r>
        <w:rPr/>
        <w:t>Non-GAAP</w:t>
      </w:r>
      <w:r>
        <w:rPr/>
        <w:t>半年归母一百六十三点零九亿元、每普通股五点七零元，法定摊薄每股四点二七。二季度对应八十九点三零亿元、三点一四元和法定二点五一。每</w:t>
      </w:r>
      <w:r>
        <w:rPr/>
        <w:t>ADS</w:t>
      </w:r>
      <w:r>
        <w:rPr/>
        <w:t>的六点二九不是港股每股盈利，</w:t>
      </w:r>
      <w:r>
        <w:rPr/>
        <w:t>ADS</w:t>
      </w:r>
      <w:r>
        <w:rPr/>
        <w:t>代表两股且披露四舍五入，不能先用</w:t>
      </w:r>
      <w:r>
        <w:rPr/>
        <w:t>ADS</w:t>
      </w:r>
      <w:r>
        <w:rPr/>
        <w:t>金额再按普通股价计算。调整项目包含股份支付、收购无形摊销、业务合作、部分投资变化、减值、物业销售及税效。它是补充经营尺度，不等于可以无条件兑现的现金。</w:t>
      </w:r>
    </w:p>
    <w:p>
      <w:pPr>
        <w:pStyle w:val="Normal"/>
        <w:rPr/>
      </w:pPr>
      <w:r>
        <w:rPr/>
        <w:t>股份支付半年十九点七九亿元，比去年二十四点二四亿元低，全年审计二零二五年四十七点二六亿元。非现金并不等于无成本，未来权益可能稀释，回购抵消则需要现金。模型常态成本保留股份激励，未来摊薄股数按情景变化。公司通过回购减少股份，能提高每股回报，但需要比较授予和注销而不只看回购额。若回购大部分抵消奖励，总公司利润增长仍可能不带来同样幅度的每股增长。</w:t>
      </w:r>
    </w:p>
    <w:p>
      <w:pPr>
        <w:pStyle w:val="Normal"/>
        <w:rPr/>
      </w:pPr>
      <w:r>
        <w:rPr/>
        <w:t>京东使用美国</w:t>
      </w:r>
      <w:r>
        <w:rPr/>
        <w:t>GAAP</w:t>
      </w:r>
      <w:r>
        <w:rPr/>
        <w:t>，经营租赁现金通常已进入经营现金流；年报二零二五年经营租赁现金一百点一二亿元。不能像某些</w:t>
      </w:r>
      <w:r>
        <w:rPr/>
        <w:t>IFRS</w:t>
      </w:r>
      <w:r>
        <w:rPr/>
        <w:t>研究代理那样在经营现金流后再扣同一笔租赁现金，形成重复扣减。另一方面</w:t>
      </w:r>
      <w:r>
        <w:rPr/>
        <w:t>Non-GAAP EBITDA</w:t>
      </w:r>
      <w:r>
        <w:rPr/>
        <w:t>也不能忽略设备与仓网更新。研究明确区分利润费用和现金资本，保留公司官方</w:t>
      </w:r>
      <w:r>
        <w:rPr/>
        <w:t>FCF</w:t>
      </w:r>
      <w:r>
        <w:rPr/>
        <w:t>定义并另解释其中物业与消费者融资调整，不机械将不同会计框架企业的</w:t>
      </w:r>
      <w:r>
        <w:rPr/>
        <w:t>FCF</w:t>
      </w:r>
      <w:r>
        <w:rPr/>
        <w:t>放同一栏排名而不做口径说明。</w:t>
      </w:r>
    </w:p>
    <w:p>
      <w:pPr>
        <w:pStyle w:val="Normal"/>
        <w:rPr/>
      </w:pPr>
      <w:r>
        <w:rPr/>
        <w:t>半年经营现金流三百八十二点七三亿元，二季度三百七十七点一八亿元，几乎全部集中在季度促销期。去年同期半年六十一点四七亿元，改善幅度很大，但购物节采购和应付、用户预付时点影响突出。供应链零售可以先支付较少资金再结算采购，形成现金优势，却不能把账期扩张永久作为利润。应该核下一季现金是否回流、库存与应付如何变化，本章现金流可信度高于预测，但现金恢复持续性的判断仍是中等。</w:t>
      </w:r>
    </w:p>
    <w:p>
      <w:pPr>
        <w:pStyle w:val="Normal"/>
        <w:rPr/>
      </w:pPr>
      <w:r>
        <w:rPr/>
        <w:t>官方自由现金流半年二百五十三点五四亿元，经经营现金扣消费者融资影响二十三点三六亿元和净资本现金一百零五点八三亿元。净资本现金中开发物业六十点一五亿元、其他四十五点六八亿元，已扣相关售出所得。定义并非所有投资、回购和收购后的剩余现金，也不是一笔可立即全部分红的金额。消费者融资与物业开发变化有非主营零售影响，研究保持原始口径，避免以调整</w:t>
      </w:r>
      <w:r>
        <w:rPr/>
        <w:t>FCF</w:t>
      </w:r>
      <w:r>
        <w:rPr/>
        <w:t>简单宣称业务产生等额新增自由资金。</w:t>
      </w:r>
    </w:p>
    <w:p>
      <w:pPr>
        <w:pStyle w:val="Normal"/>
        <w:rPr/>
      </w:pPr>
      <w:r>
        <w:rPr/>
        <w:t>过去十二个月官方</w:t>
      </w:r>
      <w:r>
        <w:rPr/>
        <w:t>FCF</w:t>
      </w:r>
      <w:r>
        <w:rPr/>
        <w:t>三百一十四点一五亿元、经营现金五百一十一点一七亿元，强于二零二五全年</w:t>
      </w:r>
      <w:r>
        <w:rPr/>
        <w:t>FCF</w:t>
      </w:r>
      <w:r>
        <w:rPr/>
        <w:t>六十四点七六亿元、经营现金一百八十九点九一亿元。滚动指标与年度指标的起止期间不同，不能同称二零二六盈利已经翻倍。过去十二月仍含不同购物季与补贴阶段，现金改善需要穿越下一轮采购。模型基准假设盈利正常化逐步展开，而没有按最新单季现金四倍把净资金另加到目标价。</w:t>
      </w:r>
    </w:p>
    <w:p>
      <w:pPr>
        <w:pStyle w:val="Normal"/>
        <w:rPr/>
      </w:pPr>
      <w:r>
        <w:rPr/>
        <w:t>六月末现金八百九十点六八亿元、短期投资一千三百二十五点九四亿元、受限现金一百三十三点九六亿元。现金与投资合计看似巨大，却还需银行借款和票据债六百九十八点九二亿元、租赁负债三百五十四点一六亿元。排除受限现金后，现金加短投减银行票据约一千五百一十七点七零亿元，这是集团研究流动资金代理，不等于全部归母可分配资金。子公司现金与少数股东、经营采购和资金限制使全额加回不合理。</w:t>
      </w:r>
    </w:p>
    <w:p>
      <w:pPr>
        <w:pStyle w:val="Normal"/>
        <w:rPr/>
      </w:pPr>
      <w:r>
        <w:rPr/>
        <w:t>期末库存一千一百四十五点七七亿元，高于年底九百五十四点二八；应付账款二千二百八十九点六一亿元，高于年底一千八百八十三点七九，用户预付也增加。库存占资和采购信用同步扩大，经营现金改善可能包含供应商支持。滚动库存周转天数四十点五，去年二季度三十四点一，说明库存效率不能由现金正增长得出同样乐观结论。商品组合与高基数会影响天数，但持续变慢会增加降价、损耗和跌价风险。</w:t>
      </w:r>
    </w:p>
    <w:p>
      <w:pPr>
        <w:pStyle w:val="Normal"/>
        <w:rPr/>
      </w:pPr>
      <w:r>
        <w:rPr/>
        <w:t>滚动应付天数六十四点二，比去年同期五十九更长，应收八点六也略高。这些指标按公司自己的零售成本、季度平均余额计算，不能用期末总报表数字自行代替。较长采购账期可以改善现金，但若反映供应商承压、价格补偿或战略库存，长期优势可能有限。研究观察账期与供应链关系是否稳定，而不因现金余额足够就忽略营运资金。信用收缩时，高库存和较短应付可能同时冲击现金，需要进入悲观经营路径。</w:t>
      </w:r>
    </w:p>
    <w:p>
      <w:pPr>
        <w:pStyle w:val="Normal"/>
        <w:rPr/>
      </w:pPr>
      <w:r>
        <w:rPr/>
        <w:t>二零二五年回购约一点八三二亿普通股，约三十亿美元，已经注销；半年二零二六回购约六千九百九十万股、十亿美元，占前年底流通股百分之二点五。授权剩余十亿美元截至六月，不能当作截止日剩余额或未来新授权。回购能在低价提高每股价值，也会消耗支持新业务和分红的现金。模型基准股数适度下降，乐观下降更多，悲观因激励或融资上升，全部是研究输入，未假定董事会已经同意该长期路径。</w:t>
      </w:r>
    </w:p>
    <w:p>
      <w:pPr>
        <w:pStyle w:val="Normal"/>
        <w:rPr/>
      </w:pPr>
      <w:r>
        <w:rPr/>
        <w:t>六月结果披露已发行约二十七点五六亿股、在外约二十六点八八亿股，为百万股四舍五入；半年摊薄加权二十八点四一亿，分母含期间与潜在股份。上市</w:t>
      </w:r>
      <w:r>
        <w:rPr/>
        <w:t>A</w:t>
      </w:r>
      <w:r>
        <w:rPr/>
        <w:t>类与未上市</w:t>
      </w:r>
      <w:r>
        <w:rPr/>
        <w:t>B</w:t>
      </w:r>
      <w:r>
        <w:rPr/>
        <w:t>类在经济权益上均需计算，控股权结构不同。基准模型采用未来摊薄普通股二十七点四亿等假设，不能用期末在外股数直接称准确盈利预测。截止日精确月报未取得，缺口明确保留，核心估值可信度不靠虚造精确总股补全。</w:t>
      </w:r>
    </w:p>
    <w:p>
      <w:pPr>
        <w:pStyle w:val="Normal"/>
        <w:rPr/>
      </w:pPr>
      <w:r>
        <w:rPr/>
        <w:t>二零二五年度每普通股零点五美元股息在二零二六四月已付，不计基准后未来回报。研究半年假设没有新增现金息，一年悲观二点五、基准四、乐观五港元；三年累计七点五、十四、二十，五年十二、二十七、四十二。未来股息不是公司承诺，现金和新业务资本需要优先检验。回购回报不直接加到含息总回报，因为其每股作用已在股数里；将回购收益率再加一次会重复计算。</w:t>
      </w:r>
    </w:p>
    <w:p>
      <w:pPr>
        <w:pStyle w:val="Normal"/>
        <w:rPr/>
      </w:pPr>
      <w:r>
        <w:rPr/>
        <w:t>资本纪律是京东估值的实质风险。自营核心具有现金创造能力，但管理层可能认为国际、外卖与低价投资值得多年培育，普通股东不能自行删掉支出。低市盈率如果基于完全剔除这些费用，就可能是伪便宜。研究保留基准新业务亏损，一年二百八十亿元、三年一百八十、五年一百二十，显示长期并未假设全部结束。若实际投入更大，利润与回购股数路径都会受损，模型应同时下修。</w:t>
      </w:r>
    </w:p>
    <w:p>
      <w:pPr>
        <w:pStyle w:val="Heading2"/>
        <w:rPr/>
      </w:pPr>
      <w:r>
        <w:rPr>
          <w:color w:val="000000"/>
        </w:rPr>
        <w:t>三 日周线和半年价格行为</w:t>
      </w:r>
    </w:p>
    <w:p>
      <w:pPr>
        <w:pStyle w:val="Normal"/>
        <w:rPr/>
      </w:pPr>
      <w:r>
        <w:rPr/>
        <w:t>行情以锁定的双源三年日线为基础，真实交易日七百三十九个，日周线</w:t>
      </w:r>
      <w:r>
        <w:rPr/>
        <w:t>OHLC</w:t>
      </w:r>
      <w:r>
        <w:rPr/>
        <w:t>用复权价格按基准收盘名义值归一。京东存在股息，公司行动与复权影响使历史观察位不同于当年未经复权原价，不能混用。收盘一百零五点六港元经独立价格核对，量用股；行情报价的市盈率只适合筛查，未核对应财报期间，不作为独立盈利模型输入。研究不对下跌价格做主观异常清洗。</w:t>
      </w:r>
    </w:p>
    <w:p>
      <w:pPr>
        <w:pStyle w:val="Normal"/>
        <w:rPr/>
      </w:pPr>
      <w:r>
        <w:rPr/>
        <w:t>现价比二十日均线一百零四点九一高约百分之零点六六，但比六十日一百一十三点三零低百分之六点七九，一百二十日一百一十三点八零低百分之七点二零，二百五十日一百一十四点四零低百分之七点六九。三条长均线接近，形成需要跨越的区域；突破最短均线并未穿越该区域。本章判断为短期反弹、仍低于较长线，技术分二点七，优于完全在短线下的弱势结构，尚未到强趋势。</w:t>
      </w:r>
    </w:p>
    <w:p>
      <w:pPr>
        <w:pStyle w:val="Normal"/>
        <w:rPr/>
      </w:pPr>
      <w:r>
        <w:rPr/>
        <w:t>四条均线五日斜率分别约负百分之零点八五、零点七零、零点五三、零点五七，仍没有转升。现价站在短均线之上而斜率下降，说明价格局部回升早于平均成本改善。更强证据应包括收盘越过一百零七点五观察位、回踩守住，以及一百一十三至一百一十五区域形成更稳定的承接。每条线依据过去同组价格计算，不将四条线各自穿越作为四份独立强证据叠加评分。</w:t>
      </w:r>
    </w:p>
    <w:p>
      <w:pPr>
        <w:pStyle w:val="Normal"/>
        <w:rPr/>
      </w:pPr>
      <w:r>
        <w:rPr/>
        <w:t>二十日回报接近零，为正百分之零点零九，六十日负百分之九点五九，过去二百五十日负百分之二十五点七二。短期趋稳与中期下降可以同时成立，不能只用最近几天上涨否认下跌背景。相对恒生指数二十日领先三点零七个百分点，六十日落后六点四零；相对恒生科技二十与六十日分别领先三点一六及三点五八。这说明最近相对行业有所改善，但尚不能认为资金已全面回流京东。</w:t>
      </w:r>
    </w:p>
    <w:p>
      <w:pPr>
        <w:pStyle w:val="Normal"/>
        <w:rPr/>
      </w:pPr>
      <w:r>
        <w:rPr/>
        <w:t>恒生科技是粗粒度平台与科技参考，京东商品零售暴露与其某些半导体、游戏成份不同。相对该指数领先可能部分因为其他行业更弱，不等于京东绝对盈利利好。半年排序应同时看绝对价格、行业相对和公司盈利证据。若市场反弹而京东持续回落，相对改善假设会失效；若京东持平但同行更弱，也只适合说相对抗跌。描述必须对应收益计算而非把所有相对强度称作买入信号。</w:t>
      </w:r>
    </w:p>
    <w:p>
      <w:pPr>
        <w:pStyle w:val="Normal"/>
        <w:rPr/>
      </w:pPr>
      <w:r>
        <w:rPr/>
        <w:t>近二十日最低一百零点四、最高一百零七点五，现价下到低点约百分之四点九二、上到高点百分之一点八零。区间很近，正常一两日波动可触及，不能因近阻力便断言大涨将开始。近六十日高一百三十点九，向上约百分之二十三点九六。观察位来自自动区间极值，没有重复触碰检验与逐笔筹码，因此本章不绘精确成交量分布，也不把区间价解释成所有投资人共同成本。</w:t>
      </w:r>
    </w:p>
    <w:p>
      <w:pPr>
        <w:pStyle w:val="Normal"/>
        <w:rPr/>
      </w:pPr>
      <w:r>
        <w:rPr/>
        <w:t>日线五十二周复权高约一百四十三点一六、低九十五点四七，现价分别距高负百分之二十六点二四、距低正百分之十点六一。最大回撤约百分之三十二点四七。回撤可以说明历史压力，却不是估值便宜证明；未来若新业务持续消耗核心利润，下行可突破历史低点。经过复权的周线窗口使用五十二周，起止与日线二百五十二日略不同，高位数不同并非数据错误，需要在图表展示时保留口径。</w:t>
      </w:r>
    </w:p>
    <w:p>
      <w:pPr>
        <w:pStyle w:val="Normal"/>
        <w:rPr/>
      </w:pPr>
      <w:r>
        <w:rPr/>
        <w:t>当日量比以相对前二十日均量定义约一点六六，五日均量五百八十六点四四万股、二十日五百五十七点一七万、六十日八百一十一点零六万。短期五日高于二十日说明近期参与有所恢复，但二十日显著低于六十日。量比大于一不是固定充分条件，接近阻力的放量上涨和冲高回落需要结合收盘位置。缺自由流通分母时换手率保持缺失，不拿公司总股数代替港股市场可交易流通盘。</w:t>
      </w:r>
    </w:p>
    <w:p>
      <w:pPr>
        <w:pStyle w:val="Normal"/>
        <w:rPr/>
      </w:pPr>
      <w:r>
        <w:rPr/>
        <w:t>最近二十日十个上涨、九个下跌、一个平盘，上涨日量约五千六百三十六万、下跌日四千七百七十五万、平盘七百三十二万，上下量比一点一八。上涨日略占优势，与短期企稳相符但强度有限，不能推断特定机构吸筹。每日两边都有买卖，本章没有席位与逐笔身份数据。若价格上破并有连续上涨日参与，而回撤量较低、原低点守住，可以更新量价判断；单日量大不替代多次结构确认。</w:t>
      </w:r>
    </w:p>
    <w:p>
      <w:pPr>
        <w:pStyle w:val="Normal"/>
        <w:rPr/>
      </w:pPr>
      <w:r>
        <w:rPr/>
        <w:t>日线</w:t>
      </w:r>
      <w:r>
        <w:rPr/>
        <w:t>RSI</w:t>
      </w:r>
      <w:r>
        <w:rPr/>
        <w:t>约四十六点八六，仍在偏中性略弱位置；</w:t>
      </w:r>
      <w:r>
        <w:rPr/>
        <w:t>MACD</w:t>
      </w:r>
      <w:r>
        <w:rPr/>
        <w:t>差离负一点六一、信号负二点一一、柱体正一点零零，显示下跌动量减缓但两线仍在零轴下。十四日</w:t>
      </w:r>
      <w:r>
        <w:rPr/>
        <w:t>ATR</w:t>
      </w:r>
      <w:r>
        <w:rPr/>
        <w:t>约二点三二港元，占现价百分之二点二零。技术上用这组辅助理解反弹与噪声，不把</w:t>
      </w:r>
      <w:r>
        <w:rPr/>
        <w:t>MACD</w:t>
      </w:r>
      <w:r>
        <w:rPr/>
        <w:t>柱和短均线同时改善重复算作两次主要加分。过去价格可以反映供需，却不会提供未来盈利的确定结果。</w:t>
      </w:r>
    </w:p>
    <w:p>
      <w:pPr>
        <w:pStyle w:val="Normal"/>
        <w:rPr/>
      </w:pPr>
      <w:r>
        <w:rPr/>
        <w:t>周线一百五十七周，二十周均线一百一十一点零零、六十周一百一十五点三八、一百二十周一百二十四点七八，现价均在其下，三条斜率仍为负。周线</w:t>
      </w:r>
      <w:r>
        <w:rPr/>
        <w:t>MACD</w:t>
      </w:r>
      <w:r>
        <w:rPr/>
        <w:t>柱负二点二四，暂未确认中期反转。二百五十周均线因样本不足空值，不能用外推来补齐。周</w:t>
      </w:r>
      <w:r>
        <w:rPr/>
        <w:t>ATR</w:t>
      </w:r>
      <w:r>
        <w:rPr/>
        <w:t>约七点六二港元、百分之七点二一，意味着周内波动可远高于日线直觉；期末假期周量减少也不能单独当成交趋稳证据。</w:t>
      </w:r>
    </w:p>
    <w:p>
      <w:pPr>
        <w:pStyle w:val="Normal"/>
        <w:rPr/>
      </w:pPr>
      <w:r>
        <w:rPr/>
        <w:t>半年技术升级条件是短期相对行业领先能持续、站上一百零七点五并守住，随后通过一百一十三至一百一十五较长均线区域，同时下一期业绩显示零售盈利与新业务投资方向一致。若突破后连续收盘跌回原平台，或者一百零点四附近低点失守并出现更低周线低点，企稳逻辑应撤销。观察条件不是要求所有投资者同一天执行，它用于明确何种事实会改变研究，防止用长期故事解释所有短期弱势。</w:t>
      </w:r>
    </w:p>
    <w:p>
      <w:pPr>
        <w:pStyle w:val="Normal"/>
        <w:rPr/>
      </w:pPr>
      <w:r>
        <w:rPr/>
        <w:t>量价更适合帮助半年判断买入时点，不应直接推算五年经营结果。进取投资者可以接受暂时弱趋势，但必须知道因此承担的价格路径风险。模型半年基准一百五十五点七一港元明显高于近端阻力，真正实现需要基本面与市场预期共同变化，不是技术极值自动提供上涨路线。即使经营恢复持续，短期仍可能因外部消费消息或新投资公告下跌；风险预算需要与期限一致，不能用目标涨幅替代仓位纪律。</w:t>
      </w:r>
    </w:p>
    <w:p>
      <w:pPr>
        <w:pStyle w:val="Heading2"/>
        <w:rPr/>
      </w:pPr>
      <w:r>
        <w:rPr>
          <w:color w:val="000000"/>
        </w:rPr>
        <w:t>四 正常盈利估值和三情景</w:t>
      </w:r>
    </w:p>
    <w:p>
      <w:pPr>
        <w:pStyle w:val="Normal"/>
        <w:rPr/>
      </w:pPr>
      <w:r>
        <w:rPr/>
        <w:t>本章采用三分部正常利润桥：零售收入乘正常经营率，加物流收入乘经营率，扣新业务亏损与常态企业成本，加有限正常净财资和联营收益，再按正常税率、归母比例及未来摊薄普通股归一。结果包含集团子公司少数股东与常态股份支付，因此不称公司官方</w:t>
      </w:r>
      <w:r>
        <w:rPr/>
        <w:t>Non-GAAP</w:t>
      </w:r>
      <w:r>
        <w:rPr/>
        <w:t>预测。正常企业费用保留，未来新业务亏损是实际经济成本。估值不另外加全部现金、京东物流市值、京东健康市值或工业上市价值。</w:t>
      </w:r>
    </w:p>
    <w:p>
      <w:pPr>
        <w:pStyle w:val="Normal"/>
        <w:rPr/>
      </w:pPr>
      <w:r>
        <w:rPr/>
        <w:t>模型用人民币十亿元和十亿普通股，每股盈利人民币，先取三位小数、再乘</w:t>
      </w:r>
      <w:r>
        <w:rPr/>
        <w:t>PE</w:t>
      </w:r>
      <w:r>
        <w:rPr/>
        <w:t>及一点一港元换算假设，目标价两位小数。利润税后比例百分之八十，归属率悲观百分之八十五左右、基准八十九至九十、乐观九十一至九十四，体现合并经营与少数股东差异。归属率为研究正常化简化，并非某一分部实际持股比例。不能将其与物流单独持股百分比混同；后续取得更细分资料时可以改逐分部归属模型。</w:t>
      </w:r>
    </w:p>
    <w:p>
      <w:pPr>
        <w:pStyle w:val="Normal"/>
        <w:rPr/>
      </w:pPr>
      <w:r>
        <w:rPr/>
        <w:t>年底基准目标时点未来十二个月零售收入一万二千亿元、经营率百分之四点八，物流二千七百亿元、率百分之三点五，新业务亏三百亿元，企业费四十亿元，正常净财资及联营六十亿元。税后归属正常利润约二百七十八亿元，未来摊薄二十七点八亿股，每股十点零零一元。十二倍及换算得到一百三十二点零一港元，较现价二十五点零一。它不是二零二六年已经实现每股十元，而是年底可承认的前瞻正常利润。</w:t>
      </w:r>
    </w:p>
    <w:p>
      <w:pPr>
        <w:pStyle w:val="Normal"/>
        <w:rPr/>
      </w:pPr>
      <w:r>
        <w:rPr/>
        <w:t>年底悲观假设零售收入一万一千三百亿元、率百分之四点二，物流二千五百亿元、率百分之三点二，新业务仍亏三百四十亿元、费用五十亿元，盈利规模与倍数降低。每股四点九九八元、九倍得到四十九点四八港元。经营并未完全失败，股价也可能下跌超过一半，体现低毛利零售和新投入的经营杠杆。这个价格不是最大损失边界，若利润转负或融资恶化，股权损失可更大。</w:t>
      </w:r>
    </w:p>
    <w:p>
      <w:pPr>
        <w:pStyle w:val="Normal"/>
        <w:rPr/>
      </w:pPr>
      <w:r>
        <w:rPr/>
        <w:t>年底乐观零售一万二千五百亿元、率百分之五点二，物流二千九百亿元、率四点五，新业务亏损减到二百二十亿元，常态费四十亿元，财资联营七十亿元，较高归属与较少股数形成每股十五点八零五元。十五倍得到二百六十点七八港元。经营率改善、投入下降和倍数上升有相关性，但不是独立事件概率。它需要盈利见效而非仅收入恢复，若海外投入继续加大，无法靠品牌或</w:t>
      </w:r>
      <w:r>
        <w:rPr/>
        <w:t>AI</w:t>
      </w:r>
      <w:r>
        <w:rPr/>
        <w:t>消息独立成立。</w:t>
      </w:r>
    </w:p>
    <w:p>
      <w:pPr>
        <w:pStyle w:val="Normal"/>
        <w:rPr/>
      </w:pPr>
      <w:r>
        <w:rPr/>
        <w:t>半年基准零售一万二千三百亿元、率百分之五，物流二千八百五十亿元、率百分之三点六，新业务亏二百八十亿元，费四十二亿元，正常财资联营六十亿元；每股十一点七九六元、十二倍得到一百五十五点七一。基准利润率较当期有合理但未确认的改善，来源为高毛利平台服务、品类效率与补贴防守成本控制，不依赖当年全部亏损结束。半年乐观每股十九点零三四、十六倍，必须具备更强资本纪律与盈利证据。</w:t>
      </w:r>
    </w:p>
    <w:p>
      <w:pPr>
        <w:pStyle w:val="Normal"/>
        <w:rPr/>
      </w:pPr>
      <w:r>
        <w:rPr/>
        <w:t>一年基准收入一万二千八百亿元、零售率百分之五，物流三千零五十亿元、率百分之三点七，新业务亏二百八十亿元与费用四十五亿元，有限财资联营六十五亿元，形成每股十二点八零七元。十二倍价一百六十九点零五，加未来息四元总回报百分之六十三点八七。零售率没有因期限变长随意猛增，模型主要依赖规模与物流质量和股数改善。若新业务亏损与规模同增，利润和回购路径需要调整。</w:t>
      </w:r>
    </w:p>
    <w:p>
      <w:pPr>
        <w:pStyle w:val="Normal"/>
        <w:rPr/>
      </w:pPr>
      <w:r>
        <w:rPr/>
        <w:t>三年基准零售一万五千亿元、率百分之五点四，物流三千九百亿元、率百分之四，新业务亏一百八十亿元，费五十五亿元，财资联营六十五亿元，股数二十六点二亿。每股二十一点八七五元、十三倍得到三百一十二点八一港元，累计股息十四元。含息年化百分之四十五点七三，属于从低利润与低估值基准修复的高进取结果。它不能在预测中只看收入再推导，应检查全部成本与资本转换。</w:t>
      </w:r>
    </w:p>
    <w:p>
      <w:pPr>
        <w:pStyle w:val="Normal"/>
        <w:rPr/>
      </w:pPr>
      <w:r>
        <w:rPr/>
        <w:t>五年基准零售一万六千八百亿元、率百分之五点六，物流四千七百亿元、率百分之四点三，新业务仍亏一百二十亿元、费七十亿元，正常财资联营七十五亿元，股数二十五亿。每股二十九点六零四元、十三倍，价格四百二十三点三四，息二十七元。估值倍数比一年只略高，收益主要来自经营和每股增长，未将所有业务都设为软件高倍数。现金需求若使股数无法下降，或利润率达不到假设，长期结果会显著降低。</w:t>
      </w:r>
    </w:p>
    <w:p>
      <w:pPr>
        <w:pStyle w:val="Normal"/>
        <w:rPr/>
      </w:pPr>
      <w:r>
        <w:rPr/>
        <w:t>悲观三年与五年分别四十八点二六和五十四点二三元；公司收入仍可增长，却因为较低经营率、持续新投入和摊薄给股东低回报。这种情景与经营生存兼容，避免将“公司不会破产”误当作“投资不会亏”。乐观五年一千零五十点一九元，需要更快增长、高率、净新业务贡献以及回购实现。其涨幅极大也说明该路径证据较弱，不能按乐观数直接排序，研究打分仍受竞争和资本风险限制。</w:t>
      </w:r>
    </w:p>
    <w:p>
      <w:pPr>
        <w:pStyle w:val="Normal"/>
        <w:rPr/>
      </w:pPr>
      <w:r>
        <w:rPr/>
        <w:t>模型新业务负亏损在乐观远期意味着新业务开始贡献净经营利润，只在三分部桥中计算一次，不再另加海外估值。基准始终保留负贡献，反映外卖、京喜和</w:t>
      </w:r>
      <w:r>
        <w:rPr/>
        <w:t>Joybuy</w:t>
      </w:r>
      <w:r>
        <w:rPr/>
        <w:t>仍需资本。净财资联营是有限正常收益，远低于最近某些年度全部其他收入，排除公允价值和物业出售等不确定收益。没有在</w:t>
      </w:r>
      <w:r>
        <w:rPr/>
        <w:t>EPS</w:t>
      </w:r>
      <w:r>
        <w:rPr/>
        <w:t>倍数后加净现金，避免同一资产收益资本化与本金重复计价；如果改</w:t>
      </w:r>
      <w:r>
        <w:rPr/>
        <w:t>SOTP</w:t>
      </w:r>
      <w:r>
        <w:rPr/>
        <w:t>模型，必须同步剔除相关盈利。</w:t>
      </w:r>
    </w:p>
    <w:p>
      <w:pPr>
        <w:pStyle w:val="Normal"/>
        <w:rPr/>
      </w:pPr>
      <w:r>
        <w:rPr/>
        <w:t>一年基准零售经营率每变化一个百分点，其他不变，目标价约变化四十三点九港元；新业务正常亏损每增加一百亿元，约降低三十四点三港元。低毛利零售巨大的收入底盘，使小率变化产生大估值差。</w:t>
      </w:r>
      <w:r>
        <w:rPr/>
        <w:t>PE</w:t>
      </w:r>
      <w:r>
        <w:rPr/>
        <w:t>每变一倍约影响十四点零九元，股数每增加百分之一会使其他不变的每股目标近似下降百分之一。局部敏感性不是独立风险概率，多个不利变量可能同向发生，必须用完整情景而非逐项平均淡化风险。</w:t>
      </w:r>
    </w:p>
    <w:p>
      <w:pPr>
        <w:pStyle w:val="Normal"/>
        <w:rPr/>
      </w:pPr>
      <w:r>
        <w:rPr/>
        <w:t>若人民币兑换港元假设上下百分之五，其他不动，港币目标近似相同比例变化。花旗三十九美元</w:t>
      </w:r>
      <w:r>
        <w:rPr/>
        <w:t>ADS</w:t>
      </w:r>
      <w:r>
        <w:rPr/>
        <w:t>目标折两股再用每美元七点八港元研究假设，得到每普通股一百五十二点一港元，仅为可比参照，不能冒称花旗发布港股目标。普通股现金息可能以美元支付也需汇率转换。公司海外运营暴露涉及更复杂当地币种与费用，估值转换参数不等于公司已进行充分汇率对冲，投资人需分清本币模型和人民币资产回报。</w:t>
      </w:r>
    </w:p>
    <w:p>
      <w:pPr>
        <w:pStyle w:val="Normal"/>
        <w:rPr/>
      </w:pPr>
      <w:r>
        <w:rPr/>
        <w:t>年底权重四分之一、二分之一、四分之一产生期望价一百四十三点五七港元、回报百分之三十五点九六。防御四成、五成、一成得到一百一十一点八七五、百分之五点九四，进取一成、五成、四成得一百七十五点二六五、百分之六十五点九七。主观权重的改变对结果影响很大，它们不是历史频率和置信区间。年底实际价格只会体现当时的信息与交易，不会沿模型给出的加权平均逐日上涨。</w:t>
      </w:r>
    </w:p>
    <w:p>
      <w:pPr>
        <w:pStyle w:val="Normal"/>
        <w:rPr/>
      </w:pPr>
      <w:r>
        <w:rPr/>
        <w:t>已公开核验美银八月十七日目标一百四十九港元、买入，大和同日一百二十、持有，花旗九月四日三十九美元</w:t>
      </w:r>
      <w:r>
        <w:rPr/>
        <w:t>ADS</w:t>
      </w:r>
      <w:r>
        <w:rPr/>
        <w:t>、买入。原研报未取得，大多数公开期限缺失，无法全部归入严格十二个月机构预测。美银转述新业务仍数百亿元亏损，说明目标并非完全忽略新投入。大和以分拆估值和不同经营倍数，不能把其中倍数直接套到集团归母。本章独立一年基准略高，进取差异必须由经营假设而非机构权威解释。</w:t>
      </w:r>
    </w:p>
    <w:p>
      <w:pPr>
        <w:pStyle w:val="Normal"/>
        <w:rPr/>
      </w:pPr>
      <w:r>
        <w:rPr/>
        <w:t>外资研究看法相近也不能证明业务方向已确定。花旗对品类与外卖回报的估计来自管理层交流及其预测，季度结果并未公开全部单业务细节；新闻称港股“</w:t>
      </w:r>
      <w:r>
        <w:rPr/>
        <w:t>H</w:t>
      </w:r>
      <w:r>
        <w:rPr/>
        <w:t>股”也不改变公司为境外发行人普通股的身份。日期与单位核验比直接复制标题重要。查到未核正文的野村美元目标、海通目标等线索不作为本章正式外资表新增。年底模型独立考虑前瞻盈利，没有按机构一年目标剩余月份线性缩放。</w:t>
      </w:r>
    </w:p>
    <w:p>
      <w:pPr>
        <w:pStyle w:val="Heading2"/>
        <w:rPr/>
      </w:pPr>
      <w:r>
        <w:rPr>
          <w:color w:val="000000"/>
        </w:rPr>
        <w:t>五 各期限成立条件和十年反证</w:t>
      </w:r>
    </w:p>
    <w:p>
      <w:pPr>
        <w:pStyle w:val="Normal"/>
        <w:rPr/>
      </w:pPr>
      <w:r>
        <w:rPr/>
        <w:t>半年投资逻辑是收入高基数趋于正常、零售保持利润率和新业务亏损收窄被下一季验证，同时短期量价改善能越过较长均线。催化包括消费活动、品类组合和资本配置，但本章不预告未公布业绩。失败路径为家电需求持续弱、外卖竞争扩大开支、海外费用增快以及技术突破失败。估值三点二、量价二点七、经营三点五、行业三点一、催化三点三、风险三点五，固定权重得六十二点五，属于需要确认的进取选择。</w:t>
      </w:r>
    </w:p>
    <w:p>
      <w:pPr>
        <w:pStyle w:val="Normal"/>
        <w:rPr/>
      </w:pPr>
      <w:r>
        <w:rPr/>
        <w:t>一年更关注集团盈利恢复质量与每股资本回报。若用户增长来自有价值的商品服务，平台营销与一般商品提高组合，零售可以承担新投入且分红回购可持续。反证为利润只靠财资和联营波动、供应商信用支撑无法延续、新业务投入虽号称收窄却被别处新增费用抵消。固定权重得六十八点五，估值与经营较半年提高但风险未消失。回报基准高于机构多数目标，不允许因此把证据可信度升为高。</w:t>
      </w:r>
    </w:p>
    <w:p>
      <w:pPr>
        <w:pStyle w:val="Normal"/>
        <w:rPr/>
      </w:pPr>
      <w:r>
        <w:rPr/>
        <w:t>三年的逻辑是自营供应链向更广品类及企业服务发展，物流外部网络提高利用率，外卖与国际投资更有效率。核心优势应转化为超过资本成本的经营现金，而不是最大收入体量。反证包括物流高增长长期低利润、新品类退货与损耗抵消高频优势、海外扩张缺成熟区域现金，以及股份奖励不断抵消回购。三年七十三点八分只反映进取研究质量与回报前提，没有将三年时间视作自动治愈竞争问题。</w:t>
      </w:r>
    </w:p>
    <w:p>
      <w:pPr>
        <w:pStyle w:val="Normal"/>
        <w:rPr/>
      </w:pPr>
      <w:r>
        <w:rPr/>
        <w:t>五年要求京东保留消费者对可靠商品和交付的需求，同时管理好更多业务的组织成本。</w:t>
      </w:r>
      <w:r>
        <w:rPr/>
        <w:t>AI</w:t>
      </w:r>
      <w:r>
        <w:rPr/>
        <w:t>和无人配送如果带来可量化效率，有利于正常经营率；如果只是更高技术与设备投入，会压低现金回报。评分七十四点六，高于三年有限，原因是长期开支、国际与管理复杂性增加，并非期限越长分越高的机械设置。悲观年化仍可能为负，长期持有不改变买入价格和每股收益的重要性。</w:t>
      </w:r>
    </w:p>
    <w:p>
      <w:pPr>
        <w:pStyle w:val="Normal"/>
        <w:rPr/>
      </w:pPr>
      <w:r>
        <w:rPr/>
        <w:t>十年持续性可以从消费者信任和履约经济判断。商品搜索可能通过通用</w:t>
      </w:r>
      <w:r>
        <w:rPr/>
        <w:t>AI</w:t>
      </w:r>
      <w:r>
        <w:rPr/>
        <w:t>、内容或品牌直销完成，京东需要把真实库存、价格与交付能力接入新的入口；如果仅成为低利润后端服务，用户规模不一定转化为同样估值。自营可信与质量服务仍可能是稀缺能力，但它的维护成本也会长期存在。本章不提供十年确定目标价，未来网络价值需要实际复购、毛利与自由现金流，而不是在长期愿景里免除经营验证。</w:t>
      </w:r>
    </w:p>
    <w:p>
      <w:pPr>
        <w:pStyle w:val="Normal"/>
        <w:rPr/>
      </w:pPr>
      <w:r>
        <w:rPr/>
        <w:t>社会人口变化可能改变品类与配送要求。老龄需求可能增加药品与家庭便利服务，年轻用户更多线上内容消费则使商品发现变分散；城市居住与家电更新变化影响传统强项。仓网和服务系统可以适配，但固定资产与组织可能增加调整成本。长期乐观假设不能只把每一项社会变化都解释成增量，合理反证包括过去优势品类需求变小、交付不再是消费者首要区分因素以及新进入者提供同样可信更低价格。</w:t>
      </w:r>
    </w:p>
    <w:p>
      <w:pPr>
        <w:pStyle w:val="Normal"/>
        <w:rPr/>
      </w:pPr>
      <w:r>
        <w:rPr/>
        <w:t>治理与资本配置应以行动验证。公司控制权结构、对子公司和新项目的投入，会使普通股东难以按自身期限要求退出业务。回购和分红是可量化的股东回报，必须在经营现金与资金义务之后实现；管理层宣布增长机会不是现金证据。若连续现金流改善但股数和分红没有相应收益，或利润恢复被不断追加资本吞噬，长期分数应下降。对资本纪律的评价不能只凭一次购物节或品牌合作。</w:t>
      </w:r>
    </w:p>
    <w:p>
      <w:pPr>
        <w:pStyle w:val="Normal"/>
        <w:rPr/>
      </w:pPr>
      <w:r>
        <w:rPr/>
        <w:t>推荐被推翻的证据包括零售在收入恢复后仍不能保持全部成本后的正常利润、库存与账期恶化迫使现金消耗、新业务长期需要更大资金且找不到成熟盈利区域、股数持续上升导致每股盈利停滞、投资收益成为归母利润主要来源，以及服务质量事件破坏可信度。上述为研究条件而非当期已发生事实。新的有效证据会同时改变分数、情景和文件模型，总表不能只更新现价却保留旧目标，单一活动模型更新后需重新计算快照。</w:t>
      </w:r>
    </w:p>
    <w:p>
      <w:pPr>
        <w:pStyle w:val="Normal"/>
        <w:rPr/>
      </w:pPr>
      <w:r>
        <w:rPr/>
        <w:t>京东适合在本名单中作为供应链与利润恢复候选比较，它不同于高毛利纯平台，也不同于完全无盈利的技术公司。当前低估值叙事有一定现金与零售能力支持，但真实新投入和弱周线限制短期推荐力度。长期可能通过经营组合、合理投入和回购扩大每股收益，前提是资本创造价值。研究最有用的部分是公开这些前提和反证，让未来业绩能够检验，而不是仅展示最高上涨空间。</w:t>
      </w:r>
    </w:p>
    <w:p>
      <w:pPr>
        <w:pStyle w:val="Heading2"/>
        <w:rPr/>
      </w:pPr>
      <w:r>
        <w:rPr>
          <w:color w:val="000000"/>
        </w:rPr>
        <w:t>参数 口径及来源 不计有效正文</w:t>
      </w:r>
    </w:p>
    <w:p>
      <w:pPr>
        <w:pStyle w:val="Normal"/>
        <w:rPr/>
      </w:pPr>
      <w:r>
        <w:rPr/>
        <w:t>输入金额</w:t>
      </w:r>
      <w:r>
        <w:rPr/>
        <w:t>CNY</w:t>
      </w:r>
      <w:r>
        <w:rPr/>
        <w:t>十亿元，股数十亿普通股，顺序悲观</w:t>
      </w:r>
      <w:r>
        <w:rPr/>
        <w:t>/</w:t>
      </w:r>
      <w:r>
        <w:rPr/>
        <w:t>基准</w:t>
      </w:r>
      <w:r>
        <w:rPr/>
        <w:t>/</w:t>
      </w:r>
      <w:r>
        <w:rPr/>
        <w:t>乐观；全部未来参数为研究假设。税率</w:t>
      </w:r>
      <w:r>
        <w:rPr/>
        <w:t>20%</w:t>
      </w:r>
      <w:r>
        <w:rPr/>
        <w:t>，无额外净现金或子公司市值加项。</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895"/>
        <w:gridCol w:w="896"/>
        <w:gridCol w:w="896"/>
        <w:gridCol w:w="896"/>
        <w:gridCol w:w="896"/>
        <w:gridCol w:w="897"/>
        <w:gridCol w:w="896"/>
        <w:gridCol w:w="896"/>
        <w:gridCol w:w="896"/>
        <w:gridCol w:w="896"/>
        <w:gridCol w:w="896"/>
      </w:tblGrid>
      <w:tr>
        <w:trPr>
          <w:tblHeader w:val="true"/>
          <w:cantSplit/>
        </w:trPr>
        <w:tc>
          <w:tcPr>
            <w:tcW w:w="895"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89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零售收入</w:t>
            </w:r>
          </w:p>
        </w:tc>
        <w:tc>
          <w:tcPr>
            <w:tcW w:w="89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零售率</w:t>
            </w:r>
          </w:p>
        </w:tc>
        <w:tc>
          <w:tcPr>
            <w:tcW w:w="89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物流收入</w:t>
            </w:r>
          </w:p>
        </w:tc>
        <w:tc>
          <w:tcPr>
            <w:tcW w:w="89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物流率</w:t>
            </w:r>
          </w:p>
        </w:tc>
        <w:tc>
          <w:tcPr>
            <w:tcW w:w="89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新业务亏损</w:t>
            </w:r>
          </w:p>
        </w:tc>
        <w:tc>
          <w:tcPr>
            <w:tcW w:w="89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企业费</w:t>
            </w:r>
          </w:p>
        </w:tc>
        <w:tc>
          <w:tcPr>
            <w:tcW w:w="89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正常财资联营</w:t>
            </w:r>
          </w:p>
        </w:tc>
        <w:tc>
          <w:tcPr>
            <w:tcW w:w="89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归属比例</w:t>
            </w:r>
          </w:p>
        </w:tc>
        <w:tc>
          <w:tcPr>
            <w:tcW w:w="89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摊薄股数</w:t>
            </w:r>
          </w:p>
        </w:tc>
        <w:tc>
          <w:tcPr>
            <w:tcW w:w="89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eastAsia="微软雅黑" w:ascii="微软雅黑" w:hAnsi="微软雅黑"/>
                <w:b/>
                <w:color w:val="FFFFFF"/>
                <w:sz w:val="17"/>
              </w:rPr>
              <w:t>PE</w:t>
            </w:r>
          </w:p>
        </w:tc>
      </w:tr>
      <w:tr>
        <w:trPr>
          <w:cantSplit/>
        </w:trPr>
        <w:tc>
          <w:tcPr>
            <w:tcW w:w="8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1130</w:t>
              <w:br/>
              <w:t>1200</w:t>
              <w:br/>
              <w:t>1250</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w:t>
              <w:br/>
              <w:t>4.8%</w:t>
              <w:br/>
              <w:t>5.2%</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250</w:t>
              <w:br/>
              <w:t>270</w:t>
              <w:br/>
              <w:t>290</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w:t>
              <w:br/>
              <w:t>3.5%</w:t>
              <w:br/>
              <w:t>4.5%</w:t>
            </w:r>
          </w:p>
        </w:tc>
        <w:tc>
          <w:tcPr>
            <w:tcW w:w="89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w:t>
              <w:br/>
              <w:t>30</w:t>
              <w:br/>
              <w:t>22</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w:t>
              <w:br/>
              <w:t>4</w:t>
              <w:br/>
              <w:t>4</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w:t>
              <w:br/>
              <w:t>6</w:t>
              <w:br/>
              <w:t>7</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w:t>
              <w:br/>
              <w:t>.89</w:t>
              <w:br/>
              <w:t>.91</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2.92</w:t>
              <w:br/>
              <w:t>2.78</w:t>
              <w:br/>
              <w:t>2.72</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w:t>
              <w:br/>
              <w:t>12</w:t>
              <w:br/>
              <w:t>15</w:t>
            </w:r>
          </w:p>
        </w:tc>
      </w:tr>
      <w:tr>
        <w:trPr>
          <w:cantSplit/>
        </w:trPr>
        <w:tc>
          <w:tcPr>
            <w:tcW w:w="895"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1120</w:t>
              <w:br/>
              <w:t>1230</w:t>
              <w:br/>
              <w:t>1300</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4.3%</w:t>
              <w:br/>
              <w:t>5%</w:t>
              <w:br/>
              <w:t>5.4%</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255</w:t>
              <w:br/>
              <w:t>285</w:t>
              <w:br/>
              <w:t>310</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3.3%</w:t>
              <w:br/>
              <w:t>3.6%</w:t>
              <w:br/>
              <w:t>4.7%</w:t>
            </w:r>
          </w:p>
        </w:tc>
        <w:tc>
          <w:tcPr>
            <w:tcW w:w="89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w:t>
              <w:br/>
              <w:t>28</w:t>
              <w:br/>
              <w:t>18</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w:t>
              <w:br/>
              <w:t>4.2</w:t>
              <w:br/>
              <w:t>4.2</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w:t>
              <w:br/>
              <w:t>6</w:t>
              <w:br/>
              <w:t>7.5</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.85</w:t>
              <w:br/>
              <w:t>.89</w:t>
              <w:br/>
              <w:t>.91</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2.94</w:t>
              <w:br/>
              <w:t>2.75</w:t>
              <w:br/>
              <w:t>2.68</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w:t>
              <w:br/>
              <w:t>12</w:t>
              <w:br/>
              <w:t>16</w:t>
            </w:r>
          </w:p>
        </w:tc>
      </w:tr>
      <w:tr>
        <w:trPr>
          <w:cantSplit/>
        </w:trPr>
        <w:tc>
          <w:tcPr>
            <w:tcW w:w="8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1160</w:t>
              <w:br/>
              <w:t>1280</w:t>
              <w:br/>
              <w:t>1380</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w:t>
              <w:br/>
              <w:t>5%</w:t>
              <w:br/>
              <w:t>5.5%</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270</w:t>
              <w:br/>
              <w:t>305</w:t>
              <w:br/>
              <w:t>340</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w:t>
              <w:br/>
              <w:t>3.7%</w:t>
              <w:br/>
              <w:t>4.8%</w:t>
            </w:r>
          </w:p>
        </w:tc>
        <w:tc>
          <w:tcPr>
            <w:tcW w:w="89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w:t>
              <w:br/>
              <w:t>28</w:t>
              <w:br/>
              <w:t>15</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w:t>
              <w:br/>
              <w:t>4.5</w:t>
              <w:br/>
              <w:t>4.8</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w:t>
              <w:br/>
              <w:t>6.5</w:t>
              <w:br/>
              <w:t>8</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.85</w:t>
              <w:br/>
              <w:t>.89</w:t>
              <w:br/>
              <w:t>.92</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2.99</w:t>
              <w:br/>
              <w:t>2.74</w:t>
              <w:br/>
              <w:t>2.65</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w:t>
              <w:br/>
              <w:t>12</w:t>
              <w:br/>
              <w:t>16</w:t>
            </w:r>
          </w:p>
        </w:tc>
      </w:tr>
      <w:tr>
        <w:trPr>
          <w:cantSplit/>
        </w:trPr>
        <w:tc>
          <w:tcPr>
            <w:tcW w:w="895"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1230</w:t>
              <w:br/>
              <w:t>1500</w:t>
              <w:br/>
              <w:t>1730</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w:t>
              <w:br/>
              <w:t>5.4%</w:t>
              <w:br/>
              <w:t>6.2%</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320</w:t>
              <w:br/>
              <w:t>390</w:t>
              <w:br/>
              <w:t>500</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w:t>
              <w:br/>
              <w:t>4%</w:t>
              <w:br/>
              <w:t>5.5%</w:t>
            </w:r>
          </w:p>
        </w:tc>
        <w:tc>
          <w:tcPr>
            <w:tcW w:w="89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32</w:t>
              <w:br/>
              <w:t>18</w:t>
              <w:br/>
              <w:t>2</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w:t>
              <w:br/>
              <w:t>5.5</w:t>
              <w:br/>
              <w:t>6.5</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w:t>
              <w:br/>
              <w:t>6.5</w:t>
              <w:br/>
              <w:t>9</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w:t>
              <w:br/>
              <w:t>.90</w:t>
              <w:br/>
              <w:t>.93</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w:t>
              <w:br/>
              <w:t>2.62</w:t>
              <w:br/>
              <w:t>2.45</w:t>
            </w:r>
          </w:p>
        </w:tc>
        <w:tc>
          <w:tcPr>
            <w:tcW w:w="89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w:t>
              <w:br/>
              <w:t>13</w:t>
              <w:br/>
              <w:t>16</w:t>
            </w:r>
          </w:p>
        </w:tc>
      </w:tr>
      <w:tr>
        <w:trPr>
          <w:cantSplit/>
        </w:trPr>
        <w:tc>
          <w:tcPr>
            <w:tcW w:w="895"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1300</w:t>
              <w:br/>
              <w:t>1680</w:t>
              <w:br/>
              <w:t>2100</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w:t>
              <w:br/>
              <w:t>5.6%</w:t>
              <w:br/>
              <w:t>6.5%</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380</w:t>
              <w:br/>
              <w:t>470</w:t>
              <w:br/>
              <w:t>650</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w:t>
              <w:br/>
              <w:t>4.3%</w:t>
              <w:br/>
              <w:t>6%</w:t>
            </w:r>
          </w:p>
        </w:tc>
        <w:tc>
          <w:tcPr>
            <w:tcW w:w="89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w:t>
              <w:br/>
              <w:t>12</w:t>
              <w:br/>
              <w:t>−5</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w:t>
              <w:br/>
              <w:t>7</w:t>
              <w:br/>
              <w:t>9</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w:t>
              <w:br/>
              <w:t>7.5</w:t>
              <w:br/>
              <w:t>11</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.84</w:t>
              <w:br/>
              <w:t>.90</w:t>
              <w:br/>
              <w:t>.94</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3.25</w:t>
              <w:br/>
              <w:t>2.5</w:t>
              <w:br/>
              <w:t>2.3</w:t>
            </w:r>
          </w:p>
        </w:tc>
        <w:tc>
          <w:tcPr>
            <w:tcW w:w="89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w:t>
              <w:br/>
              <w:t>13</w:t>
              <w:br/>
              <w:t>16</w:t>
            </w:r>
          </w:p>
        </w:tc>
      </w:tr>
    </w:tbl>
    <w:p>
      <w:pPr>
        <w:pStyle w:val="Normal"/>
        <w:rPr/>
      </w:pPr>
      <w:r>
        <w:rPr/>
      </w:r>
    </w:p>
    <w:p>
      <w:pPr>
        <w:pStyle w:val="Normal"/>
        <w:rPr/>
      </w:pPr>
      <w:r>
        <w:rPr/>
        <w:t>未来累计息</w:t>
      </w:r>
      <w:r>
        <w:rPr/>
        <w:t>HKD</w:t>
      </w:r>
      <w:r>
        <w:rPr/>
        <w:t>：年底和半年</w:t>
      </w:r>
      <w:r>
        <w:rPr/>
        <w:t>0/0/0</w:t>
      </w:r>
      <w:r>
        <w:rPr/>
        <w:t>，一年</w:t>
      </w:r>
      <w:r>
        <w:rPr/>
        <w:t>2.5/4/5</w:t>
      </w:r>
      <w:r>
        <w:rPr/>
        <w:t>，三年</w:t>
      </w:r>
      <w:r>
        <w:rPr/>
        <w:t>7.5/14/20</w:t>
      </w:r>
      <w:r>
        <w:rPr/>
        <w:t>，五年</w:t>
      </w:r>
      <w:r>
        <w:rPr/>
        <w:t>12/27/42</w:t>
      </w:r>
      <w:r>
        <w:rPr/>
        <w:t>。人民币港元</w:t>
      </w:r>
      <w:r>
        <w:rPr/>
        <w:t>1.10</w:t>
      </w:r>
      <w:r>
        <w:rPr/>
        <w:t>、美元港元</w:t>
      </w:r>
      <w:r>
        <w:rPr/>
        <w:t>7.80</w:t>
      </w:r>
      <w:r>
        <w:rPr/>
        <w:t>皆研究假设；目标日遇休市由总表映射为此前交易日。</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3286"/>
        <w:gridCol w:w="3286"/>
        <w:gridCol w:w="3286"/>
      </w:tblGrid>
      <w:tr>
        <w:trPr>
          <w:tblHeader w:val="true"/>
          <w:cantSplit/>
        </w:trPr>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主源</w:t>
            </w:r>
          </w:p>
        </w:tc>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期间</w:t>
            </w:r>
            <w:r>
              <w:rPr>
                <w:rFonts w:eastAsia="微软雅黑" w:ascii="微软雅黑" w:hAnsi="微软雅黑"/>
                <w:b/>
                <w:color w:val="FFFFFF"/>
                <w:sz w:val="17"/>
              </w:rPr>
              <w:t>/</w:t>
            </w:r>
            <w:r>
              <w:rPr>
                <w:rFonts w:ascii="微软雅黑" w:hAnsi="微软雅黑" w:eastAsia="微软雅黑"/>
                <w:b/>
                <w:color w:val="FFFFFF"/>
                <w:sz w:val="17"/>
              </w:rPr>
              <w:t>发布时间</w:t>
            </w:r>
          </w:p>
        </w:tc>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[2025</w:t>
            </w:r>
            <w:r>
              <w:rPr>
                <w:rFonts w:ascii="微软雅黑" w:hAnsi="微软雅黑" w:eastAsia="微软雅黑"/>
                <w:sz w:val="17"/>
              </w:rPr>
              <w:t>年报</w:t>
            </w:r>
            <w:r>
              <w:rPr>
                <w:rFonts w:eastAsia="微软雅黑" w:ascii="微软雅黑" w:hAnsi="微软雅黑"/>
                <w:sz w:val="17"/>
              </w:rPr>
              <w:t>20-F](https://ir.jd.com/system/files-encrypted/nasdaq_kms/assets/2026/04/17/11-33-24/Form%2020-F%20for%20JD%20filed%2004162026.pdf)</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FY2025</w:t>
            </w:r>
            <w:r>
              <w:rPr>
                <w:rFonts w:ascii="微软雅黑" w:hAnsi="微软雅黑" w:eastAsia="微软雅黑"/>
                <w:sz w:val="17"/>
              </w:rPr>
              <w:t>；</w:t>
            </w:r>
            <w:r>
              <w:rPr>
                <w:rFonts w:eastAsia="微软雅黑" w:ascii="微软雅黑" w:hAnsi="微软雅黑"/>
                <w:sz w:val="17"/>
              </w:rPr>
              <w:t>4</w:t>
            </w:r>
            <w:r>
              <w:rPr>
                <w:rFonts w:ascii="微软雅黑" w:hAnsi="微软雅黑" w:eastAsia="微软雅黑"/>
                <w:sz w:val="17"/>
              </w:rPr>
              <w:t>月</w:t>
            </w:r>
            <w:r>
              <w:rPr>
                <w:rFonts w:eastAsia="微软雅黑" w:ascii="微软雅黑" w:hAnsi="微软雅黑"/>
                <w:sz w:val="17"/>
              </w:rPr>
              <w:t>16</w:t>
            </w:r>
            <w:r>
              <w:rPr>
                <w:rFonts w:ascii="微软雅黑" w:hAnsi="微软雅黑" w:eastAsia="微软雅黑"/>
                <w:sz w:val="17"/>
              </w:rPr>
              <w:t>提交，官网</w:t>
            </w:r>
            <w:r>
              <w:rPr>
                <w:rFonts w:eastAsia="微软雅黑" w:ascii="微软雅黑" w:hAnsi="微软雅黑"/>
                <w:sz w:val="17"/>
              </w:rPr>
              <w:t>4</w:t>
            </w:r>
            <w:r>
              <w:rPr>
                <w:rFonts w:ascii="微软雅黑" w:hAnsi="微软雅黑" w:eastAsia="微软雅黑"/>
                <w:sz w:val="17"/>
              </w:rPr>
              <w:t>月</w:t>
            </w:r>
            <w:r>
              <w:rPr>
                <w:rFonts w:eastAsia="微软雅黑" w:ascii="微软雅黑" w:hAnsi="微软雅黑"/>
                <w:sz w:val="17"/>
              </w:rPr>
              <w:t>17</w:t>
            </w:r>
            <w:r>
              <w:rPr>
                <w:rFonts w:ascii="微软雅黑" w:hAnsi="微软雅黑" w:eastAsia="微软雅黑"/>
                <w:sz w:val="17"/>
              </w:rPr>
              <w:t>文件</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审计三表、分部、租赁与治理</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[2026 Q2</w:t>
            </w:r>
            <w:r>
              <w:rPr>
                <w:rFonts w:ascii="微软雅黑" w:hAnsi="微软雅黑" w:eastAsia="微软雅黑"/>
                <w:sz w:val="17"/>
              </w:rPr>
              <w:t>及中期结果</w:t>
            </w:r>
            <w:r>
              <w:rPr>
                <w:rFonts w:eastAsia="微软雅黑" w:ascii="微软雅黑" w:hAnsi="微软雅黑"/>
                <w:sz w:val="17"/>
              </w:rPr>
              <w:t>](https://ir.jd.com/system/files-encrypted/nasdaq_kms/assets/2026/08/13/18-03-06/JD.com%20Announces%20Second%20Quarter%20and%20Interim%202026%20Results.pdf)</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H1/Q2</w:t>
            </w:r>
            <w:r>
              <w:rPr>
                <w:rFonts w:ascii="微软雅黑" w:hAnsi="微软雅黑" w:eastAsia="微软雅黑"/>
                <w:sz w:val="17"/>
              </w:rPr>
              <w:t>；</w:t>
            </w:r>
            <w:r>
              <w:rPr>
                <w:rFonts w:eastAsia="微软雅黑" w:ascii="微软雅黑" w:hAnsi="微软雅黑"/>
                <w:sz w:val="17"/>
              </w:rPr>
              <w:t>8</w:t>
            </w:r>
            <w:r>
              <w:rPr>
                <w:rFonts w:ascii="微软雅黑" w:hAnsi="微软雅黑" w:eastAsia="微软雅黑"/>
                <w:sz w:val="17"/>
              </w:rPr>
              <w:t>月</w:t>
            </w:r>
            <w:r>
              <w:rPr>
                <w:rFonts w:eastAsia="微软雅黑" w:ascii="微软雅黑" w:hAnsi="微软雅黑"/>
                <w:sz w:val="17"/>
              </w:rPr>
              <w:t>13</w:t>
            </w:r>
            <w:r>
              <w:rPr>
                <w:rFonts w:ascii="微软雅黑" w:hAnsi="微软雅黑" w:eastAsia="微软雅黑"/>
                <w:sz w:val="17"/>
              </w:rPr>
              <w:t>收盘后文件及</w:t>
            </w:r>
            <w:r>
              <w:rPr>
                <w:rFonts w:eastAsia="微软雅黑" w:ascii="微软雅黑" w:hAnsi="微软雅黑"/>
                <w:sz w:val="17"/>
              </w:rPr>
              <w:t>20:00</w:t>
            </w:r>
            <w:r>
              <w:rPr>
                <w:rFonts w:ascii="微软雅黑" w:hAnsi="微软雅黑" w:eastAsia="微软雅黑"/>
                <w:sz w:val="17"/>
              </w:rPr>
              <w:t>会议</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分部、经营费用、股数、</w:t>
            </w:r>
            <w:r>
              <w:rPr>
                <w:rFonts w:eastAsia="微软雅黑" w:ascii="微软雅黑" w:hAnsi="微软雅黑"/>
                <w:sz w:val="17"/>
              </w:rPr>
              <w:t>FCF</w:t>
            </w:r>
            <w:r>
              <w:rPr>
                <w:rFonts w:ascii="微软雅黑" w:hAnsi="微软雅黑" w:eastAsia="微软雅黑"/>
                <w:sz w:val="17"/>
              </w:rPr>
              <w:t>、</w:t>
            </w:r>
            <w:r>
              <w:rPr>
                <w:rFonts w:eastAsia="微软雅黑" w:ascii="微软雅黑" w:hAnsi="微软雅黑"/>
                <w:sz w:val="17"/>
              </w:rPr>
              <w:t>USGAAP</w:t>
            </w:r>
            <w:r>
              <w:rPr>
                <w:rFonts w:ascii="微软雅黑" w:hAnsi="微软雅黑" w:eastAsia="微软雅黑"/>
                <w:sz w:val="17"/>
              </w:rPr>
              <w:t>与</w:t>
            </w:r>
            <w:r>
              <w:rPr>
                <w:rFonts w:eastAsia="微软雅黑" w:ascii="微软雅黑" w:hAnsi="微软雅黑"/>
                <w:sz w:val="17"/>
              </w:rPr>
              <w:t>IFRS</w:t>
            </w:r>
            <w:r>
              <w:rPr>
                <w:rFonts w:ascii="微软雅黑" w:hAnsi="微软雅黑" w:eastAsia="微软雅黑"/>
                <w:sz w:val="17"/>
              </w:rPr>
              <w:t>调节</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[2025</w:t>
            </w:r>
            <w:r>
              <w:rPr>
                <w:rFonts w:ascii="微软雅黑" w:hAnsi="微软雅黑" w:eastAsia="微软雅黑"/>
                <w:sz w:val="17"/>
              </w:rPr>
              <w:t>全年结果</w:t>
            </w:r>
            <w:r>
              <w:rPr>
                <w:rFonts w:eastAsia="微软雅黑" w:ascii="微软雅黑" w:hAnsi="微软雅黑"/>
                <w:sz w:val="17"/>
              </w:rPr>
              <w:t>](https://ir.jd.com/system/files-encrypted/nasdaq_kms/assets/2026/03/05/18-02-03/JD.com%20Announces%20Fourth%20Quarter%20and%20Full%20Year%202025%20Results%2C%20and%20Annual%20Dividend.pdf)</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FY2025</w:t>
            </w:r>
            <w:r>
              <w:rPr>
                <w:rFonts w:ascii="微软雅黑" w:hAnsi="微软雅黑" w:eastAsia="微软雅黑"/>
                <w:sz w:val="17"/>
              </w:rPr>
              <w:t>；</w:t>
            </w:r>
            <w:r>
              <w:rPr>
                <w:rFonts w:eastAsia="微软雅黑" w:ascii="微软雅黑" w:hAnsi="微软雅黑"/>
                <w:sz w:val="17"/>
              </w:rPr>
              <w:t>3</w:t>
            </w:r>
            <w:r>
              <w:rPr>
                <w:rFonts w:ascii="微软雅黑" w:hAnsi="微软雅黑" w:eastAsia="微软雅黑"/>
                <w:sz w:val="17"/>
              </w:rPr>
              <w:t>月</w:t>
            </w:r>
            <w:r>
              <w:rPr>
                <w:rFonts w:eastAsia="微软雅黑" w:ascii="微软雅黑" w:hAnsi="微软雅黑"/>
                <w:sz w:val="17"/>
              </w:rPr>
              <w:t>5</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全年</w:t>
            </w:r>
            <w:r>
              <w:rPr>
                <w:rFonts w:eastAsia="微软雅黑" w:ascii="微软雅黑" w:hAnsi="微软雅黑"/>
                <w:sz w:val="17"/>
              </w:rPr>
              <w:t>FCF</w:t>
            </w:r>
            <w:r>
              <w:rPr>
                <w:rFonts w:ascii="微软雅黑" w:hAnsi="微软雅黑" w:eastAsia="微软雅黑"/>
                <w:sz w:val="17"/>
              </w:rPr>
              <w:t>、分红回购、分部，审计核心数字随后年报核对</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季度</w:t>
            </w:r>
            <w:r>
              <w:rPr>
                <w:rFonts w:eastAsia="微软雅黑" w:ascii="微软雅黑" w:hAnsi="微软雅黑"/>
                <w:sz w:val="17"/>
              </w:rPr>
              <w:t>IR</w:t>
            </w:r>
            <w:r>
              <w:rPr>
                <w:rFonts w:ascii="微软雅黑" w:hAnsi="微软雅黑" w:eastAsia="微软雅黑"/>
                <w:sz w:val="17"/>
              </w:rPr>
              <w:t>索引</w:t>
            </w:r>
            <w:r>
              <w:rPr>
                <w:rFonts w:eastAsia="微软雅黑" w:ascii="微软雅黑" w:hAnsi="微软雅黑"/>
                <w:sz w:val="17"/>
              </w:rPr>
              <w:t>](https://ir.jd.com/quarterly-results)</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截止日公开目录</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官方文件链接与时间</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外资目标</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日期</w:t>
            </w:r>
            <w:r>
              <w:rPr>
                <w:rFonts w:eastAsia="微软雅黑" w:ascii="微软雅黑" w:hAnsi="微软雅黑"/>
                <w:b/>
                <w:color w:val="FFFFFF"/>
                <w:sz w:val="17"/>
              </w:rPr>
              <w:t>/</w:t>
            </w:r>
            <w:r>
              <w:rPr>
                <w:rFonts w:ascii="微软雅黑" w:hAnsi="微软雅黑" w:eastAsia="微软雅黑"/>
                <w:b/>
                <w:color w:val="FFFFFF"/>
                <w:sz w:val="17"/>
              </w:rPr>
              <w:t>评级</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期限和口径</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来源</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美银</w:t>
            </w:r>
            <w:r>
              <w:rPr>
                <w:rFonts w:eastAsia="微软雅黑" w:ascii="微软雅黑" w:hAnsi="微软雅黑"/>
                <w:sz w:val="17"/>
              </w:rPr>
              <w:t>149HKD</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w:t>
            </w:r>
            <w:r>
              <w:rPr>
                <w:rFonts w:ascii="微软雅黑" w:hAnsi="微软雅黑" w:eastAsia="微软雅黑"/>
                <w:sz w:val="17"/>
              </w:rPr>
              <w:t>月</w:t>
            </w:r>
            <w:r>
              <w:rPr>
                <w:rFonts w:eastAsia="微软雅黑" w:ascii="微软雅黑" w:hAnsi="微软雅黑"/>
                <w:sz w:val="17"/>
              </w:rPr>
              <w:t>17/</w:t>
            </w:r>
            <w:r>
              <w:rPr>
                <w:rFonts w:ascii="微软雅黑" w:hAnsi="微软雅黑" w:eastAsia="微软雅黑"/>
                <w:sz w:val="17"/>
              </w:rPr>
              <w:t>买入</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期限缺失；普通股</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新闻转述</w:t>
            </w:r>
            <w:r>
              <w:rPr>
                <w:rFonts w:eastAsia="微软雅黑" w:ascii="微软雅黑" w:hAnsi="微软雅黑"/>
                <w:sz w:val="17"/>
              </w:rPr>
              <w:t>](https://www.aastocks.com/sc/stocks/analysis/stock-aafn-con/09618/AAFN/NOW.1538706/research-report)</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大和</w:t>
            </w:r>
            <w:r>
              <w:rPr>
                <w:rFonts w:eastAsia="微软雅黑" w:ascii="微软雅黑" w:hAnsi="微软雅黑"/>
                <w:sz w:val="17"/>
              </w:rPr>
              <w:t>120HKD</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w:t>
            </w:r>
            <w:r>
              <w:rPr>
                <w:rFonts w:ascii="微软雅黑" w:hAnsi="微软雅黑" w:eastAsia="微软雅黑"/>
                <w:sz w:val="17"/>
              </w:rPr>
              <w:t>月</w:t>
            </w:r>
            <w:r>
              <w:rPr>
                <w:rFonts w:eastAsia="微软雅黑" w:ascii="微软雅黑" w:hAnsi="微软雅黑"/>
                <w:sz w:val="17"/>
              </w:rPr>
              <w:t>17/</w:t>
            </w:r>
            <w:r>
              <w:rPr>
                <w:rFonts w:ascii="微软雅黑" w:hAnsi="微软雅黑" w:eastAsia="微软雅黑"/>
                <w:sz w:val="17"/>
              </w:rPr>
              <w:t>持有</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期限缺失；普通股</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新闻转述</w:t>
            </w:r>
            <w:r>
              <w:rPr>
                <w:rFonts w:eastAsia="微软雅黑" w:ascii="微软雅黑" w:hAnsi="微软雅黑"/>
                <w:sz w:val="17"/>
              </w:rPr>
              <w:t>](https://www.aastocks.com/sc/stocks/analysis/stock-aafn-con/09618/AAFN/NOW.1538623/research-report)</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花旗</w:t>
            </w:r>
            <w:r>
              <w:rPr>
                <w:rFonts w:eastAsia="微软雅黑" w:ascii="微软雅黑" w:hAnsi="微软雅黑"/>
                <w:sz w:val="17"/>
              </w:rPr>
              <w:t>39USD</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w:t>
            </w:r>
            <w:r>
              <w:rPr>
                <w:rFonts w:ascii="微软雅黑" w:hAnsi="微软雅黑" w:eastAsia="微软雅黑"/>
                <w:sz w:val="17"/>
              </w:rPr>
              <w:t>月</w:t>
            </w:r>
            <w:r>
              <w:rPr>
                <w:rFonts w:eastAsia="微软雅黑" w:ascii="微软雅黑" w:hAnsi="微软雅黑"/>
                <w:sz w:val="17"/>
              </w:rPr>
              <w:t>4/</w:t>
            </w:r>
            <w:r>
              <w:rPr>
                <w:rFonts w:ascii="微软雅黑" w:hAnsi="微软雅黑" w:eastAsia="微软雅黑"/>
                <w:sz w:val="17"/>
              </w:rPr>
              <w:t>买入</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期限缺失；每</w:t>
            </w:r>
            <w:r>
              <w:rPr>
                <w:rFonts w:eastAsia="微软雅黑" w:ascii="微软雅黑" w:hAnsi="微软雅黑"/>
                <w:sz w:val="17"/>
              </w:rPr>
              <w:t>ADS</w:t>
            </w:r>
            <w:r>
              <w:rPr>
                <w:rFonts w:ascii="微软雅黑" w:hAnsi="微软雅黑" w:eastAsia="微软雅黑"/>
                <w:sz w:val="17"/>
              </w:rPr>
              <w:t>；研究换算普通股</w:t>
            </w:r>
            <w:r>
              <w:rPr>
                <w:rFonts w:eastAsia="微软雅黑" w:ascii="微软雅黑" w:hAnsi="微软雅黑"/>
                <w:sz w:val="17"/>
              </w:rPr>
              <w:t>152.10HKD</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新闻转述</w:t>
            </w:r>
            <w:r>
              <w:rPr>
                <w:rFonts w:eastAsia="微软雅黑" w:ascii="微软雅黑" w:hAnsi="微软雅黑"/>
                <w:sz w:val="17"/>
              </w:rPr>
              <w:t>](https://www.aastocks.com/sc/stocks/analysis/stock-aafn-con/09618/AAFN/NOW.1542926/research-report)</w:t>
            </w:r>
          </w:p>
        </w:tc>
      </w:tr>
    </w:tbl>
    <w:p>
      <w:pPr>
        <w:pStyle w:val="Normal"/>
        <w:rPr/>
      </w:pPr>
      <w:r>
        <w:rPr/>
      </w:r>
    </w:p>
    <w:p>
      <w:pPr>
        <w:pStyle w:val="Normal"/>
        <w:rPr/>
      </w:pPr>
      <w:r>
        <w:rPr/>
        <w:t>原研报缺失。</w:t>
      </w:r>
      <w:r>
        <w:rPr/>
        <w:t>data/jd_model.json</w:t>
      </w:r>
      <w:r>
        <w:rPr/>
        <w:t>保存单套活动模型、十五情景、分数及逐字段</w:t>
      </w:r>
      <w:r>
        <w:rPr/>
        <w:t>metadata</w:t>
      </w:r>
      <w:r>
        <w:rPr/>
        <w:t>，</w:t>
      </w:r>
      <w:r>
        <w:rPr/>
        <w:t>qa/jd_qa.json</w:t>
      </w:r>
      <w:r>
        <w:rPr/>
        <w:t>保存独立核算与字数记录。行情只取</w:t>
      </w:r>
      <w:r>
        <w:rPr/>
        <w:t>market_snapshot_locked.json S080</w:t>
      </w:r>
      <w:r>
        <w:rPr/>
        <w:t>，复权高低与名义原价不可混用；换手率与逐笔量价分布不伪造。六月发行在外股数为官方百万四舍五入，截止日精确股本尚缺。</w:t>
      </w:r>
      <w:r>
        <w:br w:type="page"/>
      </w:r>
    </w:p>
    <w:p>
      <w:pPr>
        <w:pStyle w:val="Heading1"/>
        <w:rPr/>
      </w:pPr>
      <w:bookmarkStart w:id="3" w:name="__RefHeading___Toc38182_1364803659"/>
      <w:bookmarkEnd w:id="3"/>
      <w:r>
        <w:rPr>
          <w:color w:val="000000"/>
        </w:rPr>
        <w:t xml:space="preserve">中广核新能源 </w:t>
      </w:r>
      <w:r>
        <w:rPr>
          <w:color w:val="000000"/>
        </w:rPr>
        <w:t>01811 HK</w:t>
      </w:r>
    </w:p>
    <w:p>
      <w:pPr>
        <w:pStyle w:val="Normal"/>
        <w:rPr/>
      </w:pPr>
      <w:r>
        <w:rPr/>
        <w:t xml:space="preserve">01811.HK </w:t>
      </w:r>
      <w:r>
        <w:rPr/>
        <w:t xml:space="preserve">现价 </w:t>
      </w:r>
      <w:r>
        <w:rPr/>
        <w:t>2.10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62.50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+35.64%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+35.64%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+37.26%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+42.00%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65.00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+38.76%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+53.98%</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8</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+37.69%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+64.29%</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-48.59%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+19.10%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+79.67%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2.46HKD</w:t>
      </w:r>
      <w:r>
        <w:rPr/>
        <w:t>，期望股价回报</w:t>
      </w:r>
      <w:r>
        <w:rPr/>
        <w:t>+17.32%</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0.37</w:t>
              <w:br/>
              <w:t>-82.51%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2.84</w:t>
              <w:br/>
              <w:t>+35.64%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6.01</w:t>
              <w:br/>
              <w:t>+186.82%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0.31</w:t>
              <w:br/>
              <w:t>-85.27%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2.88</w:t>
              <w:br/>
              <w:t>+37.26%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6.38</w:t>
              <w:br/>
              <w:t>+204.49%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0.16</w:t>
              <w:br/>
              <w:t>-92.43%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2.91</w:t>
              <w:br/>
              <w:t>+38.76%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7.38</w:t>
              <w:br/>
              <w:t>+252.43%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+15.48%</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0.03</w:t>
              <w:br/>
              <w:t>-98.37%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2.88</w:t>
              <w:br/>
              <w:t>+37.69%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8.04</w:t>
              <w:br/>
              <w:t>+283.77%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+10.44%</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中；财报和现价高，历史复权跨源</w:t>
            </w:r>
            <w:r>
              <w:rPr>
                <w:rFonts w:eastAsia="微软雅黑" w:ascii="微软雅黑" w:hAnsi="微软雅黑"/>
                <w:sz w:val="17"/>
              </w:rPr>
              <w:t>2.55%</w:t>
            </w:r>
            <w:r>
              <w:rPr>
                <w:rFonts w:ascii="微软雅黑" w:hAnsi="微软雅黑" w:eastAsia="微软雅黑"/>
                <w:sz w:val="17"/>
              </w:rPr>
              <w:t>差异、未来电价与资金时序中低</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+28.85%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+35.64%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+42.42%</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+34.90%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+42.00%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+49.10%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+46.29%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+53.98%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+61.68%</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+56.08%</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+64.29%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+72.51%</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代码</w:t>
      </w:r>
      <w:r>
        <w:rPr/>
        <w:t>01811.HK</w:t>
      </w:r>
      <w:r>
        <w:rPr/>
        <w:t>；发行人</w:t>
      </w:r>
      <w:r>
        <w:rPr/>
        <w:t>I057</w:t>
      </w:r>
      <w:r>
        <w:rPr/>
        <w:t>；证券</w:t>
      </w:r>
      <w:r>
        <w:rPr/>
        <w:t>S067</w:t>
      </w:r>
      <w:r>
        <w:rPr/>
        <w:t>；基准</w:t>
      </w:r>
      <w:r>
        <w:rPr/>
        <w:t>2026</w:t>
      </w:r>
      <w:r>
        <w:rPr/>
        <w:t>年</w:t>
      </w:r>
      <w:r>
        <w:rPr/>
        <w:t>10</w:t>
      </w:r>
      <w:r>
        <w:rPr/>
        <w:t>月</w:t>
      </w:r>
      <w:r>
        <w:rPr/>
        <w:t>9</w:t>
      </w:r>
      <w:r>
        <w:rPr/>
        <w:t>日收盘</w:t>
      </w:r>
      <w:r>
        <w:rPr/>
        <w:t>2.095</w:t>
      </w:r>
      <w:r>
        <w:rPr/>
        <w:t>港元；行情版本</w:t>
      </w:r>
      <w:r>
        <w:rPr/>
        <w:t>market-v1.6</w:t>
      </w:r>
      <w:r>
        <w:rPr/>
        <w:t>；研究信息截止同日。财务使用美元千元，模型使用美元十亿元，电价、股数和发电量另外标明。模型版本</w:t>
      </w:r>
      <w:r>
        <w:rPr/>
        <w:t>cgn-energy-quantity-price-interest-funding-v1.0</w:t>
      </w:r>
      <w:r>
        <w:rPr/>
        <w:t>，结论为独立初版，后续全名单梯队按统一分数差规则生成。</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408"/>
        <w:gridCol w:w="1407"/>
        <w:gridCol w:w="1409"/>
        <w:gridCol w:w="1407"/>
        <w:gridCol w:w="1409"/>
        <w:gridCol w:w="1407"/>
        <w:gridCol w:w="1409"/>
      </w:tblGrid>
      <w:tr>
        <w:trPr>
          <w:tblHeader w:val="true"/>
          <w:cantSplit/>
        </w:trPr>
        <w:tc>
          <w:tcPr>
            <w:tcW w:w="1408"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悲观目标港元</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基准目标港元</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乐观目标港元</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r>
              <w:rPr>
                <w:rFonts w:eastAsia="微软雅黑" w:ascii="微软雅黑" w:hAnsi="微软雅黑"/>
                <w:sz w:val="17"/>
              </w:rPr>
              <w:t>2026-12-31</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不设独立排名</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1.0770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2.4951</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3.7642</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19.0979%</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19.0979%</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62.5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0.3664</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2.8416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6.0088</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35.6353%</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35.6353%</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0.3087</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2.8756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6.3792</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37.2607%</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41.9970%</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0.1586</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2.9070</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7.3834</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38.7567%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53.9848%</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63.6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0.0342</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2.8846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8.0400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37.6902%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64.2944%</w:t>
            </w:r>
          </w:p>
        </w:tc>
      </w:tr>
    </w:tbl>
    <w:p>
      <w:pPr>
        <w:pStyle w:val="Normal"/>
        <w:rPr/>
      </w:pPr>
      <w:r>
        <w:rPr/>
      </w:r>
    </w:p>
    <w:p>
      <w:pPr>
        <w:pStyle w:val="Heading2"/>
        <w:rPr/>
      </w:pPr>
      <w:r>
        <w:rPr>
          <w:color w:val="000000"/>
        </w:rPr>
        <w:t>投资结论</w:t>
      </w:r>
    </w:p>
    <w:p>
      <w:pPr>
        <w:pStyle w:val="Normal"/>
        <w:rPr/>
      </w:pPr>
      <w:r>
        <w:rPr/>
        <w:t>中广核新能源适合进取组合中寻找经营修复与估值折价的投资者，但当前证据只支持中等推荐强度。主要吸引力是现价对正常化盈利要求不高，风电仍有较高经营利润，韩国大山二期已经投入商业运行，八月风电量也出现恢复。限制是市场化电价下行并未结束，高负债与补贴资金占用会放大经营波动，日线反弹没有得到周线趋势确认。把它排在高成长科技或拥有强临床证据的创新药之前，需要更好的电价、现金和每股盈利证据，而不能只看个位数市盈率。</w:t>
      </w:r>
    </w:p>
    <w:p>
      <w:pPr>
        <w:pStyle w:val="Normal"/>
        <w:rPr/>
      </w:pPr>
      <w:r>
        <w:rPr/>
        <w:t>半年重点观察年报是否证明盈利低谷主要来自弱风况，还是电价和成本形成新的低盈利中枢。基准目标</w:t>
      </w:r>
      <w:r>
        <w:rPr/>
        <w:t>2.8416</w:t>
      </w:r>
      <w:r>
        <w:rPr/>
        <w:t>港元意味着约</w:t>
      </w:r>
      <w:r>
        <w:rPr/>
        <w:t>35.64%</w:t>
      </w:r>
      <w:r>
        <w:rPr/>
        <w:t>股价上涨，隐含正常归母利润约</w:t>
      </w:r>
      <w:r>
        <w:rPr/>
        <w:t>2.381</w:t>
      </w:r>
      <w:r>
        <w:rPr/>
        <w:t>亿美元、</w:t>
      </w:r>
      <w:r>
        <w:rPr/>
        <w:t>6.5</w:t>
      </w:r>
      <w:r>
        <w:rPr/>
        <w:t>倍目标未来十二月市盈率。它不是把</w:t>
      </w:r>
      <w:r>
        <w:rPr/>
        <w:t>2025</w:t>
      </w:r>
      <w:r>
        <w:rPr/>
        <w:t>年利润机械复制到</w:t>
      </w:r>
      <w:r>
        <w:rPr/>
        <w:t>2027</w:t>
      </w:r>
      <w:r>
        <w:rPr/>
        <w:t>年：模型对风光电价持续小幅下降、韩国价差与费用、全部财务成本、税和少数股东权益分别计算。若</w:t>
      </w:r>
      <w:r>
        <w:rPr/>
        <w:t>2026</w:t>
      </w:r>
      <w:r>
        <w:rPr/>
        <w:t>全年风电量无法恢复、太阳能实际电价再降、融资成本显著提高，该基准目标就不成立。</w:t>
      </w:r>
    </w:p>
    <w:p>
      <w:pPr>
        <w:pStyle w:val="Normal"/>
        <w:rPr/>
      </w:pPr>
      <w:r>
        <w:rPr/>
        <w:t>一年更有机会验证新机组、风光项目与电力交易策略，但也跨过部分关联融资书面支持的十二个月边界。基准股价</w:t>
      </w:r>
      <w:r>
        <w:rPr/>
        <w:t>2.8756</w:t>
      </w:r>
      <w:r>
        <w:rPr/>
        <w:t>港元、含息回报约</w:t>
      </w:r>
      <w:r>
        <w:rPr/>
        <w:t>42.00%</w:t>
      </w:r>
      <w:r>
        <w:rPr/>
        <w:t>，较半年增加的主要价值来自股息与盈利验证，估值没有额外提高。三年和五年基准目标约</w:t>
      </w:r>
      <w:r>
        <w:rPr/>
        <w:t>2.9070</w:t>
      </w:r>
      <w:r>
        <w:rPr/>
        <w:t>与</w:t>
      </w:r>
      <w:r>
        <w:rPr/>
        <w:t>2.8846</w:t>
      </w:r>
      <w:r>
        <w:rPr/>
        <w:t>港元，价格涨幅接近，含息回报因现金分配增加而提高。这个路径强调成熟运营商盈利修复后估值回归稳定区间；没有假设电站规模扩大就能获得持续增长的市场倍数。</w:t>
      </w:r>
    </w:p>
    <w:p>
      <w:pPr>
        <w:pStyle w:val="Normal"/>
        <w:rPr/>
      </w:pPr>
      <w:r>
        <w:rPr/>
        <w:t>本公司的证据可信度总体为中。港交所年报、中报、股息、发电量与融资文件可信度高；现价和成交量经交叉核验；复权历史存在两来源约</w:t>
      </w:r>
      <w:r>
        <w:rPr/>
        <w:t>2.55%</w:t>
      </w:r>
      <w:r>
        <w:rPr/>
        <w:t>的最大差异，因此技术关键点只作为观察区间。未来每度电收益、融资滚动与项目成本属于研究假设，不能视为管理层承诺。情景权重为悲观</w:t>
      </w:r>
      <w:r>
        <w:rPr/>
        <w:t>25%</w:t>
      </w:r>
      <w:r>
        <w:rPr/>
        <w:t>、基准</w:t>
      </w:r>
      <w:r>
        <w:rPr/>
        <w:t>50%</w:t>
      </w:r>
      <w:r>
        <w:rPr/>
        <w:t>、乐观</w:t>
      </w:r>
      <w:r>
        <w:rPr/>
        <w:t>25%</w:t>
      </w:r>
      <w:r>
        <w:rPr/>
        <w:t>，属于判断权重。年底加权期望价</w:t>
      </w:r>
      <w:r>
        <w:rPr/>
        <w:t>2.4578</w:t>
      </w:r>
      <w:r>
        <w:rPr/>
        <w:t>港元并不意味着该价格最可能出现，也不代表上涨概率为某个百分比。</w:t>
      </w:r>
    </w:p>
    <w:p>
      <w:pPr>
        <w:pStyle w:val="Heading2"/>
        <w:rPr/>
      </w:pPr>
      <w:r>
        <w:rPr>
          <w:color w:val="000000"/>
        </w:rPr>
        <w:t>业务结构与竞争位置</w:t>
      </w:r>
    </w:p>
    <w:p>
      <w:pPr>
        <w:pStyle w:val="Normal"/>
        <w:rPr/>
      </w:pPr>
      <w:r>
        <w:rPr/>
        <w:t>中广核新能源在中国与韩国运营发电项目，能源组合包含风电、太阳能、天然气、煤电、燃油、水电、生物质及储能。</w:t>
      </w:r>
      <w:r>
        <w:rPr/>
        <w:t>2026</w:t>
      </w:r>
      <w:r>
        <w:rPr/>
        <w:t>年六月归属装机</w:t>
      </w:r>
      <w:r>
        <w:rPr/>
        <w:t>10,958.8</w:t>
      </w:r>
      <w:r>
        <w:rPr/>
        <w:t>兆瓦，中国约占</w:t>
      </w:r>
      <w:r>
        <w:rPr/>
        <w:t>80.2%</w:t>
      </w:r>
      <w:r>
        <w:rPr/>
        <w:t>，韩国约占</w:t>
      </w:r>
      <w:r>
        <w:rPr/>
        <w:t>19.8%</w:t>
      </w:r>
      <w:r>
        <w:rPr/>
        <w:t>；风光合计</w:t>
      </w:r>
      <w:r>
        <w:rPr/>
        <w:t>68.9%</w:t>
      </w:r>
      <w:r>
        <w:rPr/>
        <w:t>，按公司口径的清洁及可再生组合</w:t>
      </w:r>
      <w:r>
        <w:rPr/>
        <w:t>86.3%</w:t>
      </w:r>
      <w:r>
        <w:rPr/>
        <w:t>。其中天然气也计入清洁组合，投资者应区分低碳能源和零碳可再生能源。公司名称与集团背景容易让人联想到核电，但本章估值没有赋予核电建设运营资产价值，也没有把集团的其他上市公司资产计入它的权益。</w:t>
      </w:r>
    </w:p>
    <w:p>
      <w:pPr>
        <w:pStyle w:val="Normal"/>
        <w:rPr/>
      </w:pPr>
      <w:r>
        <w:rPr/>
        <w:t>归属装机与并表装机的含义不同。六月并表装机</w:t>
      </w:r>
      <w:r>
        <w:rPr/>
        <w:t>10,275.5</w:t>
      </w:r>
      <w:r>
        <w:rPr/>
        <w:t>兆瓦，归属装机则按项目权益比例计算，包含不一定并表的资产。若把归属发电量、并表收入和总项目容量直接相乘，会把少数股东或联营权益重复计入。本模型风光收入用公司公布的并表发电量及管理讨论中的业务收入校准，集团正常盈利再单列少数股东利润。对未拿到详细权益表的个别未来项目，不追加一个独立资产净值，以避免仅凭总容量制造不真实的股东上涨空间。</w:t>
      </w:r>
    </w:p>
    <w:p>
      <w:pPr>
        <w:pStyle w:val="Normal"/>
        <w:rPr/>
      </w:pPr>
      <w:r>
        <w:rPr/>
        <w:t>风电是盈利核心。半年中国风电收入约</w:t>
      </w:r>
      <w:r>
        <w:rPr/>
        <w:t>3.074</w:t>
      </w:r>
      <w:r>
        <w:rPr/>
        <w:t>亿美元、经营利润约</w:t>
      </w:r>
      <w:r>
        <w:rPr/>
        <w:t>1.488</w:t>
      </w:r>
      <w:r>
        <w:rPr/>
        <w:t>亿美元、归母贡献约</w:t>
      </w:r>
      <w:r>
        <w:rPr/>
        <w:t>9740</w:t>
      </w:r>
      <w:r>
        <w:rPr/>
        <w:t>万美元，虽受弱风况和电价下调影响，仍贡献主要项目盈利。风电可利用已有接入、土地与运行经验，但并不拥有无限提价权。竞价市场中同地区多个运营商面对相似天气，资源旺盛时集中发电会压低价格；市场化收入可能出现发得越多、平均价越低的相关性。真正竞争优势是项目资源、消纳条件、全寿命成本和交易管理共同形成的单位资本回报。</w:t>
      </w:r>
    </w:p>
    <w:p>
      <w:pPr>
        <w:pStyle w:val="Normal"/>
        <w:rPr/>
      </w:pPr>
      <w:r>
        <w:rPr/>
        <w:t>太阳能装机增长较快，但盈利承压更明显。六月归属太阳能</w:t>
      </w:r>
      <w:r>
        <w:rPr/>
        <w:t>2,967.2</w:t>
      </w:r>
      <w:r>
        <w:rPr/>
        <w:t>兆瓦，同比增长</w:t>
      </w:r>
      <w:r>
        <w:rPr/>
        <w:t>11.7%</w:t>
      </w:r>
      <w:r>
        <w:rPr/>
        <w:t>，半年发电量</w:t>
      </w:r>
      <w:r>
        <w:rPr/>
        <w:t>1,562.6</w:t>
      </w:r>
      <w:r>
        <w:rPr/>
        <w:t>吉瓦时，同比增长</w:t>
      </w:r>
      <w:r>
        <w:rPr/>
        <w:t>35.3%</w:t>
      </w:r>
      <w:r>
        <w:rPr/>
        <w:t>；收入仅从约</w:t>
      </w:r>
      <w:r>
        <w:rPr/>
        <w:t>7040</w:t>
      </w:r>
      <w:r>
        <w:rPr/>
        <w:t>万美元升至</w:t>
      </w:r>
      <w:r>
        <w:rPr/>
        <w:t>7850</w:t>
      </w:r>
      <w:r>
        <w:rPr/>
        <w:t>万美元，经营利润却由</w:t>
      </w:r>
      <w:r>
        <w:rPr/>
        <w:t>2920</w:t>
      </w:r>
      <w:r>
        <w:rPr/>
        <w:t>万美元降至</w:t>
      </w:r>
      <w:r>
        <w:rPr/>
        <w:t>2110</w:t>
      </w:r>
      <w:r>
        <w:rPr/>
        <w:t>万美元。这种差异表明新增装机和量增不等于利润同步增长。电价从每度</w:t>
      </w:r>
      <w:r>
        <w:rPr/>
        <w:t>0.52</w:t>
      </w:r>
      <w:r>
        <w:rPr/>
        <w:t>元降至</w:t>
      </w:r>
      <w:r>
        <w:rPr/>
        <w:t>0.43</w:t>
      </w:r>
      <w:r>
        <w:rPr/>
        <w:t>元，部分新项目缺少旧高价补贴，加上限电和费用，收入质量受到稀释。研究关注新增项目资本回报，不能以装机增速代替利润率证据。</w:t>
      </w:r>
    </w:p>
    <w:p>
      <w:pPr>
        <w:pStyle w:val="Normal"/>
        <w:rPr/>
      </w:pPr>
      <w:r>
        <w:rPr/>
        <w:t>韩国项目半年收入</w:t>
      </w:r>
      <w:r>
        <w:rPr/>
        <w:t>3.401</w:t>
      </w:r>
      <w:r>
        <w:rPr/>
        <w:t>亿美元，经营利润约</w:t>
      </w:r>
      <w:r>
        <w:rPr/>
        <w:t>2140</w:t>
      </w:r>
      <w:r>
        <w:rPr/>
        <w:t>万美元，归母盈利约</w:t>
      </w:r>
      <w:r>
        <w:rPr/>
        <w:t>1360</w:t>
      </w:r>
      <w:r>
        <w:rPr/>
        <w:t>万美元。收入体量大于中国风电但利润较小，说明气电主要是高燃料成本的转换业务。电价下降与天然气采购成本下降同时发生，关键是价差、容量费、启动费、可再生证书与利用率。不能把韩国收入增加直接乘中国风电的利润率。大山二期</w:t>
      </w:r>
      <w:r>
        <w:rPr/>
        <w:t>557</w:t>
      </w:r>
      <w:r>
        <w:rPr/>
        <w:t>兆瓦七月商运，在八月发电公告中得到容量增加的印证，因此基准给予全年运行贡献，但不会把整个新增收入当成新增净利润。</w:t>
      </w:r>
    </w:p>
    <w:p>
      <w:pPr>
        <w:pStyle w:val="Normal"/>
        <w:rPr/>
      </w:pPr>
      <w:r>
        <w:rPr/>
        <w:t>其余中国项目与管理服务提供分散化，却不能掩盖核心风光风险。半年中国水电收入约</w:t>
      </w:r>
      <w:r>
        <w:rPr/>
        <w:t>400</w:t>
      </w:r>
      <w:r>
        <w:rPr/>
        <w:t>万美元、经营利润</w:t>
      </w:r>
      <w:r>
        <w:rPr/>
        <w:t>160</w:t>
      </w:r>
      <w:r>
        <w:rPr/>
        <w:t>万美元，体量有限；中国煤电、热电及气电收入约</w:t>
      </w:r>
      <w:r>
        <w:rPr/>
        <w:t>660</w:t>
      </w:r>
      <w:r>
        <w:rPr/>
        <w:t>万美元、经营亏损约</w:t>
      </w:r>
      <w:r>
        <w:rPr/>
        <w:t>60</w:t>
      </w:r>
      <w:r>
        <w:rPr/>
        <w:t>万美元，去年出售热电资产改变比较基础。管理业务法定分部收入</w:t>
      </w:r>
      <w:r>
        <w:rPr/>
        <w:t>1038.6</w:t>
      </w:r>
      <w:r>
        <w:rPr/>
        <w:t>万美元、分部业绩</w:t>
      </w:r>
      <w:r>
        <w:rPr/>
        <w:t>49.4</w:t>
      </w:r>
      <w:r>
        <w:rPr/>
        <w:t>万美元，属于服务收入而非发电资产高回报。研究拆分中的其他收入含多项小业务，未把管理服务全部按软件或轻资产高倍数估值，也未按集团资产管理容量虚构独立收费增长。</w:t>
      </w:r>
    </w:p>
    <w:p>
      <w:pPr>
        <w:pStyle w:val="Normal"/>
        <w:rPr/>
      </w:pPr>
      <w:r>
        <w:rPr/>
        <w:t>集团资源对拿项目、采购、融资及人才有帮助。控股股东通过间接持股持有约</w:t>
      </w:r>
      <w:r>
        <w:rPr/>
        <w:t>72.30%</w:t>
      </w:r>
      <w:r>
        <w:rPr/>
        <w:t>，在风光开发和运维中形成规模经验。对外部小股东而言，资源优势必须落实到上市主体的利润和现金，集团扩张目标并非每股回报的保证。非竞争安排、管理服务和内部财务支持有实质价值，但项目转移价格、资金存放、融资利率和投资顺序仍需审查。中广核集团的信用帮助降低风险，不能自动推导出上市公司债务或股价获得无条件担保。</w:t>
      </w:r>
    </w:p>
    <w:p>
      <w:pPr>
        <w:pStyle w:val="Heading2"/>
        <w:rPr/>
      </w:pPr>
      <w:r>
        <w:rPr>
          <w:color w:val="000000"/>
        </w:rPr>
        <w:t>行业周期与经济前景</w:t>
      </w:r>
    </w:p>
    <w:p>
      <w:pPr>
        <w:pStyle w:val="Normal"/>
        <w:rPr/>
      </w:pPr>
      <w:r>
        <w:rPr/>
        <w:t>电力需求长期受到电气化、工业、城市服务及数字基础设施推动，但不同地区需求增速与新电源投放速度可能错位。对中广核，经济增长作用主要通过当地负荷、用电价格和消纳传导。中国风光供给快速增加时，需求正增长仍可伴随竞价电价下降。韩国气电需求取决于核电、煤电、可再生电源与调度结构，不能单凭全球天然气需求预测该公司盈利。模型更看重实际量价和燃料价差，不将宏观</w:t>
      </w:r>
      <w:r>
        <w:rPr/>
        <w:t>GDP</w:t>
      </w:r>
      <w:r>
        <w:rPr/>
        <w:t>增长直接等比例转换为公司利润增长。</w:t>
      </w:r>
    </w:p>
    <w:p>
      <w:pPr>
        <w:pStyle w:val="Normal"/>
        <w:rPr/>
      </w:pPr>
      <w:r>
        <w:rPr/>
        <w:t>中国市场化改革提高交易能力的重要性。长期合同能够锁定部分收入，现货价格揭示时段供需，绿电交易可带来环境权益收益。另一方面，旧项目的固定补贴收入与市场电价并存，新增项目可能面临更低基础回报。公司披露一省一策、合同结构和交易平台的改进，只能证明管理行动；要证明创造价值，需要看到相同地区、相同资源条件下的实现电价、偏差成本与回款优于原预算。本章没有因“参与市场化”这一叙述自动增加评分。</w:t>
      </w:r>
    </w:p>
    <w:p>
      <w:pPr>
        <w:pStyle w:val="Normal"/>
        <w:rPr/>
      </w:pPr>
      <w:r>
        <w:rPr/>
        <w:t>天气和消纳应分开判断。半年风电利用小时</w:t>
      </w:r>
      <w:r>
        <w:rPr/>
        <w:t>971</w:t>
      </w:r>
      <w:r>
        <w:rPr/>
        <w:t>小时，去年</w:t>
      </w:r>
      <w:r>
        <w:rPr/>
        <w:t>1209</w:t>
      </w:r>
      <w:r>
        <w:rPr/>
        <w:t>小时，下降主要被公司归因于平均风速减弱；太阳能利用小时</w:t>
      </w:r>
      <w:r>
        <w:rPr/>
        <w:t>531</w:t>
      </w:r>
      <w:r>
        <w:rPr/>
        <w:t>小时，去年</w:t>
      </w:r>
      <w:r>
        <w:rPr/>
        <w:t>572</w:t>
      </w:r>
      <w:r>
        <w:rPr/>
        <w:t>小时，下降更多涉及限电。前者可能有均值回归，后者可能需要电网、储能、外送通道或需求改善。八月风电量反弹支持天气改善，但不能证明全年已恢复，更不能证明光伏限电改善。若下一年度风速恢复而上网小时仍低，就应把消纳问题提高到结构性风险，降低基准电量而不是只责怪天气。</w:t>
      </w:r>
    </w:p>
    <w:p>
      <w:pPr>
        <w:pStyle w:val="Normal"/>
        <w:rPr/>
      </w:pPr>
      <w:r>
        <w:rPr/>
        <w:t>利率下降对高债公司有较直接影响。六月银行借贷约</w:t>
      </w:r>
      <w:r>
        <w:rPr/>
        <w:t>56.853</w:t>
      </w:r>
      <w:r>
        <w:rPr/>
        <w:t>亿美元，其中浮息</w:t>
      </w:r>
      <w:r>
        <w:rPr/>
        <w:t>45.323</w:t>
      </w:r>
      <w:r>
        <w:rPr/>
        <w:t>亿美元，另有关联贷款；银行费用半年度约</w:t>
      </w:r>
      <w:r>
        <w:rPr/>
        <w:t>5728.5</w:t>
      </w:r>
      <w:r>
        <w:rPr/>
        <w:t>万美元。较低人民币利率与集团融资资源可以帮助利润，但韩国或其他实体的融资定价不必完全同步。模型用银行和关联期初余额分别乘研究利率，保留租赁及其他利息。未来利率每上升一个百分点，对高负债正常利润的冲击可能超过新增小型项目贡献，所以下半年借款结构和融资条款比市场降息口号更关键。</w:t>
      </w:r>
    </w:p>
    <w:p>
      <w:pPr>
        <w:pStyle w:val="Normal"/>
        <w:rPr/>
      </w:pPr>
      <w:r>
        <w:rPr/>
        <w:t>汇率有三个层次。股价港币，报表呈列美元，中国项目与融资主要人民币，韩国业务主要韩元。公司自</w:t>
      </w:r>
      <w:r>
        <w:rPr/>
        <w:t>2026</w:t>
      </w:r>
      <w:r>
        <w:rPr/>
        <w:t>年一月起将母公司功能货币从美元改为人民币，集团呈列仍美元；这会改变损益与汇兑呈现，不能误判为经营现金突然变化。模型美元兑港币</w:t>
      </w:r>
      <w:r>
        <w:rPr/>
        <w:t>7.8</w:t>
      </w:r>
      <w:r>
        <w:rPr/>
        <w:t>为研究常数，人民币兑美元</w:t>
      </w:r>
      <w:r>
        <w:rPr/>
        <w:t>6.814</w:t>
      </w:r>
      <w:r>
        <w:rPr/>
        <w:t>仅用于量价转换，接近半年财报某贷款换算。没有把这些常数称为</w:t>
      </w:r>
      <w:r>
        <w:rPr/>
        <w:t>10</w:t>
      </w:r>
      <w:r>
        <w:rPr/>
        <w:t>月</w:t>
      </w:r>
      <w:r>
        <w:rPr/>
        <w:t>9</w:t>
      </w:r>
      <w:r>
        <w:rPr/>
        <w:t>日实时汇率，人民币投资者收益需另看港币兑人民币敏感性。</w:t>
      </w:r>
    </w:p>
    <w:p>
      <w:pPr>
        <w:pStyle w:val="Normal"/>
        <w:rPr/>
      </w:pPr>
      <w:r>
        <w:rPr/>
        <w:t>出口导向企业和高耗能用户可能愿意为可追溯绿电付款，但绿证供给增加也会抑制价格。公司上半年完成约</w:t>
      </w:r>
      <w:r>
        <w:rPr/>
        <w:t>3.4</w:t>
      </w:r>
      <w:r>
        <w:rPr/>
        <w:t>亿度绿电交易及</w:t>
      </w:r>
      <w:r>
        <w:rPr/>
        <w:t>86.2</w:t>
      </w:r>
      <w:r>
        <w:rPr/>
        <w:t>万张绿证销售，说明已有业务实践。它们占总发电量和收入比例仍需合理衡量，不应把每一度电都假设获得高额绿色溢价。国内绿证、韩国可再生证书、碳减排收益规则不同，不能重复销售同一环境权益。本模型将已有收益包含在相关收入转换或韩国实现收入中，没有再叠加独立“碳资产市值”。</w:t>
      </w:r>
    </w:p>
    <w:p>
      <w:pPr>
        <w:pStyle w:val="Normal"/>
        <w:rPr/>
      </w:pPr>
      <w:r>
        <w:rPr/>
        <w:t>韩国气价受进口天然气成本和油价参考机制影响，半年度平均采购气价从</w:t>
      </w:r>
      <w:r>
        <w:rPr/>
        <w:t>816.88</w:t>
      </w:r>
      <w:r>
        <w:rPr/>
        <w:t>韩元每标准立方米降到</w:t>
      </w:r>
      <w:r>
        <w:rPr/>
        <w:t>680.03</w:t>
      </w:r>
      <w:r>
        <w:rPr/>
        <w:t>韩元，气电平均含税电价从</w:t>
      </w:r>
      <w:r>
        <w:rPr/>
        <w:t>175.67</w:t>
      </w:r>
      <w:r>
        <w:rPr/>
        <w:t>降至</w:t>
      </w:r>
      <w:r>
        <w:rPr/>
        <w:t>139.84</w:t>
      </w:r>
      <w:r>
        <w:rPr/>
        <w:t>韩元每度。气价跌幅约</w:t>
      </w:r>
      <w:r>
        <w:rPr/>
        <w:t>16.8%</w:t>
      </w:r>
      <w:r>
        <w:rPr/>
        <w:t>，电价跌幅约</w:t>
      </w:r>
      <w:r>
        <w:rPr/>
        <w:t>20.4%</w:t>
      </w:r>
      <w:r>
        <w:rPr/>
        <w:t>，用简单百分比就足以看出价差改善不能自动成立。不同计价单位不可直接相减；实际耗气率、容量收入和税还影响利润。本章用每度总实现收入与燃料成本的研究代理比较，明确这不是公司披露的单机热效率或法定结算价。</w:t>
      </w:r>
    </w:p>
    <w:p>
      <w:pPr>
        <w:pStyle w:val="Normal"/>
        <w:rPr/>
      </w:pPr>
      <w:r>
        <w:rPr/>
        <w:t>能源转型需要可靠调节。风光波动增加气电、储能与灵活电源需求，但调节价值能否变成现金取决于容量支付、辅助服务和市场规则。大山二期可能在稳定供应与负荷变化中受益，同时面临低利用率或燃料成本高企。储能</w:t>
      </w:r>
      <w:r>
        <w:rPr/>
        <w:t>200</w:t>
      </w:r>
      <w:r>
        <w:rPr/>
        <w:t>兆瓦、</w:t>
      </w:r>
      <w:r>
        <w:rPr/>
        <w:t>400</w:t>
      </w:r>
      <w:r>
        <w:rPr/>
        <w:t>兆瓦时项目具有两小时能量配置，不能直接与发电机组的同兆瓦连续出力等同。研究将储能看作消纳、交易和调节能力建设，不以设备功率乘任意每兆瓦估值增加目标价。</w:t>
      </w:r>
    </w:p>
    <w:p>
      <w:pPr>
        <w:pStyle w:val="Heading2"/>
        <w:rPr/>
      </w:pPr>
      <w:r>
        <w:rPr>
          <w:color w:val="000000"/>
        </w:rPr>
        <w:t>历史财务与正常利润</w:t>
      </w:r>
    </w:p>
    <w:p>
      <w:pPr>
        <w:pStyle w:val="Normal"/>
        <w:rPr/>
      </w:pPr>
      <w:r>
        <w:rPr/>
        <w:t>2023</w:t>
      </w:r>
      <w:r>
        <w:rPr/>
        <w:t>至</w:t>
      </w:r>
      <w:r>
        <w:rPr/>
        <w:t>2025</w:t>
      </w:r>
      <w:r>
        <w:rPr/>
        <w:t>年收入约</w:t>
      </w:r>
      <w:r>
        <w:rPr/>
        <w:t>21.930</w:t>
      </w:r>
      <w:r>
        <w:rPr/>
        <w:t>、</w:t>
      </w:r>
      <w:r>
        <w:rPr/>
        <w:t>19.513</w:t>
      </w:r>
      <w:r>
        <w:rPr/>
        <w:t>和</w:t>
      </w:r>
      <w:r>
        <w:rPr/>
        <w:t>16.929</w:t>
      </w:r>
      <w:r>
        <w:rPr/>
        <w:t>亿美元，连续下降；归母利润却约</w:t>
      </w:r>
      <w:r>
        <w:rPr/>
        <w:t>2.677</w:t>
      </w:r>
      <w:r>
        <w:rPr/>
        <w:t>、</w:t>
      </w:r>
      <w:r>
        <w:rPr/>
        <w:t>2.480</w:t>
      </w:r>
      <w:r>
        <w:rPr/>
        <w:t>和</w:t>
      </w:r>
      <w:r>
        <w:rPr/>
        <w:t>2.759</w:t>
      </w:r>
      <w:r>
        <w:rPr/>
        <w:t>亿美元。收入下降部分来自燃料价格、项目处置和结构变化，利润不应只按营业额增减判断。</w:t>
      </w:r>
      <w:r>
        <w:rPr/>
        <w:t>2025</w:t>
      </w:r>
      <w:r>
        <w:rPr/>
        <w:t>年经营利润</w:t>
      </w:r>
      <w:r>
        <w:rPr/>
        <w:t>4.807</w:t>
      </w:r>
      <w:r>
        <w:rPr/>
        <w:t>亿美元低于</w:t>
      </w:r>
      <w:r>
        <w:rPr/>
        <w:t>2024</w:t>
      </w:r>
      <w:r>
        <w:rPr/>
        <w:t>年</w:t>
      </w:r>
      <w:r>
        <w:rPr/>
        <w:t>5.283</w:t>
      </w:r>
      <w:r>
        <w:rPr/>
        <w:t>亿美元，但财务费用由</w:t>
      </w:r>
      <w:r>
        <w:rPr/>
        <w:t>1.812</w:t>
      </w:r>
      <w:r>
        <w:rPr/>
        <w:t>降至</w:t>
      </w:r>
      <w:r>
        <w:rPr/>
        <w:t>1.589</w:t>
      </w:r>
      <w:r>
        <w:rPr/>
        <w:t>亿美元，减值和联营结果变化帮助归母上升。低市盈率对应的盈利有多项支持来源，既有经营改善也有非经常波动，必须区分持续性后才能谈估值修复。</w:t>
      </w:r>
    </w:p>
    <w:p>
      <w:pPr>
        <w:pStyle w:val="Normal"/>
        <w:rPr/>
      </w:pPr>
      <w:r>
        <w:rPr/>
        <w:t>2025</w:t>
      </w:r>
      <w:r>
        <w:rPr/>
        <w:t>年其他收益亏损净额为负</w:t>
      </w:r>
      <w:r>
        <w:rPr/>
        <w:t>542.1</w:t>
      </w:r>
      <w:r>
        <w:rPr/>
        <w:t>万美元，其中出售附属公司收益</w:t>
      </w:r>
      <w:r>
        <w:rPr/>
        <w:t>2393.9</w:t>
      </w:r>
      <w:r>
        <w:rPr/>
        <w:t>万美元、商誉减值</w:t>
      </w:r>
      <w:r>
        <w:rPr/>
        <w:t>887.1</w:t>
      </w:r>
      <w:r>
        <w:rPr/>
        <w:t>万美元、汇兑亏损</w:t>
      </w:r>
      <w:r>
        <w:rPr/>
        <w:t>1252.2</w:t>
      </w:r>
      <w:r>
        <w:rPr/>
        <w:t>万美元以及设备处置损失等互相抵消。只从净额看到小损失，会遗漏正向一次性处置收益；只把全部损失加回，则又会把经营风险消失。正常化模型不重复使用处置收益，不预设每年可以卖资产赚同样收益，同时保留设备经济成本、融资费用和税。减值反映未来现金流预期下修，不因属于非现金项目就断言完全无关价值。</w:t>
      </w:r>
    </w:p>
    <w:p>
      <w:pPr>
        <w:pStyle w:val="Normal"/>
        <w:rPr/>
      </w:pPr>
      <w:r>
        <w:rPr/>
        <w:t>2026</w:t>
      </w:r>
      <w:r>
        <w:rPr/>
        <w:t>半年收入</w:t>
      </w:r>
      <w:r>
        <w:rPr/>
        <w:t>7.728</w:t>
      </w:r>
      <w:r>
        <w:rPr/>
        <w:t>亿美元、经营利润</w:t>
      </w:r>
      <w:r>
        <w:rPr/>
        <w:t>1.863</w:t>
      </w:r>
      <w:r>
        <w:rPr/>
        <w:t>亿美元、归母</w:t>
      </w:r>
      <w:r>
        <w:rPr/>
        <w:t>8208.5</w:t>
      </w:r>
      <w:r>
        <w:rPr/>
        <w:t>万美元，归母同比减少</w:t>
      </w:r>
      <w:r>
        <w:rPr/>
        <w:t>49.8%</w:t>
      </w:r>
      <w:r>
        <w:rPr/>
        <w:t>。去年半年归母</w:t>
      </w:r>
      <w:r>
        <w:rPr/>
        <w:t>1.635</w:t>
      </w:r>
      <w:r>
        <w:rPr/>
        <w:t>亿美元包含出售项目和更高风光收入。剔除一次性因素能缓和跌幅，但风电经营利润由</w:t>
      </w:r>
      <w:r>
        <w:rPr/>
        <w:t>1.968</w:t>
      </w:r>
      <w:r>
        <w:rPr/>
        <w:t>降至</w:t>
      </w:r>
      <w:r>
        <w:rPr/>
        <w:t>1.488</w:t>
      </w:r>
      <w:r>
        <w:rPr/>
        <w:t>亿美元、韩国由</w:t>
      </w:r>
      <w:r>
        <w:rPr/>
        <w:t>3270</w:t>
      </w:r>
      <w:r>
        <w:rPr/>
        <w:t>降至</w:t>
      </w:r>
      <w:r>
        <w:rPr/>
        <w:t>2140</w:t>
      </w:r>
      <w:r>
        <w:rPr/>
        <w:t>万美元、太阳能由</w:t>
      </w:r>
      <w:r>
        <w:rPr/>
        <w:t>2920</w:t>
      </w:r>
      <w:r>
        <w:rPr/>
        <w:t>降至</w:t>
      </w:r>
      <w:r>
        <w:rPr/>
        <w:t>2110</w:t>
      </w:r>
      <w:r>
        <w:rPr/>
        <w:t>万美元，都是实际经营压力。不能把同比减半全部归为会计基数。本章基准假设</w:t>
      </w:r>
      <w:r>
        <w:rPr/>
        <w:t>2026</w:t>
      </w:r>
      <w:r>
        <w:rPr/>
        <w:t>全年正常归母</w:t>
      </w:r>
      <w:r>
        <w:rPr/>
        <w:t>2.162</w:t>
      </w:r>
      <w:r>
        <w:rPr/>
        <w:t>亿美元，仍低于</w:t>
      </w:r>
      <w:r>
        <w:rPr/>
        <w:t>2025</w:t>
      </w:r>
      <w:r>
        <w:rPr/>
        <w:t>年报数，要求下半年明显好于上半年。</w:t>
      </w:r>
    </w:p>
    <w:p>
      <w:pPr>
        <w:pStyle w:val="Normal"/>
        <w:rPr/>
      </w:pPr>
      <w:r>
        <w:rPr/>
        <w:t>半年收入按法定地域分部，中国电厂</w:t>
      </w:r>
      <w:r>
        <w:rPr/>
        <w:t>4.223</w:t>
      </w:r>
      <w:r>
        <w:rPr/>
        <w:t>亿美元、韩国</w:t>
      </w:r>
      <w:r>
        <w:rPr/>
        <w:t>3.401</w:t>
      </w:r>
      <w:r>
        <w:rPr/>
        <w:t>亿美元、管理服务</w:t>
      </w:r>
      <w:r>
        <w:rPr/>
        <w:t>1038.6</w:t>
      </w:r>
      <w:r>
        <w:rPr/>
        <w:t>万美元。法定分部业绩已经包括部分项目融资费用，不能拿它们求和以后再扣全部集团利息，否则会双扣。本模型改用管理讨论中的燃料业务经营收入和成本，构建经营利润后统一扣完整融资，再计正常补助、现金息与联营收益。它与法定分部利润是两种桥梁，不能混用。深研保留两套披露用于交叉检查，但活动估值只有一套，避免同公司出现多套互相矛盾的目标价。</w:t>
      </w:r>
    </w:p>
    <w:p>
      <w:pPr>
        <w:pStyle w:val="Normal"/>
        <w:rPr/>
      </w:pPr>
      <w:r>
        <w:rPr/>
        <w:t>税率不能只看中国法定</w:t>
      </w:r>
      <w:r>
        <w:rPr/>
        <w:t>25%</w:t>
      </w:r>
      <w:r>
        <w:rPr/>
        <w:t>。部分西部项目享受</w:t>
      </w:r>
      <w:r>
        <w:rPr/>
        <w:t>15%</w:t>
      </w:r>
      <w:r>
        <w:rPr/>
        <w:t>优惠至</w:t>
      </w:r>
      <w:r>
        <w:rPr/>
        <w:t>2030</w:t>
      </w:r>
      <w:r>
        <w:rPr/>
        <w:t>年，韩国</w:t>
      </w:r>
      <w:r>
        <w:rPr/>
        <w:t>2026</w:t>
      </w:r>
      <w:r>
        <w:rPr/>
        <w:t>半年法定税率</w:t>
      </w:r>
      <w:r>
        <w:rPr/>
        <w:t>24.2%</w:t>
      </w:r>
      <w:r>
        <w:rPr/>
        <w:t>，香港</w:t>
      </w:r>
      <w:r>
        <w:rPr/>
        <w:t>16.5%</w:t>
      </w:r>
      <w:r>
        <w:rPr/>
        <w:t>，跨境分配还可能带来预扣税和全球最低税。半年实际税费</w:t>
      </w:r>
      <w:r>
        <w:rPr/>
        <w:t>3758.9</w:t>
      </w:r>
      <w:r>
        <w:rPr/>
        <w:t>万美元，占税前</w:t>
      </w:r>
      <w:r>
        <w:rPr/>
        <w:t>1.233</w:t>
      </w:r>
      <w:r>
        <w:rPr/>
        <w:t>亿美元约</w:t>
      </w:r>
      <w:r>
        <w:rPr/>
        <w:t>30.5%</w:t>
      </w:r>
      <w:r>
        <w:rPr/>
        <w:t>，高于</w:t>
      </w:r>
      <w:r>
        <w:rPr/>
        <w:t>2025</w:t>
      </w:r>
      <w:r>
        <w:rPr/>
        <w:t>年全年约</w:t>
      </w:r>
      <w:r>
        <w:rPr/>
        <w:t>22.1%</w:t>
      </w:r>
      <w:r>
        <w:rPr/>
        <w:t>。盈利结构、优惠边界和未分配利润会改变实际税负。模型基准使用</w:t>
      </w:r>
      <w:r>
        <w:rPr/>
        <w:t>25%</w:t>
      </w:r>
      <w:r>
        <w:rPr/>
        <w:t>，悲观</w:t>
      </w:r>
      <w:r>
        <w:rPr/>
        <w:t>30%</w:t>
      </w:r>
      <w:r>
        <w:rPr/>
        <w:t>、乐观</w:t>
      </w:r>
      <w:r>
        <w:rPr/>
        <w:t>24%</w:t>
      </w:r>
      <w:r>
        <w:rPr/>
        <w:t>，只是有效税代理；如果项目分红触发额外税，应上调费用或降低可分配现金，而非用最低优惠税率覆盖所有业务。</w:t>
      </w:r>
    </w:p>
    <w:p>
      <w:pPr>
        <w:pStyle w:val="Normal"/>
        <w:rPr/>
      </w:pPr>
      <w:r>
        <w:rPr/>
        <w:t>联营收益</w:t>
      </w:r>
      <w:r>
        <w:rPr/>
        <w:t>2025</w:t>
      </w:r>
      <w:r>
        <w:rPr/>
        <w:t>年</w:t>
      </w:r>
      <w:r>
        <w:rPr/>
        <w:t>1639.9</w:t>
      </w:r>
      <w:r>
        <w:rPr/>
        <w:t>万美元，半年只有</w:t>
      </w:r>
      <w:r>
        <w:rPr/>
        <w:t>176.8</w:t>
      </w:r>
      <w:r>
        <w:rPr/>
        <w:t>万美元，主要因中国煤电联营利润下降。联营利润以权益法进入集团盈利，与集团收到股息的时点和数量不同。年报实际收到联营股息仅</w:t>
      </w:r>
      <w:r>
        <w:rPr/>
        <w:t>7</w:t>
      </w:r>
      <w:r>
        <w:rPr/>
        <w:t>万美元，显示利润不等于可汇出的现金。本模型基准正常联营盈利每年</w:t>
      </w:r>
      <w:r>
        <w:rPr/>
        <w:t>800</w:t>
      </w:r>
      <w:r>
        <w:rPr/>
        <w:t>万美元、现金股息</w:t>
      </w:r>
      <w:r>
        <w:rPr/>
        <w:t>300</w:t>
      </w:r>
      <w:r>
        <w:rPr/>
        <w:t>万美元，后者从现金桥单独流入，前者在经营现金桥中剔除。</w:t>
      </w:r>
      <w:r>
        <w:rPr/>
        <w:t>PE</w:t>
      </w:r>
      <w:r>
        <w:rPr/>
        <w:t>已经包括联营利润，所以既不加联营账面权益，也不把联营未来股息作为估值外的额外价值。</w:t>
      </w:r>
    </w:p>
    <w:p>
      <w:pPr>
        <w:pStyle w:val="Normal"/>
        <w:rPr/>
      </w:pPr>
      <w:r>
        <w:rPr/>
        <w:t>折旧是电站资本消耗的重要估计。半年物业设备折旧</w:t>
      </w:r>
      <w:r>
        <w:rPr/>
        <w:t>1.993</w:t>
      </w:r>
      <w:r>
        <w:rPr/>
        <w:t>亿美元，使用权折旧</w:t>
      </w:r>
      <w:r>
        <w:rPr/>
        <w:t>775.8</w:t>
      </w:r>
      <w:r>
        <w:rPr/>
        <w:t>万美元，合计</w:t>
      </w:r>
      <w:r>
        <w:rPr/>
        <w:t>2.071</w:t>
      </w:r>
      <w:r>
        <w:rPr/>
        <w:t>亿美元；去年全年合计约</w:t>
      </w:r>
      <w:r>
        <w:rPr/>
        <w:t>3.839</w:t>
      </w:r>
      <w:r>
        <w:rPr/>
        <w:t>亿美元。现金流可以加回折旧，但长期维护、更新、设备效率下降和土地使用权成本依然存在。模型预测折旧从</w:t>
      </w:r>
      <w:r>
        <w:rPr/>
        <w:t>2026</w:t>
      </w:r>
      <w:r>
        <w:rPr/>
        <w:t>年</w:t>
      </w:r>
      <w:r>
        <w:rPr/>
        <w:t>4.2</w:t>
      </w:r>
      <w:r>
        <w:rPr/>
        <w:t>亿美元逐步增长，资本支出同时增长，不能将高折旧加回看成无需再投资的永续免费现金。若项目寿命或维修需要被低估，正常利润与资金积累都会过高，需要重估资产寿命并提高维护预算。</w:t>
      </w:r>
    </w:p>
    <w:p>
      <w:pPr>
        <w:pStyle w:val="Heading2"/>
        <w:rPr/>
      </w:pPr>
      <w:r>
        <w:rPr>
          <w:color w:val="000000"/>
        </w:rPr>
        <w:t>现金流 债务与融资</w:t>
      </w:r>
    </w:p>
    <w:p>
      <w:pPr>
        <w:pStyle w:val="Normal"/>
        <w:rPr/>
      </w:pPr>
      <w:r>
        <w:rPr/>
        <w:t>2025</w:t>
      </w:r>
      <w:r>
        <w:rPr/>
        <w:t>经营现金</w:t>
      </w:r>
      <w:r>
        <w:rPr/>
        <w:t>8.060</w:t>
      </w:r>
      <w:r>
        <w:rPr/>
        <w:t>亿美元，较</w:t>
      </w:r>
      <w:r>
        <w:rPr/>
        <w:t>2024</w:t>
      </w:r>
      <w:r>
        <w:rPr/>
        <w:t>年</w:t>
      </w:r>
      <w:r>
        <w:rPr/>
        <w:t>5.026</w:t>
      </w:r>
      <w:r>
        <w:rPr/>
        <w:t>亿美元提升；这张现金表把利息列在融资活动，因而不能直接作为扣完融资成本的自由现金。扣</w:t>
      </w:r>
      <w:r>
        <w:rPr/>
        <w:t>2025</w:t>
      </w:r>
      <w:r>
        <w:rPr/>
        <w:t>付息</w:t>
      </w:r>
      <w:r>
        <w:rPr/>
        <w:t>1.685</w:t>
      </w:r>
      <w:r>
        <w:rPr/>
        <w:t>亿美元、设备资本支出</w:t>
      </w:r>
      <w:r>
        <w:rPr/>
        <w:t>7.138</w:t>
      </w:r>
      <w:r>
        <w:rPr/>
        <w:t>亿美元、使用权投资</w:t>
      </w:r>
      <w:r>
        <w:rPr/>
        <w:t>3661.3</w:t>
      </w:r>
      <w:r>
        <w:rPr/>
        <w:t>万美元和租赁本金</w:t>
      </w:r>
      <w:r>
        <w:rPr/>
        <w:t>2075</w:t>
      </w:r>
      <w:r>
        <w:rPr/>
        <w:t>万美元之后，经营现金不足以覆盖全部这些用途，还未包括股息等支出。项目出售和抵押存款提取、净借款帮助资金平衡。把</w:t>
      </w:r>
      <w:r>
        <w:rPr/>
        <w:t>8.060</w:t>
      </w:r>
      <w:r>
        <w:rPr/>
        <w:t>亿美元全当股东可分配现金，会大幅夸大公司分红能力和长期内在价值。</w:t>
      </w:r>
    </w:p>
    <w:p>
      <w:pPr>
        <w:pStyle w:val="Normal"/>
        <w:rPr/>
      </w:pPr>
      <w:r>
        <w:rPr/>
        <w:t>半年经营现金</w:t>
      </w:r>
      <w:r>
        <w:rPr/>
        <w:t>2.928</w:t>
      </w:r>
      <w:r>
        <w:rPr/>
        <w:t>亿美元，较去年</w:t>
      </w:r>
      <w:r>
        <w:rPr/>
        <w:t>3.039</w:t>
      </w:r>
      <w:r>
        <w:rPr/>
        <w:t>亿美元略降，明显比归母盈利稳定，但也同样在利息之前。已付利息</w:t>
      </w:r>
      <w:r>
        <w:rPr/>
        <w:t>7748.8</w:t>
      </w:r>
      <w:r>
        <w:rPr/>
        <w:t>万美元、设备付款</w:t>
      </w:r>
      <w:r>
        <w:rPr/>
        <w:t>1.965</w:t>
      </w:r>
      <w:r>
        <w:rPr/>
        <w:t>亿美元、租赁本金</w:t>
      </w:r>
      <w:r>
        <w:rPr/>
        <w:t>530.2</w:t>
      </w:r>
      <w:r>
        <w:rPr/>
        <w:t>万美元，三项合计约</w:t>
      </w:r>
      <w:r>
        <w:rPr/>
        <w:t>2.793</w:t>
      </w:r>
      <w:r>
        <w:rPr/>
        <w:t>亿美元，扣后只剩约</w:t>
      </w:r>
      <w:r>
        <w:rPr/>
        <w:t>1345.6</w:t>
      </w:r>
      <w:r>
        <w:rPr/>
        <w:t>万美元；再看抵押存款增加、股息和其他投资，流动性需要融资安排。半年现金表还包括设备出售</w:t>
      </w:r>
      <w:r>
        <w:rPr/>
        <w:t>1064.2</w:t>
      </w:r>
      <w:r>
        <w:rPr/>
        <w:t>万美元，不能当成每年固定经营回款。现金端的缓冲比低</w:t>
      </w:r>
      <w:r>
        <w:rPr/>
        <w:t>PE</w:t>
      </w:r>
      <w:r>
        <w:rPr/>
        <w:t>所暗示的“现金牛”形象薄，需要滚动观察回款。</w:t>
      </w:r>
    </w:p>
    <w:p>
      <w:pPr>
        <w:pStyle w:val="Normal"/>
        <w:rPr/>
      </w:pPr>
      <w:r>
        <w:rPr/>
        <w:t>六月现金及等价物</w:t>
      </w:r>
      <w:r>
        <w:rPr/>
        <w:t>1.6095</w:t>
      </w:r>
      <w:r>
        <w:rPr/>
        <w:t>亿美元，另有抵押存款</w:t>
      </w:r>
      <w:r>
        <w:rPr/>
        <w:t>8841.2</w:t>
      </w:r>
      <w:r>
        <w:rPr/>
        <w:t>万美元。抵押资金须经相关银行许可才能提取，不计入自由现金起点，也不假设自动转成分红。可动用现金中约</w:t>
      </w:r>
      <w:r>
        <w:rPr/>
        <w:t>1.297</w:t>
      </w:r>
      <w:r>
        <w:rPr/>
        <w:t>亿美元存在集团财务公司，约</w:t>
      </w:r>
      <w:r>
        <w:rPr/>
        <w:t>436.8</w:t>
      </w:r>
      <w:r>
        <w:rPr/>
        <w:t>万美元在华盛安排，集中度较高。集团资金池可能提升效率并降低融资价，但外部股东仍面对资金集中与关联信用风险。模型资金起点只采用报表自由现金，并通过未来收支变化更新；没有把抵押存款与集团额度全部合并成“净现金”。</w:t>
      </w:r>
    </w:p>
    <w:p>
      <w:pPr>
        <w:pStyle w:val="Normal"/>
        <w:rPr/>
      </w:pPr>
      <w:r>
        <w:rPr/>
        <w:t>补贴资金占用尤其重要。六月电价补贴应收约</w:t>
      </w:r>
      <w:r>
        <w:rPr/>
        <w:t>7.976</w:t>
      </w:r>
      <w:r>
        <w:rPr/>
        <w:t>亿美元，合同资产约</w:t>
      </w:r>
      <w:r>
        <w:rPr/>
        <w:t>5.605</w:t>
      </w:r>
      <w:r>
        <w:rPr/>
        <w:t>亿美元，两者合计</w:t>
      </w:r>
      <w:r>
        <w:rPr/>
        <w:t>13.581</w:t>
      </w:r>
      <w:r>
        <w:rPr/>
        <w:t>亿美元，相当于归母净资产</w:t>
      </w:r>
      <w:r>
        <w:rPr/>
        <w:t>18.854</w:t>
      </w:r>
      <w:r>
        <w:rPr/>
        <w:t>亿美元的约</w:t>
      </w:r>
      <w:r>
        <w:rPr/>
        <w:t>72%</w:t>
      </w:r>
      <w:r>
        <w:rPr/>
        <w:t>。已纳入清单的补贴应收与待纳入清单的合同资产条件不同，后者转成无条件收款权还需批准。会计不视为逾期或违约，并不保证即时回款；长期等待会产生资金成本、信用现值折损和滚动融资需要。研究将回款延迟通过营运资金预算体现，不把账面金额当作目标价外可立即分配现金。</w:t>
      </w:r>
    </w:p>
    <w:p>
      <w:pPr>
        <w:pStyle w:val="Normal"/>
        <w:rPr/>
      </w:pPr>
      <w:r>
        <w:rPr/>
        <w:t>应收账龄</w:t>
      </w:r>
      <w:r>
        <w:rPr/>
        <w:t>180</w:t>
      </w:r>
      <w:r>
        <w:rPr/>
        <w:t>日以上约</w:t>
      </w:r>
      <w:r>
        <w:rPr/>
        <w:t>6.653</w:t>
      </w:r>
      <w:r>
        <w:rPr/>
        <w:t>亿美元，相比去年年底</w:t>
      </w:r>
      <w:r>
        <w:rPr/>
        <w:t>5.761</w:t>
      </w:r>
      <w:r>
        <w:rPr/>
        <w:t>亿美元增长。账龄并不能直接等同坏账，补贴分配制度使部分正常应收多年等待；但现金时序依然对价值有影响。市场若担忧回款，可要求更低市盈率，即便最终本金全部收回也存在时间折价。基准营运资金从</w:t>
      </w:r>
      <w:r>
        <w:rPr/>
        <w:t>2026</w:t>
      </w:r>
      <w:r>
        <w:rPr/>
        <w:t>年</w:t>
      </w:r>
      <w:r>
        <w:rPr/>
        <w:t>1.6</w:t>
      </w:r>
      <w:r>
        <w:rPr/>
        <w:t>亿美元占用逐步改善至每年</w:t>
      </w:r>
      <w:r>
        <w:rPr/>
        <w:t>8000</w:t>
      </w:r>
      <w:r>
        <w:rPr/>
        <w:t>万美元，悲观保持更长占用，乐观更快收回。该代理包括常规经营变动，未声称逐项目补贴回款已确定，不能解读为政府已确认付款日。</w:t>
      </w:r>
    </w:p>
    <w:p>
      <w:pPr>
        <w:pStyle w:val="Normal"/>
        <w:rPr/>
      </w:pPr>
      <w:r>
        <w:rPr/>
        <w:t>六月银行借款</w:t>
      </w:r>
      <w:r>
        <w:rPr/>
        <w:t>56.853</w:t>
      </w:r>
      <w:r>
        <w:rPr/>
        <w:t>亿美元，关联贷款</w:t>
      </w:r>
      <w:r>
        <w:rPr/>
        <w:t>10.009</w:t>
      </w:r>
      <w:r>
        <w:rPr/>
        <w:t>亿美元，租赁负债</w:t>
      </w:r>
      <w:r>
        <w:rPr/>
        <w:t>9461.5</w:t>
      </w:r>
      <w:r>
        <w:rPr/>
        <w:t>万美元，总杠杆明显高于市值折算。银行一年内到期</w:t>
      </w:r>
      <w:r>
        <w:rPr/>
        <w:t>19.283</w:t>
      </w:r>
      <w:r>
        <w:rPr/>
        <w:t>亿美元、关联一年内</w:t>
      </w:r>
      <w:r>
        <w:rPr/>
        <w:t>8.775</w:t>
      </w:r>
      <w:r>
        <w:rPr/>
        <w:t>亿美元，流动负债净额</w:t>
      </w:r>
      <w:r>
        <w:rPr/>
        <w:t>13.776</w:t>
      </w:r>
      <w:r>
        <w:rPr/>
        <w:t>亿美元。电站长期融资并不要求同日偿清全部债务，但必须按合同到期滚动。集团拥有部分未用额度，也有书面关联支持；研究据此保留可评估资格，同时降低财务风险分。没有因流动负债净额就自动断言停业，也没有把高债简单用净现金加减方式重复从已经扣息的</w:t>
      </w:r>
      <w:r>
        <w:rPr/>
        <w:t>PE</w:t>
      </w:r>
      <w:r>
        <w:rPr/>
        <w:t>价值中扣除。</w:t>
      </w:r>
    </w:p>
    <w:p>
      <w:pPr>
        <w:pStyle w:val="Normal"/>
        <w:rPr/>
      </w:pPr>
      <w:r>
        <w:rPr/>
        <w:t>中期附注给出更具体的支持：中广核风电确认不取消</w:t>
      </w:r>
      <w:r>
        <w:rPr/>
        <w:t>68965.5</w:t>
      </w:r>
      <w:r>
        <w:rPr/>
        <w:t>万美元融资，并在到期后延长，覆盖六月末起十二个月。一般未用融资额度</w:t>
      </w:r>
      <w:r>
        <w:rPr/>
        <w:t>12.7685</w:t>
      </w:r>
      <w:r>
        <w:rPr/>
        <w:t>亿美元，属于全部未用银行额度约</w:t>
      </w:r>
      <w:r>
        <w:rPr/>
        <w:t>25.277</w:t>
      </w:r>
      <w:r>
        <w:rPr/>
        <w:t>亿美元的一部分，两者不能相加成</w:t>
      </w:r>
      <w:r>
        <w:rPr/>
        <w:t>38</w:t>
      </w:r>
      <w:r>
        <w:rPr/>
        <w:t>亿美元。支持为现金流判断提供证据，但期限到</w:t>
      </w:r>
      <w:r>
        <w:rPr/>
        <w:t>2027</w:t>
      </w:r>
      <w:r>
        <w:rPr/>
        <w:t>年六月附近，不能直接延伸到三年和五年。模型远期关联借款滚动是条件假设，股东必须在未来公告中再确认。若期限缩短或费用上升，即使发电稳定也应下调长期目标。</w:t>
      </w:r>
    </w:p>
    <w:p>
      <w:pPr>
        <w:pStyle w:val="Normal"/>
        <w:rPr/>
      </w:pPr>
      <w:r>
        <w:rPr/>
        <w:t>融资模型从</w:t>
      </w:r>
      <w:r>
        <w:rPr/>
        <w:t>2026</w:t>
      </w:r>
      <w:r>
        <w:rPr/>
        <w:t>年六月现金开始，全年正常集团利润减去已实现半年利润，再加剩余折旧、剩余应计融资，扣利息收入、联营利润与剩余营运资金，形成利息前经营现金代理。之后实际现金支付利息、资本支出、使用权投资、租赁本金、旧中期股息、少数股东现金和回购，再计新借还借。这种分开计算是为了使利润、现金和股数一致。全年减半年是下半年预算代理，不是声称利润与资本开支季节分布均匀；尚未披露的税款时点和营运调整明确保留限制。</w:t>
      </w:r>
    </w:p>
    <w:p>
      <w:pPr>
        <w:pStyle w:val="Normal"/>
        <w:rPr/>
      </w:pPr>
      <w:r>
        <w:rPr/>
        <w:t>租赁本金和租息没有混成一项。</w:t>
      </w:r>
      <w:r>
        <w:rPr/>
        <w:t>2025</w:t>
      </w:r>
      <w:r>
        <w:rPr/>
        <w:t>年融资租赁现金</w:t>
      </w:r>
      <w:r>
        <w:rPr/>
        <w:t>2282.1</w:t>
      </w:r>
      <w:r>
        <w:rPr/>
        <w:t>万美元由本金</w:t>
      </w:r>
      <w:r>
        <w:rPr/>
        <w:t>2075</w:t>
      </w:r>
      <w:r>
        <w:rPr/>
        <w:t>万美元加租息</w:t>
      </w:r>
      <w:r>
        <w:rPr/>
        <w:t>207.1</w:t>
      </w:r>
      <w:r>
        <w:rPr/>
        <w:t>万美元构成，年报附注可以核对；另有经营租赁现金</w:t>
      </w:r>
      <w:r>
        <w:rPr/>
        <w:t>496.4</w:t>
      </w:r>
      <w:r>
        <w:rPr/>
        <w:t>万美元、使用权资产投资</w:t>
      </w:r>
      <w:r>
        <w:rPr/>
        <w:t>3661.3</w:t>
      </w:r>
      <w:r>
        <w:rPr/>
        <w:t>万美元。模型经营费用与折旧已经包含租赁经济成本，经营现金加回完整融资利息，随后统一支付现金利息及租赁本金；经营小额租赁不再额外重复扣。半年租息</w:t>
      </w:r>
      <w:r>
        <w:rPr/>
        <w:t>143.2</w:t>
      </w:r>
      <w:r>
        <w:rPr/>
        <w:t>万美元与本金</w:t>
      </w:r>
      <w:r>
        <w:rPr/>
        <w:t>530.2</w:t>
      </w:r>
      <w:r>
        <w:rPr/>
        <w:t>万美元同样分开，不能套用其他公司的“整笔租款含利息”习惯处理。</w:t>
      </w:r>
    </w:p>
    <w:p>
      <w:pPr>
        <w:pStyle w:val="Normal"/>
        <w:rPr/>
      </w:pPr>
      <w:r>
        <w:rPr/>
        <w:t>本章对资本化利息采用零研究值，公开成本已经包含设备折旧，未来借款利息全部计入损益。这是偏保守且容易检查的正常盈利边界；若未来披露项目建设资本化利息，应修改活动输入，同时确认它已经进入资本支出现金或独立现金支付，避免双算。应计利息与现金支付存在差异，</w:t>
      </w:r>
      <w:r>
        <w:rPr/>
        <w:t>2026</w:t>
      </w:r>
      <w:r>
        <w:rPr/>
        <w:t>代理加</w:t>
      </w:r>
      <w:r>
        <w:rPr/>
        <w:t>1400</w:t>
      </w:r>
      <w:r>
        <w:rPr/>
        <w:t>万美元时序残差，后续每年</w:t>
      </w:r>
      <w:r>
        <w:rPr/>
        <w:t>600</w:t>
      </w:r>
      <w:r>
        <w:rPr/>
        <w:t>万美元，均为研究假设。它们不是新增债务利息率，也不能当作公司已承诺付款日；修订后要刷新现金与目标快照。</w:t>
      </w:r>
    </w:p>
    <w:p>
      <w:pPr>
        <w:pStyle w:val="Normal"/>
        <w:rPr/>
      </w:pPr>
      <w:r>
        <w:rPr/>
        <w:t>基准</w:t>
      </w:r>
      <w:r>
        <w:rPr/>
        <w:t>2026</w:t>
      </w:r>
      <w:r>
        <w:rPr/>
        <w:t>年银行新借</w:t>
      </w:r>
      <w:r>
        <w:rPr/>
        <w:t>15</w:t>
      </w:r>
      <w:r>
        <w:rPr/>
        <w:t>亿美元、偿还</w:t>
      </w:r>
      <w:r>
        <w:rPr/>
        <w:t>14</w:t>
      </w:r>
      <w:r>
        <w:rPr/>
        <w:t>亿美元，关联新借与归还各</w:t>
      </w:r>
      <w:r>
        <w:rPr/>
        <w:t>1</w:t>
      </w:r>
      <w:r>
        <w:rPr/>
        <w:t>亿美元，体现银行净增</w:t>
      </w:r>
      <w:r>
        <w:rPr/>
        <w:t>1</w:t>
      </w:r>
      <w:r>
        <w:rPr/>
        <w:t>亿美元和关联余额稳定。未来每年仍净增约</w:t>
      </w:r>
      <w:r>
        <w:rPr/>
        <w:t>1</w:t>
      </w:r>
      <w:r>
        <w:rPr/>
        <w:t>亿美元，因而基准并非“成功去杠杆”的预测。现金由六月</w:t>
      </w:r>
      <w:r>
        <w:rPr/>
        <w:t>1.6095</w:t>
      </w:r>
      <w:r>
        <w:rPr/>
        <w:t>亿美元增至年底约</w:t>
      </w:r>
      <w:r>
        <w:rPr/>
        <w:t>2.4554</w:t>
      </w:r>
      <w:r>
        <w:rPr/>
        <w:t>亿美元，再到</w:t>
      </w:r>
      <w:r>
        <w:rPr/>
        <w:t>2031</w:t>
      </w:r>
      <w:r>
        <w:rPr/>
        <w:t>年约</w:t>
      </w:r>
      <w:r>
        <w:rPr/>
        <w:t>9.2096</w:t>
      </w:r>
      <w:r>
        <w:rPr/>
        <w:t>亿美元，但借款也在增加。乐观现金更高主要来自经营价差及回款，不是免费融资。若以去债作为提高估值的理由，必须看到净借款、利息负担和项目投资回报实际下降，当前模型不预先奖励。</w:t>
      </w:r>
    </w:p>
    <w:p>
      <w:pPr>
        <w:pStyle w:val="Normal"/>
        <w:rPr/>
      </w:pPr>
      <w:r>
        <w:rPr/>
        <w:t>悲观场景不是单纯把目标价降低。</w:t>
      </w:r>
      <w:r>
        <w:rPr/>
        <w:t>2026</w:t>
      </w:r>
      <w:r>
        <w:rPr/>
        <w:t>年风光量价、韩国燃料价差和融资成本组合，使资金在额外股本前降至最低储备以下，模型需要约</w:t>
      </w:r>
      <w:r>
        <w:rPr/>
        <w:t>1155.2</w:t>
      </w:r>
      <w:r>
        <w:rPr/>
        <w:t>万美元条件融资；按</w:t>
      </w:r>
      <w:r>
        <w:rPr/>
        <w:t>1.60</w:t>
      </w:r>
      <w:r>
        <w:rPr/>
        <w:t>港元发股、美元兑港币</w:t>
      </w:r>
      <w:r>
        <w:rPr/>
        <w:t>7.8</w:t>
      </w:r>
      <w:r>
        <w:rPr/>
        <w:t>，新增约</w:t>
      </w:r>
      <w:r>
        <w:rPr/>
        <w:t>5631.7</w:t>
      </w:r>
      <w:r>
        <w:rPr/>
        <w:t>万股，经济股数升至约</w:t>
      </w:r>
      <w:r>
        <w:rPr/>
        <w:t>43.462</w:t>
      </w:r>
      <w:r>
        <w:rPr/>
        <w:t>亿股。每年最高融资额度</w:t>
      </w:r>
      <w:r>
        <w:rPr/>
        <w:t>2.5</w:t>
      </w:r>
      <w:r>
        <w:rPr/>
        <w:t>亿美元为研究上限，并非市场有现成融资。若无法融资或续借失败，实际现金风险会超出该场景；它不是最大损失边界。融资得到现金同时摊薄每股利润，不能只加资金却保持旧股数。</w:t>
      </w:r>
    </w:p>
    <w:p>
      <w:pPr>
        <w:pStyle w:val="Heading2"/>
        <w:rPr/>
      </w:pPr>
      <w:r>
        <w:rPr>
          <w:color w:val="000000"/>
        </w:rPr>
        <w:t>分红 回购与资本配置</w:t>
      </w:r>
    </w:p>
    <w:p>
      <w:pPr>
        <w:pStyle w:val="Normal"/>
        <w:rPr/>
      </w:pPr>
      <w:r>
        <w:rPr/>
        <w:t>2025</w:t>
      </w:r>
      <w:r>
        <w:rPr/>
        <w:t>末期每股</w:t>
      </w:r>
      <w:r>
        <w:rPr/>
        <w:t>0.0161</w:t>
      </w:r>
      <w:r>
        <w:rPr/>
        <w:t>美元、对应</w:t>
      </w:r>
      <w:r>
        <w:rPr/>
        <w:t>0.1254</w:t>
      </w:r>
      <w:r>
        <w:rPr/>
        <w:t>港元，</w:t>
      </w:r>
      <w:r>
        <w:rPr/>
        <w:t>2026</w:t>
      </w:r>
      <w:r>
        <w:rPr/>
        <w:t>年六月三日除净、六月二十三日支付，早于研究起点。</w:t>
      </w:r>
      <w:r>
        <w:rPr/>
        <w:t>2026</w:t>
      </w:r>
      <w:r>
        <w:rPr/>
        <w:t>中期每股</w:t>
      </w:r>
      <w:r>
        <w:rPr/>
        <w:t>0.0067</w:t>
      </w:r>
      <w:r>
        <w:rPr/>
        <w:t>美元、对应</w:t>
      </w:r>
      <w:r>
        <w:rPr/>
        <w:t>0.052</w:t>
      </w:r>
      <w:r>
        <w:rPr/>
        <w:t>港元，九月二十二日已除净、十月十五日才付款。对十月九日按</w:t>
      </w:r>
      <w:r>
        <w:rPr/>
        <w:t>2.095</w:t>
      </w:r>
      <w:r>
        <w:rPr/>
        <w:t>港元买入的投资者，该中息不属于持有期现金收益，即使账户后续看到公司付款公告也不能加回。模型仍从公司现金扣除已宣布中息约</w:t>
      </w:r>
      <w:r>
        <w:rPr/>
        <w:t>2874.2</w:t>
      </w:r>
      <w:r>
        <w:rPr/>
        <w:t>万美元，因为这是公司资金义务。投资者收益与企业现金用途需要不同视角。</w:t>
      </w:r>
    </w:p>
    <w:p>
      <w:pPr>
        <w:pStyle w:val="Normal"/>
        <w:rPr/>
      </w:pPr>
      <w:r>
        <w:rPr/>
        <w:t>未来股息仅采用研究政策：悲观</w:t>
      </w:r>
      <w:r>
        <w:rPr/>
        <w:t>15%</w:t>
      </w:r>
      <w:r>
        <w:rPr/>
        <w:t>、基准</w:t>
      </w:r>
      <w:r>
        <w:rPr/>
        <w:t>25%</w:t>
      </w:r>
      <w:r>
        <w:rPr/>
        <w:t>、乐观</w:t>
      </w:r>
      <w:r>
        <w:rPr/>
        <w:t>30%</w:t>
      </w:r>
      <w:r>
        <w:rPr/>
        <w:t>的前年归母正常利润，每年六月二十三日支付一次。历史由年度末息转为中期派息并不保证未来继续两次，故没有额外补造中息。半年目标早于</w:t>
      </w:r>
      <w:r>
        <w:rPr/>
        <w:t>2027</w:t>
      </w:r>
      <w:r>
        <w:rPr/>
        <w:t>六月支付，含息为零；一年累积基准约</w:t>
      </w:r>
      <w:r>
        <w:rPr/>
        <w:t>0.0992</w:t>
      </w:r>
      <w:r>
        <w:rPr/>
        <w:t>港元，三年</w:t>
      </w:r>
      <w:r>
        <w:rPr/>
        <w:t>0.3190</w:t>
      </w:r>
      <w:r>
        <w:rPr/>
        <w:t>港元、五年</w:t>
      </w:r>
      <w:r>
        <w:rPr/>
        <w:t>0.5574</w:t>
      </w:r>
      <w:r>
        <w:rPr/>
        <w:t>港元。实际政策若更高，股东现金收益增加但公司现金减少；若以举债提高分红，收益质量不必提升，估值和融资风险需要同时修订。</w:t>
      </w:r>
    </w:p>
    <w:p>
      <w:pPr>
        <w:pStyle w:val="Normal"/>
        <w:rPr/>
      </w:pPr>
      <w:r>
        <w:rPr/>
        <w:t>八月回购计划拟在十二个月内使用最多约</w:t>
      </w:r>
      <w:r>
        <w:rPr/>
        <w:t>1.21</w:t>
      </w:r>
      <w:r>
        <w:rPr/>
        <w:t>亿港元，最多约</w:t>
      </w:r>
      <w:r>
        <w:rPr/>
        <w:t>4289.9</w:t>
      </w:r>
      <w:r>
        <w:rPr/>
        <w:t>万股，约法律股数</w:t>
      </w:r>
      <w:r>
        <w:rPr/>
        <w:t>1%</w:t>
      </w:r>
      <w:r>
        <w:rPr/>
        <w:t>，且价格受市场规则约束。计划并非强制履行，也不是董事会保证现价为绝对底部。九月月报显示法律发行股</w:t>
      </w:r>
      <w:r>
        <w:rPr/>
        <w:t>42.89924</w:t>
      </w:r>
      <w:r>
        <w:rPr/>
        <w:t>亿、库存股零，有约</w:t>
      </w:r>
      <w:r>
        <w:rPr/>
        <w:t>1289.3</w:t>
      </w:r>
      <w:r>
        <w:rPr/>
        <w:t>万股已回购待注销；待注销不能提前改成法律发行数减少。基准下半年预算</w:t>
      </w:r>
      <w:r>
        <w:rPr/>
        <w:t>1150</w:t>
      </w:r>
      <w:r>
        <w:rPr/>
        <w:t>万美元、回购假设</w:t>
      </w:r>
      <w:r>
        <w:rPr/>
        <w:t>2.15</w:t>
      </w:r>
      <w:r>
        <w:rPr/>
        <w:t>港元，对应约</w:t>
      </w:r>
      <w:r>
        <w:rPr/>
        <w:t>4172.1</w:t>
      </w:r>
      <w:r>
        <w:rPr/>
        <w:t>万股，处于该计划数量上限内；预算包含已有待注销的整体计划，不在股数里重复扣第二次。</w:t>
      </w:r>
    </w:p>
    <w:p>
      <w:pPr>
        <w:pStyle w:val="Normal"/>
        <w:rPr/>
      </w:pPr>
      <w:r>
        <w:rPr/>
        <w:t>公司行动的经济效果要同时计现金和股份。回购可提升每股盈利，但成本消耗现金，若资金用于维护或去债回报更高，回购未必最佳。模型回购现金显式扣除，按研究成交价计算注销后的经济股数，后续没有每年自动回购</w:t>
      </w:r>
      <w:r>
        <w:rPr/>
        <w:t>1%</w:t>
      </w:r>
      <w:r>
        <w:rPr/>
        <w:t>。使用法律股数作为起点是一种可追溯口径，未来正式注销可再改日期与数量。高控股比例还限制公众持股与收购守则空间，所以不能把全部市场流通股缩小当作可持续无限回购路线。</w:t>
      </w:r>
    </w:p>
    <w:p>
      <w:pPr>
        <w:pStyle w:val="Normal"/>
        <w:rPr/>
      </w:pPr>
      <w:r>
        <w:rPr/>
        <w:t>关联存贷新框架拟由股东审议，时间在十月十五日，晚于截止日，因此本章保留“待未来验证”而非写成已批准。框架描述存款利率、贷款定价比较、资金监控和自愿使用条款，对资金管理有帮助；它并不等于指定额度已经到账，也不必覆盖每一笔长期续借。研究保留公告八月二十六日</w:t>
      </w:r>
      <w:r>
        <w:rPr/>
        <w:t>18</w:t>
      </w:r>
      <w:r>
        <w:rPr/>
        <w:t>时</w:t>
      </w:r>
      <w:r>
        <w:rPr/>
        <w:t>09</w:t>
      </w:r>
      <w:r>
        <w:rPr/>
        <w:t>分和通函九月十四日</w:t>
      </w:r>
      <w:r>
        <w:rPr/>
        <w:t>18</w:t>
      </w:r>
      <w:r>
        <w:rPr/>
        <w:t>时</w:t>
      </w:r>
      <w:r>
        <w:rPr/>
        <w:t>22</w:t>
      </w:r>
      <w:r>
        <w:rPr/>
        <w:t>分发布，均收盘后。依据截止日信息判断催化，不使用后续会议结果反向提高当时可信度。</w:t>
      </w:r>
    </w:p>
    <w:p>
      <w:pPr>
        <w:pStyle w:val="Heading2"/>
        <w:rPr/>
      </w:pPr>
      <w:r>
        <w:rPr>
          <w:color w:val="000000"/>
        </w:rPr>
        <w:t>半年</w:t>
      </w:r>
      <w:r>
        <w:rPr>
          <w:color w:val="000000"/>
        </w:rPr>
        <w:t>K</w:t>
      </w:r>
      <w:r>
        <w:rPr>
          <w:color w:val="000000"/>
        </w:rPr>
        <w:t>线和成交量</w:t>
      </w:r>
    </w:p>
    <w:p>
      <w:pPr>
        <w:pStyle w:val="Normal"/>
        <w:rPr/>
      </w:pPr>
      <w:r>
        <w:rPr/>
        <w:t>统一历史从</w:t>
      </w:r>
      <w:r>
        <w:rPr/>
        <w:t>2023</w:t>
      </w:r>
      <w:r>
        <w:rPr/>
        <w:t>年十月九日至</w:t>
      </w:r>
      <w:r>
        <w:rPr/>
        <w:t>2026</w:t>
      </w:r>
      <w:r>
        <w:rPr/>
        <w:t>年十月九日，共</w:t>
      </w:r>
      <w:r>
        <w:rPr/>
        <w:t>739</w:t>
      </w:r>
      <w:r>
        <w:rPr/>
        <w:t>根日线、</w:t>
      </w:r>
      <w:r>
        <w:rPr/>
        <w:t>157</w:t>
      </w:r>
      <w:r>
        <w:rPr/>
        <w:t>根周线，以基准日名义价格归一的复权行情计算。最后收盘</w:t>
      </w:r>
      <w:r>
        <w:rPr/>
        <w:t>2.095</w:t>
      </w:r>
      <w:r>
        <w:rPr/>
        <w:t>港元，腾讯与新浪及独立日线现价一致；当日成交</w:t>
      </w:r>
      <w:r>
        <w:rPr/>
        <w:t>460.6</w:t>
      </w:r>
      <w:r>
        <w:rPr/>
        <w:t>万股、成交额约</w:t>
      </w:r>
      <w:r>
        <w:rPr/>
        <w:t>984.1</w:t>
      </w:r>
      <w:r>
        <w:rPr/>
        <w:t>万港元。历史修复过八根明确</w:t>
      </w:r>
      <w:r>
        <w:rPr/>
        <w:t>OHLC</w:t>
      </w:r>
      <w:r>
        <w:rPr/>
        <w:t>逻辑不一致的数据，原值和修复记录保留。近</w:t>
      </w:r>
      <w:r>
        <w:rPr/>
        <w:t>60</w:t>
      </w:r>
      <w:r>
        <w:rPr/>
        <w:t>日复权两源平均差约</w:t>
      </w:r>
      <w:r>
        <w:rPr/>
        <w:t>1.99%</w:t>
      </w:r>
      <w:r>
        <w:rPr/>
        <w:t>、最大约</w:t>
      </w:r>
      <w:r>
        <w:rPr/>
        <w:t>2.55%</w:t>
      </w:r>
      <w:r>
        <w:rPr/>
        <w:t>，可能来自分红算法或数据修订。技术价位应允许误差，不能把小于这一量级的突破当成特别精确的证据。</w:t>
      </w:r>
    </w:p>
    <w:p>
      <w:pPr>
        <w:pStyle w:val="Normal"/>
        <w:rPr/>
      </w:pPr>
      <w:r>
        <w:rPr/>
        <w:t>日线</w:t>
      </w:r>
      <w:r>
        <w:rPr/>
        <w:t>20</w:t>
      </w:r>
      <w:r>
        <w:rPr/>
        <w:t>、</w:t>
      </w:r>
      <w:r>
        <w:rPr/>
        <w:t>60</w:t>
      </w:r>
      <w:r>
        <w:rPr/>
        <w:t>、</w:t>
      </w:r>
      <w:r>
        <w:rPr/>
        <w:t>120</w:t>
      </w:r>
      <w:r>
        <w:rPr/>
        <w:t>、</w:t>
      </w:r>
      <w:r>
        <w:rPr/>
        <w:t>250</w:t>
      </w:r>
      <w:r>
        <w:rPr/>
        <w:t>日均线约</w:t>
      </w:r>
      <w:r>
        <w:rPr/>
        <w:t>2.0398</w:t>
      </w:r>
      <w:r>
        <w:rPr/>
        <w:t>、</w:t>
      </w:r>
      <w:r>
        <w:rPr/>
        <w:t>2.1104</w:t>
      </w:r>
      <w:r>
        <w:rPr/>
        <w:t>、</w:t>
      </w:r>
      <w:r>
        <w:rPr/>
        <w:t>2.2632</w:t>
      </w:r>
      <w:r>
        <w:rPr/>
        <w:t>、</w:t>
      </w:r>
      <w:r>
        <w:rPr/>
        <w:t>2.3944</w:t>
      </w:r>
      <w:r>
        <w:rPr/>
        <w:t>港元，现价在</w:t>
      </w:r>
      <w:r>
        <w:rPr/>
        <w:t>20</w:t>
      </w:r>
      <w:r>
        <w:rPr/>
        <w:t>日线之上约</w:t>
      </w:r>
      <w:r>
        <w:rPr/>
        <w:t>2.70%</w:t>
      </w:r>
      <w:r>
        <w:rPr/>
        <w:t>，低于</w:t>
      </w:r>
      <w:r>
        <w:rPr/>
        <w:t>60</w:t>
      </w:r>
      <w:r>
        <w:rPr/>
        <w:t>日线约</w:t>
      </w:r>
      <w:r>
        <w:rPr/>
        <w:t>0.73%</w:t>
      </w:r>
      <w:r>
        <w:rPr/>
        <w:t>、</w:t>
      </w:r>
      <w:r>
        <w:rPr/>
        <w:t>120</w:t>
      </w:r>
      <w:r>
        <w:rPr/>
        <w:t>日线约</w:t>
      </w:r>
      <w:r>
        <w:rPr/>
        <w:t>7.43%</w:t>
      </w:r>
      <w:r>
        <w:rPr/>
        <w:t>、</w:t>
      </w:r>
      <w:r>
        <w:rPr/>
        <w:t>250</w:t>
      </w:r>
      <w:r>
        <w:rPr/>
        <w:t>日线约</w:t>
      </w:r>
      <w:r>
        <w:rPr/>
        <w:t>12.50%</w:t>
      </w:r>
      <w:r>
        <w:rPr/>
        <w:t>。全部均线五日斜率为负，分别约负</w:t>
      </w:r>
      <w:r>
        <w:rPr/>
        <w:t>0.40%</w:t>
      </w:r>
      <w:r>
        <w:rPr/>
        <w:t>、负</w:t>
      </w:r>
      <w:r>
        <w:rPr/>
        <w:t>0.43%</w:t>
      </w:r>
      <w:r>
        <w:rPr/>
        <w:t>、负</w:t>
      </w:r>
      <w:r>
        <w:rPr/>
        <w:t>0.74%</w:t>
      </w:r>
      <w:r>
        <w:rPr/>
        <w:t>、负</w:t>
      </w:r>
      <w:r>
        <w:rPr/>
        <w:t>0.47%</w:t>
      </w:r>
      <w:r>
        <w:rPr/>
        <w:t>。因此当前是长周期下降中的短反弹，尚不能称多头排列。价格只需很小变动就可越过</w:t>
      </w:r>
      <w:r>
        <w:rPr/>
        <w:t>60</w:t>
      </w:r>
      <w:r>
        <w:rPr/>
        <w:t>日线，判断必须结合收盘稳定和成交，而不是把一次盘中触碰当成趋势改变。</w:t>
      </w:r>
    </w:p>
    <w:p>
      <w:pPr>
        <w:pStyle w:val="Normal"/>
        <w:rPr/>
      </w:pPr>
      <w:r>
        <w:rPr/>
        <w:t>最近</w:t>
      </w:r>
      <w:r>
        <w:rPr/>
        <w:t>20</w:t>
      </w:r>
      <w:r>
        <w:rPr/>
        <w:t>日观察低点</w:t>
      </w:r>
      <w:r>
        <w:rPr/>
        <w:t>1.91</w:t>
      </w:r>
      <w:r>
        <w:rPr/>
        <w:t>、高点</w:t>
      </w:r>
      <w:r>
        <w:rPr/>
        <w:t>2.17</w:t>
      </w:r>
      <w:r>
        <w:rPr/>
        <w:t>港元，现价到低点约负</w:t>
      </w:r>
      <w:r>
        <w:rPr/>
        <w:t>8.83%</w:t>
      </w:r>
      <w:r>
        <w:rPr/>
        <w:t>，到高点约正</w:t>
      </w:r>
      <w:r>
        <w:rPr/>
        <w:t>3.58%</w:t>
      </w:r>
      <w:r>
        <w:rPr/>
        <w:t>；</w:t>
      </w:r>
      <w:r>
        <w:rPr/>
        <w:t>60</w:t>
      </w:r>
      <w:r>
        <w:rPr/>
        <w:t>日高点约</w:t>
      </w:r>
      <w:r>
        <w:rPr/>
        <w:t>2.3307</w:t>
      </w:r>
      <w:r>
        <w:rPr/>
        <w:t>，到该位置约正</w:t>
      </w:r>
      <w:r>
        <w:rPr/>
        <w:t>11.25%</w:t>
      </w:r>
      <w:r>
        <w:rPr/>
        <w:t>。这些来自区间高低点，不是经过多次触碰证明的支撑阻力，更不是最大跌幅预测。半年交易观察可先看</w:t>
      </w:r>
      <w:r>
        <w:rPr/>
        <w:t>2.11</w:t>
      </w:r>
      <w:r>
        <w:rPr/>
        <w:t>附近</w:t>
      </w:r>
      <w:r>
        <w:rPr/>
        <w:t>60</w:t>
      </w:r>
      <w:r>
        <w:rPr/>
        <w:t>线、</w:t>
      </w:r>
      <w:r>
        <w:rPr/>
        <w:t>2.17</w:t>
      </w:r>
      <w:r>
        <w:rPr/>
        <w:t>区间上沿能否收盘站稳，再看</w:t>
      </w:r>
      <w:r>
        <w:rPr/>
        <w:t>2.26</w:t>
      </w:r>
      <w:r>
        <w:rPr/>
        <w:t>与</w:t>
      </w:r>
      <w:r>
        <w:rPr/>
        <w:t>2.33</w:t>
      </w:r>
      <w:r>
        <w:rPr/>
        <w:t>区域。回踩</w:t>
      </w:r>
      <w:r>
        <w:rPr/>
        <w:t>1.91</w:t>
      </w:r>
      <w:r>
        <w:rPr/>
        <w:t>以下并持续放量，会否定近期低点有效性，不能因为模型长期目标更高就忽略技术失效。</w:t>
      </w:r>
    </w:p>
    <w:p>
      <w:pPr>
        <w:pStyle w:val="Normal"/>
        <w:rPr/>
      </w:pPr>
      <w:r>
        <w:rPr/>
        <w:t>52</w:t>
      </w:r>
      <w:r>
        <w:rPr/>
        <w:t>周复权高点约</w:t>
      </w:r>
      <w:r>
        <w:rPr/>
        <w:t>3.0098</w:t>
      </w:r>
      <w:r>
        <w:rPr/>
        <w:t>、低点</w:t>
      </w:r>
      <w:r>
        <w:rPr/>
        <w:t>1.91</w:t>
      </w:r>
      <w:r>
        <w:rPr/>
        <w:t>，现价距高点约负</w:t>
      </w:r>
      <w:r>
        <w:rPr/>
        <w:t>30.39%</w:t>
      </w:r>
      <w:r>
        <w:rPr/>
        <w:t>，距低点约正</w:t>
      </w:r>
      <w:r>
        <w:rPr/>
        <w:t>9.69%</w:t>
      </w:r>
      <w:r>
        <w:rPr/>
        <w:t>，窗口最大回撤约</w:t>
      </w:r>
      <w:r>
        <w:rPr/>
        <w:t>34.94%</w:t>
      </w:r>
      <w:r>
        <w:rPr/>
        <w:t>。下跌幅度大并不能独立证明便宜，因为电价中枢、盈利和资本回收可能同步下修。相反，若基本面只是天气短期扰动，深回撤可形成修复空间。需要以量价、业绩和现金共同判断哪种解释更可信。不能用曾经</w:t>
      </w:r>
      <w:r>
        <w:rPr/>
        <w:t>3</w:t>
      </w:r>
      <w:r>
        <w:rPr/>
        <w:t>港元作为必然回归目标，模型目标应来自新的正常利润和合理估值，而不是把历史峰值当价值锚。</w:t>
      </w:r>
    </w:p>
    <w:p>
      <w:pPr>
        <w:pStyle w:val="Normal"/>
        <w:rPr/>
      </w:pPr>
      <w:r>
        <w:rPr/>
        <w:t>当日量比约</w:t>
      </w:r>
      <w:r>
        <w:rPr/>
        <w:t>1.049</w:t>
      </w:r>
      <w:r>
        <w:rPr/>
        <w:t>，接近前</w:t>
      </w:r>
      <w:r>
        <w:rPr/>
        <w:t>20</w:t>
      </w:r>
      <w:r>
        <w:rPr/>
        <w:t>日均量，不是显著放量。</w:t>
      </w:r>
      <w:r>
        <w:rPr/>
        <w:t>5</w:t>
      </w:r>
      <w:r>
        <w:rPr/>
        <w:t>、</w:t>
      </w:r>
      <w:r>
        <w:rPr/>
        <w:t>20</w:t>
      </w:r>
      <w:r>
        <w:rPr/>
        <w:t>、</w:t>
      </w:r>
      <w:r>
        <w:rPr/>
        <w:t>60</w:t>
      </w:r>
      <w:r>
        <w:rPr/>
        <w:t>日均量约</w:t>
      </w:r>
      <w:r>
        <w:rPr/>
        <w:t>370.44</w:t>
      </w:r>
      <w:r>
        <w:rPr/>
        <w:t>、</w:t>
      </w:r>
      <w:r>
        <w:rPr/>
        <w:t>445.22</w:t>
      </w:r>
      <w:r>
        <w:rPr/>
        <w:t>、</w:t>
      </w:r>
      <w:r>
        <w:rPr/>
        <w:t>505.55</w:t>
      </w:r>
      <w:r>
        <w:rPr/>
        <w:t>万股，短均量低于长均量，显示成交热度总体收缩。</w:t>
      </w:r>
      <w:r>
        <w:rPr/>
        <w:t>20</w:t>
      </w:r>
      <w:r>
        <w:rPr/>
        <w:t>日上涨日八天、下跌日十天，上涨日总量约</w:t>
      </w:r>
      <w:r>
        <w:rPr/>
        <w:t>4468.6</w:t>
      </w:r>
      <w:r>
        <w:rPr/>
        <w:t>万、下跌日</w:t>
      </w:r>
      <w:r>
        <w:rPr/>
        <w:t>3615.6</w:t>
      </w:r>
      <w:r>
        <w:rPr/>
        <w:t>万，合计比</w:t>
      </w:r>
      <w:r>
        <w:rPr/>
        <w:t>1.236</w:t>
      </w:r>
      <w:r>
        <w:rPr/>
        <w:t>，但不同天数应另看每日平均，不能直接说上涨资金占优势。平盘量也存在，成交总量不是净买入；每笔都有买卖双方，没有逐笔身份数据，不能由量比断言主力吸筹。</w:t>
      </w:r>
    </w:p>
    <w:p>
      <w:pPr>
        <w:pStyle w:val="Normal"/>
        <w:rPr/>
      </w:pPr>
      <w:r>
        <w:rPr/>
        <w:t>十月九日开盘</w:t>
      </w:r>
      <w:r>
        <w:rPr/>
        <w:t>2.135</w:t>
      </w:r>
      <w:r>
        <w:rPr/>
        <w:t>、最高</w:t>
      </w:r>
      <w:r>
        <w:rPr/>
        <w:t>2.16</w:t>
      </w:r>
      <w:r>
        <w:rPr/>
        <w:t>、最低与收盘</w:t>
      </w:r>
      <w:r>
        <w:rPr/>
        <w:t>2.095</w:t>
      </w:r>
      <w:r>
        <w:rPr/>
        <w:t>，接近当日最低收盘，日跌约</w:t>
      </w:r>
      <w:r>
        <w:rPr/>
        <w:t>1.64%</w:t>
      </w:r>
      <w:r>
        <w:rPr/>
        <w:t>。这个形态表明上冲未保持，而成交仅普通，既不构成强势放量突破，也不是恐慌极量出清。十月八日公开自动形态新闻称区域突破，九月十一日曾称死亡交叉，这些标签只是不同指标截面的结果。研究优先使用统一实际行情和观察条件，不把新闻形态标题直接打分。若之后突破</w:t>
      </w:r>
      <w:r>
        <w:rPr/>
        <w:t>2.17</w:t>
      </w:r>
      <w:r>
        <w:rPr/>
        <w:t>，需要更明显的持续成交与周线改善才能提升技术证据。</w:t>
      </w:r>
    </w:p>
    <w:p>
      <w:pPr>
        <w:pStyle w:val="Normal"/>
        <w:rPr/>
      </w:pPr>
      <w:r>
        <w:rPr/>
        <w:t>日</w:t>
      </w:r>
      <w:r>
        <w:rPr/>
        <w:t>RSI</w:t>
      </w:r>
      <w:r>
        <w:rPr/>
        <w:t>约</w:t>
      </w:r>
      <w:r>
        <w:rPr/>
        <w:t>54.71</w:t>
      </w:r>
      <w:r>
        <w:rPr/>
        <w:t>，处在中性略强区；</w:t>
      </w:r>
      <w:r>
        <w:rPr/>
        <w:t>MACD</w:t>
      </w:r>
      <w:r>
        <w:rPr/>
        <w:t>差离值约负</w:t>
      </w:r>
      <w:r>
        <w:rPr/>
        <w:t>0.0051</w:t>
      </w:r>
      <w:r>
        <w:rPr/>
        <w:t>、信号负</w:t>
      </w:r>
      <w:r>
        <w:rPr/>
        <w:t>0.0191</w:t>
      </w:r>
      <w:r>
        <w:rPr/>
        <w:t>、柱约正</w:t>
      </w:r>
      <w:r>
        <w:rPr/>
        <w:t>0.0279</w:t>
      </w:r>
      <w:r>
        <w:rPr/>
        <w:t>，显示短反弹动能但仍接近零轴下方。它们与均线反映相近价格信息，所以只作辅助，不重复加三次分。</w:t>
      </w:r>
      <w:r>
        <w:rPr/>
        <w:t>ATR</w:t>
      </w:r>
      <w:r>
        <w:rPr/>
        <w:t>约</w:t>
      </w:r>
      <w:r>
        <w:rPr/>
        <w:t>0.0638</w:t>
      </w:r>
      <w:r>
        <w:rPr/>
        <w:t>港元、占现价</w:t>
      </w:r>
      <w:r>
        <w:rPr/>
        <w:t>3.05%</w:t>
      </w:r>
      <w:r>
        <w:rPr/>
        <w:t>，意味近期正常波动本身足以覆盖现价到</w:t>
      </w:r>
      <w:r>
        <w:rPr/>
        <w:t>60</w:t>
      </w:r>
      <w:r>
        <w:rPr/>
        <w:t>线的距离。技术执行区间应考虑该波动，不能把</w:t>
      </w:r>
      <w:r>
        <w:rPr/>
        <w:t>2.11</w:t>
      </w:r>
      <w:r>
        <w:rPr/>
        <w:t>与</w:t>
      </w:r>
      <w:r>
        <w:rPr/>
        <w:t>2.12</w:t>
      </w:r>
      <w:r>
        <w:rPr/>
        <w:t>的差当确定买卖优势，也不能将</w:t>
      </w:r>
      <w:r>
        <w:rPr/>
        <w:t>ATR</w:t>
      </w:r>
      <w:r>
        <w:rPr/>
        <w:t>解释为未来每一天涨跌上限。</w:t>
      </w:r>
    </w:p>
    <w:p>
      <w:pPr>
        <w:pStyle w:val="Normal"/>
        <w:rPr/>
      </w:pPr>
      <w:r>
        <w:rPr/>
        <w:t>周线</w:t>
      </w:r>
      <w:r>
        <w:rPr/>
        <w:t>20</w:t>
      </w:r>
      <w:r>
        <w:rPr/>
        <w:t>、</w:t>
      </w:r>
      <w:r>
        <w:rPr/>
        <w:t>60</w:t>
      </w:r>
      <w:r>
        <w:rPr/>
        <w:t>、</w:t>
      </w:r>
      <w:r>
        <w:rPr/>
        <w:t>120</w:t>
      </w:r>
      <w:r>
        <w:rPr/>
        <w:t>周均线約</w:t>
      </w:r>
      <w:r>
        <w:rPr/>
        <w:t>2.1847</w:t>
      </w:r>
      <w:r>
        <w:rPr/>
        <w:t>、</w:t>
      </w:r>
      <w:r>
        <w:rPr/>
        <w:t>2.3960</w:t>
      </w:r>
      <w:r>
        <w:rPr/>
        <w:t>、</w:t>
      </w:r>
      <w:r>
        <w:rPr/>
        <w:t>2.2453</w:t>
      </w:r>
      <w:r>
        <w:rPr/>
        <w:t>港元，现价全部在其下；</w:t>
      </w:r>
      <w:r>
        <w:rPr/>
        <w:t>20</w:t>
      </w:r>
      <w:r>
        <w:rPr/>
        <w:t>周五周斜率约负</w:t>
      </w:r>
      <w:r>
        <w:rPr/>
        <w:t>5.06%</w:t>
      </w:r>
      <w:r>
        <w:rPr/>
        <w:t>、</w:t>
      </w:r>
      <w:r>
        <w:rPr/>
        <w:t>60</w:t>
      </w:r>
      <w:r>
        <w:rPr/>
        <w:t>周约负</w:t>
      </w:r>
      <w:r>
        <w:rPr/>
        <w:t>0.98%</w:t>
      </w:r>
      <w:r>
        <w:rPr/>
        <w:t>、</w:t>
      </w:r>
      <w:r>
        <w:rPr/>
        <w:t>120</w:t>
      </w:r>
      <w:r>
        <w:rPr/>
        <w:t>周约负</w:t>
      </w:r>
      <w:r>
        <w:rPr/>
        <w:t>0.62%</w:t>
      </w:r>
      <w:r>
        <w:rPr/>
        <w:t>。周</w:t>
      </w:r>
      <w:r>
        <w:rPr/>
        <w:t>RSI</w:t>
      </w:r>
      <w:r>
        <w:rPr/>
        <w:t>约</w:t>
      </w:r>
      <w:r>
        <w:rPr/>
        <w:t>43.48</w:t>
      </w:r>
      <w:r>
        <w:rPr/>
        <w:t>，</w:t>
      </w:r>
      <w:r>
        <w:rPr/>
        <w:t>MACD</w:t>
      </w:r>
      <w:r>
        <w:rPr/>
        <w:t>柱约负</w:t>
      </w:r>
      <w:r>
        <w:rPr/>
        <w:t>0.0151</w:t>
      </w:r>
      <w:r>
        <w:rPr/>
        <w:t>，趋势仍弱。</w:t>
      </w:r>
      <w:r>
        <w:rPr/>
        <w:t>157</w:t>
      </w:r>
      <w:r>
        <w:rPr/>
        <w:t>周历史不足</w:t>
      </w:r>
      <w:r>
        <w:rPr/>
        <w:t>250</w:t>
      </w:r>
      <w:r>
        <w:rPr/>
        <w:t>周，</w:t>
      </w:r>
      <w:r>
        <w:rPr/>
        <w:t>250</w:t>
      </w:r>
      <w:r>
        <w:rPr/>
        <w:t>周均线为空，不补造。周成交比约</w:t>
      </w:r>
      <w:r>
        <w:rPr/>
        <w:t>0.548</w:t>
      </w:r>
      <w:r>
        <w:rPr/>
        <w:t>，</w:t>
      </w:r>
      <w:r>
        <w:rPr/>
        <w:t>20</w:t>
      </w:r>
      <w:r>
        <w:rPr/>
        <w:t>周上涨量与下跌量比约</w:t>
      </w:r>
      <w:r>
        <w:rPr/>
        <w:t>0.851</w:t>
      </w:r>
      <w:r>
        <w:rPr/>
        <w:t>，和日线反弹不同向。半年技术得分</w:t>
      </w:r>
      <w:r>
        <w:rPr/>
        <w:t>2.9</w:t>
      </w:r>
      <w:r>
        <w:rPr/>
        <w:t>分，反映小幅修复且持续性未确认，而非以日线单指标给强推荐。</w:t>
      </w:r>
    </w:p>
    <w:p>
      <w:pPr>
        <w:pStyle w:val="Normal"/>
        <w:rPr/>
      </w:pPr>
      <w:r>
        <w:rPr/>
        <w:t>相对恒生指数</w:t>
      </w:r>
      <w:r>
        <w:rPr/>
        <w:t>20</w:t>
      </w:r>
      <w:r>
        <w:rPr/>
        <w:t>日超额约正</w:t>
      </w:r>
      <w:r>
        <w:rPr/>
        <w:t>1.52</w:t>
      </w:r>
      <w:r>
        <w:rPr/>
        <w:t>个百分点、</w:t>
      </w:r>
      <w:r>
        <w:rPr/>
        <w:t>60</w:t>
      </w:r>
      <w:r>
        <w:rPr/>
        <w:t>日约负</w:t>
      </w:r>
      <w:r>
        <w:rPr/>
        <w:t>1.75</w:t>
      </w:r>
      <w:r>
        <w:rPr/>
        <w:t>个百分点。近期少跌可以说明短期防御，但</w:t>
      </w:r>
      <w:r>
        <w:rPr/>
        <w:t>60</w:t>
      </w:r>
      <w:r>
        <w:rPr/>
        <w:t>日落后并没有形成持续领导趋势。锁行情粗粒度行业字段含恒生科技，对新能源运营不适用，本章将行业超额留缺失，不能用科技板块大跌反衬电力相对强。若取得合适新能源运营指数历史，可更新</w:t>
      </w:r>
      <w:r>
        <w:rPr/>
        <w:t>20</w:t>
      </w:r>
      <w:r>
        <w:rPr/>
        <w:t>与</w:t>
      </w:r>
      <w:r>
        <w:rPr/>
        <w:t>60</w:t>
      </w:r>
      <w:r>
        <w:rPr/>
        <w:t>日行业相对表现；目前相对市场证据与行业论证分开计分，避免在缺少基准时制造看似完整的相对强弱图表。</w:t>
      </w:r>
    </w:p>
    <w:p>
      <w:pPr>
        <w:pStyle w:val="Normal"/>
        <w:rPr/>
      </w:pPr>
      <w:r>
        <w:rPr/>
        <w:t>换手率按法律发行股简单计算，当日约</w:t>
      </w:r>
      <w:r>
        <w:rPr/>
        <w:t>0.107%</w:t>
      </w:r>
      <w:r>
        <w:rPr/>
        <w:t>，仅表示全部发行股口径的交易比例；控股比例高，公众流通口径会不同，未取得一致逐日自由流通股数，不能将这个数字与不同软件字段直接比较。成交额日均不足大型蓝筹，有进出成本与订单冲击。进取策略需要考虑价格目标的理论空间和实际成交能力是否匹配。研究没有安排真实下单，也不提供假定能够在目标点全量成交的保证；大额资金应另核盘口和执行成本。</w:t>
      </w:r>
    </w:p>
    <w:p>
      <w:pPr>
        <w:pStyle w:val="Normal"/>
        <w:rPr/>
      </w:pPr>
      <w:r>
        <w:rPr/>
        <w:t>技术判断成立条件是收盘跨过</w:t>
      </w:r>
      <w:r>
        <w:rPr/>
        <w:t>2.17</w:t>
      </w:r>
      <w:r>
        <w:rPr/>
        <w:t>之后保持、回踩量缩且未再破近期低点，同时</w:t>
      </w:r>
      <w:r>
        <w:rPr/>
        <w:t>60</w:t>
      </w:r>
      <w:r>
        <w:rPr/>
        <w:t>日和</w:t>
      </w:r>
      <w:r>
        <w:rPr/>
        <w:t>20</w:t>
      </w:r>
      <w:r>
        <w:rPr/>
        <w:t>周斜率逐步改善。判断失效条件是</w:t>
      </w:r>
      <w:r>
        <w:rPr/>
        <w:t>1.91</w:t>
      </w:r>
      <w:r>
        <w:rPr/>
        <w:t>被有效跌破、连续放量下行，或财报显示实际量价低于模型而反弹只来自市场情绪。</w:t>
      </w:r>
      <w:r>
        <w:rPr/>
        <w:t>2.33</w:t>
      </w:r>
      <w:r>
        <w:rPr/>
        <w:t>附近</w:t>
      </w:r>
      <w:r>
        <w:rPr/>
        <w:t>60</w:t>
      </w:r>
      <w:r>
        <w:rPr/>
        <w:t>日高点可作为进一步验证位，目标</w:t>
      </w:r>
      <w:r>
        <w:rPr/>
        <w:t>2.84</w:t>
      </w:r>
      <w:r>
        <w:rPr/>
        <w:t>属于盈利估值结果，不能由</w:t>
      </w:r>
      <w:r>
        <w:rPr/>
        <w:t>2.17</w:t>
      </w:r>
      <w:r>
        <w:rPr/>
        <w:t>突破图形直接推出。价格反弹而经营恶化时，应优先重估基本面，技术改善只提高交易时点证据，不能修复利润与资金缺口。</w:t>
      </w:r>
    </w:p>
    <w:p>
      <w:pPr>
        <w:pStyle w:val="Heading2"/>
        <w:rPr/>
      </w:pPr>
      <w:r>
        <w:rPr>
          <w:color w:val="000000"/>
        </w:rPr>
        <w:t>活动模型与情景假设</w:t>
      </w:r>
    </w:p>
    <w:p>
      <w:pPr>
        <w:pStyle w:val="Normal"/>
        <w:rPr/>
      </w:pPr>
      <w:r>
        <w:rPr/>
        <w:t>风电与太阳能收入通过真实半年校准：并表发电太瓦时乘含税人民币每度价，再乘经验转换系数、除人民币每美元，得美元十亿元收入。风电系数约</w:t>
      </w:r>
      <w:r>
        <w:rPr/>
        <w:t>0.873667</w:t>
      </w:r>
      <w:r>
        <w:rPr/>
        <w:t>、太阳能约</w:t>
      </w:r>
      <w:r>
        <w:rPr/>
        <w:t>0.796078</w:t>
      </w:r>
      <w:r>
        <w:rPr/>
        <w:t>，涵盖总发电到售电净量、</w:t>
      </w:r>
      <w:r>
        <w:rPr/>
        <w:t>VAT</w:t>
      </w:r>
      <w:r>
        <w:rPr/>
        <w:t>、补贴结构、平均汇率及四舍五入差异，不是法定税率。用这条桥能测试量与价的变化，但不能声称它精确还原逐项目合同。未来项目结构若大变，应重算系数；原系数不能永久复制，否则新低价项目与旧补贴收入混合会产生系统误差。</w:t>
      </w:r>
    </w:p>
    <w:p>
      <w:pPr>
        <w:pStyle w:val="Normal"/>
        <w:rPr/>
      </w:pPr>
      <w:r>
        <w:rPr/>
        <w:t>基准</w:t>
      </w:r>
      <w:r>
        <w:rPr/>
        <w:t>2026</w:t>
      </w:r>
      <w:r>
        <w:rPr/>
        <w:t>风电量</w:t>
      </w:r>
      <w:r>
        <w:rPr/>
        <w:t>9.7</w:t>
      </w:r>
      <w:r>
        <w:rPr/>
        <w:t>太瓦时、含税价</w:t>
      </w:r>
      <w:r>
        <w:rPr/>
        <w:t>0.52</w:t>
      </w:r>
      <w:r>
        <w:rPr/>
        <w:t>元、风电总经济成本</w:t>
      </w:r>
      <w:r>
        <w:rPr/>
        <w:t>3.26</w:t>
      </w:r>
      <w:r>
        <w:rPr/>
        <w:t>亿美元；</w:t>
      </w:r>
      <w:r>
        <w:rPr/>
        <w:t>2027</w:t>
      </w:r>
      <w:r>
        <w:rPr/>
        <w:t>量</w:t>
      </w:r>
      <w:r>
        <w:rPr/>
        <w:t>10.4</w:t>
      </w:r>
      <w:r>
        <w:rPr/>
        <w:t>、价</w:t>
      </w:r>
      <w:r>
        <w:rPr/>
        <w:t>0.50</w:t>
      </w:r>
      <w:r>
        <w:rPr/>
        <w:t>、成本</w:t>
      </w:r>
      <w:r>
        <w:rPr/>
        <w:t>3.40</w:t>
      </w:r>
      <w:r>
        <w:rPr/>
        <w:t>亿美元。太阳能</w:t>
      </w:r>
      <w:r>
        <w:rPr/>
        <w:t>2026</w:t>
      </w:r>
      <w:r>
        <w:rPr/>
        <w:t>量</w:t>
      </w:r>
      <w:r>
        <w:rPr/>
        <w:t>3.4</w:t>
      </w:r>
      <w:r>
        <w:rPr/>
        <w:t>、价</w:t>
      </w:r>
      <w:r>
        <w:rPr/>
        <w:t>0.43</w:t>
      </w:r>
      <w:r>
        <w:rPr/>
        <w:t>、成本</w:t>
      </w:r>
      <w:r>
        <w:rPr/>
        <w:t>1.24</w:t>
      </w:r>
      <w:r>
        <w:rPr/>
        <w:t>亿美元，</w:t>
      </w:r>
      <w:r>
        <w:rPr/>
        <w:t>2027</w:t>
      </w:r>
      <w:r>
        <w:rPr/>
        <w:t>量</w:t>
      </w:r>
      <w:r>
        <w:rPr/>
        <w:t>3.8</w:t>
      </w:r>
      <w:r>
        <w:rPr/>
        <w:t>、价</w:t>
      </w:r>
      <w:r>
        <w:rPr/>
        <w:t>0.42</w:t>
      </w:r>
      <w:r>
        <w:rPr/>
        <w:t>、成本</w:t>
      </w:r>
      <w:r>
        <w:rPr/>
        <w:t>1.35</w:t>
      </w:r>
      <w:r>
        <w:rPr/>
        <w:t>亿美元。经济成本包含相应折旧、维护与人员等，管理讨论实际成本用于边界校准，但未来为研究预算。价格下降意味着量增只抵消部分压力。若更低电价和更高费用同时出现，利润损失会明显超过只改收入增长率的简单模型。</w:t>
      </w:r>
    </w:p>
    <w:p>
      <w:pPr>
        <w:pStyle w:val="Normal"/>
        <w:rPr/>
      </w:pPr>
      <w:r>
        <w:rPr/>
        <w:t>韩国基准</w:t>
      </w:r>
      <w:r>
        <w:rPr/>
        <w:t>2026</w:t>
      </w:r>
      <w:r>
        <w:rPr/>
        <w:t>电量</w:t>
      </w:r>
      <w:r>
        <w:rPr/>
        <w:t>7.9</w:t>
      </w:r>
      <w:r>
        <w:rPr/>
        <w:t>太瓦时、总实现收入每度</w:t>
      </w:r>
      <w:r>
        <w:rPr/>
        <w:t>0.109</w:t>
      </w:r>
      <w:r>
        <w:rPr/>
        <w:t>美元、燃料每度</w:t>
      </w:r>
      <w:r>
        <w:rPr/>
        <w:t>0.085</w:t>
      </w:r>
      <w:r>
        <w:rPr/>
        <w:t>美元、固定经济成本</w:t>
      </w:r>
      <w:r>
        <w:rPr/>
        <w:t>1.28</w:t>
      </w:r>
      <w:r>
        <w:rPr/>
        <w:t>亿美元；</w:t>
      </w:r>
      <w:r>
        <w:rPr/>
        <w:t>2027</w:t>
      </w:r>
      <w:r>
        <w:rPr/>
        <w:t>量</w:t>
      </w:r>
      <w:r>
        <w:rPr/>
        <w:t>9.3</w:t>
      </w:r>
      <w:r>
        <w:rPr/>
        <w:t>、总收入</w:t>
      </w:r>
      <w:r>
        <w:rPr/>
        <w:t>0.108</w:t>
      </w:r>
      <w:r>
        <w:rPr/>
        <w:t>、燃料</w:t>
      </w:r>
      <w:r>
        <w:rPr/>
        <w:t>0.084</w:t>
      </w:r>
      <w:r>
        <w:rPr/>
        <w:t>、固定</w:t>
      </w:r>
      <w:r>
        <w:rPr/>
        <w:t>1.42</w:t>
      </w:r>
      <w:r>
        <w:rPr/>
        <w:t>亿美元。它包含容量、证书等收入，不等于公司公布的</w:t>
      </w:r>
      <w:r>
        <w:rPr/>
        <w:t>139.84</w:t>
      </w:r>
      <w:r>
        <w:rPr/>
        <w:t>韩元气电结算价。</w:t>
      </w:r>
      <w:r>
        <w:rPr/>
        <w:t>2027</w:t>
      </w:r>
      <w:r>
        <w:rPr/>
        <w:t>正常经营贡献依赖大山二期全年运行及价差维持，同时将维护折旧提升。若总实现收入只随燃料下降而没有稳定容量或价差，新机组可以增加收入却几乎不增加股东利润，乐观目标就不成立。</w:t>
      </w:r>
    </w:p>
    <w:p>
      <w:pPr>
        <w:pStyle w:val="Normal"/>
        <w:rPr/>
      </w:pPr>
      <w:r>
        <w:rPr/>
        <w:t>正常补助每年</w:t>
      </w:r>
      <w:r>
        <w:rPr/>
        <w:t>1000</w:t>
      </w:r>
      <w:r>
        <w:rPr/>
        <w:t>万美元不包含重复的电价补贴收入，正常联营</w:t>
      </w:r>
      <w:r>
        <w:rPr/>
        <w:t>800</w:t>
      </w:r>
      <w:r>
        <w:rPr/>
        <w:t>万美元、现金息按有限期初自由现金</w:t>
      </w:r>
      <w:r>
        <w:rPr/>
        <w:t>0.5%</w:t>
      </w:r>
      <w:r>
        <w:rPr/>
        <w:t>计算。银行利率基准</w:t>
      </w:r>
      <w:r>
        <w:rPr/>
        <w:t>2.1%</w:t>
      </w:r>
      <w:r>
        <w:rPr/>
        <w:t>、关联</w:t>
      </w:r>
      <w:r>
        <w:rPr/>
        <w:t>2.2%</w:t>
      </w:r>
      <w:r>
        <w:rPr/>
        <w:t>，租息逐年从</w:t>
      </w:r>
      <w:r>
        <w:rPr/>
        <w:t>300</w:t>
      </w:r>
      <w:r>
        <w:rPr/>
        <w:t>万美元升至</w:t>
      </w:r>
      <w:r>
        <w:rPr/>
        <w:t>420</w:t>
      </w:r>
      <w:r>
        <w:rPr/>
        <w:t>万美元，其他利息</w:t>
      </w:r>
      <w:r>
        <w:rPr/>
        <w:t>30</w:t>
      </w:r>
      <w:r>
        <w:rPr/>
        <w:t>万美元；有效税</w:t>
      </w:r>
      <w:r>
        <w:rPr/>
        <w:t>25%</w:t>
      </w:r>
      <w:r>
        <w:rPr/>
        <w:t>、少数股东利润随项目略增。经营增长与融资成本分开，让新借款既提供现金又提高以后费用。若现金收益率、债务费率或税改变，活动模型自动重算，而非只手动调整目标价百分比；这使价格假设的风险来源能够被检查。</w:t>
      </w:r>
    </w:p>
    <w:p>
      <w:pPr>
        <w:pStyle w:val="Normal"/>
        <w:rPr/>
      </w:pPr>
      <w:r>
        <w:rPr/>
        <w:t>基准正常收入</w:t>
      </w:r>
      <w:r>
        <w:rPr/>
        <w:t>2026</w:t>
      </w:r>
      <w:r>
        <w:rPr/>
        <w:t>约</w:t>
      </w:r>
      <w:r>
        <w:rPr/>
        <w:t>17.616</w:t>
      </w:r>
      <w:r>
        <w:rPr/>
        <w:t>亿美元、</w:t>
      </w:r>
      <w:r>
        <w:rPr/>
        <w:t>2027</w:t>
      </w:r>
      <w:r>
        <w:rPr/>
        <w:t>约</w:t>
      </w:r>
      <w:r>
        <w:rPr/>
        <w:t>19.426</w:t>
      </w:r>
      <w:r>
        <w:rPr/>
        <w:t>亿美元、</w:t>
      </w:r>
      <w:r>
        <w:rPr/>
        <w:t>2028</w:t>
      </w:r>
      <w:r>
        <w:rPr/>
        <w:t>约</w:t>
      </w:r>
      <w:r>
        <w:rPr/>
        <w:t>20.006</w:t>
      </w:r>
      <w:r>
        <w:rPr/>
        <w:t>亿美元，正常归母分别</w:t>
      </w:r>
      <w:r>
        <w:rPr/>
        <w:t>2.162</w:t>
      </w:r>
      <w:r>
        <w:rPr/>
        <w:t>、</w:t>
      </w:r>
      <w:r>
        <w:rPr/>
        <w:t>2.366</w:t>
      </w:r>
      <w:r>
        <w:rPr/>
        <w:t>、</w:t>
      </w:r>
      <w:r>
        <w:rPr/>
        <w:t>2.423</w:t>
      </w:r>
      <w:r>
        <w:rPr/>
        <w:t>亿美元。</w:t>
      </w:r>
      <w:r>
        <w:rPr/>
        <w:t>2027</w:t>
      </w:r>
      <w:r>
        <w:rPr/>
        <w:t>收入跳升主要有韩国完整年度和风况恢复，之后增长较温和；</w:t>
      </w:r>
      <w:r>
        <w:rPr/>
        <w:t>2031</w:t>
      </w:r>
      <w:r>
        <w:rPr/>
        <w:t>收入约</w:t>
      </w:r>
      <w:r>
        <w:rPr/>
        <w:t>22.079</w:t>
      </w:r>
      <w:r>
        <w:rPr/>
        <w:t>亿美元、归母</w:t>
      </w:r>
      <w:r>
        <w:rPr/>
        <w:t>2.759</w:t>
      </w:r>
      <w:r>
        <w:rPr/>
        <w:t>亿美元，接近</w:t>
      </w:r>
      <w:r>
        <w:rPr/>
        <w:t>2025</w:t>
      </w:r>
      <w:r>
        <w:rPr/>
        <w:t>年已报利润，但组成不同。此路径提供合理修复而非高速复利承诺。若</w:t>
      </w:r>
      <w:r>
        <w:rPr/>
        <w:t>2027</w:t>
      </w:r>
      <w:r>
        <w:rPr/>
        <w:t>年收入恢复但归母没有跟随，需检查电价、成本、少数股东和利息，不应仅以营业额符合预测判定整个推荐成功。</w:t>
      </w:r>
    </w:p>
    <w:p>
      <w:pPr>
        <w:pStyle w:val="Normal"/>
        <w:rPr/>
      </w:pPr>
      <w:r>
        <w:rPr/>
        <w:t>悲观电量较低、电价下行更明显、韩国价差收窄，银行与关联利率升至</w:t>
      </w:r>
      <w:r>
        <w:rPr/>
        <w:t>2.7%</w:t>
      </w:r>
      <w:r>
        <w:rPr/>
        <w:t>、有效税</w:t>
      </w:r>
      <w:r>
        <w:rPr/>
        <w:t>30%</w:t>
      </w:r>
      <w:r>
        <w:rPr/>
        <w:t>。</w:t>
      </w:r>
      <w:r>
        <w:rPr/>
        <w:t>2027</w:t>
      </w:r>
      <w:r>
        <w:rPr/>
        <w:t>归母约</w:t>
      </w:r>
      <w:r>
        <w:rPr/>
        <w:t>5540</w:t>
      </w:r>
      <w:r>
        <w:rPr/>
        <w:t>万美元，</w:t>
      </w:r>
      <w:r>
        <w:rPr/>
        <w:t>2031</w:t>
      </w:r>
      <w:r>
        <w:rPr/>
        <w:t>约</w:t>
      </w:r>
      <w:r>
        <w:rPr/>
        <w:t>1319</w:t>
      </w:r>
      <w:r>
        <w:rPr/>
        <w:t>万美元，正常盈利持续压缩。现金因资本开支削减、折旧加回与融资滚动仍可维持，并不代表企业经济价值稳定：少投资可能导致未来设备效率和增长下降。模型给出极低</w:t>
      </w:r>
      <w:r>
        <w:rPr/>
        <w:t>PE</w:t>
      </w:r>
      <w:r>
        <w:rPr/>
        <w:t>价格是每股盈利承压的结果，不是断言有形资产只能以该价清算。若处置、重组或新政策改善现金价值，应另列证据后重估，不能预先套高</w:t>
      </w:r>
      <w:r>
        <w:rPr/>
        <w:t>PB</w:t>
      </w:r>
      <w:r>
        <w:rPr/>
        <w:t>底价。</w:t>
      </w:r>
    </w:p>
    <w:p>
      <w:pPr>
        <w:pStyle w:val="Normal"/>
        <w:rPr/>
      </w:pPr>
      <w:r>
        <w:rPr/>
        <w:t>乐观假设风况与消纳较好、</w:t>
      </w:r>
      <w:r>
        <w:rPr/>
        <w:t>2027</w:t>
      </w:r>
      <w:r>
        <w:rPr/>
        <w:t>风价</w:t>
      </w:r>
      <w:r>
        <w:rPr/>
        <w:t>0.53</w:t>
      </w:r>
      <w:r>
        <w:rPr/>
        <w:t>元、光伏价</w:t>
      </w:r>
      <w:r>
        <w:rPr/>
        <w:t>0.44</w:t>
      </w:r>
      <w:r>
        <w:rPr/>
        <w:t>元，韩国每度总实现</w:t>
      </w:r>
      <w:r>
        <w:rPr/>
        <w:t>0.112</w:t>
      </w:r>
      <w:r>
        <w:rPr/>
        <w:t>美元、燃料</w:t>
      </w:r>
      <w:r>
        <w:rPr/>
        <w:t>0.082</w:t>
      </w:r>
      <w:r>
        <w:rPr/>
        <w:t>美元，同时融资较低、税</w:t>
      </w:r>
      <w:r>
        <w:rPr/>
        <w:t>24%</w:t>
      </w:r>
      <w:r>
        <w:rPr/>
        <w:t>。</w:t>
      </w:r>
      <w:r>
        <w:rPr/>
        <w:t>2027</w:t>
      </w:r>
      <w:r>
        <w:rPr/>
        <w:t>归母约</w:t>
      </w:r>
      <w:r>
        <w:rPr/>
        <w:t>3.954</w:t>
      </w:r>
      <w:r>
        <w:rPr/>
        <w:t>亿美元、</w:t>
      </w:r>
      <w:r>
        <w:rPr/>
        <w:t>2028</w:t>
      </w:r>
      <w:r>
        <w:rPr/>
        <w:t>约</w:t>
      </w:r>
      <w:r>
        <w:rPr/>
        <w:t>4.463</w:t>
      </w:r>
      <w:r>
        <w:rPr/>
        <w:t>亿美元，增长来自量价和价差共同改善，比基准显著乐观。估值</w:t>
      </w:r>
      <w:r>
        <w:rPr/>
        <w:t>8</w:t>
      </w:r>
      <w:r>
        <w:rPr/>
        <w:t>倍仍是成熟运营商区间假设，但盈利变化使一年价格</w:t>
      </w:r>
      <w:r>
        <w:rPr/>
        <w:t>6.3792</w:t>
      </w:r>
      <w:r>
        <w:rPr/>
        <w:t>港元、上涨约</w:t>
      </w:r>
      <w:r>
        <w:rPr/>
        <w:t>204.49%</w:t>
      </w:r>
      <w:r>
        <w:rPr/>
        <w:t>。高上涨空间绝非只靠低</w:t>
      </w:r>
      <w:r>
        <w:rPr/>
        <w:t>PE</w:t>
      </w:r>
      <w:r>
        <w:rPr/>
        <w:t>即可取得，需要数个有利因素同时出现，不能把</w:t>
      </w:r>
      <w:r>
        <w:rPr/>
        <w:t>25%</w:t>
      </w:r>
      <w:r>
        <w:rPr/>
        <w:t>判断权重写成机构统计成功概率。</w:t>
      </w:r>
    </w:p>
    <w:p>
      <w:pPr>
        <w:pStyle w:val="Normal"/>
        <w:rPr/>
      </w:pPr>
      <w:r>
        <w:rPr/>
        <w:t>目标未来十二个月盈利使用目标年与下一年正常归母按目标日历进度插值。年底十二月三十一日接近采用</w:t>
      </w:r>
      <w:r>
        <w:rPr/>
        <w:t>2027</w:t>
      </w:r>
      <w:r>
        <w:rPr/>
        <w:t>正常盈利，半年四月九日约</w:t>
      </w:r>
      <w:r>
        <w:rPr/>
        <w:t>73.15%</w:t>
      </w:r>
      <w:r>
        <w:rPr/>
        <w:t>采用</w:t>
      </w:r>
      <w:r>
        <w:rPr/>
        <w:t>2027</w:t>
      </w:r>
      <w:r>
        <w:rPr/>
        <w:t>、</w:t>
      </w:r>
      <w:r>
        <w:rPr/>
        <w:t>26.85%</w:t>
      </w:r>
      <w:r>
        <w:rPr/>
        <w:t>采用</w:t>
      </w:r>
      <w:r>
        <w:rPr/>
        <w:t>2028</w:t>
      </w:r>
      <w:r>
        <w:rPr/>
        <w:t>；一年十月七日约</w:t>
      </w:r>
      <w:r>
        <w:rPr/>
        <w:t>23.56%</w:t>
      </w:r>
      <w:r>
        <w:rPr/>
        <w:t>采用</w:t>
      </w:r>
      <w:r>
        <w:rPr/>
        <w:t>2027</w:t>
      </w:r>
      <w:r>
        <w:rPr/>
        <w:t>、</w:t>
      </w:r>
      <w:r>
        <w:rPr/>
        <w:t>76.44%</w:t>
      </w:r>
      <w:r>
        <w:rPr/>
        <w:t>采用</w:t>
      </w:r>
      <w:r>
        <w:rPr/>
        <w:t>2028</w:t>
      </w:r>
      <w:r>
        <w:rPr/>
        <w:t>。日历权重是平滑代理，业务季节性未精确逐月建模。目标股数与现金余额也以对应年度进度插值，年底使用年末预算；它不是逐日已知资金数据，不能对近日期小差异赋予过高精度。</w:t>
      </w:r>
    </w:p>
    <w:p>
      <w:pPr>
        <w:pStyle w:val="Normal"/>
        <w:rPr/>
      </w:pPr>
      <w:r>
        <w:rPr/>
        <w:t>年底价格不直接套一年目标，也不线性按剩余月份缩放。先计算年底正常</w:t>
      </w:r>
      <w:r>
        <w:rPr/>
        <w:t>NTM</w:t>
      </w:r>
      <w:r>
        <w:rPr/>
        <w:t>完整公允价：悲观约</w:t>
      </w:r>
      <w:r>
        <w:rPr/>
        <w:t>0.3983</w:t>
      </w:r>
      <w:r>
        <w:rPr/>
        <w:t>、基准</w:t>
      </w:r>
      <w:r>
        <w:rPr/>
        <w:t>2.8225</w:t>
      </w:r>
      <w:r>
        <w:rPr/>
        <w:t>、乐观</w:t>
      </w:r>
      <w:r>
        <w:rPr/>
        <w:t>5.8043</w:t>
      </w:r>
      <w:r>
        <w:rPr/>
        <w:t>港元，再以</w:t>
      </w:r>
      <w:r>
        <w:rPr/>
        <w:t>60%</w:t>
      </w:r>
      <w:r>
        <w:rPr/>
        <w:t>、</w:t>
      </w:r>
      <w:r>
        <w:rPr/>
        <w:t>55%</w:t>
      </w:r>
      <w:r>
        <w:rPr/>
        <w:t>、</w:t>
      </w:r>
      <w:r>
        <w:rPr/>
        <w:t>45%</w:t>
      </w:r>
      <w:r>
        <w:rPr/>
        <w:t>独立兑现因子连接现价</w:t>
      </w:r>
      <w:r>
        <w:rPr/>
        <w:t>2.095</w:t>
      </w:r>
      <w:r>
        <w:rPr/>
        <w:t>与完整值，得</w:t>
      </w:r>
      <w:r>
        <w:rPr/>
        <w:t>1.0770</w:t>
      </w:r>
      <w:r>
        <w:rPr/>
        <w:t>、</w:t>
      </w:r>
      <w:r>
        <w:rPr/>
        <w:t>2.4951</w:t>
      </w:r>
      <w:r>
        <w:rPr/>
        <w:t>、</w:t>
      </w:r>
      <w:r>
        <w:rPr/>
        <w:t>3.7642</w:t>
      </w:r>
      <w:r>
        <w:rPr/>
        <w:t>港元。因子体现剩余年内信息与交易情绪的研究判断，未知的财报和电价不一定即时全部被市场认识。它们需要事件验证，不能解释为剩余月份占全年多少，也不以海外券商</w:t>
      </w:r>
      <w:r>
        <w:rPr/>
        <w:t>12</w:t>
      </w:r>
      <w:r>
        <w:rPr/>
        <w:t>个月目标充当年底价格。</w:t>
      </w:r>
    </w:p>
    <w:p>
      <w:pPr>
        <w:pStyle w:val="Normal"/>
        <w:rPr/>
      </w:pPr>
      <w:r>
        <w:rPr/>
        <w:t>年底悲观、基准、乐观相对现价约负</w:t>
      </w:r>
      <w:r>
        <w:rPr/>
        <w:t>48.59%</w:t>
      </w:r>
      <w:r>
        <w:rPr/>
        <w:t>、正</w:t>
      </w:r>
      <w:r>
        <w:rPr/>
        <w:t>19.10%</w:t>
      </w:r>
      <w:r>
        <w:rPr/>
        <w:t>、正</w:t>
      </w:r>
      <w:r>
        <w:rPr/>
        <w:t>79.67%</w:t>
      </w:r>
      <w:r>
        <w:rPr/>
        <w:t>。默认权重加权价</w:t>
      </w:r>
      <w:r>
        <w:rPr/>
        <w:t>2.4578</w:t>
      </w:r>
      <w:r>
        <w:rPr/>
        <w:t>港元、预期股价回报约</w:t>
      </w:r>
      <w:r>
        <w:rPr/>
        <w:t>17.32%</w:t>
      </w:r>
      <w:r>
        <w:rPr/>
        <w:t>。防守权重</w:t>
      </w:r>
      <w:r>
        <w:rPr/>
        <w:t>40%</w:t>
      </w:r>
      <w:r>
        <w:rPr/>
        <w:t>、</w:t>
      </w:r>
      <w:r>
        <w:rPr/>
        <w:t>50%</w:t>
      </w:r>
      <w:r>
        <w:rPr/>
        <w:t>、</w:t>
      </w:r>
      <w:r>
        <w:rPr/>
        <w:t>10%</w:t>
      </w:r>
      <w:r>
        <w:rPr/>
        <w:t>时价</w:t>
      </w:r>
      <w:r>
        <w:rPr/>
        <w:t>2.0548</w:t>
      </w:r>
      <w:r>
        <w:rPr/>
        <w:t>港元，略低于现价；积极权重</w:t>
      </w:r>
      <w:r>
        <w:rPr/>
        <w:t>10%</w:t>
      </w:r>
      <w:r>
        <w:rPr/>
        <w:t>、</w:t>
      </w:r>
      <w:r>
        <w:rPr/>
        <w:t>50%</w:t>
      </w:r>
      <w:r>
        <w:rPr/>
        <w:t>、</w:t>
      </w:r>
      <w:r>
        <w:rPr/>
        <w:t>40%</w:t>
      </w:r>
      <w:r>
        <w:rPr/>
        <w:t>价</w:t>
      </w:r>
      <w:r>
        <w:rPr/>
        <w:t>2.8609</w:t>
      </w:r>
      <w:r>
        <w:rPr/>
        <w:t>港元。差异说明期望值对乐观盈利的判断敏感，不是精确无误差的“合理年底点位”。年底没有新买入可享股息，价格与总回报相同。若系统性风险、交易暂停或融资受阻，实际波动可以落在上述范围之外。</w:t>
      </w:r>
    </w:p>
    <w:p>
      <w:pPr>
        <w:pStyle w:val="Heading2"/>
        <w:rPr/>
      </w:pPr>
      <w:r>
        <w:rPr>
          <w:color w:val="000000"/>
        </w:rPr>
        <w:t>四期限投资判断</w:t>
      </w:r>
    </w:p>
    <w:p>
      <w:pPr>
        <w:pStyle w:val="Normal"/>
        <w:rPr/>
      </w:pPr>
      <w:r>
        <w:rPr/>
        <w:t>半年估值维度</w:t>
      </w:r>
      <w:r>
        <w:rPr/>
        <w:t>3.4</w:t>
      </w:r>
      <w:r>
        <w:rPr/>
        <w:t>、技术</w:t>
      </w:r>
      <w:r>
        <w:rPr/>
        <w:t>2.9</w:t>
      </w:r>
      <w:r>
        <w:rPr/>
        <w:t>、业务</w:t>
      </w:r>
      <w:r>
        <w:rPr/>
        <w:t>2.9</w:t>
      </w:r>
      <w:r>
        <w:rPr/>
        <w:t>、行业</w:t>
      </w:r>
      <w:r>
        <w:rPr/>
        <w:t>3.3</w:t>
      </w:r>
      <w:r>
        <w:rPr/>
        <w:t>、催化</w:t>
      </w:r>
      <w:r>
        <w:rPr/>
        <w:t>3.8</w:t>
      </w:r>
      <w:r>
        <w:rPr/>
        <w:t>、风险</w:t>
      </w:r>
      <w:r>
        <w:rPr/>
        <w:t>2.6</w:t>
      </w:r>
      <w:r>
        <w:rPr/>
        <w:t>，按权重得</w:t>
      </w:r>
      <w:r>
        <w:rPr/>
        <w:t>62.5</w:t>
      </w:r>
      <w:r>
        <w:rPr/>
        <w:t>分。较高催化来自年报、大山二期与月发电更新，技术只占中等分因长均线仍下行。基准</w:t>
      </w:r>
      <w:r>
        <w:rPr/>
        <w:t>2.8416</w:t>
      </w:r>
      <w:r>
        <w:rPr/>
        <w:t>港元、悲观</w:t>
      </w:r>
      <w:r>
        <w:rPr/>
        <w:t>0.3664</w:t>
      </w:r>
      <w:r>
        <w:rPr/>
        <w:t>、乐观</w:t>
      </w:r>
      <w:r>
        <w:rPr/>
        <w:t>6.0088</w:t>
      </w:r>
      <w:r>
        <w:rPr/>
        <w:t>差距宽，意味着利润修复弹性大也意味着可见性不足。适合以明确经营条件观察的候选，不能把较高基准上涨视为立即追价理由。进取评分重视空间，但必须承认短期高杠杆对电价和风况小变化很敏感。</w:t>
      </w:r>
    </w:p>
    <w:p>
      <w:pPr>
        <w:pStyle w:val="Normal"/>
        <w:rPr/>
      </w:pPr>
      <w:r>
        <w:rPr/>
        <w:t>半年反证首先看</w:t>
      </w:r>
      <w:r>
        <w:rPr/>
        <w:t>2026</w:t>
      </w:r>
      <w:r>
        <w:rPr/>
        <w:t>年报正常项目利润与下半年现金。若风电量恢复而价格进一步下降，或韩国新机组发电增长但集团付息后现金不足，需下调成本与资金判断。若价格</w:t>
      </w:r>
      <w:r>
        <w:rPr/>
        <w:t>2.17</w:t>
      </w:r>
      <w:r>
        <w:rPr/>
        <w:t>突破失败、长均线加速下斜，而基本面尚未验证，技术评分也应降低。若年报补贴合同资产进一步增加且没有转清单进展，不能用以后回款乐观覆盖当前现金。半年逻辑的成功是具体利润和融资条件改善，不是持有满六个月就自动达到目标。</w:t>
      </w:r>
    </w:p>
    <w:p>
      <w:pPr>
        <w:pStyle w:val="Normal"/>
        <w:rPr/>
      </w:pPr>
      <w:r>
        <w:rPr/>
        <w:t>一年维度</w:t>
      </w:r>
      <w:r>
        <w:rPr/>
        <w:t>3.5</w:t>
      </w:r>
      <w:r>
        <w:rPr/>
        <w:t>、</w:t>
      </w:r>
      <w:r>
        <w:rPr/>
        <w:t>2.9</w:t>
      </w:r>
      <w:r>
        <w:rPr/>
        <w:t>、</w:t>
      </w:r>
      <w:r>
        <w:rPr/>
        <w:t>3.1</w:t>
      </w:r>
      <w:r>
        <w:rPr/>
        <w:t>、</w:t>
      </w:r>
      <w:r>
        <w:rPr/>
        <w:t>3.5</w:t>
      </w:r>
      <w:r>
        <w:rPr/>
        <w:t>、</w:t>
      </w:r>
      <w:r>
        <w:rPr/>
        <w:t>3.5</w:t>
      </w:r>
      <w:r>
        <w:rPr/>
        <w:t>、</w:t>
      </w:r>
      <w:r>
        <w:rPr/>
        <w:t>2.6</w:t>
      </w:r>
      <w:r>
        <w:rPr/>
        <w:t>，得</w:t>
      </w:r>
      <w:r>
        <w:rPr/>
        <w:t>64.4</w:t>
      </w:r>
      <w:r>
        <w:rPr/>
        <w:t>分。基准</w:t>
      </w:r>
      <w:r>
        <w:rPr/>
        <w:t>2.8756</w:t>
      </w:r>
      <w:r>
        <w:rPr/>
        <w:t>港元、股价正</w:t>
      </w:r>
      <w:r>
        <w:rPr/>
        <w:t>37.26%</w:t>
      </w:r>
      <w:r>
        <w:rPr/>
        <w:t>、含息约正</w:t>
      </w:r>
      <w:r>
        <w:rPr/>
        <w:t>42.00%</w:t>
      </w:r>
      <w:r>
        <w:rPr/>
        <w:t>，悲观</w:t>
      </w:r>
      <w:r>
        <w:rPr/>
        <w:t>0.3087</w:t>
      </w:r>
      <w:r>
        <w:rPr/>
        <w:t>、乐观</w:t>
      </w:r>
      <w:r>
        <w:rPr/>
        <w:t>6.3792</w:t>
      </w:r>
      <w:r>
        <w:rPr/>
        <w:t>。目标日</w:t>
      </w:r>
      <w:r>
        <w:rPr/>
        <w:t>2027</w:t>
      </w:r>
      <w:r>
        <w:rPr/>
        <w:t>年十月九日为周六，十月八日香港重阳节假期，实际取十月七日，按已公开日历核。此时有更长新机组运行和电价合同证据，收益仍主要由正常盈利及</w:t>
      </w:r>
      <w:r>
        <w:rPr/>
        <w:t>6.5</w:t>
      </w:r>
      <w:r>
        <w:rPr/>
        <w:t>倍估值产生，股息贡献有限。若年度分红变更应按新除净时间更新，不能把付款日当作权益起点。</w:t>
      </w:r>
    </w:p>
    <w:p>
      <w:pPr>
        <w:pStyle w:val="Normal"/>
        <w:rPr/>
      </w:pPr>
      <w:r>
        <w:rPr/>
        <w:t>一年关键风险是关联贷款支持边界、设备运行和市场化价格。到</w:t>
      </w:r>
      <w:r>
        <w:rPr/>
        <w:t>2027</w:t>
      </w:r>
      <w:r>
        <w:rPr/>
        <w:t>年六月后书面续借不能自然延续，银行额度的期限与用途也可能变化。新增项目可以释放收入，若其回报低于资本成本，会稀释整体盈利质量。若常规发电量达到基准却归母明显低于</w:t>
      </w:r>
      <w:r>
        <w:rPr/>
        <w:t>2.37</w:t>
      </w:r>
      <w:r>
        <w:rPr/>
        <w:t>亿美元，需识别税、成本或利息超预算；若现金仍靠更大净借款，不能因为利润回升就提高财务风险分。推荐要求每股盈利和可持续资金同时改善，一项失败即可改变目标分布。</w:t>
      </w:r>
    </w:p>
    <w:p>
      <w:pPr>
        <w:pStyle w:val="Normal"/>
        <w:rPr/>
      </w:pPr>
      <w:r>
        <w:rPr/>
        <w:t>三年维度</w:t>
      </w:r>
      <w:r>
        <w:rPr/>
        <w:t>3.3</w:t>
      </w:r>
      <w:r>
        <w:rPr/>
        <w:t>、</w:t>
      </w:r>
      <w:r>
        <w:rPr/>
        <w:t>2.9</w:t>
      </w:r>
      <w:r>
        <w:rPr/>
        <w:t>、</w:t>
      </w:r>
      <w:r>
        <w:rPr/>
        <w:t>3.2</w:t>
      </w:r>
      <w:r>
        <w:rPr/>
        <w:t>、</w:t>
      </w:r>
      <w:r>
        <w:rPr/>
        <w:t>3.7</w:t>
      </w:r>
      <w:r>
        <w:rPr/>
        <w:t>、</w:t>
      </w:r>
      <w:r>
        <w:rPr/>
        <w:t>3.2</w:t>
      </w:r>
      <w:r>
        <w:rPr/>
        <w:t>、</w:t>
      </w:r>
      <w:r>
        <w:rPr/>
        <w:t>2.6</w:t>
      </w:r>
      <w:r>
        <w:rPr/>
        <w:t>，得</w:t>
      </w:r>
      <w:r>
        <w:rPr/>
        <w:t>65.0</w:t>
      </w:r>
      <w:r>
        <w:rPr/>
        <w:t>分。基准股价</w:t>
      </w:r>
      <w:r>
        <w:rPr/>
        <w:t>2.9070</w:t>
      </w:r>
      <w:r>
        <w:rPr/>
        <w:t>港元、含息累计</w:t>
      </w:r>
      <w:r>
        <w:rPr/>
        <w:t>53.98%</w:t>
      </w:r>
      <w:r>
        <w:rPr/>
        <w:t>、年化约</w:t>
      </w:r>
      <w:r>
        <w:rPr/>
        <w:t>15.48%</w:t>
      </w:r>
      <w:r>
        <w:rPr/>
        <w:t>，按三年复合公式计算，未假设分红再投资的交易收益。悲观</w:t>
      </w:r>
      <w:r>
        <w:rPr/>
        <w:t>0.1586</w:t>
      </w:r>
      <w:r>
        <w:rPr/>
        <w:t>、乐观</w:t>
      </w:r>
      <w:r>
        <w:rPr/>
        <w:t>7.3834</w:t>
      </w:r>
      <w:r>
        <w:rPr/>
        <w:t>，利润中枢不同使范围极宽。三年要求风光扩张与气电稳定转换为资本回报，不能仅凭某月天气恢复维持强推荐。技术只有</w:t>
      </w:r>
      <w:r>
        <w:rPr/>
        <w:t>5%</w:t>
      </w:r>
      <w:r>
        <w:rPr/>
        <w:t>权重，当前图形会很快过时，长逻辑依赖实际经营和资金配置。</w:t>
      </w:r>
    </w:p>
    <w:p>
      <w:pPr>
        <w:pStyle w:val="Normal"/>
        <w:rPr/>
      </w:pPr>
      <w:r>
        <w:rPr/>
        <w:t>三年失败路径是低电价、新建费用、持续资金占用和滚动融资互相强化。若新增项目需要更多资本，折旧与利息上升却没有相应收入，股东承担的收益会被压缩。若补贴回款减少，新增借款还可能推高未来费用并触发低价股本融资。应观察单位装机净利润、现金回报、债务期限与每股经济权益，不把累计新增兆瓦数作为成功标准。处置资产可以减债，但要考虑失去的未来利润；不能只看现金入账把长期推荐升级。</w:t>
      </w:r>
    </w:p>
    <w:p>
      <w:pPr>
        <w:pStyle w:val="Normal"/>
        <w:rPr/>
      </w:pPr>
      <w:r>
        <w:rPr/>
        <w:t>五年维度</w:t>
      </w:r>
      <w:r>
        <w:rPr/>
        <w:t>3.1</w:t>
      </w:r>
      <w:r>
        <w:rPr/>
        <w:t>、技术零权重、业务</w:t>
      </w:r>
      <w:r>
        <w:rPr/>
        <w:t>3.2</w:t>
      </w:r>
      <w:r>
        <w:rPr/>
        <w:t>、行业</w:t>
      </w:r>
      <w:r>
        <w:rPr/>
        <w:t>3.7</w:t>
      </w:r>
      <w:r>
        <w:rPr/>
        <w:t>、催化</w:t>
      </w:r>
      <w:r>
        <w:rPr/>
        <w:t>3.0</w:t>
      </w:r>
      <w:r>
        <w:rPr/>
        <w:t>、风险</w:t>
      </w:r>
      <w:r>
        <w:rPr/>
        <w:t>2.6</w:t>
      </w:r>
      <w:r>
        <w:rPr/>
        <w:t>，得</w:t>
      </w:r>
      <w:r>
        <w:rPr/>
        <w:t>63.6</w:t>
      </w:r>
      <w:r>
        <w:rPr/>
        <w:t>分。基准</w:t>
      </w:r>
      <w:r>
        <w:rPr/>
        <w:t>2.8846</w:t>
      </w:r>
      <w:r>
        <w:rPr/>
        <w:t>港元、股价正</w:t>
      </w:r>
      <w:r>
        <w:rPr/>
        <w:t>37.69%</w:t>
      </w:r>
      <w:r>
        <w:rPr/>
        <w:t>、含息正</w:t>
      </w:r>
      <w:r>
        <w:rPr/>
        <w:t>64.29%</w:t>
      </w:r>
      <w:r>
        <w:rPr/>
        <w:t>、年化约</w:t>
      </w:r>
      <w:r>
        <w:rPr/>
        <w:t>10.44%</w:t>
      </w:r>
      <w:r>
        <w:rPr/>
        <w:t>，五年股息约</w:t>
      </w:r>
      <w:r>
        <w:rPr/>
        <w:t>0.5574</w:t>
      </w:r>
      <w:r>
        <w:rPr/>
        <w:t>港元；悲观</w:t>
      </w:r>
      <w:r>
        <w:rPr/>
        <w:t>0.0342</w:t>
      </w:r>
      <w:r>
        <w:rPr/>
        <w:t>、乐观</w:t>
      </w:r>
      <w:r>
        <w:rPr/>
        <w:t>8.0400</w:t>
      </w:r>
      <w:r>
        <w:rPr/>
        <w:t>。基准目标略低于三年反映成熟估值降至</w:t>
      </w:r>
      <w:r>
        <w:rPr/>
        <w:t>5.5</w:t>
      </w:r>
      <w:r>
        <w:rPr/>
        <w:t>倍，收益更多来自现金分配。长期投资者不应看到乐观近三倍涨幅就忽略悲观盈利塌缩，资产寿命与竞争电价决定五年后的经济价值。</w:t>
      </w:r>
    </w:p>
    <w:p>
      <w:pPr>
        <w:pStyle w:val="Normal"/>
        <w:rPr/>
      </w:pPr>
      <w:r>
        <w:rPr/>
        <w:t>2030</w:t>
      </w:r>
      <w:r>
        <w:rPr/>
        <w:t>年部分优惠税率边界、项目寿命、设备更新和融资重定价对五年判断重要。模型用统一有效税代理，若优惠不延续而项目盈利结构变化，实际税率可能提高。旧风机升级可以增加效率，也需要现金和停机安排；设备账面折旧完成不等于维护成本归零。长期失败还包括控股股东将资金优先用于规模或集团协同而非上市股东回报。对进取组合，中等评分表示其空间与限制相抵，无法仅凭央企身份提高为确定长期核心持仓。</w:t>
      </w:r>
    </w:p>
    <w:p>
      <w:pPr>
        <w:pStyle w:val="Heading2"/>
        <w:rPr/>
      </w:pPr>
      <w:r>
        <w:rPr>
          <w:color w:val="000000"/>
        </w:rPr>
        <w:t>十年经营持续性与监测</w:t>
      </w:r>
    </w:p>
    <w:p>
      <w:pPr>
        <w:pStyle w:val="Normal"/>
        <w:rPr/>
      </w:pPr>
      <w:r>
        <w:rPr/>
        <w:t>十年展望看公司能否从项目扩张转为稳定资本回收。电力需求很可能继续存在，零碳供给和调节电源也有空间，但某个电站的电价、补贴资格、土地年限与设备寿命不必十年恒定。经营持续性应建立在优质资源、可靠消纳、成本控制与可更新资产上，不能将今天的</w:t>
      </w:r>
      <w:r>
        <w:rPr/>
        <w:t>0.53</w:t>
      </w:r>
      <w:r>
        <w:rPr/>
        <w:t>元风价或集团低息融资固定到</w:t>
      </w:r>
      <w:r>
        <w:rPr/>
        <w:t>2036</w:t>
      </w:r>
      <w:r>
        <w:rPr/>
        <w:t>年。研究不输出未经逐项目寿命核验的十年股价，经营展望用反证和监测条件表达，避免对远期政策给不真实精度。</w:t>
      </w:r>
    </w:p>
    <w:p>
      <w:pPr>
        <w:pStyle w:val="Normal"/>
        <w:rPr/>
      </w:pPr>
      <w:r>
        <w:rPr/>
        <w:t>十年可取的方向是存量风电升级、海上资源与负荷匹配、光储改善消纳、气电灵活性和交易能力。如果公司能将这些能力变成可观且稳定的自由现金，低估值可能长期产生分红和资本回收价值。若行业装机过剩、现货低价频繁、补贴拖延和旧项目成本增高，则规模并不能保护每股价值。资产运营有专业壁垒，但终端电价竞争与政策约束也很强，必须用持续现金回报而不是技术宣传或绿色标签来判断竞争优势。</w:t>
      </w:r>
    </w:p>
    <w:p>
      <w:pPr>
        <w:pStyle w:val="Normal"/>
        <w:rPr/>
      </w:pPr>
      <w:r>
        <w:rPr/>
        <w:t>后续监测应优先核月度风光发电量、年度实现电价、韩国价差和新机组维护情况，再核补贴清单转入、实际回款与经营现金。月发电量是未审计管理信息，要看连续月份而非一次同比跳升；电价与盈利往往要等年中或年报。融资端看书面支持是否更新、一般额度是否仍可提款、短债是否重新定价，股本端看回购正式注销和任何配售。每次重要输入变更都应重算活动模型、保存三情景快照，旧目标不得继续显示为已刷新。</w:t>
      </w:r>
    </w:p>
    <w:p>
      <w:pPr>
        <w:pStyle w:val="Normal"/>
        <w:rPr/>
      </w:pPr>
      <w:r>
        <w:rPr/>
        <w:t>公开资料未找到截止日可核的外资投行目标价，因此机构目标栏留缺失。不能把集团其他股票或中国核电公司的目标移到</w:t>
      </w:r>
      <w:r>
        <w:rPr/>
        <w:t>01811</w:t>
      </w:r>
      <w:r>
        <w:rPr/>
        <w:t>，也不能把自动技术形态新闻算作券商研究。即使未来找到报告，还需记录机构、日期、代码、币种和期限，最近</w:t>
      </w:r>
      <w:r>
        <w:rPr/>
        <w:t>90</w:t>
      </w:r>
      <w:r>
        <w:rPr/>
        <w:t>天与重大事件之后优先，新闻转述与原研报区别。没有机构目标并不否定独立研究，但降低外部估值交叉验证完整度；本章</w:t>
      </w:r>
      <w:r>
        <w:rPr/>
        <w:t>6.5</w:t>
      </w:r>
      <w:r>
        <w:rPr/>
        <w:t>、</w:t>
      </w:r>
      <w:r>
        <w:rPr/>
        <w:t>6</w:t>
      </w:r>
      <w:r>
        <w:rPr/>
        <w:t>和</w:t>
      </w:r>
      <w:r>
        <w:rPr/>
        <w:t>5.5</w:t>
      </w:r>
      <w:r>
        <w:rPr/>
        <w:t>倍均为研究假设，不能称为外资一致预期。</w:t>
      </w:r>
    </w:p>
    <w:p>
      <w:pPr>
        <w:pStyle w:val="Normal"/>
        <w:rPr/>
      </w:pPr>
      <w:r>
        <w:rPr/>
        <w:t>人民币投资者可将港币总回报另做汇率敏感性：一年基准含息约</w:t>
      </w:r>
      <w:r>
        <w:rPr/>
        <w:t>41.997%</w:t>
      </w:r>
      <w:r>
        <w:rPr/>
        <w:t>，港币兑人民币下降</w:t>
      </w:r>
      <w:r>
        <w:rPr/>
        <w:t>5%</w:t>
      </w:r>
      <w:r>
        <w:rPr/>
        <w:t>时人民币回报约</w:t>
      </w:r>
      <w:r>
        <w:rPr/>
        <w:t>34.897%</w:t>
      </w:r>
      <w:r>
        <w:rPr/>
        <w:t>，上升</w:t>
      </w:r>
      <w:r>
        <w:rPr/>
        <w:t>5%</w:t>
      </w:r>
      <w:r>
        <w:rPr/>
        <w:t>时约</w:t>
      </w:r>
      <w:r>
        <w:rPr/>
        <w:t>49.097%</w:t>
      </w:r>
      <w:r>
        <w:rPr/>
        <w:t>，公式为本币总回报倍数乘汇率变化倍数再减一。它只做持有币种转换，不重复调整企业人民币和韩元运营利润。实际汇兑费用、税、佣金和资金兑换路径未包括。三年及五年的年化也基于本币价格加现金分红口径，并不保证人民币购买力或实际账户收益同样提高。</w:t>
      </w:r>
    </w:p>
    <w:p>
      <w:pPr>
        <w:pStyle w:val="Normal"/>
        <w:rPr/>
      </w:pPr>
      <w:r>
        <w:rPr/>
        <w:t>推荐被推翻的核心条件是：正常风光量价长期低于基准、韩国新机组不能取得合理价差、补贴回款和融资支持不能延续、资本开支持续超过合理现金回报，或者股本融资比模型更大。相反，若收入和利润改善、付息后经营现金增长、债务期限延长、回购和分红有现金覆盖，可以提高证据可信度和评分。上涨空间是条件估值输出，低价格和央企背景都不能代替这些经营证据。研究结论应随事实更新，不能为了维持原有排名选择性解释新公告。</w:t>
      </w:r>
    </w:p>
    <w:p>
      <w:pPr>
        <w:pStyle w:val="Heading2"/>
        <w:rPr/>
      </w:pPr>
      <w:r>
        <w:rPr>
          <w:color w:val="000000"/>
        </w:rPr>
        <w:t>来源</w:t>
      </w:r>
    </w:p>
    <w:p>
      <w:pPr>
        <w:pStyle w:val="Normal"/>
        <w:rPr/>
      </w:pPr>
      <w:r>
        <w:rPr/>
        <w:t>- 2025</w:t>
      </w:r>
      <w:r>
        <w:rPr/>
        <w:t>年报，</w:t>
      </w:r>
      <w:r>
        <w:rPr/>
        <w:t>2026-04-29 16:31</w:t>
      </w:r>
      <w:r>
        <w:rPr/>
        <w:t>；全年业绩首发</w:t>
      </w:r>
      <w:r>
        <w:rPr/>
        <w:t>2026-03-31 19:52</w:t>
      </w:r>
      <w:r>
        <w:rPr/>
        <w:t>：</w:t>
      </w:r>
      <w:r>
        <w:rPr/>
        <w:t>[</w:t>
      </w:r>
      <w:r>
        <w:rPr/>
        <w:t>港交所原件</w:t>
      </w:r>
      <w:r>
        <w:rPr/>
        <w:t>](https://www1.hkexnews.hk/listedco/listconews/sehk/2026/0429/2026042900758.pdf)</w:t>
      </w:r>
      <w:r>
        <w:rPr/>
        <w:t>。利润物理</w:t>
      </w:r>
      <w:r>
        <w:rPr/>
        <w:t>133–134</w:t>
      </w:r>
      <w:r>
        <w:rPr/>
        <w:t>页、现金</w:t>
      </w:r>
      <w:r>
        <w:rPr/>
        <w:t>139–140</w:t>
      </w:r>
      <w:r>
        <w:rPr/>
        <w:t>页、融资利息</w:t>
      </w:r>
      <w:r>
        <w:rPr/>
        <w:t>184</w:t>
      </w:r>
      <w:r>
        <w:rPr/>
        <w:t>页、租赁</w:t>
      </w:r>
      <w:r>
        <w:rPr/>
        <w:t>217</w:t>
      </w:r>
      <w:r>
        <w:rPr/>
        <w:t>页、五年财务</w:t>
      </w:r>
      <w:r>
        <w:rPr/>
        <w:t>256</w:t>
      </w:r>
      <w:r>
        <w:rPr/>
        <w:t>页。</w:t>
      </w:r>
    </w:p>
    <w:p>
      <w:pPr>
        <w:pStyle w:val="Normal"/>
        <w:rPr/>
      </w:pPr>
      <w:r>
        <w:rPr/>
        <w:t>- 2026</w:t>
      </w:r>
      <w:r>
        <w:rPr/>
        <w:t>中报，</w:t>
      </w:r>
      <w:r>
        <w:rPr/>
        <w:t>2026-09-14 18:18</w:t>
      </w:r>
      <w:r>
        <w:rPr/>
        <w:t>；半年结果首发</w:t>
      </w:r>
      <w:r>
        <w:rPr/>
        <w:t>2026-08-26 18:04</w:t>
      </w:r>
      <w:r>
        <w:rPr/>
        <w:t>：</w:t>
      </w:r>
      <w:r>
        <w:rPr/>
        <w:t>[</w:t>
      </w:r>
      <w:r>
        <w:rPr/>
        <w:t>港交所原件</w:t>
      </w:r>
      <w:r>
        <w:rPr/>
        <w:t>](https://www1.hkexnews.hk/listedco/listconews/sehk/2026/0914/2026091400875.pdf)</w:t>
      </w:r>
      <w:r>
        <w:rPr/>
        <w:t>。容量量价</w:t>
      </w:r>
      <w:r>
        <w:rPr/>
        <w:t>16–26</w:t>
      </w:r>
      <w:r>
        <w:rPr/>
        <w:t>页、利润</w:t>
      </w:r>
      <w:r>
        <w:rPr/>
        <w:t>47–48</w:t>
      </w:r>
      <w:r>
        <w:rPr/>
        <w:t>页、资产</w:t>
      </w:r>
      <w:r>
        <w:rPr/>
        <w:t>49–50</w:t>
      </w:r>
      <w:r>
        <w:rPr/>
        <w:t>页、现金</w:t>
      </w:r>
      <w:r>
        <w:rPr/>
        <w:t>52</w:t>
      </w:r>
      <w:r>
        <w:rPr/>
        <w:t>页、持续经营</w:t>
      </w:r>
      <w:r>
        <w:rPr/>
        <w:t>54</w:t>
      </w:r>
      <w:r>
        <w:rPr/>
        <w:t>页、补贴</w:t>
      </w:r>
      <w:r>
        <w:rPr/>
        <w:t>63–64</w:t>
      </w:r>
      <w:r>
        <w:rPr/>
        <w:t>页。</w:t>
      </w:r>
    </w:p>
    <w:p>
      <w:pPr>
        <w:pStyle w:val="Normal"/>
        <w:rPr/>
      </w:pPr>
      <w:r>
        <w:rPr/>
        <w:t xml:space="preserve">- </w:t>
      </w:r>
      <w:r>
        <w:rPr/>
        <w:t>八月发电更新，</w:t>
      </w:r>
      <w:r>
        <w:rPr/>
        <w:t>2026-09-11 12:02</w:t>
      </w:r>
      <w:r>
        <w:rPr/>
        <w:t>：</w:t>
      </w:r>
      <w:r>
        <w:rPr/>
        <w:t>[</w:t>
      </w:r>
      <w:r>
        <w:rPr/>
        <w:t>原件</w:t>
      </w:r>
      <w:r>
        <w:rPr/>
        <w:t>](https://www1.hkexnews.hk/listedco/listconews/sehk/2026/0911/2026091100217.pdf)</w:t>
      </w:r>
      <w:r>
        <w:rPr/>
        <w:t>。未经审计管理数据，八个月累计与新机组注释。</w:t>
      </w:r>
    </w:p>
    <w:p>
      <w:pPr>
        <w:pStyle w:val="Normal"/>
        <w:rPr/>
      </w:pPr>
      <w:r>
        <w:rPr/>
        <w:t xml:space="preserve">- </w:t>
      </w:r>
      <w:r>
        <w:rPr/>
        <w:t>中期股息，</w:t>
      </w:r>
      <w:r>
        <w:rPr/>
        <w:t>2026-08-26 18:06</w:t>
      </w:r>
      <w:r>
        <w:rPr/>
        <w:t>：</w:t>
      </w:r>
      <w:r>
        <w:rPr/>
        <w:t>[</w:t>
      </w:r>
      <w:r>
        <w:rPr/>
        <w:t>原件</w:t>
      </w:r>
      <w:r>
        <w:rPr/>
        <w:t>](https://www1.hkexnews.hk/listedco/listconews/sehk/2026/0826/2026082600807.pdf)</w:t>
      </w:r>
      <w:r>
        <w:rPr/>
        <w:t>；末期股息</w:t>
      </w:r>
      <w:r>
        <w:rPr/>
        <w:t>2026-03-31 19:53</w:t>
      </w:r>
      <w:r>
        <w:rPr/>
        <w:t>：</w:t>
      </w:r>
      <w:r>
        <w:rPr/>
        <w:t>[</w:t>
      </w:r>
      <w:r>
        <w:rPr/>
        <w:t>原件</w:t>
      </w:r>
      <w:r>
        <w:rPr/>
        <w:t>](https://www1.hkexnews.hk/listedco/listconews/sehk/2026/0331/2026033102537.pdf)</w:t>
      </w:r>
      <w:r>
        <w:rPr/>
        <w:t>。</w:t>
      </w:r>
    </w:p>
    <w:p>
      <w:pPr>
        <w:pStyle w:val="Normal"/>
        <w:rPr/>
      </w:pPr>
      <w:r>
        <w:rPr/>
        <w:t xml:space="preserve">- </w:t>
      </w:r>
      <w:r>
        <w:rPr/>
        <w:t>回购计划</w:t>
      </w:r>
      <w:r>
        <w:rPr/>
        <w:t>2026-08-26 18:07</w:t>
      </w:r>
      <w:r>
        <w:rPr/>
        <w:t>：</w:t>
      </w:r>
      <w:r>
        <w:rPr/>
        <w:t>[</w:t>
      </w:r>
      <w:r>
        <w:rPr/>
        <w:t>原件</w:t>
      </w:r>
      <w:r>
        <w:rPr/>
        <w:t>](https://www1.hkexnews.hk/listedco/listconews/sehk/2026/0826/2026082600811.pdf)</w:t>
      </w:r>
      <w:r>
        <w:rPr/>
        <w:t>；九月月报</w:t>
      </w:r>
      <w:r>
        <w:rPr/>
        <w:t>2026-10-06 16:36</w:t>
      </w:r>
      <w:r>
        <w:rPr/>
        <w:t>：</w:t>
      </w:r>
      <w:r>
        <w:rPr/>
        <w:t>[</w:t>
      </w:r>
      <w:r>
        <w:rPr/>
        <w:t>原件</w:t>
      </w:r>
      <w:r>
        <w:rPr/>
        <w:t>](https://www1.hkexnews.hk/listedco/listconews/sehk/2026/1006/2026100600626.pdf)</w:t>
      </w:r>
      <w:r>
        <w:rPr/>
        <w:t>。</w:t>
      </w:r>
    </w:p>
    <w:p>
      <w:pPr>
        <w:pStyle w:val="Normal"/>
        <w:rPr/>
      </w:pPr>
      <w:r>
        <w:rPr/>
        <w:t xml:space="preserve">- </w:t>
      </w:r>
      <w:r>
        <w:rPr/>
        <w:t>财务框架</w:t>
      </w:r>
      <w:r>
        <w:rPr/>
        <w:t>2026-08-26 18:09</w:t>
      </w:r>
      <w:r>
        <w:rPr/>
        <w:t>：</w:t>
      </w:r>
      <w:r>
        <w:rPr/>
        <w:t>[</w:t>
      </w:r>
      <w:r>
        <w:rPr/>
        <w:t>原件</w:t>
      </w:r>
      <w:r>
        <w:rPr/>
        <w:t>](https://www1.hkexnews.hk/listedco/listconews/sehk/2026/0826/2026082600827.pdf)</w:t>
      </w:r>
      <w:r>
        <w:rPr/>
        <w:t>；通函</w:t>
      </w:r>
      <w:r>
        <w:rPr/>
        <w:t>2026-09-14 18:22</w:t>
      </w:r>
      <w:r>
        <w:rPr/>
        <w:t>：</w:t>
      </w:r>
      <w:r>
        <w:rPr/>
        <w:t>[</w:t>
      </w:r>
      <w:r>
        <w:rPr/>
        <w:t>原件</w:t>
      </w:r>
      <w:r>
        <w:rPr/>
        <w:t>](https://www1.hkexnews.hk/listedco/listconews/sehk/2026/0914/2026091400889.pdf)</w:t>
      </w:r>
      <w:r>
        <w:rPr/>
        <w:t>。</w:t>
      </w:r>
    </w:p>
    <w:p>
      <w:pPr>
        <w:pStyle w:val="Normal"/>
        <w:rPr/>
      </w:pPr>
      <w:r>
        <w:rPr/>
        <w:t xml:space="preserve">- </w:t>
      </w:r>
      <w:r>
        <w:rPr/>
        <w:t>盈警</w:t>
      </w:r>
      <w:r>
        <w:rPr/>
        <w:t>2026-08-11 16:31</w:t>
      </w:r>
      <w:r>
        <w:rPr/>
        <w:t>：</w:t>
      </w:r>
      <w:r>
        <w:rPr/>
        <w:t>[</w:t>
      </w:r>
      <w:r>
        <w:rPr/>
        <w:t>原件</w:t>
      </w:r>
      <w:r>
        <w:rPr/>
        <w:t>](https://www1.hkexnews.hk/listedco/listconews/sehk/2026/0811/2026081100299.pdf)</w:t>
      </w:r>
      <w:r>
        <w:rPr/>
        <w:t>。</w:t>
      </w:r>
    </w:p>
    <w:p>
      <w:pPr>
        <w:pStyle w:val="Normal"/>
        <w:rPr/>
      </w:pPr>
      <w:r>
        <w:rPr/>
        <w:t xml:space="preserve">- </w:t>
      </w:r>
      <w:r>
        <w:rPr/>
        <w:t>行情：锁定</w:t>
      </w:r>
      <w:r>
        <w:rPr/>
        <w:t>market-v1.6</w:t>
      </w:r>
      <w:r>
        <w:rPr/>
        <w:t>，腾讯、新浪及</w:t>
      </w:r>
      <w:r>
        <w:rPr/>
        <w:t>Yahoo</w:t>
      </w:r>
      <w:r>
        <w:rPr/>
        <w:t>最新价格交叉；日线</w:t>
      </w:r>
      <w:r>
        <w:rPr/>
        <w:t>Yahoo</w:t>
      </w:r>
      <w:r>
        <w:rPr/>
        <w:t>与腾讯历史，原始单位、公司行动及修复记录见</w:t>
      </w:r>
      <w:r>
        <w:rPr/>
        <w:t>data/history/S067.json</w:t>
      </w:r>
      <w:r>
        <w:rPr/>
        <w:t>。</w:t>
      </w:r>
      <w:r>
        <w:rPr/>
        <w:t>HK2027</w:t>
      </w:r>
      <w:r>
        <w:rPr/>
        <w:t>实际交易日按</w:t>
      </w:r>
      <w:r>
        <w:rPr/>
        <w:t>data/calendar_primary_discovery.json</w:t>
      </w:r>
      <w:r>
        <w:rPr/>
        <w:t>原始日历，</w:t>
      </w:r>
      <w:r>
        <w:rPr/>
        <w:t>2029/2031</w:t>
      </w:r>
      <w:r>
        <w:rPr/>
        <w:t>待未来公布复核。</w:t>
      </w:r>
      <w:r>
        <w:br w:type="page"/>
      </w:r>
    </w:p>
    <w:p>
      <w:pPr>
        <w:pStyle w:val="Heading1"/>
        <w:rPr/>
      </w:pPr>
      <w:bookmarkStart w:id="4" w:name="__RefHeading___Toc38184_1364803659"/>
      <w:bookmarkEnd w:id="4"/>
      <w:r>
        <w:rPr>
          <w:color w:val="000000"/>
        </w:rPr>
        <w:t xml:space="preserve">博腾股份 </w:t>
      </w:r>
      <w:r>
        <w:rPr>
          <w:color w:val="000000"/>
        </w:rPr>
        <w:t>300363 SZ</w:t>
      </w:r>
    </w:p>
    <w:p>
      <w:pPr>
        <w:pStyle w:val="Normal"/>
        <w:rPr/>
      </w:pPr>
      <w:r>
        <w:rPr/>
        <w:t xml:space="preserve">300363.SZ </w:t>
      </w:r>
      <w:r>
        <w:rPr/>
        <w:t xml:space="preserve">现价 </w:t>
      </w:r>
      <w:r>
        <w:rPr/>
        <w:t>23.68 CNY</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59.40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19.20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-18.92%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-18.92%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63.30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+1.35%</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74.20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+77.36%</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+78.84%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74.70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4</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+132.26%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+135.64%</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-88.60%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15.00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-36.66%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+35.14%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16.18CNY</w:t>
      </w:r>
      <w:r>
        <w:rPr/>
        <w:t>，期望股价回报</w:t>
      </w:r>
      <w:r>
        <w:rPr/>
        <w:t>-31.69%</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3.60</w:t>
              <w:br/>
              <w:t>-84.80%</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19.20</w:t>
              <w:br/>
              <w:t>-18.92%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42.00</w:t>
              <w:br/>
              <w:t>+77.36%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4.50</w:t>
              <w:br/>
              <w:t>-81.00%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24.00</w:t>
              <w:br/>
              <w:t>+1.35%</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52.00</w:t>
              <w:br/>
              <w:t>+119.59%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8.10</w:t>
              <w:br/>
              <w:t>-65.79%</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42.00</w:t>
              <w:br/>
              <w:t>+77.36%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86.40</w:t>
              <w:br/>
              <w:t>+264.86%</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+21.38%</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10.40</w:t>
              <w:br/>
              <w:t>-56.08%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55.00</w:t>
              <w:br/>
              <w:t>+132.26%</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121.60</w:t>
              <w:br/>
              <w:t>+413.51%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+18.70%</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基本面</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高：原财报、退出和激励</w:t>
            </w:r>
            <w:r>
              <w:rPr>
                <w:rFonts w:eastAsia="微软雅黑" w:ascii="微软雅黑" w:hAnsi="微软雅黑"/>
                <w:sz w:val="17"/>
              </w:rPr>
              <w:t>/</w:t>
            </w:r>
            <w:r>
              <w:rPr>
                <w:rFonts w:ascii="微软雅黑" w:hAnsi="微软雅黑" w:eastAsia="微软雅黑"/>
                <w:sz w:val="17"/>
              </w:rPr>
              <w:t>股数公告；法律与资产最终处置缺</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量价</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w:t>
            </w:r>
            <w:r>
              <w:rPr>
                <w:rFonts w:eastAsia="微软雅黑" w:ascii="微软雅黑" w:hAnsi="微软雅黑"/>
                <w:sz w:val="17"/>
              </w:rPr>
              <w:t>728</w:t>
            </w:r>
            <w:r>
              <w:rPr>
                <w:rFonts w:ascii="微软雅黑" w:hAnsi="微软雅黑" w:eastAsia="微软雅黑"/>
                <w:sz w:val="17"/>
              </w:rPr>
              <w:t>日双源、股量、分红核验</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估值</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中低：持续归母情景与新业务减亏、</w:t>
            </w:r>
            <w:r>
              <w:rPr>
                <w:rFonts w:eastAsia="微软雅黑" w:ascii="微软雅黑" w:hAnsi="微软雅黑"/>
                <w:sz w:val="17"/>
              </w:rPr>
              <w:t>PE</w:t>
            </w:r>
            <w:r>
              <w:rPr>
                <w:rFonts w:ascii="微软雅黑" w:hAnsi="微软雅黑" w:eastAsia="微软雅黑"/>
                <w:sz w:val="17"/>
              </w:rPr>
              <w:t>假设；分部</w:t>
            </w:r>
            <w:r>
              <w:rPr>
                <w:rFonts w:eastAsia="微软雅黑" w:ascii="微软雅黑" w:hAnsi="微软雅黑"/>
                <w:sz w:val="17"/>
              </w:rPr>
              <w:t>DCF/</w:t>
            </w:r>
            <w:r>
              <w:rPr>
                <w:rFonts w:ascii="微软雅黑" w:hAnsi="微软雅黑" w:eastAsia="微软雅黑"/>
                <w:sz w:val="17"/>
              </w:rPr>
              <w:t>三表未完</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机构目标</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缺失</w:t>
            </w:r>
          </w:p>
        </w:tc>
      </w:tr>
    </w:tbl>
    <w:p>
      <w:pPr>
        <w:pStyle w:val="Normal"/>
        <w:rPr/>
      </w:pPr>
      <w:r>
        <w:rPr/>
      </w:r>
    </w:p>
    <w:p>
      <w:pPr>
        <w:pStyle w:val="Normal"/>
        <w:rPr/>
      </w:pPr>
      <w:r>
        <w:rPr/>
        <w:drawing>
          <wp:inline distT="0" distB="0" distL="0" distR="0">
            <wp:extent cx="5975985" cy="2788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I013</w:t>
      </w:r>
      <w:r>
        <w:rPr/>
        <w:t>，证券</w:t>
      </w:r>
      <w:r>
        <w:rPr/>
        <w:t>S015</w:t>
      </w:r>
      <w:r>
        <w:rPr/>
        <w:t>，</w:t>
      </w:r>
      <w:r>
        <w:rPr/>
        <w:t>300363.SZ</w:t>
      </w:r>
      <w:r>
        <w:rPr/>
        <w:t>。统一基准</w:t>
      </w:r>
      <w:r>
        <w:rPr/>
        <w:t>2026</w:t>
      </w:r>
      <w:r>
        <w:rPr/>
        <w:t>年</w:t>
      </w:r>
      <w:r>
        <w:rPr/>
        <w:t>10</w:t>
      </w:r>
      <w:r>
        <w:rPr/>
        <w:t>月</w:t>
      </w:r>
      <w:r>
        <w:rPr/>
        <w:t>9</w:t>
      </w:r>
      <w:r>
        <w:rPr/>
        <w:t>日收盘</w:t>
      </w:r>
      <w:r>
        <w:rPr/>
        <w:t>23.68</w:t>
      </w:r>
      <w:r>
        <w:rPr/>
        <w:t>元人民币；仅采用截止日已公开资料，保留公告与事件日期。独立初版，金额除另注外均为人民币百万元。正文与</w:t>
      </w:r>
      <w:r>
        <w:rPr/>
        <w:t>porton_model.json</w:t>
      </w:r>
      <w:r>
        <w:rPr/>
        <w:t>同源；长期情景是研究设定，不是业绩承诺或机构一致预期。目标日遇休市依总表取此前交易日。</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乐观目标，元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基准税前累计分红，元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基准总回报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59.4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3.60 / 19.20 / 42.00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-18.92%</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-18.92%</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63.3</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4.50 / 24.00 / 52.00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1.35%</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1.69%</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74.2</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8.10 / 42.00 / 86.40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77.36%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0.35</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78.84%</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74.7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10.40 / 55.00 / 121.60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132.26%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135.64%</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不另评分</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2.70 / 15.00 / 32.00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-36.66%</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-36.66%</w:t>
            </w:r>
          </w:p>
        </w:tc>
      </w:tr>
    </w:tbl>
    <w:p>
      <w:pPr>
        <w:pStyle w:val="Normal"/>
        <w:rPr/>
      </w:pPr>
      <w:r>
        <w:rPr/>
      </w:r>
    </w:p>
    <w:p>
      <w:pPr>
        <w:pStyle w:val="Normal"/>
        <w:rPr/>
      </w:pPr>
      <w:r>
        <w:rPr/>
        <w:t>三年、五年基准含分红年化</w:t>
      </w:r>
      <w:r>
        <w:rPr/>
        <w:t>21.38%</w:t>
      </w:r>
      <w:r>
        <w:rPr/>
        <w:t>、</w:t>
      </w:r>
      <w:r>
        <w:rPr/>
        <w:t>18.70%</w:t>
      </w:r>
      <w:r>
        <w:rPr/>
        <w:t>。年底</w:t>
      </w:r>
      <w:r>
        <w:rPr/>
        <w:t>25%/50%/25%</w:t>
      </w:r>
      <w:r>
        <w:rPr/>
        <w:t>加权</w:t>
      </w:r>
      <w:r>
        <w:rPr/>
        <w:t>16.175</w:t>
      </w:r>
      <w:r>
        <w:rPr/>
        <w:t>元，期望回报</w:t>
      </w:r>
      <w:r>
        <w:rPr/>
        <w:t>-31.69%</w:t>
      </w:r>
      <w:r>
        <w:rPr/>
        <w:t>；防御</w:t>
      </w:r>
      <w:r>
        <w:rPr/>
        <w:t>40%/50%/10%</w:t>
      </w:r>
      <w:r>
        <w:rPr/>
        <w:t>得</w:t>
      </w:r>
      <w:r>
        <w:rPr/>
        <w:t>11.78</w:t>
      </w:r>
      <w:r>
        <w:rPr/>
        <w:t>元、进取</w:t>
      </w:r>
      <w:r>
        <w:rPr/>
        <w:t>10%/50%/40%</w:t>
      </w:r>
      <w:r>
        <w:rPr/>
        <w:t>得</w:t>
      </w:r>
      <w:r>
        <w:rPr/>
        <w:t>20.57</w:t>
      </w:r>
      <w:r>
        <w:rPr/>
        <w:t>元。区间与判断权重不是统计置信区间、真实获利概率或最大损失边界。全榜推荐梯队由总表统一归组；本章相对结论为短期观察、三年与五年有条件成长候选。基础事实可信度较高，预测与估值中低，外资目标和细分指数缺失。</w:t>
      </w:r>
    </w:p>
    <w:p>
      <w:pPr>
        <w:pStyle w:val="Heading2"/>
        <w:rPr/>
      </w:pPr>
      <w:r>
        <w:rPr>
          <w:color w:val="000000"/>
        </w:rPr>
        <w:t>投资结论</w:t>
      </w:r>
    </w:p>
    <w:p>
      <w:pPr>
        <w:pStyle w:val="Normal"/>
        <w:rPr/>
      </w:pPr>
      <w:r>
        <w:rPr/>
        <w:t>博腾股份的投资价值主要来自小分子后期与商业化服务恢复，以及新业务逐步转化为现金利润的可能，推荐强度明显随期限不同。以</w:t>
      </w:r>
      <w:r>
        <w:rPr/>
        <w:t>23.68</w:t>
      </w:r>
      <w:r>
        <w:rPr/>
        <w:t>元锚点，半年与一年盈利基础尚不足以支持宽基准空间，三年和五年才有较高情景上涨潜力。公司不适合被简单定义为“报告亏损所以不能研究”，也不适合被定义为“亏损只是一次性所以很便宜”。持续业务、终止业务、归母和少数、真实现金与会计损失必须拆开，否则高增长机会与资本风险都会被误判。</w:t>
      </w:r>
    </w:p>
    <w:p>
      <w:pPr>
        <w:pStyle w:val="Normal"/>
        <w:rPr/>
      </w:pPr>
      <w:r>
        <w:rPr/>
        <w:t>2026</w:t>
      </w:r>
      <w:r>
        <w:rPr/>
        <w:t>年上半年收入</w:t>
      </w:r>
      <w:r>
        <w:rPr/>
        <w:t>1789.89</w:t>
      </w:r>
      <w:r>
        <w:rPr/>
        <w:t>百万元、增长</w:t>
      </w:r>
      <w:r>
        <w:rPr/>
        <w:t>10.42%</w:t>
      </w:r>
      <w:r>
        <w:rPr/>
        <w:t>，小分子后期商业化增长</w:t>
      </w:r>
      <w:r>
        <w:rPr/>
        <w:t>24.29%</w:t>
      </w:r>
      <w:r>
        <w:rPr/>
        <w:t>、毛利</w:t>
      </w:r>
      <w:r>
        <w:rPr/>
        <w:t>45.28%</w:t>
      </w:r>
      <w:r>
        <w:rPr/>
        <w:t>，显示核心业务改善。但法定归母亏损</w:t>
      </w:r>
      <w:r>
        <w:rPr/>
        <w:t>224.20</w:t>
      </w:r>
      <w:r>
        <w:rPr/>
        <w:t>百万元，斯洛文尼亚基地终止经营亏损</w:t>
      </w:r>
      <w:r>
        <w:rPr/>
        <w:t>347.38</w:t>
      </w:r>
      <w:r>
        <w:rPr/>
        <w:t>百万元；扣去这项后的持续归母约</w:t>
      </w:r>
      <w:r>
        <w:rPr/>
        <w:t>123.18</w:t>
      </w:r>
      <w:r>
        <w:rPr/>
        <w:t>百万元，并非中报直接列示的持续集团净利</w:t>
      </w:r>
      <w:r>
        <w:rPr/>
        <w:t>92.33</w:t>
      </w:r>
      <w:r>
        <w:rPr/>
        <w:t>百万元。区别来自少数股东损失。持续盈利改善是真实观察，同时新业务合计对归母约负</w:t>
      </w:r>
      <w:r>
        <w:rPr/>
        <w:t>122.81</w:t>
      </w:r>
      <w:r>
        <w:rPr/>
        <w:t>百万元，收入恢复并未自动解除全部利润约束。</w:t>
      </w:r>
    </w:p>
    <w:p>
      <w:pPr>
        <w:pStyle w:val="Normal"/>
        <w:rPr/>
      </w:pPr>
      <w:r>
        <w:rPr/>
        <w:t>一年基准</w:t>
      </w:r>
      <w:r>
        <w:rPr/>
        <w:t>24</w:t>
      </w:r>
      <w:r>
        <w:rPr/>
        <w:t>元来自持续归母稀释</w:t>
      </w:r>
      <w:r>
        <w:rPr/>
        <w:t>EPS0.80</w:t>
      </w:r>
      <w:r>
        <w:rPr/>
        <w:t>元、三十倍估值，含预计首次第二类股票四分之一归属后股数约</w:t>
      </w:r>
      <w:r>
        <w:rPr/>
        <w:t>547.18</w:t>
      </w:r>
      <w:r>
        <w:rPr/>
        <w:t>百万股，要求归母盈利能力</w:t>
      </w:r>
      <w:r>
        <w:rPr/>
        <w:t>437.74</w:t>
      </w:r>
      <w:r>
        <w:rPr/>
        <w:t>百万元、收入</w:t>
      </w:r>
      <w:r>
        <w:rPr/>
        <w:t>4400</w:t>
      </w:r>
      <w:r>
        <w:rPr/>
        <w:t>百万元。相对</w:t>
      </w:r>
      <w:r>
        <w:rPr/>
        <w:t>2025</w:t>
      </w:r>
      <w:r>
        <w:rPr/>
        <w:t>年归母</w:t>
      </w:r>
      <w:r>
        <w:rPr/>
        <w:t>96.34</w:t>
      </w:r>
      <w:r>
        <w:rPr/>
        <w:t>百万元和扣非</w:t>
      </w:r>
      <w:r>
        <w:rPr/>
        <w:t>58.77</w:t>
      </w:r>
      <w:r>
        <w:rPr/>
        <w:t>百万元，这是很强恢复；相对上半年持续归母简单年化</w:t>
      </w:r>
      <w:r>
        <w:rPr/>
        <w:t>246.36</w:t>
      </w:r>
      <w:r>
        <w:rPr/>
        <w:t>百万元也仍需明显提升。即使达到，一年基准总回报只有</w:t>
      </w:r>
      <w:r>
        <w:rPr/>
        <w:t>1.69%</w:t>
      </w:r>
      <w:r>
        <w:rPr/>
        <w:t>，因此本章不把它作为最优短期推荐，低价面值不能替代盈利估值。</w:t>
      </w:r>
    </w:p>
    <w:p>
      <w:pPr>
        <w:pStyle w:val="Normal"/>
        <w:rPr/>
      </w:pPr>
      <w:r>
        <w:rPr/>
        <w:t>三年</w:t>
      </w:r>
      <w:r>
        <w:rPr/>
        <w:t>42</w:t>
      </w:r>
      <w:r>
        <w:rPr/>
        <w:t>元和五年</w:t>
      </w:r>
      <w:r>
        <w:rPr/>
        <w:t>55</w:t>
      </w:r>
      <w:r>
        <w:rPr/>
        <w:t>元基准要求归母</w:t>
      </w:r>
      <w:r>
        <w:rPr/>
        <w:t>831.97</w:t>
      </w:r>
      <w:r>
        <w:rPr/>
        <w:t>、</w:t>
      </w:r>
      <w:r>
        <w:rPr/>
        <w:t>1237.38</w:t>
      </w:r>
      <w:r>
        <w:rPr/>
        <w:t>百万元，对应收入</w:t>
      </w:r>
      <w:r>
        <w:rPr/>
        <w:t>5500</w:t>
      </w:r>
      <w:r>
        <w:rPr/>
        <w:t>、</w:t>
      </w:r>
      <w:r>
        <w:rPr/>
        <w:t>7300</w:t>
      </w:r>
      <w:r>
        <w:rPr/>
        <w:t>百万元以及约</w:t>
      </w:r>
      <w:r>
        <w:rPr/>
        <w:t>15.13%</w:t>
      </w:r>
      <w:r>
        <w:rPr/>
        <w:t>、</w:t>
      </w:r>
      <w:r>
        <w:rPr/>
        <w:t>16.95%</w:t>
      </w:r>
      <w:r>
        <w:rPr/>
        <w:t>净利率。它们依赖小分子订单持续升级、新业务亏损收窄、费用和闲置资产受控，不仅是恢复历史收入。盈利和合理倍数共同决定空间，三年年化</w:t>
      </w:r>
      <w:r>
        <w:rPr/>
        <w:t>21.38%</w:t>
      </w:r>
      <w:r>
        <w:rPr/>
        <w:t>不是无条件给定。若新业务仍耗费主业大部分利润、海外退出后继续产生大额损失或全球客户供应链转移，应撤回长期高分，不能靠长期时间跨度维持旧目标。</w:t>
      </w:r>
    </w:p>
    <w:p>
      <w:pPr>
        <w:pStyle w:val="Normal"/>
        <w:rPr/>
      </w:pPr>
      <w:r>
        <w:rPr/>
        <w:t>短期量价支持观察而非追价的独立理由是：价格高于主要均线，二十、六十日显著超沪深三百，但五日、二十日、六十日均量依次较低，</w:t>
      </w:r>
      <w:r>
        <w:rPr/>
        <w:t>MACD</w:t>
      </w:r>
      <w:r>
        <w:rPr/>
        <w:t>柱接近零，二百五十日线仍向下。持续强势需要新的成交和盈利证据，不能用一次放量后的价格恢复直接判断资金长期持有。控股股东个人质押、新激励会计费与未完成拟注销股份也影响半年交易和估值，须逐项保存时点，不能混成已经执行的股本缩减。</w:t>
      </w:r>
    </w:p>
    <w:p>
      <w:pPr>
        <w:pStyle w:val="Heading2"/>
        <w:rPr/>
      </w:pPr>
      <w:r>
        <w:rPr>
          <w:color w:val="000000"/>
        </w:rPr>
        <w:t>小分子核心业务的经济来源</w:t>
      </w:r>
    </w:p>
    <w:p>
      <w:pPr>
        <w:pStyle w:val="Normal"/>
        <w:rPr/>
      </w:pPr>
      <w:r>
        <w:rPr/>
        <w:t>博腾向药企、生物科技和研究机构提供工艺设计、开发优化、分析、注册支持、中试与商业生产。核心小分子原料药业务覆盖起始物料、中间体及</w:t>
      </w:r>
      <w:r>
        <w:rPr/>
        <w:t>API</w:t>
      </w:r>
      <w:r>
        <w:rPr/>
        <w:t>，从研究阶段服务客户到药物上市后批量供应。工艺开发有技术与项目管理收入，商业化生产有交付批次和采购量收入，两种收入的毛利、人员和资产要求不同。客户药物治疗市场大小只能提示潜在需求，不能直接把终端销售乘一个供应比例形成公司利润。</w:t>
      </w:r>
    </w:p>
    <w:p>
      <w:pPr>
        <w:pStyle w:val="Normal"/>
        <w:rPr/>
      </w:pPr>
      <w:r>
        <w:rPr/>
        <w:t>中报小分子原料药收入</w:t>
      </w:r>
      <w:r>
        <w:rPr/>
        <w:t>1643.62</w:t>
      </w:r>
      <w:r>
        <w:rPr/>
        <w:t>百万元、占集团约</w:t>
      </w:r>
      <w:r>
        <w:rPr/>
        <w:t>92%</w:t>
      </w:r>
      <w:r>
        <w:rPr/>
        <w:t>，同比</w:t>
      </w:r>
      <w:r>
        <w:rPr/>
        <w:t>9.58%</w:t>
      </w:r>
      <w:r>
        <w:rPr/>
        <w:t>，毛利</w:t>
      </w:r>
      <w:r>
        <w:rPr/>
        <w:t>39.58%</w:t>
      </w:r>
      <w:r>
        <w:rPr/>
        <w:t>。其余约</w:t>
      </w:r>
      <w:r>
        <w:rPr/>
        <w:t>8%</w:t>
      </w:r>
      <w:r>
        <w:rPr/>
        <w:t>来自制剂、细胞基因、新分子及其他，不应把全部</w:t>
      </w:r>
      <w:r>
        <w:rPr/>
        <w:t>1789.89</w:t>
      </w:r>
      <w:r>
        <w:rPr/>
        <w:t>百万元归为已成熟小分子。小分子是利润和现金基石，新业务提高长期覆盖范围也带来成本。评价博腾时需要以基石能够产生的持续归母现金，判断可否支持探索业务；不能给成熟盈利部分高倍数，再给新业务只加销售额估值而不扣其运营损失。</w:t>
      </w:r>
    </w:p>
    <w:p>
      <w:pPr>
        <w:pStyle w:val="Normal"/>
        <w:rPr/>
      </w:pPr>
      <w:r>
        <w:rPr/>
        <w:t>小分子服务粘性来自工艺转移和注册验证。客户药物进入后期后，工艺和杂质控制关系质量文件，更换供应商需要验证、时间和成本，连续合格交付可能提高续约概率。但药物临床失败、终端竞争或客户多元供应仍能减少订单，粘性不是永久排他。商业化过程中成本、交期与法规变化也会推动双供应商。公司多年经验与项目记录是竞争证据，而非任何药物在博腾开发后就必然全部留在其厂区制造。</w:t>
      </w:r>
    </w:p>
    <w:p>
      <w:pPr>
        <w:pStyle w:val="Normal"/>
        <w:rPr/>
      </w:pPr>
      <w:r>
        <w:rPr/>
        <w:t>公司累计服务客户超过一千五百家、项目成功交付记录近六千个，当前每期活跃客户远少于累计数。累计数据包括不同年度和不同大小项目，不能把它视作现行年合同。上半年为三百八十余家提供小分子服务，新客户四十三家，包括美国十七、中国十一、欧洲五、其他亚太十。新客户数支持开拓能力，但商业化金额和后期转换质量更有决定性；若大部分只是小额试验，短期新增数量未必提高集团利润。</w:t>
      </w:r>
    </w:p>
    <w:p>
      <w:pPr>
        <w:pStyle w:val="Normal"/>
        <w:rPr/>
      </w:pPr>
      <w:r>
        <w:rPr/>
        <w:t>工艺路线、结晶、催化、连续反应、杂质分析和安全放大是小分子服务的重要能力。复杂路线中，较高收率和少步骤可能降低客户总成本，提高供应商竞争力；高活性或特殊反应又需要设施和安全投入。真正优势要以批次质量、交付和稳定毛利验证，技术名词列表不能自动转换成高利润。公司研发</w:t>
      </w:r>
      <w:r>
        <w:rPr/>
        <w:t>106.14</w:t>
      </w:r>
      <w:r>
        <w:rPr/>
        <w:t>百万元全部费用化，使投入直接进入当期成本；未来提效仍需持续人才与设备支出，不宜全部加回预测利润。</w:t>
      </w:r>
    </w:p>
    <w:p>
      <w:pPr>
        <w:pStyle w:val="Normal"/>
        <w:rPr/>
      </w:pPr>
      <w:r>
        <w:rPr/>
        <w:t>客户既可能直接购买，也可能通过指定供应商或关联生产体系购买。中报特别提醒业务市场单元与财务地域统计可能不同，终端客户与合同对方不一定同名。因此北美、欧洲、中国市场单元比例与财报国外、国内分类不能强制完全对应。研究要保留定义，不能因为两张表出现差异就重新拼接不存在的收入。本章总利润和估值用合并报表，细分经营用原披露限定，避免把集团内或项目各阶段重复累加。</w:t>
      </w:r>
    </w:p>
    <w:p>
      <w:pPr>
        <w:pStyle w:val="Heading2"/>
        <w:rPr/>
      </w:pPr>
      <w:r>
        <w:rPr>
          <w:color w:val="000000"/>
        </w:rPr>
        <w:t>项目阶段 订单与毛利结构</w:t>
      </w:r>
    </w:p>
    <w:p>
      <w:pPr>
        <w:pStyle w:val="Normal"/>
        <w:rPr/>
      </w:pPr>
      <w:r>
        <w:rPr/>
        <w:t>上半年已签订单项目五百七十二个、不含</w:t>
      </w:r>
      <w:r>
        <w:rPr/>
        <w:t>J-STAR</w:t>
      </w:r>
      <w:r>
        <w:rPr/>
        <w:t>，其中新项目一百一十；交付三百九十八个，临床前及一期一百六十四、二期六十六、三期三十、上市申请十五、已上市一百二十三。已签项目数量不是全部合同金额，也不是同一期可确认收入。项目可能跨报告期或分批付款，早期研发项目与商业化项目平均金额差很多。不能把已签数乘统一客单价，也不能以交付数增加断言固定产能利用率达到某个百分比。</w:t>
      </w:r>
    </w:p>
    <w:p>
      <w:pPr>
        <w:pStyle w:val="Normal"/>
        <w:rPr/>
      </w:pPr>
      <w:r>
        <w:rPr/>
        <w:t>后期及商业化收入</w:t>
      </w:r>
      <w:r>
        <w:rPr/>
        <w:t>1345.47</w:t>
      </w:r>
      <w:r>
        <w:rPr/>
        <w:t>百万元、增长</w:t>
      </w:r>
      <w:r>
        <w:rPr/>
        <w:t>24.29%</w:t>
      </w:r>
      <w:r>
        <w:rPr/>
        <w:t>，毛利</w:t>
      </w:r>
      <w:r>
        <w:rPr/>
        <w:t>45.28%</w:t>
      </w:r>
      <w:r>
        <w:rPr/>
        <w:t>；早期</w:t>
      </w:r>
      <w:r>
        <w:rPr/>
        <w:t>298.16</w:t>
      </w:r>
      <w:r>
        <w:rPr/>
        <w:t>百万元、下降</w:t>
      </w:r>
      <w:r>
        <w:rPr/>
        <w:t>28.57%</w:t>
      </w:r>
      <w:r>
        <w:rPr/>
        <w:t>，毛利</w:t>
      </w:r>
      <w:r>
        <w:rPr/>
        <w:t>13.90%</w:t>
      </w:r>
      <w:r>
        <w:rPr/>
        <w:t>，比去年低约</w:t>
      </w:r>
      <w:r>
        <w:rPr/>
        <w:t>11.67</w:t>
      </w:r>
      <w:r>
        <w:rPr/>
        <w:t>个百分点。核心总毛利改善主要与后期结构相关，早期需求与效率并未同步转好。门控筛选减少低质早期订单可能利于现金和资源，但早期业务同时是未来项目池，持续下降也可能限制三年后转化。需要区分主动筛选与需求萎缩，不能仅因总毛利升就认为所有阶段质量都提高。</w:t>
      </w:r>
    </w:p>
    <w:p>
      <w:pPr>
        <w:pStyle w:val="Normal"/>
        <w:rPr/>
      </w:pPr>
      <w:r>
        <w:rPr/>
        <w:t>公司披露上半年询盘同比约增长</w:t>
      </w:r>
      <w:r>
        <w:rPr/>
        <w:t>12%</w:t>
      </w:r>
      <w:r>
        <w:rPr/>
        <w:t>，可以提示未来需求，但询盘尚非合同，更非利润。询盘可能重复、测试价格或处于融资等待，</w:t>
      </w:r>
      <w:r>
        <w:rPr/>
        <w:t>2025</w:t>
      </w:r>
      <w:r>
        <w:rPr/>
        <w:t>年公司加强早期门控后询盘总量下降，二者口径也要结合。若报价转化提高且保留合理毛利，新询盘对一年业务有意义；若转化依靠低价抢单，收入增长可能继续挤压早期利润。模型没有把询盘增幅直接设成营收增幅，而由综合收入与净利设定未来情景。</w:t>
      </w:r>
    </w:p>
    <w:p>
      <w:pPr>
        <w:pStyle w:val="Normal"/>
        <w:rPr/>
      </w:pPr>
      <w:r>
        <w:rPr/>
        <w:t>上半年服务</w:t>
      </w:r>
      <w:r>
        <w:rPr/>
        <w:t>API</w:t>
      </w:r>
      <w:r>
        <w:rPr/>
        <w:t>产品一百五十四个，同比多十九个，</w:t>
      </w:r>
      <w:r>
        <w:rPr/>
        <w:t>API</w:t>
      </w:r>
      <w:r>
        <w:rPr/>
        <w:t>收入</w:t>
      </w:r>
      <w:r>
        <w:rPr/>
        <w:t>231</w:t>
      </w:r>
      <w:r>
        <w:rPr/>
        <w:t>百万元、约占集团</w:t>
      </w:r>
      <w:r>
        <w:rPr/>
        <w:t>13%</w:t>
      </w:r>
      <w:r>
        <w:rPr/>
        <w:t>，却下降约</w:t>
      </w:r>
      <w:r>
        <w:rPr/>
        <w:t>20%</w:t>
      </w:r>
      <w:r>
        <w:rPr/>
        <w:t>，公司归因于两个商业化项目交付节奏。产品数增加与收入减少可以同时发生，说明产品规模和交付时点重要。不能凭数量给出</w:t>
      </w:r>
      <w:r>
        <w:rPr/>
        <w:t>API</w:t>
      </w:r>
      <w:r>
        <w:rPr/>
        <w:t>业务必然加速的结论，也不能依据两个项目名字未公开而猜它们是某热门药物。若后续确认收入恢复与现金回款一致，交付解释可信度提高；若连续下降，需调整商业化基准。</w:t>
      </w:r>
    </w:p>
    <w:p>
      <w:pPr>
        <w:pStyle w:val="Normal"/>
        <w:rPr/>
      </w:pPr>
      <w:r>
        <w:rPr/>
        <w:t>已完成工艺验证三个、正在执行二十五个，为上市或商业供应储备提供可见项目。验证工作对客户注册和生产准备有价值，但药物是否获批、获批后销量和供应份额仍不确定。二十五个并非二十五个同等成功率的临床项目，公司也不拥有它们全部药物权益。本章没有为这些项目单列药物</w:t>
      </w:r>
      <w:r>
        <w:rPr/>
        <w:t>rNPV</w:t>
      </w:r>
      <w:r>
        <w:rPr/>
        <w:t>，而把其转化为小分子收入的部分列研究假设；后续可以按合同金额和制造承诺进一步完善订单概率桥。</w:t>
      </w:r>
    </w:p>
    <w:p>
      <w:pPr>
        <w:pStyle w:val="Normal"/>
        <w:rPr/>
      </w:pPr>
      <w:r>
        <w:rPr/>
        <w:t>2025</w:t>
      </w:r>
      <w:r>
        <w:rPr/>
        <w:t>年后期商业化收入</w:t>
      </w:r>
      <w:r>
        <w:rPr/>
        <w:t>2311.95</w:t>
      </w:r>
      <w:r>
        <w:rPr/>
        <w:t>百万元、增长</w:t>
      </w:r>
      <w:r>
        <w:rPr/>
        <w:t>15.02%</w:t>
      </w:r>
      <w:r>
        <w:rPr/>
        <w:t>、毛利</w:t>
      </w:r>
      <w:r>
        <w:rPr/>
        <w:t>44.70%</w:t>
      </w:r>
      <w:r>
        <w:rPr/>
        <w:t>；早期</w:t>
      </w:r>
      <w:r>
        <w:rPr/>
        <w:t>779.95</w:t>
      </w:r>
      <w:r>
        <w:rPr/>
        <w:t>百万元、增长</w:t>
      </w:r>
      <w:r>
        <w:rPr/>
        <w:t>6.91%</w:t>
      </w:r>
      <w:r>
        <w:rPr/>
        <w:t>、毛利</w:t>
      </w:r>
      <w:r>
        <w:rPr/>
        <w:t>19.69%</w:t>
      </w:r>
      <w:r>
        <w:rPr/>
        <w:t>。上半年后期增速进一步提高，早期出现明显不同方向，这种结构有利于短期毛利也增加未来储备问题。长期优质平台需要后期现金与早期技术探索平衡，不能完全舍弃早期只靠现有商业药。若新技术研发客户持续转向其他供应商，当前商业化存量不会永远弥补未来订单池。</w:t>
      </w:r>
    </w:p>
    <w:p>
      <w:pPr>
        <w:pStyle w:val="Heading2"/>
        <w:rPr/>
      </w:pPr>
      <w:r>
        <w:rPr>
          <w:color w:val="000000"/>
        </w:rPr>
        <w:t>新业务的机会与亏损约束</w:t>
      </w:r>
    </w:p>
    <w:p>
      <w:pPr>
        <w:pStyle w:val="Normal"/>
        <w:rPr/>
      </w:pPr>
      <w:r>
        <w:rPr/>
        <w:t>制剂、细胞基因和新分子并非一个统一新业务。制剂面对处方工艺和复杂剂型，细胞基因面对生物材料、细胞处理或载体制造，新分子包括多肽、寡核苷酸及蛋白偶联；客户、监管、产线和盈利周期不同。上半年三类对归母影响约负</w:t>
      </w:r>
      <w:r>
        <w:rPr/>
        <w:t>58.72</w:t>
      </w:r>
      <w:r>
        <w:rPr/>
        <w:t>、</w:t>
      </w:r>
      <w:r>
        <w:rPr/>
        <w:t>24.06</w:t>
      </w:r>
      <w:r>
        <w:rPr/>
        <w:t>、</w:t>
      </w:r>
      <w:r>
        <w:rPr/>
        <w:t>40.03</w:t>
      </w:r>
      <w:r>
        <w:rPr/>
        <w:t>百万元，合计负</w:t>
      </w:r>
      <w:r>
        <w:rPr/>
        <w:t>122.81</w:t>
      </w:r>
      <w:r>
        <w:rPr/>
        <w:t>百万元，较此前负</w:t>
      </w:r>
      <w:r>
        <w:rPr/>
        <w:t>110.51</w:t>
      </w:r>
      <w:r>
        <w:rPr/>
        <w:t>百万元扩大。总收入增长不能掩盖亏损，有两类控亏而制剂恶化，须逐个判断。</w:t>
      </w:r>
    </w:p>
    <w:p>
      <w:pPr>
        <w:pStyle w:val="Normal"/>
        <w:rPr/>
      </w:pPr>
      <w:r>
        <w:rPr/>
        <w:t>小分子制剂收入约</w:t>
      </w:r>
      <w:r>
        <w:rPr/>
        <w:t>56</w:t>
      </w:r>
      <w:r>
        <w:rPr/>
        <w:t>百万元、下降</w:t>
      </w:r>
      <w:r>
        <w:rPr/>
        <w:t>8%</w:t>
      </w:r>
      <w:r>
        <w:rPr/>
        <w:t>，新签</w:t>
      </w:r>
      <w:r>
        <w:rPr/>
        <w:t>67.25</w:t>
      </w:r>
      <w:r>
        <w:rPr/>
        <w:t>百万元、增长</w:t>
      </w:r>
      <w:r>
        <w:rPr/>
        <w:t>5%</w:t>
      </w:r>
      <w:r>
        <w:rPr/>
        <w:t>。服务订单客户一百四十七、订单项目一百九十三，创新药占比提高与一体化项目增加值得关注，但仿制药需求受集采影响弱。制剂利润需要订单结构、项目价格与设施利用同时改善，不能把新签略增就视作亏损将快速消失。上半年亏损</w:t>
      </w:r>
      <w:r>
        <w:rPr/>
        <w:t>58.72</w:t>
      </w:r>
      <w:r>
        <w:rPr/>
        <w:t>百万元已经超过</w:t>
      </w:r>
      <w:r>
        <w:rPr/>
        <w:t>2025</w:t>
      </w:r>
      <w:r>
        <w:rPr/>
        <w:t>年全年度</w:t>
      </w:r>
      <w:r>
        <w:rPr/>
        <w:t>85</w:t>
      </w:r>
      <w:r>
        <w:rPr/>
        <w:t>百万元的一半，基准长期控亏必须依赖新的效率证据。</w:t>
      </w:r>
    </w:p>
    <w:p>
      <w:pPr>
        <w:pStyle w:val="Normal"/>
        <w:rPr/>
      </w:pPr>
      <w:r>
        <w:rPr/>
        <w:t>制剂端“原料药加制剂”协同可以减少客户工艺转移和多方沟通，帮助博腾扩大服务金额；半数新增创新药制剂项目是一体化，公司具备这种技术合作可能。不过协同不一定降低所有组织费用，不同实体人员、质量和注册文件仍需要协调。若客户同时选择两部分却要求整体降价，收入可能增加而利润不增。模型应看项目总毛利与回款，不能把协同作为独立利润金额再加到两业务各自收入之外。</w:t>
      </w:r>
    </w:p>
    <w:p>
      <w:pPr>
        <w:pStyle w:val="Normal"/>
        <w:rPr/>
      </w:pPr>
      <w:r>
        <w:rPr/>
        <w:t>细胞与基因业务收入</w:t>
      </w:r>
      <w:r>
        <w:rPr/>
        <w:t>55.48</w:t>
      </w:r>
      <w:r>
        <w:rPr/>
        <w:t>百万元、增长约</w:t>
      </w:r>
      <w:r>
        <w:rPr/>
        <w:t>67%</w:t>
      </w:r>
      <w:r>
        <w:rPr/>
        <w:t>，新签</w:t>
      </w:r>
      <w:r>
        <w:rPr/>
        <w:t>91.88</w:t>
      </w:r>
      <w:r>
        <w:rPr/>
        <w:t>百万元、增长</w:t>
      </w:r>
      <w:r>
        <w:rPr/>
        <w:t>75%</w:t>
      </w:r>
      <w:r>
        <w:rPr/>
        <w:t>，其中海外订单占</w:t>
      </w:r>
      <w:r>
        <w:rPr/>
        <w:t>38%</w:t>
      </w:r>
      <w:r>
        <w:rPr/>
        <w:t>。早期技术、验证和商业制造选择提供增长机会，订单客户七十六、项目一百一十一，其中新客户四十。业务扩大伴随集团净亏</w:t>
      </w:r>
      <w:r>
        <w:rPr/>
        <w:t>53.92</w:t>
      </w:r>
      <w:r>
        <w:rPr/>
        <w:t>百万元、经营现金流负</w:t>
      </w:r>
      <w:r>
        <w:rPr/>
        <w:t>5.30</w:t>
      </w:r>
      <w:r>
        <w:rPr/>
        <w:t>百万元，仍未成熟盈利。高增速来自较小基础，不能用</w:t>
      </w:r>
      <w:r>
        <w:rPr/>
        <w:t>67%</w:t>
      </w:r>
      <w:r>
        <w:rPr/>
        <w:t>长期复合到全公司，也不能把未来某个客户</w:t>
      </w:r>
      <w:r>
        <w:rPr/>
        <w:t>CAR-T</w:t>
      </w:r>
      <w:r>
        <w:rPr/>
        <w:t>销售全部归入博腾收入。</w:t>
      </w:r>
    </w:p>
    <w:p>
      <w:pPr>
        <w:pStyle w:val="Normal"/>
        <w:rPr/>
      </w:pPr>
      <w:r>
        <w:rPr/>
        <w:t>苏州主体持股</w:t>
      </w:r>
      <w:r>
        <w:rPr/>
        <w:t>42.7818%</w:t>
      </w:r>
      <w:r>
        <w:rPr/>
        <w:t>、实缴比例</w:t>
      </w:r>
      <w:r>
        <w:rPr/>
        <w:t>44.48%</w:t>
      </w:r>
      <w:r>
        <w:rPr/>
        <w:t>，公司在七名董事中拥有四席，因实质控制而纳入集团合并。集团确认全部收入、利润后再分少数，归母不是全部苏州损益；上半年少数亏</w:t>
      </w:r>
      <w:r>
        <w:rPr/>
        <w:t>30.85</w:t>
      </w:r>
      <w:r>
        <w:rPr/>
        <w:t>百万元使归母负担小于集团亏损。若该业务未来盈利，同样要扣除少数分享，不能今天只承担</w:t>
      </w:r>
      <w:r>
        <w:rPr/>
        <w:t>42.78%</w:t>
      </w:r>
      <w:r>
        <w:rPr/>
        <w:t>亏损而未来把</w:t>
      </w:r>
      <w:r>
        <w:rPr/>
        <w:t>100%</w:t>
      </w:r>
      <w:r>
        <w:rPr/>
        <w:t>利润给上市公司。主模型使用持续归母，已体现少数，未额外叠加整个子公司的利润估值。</w:t>
      </w:r>
    </w:p>
    <w:p>
      <w:pPr>
        <w:pStyle w:val="Normal"/>
        <w:rPr/>
      </w:pPr>
      <w:r>
        <w:rPr/>
        <w:t>首次取得药品生产许可证</w:t>
      </w:r>
      <w:r>
        <w:rPr/>
        <w:t>C</w:t>
      </w:r>
      <w:r>
        <w:rPr/>
        <w:t>证在中报披露日前，公司没有给本章精确公开核验日期，因此标为披露日前已取得，不回填成六月已经获得。它支持受托商业制造资格，不能替代每个客户疗法上市批准和最终产能利用。公司还披露帮助客户获溶瘤细菌或体内</w:t>
      </w:r>
      <w:r>
        <w:rPr/>
        <w:t>CAR-T</w:t>
      </w:r>
      <w:r>
        <w:rPr/>
        <w:t>临床申请批准，此类申请不是疗效读出，也不是药物销售。需要持续临床订单和商业转换，才能把合规能力的价值反映到三年盈利。</w:t>
      </w:r>
    </w:p>
    <w:p>
      <w:pPr>
        <w:pStyle w:val="Normal"/>
        <w:rPr/>
      </w:pPr>
      <w:r>
        <w:rPr/>
        <w:t>体内</w:t>
      </w:r>
      <w:r>
        <w:rPr/>
        <w:t>CAR-T</w:t>
      </w:r>
      <w:r>
        <w:rPr/>
        <w:t>、载体与核酸制造可能改变细胞治疗供应结构，一方面带来新复杂项目，另一方面可能减少某些体外处理环节。作为服务商，博腾需要跟随客户工艺路径，而不能把一种新技术出现视作现有全部产线需求增加。疗法临床成功、规模化一致性、剂量和安全仍由产品证据决定。本章没有统一给所有细胞基因客户一个成功概率，乐观情景表示有更多真实项目转化，未声称技术方向本身保证经营回报。</w:t>
      </w:r>
    </w:p>
    <w:p>
      <w:pPr>
        <w:pStyle w:val="Normal"/>
        <w:rPr/>
      </w:pPr>
      <w:r>
        <w:rPr/>
        <w:t>新分子收入约</w:t>
      </w:r>
      <w:r>
        <w:rPr/>
        <w:t>28</w:t>
      </w:r>
      <w:r>
        <w:rPr/>
        <w:t>百万元、增长</w:t>
      </w:r>
      <w:r>
        <w:rPr/>
        <w:t>27%</w:t>
      </w:r>
      <w:r>
        <w:rPr/>
        <w:t>，新签</w:t>
      </w:r>
      <w:r>
        <w:rPr/>
        <w:t>77</w:t>
      </w:r>
      <w:r>
        <w:rPr/>
        <w:t>百万元、增长</w:t>
      </w:r>
      <w:r>
        <w:rPr/>
        <w:t>84%</w:t>
      </w:r>
      <w:r>
        <w:rPr/>
        <w:t>，说明订单增速先于收入。订单客户九十四、项目一百一十七，其中新客户二十五、新项目六十四、交付六十二。</w:t>
      </w:r>
      <w:r>
        <w:rPr/>
        <w:t>ADC</w:t>
      </w:r>
      <w:r>
        <w:rPr/>
        <w:t>双载荷全流程交付支持工艺经验，但多数仍为开发与临床样品，小额项目和研发阶段众多。高增订单从小基础增加不能直接推导商业生产利润，需看合同交付条件、后续批次和设备占用时间，不能将订单</w:t>
      </w:r>
      <w:r>
        <w:rPr/>
        <w:t>77</w:t>
      </w:r>
      <w:r>
        <w:rPr/>
        <w:t>百万元视为同期新增净利。</w:t>
      </w:r>
    </w:p>
    <w:p>
      <w:pPr>
        <w:pStyle w:val="Normal"/>
        <w:rPr/>
      </w:pPr>
      <w:r>
        <w:rPr/>
        <w:t>奉贤高活产线扩建预计</w:t>
      </w:r>
      <w:r>
        <w:rPr/>
        <w:t>2027</w:t>
      </w:r>
      <w:r>
        <w:rPr/>
        <w:t>年第一季度投用，位于半年期限内，可提高承接复杂项目能力，也带来折旧、验证与爬坡成本。投用计划不是已完成，</w:t>
      </w:r>
      <w:r>
        <w:rPr/>
        <w:t>EHS</w:t>
      </w:r>
      <w:r>
        <w:rPr/>
        <w:t>与质量客户审计也不是满产合同。若投用后客户导入低于预期，新分子亏损可能延长；如果订单及时转换并能保留价格，新业务控亏才有依据。上半年新分子归母亏</w:t>
      </w:r>
      <w:r>
        <w:rPr/>
        <w:t>40.03</w:t>
      </w:r>
      <w:r>
        <w:rPr/>
        <w:t>百万元，较去年略改善，但仍需更多收入覆盖固定成本，不能把产线一投产就设成即时盈利。</w:t>
      </w:r>
    </w:p>
    <w:p>
      <w:pPr>
        <w:pStyle w:val="Normal"/>
        <w:rPr/>
      </w:pPr>
      <w:r>
        <w:rPr/>
        <w:t>三类新业务共同的价值是平台覆盖和未来客户生命周期份额，共同风险是规模尚小却需要专业人才、设备、质量和市场投入。</w:t>
      </w:r>
      <w:r>
        <w:rPr/>
        <w:t>2025</w:t>
      </w:r>
      <w:r>
        <w:rPr/>
        <w:t>年亏损合计</w:t>
      </w:r>
      <w:r>
        <w:rPr/>
        <w:t>207.86</w:t>
      </w:r>
      <w:r>
        <w:rPr/>
        <w:t>百万元，上半年</w:t>
      </w:r>
      <w:r>
        <w:rPr/>
        <w:t>122.81</w:t>
      </w:r>
      <w:r>
        <w:rPr/>
        <w:t>百万元显示集团主业仍承担较大探索代价。长期基准需要亏损逐步下降，若几年后仍以“培育期”为由继续投入而缺乏回报，应降低资本质量评分。新分子行业增长不自动证明博腾的设施布局和获客能够实现同样增长。</w:t>
      </w:r>
    </w:p>
    <w:p>
      <w:pPr>
        <w:pStyle w:val="Heading2"/>
        <w:rPr/>
      </w:pPr>
      <w:r>
        <w:rPr>
          <w:color w:val="000000"/>
        </w:rPr>
        <w:t>海外建设退出与持续利润桥</w:t>
      </w:r>
    </w:p>
    <w:p>
      <w:pPr>
        <w:pStyle w:val="Normal"/>
        <w:rPr/>
      </w:pPr>
      <w:r>
        <w:rPr/>
        <w:t>斯洛文尼亚项目原为租赁诺华子公司场地建设研发生产基地，</w:t>
      </w:r>
      <w:r>
        <w:rPr/>
        <w:t>2022</w:t>
      </w:r>
      <w:r>
        <w:rPr/>
        <w:t>年签一揽子协议，</w:t>
      </w:r>
      <w:r>
        <w:rPr/>
        <w:t>B31</w:t>
      </w:r>
      <w:r>
        <w:rPr/>
        <w:t>研发设施</w:t>
      </w:r>
      <w:r>
        <w:rPr/>
        <w:t>2024</w:t>
      </w:r>
      <w:r>
        <w:rPr/>
        <w:t>年运营，</w:t>
      </w:r>
      <w:r>
        <w:rPr/>
        <w:t>B30</w:t>
      </w:r>
      <w:r>
        <w:rPr/>
        <w:t>生产厂房</w:t>
      </w:r>
      <w:r>
        <w:rPr/>
        <w:t>2025</w:t>
      </w:r>
      <w:r>
        <w:rPr/>
        <w:t>年完成工程与封顶。它服务欧洲布局，但</w:t>
      </w:r>
      <w:r>
        <w:rPr/>
        <w:t>2025</w:t>
      </w:r>
      <w:r>
        <w:rPr/>
        <w:t>年收入仅约</w:t>
      </w:r>
      <w:r>
        <w:rPr/>
        <w:t>6.90</w:t>
      </w:r>
      <w:r>
        <w:rPr/>
        <w:t>百万元、占集团</w:t>
      </w:r>
      <w:r>
        <w:rPr/>
        <w:t>0.2%</w:t>
      </w:r>
      <w:r>
        <w:rPr/>
        <w:t>。收入贡献小不意味着资本损失小：项目已经投入设施和长期资产。研究要把未来收入减少与投资资产损失分别评估，不能依据</w:t>
      </w:r>
      <w:r>
        <w:rPr/>
        <w:t>0.2%</w:t>
      </w:r>
      <w:r>
        <w:rPr/>
        <w:t>就断言对股东价值没有重要影响。</w:t>
      </w:r>
    </w:p>
    <w:p>
      <w:pPr>
        <w:pStyle w:val="Normal"/>
        <w:rPr/>
      </w:pPr>
      <w:r>
        <w:rPr/>
        <w:t>公司在建设中认为</w:t>
      </w:r>
      <w:r>
        <w:rPr/>
        <w:t>B30</w:t>
      </w:r>
      <w:r>
        <w:rPr/>
        <w:t>前期报批可能存在影响预期用途的合规问题，并与出租方协商；五月十一日收到对方单方解除一揽子协议通知、要求搬离，六月五日董事会决定终止以减少风险。上述为上市公司公告所述，本章未获得对方全部合同和司法判决。不能把公司陈述直接写成对方违法事实，也不能以解除通知推断其他客户已经停止全部合作。争议、经营和合同范围应限定到已披露项目。</w:t>
      </w:r>
    </w:p>
    <w:p>
      <w:pPr>
        <w:pStyle w:val="Normal"/>
        <w:rPr/>
      </w:pPr>
      <w:r>
        <w:rPr/>
        <w:t>六月五日原测算减值</w:t>
      </w:r>
      <w:r>
        <w:rPr/>
        <w:t>330</w:t>
      </w:r>
      <w:r>
        <w:rPr/>
        <w:t>至</w:t>
      </w:r>
      <w:r>
        <w:rPr/>
        <w:t>400</w:t>
      </w:r>
      <w:r>
        <w:rPr/>
        <w:t>百万元，之后中报正式确认相关损失，初估与实际需要分别保存。中报终止经营净亏</w:t>
      </w:r>
      <w:r>
        <w:rPr/>
        <w:t>347.38</w:t>
      </w:r>
      <w:r>
        <w:rPr/>
        <w:t>百万元，包含项目收入</w:t>
      </w:r>
      <w:r>
        <w:rPr/>
        <w:t>7.56</w:t>
      </w:r>
      <w:r>
        <w:rPr/>
        <w:t>百万元、成本费用</w:t>
      </w:r>
      <w:r>
        <w:rPr/>
        <w:t>355.28</w:t>
      </w:r>
      <w:r>
        <w:rPr/>
        <w:t>百万元以及税项，并非所有终止亏损都是单一资产减值。集团全部资产减值</w:t>
      </w:r>
      <w:r>
        <w:rPr/>
        <w:t>339.49</w:t>
      </w:r>
      <w:r>
        <w:rPr/>
        <w:t>百万元还包含库存等，不能把整个科目归为海外基地。本章持续利润剥离终止经营净亏，不简单把全部资产减值加回法定归母，避免错误正常化。</w:t>
      </w:r>
    </w:p>
    <w:p>
      <w:pPr>
        <w:pStyle w:val="Normal"/>
        <w:rPr/>
      </w:pPr>
      <w:r>
        <w:rPr/>
        <w:t>持续集团净利</w:t>
      </w:r>
      <w:r>
        <w:rPr/>
        <w:t>92.3277</w:t>
      </w:r>
      <w:r>
        <w:rPr/>
        <w:t>百万元减少数净损益负</w:t>
      </w:r>
      <w:r>
        <w:rPr/>
        <w:t>30.8548</w:t>
      </w:r>
      <w:r>
        <w:rPr/>
        <w:t>百万元，得持续归母</w:t>
      </w:r>
      <w:r>
        <w:rPr/>
        <w:t>123.1825</w:t>
      </w:r>
      <w:r>
        <w:rPr/>
        <w:t>百万元；另一桥为法定归母负</w:t>
      </w:r>
      <w:r>
        <w:rPr/>
        <w:t>224.2018</w:t>
      </w:r>
      <w:r>
        <w:rPr/>
        <w:t>百万元减终止归母负</w:t>
      </w:r>
      <w:r>
        <w:rPr/>
        <w:t>347.3843</w:t>
      </w:r>
      <w:r>
        <w:rPr/>
        <w:t>百万元，结果一致。这个</w:t>
      </w:r>
      <w:r>
        <w:rPr/>
        <w:t>123.18</w:t>
      </w:r>
      <w:r>
        <w:rPr/>
        <w:t>百万元尚含非经常项目，不能标成持续扣非。法定扣非负</w:t>
      </w:r>
      <w:r>
        <w:rPr/>
        <w:t>246.83</w:t>
      </w:r>
      <w:r>
        <w:rPr/>
        <w:t>百万元与归母差</w:t>
      </w:r>
      <w:r>
        <w:rPr/>
        <w:t>22.63</w:t>
      </w:r>
      <w:r>
        <w:rPr/>
        <w:t>百万元，包含关税退回、金融、政府补助和处置等。持续经营、归母和扣非三个概念必须分开使用，不能把较好值替代全部指标。</w:t>
      </w:r>
    </w:p>
    <w:p>
      <w:pPr>
        <w:pStyle w:val="Normal"/>
        <w:rPr/>
      </w:pPr>
      <w:r>
        <w:rPr/>
        <w:t>退出资产按照可回收金额评估，在建工程中报单项账面</w:t>
      </w:r>
      <w:r>
        <w:rPr/>
        <w:t>305.56</w:t>
      </w:r>
      <w:r>
        <w:rPr/>
        <w:t>百万元、可回收</w:t>
      </w:r>
      <w:r>
        <w:rPr/>
        <w:t>64.62</w:t>
      </w:r>
      <w:r>
        <w:rPr/>
        <w:t>百万元、减值</w:t>
      </w:r>
      <w:r>
        <w:rPr/>
        <w:t>240.94</w:t>
      </w:r>
      <w:r>
        <w:rPr/>
        <w:t>百万元，尚有其他资产减值。可回收是评估值，不是已经收取处置现金，不应同时加入现金余额和额外股价附加。公司计划市场化处理、可能收回部分款项，但仍有时点与处置成本。若回款仅实现已在账面保留价值，也不应把全部到账再当新增纯利润，本章未对未兑现回收加溢价。</w:t>
      </w:r>
    </w:p>
    <w:p>
      <w:pPr>
        <w:pStyle w:val="Normal"/>
        <w:rPr/>
      </w:pPr>
      <w:r>
        <w:rPr/>
        <w:t>公司保留向诺华子公司索赔权利，并认为对方服务费及损失请求缺乏依据，已经驳回；这属于公司法律立场，不是最后裁判。本章未给胜诉概率、赔偿额或年份，不把潜在索赔填入年底或长期价格。若后续达成可执行和解且公开到账，可区分一次现金收益与长期业务关系影响；若出现额外承担费用或争议成本，应加入下行。用法律权利的存在抵消全部经济损失，缺乏可验证依据。</w:t>
      </w:r>
    </w:p>
    <w:p>
      <w:pPr>
        <w:pStyle w:val="Normal"/>
        <w:rPr/>
      </w:pPr>
      <w:r>
        <w:rPr/>
        <w:t>退出减少未来无效投入，有助资本纪律，但不能追溯消除先前资金损失。海外设施安排涉及土地、租赁、审批、客户和多法域规则，对方体系服务不替代博腾自身可用性验证。长期质量评分需看未来如何约束大型项目预算、合同权利与投资前许可，而不仅是停止后说风险可控。若主业成长再次被海外或新领域建设拖累，长期</w:t>
      </w:r>
      <w:r>
        <w:rPr/>
        <w:t>EPS</w:t>
      </w:r>
      <w:r>
        <w:rPr/>
        <w:t>与倍数都应削减；一次明确退出可作为调整信号，却不是永不重复的保证。</w:t>
      </w:r>
    </w:p>
    <w:p>
      <w:pPr>
        <w:pStyle w:val="Heading2"/>
        <w:rPr/>
      </w:pPr>
      <w:r>
        <w:rPr>
          <w:color w:val="000000"/>
        </w:rPr>
        <w:t>财务历史 费用与资本回报</w:t>
      </w:r>
    </w:p>
    <w:p>
      <w:pPr>
        <w:pStyle w:val="Normal"/>
        <w:rPr/>
      </w:pPr>
      <w:r>
        <w:rPr/>
        <w:t>2023</w:t>
      </w:r>
      <w:r>
        <w:rPr/>
        <w:t>年至</w:t>
      </w:r>
      <w:r>
        <w:rPr/>
        <w:t>2025</w:t>
      </w:r>
      <w:r>
        <w:rPr/>
        <w:t>年收入</w:t>
      </w:r>
      <w:r>
        <w:rPr/>
        <w:t>3667.42</w:t>
      </w:r>
      <w:r>
        <w:rPr/>
        <w:t>、</w:t>
      </w:r>
      <w:r>
        <w:rPr/>
        <w:t>3011.97</w:t>
      </w:r>
      <w:r>
        <w:rPr/>
        <w:t>、</w:t>
      </w:r>
      <w:r>
        <w:rPr/>
        <w:t>3419.83</w:t>
      </w:r>
      <w:r>
        <w:rPr/>
        <w:t>百万元，归母</w:t>
      </w:r>
      <w:r>
        <w:rPr/>
        <w:t>266.86</w:t>
      </w:r>
      <w:r>
        <w:rPr/>
        <w:t>、负</w:t>
      </w:r>
      <w:r>
        <w:rPr/>
        <w:t>287.75</w:t>
      </w:r>
      <w:r>
        <w:rPr/>
        <w:t>、</w:t>
      </w:r>
      <w:r>
        <w:rPr/>
        <w:t>96.34</w:t>
      </w:r>
      <w:r>
        <w:rPr/>
        <w:t>百万元，扣非</w:t>
      </w:r>
      <w:r>
        <w:rPr/>
        <w:t>247.99</w:t>
      </w:r>
      <w:r>
        <w:rPr/>
        <w:t>、负</w:t>
      </w:r>
      <w:r>
        <w:rPr/>
        <w:t>272.15</w:t>
      </w:r>
      <w:r>
        <w:rPr/>
        <w:t>、</w:t>
      </w:r>
      <w:r>
        <w:rPr/>
        <w:t>58.77</w:t>
      </w:r>
      <w:r>
        <w:rPr/>
        <w:t>百万元。</w:t>
      </w:r>
      <w:r>
        <w:rPr/>
        <w:t>2025</w:t>
      </w:r>
      <w:r>
        <w:rPr/>
        <w:t>年恢复收入和盈利，但规模仍低于</w:t>
      </w:r>
      <w:r>
        <w:rPr/>
        <w:t>2023</w:t>
      </w:r>
      <w:r>
        <w:rPr/>
        <w:t>，盈利更未完全恢复。周期高峰的特殊订单不能在缺乏可持续证据时直接成为目标正常利润。三年模型要求更广商业化组合而非仅等待一笔历史大单重现，历史的先降后升也说明业务对订单和资产利用敏感。</w:t>
      </w:r>
    </w:p>
    <w:p>
      <w:pPr>
        <w:pStyle w:val="Normal"/>
        <w:rPr/>
      </w:pPr>
      <w:r>
        <w:rPr/>
        <w:t>2025</w:t>
      </w:r>
      <w:r>
        <w:rPr/>
        <w:t>年总毛利接近</w:t>
      </w:r>
      <w:r>
        <w:rPr/>
        <w:t>30%</w:t>
      </w:r>
      <w:r>
        <w:rPr/>
        <w:t>，小分子</w:t>
      </w:r>
      <w:r>
        <w:rPr/>
        <w:t>38.39%</w:t>
      </w:r>
      <w:r>
        <w:rPr/>
        <w:t>，国外</w:t>
      </w:r>
      <w:r>
        <w:rPr/>
        <w:t>40.88%</w:t>
      </w:r>
      <w:r>
        <w:rPr/>
        <w:t>，国内</w:t>
      </w:r>
      <w:r>
        <w:rPr/>
        <w:t>6.43%</w:t>
      </w:r>
      <w:r>
        <w:rPr/>
        <w:t>；上半年总</w:t>
      </w:r>
      <w:r>
        <w:rPr/>
        <w:t>32.23%</w:t>
      </w:r>
      <w:r>
        <w:rPr/>
        <w:t>左右、小分子</w:t>
      </w:r>
      <w:r>
        <w:rPr/>
        <w:t>39.58%</w:t>
      </w:r>
      <w:r>
        <w:rPr/>
        <w:t>、国外</w:t>
      </w:r>
      <w:r>
        <w:rPr/>
        <w:t>44.57%</w:t>
      </w:r>
      <w:r>
        <w:rPr/>
        <w:t>、国内负</w:t>
      </w:r>
      <w:r>
        <w:rPr/>
        <w:t>0.03%</w:t>
      </w:r>
      <w:r>
        <w:rPr/>
        <w:t>。国内仍受新业务亏损拖累，即使小分子国内毛利改善也不能掩盖新设施。国外高毛利与占比约</w:t>
      </w:r>
      <w:r>
        <w:rPr/>
        <w:t>72.35%</w:t>
      </w:r>
      <w:r>
        <w:rPr/>
        <w:t>支持利润恢复，却也增加外汇和贸易暴露。集团净利不是较高海外毛利直接乘总收入，销售、研发、管理、质量与利息仍需承担。</w:t>
      </w:r>
    </w:p>
    <w:p>
      <w:pPr>
        <w:pStyle w:val="Normal"/>
        <w:rPr/>
      </w:pPr>
      <w:r>
        <w:rPr/>
        <w:t>上半年销售费用</w:t>
      </w:r>
      <w:r>
        <w:rPr/>
        <w:t>116.10</w:t>
      </w:r>
      <w:r>
        <w:rPr/>
        <w:t>百万元、同比</w:t>
      </w:r>
      <w:r>
        <w:rPr/>
        <w:t>44.84%</w:t>
      </w:r>
      <w:r>
        <w:rPr/>
        <w:t>，管理</w:t>
      </w:r>
      <w:r>
        <w:rPr/>
        <w:t>200.55</w:t>
      </w:r>
      <w:r>
        <w:rPr/>
        <w:t>百万元、增长</w:t>
      </w:r>
      <w:r>
        <w:rPr/>
        <w:t>15.02%</w:t>
      </w:r>
      <w:r>
        <w:rPr/>
        <w:t>，研发</w:t>
      </w:r>
      <w:r>
        <w:rPr/>
        <w:t>106.14</w:t>
      </w:r>
      <w:r>
        <w:rPr/>
        <w:t>百万元、下降</w:t>
      </w:r>
      <w:r>
        <w:rPr/>
        <w:t>19.29%</w:t>
      </w:r>
      <w:r>
        <w:rPr/>
        <w:t>，财务</w:t>
      </w:r>
      <w:r>
        <w:rPr/>
        <w:t>17.75</w:t>
      </w:r>
      <w:r>
        <w:rPr/>
        <w:t>百万元、下降</w:t>
      </w:r>
      <w:r>
        <w:rPr/>
        <w:t>54.96%</w:t>
      </w:r>
      <w:r>
        <w:rPr/>
        <w:t>。销售加大开发支持新客户，也会在订单未兑现前压利润。研发下降与项目组合和内部效率相关，不能全部解释为</w:t>
      </w:r>
      <w:r>
        <w:rPr/>
        <w:t>AI</w:t>
      </w:r>
      <w:r>
        <w:rPr/>
        <w:t>替代人员；公司仍需技术团队保持质量与未来业务。净利改善应由收入结构和全部费用一起验证，不能只讲毛利上行而忽略新市场投入。</w:t>
      </w:r>
    </w:p>
    <w:p>
      <w:pPr>
        <w:pStyle w:val="Normal"/>
        <w:rPr/>
      </w:pPr>
      <w:r>
        <w:rPr/>
        <w:t>新激励首授测算费用</w:t>
      </w:r>
      <w:r>
        <w:rPr/>
        <w:t>169.56</w:t>
      </w:r>
      <w:r>
        <w:rPr/>
        <w:t>百万元，年度</w:t>
      </w:r>
      <w:r>
        <w:rPr/>
        <w:t>2026</w:t>
      </w:r>
      <w:r>
        <w:rPr/>
        <w:t>约</w:t>
      </w:r>
      <w:r>
        <w:rPr/>
        <w:t>26.16</w:t>
      </w:r>
      <w:r>
        <w:rPr/>
        <w:t>、</w:t>
      </w:r>
      <w:r>
        <w:rPr/>
        <w:t>2027</w:t>
      </w:r>
      <w:r>
        <w:rPr/>
        <w:t>约</w:t>
      </w:r>
      <w:r>
        <w:rPr/>
        <w:t>75.47</w:t>
      </w:r>
      <w:r>
        <w:rPr/>
        <w:t>、</w:t>
      </w:r>
      <w:r>
        <w:rPr/>
        <w:t>2028</w:t>
      </w:r>
      <w:r>
        <w:rPr/>
        <w:t>约</w:t>
      </w:r>
      <w:r>
        <w:rPr/>
        <w:t>39.77</w:t>
      </w:r>
      <w:r>
        <w:rPr/>
        <w:t>、</w:t>
      </w:r>
      <w:r>
        <w:rPr/>
        <w:t>2029</w:t>
      </w:r>
      <w:r>
        <w:rPr/>
        <w:t>约</w:t>
      </w:r>
      <w:r>
        <w:rPr/>
        <w:t>20.67</w:t>
      </w:r>
      <w:r>
        <w:rPr/>
        <w:t>、</w:t>
      </w:r>
      <w:r>
        <w:rPr/>
        <w:t>2030</w:t>
      </w:r>
      <w:r>
        <w:rPr/>
        <w:t>约</w:t>
      </w:r>
      <w:r>
        <w:rPr/>
        <w:t>7.49</w:t>
      </w:r>
      <w:r>
        <w:rPr/>
        <w:t>百万元，并在经常损益列支。</w:t>
      </w:r>
      <w:r>
        <w:rPr/>
        <w:t>2027</w:t>
      </w:r>
      <w:r>
        <w:rPr/>
        <w:t>较大费用相对于当前正常利润不能忽略，非现金并不等于股东没有成本。本章一年基准目标利润已扣相关近似费用，另列税后敏感桥；若用券商调整净利忽略激励，再按未来稀释股数评估，需要明确不同口径，不能把调整</w:t>
      </w:r>
      <w:r>
        <w:rPr/>
        <w:t>EPS</w:t>
      </w:r>
      <w:r>
        <w:rPr/>
        <w:t>与法定倍数混用。</w:t>
      </w:r>
    </w:p>
    <w:p>
      <w:pPr>
        <w:pStyle w:val="Normal"/>
        <w:rPr/>
      </w:pPr>
      <w:r>
        <w:rPr/>
        <w:t>银行和租赁利息上半年合计</w:t>
      </w:r>
      <w:r>
        <w:rPr/>
        <w:t>21.19</w:t>
      </w:r>
      <w:r>
        <w:rPr/>
        <w:t>百万元，其中租赁</w:t>
      </w:r>
      <w:r>
        <w:rPr/>
        <w:t>11.64</w:t>
      </w:r>
      <w:r>
        <w:rPr/>
        <w:t>百万元，银行约</w:t>
      </w:r>
      <w:r>
        <w:rPr/>
        <w:t>9.55</w:t>
      </w:r>
      <w:r>
        <w:rPr/>
        <w:t>百万元。公司降低银行债与融资成本改善财务费用，也受到净汇兑和现金利息影响，财务费用下降不能全部归为降息。租赁、使用权折旧与长期待摊摊销属于产能经营的一部分，不能为了得到更高利润把租赁成本或相关折旧全部永久加回。资本密集企业最终要用回款覆盖设施维持，而不是仅创造漂亮的</w:t>
      </w:r>
      <w:r>
        <w:rPr/>
        <w:t>EBITDA</w:t>
      </w:r>
      <w:r>
        <w:rPr/>
        <w:t>。</w:t>
      </w:r>
    </w:p>
    <w:p>
      <w:pPr>
        <w:pStyle w:val="Normal"/>
        <w:rPr/>
      </w:pPr>
      <w:r>
        <w:rPr/>
        <w:t>2025</w:t>
      </w:r>
      <w:r>
        <w:rPr/>
        <w:t>年加权净资产收益</w:t>
      </w:r>
      <w:r>
        <w:rPr/>
        <w:t>1.83%</w:t>
      </w:r>
      <w:r>
        <w:rPr/>
        <w:t>，上半年法定负</w:t>
      </w:r>
      <w:r>
        <w:rPr/>
        <w:t>4.29%</w:t>
      </w:r>
      <w:r>
        <w:rPr/>
        <w:t>，持续盈利恢复尚未表现为高资本回报。固定资产</w:t>
      </w:r>
      <w:r>
        <w:rPr/>
        <w:t>2715.61</w:t>
      </w:r>
      <w:r>
        <w:rPr/>
        <w:t>百万元、使用权</w:t>
      </w:r>
      <w:r>
        <w:rPr/>
        <w:t>451.78</w:t>
      </w:r>
      <w:r>
        <w:rPr/>
        <w:t>百万元、长期待摊</w:t>
      </w:r>
      <w:r>
        <w:rPr/>
        <w:t>357.38</w:t>
      </w:r>
      <w:r>
        <w:rPr/>
        <w:t>百万元，资产基数大。目标三年</w:t>
      </w:r>
      <w:r>
        <w:rPr/>
        <w:t>15%</w:t>
      </w:r>
      <w:r>
        <w:rPr/>
        <w:t>左右净利率需要利用率与投入纪律明显改善，不能只靠收入增长维持。若营收增加但闲置和减值重复，资本回报可能低于资金成本，高估值成长叙事缺乏支撑。模型长期评分有较高增长值，同时保留财务治理不足的减分。</w:t>
      </w:r>
    </w:p>
    <w:p>
      <w:pPr>
        <w:pStyle w:val="Normal"/>
        <w:rPr/>
      </w:pPr>
      <w:r>
        <w:rPr/>
        <w:t>所得税上半年</w:t>
      </w:r>
      <w:r>
        <w:rPr/>
        <w:t>31.80</w:t>
      </w:r>
      <w:r>
        <w:rPr/>
        <w:t>百万元，税前却亏</w:t>
      </w:r>
      <w:r>
        <w:rPr/>
        <w:t>223.25</w:t>
      </w:r>
      <w:r>
        <w:rPr/>
        <w:t>百万元，原因包括境内外不同税率与未确认税务资产的损失，不能简单按集团亏损推导税收现金返还。中报未确认可抵扣亏损和暂时差异影响较大，税收资产可回收依赖未来应税盈利。情景中的</w:t>
      </w:r>
      <w:r>
        <w:rPr/>
        <w:t>15%</w:t>
      </w:r>
      <w:r>
        <w:rPr/>
        <w:t>仅用于股份支付税后敏感示意，目标归母并未宣称所有子公司永远按同一税率。若海外亏损不可抵扣或优惠改变，盈利预测需要另行反映。</w:t>
      </w:r>
    </w:p>
    <w:p>
      <w:pPr>
        <w:pStyle w:val="Heading2"/>
        <w:rPr/>
      </w:pPr>
      <w:r>
        <w:rPr>
          <w:color w:val="000000"/>
        </w:rPr>
        <w:t>现金流 资产与融资实际负担</w:t>
      </w:r>
    </w:p>
    <w:p>
      <w:pPr>
        <w:pStyle w:val="Normal"/>
        <w:rPr/>
      </w:pPr>
      <w:r>
        <w:rPr/>
        <w:t>经营现金上半年</w:t>
      </w:r>
      <w:r>
        <w:rPr/>
        <w:t>305.70</w:t>
      </w:r>
      <w:r>
        <w:rPr/>
        <w:t>百万元、增长</w:t>
      </w:r>
      <w:r>
        <w:rPr/>
        <w:t>22.19%</w:t>
      </w:r>
      <w:r>
        <w:rPr/>
        <w:t>，长期资产购建</w:t>
      </w:r>
      <w:r>
        <w:rPr/>
        <w:t>48.72</w:t>
      </w:r>
      <w:r>
        <w:rPr/>
        <w:t>百万元，简单自由现金</w:t>
      </w:r>
      <w:r>
        <w:rPr/>
        <w:t>256.98</w:t>
      </w:r>
      <w:r>
        <w:rPr/>
        <w:t>百万元。与亏损报表相比，经营现金较强，但现金桥包含资产减值、折旧、应收回收和资金释放，不能直接把</w:t>
      </w:r>
      <w:r>
        <w:rPr/>
        <w:t>305.70</w:t>
      </w:r>
      <w:r>
        <w:rPr/>
        <w:t>百万元当纯经营净利润。减值加回只是确认非现金本期损失，过去的建设款没有因此收回。短期资本开支下降提高简单自由现金，也需检验是否可长期维持还是暂时停止大项目造成。</w:t>
      </w:r>
    </w:p>
    <w:p>
      <w:pPr>
        <w:pStyle w:val="Normal"/>
        <w:rPr/>
      </w:pPr>
      <w:r>
        <w:rPr/>
        <w:t>其他经营现金收入含</w:t>
      </w:r>
      <w:r>
        <w:rPr/>
        <w:t>89.64</w:t>
      </w:r>
      <w:r>
        <w:rPr/>
        <w:t>百万元经营质押定期存款收回，此外还包括补助、保证金和利息。若只扣这项释放，经营现金约</w:t>
      </w:r>
      <w:r>
        <w:rPr/>
        <w:t>216.07</w:t>
      </w:r>
      <w:r>
        <w:rPr/>
        <w:t>百万元，简单自由现金约</w:t>
      </w:r>
      <w:r>
        <w:rPr/>
        <w:t>167.34</w:t>
      </w:r>
      <w:r>
        <w:rPr/>
        <w:t>百万元，仍正但低于报表。这是单项敏感并非完整正常化，未统一剔除所有税费返还、保证金或一次现金项目。评价现金质量应同时展示两值和来源，而不靠最有利的会计分类证明所有利润都已高质量现金化。</w:t>
      </w:r>
    </w:p>
    <w:p>
      <w:pPr>
        <w:pStyle w:val="Normal"/>
        <w:rPr/>
      </w:pPr>
      <w:r>
        <w:rPr/>
        <w:t>2025</w:t>
      </w:r>
      <w:r>
        <w:rPr/>
        <w:t>年经营现金</w:t>
      </w:r>
      <w:r>
        <w:rPr/>
        <w:t>757.01</w:t>
      </w:r>
      <w:r>
        <w:rPr/>
        <w:t>百万元，长期购建</w:t>
      </w:r>
      <w:r>
        <w:rPr/>
        <w:t>292.57</w:t>
      </w:r>
      <w:r>
        <w:rPr/>
        <w:t>百万元，简单自由现金</w:t>
      </w:r>
      <w:r>
        <w:rPr/>
        <w:t>464.45</w:t>
      </w:r>
      <w:r>
        <w:rPr/>
        <w:t>百万元；</w:t>
      </w:r>
      <w:r>
        <w:rPr/>
        <w:t>2024</w:t>
      </w:r>
      <w:r>
        <w:rPr/>
        <w:t>年经营</w:t>
      </w:r>
      <w:r>
        <w:rPr/>
        <w:t>405.53</w:t>
      </w:r>
      <w:r>
        <w:rPr/>
        <w:t>百万元，</w:t>
      </w:r>
      <w:r>
        <w:rPr/>
        <w:t>2023</w:t>
      </w:r>
      <w:r>
        <w:rPr/>
        <w:t>年</w:t>
      </w:r>
      <w:r>
        <w:rPr/>
        <w:t>629.06</w:t>
      </w:r>
      <w:r>
        <w:rPr/>
        <w:t>百万元。</w:t>
      </w:r>
      <w:r>
        <w:rPr/>
        <w:t>2025</w:t>
      </w:r>
      <w:r>
        <w:rPr/>
        <w:t>年第四季度现金</w:t>
      </w:r>
      <w:r>
        <w:rPr/>
        <w:t>381.88</w:t>
      </w:r>
      <w:r>
        <w:rPr/>
        <w:t>百万元占全年较大，收付款并非均匀分布。未来模型不能把半年回款乘二保证稳定现金，尤其订单交付、税费退回和设施付款存在时点差。新增产业基金投入、回购或偿债还需从自由现金进一步分配，不能把同一资金全部用于多个目的。</w:t>
      </w:r>
    </w:p>
    <w:p>
      <w:pPr>
        <w:pStyle w:val="Normal"/>
        <w:rPr/>
      </w:pPr>
      <w:r>
        <w:rPr/>
        <w:t>六月货币资金</w:t>
      </w:r>
      <w:r>
        <w:rPr/>
        <w:t>840.19</w:t>
      </w:r>
      <w:r>
        <w:rPr/>
        <w:t>百万元，可支付现金</w:t>
      </w:r>
      <w:r>
        <w:rPr/>
        <w:t>823.50</w:t>
      </w:r>
      <w:r>
        <w:rPr/>
        <w:t>百万元，受限</w:t>
      </w:r>
      <w:r>
        <w:rPr/>
        <w:t>16.69</w:t>
      </w:r>
      <w:r>
        <w:rPr/>
        <w:t>百万元；受限包括证券投资款</w:t>
      </w:r>
      <w:r>
        <w:rPr/>
        <w:t>16.22</w:t>
      </w:r>
      <w:r>
        <w:rPr/>
        <w:t>百万元及冻结银行</w:t>
      </w:r>
      <w:r>
        <w:rPr/>
        <w:t>0.47</w:t>
      </w:r>
      <w:r>
        <w:rPr/>
        <w:t>百万元。年初受限</w:t>
      </w:r>
      <w:r>
        <w:rPr/>
        <w:t>104.87</w:t>
      </w:r>
      <w:r>
        <w:rPr/>
        <w:t>百万元较大，部分释放对现金流有影响。交易性金融</w:t>
      </w:r>
      <w:r>
        <w:rPr/>
        <w:t>297.44</w:t>
      </w:r>
      <w:r>
        <w:rPr/>
        <w:t>百万元和非流动金融</w:t>
      </w:r>
      <w:r>
        <w:rPr/>
        <w:t>103.96</w:t>
      </w:r>
      <w:r>
        <w:rPr/>
        <w:t>百万元不全等同现金，应按期限、信用与公允价值区分。价格锚十月，但这些余额为六月，不能称截至十月实际现金；九月激励到账</w:t>
      </w:r>
      <w:r>
        <w:rPr/>
        <w:t>10.715</w:t>
      </w:r>
      <w:r>
        <w:rPr/>
        <w:t>百万元亦不能直接与六月余额相加当精确最新净现金。</w:t>
      </w:r>
    </w:p>
    <w:p>
      <w:pPr>
        <w:pStyle w:val="Normal"/>
        <w:rPr/>
      </w:pPr>
      <w:r>
        <w:rPr/>
        <w:t>银行债本金含短期与当前约</w:t>
      </w:r>
      <w:r>
        <w:rPr/>
        <w:t>749.40</w:t>
      </w:r>
      <w:r>
        <w:rPr/>
        <w:t>百万元，另有应计息</w:t>
      </w:r>
      <w:r>
        <w:rPr/>
        <w:t>0.034</w:t>
      </w:r>
      <w:r>
        <w:rPr/>
        <w:t>百万元，租赁含当前</w:t>
      </w:r>
      <w:r>
        <w:rPr/>
        <w:t>532.58</w:t>
      </w:r>
      <w:r>
        <w:rPr/>
        <w:t>百万元。只看</w:t>
      </w:r>
      <w:r>
        <w:rPr/>
        <w:t>493.59</w:t>
      </w:r>
      <w:r>
        <w:rPr/>
        <w:t>百万元长期借款会漏掉当前</w:t>
      </w:r>
      <w:r>
        <w:rPr/>
        <w:t>245.81</w:t>
      </w:r>
      <w:r>
        <w:rPr/>
        <w:t>百万元，现金减债若忽略租赁也会给过高净现金印象。现金</w:t>
      </w:r>
      <w:r>
        <w:rPr/>
        <w:t>823.50</w:t>
      </w:r>
      <w:r>
        <w:rPr/>
        <w:t>百万元减银行约</w:t>
      </w:r>
      <w:r>
        <w:rPr/>
        <w:t>74.10</w:t>
      </w:r>
      <w:r>
        <w:rPr/>
        <w:t>百万元正余额，若再减租赁则约负</w:t>
      </w:r>
      <w:r>
        <w:rPr/>
        <w:t>458.49</w:t>
      </w:r>
      <w:r>
        <w:rPr/>
        <w:t>百万元，尚未加入金融投资。不同净债定义都需注明，不能把较好定义当唯一财务风险结论。</w:t>
      </w:r>
    </w:p>
    <w:p>
      <w:pPr>
        <w:pStyle w:val="Normal"/>
        <w:rPr/>
      </w:pPr>
      <w:r>
        <w:rPr/>
        <w:t>上半年取得银行现金</w:t>
      </w:r>
      <w:r>
        <w:rPr/>
        <w:t>205</w:t>
      </w:r>
      <w:r>
        <w:rPr/>
        <w:t>百万元、偿债</w:t>
      </w:r>
      <w:r>
        <w:rPr/>
        <w:t>375.44</w:t>
      </w:r>
      <w:r>
        <w:rPr/>
        <w:t>百万元，净还款约</w:t>
      </w:r>
      <w:r>
        <w:rPr/>
        <w:t>170.44</w:t>
      </w:r>
      <w:r>
        <w:rPr/>
        <w:t>百万元，租赁现金与股息也消耗资金。筹资现金负</w:t>
      </w:r>
      <w:r>
        <w:rPr/>
        <w:t>367.17</w:t>
      </w:r>
      <w:r>
        <w:rPr/>
        <w:t>百万元、现金净减</w:t>
      </w:r>
      <w:r>
        <w:rPr/>
        <w:t>202.89</w:t>
      </w:r>
      <w:r>
        <w:rPr/>
        <w:t>百万元，与经营正现金并不矛盾。回购</w:t>
      </w:r>
      <w:r>
        <w:rPr/>
        <w:t>83.78</w:t>
      </w:r>
      <w:r>
        <w:rPr/>
        <w:t>百万元也从公司现金支出，资金用途是股东分配或资本结构调整，不能当利润费用又全部加回经营收益。减债与回购可能改善每股价值，但只在资产现金回报足以支持时，不能保证价格不会下降。</w:t>
      </w:r>
    </w:p>
    <w:p>
      <w:pPr>
        <w:pStyle w:val="Normal"/>
        <w:rPr/>
      </w:pPr>
      <w:r>
        <w:rPr/>
        <w:t>库存</w:t>
      </w:r>
      <w:r>
        <w:rPr/>
        <w:t>851.20</w:t>
      </w:r>
      <w:r>
        <w:rPr/>
        <w:t>百万元、较年初</w:t>
      </w:r>
      <w:r>
        <w:rPr/>
        <w:t>770.38</w:t>
      </w:r>
      <w:r>
        <w:rPr/>
        <w:t>百万元增，应收</w:t>
      </w:r>
      <w:r>
        <w:rPr/>
        <w:t>762.46</w:t>
      </w:r>
      <w:r>
        <w:rPr/>
        <w:t>百万元基本持平；经营现金调节库存消耗</w:t>
      </w:r>
      <w:r>
        <w:rPr/>
        <w:t>89.93</w:t>
      </w:r>
      <w:r>
        <w:rPr/>
        <w:t>百万元、经营应收释放</w:t>
      </w:r>
      <w:r>
        <w:rPr/>
        <w:t>103.83</w:t>
      </w:r>
      <w:r>
        <w:rPr/>
        <w:t>百万元。库存增长可能为订单准备，也可能积压，需产品阶段和合同验证。临床客户停止项目时，定制中间体难转售给其他客户，存货跌价</w:t>
      </w:r>
      <w:r>
        <w:rPr/>
        <w:t>9.12</w:t>
      </w:r>
      <w:r>
        <w:rPr/>
        <w:t>百万元属于正常风险，不因海外减值大就忽略。未来基准收入增长需要库存最终交付并回款，不能以库存高解释全部未来收入已经确定。</w:t>
      </w:r>
    </w:p>
    <w:p>
      <w:pPr>
        <w:pStyle w:val="Normal"/>
        <w:rPr/>
      </w:pPr>
      <w:r>
        <w:rPr/>
        <w:t>商誉</w:t>
      </w:r>
      <w:r>
        <w:rPr/>
        <w:t>287.11</w:t>
      </w:r>
      <w:r>
        <w:rPr/>
        <w:t>百万元、长股</w:t>
      </w:r>
      <w:r>
        <w:rPr/>
        <w:t>296.91</w:t>
      </w:r>
      <w:r>
        <w:rPr/>
        <w:t>百万元、非流动金融</w:t>
      </w:r>
      <w:r>
        <w:rPr/>
        <w:t>103.96</w:t>
      </w:r>
      <w:r>
        <w:rPr/>
        <w:t>百万元分别代表不同投资资产，不能全部称现金储备。参股润生净资产负数部分与其投资款回购义务负债分类有关，中报已说明，不能只因负净资产就断言投资立刻全损；也不能忽略高商誉和权属复杂性。上半年权益法收益</w:t>
      </w:r>
      <w:r>
        <w:rPr/>
        <w:t>2.22</w:t>
      </w:r>
      <w:r>
        <w:rPr/>
        <w:t>百万元对利润有限，未来应按真实分配和减值评估，不能给参股研发管线全部终端价值后又保留投资账面值重复计算。</w:t>
      </w:r>
    </w:p>
    <w:p>
      <w:pPr>
        <w:pStyle w:val="Heading2"/>
        <w:rPr/>
      </w:pPr>
      <w:r>
        <w:rPr>
          <w:color w:val="000000"/>
        </w:rPr>
        <w:t>少数股东 内部支持与治理风险</w:t>
      </w:r>
    </w:p>
    <w:p>
      <w:pPr>
        <w:pStyle w:val="Normal"/>
        <w:rPr/>
      </w:pPr>
      <w:r>
        <w:rPr/>
        <w:t>五月十四日公司决定由全资江西子公司向苏州生物提供不超过</w:t>
      </w:r>
      <w:r>
        <w:rPr/>
        <w:t>50</w:t>
      </w:r>
      <w:r>
        <w:rPr/>
        <w:t>百万元财务资助、两年期、利率一年期贷款报价利率加</w:t>
      </w:r>
      <w:r>
        <w:rPr/>
        <w:t>0.9</w:t>
      </w:r>
      <w:r>
        <w:rPr/>
        <w:t>个百分点，其他股东未按比例支持。集团内部借款在合并抵销，不会凭内部收息提高全集团利润，也不产生外部新增现金，但实际现金和风险由全资实体提供，需要考虑少数股东共享未来收益的安排。持股</w:t>
      </w:r>
      <w:r>
        <w:rPr/>
        <w:t>42.78%</w:t>
      </w:r>
      <w:r>
        <w:rPr/>
        <w:t>而承担全额资金支持体现资本选择，不能只按比例估计最大现金负担。</w:t>
      </w:r>
    </w:p>
    <w:p>
      <w:pPr>
        <w:pStyle w:val="Normal"/>
        <w:rPr/>
      </w:pPr>
      <w:r>
        <w:rPr/>
        <w:t>原公告拟定协议一节的“贷款人”和“借款人”名称与前文支持方向不一致，本章按整体实质保存江西支持苏州，并明示合同原件未核，不据该文字推导反向债权或外部收益。公告称控股和合并、可管理风险，程序合规不免除回收判断。苏州上半年集团净亏</w:t>
      </w:r>
      <w:r>
        <w:rPr/>
        <w:t>53.92</w:t>
      </w:r>
      <w:r>
        <w:rPr/>
        <w:t>百万元，仍需要资金，财务资助如何到账与归还需后续证据。若全资支持持续增加却未换取更好权利，应降低资本治理分。</w:t>
      </w:r>
    </w:p>
    <w:p>
      <w:pPr>
        <w:pStyle w:val="Normal"/>
        <w:rPr/>
      </w:pPr>
      <w:r>
        <w:rPr/>
        <w:t>九月四日三名一致行动实际控制人合持</w:t>
      </w:r>
      <w:r>
        <w:rPr/>
        <w:t>145.01</w:t>
      </w:r>
      <w:r>
        <w:rPr/>
        <w:t>百万股、</w:t>
      </w:r>
      <w:r>
        <w:rPr/>
        <w:t>26.68%</w:t>
      </w:r>
      <w:r>
        <w:rPr/>
        <w:t>，质押</w:t>
      </w:r>
      <w:r>
        <w:rPr/>
        <w:t>73.426</w:t>
      </w:r>
      <w:r>
        <w:rPr/>
        <w:t>百万股，占其持有</w:t>
      </w:r>
      <w:r>
        <w:rPr/>
        <w:t>50.63%</w:t>
      </w:r>
      <w:r>
        <w:rPr/>
        <w:t>、占总股</w:t>
      </w:r>
      <w:r>
        <w:rPr/>
        <w:t>13.51%</w:t>
      </w:r>
      <w:r>
        <w:rPr/>
        <w:t>。未来半年对应融资余额</w:t>
      </w:r>
      <w:r>
        <w:rPr/>
        <w:t>136.8</w:t>
      </w:r>
      <w:r>
        <w:rPr/>
        <w:t>百万元、一年</w:t>
      </w:r>
      <w:r>
        <w:rPr/>
        <w:t>492.8</w:t>
      </w:r>
      <w:r>
        <w:rPr/>
        <w:t>百万元，属于个人融资而非上市公司债务，不加入企业银行债重复计算。公司称无披露平仓风险，但质押合同阈值和个人偿付资金未完整公开，本章不设精确平仓价格。股票大波动可能影响个人融资与治理，因此对半年风险仍需留意。</w:t>
      </w:r>
    </w:p>
    <w:p>
      <w:pPr>
        <w:pStyle w:val="Normal"/>
        <w:rPr/>
      </w:pPr>
      <w:r>
        <w:rPr/>
        <w:t>同公告同时包含新质押和解除，不能只引用新增</w:t>
      </w:r>
      <w:r>
        <w:rPr/>
        <w:t>16.631</w:t>
      </w:r>
      <w:r>
        <w:rPr/>
        <w:t>百万股称质押不断恶化，而忽略解除</w:t>
      </w:r>
      <w:r>
        <w:rPr/>
        <w:t>16.2685</w:t>
      </w:r>
      <w:r>
        <w:rPr/>
        <w:t>百万股。不同起始、到期和用途都在原表保存，新质押部分是补充或个人借款，未用于上市公司生产。若未来出现强制卖出或控制权变化，交易和治理逻辑会改变；在没有事实时也不能推断已发生。评分反映可见杠杆风险，不把公告中的自查无风险当成未来不会变化的保证。</w:t>
      </w:r>
    </w:p>
    <w:p>
      <w:pPr>
        <w:pStyle w:val="Normal"/>
        <w:rPr/>
      </w:pPr>
      <w:r>
        <w:rPr/>
        <w:t>质量体系和客户审计记录是治理与商业关键，中报称</w:t>
      </w:r>
      <w:r>
        <w:rPr/>
        <w:t>103</w:t>
      </w:r>
      <w:r>
        <w:rPr/>
        <w:t>次质量审计，包括十次官方、九十三次客户及第三方。本章按公司披露，不替代所有监管检查原件，也不把“通过审计”写成监管对全部药品疗效的认可。数据完整性、知识产权、安全环保和工厂能力会影响全球客户续约，一次重大事故可能中断高毛利商业项目。因此长期风险权重需要体现合规持续投入，不能仅在技术章节加分而忽略财务成本。</w:t>
      </w:r>
    </w:p>
    <w:p>
      <w:pPr>
        <w:pStyle w:val="Heading2"/>
        <w:rPr/>
      </w:pPr>
      <w:r>
        <w:rPr>
          <w:color w:val="000000"/>
        </w:rPr>
        <w:t>股数与激励的具体影响</w:t>
      </w:r>
    </w:p>
    <w:p>
      <w:pPr>
        <w:pStyle w:val="Normal"/>
        <w:rPr/>
      </w:pPr>
      <w:r>
        <w:rPr/>
        <w:t>九月三十日公告确认九月二十九日第一类限制性股票</w:t>
      </w:r>
      <w:r>
        <w:rPr/>
        <w:t>97.5</w:t>
      </w:r>
      <w:r>
        <w:rPr/>
        <w:t>万股登记，来源为回购库存股，总股本仍</w:t>
      </w:r>
      <w:r>
        <w:rPr/>
        <w:t>543.442176</w:t>
      </w:r>
      <w:r>
        <w:rPr/>
        <w:t>百万股。认购资金</w:t>
      </w:r>
      <w:r>
        <w:rPr/>
        <w:t>10.71525</w:t>
      </w:r>
      <w:r>
        <w:rPr/>
        <w:t>百万元于九月十四日前收到，库存股成本与认购差调资本公积；这不是新增</w:t>
      </w:r>
      <w:r>
        <w:rPr/>
        <w:t>97.5</w:t>
      </w:r>
      <w:r>
        <w:rPr/>
        <w:t>万股资本发行，也不能把差额直接当营业利润。股份过户增加参与股东权利的流通结构，限售约定仍需满足，未解除前不能按自由流通量处理。</w:t>
      </w:r>
    </w:p>
    <w:p>
      <w:pPr>
        <w:pStyle w:val="Normal"/>
        <w:rPr/>
      </w:pPr>
      <w:r>
        <w:rPr/>
        <w:t>第二类首次</w:t>
      </w:r>
      <w:r>
        <w:rPr/>
        <w:t>1493.5</w:t>
      </w:r>
      <w:r>
        <w:rPr/>
        <w:t>万股按九月十四日授予，另有预留</w:t>
      </w:r>
      <w:r>
        <w:rPr/>
        <w:t>407</w:t>
      </w:r>
      <w:r>
        <w:rPr/>
        <w:t>万股，未来满足条件才定向发行并登记；首授与草案原</w:t>
      </w:r>
      <w:r>
        <w:rPr/>
        <w:t>1534</w:t>
      </w:r>
      <w:r>
        <w:rPr/>
        <w:t>万股不同，最新调整应覆盖旧数量。第一类没有预留，第二类约束按四年各</w:t>
      </w:r>
      <w:r>
        <w:rPr/>
        <w:t>25%</w:t>
      </w:r>
      <w:r>
        <w:rPr/>
        <w:t>归属，个人及公司条件都需满足。本章一年设首授</w:t>
      </w:r>
      <w:r>
        <w:rPr/>
        <w:t>25%</w:t>
      </w:r>
      <w:r>
        <w:rPr/>
        <w:t>、三年</w:t>
      </w:r>
      <w:r>
        <w:rPr/>
        <w:t>75%</w:t>
      </w:r>
      <w:r>
        <w:rPr/>
        <w:t>、五年全部且预留全部为压力假设，不声称实际已发行。归属会收到价格现金但可能改变股息调价，简化模型未完整将未来现金利息收益计入。</w:t>
      </w:r>
    </w:p>
    <w:p>
      <w:pPr>
        <w:pStyle w:val="Normal"/>
        <w:rPr/>
      </w:pPr>
      <w:r>
        <w:rPr/>
        <w:t>九月七日减资公告批准注销</w:t>
      </w:r>
      <w:r>
        <w:rPr/>
        <w:t>677.7619</w:t>
      </w:r>
      <w:r>
        <w:rPr/>
        <w:t>万回购股，完成后股数拟</w:t>
      </w:r>
      <w:r>
        <w:rPr/>
        <w:t>536.664557</w:t>
      </w:r>
      <w:r>
        <w:rPr/>
        <w:t>百万股，通知债权人四十五日程序；九月三十日最新公告仍</w:t>
      </w:r>
      <w:r>
        <w:rPr/>
        <w:t>543.442176</w:t>
      </w:r>
      <w:r>
        <w:rPr/>
        <w:t>百万股。截止日不能把“批准”和“完成”混用，主模型保守不扣这笔未完成注销股份。若未来确实完成，可在同活动模型更新分母，但回购现金已经支付，注销时不能再当收到新现金。股票回购可能改善每股指标，不替代利润恢复和资本投入质量。</w:t>
      </w:r>
    </w:p>
    <w:p>
      <w:pPr>
        <w:pStyle w:val="Normal"/>
        <w:rPr/>
      </w:pPr>
      <w:r>
        <w:rPr/>
        <w:t>激励年度收入门槛</w:t>
      </w:r>
      <w:r>
        <w:rPr/>
        <w:t>2026</w:t>
      </w:r>
      <w:r>
        <w:rPr/>
        <w:t>目标</w:t>
      </w:r>
      <w:r>
        <w:rPr/>
        <w:t>3760</w:t>
      </w:r>
      <w:r>
        <w:rPr/>
        <w:t>、触发</w:t>
      </w:r>
      <w:r>
        <w:rPr/>
        <w:t>3660</w:t>
      </w:r>
      <w:r>
        <w:rPr/>
        <w:t>百万元；之后两年累计</w:t>
      </w:r>
      <w:r>
        <w:rPr/>
        <w:t>7930</w:t>
      </w:r>
      <w:r>
        <w:rPr/>
        <w:t>、三年</w:t>
      </w:r>
      <w:r>
        <w:rPr/>
        <w:t>12600</w:t>
      </w:r>
      <w:r>
        <w:rPr/>
        <w:t>、四年</w:t>
      </w:r>
      <w:r>
        <w:rPr/>
        <w:t>17880</w:t>
      </w:r>
      <w:r>
        <w:rPr/>
        <w:t>百万元，触发值另有较低标准。这是解锁考核，不是投资者业绩预测和承诺，更不是每年独立收入都达到累计数。用目标累计差可以得到隐含后续增长，但不能把它当已签合同。考核主要收入而非净利，存在收入达标但费用、亏损和现金没有达到股东要求的可能，本章目标盈利必须独立判断。</w:t>
      </w:r>
    </w:p>
    <w:p>
      <w:pPr>
        <w:pStyle w:val="Normal"/>
        <w:rPr/>
      </w:pPr>
      <w:r>
        <w:rPr/>
        <w:t>未来激励实际费用取决于审计和归属估计，原公告估算年度费用可作起点，不能一律永久固定或全部视一次性。主模型将目标未来十二个月近似费用单列：年底</w:t>
      </w:r>
      <w:r>
        <w:rPr/>
        <w:t>60</w:t>
      </w:r>
      <w:r>
        <w:rPr/>
        <w:t>百万元是研究估计，一年近</w:t>
      </w:r>
      <w:r>
        <w:rPr/>
        <w:t>75.47</w:t>
      </w:r>
      <w:r>
        <w:rPr/>
        <w:t>百万元参考</w:t>
      </w:r>
      <w:r>
        <w:rPr/>
        <w:t>2027</w:t>
      </w:r>
      <w:r>
        <w:rPr/>
        <w:t>测算，三年</w:t>
      </w:r>
      <w:r>
        <w:rPr/>
        <w:t>20.67</w:t>
      </w:r>
      <w:r>
        <w:rPr/>
        <w:t>参考</w:t>
      </w:r>
      <w:r>
        <w:rPr/>
        <w:t>2029</w:t>
      </w:r>
      <w:r>
        <w:rPr/>
        <w:t>，五年</w:t>
      </w:r>
      <w:r>
        <w:rPr/>
        <w:t>20</w:t>
      </w:r>
      <w:r>
        <w:rPr/>
        <w:t>百万元代表持续激励投入。跨目标年与历年不同，不能把</w:t>
      </w:r>
      <w:r>
        <w:rPr/>
        <w:t>2029</w:t>
      </w:r>
      <w:r>
        <w:rPr/>
        <w:t>全年费用说成目标日前后十二个月精确值；需要后续公司计划补全精确时间桥。</w:t>
      </w:r>
    </w:p>
    <w:p>
      <w:pPr>
        <w:pStyle w:val="Heading2"/>
        <w:rPr/>
      </w:pPr>
      <w:r>
        <w:rPr>
          <w:color w:val="000000"/>
        </w:rPr>
        <w:t>经济和行业周期的公司传导</w:t>
      </w:r>
    </w:p>
    <w:p>
      <w:pPr>
        <w:pStyle w:val="Normal"/>
        <w:rPr/>
      </w:pPr>
      <w:r>
        <w:rPr/>
        <w:t>医药外包总需求可能随研发项目和复杂新药增加，但短期客户购买力受融资、上市窗口和研发优先级影响。博腾早期业务收入下降而后期商业化上升，说明周期不同步；不能用全球处方药增长预测所有阶段需求同速。融资恢复可能先反映询盘和试单，再经过合同、工艺和临床推进到收入，中间有失败与时滞。半年更看可交付后期项目，一年要看订单转化，三年需看项目池和平台技术持续性。</w:t>
      </w:r>
    </w:p>
    <w:p>
      <w:pPr>
        <w:pStyle w:val="Normal"/>
        <w:rPr/>
      </w:pPr>
      <w:r>
        <w:rPr/>
        <w:t>跨国药企供应链区域化可能提高当地设施需求，也可能削弱中国工厂承接份额。欧洲项目退出说明当地合同和场地布局不是无风险解决方案，国内成本优势又需与供应安全和合规要求平衡。博腾已有海外研究与服务体系，但未取得每个客户地域采购政策，不能断言某个政策升级对其零影响。情景把全球需求增长与海外订单迁移同时保留，长期</w:t>
      </w:r>
      <w:r>
        <w:rPr/>
        <w:t>PE</w:t>
      </w:r>
      <w:r>
        <w:rPr/>
        <w:t>没有维持无限扩张，反映地缘和多法域运营成本。</w:t>
      </w:r>
    </w:p>
    <w:p>
      <w:pPr>
        <w:pStyle w:val="Normal"/>
        <w:rPr/>
      </w:pPr>
      <w:r>
        <w:rPr/>
        <w:t>人民币变化影响出口折算、美元欧元应收、海外费用与套保。上半年固定汇率收入增约</w:t>
      </w:r>
      <w:r>
        <w:rPr/>
        <w:t>14%</w:t>
      </w:r>
      <w:r>
        <w:rPr/>
        <w:t>，报告约</w:t>
      </w:r>
      <w:r>
        <w:rPr/>
        <w:t>10%</w:t>
      </w:r>
      <w:r>
        <w:rPr/>
        <w:t>，支持汇率产生拖累，但不能把差额全部认定为某一货币单向影响。国外收入</w:t>
      </w:r>
      <w:r>
        <w:rPr/>
        <w:t>1294.88</w:t>
      </w:r>
      <w:r>
        <w:rPr/>
        <w:t>百万元占集团约</w:t>
      </w:r>
      <w:r>
        <w:rPr/>
        <w:t>72.35%</w:t>
      </w:r>
      <w:r>
        <w:rPr/>
        <w:t>，按全额同币种</w:t>
      </w:r>
      <w:r>
        <w:rPr/>
        <w:t>5%</w:t>
      </w:r>
      <w:r>
        <w:rPr/>
        <w:t>变动示意约</w:t>
      </w:r>
      <w:r>
        <w:rPr/>
        <w:t>64.74</w:t>
      </w:r>
      <w:r>
        <w:rPr/>
        <w:t>百万元收入变化，约集团</w:t>
      </w:r>
      <w:r>
        <w:rPr/>
        <w:t>3.62%</w:t>
      </w:r>
      <w:r>
        <w:rPr/>
        <w:t>；实际存在多币种成本、客户地域与结算差异，利润不能用同百分比机械推算。</w:t>
      </w:r>
      <w:r>
        <w:rPr/>
        <w:t>A</w:t>
      </w:r>
      <w:r>
        <w:rPr/>
        <w:t>股收益主口径为人民币，外汇是经营敏感而非直接港币换算。</w:t>
      </w:r>
    </w:p>
    <w:p>
      <w:pPr>
        <w:pStyle w:val="Normal"/>
        <w:rPr/>
      </w:pPr>
      <w:r>
        <w:rPr/>
        <w:t>公司采用现金流量套保，报告交割工具与被套期项目合计亏损约</w:t>
      </w:r>
      <w:r>
        <w:rPr/>
        <w:t>8.95</w:t>
      </w:r>
      <w:r>
        <w:rPr/>
        <w:t>百万元，未交割约</w:t>
      </w:r>
      <w:r>
        <w:rPr/>
        <w:t>3.87</w:t>
      </w:r>
      <w:r>
        <w:rPr/>
        <w:t>百万元损失，部分在其他综合收益而非本期净利。外币报表折算负</w:t>
      </w:r>
      <w:r>
        <w:rPr/>
        <w:t>24.70</w:t>
      </w:r>
      <w:r>
        <w:rPr/>
        <w:t>百万元也在其他综合收益，与财务费用中的汇兑不同。套保旨在降低部分不确定性，不能因为某期工具亏损推断投机失败，也不能把所有套保负值再次从目标净利重复扣除。模型仍需要明确币种、日期和已计损益的科目桥。</w:t>
      </w:r>
    </w:p>
    <w:p>
      <w:pPr>
        <w:pStyle w:val="Normal"/>
        <w:rPr/>
      </w:pPr>
      <w:r>
        <w:rPr/>
        <w:t>利率对客户融资和公司银行息都有影响，银行浮息本金约</w:t>
      </w:r>
      <w:r>
        <w:rPr/>
        <w:t>739.40</w:t>
      </w:r>
      <w:r>
        <w:rPr/>
        <w:t>百万元使利率变化有现实传导。下降一个百分点在全年静态本金不变下约少</w:t>
      </w:r>
      <w:r>
        <w:rPr/>
        <w:t>7.39</w:t>
      </w:r>
      <w:r>
        <w:rPr/>
        <w:t>百万元税前银行息，这只是示意，借款余额和期限会变，现金收益端也会反向变化。与一年基准</w:t>
      </w:r>
      <w:r>
        <w:rPr/>
        <w:t>437.74</w:t>
      </w:r>
      <w:r>
        <w:rPr/>
        <w:t>百万元净利相比，利息单项不足以解释全部恢复，需要毛利和亏损改善。不能把资金宽松直接设成盈利数倍增加或固定股价倍数上修。</w:t>
      </w:r>
    </w:p>
    <w:p>
      <w:pPr>
        <w:pStyle w:val="Normal"/>
        <w:rPr/>
      </w:pPr>
      <w:r>
        <w:rPr/>
        <w:t>集采对国内仿制制剂服务影响已在报告披露，研发或改良剂型客户可能调整项目价值，制剂收入下降与亏损扩大因此不能单靠总创新药景气判断。创新药授权海外可能提高后续</w:t>
      </w:r>
      <w:r>
        <w:rPr/>
        <w:t>CMC</w:t>
      </w:r>
      <w:r>
        <w:rPr/>
        <w:t>需求，也可能由买方改换全球供应体系；授权合同金额通常包含长期条件里程碑，不等于</w:t>
      </w:r>
      <w:r>
        <w:rPr/>
        <w:t>CDMO</w:t>
      </w:r>
      <w:r>
        <w:rPr/>
        <w:t>订单。博腾是服务商，未公开制造合同前，国内某药企大额交易不能直接计入其收入。模型乐观需要真实客户项目和生产承诺。</w:t>
      </w:r>
    </w:p>
    <w:p>
      <w:pPr>
        <w:pStyle w:val="Normal"/>
        <w:rPr/>
      </w:pPr>
      <w:r>
        <w:rPr/>
        <w:t>高活、细胞基因和核酸等新技术增加制造难度，可以提高优秀供应商价值，但全球产能扩建也带来竞争和闲置。服务价格取决于技术稀缺、交期、质量和客户现金，而非新分子名称越多就越高。药物研发失败通常不会让已完成服务自动全部退回，但会减少后续订单，定制库存和产线又可能受到损失。长期模型不把所有临床成功率套一数值，也没有将服务项目当作公司拥有药物销售权益。</w:t>
      </w:r>
    </w:p>
    <w:p>
      <w:pPr>
        <w:pStyle w:val="Heading2"/>
        <w:rPr/>
      </w:pPr>
      <w:r>
        <w:rPr>
          <w:color w:val="000000"/>
        </w:rPr>
        <w:t>半年</w:t>
      </w:r>
      <w:r>
        <w:rPr>
          <w:color w:val="000000"/>
        </w:rPr>
        <w:t>K</w:t>
      </w:r>
      <w:r>
        <w:rPr>
          <w:color w:val="000000"/>
        </w:rPr>
        <w:t>线结构与观察失效</w:t>
      </w:r>
    </w:p>
    <w:p>
      <w:pPr>
        <w:pStyle w:val="Normal"/>
        <w:rPr/>
      </w:pPr>
      <w:r>
        <w:rPr/>
        <w:t>锁版行情包含</w:t>
      </w:r>
      <w:r>
        <w:rPr/>
        <w:t>728</w:t>
      </w:r>
      <w:r>
        <w:rPr/>
        <w:t>日、</w:t>
      </w:r>
      <w:r>
        <w:rPr/>
        <w:t>155</w:t>
      </w:r>
      <w:r>
        <w:rPr/>
        <w:t>周真实历史，现价</w:t>
      </w:r>
      <w:r>
        <w:rPr/>
        <w:t>23.68</w:t>
      </w:r>
      <w:r>
        <w:rPr/>
        <w:t>元未复权，技术价格按股息因素归一到基准日名义价格；腾讯与新浪当日、</w:t>
      </w:r>
      <w:r>
        <w:rPr/>
        <w:t>Yahoo</w:t>
      </w:r>
      <w:r>
        <w:rPr/>
        <w:t>与腾讯日线对照。</w:t>
      </w:r>
      <w:r>
        <w:rPr/>
        <w:t>2026</w:t>
      </w:r>
      <w:r>
        <w:rPr/>
        <w:t>年五月十二日已除</w:t>
      </w:r>
      <w:r>
        <w:rPr/>
        <w:t>0.09</w:t>
      </w:r>
      <w:r>
        <w:rPr/>
        <w:t>元历史股息，技术复权避免小额分红被误识经营跌幅。拟注销并未完成，不人为改历史股数或</w:t>
      </w:r>
      <w:r>
        <w:rPr/>
        <w:t>OHLC</w:t>
      </w:r>
      <w:r>
        <w:rPr/>
        <w:t>；激励过户不是拆股，不把日线价格除以新增股份比例。周线不足</w:t>
      </w:r>
      <w:r>
        <w:rPr/>
        <w:t>250</w:t>
      </w:r>
      <w:r>
        <w:rPr/>
        <w:t>周，该均线留空。</w:t>
      </w:r>
    </w:p>
    <w:p>
      <w:pPr>
        <w:pStyle w:val="Normal"/>
        <w:rPr/>
      </w:pPr>
      <w:r>
        <w:rPr/>
        <w:t>二十、六十、一百二十、二百五十日线</w:t>
      </w:r>
      <w:r>
        <w:rPr/>
        <w:t>22.4705</w:t>
      </w:r>
      <w:r>
        <w:rPr/>
        <w:t>、</w:t>
      </w:r>
      <w:r>
        <w:rPr/>
        <w:t>20.0745</w:t>
      </w:r>
      <w:r>
        <w:rPr/>
        <w:t>、</w:t>
      </w:r>
      <w:r>
        <w:rPr/>
        <w:t>18.6962</w:t>
      </w:r>
      <w:r>
        <w:rPr/>
        <w:t>、</w:t>
      </w:r>
      <w:r>
        <w:rPr/>
        <w:t>21.2941</w:t>
      </w:r>
      <w:r>
        <w:rPr/>
        <w:t>元，现价分别高</w:t>
      </w:r>
      <w:r>
        <w:rPr/>
        <w:t>5.38%</w:t>
      </w:r>
      <w:r>
        <w:rPr/>
        <w:t>、</w:t>
      </w:r>
      <w:r>
        <w:rPr/>
        <w:t>17.96%</w:t>
      </w:r>
      <w:r>
        <w:rPr/>
        <w:t>、</w:t>
      </w:r>
      <w:r>
        <w:rPr/>
        <w:t>26.66%</w:t>
      </w:r>
      <w:r>
        <w:rPr/>
        <w:t>、</w:t>
      </w:r>
      <w:r>
        <w:rPr/>
        <w:t>11.20%</w:t>
      </w:r>
      <w:r>
        <w:rPr/>
        <w:t>。近五日斜率</w:t>
      </w:r>
      <w:r>
        <w:rPr/>
        <w:t>5.41%</w:t>
      </w:r>
      <w:r>
        <w:rPr/>
        <w:t>、</w:t>
      </w:r>
      <w:r>
        <w:rPr/>
        <w:t>2.70%</w:t>
      </w:r>
      <w:r>
        <w:rPr/>
        <w:t>、</w:t>
      </w:r>
      <w:r>
        <w:rPr/>
        <w:t>0.50%</w:t>
      </w:r>
      <w:r>
        <w:rPr/>
        <w:t>、负</w:t>
      </w:r>
      <w:r>
        <w:rPr/>
        <w:t>0.34%</w:t>
      </w:r>
      <w:r>
        <w:rPr/>
        <w:t>，短线恢复与长期仍下斜并存，不能说已是所有尺度稳定牛市。二十日线较近，若回踩量缩并守住可作为恢复观察；若持续收盘跌回且卖出量增加，则短期趋势加分失效。均线是历史平均，不是必定买盘或无损止损点。</w:t>
      </w:r>
    </w:p>
    <w:p>
      <w:pPr>
        <w:pStyle w:val="Normal"/>
        <w:rPr/>
      </w:pPr>
      <w:r>
        <w:rPr/>
        <w:t>最近二十日最低</w:t>
      </w:r>
      <w:r>
        <w:rPr/>
        <w:t>18.95</w:t>
      </w:r>
      <w:r>
        <w:rPr/>
        <w:t>元、最高</w:t>
      </w:r>
      <w:r>
        <w:rPr/>
        <w:t>25.98</w:t>
      </w:r>
      <w:r>
        <w:rPr/>
        <w:t>元，现价到上端</w:t>
      </w:r>
      <w:r>
        <w:rPr/>
        <w:t>9.71%</w:t>
      </w:r>
      <w:r>
        <w:rPr/>
        <w:t>、到低端负</w:t>
      </w:r>
      <w:r>
        <w:rPr/>
        <w:t>19.97%</w:t>
      </w:r>
      <w:r>
        <w:rPr/>
        <w:t>；六十日低</w:t>
      </w:r>
      <w:r>
        <w:rPr/>
        <w:t>14.83</w:t>
      </w:r>
      <w:r>
        <w:rPr/>
        <w:t>元，到低端负</w:t>
      </w:r>
      <w:r>
        <w:rPr/>
        <w:t>37.37%</w:t>
      </w:r>
      <w:r>
        <w:rPr/>
        <w:t>，高仍</w:t>
      </w:r>
      <w:r>
        <w:rPr/>
        <w:t>25.98</w:t>
      </w:r>
      <w:r>
        <w:rPr/>
        <w:t>。</w:t>
      </w:r>
      <w:r>
        <w:rPr/>
        <w:t>25.98</w:t>
      </w:r>
      <w:r>
        <w:rPr/>
        <w:t>是区间高点而非已经反复验证阻力，突破需保持和后续成交；</w:t>
      </w:r>
      <w:r>
        <w:rPr/>
        <w:t>18.95</w:t>
      </w:r>
      <w:r>
        <w:rPr/>
        <w:t>或均线带仅观察位，未取得完整触碰计数。本章不画精确成交量密集分布，因为没有逐笔成本和账户数据，也不把日线支持位说成全部投资人平均持仓价。</w:t>
      </w:r>
    </w:p>
    <w:p>
      <w:pPr>
        <w:pStyle w:val="Normal"/>
        <w:rPr/>
      </w:pPr>
      <w:r>
        <w:rPr/>
        <w:t>五十二周高经复权归一约</w:t>
      </w:r>
      <w:r>
        <w:rPr/>
        <w:t>30.2723</w:t>
      </w:r>
      <w:r>
        <w:rPr/>
        <w:t>元、低</w:t>
      </w:r>
      <w:r>
        <w:rPr/>
        <w:t>13.24</w:t>
      </w:r>
      <w:r>
        <w:rPr/>
        <w:t>元，现价距高负</w:t>
      </w:r>
      <w:r>
        <w:rPr/>
        <w:t>21.78%</w:t>
      </w:r>
      <w:r>
        <w:rPr/>
        <w:t>、比低高</w:t>
      </w:r>
      <w:r>
        <w:rPr/>
        <w:t>78.85%</w:t>
      </w:r>
      <w:r>
        <w:rPr/>
        <w:t>，日收盘最大回撤约</w:t>
      </w:r>
      <w:r>
        <w:rPr/>
        <w:t>54.52%</w:t>
      </w:r>
      <w:r>
        <w:rPr/>
        <w:t>。接近历史低价以外的某个位置不代表静态便宜，回撤恢复可能反映新利润预期也可能只是风险偏好。过去波动大说明短期估值重估可能急剧，未来损失不受历史低点保护。本章年底悲观</w:t>
      </w:r>
      <w:r>
        <w:rPr/>
        <w:t>2.70</w:t>
      </w:r>
      <w:r>
        <w:rPr/>
        <w:t>元为盈利及倍数压力场景，范围不是预计一定触及，历史图形不能作为它的下限。</w:t>
      </w:r>
    </w:p>
    <w:p>
      <w:pPr>
        <w:pStyle w:val="Normal"/>
        <w:rPr/>
      </w:pPr>
      <w:r>
        <w:rPr/>
        <w:t>十月九日开</w:t>
      </w:r>
      <w:r>
        <w:rPr/>
        <w:t>23.29</w:t>
      </w:r>
      <w:r>
        <w:rPr/>
        <w:t>、最高</w:t>
      </w:r>
      <w:r>
        <w:rPr/>
        <w:t>23.75</w:t>
      </w:r>
      <w:r>
        <w:rPr/>
        <w:t>、低</w:t>
      </w:r>
      <w:r>
        <w:rPr/>
        <w:t>22.62</w:t>
      </w:r>
      <w:r>
        <w:rPr/>
        <w:t>、收</w:t>
      </w:r>
      <w:r>
        <w:rPr/>
        <w:t>23.68</w:t>
      </w:r>
      <w:r>
        <w:rPr/>
        <w:t>元，涨</w:t>
      </w:r>
      <w:r>
        <w:rPr/>
        <w:t>0.81%</w:t>
      </w:r>
      <w:r>
        <w:rPr/>
        <w:t>，日内恢复并靠近高点。相比前期趋势，这是正向单日价格信息，却不能确认机构持仓或未来持续买入。若下一阶段突破</w:t>
      </w:r>
      <w:r>
        <w:rPr/>
        <w:t>25.98</w:t>
      </w:r>
      <w:r>
        <w:rPr/>
        <w:t>后快速跌回，或低点持续下移，一日较好收盘不再支持趋势结论。没有交易身份资料，不写主力吸筹、洗盘或筹码锁定；这些说法会把价格行为变成未经验证的因果。</w:t>
      </w:r>
    </w:p>
    <w:p>
      <w:pPr>
        <w:pStyle w:val="Normal"/>
        <w:rPr/>
      </w:pPr>
      <w:r>
        <w:rPr/>
        <w:t>周二十、六十、一百二十线</w:t>
      </w:r>
      <w:r>
        <w:rPr/>
        <w:t>18.741</w:t>
      </w:r>
      <w:r>
        <w:rPr/>
        <w:t>、</w:t>
      </w:r>
      <w:r>
        <w:rPr/>
        <w:t>21.732</w:t>
      </w:r>
      <w:r>
        <w:rPr/>
        <w:t>、</w:t>
      </w:r>
      <w:r>
        <w:rPr/>
        <w:t>18.814</w:t>
      </w:r>
      <w:r>
        <w:rPr/>
        <w:t>元，现价高</w:t>
      </w:r>
      <w:r>
        <w:rPr/>
        <w:t>26.35%</w:t>
      </w:r>
      <w:r>
        <w:rPr/>
        <w:t>、</w:t>
      </w:r>
      <w:r>
        <w:rPr/>
        <w:t>8.96%</w:t>
      </w:r>
      <w:r>
        <w:rPr/>
        <w:t>、</w:t>
      </w:r>
      <w:r>
        <w:rPr/>
        <w:t>25.86%</w:t>
      </w:r>
      <w:r>
        <w:rPr/>
        <w:t>，近五周斜率</w:t>
      </w:r>
      <w:r>
        <w:rPr/>
        <w:t>6.14%</w:t>
      </w:r>
      <w:r>
        <w:rPr/>
        <w:t>、</w:t>
      </w:r>
      <w:r>
        <w:rPr/>
        <w:t>0.47%</w:t>
      </w:r>
      <w:r>
        <w:rPr/>
        <w:t>、</w:t>
      </w:r>
      <w:r>
        <w:rPr/>
        <w:t>1.97%</w:t>
      </w:r>
      <w:r>
        <w:rPr/>
        <w:t>，周线恢复方向较好。较短周均线仍低于六十周，长期历史结构未完全稳定；周回撤近</w:t>
      </w:r>
      <w:r>
        <w:rPr/>
        <w:t>49.97%</w:t>
      </w:r>
      <w:r>
        <w:rPr/>
        <w:t>、平均真实波幅</w:t>
      </w:r>
      <w:r>
        <w:rPr/>
        <w:t>10.36%</w:t>
      </w:r>
      <w:r>
        <w:rPr/>
        <w:t>现价，提醒周图看起来平滑不意味着过程损失小。三年以上技术权重降至</w:t>
      </w:r>
      <w:r>
        <w:rPr/>
        <w:t>5%</w:t>
      </w:r>
      <w:r>
        <w:rPr/>
        <w:t>或零，长期推荐依赖经营现金而非当前周线。</w:t>
      </w:r>
    </w:p>
    <w:p>
      <w:pPr>
        <w:pStyle w:val="Heading2"/>
        <w:rPr/>
      </w:pPr>
      <w:r>
        <w:rPr>
          <w:color w:val="000000"/>
        </w:rPr>
        <w:t>量能 市场比较与辅助指标</w:t>
      </w:r>
    </w:p>
    <w:p>
      <w:pPr>
        <w:pStyle w:val="Normal"/>
        <w:rPr/>
      </w:pPr>
      <w:r>
        <w:rPr/>
        <w:t>当日成交</w:t>
      </w:r>
      <w:r>
        <w:rPr/>
        <w:t>18.855</w:t>
      </w:r>
      <w:r>
        <w:rPr/>
        <w:t>百万股、成交额</w:t>
      </w:r>
      <w:r>
        <w:rPr/>
        <w:t>437.663</w:t>
      </w:r>
      <w:r>
        <w:rPr/>
        <w:t>百万元、行情换手</w:t>
      </w:r>
      <w:r>
        <w:rPr/>
        <w:t>3.79%</w:t>
      </w:r>
      <w:r>
        <w:rPr/>
        <w:t>。五、二十、六十日均量</w:t>
      </w:r>
      <w:r>
        <w:rPr/>
        <w:t>18.353</w:t>
      </w:r>
      <w:r>
        <w:rPr/>
        <w:t>、</w:t>
      </w:r>
      <w:r>
        <w:rPr/>
        <w:t>22.493</w:t>
      </w:r>
      <w:r>
        <w:rPr/>
        <w:t>、</w:t>
      </w:r>
      <w:r>
        <w:rPr/>
        <w:t>30.782</w:t>
      </w:r>
      <w:r>
        <w:rPr/>
        <w:t>百万股，近期成交较前期下降，当日相此前二十日均量</w:t>
      </w:r>
      <w:r>
        <w:rPr/>
        <w:t>22.405</w:t>
      </w:r>
      <w:r>
        <w:rPr/>
        <w:t>百万股量比</w:t>
      </w:r>
      <w:r>
        <w:rPr/>
        <w:t>0.842</w:t>
      </w:r>
      <w:r>
        <w:rPr/>
        <w:t>。较低成交可以是调整后缩量，也可以是关注度下降，需配合价格和后续突破，不能一概正面解释。量比是日度历史比较，不能用某个网站即时每分钟量比替换本模型口径。</w:t>
      </w:r>
    </w:p>
    <w:p>
      <w:pPr>
        <w:pStyle w:val="Normal"/>
        <w:rPr/>
      </w:pPr>
      <w:r>
        <w:rPr/>
        <w:t>二十日上涨十四天、下跌六天，上涨总量</w:t>
      </w:r>
      <w:r>
        <w:rPr/>
        <w:t>345.407</w:t>
      </w:r>
      <w:r>
        <w:rPr/>
        <w:t>百万股、下跌</w:t>
      </w:r>
      <w:r>
        <w:rPr/>
        <w:t>104.454</w:t>
      </w:r>
      <w:r>
        <w:rPr/>
        <w:t>百万股，总比</w:t>
      </w:r>
      <w:r>
        <w:rPr/>
        <w:t>3.307</w:t>
      </w:r>
      <w:r>
        <w:rPr/>
        <w:t>；按各自日均约</w:t>
      </w:r>
      <w:r>
        <w:rPr/>
        <w:t>24.672</w:t>
      </w:r>
      <w:r>
        <w:rPr/>
        <w:t>与</w:t>
      </w:r>
      <w:r>
        <w:rPr/>
        <w:t>17.409</w:t>
      </w:r>
      <w:r>
        <w:rPr/>
        <w:t>百万股，比约</w:t>
      </w:r>
      <w:r>
        <w:rPr/>
        <w:t>1.417</w:t>
      </w:r>
      <w:r>
        <w:rPr/>
        <w:t>。上涨天数多放大总比，不能直接说每个上涨日买量三倍。日均比可佐证近期上涨活跃，但当期均量下降和</w:t>
      </w:r>
      <w:r>
        <w:rPr/>
        <w:t>MACD</w:t>
      </w:r>
      <w:r>
        <w:rPr/>
        <w:t>趋近零同时提示动量可能需要新确认。若后续放量下跌，技术分应下调，不能永久用旧累计上涨量维持评分。</w:t>
      </w:r>
    </w:p>
    <w:p>
      <w:pPr>
        <w:pStyle w:val="Normal"/>
        <w:rPr/>
      </w:pPr>
      <w:r>
        <w:rPr/>
        <w:t>周上涨十二、下跌八，累计量比</w:t>
      </w:r>
      <w:r>
        <w:rPr/>
        <w:t>2.060</w:t>
      </w:r>
      <w:r>
        <w:rPr/>
        <w:t>，五周均</w:t>
      </w:r>
      <w:r>
        <w:rPr/>
        <w:t>84.234</w:t>
      </w:r>
      <w:r>
        <w:rPr/>
        <w:t>百万股、二十周</w:t>
      </w:r>
      <w:r>
        <w:rPr/>
        <w:t>127.426</w:t>
      </w:r>
      <w:r>
        <w:rPr/>
        <w:t>百万股、六十周</w:t>
      </w:r>
      <w:r>
        <w:rPr/>
        <w:t>94.399</w:t>
      </w:r>
      <w:r>
        <w:rPr/>
        <w:t>百万股。最新周量较低受到节假日与实际交易日数量影响，周量比</w:t>
      </w:r>
      <w:r>
        <w:rPr/>
        <w:t>0.265</w:t>
      </w:r>
      <w:r>
        <w:rPr/>
        <w:t>不能直接定性资金大量离场，需完整周归一比较。模型保留原周聚合，没有补造休市成交。日量与周量同源，不能把二者当两个独立资金信号重复提升可信度，量能只能支持趋势解释，不能提供真实买方身份。</w:t>
      </w:r>
    </w:p>
    <w:p>
      <w:pPr>
        <w:pStyle w:val="Normal"/>
        <w:rPr/>
      </w:pPr>
      <w:r>
        <w:rPr/>
        <w:t>二十日股价涨</w:t>
      </w:r>
      <w:r>
        <w:rPr/>
        <w:t>23.14%</w:t>
      </w:r>
      <w:r>
        <w:rPr/>
        <w:t>、六十日</w:t>
      </w:r>
      <w:r>
        <w:rPr/>
        <w:t>39.79%</w:t>
      </w:r>
      <w:r>
        <w:rPr/>
        <w:t>，相对沪深三百超</w:t>
      </w:r>
      <w:r>
        <w:rPr/>
        <w:t>28.31</w:t>
      </w:r>
      <w:r>
        <w:rPr/>
        <w:t>、</w:t>
      </w:r>
      <w:r>
        <w:rPr/>
        <w:t>51.25</w:t>
      </w:r>
      <w:r>
        <w:rPr/>
        <w:t>个百分点，近期显著跑赢宽基。细分</w:t>
      </w:r>
      <w:r>
        <w:rPr/>
        <w:t>CDMO</w:t>
      </w:r>
      <w:r>
        <w:rPr/>
        <w:t>或医药指数未取得相同三年可核验数据，行业超额留空，不冒称行业第一强股。宽基自身下跌会使相对差较大，个股上升有真实方向但不能据此分解公司特有与行业重估贡献。若未来宽基或同业改善而博腾弱，排名需重新评估，不将截至日超额当未来收益承诺。</w:t>
      </w:r>
    </w:p>
    <w:p>
      <w:pPr>
        <w:pStyle w:val="Normal"/>
        <w:rPr/>
      </w:pPr>
      <w:r>
        <w:rPr/>
        <w:t>日</w:t>
      </w:r>
      <w:r>
        <w:rPr/>
        <w:t>RSI</w:t>
      </w:r>
      <w:r>
        <w:rPr/>
        <w:t>约</w:t>
      </w:r>
      <w:r>
        <w:rPr/>
        <w:t>57.98</w:t>
      </w:r>
      <w:r>
        <w:rPr/>
        <w:t>、</w:t>
      </w:r>
      <w:r>
        <w:rPr/>
        <w:t>MACD</w:t>
      </w:r>
      <w:r>
        <w:rPr/>
        <w:t>差离</w:t>
      </w:r>
      <w:r>
        <w:rPr/>
        <w:t>1.0494</w:t>
      </w:r>
      <w:r>
        <w:rPr/>
        <w:t>与信号</w:t>
      </w:r>
      <w:r>
        <w:rPr/>
        <w:t>1.0237</w:t>
      </w:r>
      <w:r>
        <w:rPr/>
        <w:t>接近，按两倍差柱</w:t>
      </w:r>
      <w:r>
        <w:rPr/>
        <w:t>0.0515</w:t>
      </w:r>
      <w:r>
        <w:rPr/>
        <w:t>，说明恢复偏强但动量差缩小。日平均真实波幅</w:t>
      </w:r>
      <w:r>
        <w:rPr/>
        <w:t>1.258</w:t>
      </w:r>
      <w:r>
        <w:rPr/>
        <w:t>元、约现价</w:t>
      </w:r>
      <w:r>
        <w:rPr/>
        <w:t>5.31%</w:t>
      </w:r>
      <w:r>
        <w:rPr/>
        <w:t>，周约</w:t>
      </w:r>
      <w:r>
        <w:rPr/>
        <w:t>2.452</w:t>
      </w:r>
      <w:r>
        <w:rPr/>
        <w:t>元、</w:t>
      </w:r>
      <w:r>
        <w:rPr/>
        <w:t>10.36%</w:t>
      </w:r>
      <w:r>
        <w:rPr/>
        <w:t>，可以用来评估观察区间宽度而非未来最大跌幅。均线、</w:t>
      </w:r>
      <w:r>
        <w:rPr/>
        <w:t>RSI</w:t>
      </w:r>
      <w:r>
        <w:rPr/>
        <w:t>和</w:t>
      </w:r>
      <w:r>
        <w:rPr/>
        <w:t>MACD</w:t>
      </w:r>
      <w:r>
        <w:rPr/>
        <w:t>都由价格派生，合并技术</w:t>
      </w:r>
      <w:r>
        <w:rPr/>
        <w:t>3.5</w:t>
      </w:r>
      <w:r>
        <w:rPr/>
        <w:t>分，不按每项分别叠加。量、走势与基本面相互确认比多个同类指标同时亮色更重要。</w:t>
      </w:r>
    </w:p>
    <w:p>
      <w:pPr>
        <w:pStyle w:val="Heading2"/>
        <w:rPr/>
      </w:pPr>
      <w:r>
        <w:rPr>
          <w:color w:val="000000"/>
        </w:rPr>
        <w:t>估值选择与四期限情景</w:t>
      </w:r>
    </w:p>
    <w:p>
      <w:pPr>
        <w:pStyle w:val="Normal"/>
        <w:rPr/>
      </w:pPr>
      <w:r>
        <w:rPr/>
        <w:t>2025</w:t>
      </w:r>
      <w:r>
        <w:rPr/>
        <w:t>报告</w:t>
      </w:r>
      <w:r>
        <w:rPr/>
        <w:t>EPS0.18</w:t>
      </w:r>
      <w:r>
        <w:rPr/>
        <w:t>元对应</w:t>
      </w:r>
      <w:r>
        <w:rPr/>
        <w:t>23.68</w:t>
      </w:r>
      <w:r>
        <w:rPr/>
        <w:t>元约</w:t>
      </w:r>
      <w:r>
        <w:rPr/>
        <w:t>131.56</w:t>
      </w:r>
      <w:r>
        <w:rPr/>
        <w:t>倍；报告滚动归母为</w:t>
      </w:r>
      <w:r>
        <w:rPr/>
        <w:t>96.34</w:t>
      </w:r>
      <w:r>
        <w:rPr/>
        <w:t>减</w:t>
      </w:r>
      <w:r>
        <w:rPr/>
        <w:t>224.20</w:t>
      </w:r>
      <w:r>
        <w:rPr/>
        <w:t>减</w:t>
      </w:r>
      <w:r>
        <w:rPr/>
        <w:t>27.06</w:t>
      </w:r>
      <w:r>
        <w:rPr/>
        <w:t>约负</w:t>
      </w:r>
      <w:r>
        <w:rPr/>
        <w:t>154.92</w:t>
      </w:r>
      <w:r>
        <w:rPr/>
        <w:t>百万元，</w:t>
      </w:r>
      <w:r>
        <w:rPr/>
        <w:t>PE</w:t>
      </w:r>
      <w:r>
        <w:rPr/>
        <w:t>不适用。不能用负</w:t>
      </w:r>
      <w:r>
        <w:rPr/>
        <w:t>PE</w:t>
      </w:r>
      <w:r>
        <w:rPr/>
        <w:t>数字排序成便宜，也不能只用</w:t>
      </w:r>
      <w:r>
        <w:rPr/>
        <w:t>2025</w:t>
      </w:r>
      <w:r>
        <w:rPr/>
        <w:t>低利润算高倍数就否定持续恢复。上半年持续归母简单年化</w:t>
      </w:r>
      <w:r>
        <w:rPr/>
        <w:t>EPS</w:t>
      </w:r>
      <w:r>
        <w:rPr/>
        <w:t>约</w:t>
      </w:r>
      <w:r>
        <w:rPr/>
        <w:t>0.4533</w:t>
      </w:r>
      <w:r>
        <w:rPr/>
        <w:t>元，现价约</w:t>
      </w:r>
      <w:r>
        <w:rPr/>
        <w:t>52.24</w:t>
      </w:r>
      <w:r>
        <w:rPr/>
        <w:t>倍，仍非低静态水平；这含一次项目且忽略激励未来年度变化，所以只是观察，不能作为</w:t>
      </w:r>
      <w:r>
        <w:rPr/>
        <w:t>2027</w:t>
      </w:r>
      <w:r>
        <w:rPr/>
        <w:t>盈利预测或历史分位。</w:t>
      </w:r>
    </w:p>
    <w:p>
      <w:pPr>
        <w:pStyle w:val="Normal"/>
        <w:rPr/>
      </w:pPr>
      <w:r>
        <w:rPr/>
        <w:t>本模型以各目标日未来十二个月持续归母</w:t>
      </w:r>
      <w:r>
        <w:rPr/>
        <w:t>EPS</w:t>
      </w:r>
      <w:r>
        <w:rPr/>
        <w:t>乘合理</w:t>
      </w:r>
      <w:r>
        <w:rPr/>
        <w:t>PE</w:t>
      </w:r>
      <w:r>
        <w:rPr/>
        <w:t>，扣正常研发、新业务亏损、借款租赁、普通减值和股份支付，不加回已损失海外资产价值，潜在法律赔偿附加为零。归母口径避免少数重复，未来股数按条件归属假设，未扣拟注销。它是可审计的情景初版，缺少完整分业务</w:t>
      </w:r>
      <w:r>
        <w:rPr/>
        <w:t>DCF</w:t>
      </w:r>
      <w:r>
        <w:rPr/>
        <w:t>与三表联动，同业正常利润桥和历史估值分位未完成。</w:t>
      </w:r>
      <w:r>
        <w:rPr/>
        <w:t>PE</w:t>
      </w:r>
      <w:r>
        <w:rPr/>
        <w:t>选择需在后续核验中修订，而非把情景精确数当外部一致预期。</w:t>
      </w:r>
    </w:p>
    <w:p>
      <w:pPr>
        <w:pStyle w:val="Normal"/>
        <w:rPr/>
      </w:pPr>
      <w:r>
        <w:rPr/>
        <w:t>半年</w:t>
      </w:r>
      <w:r>
        <w:rPr/>
        <w:t>EPS0.20</w:t>
      </w:r>
      <w:r>
        <w:rPr/>
        <w:t>、</w:t>
      </w:r>
      <w:r>
        <w:rPr/>
        <w:t>0.60</w:t>
      </w:r>
      <w:r>
        <w:rPr/>
        <w:t>、</w:t>
      </w:r>
      <w:r>
        <w:rPr/>
        <w:t>1</w:t>
      </w:r>
      <w:r>
        <w:rPr/>
        <w:t>元，</w:t>
      </w:r>
      <w:r>
        <w:rPr/>
        <w:t>PE</w:t>
      </w:r>
      <w:r>
        <w:rPr/>
        <w:t>十八、三十二、四十二倍，得到</w:t>
      </w:r>
      <w:r>
        <w:rPr/>
        <w:t>3.60</w:t>
      </w:r>
      <w:r>
        <w:rPr/>
        <w:t>、</w:t>
      </w:r>
      <w:r>
        <w:rPr/>
        <w:t>19.20</w:t>
      </w:r>
      <w:r>
        <w:rPr/>
        <w:t>、</w:t>
      </w:r>
      <w:r>
        <w:rPr/>
        <w:t>42</w:t>
      </w:r>
      <w:r>
        <w:rPr/>
        <w:t>元；收入</w:t>
      </w:r>
      <w:r>
        <w:rPr/>
        <w:t>3450</w:t>
      </w:r>
      <w:r>
        <w:rPr/>
        <w:t>、</w:t>
      </w:r>
      <w:r>
        <w:rPr/>
        <w:t>4100</w:t>
      </w:r>
      <w:r>
        <w:rPr/>
        <w:t>、</w:t>
      </w:r>
      <w:r>
        <w:rPr/>
        <w:t>4500</w:t>
      </w:r>
      <w:r>
        <w:rPr/>
        <w:t>百万元，归母</w:t>
      </w:r>
      <w:r>
        <w:rPr/>
        <w:t>108.69</w:t>
      </w:r>
      <w:r>
        <w:rPr/>
        <w:t>、</w:t>
      </w:r>
      <w:r>
        <w:rPr/>
        <w:t>326.07</w:t>
      </w:r>
      <w:r>
        <w:rPr/>
        <w:t>、</w:t>
      </w:r>
      <w:r>
        <w:rPr/>
        <w:t>543.44</w:t>
      </w:r>
      <w:r>
        <w:rPr/>
        <w:t>百万元。基准归母相对</w:t>
      </w:r>
      <w:r>
        <w:rPr/>
        <w:t>2025</w:t>
      </w:r>
      <w:r>
        <w:rPr/>
        <w:t>大幅提高，却仍低于现价所需盈利，因此半年基准股价负</w:t>
      </w:r>
      <w:r>
        <w:rPr/>
        <w:t>18.92%</w:t>
      </w:r>
      <w:r>
        <w:rPr/>
        <w:t>。乐观利润率约</w:t>
      </w:r>
      <w:r>
        <w:rPr/>
        <w:t>12.08%</w:t>
      </w:r>
      <w:r>
        <w:rPr/>
        <w:t>要求主业继续恢复和新业务显著控亏，估值仍给高成长倍数；悲观利润与倍数双降，反映重估风险，并非极限损失。</w:t>
      </w:r>
    </w:p>
    <w:p>
      <w:pPr>
        <w:pStyle w:val="Normal"/>
        <w:rPr/>
      </w:pPr>
      <w:r>
        <w:rPr/>
        <w:t>一年</w:t>
      </w:r>
      <w:r>
        <w:rPr/>
        <w:t>EPS0.25</w:t>
      </w:r>
      <w:r>
        <w:rPr/>
        <w:t>、</w:t>
      </w:r>
      <w:r>
        <w:rPr/>
        <w:t>0.80</w:t>
      </w:r>
      <w:r>
        <w:rPr/>
        <w:t>、</w:t>
      </w:r>
      <w:r>
        <w:rPr/>
        <w:t>1.30</w:t>
      </w:r>
      <w:r>
        <w:rPr/>
        <w:t>元，</w:t>
      </w:r>
      <w:r>
        <w:rPr/>
        <w:t>PE</w:t>
      </w:r>
      <w:r>
        <w:rPr/>
        <w:t>十八、三十、四十，目标</w:t>
      </w:r>
      <w:r>
        <w:rPr/>
        <w:t>4.50</w:t>
      </w:r>
      <w:r>
        <w:rPr/>
        <w:t>、</w:t>
      </w:r>
      <w:r>
        <w:rPr/>
        <w:t>24</w:t>
      </w:r>
      <w:r>
        <w:rPr/>
        <w:t>、</w:t>
      </w:r>
      <w:r>
        <w:rPr/>
        <w:t>52</w:t>
      </w:r>
      <w:r>
        <w:rPr/>
        <w:t>元，按</w:t>
      </w:r>
      <w:r>
        <w:rPr/>
        <w:t>547.18</w:t>
      </w:r>
      <w:r>
        <w:rPr/>
        <w:t>百万股得到归母</w:t>
      </w:r>
      <w:r>
        <w:rPr/>
        <w:t>136.79</w:t>
      </w:r>
      <w:r>
        <w:rPr/>
        <w:t>、</w:t>
      </w:r>
      <w:r>
        <w:rPr/>
        <w:t>437.74</w:t>
      </w:r>
      <w:r>
        <w:rPr/>
        <w:t>、</w:t>
      </w:r>
      <w:r>
        <w:rPr/>
        <w:t>711.33</w:t>
      </w:r>
      <w:r>
        <w:rPr/>
        <w:t>百万元，收入</w:t>
      </w:r>
      <w:r>
        <w:rPr/>
        <w:t>3500</w:t>
      </w:r>
      <w:r>
        <w:rPr/>
        <w:t>、</w:t>
      </w:r>
      <w:r>
        <w:rPr/>
        <w:t>4400</w:t>
      </w:r>
      <w:r>
        <w:rPr/>
        <w:t>、</w:t>
      </w:r>
      <w:r>
        <w:rPr/>
        <w:t>4900</w:t>
      </w:r>
      <w:r>
        <w:rPr/>
        <w:t>百万元。基准含</w:t>
      </w:r>
      <w:r>
        <w:rPr/>
        <w:t>0.08</w:t>
      </w:r>
      <w:r>
        <w:rPr/>
        <w:t>元研究股息总回报</w:t>
      </w:r>
      <w:r>
        <w:rPr/>
        <w:t>1.69%</w:t>
      </w:r>
      <w:r>
        <w:rPr/>
        <w:t>，乐观含</w:t>
      </w:r>
      <w:r>
        <w:rPr/>
        <w:t>0.15</w:t>
      </w:r>
      <w:r>
        <w:rPr/>
        <w:t>元约</w:t>
      </w:r>
      <w:r>
        <w:rPr/>
        <w:t>120.23%</w:t>
      </w:r>
      <w:r>
        <w:rPr/>
        <w:t>，悲观无股息约负</w:t>
      </w:r>
      <w:r>
        <w:rPr/>
        <w:t>81.00%</w:t>
      </w:r>
      <w:r>
        <w:rPr/>
        <w:t>。宽区间说明高成长与盈利恢复的不确定性，不能把乐观尾部当最可能结果或只向用户展示最高上涨数字。</w:t>
      </w:r>
    </w:p>
    <w:p>
      <w:pPr>
        <w:pStyle w:val="Normal"/>
        <w:rPr/>
      </w:pPr>
      <w:r>
        <w:rPr/>
        <w:t>一年基准</w:t>
      </w:r>
      <w:r>
        <w:rPr/>
        <w:t>0.80EPS</w:t>
      </w:r>
      <w:r>
        <w:rPr/>
        <w:t>如果给二十、三十、四十倍，价格</w:t>
      </w:r>
      <w:r>
        <w:rPr/>
        <w:t>16</w:t>
      </w:r>
      <w:r>
        <w:rPr/>
        <w:t>、</w:t>
      </w:r>
      <w:r>
        <w:rPr/>
        <w:t>24</w:t>
      </w:r>
      <w:r>
        <w:rPr/>
        <w:t>、</w:t>
      </w:r>
      <w:r>
        <w:rPr/>
        <w:t>32</w:t>
      </w:r>
      <w:r>
        <w:rPr/>
        <w:t>元；若</w:t>
      </w:r>
      <w:r>
        <w:rPr/>
        <w:t>PE</w:t>
      </w:r>
      <w:r>
        <w:rPr/>
        <w:t>固定三十倍而</w:t>
      </w:r>
      <w:r>
        <w:rPr/>
        <w:t>EPS0.50</w:t>
      </w:r>
      <w:r>
        <w:rPr/>
        <w:t>、</w:t>
      </w:r>
      <w:r>
        <w:rPr/>
        <w:t>0.80</w:t>
      </w:r>
      <w:r>
        <w:rPr/>
        <w:t>、</w:t>
      </w:r>
      <w:r>
        <w:rPr/>
        <w:t>1.10</w:t>
      </w:r>
      <w:r>
        <w:rPr/>
        <w:t>，则</w:t>
      </w:r>
      <w:r>
        <w:rPr/>
        <w:t>15</w:t>
      </w:r>
      <w:r>
        <w:rPr/>
        <w:t>、</w:t>
      </w:r>
      <w:r>
        <w:rPr/>
        <w:t>24</w:t>
      </w:r>
      <w:r>
        <w:rPr/>
        <w:t>、</w:t>
      </w:r>
      <w:r>
        <w:rPr/>
        <w:t>33</w:t>
      </w:r>
      <w:r>
        <w:rPr/>
        <w:t>元。现价</w:t>
      </w:r>
      <w:r>
        <w:rPr/>
        <w:t>23.68</w:t>
      </w:r>
      <w:r>
        <w:rPr/>
        <w:t>元在三十倍需要</w:t>
      </w:r>
      <w:r>
        <w:rPr/>
        <w:t>EPS</w:t>
      </w:r>
      <w:r>
        <w:rPr/>
        <w:t>约</w:t>
      </w:r>
      <w:r>
        <w:rPr/>
        <w:t>0.7893</w:t>
      </w:r>
      <w:r>
        <w:rPr/>
        <w:t>元、归母约</w:t>
      </w:r>
      <w:r>
        <w:rPr/>
        <w:t>431.95</w:t>
      </w:r>
      <w:r>
        <w:rPr/>
        <w:t>百万元方持平。这个门槛比上半年持续归母年化高约</w:t>
      </w:r>
      <w:r>
        <w:rPr/>
        <w:t>75%</w:t>
      </w:r>
      <w:r>
        <w:rPr/>
        <w:t>，并需覆盖较大激励费，说明</w:t>
      </w:r>
      <w:r>
        <w:rPr/>
        <w:t>23.68</w:t>
      </w:r>
      <w:r>
        <w:rPr/>
        <w:t>并非仅靠解除海外亏损就自动低估。收入和毛利兑现之外，新业务亏损与费用也必须改善。</w:t>
      </w:r>
    </w:p>
    <w:p>
      <w:pPr>
        <w:pStyle w:val="Normal"/>
        <w:rPr/>
      </w:pPr>
      <w:r>
        <w:rPr/>
        <w:t>三年</w:t>
      </w:r>
      <w:r>
        <w:rPr/>
        <w:t>EPS0.45</w:t>
      </w:r>
      <w:r>
        <w:rPr/>
        <w:t>、</w:t>
      </w:r>
      <w:r>
        <w:rPr/>
        <w:t>1.50</w:t>
      </w:r>
      <w:r>
        <w:rPr/>
        <w:t>、</w:t>
      </w:r>
      <w:r>
        <w:rPr/>
        <w:t>2.40</w:t>
      </w:r>
      <w:r>
        <w:rPr/>
        <w:t>，</w:t>
      </w:r>
      <w:r>
        <w:rPr/>
        <w:t>PE</w:t>
      </w:r>
      <w:r>
        <w:rPr/>
        <w:t>十八、二十八、三十六，目标</w:t>
      </w:r>
      <w:r>
        <w:rPr/>
        <w:t>8.10</w:t>
      </w:r>
      <w:r>
        <w:rPr/>
        <w:t>、</w:t>
      </w:r>
      <w:r>
        <w:rPr/>
        <w:t>42</w:t>
      </w:r>
      <w:r>
        <w:rPr/>
        <w:t>、</w:t>
      </w:r>
      <w:r>
        <w:rPr/>
        <w:t>86.40</w:t>
      </w:r>
      <w:r>
        <w:rPr/>
        <w:t>元。股数</w:t>
      </w:r>
      <w:r>
        <w:rPr/>
        <w:t>554.64</w:t>
      </w:r>
      <w:r>
        <w:rPr/>
        <w:t>百万股，包括首次第二类</w:t>
      </w:r>
      <w:r>
        <w:rPr/>
        <w:t>75%</w:t>
      </w:r>
      <w:r>
        <w:rPr/>
        <w:t>条件归属假设，归母</w:t>
      </w:r>
      <w:r>
        <w:rPr/>
        <w:t>249.59</w:t>
      </w:r>
      <w:r>
        <w:rPr/>
        <w:t>、</w:t>
      </w:r>
      <w:r>
        <w:rPr/>
        <w:t>831.97</w:t>
      </w:r>
      <w:r>
        <w:rPr/>
        <w:t>、</w:t>
      </w:r>
      <w:r>
        <w:rPr/>
        <w:t>1331.14</w:t>
      </w:r>
      <w:r>
        <w:rPr/>
        <w:t>百万元，收入</w:t>
      </w:r>
      <w:r>
        <w:rPr/>
        <w:t>3900</w:t>
      </w:r>
      <w:r>
        <w:rPr/>
        <w:t>、</w:t>
      </w:r>
      <w:r>
        <w:rPr/>
        <w:t>5500</w:t>
      </w:r>
      <w:r>
        <w:rPr/>
        <w:t>、</w:t>
      </w:r>
      <w:r>
        <w:rPr/>
        <w:t>7200</w:t>
      </w:r>
      <w:r>
        <w:rPr/>
        <w:t>百万元。基准净利率</w:t>
      </w:r>
      <w:r>
        <w:rPr/>
        <w:t>15.13%</w:t>
      </w:r>
      <w:r>
        <w:rPr/>
        <w:t>，累计股息</w:t>
      </w:r>
      <w:r>
        <w:rPr/>
        <w:t>0.35</w:t>
      </w:r>
      <w:r>
        <w:rPr/>
        <w:t>元、总回报</w:t>
      </w:r>
      <w:r>
        <w:rPr/>
        <w:t>78.84%</w:t>
      </w:r>
      <w:r>
        <w:rPr/>
        <w:t>、年化</w:t>
      </w:r>
      <w:r>
        <w:rPr/>
        <w:t>21.38%</w:t>
      </w:r>
      <w:r>
        <w:rPr/>
        <w:t>。该盈利能力不是每个客户全部成功，而是较大商业化组合和损失收窄的总体判断，需逐期结果支持。</w:t>
      </w:r>
    </w:p>
    <w:p>
      <w:pPr>
        <w:pStyle w:val="Normal"/>
        <w:rPr/>
      </w:pPr>
      <w:r>
        <w:rPr/>
        <w:t>五年</w:t>
      </w:r>
      <w:r>
        <w:rPr/>
        <w:t>EPS0.65</w:t>
      </w:r>
      <w:r>
        <w:rPr/>
        <w:t>、</w:t>
      </w:r>
      <w:r>
        <w:rPr/>
        <w:t>2.20</w:t>
      </w:r>
      <w:r>
        <w:rPr/>
        <w:t>、</w:t>
      </w:r>
      <w:r>
        <w:rPr/>
        <w:t>3.80</w:t>
      </w:r>
      <w:r>
        <w:rPr/>
        <w:t>元，</w:t>
      </w:r>
      <w:r>
        <w:rPr/>
        <w:t>PE</w:t>
      </w:r>
      <w:r>
        <w:rPr/>
        <w:t>十六、二十五、三十二，目标</w:t>
      </w:r>
      <w:r>
        <w:rPr/>
        <w:t>10.40</w:t>
      </w:r>
      <w:r>
        <w:rPr/>
        <w:t>、</w:t>
      </w:r>
      <w:r>
        <w:rPr/>
        <w:t>55</w:t>
      </w:r>
      <w:r>
        <w:rPr/>
        <w:t>、</w:t>
      </w:r>
      <w:r>
        <w:rPr/>
        <w:t>121.60</w:t>
      </w:r>
      <w:r>
        <w:rPr/>
        <w:t>元。股数</w:t>
      </w:r>
      <w:r>
        <w:rPr/>
        <w:t>562.45</w:t>
      </w:r>
      <w:r>
        <w:rPr/>
        <w:t>百万股包含首次全部和预留全部假设，基准</w:t>
      </w:r>
      <w:r>
        <w:rPr/>
        <w:t>7300</w:t>
      </w:r>
      <w:r>
        <w:rPr/>
        <w:t>百万元收入、</w:t>
      </w:r>
      <w:r>
        <w:rPr/>
        <w:t>1237.38</w:t>
      </w:r>
      <w:r>
        <w:rPr/>
        <w:t>百万元归母、</w:t>
      </w:r>
      <w:r>
        <w:rPr/>
        <w:t>16.95%</w:t>
      </w:r>
      <w:r>
        <w:rPr/>
        <w:t>净利率；累计股息</w:t>
      </w:r>
      <w:r>
        <w:rPr/>
        <w:t>0.80</w:t>
      </w:r>
      <w:r>
        <w:rPr/>
        <w:t>元，总回报</w:t>
      </w:r>
      <w:r>
        <w:rPr/>
        <w:t>135.64%</w:t>
      </w:r>
      <w:r>
        <w:rPr/>
        <w:t>、年化</w:t>
      </w:r>
      <w:r>
        <w:rPr/>
        <w:t>18.70%</w:t>
      </w:r>
      <w:r>
        <w:rPr/>
        <w:t>。目标收入超过</w:t>
      </w:r>
      <w:r>
        <w:rPr/>
        <w:t>2025</w:t>
      </w:r>
      <w:r>
        <w:rPr/>
        <w:t>一倍，要求新业务成功转换而非一直亏损。远期倍数下降有助控制叙事，但仍不能消除全球供应链、质量和技术替代风险。</w:t>
      </w:r>
    </w:p>
    <w:p>
      <w:pPr>
        <w:pStyle w:val="Normal"/>
        <w:rPr/>
      </w:pPr>
      <w:r>
        <w:rPr/>
        <w:t>股数与成本敏感需要联动。未来归属收认购款可能减少融资需求，也带来摊薄，不能只扣股数却假定现金零或只加现金却忽略股份；当前简化模型为保守未额外计认购收益，清楚列联动缺口。拟注销若完成会提高每股盈利一点，规模约</w:t>
      </w:r>
      <w:r>
        <w:rPr/>
        <w:t>1.25%</w:t>
      </w:r>
      <w:r>
        <w:rPr/>
        <w:t>当前总股，对目标不是主要驱动。相比之下持续归母数百百万元的变化影响更大，因此不能用回购公告代替经营恢复，也不能给股数微调过度解释。</w:t>
      </w:r>
    </w:p>
    <w:p>
      <w:pPr>
        <w:pStyle w:val="Heading2"/>
        <w:rPr/>
      </w:pPr>
      <w:r>
        <w:rPr>
          <w:color w:val="000000"/>
        </w:rPr>
        <w:t>年底专项与外资报告边界</w:t>
      </w:r>
    </w:p>
    <w:p>
      <w:pPr>
        <w:pStyle w:val="Normal"/>
        <w:rPr/>
      </w:pPr>
      <w:r>
        <w:rPr/>
        <w:t>年底</w:t>
      </w:r>
      <w:r>
        <w:rPr/>
        <w:t>EPS0.15</w:t>
      </w:r>
      <w:r>
        <w:rPr/>
        <w:t>、</w:t>
      </w:r>
      <w:r>
        <w:rPr/>
        <w:t>0.50</w:t>
      </w:r>
      <w:r>
        <w:rPr/>
        <w:t>、</w:t>
      </w:r>
      <w:r>
        <w:rPr/>
        <w:t>0.80</w:t>
      </w:r>
      <w:r>
        <w:rPr/>
        <w:t>元，</w:t>
      </w:r>
      <w:r>
        <w:rPr/>
        <w:t>PE</w:t>
      </w:r>
      <w:r>
        <w:rPr/>
        <w:t>十八、三十、四十，价格</w:t>
      </w:r>
      <w:r>
        <w:rPr/>
        <w:t>2.70</w:t>
      </w:r>
      <w:r>
        <w:rPr/>
        <w:t>、</w:t>
      </w:r>
      <w:r>
        <w:rPr/>
        <w:t>15</w:t>
      </w:r>
      <w:r>
        <w:rPr/>
        <w:t>、</w:t>
      </w:r>
      <w:r>
        <w:rPr/>
        <w:t>32</w:t>
      </w:r>
      <w:r>
        <w:rPr/>
        <w:t>元，分别相现价负</w:t>
      </w:r>
      <w:r>
        <w:rPr/>
        <w:t>88.60%</w:t>
      </w:r>
      <w:r>
        <w:rPr/>
        <w:t>、负</w:t>
      </w:r>
      <w:r>
        <w:rPr/>
        <w:t>36.66%</w:t>
      </w:r>
      <w:r>
        <w:rPr/>
        <w:t>、正</w:t>
      </w:r>
      <w:r>
        <w:rPr/>
        <w:t>35.14%</w:t>
      </w:r>
      <w:r>
        <w:rPr/>
        <w:t>，未来分红零。该</w:t>
      </w:r>
      <w:r>
        <w:rPr/>
        <w:t>EPS</w:t>
      </w:r>
      <w:r>
        <w:rPr/>
        <w:t>为年底时点可见的持续盈利能力，不是当年法定</w:t>
      </w:r>
      <w:r>
        <w:rPr/>
        <w:t>EPS</w:t>
      </w:r>
      <w:r>
        <w:rPr/>
        <w:t>，年底实际报告利润可能仍受退出损失影响。没有把一年</w:t>
      </w:r>
      <w:r>
        <w:rPr/>
        <w:t>24</w:t>
      </w:r>
      <w:r>
        <w:rPr/>
        <w:t>元目标按剩余月份线性缩放，也没有预测斯洛文尼亚索赔会当年收款。价格区间之外还可能有极端事件，不能称已覆盖所有结果。</w:t>
      </w:r>
    </w:p>
    <w:p>
      <w:pPr>
        <w:pStyle w:val="Normal"/>
        <w:rPr/>
      </w:pPr>
      <w:r>
        <w:rPr/>
        <w:t>悲观条件是早期弱、商业化交付延后、新业务亏损和客户价格压力持续，同时估值不愿给恢复溢价；基准条件是小分子后期持续增长、控亏逐步、出口和费用稳定，退出不再产生同规模损失；乐观需强订单转化与可见盈利明显上修，市场仍给成长倍数。奉贤产线预计次年第一季度，不将它作为年底已经满产利润；许可审计和客户临床申请也不能直接转成年底确定销售。</w:t>
      </w:r>
    </w:p>
    <w:p>
      <w:pPr>
        <w:pStyle w:val="Normal"/>
        <w:rPr/>
      </w:pPr>
      <w:r>
        <w:rPr/>
        <w:t>默认</w:t>
      </w:r>
      <w:r>
        <w:rPr/>
        <w:t>25%/50%/25%</w:t>
      </w:r>
      <w:r>
        <w:rPr/>
        <w:t>得到</w:t>
      </w:r>
      <w:r>
        <w:rPr/>
        <w:t>16.175</w:t>
      </w:r>
      <w:r>
        <w:rPr/>
        <w:t>元、期望负</w:t>
      </w:r>
      <w:r>
        <w:rPr/>
        <w:t>31.69%</w:t>
      </w:r>
      <w:r>
        <w:rPr/>
        <w:t>，防御</w:t>
      </w:r>
      <w:r>
        <w:rPr/>
        <w:t>40%/50%/10%11.78</w:t>
      </w:r>
      <w:r>
        <w:rPr/>
        <w:t>元、负</w:t>
      </w:r>
      <w:r>
        <w:rPr/>
        <w:t>50.25%</w:t>
      </w:r>
      <w:r>
        <w:rPr/>
        <w:t>，进取</w:t>
      </w:r>
      <w:r>
        <w:rPr/>
        <w:t>10%/50%/40%20.57</w:t>
      </w:r>
      <w:r>
        <w:rPr/>
        <w:t>元、负</w:t>
      </w:r>
      <w:r>
        <w:rPr/>
        <w:t>13.13%</w:t>
      </w:r>
      <w:r>
        <w:rPr/>
        <w:t>。不同权重均低于现价，凸显短期赔率不足，而不意味着长期基准没价值。权重来自研究判断、不是统计频率；期望价与基准</w:t>
      </w:r>
      <w:r>
        <w:rPr/>
        <w:t>15</w:t>
      </w:r>
      <w:r>
        <w:rPr/>
        <w:t>元不同，也不是某概率的获利点。若新的订单和费用证据明显改变场景，应刷新所有模型快照，不能只换权重让期望好看。</w:t>
      </w:r>
    </w:p>
    <w:p>
      <w:pPr>
        <w:pStyle w:val="Normal"/>
        <w:rPr/>
      </w:pPr>
      <w:r>
        <w:rPr/>
        <w:t>本章未获得公开可核验外资投行目标，保留机构、日期、评级、期限和币种栏缺失。国内研报和无日期金融转载不能替代外资有效报告，也不能用同行覆盖推断本公司目标。后续可核验十二个月报告作为一年估值参照，需同机构最新有效、去重复转载，区分原报告和新闻转述。年底仍按自身信息集测算，不能照搬机构十二个月目标或把它按剩余月份缩短成保证的年底价格。</w:t>
      </w:r>
    </w:p>
    <w:p>
      <w:pPr>
        <w:pStyle w:val="Heading2"/>
        <w:rPr/>
      </w:pPr>
      <w:r>
        <w:rPr>
          <w:color w:val="000000"/>
        </w:rPr>
        <w:t>推荐反证与十年经营展望</w:t>
      </w:r>
    </w:p>
    <w:p>
      <w:pPr>
        <w:pStyle w:val="Normal"/>
        <w:rPr/>
      </w:pPr>
      <w:r>
        <w:rPr/>
        <w:t>半年</w:t>
      </w:r>
      <w:r>
        <w:rPr/>
        <w:t>59.4</w:t>
      </w:r>
      <w:r>
        <w:rPr/>
        <w:t>分主要因估值回报</w:t>
      </w:r>
      <w:r>
        <w:rPr/>
        <w:t>1.9</w:t>
      </w:r>
      <w:r>
        <w:rPr/>
        <w:t>分、技术</w:t>
      </w:r>
      <w:r>
        <w:rPr/>
        <w:t>3.5</w:t>
      </w:r>
      <w:r>
        <w:rPr/>
        <w:t>分、财务风险</w:t>
      </w:r>
      <w:r>
        <w:rPr/>
        <w:t>2.5</w:t>
      </w:r>
      <w:r>
        <w:rPr/>
        <w:t>分，经营恢复尚难覆盖当前定价。期限内重点验证季度毛利、持续归母扣非、库存交付、实际新业务控亏与激励费用，以及拟注销是否完成。若量价突破保持且利润同步高于原情景，可提高排名；若股价上涨主要靠行业热度而</w:t>
      </w:r>
      <w:r>
        <w:rPr/>
        <w:t>EPS</w:t>
      </w:r>
      <w:r>
        <w:rPr/>
        <w:t>没有改善，技术强不够上调估值。均线回踩或区间突破失败则需要撤回短期趋势判断。</w:t>
      </w:r>
    </w:p>
    <w:p>
      <w:pPr>
        <w:pStyle w:val="Normal"/>
        <w:rPr/>
      </w:pPr>
      <w:r>
        <w:rPr/>
        <w:t>一年</w:t>
      </w:r>
      <w:r>
        <w:rPr/>
        <w:t>63.3</w:t>
      </w:r>
      <w:r>
        <w:rPr/>
        <w:t>分要求归母约</w:t>
      </w:r>
      <w:r>
        <w:rPr/>
        <w:t>438</w:t>
      </w:r>
      <w:r>
        <w:rPr/>
        <w:t>百万元、收入约</w:t>
      </w:r>
      <w:r>
        <w:rPr/>
        <w:t>4400</w:t>
      </w:r>
      <w:r>
        <w:rPr/>
        <w:t>百万元并承担经常股份支付。失败路径是新业务成本继续侵蚀、商业化项目交付不及、早期池萎缩或海外区域成本上升，收入达标不代表净利。解锁收入目标不可替代我们的盈利反证；若公司只接低毛利订单完成收入，目标</w:t>
      </w:r>
      <w:r>
        <w:rPr/>
        <w:t>EPS</w:t>
      </w:r>
      <w:r>
        <w:rPr/>
        <w:t>需削减。</w:t>
      </w:r>
      <w:r>
        <w:rPr/>
        <w:t>0.08</w:t>
      </w:r>
      <w:r>
        <w:rPr/>
        <w:t>元分红贡献很小，投资收益主要来自盈利与</w:t>
      </w:r>
      <w:r>
        <w:rPr/>
        <w:t>PE</w:t>
      </w:r>
      <w:r>
        <w:rPr/>
        <w:t>，不能用股息缓冲来忽略高波动与下行。</w:t>
      </w:r>
    </w:p>
    <w:p>
      <w:pPr>
        <w:pStyle w:val="Normal"/>
        <w:rPr/>
      </w:pPr>
      <w:r>
        <w:rPr/>
        <w:t>三年</w:t>
      </w:r>
      <w:r>
        <w:rPr/>
        <w:t>74.2</w:t>
      </w:r>
      <w:r>
        <w:rPr/>
        <w:t>分、五年</w:t>
      </w:r>
      <w:r>
        <w:rPr/>
        <w:t>74.7</w:t>
      </w:r>
      <w:r>
        <w:rPr/>
        <w:t>分体现成长和行业潜力，但不代表高确定性概率。成立需要多个商业化项目持续制造、新分子与细胞基因收入覆盖设施、研发和市场费用，全球客户留存与现金回报上升。若三年仍靠小分子利润持续补贴亏损、现金资本回报低或新设施再减值，应降低商业质量和估值，不继续以“战略平台”免除盈利要求。高分只是当前条件下的候选顺序，反证必须能改变它。</w:t>
      </w:r>
    </w:p>
    <w:p>
      <w:pPr>
        <w:pStyle w:val="Normal"/>
        <w:rPr/>
      </w:pPr>
      <w:r>
        <w:rPr/>
        <w:t>十年较好经营路径是形成跨分子类型的稳定开发制造能力，与客户药物从研发到商业持续合作，用质量、交付和成本优势产生重复现金，并将资本支出与真实订单匹配。较差路径是全球区域化限制、客户替代和高复杂产线闲置，使主业回报长期被新领域消耗；多个小项目数量仍可很大，但集团现金价值不增。十年不提供固定股价目标，主要检验商业客户存续、工艺更新、单位资本现金与少数权益安排。</w:t>
      </w:r>
    </w:p>
    <w:p>
      <w:pPr>
        <w:pStyle w:val="Normal"/>
        <w:rPr/>
      </w:pPr>
      <w:r>
        <w:rPr/>
        <w:t>可以推翻谨慎短期结论的证据包括：持续归母扣非明显高于当前年化、</w:t>
      </w:r>
      <w:r>
        <w:rPr/>
        <w:t>2027</w:t>
      </w:r>
      <w:r>
        <w:rPr/>
        <w:t>激励后利润覆盖当前价格门槛、新业务实际接近盈亏平衡、库存与应收改善、法律和资产回收公开确定。可以推翻长期成长的证据包括：后期客户持续降价换供应、项目池长期收缩、新产能回报差、质量环保重大失败、控制人质押引发治理变化。所有修订均需记录数据版本、来源、假设和核验，不用一条新闻替代完整盈利模型。</w:t>
      </w:r>
    </w:p>
    <w:p>
      <w:pPr>
        <w:pStyle w:val="Heading2"/>
        <w:rPr/>
      </w:pPr>
      <w:r>
        <w:rPr>
          <w:color w:val="000000"/>
        </w:rPr>
        <w:t>来源与核验记录</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3286"/>
        <w:gridCol w:w="3286"/>
        <w:gridCol w:w="3286"/>
      </w:tblGrid>
      <w:tr>
        <w:trPr>
          <w:tblHeader w:val="true"/>
          <w:cantSplit/>
        </w:trPr>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事实输入</w:t>
            </w:r>
          </w:p>
        </w:tc>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原来源及公开日期</w:t>
            </w:r>
          </w:p>
        </w:tc>
        <w:tc>
          <w:tcPr>
            <w:tcW w:w="3286"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核验与限制</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H1</w:t>
            </w:r>
            <w:r>
              <w:rPr>
                <w:rFonts w:ascii="微软雅黑" w:hAnsi="微软雅黑" w:eastAsia="微软雅黑"/>
                <w:sz w:val="17"/>
              </w:rPr>
              <w:t>财务与业务</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中报，</w:t>
            </w:r>
            <w:r>
              <w:rPr>
                <w:rFonts w:eastAsia="微软雅黑" w:ascii="微软雅黑" w:hAnsi="微软雅黑"/>
                <w:sz w:val="17"/>
              </w:rPr>
              <w:t>2026-08-22](https://static.cninfo.com.cn/finalpage/2026-08-22/1225492110.PDF)</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11-19</w:t>
            </w:r>
            <w:r>
              <w:rPr>
                <w:rFonts w:ascii="微软雅黑" w:hAnsi="微软雅黑" w:eastAsia="微软雅黑"/>
                <w:sz w:val="17"/>
              </w:rPr>
              <w:t>、</w:t>
            </w:r>
            <w:r>
              <w:rPr>
                <w:rFonts w:eastAsia="微软雅黑" w:ascii="微软雅黑" w:hAnsi="微软雅黑"/>
                <w:sz w:val="17"/>
              </w:rPr>
              <w:t>35-43</w:t>
            </w:r>
            <w:r>
              <w:rPr>
                <w:rFonts w:ascii="微软雅黑" w:hAnsi="微软雅黑" w:eastAsia="微软雅黑"/>
                <w:sz w:val="17"/>
              </w:rPr>
              <w:t>、</w:t>
            </w:r>
            <w:r>
              <w:rPr>
                <w:rFonts w:eastAsia="微软雅黑" w:ascii="微软雅黑" w:hAnsi="微软雅黑"/>
                <w:sz w:val="17"/>
              </w:rPr>
              <w:t>88</w:t>
            </w:r>
            <w:r>
              <w:rPr>
                <w:rFonts w:ascii="微软雅黑" w:hAnsi="微软雅黑" w:eastAsia="微软雅黑"/>
                <w:sz w:val="17"/>
              </w:rPr>
              <w:t>、</w:t>
            </w:r>
            <w:r>
              <w:rPr>
                <w:rFonts w:eastAsia="微软雅黑" w:ascii="微软雅黑" w:hAnsi="微软雅黑"/>
                <w:sz w:val="17"/>
              </w:rPr>
              <w:t>91</w:t>
            </w:r>
            <w:r>
              <w:rPr>
                <w:rFonts w:ascii="微软雅黑" w:hAnsi="微软雅黑" w:eastAsia="微软雅黑"/>
                <w:sz w:val="17"/>
              </w:rPr>
              <w:t>、</w:t>
            </w:r>
            <w:r>
              <w:rPr>
                <w:rFonts w:eastAsia="微软雅黑" w:ascii="微软雅黑" w:hAnsi="微软雅黑"/>
                <w:sz w:val="17"/>
              </w:rPr>
              <w:t>93-103</w:t>
            </w:r>
            <w:r>
              <w:rPr>
                <w:rFonts w:ascii="微软雅黑" w:hAnsi="微软雅黑" w:eastAsia="微软雅黑"/>
                <w:sz w:val="17"/>
              </w:rPr>
              <w:t>、</w:t>
            </w:r>
            <w:r>
              <w:rPr>
                <w:rFonts w:eastAsia="微软雅黑" w:ascii="微软雅黑" w:hAnsi="微软雅黑"/>
                <w:sz w:val="17"/>
              </w:rPr>
              <w:t>110-111</w:t>
            </w:r>
            <w:r>
              <w:rPr>
                <w:rFonts w:ascii="微软雅黑" w:hAnsi="微软雅黑" w:eastAsia="微软雅黑"/>
                <w:sz w:val="17"/>
              </w:rPr>
              <w:t>；元转百万元；持续归母双桥</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年报历史</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年报，</w:t>
            </w:r>
            <w:r>
              <w:rPr>
                <w:rFonts w:eastAsia="微软雅黑" w:ascii="微软雅黑" w:hAnsi="微软雅黑"/>
                <w:sz w:val="17"/>
              </w:rPr>
              <w:t>2026-04-04](https://static.cninfo.com.cn/finalpage/2026-04-04/1225080083.PDF)</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PDF16</w:t>
            </w:r>
            <w:r>
              <w:rPr>
                <w:rFonts w:ascii="微软雅黑" w:hAnsi="微软雅黑" w:eastAsia="微软雅黑"/>
                <w:sz w:val="17"/>
              </w:rPr>
              <w:t>、</w:t>
            </w:r>
            <w:r>
              <w:rPr>
                <w:rFonts w:eastAsia="微软雅黑" w:ascii="微软雅黑" w:hAnsi="微软雅黑"/>
                <w:sz w:val="17"/>
              </w:rPr>
              <w:t>21-25</w:t>
            </w:r>
            <w:r>
              <w:rPr>
                <w:rFonts w:ascii="微软雅黑" w:hAnsi="微软雅黑" w:eastAsia="微软雅黑"/>
                <w:sz w:val="17"/>
              </w:rPr>
              <w:t>；业务新旧口径与历史盈利、客户集中、现金</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海外退出</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专项，</w:t>
            </w:r>
            <w:r>
              <w:rPr>
                <w:rFonts w:eastAsia="微软雅黑" w:ascii="微软雅黑" w:hAnsi="微软雅黑"/>
                <w:sz w:val="17"/>
              </w:rPr>
              <w:t>2026-06-05](https://static.cninfo.com.cn/finalpage/2026-06-05/1225354416.PDF)</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w:t>
            </w:r>
            <w:r>
              <w:rPr>
                <w:rFonts w:ascii="微软雅黑" w:hAnsi="微软雅黑" w:eastAsia="微软雅黑"/>
                <w:sz w:val="17"/>
              </w:rPr>
              <w:t>；收通知</w:t>
            </w:r>
            <w:r>
              <w:rPr>
                <w:rFonts w:eastAsia="微软雅黑" w:ascii="微软雅黑" w:hAnsi="微软雅黑"/>
                <w:sz w:val="17"/>
              </w:rPr>
              <w:t>5/11</w:t>
            </w:r>
            <w:r>
              <w:rPr>
                <w:rFonts w:ascii="微软雅黑" w:hAnsi="微软雅黑" w:eastAsia="微软雅黑"/>
                <w:sz w:val="17"/>
              </w:rPr>
              <w:t>、决定</w:t>
            </w:r>
            <w:r>
              <w:rPr>
                <w:rFonts w:eastAsia="微软雅黑" w:ascii="微软雅黑" w:hAnsi="微软雅黑"/>
                <w:sz w:val="17"/>
              </w:rPr>
              <w:t>6/5</w:t>
            </w:r>
            <w:r>
              <w:rPr>
                <w:rFonts w:ascii="微软雅黑" w:hAnsi="微软雅黑" w:eastAsia="微软雅黑"/>
                <w:sz w:val="17"/>
              </w:rPr>
              <w:t>，估</w:t>
            </w:r>
            <w:r>
              <w:rPr>
                <w:rFonts w:eastAsia="微软雅黑" w:ascii="微软雅黑" w:hAnsi="微软雅黑"/>
                <w:sz w:val="17"/>
              </w:rPr>
              <w:t>330-400m</w:t>
            </w:r>
            <w:r>
              <w:rPr>
                <w:rFonts w:ascii="微软雅黑" w:hAnsi="微软雅黑" w:eastAsia="微软雅黑"/>
                <w:sz w:val="17"/>
              </w:rPr>
              <w:t>与</w:t>
            </w:r>
            <w:r>
              <w:rPr>
                <w:rFonts w:eastAsia="微软雅黑" w:ascii="微软雅黑" w:hAnsi="微软雅黑"/>
                <w:sz w:val="17"/>
              </w:rPr>
              <w:t>H1</w:t>
            </w:r>
            <w:r>
              <w:rPr>
                <w:rFonts w:ascii="微软雅黑" w:hAnsi="微软雅黑" w:eastAsia="微软雅黑"/>
                <w:sz w:val="17"/>
              </w:rPr>
              <w:t>实际区分</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争议澄清</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公告，</w:t>
            </w:r>
            <w:r>
              <w:rPr>
                <w:rFonts w:eastAsia="微软雅黑" w:ascii="微软雅黑" w:hAnsi="微软雅黑"/>
                <w:sz w:val="17"/>
              </w:rPr>
              <w:t>2026-05-19](https://static.cninfo.com.cn/finalpage/2026-05-19/1225316203.PDF)</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公司立场，未获全部合同或最终裁判</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内部资助</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公告，</w:t>
            </w:r>
            <w:r>
              <w:rPr>
                <w:rFonts w:eastAsia="微软雅黑" w:ascii="微软雅黑" w:hAnsi="微软雅黑"/>
                <w:sz w:val="17"/>
              </w:rPr>
              <w:t>2026-05-14](https://static.cninfo.com.cn/finalpage/2026-05-14/1225307554.PDF)</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w:t>
            </w:r>
            <w:r>
              <w:rPr>
                <w:rFonts w:ascii="微软雅黑" w:hAnsi="微软雅黑" w:eastAsia="微软雅黑"/>
                <w:sz w:val="17"/>
              </w:rPr>
              <w:t>；</w:t>
            </w:r>
            <w:r>
              <w:rPr>
                <w:rFonts w:eastAsia="微软雅黑" w:ascii="微软雅黑" w:hAnsi="微软雅黑"/>
                <w:sz w:val="17"/>
              </w:rPr>
              <w:t>50m</w:t>
            </w:r>
            <w:r>
              <w:rPr>
                <w:rFonts w:ascii="微软雅黑" w:hAnsi="微软雅黑" w:eastAsia="微软雅黑"/>
                <w:sz w:val="17"/>
              </w:rPr>
              <w:t>两年、少数不同比，拟条款双方文字不一致待合同核</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第一类登记</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公告，</w:t>
            </w:r>
            <w:r>
              <w:rPr>
                <w:rFonts w:eastAsia="微软雅黑" w:ascii="微软雅黑" w:hAnsi="微软雅黑"/>
                <w:sz w:val="17"/>
              </w:rPr>
              <w:t>2026-09-30](https://static.cninfo.com.cn/finalpage/2026-09-30/1225587307.PDF)</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1-8</w:t>
            </w:r>
            <w:r>
              <w:rPr>
                <w:rFonts w:ascii="微软雅黑" w:hAnsi="微软雅黑" w:eastAsia="微软雅黑"/>
                <w:sz w:val="17"/>
              </w:rPr>
              <w:t>；</w:t>
            </w:r>
            <w:r>
              <w:rPr>
                <w:rFonts w:eastAsia="微软雅黑" w:ascii="微软雅黑" w:hAnsi="微软雅黑"/>
                <w:sz w:val="17"/>
              </w:rPr>
              <w:t>9/29</w:t>
            </w:r>
            <w:r>
              <w:rPr>
                <w:rFonts w:ascii="微软雅黑" w:hAnsi="微软雅黑" w:eastAsia="微软雅黑"/>
                <w:sz w:val="17"/>
              </w:rPr>
              <w:t>登记、库存过户、</w:t>
            </w:r>
            <w:r>
              <w:rPr>
                <w:rFonts w:eastAsia="微软雅黑" w:ascii="微软雅黑" w:hAnsi="微软雅黑"/>
                <w:sz w:val="17"/>
              </w:rPr>
              <w:t>543442176</w:t>
            </w:r>
            <w:r>
              <w:rPr>
                <w:rFonts w:ascii="微软雅黑" w:hAnsi="微软雅黑" w:eastAsia="微软雅黑"/>
                <w:sz w:val="17"/>
              </w:rPr>
              <w:t>总股、收到</w:t>
            </w:r>
            <w:r>
              <w:rPr>
                <w:rFonts w:eastAsia="微软雅黑" w:ascii="微软雅黑" w:hAnsi="微软雅黑"/>
                <w:sz w:val="17"/>
              </w:rPr>
              <w:t>10.71525m</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拟注销</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公告，</w:t>
            </w:r>
            <w:r>
              <w:rPr>
                <w:rFonts w:eastAsia="微软雅黑" w:ascii="微软雅黑" w:hAnsi="微软雅黑"/>
                <w:sz w:val="17"/>
              </w:rPr>
              <w:t>2026-09-07](https://static.cninfo.com.cn/finalpage/2026-09-07/1225551245.PDF)</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批准</w:t>
            </w:r>
            <w:r>
              <w:rPr>
                <w:rFonts w:eastAsia="微软雅黑" w:ascii="微软雅黑" w:hAnsi="微软雅黑"/>
                <w:sz w:val="17"/>
              </w:rPr>
              <w:t>6777619</w:t>
            </w:r>
            <w:r>
              <w:rPr>
                <w:rFonts w:ascii="微软雅黑" w:hAnsi="微软雅黑" w:eastAsia="微软雅黑"/>
                <w:sz w:val="17"/>
              </w:rPr>
              <w:t>股并债权人</w:t>
            </w:r>
            <w:r>
              <w:rPr>
                <w:rFonts w:eastAsia="微软雅黑" w:ascii="微软雅黑" w:hAnsi="微软雅黑"/>
                <w:sz w:val="17"/>
              </w:rPr>
              <w:t>45</w:t>
            </w:r>
            <w:r>
              <w:rPr>
                <w:rFonts w:ascii="微软雅黑" w:hAnsi="微软雅黑" w:eastAsia="微软雅黑"/>
                <w:sz w:val="17"/>
              </w:rPr>
              <w:t>日程序，未当已完成</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激励授予</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公告，</w:t>
            </w:r>
            <w:r>
              <w:rPr>
                <w:rFonts w:eastAsia="微软雅黑" w:ascii="微软雅黑" w:hAnsi="微软雅黑"/>
                <w:sz w:val="17"/>
              </w:rPr>
              <w:t>2026-09-14](https://static.cninfo.com.cn/finalpage/2026-09-14/1225563376.PDF)</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首次第二类</w:t>
            </w:r>
            <w:r>
              <w:rPr>
                <w:rFonts w:eastAsia="微软雅黑" w:ascii="微软雅黑" w:hAnsi="微软雅黑"/>
                <w:sz w:val="17"/>
              </w:rPr>
              <w:t>14935000</w:t>
            </w:r>
            <w:r>
              <w:rPr>
                <w:rFonts w:ascii="微软雅黑" w:hAnsi="微软雅黑" w:eastAsia="微软雅黑"/>
                <w:sz w:val="17"/>
              </w:rPr>
              <w:t>、</w:t>
            </w:r>
            <w:r>
              <w:rPr>
                <w:rFonts w:eastAsia="微软雅黑" w:ascii="微软雅黑" w:hAnsi="微软雅黑"/>
                <w:sz w:val="17"/>
              </w:rPr>
              <w:t>10.99</w:t>
            </w:r>
            <w:r>
              <w:rPr>
                <w:rFonts w:ascii="微软雅黑" w:hAnsi="微软雅黑" w:eastAsia="微软雅黑"/>
                <w:sz w:val="17"/>
              </w:rPr>
              <w:t>元、费用测算</w:t>
            </w:r>
            <w:r>
              <w:rPr>
                <w:rFonts w:eastAsia="微软雅黑" w:ascii="微软雅黑" w:hAnsi="微软雅黑"/>
                <w:sz w:val="17"/>
              </w:rPr>
              <w:t>169.5617m</w:t>
            </w:r>
            <w:r>
              <w:rPr>
                <w:rFonts w:ascii="微软雅黑" w:hAnsi="微软雅黑" w:eastAsia="微软雅黑"/>
                <w:sz w:val="17"/>
              </w:rPr>
              <w:t>；经常损益</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激励预留与来源</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草案，</w:t>
            </w:r>
            <w:r>
              <w:rPr>
                <w:rFonts w:eastAsia="微软雅黑" w:ascii="微软雅黑" w:hAnsi="微软雅黑"/>
                <w:sz w:val="17"/>
              </w:rPr>
              <w:t>2026-08-22](https://static.cninfo.com.cn/finalpage/2026-08-22/1225492090.PDF)</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w:t>
            </w:r>
            <w:r>
              <w:rPr>
                <w:rFonts w:ascii="微软雅黑" w:hAnsi="微软雅黑" w:eastAsia="微软雅黑"/>
                <w:sz w:val="17"/>
              </w:rPr>
              <w:t>；预留</w:t>
            </w:r>
            <w:r>
              <w:rPr>
                <w:rFonts w:eastAsia="微软雅黑" w:ascii="微软雅黑" w:hAnsi="微软雅黑"/>
                <w:sz w:val="17"/>
              </w:rPr>
              <w:t>4070000</w:t>
            </w:r>
            <w:r>
              <w:rPr>
                <w:rFonts w:ascii="微软雅黑" w:hAnsi="微软雅黑" w:eastAsia="微软雅黑"/>
                <w:sz w:val="17"/>
              </w:rPr>
              <w:t>，第二类定向发行，首授以</w:t>
            </w:r>
            <w:r>
              <w:rPr>
                <w:rFonts w:eastAsia="微软雅黑" w:ascii="微软雅黑" w:hAnsi="微软雅黑"/>
                <w:sz w:val="17"/>
              </w:rPr>
              <w:t>9/14</w:t>
            </w:r>
            <w:r>
              <w:rPr>
                <w:rFonts w:ascii="微软雅黑" w:hAnsi="微软雅黑" w:eastAsia="微软雅黑"/>
                <w:sz w:val="17"/>
              </w:rPr>
              <w:t>更新覆盖草案</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控制人质押</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公告，</w:t>
            </w:r>
            <w:r>
              <w:rPr>
                <w:rFonts w:eastAsia="微软雅黑" w:ascii="微软雅黑" w:hAnsi="微软雅黑"/>
                <w:sz w:val="17"/>
              </w:rPr>
              <w:t>2026-09-04](https://static.cninfo.com.cn/finalpage/2026-09-04/1225547771.PDF)</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1-3</w:t>
            </w:r>
            <w:r>
              <w:rPr>
                <w:rFonts w:ascii="微软雅黑" w:hAnsi="微软雅黑" w:eastAsia="微软雅黑"/>
                <w:sz w:val="17"/>
              </w:rPr>
              <w:t>；个人融资非上市公司债，</w:t>
            </w:r>
            <w:r>
              <w:rPr>
                <w:rFonts w:eastAsia="微软雅黑" w:ascii="微软雅黑" w:hAnsi="微软雅黑"/>
                <w:sz w:val="17"/>
              </w:rPr>
              <w:t>73426000</w:t>
            </w:r>
            <w:r>
              <w:rPr>
                <w:rFonts w:ascii="微软雅黑" w:hAnsi="微软雅黑" w:eastAsia="微软雅黑"/>
                <w:sz w:val="17"/>
              </w:rPr>
              <w:t>股</w:t>
            </w:r>
            <w:r>
              <w:rPr>
                <w:rFonts w:eastAsia="微软雅黑" w:ascii="微软雅黑" w:hAnsi="微软雅黑"/>
                <w:sz w:val="17"/>
              </w:rPr>
              <w:t>13.51%</w:t>
            </w:r>
            <w:r>
              <w:rPr>
                <w:rFonts w:ascii="微软雅黑" w:hAnsi="微软雅黑" w:eastAsia="微软雅黑"/>
                <w:sz w:val="17"/>
              </w:rPr>
              <w:t>总股</w:t>
            </w:r>
          </w:p>
        </w:tc>
      </w:tr>
      <w:tr>
        <w:trPr>
          <w:cantSplit/>
        </w:trPr>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已派股息</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w:t>
            </w:r>
            <w:r>
              <w:rPr>
                <w:rFonts w:ascii="微软雅黑" w:hAnsi="微软雅黑" w:eastAsia="微软雅黑"/>
                <w:sz w:val="17"/>
              </w:rPr>
              <w:t>实施，</w:t>
            </w:r>
            <w:r>
              <w:rPr>
                <w:rFonts w:eastAsia="微软雅黑" w:ascii="微软雅黑" w:hAnsi="微软雅黑"/>
                <w:sz w:val="17"/>
              </w:rPr>
              <w:t>2026-04-30](https://static.cninfo.com.cn/finalpage/2026-04-30/1225259334.PDF)</w:t>
            </w:r>
          </w:p>
        </w:tc>
        <w:tc>
          <w:tcPr>
            <w:tcW w:w="3286"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1-3</w:t>
            </w:r>
            <w:r>
              <w:rPr>
                <w:rFonts w:ascii="微软雅黑" w:hAnsi="微软雅黑" w:eastAsia="微软雅黑"/>
                <w:sz w:val="17"/>
              </w:rPr>
              <w:t>；</w:t>
            </w:r>
            <w:r>
              <w:rPr>
                <w:rFonts w:eastAsia="微软雅黑" w:ascii="微软雅黑" w:hAnsi="微软雅黑"/>
                <w:sz w:val="17"/>
              </w:rPr>
              <w:t>5/12</w:t>
            </w:r>
            <w:r>
              <w:rPr>
                <w:rFonts w:ascii="微软雅黑" w:hAnsi="微软雅黑" w:eastAsia="微软雅黑"/>
                <w:sz w:val="17"/>
              </w:rPr>
              <w:t>除</w:t>
            </w:r>
            <w:r>
              <w:rPr>
                <w:rFonts w:eastAsia="微软雅黑" w:ascii="微软雅黑" w:hAnsi="微软雅黑"/>
                <w:sz w:val="17"/>
              </w:rPr>
              <w:t>0.09</w:t>
            </w:r>
            <w:r>
              <w:rPr>
                <w:rFonts w:ascii="微软雅黑" w:hAnsi="微软雅黑" w:eastAsia="微软雅黑"/>
                <w:sz w:val="17"/>
              </w:rPr>
              <w:t>元、库存不参加，不计未来</w:t>
            </w:r>
          </w:p>
        </w:tc>
      </w:tr>
      <w:tr>
        <w:trPr>
          <w:cantSplit/>
        </w:trPr>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行情</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market-v1.4</w:t>
            </w:r>
            <w:r>
              <w:rPr>
                <w:rFonts w:ascii="微软雅黑" w:hAnsi="微软雅黑" w:eastAsia="微软雅黑"/>
                <w:sz w:val="17"/>
              </w:rPr>
              <w:t>锁，</w:t>
            </w:r>
            <w:r>
              <w:rPr>
                <w:rFonts w:eastAsia="微软雅黑" w:ascii="微软雅黑" w:hAnsi="微软雅黑"/>
                <w:sz w:val="17"/>
              </w:rPr>
              <w:t>data/history/S015.json</w:t>
            </w:r>
            <w:r>
              <w:rPr>
                <w:rFonts w:ascii="微软雅黑" w:hAnsi="微软雅黑" w:eastAsia="微软雅黑"/>
                <w:sz w:val="17"/>
              </w:rPr>
              <w:t>与</w:t>
            </w:r>
            <w:r>
              <w:rPr>
                <w:rFonts w:eastAsia="微软雅黑" w:ascii="微软雅黑" w:hAnsi="微软雅黑"/>
                <w:sz w:val="17"/>
              </w:rPr>
              <w:t>market_snapshot_locked.json</w:t>
            </w:r>
          </w:p>
        </w:tc>
        <w:tc>
          <w:tcPr>
            <w:tcW w:w="3286"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728</w:t>
            </w:r>
            <w:r>
              <w:rPr>
                <w:rFonts w:ascii="微软雅黑" w:hAnsi="微软雅黑" w:eastAsia="微软雅黑"/>
                <w:sz w:val="17"/>
              </w:rPr>
              <w:t>日</w:t>
            </w:r>
            <w:r>
              <w:rPr>
                <w:rFonts w:eastAsia="微软雅黑" w:ascii="微软雅黑" w:hAnsi="微软雅黑"/>
                <w:sz w:val="17"/>
              </w:rPr>
              <w:t>155</w:t>
            </w:r>
            <w:r>
              <w:rPr>
                <w:rFonts w:ascii="微软雅黑" w:hAnsi="微软雅黑" w:eastAsia="微软雅黑"/>
                <w:sz w:val="17"/>
              </w:rPr>
              <w:t>周，腾讯新浪</w:t>
            </w:r>
            <w:r>
              <w:rPr>
                <w:rFonts w:eastAsia="微软雅黑" w:ascii="微软雅黑" w:hAnsi="微软雅黑"/>
                <w:sz w:val="17"/>
              </w:rPr>
              <w:t>/Yahoo</w:t>
            </w:r>
            <w:r>
              <w:rPr>
                <w:rFonts w:ascii="微软雅黑" w:hAnsi="微软雅黑" w:eastAsia="微软雅黑"/>
                <w:sz w:val="17"/>
              </w:rPr>
              <w:t>腾讯对照，股单位，复权归一，</w:t>
            </w:r>
            <w:r>
              <w:rPr>
                <w:rFonts w:eastAsia="微软雅黑" w:ascii="微软雅黑" w:hAnsi="微软雅黑"/>
                <w:sz w:val="17"/>
              </w:rPr>
              <w:t>250</w:t>
            </w:r>
            <w:r>
              <w:rPr>
                <w:rFonts w:ascii="微软雅黑" w:hAnsi="微软雅黑" w:eastAsia="微软雅黑"/>
                <w:sz w:val="17"/>
              </w:rPr>
              <w:t>周留空</w:t>
            </w:r>
          </w:p>
        </w:tc>
      </w:tr>
    </w:tbl>
    <w:p>
      <w:pPr>
        <w:pStyle w:val="Normal"/>
        <w:rPr/>
      </w:pPr>
      <w:r>
        <w:rPr/>
      </w:r>
    </w:p>
    <w:p>
      <w:pPr>
        <w:pStyle w:val="Normal"/>
        <w:rPr/>
      </w:pPr>
      <w:r>
        <w:rPr/>
        <w:t>初版缺口保留：分部</w:t>
      </w:r>
      <w:r>
        <w:rPr/>
        <w:t>DCF</w:t>
      </w:r>
      <w:r>
        <w:rPr/>
        <w:t>、完整三表与激励现金联动、历史估值分位和同业利润桥、外资有效目标及细分基准、官方审计原件与客户临床全文、海外协议和法律最终结果、实际资产回收与拟注销执行时点。正文无长引文或共用宏观模板；公式核验包括价格、股息回报、年化、场景权重、评分及持续归母双桥。最终</w:t>
      </w:r>
      <w:r>
        <w:rPr/>
        <w:t>Word/PDF</w:t>
      </w:r>
      <w:r>
        <w:rPr/>
        <w:t>排版和逐页视觉核验依总报告流程完成，本章不冒称全部专业临床或法律评审已经通过。</w:t>
      </w:r>
      <w:r>
        <w:br w:type="page"/>
      </w:r>
    </w:p>
    <w:p>
      <w:pPr>
        <w:pStyle w:val="Heading1"/>
        <w:rPr/>
      </w:pPr>
      <w:bookmarkStart w:id="5" w:name="__RefHeading___Toc38186_1364803659"/>
      <w:bookmarkEnd w:id="5"/>
      <w:r>
        <w:rPr>
          <w:color w:val="000000"/>
        </w:rPr>
        <w:t xml:space="preserve">美迪西 </w:t>
      </w:r>
      <w:r>
        <w:rPr>
          <w:color w:val="000000"/>
        </w:rPr>
        <w:t>688202 SH</w:t>
      </w:r>
    </w:p>
    <w:p>
      <w:pPr>
        <w:pStyle w:val="Normal"/>
        <w:rPr/>
      </w:pPr>
      <w:r>
        <w:rPr/>
        <w:t xml:space="preserve">688202.SH </w:t>
      </w:r>
      <w:r>
        <w:rPr/>
        <w:t xml:space="preserve">现价 </w:t>
      </w:r>
      <w:r>
        <w:rPr/>
        <w:t>104.00 CNY</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-30.77%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-30.77%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65.60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79.80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-23.27%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-23.17%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128.00</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+23.08%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+23.85%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154.00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+48.08%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+50.00%</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-87.98%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60.00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-42.31%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120.00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+15.38%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63.12CNY</w:t>
      </w:r>
      <w:r>
        <w:rPr/>
        <w:t>，期望股价回报</w:t>
      </w:r>
      <w:r>
        <w:rPr/>
        <w:t>-39.30%</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17.50</w:t>
              <w:br/>
              <w:t>-83.17%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72.00</w:t>
              <w:br/>
              <w:t>-30.77%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154.00</w:t>
              <w:br/>
              <w:t>+48.08%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22.50</w:t>
              <w:br/>
              <w:t>-78.37%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79.80</w:t>
              <w:br/>
              <w:t>-23.27%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168.00</w:t>
              <w:br/>
              <w:t>+61.54%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32.20</w:t>
              <w:br/>
              <w:t>-69.04%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128.00</w:t>
              <w:br/>
              <w:t>+23.08%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285.60</w:t>
              <w:br/>
              <w:t>+174.62%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+7.39%</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34.00</w:t>
              <w:br/>
              <w:t>-67.31%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154.00</w:t>
              <w:br/>
              <w:t>+48.08%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315.00</w:t>
              <w:br/>
              <w:t>+202.88%</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+8.45%</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基本面</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高：原财报</w:t>
            </w:r>
            <w:r>
              <w:rPr>
                <w:rFonts w:eastAsia="微软雅黑" w:ascii="微软雅黑" w:hAnsi="微软雅黑"/>
                <w:sz w:val="17"/>
              </w:rPr>
              <w:t>/</w:t>
            </w:r>
            <w:r>
              <w:rPr>
                <w:rFonts w:ascii="微软雅黑" w:hAnsi="微软雅黑" w:eastAsia="微软雅黑"/>
                <w:sz w:val="17"/>
              </w:rPr>
              <w:t>资本项目</w:t>
            </w:r>
            <w:r>
              <w:rPr>
                <w:rFonts w:eastAsia="微软雅黑" w:ascii="微软雅黑" w:hAnsi="微软雅黑"/>
                <w:sz w:val="17"/>
              </w:rPr>
              <w:t>/</w:t>
            </w:r>
            <w:r>
              <w:rPr>
                <w:rFonts w:ascii="微软雅黑" w:hAnsi="微软雅黑" w:eastAsia="微软雅黑"/>
                <w:sz w:val="17"/>
              </w:rPr>
              <w:t>激励</w:t>
            </w:r>
            <w:r>
              <w:rPr>
                <w:rFonts w:eastAsia="微软雅黑" w:ascii="微软雅黑" w:hAnsi="微软雅黑"/>
                <w:sz w:val="17"/>
              </w:rPr>
              <w:t>/</w:t>
            </w:r>
            <w:r>
              <w:rPr>
                <w:rFonts w:ascii="微软雅黑" w:hAnsi="微软雅黑" w:eastAsia="微软雅黑"/>
                <w:sz w:val="17"/>
              </w:rPr>
              <w:t>诉讼公告；司法全文与监管证件缺</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量价</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高：锁版</w:t>
            </w:r>
            <w:r>
              <w:rPr>
                <w:rFonts w:eastAsia="微软雅黑" w:ascii="微软雅黑" w:hAnsi="微软雅黑"/>
                <w:sz w:val="17"/>
              </w:rPr>
              <w:t>728</w:t>
            </w:r>
            <w:r>
              <w:rPr>
                <w:rFonts w:ascii="微软雅黑" w:hAnsi="微软雅黑" w:eastAsia="微软雅黑"/>
                <w:sz w:val="17"/>
              </w:rPr>
              <w:t>日日线双源；行业</w:t>
            </w:r>
            <w:r>
              <w:rPr>
                <w:rFonts w:eastAsia="微软雅黑" w:ascii="微软雅黑" w:hAnsi="微软雅黑"/>
                <w:sz w:val="17"/>
              </w:rPr>
              <w:t>RS</w:t>
            </w:r>
            <w:r>
              <w:rPr>
                <w:rFonts w:ascii="微软雅黑" w:hAnsi="微软雅黑" w:eastAsia="微软雅黑"/>
                <w:sz w:val="17"/>
              </w:rPr>
              <w:t>缺，周线尾周短</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估值</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中低：盈利复苏、税和扩建效率</w:t>
            </w:r>
            <w:r>
              <w:rPr>
                <w:rFonts w:eastAsia="微软雅黑" w:ascii="微软雅黑" w:hAnsi="微软雅黑"/>
                <w:sz w:val="17"/>
              </w:rPr>
              <w:t>/PE</w:t>
            </w:r>
            <w:r>
              <w:rPr>
                <w:rFonts w:ascii="微软雅黑" w:hAnsi="微软雅黑" w:eastAsia="微软雅黑"/>
                <w:sz w:val="17"/>
              </w:rPr>
              <w:t>假设；完整分部</w:t>
            </w:r>
            <w:r>
              <w:rPr>
                <w:rFonts w:eastAsia="微软雅黑" w:ascii="微软雅黑" w:hAnsi="微软雅黑"/>
                <w:sz w:val="17"/>
              </w:rPr>
              <w:t>DCF</w:t>
            </w:r>
            <w:r>
              <w:rPr>
                <w:rFonts w:ascii="微软雅黑" w:hAnsi="微软雅黑" w:eastAsia="微软雅黑"/>
                <w:sz w:val="17"/>
              </w:rPr>
              <w:t>、三表未完</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机构目标</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缺失</w:t>
            </w:r>
          </w:p>
        </w:tc>
      </w:tr>
    </w:tbl>
    <w:p>
      <w:pPr>
        <w:pStyle w:val="Normal"/>
        <w:rPr/>
      </w:pPr>
      <w:r>
        <w:rPr/>
      </w:r>
    </w:p>
    <w:p>
      <w:pPr>
        <w:pStyle w:val="Normal"/>
        <w:rPr/>
      </w:pPr>
      <w:r>
        <w:rPr/>
        <w:drawing>
          <wp:inline distT="0" distB="0" distL="0" distR="0">
            <wp:extent cx="5975985" cy="278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发行人</w:t>
      </w:r>
      <w:r>
        <w:rPr/>
        <w:t>I018</w:t>
      </w:r>
      <w:r>
        <w:rPr/>
        <w:t>，证券</w:t>
      </w:r>
      <w:r>
        <w:rPr/>
        <w:t>S020</w:t>
      </w:r>
      <w:r>
        <w:rPr/>
        <w:t>，</w:t>
      </w:r>
      <w:r>
        <w:rPr/>
        <w:t>688202.SH</w:t>
      </w:r>
      <w:r>
        <w:rPr/>
        <w:t>。基准为</w:t>
      </w:r>
      <w:r>
        <w:rPr/>
        <w:t>2026</w:t>
      </w:r>
      <w:r>
        <w:rPr/>
        <w:t>年</w:t>
      </w:r>
      <w:r>
        <w:rPr/>
        <w:t>10</w:t>
      </w:r>
      <w:r>
        <w:rPr/>
        <w:t>月</w:t>
      </w:r>
      <w:r>
        <w:rPr/>
        <w:t>9</w:t>
      </w:r>
      <w:r>
        <w:rPr/>
        <w:t>日收盘</w:t>
      </w:r>
      <w:r>
        <w:rPr/>
        <w:t>104</w:t>
      </w:r>
      <w:r>
        <w:rPr/>
        <w:t>元人民币，研究资料截止同日。独立初版；金额除另注外为人民币百万元。行情沿用</w:t>
      </w:r>
      <w:r>
        <w:rPr/>
        <w:t>market-v1.5</w:t>
      </w:r>
      <w:r>
        <w:rPr/>
        <w:t>的股票数据，股票部分与</w:t>
      </w:r>
      <w:r>
        <w:rPr/>
        <w:t>v1.4</w:t>
      </w:r>
      <w:r>
        <w:rPr/>
        <w:t>一致。本章与</w:t>
      </w:r>
      <w:r>
        <w:rPr/>
        <w:t>medicilon_model.json</w:t>
      </w:r>
      <w:r>
        <w:rPr/>
        <w:t>同源；盈利、合理倍数与未来股本是研究设定，非机构一致预期。目标日遇休市以总表此前最后交易日为准。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乐观目标，元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基准累计税前分红，元</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62.1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17.50 / 72.00 / 154.00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-30.77%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-30.77%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65.6</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22.50 / 79.80 / 168.00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-23.27%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0.10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-23.17%</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72.1</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32.20 / 128.00 / 285.60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23.08%</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0.80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23.85%</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73.4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34.00 / 154.00 / 315.00</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48.08%</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50.00%</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年底</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不另评分</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12.50 / 60.00 / 120.00</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-42.31%</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-42.31%</w:t>
            </w:r>
          </w:p>
        </w:tc>
      </w:tr>
    </w:tbl>
    <w:p>
      <w:pPr>
        <w:pStyle w:val="Normal"/>
        <w:rPr/>
      </w:pPr>
      <w:r>
        <w:rPr/>
      </w:r>
    </w:p>
    <w:p>
      <w:pPr>
        <w:pStyle w:val="Normal"/>
        <w:rPr/>
      </w:pPr>
      <w:r>
        <w:rPr/>
        <w:t>三年与五年基准含分红年化</w:t>
      </w:r>
      <w:r>
        <w:rPr/>
        <w:t>7.39%</w:t>
      </w:r>
      <w:r>
        <w:rPr/>
        <w:t>、</w:t>
      </w:r>
      <w:r>
        <w:rPr/>
        <w:t>8.45%</w:t>
      </w:r>
      <w:r>
        <w:rPr/>
        <w:t>。年底</w:t>
      </w:r>
      <w:r>
        <w:rPr/>
        <w:t>25%/50%/25%</w:t>
      </w:r>
      <w:r>
        <w:rPr/>
        <w:t>期望</w:t>
      </w:r>
      <w:r>
        <w:rPr/>
        <w:t>63.125</w:t>
      </w:r>
      <w:r>
        <w:rPr/>
        <w:t>元，相对</w:t>
      </w:r>
      <w:r>
        <w:rPr/>
        <w:t>104</w:t>
      </w:r>
      <w:r>
        <w:rPr/>
        <w:t>元</w:t>
      </w:r>
      <w:r>
        <w:rPr/>
        <w:t>-39.30%</w:t>
      </w:r>
      <w:r>
        <w:rPr/>
        <w:t>；权重</w:t>
      </w:r>
      <w:r>
        <w:rPr/>
        <w:t>40%/50%/10%</w:t>
      </w:r>
      <w:r>
        <w:rPr/>
        <w:t>得到</w:t>
      </w:r>
      <w:r>
        <w:rPr/>
        <w:t>47</w:t>
      </w:r>
      <w:r>
        <w:rPr/>
        <w:t>元，</w:t>
      </w:r>
      <w:r>
        <w:rPr/>
        <w:t>10%/50%/40%</w:t>
      </w:r>
      <w:r>
        <w:rPr/>
        <w:t>得到</w:t>
      </w:r>
      <w:r>
        <w:rPr/>
        <w:t>79.25</w:t>
      </w:r>
      <w:r>
        <w:rPr/>
        <w:t>元。年底情景表示短期信息和估值重新定价的研究范围，非按</w:t>
      </w:r>
      <w:r>
        <w:rPr/>
        <w:t>12</w:t>
      </w:r>
      <w:r>
        <w:rPr/>
        <w:t>个月机构目标缩放，非统计置信区间或最大损失边界。公司相对结论为短期观察、三年以上有条件成长候选，尚不足以作为进取策略优先核心。最终推荐梯队由全部证券总表统一归组。</w:t>
      </w:r>
    </w:p>
    <w:p>
      <w:pPr>
        <w:pStyle w:val="Heading2"/>
        <w:rPr/>
      </w:pPr>
      <w:r>
        <w:rPr>
          <w:color w:val="000000"/>
        </w:rPr>
        <w:t>投资结论</w:t>
      </w:r>
    </w:p>
    <w:p>
      <w:pPr>
        <w:pStyle w:val="Normal"/>
        <w:rPr/>
      </w:pPr>
      <w:r>
        <w:rPr/>
        <w:t>美迪西已经从</w:t>
      </w:r>
      <w:r>
        <w:rPr/>
        <w:t>2025</w:t>
      </w:r>
      <w:r>
        <w:rPr/>
        <w:t>年年度亏损走到</w:t>
      </w:r>
      <w:r>
        <w:rPr/>
        <w:t>2026</w:t>
      </w:r>
      <w:r>
        <w:rPr/>
        <w:t>年上半年法定盈利，研发外包需求与实验室效率改善有真实证据。然而</w:t>
      </w:r>
      <w:r>
        <w:rPr/>
        <w:t>104</w:t>
      </w:r>
      <w:r>
        <w:rPr/>
        <w:t>元股价包含的利润复苏远强于已披露利润，业务向好与投资价格合适不能直接划等号。上半年收入增长四成、新签订单翻倍、毛利率提升，支持关注长期；按持续盈利估值，半年和一年基准仍低于当前价格。因此本章不以订单高增给出无条件短期买入，而把价格、交付质量与未来利润同步列为结论成立条件。</w:t>
      </w:r>
    </w:p>
    <w:p>
      <w:pPr>
        <w:pStyle w:val="Normal"/>
        <w:rPr/>
      </w:pPr>
      <w:r>
        <w:rPr/>
        <w:t>公司收入</w:t>
      </w:r>
      <w:r>
        <w:rPr/>
        <w:t>761.47</w:t>
      </w:r>
      <w:r>
        <w:rPr/>
        <w:t>百万元、归母</w:t>
      </w:r>
      <w:r>
        <w:rPr/>
        <w:t>51.60</w:t>
      </w:r>
      <w:r>
        <w:rPr/>
        <w:t>百万元、扣非</w:t>
      </w:r>
      <w:r>
        <w:rPr/>
        <w:t>43.03</w:t>
      </w:r>
      <w:r>
        <w:rPr/>
        <w:t>百万元，与去年同期亏损形成改善。扣除股份支付后的公司观察口径净利</w:t>
      </w:r>
      <w:r>
        <w:rPr/>
        <w:t>66.14</w:t>
      </w:r>
      <w:r>
        <w:rPr/>
        <w:t>百万元，比法定净利高</w:t>
      </w:r>
      <w:r>
        <w:rPr/>
        <w:t>14.54</w:t>
      </w:r>
      <w:r>
        <w:rPr/>
        <w:t>百万元，不能替代股东实际承担的费用。研究预测包含研发、坏账、激励、实验室折旧和正常税负，不把所有非现金支出加回。高毛利阶段服务增长可能使利润弹性高于收入，但人员扩张、客户付款和海外经营仍会约束弹性，不能仅把半年盈利简单乘四。</w:t>
      </w:r>
    </w:p>
    <w:p>
      <w:pPr>
        <w:pStyle w:val="Normal"/>
        <w:rPr/>
      </w:pPr>
      <w:r>
        <w:rPr/>
        <w:t>一年基准</w:t>
      </w:r>
      <w:r>
        <w:rPr/>
        <w:t>79.80</w:t>
      </w:r>
      <w:r>
        <w:rPr/>
        <w:t>元来自未来十二个月</w:t>
      </w:r>
      <w:r>
        <w:rPr/>
        <w:t>EPS2.10</w:t>
      </w:r>
      <w:r>
        <w:rPr/>
        <w:t>元和三十八倍</w:t>
      </w:r>
      <w:r>
        <w:rPr/>
        <w:t>PE</w:t>
      </w:r>
      <w:r>
        <w:rPr/>
        <w:t>，要求</w:t>
      </w:r>
      <w:r>
        <w:rPr/>
        <w:t>282.14</w:t>
      </w:r>
      <w:r>
        <w:rPr/>
        <w:t>百万元归母、</w:t>
      </w:r>
      <w:r>
        <w:rPr/>
        <w:t>2200</w:t>
      </w:r>
      <w:r>
        <w:rPr/>
        <w:t>百万元收入及</w:t>
      </w:r>
      <w:r>
        <w:rPr/>
        <w:t>12.82%</w:t>
      </w:r>
      <w:r>
        <w:rPr/>
        <w:t>净利率。与</w:t>
      </w:r>
      <w:r>
        <w:rPr/>
        <w:t>H1</w:t>
      </w:r>
      <w:r>
        <w:rPr/>
        <w:t>法定净利简单年化</w:t>
      </w:r>
      <w:r>
        <w:rPr/>
        <w:t>103.20</w:t>
      </w:r>
      <w:r>
        <w:rPr/>
        <w:t>百万元相比，要求仍相当强，却只得到</w:t>
      </w:r>
      <w:r>
        <w:rPr/>
        <w:t>-23.17%</w:t>
      </w:r>
      <w:r>
        <w:rPr/>
        <w:t>的含分红回报。乐观</w:t>
      </w:r>
      <w:r>
        <w:rPr/>
        <w:t>168</w:t>
      </w:r>
      <w:r>
        <w:rPr/>
        <w:t>元则需</w:t>
      </w:r>
      <w:r>
        <w:rPr/>
        <w:t>470.23</w:t>
      </w:r>
      <w:r>
        <w:rPr/>
        <w:t>百万元归母及四十八倍</w:t>
      </w:r>
      <w:r>
        <w:rPr/>
        <w:t>PE</w:t>
      </w:r>
      <w:r>
        <w:rPr/>
        <w:t>；上涨</w:t>
      </w:r>
      <w:r>
        <w:rPr/>
        <w:t>61.54%</w:t>
      </w:r>
      <w:r>
        <w:rPr/>
        <w:t>的条件不仅是复苏继续，还要净利率升至约</w:t>
      </w:r>
      <w:r>
        <w:rPr/>
        <w:t>18.09%</w:t>
      </w:r>
      <w:r>
        <w:rPr/>
        <w:t>并保持高估值。两个情景的差异说明当前入场价格对回报有决定作用。</w:t>
      </w:r>
    </w:p>
    <w:p>
      <w:pPr>
        <w:pStyle w:val="Normal"/>
        <w:rPr/>
      </w:pPr>
      <w:r>
        <w:rPr/>
        <w:t>三年和五年基准目标</w:t>
      </w:r>
      <w:r>
        <w:rPr/>
        <w:t>128</w:t>
      </w:r>
      <w:r>
        <w:rPr/>
        <w:t>、</w:t>
      </w:r>
      <w:r>
        <w:rPr/>
        <w:t>154</w:t>
      </w:r>
      <w:r>
        <w:rPr/>
        <w:t>元，含分红年化约七至八个百分点，属于经营兑现与价格接受度相匹配后的候选，而不是列表中最大的基准上涨空间。乐观上限更高，但依赖临床前项目增加、海外高价值客户、费用效率与回款改善。若临床前结构改善只持续一个半年、信用损失加剧、扩建长期闲置或海外投入继续放大亏损，应降低长期推荐。本章保留这些可推翻条件，避免把“长期”当作推迟检验预测的理由。</w:t>
      </w:r>
    </w:p>
    <w:p>
      <w:pPr>
        <w:pStyle w:val="Heading2"/>
        <w:rPr/>
      </w:pPr>
      <w:r>
        <w:rPr>
          <w:color w:val="000000"/>
        </w:rPr>
        <w:t>收入来源与服务权利边界</w:t>
      </w:r>
    </w:p>
    <w:p>
      <w:pPr>
        <w:pStyle w:val="Normal"/>
        <w:rPr/>
      </w:pPr>
      <w:r>
        <w:rPr/>
        <w:t>美迪西提供药物发现、药学研究、药效、药代及安全性评价等综合临床前研发服务，主要经济产出是数据、方法、化合物或研究报告，而不是客户药物上市后的全部销售权。客户从研发筛选进入</w:t>
      </w:r>
      <w:r>
        <w:rPr/>
        <w:t>IND</w:t>
      </w:r>
      <w:r>
        <w:rPr/>
        <w:t>申报，可在多个环节购买服务，综合平台有助于减少跨机构数据传递和项目管理。服务商在一条药物链中的技术贡献不意味着拥有药物产权；估值不能把客户肿瘤药、</w:t>
      </w:r>
      <w:r>
        <w:rPr/>
        <w:t>ADC</w:t>
      </w:r>
      <w:r>
        <w:rPr/>
        <w:t>或</w:t>
      </w:r>
      <w:r>
        <w:rPr/>
        <w:t>GLP-1</w:t>
      </w:r>
      <w:r>
        <w:rPr/>
        <w:t>的终端市场价值直接归给公司。</w:t>
      </w:r>
    </w:p>
    <w:p>
      <w:pPr>
        <w:pStyle w:val="Normal"/>
        <w:rPr/>
      </w:pPr>
      <w:r>
        <w:rPr/>
        <w:t>业务采用</w:t>
      </w:r>
      <w:r>
        <w:rPr/>
        <w:t>FTE</w:t>
      </w:r>
      <w:r>
        <w:rPr/>
        <w:t>与</w:t>
      </w:r>
      <w:r>
        <w:rPr/>
        <w:t>FFS</w:t>
      </w:r>
      <w:r>
        <w:rPr/>
        <w:t>等合同安排。按人员时间计价的</w:t>
      </w:r>
      <w:r>
        <w:rPr/>
        <w:t>FTE</w:t>
      </w:r>
      <w:r>
        <w:rPr/>
        <w:t>更依赖稳定团队和有效工作时数，按项目或服务计价的</w:t>
      </w:r>
      <w:r>
        <w:rPr/>
        <w:t>FFS</w:t>
      </w:r>
      <w:r>
        <w:rPr/>
        <w:t>更依赖实验复杂程度、工期与变更控制。前者人数增长能够支持收入但未必提升单人毛利，后者交付效率改善可能提高利润也可能引发客户压价。公司未完整公开两类合同的金额和利润率桥，研究不拼造统一客单价，更不将不同合同的新签金额理解为同样的收入确认速度。</w:t>
      </w:r>
    </w:p>
    <w:p>
      <w:pPr>
        <w:pStyle w:val="Normal"/>
        <w:rPr/>
      </w:pPr>
      <w:r>
        <w:rPr/>
        <w:t>综合服务粘性来自实验方法连续性、人员熟悉度、质量体系和数据可追溯。客户转移供应商需要重新沟通研究设计，某些注册资料也需保持一致，形成时间成本。粘性仍会被客户预算、临床失败、供应链多元化和竞争报价削弱，尤其早期项目更容易停止。美迪西需要通过后续项目转化与持续合格交付证明粘性，累计项目数只能作经验记录，不能作为永久留存率或排他合同的证据。</w:t>
      </w:r>
    </w:p>
    <w:p>
      <w:pPr>
        <w:pStyle w:val="Normal"/>
        <w:rPr/>
      </w:pPr>
      <w:r>
        <w:rPr/>
        <w:t>多阶段平台的协同价值在于同一团队可理解化合物药效、暴露与毒性之间的关系，减少结果解释断层。协同也需要内部质量和成本协调：发现阶段的高通量筛选、药学方法开发和</w:t>
      </w:r>
      <w:r>
        <w:rPr/>
        <w:t>GLP</w:t>
      </w:r>
      <w:r>
        <w:rPr/>
        <w:t>毒理实验的流程不同，不能仅靠组织名称就认定效率增加。判断协同应看跨阶段收入、毛利、项目复购与客户回款。本章没有独立加一项“协同估值”，避免在已经包含综合盈利的模型之外重复计价。</w:t>
      </w:r>
    </w:p>
    <w:p>
      <w:pPr>
        <w:pStyle w:val="Heading2"/>
        <w:rPr/>
      </w:pPr>
      <w:r>
        <w:rPr>
          <w:color w:val="000000"/>
        </w:rPr>
        <w:t>发现和药学板块的增长约束</w:t>
      </w:r>
    </w:p>
    <w:p>
      <w:pPr>
        <w:pStyle w:val="Normal"/>
        <w:rPr/>
      </w:pPr>
      <w:r>
        <w:rPr/>
        <w:t>H1</w:t>
      </w:r>
      <w:r>
        <w:rPr/>
        <w:t>药物发现和药学收入</w:t>
      </w:r>
      <w:r>
        <w:rPr/>
        <w:t>347.19</w:t>
      </w:r>
      <w:r>
        <w:rPr/>
        <w:t>百万元、同比</w:t>
      </w:r>
      <w:r>
        <w:rPr/>
        <w:t>29.42%</w:t>
      </w:r>
      <w:r>
        <w:rPr/>
        <w:t>，对应成本</w:t>
      </w:r>
      <w:r>
        <w:rPr/>
        <w:t>272.26</w:t>
      </w:r>
      <w:r>
        <w:rPr/>
        <w:t>百万元，毛利率约</w:t>
      </w:r>
      <w:r>
        <w:rPr/>
        <w:t>21.58%</w:t>
      </w:r>
      <w:r>
        <w:rPr/>
        <w:t>，低于集团</w:t>
      </w:r>
      <w:r>
        <w:rPr/>
        <w:t>31.60%</w:t>
      </w:r>
      <w:r>
        <w:rPr/>
        <w:t>。它仍是重要项目入口，却不能与临床前高毛利收入等同。该板块人员</w:t>
      </w:r>
      <w:r>
        <w:rPr/>
        <w:t>1562</w:t>
      </w:r>
      <w:r>
        <w:rPr/>
        <w:t>人、同比增加</w:t>
      </w:r>
      <w:r>
        <w:rPr/>
        <w:t>25.46%</w:t>
      </w:r>
      <w:r>
        <w:rPr/>
        <w:t>，收入和人员增速接近，提示规模扩大并未自动带来大幅单人收入跃升。人员统计与收入确认期间并不完全匹配，本章不将两者直接相除后宣称确定的生产率改善比例。</w:t>
      </w:r>
    </w:p>
    <w:p>
      <w:pPr>
        <w:pStyle w:val="Normal"/>
        <w:rPr/>
      </w:pPr>
      <w:r>
        <w:rPr/>
        <w:t>该板块新签约</w:t>
      </w:r>
      <w:r>
        <w:rPr/>
        <w:t>414</w:t>
      </w:r>
      <w:r>
        <w:rPr/>
        <w:t>百万元、增长</w:t>
      </w:r>
      <w:r>
        <w:rPr/>
        <w:t>57.19%</w:t>
      </w:r>
      <w:r>
        <w:rPr/>
        <w:t>，高于已确认收入增速，可能为之后交付提供储备。新签金额还需经历实验计划、客户付款、人员分配和项目验收，无法保证全部按原期执行。有些合同会随候选分子改变而追加或终止，金额大不代表高毛利。因此一年基准要求不仅承接订单，还要保持合理收费、控制变更成本；若收入扩大却低毛利项目占比上升，</w:t>
      </w:r>
      <w:r>
        <w:rPr/>
        <w:t>EPS</w:t>
      </w:r>
      <w:r>
        <w:rPr/>
        <w:t>基准应下调。</w:t>
      </w:r>
    </w:p>
    <w:p>
      <w:pPr>
        <w:pStyle w:val="Normal"/>
        <w:rPr/>
      </w:pPr>
      <w:r>
        <w:rPr/>
        <w:t>小分子、抗体、</w:t>
      </w:r>
      <w:r>
        <w:rPr/>
        <w:t>ADC</w:t>
      </w:r>
      <w:r>
        <w:rPr/>
        <w:t>、核酸和蛋白等研究对象对服务平台提出不同要求，化学合成、分析与生物评价并非完全可替代。公司技术覆盖增加可扩大可服务客户，但单个平台需要培养人才和反复验证方法，服务收费未必立刻覆盖投入。研究将新技术的价值放在收入和毛利的长期假设中，不为每个技术名词单列高倍数资产。只有实际合同、回款和可复用方法形成稳定收益，才应提高商业质量评分。</w:t>
      </w:r>
    </w:p>
    <w:p>
      <w:pPr>
        <w:pStyle w:val="Normal"/>
        <w:rPr/>
      </w:pPr>
      <w:r>
        <w:rPr/>
        <w:t>发现业务面临客户自建研发、同业扩充人员与</w:t>
      </w:r>
      <w:r>
        <w:rPr/>
        <w:t>AI</w:t>
      </w:r>
      <w:r>
        <w:rPr/>
        <w:t>筛选替代部分步骤的竞争。低成本筛选并不一定减少所有实验，较快产生候选分子也可能增加后续验证需求，但两种效应需观察。若客户把简单工作自动化并只外包复杂任务，公司平均收费有机会提高，人员技能却必须升级。不能把</w:t>
      </w:r>
      <w:r>
        <w:rPr/>
        <w:t>AI</w:t>
      </w:r>
      <w:r>
        <w:rPr/>
        <w:t>发展一概认定为需求增长，也不能认定全部实验服务会消失；关键是每单位有效实验所获得的付费与利润。</w:t>
      </w:r>
    </w:p>
    <w:p>
      <w:pPr>
        <w:pStyle w:val="Heading2"/>
        <w:rPr/>
      </w:pPr>
      <w:r>
        <w:rPr>
          <w:color w:val="000000"/>
        </w:rPr>
        <w:t>临床前板块与双报需求</w:t>
      </w:r>
    </w:p>
    <w:p>
      <w:pPr>
        <w:pStyle w:val="Normal"/>
        <w:rPr/>
      </w:pPr>
      <w:r>
        <w:rPr/>
        <w:t>H1</w:t>
      </w:r>
      <w:r>
        <w:rPr/>
        <w:t>临床前研究收入</w:t>
      </w:r>
      <w:r>
        <w:rPr/>
        <w:t>414.24</w:t>
      </w:r>
      <w:r>
        <w:rPr/>
        <w:t>百万元、增长</w:t>
      </w:r>
      <w:r>
        <w:rPr/>
        <w:t>52.26%</w:t>
      </w:r>
      <w:r>
        <w:rPr/>
        <w:t>，成本</w:t>
      </w:r>
      <w:r>
        <w:rPr/>
        <w:t>248.61</w:t>
      </w:r>
      <w:r>
        <w:rPr/>
        <w:t>百万元，毛利约</w:t>
      </w:r>
      <w:r>
        <w:rPr/>
        <w:t>39.99%</w:t>
      </w:r>
      <w:r>
        <w:rPr/>
        <w:t>。临床前业务已占两主营板块收入较大部分，其快速增长对集团毛利提升有贡献。药效、药代和毒理需要实验设计、动物设施、分析能力及质量记录，部分项目临近</w:t>
      </w:r>
      <w:r>
        <w:rPr/>
        <w:t>IND</w:t>
      </w:r>
      <w:r>
        <w:rPr/>
        <w:t>申报，客户预算相对有明确目标。但项目失败或客户融资受阻仍可使研发中止，不能把申报前阶段等同上市后的稳定重复生产。</w:t>
      </w:r>
    </w:p>
    <w:p>
      <w:pPr>
        <w:pStyle w:val="Normal"/>
        <w:rPr/>
      </w:pPr>
      <w:r>
        <w:rPr/>
        <w:t>临床前新签约</w:t>
      </w:r>
      <w:r>
        <w:rPr/>
        <w:t>820</w:t>
      </w:r>
      <w:r>
        <w:rPr/>
        <w:t>百万元、增长</w:t>
      </w:r>
      <w:r>
        <w:rPr/>
        <w:t>141.63%</w:t>
      </w:r>
      <w:r>
        <w:rPr/>
        <w:t>，在两个板块中增长更强，人员</w:t>
      </w:r>
      <w:r>
        <w:rPr/>
        <w:t>909</w:t>
      </w:r>
      <w:r>
        <w:rPr/>
        <w:t>人、增长</w:t>
      </w:r>
      <w:r>
        <w:rPr/>
        <w:t>24.69%</w:t>
      </w:r>
      <w:r>
        <w:rPr/>
        <w:t>。订单增速明显超过人员可以支持未来利用率提升的判断，实际利用率百分比并未公开，研究不补造。若实验周期更长、动物成本上涨或复杂项目需要额外人员，增量利润可能低于单纯订单增长所暗示的水平。基准情景要求项目质量与交付时点同时改善，而不是只以订单总额证明利润率目标。</w:t>
      </w:r>
    </w:p>
    <w:p>
      <w:pPr>
        <w:pStyle w:val="Normal"/>
        <w:rPr/>
      </w:pPr>
      <w:r>
        <w:rPr/>
        <w:t>公司中美双报研究收入约</w:t>
      </w:r>
      <w:r>
        <w:rPr/>
        <w:t>167</w:t>
      </w:r>
      <w:r>
        <w:rPr/>
        <w:t>百万元、增长</w:t>
      </w:r>
      <w:r>
        <w:rPr/>
        <w:t>93.46%</w:t>
      </w:r>
      <w:r>
        <w:rPr/>
        <w:t>、占主营</w:t>
      </w:r>
      <w:r>
        <w:rPr/>
        <w:t>21.87%</w:t>
      </w:r>
      <w:r>
        <w:rPr/>
        <w:t>。这一口径按项目服务性质划分，不等于境外地区收入</w:t>
      </w:r>
      <w:r>
        <w:rPr/>
        <w:t>347.97</w:t>
      </w:r>
      <w:r>
        <w:rPr/>
        <w:t>百万元，也不是全部美国本土实验室销售。双报可提高数据方法和质量要求，增加服务金额，但监管受理、数据审查与最终临床审批仍属于客户产品进程。研究保留双报收入的独立定义，避免将它再加到境外营收形成重复收入。</w:t>
      </w:r>
    </w:p>
    <w:p>
      <w:pPr>
        <w:pStyle w:val="Normal"/>
        <w:rPr/>
      </w:pPr>
      <w:r>
        <w:rPr/>
        <w:t>H1</w:t>
      </w:r>
      <w:r>
        <w:rPr/>
        <w:t>公司协助</w:t>
      </w:r>
      <w:r>
        <w:rPr/>
        <w:t>39</w:t>
      </w:r>
      <w:r>
        <w:rPr/>
        <w:t>个客户</w:t>
      </w:r>
      <w:r>
        <w:rPr/>
        <w:t>IND</w:t>
      </w:r>
      <w:r>
        <w:rPr/>
        <w:t>项目获批，</w:t>
      </w:r>
      <w:r>
        <w:rPr/>
        <w:t>2015</w:t>
      </w:r>
      <w:r>
        <w:rPr/>
        <w:t>年以来累计</w:t>
      </w:r>
      <w:r>
        <w:rPr/>
        <w:t>691</w:t>
      </w:r>
      <w:r>
        <w:rPr/>
        <w:t>个，反映服务经验与注册支持能力。</w:t>
      </w:r>
      <w:r>
        <w:rPr/>
        <w:t>IND</w:t>
      </w:r>
      <w:r>
        <w:rPr/>
        <w:t>批准主要允许临床研究启动，不是证明临床有效、安全或商业成功，也不是药品上市批准。临床项目的成功率、定价和销售由后续证据决定，公司一般收取服务费而非全部药物权益。模型将这类数据用于判断项目获取能力，不对累计</w:t>
      </w:r>
      <w:r>
        <w:rPr/>
        <w:t>691</w:t>
      </w:r>
      <w:r>
        <w:rPr/>
        <w:t>个项目各赋相同成功率并叠加药物</w:t>
      </w:r>
      <w:r>
        <w:rPr/>
        <w:t>rNPV</w:t>
      </w:r>
      <w:r>
        <w:rPr/>
        <w:t>。</w:t>
      </w:r>
    </w:p>
    <w:p>
      <w:pPr>
        <w:pStyle w:val="Heading2"/>
        <w:rPr/>
      </w:pPr>
      <w:r>
        <w:rPr>
          <w:color w:val="000000"/>
        </w:rPr>
        <w:t>客户技术方向与研究证据</w:t>
      </w:r>
    </w:p>
    <w:p>
      <w:pPr>
        <w:pStyle w:val="Normal"/>
        <w:rPr/>
      </w:pPr>
      <w:r>
        <w:rPr/>
        <w:t>公司披露</w:t>
      </w:r>
      <w:r>
        <w:rPr/>
        <w:t>ADC</w:t>
      </w:r>
      <w:r>
        <w:rPr/>
        <w:t>客户临床批准</w:t>
      </w:r>
      <w:r>
        <w:rPr/>
        <w:t>36</w:t>
      </w:r>
      <w:r>
        <w:rPr/>
        <w:t>个、抗体</w:t>
      </w:r>
      <w:r>
        <w:rPr/>
        <w:t>51</w:t>
      </w:r>
      <w:r>
        <w:rPr/>
        <w:t>个、</w:t>
      </w:r>
      <w:r>
        <w:rPr/>
        <w:t>GLP-1</w:t>
      </w:r>
      <w:r>
        <w:rPr/>
        <w:t>类</w:t>
      </w:r>
      <w:r>
        <w:rPr/>
        <w:t>21</w:t>
      </w:r>
      <w:r>
        <w:rPr/>
        <w:t>个，属于公司客户统计，类别间可能包含交叉，不能简单累加成独立药物数量。</w:t>
      </w:r>
      <w:r>
        <w:rPr/>
        <w:t>ADC</w:t>
      </w:r>
      <w:r>
        <w:rPr/>
        <w:t>需要连接子、载荷、偶联分析与多物种研究，</w:t>
      </w:r>
      <w:r>
        <w:rPr/>
        <w:t>GLP-1</w:t>
      </w:r>
      <w:r>
        <w:rPr/>
        <w:t>等代谢药又要求长期暴露和特定药效模型，不同技术可提高服务复杂度。当前缺少按技术类别的收入利润拆分，本章不为这些客户统计赋统一合同价值，也不把行业热门程度直接当收入占比。</w:t>
      </w:r>
    </w:p>
    <w:p>
      <w:pPr>
        <w:pStyle w:val="Normal"/>
        <w:rPr/>
      </w:pPr>
      <w:r>
        <w:rPr/>
        <w:t>服务证据应区分研究方法能力、客户申报成功、临床有效和商业化销售四个层次。某个客户通过</w:t>
      </w:r>
      <w:r>
        <w:rPr/>
        <w:t>IND</w:t>
      </w:r>
      <w:r>
        <w:rPr/>
        <w:t>体现前期数据满足启动要求，后续疗效阴性也不一定说明服务质量失效；相反，严格产生真实阴性结果本身可能是高质量服务。公司长期竞争力要靠可重复、可追溯和合规数据，不能依赖只报告阳性项目。预测中不把客户临床阳性率高低直接转换成供应商全部盈利概率。</w:t>
      </w:r>
    </w:p>
    <w:p>
      <w:pPr>
        <w:pStyle w:val="Normal"/>
        <w:rPr/>
      </w:pPr>
      <w:r>
        <w:rPr/>
        <w:t>新技术可能提高实验复杂性，也可能引发新方法替代。类器官、体外模型和计算模拟能够帮助筛选和机制解释，但具体能否替代某项监管实验取决于方法验证和适用要求。美迪西建立</w:t>
      </w:r>
      <w:r>
        <w:rPr/>
        <w:t>NAMs</w:t>
      </w:r>
      <w:r>
        <w:rPr/>
        <w:t>和相关平台有助于适应需求变化，仍需形成可收费订单和监管可接受结果。十年经营展望应检验公司是否跟上方法改变，而不能只按当前实验动物服务容量线性扩张。</w:t>
      </w:r>
    </w:p>
    <w:p>
      <w:pPr>
        <w:pStyle w:val="Normal"/>
        <w:rPr/>
      </w:pPr>
      <w:r>
        <w:rPr/>
        <w:t>研发工具成果与独家产品资产的界限同样重要。公司自主建立连接子、酶库或分析方法，有机会提高服务效率，但不一定拥有可以单独授权药物的完整产权和临床证据。本章没有取得足够独立商业化条款，未把所有技术平台当创新药资产估值。缺乏单列估值不是确认其价值为零，而是已将可见技术贡献放在服务盈利模型，若将来披露授权收益和权利边界，可再补充资产估值。</w:t>
      </w:r>
    </w:p>
    <w:p>
      <w:pPr>
        <w:pStyle w:val="Heading2"/>
        <w:rPr/>
      </w:pPr>
      <w:r>
        <w:rPr>
          <w:color w:val="000000"/>
        </w:rPr>
        <w:t>实验室能力 质量与地域投入</w:t>
      </w:r>
    </w:p>
    <w:p>
      <w:pPr>
        <w:pStyle w:val="Normal"/>
        <w:rPr/>
      </w:pPr>
      <w:r>
        <w:rPr/>
        <w:t>中报披露公司已投入研发办公面积超过</w:t>
      </w:r>
      <w:r>
        <w:rPr/>
        <w:t>9.2</w:t>
      </w:r>
      <w:r>
        <w:rPr/>
        <w:t>万平方米，南汇实验室在逐步装修投入；</w:t>
      </w:r>
      <w:r>
        <w:rPr/>
        <w:t>GLP</w:t>
      </w:r>
      <w:r>
        <w:rPr/>
        <w:t>面积约</w:t>
      </w:r>
      <w:r>
        <w:rPr/>
        <w:t>2.9</w:t>
      </w:r>
      <w:r>
        <w:rPr/>
        <w:t>万平方米、覆盖九项服务。面积代表设施规模，并不代表全部同时投入、全部有效使用或能按相同收入密度盈利。实验室需要设备校验、动物设施、人力与质量体系，闲置空间也可能产生折旧和维护费。估值以盈利兑现为主，不能把平方米数量乘一个行业收入系数作为确定产值。</w:t>
      </w:r>
    </w:p>
    <w:p>
      <w:pPr>
        <w:pStyle w:val="Normal"/>
        <w:rPr/>
      </w:pPr>
      <w:r>
        <w:rPr/>
        <w:t>公司披露</w:t>
      </w:r>
      <w:r>
        <w:rPr/>
        <w:t>2026</w:t>
      </w:r>
      <w:r>
        <w:rPr/>
        <w:t>年五月完成</w:t>
      </w:r>
      <w:r>
        <w:rPr/>
        <w:t>NMPA</w:t>
      </w:r>
      <w:r>
        <w:rPr/>
        <w:t>定期复查、波士顿实验室六月取得</w:t>
      </w:r>
      <w:r>
        <w:rPr/>
        <w:t>AAALAC</w:t>
      </w:r>
      <w:r>
        <w:rPr/>
        <w:t>相关认证。本章依据公司原中报保存时点，监管原件及完整证书未独立取得，不能扩大为全部设施永久合格。</w:t>
      </w:r>
      <w:r>
        <w:rPr/>
        <w:t>GLP</w:t>
      </w:r>
      <w:r>
        <w:rPr/>
        <w:t>质量认可、动物福利认证和</w:t>
      </w:r>
      <w:r>
        <w:rPr/>
        <w:t>FDA</w:t>
      </w:r>
      <w:r>
        <w:rPr/>
        <w:t>药品上市批准用途不同，取得前两项不能替代客户产品批准。它们支持平台准入和交付能力，未来仍需维持标准，质量违规或数据问题可迅速推翻成长推荐。</w:t>
      </w:r>
    </w:p>
    <w:p>
      <w:pPr>
        <w:pStyle w:val="Normal"/>
        <w:rPr/>
      </w:pPr>
      <w:r>
        <w:rPr/>
        <w:t>公司拥有约一千一百种药效模型、其中约八百种肿瘤模型，肿瘤属于药效模型范围，不能相加为一千九百种。模型数量有助于适应客户不同疾病，但适用性、复现能力和样本质量比单纯数量更重要。若某些模型不能有效预测临床反应，仍需要更贴近机制的验证。研究不因模型库庞大赋确定临床成功率，而关注它能否缩短方法开发、提高客户续约与收费。</w:t>
      </w:r>
    </w:p>
    <w:p>
      <w:pPr>
        <w:pStyle w:val="Normal"/>
        <w:rPr/>
      </w:pPr>
      <w:r>
        <w:rPr/>
        <w:t>美国子公司</w:t>
      </w:r>
      <w:r>
        <w:rPr/>
        <w:t>H1</w:t>
      </w:r>
      <w:r>
        <w:rPr/>
        <w:t>收入</w:t>
      </w:r>
      <w:r>
        <w:rPr/>
        <w:t>52.38</w:t>
      </w:r>
      <w:r>
        <w:rPr/>
        <w:t>百万元、净亏</w:t>
      </w:r>
      <w:r>
        <w:rPr/>
        <w:t>10.85</w:t>
      </w:r>
      <w:r>
        <w:rPr/>
        <w:t>百万元、净资产负</w:t>
      </w:r>
      <w:r>
        <w:rPr/>
        <w:t>3.79</w:t>
      </w:r>
      <w:r>
        <w:rPr/>
        <w:t>百万元。集团境外收入大于美国主体销售，因为中国实验室也承接境外客户，不能用美国子公司一张表代表所有出口业务。当地布局有利客户沟通与区域化需求，也有工资、租赁和合规成本。海外中心投入在一年期更像费用与订单培育，三年后能否成为利润来源需要验证，不能把国际化本身作为盈利提升的确定证据。</w:t>
      </w:r>
    </w:p>
    <w:p>
      <w:pPr>
        <w:pStyle w:val="Heading2"/>
        <w:rPr/>
      </w:pPr>
      <w:r>
        <w:rPr>
          <w:color w:val="000000"/>
        </w:rPr>
        <w:t>境内外收入和政策传导</w:t>
      </w:r>
    </w:p>
    <w:p>
      <w:pPr>
        <w:pStyle w:val="Normal"/>
        <w:rPr/>
      </w:pPr>
      <w:r>
        <w:rPr/>
        <w:t>H1</w:t>
      </w:r>
      <w:r>
        <w:rPr/>
        <w:t>境内收入</w:t>
      </w:r>
      <w:r>
        <w:rPr/>
        <w:t>413.50</w:t>
      </w:r>
      <w:r>
        <w:rPr/>
        <w:t>百万元、境外</w:t>
      </w:r>
      <w:r>
        <w:rPr/>
        <w:t>347.97</w:t>
      </w:r>
      <w:r>
        <w:rPr/>
        <w:t>百万元，分别约</w:t>
      </w:r>
      <w:r>
        <w:rPr/>
        <w:t>54.30%</w:t>
      </w:r>
      <w:r>
        <w:rPr/>
        <w:t>、</w:t>
      </w:r>
      <w:r>
        <w:rPr/>
        <w:t>45.70%</w:t>
      </w:r>
      <w:r>
        <w:rPr/>
        <w:t>；按合并附注成本计算，境内毛利约</w:t>
      </w:r>
      <w:r>
        <w:rPr/>
        <w:t>29.92%</w:t>
      </w:r>
      <w:r>
        <w:rPr/>
        <w:t>、境外约</w:t>
      </w:r>
      <w:r>
        <w:rPr/>
        <w:t>33.59%</w:t>
      </w:r>
      <w:r>
        <w:rPr/>
        <w:t>。两地区均有增长，但其盈利还受汇率、合同服务类别与实验成本影响。地域分类一般依据合同客户所在地等报表口径，不是实验实际发生地点。本章不把境外收入全部当外币净敞口，也不把境内双报项目自动归入美国业务。</w:t>
      </w:r>
    </w:p>
    <w:p>
      <w:pPr>
        <w:pStyle w:val="Normal"/>
        <w:rPr/>
      </w:pPr>
      <w:r>
        <w:rPr/>
        <w:t>国内创新药融资和研发支出增加可推动临床前服务，医保谈判影响的是客户未来商业回报和研发预算，传导存在滞后。热门靶点拥挤可能让客户同时增加前期投入又面临更低预期收益，服务商订单短期增长与行业长期盈利压力可并存。美迪西需要筛选有资金和差异化项目，不能只追求合同数量。若客户预算扩大但付款拖延，应收减值可能先抵消收入增长的价值。</w:t>
      </w:r>
    </w:p>
    <w:p>
      <w:pPr>
        <w:pStyle w:val="Normal"/>
        <w:rPr/>
      </w:pPr>
      <w:r>
        <w:rPr/>
        <w:t>海外客户考虑供应链区域化、数据安全和跨境合作，平台是否能满足质量与地域要求比简单低成本更关键。美国本土实验室可改善沟通与合规适配，国内设施仍需要透明记录、资料管理和可靠交付。政策变化可能使客户减少某些跨境服务，或提高合规成本；没有正式法规和合同依据，不断言某个限制必然覆盖公司全部收入。悲观情景以需求和倍数受压反映风险，未伪造具体制裁清单影响金额。</w:t>
      </w:r>
    </w:p>
    <w:p>
      <w:pPr>
        <w:pStyle w:val="Normal"/>
        <w:rPr/>
      </w:pPr>
      <w:r>
        <w:rPr/>
        <w:t>创新药跨境授权增加可带来临床前补充研究、</w:t>
      </w:r>
      <w:r>
        <w:rPr/>
        <w:t>CMC</w:t>
      </w:r>
      <w:r>
        <w:rPr/>
        <w:t>与全球申报需求，但授权金额归药物权利人，美迪西只能获得合同确定的服务收入。大额</w:t>
      </w:r>
      <w:r>
        <w:rPr/>
        <w:t>BD</w:t>
      </w:r>
      <w:r>
        <w:rPr/>
        <w:t>新闻不应直接乘服务比例纳入模型，里程碑可能分期且有条件。真正可跟踪的是客户是否形成新研究合同、付款及数据交付，授权热度只提供需求线索。公司长期推荐取决于承接高质量项目的能力，而非全行业交易总额持续创造纪录。</w:t>
      </w:r>
    </w:p>
    <w:p>
      <w:pPr>
        <w:pStyle w:val="Heading2"/>
        <w:rPr/>
      </w:pPr>
      <w:r>
        <w:rPr>
          <w:color w:val="000000"/>
        </w:rPr>
        <w:t>竞争格局与周期位置</w:t>
      </w:r>
    </w:p>
    <w:p>
      <w:pPr>
        <w:pStyle w:val="Normal"/>
        <w:rPr/>
      </w:pPr>
      <w:r>
        <w:rPr/>
        <w:t>临床前</w:t>
      </w:r>
      <w:r>
        <w:rPr/>
        <w:t>CRO</w:t>
      </w:r>
      <w:r>
        <w:rPr/>
        <w:t>竞争包含综合大型平台、毒理专门机构、发现服务商、客户自建团队以及海外供应商。大型平台有规模和客户网络，专门机构可在某方法上具有深度，美迪西综合覆盖提供一体化便利。低价订单可能提高短期利用率却损害毛利，过度筛选又可能失去未来项目入口。研究更重视持续利润和现金质量，不能把任何一种竞争策略简单判为最优，也不按实验面积大小直接排列护城河。</w:t>
      </w:r>
    </w:p>
    <w:p>
      <w:pPr>
        <w:pStyle w:val="Normal"/>
        <w:rPr/>
      </w:pPr>
      <w:r>
        <w:rPr/>
        <w:t>2023</w:t>
      </w:r>
      <w:r>
        <w:rPr/>
        <w:t>到</w:t>
      </w:r>
      <w:r>
        <w:rPr/>
        <w:t>2024</w:t>
      </w:r>
      <w:r>
        <w:rPr/>
        <w:t>公司收入下降、</w:t>
      </w:r>
      <w:r>
        <w:rPr/>
        <w:t>2025</w:t>
      </w:r>
      <w:r>
        <w:rPr/>
        <w:t>恢复而仍亏损，说明固定人员和设施成本使行业下行明显影响利润。</w:t>
      </w:r>
      <w:r>
        <w:rPr/>
        <w:t>2026H1</w:t>
      </w:r>
      <w:r>
        <w:rPr/>
        <w:t>收入和毛利改善与周期回暖相符，处在修复阶段，尚未证明进入永久高盈利平台。利用率从低位提高会带来较强边际利润，但接近充分使用后新增收入可能需要新人员与资本开支，利润弹性会下降。三年乐观不能简单沿用复苏初段的毛利增幅到所有未来年份。</w:t>
      </w:r>
    </w:p>
    <w:p>
      <w:pPr>
        <w:pStyle w:val="Normal"/>
        <w:rPr/>
      </w:pPr>
      <w:r>
        <w:rPr/>
        <w:t>实验动物、专业试剂和关键设备供应对临床前项目交付重要，费用下降可能改善毛利，也可能被客户议价分享。</w:t>
      </w:r>
      <w:r>
        <w:rPr/>
        <w:t>FY2025</w:t>
      </w:r>
      <w:r>
        <w:rPr/>
        <w:t>前五供应商采购占</w:t>
      </w:r>
      <w:r>
        <w:rPr/>
        <w:t>48.43%</w:t>
      </w:r>
      <w:r>
        <w:rPr/>
        <w:t>，高于客户集中度；它提示供应稳定和谈判问题，不能只从客户分散就认定全部经营风险低。公司未披露所有供应商身份和动物价格，本章不构造具体采购成本周期。未来若供应数量、疫病、运输或伦理要求变化，应检查实验进度和毛利压力。</w:t>
      </w:r>
    </w:p>
    <w:p>
      <w:pPr>
        <w:pStyle w:val="Normal"/>
        <w:rPr/>
      </w:pPr>
      <w:r>
        <w:rPr/>
        <w:t>行业需求与股价周期有明显时间差。当前股价二十日、六十日涨幅强，可能已反映后续盈利；基本面恢复却未必能再次推动同样幅度上涨。市场可提前定价订单改善，也可在盈利兑现时压缩倍数，因此一年价格目标必须同时考虑盈利与估值。本章短期评分并未因行业处于修复就给予最高预期回报分，长期评分则保留业务恢复的机会，以避免不同期限使用同一判断。</w:t>
      </w:r>
    </w:p>
    <w:p>
      <w:pPr>
        <w:pStyle w:val="Heading2"/>
        <w:rPr/>
      </w:pPr>
      <w:r>
        <w:rPr>
          <w:color w:val="000000"/>
        </w:rPr>
        <w:t>财务历史与盈利恢复质量</w:t>
      </w:r>
    </w:p>
    <w:p>
      <w:pPr>
        <w:pStyle w:val="Normal"/>
        <w:rPr/>
      </w:pPr>
      <w:r>
        <w:rPr/>
        <w:t>FY2023</w:t>
      </w:r>
      <w:r>
        <w:rPr/>
        <w:t>收入</w:t>
      </w:r>
      <w:r>
        <w:rPr/>
        <w:t>1365.63</w:t>
      </w:r>
      <w:r>
        <w:rPr/>
        <w:t>百万元、归母亏</w:t>
      </w:r>
      <w:r>
        <w:rPr/>
        <w:t>33.21</w:t>
      </w:r>
      <w:r>
        <w:rPr/>
        <w:t>百万元，</w:t>
      </w:r>
      <w:r>
        <w:rPr/>
        <w:t>FY2024</w:t>
      </w:r>
      <w:r>
        <w:rPr/>
        <w:t>收入</w:t>
      </w:r>
      <w:r>
        <w:rPr/>
        <w:t>1037.75</w:t>
      </w:r>
      <w:r>
        <w:rPr/>
        <w:t>百万元、亏</w:t>
      </w:r>
      <w:r>
        <w:rPr/>
        <w:t>330.85</w:t>
      </w:r>
      <w:r>
        <w:rPr/>
        <w:t>百万元，</w:t>
      </w:r>
      <w:r>
        <w:rPr/>
        <w:t>FY2025</w:t>
      </w:r>
      <w:r>
        <w:rPr/>
        <w:t>收入</w:t>
      </w:r>
      <w:r>
        <w:rPr/>
        <w:t>1163.06</w:t>
      </w:r>
      <w:r>
        <w:rPr/>
        <w:t>百万元、亏</w:t>
      </w:r>
      <w:r>
        <w:rPr/>
        <w:t>167.83</w:t>
      </w:r>
      <w:r>
        <w:rPr/>
        <w:t>百万元。三年波动表明规模与利润高度敏感于需求和资产成本，不能用当前半年好转抹去历史损失。收入恢复尚未超过</w:t>
      </w:r>
      <w:r>
        <w:rPr/>
        <w:t>2023</w:t>
      </w:r>
      <w:r>
        <w:rPr/>
        <w:t>年度水平，</w:t>
      </w:r>
      <w:r>
        <w:rPr/>
        <w:t>2026</w:t>
      </w:r>
      <w:r>
        <w:rPr/>
        <w:t>全年预测也未实际公布，研究所有未来数字都标为情景。年度净亏与半年扭亏之间需要后续季度验证。</w:t>
      </w:r>
    </w:p>
    <w:p>
      <w:pPr>
        <w:pStyle w:val="Normal"/>
        <w:rPr/>
      </w:pPr>
      <w:r>
        <w:rPr/>
        <w:t>FY2025</w:t>
      </w:r>
      <w:r>
        <w:rPr/>
        <w:t>扣非亏</w:t>
      </w:r>
      <w:r>
        <w:rPr/>
        <w:t>181.16</w:t>
      </w:r>
      <w:r>
        <w:rPr/>
        <w:t>百万元、法定亏</w:t>
      </w:r>
      <w:r>
        <w:rPr/>
        <w:t>167.83</w:t>
      </w:r>
      <w:r>
        <w:rPr/>
        <w:t>百万元，政府和投资等非经常项目减轻了亏损。四季度单季归母亏</w:t>
      </w:r>
      <w:r>
        <w:rPr/>
        <w:t>138.14</w:t>
      </w:r>
      <w:r>
        <w:rPr/>
        <w:t>百万元、显著大于前三季，说明年度费用和减值可集中确认，不能把上半年净利直接年化后认为全年必然相同。该提醒并不等于预测每年四季度重复相同损失，而是要求检查项目预计亏损、客户收款与资产减值。半年恢复的持续性应由完整年度利润桥证实。</w:t>
      </w:r>
    </w:p>
    <w:p>
      <w:pPr>
        <w:pStyle w:val="Normal"/>
        <w:rPr/>
      </w:pPr>
      <w:r>
        <w:rPr/>
        <w:t>H1</w:t>
      </w:r>
      <w:r>
        <w:rPr/>
        <w:t>毛利约</w:t>
      </w:r>
      <w:r>
        <w:rPr/>
        <w:t>240.60</w:t>
      </w:r>
      <w:r>
        <w:rPr/>
        <w:t>百万元，销售</w:t>
      </w:r>
      <w:r>
        <w:rPr/>
        <w:t>45.58</w:t>
      </w:r>
      <w:r>
        <w:rPr/>
        <w:t>、管理</w:t>
      </w:r>
      <w:r>
        <w:rPr/>
        <w:t>59.48</w:t>
      </w:r>
      <w:r>
        <w:rPr/>
        <w:t>、研发</w:t>
      </w:r>
      <w:r>
        <w:rPr/>
        <w:t>53.74</w:t>
      </w:r>
      <w:r>
        <w:rPr/>
        <w:t>、财务</w:t>
      </w:r>
      <w:r>
        <w:rPr/>
        <w:t>11.09</w:t>
      </w:r>
      <w:r>
        <w:rPr/>
        <w:t>百万元，期间费用对毛利仍占较大部分。收入增长</w:t>
      </w:r>
      <w:r>
        <w:rPr/>
        <w:t>40.91%</w:t>
      </w:r>
      <w:r>
        <w:rPr/>
        <w:t>而研发费用仅增</w:t>
      </w:r>
      <w:r>
        <w:rPr/>
        <w:t>9.20%</w:t>
      </w:r>
      <w:r>
        <w:rPr/>
        <w:t>，有助于费用率下降，但未来新平台、海外投入和人员需求未必保持低增长。研究净利率目标包含这些持续费用，不能只按</w:t>
      </w:r>
      <w:r>
        <w:rPr/>
        <w:t>39.99%</w:t>
      </w:r>
      <w:r>
        <w:rPr/>
        <w:t>临床前毛利减税计算整个集团净利。盈利质量需要分部贡献和集团费用共同改善。</w:t>
      </w:r>
    </w:p>
    <w:p>
      <w:pPr>
        <w:pStyle w:val="Normal"/>
        <w:rPr/>
      </w:pPr>
      <w:r>
        <w:rPr/>
        <w:t>H1</w:t>
      </w:r>
      <w:r>
        <w:rPr/>
        <w:t>法定净利</w:t>
      </w:r>
      <w:r>
        <w:rPr/>
        <w:t>51.60</w:t>
      </w:r>
      <w:r>
        <w:rPr/>
        <w:t>百万元、扣非</w:t>
      </w:r>
      <w:r>
        <w:rPr/>
        <w:t>43.03</w:t>
      </w:r>
      <w:r>
        <w:rPr/>
        <w:t>百万元，非经常净影响</w:t>
      </w:r>
      <w:r>
        <w:rPr/>
        <w:t>8.58</w:t>
      </w:r>
      <w:r>
        <w:rPr/>
        <w:t>百万元，约占法定净利六分之一。政府、金融资产收益和其他项目与核心收费不同，未来也不全确定重复。扣非盈利说明扭亏并非完全依赖一次性，但扣非口径仍含坏账和股权激励等经营成本，不能再全部加回为更高“真实净利”。本章目标以持续归母经济收益为基础，非经常桥用于检查，不作为无成本额外空间。</w:t>
      </w:r>
    </w:p>
    <w:p>
      <w:pPr>
        <w:pStyle w:val="Heading2"/>
        <w:rPr/>
      </w:pPr>
      <w:r>
        <w:rPr>
          <w:color w:val="000000"/>
        </w:rPr>
        <w:t>研发 股份支付与税负</w:t>
      </w:r>
    </w:p>
    <w:p>
      <w:pPr>
        <w:pStyle w:val="Normal"/>
        <w:rPr/>
      </w:pPr>
      <w:r>
        <w:rPr/>
        <w:t>研发投入</w:t>
      </w:r>
      <w:r>
        <w:rPr/>
        <w:t>53.74</w:t>
      </w:r>
      <w:r>
        <w:rPr/>
        <w:t>百万元、全部费用化，资本化为零，占收入</w:t>
      </w:r>
      <w:r>
        <w:rPr/>
        <w:t>7.06%</w:t>
      </w:r>
      <w:r>
        <w:rPr/>
        <w:t>，低于同期</w:t>
      </w:r>
      <w:r>
        <w:rPr/>
        <w:t>9.11%</w:t>
      </w:r>
      <w:r>
        <w:rPr/>
        <w:t>。费用化有助于避免开发资产在账面积累，但研发本身仍需要现金和人才。投入增速低于收入可改善短期利润，若未来技术竞争迫使投入加快，</w:t>
      </w:r>
      <w:r>
        <w:rPr/>
        <w:t>EPS</w:t>
      </w:r>
      <w:r>
        <w:rPr/>
        <w:t>不能继续享受同样费用率下降。研发模型、方法和计算平台成果需要用合同收费和效率验证，不能仅因研发费用化就认定财务风险完全消失。</w:t>
      </w:r>
    </w:p>
    <w:p>
      <w:pPr>
        <w:pStyle w:val="Normal"/>
        <w:rPr/>
      </w:pPr>
      <w:r>
        <w:rPr/>
        <w:t>H1</w:t>
      </w:r>
      <w:r>
        <w:rPr/>
        <w:t>股份支付合计</w:t>
      </w:r>
      <w:r>
        <w:rPr/>
        <w:t>16.96</w:t>
      </w:r>
      <w:r>
        <w:rPr/>
        <w:t>百万元，其中生产研发</w:t>
      </w:r>
      <w:r>
        <w:rPr/>
        <w:t>6.62</w:t>
      </w:r>
      <w:r>
        <w:rPr/>
        <w:t>、销售</w:t>
      </w:r>
      <w:r>
        <w:rPr/>
        <w:t>3.59</w:t>
      </w:r>
      <w:r>
        <w:rPr/>
        <w:t>、管理</w:t>
      </w:r>
      <w:r>
        <w:rPr/>
        <w:t>6.75</w:t>
      </w:r>
      <w:r>
        <w:rPr/>
        <w:t>百万元，计入资本公积。公司剔股份支付的净利桥高</w:t>
      </w:r>
      <w:r>
        <w:rPr/>
        <w:t>14.54</w:t>
      </w:r>
      <w:r>
        <w:rPr/>
        <w:t>百万元，与总费用差异包含税影响等口径，不应直接相加。股份支付可能当期不付款，但以股票权利交换劳动仍有股东成本，已通过费用或库存股经济价值体现。预测保留正常激励成本，不能以“非现金”把它永久删除后给较高</w:t>
      </w:r>
      <w:r>
        <w:rPr/>
        <w:t>EPS</w:t>
      </w:r>
      <w:r>
        <w:rPr/>
        <w:t>再使用法定股本。</w:t>
      </w:r>
    </w:p>
    <w:p>
      <w:pPr>
        <w:pStyle w:val="Normal"/>
        <w:rPr/>
      </w:pPr>
      <w:r>
        <w:rPr/>
        <w:t>2025</w:t>
      </w:r>
      <w:r>
        <w:rPr/>
        <w:t>第二类激励授予预测总费用</w:t>
      </w:r>
      <w:r>
        <w:rPr/>
        <w:t>50.39</w:t>
      </w:r>
      <w:r>
        <w:rPr/>
        <w:t>百万元，分</w:t>
      </w:r>
      <w:r>
        <w:rPr/>
        <w:t>2025</w:t>
      </w:r>
      <w:r>
        <w:rPr/>
        <w:t>、</w:t>
      </w:r>
      <w:r>
        <w:rPr/>
        <w:t>2026</w:t>
      </w:r>
      <w:r>
        <w:rPr/>
        <w:t>、</w:t>
      </w:r>
      <w:r>
        <w:rPr/>
        <w:t>2027</w:t>
      </w:r>
      <w:r>
        <w:rPr/>
        <w:t>约</w:t>
      </w:r>
      <w:r>
        <w:rPr/>
        <w:t>9.43</w:t>
      </w:r>
      <w:r>
        <w:rPr/>
        <w:t>、</w:t>
      </w:r>
      <w:r>
        <w:rPr/>
        <w:t>31.47</w:t>
      </w:r>
      <w:r>
        <w:rPr/>
        <w:t>、</w:t>
      </w:r>
      <w:r>
        <w:rPr/>
        <w:t>9.49</w:t>
      </w:r>
      <w:r>
        <w:rPr/>
        <w:t>百万元，这是授予时测算，</w:t>
      </w:r>
      <w:r>
        <w:rPr/>
        <w:t>H1</w:t>
      </w:r>
      <w:r>
        <w:rPr/>
        <w:t>两类计划实际费用并不与它一一对应。二类计划来源回购库存，首次和预留各有两期</w:t>
      </w:r>
      <w:r>
        <w:rPr/>
        <w:t>50%</w:t>
      </w:r>
      <w:r>
        <w:rPr/>
        <w:t>条件归属。未来费用会随离职和业绩条件等变化，研究跨年目标费用仅作近似假设，未把授予表视为未来实际审计数字。长期还可能有新计划，所以费用不能在</w:t>
      </w:r>
      <w:r>
        <w:rPr/>
        <w:t>2027</w:t>
      </w:r>
      <w:r>
        <w:rPr/>
        <w:t>后无依据降为零。</w:t>
      </w:r>
    </w:p>
    <w:p>
      <w:pPr>
        <w:pStyle w:val="Normal"/>
        <w:rPr/>
      </w:pPr>
      <w:r>
        <w:rPr/>
        <w:t>H1</w:t>
      </w:r>
      <w:r>
        <w:rPr/>
        <w:t>利润总额</w:t>
      </w:r>
      <w:r>
        <w:rPr/>
        <w:t>53.62</w:t>
      </w:r>
      <w:r>
        <w:rPr/>
        <w:t>百万元、所得税仅</w:t>
      </w:r>
      <w:r>
        <w:rPr/>
        <w:t>2.02</w:t>
      </w:r>
      <w:r>
        <w:rPr/>
        <w:t>百万元，表面有效税率约</w:t>
      </w:r>
      <w:r>
        <w:rPr/>
        <w:t>3.76%</w:t>
      </w:r>
      <w:r>
        <w:rPr/>
        <w:t>，包含递延税和不同主体税务因素。长期不能直接按这一低税率维持全集团净利润，亏损抵扣或税收优惠的可用额度与时间需要逐主体核。基准目标通过较正常的净利率设定保留税负恢复，未声称公司未来永久只有约四个点税率。完整税务桥仍缺，预测可信度中低，不能借低税扩大目标价而不解释来源。</w:t>
      </w:r>
    </w:p>
    <w:p>
      <w:pPr>
        <w:pStyle w:val="Heading2"/>
        <w:rPr/>
      </w:pPr>
      <w:r>
        <w:rPr>
          <w:color w:val="000000"/>
        </w:rPr>
        <w:t>应收账款 信用减值与客户资金</w:t>
      </w:r>
    </w:p>
    <w:p>
      <w:pPr>
        <w:pStyle w:val="Normal"/>
        <w:rPr/>
      </w:pPr>
      <w:r>
        <w:rPr/>
        <w:t>H1</w:t>
      </w:r>
      <w:r>
        <w:rPr/>
        <w:t>应收账款净额</w:t>
      </w:r>
      <w:r>
        <w:rPr/>
        <w:t>445.79</w:t>
      </w:r>
      <w:r>
        <w:rPr/>
        <w:t>百万元、毛额</w:t>
      </w:r>
      <w:r>
        <w:rPr/>
        <w:t>688.24</w:t>
      </w:r>
      <w:r>
        <w:rPr/>
        <w:t>百万元、坏账准备</w:t>
      </w:r>
      <w:r>
        <w:rPr/>
        <w:t>242.45</w:t>
      </w:r>
      <w:r>
        <w:rPr/>
        <w:t>百万元，准备占毛额约</w:t>
      </w:r>
      <w:r>
        <w:rPr/>
        <w:t>35.23%</w:t>
      </w:r>
      <w:r>
        <w:rPr/>
        <w:t>。毛额和准备都高，不能仅看净应收增长较温和就认定回款风险已经低。附注单项客户预计可收部分和不可收部分包含不同判断，组合还存在两年以上账龄。本章不猜匿名客户真实身份，也不认为销售表“客户一”与坏账表“客户一”必是同一家，脱敏编号不足以完成对应。</w:t>
      </w:r>
    </w:p>
    <w:p>
      <w:pPr>
        <w:pStyle w:val="Normal"/>
        <w:rPr/>
      </w:pPr>
      <w:r>
        <w:rPr/>
        <w:t>H1</w:t>
      </w:r>
      <w:r>
        <w:rPr/>
        <w:t>信用减值损失</w:t>
      </w:r>
      <w:r>
        <w:rPr/>
        <w:t>25.56</w:t>
      </w:r>
      <w:r>
        <w:rPr/>
        <w:t>百万元，去年同期约</w:t>
      </w:r>
      <w:r>
        <w:rPr/>
        <w:t>1.80</w:t>
      </w:r>
      <w:r>
        <w:rPr/>
        <w:t>百万元，收入高增同时信用成本明显上升。资产减值净转回</w:t>
      </w:r>
      <w:r>
        <w:rPr/>
        <w:t>0.44</w:t>
      </w:r>
      <w:r>
        <w:rPr/>
        <w:t>百万元，总计对税前利润减少</w:t>
      </w:r>
      <w:r>
        <w:rPr/>
        <w:t>25.11</w:t>
      </w:r>
      <w:r>
        <w:rPr/>
        <w:t>百万元，不能把负资产减值理解为全部坏账收回。回款改善与某些旧客户恶化可以并存，公司新订单增加也可能扩大客户风险。未来利润基准假设正常信用损失已扣，若高额计提连续发生，需下调净利而不是持续作为特殊项目加回。</w:t>
      </w:r>
    </w:p>
    <w:p>
      <w:pPr>
        <w:pStyle w:val="Normal"/>
        <w:rPr/>
      </w:pPr>
      <w:r>
        <w:rPr/>
        <w:t>合同资产净额</w:t>
      </w:r>
      <w:r>
        <w:rPr/>
        <w:t>36.63</w:t>
      </w:r>
      <w:r>
        <w:rPr/>
        <w:t>百万元，主要是履约后尚未满足无条件收款条件的金额，与已开票应收不同。时段收入</w:t>
      </w:r>
      <w:r>
        <w:rPr/>
        <w:t>612.10</w:t>
      </w:r>
      <w:r>
        <w:rPr/>
        <w:t>百万元约占总额八成，项目进度确认需要对履约和预计成本作判断。增长可能先出现在收入和合同资产，再变成应收、最终现金；不能单看收入增长判定现金已到位。研究跟踪应收账龄、项目验收、合同资产转票和收款，以检验会计增长能否变成股东价值。</w:t>
      </w:r>
    </w:p>
    <w:p>
      <w:pPr>
        <w:pStyle w:val="Normal"/>
        <w:rPr/>
      </w:pPr>
      <w:r>
        <w:rPr/>
        <w:t>FY2025</w:t>
      </w:r>
      <w:r>
        <w:rPr/>
        <w:t>前五客户销售</w:t>
      </w:r>
      <w:r>
        <w:rPr/>
        <w:t>251.08</w:t>
      </w:r>
      <w:r>
        <w:rPr/>
        <w:t>百万元、占</w:t>
      </w:r>
      <w:r>
        <w:rPr/>
        <w:t>21.58%</w:t>
      </w:r>
      <w:r>
        <w:rPr/>
        <w:t>，最大约</w:t>
      </w:r>
      <w:r>
        <w:rPr/>
        <w:t>5.18%</w:t>
      </w:r>
      <w:r>
        <w:rPr/>
        <w:t>，客户较分散，有利降低单个客户订单集中风险。但分散客户中生物科技资金能力差异大，较小客户并不天然低风险；综合坏账准备已提示客户信用仍重要。合同评审、预付款比例与付款里程碑能控制风险，也可能降低短期抢单速度。长期平台要以风险调整后合同利润评判，不能只按客户数量或低集中度提高财务最高评分。</w:t>
      </w:r>
    </w:p>
    <w:p>
      <w:pPr>
        <w:pStyle w:val="Heading2"/>
        <w:rPr/>
      </w:pPr>
      <w:r>
        <w:rPr>
          <w:color w:val="000000"/>
        </w:rPr>
        <w:t>现金流 营运资金和资本开支</w:t>
      </w:r>
    </w:p>
    <w:p>
      <w:pPr>
        <w:pStyle w:val="Normal"/>
        <w:rPr/>
      </w:pPr>
      <w:r>
        <w:rPr/>
        <w:t>H1</w:t>
      </w:r>
      <w:r>
        <w:rPr/>
        <w:t>经营现金流</w:t>
      </w:r>
      <w:r>
        <w:rPr/>
        <w:t>134.80</w:t>
      </w:r>
      <w:r>
        <w:rPr/>
        <w:t>百万元、增长</w:t>
      </w:r>
      <w:r>
        <w:rPr/>
        <w:t>80.53%</w:t>
      </w:r>
      <w:r>
        <w:rPr/>
        <w:t>，超过法定净利，销售收现</w:t>
      </w:r>
      <w:r>
        <w:rPr/>
        <w:t>805.02</w:t>
      </w:r>
      <w:r>
        <w:rPr/>
        <w:t>百万元为有利观察，但购建固定无形等</w:t>
      </w:r>
      <w:r>
        <w:rPr/>
        <w:t>108.02</w:t>
      </w:r>
      <w:r>
        <w:rPr/>
        <w:t>百万元后简单</w:t>
      </w:r>
      <w:r>
        <w:rPr/>
        <w:t>FCF</w:t>
      </w:r>
      <w:r>
        <w:rPr/>
        <w:t>仅</w:t>
      </w:r>
      <w:r>
        <w:rPr/>
        <w:t>26.78</w:t>
      </w:r>
      <w:r>
        <w:rPr/>
        <w:t>百万元。资本开支较去年</w:t>
      </w:r>
      <w:r>
        <w:rPr/>
        <w:t>H1</w:t>
      </w:r>
      <w:r>
        <w:rPr/>
        <w:t>约</w:t>
      </w:r>
      <w:r>
        <w:rPr/>
        <w:t>29.54</w:t>
      </w:r>
      <w:r>
        <w:rPr/>
        <w:t>百万元明显增大，实验室装修和设备等要持续占用现金。</w:t>
      </w:r>
      <w:r>
        <w:rPr/>
        <w:t>FCF</w:t>
      </w:r>
      <w:r>
        <w:rPr/>
        <w:t>为经营现金减购建支出，不等于扣除所有租赁本金、投资及融资安排后的股东可分配现金，报告同时呈示定义，避免将它直接当稳定分红能力。</w:t>
      </w:r>
    </w:p>
    <w:p>
      <w:pPr>
        <w:pStyle w:val="Normal"/>
        <w:rPr/>
      </w:pPr>
      <w:r>
        <w:rPr/>
        <w:t>现金流补充资料显示存货增加占用</w:t>
      </w:r>
      <w:r>
        <w:rPr/>
        <w:t>96.16</w:t>
      </w:r>
      <w:r>
        <w:rPr/>
        <w:t>百万元、经营应收项目增加占用</w:t>
      </w:r>
      <w:r>
        <w:rPr/>
        <w:t>155.37</w:t>
      </w:r>
      <w:r>
        <w:rPr/>
        <w:t>百万元，经营应付增加提供</w:t>
      </w:r>
      <w:r>
        <w:rPr/>
        <w:t>242.60</w:t>
      </w:r>
      <w:r>
        <w:rPr/>
        <w:t>百万元。正经营现金流有折旧等非现金费用支持，也有客户预收和供应付款安排支持，质量不能只看净值为正。合同负债从</w:t>
      </w:r>
      <w:r>
        <w:rPr/>
        <w:t>79.09</w:t>
      </w:r>
      <w:r>
        <w:rPr/>
        <w:t>增至</w:t>
      </w:r>
      <w:r>
        <w:rPr/>
        <w:t>187.42</w:t>
      </w:r>
      <w:r>
        <w:rPr/>
        <w:t>百万元，表明部分客户提前付款，后续履约需投入成本。该现金有助经营，但不能全部当额外利润或永远无需偿付的自由资产。</w:t>
      </w:r>
    </w:p>
    <w:p>
      <w:pPr>
        <w:pStyle w:val="Normal"/>
        <w:rPr/>
      </w:pPr>
      <w:r>
        <w:rPr/>
        <w:t>存货</w:t>
      </w:r>
      <w:r>
        <w:rPr/>
        <w:t>208.13</w:t>
      </w:r>
      <w:r>
        <w:rPr/>
        <w:t>百万元、预付款</w:t>
      </w:r>
      <w:r>
        <w:rPr/>
        <w:t>154.30</w:t>
      </w:r>
      <w:r>
        <w:rPr/>
        <w:t>百万元显著增加，可能与实验动物、材料、项目和交付储备有关，具体组合需附注逐项确认。采购预付和供应应付可同时增加，现金分类不能按某一余额孤立推断客户需求。若订单暂停或实验对象条件改变，部分库存与预付可能失去用途，需评估减值和退款权利。基准不假设所有营运资本永久释放，长期增长会继续消耗部分现金，完整三表联动缺口保留。</w:t>
      </w:r>
    </w:p>
    <w:p>
      <w:pPr>
        <w:pStyle w:val="Normal"/>
        <w:rPr/>
      </w:pPr>
      <w:r>
        <w:rPr/>
        <w:t>FY2025</w:t>
      </w:r>
      <w:r>
        <w:rPr/>
        <w:t>经营现金</w:t>
      </w:r>
      <w:r>
        <w:rPr/>
        <w:t>105.17</w:t>
      </w:r>
      <w:r>
        <w:rPr/>
        <w:t>百万元、购建</w:t>
      </w:r>
      <w:r>
        <w:rPr/>
        <w:t>69.03</w:t>
      </w:r>
      <w:r>
        <w:rPr/>
        <w:t>百万元、简单</w:t>
      </w:r>
      <w:r>
        <w:rPr/>
        <w:t>FCF36.14</w:t>
      </w:r>
      <w:r>
        <w:rPr/>
        <w:t>百万元；</w:t>
      </w:r>
      <w:r>
        <w:rPr/>
        <w:t>FY2024</w:t>
      </w:r>
      <w:r>
        <w:rPr/>
        <w:t>同口径</w:t>
      </w:r>
      <w:r>
        <w:rPr/>
        <w:t>FCF</w:t>
      </w:r>
      <w:r>
        <w:rPr/>
        <w:t>约负</w:t>
      </w:r>
      <w:r>
        <w:rPr/>
        <w:t>133.14</w:t>
      </w:r>
      <w:r>
        <w:rPr/>
        <w:t>百万元。现金恢复在</w:t>
      </w:r>
      <w:r>
        <w:rPr/>
        <w:t>2025</w:t>
      </w:r>
      <w:r>
        <w:rPr/>
        <w:t>开始，</w:t>
      </w:r>
      <w:r>
        <w:rPr/>
        <w:t>2026H1</w:t>
      </w:r>
      <w:r>
        <w:rPr/>
        <w:t>继续正值，但资本支出加快使现金余量并未同比成倍增加。投资支付和回收理财具有较大流水，</w:t>
      </w:r>
      <w:r>
        <w:rPr/>
        <w:t>725</w:t>
      </w:r>
      <w:r>
        <w:rPr/>
        <w:t>百万元收回投资不是主营现金收入，不能用它掩盖经营消耗。目标盈利需要与稳定现金转换同步，才具备较高经营质量评分。</w:t>
      </w:r>
    </w:p>
    <w:p>
      <w:pPr>
        <w:pStyle w:val="Heading2"/>
        <w:rPr/>
      </w:pPr>
      <w:r>
        <w:rPr>
          <w:color w:val="000000"/>
        </w:rPr>
        <w:t>可支付资金与债务边界</w:t>
      </w:r>
    </w:p>
    <w:p>
      <w:pPr>
        <w:pStyle w:val="Normal"/>
        <w:rPr/>
      </w:pPr>
      <w:r>
        <w:rPr/>
        <w:t>H1</w:t>
      </w:r>
      <w:r>
        <w:rPr/>
        <w:t>货币资金</w:t>
      </w:r>
      <w:r>
        <w:rPr/>
        <w:t>288.53</w:t>
      </w:r>
      <w:r>
        <w:rPr/>
        <w:t>百万元，现金及现金等价</w:t>
      </w:r>
      <w:r>
        <w:rPr/>
        <w:t>228.55</w:t>
      </w:r>
      <w:r>
        <w:rPr/>
        <w:t>百万元，差约</w:t>
      </w:r>
      <w:r>
        <w:rPr/>
        <w:t>59.98</w:t>
      </w:r>
      <w:r>
        <w:rPr/>
        <w:t>百万元主要为受限资金和保证金。资产受限附注列</w:t>
      </w:r>
      <w:r>
        <w:rPr/>
        <w:t>59.9758445</w:t>
      </w:r>
      <w:r>
        <w:rPr/>
        <w:t>百万元，与两表相减一致；现金流及诉讼附注列</w:t>
      </w:r>
      <w:r>
        <w:rPr/>
        <w:t>59.9750445</w:t>
      </w:r>
      <w:r>
        <w:rPr/>
        <w:t>百万元，差</w:t>
      </w:r>
      <w:r>
        <w:rPr/>
        <w:t>800</w:t>
      </w:r>
      <w:r>
        <w:rPr/>
        <w:t>元，原件内部小差异保留。研究使用可支付现金</w:t>
      </w:r>
      <w:r>
        <w:rPr/>
        <w:t>228.55</w:t>
      </w:r>
      <w:r>
        <w:rPr/>
        <w:t>百万元，不擅自把附注改一致，也不因差额很小忽略定义。冻结资产仍归公司但暂非可即时支付资金，解除时点需后续核验。</w:t>
      </w:r>
    </w:p>
    <w:p>
      <w:pPr>
        <w:pStyle w:val="Normal"/>
        <w:rPr/>
      </w:pPr>
      <w:r>
        <w:rPr/>
        <w:t>交易性金融</w:t>
      </w:r>
      <w:r>
        <w:rPr/>
        <w:t>192.85</w:t>
      </w:r>
      <w:r>
        <w:rPr/>
        <w:t>百万元为理财，当前债权投资</w:t>
      </w:r>
      <w:r>
        <w:rPr/>
        <w:t>43.06</w:t>
      </w:r>
      <w:r>
        <w:rPr/>
        <w:t>、非流动债权</w:t>
      </w:r>
      <w:r>
        <w:rPr/>
        <w:t>88.15</w:t>
      </w:r>
      <w:r>
        <w:rPr/>
        <w:t>百万元含存单或定存，其他非流动金融</w:t>
      </w:r>
      <w:r>
        <w:rPr/>
        <w:t>98.64</w:t>
      </w:r>
      <w:r>
        <w:rPr/>
        <w:t>百万元含产业投资。不同流动性和限制要求决定其资金用途，不能全当银行现金再重复叠加募集管理款。</w:t>
      </w:r>
      <w:r>
        <w:rPr/>
        <w:t>PE</w:t>
      </w:r>
      <w:r>
        <w:rPr/>
        <w:t>模型已包含经营与正常金融收益，未额外加全部金融资产；未来若做企业</w:t>
      </w:r>
      <w:r>
        <w:rPr/>
        <w:t>DCF</w:t>
      </w:r>
      <w:r>
        <w:rPr/>
        <w:t>应单独识别可支配超额现金、战略投资和限制，当前不声称完成此桥。</w:t>
      </w:r>
    </w:p>
    <w:p>
      <w:pPr>
        <w:pStyle w:val="Normal"/>
        <w:rPr/>
      </w:pPr>
      <w:r>
        <w:rPr/>
        <w:t>短借</w:t>
      </w:r>
      <w:r>
        <w:rPr/>
        <w:t>156.72</w:t>
      </w:r>
      <w:r>
        <w:rPr/>
        <w:t>百万元包含信用贷款</w:t>
      </w:r>
      <w:r>
        <w:rPr/>
        <w:t>141.64</w:t>
      </w:r>
      <w:r>
        <w:rPr/>
        <w:t>、未终止确认票据贴现</w:t>
      </w:r>
      <w:r>
        <w:rPr/>
        <w:t>15</w:t>
      </w:r>
      <w:r>
        <w:rPr/>
        <w:t>及应计利息</w:t>
      </w:r>
      <w:r>
        <w:rPr/>
        <w:t>0.084</w:t>
      </w:r>
      <w:r>
        <w:rPr/>
        <w:t>百万元，长借表列为空；租赁含当前部分约</w:t>
      </w:r>
      <w:r>
        <w:rPr/>
        <w:t>65.98</w:t>
      </w:r>
      <w:r>
        <w:rPr/>
        <w:t>百万元。应付银行承兑票据</w:t>
      </w:r>
      <w:r>
        <w:rPr/>
        <w:t>150.97</w:t>
      </w:r>
      <w:r>
        <w:rPr/>
        <w:t>百万元是经营支付安排，还可能带来保证金与到期现金需求，不因为它不是普通银行借款就忽视。总负债</w:t>
      </w:r>
      <w:r>
        <w:rPr/>
        <w:t>878.17</w:t>
      </w:r>
      <w:r>
        <w:rPr/>
        <w:t>百万元约占资产</w:t>
      </w:r>
      <w:r>
        <w:rPr/>
        <w:t>30.48%</w:t>
      </w:r>
      <w:r>
        <w:rPr/>
        <w:t>，现金短借覆盖尚可，但受限现金和实验室支出会削弱自由资金余量。</w:t>
      </w:r>
    </w:p>
    <w:p>
      <w:pPr>
        <w:pStyle w:val="Normal"/>
        <w:rPr/>
      </w:pPr>
      <w:r>
        <w:rPr/>
        <w:t>公司暂时没有披露持续经营重大不确定性并不意味着现金需求无限可承受。客户付款、供应票据到期、临时募集补流归还和海外投入时间可能集中，期间流动性压力可先于年度盈利恶化。本章不机械计算亏损公司现金跑道，因为</w:t>
      </w:r>
      <w:r>
        <w:rPr/>
        <w:t>H1</w:t>
      </w:r>
      <w:r>
        <w:rPr/>
        <w:t>已经营净流入且付款存在波动；应以月度现金、授信和资本安排测算。未取得月度细节时保留缺口，不能按一次半年现金余额除一次费用称能安全运营几年。</w:t>
      </w:r>
    </w:p>
    <w:p>
      <w:pPr>
        <w:pStyle w:val="Heading2"/>
        <w:rPr/>
      </w:pPr>
      <w:r>
        <w:rPr>
          <w:color w:val="000000"/>
        </w:rPr>
        <w:t>募投终止 调整与治理证据</w:t>
      </w:r>
    </w:p>
    <w:p>
      <w:pPr>
        <w:pStyle w:val="Normal"/>
        <w:rPr/>
      </w:pPr>
      <w:r>
        <w:rPr/>
        <w:t>2025</w:t>
      </w:r>
      <w:r>
        <w:rPr/>
        <w:t>北上海生物医药研发创新产业基地原计划总投资</w:t>
      </w:r>
      <w:r>
        <w:rPr/>
        <w:t>1570</w:t>
      </w:r>
      <w:r>
        <w:rPr/>
        <w:t>百万元已终止，</w:t>
      </w:r>
      <w:r>
        <w:rPr/>
        <w:t>H1</w:t>
      </w:r>
      <w:r>
        <w:rPr/>
        <w:t>专项再次确认，不能继续按原基地未来产能扩张讲成长。终止后剩余募集资金</w:t>
      </w:r>
      <w:r>
        <w:rPr/>
        <w:t>289.90</w:t>
      </w:r>
      <w:r>
        <w:rPr/>
        <w:t>百万元重新安排海外中心</w:t>
      </w:r>
      <w:r>
        <w:rPr/>
        <w:t>40</w:t>
      </w:r>
      <w:r>
        <w:rPr/>
        <w:t>、永久补流</w:t>
      </w:r>
      <w:r>
        <w:rPr/>
        <w:t>160</w:t>
      </w:r>
      <w:r>
        <w:rPr/>
        <w:t>和其余管理，</w:t>
      </w:r>
      <w:r>
        <w:rPr/>
        <w:t>2026</w:t>
      </w:r>
      <w:r>
        <w:rPr/>
        <w:t>又将部分资金投现有实验室扩建。资本重配可减轻过度扩张，但原投入并非不存在，现金和已形成资产仍需检查。研究将当前项目与已取消计划分开，防止重复计算资金和产能。</w:t>
      </w:r>
    </w:p>
    <w:p>
      <w:pPr>
        <w:pStyle w:val="Normal"/>
        <w:rPr/>
      </w:pPr>
      <w:r>
        <w:rPr/>
        <w:t>目前实验室扩建调整后募集计划</w:t>
      </w:r>
      <w:r>
        <w:rPr/>
        <w:t>217</w:t>
      </w:r>
      <w:r>
        <w:rPr/>
        <w:t>百万元、累计</w:t>
      </w:r>
      <w:r>
        <w:rPr/>
        <w:t>120.96</w:t>
      </w:r>
      <w:r>
        <w:rPr/>
        <w:t>百万元、进度</w:t>
      </w:r>
      <w:r>
        <w:rPr/>
        <w:t>55.74%</w:t>
      </w:r>
      <w:r>
        <w:rPr/>
        <w:t>，预计</w:t>
      </w:r>
      <w:r>
        <w:rPr/>
        <w:t>2027</w:t>
      </w:r>
      <w:r>
        <w:rPr/>
        <w:t>年一月达到预定可使用；海外营销研发中心</w:t>
      </w:r>
      <w:r>
        <w:rPr/>
        <w:t>40</w:t>
      </w:r>
      <w:r>
        <w:rPr/>
        <w:t>百万元、预计</w:t>
      </w:r>
      <w:r>
        <w:rPr/>
        <w:t>2027</w:t>
      </w:r>
      <w:r>
        <w:rPr/>
        <w:t>年八月。这些日期是预计状态，不等于已投产或达到充分利用。扩建可能先增加折旧与人员再贡献收入，海外中心也需客户培育。因此半年催化剂包含国内扩建验证，一年包含海外初期进度，利润效果在三年期要求更强，不把计划日直接当盈利拐点。</w:t>
      </w:r>
    </w:p>
    <w:p>
      <w:pPr>
        <w:pStyle w:val="Normal"/>
        <w:rPr/>
      </w:pPr>
      <w:r>
        <w:rPr/>
        <w:t>H1</w:t>
      </w:r>
      <w:r>
        <w:rPr/>
        <w:t>专项列募集专户余额</w:t>
      </w:r>
      <w:r>
        <w:rPr/>
        <w:t>2.1443</w:t>
      </w:r>
      <w:r>
        <w:rPr/>
        <w:t>百万元、临时补流</w:t>
      </w:r>
      <w:r>
        <w:rPr/>
        <w:t>54</w:t>
      </w:r>
      <w:r>
        <w:rPr/>
        <w:t>百万元、尚未到期现金管理</w:t>
      </w:r>
      <w:r>
        <w:rPr/>
        <w:t>140.50</w:t>
      </w:r>
      <w:r>
        <w:rPr/>
        <w:t>百万元。这是同一笔募集资产的不同用途状态，不能当三笔新的融资或把全部管理款重复加到财报理财。临时补流自四月二十一日起不超过十二个月并按需归还专户，内部划转不会创造集团新现金，但会限制可用于其他支出的资金。八月授权现金管理上限</w:t>
      </w:r>
      <w:r>
        <w:rPr/>
        <w:t>180</w:t>
      </w:r>
      <w:r>
        <w:rPr/>
        <w:t>百万元仅是权限，不证明已购满或新增现金。</w:t>
      </w:r>
    </w:p>
    <w:p>
      <w:pPr>
        <w:pStyle w:val="Normal"/>
        <w:rPr/>
      </w:pPr>
      <w:r>
        <w:rPr/>
        <w:t>专项承认误用募集</w:t>
      </w:r>
      <w:r>
        <w:rPr/>
        <w:t>1</w:t>
      </w:r>
      <w:r>
        <w:rPr/>
        <w:t>百万元支付已终止基地前期工程款，后以自有账户归还</w:t>
      </w:r>
      <w:r>
        <w:rPr/>
        <w:t>1.0092</w:t>
      </w:r>
      <w:r>
        <w:rPr/>
        <w:t>百万元含利息，归还避免资金缺口延续，但内部控制问题仍需记录。不能以纠正就完全删除治理风险，也不能把小额差错扩大成未证实的系统性侵占。长期评分应观察后续专户、付款审批与整改是否持续有效。对投资者有用的是实际资金流、纠正金额与程序，而非仅引用管理层“无不利影响”作为独立证明。</w:t>
      </w:r>
    </w:p>
    <w:p>
      <w:pPr>
        <w:pStyle w:val="Heading2"/>
        <w:rPr/>
      </w:pPr>
      <w:r>
        <w:rPr>
          <w:color w:val="000000"/>
        </w:rPr>
        <w:t>股本 库存股和持有人变化</w:t>
      </w:r>
    </w:p>
    <w:p>
      <w:pPr>
        <w:pStyle w:val="Normal"/>
        <w:rPr/>
      </w:pPr>
      <w:r>
        <w:rPr/>
        <w:t>H1</w:t>
      </w:r>
      <w:r>
        <w:rPr/>
        <w:t>已发行股份</w:t>
      </w:r>
      <w:r>
        <w:rPr/>
        <w:t>134352184</w:t>
      </w:r>
      <w:r>
        <w:rPr/>
        <w:t>股，最新行情股数一致。员工持股</w:t>
      </w:r>
      <w:r>
        <w:rPr/>
        <w:t>1371948</w:t>
      </w:r>
      <w:r>
        <w:rPr/>
        <w:t>股在</w:t>
      </w:r>
      <w:r>
        <w:rPr/>
        <w:t>2025</w:t>
      </w:r>
      <w:r>
        <w:rPr/>
        <w:t>年十月二十四日由回购库存非交易过户，认缴</w:t>
      </w:r>
      <w:r>
        <w:rPr/>
        <w:t>23.94</w:t>
      </w:r>
      <w:r>
        <w:rPr/>
        <w:t>百万元，二类激励</w:t>
      </w:r>
      <w:r>
        <w:rPr/>
        <w:t>100</w:t>
      </w:r>
      <w:r>
        <w:rPr/>
        <w:t>万股同样来源回购库存。因此这两类授予不能按新发行自动增加总股本，也不能在已经包含它们的发行股本基础上重复剔除。库存转出提高流通或权益分配影响与新发股数不同，</w:t>
      </w:r>
      <w:r>
        <w:rPr/>
        <w:t>EPS</w:t>
      </w:r>
      <w:r>
        <w:rPr/>
        <w:t>口径要保留已发行和加权股数差异。</w:t>
      </w:r>
    </w:p>
    <w:p>
      <w:pPr>
        <w:pStyle w:val="Normal"/>
        <w:rPr/>
      </w:pPr>
      <w:r>
        <w:rPr/>
        <w:t>二类授予价格</w:t>
      </w:r>
      <w:r>
        <w:rPr/>
        <w:t>31.37</w:t>
      </w:r>
      <w:r>
        <w:rPr/>
        <w:t>元、首次</w:t>
      </w:r>
      <w:r>
        <w:rPr/>
        <w:t>80</w:t>
      </w:r>
      <w:r>
        <w:rPr/>
        <w:t>万及预留</w:t>
      </w:r>
      <w:r>
        <w:rPr/>
        <w:t>20</w:t>
      </w:r>
      <w:r>
        <w:rPr/>
        <w:t>万，归属分别在授予后十二和二十四个月起按条件办理。原表明总授予，不等于</w:t>
      </w:r>
      <w:r>
        <w:rPr/>
        <w:t>2026</w:t>
      </w:r>
      <w:r>
        <w:rPr/>
        <w:t>年九月必已完成第一期实际过户；本章未取得后续归属登记，不能造确切日。员工持股十二个月锁定期也不意味着期满全数立即出售。短期流通预期影响可观察，但不推定持有人交易意图，模型主股本不变，未来额外融资压力另列研究假设。</w:t>
      </w:r>
    </w:p>
    <w:p>
      <w:pPr>
        <w:pStyle w:val="Normal"/>
        <w:rPr/>
      </w:pPr>
      <w:r>
        <w:rPr/>
        <w:t>八月十五日陈建煌计划最多</w:t>
      </w:r>
      <w:r>
        <w:rPr/>
        <w:t>2257396</w:t>
      </w:r>
      <w:r>
        <w:rPr/>
        <w:t>股、</w:t>
      </w:r>
      <w:r>
        <w:rPr/>
        <w:t>1.68%</w:t>
      </w:r>
      <w:r>
        <w:rPr/>
        <w:t>，窗口九月七日至十二月四日；九月二十二日公告截至九月十八日已卖</w:t>
      </w:r>
      <w:r>
        <w:rPr/>
        <w:t>991366</w:t>
      </w:r>
      <w:r>
        <w:rPr/>
        <w:t>股、约</w:t>
      </w:r>
      <w:r>
        <w:rPr/>
        <w:t>0.74%</w:t>
      </w:r>
      <w:r>
        <w:rPr/>
        <w:t>，余持</w:t>
      </w:r>
      <w:r>
        <w:rPr/>
        <w:t>8038220</w:t>
      </w:r>
      <w:r>
        <w:rPr/>
        <w:t>股、</w:t>
      </w:r>
      <w:r>
        <w:rPr/>
        <w:t>5.98%</w:t>
      </w:r>
      <w:r>
        <w:rPr/>
        <w:t>。理论计划余量</w:t>
      </w:r>
      <w:r>
        <w:rPr/>
        <w:t>1266030</w:t>
      </w:r>
      <w:r>
        <w:rPr/>
        <w:t>股只是该报告时点算术，不是十月九日实时剩余，也不保证卖满。陈建煌已非控制人，不能凭姓氏与陈金章等持股合并断言控制权变化；具体关系按公告和承诺记录。</w:t>
      </w:r>
    </w:p>
    <w:p>
      <w:pPr>
        <w:pStyle w:val="Normal"/>
        <w:rPr/>
      </w:pPr>
      <w:r>
        <w:rPr/>
        <w:t>减持可以增加阶段供给，不能直接证明经营被内部否定，也不能认为有公开计划就所有压力已消化。价格上涨同时有减持，表明成交供需仍由多方决定；量价图无法识别所有买卖人。研究把减持窗口作为年底和半年催化风险，若公司盈利及成交承接改善，它未必主导股价。长期模型则关注管理激励和资金治理是否与股东价值一致，避免把一次持有人变化作为十年商业模式结论。</w:t>
      </w:r>
    </w:p>
    <w:p>
      <w:pPr>
        <w:pStyle w:val="Heading2"/>
        <w:rPr/>
      </w:pPr>
      <w:r>
        <w:rPr>
          <w:color w:val="000000"/>
        </w:rPr>
        <w:t>关联采购与实验动物供应</w:t>
      </w:r>
    </w:p>
    <w:p>
      <w:pPr>
        <w:pStyle w:val="Normal"/>
        <w:rPr/>
      </w:pPr>
      <w:r>
        <w:rPr/>
        <w:t>八月二十五日关联交易预计增加</w:t>
      </w:r>
      <w:r>
        <w:rPr/>
        <w:t>5</w:t>
      </w:r>
      <w:r>
        <w:rPr/>
        <w:t>百万元，使普鑫采购全年上限</w:t>
      </w:r>
      <w:r>
        <w:rPr/>
        <w:t>10</w:t>
      </w:r>
      <w:r>
        <w:rPr/>
        <w:t>百万元，前七月已发生</w:t>
      </w:r>
      <w:r>
        <w:rPr/>
        <w:t>1.3743</w:t>
      </w:r>
      <w:r>
        <w:rPr/>
        <w:t>百万元。普鑫为公司参股</w:t>
      </w:r>
      <w:r>
        <w:rPr/>
        <w:t>23%</w:t>
      </w:r>
      <w:r>
        <w:rPr/>
        <w:t>的普莱全资子公司，经营实验猴繁育销售，股东家属关系由原公告披露。授权上限不是实际支出，也不是已独立证明定价完全公允。本章同时保留批准和回避程序与实质交易定义，既不因关联即认定不当，也不只凭程序就忽略采购比较。</w:t>
      </w:r>
    </w:p>
    <w:p>
      <w:pPr>
        <w:pStyle w:val="Normal"/>
        <w:rPr/>
      </w:pPr>
      <w:r>
        <w:rPr/>
        <w:t>稳定实验动物供应对毒理项目时间、成本与伦理合规重要，相关投资可能提高供应可见性，也会占用资本并形成关联利益。公司服务毛利改善时应检查原料成本和采购条款是否市场化，若供应价格下降客户可能要求降价。未来需求变化或</w:t>
      </w:r>
      <w:r>
        <w:rPr/>
        <w:t>NAMs</w:t>
      </w:r>
      <w:r>
        <w:rPr/>
        <w:t>替代部分实验，动物资源价值也会变化。长期模型没有把参股繁育资产和服务盈利重复全部估值，缺少单独股权现金流时不生成额外净资产溢价。</w:t>
      </w:r>
    </w:p>
    <w:p>
      <w:pPr>
        <w:pStyle w:val="Heading2"/>
        <w:rPr/>
      </w:pPr>
      <w:r>
        <w:rPr>
          <w:color w:val="000000"/>
        </w:rPr>
        <w:t>诉讼最新信息及反证</w:t>
      </w:r>
    </w:p>
    <w:p>
      <w:pPr>
        <w:pStyle w:val="Normal"/>
        <w:rPr/>
      </w:pPr>
      <w:r>
        <w:rPr/>
        <w:t>鸿绪原本诉请求</w:t>
      </w:r>
      <w:r>
        <w:rPr/>
        <w:t>158.53</w:t>
      </w:r>
      <w:r>
        <w:rPr/>
        <w:t>百万元，包括返还服务款、违约和损失等，</w:t>
      </w:r>
      <w:r>
        <w:rPr/>
        <w:t>H1</w:t>
      </w:r>
      <w:r>
        <w:rPr/>
        <w:t>仍处审理并有约</w:t>
      </w:r>
      <w:r>
        <w:rPr/>
        <w:t>59.48</w:t>
      </w:r>
      <w:r>
        <w:rPr/>
        <w:t>百万元货币资金被冻结。九月十九日公司公告本诉一审仅判子公司赔</w:t>
      </w:r>
      <w:r>
        <w:rPr/>
        <w:t>150552</w:t>
      </w:r>
      <w:r>
        <w:rPr/>
        <w:t>元、承担案件受理</w:t>
      </w:r>
      <w:r>
        <w:rPr/>
        <w:t>3311</w:t>
      </w:r>
      <w:r>
        <w:rPr/>
        <w:t>元及保全</w:t>
      </w:r>
      <w:r>
        <w:rPr/>
        <w:t>5000</w:t>
      </w:r>
      <w:r>
        <w:rPr/>
        <w:t>元，驳回其他请求。新信息明显降低旧大额诉请所暗示的现实压力，不能在十月九日模型里继续把</w:t>
      </w:r>
      <w:r>
        <w:rPr/>
        <w:t>158.53</w:t>
      </w:r>
      <w:r>
        <w:rPr/>
        <w:t>百万元当已确认必须偿付债务，也不能将减少诉请差额自动记为营业利润。</w:t>
      </w:r>
    </w:p>
    <w:p>
      <w:pPr>
        <w:pStyle w:val="Normal"/>
        <w:rPr/>
      </w:pPr>
      <w:r>
        <w:rPr/>
        <w:t>一审仍可在送达后十五日上诉，公告未给精确送达日期、后续是否上诉和最终裁判结果。本章只用公司引用判决，未独立获得完整法院原件，故不宣称法律风险已彻底消失。冻结现金是否已解除也未核实，不因一审金额小就把全部被冻结款即时转为自由现金。年底悲观保留后续程序和资金可用性压力，基准考虑旧重大诉请风险减轻，二者都不假设新的未经披露索赔金额。</w:t>
      </w:r>
    </w:p>
    <w:p>
      <w:pPr>
        <w:pStyle w:val="Normal"/>
        <w:rPr/>
      </w:pPr>
      <w:r>
        <w:rPr/>
        <w:t>子公司撤回全部反诉并获准，保留另行起诉权。撤回可能是诉讼策略，公司没有在本章资料内取得确定赔偿，未来另诉也需事实、合同与司法判断。因此估值没有为反诉金额加确定收入或现金；同样，一审违约金不能推导所有客户数据存在质量问题。服务商重要反证应包括具体质量监管、客户投诉和持续付款证据，不能把一个合同争议泛化为整个业务必然失败。</w:t>
      </w:r>
    </w:p>
    <w:p>
      <w:pPr>
        <w:pStyle w:val="Heading2"/>
        <w:rPr/>
      </w:pPr>
      <w:r>
        <w:rPr>
          <w:color w:val="000000"/>
        </w:rPr>
        <w:t>日线趋势 均线和价格距离</w:t>
      </w:r>
    </w:p>
    <w:p>
      <w:pPr>
        <w:pStyle w:val="Normal"/>
        <w:rPr/>
      </w:pPr>
      <w:r>
        <w:rPr/>
        <w:t>行情覆盖</w:t>
      </w:r>
      <w:r>
        <w:rPr/>
        <w:t>2023</w:t>
      </w:r>
      <w:r>
        <w:rPr/>
        <w:t>年十月九日至</w:t>
      </w:r>
      <w:r>
        <w:rPr/>
        <w:t>2026</w:t>
      </w:r>
      <w:r>
        <w:rPr/>
        <w:t>年十月九日</w:t>
      </w:r>
      <w:r>
        <w:rPr/>
        <w:t>728</w:t>
      </w:r>
      <w:r>
        <w:rPr/>
        <w:t>个日线，双源价格和股量交叉核对。日线使用基准日名义价格归一复权</w:t>
      </w:r>
      <w:r>
        <w:rPr/>
        <w:t>OHLC</w:t>
      </w:r>
      <w:r>
        <w:rPr/>
        <w:t>，当前收盘</w:t>
      </w:r>
      <w:r>
        <w:rPr/>
        <w:t>104</w:t>
      </w:r>
      <w:r>
        <w:rPr/>
        <w:t>元、当日下跌</w:t>
      </w:r>
      <w:r>
        <w:rPr/>
        <w:t>1.73%</w:t>
      </w:r>
      <w:r>
        <w:rPr/>
        <w:t>，开盘及高点</w:t>
      </w:r>
      <w:r>
        <w:rPr/>
        <w:t>105.83</w:t>
      </w:r>
      <w:r>
        <w:rPr/>
        <w:t>、低</w:t>
      </w:r>
      <w:r>
        <w:rPr/>
        <w:t>98.81</w:t>
      </w:r>
      <w:r>
        <w:rPr/>
        <w:t>。</w:t>
      </w:r>
      <w:r>
        <w:rPr/>
        <w:t>20</w:t>
      </w:r>
      <w:r>
        <w:rPr/>
        <w:t>、</w:t>
      </w:r>
      <w:r>
        <w:rPr/>
        <w:t>60</w:t>
      </w:r>
      <w:r>
        <w:rPr/>
        <w:t>、</w:t>
      </w:r>
      <w:r>
        <w:rPr/>
        <w:t>120</w:t>
      </w:r>
      <w:r>
        <w:rPr/>
        <w:t>、</w:t>
      </w:r>
      <w:r>
        <w:rPr/>
        <w:t>250</w:t>
      </w:r>
      <w:r>
        <w:rPr/>
        <w:t>日均线约</w:t>
      </w:r>
      <w:r>
        <w:rPr/>
        <w:t>101.97</w:t>
      </w:r>
      <w:r>
        <w:rPr/>
        <w:t>、</w:t>
      </w:r>
      <w:r>
        <w:rPr/>
        <w:t>94.39</w:t>
      </w:r>
      <w:r>
        <w:rPr/>
        <w:t>、</w:t>
      </w:r>
      <w:r>
        <w:rPr/>
        <w:t>79.75</w:t>
      </w:r>
      <w:r>
        <w:rPr/>
        <w:t>、</w:t>
      </w:r>
      <w:r>
        <w:rPr/>
        <w:t>71.03</w:t>
      </w:r>
      <w:r>
        <w:rPr/>
        <w:t>元，价格分别高</w:t>
      </w:r>
      <w:r>
        <w:rPr/>
        <w:t>1.99%</w:t>
      </w:r>
      <w:r>
        <w:rPr/>
        <w:t>、</w:t>
      </w:r>
      <w:r>
        <w:rPr/>
        <w:t>10.18%</w:t>
      </w:r>
      <w:r>
        <w:rPr/>
        <w:t>、</w:t>
      </w:r>
      <w:r>
        <w:rPr/>
        <w:t>30.41%</w:t>
      </w:r>
      <w:r>
        <w:rPr/>
        <w:t>、</w:t>
      </w:r>
      <w:r>
        <w:rPr/>
        <w:t>46.41%</w:t>
      </w:r>
      <w:r>
        <w:rPr/>
        <w:t>。顺序和距离支持中短期上升，但也表明距长期线偏离较大。</w:t>
      </w:r>
    </w:p>
    <w:p>
      <w:pPr>
        <w:pStyle w:val="Normal"/>
        <w:rPr/>
      </w:pPr>
      <w:r>
        <w:rPr/>
        <w:t>各日均线五个交易日变化约</w:t>
      </w:r>
      <w:r>
        <w:rPr/>
        <w:t>2.52%</w:t>
      </w:r>
      <w:r>
        <w:rPr/>
        <w:t>、</w:t>
      </w:r>
      <w:r>
        <w:rPr/>
        <w:t>2.57%</w:t>
      </w:r>
      <w:r>
        <w:rPr/>
        <w:t>、</w:t>
      </w:r>
      <w:r>
        <w:rPr/>
        <w:t>2.16%</w:t>
      </w:r>
      <w:r>
        <w:rPr/>
        <w:t>、</w:t>
      </w:r>
      <w:r>
        <w:rPr/>
        <w:t>0.80%</w:t>
      </w:r>
      <w:r>
        <w:rPr/>
        <w:t>，全部正值，较纯粹从低位反弹更有趋势支持。斜率只说明过去数据变化，不能预测必然沿线续涨；二十日线近</w:t>
      </w:r>
      <w:r>
        <w:rPr/>
        <w:t>101.97</w:t>
      </w:r>
      <w:r>
        <w:rPr/>
        <w:t>距当前不足一日典型波幅，单日短暂穿越不应机械定义趋势彻底失效。观察需要结合连续收盘、成交与基本面，若跌破六十日线且该线转平，同时订单交付弱，半年技术分应降低。</w:t>
      </w:r>
    </w:p>
    <w:p>
      <w:pPr>
        <w:pStyle w:val="Normal"/>
        <w:rPr/>
      </w:pPr>
      <w:r>
        <w:rPr/>
        <w:t>近二十日区间低</w:t>
      </w:r>
      <w:r>
        <w:rPr/>
        <w:t>87.40</w:t>
      </w:r>
      <w:r>
        <w:rPr/>
        <w:t>、高</w:t>
      </w:r>
      <w:r>
        <w:rPr/>
        <w:t>120</w:t>
      </w:r>
      <w:r>
        <w:rPr/>
        <w:t>元，距当前约</w:t>
      </w:r>
      <w:r>
        <w:rPr/>
        <w:t>-15.96%</w:t>
      </w:r>
      <w:r>
        <w:rPr/>
        <w:t>、</w:t>
      </w:r>
      <w:r>
        <w:rPr/>
        <w:t>+15.38%</w:t>
      </w:r>
      <w:r>
        <w:rPr/>
        <w:t>；近六十日低</w:t>
      </w:r>
      <w:r>
        <w:rPr/>
        <w:t>67.87</w:t>
      </w:r>
      <w:r>
        <w:rPr/>
        <w:t>元，距当前</w:t>
      </w:r>
      <w:r>
        <w:rPr/>
        <w:t>-34.74%</w:t>
      </w:r>
      <w:r>
        <w:rPr/>
        <w:t>。这些是机械区间端点，不是已验证多次成交密集的支撑阻力。较近的均线</w:t>
      </w:r>
      <w:r>
        <w:rPr/>
        <w:t>101.97</w:t>
      </w:r>
      <w:r>
        <w:rPr/>
        <w:t>、</w:t>
      </w:r>
      <w:r>
        <w:rPr/>
        <w:t>94.39</w:t>
      </w:r>
      <w:r>
        <w:rPr/>
        <w:t>可作回踩观察，更低</w:t>
      </w:r>
      <w:r>
        <w:rPr/>
        <w:t>87.40</w:t>
      </w:r>
      <w:r>
        <w:rPr/>
        <w:t>用于区间失败检验，</w:t>
      </w:r>
      <w:r>
        <w:rPr/>
        <w:t>120</w:t>
      </w:r>
      <w:r>
        <w:rPr/>
        <w:t>用于新高突破观察。到某一价位的距离不是最大损失，市场可跳空穿越并继续下跌，不能将其当保护本金的界线。</w:t>
      </w:r>
    </w:p>
    <w:p>
      <w:pPr>
        <w:pStyle w:val="Normal"/>
        <w:rPr/>
      </w:pPr>
      <w:r>
        <w:rPr/>
        <w:t>52</w:t>
      </w:r>
      <w:r>
        <w:rPr/>
        <w:t>周高</w:t>
      </w:r>
      <w:r>
        <w:rPr/>
        <w:t>120</w:t>
      </w:r>
      <w:r>
        <w:rPr/>
        <w:t>、低</w:t>
      </w:r>
      <w:r>
        <w:rPr/>
        <w:t>50.50</w:t>
      </w:r>
      <w:r>
        <w:rPr/>
        <w:t>元，当前较高点回撤</w:t>
      </w:r>
      <w:r>
        <w:rPr/>
        <w:t>13.33%</w:t>
      </w:r>
      <w:r>
        <w:rPr/>
        <w:t>、较低点上涨</w:t>
      </w:r>
      <w:r>
        <w:rPr/>
        <w:t>105.94%</w:t>
      </w:r>
      <w:r>
        <w:rPr/>
        <w:t>，年度窗口最大日线回撤约</w:t>
      </w:r>
      <w:r>
        <w:rPr/>
        <w:t>32.49%</w:t>
      </w:r>
      <w:r>
        <w:rPr/>
        <w:t>。在恢复趋势中仍曾出现较深波动，低位翻倍不等于上涨空间已经没有，也不等于新投资者同样能获得翻倍。估值与未来利润决定长期承接，技术只帮助观察交易时点。低点</w:t>
      </w:r>
      <w:r>
        <w:rPr/>
        <w:t>50.50</w:t>
      </w:r>
      <w:r>
        <w:rPr/>
        <w:t>离现价很远，不能以历史曾到达就断言会再次回去或必不跌破。</w:t>
      </w:r>
    </w:p>
    <w:p>
      <w:pPr>
        <w:pStyle w:val="Heading2"/>
        <w:rPr/>
      </w:pPr>
      <w:r>
        <w:rPr>
          <w:color w:val="000000"/>
        </w:rPr>
        <w:t>量能 成交额与相对强弱</w:t>
      </w:r>
    </w:p>
    <w:p>
      <w:pPr>
        <w:pStyle w:val="Normal"/>
        <w:rPr/>
      </w:pPr>
      <w:r>
        <w:rPr/>
        <w:t>十月九日成交</w:t>
      </w:r>
      <w:r>
        <w:rPr/>
        <w:t>6125282</w:t>
      </w:r>
      <w:r>
        <w:rPr/>
        <w:t>股、金额</w:t>
      </w:r>
      <w:r>
        <w:rPr/>
        <w:t>627.38</w:t>
      </w:r>
      <w:r>
        <w:rPr/>
        <w:t>百万元、可得换手</w:t>
      </w:r>
      <w:r>
        <w:rPr/>
        <w:t>4.56%</w:t>
      </w:r>
      <w:r>
        <w:rPr/>
        <w:t>，股量按独立日线核验，不能再乘百变成手数。</w:t>
      </w:r>
      <w:r>
        <w:rPr/>
        <w:t>5</w:t>
      </w:r>
      <w:r>
        <w:rPr/>
        <w:t>、</w:t>
      </w:r>
      <w:r>
        <w:rPr/>
        <w:t>20</w:t>
      </w:r>
      <w:r>
        <w:rPr/>
        <w:t>、</w:t>
      </w:r>
      <w:r>
        <w:rPr/>
        <w:t>60</w:t>
      </w:r>
      <w:r>
        <w:rPr/>
        <w:t>日均量约</w:t>
      </w:r>
      <w:r>
        <w:rPr/>
        <w:t>6.845</w:t>
      </w:r>
      <w:r>
        <w:rPr/>
        <w:t>、</w:t>
      </w:r>
      <w:r>
        <w:rPr/>
        <w:t>6.784</w:t>
      </w:r>
      <w:r>
        <w:rPr/>
        <w:t>、</w:t>
      </w:r>
      <w:r>
        <w:rPr/>
        <w:t>8.566</w:t>
      </w:r>
      <w:r>
        <w:rPr/>
        <w:t>百万股，短均量接近而低于六十日，当前对前二十日平均量比</w:t>
      </w:r>
      <w:r>
        <w:rPr/>
        <w:t>0.908</w:t>
      </w:r>
      <w:r>
        <w:rPr/>
        <w:t>。强趋势中量能有所收缩，可能是整理，也可能是追价需求减弱；仅凭缩量无法确定卖方枯竭，更不能断言“主力锁仓”。</w:t>
      </w:r>
    </w:p>
    <w:p>
      <w:pPr>
        <w:pStyle w:val="Normal"/>
        <w:rPr/>
      </w:pPr>
      <w:r>
        <w:rPr/>
        <w:t>最近二十日上涨十一天总量</w:t>
      </w:r>
      <w:r>
        <w:rPr/>
        <w:t>80.89</w:t>
      </w:r>
      <w:r>
        <w:rPr/>
        <w:t>百万股、下跌九天</w:t>
      </w:r>
      <w:r>
        <w:rPr/>
        <w:t>54.80</w:t>
      </w:r>
      <w:r>
        <w:rPr/>
        <w:t>百万股，总比</w:t>
      </w:r>
      <w:r>
        <w:rPr/>
        <w:t>1.476</w:t>
      </w:r>
      <w:r>
        <w:rPr/>
        <w:t>。因为上涨日数更多，不能只凭总量比认定每个上涨日都比下跌更强；按天数平均后比值约</w:t>
      </w:r>
      <w:r>
        <w:rPr/>
        <w:t>1.21</w:t>
      </w:r>
      <w:r>
        <w:rPr/>
        <w:t>，支持一定承接但不夸大。数据没有投资者身份和逐笔成本分布，不能制作声称精确筹码峰或以它认定机构吸筹。量价判断应在不同窗口验证，并与成交金额和涨跌幅共同观察。</w:t>
      </w:r>
    </w:p>
    <w:p>
      <w:pPr>
        <w:pStyle w:val="Normal"/>
        <w:rPr/>
      </w:pPr>
      <w:r>
        <w:rPr/>
        <w:t>个股二十日上涨</w:t>
      </w:r>
      <w:r>
        <w:rPr/>
        <w:t>9.66%</w:t>
      </w:r>
      <w:r>
        <w:rPr/>
        <w:t>、六十日</w:t>
      </w:r>
      <w:r>
        <w:rPr/>
        <w:t>34.80%</w:t>
      </w:r>
      <w:r>
        <w:rPr/>
        <w:t>，沪深三百同期</w:t>
      </w:r>
      <w:r>
        <w:rPr/>
        <w:t>-5.17%</w:t>
      </w:r>
      <w:r>
        <w:rPr/>
        <w:t>、</w:t>
      </w:r>
      <w:r>
        <w:rPr/>
        <w:t>-11.46%</w:t>
      </w:r>
      <w:r>
        <w:rPr/>
        <w:t>，超额约</w:t>
      </w:r>
      <w:r>
        <w:rPr/>
        <w:t>14.83</w:t>
      </w:r>
      <w:r>
        <w:rPr/>
        <w:t>、</w:t>
      </w:r>
      <w:r>
        <w:rPr/>
        <w:t>46.27</w:t>
      </w:r>
      <w:r>
        <w:rPr/>
        <w:t>个百分点，显示个股显著跑赢宽基。缺少可核验细分</w:t>
      </w:r>
      <w:r>
        <w:rPr/>
        <w:t>CRO</w:t>
      </w:r>
      <w:r>
        <w:rPr/>
        <w:t>行业基准，本章行业超额留空；跑赢沪深三百不等于跑赢医药或所有复苏</w:t>
      </w:r>
      <w:r>
        <w:rPr/>
        <w:t>CRO</w:t>
      </w:r>
      <w:r>
        <w:rPr/>
        <w:t>。技术高分包含宽基相对强势，但未重复把均线、动量、</w:t>
      </w:r>
      <w:r>
        <w:rPr/>
        <w:t>RS</w:t>
      </w:r>
      <w:r>
        <w:rPr/>
        <w:t>当三项独立基本面成长证据，避免相似指标重复加分。</w:t>
      </w:r>
    </w:p>
    <w:p>
      <w:pPr>
        <w:pStyle w:val="Normal"/>
        <w:rPr/>
      </w:pPr>
      <w:r>
        <w:rPr/>
        <w:t>当日开盘高点</w:t>
      </w:r>
      <w:r>
        <w:rPr/>
        <w:t>105.83</w:t>
      </w:r>
      <w:r>
        <w:rPr/>
        <w:t>后低至</w:t>
      </w:r>
      <w:r>
        <w:rPr/>
        <w:t>98.81</w:t>
      </w:r>
      <w:r>
        <w:rPr/>
        <w:t>再收</w:t>
      </w:r>
      <w:r>
        <w:rPr/>
        <w:t>104</w:t>
      </w:r>
      <w:r>
        <w:rPr/>
        <w:t>，形成低位回收，说明日内有买卖分歧和承接，收盘仍负</w:t>
      </w:r>
      <w:r>
        <w:rPr/>
        <w:t>1.73%</w:t>
      </w:r>
      <w:r>
        <w:rPr/>
        <w:t>。没有逐笔资料无法识别何时或谁交易，也不能宣称某资金故意洗盘。若后续持续收于二十日线上、下跌量温和并有订单证据，整理判断更可信；若放量跌破</w:t>
      </w:r>
      <w:r>
        <w:rPr/>
        <w:t>94.39</w:t>
      </w:r>
      <w:r>
        <w:rPr/>
        <w:t>且反弹低量，风险判断应强化。单根</w:t>
      </w:r>
      <w:r>
        <w:rPr/>
        <w:t>K</w:t>
      </w:r>
      <w:r>
        <w:rPr/>
        <w:t>线不替代完整趋势和利润核验。</w:t>
      </w:r>
    </w:p>
    <w:p>
      <w:pPr>
        <w:pStyle w:val="Heading2"/>
        <w:rPr/>
      </w:pPr>
      <w:r>
        <w:rPr>
          <w:color w:val="000000"/>
        </w:rPr>
        <w:t>周线与辅助指标</w:t>
      </w:r>
    </w:p>
    <w:p>
      <w:pPr>
        <w:pStyle w:val="Normal"/>
        <w:rPr/>
      </w:pPr>
      <w:r>
        <w:rPr/>
        <w:t>周线</w:t>
      </w:r>
      <w:r>
        <w:rPr/>
        <w:t>155</w:t>
      </w:r>
      <w:r>
        <w:rPr/>
        <w:t>根，</w:t>
      </w:r>
      <w:r>
        <w:rPr/>
        <w:t>20</w:t>
      </w:r>
      <w:r>
        <w:rPr/>
        <w:t>、</w:t>
      </w:r>
      <w:r>
        <w:rPr/>
        <w:t>60</w:t>
      </w:r>
      <w:r>
        <w:rPr/>
        <w:t>、</w:t>
      </w:r>
      <w:r>
        <w:rPr/>
        <w:t>120</w:t>
      </w:r>
      <w:r>
        <w:rPr/>
        <w:t>周均线约</w:t>
      </w:r>
      <w:r>
        <w:rPr/>
        <w:t>84.98</w:t>
      </w:r>
      <w:r>
        <w:rPr/>
        <w:t>、</w:t>
      </w:r>
      <w:r>
        <w:rPr/>
        <w:t>71.25</w:t>
      </w:r>
      <w:r>
        <w:rPr/>
        <w:t>、</w:t>
      </w:r>
      <w:r>
        <w:rPr/>
        <w:t>52.58</w:t>
      </w:r>
      <w:r>
        <w:rPr/>
        <w:t>元，五周变化</w:t>
      </w:r>
      <w:r>
        <w:rPr/>
        <w:t>12.66%</w:t>
      </w:r>
      <w:r>
        <w:rPr/>
        <w:t>、</w:t>
      </w:r>
      <w:r>
        <w:rPr/>
        <w:t>5.35%</w:t>
      </w:r>
      <w:r>
        <w:rPr/>
        <w:t>、</w:t>
      </w:r>
      <w:r>
        <w:rPr/>
        <w:t>5.93%</w:t>
      </w:r>
      <w:r>
        <w:rPr/>
        <w:t>，当前均在线上；</w:t>
      </w:r>
      <w:r>
        <w:rPr/>
        <w:t>250</w:t>
      </w:r>
      <w:r>
        <w:rPr/>
        <w:t>周数据不够所以不计算，不把</w:t>
      </w:r>
      <w:r>
        <w:rPr/>
        <w:t>250</w:t>
      </w:r>
      <w:r>
        <w:rPr/>
        <w:t>日误写</w:t>
      </w:r>
      <w:r>
        <w:rPr/>
        <w:t>250</w:t>
      </w:r>
      <w:r>
        <w:rPr/>
        <w:t>周。日线短期整理与周线仍向上可同时存在。最新周受国庆假期交易天数影响，周成交低不能直接和完整周比较后宣称需求崩塌；周量</w:t>
      </w:r>
      <w:r>
        <w:rPr/>
        <w:t>0.425</w:t>
      </w:r>
      <w:r>
        <w:rPr/>
        <w:t>的机械量比需附此日历限制。</w:t>
      </w:r>
    </w:p>
    <w:p>
      <w:pPr>
        <w:pStyle w:val="Normal"/>
        <w:rPr/>
      </w:pPr>
      <w:r>
        <w:rPr/>
        <w:t>日</w:t>
      </w:r>
      <w:r>
        <w:rPr/>
        <w:t>RSI14</w:t>
      </w:r>
      <w:r>
        <w:rPr/>
        <w:t>约</w:t>
      </w:r>
      <w:r>
        <w:rPr/>
        <w:t>52.46</w:t>
      </w:r>
      <w:r>
        <w:rPr/>
        <w:t>，属于中性区域，不能说明价格从此安全；</w:t>
      </w:r>
      <w:r>
        <w:rPr/>
        <w:t>MACD DIF3.05</w:t>
      </w:r>
      <w:r>
        <w:rPr/>
        <w:t>、</w:t>
      </w:r>
      <w:r>
        <w:rPr/>
        <w:t>DEA3.34</w:t>
      </w:r>
      <w:r>
        <w:rPr/>
        <w:t>，柱按二倍差值为</w:t>
      </w:r>
      <w:r>
        <w:rPr/>
        <w:t>-0.56</w:t>
      </w:r>
      <w:r>
        <w:rPr/>
        <w:t>，提示短期动量弱于前段。周</w:t>
      </w:r>
      <w:r>
        <w:rPr/>
        <w:t>RSI</w:t>
      </w:r>
      <w:r>
        <w:rPr/>
        <w:t>约</w:t>
      </w:r>
      <w:r>
        <w:rPr/>
        <w:t>60.99</w:t>
      </w:r>
      <w:r>
        <w:rPr/>
        <w:t>、</w:t>
      </w:r>
      <w:r>
        <w:rPr/>
        <w:t>MACD</w:t>
      </w:r>
      <w:r>
        <w:rPr/>
        <w:t>柱</w:t>
      </w:r>
      <w:r>
        <w:rPr/>
        <w:t>3.36</w:t>
      </w:r>
      <w:r>
        <w:rPr/>
        <w:t>仍正，两周期方向不同说明短期调整与较长趋势需要分开。辅助指标仅用于检验趋势和动量，评分不为</w:t>
      </w:r>
      <w:r>
        <w:rPr/>
        <w:t>RSI</w:t>
      </w:r>
      <w:r>
        <w:rPr/>
        <w:t>、</w:t>
      </w:r>
      <w:r>
        <w:rPr/>
        <w:t>MACD</w:t>
      </w:r>
      <w:r>
        <w:rPr/>
        <w:t>、均线同时各给独立满分，更不将任何金叉当确定上涨。</w:t>
      </w:r>
    </w:p>
    <w:p>
      <w:pPr>
        <w:pStyle w:val="Normal"/>
        <w:rPr/>
      </w:pPr>
      <w:r>
        <w:rPr/>
        <w:t>日</w:t>
      </w:r>
      <w:r>
        <w:rPr/>
        <w:t>ATR14</w:t>
      </w:r>
      <w:r>
        <w:rPr/>
        <w:t>约</w:t>
      </w:r>
      <w:r>
        <w:rPr/>
        <w:t>7.42</w:t>
      </w:r>
      <w:r>
        <w:rPr/>
        <w:t>元、占现价</w:t>
      </w:r>
      <w:r>
        <w:rPr/>
        <w:t>7.13%</w:t>
      </w:r>
      <w:r>
        <w:rPr/>
        <w:t>，周</w:t>
      </w:r>
      <w:r>
        <w:rPr/>
        <w:t>ATR</w:t>
      </w:r>
      <w:r>
        <w:rPr/>
        <w:t>约</w:t>
      </w:r>
      <w:r>
        <w:rPr/>
        <w:t>13.43</w:t>
      </w:r>
      <w:r>
        <w:rPr/>
        <w:t>元、占</w:t>
      </w:r>
      <w:r>
        <w:rPr/>
        <w:t>12.92%</w:t>
      </w:r>
      <w:r>
        <w:rPr/>
        <w:t>，价格波动幅度大。</w:t>
      </w:r>
      <w:r>
        <w:rPr/>
        <w:t>ATR</w:t>
      </w:r>
      <w:r>
        <w:rPr/>
        <w:t>是过去真实波幅平均，不能预测最大单日损失，也不能直接设为绝对止损保障。半年追价需要考虑较大日内和跳空波动，支撑附近买入也可能遇连续下跌。研究观察区间</w:t>
      </w:r>
      <w:r>
        <w:rPr/>
        <w:t>101.97</w:t>
      </w:r>
      <w:r>
        <w:rPr/>
        <w:t>至</w:t>
      </w:r>
      <w:r>
        <w:rPr/>
        <w:t>94.39</w:t>
      </w:r>
      <w:r>
        <w:rPr/>
        <w:t>靠近当前，</w:t>
      </w:r>
      <w:r>
        <w:rPr/>
        <w:t>120</w:t>
      </w:r>
      <w:r>
        <w:rPr/>
        <w:t>为上方突破条件，量价条件失效时应重估而非依靠指标维持旧建议。</w:t>
      </w:r>
    </w:p>
    <w:p>
      <w:pPr>
        <w:pStyle w:val="Heading2"/>
        <w:rPr/>
      </w:pPr>
      <w:r>
        <w:rPr>
          <w:color w:val="000000"/>
        </w:rPr>
        <w:t>当前估值与目标模型</w:t>
      </w:r>
    </w:p>
    <w:p>
      <w:pPr>
        <w:pStyle w:val="Normal"/>
        <w:rPr/>
      </w:pPr>
      <w:r>
        <w:rPr/>
        <w:t>按</w:t>
      </w:r>
      <w:r>
        <w:rPr/>
        <w:t>134.352184</w:t>
      </w:r>
      <w:r>
        <w:rPr/>
        <w:t>百万股和</w:t>
      </w:r>
      <w:r>
        <w:rPr/>
        <w:t>104</w:t>
      </w:r>
      <w:r>
        <w:rPr/>
        <w:t>元计算市值</w:t>
      </w:r>
      <w:r>
        <w:rPr/>
        <w:t>13972.63</w:t>
      </w:r>
      <w:r>
        <w:rPr/>
        <w:t>百万元，</w:t>
      </w:r>
      <w:r>
        <w:rPr/>
        <w:t>H1</w:t>
      </w:r>
      <w:r>
        <w:rPr/>
        <w:t>归母净资产</w:t>
      </w:r>
      <w:r>
        <w:rPr/>
        <w:t>2002.73</w:t>
      </w:r>
      <w:r>
        <w:rPr/>
        <w:t>百万元对应</w:t>
      </w:r>
      <w:r>
        <w:rPr/>
        <w:t>PB</w:t>
      </w:r>
      <w:r>
        <w:rPr/>
        <w:t>约</w:t>
      </w:r>
      <w:r>
        <w:rPr/>
        <w:t>6.98</w:t>
      </w:r>
      <w:r>
        <w:rPr/>
        <w:t>倍。公司以知识、人员和方法服务为主，</w:t>
      </w:r>
      <w:r>
        <w:rPr/>
        <w:t>PB</w:t>
      </w:r>
      <w:r>
        <w:rPr/>
        <w:t>不能完整反映技术价值，但在近期盈利不高时仍说明价格远超账面权益。</w:t>
      </w:r>
      <w:r>
        <w:rPr/>
        <w:t>2025</w:t>
      </w:r>
      <w:r>
        <w:rPr/>
        <w:t>年度亏损</w:t>
      </w:r>
      <w:r>
        <w:rPr/>
        <w:t>PE</w:t>
      </w:r>
      <w:r>
        <w:rPr/>
        <w:t>不适用，</w:t>
      </w:r>
      <w:r>
        <w:rPr/>
        <w:t>TTM</w:t>
      </w:r>
      <w:r>
        <w:rPr/>
        <w:t>归母为</w:t>
      </w:r>
      <w:r>
        <w:rPr/>
        <w:t>-103.33</w:t>
      </w:r>
      <w:r>
        <w:rPr/>
        <w:t>百万元，不能用行情负</w:t>
      </w:r>
      <w:r>
        <w:rPr/>
        <w:t>PE</w:t>
      </w:r>
      <w:r>
        <w:rPr/>
        <w:t>当便宜。</w:t>
      </w:r>
      <w:r>
        <w:rPr/>
        <w:t>H1</w:t>
      </w:r>
      <w:r>
        <w:rPr/>
        <w:t>法定简单年化</w:t>
      </w:r>
      <w:r>
        <w:rPr/>
        <w:t>EPS</w:t>
      </w:r>
      <w:r>
        <w:rPr/>
        <w:t>约</w:t>
      </w:r>
      <w:r>
        <w:rPr/>
        <w:t>0.7682</w:t>
      </w:r>
      <w:r>
        <w:rPr/>
        <w:t>、</w:t>
      </w:r>
      <w:r>
        <w:rPr/>
        <w:t>PE135.39</w:t>
      </w:r>
      <w:r>
        <w:rPr/>
        <w:t>倍，扣非约</w:t>
      </w:r>
      <w:r>
        <w:rPr/>
        <w:t>162.37</w:t>
      </w:r>
      <w:r>
        <w:rPr/>
        <w:t>倍，仅作压力观察而非盈利预测。</w:t>
      </w:r>
    </w:p>
    <w:p>
      <w:pPr>
        <w:pStyle w:val="Normal"/>
        <w:rPr/>
      </w:pPr>
      <w:r>
        <w:rPr/>
        <w:t>主模型目标价等于目标时点未来十二个月持续归母稀释</w:t>
      </w:r>
      <w:r>
        <w:rPr/>
        <w:t>EPS</w:t>
      </w:r>
      <w:r>
        <w:rPr/>
        <w:t>乘合理</w:t>
      </w:r>
      <w:r>
        <w:rPr/>
        <w:t>PE</w:t>
      </w:r>
      <w:r>
        <w:rPr/>
        <w:t>，收入、净利率和股数同时公开。成熟复苏平台采用此法便于把利润兑现和倍数压缩分开，不表示已经完成详细</w:t>
      </w:r>
      <w:r>
        <w:rPr/>
        <w:t>DCF</w:t>
      </w:r>
      <w:r>
        <w:rPr/>
        <w:t>或历史分位分析。现阶段有亏损历史，但</w:t>
      </w:r>
      <w:r>
        <w:rPr/>
        <w:t>H1</w:t>
      </w:r>
      <w:r>
        <w:rPr/>
        <w:t>已持续盈利，可用未来正常化盈利情景；若业务再陷持续亏损，</w:t>
      </w:r>
      <w:r>
        <w:rPr/>
        <w:t>PE</w:t>
      </w:r>
      <w:r>
        <w:rPr/>
        <w:t>框架应暂停，需以现金、资产和盈利路径重新估值，不能机械继续正</w:t>
      </w:r>
      <w:r>
        <w:rPr/>
        <w:t>EPS</w:t>
      </w:r>
      <w:r>
        <w:rPr/>
        <w:t>目标。</w:t>
      </w:r>
    </w:p>
    <w:p>
      <w:pPr>
        <w:pStyle w:val="Normal"/>
        <w:rPr/>
      </w:pPr>
      <w:r>
        <w:rPr/>
        <w:t>年底</w:t>
      </w:r>
      <w:r>
        <w:rPr/>
        <w:t>EPS0.50</w:t>
      </w:r>
      <w:r>
        <w:rPr/>
        <w:t>、</w:t>
      </w:r>
      <w:r>
        <w:rPr/>
        <w:t>1.20</w:t>
      </w:r>
      <w:r>
        <w:rPr/>
        <w:t>、</w:t>
      </w:r>
      <w:r>
        <w:rPr/>
        <w:t>2.00</w:t>
      </w:r>
      <w:r>
        <w:rPr/>
        <w:t>元，倍数</w:t>
      </w:r>
      <w:r>
        <w:rPr/>
        <w:t>25</w:t>
      </w:r>
      <w:r>
        <w:rPr/>
        <w:t>、</w:t>
      </w:r>
      <w:r>
        <w:rPr/>
        <w:t>50</w:t>
      </w:r>
      <w:r>
        <w:rPr/>
        <w:t>、</w:t>
      </w:r>
      <w:r>
        <w:rPr/>
        <w:t>60</w:t>
      </w:r>
      <w:r>
        <w:rPr/>
        <w:t>倍，得到</w:t>
      </w:r>
      <w:r>
        <w:rPr/>
        <w:t>12.50</w:t>
      </w:r>
      <w:r>
        <w:rPr/>
        <w:t>、</w:t>
      </w:r>
      <w:r>
        <w:rPr/>
        <w:t>60</w:t>
      </w:r>
      <w:r>
        <w:rPr/>
        <w:t>、</w:t>
      </w:r>
      <w:r>
        <w:rPr/>
        <w:t>120</w:t>
      </w:r>
      <w:r>
        <w:rPr/>
        <w:t>元；该</w:t>
      </w:r>
      <w:r>
        <w:rPr/>
        <w:t>EPS</w:t>
      </w:r>
      <w:r>
        <w:rPr/>
        <w:t>是年底前瞻能力，不是</w:t>
      </w:r>
      <w:r>
        <w:rPr/>
        <w:t>2026</w:t>
      </w:r>
      <w:r>
        <w:rPr/>
        <w:t>当年实际</w:t>
      </w:r>
      <w:r>
        <w:rPr/>
        <w:t>EPS</w:t>
      </w:r>
      <w:r>
        <w:rPr/>
        <w:t>。基准收入</w:t>
      </w:r>
      <w:r>
        <w:rPr/>
        <w:t>1750</w:t>
      </w:r>
      <w:r>
        <w:rPr/>
        <w:t>百万元、归母</w:t>
      </w:r>
      <w:r>
        <w:rPr/>
        <w:t>161.22</w:t>
      </w:r>
      <w:r>
        <w:rPr/>
        <w:t>百万元、净利</w:t>
      </w:r>
      <w:r>
        <w:rPr/>
        <w:t>9.21%</w:t>
      </w:r>
      <w:r>
        <w:rPr/>
        <w:t>，已要求好于</w:t>
      </w:r>
      <w:r>
        <w:rPr/>
        <w:t>H1</w:t>
      </w:r>
      <w:r>
        <w:rPr/>
        <w:t>简单年化，五十倍仍是较高预期估值。悲观</w:t>
      </w:r>
      <w:r>
        <w:rPr/>
        <w:t>12.50</w:t>
      </w:r>
      <w:r>
        <w:rPr/>
        <w:t>是盈利和估值双压的模型低端，短期能否如此迅速重新定价高度不确定，不能将它称为必达交易路径或真实概率的下限。</w:t>
      </w:r>
    </w:p>
    <w:p>
      <w:pPr>
        <w:pStyle w:val="Normal"/>
        <w:rPr/>
      </w:pPr>
      <w:r>
        <w:rPr/>
        <w:t>半年</w:t>
      </w:r>
      <w:r>
        <w:rPr/>
        <w:t>EPS0.70</w:t>
      </w:r>
      <w:r>
        <w:rPr/>
        <w:t>、</w:t>
      </w:r>
      <w:r>
        <w:rPr/>
        <w:t>1.60</w:t>
      </w:r>
      <w:r>
        <w:rPr/>
        <w:t>、</w:t>
      </w:r>
      <w:r>
        <w:rPr/>
        <w:t>2.80</w:t>
      </w:r>
      <w:r>
        <w:rPr/>
        <w:t>元，</w:t>
      </w:r>
      <w:r>
        <w:rPr/>
        <w:t>25</w:t>
      </w:r>
      <w:r>
        <w:rPr/>
        <w:t>、</w:t>
      </w:r>
      <w:r>
        <w:rPr/>
        <w:t>45</w:t>
      </w:r>
      <w:r>
        <w:rPr/>
        <w:t>、</w:t>
      </w:r>
      <w:r>
        <w:rPr/>
        <w:t>55</w:t>
      </w:r>
      <w:r>
        <w:rPr/>
        <w:t>倍，目标</w:t>
      </w:r>
      <w:r>
        <w:rPr/>
        <w:t>17.50</w:t>
      </w:r>
      <w:r>
        <w:rPr/>
        <w:t>、</w:t>
      </w:r>
      <w:r>
        <w:rPr/>
        <w:t>72</w:t>
      </w:r>
      <w:r>
        <w:rPr/>
        <w:t>、</w:t>
      </w:r>
      <w:r>
        <w:rPr/>
        <w:t>154</w:t>
      </w:r>
      <w:r>
        <w:rPr/>
        <w:t>元，分别对应</w:t>
      </w:r>
      <w:r>
        <w:rPr/>
        <w:t>-83.17%</w:t>
      </w:r>
      <w:r>
        <w:rPr/>
        <w:t>、</w:t>
      </w:r>
      <w:r>
        <w:rPr/>
        <w:t>-30.77%</w:t>
      </w:r>
      <w:r>
        <w:rPr/>
        <w:t>、</w:t>
      </w:r>
      <w:r>
        <w:rPr/>
        <w:t>+48.08%</w:t>
      </w:r>
      <w:r>
        <w:rPr/>
        <w:t>。基准收入</w:t>
      </w:r>
      <w:r>
        <w:rPr/>
        <w:t>1950</w:t>
      </w:r>
      <w:r>
        <w:rPr/>
        <w:t>百万元、归母</w:t>
      </w:r>
      <w:r>
        <w:rPr/>
        <w:t>214.96</w:t>
      </w:r>
      <w:r>
        <w:rPr/>
        <w:t>百万元、净利</w:t>
      </w:r>
      <w:r>
        <w:rPr/>
        <w:t>11.02%</w:t>
      </w:r>
      <w:r>
        <w:rPr/>
        <w:t>，要求发现和临床前交付增长及费用率改善。即使业务达到，该价格也低于</w:t>
      </w:r>
      <w:r>
        <w:rPr/>
        <w:t>104</w:t>
      </w:r>
      <w:r>
        <w:rPr/>
        <w:t>，所以半年进取推荐力度不足；乐观需</w:t>
      </w:r>
      <w:r>
        <w:rPr/>
        <w:t>376.19</w:t>
      </w:r>
      <w:r>
        <w:rPr/>
        <w:t>百万元归母和较高倍数，不能只看上限而忽视达成门槛。</w:t>
      </w:r>
    </w:p>
    <w:p>
      <w:pPr>
        <w:pStyle w:val="Heading2"/>
        <w:rPr/>
      </w:pPr>
      <w:r>
        <w:rPr>
          <w:color w:val="000000"/>
        </w:rPr>
        <w:t>一年 三年和五年的估值条件</w:t>
      </w:r>
    </w:p>
    <w:p>
      <w:pPr>
        <w:pStyle w:val="Normal"/>
        <w:rPr/>
      </w:pPr>
      <w:r>
        <w:rPr/>
        <w:t>一年悲观</w:t>
      </w:r>
      <w:r>
        <w:rPr/>
        <w:t>EPS0.90</w:t>
      </w:r>
      <w:r>
        <w:rPr/>
        <w:t>及</w:t>
      </w:r>
      <w:r>
        <w:rPr/>
        <w:t>25</w:t>
      </w:r>
      <w:r>
        <w:rPr/>
        <w:t>倍，基准</w:t>
      </w:r>
      <w:r>
        <w:rPr/>
        <w:t>2.10</w:t>
      </w:r>
      <w:r>
        <w:rPr/>
        <w:t>及</w:t>
      </w:r>
      <w:r>
        <w:rPr/>
        <w:t>38</w:t>
      </w:r>
      <w:r>
        <w:rPr/>
        <w:t>倍，乐观</w:t>
      </w:r>
      <w:r>
        <w:rPr/>
        <w:t>3.50</w:t>
      </w:r>
      <w:r>
        <w:rPr/>
        <w:t>及</w:t>
      </w:r>
      <w:r>
        <w:rPr/>
        <w:t>48</w:t>
      </w:r>
      <w:r>
        <w:rPr/>
        <w:t>倍，股本短期固定，目标</w:t>
      </w:r>
      <w:r>
        <w:rPr/>
        <w:t>22.50</w:t>
      </w:r>
      <w:r>
        <w:rPr/>
        <w:t>、</w:t>
      </w:r>
      <w:r>
        <w:rPr/>
        <w:t>79.80</w:t>
      </w:r>
      <w:r>
        <w:rPr/>
        <w:t>、</w:t>
      </w:r>
      <w:r>
        <w:rPr/>
        <w:t>168</w:t>
      </w:r>
      <w:r>
        <w:rPr/>
        <w:t>元。价格回报约</w:t>
      </w:r>
      <w:r>
        <w:rPr/>
        <w:t>-78.37%</w:t>
      </w:r>
      <w:r>
        <w:rPr/>
        <w:t>、</w:t>
      </w:r>
      <w:r>
        <w:rPr/>
        <w:t>-23.27%</w:t>
      </w:r>
      <w:r>
        <w:rPr/>
        <w:t>、</w:t>
      </w:r>
      <w:r>
        <w:rPr/>
        <w:t>+61.54%</w:t>
      </w:r>
      <w:r>
        <w:rPr/>
        <w:t>，未来累计分红设</w:t>
      </w:r>
      <w:r>
        <w:rPr/>
        <w:t>0</w:t>
      </w:r>
      <w:r>
        <w:rPr/>
        <w:t>、</w:t>
      </w:r>
      <w:r>
        <w:rPr/>
        <w:t>0.10</w:t>
      </w:r>
      <w:r>
        <w:rPr/>
        <w:t>、</w:t>
      </w:r>
      <w:r>
        <w:rPr/>
        <w:t>0.20</w:t>
      </w:r>
      <w:r>
        <w:rPr/>
        <w:t>元只是研究假设，不是公司已宣派。基准比半年</w:t>
      </w:r>
      <w:r>
        <w:rPr/>
        <w:t>EPS</w:t>
      </w:r>
      <w:r>
        <w:rPr/>
        <w:t>更高而倍数更低，反映从预期复苏走向盈利验证后估值正常化，未按剩余月数线性放大股价。盈利继续增长也可能只有有限资本回报。</w:t>
      </w:r>
    </w:p>
    <w:p>
      <w:pPr>
        <w:pStyle w:val="Normal"/>
        <w:rPr/>
      </w:pPr>
      <w:r>
        <w:rPr/>
        <w:t>三年股数加</w:t>
      </w:r>
      <w:r>
        <w:rPr/>
        <w:t>2%</w:t>
      </w:r>
      <w:r>
        <w:rPr/>
        <w:t>为额外未来融资或激励压力假设，非当前回购来源计划新增；</w:t>
      </w:r>
      <w:r>
        <w:rPr/>
        <w:t>EPS1.40</w:t>
      </w:r>
      <w:r>
        <w:rPr/>
        <w:t>、</w:t>
      </w:r>
      <w:r>
        <w:rPr/>
        <w:t>4</w:t>
      </w:r>
      <w:r>
        <w:rPr/>
        <w:t>、</w:t>
      </w:r>
      <w:r>
        <w:rPr/>
        <w:t>6.80</w:t>
      </w:r>
      <w:r>
        <w:rPr/>
        <w:t>元及</w:t>
      </w:r>
      <w:r>
        <w:rPr/>
        <w:t>23</w:t>
      </w:r>
      <w:r>
        <w:rPr/>
        <w:t>、</w:t>
      </w:r>
      <w:r>
        <w:rPr/>
        <w:t>32</w:t>
      </w:r>
      <w:r>
        <w:rPr/>
        <w:t>、</w:t>
      </w:r>
      <w:r>
        <w:rPr/>
        <w:t>42</w:t>
      </w:r>
      <w:r>
        <w:rPr/>
        <w:t>倍，目标</w:t>
      </w:r>
      <w:r>
        <w:rPr/>
        <w:t>32.20</w:t>
      </w:r>
      <w:r>
        <w:rPr/>
        <w:t>、</w:t>
      </w:r>
      <w:r>
        <w:rPr/>
        <w:t>128</w:t>
      </w:r>
      <w:r>
        <w:rPr/>
        <w:t>、</w:t>
      </w:r>
      <w:r>
        <w:rPr/>
        <w:t>285.60</w:t>
      </w:r>
      <w:r>
        <w:rPr/>
        <w:t>元。基准收入</w:t>
      </w:r>
      <w:r>
        <w:rPr/>
        <w:t>3400</w:t>
      </w:r>
      <w:r>
        <w:rPr/>
        <w:t>百万元、归母</w:t>
      </w:r>
      <w:r>
        <w:rPr/>
        <w:t>548.16</w:t>
      </w:r>
      <w:r>
        <w:rPr/>
        <w:t>百万元、净利</w:t>
      </w:r>
      <w:r>
        <w:rPr/>
        <w:t>16.12%</w:t>
      </w:r>
      <w:r>
        <w:rPr/>
        <w:t>，需收入较</w:t>
      </w:r>
      <w:r>
        <w:rPr/>
        <w:t>FY2025</w:t>
      </w:r>
      <w:r>
        <w:rPr/>
        <w:t>接近三倍并建立稳定利润。含分红</w:t>
      </w:r>
      <w:r>
        <w:rPr/>
        <w:t>0.80</w:t>
      </w:r>
      <w:r>
        <w:rPr/>
        <w:t>元总回报</w:t>
      </w:r>
      <w:r>
        <w:rPr/>
        <w:t>23.85%</w:t>
      </w:r>
      <w:r>
        <w:rPr/>
        <w:t>、年化</w:t>
      </w:r>
      <w:r>
        <w:rPr/>
        <w:t>7.39%</w:t>
      </w:r>
      <w:r>
        <w:rPr/>
        <w:t>，显示当前估值使长期基准仍有限，乐观增长空间不能等同最可能结果。</w:t>
      </w:r>
    </w:p>
    <w:p>
      <w:pPr>
        <w:pStyle w:val="Normal"/>
        <w:rPr/>
      </w:pPr>
      <w:r>
        <w:rPr/>
        <w:t>五年股数加</w:t>
      </w:r>
      <w:r>
        <w:rPr/>
        <w:t>5%</w:t>
      </w:r>
      <w:r>
        <w:rPr/>
        <w:t>作为未来压力设定，</w:t>
      </w:r>
      <w:r>
        <w:rPr/>
        <w:t>EPS1.70</w:t>
      </w:r>
      <w:r>
        <w:rPr/>
        <w:t>、</w:t>
      </w:r>
      <w:r>
        <w:rPr/>
        <w:t>5.50</w:t>
      </w:r>
      <w:r>
        <w:rPr/>
        <w:t>、</w:t>
      </w:r>
      <w:r>
        <w:rPr/>
        <w:t>9</w:t>
      </w:r>
      <w:r>
        <w:rPr/>
        <w:t>元，</w:t>
      </w:r>
      <w:r>
        <w:rPr/>
        <w:t>20</w:t>
      </w:r>
      <w:r>
        <w:rPr/>
        <w:t>、</w:t>
      </w:r>
      <w:r>
        <w:rPr/>
        <w:t>28</w:t>
      </w:r>
      <w:r>
        <w:rPr/>
        <w:t>、</w:t>
      </w:r>
      <w:r>
        <w:rPr/>
        <w:t>35</w:t>
      </w:r>
      <w:r>
        <w:rPr/>
        <w:t>倍，目标</w:t>
      </w:r>
      <w:r>
        <w:rPr/>
        <w:t>34</w:t>
      </w:r>
      <w:r>
        <w:rPr/>
        <w:t>、</w:t>
      </w:r>
      <w:r>
        <w:rPr/>
        <w:t>154</w:t>
      </w:r>
      <w:r>
        <w:rPr/>
        <w:t>、</w:t>
      </w:r>
      <w:r>
        <w:rPr/>
        <w:t>315</w:t>
      </w:r>
      <w:r>
        <w:rPr/>
        <w:t>元。基准收入</w:t>
      </w:r>
      <w:r>
        <w:rPr/>
        <w:t>4600</w:t>
      </w:r>
      <w:r>
        <w:rPr/>
        <w:t>百万元、归母</w:t>
      </w:r>
      <w:r>
        <w:rPr/>
        <w:t>775.88</w:t>
      </w:r>
      <w:r>
        <w:rPr/>
        <w:t>百万元、净利</w:t>
      </w:r>
      <w:r>
        <w:rPr/>
        <w:t>16.87%</w:t>
      </w:r>
      <w:r>
        <w:rPr/>
        <w:t>，需要较大服务规模、海外效率及技术升级；乐观</w:t>
      </w:r>
      <w:r>
        <w:rPr/>
        <w:t>6600</w:t>
      </w:r>
      <w:r>
        <w:rPr/>
        <w:t>百万元和</w:t>
      </w:r>
      <w:r>
        <w:rPr/>
        <w:t>1269.63</w:t>
      </w:r>
      <w:r>
        <w:rPr/>
        <w:t>百万元归母更具挑战。股息设</w:t>
      </w:r>
      <w:r>
        <w:rPr/>
        <w:t>0.30</w:t>
      </w:r>
      <w:r>
        <w:rPr/>
        <w:t>、</w:t>
      </w:r>
      <w:r>
        <w:rPr/>
        <w:t>2</w:t>
      </w:r>
      <w:r>
        <w:rPr/>
        <w:t>、</w:t>
      </w:r>
      <w:r>
        <w:rPr/>
        <w:t>3.50</w:t>
      </w:r>
      <w:r>
        <w:rPr/>
        <w:t>元累计，基准年化</w:t>
      </w:r>
      <w:r>
        <w:rPr/>
        <w:t>8.45%</w:t>
      </w:r>
      <w:r>
        <w:rPr/>
        <w:t>。分红虽提升回报，当前研发扩建仍用现金，不假设公司马上转为高派息成熟股。</w:t>
      </w:r>
    </w:p>
    <w:p>
      <w:pPr>
        <w:pStyle w:val="Normal"/>
        <w:rPr/>
      </w:pPr>
      <w:r>
        <w:rPr/>
        <w:t>合理</w:t>
      </w:r>
      <w:r>
        <w:rPr/>
        <w:t>PE</w:t>
      </w:r>
      <w:r>
        <w:rPr/>
        <w:t>并未完成独立同业精确比较和历史分位，因此倍数可信度中低。服务平台技术、增长、资本密集程度与风险各不同，不能套用某一家同业最高</w:t>
      </w:r>
      <w:r>
        <w:rPr/>
        <w:t>PE</w:t>
      </w:r>
      <w:r>
        <w:rPr/>
        <w:t>为所有公司目标。三十八倍一年基准已有成长溢价，若客户价格竞争、政策或信用成本提高，可能应更低；若形成现金可证实的高增长，可提高。本章用多个倍数和盈利条件明确估值弹性，避免一个精确目标数字掩盖研究判断的不确定性。</w:t>
      </w:r>
    </w:p>
    <w:p>
      <w:pPr>
        <w:pStyle w:val="Heading2"/>
        <w:rPr/>
      </w:pPr>
      <w:r>
        <w:rPr>
          <w:color w:val="000000"/>
        </w:rPr>
        <w:t>敏感性 年底期望与持有回报</w:t>
      </w:r>
    </w:p>
    <w:p>
      <w:pPr>
        <w:pStyle w:val="Normal"/>
        <w:rPr/>
      </w:pPr>
      <w:r>
        <w:rPr/>
        <w:t>以一年基准</w:t>
      </w:r>
      <w:r>
        <w:rPr/>
        <w:t>EPS2.10</w:t>
      </w:r>
      <w:r>
        <w:rPr/>
        <w:t>为例，</w:t>
      </w:r>
      <w:r>
        <w:rPr/>
        <w:t>PE</w:t>
      </w:r>
      <w:r>
        <w:rPr/>
        <w:t>从</w:t>
      </w:r>
      <w:r>
        <w:rPr/>
        <w:t>28</w:t>
      </w:r>
      <w:r>
        <w:rPr/>
        <w:t>到</w:t>
      </w:r>
      <w:r>
        <w:rPr/>
        <w:t>38</w:t>
      </w:r>
      <w:r>
        <w:rPr/>
        <w:t>到</w:t>
      </w:r>
      <w:r>
        <w:rPr/>
        <w:t>48</w:t>
      </w:r>
      <w:r>
        <w:rPr/>
        <w:t>倍，对应</w:t>
      </w:r>
      <w:r>
        <w:rPr/>
        <w:t>58.80</w:t>
      </w:r>
      <w:r>
        <w:rPr/>
        <w:t>、</w:t>
      </w:r>
      <w:r>
        <w:rPr/>
        <w:t>79.80</w:t>
      </w:r>
      <w:r>
        <w:rPr/>
        <w:t>、</w:t>
      </w:r>
      <w:r>
        <w:rPr/>
        <w:t>100.80</w:t>
      </w:r>
      <w:r>
        <w:rPr/>
        <w:t>元；即使四十八倍，仍略低现价，说明单靠普通倍数扩大不足以产生较大空间。按</w:t>
      </w:r>
      <w:r>
        <w:rPr/>
        <w:t>38</w:t>
      </w:r>
      <w:r>
        <w:rPr/>
        <w:t>倍固定，</w:t>
      </w:r>
      <w:r>
        <w:rPr/>
        <w:t>EPS1.60</w:t>
      </w:r>
      <w:r>
        <w:rPr/>
        <w:t>、</w:t>
      </w:r>
      <w:r>
        <w:rPr/>
        <w:t>2.10</w:t>
      </w:r>
      <w:r>
        <w:rPr/>
        <w:t>、</w:t>
      </w:r>
      <w:r>
        <w:rPr/>
        <w:t>2.60</w:t>
      </w:r>
      <w:r>
        <w:rPr/>
        <w:t>对应</w:t>
      </w:r>
      <w:r>
        <w:rPr/>
        <w:t>60.80</w:t>
      </w:r>
      <w:r>
        <w:rPr/>
        <w:t>、</w:t>
      </w:r>
      <w:r>
        <w:rPr/>
        <w:t>79.80</w:t>
      </w:r>
      <w:r>
        <w:rPr/>
        <w:t>、</w:t>
      </w:r>
      <w:r>
        <w:rPr/>
        <w:t>98.80</w:t>
      </w:r>
      <w:r>
        <w:rPr/>
        <w:t>元，需要</w:t>
      </w:r>
      <w:r>
        <w:rPr/>
        <w:t>EPS</w:t>
      </w:r>
      <w:r>
        <w:rPr/>
        <w:t>接近</w:t>
      </w:r>
      <w:r>
        <w:rPr/>
        <w:t>2.737</w:t>
      </w:r>
      <w:r>
        <w:rPr/>
        <w:t>元才能支持</w:t>
      </w:r>
      <w:r>
        <w:rPr/>
        <w:t>104</w:t>
      </w:r>
      <w:r>
        <w:rPr/>
        <w:t>元。该盈利门槛对应约</w:t>
      </w:r>
      <w:r>
        <w:rPr/>
        <w:t>367.70</w:t>
      </w:r>
      <w:r>
        <w:rPr/>
        <w:t>百万元归母，若收入</w:t>
      </w:r>
      <w:r>
        <w:rPr/>
        <w:t>2200</w:t>
      </w:r>
      <w:r>
        <w:rPr/>
        <w:t>百万元则净利约</w:t>
      </w:r>
      <w:r>
        <w:rPr/>
        <w:t>16.71%</w:t>
      </w:r>
      <w:r>
        <w:rPr/>
        <w:t>，比基准高，价格要求可直接核算。</w:t>
      </w:r>
    </w:p>
    <w:p>
      <w:pPr>
        <w:pStyle w:val="Normal"/>
        <w:rPr/>
      </w:pPr>
      <w:r>
        <w:rPr/>
        <w:t>年底三情景</w:t>
      </w:r>
      <w:r>
        <w:rPr/>
        <w:t>25%</w:t>
      </w:r>
      <w:r>
        <w:rPr/>
        <w:t>、</w:t>
      </w:r>
      <w:r>
        <w:rPr/>
        <w:t>50%</w:t>
      </w:r>
      <w:r>
        <w:rPr/>
        <w:t>、</w:t>
      </w:r>
      <w:r>
        <w:rPr/>
        <w:t>25%</w:t>
      </w:r>
      <w:r>
        <w:rPr/>
        <w:t>加权</w:t>
      </w:r>
      <w:r>
        <w:rPr/>
        <w:t>63.125</w:t>
      </w:r>
      <w:r>
        <w:rPr/>
        <w:t>元、回报</w:t>
      </w:r>
      <w:r>
        <w:rPr/>
        <w:t>-39.30%</w:t>
      </w:r>
      <w:r>
        <w:rPr/>
        <w:t>；悲观权重</w:t>
      </w:r>
      <w:r>
        <w:rPr/>
        <w:t>40%</w:t>
      </w:r>
      <w:r>
        <w:rPr/>
        <w:t>及乐观</w:t>
      </w:r>
      <w:r>
        <w:rPr/>
        <w:t>10%</w:t>
      </w:r>
      <w:r>
        <w:rPr/>
        <w:t>得</w:t>
      </w:r>
      <w:r>
        <w:rPr/>
        <w:t>47</w:t>
      </w:r>
      <w:r>
        <w:rPr/>
        <w:t>元、</w:t>
      </w:r>
      <w:r>
        <w:rPr/>
        <w:t>-54.81%</w:t>
      </w:r>
      <w:r>
        <w:rPr/>
        <w:t>，反之</w:t>
      </w:r>
      <w:r>
        <w:rPr/>
        <w:t>79.25</w:t>
      </w:r>
      <w:r>
        <w:rPr/>
        <w:t>元、</w:t>
      </w:r>
      <w:r>
        <w:rPr/>
        <w:t>-23.80%</w:t>
      </w:r>
      <w:r>
        <w:rPr/>
        <w:t>。这些是研究判断权重，未用历史收益分布、期权或蒙特卡洛校准为概率。期望值低不等于股价必将在年底跌至期望；市场可能继续给予高预期溢价。它说明在本盈利及倍数假设下，当前入场对下行敏感，投资者应同时检验假设与价格接受度。</w:t>
      </w:r>
    </w:p>
    <w:p>
      <w:pPr>
        <w:pStyle w:val="Normal"/>
        <w:rPr/>
      </w:pPr>
      <w:r>
        <w:rPr/>
        <w:t>年底基准观察信息是三季度交付与现金、订单续签、诉讼是否进入后续程序、减持窗口及库存激励办理。全部资料只截止十月九日，未使用尚未发布的三季报实际数字。年底目标不直接采用十二个月外资目标，也不按两三个月占一年比例缩小；它独立考虑剩余信息集和市场估值。近端重新定价时间无法精确证明，是本模型重要限制，报告不会用确定语气描述路径。</w:t>
      </w:r>
    </w:p>
    <w:p>
      <w:pPr>
        <w:pStyle w:val="Normal"/>
        <w:rPr/>
      </w:pPr>
      <w:r>
        <w:rPr/>
        <w:t>人民币证券本币回报为主，公司美元敞口影响的是经营利润而不是</w:t>
      </w:r>
      <w:r>
        <w:rPr/>
        <w:t>H</w:t>
      </w:r>
      <w:r>
        <w:rPr/>
        <w:t>股币种转换。</w:t>
      </w:r>
      <w:r>
        <w:rPr/>
        <w:t>H1</w:t>
      </w:r>
      <w:r>
        <w:rPr/>
        <w:t>外币货币资金与应收合计可见美元敞口较大，人民币升值可能压人民币收入和外币资产折算，财务费用也会反映汇兑，不能把所有境外收入乘汇率变化当净利变化。港币兑人民币敏感是总组合其他证券口径，不强行给美迪西添加港币价格。经营汇率敏感需净资产负债与成本币种逐项建模，现未完成精确压力金额。</w:t>
      </w:r>
    </w:p>
    <w:p>
      <w:pPr>
        <w:pStyle w:val="Heading2"/>
        <w:rPr/>
      </w:pPr>
      <w:r>
        <w:rPr>
          <w:color w:val="000000"/>
        </w:rPr>
        <w:t>四期限评分与推荐成立条件</w:t>
      </w:r>
    </w:p>
    <w:p>
      <w:pPr>
        <w:pStyle w:val="Normal"/>
        <w:rPr/>
      </w:pPr>
      <w:r>
        <w:rPr/>
        <w:t>半年六维度</w:t>
      </w:r>
      <w:r>
        <w:rPr/>
        <w:t>0—5</w:t>
      </w:r>
      <w:r>
        <w:rPr/>
        <w:t>分依次</w:t>
      </w:r>
      <w:r>
        <w:rPr/>
        <w:t>1.8</w:t>
      </w:r>
      <w:r>
        <w:rPr/>
        <w:t>、</w:t>
      </w:r>
      <w:r>
        <w:rPr/>
        <w:t>3.6</w:t>
      </w:r>
      <w:r>
        <w:rPr/>
        <w:t>、</w:t>
      </w:r>
      <w:r>
        <w:rPr/>
        <w:t>3.7</w:t>
      </w:r>
      <w:r>
        <w:rPr/>
        <w:t>、</w:t>
      </w:r>
      <w:r>
        <w:rPr/>
        <w:t>4.0</w:t>
      </w:r>
      <w:r>
        <w:rPr/>
        <w:t>、</w:t>
      </w:r>
      <w:r>
        <w:rPr/>
        <w:t>3.5</w:t>
      </w:r>
      <w:r>
        <w:rPr/>
        <w:t>、</w:t>
      </w:r>
      <w:r>
        <w:rPr/>
        <w:t>2.7</w:t>
      </w:r>
      <w:r>
        <w:rPr/>
        <w:t>，按既定</w:t>
      </w:r>
      <w:r>
        <w:rPr/>
        <w:t>25/30/15/10/10/10</w:t>
      </w:r>
      <w:r>
        <w:rPr/>
        <w:t>权重得到</w:t>
      </w:r>
      <w:r>
        <w:rPr/>
        <w:t>62.1</w:t>
      </w:r>
      <w:r>
        <w:rPr/>
        <w:t>。技术有趋势与相对强势，成长有收入和订单证据，估值分低使总体不进入最高层。财务风险分较低反映坏账、冻结、资本投入、治理和诉讼未终结。分数不是盈利概率，不能将</w:t>
      </w:r>
      <w:r>
        <w:rPr/>
        <w:t>62.1</w:t>
      </w:r>
      <w:r>
        <w:rPr/>
        <w:t>解释为六成机会赚；它是相同标尺下的研究相对评价。</w:t>
      </w:r>
    </w:p>
    <w:p>
      <w:pPr>
        <w:pStyle w:val="Normal"/>
        <w:rPr/>
      </w:pPr>
      <w:r>
        <w:rPr/>
        <w:t>一年估值</w:t>
      </w:r>
      <w:r>
        <w:rPr/>
        <w:t>2.1</w:t>
      </w:r>
      <w:r>
        <w:rPr/>
        <w:t>、技术</w:t>
      </w:r>
      <w:r>
        <w:rPr/>
        <w:t>3.6</w:t>
      </w:r>
      <w:r>
        <w:rPr/>
        <w:t>、成长</w:t>
      </w:r>
      <w:r>
        <w:rPr/>
        <w:t>3.9</w:t>
      </w:r>
      <w:r>
        <w:rPr/>
        <w:t>、行业</w:t>
      </w:r>
      <w:r>
        <w:rPr/>
        <w:t>4.0</w:t>
      </w:r>
      <w:r>
        <w:rPr/>
        <w:t>、催化</w:t>
      </w:r>
      <w:r>
        <w:rPr/>
        <w:t>3.7</w:t>
      </w:r>
      <w:r>
        <w:rPr/>
        <w:t>、风险</w:t>
      </w:r>
      <w:r>
        <w:rPr/>
        <w:t>2.7</w:t>
      </w:r>
      <w:r>
        <w:rPr/>
        <w:t>得</w:t>
      </w:r>
      <w:r>
        <w:rPr/>
        <w:t>65.6</w:t>
      </w:r>
      <w:r>
        <w:rPr/>
        <w:t>，重点提高已签交付和扩建验证比重。三年估值</w:t>
      </w:r>
      <w:r>
        <w:rPr/>
        <w:t>2.8</w:t>
      </w:r>
      <w:r>
        <w:rPr/>
        <w:t>、技术</w:t>
      </w:r>
      <w:r>
        <w:rPr/>
        <w:t>3.6</w:t>
      </w:r>
      <w:r>
        <w:rPr/>
        <w:t>、成长</w:t>
      </w:r>
      <w:r>
        <w:rPr/>
        <w:t>4.1</w:t>
      </w:r>
      <w:r>
        <w:rPr/>
        <w:t>、行业</w:t>
      </w:r>
      <w:r>
        <w:rPr/>
        <w:t>4.0</w:t>
      </w:r>
      <w:r>
        <w:rPr/>
        <w:t>、催化</w:t>
      </w:r>
      <w:r>
        <w:rPr/>
        <w:t>3.8</w:t>
      </w:r>
      <w:r>
        <w:rPr/>
        <w:t>、风险</w:t>
      </w:r>
      <w:r>
        <w:rPr/>
        <w:t>3.0</w:t>
      </w:r>
      <w:r>
        <w:rPr/>
        <w:t>得</w:t>
      </w:r>
      <w:r>
        <w:rPr/>
        <w:t>72.1</w:t>
      </w:r>
      <w:r>
        <w:rPr/>
        <w:t>；五年</w:t>
      </w:r>
      <w:r>
        <w:rPr/>
        <w:t>3.0</w:t>
      </w:r>
      <w:r>
        <w:rPr/>
        <w:t>、</w:t>
      </w:r>
      <w:r>
        <w:rPr/>
        <w:t>3.6</w:t>
      </w:r>
      <w:r>
        <w:rPr/>
        <w:t>、</w:t>
      </w:r>
      <w:r>
        <w:rPr/>
        <w:t>4.1</w:t>
      </w:r>
      <w:r>
        <w:rPr/>
        <w:t>、</w:t>
      </w:r>
      <w:r>
        <w:rPr/>
        <w:t>4.0</w:t>
      </w:r>
      <w:r>
        <w:rPr/>
        <w:t>、</w:t>
      </w:r>
      <w:r>
        <w:rPr/>
        <w:t>3.6</w:t>
      </w:r>
      <w:r>
        <w:rPr/>
        <w:t>、</w:t>
      </w:r>
      <w:r>
        <w:rPr/>
        <w:t>3.0</w:t>
      </w:r>
      <w:r>
        <w:rPr/>
        <w:t>得</w:t>
      </w:r>
      <w:r>
        <w:rPr/>
        <w:t>73.4</w:t>
      </w:r>
      <w:r>
        <w:rPr/>
        <w:t>，但技术权重为零。期限不同评分对应证据和经营兑现，不能用高三年分遮掩半年基准负回报。</w:t>
      </w:r>
    </w:p>
    <w:p>
      <w:pPr>
        <w:pStyle w:val="Normal"/>
        <w:rPr/>
      </w:pPr>
      <w:r>
        <w:rPr/>
        <w:t>半年成立条件是订单和收入继续形成合理毛利、回踩不过度放量、价格与盈利预期差距缩小；失败路径是经营改善放缓而高</w:t>
      </w:r>
      <w:r>
        <w:rPr/>
        <w:t>PE</w:t>
      </w:r>
      <w:r>
        <w:rPr/>
        <w:t>先收缩。一年需扩建按计划且利用有效、海外亏损受控、信用损失和税负未吞噬恢复。若仅完成设施但费用升、回款弱，应下调利润，不能把投产日期本身当完成投资逻辑。技术支持不能替代这些财务条件，低价回落也不自动提高基本面评分。</w:t>
      </w:r>
    </w:p>
    <w:p>
      <w:pPr>
        <w:pStyle w:val="Normal"/>
        <w:rPr/>
      </w:pPr>
      <w:r>
        <w:rPr/>
        <w:t>三年和五年需综合服务形成更高客户价值、方法适应新技术、现金转换稳定、资本开支回报合理。主要反证包括连续高坏账、临床前高毛利不可持续、海外无盈利路径、质量监管或数据诚信问题、关联采购不透明和融资持续稀释。出现核心质量问题应暂停排名而非仅扣少量风险分；出现正常周期弱化则按新盈利和倍数刷新模型，不将旧目标继续视作可靠承诺。</w:t>
      </w:r>
    </w:p>
    <w:p>
      <w:pPr>
        <w:pStyle w:val="Heading2"/>
        <w:rPr/>
      </w:pPr>
      <w:r>
        <w:rPr>
          <w:color w:val="000000"/>
        </w:rPr>
        <w:t>十年经营持续性展望与数据缺口</w:t>
      </w:r>
    </w:p>
    <w:p>
      <w:pPr>
        <w:pStyle w:val="Normal"/>
        <w:rPr/>
      </w:pPr>
      <w:r>
        <w:rPr/>
        <w:t>到</w:t>
      </w:r>
      <w:r>
        <w:rPr/>
        <w:t>2036</w:t>
      </w:r>
      <w:r>
        <w:rPr/>
        <w:t>年，药物发现和安全研究仍有必要，但实验方法、客户区域、监管采信和</w:t>
      </w:r>
      <w:r>
        <w:rPr/>
        <w:t>AI</w:t>
      </w:r>
      <w:r>
        <w:rPr/>
        <w:t>工具可能显著变化。美迪西能否持续增长取决于从重复劳动服务转为可验证方法、复杂项目和质量平台，同时把投入转成现金。十年不提供固定股价或恒定高增速，原因是当前方法替代和客户资金周期无法可靠逐年外推。经营展望用于检验适应能力，五年情景仍以可观察的收入、利润和资本需求为边界。</w:t>
      </w:r>
    </w:p>
    <w:p>
      <w:pPr>
        <w:pStyle w:val="Normal"/>
        <w:rPr/>
      </w:pPr>
      <w:r>
        <w:rPr/>
        <w:t>公司当前既有综合平台、订单修复与临床前经验，也有利润基数小、价格预期高和资本效率待证的矛盾。长期更有价值的进展是连续年度扣非盈利、经营现金与利润匹配、扩建回报、海外净利润及坏账率改善，而不是只增加面积、模型和累计</w:t>
      </w:r>
      <w:r>
        <w:rPr/>
        <w:t>IND</w:t>
      </w:r>
      <w:r>
        <w:rPr/>
        <w:t>数量。若这些发生，可以提高预测可信度和长期评分；若依靠低价抢单与持续投入扩大规模，业务增长可能仍不能创造与市值匹配的股东回报。</w:t>
      </w:r>
    </w:p>
    <w:p>
      <w:pPr>
        <w:pStyle w:val="Normal"/>
        <w:rPr/>
      </w:pPr>
      <w:r>
        <w:rPr/>
        <w:t>本章尚缺分部完整</w:t>
      </w:r>
      <w:r>
        <w:rPr/>
        <w:t>DCF</w:t>
      </w:r>
      <w:r>
        <w:rPr/>
        <w:t>、税及营运资本三表、历史</w:t>
      </w:r>
      <w:r>
        <w:rPr/>
        <w:t>PE</w:t>
      </w:r>
      <w:r>
        <w:rPr/>
        <w:t>分位、可核验</w:t>
      </w:r>
      <w:r>
        <w:rPr/>
        <w:t>CRO</w:t>
      </w:r>
      <w:r>
        <w:rPr/>
        <w:t>细分指数、外资有效目标和监管司法原件。公开外资目标查询未取得足够机构、日期、币种和期限证据，留空并不等于没有机构覆盖；国内报告不替代外资。本研究已有模型可重算、原财报来源和反证记录，最终总表与文档由主任务统一集成，尚未将独立初版宣称为全部法律或临床事实的最终核验。</w:t>
      </w:r>
    </w:p>
    <w:p>
      <w:pPr>
        <w:pStyle w:val="Heading2"/>
        <w:rPr/>
      </w:pPr>
      <w:r>
        <w:rPr>
          <w:color w:val="000000"/>
        </w:rPr>
        <w:t>来源</w:t>
      </w:r>
    </w:p>
    <w:p>
      <w:pPr>
        <w:pStyle w:val="Normal"/>
        <w:rPr/>
      </w:pPr>
      <w:r>
        <w:rPr/>
        <w:t>1. 2026H1</w:t>
      </w:r>
      <w:r>
        <w:rPr/>
        <w:t>中报，</w:t>
      </w:r>
      <w:r>
        <w:rPr/>
        <w:t>8/25</w:t>
      </w:r>
      <w:r>
        <w:rPr/>
        <w:t>公开，</w:t>
      </w:r>
      <w:r>
        <w:rPr/>
        <w:t>7—9/14—22/43—54/84—94/133—140/167—175/179—190/212—214</w:t>
      </w:r>
      <w:r>
        <w:rPr/>
        <w:t>页。</w:t>
      </w:r>
      <w:r>
        <w:rPr/>
        <w:t>https://static.cninfo.com.cn/finalpage/2026-08-25/1225498030.PDF</w:t>
      </w:r>
    </w:p>
    <w:p>
      <w:pPr>
        <w:pStyle w:val="Normal"/>
        <w:rPr/>
      </w:pPr>
      <w:r>
        <w:rPr/>
        <w:t>2. FY2025</w:t>
      </w:r>
      <w:r>
        <w:rPr/>
        <w:t>年报，</w:t>
      </w:r>
      <w:r>
        <w:rPr/>
        <w:t>4/23</w:t>
      </w:r>
      <w:r>
        <w:rPr/>
        <w:t>公开，</w:t>
      </w:r>
      <w:r>
        <w:rPr/>
        <w:t>8—10/64/93—94/150/240</w:t>
      </w:r>
      <w:r>
        <w:rPr/>
        <w:t>页。</w:t>
      </w:r>
      <w:r>
        <w:rPr/>
        <w:t>https://static.cninfo.com.cn/finalpage/2026-04-23/1225150908.PDF</w:t>
      </w:r>
    </w:p>
    <w:p>
      <w:pPr>
        <w:pStyle w:val="Normal"/>
        <w:rPr/>
      </w:pPr>
      <w:r>
        <w:rPr/>
        <w:t xml:space="preserve">3. </w:t>
      </w:r>
      <w:r>
        <w:rPr/>
        <w:t>本诉一审与反诉撤回，</w:t>
      </w:r>
      <w:r>
        <w:rPr/>
        <w:t>9/19</w:t>
      </w:r>
      <w:r>
        <w:rPr/>
        <w:t>公开，</w:t>
      </w:r>
      <w:r>
        <w:rPr/>
        <w:t>1—3</w:t>
      </w:r>
      <w:r>
        <w:rPr/>
        <w:t>页，未独立取得判决全文或最终上诉结果。</w:t>
      </w:r>
      <w:r>
        <w:rPr/>
        <w:t>https://static.cninfo.com.cn/finalpage/2026-09-19/1225572796.PDF</w:t>
      </w:r>
    </w:p>
    <w:p>
      <w:pPr>
        <w:pStyle w:val="Normal"/>
        <w:rPr/>
      </w:pPr>
      <w:r>
        <w:rPr/>
        <w:t xml:space="preserve">4. </w:t>
      </w:r>
      <w:r>
        <w:rPr/>
        <w:t>陈建煌计划减持，</w:t>
      </w:r>
      <w:r>
        <w:rPr/>
        <w:t>8/15</w:t>
      </w:r>
      <w:r>
        <w:rPr/>
        <w:t>公开，</w:t>
      </w:r>
      <w:r>
        <w:rPr/>
        <w:t>1—3</w:t>
      </w:r>
      <w:r>
        <w:rPr/>
        <w:t>页。</w:t>
      </w:r>
      <w:r>
        <w:rPr/>
        <w:t>https://static.cninfo.com.cn/finalpage/2026-08-15/1225474771.PDF</w:t>
      </w:r>
    </w:p>
    <w:p>
      <w:pPr>
        <w:pStyle w:val="Normal"/>
        <w:rPr/>
      </w:pPr>
      <w:r>
        <w:rPr/>
        <w:t xml:space="preserve">5. </w:t>
      </w:r>
      <w:r>
        <w:rPr/>
        <w:t>截至</w:t>
      </w:r>
      <w:r>
        <w:rPr/>
        <w:t>9/18</w:t>
      </w:r>
      <w:r>
        <w:rPr/>
        <w:t>实际减持，</w:t>
      </w:r>
      <w:r>
        <w:rPr/>
        <w:t>9/22</w:t>
      </w:r>
      <w:r>
        <w:rPr/>
        <w:t>公开，</w:t>
      </w:r>
      <w:r>
        <w:rPr/>
        <w:t>1—3</w:t>
      </w:r>
      <w:r>
        <w:rPr/>
        <w:t>页。</w:t>
      </w:r>
      <w:r>
        <w:rPr/>
        <w:t>https://static.cninfo.com.cn/finalpage/2026-09-22/1225574214.PDF</w:t>
      </w:r>
    </w:p>
    <w:p>
      <w:pPr>
        <w:pStyle w:val="Normal"/>
        <w:rPr/>
      </w:pPr>
      <w:r>
        <w:rPr/>
        <w:t xml:space="preserve">6. </w:t>
      </w:r>
      <w:r>
        <w:rPr/>
        <w:t>募集资金专项，</w:t>
      </w:r>
      <w:r>
        <w:rPr/>
        <w:t>8/25</w:t>
      </w:r>
      <w:r>
        <w:rPr/>
        <w:t>，</w:t>
      </w:r>
      <w:r>
        <w:rPr/>
        <w:t>1—15</w:t>
      </w:r>
      <w:r>
        <w:rPr/>
        <w:t>页，项目终止、调整、进度、误用及归还。</w:t>
      </w:r>
      <w:r>
        <w:rPr/>
        <w:t>https://static.cninfo.com.cn/finalpage/2026-08-25/1225498013.PDF</w:t>
      </w:r>
    </w:p>
    <w:p>
      <w:pPr>
        <w:pStyle w:val="Normal"/>
        <w:rPr/>
      </w:pPr>
      <w:r>
        <w:rPr/>
        <w:t xml:space="preserve">7. </w:t>
      </w:r>
      <w:r>
        <w:rPr/>
        <w:t>信用与资产减值专项，</w:t>
      </w:r>
      <w:r>
        <w:rPr/>
        <w:t>8/25</w:t>
      </w:r>
      <w:r>
        <w:rPr/>
        <w:t>，</w:t>
      </w:r>
      <w:r>
        <w:rPr/>
        <w:t>1—3</w:t>
      </w:r>
      <w:r>
        <w:rPr/>
        <w:t>页。</w:t>
      </w:r>
      <w:r>
        <w:rPr/>
        <w:t>https://static.cninfo.com.cn/finalpage/2026-08-25/1225498029.PDF</w:t>
      </w:r>
    </w:p>
    <w:p>
      <w:pPr>
        <w:pStyle w:val="Normal"/>
        <w:rPr/>
      </w:pPr>
      <w:r>
        <w:rPr/>
        <w:t xml:space="preserve">8. </w:t>
      </w:r>
      <w:r>
        <w:rPr/>
        <w:t>关联交易增加，</w:t>
      </w:r>
      <w:r>
        <w:rPr/>
        <w:t>8/25</w:t>
      </w:r>
      <w:r>
        <w:rPr/>
        <w:t>，</w:t>
      </w:r>
      <w:r>
        <w:rPr/>
        <w:t>1—4</w:t>
      </w:r>
      <w:r>
        <w:rPr/>
        <w:t>页。</w:t>
      </w:r>
      <w:r>
        <w:rPr/>
        <w:t>https://static.cninfo.com.cn/finalpage/2026-08-25/1225498022.PDF</w:t>
      </w:r>
    </w:p>
    <w:p>
      <w:pPr>
        <w:pStyle w:val="Normal"/>
        <w:rPr/>
      </w:pPr>
      <w:r>
        <w:rPr/>
        <w:t xml:space="preserve">9. </w:t>
      </w:r>
      <w:r>
        <w:rPr/>
        <w:t>闲置募集管理授权，</w:t>
      </w:r>
      <w:r>
        <w:rPr/>
        <w:t>8/8</w:t>
      </w:r>
      <w:r>
        <w:rPr/>
        <w:t>，</w:t>
      </w:r>
      <w:r>
        <w:rPr/>
        <w:t>1—6</w:t>
      </w:r>
      <w:r>
        <w:rPr/>
        <w:t>页，</w:t>
      </w:r>
      <w:r>
        <w:rPr/>
        <w:t>8/7</w:t>
      </w:r>
      <w:r>
        <w:rPr/>
        <w:t>审议，</w:t>
      </w:r>
      <w:r>
        <w:rPr/>
        <w:t>180</w:t>
      </w:r>
      <w:r>
        <w:rPr/>
        <w:t>百万元为上限。</w:t>
      </w:r>
      <w:r>
        <w:rPr/>
        <w:t>https://static.cninfo.com.cn/finalpage/2026-08-08/1225463431.PDF</w:t>
      </w:r>
    </w:p>
    <w:p>
      <w:pPr>
        <w:pStyle w:val="Normal"/>
        <w:rPr/>
      </w:pPr>
      <w:r>
        <w:rPr/>
        <w:t>10. 2025</w:t>
      </w:r>
      <w:r>
        <w:rPr/>
        <w:t>第二类激励授予，</w:t>
      </w:r>
      <w:r>
        <w:rPr/>
        <w:t>9/16</w:t>
      </w:r>
      <w:r>
        <w:rPr/>
        <w:t>公开，</w:t>
      </w:r>
      <w:r>
        <w:rPr/>
        <w:t>5—9</w:t>
      </w:r>
      <w:r>
        <w:rPr/>
        <w:t>页；授予</w:t>
      </w:r>
      <w:r>
        <w:rPr/>
        <w:t>9/15</w:t>
      </w:r>
      <w:r>
        <w:rPr/>
        <w:t>，回购库存、归属安排及费用。</w:t>
      </w:r>
      <w:r>
        <w:rPr/>
        <w:t>https://static.cninfo.com.cn/finalpage/2025-09-16/1224661934.PDF</w:t>
      </w:r>
    </w:p>
    <w:p>
      <w:pPr>
        <w:pStyle w:val="Normal"/>
        <w:rPr/>
      </w:pPr>
      <w:r>
        <w:rPr/>
        <w:t xml:space="preserve">11. </w:t>
      </w:r>
      <w:r>
        <w:rPr/>
        <w:t>行情数据和双源校验：</w:t>
      </w:r>
      <w:r>
        <w:rPr/>
        <w:t>data/market_snapshot_locked.json</w:t>
      </w:r>
      <w:r>
        <w:rPr/>
        <w:t>，</w:t>
      </w:r>
      <w:r>
        <w:rPr/>
        <w:t>S020</w:t>
      </w:r>
      <w:r>
        <w:rPr/>
        <w:t>；</w:t>
      </w:r>
      <w:r>
        <w:rPr/>
        <w:t>data/history/S020.json</w:t>
      </w:r>
      <w:r>
        <w:rPr/>
        <w:t>，</w:t>
      </w:r>
      <w:r>
        <w:rPr/>
        <w:t>728</w:t>
      </w:r>
      <w:r>
        <w:rPr/>
        <w:t>日及</w:t>
      </w:r>
      <w:r>
        <w:rPr/>
        <w:t>155</w:t>
      </w:r>
      <w:r>
        <w:rPr/>
        <w:t>周，</w:t>
      </w:r>
      <w:r>
        <w:rPr/>
        <w:t>market-v1.5</w:t>
      </w:r>
      <w:r>
        <w:rPr/>
        <w:t>股票与</w:t>
      </w:r>
      <w:r>
        <w:rPr/>
        <w:t>v1.4</w:t>
      </w:r>
      <w:r>
        <w:rPr/>
        <w:t>一致。量单位股、金额人民币元，复权按基准日名义价格归一。</w:t>
      </w:r>
      <w:r>
        <w:br w:type="page"/>
      </w:r>
    </w:p>
    <w:p>
      <w:pPr>
        <w:pStyle w:val="Heading1"/>
        <w:rPr/>
      </w:pPr>
      <w:bookmarkStart w:id="6" w:name="__RefHeading___Toc38188_1364803659"/>
      <w:bookmarkEnd w:id="6"/>
      <w:r>
        <w:rPr>
          <w:color w:val="000000"/>
        </w:rPr>
        <w:t xml:space="preserve">东方甄选 </w:t>
      </w:r>
      <w:r>
        <w:rPr>
          <w:color w:val="000000"/>
        </w:rPr>
        <w:t>01797 HK</w:t>
      </w:r>
    </w:p>
    <w:p>
      <w:pPr>
        <w:pStyle w:val="Normal"/>
        <w:rPr/>
      </w:pPr>
      <w:r>
        <w:rPr/>
        <w:t xml:space="preserve">01797.HK </w:t>
      </w:r>
      <w:r>
        <w:rPr/>
        <w:t xml:space="preserve">现价 </w:t>
      </w:r>
      <w:r>
        <w:rPr/>
        <w:t>26.52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61.70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25.87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-2.47%</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64.80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27.90</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+5.21%</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+5.21%</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69.30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37.24</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+40.43%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+41.33%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68.70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42.99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+62.09%</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+64.37%</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15.59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-41.21%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25.43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-4.13%</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35.35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+33.30%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25.45HKD</w:t>
      </w:r>
      <w:r>
        <w:rPr/>
        <w:t>，期望股价回报</w:t>
      </w:r>
      <w:r>
        <w:rPr/>
        <w:t>-4.04%</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6.46</w:t>
              <w:br/>
              <w:t>-75.65%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25.87</w:t>
              <w:br/>
              <w:t>-2.47%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52.95</w:t>
              <w:br/>
              <w:t>+99.67%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5.75</w:t>
              <w:br/>
              <w:t>-78.31%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27.90</w:t>
              <w:br/>
              <w:t>+5.21%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58.79</w:t>
              <w:br/>
              <w:t>+121.67%</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5.08</w:t>
              <w:br/>
              <w:t>-80.83%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37.24</w:t>
              <w:br/>
              <w:t>+40.43%</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89.32</w:t>
              <w:br/>
              <w:t>+236.81%</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+12.22%</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3.87</w:t>
              <w:br/>
              <w:t>-85.41%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42.99</w:t>
              <w:br/>
              <w:t>+62.09%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113.36</w:t>
              <w:br/>
              <w:t>+327.44%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+10.45%</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总体</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中；财报、最新价格与历史高，</w:t>
            </w:r>
            <w:r>
              <w:rPr>
                <w:rFonts w:eastAsia="微软雅黑" w:ascii="微软雅黑" w:hAnsi="微软雅黑"/>
                <w:sz w:val="17"/>
              </w:rPr>
              <w:t>GMV</w:t>
            </w:r>
            <w:r>
              <w:rPr>
                <w:rFonts w:ascii="微软雅黑" w:hAnsi="微软雅黑" w:eastAsia="微软雅黑"/>
                <w:sz w:val="17"/>
              </w:rPr>
              <w:t>税净换算、商品毛利分拆、未来</w:t>
            </w:r>
            <w:r>
              <w:rPr>
                <w:rFonts w:eastAsia="微软雅黑" w:ascii="微软雅黑" w:hAnsi="微软雅黑"/>
                <w:sz w:val="17"/>
              </w:rPr>
              <w:t>SBC</w:t>
            </w:r>
            <w:r>
              <w:rPr>
                <w:rFonts w:ascii="微软雅黑" w:hAnsi="微软雅黑" w:eastAsia="微软雅黑"/>
                <w:sz w:val="17"/>
              </w:rPr>
              <w:t>和零售渠道假设中低</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-7.34%</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+2.41%</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-0.05%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+10.47%</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+34.26%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+41.33%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+48.40%</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+56.16%</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+64.37%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+72.59%</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证券</w:t>
      </w:r>
      <w:r>
        <w:rPr/>
        <w:t>01797.HK</w:t>
      </w:r>
      <w:r>
        <w:rPr/>
        <w:t>；发行人</w:t>
      </w:r>
      <w:r>
        <w:rPr/>
        <w:t>I058</w:t>
      </w:r>
      <w:r>
        <w:rPr/>
        <w:t>；证券</w:t>
      </w:r>
      <w:r>
        <w:rPr/>
        <w:t>S068</w:t>
      </w:r>
      <w:r>
        <w:rPr/>
        <w:t>；价格与资料截止</w:t>
      </w:r>
      <w:r>
        <w:rPr/>
        <w:t>2026</w:t>
      </w:r>
      <w:r>
        <w:rPr/>
        <w:t>年</w:t>
      </w:r>
      <w:r>
        <w:rPr/>
        <w:t>10</w:t>
      </w:r>
      <w:r>
        <w:rPr/>
        <w:t>月</w:t>
      </w:r>
      <w:r>
        <w:rPr/>
        <w:t>9</w:t>
      </w:r>
      <w:r>
        <w:rPr/>
        <w:t>日。锁定收盘</w:t>
      </w:r>
      <w:r>
        <w:rPr/>
        <w:t>26.52</w:t>
      </w:r>
      <w:r>
        <w:rPr/>
        <w:t>港元，行情</w:t>
      </w:r>
      <w:r>
        <w:rPr/>
        <w:t>market-v1.6</w:t>
      </w:r>
      <w:r>
        <w:rPr/>
        <w:t>；独立模型</w:t>
      </w:r>
      <w:r>
        <w:rPr/>
        <w:t>eastbuy-fiscal-product-service-treasury-sbc-v1.0</w:t>
      </w:r>
      <w:r>
        <w:rPr/>
        <w:t>。公司财政年度结束于五月，不能直接使用日历年度利润。本文的业务预测、现金配置及估值倍数均为研究假设，目标区间不是统计置信区间，也不代表最大损失。</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w:t>
            </w:r>
            <w:r>
              <w:rPr>
                <w:rFonts w:eastAsia="微软雅黑" w:ascii="微软雅黑" w:hAnsi="微软雅黑"/>
                <w:b/>
                <w:color w:val="FFFFFF"/>
                <w:sz w:val="17"/>
              </w:rPr>
              <w:t>/</w:t>
            </w:r>
            <w:r>
              <w:rPr>
                <w:rFonts w:ascii="微软雅黑" w:hAnsi="微软雅黑" w:eastAsia="微软雅黑"/>
                <w:b/>
                <w:color w:val="FFFFFF"/>
                <w:sz w:val="17"/>
              </w:rPr>
              <w:t>基准</w:t>
            </w:r>
            <w:r>
              <w:rPr>
                <w:rFonts w:eastAsia="微软雅黑" w:ascii="微软雅黑" w:hAnsi="微软雅黑"/>
                <w:b/>
                <w:color w:val="FFFFFF"/>
                <w:sz w:val="17"/>
              </w:rPr>
              <w:t>/</w:t>
            </w:r>
            <w:r>
              <w:rPr>
                <w:rFonts w:ascii="微软雅黑" w:hAnsi="微软雅黑" w:eastAsia="微软雅黑"/>
                <w:b/>
                <w:color w:val="FFFFFF"/>
                <w:sz w:val="17"/>
              </w:rPr>
              <w:t>乐观目标港元</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基准含息回报</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结论</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6.4583 / 25.8657 / 52.9518</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-2.47%</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关注，等待利润或价格提供余量</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64.8</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5.7532 / 27.9022 / 58.7865</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5.21%</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5.21%</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选择性关注，盈利兑现重要</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5.0848 / 37.2420 / 89.3225</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40.43%</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41.33%</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有条件成长配置</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68.7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3.8702 / 42.9856 / 113.3561</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62.09%</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64.37%</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检验品牌与组织持续性</w:t>
            </w:r>
          </w:p>
        </w:tc>
      </w:tr>
    </w:tbl>
    <w:p>
      <w:pPr>
        <w:pStyle w:val="Normal"/>
        <w:rPr/>
      </w:pPr>
      <w:r>
        <w:rPr/>
      </w:r>
    </w:p>
    <w:p>
      <w:pPr>
        <w:pStyle w:val="Normal"/>
        <w:rPr/>
      </w:pPr>
      <w:r>
        <w:rPr/>
        <w:t>三年基准含息年化</w:t>
      </w:r>
      <w:r>
        <w:rPr/>
        <w:t>12.22%</w:t>
      </w:r>
      <w:r>
        <w:rPr/>
        <w:t>，五年</w:t>
      </w:r>
      <w:r>
        <w:rPr/>
        <w:t>10.45%</w:t>
      </w:r>
      <w:r>
        <w:rPr/>
        <w:t>。不同公司的全名单推荐梯队以总表更新后最高排名为准；本章为中等证据信心、短期估值余量较小的有条件研究。年底三情景</w:t>
      </w:r>
      <w:r>
        <w:rPr/>
        <w:t>15.5907 / 25.4259 / 35.3510</w:t>
      </w:r>
      <w:r>
        <w:rPr/>
        <w:t>港元，相对</w:t>
      </w:r>
      <w:r>
        <w:rPr/>
        <w:t>26.52</w:t>
      </w:r>
      <w:r>
        <w:rPr/>
        <w:t>港元为</w:t>
      </w:r>
      <w:r>
        <w:rPr/>
        <w:t>-41.21% / -4.13% / +33.30%</w:t>
      </w:r>
      <w:r>
        <w:rPr/>
        <w:t>。默认判断权重</w:t>
      </w:r>
      <w:r>
        <w:rPr/>
        <w:t>25%/50%/25%</w:t>
      </w:r>
      <w:r>
        <w:rPr/>
        <w:t>期望价</w:t>
      </w:r>
      <w:r>
        <w:rPr/>
        <w:t>25.4484</w:t>
      </w:r>
      <w:r>
        <w:rPr/>
        <w:t>港元，期望股价回报</w:t>
      </w:r>
      <w:r>
        <w:rPr/>
        <w:t>-4.04%</w:t>
      </w:r>
      <w:r>
        <w:rPr/>
        <w:t>；防守</w:t>
      </w:r>
      <w:r>
        <w:rPr/>
        <w:t>40%/50%/10%</w:t>
      </w:r>
      <w:r>
        <w:rPr/>
        <w:t>为</w:t>
      </w:r>
      <w:r>
        <w:rPr/>
        <w:t>22.4843</w:t>
      </w:r>
      <w:r>
        <w:rPr/>
        <w:t>港元，积极</w:t>
      </w:r>
      <w:r>
        <w:rPr/>
        <w:t>10%/50%/40%</w:t>
      </w:r>
      <w:r>
        <w:rPr/>
        <w:t>为</w:t>
      </w:r>
      <w:r>
        <w:rPr/>
        <w:t>28.4124</w:t>
      </w:r>
      <w:r>
        <w:rPr/>
        <w:t>港元。</w:t>
      </w:r>
    </w:p>
    <w:p>
      <w:pPr>
        <w:pStyle w:val="Heading2"/>
        <w:rPr/>
      </w:pPr>
      <w:r>
        <w:rPr>
          <w:color w:val="000000"/>
        </w:rPr>
        <w:t>投资结论</w:t>
      </w:r>
    </w:p>
    <w:p>
      <w:pPr>
        <w:pStyle w:val="Normal"/>
        <w:rPr/>
      </w:pPr>
      <w:r>
        <w:rPr/>
        <w:t>东方甄选最有价值的变化，是业务正在由直播间促销转向拥有商品开发、供应链和用户关系的消费品牌。全年商品收入已经超过四十八亿元，商品毛利组合改善、多个直播账号共同经营以及自家应用会员增长，使公司在主播变动之后仍能恢复盈利。这个变化足以支持继续研究，却不能直接证明当前股价便宜。按九月法律股数和年度归母利润重算，现价约四十六点七五倍历史市盈率，投资者已经为下一轮增长付出相当溢价。</w:t>
      </w:r>
    </w:p>
    <w:p>
      <w:pPr>
        <w:pStyle w:val="Normal"/>
        <w:rPr/>
      </w:pPr>
      <w:r>
        <w:rPr/>
        <w:t>本章更偏向三年观察，因为半年基准价格略低于当前，一年基准收益也仅约百分之五。三年收益主要依赖商品收入增长、营销效率改善和每股利润累积，五年还需要公司把个人声誉转化为稳定组织能力。进取型标准可以容忍波动，却仍需要回报补偿。在当前价格附近，以高毛利、低营销费和高估值同时实现为前提追逐乐观区间，会让投资判断过度依赖几个相互强化的假设。</w:t>
      </w:r>
    </w:p>
    <w:p>
      <w:pPr>
        <w:pStyle w:val="Normal"/>
        <w:rPr/>
      </w:pPr>
      <w:r>
        <w:rPr/>
        <w:t>结论成立的条件包括自营商品复购持续提升、商品毛利率能够稳定在合理区间、直播矩阵扩张没有让获客费用吞噬增量毛利、品控机制足以减少反复退款，以及新股份奖励能够留住有效人才。任何一项持续恶化，都需要重新计算利润与分数。尤其不能只观察交易总额；收入确认口径、退款、库存和股份数量同时改变时，交易总额上涨与每股盈利增长可以完全不同步。</w:t>
      </w:r>
    </w:p>
    <w:p>
      <w:pPr>
        <w:pStyle w:val="Normal"/>
        <w:rPr/>
      </w:pPr>
      <w:r>
        <w:rPr/>
        <w:t>悲观情景里的长期价格很低，是收入增速放缓、毛利压缩、较高营销成本和估值下降共同作用的结果，并非判断公司现金断裂或即将破产。公司财资储备较厚，能够承担经营试错，但是这种储备未必能阻止股价从成长估值切换到普通零售估值。因为本模型已经把财资收益计入盈利，再叠加全部现金本金会重复估值；现金也不是承诺给投资者的回购或特别股息。</w:t>
      </w:r>
    </w:p>
    <w:p>
      <w:pPr>
        <w:pStyle w:val="Heading2"/>
        <w:rPr/>
      </w:pPr>
      <w:r>
        <w:rPr>
          <w:color w:val="000000"/>
        </w:rPr>
        <w:t>业务边界与收入确认</w:t>
      </w:r>
    </w:p>
    <w:p>
      <w:pPr>
        <w:pStyle w:val="Normal"/>
        <w:rPr/>
      </w:pPr>
      <w:r>
        <w:rPr/>
        <w:t>截至五月的财政年度收入为五十七点零一亿元，其中商品销售四十八点三九四亿元，服务及其他八点六一六亿元。商品收入同比约增长百分之三十七点四，服务收入略有下降，两者的趋势并不相同。公司披露单一经营分部，管理层整体配置电商资源，公开财报没有完整的商品和佣金利润表。因此，本模型使用分项毛利和佣金率作为研究代理，而不能把这些代理写成公司披露的实际业务利润。</w:t>
      </w:r>
    </w:p>
    <w:p>
      <w:pPr>
        <w:pStyle w:val="Normal"/>
        <w:rPr/>
      </w:pPr>
      <w:r>
        <w:rPr/>
        <w:t>商品销售采用总额法时，公司在交付前控制货物，客户取得控制权后确认收入。第三方商品推广采用代理方式，佣金依据商家约定费率确认。两种模式产生相同交易总额，可以对应完全不同的营业收入和风险。自营商品需要承担采购、库存、售后和质量责任；第三方推广的营业收入较小，但也无法完全摆脱声誉责任。投资者应按公司承担的经济责任估值，而不能因为总额法收入更大就直接提高销售倍数。</w:t>
      </w:r>
    </w:p>
    <w:p>
      <w:pPr>
        <w:pStyle w:val="Normal"/>
        <w:rPr/>
      </w:pPr>
      <w:r>
        <w:rPr/>
        <w:t>全年交易总额约一百零二亿元，自营商品交易总额约五十四亿元。自营交易总额与商品收入的差额可能包含含税、退款、净结算和披露取整等因素。研究中用转化系数连接两者，基准为百分之九十，并在悲观和乐观情景调整。这是收入净化的经验代理，不是法定税率，也不能声称每一笔差额都来自退货。未来公告若提供更细口径，应优先替换经验系数而非继续维持旧参数。</w:t>
      </w:r>
    </w:p>
    <w:p>
      <w:pPr>
        <w:pStyle w:val="Normal"/>
        <w:rPr/>
      </w:pPr>
      <w:r>
        <w:rPr/>
        <w:t>APP</w:t>
      </w:r>
      <w:r>
        <w:rPr/>
        <w:t>收入约十三亿元属于渠道维度，与商品和服务类型存在交叉，不能把它再次加到五十七亿元总收入之上。付费会员约三十五点三三万人是用户存量，而非整年新增人数，会员收费还涉及履约期间和递延。因此，模型没有将会员数量简单乘年度费用再额外增加收入。会员的价值首先体现在复购、获客成本和用户留存，其次才是直接会员费，避免重复计算才能看清真实单位经济。</w:t>
      </w:r>
    </w:p>
    <w:p>
      <w:pPr>
        <w:pStyle w:val="Heading2"/>
        <w:rPr/>
      </w:pPr>
      <w:r>
        <w:rPr>
          <w:color w:val="000000"/>
        </w:rPr>
        <w:t>转型证据与可比基数</w:t>
      </w:r>
    </w:p>
    <w:p>
      <w:pPr>
        <w:pStyle w:val="Normal"/>
        <w:rPr/>
      </w:pPr>
      <w:r>
        <w:rPr/>
        <w:t>全年交易总额从八十七亿元提升到一百零二亿元，如果剔除上一年度与辉同行，管理层提供的同业务基数约七十五亿元，对应增长约百分之三十六点四。这两个增长数字都可以成立，但回答的是不同问题。评估集团财报增长使用完整年度，分析剩余业务经营能力使用可比业务；不能选择更高增长率后又沿用包含已出售业务的利润或成本，得到一个不存在的组合。</w:t>
      </w:r>
    </w:p>
    <w:p>
      <w:pPr>
        <w:pStyle w:val="Normal"/>
        <w:rPr/>
      </w:pPr>
      <w:r>
        <w:rPr/>
        <w:t>上一年度归母利润仅五百七十三点五万元，较低基数使今年利润增幅看起来极端。行政费用由四点八五亿元降到一点八九亿元，上一年度包含与辉同行相关剩余利润分配和转型事项，不能把减少额当作未来每年重复发生的成本节约。以今年经营结构推算正常利润比直接外推百分之九千多的利润增长更有意义。基准模型明确保留扩员、品控和股份奖励成本，避免把一次性正常化重复奖励。</w:t>
      </w:r>
    </w:p>
    <w:p>
      <w:pPr>
        <w:pStyle w:val="Normal"/>
        <w:rPr/>
      </w:pPr>
      <w:r>
        <w:rPr/>
        <w:t>上半财年收入二十三点一一六亿元，下半财年由全年减出约三十三点八九四亿元，确实显示经营加速。下半年归母利润约三点零四六亿元，也高于上半年二点三八九七亿元。但是下半年收入占全年比重较大，不能只把半年利润乘二并当作稳定年化盈利。促销节奏、商品结构和主播时长可能造成季节差异，新财年的费用也会变化，模型需要全年经营预算与财政期间匹配。</w:t>
      </w:r>
    </w:p>
    <w:p>
      <w:pPr>
        <w:pStyle w:val="Normal"/>
        <w:rPr/>
      </w:pPr>
      <w:r>
        <w:rPr/>
        <w:t>主播队伍在业绩会公开转述中由二十余人扩至八十余人，并计划超过百人，产品经理和品控人才也准备扩充。这说明公司正在试图把单点流量转成可复制运营体系。扩张同时意味着工资、培训、排班和内容质量管理成本增加。判断是否去个人依赖，应该看新增主播账号能否产生稳定订单及边际利润，不能仅凭人数增加便认为风险已经消失。公开评论里的彻底走出风险仍需要更多季度事实验证。</w:t>
      </w:r>
    </w:p>
    <w:p>
      <w:pPr>
        <w:pStyle w:val="Heading2"/>
        <w:rPr/>
      </w:pPr>
      <w:r>
        <w:rPr>
          <w:color w:val="000000"/>
        </w:rPr>
        <w:t>商品品牌与竞争优势</w:t>
      </w:r>
    </w:p>
    <w:p>
      <w:pPr>
        <w:pStyle w:val="Normal"/>
        <w:rPr/>
      </w:pPr>
      <w:r>
        <w:rPr/>
        <w:t>东方甄选的潜在优势是消费者把商品选择过程外包给一个具有解释能力和信誉的团队。对食品、健康营养和日用商品，用户关心供应商是否可靠、成分是否明白、售后是否方便，知识型内容可以减少筛选成本。这个优势能够支持一定溢价，也有机会增加复购。但信誉本身不是固定资产，质量事件会直接消耗它。品牌溢价需要通过检验和使用体验不断维持，不能只靠直播语言解释。</w:t>
      </w:r>
    </w:p>
    <w:p>
      <w:pPr>
        <w:pStyle w:val="Normal"/>
        <w:rPr/>
      </w:pPr>
      <w:r>
        <w:rPr/>
        <w:t>自营累计商品款数从七百三十二增加到一千零九，显示商品开发面扩大。商品数量增加并不自动带来更深护城河；长尾商品可能分散采购规模、提高检测和库存复杂度。研究更关注核心单品的连续销售、供应商稳定性、毛利和售后率，而不是给每个新商品平均分配销量。若新增款数很快但老商品复购下降，整体交易总额增长可能来自不断投放新流量，经营质量就会弱于表面。</w:t>
      </w:r>
    </w:p>
    <w:p>
      <w:pPr>
        <w:pStyle w:val="Normal"/>
        <w:rPr/>
      </w:pPr>
      <w:r>
        <w:rPr/>
        <w:t>与普通电商平台比较，公司拥有一定商品责任和自有品牌经济利益，但没有平台规模上的广泛网络效应。与大型食品品牌比较，东方甄选的线上销售与用户互动更直接，却缺少多年跨渠道分销和品牌沉淀。它更接近品牌与零售渠道结合的经营体。这个定位决定了合理估值可以高于成熟低增长零售，也不应无条件等同于互联网平台。利润增长的耐久性需要商品能力和渠道效率共同证明。</w:t>
      </w:r>
    </w:p>
    <w:p>
      <w:pPr>
        <w:pStyle w:val="Normal"/>
        <w:rPr/>
      </w:pPr>
      <w:r>
        <w:rPr/>
        <w:t>竞争来自大型平台自营、其他直播机构、传统品牌直接直播和线下优质零售。供应商可以同时向多个渠道供货，消费者也能迅速比较价格。东方甄选要维持溢价，需要持续提供独有配方、稳定品质、合理包装或服务体验。若品牌商品主要是容易复制的代工贴牌，议价力可能被平台补贴侵蚀。基准毛利提升假设必须与消费者实际感知价值一致，而不能只把规模扩大解释为永远涨价。</w:t>
      </w:r>
    </w:p>
    <w:p>
      <w:pPr>
        <w:pStyle w:val="Heading2"/>
        <w:rPr/>
      </w:pPr>
      <w:r>
        <w:rPr>
          <w:color w:val="000000"/>
        </w:rPr>
        <w:t>会员与多渠道经营</w:t>
      </w:r>
    </w:p>
    <w:p>
      <w:pPr>
        <w:pStyle w:val="Normal"/>
        <w:rPr/>
      </w:pPr>
      <w:r>
        <w:rPr/>
        <w:t>付费会员由二十六点四三万增加到三十五点三三万，增幅约百分之三十三点七。会员用户有利于形成购买习惯和直接沟通渠道，但是公开资料未给出完整的分年龄续费、流失和贡献利润，无法据此精确计算用户终身价值。单期会员数上涨还可能受到活动和统计时点影响。需要连续观察续费率、活跃购买频次、付费后新增贡献和获客费用，才能区分高质量留存与营销补贴造成的暂时增长。</w:t>
      </w:r>
    </w:p>
    <w:p>
      <w:pPr>
        <w:pStyle w:val="Normal"/>
        <w:rPr/>
      </w:pPr>
      <w:r>
        <w:rPr/>
        <w:t>APP</w:t>
      </w:r>
      <w:r>
        <w:rPr/>
        <w:t>注册人数超过千万、商品超过万种，说明渠道具备一定容量。注册并不等于活跃，也不等于付费。第三方商品更多可能改善选择范围，但也增加商家审核和售后协调。公司若想让应用成为独立购物入口，需要处理物流时效、搜索体验和价格比较，不能仅靠直播导流。模型将应用优势体现在销售效率与服务收入预算中，不额外给注册用户每人固定估值，以免产生没有盈利联系的用户资产。</w:t>
      </w:r>
    </w:p>
    <w:p>
      <w:pPr>
        <w:pStyle w:val="Normal"/>
        <w:rPr/>
      </w:pPr>
      <w:r>
        <w:rPr/>
        <w:t>抖音矩阵账号扩至十八个，有助于把不同品类、主播和购买人群分别运营，降低一个账号中断的影响。另一方面，多账号的推荐算法、付费流量和内容成本依旧受平台规则控制。销售时长增加带来的交易总额可能存在边际下降，账号之间也会争夺同一用户。若每个账号需要不断增加投放，销售费用率就难以下降。基准费用率下降是经营效率假设，而不是由账号数量自动推导出来。</w:t>
      </w:r>
    </w:p>
    <w:p>
      <w:pPr>
        <w:pStyle w:val="Normal"/>
        <w:rPr/>
      </w:pPr>
      <w:r>
        <w:rPr/>
        <w:t>多渠道的成功不能只看某个平台销售增加，需要合并观察订单迁移、重复用户和履约成本。自家应用用户从抖音转来，可能减少平台佣金，却要由公司承担获客、客服和技术费用。线下购买也可能替代原线上订单。研究不把所有渠道增长率简单相加，而是以总体商品收入和总体毛利为控制，渠道变化只解释实现路径。这有助于防止在用户迁移过程中同时计算旧渠道和新渠道的收入。</w:t>
      </w:r>
    </w:p>
    <w:p>
      <w:pPr>
        <w:pStyle w:val="Heading2"/>
        <w:rPr/>
      </w:pPr>
      <w:r>
        <w:rPr>
          <w:color w:val="000000"/>
        </w:rPr>
        <w:t>线下尝试与资本回报</w:t>
      </w:r>
    </w:p>
    <w:p>
      <w:pPr>
        <w:pStyle w:val="Normal"/>
        <w:rPr/>
      </w:pPr>
      <w:r>
        <w:rPr/>
        <w:t>北京中关村首家约四百平方米体验店在五月试营业，随后有郑州、西安校园合作店和自动售货机尝试。首店的作用可能是体验、品牌展示与会员服务，不一定是高利润零售单店。校园网络能借助新东方既有场景降低部分获客成本，但人流结构和食品日用品需求仍需验证。公司尚未公开成熟的单店收入、租金、人效和回收期，不能以开店数量乘行业优秀单店利润直接增加估值。</w:t>
      </w:r>
    </w:p>
    <w:p>
      <w:pPr>
        <w:pStyle w:val="Normal"/>
        <w:rPr/>
      </w:pPr>
      <w:r>
        <w:rPr/>
        <w:t>自动售货机超过百台覆盖二十六个城市，主要场景与新东方校园有关。这类点位的资本支出比大型零售店小，但补货、损耗、运营维护和订单密度仍影响回报。交易频次不足时，物流路线成本可以抵消便利渠道带来的毛利。模型预留新增门店费用和资本开支，并逐年增加，既不将试验视为零成本增长，也不在没有公开销量时单独确认大规模零售价值。</w:t>
      </w:r>
    </w:p>
    <w:p>
      <w:pPr>
        <w:pStyle w:val="Normal"/>
        <w:rPr/>
      </w:pPr>
      <w:r>
        <w:rPr/>
        <w:t>关联渠道可以帮助公司较快试验产品，却也需要清晰交易定价。新东方是控股股东，公司与其之间存在服务、租赁和其他交易，公开续期公告是治理核验的重要依据。相同集团内的资源支持可能稳定经营，但少数股东关心的是东方甄选获得了多少经济收益、承担了多少费用。相关业务扩大后，应核对交易上限、实际使用额和独立审批，避免把集团协同等同于无限免费资源。</w:t>
      </w:r>
    </w:p>
    <w:p>
      <w:pPr>
        <w:pStyle w:val="Normal"/>
        <w:rPr/>
      </w:pPr>
      <w:r>
        <w:rPr/>
        <w:t>三年内更应重视线上商品利润是否能够负担线下试错。若新店尚未形成正现金回报，而线上也因扩员提高费用，两个投入阶段可能同时压低利润率。合理的扩张节奏应允许成熟渠道现金流覆盖新渠道风险。反证包括门店投入连续超预算、单店亏损缺少收敛趋势、管理层以品牌展示解释长期低效率。出现这些信号时，估值需要减少，而不能把所有现金支出视为未来资产积累。</w:t>
      </w:r>
    </w:p>
    <w:p>
      <w:pPr>
        <w:pStyle w:val="Heading2"/>
        <w:rPr/>
      </w:pPr>
      <w:r>
        <w:rPr>
          <w:color w:val="000000"/>
        </w:rPr>
        <w:t>消费周期与公司经济敏感性</w:t>
      </w:r>
    </w:p>
    <w:p>
      <w:pPr>
        <w:pStyle w:val="Normal"/>
        <w:rPr/>
      </w:pPr>
      <w:r>
        <w:rPr/>
        <w:t>东方甄选的商品以食品和日常消费为重要基础，这能减少大件耐用品周期影响，但用户可替代选择多，对价格仍敏感。收入增长取决于用户购买次数、客单和自营份额，经济复苏并不保证公司份额上升。若居民更关注性价比，优质平价商品有机会受益；若品牌定位过度依赖较高价格，平台补贴和线下折扣也可能分流。分析必须连接到具体商品和费用，而不是把消费支持政策直接转换为股价上涨。</w:t>
      </w:r>
    </w:p>
    <w:p>
      <w:pPr>
        <w:pStyle w:val="Normal"/>
        <w:rPr/>
      </w:pPr>
      <w:r>
        <w:rPr/>
        <w:t>利润对原料和物流价格有直接敏感性。采购规模扩大可以改善议价，但食品原料涨价、冷链费用和包装升级会同时影响成本。公司需要在消费者价格、毛利和复购之间平衡，不能每次成本上涨都顺利转嫁。模型通过商品毛利率三种路径表达这一风险，悲观由百分之二十九逐步降到二十八，基准从三十一趋向三十三，乐观从三十三提高到三十六；这些变化比纯收入增长对利润更有解释力。</w:t>
      </w:r>
    </w:p>
    <w:p>
      <w:pPr>
        <w:pStyle w:val="Normal"/>
        <w:rPr/>
      </w:pPr>
      <w:r>
        <w:rPr/>
        <w:t>人民币变化对公司有两层影响。主要收入和经营成本在中国，经营层面的直接外币销售敞口有限；财资资产含美元定存和外币现金，人民币升值可以产生账面汇兑损失。港元股价估值还需要把人民币盈利换算成港元。模型使用每人民币一点一港元研究换算，悲观财资汇兑减值独立处理，避免把集团历史汇兑损失直接当作核心商品亏损，亦不能据此预测未来汇率单向变化。</w:t>
      </w:r>
    </w:p>
    <w:p>
      <w:pPr>
        <w:pStyle w:val="Normal"/>
        <w:rPr/>
      </w:pPr>
      <w:r>
        <w:rPr/>
        <w:t>利率下降可能减少美元定存和理财收益，即使公司没有银行债务也会影响利润。相反，现金储备利息不能永久按过去最高收益外推。五月现金等价物利率区间已明显低于部分定存利率，而理财本金和回报不保证。模型用现金、定存、理财配置分别计算收益，相关参数改变必须连到下一年资金积累。将所有财资都按高利率现金处理，会同时高估流动性和收益。</w:t>
      </w:r>
    </w:p>
    <w:p>
      <w:pPr>
        <w:pStyle w:val="Heading2"/>
        <w:rPr/>
      </w:pPr>
      <w:r>
        <w:rPr>
          <w:color w:val="000000"/>
        </w:rPr>
        <w:t>盈利质量与费用结构</w:t>
      </w:r>
    </w:p>
    <w:p>
      <w:pPr>
        <w:pStyle w:val="Normal"/>
        <w:rPr/>
      </w:pPr>
      <w:r>
        <w:rPr/>
        <w:t>年度毛利二十点三九亿元，毛利率约百分之三十五点八，高于上一年度约三十二。总体毛利改善可以来自自营商品内部结构、采购规模以及服务比例等多个因素。服务毛利通常高于商品，但服务收入下降又可能抵消部分组合优势。因此，不能仅根据自营占比增加就说集团毛利必然上升。模型将两类毛利分开，商品的实际升级需要足以覆盖低佣金业务比例变化和新增履约责任。</w:t>
      </w:r>
    </w:p>
    <w:p>
      <w:pPr>
        <w:pStyle w:val="Normal"/>
        <w:rPr/>
      </w:pPr>
      <w:r>
        <w:rPr/>
        <w:t>销售费用十点七八亿元，约占收入百分之十八点九，研发一点零八亿元，行政一点八九亿元，另有预期信用损失一千二百四十万元。销售费用是公司最重要的经营弹性之一：收入扩大时，主播、运营、流量和促销费用能否增得更慢，决定利润能否更快成长。若未来需要持续增加付费流量，销售费率可能维持高位。基准逐步降至十六的中段百分比，已经要求经营效率改善，并非保守地维持实际不变。</w:t>
      </w:r>
    </w:p>
    <w:p>
      <w:pPr>
        <w:pStyle w:val="Normal"/>
        <w:rPr/>
      </w:pPr>
      <w:r>
        <w:rPr/>
        <w:t>年度股份支付费用八千一百零八万元低于上一年度，但四月新奖励公允价值约四点八亿元、三年归属，意味着未来费用可能重新上升。会计费用并不等于当年实际发行股份，亦不等于零经济成本。模型在未来前三财年保留约一点七五至一点八亿元股份支付费用，在现金桥加回，同时增加未来归属股数。使用调整后利润估值又完全忽略股数变化，会把人才报酬转嫁给股东而不反映成本。</w:t>
      </w:r>
    </w:p>
    <w:p>
      <w:pPr>
        <w:pStyle w:val="Normal"/>
        <w:rPr/>
      </w:pPr>
      <w:r>
        <w:rPr/>
        <w:t>其他收入收益净额三千五百四十六万元中，定存利息约六千三百四十七万元、银行利息约一千三百四十一万元、理财公允收益约五千五百六十万元，被约九千九百三十九万元汇兑损失和联营处置损失部分抵消。年度利润不能只剔除负项、保留所有正项，再称为正常利润。本模型把财资正常收益明确预算，处置和异常汇兑单列，避免按方向选择调整而形成过高盈利。</w:t>
      </w:r>
    </w:p>
    <w:p>
      <w:pPr>
        <w:pStyle w:val="Heading2"/>
        <w:rPr/>
      </w:pPr>
      <w:r>
        <w:rPr>
          <w:color w:val="000000"/>
        </w:rPr>
        <w:t>现金流与营运资金</w:t>
      </w:r>
    </w:p>
    <w:p>
      <w:pPr>
        <w:pStyle w:val="Normal"/>
        <w:rPr/>
      </w:pPr>
      <w:r>
        <w:rPr/>
        <w:t>年度经营现金净流入八点零二亿元，大于归母利润五点四四亿元，表面现金转化不错。但经营现金包含股份支付等非现金加回和营运资金释放，应付账款增加二点六五亿元、应计费用增加约五千八百八十八万元，与自营扩张有关。未来供应商账期无法无限拉长；若经营增长放缓或供应商要求付款，现金优势可能减弱。分析不能把今年高现金转化率恒定应用到所有预测年。</w:t>
      </w:r>
    </w:p>
    <w:p>
      <w:pPr>
        <w:pStyle w:val="Normal"/>
        <w:rPr/>
      </w:pPr>
      <w:r>
        <w:rPr/>
        <w:t>库存从三点零九亿元增长到四点八四亿元，增幅高于收入，部分反映自营商品扩张。库存不是坏消息的自动证据，但需要看商品周转、效期和售后表现。食品及日用品存在过期、包装更新和滞销风险，增长期间有能力出售的商品不代表未来仍有同样需求。基准模型逐年预留营运资金占用，不重复假设应付账款释放。悲观情景第一年占用更多，并有独立质量处理成本。</w:t>
      </w:r>
    </w:p>
    <w:p>
      <w:pPr>
        <w:pStyle w:val="Normal"/>
        <w:rPr/>
      </w:pPr>
      <w:r>
        <w:rPr/>
        <w:t>商品的退货退款责任会影响收入净额和现金，财报中退款负债约九百六十七万元，不代表全部潜在质量风险的最大赔付。九月公开新闻中溜溜凳采取两倍退款不退货处理，没有足够销量和责任分配数据，不能计算一个声称精确的费用。研究通过质量预算范围表达风险，同时要求未来公告或业绩说明验证。商家赔付回收若存在也不能在没有协议证据时提前当作确定现金。</w:t>
      </w:r>
    </w:p>
    <w:p>
      <w:pPr>
        <w:pStyle w:val="Normal"/>
        <w:rPr/>
      </w:pPr>
      <w:r>
        <w:rPr/>
        <w:t>五月可用财资总额采用非受限现金十七点零一亿元、定存十五点三七亿元、银行理财二十五点七五亿元，合计五十八点一四亿元。受限款主要为支付商家的消费者资金，不纳入可自由使用财资，未上市股权投资也不混入流动资金。现金等价物下降而定存理财增加，不能单独称为现金燃烧；同样，理财扩大也不能说明所有资金可随时支付，必须区分期限、信用和赎回约束。</w:t>
      </w:r>
    </w:p>
    <w:p>
      <w:pPr>
        <w:pStyle w:val="Heading2"/>
        <w:rPr/>
      </w:pPr>
      <w:r>
        <w:rPr>
          <w:color w:val="000000"/>
        </w:rPr>
        <w:t>租赁 股份与回购的完整口径</w:t>
      </w:r>
    </w:p>
    <w:p>
      <w:pPr>
        <w:pStyle w:val="Normal"/>
        <w:rPr/>
      </w:pPr>
      <w:r>
        <w:rPr/>
        <w:t>公司没有在资产负债表披露银行借款，租赁负债约三千二百四十五万元，财务杠杆较轻。但是无银行债务只代表资金压力相对小，不代表估值不存在下行。现金可能投入库存、新店、营销或财资产品，经营失败仍会降低股东回报。估值采用包含财资利息的完整归母盈利，未另外加净现金或减全额租赁债务，以保证收益与资本的口径一致。</w:t>
      </w:r>
    </w:p>
    <w:p>
      <w:pPr>
        <w:pStyle w:val="Normal"/>
        <w:rPr/>
      </w:pPr>
      <w:r>
        <w:rPr/>
        <w:t>全年租赁现金支出四千五百一十二万元，由短租一千零三万元和融资租赁付款三千五百零八万元构成。后者包含融资利息约一百五十四万元。短租费用已在经营费用内，因此现金桥只加回使用权折旧和融资息，再扣完整融资租付款。若同时扣租赁本金、完整租现金和利息，会把同一现金重复扣除。这个差别金额虽小，却关系到模型修改后的现金是否能正确联动。</w:t>
      </w:r>
    </w:p>
    <w:p>
      <w:pPr>
        <w:pStyle w:val="Normal"/>
        <w:rPr/>
      </w:pPr>
      <w:r>
        <w:rPr/>
        <w:t>九月月报法律发行股为十亿五千四百零三万五千七百一十八股，库存股为零。五月已回购七百四十一点八万股于七月十四日注销，已经包含在九月股数里，不能再减少。六月至九月新增行权一百三十二点七五万股也已反映在现有股数；模型只把已行权现金补入五月资金起点，未来股份只计剩余。如此处理才能同时使用最新法律股与较早财报资产而不发生重复。</w:t>
      </w:r>
    </w:p>
    <w:p>
      <w:pPr>
        <w:pStyle w:val="Normal"/>
        <w:rPr/>
      </w:pPr>
      <w:r>
        <w:rPr/>
        <w:t>九月仍有约二千一百万股旧期权，行权价五点二二港元，及约一千八百八十三点七四万股二零二三计划待发行奖励。模型用研究归属进度分摊，旧期权现金与新增股数配对；信托已在市场购入的独立董事奖励不再视为新增发行。未来回购每年基准一亿元人民币是研究预算，未披露承诺。回购价格提高会减少同等预算能够抵消的股数，回购不是无成本地提高每股盈利。</w:t>
      </w:r>
    </w:p>
    <w:p>
      <w:pPr>
        <w:pStyle w:val="Heading2"/>
        <w:rPr/>
      </w:pPr>
      <w:r>
        <w:rPr>
          <w:color w:val="000000"/>
        </w:rPr>
        <w:t>半年日线趋势与关键观察位</w:t>
      </w:r>
    </w:p>
    <w:p>
      <w:pPr>
        <w:pStyle w:val="Normal"/>
        <w:rPr/>
      </w:pPr>
      <w:r>
        <w:rPr/>
        <w:t>基准日开盘二十五点八四、最低二十五点二二、最高二十六点五八、收盘二十六点五二港元，当日上涨百分之三点零三，收盘靠近当日高位。这说明当天买卖结果偏强，却不够证明六个月趋势已经形成。二十、六十、一百二十和二百五十日均线分别为二十五点七四五、二十三点八七一、二十三点七五六和二十三点五七八，现价在四线之上，短中期位置优于此前低点时期。</w:t>
      </w:r>
    </w:p>
    <w:p>
      <w:pPr>
        <w:pStyle w:val="Normal"/>
        <w:rPr/>
      </w:pPr>
      <w:r>
        <w:rPr/>
        <w:t>价格高于四条均线约百分之三点零一、十一点一零、十一点六三和十二点四八。六十日均线五日斜率为正百分之一点三六，但二十日为负百分之零点二一、一百二十日负百分之零点四八，二百五十日基本平。这是趋势交错的恢复状态，短线反弹已经改善价格位置，长期成本结构尚未全面上移。仅用价在线上判断多头排列，会忽略均线次序和斜率不同步。</w:t>
      </w:r>
    </w:p>
    <w:p>
      <w:pPr>
        <w:pStyle w:val="Normal"/>
        <w:rPr/>
      </w:pPr>
      <w:r>
        <w:rPr/>
        <w:t>近二十日区间低高为二十三点四和二十七点七四，距离现价约负百分之十一点七六和正百分之四点六。阻力较近，意味着在此价格追入，必须期待突破之后有继续空间。六十日区间低点约十九点三九，距离约负百分之二十六点九，是更深的风险观察点。区间高低是历史极值标记，未经过多次触碰确认，不应写成一定有效的支撑墙或把止损损失保证限制在这些距离。</w:t>
      </w:r>
    </w:p>
    <w:p>
      <w:pPr>
        <w:pStyle w:val="Normal"/>
        <w:rPr/>
      </w:pPr>
      <w:r>
        <w:rPr/>
        <w:t>五十二周高三十三、低十七点五九，现价距高点仍约负百分之十九点六四，距低点约正百分之五十点七七。价格离高点远不意味着低估，也可能是以前估值过高后的正常调整；从低点涨幅大不意味着未来仍按同一斜率上涨。历史最大回撤接近百分之三十九，提醒仓位需要容纳实际波动。半年分析把价格结构与盈利验证结合，比只计算回到历史高点的潜在收益更可靠。</w:t>
      </w:r>
    </w:p>
    <w:p>
      <w:pPr>
        <w:pStyle w:val="Heading2"/>
        <w:rPr/>
      </w:pPr>
      <w:r>
        <w:rPr>
          <w:color w:val="000000"/>
        </w:rPr>
        <w:t>成交量与相对强弱</w:t>
      </w:r>
    </w:p>
    <w:p>
      <w:pPr>
        <w:pStyle w:val="Normal"/>
        <w:rPr/>
      </w:pPr>
      <w:r>
        <w:rPr/>
        <w:t>当日成交四百七十四点六九万股，成交额约一点二三亿元港元，按上二十日均量计算量比零点八零九。虽然股价当天较强，交易量没有达到放量突破条件。五日、二十日和六十日均量分别约二百九十万、五百八十万和九百二十四万股，短期成交明显收缩。缩量上涨可以来自卖压减少，也可以来自参与者不足，单凭缩量方向无法判定资金正在吸筹。</w:t>
      </w:r>
    </w:p>
    <w:p>
      <w:pPr>
        <w:pStyle w:val="Normal"/>
        <w:rPr/>
      </w:pPr>
      <w:r>
        <w:rPr/>
        <w:t>近二十日上涨九天下跌十一天，上涨日总量约六千三百零八万股，下跌日约五千二百九十四万股，总量比一点一九二。上涨日虽然更少，累计成交相对占优，但仍不足以证明每次下跌都被稳定承接。该比值受单日事件交易影响，需要结合价格在区间中的位置。研究不把上涨量占优、量比和其他相近量价指标重复加分，避免同一证据变成多个独立正面因素。</w:t>
      </w:r>
    </w:p>
    <w:p>
      <w:pPr>
        <w:pStyle w:val="Normal"/>
        <w:rPr/>
      </w:pPr>
      <w:r>
        <w:rPr/>
        <w:t>当日股量除九月法律发行股约为百分之零点四五零，是总股本换手代理，并非自由流通换手率。控股股东、信托和长期持有人占比会影响实际流通股，公开行情没有完整可核换手字段时，不能将代理写成精确自由流通换手。历史数据以股为量单位，由腾讯与独立源核对比例为一，不能再乘香港交易手数。成交额以港元计，也不与人民币费用表直接混用。</w:t>
      </w:r>
    </w:p>
    <w:p>
      <w:pPr>
        <w:pStyle w:val="Normal"/>
        <w:rPr/>
      </w:pPr>
      <w:r>
        <w:rPr/>
        <w:t>近二十日股价收益约百分之八点二四，相对恒指超额约十一点二二个百分点；六十日收益约百分之九点零五，相对恒指超额约十二点二三个百分点，说明最近表现确实强于市场。恒生科技不适合代表自营消费品牌的专属行业，因此本章保留市场相对表现，把行业相对收益留缺。没有专属行业基准时，不用一个不相干的强弱数字补齐评分，再得出消费行业领先的结论。</w:t>
      </w:r>
    </w:p>
    <w:p>
      <w:pPr>
        <w:pStyle w:val="Heading2"/>
        <w:rPr/>
      </w:pPr>
      <w:r>
        <w:rPr>
          <w:color w:val="000000"/>
        </w:rPr>
        <w:t>周线 动量与技术失效</w:t>
      </w:r>
    </w:p>
    <w:p>
      <w:pPr>
        <w:pStyle w:val="Normal"/>
        <w:rPr/>
      </w:pPr>
      <w:r>
        <w:rPr/>
        <w:t>周线二十、六十、一百二十周均线约二十三点零一一、二十三点九三三和十九点三二七，现价都在其上，但二十与六十周斜率仍小幅负，长周线正斜率更明显。二十周价格收益为正，而六十周仍有较大累计下跌，反映近期修复发生在较长波动背景中。只有一百五十七根真实周线，没有二百五十周均线，不能虚构更长指标补足图形完整感。</w:t>
      </w:r>
    </w:p>
    <w:p>
      <w:pPr>
        <w:pStyle w:val="Normal"/>
        <w:rPr/>
      </w:pPr>
      <w:r>
        <w:rPr/>
        <w:t>日线相对强弱指标约五十六点九、周线约五十七点六，处于偏强但并非极端超买区。日线平均真实波幅约一点三三五港元，占现价百分之五点零三；周线约三点一一二港元，占现价百分之十一点七三，说明价格波动较大。波幅用于衡量观察区间和仓位承受能力，不给出涨跌方向。把五个百分比波动误当作半年最大亏损，会低估跳空及估值重估风险。</w:t>
      </w:r>
    </w:p>
    <w:p>
      <w:pPr>
        <w:pStyle w:val="Normal"/>
        <w:rPr/>
      </w:pPr>
      <w:r>
        <w:rPr/>
        <w:t>日线移动平均收敛指标的差值约零点三六五，信号约零点四六三，柱值负零点一九八；周线柱值正零点九九零。日线动量略降而周线仍修复，进一步支持震荡恢复判断。三项动量工具共同描述同一价格轨迹，并非三组独立盈利证据。评分主要奖励现价位置、相对市场表现和可核成交情况，对动量指标只作辅助，不能因为两个指标偏强就重复提高获利概率。</w:t>
      </w:r>
    </w:p>
    <w:p>
      <w:pPr>
        <w:pStyle w:val="Normal"/>
        <w:rPr/>
      </w:pPr>
      <w:r>
        <w:rPr/>
        <w:t>技术观察上，若连续收盘越过二十七点七四并伴随可持续高于二十日均量，突破可信度可以提升；若回到二十四附近后成交收敛、盈利逻辑未变，估值余量会改善。若放量跌破二十三点四且六十日均线重新转弱，则当前恢复判断失效，需要重新观察更深区间。没有逐笔订单和真实成交分布，本章不绘制声称精确的筹码图，也不解释为某类主力已控制走势。</w:t>
      </w:r>
    </w:p>
    <w:p>
      <w:pPr>
        <w:pStyle w:val="Heading2"/>
        <w:rPr/>
      </w:pPr>
      <w:r>
        <w:rPr>
          <w:color w:val="000000"/>
        </w:rPr>
        <w:t>财政年度模型与估值假设</w:t>
      </w:r>
    </w:p>
    <w:p>
      <w:pPr>
        <w:pStyle w:val="Normal"/>
        <w:rPr/>
      </w:pPr>
      <w:r>
        <w:rPr/>
        <w:t>模型按五月财政年度建立二零二七至二零三三年，目标日所在财年与下一财年按时间比例计算未来十二个月收入和正常利润。年底对应二零二七财年、下一年权重约百分之五十八点四；半年约百分之八十五点五；一年目标已进入二零二八财年，下一年权重约百分之三十五。这种处理比直接将目标日年份当作公司财年更接近估值期间，但未掌握月度季节利润，仍为时间插值代理，需要标明局限。</w:t>
      </w:r>
    </w:p>
    <w:p>
      <w:pPr>
        <w:pStyle w:val="Normal"/>
        <w:rPr/>
      </w:pPr>
      <w:r>
        <w:rPr/>
        <w:t>基准二零二七财年自营交易总额六十八亿元、净收入系数九成，商品收入六十一点二亿元；第三方交易总额五十亿元、佣金率一成六，再加其他服务一亿元，形成总收入七十点二亿元。商品毛利三成一、服务毛利八成二，销售费率一成七八，正常归母利润约六点七五亿元。所有驱动公开保存在活动模型中，佣金率与分项毛利是研究假设，未作为财报原始披露。</w:t>
      </w:r>
    </w:p>
    <w:p>
      <w:pPr>
        <w:pStyle w:val="Normal"/>
        <w:rPr/>
      </w:pPr>
      <w:r>
        <w:rPr/>
        <w:t>基准二零二八和二零二九财年收入约八十三点三二和九十八点二四亿元，归母正常利润约八点六五和十点七四亿元。预测既要求自营规模继续增长，也要求销售费率逐渐下降。若收入增长只能依靠更高推广费，利润无法达到这条路径。长期收入继续扩张但估值倍数逐步降低，避免同时假设高速盈利与永久高倍数。投资者应修改经营参数观察结果，而不是把目标价当独立输入。</w:t>
      </w:r>
    </w:p>
    <w:p>
      <w:pPr>
        <w:pStyle w:val="Normal"/>
        <w:rPr/>
      </w:pPr>
      <w:r>
        <w:rPr/>
        <w:t>半年使用二十、三十、三十八倍未来盈利，一年十九、二十九、三十六倍，三年十八、二十六、三十二倍，五年十七、二十三、二十八倍。高倍数需要更高利润增长、品牌差异和现金回报支持，不能因为高增长情景存在就认为高倍数合理。基准股价收益偏小也提醒现价包含期待。本章没有可核完整长期同业估值带，倍数属于研究判断，由公开机构分歧、经营质量和利润敏感性进行交叉观察。</w:t>
      </w:r>
    </w:p>
    <w:p>
      <w:pPr>
        <w:pStyle w:val="Heading2"/>
        <w:rPr/>
      </w:pPr>
      <w:r>
        <w:rPr>
          <w:color w:val="000000"/>
        </w:rPr>
        <w:t>年底情景与机构目标分歧</w:t>
      </w:r>
    </w:p>
    <w:p>
      <w:pPr>
        <w:pStyle w:val="Normal"/>
        <w:rPr/>
      </w:pPr>
      <w:r>
        <w:rPr/>
        <w:t>年底不是将十二个月机构目标按剩余月份缩小，研究以年底未来信息集重算公允价，再用独立市场兑现比例表达市场反应。悲观、基准和乐观兑现比例为百分之五十五、五十、四十，是判断假设而非历史统计估计。这使短期价格区间保留当前价格锚，同时允许不同信息转化速度。年底没有公司已宣告股息可计入新买收益，价格回报与含息回报相同。</w:t>
      </w:r>
    </w:p>
    <w:p>
      <w:pPr>
        <w:pStyle w:val="Normal"/>
        <w:rPr/>
      </w:pPr>
      <w:r>
        <w:rPr/>
        <w:t>悲观年底十五点五九零七港元，需要销量不及预期、毛利承压、质检和扩员费用较高，以及估值下降共同成立。基准二十五点四二五九港元主要假设双十一与会员趋势保持，但不足以让市场大幅提高估值。乐观三十五点三五一零港元要求矩阵商品转化好、营销效率提升、较高毛利及市场提前认可下一财年利润。任何区间外的临床无关突发事件、质量赔付或极端流动性变化都可能使价格超出三情景。</w:t>
      </w:r>
    </w:p>
    <w:p>
      <w:pPr>
        <w:pStyle w:val="Normal"/>
        <w:rPr/>
      </w:pPr>
      <w:r>
        <w:rPr/>
        <w:t>高盛七月三十公开新闻转述目标十三点六港元、沽售，花旗七月二十四三十三港元、买入，二者都在九十日内，但转载未明确目标期限，也未取得原始研报。高盛认可经营恢复却担心估值和营销费用，花旗看重会员平台及自营转型。这种分歧正对应模型的核心变量，不能简单平均为正确价格。七月三十一重复标题与同机构旧目标去重，且新东方教育业务目标不能套在东方甄选。</w:t>
      </w:r>
    </w:p>
    <w:p>
      <w:pPr>
        <w:pStyle w:val="Normal"/>
        <w:rPr/>
      </w:pPr>
      <w:r>
        <w:rPr/>
        <w:t>大和二月二日转述明确十二个月目标二十九港元，依据今明两年平均盈利约三十二倍，超过九十日且早于全年审计结果，保留为一年参照并降低时效权重。招商证券国际八月十一目标二十七港元属于中资机构，单独标识。它对单主播风险的乐观看法是机构判断，研究仍要求持续验证。机构目标均按各自报告口径保存，不转换成年底承诺，也不把基于调整后利润的目标与本章保留激励成本的盈利直接等同。</w:t>
      </w:r>
    </w:p>
    <w:p>
      <w:pPr>
        <w:pStyle w:val="Heading2"/>
        <w:rPr/>
      </w:pPr>
      <w:r>
        <w:rPr>
          <w:color w:val="000000"/>
        </w:rPr>
        <w:t>四期限收益来源与失败路径</w:t>
      </w:r>
    </w:p>
    <w:p>
      <w:pPr>
        <w:pStyle w:val="Normal"/>
        <w:rPr/>
      </w:pPr>
      <w:r>
        <w:rPr/>
        <w:t>半年最可核催化是促销期、下一次中报和质量事件后续信息，收益可能来自盈利超预期与量价突破。但是当前估值较高、近阻力距离小，基准回报约负百分之二点五，没有足够估值余量覆盖经营偏差。得分六十一点七反映业务成长优点与估值缺点同时存在。若中报显示商品增长同时现金费用控制优于预算，可以提高收益预期；仅有社交关注度或交易总额快报不足以改写结论。</w:t>
      </w:r>
    </w:p>
    <w:p>
      <w:pPr>
        <w:pStyle w:val="Normal"/>
        <w:rPr/>
      </w:pPr>
      <w:r>
        <w:rPr/>
        <w:t>一年更接近完整财报验证，基准目标二十七点九零二二港元，股价回报约百分之五点二。年底至下一年度之间的市场回报不必平滑，可能先反弹后回调。若公司兑现净利润但市场倍数从二十九降到二十四，收益也会消失；反之，盈利超预期且质量风险下降可能明显提高价格。失败路径应分别归因利润与估值，不能在价格下跌后自动认定经营坏，也不能盈利增长时认为股价必涨。</w:t>
      </w:r>
    </w:p>
    <w:p>
      <w:pPr>
        <w:pStyle w:val="Normal"/>
        <w:rPr/>
      </w:pPr>
      <w:r>
        <w:rPr/>
        <w:t>三年基准价格三十七点二四二零港元，股价收益约百分之四十点四，含研究股息约百分之四十一点三，年化约百分之十二点二。收益来自收入与单位经济改善，倍数较一年更低。这个年化水平需要公司持续取得复购和有效规模，在进取型全名单中属于有条件备选。若更强公司提供类似成长和更大估值余量，东方甄选不应仅因为知名度高而排在前列，最高排名应服从统一模型比较。</w:t>
      </w:r>
    </w:p>
    <w:p>
      <w:pPr>
        <w:pStyle w:val="Normal"/>
        <w:rPr/>
      </w:pPr>
      <w:r>
        <w:rPr/>
        <w:t>五年基准价格四十二点九八五六港元，含息收益约百分之六十四点四，年化约百分之十点五。基准假设未来财政年度开始支付部分正常利润，没有公司正式承诺支撑，须单列研究股息。若公司选择继续全部再投资，股息会下降而现金增加，只有再投资回报足够高才能补偿。长期失败路径包括品牌老化、组织交接不稳、品类过多造成效率下降，以及不断奖励股份侵蚀每股利益。</w:t>
      </w:r>
    </w:p>
    <w:p>
      <w:pPr>
        <w:pStyle w:val="Heading2"/>
        <w:rPr/>
      </w:pPr>
      <w:r>
        <w:rPr>
          <w:color w:val="000000"/>
        </w:rPr>
        <w:t>利润 估值和汇率敏感性</w:t>
      </w:r>
    </w:p>
    <w:p>
      <w:pPr>
        <w:pStyle w:val="Normal"/>
        <w:rPr/>
      </w:pPr>
      <w:r>
        <w:rPr/>
        <w:t>在一年基准未来利润接近九亿多元的路径中，商品毛利率每变化一个百分点，对归母利润的影响取决于对应商品收入和税率；这比改变交易总额标题更接近真实估值敏感性。以基准二零二八财年商品收入七十三点八亿元和税率百分之二十三作静态例子，一个百分点毛利约对应税后五千六百八十万元，尚未考虑额外促销和退款。若价格竞争需要降毛利两个百分点，正常利润可能减少超过一亿元，当前仅百分之五左右的一年基准收益就很容易被抵消。</w:t>
      </w:r>
    </w:p>
    <w:p>
      <w:pPr>
        <w:pStyle w:val="Normal"/>
        <w:rPr/>
      </w:pPr>
      <w:r>
        <w:rPr/>
        <w:t>销售费用率也是相似的敏感变量，但作用于总收入。二零二八财年基准收入八十三点三二亿元，销售费率提高一个百分点的税后影响约六千四百一十万元。毛利和营销费率往往不是独立变量：增加促销可以提升销量，同时压低商品毛利；减少投放有助于利润率，却可能降低增长。三情景因此使用相互配套的经营路径，单项敏感性用于辨认关键风险，不把多个有利修改简单拼接成必然结果。</w:t>
      </w:r>
    </w:p>
    <w:p>
      <w:pPr>
        <w:pStyle w:val="Normal"/>
        <w:rPr/>
      </w:pPr>
      <w:r>
        <w:rPr/>
        <w:t>如果一年目标的合理市盈率从二十九降到二十五，在其他基准输入不变时，目标价会同比下降约百分之十三点八。每股利润增长可以被倍数压缩抵消，解释了为什么业绩增长与股价回报必须分别展示。反过来，高倍数带来的上涨没有直接现金保障，市场风格改变时也可能很快消失。中期推荐需要足够经营回报承受正常估值波动，而不是用乐观市盈率弥补利润缺口。</w:t>
      </w:r>
    </w:p>
    <w:p>
      <w:pPr>
        <w:pStyle w:val="Normal"/>
        <w:rPr/>
      </w:pPr>
      <w:r>
        <w:rPr/>
        <w:t>港元兑人民币变化另有两种查看方法。只把投资组合港元终值换回人民币，人民币总回报为本币总回报乘汇率变化后的复合结果；重新计算公司估值时，还需要把人民币盈利的港元折算、回购能够取得的股数和期权现金同时更新，不能只将目标价机械乘汇率。现价与经营财报在不同货币，参数记录必须有币种和单位。财资外币汇兑损失也需单列，避免把投资者换汇回报和公司账面汇兑混为同一项。</w:t>
      </w:r>
    </w:p>
    <w:p>
      <w:pPr>
        <w:pStyle w:val="Normal"/>
        <w:rPr/>
      </w:pPr>
      <w:r>
        <w:rPr/>
        <w:t>正常财资收益在基准二零二七财年约一点零七亿元，属于完整集团盈利的一部分。若收益率下行，利润和下一年资金积累都会变化；如果理财出现本金损失，正常盈利可以暂时不变，但总可用财资和以后利息基数要降低。模型设置理财减值与汇兑变化字段，使两条影响可区分。这种处理不能等同于精确公允价值会计报表，尤其未获得逐项产品到期和币种，只能作为公开资产合计上的研究风险代理。</w:t>
      </w:r>
    </w:p>
    <w:p>
      <w:pPr>
        <w:pStyle w:val="Heading2"/>
        <w:rPr/>
      </w:pPr>
      <w:r>
        <w:rPr>
          <w:color w:val="000000"/>
        </w:rPr>
        <w:t>十年持续性与明确反证</w:t>
      </w:r>
    </w:p>
    <w:p>
      <w:pPr>
        <w:pStyle w:val="Normal"/>
        <w:rPr/>
      </w:pPr>
      <w:r>
        <w:rPr/>
        <w:t>十年经营展望首先检验消费者是否仍愿意把选择信任交给公司，而不是预测十年后一条精确股价。公司需要形成独立检测、供应商管理、产品更新和服务标准，让新一代管理者与主播能够持续执行。创始人个人信誉可以帮助建立品牌，但十年后用户的购物习惯、内容平台和价格渠道可能不同。只有标准和商品价值可以迁移，公司才有机会成为可持续品牌组织。</w:t>
      </w:r>
    </w:p>
    <w:p>
      <w:pPr>
        <w:pStyle w:val="Normal"/>
        <w:rPr/>
      </w:pPr>
      <w:r>
        <w:rPr/>
        <w:t>持续经营也需要主动淘汰低复购商品，避免从精选变成难以管理的无限货架。食品与营养商品必须适应监管、成分标识和消费者安全要求，品牌延伸不能替代专业证据。海外产品和澳洲零售试验属于潜在选择，截止日没有足够收入和盈利资料，不为其单独加入规模价值。若未来成功，应以订单、当地合规和现金回报确认；若失败，不应以国际化叙事继续增加投入预算。</w:t>
      </w:r>
    </w:p>
    <w:p>
      <w:pPr>
        <w:pStyle w:val="Normal"/>
        <w:rPr/>
      </w:pPr>
      <w:r>
        <w:rPr/>
        <w:t>可操作反证包括连续两次报告自营收入增长低于预算且毛利没有弥补、营销费用率长期维持或上升、库存增速持续超过销售且减值增加、会员续费和购买贡献弱化，以及重大质量事件反复发生。财资方面，理财产品不能按预期赎回、关联资源费用显著提高或资金用于低回报投资，也需要降低治理分数。每项反证都可以连接到模型输入，让推荐变化有可追踪的经济原因。</w:t>
      </w:r>
    </w:p>
    <w:p>
      <w:pPr>
        <w:pStyle w:val="Normal"/>
        <w:rPr/>
      </w:pPr>
      <w:r>
        <w:rPr/>
        <w:t>本章最终立场是承认转型的实际进展，同时要求现价与经营证据提供相匹配的回报。短期技术相对强，不能抵消长期估值溢价；财资充足，也不能替代商品盈利。三年观察优于半年追逐的原因，是正常利润累积需要时间，股份奖励和品控成本则已经在发生。未来资料更新应按同一财政模型重新计算并同步总表，而不是只更换目标价标题，让旧收益和新假设同时存在。</w:t>
      </w:r>
    </w:p>
    <w:p>
      <w:pPr>
        <w:pStyle w:val="Heading2"/>
        <w:rPr/>
      </w:pPr>
      <w:r>
        <w:rPr>
          <w:color w:val="000000"/>
        </w:rPr>
        <w:t>来源</w:t>
      </w:r>
    </w:p>
    <w:p>
      <w:pPr>
        <w:pStyle w:val="Normal"/>
        <w:rPr/>
      </w:pPr>
      <w:r>
        <w:rPr/>
        <w:t>- FY2026</w:t>
      </w:r>
      <w:r>
        <w:rPr/>
        <w:t>年报，</w:t>
      </w:r>
      <w:r>
        <w:rPr/>
        <w:t>2026-09-15 17:33</w:t>
      </w:r>
      <w:r>
        <w:rPr/>
        <w:t>，收盘后：</w:t>
      </w:r>
      <w:r>
        <w:rPr/>
        <w:t>https://www1.hkexnews.hk/listedco/listconews/sehk/2026/0915/2026091500653.pdf</w:t>
      </w:r>
    </w:p>
    <w:p>
      <w:pPr>
        <w:pStyle w:val="Normal"/>
        <w:rPr/>
      </w:pPr>
      <w:r>
        <w:rPr/>
        <w:t>- FY2026</w:t>
      </w:r>
      <w:r>
        <w:rPr/>
        <w:t>年度结果，</w:t>
      </w:r>
      <w:r>
        <w:rPr/>
        <w:t>2026-08-21 19:49</w:t>
      </w:r>
      <w:r>
        <w:rPr/>
        <w:t>，收盘后：</w:t>
      </w:r>
      <w:r>
        <w:rPr/>
        <w:t>https://www1.hkexnews.hk/listedco/listconews/sehk/2026/0821/2026082101261.pdf</w:t>
      </w:r>
    </w:p>
    <w:p>
      <w:pPr>
        <w:pStyle w:val="Normal"/>
        <w:rPr/>
      </w:pPr>
      <w:r>
        <w:rPr/>
        <w:t>- FY2026</w:t>
      </w:r>
      <w:r>
        <w:rPr/>
        <w:t>中报，</w:t>
      </w:r>
      <w:r>
        <w:rPr/>
        <w:t>2026-02-13 16:30</w:t>
      </w:r>
      <w:r>
        <w:rPr/>
        <w:t>，收盘后：</w:t>
      </w:r>
      <w:r>
        <w:rPr/>
        <w:t>https://www1.hkexnews.hk/listedco/listconews/sehk/2026/0213/2026021300553.pdf</w:t>
      </w:r>
    </w:p>
    <w:p>
      <w:pPr>
        <w:pStyle w:val="Normal"/>
        <w:rPr/>
      </w:pPr>
      <w:r>
        <w:rPr/>
        <w:t xml:space="preserve">- </w:t>
      </w:r>
      <w:r>
        <w:rPr/>
        <w:t>九月月报，</w:t>
      </w:r>
      <w:r>
        <w:rPr/>
        <w:t>2026-10-07 16:39</w:t>
      </w:r>
      <w:r>
        <w:rPr/>
        <w:t>，收盘后：</w:t>
      </w:r>
      <w:r>
        <w:rPr/>
        <w:t>https://www1.hkexnews.hk/listedco/listconews/sehk/2026/1007/2026100700902.pdf</w:t>
      </w:r>
    </w:p>
    <w:p>
      <w:pPr>
        <w:pStyle w:val="Normal"/>
        <w:rPr/>
      </w:pPr>
      <w:r>
        <w:rPr/>
        <w:t xml:space="preserve">- </w:t>
      </w:r>
      <w:r>
        <w:rPr/>
        <w:t>股权奖励及关联交易原件记录见</w:t>
      </w:r>
      <w:r>
        <w:rPr/>
        <w:t>data/eastbuy_sources.json</w:t>
      </w:r>
      <w:r>
        <w:rPr/>
        <w:t>，含公告首发时间与原件链接；最近新闻</w:t>
      </w:r>
      <w:r>
        <w:rPr/>
        <w:t>data/eastbuy_public_news.json</w:t>
      </w:r>
      <w:r>
        <w:rPr/>
        <w:t>。</w:t>
      </w:r>
    </w:p>
    <w:p>
      <w:pPr>
        <w:pStyle w:val="Normal"/>
        <w:rPr/>
      </w:pPr>
      <w:r>
        <w:rPr/>
        <w:t xml:space="preserve">- </w:t>
      </w:r>
      <w:r>
        <w:rPr/>
        <w:t>高盛</w:t>
      </w:r>
      <w:r>
        <w:rPr/>
        <w:t>2026-07-30</w:t>
      </w:r>
      <w:r>
        <w:rPr/>
        <w:t>：</w:t>
      </w:r>
      <w:r>
        <w:rPr/>
        <w:t>https://www.aastocks.com/sc/stocks/analysis/stock-aafn-con/01797/AAFN/NOW.1535671/research-report</w:t>
      </w:r>
    </w:p>
    <w:p>
      <w:pPr>
        <w:pStyle w:val="Normal"/>
        <w:rPr/>
      </w:pPr>
      <w:r>
        <w:rPr/>
        <w:t xml:space="preserve">- </w:t>
      </w:r>
      <w:r>
        <w:rPr/>
        <w:t>花旗</w:t>
      </w:r>
      <w:r>
        <w:rPr/>
        <w:t>2026-07-24</w:t>
      </w:r>
      <w:r>
        <w:rPr/>
        <w:t>：</w:t>
      </w:r>
      <w:r>
        <w:rPr/>
        <w:t>https://www.aastocks.com/sc/stocks/analysis/stock-aafn-con/01797/AAFN/NOW.1534783/research-report</w:t>
      </w:r>
    </w:p>
    <w:p>
      <w:pPr>
        <w:pStyle w:val="Normal"/>
        <w:rPr/>
      </w:pPr>
      <w:r>
        <w:rPr/>
        <w:t xml:space="preserve">- </w:t>
      </w:r>
      <w:r>
        <w:rPr/>
        <w:t>大和</w:t>
      </w:r>
      <w:r>
        <w:rPr/>
        <w:t>2026-02-02</w:t>
      </w:r>
      <w:r>
        <w:rPr/>
        <w:t>：</w:t>
      </w:r>
      <w:r>
        <w:rPr/>
        <w:t>https://www.aastocks.com/sc/stocks/analysis/stock-aafn-con/01797/AAFN/NOW.1500471/research-report</w:t>
      </w:r>
    </w:p>
    <w:p>
      <w:pPr>
        <w:pStyle w:val="Normal"/>
        <w:rPr/>
      </w:pPr>
      <w:r>
        <w:rPr/>
        <w:t xml:space="preserve">- </w:t>
      </w:r>
      <w:r>
        <w:rPr/>
        <w:t>招商证券国际</w:t>
      </w:r>
      <w:r>
        <w:rPr/>
        <w:t>2026-08-11</w:t>
      </w:r>
      <w:r>
        <w:rPr/>
        <w:t>：</w:t>
      </w:r>
      <w:r>
        <w:rPr/>
        <w:t>https://www.aastocks.com/sc/stocks/analysis/stock-aafn-con/01797/AAFN/NOW.1537546/research-report</w:t>
      </w:r>
    </w:p>
    <w:p>
      <w:pPr>
        <w:pStyle w:val="Normal"/>
        <w:rPr/>
      </w:pPr>
      <w:r>
        <w:rPr/>
        <w:t xml:space="preserve">- </w:t>
      </w:r>
      <w:r>
        <w:rPr/>
        <w:t>行情锁</w:t>
      </w:r>
      <w:r>
        <w:rPr/>
        <w:t>data/market_snapshot_locked.json</w:t>
      </w:r>
      <w:r>
        <w:rPr/>
        <w:t>，原始日线</w:t>
      </w:r>
      <w:r>
        <w:rPr/>
        <w:t>data/history/S068.json</w:t>
      </w:r>
      <w:r>
        <w:rPr/>
        <w:t>；腾讯、新浪和</w:t>
      </w:r>
      <w:r>
        <w:rPr/>
        <w:t>Yahoo</w:t>
      </w:r>
      <w:r>
        <w:rPr/>
        <w:t>交叉核对，一根不一致日线采用腾讯完整</w:t>
      </w:r>
      <w:r>
        <w:rPr/>
        <w:t>bar</w:t>
      </w:r>
      <w:r>
        <w:rPr/>
        <w:t>修复，保留修复记录。来源检索可以在截止日后完成，但经营信息只使用截止日已公开内容。</w:t>
      </w:r>
      <w:r>
        <w:br w:type="page"/>
      </w:r>
    </w:p>
    <w:p>
      <w:pPr>
        <w:pStyle w:val="Heading1"/>
        <w:rPr/>
      </w:pPr>
      <w:bookmarkStart w:id="7" w:name="__RefHeading___Toc38190_1364803659"/>
      <w:bookmarkEnd w:id="7"/>
      <w:r>
        <w:rPr>
          <w:color w:val="000000"/>
        </w:rPr>
        <w:t xml:space="preserve">丽珠医药 </w:t>
      </w:r>
      <w:r>
        <w:rPr>
          <w:color w:val="000000"/>
        </w:rPr>
        <w:t>01513 HK</w:t>
      </w:r>
    </w:p>
    <w:p>
      <w:pPr>
        <w:pStyle w:val="Normal"/>
        <w:rPr/>
      </w:pPr>
      <w:r>
        <w:rPr/>
        <w:t xml:space="preserve">01513.HK </w:t>
      </w:r>
      <w:r>
        <w:rPr/>
        <w:t xml:space="preserve">现价 </w:t>
      </w:r>
      <w:r>
        <w:rPr/>
        <w:t>22.16 HKD</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643"/>
        <w:gridCol w:w="1642"/>
        <w:gridCol w:w="1644"/>
        <w:gridCol w:w="1643"/>
        <w:gridCol w:w="1642"/>
        <w:gridCol w:w="1644"/>
      </w:tblGrid>
      <w:tr>
        <w:trPr>
          <w:tblHeader w:val="true"/>
          <w:cantSplit/>
        </w:trPr>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得分</w:t>
            </w:r>
            <w:r>
              <w:rPr>
                <w:rFonts w:eastAsia="微软雅黑" w:ascii="微软雅黑" w:hAnsi="微软雅黑"/>
                <w:b/>
                <w:color w:val="FFFFFF"/>
                <w:sz w:val="17"/>
              </w:rPr>
              <w:t>/100</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全榜梯队</w:t>
            </w:r>
          </w:p>
        </w:tc>
        <w:tc>
          <w:tcPr>
            <w:tcW w:w="1643"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基准目标价</w:t>
            </w:r>
          </w:p>
        </w:tc>
        <w:tc>
          <w:tcPr>
            <w:tcW w:w="164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股价涨幅</w:t>
            </w:r>
          </w:p>
        </w:tc>
        <w:tc>
          <w:tcPr>
            <w:tcW w:w="164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含分红回报</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61.60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5</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26.57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+19.88%</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+25.23%</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66.70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30.36</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+37.00%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+48.31%</w:t>
            </w:r>
          </w:p>
        </w:tc>
      </w:tr>
      <w:tr>
        <w:trPr>
          <w:cantSplit/>
        </w:trPr>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70.10</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7</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41.47</w:t>
            </w:r>
          </w:p>
        </w:tc>
        <w:tc>
          <w:tcPr>
            <w:tcW w:w="164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+87.14%</w:t>
            </w:r>
          </w:p>
        </w:tc>
        <w:tc>
          <w:tcPr>
            <w:tcW w:w="164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+109.70%</w:t>
            </w:r>
          </w:p>
        </w:tc>
      </w:tr>
      <w:tr>
        <w:trPr>
          <w:cantSplit/>
        </w:trPr>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70.40</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第</w:t>
            </w:r>
            <w:r>
              <w:rPr>
                <w:rFonts w:eastAsia="微软雅黑" w:ascii="微软雅黑" w:hAnsi="微软雅黑"/>
                <w:sz w:val="17"/>
              </w:rPr>
              <w:t>6</w:t>
            </w:r>
            <w:r>
              <w:rPr>
                <w:rFonts w:ascii="微软雅黑" w:hAnsi="微软雅黑" w:eastAsia="微软雅黑"/>
                <w:sz w:val="17"/>
              </w:rPr>
              <w:t>梯队</w:t>
            </w:r>
          </w:p>
        </w:tc>
        <w:tc>
          <w:tcPr>
            <w:tcW w:w="1643"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47.52</w:t>
            </w:r>
          </w:p>
        </w:tc>
        <w:tc>
          <w:tcPr>
            <w:tcW w:w="164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+114.44%</w:t>
            </w:r>
          </w:p>
        </w:tc>
        <w:tc>
          <w:tcPr>
            <w:tcW w:w="164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+155.05%</w:t>
            </w:r>
          </w:p>
        </w:tc>
      </w:tr>
    </w:tbl>
    <w:p>
      <w:pPr>
        <w:pStyle w:val="Normal"/>
        <w:rPr/>
      </w:pPr>
      <w:r>
        <w:rPr/>
      </w:r>
    </w:p>
    <w:p>
      <w:pPr>
        <w:pStyle w:val="Normal"/>
        <w:rPr/>
      </w:pPr>
      <w:r>
        <w:rPr/>
        <w:t>梯队按全名单中具备合理评估条件的股票分别计算；条件研究证券明确暂不排名。三年和五年年化以累计现金分红、不再投资计算。</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年底情景</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目标价</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涨跌幅</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情景权重</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悲观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14.08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-36.46%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基准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22.52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+1.64%</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50%</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乐观</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31.46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+41.97%</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w:t>
            </w:r>
          </w:p>
        </w:tc>
      </w:tr>
    </w:tbl>
    <w:p>
      <w:pPr>
        <w:pStyle w:val="Normal"/>
        <w:rPr/>
      </w:pPr>
      <w:r>
        <w:rPr/>
      </w:r>
    </w:p>
    <w:p>
      <w:pPr>
        <w:pStyle w:val="Normal"/>
        <w:rPr/>
      </w:pPr>
      <w:r>
        <w:rPr/>
        <w:t>年底判断加权期望价</w:t>
      </w:r>
      <w:r>
        <w:rPr/>
        <w:t>22.65HKD</w:t>
      </w:r>
      <w:r>
        <w:rPr/>
        <w:t>，期望股价回报</w:t>
      </w:r>
      <w:r>
        <w:rPr/>
        <w:t>+2.19%</w:t>
      </w:r>
      <w:r>
        <w:rPr/>
        <w:t>。权重是研究判断，并非统计概率；悲观价格亦不是最大损失边界。</w:t>
      </w:r>
    </w:p>
    <w:tbl>
      <w:tblPr>
        <w:tblW w:w="9860"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972"/>
        <w:gridCol w:w="1972"/>
        <w:gridCol w:w="1972"/>
        <w:gridCol w:w="1972"/>
        <w:gridCol w:w="1972"/>
      </w:tblGrid>
      <w:tr>
        <w:trPr>
          <w:tblHeader w:val="true"/>
          <w:cantSplit/>
        </w:trPr>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乐观价格</w:t>
            </w:r>
            <w:r>
              <w:rPr>
                <w:rFonts w:eastAsia="微软雅黑" w:ascii="微软雅黑" w:hAnsi="微软雅黑"/>
                <w:b/>
                <w:color w:val="FFFFFF"/>
                <w:sz w:val="17"/>
              </w:rPr>
              <w:t>/</w:t>
            </w:r>
            <w:r>
              <w:rPr>
                <w:rFonts w:ascii="微软雅黑" w:hAnsi="微软雅黑" w:eastAsia="微软雅黑"/>
                <w:b/>
                <w:color w:val="FFFFFF"/>
                <w:sz w:val="17"/>
              </w:rPr>
              <w:t>涨幅</w:t>
            </w:r>
          </w:p>
        </w:tc>
        <w:tc>
          <w:tcPr>
            <w:tcW w:w="1972"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基准年化总回报</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14.52</w:t>
              <w:br/>
              <w:t>-34.48%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26.57</w:t>
              <w:br/>
              <w:t>+19.88%</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42.08</w:t>
              <w:br/>
              <w:t>+89.87%</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14.96</w:t>
              <w:br/>
              <w:t>-32.49%</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30.36</w:t>
              <w:br/>
              <w:t>+37.00%</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51.04</w:t>
              <w:br/>
              <w:t>+130.32%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w:t>
            </w:r>
          </w:p>
        </w:tc>
      </w:tr>
      <w:tr>
        <w:trPr>
          <w:cantSplit/>
        </w:trPr>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16.72</w:t>
              <w:br/>
              <w:t>-24.55%</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41.47</w:t>
              <w:br/>
              <w:t>+87.14%</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78.54</w:t>
              <w:br/>
              <w:t>+254.42%</w:t>
            </w:r>
          </w:p>
        </w:tc>
        <w:tc>
          <w:tcPr>
            <w:tcW w:w="1972"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+28.00%</w:t>
            </w:r>
          </w:p>
        </w:tc>
      </w:tr>
      <w:tr>
        <w:trPr>
          <w:cantSplit/>
        </w:trPr>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15.40</w:t>
              <w:br/>
              <w:t>-30.51%</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47.52</w:t>
              <w:br/>
              <w:t>+114.44%</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96.80</w:t>
              <w:br/>
              <w:t>+336.82%</w:t>
            </w:r>
          </w:p>
        </w:tc>
        <w:tc>
          <w:tcPr>
            <w:tcW w:w="1972"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+20.59%</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期限</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名义目标日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模型采用日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日历核验状态</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2027-04-09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2027-10-07</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已按香港政府公布假期及</w:t>
            </w:r>
            <w:r>
              <w:rPr>
                <w:rFonts w:eastAsia="微软雅黑" w:ascii="微软雅黑" w:hAnsi="微软雅黑"/>
                <w:sz w:val="17"/>
              </w:rPr>
              <w:t>HKEX</w:t>
            </w:r>
            <w:r>
              <w:rPr>
                <w:rFonts w:ascii="微软雅黑" w:hAnsi="微软雅黑" w:eastAsia="微软雅黑"/>
                <w:sz w:val="17"/>
              </w:rPr>
              <w:t>证券交易规则核验</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2029-10-09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2031-10-09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周末已解析；对应年度交易所节假日日历尚未核验，实际交易日待核</w:t>
            </w:r>
          </w:p>
        </w:tc>
      </w:tr>
    </w:tbl>
    <w:p>
      <w:pPr>
        <w:pStyle w:val="Normal"/>
        <w:rPr/>
      </w:pPr>
      <w:r>
        <w:rPr/>
      </w:r>
    </w:p>
    <w:p>
      <w:pPr>
        <w:pStyle w:val="Normal"/>
        <w:rPr/>
      </w:pPr>
      <w:r>
        <w:rPr/>
        <w:t>一年日期修订：经营情景及期限估值输入为独立研究假设，不按相差日数插值；实际日期已修订。下文保留的额外压力测试按原假设日期运行，属于历史模型敏感性；核心三情景以上表及</w:t>
      </w:r>
      <w:r>
        <w:rPr/>
        <w:t>Excel</w:t>
      </w:r>
      <w:r>
        <w:rPr/>
        <w:t>当前快照为准。</w:t>
      </w:r>
    </w:p>
    <w:tbl>
      <w:tblPr>
        <w:tblW w:w="9858"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4929"/>
        <w:gridCol w:w="4929"/>
      </w:tblGrid>
      <w:tr>
        <w:trPr>
          <w:tblHeader w:val="true"/>
          <w:cantSplit/>
        </w:trPr>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证据领域</w:t>
            </w:r>
          </w:p>
        </w:tc>
        <w:tc>
          <w:tcPr>
            <w:tcW w:w="492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可信度与限制</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基本面</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高：原年报中报和公告；管线优效具体统计尚未独立原试验核验</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量价</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高：锁版双来源，</w:t>
            </w:r>
            <w:r>
              <w:rPr>
                <w:rFonts w:eastAsia="微软雅黑" w:ascii="微软雅黑" w:hAnsi="微软雅黑"/>
                <w:sz w:val="17"/>
              </w:rPr>
              <w:t>8</w:t>
            </w:r>
            <w:r>
              <w:rPr>
                <w:rFonts w:ascii="微软雅黑" w:hAnsi="微软雅黑" w:eastAsia="微软雅黑"/>
                <w:sz w:val="17"/>
              </w:rPr>
              <w:t>条</w:t>
            </w:r>
            <w:r>
              <w:rPr>
                <w:rFonts w:eastAsia="微软雅黑" w:ascii="微软雅黑" w:hAnsi="微软雅黑"/>
                <w:sz w:val="17"/>
              </w:rPr>
              <w:t>OHLC</w:t>
            </w:r>
            <w:r>
              <w:rPr>
                <w:rFonts w:ascii="微软雅黑" w:hAnsi="微软雅黑" w:eastAsia="微软雅黑"/>
                <w:sz w:val="17"/>
              </w:rPr>
              <w:t>修复留档、行业指数缺</w:t>
            </w:r>
          </w:p>
        </w:tc>
      </w:tr>
      <w:tr>
        <w:trPr>
          <w:cantSplit/>
        </w:trPr>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估值</w:t>
            </w:r>
          </w:p>
        </w:tc>
        <w:tc>
          <w:tcPr>
            <w:tcW w:w="492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中低：公开</w:t>
            </w:r>
            <w:r>
              <w:rPr>
                <w:rFonts w:eastAsia="微软雅黑" w:ascii="微软雅黑" w:hAnsi="微软雅黑"/>
                <w:sz w:val="17"/>
              </w:rPr>
              <w:t>EPS/</w:t>
            </w:r>
            <w:r>
              <w:rPr>
                <w:rFonts w:ascii="微软雅黑" w:hAnsi="微软雅黑" w:eastAsia="微软雅黑"/>
                <w:sz w:val="17"/>
              </w:rPr>
              <w:t>倍数</w:t>
            </w:r>
            <w:r>
              <w:rPr>
                <w:rFonts w:eastAsia="微软雅黑" w:ascii="微软雅黑" w:hAnsi="微软雅黑"/>
                <w:sz w:val="17"/>
              </w:rPr>
              <w:t>/</w:t>
            </w:r>
            <w:r>
              <w:rPr>
                <w:rFonts w:ascii="微软雅黑" w:hAnsi="微软雅黑" w:eastAsia="微软雅黑"/>
                <w:sz w:val="17"/>
              </w:rPr>
              <w:t>换汇研究假设，盈利下降尚未反转</w:t>
            </w:r>
          </w:p>
        </w:tc>
      </w:tr>
      <w:tr>
        <w:trPr>
          <w:cantSplit/>
        </w:trPr>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机构目标</w:t>
            </w:r>
          </w:p>
        </w:tc>
        <w:tc>
          <w:tcPr>
            <w:tcW w:w="492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中：公开转述，报告期限与原件缺</w:t>
            </w:r>
          </w:p>
        </w:tc>
      </w:tr>
    </w:tbl>
    <w:p>
      <w:pPr>
        <w:pStyle w:val="Normal"/>
        <w:rPr/>
      </w:pPr>
      <w:r>
        <w:rPr/>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港币兑人民币变化</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贬值</w:t>
            </w:r>
            <w:r>
              <w:rPr>
                <w:rFonts w:eastAsia="微软雅黑" w:ascii="微软雅黑" w:hAnsi="微软雅黑"/>
                <w:b/>
                <w:color w:val="FFFFFF"/>
                <w:sz w:val="17"/>
              </w:rPr>
              <w:t>5%</w:t>
            </w:r>
            <w:r>
              <w:rPr>
                <w:rFonts w:ascii="微软雅黑" w:hAnsi="微软雅黑" w:eastAsia="微软雅黑"/>
                <w:b/>
                <w:color w:val="FFFFFF"/>
                <w:sz w:val="17"/>
              </w:rPr>
              <w:t>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不变总回报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升值</w:t>
            </w:r>
            <w:r>
              <w:rPr>
                <w:rFonts w:eastAsia="微软雅黑" w:ascii="微软雅黑" w:hAnsi="微软雅黑"/>
                <w:b/>
                <w:color w:val="FFFFFF"/>
                <w:sz w:val="17"/>
              </w:rPr>
              <w:t>5%</w:t>
            </w:r>
            <w:r>
              <w:rPr>
                <w:rFonts w:ascii="微软雅黑" w:hAnsi="微软雅黑" w:eastAsia="微软雅黑"/>
                <w:b/>
                <w:color w:val="FFFFFF"/>
                <w:sz w:val="17"/>
              </w:rPr>
              <w:t>总回报</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半年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+18.96%</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+25.23%</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+31.49%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一年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+40.89%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+48.31%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+55.72%</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三年</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+99.22%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+109.70%</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+120.19%</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五年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+142.30%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+155.05%</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+167.81%</w:t>
            </w:r>
          </w:p>
        </w:tc>
      </w:tr>
    </w:tbl>
    <w:p>
      <w:pPr>
        <w:pStyle w:val="Normal"/>
        <w:rPr/>
      </w:pPr>
      <w:r>
        <w:rPr/>
      </w:r>
    </w:p>
    <w:p>
      <w:pPr>
        <w:pStyle w:val="Normal"/>
        <w:rPr/>
      </w:pPr>
      <w:r>
        <w:rPr/>
        <w:t>汇率敏感性固定本币目标价，仅转换人民币投资者回报；不会再把同一次汇率变动叠加到盈利换算假设。</w:t>
      </w:r>
    </w:p>
    <w:p>
      <w:pPr>
        <w:pStyle w:val="Normal"/>
        <w:rPr/>
      </w:pPr>
      <w:r>
        <w:rPr/>
        <w:drawing>
          <wp:inline distT="0" distB="0" distL="0" distR="0">
            <wp:extent cx="5975985" cy="2788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975985" cy="2788920"/>
                    </a:xfrm>
                    <a:prstGeom prst="rect">
                      <a:avLst/>
                    </a:prstGeom>
                    <a:noFill/>
                  </pic:spPr>
                </pic:pic>
              </a:graphicData>
            </a:graphic>
          </wp:inline>
        </w:drawing>
      </w:r>
    </w:p>
    <w:p>
      <w:pPr>
        <w:pStyle w:val="Caption"/>
        <w:rPr/>
      </w:pPr>
      <w:r>
        <w:rPr/>
        <w:t>日线：真实</w:t>
      </w:r>
      <w:r>
        <w:rPr/>
        <w:t>OHLC</w:t>
      </w:r>
      <w:r>
        <w:rPr/>
        <w:t>按基准日尺度复权。成交量保留原股数。来源及异常修复见行情锁版。</w:t>
      </w:r>
    </w:p>
    <w:p>
      <w:pPr>
        <w:pStyle w:val="Normal"/>
        <w:rPr/>
      </w:pPr>
      <w:r>
        <w:rPr/>
        <w:drawing>
          <wp:inline distT="0" distB="0" distL="0" distR="0">
            <wp:extent cx="5975985" cy="2788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975985" cy="2788920"/>
                    </a:xfrm>
                    <a:prstGeom prst="rect">
                      <a:avLst/>
                    </a:prstGeom>
                    <a:noFill/>
                  </pic:spPr>
                </pic:pic>
              </a:graphicData>
            </a:graphic>
          </wp:inline>
        </w:drawing>
      </w:r>
    </w:p>
    <w:p>
      <w:pPr>
        <w:pStyle w:val="Caption"/>
        <w:rPr/>
      </w:pPr>
      <w:r>
        <w:rPr/>
        <w:t>周线：真实</w:t>
      </w:r>
      <w:r>
        <w:rPr/>
        <w:t>OHLC</w:t>
      </w:r>
      <w:r>
        <w:rPr/>
        <w:t>按基准日尺度复权。成交量保留原股数。来源及异常修复见行情锁版。</w:t>
      </w:r>
    </w:p>
    <w:p>
      <w:pPr>
        <w:pStyle w:val="Normal"/>
        <w:rPr/>
      </w:pPr>
      <w:r>
        <w:rPr/>
        <w:t xml:space="preserve">发行人 </w:t>
      </w:r>
      <w:r>
        <w:rPr/>
        <w:t>I036</w:t>
      </w:r>
      <w:r>
        <w:rPr/>
        <w:t xml:space="preserve">；证券 </w:t>
      </w:r>
      <w:r>
        <w:rPr/>
        <w:t>S042</w:t>
      </w:r>
      <w:r>
        <w:rPr/>
        <w:t>／</w:t>
      </w:r>
      <w:r>
        <w:rPr/>
        <w:t>01513.HK</w:t>
      </w:r>
      <w:r>
        <w:rPr/>
        <w:t>；全部金额如未特别说明，财务为人民币、目标价为港元。价格基准</w:t>
      </w:r>
      <w:r>
        <w:rPr/>
        <w:t>2026</w:t>
      </w:r>
      <w:r>
        <w:rPr/>
        <w:t>年</w:t>
      </w:r>
      <w:r>
        <w:rPr/>
        <w:t>10</w:t>
      </w:r>
      <w:r>
        <w:rPr/>
        <w:t>月</w:t>
      </w:r>
      <w:r>
        <w:rPr/>
        <w:t>9</w:t>
      </w:r>
      <w:r>
        <w:rPr/>
        <w:t>日收盘</w:t>
      </w:r>
      <w:r>
        <w:rPr/>
        <w:t>22.16</w:t>
      </w:r>
      <w:r>
        <w:rPr/>
        <w:t>港元，研究资料截止同日。数据</w:t>
      </w:r>
      <w:r>
        <w:rPr/>
        <w:t>market-v1.6</w:t>
      </w:r>
      <w:r>
        <w:rPr/>
        <w:t>；估值</w:t>
      </w:r>
      <w:r>
        <w:rPr/>
        <w:t>livzon-H-normalized-pe-v1.0</w:t>
      </w:r>
      <w:r>
        <w:rPr/>
        <w:t>。本文为独立初版，公司基本面采用</w:t>
      </w:r>
      <w:r>
        <w:rPr/>
        <w:t>A</w:t>
      </w:r>
      <w:r>
        <w:rPr/>
        <w:t>股原法定年报和中报，投资价格、成交量、均线及股息采用</w:t>
      </w:r>
      <w:r>
        <w:rPr/>
        <w:t>H</w:t>
      </w:r>
      <w:r>
        <w:rPr/>
        <w:t>股资料。用户名单没有丽珠</w:t>
      </w:r>
      <w:r>
        <w:rPr/>
        <w:t>A</w:t>
      </w:r>
      <w:r>
        <w:rPr/>
        <w:t>股证券，本文不增补</w:t>
      </w:r>
      <w:r>
        <w:rPr/>
        <w:t>A</w:t>
      </w:r>
      <w:r>
        <w:rPr/>
        <w:t>股推荐或混用两地技术判断。</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1408"/>
        <w:gridCol w:w="1407"/>
        <w:gridCol w:w="1409"/>
        <w:gridCol w:w="1407"/>
        <w:gridCol w:w="1409"/>
        <w:gridCol w:w="1407"/>
        <w:gridCol w:w="1409"/>
      </w:tblGrid>
      <w:tr>
        <w:trPr>
          <w:tblHeader w:val="true"/>
          <w:cantSplit/>
        </w:trPr>
        <w:tc>
          <w:tcPr>
            <w:tcW w:w="1408"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时点</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分数</w:t>
            </w:r>
            <w:r>
              <w:rPr>
                <w:rFonts w:eastAsia="微软雅黑" w:ascii="微软雅黑" w:hAnsi="微软雅黑"/>
                <w:b/>
                <w:color w:val="FFFFFF"/>
                <w:sz w:val="17"/>
              </w:rPr>
              <w:t>/100</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悲观价</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基准价</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乐观价</w:t>
            </w:r>
          </w:p>
        </w:tc>
        <w:tc>
          <w:tcPr>
            <w:tcW w:w="1407"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基准股价回报</w:t>
            </w:r>
          </w:p>
        </w:tc>
        <w:tc>
          <w:tcPr>
            <w:tcW w:w="1409"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基准税前含息回报</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年底</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14.08</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22.5225</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31.46</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1.64%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6.98%</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半年</w:t>
            </w:r>
            <w:r>
              <w:rPr>
                <w:rFonts w:eastAsia="微软雅黑" w:ascii="微软雅黑" w:hAnsi="微软雅黑"/>
                <w:sz w:val="17"/>
              </w:rPr>
              <w:t>2027-04-09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61.6</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14.52</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26.565</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42.075</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19.88%</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25.23%</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一年</w:t>
            </w:r>
            <w:r>
              <w:rPr>
                <w:rFonts w:eastAsia="微软雅黑" w:ascii="微软雅黑" w:hAnsi="微软雅黑"/>
                <w:sz w:val="17"/>
              </w:rPr>
              <w:t>2027-10-07</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66.7</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14.96</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30.36</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51.04</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37.00%</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48.31%</w:t>
            </w:r>
          </w:p>
        </w:tc>
      </w:tr>
      <w:tr>
        <w:trPr>
          <w:cantSplit/>
        </w:trPr>
        <w:tc>
          <w:tcPr>
            <w:tcW w:w="1408"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三年</w:t>
            </w:r>
            <w:r>
              <w:rPr>
                <w:rFonts w:eastAsia="微软雅黑" w:ascii="微软雅黑" w:hAnsi="微软雅黑"/>
                <w:sz w:val="17"/>
              </w:rPr>
              <w:t>2029-10-09</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70.1</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16.72</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41.47</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78.54</w:t>
            </w:r>
          </w:p>
        </w:tc>
        <w:tc>
          <w:tcPr>
            <w:tcW w:w="1407"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87.14%</w:t>
            </w:r>
          </w:p>
        </w:tc>
        <w:tc>
          <w:tcPr>
            <w:tcW w:w="1409"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109.70%</w:t>
            </w:r>
          </w:p>
        </w:tc>
      </w:tr>
      <w:tr>
        <w:trPr>
          <w:cantSplit/>
        </w:trPr>
        <w:tc>
          <w:tcPr>
            <w:tcW w:w="1408"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五年</w:t>
            </w:r>
            <w:r>
              <w:rPr>
                <w:rFonts w:eastAsia="微软雅黑" w:ascii="微软雅黑" w:hAnsi="微软雅黑"/>
                <w:sz w:val="17"/>
              </w:rPr>
              <w:t>2031-10-09</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70.4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15.40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47.52</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96.80</w:t>
            </w:r>
          </w:p>
        </w:tc>
        <w:tc>
          <w:tcPr>
            <w:tcW w:w="1407"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114.44%</w:t>
            </w:r>
          </w:p>
        </w:tc>
        <w:tc>
          <w:tcPr>
            <w:tcW w:w="1409"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155.05%</w:t>
            </w:r>
          </w:p>
        </w:tc>
      </w:tr>
    </w:tbl>
    <w:p>
      <w:pPr>
        <w:pStyle w:val="Normal"/>
        <w:rPr/>
      </w:pPr>
      <w:r>
        <w:rPr/>
      </w:r>
    </w:p>
    <w:p>
      <w:pPr>
        <w:pStyle w:val="Normal"/>
        <w:rPr/>
      </w:pPr>
      <w:r>
        <w:rPr/>
        <w:t>三年基准股价年化</w:t>
      </w:r>
      <w:r>
        <w:rPr/>
        <w:t>23.23%</w:t>
      </w:r>
      <w:r>
        <w:rPr/>
        <w:t>、含息年化</w:t>
      </w:r>
      <w:r>
        <w:rPr/>
        <w:t>28.00%</w:t>
      </w:r>
      <w:r>
        <w:rPr/>
        <w:t>；五年</w:t>
      </w:r>
      <w:r>
        <w:rPr/>
        <w:t>16.48%</w:t>
      </w:r>
      <w:r>
        <w:rPr/>
        <w:t>、</w:t>
      </w:r>
      <w:r>
        <w:rPr/>
        <w:t>20.59%</w:t>
      </w:r>
      <w:r>
        <w:rPr/>
        <w:t>。累计股息按期末财富加总，不含再投资、税费和交易成本，不能当精确逐期现金流</w:t>
      </w:r>
      <w:r>
        <w:rPr/>
        <w:t>IRR</w:t>
      </w:r>
      <w:r>
        <w:rPr/>
        <w:t>。年底权重</w:t>
      </w:r>
      <w:r>
        <w:rPr/>
        <w:t>25%/50%/25%</w:t>
      </w:r>
      <w:r>
        <w:rPr/>
        <w:t>，期望价</w:t>
      </w:r>
      <w:r>
        <w:rPr/>
        <w:t>22.64625</w:t>
      </w:r>
      <w:r>
        <w:rPr/>
        <w:t>港元、股价期望回报</w:t>
      </w:r>
      <w:r>
        <w:rPr/>
        <w:t>2.19%</w:t>
      </w:r>
      <w:r>
        <w:rPr/>
        <w:t>、税前含息</w:t>
      </w:r>
      <w:r>
        <w:rPr/>
        <w:t>7.54%</w:t>
      </w:r>
      <w:r>
        <w:rPr/>
        <w:t>；敏感权重</w:t>
      </w:r>
      <w:r>
        <w:rPr/>
        <w:t>40%/50%/10%</w:t>
      </w:r>
      <w:r>
        <w:rPr/>
        <w:t>和</w:t>
      </w:r>
      <w:r>
        <w:rPr/>
        <w:t>10%/50%/40%</w:t>
      </w:r>
      <w:r>
        <w:rPr/>
        <w:t>分别得到</w:t>
      </w:r>
      <w:r>
        <w:rPr/>
        <w:t>20.03925</w:t>
      </w:r>
      <w:r>
        <w:rPr/>
        <w:t>和</w:t>
      </w:r>
      <w:r>
        <w:rPr/>
        <w:t>25.25325</w:t>
      </w:r>
      <w:r>
        <w:rPr/>
        <w:t>港元。情景不是统计置信区间，也不是最大损失边界。</w:t>
      </w:r>
    </w:p>
    <w:p>
      <w:pPr>
        <w:pStyle w:val="Heading2"/>
        <w:rPr/>
      </w:pPr>
      <w:r>
        <w:rPr>
          <w:color w:val="000000"/>
        </w:rPr>
        <w:t>投资结论与条件</w:t>
      </w:r>
    </w:p>
    <w:p>
      <w:pPr>
        <w:pStyle w:val="Normal"/>
        <w:rPr/>
      </w:pPr>
      <w:r>
        <w:rPr/>
        <w:t>丽珠在本次进取型研究中属于需要盈利证据支持的中长期条件候选，半年以观察为主。一年比半年更有吸引力，理由是已有现金创造能力、</w:t>
      </w:r>
      <w:r>
        <w:rPr/>
        <w:t>H</w:t>
      </w:r>
      <w:r>
        <w:rPr/>
        <w:t>股估值没有纯创新药常见的高预期，以及两款最近获批产品可以在新一年逐步完成商业化；半年限制来自原有高毛利制剂收入下降，新品需要招标、院内准入和持续处方才能填补缺口。上涨空间较大并不自动代表较高确定性，基准一年目标要求盈利回到接近</w:t>
      </w:r>
      <w:r>
        <w:rPr/>
        <w:t>2025</w:t>
      </w:r>
      <w:r>
        <w:rPr/>
        <w:t>年的水平，而最新半年还没有提供这一反转证据。</w:t>
      </w:r>
    </w:p>
    <w:p>
      <w:pPr>
        <w:pStyle w:val="Normal"/>
        <w:rPr/>
      </w:pPr>
      <w:r>
        <w:rPr/>
        <w:t>最关键的反证是既有产品的价格损失持续大于销量增长，新品同时依靠较高销售投入而迟迟不能形成正贡献。若化学制剂与促性激素收入继续大幅下降，原料药利润率下滑且生物新品销售不足，不能只因为估值约十倍或有股息就维持原目标。另一个反证是海外并购及金融投资消耗现金，但归母回报没有改善。公司不存在因为一款药获批就免于竞争的特殊地位，推荐成立条件必须落实到可审阅的收入、利润、现金和回报率。</w:t>
      </w:r>
    </w:p>
    <w:p>
      <w:pPr>
        <w:pStyle w:val="Normal"/>
        <w:rPr/>
      </w:pPr>
      <w:r>
        <w:rPr/>
        <w:t>证据可信度分层：原财报和分红、股本、批准公告可信度高；近期量价经过多源核对，历史八条不合逻辑</w:t>
      </w:r>
      <w:r>
        <w:rPr/>
        <w:t>OHLC</w:t>
      </w:r>
      <w:r>
        <w:rPr/>
        <w:t>已按完整独立日线修复并留档，可信度高；估值属于研究盈利、倍数和换汇判断，可信度中低。莱康奇塔头对头优势目前核到的是公司公告而非独立原统计全文，具体终点优效幅度仍有缺口。不能把高质量披露来源与高概率股价预测混为一谈，更不能把</w:t>
      </w:r>
      <w:r>
        <w:rPr/>
        <w:t>61.6</w:t>
      </w:r>
      <w:r>
        <w:rPr/>
        <w:t>或</w:t>
      </w:r>
      <w:r>
        <w:rPr/>
        <w:t>70.4</w:t>
      </w:r>
      <w:r>
        <w:rPr/>
        <w:t>分解释为对应百分比的赚钱概率。</w:t>
      </w:r>
    </w:p>
    <w:p>
      <w:pPr>
        <w:pStyle w:val="Normal"/>
        <w:rPr/>
      </w:pPr>
      <w:r>
        <w:rPr/>
        <w:t>本章梯队为半年“观察”、一年“条件候选”、三年和五年“条件候选”。全榜按父报告同一算法确定实际名次及相邻三分以内的梯队，本文不虚构尚未整合的全名单名次。进取策略重视成长和上涨幅度，但丽珠的机会来自盈利低点后的修复与产品结构迁移，不能照搬高风险早期创新药的十倍情景。若未来数据明确证明利润恢复或新增资产回报较高，可以提高评分；若仅市场情绪反弹而经营恶化，应降低估值维度和长期商业质量维度。</w:t>
      </w:r>
    </w:p>
    <w:p>
      <w:pPr>
        <w:pStyle w:val="Heading2"/>
        <w:rPr/>
      </w:pPr>
      <w:r>
        <w:rPr>
          <w:color w:val="000000"/>
        </w:rPr>
        <w:t>业务结构与盈利来源</w:t>
      </w:r>
    </w:p>
    <w:p>
      <w:pPr>
        <w:pStyle w:val="Normal"/>
        <w:rPr/>
      </w:pPr>
      <w:r>
        <w:rPr/>
        <w:t>丽珠是横跨化学制剂、原料药、中药、生物药和诊断的药企。上半年总收入</w:t>
      </w:r>
      <w:r>
        <w:rPr/>
        <w:t>49.9967</w:t>
      </w:r>
      <w:r>
        <w:rPr/>
        <w:t>亿元，化学制剂</w:t>
      </w:r>
      <w:r>
        <w:rPr/>
        <w:t>24.4167</w:t>
      </w:r>
      <w:r>
        <w:rPr/>
        <w:t>亿元、原料药及中间体</w:t>
      </w:r>
      <w:r>
        <w:rPr/>
        <w:t>16.1099</w:t>
      </w:r>
      <w:r>
        <w:rPr/>
        <w:t>亿元、中药</w:t>
      </w:r>
      <w:r>
        <w:rPr/>
        <w:t>5.2099</w:t>
      </w:r>
      <w:r>
        <w:rPr/>
        <w:t>亿元、生物</w:t>
      </w:r>
      <w:r>
        <w:rPr/>
        <w:t>0.9437</w:t>
      </w:r>
      <w:r>
        <w:rPr/>
        <w:t>亿元、诊断</w:t>
      </w:r>
      <w:r>
        <w:rPr/>
        <w:t>2.7021</w:t>
      </w:r>
      <w:r>
        <w:rPr/>
        <w:t>亿元，其余</w:t>
      </w:r>
      <w:r>
        <w:rPr/>
        <w:t>0.6145</w:t>
      </w:r>
      <w:r>
        <w:rPr/>
        <w:t>亿元。几项合起来构成全部收入，但“化学制剂”又包含消化道、促性激素等子项，不能再将子项相加制造收入。公司财报营运分部按单一医药制造业披露，产品领域拆分是经营分析辅助，不能声称各领域有独立完整利润及资产分部报表。</w:t>
      </w:r>
    </w:p>
    <w:p>
      <w:pPr>
        <w:pStyle w:val="Normal"/>
        <w:rPr/>
      </w:pPr>
      <w:r>
        <w:rPr/>
        <w:t>化学制剂仍是核心价值来源，收入同比下降</w:t>
      </w:r>
      <w:r>
        <w:rPr/>
        <w:t>25.33%</w:t>
      </w:r>
      <w:r>
        <w:rPr/>
        <w:t>，毛利率</w:t>
      </w:r>
      <w:r>
        <w:rPr/>
        <w:t>76.04%</w:t>
      </w:r>
      <w:r>
        <w:rPr/>
        <w:t>，较上年下降</w:t>
      </w:r>
      <w:r>
        <w:rPr/>
        <w:t>5.13</w:t>
      </w:r>
      <w:r>
        <w:rPr/>
        <w:t>个百分点。高毛利率意味着有销售和研发费用支付能力，也意味着医保或联盟采购价格变化会直接伤及较高的毛利基数。高毛利不等于高净利润，更不等于厂家对终端价格拥有永久控制权。公司通过处方教育、渠道管理及剂型壁垒维持销售，经营评价要同时看每个产品的销量、净售价、渠道库存和推广成本，不能仅凭毛利率数字判断护城河强度。</w:t>
      </w:r>
    </w:p>
    <w:p>
      <w:pPr>
        <w:pStyle w:val="Normal"/>
        <w:rPr/>
      </w:pPr>
      <w:r>
        <w:rPr/>
        <w:t>原料药收入占比接近三分之一，毛利率</w:t>
      </w:r>
      <w:r>
        <w:rPr/>
        <w:t>35.66%</w:t>
      </w:r>
      <w:r>
        <w:rPr/>
        <w:t>，同比下降</w:t>
      </w:r>
      <w:r>
        <w:rPr/>
        <w:t>0.71</w:t>
      </w:r>
      <w:r>
        <w:rPr/>
        <w:t>个百分点，收入下降</w:t>
      </w:r>
      <w:r>
        <w:rPr/>
        <w:t>3.04%</w:t>
      </w:r>
      <w:r>
        <w:rPr/>
        <w:t>。这部分在制剂承压时提供了相对稳定的销售，却也降低了整体毛利结构。其竞争优势可能来自发酵、工艺、环保和客户认证，但市场供需、产能扩张和价格都会影响回报。原料药与制剂并非完全独立：采购原料、技术共用和产能协同提供一定优势，然而扩大低毛利销售不一定能补足高毛利制剂丢失的利润。应比较利润贡献和资本占用，而不是简单比较收入增速。</w:t>
      </w:r>
    </w:p>
    <w:p>
      <w:pPr>
        <w:pStyle w:val="Normal"/>
        <w:rPr/>
      </w:pPr>
      <w:r>
        <w:rPr/>
        <w:t>中药上半年收入下降</w:t>
      </w:r>
      <w:r>
        <w:rPr/>
        <w:t>34.83%</w:t>
      </w:r>
      <w:r>
        <w:rPr/>
        <w:t>，毛利率却提高</w:t>
      </w:r>
      <w:r>
        <w:rPr/>
        <w:t>2.03</w:t>
      </w:r>
      <w:r>
        <w:rPr/>
        <w:t>个百分点至</w:t>
      </w:r>
      <w:r>
        <w:rPr/>
        <w:t>76.03%</w:t>
      </w:r>
      <w:r>
        <w:rPr/>
        <w:t>，显示收入数量与产品组合变化不能用一项指标概括。毛利率提高可能伴随高毛利品种占比变化、生产成本改善或低收益销售减少，但本章没有取得完整产品量价桥，不能选择其中一种原因当已证事实。丽珠中药需要在医院使用场景和医保管理下证明临床价值与处方稳定性，健康消费扩张不自动等于处方中药增长。政策对注射剂合理使用和医院支付管理的影响，也不能被长期老龄化叙事掩盖。</w:t>
      </w:r>
    </w:p>
    <w:p>
      <w:pPr>
        <w:pStyle w:val="Normal"/>
        <w:rPr/>
      </w:pPr>
      <w:r>
        <w:rPr/>
        <w:t>生物制品现有收入只有</w:t>
      </w:r>
      <w:r>
        <w:rPr/>
        <w:t>0.9437</w:t>
      </w:r>
      <w:r>
        <w:rPr/>
        <w:t>亿元，同比略降</w:t>
      </w:r>
      <w:r>
        <w:rPr/>
        <w:t>0.47%</w:t>
      </w:r>
      <w:r>
        <w:rPr/>
        <w:t>，与集团规模相比很小。这一基数说明莱康奇塔未来若成功，确实可能改变增长结构，也说明现阶段生物业务尚未成为集团利润的稳定第二支柱。不能把小基数上可能出现的高百分比增速直接等同于集团高速成长；必须看绝对收入和归母净收益。合作开发、股权比例、销售团队投入、药品生产及患者支持成本都决定最终股东收益，单列终端潜在市场再加一个研发净现值会与盈利模型重复。</w:t>
      </w:r>
    </w:p>
    <w:p>
      <w:pPr>
        <w:pStyle w:val="Normal"/>
        <w:rPr/>
      </w:pPr>
      <w:r>
        <w:rPr/>
        <w:t>诊断收入</w:t>
      </w:r>
      <w:r>
        <w:rPr/>
        <w:t>2.7021</w:t>
      </w:r>
      <w:r>
        <w:rPr/>
        <w:t>亿元、下降</w:t>
      </w:r>
      <w:r>
        <w:rPr/>
        <w:t>27.78%</w:t>
      </w:r>
      <w:r>
        <w:rPr/>
        <w:t>，显示丽珠并非所有业务都处于上行周期。诊断需求包含检验使用量、设备与试剂组合、医院预算和价格管理，新增医疗需求也可能对应更强控费。诊断业务对集团而言是现金流和渠道的补充，但现阶段没有数据支持把它当主要成长引擎。若试剂耗材销售恢复而资本开支适度，它能改善收入组合；若设备安装或经销库存增加而终端耗用不足，会增加营运资本占用。研究应避免用其他大型</w:t>
      </w:r>
      <w:r>
        <w:rPr/>
        <w:t>IVD</w:t>
      </w:r>
      <w:r>
        <w:rPr/>
        <w:t>公司的全球优势套在丽珠身上。</w:t>
      </w:r>
    </w:p>
    <w:p>
      <w:pPr>
        <w:pStyle w:val="Heading2"/>
        <w:rPr/>
      </w:pPr>
      <w:r>
        <w:rPr>
          <w:color w:val="000000"/>
        </w:rPr>
        <w:t>消化道产品的价值与替代压力</w:t>
      </w:r>
    </w:p>
    <w:p>
      <w:pPr>
        <w:pStyle w:val="Normal"/>
        <w:rPr/>
      </w:pPr>
      <w:r>
        <w:rPr/>
        <w:t>消化道上半年收入</w:t>
      </w:r>
      <w:r>
        <w:rPr/>
        <w:t>9.5402</w:t>
      </w:r>
      <w:r>
        <w:rPr/>
        <w:t>亿元、下降</w:t>
      </w:r>
      <w:r>
        <w:rPr/>
        <w:t>29.39%</w:t>
      </w:r>
      <w:r>
        <w:rPr/>
        <w:t>。艾普拉唑等既有产品此前构成重要利润来源，中报明确提到医保降价影响，因而现阶段更准确的描述是需求与单价共同变化，而不是销售团队短期失误。医保价格调整可以提高可负担性和使用范围，但公司只有在销量和费用节省足以补价时才能恢复利润。模型基准假设这类下降逐步消化，不假设价格自动回到调整前；若渠道和处方持续收缩，正常化</w:t>
      </w:r>
      <w:r>
        <w:rPr/>
        <w:t>EPS</w:t>
      </w:r>
      <w:r>
        <w:rPr/>
        <w:t>应向悲观路径移动。</w:t>
      </w:r>
    </w:p>
    <w:p>
      <w:pPr>
        <w:pStyle w:val="Normal"/>
        <w:rPr/>
      </w:pPr>
      <w:r>
        <w:rPr/>
        <w:t>艾普拉唑在消化病领域的优势需要结合临床方案、剂型、医院覆盖和成本收益比较。公司中报提到专利延续至</w:t>
      </w:r>
      <w:r>
        <w:rPr/>
        <w:t>2036</w:t>
      </w:r>
      <w:r>
        <w:rPr/>
        <w:t>年，但一个专利日期不能替代完整的权利要求、适应症、工艺和自由实施分析，也不能阻止其他机理治疗竞争。竞争者可能通过</w:t>
      </w:r>
      <w:r>
        <w:rPr/>
        <w:t>P-CAB</w:t>
      </w:r>
      <w:r>
        <w:rPr/>
        <w:t>、其他</w:t>
      </w:r>
      <w:r>
        <w:rPr/>
        <w:t>PPI</w:t>
      </w:r>
      <w:r>
        <w:rPr/>
        <w:t>、固定组合或价格较低的仿制品争夺处方。对股东最重要的不是宣传上的药效强弱，而是在真实支付条件下医生是否持续处方，渠道是否规范，净收入能否覆盖销售与后续研发投入。</w:t>
      </w:r>
    </w:p>
    <w:p>
      <w:pPr>
        <w:pStyle w:val="Normal"/>
        <w:rPr/>
      </w:pPr>
      <w:r>
        <w:rPr/>
        <w:t>JP1366</w:t>
      </w:r>
      <w:r>
        <w:rPr/>
        <w:t>是消化领域产品接力的重要项目，中报时片剂反流性食管炎适应症仍在上市审评，幽门螺杆菌联合方案处于三期，注射剂消化性溃疡出血也处于三期。截止日已核的</w:t>
      </w:r>
      <w:r>
        <w:rPr/>
        <w:t>8</w:t>
      </w:r>
      <w:r>
        <w:rPr/>
        <w:t>月注册证公告对应的是莱康奇塔，不能误认作</w:t>
      </w:r>
      <w:r>
        <w:rPr/>
        <w:t>JP1366</w:t>
      </w:r>
      <w:r>
        <w:rPr/>
        <w:t>获批。本章没有取得</w:t>
      </w:r>
      <w:r>
        <w:rPr/>
        <w:t>JP1366</w:t>
      </w:r>
      <w:r>
        <w:rPr/>
        <w:t>截至</w:t>
      </w:r>
      <w:r>
        <w:rPr/>
        <w:t>10</w:t>
      </w:r>
      <w:r>
        <w:rPr/>
        <w:t>月</w:t>
      </w:r>
      <w:r>
        <w:rPr/>
        <w:t>9</w:t>
      </w:r>
      <w:r>
        <w:rPr/>
        <w:t>日新的批准公告，所以保持已核状态并列缺口。韩国已上市对研发可行性和技术来源有参考意义，却不能替代中国审评、医保准入和当地商业化的独立条件。</w:t>
      </w:r>
    </w:p>
    <w:p>
      <w:pPr>
        <w:pStyle w:val="Normal"/>
        <w:rPr/>
      </w:pPr>
      <w:r>
        <w:rPr/>
        <w:t>口服新机制产品进入已有消化市场，需要证明较好疗效、较少相互作用、适用人群或便捷使用等具体优势，同时面对已有品牌和价格压力。新药获批不等于全部患者立刻切换；医师熟悉度、院内药事委员会流程、医保限制及患者自付都会影响速度。丽珠拥有消化渠道，有利于新品接力，但现有销售资源不是零成本。基准模型把渠道复用的费用效率纳入净利润率温和恢复，乐观才包含更顺畅放量；不能因渠道已有就把新增销售额全部视作利润。</w:t>
      </w:r>
    </w:p>
    <w:p>
      <w:pPr>
        <w:pStyle w:val="Normal"/>
        <w:rPr/>
      </w:pPr>
      <w:r>
        <w:rPr/>
        <w:t>JP1366</w:t>
      </w:r>
      <w:r>
        <w:rPr/>
        <w:t>开发资产期末</w:t>
      </w:r>
      <w:r>
        <w:rPr/>
        <w:t>4.0138</w:t>
      </w:r>
      <w:r>
        <w:rPr/>
        <w:t>亿元，包含内部支出和外购在研项目。资产形式提高了当前报告盈利与全部费用化情形的差异，而未来获批后的摊销、终止时减值或新增临床投入仍是股东真实成本。利润模型保留正常化费用和资产损耗，不把所有资本化研发视作免费资本。本章没有完整独立药物现金流，所以不另增加所谓管线价值。若审批或商业收益不及预期，研发资产变为减值风险，应同时修改利润假设和财务风险评分。</w:t>
      </w:r>
    </w:p>
    <w:p>
      <w:pPr>
        <w:pStyle w:val="Heading2"/>
        <w:rPr/>
      </w:pPr>
      <w:r>
        <w:rPr>
          <w:color w:val="000000"/>
        </w:rPr>
        <w:t>促性激素 生殖与长效制剂</w:t>
      </w:r>
    </w:p>
    <w:p>
      <w:pPr>
        <w:pStyle w:val="Normal"/>
        <w:rPr/>
      </w:pPr>
      <w:r>
        <w:rPr/>
        <w:t>促性激素收入</w:t>
      </w:r>
      <w:r>
        <w:rPr/>
        <w:t>12.0645</w:t>
      </w:r>
      <w:r>
        <w:rPr/>
        <w:t>亿元、下降</w:t>
      </w:r>
      <w:r>
        <w:rPr/>
        <w:t>21.13%</w:t>
      </w:r>
      <w:r>
        <w:rPr/>
        <w:t>，仍是化学制剂里最大一项。辅助生殖和</w:t>
      </w:r>
      <w:r>
        <w:rPr/>
        <w:t>GnRH</w:t>
      </w:r>
      <w:r>
        <w:rPr/>
        <w:t>领域具有明确医疗需求，但不能用出生人口下降简单推出需求必然下降，也不能用生育支持政策简单推出市场高速扩张。年龄结构、诊断率、辅助生殖可及性、医保覆盖、治疗成功率和患者支付能力共同影响疗程。丽珠有相关既有产品和临床渠道，是产品组合优势；最新收入下降则提示价格和采购机制仍能影响这一看似需求稳定的领域。</w:t>
      </w:r>
    </w:p>
    <w:p>
      <w:pPr>
        <w:pStyle w:val="Normal"/>
        <w:rPr/>
      </w:pPr>
      <w:r>
        <w:rPr/>
        <w:t>尿促性素医保降价、亮丙瑞林广东联盟降价是中报明确提及的压力。不同促排和降调节产品的临床用途、剂量以及患者治疗方案并不一致，无法将其相互完全替代。公司需要通过剂型、质量、供应稳定性和治疗方案形成差异，但支付方仍可能压低价格。对投资者而言，若净价下降而治疗量增加，收入未必同步增长，毛利能否恢复还取决于生产规模和费用。应把适应症覆盖增长与厂商实际销量净价分开记录，避免同一需求变化重复计入。</w:t>
      </w:r>
    </w:p>
    <w:p>
      <w:pPr>
        <w:pStyle w:val="Normal"/>
        <w:rPr/>
      </w:pPr>
      <w:r>
        <w:rPr/>
        <w:t>重组人促卵泡激素注射笔</w:t>
      </w:r>
      <w:r>
        <w:rPr/>
        <w:t>2026</w:t>
      </w:r>
      <w:r>
        <w:rPr/>
        <w:t>年</w:t>
      </w:r>
      <w:r>
        <w:rPr/>
        <w:t>6</w:t>
      </w:r>
      <w:r>
        <w:rPr/>
        <w:t>月已获批，中报说明正推进上市销售、招标和医院准入，并研究</w:t>
      </w:r>
      <w:r>
        <w:rPr/>
        <w:t>150IU</w:t>
      </w:r>
      <w:r>
        <w:rPr/>
        <w:t>新增规格。注射笔可能改善使用便利性及剂量操作，对辅助生殖治疗有价值，但这类价值不自动变成较高定价权。不同患者的依从性、可负担性和医师习惯决定实际替换速度。半年应看首批准入、真实处方和渠道补货，一年才可能看到较完整收入。模型不把新增规格研究视作独立大适应症，不将注射笔全部销售当对既有注射剂的净新增。</w:t>
      </w:r>
    </w:p>
    <w:p>
      <w:pPr>
        <w:pStyle w:val="Normal"/>
        <w:rPr/>
      </w:pPr>
      <w:r>
        <w:rPr/>
        <w:t>醋酸亮丙瑞林</w:t>
      </w:r>
      <w:r>
        <w:rPr/>
        <w:t>11.25</w:t>
      </w:r>
      <w:r>
        <w:rPr/>
        <w:t>毫克三个月剂型已经获批，</w:t>
      </w:r>
      <w:r>
        <w:rPr/>
        <w:t>H</w:t>
      </w:r>
      <w:r>
        <w:rPr/>
        <w:t>股公告</w:t>
      </w:r>
      <w:r>
        <w:rPr/>
        <w:t>9</w:t>
      </w:r>
      <w:r>
        <w:rPr/>
        <w:t>月</w:t>
      </w:r>
      <w:r>
        <w:rPr/>
        <w:t>29</w:t>
      </w:r>
      <w:r>
        <w:rPr/>
        <w:t>日、</w:t>
      </w:r>
      <w:r>
        <w:rPr/>
        <w:t>A</w:t>
      </w:r>
      <w:r>
        <w:rPr/>
        <w:t>股公告</w:t>
      </w:r>
      <w:r>
        <w:rPr/>
        <w:t>9</w:t>
      </w:r>
      <w:r>
        <w:rPr/>
        <w:t>月</w:t>
      </w:r>
      <w:r>
        <w:rPr/>
        <w:t>30</w:t>
      </w:r>
      <w:r>
        <w:rPr/>
        <w:t>日。批准适应症包括绝经前乳腺癌、前列腺癌、中枢性性早熟，通常每十二周皮下注射。这与中报时“有望年内获批”状态不同，审批风险已经下降，接下来风险转到生产、准入和商业化。不能仍把获批当尚未发生的年底催化，更不能误把十二周剂型与一个月制剂的剂量、标签和使用频率混用。首次获批范围之外的疾病不纳入确定性市场。</w:t>
      </w:r>
    </w:p>
    <w:p>
      <w:pPr>
        <w:pStyle w:val="Normal"/>
        <w:rPr/>
      </w:pPr>
      <w:r>
        <w:rPr/>
        <w:t>长效剂型可能减少患者来院和注射次数，提高治疗便利，但医生也会考虑可调整性、不良反应管理、患者年龄和方案要求。对于儿童和特殊人群，长效并不必然优于所有短效选择。公司公告引用</w:t>
      </w:r>
      <w:r>
        <w:rPr/>
        <w:t>2025</w:t>
      </w:r>
      <w:r>
        <w:rPr/>
        <w:t>年国内</w:t>
      </w:r>
      <w:r>
        <w:rPr/>
        <w:t>GnRHa</w:t>
      </w:r>
      <w:r>
        <w:rPr/>
        <w:t>终端约</w:t>
      </w:r>
      <w:r>
        <w:rPr/>
        <w:t>109</w:t>
      </w:r>
      <w:r>
        <w:rPr/>
        <w:t>亿元、三个月剂型占</w:t>
      </w:r>
      <w:r>
        <w:rPr/>
        <w:t>27%</w:t>
      </w:r>
      <w:r>
        <w:rPr/>
        <w:t>，该数是抽样估测终端市场，不是丽珠出厂收入或待公司独占的市场。渠道折扣、替代既有一个月销量及竞争者份额都要扣除。基准只假设逐步增加贡献，乐观要求差异化优势转为持续份额。</w:t>
      </w:r>
    </w:p>
    <w:p>
      <w:pPr>
        <w:pStyle w:val="Normal"/>
        <w:rPr/>
      </w:pPr>
      <w:r>
        <w:rPr/>
        <w:t>三个月剂型累计直接研发投入约</w:t>
      </w:r>
      <w:r>
        <w:rPr/>
        <w:t>9405</w:t>
      </w:r>
      <w:r>
        <w:rPr/>
        <w:t>万元，投入形成资产或费用取决于会计政策，不能因金额较小就断言投入回报很高。研发直接投入并不包括全部平台、渠道和工厂成本；未来新增销售如果只是把已有一个月产品转成每季度使用，集团利润增量可能比终端市场想象小。高质量的验证应比较同类人群、疗程收入、生产成本、销售费率和复购，而不是用市场总规模除研发费用。新品也可能通过巩固既有客户减少老品流失，这种防守价值不等于全额新增。</w:t>
      </w:r>
    </w:p>
    <w:p>
      <w:pPr>
        <w:pStyle w:val="Normal"/>
        <w:rPr/>
      </w:pPr>
      <w:r>
        <w:rPr/>
        <w:t>口服</w:t>
      </w:r>
      <w:r>
        <w:rPr/>
        <w:t>GnRH</w:t>
      </w:r>
      <w:r>
        <w:rPr/>
        <w:t>拮抗剂</w:t>
      </w:r>
      <w:r>
        <w:rPr/>
        <w:t>LPM7100328</w:t>
      </w:r>
      <w:r>
        <w:rPr/>
        <w:t>辅助生殖已启动三期，口服可降低部分注射负担，但疗程方案与安全要求需要临床验证。曲普瑞林微球中枢性性早熟三期中报称接近完成，不能把“接近完成”写成已有获批标签。丙氨瑞林微球乳腺癌处于二期，也不能以同属</w:t>
      </w:r>
      <w:r>
        <w:rPr/>
        <w:t>GnRH</w:t>
      </w:r>
      <w:r>
        <w:rPr/>
        <w:t>就统一给高成功率。本文用盈利情景而不是伪精确概率表达不确定性：基准包含成熟产品升级的温和贡献，乐观包含更好接力，悲观允许相关项目不能及时形成收益。</w:t>
      </w:r>
    </w:p>
    <w:p>
      <w:pPr>
        <w:pStyle w:val="Heading2"/>
        <w:rPr/>
      </w:pPr>
      <w:r>
        <w:rPr>
          <w:color w:val="000000"/>
        </w:rPr>
        <w:t>精神神经方向</w:t>
      </w:r>
    </w:p>
    <w:p>
      <w:pPr>
        <w:pStyle w:val="Normal"/>
        <w:rPr/>
      </w:pPr>
      <w:r>
        <w:rPr/>
        <w:t>精神领域上半年收入</w:t>
      </w:r>
      <w:r>
        <w:rPr/>
        <w:t>1.5336</w:t>
      </w:r>
      <w:r>
        <w:rPr/>
        <w:t>亿元、同比下降</w:t>
      </w:r>
      <w:r>
        <w:rPr/>
        <w:t>51.62%</w:t>
      </w:r>
      <w:r>
        <w:rPr/>
        <w:t>，是明显压力区。中报提到氟伏沙明第十一批国采，价格与渠道替换影响应逐产品核，不可以把精神类疾病发病需求直接转成集团销售增长。慢病治疗具有持续用药特征，但依从性、精神专科医院预算、医师处方习惯和医保管理会限制厂商收益。公司用长效制剂寻求新增长，方向有合理性，却必须证明治疗效果、实际患者留存和费用结构，不能把复杂疾病的长期需求等同于任何新剂型的盈利保障。</w:t>
      </w:r>
    </w:p>
    <w:p>
      <w:pPr>
        <w:pStyle w:val="Normal"/>
        <w:rPr/>
      </w:pPr>
      <w:r>
        <w:rPr/>
        <w:t>阿立哌唑一个月微球</w:t>
      </w:r>
      <w:r>
        <w:rPr/>
        <w:t>2026</w:t>
      </w:r>
      <w:r>
        <w:rPr/>
        <w:t>年进入医保，中报提到覆盖三百多家终端和真实世界研究。药物长效使用可能减少漏服与复发，但真实世界观察受患者选择、治疗同时变化及中心差异影响。六十八中心、一千零八十四人这样的规模有临床使用参考，不能自动等价于随机对照证明优于全部现有药。商业上还需要患者能够持续回院、医师认可适宜人群，医院具备实施条件。观察数据应帮助定义治疗场景，不能替代因果效力证据或成为高销售峰值的唯一依据。</w:t>
      </w:r>
    </w:p>
    <w:p>
      <w:pPr>
        <w:pStyle w:val="Normal"/>
        <w:rPr/>
      </w:pPr>
      <w:r>
        <w:rPr/>
        <w:t>布瑞哌唑微球七月完成一期首例给药，已经进入人体临床，但距离成熟商业化还早。中报关于安全指标更优的文字应结合药物和剂型证据谨慎理解，本文没有核到该微球一期已完成的安全和疗效结果，不能把研发设想写成确证结论。作用于受体的机制可以解释合理性，但临床暴露、药代、长期安全和疗效都需要数据。半年和一年估值不能依赖该项目上市，长期乐观允许平台成功，但不对这一早期项目单独赋予确定现金流。</w:t>
      </w:r>
    </w:p>
    <w:p>
      <w:pPr>
        <w:pStyle w:val="Normal"/>
        <w:rPr/>
      </w:pPr>
      <w:r>
        <w:rPr/>
        <w:t>NS041</w:t>
      </w:r>
      <w:r>
        <w:rPr/>
        <w:t>为</w:t>
      </w:r>
      <w:r>
        <w:rPr/>
        <w:t>KCNQ2/3</w:t>
      </w:r>
      <w:r>
        <w:rPr/>
        <w:t>开放剂，局灶性癫痫二期已有超过一百四十例入组。入组人数说明执行进度，不说明终点已达成；还需关注试验设计、背景用药、发作减少、安全性、剂量和随访。创新机制可能带来差异化，同类药物经验也可能提示肝脏、神经或其他耐受风险，不能因国内未有同类就认定竞争消失。原始二期终点全文尚未取得，本文不编响应率或统计显著性。投资期限上它更多是三年至五年潜在接力，半年只能作为待数据验证事项。</w:t>
      </w:r>
    </w:p>
    <w:p>
      <w:pPr>
        <w:pStyle w:val="Normal"/>
        <w:rPr/>
      </w:pPr>
      <w:r>
        <w:rPr/>
        <w:t>前庭性偏头痛中药创新项目</w:t>
      </w:r>
      <w:r>
        <w:rPr/>
        <w:t>LZZN1801</w:t>
      </w:r>
      <w:r>
        <w:rPr/>
        <w:t>在六月提交</w:t>
      </w:r>
      <w:r>
        <w:rPr/>
        <w:t>IND</w:t>
      </w:r>
      <w:r>
        <w:rPr/>
        <w:t>。提交和受理、获准试验、完成试验以及批准上市是不同事件，不能从提交跳到即将产生销售。这类疾病诊断与症状评价存在复杂性，临床终点和安慰剂影响尤其值得重视。丽珠同时布局多个方向有分散单一药物失败的作用，但资源分散也会提高研发管理难度。长期价值需要优秀项目持续通过关口和无效项目及时停止，不能只看研发清单数量增加就给商业质量加分。</w:t>
      </w:r>
    </w:p>
    <w:p>
      <w:pPr>
        <w:pStyle w:val="Heading2"/>
        <w:rPr/>
      </w:pPr>
      <w:r>
        <w:rPr>
          <w:color w:val="000000"/>
        </w:rPr>
        <w:t>莱康奇塔与自免市场</w:t>
      </w:r>
    </w:p>
    <w:p>
      <w:pPr>
        <w:pStyle w:val="Normal"/>
        <w:rPr/>
      </w:pPr>
      <w:r>
        <w:rPr/>
        <w:t>莱康奇塔单抗注射液商品名丽倍坦，为</w:t>
      </w:r>
      <w:r>
        <w:rPr/>
        <w:t>IL17A/F</w:t>
      </w:r>
      <w:r>
        <w:rPr/>
        <w:t>双靶点产品，八月注册证公告明确已可生产并上市销售。获批适应症为适合系统治疗或光疗的成人中重度斑块状银屑病。它不覆盖全部银屑病患者，更不覆盖所有免疫疾病。中国首个国产双靶点批准是具有辨识度的监管与研发成果，但已有进口双靶点和单靶点产品竞争，市场不会因为“首个国产”就由一家占据。股东价值来自临床差异在支付和处方中得到承认。</w:t>
      </w:r>
    </w:p>
    <w:p>
      <w:pPr>
        <w:pStyle w:val="Normal"/>
        <w:rPr/>
      </w:pPr>
      <w:r>
        <w:rPr/>
        <w:t>公司公告称三期以司库奇尤单抗为阳性对照，起效、皮损清除和长期疗效优于对照、安全性相当，且没有密集初始诱导期。本文确认这是公司披露的结论，但未取得原试验完整主要终点、统计层级、缺失数据处理和安全明细，不能填造优效幅度、</w:t>
      </w:r>
      <w:r>
        <w:rPr/>
        <w:t>P</w:t>
      </w:r>
      <w:r>
        <w:rPr/>
        <w:t>值或长期风险发生率。阳性对照有较好的证据价值，具体临床优势仍需独立全文判断。少给药次数具有便利价值，是否持续提高依从性与患者结局也要实际随访验证。</w:t>
      </w:r>
    </w:p>
    <w:p>
      <w:pPr>
        <w:pStyle w:val="Normal"/>
        <w:rPr/>
      </w:pPr>
      <w:r>
        <w:rPr/>
        <w:t>竞争分析要看疗效深度、维持时间、复发管理、真菌感染与其他安全风险、给药体验和年度患者费用，而不是只比较靶点多少。双靶点阻断可能改善特定疾病控制，也可能带来特定风险，不能把“两个靶点”一概评为更优。医院采购还考虑已有品牌、指南、医生熟悉度和支付。国产价格更低若拓宽使用人群，可以增加患者总量；若主要导致同类价格下移，则厂商利润空间受到挤压。这两种路径需要分情景而非同时作为利好。</w:t>
      </w:r>
    </w:p>
    <w:p>
      <w:pPr>
        <w:pStyle w:val="Normal"/>
        <w:rPr/>
      </w:pPr>
      <w:r>
        <w:rPr/>
        <w:t>注册证公告引用国内</w:t>
      </w:r>
      <w:r>
        <w:rPr/>
        <w:t>IL17A</w:t>
      </w:r>
      <w:r>
        <w:rPr/>
        <w:t>及</w:t>
      </w:r>
      <w:r>
        <w:rPr/>
        <w:t>IL17RA</w:t>
      </w:r>
      <w:r>
        <w:rPr/>
        <w:t>单靶点</w:t>
      </w:r>
      <w:r>
        <w:rPr/>
        <w:t>2025</w:t>
      </w:r>
      <w:r>
        <w:rPr/>
        <w:t>年终端销售约</w:t>
      </w:r>
      <w:r>
        <w:rPr/>
        <w:t>29.76</w:t>
      </w:r>
      <w:r>
        <w:rPr/>
        <w:t>亿元，是抽样估测市场，未等同全部自免疾病市场，也不能把进口双靶点增量和单靶点总额反复相加。莱康奇塔首先竞争中重度斑块状银屑病成人处方，其他适应症仍需分别取得批准。强直性脊柱炎关键三期中报称取得良好结果、上市申请获受理，本文没有完整原统计，所以不用它扩展确定的现有标签。长期收益允许潜在扩展，但必须经过监管和支付验证。</w:t>
      </w:r>
    </w:p>
    <w:p>
      <w:pPr>
        <w:pStyle w:val="Normal"/>
        <w:rPr/>
      </w:pPr>
      <w:r>
        <w:rPr/>
        <w:t>累计直接研发投入约</w:t>
      </w:r>
      <w:r>
        <w:rPr/>
        <w:t>2.2331</w:t>
      </w:r>
      <w:r>
        <w:rPr/>
        <w:t>亿元，产品与北京鑫康合共同开发，研发成果和商业权益并非可以忽略合作结构后全归丽珠的抽象资产。本章没有核到完整合作收入分配和最新具体生产推广合同，不能将终端销售直接乘集团高净利率。集团生物业务的少数股东、成本与研发投入影响归母利润，已通过整体正常化利润率保守表达。若将来合同明细确认可持续的高权益回报，可重新建分产品模型；当前不能在整体</w:t>
      </w:r>
      <w:r>
        <w:rPr/>
        <w:t>PE</w:t>
      </w:r>
      <w:r>
        <w:rPr/>
        <w:t>之后再附加未经核对的全部产品</w:t>
      </w:r>
      <w:r>
        <w:rPr/>
        <w:t>rNPV</w:t>
      </w:r>
      <w:r>
        <w:rPr/>
        <w:t>。</w:t>
      </w:r>
    </w:p>
    <w:p>
      <w:pPr>
        <w:pStyle w:val="Normal"/>
        <w:rPr/>
      </w:pPr>
      <w:r>
        <w:rPr/>
        <w:t>半年最有价值的莱康奇塔证据不是再次宣布获批，而是医院准入、付费患者、首轮用药后持续治疗和单位销售费用。新品铺货可能让出厂收入提前增长，但若后续无复购会出现渠道压力。基准估计采用温和贡献，不能凭公告里的市场患者总数推断一年放量。悲观情景允许医生认可或医保谈判进度慢，乐观要求其疗效和便利性在实际治疗中得到验证、供应稳定且费用有效，三个条件不能仅由股价上涨替代。</w:t>
      </w:r>
    </w:p>
    <w:p>
      <w:pPr>
        <w:pStyle w:val="Heading2"/>
        <w:rPr/>
      </w:pPr>
      <w:r>
        <w:rPr>
          <w:color w:val="000000"/>
        </w:rPr>
        <w:t>司美格鲁肽 抗凝与研发组合</w:t>
      </w:r>
    </w:p>
    <w:p>
      <w:pPr>
        <w:pStyle w:val="Normal"/>
        <w:rPr/>
      </w:pPr>
      <w:r>
        <w:rPr/>
        <w:t>司美格鲁肽糖尿病适应症中报处于审评，减重申请已受理；截止日未核到新增批准原件，不能写成已上市。减重和糖尿病市场增长为公司提供潜在空间，但同类本土和跨国产品进入、专利及工艺问题、剂量体验和价格竞争都可能压缩回报。一个热门市场的总规模不等于公司获得许可后可实现的收入。研发和产能投入应结合可取得的权益、合规销售和盈利路径，不能在其他管线未兑现时用</w:t>
      </w:r>
      <w:r>
        <w:rPr/>
        <w:t>GLP1</w:t>
      </w:r>
      <w:r>
        <w:rPr/>
        <w:t>热度填补全部利润缺口。</w:t>
      </w:r>
    </w:p>
    <w:p>
      <w:pPr>
        <w:pStyle w:val="Normal"/>
        <w:rPr/>
      </w:pPr>
      <w:r>
        <w:rPr/>
        <w:t>司美格鲁肽若未来获批，患者支付、医保适应症、耐受和停药后管理影响长期销售。糖尿病医保与体重管理支付不是同一体系，既有渠道可以提供帮助，但不能把两者患者完全重合计数。生产纯度、产量、装置和稳定供应决定成本，仿制或生物类似开发也不必然拥有创新产品的定价权。本模型乐观包含更顺畅接力，基准只给予中期温和增长，没有给未核批准或销售峰值造一个精确概率；政策与竞争恶化时应优先下调毛利及净利率。</w:t>
      </w:r>
    </w:p>
    <w:p>
      <w:pPr>
        <w:pStyle w:val="Normal"/>
        <w:rPr/>
      </w:pPr>
      <w:r>
        <w:rPr/>
        <w:t>H001</w:t>
      </w:r>
      <w:r>
        <w:rPr/>
        <w:t>直接凝血酶抑制剂完成针对全膝关节置换患者的二期试验，抗</w:t>
      </w:r>
      <w:r>
        <w:rPr/>
        <w:t>FXI</w:t>
      </w:r>
      <w:r>
        <w:rPr/>
        <w:t>双表位抗体</w:t>
      </w:r>
      <w:r>
        <w:rPr/>
        <w:t>IND</w:t>
      </w:r>
      <w:r>
        <w:rPr/>
        <w:t>八月获受理。二者处于不同开发阶段，前者的下一步是验证更大样本效益风险，后者还需要早期人体数据。抗凝疗效与出血风险必须共同判断，不能只因机制新颖或给药覆盖全疗程就称临床更安全。骨科</w:t>
      </w:r>
      <w:r>
        <w:rPr/>
        <w:t>VTE</w:t>
      </w:r>
      <w:r>
        <w:rPr/>
        <w:t>预防和未来房颤卒中预防也属于不同患者、终点和监管路径，未验证扩展适应症不纳入近期确定收入。</w:t>
      </w:r>
    </w:p>
    <w:p>
      <w:pPr>
        <w:pStyle w:val="Normal"/>
        <w:rPr/>
      </w:pPr>
      <w:r>
        <w:rPr/>
        <w:t>管线组合的长期意义是旧产品被政策和竞争侵蚀时，有不同平台接力；组合广也意味着需要明确优先级和资金纪律。经营质量应衡量研发失败能否及时识别、临床是否按患者需求设计，以及成功产品是否覆盖所有失败和资本成本。公司停止或调整项目并不必然负面，继续投入没有前景的项目也不必然积极。十年经营展望比五年目标价更需要这种自我更新机制，否则当前低倍数可能只是市场已经预见旧利润难以维持。</w:t>
      </w:r>
    </w:p>
    <w:p>
      <w:pPr>
        <w:pStyle w:val="Heading2"/>
        <w:rPr/>
      </w:pPr>
      <w:r>
        <w:rPr>
          <w:color w:val="000000"/>
        </w:rPr>
        <w:t>财务历史与利润质量</w:t>
      </w:r>
    </w:p>
    <w:p>
      <w:pPr>
        <w:pStyle w:val="Normal"/>
        <w:rPr/>
      </w:pPr>
      <w:r>
        <w:rPr/>
        <w:t>2023</w:t>
      </w:r>
      <w:r>
        <w:rPr/>
        <w:t>至</w:t>
      </w:r>
      <w:r>
        <w:rPr/>
        <w:t>2025</w:t>
      </w:r>
      <w:r>
        <w:rPr/>
        <w:t>年收入分别</w:t>
      </w:r>
      <w:r>
        <w:rPr/>
        <w:t>124.3004</w:t>
      </w:r>
      <w:r>
        <w:rPr/>
        <w:t>、</w:t>
      </w:r>
      <w:r>
        <w:rPr/>
        <w:t>118.1234</w:t>
      </w:r>
      <w:r>
        <w:rPr/>
        <w:t>、</w:t>
      </w:r>
      <w:r>
        <w:rPr/>
        <w:t>120.2035</w:t>
      </w:r>
      <w:r>
        <w:rPr/>
        <w:t>亿元，归母利润</w:t>
      </w:r>
      <w:r>
        <w:rPr/>
        <w:t>19.5365</w:t>
      </w:r>
      <w:r>
        <w:rPr/>
        <w:t>、</w:t>
      </w:r>
      <w:r>
        <w:rPr/>
        <w:t>20.6110</w:t>
      </w:r>
      <w:r>
        <w:rPr/>
        <w:t>、</w:t>
      </w:r>
      <w:r>
        <w:rPr/>
        <w:t>20.2325</w:t>
      </w:r>
      <w:r>
        <w:rPr/>
        <w:t>亿元。三年显示成熟药企的稳定盈利基础，却没有高增长轨迹。</w:t>
      </w:r>
      <w:r>
        <w:rPr/>
        <w:t>2025</w:t>
      </w:r>
      <w:r>
        <w:rPr/>
        <w:t>收入仅增</w:t>
      </w:r>
      <w:r>
        <w:rPr/>
        <w:t>1.76%</w:t>
      </w:r>
      <w:r>
        <w:rPr/>
        <w:t>、归母下降</w:t>
      </w:r>
      <w:r>
        <w:rPr/>
        <w:t>1.84%</w:t>
      </w:r>
      <w:r>
        <w:rPr/>
        <w:t>，扣非增长</w:t>
      </w:r>
      <w:r>
        <w:rPr/>
        <w:t>1.51%</w:t>
      </w:r>
      <w:r>
        <w:rPr/>
        <w:t>，不能将历史表面稳定当</w:t>
      </w:r>
      <w:r>
        <w:rPr/>
        <w:t>2026</w:t>
      </w:r>
      <w:r>
        <w:rPr/>
        <w:t>自然稳定。最新上半年收入下降</w:t>
      </w:r>
      <w:r>
        <w:rPr/>
        <w:t>20.28%</w:t>
      </w:r>
      <w:r>
        <w:rPr/>
        <w:t>、归母下降</w:t>
      </w:r>
      <w:r>
        <w:rPr/>
        <w:t>27.23%</w:t>
      </w:r>
      <w:r>
        <w:rPr/>
        <w:t>、扣非下降</w:t>
      </w:r>
      <w:r>
        <w:rPr/>
        <w:t>29.26%</w:t>
      </w:r>
      <w:r>
        <w:rPr/>
        <w:t>，说明变化不只是非经常性一次性项目，而是主要经营盈利承压，需重新设置正常化基础。</w:t>
      </w:r>
    </w:p>
    <w:p>
      <w:pPr>
        <w:pStyle w:val="Normal"/>
        <w:rPr/>
      </w:pPr>
      <w:r>
        <w:rPr/>
        <w:t>2025</w:t>
      </w:r>
      <w:r>
        <w:rPr/>
        <w:t>季度归母利润从一季度</w:t>
      </w:r>
      <w:r>
        <w:rPr/>
        <w:t>6.3671</w:t>
      </w:r>
      <w:r>
        <w:rPr/>
        <w:t>亿元、二季度</w:t>
      </w:r>
      <w:r>
        <w:rPr/>
        <w:t>6.4438</w:t>
      </w:r>
      <w:r>
        <w:rPr/>
        <w:t>亿元，降至三季度</w:t>
      </w:r>
      <w:r>
        <w:rPr/>
        <w:t>4.7301</w:t>
      </w:r>
      <w:r>
        <w:rPr/>
        <w:t>、四季度</w:t>
      </w:r>
      <w:r>
        <w:rPr/>
        <w:t>2.6915</w:t>
      </w:r>
      <w:r>
        <w:rPr/>
        <w:t>亿元；扣非四季度</w:t>
      </w:r>
      <w:r>
        <w:rPr/>
        <w:t>2.9714</w:t>
      </w:r>
      <w:r>
        <w:rPr/>
        <w:t>亿元。这种季节及产品费用变化使半年利润直接乘二容易误导。最新上半年归母</w:t>
      </w:r>
      <w:r>
        <w:rPr/>
        <w:t>9.3220</w:t>
      </w:r>
      <w:r>
        <w:rPr/>
        <w:t>亿元乘二是</w:t>
      </w:r>
      <w:r>
        <w:rPr/>
        <w:t>18.6440</w:t>
      </w:r>
      <w:r>
        <w:rPr/>
        <w:t>亿元，只是一种粗参考，不能称全年预测。本文年底基准归母</w:t>
      </w:r>
      <w:r>
        <w:rPr/>
        <w:t>17.3142</w:t>
      </w:r>
      <w:r>
        <w:rPr/>
        <w:t>亿元低于简单年化值，也低于</w:t>
      </w:r>
      <w:r>
        <w:rPr/>
        <w:t>2025</w:t>
      </w:r>
      <w:r>
        <w:rPr/>
        <w:t>全年，明确保留后续旧品价格压力和新品推广费用，避免凭近期批准使盈利立刻回到高点。</w:t>
      </w:r>
    </w:p>
    <w:p>
      <w:pPr>
        <w:pStyle w:val="Normal"/>
        <w:rPr/>
      </w:pPr>
      <w:r>
        <w:rPr/>
        <w:t>上半年归母与扣非差</w:t>
      </w:r>
      <w:r>
        <w:rPr/>
        <w:t>0.4200</w:t>
      </w:r>
      <w:r>
        <w:rPr/>
        <w:t>亿元，非经常性占归母约</w:t>
      </w:r>
      <w:r>
        <w:rPr/>
        <w:t>4.5%</w:t>
      </w:r>
      <w:r>
        <w:rPr/>
        <w:t>，所以扣非下滑仍是分析核心。投资收益</w:t>
      </w:r>
      <w:r>
        <w:rPr/>
        <w:t>0.8430</w:t>
      </w:r>
      <w:r>
        <w:rPr/>
        <w:t>亿元由权益法和金融资产等组成，不能将全部投资收益当经营产品利润，也不能一概全部剔除后又在估值加回同一投资资产。较合理做法是说明来源、持续性和归母权益，正常化预测不依赖金融资产价格持续上涨。本章主</w:t>
      </w:r>
      <w:r>
        <w:rPr/>
        <w:t>PE</w:t>
      </w:r>
      <w:r>
        <w:rPr/>
        <w:t>没有额外加净现金和参股市值，避免投资收益与资产价值双重计算，但完整分部现金流模型仍待补。</w:t>
      </w:r>
    </w:p>
    <w:p>
      <w:pPr>
        <w:pStyle w:val="Normal"/>
        <w:rPr/>
      </w:pPr>
      <w:r>
        <w:rPr/>
        <w:t>整体毛利率</w:t>
      </w:r>
      <w:r>
        <w:rPr/>
        <w:t>61.28%</w:t>
      </w:r>
      <w:r>
        <w:rPr/>
        <w:t>，下降</w:t>
      </w:r>
      <w:r>
        <w:rPr/>
        <w:t>4.74</w:t>
      </w:r>
      <w:r>
        <w:rPr/>
        <w:t>个百分点，主要高毛利化学制剂销量和价格变化对毛利结构有重要影响。销售费用</w:t>
      </w:r>
      <w:r>
        <w:rPr/>
        <w:t>11.4813</w:t>
      </w:r>
      <w:r>
        <w:rPr/>
        <w:t>亿元下降</w:t>
      </w:r>
      <w:r>
        <w:rPr/>
        <w:t>33.89%</w:t>
      </w:r>
      <w:r>
        <w:rPr/>
        <w:t>，管理费用</w:t>
      </w:r>
      <w:r>
        <w:rPr/>
        <w:t>2.6835</w:t>
      </w:r>
      <w:r>
        <w:rPr/>
        <w:t>亿元也下降，费用缩减部分缓冲盈利，但不足阻止归母显著下滑。不能把费用减少全部解释为效率提升；收入减少、产品结构和渠道调整也可能同步减少费用。新品上市后销售费用可能重新增加，基准未来净利率温和恢复需要新收入覆盖新增推广，不能同时假设收入加速和费用继续无条件缩减。</w:t>
      </w:r>
    </w:p>
    <w:p>
      <w:pPr>
        <w:pStyle w:val="Normal"/>
        <w:rPr/>
      </w:pPr>
      <w:r>
        <w:rPr/>
        <w:t>财务费用从上期净收益</w:t>
      </w:r>
      <w:r>
        <w:rPr/>
        <w:t>1.6512</w:t>
      </w:r>
      <w:r>
        <w:rPr/>
        <w:t>亿元转为费用</w:t>
      </w:r>
      <w:r>
        <w:rPr/>
        <w:t>0.1265</w:t>
      </w:r>
      <w:r>
        <w:rPr/>
        <w:t>亿元，变化与利息收入减少和汇兑损失有关。期内利息收入</w:t>
      </w:r>
      <w:r>
        <w:rPr/>
        <w:t>0.4983</w:t>
      </w:r>
      <w:r>
        <w:rPr/>
        <w:t>亿元，上年同期</w:t>
      </w:r>
      <w:r>
        <w:rPr/>
        <w:t>1.7524</w:t>
      </w:r>
      <w:r>
        <w:rPr/>
        <w:t>亿元；汇兑损失</w:t>
      </w:r>
      <w:r>
        <w:rPr/>
        <w:t>0.3837</w:t>
      </w:r>
      <w:r>
        <w:rPr/>
        <w:t>亿元，上期为收益</w:t>
      </w:r>
      <w:r>
        <w:rPr/>
        <w:t>0.2213</w:t>
      </w:r>
      <w:r>
        <w:rPr/>
        <w:t>亿元。现金资产收益下降同样是股东利润的真实变化，不能为论证主营改善永久忽略。未来利率和货币配置正常化可能减轻波动，模型基准不依赖汇兑收益重复出现，也不把剔除财务项后更高的利润称法定归母。</w:t>
      </w:r>
    </w:p>
    <w:p>
      <w:pPr>
        <w:pStyle w:val="Normal"/>
        <w:rPr/>
      </w:pPr>
      <w:r>
        <w:rPr/>
        <w:t>研发管理披露投入</w:t>
      </w:r>
      <w:r>
        <w:rPr/>
        <w:t>3.8150</w:t>
      </w:r>
      <w:r>
        <w:rPr/>
        <w:t>亿元、下降</w:t>
      </w:r>
      <w:r>
        <w:rPr/>
        <w:t>22.23%</w:t>
      </w:r>
      <w:r>
        <w:rPr/>
        <w:t>，财报注释费用化</w:t>
      </w:r>
      <w:r>
        <w:rPr/>
        <w:t>3.5802</w:t>
      </w:r>
      <w:r>
        <w:rPr/>
        <w:t>亿元、内部资本化</w:t>
      </w:r>
      <w:r>
        <w:rPr/>
        <w:t>0.1974</w:t>
      </w:r>
      <w:r>
        <w:rPr/>
        <w:t>亿元、外购在研资本化</w:t>
      </w:r>
      <w:r>
        <w:rPr/>
        <w:t>0.1677</w:t>
      </w:r>
      <w:r>
        <w:rPr/>
        <w:t>亿元，总计</w:t>
      </w:r>
      <w:r>
        <w:rPr/>
        <w:t>3.9453</w:t>
      </w:r>
      <w:r>
        <w:rPr/>
        <w:t>亿元。两个总额的范围并不一致，当前缺少完整调节桥，本文分别记录，不强行说全部费用化或用管理口径推算精确资本化比例。开发资产</w:t>
      </w:r>
      <w:r>
        <w:rPr/>
        <w:t>4.0138</w:t>
      </w:r>
      <w:r>
        <w:rPr/>
        <w:t>亿元是存量，不能当半年投入。降低研发额也不能单独给效率高分，需要看完成阶段、未来项目质量和成本是否转到其他账户。</w:t>
      </w:r>
    </w:p>
    <w:p>
      <w:pPr>
        <w:pStyle w:val="Normal"/>
        <w:rPr/>
      </w:pPr>
      <w:r>
        <w:rPr/>
        <w:t>股权激励与员工持股是员工和股东利益安排，也是实际成本和治理问题。中报第二、第三期持股计划分别约</w:t>
      </w:r>
      <w:r>
        <w:rPr/>
        <w:t>205.77</w:t>
      </w:r>
      <w:r>
        <w:rPr/>
        <w:t>万、</w:t>
      </w:r>
      <w:r>
        <w:rPr/>
        <w:t>207.71</w:t>
      </w:r>
      <w:r>
        <w:rPr/>
        <w:t>万股，约占公司各</w:t>
      </w:r>
      <w:r>
        <w:rPr/>
        <w:t>0.23%</w:t>
      </w:r>
      <w:r>
        <w:rPr/>
        <w:t>，第二期存续延长至</w:t>
      </w:r>
      <w:r>
        <w:rPr/>
        <w:t>2027</w:t>
      </w:r>
      <w:r>
        <w:rPr/>
        <w:t>年</w:t>
      </w:r>
      <w:r>
        <w:rPr/>
        <w:t>8</w:t>
      </w:r>
      <w:r>
        <w:rPr/>
        <w:t>月。这些既有持股不代表即将新增发行，不能再加到当前</w:t>
      </w:r>
      <w:r>
        <w:rPr/>
        <w:t>88790.72</w:t>
      </w:r>
      <w:r>
        <w:rPr/>
        <w:t>万总股数。未来新授予仍可能稀释，模型提供分母敏感性而不预设永远无变化。评估奖励应看业绩条件、回报与管理层决策，不能把所有激励费用当非现金就永久从股东利润删除。</w:t>
      </w:r>
    </w:p>
    <w:p>
      <w:pPr>
        <w:pStyle w:val="Heading2"/>
        <w:rPr/>
      </w:pPr>
      <w:r>
        <w:rPr>
          <w:color w:val="000000"/>
        </w:rPr>
        <w:t>现金流 债务与可分配现金</w:t>
      </w:r>
    </w:p>
    <w:p>
      <w:pPr>
        <w:pStyle w:val="Normal"/>
        <w:rPr/>
      </w:pPr>
      <w:r>
        <w:rPr/>
        <w:t>上半年经营现金流</w:t>
      </w:r>
      <w:r>
        <w:rPr/>
        <w:t>17.6293</w:t>
      </w:r>
      <w:r>
        <w:rPr/>
        <w:t>亿元，同比增长</w:t>
      </w:r>
      <w:r>
        <w:rPr/>
        <w:t>4.50%</w:t>
      </w:r>
      <w:r>
        <w:rPr/>
        <w:t>，明显高于归母</w:t>
      </w:r>
      <w:r>
        <w:rPr/>
        <w:t>9.3220</w:t>
      </w:r>
      <w:r>
        <w:rPr/>
        <w:t>亿元，显示现金回收对当前经营提供支持。然而它并不直接证明利润已经恢复，销售回款可能来自前期应收和库存变化，经营支付减少也会影响当期现金。收入同比下降而现金流增长更需检查营运资本；不能机械把现金流乘二当永续可分配利润。支付给供应商、推广机构和税务的时点可能跨期，现金质量评价要连接余额和支付承诺。</w:t>
      </w:r>
    </w:p>
    <w:p>
      <w:pPr>
        <w:pStyle w:val="Normal"/>
        <w:rPr/>
      </w:pPr>
      <w:r>
        <w:rPr/>
        <w:t>购置固定、无形及其他长期资产现金</w:t>
      </w:r>
      <w:r>
        <w:rPr/>
        <w:t>2.0472</w:t>
      </w:r>
      <w:r>
        <w:rPr/>
        <w:t>亿元，经营现金减此得到</w:t>
      </w:r>
      <w:r>
        <w:rPr/>
        <w:t>15.5821</w:t>
      </w:r>
      <w:r>
        <w:rPr/>
        <w:t>亿元，只是本章定义的经营后资本支出现金，包含合并子公司且未扣少数股东和收购支出。取得子公司支付净额</w:t>
      </w:r>
      <w:r>
        <w:rPr/>
        <w:t>15.5716</w:t>
      </w:r>
      <w:r>
        <w:rPr/>
        <w:t>亿元应另列，不应混在维护资本开支，也不能在分析“自由现金”时完全消失。若以包括收购的股东现金衡量，现金余量明显降低。理财收回和保证金解冻造成投资流入也不是经营创造的新增盈利，必须避免把资产形态变化当现金流成长。</w:t>
      </w:r>
    </w:p>
    <w:p>
      <w:pPr>
        <w:pStyle w:val="Normal"/>
        <w:rPr/>
      </w:pPr>
      <w:r>
        <w:rPr/>
        <w:t>期末货币资金</w:t>
      </w:r>
      <w:r>
        <w:rPr/>
        <w:t>74.4078</w:t>
      </w:r>
      <w:r>
        <w:rPr/>
        <w:t>亿元，其中现金及等价物</w:t>
      </w:r>
      <w:r>
        <w:rPr/>
        <w:t>73.5091</w:t>
      </w:r>
      <w:r>
        <w:rPr/>
        <w:t>亿元、受限保证金</w:t>
      </w:r>
      <w:r>
        <w:rPr/>
        <w:t>0.0397</w:t>
      </w:r>
      <w:r>
        <w:rPr/>
        <w:t>亿元、期限较长但剩余不到一年的定期存款</w:t>
      </w:r>
      <w:r>
        <w:rPr/>
        <w:t>0.8418</w:t>
      </w:r>
      <w:r>
        <w:rPr/>
        <w:t>亿元及应计利息</w:t>
      </w:r>
      <w:r>
        <w:rPr/>
        <w:t>0.0173</w:t>
      </w:r>
      <w:r>
        <w:rPr/>
        <w:t>亿元。现金等价物定义已扣非随时可用资金，不能用货币资金全额称即时现金。交易性金融资产</w:t>
      </w:r>
      <w:r>
        <w:rPr/>
        <w:t>3.8259</w:t>
      </w:r>
      <w:r>
        <w:rPr/>
        <w:t>亿元和其他权益工具</w:t>
      </w:r>
      <w:r>
        <w:rPr/>
        <w:t>18.5625</w:t>
      </w:r>
      <w:r>
        <w:rPr/>
        <w:t>亿元也不是现金等价物，后者含股价及流动性风险。本文保守净现金桥只采用现金等价物，资产投资价值不再直接加到</w:t>
      </w:r>
      <w:r>
        <w:rPr/>
        <w:t>PE</w:t>
      </w:r>
      <w:r>
        <w:rPr/>
        <w:t>价。</w:t>
      </w:r>
    </w:p>
    <w:p>
      <w:pPr>
        <w:pStyle w:val="Normal"/>
        <w:rPr/>
      </w:pPr>
      <w:r>
        <w:rPr/>
        <w:t>银行短债</w:t>
      </w:r>
      <w:r>
        <w:rPr/>
        <w:t>33.9582</w:t>
      </w:r>
      <w:r>
        <w:rPr/>
        <w:t>亿元、长债</w:t>
      </w:r>
      <w:r>
        <w:rPr/>
        <w:t>0.2590</w:t>
      </w:r>
      <w:r>
        <w:rPr/>
        <w:t>亿元，租赁长期</w:t>
      </w:r>
      <w:r>
        <w:rPr/>
        <w:t>0.1848</w:t>
      </w:r>
      <w:r>
        <w:rPr/>
        <w:t>亿元、当期到期</w:t>
      </w:r>
      <w:r>
        <w:rPr/>
        <w:t>0.1591</w:t>
      </w:r>
      <w:r>
        <w:rPr/>
        <w:t>亿元，总银行和租债</w:t>
      </w:r>
      <w:r>
        <w:rPr/>
        <w:t>34.5611</w:t>
      </w:r>
      <w:r>
        <w:rPr/>
        <w:t>亿元。现金等价物减这些约</w:t>
      </w:r>
      <w:r>
        <w:rPr/>
        <w:t>38.9480</w:t>
      </w:r>
      <w:r>
        <w:rPr/>
        <w:t>亿元。上年长债下降不能被写成全面去杠杆，因为短债增加；融资期限变化仍需偿还和续借管理。银行借款不算很高净杠杆，但现金集团分布、少数股东和付款用途使全部净现金并非</w:t>
      </w:r>
      <w:r>
        <w:rPr/>
        <w:t>H</w:t>
      </w:r>
      <w:r>
        <w:rPr/>
        <w:t>股股东可以立即分得的现金，安全垫要结合支付义务解释。</w:t>
      </w:r>
    </w:p>
    <w:p>
      <w:pPr>
        <w:pStyle w:val="Normal"/>
        <w:rPr/>
      </w:pPr>
      <w:r>
        <w:rPr/>
        <w:t>推广费用应付</w:t>
      </w:r>
      <w:r>
        <w:rPr/>
        <w:t>25.3753</w:t>
      </w:r>
      <w:r>
        <w:rPr/>
        <w:t>亿元、应付股利</w:t>
      </w:r>
      <w:r>
        <w:rPr/>
        <w:t>4.4414</w:t>
      </w:r>
      <w:r>
        <w:rPr/>
        <w:t>亿元，提示现金余额有对应支付责任。前者不全部是计息债，不能与银行债不加区分相加当企业净债务；但讨论可分配资金时也不能忽略。较高推广应付需要关注账期、结算和合规，若集中付款将影响未来</w:t>
      </w:r>
      <w:r>
        <w:rPr/>
        <w:t>OCF</w:t>
      </w:r>
      <w:r>
        <w:rPr/>
        <w:t>。公司持有现金并不意味着能一边持续特别股息、一边无成本扩张研发与并购。模型没有假设净现金永远不减少，未来盈利和分红必须在资本分配约束下共同判断。</w:t>
      </w:r>
    </w:p>
    <w:p>
      <w:pPr>
        <w:pStyle w:val="Normal"/>
        <w:rPr/>
      </w:pPr>
      <w:r>
        <w:rPr/>
        <w:t>资产总额</w:t>
      </w:r>
      <w:r>
        <w:rPr/>
        <w:t>235.9149</w:t>
      </w:r>
      <w:r>
        <w:rPr/>
        <w:t>亿元、负债</w:t>
      </w:r>
      <w:r>
        <w:rPr/>
        <w:t>89.9376</w:t>
      </w:r>
      <w:r>
        <w:rPr/>
        <w:t>亿元，归母权益</w:t>
      </w:r>
      <w:r>
        <w:rPr/>
        <w:t>133.6583</w:t>
      </w:r>
      <w:r>
        <w:rPr/>
        <w:t>亿元、少数权益</w:t>
      </w:r>
      <w:r>
        <w:rPr/>
        <w:t>12.3190</w:t>
      </w:r>
      <w:r>
        <w:rPr/>
        <w:t>亿元。集团净资产与归母净资产不同，</w:t>
      </w:r>
      <w:r>
        <w:rPr/>
        <w:t>H</w:t>
      </w:r>
      <w:r>
        <w:rPr/>
        <w:t>股每股账面价值要用归母除全部发行人股数，不能用集团权益除</w:t>
      </w:r>
      <w:r>
        <w:rPr/>
        <w:t>H</w:t>
      </w:r>
      <w:r>
        <w:rPr/>
        <w:t>股数。按研究汇率</w:t>
      </w:r>
      <w:r>
        <w:rPr/>
        <w:t>1.10</w:t>
      </w:r>
      <w:r>
        <w:rPr/>
        <w:t>换算，当前股价相对上半年归母账面约</w:t>
      </w:r>
      <w:r>
        <w:rPr/>
        <w:t>1.34</w:t>
      </w:r>
      <w:r>
        <w:rPr/>
        <w:t>倍，行情的某些</w:t>
      </w:r>
      <w:r>
        <w:rPr/>
        <w:t>PB</w:t>
      </w:r>
      <w:r>
        <w:rPr/>
        <w:t>字段明显未核口径，不能沿用</w:t>
      </w:r>
      <w:r>
        <w:rPr/>
        <w:t>5.94</w:t>
      </w:r>
      <w:r>
        <w:rPr/>
        <w:t>。账面价值作为交叉参考，不是价格底部，因为投资资产波动、开发减值和经营回报降低都能使账面价值减少。</w:t>
      </w:r>
    </w:p>
    <w:p>
      <w:pPr>
        <w:pStyle w:val="Normal"/>
        <w:rPr/>
      </w:pPr>
      <w:r>
        <w:rPr/>
        <w:t>现金跑道概念对持续盈利企业不如对亏损创新药贴切。丽珠现阶段有经营现金和净银行现金，融资短期压力相对可控，但不能因此无条件排除现金风险。若旧品毛利快速下降而新品销售费用、研发、并购和分红同时维持高位，净现金会下降。研究重点是每年的可持续资本分配是否由真实归母现金支持，以及融资期限和债权限制是否合理。判断财务质量较好只意味着风险缓冲存在，不意味着悲观股价情景不可能发生。</w:t>
      </w:r>
    </w:p>
    <w:p>
      <w:pPr>
        <w:pStyle w:val="Heading2"/>
        <w:rPr/>
      </w:pPr>
      <w:r>
        <w:rPr>
          <w:color w:val="000000"/>
        </w:rPr>
        <w:t>越南</w:t>
      </w:r>
      <w:r>
        <w:rPr>
          <w:color w:val="000000"/>
        </w:rPr>
        <w:t>IMP</w:t>
      </w:r>
      <w:r>
        <w:rPr>
          <w:color w:val="000000"/>
        </w:rPr>
        <w:t>与国际化</w:t>
      </w:r>
    </w:p>
    <w:p>
      <w:pPr>
        <w:pStyle w:val="Normal"/>
        <w:rPr/>
      </w:pPr>
      <w:r>
        <w:rPr/>
        <w:t>公司</w:t>
      </w:r>
      <w:r>
        <w:rPr/>
        <w:t>2026</w:t>
      </w:r>
      <w:r>
        <w:rPr/>
        <w:t>年</w:t>
      </w:r>
      <w:r>
        <w:rPr/>
        <w:t>5</w:t>
      </w:r>
      <w:r>
        <w:rPr/>
        <w:t>月</w:t>
      </w:r>
      <w:r>
        <w:rPr/>
        <w:t>8</w:t>
      </w:r>
      <w:r>
        <w:rPr/>
        <w:t>日完成</w:t>
      </w:r>
      <w:r>
        <w:rPr/>
        <w:t>IMP</w:t>
      </w:r>
      <w:r>
        <w:rPr/>
        <w:t>收购并获得控制，披露经济持股约</w:t>
      </w:r>
      <w:r>
        <w:rPr/>
        <w:t>67.87%</w:t>
      </w:r>
      <w:r>
        <w:rPr/>
        <w:t>、表决权约</w:t>
      </w:r>
      <w:r>
        <w:rPr/>
        <w:t>67.88%</w:t>
      </w:r>
      <w:r>
        <w:rPr/>
        <w:t>，两者的近似差异不能擅自统一到任意数字。收购成本</w:t>
      </w:r>
      <w:r>
        <w:rPr/>
        <w:t>15.4944</w:t>
      </w:r>
      <w:r>
        <w:rPr/>
        <w:t>亿元、确认商誉</w:t>
      </w:r>
      <w:r>
        <w:rPr/>
        <w:t>9.6962</w:t>
      </w:r>
      <w:r>
        <w:rPr/>
        <w:t>亿元。交易为获得当地药厂、渠道和质量体系基础，国际化从产品出口走向实体经营，有战略合理性。但有欧盟</w:t>
      </w:r>
      <w:r>
        <w:rPr/>
        <w:t>GMP</w:t>
      </w:r>
      <w:r>
        <w:rPr/>
        <w:t>资质不等于已取得所有海外国家市场准入，注册、医院渠道和本地经营仍需独立推进，不能把东南亚人口总数当可立即服务的市场。</w:t>
      </w:r>
    </w:p>
    <w:p>
      <w:pPr>
        <w:pStyle w:val="Normal"/>
        <w:rPr/>
      </w:pPr>
      <w:r>
        <w:rPr/>
        <w:t>上半年境外收入</w:t>
      </w:r>
      <w:r>
        <w:rPr/>
        <w:t>11.2899</w:t>
      </w:r>
      <w:r>
        <w:rPr/>
        <w:t>亿元、增长</w:t>
      </w:r>
      <w:r>
        <w:rPr/>
        <w:t>12.43%</w:t>
      </w:r>
      <w:r>
        <w:rPr/>
        <w:t>，其中</w:t>
      </w:r>
      <w:r>
        <w:rPr/>
        <w:t>IMP</w:t>
      </w:r>
      <w:r>
        <w:rPr/>
        <w:t>购买日至期末收入</w:t>
      </w:r>
      <w:r>
        <w:rPr/>
        <w:t>0.9684</w:t>
      </w:r>
      <w:r>
        <w:rPr/>
        <w:t>亿元，已包含在合并口径。若粗略从境外当期扣掉该新增并表收入，剩余约</w:t>
      </w:r>
      <w:r>
        <w:rPr/>
        <w:t>10.3215</w:t>
      </w:r>
      <w:r>
        <w:rPr/>
        <w:t>亿元，相对上期</w:t>
      </w:r>
      <w:r>
        <w:rPr/>
        <w:t>10.0417</w:t>
      </w:r>
      <w:r>
        <w:rPr/>
        <w:t>亿元只增长约</w:t>
      </w:r>
      <w:r>
        <w:rPr/>
        <w:t>2.8%</w:t>
      </w:r>
      <w:r>
        <w:rPr/>
        <w:t>，此为简单范围调整并非完整恒定汇率有机增长。由此不能将全部</w:t>
      </w:r>
      <w:r>
        <w:rPr/>
        <w:t>12.43%</w:t>
      </w:r>
      <w:r>
        <w:rPr/>
        <w:t>称出口加速。收购前后的会计和汇率也会影响比较，本章明确给出算式帮助识别并表贡献，却不声称取得完整同店或恒汇率桥。</w:t>
      </w:r>
    </w:p>
    <w:p>
      <w:pPr>
        <w:pStyle w:val="Normal"/>
        <w:rPr/>
      </w:pPr>
      <w:r>
        <w:rPr/>
        <w:t>IMP</w:t>
      </w:r>
      <w:r>
        <w:rPr/>
        <w:t>购买日至期末净利润为负</w:t>
      </w:r>
      <w:r>
        <w:rPr/>
        <w:t>0.1409</w:t>
      </w:r>
      <w:r>
        <w:rPr/>
        <w:t>亿元，不能把它误读成目标公司完整半年的亏损或给丽珠全部归母扣损。收购公允价值摊销、库存变化和整合费用可能影响合并短期利润，需要完整明细才能区分。本章只确认最新合并口径未显示立刻的利润回报，不根据原公司历史公开盈利推定收购后必然贡献。完整目标年利润、可辨认资产估值及经营现金需要在后续财报逐项核验，未核信息不成为基准盈利跳升的来源。</w:t>
      </w:r>
    </w:p>
    <w:p>
      <w:pPr>
        <w:pStyle w:val="Normal"/>
        <w:rPr/>
      </w:pPr>
      <w:r>
        <w:rPr/>
        <w:t>商誉从</w:t>
      </w:r>
      <w:r>
        <w:rPr/>
        <w:t>1.2491</w:t>
      </w:r>
      <w:r>
        <w:rPr/>
        <w:t>亿元升到</w:t>
      </w:r>
      <w:r>
        <w:rPr/>
        <w:t>10.9453</w:t>
      </w:r>
      <w:r>
        <w:rPr/>
        <w:t>亿元，多数增量来自</w:t>
      </w:r>
      <w:r>
        <w:rPr/>
        <w:t>IMP</w:t>
      </w:r>
      <w:r>
        <w:rPr/>
        <w:t>。商誉反映购买价格超过取得净资产份额的部分，价值需由未来现金流支持；不是有生产资格就永远不会减值。风险包括本地产品价格、招标、管理文化、汇率、融资和整合效率。若收益不足，利润模型必须降低，商誉减值会进一步影响法定盈利和净资产。不能为了“正常化”长期把所有收购摊销和减值加回，同时又夸大海外利润增长，这会高估经营资本回报。</w:t>
      </w:r>
    </w:p>
    <w:p>
      <w:pPr>
        <w:pStyle w:val="Normal"/>
        <w:rPr/>
      </w:pPr>
      <w:r>
        <w:rPr/>
        <w:t>印尼原料药工厂和越南渠道共同提供区域运营基础，但海外政策对原料药、成品药和本地生产适用不同。药品原产地、注册质量、环保和供应链法律成本需要具体审查，没有原文核验不能声称某项海外保护政策完全豁免。海外收入带来货币多样性，也可能引入当地货币贬值和利润汇回风险。美元成本与人民币、越南盾等销售未必自然对冲，投资者应区分集团会计换算、实际现金兑换以及</w:t>
      </w:r>
      <w:r>
        <w:rPr/>
        <w:t>H</w:t>
      </w:r>
      <w:r>
        <w:rPr/>
        <w:t>股投资者的本币回报。</w:t>
      </w:r>
    </w:p>
    <w:p>
      <w:pPr>
        <w:pStyle w:val="Heading2"/>
        <w:rPr/>
      </w:pPr>
      <w:r>
        <w:rPr>
          <w:color w:val="000000"/>
        </w:rPr>
        <w:t>新北江关联交易与资本配置</w:t>
      </w:r>
    </w:p>
    <w:p>
      <w:pPr>
        <w:pStyle w:val="Normal"/>
        <w:rPr/>
      </w:pPr>
      <w:r>
        <w:rPr/>
        <w:t>8</w:t>
      </w:r>
      <w:r>
        <w:rPr/>
        <w:t>月</w:t>
      </w:r>
      <w:r>
        <w:rPr/>
        <w:t>21</w:t>
      </w:r>
      <w:r>
        <w:rPr/>
        <w:t>日已签购买新北江</w:t>
      </w:r>
      <w:r>
        <w:rPr/>
        <w:t>3.5044%</w:t>
      </w:r>
      <w:r>
        <w:rPr/>
        <w:t>股份，价格</w:t>
      </w:r>
      <w:r>
        <w:rPr/>
        <w:t>1.066958</w:t>
      </w:r>
      <w:r>
        <w:rPr/>
        <w:t>亿元，交易拟使持股由</w:t>
      </w:r>
      <w:r>
        <w:rPr/>
        <w:t>87.1399%</w:t>
      </w:r>
      <w:r>
        <w:rPr/>
        <w:t>升到</w:t>
      </w:r>
      <w:r>
        <w:rPr/>
        <w:t>90.6443%</w:t>
      </w:r>
      <w:r>
        <w:rPr/>
        <w:t>。目标公司本来已经并表，交易不会带来同样比例的集团新增收入，主要变化是少数股东权益与归母收益份额。公告列明关联董事及员工持股平台、独立董事审议和关联回避，这些程序有助于透明，但程序通过不能代替经济价值判断。当前原件未核截止日实际交割和付款，本文不将协议已签写成现金已付或权益比例已实施。</w:t>
      </w:r>
    </w:p>
    <w:p>
      <w:pPr>
        <w:pStyle w:val="Normal"/>
        <w:rPr/>
      </w:pPr>
      <w:r>
        <w:rPr/>
        <w:t>新北江</w:t>
      </w:r>
      <w:r>
        <w:rPr/>
        <w:t>2025</w:t>
      </w:r>
      <w:r>
        <w:rPr/>
        <w:t>归母净利润</w:t>
      </w:r>
      <w:r>
        <w:rPr/>
        <w:t>5.4442</w:t>
      </w:r>
      <w:r>
        <w:rPr/>
        <w:t>亿元，上半年</w:t>
      </w:r>
      <w:r>
        <w:rPr/>
        <w:t>2.7534</w:t>
      </w:r>
      <w:r>
        <w:rPr/>
        <w:t>亿元，按新增权益简单乘</w:t>
      </w:r>
      <w:r>
        <w:rPr/>
        <w:t>2025</w:t>
      </w:r>
      <w:r>
        <w:rPr/>
        <w:t>利润约</w:t>
      </w:r>
      <w:r>
        <w:rPr/>
        <w:t>0.1908</w:t>
      </w:r>
      <w:r>
        <w:rPr/>
        <w:t>亿元，约占集团</w:t>
      </w:r>
      <w:r>
        <w:rPr/>
        <w:t>2025</w:t>
      </w:r>
      <w:r>
        <w:rPr/>
        <w:t>归母不到百分之一。这种计算只是收益敏感性，不是交易保证利润，因为目标未来盈利会变、完成时点影响归属、税费和内部结构也会变化。以约</w:t>
      </w:r>
      <w:r>
        <w:rPr/>
        <w:t>1.067</w:t>
      </w:r>
      <w:r>
        <w:rPr/>
        <w:t>亿元购买这部分静态盈利，表面约</w:t>
      </w:r>
      <w:r>
        <w:rPr/>
        <w:t>5.6</w:t>
      </w:r>
      <w:r>
        <w:rPr/>
        <w:t>倍，但历史盈利可能处周期高位；需看原料药价格和现金、环保资本支出，不能根据低静态倍数就给关联交易无限高分。</w:t>
      </w:r>
    </w:p>
    <w:p>
      <w:pPr>
        <w:pStyle w:val="Normal"/>
        <w:rPr/>
      </w:pPr>
      <w:r>
        <w:rPr/>
        <w:t>员工平台账面净资产采用持股成本法，与目标净资产不同，不应以平台低账面值推断受让价格一定过高。公告定价基于目标</w:t>
      </w:r>
      <w:r>
        <w:rPr/>
        <w:t>2025</w:t>
      </w:r>
      <w:r>
        <w:rPr/>
        <w:t>年末净资产，相当于新增份额的账面基准，是否划算还需权益分配和持续收益。员工退出、退休和岗位调整有合理背景，关联人员的利益安排则需要持续披露监督。本文既不因关联交易自动判为利益输送，也不完全接受公告的公允表述；将价格、权益、盈利和程序分开，是对中小股东更有用的评价。</w:t>
      </w:r>
    </w:p>
    <w:p>
      <w:pPr>
        <w:pStyle w:val="Normal"/>
        <w:rPr/>
      </w:pPr>
      <w:r>
        <w:rPr/>
        <w:t>董事长</w:t>
      </w:r>
      <w:r>
        <w:rPr/>
        <w:t>9</w:t>
      </w:r>
      <w:r>
        <w:rPr/>
        <w:t>月</w:t>
      </w:r>
      <w:r>
        <w:rPr/>
        <w:t>11</w:t>
      </w:r>
      <w:r>
        <w:rPr/>
        <w:t>日因退休辞任，刘大平接任，实际控制人仍为朱保国，公告明确无意见分歧。该变化不能写成实际控制权变更，也不能凭年轻管理层就预测经营重估。值得关注的是新管理层如何在集采后产品组合、研发优先级和国际化整合之间分配资本，业绩条件如何约束持股奖励，以及重大关联采购和投资是否透明。治理评分保留财务基础的优点，也给管理过渡、关联平台和大额金融投资设置观察要求，后续应以经营成果评价。</w:t>
      </w:r>
    </w:p>
    <w:p>
      <w:pPr>
        <w:pStyle w:val="Heading2"/>
        <w:rPr/>
      </w:pPr>
      <w:r>
        <w:rPr>
          <w:color w:val="000000"/>
        </w:rPr>
        <w:t>H</w:t>
      </w:r>
      <w:r>
        <w:rPr>
          <w:color w:val="000000"/>
        </w:rPr>
        <w:t>股分红 流动性与公司行动</w:t>
      </w:r>
    </w:p>
    <w:p>
      <w:pPr>
        <w:pStyle w:val="Normal"/>
        <w:rPr/>
      </w:pPr>
      <w:r>
        <w:rPr/>
        <w:t>特别中期股息每股人民币</w:t>
      </w:r>
      <w:r>
        <w:rPr/>
        <w:t>1.02</w:t>
      </w:r>
      <w:r>
        <w:rPr/>
        <w:t>元，</w:t>
      </w:r>
      <w:r>
        <w:rPr/>
        <w:t>9</w:t>
      </w:r>
      <w:r>
        <w:rPr/>
        <w:t>月</w:t>
      </w:r>
      <w:r>
        <w:rPr/>
        <w:t>24</w:t>
      </w:r>
      <w:r>
        <w:rPr/>
        <w:t>日股东批准、</w:t>
      </w:r>
      <w:r>
        <w:rPr/>
        <w:t>9</w:t>
      </w:r>
      <w:r>
        <w:rPr/>
        <w:t>月</w:t>
      </w:r>
      <w:r>
        <w:rPr/>
        <w:t>25</w:t>
      </w:r>
      <w:r>
        <w:rPr/>
        <w:t>日</w:t>
      </w:r>
      <w:r>
        <w:rPr/>
        <w:t>H</w:t>
      </w:r>
      <w:r>
        <w:rPr/>
        <w:t>公告更新汇率，派发每股</w:t>
      </w:r>
      <w:r>
        <w:rPr/>
        <w:t>1.185</w:t>
      </w:r>
      <w:r>
        <w:rPr/>
        <w:t>港元，除净</w:t>
      </w:r>
      <w:r>
        <w:rPr/>
        <w:t>10</w:t>
      </w:r>
      <w:r>
        <w:rPr/>
        <w:t>月</w:t>
      </w:r>
      <w:r>
        <w:rPr/>
        <w:t>14</w:t>
      </w:r>
      <w:r>
        <w:rPr/>
        <w:t>日、记录</w:t>
      </w:r>
      <w:r>
        <w:rPr/>
        <w:t>10</w:t>
      </w:r>
      <w:r>
        <w:rPr/>
        <w:t>月</w:t>
      </w:r>
      <w:r>
        <w:rPr/>
        <w:t>15</w:t>
      </w:r>
      <w:r>
        <w:rPr/>
        <w:t>日、付款</w:t>
      </w:r>
      <w:r>
        <w:rPr/>
        <w:t>11</w:t>
      </w:r>
      <w:r>
        <w:rPr/>
        <w:t>月</w:t>
      </w:r>
      <w:r>
        <w:rPr/>
        <w:t>3</w:t>
      </w:r>
      <w:r>
        <w:rPr/>
        <w:t>日。</w:t>
      </w:r>
      <w:r>
        <w:rPr/>
        <w:t>10</w:t>
      </w:r>
      <w:r>
        <w:rPr/>
        <w:t>月</w:t>
      </w:r>
      <w:r>
        <w:rPr/>
        <w:t>9</w:t>
      </w:r>
      <w:r>
        <w:rPr/>
        <w:t>日价格包含资格，因此年底和半年含息回报计入未来</w:t>
      </w:r>
      <w:r>
        <w:rPr/>
        <w:t>1.185</w:t>
      </w:r>
      <w:r>
        <w:rPr/>
        <w:t>。</w:t>
      </w:r>
      <w:r>
        <w:rPr/>
        <w:t>A</w:t>
      </w:r>
      <w:r>
        <w:rPr/>
        <w:t>股实施公告也有</w:t>
      </w:r>
      <w:r>
        <w:rPr/>
        <w:t>10</w:t>
      </w:r>
      <w:r>
        <w:rPr/>
        <w:t>月</w:t>
      </w:r>
      <w:r>
        <w:rPr/>
        <w:t>14</w:t>
      </w:r>
      <w:r>
        <w:rPr/>
        <w:t>日除息，但</w:t>
      </w:r>
      <w:r>
        <w:rPr/>
        <w:t>H</w:t>
      </w:r>
      <w:r>
        <w:rPr/>
        <w:t>日期在此由</w:t>
      </w:r>
      <w:r>
        <w:rPr/>
        <w:t>H</w:t>
      </w:r>
      <w:r>
        <w:rPr/>
        <w:t>原件独立核实，不能因为巧合相同而形成通用规则。未来买入若已过除净日，必须更新价格和股息资格，不能继续给同一未来股息。</w:t>
      </w:r>
    </w:p>
    <w:p>
      <w:pPr>
        <w:pStyle w:val="Normal"/>
        <w:rPr/>
      </w:pPr>
      <w:r>
        <w:rPr/>
        <w:t>特别股息税前占基准股价约</w:t>
      </w:r>
      <w:r>
        <w:rPr/>
        <w:t>5.35%</w:t>
      </w:r>
      <w:r>
        <w:rPr/>
        <w:t>，是现金回报，但除净时股价会按现金流出作市场调整，不是凭持有数天就多获得无风险</w:t>
      </w:r>
      <w:r>
        <w:rPr/>
        <w:t>5.35%</w:t>
      </w:r>
      <w:r>
        <w:rPr/>
        <w:t>。本文价格目标在未来为除净后报价，股息另加，使价格回报和总回报透明。公告列非居民企业及内地个人等代扣税，具体投资账户、互联互通和税务身份仍影响到手现金。研究主表税前口径不能冒充每位投资者净回报，税率敏感需要只调整股息部分，不对全部股价升幅统一扣公告分红税。</w:t>
      </w:r>
    </w:p>
    <w:p>
      <w:pPr>
        <w:pStyle w:val="Normal"/>
        <w:rPr/>
      </w:pPr>
      <w:r>
        <w:rPr/>
        <w:t>2025</w:t>
      </w:r>
      <w:r>
        <w:rPr/>
        <w:t>年终股利相关</w:t>
      </w:r>
      <w:r>
        <w:rPr/>
        <w:t>H</w:t>
      </w:r>
      <w:r>
        <w:rPr/>
        <w:t>股现金</w:t>
      </w:r>
      <w:r>
        <w:rPr/>
        <w:t>1.643</w:t>
      </w:r>
      <w:r>
        <w:rPr/>
        <w:t>港元已在本研究基准前除净，历史复权包含此行动，未来收益不得再次计入。本模型未来一年总股息基准</w:t>
      </w:r>
      <w:r>
        <w:rPr/>
        <w:t>2.505</w:t>
      </w:r>
      <w:r>
        <w:rPr/>
        <w:t>港元，其中</w:t>
      </w:r>
      <w:r>
        <w:rPr/>
        <w:t>1.185</w:t>
      </w:r>
      <w:r>
        <w:rPr/>
        <w:t>为已核特别股息、其余</w:t>
      </w:r>
      <w:r>
        <w:rPr/>
        <w:t>1.32</w:t>
      </w:r>
      <w:r>
        <w:rPr/>
        <w:t>为未来普通分红研究假设；后三、五年累计分别</w:t>
      </w:r>
      <w:r>
        <w:rPr/>
        <w:t>5</w:t>
      </w:r>
      <w:r>
        <w:rPr/>
        <w:t>和</w:t>
      </w:r>
      <w:r>
        <w:rPr/>
        <w:t>9</w:t>
      </w:r>
      <w:r>
        <w:rPr/>
        <w:t>港元，包含同一特别股息只一次。后续普通分红金额、审批和支付时点尚未公开，本章不称公司承诺。悲观累计较低，体现现金创造及资本需求压力，而非永远沿用过去高派息率。</w:t>
      </w:r>
    </w:p>
    <w:p>
      <w:pPr>
        <w:pStyle w:val="Normal"/>
        <w:rPr/>
      </w:pPr>
      <w:r>
        <w:rPr/>
        <w:t>9</w:t>
      </w:r>
      <w:r>
        <w:rPr/>
        <w:t>月月报于</w:t>
      </w:r>
      <w:r>
        <w:rPr/>
        <w:t>H</w:t>
      </w:r>
      <w:r>
        <w:rPr/>
        <w:t>市场</w:t>
      </w:r>
      <w:r>
        <w:rPr/>
        <w:t>10</w:t>
      </w:r>
      <w:r>
        <w:rPr/>
        <w:t>月</w:t>
      </w:r>
      <w:r>
        <w:rPr/>
        <w:t>7</w:t>
      </w:r>
      <w:r>
        <w:rPr/>
        <w:t>日呈交，巨潮</w:t>
      </w:r>
      <w:r>
        <w:rPr/>
        <w:t>10</w:t>
      </w:r>
      <w:r>
        <w:rPr/>
        <w:t>月</w:t>
      </w:r>
      <w:r>
        <w:rPr/>
        <w:t>9</w:t>
      </w:r>
      <w:r>
        <w:rPr/>
        <w:t>日转载，股数</w:t>
      </w:r>
      <w:r>
        <w:rPr/>
        <w:t>A588100054</w:t>
      </w:r>
      <w:r>
        <w:rPr/>
        <w:t>、</w:t>
      </w:r>
      <w:r>
        <w:rPr/>
        <w:t>H299807117</w:t>
      </w:r>
      <w:r>
        <w:rPr/>
        <w:t>、合计</w:t>
      </w:r>
      <w:r>
        <w:rPr/>
        <w:t>887907171</w:t>
      </w:r>
      <w:r>
        <w:rPr/>
        <w:t>，两类库存均零。财务归母利润属于全部股东，所以每股盈利要除全股；</w:t>
      </w:r>
      <w:r>
        <w:rPr/>
        <w:t>H</w:t>
      </w:r>
      <w:r>
        <w:rPr/>
        <w:t>单独市值约</w:t>
      </w:r>
      <w:r>
        <w:rPr/>
        <w:t>66.44</w:t>
      </w:r>
      <w:r>
        <w:rPr/>
        <w:t>亿港元只覆盖</w:t>
      </w:r>
      <w:r>
        <w:rPr/>
        <w:t>H</w:t>
      </w:r>
      <w:r>
        <w:rPr/>
        <w:t>类别，不可拿它除全集团利润得到三倍左右伪</w:t>
      </w:r>
      <w:r>
        <w:rPr/>
        <w:t>PE</w:t>
      </w:r>
      <w:r>
        <w:rPr/>
        <w:t>。用</w:t>
      </w:r>
      <w:r>
        <w:rPr/>
        <w:t>H</w:t>
      </w:r>
      <w:r>
        <w:rPr/>
        <w:t>价乘全部股数得到的是假设全部股按</w:t>
      </w:r>
      <w:r>
        <w:rPr/>
        <w:t>H</w:t>
      </w:r>
      <w:r>
        <w:rPr/>
        <w:t>价估值的权益参考，并不是两地实际总市值。</w:t>
      </w:r>
      <w:r>
        <w:rPr/>
        <w:t>A</w:t>
      </w:r>
      <w:r>
        <w:rPr/>
        <w:t>和</w:t>
      </w:r>
      <w:r>
        <w:rPr/>
        <w:t>H</w:t>
      </w:r>
      <w:r>
        <w:rPr/>
        <w:t>报价不同，两者经济权益和市场流动性也应分别理解。</w:t>
      </w:r>
    </w:p>
    <w:p>
      <w:pPr>
        <w:pStyle w:val="Normal"/>
        <w:rPr/>
      </w:pPr>
      <w:r>
        <w:rPr/>
        <w:t>H</w:t>
      </w:r>
      <w:r>
        <w:rPr/>
        <w:t>股</w:t>
      </w:r>
      <w:r>
        <w:rPr/>
        <w:t>10</w:t>
      </w:r>
      <w:r>
        <w:rPr/>
        <w:t>月</w:t>
      </w:r>
      <w:r>
        <w:rPr/>
        <w:t>9</w:t>
      </w:r>
      <w:r>
        <w:rPr/>
        <w:t>日成交</w:t>
      </w:r>
      <w:r>
        <w:rPr/>
        <w:t>132.4806</w:t>
      </w:r>
      <w:r>
        <w:rPr/>
        <w:t>万股、成交额</w:t>
      </w:r>
      <w:r>
        <w:rPr/>
        <w:t>2894.01</w:t>
      </w:r>
      <w:r>
        <w:rPr/>
        <w:t>万港元，较大科技龙头少很多。成交有限会使消息和边际资金对短期价格影响较大，买卖价差和冲击成本不能忽略。当前未核实际浮动股换手率，行情的某个字段不直接视作可信换手。全</w:t>
      </w:r>
      <w:r>
        <w:rPr/>
        <w:t>H</w:t>
      </w:r>
      <w:r>
        <w:rPr/>
        <w:t>股份和公开流通比例也不等同可交易自由浮动股，更不能把成交量除</w:t>
      </w:r>
      <w:r>
        <w:rPr/>
        <w:t>H</w:t>
      </w:r>
      <w:r>
        <w:rPr/>
        <w:t>总股当精确投资者持仓变化。本文不推断主力身份，不由缩量上涨声称机构吸筹。</w:t>
      </w:r>
    </w:p>
    <w:p>
      <w:pPr>
        <w:pStyle w:val="Heading2"/>
        <w:rPr/>
      </w:pPr>
      <w:r>
        <w:rPr>
          <w:color w:val="000000"/>
        </w:rPr>
        <w:t>半年日线趋势与观察价位</w:t>
      </w:r>
    </w:p>
    <w:p>
      <w:pPr>
        <w:pStyle w:val="Normal"/>
        <w:rPr/>
      </w:pPr>
      <w:r>
        <w:rPr/>
        <w:t>行情覆盖</w:t>
      </w:r>
      <w:r>
        <w:rPr/>
        <w:t>739</w:t>
      </w:r>
      <w:r>
        <w:rPr/>
        <w:t>个真实日线和</w:t>
      </w:r>
      <w:r>
        <w:rPr/>
        <w:t>157</w:t>
      </w:r>
      <w:r>
        <w:rPr/>
        <w:t>个周线，起点</w:t>
      </w:r>
      <w:r>
        <w:rPr/>
        <w:t>2023</w:t>
      </w:r>
      <w:r>
        <w:rPr/>
        <w:t>年</w:t>
      </w:r>
      <w:r>
        <w:rPr/>
        <w:t>10</w:t>
      </w:r>
      <w:r>
        <w:rPr/>
        <w:t>月</w:t>
      </w:r>
      <w:r>
        <w:rPr/>
        <w:t>9</w:t>
      </w:r>
      <w:r>
        <w:rPr/>
        <w:t>日。技术</w:t>
      </w:r>
      <w:r>
        <w:rPr/>
        <w:t>OHLC</w:t>
      </w:r>
      <w:r>
        <w:rPr/>
        <w:t>按基准日名义</w:t>
      </w:r>
      <w:r>
        <w:rPr/>
        <w:t>22.16</w:t>
      </w:r>
      <w:r>
        <w:rPr/>
        <w:t>元归一复权，避免历史分红造成机械缺口误读；成交量保留来源股份单位，腾讯和新浪最新成交一致，两个历史来源配对</w:t>
      </w:r>
      <w:r>
        <w:rPr/>
        <w:t>739</w:t>
      </w:r>
      <w:r>
        <w:rPr/>
        <w:t>天。八条</w:t>
      </w:r>
      <w:r>
        <w:rPr/>
        <w:t>OHLC</w:t>
      </w:r>
      <w:r>
        <w:rPr/>
        <w:t>逻辑异常已用腾讯同日完整</w:t>
      </w:r>
      <w:r>
        <w:rPr/>
        <w:t>bar</w:t>
      </w:r>
      <w:r>
        <w:rPr/>
        <w:t>修复，原值和修复记录保留，不能把清洗视作改变股价路径的自由选择。新股长期均线缺的问题不适用于丽珠日线，但</w:t>
      </w:r>
      <w:r>
        <w:rPr/>
        <w:t>250</w:t>
      </w:r>
      <w:r>
        <w:rPr/>
        <w:t>周仍不足，不补造。</w:t>
      </w:r>
    </w:p>
    <w:p>
      <w:pPr>
        <w:pStyle w:val="Normal"/>
        <w:rPr/>
      </w:pPr>
      <w:r>
        <w:rPr/>
        <w:t>日</w:t>
      </w:r>
      <w:r>
        <w:rPr/>
        <w:t>20</w:t>
      </w:r>
      <w:r>
        <w:rPr/>
        <w:t>、</w:t>
      </w:r>
      <w:r>
        <w:rPr/>
        <w:t>60</w:t>
      </w:r>
      <w:r>
        <w:rPr/>
        <w:t>、</w:t>
      </w:r>
      <w:r>
        <w:rPr/>
        <w:t>120</w:t>
      </w:r>
      <w:r>
        <w:rPr/>
        <w:t>、</w:t>
      </w:r>
      <w:r>
        <w:rPr/>
        <w:t>250</w:t>
      </w:r>
      <w:r>
        <w:rPr/>
        <w:t>均线</w:t>
      </w:r>
      <w:r>
        <w:rPr/>
        <w:t>21.404</w:t>
      </w:r>
      <w:r>
        <w:rPr/>
        <w:t>、</w:t>
      </w:r>
      <w:r>
        <w:rPr/>
        <w:t>23.1327</w:t>
      </w:r>
      <w:r>
        <w:rPr/>
        <w:t>、</w:t>
      </w:r>
      <w:r>
        <w:rPr/>
        <w:t>24.2805</w:t>
      </w:r>
      <w:r>
        <w:rPr/>
        <w:t>、</w:t>
      </w:r>
      <w:r>
        <w:rPr/>
        <w:t>26.3220</w:t>
      </w:r>
      <w:r>
        <w:rPr/>
        <w:t>元，现价分别高</w:t>
      </w:r>
      <w:r>
        <w:rPr/>
        <w:t>3.53%</w:t>
      </w:r>
      <w:r>
        <w:rPr/>
        <w:t>、低</w:t>
      </w:r>
      <w:r>
        <w:rPr/>
        <w:t>4.20%</w:t>
      </w:r>
      <w:r>
        <w:rPr/>
        <w:t>、低</w:t>
      </w:r>
      <w:r>
        <w:rPr/>
        <w:t>8.73%</w:t>
      </w:r>
      <w:r>
        <w:rPr/>
        <w:t>、低</w:t>
      </w:r>
      <w:r>
        <w:rPr/>
        <w:t>15.81%</w:t>
      </w:r>
      <w:r>
        <w:rPr/>
        <w:t>。</w:t>
      </w:r>
      <w:r>
        <w:rPr/>
        <w:t>20</w:t>
      </w:r>
      <w:r>
        <w:rPr/>
        <w:t>线五日斜率为正</w:t>
      </w:r>
      <w:r>
        <w:rPr/>
        <w:t>1.02%</w:t>
      </w:r>
      <w:r>
        <w:rPr/>
        <w:t>，其余分别负</w:t>
      </w:r>
      <w:r>
        <w:rPr/>
        <w:t>1.61%</w:t>
      </w:r>
      <w:r>
        <w:rPr/>
        <w:t>、负</w:t>
      </w:r>
      <w:r>
        <w:rPr/>
        <w:t>0.92%</w:t>
      </w:r>
      <w:r>
        <w:rPr/>
        <w:t>、负</w:t>
      </w:r>
      <w:r>
        <w:rPr/>
        <w:t>0.79%</w:t>
      </w:r>
      <w:r>
        <w:rPr/>
        <w:t>。这是一组短期反弹、仍处中长期均线下的组合，不能以一根</w:t>
      </w:r>
      <w:r>
        <w:rPr/>
        <w:t>4.43%</w:t>
      </w:r>
      <w:r>
        <w:rPr/>
        <w:t>阳线宣布趋势全面反转。若后续价格能站上</w:t>
      </w:r>
      <w:r>
        <w:rPr/>
        <w:t>60</w:t>
      </w:r>
      <w:r>
        <w:rPr/>
        <w:t>线且</w:t>
      </w:r>
      <w:r>
        <w:rPr/>
        <w:t>20</w:t>
      </w:r>
      <w:r>
        <w:rPr/>
        <w:t>线斜率持续正，短线结构改善；在</w:t>
      </w:r>
      <w:r>
        <w:rPr/>
        <w:t>120</w:t>
      </w:r>
      <w:r>
        <w:rPr/>
        <w:t>和</w:t>
      </w:r>
      <w:r>
        <w:rPr/>
        <w:t>250</w:t>
      </w:r>
      <w:r>
        <w:rPr/>
        <w:t>持续下倾时仍要谨慎估计上方历史成本压力。</w:t>
      </w:r>
    </w:p>
    <w:p>
      <w:pPr>
        <w:pStyle w:val="Normal"/>
        <w:rPr/>
      </w:pPr>
      <w:r>
        <w:rPr/>
        <w:t>最近</w:t>
      </w:r>
      <w:r>
        <w:rPr/>
        <w:t>20</w:t>
      </w:r>
      <w:r>
        <w:rPr/>
        <w:t>日区间低点</w:t>
      </w:r>
      <w:r>
        <w:rPr/>
        <w:t>20.36</w:t>
      </w:r>
      <w:r>
        <w:rPr/>
        <w:t>、高点</w:t>
      </w:r>
      <w:r>
        <w:rPr/>
        <w:t>23.18</w:t>
      </w:r>
      <w:r>
        <w:rPr/>
        <w:t>，现价到低点约负</w:t>
      </w:r>
      <w:r>
        <w:rPr/>
        <w:t>8.12%</w:t>
      </w:r>
      <w:r>
        <w:rPr/>
        <w:t>、到高点正</w:t>
      </w:r>
      <w:r>
        <w:rPr/>
        <w:t>4.60%</w:t>
      </w:r>
      <w:r>
        <w:rPr/>
        <w:t>；</w:t>
      </w:r>
      <w:r>
        <w:rPr/>
        <w:t>60</w:t>
      </w:r>
      <w:r>
        <w:rPr/>
        <w:t>日低</w:t>
      </w:r>
      <w:r>
        <w:rPr/>
        <w:t>19.80</w:t>
      </w:r>
      <w:r>
        <w:rPr/>
        <w:t>、高</w:t>
      </w:r>
      <w:r>
        <w:rPr/>
        <w:t>27.32</w:t>
      </w:r>
      <w:r>
        <w:rPr/>
        <w:t>，距离约负</w:t>
      </w:r>
      <w:r>
        <w:rPr/>
        <w:t>10.65%</w:t>
      </w:r>
      <w:r>
        <w:rPr/>
        <w:t>、正</w:t>
      </w:r>
      <w:r>
        <w:rPr/>
        <w:t>23.29%</w:t>
      </w:r>
      <w:r>
        <w:rPr/>
        <w:t>。这些是区间极值观察位，不是多次验证的强支撑阻力，更不是止损保证执行价。</w:t>
      </w:r>
      <w:r>
        <w:rPr/>
        <w:t>23.13</w:t>
      </w:r>
      <w:r>
        <w:rPr/>
        <w:t>附近</w:t>
      </w:r>
      <w:r>
        <w:rPr/>
        <w:t>60</w:t>
      </w:r>
      <w:r>
        <w:rPr/>
        <w:t>均线与</w:t>
      </w:r>
      <w:r>
        <w:rPr/>
        <w:t>23.18</w:t>
      </w:r>
      <w:r>
        <w:rPr/>
        <w:t>区间高接近，形成可观察的第一阻力带；</w:t>
      </w:r>
      <w:r>
        <w:rPr/>
        <w:t>20.36</w:t>
      </w:r>
      <w:r>
        <w:rPr/>
        <w:t>与</w:t>
      </w:r>
      <w:r>
        <w:rPr/>
        <w:t>19.80</w:t>
      </w:r>
      <w:r>
        <w:rPr/>
        <w:t>是下行检验区。突破不能仅靠盘中触及，应结合收盘、后续维持、成交和市场相对表现。</w:t>
      </w:r>
    </w:p>
    <w:p>
      <w:pPr>
        <w:pStyle w:val="Normal"/>
        <w:rPr/>
      </w:pPr>
      <w:r>
        <w:rPr/>
        <w:t>若在</w:t>
      </w:r>
      <w:r>
        <w:rPr/>
        <w:t>23.1</w:t>
      </w:r>
      <w:r>
        <w:rPr/>
        <w:t>至</w:t>
      </w:r>
      <w:r>
        <w:rPr/>
        <w:t>23.2</w:t>
      </w:r>
      <w:r>
        <w:rPr/>
        <w:t>附近出现收盘突破、成交持续超过前期均量、回踩时下跌量明显收敛并重新走强，可提高半年技术维度，下一关注是</w:t>
      </w:r>
      <w:r>
        <w:rPr/>
        <w:t>24.28</w:t>
      </w:r>
      <w:r>
        <w:rPr/>
        <w:t>附近</w:t>
      </w:r>
      <w:r>
        <w:rPr/>
        <w:t>120</w:t>
      </w:r>
      <w:r>
        <w:rPr/>
        <w:t>线和</w:t>
      </w:r>
      <w:r>
        <w:rPr/>
        <w:t>26.32</w:t>
      </w:r>
      <w:r>
        <w:rPr/>
        <w:t>附近</w:t>
      </w:r>
      <w:r>
        <w:rPr/>
        <w:t>250</w:t>
      </w:r>
      <w:r>
        <w:rPr/>
        <w:t>线。所有价位必须随均线变化动态更新，不能把本基准值当六个月永恒障碍。若反弹碰到</w:t>
      </w:r>
      <w:r>
        <w:rPr/>
        <w:t>23.2</w:t>
      </w:r>
      <w:r>
        <w:rPr/>
        <w:t>失败并跌回</w:t>
      </w:r>
      <w:r>
        <w:rPr/>
        <w:t>21.4</w:t>
      </w:r>
      <w:r>
        <w:rPr/>
        <w:t>下，随后</w:t>
      </w:r>
      <w:r>
        <w:rPr/>
        <w:t>20.36</w:t>
      </w:r>
      <w:r>
        <w:rPr/>
        <w:t>失守，反弹判断应被削弱；若</w:t>
      </w:r>
      <w:r>
        <w:rPr/>
        <w:t>19.80</w:t>
      </w:r>
      <w:r>
        <w:rPr/>
        <w:t>也跌破，本文短期修复逻辑失效，需重新检查消息和估值，而不是机械等待回本。</w:t>
      </w:r>
    </w:p>
    <w:p>
      <w:pPr>
        <w:pStyle w:val="Normal"/>
        <w:rPr/>
      </w:pPr>
      <w:r>
        <w:rPr/>
        <w:t>观察位距离不能当风险收益比的完整概率模型。从</w:t>
      </w:r>
      <w:r>
        <w:rPr/>
        <w:t>22.16</w:t>
      </w:r>
      <w:r>
        <w:rPr/>
        <w:t>到</w:t>
      </w:r>
      <w:r>
        <w:rPr/>
        <w:t>23.18</w:t>
      </w:r>
      <w:r>
        <w:rPr/>
        <w:t>约</w:t>
      </w:r>
      <w:r>
        <w:rPr/>
        <w:t>4.6%</w:t>
      </w:r>
      <w:r>
        <w:rPr/>
        <w:t>空间，距</w:t>
      </w:r>
      <w:r>
        <w:rPr/>
        <w:t>20.36</w:t>
      </w:r>
      <w:r>
        <w:rPr/>
        <w:t>约</w:t>
      </w:r>
      <w:r>
        <w:rPr/>
        <w:t>8.1%</w:t>
      </w:r>
      <w:r>
        <w:rPr/>
        <w:t>下行，单以最近区间看并无特别优越的交易赔率。若投资者按一年</w:t>
      </w:r>
      <w:r>
        <w:rPr/>
        <w:t>30.36</w:t>
      </w:r>
      <w:r>
        <w:rPr/>
        <w:t>目标评估，空间较大，但一年经营条件和目标达成概率与最近支撑不是同一概念。价格可能跳空越过观察位，流动性和公告会影响执行。本文不给所有投资者统一止损命令，重点是写明技术判断依赖证据和失效条件，使决策可以跟踪。</w:t>
      </w:r>
    </w:p>
    <w:p>
      <w:pPr>
        <w:pStyle w:val="Normal"/>
        <w:rPr/>
      </w:pPr>
      <w:r>
        <w:rPr/>
        <w:t>52</w:t>
      </w:r>
      <w:r>
        <w:rPr/>
        <w:t>周复权高</w:t>
      </w:r>
      <w:r>
        <w:rPr/>
        <w:t>33.3106</w:t>
      </w:r>
      <w:r>
        <w:rPr/>
        <w:t>、低</w:t>
      </w:r>
      <w:r>
        <w:rPr/>
        <w:t>19.80</w:t>
      </w:r>
      <w:r>
        <w:rPr/>
        <w:t>，当前距高约负</w:t>
      </w:r>
      <w:r>
        <w:rPr/>
        <w:t>33.47%</w:t>
      </w:r>
      <w:r>
        <w:rPr/>
        <w:t>，区间最大回撤约</w:t>
      </w:r>
      <w:r>
        <w:rPr/>
        <w:t>40.18%</w:t>
      </w:r>
      <w:r>
        <w:rPr/>
        <w:t>。跌幅说明过去预期和市场定价发生变化，不证明低估；恢复旧高需要盈利和倍数一起变化。公开行情其他未复权高点可能不同，不能把不同复权口径同时用来画阻力。半年乐观</w:t>
      </w:r>
      <w:r>
        <w:rPr/>
        <w:t>42.075</w:t>
      </w:r>
      <w:r>
        <w:rPr/>
        <w:t>高于这一历史高位，不是因为图形必然复制上涨，而是</w:t>
      </w:r>
      <w:r>
        <w:rPr/>
        <w:t>EPS2.55</w:t>
      </w:r>
      <w:r>
        <w:rPr/>
        <w:t>和</w:t>
      </w:r>
      <w:r>
        <w:rPr/>
        <w:t>15</w:t>
      </w:r>
      <w:r>
        <w:rPr/>
        <w:t>倍</w:t>
      </w:r>
      <w:r>
        <w:rPr/>
        <w:t>PE</w:t>
      </w:r>
      <w:r>
        <w:rPr/>
        <w:t>同时成立的乐观基本面情景。若商业化尚无支持，不应因目标高而认为图形必然突破。</w:t>
      </w:r>
    </w:p>
    <w:p>
      <w:pPr>
        <w:pStyle w:val="Heading2"/>
        <w:rPr/>
      </w:pPr>
      <w:r>
        <w:rPr>
          <w:color w:val="000000"/>
        </w:rPr>
        <w:t>量能与辅助指标</w:t>
      </w:r>
    </w:p>
    <w:p>
      <w:pPr>
        <w:pStyle w:val="Normal"/>
        <w:rPr/>
      </w:pPr>
      <w:r>
        <w:rPr/>
        <w:t>最新成交</w:t>
      </w:r>
      <w:r>
        <w:rPr/>
        <w:t>132.4806</w:t>
      </w:r>
      <w:r>
        <w:rPr/>
        <w:t>万股，</w:t>
      </w:r>
      <w:r>
        <w:rPr/>
        <w:t>5</w:t>
      </w:r>
      <w:r>
        <w:rPr/>
        <w:t>、</w:t>
      </w:r>
      <w:r>
        <w:rPr/>
        <w:t>20</w:t>
      </w:r>
      <w:r>
        <w:rPr/>
        <w:t>、</w:t>
      </w:r>
      <w:r>
        <w:rPr/>
        <w:t>60</w:t>
      </w:r>
      <w:r>
        <w:rPr/>
        <w:t>日均量分别</w:t>
      </w:r>
      <w:r>
        <w:rPr/>
        <w:t>99.1052</w:t>
      </w:r>
      <w:r>
        <w:rPr/>
        <w:t>、</w:t>
      </w:r>
      <w:r>
        <w:rPr/>
        <w:t>176.1740</w:t>
      </w:r>
      <w:r>
        <w:rPr/>
        <w:t>、</w:t>
      </w:r>
      <w:r>
        <w:rPr/>
        <w:t>142.3964</w:t>
      </w:r>
      <w:r>
        <w:rPr/>
        <w:t>万股。最新量除前</w:t>
      </w:r>
      <w:r>
        <w:rPr/>
        <w:t>20</w:t>
      </w:r>
      <w:r>
        <w:rPr/>
        <w:t>日不含当日均量得到</w:t>
      </w:r>
      <w:r>
        <w:rPr/>
        <w:t>0.742</w:t>
      </w:r>
      <w:r>
        <w:rPr/>
        <w:t>，当日虽然上涨</w:t>
      </w:r>
      <w:r>
        <w:rPr/>
        <w:t>4.43%</w:t>
      </w:r>
      <w:r>
        <w:rPr/>
        <w:t>，成交并未超过近期均量，不能叫放量突破。</w:t>
      </w:r>
      <w:r>
        <w:rPr/>
        <w:t>5</w:t>
      </w:r>
      <w:r>
        <w:rPr/>
        <w:t>日均量低于</w:t>
      </w:r>
      <w:r>
        <w:rPr/>
        <w:t>20</w:t>
      </w:r>
      <w:r>
        <w:rPr/>
        <w:t>和</w:t>
      </w:r>
      <w:r>
        <w:rPr/>
        <w:t>60</w:t>
      </w:r>
      <w:r>
        <w:rPr/>
        <w:t>均量，显示短期交易参与相对收敛，也可能受节假日、消息和成交集中日影响。仅从这一组不能认定抛压枯竭，应观察数个交易日成交额和收盘是否连续支持上行，避免把单日量价写成投资者动机。</w:t>
      </w:r>
    </w:p>
    <w:p>
      <w:pPr>
        <w:pStyle w:val="Normal"/>
        <w:rPr/>
      </w:pPr>
      <w:r>
        <w:rPr/>
        <w:t>最近</w:t>
      </w:r>
      <w:r>
        <w:rPr/>
        <w:t>20</w:t>
      </w:r>
      <w:r>
        <w:rPr/>
        <w:t>日上涨</w:t>
      </w:r>
      <w:r>
        <w:rPr/>
        <w:t>8</w:t>
      </w:r>
      <w:r>
        <w:rPr/>
        <w:t>天、下跌</w:t>
      </w:r>
      <w:r>
        <w:rPr/>
        <w:t>12</w:t>
      </w:r>
      <w:r>
        <w:rPr/>
        <w:t>天，上涨日累计</w:t>
      </w:r>
      <w:r>
        <w:rPr/>
        <w:t>1693.89</w:t>
      </w:r>
      <w:r>
        <w:rPr/>
        <w:t>万股、下跌日</w:t>
      </w:r>
      <w:r>
        <w:rPr/>
        <w:t>1829.59</w:t>
      </w:r>
      <w:r>
        <w:rPr/>
        <w:t>万股，合计比</w:t>
      </w:r>
      <w:r>
        <w:rPr/>
        <w:t>0.926</w:t>
      </w:r>
      <w:r>
        <w:rPr/>
        <w:t>。因为上涨天数较少，单个上涨日平均量约</w:t>
      </w:r>
      <w:r>
        <w:rPr/>
        <w:t>211.74</w:t>
      </w:r>
      <w:r>
        <w:rPr/>
        <w:t>万、下跌日约</w:t>
      </w:r>
      <w:r>
        <w:rPr/>
        <w:t>152.47</w:t>
      </w:r>
      <w:r>
        <w:rPr/>
        <w:t>万，两种统计给出的角度不同。累计量不能脱离天数宣称弱势，平均量也不能证明买方机构更强；同一成交有买卖双方，而且涨跌依据只是收盘变化。较严谨结论是阶段存在有成交的上涨日，但最新反弹确认仍不足。若上涨日量长期扩张而下跌回踩缩量，证据才更一致。</w:t>
      </w:r>
    </w:p>
    <w:p>
      <w:pPr>
        <w:pStyle w:val="Normal"/>
        <w:rPr/>
      </w:pPr>
      <w:r>
        <w:rPr/>
        <w:t>日</w:t>
      </w:r>
      <w:r>
        <w:rPr/>
        <w:t>RSI</w:t>
      </w:r>
      <w:r>
        <w:rPr/>
        <w:t>约</w:t>
      </w:r>
      <w:r>
        <w:rPr/>
        <w:t>53.42</w:t>
      </w:r>
      <w:r>
        <w:rPr/>
        <w:t>，已从明显弱势附近恢复到中性偏上，但没有高位钝化或强趋势证据。</w:t>
      </w:r>
      <w:r>
        <w:rPr/>
        <w:t>MACD</w:t>
      </w:r>
      <w:r>
        <w:rPr/>
        <w:t>差离负</w:t>
      </w:r>
      <w:r>
        <w:rPr/>
        <w:t>0.0401</w:t>
      </w:r>
      <w:r>
        <w:rPr/>
        <w:t>、信号负</w:t>
      </w:r>
      <w:r>
        <w:rPr/>
        <w:t>0.1824</w:t>
      </w:r>
      <w:r>
        <w:rPr/>
        <w:t>，双倍柱正</w:t>
      </w:r>
      <w:r>
        <w:rPr/>
        <w:t>0.2847</w:t>
      </w:r>
      <w:r>
        <w:rPr/>
        <w:t>，表示短期动能改善但两线仍在零下。不能把</w:t>
      </w:r>
      <w:r>
        <w:rPr/>
        <w:t>MACD</w:t>
      </w:r>
      <w:r>
        <w:rPr/>
        <w:t>转正柱和</w:t>
      </w:r>
      <w:r>
        <w:rPr/>
        <w:t>20</w:t>
      </w:r>
      <w:r>
        <w:rPr/>
        <w:t>线转升重复当两项独立催化加分。技术</w:t>
      </w:r>
      <w:r>
        <w:rPr/>
        <w:t>30%</w:t>
      </w:r>
      <w:r>
        <w:rPr/>
        <w:t>半年权重中的</w:t>
      </w:r>
      <w:r>
        <w:rPr/>
        <w:t>2.5</w:t>
      </w:r>
      <w:r>
        <w:rPr/>
        <w:t>分综合这些高度相关事实，并保留周线和相对强弱的反证。指标用于说明结构，不能给出未来收益保证或直接替代盈利判断。</w:t>
      </w:r>
    </w:p>
    <w:p>
      <w:pPr>
        <w:pStyle w:val="Normal"/>
        <w:rPr/>
      </w:pPr>
      <w:r>
        <w:rPr/>
        <w:t>ATR</w:t>
      </w:r>
      <w:r>
        <w:rPr/>
        <w:t>日</w:t>
      </w:r>
      <w:r>
        <w:rPr/>
        <w:t>0.8484</w:t>
      </w:r>
      <w:r>
        <w:rPr/>
        <w:t>港元、约现价</w:t>
      </w:r>
      <w:r>
        <w:rPr/>
        <w:t>3.83%</w:t>
      </w:r>
      <w:r>
        <w:rPr/>
        <w:t>，提示正常日波动可观。两个</w:t>
      </w:r>
      <w:r>
        <w:rPr/>
        <w:t>ATR</w:t>
      </w:r>
      <w:r>
        <w:rPr/>
        <w:t>量级约</w:t>
      </w:r>
      <w:r>
        <w:rPr/>
        <w:t>1.70</w:t>
      </w:r>
      <w:r>
        <w:rPr/>
        <w:t>元已接近若干观察位间距，因此窄区间止损可能在正常噪声中触发。</w:t>
      </w:r>
      <w:r>
        <w:rPr/>
        <w:t>ATR</w:t>
      </w:r>
      <w:r>
        <w:rPr/>
        <w:t>反映过去真实波幅，未来临床、医保或业绩消息可以导致更大跳空，不能用它推导最大损失。没有逐笔交易资料，本文不绘制精确成交量分布或所谓机构成本区域。历史日成交和蜡烛形态可以支持趋势判断，却不能凭观察图断定谁在买、何时一定拉升。</w:t>
      </w:r>
    </w:p>
    <w:p>
      <w:pPr>
        <w:pStyle w:val="Heading2"/>
        <w:rPr/>
      </w:pPr>
      <w:r>
        <w:rPr>
          <w:color w:val="000000"/>
        </w:rPr>
        <w:t>周线及相对强弱</w:t>
      </w:r>
    </w:p>
    <w:p>
      <w:pPr>
        <w:pStyle w:val="Normal"/>
        <w:rPr/>
      </w:pPr>
      <w:r>
        <w:rPr/>
        <w:t>周</w:t>
      </w:r>
      <w:r>
        <w:rPr/>
        <w:t>20</w:t>
      </w:r>
      <w:r>
        <w:rPr/>
        <w:t>、</w:t>
      </w:r>
      <w:r>
        <w:rPr/>
        <w:t>60</w:t>
      </w:r>
      <w:r>
        <w:rPr/>
        <w:t>、</w:t>
      </w:r>
      <w:r>
        <w:rPr/>
        <w:t>120</w:t>
      </w:r>
      <w:r>
        <w:rPr/>
        <w:t>均线</w:t>
      </w:r>
      <w:r>
        <w:rPr/>
        <w:t>23.7819</w:t>
      </w:r>
      <w:r>
        <w:rPr/>
        <w:t>、</w:t>
      </w:r>
      <w:r>
        <w:rPr/>
        <w:t>27.1467</w:t>
      </w:r>
      <w:r>
        <w:rPr/>
        <w:t>、</w:t>
      </w:r>
      <w:r>
        <w:rPr/>
        <w:t>26.1149</w:t>
      </w:r>
      <w:r>
        <w:rPr/>
        <w:t>，均在现价上方，最近五周斜率分别负</w:t>
      </w:r>
      <w:r>
        <w:rPr/>
        <w:t>4.75%</w:t>
      </w:r>
      <w:r>
        <w:rPr/>
        <w:t>、负</w:t>
      </w:r>
      <w:r>
        <w:rPr/>
        <w:t>4.10%</w:t>
      </w:r>
      <w:r>
        <w:rPr/>
        <w:t>、负</w:t>
      </w:r>
      <w:r>
        <w:rPr/>
        <w:t>0.26%</w:t>
      </w:r>
      <w:r>
        <w:rPr/>
        <w:t>。周线比日线更明显处下降结构，周</w:t>
      </w:r>
      <w:r>
        <w:rPr/>
        <w:t>RSI40.77</w:t>
      </w:r>
      <w:r>
        <w:rPr/>
        <w:t>、</w:t>
      </w:r>
      <w:r>
        <w:rPr/>
        <w:t>MACD</w:t>
      </w:r>
      <w:r>
        <w:rPr/>
        <w:t>双倍柱负</w:t>
      </w:r>
      <w:r>
        <w:rPr/>
        <w:t>0.3671</w:t>
      </w:r>
      <w:r>
        <w:rPr/>
        <w:t>也提示中期尚未扭转。日反弹和周下降同时存在并不矛盾：投资者面对的是下跌趋势中的短期修复。若周收盘逐渐回到</w:t>
      </w:r>
      <w:r>
        <w:rPr/>
        <w:t>20</w:t>
      </w:r>
      <w:r>
        <w:rPr/>
        <w:t>周线上、其斜率停止下降，技术可信度提高；未经这些验证，不宜只凭日线形态给半年高分。</w:t>
      </w:r>
    </w:p>
    <w:p>
      <w:pPr>
        <w:pStyle w:val="Normal"/>
        <w:rPr/>
      </w:pPr>
      <w:r>
        <w:rPr/>
        <w:t>周</w:t>
      </w:r>
      <w:r>
        <w:rPr/>
        <w:t>ATR</w:t>
      </w:r>
      <w:r>
        <w:rPr/>
        <w:t>约</w:t>
      </w:r>
      <w:r>
        <w:rPr/>
        <w:t>1.5973</w:t>
      </w:r>
      <w:r>
        <w:rPr/>
        <w:t>港元、</w:t>
      </w:r>
      <w:r>
        <w:rPr/>
        <w:t>7.21%</w:t>
      </w:r>
      <w:r>
        <w:rPr/>
        <w:t>，反映更长区间波动。近</w:t>
      </w:r>
      <w:r>
        <w:rPr/>
        <w:t>20</w:t>
      </w:r>
      <w:r>
        <w:rPr/>
        <w:t>周上涨</w:t>
      </w:r>
      <w:r>
        <w:rPr/>
        <w:t>12</w:t>
      </w:r>
      <w:r>
        <w:rPr/>
        <w:t>周、下跌</w:t>
      </w:r>
      <w:r>
        <w:rPr/>
        <w:t>8</w:t>
      </w:r>
      <w:r>
        <w:rPr/>
        <w:t>周，上涨累计量</w:t>
      </w:r>
      <w:r>
        <w:rPr/>
        <w:t>6784.58</w:t>
      </w:r>
      <w:r>
        <w:rPr/>
        <w:t>万股、下跌</w:t>
      </w:r>
      <w:r>
        <w:rPr/>
        <w:t>5151.63</w:t>
      </w:r>
      <w:r>
        <w:rPr/>
        <w:t>万股，比约</w:t>
      </w:r>
      <w:r>
        <w:rPr/>
        <w:t>1.317</w:t>
      </w:r>
      <w:r>
        <w:rPr/>
        <w:t>，显示周累计成交方向比最近日线更有改善信号，但不能抵消均线持续下行。上涨周数也更多，累计比与平均量要区分。成交可以在下降趋势中由逢低买盘和出清共同放大，只有高低点逐步抬升与持续价格表现才使趋势解释更有力；不能把一项有利统计挑出盖过所有相反证据。</w:t>
      </w:r>
    </w:p>
    <w:p>
      <w:pPr>
        <w:pStyle w:val="Normal"/>
        <w:rPr/>
      </w:pPr>
      <w:r>
        <w:rPr/>
        <w:t>20</w:t>
      </w:r>
      <w:r>
        <w:rPr/>
        <w:t>日股价回报</w:t>
      </w:r>
      <w:r>
        <w:rPr/>
        <w:t>6.436%</w:t>
      </w:r>
      <w:r>
        <w:rPr/>
        <w:t>、恒指负</w:t>
      </w:r>
      <w:r>
        <w:rPr/>
        <w:t>2.978%</w:t>
      </w:r>
      <w:r>
        <w:rPr/>
        <w:t>，超额约</w:t>
      </w:r>
      <w:r>
        <w:rPr/>
        <w:t>9.414</w:t>
      </w:r>
      <w:r>
        <w:rPr/>
        <w:t>个百分点；</w:t>
      </w:r>
      <w:r>
        <w:rPr/>
        <w:t>60</w:t>
      </w:r>
      <w:r>
        <w:rPr/>
        <w:t>日股价负</w:t>
      </w:r>
      <w:r>
        <w:rPr/>
        <w:t>17.804%</w:t>
      </w:r>
      <w:r>
        <w:rPr/>
        <w:t>、恒指负</w:t>
      </w:r>
      <w:r>
        <w:rPr/>
        <w:t>3.188%</w:t>
      </w:r>
      <w:r>
        <w:rPr/>
        <w:t>，超额负</w:t>
      </w:r>
      <w:r>
        <w:rPr/>
        <w:t>14.616</w:t>
      </w:r>
      <w:r>
        <w:rPr/>
        <w:t>个百分点。短期反弹跑赢市场却未追回前期落后，体现两个观察窗口不同。本文未取得专属综合药企行业指数可核历史，行业超额留缺，不能用恒生科技或港股创新药指数代替综合制剂、</w:t>
      </w:r>
      <w:r>
        <w:rPr/>
        <w:t>API</w:t>
      </w:r>
      <w:r>
        <w:rPr/>
        <w:t>和中药组合。市场基准回答总体资金环境，行业基准才有助分辨同业竞争表现，缺失不以虚构数据填补。</w:t>
      </w:r>
    </w:p>
    <w:p>
      <w:pPr>
        <w:pStyle w:val="Normal"/>
        <w:rPr/>
      </w:pPr>
      <w:r>
        <w:rPr/>
        <w:t>A</w:t>
      </w:r>
      <w:r>
        <w:rPr/>
        <w:t>股</w:t>
      </w:r>
      <w:r>
        <w:rPr/>
        <w:t>9</w:t>
      </w:r>
      <w:r>
        <w:rPr/>
        <w:t>月几个交易日异常波动公告反映</w:t>
      </w:r>
      <w:r>
        <w:rPr/>
        <w:t>A</w:t>
      </w:r>
      <w:r>
        <w:rPr/>
        <w:t>市场偏离值，不能移用于</w:t>
      </w:r>
      <w:r>
        <w:rPr/>
        <w:t>H</w:t>
      </w:r>
      <w:r>
        <w:rPr/>
        <w:t>市场的均线、量比或主力行为。公告确认相关股东无期间交易和未披露重大安排，是信息披露核查结果，不能证明股价随后必然上涨或绝对没有风险。</w:t>
      </w:r>
      <w:r>
        <w:rPr/>
        <w:t>H</w:t>
      </w:r>
      <w:r>
        <w:rPr/>
        <w:t>股本章只使用</w:t>
      </w:r>
      <w:r>
        <w:rPr/>
        <w:t>S042</w:t>
      </w:r>
      <w:r>
        <w:rPr/>
        <w:t>独立日线和公开原公告。</w:t>
      </w:r>
      <w:r>
        <w:rPr/>
        <w:t>A</w:t>
      </w:r>
      <w:r>
        <w:rPr/>
        <w:t>股与</w:t>
      </w:r>
      <w:r>
        <w:rPr/>
        <w:t>H</w:t>
      </w:r>
      <w:r>
        <w:rPr/>
        <w:t>股可能同时响应药物批准，但资金、估值和成交结构不同，名单里</w:t>
      </w:r>
      <w:r>
        <w:rPr/>
        <w:t>H</w:t>
      </w:r>
      <w:r>
        <w:rPr/>
        <w:t>股投资者应以</w:t>
      </w:r>
      <w:r>
        <w:rPr/>
        <w:t>H</w:t>
      </w:r>
      <w:r>
        <w:rPr/>
        <w:t>价格和执行条件决定短期时点，不能用另一个市场的强阳线替自己市场补证据。</w:t>
      </w:r>
    </w:p>
    <w:p>
      <w:pPr>
        <w:pStyle w:val="Heading2"/>
        <w:rPr/>
      </w:pPr>
      <w:r>
        <w:rPr>
          <w:color w:val="000000"/>
        </w:rPr>
        <w:t>估值模型及经营假设</w:t>
      </w:r>
    </w:p>
    <w:p>
      <w:pPr>
        <w:pStyle w:val="Normal"/>
        <w:rPr/>
      </w:pPr>
      <w:r>
        <w:rPr/>
        <w:t>主模型采用目标时点正常化归母稀释</w:t>
      </w:r>
      <w:r>
        <w:rPr/>
        <w:t>EPS</w:t>
      </w:r>
      <w:r>
        <w:rPr/>
        <w:t>乘</w:t>
      </w:r>
      <w:r>
        <w:rPr/>
        <w:t>H</w:t>
      </w:r>
      <w:r>
        <w:rPr/>
        <w:t>股</w:t>
      </w:r>
      <w:r>
        <w:rPr/>
        <w:t>PE</w:t>
      </w:r>
      <w:r>
        <w:rPr/>
        <w:t>，再乘研究换汇</w:t>
      </w:r>
      <w:r>
        <w:rPr/>
        <w:t>1.10</w:t>
      </w:r>
      <w:r>
        <w:rPr/>
        <w:t>港元每人民币。当前最近十二个月归母以</w:t>
      </w:r>
      <w:r>
        <w:rPr/>
        <w:t>2025</w:t>
      </w:r>
      <w:r>
        <w:rPr/>
        <w:t>全年</w:t>
      </w:r>
      <w:r>
        <w:rPr/>
        <w:t>20.2325</w:t>
      </w:r>
      <w:r>
        <w:rPr/>
        <w:t>亿元减</w:t>
      </w:r>
      <w:r>
        <w:rPr/>
        <w:t>2025</w:t>
      </w:r>
      <w:r>
        <w:rPr/>
        <w:t>上半年</w:t>
      </w:r>
      <w:r>
        <w:rPr/>
        <w:t>12.8109</w:t>
      </w:r>
      <w:r>
        <w:rPr/>
        <w:t>亿元加</w:t>
      </w:r>
      <w:r>
        <w:rPr/>
        <w:t>2026</w:t>
      </w:r>
      <w:r>
        <w:rPr/>
        <w:t>上半年</w:t>
      </w:r>
      <w:r>
        <w:rPr/>
        <w:t>9.3220</w:t>
      </w:r>
      <w:r>
        <w:rPr/>
        <w:t>亿元得到</w:t>
      </w:r>
      <w:r>
        <w:rPr/>
        <w:t>16.7436</w:t>
      </w:r>
      <w:r>
        <w:rPr/>
        <w:t>亿元，除</w:t>
      </w:r>
      <w:r>
        <w:rPr/>
        <w:t>887907171</w:t>
      </w:r>
      <w:r>
        <w:rPr/>
        <w:t>全股是</w:t>
      </w:r>
      <w:r>
        <w:rPr/>
        <w:t>EPS1.88574</w:t>
      </w:r>
      <w:r>
        <w:rPr/>
        <w:t>元，当前</w:t>
      </w:r>
      <w:r>
        <w:rPr/>
        <w:t>HPE</w:t>
      </w:r>
      <w:r>
        <w:rPr/>
        <w:t>约</w:t>
      </w:r>
      <w:r>
        <w:rPr/>
        <w:t>10.68</w:t>
      </w:r>
      <w:r>
        <w:rPr/>
        <w:t>。</w:t>
      </w:r>
      <w:r>
        <w:rPr/>
        <w:t>2025</w:t>
      </w:r>
      <w:r>
        <w:rPr/>
        <w:t>全年按当前股数</w:t>
      </w:r>
      <w:r>
        <w:rPr/>
        <w:t>EPS2.27867</w:t>
      </w:r>
      <w:r>
        <w:rPr/>
        <w:t>，对应</w:t>
      </w:r>
      <w:r>
        <w:rPr/>
        <w:t>8.84</w:t>
      </w:r>
      <w:r>
        <w:rPr/>
        <w:t>倍。两者差异来自盈利下降，不能选择较低倍数给买入理由而不说明较新利润口径。本章不用未核行情</w:t>
      </w:r>
      <w:r>
        <w:rPr/>
        <w:t>PE</w:t>
      </w:r>
      <w:r>
        <w:rPr/>
        <w:t>直接作为模型。</w:t>
      </w:r>
    </w:p>
    <w:p>
      <w:pPr>
        <w:pStyle w:val="Normal"/>
        <w:rPr/>
      </w:pPr>
      <w:r>
        <w:rPr/>
        <w:t>年底三情景</w:t>
      </w:r>
      <w:r>
        <w:rPr/>
        <w:t>EPS1.60</w:t>
      </w:r>
      <w:r>
        <w:rPr/>
        <w:t>、</w:t>
      </w:r>
      <w:r>
        <w:rPr/>
        <w:t>1.95</w:t>
      </w:r>
      <w:r>
        <w:rPr/>
        <w:t>、</w:t>
      </w:r>
      <w:r>
        <w:rPr/>
        <w:t>2.20</w:t>
      </w:r>
      <w:r>
        <w:rPr/>
        <w:t>元，</w:t>
      </w:r>
      <w:r>
        <w:rPr/>
        <w:t>PE8</w:t>
      </w:r>
      <w:r>
        <w:rPr/>
        <w:t>、</w:t>
      </w:r>
      <w:r>
        <w:rPr/>
        <w:t>10.5</w:t>
      </w:r>
      <w:r>
        <w:rPr/>
        <w:t>、</w:t>
      </w:r>
      <w:r>
        <w:rPr/>
        <w:t>13</w:t>
      </w:r>
      <w:r>
        <w:rPr/>
        <w:t>倍，得到</w:t>
      </w:r>
      <w:r>
        <w:rPr/>
        <w:t>14.08</w:t>
      </w:r>
      <w:r>
        <w:rPr/>
        <w:t>、</w:t>
      </w:r>
      <w:r>
        <w:rPr/>
        <w:t>22.5225</w:t>
      </w:r>
      <w:r>
        <w:rPr/>
        <w:t>、</w:t>
      </w:r>
      <w:r>
        <w:rPr/>
        <w:t>31.46</w:t>
      </w:r>
      <w:r>
        <w:rPr/>
        <w:t>港元。这是年底可形成的当年盈利预期及倍数判断，不是把五年新品现金全部兑现到年底。收入研究</w:t>
      </w:r>
      <w:r>
        <w:rPr/>
        <w:t>9.2</w:t>
      </w:r>
      <w:r>
        <w:rPr/>
        <w:t>、</w:t>
      </w:r>
      <w:r>
        <w:rPr/>
        <w:t>10.1</w:t>
      </w:r>
      <w:r>
        <w:rPr/>
        <w:t>、</w:t>
      </w:r>
      <w:r>
        <w:rPr/>
        <w:t>10.8</w:t>
      </w:r>
      <w:r>
        <w:rPr/>
        <w:t>十亿元，对应归母</w:t>
      </w:r>
      <w:r>
        <w:rPr/>
        <w:t>14.2065</w:t>
      </w:r>
      <w:r>
        <w:rPr/>
        <w:t>、</w:t>
      </w:r>
      <w:r>
        <w:rPr/>
        <w:t>17.3142</w:t>
      </w:r>
      <w:r>
        <w:rPr/>
        <w:t>、</w:t>
      </w:r>
      <w:r>
        <w:rPr/>
        <w:t>19.5340</w:t>
      </w:r>
      <w:r>
        <w:rPr/>
        <w:t>亿元、利润率约</w:t>
      </w:r>
      <w:r>
        <w:rPr/>
        <w:t>15.44%</w:t>
      </w:r>
      <w:r>
        <w:rPr/>
        <w:t>、</w:t>
      </w:r>
      <w:r>
        <w:rPr/>
        <w:t>17.14%</w:t>
      </w:r>
      <w:r>
        <w:rPr/>
        <w:t>、</w:t>
      </w:r>
      <w:r>
        <w:rPr/>
        <w:t>18.09%</w:t>
      </w:r>
      <w:r>
        <w:rPr/>
        <w:t>。基准全年盈利低于</w:t>
      </w:r>
      <w:r>
        <w:rPr/>
        <w:t>2025</w:t>
      </w:r>
      <w:r>
        <w:rPr/>
        <w:t>且股价仅小幅上涨，符合现有降价压力尚未消化的事实；乐观需要新品与费用和旧品稳定同时支持。</w:t>
      </w:r>
    </w:p>
    <w:p>
      <w:pPr>
        <w:pStyle w:val="Normal"/>
        <w:rPr/>
      </w:pPr>
      <w:r>
        <w:rPr/>
        <w:t>半年目标用未来十二个月正常化运行</w:t>
      </w:r>
      <w:r>
        <w:rPr/>
        <w:t>EPS1.65</w:t>
      </w:r>
      <w:r>
        <w:rPr/>
        <w:t>、</w:t>
      </w:r>
      <w:r>
        <w:rPr/>
        <w:t>2.10</w:t>
      </w:r>
      <w:r>
        <w:rPr/>
        <w:t>、</w:t>
      </w:r>
      <w:r>
        <w:rPr/>
        <w:t>2.55</w:t>
      </w:r>
      <w:r>
        <w:rPr/>
        <w:t>、</w:t>
      </w:r>
      <w:r>
        <w:rPr/>
        <w:t>PE8</w:t>
      </w:r>
      <w:r>
        <w:rPr/>
        <w:t>、</w:t>
      </w:r>
      <w:r>
        <w:rPr/>
        <w:t>11.5</w:t>
      </w:r>
      <w:r>
        <w:rPr/>
        <w:t>、</w:t>
      </w:r>
      <w:r>
        <w:rPr/>
        <w:t>15</w:t>
      </w:r>
      <w:r>
        <w:rPr/>
        <w:t>，收入研究</w:t>
      </w:r>
      <w:r>
        <w:rPr/>
        <w:t>9.5</w:t>
      </w:r>
      <w:r>
        <w:rPr/>
        <w:t>、</w:t>
      </w:r>
      <w:r>
        <w:rPr/>
        <w:t>10.7</w:t>
      </w:r>
      <w:r>
        <w:rPr/>
        <w:t>、</w:t>
      </w:r>
      <w:r>
        <w:rPr/>
        <w:t>11.8</w:t>
      </w:r>
      <w:r>
        <w:rPr/>
        <w:t>十亿元，对应</w:t>
      </w:r>
      <w:r>
        <w:rPr/>
        <w:t>14.6505</w:t>
      </w:r>
      <w:r>
        <w:rPr/>
        <w:t>、</w:t>
      </w:r>
      <w:r>
        <w:rPr/>
        <w:t>18.6461</w:t>
      </w:r>
      <w:r>
        <w:rPr/>
        <w:t>、</w:t>
      </w:r>
      <w:r>
        <w:rPr/>
        <w:t>22.6416</w:t>
      </w:r>
      <w:r>
        <w:rPr/>
        <w:t>亿元归母。它不是</w:t>
      </w:r>
      <w:r>
        <w:rPr/>
        <w:t>2027</w:t>
      </w:r>
      <w:r>
        <w:rPr/>
        <w:t>上半年六个月利润乘指定倍数，也不是届时一定已公开全年结果。基准较年底恢复，但仍低于</w:t>
      </w:r>
      <w:r>
        <w:rPr/>
        <w:t>2025</w:t>
      </w:r>
      <w:r>
        <w:rPr/>
        <w:t>全年归母，反映新品温和接力。乐观</w:t>
      </w:r>
      <w:r>
        <w:rPr/>
        <w:t>42.075</w:t>
      </w:r>
      <w:r>
        <w:rPr/>
        <w:t>要求收入、利润率及估值同时较好，半年涨幅近</w:t>
      </w:r>
      <w:r>
        <w:rPr/>
        <w:t>90%</w:t>
      </w:r>
      <w:r>
        <w:rPr/>
        <w:t>只是条件情景，不能称最可能的图形目标或平均预期。</w:t>
      </w:r>
    </w:p>
    <w:p>
      <w:pPr>
        <w:pStyle w:val="Normal"/>
        <w:rPr/>
      </w:pPr>
      <w:r>
        <w:rPr/>
        <w:t>一年研究</w:t>
      </w:r>
      <w:r>
        <w:rPr/>
        <w:t>EPS1.70</w:t>
      </w:r>
      <w:r>
        <w:rPr/>
        <w:t>、</w:t>
      </w:r>
      <w:r>
        <w:rPr/>
        <w:t>2.30</w:t>
      </w:r>
      <w:r>
        <w:rPr/>
        <w:t>、</w:t>
      </w:r>
      <w:r>
        <w:rPr/>
        <w:t>2.90</w:t>
      </w:r>
      <w:r>
        <w:rPr/>
        <w:t>、</w:t>
      </w:r>
      <w:r>
        <w:rPr/>
        <w:t>PE8</w:t>
      </w:r>
      <w:r>
        <w:rPr/>
        <w:t>、</w:t>
      </w:r>
      <w:r>
        <w:rPr/>
        <w:t>12</w:t>
      </w:r>
      <w:r>
        <w:rPr/>
        <w:t>、</w:t>
      </w:r>
      <w:r>
        <w:rPr/>
        <w:t>16</w:t>
      </w:r>
      <w:r>
        <w:rPr/>
        <w:t>，收入</w:t>
      </w:r>
      <w:r>
        <w:rPr/>
        <w:t>9.6</w:t>
      </w:r>
      <w:r>
        <w:rPr/>
        <w:t>、</w:t>
      </w:r>
      <w:r>
        <w:rPr/>
        <w:t>11.2</w:t>
      </w:r>
      <w:r>
        <w:rPr/>
        <w:t>、</w:t>
      </w:r>
      <w:r>
        <w:rPr/>
        <w:t>12.7</w:t>
      </w:r>
      <w:r>
        <w:rPr/>
        <w:t>十亿元。基准归母</w:t>
      </w:r>
      <w:r>
        <w:rPr/>
        <w:t>20.4219</w:t>
      </w:r>
      <w:r>
        <w:rPr/>
        <w:t>亿元略高于</w:t>
      </w:r>
      <w:r>
        <w:rPr/>
        <w:t>2025</w:t>
      </w:r>
      <w:r>
        <w:rPr/>
        <w:t>，需要新品贡献、老品价格基数和费用效率组合实现，而非公司给出的盈利指引。目标</w:t>
      </w:r>
      <w:r>
        <w:rPr/>
        <w:t>30.36</w:t>
      </w:r>
      <w:r>
        <w:rPr/>
        <w:t>港元较基准价上</w:t>
      </w:r>
      <w:r>
        <w:rPr/>
        <w:t>37.00%</w:t>
      </w:r>
      <w:r>
        <w:rPr/>
        <w:t>，税前总回报</w:t>
      </w:r>
      <w:r>
        <w:rPr/>
        <w:t>48.31%</w:t>
      </w:r>
      <w:r>
        <w:rPr/>
        <w:t>，其中普通分红部分仍是假设。若</w:t>
      </w:r>
      <w:r>
        <w:rPr/>
        <w:t>2027</w:t>
      </w:r>
      <w:r>
        <w:rPr/>
        <w:t>旧品尚未稳定、新品投入拖累净利率，这个利润水平应下调。十二倍</w:t>
      </w:r>
      <w:r>
        <w:rPr/>
        <w:t>PE</w:t>
      </w:r>
      <w:r>
        <w:rPr/>
        <w:t>体现成熟增长修复而非高成长创新药溢价，若成长质量差则悲观八倍更合适。</w:t>
      </w:r>
    </w:p>
    <w:p>
      <w:pPr>
        <w:pStyle w:val="Normal"/>
        <w:rPr/>
      </w:pPr>
      <w:r>
        <w:rPr/>
        <w:t>三年基准收入</w:t>
      </w:r>
      <w:r>
        <w:rPr/>
        <w:t>132</w:t>
      </w:r>
      <w:r>
        <w:rPr/>
        <w:t>亿元、归母</w:t>
      </w:r>
      <w:r>
        <w:rPr/>
        <w:t>25.7493</w:t>
      </w:r>
      <w:r>
        <w:rPr/>
        <w:t>亿元、</w:t>
      </w:r>
      <w:r>
        <w:rPr/>
        <w:t>EPS2.90</w:t>
      </w:r>
      <w:r>
        <w:rPr/>
        <w:t>、</w:t>
      </w:r>
      <w:r>
        <w:rPr/>
        <w:t>PE13</w:t>
      </w:r>
      <w:r>
        <w:rPr/>
        <w:t>倍，目标</w:t>
      </w:r>
      <w:r>
        <w:rPr/>
        <w:t>41.47</w:t>
      </w:r>
      <w:r>
        <w:rPr/>
        <w:t>港元。相比</w:t>
      </w:r>
      <w:r>
        <w:rPr/>
        <w:t>2025</w:t>
      </w:r>
      <w:r>
        <w:rPr/>
        <w:t>收入增长不是极端快，但利润率需保持约</w:t>
      </w:r>
      <w:r>
        <w:rPr/>
        <w:t>19.5%</w:t>
      </w:r>
      <w:r>
        <w:rPr/>
        <w:t>，意味着制剂新品、海外和</w:t>
      </w:r>
      <w:r>
        <w:rPr/>
        <w:t>API</w:t>
      </w:r>
      <w:r>
        <w:rPr/>
        <w:t>结构及销售效率改善。乐观</w:t>
      </w:r>
      <w:r>
        <w:rPr/>
        <w:t>EPS4.20</w:t>
      </w:r>
      <w:r>
        <w:rPr/>
        <w:t>、</w:t>
      </w:r>
      <w:r>
        <w:rPr/>
        <w:t>PE17</w:t>
      </w:r>
      <w:r>
        <w:rPr/>
        <w:t>对应</w:t>
      </w:r>
      <w:r>
        <w:rPr/>
        <w:t>78.54</w:t>
      </w:r>
      <w:r>
        <w:rPr/>
        <w:t>，要求多个商业路径成功而不是一款药的单因素成功。悲观</w:t>
      </w:r>
      <w:r>
        <w:rPr/>
        <w:t>EPS1.90</w:t>
      </w:r>
      <w:r>
        <w:rPr/>
        <w:t>、</w:t>
      </w:r>
      <w:r>
        <w:rPr/>
        <w:t>PE8</w:t>
      </w:r>
      <w:r>
        <w:rPr/>
        <w:t>对应</w:t>
      </w:r>
      <w:r>
        <w:rPr/>
        <w:t>16.72</w:t>
      </w:r>
      <w:r>
        <w:rPr/>
        <w:t>，允许收入只缓慢变化、旧业务压力长期存在。三情景包含经营和倍数联合变化，没有把它们作为互相独立概率相乘的统计模型。</w:t>
      </w:r>
    </w:p>
    <w:p>
      <w:pPr>
        <w:pStyle w:val="Normal"/>
        <w:rPr/>
      </w:pPr>
      <w:r>
        <w:rPr/>
        <w:t>五年基准收入</w:t>
      </w:r>
      <w:r>
        <w:rPr/>
        <w:t>155</w:t>
      </w:r>
      <w:r>
        <w:rPr/>
        <w:t>亿元、归母</w:t>
      </w:r>
      <w:r>
        <w:rPr/>
        <w:t>31.9647</w:t>
      </w:r>
      <w:r>
        <w:rPr/>
        <w:t>亿元、</w:t>
      </w:r>
      <w:r>
        <w:rPr/>
        <w:t>EPS3.60</w:t>
      </w:r>
      <w:r>
        <w:rPr/>
        <w:t>、</w:t>
      </w:r>
      <w:r>
        <w:rPr/>
        <w:t>PE12</w:t>
      </w:r>
      <w:r>
        <w:rPr/>
        <w:t>倍，目标</w:t>
      </w:r>
      <w:r>
        <w:rPr/>
        <w:t>47.52</w:t>
      </w:r>
      <w:r>
        <w:rPr/>
        <w:t>港元。倍数比三年基准略降，反映较成熟阶段增长速度和产品生命周期的压力，不能把利润增长与无限估值扩张同时外推。乐观收入</w:t>
      </w:r>
      <w:r>
        <w:rPr/>
        <w:t>200</w:t>
      </w:r>
      <w:r>
        <w:rPr/>
        <w:t>亿元、利润率约</w:t>
      </w:r>
      <w:r>
        <w:rPr/>
        <w:t>24.42%</w:t>
      </w:r>
      <w:r>
        <w:rPr/>
        <w:t>、</w:t>
      </w:r>
      <w:r>
        <w:rPr/>
        <w:t>EPS5.50</w:t>
      </w:r>
      <w:r>
        <w:rPr/>
        <w:t>、</w:t>
      </w:r>
      <w:r>
        <w:rPr/>
        <w:t>PE16</w:t>
      </w:r>
      <w:r>
        <w:rPr/>
        <w:t>，目标</w:t>
      </w:r>
      <w:r>
        <w:rPr/>
        <w:t>96.80</w:t>
      </w:r>
      <w:r>
        <w:rPr/>
        <w:t>，属于自免、长效、海外和其他接力都取得良好回报的联合条件；悲观</w:t>
      </w:r>
      <w:r>
        <w:rPr/>
        <w:t>15.40</w:t>
      </w:r>
      <w:r>
        <w:rPr/>
        <w:t>允许利润缓慢而倍数进一步收缩。长期仍可有很大股价损失，累计分红不能成为价格底线。</w:t>
      </w:r>
    </w:p>
    <w:p>
      <w:pPr>
        <w:pStyle w:val="Normal"/>
        <w:rPr/>
      </w:pPr>
      <w:r>
        <w:rPr/>
        <w:t>净现金、账面和现金收益只作为交叉检查。基准一年净利润</w:t>
      </w:r>
      <w:r>
        <w:rPr/>
        <w:t>20.42</w:t>
      </w:r>
      <w:r>
        <w:rPr/>
        <w:t>亿元、全部股数按</w:t>
      </w:r>
      <w:r>
        <w:rPr/>
        <w:t>30.36</w:t>
      </w:r>
      <w:r>
        <w:rPr/>
        <w:t>港元估值，换汇后约</w:t>
      </w:r>
      <w:r>
        <w:rPr/>
        <w:t>245.06</w:t>
      </w:r>
      <w:r>
        <w:rPr/>
        <w:t>亿元人民币权益参考，对应十二倍。现金等价物净银行租债约</w:t>
      </w:r>
      <w:r>
        <w:rPr/>
        <w:t>38.95</w:t>
      </w:r>
      <w:r>
        <w:rPr/>
        <w:t>亿元、最近经营现金强，使财务承受能力较好，但推广应付与研发并购需求限制可提取金额。没有完整分部</w:t>
      </w:r>
      <w:r>
        <w:rPr/>
        <w:t>DCF</w:t>
      </w:r>
      <w:r>
        <w:rPr/>
        <w:t>或</w:t>
      </w:r>
      <w:r>
        <w:rPr/>
        <w:t>EV</w:t>
      </w:r>
      <w:r>
        <w:rPr/>
        <w:t>倍数交叉，就不能声称模型一致支持精确</w:t>
      </w:r>
      <w:r>
        <w:rPr/>
        <w:t>30.36</w:t>
      </w:r>
      <w:r>
        <w:rPr/>
        <w:t>。保留这些限制，比用几种同一盈利推导的估值包装成独立验证更透明。</w:t>
      </w:r>
    </w:p>
    <w:p>
      <w:pPr>
        <w:pStyle w:val="Heading2"/>
        <w:rPr/>
      </w:pPr>
      <w:r>
        <w:rPr>
          <w:color w:val="000000"/>
        </w:rPr>
        <w:t>敏感性 外资参照与年底期望</w:t>
      </w:r>
    </w:p>
    <w:p>
      <w:pPr>
        <w:pStyle w:val="Normal"/>
        <w:rPr/>
      </w:pPr>
      <w:r>
        <w:rPr/>
        <w:t>估值每一元</w:t>
      </w:r>
      <w:r>
        <w:rPr/>
        <w:t>EPS</w:t>
      </w:r>
      <w:r>
        <w:rPr/>
        <w:t>在</w:t>
      </w:r>
      <w:r>
        <w:rPr/>
        <w:t>12</w:t>
      </w:r>
      <w:r>
        <w:rPr/>
        <w:t>倍</w:t>
      </w:r>
      <w:r>
        <w:rPr/>
        <w:t>PE</w:t>
      </w:r>
      <w:r>
        <w:rPr/>
        <w:t>和</w:t>
      </w:r>
      <w:r>
        <w:rPr/>
        <w:t>1.10</w:t>
      </w:r>
      <w:r>
        <w:rPr/>
        <w:t>汇率下对应</w:t>
      </w:r>
      <w:r>
        <w:rPr/>
        <w:t>13.2</w:t>
      </w:r>
      <w:r>
        <w:rPr/>
        <w:t>港元；一年基准</w:t>
      </w:r>
      <w:r>
        <w:rPr/>
        <w:t>EPS2.30</w:t>
      </w:r>
      <w:r>
        <w:rPr/>
        <w:t>若下降</w:t>
      </w:r>
      <w:r>
        <w:rPr/>
        <w:t>10%</w:t>
      </w:r>
      <w:r>
        <w:rPr/>
        <w:t>，在倍数相同下目标也下降</w:t>
      </w:r>
      <w:r>
        <w:rPr/>
        <w:t>10%</w:t>
      </w:r>
      <w:r>
        <w:rPr/>
        <w:t>。倍数从</w:t>
      </w:r>
      <w:r>
        <w:rPr/>
        <w:t>12</w:t>
      </w:r>
      <w:r>
        <w:rPr/>
        <w:t>降到</w:t>
      </w:r>
      <w:r>
        <w:rPr/>
        <w:t>10</w:t>
      </w:r>
      <w:r>
        <w:rPr/>
        <w:t>，基准目标变</w:t>
      </w:r>
      <w:r>
        <w:rPr/>
        <w:t>25.30</w:t>
      </w:r>
      <w:r>
        <w:rPr/>
        <w:t>，盈利下降和倍数收缩同时发生则回报迅速变差。用这一敏感关系可以理解“低</w:t>
      </w:r>
      <w:r>
        <w:rPr/>
        <w:t>PE”</w:t>
      </w:r>
      <w:r>
        <w:rPr/>
        <w:t>的实际风险：盈利基数不是固定。未来总股数增加</w:t>
      </w:r>
      <w:r>
        <w:rPr/>
        <w:t>5%</w:t>
      </w:r>
      <w:r>
        <w:rPr/>
        <w:t>而利润不变，</w:t>
      </w:r>
      <w:r>
        <w:rPr/>
        <w:t>EPS</w:t>
      </w:r>
      <w:r>
        <w:rPr/>
        <w:t>和价约降</w:t>
      </w:r>
      <w:r>
        <w:rPr/>
        <w:t>4.76%</w:t>
      </w:r>
      <w:r>
        <w:rPr/>
        <w:t>；股数减少</w:t>
      </w:r>
      <w:r>
        <w:rPr/>
        <w:t>5%</w:t>
      </w:r>
      <w:r>
        <w:rPr/>
        <w:t>约增</w:t>
      </w:r>
      <w:r>
        <w:rPr/>
        <w:t>5.26%</w:t>
      </w:r>
      <w:r>
        <w:rPr/>
        <w:t>，但回购消耗现金，不能既减少分母又保持所有现金收益不变。</w:t>
      </w:r>
    </w:p>
    <w:p>
      <w:pPr>
        <w:pStyle w:val="Normal"/>
        <w:rPr/>
      </w:pPr>
      <w:r>
        <w:rPr/>
        <w:t>未来盈利人民币转港币暂设</w:t>
      </w:r>
      <w:r>
        <w:rPr/>
        <w:t>1.10</w:t>
      </w:r>
      <w:r>
        <w:rPr/>
        <w:t>，是公开研究参数，非已经核验</w:t>
      </w:r>
      <w:r>
        <w:rPr/>
        <w:t>10</w:t>
      </w:r>
      <w:r>
        <w:rPr/>
        <w:t>月</w:t>
      </w:r>
      <w:r>
        <w:rPr/>
        <w:t>9</w:t>
      </w:r>
      <w:r>
        <w:rPr/>
        <w:t>日现汇。特别股息则按已公布换汇</w:t>
      </w:r>
      <w:r>
        <w:rPr/>
        <w:t>1.16206</w:t>
      </w:r>
      <w:r>
        <w:rPr/>
        <w:t>锁定，二者来源不同，不能为表面一致擅自修改法定派现金额。一年基准换汇上下</w:t>
      </w:r>
      <w:r>
        <w:rPr/>
        <w:t>5%</w:t>
      </w:r>
      <w:r>
        <w:rPr/>
        <w:t>目标为</w:t>
      </w:r>
      <w:r>
        <w:rPr/>
        <w:t>28.842</w:t>
      </w:r>
      <w:r>
        <w:rPr/>
        <w:t>和</w:t>
      </w:r>
      <w:r>
        <w:rPr/>
        <w:t>31.878</w:t>
      </w:r>
      <w:r>
        <w:rPr/>
        <w:t>港元，其他因素不变时展示利润换算敏感。人民币投资者还面对持有期港币兑换人民币变化：在税前港币总回报</w:t>
      </w:r>
      <w:r>
        <w:rPr/>
        <w:t>48.31%</w:t>
      </w:r>
      <w:r>
        <w:rPr/>
        <w:t>基准下，港币弱</w:t>
      </w:r>
      <w:r>
        <w:rPr/>
        <w:t>5%</w:t>
      </w:r>
      <w:r>
        <w:rPr/>
        <w:t>约</w:t>
      </w:r>
      <w:r>
        <w:rPr/>
        <w:t>40.89%</w:t>
      </w:r>
      <w:r>
        <w:rPr/>
        <w:t>、强</w:t>
      </w:r>
      <w:r>
        <w:rPr/>
        <w:t>5%</w:t>
      </w:r>
      <w:r>
        <w:rPr/>
        <w:t>约</w:t>
      </w:r>
      <w:r>
        <w:rPr/>
        <w:t>55.72%</w:t>
      </w:r>
      <w:r>
        <w:rPr/>
        <w:t>，此项与经营</w:t>
      </w:r>
      <w:r>
        <w:rPr/>
        <w:t>FX</w:t>
      </w:r>
      <w:r>
        <w:rPr/>
        <w:t>敏感不可重复当同一利好。</w:t>
      </w:r>
    </w:p>
    <w:p>
      <w:pPr>
        <w:pStyle w:val="Normal"/>
        <w:rPr/>
      </w:pPr>
      <w:r>
        <w:rPr/>
        <w:t>9</w:t>
      </w:r>
      <w:r>
        <w:rPr/>
        <w:t>月</w:t>
      </w:r>
      <w:r>
        <w:rPr/>
        <w:t>29</w:t>
      </w:r>
      <w:r>
        <w:rPr/>
        <w:t>日公开</w:t>
      </w:r>
      <w:r>
        <w:rPr/>
        <w:t>AASTOCKS</w:t>
      </w:r>
      <w:r>
        <w:rPr/>
        <w:t>转述汇丰持有评级，将</w:t>
      </w:r>
      <w:r>
        <w:rPr/>
        <w:t>H</w:t>
      </w:r>
      <w:r>
        <w:rPr/>
        <w:t>股目标从</w:t>
      </w:r>
      <w:r>
        <w:rPr/>
        <w:t>29</w:t>
      </w:r>
      <w:r>
        <w:rPr/>
        <w:t>降至</w:t>
      </w:r>
      <w:r>
        <w:rPr/>
        <w:t>22.3</w:t>
      </w:r>
      <w:r>
        <w:rPr/>
        <w:t>港元，近截止日且已在半年业绩后，是较相关机构参照。相对</w:t>
      </w:r>
      <w:r>
        <w:rPr/>
        <w:t>22.16</w:t>
      </w:r>
      <w:r>
        <w:rPr/>
        <w:t>仅约</w:t>
      </w:r>
      <w:r>
        <w:rPr/>
        <w:t>0.63%</w:t>
      </w:r>
      <w:r>
        <w:rPr/>
        <w:t>股价空间。原付费报告和明确目标期限未得，本章不能声称已核十二个月目标；在一年表作为外资估值参照并单列期限缺失。同日表和正文是同一报告去重，不当两家意见。该机构较谨慎的预期提醒本章一年</w:t>
      </w:r>
      <w:r>
        <w:rPr/>
        <w:t>30.36</w:t>
      </w:r>
      <w:r>
        <w:rPr/>
        <w:t>依赖更明显盈利恢复，不能用外资支持字样掩盖实际差异。</w:t>
      </w:r>
    </w:p>
    <w:p>
      <w:pPr>
        <w:pStyle w:val="Normal"/>
        <w:rPr/>
      </w:pPr>
      <w:r>
        <w:rPr/>
        <w:t>高盛</w:t>
      </w:r>
      <w:r>
        <w:rPr/>
        <w:t>2025</w:t>
      </w:r>
      <w:r>
        <w:rPr/>
        <w:t>年</w:t>
      </w:r>
      <w:r>
        <w:rPr/>
        <w:t>4</w:t>
      </w:r>
      <w:r>
        <w:rPr/>
        <w:t>月</w:t>
      </w:r>
      <w:r>
        <w:rPr/>
        <w:t>1</w:t>
      </w:r>
      <w:r>
        <w:rPr/>
        <w:t>日公开转述中性、目标</w:t>
      </w:r>
      <w:r>
        <w:rPr/>
        <w:t>20.35</w:t>
      </w:r>
      <w:r>
        <w:rPr/>
        <w:t>港元，已经超过九十天且早于最新业绩和新药批准，只作历史背景，不与汇丰最新目标求精确平均。它当时强调现有产品瓶颈和新产品决定增长，与本章产品接力框架相近，但不能据此说当前评级仍有效。本章已搜索公开条目，没有完整最新机构覆盖清单和原报告，机构共识字段保留缺失。机构目标本身也会变化，只能帮助比较关键经营假设，不替代投资者对风险的判断。</w:t>
      </w:r>
    </w:p>
    <w:p>
      <w:pPr>
        <w:pStyle w:val="Normal"/>
        <w:rPr/>
      </w:pPr>
      <w:r>
        <w:rPr/>
        <w:t>年底</w:t>
      </w:r>
      <w:r>
        <w:rPr/>
        <w:t>25%</w:t>
      </w:r>
      <w:r>
        <w:rPr/>
        <w:t>、</w:t>
      </w:r>
      <w:r>
        <w:rPr/>
        <w:t>50%</w:t>
      </w:r>
      <w:r>
        <w:rPr/>
        <w:t>、</w:t>
      </w:r>
      <w:r>
        <w:rPr/>
        <w:t>25%</w:t>
      </w:r>
      <w:r>
        <w:rPr/>
        <w:t>权重得到</w:t>
      </w:r>
      <w:r>
        <w:rPr/>
        <w:t>22.64625</w:t>
      </w:r>
      <w:r>
        <w:rPr/>
        <w:t>港元期望价，价格期望</w:t>
      </w:r>
      <w:r>
        <w:rPr/>
        <w:t>2.19%</w:t>
      </w:r>
      <w:r>
        <w:rPr/>
        <w:t>，加固定未来特别股息后税前</w:t>
      </w:r>
      <w:r>
        <w:rPr/>
        <w:t>7.54%</w:t>
      </w:r>
      <w:r>
        <w:rPr/>
        <w:t>。这是研究者的情景权重，没有历史拟合或统计获利概率依据。偏悲观</w:t>
      </w:r>
      <w:r>
        <w:rPr/>
        <w:t>40%</w:t>
      </w:r>
      <w:r>
        <w:rPr/>
        <w:t>、</w:t>
      </w:r>
      <w:r>
        <w:rPr/>
        <w:t>50%</w:t>
      </w:r>
      <w:r>
        <w:rPr/>
        <w:t>、</w:t>
      </w:r>
      <w:r>
        <w:rPr/>
        <w:t>10%</w:t>
      </w:r>
      <w:r>
        <w:rPr/>
        <w:t>得</w:t>
      </w:r>
      <w:r>
        <w:rPr/>
        <w:t>20.03925</w:t>
      </w:r>
      <w:r>
        <w:rPr/>
        <w:t>，偏乐观</w:t>
      </w:r>
      <w:r>
        <w:rPr/>
        <w:t>10%</w:t>
      </w:r>
      <w:r>
        <w:rPr/>
        <w:t>、</w:t>
      </w:r>
      <w:r>
        <w:rPr/>
        <w:t>50%</w:t>
      </w:r>
      <w:r>
        <w:rPr/>
        <w:t>、</w:t>
      </w:r>
      <w:r>
        <w:rPr/>
        <w:t>40%</w:t>
      </w:r>
      <w:r>
        <w:rPr/>
        <w:t>得</w:t>
      </w:r>
      <w:r>
        <w:rPr/>
        <w:t>25.25325</w:t>
      </w:r>
      <w:r>
        <w:rPr/>
        <w:t>，说明期望值对极端状态权重敏感。权重必须在同一截止日信息集评估，不能事后根据股价走势倒改以美化结果。任何超出情景的事件都可能出现，包括更大跌幅、暂停交易或意外利好。</w:t>
      </w:r>
    </w:p>
    <w:p>
      <w:pPr>
        <w:pStyle w:val="Normal"/>
        <w:rPr/>
      </w:pPr>
      <w:r>
        <w:rPr/>
        <w:t>年底悲观</w:t>
      </w:r>
      <w:r>
        <w:rPr/>
        <w:t>14.08</w:t>
      </w:r>
      <w:r>
        <w:rPr/>
        <w:t>对应旧品压力延续、季度盈利弱、</w:t>
      </w:r>
      <w:r>
        <w:rPr/>
        <w:t>IL17</w:t>
      </w:r>
      <w:r>
        <w:rPr/>
        <w:t>和长效准入速度慢及八倍</w:t>
      </w:r>
      <w:r>
        <w:rPr/>
        <w:t>PE</w:t>
      </w:r>
      <w:r>
        <w:rPr/>
        <w:t>；基准</w:t>
      </w:r>
      <w:r>
        <w:rPr/>
        <w:t>22.5225</w:t>
      </w:r>
      <w:r>
        <w:rPr/>
        <w:t>对应下降基数开始消化但新品尚无大额集团贡献；乐观</w:t>
      </w:r>
      <w:r>
        <w:rPr/>
        <w:t>31.46</w:t>
      </w:r>
      <w:r>
        <w:rPr/>
        <w:t>需要经营预期明显上修且市场给十三倍。这些价格分别是除净后的预期市场价，不能把股息扣两次或不扣反复计算。年底催化主要来自后续财报、准入和商业化进度、已确定股息支付，以及市场风险偏好；已发生获批不作为尚未实现事件再计一次。</w:t>
      </w:r>
    </w:p>
    <w:p>
      <w:pPr>
        <w:pStyle w:val="Heading2"/>
        <w:rPr/>
      </w:pPr>
      <w:r>
        <w:rPr>
          <w:color w:val="000000"/>
        </w:rPr>
        <w:t>四期限证据权重与失败路径</w:t>
      </w:r>
    </w:p>
    <w:p>
      <w:pPr>
        <w:pStyle w:val="Normal"/>
        <w:rPr/>
      </w:pPr>
      <w:r>
        <w:rPr/>
        <w:t>半年六维分值</w:t>
      </w:r>
      <w:r>
        <w:rPr/>
        <w:t>3.4</w:t>
      </w:r>
      <w:r>
        <w:rPr/>
        <w:t>、</w:t>
      </w:r>
      <w:r>
        <w:rPr/>
        <w:t>2.5</w:t>
      </w:r>
      <w:r>
        <w:rPr/>
        <w:t>、</w:t>
      </w:r>
      <w:r>
        <w:rPr/>
        <w:t>2.8</w:t>
      </w:r>
      <w:r>
        <w:rPr/>
        <w:t>、</w:t>
      </w:r>
      <w:r>
        <w:rPr/>
        <w:t>3.2</w:t>
      </w:r>
      <w:r>
        <w:rPr/>
        <w:t>、</w:t>
      </w:r>
      <w:r>
        <w:rPr/>
        <w:t>3.7</w:t>
      </w:r>
      <w:r>
        <w:rPr/>
        <w:t>、</w:t>
      </w:r>
      <w:r>
        <w:rPr/>
        <w:t>3.7</w:t>
      </w:r>
      <w:r>
        <w:rPr/>
        <w:t>，按</w:t>
      </w:r>
      <w:r>
        <w:rPr/>
        <w:t>25%</w:t>
      </w:r>
      <w:r>
        <w:rPr/>
        <w:t>、</w:t>
      </w:r>
      <w:r>
        <w:rPr/>
        <w:t>30%</w:t>
      </w:r>
      <w:r>
        <w:rPr/>
        <w:t>、</w:t>
      </w:r>
      <w:r>
        <w:rPr/>
        <w:t>15%</w:t>
      </w:r>
      <w:r>
        <w:rPr/>
        <w:t>、</w:t>
      </w:r>
      <w:r>
        <w:rPr/>
        <w:t>10%</w:t>
      </w:r>
      <w:r>
        <w:rPr/>
        <w:t>、</w:t>
      </w:r>
      <w:r>
        <w:rPr/>
        <w:t>10%</w:t>
      </w:r>
      <w:r>
        <w:rPr/>
        <w:t>、</w:t>
      </w:r>
      <w:r>
        <w:rPr/>
        <w:t>10%</w:t>
      </w:r>
      <w:r>
        <w:rPr/>
        <w:t>合</w:t>
      </w:r>
      <w:r>
        <w:rPr/>
        <w:t>61.6</w:t>
      </w:r>
      <w:r>
        <w:rPr/>
        <w:t>。估值存在一定修复空间和明确股息，但技术仍在周下降结构所以只有中低分；已获批新品提高催化质量，最新利润下降使经营得分受限。若想提升半年排序，需要在真实成交的价格突破之外观察新产品销售或盈利变化。技术强而基本面差可能只是交易反弹，基本面改善而技术弱则是等待市场认可，不能用一个维度代替另一个。</w:t>
      </w:r>
    </w:p>
    <w:p>
      <w:pPr>
        <w:pStyle w:val="Normal"/>
        <w:rPr/>
      </w:pPr>
      <w:r>
        <w:rPr/>
        <w:t>一年六维</w:t>
      </w:r>
      <w:r>
        <w:rPr/>
        <w:t>3.8</w:t>
      </w:r>
      <w:r>
        <w:rPr/>
        <w:t>、</w:t>
      </w:r>
      <w:r>
        <w:rPr/>
        <w:t>2.5</w:t>
      </w:r>
      <w:r>
        <w:rPr/>
        <w:t>、</w:t>
      </w:r>
      <w:r>
        <w:rPr/>
        <w:t>3.1</w:t>
      </w:r>
      <w:r>
        <w:rPr/>
        <w:t>、</w:t>
      </w:r>
      <w:r>
        <w:rPr/>
        <w:t>3.3</w:t>
      </w:r>
      <w:r>
        <w:rPr/>
        <w:t>、</w:t>
      </w:r>
      <w:r>
        <w:rPr/>
        <w:t>3.8</w:t>
      </w:r>
      <w:r>
        <w:rPr/>
        <w:t>、</w:t>
      </w:r>
      <w:r>
        <w:rPr/>
        <w:t>3.6</w:t>
      </w:r>
      <w:r>
        <w:rPr/>
        <w:t>，合</w:t>
      </w:r>
      <w:r>
        <w:rPr/>
        <w:t>66.7</w:t>
      </w:r>
      <w:r>
        <w:rPr/>
        <w:t>。估值空间较半年更大，经营权重升到</w:t>
      </w:r>
      <w:r>
        <w:rPr/>
        <w:t>25%</w:t>
      </w:r>
      <w:r>
        <w:rPr/>
        <w:t>，观察周期足以让新上市药完成部分准入；财务维度略降低，反映一年资本分配和推广压力。一年不依赖布瑞哌唑等一期药上市，主要看已批准长效和自免、既有制剂以及</w:t>
      </w:r>
      <w:r>
        <w:rPr/>
        <w:t>IMP</w:t>
      </w:r>
      <w:r>
        <w:rPr/>
        <w:t>整合。失败路径包括价格再压、销量补偿不足、新品促销费用高、海外摊销增加和普通分红低于假设，任何一项严重变化都应修改模型而非只调整评级措辞。</w:t>
      </w:r>
    </w:p>
    <w:p>
      <w:pPr>
        <w:pStyle w:val="Normal"/>
        <w:rPr/>
      </w:pPr>
      <w:r>
        <w:rPr/>
        <w:t>三年六维</w:t>
      </w:r>
      <w:r>
        <w:rPr/>
        <w:t>3.7</w:t>
      </w:r>
      <w:r>
        <w:rPr/>
        <w:t>、</w:t>
      </w:r>
      <w:r>
        <w:rPr/>
        <w:t>2.5</w:t>
      </w:r>
      <w:r>
        <w:rPr/>
        <w:t>、</w:t>
      </w:r>
      <w:r>
        <w:rPr/>
        <w:t>3.5</w:t>
      </w:r>
      <w:r>
        <w:rPr/>
        <w:t>、</w:t>
      </w:r>
      <w:r>
        <w:rPr/>
        <w:t>3.5</w:t>
      </w:r>
      <w:r>
        <w:rPr/>
        <w:t>、</w:t>
      </w:r>
      <w:r>
        <w:rPr/>
        <w:t>3.6</w:t>
      </w:r>
      <w:r>
        <w:rPr/>
        <w:t>、</w:t>
      </w:r>
      <w:r>
        <w:rPr/>
        <w:t>3.5</w:t>
      </w:r>
      <w:r>
        <w:rPr/>
        <w:t>，合</w:t>
      </w:r>
      <w:r>
        <w:rPr/>
        <w:t>70.1</w:t>
      </w:r>
      <w:r>
        <w:rPr/>
        <w:t>；技术只占</w:t>
      </w:r>
      <w:r>
        <w:rPr/>
        <w:t>5%</w:t>
      </w:r>
      <w:r>
        <w:rPr/>
        <w:t>，增长质量</w:t>
      </w:r>
      <w:r>
        <w:rPr/>
        <w:t>35%</w:t>
      </w:r>
      <w:r>
        <w:rPr/>
        <w:t>、行业</w:t>
      </w:r>
      <w:r>
        <w:rPr/>
        <w:t>20%</w:t>
      </w:r>
      <w:r>
        <w:rPr/>
        <w:t>。这一期限让研发接力更有价值，也让单项目失败、医保和竞争暴露更充分。基准要求集团能从成熟制剂压力中形成新的增长结构，商业质量不是因为管线多就自动上升，而是已批产品的实际盈利和开发纪律共同提高。若到</w:t>
      </w:r>
      <w:r>
        <w:rPr/>
        <w:t>2028</w:t>
      </w:r>
      <w:r>
        <w:rPr/>
        <w:t>至</w:t>
      </w:r>
      <w:r>
        <w:rPr/>
        <w:t>2029</w:t>
      </w:r>
      <w:r>
        <w:rPr/>
        <w:t>仍依赖</w:t>
      </w:r>
      <w:r>
        <w:rPr/>
        <w:t>API</w:t>
      </w:r>
      <w:r>
        <w:rPr/>
        <w:t>和金融收益弥补制剂下降，且新品未形成可持续现金，即便股价短期反弹也应下调三年判断。</w:t>
      </w:r>
    </w:p>
    <w:p>
      <w:pPr>
        <w:pStyle w:val="Normal"/>
        <w:rPr/>
      </w:pPr>
      <w:r>
        <w:rPr/>
        <w:t>五年六维</w:t>
      </w:r>
      <w:r>
        <w:rPr/>
        <w:t>3.5</w:t>
      </w:r>
      <w:r>
        <w:rPr/>
        <w:t>、</w:t>
      </w:r>
      <w:r>
        <w:rPr/>
        <w:t>2.5</w:t>
      </w:r>
      <w:r>
        <w:rPr/>
        <w:t>、</w:t>
      </w:r>
      <w:r>
        <w:rPr/>
        <w:t>3.6</w:t>
      </w:r>
      <w:r>
        <w:rPr/>
        <w:t>、</w:t>
      </w:r>
      <w:r>
        <w:rPr/>
        <w:t>3.5</w:t>
      </w:r>
      <w:r>
        <w:rPr/>
        <w:t>、</w:t>
      </w:r>
      <w:r>
        <w:rPr/>
        <w:t>3.4</w:t>
      </w:r>
      <w:r>
        <w:rPr/>
        <w:t>、</w:t>
      </w:r>
      <w:r>
        <w:rPr/>
        <w:t>3.4</w:t>
      </w:r>
      <w:r>
        <w:rPr/>
        <w:t>，合</w:t>
      </w:r>
      <w:r>
        <w:rPr/>
        <w:t>70.4</w:t>
      </w:r>
      <w:r>
        <w:rPr/>
        <w:t>；技术零权重，经营</w:t>
      </w:r>
      <w:r>
        <w:rPr/>
        <w:t>40%</w:t>
      </w:r>
      <w:r>
        <w:rPr/>
        <w:t>、行业</w:t>
      </w:r>
      <w:r>
        <w:rPr/>
        <w:t>20%</w:t>
      </w:r>
      <w:r>
        <w:rPr/>
        <w:t>、财务治理</w:t>
      </w:r>
      <w:r>
        <w:rPr/>
        <w:t>15%</w:t>
      </w:r>
      <w:r>
        <w:rPr/>
        <w:t>。估值潜力仍有，但不比三年继续无条件提高，因为产品老化、竞争和资本配置长期不确定性更大。乐观需要连续产品迭代、研发不被短期降本侵蚀、海外整合和环保质量持续可靠；悲观允许利润横盘而估值衰减。长期评分接近三年，不意味多年被动持有即可，需每年用已兑现经营事实复核产品组合和资本回报。</w:t>
      </w:r>
    </w:p>
    <w:p>
      <w:pPr>
        <w:pStyle w:val="Normal"/>
        <w:rPr/>
      </w:pPr>
      <w:r>
        <w:rPr/>
        <w:t>十年经营展望关注</w:t>
      </w:r>
      <w:r>
        <w:rPr/>
        <w:t>2036</w:t>
      </w:r>
      <w:r>
        <w:rPr/>
        <w:t>附近既有核心产品的权利和生命周期、新机制竞争、长期自免和生殖治疗需求，以及工艺平台能否持续迭代。公司可能由较依赖成熟制剂的结构转向更多创新和全球化，但也可能停留在价格受压、推广投入高的传统组合。十年不提供精确股价：届时股数、现金、产品标签和政策变化过大，当前数学外推会制造精度错觉。可跟踪的经营标准是研发成功率、每个获批产品净回报、资本开支效率和归母可分配现金长期高于资本成本。</w:t>
      </w:r>
    </w:p>
    <w:p>
      <w:pPr>
        <w:pStyle w:val="Heading2"/>
        <w:rPr/>
      </w:pPr>
      <w:r>
        <w:rPr>
          <w:color w:val="000000"/>
        </w:rPr>
        <w:t>持续核验与行动条件</w:t>
      </w:r>
    </w:p>
    <w:p>
      <w:pPr>
        <w:pStyle w:val="Normal"/>
        <w:rPr/>
      </w:pPr>
      <w:r>
        <w:rPr/>
        <w:t>后续优先核验每个季度化学制剂和促性激素是否降幅收敛、消化产品净价和销量是否稳定、已批准莱康奇塔及三个月剂型是否有真实准入与复购、海外增长中有机和并表部分，以及</w:t>
      </w:r>
      <w:r>
        <w:rPr/>
        <w:t>OCF</w:t>
      </w:r>
      <w:r>
        <w:rPr/>
        <w:t>能否在推广应付款结算后持续支持现金分配。这些指标形成互相制约的证据：只增长收入而费用失控、只高现金而靠延付、只高研发而临床无进展，都不构成推荐加强。没有披露明细时承认缺失，不将管理宣传推演成可核数字。</w:t>
      </w:r>
    </w:p>
    <w:p>
      <w:pPr>
        <w:pStyle w:val="Normal"/>
        <w:rPr/>
      </w:pPr>
      <w:r>
        <w:rPr/>
        <w:t>技术更新应在既定数据版本上留痕，核复权公司行动、名义收盘、量单位和当日是否交易。特殊股息除净后用新基准重算回报，不能继续用旧</w:t>
      </w:r>
      <w:r>
        <w:rPr/>
        <w:t>22.16</w:t>
      </w:r>
      <w:r>
        <w:rPr/>
        <w:t>和已脱离资格的股息混搭。若只是讨论本研究截止日，不用截止日后消息反推当时推荐；若要新版本，全部价格、盈利预期、机构日期和权重一起刷新并标注日期。研究者不应通过选择有利窗口让</w:t>
      </w:r>
      <w:r>
        <w:rPr/>
        <w:t>20</w:t>
      </w:r>
      <w:r>
        <w:rPr/>
        <w:t>日强弱掩盖</w:t>
      </w:r>
      <w:r>
        <w:rPr/>
        <w:t>60</w:t>
      </w:r>
      <w:r>
        <w:rPr/>
        <w:t>日落后，也不应改变股价基准追随最终表现。</w:t>
      </w:r>
    </w:p>
    <w:p>
      <w:pPr>
        <w:pStyle w:val="Normal"/>
        <w:rPr/>
      </w:pPr>
      <w:r>
        <w:rPr/>
        <w:t>当前最需要补足的是莱康奇塔原头对头统计全文、完整合作权益条款、</w:t>
      </w:r>
      <w:r>
        <w:rPr/>
        <w:t>JP1366</w:t>
      </w:r>
      <w:r>
        <w:rPr/>
        <w:t>和司美截止日最新监管原状态、</w:t>
      </w:r>
      <w:r>
        <w:rPr/>
        <w:t>R&amp;D</w:t>
      </w:r>
      <w:r>
        <w:rPr/>
        <w:t>两个披露口径调节桥、</w:t>
      </w:r>
      <w:r>
        <w:rPr/>
        <w:t>IMP</w:t>
      </w:r>
      <w:r>
        <w:rPr/>
        <w:t>完整并表盈利桥，以及行业专属历史基准。缺这些资料仍能形成透明成熟药企条件估值，但限制精细分药物结论和精准交易择时。本文明确区分已实现事实、公司前瞻和研究判断；只在数据支持时提高确定性。对进取投资者，丽珠可以作为等待兑现的修复候选，优先级仍应由全榜与更强盈利成长证据的公司比较。</w:t>
      </w:r>
    </w:p>
    <w:p>
      <w:pPr>
        <w:pStyle w:val="Heading2"/>
        <w:rPr/>
      </w:pPr>
      <w:r>
        <w:rPr>
          <w:color w:val="000000"/>
        </w:rPr>
        <w:t>来源与核验索引</w:t>
      </w:r>
    </w:p>
    <w:tbl>
      <w:tblPr>
        <w:tblW w:w="9856" w:type="dxa"/>
        <w:jc w:val="start"/>
        <w:tblInd w:w="85" w:type="dxa"/>
        <w:tblLayout w:type="fixed"/>
        <w:tblCellMar>
          <w:top w:w="90" w:type="dxa"/>
          <w:start w:w="90" w:type="dxa"/>
          <w:bottom w:w="90" w:type="dxa"/>
          <w:end w:w="90" w:type="dxa"/>
        </w:tblCellMar>
        <w:tblLook w:val="04a0" w:firstRow="1" w:noVBand="1" w:lastRow="0" w:firstColumn="1" w:lastColumn="0" w:noHBand="0"/>
      </w:tblPr>
      <w:tblGrid>
        <w:gridCol w:w="2464"/>
        <w:gridCol w:w="2464"/>
        <w:gridCol w:w="2464"/>
        <w:gridCol w:w="2464"/>
      </w:tblGrid>
      <w:tr>
        <w:trPr>
          <w:tblHeader w:val="true"/>
          <w:cantSplit/>
        </w:trPr>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资料</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日期</w:t>
            </w:r>
            <w:r>
              <w:rPr>
                <w:rFonts w:eastAsia="微软雅黑" w:ascii="微软雅黑" w:hAnsi="微软雅黑"/>
                <w:b/>
                <w:color w:val="FFFFFF"/>
                <w:sz w:val="17"/>
              </w:rPr>
              <w:t>/</w:t>
            </w:r>
            <w:r>
              <w:rPr>
                <w:rFonts w:ascii="微软雅黑" w:hAnsi="微软雅黑" w:eastAsia="微软雅黑"/>
                <w:b/>
                <w:color w:val="FFFFFF"/>
                <w:sz w:val="17"/>
              </w:rPr>
              <w:t>期间</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主核页码与链接</w:t>
            </w:r>
          </w:p>
        </w:tc>
        <w:tc>
          <w:tcPr>
            <w:tcW w:w="2464" w:type="dxa"/>
            <w:tcBorders>
              <w:top w:val="single" w:sz="4" w:space="0" w:color="D9D9D9"/>
              <w:start w:val="single" w:sz="4" w:space="0" w:color="D9D9D9"/>
              <w:bottom w:val="single" w:sz="4" w:space="0" w:color="D9D9D9"/>
              <w:end w:val="single" w:sz="4" w:space="0" w:color="D9D9D9"/>
            </w:tcBorders>
            <w:shd w:fill="24364B" w:val="clear"/>
            <w:vAlign w:val="center"/>
          </w:tcPr>
          <w:p>
            <w:pPr>
              <w:pStyle w:val="Normal"/>
              <w:spacing w:lineRule="auto" w:line="283" w:before="0" w:after="80"/>
              <w:rPr/>
            </w:pPr>
            <w:r>
              <w:rPr>
                <w:rFonts w:ascii="微软雅黑" w:hAnsi="微软雅黑" w:eastAsia="微软雅黑"/>
                <w:b/>
                <w:color w:val="FFFFFF"/>
                <w:sz w:val="17"/>
              </w:rPr>
              <w:t>限制</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w:t>
            </w:r>
            <w:r>
              <w:rPr>
                <w:rFonts w:ascii="微软雅黑" w:hAnsi="微软雅黑" w:eastAsia="微软雅黑"/>
                <w:sz w:val="17"/>
              </w:rPr>
              <w:t>半年原法定报告</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2026-08-22/H1</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PDF8</w:t>
            </w:r>
            <w:r>
              <w:rPr>
                <w:rFonts w:ascii="微软雅黑" w:hAnsi="微软雅黑" w:eastAsia="微软雅黑"/>
                <w:sz w:val="17"/>
              </w:rPr>
              <w:t>、</w:t>
            </w:r>
            <w:r>
              <w:rPr>
                <w:rFonts w:eastAsia="微软雅黑" w:ascii="微软雅黑" w:hAnsi="微软雅黑"/>
                <w:sz w:val="17"/>
              </w:rPr>
              <w:t>12—15</w:t>
            </w:r>
            <w:r>
              <w:rPr>
                <w:rFonts w:ascii="微软雅黑" w:hAnsi="微软雅黑" w:eastAsia="微软雅黑"/>
                <w:sz w:val="17"/>
              </w:rPr>
              <w:t>、</w:t>
            </w:r>
            <w:r>
              <w:rPr>
                <w:rFonts w:eastAsia="微软雅黑" w:ascii="微软雅黑" w:hAnsi="微软雅黑"/>
                <w:sz w:val="17"/>
              </w:rPr>
              <w:t>23—27</w:t>
            </w:r>
            <w:r>
              <w:rPr>
                <w:rFonts w:ascii="微软雅黑" w:hAnsi="微软雅黑" w:eastAsia="微软雅黑"/>
                <w:sz w:val="17"/>
              </w:rPr>
              <w:t>、</w:t>
            </w:r>
            <w:r>
              <w:rPr>
                <w:rFonts w:eastAsia="微软雅黑" w:ascii="微软雅黑" w:hAnsi="微软雅黑"/>
                <w:sz w:val="17"/>
              </w:rPr>
              <w:t>63—66</w:t>
            </w:r>
            <w:r>
              <w:rPr>
                <w:rFonts w:ascii="微软雅黑" w:hAnsi="微软雅黑" w:eastAsia="微软雅黑"/>
                <w:sz w:val="17"/>
              </w:rPr>
              <w:t>、</w:t>
            </w:r>
            <w:r>
              <w:rPr>
                <w:rFonts w:eastAsia="微软雅黑" w:ascii="微软雅黑" w:hAnsi="微软雅黑"/>
                <w:sz w:val="17"/>
              </w:rPr>
              <w:t>122</w:t>
            </w:r>
            <w:r>
              <w:rPr>
                <w:rFonts w:ascii="微软雅黑" w:hAnsi="微软雅黑" w:eastAsia="微软雅黑"/>
                <w:sz w:val="17"/>
              </w:rPr>
              <w:t>、</w:t>
            </w:r>
            <w:r>
              <w:rPr>
                <w:rFonts w:eastAsia="微软雅黑" w:ascii="微软雅黑" w:hAnsi="微软雅黑"/>
                <w:sz w:val="17"/>
              </w:rPr>
              <w:t>127—130</w:t>
            </w:r>
            <w:r>
              <w:rPr>
                <w:rFonts w:ascii="微软雅黑" w:hAnsi="微软雅黑" w:eastAsia="微软雅黑"/>
                <w:sz w:val="17"/>
              </w:rPr>
              <w:t>、</w:t>
            </w:r>
            <w:r>
              <w:rPr>
                <w:rFonts w:eastAsia="微软雅黑" w:ascii="微软雅黑" w:hAnsi="微软雅黑"/>
                <w:sz w:val="17"/>
              </w:rPr>
              <w:t>136</w:t>
            </w:r>
            <w:r>
              <w:rPr>
                <w:rFonts w:ascii="微软雅黑" w:hAnsi="微软雅黑" w:eastAsia="微软雅黑"/>
                <w:sz w:val="17"/>
              </w:rPr>
              <w:t>、</w:t>
            </w:r>
            <w:r>
              <w:rPr>
                <w:rFonts w:eastAsia="微软雅黑" w:ascii="微软雅黑" w:hAnsi="微软雅黑"/>
                <w:sz w:val="17"/>
              </w:rPr>
              <w:t>138</w:t>
            </w:r>
            <w:r>
              <w:rPr>
                <w:rFonts w:ascii="微软雅黑" w:hAnsi="微软雅黑" w:eastAsia="微软雅黑"/>
                <w:sz w:val="17"/>
              </w:rPr>
              <w:t>、</w:t>
            </w:r>
            <w:r>
              <w:rPr>
                <w:rFonts w:eastAsia="微软雅黑" w:ascii="微软雅黑" w:hAnsi="微软雅黑"/>
                <w:sz w:val="17"/>
              </w:rPr>
              <w:t>144</w:t>
            </w:r>
            <w:r>
              <w:rPr>
                <w:rFonts w:ascii="微软雅黑" w:hAnsi="微软雅黑" w:eastAsia="微软雅黑"/>
                <w:sz w:val="17"/>
              </w:rPr>
              <w:t>；</w:t>
            </w:r>
            <w:r>
              <w:rPr>
                <w:rFonts w:eastAsia="微软雅黑" w:ascii="微软雅黑" w:hAnsi="微软雅黑"/>
                <w:sz w:val="17"/>
              </w:rPr>
              <w:t>https://static.cninfo.com.cn/finalpage/2026-08-22/1225490312.PDF</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财务人民币元转百万；原报告有页内双套页码，使用</w:t>
            </w:r>
            <w:r>
              <w:rPr>
                <w:rFonts w:eastAsia="微软雅黑" w:ascii="微软雅黑" w:hAnsi="微软雅黑"/>
                <w:sz w:val="17"/>
              </w:rPr>
              <w:t>PDF</w:t>
            </w:r>
            <w:r>
              <w:rPr>
                <w:rFonts w:ascii="微软雅黑" w:hAnsi="微软雅黑" w:eastAsia="微软雅黑"/>
                <w:sz w:val="17"/>
              </w:rPr>
              <w:t>物理页</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2025</w:t>
            </w:r>
            <w:r>
              <w:rPr>
                <w:rFonts w:ascii="微软雅黑" w:hAnsi="微软雅黑" w:eastAsia="微软雅黑"/>
                <w:sz w:val="17"/>
              </w:rPr>
              <w:t>原年报</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2026-03-25/FY</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PDF8—9</w:t>
            </w:r>
            <w:r>
              <w:rPr>
                <w:rFonts w:ascii="微软雅黑" w:hAnsi="微软雅黑" w:eastAsia="微软雅黑"/>
                <w:sz w:val="17"/>
              </w:rPr>
              <w:t>；</w:t>
            </w:r>
            <w:r>
              <w:rPr>
                <w:rFonts w:eastAsia="微软雅黑" w:ascii="微软雅黑" w:hAnsi="微软雅黑"/>
                <w:sz w:val="17"/>
              </w:rPr>
              <w:t>https://static.cninfo.com.cn/finalpage/2026-03-25/1225029104.PDF</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2023—2025</w:t>
            </w:r>
            <w:r>
              <w:rPr>
                <w:rFonts w:ascii="微软雅黑" w:hAnsi="微软雅黑" w:eastAsia="微软雅黑"/>
                <w:sz w:val="17"/>
              </w:rPr>
              <w:t>收入</w:t>
            </w:r>
            <w:r>
              <w:rPr>
                <w:rFonts w:eastAsia="微软雅黑" w:ascii="微软雅黑" w:hAnsi="微软雅黑"/>
                <w:sz w:val="17"/>
              </w:rPr>
              <w:t>/</w:t>
            </w:r>
            <w:r>
              <w:rPr>
                <w:rFonts w:ascii="微软雅黑" w:hAnsi="微软雅黑" w:eastAsia="微软雅黑"/>
                <w:sz w:val="17"/>
              </w:rPr>
              <w:t>利润</w:t>
            </w:r>
            <w:r>
              <w:rPr>
                <w:rFonts w:eastAsia="微软雅黑" w:ascii="微软雅黑" w:hAnsi="微软雅黑"/>
                <w:sz w:val="17"/>
              </w:rPr>
              <w:t>/</w:t>
            </w:r>
            <w:r>
              <w:rPr>
                <w:rFonts w:ascii="微软雅黑" w:hAnsi="微软雅黑" w:eastAsia="微软雅黑"/>
                <w:sz w:val="17"/>
              </w:rPr>
              <w:t>季度，非未来预测</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莱康奇塔注册证</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2026-08-28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PDF1—3</w:t>
            </w:r>
            <w:r>
              <w:rPr>
                <w:rFonts w:ascii="微软雅黑" w:hAnsi="微软雅黑" w:eastAsia="微软雅黑"/>
                <w:sz w:val="17"/>
              </w:rPr>
              <w:t>；</w:t>
            </w:r>
            <w:r>
              <w:rPr>
                <w:rFonts w:eastAsia="微软雅黑" w:ascii="微软雅黑" w:hAnsi="微软雅黑"/>
                <w:sz w:val="17"/>
              </w:rPr>
              <w:t>https://static.cninfo.com.cn/finalpage/2026-08-28/1225520257.PDF</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公司临床优效表述，独立统计全文未得</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亮丙瑞林三个月批准</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H2026-09-29/A09-30</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https://static.cninfo.com.cn/finalpage/2026-09-30/1225587853.PDF</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实际已批标签与</w:t>
            </w:r>
            <w:r>
              <w:rPr>
                <w:rFonts w:eastAsia="微软雅黑" w:ascii="微软雅黑" w:hAnsi="微软雅黑"/>
                <w:sz w:val="17"/>
              </w:rPr>
              <w:t>12</w:t>
            </w:r>
            <w:r>
              <w:rPr>
                <w:rFonts w:ascii="微软雅黑" w:hAnsi="微软雅黑" w:eastAsia="微软雅黑"/>
                <w:sz w:val="17"/>
              </w:rPr>
              <w:t>周剂型，非全</w:t>
            </w:r>
            <w:r>
              <w:rPr>
                <w:rFonts w:eastAsia="微软雅黑" w:ascii="微软雅黑" w:hAnsi="微软雅黑"/>
                <w:sz w:val="17"/>
              </w:rPr>
              <w:t>GnRHa</w:t>
            </w:r>
            <w:r>
              <w:rPr>
                <w:rFonts w:ascii="微软雅黑" w:hAnsi="微软雅黑" w:eastAsia="微软雅黑"/>
                <w:sz w:val="17"/>
              </w:rPr>
              <w:t>市场</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H</w:t>
            </w:r>
            <w:r>
              <w:rPr>
                <w:rFonts w:ascii="微软雅黑" w:hAnsi="微软雅黑" w:eastAsia="微软雅黑"/>
                <w:sz w:val="17"/>
              </w:rPr>
              <w:t>特别股息更新</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2026-09-25</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PDF1—2</w:t>
            </w:r>
            <w:r>
              <w:rPr>
                <w:rFonts w:ascii="微软雅黑" w:hAnsi="微软雅黑" w:eastAsia="微软雅黑"/>
                <w:sz w:val="17"/>
              </w:rPr>
              <w:t>；</w:t>
            </w:r>
            <w:r>
              <w:rPr>
                <w:rFonts w:eastAsia="微软雅黑" w:ascii="微软雅黑" w:hAnsi="微软雅黑"/>
                <w:sz w:val="17"/>
              </w:rPr>
              <w:t>https://iis.aastocks.com/20260925/12346836-0.PDF</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交易所发行人原公告镜像；</w:t>
            </w:r>
            <w:r>
              <w:rPr>
                <w:rFonts w:eastAsia="微软雅黑" w:ascii="微软雅黑" w:hAnsi="微软雅黑"/>
                <w:sz w:val="17"/>
              </w:rPr>
              <w:t>1.185HKD</w:t>
            </w:r>
            <w:r>
              <w:rPr>
                <w:rFonts w:ascii="微软雅黑" w:hAnsi="微软雅黑" w:eastAsia="微软雅黑"/>
                <w:sz w:val="17"/>
              </w:rPr>
              <w:t>、</w:t>
            </w:r>
            <w:r>
              <w:rPr>
                <w:rFonts w:eastAsia="微软雅黑" w:ascii="微软雅黑" w:hAnsi="微软雅黑"/>
                <w:sz w:val="17"/>
              </w:rPr>
              <w:t>10/14</w:t>
            </w:r>
            <w:r>
              <w:rPr>
                <w:rFonts w:ascii="微软雅黑" w:hAnsi="微软雅黑" w:eastAsia="微软雅黑"/>
                <w:sz w:val="17"/>
              </w:rPr>
              <w:t>除净、</w:t>
            </w:r>
            <w:r>
              <w:rPr>
                <w:rFonts w:eastAsia="微软雅黑" w:ascii="微软雅黑" w:hAnsi="微软雅黑"/>
                <w:sz w:val="17"/>
              </w:rPr>
              <w:t>11/3</w:t>
            </w:r>
            <w:r>
              <w:rPr>
                <w:rFonts w:ascii="微软雅黑" w:hAnsi="微软雅黑" w:eastAsia="微软雅黑"/>
                <w:sz w:val="17"/>
              </w:rPr>
              <w:t>支付</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9</w:t>
            </w:r>
            <w:r>
              <w:rPr>
                <w:rFonts w:ascii="微软雅黑" w:hAnsi="微软雅黑" w:eastAsia="微软雅黑"/>
                <w:sz w:val="17"/>
              </w:rPr>
              <w:t>月证券月报</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H10/7</w:t>
            </w:r>
            <w:r>
              <w:rPr>
                <w:rFonts w:ascii="微软雅黑" w:hAnsi="微软雅黑" w:eastAsia="微软雅黑"/>
                <w:sz w:val="17"/>
              </w:rPr>
              <w:t>、巨潮</w:t>
            </w:r>
            <w:r>
              <w:rPr>
                <w:rFonts w:eastAsia="微软雅黑" w:ascii="微软雅黑" w:hAnsi="微软雅黑"/>
                <w:sz w:val="17"/>
              </w:rPr>
              <w:t>10/9</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https://iis.aastocks.com/20261007/12365371-0.PDF</w:t>
            </w:r>
            <w:r>
              <w:rPr>
                <w:rFonts w:ascii="微软雅黑" w:hAnsi="微软雅黑" w:eastAsia="微软雅黑"/>
                <w:sz w:val="17"/>
              </w:rPr>
              <w:t>；</w:t>
            </w:r>
            <w:r>
              <w:rPr>
                <w:rFonts w:eastAsia="微软雅黑" w:ascii="微软雅黑" w:hAnsi="微软雅黑"/>
                <w:sz w:val="17"/>
              </w:rPr>
              <w:t>https://static.cninfo.com.cn/finalpage/2026-10-09/1225597404.PDF</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全股</w:t>
            </w:r>
            <w:r>
              <w:rPr>
                <w:rFonts w:eastAsia="微软雅黑" w:ascii="微软雅黑" w:hAnsi="微软雅黑"/>
                <w:sz w:val="17"/>
              </w:rPr>
              <w:t>A/H</w:t>
            </w:r>
            <w:r>
              <w:rPr>
                <w:rFonts w:ascii="微软雅黑" w:hAnsi="微软雅黑" w:eastAsia="微软雅黑"/>
                <w:sz w:val="17"/>
              </w:rPr>
              <w:t>核验，以较早</w:t>
            </w:r>
            <w:r>
              <w:rPr>
                <w:rFonts w:eastAsia="微软雅黑" w:ascii="微软雅黑" w:hAnsi="微软雅黑"/>
                <w:sz w:val="17"/>
              </w:rPr>
              <w:t>H</w:t>
            </w:r>
            <w:r>
              <w:rPr>
                <w:rFonts w:ascii="微软雅黑" w:hAnsi="微软雅黑" w:eastAsia="微软雅黑"/>
                <w:sz w:val="17"/>
              </w:rPr>
              <w:t>公开时间识别截止资格</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新北江关联交易</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签</w:t>
            </w:r>
            <w:r>
              <w:rPr>
                <w:rFonts w:eastAsia="微软雅黑" w:ascii="微软雅黑" w:hAnsi="微软雅黑"/>
                <w:sz w:val="17"/>
              </w:rPr>
              <w:t>8/21</w:t>
            </w:r>
            <w:r>
              <w:rPr>
                <w:rFonts w:ascii="微软雅黑" w:hAnsi="微软雅黑" w:eastAsia="微软雅黑"/>
                <w:sz w:val="17"/>
              </w:rPr>
              <w:t>、公告</w:t>
            </w:r>
            <w:r>
              <w:rPr>
                <w:rFonts w:eastAsia="微软雅黑" w:ascii="微软雅黑" w:hAnsi="微软雅黑"/>
                <w:sz w:val="17"/>
              </w:rPr>
              <w:t>8/22</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https://static.cninfo.com.cn/finalpage/2026-08-22/1225490310.PDF</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协议</w:t>
            </w:r>
            <w:r>
              <w:rPr>
                <w:rFonts w:eastAsia="微软雅黑" w:ascii="微软雅黑" w:hAnsi="微软雅黑"/>
                <w:sz w:val="17"/>
              </w:rPr>
              <w:t>/</w:t>
            </w:r>
            <w:r>
              <w:rPr>
                <w:rFonts w:ascii="微软雅黑" w:hAnsi="微软雅黑" w:eastAsia="微软雅黑"/>
                <w:sz w:val="17"/>
              </w:rPr>
              <w:t>批准不等实际交割付款</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董事长变更</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事件</w:t>
            </w:r>
            <w:r>
              <w:rPr>
                <w:rFonts w:eastAsia="微软雅黑" w:ascii="微软雅黑" w:hAnsi="微软雅黑"/>
                <w:sz w:val="17"/>
              </w:rPr>
              <w:t>9/11</w:t>
            </w:r>
            <w:r>
              <w:rPr>
                <w:rFonts w:ascii="微软雅黑" w:hAnsi="微软雅黑" w:eastAsia="微软雅黑"/>
                <w:sz w:val="17"/>
              </w:rPr>
              <w:t>、公告</w:t>
            </w:r>
            <w:r>
              <w:rPr>
                <w:rFonts w:eastAsia="微软雅黑" w:ascii="微软雅黑" w:hAnsi="微软雅黑"/>
                <w:sz w:val="17"/>
              </w:rPr>
              <w:t>9/12</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https://static.cninfo.com.cn/finalpage/2026-09-12/1225561640.PDF</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实际控制人未变</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汇丰目标转述</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2026-09-29 17:28</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https://www.aastocks.com/tc/stocks/analysis/stock-aafn-con/01513/AAFN/NOW.1547010/research-report</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22.3HKD</w:t>
            </w:r>
            <w:r>
              <w:rPr>
                <w:rFonts w:ascii="微软雅黑" w:hAnsi="微软雅黑" w:eastAsia="微软雅黑"/>
                <w:sz w:val="17"/>
              </w:rPr>
              <w:t>持有；原报告</w:t>
            </w:r>
            <w:r>
              <w:rPr>
                <w:rFonts w:eastAsia="微软雅黑" w:ascii="微软雅黑" w:hAnsi="微软雅黑"/>
                <w:sz w:val="17"/>
              </w:rPr>
              <w:t>/</w:t>
            </w:r>
            <w:r>
              <w:rPr>
                <w:rFonts w:ascii="微软雅黑" w:hAnsi="微软雅黑" w:eastAsia="微软雅黑"/>
                <w:sz w:val="17"/>
              </w:rPr>
              <w:t>明确期限缺，同日表正文去重</w:t>
            </w:r>
          </w:p>
        </w:tc>
      </w:tr>
      <w:tr>
        <w:trPr>
          <w:cantSplit/>
        </w:trPr>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ascii="微软雅黑" w:hAnsi="微软雅黑" w:eastAsia="微软雅黑"/>
                <w:sz w:val="17"/>
              </w:rPr>
              <w:t>高盛历史转述</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2025-04-01</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https://www.aastocks.com/tc/stocks/analysis/stock-aafn-con/01513/AAFN/NOW.1430988/research-report</w:t>
            </w:r>
          </w:p>
        </w:tc>
        <w:tc>
          <w:tcPr>
            <w:tcW w:w="2464" w:type="dxa"/>
            <w:tcBorders>
              <w:top w:val="single" w:sz="4" w:space="0" w:color="D9D9D9"/>
              <w:start w:val="single" w:sz="4" w:space="0" w:color="D9D9D9"/>
              <w:bottom w:val="single" w:sz="4" w:space="0" w:color="D9D9D9"/>
              <w:end w:val="single" w:sz="4" w:space="0" w:color="D9D9D9"/>
            </w:tcBorders>
            <w:shd w:fill="F1F5F8" w:val="clear"/>
            <w:vAlign w:val="center"/>
          </w:tcPr>
          <w:p>
            <w:pPr>
              <w:pStyle w:val="Normal"/>
              <w:spacing w:lineRule="auto" w:line="283" w:before="0" w:after="80"/>
              <w:rPr/>
            </w:pPr>
            <w:r>
              <w:rPr>
                <w:rFonts w:eastAsia="微软雅黑" w:ascii="微软雅黑" w:hAnsi="微软雅黑"/>
                <w:sz w:val="17"/>
              </w:rPr>
              <w:t>20.35HKD</w:t>
            </w:r>
            <w:r>
              <w:rPr>
                <w:rFonts w:ascii="微软雅黑" w:hAnsi="微软雅黑" w:eastAsia="微软雅黑"/>
                <w:sz w:val="17"/>
              </w:rPr>
              <w:t>中性，已过期背景不入最新共识</w:t>
            </w:r>
          </w:p>
        </w:tc>
      </w:tr>
      <w:tr>
        <w:trPr>
          <w:cantSplit/>
        </w:trPr>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行情与技术</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基准</w:t>
            </w:r>
            <w:r>
              <w:rPr>
                <w:rFonts w:eastAsia="微软雅黑" w:ascii="微软雅黑" w:hAnsi="微软雅黑"/>
                <w:sz w:val="17"/>
              </w:rPr>
              <w:t>2026-10-09</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eastAsia="微软雅黑" w:ascii="微软雅黑" w:hAnsi="微软雅黑"/>
                <w:sz w:val="17"/>
              </w:rPr>
              <w:t>data/market_snapshot_locked.json</w:t>
            </w:r>
            <w:r>
              <w:rPr>
                <w:rFonts w:ascii="微软雅黑" w:hAnsi="微软雅黑" w:eastAsia="微软雅黑"/>
                <w:sz w:val="17"/>
              </w:rPr>
              <w:t>的</w:t>
            </w:r>
            <w:r>
              <w:rPr>
                <w:rFonts w:eastAsia="微软雅黑" w:ascii="微软雅黑" w:hAnsi="微软雅黑"/>
                <w:sz w:val="17"/>
              </w:rPr>
              <w:t>S042</w:t>
            </w:r>
            <w:r>
              <w:rPr>
                <w:rFonts w:ascii="微软雅黑" w:hAnsi="微软雅黑" w:eastAsia="微软雅黑"/>
                <w:sz w:val="17"/>
              </w:rPr>
              <w:t>；</w:t>
            </w:r>
            <w:r>
              <w:rPr>
                <w:rFonts w:eastAsia="微软雅黑" w:ascii="微软雅黑" w:hAnsi="微软雅黑"/>
                <w:sz w:val="17"/>
              </w:rPr>
              <w:t>data/history/S042.json</w:t>
            </w:r>
          </w:p>
        </w:tc>
        <w:tc>
          <w:tcPr>
            <w:tcW w:w="2464" w:type="dxa"/>
            <w:tcBorders>
              <w:top w:val="single" w:sz="4" w:space="0" w:color="D9D9D9"/>
              <w:start w:val="single" w:sz="4" w:space="0" w:color="D9D9D9"/>
              <w:bottom w:val="single" w:sz="4" w:space="0" w:color="D9D9D9"/>
              <w:end w:val="single" w:sz="4" w:space="0" w:color="D9D9D9"/>
            </w:tcBorders>
            <w:vAlign w:val="center"/>
          </w:tcPr>
          <w:p>
            <w:pPr>
              <w:pStyle w:val="Normal"/>
              <w:spacing w:lineRule="auto" w:line="283" w:before="0" w:after="80"/>
              <w:rPr/>
            </w:pPr>
            <w:r>
              <w:rPr>
                <w:rFonts w:ascii="微软雅黑" w:hAnsi="微软雅黑" w:eastAsia="微软雅黑"/>
                <w:sz w:val="17"/>
              </w:rPr>
              <w:t>双历史来源</w:t>
            </w:r>
            <w:r>
              <w:rPr>
                <w:rFonts w:eastAsia="微软雅黑" w:ascii="微软雅黑" w:hAnsi="微软雅黑"/>
                <w:sz w:val="17"/>
              </w:rPr>
              <w:t>/</w:t>
            </w:r>
            <w:r>
              <w:rPr>
                <w:rFonts w:ascii="微软雅黑" w:hAnsi="微软雅黑" w:eastAsia="微软雅黑"/>
                <w:sz w:val="17"/>
              </w:rPr>
              <w:t>腾讯新浪报价，</w:t>
            </w:r>
            <w:r>
              <w:rPr>
                <w:rFonts w:eastAsia="微软雅黑" w:ascii="微软雅黑" w:hAnsi="微软雅黑"/>
                <w:sz w:val="17"/>
              </w:rPr>
              <w:t>industry RS</w:t>
            </w:r>
            <w:r>
              <w:rPr>
                <w:rFonts w:ascii="微软雅黑" w:hAnsi="微软雅黑" w:eastAsia="微软雅黑"/>
                <w:sz w:val="17"/>
              </w:rPr>
              <w:t>缺，</w:t>
            </w:r>
            <w:r>
              <w:rPr>
                <w:rFonts w:eastAsia="微软雅黑" w:ascii="微软雅黑" w:hAnsi="微软雅黑"/>
                <w:sz w:val="17"/>
              </w:rPr>
              <w:t>8</w:t>
            </w:r>
            <w:r>
              <w:rPr>
                <w:rFonts w:ascii="微软雅黑" w:hAnsi="微软雅黑" w:eastAsia="微软雅黑"/>
                <w:sz w:val="17"/>
              </w:rPr>
              <w:t>个</w:t>
            </w:r>
            <w:r>
              <w:rPr>
                <w:rFonts w:eastAsia="微软雅黑" w:ascii="微软雅黑" w:hAnsi="微软雅黑"/>
                <w:sz w:val="17"/>
              </w:rPr>
              <w:t>OHLC</w:t>
            </w:r>
            <w:r>
              <w:rPr>
                <w:rFonts w:ascii="微软雅黑" w:hAnsi="微软雅黑" w:eastAsia="微软雅黑"/>
                <w:sz w:val="17"/>
              </w:rPr>
              <w:t>修复留原始</w:t>
            </w:r>
          </w:p>
        </w:tc>
      </w:tr>
    </w:tbl>
    <w:p>
      <w:pPr>
        <w:pStyle w:val="Normal"/>
        <w:rPr/>
      </w:pPr>
      <w:r>
        <w:rPr/>
      </w:r>
    </w:p>
    <w:p>
      <w:pPr>
        <w:pStyle w:val="Normal"/>
        <w:widowControl/>
        <w:bidi w:val="0"/>
        <w:spacing w:lineRule="auto" w:line="336" w:before="0" w:after="140"/>
        <w:jc w:val="start"/>
        <w:rPr/>
      </w:pPr>
      <w:r>
        <w:rPr/>
        <w:t>模型文件</w:t>
      </w:r>
      <w:r>
        <w:rPr/>
        <w:t>data/livzon_model.json</w:t>
      </w:r>
      <w:r>
        <w:rPr/>
        <w:t>，独立正文</w:t>
      </w:r>
      <w:r>
        <w:rPr/>
        <w:t>research/livzon_deep.md</w:t>
      </w:r>
      <w:r>
        <w:rPr/>
        <w:t>，核验</w:t>
      </w:r>
      <w:r>
        <w:rPr/>
        <w:t>qa/livzon_qa.json</w:t>
      </w:r>
      <w:r>
        <w:rPr/>
        <w:t>。来源区、标题、表格及共用内容不计有效汉字。价格场景和分红、换汇、股数、盈利均保存活动假设版本，更新输入后必须重算快照，本文数字与模型同源。</w:t>
      </w:r>
    </w:p>
    <w:sectPr>
      <w:headerReference w:type="even" r:id="rId18"/>
      <w:headerReference w:type="default" r:id="rId19"/>
      <w:headerReference w:type="first" r:id="rId20"/>
      <w:footerReference w:type="even" r:id="rId21"/>
      <w:footerReference w:type="default" r:id="rId22"/>
      <w:footerReference w:type="first" r:id="rId23"/>
      <w:type w:val="nextPage"/>
      <w:pgSz w:w="12240" w:h="15840"/>
      <w:pgMar w:left="1191" w:right="1191" w:gutter="0" w:header="720" w:top="1134"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宋体">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微软雅黑">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164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t xml:space="preserve">研究假设可更新  </w:t>
    </w:r>
    <w:r>
      <w:rPr/>
      <w:t xml:space="preserve">·  </w:t>
    </w:r>
    <w:r>
      <w:rPr/>
      <w:fldChar w:fldCharType="begin"/>
    </w:r>
    <w:r>
      <w:rPr/>
      <w:instrText xml:space="preserve"> PAGE </w:instrText>
    </w:r>
    <w:r>
      <w:rPr/>
      <w:fldChar w:fldCharType="separate"/>
    </w:r>
    <w:r>
      <w:rPr/>
      <w:t>164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sz w:val="16"/>
      </w:rPr>
      <w:t xml:space="preserve">医药与科技证券研究  </w:t>
    </w:r>
    <w:r>
      <w:rPr>
        <w:sz w:val="16"/>
      </w:rPr>
      <w:t xml:space="preserve">|  </w:t>
    </w:r>
    <w:r>
      <w:rPr>
        <w:sz w:val="16"/>
      </w:rPr>
      <w:t xml:space="preserve">价格基准 </w:t>
    </w:r>
    <w:r>
      <w:rPr>
        <w:sz w:val="16"/>
      </w:rPr>
      <w:t xml:space="preserve">2026-10-09  |  </w:t>
    </w:r>
    <w:r>
      <w:rPr>
        <w:sz w:val="16"/>
      </w:rPr>
      <w:t>初版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36" w:before="0" w:after="140"/>
      <w:jc w:val="start"/>
    </w:pPr>
    <w:rPr>
      <w:rFonts w:ascii="宋体" w:hAnsi="宋体" w:eastAsia="宋体"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rsid w:val="00e618bf"/>
    <w:rPr/>
  </w:style>
  <w:style w:type="character" w:styleId="FooterChar" w:customStyle="1">
    <w:name w:val="Footer Char"/>
    <w:basedOn w:val="DefaultParagraphFont"/>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Style5">
    <w:name w:val="索引链接"/>
    <w:rPr/>
  </w:style>
  <w:style w:type="paragraph" w:styleId="Style6">
    <w:name w:val="标题样式"/>
    <w:basedOn w:val="Normal"/>
    <w:next w:val="BodyText"/>
    <w:pPr>
      <w:keepNext w:val="true"/>
      <w:spacing w:before="240" w:after="120"/>
    </w:pPr>
    <w:rPr>
      <w:rFonts w:ascii="Liberation Sans" w:hAnsi="Liberation Sans" w:eastAsia="微软雅黑"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rFonts w:ascii="微软雅黑" w:hAnsi="微软雅黑" w:eastAsia="微软雅黑"/>
      <w:b/>
      <w:bCs/>
      <w:color w:themeColor="accent1" w:val="4F81BD"/>
      <w:sz w:val="18"/>
      <w:szCs w:val="18"/>
    </w:rPr>
  </w:style>
  <w:style w:type="paragraph" w:styleId="Style7">
    <w:name w:val="索引"/>
    <w:basedOn w:val="Normal"/>
    <w:pPr>
      <w:suppressLineNumbers/>
    </w:pPr>
    <w:rPr>
      <w:rFonts w:cs="Arial"/>
    </w:rPr>
  </w:style>
  <w:style w:type="paragraph" w:styleId="Style8">
    <w:name w:val="页眉与页脚"/>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300"/>
      <w:contextualSpacing/>
    </w:pPr>
    <w:rPr>
      <w:rFonts w:ascii="Calibri" w:hAnsi="Calibri" w:eastAsia="ＭＳ ゴシック" w:cs="" w:asciiTheme="majorHAnsi" w:cstheme="majorBidi" w:eastAsiaTheme="majorEastAsia" w:hAnsiTheme="majorHAnsi"/>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40"/>
      <w:ind w:hanging="360" w:start="720"/>
      <w:contextualSpacing/>
    </w:pPr>
    <w:rPr/>
  </w:style>
  <w:style w:type="paragraph" w:styleId="List3">
    <w:name w:val="List 3"/>
    <w:basedOn w:val="Normal"/>
    <w:uiPriority w:val="99"/>
    <w:unhideWhenUsed/>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Style6"/>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Style7"/>
    <w:pPr>
      <w:keepNext w:val="false"/>
      <w:tabs>
        <w:tab w:val="clear" w:pos="720"/>
        <w:tab w:val="right" w:pos="9858" w:leader="dot"/>
      </w:tabs>
      <w:spacing w:before="0" w:after="0"/>
      <w:ind w:hanging="0" w:start="0"/>
    </w:pPr>
    <w:rPr>
      <w:sz w:val="18"/>
    </w:rPr>
  </w:style>
  <w:style w:type="paragraph" w:styleId="TOC2">
    <w:name w:val="toc 2"/>
    <w:basedOn w:val="Style7"/>
    <w:pPr>
      <w:keepNext w:val="false"/>
      <w:tabs>
        <w:tab w:val="clear" w:pos="720"/>
        <w:tab w:val="right" w:pos="9575" w:leader="dot"/>
      </w:tabs>
      <w:spacing w:before="0" w:after="0"/>
      <w:ind w:hanging="0" w:start="283"/>
    </w:pPr>
    <w:rPr>
      <w:sz w:val="18"/>
    </w:rPr>
  </w:style>
  <w:style w:type="paragraph" w:styleId="TOC3">
    <w:name w:val="toc 3"/>
    <w:basedOn w:val="Style7"/>
    <w:pPr>
      <w:keepNext w:val="false"/>
      <w:tabs>
        <w:tab w:val="clear" w:pos="720"/>
        <w:tab w:val="right" w:pos="9291" w:leader="dot"/>
      </w:tabs>
      <w:spacing w:before="0" w:after="0"/>
      <w:ind w:hanging="0" w:start="567"/>
    </w:pPr>
    <w:rPr>
      <w:sz w:val="18"/>
    </w:rPr>
  </w:style>
  <w:style w:type="numbering" w:styleId="Style9" w:default="1">
    <w:name w:val="无列表"/>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header" Target="header3.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证券研究工作区</dc:creator>
  <dc:description>generated by python-docx</dc:description>
  <dc:language>zh-CN</dc:language>
  <cp:lastModifiedBy/>
  <dcterms:modified xsi:type="dcterms:W3CDTF">2026-10-11T16:23:40Z</dcterms:modified>
  <cp:revision>2</cp:revision>
  <dc:subject>研究数据版本 63ca87a2011995a6</dc:subject>
  <dc:title>公司深研 · 第07卷</dc:title>
</cp:coreProperties>
</file>

<file path=docProps/custom.xml><?xml version="1.0" encoding="utf-8"?>
<Properties xmlns="http://schemas.openxmlformats.org/officeDocument/2006/custom-properties" xmlns:vt="http://schemas.openxmlformats.org/officeDocument/2006/docPropsVTypes"/>
</file>