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09</w:t>
      </w:r>
      <w:r>
        <w:rPr>
          <w:color w:val="000000"/>
        </w:rPr>
        <w:t>卷</w:t>
      </w:r>
    </w:p>
    <w:p>
      <w:pPr>
        <w:pStyle w:val="Normal"/>
        <w:rPr/>
      </w:pPr>
      <w:r>
        <w:rPr/>
        <w:t>本卷</w:t>
      </w:r>
      <w:r>
        <w:rPr/>
        <w:t>7</w:t>
      </w:r>
      <w:r>
        <w:rPr/>
        <w:t>家公司 按四榜最高名次 同名次一年得分及代码安排</w:t>
      </w:r>
    </w:p>
    <w:p>
      <w:pPr>
        <w:pStyle w:val="Normal"/>
        <w:rPr/>
      </w:pPr>
      <w:r>
        <w:rPr/>
        <w:t>资料截止：</w:t>
      </w:r>
      <w:r>
        <w:rPr/>
        <w:t>2026</w:t>
      </w:r>
      <w:r>
        <w:rPr/>
        <w:t>年</w:t>
      </w:r>
      <w:r>
        <w:rPr/>
        <w:t>10</w:t>
      </w:r>
      <w:r>
        <w:rPr/>
        <w:t>月</w:t>
      </w:r>
      <w:r>
        <w:rPr/>
        <w:t>9</w:t>
      </w:r>
      <w:r>
        <w:rPr/>
        <w:t>日。所有未来价格、盈利、估值、分红和汇率均为研究假设。研究覆盖</w:t>
      </w:r>
      <w:r>
        <w:rPr/>
        <w:t>92</w:t>
      </w:r>
      <w:r>
        <w:rPr/>
        <w:t>家公司、</w:t>
      </w:r>
      <w:r>
        <w:rPr/>
        <w:t>96</w:t>
      </w:r>
      <w:r>
        <w:rPr/>
        <w:t>个股票证券，全部公司正文通过一万有效汉字门槛。</w:t>
      </w:r>
      <w:r>
        <w:rPr/>
        <w:t>91</w:t>
      </w:r>
      <w:r>
        <w:rPr/>
        <w:t>个可评估证券形成四期限排名，</w:t>
      </w:r>
      <w:r>
        <w:rPr/>
        <w:t>5</w:t>
      </w:r>
      <w:r>
        <w:rPr/>
        <w:t xml:space="preserve">个条件研究证券保留独立分析并暂不排名。全部公司深研和股票模型已覆盖，文档按同一数据版本生成。初版结论可随新增证据修订。数据版本 </w:t>
      </w:r>
      <w:r>
        <w:rPr/>
        <w:t>63ca87a2011995a6</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48414_1364803659" w:tooltip="MINIMAX W 00100 HK">
            <w:r>
              <w:rPr>
                <w:rStyle w:val="Style5"/>
              </w:rPr>
              <w:t>MINIMAX W 00100 HK</w:t>
              <w:tab/>
              <w:t>3</w:t>
            </w:r>
          </w:hyperlink>
        </w:p>
        <w:p>
          <w:pPr>
            <w:pStyle w:val="TOC1"/>
            <w:tabs>
              <w:tab w:val="clear" w:pos="9858"/>
              <w:tab w:val="right" w:pos="9857" w:leader="dot"/>
            </w:tabs>
            <w:rPr/>
          </w:pPr>
          <w:hyperlink w:anchor="__RefHeading___Toc48416_1364803659" w:tooltip="智谱 02513 HK">
            <w:r>
              <w:rPr>
                <w:rStyle w:val="Style5"/>
              </w:rPr>
              <w:t xml:space="preserve">智谱 </w:t>
            </w:r>
            <w:r>
              <w:rPr>
                <w:rStyle w:val="Style5"/>
              </w:rPr>
              <w:t>02513 HK</w:t>
              <w:tab/>
              <w:t>20</w:t>
            </w:r>
          </w:hyperlink>
        </w:p>
        <w:p>
          <w:pPr>
            <w:pStyle w:val="TOC1"/>
            <w:tabs>
              <w:tab w:val="clear" w:pos="9858"/>
              <w:tab w:val="right" w:pos="9857" w:leader="dot"/>
            </w:tabs>
            <w:rPr/>
          </w:pPr>
          <w:hyperlink w:anchor="__RefHeading___Toc48418_1364803659" w:tooltip="众安在线 06060 HK">
            <w:r>
              <w:rPr>
                <w:rStyle w:val="Style5"/>
              </w:rPr>
              <w:t xml:space="preserve">众安在线 </w:t>
            </w:r>
            <w:r>
              <w:rPr>
                <w:rStyle w:val="Style5"/>
              </w:rPr>
              <w:t>06060 HK</w:t>
              <w:tab/>
              <w:t>37</w:t>
            </w:r>
          </w:hyperlink>
        </w:p>
        <w:p>
          <w:pPr>
            <w:pStyle w:val="TOC1"/>
            <w:tabs>
              <w:tab w:val="clear" w:pos="9858"/>
              <w:tab w:val="right" w:pos="9857" w:leader="dot"/>
            </w:tabs>
            <w:rPr/>
          </w:pPr>
          <w:hyperlink w:anchor="__RefHeading___Toc48420_1364803659" w:tooltip="泰格医药 03347 HK">
            <w:r>
              <w:rPr>
                <w:rStyle w:val="Style5"/>
              </w:rPr>
              <w:t xml:space="preserve">泰格医药 </w:t>
            </w:r>
            <w:r>
              <w:rPr>
                <w:rStyle w:val="Style5"/>
              </w:rPr>
              <w:t>03347 HK</w:t>
              <w:tab/>
              <w:t>55</w:t>
            </w:r>
          </w:hyperlink>
        </w:p>
        <w:p>
          <w:pPr>
            <w:pStyle w:val="TOC1"/>
            <w:tabs>
              <w:tab w:val="clear" w:pos="9858"/>
              <w:tab w:val="right" w:pos="9857" w:leader="dot"/>
            </w:tabs>
            <w:rPr/>
          </w:pPr>
          <w:hyperlink w:anchor="__RefHeading___Toc48422_1364803659" w:tooltip="远大医药 00512 HK">
            <w:r>
              <w:rPr>
                <w:rStyle w:val="Style5"/>
              </w:rPr>
              <w:t xml:space="preserve">远大医药 </w:t>
            </w:r>
            <w:r>
              <w:rPr>
                <w:rStyle w:val="Style5"/>
              </w:rPr>
              <w:t>00512 HK</w:t>
              <w:tab/>
              <w:t>75</w:t>
            </w:r>
          </w:hyperlink>
        </w:p>
        <w:p>
          <w:pPr>
            <w:pStyle w:val="TOC1"/>
            <w:tabs>
              <w:tab w:val="clear" w:pos="9858"/>
              <w:tab w:val="right" w:pos="9857" w:leader="dot"/>
            </w:tabs>
            <w:rPr/>
          </w:pPr>
          <w:hyperlink w:anchor="__RefHeading___Toc48424_1364803659" w:tooltip="再鼎医药 09688 HK">
            <w:r>
              <w:rPr>
                <w:rStyle w:val="Style5"/>
              </w:rPr>
              <w:t xml:space="preserve">再鼎医药 </w:t>
            </w:r>
            <w:r>
              <w:rPr>
                <w:rStyle w:val="Style5"/>
              </w:rPr>
              <w:t>09688 HK</w:t>
              <w:tab/>
              <w:t>96</w:t>
            </w:r>
          </w:hyperlink>
        </w:p>
        <w:p>
          <w:pPr>
            <w:pStyle w:val="TOC1"/>
            <w:tabs>
              <w:tab w:val="clear" w:pos="9858"/>
              <w:tab w:val="right" w:pos="9857" w:leader="dot"/>
            </w:tabs>
            <w:rPr/>
          </w:pPr>
          <w:hyperlink w:anchor="__RefHeading___Toc48426_1364803659" w:tooltip="昭衍新药 06127 HK">
            <w:r>
              <w:rPr>
                <w:rStyle w:val="Style5"/>
              </w:rPr>
              <w:t xml:space="preserve">昭衍新药 </w:t>
            </w:r>
            <w:r>
              <w:rPr>
                <w:rStyle w:val="Style5"/>
              </w:rPr>
              <w:t>06127 HK</w:t>
              <w:tab/>
              <w:t>118</w:t>
            </w:r>
          </w:hyperlink>
          <w:r>
            <w:rPr>
              <w:rStyle w:val="Style5"/>
            </w:rPr>
            <w:fldChar w:fldCharType="end"/>
          </w:r>
        </w:p>
      </w:sdtContent>
    </w:sdt>
    <w:p>
      <w:pPr>
        <w:pStyle w:val="Normal"/>
        <w:rPr/>
      </w:pPr>
      <w:r>
        <w:rPr/>
      </w:r>
      <w:r>
        <w:br w:type="page"/>
      </w:r>
    </w:p>
    <w:p>
      <w:pPr>
        <w:pStyle w:val="Heading1"/>
        <w:spacing w:before="0" w:after="0"/>
        <w:rPr/>
      </w:pPr>
      <w:bookmarkStart w:id="0" w:name="__RefHeading___Toc48414_1364803659"/>
      <w:bookmarkEnd w:id="0"/>
      <w:r>
        <w:rPr>
          <w:color w:val="000000"/>
        </w:rPr>
        <w:t>MINIMAX W 00100 HK</w:t>
      </w:r>
    </w:p>
    <w:p>
      <w:pPr>
        <w:pStyle w:val="Normal"/>
        <w:rPr/>
      </w:pPr>
      <w:r>
        <w:rPr/>
        <w:t xml:space="preserve">00100.HK </w:t>
      </w:r>
      <w:r>
        <w:rPr/>
        <w:t xml:space="preserve">现价 </w:t>
      </w:r>
      <w:r>
        <w:rPr/>
        <w:t>213.00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315.22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+47.99%</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+47.99%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365.21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+71.46%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+71.46%</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601.33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+182.31%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+182.31%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778.77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+265.62%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+265.62%</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-66.90%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223.89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459.27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+115.62%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244.39HKD</w:t>
      </w:r>
      <w:r>
        <w:rPr/>
        <w:t>，期望股价回报</w:t>
      </w:r>
      <w:r>
        <w:rPr/>
        <w:t>+14.74%</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45.15</w:t>
              <w:br/>
              <w:t>-78.80%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315.22</w:t>
              <w:br/>
              <w:t>+47.99%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785.86</w:t>
              <w:br/>
              <w:t>+268.95%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23.18</w:t>
              <w:br/>
              <w:t>-89.12%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365.21</w:t>
              <w:br/>
              <w:t>+71.46%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1,086.70</w:t>
              <w:br/>
              <w:t>+410.19%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6.08</w:t>
              <w:br/>
              <w:t>-97.15%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601.33</w:t>
              <w:br/>
              <w:t>+182.31%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1,924.12</w:t>
              <w:br/>
              <w:t>+803.34%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+41.33%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1.89</w:t>
              <w:br/>
              <w:t>-99.11%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778.77</w:t>
              <w:br/>
              <w:t>+265.62%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2,781.07</w:t>
              <w:br/>
              <w:t>+1205.67%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+29.60%</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+40.59%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+47.99%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+55.39%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+62.89%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+71.46%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+80.03%</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+168.20%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+182.31%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+196.43%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+247.34%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+265.62%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+283.90%</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I054</w:t>
      </w:r>
      <w:r>
        <w:rPr/>
        <w:t>，证券</w:t>
      </w:r>
      <w:r>
        <w:rPr/>
        <w:t>S064</w:t>
      </w:r>
      <w:r>
        <w:rPr/>
        <w:t>，</w:t>
      </w:r>
      <w:r>
        <w:rPr/>
        <w:t>00100.HK</w:t>
      </w:r>
      <w:r>
        <w:rPr/>
        <w:t>，基准</w:t>
      </w:r>
      <w:r>
        <w:rPr/>
        <w:t>2026</w:t>
      </w:r>
      <w:r>
        <w:rPr/>
        <w:t>年</w:t>
      </w:r>
      <w:r>
        <w:rPr/>
        <w:t>10</w:t>
      </w:r>
      <w:r>
        <w:rPr/>
        <w:t>月</w:t>
      </w:r>
      <w:r>
        <w:rPr/>
        <w:t>9</w:t>
      </w:r>
      <w:r>
        <w:rPr/>
        <w:t>日收盘</w:t>
      </w:r>
      <w:r>
        <w:rPr/>
        <w:t>213.00</w:t>
      </w:r>
      <w:r>
        <w:rPr/>
        <w:t>港元。模型</w:t>
      </w:r>
      <w:r>
        <w:rPr/>
        <w:t>minimax-ARRrecognition-fullcost-treasury-convertible-capital-v1.0</w:t>
      </w:r>
      <w:r>
        <w:rPr/>
        <w:t>，资料截止同日。收入与财务模型美元十亿，原件美元千，价格港元。真实上市历史</w:t>
      </w:r>
      <w:r>
        <w:rPr/>
        <w:t>185</w:t>
      </w:r>
      <w:r>
        <w:rPr/>
        <w:t>日线、</w:t>
      </w:r>
      <w:r>
        <w:rPr/>
        <w:t>40</w:t>
      </w:r>
      <w:r>
        <w:rPr/>
        <w:t>周，不补</w:t>
      </w:r>
      <w:r>
        <w:rPr/>
        <w:t>250</w:t>
      </w:r>
      <w:r>
        <w:rPr/>
        <w:t>日线。置信度中，最终梯队按全名单同分规则确定。</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基准累计股息</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专项</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70.50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223.89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459.27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45.15</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315.22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785.86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23.18</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365.21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1086.70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6.08</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601.33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1924.12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1.89</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778.77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2781.07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bl>
    <w:p>
      <w:pPr>
        <w:pStyle w:val="Normal"/>
        <w:rPr/>
      </w:pPr>
      <w:r>
        <w:rPr/>
      </w:r>
    </w:p>
    <w:p>
      <w:pPr>
        <w:pStyle w:val="Normal"/>
        <w:rPr/>
      </w:pPr>
      <w:r>
        <w:rPr/>
        <w:t>一年名义</w:t>
      </w:r>
      <w:r>
        <w:rPr/>
        <w:t>10</w:t>
      </w:r>
      <w:r>
        <w:rPr/>
        <w:t>月</w:t>
      </w:r>
      <w:r>
        <w:rPr/>
        <w:t>9</w:t>
      </w:r>
      <w:r>
        <w:rPr/>
        <w:t>日，按香港假期及周末提前至</w:t>
      </w:r>
      <w:r>
        <w:rPr/>
        <w:t>10</w:t>
      </w:r>
      <w:r>
        <w:rPr/>
        <w:t>月</w:t>
      </w:r>
      <w:r>
        <w:rPr/>
        <w:t>7</w:t>
      </w:r>
      <w:r>
        <w:rPr/>
        <w:t>日；远期日历公布后核验。年底权重</w:t>
      </w:r>
      <w:r>
        <w:rPr/>
        <w:t>25%/50%/25%</w:t>
      </w:r>
      <w:r>
        <w:rPr/>
        <w:t>期望</w:t>
      </w:r>
      <w:r>
        <w:rPr/>
        <w:t>244.3875</w:t>
      </w:r>
      <w:r>
        <w:rPr/>
        <w:t>港元，回报</w:t>
      </w:r>
      <w:r>
        <w:rPr/>
        <w:t>14.7359%</w:t>
      </w:r>
      <w:r>
        <w:rPr/>
        <w:t>；防御</w:t>
      </w:r>
      <w:r>
        <w:rPr/>
        <w:t>40%/50%/10%</w:t>
      </w:r>
      <w:r>
        <w:rPr/>
        <w:t>期望</w:t>
      </w:r>
      <w:r>
        <w:rPr/>
        <w:t>186.072</w:t>
      </w:r>
      <w:r>
        <w:rPr/>
        <w:t>，回报−</w:t>
      </w:r>
      <w:r>
        <w:rPr/>
        <w:t>12.6423%</w:t>
      </w:r>
      <w:r>
        <w:rPr/>
        <w:t>；积极</w:t>
      </w:r>
      <w:r>
        <w:rPr/>
        <w:t>10%/50%/40%</w:t>
      </w:r>
      <w:r>
        <w:rPr/>
        <w:t>期望</w:t>
      </w:r>
      <w:r>
        <w:rPr/>
        <w:t>302.703</w:t>
      </w:r>
      <w:r>
        <w:rPr/>
        <w:t>，回报</w:t>
      </w:r>
      <w:r>
        <w:rPr/>
        <w:t>42.1141%</w:t>
      </w:r>
      <w:r>
        <w:rPr/>
        <w:t>。情景是判断假设，不是统计置信区间或最大损失边界。</w:t>
      </w:r>
    </w:p>
    <w:p>
      <w:pPr>
        <w:pStyle w:val="Normal"/>
        <w:rPr/>
      </w:pPr>
      <w:r>
        <w:rPr/>
        <w:t>推荐定位为进取观察，一年至三年成长证据优于半年趋势，五年仍受现金投入和估值约束。成立条件是企业使用转为持续收入、毛利改善覆盖完整研发、资本现金和未来稀释同时被满足。主要风险为能力落后、任务成本竞争、算力供应、版权与海外合规、</w:t>
      </w:r>
      <w:r>
        <w:rPr/>
        <w:t>2027</w:t>
      </w:r>
      <w:r>
        <w:rPr/>
        <w:t>年债到期及融资失败。长期高目标对融资持续成功和高销售倍数高度敏感，融资失败另可使普通股价值接近零。</w:t>
      </w:r>
    </w:p>
    <w:p>
      <w:pPr>
        <w:pStyle w:val="Heading2"/>
        <w:rPr/>
      </w:pPr>
      <w:r>
        <w:rPr>
          <w:color w:val="000000"/>
        </w:rPr>
        <w:t>一 投资结论需要同时看模型能力与普通股价值</w:t>
      </w:r>
    </w:p>
    <w:p>
      <w:pPr>
        <w:pStyle w:val="Normal"/>
        <w:rPr/>
      </w:pPr>
      <w:r>
        <w:rPr/>
        <w:t>MiniMax</w:t>
      </w:r>
      <w:r>
        <w:rPr/>
        <w:t>提供的是模型能力、开发者服务与原生应用，投资者购买的却是扣完费用、资本义务和新增股份后的普通股权益。新模型上线、调用量增长和软件展示可以证明需求，但不能直接证明每股利润增长。本章把企业经常性年率转换为收入，再计算毛利、完整研发与销售行政、经营现金、债务和融资股数。这个顺序决定研究结论：公司有较大成长空间，同时现金成本和竞争使估值难以由单一增长率解释。</w:t>
      </w:r>
    </w:p>
    <w:p>
      <w:pPr>
        <w:pStyle w:val="Normal"/>
        <w:rPr/>
      </w:pPr>
      <w:r>
        <w:rPr/>
        <w:t>213</w:t>
      </w:r>
      <w:r>
        <w:rPr/>
        <w:t>港元相对上市以来高点跌幅很大，给进取投资者带来重估可能，但跌过并不等于便宜。估值必须用总经济股份而非仅上市</w:t>
      </w:r>
      <w:r>
        <w:rPr/>
        <w:t>A</w:t>
      </w:r>
      <w:r>
        <w:rPr/>
        <w:t>类股份，且七月融资现金不能只加净资产而忽略债到期。模型的一年基准</w:t>
      </w:r>
      <w:r>
        <w:rPr/>
        <w:t>365.21</w:t>
      </w:r>
      <w:r>
        <w:rPr/>
        <w:t>港元有约</w:t>
      </w:r>
      <w:r>
        <w:rPr/>
        <w:t>71.46%</w:t>
      </w:r>
      <w:r>
        <w:rPr/>
        <w:t>空间，但当期完整费用仍亏，价格主要来自未来收入和经营选择权。半年技术分低，表示便宜感与入场趋势尚未同时得到证据支持，应由后续季度和量价共同提升确信度。</w:t>
      </w:r>
    </w:p>
    <w:p>
      <w:pPr>
        <w:pStyle w:val="Normal"/>
        <w:rPr/>
      </w:pPr>
      <w:r>
        <w:rPr/>
        <w:t>本章的三年得分</w:t>
      </w:r>
      <w:r>
        <w:rPr/>
        <w:t>66.6</w:t>
      </w:r>
      <w:r>
        <w:rPr/>
        <w:t>没有因为高目标价格直接跳到最高梯队。模型三年基准仍有完整费用亏损及较高资金需求，五年基准虽转盈利，销售倍数对应的利润估值也不低。将最大上涨倍数当推荐程度，会忽略实现路径和融资失败。研究分别评价成长、估值、技术与财务，不把得分解释为赚钱概率；读者应关注哪些假设会推翻结论，而不只看乐观价格的绝对数。</w:t>
      </w:r>
    </w:p>
    <w:p>
      <w:pPr>
        <w:pStyle w:val="Normal"/>
        <w:rPr/>
      </w:pPr>
      <w:r>
        <w:rPr/>
        <w:t>公司是</w:t>
      </w:r>
      <w:r>
        <w:rPr/>
        <w:t>2026</w:t>
      </w:r>
      <w:r>
        <w:rPr/>
        <w:t>年</w:t>
      </w:r>
      <w:r>
        <w:rPr/>
        <w:t>1</w:t>
      </w:r>
      <w:r>
        <w:rPr/>
        <w:t>月</w:t>
      </w:r>
      <w:r>
        <w:rPr/>
        <w:t>9</w:t>
      </w:r>
      <w:r>
        <w:rPr/>
        <w:t>日上市的新股，历史价格覆盖不到完整行业周期。早期高价可能受到稀缺性、流通结构与模型新闻影响，后来价格回落也可能包含供给和预期重置。不能用短历史推导稳定的历史估值中枢，或据此计算可靠波动分布。经营估值采用公开财务、真实资本条款与研究假设，历史走势用于观察供需状态，不把上市以来高点当公允价值来源。</w:t>
      </w:r>
    </w:p>
    <w:p>
      <w:pPr>
        <w:pStyle w:val="Heading2"/>
        <w:rPr/>
      </w:pPr>
      <w:r>
        <w:rPr>
          <w:color w:val="000000"/>
        </w:rPr>
        <w:t>二 业务收入结构与模型能力的变现渠道</w:t>
      </w:r>
    </w:p>
    <w:p>
      <w:pPr>
        <w:pStyle w:val="Normal"/>
        <w:rPr/>
      </w:pPr>
      <w:r>
        <w:rPr/>
        <w:t>上半年总收入</w:t>
      </w:r>
      <w:r>
        <w:rPr/>
        <w:t>1.16573</w:t>
      </w:r>
      <w:r>
        <w:rPr/>
        <w:t>亿美元，其中开放平台和其他企业服务</w:t>
      </w:r>
      <w:r>
        <w:rPr/>
        <w:t>7392.9</w:t>
      </w:r>
      <w:r>
        <w:rPr/>
        <w:t>万美元，占</w:t>
      </w:r>
      <w:r>
        <w:rPr/>
        <w:t>63.4%</w:t>
      </w:r>
      <w:r>
        <w:rPr/>
        <w:t>；原生产品</w:t>
      </w:r>
      <w:r>
        <w:rPr/>
        <w:t>4264.4</w:t>
      </w:r>
      <w:r>
        <w:rPr/>
        <w:t>万美元，占</w:t>
      </w:r>
      <w:r>
        <w:rPr/>
        <w:t>36.6%</w:t>
      </w:r>
      <w:r>
        <w:rPr/>
        <w:t>。企业服务同比增长</w:t>
      </w:r>
      <w:r>
        <w:rPr/>
        <w:t>703.1%</w:t>
      </w:r>
      <w:r>
        <w:rPr/>
        <w:t>，原生产品增长</w:t>
      </w:r>
      <w:r>
        <w:rPr/>
        <w:t>100.9%</w:t>
      </w:r>
      <w:r>
        <w:rPr/>
        <w:t>。企业占比从上年同期</w:t>
      </w:r>
      <w:r>
        <w:rPr/>
        <w:t>30.3%</w:t>
      </w:r>
      <w:r>
        <w:rPr/>
        <w:t>显著提升，说明模型能力正通过开发者与生产使用变现。这比单靠用户下载量更接近商业证明，不过统计包括不同付费用户和套餐，不能把全部企业客户定义为具有长期合同的大型机构。</w:t>
      </w:r>
    </w:p>
    <w:p>
      <w:pPr>
        <w:pStyle w:val="Normal"/>
        <w:rPr/>
      </w:pPr>
      <w:r>
        <w:rPr/>
        <w:t>开放平台的收入驱动是付费使用人数、调用次数、每次实际收费及套餐消费，四项共同决定收入。低价提高词元量有时能促进使用，但若单次计费下降快于效率改善，调用增长不一定提高毛利。客户也可能把复杂任务转给竞争模型，把</w:t>
      </w:r>
      <w:r>
        <w:rPr/>
        <w:t>MiniMax</w:t>
      </w:r>
      <w:r>
        <w:rPr/>
        <w:t>保留为便宜的辅助环节。研究应观察持续付费、任务占有率和毛利的方向，不能只因词元消费倍增便同比放大盈利。本模型用年率确认系数表达这类不确定性。</w:t>
      </w:r>
    </w:p>
    <w:p>
      <w:pPr>
        <w:pStyle w:val="Normal"/>
        <w:rPr/>
      </w:pPr>
      <w:r>
        <w:rPr/>
        <w:t>原生产品包括海螺及其他应用，公司在中报讨论视频生成和产品化。它们面对的用户愿付费能力、内容生产节奏和获客渠道与企业接口不同。视频创作需求可以提高客单价，但生成失败、重试、审核和存储会产生额外成本，用户订阅也会随项目结束取消。原生产品不是自动高毛利的软件订阅；模型把其收入与企业分开、使用不同毛利假设，而未在缺少产品利润披露时给每个应用编造精确贡献。</w:t>
      </w:r>
    </w:p>
    <w:p>
      <w:pPr>
        <w:pStyle w:val="Normal"/>
        <w:rPr/>
      </w:pPr>
      <w:r>
        <w:rPr/>
        <w:t>企业接口与原生产品可以共享底层研发，也可能产生冲突。底层能力改善既能增加应用体验，又能被第三方开发者用于竞争应用；直接产品获客可以带来使用数据，也可能让渠道伙伴担心公司与他们竞争。模型不能同时把研发全分配给企业接口又把原生应用视为无研发免费增长。本章所有研发在集团完整保留，收入拆分只是说明变现方式，跨业务资源收益和费用均在同一集团经营价值内。</w:t>
      </w:r>
    </w:p>
    <w:p>
      <w:pPr>
        <w:pStyle w:val="Heading2"/>
        <w:rPr/>
      </w:pPr>
      <w:r>
        <w:rPr>
          <w:color w:val="000000"/>
        </w:rPr>
        <w:t xml:space="preserve">三 </w:t>
      </w:r>
      <w:r>
        <w:rPr>
          <w:color w:val="000000"/>
        </w:rPr>
        <w:t>ARR</w:t>
      </w:r>
      <w:r>
        <w:rPr>
          <w:color w:val="000000"/>
        </w:rPr>
        <w:t>如何连接收入 哪些地方不能直接外推</w:t>
      </w:r>
    </w:p>
    <w:p>
      <w:pPr>
        <w:pStyle w:val="Normal"/>
        <w:rPr/>
      </w:pPr>
      <w:r>
        <w:rPr/>
        <w:t>公开花旗转述称八月</w:t>
      </w:r>
      <w:r>
        <w:rPr/>
        <w:t>ARR</w:t>
      </w:r>
      <w:r>
        <w:rPr/>
        <w:t>突破</w:t>
      </w:r>
      <w:r>
        <w:rPr/>
        <w:t>8</w:t>
      </w:r>
      <w:r>
        <w:rPr/>
        <w:t>亿美元，约</w:t>
      </w:r>
      <w:r>
        <w:rPr/>
        <w:t>80%</w:t>
      </w:r>
      <w:r>
        <w:rPr/>
        <w:t>来自企业客户，管理层强调不含一次性授权收入。它说明当时经常性业务使用速度很快，却不是公司已收取全年</w:t>
      </w:r>
      <w:r>
        <w:rPr/>
        <w:t>8</w:t>
      </w:r>
      <w:r>
        <w:rPr/>
        <w:t>亿美元，也不是审阅过的国际准则收入。中报没有提供相同定义的详细</w:t>
      </w:r>
      <w:r>
        <w:rPr/>
        <w:t>ARR</w:t>
      </w:r>
      <w:r>
        <w:rPr/>
        <w:t>表、客户留存和合同金额对账。本章将该信息标为管理层活动的新闻转述，保留商业化意义，同时不把它替换财报上半年</w:t>
      </w:r>
      <w:r>
        <w:rPr/>
        <w:t>1.16573</w:t>
      </w:r>
      <w:r>
        <w:rPr/>
        <w:t>亿美元的实际确认收入。</w:t>
      </w:r>
    </w:p>
    <w:p>
      <w:pPr>
        <w:pStyle w:val="Normal"/>
        <w:rPr/>
      </w:pPr>
      <w:r>
        <w:rPr/>
        <w:t>年率在快速增长业务中常高于当年确认收入，因为新客户和用量在年中或年底才出现。另一方面，促销、价格变化、客户流失和一次高使用月份可能让未来兑现低于年率。基准年底企业</w:t>
      </w:r>
      <w:r>
        <w:rPr/>
        <w:t>ARR</w:t>
      </w:r>
      <w:r>
        <w:rPr/>
        <w:t>用</w:t>
      </w:r>
      <w:r>
        <w:rPr/>
        <w:t>9.5</w:t>
      </w:r>
      <w:r>
        <w:rPr/>
        <w:t>亿美元，乘</w:t>
      </w:r>
      <w:r>
        <w:rPr/>
        <w:t>0.68</w:t>
      </w:r>
      <w:r>
        <w:rPr/>
        <w:t>形成</w:t>
      </w:r>
      <w:r>
        <w:rPr/>
        <w:t>6.46</w:t>
      </w:r>
      <w:r>
        <w:rPr/>
        <w:t>亿美元正常年率收入，再加原生产品</w:t>
      </w:r>
      <w:r>
        <w:rPr/>
        <w:t>1</w:t>
      </w:r>
      <w:r>
        <w:rPr/>
        <w:t>亿美元；它是目标时点正常年度经营假设，不是预测</w:t>
      </w:r>
      <w:r>
        <w:rPr/>
        <w:t>2026</w:t>
      </w:r>
      <w:r>
        <w:rPr/>
        <w:t>年会计全年直接达到</w:t>
      </w:r>
      <w:r>
        <w:rPr/>
        <w:t>7.46</w:t>
      </w:r>
      <w:r>
        <w:rPr/>
        <w:t>亿美元。这个区分避免把目标期年率与已过去半年的低收入拼成错误同比。</w:t>
      </w:r>
    </w:p>
    <w:p>
      <w:pPr>
        <w:pStyle w:val="Normal"/>
        <w:rPr/>
      </w:pPr>
      <w:r>
        <w:rPr/>
        <w:t>一年基准企業</w:t>
      </w:r>
      <w:r>
        <w:rPr/>
        <w:t>ARR17</w:t>
      </w:r>
      <w:r>
        <w:rPr/>
        <w:t>亿美元，确认系数</w:t>
      </w:r>
      <w:r>
        <w:rPr/>
        <w:t>0.85</w:t>
      </w:r>
      <w:r>
        <w:rPr/>
        <w:t>，企业正常收入</w:t>
      </w:r>
      <w:r>
        <w:rPr/>
        <w:t>14.45</w:t>
      </w:r>
      <w:r>
        <w:rPr/>
        <w:t>亿美元，加原生</w:t>
      </w:r>
      <w:r>
        <w:rPr/>
        <w:t>1.6</w:t>
      </w:r>
      <w:r>
        <w:rPr/>
        <w:t>亿合计</w:t>
      </w:r>
      <w:r>
        <w:rPr/>
        <w:t>16.05</w:t>
      </w:r>
      <w:r>
        <w:rPr/>
        <w:t>亿。较高确认比假设客户使用更稳定、年率变动与正常年收入更接近，但没有公开合同留存足以证明该数字。若客户采用增长后很快换供应商，或者年率定义包含高使用的短观察窗，应下调确认系数。只改</w:t>
      </w:r>
      <w:r>
        <w:rPr/>
        <w:t>ARR</w:t>
      </w:r>
      <w:r>
        <w:rPr/>
        <w:t>而不改确认、毛利和研发，会制造商业成熟速度过快的幻觉，专表把这些驱动分别开放。</w:t>
      </w:r>
    </w:p>
    <w:p>
      <w:pPr>
        <w:pStyle w:val="Normal"/>
        <w:rPr/>
      </w:pPr>
      <w:r>
        <w:rPr/>
        <w:t>十年中</w:t>
      </w:r>
      <w:r>
        <w:rPr/>
        <w:t>ARR</w:t>
      </w:r>
      <w:r>
        <w:rPr/>
        <w:t>最终应被实际收入、续费和现金收款所验证。若公司持续公布越来越大年率，但毛利与现金没有跟随，年率的信息价值会下降。较好的反证不是某个月低于期待，而是多季企业收入增长持续落后年率、应收账款或预付款显著增加、未消费套餐变多。研究的估值上涨条件要求年率进入可持续生产使用；即使对模型技术认可，也要区分业务增长、会计收入及普通股现金回报。</w:t>
      </w:r>
    </w:p>
    <w:p>
      <w:pPr>
        <w:pStyle w:val="Heading2"/>
        <w:rPr/>
      </w:pPr>
      <w:r>
        <w:rPr>
          <w:color w:val="000000"/>
        </w:rPr>
        <w:t>四 模型技术与真实任务经济性</w:t>
      </w:r>
    </w:p>
    <w:p>
      <w:pPr>
        <w:pStyle w:val="Normal"/>
        <w:rPr/>
      </w:pPr>
      <w:r>
        <w:rPr/>
        <w:t>中报说报告期升级</w:t>
      </w:r>
      <w:r>
        <w:rPr/>
        <w:t>M3</w:t>
      </w:r>
      <w:r>
        <w:rPr/>
        <w:t>，期后发布开源权重</w:t>
      </w:r>
      <w:r>
        <w:rPr/>
        <w:t>H3</w:t>
      </w:r>
      <w:r>
        <w:rPr/>
        <w:t>，强调编码、代理任务、视频和全模态。新能力有利于扩大可用场景，但发布公告是产品信息，不能单独证明在全部任务超过同业。公开基准通常覆盖有限测试，提示设置、上下文、工具权限与推理预算都会改变结果。投资分析应看实际客户能否以较低总成本完成工作，而不把某个排名或匿名模型传闻等同稳定商业护城河。</w:t>
      </w:r>
    </w:p>
    <w:p>
      <w:pPr>
        <w:pStyle w:val="Normal"/>
        <w:rPr/>
      </w:pPr>
      <w:r>
        <w:rPr/>
        <w:t>每词元价格并不等于任务成本。更强模型可能使用更少步骤、减少失败重试，尽管每词元贵，完成同一任务更便宜；便宜模型若需要人工反复修复，总成本也可能较高。</w:t>
      </w:r>
      <w:r>
        <w:rPr/>
        <w:t>MiniMax</w:t>
      </w:r>
      <w:r>
        <w:rPr/>
        <w:t>若在编码、创作或代理工作中保持足够质量并有更低推理成本，就能扩大使用。反过来，若任务可靠性落后，单纯降价可能把公司推向低毛利用量市场。模型里的企业毛利率比词元增长更能检验这一投资逻辑。</w:t>
      </w:r>
    </w:p>
    <w:p>
      <w:pPr>
        <w:pStyle w:val="Normal"/>
        <w:rPr/>
      </w:pPr>
      <w:r>
        <w:rPr/>
        <w:t>上下文长度、参数数量和处理速度也不能直接相加形成竞争分数。长上下文是否真正保留细节、并发时延和工具调用稳定性关系到客户生产体验；参数更多还可能增加训练与推理成本。九月新闻称</w:t>
      </w:r>
      <w:r>
        <w:rPr/>
        <w:t>M3.1</w:t>
      </w:r>
      <w:r>
        <w:rPr/>
        <w:t>公测支持原生多模态及百万上下文，本章只将其视为可验证产品方向。后续更有价值的证据是客户付费迁移、错误率下降、单位成本改善和持续毛利，而不是没有统一实验条件的表演展示。</w:t>
      </w:r>
    </w:p>
    <w:p>
      <w:pPr>
        <w:pStyle w:val="Normal"/>
        <w:rPr/>
      </w:pPr>
      <w:r>
        <w:rPr/>
        <w:t>公司强调训练和推理效率互相促进，但省下的推理成本可能又投入更大规模训练。这样可以扩大能力，却使股东不能立即享受全部效率红利。研发从上半年约</w:t>
      </w:r>
      <w:r>
        <w:rPr/>
        <w:t>2.97</w:t>
      </w:r>
      <w:r>
        <w:rPr/>
        <w:t>亿美元继续增长，既反映竞争投入，也表明技术更新需要不断购买算力。长期护城河要包括工程效率、人才、数据和商业分发，而不只是一代模型领先；如果每次模型升级都需要超过融资能力的投入，技术成功仍未必成为每股回报成功。</w:t>
      </w:r>
    </w:p>
    <w:p>
      <w:pPr>
        <w:pStyle w:val="Heading2"/>
        <w:rPr/>
      </w:pPr>
      <w:r>
        <w:rPr>
          <w:color w:val="000000"/>
        </w:rPr>
        <w:t>五 开源权重 分发与全球竞争</w:t>
      </w:r>
    </w:p>
    <w:p>
      <w:pPr>
        <w:pStyle w:val="Normal"/>
        <w:rPr/>
      </w:pPr>
      <w:r>
        <w:rPr/>
        <w:t>开源权重可以降低企业试用门槛，促进开发者围绕模型建立工具，也让用户在合规和部署方式上有更多选择。对于</w:t>
      </w:r>
      <w:r>
        <w:rPr/>
        <w:t>MiniMax</w:t>
      </w:r>
      <w:r>
        <w:rPr/>
        <w:t>，开源采用量只有在接口、托管、支持或其他产品收入上兑现，才能成为估值收益。客户自行部署的使用可能不给公司直接收入，社区衍生也可能增强竞争替代。研究不把下载量全算付费收入，而把开源视为分发和验证途径，再用企业收入及毛利衡量商业捕获。</w:t>
      </w:r>
    </w:p>
    <w:p>
      <w:pPr>
        <w:pStyle w:val="Normal"/>
        <w:rPr/>
      </w:pPr>
      <w:r>
        <w:rPr/>
        <w:t>全球模型竞争不仅来自国内上市同行，还来自大型科技集团、私人实验室和客户自建能力。大集团可用云、广告或其他业务补贴模型，资本供应比单一实验室更宽，价格竞争可能让独立公司利润承压。</w:t>
      </w:r>
      <w:r>
        <w:rPr/>
        <w:t>MiniMax</w:t>
      </w:r>
      <w:r>
        <w:rPr/>
        <w:t>的机会是集中研发、快速产品化和适合任务的成本优势，风险则是分发被大型平台掌握。模型维持较高完整研发，正是承认竞争会持续，而非假设一旦收入增长便能永久降低研发投入。</w:t>
      </w:r>
    </w:p>
    <w:p>
      <w:pPr>
        <w:pStyle w:val="Normal"/>
        <w:rPr/>
      </w:pPr>
      <w:r>
        <w:rPr/>
        <w:t>客户采用多个模型有利于降低单一供应商依赖，却削弱一个实验室锁定全部工作量的能力。路由系统可以按任务质量和成本动态选择提供者，</w:t>
      </w:r>
      <w:r>
        <w:rPr/>
        <w:t>MiniMax</w:t>
      </w:r>
      <w:r>
        <w:rPr/>
        <w:t>若有明确优势可以获得更大份额；优势消失时流量可能快速移动。企业粘性应来自可靠工作流、工具连接、服务保障与迁移成本，并非只来自同一接口地址。研究需要持续观察客户行为，避免把当前高增长解释为不可逆的市场份额。</w:t>
      </w:r>
    </w:p>
    <w:p>
      <w:pPr>
        <w:pStyle w:val="Normal"/>
        <w:rPr/>
      </w:pPr>
      <w:r>
        <w:rPr/>
        <w:t>瑞银九月新闻讨论海外采用和任务经济性，提到监管与反蒸馏措施增加不确定性。本章不借此推断公司用了未经证实的数据或技术来源，问题是未来合法取得训练资源和全球部署的成本可能提高。独立实验室若能在合规条件下提升能力，商业价值较稳；若依赖的供应或开发方式受限制，升级节奏和客户信任都会受影响。竞争分析应围绕能持续实现的产品成本，而不是未经核验的技术归因。</w:t>
      </w:r>
    </w:p>
    <w:p>
      <w:pPr>
        <w:pStyle w:val="Heading2"/>
        <w:rPr/>
      </w:pPr>
      <w:r>
        <w:rPr>
          <w:color w:val="000000"/>
        </w:rPr>
        <w:t>六 财务收入 毛利与完整经营费用</w:t>
      </w:r>
    </w:p>
    <w:p>
      <w:pPr>
        <w:pStyle w:val="Normal"/>
        <w:rPr/>
      </w:pPr>
      <w:r>
        <w:rPr/>
        <w:t>上半年收入</w:t>
      </w:r>
      <w:r>
        <w:rPr/>
        <w:t>1.16573</w:t>
      </w:r>
      <w:r>
        <w:rPr/>
        <w:t>亿美元，成本</w:t>
      </w:r>
      <w:r>
        <w:rPr/>
        <w:t>9576</w:t>
      </w:r>
      <w:r>
        <w:rPr/>
        <w:t>万美元，毛利</w:t>
      </w:r>
      <w:r>
        <w:rPr/>
        <w:t>2081.3</w:t>
      </w:r>
      <w:r>
        <w:rPr/>
        <w:t>万美元，毛利率约</w:t>
      </w:r>
      <w:r>
        <w:rPr/>
        <w:t>17.9%</w:t>
      </w:r>
      <w:r>
        <w:rPr/>
        <w:t>。毛利同比增长</w:t>
      </w:r>
      <w:r>
        <w:rPr/>
        <w:t>464.8%</w:t>
      </w:r>
      <w:r>
        <w:rPr/>
        <w:t>快于收入，但完整毛利还很薄，不足以覆盖研发。企业业务增长及基础设施效率有进步；公司没有公布本章可核验的逐业务毛利表，不能将总体</w:t>
      </w:r>
      <w:r>
        <w:rPr/>
        <w:t>17.9%</w:t>
      </w:r>
      <w:r>
        <w:rPr/>
        <w:t>直接当文本模型毛利或视频毛利。本模型的分业务毛利是研究假设，后续若原件披露分部成本，应由事实替换而不是保留较乐观参数。</w:t>
      </w:r>
    </w:p>
    <w:p>
      <w:pPr>
        <w:pStyle w:val="Normal"/>
        <w:rPr/>
      </w:pPr>
      <w:r>
        <w:rPr/>
        <w:t>销售费用</w:t>
      </w:r>
      <w:r>
        <w:rPr/>
        <w:t>2697.3</w:t>
      </w:r>
      <w:r>
        <w:rPr/>
        <w:t>万美元，行政</w:t>
      </w:r>
      <w:r>
        <w:rPr/>
        <w:t>3023</w:t>
      </w:r>
      <w:r>
        <w:rPr/>
        <w:t>万美元，研发</w:t>
      </w:r>
      <w:r>
        <w:rPr/>
        <w:t>2.96870</w:t>
      </w:r>
      <w:r>
        <w:rPr/>
        <w:t>亿美元，减毛利后形成很大的经营费用缺口。研发同比增</w:t>
      </w:r>
      <w:r>
        <w:rPr/>
        <w:t>138.8%</w:t>
      </w:r>
      <w:r>
        <w:rPr/>
        <w:t>虽低于收入增速，绝对金额仍远高于毛利，因此不能用费用率下降宣称盈利拐点已完成。规模效应要看新增毛利能否多于新增训练、后训练、销售及人才成本。研究在全部期限保留完整费用，不为了让盈利转正而把研发视为永久一次性或将常态股权激励剔除。</w:t>
      </w:r>
    </w:p>
    <w:p>
      <w:pPr>
        <w:pStyle w:val="Normal"/>
        <w:rPr/>
      </w:pPr>
      <w:r>
        <w:rPr/>
        <w:t>2025</w:t>
      </w:r>
      <w:r>
        <w:rPr/>
        <w:t>年收入</w:t>
      </w:r>
      <w:r>
        <w:rPr/>
        <w:t>7903.8</w:t>
      </w:r>
      <w:r>
        <w:rPr/>
        <w:t>万美元，毛利</w:t>
      </w:r>
      <w:r>
        <w:rPr/>
        <w:t>2007.9</w:t>
      </w:r>
      <w:r>
        <w:rPr/>
        <w:t>万美元，毛利率约</w:t>
      </w:r>
      <w:r>
        <w:rPr/>
        <w:t>25.4%</w:t>
      </w:r>
      <w:r>
        <w:rPr/>
        <w:t>，研发</w:t>
      </w:r>
      <w:r>
        <w:rPr/>
        <w:t>2.52771</w:t>
      </w:r>
      <w:r>
        <w:rPr/>
        <w:t>亿美元。上半年</w:t>
      </w:r>
      <w:r>
        <w:rPr/>
        <w:t>2026</w:t>
      </w:r>
      <w:r>
        <w:rPr/>
        <w:t>收入已超过全年</w:t>
      </w:r>
      <w:r>
        <w:rPr/>
        <w:t>2025</w:t>
      </w:r>
      <w:r>
        <w:rPr/>
        <w:t>，但综合毛利率反而较全年低，提示增长结构和新品服务成本正在变化。公司讨论企业扩张和基础设施效率，机构转述也提到早期补偿影响，不能凭一条解释就假定全部毛利压力一次性。未来若企业规模继续增而总体毛利没有改善，收入扩张可能只放大成本，基准估值应下调。</w:t>
      </w:r>
    </w:p>
    <w:p>
      <w:pPr>
        <w:pStyle w:val="Normal"/>
        <w:rPr/>
      </w:pPr>
      <w:r>
        <w:rPr/>
        <w:t>本章正常经营先用毛利扣完整研发、销售、行政及其他成本，不把财资收入加到经营利润中。银行利息和租赁利息再计入普通股正常盈利，金融投资本金通过资本桥处理。这样可避免公司融资后财资收益提高，却被高销售倍数或高利润倍数再次资本化。研究同样保留固定资产和使用权折旧，经营租现金在现金桥完整扣除，使租赁不因会计分类在利润或现金之间消失。</w:t>
      </w:r>
    </w:p>
    <w:p>
      <w:pPr>
        <w:pStyle w:val="Heading2"/>
        <w:rPr/>
      </w:pPr>
      <w:r>
        <w:rPr>
          <w:color w:val="000000"/>
        </w:rPr>
        <w:t>七 国际准则亏损与经调整亏损的含义</w:t>
      </w:r>
    </w:p>
    <w:p>
      <w:pPr>
        <w:pStyle w:val="Normal"/>
        <w:rPr/>
      </w:pPr>
      <w:r>
        <w:rPr/>
        <w:t>上半年准则净亏</w:t>
      </w:r>
      <w:r>
        <w:rPr/>
        <w:t>3.57997</w:t>
      </w:r>
      <w:r>
        <w:rPr/>
        <w:t>亿美元，经调整净亏</w:t>
      </w:r>
      <w:r>
        <w:rPr/>
        <w:t>2.93031</w:t>
      </w:r>
      <w:r>
        <w:rPr/>
        <w:t>亿美元，二者差额</w:t>
      </w:r>
      <w:r>
        <w:rPr/>
        <w:t>6496.6</w:t>
      </w:r>
      <w:r>
        <w:rPr/>
        <w:t>万美元，主要是股权激励</w:t>
      </w:r>
      <w:r>
        <w:rPr/>
        <w:t>2820.8</w:t>
      </w:r>
      <w:r>
        <w:rPr/>
        <w:t>万、金融负债公允价值损失</w:t>
      </w:r>
      <w:r>
        <w:rPr/>
        <w:t>3102.5</w:t>
      </w:r>
      <w:r>
        <w:rPr/>
        <w:t>万及上市费</w:t>
      </w:r>
      <w:r>
        <w:rPr/>
        <w:t>573.3</w:t>
      </w:r>
      <w:r>
        <w:rPr/>
        <w:t>万。金融负债公允损失与上市转换有关，不能直接当持续经营现金成本；股权激励却是人才报酬和股东分配代价。经调整结果可以辅助比较，但若将其等同归母真实盈利，会低估持续激励，因此目标模型完整保留常态薪酬与激励。</w:t>
      </w:r>
    </w:p>
    <w:p>
      <w:pPr>
        <w:pStyle w:val="Normal"/>
        <w:rPr/>
      </w:pPr>
      <w:r>
        <w:rPr/>
        <w:t>2025</w:t>
      </w:r>
      <w:r>
        <w:rPr/>
        <w:t>准则亏</w:t>
      </w:r>
      <w:r>
        <w:rPr/>
        <w:t>18.71617</w:t>
      </w:r>
      <w:r>
        <w:rPr/>
        <w:t>亿美元受</w:t>
      </w:r>
      <w:r>
        <w:rPr/>
        <w:t>15.89850</w:t>
      </w:r>
      <w:r>
        <w:rPr/>
        <w:t>亿美元金融负债公允价值损失显著影响，经调整亏</w:t>
      </w:r>
      <w:r>
        <w:rPr/>
        <w:t>2.50856</w:t>
      </w:r>
      <w:r>
        <w:rPr/>
        <w:t>亿美元。这类历史大亏不能一概解读为同额烧钱，也不能因为剔除后较小便认为经营接近盈利。现金流和完整费用显示公司仍需要融资支持。上市自动把可赎回优先股份转为普通股后，相关负债减少，但此前投资者的经济利益进入股份分母，不是负债凭空消失为现有小股东免费增值。</w:t>
      </w:r>
    </w:p>
    <w:p>
      <w:pPr>
        <w:pStyle w:val="Normal"/>
        <w:rPr/>
      </w:pPr>
      <w:r>
        <w:rPr/>
        <w:t>准则亏损同比收窄与经调整亏损扩大可以同时发生。前者受优先金融负债公允值变化减少影响，后者反映训练和商业支出增加。本章不选择较好看的那个数字当增长质量结论，而分别看正常经营、现金和资本。未来若金融工具公允价值变动重新出现，应辨认它对现金、偿债和转换股数的含义，不能只机械剔除。股票投资最终需要判断全部股东收益，而非只判断一条利润表线是否改善。</w:t>
      </w:r>
    </w:p>
    <w:p>
      <w:pPr>
        <w:pStyle w:val="Normal"/>
        <w:rPr/>
      </w:pPr>
      <w:r>
        <w:rPr/>
        <w:t>利润质量还要看收入确认、应收回收和未使用套餐。六月应收</w:t>
      </w:r>
      <w:r>
        <w:rPr/>
        <w:t>3914.4</w:t>
      </w:r>
      <w:r>
        <w:rPr/>
        <w:t>万美元，较年底</w:t>
      </w:r>
      <w:r>
        <w:rPr/>
        <w:t>1073</w:t>
      </w:r>
      <w:r>
        <w:rPr/>
        <w:t>万增加，增长与收入扩张相关，但收款速度仍需跟踪。合同负债</w:t>
      </w:r>
      <w:r>
        <w:rPr/>
        <w:t>1828.7</w:t>
      </w:r>
      <w:r>
        <w:rPr/>
        <w:t>万美元增加，能提供预收资金，却对应以后服务和推理义务，不能按现金余额自由分给股东。研究不制造未公开的账龄、客户集中度或坏账概率；如果回收和退款恶化，收入增长的经营质量应低于当前基准。</w:t>
      </w:r>
    </w:p>
    <w:p>
      <w:pPr>
        <w:pStyle w:val="Heading2"/>
        <w:rPr/>
      </w:pPr>
      <w:r>
        <w:rPr>
          <w:color w:val="000000"/>
        </w:rPr>
        <w:t>八 现金消耗 固定资产和预付款</w:t>
      </w:r>
    </w:p>
    <w:p>
      <w:pPr>
        <w:pStyle w:val="Normal"/>
        <w:rPr/>
      </w:pPr>
      <w:r>
        <w:rPr/>
        <w:t>上半年经营现金流流出</w:t>
      </w:r>
      <w:r>
        <w:rPr/>
        <w:t>3.18106</w:t>
      </w:r>
      <w:r>
        <w:rPr/>
        <w:t>亿美元，固定资产购买流出</w:t>
      </w:r>
      <w:r>
        <w:rPr/>
        <w:t>1.87626</w:t>
      </w:r>
      <w:r>
        <w:rPr/>
        <w:t>亿美元，简化自由现金代理流出</w:t>
      </w:r>
      <w:r>
        <w:rPr/>
        <w:t>5.05732</w:t>
      </w:r>
      <w:r>
        <w:rPr/>
        <w:t>亿美元。固定资产投入比</w:t>
      </w:r>
      <w:r>
        <w:rPr/>
        <w:t>2025</w:t>
      </w:r>
      <w:r>
        <w:rPr/>
        <w:t>全年</w:t>
      </w:r>
      <w:r>
        <w:rPr/>
        <w:t>92</w:t>
      </w:r>
      <w:r>
        <w:rPr/>
        <w:t>万美元大幅增加，说明算力或基础设施扩展已经成为资本需求，不能只用损益研发预测现金跑道。购买固定资产与财报净固定资产增加不必同额，涉及支付时点和预付款转入。研究把历史购买现金与未来资本现金分别保留，不为填齐资产桥虚构交付或资产使用明细。</w:t>
      </w:r>
    </w:p>
    <w:p>
      <w:pPr>
        <w:pStyle w:val="Normal"/>
        <w:rPr/>
      </w:pPr>
      <w:r>
        <w:rPr/>
        <w:t>现金流里预付款、其他应收及资产增加</w:t>
      </w:r>
      <w:r>
        <w:rPr/>
        <w:t>1.35241</w:t>
      </w:r>
      <w:r>
        <w:rPr/>
        <w:t>亿美元，贸易应付款增加</w:t>
      </w:r>
      <w:r>
        <w:rPr/>
        <w:t>1.12444</w:t>
      </w:r>
      <w:r>
        <w:rPr/>
        <w:t>亿美元，二者对现金方向相反。算力订购和供应账期可以使损益与现金暂时分离，某季应付增加带来现金缓冲，未来支付时又减少资金。模型用营运资本现金准备，不把应付增长当持续利润，也不把预付全算费用。若供应商要求更短账期或更多预付款，即使收入与毛利符合预期，融资需求仍可能上升。</w:t>
      </w:r>
    </w:p>
    <w:p>
      <w:pPr>
        <w:pStyle w:val="Normal"/>
        <w:rPr/>
      </w:pPr>
      <w:r>
        <w:rPr/>
        <w:t>六月现金</w:t>
      </w:r>
      <w:r>
        <w:rPr/>
        <w:t>9.30905</w:t>
      </w:r>
      <w:r>
        <w:rPr/>
        <w:t>亿美元，定存</w:t>
      </w:r>
      <w:r>
        <w:rPr/>
        <w:t>1403.8</w:t>
      </w:r>
      <w:r>
        <w:rPr/>
        <w:t>万美元，摊余金融资产</w:t>
      </w:r>
      <w:r>
        <w:rPr/>
        <w:t>2962.9</w:t>
      </w:r>
      <w:r>
        <w:rPr/>
        <w:t>万，公允损益财资</w:t>
      </w:r>
      <w:r>
        <w:rPr/>
        <w:t>3.47476</w:t>
      </w:r>
      <w:r>
        <w:rPr/>
        <w:t>亿，精确合计非受限</w:t>
      </w:r>
      <w:r>
        <w:rPr/>
        <w:t>13.22048</w:t>
      </w:r>
      <w:r>
        <w:rPr/>
        <w:t>亿美元；受限</w:t>
      </w:r>
      <w:r>
        <w:rPr/>
        <w:t>79.3</w:t>
      </w:r>
      <w:r>
        <w:rPr/>
        <w:t>万美元另列。公司摘要约</w:t>
      </w:r>
      <w:r>
        <w:rPr/>
        <w:t>13.228</w:t>
      </w:r>
      <w:r>
        <w:rPr/>
        <w:t>亿美元包含受限，不能将摘要与细项加两次。公允金融资产虽被列入现金资源，仍有估值、赎回和对手方风险，模型按</w:t>
      </w:r>
      <w:r>
        <w:rPr/>
        <w:t>70%</w:t>
      </w:r>
      <w:r>
        <w:rPr/>
        <w:t>、</w:t>
      </w:r>
      <w:r>
        <w:rPr/>
        <w:t>90%</w:t>
      </w:r>
      <w:r>
        <w:rPr/>
        <w:t>、</w:t>
      </w:r>
      <w:r>
        <w:rPr/>
        <w:t>100%</w:t>
      </w:r>
      <w:r>
        <w:rPr/>
        <w:t>实现率分别处理。非核心其他综合收益投资</w:t>
      </w:r>
      <w:r>
        <w:rPr/>
        <w:t>765.3</w:t>
      </w:r>
      <w:r>
        <w:rPr/>
        <w:t>万美元另列，不再混入同一财资本金。</w:t>
      </w:r>
    </w:p>
    <w:p>
      <w:pPr>
        <w:pStyle w:val="Normal"/>
        <w:rPr/>
      </w:pPr>
      <w:r>
        <w:rPr/>
        <w:t>七月配股和债券净资金约</w:t>
      </w:r>
      <w:r>
        <w:rPr/>
        <w:t>20.25904</w:t>
      </w:r>
      <w:r>
        <w:rPr/>
        <w:t>亿美元进入现金，明显扩大跑道，但融资后约</w:t>
      </w:r>
      <w:r>
        <w:rPr/>
        <w:t>32</w:t>
      </w:r>
      <w:r>
        <w:rPr/>
        <w:t>亿美元是新闻估计，缺少截至十月精确全部现金流，不能称九月经审阅余额。模型从六月精确锚加已完成净款，再扣其他现金变化和目标期现金代理。现金积累年数是研究假设，不是由目标日期直接声称精确实际现金；它概括过渡期间资金消耗，后续完整报表到来应按滚动现金替换。</w:t>
      </w:r>
    </w:p>
    <w:p>
      <w:pPr>
        <w:pStyle w:val="Heading2"/>
        <w:rPr/>
      </w:pPr>
      <w:r>
        <w:rPr>
          <w:color w:val="000000"/>
        </w:rPr>
        <w:t>九 七月融资和</w:t>
      </w:r>
      <w:r>
        <w:rPr>
          <w:color w:val="000000"/>
        </w:rPr>
        <w:t>2027</w:t>
      </w:r>
      <w:r>
        <w:rPr>
          <w:color w:val="000000"/>
        </w:rPr>
        <w:t>年可转债</w:t>
      </w:r>
    </w:p>
    <w:p>
      <w:pPr>
        <w:pStyle w:val="Normal"/>
        <w:rPr/>
      </w:pPr>
      <w:r>
        <w:rPr/>
        <w:t>公司七月配售</w:t>
      </w:r>
      <w:r>
        <w:rPr/>
        <w:t>3560</w:t>
      </w:r>
      <w:r>
        <w:rPr/>
        <w:t>万新</w:t>
      </w:r>
      <w:r>
        <w:rPr/>
        <w:t>A</w:t>
      </w:r>
      <w:r>
        <w:rPr/>
        <w:t>类股份，发行价</w:t>
      </w:r>
      <w:r>
        <w:rPr/>
        <w:t>268</w:t>
      </w:r>
      <w:r>
        <w:rPr/>
        <w:t>港元，毛款</w:t>
      </w:r>
      <w:r>
        <w:rPr/>
        <w:t>95.408</w:t>
      </w:r>
      <w:r>
        <w:rPr/>
        <w:t>亿港元，净款</w:t>
      </w:r>
      <w:r>
        <w:rPr/>
        <w:t>94.4371</w:t>
      </w:r>
      <w:r>
        <w:rPr/>
        <w:t>亿。股份已进入九月法定分母，模型只把净现金加一次，不再把配股新增股份当未来额外稀释重复添加。发行价低于此前市场价，说明大额资金可以用股东比例换取；融资改善运营连续性，却不能在收入没有改善时被视为经营回报。未来融资价格对每股价值的影响需和净款一起计算。</w:t>
      </w:r>
    </w:p>
    <w:p>
      <w:pPr>
        <w:pStyle w:val="Normal"/>
        <w:rPr/>
      </w:pPr>
      <w:r>
        <w:rPr/>
        <w:t>七月</w:t>
      </w:r>
      <w:r>
        <w:rPr/>
        <w:t>16</w:t>
      </w:r>
      <w:r>
        <w:rPr/>
        <w:t>日完成</w:t>
      </w:r>
      <w:r>
        <w:rPr/>
        <w:t>65</w:t>
      </w:r>
      <w:r>
        <w:rPr/>
        <w:t>亿港元零息有担保可转债，净款</w:t>
      </w:r>
      <w:r>
        <w:rPr/>
        <w:t>64.333</w:t>
      </w:r>
      <w:r>
        <w:rPr/>
        <w:t>亿，初始转换价</w:t>
      </w:r>
      <w:r>
        <w:rPr/>
        <w:t>335</w:t>
      </w:r>
      <w:r>
        <w:rPr/>
        <w:t>港元，到期约</w:t>
      </w:r>
      <w:r>
        <w:rPr/>
        <w:t>2027</w:t>
      </w:r>
      <w:r>
        <w:rPr/>
        <w:t>年</w:t>
      </w:r>
      <w:r>
        <w:rPr/>
        <w:t>7</w:t>
      </w:r>
      <w:r>
        <w:rPr/>
        <w:t>月</w:t>
      </w:r>
      <w:r>
        <w:rPr/>
        <w:t>14</w:t>
      </w:r>
      <w:r>
        <w:rPr/>
        <w:t>日未转或赎回需支付本金</w:t>
      </w:r>
      <w:r>
        <w:rPr/>
        <w:t>102.75%</w:t>
      </w:r>
      <w:r>
        <w:rPr/>
        <w:t>，并非零成本</w:t>
      </w:r>
      <w:r>
        <w:rPr/>
        <w:t>65</w:t>
      </w:r>
      <w:r>
        <w:rPr/>
        <w:t>亿借款。债由集团担保，普通股不能把其视为无追索子公司资金。年底和半年仍未到期，模型扣未结算经济索偿；一年已到到期后，悲观用现金赎回，基准与乐观假设合法窗口内转股，分别反映资本结果。</w:t>
      </w:r>
    </w:p>
    <w:p>
      <w:pPr>
        <w:pStyle w:val="Normal"/>
        <w:rPr/>
      </w:pPr>
      <w:r>
        <w:rPr/>
        <w:t>转换权第一窗口至</w:t>
      </w:r>
      <w:r>
        <w:rPr/>
        <w:t>2026</w:t>
      </w:r>
      <w:r>
        <w:rPr/>
        <w:t>年</w:t>
      </w:r>
      <w:r>
        <w:rPr/>
        <w:t>9</w:t>
      </w:r>
      <w:r>
        <w:rPr/>
        <w:t>月</w:t>
      </w:r>
      <w:r>
        <w:rPr/>
        <w:t>21</w:t>
      </w:r>
      <w:r>
        <w:rPr/>
        <w:t>日，第二窗口</w:t>
      </w:r>
      <w:r>
        <w:rPr/>
        <w:t>2027</w:t>
      </w:r>
      <w:r>
        <w:rPr/>
        <w:t>年</w:t>
      </w:r>
      <w:r>
        <w:rPr/>
        <w:t>5</w:t>
      </w:r>
      <w:r>
        <w:rPr/>
        <w:t>月</w:t>
      </w:r>
      <w:r>
        <w:rPr/>
        <w:t>15</w:t>
      </w:r>
      <w:r>
        <w:rPr/>
        <w:t>日至到期前十天，特殊赎回或相关事件可另触发。本章截至日及半年默认转换比例零，不能因目标股价高于</w:t>
      </w:r>
      <w:r>
        <w:rPr/>
        <w:t>335</w:t>
      </w:r>
      <w:r>
        <w:rPr/>
        <w:t>便声称当时可自由转换。一年基准转股假设意味着第二窗口股价和投资者选择支持转换，价格路径不是目标末点自动决定。若窗口中未达到转股吸引力，需改为现金偿债，普通股目标随资本安排调整。</w:t>
      </w:r>
    </w:p>
    <w:p>
      <w:pPr>
        <w:pStyle w:val="Normal"/>
        <w:rPr/>
      </w:pPr>
      <w:r>
        <w:rPr/>
        <w:t>全部转换潜在约</w:t>
      </w:r>
      <w:r>
        <w:rPr/>
        <w:t>1940.2985</w:t>
      </w:r>
      <w:r>
        <w:rPr/>
        <w:t>万股，精确计算用本金除</w:t>
      </w:r>
      <w:r>
        <w:rPr/>
        <w:t>335</w:t>
      </w:r>
      <w:r>
        <w:rPr/>
        <w:t>；原公告整数舍入，模型保留小数百万股做一致核算。转换后不再扣已消除债本金，同时股份分母增加，融资净款仍留在历史现金桥，不退回原始收到的钱。若将债本金继续全扣又增股，会重复惩罚股东；若只不扣债而不增股则高估。转换价还有资本分配等调整条款，未来事件发生时应使用新价，现阶段不假造重设结果。</w:t>
      </w:r>
    </w:p>
    <w:p>
      <w:pPr>
        <w:pStyle w:val="Heading2"/>
        <w:rPr/>
      </w:pPr>
      <w:r>
        <w:rPr>
          <w:color w:val="000000"/>
        </w:rPr>
        <w:t xml:space="preserve">十 股数 激励 </w:t>
      </w:r>
      <w:r>
        <w:rPr>
          <w:color w:val="000000"/>
        </w:rPr>
        <w:t>WVR</w:t>
      </w:r>
      <w:r>
        <w:rPr>
          <w:color w:val="000000"/>
        </w:rPr>
        <w:t>与未来融资约束</w:t>
      </w:r>
    </w:p>
    <w:p>
      <w:pPr>
        <w:pStyle w:val="Normal"/>
        <w:rPr/>
      </w:pPr>
      <w:r>
        <w:rPr/>
        <w:t>九月月报</w:t>
      </w:r>
      <w:r>
        <w:rPr/>
        <w:t>A</w:t>
      </w:r>
      <w:r>
        <w:rPr/>
        <w:t>类</w:t>
      </w:r>
      <w:r>
        <w:rPr/>
        <w:t>271377649</w:t>
      </w:r>
      <w:r>
        <w:rPr/>
        <w:t>股，</w:t>
      </w:r>
      <w:r>
        <w:rPr/>
        <w:t>B</w:t>
      </w:r>
      <w:r>
        <w:rPr/>
        <w:t>类</w:t>
      </w:r>
      <w:r>
        <w:rPr/>
        <w:t>81102534</w:t>
      </w:r>
      <w:r>
        <w:rPr/>
        <w:t>股，总经济股</w:t>
      </w:r>
      <w:r>
        <w:rPr/>
        <w:t>352480183</w:t>
      </w:r>
      <w:r>
        <w:rPr/>
        <w:t>，库存零。腾讯行情市值字段约</w:t>
      </w:r>
      <w:r>
        <w:rPr/>
        <w:t>578.03</w:t>
      </w:r>
      <w:r>
        <w:rPr/>
        <w:t>亿港元与仅</w:t>
      </w:r>
      <w:r>
        <w:rPr/>
        <w:t>A</w:t>
      </w:r>
      <w:r>
        <w:rPr/>
        <w:t>类乘价接近，按全部经济股份乘</w:t>
      </w:r>
      <w:r>
        <w:rPr/>
        <w:t>213</w:t>
      </w:r>
      <w:r>
        <w:rPr/>
        <w:t>应约</w:t>
      </w:r>
      <w:r>
        <w:rPr/>
        <w:t>750.78</w:t>
      </w:r>
      <w:r>
        <w:rPr/>
        <w:t>亿，因此不能用较小市值计算销售倍数。</w:t>
      </w:r>
      <w:r>
        <w:rPr/>
        <w:t>B</w:t>
      </w:r>
      <w:r>
        <w:rPr/>
        <w:t>类每股十票影响治理，但经济分配仍为普通股，不能因未上市而排出分母。公司经营估值和股权回报均按总经济股，交易流动性再按上市类别解释。</w:t>
      </w:r>
    </w:p>
    <w:p>
      <w:pPr>
        <w:pStyle w:val="Normal"/>
        <w:rPr/>
      </w:pPr>
      <w:r>
        <w:rPr/>
        <w:t>上市前激励底层股份已由员工平台持有，原件说全部归属或行权不会再稀释上市股份，本章不再重复加</w:t>
      </w:r>
      <w:r>
        <w:rPr/>
        <w:t>2089.0736</w:t>
      </w:r>
      <w:r>
        <w:rPr/>
        <w:t>万。九月已发行奖股</w:t>
      </w:r>
      <w:r>
        <w:rPr/>
        <w:t>324.4875</w:t>
      </w:r>
      <w:r>
        <w:rPr/>
        <w:t>万在法定锚内；</w:t>
      </w:r>
      <w:r>
        <w:rPr/>
        <w:t>9</w:t>
      </w:r>
      <w:r>
        <w:rPr/>
        <w:t>月</w:t>
      </w:r>
      <w:r>
        <w:rPr/>
        <w:t>29</w:t>
      </w:r>
      <w:r>
        <w:rPr/>
        <w:t>日另授</w:t>
      </w:r>
      <w:r>
        <w:rPr/>
        <w:t>209.2198</w:t>
      </w:r>
      <w:r>
        <w:rPr/>
        <w:t>万新股奖励将随归属增股，没有业绩目标，不能全部说已发行。本模型未来奖股按期限和情景显式增长，代表新授及归属的研究准备；实际股份到来应从准备中扣回，避免奖股既在锚又在未来重复。</w:t>
      </w:r>
    </w:p>
    <w:p>
      <w:pPr>
        <w:pStyle w:val="Normal"/>
        <w:rPr/>
      </w:pPr>
      <w:r>
        <w:rPr/>
        <w:t>WVR</w:t>
      </w:r>
      <w:r>
        <w:rPr/>
        <w:t>能让核心团队在经济持股下降后保持较强决策权，利于研发长期投入，也减少普通公众股东改变资本配置的能力。融资后管理层投票与经济风险可能进一步分离，董事会治理、关联交易定价和使用资金透明度成为财务风险评分的一部分。不能只因创始人熟悉技术便假设所有投资最优，也不能把</w:t>
      </w:r>
      <w:r>
        <w:rPr/>
        <w:t>WVR</w:t>
      </w:r>
      <w:r>
        <w:rPr/>
        <w:t>本身视为违法。研究看实际资本回报、交易批准和信息披露，持续检验治理是否保护普通股利益。</w:t>
      </w:r>
    </w:p>
    <w:p>
      <w:pPr>
        <w:pStyle w:val="Normal"/>
        <w:rPr/>
      </w:pPr>
      <w:r>
        <w:rPr/>
        <w:t>长期现金模型若在经营储备前资金不足，自动计算最低补足融资，并按研究发行价增加股份。它显示需筹多少资金，不代表融资一定成功；若市场拒绝提供资金，情景必须重新评为停运、卖资产或近零普通股价值。三年基准总新融约</w:t>
      </w:r>
      <w:r>
        <w:rPr/>
        <w:t>38.74456</w:t>
      </w:r>
      <w:r>
        <w:rPr/>
        <w:t>亿美元，五年约</w:t>
      </w:r>
      <w:r>
        <w:rPr/>
        <w:t>45.21860</w:t>
      </w:r>
      <w:r>
        <w:rPr/>
        <w:t>亿，在每股分母里体现相当稀释。高目标仍依赖融资持续可得，这也是长期评分未随目标倍数同步提高的主要理由。</w:t>
      </w:r>
    </w:p>
    <w:p>
      <w:pPr>
        <w:pStyle w:val="Heading2"/>
        <w:rPr/>
      </w:pPr>
      <w:r>
        <w:rPr>
          <w:color w:val="000000"/>
        </w:rPr>
        <w:t>十一 关联云交易与资源供应</w:t>
      </w:r>
    </w:p>
    <w:p>
      <w:pPr>
        <w:pStyle w:val="Normal"/>
        <w:rPr/>
      </w:pPr>
      <w:r>
        <w:rPr/>
        <w:t>阿里为股东及云服务供应相关方，中报上半年购买阿里服务</w:t>
      </w:r>
      <w:r>
        <w:rPr/>
        <w:t>7557.1</w:t>
      </w:r>
      <w:r>
        <w:rPr/>
        <w:t>万美元，六月贸易应付</w:t>
      </w:r>
      <w:r>
        <w:rPr/>
        <w:t>4307.7</w:t>
      </w:r>
      <w:r>
        <w:rPr/>
        <w:t>万、应收</w:t>
      </w:r>
      <w:r>
        <w:rPr/>
        <w:t>56.8</w:t>
      </w:r>
      <w:r>
        <w:rPr/>
        <w:t>万。关联关系可提升资源协作，但也需要独立商业定价和审批。不能把股东身份等同无条件供给或免费融资，亦不能只凭关联交易推定输送利益。研究要比较供应质量、价格与替代能力，以及公司是否披露实际交易与核准上限，维持经济分析与未经证实指控的边界。</w:t>
      </w:r>
    </w:p>
    <w:p>
      <w:pPr>
        <w:pStyle w:val="Normal"/>
        <w:rPr/>
      </w:pPr>
      <w:r>
        <w:rPr/>
        <w:t>八月公告提高云采购</w:t>
      </w:r>
      <w:r>
        <w:rPr/>
        <w:t>2026</w:t>
      </w:r>
      <w:r>
        <w:rPr/>
        <w:t>至</w:t>
      </w:r>
      <w:r>
        <w:rPr/>
        <w:t>2028</w:t>
      </w:r>
      <w:r>
        <w:rPr/>
        <w:t>年上限至</w:t>
      </w:r>
      <w:r>
        <w:rPr/>
        <w:t>3</w:t>
      </w:r>
      <w:r>
        <w:rPr/>
        <w:t>亿、</w:t>
      </w:r>
      <w:r>
        <w:rPr/>
        <w:t>4</w:t>
      </w:r>
      <w:r>
        <w:rPr/>
        <w:t>亿、</w:t>
      </w:r>
      <w:r>
        <w:rPr/>
        <w:t>5</w:t>
      </w:r>
      <w:r>
        <w:rPr/>
        <w:t>亿美元，</w:t>
      </w:r>
      <w:r>
        <w:rPr/>
        <w:t>API</w:t>
      </w:r>
      <w:r>
        <w:rPr/>
        <w:t>销售上限至</w:t>
      </w:r>
      <w:r>
        <w:rPr/>
        <w:t>750</w:t>
      </w:r>
      <w:r>
        <w:rPr/>
        <w:t>万、</w:t>
      </w:r>
      <w:r>
        <w:rPr/>
        <w:t>2200</w:t>
      </w:r>
      <w:r>
        <w:rPr/>
        <w:t>万、</w:t>
      </w:r>
      <w:r>
        <w:rPr/>
        <w:t>3300</w:t>
      </w:r>
      <w:r>
        <w:rPr/>
        <w:t>万美元。上限是监管及协议允许额度，原件明确仅为合理估计，不是实际采购承诺或全年收入指引。若把</w:t>
      </w:r>
      <w:r>
        <w:rPr/>
        <w:t>3</w:t>
      </w:r>
      <w:r>
        <w:rPr/>
        <w:t>亿美元直接加研发，又把全部研发算力成本再扣一次，会双算；若把</w:t>
      </w:r>
      <w:r>
        <w:rPr/>
        <w:t>750</w:t>
      </w:r>
      <w:r>
        <w:rPr/>
        <w:t>万美元全算已签收入也会造假。本章完整算力费用自目标需求设定，上限只提供资源和治理背景。</w:t>
      </w:r>
    </w:p>
    <w:p>
      <w:pPr>
        <w:pStyle w:val="Normal"/>
        <w:rPr/>
      </w:pPr>
      <w:r>
        <w:rPr/>
        <w:t>公司拟把七月净款约</w:t>
      </w:r>
      <w:r>
        <w:rPr/>
        <w:t>80%</w:t>
      </w:r>
      <w:r>
        <w:rPr/>
        <w:t>用于基础设施和模型研发、预计</w:t>
      </w:r>
      <w:r>
        <w:rPr/>
        <w:t>2027</w:t>
      </w:r>
      <w:r>
        <w:rPr/>
        <w:t>年底前使用，提示资本很可能快速消耗。研发、资产购买和预付之间有会计区别，不能将所有基础设施资金都当一年损益或都当长期资产。模型同时展示训练费用、资本现金和营运资金，各参数需实际报表校验。若未来披露算力长期最低承诺，应把尚未支付的刚性义务加入现金准备，而不是认为董事会额度可随时撤销无成本。</w:t>
      </w:r>
    </w:p>
    <w:p>
      <w:pPr>
        <w:pStyle w:val="Normal"/>
        <w:rPr/>
      </w:pPr>
      <w:r>
        <w:rPr/>
        <w:t>供应算力来自云和基础设施资源，瓶颈不仅是资金，还有硬件、部署、电力、区域政策和合同条款。资源扩展能提高并发能力与模型训练规模，但利用率不高会拖累单位成本，缺资源又会使付费增长受限。公司声称现有资源支持当前模型管线属于管理层判断，本章不把它写为十年供给保证。更可信的后续指标是服务可靠性、成本毛利、预付占用和资本产出，而非单一资本开支金额。</w:t>
      </w:r>
    </w:p>
    <w:p>
      <w:pPr>
        <w:pStyle w:val="Heading2"/>
        <w:rPr/>
      </w:pPr>
      <w:r>
        <w:rPr>
          <w:color w:val="000000"/>
        </w:rPr>
        <w:t>十二 海外收入 汇率与法律风险</w:t>
      </w:r>
    </w:p>
    <w:p>
      <w:pPr>
        <w:pStyle w:val="Normal"/>
        <w:rPr/>
      </w:pPr>
      <w:r>
        <w:rPr/>
        <w:t>上半年中国内地收入</w:t>
      </w:r>
      <w:r>
        <w:rPr/>
        <w:t>4574.5</w:t>
      </w:r>
      <w:r>
        <w:rPr/>
        <w:t>万美元，其他市场</w:t>
      </w:r>
      <w:r>
        <w:rPr/>
        <w:t>7082.8</w:t>
      </w:r>
      <w:r>
        <w:rPr/>
        <w:t>万，占</w:t>
      </w:r>
      <w:r>
        <w:rPr/>
        <w:t>60.8%</w:t>
      </w:r>
      <w:r>
        <w:rPr/>
        <w:t>；覆盖</w:t>
      </w:r>
      <w:r>
        <w:rPr/>
        <w:t>230</w:t>
      </w:r>
      <w:r>
        <w:rPr/>
        <w:t>多个国家地区说明分发广，但不代表每地收入显著，也不保证没有区域集中。海外需求为国内价格竞争提供多元化，同时引入支付、平台审核、隐私、税与内容规则。研究不制造地域明细，若未来某主要地区受限，用户覆盖国家数仍多但收入可能受重创。判断全球化应以有效收入、毛利和持续可服务市场为准。</w:t>
      </w:r>
    </w:p>
    <w:p>
      <w:pPr>
        <w:pStyle w:val="Normal"/>
        <w:rPr/>
      </w:pPr>
      <w:r>
        <w:rPr/>
        <w:t>财报美元、股票港元，港美元联系减少名义换算变化，但收入和算力费用可能分别来自人民币、美元等币种。人民币变化影响国内费用和海外竞争价格，不可以仅把美元收入乘一个汇率便解释全部利润。模型用每美元</w:t>
      </w:r>
      <w:r>
        <w:rPr/>
        <w:t>7.837</w:t>
      </w:r>
      <w:r>
        <w:rPr/>
        <w:t>港元作为融资公告明确参照和研究转换假设，港币兑人民币组合回报另由总表敏感性处理。股价涨幅与人民币投资者最终总回报不同，分红为零也不消除汇率风险。</w:t>
      </w:r>
    </w:p>
    <w:p>
      <w:pPr>
        <w:pStyle w:val="Normal"/>
        <w:rPr/>
      </w:pPr>
      <w:r>
        <w:rPr/>
        <w:t>2025</w:t>
      </w:r>
      <w:r>
        <w:rPr/>
        <w:t>年</w:t>
      </w:r>
      <w:r>
        <w:rPr/>
        <w:t>9</w:t>
      </w:r>
      <w:r>
        <w:rPr/>
        <w:t>月迪士尼、环球及华纳等在美国提出针对海螺生成内容的民事诉讼，寻求损害、禁令和费用。年报列公司否认直接及次级侵权的理由，管理层认为缺乏依据；这不是法院判决，也不能据此宣布已胜诉。研究没有可核验损失概率和金额，不填精确赔偿准备，但会在毛利、法律成本及海外业务风险中保持压力。禁令、内容过滤或授权费用都可能改变商业价值，即使无需巨额一次赔偿。</w:t>
      </w:r>
    </w:p>
    <w:p>
      <w:pPr>
        <w:pStyle w:val="Normal"/>
        <w:rPr/>
      </w:pPr>
      <w:r>
        <w:rPr/>
        <w:t>海外内容合规也可能影响产品吸引力和生成效率。更严格过滤可减少风险，却让用户某些需求不能满足；授权可扩大合法素材但需要成本。模型质量与版权合法性不是同一维度，股东要看能持续收费的合法工作流。假如视频业务必须高额授权或限制主要用途，原生毛利假设应下调，不能用企业编码收入增长掩盖视频风险，也不能把合规开支永久当一次性剔除。</w:t>
      </w:r>
    </w:p>
    <w:p>
      <w:pPr>
        <w:pStyle w:val="Heading2"/>
        <w:rPr/>
      </w:pPr>
      <w:r>
        <w:rPr>
          <w:color w:val="000000"/>
        </w:rPr>
        <w:t>十三 行业周期与经济前景怎样影响</w:t>
      </w:r>
      <w:r>
        <w:rPr>
          <w:color w:val="000000"/>
        </w:rPr>
        <w:t>MiniMax</w:t>
      </w:r>
    </w:p>
    <w:p>
      <w:pPr>
        <w:pStyle w:val="Normal"/>
        <w:rPr/>
      </w:pPr>
      <w:r>
        <w:rPr/>
        <w:t>AI</w:t>
      </w:r>
      <w:r>
        <w:rPr/>
        <w:t>需求并非传统库存周期，但有投资预期、算力扩张、模型升级和客户预算的周期。企业试验阶段可以快速产生用量，生产部署需要可靠性、管理和实际效益，节奏可能比技术新闻慢。若经济偏弱，客户更愿用</w:t>
      </w:r>
      <w:r>
        <w:rPr/>
        <w:t>AI</w:t>
      </w:r>
      <w:r>
        <w:rPr/>
        <w:t>降低成本，也更严格控制试验预算，两方向可能同时出现。</w:t>
      </w:r>
      <w:r>
        <w:rPr/>
        <w:t>MiniMax</w:t>
      </w:r>
      <w:r>
        <w:rPr/>
        <w:t>的投资逻辑不能只用</w:t>
      </w:r>
      <w:r>
        <w:rPr/>
        <w:t>AI</w:t>
      </w:r>
      <w:r>
        <w:rPr/>
        <w:t>大趋势推导收入，应观察企业付费是否从试用转为持续生产，以证明需求耐久性。</w:t>
      </w:r>
    </w:p>
    <w:p>
      <w:pPr>
        <w:pStyle w:val="Normal"/>
        <w:rPr/>
      </w:pPr>
      <w:r>
        <w:rPr/>
        <w:t>利率下降可能提高市场愿付的长期销售倍数并改善融资环境，但不直接降低每个模型任务的计算成本。反之，高利率和风险偏好下降会让未盈利公司的现金需求受到更严格审视，融资价格可能较目标价低。公司已有债到期在</w:t>
      </w:r>
      <w:r>
        <w:rPr/>
        <w:t>2027</w:t>
      </w:r>
      <w:r>
        <w:rPr/>
        <w:t>年，利率和信用环境会影响是否转股、现金偿还或再融资。模型未来发行价与经营倍数分开，避免在乐观宏观情景里忽略融资折让；估值修复和资本成本应共同考虑。</w:t>
      </w:r>
    </w:p>
    <w:p>
      <w:pPr>
        <w:pStyle w:val="Normal"/>
        <w:rPr/>
      </w:pPr>
      <w:r>
        <w:rPr/>
        <w:t>大型云和实验室资本扩张可能先推高供应紧张和价格，后来增加可用算力使单位成本下降。</w:t>
      </w:r>
      <w:r>
        <w:rPr/>
        <w:t>MiniMax</w:t>
      </w:r>
      <w:r>
        <w:rPr/>
        <w:t>若能提高利用率，享受效率改善；如果购入或预付的资源很快技术落后，资产回收可能较慢。基础设施周期与模型迭代交织，无法只用当期</w:t>
      </w:r>
      <w:r>
        <w:rPr/>
        <w:t>GPU</w:t>
      </w:r>
      <w:r>
        <w:rPr/>
        <w:t>报价推精确利润。本章在现金模型留资本准备，长期毛利上升需要工程与利用效率证明，而不是假设采购总额越大竞争力越强。</w:t>
      </w:r>
    </w:p>
    <w:p>
      <w:pPr>
        <w:pStyle w:val="Normal"/>
        <w:rPr/>
      </w:pPr>
      <w:r>
        <w:rPr/>
        <w:t>政策支持和资本市场上市机会可能扩大融资渠道，但不等于盈利补贴永久持续。公司五月提出人民币股份发行初步建议，未获得可核验完成融资不能加现金或具体新增股。未来资本渠道多元化可以降低单市场风险，却也可能扩大稀释和治理复杂度。研究的融资准备并不押注特定发行已批准，采用现金需求和发行价敏感性；只有条件、价格、净款及股份明确后才替换假设。</w:t>
      </w:r>
    </w:p>
    <w:p>
      <w:pPr>
        <w:pStyle w:val="Heading2"/>
        <w:rPr/>
      </w:pPr>
      <w:r>
        <w:rPr>
          <w:color w:val="000000"/>
        </w:rPr>
        <w:t>十四 半年日线与周线趋势</w:t>
      </w:r>
    </w:p>
    <w:p>
      <w:pPr>
        <w:pStyle w:val="Normal"/>
        <w:rPr/>
      </w:pPr>
      <w:r>
        <w:rPr/>
        <w:t>真实</w:t>
      </w:r>
      <w:r>
        <w:rPr/>
        <w:t>185</w:t>
      </w:r>
      <w:r>
        <w:rPr/>
        <w:t>根日线始于上市日至基准日，</w:t>
      </w:r>
      <w:r>
        <w:rPr/>
        <w:t>20</w:t>
      </w:r>
      <w:r>
        <w:rPr/>
        <w:t>、</w:t>
      </w:r>
      <w:r>
        <w:rPr/>
        <w:t>60</w:t>
      </w:r>
      <w:r>
        <w:rPr/>
        <w:t>、</w:t>
      </w:r>
      <w:r>
        <w:rPr/>
        <w:t>120</w:t>
      </w:r>
      <w:r>
        <w:rPr/>
        <w:t>均线</w:t>
      </w:r>
      <w:r>
        <w:rPr/>
        <w:t>255.24</w:t>
      </w:r>
      <w:r>
        <w:rPr/>
        <w:t>、</w:t>
      </w:r>
      <w:r>
        <w:rPr/>
        <w:t>277.3833</w:t>
      </w:r>
      <w:r>
        <w:rPr/>
        <w:t>、</w:t>
      </w:r>
      <w:r>
        <w:rPr/>
        <w:t>438.4275</w:t>
      </w:r>
      <w:r>
        <w:rPr/>
        <w:t>港元，现价分别低</w:t>
      </w:r>
      <w:r>
        <w:rPr/>
        <w:t>16.55%</w:t>
      </w:r>
      <w:r>
        <w:rPr/>
        <w:t>、</w:t>
      </w:r>
      <w:r>
        <w:rPr/>
        <w:t>23.21%</w:t>
      </w:r>
      <w:r>
        <w:rPr/>
        <w:t>、</w:t>
      </w:r>
      <w:r>
        <w:rPr/>
        <w:t>51.42%</w:t>
      </w:r>
      <w:r>
        <w:rPr/>
        <w:t>，</w:t>
      </w:r>
      <w:r>
        <w:rPr/>
        <w:t>250</w:t>
      </w:r>
      <w:r>
        <w:rPr/>
        <w:t>日不存在。五日窗口均线斜率分别约负</w:t>
      </w:r>
      <w:r>
        <w:rPr/>
        <w:t>8.96%</w:t>
      </w:r>
      <w:r>
        <w:rPr/>
        <w:t>、</w:t>
      </w:r>
      <w:r>
        <w:rPr/>
        <w:t>0.50%</w:t>
      </w:r>
      <w:r>
        <w:rPr/>
        <w:t>、</w:t>
      </w:r>
      <w:r>
        <w:rPr/>
        <w:t>6.01%</w:t>
      </w:r>
      <w:r>
        <w:rPr/>
        <w:t>，构成中短期下降。这里没有用虚构全年历史补长均线，</w:t>
      </w:r>
      <w:r>
        <w:rPr/>
        <w:t>120</w:t>
      </w:r>
      <w:r>
        <w:rPr/>
        <w:t>日已覆盖新股大部分历史高价，距离大既体现供给压力也受上市初期波动影响，不代表经济合理价值必定均值回归到</w:t>
      </w:r>
      <w:r>
        <w:rPr/>
        <w:t>438</w:t>
      </w:r>
      <w:r>
        <w:rPr/>
        <w:t>。</w:t>
      </w:r>
    </w:p>
    <w:p>
      <w:pPr>
        <w:pStyle w:val="Normal"/>
        <w:rPr/>
      </w:pPr>
      <w:r>
        <w:rPr/>
        <w:t>最近</w:t>
      </w:r>
      <w:r>
        <w:rPr/>
        <w:t>20</w:t>
      </w:r>
      <w:r>
        <w:rPr/>
        <w:t>日区间低</w:t>
      </w:r>
      <w:r>
        <w:rPr/>
        <w:t>201.40</w:t>
      </w:r>
      <w:r>
        <w:rPr/>
        <w:t>、高</w:t>
      </w:r>
      <w:r>
        <w:rPr/>
        <w:t>320.40</w:t>
      </w:r>
      <w:r>
        <w:rPr/>
        <w:t>，距现价负</w:t>
      </w:r>
      <w:r>
        <w:rPr/>
        <w:t>5.45%</w:t>
      </w:r>
      <w:r>
        <w:rPr/>
        <w:t>和正</w:t>
      </w:r>
      <w:r>
        <w:rPr/>
        <w:t>50.42%</w:t>
      </w:r>
      <w:r>
        <w:rPr/>
        <w:t>；</w:t>
      </w:r>
      <w:r>
        <w:rPr/>
        <w:t>60</w:t>
      </w:r>
      <w:r>
        <w:rPr/>
        <w:t>日低</w:t>
      </w:r>
      <w:r>
        <w:rPr/>
        <w:t>186.20</w:t>
      </w:r>
      <w:r>
        <w:rPr/>
        <w:t>、高</w:t>
      </w:r>
      <w:r>
        <w:rPr/>
        <w:t>395</w:t>
      </w:r>
      <w:r>
        <w:rPr/>
        <w:t>，距负</w:t>
      </w:r>
      <w:r>
        <w:rPr/>
        <w:t>12.58%</w:t>
      </w:r>
      <w:r>
        <w:rPr/>
        <w:t>和正</w:t>
      </w:r>
      <w:r>
        <w:rPr/>
        <w:t>85.45%</w:t>
      </w:r>
      <w:r>
        <w:rPr/>
        <w:t>。极值是观察位置，未经多次触碰统计，不能称绝对支撑阻力。较实用次序是</w:t>
      </w:r>
      <w:r>
        <w:rPr/>
        <w:t>201.40</w:t>
      </w:r>
      <w:r>
        <w:rPr/>
        <w:t>附近能否守住、</w:t>
      </w:r>
      <w:r>
        <w:rPr/>
        <w:t>255.24</w:t>
      </w:r>
      <w:r>
        <w:rPr/>
        <w:t>能否收复、</w:t>
      </w:r>
      <w:r>
        <w:rPr/>
        <w:t>277.38</w:t>
      </w:r>
      <w:r>
        <w:rPr/>
        <w:t>能否站稳，再看</w:t>
      </w:r>
      <w:r>
        <w:rPr/>
        <w:t>320.40</w:t>
      </w:r>
      <w:r>
        <w:rPr/>
        <w:t>供给。如果放量跌穿</w:t>
      </w:r>
      <w:r>
        <w:rPr/>
        <w:t>201.40</w:t>
      </w:r>
      <w:r>
        <w:rPr/>
        <w:t>并靠近</w:t>
      </w:r>
      <w:r>
        <w:rPr/>
        <w:t>186.20</w:t>
      </w:r>
      <w:r>
        <w:rPr/>
        <w:t>，当前反弹假设减弱，不能因远期目标高便忽视价格仍在弱势。</w:t>
      </w:r>
    </w:p>
    <w:p>
      <w:pPr>
        <w:pStyle w:val="Normal"/>
        <w:rPr/>
      </w:pPr>
      <w:r>
        <w:rPr/>
        <w:t>上市以来高</w:t>
      </w:r>
      <w:r>
        <w:rPr/>
        <w:t>1330</w:t>
      </w:r>
      <w:r>
        <w:rPr/>
        <w:t>、低</w:t>
      </w:r>
      <w:r>
        <w:rPr/>
        <w:t>186.20</w:t>
      </w:r>
      <w:r>
        <w:rPr/>
        <w:t>，现价较高点低</w:t>
      </w:r>
      <w:r>
        <w:rPr/>
        <w:t>83.98%</w:t>
      </w:r>
      <w:r>
        <w:rPr/>
        <w:t>，历史最大回撤约</w:t>
      </w:r>
      <w:r>
        <w:rPr/>
        <w:t>84.40%</w:t>
      </w:r>
      <w:r>
        <w:rPr/>
        <w:t>；这只是</w:t>
      </w:r>
      <w:r>
        <w:rPr/>
        <w:t>185</w:t>
      </w:r>
      <w:r>
        <w:rPr/>
        <w:t>日窗口，不是完整</w:t>
      </w:r>
      <w:r>
        <w:rPr/>
        <w:t>52</w:t>
      </w:r>
      <w:r>
        <w:rPr/>
        <w:t>周或多年周期。高位能否重访取决于经营、资本和估值，不以曾经达到作为价格锚。四期限乐观目标可能高于历史高点，理由来自远期收入假设，历史并不能证明实现可能。研究把极端跌幅展示为供需风险背景，不从有限样本计算看似精确的涨跌统计边界。</w:t>
      </w:r>
    </w:p>
    <w:p>
      <w:pPr>
        <w:pStyle w:val="Normal"/>
        <w:rPr/>
      </w:pPr>
      <w:r>
        <w:rPr/>
        <w:t>40</w:t>
      </w:r>
      <w:r>
        <w:rPr/>
        <w:t>周历史只有</w:t>
      </w:r>
      <w:r>
        <w:rPr/>
        <w:t>20</w:t>
      </w:r>
      <w:r>
        <w:rPr/>
        <w:t>周均线</w:t>
      </w:r>
      <w:r>
        <w:rPr/>
        <w:t>346.99</w:t>
      </w:r>
      <w:r>
        <w:rPr/>
        <w:t>，现价低</w:t>
      </w:r>
      <w:r>
        <w:rPr/>
        <w:t>38.61%</w:t>
      </w:r>
      <w:r>
        <w:rPr/>
        <w:t>，斜率约负</w:t>
      </w:r>
      <w:r>
        <w:rPr/>
        <w:t>26.42%</w:t>
      </w:r>
      <w:r>
        <w:rPr/>
        <w:t>，</w:t>
      </w:r>
      <w:r>
        <w:rPr/>
        <w:t>60</w:t>
      </w:r>
      <w:r>
        <w:rPr/>
        <w:t>、</w:t>
      </w:r>
      <w:r>
        <w:rPr/>
        <w:t>120</w:t>
      </w:r>
      <w:r>
        <w:rPr/>
        <w:t>、</w:t>
      </w:r>
      <w:r>
        <w:rPr/>
        <w:t>250</w:t>
      </w:r>
      <w:r>
        <w:rPr/>
        <w:t>周全部不足。周</w:t>
      </w:r>
      <w:r>
        <w:rPr/>
        <w:t>RSI41.39</w:t>
      </w:r>
      <w:r>
        <w:rPr/>
        <w:t>，</w:t>
      </w:r>
      <w:r>
        <w:rPr/>
        <w:t>MACD</w:t>
      </w:r>
      <w:r>
        <w:rPr/>
        <w:t>柱正约</w:t>
      </w:r>
      <w:r>
        <w:rPr/>
        <w:t>18.00</w:t>
      </w:r>
      <w:r>
        <w:rPr/>
        <w:t>，但差线与信号都深负，与日柱负不同步。周动量缓和可出现于高波动下跌后，并不能覆盖价格仍低于均线的事实。技术评分只给一次趋势评价，不让日周相似动量各加分；真实周历史短也限制稳健趋势判断，应保留“历史不足”提示。</w:t>
      </w:r>
    </w:p>
    <w:p>
      <w:pPr>
        <w:pStyle w:val="Heading2"/>
        <w:rPr/>
      </w:pPr>
      <w:r>
        <w:rPr>
          <w:color w:val="000000"/>
        </w:rPr>
        <w:t>十五 成交量 相对强弱与技术失效</w:t>
      </w:r>
    </w:p>
    <w:p>
      <w:pPr>
        <w:pStyle w:val="Normal"/>
        <w:rPr/>
      </w:pPr>
      <w:r>
        <w:rPr/>
        <w:t>基准日成交</w:t>
      </w:r>
      <w:r>
        <w:rPr/>
        <w:t>1025.681</w:t>
      </w:r>
      <w:r>
        <w:rPr/>
        <w:t>万股、约</w:t>
      </w:r>
      <w:r>
        <w:rPr/>
        <w:t>21.51665</w:t>
      </w:r>
      <w:r>
        <w:rPr/>
        <w:t>亿港元，腾讯与新浪报价量价交叉核对，历史</w:t>
      </w:r>
      <w:r>
        <w:rPr/>
        <w:t>Yahoo</w:t>
      </w:r>
      <w:r>
        <w:rPr/>
        <w:t>与腾讯日线亦一致。</w:t>
      </w:r>
      <w:r>
        <w:rPr/>
        <w:t>5</w:t>
      </w:r>
      <w:r>
        <w:rPr/>
        <w:t>、</w:t>
      </w:r>
      <w:r>
        <w:rPr/>
        <w:t>20</w:t>
      </w:r>
      <w:r>
        <w:rPr/>
        <w:t>、</w:t>
      </w:r>
      <w:r>
        <w:rPr/>
        <w:t>60</w:t>
      </w:r>
      <w:r>
        <w:rPr/>
        <w:t>日均量约</w:t>
      </w:r>
      <w:r>
        <w:rPr/>
        <w:t>611.575</w:t>
      </w:r>
      <w:r>
        <w:rPr/>
        <w:t>、</w:t>
      </w:r>
      <w:r>
        <w:rPr/>
        <w:t>947.971</w:t>
      </w:r>
      <w:r>
        <w:rPr/>
        <w:t>、</w:t>
      </w:r>
      <w:r>
        <w:rPr/>
        <w:t>1236.692</w:t>
      </w:r>
      <w:r>
        <w:rPr/>
        <w:t>万股，当日相对此前</w:t>
      </w:r>
      <w:r>
        <w:rPr/>
        <w:t>20</w:t>
      </w:r>
      <w:r>
        <w:rPr/>
        <w:t>日量比</w:t>
      </w:r>
      <w:r>
        <w:rPr/>
        <w:t>1.0556</w:t>
      </w:r>
      <w:r>
        <w:rPr/>
        <w:t>。成交单位是股，未混用手；精确可核验换手率缺失，不用</w:t>
      </w:r>
      <w:r>
        <w:rPr/>
        <w:t>A</w:t>
      </w:r>
      <w:r>
        <w:rPr/>
        <w:t>类市值或全部股数自行声称公众流通换手。当天涨</w:t>
      </w:r>
      <w:r>
        <w:rPr/>
        <w:t>2.8%</w:t>
      </w:r>
      <w:r>
        <w:rPr/>
        <w:t>且量略高于均量，只有反弹初步证据，尚不是高质量连续突破。</w:t>
      </w:r>
    </w:p>
    <w:p>
      <w:pPr>
        <w:pStyle w:val="Normal"/>
        <w:rPr/>
      </w:pPr>
      <w:r>
        <w:rPr/>
        <w:t>20</w:t>
      </w:r>
      <w:r>
        <w:rPr/>
        <w:t>日上涨</w:t>
      </w:r>
      <w:r>
        <w:rPr/>
        <w:t>8</w:t>
      </w:r>
      <w:r>
        <w:rPr/>
        <w:t>天、下跌</w:t>
      </w:r>
      <w:r>
        <w:rPr/>
        <w:t>12</w:t>
      </w:r>
      <w:r>
        <w:rPr/>
        <w:t>天，上涨日量约</w:t>
      </w:r>
      <w:r>
        <w:rPr/>
        <w:t>7831.015</w:t>
      </w:r>
      <w:r>
        <w:rPr/>
        <w:t>万、下跌</w:t>
      </w:r>
      <w:r>
        <w:rPr/>
        <w:t>11128.406</w:t>
      </w:r>
      <w:r>
        <w:rPr/>
        <w:t>万，比</w:t>
      </w:r>
      <w:r>
        <w:rPr/>
        <w:t>0.7037</w:t>
      </w:r>
      <w:r>
        <w:rPr/>
        <w:t>，下跌交易量累计更大。</w:t>
      </w:r>
      <w:r>
        <w:rPr/>
        <w:t>5</w:t>
      </w:r>
      <w:r>
        <w:rPr/>
        <w:t>日均量低于</w:t>
      </w:r>
      <w:r>
        <w:rPr/>
        <w:t>20</w:t>
      </w:r>
      <w:r>
        <w:rPr/>
        <w:t>与</w:t>
      </w:r>
      <w:r>
        <w:rPr/>
        <w:t>60</w:t>
      </w:r>
      <w:r>
        <w:rPr/>
        <w:t>日，可能说明抛压暂缓，也可能只是买卖兴趣减少。没有逐笔、持仓或成本数据，不能从缩量断言主力吸筹。更有力验证是上涨窗口成交持续改善、回踩量较低、相对表现稳定，并有经营催化支持；若放量却不涨或突破后迅速跌回，供给仍强。</w:t>
      </w:r>
    </w:p>
    <w:p>
      <w:pPr>
        <w:pStyle w:val="Normal"/>
        <w:rPr/>
      </w:pPr>
      <w:r>
        <w:rPr/>
        <w:t>日</w:t>
      </w:r>
      <w:r>
        <w:rPr/>
        <w:t>RSI35.43</w:t>
      </w:r>
      <w:r>
        <w:rPr/>
        <w:t>、</w:t>
      </w:r>
      <w:r>
        <w:rPr/>
        <w:t>MACD</w:t>
      </w:r>
      <w:r>
        <w:rPr/>
        <w:t>差线负</w:t>
      </w:r>
      <w:r>
        <w:rPr/>
        <w:t>20.747</w:t>
      </w:r>
      <w:r>
        <w:rPr/>
        <w:t>、信号负</w:t>
      </w:r>
      <w:r>
        <w:rPr/>
        <w:t>16.446</w:t>
      </w:r>
      <w:r>
        <w:rPr/>
        <w:t>、柱负</w:t>
      </w:r>
      <w:r>
        <w:rPr/>
        <w:t>8.603</w:t>
      </w:r>
      <w:r>
        <w:rPr/>
        <w:t>，动量偏弱；</w:t>
      </w:r>
      <w:r>
        <w:rPr/>
        <w:t>ATR25.453</w:t>
      </w:r>
      <w:r>
        <w:rPr/>
        <w:t>港元，约现价</w:t>
      </w:r>
      <w:r>
        <w:rPr/>
        <w:t>11.95%</w:t>
      </w:r>
      <w:r>
        <w:rPr/>
        <w:t>，普通日波动尺度大于最近支撑距离。机械设置很窄失效点可能被正常噪声触发，故技术结论结合区间、量和持续时间。指标只辅助趋势，不让</w:t>
      </w:r>
      <w:r>
        <w:rPr/>
        <w:t>RSI</w:t>
      </w:r>
      <w:r>
        <w:rPr/>
        <w:t>与</w:t>
      </w:r>
      <w:r>
        <w:rPr/>
        <w:t>MACD</w:t>
      </w:r>
      <w:r>
        <w:rPr/>
        <w:t>分别代表两个独立宏观利好。若价格站回均线但量不足，仍应观察；如果底部多次守住且动量转好，才提高半年技术分。</w:t>
      </w:r>
    </w:p>
    <w:p>
      <w:pPr>
        <w:pStyle w:val="Normal"/>
        <w:rPr/>
      </w:pPr>
      <w:r>
        <w:rPr/>
        <w:t>20</w:t>
      </w:r>
      <w:r>
        <w:rPr/>
        <w:t>日回报负</w:t>
      </w:r>
      <w:r>
        <w:rPr/>
        <w:t>27.05%</w:t>
      </w:r>
      <w:r>
        <w:rPr/>
        <w:t>、</w:t>
      </w:r>
      <w:r>
        <w:rPr/>
        <w:t>60</w:t>
      </w:r>
      <w:r>
        <w:rPr/>
        <w:t>日负</w:t>
      </w:r>
      <w:r>
        <w:rPr/>
        <w:t>16.80%</w:t>
      </w:r>
      <w:r>
        <w:rPr/>
        <w:t>，分别落后恒指</w:t>
      </w:r>
      <w:r>
        <w:rPr/>
        <w:t>24.08</w:t>
      </w:r>
      <w:r>
        <w:rPr/>
        <w:t>和</w:t>
      </w:r>
      <w:r>
        <w:rPr/>
        <w:t>13.61</w:t>
      </w:r>
      <w:r>
        <w:rPr/>
        <w:t>个百分点，落后恒生科技粗参考</w:t>
      </w:r>
      <w:r>
        <w:rPr/>
        <w:t>23.99</w:t>
      </w:r>
      <w:r>
        <w:rPr/>
        <w:t>和</w:t>
      </w:r>
      <w:r>
        <w:rPr/>
        <w:t>3.63</w:t>
      </w:r>
      <w:r>
        <w:rPr/>
        <w:t>。该行业没有直接专属指数，科技参考不能视为纯模型同行组合。较长</w:t>
      </w:r>
      <w:r>
        <w:rPr/>
        <w:t>20</w:t>
      </w:r>
      <w:r>
        <w:rPr/>
        <w:t>日明显弱于市场，说明风险不是全由大盘下跌解释。观察触发可包括持续跑赢两个滚动窗口、</w:t>
      </w:r>
      <w:r>
        <w:rPr/>
        <w:t>255</w:t>
      </w:r>
      <w:r>
        <w:rPr/>
        <w:t>与</w:t>
      </w:r>
      <w:r>
        <w:rPr/>
        <w:t>277</w:t>
      </w:r>
      <w:r>
        <w:rPr/>
        <w:t>附近回踩成功、下跌日量减少；失效则是</w:t>
      </w:r>
      <w:r>
        <w:rPr/>
        <w:t>201</w:t>
      </w:r>
      <w:r>
        <w:rPr/>
        <w:t>与</w:t>
      </w:r>
      <w:r>
        <w:rPr/>
        <w:t>186</w:t>
      </w:r>
      <w:r>
        <w:rPr/>
        <w:t>破位或收入消息后仍相对走弱。当前半年仍需基本面和量价双重验证。</w:t>
      </w:r>
    </w:p>
    <w:p>
      <w:pPr>
        <w:pStyle w:val="Heading2"/>
        <w:rPr/>
      </w:pPr>
      <w:r>
        <w:rPr>
          <w:color w:val="000000"/>
        </w:rPr>
        <w:t>十六 估值构建与年底情景</w:t>
      </w:r>
    </w:p>
    <w:p>
      <w:pPr>
        <w:pStyle w:val="Normal"/>
        <w:rPr/>
      </w:pPr>
      <w:r>
        <w:rPr/>
        <w:t>主法把企业</w:t>
      </w:r>
      <w:r>
        <w:rPr/>
        <w:t>ARR</w:t>
      </w:r>
      <w:r>
        <w:rPr/>
        <w:t>乘收入确认系数、加原生收入，估计完整毛利及研发费用，再用经营</w:t>
      </w:r>
      <w:r>
        <w:rPr/>
        <w:t>EV</w:t>
      </w:r>
      <w:r>
        <w:rPr/>
        <w:t>销售倍数评未来增长，叠加财资资本桥。年底基准正常收入</w:t>
      </w:r>
      <w:r>
        <w:rPr/>
        <w:t>7.46</w:t>
      </w:r>
      <w:r>
        <w:rPr/>
        <w:t>亿美元，企业毛利</w:t>
      </w:r>
      <w:r>
        <w:rPr/>
        <w:t>24%</w:t>
      </w:r>
      <w:r>
        <w:rPr/>
        <w:t>、原生</w:t>
      </w:r>
      <w:r>
        <w:rPr/>
        <w:t>30%</w:t>
      </w:r>
      <w:r>
        <w:rPr/>
        <w:t>，研发</w:t>
      </w:r>
      <w:r>
        <w:rPr/>
        <w:t>8.4</w:t>
      </w:r>
      <w:r>
        <w:rPr/>
        <w:t>亿、销售</w:t>
      </w:r>
      <w:r>
        <w:rPr/>
        <w:t>0.7</w:t>
      </w:r>
      <w:r>
        <w:rPr/>
        <w:t>亿、行政</w:t>
      </w:r>
      <w:r>
        <w:rPr/>
        <w:t>0.7</w:t>
      </w:r>
      <w:r>
        <w:rPr/>
        <w:t>亿等，完整经营仍亏约</w:t>
      </w:r>
      <w:r>
        <w:rPr/>
        <w:t>8.07</w:t>
      </w:r>
      <w:r>
        <w:rPr/>
        <w:t>亿美元。</w:t>
      </w:r>
      <w:r>
        <w:rPr/>
        <w:t>12</w:t>
      </w:r>
      <w:r>
        <w:rPr/>
        <w:t>倍销售形成</w:t>
      </w:r>
      <w:r>
        <w:rPr/>
        <w:t>89.52</w:t>
      </w:r>
      <w:r>
        <w:rPr/>
        <w:t>亿美元经营价值，扣完整现金准备及未结算债后目标</w:t>
      </w:r>
      <w:r>
        <w:rPr/>
        <w:t>223.89</w:t>
      </w:r>
      <w:r>
        <w:rPr/>
        <w:t>港元。低于部分机构目标并非忽视增长，而是同期限信息与资本假设不同。</w:t>
      </w:r>
    </w:p>
    <w:p>
      <w:pPr>
        <w:pStyle w:val="Normal"/>
        <w:rPr/>
      </w:pPr>
      <w:r>
        <w:rPr/>
        <w:t>年底悲观目标</w:t>
      </w:r>
      <w:r>
        <w:rPr/>
        <w:t>70.50</w:t>
      </w:r>
      <w:r>
        <w:rPr/>
        <w:t>港元，约跌</w:t>
      </w:r>
      <w:r>
        <w:rPr/>
        <w:t>66.90%</w:t>
      </w:r>
      <w:r>
        <w:rPr/>
        <w:t>，假设企业</w:t>
      </w:r>
      <w:r>
        <w:rPr/>
        <w:t>ARR5.5</w:t>
      </w:r>
      <w:r>
        <w:rPr/>
        <w:t>亿、兑现</w:t>
      </w:r>
      <w:r>
        <w:rPr/>
        <w:t>0.55</w:t>
      </w:r>
      <w:r>
        <w:rPr/>
        <w:t>、毛利受压及较高成本，销售</w:t>
      </w:r>
      <w:r>
        <w:rPr/>
        <w:t>6</w:t>
      </w:r>
      <w:r>
        <w:rPr/>
        <w:t>倍。乐观</w:t>
      </w:r>
      <w:r>
        <w:rPr/>
        <w:t>459.27</w:t>
      </w:r>
      <w:r>
        <w:rPr/>
        <w:t>约涨</w:t>
      </w:r>
      <w:r>
        <w:rPr/>
        <w:t>115.62%</w:t>
      </w:r>
      <w:r>
        <w:rPr/>
        <w:t>，依赖</w:t>
      </w:r>
      <w:r>
        <w:rPr/>
        <w:t>ARR13</w:t>
      </w:r>
      <w:r>
        <w:rPr/>
        <w:t>亿、确认</w:t>
      </w:r>
      <w:r>
        <w:rPr/>
        <w:t>0.78</w:t>
      </w:r>
      <w:r>
        <w:rPr/>
        <w:t>、更好毛利和</w:t>
      </w:r>
      <w:r>
        <w:rPr/>
        <w:t>17</w:t>
      </w:r>
      <w:r>
        <w:rPr/>
        <w:t>倍销售。这些是年底目标估值区间，绝非剩余数月盘中最高最低预测。即使乐观正常费用还亏，价格仍含远期成长；资本市場风险偏好若转差，即便收入改善也可能压低倍数，不能将商业兑现和估值扩张同时视为必然。</w:t>
      </w:r>
    </w:p>
    <w:p>
      <w:pPr>
        <w:pStyle w:val="Normal"/>
        <w:rPr/>
      </w:pPr>
      <w:r>
        <w:rPr/>
        <w:t>25/50/25</w:t>
      </w:r>
      <w:r>
        <w:rPr/>
        <w:t>期望</w:t>
      </w:r>
      <w:r>
        <w:rPr/>
        <w:t>244.3875</w:t>
      </w:r>
      <w:r>
        <w:rPr/>
        <w:t>，对</w:t>
      </w:r>
      <w:r>
        <w:rPr/>
        <w:t>213</w:t>
      </w:r>
      <w:r>
        <w:rPr/>
        <w:t>回报</w:t>
      </w:r>
      <w:r>
        <w:rPr/>
        <w:t>14.74%</w:t>
      </w:r>
      <w:r>
        <w:rPr/>
        <w:t>，高于基准</w:t>
      </w:r>
      <w:r>
        <w:rPr/>
        <w:t>223.89</w:t>
      </w:r>
      <w:r>
        <w:rPr/>
        <w:t>的</w:t>
      </w:r>
      <w:r>
        <w:rPr/>
        <w:t>5.11%</w:t>
      </w:r>
      <w:r>
        <w:rPr/>
        <w:t>，因为乐观上尾拉升算术均值。期望不是最可能价格，权重来自判断而非统计样本。防御权重期望</w:t>
      </w:r>
      <w:r>
        <w:rPr/>
        <w:t>186.072</w:t>
      </w:r>
      <w:r>
        <w:rPr/>
        <w:t>低现价</w:t>
      </w:r>
      <w:r>
        <w:rPr/>
        <w:t>12.64%</w:t>
      </w:r>
      <w:r>
        <w:rPr/>
        <w:t>，积极</w:t>
      </w:r>
      <w:r>
        <w:rPr/>
        <w:t>302.703</w:t>
      </w:r>
      <w:r>
        <w:rPr/>
        <w:t>高</w:t>
      </w:r>
      <w:r>
        <w:rPr/>
        <w:t>42.11%</w:t>
      </w:r>
      <w:r>
        <w:rPr/>
        <w:t>，意味着对短期能力发布与企业收入兑现的主观把握会显著改变结论。报告展示权重敏感性正是避免把期望当精确预测，失败风险仍可能超过三情景的悲观点。</w:t>
      </w:r>
    </w:p>
    <w:p>
      <w:pPr>
        <w:pStyle w:val="Normal"/>
        <w:rPr/>
      </w:pPr>
      <w:r>
        <w:rPr/>
        <w:t>半年基准</w:t>
      </w:r>
      <w:r>
        <w:rPr/>
        <w:t>315.22</w:t>
      </w:r>
      <w:r>
        <w:rPr/>
        <w:t>港元，上涨</w:t>
      </w:r>
      <w:r>
        <w:rPr/>
        <w:t>47.99%</w:t>
      </w:r>
      <w:r>
        <w:rPr/>
        <w:t>，正常收入</w:t>
      </w:r>
      <w:r>
        <w:rPr/>
        <w:t>11.56</w:t>
      </w:r>
      <w:r>
        <w:rPr/>
        <w:t>亿美元，企业毛利</w:t>
      </w:r>
      <w:r>
        <w:rPr/>
        <w:t>32%</w:t>
      </w:r>
      <w:r>
        <w:rPr/>
        <w:t>，完整研发</w:t>
      </w:r>
      <w:r>
        <w:rPr/>
        <w:t>11.1</w:t>
      </w:r>
      <w:r>
        <w:rPr/>
        <w:t>亿美元，经营仍亏约</w:t>
      </w:r>
      <w:r>
        <w:rPr/>
        <w:t>9.61</w:t>
      </w:r>
      <w:r>
        <w:rPr/>
        <w:t>亿。</w:t>
      </w:r>
      <w:r>
        <w:rPr/>
        <w:t>12</w:t>
      </w:r>
      <w:r>
        <w:rPr/>
        <w:t>倍销售估值来自增长修复和企业采用，并非成熟盈利公司低</w:t>
      </w:r>
      <w:r>
        <w:rPr/>
        <w:t>PE</w:t>
      </w:r>
      <w:r>
        <w:rPr/>
        <w:t>回归。半年转换窗口未重新开放，未结算债资本依然扣除。若模型发布吸引用量却带来更高训练和补偿成本，毛利低于</w:t>
      </w:r>
      <w:r>
        <w:rPr/>
        <w:t>32%</w:t>
      </w:r>
      <w:r>
        <w:rPr/>
        <w:t>或股融折让变大，目标应下降；量价趋势弱也可能使估值重估延后。</w:t>
      </w:r>
    </w:p>
    <w:p>
      <w:pPr>
        <w:pStyle w:val="Heading2"/>
        <w:rPr/>
      </w:pPr>
      <w:r>
        <w:rPr>
          <w:color w:val="000000"/>
        </w:rPr>
        <w:t>十七 一年 三年与五年的收益来源</w:t>
      </w:r>
    </w:p>
    <w:p>
      <w:pPr>
        <w:pStyle w:val="Normal"/>
        <w:rPr/>
      </w:pPr>
      <w:r>
        <w:rPr/>
        <w:t>一年基准</w:t>
      </w:r>
      <w:r>
        <w:rPr/>
        <w:t>365.21</w:t>
      </w:r>
      <w:r>
        <w:rPr/>
        <w:t>，约涨</w:t>
      </w:r>
      <w:r>
        <w:rPr/>
        <w:t>71.46%</w:t>
      </w:r>
      <w:r>
        <w:rPr/>
        <w:t>，正常收入</w:t>
      </w:r>
      <w:r>
        <w:rPr/>
        <w:t>16.05</w:t>
      </w:r>
      <w:r>
        <w:rPr/>
        <w:t>亿美元，企业毛利</w:t>
      </w:r>
      <w:r>
        <w:rPr/>
        <w:t>38%</w:t>
      </w:r>
      <w:r>
        <w:rPr/>
        <w:t>、原生</w:t>
      </w:r>
      <w:r>
        <w:rPr/>
        <w:t>35%</w:t>
      </w:r>
      <w:r>
        <w:rPr/>
        <w:t>，完整研发</w:t>
      </w:r>
      <w:r>
        <w:rPr/>
        <w:t>14.2</w:t>
      </w:r>
      <w:r>
        <w:rPr/>
        <w:t>亿、销售</w:t>
      </w:r>
      <w:r>
        <w:rPr/>
        <w:t>1.4</w:t>
      </w:r>
      <w:r>
        <w:rPr/>
        <w:t>亿、行政</w:t>
      </w:r>
      <w:r>
        <w:rPr/>
        <w:t>1.3</w:t>
      </w:r>
      <w:r>
        <w:rPr/>
        <w:t>亿，正常经营亏约</w:t>
      </w:r>
      <w:r>
        <w:rPr/>
        <w:t>10.969</w:t>
      </w:r>
      <w:r>
        <w:rPr/>
        <w:t>亿。销售</w:t>
      </w:r>
      <w:r>
        <w:rPr/>
        <w:t>11</w:t>
      </w:r>
      <w:r>
        <w:rPr/>
        <w:t>倍形成</w:t>
      </w:r>
      <w:r>
        <w:rPr/>
        <w:t>176.55</w:t>
      </w:r>
      <w:r>
        <w:rPr/>
        <w:t>亿经营值，债假设在第二窗口全转股</w:t>
      </w:r>
      <w:r>
        <w:rPr/>
        <w:t>1940.3</w:t>
      </w:r>
      <w:r>
        <w:rPr/>
        <w:t>万，另未来融资</w:t>
      </w:r>
      <w:r>
        <w:rPr/>
        <w:t>1.5</w:t>
      </w:r>
      <w:r>
        <w:rPr/>
        <w:t>亿美元按</w:t>
      </w:r>
      <w:r>
        <w:rPr/>
        <w:t>300</w:t>
      </w:r>
      <w:r>
        <w:rPr/>
        <w:t>港元增股。研究给一年较半年高分，是商业使用有更长验证期，并非已盈利。若转股窗口价格不支持，应改现金赎回而不保留较好资本结果。</w:t>
      </w:r>
    </w:p>
    <w:p>
      <w:pPr>
        <w:pStyle w:val="Normal"/>
        <w:rPr/>
      </w:pPr>
      <w:r>
        <w:rPr/>
        <w:t>三年基准</w:t>
      </w:r>
      <w:r>
        <w:rPr/>
        <w:t>601.33</w:t>
      </w:r>
      <w:r>
        <w:rPr/>
        <w:t>，股价累计约</w:t>
      </w:r>
      <w:r>
        <w:rPr/>
        <w:t>182.31%</w:t>
      </w:r>
      <w:r>
        <w:rPr/>
        <w:t>、含零股息年化</w:t>
      </w:r>
      <w:r>
        <w:rPr/>
        <w:t>41.33%</w:t>
      </w:r>
      <w:r>
        <w:rPr/>
        <w:t>。正常收入</w:t>
      </w:r>
      <w:r>
        <w:rPr/>
        <w:t>42.53</w:t>
      </w:r>
      <w:r>
        <w:rPr/>
        <w:t>亿美元、完整研发</w:t>
      </w:r>
      <w:r>
        <w:rPr/>
        <w:t>25</w:t>
      </w:r>
      <w:r>
        <w:rPr/>
        <w:t>亿，经营仍亏约</w:t>
      </w:r>
      <w:r>
        <w:rPr/>
        <w:t>10.02</w:t>
      </w:r>
      <w:r>
        <w:rPr/>
        <w:t>亿；</w:t>
      </w:r>
      <w:r>
        <w:rPr/>
        <w:t>9</w:t>
      </w:r>
      <w:r>
        <w:rPr/>
        <w:t>倍销售不算成熟低估值，且未来融资总额约</w:t>
      </w:r>
      <w:r>
        <w:rPr/>
        <w:t>38.74</w:t>
      </w:r>
      <w:r>
        <w:rPr/>
        <w:t>亿、以</w:t>
      </w:r>
      <w:r>
        <w:rPr/>
        <w:t>300</w:t>
      </w:r>
      <w:r>
        <w:rPr/>
        <w:t>港元增约</w:t>
      </w:r>
      <w:r>
        <w:rPr/>
        <w:t>1.01214</w:t>
      </w:r>
      <w:r>
        <w:rPr/>
        <w:t>亿股，目标分母约</w:t>
      </w:r>
      <w:r>
        <w:rPr/>
        <w:t>4.97097</w:t>
      </w:r>
      <w:r>
        <w:rPr/>
        <w:t>亿。这样的融资不轻，得分</w:t>
      </w:r>
      <w:r>
        <w:rPr/>
        <w:t>66.6</w:t>
      </w:r>
      <w:r>
        <w:rPr/>
        <w:t>反映成长和需求，但资本與完整盈利证据限制估值分。若现金需求高于准备或发行价更低，即使收入同样</w:t>
      </w:r>
      <w:r>
        <w:rPr/>
        <w:t>42.53</w:t>
      </w:r>
      <w:r>
        <w:rPr/>
        <w:t>亿，每股目标也会减少。</w:t>
      </w:r>
    </w:p>
    <w:p>
      <w:pPr>
        <w:pStyle w:val="Normal"/>
        <w:rPr/>
      </w:pPr>
      <w:r>
        <w:rPr/>
        <w:t>五年基准</w:t>
      </w:r>
      <w:r>
        <w:rPr/>
        <w:t>778.77</w:t>
      </w:r>
      <w:r>
        <w:rPr/>
        <w:t>，累计约</w:t>
      </w:r>
      <w:r>
        <w:rPr/>
        <w:t>265.62%</w:t>
      </w:r>
      <w:r>
        <w:rPr/>
        <w:t>、年化</w:t>
      </w:r>
      <w:r>
        <w:rPr/>
        <w:t>29.60%</w:t>
      </w:r>
      <w:r>
        <w:rPr/>
        <w:t>，正常收入</w:t>
      </w:r>
      <w:r>
        <w:rPr/>
        <w:t>76</w:t>
      </w:r>
      <w:r>
        <w:rPr/>
        <w:t>亿美元，完整研发</w:t>
      </w:r>
      <w:r>
        <w:rPr/>
        <w:t>30</w:t>
      </w:r>
      <w:r>
        <w:rPr/>
        <w:t>亿，经营利润约</w:t>
      </w:r>
      <w:r>
        <w:rPr/>
        <w:t>4.41</w:t>
      </w:r>
      <w:r>
        <w:rPr/>
        <w:t>亿、税后经营</w:t>
      </w:r>
      <w:r>
        <w:rPr/>
        <w:t>3.6162</w:t>
      </w:r>
      <w:r>
        <w:rPr/>
        <w:t>亿，</w:t>
      </w:r>
      <w:r>
        <w:rPr/>
        <w:t>7</w:t>
      </w:r>
      <w:r>
        <w:rPr/>
        <w:t>倍销售隐含经营</w:t>
      </w:r>
      <w:r>
        <w:rPr/>
        <w:t>PE</w:t>
      </w:r>
      <w:r>
        <w:rPr/>
        <w:t>约</w:t>
      </w:r>
      <w:r>
        <w:rPr/>
        <w:t>147.1</w:t>
      </w:r>
      <w:r>
        <w:rPr/>
        <w:t>倍。研究明确这个交叉检验：销售倍数看似比一年低，利润估值仍高，成长公司远期回报需要更高利润率而不能只靠规模。财务风险和估值分因而低于三年。五年目标并非价值投资安全价格，而是资本成功且持续增长的进取情景。</w:t>
      </w:r>
    </w:p>
    <w:p>
      <w:pPr>
        <w:pStyle w:val="Normal"/>
        <w:rPr/>
      </w:pPr>
      <w:r>
        <w:rPr/>
        <w:t>三年乐观</w:t>
      </w:r>
      <w:r>
        <w:rPr/>
        <w:t>1924.12</w:t>
      </w:r>
      <w:r>
        <w:rPr/>
        <w:t>、五年</w:t>
      </w:r>
      <w:r>
        <w:rPr/>
        <w:t>2781.07</w:t>
      </w:r>
      <w:r>
        <w:rPr/>
        <w:t>价格极高，分别依赖更大企业</w:t>
      </w:r>
      <w:r>
        <w:rPr/>
        <w:t>ARR</w:t>
      </w:r>
      <w:r>
        <w:rPr/>
        <w:t>、较高毛利和仍较高销售倍数，未来融资及奖股并未豁免。五年乐观完整经营利润约</w:t>
      </w:r>
      <w:r>
        <w:rPr/>
        <w:t>31.96</w:t>
      </w:r>
      <w:r>
        <w:rPr/>
        <w:t>亿美元，经营隐含</w:t>
      </w:r>
      <w:r>
        <w:rPr/>
        <w:t>PE</w:t>
      </w:r>
      <w:r>
        <w:rPr/>
        <w:t>仍约</w:t>
      </w:r>
      <w:r>
        <w:rPr/>
        <w:t>70.9</w:t>
      </w:r>
      <w:r>
        <w:rPr/>
        <w:t>倍，总融资约</w:t>
      </w:r>
      <w:r>
        <w:rPr/>
        <w:t>85.07</w:t>
      </w:r>
      <w:r>
        <w:rPr/>
        <w:t>亿美元才能满足研究现金储备。悲观五年</w:t>
      </w:r>
      <w:r>
        <w:rPr/>
        <w:t>1.89</w:t>
      </w:r>
      <w:r>
        <w:rPr/>
        <w:t>则假设融资仍能补资金，却经营价值极低；若融资失败可接近零。极端上行必须与极端资本依赖一并阅读，不能从乐观点计算保证收益。</w:t>
      </w:r>
    </w:p>
    <w:p>
      <w:pPr>
        <w:pStyle w:val="Heading2"/>
        <w:rPr/>
      </w:pPr>
      <w:r>
        <w:rPr>
          <w:color w:val="000000"/>
        </w:rPr>
        <w:t>十八 机构目标价怎样作参照</w:t>
      </w:r>
    </w:p>
    <w:p>
      <w:pPr>
        <w:pStyle w:val="Normal"/>
        <w:rPr/>
      </w:pPr>
      <w:r>
        <w:rPr/>
        <w:t>高盛</w:t>
      </w:r>
      <w:r>
        <w:rPr/>
        <w:t>9</w:t>
      </w:r>
      <w:r>
        <w:rPr/>
        <w:t>月</w:t>
      </w:r>
      <w:r>
        <w:rPr/>
        <w:t>10</w:t>
      </w:r>
      <w:r>
        <w:rPr/>
        <w:t>日公开新闻明确</w:t>
      </w:r>
      <w:r>
        <w:rPr/>
        <w:t>12</w:t>
      </w:r>
      <w:r>
        <w:rPr/>
        <w:t>个月</w:t>
      </w:r>
      <w:r>
        <w:rPr/>
        <w:t>DCF</w:t>
      </w:r>
      <w:r>
        <w:rPr/>
        <w:t>目标</w:t>
      </w:r>
      <w:r>
        <w:rPr/>
        <w:t>760</w:t>
      </w:r>
      <w:r>
        <w:rPr/>
        <w:t>港元，评级买入，是本章可作为一年参照的外资目标；原始研报未取得，仍标新闻转述。花旗</w:t>
      </w:r>
      <w:r>
        <w:rPr/>
        <w:t>9</w:t>
      </w:r>
      <w:r>
        <w:rPr/>
        <w:t>月</w:t>
      </w:r>
      <w:r>
        <w:rPr/>
        <w:t>4</w:t>
      </w:r>
      <w:r>
        <w:rPr/>
        <w:t>日维持</w:t>
      </w:r>
      <w:r>
        <w:rPr/>
        <w:t>576</w:t>
      </w:r>
      <w:r>
        <w:rPr/>
        <w:t>及买入高风险，美银</w:t>
      </w:r>
      <w:r>
        <w:rPr/>
        <w:t>8</w:t>
      </w:r>
      <w:r>
        <w:rPr/>
        <w:t>月</w:t>
      </w:r>
      <w:r>
        <w:rPr/>
        <w:t>27</w:t>
      </w:r>
      <w:r>
        <w:rPr/>
        <w:t>日</w:t>
      </w:r>
      <w:r>
        <w:rPr/>
        <w:t>400</w:t>
      </w:r>
      <w:r>
        <w:rPr/>
        <w:t>买入，汇丰</w:t>
      </w:r>
      <w:r>
        <w:rPr/>
        <w:t>8</w:t>
      </w:r>
      <w:r>
        <w:rPr/>
        <w:t>月</w:t>
      </w:r>
      <w:r>
        <w:rPr/>
        <w:t>27</w:t>
      </w:r>
      <w:r>
        <w:rPr/>
        <w:t>日</w:t>
      </w:r>
      <w:r>
        <w:rPr/>
        <w:t>330</w:t>
      </w:r>
      <w:r>
        <w:rPr/>
        <w:t>持有，明确目标但未公开确认到达期限。汇丰的</w:t>
      </w:r>
      <w:r>
        <w:rPr/>
        <w:t>2027</w:t>
      </w:r>
      <w:r>
        <w:rPr/>
        <w:t>年底</w:t>
      </w:r>
      <w:r>
        <w:rPr/>
        <w:t>P/ARR</w:t>
      </w:r>
      <w:r>
        <w:rPr/>
        <w:t>、花旗的</w:t>
      </w:r>
      <w:r>
        <w:rPr/>
        <w:t>2028</w:t>
      </w:r>
      <w:r>
        <w:rPr/>
        <w:t>销售倍数是估值参照年份，不自动等于目标期限。不同终值和成本假设使价格差距大，应看模型依据而非求简单均值。</w:t>
      </w:r>
    </w:p>
    <w:p>
      <w:pPr>
        <w:pStyle w:val="Normal"/>
        <w:rPr/>
      </w:pPr>
      <w:r>
        <w:rPr/>
        <w:t>中金</w:t>
      </w:r>
      <w:r>
        <w:rPr/>
        <w:t>8</w:t>
      </w:r>
      <w:r>
        <w:rPr/>
        <w:t>月</w:t>
      </w:r>
      <w:r>
        <w:rPr/>
        <w:t>28</w:t>
      </w:r>
      <w:r>
        <w:rPr/>
        <w:t>日</w:t>
      </w:r>
      <w:r>
        <w:rPr/>
        <w:t>786</w:t>
      </w:r>
      <w:r>
        <w:rPr/>
        <w:t>跑赢行业，招银</w:t>
      </w:r>
      <w:r>
        <w:rPr/>
        <w:t>580</w:t>
      </w:r>
      <w:r>
        <w:rPr/>
        <w:t>买入、国泰海通</w:t>
      </w:r>
      <w:r>
        <w:rPr/>
        <w:t>9</w:t>
      </w:r>
      <w:r>
        <w:rPr/>
        <w:t>月</w:t>
      </w:r>
      <w:r>
        <w:rPr/>
        <w:t>7</w:t>
      </w:r>
      <w:r>
        <w:rPr/>
        <w:t>日</w:t>
      </w:r>
      <w:r>
        <w:rPr/>
        <w:t>449</w:t>
      </w:r>
      <w:r>
        <w:rPr/>
        <w:t>增持列中资参照，不标外资。中金同一新闻前后写维持预测又上调下调，存在转述内部不一致，因此只保留明确目标评级，财务数据优先原件。机构预测也不是公司指引；例如年度经调整亏损不能直接换本章完整经营亏。报告对同机构取最新已核验有效信息，转载去重，未取得的研究不能通过猜测补满来源。</w:t>
      </w:r>
    </w:p>
    <w:p>
      <w:pPr>
        <w:pStyle w:val="Normal"/>
        <w:rPr/>
      </w:pPr>
      <w:r>
        <w:rPr/>
        <w:t>机构高目标说明部分分析师对收入增速、模型能力和长期利润率较积极，并不说明当前价必然有对应空间。本章一年</w:t>
      </w:r>
      <w:r>
        <w:rPr/>
        <w:t>365.21</w:t>
      </w:r>
      <w:r>
        <w:rPr/>
        <w:t>较高盛</w:t>
      </w:r>
      <w:r>
        <w:rPr/>
        <w:t>760</w:t>
      </w:r>
      <w:r>
        <w:rPr/>
        <w:t>保守，原因包括</w:t>
      </w:r>
      <w:r>
        <w:rPr/>
        <w:t>ARR</w:t>
      </w:r>
      <w:r>
        <w:rPr/>
        <w:t>确认、完整研发、资本现金与融资分母，而非按目标日期线性缩短机构价格。年底以自己的正常经营信息和资本模型计算，不将</w:t>
      </w:r>
      <w:r>
        <w:rPr/>
        <w:t>12</w:t>
      </w:r>
      <w:r>
        <w:rPr/>
        <w:t>个月</w:t>
      </w:r>
      <w:r>
        <w:rPr/>
        <w:t>760</w:t>
      </w:r>
      <w:r>
        <w:rPr/>
        <w:t>按剩余月数折算。未来重大模型、业绩或融资事件后应同时刷新机构记录和研究输入，旧目标不能在新模型表里继续充当最新依据。</w:t>
      </w:r>
    </w:p>
    <w:p>
      <w:pPr>
        <w:pStyle w:val="Normal"/>
        <w:rPr/>
      </w:pPr>
      <w:r>
        <w:rPr/>
        <w:t>分歧本身有投资意义。模型行业终值毛利、研发强度和市场份额尚不成熟，机构可以在同样收入实际下得出相差很大的公平价格。若投资结论必须依赖最高</w:t>
      </w:r>
      <w:r>
        <w:rPr/>
        <w:t>760</w:t>
      </w:r>
      <w:r>
        <w:rPr/>
        <w:t>或</w:t>
      </w:r>
      <w:r>
        <w:rPr/>
        <w:t>786</w:t>
      </w:r>
      <w:r>
        <w:rPr/>
        <w:t>才显得有吸引力，就说明对终值信任较强；若即使</w:t>
      </w:r>
      <w:r>
        <w:rPr/>
        <w:t>330</w:t>
      </w:r>
      <w:r>
        <w:rPr/>
        <w:t>也有空间，仍需检验期限、现金与风险。研究用多情景和反证保留这种不确定性，避免把机构数量或品牌转成独立评分。目标价不是担保，也不替代可验证公司事件。</w:t>
      </w:r>
    </w:p>
    <w:p>
      <w:pPr>
        <w:pStyle w:val="Heading2"/>
        <w:rPr/>
      </w:pPr>
      <w:r>
        <w:rPr>
          <w:color w:val="000000"/>
        </w:rPr>
        <w:t>十九 评分 可证伪条件与十年持续性</w:t>
      </w:r>
    </w:p>
    <w:p>
      <w:pPr>
        <w:pStyle w:val="Normal"/>
        <w:rPr/>
      </w:pPr>
      <w:r>
        <w:rPr/>
        <w:t>半年六维度为</w:t>
      </w:r>
      <w:r>
        <w:rPr/>
        <w:t>3.3</w:t>
      </w:r>
      <w:r>
        <w:rPr/>
        <w:t>、</w:t>
      </w:r>
      <w:r>
        <w:rPr/>
        <w:t>1.3</w:t>
      </w:r>
      <w:r>
        <w:rPr/>
        <w:t>、</w:t>
      </w:r>
      <w:r>
        <w:rPr/>
        <w:t>3.4</w:t>
      </w:r>
      <w:r>
        <w:rPr/>
        <w:t>、</w:t>
      </w:r>
      <w:r>
        <w:rPr/>
        <w:t>4.1</w:t>
      </w:r>
      <w:r>
        <w:rPr/>
        <w:t>、</w:t>
      </w:r>
      <w:r>
        <w:rPr/>
        <w:t>4.0</w:t>
      </w:r>
      <w:r>
        <w:rPr/>
        <w:t>、</w:t>
      </w:r>
      <w:r>
        <w:rPr/>
        <w:t>2.6</w:t>
      </w:r>
      <w:r>
        <w:rPr/>
        <w:t>，按</w:t>
      </w:r>
      <w:r>
        <w:rPr/>
        <w:t>25</w:t>
      </w:r>
      <w:r>
        <w:rPr/>
        <w:t>、</w:t>
      </w:r>
      <w:r>
        <w:rPr/>
        <w:t>30</w:t>
      </w:r>
      <w:r>
        <w:rPr/>
        <w:t>、</w:t>
      </w:r>
      <w:r>
        <w:rPr/>
        <w:t>15</w:t>
      </w:r>
      <w:r>
        <w:rPr/>
        <w:t>、</w:t>
      </w:r>
      <w:r>
        <w:rPr/>
        <w:t>10</w:t>
      </w:r>
      <w:r>
        <w:rPr/>
        <w:t>、</w:t>
      </w:r>
      <w:r>
        <w:rPr/>
        <w:t>10</w:t>
      </w:r>
      <w:r>
        <w:rPr/>
        <w:t>、</w:t>
      </w:r>
      <w:r>
        <w:rPr/>
        <w:t>10</w:t>
      </w:r>
      <w:r>
        <w:rPr/>
        <w:t>权重得到</w:t>
      </w:r>
      <w:r>
        <w:rPr/>
        <w:t>55.9</w:t>
      </w:r>
      <w:r>
        <w:rPr/>
        <w:t>。量价</w:t>
      </w:r>
      <w:r>
        <w:rPr/>
        <w:t>30%</w:t>
      </w:r>
      <w:r>
        <w:rPr/>
        <w:t>权重让日周下降明显约束短期推荐，行业空间和催化较高不能掩盖现金风险。一年改重经营和估值得</w:t>
      </w:r>
      <w:r>
        <w:rPr/>
        <w:t>66.2</w:t>
      </w:r>
      <w:r>
        <w:rPr/>
        <w:t>，三年</w:t>
      </w:r>
      <w:r>
        <w:rPr/>
        <w:t>66.6</w:t>
      </w:r>
      <w:r>
        <w:rPr/>
        <w:t>，五年</w:t>
      </w:r>
      <w:r>
        <w:rPr/>
        <w:t>64.1</w:t>
      </w:r>
      <w:r>
        <w:rPr/>
        <w:t>；差距小的期限和同行按梯队处理，不用小数差暗示精确优劣。证据中等来自真实报表与资本原件，主要经营终值、留存和分部费用仍属假设。</w:t>
      </w:r>
    </w:p>
    <w:p>
      <w:pPr>
        <w:pStyle w:val="Normal"/>
        <w:rPr/>
      </w:pPr>
      <w:r>
        <w:rPr/>
        <w:t>最直接推翻基准的条件是连续企业收入兑现明显低于</w:t>
      </w:r>
      <w:r>
        <w:rPr/>
        <w:t>ARR</w:t>
      </w:r>
      <w:r>
        <w:rPr/>
        <w:t>、综合或企业毛利不改善而训练支出继续加速，以及生产可靠性造成主要客户迁移。资金方面，预付和资本现金高于准备、债未能转而经营储备不足、融资发行价显著低于假设都会压低每股价值。法律方面，限制主要海外应用或增加高额许可成本会改变原生业务经济性。以上条件不必全部出现才修订推荐，每项都对应可修改模型参数而非笼统“市场不好”。</w:t>
      </w:r>
    </w:p>
    <w:p>
      <w:pPr>
        <w:pStyle w:val="Normal"/>
        <w:rPr/>
      </w:pPr>
      <w:r>
        <w:rPr/>
        <w:t>十年经营持续性取决于公司能否从单代前沿模型提供者变成长期任务能力与产品体系。文本、视频与多模态可以互相提供数据和工作流，但没有永久技术领先保证；行业可能形成少数大实验室，也可能按任务分化。公司若掌握工程效率、开发者关系、合规数据与全球服务，能在市场扩张中持续收费；若每代必须靠越来越多融资追赶，经济份额可能落后收入规模。十年展望因此讨论竞争结构，不给十年精确股价幻觉。</w:t>
      </w:r>
    </w:p>
    <w:p>
      <w:pPr>
        <w:pStyle w:val="Normal"/>
        <w:rPr/>
      </w:pPr>
      <w:r>
        <w:rPr/>
        <w:t>研究中更有价值的长期变化是完整毛利足以承担研发和资本后，每股现金可稳定正向，继而回购或分红不牺牲下一代能力。当前所有情景累计股息零，是对投入阶段的判断，并非预测永不分红。若公司提前实现较高自由现金与更低融资需求，五年资本风险和估值可以改善；若仅调整利润正而完整现金仍流出，不能提前提高分红收益。进取投资应奖励可持续每股经营成果，而不只奖励被估值新闻放大的收入年率。</w:t>
      </w:r>
    </w:p>
    <w:p>
      <w:pPr>
        <w:pStyle w:val="Heading2"/>
        <w:rPr/>
      </w:pPr>
      <w:r>
        <w:rPr>
          <w:color w:val="000000"/>
        </w:rPr>
        <w:t>来源与模型核验</w:t>
      </w:r>
    </w:p>
    <w:p>
      <w:pPr>
        <w:pStyle w:val="Normal"/>
        <w:rPr/>
      </w:pPr>
      <w:r>
        <w:rPr/>
        <w:t xml:space="preserve">- </w:t>
      </w:r>
      <w:r>
        <w:rPr/>
        <w:t>公司</w:t>
      </w:r>
      <w:r>
        <w:rPr/>
        <w:t>2025</w:t>
      </w:r>
      <w:r>
        <w:rPr/>
        <w:t>年报，</w:t>
      </w:r>
      <w:r>
        <w:rPr/>
        <w:t>2026-04-22 22:44</w:t>
      </w:r>
      <w:r>
        <w:rPr/>
        <w:t xml:space="preserve">： </w:t>
      </w:r>
      <w:r>
        <w:rPr/>
        <w:t>https://www1.hkexnews.hk/listedco/listconews/sehk/2026/0422/2026042202118.pdf</w:t>
      </w:r>
    </w:p>
    <w:p>
      <w:pPr>
        <w:pStyle w:val="Normal"/>
        <w:rPr/>
      </w:pPr>
      <w:r>
        <w:rPr/>
        <w:t xml:space="preserve">- </w:t>
      </w:r>
      <w:r>
        <w:rPr/>
        <w:t>中期结果首发，</w:t>
      </w:r>
      <w:r>
        <w:rPr/>
        <w:t>2026-08-26 17:41</w:t>
      </w:r>
      <w:r>
        <w:rPr/>
        <w:t xml:space="preserve">： </w:t>
      </w:r>
      <w:r>
        <w:rPr/>
        <w:t>https://www1.hkexnews.hk/listedco/listconews/sehk/2026/0826/2026082600680.pdf</w:t>
      </w:r>
    </w:p>
    <w:p>
      <w:pPr>
        <w:pStyle w:val="Normal"/>
        <w:rPr/>
      </w:pPr>
      <w:r>
        <w:rPr/>
        <w:t>- 2026</w:t>
      </w:r>
      <w:r>
        <w:rPr/>
        <w:t>中报，</w:t>
      </w:r>
      <w:r>
        <w:rPr/>
        <w:t>2026-09-30 19:39</w:t>
      </w:r>
      <w:r>
        <w:rPr/>
        <w:t xml:space="preserve">： </w:t>
      </w:r>
      <w:r>
        <w:rPr/>
        <w:t>https://www1.hkexnews.hk/listedco/listconews/sehk/2026/0930/2026093002173.pdf</w:t>
      </w:r>
    </w:p>
    <w:p>
      <w:pPr>
        <w:pStyle w:val="Normal"/>
        <w:rPr/>
      </w:pPr>
      <w:r>
        <w:rPr/>
        <w:t xml:space="preserve">- </w:t>
      </w:r>
      <w:r>
        <w:rPr/>
        <w:t>配股债券条款，</w:t>
      </w:r>
      <w:r>
        <w:rPr/>
        <w:t>2026-07-10 07:57</w:t>
      </w:r>
      <w:r>
        <w:rPr/>
        <w:t xml:space="preserve">： </w:t>
      </w:r>
      <w:r>
        <w:rPr/>
        <w:t>https://www1.hkexnews.hk/listedco/listconews/sehk/2026/0710/2026071000027.pdf</w:t>
      </w:r>
    </w:p>
    <w:p>
      <w:pPr>
        <w:pStyle w:val="Normal"/>
        <w:rPr/>
      </w:pPr>
      <w:r>
        <w:rPr/>
        <w:t xml:space="preserve">- </w:t>
      </w:r>
      <w:r>
        <w:rPr/>
        <w:t>完成融资，</w:t>
      </w:r>
      <w:r>
        <w:rPr/>
        <w:t>2026-07-16 19:36</w:t>
      </w:r>
      <w:r>
        <w:rPr/>
        <w:t xml:space="preserve">： </w:t>
      </w:r>
      <w:r>
        <w:rPr/>
        <w:t>https://www1.hkexnews.hk/listedco/listconews/sehk/2026/0716/2026071601147.pdf</w:t>
      </w:r>
    </w:p>
    <w:p>
      <w:pPr>
        <w:pStyle w:val="Normal"/>
        <w:rPr/>
      </w:pPr>
      <w:r>
        <w:rPr/>
        <w:t xml:space="preserve">- </w:t>
      </w:r>
      <w:r>
        <w:rPr/>
        <w:t>九月月报，</w:t>
      </w:r>
      <w:r>
        <w:rPr/>
        <w:t>2026-10-02 08:13</w:t>
      </w:r>
      <w:r>
        <w:rPr/>
        <w:t xml:space="preserve">： </w:t>
      </w:r>
      <w:r>
        <w:rPr/>
        <w:t>https://www1.hkexnews.hk/listedco/listconews/sehk/2026/1002/2026100200077.pdf</w:t>
      </w:r>
    </w:p>
    <w:p>
      <w:pPr>
        <w:pStyle w:val="Normal"/>
        <w:rPr/>
      </w:pPr>
      <w:r>
        <w:rPr/>
        <w:t xml:space="preserve">- </w:t>
      </w:r>
      <w:r>
        <w:rPr/>
        <w:t>关联额度，</w:t>
      </w:r>
      <w:r>
        <w:rPr/>
        <w:t>2026-08-26 22:29</w:t>
      </w:r>
      <w:r>
        <w:rPr/>
        <w:t xml:space="preserve">： </w:t>
      </w:r>
      <w:r>
        <w:rPr/>
        <w:t>https://www1.hkexnews.hk/listedco/listconews/sehk/2026/0826/2026082601949.pdf</w:t>
      </w:r>
    </w:p>
    <w:p>
      <w:pPr>
        <w:pStyle w:val="Normal"/>
        <w:rPr/>
      </w:pPr>
      <w:r>
        <w:rPr/>
        <w:t xml:space="preserve">- </w:t>
      </w:r>
      <w:r>
        <w:rPr/>
        <w:t>授奖，</w:t>
      </w:r>
      <w:r>
        <w:rPr/>
        <w:t>2026-09-29 20:43</w:t>
      </w:r>
      <w:r>
        <w:rPr/>
        <w:t xml:space="preserve">： </w:t>
      </w:r>
      <w:r>
        <w:rPr/>
        <w:t>https://www1.hkexnews.hk/listedco/listconews/sehk/2026/0929/2026092901775.pdf</w:t>
      </w:r>
    </w:p>
    <w:p>
      <w:pPr>
        <w:pStyle w:val="Normal"/>
        <w:rPr/>
      </w:pPr>
      <w:r>
        <w:rPr/>
        <w:t xml:space="preserve">- </w:t>
      </w:r>
      <w:r>
        <w:rPr/>
        <w:t>高盛</w:t>
      </w:r>
      <w:r>
        <w:rPr/>
        <w:t>12</w:t>
      </w:r>
      <w:r>
        <w:rPr/>
        <w:t>个月</w:t>
      </w:r>
      <w:r>
        <w:rPr/>
        <w:t>760</w:t>
      </w:r>
      <w:r>
        <w:rPr/>
        <w:t>，</w:t>
      </w:r>
      <w:r>
        <w:rPr/>
        <w:t>2026-09-10</w:t>
      </w:r>
      <w:r>
        <w:rPr/>
        <w:t xml:space="preserve">新闻转述： </w:t>
      </w:r>
      <w:r>
        <w:rPr/>
        <w:t>https://www.aastocks.com/sc/stocks/analysis/stock-aafn-con/00100/AAFN/NOW.1543752/research-report</w:t>
      </w:r>
    </w:p>
    <w:p>
      <w:pPr>
        <w:pStyle w:val="Normal"/>
        <w:rPr/>
      </w:pPr>
      <w:r>
        <w:rPr/>
        <w:t xml:space="preserve">- </w:t>
      </w:r>
      <w:r>
        <w:rPr/>
        <w:t>花旗</w:t>
      </w:r>
      <w:r>
        <w:rPr/>
        <w:t>576</w:t>
      </w:r>
      <w:r>
        <w:rPr/>
        <w:t>，</w:t>
      </w:r>
      <w:r>
        <w:rPr/>
        <w:t>2026-09-04</w:t>
      </w:r>
      <w:r>
        <w:rPr/>
        <w:t xml:space="preserve">新闻转述： </w:t>
      </w:r>
      <w:r>
        <w:rPr/>
        <w:t>https://www.aastocks.com/sc/stocks/analysis/stock-aafn-con/00100/AAFN/NOW.1542913/research-report</w:t>
      </w:r>
    </w:p>
    <w:p>
      <w:pPr>
        <w:pStyle w:val="Normal"/>
        <w:rPr/>
      </w:pPr>
      <w:r>
        <w:rPr/>
        <w:t>模型、源数据、日期、原子输入与所有</w:t>
      </w:r>
      <w:r>
        <w:rPr/>
        <w:t>15</w:t>
      </w:r>
      <w:r>
        <w:rPr/>
        <w:t>情景由</w:t>
      </w:r>
      <w:r>
        <w:rPr/>
        <w:t>QA</w:t>
      </w:r>
      <w:r>
        <w:rPr/>
        <w:t>记录核验。</w:t>
      </w:r>
      <w:r>
        <w:rPr/>
        <w:t>Word</w:t>
      </w:r>
      <w:r>
        <w:rPr/>
        <w:t>与</w:t>
      </w:r>
      <w:r>
        <w:rPr/>
        <w:t>PDF</w:t>
      </w:r>
      <w:r>
        <w:rPr/>
        <w:t>有效正文、图表分页及总表一致性由最终集成核验；本章状态不冒充全部</w:t>
      </w:r>
      <w:r>
        <w:rPr/>
        <w:t>27</w:t>
      </w:r>
      <w:r>
        <w:rPr/>
        <w:t>份文件已完成。</w:t>
      </w:r>
      <w:r>
        <w:br w:type="page"/>
      </w:r>
    </w:p>
    <w:p>
      <w:pPr>
        <w:pStyle w:val="Heading1"/>
        <w:spacing w:before="0" w:after="0"/>
        <w:rPr/>
      </w:pPr>
      <w:bookmarkStart w:id="1" w:name="__RefHeading___Toc48416_1364803659"/>
      <w:bookmarkEnd w:id="1"/>
      <w:r>
        <w:rPr>
          <w:color w:val="000000"/>
        </w:rPr>
        <w:t xml:space="preserve">智谱 </w:t>
      </w:r>
      <w:r>
        <w:rPr>
          <w:color w:val="000000"/>
        </w:rPr>
        <w:t>02513 HK</w:t>
      </w:r>
    </w:p>
    <w:p>
      <w:pPr>
        <w:pStyle w:val="Normal"/>
        <w:rPr/>
      </w:pPr>
      <w:r>
        <w:rPr/>
        <w:t xml:space="preserve">02513.HK </w:t>
      </w:r>
      <w:r>
        <w:rPr/>
        <w:t xml:space="preserve">现价 </w:t>
      </w:r>
      <w:r>
        <w:rPr/>
        <w:t>641.50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1,004.58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+56.60%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1,236.29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+92.72%</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+92.72%</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1,633.31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+154.61%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+154.61%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1,653.18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+157.71%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+157.71%</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154.78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-75.87%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762.66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+18.89%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1,507.38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796.87HKD</w:t>
      </w:r>
      <w:r>
        <w:rPr/>
        <w:t>，期望股价回报</w:t>
      </w:r>
      <w:r>
        <w:rPr/>
        <w:t>+24.22%</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119.16</w:t>
              <w:br/>
              <w:t>-81.42%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1,004.58</w:t>
              <w:br/>
              <w:t>+56.60%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2,092.54</w:t>
              <w:br/>
              <w:t>+226.19%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78.35</w:t>
              <w:br/>
              <w:t>-87.79%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1,236.29</w:t>
              <w:br/>
              <w:t>+92.72%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2,708.51</w:t>
              <w:br/>
              <w:t>+322.22%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12.79</w:t>
              <w:br/>
              <w:t>-98.01%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1,633.31</w:t>
              <w:br/>
              <w:t>+154.61%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5,088.76</w:t>
              <w:br/>
              <w:t>+693.26%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+36.55%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2.43</w:t>
              <w:br/>
              <w:t>-99.62%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1,653.18</w:t>
              <w:br/>
              <w:t>+157.71%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6,516.84</w:t>
              <w:br/>
              <w:t>+915.88%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+20.84%</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+48.77%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+56.60%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+64.43%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+83.08%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+92.72%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+102.35%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+141.88%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+154.61%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+167.34%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+144.82%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+157.71%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+170.59%</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I055</w:t>
      </w:r>
      <w:r>
        <w:rPr/>
        <w:t>，证券</w:t>
      </w:r>
      <w:r>
        <w:rPr/>
        <w:t>S065</w:t>
      </w:r>
      <w:r>
        <w:rPr/>
        <w:t>，</w:t>
      </w:r>
      <w:r>
        <w:rPr/>
        <w:t>02513.HK</w:t>
      </w:r>
      <w:r>
        <w:rPr/>
        <w:t>，基准</w:t>
      </w:r>
      <w:r>
        <w:rPr/>
        <w:t>2026</w:t>
      </w:r>
      <w:r>
        <w:rPr/>
        <w:t>年</w:t>
      </w:r>
      <w:r>
        <w:rPr/>
        <w:t>10</w:t>
      </w:r>
      <w:r>
        <w:rPr/>
        <w:t>月</w:t>
      </w:r>
      <w:r>
        <w:rPr/>
        <w:t>9</w:t>
      </w:r>
      <w:r>
        <w:rPr/>
        <w:t>日收盘</w:t>
      </w:r>
      <w:r>
        <w:rPr/>
        <w:t>641.50</w:t>
      </w:r>
      <w:r>
        <w:rPr/>
        <w:t>港元。公司法定名称</w:t>
      </w:r>
      <w:r>
        <w:rPr/>
        <w:t>Z.AI</w:t>
      </w:r>
      <w:r>
        <w:rPr/>
        <w:t>，原</w:t>
      </w:r>
      <w:r>
        <w:rPr/>
        <w:t>Knowledge Atlas</w:t>
      </w:r>
      <w:r>
        <w:rPr/>
        <w:t>，用户名单名称智谱。模型</w:t>
      </w:r>
      <w:r>
        <w:rPr/>
        <w:t>zhipu-cloudARR-fullcost-RMB-USDsettled-bond-capital-v1.0</w:t>
      </w:r>
      <w:r>
        <w:rPr/>
        <w:t>；财务原件人民币千，活动模型人民币十亿，股数百万，价格港元。资料截止基准日；置信度中，最终推荐梯队依据全名单四榜同分规则。</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基准累计股息</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专项</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154.78</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762.66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1507.38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119.16</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1004.58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2092.54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78.35</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1236.29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2708.51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12.79</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1633.31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5088.76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2.43</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1653.18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6516.84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bl>
    <w:p>
      <w:pPr>
        <w:pStyle w:val="Normal"/>
        <w:rPr/>
      </w:pPr>
      <w:r>
        <w:rPr/>
      </w:r>
    </w:p>
    <w:p>
      <w:pPr>
        <w:pStyle w:val="Normal"/>
        <w:rPr/>
      </w:pPr>
      <w:r>
        <w:rPr/>
        <w:t>年底</w:t>
      </w:r>
      <w:r>
        <w:rPr/>
        <w:t>25%/50%/25%</w:t>
      </w:r>
      <w:r>
        <w:rPr/>
        <w:t>期望</w:t>
      </w:r>
      <w:r>
        <w:rPr/>
        <w:t>796.87</w:t>
      </w:r>
      <w:r>
        <w:rPr/>
        <w:t>港元，</w:t>
      </w:r>
      <w:r>
        <w:rPr/>
        <w:t>+24.2198%</w:t>
      </w:r>
      <w:r>
        <w:rPr/>
        <w:t>；防御</w:t>
      </w:r>
      <w:r>
        <w:rPr/>
        <w:t>40%/50%/10%</w:t>
      </w:r>
      <w:r>
        <w:rPr/>
        <w:t>期望</w:t>
      </w:r>
      <w:r>
        <w:rPr/>
        <w:t>593.98</w:t>
      </w:r>
      <w:r>
        <w:rPr/>
        <w:t>，−</w:t>
      </w:r>
      <w:r>
        <w:rPr/>
        <w:t>7.4076%</w:t>
      </w:r>
      <w:r>
        <w:rPr/>
        <w:t>；积极</w:t>
      </w:r>
      <w:r>
        <w:rPr/>
        <w:t>10%/50%/40%</w:t>
      </w:r>
      <w:r>
        <w:rPr/>
        <w:t>期望</w:t>
      </w:r>
      <w:r>
        <w:rPr/>
        <w:t>999.76</w:t>
      </w:r>
      <w:r>
        <w:rPr/>
        <w:t>，</w:t>
      </w:r>
      <w:r>
        <w:rPr/>
        <w:t>+55.8472%</w:t>
      </w:r>
      <w:r>
        <w:rPr/>
        <w:t>。半年基准</w:t>
      </w:r>
      <w:r>
        <w:rPr/>
        <w:t>+56.5986%</w:t>
      </w:r>
      <w:r>
        <w:rPr/>
        <w:t>、一年</w:t>
      </w:r>
      <w:r>
        <w:rPr/>
        <w:t>+92.7186%</w:t>
      </w:r>
      <w:r>
        <w:rPr/>
        <w:t>、三年</w:t>
      </w:r>
      <w:r>
        <w:rPr/>
        <w:t>+154.6080%</w:t>
      </w:r>
      <w:r>
        <w:rPr/>
        <w:t>、五年</w:t>
      </w:r>
      <w:r>
        <w:rPr/>
        <w:t>+157.7054%</w:t>
      </w:r>
      <w:r>
        <w:rPr/>
        <w:t>；三年和五年基准年化</w:t>
      </w:r>
      <w:r>
        <w:rPr/>
        <w:t>36.5497%</w:t>
      </w:r>
      <w:r>
        <w:rPr/>
        <w:t>、</w:t>
      </w:r>
      <w:r>
        <w:rPr/>
        <w:t>20.8439%</w:t>
      </w:r>
      <w:r>
        <w:rPr/>
        <w:t>，全部假设零股息。情景及判断权重不代表统计区间、获利概率或最大损失边界。</w:t>
      </w:r>
    </w:p>
    <w:p>
      <w:pPr>
        <w:pStyle w:val="Normal"/>
        <w:rPr/>
      </w:pPr>
      <w:r>
        <w:rPr/>
        <w:t>一年名义目标</w:t>
      </w:r>
      <w:r>
        <w:rPr/>
        <w:t>10</w:t>
      </w:r>
      <w:r>
        <w:rPr/>
        <w:t>月</w:t>
      </w:r>
      <w:r>
        <w:rPr/>
        <w:t>9</w:t>
      </w:r>
      <w:r>
        <w:rPr/>
        <w:t>日按香港休市提前至</w:t>
      </w:r>
      <w:r>
        <w:rPr/>
        <w:t>10</w:t>
      </w:r>
      <w:r>
        <w:rPr/>
        <w:t>月</w:t>
      </w:r>
      <w:r>
        <w:rPr/>
        <w:t>7</w:t>
      </w:r>
      <w:r>
        <w:rPr/>
        <w:t>日；三年五年远期日历待公布复核。推荐定位为进取观察，一年至三年经营可选性高于半年趋势分。成立条件是编码使用转持续确认收入、云毛利和资本效率提高、完整研发成本受到收入覆盖，并完成债结算和所需融资。核心风险为开源竞价、能力迭代失速、算力供应、云分成、现金投入、人民币债美元结算、股份供给及融资失败。</w:t>
      </w:r>
    </w:p>
    <w:p>
      <w:pPr>
        <w:pStyle w:val="Heading2"/>
        <w:rPr/>
      </w:pPr>
      <w:r>
        <w:rPr>
          <w:color w:val="000000"/>
        </w:rPr>
        <w:t>一 结论建立在每股现金经济性而非模型声誉上</w:t>
      </w:r>
    </w:p>
    <w:p>
      <w:pPr>
        <w:pStyle w:val="Normal"/>
        <w:rPr/>
      </w:pPr>
      <w:r>
        <w:rPr/>
        <w:t>智谱的投资机会来自编码与复杂任务从展示走向持续收费，风险则是能力增长所需的算力、研发、渠道和资本远高于传统软件。投资者持有的是普通股，模型排行只影响未来客户需求，不能替代现金和权益的计算。本章把云业务年率、收入确认、两类毛利、完整费用、资本现金和新增股份连续接在一起。只要其中一环恶化，业务规模增长与股东回报就可能出现明显分离。</w:t>
      </w:r>
    </w:p>
    <w:p>
      <w:pPr>
        <w:pStyle w:val="Normal"/>
        <w:rPr/>
      </w:pPr>
      <w:r>
        <w:rPr/>
        <w:t>641.50</w:t>
      </w:r>
      <w:r>
        <w:rPr/>
        <w:t>港元远低于上市以来高点，但距离最早低位也很远。股票的下跌可以降低买入价格，却不自动降低收入与利润实现的难度。半年基准</w:t>
      </w:r>
      <w:r>
        <w:rPr/>
        <w:t>1004.58</w:t>
      </w:r>
      <w:r>
        <w:rPr/>
        <w:t>港元建立在云收入和毛利继续跃升的研究假设上，并非当前财务已支持的稳定利润价格。技术评分偏低，是因为市场仍在重置预期与股份供给，不能把经营成长分同时用来奖励尚未确认的价格反转。</w:t>
      </w:r>
    </w:p>
    <w:p>
      <w:pPr>
        <w:pStyle w:val="Normal"/>
        <w:rPr/>
      </w:pPr>
      <w:r>
        <w:rPr/>
        <w:t>三年</w:t>
      </w:r>
      <w:r>
        <w:rPr/>
        <w:t>68.4</w:t>
      </w:r>
      <w:r>
        <w:rPr/>
        <w:t>分高于半年</w:t>
      </w:r>
      <w:r>
        <w:rPr/>
        <w:t>55.5</w:t>
      </w:r>
      <w:r>
        <w:rPr/>
        <w:t>分，反映复杂任务的市场发展需要时间，也反映日线压力对长期业务意义较小。这个分数仍只属于有条件的进取判断：三年基准经营净利润改善，经营价值却对应超过百倍的隐含利润估值。五年基准即使形成利润，完整资本投入后现金代理仍负。收益空间来自继续成长和市场保留较高估值，而非低估值成熟企业式的自然回归。</w:t>
      </w:r>
    </w:p>
    <w:p>
      <w:pPr>
        <w:pStyle w:val="Normal"/>
        <w:rPr/>
      </w:pPr>
      <w:r>
        <w:rPr/>
        <w:t>不能把乐观情景的大幅上涨解释成推荐强度或成功概率。乐观价格需要收入确认、云毛利、任务竞争力、融资和估值同时处于有利状态；悲观价格则说明这些条件失败时，现金虽可延长生存，却不能保护长期普通股价值。评分把商业质量、行业、催化剂和风险分开，年底另给判断权重。投资者真正需要核实的，是哪些经营证据足以让基准路径保持成立。</w:t>
      </w:r>
    </w:p>
    <w:p>
      <w:pPr>
        <w:pStyle w:val="Heading2"/>
        <w:rPr/>
      </w:pPr>
      <w:r>
        <w:rPr>
          <w:color w:val="000000"/>
        </w:rPr>
        <w:t>二 收入结构已经改变 商业模型仍在验证</w:t>
      </w:r>
    </w:p>
    <w:p>
      <w:pPr>
        <w:pStyle w:val="Normal"/>
        <w:rPr/>
      </w:pPr>
      <w:r>
        <w:rPr/>
        <w:t>2025</w:t>
      </w:r>
      <w:r>
        <w:rPr/>
        <w:t>年收入</w:t>
      </w:r>
      <w:r>
        <w:rPr/>
        <w:t>7.24334</w:t>
      </w:r>
      <w:r>
        <w:rPr/>
        <w:t>亿元人民币，云部署</w:t>
      </w:r>
      <w:r>
        <w:rPr/>
        <w:t>1.90379</w:t>
      </w:r>
      <w:r>
        <w:rPr/>
        <w:t>亿元、私有化部署</w:t>
      </w:r>
      <w:r>
        <w:rPr/>
        <w:t>5.33955</w:t>
      </w:r>
      <w:r>
        <w:rPr/>
        <w:t>亿元，后者占</w:t>
      </w:r>
      <w:r>
        <w:rPr/>
        <w:t>73.7%</w:t>
      </w:r>
      <w:r>
        <w:rPr/>
        <w:t>。上半年</w:t>
      </w:r>
      <w:r>
        <w:rPr/>
        <w:t>2026</w:t>
      </w:r>
      <w:r>
        <w:rPr/>
        <w:t>收入</w:t>
      </w:r>
      <w:r>
        <w:rPr/>
        <w:t>9.53892</w:t>
      </w:r>
      <w:r>
        <w:rPr/>
        <w:t>亿元，已超过上年全年；云部署</w:t>
      </w:r>
      <w:r>
        <w:rPr/>
        <w:t>8.25176</w:t>
      </w:r>
      <w:r>
        <w:rPr/>
        <w:t>亿元占</w:t>
      </w:r>
      <w:r>
        <w:rPr/>
        <w:t>86.5%</w:t>
      </w:r>
      <w:r>
        <w:rPr/>
        <w:t>，私有化</w:t>
      </w:r>
      <w:r>
        <w:rPr/>
        <w:t>1.28716</w:t>
      </w:r>
      <w:r>
        <w:rPr/>
        <w:t>亿元。这是业务形态的实质变化，意味着收入更接近持续调用和开发者消费，同时也让成本更直接受算力效率、客户使用强度和价格竞争影响，过去项目交付毛利无法平移到新业务。</w:t>
      </w:r>
    </w:p>
    <w:p>
      <w:pPr>
        <w:pStyle w:val="Normal"/>
        <w:rPr/>
      </w:pPr>
      <w:r>
        <w:rPr/>
        <w:t>云收入同比增长</w:t>
      </w:r>
      <w:r>
        <w:rPr/>
        <w:t>2735.7%</w:t>
      </w:r>
      <w:r>
        <w:rPr/>
        <w:t>，基数仅</w:t>
      </w:r>
      <w:r>
        <w:rPr/>
        <w:t>2910</w:t>
      </w:r>
      <w:r>
        <w:rPr/>
        <w:t>万元，既包含模型能力提高，也包含消费模式和收费渠道扩展。如此增长率能证明早期市场被打开，却无法作为未来五年复合增速。随着规模提高，新客户与重度用户的边际贡献、收费折扣和留存将决定增长能否持续。研究使用不同目标年率和确认系数，明确把快速增长从已实现事实变成未来待验证假设，避免用低基数百分比无限外推。</w:t>
      </w:r>
    </w:p>
    <w:p>
      <w:pPr>
        <w:pStyle w:val="Normal"/>
        <w:rPr/>
      </w:pPr>
      <w:r>
        <w:rPr/>
        <w:t>私有化收入同比下降</w:t>
      </w:r>
      <w:r>
        <w:rPr/>
        <w:t>20.5%</w:t>
      </w:r>
      <w:r>
        <w:rPr/>
        <w:t>，公司解释为强调业务质量与行业选择，并有客户迁移云服务。这个解释有合理性，但投资者还要看交付能力、客户预算和项目竞争是否同步改变。传统私有化客户可以带来领域反馈、数据安全需求和本地服务壁垒，也可能占用昂贵的人力与算力。模型保留私有化收入独立假设，未因为云增长就把该业务视作免费增量或确定衰退。</w:t>
      </w:r>
    </w:p>
    <w:p>
      <w:pPr>
        <w:pStyle w:val="Normal"/>
        <w:rPr/>
      </w:pPr>
      <w:r>
        <w:rPr/>
        <w:t>企业级代理收入</w:t>
      </w:r>
      <w:r>
        <w:rPr/>
        <w:t>5556.1</w:t>
      </w:r>
      <w:r>
        <w:rPr/>
        <w:t>万元，一般大模型私有化收入</w:t>
      </w:r>
      <w:r>
        <w:rPr/>
        <w:t>6703.7</w:t>
      </w:r>
      <w:r>
        <w:rPr/>
        <w:t>万元，技术及其他</w:t>
      </w:r>
      <w:r>
        <w:rPr/>
        <w:t>611.8</w:t>
      </w:r>
      <w:r>
        <w:rPr/>
        <w:t>万元，合计与私有化收入相符。代理增长</w:t>
      </w:r>
      <w:r>
        <w:rPr/>
        <w:t>304.4%</w:t>
      </w:r>
      <w:r>
        <w:rPr/>
        <w:t>，一般大模型下降</w:t>
      </w:r>
      <w:r>
        <w:rPr/>
        <w:t>54.6%</w:t>
      </w:r>
      <w:r>
        <w:rPr/>
        <w:t>，说明同一私有化分类内部也在迁移。代理部署需要工作流、工具、权限和人工验收，收入提高通常伴随更多交付资源。没有独立完整利润披露时，不能给代理编造精确净利率；本章通过私有化毛利与集团费用共同表达。</w:t>
      </w:r>
    </w:p>
    <w:p>
      <w:pPr>
        <w:pStyle w:val="Heading2"/>
        <w:rPr/>
      </w:pPr>
      <w:r>
        <w:rPr>
          <w:color w:val="000000"/>
        </w:rPr>
        <w:t>三 编码入口与复杂任务的竞争优势</w:t>
      </w:r>
    </w:p>
    <w:p>
      <w:pPr>
        <w:pStyle w:val="Normal"/>
        <w:rPr/>
      </w:pPr>
      <w:r>
        <w:rPr/>
        <w:t>编码作为入口有商业逻辑：任务可以通过测试、运行和交付结果验证，客户更容易比较节省的工程时间与订阅费用。公司上半年结果把编码列为主要收入方向，八月上线</w:t>
      </w:r>
      <w:r>
        <w:rPr/>
        <w:t>GLM Coding Plan</w:t>
      </w:r>
      <w:r>
        <w:rPr/>
        <w:t>多个档位。其价值取决于用户是否在真实项目反复使用，而不仅是生成一段代码。长期复杂任务若需要较少重试和人工接管，客户愿付费能力可能提高，模型公司也更有机会获得持续收入。</w:t>
      </w:r>
    </w:p>
    <w:p>
      <w:pPr>
        <w:pStyle w:val="Normal"/>
        <w:rPr/>
      </w:pPr>
      <w:r>
        <w:rPr/>
        <w:t>GLM</w:t>
      </w:r>
      <w:r>
        <w:rPr/>
        <w:t>系列的竞争力应从任务完成率、速度、稳定性和单位任务成本综合观察。公司披露</w:t>
      </w:r>
      <w:r>
        <w:rPr/>
        <w:t>GLM5.3</w:t>
      </w:r>
      <w:r>
        <w:rPr/>
        <w:t>与</w:t>
      </w:r>
      <w:r>
        <w:rPr/>
        <w:t>5.2</w:t>
      </w:r>
      <w:r>
        <w:rPr/>
        <w:t>保持同一架构和参数、主要通过后训练增加能力，这有助解释研发投入的方向，却并不证明未来每代都能以同样成本获得同样收益。自建评测、第三方榜单和客户生产结果属于不同证据层级。模型估值奖励商业化增长，对未经独立复核的排行优势保持中等置信度。</w:t>
      </w:r>
    </w:p>
    <w:p>
      <w:pPr>
        <w:pStyle w:val="Normal"/>
        <w:rPr/>
      </w:pPr>
      <w:r>
        <w:rPr/>
        <w:t>编码代理面对多个供应商的竞争，开发者可在同一工具内切换模型，议价能力通常高于传统锁定的软件客户。智谱若只在低价档位被使用，调用量可以增加但毛利较难扩张。若它稳定承担需要长上下文、工具操作和较高可靠性的任务，用户迁移成本与价值密度才可能提高。因此研究关注生产任务占有率和收费持续性，不把注册用户、免费调用或公开下载直接当作有价值订阅。</w:t>
      </w:r>
    </w:p>
    <w:p>
      <w:pPr>
        <w:pStyle w:val="Normal"/>
        <w:rPr/>
      </w:pPr>
      <w:r>
        <w:rPr/>
        <w:t>从编码向安全、数据分析、法律等领域扩展，可以共享底层推理和工具能力，却也带来不同的可靠性要求。代码可以测试，安全任务需要限定授权和环境，法律工作需要专业核验。客户对错误的容忍度、部署周期和预算均不同。公司宣传的任务层级和巨大市场空间属于经营愿景，不能直接转化为收入份额。本章远期收入只作为逐步进入可收费工作流的情景，不把知识工作支出全部当潜在营收。</w:t>
      </w:r>
    </w:p>
    <w:p>
      <w:pPr>
        <w:pStyle w:val="Heading2"/>
        <w:rPr/>
      </w:pPr>
      <w:r>
        <w:rPr>
          <w:color w:val="000000"/>
        </w:rPr>
        <w:t>四 开发者生态与云厂商分成的双面影响</w:t>
      </w:r>
    </w:p>
    <w:p>
      <w:pPr>
        <w:pStyle w:val="Normal"/>
        <w:rPr/>
      </w:pPr>
      <w:r>
        <w:rPr/>
        <w:t>上半年</w:t>
      </w:r>
      <w:r>
        <w:rPr/>
        <w:t>MaaS</w:t>
      </w:r>
      <w:r>
        <w:rPr/>
        <w:t>平台企业及开发者用户超过</w:t>
      </w:r>
      <w:r>
        <w:rPr/>
        <w:t>580</w:t>
      </w:r>
      <w:r>
        <w:rPr/>
        <w:t>万，结果公告时超过</w:t>
      </w:r>
      <w:r>
        <w:rPr/>
        <w:t>740</w:t>
      </w:r>
      <w:r>
        <w:rPr/>
        <w:t>万。注册与使用门槛较低，这类用户统计包含不同活跃程度和付费状态，不能等同于</w:t>
      </w:r>
      <w:r>
        <w:rPr/>
        <w:t>740</w:t>
      </w:r>
      <w:r>
        <w:rPr/>
        <w:t>万长期企业合同。公司还披露付费日活与重度用户使用显著增长，这是更接近商业质量的方向信号。由于付费队列、留存和合同期限缺少完整细分，本章未将用户数乘统一客单价，而通过云收入及毛利直接建模。</w:t>
      </w:r>
    </w:p>
    <w:p>
      <w:pPr>
        <w:pStyle w:val="Normal"/>
        <w:rPr/>
      </w:pPr>
      <w:r>
        <w:rPr/>
        <w:t>云厂商合作可能让智谱更快接触开发者并扩展推理供给，也可能让客户关系、定价和算力利润更多留在渠道。里昂九月新闻转述收入分成合作及十月起贡献，属于管理层和机构信息，原合同条款未取得。不能据此假设免费算力、无限容量或无成本增长。基准毛利已考虑渠道和推理成本，不能在收入打一次折扣后又从毛利重复扣全部分成，造成模型重复惩罚。</w:t>
      </w:r>
    </w:p>
    <w:p>
      <w:pPr>
        <w:pStyle w:val="Normal"/>
        <w:rPr/>
      </w:pPr>
      <w:r>
        <w:rPr/>
        <w:t>收入的总额或净额确认取决于公司对服务是否作为主要责任人、控制资源及承担履约风险，不能仅凭合作叫收入分成就决定财务处理。</w:t>
      </w:r>
      <w:r>
        <w:rPr/>
        <w:t>ARR</w:t>
      </w:r>
      <w:r>
        <w:rPr/>
        <w:t>也可能指不同渠道的运行年率。模型以确认系数把云年率变成正常收入，毛利反映可留存价值，二者用途分开；若未来报告明确净额口径，则应同时重设收入、成本及销售估值倍数，不能只降低收入而维持原估值比较。</w:t>
      </w:r>
    </w:p>
    <w:p>
      <w:pPr>
        <w:pStyle w:val="Normal"/>
        <w:rPr/>
      </w:pPr>
      <w:r>
        <w:rPr/>
        <w:t>开放模型可以扩大开发者覆盖与技术反馈，也允许别人通过自建服务或第三方平台变现。公司品牌受欢迎和公司自己收款之间存在距离。高比例第三方调用未变现的机构转述，一方面说明需求，另一方面说明公司还没控制全部收费路径。研究不会把全部外部词元照价加回收入；只有合同、容量、服务与收款实际落实后，才能提高确认系数，且需要同时检查渠道分成是否侵蚀毛利。</w:t>
      </w:r>
    </w:p>
    <w:p>
      <w:pPr>
        <w:pStyle w:val="Heading2"/>
        <w:rPr/>
      </w:pPr>
      <w:r>
        <w:rPr>
          <w:color w:val="000000"/>
        </w:rPr>
        <w:t>五 毛利是能力商业化的重要检验</w:t>
      </w:r>
    </w:p>
    <w:p>
      <w:pPr>
        <w:pStyle w:val="Normal"/>
        <w:rPr/>
      </w:pPr>
      <w:r>
        <w:rPr/>
        <w:t>上半年毛利</w:t>
      </w:r>
      <w:r>
        <w:rPr/>
        <w:t>2.51611</w:t>
      </w:r>
      <w:r>
        <w:rPr/>
        <w:t>亿元，较上年增长</w:t>
      </w:r>
      <w:r>
        <w:rPr/>
        <w:t>163.7%</w:t>
      </w:r>
      <w:r>
        <w:rPr/>
        <w:t>，明显慢于收入增长，综合毛利率降至</w:t>
      </w:r>
      <w:r>
        <w:rPr/>
        <w:t>26.4%</w:t>
      </w:r>
      <w:r>
        <w:rPr/>
        <w:t>。公司解释为低毛利云业务占比上升，云业务自身毛利已从负转正。两种情况可以同时成立：云业务改善是真实方向，集团仍失去传统项目毛利缓冲。不能用收入增长</w:t>
      </w:r>
      <w:r>
        <w:rPr/>
        <w:t>399.7%</w:t>
      </w:r>
      <w:r>
        <w:rPr/>
        <w:t>代替盈利增长，本章分别建云和私有化毛利，完整研发再在集团层面扣除。</w:t>
      </w:r>
    </w:p>
    <w:p>
      <w:pPr>
        <w:pStyle w:val="Normal"/>
        <w:rPr/>
      </w:pPr>
      <w:r>
        <w:rPr/>
        <w:t>云毛利</w:t>
      </w:r>
      <w:r>
        <w:rPr/>
        <w:t>2.02871</w:t>
      </w:r>
      <w:r>
        <w:rPr/>
        <w:t>亿元、毛利率</w:t>
      </w:r>
      <w:r>
        <w:rPr/>
        <w:t>24.6%</w:t>
      </w:r>
      <w:r>
        <w:rPr/>
        <w:t>，私有化毛利</w:t>
      </w:r>
      <w:r>
        <w:rPr/>
        <w:t>4874</w:t>
      </w:r>
      <w:r>
        <w:rPr/>
        <w:t>万元、</w:t>
      </w:r>
      <w:r>
        <w:rPr/>
        <w:t>37.9%</w:t>
      </w:r>
      <w:r>
        <w:rPr/>
        <w:t>。上年对应云毛利率负</w:t>
      </w:r>
      <w:r>
        <w:rPr/>
        <w:t>0.4%</w:t>
      </w:r>
      <w:r>
        <w:rPr/>
        <w:t>、私有化</w:t>
      </w:r>
      <w:r>
        <w:rPr/>
        <w:t>59.1%</w:t>
      </w:r>
      <w:r>
        <w:rPr/>
        <w:t>，说明云规模效应和项目结构变化十分明显。公司披露的单词元推理成本下降</w:t>
      </w:r>
      <w:r>
        <w:rPr/>
        <w:t>80%</w:t>
      </w:r>
      <w:r>
        <w:rPr/>
        <w:t>属于工程指标，与财务毛利并不一一对应，还要看价格、任务长度和利用率。即使单位推理成本降低，客户使用更复杂任务或更大折扣，也可能限制总利润改善。</w:t>
      </w:r>
    </w:p>
    <w:p>
      <w:pPr>
        <w:pStyle w:val="Normal"/>
        <w:rPr/>
      </w:pPr>
      <w:r>
        <w:rPr/>
        <w:t>企业级代理毛利率由</w:t>
      </w:r>
      <w:r>
        <w:rPr/>
        <w:t>64.6%</w:t>
      </w:r>
      <w:r>
        <w:rPr/>
        <w:t>降至</w:t>
      </w:r>
      <w:r>
        <w:rPr/>
        <w:t>35.6%</w:t>
      </w:r>
      <w:r>
        <w:rPr/>
        <w:t>，公司解释为扩张期更重开发交付。这个细节削弱了把代理想象为立刻高毛利订阅的理由。若工具接入、现场适配和长期维护需要不断人工投入，规模扩大仍可能带来费用线性增长。基准私有化毛利在未来逐步改善属于有条件假设，需要标准化交付和复用率验证；反证则是客户数量增长但平均交付成本不降，导致利润杠杆持续缺失。</w:t>
      </w:r>
    </w:p>
    <w:p>
      <w:pPr>
        <w:pStyle w:val="Normal"/>
        <w:rPr/>
      </w:pPr>
      <w:r>
        <w:rPr/>
        <w:t>云毛利提高需要模型质量支持价格、工程降低成本和容量提高利用率共同作用。三者可能互相冲突：更高质量需要更多推理、更低价扩大使用但降低收费、更大预订容量在需求不足时闲置。长期基准云毛利</w:t>
      </w:r>
      <w:r>
        <w:rPr/>
        <w:t>61%</w:t>
      </w:r>
      <w:r>
        <w:rPr/>
        <w:t>已远高于当前</w:t>
      </w:r>
      <w:r>
        <w:rPr/>
        <w:t>24.6%</w:t>
      </w:r>
      <w:r>
        <w:rPr/>
        <w:t>，属于进取假设。若后续多个报告期间仍在</w:t>
      </w:r>
      <w:r>
        <w:rPr/>
        <w:t>30%</w:t>
      </w:r>
      <w:r>
        <w:rPr/>
        <w:t>附近徘徊，五年收入即使达标也不能支持当前利润模型，应同时下调经营盈利和合理销售倍数。</w:t>
      </w:r>
    </w:p>
    <w:p>
      <w:pPr>
        <w:pStyle w:val="Heading2"/>
        <w:rPr/>
      </w:pPr>
      <w:r>
        <w:rPr>
          <w:color w:val="000000"/>
        </w:rPr>
        <w:t>六 完整研发不能从估值中随意剔除</w:t>
      </w:r>
    </w:p>
    <w:p>
      <w:pPr>
        <w:pStyle w:val="Normal"/>
        <w:rPr/>
      </w:pPr>
      <w:r>
        <w:rPr/>
        <w:t>2025</w:t>
      </w:r>
      <w:r>
        <w:rPr/>
        <w:t>年研发</w:t>
      </w:r>
      <w:r>
        <w:rPr/>
        <w:t>31.80443</w:t>
      </w:r>
      <w:r>
        <w:rPr/>
        <w:t>亿元，上半年</w:t>
      </w:r>
      <w:r>
        <w:rPr/>
        <w:t>2026</w:t>
      </w:r>
      <w:r>
        <w:rPr/>
        <w:t>研发</w:t>
      </w:r>
      <w:r>
        <w:rPr/>
        <w:t>21.31171</w:t>
      </w:r>
      <w:r>
        <w:rPr/>
        <w:t>亿元，远高于同期毛利。研发既服务下一代模型，也维持当前产品的竞争与安全，需要持续发生。将训练研发全部视作可随时停止的一次性投入，会让公司看起来拥有并不存在的成熟利润率。本模型把研发算力与其他完整费用拆分用于敏感性，但两者都从经营利润扣除，不以非现金或增长投入的名称删掉正常费用。</w:t>
      </w:r>
    </w:p>
    <w:p>
      <w:pPr>
        <w:pStyle w:val="Normal"/>
        <w:rPr/>
      </w:pPr>
      <w:r>
        <w:rPr/>
        <w:t>后训练、长链任务环境和强化学习可能比单纯扩大参数更有效率，但也可能不断提高数据、试验和人才成本。公司披露的资源配置思路有助判断研发方向，不能保证边际产出不递减。投资者应比较每代能力改善后收入和毛利增量是否足够覆盖新增费用。若模型发布速度加快而付费续费无改善，研发回报变弱；此时只因为技术仍领先便保持高目标价，缺少每股经营证据。</w:t>
      </w:r>
    </w:p>
    <w:p>
      <w:pPr>
        <w:pStyle w:val="Normal"/>
        <w:rPr/>
      </w:pPr>
      <w:r>
        <w:rPr/>
        <w:t>上半年损益</w:t>
      </w:r>
      <w:r>
        <w:rPr/>
        <w:t>SBC8576.4</w:t>
      </w:r>
      <w:r>
        <w:rPr/>
        <w:t>万元，权益变动</w:t>
      </w:r>
      <w:r>
        <w:rPr/>
        <w:t>SBC8600.1</w:t>
      </w:r>
      <w:r>
        <w:rPr/>
        <w:t>万元，差额</w:t>
      </w:r>
      <w:r>
        <w:rPr/>
        <w:t>23.7</w:t>
      </w:r>
      <w:r>
        <w:rPr/>
        <w:t>万元资本化库存。年报也区分损益与权益入账口径。计算调整亏损时应使用损益费用，不能把权益总额全部加回。更关键的是</w:t>
      </w:r>
      <w:r>
        <w:rPr/>
        <w:t>SBC</w:t>
      </w:r>
      <w:r>
        <w:rPr/>
        <w:t>虽然不立即支付现金，却会减少未来每股权益或消耗回购现金。本章经营估值保留正常</w:t>
      </w:r>
      <w:r>
        <w:rPr/>
        <w:t>SBC</w:t>
      </w:r>
      <w:r>
        <w:rPr/>
        <w:t>，资本分母再加目标前新增奖股，不能以现金非流出为理由把员工报酬当免费资源。</w:t>
      </w:r>
    </w:p>
    <w:p>
      <w:pPr>
        <w:pStyle w:val="Normal"/>
        <w:rPr/>
      </w:pPr>
      <w:r>
        <w:rPr/>
        <w:t>固定资产、使用权资产和无形资产折旧摊销同样是真实经营资源消耗。公司</w:t>
      </w:r>
      <w:r>
        <w:rPr/>
        <w:t>PPE</w:t>
      </w:r>
      <w:r>
        <w:rPr/>
        <w:t>包括</w:t>
      </w:r>
      <w:r>
        <w:rPr/>
        <w:t>ROU</w:t>
      </w:r>
      <w:r>
        <w:rPr/>
        <w:t>，不能把公布的全部</w:t>
      </w:r>
      <w:r>
        <w:rPr/>
        <w:t>PPE</w:t>
      </w:r>
      <w:r>
        <w:rPr/>
        <w:t>折旧与额外</w:t>
      </w:r>
      <w:r>
        <w:rPr/>
        <w:t>ROU</w:t>
      </w:r>
      <w:r>
        <w:rPr/>
        <w:t>再相加。模型用</w:t>
      </w:r>
      <w:r>
        <w:rPr/>
        <w:t>DATotal</w:t>
      </w:r>
      <w:r>
        <w:rPr/>
        <w:t>统一包含，现金桥加回一次后扣资本支出与完整租现金。这个处理能避免现金流虚增，也避免在已经扣未来租现金时又全扣租债。完整费用估值与现金桥的区别来自时点和资本性质，不能借此取消资产更新成本。</w:t>
      </w:r>
    </w:p>
    <w:p>
      <w:pPr>
        <w:pStyle w:val="Heading2"/>
        <w:rPr/>
      </w:pPr>
      <w:r>
        <w:rPr>
          <w:color w:val="000000"/>
        </w:rPr>
        <w:t>七 历史利润与非经营收益的核对</w:t>
      </w:r>
    </w:p>
    <w:p>
      <w:pPr>
        <w:pStyle w:val="Normal"/>
        <w:rPr/>
      </w:pPr>
      <w:r>
        <w:rPr/>
        <w:t>2025</w:t>
      </w:r>
      <w:r>
        <w:rPr/>
        <w:t>年集团亏损</w:t>
      </w:r>
      <w:r>
        <w:rPr/>
        <w:t>47.18167</w:t>
      </w:r>
      <w:r>
        <w:rPr/>
        <w:t>亿元，归母</w:t>
      </w:r>
      <w:r>
        <w:rPr/>
        <w:t>46.98203</w:t>
      </w:r>
      <w:r>
        <w:rPr/>
        <w:t>亿元，二者差少数损失</w:t>
      </w:r>
      <w:r>
        <w:rPr/>
        <w:t>1996.4</w:t>
      </w:r>
      <w:r>
        <w:rPr/>
        <w:t>万元。经营亏损</w:t>
      </w:r>
      <w:r>
        <w:rPr/>
        <w:t>37.86750</w:t>
      </w:r>
      <w:r>
        <w:rPr/>
        <w:t>亿元，加上融资成本、联营、金融资产估值及投资者工具变化后形成税前亏损。上市前投资者索偿的账面变动</w:t>
      </w:r>
      <w:r>
        <w:rPr/>
        <w:t>9.37362</w:t>
      </w:r>
      <w:r>
        <w:rPr/>
        <w:t>亿元，对</w:t>
      </w:r>
      <w:r>
        <w:rPr/>
        <w:t>IFRS</w:t>
      </w:r>
      <w:r>
        <w:rPr/>
        <w:t>亏损很大；上市后该权利终止，不应当作未来正常经营费用。反过来，它的消失也不能证明核心商业模型已经盈利。</w:t>
      </w:r>
    </w:p>
    <w:p>
      <w:pPr>
        <w:pStyle w:val="Normal"/>
        <w:rPr/>
      </w:pPr>
      <w:r>
        <w:rPr/>
        <w:t>2025</w:t>
      </w:r>
      <w:r>
        <w:rPr/>
        <w:t>年调整亏损</w:t>
      </w:r>
      <w:r>
        <w:rPr/>
        <w:t>31.81972</w:t>
      </w:r>
      <w:r>
        <w:rPr/>
        <w:t>亿元由集团亏损加回</w:t>
      </w:r>
      <w:r>
        <w:rPr/>
        <w:t>SBC5.58265</w:t>
      </w:r>
      <w:r>
        <w:rPr/>
        <w:t>亿元、工具变动</w:t>
      </w:r>
      <w:r>
        <w:rPr/>
        <w:t>9.37362</w:t>
      </w:r>
      <w:r>
        <w:rPr/>
        <w:t>亿元及上市费</w:t>
      </w:r>
      <w:r>
        <w:rPr/>
        <w:t>4056.8</w:t>
      </w:r>
      <w:r>
        <w:rPr/>
        <w:t>万元。上半年调整亏损</w:t>
      </w:r>
      <w:r>
        <w:rPr/>
        <w:t>19.64138</w:t>
      </w:r>
      <w:r>
        <w:rPr/>
        <w:t>亿元，加回损益</w:t>
      </w:r>
      <w:r>
        <w:rPr/>
        <w:t>SBC8576.4</w:t>
      </w:r>
      <w:r>
        <w:rPr/>
        <w:t>万元与工具损失</w:t>
      </w:r>
      <w:r>
        <w:rPr/>
        <w:t>2209</w:t>
      </w:r>
      <w:r>
        <w:rPr/>
        <w:t>万元。这个非</w:t>
      </w:r>
      <w:r>
        <w:rPr/>
        <w:t>IFRS</w:t>
      </w:r>
      <w:r>
        <w:rPr/>
        <w:t>指标有助比较资本结构变化前后，却排掉正常员工报酬，不能直接作长期普通股利润。模型另算完整正常经营和普通股利润，避免用调整亏损转好夸大每股价值。</w:t>
      </w:r>
    </w:p>
    <w:p>
      <w:pPr>
        <w:pStyle w:val="Normal"/>
        <w:rPr/>
      </w:pPr>
      <w:r>
        <w:rPr/>
        <w:t>上半年经营亏损</w:t>
      </w:r>
      <w:r>
        <w:rPr/>
        <w:t>21.46552</w:t>
      </w:r>
      <w:r>
        <w:rPr/>
        <w:t>亿元，集团亏损</w:t>
      </w:r>
      <w:r>
        <w:rPr/>
        <w:t>20.71992</w:t>
      </w:r>
      <w:r>
        <w:rPr/>
        <w:t>亿元。其间联营收益</w:t>
      </w:r>
      <w:r>
        <w:rPr/>
        <w:t>1.44152</w:t>
      </w:r>
      <w:r>
        <w:rPr/>
        <w:t>亿元、金融资产公允收益</w:t>
      </w:r>
      <w:r>
        <w:rPr/>
        <w:t>5038.5</w:t>
      </w:r>
      <w:r>
        <w:rPr/>
        <w:t>万元和其他收入</w:t>
      </w:r>
      <w:r>
        <w:rPr/>
        <w:t>4143.6</w:t>
      </w:r>
      <w:r>
        <w:rPr/>
        <w:t>万元提供缓冲，融资费用</w:t>
      </w:r>
      <w:r>
        <w:rPr/>
        <w:t>9592.5</w:t>
      </w:r>
      <w:r>
        <w:rPr/>
        <w:t>万元含汇兑损失</w:t>
      </w:r>
      <w:r>
        <w:rPr/>
        <w:t>7344.8</w:t>
      </w:r>
      <w:r>
        <w:rPr/>
        <w:t>万元。不同来源的利润持续性差异很大。集团经营</w:t>
      </w:r>
      <w:r>
        <w:rPr/>
        <w:t>EV</w:t>
      </w:r>
      <w:r>
        <w:rPr/>
        <w:t>排财资及联营收益，然后加可实现资产本金；不能把同一投资的收益资本化，又在权益桥完整再加投资价值，造成重复计价。</w:t>
      </w:r>
    </w:p>
    <w:p>
      <w:pPr>
        <w:pStyle w:val="Normal"/>
        <w:rPr/>
      </w:pPr>
      <w:r>
        <w:rPr/>
        <w:t>少数股东权益</w:t>
      </w:r>
      <w:r>
        <w:rPr/>
        <w:t>1250.8</w:t>
      </w:r>
      <w:r>
        <w:rPr/>
        <w:t>万元，相对当前集团不大，但收购的业务可能在未来利润中占更高比例。模型用正经营利润的一小部分作少数利润准备，属于研究假设，未称公司统一分成承诺。若</w:t>
      </w:r>
      <w:r>
        <w:rPr/>
        <w:t>AI</w:t>
      </w:r>
      <w:r>
        <w:rPr/>
        <w:t>基础设施子公司未来成为主要利润来源，应根据具体持股与权益安排重算，而不能持续按集团收入高增长忽略外部股东的索偿。完整普通股利润因此不等于集团经营净利润。</w:t>
      </w:r>
    </w:p>
    <w:p>
      <w:pPr>
        <w:pStyle w:val="Heading2"/>
        <w:rPr/>
      </w:pPr>
      <w:r>
        <w:rPr>
          <w:color w:val="000000"/>
        </w:rPr>
        <w:t>八 现金流质量 预付款与资产收购</w:t>
      </w:r>
    </w:p>
    <w:p>
      <w:pPr>
        <w:pStyle w:val="Normal"/>
        <w:rPr/>
      </w:pPr>
      <w:r>
        <w:rPr/>
        <w:t>2025</w:t>
      </w:r>
      <w:r>
        <w:rPr/>
        <w:t>年经营现金净流出</w:t>
      </w:r>
      <w:r>
        <w:rPr/>
        <w:t>22.46123</w:t>
      </w:r>
      <w:r>
        <w:rPr/>
        <w:t>亿元，购买固定与无形资产现金合计</w:t>
      </w:r>
      <w:r>
        <w:rPr/>
        <w:t>2308.8</w:t>
      </w:r>
      <w:r>
        <w:rPr/>
        <w:t>万元，自由现金代理负</w:t>
      </w:r>
      <w:r>
        <w:rPr/>
        <w:t>22.69211</w:t>
      </w:r>
      <w:r>
        <w:rPr/>
        <w:t>亿元。上半年</w:t>
      </w:r>
      <w:r>
        <w:rPr/>
        <w:t>2026</w:t>
      </w:r>
      <w:r>
        <w:rPr/>
        <w:t>经营现金流出</w:t>
      </w:r>
      <w:r>
        <w:rPr/>
        <w:t>33.74057</w:t>
      </w:r>
      <w:r>
        <w:rPr/>
        <w:t>亿元，固定资产现金</w:t>
      </w:r>
      <w:r>
        <w:rPr/>
        <w:t>5.86417</w:t>
      </w:r>
      <w:r>
        <w:rPr/>
        <w:t>亿元，代理负</w:t>
      </w:r>
      <w:r>
        <w:rPr/>
        <w:t>39.60474</w:t>
      </w:r>
      <w:r>
        <w:rPr/>
        <w:t>亿元，半年流出已显著超过上年全年。资本现金含资产购买受限存款，不能再把这部分保证金作为额外资本扣两次；经营现金的恶化也不能只用收入增长解释为自然好现象。</w:t>
      </w:r>
    </w:p>
    <w:p>
      <w:pPr>
        <w:pStyle w:val="Normal"/>
        <w:rPr/>
      </w:pPr>
      <w:r>
        <w:rPr/>
        <w:t>六月预付款</w:t>
      </w:r>
      <w:r>
        <w:rPr/>
        <w:t>16.21311</w:t>
      </w:r>
      <w:r>
        <w:rPr/>
        <w:t>亿元，其中算力预付</w:t>
      </w:r>
      <w:r>
        <w:rPr/>
        <w:t>12.43736</w:t>
      </w:r>
      <w:r>
        <w:rPr/>
        <w:t>亿元，说明取得容量需要提前投入。预付款可能保障供应和优惠，也意味着资金在收入形成前已被占用。应收款</w:t>
      </w:r>
      <w:r>
        <w:rPr/>
        <w:t>7.82944</w:t>
      </w:r>
      <w:r>
        <w:rPr/>
        <w:t>亿元、应付</w:t>
      </w:r>
      <w:r>
        <w:rPr/>
        <w:t>21.35759</w:t>
      </w:r>
      <w:r>
        <w:rPr/>
        <w:t>亿元、合同负债</w:t>
      </w:r>
      <w:r>
        <w:rPr/>
        <w:t>3.02325</w:t>
      </w:r>
      <w:r>
        <w:rPr/>
        <w:t>亿元，则显示客户收款和供应商信用同时影响现金周期。余额增长不能简单归因为坏账或供应商支持，研究需要结合未来付款、消耗与收入确认，不能把应付增长当永续免费融资。</w:t>
      </w:r>
    </w:p>
    <w:p>
      <w:pPr>
        <w:pStyle w:val="Normal"/>
        <w:rPr/>
      </w:pPr>
      <w:r>
        <w:rPr/>
        <w:t>六月银行及手头现金</w:t>
      </w:r>
      <w:r>
        <w:rPr/>
        <w:t>39.93722</w:t>
      </w:r>
      <w:r>
        <w:rPr/>
        <w:t>亿元包括受限</w:t>
      </w:r>
      <w:r>
        <w:rPr/>
        <w:t>1.05995</w:t>
      </w:r>
      <w:r>
        <w:rPr/>
        <w:t>亿元，现金等价物为</w:t>
      </w:r>
      <w:r>
        <w:rPr/>
        <w:t>38.87727</w:t>
      </w:r>
      <w:r>
        <w:rPr/>
        <w:t>亿元。资产表、管理层流动性摘要和现金流表使用的现金名称略有差别，必须选同一口径。模型只加非受限现金，理财产品</w:t>
      </w:r>
      <w:r>
        <w:rPr/>
        <w:t>3.62139</w:t>
      </w:r>
      <w:r>
        <w:rPr/>
        <w:t>亿元按实现率计算，金融股权</w:t>
      </w:r>
      <w:r>
        <w:rPr/>
        <w:t>1.44</w:t>
      </w:r>
      <w:r>
        <w:rPr/>
        <w:t>亿元另列</w:t>
      </w:r>
      <w:r>
        <w:rPr/>
        <w:t>NAV</w:t>
      </w:r>
      <w:r>
        <w:rPr/>
        <w:t>。不能把全部短期金融资产</w:t>
      </w:r>
      <w:r>
        <w:rPr/>
        <w:t>5.06139</w:t>
      </w:r>
      <w:r>
        <w:rPr/>
        <w:t>亿元当现金后又另加金融股权，否则同一资产会被计算两次。</w:t>
      </w:r>
    </w:p>
    <w:p>
      <w:pPr>
        <w:pStyle w:val="Normal"/>
        <w:rPr/>
      </w:pPr>
      <w:r>
        <w:rPr/>
        <w:t>洪钻资产收购总代价</w:t>
      </w:r>
      <w:r>
        <w:rPr/>
        <w:t>3.60226</w:t>
      </w:r>
      <w:r>
        <w:rPr/>
        <w:t>亿元包含股权和协助偿债，公告中报说八月完成付款；中科加禾六成权益总代价</w:t>
      </w:r>
      <w:r>
        <w:rPr/>
        <w:t>2.91916</w:t>
      </w:r>
      <w:r>
        <w:rPr/>
        <w:t>亿元，六月尚有</w:t>
      </w:r>
      <w:r>
        <w:rPr/>
        <w:t>1.50651</w:t>
      </w:r>
      <w:r>
        <w:rPr/>
        <w:t>亿元应付。后者现金净流出</w:t>
      </w:r>
      <w:r>
        <w:rPr/>
        <w:t>7469.8</w:t>
      </w:r>
      <w:r>
        <w:rPr/>
        <w:t>万元是已付与取得现金的净额，不能当全部总代价。模型用六月后其他现金变化和额外资本准备覆盖尚需支出，同时明确代理不是精确每日现金预测，未来还应核实付款与已计资本的对应，避免遗漏或重复。</w:t>
      </w:r>
    </w:p>
    <w:p>
      <w:pPr>
        <w:pStyle w:val="Heading2"/>
        <w:rPr/>
      </w:pPr>
      <w:r>
        <w:rPr>
          <w:color w:val="000000"/>
        </w:rPr>
        <w:t>九 两次配股改变现金 也改变了分母</w:t>
      </w:r>
    </w:p>
    <w:p>
      <w:pPr>
        <w:pStyle w:val="Normal"/>
        <w:rPr/>
      </w:pPr>
      <w:r>
        <w:rPr/>
        <w:t>七月新发</w:t>
      </w:r>
      <w:r>
        <w:rPr/>
        <w:t>1978</w:t>
      </w:r>
      <w:r>
        <w:rPr/>
        <w:t>万股，发行价</w:t>
      </w:r>
      <w:r>
        <w:rPr/>
        <w:t>1588</w:t>
      </w:r>
      <w:r>
        <w:rPr/>
        <w:t>港元，毛款</w:t>
      </w:r>
      <w:r>
        <w:rPr/>
        <w:t>314.1064</w:t>
      </w:r>
      <w:r>
        <w:rPr/>
        <w:t>亿港元，净款</w:t>
      </w:r>
      <w:r>
        <w:rPr/>
        <w:t>313.7495</w:t>
      </w:r>
      <w:r>
        <w:rPr/>
        <w:t>亿港元；九月新发</w:t>
      </w:r>
      <w:r>
        <w:rPr/>
        <w:t>2196.5</w:t>
      </w:r>
      <w:r>
        <w:rPr/>
        <w:t>万股，发行价</w:t>
      </w:r>
      <w:r>
        <w:rPr/>
        <w:t>714</w:t>
      </w:r>
      <w:r>
        <w:rPr/>
        <w:t>港元，净款</w:t>
      </w:r>
      <w:r>
        <w:rPr/>
        <w:t>156.6413</w:t>
      </w:r>
      <w:r>
        <w:rPr/>
        <w:t>亿港元。发行价格差异本身说明资本供给和预期会快速变化，不能把早期高价配售当长期价格底。两次融资大幅增强资源，但每股价值应同时加净款和股份，现金用途若不能取得足够回报，融资规模并不等于股东财富增加。</w:t>
      </w:r>
    </w:p>
    <w:p>
      <w:pPr>
        <w:pStyle w:val="Normal"/>
        <w:rPr/>
      </w:pPr>
      <w:r>
        <w:rPr/>
        <w:t>六月法定总股</w:t>
      </w:r>
      <w:r>
        <w:rPr/>
        <w:t>4.45843090</w:t>
      </w:r>
      <w:r>
        <w:rPr/>
        <w:t>亿，七月后</w:t>
      </w:r>
      <w:r>
        <w:rPr/>
        <w:t>4.65623090</w:t>
      </w:r>
      <w:r>
        <w:rPr/>
        <w:t>亿，九月</w:t>
      </w:r>
      <w:r>
        <w:rPr/>
        <w:t>4.87588090</w:t>
      </w:r>
      <w:r>
        <w:rPr/>
        <w:t>亿。九月月报</w:t>
      </w:r>
      <w:r>
        <w:rPr/>
        <w:t>H</w:t>
      </w:r>
      <w:r>
        <w:rPr/>
        <w:t>股</w:t>
      </w:r>
      <w:r>
        <w:rPr/>
        <w:t>2.63059605</w:t>
      </w:r>
      <w:r>
        <w:rPr/>
        <w:t>亿，未上市股</w:t>
      </w:r>
      <w:r>
        <w:rPr/>
        <w:t>2.24528485</w:t>
      </w:r>
      <w:r>
        <w:rPr/>
        <w:t>亿，二者共同享有公司经济权益。行情较小市值可能只计算</w:t>
      </w:r>
      <w:r>
        <w:rPr/>
        <w:t>H</w:t>
      </w:r>
      <w:r>
        <w:rPr/>
        <w:t>股，不能据此低估集团估值。全部股份乘</w:t>
      </w:r>
      <w:r>
        <w:rPr/>
        <w:t>641.50</w:t>
      </w:r>
      <w:r>
        <w:rPr/>
        <w:t>港元约</w:t>
      </w:r>
      <w:r>
        <w:rPr/>
        <w:t>3127.88</w:t>
      </w:r>
      <w:r>
        <w:rPr/>
        <w:t>亿港元，是本章当前普通股价值的量级；每股分母包含未上市股，流通股数则用于交易供给分析，两者不可混用。</w:t>
      </w:r>
    </w:p>
    <w:p>
      <w:pPr>
        <w:pStyle w:val="Normal"/>
        <w:rPr/>
      </w:pPr>
      <w:r>
        <w:rPr/>
        <w:t>配股公告百分比需要核对分母。七月</w:t>
      </w:r>
      <w:r>
        <w:rPr/>
        <w:t>1978</w:t>
      </w:r>
      <w:r>
        <w:rPr/>
        <w:t>万股相对扩大总股约</w:t>
      </w:r>
      <w:r>
        <w:rPr/>
        <w:t>4.25%</w:t>
      </w:r>
      <w:r>
        <w:rPr/>
        <w:t>，九月</w:t>
      </w:r>
      <w:r>
        <w:rPr/>
        <w:t>2196.5</w:t>
      </w:r>
      <w:r>
        <w:rPr/>
        <w:t>万股相对扩大总股约</w:t>
      </w:r>
      <w:r>
        <w:rPr/>
        <w:t>4.50%</w:t>
      </w:r>
      <w:r>
        <w:rPr/>
        <w:t>；若转载把它们描述为同一口径的</w:t>
      </w:r>
      <w:r>
        <w:rPr/>
        <w:t>H</w:t>
      </w:r>
      <w:r>
        <w:rPr/>
        <w:t>股占比，不能直接照抄。模型按绝对法定股份和完成公告净款计算。这样既避免错误稀释率，也能与九月月报闭合。任何未来</w:t>
      </w:r>
      <w:r>
        <w:rPr/>
        <w:t>A</w:t>
      </w:r>
      <w:r>
        <w:rPr/>
        <w:t>股发行还要新增全经济股数，不能因交易市场不同而从港股每股模型排除。</w:t>
      </w:r>
    </w:p>
    <w:p>
      <w:pPr>
        <w:pStyle w:val="Normal"/>
        <w:rPr/>
      </w:pPr>
      <w:r>
        <w:rPr/>
        <w:t>已筹现金充足降低了近期经营停顿风险，但公司选择大幅扩算力，可能迅速把流动财资变成预付、固定资产或长约义务。投资者应看未来收入和现金回报是否与资源增长匹配。不能用六月小现金评估九月融资后的生存，也不能把九月新款全部视作可派息盈余。本模型保留经营现金储备并扣未来资本，已经筹集的本金不会同时被当作额外收入、经营</w:t>
      </w:r>
      <w:r>
        <w:rPr/>
        <w:t>EV</w:t>
      </w:r>
      <w:r>
        <w:rPr/>
        <w:t>和独立资产利润重复放大。</w:t>
      </w:r>
    </w:p>
    <w:p>
      <w:pPr>
        <w:pStyle w:val="Heading2"/>
        <w:rPr/>
      </w:pPr>
      <w:r>
        <w:rPr>
          <w:color w:val="000000"/>
        </w:rPr>
        <w:t>十 人民币本金美元结算债是独立资本风险</w:t>
      </w:r>
    </w:p>
    <w:p>
      <w:pPr>
        <w:pStyle w:val="Normal"/>
        <w:rPr/>
      </w:pPr>
      <w:r>
        <w:rPr/>
        <w:t>九月完成发行人民币</w:t>
      </w:r>
      <w:r>
        <w:rPr/>
        <w:t>201.4</w:t>
      </w:r>
      <w:r>
        <w:rPr/>
        <w:t>亿元零息债，发行价本金</w:t>
      </w:r>
      <w:r>
        <w:rPr/>
        <w:t>100.5%</w:t>
      </w:r>
      <w:r>
        <w:rPr/>
        <w:t>，毛款</w:t>
      </w:r>
      <w:r>
        <w:rPr/>
        <w:t>30.1564</w:t>
      </w:r>
      <w:r>
        <w:rPr/>
        <w:t>亿美元、净款</w:t>
      </w:r>
      <w:r>
        <w:rPr/>
        <w:t>30.1077</w:t>
      </w:r>
      <w:r>
        <w:rPr/>
        <w:t>亿美元，到期</w:t>
      </w:r>
      <w:r>
        <w:rPr/>
        <w:t>2027</w:t>
      </w:r>
      <w:r>
        <w:rPr/>
        <w:t>年</w:t>
      </w:r>
      <w:r>
        <w:rPr/>
        <w:t>9</w:t>
      </w:r>
      <w:r>
        <w:rPr/>
        <w:t>月</w:t>
      </w:r>
      <w:r>
        <w:rPr/>
        <w:t>16</w:t>
      </w:r>
      <w:r>
        <w:rPr/>
        <w:t>日。零息意味着不定期支付票息，却仍需要到期兑付本金或转换股份。不能把发行溢价后的毛美元收款当固定美元本金，也不能套用</w:t>
      </w:r>
      <w:r>
        <w:rPr/>
        <w:t>MiniMax</w:t>
      </w:r>
      <w:r>
        <w:rPr/>
        <w:t>债的</w:t>
      </w:r>
      <w:r>
        <w:rPr/>
        <w:t>102.75%</w:t>
      </w:r>
      <w:r>
        <w:rPr/>
        <w:t>赎回条款。智谱公告说按人民币本金的美元等值赎回，本章按自身真实条款建模。</w:t>
      </w:r>
    </w:p>
    <w:p>
      <w:pPr>
        <w:pStyle w:val="Normal"/>
        <w:rPr/>
      </w:pPr>
      <w:r>
        <w:rPr/>
        <w:t>公开摘要定义美元等值为按债条款将人民币金额转换成美元，未给足以独立复算的完整兑换规则。因此无法确证固定美元偿债额或结算日汇率。本模型以人民币平价负担为基准，加</w:t>
      </w:r>
      <w:r>
        <w:rPr/>
        <w:t>8%</w:t>
      </w:r>
      <w:r>
        <w:rPr/>
        <w:t>和减</w:t>
      </w:r>
      <w:r>
        <w:rPr/>
        <w:t>2%</w:t>
      </w:r>
      <w:r>
        <w:rPr/>
        <w:t>的研究敏感性，明确这是估算缺口而非事实条款。净款进入现金按研究汇率换算，转换股另用公告初始固定股数；收到美元、偿还美元和港股报价三个货币环节不能混成同一汇率。</w:t>
      </w:r>
    </w:p>
    <w:p>
      <w:pPr>
        <w:pStyle w:val="Normal"/>
        <w:rPr/>
      </w:pPr>
      <w:r>
        <w:rPr/>
        <w:t>转换从</w:t>
      </w:r>
      <w:r>
        <w:rPr/>
        <w:t>2027</w:t>
      </w:r>
      <w:r>
        <w:rPr/>
        <w:t>年</w:t>
      </w:r>
      <w:r>
        <w:rPr/>
        <w:t>7</w:t>
      </w:r>
      <w:r>
        <w:rPr/>
        <w:t>月</w:t>
      </w:r>
      <w:r>
        <w:rPr/>
        <w:t>1</w:t>
      </w:r>
      <w:r>
        <w:rPr/>
        <w:t>日开始，到到期前十天或较早赎回条件前结束，初始转换价</w:t>
      </w:r>
      <w:r>
        <w:rPr/>
        <w:t>892.50</w:t>
      </w:r>
      <w:r>
        <w:rPr/>
        <w:t>港元，完整转换</w:t>
      </w:r>
      <w:r>
        <w:rPr/>
        <w:t>2636.5026</w:t>
      </w:r>
      <w:r>
        <w:rPr/>
        <w:t>万股。年底与半年尚处关闭窗口，模型转换比例为零；一年基准和乐观选择转换，是因为假设合法窗口内价格路径高于转换价。目标日已经过到期，不能只凭目标时股价高于</w:t>
      </w:r>
      <w:r>
        <w:rPr/>
        <w:t>892.50</w:t>
      </w:r>
      <w:r>
        <w:rPr/>
        <w:t>便认为过去必已转换，路径及持有人选择是需要保留的成立条件。</w:t>
      </w:r>
    </w:p>
    <w:p>
      <w:pPr>
        <w:pStyle w:val="Normal"/>
        <w:rPr/>
      </w:pPr>
      <w:r>
        <w:rPr/>
        <w:t>已结算债若支付现金，就从现金扣而不再保留同笔债索偿；若转换就加股份而移除本金索偿。未结算则在资本桥扣剩余负担，现金不预先重复支付。</w:t>
      </w:r>
      <w:r>
        <w:rPr/>
        <w:t>A</w:t>
      </w:r>
      <w:r>
        <w:rPr/>
        <w:t>股首次发行和既有员工计划有特定不调转换价例外，意味着普通股可能新增而债转价格未获同等调整。更早赎回、控制权变动或长期停牌也可能改变现金时点。模型默认正常到期路径，异常事件需要重算，不是已被三情景完全覆盖。</w:t>
      </w:r>
    </w:p>
    <w:p>
      <w:pPr>
        <w:pStyle w:val="Heading2"/>
        <w:rPr/>
      </w:pPr>
      <w:r>
        <w:rPr>
          <w:color w:val="000000"/>
        </w:rPr>
        <w:t>十一 奖股 上市供给与治理约束</w:t>
      </w:r>
    </w:p>
    <w:p>
      <w:pPr>
        <w:pStyle w:val="Normal"/>
        <w:rPr/>
      </w:pPr>
      <w:r>
        <w:rPr/>
        <w:t>九月授予</w:t>
      </w:r>
      <w:r>
        <w:rPr/>
        <w:t>122.2934</w:t>
      </w:r>
      <w:r>
        <w:rPr/>
        <w:t>万股，购价每股人民币</w:t>
      </w:r>
      <w:r>
        <w:rPr/>
        <w:t>0.1</w:t>
      </w:r>
      <w:r>
        <w:rPr/>
        <w:t>，归属期四至六十三个月，并有集团和个人表现条件。它们尚未成为九月法定新股，不能提前加入当前分母，也不能认为未来必全归属。模型按各期与经营情景准备不同新增奖股，还含可能的未来常态激励，而非把所有授权额度一次发完。表现条件有助对齐员工，但需要查看实际考核与新增授奖节奏，持续稀释仍是普通股成本。</w:t>
      </w:r>
    </w:p>
    <w:p>
      <w:pPr>
        <w:pStyle w:val="Normal"/>
        <w:rPr/>
      </w:pPr>
      <w:r>
        <w:rPr/>
        <w:t>上市前工具转换后的股本结构与损益每股计算存在历史调整，招股书和中报按拆股追溯加权股数。历史</w:t>
      </w:r>
      <w:r>
        <w:rPr/>
        <w:t>EPS</w:t>
      </w:r>
      <w:r>
        <w:rPr/>
        <w:t>不能直接拿九月法定股数倒算并声称财报错误；目标估值则应使用目标完全摊薄股数。未上市股、上市</w:t>
      </w:r>
      <w:r>
        <w:rPr/>
        <w:t>H</w:t>
      </w:r>
      <w:r>
        <w:rPr/>
        <w:t>股、员工持有和转换潜在股属于不同层次。本章把历史财务解释与未来资本分母分开，这能避免因上市结构变化把真实亏损或稀释藏在统计口径里。</w:t>
      </w:r>
    </w:p>
    <w:p>
      <w:pPr>
        <w:pStyle w:val="Normal"/>
        <w:rPr/>
      </w:pPr>
      <w:r>
        <w:rPr/>
        <w:t>部分上市前和员工持股存在十二个月锁定安排，机构新闻提</w:t>
      </w:r>
      <w:r>
        <w:rPr/>
        <w:t>2027</w:t>
      </w:r>
      <w:r>
        <w:rPr/>
        <w:t>年一月初股份供给压力。不能将锁定到期等同全部出售，也不能当现有股东绝不会卖。交易影响取决于持有人意愿、可交易资格、成交深度与公司后续消息。半年技术观察需要关注这一窗口，而长期经营价值不会因为解禁本身自动增加或减少。若股价在高成交下反复冲高回落，才有理由提高供给压力的警觉。</w:t>
      </w:r>
    </w:p>
    <w:p>
      <w:pPr>
        <w:pStyle w:val="Normal"/>
        <w:rPr/>
      </w:pPr>
      <w:r>
        <w:rPr/>
        <w:t>治理研究应关心融资授权、资本预算、关联交易、员工报酬和经营披露的质量。模型企业在研发选择上需要快速决策，但资本规模已经非常大，普通股东对资金效率和结果的可见性更重要。应要求连续收入确认、毛利、预付款消耗和资本进度资料，而不能只依赖模型发布宣传。若会计口径或核心统计频繁改变、资金用途与收入回报长期无法核对，本章风险评分和置信度均应下降。</w:t>
      </w:r>
    </w:p>
    <w:p>
      <w:pPr>
        <w:pStyle w:val="Heading2"/>
        <w:rPr/>
      </w:pPr>
      <w:r>
        <w:rPr>
          <w:color w:val="000000"/>
        </w:rPr>
        <w:t>十二 行业周期与宏观因素的公司传导</w:t>
      </w:r>
    </w:p>
    <w:p>
      <w:pPr>
        <w:pStyle w:val="Normal"/>
        <w:rPr/>
      </w:pPr>
      <w:r>
        <w:rPr/>
        <w:t>智谱处在</w:t>
      </w:r>
      <w:r>
        <w:rPr/>
        <w:t>AI</w:t>
      </w:r>
      <w:r>
        <w:rPr/>
        <w:t>基础能力从投资热潮转向收入验证的阶段。市场先为能力稀缺支付高估值，再要求证明任务收费和资本效率，股票对这一转换高度敏感。行业需求扩展可以推动公司收入，同行开源和价格竞争同时压缩每个词元收入。长期技术进步和短期行业股票估值并非同一周期；本章因此让半年技术占</w:t>
      </w:r>
      <w:r>
        <w:rPr/>
        <w:t>30%</w:t>
      </w:r>
      <w:r>
        <w:rPr/>
        <w:t>，五年技术占零，同时长期仍保留完整财务和估值风险。</w:t>
      </w:r>
    </w:p>
    <w:p>
      <w:pPr>
        <w:pStyle w:val="Normal"/>
        <w:rPr/>
      </w:pPr>
      <w:r>
        <w:rPr/>
        <w:t>企业预算增长会影响私有化项目、代理部署和云订阅。经济偏弱时客户可能用</w:t>
      </w:r>
      <w:r>
        <w:rPr/>
        <w:t>AI</w:t>
      </w:r>
      <w:r>
        <w:rPr/>
        <w:t>降低成本，也可能减少试验性预算；能直接提高工程效率的付费更有韧性，难验收的创新项目更易推迟。模型将编码持续收入作为基准核心，对一般企业部署更保守。若客户开始要求显著降价、延长付款或项目验收延后，影响会同时出现在收入确认、应收与现金桥，而不只表现为增长率变慢。</w:t>
      </w:r>
    </w:p>
    <w:p>
      <w:pPr>
        <w:pStyle w:val="Normal"/>
        <w:rPr/>
      </w:pPr>
      <w:r>
        <w:rPr/>
        <w:t>利率下降可能提高远期成长权益估值，并减少浮息银行债成本，但不应认为降息能抵消研发失速。六月银行债</w:t>
      </w:r>
      <w:r>
        <w:rPr/>
        <w:t>22.24789</w:t>
      </w:r>
      <w:r>
        <w:rPr/>
        <w:t>亿元主要浮息，模型保留银行利息和债本金准备；九月零息债则更多受转换、兑付和汇率规则影响。收入与毛利不足时，即使外部资金便宜仍会稀释。估值倍数上升属于市场条件，不能与业务盈利自动绑定，悲观情景把现金和资本约束保留。</w:t>
      </w:r>
    </w:p>
    <w:p>
      <w:pPr>
        <w:pStyle w:val="Normal"/>
        <w:rPr/>
      </w:pPr>
      <w:r>
        <w:rPr/>
        <w:t>人民币与港币变化会同时影响股票报价、美元云年率假设和债款资源。模型主财务人民币，</w:t>
      </w:r>
      <w:r>
        <w:rPr/>
        <w:t>FX</w:t>
      </w:r>
      <w:r>
        <w:rPr/>
        <w:t>为每人民币</w:t>
      </w:r>
      <w:r>
        <w:rPr/>
        <w:t>1.1684</w:t>
      </w:r>
      <w:r>
        <w:rPr/>
        <w:t>港元，</w:t>
      </w:r>
      <w:r>
        <w:rPr/>
        <w:t>USD</w:t>
      </w:r>
      <w:r>
        <w:rPr/>
        <w:t>转换另列研究假设；这并非外汇对冲承诺。人民币贬值可能提高美元收入换算，降低港币每股结果，也可能改变美元结算负担。投资者以人民币看港股收益还需交易货币兑换，不能仅给港币价格涨幅便称账户收益已确定，汇率敏感性应和经营敏感性分开。</w:t>
      </w:r>
    </w:p>
    <w:p>
      <w:pPr>
        <w:pStyle w:val="Heading2"/>
        <w:rPr/>
      </w:pPr>
      <w:r>
        <w:rPr>
          <w:color w:val="000000"/>
        </w:rPr>
        <w:t>十三 海外限制 数据安全与供应链</w:t>
      </w:r>
    </w:p>
    <w:p>
      <w:pPr>
        <w:pStyle w:val="Normal"/>
        <w:rPr/>
      </w:pPr>
      <w:r>
        <w:rPr/>
        <w:t>招股书明确公司及九家子公司于</w:t>
      </w:r>
      <w:r>
        <w:rPr/>
        <w:t>2025</w:t>
      </w:r>
      <w:r>
        <w:rPr/>
        <w:t>年一月进入美国</w:t>
      </w:r>
      <w:r>
        <w:rPr/>
        <w:t>BIS</w:t>
      </w:r>
      <w:r>
        <w:rPr/>
        <w:t>实体清单，限制在没有许可时获得部分受</w:t>
      </w:r>
      <w:r>
        <w:rPr/>
        <w:t>EAR</w:t>
      </w:r>
      <w:r>
        <w:rPr/>
        <w:t>管辖物项。公司称历史不依赖特定物项、通过境内云服务获得资源，并认为当时没有重大不利影响。该判断有边界，建立在限制不扩大等前提上。不能把公司说明当永久豁免，也不能把实体清单直接等同所有云服务已被禁止；研究要依据具体主体、技术和交易的实际限制。</w:t>
      </w:r>
    </w:p>
    <w:p>
      <w:pPr>
        <w:pStyle w:val="Normal"/>
        <w:rPr/>
      </w:pPr>
      <w:r>
        <w:rPr/>
        <w:t>国产算力适配是商业上的重要能力，可以降低对某些硬件路径的依赖，但性能、带宽、软件生态和规模利用率仍影响成本。公司称已在大量国产芯片集群推理并降低单位成本，这属于披露的工程进展，资产归属和资本义务不能从集群数量直接推算。模型只保留完整算力费用、预付与资本现金，而未给每片芯片编造采购价或把供给厂商所有资产加到智谱</w:t>
      </w:r>
      <w:r>
        <w:rPr/>
        <w:t>NAV</w:t>
      </w:r>
      <w:r>
        <w:rPr/>
        <w:t>。</w:t>
      </w:r>
    </w:p>
    <w:p>
      <w:pPr>
        <w:pStyle w:val="Normal"/>
        <w:rPr/>
      </w:pPr>
      <w:r>
        <w:rPr/>
        <w:t>高盛十月新闻提</w:t>
      </w:r>
      <w:r>
        <w:rPr/>
        <w:t>ZCode</w:t>
      </w:r>
      <w:r>
        <w:rPr/>
        <w:t>数据安全风波，截止本章已取得资料尚缺足以独立核验完整事件及监管结论的原件。因此本章不据新闻标题断言违法、泄露规模或股价下跌的单一原因。数据安全对企业采用当然重要，客户需要明确权限、存储、训练使用和审计机制。模型通过风险与收入确认敏感性反映潜在影响；只有确证的事件、客户损失或整改义务才能成为单独量化损失输入。</w:t>
      </w:r>
    </w:p>
    <w:p>
      <w:pPr>
        <w:pStyle w:val="Normal"/>
        <w:rPr/>
      </w:pPr>
      <w:r>
        <w:rPr/>
        <w:t>海外开发者付费扩大收入来源，也带来数据跨境、知识产权、内容限制与支付环境的要求。开源许可证和商业接口条款可能影响可使用场景及收费权，不能把所有外部使用视作公司可追索的销售。公司对安全评测和受控能力访问的披露可说明治理方向，不能保证完全消除误用。长期业务持续性需要模型能力、商业许可和客户信任共同积累，这些因素在风险评分中独立于技术榜单。</w:t>
      </w:r>
    </w:p>
    <w:p>
      <w:pPr>
        <w:pStyle w:val="Heading2"/>
        <w:rPr/>
      </w:pPr>
      <w:r>
        <w:rPr>
          <w:color w:val="000000"/>
        </w:rPr>
        <w:t>十四 半年日线 均线与位置分析</w:t>
      </w:r>
    </w:p>
    <w:p>
      <w:pPr>
        <w:pStyle w:val="Normal"/>
        <w:rPr/>
      </w:pPr>
      <w:r>
        <w:rPr/>
        <w:t>行情锁定</w:t>
      </w:r>
      <w:r>
        <w:rPr/>
        <w:t>2026</w:t>
      </w:r>
      <w:r>
        <w:rPr/>
        <w:t>年</w:t>
      </w:r>
      <w:r>
        <w:rPr/>
        <w:t>10</w:t>
      </w:r>
      <w:r>
        <w:rPr/>
        <w:t>月</w:t>
      </w:r>
      <w:r>
        <w:rPr/>
        <w:t>9</w:t>
      </w:r>
      <w:r>
        <w:rPr/>
        <w:t>日</w:t>
      </w:r>
      <w:r>
        <w:rPr/>
        <w:t>641.50</w:t>
      </w:r>
      <w:r>
        <w:rPr/>
        <w:t>港元，腾讯与新浪收盘一致，</w:t>
      </w:r>
      <w:r>
        <w:rPr/>
        <w:t>Yahoo</w:t>
      </w:r>
      <w:r>
        <w:rPr/>
        <w:t>与腾讯日线</w:t>
      </w:r>
      <w:r>
        <w:rPr/>
        <w:t>186</w:t>
      </w:r>
      <w:r>
        <w:rPr/>
        <w:t>个配对日价格一致。全部历史从一月八日上市到基准，只有</w:t>
      </w:r>
      <w:r>
        <w:rPr/>
        <w:t>186</w:t>
      </w:r>
      <w:r>
        <w:rPr/>
        <w:t>日、</w:t>
      </w:r>
      <w:r>
        <w:rPr/>
        <w:t>40</w:t>
      </w:r>
      <w:r>
        <w:rPr/>
        <w:t>周，</w:t>
      </w:r>
      <w:r>
        <w:rPr/>
        <w:t>250</w:t>
      </w:r>
      <w:r>
        <w:rPr/>
        <w:t>日线不存在。本章使用按基准名义价归一的复权</w:t>
      </w:r>
      <w:r>
        <w:rPr/>
        <w:t>OHLC</w:t>
      </w:r>
      <w:r>
        <w:rPr/>
        <w:t>，未发现拆股和派息事件，不补造长期线。成交量用股，逐日与独立来源核对；行情采集时间及来源保留，不能把研究以后价格混入基准分析。</w:t>
      </w:r>
    </w:p>
    <w:p>
      <w:pPr>
        <w:pStyle w:val="Normal"/>
        <w:rPr/>
      </w:pPr>
      <w:r>
        <w:rPr/>
        <w:t>20</w:t>
      </w:r>
      <w:r>
        <w:rPr/>
        <w:t>日均线</w:t>
      </w:r>
      <w:r>
        <w:rPr/>
        <w:t>687.85</w:t>
      </w:r>
      <w:r>
        <w:rPr/>
        <w:t>、</w:t>
      </w:r>
      <w:r>
        <w:rPr/>
        <w:t>60</w:t>
      </w:r>
      <w:r>
        <w:rPr/>
        <w:t>日</w:t>
      </w:r>
      <w:r>
        <w:rPr/>
        <w:t>957.025</w:t>
      </w:r>
      <w:r>
        <w:rPr/>
        <w:t>、</w:t>
      </w:r>
      <w:r>
        <w:rPr/>
        <w:t>120</w:t>
      </w:r>
      <w:r>
        <w:rPr/>
        <w:t>日</w:t>
      </w:r>
      <w:r>
        <w:rPr/>
        <w:t>1168.495833</w:t>
      </w:r>
      <w:r>
        <w:rPr/>
        <w:t>港元，现价分别低</w:t>
      </w:r>
      <w:r>
        <w:rPr/>
        <w:t>6.7384%</w:t>
      </w:r>
      <w:r>
        <w:rPr/>
        <w:t>、</w:t>
      </w:r>
      <w:r>
        <w:rPr/>
        <w:t>32.9694%</w:t>
      </w:r>
      <w:r>
        <w:rPr/>
        <w:t>、</w:t>
      </w:r>
      <w:r>
        <w:rPr/>
        <w:t>45.1004%</w:t>
      </w:r>
      <w:r>
        <w:rPr/>
        <w:t>。三条线五日斜率均负，约负</w:t>
      </w:r>
      <w:r>
        <w:rPr/>
        <w:t>9.1197%</w:t>
      </w:r>
      <w:r>
        <w:rPr/>
        <w:t>、负</w:t>
      </w:r>
      <w:r>
        <w:rPr/>
        <w:t>7.6832%</w:t>
      </w:r>
      <w:r>
        <w:rPr/>
        <w:t>、负</w:t>
      </w:r>
      <w:r>
        <w:rPr/>
        <w:t>0.8384%</w:t>
      </w:r>
      <w:r>
        <w:rPr/>
        <w:t>，说明中短期下降仍主导。</w:t>
      </w:r>
      <w:r>
        <w:rPr/>
        <w:t>20</w:t>
      </w:r>
      <w:r>
        <w:rPr/>
        <w:t>日线最近最容易触及，但站回一次只能表明近端压力缓和；必须看后续保持与均线斜率，再确认能否进入更长的修复。不能因一根反弹</w:t>
      </w:r>
      <w:r>
        <w:rPr/>
        <w:t>K</w:t>
      </w:r>
      <w:r>
        <w:rPr/>
        <w:t>线便宣称完整趋势反转。</w:t>
      </w:r>
    </w:p>
    <w:p>
      <w:pPr>
        <w:pStyle w:val="Normal"/>
        <w:rPr/>
      </w:pPr>
      <w:r>
        <w:rPr/>
        <w:t>近</w:t>
      </w:r>
      <w:r>
        <w:rPr/>
        <w:t>20</w:t>
      </w:r>
      <w:r>
        <w:rPr/>
        <w:t>日最低</w:t>
      </w:r>
      <w:r>
        <w:rPr/>
        <w:t>594</w:t>
      </w:r>
      <w:r>
        <w:rPr/>
        <w:t>、最高</w:t>
      </w:r>
      <w:r>
        <w:rPr/>
        <w:t>847.5</w:t>
      </w:r>
      <w:r>
        <w:rPr/>
        <w:t>港元，现价距观察支撑负</w:t>
      </w:r>
      <w:r>
        <w:rPr/>
        <w:t>7.4045%</w:t>
      </w:r>
      <w:r>
        <w:rPr/>
        <w:t>、距区间上沿正</w:t>
      </w:r>
      <w:r>
        <w:rPr/>
        <w:t>32.1122%</w:t>
      </w:r>
      <w:r>
        <w:rPr/>
        <w:t>；</w:t>
      </w:r>
      <w:r>
        <w:rPr/>
        <w:t>60</w:t>
      </w:r>
      <w:r>
        <w:rPr/>
        <w:t>日上沿</w:t>
      </w:r>
      <w:r>
        <w:rPr/>
        <w:t>1435</w:t>
      </w:r>
      <w:r>
        <w:rPr/>
        <w:t>距现价正</w:t>
      </w:r>
      <w:r>
        <w:rPr/>
        <w:t>123.6945%</w:t>
      </w:r>
      <w:r>
        <w:rPr/>
        <w:t>。这些是窗口极值，未经多次触碰筛选，不是保证有效的支撑阻力。</w:t>
      </w:r>
      <w:r>
        <w:rPr/>
        <w:t>594</w:t>
      </w:r>
      <w:r>
        <w:rPr/>
        <w:t>附近若失守并成交扩大，弱势路径得到进一步支持；若重回</w:t>
      </w:r>
      <w:r>
        <w:rPr/>
        <w:t>688</w:t>
      </w:r>
      <w:r>
        <w:rPr/>
        <w:t>及</w:t>
      </w:r>
      <w:r>
        <w:rPr/>
        <w:t>848</w:t>
      </w:r>
      <w:r>
        <w:rPr/>
        <w:t>附近但量与后续收盘不配合，仍可能只是下跌中的反弹，技术判断需要连续观察而非精确买卖点。</w:t>
      </w:r>
    </w:p>
    <w:p>
      <w:pPr>
        <w:pStyle w:val="Normal"/>
        <w:rPr/>
      </w:pPr>
      <w:r>
        <w:rPr/>
        <w:t>上市以来高</w:t>
      </w:r>
      <w:r>
        <w:rPr/>
        <w:t>2980</w:t>
      </w:r>
      <w:r>
        <w:rPr/>
        <w:t>、低约</w:t>
      </w:r>
      <w:r>
        <w:rPr/>
        <w:t>116.1</w:t>
      </w:r>
      <w:r>
        <w:rPr/>
        <w:t>港元，现价距高负</w:t>
      </w:r>
      <w:r>
        <w:rPr/>
        <w:t>78.4732%</w:t>
      </w:r>
      <w:r>
        <w:rPr/>
        <w:t>，窗口最大回撤约</w:t>
      </w:r>
      <w:r>
        <w:rPr/>
        <w:t>74.5021%</w:t>
      </w:r>
      <w:r>
        <w:rPr/>
        <w:t>。高点到现价跌幅与沿途最大峰谷回撤用不同端点，数值不必相同。由于不满一年，不能把它称完整</w:t>
      </w:r>
      <w:r>
        <w:rPr/>
        <w:t>52</w:t>
      </w:r>
      <w:r>
        <w:rPr/>
        <w:t>周年周期统计，更不能把</w:t>
      </w:r>
      <w:r>
        <w:rPr/>
        <w:t>2980</w:t>
      </w:r>
      <w:r>
        <w:rPr/>
        <w:t>当必然重返的价值锚。大幅下降可能包括早期稀缺估值、融资供给和经营预期变化，单凭图形无法分辨各因素权重，模型需回到财务。</w:t>
      </w:r>
    </w:p>
    <w:p>
      <w:pPr>
        <w:pStyle w:val="Heading2"/>
        <w:rPr/>
      </w:pPr>
      <w:r>
        <w:rPr>
          <w:color w:val="000000"/>
        </w:rPr>
        <w:t>十五 半年量能 相对强弱与辅助指标</w:t>
      </w:r>
    </w:p>
    <w:p>
      <w:pPr>
        <w:pStyle w:val="Normal"/>
        <w:rPr/>
      </w:pPr>
      <w:r>
        <w:rPr/>
        <w:t>基准日成交</w:t>
      </w:r>
      <w:r>
        <w:rPr/>
        <w:t>502.3731</w:t>
      </w:r>
      <w:r>
        <w:rPr/>
        <w:t>万股、成交额</w:t>
      </w:r>
      <w:r>
        <w:rPr/>
        <w:t>31.4457</w:t>
      </w:r>
      <w:r>
        <w:rPr/>
        <w:t>亿港元，前</w:t>
      </w:r>
      <w:r>
        <w:rPr/>
        <w:t>20</w:t>
      </w:r>
      <w:r>
        <w:rPr/>
        <w:t>日均量量比约</w:t>
      </w:r>
      <w:r>
        <w:rPr/>
        <w:t>0.7622</w:t>
      </w:r>
      <w:r>
        <w:rPr/>
        <w:t>。</w:t>
      </w:r>
      <w:r>
        <w:rPr/>
        <w:t>5</w:t>
      </w:r>
      <w:r>
        <w:rPr/>
        <w:t>日均量</w:t>
      </w:r>
      <w:r>
        <w:rPr/>
        <w:t>316.62334</w:t>
      </w:r>
      <w:r>
        <w:rPr/>
        <w:t>万股，</w:t>
      </w:r>
      <w:r>
        <w:rPr/>
        <w:t>20</w:t>
      </w:r>
      <w:r>
        <w:rPr/>
        <w:t>日</w:t>
      </w:r>
      <w:r>
        <w:rPr/>
        <w:t>648.22253</w:t>
      </w:r>
      <w:r>
        <w:rPr/>
        <w:t>万、</w:t>
      </w:r>
      <w:r>
        <w:rPr/>
        <w:t>60</w:t>
      </w:r>
      <w:r>
        <w:rPr/>
        <w:t>日</w:t>
      </w:r>
      <w:r>
        <w:rPr/>
        <w:t>669.059705</w:t>
      </w:r>
      <w:r>
        <w:rPr/>
        <w:t>万，近期均量低于中期。价跌后缩量可以代表卖压缓和，也可能代表买方兴趣不足，不能直接认定筹码被锁定。没有逐笔和持有人变化资料，本章不绘精确筹码分布，也不以缩量下跌断言机构或所谓主力吸筹。</w:t>
      </w:r>
    </w:p>
    <w:p>
      <w:pPr>
        <w:pStyle w:val="Normal"/>
        <w:rPr/>
      </w:pPr>
      <w:r>
        <w:rPr/>
        <w:t>近</w:t>
      </w:r>
      <w:r>
        <w:rPr/>
        <w:t>20</w:t>
      </w:r>
      <w:r>
        <w:rPr/>
        <w:t>日上涨七天、下跌十三天，上涨日成交</w:t>
      </w:r>
      <w:r>
        <w:rPr/>
        <w:t>5679.4672</w:t>
      </w:r>
      <w:r>
        <w:rPr/>
        <w:t>万股、下跌日</w:t>
      </w:r>
      <w:r>
        <w:rPr/>
        <w:t>7284.9834</w:t>
      </w:r>
      <w:r>
        <w:rPr/>
        <w:t>万股，比例</w:t>
      </w:r>
      <w:r>
        <w:rPr/>
        <w:t>0.7796</w:t>
      </w:r>
      <w:r>
        <w:rPr/>
        <w:t>。下跌天数更多且总量较高，支持市场供需偏弱的描述，但它不是主动买卖净额。每笔成交都有买卖双方，日涨跌分类只是价格与量的粗粒度关系。若后续突破时上涨日量连续高于下跌日、回踩量降低且价格保持，才会增加反转证据；本章未为这些尚未出现的条件提前加分。</w:t>
      </w:r>
    </w:p>
    <w:p>
      <w:pPr>
        <w:pStyle w:val="Normal"/>
        <w:rPr/>
      </w:pPr>
      <w:r>
        <w:rPr/>
        <w:t>20</w:t>
      </w:r>
      <w:r>
        <w:rPr/>
        <w:t>日股价回报负</w:t>
      </w:r>
      <w:r>
        <w:rPr/>
        <w:t>21.6728%</w:t>
      </w:r>
      <w:r>
        <w:rPr/>
        <w:t>、</w:t>
      </w:r>
      <w:r>
        <w:rPr/>
        <w:t>60</w:t>
      </w:r>
      <w:r>
        <w:rPr/>
        <w:t>日负</w:t>
      </w:r>
      <w:r>
        <w:rPr/>
        <w:t>58.5594%</w:t>
      </w:r>
      <w:r>
        <w:rPr/>
        <w:t>，相对恒生指数分别落后</w:t>
      </w:r>
      <w:r>
        <w:rPr/>
        <w:t>18.6949</w:t>
      </w:r>
      <w:r>
        <w:rPr/>
        <w:t>、</w:t>
      </w:r>
      <w:r>
        <w:rPr/>
        <w:t>55.3715</w:t>
      </w:r>
      <w:r>
        <w:rPr/>
        <w:t>个百分点，相对恒生科技落后</w:t>
      </w:r>
      <w:r>
        <w:rPr/>
        <w:t>18.6096</w:t>
      </w:r>
      <w:r>
        <w:rPr/>
        <w:t>、</w:t>
      </w:r>
      <w:r>
        <w:rPr/>
        <w:t>45.3914</w:t>
      </w:r>
      <w:r>
        <w:rPr/>
        <w:t>个百分点。这说明弱势不只是大盘下降。恒生科技只是相关科技粗基准，并非纯模型行业指数，不能把超额变化全部归因公司独立风险。半年分仍将相对表现作为量价证据，但不与均线下降和回撤分别重复奖励同一种趋势信息。</w:t>
      </w:r>
    </w:p>
    <w:p>
      <w:pPr>
        <w:pStyle w:val="Normal"/>
        <w:rPr/>
      </w:pPr>
      <w:r>
        <w:rPr/>
        <w:t>RSI14</w:t>
      </w:r>
      <w:r>
        <w:rPr/>
        <w:t>为</w:t>
      </w:r>
      <w:r>
        <w:rPr/>
        <w:t>37.4619</w:t>
      </w:r>
      <w:r>
        <w:rPr/>
        <w:t>，未达到典型极端超卖；</w:t>
      </w:r>
      <w:r>
        <w:rPr/>
        <w:t>MACD</w:t>
      </w:r>
      <w:r>
        <w:rPr/>
        <w:t>差离值负</w:t>
      </w:r>
      <w:r>
        <w:rPr/>
        <w:t>85.4961</w:t>
      </w:r>
      <w:r>
        <w:rPr/>
        <w:t>、信号负</w:t>
      </w:r>
      <w:r>
        <w:rPr/>
        <w:t>100.4224</w:t>
      </w:r>
      <w:r>
        <w:rPr/>
        <w:t>，双倍柱正</w:t>
      </w:r>
      <w:r>
        <w:rPr/>
        <w:t>29.8526</w:t>
      </w:r>
      <w:r>
        <w:rPr/>
        <w:t>，表示日线下跌动能较之前缓和，零轴下修复尚未脱离弱势。</w:t>
      </w:r>
      <w:r>
        <w:rPr/>
        <w:t>ATR14</w:t>
      </w:r>
      <w:r>
        <w:rPr/>
        <w:t>约</w:t>
      </w:r>
      <w:r>
        <w:rPr/>
        <w:t>72.8845</w:t>
      </w:r>
      <w:r>
        <w:rPr/>
        <w:t>港元，占现价</w:t>
      </w:r>
      <w:r>
        <w:rPr/>
        <w:t>11.3616%</w:t>
      </w:r>
      <w:r>
        <w:rPr/>
        <w:t>，显示单日波动尺度很高。</w:t>
      </w:r>
      <w:r>
        <w:rPr/>
        <w:t>ATR</w:t>
      </w:r>
      <w:r>
        <w:rPr/>
        <w:t>不是未来必到范围，更不是止损保证，缺口和事件波动可超过它；短期计划需容纳波动，并避免把动能恢复等同盈利确定。</w:t>
      </w:r>
    </w:p>
    <w:p>
      <w:pPr>
        <w:pStyle w:val="Heading2"/>
        <w:rPr/>
      </w:pPr>
      <w:r>
        <w:rPr>
          <w:color w:val="000000"/>
        </w:rPr>
        <w:t>十六 周线验证与半年技术失效条件</w:t>
      </w:r>
    </w:p>
    <w:p>
      <w:pPr>
        <w:pStyle w:val="Normal"/>
        <w:rPr/>
      </w:pPr>
      <w:r>
        <w:rPr/>
        <w:t>40</w:t>
      </w:r>
      <w:r>
        <w:rPr/>
        <w:t>周历史仅能计算</w:t>
      </w:r>
      <w:r>
        <w:rPr/>
        <w:t>20</w:t>
      </w:r>
      <w:r>
        <w:rPr/>
        <w:t>周均线</w:t>
      </w:r>
      <w:r>
        <w:rPr/>
        <w:t>1208.9</w:t>
      </w:r>
      <w:r>
        <w:rPr/>
        <w:t>港元，现价低</w:t>
      </w:r>
      <w:r>
        <w:rPr/>
        <w:t>46.9352%</w:t>
      </w:r>
      <w:r>
        <w:rPr/>
        <w:t>，该线五周斜率负</w:t>
      </w:r>
      <w:r>
        <w:rPr/>
        <w:t>6.1103%</w:t>
      </w:r>
      <w:r>
        <w:rPr/>
        <w:t>。周</w:t>
      </w:r>
      <w:r>
        <w:rPr/>
        <w:t>MACD</w:t>
      </w:r>
      <w:r>
        <w:rPr/>
        <w:t>双倍柱负</w:t>
      </w:r>
      <w:r>
        <w:rPr/>
        <w:t>288.5382</w:t>
      </w:r>
      <w:r>
        <w:rPr/>
        <w:t>，仍与日线短动能修复形成分歧。长线趋势通常比日线滞后，但对半年观察有意义：日线反弹若不能改变周收盘结构，市场可能仍在较大的估值下修过程。本章不补</w:t>
      </w:r>
      <w:r>
        <w:rPr/>
        <w:t>60</w:t>
      </w:r>
      <w:r>
        <w:rPr/>
        <w:t>周、</w:t>
      </w:r>
      <w:r>
        <w:rPr/>
        <w:t>120</w:t>
      </w:r>
      <w:r>
        <w:rPr/>
        <w:t>周或</w:t>
      </w:r>
      <w:r>
        <w:rPr/>
        <w:t>250</w:t>
      </w:r>
      <w:r>
        <w:rPr/>
        <w:t>周均线，也不把短上市历史的周指标当完整行业循环。</w:t>
      </w:r>
    </w:p>
    <w:p>
      <w:pPr>
        <w:pStyle w:val="Normal"/>
        <w:rPr/>
      </w:pPr>
      <w:r>
        <w:rPr/>
        <w:t>20</w:t>
      </w:r>
      <w:r>
        <w:rPr/>
        <w:t>周上涨六周、下跌十四周，上涨成交</w:t>
      </w:r>
      <w:r>
        <w:rPr/>
        <w:t>1.47002731</w:t>
      </w:r>
      <w:r>
        <w:rPr/>
        <w:t>亿股、下跌</w:t>
      </w:r>
      <w:r>
        <w:rPr/>
        <w:t>3.82960955</w:t>
      </w:r>
      <w:r>
        <w:rPr/>
        <w:t>亿股，比例</w:t>
      </w:r>
      <w:r>
        <w:rPr/>
        <w:t>0.3839</w:t>
      </w:r>
      <w:r>
        <w:rPr/>
        <w:t>，周级供需弱于日级。基准周成交比前</w:t>
      </w:r>
      <w:r>
        <w:rPr/>
        <w:t>20</w:t>
      </w:r>
      <w:r>
        <w:rPr/>
        <w:t>周均量约</w:t>
      </w:r>
      <w:r>
        <w:rPr/>
        <w:t>0.6080</w:t>
      </w:r>
      <w:r>
        <w:rPr/>
        <w:t>，近期周缩量仍不足以单独确认底部。需要观察放量上行后能否维持更高周低点，以及重大公告后成交是否体现持续承接。技术状态是证据快照，发布新模型后快速冲高而次周回落的形态应降低短期确信度。</w:t>
      </w:r>
    </w:p>
    <w:p>
      <w:pPr>
        <w:pStyle w:val="Normal"/>
        <w:rPr/>
      </w:pPr>
      <w:r>
        <w:rPr/>
        <w:t>较有利的观察路径是</w:t>
      </w:r>
      <w:r>
        <w:rPr/>
        <w:t>594</w:t>
      </w:r>
      <w:r>
        <w:rPr/>
        <w:t>附近保留、价格逐步回到</w:t>
      </w:r>
      <w:r>
        <w:rPr/>
        <w:t>20</w:t>
      </w:r>
      <w:r>
        <w:rPr/>
        <w:t>日线、再挑战</w:t>
      </w:r>
      <w:r>
        <w:rPr/>
        <w:t>848</w:t>
      </w:r>
      <w:r>
        <w:rPr/>
        <w:t>区间上沿，并出现相对指数转强与适当量能。后续若</w:t>
      </w:r>
      <w:r>
        <w:rPr/>
        <w:t>60</w:t>
      </w:r>
      <w:r>
        <w:rPr/>
        <w:t>日线止降并保持更高低点，半年技术分可以上调。失效条件则包括</w:t>
      </w:r>
      <w:r>
        <w:rPr/>
        <w:t>594</w:t>
      </w:r>
      <w:r>
        <w:rPr/>
        <w:t>跌破后未迅速修复、反弹反复受制</w:t>
      </w:r>
      <w:r>
        <w:rPr/>
        <w:t>20</w:t>
      </w:r>
      <w:r>
        <w:rPr/>
        <w:t>日线、下跌日量继续占优或业绩后跳空走弱。条件不等于交易指令，价格目标与技术观察位用途不同，不宜相互替代。</w:t>
      </w:r>
    </w:p>
    <w:p>
      <w:pPr>
        <w:pStyle w:val="Normal"/>
        <w:rPr/>
      </w:pPr>
      <w:r>
        <w:rPr/>
        <w:t>新股高波动还受流通结构、配股持有人、解禁和消息交易影响。公开日线无法告诉哪些成交来自对冲债、融资股销售或长期基金，也无法判断精确资金意图。单日高成交未必都是看多，单日低成交未必无卖压。模型半年收益仍基于经营与资本估值，技术只帮助判断市场是否接受这些预期；若价格验证失败，应降低时间敏感的推荐程度，而不能因为长期故事仍存在便忽略半年风险。</w:t>
      </w:r>
    </w:p>
    <w:p>
      <w:pPr>
        <w:pStyle w:val="Heading2"/>
        <w:rPr/>
      </w:pPr>
      <w:r>
        <w:rPr>
          <w:color w:val="000000"/>
        </w:rPr>
        <w:t>十七 估值框架与四期限参数</w:t>
      </w:r>
    </w:p>
    <w:p>
      <w:pPr>
        <w:pStyle w:val="Normal"/>
        <w:rPr/>
      </w:pPr>
      <w:r>
        <w:rPr/>
        <w:t>成熟盈利公司的</w:t>
      </w:r>
      <w:r>
        <w:rPr/>
        <w:t>PE</w:t>
      </w:r>
      <w:r>
        <w:rPr/>
        <w:t>尚不适用于智谱当前完整亏损阶段。本模型云</w:t>
      </w:r>
      <w:r>
        <w:rPr/>
        <w:t>ARR</w:t>
      </w:r>
      <w:r>
        <w:rPr/>
        <w:t>以美元研究年率输入，乘确认系数转正常收入，再按美元人民币参数换算；另加私有化收入，随后扣推理毛利内成本与完整研发销售行政。集团经营</w:t>
      </w:r>
      <w:r>
        <w:rPr/>
        <w:t>EV</w:t>
      </w:r>
      <w:r>
        <w:rPr/>
        <w:t>按正常销售倍数，财资与联营只在资本桥加可实现本金。目标使用下一阶段正常年率，不能误称当年已报告收入，更不能把年率和全年收入直接相加。</w:t>
      </w:r>
    </w:p>
    <w:p>
      <w:pPr>
        <w:pStyle w:val="Normal"/>
        <w:rPr/>
      </w:pPr>
      <w:r>
        <w:rPr/>
        <w:t>年底基准云</w:t>
      </w:r>
      <w:r>
        <w:rPr/>
        <w:t>ARR26</w:t>
      </w:r>
      <w:r>
        <w:rPr/>
        <w:t>亿美元、确认</w:t>
      </w:r>
      <w:r>
        <w:rPr/>
        <w:t>72%</w:t>
      </w:r>
      <w:r>
        <w:rPr/>
        <w:t>，云正常收入</w:t>
      </w:r>
      <w:r>
        <w:rPr/>
        <w:t>125.64864</w:t>
      </w:r>
      <w:r>
        <w:rPr/>
        <w:t>亿元，加私有化</w:t>
      </w:r>
      <w:r>
        <w:rPr/>
        <w:t>5</w:t>
      </w:r>
      <w:r>
        <w:rPr/>
        <w:t>亿元，总</w:t>
      </w:r>
      <w:r>
        <w:rPr/>
        <w:t>130.64864</w:t>
      </w:r>
      <w:r>
        <w:rPr/>
        <w:t>亿元；云毛利</w:t>
      </w:r>
      <w:r>
        <w:rPr/>
        <w:t>32%</w:t>
      </w:r>
      <w:r>
        <w:rPr/>
        <w:t>、私有化</w:t>
      </w:r>
      <w:r>
        <w:rPr/>
        <w:t>42%</w:t>
      </w:r>
      <w:r>
        <w:rPr/>
        <w:t>，完整研发</w:t>
      </w:r>
      <w:r>
        <w:rPr/>
        <w:t>74</w:t>
      </w:r>
      <w:r>
        <w:rPr/>
        <w:t>亿元，销售行政与信用准备另扣。经营亏</w:t>
      </w:r>
      <w:r>
        <w:rPr/>
        <w:t>45.4924352</w:t>
      </w:r>
      <w:r>
        <w:rPr/>
        <w:t>亿元，正常普通股亏</w:t>
      </w:r>
      <w:r>
        <w:rPr/>
        <w:t>46.9924352</w:t>
      </w:r>
      <w:r>
        <w:rPr/>
        <w:t>亿元，</w:t>
      </w:r>
      <w:r>
        <w:rPr/>
        <w:t>22</w:t>
      </w:r>
      <w:r>
        <w:rPr/>
        <w:t>倍销售经营</w:t>
      </w:r>
      <w:r>
        <w:rPr/>
        <w:t>EV2874.27008</w:t>
      </w:r>
      <w:r>
        <w:rPr/>
        <w:t>亿元。因此</w:t>
      </w:r>
      <w:r>
        <w:rPr/>
        <w:t>762.66</w:t>
      </w:r>
      <w:r>
        <w:rPr/>
        <w:t>港元不是盈利便宜的结论，而是高成长正常收入和较高估值的组合，确认不足或倍数下降都会显著改变价格。</w:t>
      </w:r>
    </w:p>
    <w:p>
      <w:pPr>
        <w:pStyle w:val="Normal"/>
        <w:rPr/>
      </w:pPr>
      <w:r>
        <w:rPr/>
        <w:t>半年基准云</w:t>
      </w:r>
      <w:r>
        <w:rPr/>
        <w:t>ARR36</w:t>
      </w:r>
      <w:r>
        <w:rPr/>
        <w:t>亿美元、确认</w:t>
      </w:r>
      <w:r>
        <w:rPr/>
        <w:t>79%</w:t>
      </w:r>
      <w:r>
        <w:rPr/>
        <w:t>，正常总收入</w:t>
      </w:r>
      <w:r>
        <w:rPr/>
        <w:t>197.88928</w:t>
      </w:r>
      <w:r>
        <w:rPr/>
        <w:t>亿元，云毛利</w:t>
      </w:r>
      <w:r>
        <w:rPr/>
        <w:t>38%</w:t>
      </w:r>
      <w:r>
        <w:rPr/>
        <w:t>，完整研发</w:t>
      </w:r>
      <w:r>
        <w:rPr/>
        <w:t>92</w:t>
      </w:r>
      <w:r>
        <w:rPr/>
        <w:t>亿元，</w:t>
      </w:r>
      <w:r>
        <w:rPr/>
        <w:t>20</w:t>
      </w:r>
      <w:r>
        <w:rPr/>
        <w:t>倍销售。全年现金代理负</w:t>
      </w:r>
      <w:r>
        <w:rPr/>
        <w:t>107.9120736</w:t>
      </w:r>
      <w:r>
        <w:rPr/>
        <w:t>亿元，假设积累一年、另留经营储备与资本准备，目标</w:t>
      </w:r>
      <w:r>
        <w:rPr/>
        <w:t>1004.58</w:t>
      </w:r>
      <w:r>
        <w:rPr/>
        <w:t>港元。模型不是预测未来半年必发布</w:t>
      </w:r>
      <w:r>
        <w:rPr/>
        <w:t>197.9</w:t>
      </w:r>
      <w:r>
        <w:rPr/>
        <w:t>亿元财报收入，而是估值时的正常下一年规模。基准参数比当前上半年大很多，需要收费与供给真正兑现，单靠注册用户增长不能验证。</w:t>
      </w:r>
    </w:p>
    <w:p>
      <w:pPr>
        <w:pStyle w:val="Normal"/>
        <w:rPr/>
      </w:pPr>
      <w:r>
        <w:rPr/>
        <w:t>一年基准云</w:t>
      </w:r>
      <w:r>
        <w:rPr/>
        <w:t>ARR48</w:t>
      </w:r>
      <w:r>
        <w:rPr/>
        <w:t>亿美元、确认</w:t>
      </w:r>
      <w:r>
        <w:rPr/>
        <w:t>85%</w:t>
      </w:r>
      <w:r>
        <w:rPr/>
        <w:t>，正常总收入</w:t>
      </w:r>
      <w:r>
        <w:rPr/>
        <w:t>283.84960</w:t>
      </w:r>
      <w:r>
        <w:rPr/>
        <w:t>亿元，云毛利</w:t>
      </w:r>
      <w:r>
        <w:rPr/>
        <w:t>43%</w:t>
      </w:r>
      <w:r>
        <w:rPr/>
        <w:t>，完整研发</w:t>
      </w:r>
      <w:r>
        <w:rPr/>
        <w:t>116</w:t>
      </w:r>
      <w:r>
        <w:rPr/>
        <w:t>亿元，</w:t>
      </w:r>
      <w:r>
        <w:rPr/>
        <w:t>18</w:t>
      </w:r>
      <w:r>
        <w:rPr/>
        <w:t>倍销售。完整普通股利润仍负</w:t>
      </w:r>
      <w:r>
        <w:rPr/>
        <w:t>21.344672</w:t>
      </w:r>
      <w:r>
        <w:rPr/>
        <w:t>亿元，资本桥选择债转换新增</w:t>
      </w:r>
      <w:r>
        <w:rPr/>
        <w:t>2636.5026</w:t>
      </w:r>
      <w:r>
        <w:rPr/>
        <w:t>万股，目标总股约</w:t>
      </w:r>
      <w:r>
        <w:rPr/>
        <w:t>5.15353116</w:t>
      </w:r>
      <w:r>
        <w:rPr/>
        <w:t>亿。目标</w:t>
      </w:r>
      <w:r>
        <w:rPr/>
        <w:t>1236.29</w:t>
      </w:r>
      <w:r>
        <w:rPr/>
        <w:t>港元的高空间仍主要来自增长而非成熟利润；若合法转换窗口未有足够股价或持有人未转换，应改现金兑付，不能继续享受去债又没有稀释的好处。</w:t>
      </w:r>
    </w:p>
    <w:p>
      <w:pPr>
        <w:pStyle w:val="Heading2"/>
        <w:rPr/>
      </w:pPr>
      <w:r>
        <w:rPr>
          <w:color w:val="000000"/>
        </w:rPr>
        <w:t>十八 三年 五年与十年持续性</w:t>
      </w:r>
    </w:p>
    <w:p>
      <w:pPr>
        <w:pStyle w:val="Normal"/>
        <w:rPr/>
      </w:pPr>
      <w:r>
        <w:rPr/>
        <w:t>三年基准云</w:t>
      </w:r>
      <w:r>
        <w:rPr/>
        <w:t>ARR100</w:t>
      </w:r>
      <w:r>
        <w:rPr/>
        <w:t>亿美元、确认</w:t>
      </w:r>
      <w:r>
        <w:rPr/>
        <w:t>92%</w:t>
      </w:r>
      <w:r>
        <w:rPr/>
        <w:t>，正常总收入</w:t>
      </w:r>
      <w:r>
        <w:rPr/>
        <w:t>645.504</w:t>
      </w:r>
      <w:r>
        <w:rPr/>
        <w:t>亿元，云毛利</w:t>
      </w:r>
      <w:r>
        <w:rPr/>
        <w:t>55%</w:t>
      </w:r>
      <w:r>
        <w:rPr/>
        <w:t>，完整研发</w:t>
      </w:r>
      <w:r>
        <w:rPr/>
        <w:t>215</w:t>
      </w:r>
      <w:r>
        <w:rPr/>
        <w:t>亿元，销售</w:t>
      </w:r>
      <w:r>
        <w:rPr/>
        <w:t>35</w:t>
      </w:r>
      <w:r>
        <w:rPr/>
        <w:t>亿元、行政</w:t>
      </w:r>
      <w:r>
        <w:rPr/>
        <w:t>20</w:t>
      </w:r>
      <w:r>
        <w:rPr/>
        <w:t>亿元及信用准备。经营净利润</w:t>
      </w:r>
      <w:r>
        <w:rPr/>
        <w:t>67.918304</w:t>
      </w:r>
      <w:r>
        <w:rPr/>
        <w:t>亿元，普通股</w:t>
      </w:r>
      <w:r>
        <w:rPr/>
        <w:t>65.73912096</w:t>
      </w:r>
      <w:r>
        <w:rPr/>
        <w:t>亿元，</w:t>
      </w:r>
      <w:r>
        <w:rPr/>
        <w:t>11</w:t>
      </w:r>
      <w:r>
        <w:rPr/>
        <w:t>倍销售经营价值</w:t>
      </w:r>
      <w:r>
        <w:rPr/>
        <w:t>7100.544</w:t>
      </w:r>
      <w:r>
        <w:rPr/>
        <w:t>亿元，对应经营隐含</w:t>
      </w:r>
      <w:r>
        <w:rPr/>
        <w:t>PE104.5</w:t>
      </w:r>
      <w:r>
        <w:rPr/>
        <w:t>。目标</w:t>
      </w:r>
      <w:r>
        <w:rPr/>
        <w:t>1633.31</w:t>
      </w:r>
      <w:r>
        <w:rPr/>
        <w:t>港元仍依赖公司持续被市场视作高成长能力平台，高利润估值没有因为相对销售倍数下降便消失。</w:t>
      </w:r>
    </w:p>
    <w:p>
      <w:pPr>
        <w:pStyle w:val="Normal"/>
        <w:rPr/>
      </w:pPr>
      <w:r>
        <w:rPr/>
        <w:t>三年基准资本现金</w:t>
      </w:r>
      <w:r>
        <w:rPr/>
        <w:t>130</w:t>
      </w:r>
      <w:r>
        <w:rPr/>
        <w:t>亿元、营运资本</w:t>
      </w:r>
      <w:r>
        <w:rPr/>
        <w:t>60</w:t>
      </w:r>
      <w:r>
        <w:rPr/>
        <w:t>亿元，正常年度现金代理负</w:t>
      </w:r>
      <w:r>
        <w:rPr/>
        <w:t>96.881696</w:t>
      </w:r>
      <w:r>
        <w:rPr/>
        <w:t>亿元，指定新股融资</w:t>
      </w:r>
      <w:r>
        <w:rPr/>
        <w:t>50</w:t>
      </w:r>
      <w:r>
        <w:rPr/>
        <w:t>亿元、发行价</w:t>
      </w:r>
      <w:r>
        <w:rPr/>
        <w:t>850</w:t>
      </w:r>
      <w:r>
        <w:rPr/>
        <w:t>港元，新增约</w:t>
      </w:r>
      <w:r>
        <w:rPr/>
        <w:t>687.2941</w:t>
      </w:r>
      <w:r>
        <w:rPr/>
        <w:t>万股。当前已筹资源能覆盖模型部分投入，不能据此说现金永远充足。若资本建设更快、预付无法回收或毛利不及</w:t>
      </w:r>
      <w:r>
        <w:rPr/>
        <w:t>55%</w:t>
      </w:r>
      <w:r>
        <w:rPr/>
        <w:t>，所需最低融资将自动提高，股数增多后同一经营价值分到每股更少，三年推荐应随现金事实一起调整。</w:t>
      </w:r>
    </w:p>
    <w:p>
      <w:pPr>
        <w:pStyle w:val="Normal"/>
        <w:rPr/>
      </w:pPr>
      <w:r>
        <w:rPr/>
        <w:t>五年基准云</w:t>
      </w:r>
      <w:r>
        <w:rPr/>
        <w:t>ARR140</w:t>
      </w:r>
      <w:r>
        <w:rPr/>
        <w:t>亿美元、确认</w:t>
      </w:r>
      <w:r>
        <w:rPr/>
        <w:t>94%</w:t>
      </w:r>
      <w:r>
        <w:rPr/>
        <w:t>，总收入</w:t>
      </w:r>
      <w:r>
        <w:rPr/>
        <w:t>923.2992</w:t>
      </w:r>
      <w:r>
        <w:rPr/>
        <w:t>亿元，云毛利</w:t>
      </w:r>
      <w:r>
        <w:rPr/>
        <w:t>61%</w:t>
      </w:r>
      <w:r>
        <w:rPr/>
        <w:t>，研发</w:t>
      </w:r>
      <w:r>
        <w:rPr/>
        <w:t>305</w:t>
      </w:r>
      <w:r>
        <w:rPr/>
        <w:t>亿元，经营净利润</w:t>
      </w:r>
      <w:r>
        <w:rPr/>
        <w:t>137.11425984</w:t>
      </w:r>
      <w:r>
        <w:rPr/>
        <w:t>亿元。</w:t>
      </w:r>
      <w:r>
        <w:rPr/>
        <w:t>8</w:t>
      </w:r>
      <w:r>
        <w:rPr/>
        <w:t>倍销售经营价值</w:t>
      </w:r>
      <w:r>
        <w:rPr/>
        <w:t>7386.3936</w:t>
      </w:r>
      <w:r>
        <w:rPr/>
        <w:t>亿元，隐含经营</w:t>
      </w:r>
      <w:r>
        <w:rPr/>
        <w:t>PE</w:t>
      </w:r>
      <w:r>
        <w:rPr/>
        <w:t>约</w:t>
      </w:r>
      <w:r>
        <w:rPr/>
        <w:t>53.9</w:t>
      </w:r>
      <w:r>
        <w:rPr/>
        <w:t>，仍不是低估值成熟软件。年度现金代理负</w:t>
      </w:r>
      <w:r>
        <w:rPr/>
        <w:t>77.68574016</w:t>
      </w:r>
      <w:r>
        <w:rPr/>
        <w:t>亿元、指定融资</w:t>
      </w:r>
      <w:r>
        <w:rPr/>
        <w:t>100</w:t>
      </w:r>
      <w:r>
        <w:rPr/>
        <w:t>亿元，总股约</w:t>
      </w:r>
      <w:r>
        <w:rPr/>
        <w:t>5.36252063</w:t>
      </w:r>
      <w:r>
        <w:rPr/>
        <w:t>亿，目标</w:t>
      </w:r>
      <w:r>
        <w:rPr/>
        <w:t>1653.18</w:t>
      </w:r>
      <w:r>
        <w:rPr/>
        <w:t>港元。价格比三年只略提高，说明增长、估值收敛和资本摊薄可以互相抵消。</w:t>
      </w:r>
    </w:p>
    <w:p>
      <w:pPr>
        <w:pStyle w:val="Normal"/>
        <w:rPr/>
      </w:pPr>
      <w:r>
        <w:rPr/>
        <w:t>十年可持续性需要公司形成可重复收费的任务平台、可控算力与足够自我融资能力。它可能成为中国及海外开发者的重要基础模型供应商，也可能被开源同业与大云渠道压成低毛利服务。不能以现有短历史推导十年收入精确数；本章观察长期经营路径：能力持续升级、客户工作流稳定、资本支出与现金产生匹配、股权扩张放慢。若这些未成立，五年乐观价格不应被继续顺延十年。</w:t>
      </w:r>
    </w:p>
    <w:p>
      <w:pPr>
        <w:pStyle w:val="Heading2"/>
        <w:rPr/>
      </w:pPr>
      <w:r>
        <w:rPr>
          <w:color w:val="000000"/>
        </w:rPr>
        <w:t>十九 悲观乐观边界与融资失败路径</w:t>
      </w:r>
    </w:p>
    <w:p>
      <w:pPr>
        <w:pStyle w:val="Normal"/>
        <w:rPr/>
      </w:pPr>
      <w:r>
        <w:rPr/>
        <w:t>年底悲观</w:t>
      </w:r>
      <w:r>
        <w:rPr/>
        <w:t>154.78</w:t>
      </w:r>
      <w:r>
        <w:rPr/>
        <w:t>、基准</w:t>
      </w:r>
      <w:r>
        <w:rPr/>
        <w:t>762.66</w:t>
      </w:r>
      <w:r>
        <w:rPr/>
        <w:t>、乐观</w:t>
      </w:r>
      <w:r>
        <w:rPr/>
        <w:t>1507.38</w:t>
      </w:r>
      <w:r>
        <w:rPr/>
        <w:t>港元，相对基准收盘分别负</w:t>
      </w:r>
      <w:r>
        <w:rPr/>
        <w:t>75.8722%</w:t>
      </w:r>
      <w:r>
        <w:rPr/>
        <w:t>、正</w:t>
      </w:r>
      <w:r>
        <w:rPr/>
        <w:t>18.8870%</w:t>
      </w:r>
      <w:r>
        <w:rPr/>
        <w:t>、正</w:t>
      </w:r>
      <w:r>
        <w:rPr/>
        <w:t>134.9774%</w:t>
      </w:r>
      <w:r>
        <w:rPr/>
        <w:t>。悲观</w:t>
      </w:r>
      <w:r>
        <w:rPr/>
        <w:t>ARR12</w:t>
      </w:r>
      <w:r>
        <w:rPr/>
        <w:t>亿美元、确认</w:t>
      </w:r>
      <w:r>
        <w:rPr/>
        <w:t>50%</w:t>
      </w:r>
      <w:r>
        <w:rPr/>
        <w:t>、云毛利</w:t>
      </w:r>
      <w:r>
        <w:rPr/>
        <w:t>18%</w:t>
      </w:r>
      <w:r>
        <w:rPr/>
        <w:t>及</w:t>
      </w:r>
      <w:r>
        <w:rPr/>
        <w:t>8</w:t>
      </w:r>
      <w:r>
        <w:rPr/>
        <w:t>倍销售，乐观</w:t>
      </w:r>
      <w:r>
        <w:rPr/>
        <w:t>35</w:t>
      </w:r>
      <w:r>
        <w:rPr/>
        <w:t>亿美元、确认</w:t>
      </w:r>
      <w:r>
        <w:rPr/>
        <w:t>82%</w:t>
      </w:r>
      <w:r>
        <w:rPr/>
        <w:t>、毛利</w:t>
      </w:r>
      <w:r>
        <w:rPr/>
        <w:t>42%</w:t>
      </w:r>
      <w:r>
        <w:rPr/>
        <w:t>及</w:t>
      </w:r>
      <w:r>
        <w:rPr/>
        <w:t>30</w:t>
      </w:r>
      <w:r>
        <w:rPr/>
        <w:t>倍销售。年底时间短却区间很宽，反映当前价格对年率确认和估值极敏感，不表示本章认为如此大变动必发生。</w:t>
      </w:r>
      <w:r>
        <w:rPr/>
        <w:t>25%</w:t>
      </w:r>
      <w:r>
        <w:rPr/>
        <w:t>等权重只是决策假设，应根据新证据修订。</w:t>
      </w:r>
    </w:p>
    <w:p>
      <w:pPr>
        <w:pStyle w:val="Normal"/>
        <w:rPr/>
      </w:pPr>
      <w:r>
        <w:rPr/>
        <w:t>半年悲观</w:t>
      </w:r>
      <w:r>
        <w:rPr/>
        <w:t>119.16</w:t>
      </w:r>
      <w:r>
        <w:rPr/>
        <w:t>、乐观</w:t>
      </w:r>
      <w:r>
        <w:rPr/>
        <w:t>2092.54</w:t>
      </w:r>
      <w:r>
        <w:rPr/>
        <w:t>港元，一年悲观</w:t>
      </w:r>
      <w:r>
        <w:rPr/>
        <w:t>78.35</w:t>
      </w:r>
      <w:r>
        <w:rPr/>
        <w:t>、乐观</w:t>
      </w:r>
      <w:r>
        <w:rPr/>
        <w:t>2708.51</w:t>
      </w:r>
      <w:r>
        <w:rPr/>
        <w:t>港元。乐观即使出现微薄经营盈利，销售倍数对应利润估值仍很高，不能用转正两个字抵消风险。悲观现金偿债后，公司可能保留资源但经营价值显著下降。宏观利率、模型竞争和股市情绪可同时改变倍数，这些目标不是精确波动预测，也不是损失上限；未来若融资和持续经营条件失败，普通股还可更低。</w:t>
      </w:r>
    </w:p>
    <w:p>
      <w:pPr>
        <w:pStyle w:val="Normal"/>
        <w:rPr/>
      </w:pPr>
      <w:r>
        <w:rPr/>
        <w:t>三年悲观</w:t>
      </w:r>
      <w:r>
        <w:rPr/>
        <w:t>12.79</w:t>
      </w:r>
      <w:r>
        <w:rPr/>
        <w:t>、乐观</w:t>
      </w:r>
      <w:r>
        <w:rPr/>
        <w:t>5088.76</w:t>
      </w:r>
      <w:r>
        <w:rPr/>
        <w:t>，五年悲观</w:t>
      </w:r>
      <w:r>
        <w:rPr/>
        <w:t>2.43</w:t>
      </w:r>
      <w:r>
        <w:rPr/>
        <w:t>、乐观</w:t>
      </w:r>
      <w:r>
        <w:rPr/>
        <w:t>6516.84</w:t>
      </w:r>
      <w:r>
        <w:rPr/>
        <w:t>港元。五年悲观资金需求约</w:t>
      </w:r>
      <w:r>
        <w:rPr/>
        <w:t>339.2636729</w:t>
      </w:r>
      <w:r>
        <w:rPr/>
        <w:t>亿元，其中超过指定融资的部分是模型自动最低补足，目标总股接近</w:t>
      </w:r>
      <w:r>
        <w:rPr/>
        <w:t>8.87983765</w:t>
      </w:r>
      <w:r>
        <w:rPr/>
        <w:t>亿。它表达融资成功下的稀释情景，而非保证投资者能筹到钱。融资失败无法简单把负现金保留并给经营</w:t>
      </w:r>
      <w:r>
        <w:rPr/>
        <w:t>EV</w:t>
      </w:r>
      <w:r>
        <w:rPr/>
        <w:t>，可能发生资产处置、债务重组或股东权益接近零，需要单独识别尾部路径。</w:t>
      </w:r>
    </w:p>
    <w:p>
      <w:pPr>
        <w:pStyle w:val="Normal"/>
        <w:rPr/>
      </w:pPr>
      <w:r>
        <w:rPr/>
        <w:t>乐观五年云</w:t>
      </w:r>
      <w:r>
        <w:rPr/>
        <w:t>ARR360</w:t>
      </w:r>
      <w:r>
        <w:rPr/>
        <w:t>亿美元、确认</w:t>
      </w:r>
      <w:r>
        <w:rPr/>
        <w:t>97%</w:t>
      </w:r>
      <w:r>
        <w:rPr/>
        <w:t>、云毛利</w:t>
      </w:r>
      <w:r>
        <w:rPr/>
        <w:t>69%</w:t>
      </w:r>
      <w:r>
        <w:rPr/>
        <w:t>与</w:t>
      </w:r>
      <w:r>
        <w:rPr/>
        <w:t>12</w:t>
      </w:r>
      <w:r>
        <w:rPr/>
        <w:t>倍销售，要求全球付费需求、竞争地位和工程效率同时强劲，现金代理才转正。收入体量远高于现有，不能因行业市场很大就认为公司必然取得该份额。乐观值用来显示参数上限的敏感性，不当作最可能点。基准与乐观之间最大的差异在每单位任务可留存利润及资本效率，验证这些比选择最高目标更有实际价值。</w:t>
      </w:r>
    </w:p>
    <w:p>
      <w:pPr>
        <w:pStyle w:val="Heading2"/>
        <w:rPr/>
      </w:pPr>
      <w:r>
        <w:rPr>
          <w:color w:val="000000"/>
        </w:rPr>
        <w:t>二十 外资目标价 证据可信度与反证清单</w:t>
      </w:r>
    </w:p>
    <w:p>
      <w:pPr>
        <w:pStyle w:val="Normal"/>
        <w:rPr/>
      </w:pPr>
      <w:r>
        <w:rPr/>
        <w:t>高盛十月五日新闻转述最新</w:t>
      </w:r>
      <w:r>
        <w:rPr/>
        <w:t>1560</w:t>
      </w:r>
      <w:r>
        <w:rPr/>
        <w:t>港元买入，里昂九月十八日</w:t>
      </w:r>
      <w:r>
        <w:rPr/>
        <w:t>1907</w:t>
      </w:r>
      <w:r>
        <w:rPr/>
        <w:t>港元跑赢、大和九月十七日</w:t>
      </w:r>
      <w:r>
        <w:rPr/>
        <w:t>1500</w:t>
      </w:r>
      <w:r>
        <w:rPr/>
        <w:t>港元买入，均在</w:t>
      </w:r>
      <w:r>
        <w:rPr/>
        <w:t>90</w:t>
      </w:r>
      <w:r>
        <w:rPr/>
        <w:t>天内，原完整研报未取得，公开文章未明确目标到达期限。本章保留机构、日期和来源，不把机构参照</w:t>
      </w:r>
      <w:r>
        <w:rPr/>
        <w:t>2026</w:t>
      </w:r>
      <w:r>
        <w:rPr/>
        <w:t>或</w:t>
      </w:r>
      <w:r>
        <w:rPr/>
        <w:t>2028</w:t>
      </w:r>
      <w:r>
        <w:rPr/>
        <w:t>经营预测自动标成十二个月。它们提供外部估值观点，不能直接拿来作为年底价格，也不能按剩余月份线性折算成年底涨幅。</w:t>
      </w:r>
    </w:p>
    <w:p>
      <w:pPr>
        <w:pStyle w:val="Normal"/>
        <w:rPr/>
      </w:pPr>
      <w:r>
        <w:rPr/>
        <w:t>三家观点存在明显分歧：高盛上调收入年率同时提高研发亏损准备，里昂强调容量合作但降低长期利润率，大和因确认收入转化不及原想象而下修预测。共同买入不代表经营假设相同，也不构成独立验证所有数字。研究将机构年率预测与公司</w:t>
      </w:r>
      <w:r>
        <w:rPr/>
        <w:t>IFRS</w:t>
      </w:r>
      <w:r>
        <w:rPr/>
        <w:t>收入分开，自己的年底基准低于机构目标，是因为短目标时点、确认系数、完整成本与市场倍数均采用独立假设，不为匹配外部价而倒推。</w:t>
      </w:r>
    </w:p>
    <w:p>
      <w:pPr>
        <w:pStyle w:val="Normal"/>
        <w:rPr/>
      </w:pPr>
      <w:r>
        <w:rPr/>
        <w:t>推荐的经营反证包括云正常收入确认明显低于假设、付费留存下降、价格降幅快于成本改善、私有化毛利和交付回款继续恶化。能力反证包括新版本长期落后、复杂任务需要持续过多人干预、客户迁移到替代模型。资本反证包括预付无法按计划消耗、资本支出增加而毛利不足、债兑付规则导致额外负担、未来发行价远低于模型。任何一项重大变化都应重算全桥并降低置信度。</w:t>
      </w:r>
    </w:p>
    <w:p>
      <w:pPr>
        <w:pStyle w:val="Normal"/>
        <w:rPr/>
      </w:pPr>
      <w:r>
        <w:rPr/>
        <w:t>半年、一年、三年与五年的结论各有不同期限条件。半年要求收入消息与量价修复同时加强；一年要求收费规模、毛利和债转换路径能被连续验证；三年要求完整经营利润与资本效率形成；五年要求增长足以抵消销售倍数收敛和稀释。数据准确、模型公式通过只能证明推导一致，不能证明未来正确。最终投资判断必须保持这些可反驳条件，不能以研究篇幅或评分替代不确定性的真实大小。</w:t>
      </w:r>
    </w:p>
    <w:p>
      <w:pPr>
        <w:pStyle w:val="Heading2"/>
        <w:rPr/>
      </w:pPr>
      <w:r>
        <w:rPr>
          <w:color w:val="000000"/>
        </w:rPr>
        <w:t>来源与模型核验</w:t>
      </w:r>
    </w:p>
    <w:p>
      <w:pPr>
        <w:pStyle w:val="Normal"/>
        <w:rPr/>
      </w:pPr>
      <w:r>
        <w:rPr/>
        <w:t xml:space="preserve">- </w:t>
      </w:r>
      <w:r>
        <w:rPr/>
        <w:t>年度结果，</w:t>
      </w:r>
      <w:r>
        <w:rPr/>
        <w:t>2026-03-31 17:30</w:t>
      </w:r>
      <w:r>
        <w:rPr/>
        <w:t xml:space="preserve">： </w:t>
      </w:r>
      <w:r>
        <w:rPr/>
        <w:t>https://www1.hkexnews.hk/listedco/listconews/sehk/2026/0331/2026033101549.pdf</w:t>
      </w:r>
    </w:p>
    <w:p>
      <w:pPr>
        <w:pStyle w:val="Normal"/>
        <w:rPr/>
      </w:pPr>
      <w:r>
        <w:rPr/>
        <w:t>- 2025</w:t>
      </w:r>
      <w:r>
        <w:rPr/>
        <w:t>年报，</w:t>
      </w:r>
      <w:r>
        <w:rPr/>
        <w:t>2026-04-19 18:30</w:t>
      </w:r>
      <w:r>
        <w:rPr/>
        <w:t xml:space="preserve">： </w:t>
      </w:r>
      <w:r>
        <w:rPr/>
        <w:t>https://www1.hkexnews.hk/listedco/listconews/sehk/2026/0419/2026041900085.pdf</w:t>
      </w:r>
    </w:p>
    <w:p>
      <w:pPr>
        <w:pStyle w:val="Normal"/>
        <w:rPr/>
      </w:pPr>
      <w:r>
        <w:rPr/>
        <w:t>- H1</w:t>
      </w:r>
      <w:r>
        <w:rPr/>
        <w:t>结果，</w:t>
      </w:r>
      <w:r>
        <w:rPr/>
        <w:t>2026-08-31 18:56</w:t>
      </w:r>
      <w:r>
        <w:rPr/>
        <w:t xml:space="preserve">： </w:t>
      </w:r>
      <w:r>
        <w:rPr/>
        <w:t>https://www1.hkexnews.hk/listedco/listconews/sehk/2026/0831/2026083101539.pdf</w:t>
      </w:r>
    </w:p>
    <w:p>
      <w:pPr>
        <w:pStyle w:val="Normal"/>
        <w:rPr/>
      </w:pPr>
      <w:r>
        <w:rPr/>
        <w:t>- 2026</w:t>
      </w:r>
      <w:r>
        <w:rPr/>
        <w:t>中报，</w:t>
      </w:r>
      <w:r>
        <w:rPr/>
        <w:t>2026-09-24 18:27</w:t>
      </w:r>
      <w:r>
        <w:rPr/>
        <w:t xml:space="preserve">： </w:t>
      </w:r>
      <w:r>
        <w:rPr/>
        <w:t>https://www1.hkexnews.hk/listedco/listconews/sehk/2026/0924/2026092401583.pdf</w:t>
      </w:r>
    </w:p>
    <w:p>
      <w:pPr>
        <w:pStyle w:val="Normal"/>
        <w:rPr/>
      </w:pPr>
      <w:r>
        <w:rPr/>
        <w:t xml:space="preserve">- </w:t>
      </w:r>
      <w:r>
        <w:rPr/>
        <w:t>七月配股完成，</w:t>
      </w:r>
      <w:r>
        <w:rPr/>
        <w:t>2026-07-13 18:21</w:t>
      </w:r>
      <w:r>
        <w:rPr/>
        <w:t xml:space="preserve">： </w:t>
      </w:r>
      <w:r>
        <w:rPr/>
        <w:t>https://www1.hkexnews.hk/listedco/listconews/sehk/2026/0713/2026071300662.pdf</w:t>
      </w:r>
    </w:p>
    <w:p>
      <w:pPr>
        <w:pStyle w:val="Normal"/>
        <w:rPr/>
      </w:pPr>
      <w:r>
        <w:rPr/>
        <w:t xml:space="preserve">- </w:t>
      </w:r>
      <w:r>
        <w:rPr/>
        <w:t>九月债条款，</w:t>
      </w:r>
      <w:r>
        <w:rPr/>
        <w:t>2026-09-13 18:13</w:t>
      </w:r>
      <w:r>
        <w:rPr/>
        <w:t xml:space="preserve">： </w:t>
      </w:r>
      <w:r>
        <w:rPr/>
        <w:t>https://www1.hkexnews.hk/listedco/listconews/sehk/2026/0913/2026091300025.pdf</w:t>
      </w:r>
    </w:p>
    <w:p>
      <w:pPr>
        <w:pStyle w:val="Normal"/>
        <w:rPr/>
      </w:pPr>
      <w:r>
        <w:rPr/>
        <w:t xml:space="preserve">- </w:t>
      </w:r>
      <w:r>
        <w:rPr/>
        <w:t>九月融资完成，</w:t>
      </w:r>
      <w:r>
        <w:rPr/>
        <w:t>2026-09-18 16:35</w:t>
      </w:r>
      <w:r>
        <w:rPr/>
        <w:t xml:space="preserve">： </w:t>
      </w:r>
      <w:r>
        <w:rPr/>
        <w:t>https://www1.hkexnews.hk/listedco/listconews/sehk/2026/0918/2026091800399.pdf</w:t>
      </w:r>
    </w:p>
    <w:p>
      <w:pPr>
        <w:pStyle w:val="Normal"/>
        <w:rPr/>
      </w:pPr>
      <w:r>
        <w:rPr/>
        <w:t xml:space="preserve">- </w:t>
      </w:r>
      <w:r>
        <w:rPr/>
        <w:t>九月月报，</w:t>
      </w:r>
      <w:r>
        <w:rPr/>
        <w:t>2026-10-02 16:43</w:t>
      </w:r>
      <w:r>
        <w:rPr/>
        <w:t xml:space="preserve">： </w:t>
      </w:r>
      <w:r>
        <w:rPr/>
        <w:t>https://www1.hkexnews.hk/listedco/listconews/sehk/2026/1002/2026100201831.pdf</w:t>
      </w:r>
    </w:p>
    <w:p>
      <w:pPr>
        <w:pStyle w:val="Normal"/>
        <w:rPr/>
      </w:pPr>
      <w:r>
        <w:rPr/>
        <w:t xml:space="preserve">- </w:t>
      </w:r>
      <w:r>
        <w:rPr/>
        <w:t>九月授奖，</w:t>
      </w:r>
      <w:r>
        <w:rPr/>
        <w:t>2026-09-30 21:06</w:t>
      </w:r>
      <w:r>
        <w:rPr/>
        <w:t xml:space="preserve">： </w:t>
      </w:r>
      <w:r>
        <w:rPr/>
        <w:t>https://www1.hkexnews.hk/listedco/listconews/sehk/2026/0930/2026093002447.pdf</w:t>
      </w:r>
    </w:p>
    <w:p>
      <w:pPr>
        <w:pStyle w:val="Normal"/>
        <w:rPr/>
      </w:pPr>
      <w:r>
        <w:rPr/>
        <w:t xml:space="preserve">- </w:t>
      </w:r>
      <w:r>
        <w:rPr/>
        <w:t>招股书，</w:t>
      </w:r>
      <w:r>
        <w:rPr/>
        <w:t>2025-12-30 06:19</w:t>
      </w:r>
      <w:r>
        <w:rPr/>
        <w:t xml:space="preserve">： </w:t>
      </w:r>
      <w:r>
        <w:rPr/>
        <w:t>https://www1.hkexnews.hk/listedco/listconews/sehk/2025/1230/2025123000017.pdf</w:t>
      </w:r>
    </w:p>
    <w:p>
      <w:pPr>
        <w:pStyle w:val="Normal"/>
        <w:rPr/>
      </w:pPr>
      <w:r>
        <w:rPr/>
        <w:t xml:space="preserve">- </w:t>
      </w:r>
      <w:r>
        <w:rPr/>
        <w:t>高盛</w:t>
      </w:r>
      <w:r>
        <w:rPr/>
        <w:t>1560</w:t>
      </w:r>
      <w:r>
        <w:rPr/>
        <w:t>新闻转述，</w:t>
      </w:r>
      <w:r>
        <w:rPr/>
        <w:t>2026-10-05</w:t>
      </w:r>
      <w:r>
        <w:rPr/>
        <w:t xml:space="preserve">： </w:t>
      </w:r>
      <w:r>
        <w:rPr/>
        <w:t>https://www.aastocks.com/sc/stocks/analysis/stock-aafn-con/02513/AAFN/NOW.1547681/research-report</w:t>
      </w:r>
    </w:p>
    <w:p>
      <w:pPr>
        <w:pStyle w:val="Normal"/>
        <w:rPr/>
      </w:pPr>
      <w:r>
        <w:rPr/>
        <w:t xml:space="preserve">- </w:t>
      </w:r>
      <w:r>
        <w:rPr/>
        <w:t>里昂</w:t>
      </w:r>
      <w:r>
        <w:rPr/>
        <w:t>1907</w:t>
      </w:r>
      <w:r>
        <w:rPr/>
        <w:t>新闻转述，</w:t>
      </w:r>
      <w:r>
        <w:rPr/>
        <w:t>2026-09-18</w:t>
      </w:r>
      <w:r>
        <w:rPr/>
        <w:t xml:space="preserve">： </w:t>
      </w:r>
      <w:r>
        <w:rPr/>
        <w:t>https://www.aastocks.com/sc/stocks/analysis/stock-aafn-con/02513/AAFN/NOW.1545232/research-report</w:t>
      </w:r>
    </w:p>
    <w:p>
      <w:pPr>
        <w:pStyle w:val="Normal"/>
        <w:rPr/>
      </w:pPr>
      <w:r>
        <w:rPr/>
        <w:t xml:space="preserve">- </w:t>
      </w:r>
      <w:r>
        <w:rPr/>
        <w:t>大和</w:t>
      </w:r>
      <w:r>
        <w:rPr/>
        <w:t>1500</w:t>
      </w:r>
      <w:r>
        <w:rPr/>
        <w:t>新闻转述，</w:t>
      </w:r>
      <w:r>
        <w:rPr/>
        <w:t>2026-09-17</w:t>
      </w:r>
      <w:r>
        <w:rPr/>
        <w:t xml:space="preserve">： </w:t>
      </w:r>
      <w:r>
        <w:rPr/>
        <w:t>https://www.aastocks.com/sc/stocks/analysis/stock-aafn-con/02513/AAFN/NOW.1544991/research-report</w:t>
      </w:r>
    </w:p>
    <w:p>
      <w:pPr>
        <w:pStyle w:val="Normal"/>
        <w:rPr/>
      </w:pPr>
      <w:r>
        <w:rPr/>
        <w:t>重要数字与</w:t>
      </w:r>
      <w:r>
        <w:rPr/>
        <w:t>705</w:t>
      </w:r>
      <w:r>
        <w:rPr/>
        <w:t>原子输入、单活动模型、</w:t>
      </w:r>
      <w:r>
        <w:rPr/>
        <w:t>15</w:t>
      </w:r>
      <w:r>
        <w:rPr/>
        <w:t>情景、</w:t>
      </w:r>
      <w:r>
        <w:rPr/>
        <w:t>47</w:t>
      </w:r>
      <w:r>
        <w:rPr/>
        <w:t>项字段修改恢复和源数闭合由独立</w:t>
      </w:r>
      <w:r>
        <w:rPr/>
        <w:t>QA</w:t>
      </w:r>
      <w:r>
        <w:rPr/>
        <w:t>核验。债的美元等值完整定义为明确缺口，未来应按原条款刷新。最终</w:t>
      </w:r>
      <w:r>
        <w:rPr/>
        <w:t>Word/PDF</w:t>
      </w:r>
      <w:r>
        <w:rPr/>
        <w:t>逐页与总表一致核验由集成负责，本章通过不代表全部</w:t>
      </w:r>
      <w:r>
        <w:rPr/>
        <w:t>27</w:t>
      </w:r>
      <w:r>
        <w:rPr/>
        <w:t>份交付已验收。</w:t>
      </w:r>
      <w:r>
        <w:br w:type="page"/>
      </w:r>
    </w:p>
    <w:p>
      <w:pPr>
        <w:pStyle w:val="Heading1"/>
        <w:spacing w:before="0" w:after="0"/>
        <w:rPr/>
      </w:pPr>
      <w:bookmarkStart w:id="2" w:name="__RefHeading___Toc48418_1364803659"/>
      <w:bookmarkEnd w:id="2"/>
      <w:r>
        <w:rPr>
          <w:color w:val="000000"/>
        </w:rPr>
        <w:t xml:space="preserve">众安在线 </w:t>
      </w:r>
      <w:r>
        <w:rPr>
          <w:color w:val="000000"/>
        </w:rPr>
        <w:t>06060 HK</w:t>
      </w:r>
    </w:p>
    <w:p>
      <w:pPr>
        <w:pStyle w:val="Normal"/>
        <w:rPr/>
      </w:pPr>
      <w:r>
        <w:rPr/>
        <w:t xml:space="preserve">06060.HK </w:t>
      </w:r>
      <w:r>
        <w:rPr/>
        <w:t xml:space="preserve">现价 </w:t>
      </w:r>
      <w:r>
        <w:rPr/>
        <w:t>9.52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13.17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+38.34%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+38.34%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+49.89%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+51.47%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20.52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+115.55%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+124.47%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26.18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+175.00%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+198.11%</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-28.15%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+28.26%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17.81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+87.08%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12.27HKD</w:t>
      </w:r>
      <w:r>
        <w:rPr/>
        <w:t>，期望股价回报</w:t>
      </w:r>
      <w:r>
        <w:rPr/>
        <w:t>+28.86%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6.06</w:t>
              <w:br/>
              <w:t>-36.34%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13.17</w:t>
              <w:br/>
              <w:t>+38.34%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20.86</w:t>
              <w:br/>
              <w:t>+119.12%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5.53</w:t>
              <w:br/>
              <w:t>-41.91%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14.27</w:t>
              <w:br/>
              <w:t>+49.89%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24.12</w:t>
              <w:br/>
              <w:t>+153.36%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3.79</w:t>
              <w:br/>
              <w:t>-60.19%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20.52</w:t>
              <w:br/>
              <w:t>+115.55%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36.57</w:t>
              <w:br/>
              <w:t>+284.14%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+30.94%</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2.75</w:t>
              <w:br/>
              <w:t>-71.11%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26.18</w:t>
              <w:br/>
              <w:t>+175.00%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50.56</w:t>
              <w:br/>
              <w:t>+431.09%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+24.42%</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+45.26%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+43.90%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+51.47%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+59.04%</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+113.25%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+124.47%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+135.70%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+183.20%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+198.11%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+213.01%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证券</w:t>
      </w:r>
      <w:r>
        <w:rPr/>
        <w:t>06060.HK</w:t>
      </w:r>
      <w:r>
        <w:rPr/>
        <w:t>；发行人</w:t>
      </w:r>
      <w:r>
        <w:rPr/>
        <w:t>I083</w:t>
      </w:r>
      <w:r>
        <w:rPr/>
        <w:t>；证券</w:t>
      </w:r>
      <w:r>
        <w:rPr/>
        <w:t>S094</w:t>
      </w:r>
      <w:r>
        <w:rPr/>
        <w:t>。价格基准</w:t>
      </w:r>
      <w:r>
        <w:rPr/>
        <w:t>2026</w:t>
      </w:r>
      <w:r>
        <w:rPr/>
        <w:t>年</w:t>
      </w:r>
      <w:r>
        <w:rPr/>
        <w:t>10</w:t>
      </w:r>
      <w:r>
        <w:rPr/>
        <w:t>月</w:t>
      </w:r>
      <w:r>
        <w:rPr/>
        <w:t>9</w:t>
      </w:r>
      <w:r>
        <w:rPr/>
        <w:t>日收盘</w:t>
      </w:r>
      <w:r>
        <w:rPr/>
        <w:t>9.52</w:t>
      </w:r>
      <w:r>
        <w:rPr/>
        <w:t>港元，资料截止同日。模型版本</w:t>
      </w:r>
      <w:r>
        <w:rPr/>
        <w:t>zhongan-HKFRS17-underwriting-investment-fullcost-annual-book-PB-v1.0</w:t>
      </w:r>
      <w:r>
        <w:rPr/>
        <w:t>。证据可信度中。进取型研究结论是中长期观察配置候选；半年量价证据较弱，一年和三年需要正常承保利润支持，不能因股价低于账面价值就列为无条件首选。全名单名次及推荐梯队由总表统一计算，本章不预设名次。</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时点</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乐观港元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基准股价空间</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基准累计股息港元</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6.84 / 12.21 / 17.81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28.26%</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28.26%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专项</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6.06 / 13.17 / 20.86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38.34%</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38.34%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5.53 / 14.27 / 24.12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49.89%</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0.15</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51.47%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3.79 / 20.52 / 36.57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115.55%</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0.85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124.47%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2.75 / 26.18 / 50.56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175.00%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198.11%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70.4</w:t>
            </w:r>
          </w:p>
        </w:tc>
      </w:tr>
    </w:tbl>
    <w:p>
      <w:pPr>
        <w:pStyle w:val="Normal"/>
        <w:rPr/>
      </w:pPr>
      <w:r>
        <w:rPr/>
      </w:r>
    </w:p>
    <w:p>
      <w:pPr>
        <w:pStyle w:val="Normal"/>
        <w:rPr/>
      </w:pPr>
      <w:r>
        <w:rPr/>
        <w:t>三年及五年基准含息年化分别</w:t>
      </w:r>
      <w:r>
        <w:rPr/>
        <w:t>30.94%</w:t>
      </w:r>
      <w:r>
        <w:rPr/>
        <w:t>与</w:t>
      </w:r>
      <w:r>
        <w:rPr/>
        <w:t>24.42%</w:t>
      </w:r>
      <w:r>
        <w:rPr/>
        <w:t>；股息属于研究假设，公司没有承诺这些金额。年底</w:t>
      </w:r>
      <w:r>
        <w:rPr/>
        <w:t>25%/50%/25%</w:t>
      </w:r>
      <w:r>
        <w:rPr/>
        <w:t>判断权重期望价</w:t>
      </w:r>
      <w:r>
        <w:rPr/>
        <w:t>12.2675</w:t>
      </w:r>
      <w:r>
        <w:rPr/>
        <w:t>港元、期望回报</w:t>
      </w:r>
      <w:r>
        <w:rPr/>
        <w:t>28.86%</w:t>
      </w:r>
      <w:r>
        <w:rPr/>
        <w:t>；防御权重</w:t>
      </w:r>
      <w:r>
        <w:rPr/>
        <w:t>40%/50%/10%</w:t>
      </w:r>
      <w:r>
        <w:rPr/>
        <w:t>为</w:t>
      </w:r>
      <w:r>
        <w:rPr/>
        <w:t>10.622</w:t>
      </w:r>
      <w:r>
        <w:rPr/>
        <w:t>港元、</w:t>
      </w:r>
      <w:r>
        <w:rPr/>
        <w:t>11.58%</w:t>
      </w:r>
      <w:r>
        <w:rPr/>
        <w:t>，积极权重</w:t>
      </w:r>
      <w:r>
        <w:rPr/>
        <w:t>10%/50%/40%</w:t>
      </w:r>
      <w:r>
        <w:rPr/>
        <w:t>为</w:t>
      </w:r>
      <w:r>
        <w:rPr/>
        <w:t>13.913</w:t>
      </w:r>
      <w:r>
        <w:rPr/>
        <w:t>港元、</w:t>
      </w:r>
      <w:r>
        <w:rPr/>
        <w:t>46.14%</w:t>
      </w:r>
      <w:r>
        <w:rPr/>
        <w:t>。区间为条件情景，不是置信区间或最大损失。主要风险是综合成本率恶化、投资资产估值下降、合营减值、平台渠道议价、融资稀释及流动性期限错配。结论成立条件是正常年度盈利持续积累，账面净资产可实现，监管资本余量未被股市或新增业务快速消耗。</w:t>
      </w:r>
    </w:p>
    <w:p>
      <w:pPr>
        <w:pStyle w:val="Heading2"/>
        <w:rPr/>
      </w:pPr>
      <w:r>
        <w:rPr>
          <w:color w:val="000000"/>
        </w:rPr>
        <w:t>一 投资对象与判断的出发点</w:t>
      </w:r>
    </w:p>
    <w:p>
      <w:pPr>
        <w:pStyle w:val="Normal"/>
        <w:rPr/>
      </w:pPr>
      <w:r>
        <w:rPr/>
        <w:t>众安首先是一家承担保险风险的财产保险公司，技术帮助它承保、销售和理赔，也能向外输出服务，但资本回报的基础仍然是保险业务。把它与纯软件公司放在同一销售倍数表里容易忽略两件事：保险收入需要同时看赔付和费用，投资资产大部分对应保险责任及资本要求。收入增长不能直接等同于股东价值增长，资产总量更不能直接乘科技估值倍数。研究选择以合并净资产为锚，以正常承保利润和投资收益检验市净率，并用科技服务及合营公司的归属贡献解释增量。</w:t>
      </w:r>
    </w:p>
    <w:p>
      <w:pPr>
        <w:pStyle w:val="Normal"/>
        <w:rPr/>
      </w:pPr>
      <w:r>
        <w:rPr/>
        <w:t>本章的进取立场体现在愿意接受短期经营与市场波动，关注从约半倍账面价值恢复的潜在弹性，但不把估值折价当成已经确认的误价。便宜可能源于低资本回报，也可能源于投资收益难持续、国际业务需要追加资本或者渠道优势不足。只有这些折价因素逐渐削弱，市净率上升才有经营依据。相反，若净资产在未来几年消耗，即使市净率看起来更低，买入时预期的安全垫也会缩水。</w:t>
      </w:r>
    </w:p>
    <w:p>
      <w:pPr>
        <w:pStyle w:val="Normal"/>
        <w:rPr/>
      </w:pPr>
      <w:r>
        <w:rPr/>
        <w:t>截至基准日，锁定价格为九点五二港元，全部有效股份为十六点八四八一二九亿股，包括内地未上市股份五千万股以及香港上市股份。二者共同享有集团权益，因此估值分母必须使用全部股份，不能只用香港流通股份。按照研究采用的人民币兑港元换算，六月账面每股价值约十六元人民币、约十八点六八港元，现价市净率约零点五一倍。这个计算是可追溯的横截面估值，尚未包含十月之后的数据，也不代表每一项资产都能即时按账面出售。</w:t>
      </w:r>
    </w:p>
    <w:p>
      <w:pPr>
        <w:pStyle w:val="Normal"/>
        <w:rPr/>
      </w:pPr>
      <w:r>
        <w:rPr/>
        <w:t>公司没有另一只内地上市股票供投资者进行同公司跨市场比较，名称中的在线与科技不意味着它是一只互联网指数代理。它既暴露于国内保险和股票债券市场，也通过国际合营公司暴露于香港金融环境。把香港科技指数作为粗略相对强弱参照可以帮助识别市场情绪，但不能作为保险行业的精确经营基准。本章在技术部分保留实际取得的市场参照，并明确缺少一致口径保险行业日线的限制，避免把不适合的比较包装成行业领先。</w:t>
      </w:r>
    </w:p>
    <w:p>
      <w:pPr>
        <w:pStyle w:val="Heading2"/>
        <w:rPr/>
      </w:pPr>
      <w:r>
        <w:rPr>
          <w:color w:val="000000"/>
        </w:rPr>
        <w:t>二 四个生态的收入质量</w:t>
      </w:r>
    </w:p>
    <w:p>
      <w:pPr>
        <w:pStyle w:val="Normal"/>
        <w:rPr/>
      </w:pPr>
      <w:r>
        <w:rPr/>
        <w:t>二〇二六年上半年总保费约一百六十五点五八亿元，同比略降，而保险收入约一百六十九点八九亿元、同比增长约百分之十二点九。两项数据方向不同并非矛盾：保费反映签单和承保时点，保险收入按服务释放，历史保单会继续贡献本期收入。消费金融主动收缩时，这种时滞尤其明显。预测应该从保单结构、保障期限和未来服务余额理解收入，而不能把上半年保险收入增速直接复制为未来保费增长率。</w:t>
      </w:r>
    </w:p>
    <w:p>
      <w:pPr>
        <w:pStyle w:val="Normal"/>
        <w:rPr/>
      </w:pPr>
      <w:r>
        <w:rPr/>
        <w:t>健康生态上半年保费约六十七点一四亿元，保险收入约六十六点八六亿元，综合成本率百分之九十二点七，在四个主要生态中承保质量较好。健康保障需求随人口结构、医疗支出和居民对风险的认识扩大，但客户愿意续保与否取决于价格、保障可理解性和理赔体验。业务优势需要通过赔付选择、续保纪律和获客成本体现。单纯扩大营销、在价格偏低时吸引大量潜在高风险客户，反而可能使后续年度赔付率上升。</w:t>
      </w:r>
    </w:p>
    <w:p>
      <w:pPr>
        <w:pStyle w:val="Normal"/>
        <w:rPr/>
      </w:pPr>
      <w:r>
        <w:rPr/>
        <w:t>数字生活生态的保费约七十七点四三亿元，保险收入约七十六点二七亿元，综合成本率百分之九十九点二，接近承保盈亏线。它规模大且与互联网交易频次相关，但每笔保障金额和收费常较小，渠道议价对利润影响很大。低费率产品能形成大批交易数据，数据是否能变成利润还要看平台合作条件以及反欺诈成本。这个生态是收入底盘，不应被大规模保费误读为等比例高利润来源，一点成本率变化就可能吞噬现有承保收益。</w:t>
      </w:r>
    </w:p>
    <w:p>
      <w:pPr>
        <w:pStyle w:val="Normal"/>
        <w:rPr/>
      </w:pPr>
      <w:r>
        <w:rPr/>
        <w:t>消费金融生态保费约五点六〇亿元，同比大幅下降约百分之七十九点二，而保险收入仍有十三点〇一亿元。应把收入高于新保费看作旧保单服务释放以及业务结构调整，不能认为新业务需求突然超过保费统计。融资性信用保证保险的风险与借款人现金流、平台风控、法律追偿和监管要求联系紧密。主动缩小风险暴露可以改善未来尾部损失，但也会削弱近期收入。研究基准情景没有依靠该生态再次激进扩张来达成长期目标。</w:t>
      </w:r>
    </w:p>
    <w:p>
      <w:pPr>
        <w:pStyle w:val="Normal"/>
        <w:rPr/>
      </w:pPr>
      <w:r>
        <w:rPr/>
        <w:t>汽车生态上半年保费约十五点四一亿元，保险收入约十三点七四亿元，综合成本率百分之九十三点三。线上报价、核保及维修理赔效率有潜在价值，但车辆类型、维修成本、驾驶行为和地区结构都会影响赔付。新能源汽车数量增加可以带来保费需求，同时复杂维修和零部件价格可能推高损失。车险增长质量要看实际赔付及再保，而不是只看保单数量。若公司为了规模进入竞争最激烈的价格区间，原有较好成本率未必能够保持。</w:t>
      </w:r>
    </w:p>
    <w:p>
      <w:pPr>
        <w:pStyle w:val="Normal"/>
        <w:rPr/>
      </w:pPr>
      <w:r>
        <w:rPr/>
        <w:t>四个生态共同形成多样化，但风险之间不完全独立。消费疲弱可能同时影响交易保障与车险保费，居民收入下滑可能降低健康险续保，权益市场调整又会压投资收益。分生态保险收入可以精确加回合并保险收入，分生态利润不能直接按披露的一位小数成本率精确还原到千元。这些比率已有四舍五入，而且费用和再保在不同口径下存在调节。本章保留真实合并承保利润作为模型锚，不用粗略乘法制造看似严密的利润桥。</w:t>
      </w:r>
    </w:p>
    <w:p>
      <w:pPr>
        <w:pStyle w:val="Heading2"/>
        <w:rPr/>
      </w:pPr>
      <w:r>
        <w:rPr>
          <w:color w:val="000000"/>
        </w:rPr>
        <w:t>三 竞争优势需要哪些证据</w:t>
      </w:r>
    </w:p>
    <w:p>
      <w:pPr>
        <w:pStyle w:val="Normal"/>
        <w:rPr/>
      </w:pPr>
      <w:r>
        <w:rPr/>
        <w:t>众安的线上业务使其能更早获取交易、投保和理赔数据，理论上可以缩短产品试错周期并提高风险识别效率。但数据优势有边界：数据质量依赖渠道，历史样本受到产品选择影响，外部环境变化会使模型失效。一个在既有低风险客群上表现好的模型，扩展到新客群时不能自动保持准确。研究看重承保成本率连续改善与同类风险的可比表现，远比看重人工智能模型的宣传名称。技术投入只有改变实际单位经济，才足以提高估值。</w:t>
      </w:r>
    </w:p>
    <w:p>
      <w:pPr>
        <w:pStyle w:val="Normal"/>
        <w:rPr/>
      </w:pPr>
      <w:r>
        <w:rPr/>
        <w:t>渠道合作能够降低单独建设销售网络的成本，也会使利润被合作方分走。互联网平台既是获客来源，某些平台也可能接入多家保险公司并比较价格。对客户而言，可替代的保障越多，保险人越难把技术效率完全保留为利润。众安需要建立直接品牌认知、续保和服务黏性，才能降低对少数渠道的依赖。股东背景可以帮助建立合作，但不是法律上永久、免费或排他的渠道权利，不能把合作关系资本化为永续独占收益。</w:t>
      </w:r>
    </w:p>
    <w:p>
      <w:pPr>
        <w:pStyle w:val="Normal"/>
        <w:rPr/>
      </w:pPr>
      <w:r>
        <w:rPr/>
        <w:t>产品设计能力的价值表现在对客户场景的理解和保障条款的合理化。数字生活中的小额高频保障、健康业务中的长期服务关系、汽车业务中的快速理赔各有不同运营要求。统一线上平台可以复用技术基础设施，但不同险种的定价和尾部风险需要专业判断。研究不假设保险算法能消除逆选择，也不假设自动理赔一定减少欺诈。人工复核、诉讼处理和客户服务应当留在完整费用预算里，而不是因为自动化就全部删除。</w:t>
      </w:r>
    </w:p>
    <w:p>
      <w:pPr>
        <w:pStyle w:val="Normal"/>
        <w:rPr/>
      </w:pPr>
      <w:r>
        <w:rPr/>
        <w:t>规模效应也不等于无限利润率。公司研发、系统安全、数据治理和监管报告存在固定投入，扩大保费可摊薄一部分费用；与此同时，新的渠道、地区和产品会产生专门的销售及技术成本。上半年研发投入约三点〇四亿元，是持续经营基础的一部分。模型保留服务完整成本和未归属保险的运营费用，同时认识到部分研发及获客费用已经归入保险服务成本。额外扣一遍全部研发会低估利润，完全加回又会夸大利润，两种做法都不合理。</w:t>
      </w:r>
    </w:p>
    <w:p>
      <w:pPr>
        <w:pStyle w:val="Heading2"/>
        <w:rPr/>
      </w:pPr>
      <w:r>
        <w:rPr>
          <w:color w:val="000000"/>
        </w:rPr>
        <w:t>四 保险会计与利润质量</w:t>
      </w:r>
    </w:p>
    <w:p>
      <w:pPr>
        <w:pStyle w:val="Normal"/>
        <w:rPr/>
      </w:pPr>
      <w:r>
        <w:rPr/>
        <w:t>众安自二〇二三年采用新的保险合同会计准则，更早年度采用旧准则，跨准则增长率需要谨慎比较。本研究财务桥主要使用可比的新口径年度及半年数据，并区分保险服务结果和承保利润。上半年保险服务结果八点一六亿元，扣保险融资费用并加再保融资收益后，承保利润约七点七三亿元。融资影响不是无关紧要的账面项：利率和保险负债服务时间会改变它，模型综合成本率已经将相关影响纳入，不再在集团层重复扣除。</w:t>
      </w:r>
    </w:p>
    <w:p>
      <w:pPr>
        <w:pStyle w:val="Normal"/>
        <w:rPr/>
      </w:pPr>
      <w:r>
        <w:rPr/>
        <w:t>二〇二五年保险收入三百三十四点八五亿元，承保利润十四点一二亿元，综合成本率百分之九十五点八，相比上一年百分之九十六点九改善一点一个百分点。有新闻转载写成上升，与原件相反，本章采用交易所原件。改善意味着每百元收入留给承保的利润增加，但其他运营、投资、融资和税费仍会决定最终股东利润。不能把承保利润率直接当净利润率，也不能因为承保结果改善就忽略投资或国际业务的损失。</w:t>
      </w:r>
    </w:p>
    <w:p>
      <w:pPr>
        <w:pStyle w:val="Normal"/>
        <w:rPr/>
      </w:pPr>
      <w:r>
        <w:rPr/>
        <w:t>二〇二五年股东净利润十一点〇二亿元，合营投资减值约六点九八亿元。把减值加回可得到十八点〇〇亿元的调整对照，适合说明当年经营与账面调整的差异，不能证明这部分损失以后必然不存在。国际科技或银行业务价值取决于持续盈利、融资条件和退出价格，减值可能是原来投资回报预期变化的经济信号。研究在基准情景仍保留一定减值准备，悲观情景则把进一步减值与资本折价一起考虑。</w:t>
      </w:r>
    </w:p>
    <w:p>
      <w:pPr>
        <w:pStyle w:val="Normal"/>
        <w:rPr/>
      </w:pPr>
      <w:r>
        <w:rPr/>
        <w:t>上半年股东净利润约十五点五〇亿元，明显高于上一年同期，但净投资收益七点九〇亿元、公允价值收益八点一七亿元占很大比重。净投资收益里利息约二点五一亿元、股息约零点七一亿元、已实现收益约四点六八亿元。已实现收益不是纯利息票息，把总投资收益七点八的年化比率直接延伸数年会高估稳定盈利。模型使用更低且公开的正常投资收益率，并把额外市场公允价值损益单独列为情景项，以便观察去除行情贡献后的盈利。</w:t>
      </w:r>
    </w:p>
    <w:p>
      <w:pPr>
        <w:pStyle w:val="Normal"/>
        <w:rPr/>
      </w:pPr>
      <w:r>
        <w:rPr/>
        <w:t>集团上半年正常利润的解释必须完整保留费用。其他收入包括服务收入和补助；其他运营费用是扣除已归属保险取得现金流及直接费用后的残余；其他费用包括提供服务成本和支出。若把费用表的处理前总额再扣一次，会把已纳入保险服务费用的部分重复扣除。若只看分部净利而忽略调节，又可能把合营公司的收入及费用当并表。模型从合并报表的服务与剩余费用出发，利润桥比简单收入乘净利率更能暴露真实成本。</w:t>
      </w:r>
    </w:p>
    <w:p>
      <w:pPr>
        <w:pStyle w:val="Heading2"/>
        <w:rPr/>
      </w:pPr>
      <w:r>
        <w:rPr>
          <w:color w:val="000000"/>
        </w:rPr>
        <w:t>五 投资资产与利率的双向作用</w:t>
      </w:r>
    </w:p>
    <w:p>
      <w:pPr>
        <w:pStyle w:val="Normal"/>
        <w:rPr/>
      </w:pPr>
      <w:r>
        <w:rPr/>
        <w:t>境内保险资金投资资产约四百一十四点八七亿元，其中固定收益约二百九十点八〇亿元，占百分之七十点一；股票及权益基金约五十四点九八亿元，占百分之十三点二；非上市权益约五十七点〇五亿元，主要包含全资科技和保险经纪子公司。最后一项不是一篮子随时出售的外部证券。合并报表已抵销内部持股并计入子公司的资产负债，不能在科技业务估值之外再把保险资金表里的内部权益全额加一次净资产。</w:t>
      </w:r>
    </w:p>
    <w:p>
      <w:pPr>
        <w:pStyle w:val="Normal"/>
        <w:rPr/>
      </w:pPr>
      <w:r>
        <w:rPr/>
        <w:t>因此研究正常投资收益使用外部可产生投资回报的资产代理，年底基准为三百六十亿元，接近保险资金总资产减内部权益后的量级。这个代理不是另一项净现金估值，也不是声称每项资产收益率一致。它只用来生成正常利润流，权益价值仍来自合并账面净资产。合营权益法收益独立列示，外部投资代理排内部权益收益，避免同时在收益率与权益法中算一遍。读者修改资产规模时，应考虑保费负债、回购融资和资本的相应变化，不能随意增资产而不增风险。</w:t>
      </w:r>
    </w:p>
    <w:p>
      <w:pPr>
        <w:pStyle w:val="Normal"/>
        <w:rPr/>
      </w:pPr>
      <w:r>
        <w:rPr/>
        <w:t>利率下降首先可能提高既有债券价格，但同时降低再投资收益，保险负债的融资费用和现值也会变化。短期行情收益与长期利差不是同方向的简单线性关系。若低利率使未来新购资产收益长期不足，公司仍需依靠较好的承保利润覆盖成本。以目前投资资产规模而言，正常收益率少一个百分点会明显削弱年度利润。模型把正常收益率与市场损益分开，正是为了区分这两种效应，避免把降息视为永久利好。</w:t>
      </w:r>
    </w:p>
    <w:p>
      <w:pPr>
        <w:pStyle w:val="Normal"/>
        <w:rPr/>
      </w:pPr>
      <w:r>
        <w:rPr/>
        <w:t>高等级债券可以降低部分违约风险，不能免除利率风险、流动性风险和信用利差变化。中报披露保险资金债券外部评级较高，但不同评级机构标准、债券期限和发行人集中度仍重要。部分资产按公允价值计入利润，部分通过其他综合收益影响净资产，投资组合可能在利润表表现稳定时出现净资产变化。估值关注总资本的可持续性，也关注股东收益，不能只看其中一张表。现金储备下降与回购融资增加，应与资产流动性一起分析。</w:t>
      </w:r>
    </w:p>
    <w:p>
      <w:pPr>
        <w:pStyle w:val="Heading2"/>
        <w:rPr/>
      </w:pPr>
      <w:r>
        <w:rPr>
          <w:color w:val="000000"/>
        </w:rPr>
        <w:t>六 科技服务与国际业务的归属</w:t>
      </w:r>
    </w:p>
    <w:p>
      <w:pPr>
        <w:pStyle w:val="Normal"/>
        <w:rPr/>
      </w:pPr>
      <w:r>
        <w:rPr/>
        <w:t>管理层分部表展示科技、银行与其他业务，采用了更宽的运营观察视角。上半年科技分部其他收入约五点九一亿元、净利润约一千六百五十四万元，但表里同时有抵销和调节。调节代表将众安国际合营公司超出合并报表确认范围的金额消除。它不是一般意义上可以忽略的内部记账细节，而决定哪些资产、收入和利润属于本上市公司的并表范围。本章不以分部收入直接作为合并科技收入，也不把分部利润机械相加作为预测起点。</w:t>
      </w:r>
    </w:p>
    <w:p>
      <w:pPr>
        <w:pStyle w:val="Normal"/>
        <w:rPr/>
      </w:pPr>
      <w:r>
        <w:rPr/>
        <w:t>合并报表上半年服务收入约二点四二亿元，包括信息技术、经纪及其他服务，服务提供成本和相关支出合计约一点七三亿元。这个范围更适合构建上市公司普通股利润。科技系统输出仍可能有较好长期空间，保险公司数字化要求持续存在，但项目交付、实施人员、客户定制和收款都会影响利润。把项目型收入全视为高续费软件收入，可能低估实施成本和收入波动。模型给服务业务增长与利润率改善，但保留完整费用率，并不默认零边际成本。</w:t>
      </w:r>
    </w:p>
    <w:p>
      <w:pPr>
        <w:pStyle w:val="Normal"/>
        <w:rPr/>
      </w:pPr>
      <w:r>
        <w:rPr/>
        <w:t>众安国际通过权益法计入集团，上半年账面权益约三十九点五九亿元，其归属净亏损约三千七百四十七万元，并有其他综合收益变化。众安银行的独立盈利不代表众安国际整体盈利，因为合营公司还包含其他业务、费用和股权安排。公开披露的投票权益比例也不能直接作为银行全部利润的乘数，优先股及合营安排会影响经济归属。研究使用报表已经归属的权益法结果和净资产，不自行给银行全资产估值后再加合营账面价值。</w:t>
      </w:r>
    </w:p>
    <w:p>
      <w:pPr>
        <w:pStyle w:val="Normal"/>
        <w:rPr/>
      </w:pPr>
      <w:r>
        <w:rPr/>
        <w:t>众安银行上半年净收入约五点七八亿港元、净利润约七千一百万港元，净息差百分之二点九九，独立总资产約二百六十八点一九亿港元。银行已经盈利是积极信号，但银行增长需要存款稳定性、信贷质量、合规和资本支撑。英文管理讨论一处同时将三点七五亿与一点二三亿写为手续费相关收入，摘要明确手续费及佣金净收入一点二三亿。由于原件标签不一致，本章不把两项都认作手续费，也不自行将三点七五亿确认为特定收入，估值使用无歧义的净收入及净利润。</w:t>
      </w:r>
    </w:p>
    <w:p>
      <w:pPr>
        <w:pStyle w:val="Normal"/>
        <w:rPr/>
      </w:pPr>
      <w:r>
        <w:rPr/>
        <w:t>国际金融与科技扩张还会受到香港利率、监管牌照、跨境数据、金融产品销售和市场竞争影响。数字银行获取低成本存款及交叉销售的能力，可能比单纯用户数量更能解释长期利润。技术业务若大规模招人、搭平台而收入兑现较慢，会增加合营资本需求。长期模型中的权益法利润属于研究准备，必须由持续披露的归属结果验证，不能借银行盈利标题给集团科技和国际资产一个无成本的永久溢价。</w:t>
      </w:r>
    </w:p>
    <w:p>
      <w:pPr>
        <w:pStyle w:val="Heading2"/>
        <w:rPr/>
      </w:pPr>
      <w:r>
        <w:rPr>
          <w:color w:val="000000"/>
        </w:rPr>
        <w:t>七 净资产与监管资本是两套体系</w:t>
      </w:r>
    </w:p>
    <w:p>
      <w:pPr>
        <w:pStyle w:val="Normal"/>
        <w:rPr/>
      </w:pPr>
      <w:r>
        <w:rPr/>
        <w:t>六月合并总资产四百七十五点六二亿元、总负债二百〇六点二二亿元、股东净资产二百六十九点三九亿元。净资产已包括金融资产、保险责任、银行和回购借款以及合营权益。目标市净率乘净资产就是对全部普通股权益的估值，不能随后再加现金、再减全部债务，否则会重复处理资产负债。现金可用性与债务风险仍需要讨论，但它们应解释净资产质量和估值折价，或进入未来资本变化，不是一个额外加价按钮。</w:t>
      </w:r>
    </w:p>
    <w:p>
      <w:pPr>
        <w:pStyle w:val="Normal"/>
        <w:rPr/>
      </w:pPr>
      <w:r>
        <w:rPr/>
        <w:t>公司官网的二〇二六年第二季度偿付能力摘要提供实际资本二百五十七点六二亿元、核心资本二百五十点一二亿元、最低资本八十九点五四亿元。核心与综合偿付能力充足率分别百分之二百七十九点三四和二百八十七点七〇。该原件用人民币万元，合并财务原件用千元；二者不可直接照搬数值比较。实际资本、认可资产及负债按监管规则调整，与香港会计合并净资产范围、确认与计量不同，未来融资需要独立的监管资本压力测试。</w:t>
      </w:r>
    </w:p>
    <w:p>
      <w:pPr>
        <w:pStyle w:val="Normal"/>
        <w:rPr/>
      </w:pPr>
      <w:r>
        <w:rPr/>
        <w:t>偿付率从一季度明显提高，主要原因之一是二〇二五年完成的配股在二〇二六年六月获得注册资本变更监管批复，约三十五点五一亿元在本季度进入实际资本。一季度实际资本表还扣有相应监管调整，二季度解除。它不是二季度突然收到一笔新的同额现金，也不是全部来自保险经营盈利。合并会计净资产早已含配股资金，本章目标模型不能因监管认可再加一次。这个时间差说明看资本公告必须理解计量规则，单看增长百分比会高估经营创造的资本。</w:t>
      </w:r>
    </w:p>
    <w:p>
      <w:pPr>
        <w:pStyle w:val="Normal"/>
        <w:rPr/>
      </w:pPr>
      <w:r>
        <w:rPr/>
        <w:t>高偿付率提供缓冲，流动性却需要另看。二季度基础情景未来十二个月流动性覆盖率百分之一百〇四点六六，压力下考虑资产变现的指标较高，不考虑变现又不同。监管摘要累计净现金流为流出，说明资产管理、债券兑付和融资共同影响现金。覆盖率符合要求不表示现金可以无限分配，剩余几个月的市场交易、保费回款与赔款集中都可能改变结果。研究没有由资本充足自动推导高分红，也不把监管下一季度预测当成已实现事实。</w:t>
      </w:r>
    </w:p>
    <w:p>
      <w:pPr>
        <w:pStyle w:val="Heading2"/>
        <w:rPr/>
      </w:pPr>
      <w:r>
        <w:rPr>
          <w:color w:val="000000"/>
        </w:rPr>
        <w:t>八 现金流 融资与稀释</w:t>
      </w:r>
    </w:p>
    <w:p>
      <w:pPr>
        <w:pStyle w:val="Normal"/>
        <w:rPr/>
      </w:pPr>
      <w:r>
        <w:rPr/>
        <w:t>上半年经营活动净现金流八点六〇亿元，低于净利润十五点五〇亿元；投资净流出十三点三三亿元，融资净流出十一点三八亿元，现金及等价物从三十四点六八亿元降至十八点五七亿元。保险公司的投资买卖与现金流分类有特殊性，不能按制造企业现金利润比直接判定造假或质量差。应看赔款、取得成本、保费回款和投资交易的时间。经营现金流持续弱于预期仍是需要核验的信号，因为利润中的未实现收益不会直接提供偿付现金。</w:t>
      </w:r>
    </w:p>
    <w:p>
      <w:pPr>
        <w:pStyle w:val="Normal"/>
        <w:rPr/>
      </w:pPr>
      <w:r>
        <w:rPr/>
        <w:t>上半年兑付债券约二十五点一五亿元，回购式融资净增加约十五点一五亿元，说明债务结构有替换。六月已无该债券余额，但回购负债约七十二点九一亿元、银行借款约零点六八亿元。债券消失不能单独解释成无杠杆，更不能将回购负债当保险纯经营无风险余额。回购融资的抵押品、续作、折扣和利率会影响流动性，投资资产的期限需要匹配。模型保留正常融资费用，并在悲观情景让费用上升，不把全部利息加回。</w:t>
      </w:r>
    </w:p>
    <w:p>
      <w:pPr>
        <w:pStyle w:val="Normal"/>
        <w:rPr/>
      </w:pPr>
      <w:r>
        <w:rPr/>
        <w:t>二〇二五年配股增加二点一五亿股，发行价十八点二五港元，净款已进入合并净资产。现价明显低于那次发行价，历史发行成功不意味着以后能按相同价融。未来若为弥补资本损失再次低价配股，每股价值可能进一步下降。悲观三年和五年分别设置二十亿及四十亿元人民币净融资准备，发行价七港元，资金增加净资产与新增股数同步计算。该准备不是监管已经要求的发行，也不是机械由账面资本余额算出的结论。</w:t>
      </w:r>
    </w:p>
    <w:p>
      <w:pPr>
        <w:pStyle w:val="Normal"/>
        <w:rPr/>
      </w:pPr>
      <w:r>
        <w:rPr/>
        <w:t>基准与乐观情景没有新增普通股融资，现有股数保持不变，未来奖股新增暂设零。这不表示永久没有股权激励，而是截止日没有可以合理量化的未来发行承诺。本研究保留正常股权报酬在完整费用，额外新发行若出现必须更新分母。已有股份和未来费用是不同维度，不能因为费用已扣就忘记新股稀释，也不能将已存在的员工或股东持股再次加股数。每次更新应把发行日期、净资金、发行价格与奖股来源核对清楚。</w:t>
      </w:r>
    </w:p>
    <w:p>
      <w:pPr>
        <w:pStyle w:val="Heading2"/>
        <w:rPr/>
      </w:pPr>
      <w:r>
        <w:rPr>
          <w:color w:val="000000"/>
        </w:rPr>
        <w:t>九 半年日线 仍处于下降结构</w:t>
      </w:r>
    </w:p>
    <w:p>
      <w:pPr>
        <w:pStyle w:val="Normal"/>
        <w:rPr/>
      </w:pPr>
      <w:r>
        <w:rPr/>
        <w:t>锁定历史包含七百三十九个交易日，足以计算二十、六十、一百二十及二百五十日均线。均线约九点八一三五、十点五九四、十点七〇七四与十三点二四八三港元，现价分别低约百分之三、十点一、十一点一和二十八点一。近五日均线斜率全部为负，短线价格尚未摆脱下行均价体系。这不是只凭一个均线交叉的判断：价格位置、均线方向和近二十六十日回报均互相支持，短期技术评分因此偏低。</w:t>
      </w:r>
    </w:p>
    <w:p>
      <w:pPr>
        <w:pStyle w:val="Normal"/>
        <w:rPr/>
      </w:pPr>
      <w:r>
        <w:rPr/>
        <w:t>近二十日回报约负百分之八点二、六十日约负百分之九点八；一年窗口最大回撤约百分之五十点八。年度低点八点八三港元、最高约十八点五六港元，现价距年内低点并不远。历史高价受到复权归一方法影响，不能把每一个数都当未复权实际挂单价格。长期跌幅说明估值和市场预期发生明显调整，不能仅用跌得多推导反弹幅度。低位可以延续，也可能因新损失不断向下移动，半年投资必须明确技术失效条件。</w:t>
      </w:r>
    </w:p>
    <w:p>
      <w:pPr>
        <w:pStyle w:val="Normal"/>
        <w:rPr/>
      </w:pPr>
      <w:r>
        <w:rPr/>
        <w:t>最近二十日观察低点九点二六港元，离现价约负百分之二点七三；观察高点十点四二港元，离现价约正百分之九点四五。六十日观察高点十二点三八港元更远。这些是区间极值，未经过反复触碰次数筛选，因此称观察位而非确定强支撑。九点二六若放量跌破，不能继续沿用短期底部假设；十点四二若站稳且均线由下行转平，才更接近改善。十三点一七基准半年价涉及进一步估值修复，当前技术图形尚未确认能走到那里。</w:t>
      </w:r>
    </w:p>
    <w:p>
      <w:pPr>
        <w:pStyle w:val="Normal"/>
        <w:rPr/>
      </w:pPr>
      <w:r>
        <w:rPr/>
        <w:t>日线相对强弱指数约三十八点五，显示偏弱但并非必然反转区；平均真实波幅约零点三三港元、占现价约百分之三点四七。一个常规波动幅度就可能穿过距离很近的观察位，因此不宜设看似精确且过紧的固定止损。日线指数平滑异同平均线快慢线均在负值区，柱也略为负，提供的是方向辅助。均线、相对强弱指数和异同平均线来自相似价格信息，本章不会各自重复加分来制造技术高确定性。</w:t>
      </w:r>
    </w:p>
    <w:p>
      <w:pPr>
        <w:pStyle w:val="Heading2"/>
        <w:rPr/>
      </w:pPr>
      <w:r>
        <w:rPr>
          <w:color w:val="000000"/>
        </w:rPr>
        <w:t>十 量能 周线与相对市场</w:t>
      </w:r>
    </w:p>
    <w:p>
      <w:pPr>
        <w:pStyle w:val="Normal"/>
        <w:rPr/>
      </w:pPr>
      <w:r>
        <w:rPr/>
        <w:t>当日成交约四百一十四点四七万股，五、二十、六十日平均成交量约三百五十六点一三万、七百〇五点五三万与八百四十六点三三万股。当日相对前二十日平均量比約零点五八，近期成交活跃度下降。下跌伴随缩量可以解释为抛压暂时减弱，也可能只是买盘不足，不能单凭这一现象断言有资金吸筹。量能只有结合价格能否守住观察区以及上涨日成交改善，才能帮助判断短期卖压和需求的变化。</w:t>
      </w:r>
    </w:p>
    <w:p>
      <w:pPr>
        <w:pStyle w:val="Normal"/>
        <w:rPr/>
      </w:pPr>
      <w:r>
        <w:rPr/>
        <w:t>近二十日上涨日九个、下跌日十一个，上涨日总成交约六千三百四十七万股、下跌日约七千七百六十三万股，比例约零点八二。短线成交更偏向下跌日，尚未提供强劲买盘证据。当日估算成交额约三千九百〇九万港元，使用真实成交量与价格代理计算，并非交易所精确逐笔成交额。历史供应商按股报告，不能乘每手单位再扩大成交。流通股换手率需要准确自由流通股数与口径，本章没有将总发行股数换算后冒充真实换手率。</w:t>
      </w:r>
    </w:p>
    <w:p>
      <w:pPr>
        <w:pStyle w:val="Normal"/>
        <w:rPr/>
      </w:pPr>
      <w:r>
        <w:rPr/>
        <w:t>周线共有一百五十七周，二十、六十和一百二十周均线約十点三三八八、十三点七九二四与十三点七八三二，现价均低于它们，二百五十周不足而留空。周线异同平均柱转正但均线仍下行，可以表示下降动量减弱，尚不能表示趋势已经反转。二十周上涨与下跌周成交总量比例约一点一八，周级观察稍好于日级，时间聚合方式会造成差异。研究保留这一差异，要求后续价格站回周均线验证，而不选择其中最好看的指标。</w:t>
      </w:r>
    </w:p>
    <w:p>
      <w:pPr>
        <w:pStyle w:val="Normal"/>
        <w:rPr/>
      </w:pPr>
      <w:r>
        <w:rPr/>
        <w:t>相对恒生指数，二十和六十日表现分别落后約五点二二及六点五八个百分点，说明弱势不只是大盘普跌。相对香港科技粗基准二十日落后約五点一三，六十日领先約三点四〇，不能因此称保险行业强势，两个参照涵盖的业务和风险不相同。缺少同口径保险行业日线时，本章仅给市场及粗科技比较，技术结论主要建立在公司自身价格量能与恒指上。相对指数的强弱是组合机会成本信息，不是公司账面资产真伪的证据。</w:t>
      </w:r>
    </w:p>
    <w:p>
      <w:pPr>
        <w:pStyle w:val="Heading2"/>
        <w:rPr/>
      </w:pPr>
      <w:r>
        <w:rPr>
          <w:color w:val="000000"/>
        </w:rPr>
        <w:t>十一 怎样使用技术观察而不替代估值</w:t>
      </w:r>
    </w:p>
    <w:p>
      <w:pPr>
        <w:pStyle w:val="Normal"/>
        <w:rPr/>
      </w:pPr>
      <w:r>
        <w:rPr/>
        <w:t>半年观察可以分为三个阶段：先看九点二六附近卖压是否减弱，再看价格能否恢复十点四二区间上沿及短期均线，最后看十点五九至十点七一中期均价带。每一个阶段都要伴随成交活跃度合理改善和下跌日成交压力降低。所谓突破应该明确为多个交易日保持，而不是一天盘中触及。实际市场可因公告跳空直接越过价位，也可在缺乏消息时反复震荡，阶段只是检查顺序，不能当成规定价格路径。</w:t>
      </w:r>
    </w:p>
    <w:p>
      <w:pPr>
        <w:pStyle w:val="Normal"/>
        <w:rPr/>
      </w:pPr>
      <w:r>
        <w:rPr/>
        <w:t>若价格重回中期均线而盈利证据没有改善，可能只是风险偏好修复，可以支持短期交易但不能自动提高五年经营得分。若经营数据改善但价格持续下跌，应重新检查市场是否担心未公开在旧模型中的资产问题、融资或政策改变，而不是坚持市场必然错。估值和图形相互提供反证，不能互相循环证明。量价改善提高半年推荐的时点质量，正常资本回报提高长期目标可持续性，两者分别归属于不同评分维度。</w:t>
      </w:r>
    </w:p>
    <w:p>
      <w:pPr>
        <w:pStyle w:val="Normal"/>
        <w:rPr/>
      </w:pPr>
      <w:r>
        <w:rPr/>
        <w:t>技术失效条件包括放量跌破最近低点、反弹到中期均线后迅速回落、下跌日量能重新放大，以及财报披露导致原支撑区失去意义。技术观察位并非最大亏损边界；合营损失或融资消息可能造成跳空，流动性不足时退出价格也会明显偏离预想。进取标准允许承担波动，但不等于必须在下行趋势最弱的位置一次买足。研究提供条件与价位距离，具体资金比例仍需结合投资者其他持仓和可承受损失。</w:t>
      </w:r>
    </w:p>
    <w:p>
      <w:pPr>
        <w:pStyle w:val="Heading2"/>
        <w:rPr/>
      </w:pPr>
      <w:r>
        <w:rPr>
          <w:color w:val="000000"/>
        </w:rPr>
        <w:t>十二 模型结构与假设边界</w:t>
      </w:r>
    </w:p>
    <w:p>
      <w:pPr>
        <w:pStyle w:val="Normal"/>
        <w:rPr/>
      </w:pPr>
      <w:r>
        <w:rPr/>
        <w:t>模型采用一套活动输入，切换悲观、基准和乐观后，先计算各年度承保利润，再加外部正常投资收益及并表服务利润，扣余下完整费用、融资、信用损失，加已归属权益法结果，最后计正常税。额外市场公允价值损益、合营减值与税后其他综合收益分开改变净资产。这一流程保持经营利润和资本变化之间的联系，也让读者能看到某个高目标来自盈利改善还是估值倍数。普通股价格由目标净资产、市净率、全部股份和币种换算共同决定。</w:t>
      </w:r>
    </w:p>
    <w:p>
      <w:pPr>
        <w:pStyle w:val="Normal"/>
        <w:rPr/>
      </w:pPr>
      <w:r>
        <w:rPr/>
        <w:t>从六月账面值起，二〇二六年下半年滚存半个年度，随后逐年建二〇二七至二〇三一年计划，不以遥远目标年度的高利润乘所有过去年份。半年目标把二〇二七年计入四分之一，一年计入四分之三；三年计入二〇二九年前三季度，五年计入二〇三一年前三季度。季度分数是透明时间近似，非按每日精确预算。若季节性、赔付、投资交易集中在特定月份，需要用实际季度报告替换；目前没有未公开的逐季预算可填。</w:t>
      </w:r>
    </w:p>
    <w:p>
      <w:pPr>
        <w:pStyle w:val="Normal"/>
        <w:rPr/>
      </w:pPr>
      <w:r>
        <w:rPr/>
        <w:t>基准二〇二六年下半年正常年保险收入三百四十八亿元、成本率百分之九十五点八、外部投资资产三百六十亿元、正常收益率百分之三点二。该年率不意味着下半年实际签单必须等于半个年度收入，也不延伸上半年市场收益。正常承保利润约十四点六二亿元，投资收益十一点五二亿元；服务完整利润约一点一四亿元，补助及权益法后扣完整费用和税，正常年股东利润约十三点四一亿元，下半年只留存其中一半。</w:t>
      </w:r>
    </w:p>
    <w:p>
      <w:pPr>
        <w:pStyle w:val="Normal"/>
        <w:rPr/>
      </w:pPr>
      <w:r>
        <w:rPr/>
        <w:t>基准二〇二七年保险收入三百七十五亿元、成本率百分之九十四点九，正常年净利润约十七点六五亿元；二〇二九年收入四百六十亿元、成本率百分之九十三点八，净利润约二十七点〇五亿元；二〇三一年收入五百六十五亿元、成本率百分之九十三，净利润约三十七点九四亿元。收入、利润率和投资资产都属于研究预测，非公司承诺。成本率每降低一点能显著增加利润，因此这些改善不能只靠规模自动推导，必须由风险选择、费用效率和渠道关系证明。</w:t>
      </w:r>
    </w:p>
    <w:p>
      <w:pPr>
        <w:pStyle w:val="Heading2"/>
        <w:rPr/>
      </w:pPr>
      <w:r>
        <w:rPr>
          <w:color w:val="000000"/>
        </w:rPr>
        <w:t>十三 市净率与资本回报交叉验证</w:t>
      </w:r>
    </w:p>
    <w:p>
      <w:pPr>
        <w:pStyle w:val="Normal"/>
        <w:rPr/>
      </w:pPr>
      <w:r>
        <w:rPr/>
        <w:t>年底、半年、一年、三年与五年基准市净率依次零点六四、零点六八、零点七二、零点九二和一点〇二倍。前三个阶段低于一倍，反映市场应继续对收益波动及国际业务给予折价；后期接近或超过一倍，需要正常资本回报逐渐上升。净资产不是可立即分配的现金，内部技术、合营及监管不可分配部分影响价值，因此不把一倍作为天然保底。未来盈利不足以补偿资本成本时，合理市净率可以长期低于一。</w:t>
      </w:r>
    </w:p>
    <w:p>
      <w:pPr>
        <w:pStyle w:val="Normal"/>
        <w:rPr/>
      </w:pPr>
      <w:r>
        <w:rPr/>
        <w:t>正常年利润除目标期末净资产的简单资本回报代理，基准一年约百分之六点一八、三年约八点四一、五年约十点二五。它不是公司披露的平均权益收益率，也没有把多年年初与期末净资产平均后造成口径混淆。三年市净率零点九二已包含继续改善至更高回报的预期，若资本成本保持十个百分点左右而回报停在八个百分点，其合理性偏进取。五年接近一倍要求回报能持续接近资本成本，并且未来增长不消耗过多低回报资本。</w:t>
      </w:r>
    </w:p>
    <w:p>
      <w:pPr>
        <w:pStyle w:val="Normal"/>
        <w:rPr/>
      </w:pPr>
      <w:r>
        <w:rPr/>
        <w:t>使用持续回报、市净率、资本成本及增长的关系，可以检查模型是否过高。例如稳定增长三个百分点、资本成本十个百分点时，资本回报约十点二五个百分点对应略高于一倍市净率，五年基准较容易解释。若资本成本升到十二个百分点，相同回报只能支持明显更低倍数。此类稳定关系不能替代有限期估值，它假设持续回报与资本留存一致，但能提醒投资者：风险溢价上升或增长质量下降都可能阻断低市净率修复。</w:t>
      </w:r>
    </w:p>
    <w:p>
      <w:pPr>
        <w:pStyle w:val="Normal"/>
        <w:rPr/>
      </w:pPr>
      <w:r>
        <w:rPr/>
        <w:t>基准目标对应正常盈利市盈率年底约十三点一二、半年十点七六、一年十一点六五、三年十点九四、五年九点九五倍。这里使用正常年利润，非把上半年公允价值收益年化后的利润，也不是外资机构确定共识。倍数下降与利润增长同时贡献后期回报，避免五年仍使用昂贵科技市盈率的矛盾。悲观正常利润为负时，市盈率留空，不能显示一个负数再称估值便宜。乐观情景同样需要对正常盈利和市场额外收益分开检查。</w:t>
      </w:r>
    </w:p>
    <w:p>
      <w:pPr>
        <w:pStyle w:val="Heading2"/>
        <w:rPr/>
      </w:pPr>
      <w:r>
        <w:rPr>
          <w:color w:val="000000"/>
        </w:rPr>
        <w:t>十四 年底专项与情景敏感性</w:t>
      </w:r>
    </w:p>
    <w:p>
      <w:pPr>
        <w:pStyle w:val="Normal"/>
        <w:rPr/>
      </w:pPr>
      <w:r>
        <w:rPr/>
        <w:t>年底悲观价六点八四港元，考虑保费结构疲弱、成本率接近百分之九十九、外部正常收益率下降，以及额外市场损失、合营减值和负其他综合收益。该情景目标净资产约二百四十六点六九亿元，市净率零点四倍。现价下降约百分之二十八点一五，并不需要净资产全部损失；倍数压缩与净资产下降叠加就能形成较大回撤。若市场恐慌或流动性冲击更严重，实际价格还可能低于该研究情景，因此它不能作为硬底。</w:t>
      </w:r>
    </w:p>
    <w:p>
      <w:pPr>
        <w:pStyle w:val="Normal"/>
        <w:rPr/>
      </w:pPr>
      <w:r>
        <w:rPr/>
        <w:t>年底基准价十二点二一港元，对应净资产约二百七十五亿元，市净率零点六四倍。价格修复主要来自从现价约零点五一提高到零点六四，而不是剩余不足三个月突然大幅增长保险业务。基准允许继续正常盈利、少量合营减值和其他综合收益波动，不依赖额外正市场公允价值收益。催化剂是资本认可被正确理解、正常承保质量延续，以及投资者对国际业务损失不再扩大形成信心；这些都可能迟于年底发生，目标不是确定日程。</w:t>
      </w:r>
    </w:p>
    <w:p>
      <w:pPr>
        <w:pStyle w:val="Normal"/>
        <w:rPr/>
      </w:pPr>
      <w:r>
        <w:rPr/>
        <w:t>年底乐观价十七点八一港元，市净率零点九倍，净资产约二百八十五点三〇亿元，包含较好正常承保、投资收益以及额外市场收益。它较现价上涨约百分之八十七点〇八，意味着市场很快减少对账面质量的折价。短期量价尚弱，现有资料没有足以保证这种重估的单一事件。因此乐观权重只是条件研究准备，不能被解释为一年内必然发生的最高价，也不能直接用某家机构目标价替代这套年底资本变化。</w:t>
      </w:r>
    </w:p>
    <w:p>
      <w:pPr>
        <w:pStyle w:val="Normal"/>
        <w:rPr/>
      </w:pPr>
      <w:r>
        <w:rPr/>
        <w:t>默认判断权重得到十二点二六七五港元，较现价期望回报约百分之二十八点八六。提高悲观权重到四成、乐观降到一成，期望价十点六二二港元；反方向改为一成悲观四成乐观则十三点九一三港元。权重变化产生明显差异，说明期望值依赖分析者对资本和估值修复的判断。它不是历史频率估算的概率，不能以期望回报为正推导低风险，更不能用加权数隐藏悲观损失和技术弱势。</w:t>
      </w:r>
    </w:p>
    <w:p>
      <w:pPr>
        <w:pStyle w:val="Heading2"/>
        <w:rPr/>
      </w:pPr>
      <w:r>
        <w:rPr>
          <w:color w:val="000000"/>
        </w:rPr>
        <w:t>十五 半年与一年 修复逻辑和失败路径</w:t>
      </w:r>
    </w:p>
    <w:p>
      <w:pPr>
        <w:pStyle w:val="Normal"/>
        <w:rPr/>
      </w:pPr>
      <w:r>
        <w:rPr/>
        <w:t>半年基准十三点一七港元，含息与股价回报相同，因为模型没有半年分红。增长来源是下半年及下一年前段利润累积、目标市净率零点六八以及风险折价减轻。技术得分只有一点三分的原始五分标尺，权重三成拉低总分至五十七点一。这反映估值空间与时点质量之间的真实分歧。若股价仍无法站回中期均线，投资者可能等不到模型设定的半年修复；把半年高上涨空间看成高优先级会忽略这项扣分。</w:t>
      </w:r>
    </w:p>
    <w:p>
      <w:pPr>
        <w:pStyle w:val="Normal"/>
        <w:rPr/>
      </w:pPr>
      <w:r>
        <w:rPr/>
        <w:t>半年悲观六点〇六、乐观二十点八六港元，对应约负百分之三十六点三四及正百分之一百一十九点一二。悲观除了市场折价，还包含正常利润转负；乐观成本率改善并上调市净率至一点〇二，要求市场相信经营质量。观察年度结果能否把上半年投资收益与长期利润拆分清楚，是比短线价格跳涨更有用的催化剂。若年度成本率显著恶化、健康续保质量下降或合营减值超预算，半年基准逻辑需重算，不应只移动技术支撑位。</w:t>
      </w:r>
    </w:p>
    <w:p>
      <w:pPr>
        <w:pStyle w:val="Normal"/>
        <w:rPr/>
      </w:pPr>
      <w:r>
        <w:rPr/>
        <w:t>一年基准十四点二七港元，预计累计每股分红零点一五，股价回报约百分之四十九点八九、含息约五十一点四七。目标时点名义为二〇二七年十月九日，按已核验港股假期向前取十月七日。正常盈利模型使用二〇二七年完整年度能力，净资产只滚存前三季度，不把全年利润提前全部进入账面。股息从目标总股数对应净资产扣除后再计算股价，再单列含息回报，避免派息既提高现金又不降低权益的重复。</w:t>
      </w:r>
    </w:p>
    <w:p>
      <w:pPr>
        <w:pStyle w:val="Normal"/>
        <w:rPr/>
      </w:pPr>
      <w:r>
        <w:rPr/>
        <w:t>一年悲观五点五三、乐观二十四点一二港元，区间很宽，原因是资本回报与估值的变化可相互加强。到一年时点应能看到更多健康、汽车和数字生活的服务质量，而不是只靠一个市场季度。推荐失败路径包括正常投资收益率低于预计且承保没有补偿、费用效率停滞、国际业务追加资本或低价融资。若市场给低市净率是因为持续资本回报不足，则即使账面稳定，一年重估目标也可能落空。六十五点五分表示条件较半年改善，不表示盈利概率。</w:t>
      </w:r>
    </w:p>
    <w:p>
      <w:pPr>
        <w:pStyle w:val="Heading2"/>
        <w:rPr/>
      </w:pPr>
      <w:r>
        <w:rPr>
          <w:color w:val="000000"/>
        </w:rPr>
        <w:t>十六 三年 五年与十年经营持续性</w:t>
      </w:r>
    </w:p>
    <w:p>
      <w:pPr>
        <w:pStyle w:val="Normal"/>
        <w:rPr/>
      </w:pPr>
      <w:r>
        <w:rPr/>
        <w:t>三年基准二十点五二港元，累计股息零点八五，含息回报约百分之一百二十四点四七，年化百分之三十点九四。回报包含当前低倍数向零点九二修复，以及正常利润逐年留存。模型净资产约三百二十一点五六亿元、正常年利润约二十七点〇五亿元。它没有采用三年末盈利乘三年去填前期资本，保留逐年变化，因而经营改善的时间影响已经显式呈现。若二〇二七与二〇二八改善较慢，三年目标将下降，即使末年收入预测暂时未变。</w:t>
      </w:r>
    </w:p>
    <w:p>
      <w:pPr>
        <w:pStyle w:val="Normal"/>
        <w:rPr/>
      </w:pPr>
      <w:r>
        <w:rPr/>
        <w:t>三年悲观三点七九、乐观三十六点五七港元。悲观包含连续正常亏损、投资及合营损失和低价资本补充，不能因为公司目前偿付率高就排除未来融资。乐观要求保险收入扩大、成本率持续下降、服务及国际权益法利润有真实归属贡献。盈利规模之外应看单位资本消耗：规模增长伴随投资风险与最低资本增加，账面利润不一定全部可分配。三年分数七十点四仍保留资本、治理和风险扣分，它是一组需要经营验证的进取回报条件。</w:t>
      </w:r>
    </w:p>
    <w:p>
      <w:pPr>
        <w:pStyle w:val="Normal"/>
        <w:rPr/>
      </w:pPr>
      <w:r>
        <w:rPr/>
        <w:t>五年基准二十六点一八港元、累计分红二点二〇，含息回报約百分之一百九十八点一一、年化百分之二十四点四二。目标净资产约三百七十点〇五亿元，正常年净利润约三十七点九四亿元，市净率一点〇二。与三年相比年化回报下降，因为最初的估值修复不能无限重复，后续依赖较真实的利润增长。公司若长期没有稳定资本回报，五年持有时间本身不会修复错误。基准仅给温和超过账面的倍数，仍对保险风险和资本占用保持约束。</w:t>
      </w:r>
    </w:p>
    <w:p>
      <w:pPr>
        <w:pStyle w:val="Normal"/>
        <w:rPr/>
      </w:pPr>
      <w:r>
        <w:rPr/>
        <w:t>五年悲观二点七五、乐观五十点五六港元，分别显示资本损耗与盈利扩张的累积效果。悲观净融资四十亿元且发行价七港元，新增股份约六点六七六六亿，持有人被稀释；资金进入净资产并未被删除。乐观正常年利润约七十七点八三亿元、成本率百分之九十点五、市净率一点四五，属于显著效率和市场拓展成功的要求。成熟财产险企业也会受到赔付周期冲击，不能只靠科技标签解释这样的长期优势，必须有多年赔付与费用证据支持。</w:t>
      </w:r>
    </w:p>
    <w:p>
      <w:pPr>
        <w:pStyle w:val="Normal"/>
        <w:rPr/>
      </w:pPr>
      <w:r>
        <w:rPr/>
        <w:t>十年展望不再给一个貌似精确的股价，而考察是否还能创造超过资本成本的回报。健康保障与数字生活场景可能长期存在，行业规则、平台地位和客户习惯却可能改变。长期竞争力来自可解释的风险定价、有效理赔、客户续保、纪律性投资与资本配置。技术工具会普及，今天独有的系统功能十年后可能成为行业标准。若众安仍需要不断增加营销和资本才能维持保费，其成熟期市净率难大幅高于一；若形成稳定直接客户和高效风险池，才有长期溢价基础。</w:t>
      </w:r>
    </w:p>
    <w:p>
      <w:pPr>
        <w:pStyle w:val="Heading2"/>
        <w:rPr/>
      </w:pPr>
      <w:r>
        <w:rPr>
          <w:color w:val="000000"/>
        </w:rPr>
        <w:t>十七 外资目标与宏观情景的使用</w:t>
      </w:r>
    </w:p>
    <w:p>
      <w:pPr>
        <w:pStyle w:val="Normal"/>
        <w:rPr/>
      </w:pPr>
      <w:r>
        <w:rPr/>
        <w:t>最近九十天内可核验的摩根士丹利九月十六日目标十四点六港元、增持评级，正文预期全年保费低个位增长与成本率约百分之九十六，并上调未来净利预测。该价较现价高，但报道没有明确目标期限，本章记录为空，不能擅自称十二个月确定目标。模型一年基准十四点二七与之相近，理由来自本研究正常盈利与资本假设，而不是将机构价复制到目标表。原研报未取得，新闻转述只能作为外部参照，证据可信度低于公司原件。</w:t>
      </w:r>
    </w:p>
    <w:p>
      <w:pPr>
        <w:pStyle w:val="Normal"/>
        <w:rPr/>
      </w:pPr>
      <w:r>
        <w:rPr/>
        <w:t>美银三月二十日十六点一港元、买入，以预测市净率零点九解释目标；瑞银三月二日十七点五港元、中性，属于年度结果前预测。这些均超过九十天且在中报前，本章保留为最新公开旧参照，不当成十月更新的一致预期。招银三月二十五日十八港元属于中资机构，新闻成本率方向写错，已对原件纠正。机构目标差异还受盈利正常化、资本回报和折价不同影响，不能对四个数字取平均就得到可核验年底期望价。</w:t>
      </w:r>
    </w:p>
    <w:p>
      <w:pPr>
        <w:pStyle w:val="Normal"/>
        <w:rPr/>
      </w:pPr>
      <w:r>
        <w:rPr/>
        <w:t>宏观前景对众安的作用通过客户购买能力、保险价格、利率、股市及香港国际业务多条路径发生。消费恢复增加场景交易，医疗保障需求增加未必同步提高利润，因为支付能力不足时价格竞争也会激烈。股票市场上涨能改善账面与投资收益，但同时提升风险资产占比及最低资本。利率下降可能帮助市场估值，也可能压正常投资收益。研究情景采用公开驱动而非给宏观一句方向判断，再把所有业务预测统一提高。</w:t>
      </w:r>
    </w:p>
    <w:p>
      <w:pPr>
        <w:pStyle w:val="Normal"/>
        <w:rPr/>
      </w:pPr>
      <w:r>
        <w:rPr/>
        <w:t>人民币经营利润换算港元目标使用固定研究汇率，另应看投资者人民币总回报。若港币相对人民币变化，人民币投资者收到的价值会改变，即便港元股价达到同一目标。示例同一港元含息终值，港币人民币汇率下降百分之五，人民币回报应将港元终值比例乘零点九五后再减一；上升则乘一点〇五。不能给港元涨幅加减五个百分点冒充准确回报。汇率变化也可能影响集团国际资产与其他综合收益，单纯投资者换算敏感性不替代公司经营模型。</w:t>
      </w:r>
    </w:p>
    <w:p>
      <w:pPr>
        <w:pStyle w:val="Heading2"/>
        <w:rPr/>
      </w:pPr>
      <w:r>
        <w:rPr>
          <w:color w:val="000000"/>
        </w:rPr>
        <w:t>十八 反证 更新与结论</w:t>
      </w:r>
    </w:p>
    <w:p>
      <w:pPr>
        <w:pStyle w:val="Normal"/>
        <w:rPr/>
      </w:pPr>
      <w:r>
        <w:rPr/>
        <w:t>推翻推荐的首要经营证据，是多个报告期成本率接近或超过百分之一百，而保费增长主要来自风险更高、定价更低的产品。其次是健康或汽车业务较好表现不能延续，数字生活渠道费用上升吞噬利润，科技收入增长没有带来并表现金回款。投资端若正常收益持续下降、必须依靠卖出历史盈利资产维持净利，应下调正常收益率。合营减值、追加投资和权益法亏损需要同时核验，不能只追踪银行独立的好消息。</w:t>
      </w:r>
    </w:p>
    <w:p>
      <w:pPr>
        <w:pStyle w:val="Normal"/>
        <w:rPr/>
      </w:pPr>
      <w:r>
        <w:rPr/>
        <w:t>资本层面的反证包括监管最低资本随着风险资产上升加速增加、基础流动性覆盖率下降、回购融资持续增长且资产变现能力变差。六月资本充足的事实不应被忽视，也不能阻止对这些信号重新判断。若未来配股发生，模型必须在同一时点加入净资金、改变全部股数，并检视发行价格和监管认可时间。合并账面和监管资本各自更新，不把未来获批当已经获批，也不把会计增加当即时可分红资本。</w:t>
      </w:r>
    </w:p>
    <w:p>
      <w:pPr>
        <w:pStyle w:val="Normal"/>
        <w:rPr/>
      </w:pPr>
      <w:r>
        <w:rPr/>
        <w:t>技术层面的反证是新的价格和成交量推翻原区间观察，财务层面的反证是普通股利润、净资产或分红低于基准。更新时保存价格基准与数据版本，新的收盘价属于新研究期，不能覆盖二〇二六年十月九日比较表。情景输入修改后应重新切换计算三种快照，旧结果标记待刷新。当前专用公式桥已核验三种情景和所有原子字段修改，但最终整套文件数字及视觉验收仍由总报告流程完成，单公司模型通过不等同于全名单交付完成。</w:t>
      </w:r>
    </w:p>
    <w:p>
      <w:pPr>
        <w:pStyle w:val="Normal"/>
        <w:rPr/>
      </w:pPr>
      <w:r>
        <w:rPr/>
        <w:t>众安的长期吸引力来自较低起点估值和可改善的承保效率，而短期劣势是价格趋势弱、投资收益正常化后资本回报仍有限。进取研究愿意给三至五年更高得分，是因为逐年经营改善与有限估值修复能产生较大回报，同时完整呈现资本损耗与稀释的失败路径。决定能否进入最优推荐梯队的，不是科技名称、历史高价或外资目标，而是全名单比较下的风险回报、实际量价确认以及正常利润能否兑现。本章结论应随上述可检验事实改变。</w:t>
      </w:r>
    </w:p>
    <w:p>
      <w:pPr>
        <w:pStyle w:val="Heading2"/>
        <w:rPr/>
      </w:pPr>
      <w:r>
        <w:rPr>
          <w:color w:val="000000"/>
        </w:rPr>
        <w:t>来源与模型核验</w:t>
      </w:r>
    </w:p>
    <w:p>
      <w:pPr>
        <w:pStyle w:val="Normal"/>
        <w:rPr/>
      </w:pPr>
      <w:r>
        <w:rPr/>
        <w:t>- FY2025</w:t>
      </w:r>
      <w:r>
        <w:rPr/>
        <w:t>完整年度结果及附注首发：</w:t>
      </w:r>
      <w:r>
        <w:rPr/>
        <w:t>2026-03-19 16:58</w:t>
      </w:r>
      <w:r>
        <w:rPr/>
        <w:t>，收盘后，</w:t>
      </w:r>
      <w:r>
        <w:rPr/>
        <w:t>[</w:t>
      </w:r>
      <w:r>
        <w:rPr/>
        <w:t>交易所原件</w:t>
      </w:r>
      <w:r>
        <w:rPr/>
        <w:t>](https://www1.hkexnews.hk/listedco/listconews/sehk/2026/0319/2026031900592.pdf)</w:t>
      </w:r>
      <w:r>
        <w:rPr/>
        <w:t>；年报</w:t>
      </w:r>
      <w:r>
        <w:rPr/>
        <w:t>2026-04-28 19:04</w:t>
      </w:r>
      <w:r>
        <w:rPr/>
        <w:t>再次发布。</w:t>
      </w:r>
    </w:p>
    <w:p>
      <w:pPr>
        <w:pStyle w:val="Normal"/>
        <w:rPr/>
      </w:pPr>
      <w:r>
        <w:rPr/>
        <w:t>- H1</w:t>
      </w:r>
      <w:r>
        <w:rPr/>
        <w:t>完整结果及附注首发：</w:t>
      </w:r>
      <w:r>
        <w:rPr/>
        <w:t>2026-08-25 16:31</w:t>
      </w:r>
      <w:r>
        <w:rPr/>
        <w:t>，收盘后，</w:t>
      </w:r>
      <w:r>
        <w:rPr/>
        <w:t>[</w:t>
      </w:r>
      <w:r>
        <w:rPr/>
        <w:t>交易所原件</w:t>
      </w:r>
      <w:r>
        <w:rPr/>
        <w:t>](https://www1.hkexnews.hk/listedco/listconews/sehk/2026/0825/2026082500366.pdf)</w:t>
      </w:r>
      <w:r>
        <w:rPr/>
        <w:t>；中报</w:t>
      </w:r>
      <w:r>
        <w:rPr/>
        <w:t>2026-09-07 19:07</w:t>
      </w:r>
      <w:r>
        <w:rPr/>
        <w:t>再次发布。</w:t>
      </w:r>
    </w:p>
    <w:p>
      <w:pPr>
        <w:pStyle w:val="Normal"/>
        <w:rPr/>
      </w:pPr>
      <w:r>
        <w:rPr/>
        <w:t xml:space="preserve">- </w:t>
      </w:r>
      <w:r>
        <w:rPr/>
        <w:t>九月股份月报</w:t>
      </w:r>
      <w:r>
        <w:rPr/>
        <w:t>2026-10-07 19:00</w:t>
      </w:r>
      <w:r>
        <w:rPr/>
        <w:t>，</w:t>
      </w:r>
      <w:r>
        <w:rPr/>
        <w:t>[</w:t>
      </w:r>
      <w:r>
        <w:rPr/>
        <w:t>原件</w:t>
      </w:r>
      <w:r>
        <w:rPr/>
        <w:t>](https://www1.hkexnews.hk/listedco/listconews/sehk/2026/1007/2026100701701.pdf)</w:t>
      </w:r>
      <w:r>
        <w:rPr/>
        <w:t>。</w:t>
      </w:r>
      <w:r>
        <w:rPr/>
        <w:t>Q1</w:t>
      </w:r>
      <w:r>
        <w:rPr/>
        <w:t>资本原件</w:t>
      </w:r>
      <w:r>
        <w:rPr/>
        <w:t>2026-04-30 19:02</w:t>
      </w:r>
      <w:r>
        <w:rPr/>
        <w:t>；</w:t>
      </w:r>
      <w:r>
        <w:rPr/>
        <w:t>Q2</w:t>
      </w:r>
      <w:r>
        <w:rPr/>
        <w:t>官网</w:t>
      </w:r>
      <w:r>
        <w:rPr/>
        <w:t>2026-08-25</w:t>
      </w:r>
      <w:r>
        <w:rPr/>
        <w:t>发布日期可核验，时刻未公开、收盘前后未知，</w:t>
      </w:r>
      <w:r>
        <w:rPr/>
        <w:t>[</w:t>
      </w:r>
      <w:r>
        <w:rPr/>
        <w:t>监管摘要</w:t>
      </w:r>
      <w:r>
        <w:rPr/>
        <w:t>](https://static.zhongan.com/upload/online/material/1787654100607.pdf)</w:t>
      </w:r>
      <w:r>
        <w:rPr/>
        <w:t>，</w:t>
      </w:r>
      <w:r>
        <w:rPr/>
        <w:t>[</w:t>
      </w:r>
      <w:r>
        <w:rPr/>
        <w:t>日期清单</w:t>
      </w:r>
      <w:r>
        <w:rPr/>
        <w:t>](https://www.zhongan.com/channel/public/publicInfo_cfnl2018.html)</w:t>
      </w:r>
      <w:r>
        <w:rPr/>
        <w:t>。</w:t>
      </w:r>
    </w:p>
    <w:p>
      <w:pPr>
        <w:pStyle w:val="Normal"/>
        <w:rPr/>
      </w:pPr>
      <w:r>
        <w:rPr/>
        <w:t xml:space="preserve">- </w:t>
      </w:r>
      <w:r>
        <w:rPr/>
        <w:t>配股与国际合营资本原件分别</w:t>
      </w:r>
      <w:r>
        <w:rPr/>
        <w:t>2025-07-04</w:t>
      </w:r>
      <w:r>
        <w:rPr/>
        <w:t>及</w:t>
      </w:r>
      <w:r>
        <w:rPr/>
        <w:t>2025-08-31</w:t>
      </w:r>
      <w:r>
        <w:rPr/>
        <w:t>；公开新闻目标逐条记录于模型</w:t>
      </w:r>
      <w:r>
        <w:rPr/>
        <w:t>brokerTargets</w:t>
      </w:r>
      <w:r>
        <w:rPr/>
        <w:t>。行情使用锁定文件的两个来源与复权、成交量口径，未新抓现价替换。</w:t>
      </w:r>
    </w:p>
    <w:p>
      <w:pPr>
        <w:pStyle w:val="Normal"/>
        <w:rPr/>
      </w:pPr>
      <w:r>
        <w:rPr/>
        <w:t xml:space="preserve">- </w:t>
      </w:r>
      <w:r>
        <w:rPr/>
        <w:t>模型</w:t>
      </w:r>
      <w:r>
        <w:rPr/>
        <w:t>data/zhongan_model.json</w:t>
      </w:r>
      <w:r>
        <w:rPr/>
        <w:t>；活动计算</w:t>
      </w:r>
      <w:r>
        <w:rPr/>
        <w:t>tools/zhongan_native.mjs</w:t>
      </w:r>
      <w:r>
        <w:rPr/>
        <w:t>；四表公式</w:t>
      </w:r>
      <w:r>
        <w:rPr/>
        <w:t>tools/zhongan_workbook.mjs</w:t>
      </w:r>
      <w:r>
        <w:rPr/>
        <w:t>；独立源桥、正文与公式</w:t>
      </w:r>
      <w:r>
        <w:rPr/>
        <w:t>QA</w:t>
      </w:r>
      <w:r>
        <w:rPr/>
        <w:t>见</w:t>
      </w:r>
      <w:r>
        <w:rPr/>
        <w:t>qa/zhongan_qa.json</w:t>
      </w:r>
      <w:r>
        <w:rPr/>
        <w:t>及</w:t>
      </w:r>
      <w:r>
        <w:rPr/>
        <w:t>qa/zhongan_native_workbook_qa.json</w:t>
      </w:r>
      <w:r>
        <w:rPr/>
        <w:t>。所有经营与估值预测是研究假设，非公开业绩指引。</w:t>
      </w:r>
      <w:r>
        <w:br w:type="page"/>
      </w:r>
    </w:p>
    <w:p>
      <w:pPr>
        <w:pStyle w:val="Heading1"/>
        <w:spacing w:before="0" w:after="0"/>
        <w:rPr/>
      </w:pPr>
      <w:bookmarkStart w:id="3" w:name="__RefHeading___Toc48420_1364803659"/>
      <w:bookmarkEnd w:id="3"/>
      <w:r>
        <w:rPr>
          <w:color w:val="000000"/>
        </w:rPr>
        <w:t xml:space="preserve">泰格医药 </w:t>
      </w:r>
      <w:r>
        <w:rPr>
          <w:color w:val="000000"/>
        </w:rPr>
        <w:t>03347 HK</w:t>
      </w:r>
    </w:p>
    <w:p>
      <w:pPr>
        <w:pStyle w:val="Normal"/>
        <w:rPr/>
      </w:pPr>
      <w:r>
        <w:rPr/>
        <w:t xml:space="preserve">03347.HK </w:t>
      </w:r>
      <w:r>
        <w:rPr/>
        <w:t xml:space="preserve">现价 </w:t>
      </w:r>
      <w:r>
        <w:rPr/>
        <w:t>44.56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40.28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45.45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51.04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+16.69%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+19.72%</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-59.64%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37.66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58.46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+31.20%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37.94HKD</w:t>
      </w:r>
      <w:r>
        <w:rPr/>
        <w:t>，期望股价回报</w:t>
      </w:r>
      <w:r>
        <w:rPr/>
        <w:t>-14.86%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13.49</w:t>
              <w:br/>
              <w:t>-69.73%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40.28</w:t>
              <w:br/>
              <w:t>-9.60%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68.53</w:t>
              <w:br/>
              <w:t>+53.79%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13.11</w:t>
              <w:br/>
              <w:t>-70.58%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45.45</w:t>
              <w:br/>
              <w:t>+1.99%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75.34</w:t>
              <w:br/>
              <w:t>+69.08%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w:t>
              <w:br/>
              <w:t>-83.17%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51.04</w:t>
              <w:br/>
              <w:t>+14.55%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102.74</w:t>
              <w:br/>
              <w:t>+130.56%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5.94</w:t>
              <w:br/>
              <w:t>-86.66%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52.00</w:t>
              <w:br/>
              <w:t>+16.69%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121.88</w:t>
              <w:br/>
              <w:t>+173.53%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A/H</w:t>
            </w:r>
            <w:r>
              <w:rPr>
                <w:rFonts w:ascii="微软雅黑" w:hAnsi="微软雅黑" w:eastAsia="微软雅黑"/>
                <w:sz w:val="17"/>
              </w:rPr>
              <w:t>同口径原件；投资归属穿透及</w:t>
            </w:r>
            <w:r>
              <w:rPr>
                <w:rFonts w:eastAsia="微软雅黑" w:ascii="微软雅黑" w:hAnsi="微软雅黑"/>
                <w:sz w:val="17"/>
              </w:rPr>
              <w:t>CB</w:t>
            </w:r>
            <w:r>
              <w:rPr>
                <w:rFonts w:ascii="微软雅黑" w:hAnsi="微软雅黑" w:eastAsia="微软雅黑"/>
                <w:sz w:val="17"/>
              </w:rPr>
              <w:t>抵销桥缺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w:t>
            </w:r>
            <w:r>
              <w:rPr>
                <w:rFonts w:eastAsia="微软雅黑" w:ascii="微软雅黑" w:hAnsi="微软雅黑"/>
                <w:sz w:val="17"/>
              </w:rPr>
              <w:t>739</w:t>
            </w:r>
            <w:r>
              <w:rPr>
                <w:rFonts w:ascii="微软雅黑" w:hAnsi="微软雅黑" w:eastAsia="微软雅黑"/>
                <w:sz w:val="17"/>
              </w:rPr>
              <w:t>日</w:t>
            </w:r>
            <w:r>
              <w:rPr>
                <w:rFonts w:eastAsia="微软雅黑" w:ascii="微软雅黑" w:hAnsi="微软雅黑"/>
                <w:sz w:val="17"/>
              </w:rPr>
              <w:t>/157</w:t>
            </w:r>
            <w:r>
              <w:rPr>
                <w:rFonts w:ascii="微软雅黑" w:hAnsi="微软雅黑" w:eastAsia="微软雅黑"/>
                <w:sz w:val="17"/>
              </w:rPr>
              <w:t>周；匹配</w:t>
            </w:r>
            <w:r>
              <w:rPr>
                <w:rFonts w:eastAsia="微软雅黑" w:ascii="微软雅黑" w:hAnsi="微软雅黑"/>
                <w:sz w:val="17"/>
              </w:rPr>
              <w:t>CRO</w:t>
            </w:r>
            <w:r>
              <w:rPr>
                <w:rFonts w:ascii="微软雅黑" w:hAnsi="微软雅黑" w:eastAsia="微软雅黑"/>
                <w:sz w:val="17"/>
              </w:rPr>
              <w:t>行业基准缺</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中低：正常盈利</w:t>
            </w:r>
            <w:r>
              <w:rPr>
                <w:rFonts w:eastAsia="微软雅黑" w:ascii="微软雅黑" w:hAnsi="微软雅黑"/>
                <w:sz w:val="17"/>
              </w:rPr>
              <w:t>/</w:t>
            </w:r>
            <w:r>
              <w:rPr>
                <w:rFonts w:ascii="微软雅黑" w:hAnsi="微软雅黑" w:eastAsia="微软雅黑"/>
                <w:sz w:val="17"/>
              </w:rPr>
              <w:t>合理倍数</w:t>
            </w:r>
            <w:r>
              <w:rPr>
                <w:rFonts w:eastAsia="微软雅黑" w:ascii="微软雅黑" w:hAnsi="微软雅黑"/>
                <w:sz w:val="17"/>
              </w:rPr>
              <w:t>/</w:t>
            </w:r>
            <w:r>
              <w:rPr>
                <w:rFonts w:ascii="微软雅黑" w:hAnsi="微软雅黑" w:eastAsia="微软雅黑"/>
                <w:sz w:val="17"/>
              </w:rPr>
              <w:t>现金及融资模型假设</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机构目标</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中：公开新闻原文已核，原研报与明确期限缺</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-14.12%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+7.51%</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+16.01%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+21.81%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+13.73%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+19.72%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+25.70%</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证券：</w:t>
      </w:r>
      <w:r>
        <w:rPr/>
        <w:t>03347.HK</w:t>
      </w:r>
      <w:r>
        <w:rPr/>
        <w:t xml:space="preserve">；发行人 </w:t>
      </w:r>
      <w:r>
        <w:rPr/>
        <w:t>I044</w:t>
      </w:r>
      <w:r>
        <w:rPr/>
        <w:t xml:space="preserve">；证券 </w:t>
      </w:r>
      <w:r>
        <w:rPr/>
        <w:t>S051</w:t>
      </w:r>
      <w:r>
        <w:rPr/>
        <w:t xml:space="preserve">。价格与历史行情锁定 </w:t>
      </w:r>
      <w:r>
        <w:rPr/>
        <w:t>market-v1.6</w:t>
      </w:r>
      <w:r>
        <w:rPr/>
        <w:t>，</w:t>
      </w:r>
      <w:r>
        <w:rPr/>
        <w:t>2026</w:t>
      </w:r>
      <w:r>
        <w:rPr/>
        <w:t>年</w:t>
      </w:r>
      <w:r>
        <w:rPr/>
        <w:t>10</w:t>
      </w:r>
      <w:r>
        <w:rPr/>
        <w:t>月</w:t>
      </w:r>
      <w:r>
        <w:rPr/>
        <w:t>9</w:t>
      </w:r>
      <w:r>
        <w:rPr/>
        <w:t>日收盘</w:t>
      </w:r>
      <w:r>
        <w:rPr/>
        <w:t>44.56</w:t>
      </w:r>
      <w:r>
        <w:rPr/>
        <w:t>港元。公司</w:t>
      </w:r>
      <w:r>
        <w:rPr/>
        <w:t>A</w:t>
      </w:r>
      <w:r>
        <w:rPr/>
        <w:t>股</w:t>
      </w:r>
      <w:r>
        <w:rPr/>
        <w:t>300347</w:t>
      </w:r>
      <w:r>
        <w:rPr/>
        <w:t>用于核验同一发行人的基本面；本名单不另作</w:t>
      </w:r>
      <w:r>
        <w:rPr/>
        <w:t>A</w:t>
      </w:r>
      <w:r>
        <w:rPr/>
        <w:t>股证券推荐。单位另有说明外为人民币，目标价为港元。</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不单列评分</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17.98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37.66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58.46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15.49%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15.49%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13.49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40.28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68.53</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9.60%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9.60%</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63.3</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13.11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45.45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75.34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65.9</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7.50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51.04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102.74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16.01%</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52.00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121.88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16.69%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19.72%</w:t>
            </w:r>
          </w:p>
        </w:tc>
      </w:tr>
    </w:tbl>
    <w:p>
      <w:pPr>
        <w:pStyle w:val="Normal"/>
        <w:rPr/>
      </w:pPr>
      <w:r>
        <w:rPr/>
      </w:r>
    </w:p>
    <w:p>
      <w:pPr>
        <w:pStyle w:val="Normal"/>
        <w:rPr/>
      </w:pPr>
      <w:r>
        <w:rPr/>
        <w:t>本表为模型四舍五入展示，</w:t>
      </w:r>
      <w:r>
        <w:rPr/>
        <w:t>Excel</w:t>
      </w:r>
      <w:r>
        <w:rPr/>
        <w:t>和模型</w:t>
      </w:r>
      <w:r>
        <w:rPr/>
        <w:t>JSON</w:t>
      </w:r>
      <w:r>
        <w:rPr/>
        <w:t>保留全精度。未来分红、盈利、税、股数、估值及汇率均为研究假设。独立初版观察梯队；正式梯队由全名单同期限排序确定，不把分数当获利概率。</w:t>
      </w:r>
    </w:p>
    <w:p>
      <w:pPr>
        <w:pStyle w:val="Heading2"/>
        <w:rPr/>
      </w:pPr>
      <w:r>
        <w:rPr>
          <w:color w:val="000000"/>
        </w:rPr>
        <w:t>投资结论</w:t>
      </w:r>
    </w:p>
    <w:p>
      <w:pPr>
        <w:pStyle w:val="Normal"/>
        <w:rPr/>
      </w:pPr>
      <w:r>
        <w:rPr/>
        <w:t>泰格医药是有临床服务网络、有全球化业务、也有大规模医药金融投资的复合公司。本研究认为其订单与临床收入正在恢复，但当前港股价格已要求较强的利润兑现，因此在进取型名单中属于观察和择价参与对象。它并不是看见报告亏损就应排除的公司，也不能因为投资亏损可剔除、收入增长恢复，就忽略核心毛利率下降。半年更需要价格提供补偿，一至三年更需要验证高价新合同能否真正替换低价旧合同。</w:t>
      </w:r>
    </w:p>
    <w:p>
      <w:pPr>
        <w:pStyle w:val="Normal"/>
        <w:rPr/>
      </w:pPr>
      <w:r>
        <w:rPr/>
        <w:t>44.56</w:t>
      </w:r>
      <w:r>
        <w:rPr/>
        <w:t>港元的价格，以研究换算每人民币对应</w:t>
      </w:r>
      <w:r>
        <w:rPr/>
        <w:t>1.10</w:t>
      </w:r>
      <w:r>
        <w:rPr/>
        <w:t>港元，约相当于</w:t>
      </w:r>
      <w:r>
        <w:rPr/>
        <w:t>40.51</w:t>
      </w:r>
      <w:r>
        <w:rPr/>
        <w:t>元人民币。用全部已发行</w:t>
      </w:r>
      <w:r>
        <w:rPr/>
        <w:t>A/H</w:t>
      </w:r>
      <w:r>
        <w:rPr/>
        <w:t>股份作分母，滚动报告盈利仅约</w:t>
      </w:r>
      <w:r>
        <w:rPr/>
        <w:t>9139</w:t>
      </w:r>
      <w:r>
        <w:rPr/>
        <w:t>万元，报告市盈率约</w:t>
      </w:r>
      <w:r>
        <w:rPr/>
        <w:t>382</w:t>
      </w:r>
      <w:r>
        <w:rPr/>
        <w:t>倍；滚动扣非归母</w:t>
      </w:r>
      <w:r>
        <w:rPr/>
        <w:t>4.22</w:t>
      </w:r>
      <w:r>
        <w:rPr/>
        <w:t>亿元，对应约</w:t>
      </w:r>
      <w:r>
        <w:rPr/>
        <w:t>83</w:t>
      </w:r>
      <w:r>
        <w:rPr/>
        <w:t>倍。将上半年扣非简单年化也约</w:t>
      </w:r>
      <w:r>
        <w:rPr/>
        <w:t>63</w:t>
      </w:r>
      <w:r>
        <w:rPr/>
        <w:t>倍。这些比率说明市场正按未来复苏而非当前盈利定价，不能用</w:t>
      </w:r>
      <w:r>
        <w:rPr/>
        <w:t>2025</w:t>
      </w:r>
      <w:r>
        <w:rPr/>
        <w:t>年报告</w:t>
      </w:r>
      <w:r>
        <w:rPr/>
        <w:t>EPS</w:t>
      </w:r>
      <w:r>
        <w:rPr/>
        <w:t>或者高峰时期利润给出便宜结论。正常盈利恢复本身有价值，但恢复的幅度已成为价格敏感点。</w:t>
      </w:r>
    </w:p>
    <w:p>
      <w:pPr>
        <w:pStyle w:val="Normal"/>
        <w:rPr/>
      </w:pPr>
      <w:r>
        <w:rPr/>
        <w:t>本版年底基准正常归母约</w:t>
      </w:r>
      <w:r>
        <w:rPr/>
        <w:t>6.02</w:t>
      </w:r>
      <w:r>
        <w:rPr/>
        <w:t>亿元，</w:t>
      </w:r>
      <w:r>
        <w:rPr/>
        <w:t>EPS</w:t>
      </w:r>
      <w:r>
        <w:rPr/>
        <w:t>约</w:t>
      </w:r>
      <w:r>
        <w:rPr/>
        <w:t>0.699</w:t>
      </w:r>
      <w:r>
        <w:rPr/>
        <w:t>元，以</w:t>
      </w:r>
      <w:r>
        <w:rPr/>
        <w:t>49</w:t>
      </w:r>
      <w:r>
        <w:rPr/>
        <w:t>倍港股正常市盈率得到</w:t>
      </w:r>
      <w:r>
        <w:rPr/>
        <w:t>37.66</w:t>
      </w:r>
      <w:r>
        <w:rPr/>
        <w:t>港元。这里的</w:t>
      </w:r>
      <w:r>
        <w:rPr/>
        <w:t>49</w:t>
      </w:r>
      <w:r>
        <w:rPr/>
        <w:t>倍是目标时点倍数，现价对应同一盈利约</w:t>
      </w:r>
      <w:r>
        <w:rPr/>
        <w:t>58</w:t>
      </w:r>
      <w:r>
        <w:rPr/>
        <w:t>倍，两个数字不能混淆。基准情景可以包含经营改善却仍有负股价回报，因为盈利增长不足以抵消高估值收缩。年底乐观</w:t>
      </w:r>
      <w:r>
        <w:rPr/>
        <w:t>58.46</w:t>
      </w:r>
      <w:r>
        <w:rPr/>
        <w:t>港元需要更高收入、成本改善及</w:t>
      </w:r>
      <w:r>
        <w:rPr/>
        <w:t>56</w:t>
      </w:r>
      <w:r>
        <w:rPr/>
        <w:t>倍估值共同成立；</w:t>
      </w:r>
      <w:r>
        <w:rPr/>
        <w:t>17.98</w:t>
      </w:r>
      <w:r>
        <w:rPr/>
        <w:t>港元悲观值反映利润修复失望和风险溢价上升，不是最大损失边界。</w:t>
      </w:r>
    </w:p>
    <w:p>
      <w:pPr>
        <w:pStyle w:val="Normal"/>
        <w:rPr/>
      </w:pPr>
      <w:r>
        <w:rPr/>
        <w:t>一年底基准</w:t>
      </w:r>
      <w:r>
        <w:rPr/>
        <w:t>45.45</w:t>
      </w:r>
      <w:r>
        <w:rPr/>
        <w:t>港元，含研究分红</w:t>
      </w:r>
      <w:r>
        <w:rPr/>
        <w:t>0.18</w:t>
      </w:r>
      <w:r>
        <w:rPr/>
        <w:t>港元后回报约</w:t>
      </w:r>
      <w:r>
        <w:rPr/>
        <w:t>2.39%</w:t>
      </w:r>
      <w:r>
        <w:rPr/>
        <w:t>；三年和五年基准含息年化分别约</w:t>
      </w:r>
      <w:r>
        <w:rPr/>
        <w:t>5.08%</w:t>
      </w:r>
      <w:r>
        <w:rPr/>
        <w:t>和</w:t>
      </w:r>
      <w:r>
        <w:rPr/>
        <w:t>3.66%</w:t>
      </w:r>
      <w:r>
        <w:rPr/>
        <w:t>。这是把合理倍数逐步下调、人员和研发成本继续保留后的结果。乐观多年价格明显更高，说明这家公司有经营杠杆，但不能把所有增长都留给股东而把全球扩张成本删去。若投资者的目标是较高长期年化回报，现价需要乐观路径占据较大权重，或需要更有利的买入价格。</w:t>
      </w:r>
    </w:p>
    <w:p>
      <w:pPr>
        <w:pStyle w:val="Normal"/>
        <w:rPr/>
      </w:pPr>
      <w:r>
        <w:rPr/>
        <w:t>结论成立的首要条件是净新订单改善能够连续转化为确认收入，并且新合同的平均价和质量改善强于人员成本增长。第二个条件是海外实验室及同步临床试验扩张形成效率，而不是仅增加地区和人数。第三个条件是金融投资、基金管理和回购行为不再持续占用主营现金。原始公告提供收入、利润、现金及项目数，但净新订单精确金额和取消率仍缺，这使得订单兑现判断的可信度低于已实现财务数据。</w:t>
      </w:r>
    </w:p>
    <w:p>
      <w:pPr>
        <w:pStyle w:val="Normal"/>
        <w:rPr/>
      </w:pPr>
      <w:r>
        <w:rPr/>
        <w:t>推荐的反证必须具体。若未来收入仍增长而临床技术毛利率持续在约</w:t>
      </w:r>
      <w:r>
        <w:rPr/>
        <w:t>21%</w:t>
      </w:r>
      <w:r>
        <w:rPr/>
        <w:t>附近下行，扣非增长主要来自费用递延、税收或联营波动，盈利改善逻辑应被下调。若订单取消或回款拖延重新增加、核心客户将境外项目转给其他</w:t>
      </w:r>
      <w:r>
        <w:rPr/>
        <w:t>CRO</w:t>
      </w:r>
      <w:r>
        <w:rPr/>
        <w:t>、数据监管限制跨境服务，则多年增长假设应重估。若基金投资继续以借款支持、母公司现金不能从子公司回流，或治理披露再次失误，高倍数应更快收缩，而不是把这些问题当一次性噪音。</w:t>
      </w:r>
    </w:p>
    <w:p>
      <w:pPr>
        <w:pStyle w:val="Heading2"/>
        <w:rPr/>
      </w:pPr>
      <w:r>
        <w:rPr>
          <w:color w:val="000000"/>
        </w:rPr>
        <w:t>业务经济性与临床价值</w:t>
      </w:r>
    </w:p>
    <w:p>
      <w:pPr>
        <w:pStyle w:val="Normal"/>
        <w:rPr/>
      </w:pPr>
      <w:r>
        <w:rPr/>
        <w:t>临床</w:t>
      </w:r>
      <w:r>
        <w:rPr/>
        <w:t>CRO</w:t>
      </w:r>
      <w:r>
        <w:rPr/>
        <w:t>为药企管理从方案设计、中心选择、招募、监查到数据清理和统计申报的一系列任务。泰格的核心收入不是新药最终销售分成，而是项目服务费；客户产品成功与否影响合同延续、后续研究和客户支付能力，却不会使泰格自动拥有全球药品专利收益。因此分析它必须同时看研发活动总量、可执行合同及服务利润率。医药授权交易变大可能让客户资金改善，但巨额授权里程碑不能直接乘比例变成泰格订单。</w:t>
      </w:r>
    </w:p>
    <w:p>
      <w:pPr>
        <w:pStyle w:val="Normal"/>
        <w:rPr/>
      </w:pPr>
      <w:r>
        <w:rPr/>
        <w:t>2026</w:t>
      </w:r>
      <w:r>
        <w:rPr/>
        <w:t>年上半年临床试验技术服务收入</w:t>
      </w:r>
      <w:r>
        <w:rPr/>
        <w:t>17.73</w:t>
      </w:r>
      <w:r>
        <w:rPr/>
        <w:t>亿元，同比增长</w:t>
      </w:r>
      <w:r>
        <w:rPr/>
        <w:t>20.68%</w:t>
      </w:r>
      <w:r>
        <w:rPr/>
        <w:t>；成本</w:t>
      </w:r>
      <w:r>
        <w:rPr/>
        <w:t>13.99</w:t>
      </w:r>
      <w:r>
        <w:rPr/>
        <w:t>亿元，毛利</w:t>
      </w:r>
      <w:r>
        <w:rPr/>
        <w:t>3.74</w:t>
      </w:r>
      <w:r>
        <w:rPr/>
        <w:t>亿元，毛利率</w:t>
      </w:r>
      <w:r>
        <w:rPr/>
        <w:t>21.09%</w:t>
      </w:r>
      <w:r>
        <w:rPr/>
        <w:t>。这个业务增长快于集团，但毛利率低于去年同期约</w:t>
      </w:r>
      <w:r>
        <w:rPr/>
        <w:t>22.8%</w:t>
      </w:r>
      <w:r>
        <w:rPr/>
        <w:t>。它说明临床活动恢复是真实的，同时服务兑现成本也更快增加。收入规模的领先优势若不能变成持续定价力，股东只能获得薄利的业务扩张。模型因此把临床收入、直接人员、项目和间接成本分别作为输入，而没有用一个理想净利率替代经营过程。</w:t>
      </w:r>
    </w:p>
    <w:p>
      <w:pPr>
        <w:pStyle w:val="Normal"/>
        <w:rPr/>
      </w:pPr>
      <w:r>
        <w:rPr/>
        <w:t>临床相关服务和实验室收入</w:t>
      </w:r>
      <w:r>
        <w:rPr/>
        <w:t>18.42</w:t>
      </w:r>
      <w:r>
        <w:rPr/>
        <w:t>亿元，增长</w:t>
      </w:r>
      <w:r>
        <w:rPr/>
        <w:t>7.76%</w:t>
      </w:r>
      <w:r>
        <w:rPr/>
        <w:t>；成本</w:t>
      </w:r>
      <w:r>
        <w:rPr/>
        <w:t>12.54</w:t>
      </w:r>
      <w:r>
        <w:rPr/>
        <w:t>亿元，毛利</w:t>
      </w:r>
      <w:r>
        <w:rPr/>
        <w:t>5.88</w:t>
      </w:r>
      <w:r>
        <w:rPr/>
        <w:t>亿元，毛利率</w:t>
      </w:r>
      <w:r>
        <w:rPr/>
        <w:t>31.93%</w:t>
      </w:r>
      <w:r>
        <w:rPr/>
        <w:t>，低于同期约</w:t>
      </w:r>
      <w:r>
        <w:rPr/>
        <w:t>35.1%</w:t>
      </w:r>
      <w:r>
        <w:rPr/>
        <w:t>。这个板块包含现场管理、实验、生物分析、数统等不同业务，不能认为它的所有收入都具备相同毛利。随着低毛利的</w:t>
      </w:r>
      <w:r>
        <w:rPr/>
        <w:t>SMO</w:t>
      </w:r>
      <w:r>
        <w:rPr/>
        <w:t>贡献变大，综合毛利可能下降，即使某些实验室利用率正在改善。判断利润拐点应细分结构变化，不能把海外实验室恢复与</w:t>
      </w:r>
      <w:r>
        <w:rPr/>
        <w:t>SMO</w:t>
      </w:r>
      <w:r>
        <w:rPr/>
        <w:t>增长简单相加后直接推导利润翻倍。</w:t>
      </w:r>
    </w:p>
    <w:p>
      <w:pPr>
        <w:pStyle w:val="Normal"/>
        <w:rPr/>
      </w:pPr>
      <w:r>
        <w:rPr/>
        <w:t>主营收入</w:t>
      </w:r>
      <w:r>
        <w:rPr/>
        <w:t>36.16</w:t>
      </w:r>
      <w:r>
        <w:rPr/>
        <w:t>亿元，主营成本</w:t>
      </w:r>
      <w:r>
        <w:rPr/>
        <w:t>26.53</w:t>
      </w:r>
      <w:r>
        <w:rPr/>
        <w:t>亿元，毛利率约</w:t>
      </w:r>
      <w:r>
        <w:rPr/>
        <w:t>26.62%</w:t>
      </w:r>
      <w:r>
        <w:rPr/>
        <w:t>。另外其他业务收入</w:t>
      </w:r>
      <w:r>
        <w:rPr/>
        <w:t>9173</w:t>
      </w:r>
      <w:r>
        <w:rPr/>
        <w:t>万元、成本</w:t>
      </w:r>
      <w:r>
        <w:rPr/>
        <w:t>3358</w:t>
      </w:r>
      <w:r>
        <w:rPr/>
        <w:t>万元，使总收入达到</w:t>
      </w:r>
      <w:r>
        <w:rPr/>
        <w:t>37.08</w:t>
      </w:r>
      <w:r>
        <w:rPr/>
        <w:t>亿元、总毛利</w:t>
      </w:r>
      <w:r>
        <w:rPr/>
        <w:t>10.21</w:t>
      </w:r>
      <w:r>
        <w:rPr/>
        <w:t>亿元，集团总毛利率约</w:t>
      </w:r>
      <w:r>
        <w:rPr/>
        <w:t>27.5%</w:t>
      </w:r>
      <w:r>
        <w:rPr/>
        <w:t>。总毛利率与主营毛利率存在正常分类差异，若把前者拿去同后者去年数字比较，会夸大或缩小变化。正文和模型明确区分主营两大服务板块、其他业务和合并总额，以免用错误分母判断竞争优势。</w:t>
      </w:r>
    </w:p>
    <w:p>
      <w:pPr>
        <w:pStyle w:val="Normal"/>
        <w:rPr/>
      </w:pPr>
      <w:r>
        <w:rPr/>
        <w:t>截至中期，公司在执行药物项目</w:t>
      </w:r>
      <w:r>
        <w:rPr/>
        <w:t>667</w:t>
      </w:r>
      <w:r>
        <w:rPr/>
        <w:t>个，其中一期</w:t>
      </w:r>
      <w:r>
        <w:rPr/>
        <w:t>274</w:t>
      </w:r>
      <w:r>
        <w:rPr/>
        <w:t>、二期</w:t>
      </w:r>
      <w:r>
        <w:rPr/>
        <w:t>128</w:t>
      </w:r>
      <w:r>
        <w:rPr/>
        <w:t>、三期</w:t>
      </w:r>
      <w:r>
        <w:rPr/>
        <w:t>140</w:t>
      </w:r>
      <w:r>
        <w:rPr/>
        <w:t>、四期</w:t>
      </w:r>
      <w:r>
        <w:rPr/>
        <w:t>39</w:t>
      </w:r>
      <w:r>
        <w:rPr/>
        <w:t>、其他</w:t>
      </w:r>
      <w:r>
        <w:rPr/>
        <w:t>86</w:t>
      </w:r>
      <w:r>
        <w:rPr/>
        <w:t>。国内项目</w:t>
      </w:r>
      <w:r>
        <w:rPr/>
        <w:t>403</w:t>
      </w:r>
      <w:r>
        <w:rPr/>
        <w:t>、单一区域海外</w:t>
      </w:r>
      <w:r>
        <w:rPr/>
        <w:t>209</w:t>
      </w:r>
      <w:r>
        <w:rPr/>
        <w:t>、多区域临床</w:t>
      </w:r>
      <w:r>
        <w:rPr/>
        <w:t>55</w:t>
      </w:r>
      <w:r>
        <w:rPr/>
        <w:t>，三项正好合计</w:t>
      </w:r>
      <w:r>
        <w:rPr/>
        <w:t>667</w:t>
      </w:r>
      <w:r>
        <w:rPr/>
        <w:t>。项目数反映工作覆盖和能力，但一期与大型三期的金额、期限和人力完全不同，不能按</w:t>
      </w:r>
      <w:r>
        <w:rPr/>
        <w:t>667</w:t>
      </w:r>
      <w:r>
        <w:rPr/>
        <w:t>乘统一项目价格估值。项目从一期进入三期可能提高客单价，也可能由于终点失败而停止；真正的收入增长应以合同执行与确认口径验证。</w:t>
      </w:r>
    </w:p>
    <w:p>
      <w:pPr>
        <w:pStyle w:val="Normal"/>
        <w:rPr/>
      </w:pPr>
      <w:r>
        <w:rPr/>
        <w:t>公司称累计为中国已上市一类新药中</w:t>
      </w:r>
      <w:r>
        <w:rPr/>
        <w:t>62%</w:t>
      </w:r>
      <w:r>
        <w:rPr/>
        <w:t>的研发提供过服务，这为其医院及监管经验提供了证据，但不等于未来每家客户都持续只用泰格。大型药企可以把试验设计、数据处理及地区项目拆给不同供应商；新兴药企也可能先用本土</w:t>
      </w:r>
      <w:r>
        <w:rPr/>
        <w:t>CRO</w:t>
      </w:r>
      <w:r>
        <w:rPr/>
        <w:t>，授权后由跨国药企重新招标。历史服务记录对赢单有帮助，未来的合同份额和价格仍由质量、速度、地区能力及客户采购策略决定，不能把历史覆盖率当未来收入占有率。</w:t>
      </w:r>
    </w:p>
    <w:p>
      <w:pPr>
        <w:pStyle w:val="Normal"/>
        <w:rPr/>
      </w:pPr>
      <w:r>
        <w:rPr/>
        <w:t>临床项目的难点经常在患者招募、中心协调、方案偏离、长期随访和数据一致性。泰格与国内</w:t>
      </w:r>
      <w:r>
        <w:rPr/>
        <w:t>1500</w:t>
      </w:r>
      <w:r>
        <w:rPr/>
        <w:t>余家临床机构建立合作，在北美</w:t>
      </w:r>
      <w:r>
        <w:rPr/>
        <w:t>45</w:t>
      </w:r>
      <w:r>
        <w:rPr/>
        <w:t>个州有</w:t>
      </w:r>
      <w:r>
        <w:rPr/>
        <w:t>700</w:t>
      </w:r>
      <w:r>
        <w:rPr/>
        <w:t>余家中心及</w:t>
      </w:r>
      <w:r>
        <w:rPr/>
        <w:t>150</w:t>
      </w:r>
      <w:r>
        <w:rPr/>
        <w:t>余家肿瘤中心合作资源，中报还披露共建六家临床研究中心、</w:t>
      </w:r>
      <w:r>
        <w:rPr/>
        <w:t>620</w:t>
      </w:r>
      <w:r>
        <w:rPr/>
        <w:t>张床位。网络可以降低启动时间，但规模本身也带来质控复杂性。大量中心如果招募低效或不符合目标人群，广覆盖并不能保证高质量证据，管理效果应通过项目周期和审计反馈观察。</w:t>
      </w:r>
    </w:p>
    <w:p>
      <w:pPr>
        <w:pStyle w:val="Normal"/>
        <w:rPr/>
      </w:pPr>
      <w:r>
        <w:rPr/>
        <w:t>临床</w:t>
      </w:r>
      <w:r>
        <w:rPr/>
        <w:t>CRO</w:t>
      </w:r>
      <w:r>
        <w:rPr/>
        <w:t>也承担对科学判断和操作质量的持续责任。药物没有达到主要终点不必然说明</w:t>
      </w:r>
      <w:r>
        <w:rPr/>
        <w:t>CRO</w:t>
      </w:r>
      <w:r>
        <w:rPr/>
        <w:t>服务失败，反之药物有效也不能掩盖数据流程缺陷。评估泰格应把药品生物学风险、服务操作风险和客户融资风险分开。泰格不像亏损创新药公司一样逐药计算获批风险调整净现值，但它服务的管线质量会影响订单持续性。为明显缺乏临床差异化的项目保留产能，会提高后续取消与应收损失风险。</w:t>
      </w:r>
    </w:p>
    <w:p>
      <w:pPr>
        <w:pStyle w:val="Heading2"/>
        <w:rPr/>
      </w:pPr>
      <w:r>
        <w:rPr>
          <w:color w:val="000000"/>
        </w:rPr>
        <w:t>竞争 周期与经济前景</w:t>
      </w:r>
    </w:p>
    <w:p>
      <w:pPr>
        <w:pStyle w:val="Normal"/>
        <w:rPr/>
      </w:pPr>
      <w:r>
        <w:rPr/>
        <w:t>临床研发需求具有长期增长空间，却不是平滑增长。客户往往先融资、立项和提交</w:t>
      </w:r>
      <w:r>
        <w:rPr/>
        <w:t>IND</w:t>
      </w:r>
      <w:r>
        <w:rPr/>
        <w:t>，再启动临床；从融资回暖到</w:t>
      </w:r>
      <w:r>
        <w:rPr/>
        <w:t>CRO</w:t>
      </w:r>
      <w:r>
        <w:rPr/>
        <w:t>收入增加有时间差，收入增加到现金回收又有一段距离。中报称过去早期立项与行业阶段不匹配的项目影响基本出清，新订单竞争趋于良性，这支持复苏方向。其真实性仍应通过后续净订单、项目延期、合同资产和账龄变化验证，不能把一句“出清”当所有尾部损失都已经消失。</w:t>
      </w:r>
    </w:p>
    <w:p>
      <w:pPr>
        <w:pStyle w:val="Normal"/>
        <w:rPr/>
      </w:pPr>
      <w:r>
        <w:rPr/>
        <w:t>供给整合有利于质量好、网络广的公司。中小</w:t>
      </w:r>
      <w:r>
        <w:rPr/>
        <w:t>CRO</w:t>
      </w:r>
      <w:r>
        <w:rPr/>
        <w:t>缩小经营范围后，客户可能更重视可完成多地区试验、能长期维持人员的供应商。但供给退出也可能来自同一需求寒冬，短期并不立即带来提价。泰格需要在保留专业人员和避免过度闲置之间取得平衡。如果退出企业留下的项目质量较低，接收这些合同反而增加履约成本；只有新增合同的付款条件和风险分配改善，整合才真正提高价值。</w:t>
      </w:r>
    </w:p>
    <w:p>
      <w:pPr>
        <w:pStyle w:val="Normal"/>
        <w:rPr/>
      </w:pPr>
      <w:r>
        <w:rPr/>
        <w:t>管理层引用弗若斯特沙利文数据称中国临床外包市场份额</w:t>
      </w:r>
      <w:r>
        <w:rPr/>
        <w:t>10.9%</w:t>
      </w:r>
      <w:r>
        <w:rPr/>
        <w:t>、全球</w:t>
      </w:r>
      <w:r>
        <w:rPr/>
        <w:t>1.2%</w:t>
      </w:r>
      <w:r>
        <w:rPr/>
        <w:t>，国内第一及全球前十。这里是公司引用的行业研究，本文没有取得同一口径的完整第三方数据库，因此不把该份额进一步拆成每类业务准确排名。较低的全球份额说明海外扩张空间，也说明其仍面对大型全球</w:t>
      </w:r>
      <w:r>
        <w:rPr/>
        <w:t>CRO</w:t>
      </w:r>
      <w:r>
        <w:rPr/>
        <w:t>的客户关系、监管经验与地区资源。国际化不能仅按中国低成本逻辑复制，因为海外劳动、保险、</w:t>
      </w:r>
      <w:r>
        <w:rPr/>
        <w:t>IT</w:t>
      </w:r>
      <w:r>
        <w:rPr/>
        <w:t>及合规成本不同。</w:t>
      </w:r>
    </w:p>
    <w:p>
      <w:pPr>
        <w:pStyle w:val="Normal"/>
        <w:rPr/>
      </w:pPr>
      <w:r>
        <w:rPr/>
        <w:t>临床服务客户不仅有创新药初创公司，还包含成熟药企、器械企业和跨国药企。大型客户通常支付能力更好，采购程序更严，价格谈判也更强；小型客户可能更愿意购买综合服务，但现金脆弱、项目取消概率较高。业务增长若来自客户数量增加但收款质量下降，利润不能获得同等估值。报告没有给出足够的客户回款分层与合同取消率，模型采用较温和的信用及资产损失假设，而不是把这些风险设为零。</w:t>
      </w:r>
    </w:p>
    <w:p>
      <w:pPr>
        <w:pStyle w:val="Normal"/>
        <w:rPr/>
      </w:pPr>
      <w:r>
        <w:rPr/>
        <w:t>利率下降可以改善研发融资环境、降低客户资本成本及公司借款成本，但它不会自动让临床成功率上升。融资回暖若鼓励大量同质化项目，</w:t>
      </w:r>
      <w:r>
        <w:rPr/>
        <w:t>CRO</w:t>
      </w:r>
      <w:r>
        <w:rPr/>
        <w:t>新单可能增加却缺乏可持续性；融资转向有明确临床价值的管线，则可能减少低价值项目、提高长期客户质量。泰格更理想的周期是高质量项目融资增加、客户采购预算稳定、服务供应不过度扩张，同时成本纪律改善。单独的生物科技指数上涨只能作为资金环境提示。</w:t>
      </w:r>
    </w:p>
    <w:p>
      <w:pPr>
        <w:pStyle w:val="Normal"/>
        <w:rPr/>
      </w:pPr>
      <w:r>
        <w:rPr/>
        <w:t>医保政策对泰格有间接作用。更明确的创新药准入路径有助于客户估算商业回报，从而支持临床投资；价格谈判若压低潜在销售价值，又会使客户降低某些项目预算。临床服务费不会随药品降价一比一减少，但客户研发回报率会影响支付意愿。医保支持创新与临床价值导向的政策，可能促使项目从拥挤适应症转向真正未满足需求；泰格必须相应提升方案设计、特殊疾病招募和多地区申报能力。</w:t>
      </w:r>
    </w:p>
    <w:p>
      <w:pPr>
        <w:pStyle w:val="Normal"/>
        <w:rPr/>
      </w:pPr>
      <w:r>
        <w:rPr/>
        <w:t>海外数据及产业政策是特别敏感的变量。公开投行新闻曾讨论美国可能限制对中国医药授权或中国临床数据的采用，但提案、政策解释、正式法规和客户采购决策不是同一个阶段。本版不会把新闻观点写成已经生效的全面禁令，也不会因为未正式落地而将风险删去。若客户为了降低监管不确定性要求更多境外入组、境外分析或独立验证，泰格可能得到海外订单，也可能承担更高成本和转移执行风险。</w:t>
      </w:r>
    </w:p>
    <w:p>
      <w:pPr>
        <w:pStyle w:val="Normal"/>
        <w:rPr/>
      </w:pPr>
      <w:r>
        <w:rPr/>
        <w:t>汇率影响要分两层。公司海外服务在当地形成收入和人员费用，天然对冲可以缓和利润率影响，但人民币折算收入仍可能承压。投资者持有港股后，港币相对人民币变化又影响人民币总回报。本文经营模型用人民币、目标价用港币，固定</w:t>
      </w:r>
      <w:r>
        <w:rPr/>
        <w:t>1.10</w:t>
      </w:r>
      <w:r>
        <w:rPr/>
        <w:t>换算是可编辑假设，另列投资者汇率敏感。不能一边把美元升值加到海外收入，一边再把全部港币目标价增加相同百分比而不说明两层路径和成本变化。</w:t>
      </w:r>
    </w:p>
    <w:p>
      <w:pPr>
        <w:pStyle w:val="Heading2"/>
        <w:rPr/>
      </w:pPr>
      <w:r>
        <w:rPr>
          <w:color w:val="000000"/>
        </w:rPr>
        <w:t>海外扩张与子公司经济权益</w:t>
      </w:r>
    </w:p>
    <w:p>
      <w:pPr>
        <w:pStyle w:val="Normal"/>
        <w:rPr/>
      </w:pPr>
      <w:r>
        <w:rPr/>
        <w:t>北美中报披露正在执行</w:t>
      </w:r>
      <w:r>
        <w:rPr/>
        <w:t>59</w:t>
      </w:r>
      <w:r>
        <w:rPr/>
        <w:t>个临床项目，较同期增长</w:t>
      </w:r>
      <w:r>
        <w:rPr/>
        <w:t>45%</w:t>
      </w:r>
      <w:r>
        <w:rPr/>
        <w:t>，本地团队超过</w:t>
      </w:r>
      <w:r>
        <w:rPr/>
        <w:t>200</w:t>
      </w:r>
      <w:r>
        <w:rPr/>
        <w:t>人，新增合同</w:t>
      </w:r>
      <w:r>
        <w:rPr/>
        <w:t>46</w:t>
      </w:r>
      <w:r>
        <w:rPr/>
        <w:t>个，其中临床</w:t>
      </w:r>
      <w:r>
        <w:rPr/>
        <w:t>16</w:t>
      </w:r>
      <w:r>
        <w:rPr/>
        <w:t>个。这说明泰格在海外建立直接执行能力，但临床合同与其他服务合同不能混为</w:t>
      </w:r>
      <w:r>
        <w:rPr/>
        <w:t>46</w:t>
      </w:r>
      <w:r>
        <w:rPr/>
        <w:t>个大型临床项目。员工增加需要先投入、后产生收入，如果中心启动和患者招募更慢，利润实现会落后于签单。半年模型不把合同数量增长完全映射为同幅收入，而留有执行滞后及人员培训成本。</w:t>
      </w:r>
    </w:p>
    <w:p>
      <w:pPr>
        <w:pStyle w:val="Normal"/>
        <w:rPr/>
      </w:pPr>
      <w:r>
        <w:rPr/>
        <w:t>澳大利亚及新西兰团队约</w:t>
      </w:r>
      <w:r>
        <w:rPr/>
        <w:t>50</w:t>
      </w:r>
      <w:r>
        <w:rPr/>
        <w:t>人，新增订单同比接近翻倍；韩国团队超过</w:t>
      </w:r>
      <w:r>
        <w:rPr/>
        <w:t>420</w:t>
      </w:r>
      <w:r>
        <w:rPr/>
        <w:t>人。不同地区的体量和起点差异大，低基数的高增长不足以独立改变集团利润。更重要的价值是可以给客户提供早期研究、地区研究和国际申报之间的连续服务。若地区团队只是独立销售、自有标准不一致，跨国项目整合会增加费用；若共享数据平台和流程真正有效，则能在未来几年改善复用率和客户留存。</w:t>
      </w:r>
    </w:p>
    <w:p>
      <w:pPr>
        <w:pStyle w:val="Normal"/>
        <w:rPr/>
      </w:pPr>
      <w:r>
        <w:rPr/>
        <w:t>Frontage</w:t>
      </w:r>
      <w:r>
        <w:rPr/>
        <w:t>覆盖生物分析、实验室、</w:t>
      </w:r>
      <w:r>
        <w:rPr/>
        <w:t>CMC</w:t>
      </w:r>
      <w:r>
        <w:rPr/>
        <w:t>及药代动力学等服务，是泰格全球化的重要部分。中报</w:t>
      </w:r>
      <w:r>
        <w:rPr/>
        <w:t>A</w:t>
      </w:r>
      <w:r>
        <w:rPr/>
        <w:t>附注显示其上半年收入约</w:t>
      </w:r>
      <w:r>
        <w:rPr/>
        <w:t>10.24</w:t>
      </w:r>
      <w:r>
        <w:rPr/>
        <w:t>亿元、净利润</w:t>
      </w:r>
      <w:r>
        <w:rPr/>
        <w:t>4672</w:t>
      </w:r>
      <w:r>
        <w:rPr/>
        <w:t>万元、经营现金流</w:t>
      </w:r>
      <w:r>
        <w:rPr/>
        <w:t>1.77</w:t>
      </w:r>
      <w:r>
        <w:rPr/>
        <w:t>亿元，盈利和现金较同期改善。这是实际财务支持，不应只看管理层关于美国需求回暖的定性表述。不过</w:t>
      </w:r>
      <w:r>
        <w:rPr/>
        <w:t>Frontage</w:t>
      </w:r>
      <w:r>
        <w:rPr/>
        <w:t>是有外部少数股东的上市或多层控股业务，其全部收入并表，而归母股东只能分享经济权益。合并收入大并不等所有利润都属于泰格</w:t>
      </w:r>
      <w:r>
        <w:rPr/>
        <w:t>H</w:t>
      </w:r>
      <w:r>
        <w:rPr/>
        <w:t>股。</w:t>
      </w:r>
    </w:p>
    <w:p>
      <w:pPr>
        <w:pStyle w:val="Normal"/>
        <w:rPr/>
      </w:pPr>
      <w:r>
        <w:rPr/>
        <w:t>2026</w:t>
      </w:r>
      <w:r>
        <w:rPr/>
        <w:t>年</w:t>
      </w:r>
      <w:r>
        <w:rPr/>
        <w:t>6</w:t>
      </w:r>
      <w:r>
        <w:rPr/>
        <w:t>月底泰格对</w:t>
      </w:r>
      <w:r>
        <w:rPr/>
        <w:t>Frontage</w:t>
      </w:r>
      <w:r>
        <w:rPr/>
        <w:t>的直接和间接持股合计</w:t>
      </w:r>
      <w:r>
        <w:rPr/>
        <w:t>64.37%</w:t>
      </w:r>
      <w:r>
        <w:rPr/>
        <w:t>，少数</w:t>
      </w:r>
      <w:r>
        <w:rPr/>
        <w:t>35.63%</w:t>
      </w:r>
      <w:r>
        <w:rPr/>
        <w:t>。原表少数损益约</w:t>
      </w:r>
      <w:r>
        <w:rPr/>
        <w:t>1650</w:t>
      </w:r>
      <w:r>
        <w:rPr/>
        <w:t>万元，期末少数权益</w:t>
      </w:r>
      <w:r>
        <w:rPr/>
        <w:t>8.55</w:t>
      </w:r>
      <w:r>
        <w:rPr/>
        <w:t>亿元。由于期内股权变化、内部调整及表中四舍五入口径，不能机械用期末比例乘每一条净利润替代合并归母。模型以集团归母正常利润桥为主，未来少数金额单列。若将</w:t>
      </w:r>
      <w:r>
        <w:rPr/>
        <w:t>Frontage</w:t>
      </w:r>
      <w:r>
        <w:rPr/>
        <w:t>全部净利润资本化后又给其股份市场价值加价，会让同一业务被估两次。</w:t>
      </w:r>
    </w:p>
    <w:p>
      <w:pPr>
        <w:pStyle w:val="Normal"/>
        <w:rPr/>
      </w:pPr>
      <w:r>
        <w:rPr/>
        <w:t>DreamCIS</w:t>
      </w:r>
      <w:r>
        <w:rPr/>
        <w:t>也有少数股东，因增资稀释后集团持股</w:t>
      </w:r>
      <w:r>
        <w:rPr/>
        <w:t>64.34%</w:t>
      </w:r>
      <w:r>
        <w:rPr/>
        <w:t>。这意味着海外增长可以扩大服务能力，但集团的资本投入和经济收益比例不总是固定。子公司上市、员工行权或可转债可能为业务获得资金，同时降低泰格未来利润份额。评估全球化应该关注各层资本回报，而不是把每次融资都当母公司无成本增长。多层权益如果说明不清，会使市场要求治理和透明度折价。</w:t>
      </w:r>
    </w:p>
    <w:p>
      <w:pPr>
        <w:pStyle w:val="Normal"/>
        <w:rPr/>
      </w:pPr>
      <w:r>
        <w:rPr/>
        <w:t>日本</w:t>
      </w:r>
      <w:r>
        <w:rPr/>
        <w:t>Micron</w:t>
      </w:r>
      <w:r>
        <w:rPr/>
        <w:t>涉及数据管理、生统以及电子数据采集和患者报告系统，中报披露集团持股</w:t>
      </w:r>
      <w:r>
        <w:rPr/>
        <w:t>37.53%</w:t>
      </w:r>
      <w:r>
        <w:rPr/>
        <w:t>但仍在控制范围。控制判断依赖决策权，并不只看多数持股。临床数字化和地区能力扩张可以形成服务组合，经济归属却要按实际控制及少数分配处理。这种结构特别提醒投资者，财务报表里的规模、人员、资产和现金都不等于全部自由归母资产，估值要持续核对所有权与资金回流。</w:t>
      </w:r>
    </w:p>
    <w:p>
      <w:pPr>
        <w:pStyle w:val="Normal"/>
        <w:rPr/>
      </w:pPr>
      <w:r>
        <w:rPr/>
        <w:t>SMO</w:t>
      </w:r>
      <w:r>
        <w:rPr/>
        <w:t>业务在执行</w:t>
      </w:r>
      <w:r>
        <w:rPr/>
        <w:t>3094</w:t>
      </w:r>
      <w:r>
        <w:rPr/>
        <w:t>个项目、覆盖</w:t>
      </w:r>
      <w:r>
        <w:rPr/>
        <w:t>146</w:t>
      </w:r>
      <w:r>
        <w:rPr/>
        <w:t>个城市，</w:t>
      </w:r>
      <w:r>
        <w:rPr/>
        <w:t>CRC</w:t>
      </w:r>
      <w:r>
        <w:rPr/>
        <w:t>人数超过</w:t>
      </w:r>
      <w:r>
        <w:rPr/>
        <w:t>4000</w:t>
      </w:r>
      <w:r>
        <w:rPr/>
        <w:t>。</w:t>
      </w:r>
      <w:r>
        <w:rPr/>
        <w:t>SMO</w:t>
      </w:r>
      <w:r>
        <w:rPr/>
        <w:t>可以增加客户和中心触点、提高临床执行连续性，但劳动密集特征较强，毛利率可能低于实验及高附加值数统业务。集团收入恢复时，如果</w:t>
      </w:r>
      <w:r>
        <w:rPr/>
        <w:t>SMO</w:t>
      </w:r>
      <w:r>
        <w:rPr/>
        <w:t>占比提高而高价值服务价格尚未恢复，收入增长会强于毛利增长。中报已经反映这种结构压力，本研究因此把收入结构而非总量作为利润率改善的关键反证。</w:t>
      </w:r>
    </w:p>
    <w:p>
      <w:pPr>
        <w:pStyle w:val="Heading2"/>
        <w:rPr/>
      </w:pPr>
      <w:r>
        <w:rPr>
          <w:color w:val="000000"/>
        </w:rPr>
        <w:t>人员 项目成本与人工智能</w:t>
      </w:r>
    </w:p>
    <w:p>
      <w:pPr>
        <w:pStyle w:val="Normal"/>
        <w:rPr/>
      </w:pPr>
      <w:r>
        <w:rPr/>
        <w:t>集团员工</w:t>
      </w:r>
      <w:r>
        <w:rPr/>
        <w:t>11984</w:t>
      </w:r>
      <w:r>
        <w:rPr/>
        <w:t>人，较去年末</w:t>
      </w:r>
      <w:r>
        <w:rPr/>
        <w:t>11130</w:t>
      </w:r>
      <w:r>
        <w:rPr/>
        <w:t>人增加</w:t>
      </w:r>
      <w:r>
        <w:rPr/>
        <w:t>854</w:t>
      </w:r>
      <w:r>
        <w:rPr/>
        <w:t>人，增幅约</w:t>
      </w:r>
      <w:r>
        <w:rPr/>
        <w:t>7.7%</w:t>
      </w:r>
      <w:r>
        <w:rPr/>
        <w:t>；收入同比增长</w:t>
      </w:r>
      <w:r>
        <w:rPr/>
        <w:t>14.1%</w:t>
      </w:r>
      <w:r>
        <w:rPr/>
        <w:t>不能直接同员工半年环比比较，但扩张方向清楚。临床人员培养周期长，不能等订单增长再即刻招满；提前增加人员也可能造成利用率压力。有效经营需要把项目经理、监查人员、数统专家和实验人员的分工与合同节奏匹配。将人头增长视为能力扩张的同时，也必须计入工资、培训、闲置和地区协同成本。</w:t>
      </w:r>
    </w:p>
    <w:p>
      <w:pPr>
        <w:pStyle w:val="Normal"/>
        <w:rPr/>
      </w:pPr>
      <w:r>
        <w:rPr/>
        <w:t>主营成本中直接人工约</w:t>
      </w:r>
      <w:r>
        <w:rPr/>
        <w:t>13.52</w:t>
      </w:r>
      <w:r>
        <w:rPr/>
        <w:t>亿元，直接项目成本约</w:t>
      </w:r>
      <w:r>
        <w:rPr/>
        <w:t>10.09</w:t>
      </w:r>
      <w:r>
        <w:rPr/>
        <w:t>亿元，间接成本约</w:t>
      </w:r>
      <w:r>
        <w:rPr/>
        <w:t>2.92</w:t>
      </w:r>
      <w:r>
        <w:rPr/>
        <w:t>亿元。项目成本包括外部执行、研究中心和临床实施所需支出，其增长不全代表泰格自身工资上涨。低价合同可能在签署时锁定收入，却在实施期间遇到招募、中心及监查成本上升，导致成本比例扩大。模型用劳动、项目、间接和其他成本四项表示经济过程，可以分别检验客户价格和执行成本，而不是只给毛利率上调几个百分点。</w:t>
      </w:r>
    </w:p>
    <w:p>
      <w:pPr>
        <w:pStyle w:val="Normal"/>
        <w:rPr/>
      </w:pPr>
      <w:r>
        <w:rPr/>
        <w:t>年度化上半年主营直接人工约</w:t>
      </w:r>
      <w:r>
        <w:rPr/>
        <w:t>27.05</w:t>
      </w:r>
      <w:r>
        <w:rPr/>
        <w:t>亿元，项目约</w:t>
      </w:r>
      <w:r>
        <w:rPr/>
        <w:t>20.18</w:t>
      </w:r>
      <w:r>
        <w:rPr/>
        <w:t>亿元，间接约</w:t>
      </w:r>
      <w:r>
        <w:rPr/>
        <w:t>5.84</w:t>
      </w:r>
      <w:r>
        <w:rPr/>
        <w:t>亿元，加上其他业务成本约</w:t>
      </w:r>
      <w:r>
        <w:rPr/>
        <w:t>0.67</w:t>
      </w:r>
      <w:r>
        <w:rPr/>
        <w:t>亿元，提供未来模型的原子锚。年底基准劳动</w:t>
      </w:r>
      <w:r>
        <w:rPr/>
        <w:t>29.10</w:t>
      </w:r>
      <w:r>
        <w:rPr/>
        <w:t>亿元、项目</w:t>
      </w:r>
      <w:r>
        <w:rPr/>
        <w:t>20.20</w:t>
      </w:r>
      <w:r>
        <w:rPr/>
        <w:t>亿元、间接</w:t>
      </w:r>
      <w:r>
        <w:rPr/>
        <w:t>6.50</w:t>
      </w:r>
      <w:r>
        <w:rPr/>
        <w:t>亿元、其他</w:t>
      </w:r>
      <w:r>
        <w:rPr/>
        <w:t>0.65</w:t>
      </w:r>
      <w:r>
        <w:rPr/>
        <w:t>亿元，反映人员扩张及业务增长。假设没有让收入增长全部变利润，也没有忽视其他业务。悲观情景允许经营采取成本调整，但保留海外和研发负担，否则会出现需求弱却费用无限增长的不合理极端。</w:t>
      </w:r>
    </w:p>
    <w:p>
      <w:pPr>
        <w:pStyle w:val="Normal"/>
        <w:rPr/>
      </w:pPr>
      <w:r>
        <w:rPr/>
        <w:t>AI</w:t>
      </w:r>
      <w:r>
        <w:rPr/>
        <w:t>可用于智能医学写作、监查、统计、中心选择和合同处理。泰格中报披露成立智能研究院并推进多类工具，部分场景已经使用，部分仍处测试或开发。可以节约重复性文档工作，但临床判断、稽查责任、统计方案及患者安全不能完全委托不可解释系统。公司宣传某一工具效率提升不能直接等于集团劳动成本下降同幅。只有流程采用率、返工率、质量和项目净利润形成财务证据，</w:t>
      </w:r>
      <w:r>
        <w:rPr/>
        <w:t>AI</w:t>
      </w:r>
      <w:r>
        <w:rPr/>
        <w:t>才应获得确定估值贡献。</w:t>
      </w:r>
    </w:p>
    <w:p>
      <w:pPr>
        <w:pStyle w:val="Normal"/>
        <w:rPr/>
      </w:pPr>
      <w:r>
        <w:rPr/>
        <w:t>临床领域</w:t>
      </w:r>
      <w:r>
        <w:rPr/>
        <w:t>AI</w:t>
      </w:r>
      <w:r>
        <w:rPr/>
        <w:t>收益可能有三种归属方式：泰格减少成本、客户要求降价，或两者分享节省。如果竞争者也快速获得类似能力，原有服务费可能下降，从而抵消人力效率改善。另一个可能是</w:t>
      </w:r>
      <w:r>
        <w:rPr/>
        <w:t>AI</w:t>
      </w:r>
      <w:r>
        <w:rPr/>
        <w:t>提高服务质量和速度，使泰格赢得更复杂、价值更高的研究，这比单纯裁员更可持续。长期模型保留研发扩张，乐观情景让收入及毛利共同改善，基准仅渐进改善，并没有给独立</w:t>
      </w:r>
      <w:r>
        <w:rPr/>
        <w:t>AI</w:t>
      </w:r>
      <w:r>
        <w:rPr/>
        <w:t>软件业务添加未核收入。</w:t>
      </w:r>
    </w:p>
    <w:p>
      <w:pPr>
        <w:pStyle w:val="Normal"/>
        <w:rPr/>
      </w:pPr>
      <w:r>
        <w:rPr/>
        <w:t>人工智能投入会先影响现金与费用。中报研发</w:t>
      </w:r>
      <w:r>
        <w:rPr/>
        <w:t>1.39</w:t>
      </w:r>
      <w:r>
        <w:rPr/>
        <w:t>亿元全部费用化，主要为员工薪酬约</w:t>
      </w:r>
      <w:r>
        <w:rPr/>
        <w:t>1.28</w:t>
      </w:r>
      <w:r>
        <w:rPr/>
        <w:t>亿元，与亏损药企大额开发资产资本化不同。这让当期利润更直接承担研发负担，也要求投资者区分短期投入与持久低盈利。如果研发最终形成可重复使用平台，未来毛利有机会改善；若工具尚难通过客户及监管验证，投入仍是持续费用。投行新闻提到</w:t>
      </w:r>
      <w:r>
        <w:rPr/>
        <w:t>AI</w:t>
      </w:r>
      <w:r>
        <w:rPr/>
        <w:t>预算数字只是二手观点，不能替代审计费用或管理正式财务指引。</w:t>
      </w:r>
    </w:p>
    <w:p>
      <w:pPr>
        <w:pStyle w:val="Normal"/>
        <w:rPr/>
      </w:pPr>
      <w:r>
        <w:rPr/>
        <w:t>电子临床和远程管理可以降低部分访视与收集成本，也可能提高患者留存。中报提及包含</w:t>
      </w:r>
      <w:r>
        <w:rPr/>
        <w:t>DCT</w:t>
      </w:r>
      <w:r>
        <w:rPr/>
        <w:t>模块的新增订单超过</w:t>
      </w:r>
      <w:r>
        <w:rPr/>
        <w:t>3</w:t>
      </w:r>
      <w:r>
        <w:rPr/>
        <w:t>亿元，这属于业务子集合，不是可以另加在集团总新订单之外的独立收入。</w:t>
      </w:r>
      <w:r>
        <w:rPr/>
        <w:t>DCT</w:t>
      </w:r>
      <w:r>
        <w:rPr/>
        <w:t>适用性也因疾病、患者年龄、设备和监管要求而异。将所有试验改为远程并不现实；观察应落在合适项目的运行效率、数据完整及客户复购，避免把技术名词当无需验证的增长来源。</w:t>
      </w:r>
    </w:p>
    <w:p>
      <w:pPr>
        <w:pStyle w:val="Heading2"/>
        <w:rPr/>
      </w:pPr>
      <w:r>
        <w:rPr>
          <w:color w:val="000000"/>
        </w:rPr>
        <w:t>财务历史与利润质量</w:t>
      </w:r>
    </w:p>
    <w:p>
      <w:pPr>
        <w:pStyle w:val="Normal"/>
        <w:rPr/>
      </w:pPr>
      <w:r>
        <w:rPr/>
        <w:t>2023</w:t>
      </w:r>
      <w:r>
        <w:rPr/>
        <w:t>年收入</w:t>
      </w:r>
      <w:r>
        <w:rPr/>
        <w:t>73.84</w:t>
      </w:r>
      <w:r>
        <w:rPr/>
        <w:t>亿元、报告归母</w:t>
      </w:r>
      <w:r>
        <w:rPr/>
        <w:t>20.25</w:t>
      </w:r>
      <w:r>
        <w:rPr/>
        <w:t>亿元、扣非</w:t>
      </w:r>
      <w:r>
        <w:rPr/>
        <w:t>14.77</w:t>
      </w:r>
      <w:r>
        <w:rPr/>
        <w:t>亿元；</w:t>
      </w:r>
      <w:r>
        <w:rPr/>
        <w:t>2024</w:t>
      </w:r>
      <w:r>
        <w:rPr/>
        <w:t>年收入</w:t>
      </w:r>
      <w:r>
        <w:rPr/>
        <w:t>66.03</w:t>
      </w:r>
      <w:r>
        <w:rPr/>
        <w:t>亿元、报告</w:t>
      </w:r>
      <w:r>
        <w:rPr/>
        <w:t>4.05</w:t>
      </w:r>
      <w:r>
        <w:rPr/>
        <w:t>亿元、扣非</w:t>
      </w:r>
      <w:r>
        <w:rPr/>
        <w:t>8.55</w:t>
      </w:r>
      <w:r>
        <w:rPr/>
        <w:t>亿元；</w:t>
      </w:r>
      <w:r>
        <w:rPr/>
        <w:t>2025</w:t>
      </w:r>
      <w:r>
        <w:rPr/>
        <w:t>年收入</w:t>
      </w:r>
      <w:r>
        <w:rPr/>
        <w:t>68.33</w:t>
      </w:r>
      <w:r>
        <w:rPr/>
        <w:t>亿元、报告</w:t>
      </w:r>
      <w:r>
        <w:rPr/>
        <w:t>8.88</w:t>
      </w:r>
      <w:r>
        <w:rPr/>
        <w:t>亿元、扣非</w:t>
      </w:r>
      <w:r>
        <w:rPr/>
        <w:t>3.55</w:t>
      </w:r>
      <w:r>
        <w:rPr/>
        <w:t>亿元。过去三年显示报告利润与持续经营利润方向可以相反。</w:t>
      </w:r>
      <w:r>
        <w:rPr/>
        <w:t>2025</w:t>
      </w:r>
      <w:r>
        <w:rPr/>
        <w:t>年报告增长主要不能等同临床核心恢复，扣非仍下降约</w:t>
      </w:r>
      <w:r>
        <w:rPr/>
        <w:t>58.5%</w:t>
      </w:r>
      <w:r>
        <w:rPr/>
        <w:t>。将</w:t>
      </w:r>
      <w:r>
        <w:rPr/>
        <w:t>2023</w:t>
      </w:r>
      <w:r>
        <w:rPr/>
        <w:t>年高峰扣非直接当多年常态也缺少支持，当前成本、业务结构与研发环境已经变化。</w:t>
      </w:r>
    </w:p>
    <w:p>
      <w:pPr>
        <w:pStyle w:val="Normal"/>
        <w:rPr/>
      </w:pPr>
      <w:r>
        <w:rPr/>
        <w:t>2025</w:t>
      </w:r>
      <w:r>
        <w:rPr/>
        <w:t>年分季度扣非约</w:t>
      </w:r>
      <w:r>
        <w:rPr/>
        <w:t>1.02</w:t>
      </w:r>
      <w:r>
        <w:rPr/>
        <w:t>、</w:t>
      </w:r>
      <w:r>
        <w:rPr/>
        <w:t>1.08</w:t>
      </w:r>
      <w:r>
        <w:rPr/>
        <w:t>、</w:t>
      </w:r>
      <w:r>
        <w:rPr/>
        <w:t>1.15</w:t>
      </w:r>
      <w:r>
        <w:rPr/>
        <w:t>和</w:t>
      </w:r>
      <w:r>
        <w:rPr/>
        <w:t>0.29</w:t>
      </w:r>
      <w:r>
        <w:rPr/>
        <w:t>亿元，末季明显弱于前三季。</w:t>
      </w:r>
      <w:r>
        <w:rPr/>
        <w:t>2026</w:t>
      </w:r>
      <w:r>
        <w:rPr/>
        <w:t>年上半年扣非</w:t>
      </w:r>
      <w:r>
        <w:rPr/>
        <w:t>2.78</w:t>
      </w:r>
      <w:r>
        <w:rPr/>
        <w:t>亿元，较同期</w:t>
      </w:r>
      <w:r>
        <w:rPr/>
        <w:t>2.11</w:t>
      </w:r>
      <w:r>
        <w:rPr/>
        <w:t>亿元增长</w:t>
      </w:r>
      <w:r>
        <w:rPr/>
        <w:t>31.8%</w:t>
      </w:r>
      <w:r>
        <w:rPr/>
        <w:t>，提供恢复证据。上半年收入</w:t>
      </w:r>
      <w:r>
        <w:rPr/>
        <w:t>14.1%</w:t>
      </w:r>
      <w:r>
        <w:rPr/>
        <w:t>而扣非增长</w:t>
      </w:r>
      <w:r>
        <w:rPr/>
        <w:t>31.8%</w:t>
      </w:r>
      <w:r>
        <w:rPr/>
        <w:t>，可以反映费用与融资改善，但不能反推毛利一定提升，因为总毛利只增长约</w:t>
      </w:r>
      <w:r>
        <w:rPr/>
        <w:t>4.3%</w:t>
      </w:r>
      <w:r>
        <w:rPr/>
        <w:t>。未来应分别审阅经营成本、管理销售、利息和税，不将所有利润弹性称为定价力提升。</w:t>
      </w:r>
    </w:p>
    <w:p>
      <w:pPr>
        <w:pStyle w:val="Normal"/>
        <w:rPr/>
      </w:pPr>
      <w:r>
        <w:rPr/>
        <w:t>报告归母亏</w:t>
      </w:r>
      <w:r>
        <w:rPr/>
        <w:t>4.13</w:t>
      </w:r>
      <w:r>
        <w:rPr/>
        <w:t>亿元，扣非盈</w:t>
      </w:r>
      <w:r>
        <w:rPr/>
        <w:t>2.78</w:t>
      </w:r>
      <w:r>
        <w:rPr/>
        <w:t>亿元，相差非经常损失</w:t>
      </w:r>
      <w:r>
        <w:rPr/>
        <w:t>6.91</w:t>
      </w:r>
      <w:r>
        <w:rPr/>
        <w:t>亿元。非经常项目包括非流动资产处置损失</w:t>
      </w:r>
      <w:r>
        <w:rPr/>
        <w:t>1808</w:t>
      </w:r>
      <w:r>
        <w:rPr/>
        <w:t>万元、政府补助</w:t>
      </w:r>
      <w:r>
        <w:rPr/>
        <w:t>2530</w:t>
      </w:r>
      <w:r>
        <w:rPr/>
        <w:t>万元、投资或理财收益</w:t>
      </w:r>
      <w:r>
        <w:rPr/>
        <w:t>2164</w:t>
      </w:r>
      <w:r>
        <w:rPr/>
        <w:t>万元、金融资产与负债公允及处置合计损失</w:t>
      </w:r>
      <w:r>
        <w:rPr/>
        <w:t>4.81</w:t>
      </w:r>
      <w:r>
        <w:rPr/>
        <w:t>亿元，以及其他营业外损失。再减税影响</w:t>
      </w:r>
      <w:r>
        <w:rPr/>
        <w:t>3406</w:t>
      </w:r>
      <w:r>
        <w:rPr/>
        <w:t>万元和少数权益影响</w:t>
      </w:r>
      <w:r>
        <w:rPr/>
        <w:t>2.03</w:t>
      </w:r>
      <w:r>
        <w:rPr/>
        <w:t>亿元后形成归母非经常总额。这不是把</w:t>
      </w:r>
      <w:r>
        <w:rPr/>
        <w:t>4.43</w:t>
      </w:r>
      <w:r>
        <w:rPr/>
        <w:t>亿元公允损失简单加回即可得到扣非，少数和税都非常重要。</w:t>
      </w:r>
    </w:p>
    <w:p>
      <w:pPr>
        <w:pStyle w:val="Normal"/>
        <w:rPr/>
      </w:pPr>
      <w:r>
        <w:rPr/>
        <w:t>港股中期业绩的财务表同样按中国企业会计准则编制，所谓非中国准则计量是对扣除非经常损益指标的说明，不是另一套国际财报或可自由替换的调整盈利。</w:t>
      </w:r>
      <w:r>
        <w:rPr/>
        <w:t>A</w:t>
      </w:r>
      <w:r>
        <w:rPr/>
        <w:t>中报与港股业绩披露收入和归母相同，四舍五入差异正常。本版直接使用</w:t>
      </w:r>
      <w:r>
        <w:rPr/>
        <w:t>A</w:t>
      </w:r>
      <w:r>
        <w:rPr/>
        <w:t>原子费用和集团扣非锚，不混接其他公司常见非</w:t>
      </w:r>
      <w:r>
        <w:rPr/>
        <w:t>IFRS</w:t>
      </w:r>
      <w:r>
        <w:rPr/>
        <w:t>利润。这个细节有助于避免把两地同一利润指标重复作为两个独立证据。</w:t>
      </w:r>
    </w:p>
    <w:p>
      <w:pPr>
        <w:pStyle w:val="Normal"/>
        <w:rPr/>
      </w:pPr>
      <w:r>
        <w:rPr/>
        <w:t>集团税前亏</w:t>
      </w:r>
      <w:r>
        <w:rPr/>
        <w:t>8022</w:t>
      </w:r>
      <w:r>
        <w:rPr/>
        <w:t>万元，所得税费用却为</w:t>
      </w:r>
      <w:r>
        <w:rPr/>
        <w:t>1.05</w:t>
      </w:r>
      <w:r>
        <w:rPr/>
        <w:t>亿元。原因不是公式错误，而是不同主体的纳税和亏损不能合并自动抵销；盈利业务仍纳税，部分投资或主体亏损未能取得同等税盾。税表还列不同税率、非应税收入和未确认递延税等调整。因此在报告亏损年份套一个统一</w:t>
      </w:r>
      <w:r>
        <w:rPr/>
        <w:t>25%</w:t>
      </w:r>
      <w:r>
        <w:rPr/>
        <w:t>税率，会把不存在的抵税收益加给股东。未来正常经营模型用税率和税调整金额单列，保留不同主体税负。</w:t>
      </w:r>
    </w:p>
    <w:p>
      <w:pPr>
        <w:pStyle w:val="Normal"/>
        <w:rPr/>
      </w:pPr>
      <w:r>
        <w:rPr/>
        <w:t>2026</w:t>
      </w:r>
      <w:r>
        <w:rPr/>
        <w:t>年上半年财务费用</w:t>
      </w:r>
      <w:r>
        <w:rPr/>
        <w:t>4228</w:t>
      </w:r>
      <w:r>
        <w:rPr/>
        <w:t>万元，比同期</w:t>
      </w:r>
      <w:r>
        <w:rPr/>
        <w:t>6328</w:t>
      </w:r>
      <w:r>
        <w:rPr/>
        <w:t>万元下降</w:t>
      </w:r>
      <w:r>
        <w:rPr/>
        <w:t>33.2%</w:t>
      </w:r>
      <w:r>
        <w:rPr/>
        <w:t>。其中利息费用</w:t>
      </w:r>
      <w:r>
        <w:rPr/>
        <w:t>3282</w:t>
      </w:r>
      <w:r>
        <w:rPr/>
        <w:t>万元、利息收入</w:t>
      </w:r>
      <w:r>
        <w:rPr/>
        <w:t>748</w:t>
      </w:r>
      <w:r>
        <w:rPr/>
        <w:t>万元、汇兑损失</w:t>
      </w:r>
      <w:r>
        <w:rPr/>
        <w:t>957</w:t>
      </w:r>
      <w:r>
        <w:rPr/>
        <w:t>万元及其他</w:t>
      </w:r>
      <w:r>
        <w:rPr/>
        <w:t>737</w:t>
      </w:r>
      <w:r>
        <w:rPr/>
        <w:t>万元。借款余额增加并不必然让本期财务费用同幅增加，因为期限、利率和当期计息不同；未来更大负债仍可能增加费用。模型的正常利润已扣财务成本，因此目标价不能再减全部净债一次，否则同一融资负担会被重复扣除。</w:t>
      </w:r>
    </w:p>
    <w:p>
      <w:pPr>
        <w:pStyle w:val="Normal"/>
        <w:rPr/>
      </w:pPr>
      <w:r>
        <w:rPr/>
        <w:t>管理费用</w:t>
      </w:r>
      <w:r>
        <w:rPr/>
        <w:t>3.53</w:t>
      </w:r>
      <w:r>
        <w:rPr/>
        <w:t>亿元，同比略降；销售</w:t>
      </w:r>
      <w:r>
        <w:rPr/>
        <w:t>1.10</w:t>
      </w:r>
      <w:r>
        <w:rPr/>
        <w:t>亿元，增长</w:t>
      </w:r>
      <w:r>
        <w:rPr/>
        <w:t>1.7%</w:t>
      </w:r>
      <w:r>
        <w:rPr/>
        <w:t>；研发</w:t>
      </w:r>
      <w:r>
        <w:rPr/>
        <w:t>1.39</w:t>
      </w:r>
      <w:r>
        <w:rPr/>
        <w:t>亿元，增长</w:t>
      </w:r>
      <w:r>
        <w:rPr/>
        <w:t>9.7%</w:t>
      </w:r>
      <w:r>
        <w:rPr/>
        <w:t>。费用纪律对扣非恢复起到作用，但海外扩张和</w:t>
      </w:r>
      <w:r>
        <w:rPr/>
        <w:t>AI</w:t>
      </w:r>
      <w:r>
        <w:rPr/>
        <w:t>新投入可能使未来费用增长重新加快。管理费用如果靠短期压缩必要质控或培训取得，长期质量风险会增加；如果靠地区协同、采购和系统复用降低，才更可持续。本版一年基准管理</w:t>
      </w:r>
      <w:r>
        <w:rPr/>
        <w:t>8.10</w:t>
      </w:r>
      <w:r>
        <w:rPr/>
        <w:t>亿元、研发</w:t>
      </w:r>
      <w:r>
        <w:rPr/>
        <w:t>3.90</w:t>
      </w:r>
      <w:r>
        <w:rPr/>
        <w:t>亿元，明显保留投入，而不是按当前半年费用永远静止。</w:t>
      </w:r>
    </w:p>
    <w:p>
      <w:pPr>
        <w:pStyle w:val="Heading2"/>
        <w:rPr/>
      </w:pPr>
      <w:r>
        <w:rPr>
          <w:color w:val="000000"/>
        </w:rPr>
        <w:t>现金 资本占用与偿债</w:t>
      </w:r>
    </w:p>
    <w:p>
      <w:pPr>
        <w:pStyle w:val="Normal"/>
        <w:rPr/>
      </w:pPr>
      <w:r>
        <w:rPr/>
        <w:t>经营现金流</w:t>
      </w:r>
      <w:r>
        <w:rPr/>
        <w:t>4.26</w:t>
      </w:r>
      <w:r>
        <w:rPr/>
        <w:t>亿元，增长</w:t>
      </w:r>
      <w:r>
        <w:rPr/>
        <w:t>4.2%</w:t>
      </w:r>
      <w:r>
        <w:rPr/>
        <w:t>，低于收入和扣非增速。扣除现金购建</w:t>
      </w:r>
      <w:r>
        <w:rPr/>
        <w:t>1.06</w:t>
      </w:r>
      <w:r>
        <w:rPr/>
        <w:t>亿元，简单自由现金流约</w:t>
      </w:r>
      <w:r>
        <w:rPr/>
        <w:t>3.20</w:t>
      </w:r>
      <w:r>
        <w:rPr/>
        <w:t>亿元为正。这是主营有资金生成能力的证据，却不能代表全部现金都能分红。现金表里投资购买、并购尾款、少数权益交易、租赁和回购都另有支出。若只看简单自由现金流正值就说公司现金宽裕，容易漏掉资本配置对母公司流动性的消耗。</w:t>
      </w:r>
    </w:p>
    <w:p>
      <w:pPr>
        <w:pStyle w:val="Normal"/>
        <w:rPr/>
      </w:pPr>
      <w:r>
        <w:rPr/>
        <w:t>期末货币资金</w:t>
      </w:r>
      <w:r>
        <w:rPr/>
        <w:t>20.99</w:t>
      </w:r>
      <w:r>
        <w:rPr/>
        <w:t>亿元，现金及现金等价物</w:t>
      </w:r>
      <w:r>
        <w:rPr/>
        <w:t>20.43</w:t>
      </w:r>
      <w:r>
        <w:rPr/>
        <w:t>亿元，差约</w:t>
      </w:r>
      <w:r>
        <w:rPr/>
        <w:t>5619</w:t>
      </w:r>
      <w:r>
        <w:rPr/>
        <w:t>万元，含定期、保证金、冻结和受限用途。大额存单及利息约</w:t>
      </w:r>
      <w:r>
        <w:rPr/>
        <w:t>16.75</w:t>
      </w:r>
      <w:r>
        <w:rPr/>
        <w:t>亿元列于非流动资产，不能不加说明全部当即时现金。母公司货币资金约</w:t>
      </w:r>
      <w:r>
        <w:rPr/>
        <w:t>4.86</w:t>
      </w:r>
      <w:r>
        <w:rPr/>
        <w:t>亿元、上半年母公司经营现金流负</w:t>
      </w:r>
      <w:r>
        <w:rPr/>
        <w:t>8944</w:t>
      </w:r>
      <w:r>
        <w:rPr/>
        <w:t>万元，提示集团现金与母层自由调度不是同一个概念。子公司现金可能用于当地项目、监管和债务，需要考虑回流条件。</w:t>
      </w:r>
    </w:p>
    <w:p>
      <w:pPr>
        <w:pStyle w:val="Normal"/>
        <w:rPr/>
      </w:pPr>
      <w:r>
        <w:rPr/>
        <w:t>应收账款</w:t>
      </w:r>
      <w:r>
        <w:rPr/>
        <w:t>13.32</w:t>
      </w:r>
      <w:r>
        <w:rPr/>
        <w:t>亿元较去年末下降，但合同资产</w:t>
      </w:r>
      <w:r>
        <w:rPr/>
        <w:t>27.22</w:t>
      </w:r>
      <w:r>
        <w:rPr/>
        <w:t>亿元、合同负债</w:t>
      </w:r>
      <w:r>
        <w:rPr/>
        <w:t>13.55</w:t>
      </w:r>
      <w:r>
        <w:rPr/>
        <w:t>亿元同样重要。合同资产表示已经履约但还未取得无条件收款权，不能只看应收下降判断现金回款全面改善。如果项目的付款节点设在完成招募或数据库锁定，执行增加可先推高合同资产，后续才变应收和现金。未来应同时观察合同资产增速、收入确认与收款节点，尤其在客户融资仍敏感的阶段。</w:t>
      </w:r>
    </w:p>
    <w:p>
      <w:pPr>
        <w:pStyle w:val="Normal"/>
        <w:rPr/>
      </w:pPr>
      <w:r>
        <w:rPr/>
        <w:t>现金流补充表中经营应收占用约</w:t>
      </w:r>
      <w:r>
        <w:rPr/>
        <w:t>1.08</w:t>
      </w:r>
      <w:r>
        <w:rPr/>
        <w:t>亿元，存货占用</w:t>
      </w:r>
      <w:r>
        <w:rPr/>
        <w:t>2502</w:t>
      </w:r>
      <w:r>
        <w:rPr/>
        <w:t>万元，经营应付释放约</w:t>
      </w:r>
      <w:r>
        <w:rPr/>
        <w:t>5683</w:t>
      </w:r>
      <w:r>
        <w:rPr/>
        <w:t>万元。经营现金改善有部分来自收款，但应付管理和税款节奏也会影响。以年末冲回款或推迟支付形成的现金好转不等长期周转效率。基准模型</w:t>
      </w:r>
      <w:r>
        <w:rPr/>
        <w:t>2027</w:t>
      </w:r>
      <w:r>
        <w:rPr/>
        <w:t>年经营现金</w:t>
      </w:r>
      <w:r>
        <w:rPr/>
        <w:t>13</w:t>
      </w:r>
      <w:r>
        <w:rPr/>
        <w:t>亿元只是研究假设，需要后续财报核对；它没有由目标盈利机械推导为唯一正确值，报告清楚保留完整三张表预测尚未完成的限制。</w:t>
      </w:r>
    </w:p>
    <w:p>
      <w:pPr>
        <w:pStyle w:val="Normal"/>
        <w:rPr/>
      </w:pPr>
      <w:r>
        <w:rPr/>
        <w:t>上半年投资现金流入约</w:t>
      </w:r>
      <w:r>
        <w:rPr/>
        <w:t>11.11</w:t>
      </w:r>
      <w:r>
        <w:rPr/>
        <w:t>亿元，流出约</w:t>
      </w:r>
      <w:r>
        <w:rPr/>
        <w:t>10.62</w:t>
      </w:r>
      <w:r>
        <w:rPr/>
        <w:t>亿元，其中新增投资支付约</w:t>
      </w:r>
      <w:r>
        <w:rPr/>
        <w:t>9.49</w:t>
      </w:r>
      <w:r>
        <w:rPr/>
        <w:t>亿元。净投资活动现金为正约</w:t>
      </w:r>
      <w:r>
        <w:rPr/>
        <w:t>4881</w:t>
      </w:r>
      <w:r>
        <w:rPr/>
        <w:t>万元不等投资风险下降，因为新投规模仍大，而且资产回收可能含本金或理财到期。出售投资赚取的利润与回收本金应分开；基金分配也可能是返还资本，而非持续收入。研究现金桥把净投资和存单回收单列，避免将现金转换再次加成利润或价值。</w:t>
      </w:r>
    </w:p>
    <w:p>
      <w:pPr>
        <w:pStyle w:val="Normal"/>
        <w:rPr/>
      </w:pPr>
      <w:r>
        <w:rPr/>
        <w:t>回购现金约</w:t>
      </w:r>
      <w:r>
        <w:rPr/>
        <w:t>8.24</w:t>
      </w:r>
      <w:r>
        <w:rPr/>
        <w:t>亿元，远超过同期简单自由现金流。中期长期借款包括一年内到期部分约</w:t>
      </w:r>
      <w:r>
        <w:rPr/>
        <w:t>16.29</w:t>
      </w:r>
      <w:r>
        <w:rPr/>
        <w:t>亿元，较去年末</w:t>
      </w:r>
      <w:r>
        <w:rPr/>
        <w:t>6.12</w:t>
      </w:r>
      <w:r>
        <w:rPr/>
        <w:t>亿元明显增加；短借</w:t>
      </w:r>
      <w:r>
        <w:rPr/>
        <w:t>2.46</w:t>
      </w:r>
      <w:r>
        <w:rPr/>
        <w:t>亿元，租赁含一年内约</w:t>
      </w:r>
      <w:r>
        <w:rPr/>
        <w:t>3.81</w:t>
      </w:r>
      <w:r>
        <w:rPr/>
        <w:t>亿元。回购可能在低价格时提高每股权益，但同时以借款补充集团流动性，会让资本配置更复杂。应该比较回购收益与新增融资成本和投资机会，而不能把任何回购公告都当股价可靠底部。</w:t>
      </w:r>
    </w:p>
    <w:p>
      <w:pPr>
        <w:pStyle w:val="Normal"/>
        <w:rPr/>
      </w:pPr>
      <w:r>
        <w:rPr/>
        <w:t>本版融资负债小计约</w:t>
      </w:r>
      <w:r>
        <w:rPr/>
        <w:t>23.44</w:t>
      </w:r>
      <w:r>
        <w:rPr/>
        <w:t>亿元，包含短借、长借、租赁和可转债账面；如将披露衍生负债额外列示，约</w:t>
      </w:r>
      <w:r>
        <w:rPr/>
        <w:t>23.73</w:t>
      </w:r>
      <w:r>
        <w:rPr/>
        <w:t>亿元。现金等价物口径净负债約</w:t>
      </w:r>
      <w:r>
        <w:rPr/>
        <w:t>3.01</w:t>
      </w:r>
      <w:r>
        <w:rPr/>
        <w:t>亿元，规模不像高负债制药集团，但投资资产不流动及母层现金限制仍重要。大额存单若按到期回收可改善现金，不能同时作为现金等价物和投资价值双加。</w:t>
      </w:r>
      <w:r>
        <w:rPr/>
        <w:t>PE</w:t>
      </w:r>
      <w:r>
        <w:rPr/>
        <w:t>模型已经在正常利润扣融资费用，因此这些余额用于风险及现金校验，不再机械二次减目标价。</w:t>
      </w:r>
    </w:p>
    <w:p>
      <w:pPr>
        <w:pStyle w:val="Heading2"/>
        <w:rPr/>
      </w:pPr>
      <w:r>
        <w:rPr>
          <w:color w:val="000000"/>
        </w:rPr>
        <w:t>金融投资 基金与估值归属</w:t>
      </w:r>
    </w:p>
    <w:p>
      <w:pPr>
        <w:pStyle w:val="Normal"/>
        <w:rPr/>
      </w:pPr>
      <w:r>
        <w:rPr/>
        <w:t>其他非流动金融资产</w:t>
      </w:r>
      <w:r>
        <w:rPr/>
        <w:t>96.13</w:t>
      </w:r>
      <w:r>
        <w:rPr/>
        <w:t>亿元，其他权益工具</w:t>
      </w:r>
      <w:r>
        <w:rPr/>
        <w:t>581</w:t>
      </w:r>
      <w:r>
        <w:rPr/>
        <w:t>万元、理财</w:t>
      </w:r>
      <w:r>
        <w:rPr/>
        <w:t>2781</w:t>
      </w:r>
      <w:r>
        <w:rPr/>
        <w:t>万元，持续公允资产合计</w:t>
      </w:r>
      <w:r>
        <w:rPr/>
        <w:t>96.47</w:t>
      </w:r>
      <w:r>
        <w:rPr/>
        <w:t>亿元。三级公允计量资产约</w:t>
      </w:r>
      <w:r>
        <w:rPr/>
        <w:t>89.08</w:t>
      </w:r>
      <w:r>
        <w:rPr/>
        <w:t>亿元，包含非上市股权、基金及债务工具。该规模远大于年度主营利润，因此投资变动能够主导报告结果。它同时提供潜在可变现资产和巨大不透明性，不能只把它当下跌保护，也不能因为当期亏损就假设最终价值为零。市场折价会取决于回收质量、归属和资本配置纪律。</w:t>
      </w:r>
    </w:p>
    <w:p>
      <w:pPr>
        <w:pStyle w:val="Normal"/>
        <w:rPr/>
      </w:pPr>
      <w:r>
        <w:rPr/>
        <w:t>非上市股权约</w:t>
      </w:r>
      <w:r>
        <w:rPr/>
        <w:t>43.73</w:t>
      </w:r>
      <w:r>
        <w:rPr/>
        <w:t>亿元、非上市基金约</w:t>
      </w:r>
      <w:r>
        <w:rPr/>
        <w:t>44.13</w:t>
      </w:r>
      <w:r>
        <w:rPr/>
        <w:t>亿元，占多数公允资产。估值依赖无市场流通性折扣、融资交易、权益分配、上市概率及未来现金流，优先权和不同轮次权利会改变普通股经济价值。近期融资估值并不保证旧投资能以同价出售，临床失败、融资困难和清算优先权都可能侵蚀收益。模型不能用整个账面数除股数，称为每股无风险资产价值。</w:t>
      </w:r>
    </w:p>
    <w:p>
      <w:pPr>
        <w:pStyle w:val="Normal"/>
        <w:rPr/>
      </w:pPr>
      <w:r>
        <w:rPr/>
        <w:t>公司作为普通合伙人对部分不足</w:t>
      </w:r>
      <w:r>
        <w:rPr/>
        <w:t>50%</w:t>
      </w:r>
      <w:r>
        <w:rPr/>
        <w:t>持股的基金具有控制，因决策权、可变回报、管理人报酬及第三方权利判断而并表。特别是泰誉五期在稀释后持股</w:t>
      </w:r>
      <w:r>
        <w:rPr/>
        <w:t>0.85%</w:t>
      </w:r>
      <w:r>
        <w:rPr/>
        <w:t>仍在控制范围，这清楚说明控制权与经济权益不一致。一个并表基金的投资公允价值可以全部在资产表，外部出资人的份额则在少数权益或其他安排中。将全并表基金资产全部加到归母估值，会把他人的经济利益转给泰格</w:t>
      </w:r>
      <w:r>
        <w:rPr/>
        <w:t>H</w:t>
      </w:r>
      <w:r>
        <w:rPr/>
        <w:t>股。</w:t>
      </w:r>
    </w:p>
    <w:p>
      <w:pPr>
        <w:pStyle w:val="Normal"/>
        <w:rPr/>
      </w:pPr>
      <w:r>
        <w:rPr/>
        <w:t>集团少数权益</w:t>
      </w:r>
      <w:r>
        <w:rPr/>
        <w:t>36.14</w:t>
      </w:r>
      <w:r>
        <w:rPr/>
        <w:t>亿元，少数损益</w:t>
      </w:r>
      <w:r>
        <w:rPr/>
        <w:t>2.28</w:t>
      </w:r>
      <w:r>
        <w:rPr/>
        <w:t>亿元，而报告集团整体净亏</w:t>
      </w:r>
      <w:r>
        <w:rPr/>
        <w:t>1.85</w:t>
      </w:r>
      <w:r>
        <w:rPr/>
        <w:t>亿元，归母亏损因此大于集团亏损。非经常少数影响约</w:t>
      </w:r>
      <w:r>
        <w:rPr/>
        <w:t>2.03</w:t>
      </w:r>
      <w:r>
        <w:rPr/>
        <w:t>亿元，主要与非全资子公司所持金融资产升值有关。报告投损和少数正收益可以同时存在，不存在将所有基金收益平均按一个比例分配的简单规则。要算精确投资净资产，需要基金</w:t>
      </w:r>
      <w:r>
        <w:rPr/>
        <w:t>LP</w:t>
      </w:r>
      <w:r>
        <w:rPr/>
        <w:t>、</w:t>
      </w:r>
      <w:r>
        <w:rPr/>
        <w:t>GP</w:t>
      </w:r>
      <w:r>
        <w:rPr/>
        <w:t>、管理费、收益分配顺序、税以及项目权益的逐层穿透，本版尚未完成该工作。</w:t>
      </w:r>
    </w:p>
    <w:p>
      <w:pPr>
        <w:pStyle w:val="Normal"/>
        <w:rPr/>
      </w:pPr>
      <w:r>
        <w:rPr/>
        <w:t>上市投资也有不同限制。派格生物在中期形成公允损失约</w:t>
      </w:r>
      <w:r>
        <w:rPr/>
        <w:t>7.19</w:t>
      </w:r>
      <w:r>
        <w:rPr/>
        <w:t>亿元，北芯形成收益约</w:t>
      </w:r>
      <w:r>
        <w:rPr/>
        <w:t>2.92</w:t>
      </w:r>
      <w:r>
        <w:rPr/>
        <w:t>亿元，两者能解释投资波动的重要方向，但不等其后来股价变化都已计入</w:t>
      </w:r>
      <w:r>
        <w:rPr/>
        <w:t>6</w:t>
      </w:r>
      <w:r>
        <w:rPr/>
        <w:t>月底财报。北芯限售至</w:t>
      </w:r>
      <w:r>
        <w:rPr/>
        <w:t>2027</w:t>
      </w:r>
      <w:r>
        <w:rPr/>
        <w:t>年</w:t>
      </w:r>
      <w:r>
        <w:rPr/>
        <w:t>2</w:t>
      </w:r>
      <w:r>
        <w:rPr/>
        <w:t>月</w:t>
      </w:r>
      <w:r>
        <w:rPr/>
        <w:t>4</w:t>
      </w:r>
      <w:r>
        <w:rPr/>
        <w:t>日，派格所披露锁定于</w:t>
      </w:r>
      <w:r>
        <w:rPr/>
        <w:t>2026</w:t>
      </w:r>
      <w:r>
        <w:rPr/>
        <w:t>年</w:t>
      </w:r>
      <w:r>
        <w:rPr/>
        <w:t>5</w:t>
      </w:r>
      <w:r>
        <w:rPr/>
        <w:t>月</w:t>
      </w:r>
      <w:r>
        <w:rPr/>
        <w:t>26</w:t>
      </w:r>
      <w:r>
        <w:rPr/>
        <w:t>日结束，不能笼统说所有上市投资都能立即出售。可售不代表公司决定出售，也不保证大量卖出没有冲击或没有其他承诺。</w:t>
      </w:r>
    </w:p>
    <w:p>
      <w:pPr>
        <w:pStyle w:val="Normal"/>
        <w:rPr/>
      </w:pPr>
      <w:r>
        <w:rPr/>
        <w:t>长期股权投资约</w:t>
      </w:r>
      <w:r>
        <w:rPr/>
        <w:t>43.59</w:t>
      </w:r>
      <w:r>
        <w:rPr/>
        <w:t>亿元，内含联营及合营，和公允资产不是同一分类。若给权益法投资追加净资产价值，又把其持续收益包含在集团</w:t>
      </w:r>
      <w:r>
        <w:rPr/>
        <w:t>PE</w:t>
      </w:r>
      <w:r>
        <w:rPr/>
        <w:t>，需要先剔除对应利润，否则重复资本化。泰格的投资和经营网络部分相连，难以完全按“主营”与“金融”分成绝对独立资产。本版选单一集团正常</w:t>
      </w:r>
      <w:r>
        <w:rPr/>
        <w:t>PE</w:t>
      </w:r>
      <w:r>
        <w:rPr/>
        <w:t>活动模型，保留较小正常联营收益，不附加任何投资</w:t>
      </w:r>
      <w:r>
        <w:rPr/>
        <w:t>NAV</w:t>
      </w:r>
      <w:r>
        <w:rPr/>
        <w:t>；账面与归属仅作为交叉风险验证。</w:t>
      </w:r>
    </w:p>
    <w:p>
      <w:pPr>
        <w:pStyle w:val="Normal"/>
        <w:rPr/>
      </w:pPr>
      <w:r>
        <w:rPr/>
        <w:t>不加</w:t>
      </w:r>
      <w:r>
        <w:rPr/>
        <w:t>NAV</w:t>
      </w:r>
      <w:r>
        <w:rPr/>
        <w:t>的模型会遗漏某些可变现资产的独立残值，这属于保守估值的实际限制，尤其当主营利润低时</w:t>
      </w:r>
      <w:r>
        <w:rPr/>
        <w:t>PE</w:t>
      </w:r>
      <w:r>
        <w:rPr/>
        <w:t>悲观目标可能显著低于资产回收价值。本文没有声称</w:t>
      </w:r>
      <w:r>
        <w:rPr/>
        <w:t>5.94</w:t>
      </w:r>
      <w:r>
        <w:rPr/>
        <w:t>港元的五年悲观价是公司清算估值或必然价格底部。完整</w:t>
      </w:r>
      <w:r>
        <w:rPr/>
        <w:t>SOTP</w:t>
      </w:r>
      <w:r>
        <w:rPr/>
        <w:t>可以改善这一点，但必须先证明归母经济归属、净债、税及回收折扣，不能拿一个粗略全合并资产数替代。若后续穿透完成且发现大量可自由归母现金，应同步修订目标价和评分。</w:t>
      </w:r>
    </w:p>
    <w:p>
      <w:pPr>
        <w:pStyle w:val="Heading2"/>
        <w:rPr/>
      </w:pPr>
      <w:r>
        <w:rPr>
          <w:color w:val="000000"/>
        </w:rPr>
        <w:t>股数 激励 回购与治理</w:t>
      </w:r>
    </w:p>
    <w:p>
      <w:pPr>
        <w:pStyle w:val="Normal"/>
        <w:rPr/>
      </w:pPr>
      <w:r>
        <w:rPr/>
        <w:t>9</w:t>
      </w:r>
      <w:r>
        <w:rPr/>
        <w:t>月底全部发行</w:t>
      </w:r>
      <w:r>
        <w:rPr/>
        <w:t>861026050</w:t>
      </w:r>
      <w:r>
        <w:rPr/>
        <w:t>股，其中</w:t>
      </w:r>
      <w:r>
        <w:rPr/>
        <w:t>A</w:t>
      </w:r>
      <w:r>
        <w:rPr/>
        <w:t>股</w:t>
      </w:r>
      <w:r>
        <w:rPr/>
        <w:t>737901250</w:t>
      </w:r>
      <w:r>
        <w:rPr/>
        <w:t>、</w:t>
      </w:r>
      <w:r>
        <w:rPr/>
        <w:t>H</w:t>
      </w:r>
      <w:r>
        <w:rPr/>
        <w:t>股</w:t>
      </w:r>
      <w:r>
        <w:rPr/>
        <w:t>123124800</w:t>
      </w:r>
      <w:r>
        <w:rPr/>
        <w:t>。</w:t>
      </w:r>
      <w:r>
        <w:rPr/>
        <w:t>A</w:t>
      </w:r>
      <w:r>
        <w:rPr/>
        <w:t>库存</w:t>
      </w:r>
      <w:r>
        <w:rPr/>
        <w:t>26847258</w:t>
      </w:r>
      <w:r>
        <w:rPr/>
        <w:t>、</w:t>
      </w:r>
      <w:r>
        <w:rPr/>
        <w:t>H</w:t>
      </w:r>
      <w:r>
        <w:rPr/>
        <w:t>库存零，外部</w:t>
      </w:r>
      <w:r>
        <w:rPr/>
        <w:t>A</w:t>
      </w:r>
      <w:r>
        <w:rPr/>
        <w:t>股</w:t>
      </w:r>
      <w:r>
        <w:rPr/>
        <w:t>711053992</w:t>
      </w:r>
      <w:r>
        <w:rPr/>
        <w:t>、外部合计</w:t>
      </w:r>
      <w:r>
        <w:rPr/>
        <w:t>834178792</w:t>
      </w:r>
      <w:r>
        <w:rPr/>
        <w:t>。估值用整个发行人股份作分母，不能只拿</w:t>
      </w:r>
      <w:r>
        <w:rPr/>
        <w:t>H</w:t>
      </w:r>
      <w:r>
        <w:rPr/>
        <w:t>股数除集团利润，那会显著高估每股盈利。外部流通经济分母与法律发行数不同；本版短期选择全部发行数更保守，并在模型把库存和外部数列清楚，而不是在不同情景随意切换。</w:t>
      </w:r>
    </w:p>
    <w:p>
      <w:pPr>
        <w:pStyle w:val="Normal"/>
        <w:rPr/>
      </w:pPr>
      <w:r>
        <w:rPr/>
        <w:t>2026</w:t>
      </w:r>
      <w:r>
        <w:rPr/>
        <w:t>年</w:t>
      </w:r>
      <w:r>
        <w:rPr/>
        <w:t>A</w:t>
      </w:r>
      <w:r>
        <w:rPr/>
        <w:t>股累计回购</w:t>
      </w:r>
      <w:r>
        <w:rPr/>
        <w:t>20963478</w:t>
      </w:r>
      <w:r>
        <w:rPr/>
        <w:t>股，价格区间</w:t>
      </w:r>
      <w:r>
        <w:rPr/>
        <w:t>38.22</w:t>
      </w:r>
      <w:r>
        <w:rPr/>
        <w:t>至</w:t>
      </w:r>
      <w:r>
        <w:rPr/>
        <w:t>42.78</w:t>
      </w:r>
      <w:r>
        <w:rPr/>
        <w:t>元人民币，公告成本约</w:t>
      </w:r>
      <w:r>
        <w:rPr/>
        <w:t>8.2434</w:t>
      </w:r>
      <w:r>
        <w:rPr/>
        <w:t>亿元不含费用，现金及会计支出约</w:t>
      </w:r>
      <w:r>
        <w:rPr/>
        <w:t>8.2441</w:t>
      </w:r>
      <w:r>
        <w:rPr/>
        <w:t>亿元。两者小额差异来自费用口径，不能据此判定数据矛盾。库存还包括旧</w:t>
      </w:r>
      <w:r>
        <w:rPr/>
        <w:t>5883780</w:t>
      </w:r>
      <w:r>
        <w:rPr/>
        <w:t>股。</w:t>
      </w:r>
      <w:r>
        <w:rPr/>
        <w:t>9</w:t>
      </w:r>
      <w:r>
        <w:rPr/>
        <w:t>月</w:t>
      </w:r>
      <w:r>
        <w:rPr/>
        <w:t>23</w:t>
      </w:r>
      <w:r>
        <w:rPr/>
        <w:t>日批准拟注销旧库存并通知债权人，申报至</w:t>
      </w:r>
      <w:r>
        <w:rPr/>
        <w:t>11</w:t>
      </w:r>
      <w:r>
        <w:rPr/>
        <w:t>月</w:t>
      </w:r>
      <w:r>
        <w:rPr/>
        <w:t>7</w:t>
      </w:r>
      <w:r>
        <w:rPr/>
        <w:t>日；</w:t>
      </w:r>
      <w:r>
        <w:rPr/>
        <w:t>9</w:t>
      </w:r>
      <w:r>
        <w:rPr/>
        <w:t>月底法律股本没有提前减少。假设注销已完成再计算</w:t>
      </w:r>
      <w:r>
        <w:rPr/>
        <w:t>EPS</w:t>
      </w:r>
      <w:r>
        <w:rPr/>
        <w:t>，会把尚未实现的资本动作当实绩。</w:t>
      </w:r>
    </w:p>
    <w:p>
      <w:pPr>
        <w:pStyle w:val="Normal"/>
        <w:rPr/>
      </w:pPr>
      <w:r>
        <w:rPr/>
        <w:t>10</w:t>
      </w:r>
      <w:r>
        <w:rPr/>
        <w:t>月</w:t>
      </w:r>
      <w:r>
        <w:rPr/>
        <w:t>9</w:t>
      </w:r>
      <w:r>
        <w:rPr/>
        <w:t>日授予限制性股票</w:t>
      </w:r>
      <w:r>
        <w:rPr/>
        <w:t>9174770</w:t>
      </w:r>
      <w:r>
        <w:rPr/>
        <w:t>股给</w:t>
      </w:r>
      <w:r>
        <w:rPr/>
        <w:t>498</w:t>
      </w:r>
      <w:r>
        <w:rPr/>
        <w:t>人，价格</w:t>
      </w:r>
      <w:r>
        <w:rPr/>
        <w:t>39.32</w:t>
      </w:r>
      <w:r>
        <w:rPr/>
        <w:t>元人民币，来源为回购库存。香港交易所英文公告首次发布</w:t>
      </w:r>
      <w:r>
        <w:rPr/>
        <w:t>21:41</w:t>
      </w:r>
      <w:r>
        <w:rPr/>
        <w:t>，中文镜像</w:t>
      </w:r>
      <w:r>
        <w:rPr/>
        <w:t>21:42</w:t>
      </w:r>
      <w:r>
        <w:rPr/>
        <w:t>，均为两市收盘后。授予日</w:t>
      </w:r>
      <w:r>
        <w:rPr/>
        <w:t>A</w:t>
      </w:r>
      <w:r>
        <w:rPr/>
        <w:t>股收盘</w:t>
      </w:r>
      <w:r>
        <w:rPr/>
        <w:t>55.18</w:t>
      </w:r>
      <w:r>
        <w:rPr/>
        <w:t>元是激励估值输入，不是本名单</w:t>
      </w:r>
      <w:r>
        <w:rPr/>
        <w:t>H</w:t>
      </w:r>
      <w:r>
        <w:rPr/>
        <w:t>股价格，也不是全年预测。库存交付增加外部股份却不额外增加全部发行数，不能在全股分母上再次加全部授予股，也不能同时把库存减少和新发行稀释重复计算。</w:t>
      </w:r>
    </w:p>
    <w:p>
      <w:pPr>
        <w:pStyle w:val="Normal"/>
        <w:rPr/>
      </w:pPr>
      <w:r>
        <w:rPr/>
        <w:t>预计股份支付成本总计约</w:t>
      </w:r>
      <w:r>
        <w:rPr/>
        <w:t>1.179</w:t>
      </w:r>
      <w:r>
        <w:rPr/>
        <w:t>亿元，分</w:t>
      </w:r>
      <w:r>
        <w:rPr/>
        <w:t>2026</w:t>
      </w:r>
      <w:r>
        <w:rPr/>
        <w:t>至</w:t>
      </w:r>
      <w:r>
        <w:rPr/>
        <w:t>2029</w:t>
      </w:r>
      <w:r>
        <w:rPr/>
        <w:t>年约</w:t>
      </w:r>
      <w:r>
        <w:rPr/>
        <w:t>1798</w:t>
      </w:r>
      <w:r>
        <w:rPr/>
        <w:t>、</w:t>
      </w:r>
      <w:r>
        <w:rPr/>
        <w:t>6787</w:t>
      </w:r>
      <w:r>
        <w:rPr/>
        <w:t>、</w:t>
      </w:r>
      <w:r>
        <w:rPr/>
        <w:t>2589</w:t>
      </w:r>
      <w:r>
        <w:rPr/>
        <w:t>及</w:t>
      </w:r>
      <w:r>
        <w:rPr/>
        <w:t>617</w:t>
      </w:r>
      <w:r>
        <w:rPr/>
        <w:t>万元。实际费用可能受归属人数、业绩和估值调整影响，不能机械当永久精确未来费用。本版管理、研发和销售输入包含正常股付成本，并没有将所有激励加回。激励使人才与股价联系更紧，也会产生对短期考核、资本回报及外部股东权益的影响，需要看考核设计和交付节奏。</w:t>
      </w:r>
    </w:p>
    <w:p>
      <w:pPr>
        <w:pStyle w:val="Normal"/>
        <w:rPr/>
      </w:pPr>
      <w:r>
        <w:rPr/>
        <w:t>激励考核以</w:t>
      </w:r>
      <w:r>
        <w:rPr/>
        <w:t>2025</w:t>
      </w:r>
      <w:r>
        <w:rPr/>
        <w:t>年经审计扣非归母为基数，剔除本次和其他激励股份支付。</w:t>
      </w:r>
      <w:r>
        <w:rPr/>
        <w:t>2026</w:t>
      </w:r>
      <w:r>
        <w:rPr/>
        <w:t>、</w:t>
      </w:r>
      <w:r>
        <w:rPr/>
        <w:t>2027</w:t>
      </w:r>
      <w:r>
        <w:rPr/>
        <w:t>、</w:t>
      </w:r>
      <w:r>
        <w:rPr/>
        <w:t>2028</w:t>
      </w:r>
      <w:r>
        <w:rPr/>
        <w:t>年全额归属目标增长</w:t>
      </w:r>
      <w:r>
        <w:rPr/>
        <w:t>60%</w:t>
      </w:r>
      <w:r>
        <w:rPr/>
        <w:t>、</w:t>
      </w:r>
      <w:r>
        <w:rPr/>
        <w:t>155%</w:t>
      </w:r>
      <w:r>
        <w:rPr/>
        <w:t>、</w:t>
      </w:r>
      <w:r>
        <w:rPr/>
        <w:t>240%</w:t>
      </w:r>
      <w:r>
        <w:rPr/>
        <w:t>，较低门槛</w:t>
      </w:r>
      <w:r>
        <w:rPr/>
        <w:t>45%</w:t>
      </w:r>
      <w:r>
        <w:rPr/>
        <w:t>、</w:t>
      </w:r>
      <w:r>
        <w:rPr/>
        <w:t>103%</w:t>
      </w:r>
      <w:r>
        <w:rPr/>
        <w:t>、</w:t>
      </w:r>
      <w:r>
        <w:rPr/>
        <w:t>170%</w:t>
      </w:r>
      <w:r>
        <w:rPr/>
        <w:t>，达到低门槛但不到高目标对应</w:t>
      </w:r>
      <w:r>
        <w:rPr/>
        <w:t>80%</w:t>
      </w:r>
      <w:r>
        <w:rPr/>
        <w:t>公司层归属，低于门槛零。考核利润与用于估值的持续股付后归母不同。原件明确这些目标不是业绩预测或承诺，本文用它们判断管理意图和激励强度，不直接把目标作为盈利保证。</w:t>
      </w:r>
    </w:p>
    <w:p>
      <w:pPr>
        <w:pStyle w:val="Normal"/>
        <w:rPr/>
      </w:pPr>
      <w:r>
        <w:rPr/>
        <w:t>2025</w:t>
      </w:r>
      <w:r>
        <w:rPr/>
        <w:t>年扣非</w:t>
      </w:r>
      <w:r>
        <w:rPr/>
        <w:t>3.55</w:t>
      </w:r>
      <w:r>
        <w:rPr/>
        <w:t>亿元的低基数使激励增长看起来很高，</w:t>
      </w:r>
      <w:r>
        <w:rPr/>
        <w:t>2026</w:t>
      </w:r>
      <w:r>
        <w:rPr/>
        <w:t>年</w:t>
      </w:r>
      <w:r>
        <w:rPr/>
        <w:t>60%</w:t>
      </w:r>
      <w:r>
        <w:rPr/>
        <w:t>增速对应至少约</w:t>
      </w:r>
      <w:r>
        <w:rPr/>
        <w:t>5.68</w:t>
      </w:r>
      <w:r>
        <w:rPr/>
        <w:t>亿元加回口径，并不能证明回到</w:t>
      </w:r>
      <w:r>
        <w:rPr/>
        <w:t>2023</w:t>
      </w:r>
      <w:r>
        <w:rPr/>
        <w:t>年</w:t>
      </w:r>
      <w:r>
        <w:rPr/>
        <w:t>14.77</w:t>
      </w:r>
      <w:r>
        <w:rPr/>
        <w:t>亿元扣非高峰。</w:t>
      </w:r>
      <w:r>
        <w:rPr/>
        <w:t>2027</w:t>
      </w:r>
      <w:r>
        <w:rPr/>
        <w:t>年</w:t>
      </w:r>
      <w:r>
        <w:rPr/>
        <w:t>155%</w:t>
      </w:r>
      <w:r>
        <w:rPr/>
        <w:t>和</w:t>
      </w:r>
      <w:r>
        <w:rPr/>
        <w:t>2028</w:t>
      </w:r>
      <w:r>
        <w:rPr/>
        <w:t>年</w:t>
      </w:r>
      <w:r>
        <w:rPr/>
        <w:t>240%</w:t>
      </w:r>
      <w:r>
        <w:rPr/>
        <w:t>目标也需要低价合同、海外利用率和费用效率改善。本研究年底基准股付后归母</w:t>
      </w:r>
      <w:r>
        <w:rPr/>
        <w:t>6.02</w:t>
      </w:r>
      <w:r>
        <w:rPr/>
        <w:t>亿元与考核方向相容，但这只是独立预测，不宣称激励一定归属。长期推荐应关注每股现金增长，避免把以低谷为基数的百分比当绝对利润规模。</w:t>
      </w:r>
    </w:p>
    <w:p>
      <w:pPr>
        <w:pStyle w:val="Normal"/>
        <w:rPr/>
      </w:pPr>
      <w:r>
        <w:rPr/>
        <w:t>控制人叶小平和曹晓春因历史权益和减持披露收到监管警示及行政处罚事先告知。</w:t>
      </w:r>
      <w:r>
        <w:rPr/>
        <w:t>9</w:t>
      </w:r>
      <w:r>
        <w:rPr/>
        <w:t>月</w:t>
      </w:r>
      <w:r>
        <w:rPr/>
        <w:t>11</w:t>
      </w:r>
      <w:r>
        <w:rPr/>
        <w:t>日披露调查完毕，拟各罚</w:t>
      </w:r>
      <w:r>
        <w:rPr/>
        <w:t>50</w:t>
      </w:r>
      <w:r>
        <w:rPr/>
        <w:t>万元，核心涉及</w:t>
      </w:r>
      <w:r>
        <w:rPr/>
        <w:t>2019</w:t>
      </w:r>
      <w:r>
        <w:rPr/>
        <w:t>年累计权益变动</w:t>
      </w:r>
      <w:r>
        <w:rPr/>
        <w:t>5%</w:t>
      </w:r>
      <w:r>
        <w:rPr/>
        <w:t>和</w:t>
      </w:r>
      <w:r>
        <w:rPr/>
        <w:t>2022</w:t>
      </w:r>
      <w:r>
        <w:rPr/>
        <w:t>年变动</w:t>
      </w:r>
      <w:r>
        <w:rPr/>
        <w:t>1%</w:t>
      </w:r>
      <w:r>
        <w:rPr/>
        <w:t>未及时披露，至</w:t>
      </w:r>
      <w:r>
        <w:rPr/>
        <w:t>2026</w:t>
      </w:r>
      <w:r>
        <w:rPr/>
        <w:t>年</w:t>
      </w:r>
      <w:r>
        <w:rPr/>
        <w:t>5</w:t>
      </w:r>
      <w:r>
        <w:rPr/>
        <w:t>月补披露。原件未指控财报造假，也称不涉及重大违法强制退市条件，但正式处罚仍有陈述、申辩和听证程序。投行说不确定性消除是市场观点，不替代法律状态。</w:t>
      </w:r>
    </w:p>
    <w:p>
      <w:pPr>
        <w:pStyle w:val="Normal"/>
        <w:rPr/>
      </w:pPr>
      <w:r>
        <w:rPr/>
        <w:t>治理风险不仅是罚款金额。较大金融投资、基金少数、资本结构和控制人披露要求投资者持续信任管理层的信息完整性。即使违规和核心经营无直接联系，市场也可能降低对复杂投资资产估值的信心，从而要求更大折价。反过来，及时、完整和可核验的披露能降低这种风险。半年将治理不确定性缓和作为催化，但风险得分仍较低，并没有因拟处罚金额小而认定所有治理风险解除。</w:t>
      </w:r>
    </w:p>
    <w:p>
      <w:pPr>
        <w:pStyle w:val="Heading2"/>
        <w:rPr/>
      </w:pPr>
      <w:r>
        <w:rPr>
          <w:color w:val="000000"/>
        </w:rPr>
        <w:t>半年日线 周线与量价</w:t>
      </w:r>
    </w:p>
    <w:p>
      <w:pPr>
        <w:pStyle w:val="Normal"/>
        <w:rPr/>
      </w:pPr>
      <w:r>
        <w:rPr/>
        <w:t>锁定日线</w:t>
      </w:r>
      <w:r>
        <w:rPr/>
        <w:t>739</w:t>
      </w:r>
      <w:r>
        <w:rPr/>
        <w:t>个交易记录，周线</w:t>
      </w:r>
      <w:r>
        <w:rPr/>
        <w:t>157</w:t>
      </w:r>
      <w:r>
        <w:rPr/>
        <w:t>个，统一以基准日名义价格归一的复权</w:t>
      </w:r>
      <w:r>
        <w:rPr/>
        <w:t>OHLC</w:t>
      </w:r>
      <w:r>
        <w:rPr/>
        <w:t>计算。</w:t>
      </w:r>
      <w:r>
        <w:rPr/>
        <w:t>20</w:t>
      </w:r>
      <w:r>
        <w:rPr/>
        <w:t>、</w:t>
      </w:r>
      <w:r>
        <w:rPr/>
        <w:t>60</w:t>
      </w:r>
      <w:r>
        <w:rPr/>
        <w:t>、</w:t>
      </w:r>
      <w:r>
        <w:rPr/>
        <w:t>120</w:t>
      </w:r>
      <w:r>
        <w:rPr/>
        <w:t>和</w:t>
      </w:r>
      <w:r>
        <w:rPr/>
        <w:t>250</w:t>
      </w:r>
      <w:r>
        <w:rPr/>
        <w:t>日均线分别</w:t>
      </w:r>
      <w:r>
        <w:rPr/>
        <w:t>45.259</w:t>
      </w:r>
      <w:r>
        <w:rPr/>
        <w:t>、</w:t>
      </w:r>
      <w:r>
        <w:rPr/>
        <w:t>41.372</w:t>
      </w:r>
      <w:r>
        <w:rPr/>
        <w:t>、</w:t>
      </w:r>
      <w:r>
        <w:rPr/>
        <w:t>38.337</w:t>
      </w:r>
      <w:r>
        <w:rPr/>
        <w:t>和</w:t>
      </w:r>
      <w:r>
        <w:rPr/>
        <w:t>41.419</w:t>
      </w:r>
      <w:r>
        <w:rPr/>
        <w:t>港元；现价低</w:t>
      </w:r>
      <w:r>
        <w:rPr/>
        <w:t>20</w:t>
      </w:r>
      <w:r>
        <w:rPr/>
        <w:t>日</w:t>
      </w:r>
      <w:r>
        <w:rPr/>
        <w:t>1.54%</w:t>
      </w:r>
      <w:r>
        <w:rPr/>
        <w:t>，高其余约</w:t>
      </w:r>
      <w:r>
        <w:rPr/>
        <w:t>7.71%</w:t>
      </w:r>
      <w:r>
        <w:rPr/>
        <w:t>、</w:t>
      </w:r>
      <w:r>
        <w:rPr/>
        <w:t>16.23%</w:t>
      </w:r>
      <w:r>
        <w:rPr/>
        <w:t>和</w:t>
      </w:r>
      <w:r>
        <w:rPr/>
        <w:t>7.58%</w:t>
      </w:r>
      <w:r>
        <w:rPr/>
        <w:t>。</w:t>
      </w:r>
      <w:r>
        <w:rPr/>
        <w:t>20</w:t>
      </w:r>
      <w:r>
        <w:rPr/>
        <w:t>与</w:t>
      </w:r>
      <w:r>
        <w:rPr/>
        <w:t>60</w:t>
      </w:r>
      <w:r>
        <w:rPr/>
        <w:t>日五期斜率向上，</w:t>
      </w:r>
      <w:r>
        <w:rPr/>
        <w:t>120</w:t>
      </w:r>
      <w:r>
        <w:rPr/>
        <w:t>日略升，</w:t>
      </w:r>
      <w:r>
        <w:rPr/>
        <w:t>250</w:t>
      </w:r>
      <w:r>
        <w:rPr/>
        <w:t>日基本走平略降，形成中期修复、短期回调、长均线尚未明确上升的组合。不能只看高于</w:t>
      </w:r>
      <w:r>
        <w:rPr/>
        <w:t>250</w:t>
      </w:r>
      <w:r>
        <w:rPr/>
        <w:t>日线就称长期牛市确认。</w:t>
      </w:r>
    </w:p>
    <w:p>
      <w:pPr>
        <w:pStyle w:val="Normal"/>
        <w:rPr/>
      </w:pPr>
      <w:r>
        <w:rPr/>
        <w:t>20</w:t>
      </w:r>
      <w:r>
        <w:rPr/>
        <w:t>日价格回报</w:t>
      </w:r>
      <w:r>
        <w:rPr/>
        <w:t>6.30%</w:t>
      </w:r>
      <w:r>
        <w:rPr/>
        <w:t>、</w:t>
      </w:r>
      <w:r>
        <w:rPr/>
        <w:t>60</w:t>
      </w:r>
      <w:r>
        <w:rPr/>
        <w:t>日</w:t>
      </w:r>
      <w:r>
        <w:rPr/>
        <w:t>13.56%</w:t>
      </w:r>
      <w:r>
        <w:rPr/>
        <w:t>，同期恒指约−</w:t>
      </w:r>
      <w:r>
        <w:rPr/>
        <w:t>2.98%</w:t>
      </w:r>
      <w:r>
        <w:rPr/>
        <w:t>及−</w:t>
      </w:r>
      <w:r>
        <w:rPr/>
        <w:t>3.19%</w:t>
      </w:r>
      <w:r>
        <w:rPr/>
        <w:t>，超额约</w:t>
      </w:r>
      <w:r>
        <w:rPr/>
        <w:t>9.28</w:t>
      </w:r>
      <w:r>
        <w:rPr/>
        <w:t>和</w:t>
      </w:r>
      <w:r>
        <w:rPr/>
        <w:t>16.75</w:t>
      </w:r>
      <w:r>
        <w:rPr/>
        <w:t>个百分点。泰格近期明显强于市场，说明其复苏和治理预期获得资金关注，但市场相对强势不等自身估值合理。匹配临床</w:t>
      </w:r>
      <w:r>
        <w:rPr/>
        <w:t>CRO</w:t>
      </w:r>
      <w:r>
        <w:rPr/>
        <w:t>行业指数的同口径历史未取得，本版不造行业超额，也不用创新药指数冒充</w:t>
      </w:r>
      <w:r>
        <w:rPr/>
        <w:t>CXO</w:t>
      </w:r>
      <w:r>
        <w:rPr/>
        <w:t>基准。指数不同成分、政策和风险结构会使替代比较产生误导。</w:t>
      </w:r>
    </w:p>
    <w:p>
      <w:pPr>
        <w:pStyle w:val="Normal"/>
        <w:rPr/>
      </w:pPr>
      <w:r>
        <w:rPr/>
        <w:t>最近</w:t>
      </w:r>
      <w:r>
        <w:rPr/>
        <w:t>20</w:t>
      </w:r>
      <w:r>
        <w:rPr/>
        <w:t>日价格区间</w:t>
      </w:r>
      <w:r>
        <w:rPr/>
        <w:t>40.02</w:t>
      </w:r>
      <w:r>
        <w:rPr/>
        <w:t>至</w:t>
      </w:r>
      <w:r>
        <w:rPr/>
        <w:t>48.36</w:t>
      </w:r>
      <w:r>
        <w:rPr/>
        <w:t>港元，现价向低点约</w:t>
      </w:r>
      <w:r>
        <w:rPr/>
        <w:t>10.19%</w:t>
      </w:r>
      <w:r>
        <w:rPr/>
        <w:t>、向高点约</w:t>
      </w:r>
      <w:r>
        <w:rPr/>
        <w:t>8.53%</w:t>
      </w:r>
      <w:r>
        <w:rPr/>
        <w:t>；</w:t>
      </w:r>
      <w:r>
        <w:rPr/>
        <w:t>60</w:t>
      </w:r>
      <w:r>
        <w:rPr/>
        <w:t>日低点</w:t>
      </w:r>
      <w:r>
        <w:rPr/>
        <w:t>36.10</w:t>
      </w:r>
      <w:r>
        <w:rPr/>
        <w:t>约低</w:t>
      </w:r>
      <w:r>
        <w:rPr/>
        <w:t>18.99%</w:t>
      </w:r>
      <w:r>
        <w:rPr/>
        <w:t>。这些是未经触碰次数筛选的阶段观察位，不代表必然支撑阻力。</w:t>
      </w:r>
      <w:r>
        <w:rPr/>
        <w:t>40.02</w:t>
      </w:r>
      <w:r>
        <w:rPr/>
        <w:t>附近若回踩缩量且业务证据没有变差，可观察修复；若跌破并伴随持续放量和相对弱势，短期结论需要下调。</w:t>
      </w:r>
      <w:r>
        <w:rPr/>
        <w:t>48.36</w:t>
      </w:r>
      <w:r>
        <w:rPr/>
        <w:t>突破若缺乏成交配合或快速回落，则只能视为区间尝试。</w:t>
      </w:r>
    </w:p>
    <w:p>
      <w:pPr>
        <w:pStyle w:val="Normal"/>
        <w:rPr/>
      </w:pPr>
      <w:r>
        <w:rPr/>
        <w:t>52</w:t>
      </w:r>
      <w:r>
        <w:rPr/>
        <w:t>周复权高点约</w:t>
      </w:r>
      <w:r>
        <w:rPr/>
        <w:t>56.74</w:t>
      </w:r>
      <w:r>
        <w:rPr/>
        <w:t>、低点</w:t>
      </w:r>
      <w:r>
        <w:rPr/>
        <w:t>27.99</w:t>
      </w:r>
      <w:r>
        <w:rPr/>
        <w:t>，现价距高点约−</w:t>
      </w:r>
      <w:r>
        <w:rPr/>
        <w:t>21.46%</w:t>
      </w:r>
      <w:r>
        <w:rPr/>
        <w:t>，距低点约</w:t>
      </w:r>
      <w:r>
        <w:rPr/>
        <w:t>59.20%</w:t>
      </w:r>
      <w:r>
        <w:rPr/>
        <w:t>，窗口内最大日线回撤约</w:t>
      </w:r>
      <w:r>
        <w:rPr/>
        <w:t>46.59%</w:t>
      </w:r>
      <w:r>
        <w:rPr/>
        <w:t>。较大历史回撤说明在业绩和投资估值变化时市场可以快速压低价格，但高点不是天然目标。若利润基数和倍数已经变化，回到旧高需要新的证据。高低点使用复权口径，不能拿当年未复权屏幕价格直接比较，尤其在现金分红或公司行动附近。</w:t>
      </w:r>
    </w:p>
    <w:p>
      <w:pPr>
        <w:pStyle w:val="Normal"/>
        <w:rPr/>
      </w:pPr>
      <w:r>
        <w:rPr/>
        <w:t>当日成交</w:t>
      </w:r>
      <w:r>
        <w:rPr/>
        <w:t>923200</w:t>
      </w:r>
      <w:r>
        <w:rPr/>
        <w:t>股、成交额约</w:t>
      </w:r>
      <w:r>
        <w:rPr/>
        <w:t>4009</w:t>
      </w:r>
      <w:r>
        <w:rPr/>
        <w:t>万元港币。</w:t>
      </w:r>
      <w:r>
        <w:rPr/>
        <w:t>5</w:t>
      </w:r>
      <w:r>
        <w:rPr/>
        <w:t>、</w:t>
      </w:r>
      <w:r>
        <w:rPr/>
        <w:t>20</w:t>
      </w:r>
      <w:r>
        <w:rPr/>
        <w:t>、</w:t>
      </w:r>
      <w:r>
        <w:rPr/>
        <w:t>60</w:t>
      </w:r>
      <w:r>
        <w:rPr/>
        <w:t>日均量约</w:t>
      </w:r>
      <w:r>
        <w:rPr/>
        <w:t>63.8</w:t>
      </w:r>
      <w:r>
        <w:rPr/>
        <w:t>万、</w:t>
      </w:r>
      <w:r>
        <w:rPr/>
        <w:t>120.9</w:t>
      </w:r>
      <w:r>
        <w:rPr/>
        <w:t>万、</w:t>
      </w:r>
      <w:r>
        <w:rPr/>
        <w:t>162.6</w:t>
      </w:r>
      <w:r>
        <w:rPr/>
        <w:t>万股，当日对前</w:t>
      </w:r>
      <w:r>
        <w:rPr/>
        <w:t>20</w:t>
      </w:r>
      <w:r>
        <w:rPr/>
        <w:t>日均量量比约</w:t>
      </w:r>
      <w:r>
        <w:rPr/>
        <w:t>0.743</w:t>
      </w:r>
      <w:r>
        <w:rPr/>
        <w:t>。近期成交明显低于中期水平，配合现价在</w:t>
      </w:r>
      <w:r>
        <w:rPr/>
        <w:t>20</w:t>
      </w:r>
      <w:r>
        <w:rPr/>
        <w:t>日下方、</w:t>
      </w:r>
      <w:r>
        <w:rPr/>
        <w:t>60</w:t>
      </w:r>
      <w:r>
        <w:rPr/>
        <w:t>日上方，支持“回调量能缩小”的描述，但不能证明卖压全部结束。缩量也可能表示买盘不足，只有关键区间重获成交和相对强势才能提高突破可信度。</w:t>
      </w:r>
    </w:p>
    <w:p>
      <w:pPr>
        <w:pStyle w:val="Normal"/>
        <w:rPr/>
      </w:pPr>
      <w:r>
        <w:rPr/>
        <w:t>20</w:t>
      </w:r>
      <w:r>
        <w:rPr/>
        <w:t>日上涨</w:t>
      </w:r>
      <w:r>
        <w:rPr/>
        <w:t>11</w:t>
      </w:r>
      <w:r>
        <w:rPr/>
        <w:t>天、下跌</w:t>
      </w:r>
      <w:r>
        <w:rPr/>
        <w:t>9</w:t>
      </w:r>
      <w:r>
        <w:rPr/>
        <w:t>天，上涨日合计成交约</w:t>
      </w:r>
      <w:r>
        <w:rPr/>
        <w:t>1482</w:t>
      </w:r>
      <w:r>
        <w:rPr/>
        <w:t>万股、下跌日</w:t>
      </w:r>
      <w:r>
        <w:rPr/>
        <w:t>936</w:t>
      </w:r>
      <w:r>
        <w:rPr/>
        <w:t>万，比</w:t>
      </w:r>
      <w:r>
        <w:rPr/>
        <w:t>1.58</w:t>
      </w:r>
      <w:r>
        <w:rPr/>
        <w:t>。该方向量能对修复有支持，但原统计是总量，未按幅度和新闻事件独立归因。上涨日多成交可以由指数资金、消息交易或大额换手共同形成，不能直接称主力吸筹。没有逐笔订单流和持仓来源，就不能绘制声称精确的筹码分布或断言某类资金成本；本版只使用可重复计算的日量。</w:t>
      </w:r>
    </w:p>
    <w:p>
      <w:pPr>
        <w:pStyle w:val="Normal"/>
        <w:rPr/>
      </w:pPr>
      <w:r>
        <w:rPr/>
        <w:t>日</w:t>
      </w:r>
      <w:r>
        <w:rPr/>
        <w:t>RSI</w:t>
      </w:r>
      <w:r>
        <w:rPr/>
        <w:t>约</w:t>
      </w:r>
      <w:r>
        <w:rPr/>
        <w:t>51.50</w:t>
      </w:r>
      <w:r>
        <w:rPr/>
        <w:t>接近中性，</w:t>
      </w:r>
      <w:r>
        <w:rPr/>
        <w:t>MACD</w:t>
      </w:r>
      <w:r>
        <w:rPr/>
        <w:t>的</w:t>
      </w:r>
      <w:r>
        <w:rPr/>
        <w:t>DIF</w:t>
      </w:r>
      <w:r>
        <w:rPr/>
        <w:t>约</w:t>
      </w:r>
      <w:r>
        <w:rPr/>
        <w:t>0.990</w:t>
      </w:r>
      <w:r>
        <w:rPr/>
        <w:t>、</w:t>
      </w:r>
      <w:r>
        <w:rPr/>
        <w:t>DEA1.330</w:t>
      </w:r>
      <w:r>
        <w:rPr/>
        <w:t>、双倍柱−</w:t>
      </w:r>
      <w:r>
        <w:rPr/>
        <w:t>0.680</w:t>
      </w:r>
      <w:r>
        <w:rPr/>
        <w:t>，说明短期动能从前期修复中降温。</w:t>
      </w:r>
      <w:r>
        <w:rPr/>
        <w:t>ATR</w:t>
      </w:r>
      <w:r>
        <w:rPr/>
        <w:t>约</w:t>
      </w:r>
      <w:r>
        <w:rPr/>
        <w:t>2.45</w:t>
      </w:r>
      <w:r>
        <w:rPr/>
        <w:t>港元，约价格</w:t>
      </w:r>
      <w:r>
        <w:rPr/>
        <w:t>5.49%</w:t>
      </w:r>
      <w:r>
        <w:rPr/>
        <w:t>，提示正常日内波动幅度已不小。</w:t>
      </w:r>
      <w:r>
        <w:rPr/>
        <w:t>RSI</w:t>
      </w:r>
      <w:r>
        <w:rPr/>
        <w:t>、</w:t>
      </w:r>
      <w:r>
        <w:rPr/>
        <w:t>MACD</w:t>
      </w:r>
      <w:r>
        <w:rPr/>
        <w:t>与均线相近，评分只把它们作为解释而不多次加分。把跌到某个</w:t>
      </w:r>
      <w:r>
        <w:rPr/>
        <w:t>RSI</w:t>
      </w:r>
      <w:r>
        <w:rPr/>
        <w:t>阈值当必买点会忽略事件跳空，</w:t>
      </w:r>
      <w:r>
        <w:rPr/>
        <w:t>ATR</w:t>
      </w:r>
      <w:r>
        <w:rPr/>
        <w:t>也不能用来声称止损一定能以观察价成交。</w:t>
      </w:r>
    </w:p>
    <w:p>
      <w:pPr>
        <w:pStyle w:val="Normal"/>
        <w:rPr/>
      </w:pPr>
      <w:r>
        <w:rPr/>
        <w:t>20</w:t>
      </w:r>
      <w:r>
        <w:rPr/>
        <w:t>、</w:t>
      </w:r>
      <w:r>
        <w:rPr/>
        <w:t>60</w:t>
      </w:r>
      <w:r>
        <w:rPr/>
        <w:t>、</w:t>
      </w:r>
      <w:r>
        <w:rPr/>
        <w:t>120</w:t>
      </w:r>
      <w:r>
        <w:rPr/>
        <w:t>周均线约</w:t>
      </w:r>
      <w:r>
        <w:rPr/>
        <w:t>38.40</w:t>
      </w:r>
      <w:r>
        <w:rPr/>
        <w:t>、</w:t>
      </w:r>
      <w:r>
        <w:rPr/>
        <w:t>42.14</w:t>
      </w:r>
      <w:r>
        <w:rPr/>
        <w:t>、</w:t>
      </w:r>
      <w:r>
        <w:rPr/>
        <w:t>38.10</w:t>
      </w:r>
      <w:r>
        <w:rPr/>
        <w:t>港元，现价高三者；</w:t>
      </w:r>
      <w:r>
        <w:rPr/>
        <w:t>20</w:t>
      </w:r>
      <w:r>
        <w:rPr/>
        <w:t>周和</w:t>
      </w:r>
      <w:r>
        <w:rPr/>
        <w:t>120</w:t>
      </w:r>
      <w:r>
        <w:rPr/>
        <w:t>周上升，但</w:t>
      </w:r>
      <w:r>
        <w:rPr/>
        <w:t>60</w:t>
      </w:r>
      <w:r>
        <w:rPr/>
        <w:t>周五期斜率约−</w:t>
      </w:r>
      <w:r>
        <w:rPr/>
        <w:t>1.73%</w:t>
      </w:r>
      <w:r>
        <w:rPr/>
        <w:t>。周</w:t>
      </w:r>
      <w:r>
        <w:rPr/>
        <w:t>MACD</w:t>
      </w:r>
      <w:r>
        <w:rPr/>
        <w:t>双倍柱约</w:t>
      </w:r>
      <w:r>
        <w:rPr/>
        <w:t>2.277</w:t>
      </w:r>
      <w:r>
        <w:rPr/>
        <w:t>、</w:t>
      </w:r>
      <w:r>
        <w:rPr/>
        <w:t>RSI60.39</w:t>
      </w:r>
      <w:r>
        <w:rPr/>
        <w:t>，显示较日线更强的修复状态，同时</w:t>
      </w:r>
      <w:r>
        <w:rPr/>
        <w:t>60</w:t>
      </w:r>
      <w:r>
        <w:rPr/>
        <w:t>周长期压力仍未完全改变。</w:t>
      </w:r>
      <w:r>
        <w:rPr/>
        <w:t>157</w:t>
      </w:r>
      <w:r>
        <w:rPr/>
        <w:t>周不足计算</w:t>
      </w:r>
      <w:r>
        <w:rPr/>
        <w:t>250</w:t>
      </w:r>
      <w:r>
        <w:rPr/>
        <w:t>周均线，正文留空而不补造。日周信号不同通常来自各自观察窗口，不应挑强的一套忽视弱的一套。</w:t>
      </w:r>
    </w:p>
    <w:p>
      <w:pPr>
        <w:pStyle w:val="Normal"/>
        <w:rPr/>
      </w:pPr>
      <w:r>
        <w:rPr/>
        <w:t>近</w:t>
      </w:r>
      <w:r>
        <w:rPr/>
        <w:t>20</w:t>
      </w:r>
      <w:r>
        <w:rPr/>
        <w:t>周上涨量约</w:t>
      </w:r>
      <w:r>
        <w:rPr/>
        <w:t>1.292</w:t>
      </w:r>
      <w:r>
        <w:rPr/>
        <w:t>亿股、下跌</w:t>
      </w:r>
      <w:r>
        <w:rPr/>
        <w:t>4772</w:t>
      </w:r>
      <w:r>
        <w:rPr/>
        <w:t>万，比</w:t>
      </w:r>
      <w:r>
        <w:rPr/>
        <w:t>2.71</w:t>
      </w:r>
      <w:r>
        <w:rPr/>
        <w:t>，周修复的量能方向更明显。周</w:t>
      </w:r>
      <w:r>
        <w:rPr/>
        <w:t>ATR</w:t>
      </w:r>
      <w:r>
        <w:rPr/>
        <w:t>約</w:t>
      </w:r>
      <w:r>
        <w:rPr/>
        <w:t>4.49</w:t>
      </w:r>
      <w:r>
        <w:rPr/>
        <w:t>港元，占</w:t>
      </w:r>
      <w:r>
        <w:rPr/>
        <w:t>10.07%</w:t>
      </w:r>
      <w:r>
        <w:rPr/>
        <w:t>，说明跨周风险也大；</w:t>
      </w:r>
      <w:r>
        <w:rPr/>
        <w:t>20</w:t>
      </w:r>
      <w:r>
        <w:rPr/>
        <w:t>周价格涨</w:t>
      </w:r>
      <w:r>
        <w:rPr/>
        <w:t>39.73%</w:t>
      </w:r>
      <w:r>
        <w:rPr/>
        <w:t>，而</w:t>
      </w:r>
      <w:r>
        <w:rPr/>
        <w:t>60</w:t>
      </w:r>
      <w:r>
        <w:rPr/>
        <w:t>周回报仍−</w:t>
      </w:r>
      <w:r>
        <w:rPr/>
        <w:t>23.34%</w:t>
      </w:r>
      <w:r>
        <w:rPr/>
        <w:t>，属于深回撤后的反弹而非每个窗口都走强。股价快速从低点修复后，对年底盈利和投资情绪的要求提高。量价加分要与估值约束并存，才能避免用趋势完全覆盖高预期风险。</w:t>
      </w:r>
    </w:p>
    <w:p>
      <w:pPr>
        <w:pStyle w:val="Heading2"/>
        <w:rPr/>
      </w:pPr>
      <w:r>
        <w:rPr>
          <w:color w:val="000000"/>
        </w:rPr>
        <w:t>估值模型与情景解释</w:t>
      </w:r>
    </w:p>
    <w:p>
      <w:pPr>
        <w:pStyle w:val="Normal"/>
        <w:rPr/>
      </w:pPr>
      <w:r>
        <w:rPr/>
        <w:t>活动模型用临床、相关及其他收入，减劳动、项目、间接和其他成本，再减税金、销售、管理、研发和融资，加入较低正常其他及联营投资收入，扣信用和资产损失、所得税及正常少数，除全股得到</w:t>
      </w:r>
      <w:r>
        <w:rPr/>
        <w:t>EPS</w:t>
      </w:r>
      <w:r>
        <w:rPr/>
        <w:t>。目标价是</w:t>
      </w:r>
      <w:r>
        <w:rPr/>
        <w:t>EPS</w:t>
      </w:r>
      <w:r>
        <w:rPr/>
        <w:t>乘港股合理</w:t>
      </w:r>
      <w:r>
        <w:rPr/>
        <w:t>PE</w:t>
      </w:r>
      <w:r>
        <w:rPr/>
        <w:t>和币种换算。它保留可修改原子，能检查利润来自收入还是费用压缩；不将公允或处置收益永久资本化，也不另加现金、管线或全并表基金</w:t>
      </w:r>
      <w:r>
        <w:rPr/>
        <w:t>NAV</w:t>
      </w:r>
      <w:r>
        <w:rPr/>
        <w:t>。</w:t>
      </w:r>
    </w:p>
    <w:p>
      <w:pPr>
        <w:pStyle w:val="Normal"/>
        <w:rPr/>
      </w:pPr>
      <w:r>
        <w:rPr/>
        <w:t>年底基准收入</w:t>
      </w:r>
      <w:r>
        <w:rPr/>
        <w:t>78.8</w:t>
      </w:r>
      <w:r>
        <w:rPr/>
        <w:t>亿元，约比</w:t>
      </w:r>
      <w:r>
        <w:rPr/>
        <w:t>2025</w:t>
      </w:r>
      <w:r>
        <w:rPr/>
        <w:t>年增长</w:t>
      </w:r>
      <w:r>
        <w:rPr/>
        <w:t>15.3%</w:t>
      </w:r>
      <w:r>
        <w:rPr/>
        <w:t>，劳动</w:t>
      </w:r>
      <w:r>
        <w:rPr/>
        <w:t>29.1</w:t>
      </w:r>
      <w:r>
        <w:rPr/>
        <w:t>亿元、项目</w:t>
      </w:r>
      <w:r>
        <w:rPr/>
        <w:t>20.2</w:t>
      </w:r>
      <w:r>
        <w:rPr/>
        <w:t>亿元、间接</w:t>
      </w:r>
      <w:r>
        <w:rPr/>
        <w:t>6.5</w:t>
      </w:r>
      <w:r>
        <w:rPr/>
        <w:t>亿元、其他成本</w:t>
      </w:r>
      <w:r>
        <w:rPr/>
        <w:t>0.65</w:t>
      </w:r>
      <w:r>
        <w:rPr/>
        <w:t>亿元，毛利约</w:t>
      </w:r>
      <w:r>
        <w:rPr/>
        <w:t>22.35</w:t>
      </w:r>
      <w:r>
        <w:rPr/>
        <w:t>亿元。扣销售</w:t>
      </w:r>
      <w:r>
        <w:rPr/>
        <w:t>2.4</w:t>
      </w:r>
      <w:r>
        <w:rPr/>
        <w:t>亿元、管理</w:t>
      </w:r>
      <w:r>
        <w:rPr/>
        <w:t>7.6</w:t>
      </w:r>
      <w:r>
        <w:rPr/>
        <w:t>亿元、研发</w:t>
      </w:r>
      <w:r>
        <w:rPr/>
        <w:t>3.2</w:t>
      </w:r>
      <w:r>
        <w:rPr/>
        <w:t>亿元、融资</w:t>
      </w:r>
      <w:r>
        <w:rPr/>
        <w:t>0.95</w:t>
      </w:r>
      <w:r>
        <w:rPr/>
        <w:t>亿元及税少数后，正常归母约</w:t>
      </w:r>
      <w:r>
        <w:rPr/>
        <w:t>6.02</w:t>
      </w:r>
      <w:r>
        <w:rPr/>
        <w:t>亿元。收入和利润都在恢复，但利润率约</w:t>
      </w:r>
      <w:r>
        <w:rPr/>
        <w:t>7.63%</w:t>
      </w:r>
      <w:r>
        <w:rPr/>
        <w:t>，并未追求高峰。</w:t>
      </w:r>
      <w:r>
        <w:rPr/>
        <w:t>49</w:t>
      </w:r>
      <w:r>
        <w:rPr/>
        <w:t>倍目标</w:t>
      </w:r>
      <w:r>
        <w:rPr/>
        <w:t>PE</w:t>
      </w:r>
      <w:r>
        <w:rPr/>
        <w:t>仍有进取性，若市场坚持更低倍数，年底基准价格应相应降低。</w:t>
      </w:r>
    </w:p>
    <w:p>
      <w:pPr>
        <w:pStyle w:val="Normal"/>
        <w:rPr/>
      </w:pPr>
      <w:r>
        <w:rPr/>
        <w:t>年底悲观收入</w:t>
      </w:r>
      <w:r>
        <w:rPr/>
        <w:t>74.2</w:t>
      </w:r>
      <w:r>
        <w:rPr/>
        <w:t>亿元，成本与投入虽部分调整，正常归母仅</w:t>
      </w:r>
      <w:r>
        <w:rPr/>
        <w:t>4.02</w:t>
      </w:r>
      <w:r>
        <w:rPr/>
        <w:t>亿元、目标</w:t>
      </w:r>
      <w:r>
        <w:rPr/>
        <w:t>35</w:t>
      </w:r>
      <w:r>
        <w:rPr/>
        <w:t>倍；乐观收入</w:t>
      </w:r>
      <w:r>
        <w:rPr/>
        <w:t>82</w:t>
      </w:r>
      <w:r>
        <w:rPr/>
        <w:t>亿元、成本效率改善，正常归母</w:t>
      </w:r>
      <w:r>
        <w:rPr/>
        <w:t>8.17</w:t>
      </w:r>
      <w:r>
        <w:rPr/>
        <w:t>亿元、目标</w:t>
      </w:r>
      <w:r>
        <w:rPr/>
        <w:t>56</w:t>
      </w:r>
      <w:r>
        <w:rPr/>
        <w:t>倍。三种场景不是单纯把基准价格上下浮动固定百分比，而是经营与估值同时变化。悲观中原有投资资产可能具有独立回收值，</w:t>
      </w:r>
      <w:r>
        <w:rPr/>
        <w:t>PE</w:t>
      </w:r>
      <w:r>
        <w:rPr/>
        <w:t>未全部体现，故结果不能称清算底。乐观需要高价订单执行、费用纪律和风险溢价改善，不能仅靠宏观市场上行。</w:t>
      </w:r>
    </w:p>
    <w:p>
      <w:pPr>
        <w:pStyle w:val="Normal"/>
        <w:rPr/>
      </w:pPr>
      <w:r>
        <w:rPr/>
        <w:t>半年基准使用可被市场观察到的</w:t>
      </w:r>
      <w:r>
        <w:rPr/>
        <w:t>2027</w:t>
      </w:r>
      <w:r>
        <w:rPr/>
        <w:t>年正常经营能力，收入</w:t>
      </w:r>
      <w:r>
        <w:rPr/>
        <w:t>84.4</w:t>
      </w:r>
      <w:r>
        <w:rPr/>
        <w:t>亿元，归母</w:t>
      </w:r>
      <w:r>
        <w:rPr/>
        <w:t>7.33</w:t>
      </w:r>
      <w:r>
        <w:rPr/>
        <w:t>亿元，</w:t>
      </w:r>
      <w:r>
        <w:rPr/>
        <w:t>EPS</w:t>
      </w:r>
      <w:r>
        <w:rPr/>
        <w:t>约</w:t>
      </w:r>
      <w:r>
        <w:rPr/>
        <w:t>0.852</w:t>
      </w:r>
      <w:r>
        <w:rPr/>
        <w:t>元，</w:t>
      </w:r>
      <w:r>
        <w:rPr/>
        <w:t>43</w:t>
      </w:r>
      <w:r>
        <w:rPr/>
        <w:t>倍得到</w:t>
      </w:r>
      <w:r>
        <w:rPr/>
        <w:t>40.28</w:t>
      </w:r>
      <w:r>
        <w:rPr/>
        <w:t>港元。选择目标时点的年化盈利参照不是声称半年已实现全年利润，更不是把盈利按月份线性分摊。半年交易可被</w:t>
      </w:r>
      <w:r>
        <w:rPr/>
        <w:t>2026</w:t>
      </w:r>
      <w:r>
        <w:rPr/>
        <w:t>业绩、</w:t>
      </w:r>
      <w:r>
        <w:rPr/>
        <w:t>2027</w:t>
      </w:r>
      <w:r>
        <w:rPr/>
        <w:t>订单及新合同价格推动，也可能因估值提前透支。价格突破</w:t>
      </w:r>
      <w:r>
        <w:rPr/>
        <w:t>48.36</w:t>
      </w:r>
      <w:r>
        <w:rPr/>
        <w:t>只是技术催化，若对应盈利仍弱，突破持续性会受限。</w:t>
      </w:r>
    </w:p>
    <w:p>
      <w:pPr>
        <w:pStyle w:val="Normal"/>
        <w:rPr/>
      </w:pPr>
      <w:r>
        <w:rPr/>
        <w:t>一年基准收入</w:t>
      </w:r>
      <w:r>
        <w:rPr/>
        <w:t>87</w:t>
      </w:r>
      <w:r>
        <w:rPr/>
        <w:t>亿元、正常归母</w:t>
      </w:r>
      <w:r>
        <w:rPr/>
        <w:t>8.27</w:t>
      </w:r>
      <w:r>
        <w:rPr/>
        <w:t>亿元、</w:t>
      </w:r>
      <w:r>
        <w:rPr/>
        <w:t>EPS</w:t>
      </w:r>
      <w:r>
        <w:rPr/>
        <w:t>約</w:t>
      </w:r>
      <w:r>
        <w:rPr/>
        <w:t>0.961</w:t>
      </w:r>
      <w:r>
        <w:rPr/>
        <w:t>元，</w:t>
      </w:r>
      <w:r>
        <w:rPr/>
        <w:t>43</w:t>
      </w:r>
      <w:r>
        <w:rPr/>
        <w:t>倍得到</w:t>
      </w:r>
      <w:r>
        <w:rPr/>
        <w:t>45.45</w:t>
      </w:r>
      <w:r>
        <w:rPr/>
        <w:t>港元，股价回报约</w:t>
      </w:r>
      <w:r>
        <w:rPr/>
        <w:t>1.99%</w:t>
      </w:r>
      <w:r>
        <w:rPr/>
        <w:t>。这显示即使利润比</w:t>
      </w:r>
      <w:r>
        <w:rPr/>
        <w:t>2026</w:t>
      </w:r>
      <w:r>
        <w:rPr/>
        <w:t>基准增长约</w:t>
      </w:r>
      <w:r>
        <w:rPr/>
        <w:t>37.5%</w:t>
      </w:r>
      <w:r>
        <w:rPr/>
        <w:t>，现价也已经吸收大部分恢复。乐观收入</w:t>
      </w:r>
      <w:r>
        <w:rPr/>
        <w:t>96.1</w:t>
      </w:r>
      <w:r>
        <w:rPr/>
        <w:t>亿元、归母</w:t>
      </w:r>
      <w:r>
        <w:rPr/>
        <w:t>11.56</w:t>
      </w:r>
      <w:r>
        <w:rPr/>
        <w:t>亿元及</w:t>
      </w:r>
      <w:r>
        <w:rPr/>
        <w:t>51</w:t>
      </w:r>
      <w:r>
        <w:rPr/>
        <w:t>倍，可达</w:t>
      </w:r>
      <w:r>
        <w:rPr/>
        <w:t>75.34</w:t>
      </w:r>
      <w:r>
        <w:rPr/>
        <w:t>港元；悲观归母</w:t>
      </w:r>
      <w:r>
        <w:rPr/>
        <w:t>3.58</w:t>
      </w:r>
      <w:r>
        <w:rPr/>
        <w:t>亿元及</w:t>
      </w:r>
      <w:r>
        <w:rPr/>
        <w:t>30</w:t>
      </w:r>
      <w:r>
        <w:rPr/>
        <w:t>倍，约</w:t>
      </w:r>
      <w:r>
        <w:rPr/>
        <w:t>13.11</w:t>
      </w:r>
      <w:r>
        <w:rPr/>
        <w:t>港元。一年主要收益差异来自合同价格、毛利和倍数，研究分红仅提供较小补充。</w:t>
      </w:r>
    </w:p>
    <w:p>
      <w:pPr>
        <w:pStyle w:val="Normal"/>
        <w:rPr/>
      </w:pPr>
      <w:r>
        <w:rPr/>
        <w:t>三年基准收入</w:t>
      </w:r>
      <w:r>
        <w:rPr/>
        <w:t>110.8</w:t>
      </w:r>
      <w:r>
        <w:rPr/>
        <w:t>亿元、归母</w:t>
      </w:r>
      <w:r>
        <w:rPr/>
        <w:t>11.67</w:t>
      </w:r>
      <w:r>
        <w:rPr/>
        <w:t>亿元、股数</w:t>
      </w:r>
      <w:r>
        <w:rPr/>
        <w:t>8.8</w:t>
      </w:r>
      <w:r>
        <w:rPr/>
        <w:t>亿及</w:t>
      </w:r>
      <w:r>
        <w:rPr/>
        <w:t>35</w:t>
      </w:r>
      <w:r>
        <w:rPr/>
        <w:t>倍，目标</w:t>
      </w:r>
      <w:r>
        <w:rPr/>
        <w:t>51.04</w:t>
      </w:r>
      <w:r>
        <w:rPr/>
        <w:t>港元。相对</w:t>
      </w:r>
      <w:r>
        <w:rPr/>
        <w:t>2025</w:t>
      </w:r>
      <w:r>
        <w:rPr/>
        <w:t>年收入增长约</w:t>
      </w:r>
      <w:r>
        <w:rPr/>
        <w:t>62%</w:t>
      </w:r>
      <w:r>
        <w:rPr/>
        <w:t>，但仍保留全球化、人力、研发和正常税少数费用，净利率约</w:t>
      </w:r>
      <w:r>
        <w:rPr/>
        <w:t>10.5%</w:t>
      </w:r>
      <w:r>
        <w:rPr/>
        <w:t>。利润质量改善而倍数下降可同时成立，因为业务成熟后市场不必给五六十倍。累计分红</w:t>
      </w:r>
      <w:r>
        <w:rPr/>
        <w:t>0.65</w:t>
      </w:r>
      <w:r>
        <w:rPr/>
        <w:t>港元是研究值，未公告且不再投资，计算含息年化约</w:t>
      </w:r>
      <w:r>
        <w:rPr/>
        <w:t>5.08%</w:t>
      </w:r>
      <w:r>
        <w:rPr/>
        <w:t>，不能把总涨幅</w:t>
      </w:r>
      <w:r>
        <w:rPr/>
        <w:t>16.01%</w:t>
      </w:r>
      <w:r>
        <w:rPr/>
        <w:t>误称每年</w:t>
      </w:r>
      <w:r>
        <w:rPr/>
        <w:t>16%</w:t>
      </w:r>
      <w:r>
        <w:rPr/>
        <w:t>。</w:t>
      </w:r>
    </w:p>
    <w:p>
      <w:pPr>
        <w:pStyle w:val="Normal"/>
        <w:rPr/>
      </w:pPr>
      <w:r>
        <w:rPr/>
        <w:t>五年基准收入</w:t>
      </w:r>
      <w:r>
        <w:rPr/>
        <w:t>134.1</w:t>
      </w:r>
      <w:r>
        <w:rPr/>
        <w:t>亿元、归母</w:t>
      </w:r>
      <w:r>
        <w:rPr/>
        <w:t>13.88</w:t>
      </w:r>
      <w:r>
        <w:rPr/>
        <w:t>亿元、股数</w:t>
      </w:r>
      <w:r>
        <w:rPr/>
        <w:t>9.1</w:t>
      </w:r>
      <w:r>
        <w:rPr/>
        <w:t>亿及</w:t>
      </w:r>
      <w:r>
        <w:rPr/>
        <w:t>31</w:t>
      </w:r>
      <w:r>
        <w:rPr/>
        <w:t>倍，目标约</w:t>
      </w:r>
      <w:r>
        <w:rPr/>
        <w:t>52</w:t>
      </w:r>
      <w:r>
        <w:rPr/>
        <w:t>港元。五年收入较</w:t>
      </w:r>
      <w:r>
        <w:rPr/>
        <w:t>2025</w:t>
      </w:r>
      <w:r>
        <w:rPr/>
        <w:t>年近翻倍，但费用和股数增长使每股收益增长更温和。本版乐观收入</w:t>
      </w:r>
      <w:r>
        <w:rPr/>
        <w:t>179.3</w:t>
      </w:r>
      <w:r>
        <w:rPr/>
        <w:t>亿元，归母</w:t>
      </w:r>
      <w:r>
        <w:rPr/>
        <w:t>26.53</w:t>
      </w:r>
      <w:r>
        <w:rPr/>
        <w:t>亿元、</w:t>
      </w:r>
      <w:r>
        <w:rPr/>
        <w:t>EPS</w:t>
      </w:r>
      <w:r>
        <w:rPr/>
        <w:t>约</w:t>
      </w:r>
      <w:r>
        <w:rPr/>
        <w:t>2.916</w:t>
      </w:r>
      <w:r>
        <w:rPr/>
        <w:t>元，</w:t>
      </w:r>
      <w:r>
        <w:rPr/>
        <w:t>38</w:t>
      </w:r>
      <w:r>
        <w:rPr/>
        <w:t>倍得到</w:t>
      </w:r>
      <w:r>
        <w:rPr/>
        <w:t>121.88</w:t>
      </w:r>
      <w:r>
        <w:rPr/>
        <w:t>港元，要求全球业务和</w:t>
      </w:r>
      <w:r>
        <w:rPr/>
        <w:t>AI</w:t>
      </w:r>
      <w:r>
        <w:rPr/>
        <w:t>效率有持续贡献；悲观收入</w:t>
      </w:r>
      <w:r>
        <w:rPr/>
        <w:t>84.7</w:t>
      </w:r>
      <w:r>
        <w:rPr/>
        <w:t>亿元却仅</w:t>
      </w:r>
      <w:r>
        <w:rPr/>
        <w:t>2.55</w:t>
      </w:r>
      <w:r>
        <w:rPr/>
        <w:t>亿元归母，价格约</w:t>
      </w:r>
      <w:r>
        <w:rPr/>
        <w:t>5.94</w:t>
      </w:r>
      <w:r>
        <w:rPr/>
        <w:t>港元，表示长期盈利能力被结构性削弱。</w:t>
      </w:r>
    </w:p>
    <w:p>
      <w:pPr>
        <w:pStyle w:val="Normal"/>
        <w:rPr/>
      </w:pPr>
      <w:r>
        <w:rPr/>
        <w:t>估值敏感可以清楚计算。一年基准</w:t>
      </w:r>
      <w:r>
        <w:rPr/>
        <w:t>EPS</w:t>
      </w:r>
      <w:r>
        <w:rPr/>
        <w:t>约</w:t>
      </w:r>
      <w:r>
        <w:rPr/>
        <w:t>0.961</w:t>
      </w:r>
      <w:r>
        <w:rPr/>
        <w:t>元，若只改倍数，每变动一倍</w:t>
      </w:r>
      <w:r>
        <w:rPr/>
        <w:t>PE</w:t>
      </w:r>
      <w:r>
        <w:rPr/>
        <w:t>目标约变动</w:t>
      </w:r>
      <w:r>
        <w:rPr/>
        <w:t>1.06</w:t>
      </w:r>
      <w:r>
        <w:rPr/>
        <w:t>港元；若税后归母每多</w:t>
      </w:r>
      <w:r>
        <w:rPr/>
        <w:t>1</w:t>
      </w:r>
      <w:r>
        <w:rPr/>
        <w:t>亿元、股数不变，</w:t>
      </w:r>
      <w:r>
        <w:rPr/>
        <w:t>43</w:t>
      </w:r>
      <w:r>
        <w:rPr/>
        <w:t>倍下目标约多</w:t>
      </w:r>
      <w:r>
        <w:rPr/>
        <w:t>5.49</w:t>
      </w:r>
      <w:r>
        <w:rPr/>
        <w:t>港元。将利润率改善一个百分点机械乘收入前，必须先考虑税和少数归属。多年的股数</w:t>
      </w:r>
      <w:r>
        <w:rPr/>
        <w:t>8.8</w:t>
      </w:r>
      <w:r>
        <w:rPr/>
        <w:t>亿和</w:t>
      </w:r>
      <w:r>
        <w:rPr/>
        <w:t>9.1</w:t>
      </w:r>
      <w:r>
        <w:rPr/>
        <w:t>亿是未来融资或激励稀释研究假设，既没有把所有库存提前注销，也没有保证未来没有新股。</w:t>
      </w:r>
    </w:p>
    <w:p>
      <w:pPr>
        <w:pStyle w:val="Heading2"/>
        <w:rPr/>
      </w:pPr>
      <w:r>
        <w:rPr>
          <w:color w:val="000000"/>
        </w:rPr>
        <w:t>年底期望 机构目标与执行条件</w:t>
      </w:r>
    </w:p>
    <w:p>
      <w:pPr>
        <w:pStyle w:val="Normal"/>
        <w:rPr/>
      </w:pPr>
      <w:r>
        <w:rPr/>
        <w:t>25%</w:t>
      </w:r>
      <w:r>
        <w:rPr/>
        <w:t>、</w:t>
      </w:r>
      <w:r>
        <w:rPr/>
        <w:t>50%</w:t>
      </w:r>
      <w:r>
        <w:rPr/>
        <w:t>、</w:t>
      </w:r>
      <w:r>
        <w:rPr/>
        <w:t>25%</w:t>
      </w:r>
      <w:r>
        <w:rPr/>
        <w:t>判断权重将年底</w:t>
      </w:r>
      <w:r>
        <w:rPr/>
        <w:t>17.98</w:t>
      </w:r>
      <w:r>
        <w:rPr/>
        <w:t>、</w:t>
      </w:r>
      <w:r>
        <w:rPr/>
        <w:t>37.66</w:t>
      </w:r>
      <w:r>
        <w:rPr/>
        <w:t>、</w:t>
      </w:r>
      <w:r>
        <w:rPr/>
        <w:t>58.46</w:t>
      </w:r>
      <w:r>
        <w:rPr/>
        <w:t>港元加权，期望</w:t>
      </w:r>
      <w:r>
        <w:rPr/>
        <w:t>37.94</w:t>
      </w:r>
      <w:r>
        <w:rPr/>
        <w:t>港元，期望回报约−</w:t>
      </w:r>
      <w:r>
        <w:rPr/>
        <w:t>14.86%</w:t>
      </w:r>
      <w:r>
        <w:rPr/>
        <w:t>。这个数学期望不代表目标价最可能发生，也不代表被真实概率校准。若更重悲观使用</w:t>
      </w:r>
      <w:r>
        <w:rPr/>
        <w:t>40%</w:t>
      </w:r>
      <w:r>
        <w:rPr/>
        <w:t>、</w:t>
      </w:r>
      <w:r>
        <w:rPr/>
        <w:t>50%</w:t>
      </w:r>
      <w:r>
        <w:rPr/>
        <w:t>、</w:t>
      </w:r>
      <w:r>
        <w:rPr/>
        <w:t>10%</w:t>
      </w:r>
      <w:r>
        <w:rPr/>
        <w:t>，期望降至</w:t>
      </w:r>
      <w:r>
        <w:rPr/>
        <w:t>31.87</w:t>
      </w:r>
      <w:r>
        <w:rPr/>
        <w:t>港元；更重乐观</w:t>
      </w:r>
      <w:r>
        <w:rPr/>
        <w:t>10%</w:t>
      </w:r>
      <w:r>
        <w:rPr/>
        <w:t>、</w:t>
      </w:r>
      <w:r>
        <w:rPr/>
        <w:t>50%</w:t>
      </w:r>
      <w:r>
        <w:rPr/>
        <w:t>、</w:t>
      </w:r>
      <w:r>
        <w:rPr/>
        <w:t>40%</w:t>
      </w:r>
      <w:r>
        <w:rPr/>
        <w:t>则提高至</w:t>
      </w:r>
      <w:r>
        <w:rPr/>
        <w:t>44.01</w:t>
      </w:r>
      <w:r>
        <w:rPr/>
        <w:t>港元。模型保留完整敏感值，投资者应先判断经营和估值条件，再选择适合自己判断的权重，而不是将期望当确定收益。</w:t>
      </w:r>
    </w:p>
    <w:p>
      <w:pPr>
        <w:pStyle w:val="Normal"/>
        <w:rPr/>
      </w:pPr>
      <w:r>
        <w:rPr/>
        <w:t>年底距基准日不到三个月，新公布中期之后的下一轮大额财务信息可能尚未到来，市场更多交易订单、政策和</w:t>
      </w:r>
      <w:r>
        <w:rPr/>
        <w:t>2027</w:t>
      </w:r>
      <w:r>
        <w:rPr/>
        <w:t>年利润预期。年底目标仍依据独立年底信息集、全年经营参照和风险溢价测算，没有把</w:t>
      </w:r>
      <w:r>
        <w:rPr/>
        <w:t>12</w:t>
      </w:r>
      <w:r>
        <w:rPr/>
        <w:t>个月机构目标直接搬过来，也没有按剩余月份线性缩放。若重大投资出售或临床数据政策发生变化，年底值应重算原子与倍数，而不是按一条价格曲线机械推移。</w:t>
      </w:r>
    </w:p>
    <w:p>
      <w:pPr>
        <w:pStyle w:val="Normal"/>
        <w:rPr/>
      </w:pPr>
      <w:r>
        <w:rPr/>
        <w:t>已核公开新闻中，高盛</w:t>
      </w:r>
      <w:r>
        <w:rPr/>
        <w:t>9</w:t>
      </w:r>
      <w:r>
        <w:rPr/>
        <w:t>月</w:t>
      </w:r>
      <w:r>
        <w:rPr/>
        <w:t>30</w:t>
      </w:r>
      <w:r>
        <w:rPr/>
        <w:t>日</w:t>
      </w:r>
      <w:r>
        <w:rPr/>
        <w:t>H</w:t>
      </w:r>
      <w:r>
        <w:rPr/>
        <w:t>股</w:t>
      </w:r>
      <w:r>
        <w:rPr/>
        <w:t>52.1</w:t>
      </w:r>
      <w:r>
        <w:rPr/>
        <w:t>港元、花旗</w:t>
      </w:r>
      <w:r>
        <w:rPr/>
        <w:t>9</w:t>
      </w:r>
      <w:r>
        <w:rPr/>
        <w:t>月</w:t>
      </w:r>
      <w:r>
        <w:rPr/>
        <w:t>14</w:t>
      </w:r>
      <w:r>
        <w:rPr/>
        <w:t>日</w:t>
      </w:r>
      <w:r>
        <w:rPr/>
        <w:t>73</w:t>
      </w:r>
      <w:r>
        <w:rPr/>
        <w:t>港元、汇丰</w:t>
      </w:r>
      <w:r>
        <w:rPr/>
        <w:t>9</w:t>
      </w:r>
      <w:r>
        <w:rPr/>
        <w:t>月</w:t>
      </w:r>
      <w:r>
        <w:rPr/>
        <w:t>9</w:t>
      </w:r>
      <w:r>
        <w:rPr/>
        <w:t>日</w:t>
      </w:r>
      <w:r>
        <w:rPr/>
        <w:t>55.4</w:t>
      </w:r>
      <w:r>
        <w:rPr/>
        <w:t>港元、瑞银</w:t>
      </w:r>
      <w:r>
        <w:rPr/>
        <w:t>7</w:t>
      </w:r>
      <w:r>
        <w:rPr/>
        <w:t>月</w:t>
      </w:r>
      <w:r>
        <w:rPr/>
        <w:t>14</w:t>
      </w:r>
      <w:r>
        <w:rPr/>
        <w:t>日</w:t>
      </w:r>
      <w:r>
        <w:rPr/>
        <w:t>51.3</w:t>
      </w:r>
      <w:r>
        <w:rPr/>
        <w:t>港元，均买入。四项处于截止日近</w:t>
      </w:r>
      <w:r>
        <w:rPr/>
        <w:t>90</w:t>
      </w:r>
      <w:r>
        <w:rPr/>
        <w:t>天，瑞银在中期业绩前。大和</w:t>
      </w:r>
      <w:r>
        <w:rPr/>
        <w:t>7</w:t>
      </w:r>
      <w:r>
        <w:rPr/>
        <w:t>月</w:t>
      </w:r>
      <w:r>
        <w:rPr/>
        <w:t>8</w:t>
      </w:r>
      <w:r>
        <w:rPr/>
        <w:t>日</w:t>
      </w:r>
      <w:r>
        <w:rPr/>
        <w:t>44</w:t>
      </w:r>
      <w:r>
        <w:rPr/>
        <w:t>港元买入已经超过</w:t>
      </w:r>
      <w:r>
        <w:rPr/>
        <w:t>90</w:t>
      </w:r>
      <w:r>
        <w:rPr/>
        <w:t>天，保留但标旧。同机构旧表与单篇重复去重，花旗</w:t>
      </w:r>
      <w:r>
        <w:rPr/>
        <w:t>A</w:t>
      </w:r>
      <w:r>
        <w:rPr/>
        <w:t>股</w:t>
      </w:r>
      <w:r>
        <w:rPr/>
        <w:t>67</w:t>
      </w:r>
      <w:r>
        <w:rPr/>
        <w:t>元不能混为</w:t>
      </w:r>
      <w:r>
        <w:rPr/>
        <w:t>H</w:t>
      </w:r>
      <w:r>
        <w:rPr/>
        <w:t>价。所有是</w:t>
      </w:r>
      <w:r>
        <w:rPr/>
        <w:t>AASTOCKS</w:t>
      </w:r>
      <w:r>
        <w:rPr/>
        <w:t>对投行的新闻转述，未取得完整原研报和明确目标期限。</w:t>
      </w:r>
    </w:p>
    <w:p>
      <w:pPr>
        <w:pStyle w:val="Normal"/>
        <w:rPr/>
      </w:pPr>
      <w:r>
        <w:rPr/>
        <w:t>机构分歧本身有意义。花旗强调监管不确定性缓和，高盛关注行业复苏，汇丰讨论需求稳定，瑞银曾给出盈利预测。这些观点可能使用不同正常化利润、投资价值或倍数，因此目标分布</w:t>
      </w:r>
      <w:r>
        <w:rPr/>
        <w:t>51.3</w:t>
      </w:r>
      <w:r>
        <w:rPr/>
        <w:t>至</w:t>
      </w:r>
      <w:r>
        <w:rPr/>
        <w:t>73</w:t>
      </w:r>
      <w:r>
        <w:rPr/>
        <w:t>港元不能当统计置信区间。本文一年基准较机构保守，乐观靠近或高于较高目标，原因是将费用、库存和投资穿透限制保留。未经核原研报，不猜测各行精确</w:t>
      </w:r>
      <w:r>
        <w:rPr/>
        <w:t>SOTP</w:t>
      </w:r>
      <w:r>
        <w:rPr/>
        <w:t>或贴现率，更不以高目标保证上行。</w:t>
      </w:r>
    </w:p>
    <w:p>
      <w:pPr>
        <w:pStyle w:val="Normal"/>
        <w:rPr/>
      </w:pPr>
      <w:r>
        <w:rPr/>
        <w:t>技术观察应与价格价值共同运行。</w:t>
      </w:r>
      <w:r>
        <w:rPr/>
        <w:t>44.56</w:t>
      </w:r>
      <w:r>
        <w:rPr/>
        <w:t>港元下，半年基准负回报、一年基准低回报，不适宜仅凭强势追涨。若经营没有变差而价格回到约</w:t>
      </w:r>
      <w:r>
        <w:rPr/>
        <w:t>40</w:t>
      </w:r>
      <w:r>
        <w:rPr/>
        <w:t>港元附近，估值补偿会改善，但</w:t>
      </w:r>
      <w:r>
        <w:rPr/>
        <w:t>40.02</w:t>
      </w:r>
      <w:r>
        <w:rPr/>
        <w:t>不是无条件买点；若高价新单和毛利得到财报验证，可以提高盈利输入，而不是只扩大</w:t>
      </w:r>
      <w:r>
        <w:rPr/>
        <w:t>PE</w:t>
      </w:r>
      <w:r>
        <w:rPr/>
        <w:t>。若价格直上</w:t>
      </w:r>
      <w:r>
        <w:rPr/>
        <w:t>48.36</w:t>
      </w:r>
      <w:r>
        <w:rPr/>
        <w:t>而盈利没有升级，安全边际进一步减薄，交易纪律需要比当前更严格。</w:t>
      </w:r>
    </w:p>
    <w:p>
      <w:pPr>
        <w:pStyle w:val="Normal"/>
        <w:rPr/>
      </w:pPr>
      <w:r>
        <w:rPr/>
        <w:t>对进取型组合来说，泰格可作为临床</w:t>
      </w:r>
      <w:r>
        <w:rPr/>
        <w:t>CRO</w:t>
      </w:r>
      <w:r>
        <w:rPr/>
        <w:t>复苏观察仓，而不宜因行业故事与创新药、</w:t>
      </w:r>
      <w:r>
        <w:rPr/>
        <w:t>CXO</w:t>
      </w:r>
      <w:r>
        <w:rPr/>
        <w:t>、基金投资同时叠加就当多个分散资产。那些风险通常共同受研发融资和医药估值影响，相关性高。与名单中直接拥有商业化药品、确定海外订单或更低估值的公司比较时，应比较每股持续利润和预期回报，而不是只比总收入增速。最终前十由各家公司模型同时排序，泰格独立评分不先指定名次。</w:t>
      </w:r>
    </w:p>
    <w:p>
      <w:pPr>
        <w:pStyle w:val="Heading2"/>
        <w:rPr/>
      </w:pPr>
      <w:r>
        <w:rPr>
          <w:color w:val="000000"/>
        </w:rPr>
        <w:t>三年 五年与十年持续性</w:t>
      </w:r>
    </w:p>
    <w:p>
      <w:pPr>
        <w:pStyle w:val="Normal"/>
        <w:rPr/>
      </w:pPr>
      <w:r>
        <w:rPr/>
        <w:t>三年值得验证的核心是泰格是否从国内规模领先者进化为全球统一质量体系的临床服务商。多区域试验越多，组织协调、数据平台、统计和监管申报的复用价值越高，但返工、地区法规与责任成本也会上升。持续价值来自高质量项目、更好的合同条款和服务效率，而不是不断收购地区小公司。若海外扩张收入增长但资本回报和净现金始终弱，三年经营质量维度应下调。</w:t>
      </w:r>
    </w:p>
    <w:p>
      <w:pPr>
        <w:pStyle w:val="Normal"/>
        <w:rPr/>
      </w:pPr>
      <w:r>
        <w:rPr/>
        <w:t>五年应看客户生命周期与服务组合。能够从早期临床支持客户直至国际注册，有机会增加客户留存和累计服务费；但药企授权、并购或自建团队会改变采购关系。</w:t>
      </w:r>
      <w:r>
        <w:rPr/>
        <w:t>AI</w:t>
      </w:r>
      <w:r>
        <w:rPr/>
        <w:t>如果成为行业标配，纯人工处理型服务可能降价，医学和统计判断以及执行网络更加重要。基准模型因此增加研发并降低终值倍数，假设公司仍增长而超额回报未必无限。股东回报要用股数、现金及分红检验，不能只用公司体量。</w:t>
      </w:r>
    </w:p>
    <w:p>
      <w:pPr>
        <w:pStyle w:val="Normal"/>
        <w:rPr/>
      </w:pPr>
      <w:r>
        <w:rPr/>
        <w:t>十年到</w:t>
      </w:r>
      <w:r>
        <w:rPr/>
        <w:t>2036</w:t>
      </w:r>
      <w:r>
        <w:rPr/>
        <w:t>年的展望不提供固定股价。药物模态、真实世界证据、远程试验、数据监管和自动化都可能改变服务结构；泰格需要能在客户科学需求变化时更新质量系统与人才。早期实验和临床服务可能整合，也可能因监管独立性要求而继续拆分。若管理持续把主营现金投到自己无法充分控制经济权益的金融资产，即使临床业务优秀，股东长期回报仍可能低于业务增长。</w:t>
      </w:r>
    </w:p>
    <w:p>
      <w:pPr>
        <w:pStyle w:val="Normal"/>
        <w:rPr/>
      </w:pPr>
      <w:r>
        <w:rPr/>
        <w:t>长期最强的反证是竞争优势消失而费用不能调整。全球</w:t>
      </w:r>
      <w:r>
        <w:rPr/>
        <w:t>CRO</w:t>
      </w:r>
      <w:r>
        <w:rPr/>
        <w:t>若用自动化和本地网络提供同等质量、更快时间且更低价格，泰格的国内经验可能不足以抵御海外竞争。反过来，若公司证明能以更高质量提高患者招募成功、减少试验延误、通过多地区审查并持续创造自由现金，当前保守多年盈利可以上调。这些经营事实比某一年行业指数或投行评级更能证明十年持续性。</w:t>
      </w:r>
    </w:p>
    <w:p>
      <w:pPr>
        <w:pStyle w:val="Heading2"/>
        <w:rPr/>
      </w:pPr>
      <w:r>
        <w:rPr>
          <w:color w:val="000000"/>
        </w:rPr>
        <w:t>核验边界与研究更新</w:t>
      </w:r>
    </w:p>
    <w:p>
      <w:pPr>
        <w:pStyle w:val="Normal"/>
        <w:rPr/>
      </w:pPr>
      <w:r>
        <w:rPr/>
        <w:t>本版财务锚、股数、成本、旧股息和重大公告来自</w:t>
      </w:r>
      <w:r>
        <w:rPr/>
        <w:t>A</w:t>
      </w:r>
      <w:r>
        <w:rPr/>
        <w:t>中报年报、香港交易所公告以及已核镜像原文。香港正式中期首次公开</w:t>
      </w:r>
      <w:r>
        <w:rPr/>
        <w:t>2026</w:t>
      </w:r>
      <w:r>
        <w:rPr/>
        <w:t>年</w:t>
      </w:r>
      <w:r>
        <w:rPr/>
        <w:t>8</w:t>
      </w:r>
      <w:r>
        <w:rPr/>
        <w:t>月</w:t>
      </w:r>
      <w:r>
        <w:rPr/>
        <w:t>28</w:t>
      </w:r>
      <w:r>
        <w:rPr/>
        <w:t>日</w:t>
      </w:r>
      <w:r>
        <w:rPr/>
        <w:t>16:31</w:t>
      </w:r>
      <w:r>
        <w:rPr/>
        <w:t>，</w:t>
      </w:r>
      <w:r>
        <w:rPr/>
        <w:t>H</w:t>
      </w:r>
      <w:r>
        <w:rPr/>
        <w:t>月报</w:t>
      </w:r>
      <w:r>
        <w:rPr/>
        <w:t>10</w:t>
      </w:r>
      <w:r>
        <w:rPr/>
        <w:t>月</w:t>
      </w:r>
      <w:r>
        <w:rPr/>
        <w:t>7</w:t>
      </w:r>
      <w:r>
        <w:rPr/>
        <w:t>日</w:t>
      </w:r>
      <w:r>
        <w:rPr/>
        <w:t>16:31</w:t>
      </w:r>
      <w:r>
        <w:rPr/>
        <w:t>，调查</w:t>
      </w:r>
      <w:r>
        <w:rPr/>
        <w:t>9</w:t>
      </w:r>
      <w:r>
        <w:rPr/>
        <w:t>月</w:t>
      </w:r>
      <w:r>
        <w:rPr/>
        <w:t>11</w:t>
      </w:r>
      <w:r>
        <w:rPr/>
        <w:t>日</w:t>
      </w:r>
      <w:r>
        <w:rPr/>
        <w:t>22:27</w:t>
      </w:r>
      <w:r>
        <w:rPr/>
        <w:t>，授予</w:t>
      </w:r>
      <w:r>
        <w:rPr/>
        <w:t>10</w:t>
      </w:r>
      <w:r>
        <w:rPr/>
        <w:t>月</w:t>
      </w:r>
      <w:r>
        <w:rPr/>
        <w:t>9</w:t>
      </w:r>
      <w:r>
        <w:rPr/>
        <w:t>日</w:t>
      </w:r>
      <w:r>
        <w:rPr/>
        <w:t>21:41</w:t>
      </w:r>
      <w:r>
        <w:rPr/>
        <w:t>；均保留时分，收盘后信息单列。资料截止日包括当日收盘后已公开公告，但不会称这些信息已被</w:t>
      </w:r>
      <w:r>
        <w:rPr/>
        <w:t>44.56</w:t>
      </w:r>
      <w:r>
        <w:rPr/>
        <w:t>港元收盘价吸收，下一交易日反应未知。</w:t>
      </w:r>
    </w:p>
    <w:p>
      <w:pPr>
        <w:pStyle w:val="Normal"/>
        <w:rPr/>
      </w:pPr>
      <w:r>
        <w:rPr/>
        <w:t>模型没有完整投资</w:t>
      </w:r>
      <w:r>
        <w:rPr/>
        <w:t>LP</w:t>
      </w:r>
      <w:r>
        <w:rPr/>
        <w:t>与</w:t>
      </w:r>
      <w:r>
        <w:rPr/>
        <w:t>GP</w:t>
      </w:r>
      <w:r>
        <w:rPr/>
        <w:t>穿透、所有客户取消及回款分层、</w:t>
      </w:r>
      <w:r>
        <w:rPr/>
        <w:t>AI</w:t>
      </w:r>
      <w:r>
        <w:rPr/>
        <w:t>财务贡献或完整三张表，因此估值证据标中低。缺失不以估计事实填补；用正常利润</w:t>
      </w:r>
      <w:r>
        <w:rPr/>
        <w:t>PE</w:t>
      </w:r>
      <w:r>
        <w:rPr/>
        <w:t>的同时明示未独立计入资产残值。股票成交单位用股，行情复权与基准价统一；准确流通换手和行业相对数据缺，不造筹码分布。每次数据或判断升级都需要重新刷新三种情景和所有期限，旧快照不能伪装新结论。</w:t>
      </w:r>
    </w:p>
    <w:p>
      <w:pPr>
        <w:pStyle w:val="Normal"/>
        <w:rPr/>
      </w:pPr>
      <w:r>
        <w:rPr/>
        <w:t>旧</w:t>
      </w:r>
      <w:r>
        <w:rPr/>
        <w:t>2025</w:t>
      </w:r>
      <w:r>
        <w:rPr/>
        <w:t>末期股息每股人民币</w:t>
      </w:r>
      <w:r>
        <w:rPr/>
        <w:t>0.126</w:t>
      </w:r>
      <w:r>
        <w:rPr/>
        <w:t>元、港币</w:t>
      </w:r>
      <w:r>
        <w:rPr/>
        <w:t>0.14468</w:t>
      </w:r>
      <w:r>
        <w:rPr/>
        <w:t>元，</w:t>
      </w:r>
      <w:r>
        <w:rPr/>
        <w:t>6</w:t>
      </w:r>
      <w:r>
        <w:rPr/>
        <w:t>月</w:t>
      </w:r>
      <w:r>
        <w:rPr/>
        <w:t>18</w:t>
      </w:r>
      <w:r>
        <w:rPr/>
        <w:t>日除净、</w:t>
      </w:r>
      <w:r>
        <w:rPr/>
        <w:t>6</w:t>
      </w:r>
      <w:r>
        <w:rPr/>
        <w:t>月</w:t>
      </w:r>
      <w:r>
        <w:rPr/>
        <w:t>26</w:t>
      </w:r>
      <w:r>
        <w:rPr/>
        <w:t>日登记、</w:t>
      </w:r>
      <w:r>
        <w:rPr/>
        <w:t>7</w:t>
      </w:r>
      <w:r>
        <w:rPr/>
        <w:t>月</w:t>
      </w:r>
      <w:r>
        <w:rPr/>
        <w:t>22</w:t>
      </w:r>
      <w:r>
        <w:rPr/>
        <w:t>日支付，</w:t>
      </w:r>
      <w:r>
        <w:rPr/>
        <w:t>10</w:t>
      </w:r>
      <w:r>
        <w:rPr/>
        <w:t>月</w:t>
      </w:r>
      <w:r>
        <w:rPr/>
        <w:t>9</w:t>
      </w:r>
      <w:r>
        <w:rPr/>
        <w:t>日新买入者没有该旧息权益；中期不派。半年和年底未来息设零，一年及多年累计息是独立研究假设。研究结果将风险、收益和信息缺口同时交付，重要输入修改须重跑模型、独立核算与总表版本，只有原子、正文、表和最终文件一致才能视为完成更新。</w:t>
      </w:r>
    </w:p>
    <w:p>
      <w:pPr>
        <w:pStyle w:val="Heading2"/>
        <w:rPr/>
      </w:pPr>
      <w:r>
        <w:rPr>
          <w:color w:val="000000"/>
        </w:rPr>
        <w:t>来源</w:t>
      </w:r>
    </w:p>
    <w:p>
      <w:pPr>
        <w:pStyle w:val="Normal"/>
        <w:rPr/>
      </w:pPr>
      <w:r>
        <w:rPr/>
        <w:t xml:space="preserve">1. </w:t>
      </w:r>
      <w:r>
        <w:rPr/>
        <w:t>香港交易所中期业绩，</w:t>
      </w:r>
      <w:r>
        <w:rPr/>
        <w:t>2026-08-28 16:31</w:t>
      </w:r>
      <w:r>
        <w:rPr/>
        <w:t>：</w:t>
      </w:r>
      <w:r>
        <w:rPr/>
        <w:t xml:space="preserve">https://www1.hkexnews.hk/listedco/listconews/sehk/2026/0828/2026082800477.pdf </w:t>
      </w:r>
      <w:r>
        <w:rPr/>
        <w:t>。中文镜像：</w:t>
      </w:r>
      <w:r>
        <w:rPr/>
        <w:t xml:space="preserve">https://iis.aastocks.com/20260828/12304122-0.PDF </w:t>
      </w:r>
      <w:r>
        <w:rPr/>
        <w:t>。</w:t>
      </w:r>
      <w:r>
        <w:rPr/>
        <w:t>A</w:t>
      </w:r>
      <w:r>
        <w:rPr/>
        <w:t>中报全文：</w:t>
      </w:r>
      <w:r>
        <w:rPr/>
        <w:t xml:space="preserve">https://static.cninfo.com.cn/finalpage/2026-08-29/1225525347.PDF </w:t>
      </w:r>
      <w:r>
        <w:rPr/>
        <w:t>。重点物理页</w:t>
      </w:r>
      <w:r>
        <w:rPr/>
        <w:t>12</w:t>
      </w:r>
      <w:r>
        <w:rPr/>
        <w:t>、</w:t>
      </w:r>
      <w:r>
        <w:rPr/>
        <w:t>13</w:t>
      </w:r>
      <w:r>
        <w:rPr/>
        <w:t>、</w:t>
      </w:r>
      <w:r>
        <w:rPr/>
        <w:t>14–24</w:t>
      </w:r>
      <w:r>
        <w:rPr/>
        <w:t>、</w:t>
      </w:r>
      <w:r>
        <w:rPr/>
        <w:t>56</w:t>
      </w:r>
      <w:r>
        <w:rPr/>
        <w:t>、</w:t>
      </w:r>
      <w:r>
        <w:rPr/>
        <w:t>93</w:t>
      </w:r>
      <w:r>
        <w:rPr/>
        <w:t>、</w:t>
      </w:r>
      <w:r>
        <w:rPr/>
        <w:t>120–134</w:t>
      </w:r>
      <w:r>
        <w:rPr/>
        <w:t>、</w:t>
      </w:r>
      <w:r>
        <w:rPr/>
        <w:t>149–155</w:t>
      </w:r>
      <w:r>
        <w:rPr/>
        <w:t>。</w:t>
      </w:r>
    </w:p>
    <w:p>
      <w:pPr>
        <w:pStyle w:val="Normal"/>
        <w:rPr/>
      </w:pPr>
      <w:r>
        <w:rPr/>
        <w:t>2. 2025</w:t>
      </w:r>
      <w:r>
        <w:rPr/>
        <w:t>年年报：</w:t>
      </w:r>
      <w:r>
        <w:rPr/>
        <w:t xml:space="preserve">https://static.cninfo.com.cn/finalpage/2026-03-31/1225051947.PDF </w:t>
      </w:r>
      <w:r>
        <w:rPr/>
        <w:t>。物理页</w:t>
      </w:r>
      <w:r>
        <w:rPr/>
        <w:t>11</w:t>
      </w:r>
      <w:r>
        <w:rPr/>
        <w:t>及财务附注，历史扣非和季度。</w:t>
      </w:r>
    </w:p>
    <w:p>
      <w:pPr>
        <w:pStyle w:val="Normal"/>
        <w:rPr/>
      </w:pPr>
      <w:r>
        <w:rPr/>
        <w:t>3. 9</w:t>
      </w:r>
      <w:r>
        <w:rPr/>
        <w:t>月月报，</w:t>
      </w:r>
      <w:r>
        <w:rPr/>
        <w:t>2026-10-07 16:31</w:t>
      </w:r>
      <w:r>
        <w:rPr/>
        <w:t>：</w:t>
      </w:r>
      <w:r>
        <w:rPr/>
        <w:t xml:space="preserve">https://www1.hkexnews.hk/listedco/listconews/sehk/2026/1007/2026100700712.pdf </w:t>
      </w:r>
      <w:r>
        <w:rPr/>
        <w:t>。</w:t>
      </w:r>
      <w:r>
        <w:rPr/>
        <w:t>A10/8</w:t>
      </w:r>
      <w:r>
        <w:rPr/>
        <w:t>镜像：</w:t>
      </w:r>
      <w:r>
        <w:rPr/>
        <w:t xml:space="preserve">https://static.cninfo.com.cn/finalpage/2026-10-08/1225596426.PDF </w:t>
      </w:r>
      <w:r>
        <w:rPr/>
        <w:t>。回购：</w:t>
      </w:r>
      <w:r>
        <w:rPr/>
        <w:t xml:space="preserve">https://static.cninfo.com.cn/finalpage/2026-10-08/1225596422.PDF </w:t>
      </w:r>
      <w:r>
        <w:rPr/>
        <w:t>。注销通知：</w:t>
      </w:r>
      <w:r>
        <w:rPr/>
        <w:t xml:space="preserve">https://static.cninfo.com.cn/finalpage/2026-09-23/1225579077.PDF </w:t>
      </w:r>
      <w:r>
        <w:rPr/>
        <w:t>。</w:t>
      </w:r>
    </w:p>
    <w:p>
      <w:pPr>
        <w:pStyle w:val="Normal"/>
        <w:rPr/>
      </w:pPr>
      <w:r>
        <w:rPr/>
        <w:t xml:space="preserve">4. </w:t>
      </w:r>
      <w:r>
        <w:rPr/>
        <w:t>激励授予，</w:t>
      </w:r>
      <w:r>
        <w:rPr/>
        <w:t>2026-10-09 21:41</w:t>
      </w:r>
      <w:r>
        <w:rPr/>
        <w:t>：</w:t>
      </w:r>
      <w:r>
        <w:rPr/>
        <w:t xml:space="preserve">https://www1.hkexnews.hk/listedco/listconews/sehk/2026/1009/2026100901223.pdf </w:t>
      </w:r>
      <w:r>
        <w:rPr/>
        <w:t>。中文镜像：</w:t>
      </w:r>
      <w:r>
        <w:rPr/>
        <w:t xml:space="preserve">https://iis.aastocks.com/20261009/12369067-0.PDF </w:t>
      </w:r>
      <w:r>
        <w:rPr/>
        <w:t>。草案：</w:t>
      </w:r>
      <w:r>
        <w:rPr/>
        <w:t xml:space="preserve">https://static.cninfo.com.cn/finalpage/2026-08-29/1225530139.PDF </w:t>
      </w:r>
      <w:r>
        <w:rPr/>
        <w:t>。考核：</w:t>
      </w:r>
      <w:r>
        <w:rPr/>
        <w:t xml:space="preserve">https://static.cninfo.com.cn/finalpage/2026-08-29/1225530140.PDF </w:t>
      </w:r>
      <w:r>
        <w:rPr/>
        <w:t>。</w:t>
      </w:r>
    </w:p>
    <w:p>
      <w:pPr>
        <w:pStyle w:val="Normal"/>
        <w:rPr/>
      </w:pPr>
      <w:r>
        <w:rPr/>
        <w:t xml:space="preserve">5. </w:t>
      </w:r>
      <w:r>
        <w:rPr/>
        <w:t>调查进展，</w:t>
      </w:r>
      <w:r>
        <w:rPr/>
        <w:t>2026-09-11 22:27</w:t>
      </w:r>
      <w:r>
        <w:rPr/>
        <w:t>：</w:t>
      </w:r>
      <w:r>
        <w:rPr/>
        <w:t xml:space="preserve">https://www1.hkexnews.hk/listedco/listconews/sehk/2026/0911/2026091101819.pdf </w:t>
      </w:r>
      <w:r>
        <w:rPr/>
        <w:t>。</w:t>
      </w:r>
      <w:r>
        <w:rPr/>
        <w:t>A</w:t>
      </w:r>
      <w:r>
        <w:rPr/>
        <w:t>：</w:t>
      </w:r>
      <w:r>
        <w:rPr/>
        <w:t xml:space="preserve">https://static.cninfo.com.cn/finalpage/2026-09-12/1225560508.PDF </w:t>
      </w:r>
      <w:r>
        <w:rPr/>
        <w:t>。</w:t>
      </w:r>
      <w:r>
        <w:rPr/>
        <w:t>H</w:t>
      </w:r>
      <w:r>
        <w:rPr/>
        <w:t>募集改用途：</w:t>
      </w:r>
      <w:r>
        <w:rPr/>
        <w:t xml:space="preserve">https://static.cninfo.com.cn/finalpage/2026-08-29/1225525351.PDF </w:t>
      </w:r>
      <w:r>
        <w:rPr/>
        <w:t>。旧股息：</w:t>
      </w:r>
      <w:r>
        <w:rPr/>
        <w:t xml:space="preserve">https://iis.aastocks.com/20260630/12223436-0.PDF </w:t>
      </w:r>
      <w:r>
        <w:rPr/>
        <w:t>。</w:t>
      </w:r>
    </w:p>
    <w:p>
      <w:pPr>
        <w:pStyle w:val="Normal"/>
        <w:rPr/>
      </w:pPr>
      <w:r>
        <w:rPr/>
        <w:t xml:space="preserve">6. </w:t>
      </w:r>
      <w:r>
        <w:rPr/>
        <w:t>高盛</w:t>
      </w:r>
      <w:r>
        <w:rPr/>
        <w:t>9/30</w:t>
      </w:r>
      <w:r>
        <w:rPr/>
        <w:t>：</w:t>
      </w:r>
      <w:r>
        <w:rPr/>
        <w:t xml:space="preserve">https://www.aastocks.com/tc/stocks/analysis/stock-aafn-con/03347/AAFN/NOW.1547187/research-report </w:t>
      </w:r>
      <w:r>
        <w:rPr/>
        <w:t>。花旗</w:t>
      </w:r>
      <w:r>
        <w:rPr/>
        <w:t>9/14</w:t>
      </w:r>
      <w:r>
        <w:rPr/>
        <w:t>：</w:t>
      </w:r>
      <w:r>
        <w:rPr/>
        <w:t xml:space="preserve">https://www.aastocks.com/tc/stocks/analysis/stock-aafn-con/03347/AAFN/NOW.1544253/research-report </w:t>
      </w:r>
      <w:r>
        <w:rPr/>
        <w:t>。汇丰</w:t>
      </w:r>
      <w:r>
        <w:rPr/>
        <w:t>9/9</w:t>
      </w:r>
      <w:r>
        <w:rPr/>
        <w:t>：</w:t>
      </w:r>
      <w:r>
        <w:rPr/>
        <w:t xml:space="preserve">https://www.aastocks.com/tc/stocks/analysis/stock-aafn-con/03347/AAFN/NOW.1543616/research-report </w:t>
      </w:r>
      <w:r>
        <w:rPr/>
        <w:t>。瑞银</w:t>
      </w:r>
      <w:r>
        <w:rPr/>
        <w:t>7/14</w:t>
      </w:r>
      <w:r>
        <w:rPr/>
        <w:t>：</w:t>
      </w:r>
      <w:r>
        <w:rPr/>
        <w:t xml:space="preserve">https://www.aastocks.com/tc/stocks/analysis/stock-aafn-con/03347/AAFN/NOW.1533134/research-report </w:t>
      </w:r>
      <w:r>
        <w:rPr/>
        <w:t>。大和</w:t>
      </w:r>
      <w:r>
        <w:rPr/>
        <w:t>7/8</w:t>
      </w:r>
      <w:r>
        <w:rPr/>
        <w:t>：</w:t>
      </w:r>
      <w:r>
        <w:rPr/>
        <w:t xml:space="preserve">https://www.aastocks.com/tc/stocks/analysis/stock-aafn-con/03347/AAFN/NOW.1532245/research-report </w:t>
      </w:r>
      <w:r>
        <w:rPr/>
        <w:t>。均新闻转述；原研报与明确期限缺。</w:t>
      </w:r>
    </w:p>
    <w:p>
      <w:pPr>
        <w:pStyle w:val="Normal"/>
        <w:rPr/>
      </w:pPr>
      <w:r>
        <w:rPr/>
        <w:t xml:space="preserve">7. </w:t>
      </w:r>
      <w:r>
        <w:rPr/>
        <w:t xml:space="preserve">锁行情 </w:t>
      </w:r>
      <w:r>
        <w:rPr/>
        <w:t>data/market_snapshot_locked.json</w:t>
      </w:r>
      <w:r>
        <w:rPr/>
        <w:t>，</w:t>
      </w:r>
      <w:r>
        <w:rPr/>
        <w:t>market-v1.6</w:t>
      </w:r>
      <w:r>
        <w:rPr/>
        <w:t xml:space="preserve">；活动模型 </w:t>
      </w:r>
      <w:r>
        <w:rPr/>
        <w:t>data/tigermed_model.json</w:t>
      </w:r>
      <w:r>
        <w:rPr/>
        <w:t xml:space="preserve">，独立核算 </w:t>
      </w:r>
      <w:r>
        <w:rPr/>
        <w:t>qa/tigermed_qa.json</w:t>
      </w:r>
      <w:r>
        <w:rPr/>
        <w:t xml:space="preserve">；正式首次公告索引 </w:t>
      </w:r>
      <w:r>
        <w:rPr/>
        <w:t>data/tigermed_hkex_titles.json</w:t>
      </w:r>
      <w:r>
        <w:rPr/>
        <w:t>。来源、目录、表与图注不计有效正文汉字。</w:t>
      </w:r>
      <w:r>
        <w:br w:type="page"/>
      </w:r>
    </w:p>
    <w:p>
      <w:pPr>
        <w:pStyle w:val="Heading1"/>
        <w:spacing w:before="0" w:after="0"/>
        <w:rPr/>
      </w:pPr>
      <w:bookmarkStart w:id="4" w:name="__RefHeading___Toc48422_1364803659"/>
      <w:bookmarkEnd w:id="4"/>
      <w:r>
        <w:rPr>
          <w:color w:val="000000"/>
        </w:rPr>
        <w:t xml:space="preserve">远大医药 </w:t>
      </w:r>
      <w:r>
        <w:rPr>
          <w:color w:val="000000"/>
        </w:rPr>
        <w:t>00512 HK</w:t>
      </w:r>
    </w:p>
    <w:p>
      <w:pPr>
        <w:pStyle w:val="Normal"/>
        <w:rPr/>
      </w:pPr>
      <w:r>
        <w:rPr/>
        <w:t xml:space="preserve">00512.HK </w:t>
      </w:r>
      <w:r>
        <w:rPr/>
        <w:t xml:space="preserve">现价 </w:t>
      </w:r>
      <w:r>
        <w:rPr/>
        <w:t>4.74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+72.54%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+72.54%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+90.38%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+94.22%</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14.17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+199.01%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+212.85%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18.41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+288.31%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+316.69%</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-33.11%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+26.44%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+71.17%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5.82HKD</w:t>
      </w:r>
      <w:r>
        <w:rPr/>
        <w:t>，期望股价回报</w:t>
      </w:r>
      <w:r>
        <w:rPr/>
        <w:t>+22.73%</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2.26</w:t>
              <w:br/>
              <w:t>-52.42%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8.18</w:t>
              <w:br/>
              <w:t>+72.54%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15.33</w:t>
              <w:br/>
              <w:t>+223.49%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2.13</w:t>
              <w:br/>
              <w:t>-55.16%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9.02</w:t>
              <w:br/>
              <w:t>+90.38%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17.58</w:t>
              <w:br/>
              <w:t>+270.97%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w:t>
              <w:br/>
              <w:t>-66.41%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14.17</w:t>
              <w:br/>
              <w:t>+199.01%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31.01</w:t>
              <w:br/>
              <w:t>+554.16%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+46.26%</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1.44</w:t>
              <w:br/>
              <w:t>-69.52%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18.41</w:t>
              <w:br/>
              <w:t>+288.31%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45.70</w:t>
              <w:br/>
              <w:t>+864.23%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+33.03%</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中；财报与行情高，毛利分拆、长期产品收入、回款和联营现金低至中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+63.91%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+72.54%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+81.16%</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+84.51%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+94.22%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+103.94%</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+197.21%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+212.85%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+228.50%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+295.85%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+316.69%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+337.52%</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证券</w:t>
      </w:r>
      <w:r>
        <w:rPr/>
        <w:t>00512.HK</w:t>
      </w:r>
      <w:r>
        <w:rPr/>
        <w:t>，发行人</w:t>
      </w:r>
      <w:r>
        <w:rPr/>
        <w:t>I032</w:t>
      </w:r>
      <w:r>
        <w:rPr/>
        <w:t>，证券</w:t>
      </w:r>
      <w:r>
        <w:rPr/>
        <w:t>S038</w:t>
      </w:r>
      <w:r>
        <w:rPr/>
        <w:t>。价格及信息截止</w:t>
      </w:r>
      <w:r>
        <w:rPr/>
        <w:t>2026</w:t>
      </w:r>
      <w:r>
        <w:rPr/>
        <w:t>年</w:t>
      </w:r>
      <w:r>
        <w:rPr/>
        <w:t>10</w:t>
      </w:r>
      <w:r>
        <w:rPr/>
        <w:t>月</w:t>
      </w:r>
      <w:r>
        <w:rPr/>
        <w:t>9</w:t>
      </w:r>
      <w:r>
        <w:rPr/>
        <w:t>日，港币本币口径。模型版本</w:t>
      </w:r>
      <w:r>
        <w:rPr/>
        <w:t>grand-pharma-three-revenue-normal-pe-associate-cash-loan-debt-v1.0</w:t>
      </w:r>
      <w:r>
        <w:rPr/>
        <w:t>。本章为独立初版，具体财务期间与发布时间见来源。所有目标是公开假设下的条件估值，评分不是成功概率。</w:t>
      </w:r>
    </w:p>
    <w:p>
      <w:pPr>
        <w:pStyle w:val="Heading2"/>
        <w:rPr/>
      </w:pPr>
      <w:r>
        <w:rPr>
          <w:color w:val="000000"/>
        </w:rPr>
        <w:t>投资结论</w:t>
      </w:r>
    </w:p>
    <w:p>
      <w:pPr>
        <w:pStyle w:val="Normal"/>
        <w:rPr/>
      </w:pPr>
      <w:r>
        <w:rPr/>
        <w:t>远大医药在这份进取型名单中适合放在中长期观察和条件推荐梯队。它拥有真实盈利的传统药品、氨基酸及其他生物技术产品，正在扩大的核药和介入产品，同时承担较重的研发、许可、产能与营销投入。</w:t>
      </w:r>
      <w:r>
        <w:rPr/>
        <w:t>4.74</w:t>
      </w:r>
      <w:r>
        <w:rPr/>
        <w:t>港元的基准股价使正常盈利估值看起来有吸引力，但价格下降、回款偏慢、低现金和复杂联营权益都值得折价。半年</w:t>
      </w:r>
      <w:r>
        <w:rPr/>
        <w:t>55.2</w:t>
      </w:r>
      <w:r>
        <w:rPr/>
        <w:t>分，一年</w:t>
      </w:r>
      <w:r>
        <w:rPr/>
        <w:t>62.5</w:t>
      </w:r>
      <w:r>
        <w:rPr/>
        <w:t>分，三年</w:t>
      </w:r>
      <w:r>
        <w:rPr/>
        <w:t>69.7</w:t>
      </w:r>
      <w:r>
        <w:rPr/>
        <w:t>分，五年</w:t>
      </w:r>
      <w:r>
        <w:rPr/>
        <w:t>70.2</w:t>
      </w:r>
      <w:r>
        <w:rPr/>
        <w:t>分。长周期评分更高，原因是现有产品与新增业务有可能共同改善每股盈利；这不能消除近期图形的下行趋势，也不能把临床项目的潜在市场当成已实现利润。</w:t>
      </w:r>
    </w:p>
    <w:p>
      <w:pPr>
        <w:pStyle w:val="Normal"/>
        <w:rPr/>
      </w:pPr>
      <w:r>
        <w:rPr/>
        <w:t>最能支持推荐的事实是核药业务已进入商业化而不是完全停留在研发叙事。上半年集团核药收入</w:t>
      </w:r>
      <w:r>
        <w:rPr/>
        <w:t>6.5524</w:t>
      </w:r>
      <w:r>
        <w:rPr/>
        <w:t>亿港元，同比增长</w:t>
      </w:r>
      <w:r>
        <w:rPr/>
        <w:t>55.4%</w:t>
      </w:r>
      <w:r>
        <w:rPr/>
        <w:t>，但医药技术产品收入下降</w:t>
      </w:r>
      <w:r>
        <w:rPr/>
        <w:t>14.9%</w:t>
      </w:r>
      <w:r>
        <w:rPr/>
        <w:t>，耳鼻喉和心脑血管急救产品都有明显下滑。生物技术收入增长</w:t>
      </w:r>
      <w:r>
        <w:rPr/>
        <w:t>34.2%</w:t>
      </w:r>
      <w:r>
        <w:rPr/>
        <w:t>，包含氨基酸价格和需求改善。集团收入仅增长</w:t>
      </w:r>
      <w:r>
        <w:rPr/>
        <w:t>3.2%</w:t>
      </w:r>
      <w:r>
        <w:rPr/>
        <w:t>，剔除</w:t>
      </w:r>
      <w:r>
        <w:rPr/>
        <w:t>Telix</w:t>
      </w:r>
      <w:r>
        <w:rPr/>
        <w:t>投资影响后的归母盈利仍下降约</w:t>
      </w:r>
      <w:r>
        <w:rPr/>
        <w:t>6.6%</w:t>
      </w:r>
      <w:r>
        <w:rPr/>
        <w:t>。因此推荐成立必须看到新品的持续终端使用、传统销售体系调整后的恢复，以及现金回收能够覆盖项目投资。只有多个经营环节同时兑现，低估值才是机会；如果只是靠削减营销暂时保住利润，估值回升会缺乏持续基础。</w:t>
      </w:r>
    </w:p>
    <w:p>
      <w:pPr>
        <w:pStyle w:val="Heading2"/>
        <w:rPr/>
      </w:pPr>
      <w:r>
        <w:rPr>
          <w:color w:val="000000"/>
        </w:rPr>
        <w:t>四期限与年底情景</w:t>
      </w:r>
    </w:p>
    <w:tbl>
      <w:tblPr>
        <w:tblW w:w="9855"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094"/>
        <w:gridCol w:w="1095"/>
        <w:gridCol w:w="1095"/>
        <w:gridCol w:w="1095"/>
        <w:gridCol w:w="1096"/>
        <w:gridCol w:w="1095"/>
        <w:gridCol w:w="1095"/>
        <w:gridCol w:w="1095"/>
        <w:gridCol w:w="1095"/>
      </w:tblGrid>
      <w:tr>
        <w:trPr>
          <w:tblHeader w:val="true"/>
          <w:cantSplit/>
        </w:trPr>
        <w:tc>
          <w:tcPr>
            <w:tcW w:w="109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095"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实际或研究目标日</w:t>
            </w:r>
          </w:p>
        </w:tc>
        <w:tc>
          <w:tcPr>
            <w:tcW w:w="1095"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1095"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109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1095"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基准股价涨幅</w:t>
            </w:r>
          </w:p>
        </w:tc>
        <w:tc>
          <w:tcPr>
            <w:tcW w:w="1095"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基准新买累计股息</w:t>
            </w:r>
          </w:p>
        </w:tc>
        <w:tc>
          <w:tcPr>
            <w:tcW w:w="1095"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基准含分红回报</w:t>
            </w:r>
          </w:p>
        </w:tc>
        <w:tc>
          <w:tcPr>
            <w:tcW w:w="1095"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r>
      <w:tr>
        <w:trPr>
          <w:cantSplit/>
        </w:trPr>
        <w:tc>
          <w:tcPr>
            <w:tcW w:w="109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2026-12-31</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3.1706</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5.9932</w:t>
            </w:r>
          </w:p>
        </w:tc>
        <w:tc>
          <w:tcPr>
            <w:tcW w:w="10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8.1135</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26.44%</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0.0000</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26.44%</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专项</w:t>
            </w:r>
          </w:p>
        </w:tc>
      </w:tr>
      <w:tr>
        <w:trPr>
          <w:cantSplit/>
        </w:trPr>
        <w:tc>
          <w:tcPr>
            <w:tcW w:w="109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2027-04-09</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2.2552</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8.1782</w:t>
            </w:r>
          </w:p>
        </w:tc>
        <w:tc>
          <w:tcPr>
            <w:tcW w:w="10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15.3334</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72.54%</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0.0000</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72.54%</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55.2</w:t>
            </w:r>
          </w:p>
        </w:tc>
      </w:tr>
      <w:tr>
        <w:trPr>
          <w:cantSplit/>
        </w:trPr>
        <w:tc>
          <w:tcPr>
            <w:tcW w:w="109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2027-10-07</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2.1254</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9.0240</w:t>
            </w:r>
          </w:p>
        </w:tc>
        <w:tc>
          <w:tcPr>
            <w:tcW w:w="10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17.5842</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90.38%</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0.1823</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94.22%</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62.5</w:t>
            </w:r>
          </w:p>
        </w:tc>
      </w:tr>
      <w:tr>
        <w:trPr>
          <w:cantSplit/>
        </w:trPr>
        <w:tc>
          <w:tcPr>
            <w:tcW w:w="109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2029-10-09</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1.5922</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14.1729</w:t>
            </w:r>
          </w:p>
        </w:tc>
        <w:tc>
          <w:tcPr>
            <w:tcW w:w="10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31.0070</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199.01%</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0.6563</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212.85%</w:t>
            </w:r>
          </w:p>
        </w:tc>
        <w:tc>
          <w:tcPr>
            <w:tcW w:w="10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69.7</w:t>
            </w:r>
          </w:p>
        </w:tc>
      </w:tr>
      <w:tr>
        <w:trPr>
          <w:cantSplit/>
        </w:trPr>
        <w:tc>
          <w:tcPr>
            <w:tcW w:w="109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2031-10-09</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1.4449</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18.4059</w:t>
            </w:r>
          </w:p>
        </w:tc>
        <w:tc>
          <w:tcPr>
            <w:tcW w:w="10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45.7045</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288.31%</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1.3450</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316.69%</w:t>
            </w:r>
          </w:p>
        </w:tc>
        <w:tc>
          <w:tcPr>
            <w:tcW w:w="10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70.2</w:t>
            </w:r>
          </w:p>
        </w:tc>
      </w:tr>
    </w:tbl>
    <w:p>
      <w:pPr>
        <w:pStyle w:val="Normal"/>
        <w:rPr/>
      </w:pPr>
      <w:r>
        <w:rPr/>
      </w:r>
    </w:p>
    <w:p>
      <w:pPr>
        <w:pStyle w:val="Normal"/>
        <w:rPr/>
      </w:pPr>
      <w:r>
        <w:rPr/>
        <w:t>表中较大的上涨空间来自低基准价格、经营恢复与核药增长的联合假设，不是机构共识，也不是通常价格波动的测量。半年悲观损失</w:t>
      </w:r>
      <w:r>
        <w:rPr/>
        <w:t>52.42%</w:t>
      </w:r>
      <w:r>
        <w:rPr/>
        <w:t>，一年</w:t>
      </w:r>
      <w:r>
        <w:rPr/>
        <w:t>55.16%</w:t>
      </w:r>
      <w:r>
        <w:rPr/>
        <w:t>，三年</w:t>
      </w:r>
      <w:r>
        <w:rPr/>
        <w:t>66.41%</w:t>
      </w:r>
      <w:r>
        <w:rPr/>
        <w:t>，五年</w:t>
      </w:r>
      <w:r>
        <w:rPr/>
        <w:t>69.52%</w:t>
      </w:r>
      <w:r>
        <w:rPr/>
        <w:t>，说明模型没有将盈利公司视为本金安全资产。三年基准含分红年化</w:t>
      </w:r>
      <w:r>
        <w:rPr/>
        <w:t>46.26%</w:t>
      </w:r>
      <w:r>
        <w:rPr/>
        <w:t>，五年</w:t>
      </w:r>
      <w:r>
        <w:rPr/>
        <w:t>33.03%</w:t>
      </w:r>
      <w:r>
        <w:rPr/>
        <w:t>，均对商业化和费用效率敏感。乐观情景的收入、产品毛利、销售效率、联营利润与估值倍数同时更好，不能简单认为其实现频率与悲观情景相同。</w:t>
      </w:r>
      <w:r>
        <w:rPr/>
        <w:t>25%</w:t>
      </w:r>
      <w:r>
        <w:rPr/>
        <w:t>、</w:t>
      </w:r>
      <w:r>
        <w:rPr/>
        <w:t>50%</w:t>
      </w:r>
      <w:r>
        <w:rPr/>
        <w:t>、</w:t>
      </w:r>
      <w:r>
        <w:rPr/>
        <w:t>25%</w:t>
      </w:r>
      <w:r>
        <w:rPr/>
        <w:t>只是统一研究权重，任何实际临床失败、融资困难或重大治理问题都可能使股价落在表外。</w:t>
      </w:r>
    </w:p>
    <w:p>
      <w:pPr>
        <w:pStyle w:val="Normal"/>
        <w:rPr/>
      </w:pPr>
      <w:r>
        <w:rPr/>
        <w:t>年底采用</w:t>
      </w:r>
      <w:r>
        <w:rPr/>
        <w:t>2027</w:t>
      </w:r>
      <w:r>
        <w:rPr/>
        <w:t>年正常盈利作为估值参照，但独立设置市场兑现程度。悲观、基准、乐观的公允参考分别约</w:t>
      </w:r>
      <w:r>
        <w:rPr/>
        <w:t>2.3256</w:t>
      </w:r>
      <w:r>
        <w:rPr/>
        <w:t>、</w:t>
      </w:r>
      <w:r>
        <w:rPr/>
        <w:t>7.0185</w:t>
      </w:r>
      <w:r>
        <w:rPr/>
        <w:t>、</w:t>
      </w:r>
      <w:r>
        <w:rPr/>
        <w:t>13.1738</w:t>
      </w:r>
      <w:r>
        <w:rPr/>
        <w:t>港元，市场仅兑现其与现价距离的</w:t>
      </w:r>
      <w:r>
        <w:rPr/>
        <w:t>65%</w:t>
      </w:r>
      <w:r>
        <w:rPr/>
        <w:t>、</w:t>
      </w:r>
      <w:r>
        <w:rPr/>
        <w:t>55%</w:t>
      </w:r>
      <w:r>
        <w:rPr/>
        <w:t>、</w:t>
      </w:r>
      <w:r>
        <w:rPr/>
        <w:t>40%</w:t>
      </w:r>
      <w:r>
        <w:rPr/>
        <w:t>，于是得到</w:t>
      </w:r>
      <w:r>
        <w:rPr/>
        <w:t>3.1706</w:t>
      </w:r>
      <w:r>
        <w:rPr/>
        <w:t>、</w:t>
      </w:r>
      <w:r>
        <w:rPr/>
        <w:t>5.9932</w:t>
      </w:r>
      <w:r>
        <w:rPr/>
        <w:t>、</w:t>
      </w:r>
      <w:r>
        <w:rPr/>
        <w:t>8.1135</w:t>
      </w:r>
      <w:r>
        <w:rPr/>
        <w:t>港元。年底判断加权价</w:t>
      </w:r>
      <w:r>
        <w:rPr/>
        <w:t>5.8176</w:t>
      </w:r>
      <w:r>
        <w:rPr/>
        <w:t>港元，期望股价回报</w:t>
      </w:r>
      <w:r>
        <w:rPr/>
        <w:t>22.73%</w:t>
      </w:r>
      <w:r>
        <w:rPr/>
        <w:t>。保守权重</w:t>
      </w:r>
      <w:r>
        <w:rPr/>
        <w:t>40%</w:t>
      </w:r>
      <w:r>
        <w:rPr/>
        <w:t>、</w:t>
      </w:r>
      <w:r>
        <w:rPr/>
        <w:t>50%</w:t>
      </w:r>
      <w:r>
        <w:rPr/>
        <w:t>、</w:t>
      </w:r>
      <w:r>
        <w:rPr/>
        <w:t>10%</w:t>
      </w:r>
      <w:r>
        <w:rPr/>
        <w:t>对应</w:t>
      </w:r>
      <w:r>
        <w:rPr/>
        <w:t>5.0762</w:t>
      </w:r>
      <w:r>
        <w:rPr/>
        <w:t>港元，进取权重</w:t>
      </w:r>
      <w:r>
        <w:rPr/>
        <w:t>10%</w:t>
      </w:r>
      <w:r>
        <w:rPr/>
        <w:t>、</w:t>
      </w:r>
      <w:r>
        <w:rPr/>
        <w:t>50%</w:t>
      </w:r>
      <w:r>
        <w:rPr/>
        <w:t>、</w:t>
      </w:r>
      <w:r>
        <w:rPr/>
        <w:t>40%</w:t>
      </w:r>
      <w:r>
        <w:rPr/>
        <w:t>对应</w:t>
      </w:r>
      <w:r>
        <w:rPr/>
        <w:t>6.5590</w:t>
      </w:r>
      <w:r>
        <w:rPr/>
        <w:t>港元。兑现因子表示短时间内信息验证和市场接受程度，既不是历史统计参数，也不是把一年目标按月份机械缩短。</w:t>
      </w:r>
      <w:r>
        <w:rPr/>
        <w:t>TLX591-CDx</w:t>
      </w:r>
      <w:r>
        <w:rPr/>
        <w:t>注册、眼科新品销售、年末回款及市场风险偏好决定年底可能接近哪个情景。</w:t>
      </w:r>
    </w:p>
    <w:p>
      <w:pPr>
        <w:pStyle w:val="Heading2"/>
        <w:rPr/>
      </w:pPr>
      <w:r>
        <w:rPr>
          <w:color w:val="000000"/>
        </w:rPr>
        <w:t>业务身份与收入边界</w:t>
      </w:r>
    </w:p>
    <w:p>
      <w:pPr>
        <w:pStyle w:val="Normal"/>
        <w:rPr/>
      </w:pPr>
      <w:r>
        <w:rPr/>
        <w:t>远大医药的三个业务名称容易产生误解。所谓生物技术产品主要包括氨基酸、牛磺酸等工业及营养相关产品，不能把其全部认作高壁垒生物创新药。医药技术产品又同时包括成熟制剂、急救用药、眼科及呼吸等产品。核药及脑心血管介入类别中既有放射性药品，也有导管、球囊、栓塞及成像器械。</w:t>
      </w:r>
      <w:r>
        <w:rPr/>
        <w:t>2026</w:t>
      </w:r>
      <w:r>
        <w:rPr/>
        <w:t>年上半年三类收入分别为</w:t>
      </w:r>
      <w:r>
        <w:rPr/>
        <w:t>32.74083</w:t>
      </w:r>
      <w:r>
        <w:rPr/>
        <w:t>、</w:t>
      </w:r>
      <w:r>
        <w:rPr/>
        <w:t>23.69701</w:t>
      </w:r>
      <w:r>
        <w:rPr/>
        <w:t>、</w:t>
      </w:r>
      <w:r>
        <w:rPr/>
        <w:t>7.45129</w:t>
      </w:r>
      <w:r>
        <w:rPr/>
        <w:t>亿港元，相加等于</w:t>
      </w:r>
      <w:r>
        <w:rPr/>
        <w:t>63.88913</w:t>
      </w:r>
      <w:r>
        <w:rPr/>
        <w:t>亿港元集团收入。这个真实收入结构决定了公司的估值应考虑成熟药业、周期化工和商业化核药的混合属性，不能整体套用纯创新药最乐观的销售倍数。</w:t>
      </w:r>
    </w:p>
    <w:p>
      <w:pPr>
        <w:pStyle w:val="Normal"/>
        <w:rPr/>
      </w:pPr>
      <w:r>
        <w:rPr/>
        <w:t>官方仅披露一个可报告经营分部，管理层按集团整体分配资源。公司发布的业务类别收入有用，但没有对应的完整分部毛利、营业利润、资本投入和现金流。本研究将三类收入分开并给出研究毛利率，用来检验产品组合变化对集团盈利的影响；这些毛利率不是从财报里找到的精确部门利润。不能同时把集团收入计入经营估值，再额外将</w:t>
      </w:r>
      <w:r>
        <w:rPr/>
        <w:t>Sirtex</w:t>
      </w:r>
      <w:r>
        <w:rPr/>
        <w:t>全球销售或旭东海普收入全部并入。公司及其联营企业一起构成的业务网络，范围往往大于上市公司会计合并范围。每股目标必须遵守这个边界，才能反映普通股持有者实际可取得的收益。</w:t>
      </w:r>
    </w:p>
    <w:p>
      <w:pPr>
        <w:pStyle w:val="Heading2"/>
        <w:rPr/>
      </w:pPr>
      <w:r>
        <w:rPr>
          <w:color w:val="000000"/>
        </w:rPr>
        <w:t>历史财务与重列比较</w:t>
      </w:r>
    </w:p>
    <w:p>
      <w:pPr>
        <w:pStyle w:val="Normal"/>
        <w:rPr/>
      </w:pPr>
      <w:r>
        <w:rPr/>
        <w:t>2025</w:t>
      </w:r>
      <w:r>
        <w:rPr/>
        <w:t>年原审计年报收入</w:t>
      </w:r>
      <w:r>
        <w:rPr/>
        <w:t>122.83271</w:t>
      </w:r>
      <w:r>
        <w:rPr/>
        <w:t>亿港元，归母盈利</w:t>
      </w:r>
      <w:r>
        <w:rPr/>
        <w:t>12.40871</w:t>
      </w:r>
      <w:r>
        <w:rPr/>
        <w:t>亿港元；</w:t>
      </w:r>
      <w:r>
        <w:rPr/>
        <w:t>2024</w:t>
      </w:r>
      <w:r>
        <w:rPr/>
        <w:t>年原比较收入</w:t>
      </w:r>
      <w:r>
        <w:rPr/>
        <w:t>116.44892</w:t>
      </w:r>
      <w:r>
        <w:rPr/>
        <w:t>亿港元、归母</w:t>
      </w:r>
      <w:r>
        <w:rPr/>
        <w:t>24.68375</w:t>
      </w:r>
      <w:r>
        <w:rPr/>
        <w:t>亿港元。后续</w:t>
      </w:r>
      <w:r>
        <w:rPr/>
        <w:t>2026</w:t>
      </w:r>
      <w:r>
        <w:rPr/>
        <w:t>年中报因收购河北九孚及保定嘉和采用同一控制下合并会计，重列</w:t>
      </w:r>
      <w:r>
        <w:rPr/>
        <w:t>2025</w:t>
      </w:r>
      <w:r>
        <w:rPr/>
        <w:t>年收入为</w:t>
      </w:r>
      <w:r>
        <w:rPr/>
        <w:t>124.77405</w:t>
      </w:r>
      <w:r>
        <w:rPr/>
        <w:t>亿港元，归母</w:t>
      </w:r>
      <w:r>
        <w:rPr/>
        <w:t>12.75327</w:t>
      </w:r>
      <w:r>
        <w:rPr/>
        <w:t>亿港元，也重列</w:t>
      </w:r>
      <w:r>
        <w:rPr/>
        <w:t>2023</w:t>
      </w:r>
      <w:r>
        <w:rPr/>
        <w:t>、</w:t>
      </w:r>
      <w:r>
        <w:rPr/>
        <w:t>2024</w:t>
      </w:r>
      <w:r>
        <w:rPr/>
        <w:t>及</w:t>
      </w:r>
      <w:r>
        <w:rPr/>
        <w:t>2025</w:t>
      </w:r>
      <w:r>
        <w:rPr/>
        <w:t>年中期比较数。</w:t>
      </w:r>
      <w:r>
        <w:rPr/>
        <w:t>2026</w:t>
      </w:r>
      <w:r>
        <w:rPr/>
        <w:t>年上半年比较基数为</w:t>
      </w:r>
      <w:r>
        <w:rPr/>
        <w:t>61.89196</w:t>
      </w:r>
      <w:r>
        <w:rPr/>
        <w:t>亿港元收入、</w:t>
      </w:r>
      <w:r>
        <w:rPr/>
        <w:t>11.93167</w:t>
      </w:r>
      <w:r>
        <w:rPr/>
        <w:t>亿港元归母利润，而非旧新闻中的</w:t>
      </w:r>
      <w:r>
        <w:rPr/>
        <w:t>61.07323</w:t>
      </w:r>
      <w:r>
        <w:rPr/>
        <w:t>和</w:t>
      </w:r>
      <w:r>
        <w:rPr/>
        <w:t>11.690</w:t>
      </w:r>
      <w:r>
        <w:rPr/>
        <w:t>亿元。这个差异不巨大，但会影响增长率、利润恢复和历史市盈率比较。总表保存原年报与重列中报两组，不能混用分子或比较期间。</w:t>
      </w:r>
    </w:p>
    <w:p>
      <w:pPr>
        <w:pStyle w:val="Normal"/>
        <w:rPr/>
      </w:pPr>
      <w:r>
        <w:rPr/>
        <w:t>同一控制下并购对现金、治理及经营判断也有意义。此次交易总对价</w:t>
      </w:r>
      <w:r>
        <w:rPr/>
        <w:t>3.16</w:t>
      </w:r>
      <w:r>
        <w:rPr/>
        <w:t>亿元人民币，卖方与上市公司同受中国远大控制；由于会计追溯，历史增长看起来包含新组合，但经济上的付款和整合仍在</w:t>
      </w:r>
      <w:r>
        <w:rPr/>
        <w:t>2026</w:t>
      </w:r>
      <w:r>
        <w:rPr/>
        <w:t>年发生。研究需要区分业务本身的有机增长、因合并范围变化而来的规模，以及关联方之间的价格与利益分配。即使收购标的具有生产协同，也要核对审计利润、资产质量、付款条件和未来资本需求。只看重列后收入与利润连贯上升，会忽略上市公司普通股股东为获得这些资产付出的现金以及是否得到合理回报。</w:t>
      </w:r>
    </w:p>
    <w:p>
      <w:pPr>
        <w:pStyle w:val="Heading2"/>
        <w:rPr/>
      </w:pPr>
      <w:r>
        <w:rPr>
          <w:color w:val="000000"/>
        </w:rPr>
        <w:t>正常利润与</w:t>
      </w:r>
      <w:r>
        <w:rPr>
          <w:color w:val="000000"/>
        </w:rPr>
        <w:t>Telix</w:t>
      </w:r>
      <w:r>
        <w:rPr>
          <w:color w:val="000000"/>
        </w:rPr>
        <w:t>退出</w:t>
      </w:r>
    </w:p>
    <w:p>
      <w:pPr>
        <w:pStyle w:val="Normal"/>
        <w:rPr/>
      </w:pPr>
      <w:r>
        <w:rPr/>
        <w:t>2025</w:t>
      </w:r>
      <w:r>
        <w:rPr/>
        <w:t>年利润下降首先受到投资重估影响。公司披露</w:t>
      </w:r>
      <w:r>
        <w:rPr/>
        <w:t>Telix</w:t>
      </w:r>
      <w:r>
        <w:rPr/>
        <w:t>投资公允价值和处置合计损失</w:t>
      </w:r>
      <w:r>
        <w:rPr/>
        <w:t>2.5338</w:t>
      </w:r>
      <w:r>
        <w:rPr/>
        <w:t>亿港元，前一年合计收益</w:t>
      </w:r>
      <w:r>
        <w:rPr/>
        <w:t>7.0772</w:t>
      </w:r>
      <w:r>
        <w:rPr/>
        <w:t>亿港元，差额达</w:t>
      </w:r>
      <w:r>
        <w:rPr/>
        <w:t>9.611</w:t>
      </w:r>
      <w:r>
        <w:rPr/>
        <w:t>亿元。仅按公司定义剔除</w:t>
      </w:r>
      <w:r>
        <w:rPr/>
        <w:t>Telix</w:t>
      </w:r>
      <w:r>
        <w:rPr/>
        <w:t>后，</w:t>
      </w:r>
      <w:r>
        <w:rPr/>
        <w:t>2025</w:t>
      </w:r>
      <w:r>
        <w:rPr/>
        <w:t>年正常归母</w:t>
      </w:r>
      <w:r>
        <w:rPr/>
        <w:t>14.9426</w:t>
      </w:r>
      <w:r>
        <w:rPr/>
        <w:t>亿港元，仍低于</w:t>
      </w:r>
      <w:r>
        <w:rPr/>
        <w:t>2024</w:t>
      </w:r>
      <w:r>
        <w:rPr/>
        <w:t>年</w:t>
      </w:r>
      <w:r>
        <w:rPr/>
        <w:t>17.6065</w:t>
      </w:r>
      <w:r>
        <w:rPr/>
        <w:t>亿港元。原因包括集采相关产品毛利减少超过</w:t>
      </w:r>
      <w:r>
        <w:rPr/>
        <w:t>6</w:t>
      </w:r>
      <w:r>
        <w:rPr/>
        <w:t>亿港元，以及额外市场推广投资。投资收益解释了报表利润大幅波动的一部分，却不能解释所有下降，更不能据此把传统业务视作没有变化。正常盈利估值必须分别识别经营降价与投资市场波动，不能直接恢复到</w:t>
      </w:r>
      <w:r>
        <w:rPr/>
        <w:t>2024</w:t>
      </w:r>
      <w:r>
        <w:rPr/>
        <w:t>年高利润并将差额全部认作一次性。</w:t>
      </w:r>
    </w:p>
    <w:p>
      <w:pPr>
        <w:pStyle w:val="Normal"/>
        <w:rPr/>
      </w:pPr>
      <w:r>
        <w:rPr/>
        <w:t>2026</w:t>
      </w:r>
      <w:r>
        <w:rPr/>
        <w:t>年上半年</w:t>
      </w:r>
      <w:r>
        <w:rPr/>
        <w:t>Telix</w:t>
      </w:r>
      <w:r>
        <w:rPr/>
        <w:t>相关收益约</w:t>
      </w:r>
      <w:r>
        <w:rPr/>
        <w:t>8878</w:t>
      </w:r>
      <w:r>
        <w:rPr/>
        <w:t>万港元，公司定义的正常归母</w:t>
      </w:r>
      <w:r>
        <w:rPr/>
        <w:t>9.7276</w:t>
      </w:r>
      <w:r>
        <w:rPr/>
        <w:t>亿港元。本研究进一步剔除所有金融资产公允价值变动，以</w:t>
      </w:r>
      <w:r>
        <w:rPr/>
        <w:t>4000</w:t>
      </w:r>
      <w:r>
        <w:rPr/>
        <w:t>万港元经常性其他收入和核心</w:t>
      </w:r>
      <w:r>
        <w:rPr/>
        <w:t>17%</w:t>
      </w:r>
      <w:r>
        <w:rPr/>
        <w:t>研究税率重构，得到上半年研究正常归母约</w:t>
      </w:r>
      <w:r>
        <w:rPr/>
        <w:t>9.4804</w:t>
      </w:r>
      <w:r>
        <w:rPr/>
        <w:t>亿港元。这不表示原财报有错，而是估值关注的可持续盈利更窄。</w:t>
      </w:r>
      <w:r>
        <w:rPr/>
        <w:t>2025</w:t>
      </w:r>
      <w:r>
        <w:rPr/>
        <w:t>年也有原持股重估收益</w:t>
      </w:r>
      <w:r>
        <w:rPr/>
        <w:t>6093.8</w:t>
      </w:r>
      <w:r>
        <w:rPr/>
        <w:t>万港元、补助、增值税加计抵减及可转债利息等，不能将“剔</w:t>
      </w:r>
      <w:r>
        <w:rPr/>
        <w:t>Telix”</w:t>
      </w:r>
      <w:r>
        <w:rPr/>
        <w:t>直接等同于完全经常性现金利润。中报澳洲上市股票余额已归零，研究不再追加旧</w:t>
      </w:r>
      <w:r>
        <w:rPr/>
        <w:t>Telix</w:t>
      </w:r>
      <w:r>
        <w:rPr/>
        <w:t>股价目标或旧持股市值，出售资产带来的现金已进入六月现金起点。</w:t>
      </w:r>
    </w:p>
    <w:p>
      <w:pPr>
        <w:pStyle w:val="Heading2"/>
        <w:rPr/>
      </w:pPr>
      <w:r>
        <w:rPr>
          <w:color w:val="000000"/>
        </w:rPr>
        <w:t>集采与成熟药品</w:t>
      </w:r>
    </w:p>
    <w:p>
      <w:pPr>
        <w:pStyle w:val="Normal"/>
        <w:rPr/>
      </w:pPr>
      <w:r>
        <w:rPr/>
        <w:t>集采对远大的影响有两条路径。第一是成熟药品单价下降，销量增加未必足够抵消毛利损失；第二是公司把资源转向未满足需求及高壁垒产品，需要重新培训、准入、学术推广和激励，从而形成费用先行。</w:t>
      </w:r>
      <w:r>
        <w:rPr/>
        <w:t>2025</w:t>
      </w:r>
      <w:r>
        <w:rPr/>
        <w:t>年管理层称相关价格影响已被消化，但</w:t>
      </w:r>
      <w:r>
        <w:rPr/>
        <w:t>2026</w:t>
      </w:r>
      <w:r>
        <w:rPr/>
        <w:t>年上半年医药技术收入仍下降，表明投资者应把“阶段性”理解为管理层判断而不是已经验证的结束日期。部分产品可能在招标和渠道调整后恢复销量，另一些可能永久进入低价市场。两者对合理市盈率不同：前者可以考虑恢复，后者需要降低正常盈利基数。</w:t>
      </w:r>
    </w:p>
    <w:p>
      <w:pPr>
        <w:pStyle w:val="Normal"/>
        <w:rPr/>
      </w:pPr>
      <w:r>
        <w:rPr/>
        <w:t>远大拥有原料与制剂整合、医疗机构覆盖及多个急救产品的经营基础。这些优势使它具有维持供货、产品注册和成本管理的能力，却不能使它绕过医保总量约束与同质竞争。短缺药或急救药的需求比较刚性，采购方仍会要求合理价格和稳定质量。成熟药品的投资逻辑应以单位毛利、终端用量、供应可靠性和回款为核心，避免用“刚需”推出高增长。研究基准假设医药技术收入</w:t>
      </w:r>
      <w:r>
        <w:rPr/>
        <w:t>2027</w:t>
      </w:r>
      <w:r>
        <w:rPr/>
        <w:t>年</w:t>
      </w:r>
      <w:r>
        <w:rPr/>
        <w:t>74.5</w:t>
      </w:r>
      <w:r>
        <w:rPr/>
        <w:t>亿港元、</w:t>
      </w:r>
      <w:r>
        <w:rPr/>
        <w:t>2031</w:t>
      </w:r>
      <w:r>
        <w:rPr/>
        <w:t>年</w:t>
      </w:r>
      <w:r>
        <w:rPr/>
        <w:t>113</w:t>
      </w:r>
      <w:r>
        <w:rPr/>
        <w:t>亿元；增长需要新品贡献和传统产品止跌，不能仅由人口老龄化自动推出。悲观假设这一收入类别逐步降至</w:t>
      </w:r>
      <w:r>
        <w:rPr/>
        <w:t>59</w:t>
      </w:r>
      <w:r>
        <w:rPr/>
        <w:t>亿元附近，就是对持续降价与竞争的反证。</w:t>
      </w:r>
    </w:p>
    <w:p>
      <w:pPr>
        <w:pStyle w:val="Heading2"/>
        <w:rPr/>
      </w:pPr>
      <w:r>
        <w:rPr>
          <w:color w:val="000000"/>
        </w:rPr>
        <w:t>眼科产品组合与商业化</w:t>
      </w:r>
    </w:p>
    <w:p>
      <w:pPr>
        <w:pStyle w:val="Normal"/>
        <w:rPr/>
      </w:pPr>
      <w:r>
        <w:rPr/>
        <w:t>眼科是远大较值得观察的增量方向。</w:t>
      </w:r>
      <w:r>
        <w:rPr/>
        <w:t>TP-03</w:t>
      </w:r>
      <w:r>
        <w:rPr/>
        <w:t>即</w:t>
      </w:r>
      <w:r>
        <w:rPr/>
        <w:t>0.25%</w:t>
      </w:r>
      <w:r>
        <w:rPr/>
        <w:t>洛替拉纳滴眼液，</w:t>
      </w:r>
      <w:r>
        <w:rPr/>
        <w:t>2026</w:t>
      </w:r>
      <w:r>
        <w:rPr/>
        <w:t>年</w:t>
      </w:r>
      <w:r>
        <w:rPr/>
        <w:t>3</w:t>
      </w:r>
      <w:r>
        <w:rPr/>
        <w:t>月公告已获中国药品注册证，远大拥有大中华地区独家开发、生产和商业权。它针对蠕形螨睑缘炎的病因，临床需求与传统干眼症治疗并不完全相同。公告引用美国</w:t>
      </w:r>
      <w:r>
        <w:rPr/>
        <w:t>2025</w:t>
      </w:r>
      <w:r>
        <w:rPr/>
        <w:t>年销售约</w:t>
      </w:r>
      <w:r>
        <w:rPr/>
        <w:t>4.5</w:t>
      </w:r>
      <w:r>
        <w:rPr/>
        <w:t>亿美元，说明海外商业需求存在，但中国的收费水平、诊断习惯、处方渠道、复诊及支付结构不同。四千万患者等市场数字不能直接乘以美国年收入来估值；确诊比例、治疗意愿、医生教育、疗程和经销扣款都会显著降低可取得市场。</w:t>
      </w:r>
    </w:p>
    <w:p>
      <w:pPr>
        <w:pStyle w:val="Normal"/>
        <w:rPr/>
      </w:pPr>
      <w:r>
        <w:rPr/>
        <w:t>眼科组合还包括干眼鼻喷、术后抗炎、翼状胬肉和近视进展等研发产品。</w:t>
      </w:r>
      <w:r>
        <w:rPr/>
        <w:t>CBT-001</w:t>
      </w:r>
      <w:r>
        <w:rPr/>
        <w:t>国际多中心三期入组、</w:t>
      </w:r>
      <w:r>
        <w:rPr/>
        <w:t>GPN00833</w:t>
      </w:r>
      <w:r>
        <w:rPr/>
        <w:t>中国三期主要终点、</w:t>
      </w:r>
      <w:r>
        <w:rPr/>
        <w:t>GPN00884</w:t>
      </w:r>
      <w:r>
        <w:rPr/>
        <w:t>早期临床各处在不同证据阶段。本研究没有为每项未公开充分剂量、样本和对照结果的项目单独虚构成功率及净现值，而把商业化组合的合理增长放在医药技术收入情景中。已经获批的</w:t>
      </w:r>
      <w:r>
        <w:rPr/>
        <w:t>TP-03</w:t>
      </w:r>
      <w:r>
        <w:rPr/>
        <w:t>更适合重点跟踪真实处方和复购；仍在临床的项目适合跟踪主要终点、标签和获批条件。眼科收入上半年下降</w:t>
      </w:r>
      <w:r>
        <w:rPr/>
        <w:t>25.4%</w:t>
      </w:r>
      <w:r>
        <w:rPr/>
        <w:t>，新品即使优秀，也要先填补存量衰退，才能让集团产生净增量。</w:t>
      </w:r>
    </w:p>
    <w:p>
      <w:pPr>
        <w:pStyle w:val="Heading2"/>
        <w:rPr/>
      </w:pPr>
      <w:r>
        <w:rPr>
          <w:color w:val="000000"/>
        </w:rPr>
        <w:t>呼吸与重症研发</w:t>
      </w:r>
    </w:p>
    <w:p>
      <w:pPr>
        <w:pStyle w:val="Normal"/>
        <w:rPr/>
      </w:pPr>
      <w:r>
        <w:rPr/>
        <w:t>呼吸及危重症上半年收入约</w:t>
      </w:r>
      <w:r>
        <w:rPr/>
        <w:t>10.4173</w:t>
      </w:r>
      <w:r>
        <w:rPr/>
        <w:t>亿港元，同比近乎持平，在成熟药品下行中提供了一定缓冲。公司在复方鼻喷、过敏反应治疗及吸入产品等布局，部分业务依靠既有渠道可以较快推广，但急救使用也需要院内路径、设备适配和医生判断。产品获批不等于立刻成为临床首选，尤其在已有便宜疗法时，新增药必须证明便利性、疗效或依从性足以支持溢价。对这类业务，研究更重视新增产品净收入和销售费用的关系。若收入增长</w:t>
      </w:r>
      <w:r>
        <w:rPr/>
        <w:t>10%</w:t>
      </w:r>
      <w:r>
        <w:rPr/>
        <w:t>而推广支出增长</w:t>
      </w:r>
      <w:r>
        <w:rPr/>
        <w:t>40%</w:t>
      </w:r>
      <w:r>
        <w:rPr/>
        <w:t>，商业质量没有自动改善，不能用产品数量给经营评分重复加分。</w:t>
      </w:r>
    </w:p>
    <w:p>
      <w:pPr>
        <w:pStyle w:val="Normal"/>
        <w:rPr/>
      </w:pPr>
      <w:r>
        <w:rPr/>
        <w:t>STC3141</w:t>
      </w:r>
      <w:r>
        <w:rPr/>
        <w:t>面向脓毒症，属于需求大但研发难度高的方向。公司资料称中国二期达到预设终点并准备推进国际三期，这提供了继续开发的理由，尚不能视作全球三期成功或具有已确定峰值销售。脓毒症患者异质性、入组时间、器官损伤、合并治疗和死亡终点都可能影响试验。多个历史研发失败说明早期信号向大样本转化并不容易。研究的经营模型保留持续研发支出，不因项目成功概率较低就把失败世界的费用自动归零。推荐若未来依赖该项目，应等公开临床方案、患者群、主要终点、统计设计和监管沟通有足够证据后再提高估值，避免预先资本化全部潜在市场。</w:t>
      </w:r>
    </w:p>
    <w:p>
      <w:pPr>
        <w:pStyle w:val="Heading2"/>
        <w:rPr/>
      </w:pPr>
      <w:r>
        <w:rPr>
          <w:color w:val="000000"/>
        </w:rPr>
        <w:t>钇九十产品的实际竞争力</w:t>
      </w:r>
    </w:p>
    <w:p>
      <w:pPr>
        <w:pStyle w:val="Normal"/>
        <w:rPr/>
      </w:pPr>
      <w:r>
        <w:rPr/>
        <w:t>易甘泰钇九十微球是远大核药成长最具体的支点。中国获批适应症为标准治疗失败后的不可切除结直肠癌肝转移；美国</w:t>
      </w:r>
      <w:r>
        <w:rPr/>
        <w:t>Sirtex</w:t>
      </w:r>
      <w:r>
        <w:rPr/>
        <w:t>产品在</w:t>
      </w:r>
      <w:r>
        <w:rPr/>
        <w:t>2025</w:t>
      </w:r>
      <w:r>
        <w:rPr/>
        <w:t>年获不可切除肝细胞癌新适应症，</w:t>
      </w:r>
      <w:r>
        <w:rPr/>
        <w:t>2026</w:t>
      </w:r>
      <w:r>
        <w:rPr/>
        <w:t>年公告称相关临床达到终点。两地标签必须区分，不能因为美国获批就假设中国所有原发肝癌患者已经能按同样标签治疗。钇九十治疗通过介入将放射作用集中于肿瘤组织，适用于有明确解剖和血流条件的患者，需要剂量测算、介入技术、核医学协作及安全管理。这种流程提高了进入壁垒，同时也减慢广泛普及。</w:t>
      </w:r>
    </w:p>
    <w:p>
      <w:pPr>
        <w:pStyle w:val="Normal"/>
        <w:rPr/>
      </w:pPr>
      <w:r>
        <w:rPr/>
        <w:t>中报称超过</w:t>
      </w:r>
      <w:r>
        <w:rPr/>
        <w:t>110</w:t>
      </w:r>
      <w:r>
        <w:rPr/>
        <w:t>家医院完成核素转让手续，</w:t>
      </w:r>
      <w:r>
        <w:rPr/>
        <w:t>70</w:t>
      </w:r>
      <w:r>
        <w:rPr/>
        <w:t>多家医院在</w:t>
      </w:r>
      <w:r>
        <w:rPr/>
        <w:t>22</w:t>
      </w:r>
      <w:r>
        <w:rPr/>
        <w:t>个省市开展正式手术，并已建立医生和培训中心体系。医院资格、实际手术医院、培训医生、独立手术医生四种数量不能相加当成可销售的全部客户。投资者最有价值的后续数据是单院治疗量、患者筛选到治疗的转化、产品配送成功率、支付实现以及对照标准治疗的临床结果。</w:t>
      </w:r>
      <w:r>
        <w:rPr/>
        <w:t>110</w:t>
      </w:r>
      <w:r>
        <w:rPr/>
        <w:t>家准入医院如果平均使用量持续很低，收入不会按准入速度增长；少数中心形成示范后带动更多地区使用，则可能形成经营杠杆。本研究基准核药与介入合计收入</w:t>
      </w:r>
      <w:r>
        <w:rPr/>
        <w:t>2027</w:t>
      </w:r>
      <w:r>
        <w:rPr/>
        <w:t>年</w:t>
      </w:r>
      <w:r>
        <w:rPr/>
        <w:t>20.5</w:t>
      </w:r>
      <w:r>
        <w:rPr/>
        <w:t>亿、</w:t>
      </w:r>
      <w:r>
        <w:rPr/>
        <w:t>2031</w:t>
      </w:r>
      <w:r>
        <w:rPr/>
        <w:t>年</w:t>
      </w:r>
      <w:r>
        <w:rPr/>
        <w:t>50.5</w:t>
      </w:r>
      <w:r>
        <w:rPr/>
        <w:t>亿港元，建立在这一规模化路径上。</w:t>
      </w:r>
    </w:p>
    <w:p>
      <w:pPr>
        <w:pStyle w:val="Heading2"/>
        <w:rPr/>
      </w:pPr>
      <w:r>
        <w:rPr>
          <w:color w:val="000000"/>
        </w:rPr>
        <w:t>钇九十证据与支付约束</w:t>
      </w:r>
    </w:p>
    <w:p>
      <w:pPr>
        <w:pStyle w:val="Normal"/>
        <w:rPr/>
      </w:pPr>
      <w:r>
        <w:rPr/>
        <w:t>微球的临床价值不能只用影像缩小、病例成功或会议数量判断。美国注册结果、已批准标签和规范指南提供较强证据，国内真实世界研究对适用场景和操作经验有帮助，但非随机观察常受患者选择、联合治疗及中心能力影响。对于下期估值，应分别跟踪局部控制、总体生存、肝功能、严重不良事件及可与现有方案比较的患者群。研究不将全部肝癌视为同一治疗市场，也不把单个高负荷病例的好结果推广到所有患者。若新适应症扩大后不良事件上升或疗效相对竞争方案不足，收入增长和盈利倍数都应下修。</w:t>
      </w:r>
    </w:p>
    <w:p>
      <w:pPr>
        <w:pStyle w:val="Normal"/>
        <w:rPr/>
      </w:pPr>
      <w:r>
        <w:rPr/>
        <w:t>支付是核药销量的核心限制。部分惠民保险及专项保险覆盖提高了可及性，但报销范围、起付线、支付上限和地区差异决定患者实际负担。覆盖人口多不代表每名患者都能获得足够赔付；治疗费用还包括检查、住院、介入和随访。经济前景偏弱时，自费或高自付治疗可能推迟，医保预算也会更重视可比较的成本效果。对远大而言，应关注价格与销量能否同时稳定，以及支付扩展是否以显著降价为代价。若进入更多支付渠道使售价下降，销量增长需要超过单位毛利变化，才能支持模型的核药毛利率上升，而不是只看患者数。</w:t>
      </w:r>
    </w:p>
    <w:p>
      <w:pPr>
        <w:pStyle w:val="Heading2"/>
        <w:rPr/>
      </w:pPr>
      <w:r>
        <w:rPr>
          <w:color w:val="000000"/>
        </w:rPr>
        <w:t>PSMA</w:t>
      </w:r>
      <w:r>
        <w:rPr>
          <w:color w:val="000000"/>
        </w:rPr>
        <w:t>诊断与治疗组合</w:t>
      </w:r>
    </w:p>
    <w:p>
      <w:pPr>
        <w:pStyle w:val="Normal"/>
        <w:rPr/>
      </w:pPr>
      <w:r>
        <w:rPr/>
        <w:t>TLX591-CDx</w:t>
      </w:r>
      <w:r>
        <w:rPr/>
        <w:t>属于</w:t>
      </w:r>
      <w:r>
        <w:rPr/>
        <w:t>PSMA</w:t>
      </w:r>
      <w:r>
        <w:rPr/>
        <w:t>靶向诊断核药，中国三期在</w:t>
      </w:r>
      <w:r>
        <w:rPr/>
        <w:t>2025</w:t>
      </w:r>
      <w:r>
        <w:rPr/>
        <w:t>年底达到主要终点，</w:t>
      </w:r>
      <w:r>
        <w:rPr/>
        <w:t>2026</w:t>
      </w:r>
      <w:r>
        <w:rPr/>
        <w:t>年</w:t>
      </w:r>
      <w:r>
        <w:rPr/>
        <w:t>1</w:t>
      </w:r>
      <w:r>
        <w:rPr/>
        <w:t>月公布上市申请被受理，中报仍是申请受理状态。公告给出总体阳性预测值</w:t>
      </w:r>
      <w:r>
        <w:rPr/>
        <w:t>94.8%</w:t>
      </w:r>
      <w:r>
        <w:rPr/>
        <w:t>，置信区间</w:t>
      </w:r>
      <w:r>
        <w:rPr/>
        <w:t>85.9%</w:t>
      </w:r>
      <w:r>
        <w:rPr/>
        <w:t>至</w:t>
      </w:r>
      <w:r>
        <w:rPr/>
        <w:t>98.2%</w:t>
      </w:r>
      <w:r>
        <w:rPr/>
        <w:t>，并报道影像检查影响治疗决策的比例。这是有意义的诊断性能信号，但阳性预测值不是敏感性，也不是总体生存改善。它随入组患病率、验证方法和病灶位置变化，尤其骨病灶表现需要单独理解。年底催化剂可以是获批及供货准备，不能预先把申请受理当成注册完成，更不能在研究截止后倒填后续批准消息。</w:t>
      </w:r>
    </w:p>
    <w:p>
      <w:pPr>
        <w:pStyle w:val="Normal"/>
        <w:rPr/>
      </w:pPr>
      <w:r>
        <w:rPr/>
        <w:t>TLX591</w:t>
      </w:r>
      <w:r>
        <w:rPr/>
        <w:t>治疗产品与诊断剂共享</w:t>
      </w:r>
      <w:r>
        <w:rPr/>
        <w:t>PSMA</w:t>
      </w:r>
      <w:r>
        <w:rPr/>
        <w:t>概念，但开发、剂量、安全和临床证据各自独立。治疗采用放射性载荷，对骨髓、肾脏、唾液腺等影响需要评估，也要与已上市及正在开发的</w:t>
      </w:r>
      <w:r>
        <w:rPr/>
        <w:t>PSMA</w:t>
      </w:r>
      <w:r>
        <w:rPr/>
        <w:t>治疗竞争。诊断商业成功不自动保证治疗成功；患者筛选互补可能带来渠道协同，但不能把两个产品峰值销售简单乘以同一高概率。远大持有的是合作与地区开发商业权益，海外</w:t>
      </w:r>
      <w:r>
        <w:rPr/>
        <w:t>Telix</w:t>
      </w:r>
      <w:r>
        <w:rPr/>
        <w:t>收入不全归上市公司。本研究在乐观核药增长中允许多项产品接续，但不将</w:t>
      </w:r>
      <w:r>
        <w:rPr/>
        <w:t>Telix</w:t>
      </w:r>
      <w:r>
        <w:rPr/>
        <w:t>全球市值或海外治疗潜在销售额另外追加，避免把同一行业机会重复估值。</w:t>
      </w:r>
    </w:p>
    <w:p>
      <w:pPr>
        <w:pStyle w:val="Heading2"/>
        <w:rPr/>
      </w:pPr>
      <w:r>
        <w:rPr>
          <w:color w:val="000000"/>
        </w:rPr>
        <w:t>其他</w:t>
      </w:r>
      <w:r>
        <w:rPr>
          <w:color w:val="000000"/>
        </w:rPr>
        <w:t>RDC</w:t>
      </w:r>
      <w:r>
        <w:rPr>
          <w:color w:val="000000"/>
        </w:rPr>
        <w:t>研发的不同证据</w:t>
      </w:r>
    </w:p>
    <w:p>
      <w:pPr>
        <w:pStyle w:val="Normal"/>
        <w:rPr/>
      </w:pPr>
      <w:r>
        <w:rPr/>
        <w:t>TLX250-CDx</w:t>
      </w:r>
      <w:r>
        <w:rPr/>
        <w:t>用于肾癌诊断，海外三期结果和中国三期开发可以降低早期科学风险，但本土注册、生产与市场接受仍有独立不确定性。</w:t>
      </w:r>
      <w:r>
        <w:rPr/>
        <w:t>ITM-11</w:t>
      </w:r>
      <w:r>
        <w:rPr/>
        <w:t>针对</w:t>
      </w:r>
      <w:r>
        <w:rPr/>
        <w:t>SSTR</w:t>
      </w:r>
      <w:r>
        <w:rPr/>
        <w:t>阳性的胃肠胰神经内分泌肿瘤，海外研究和中国桥接、国际多中心项目涉及不同分级与人群，不能把一个试验的结果解释成所有疾病阶段都已确立。</w:t>
      </w:r>
      <w:r>
        <w:rPr/>
        <w:t>TLX101</w:t>
      </w:r>
      <w:r>
        <w:rPr/>
        <w:t>针对胶质母细胞瘤，较小研究的生存信号和更晚期研究设计值得观察，跨血脑屏障的理论优势也不能取代可靠对照结果。模型没有用一组统一临床成功率把这些项目机械相加，因为公开证据在样本、目标人群和权利范围上并不齐整。</w:t>
      </w:r>
    </w:p>
    <w:p>
      <w:pPr>
        <w:pStyle w:val="Normal"/>
        <w:rPr/>
      </w:pPr>
      <w:r>
        <w:rPr/>
        <w:t>自研</w:t>
      </w:r>
      <w:r>
        <w:rPr/>
        <w:t>GPN01530-2</w:t>
      </w:r>
      <w:r>
        <w:rPr/>
        <w:t>在美国获一期或二期临床许可和快速通道资格，说明监管愿意支持开发，仍不是批准上市或确认疗效优于标准诊断。</w:t>
      </w:r>
      <w:r>
        <w:rPr/>
        <w:t>FAP</w:t>
      </w:r>
      <w:r>
        <w:rPr/>
        <w:t>广泛表达带来跨癌种机会，也可能带来正常组织摄取、炎症背景和假阳性问题。</w:t>
      </w:r>
      <w:r>
        <w:rPr/>
        <w:t>GPN02006</w:t>
      </w:r>
      <w:r>
        <w:rPr/>
        <w:t>靶向</w:t>
      </w:r>
      <w:r>
        <w:rPr/>
        <w:t>GPC-3</w:t>
      </w:r>
      <w:r>
        <w:rPr/>
        <w:t>，现阶段以研究者发起试验与早期数据为主，正式注册路径还需推进。两者若能把中国平台优势转换为海外注册和稳定供应，会使远大更接近真正拥有独立创新核药能力的企业；如果只是早期成像展示而无法形成高质量临床验证，长期估值应主要依靠已经商业化产品，而不再为平台叙事支付过高溢价。</w:t>
      </w:r>
    </w:p>
    <w:p>
      <w:pPr>
        <w:pStyle w:val="Heading2"/>
        <w:rPr/>
      </w:pPr>
      <w:r>
        <w:rPr>
          <w:color w:val="000000"/>
        </w:rPr>
        <w:t>核素供应链与成都基地</w:t>
      </w:r>
    </w:p>
    <w:p>
      <w:pPr>
        <w:pStyle w:val="Normal"/>
        <w:rPr/>
      </w:pPr>
      <w:r>
        <w:rPr/>
        <w:t>成都放射性药物基地于</w:t>
      </w:r>
      <w:r>
        <w:rPr/>
        <w:t>2025</w:t>
      </w:r>
      <w:r>
        <w:rPr/>
        <w:t>年完成验收、取得辐射安全许可并开始运营，管理层强调十四条生产线和从核素、研发、制造到临床的整合。许可、厂房和设备建设属于必要能力，但不是对未来产能利用率、质量或低成本的保证。放射性药品短半衰期使排产、运输、医院预约和患者准备密切相连；一个环节延误就可能形成报废或治疗中断。不同核素所需的供应、设备、屏蔽与放化纯度控制也不同，不能把所有产线当成可互换产能。应核验具体产品批次放行、供应覆盖距离及真实订单，而不是用生产线数量直接推断收入。</w:t>
      </w:r>
    </w:p>
    <w:p>
      <w:pPr>
        <w:pStyle w:val="Normal"/>
        <w:rPr/>
      </w:pPr>
      <w:r>
        <w:rPr/>
        <w:t>这套供应链可以形成竞争优势，因为新进入者要同时建立生产许可、质控和临床网络。优势也有成本：建设、维护、合规、安全培训及事故责任都不随销量下降同比减少。集团半年已签未提供的固定资产承诺约</w:t>
      </w:r>
      <w:r>
        <w:rPr/>
        <w:t>13.94969</w:t>
      </w:r>
      <w:r>
        <w:rPr/>
        <w:t>亿港元，需要与未来现金支出和资金来源一起观察。本研究分年列资本预算，未把全部承诺当成年底立即支付，也没有把厂房账面价值再加到</w:t>
      </w:r>
      <w:r>
        <w:rPr/>
        <w:t>PE</w:t>
      </w:r>
      <w:r>
        <w:rPr/>
        <w:t>目标价。若业务放量慢而设施继续扩建，固定成本和折旧可能压低利润、拉长回收期；若新产品共用平台并提高利用率，经营杠杆才会成为真实收益来源。</w:t>
      </w:r>
    </w:p>
    <w:p>
      <w:pPr>
        <w:pStyle w:val="Heading2"/>
        <w:rPr/>
      </w:pPr>
      <w:r>
        <w:rPr>
          <w:color w:val="000000"/>
        </w:rPr>
        <w:t>介入器械与商业权</w:t>
      </w:r>
    </w:p>
    <w:p>
      <w:pPr>
        <w:pStyle w:val="Normal"/>
        <w:rPr/>
      </w:pPr>
      <w:r>
        <w:rPr/>
        <w:t>远大的脑心血管介入产品涉及通路、成像、瓣膜和心衰等，已有多个获批产品，但上半年相关收入仅约</w:t>
      </w:r>
      <w:r>
        <w:rPr/>
        <w:t>8989</w:t>
      </w:r>
      <w:r>
        <w:rPr/>
        <w:t>万港元，与核药相比仍小。器械的增长通常受术者培训、耗材招标、院内预算和竞争产品迭代影响。液体栓塞剂</w:t>
      </w:r>
      <w:r>
        <w:rPr/>
        <w:t>Lava</w:t>
      </w:r>
      <w:r>
        <w:rPr/>
        <w:t>、温敏栓塞材料</w:t>
      </w:r>
      <w:r>
        <w:rPr/>
        <w:t>GPN00289</w:t>
      </w:r>
      <w:r>
        <w:rPr/>
        <w:t>、其他介入及消融项目的用途并不一样，有的面向外周出血，有的面向肿瘤，有的面向脑血管。把所有器械合成一个高成长倍数会掩盖临床使用差异。研究更愿意把它们视为多项经营选择，只有具备稳定销量、渠道准入和毛利贡献的产品才能逐步提高商业质量评分。</w:t>
      </w:r>
    </w:p>
    <w:p>
      <w:pPr>
        <w:pStyle w:val="Normal"/>
        <w:rPr/>
      </w:pPr>
      <w:r>
        <w:rPr/>
        <w:t>2026</w:t>
      </w:r>
      <w:r>
        <w:rPr/>
        <w:t>年中报提及与西门子医疗在中国的成像导管商业合作及</w:t>
      </w:r>
      <w:r>
        <w:rPr/>
        <w:t>NeoBlazar</w:t>
      </w:r>
      <w:r>
        <w:rPr/>
        <w:t>获批，渠道协同值得观察。独家商业权有可能迅速增加产品范围，也意味着远大未必拥有全部制造利润和知识产权，产品采购成本、销售提成、许可费和最低采购义务都会影响净收益。本研究把这些新增品类纳入合并核药与介入收入增长，未虚构合同中的单位净利润。长期价值取决于公司能否以同一专业销售网络销售互补产品，同时保持临床使用质量；如果合作频繁增加预付费和营销负担，而收入仍低，管线广度会成为资本消耗而非护城河。</w:t>
      </w:r>
    </w:p>
    <w:p>
      <w:pPr>
        <w:pStyle w:val="Heading2"/>
        <w:rPr/>
      </w:pPr>
      <w:r>
        <w:rPr>
          <w:color w:val="000000"/>
        </w:rPr>
        <w:t>氨基酸与牛磺酸周期</w:t>
      </w:r>
    </w:p>
    <w:p>
      <w:pPr>
        <w:pStyle w:val="Normal"/>
        <w:rPr/>
      </w:pPr>
      <w:r>
        <w:rPr/>
        <w:t>上半年生物技术业务增长</w:t>
      </w:r>
      <w:r>
        <w:rPr/>
        <w:t>34.2%</w:t>
      </w:r>
      <w:r>
        <w:rPr/>
        <w:t>，其中氨基酸含牛磺酸收入</w:t>
      </w:r>
      <w:r>
        <w:rPr/>
        <w:t>18.7028</w:t>
      </w:r>
      <w:r>
        <w:rPr/>
        <w:t>亿港元，同比增长</w:t>
      </w:r>
      <w:r>
        <w:rPr/>
        <w:t>30.9%</w:t>
      </w:r>
      <w:r>
        <w:rPr/>
        <w:t>。管理层明确提及核心产品价格提高和下游需求扩大，因此这一增长不是单纯的稳定数量增长。产品用于营养、饲料、食品等场景，需求与消费、动物营养和产业库存周期有关，供给又受产能、环保、原料成本和同行价格竞争影响。当价格在供需改善阶段上涨，利润可能快速恢复；新产能和下游补库结束后，价格也可能回落。核药快速增长若同时伴随氨基酸景气，则集团报表显得非常强，但两种增长持续性的证据并不相同。</w:t>
      </w:r>
    </w:p>
    <w:p>
      <w:pPr>
        <w:pStyle w:val="Normal"/>
        <w:rPr/>
      </w:pPr>
      <w:r>
        <w:rPr/>
        <w:t>研究基准给生物技术收入较温和的长期增长，</w:t>
      </w:r>
      <w:r>
        <w:rPr/>
        <w:t>2027</w:t>
      </w:r>
      <w:r>
        <w:rPr/>
        <w:t>年</w:t>
      </w:r>
      <w:r>
        <w:rPr/>
        <w:t>47.5</w:t>
      </w:r>
      <w:r>
        <w:rPr/>
        <w:t>亿、</w:t>
      </w:r>
      <w:r>
        <w:rPr/>
        <w:t>2031</w:t>
      </w:r>
      <w:r>
        <w:rPr/>
        <w:t>年</w:t>
      </w:r>
      <w:r>
        <w:rPr/>
        <w:t>57</w:t>
      </w:r>
      <w:r>
        <w:rPr/>
        <w:t>亿港元，并将毛利率从</w:t>
      </w:r>
      <w:r>
        <w:rPr/>
        <w:t>2026</w:t>
      </w:r>
      <w:r>
        <w:rPr/>
        <w:t>下半年的</w:t>
      </w:r>
      <w:r>
        <w:rPr/>
        <w:t>36%</w:t>
      </w:r>
      <w:r>
        <w:rPr/>
        <w:t>回到正常</w:t>
      </w:r>
      <w:r>
        <w:rPr/>
        <w:t>35%</w:t>
      </w:r>
      <w:r>
        <w:rPr/>
        <w:t>左右再略降。这个假设没有把上半年</w:t>
      </w:r>
      <w:r>
        <w:rPr/>
        <w:t>30%</w:t>
      </w:r>
      <w:r>
        <w:rPr/>
        <w:t>以上增速持续五年，也没有使用涨价高点的利润作为永久正常值。悲观收入约</w:t>
      </w:r>
      <w:r>
        <w:rPr/>
        <w:t>41</w:t>
      </w:r>
      <w:r>
        <w:rPr/>
        <w:t>亿元、毛利</w:t>
      </w:r>
      <w:r>
        <w:rPr/>
        <w:t>31%</w:t>
      </w:r>
      <w:r>
        <w:rPr/>
        <w:t>左右，反映价格周期和供给竞争；乐观则允许需求与规模优势带来较好增长，但仍低于核药和部分新品的扩张速度。若后续年报显示盈利主要集中于氨基酸价格而医药技术继续衰退，应降低合理</w:t>
      </w:r>
      <w:r>
        <w:rPr/>
        <w:t>PE</w:t>
      </w:r>
      <w:r>
        <w:rPr/>
        <w:t>，因为周期利润通常不应获得稳定创新药现金流同等的长期倍数。</w:t>
      </w:r>
    </w:p>
    <w:p>
      <w:pPr>
        <w:pStyle w:val="Heading2"/>
        <w:rPr/>
      </w:pPr>
      <w:r>
        <w:rPr>
          <w:color w:val="000000"/>
        </w:rPr>
        <w:t>收入确认与应收回款</w:t>
      </w:r>
    </w:p>
    <w:p>
      <w:pPr>
        <w:pStyle w:val="Normal"/>
        <w:rPr/>
      </w:pPr>
      <w:r>
        <w:rPr/>
        <w:t>财报说明集团收入在产品交付、客户接受或控制权转移时确认，销售合同多为一年以内。会计上的收入确认可以早于现金回款，这是药品渠道经营的常见特点，但不能据此忽视坏账和压货。六月贸易及其他应收</w:t>
      </w:r>
      <w:r>
        <w:rPr/>
        <w:t>53.97239</w:t>
      </w:r>
      <w:r>
        <w:rPr/>
        <w:t>亿港元，较年底增加</w:t>
      </w:r>
      <w:r>
        <w:rPr/>
        <w:t>6.64649</w:t>
      </w:r>
      <w:r>
        <w:rPr/>
        <w:t>亿港元，贸易及票据应收增加约</w:t>
      </w:r>
      <w:r>
        <w:rPr/>
        <w:t>8.9852</w:t>
      </w:r>
      <w:r>
        <w:rPr/>
        <w:t>亿港元。这个规模相对半年销售很大，包含不同性质款项，不能全部当成未收销售，但足以说明资金效率是重要问题。管理层解释年底催收较多，研究允许季节性回收，却要求用下一次资产负债表和现金流验证，不能仅凭惯例假设应收全额及时收回。</w:t>
      </w:r>
    </w:p>
    <w:p>
      <w:pPr>
        <w:pStyle w:val="Normal"/>
        <w:rPr/>
      </w:pPr>
      <w:r>
        <w:rPr/>
        <w:t>经营现金流上半年</w:t>
      </w:r>
      <w:r>
        <w:rPr/>
        <w:t>1.4207</w:t>
      </w:r>
      <w:r>
        <w:rPr/>
        <w:t>亿港元，只有归母盈利的一小部分，也低于固定资产、无形资产及其他项目现金支出合计。</w:t>
      </w:r>
      <w:r>
        <w:rPr/>
        <w:t>2025</w:t>
      </w:r>
      <w:r>
        <w:rPr/>
        <w:t>年经营现金流</w:t>
      </w:r>
      <w:r>
        <w:rPr/>
        <w:t>16.49523</w:t>
      </w:r>
      <w:r>
        <w:rPr/>
        <w:t>亿港元，显示全年现金转换可以明显好于中期，但并不自动保证</w:t>
      </w:r>
      <w:r>
        <w:rPr/>
        <w:t>2026</w:t>
      </w:r>
      <w:r>
        <w:rPr/>
        <w:t>会复制。模型基准下半年净营运资金释放</w:t>
      </w:r>
      <w:r>
        <w:rPr/>
        <w:t>3.5</w:t>
      </w:r>
      <w:r>
        <w:rPr/>
        <w:t>亿港元，悲观则继续占用</w:t>
      </w:r>
      <w:r>
        <w:rPr/>
        <w:t>4</w:t>
      </w:r>
      <w:r>
        <w:rPr/>
        <w:t>亿港元，差额会显著改变年底现金和融资。以后应重点看贸易应收账龄、票据质量、经销商退货与折扣、货物最终消化以及欠款集中情况。若通过延长信用条件维持收入增长，其利润质量比同样收入由现金销售带来的质量更低，经营与财务评分必须一起下降。</w:t>
      </w:r>
    </w:p>
    <w:p>
      <w:pPr>
        <w:pStyle w:val="Heading2"/>
        <w:rPr/>
      </w:pPr>
      <w:r>
        <w:rPr>
          <w:color w:val="000000"/>
        </w:rPr>
        <w:t>费用效率与利润率</w:t>
      </w:r>
    </w:p>
    <w:p>
      <w:pPr>
        <w:pStyle w:val="Normal"/>
        <w:rPr/>
      </w:pPr>
      <w:r>
        <w:rPr/>
        <w:t>2026</w:t>
      </w:r>
      <w:r>
        <w:rPr/>
        <w:t>年上半年毛利</w:t>
      </w:r>
      <w:r>
        <w:rPr/>
        <w:t>33.67673</w:t>
      </w:r>
      <w:r>
        <w:rPr/>
        <w:t>亿港元，低于重列去年同期</w:t>
      </w:r>
      <w:r>
        <w:rPr/>
        <w:t>36.53039</w:t>
      </w:r>
      <w:r>
        <w:rPr/>
        <w:t>亿港元；销售费用降至</w:t>
      </w:r>
      <w:r>
        <w:rPr/>
        <w:t>15.82343</w:t>
      </w:r>
      <w:r>
        <w:rPr/>
        <w:t>亿港元，减少</w:t>
      </w:r>
      <w:r>
        <w:rPr/>
        <w:t>3.371</w:t>
      </w:r>
      <w:r>
        <w:rPr/>
        <w:t>亿元，行政费用也减少。利润因此受到成本管理缓冲，但毛利下降说明产品组合或价格压力仍明显。削减销售费用可能来自真正精简组织，也可能使新品扩张和终端覆盖受限。应观察费用占比下降后的收入和复购，而不是把当期节省按五年永久外推。模型基准销售费用率约</w:t>
      </w:r>
      <w:r>
        <w:rPr/>
        <w:t>26%</w:t>
      </w:r>
      <w:r>
        <w:rPr/>
        <w:t>逐步降至</w:t>
      </w:r>
      <w:r>
        <w:rPr/>
        <w:t>25%</w:t>
      </w:r>
      <w:r>
        <w:rPr/>
        <w:t>，乐观继续改善，悲观则维持</w:t>
      </w:r>
      <w:r>
        <w:rPr/>
        <w:t>27%</w:t>
      </w:r>
      <w:r>
        <w:rPr/>
        <w:t>以上，这些不同路径是对成熟药转型效率的估计，未当成管理层承诺。</w:t>
      </w:r>
    </w:p>
    <w:p>
      <w:pPr>
        <w:pStyle w:val="Normal"/>
        <w:rPr/>
      </w:pPr>
      <w:r>
        <w:rPr/>
        <w:t>研发在财报行政费用及成本体系里有体现，</w:t>
      </w:r>
      <w:r>
        <w:rPr/>
        <w:t>2026</w:t>
      </w:r>
      <w:r>
        <w:rPr/>
        <w:t>上半年费用</w:t>
      </w:r>
      <w:r>
        <w:rPr/>
        <w:t>2.63179</w:t>
      </w:r>
      <w:r>
        <w:rPr/>
        <w:t>亿港元，研发及各类项目投资广义合计约</w:t>
      </w:r>
      <w:r>
        <w:rPr/>
        <w:t>7.64</w:t>
      </w:r>
      <w:r>
        <w:rPr/>
        <w:t>亿港元。广义投入包含资本化、预付款和其他投资，不能把</w:t>
      </w:r>
      <w:r>
        <w:rPr/>
        <w:t>7.64</w:t>
      </w:r>
      <w:r>
        <w:rPr/>
        <w:t>亿再加到报表研发成本上全部扣一次。模型把未来费用化研发与其他行政费用分开，毛利保留制造折旧，行政费用保留对应管理折旧；折旧摊销只在现金桥加回，不再从利润重复扣。授权首付款、后续里程碑、无形资产摊销和资本化研发需要分别处理。一个项目没有立即通过利润表，不表示股东没有付钱；利润率高而许可付款持续增加时，现金回报仍可能偏弱。</w:t>
      </w:r>
    </w:p>
    <w:p>
      <w:pPr>
        <w:pStyle w:val="Heading2"/>
        <w:rPr/>
      </w:pPr>
      <w:r>
        <w:rPr>
          <w:color w:val="000000"/>
        </w:rPr>
        <w:t>联营权益及普通股收益</w:t>
      </w:r>
    </w:p>
    <w:p>
      <w:pPr>
        <w:pStyle w:val="Normal"/>
        <w:rPr/>
      </w:pPr>
      <w:r>
        <w:rPr/>
        <w:t>Grand Pharma Sphere</w:t>
      </w:r>
      <w:r>
        <w:rPr/>
        <w:t>有效权益</w:t>
      </w:r>
      <w:r>
        <w:rPr/>
        <w:t>57.98%</w:t>
      </w:r>
      <w:r>
        <w:rPr/>
        <w:t>，旭东海普</w:t>
      </w:r>
      <w:r>
        <w:rPr/>
        <w:t>55%</w:t>
      </w:r>
      <w:r>
        <w:rPr/>
        <w:t>，财报仍按联营企业而非完全并表处理。持股超过一半并不一定意味着控制关键经营与财务决策，旭东海普董事会表决要求就是这种区别的例子。</w:t>
      </w:r>
      <w:r>
        <w:rPr/>
        <w:t>2025</w:t>
      </w:r>
      <w:r>
        <w:rPr/>
        <w:t>年</w:t>
      </w:r>
      <w:r>
        <w:rPr/>
        <w:t>Sphere</w:t>
      </w:r>
      <w:r>
        <w:rPr/>
        <w:t>收入</w:t>
      </w:r>
      <w:r>
        <w:rPr/>
        <w:t>18.59063</w:t>
      </w:r>
      <w:r>
        <w:rPr/>
        <w:t>亿港元，远大分享利润</w:t>
      </w:r>
      <w:r>
        <w:rPr/>
        <w:t>3718.5</w:t>
      </w:r>
      <w:r>
        <w:rPr/>
        <w:t>万港元；上半年分享约</w:t>
      </w:r>
      <w:r>
        <w:rPr/>
        <w:t>4048</w:t>
      </w:r>
      <w:r>
        <w:rPr/>
        <w:t>万港元。不能因看到全球</w:t>
      </w:r>
      <w:r>
        <w:rPr/>
        <w:t>Sirtex</w:t>
      </w:r>
      <w:r>
        <w:rPr/>
        <w:t>业务与远大核药收入就把两份销售相加后乘高利润率，也不能给集团利润</w:t>
      </w:r>
      <w:r>
        <w:rPr/>
        <w:t>PE</w:t>
      </w:r>
      <w:r>
        <w:rPr/>
        <w:t>后再加</w:t>
      </w:r>
      <w:r>
        <w:rPr/>
        <w:t>Sphere</w:t>
      </w:r>
      <w:r>
        <w:rPr/>
        <w:t>全部资产。正确的边界是合并业务经营利润加上市公司所占联营税后正常利润，或者整体做分部股权估值但同时剔除对应利润，二者不能叠加。</w:t>
      </w:r>
    </w:p>
    <w:p>
      <w:pPr>
        <w:pStyle w:val="Normal"/>
        <w:rPr/>
      </w:pPr>
      <w:r>
        <w:rPr/>
        <w:t>本研究选择正常集团</w:t>
      </w:r>
      <w:r>
        <w:rPr/>
        <w:t>PE</w:t>
      </w:r>
      <w:r>
        <w:rPr/>
        <w:t>路线，将合理联营收益加入归母盈利，现金桥则只计预计分红。旭东海普</w:t>
      </w:r>
      <w:r>
        <w:rPr/>
        <w:t>2025</w:t>
      </w:r>
      <w:r>
        <w:rPr/>
        <w:t>年分享利润</w:t>
      </w:r>
      <w:r>
        <w:rPr/>
        <w:t>6609.5</w:t>
      </w:r>
      <w:r>
        <w:rPr/>
        <w:t>万港元，但当年没有收到分红；持股价值和可立即支配现金不是同一件事。</w:t>
      </w:r>
      <w:r>
        <w:rPr/>
        <w:t>Sphere</w:t>
      </w:r>
      <w:r>
        <w:rPr/>
        <w:t>等账面投资占集团资产较大，业务和融资结构也较复杂。若联营利润增长却长期不分配，上市公司仍可能需要借款承担本身的项目投资，这会压低现金质量和合理</w:t>
      </w:r>
      <w:r>
        <w:rPr/>
        <w:t>PE</w:t>
      </w:r>
      <w:r>
        <w:rPr/>
        <w:t>。本章不把</w:t>
      </w:r>
      <w:r>
        <w:rPr/>
        <w:t>79.16349</w:t>
      </w:r>
      <w:r>
        <w:rPr/>
        <w:t>亿港元联营账面价值当成目标价下限，也不把合并报表少数股东权益替代这些联营内部所有其他股东的权益。普通股持有者的收益必须经过真实权利与资金流才能到达。</w:t>
      </w:r>
    </w:p>
    <w:p>
      <w:pPr>
        <w:pStyle w:val="Heading2"/>
        <w:rPr/>
      </w:pPr>
      <w:r>
        <w:rPr>
          <w:color w:val="000000"/>
        </w:rPr>
        <w:t>可转换贷款的资金含义</w:t>
      </w:r>
    </w:p>
    <w:p>
      <w:pPr>
        <w:pStyle w:val="Normal"/>
        <w:rPr/>
      </w:pPr>
      <w:r>
        <w:rPr/>
        <w:t>集团持有对</w:t>
      </w:r>
      <w:r>
        <w:rPr/>
        <w:t>Sphere</w:t>
      </w:r>
      <w:r>
        <w:rPr/>
        <w:t>的可转换贷款，六月账面</w:t>
      </w:r>
      <w:r>
        <w:rPr/>
        <w:t>4.24386</w:t>
      </w:r>
      <w:r>
        <w:rPr/>
        <w:t>亿港元，最初本金</w:t>
      </w:r>
      <w:r>
        <w:rPr/>
        <w:t>4834</w:t>
      </w:r>
      <w:r>
        <w:rPr/>
        <w:t>万美元，约</w:t>
      </w:r>
      <w:r>
        <w:rPr/>
        <w:t>7.4%</w:t>
      </w:r>
      <w:r>
        <w:rPr/>
        <w:t>年息，</w:t>
      </w:r>
      <w:r>
        <w:rPr/>
        <w:t>2025</w:t>
      </w:r>
      <w:r>
        <w:rPr/>
        <w:t>年曾延期至</w:t>
      </w:r>
      <w:r>
        <w:rPr/>
        <w:t>2026</w:t>
      </w:r>
      <w:r>
        <w:rPr/>
        <w:t>年</w:t>
      </w:r>
      <w:r>
        <w:rPr/>
        <w:t>6</w:t>
      </w:r>
      <w:r>
        <w:rPr/>
        <w:t>月。中报所列条款没有提供本研究可以确认的截止日后现金清偿结果，因此不能把账面列流动资产解释为已现金收回。可能的结果包括再次延期、按条件转股、现金清偿或发生减值，每一种对股份权益和现金均不同。本研究默认贷款继续计息，悲观较晚分次回收、基准自</w:t>
      </w:r>
      <w:r>
        <w:rPr/>
        <w:t>2028</w:t>
      </w:r>
      <w:r>
        <w:rPr/>
        <w:t>年回收、乐观更早回收；这些时间是研究情景，不能当成已签偿付安排。后续必须核验具体公告及财报更新。</w:t>
      </w:r>
    </w:p>
    <w:p>
      <w:pPr>
        <w:pStyle w:val="Normal"/>
        <w:rPr/>
      </w:pPr>
      <w:r>
        <w:rPr/>
        <w:t>贷款利息会提高会计正常盈利，但未收到时只是贷款余额累积。资金桥先计入利息、再从经营现金中剔除非现金贷款利息，只有实际情景回收本金及累计利息时才增加现金，并同步降低贷款余额。这样不会同时保留旧资产和收到全额回款。模型也没有另外在</w:t>
      </w:r>
      <w:r>
        <w:rPr/>
        <w:t>PE</w:t>
      </w:r>
      <w:r>
        <w:rPr/>
        <w:t>股价上增加贷款</w:t>
      </w:r>
      <w:r>
        <w:rPr/>
        <w:t>NAV</w:t>
      </w:r>
      <w:r>
        <w:rPr/>
        <w:t>，因为利息已经作为集团正常盈利的组成部分，现金回收后的利息配置再经资金桥反映。若未来转股，应将贷款资产和利息假设替换成新联营权益，不能简单再加新股权价值。这一边界对远大尤为重要，因为海外核药业务同时涉及股权、贷款和商业权，投资者容易重复计算。</w:t>
      </w:r>
    </w:p>
    <w:p>
      <w:pPr>
        <w:pStyle w:val="Heading2"/>
        <w:rPr/>
      </w:pPr>
      <w:r>
        <w:rPr>
          <w:color w:val="000000"/>
        </w:rPr>
        <w:t>债务与流动性</w:t>
      </w:r>
    </w:p>
    <w:p>
      <w:pPr>
        <w:pStyle w:val="Normal"/>
        <w:rPr/>
      </w:pPr>
      <w:r>
        <w:rPr/>
        <w:t>六月现金</w:t>
      </w:r>
      <w:r>
        <w:rPr/>
        <w:t>6.23081</w:t>
      </w:r>
      <w:r>
        <w:rPr/>
        <w:t>亿港元，质押存款</w:t>
      </w:r>
      <w:r>
        <w:rPr/>
        <w:t>4363.2</w:t>
      </w:r>
      <w:r>
        <w:rPr/>
        <w:t>万港元另列，银行及其他借款</w:t>
      </w:r>
      <w:r>
        <w:rPr/>
        <w:t>49.97365</w:t>
      </w:r>
      <w:r>
        <w:rPr/>
        <w:t>亿港元，其中流动</w:t>
      </w:r>
      <w:r>
        <w:rPr/>
        <w:t>16.66244</w:t>
      </w:r>
      <w:r>
        <w:rPr/>
        <w:t>亿港元、非流动</w:t>
      </w:r>
      <w:r>
        <w:rPr/>
        <w:t>33.31121</w:t>
      </w:r>
      <w:r>
        <w:rPr/>
        <w:t>亿港元。现金低于到期债务并不等于立即失去持续经营能力，公司还可以经营回款及滚动融资，但也不能被高账面净资产掩盖。期限替换使流动负债结构改善，融资成本下降对盈利有帮助；如果回款不恢复、资本项目持续支出，偿债仍会依赖银行续借。研究没有把未确定的全部授信额度当成可用现金，也没有把受限存款当作随时分红的钱。最低现金</w:t>
      </w:r>
      <w:r>
        <w:rPr/>
        <w:t>5</w:t>
      </w:r>
      <w:r>
        <w:rPr/>
        <w:t>亿港元是研究管理目标，不是债权人已确认的安全门槛。</w:t>
      </w:r>
    </w:p>
    <w:p>
      <w:pPr>
        <w:pStyle w:val="Normal"/>
        <w:rPr/>
      </w:pPr>
      <w:r>
        <w:rPr/>
        <w:t>2026</w:t>
      </w:r>
      <w:r>
        <w:rPr/>
        <w:t>年</w:t>
      </w:r>
      <w:r>
        <w:rPr/>
        <w:t>3</w:t>
      </w:r>
      <w:r>
        <w:rPr/>
        <w:t>月披露</w:t>
      </w:r>
      <w:r>
        <w:rPr/>
        <w:t>8</w:t>
      </w:r>
      <w:r>
        <w:rPr/>
        <w:t>亿港元、三十六个月贷款，包含控股人联合持有至少</w:t>
      </w:r>
      <w:r>
        <w:rPr/>
        <w:t>45%</w:t>
      </w:r>
      <w:r>
        <w:rPr/>
        <w:t>以及不出现其他相同或更高控制集团等条件。控股结构变化可能触发银行取消承诺和立即偿还要求。这个条款将治理与融资风险连在一起，不能只通过预测经营现金消除。模型使用情景银行利率和借款余额，先按预算还款，再在资金低于底线时补债，超过研究借款上限才低价股权融资；融资能力不代表承诺。悲观情况下，如果资本支出或回款进一步恶化，融资分支会增股摊薄</w:t>
      </w:r>
      <w:r>
        <w:rPr/>
        <w:t>EPS</w:t>
      </w:r>
      <w:r>
        <w:rPr/>
        <w:t>。研究同时展示这一路径，而不是允许现金变负后仍按原股数给出长期高价。</w:t>
      </w:r>
    </w:p>
    <w:p>
      <w:pPr>
        <w:pStyle w:val="Heading2"/>
        <w:rPr/>
      </w:pPr>
      <w:r>
        <w:rPr>
          <w:color w:val="000000"/>
        </w:rPr>
        <w:t>股数与奖励计划</w:t>
      </w:r>
    </w:p>
    <w:p>
      <w:pPr>
        <w:pStyle w:val="Normal"/>
        <w:rPr/>
      </w:pPr>
      <w:r>
        <w:rPr/>
        <w:t>九月月报法律发行股</w:t>
      </w:r>
      <w:r>
        <w:rPr/>
        <w:t>35.49571148</w:t>
      </w:r>
      <w:r>
        <w:rPr/>
        <w:t>亿股，监管库存股为零；中报及年报的信托持有</w:t>
      </w:r>
      <w:r>
        <w:rPr/>
        <w:t>4776.15</w:t>
      </w:r>
      <w:r>
        <w:rPr/>
        <w:t>万股用于奖励，财务报表作为库存股份储备及每股收益扣项。会计</w:t>
      </w:r>
      <w:r>
        <w:rPr/>
        <w:t>EPS</w:t>
      </w:r>
      <w:r>
        <w:rPr/>
        <w:t>加权分母约</w:t>
      </w:r>
      <w:r>
        <w:rPr/>
        <w:t>35.0181</w:t>
      </w:r>
      <w:r>
        <w:rPr/>
        <w:t>亿股，比法律总股数低</w:t>
      </w:r>
      <w:r>
        <w:rPr/>
        <w:t>1.35%</w:t>
      </w:r>
      <w:r>
        <w:rPr/>
        <w:t>左右。这个差别不是另一批将来必定新增的股份。中報称截至六月未授予奖励，信托股票已经购入，不能把它们再视为新发行。研究按全部法律股估值较保守，避免尚未授予股权使未来</w:t>
      </w:r>
      <w:r>
        <w:rPr/>
        <w:t>EPS</w:t>
      </w:r>
      <w:r>
        <w:rPr/>
        <w:t>虚增；股息现金预算为对外支付，分母扣信托。月报监管用语与会计用语不同，正文和模型明确保存两者，不能混作同一库存股字段。</w:t>
      </w:r>
    </w:p>
    <w:p>
      <w:pPr>
        <w:pStyle w:val="Normal"/>
        <w:rPr/>
      </w:pPr>
      <w:r>
        <w:rPr/>
        <w:t>未来股份支付费用从</w:t>
      </w:r>
      <w:r>
        <w:rPr/>
        <w:t>2027</w:t>
      </w:r>
      <w:r>
        <w:rPr/>
        <w:t>年设小额研究预算，利润扣除、现金加回；现有信托可以承接奖励，不再重复增加法律股。普通新股只通过研究额外发行或缺口融资增加，现金与股数同步。若将来采用新发行股份计划、购回信托股或回购注销，需要重置模型相应输入，并检查是否同时支付现金和减少普通股收益。不能一边剔除股权激励利润费用，一边假设所有股票永远不摊薄。远大目前的主要股数风险来自资本配置与融资，而不是已披露大量价内期权；随现金压力而产生的低价增发，其影响可能比小额激励费用更大。</w:t>
      </w:r>
    </w:p>
    <w:p>
      <w:pPr>
        <w:pStyle w:val="Heading2"/>
        <w:rPr/>
      </w:pPr>
      <w:r>
        <w:rPr>
          <w:color w:val="000000"/>
        </w:rPr>
        <w:t>分红与资本分配</w:t>
      </w:r>
    </w:p>
    <w:p>
      <w:pPr>
        <w:pStyle w:val="Normal"/>
        <w:rPr/>
      </w:pPr>
      <w:r>
        <w:rPr/>
        <w:t>2025</w:t>
      </w:r>
      <w:r>
        <w:rPr/>
        <w:t>年度末期股息每股</w:t>
      </w:r>
      <w:r>
        <w:rPr/>
        <w:t>0.169</w:t>
      </w:r>
      <w:r>
        <w:rPr/>
        <w:t>港元，已经在基准日前支付；此前</w:t>
      </w:r>
      <w:r>
        <w:rPr/>
        <w:t>0.26</w:t>
      </w:r>
      <w:r>
        <w:rPr/>
        <w:t>港元显示派息确有下调能力，不能把历史高股息永久延续。</w:t>
      </w:r>
      <w:r>
        <w:rPr/>
        <w:t>2026</w:t>
      </w:r>
      <w:r>
        <w:rPr/>
        <w:t>年上半年没有中期股息，年底和半年新买投资者累计股息为零。现金流报表的股息支付金额与当期声明股息总额存在口径差异，不能直接将全部差额认定新的普通股股息。未来研究采用上一年度正常盈利的</w:t>
      </w:r>
      <w:r>
        <w:rPr/>
        <w:t>20%</w:t>
      </w:r>
      <w:r>
        <w:rPr/>
        <w:t>、</w:t>
      </w:r>
      <w:r>
        <w:rPr/>
        <w:t>30%</w:t>
      </w:r>
      <w:r>
        <w:rPr/>
        <w:t>、</w:t>
      </w:r>
      <w:r>
        <w:rPr/>
        <w:t>35%</w:t>
      </w:r>
      <w:r>
        <w:rPr/>
        <w:t>作为悲观、基准、乐观分配，日期以每年六月底代理，未视为公司已经宣布。这有助于把盈利和现金回报对应，但实际政策仍受项目投入、母公司可分配储备和银行条件影响。</w:t>
      </w:r>
    </w:p>
    <w:p>
      <w:pPr>
        <w:pStyle w:val="Normal"/>
        <w:rPr/>
      </w:pPr>
      <w:r>
        <w:rPr/>
        <w:t>派息不是独立于资本结构的免费收益。现金桥在支付时减现金，长期目标为正常盈利</w:t>
      </w:r>
      <w:r>
        <w:rPr/>
        <w:t>PE</w:t>
      </w:r>
      <w:r>
        <w:rPr/>
        <w:t>，没有再次把保留现金本金加上，所以累计股息和目标价不会简单重复同一财富。如果未来大额授权、收购或扩产需要全部利润留存，分红预算应降低；如果新产品现金成熟且债务下降，回购或更高派息可能成为额外选择。对进取型投资者，远大最理想的资本分配不是最高眼前股息，而是现金投入经过可观察的产品和资本回报验证。频繁向关联方收购、长期贷款延期或低现金同时高派息，都应要求更强解释，并降低治理和财务评分。</w:t>
      </w:r>
    </w:p>
    <w:p>
      <w:pPr>
        <w:pStyle w:val="Heading2"/>
        <w:rPr/>
      </w:pPr>
      <w:r>
        <w:rPr>
          <w:color w:val="000000"/>
        </w:rPr>
        <w:t>模型输入及估值逻辑</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232"/>
        <w:gridCol w:w="1232"/>
        <w:gridCol w:w="1232"/>
        <w:gridCol w:w="1232"/>
        <w:gridCol w:w="1232"/>
        <w:gridCol w:w="1232"/>
        <w:gridCol w:w="1232"/>
        <w:gridCol w:w="1232"/>
      </w:tblGrid>
      <w:tr>
        <w:trPr>
          <w:tblHeader w:val="true"/>
          <w:cantSplit/>
        </w:trPr>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年度基准假设 港币十亿元</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2026</w:t>
            </w:r>
            <w:r>
              <w:rPr>
                <w:rFonts w:ascii="微软雅黑" w:hAnsi="微软雅黑" w:eastAsia="微软雅黑"/>
                <w:b/>
                <w:color w:val="FFFFFF"/>
                <w:sz w:val="17"/>
              </w:rPr>
              <w:t>下半年</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2027</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2028</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2029</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2030</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2031</w:t>
            </w:r>
          </w:p>
        </w:tc>
        <w:tc>
          <w:tcPr>
            <w:tcW w:w="123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2032</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医药技术收入</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8.30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9.25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12.30</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生物技术收入</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2.42</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5.70</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5.95</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核药及介入收入</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0.86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5.80</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研发费用</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0.29</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0.65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0.75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0.85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1.15</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全年正常归母</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2.1279</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2.4913</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3.0416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3.6995</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4.3396</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4.9730</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5.5853</w:t>
            </w:r>
          </w:p>
        </w:tc>
      </w:tr>
      <w:tr>
        <w:trPr>
          <w:cantSplit/>
        </w:trPr>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年末现金</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1.4193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1.8648</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2.9735</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4.2921</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5.9433</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7.7381</w:t>
            </w:r>
          </w:p>
        </w:tc>
        <w:tc>
          <w:tcPr>
            <w:tcW w:w="123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9.7927</w:t>
            </w:r>
          </w:p>
        </w:tc>
      </w:tr>
      <w:tr>
        <w:trPr>
          <w:cantSplit/>
        </w:trPr>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年末银行及其他债务</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4.7974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4.4474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4.0474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3.5474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2.9474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2.2474</w:t>
            </w:r>
          </w:p>
        </w:tc>
        <w:tc>
          <w:tcPr>
            <w:tcW w:w="123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1.4474</w:t>
            </w:r>
          </w:p>
        </w:tc>
      </w:tr>
    </w:tbl>
    <w:p>
      <w:pPr>
        <w:pStyle w:val="Normal"/>
        <w:rPr/>
      </w:pPr>
      <w:r>
        <w:rPr/>
      </w:r>
    </w:p>
    <w:p>
      <w:pPr>
        <w:pStyle w:val="Normal"/>
        <w:rPr/>
      </w:pPr>
      <w:r>
        <w:rPr/>
        <w:t>正常集团</w:t>
      </w:r>
      <w:r>
        <w:rPr/>
        <w:t>PE</w:t>
      </w:r>
      <w:r>
        <w:rPr/>
        <w:t>适合解释远大已经盈利的混合业务，但必须保留财务成本、研发和必要非现金费用。基准目标一年</w:t>
      </w:r>
      <w:r>
        <w:rPr/>
        <w:t>11</w:t>
      </w:r>
      <w:r>
        <w:rPr/>
        <w:t>倍，三年和五年</w:t>
      </w:r>
      <w:r>
        <w:rPr/>
        <w:t>12</w:t>
      </w:r>
      <w:r>
        <w:rPr/>
        <w:t>倍，远低于纯创新药在高增长时可能出现的估值水平，是对周期业务、回款、治理、联营及尚未完全证明的新产品的折价。现价按</w:t>
      </w:r>
      <w:r>
        <w:rPr/>
        <w:t>2026</w:t>
      </w:r>
      <w:r>
        <w:rPr/>
        <w:t>基准正常利润约</w:t>
      </w:r>
      <w:r>
        <w:rPr/>
        <w:t>7.9</w:t>
      </w:r>
      <w:r>
        <w:rPr/>
        <w:t>倍，按</w:t>
      </w:r>
      <w:r>
        <w:rPr/>
        <w:t>2027</w:t>
      </w:r>
      <w:r>
        <w:rPr/>
        <w:t>约</w:t>
      </w:r>
      <w:r>
        <w:rPr/>
        <w:t>6.8</w:t>
      </w:r>
      <w:r>
        <w:rPr/>
        <w:t>倍，反映看似低估的来源；按悲观</w:t>
      </w:r>
      <w:r>
        <w:rPr/>
        <w:t>2027</w:t>
      </w:r>
      <w:r>
        <w:rPr/>
        <w:t>利润却约</w:t>
      </w:r>
      <w:r>
        <w:rPr/>
        <w:t>14.3</w:t>
      </w:r>
      <w:r>
        <w:rPr/>
        <w:t>倍，说明当前低价未必对应便宜的失败世界。目标倍数不是从新闻目标倒推出来的，也没有把账面</w:t>
      </w:r>
      <w:r>
        <w:rPr/>
        <w:t>PB</w:t>
      </w:r>
      <w:r>
        <w:rPr/>
        <w:t>约一倍等同于清算保底。盈利下修和倍数压缩可以同时发生，形成远超正常日波动的损失。</w:t>
      </w:r>
    </w:p>
    <w:p>
      <w:pPr>
        <w:pStyle w:val="Normal"/>
        <w:rPr/>
      </w:pPr>
      <w:r>
        <w:rPr/>
        <w:t>目标时点盈利采用所在年度与下一年度的时间权重，年底取下一年度全年，半年和一年分别包含</w:t>
      </w:r>
      <w:r>
        <w:rPr/>
        <w:t>2027</w:t>
      </w:r>
      <w:r>
        <w:rPr/>
        <w:t>与</w:t>
      </w:r>
      <w:r>
        <w:rPr/>
        <w:t>2028</w:t>
      </w:r>
      <w:r>
        <w:rPr/>
        <w:t>的正常经营。估值法以目标时点可预期的下一年经营为参照，不代表对未来十二个月现金按日精确预测。全年收入和正常利润由实际六月财务与下半年研究预算接续，现金从六月实际余额开始，只模拟后续半年，不再加上半年利润或售股款，也不重复扣已付股息。资金线按目标日期在该年度开始与结束之间近似插值，季节性回款和六月派息的真实日内路径不可能完全由这条直线表达，因此目标现金只是风险观察代理。关键不确定性在下一次中报和年报更新后必须重算。</w:t>
      </w:r>
    </w:p>
    <w:p>
      <w:pPr>
        <w:pStyle w:val="Heading2"/>
        <w:rPr/>
      </w:pPr>
      <w:r>
        <w:rPr>
          <w:color w:val="000000"/>
        </w:rPr>
        <w:t>毛利与估值敏感性</w:t>
      </w:r>
    </w:p>
    <w:p>
      <w:pPr>
        <w:pStyle w:val="Normal"/>
        <w:rPr/>
      </w:pPr>
      <w:r>
        <w:rPr/>
        <w:t>三类研究毛利率与收入组合决定正常</w:t>
      </w:r>
      <w:r>
        <w:rPr/>
        <w:t>EBIT</w:t>
      </w:r>
      <w:r>
        <w:rPr/>
        <w:t>，基准</w:t>
      </w:r>
      <w:r>
        <w:rPr/>
        <w:t>2027</w:t>
      </w:r>
      <w:r>
        <w:rPr/>
        <w:t>医药</w:t>
      </w:r>
      <w:r>
        <w:rPr/>
        <w:t>71%</w:t>
      </w:r>
      <w:r>
        <w:rPr/>
        <w:t>、生物</w:t>
      </w:r>
      <w:r>
        <w:rPr/>
        <w:t>35%</w:t>
      </w:r>
      <w:r>
        <w:rPr/>
        <w:t>、核药及介入</w:t>
      </w:r>
      <w:r>
        <w:rPr/>
        <w:t>59%</w:t>
      </w:r>
      <w:r>
        <w:rPr/>
        <w:t>，这些是假设分拆，不是官方分部数字。</w:t>
      </w:r>
      <w:r>
        <w:rPr/>
        <w:t>2026</w:t>
      </w:r>
      <w:r>
        <w:rPr/>
        <w:t>上半年集团毛利率约</w:t>
      </w:r>
      <w:r>
        <w:rPr/>
        <w:t>52.71%</w:t>
      </w:r>
      <w:r>
        <w:rPr/>
        <w:t>，按类似组合做校准可以接近整体毛利；但由于类别之间成本、关联交易和采购模式不同，不能声称某一部门利润已被核实。若</w:t>
      </w:r>
      <w:r>
        <w:rPr/>
        <w:t>2027</w:t>
      </w:r>
      <w:r>
        <w:rPr/>
        <w:t>医药毛利比假设低五个百分点，</w:t>
      </w:r>
      <w:r>
        <w:rPr/>
        <w:t>74.5</w:t>
      </w:r>
      <w:r>
        <w:rPr/>
        <w:t>亿收入对应税前约</w:t>
      </w:r>
      <w:r>
        <w:rPr/>
        <w:t>3.725</w:t>
      </w:r>
      <w:r>
        <w:rPr/>
        <w:t>亿港元影响，税后及每股估值都会明显下降。若生物价格周期回落使毛利降五个百分点，也会削弱约</w:t>
      </w:r>
      <w:r>
        <w:rPr/>
        <w:t>2.375</w:t>
      </w:r>
      <w:r>
        <w:rPr/>
        <w:t>亿税前贡献。核药收入基数仍较小，短期不一定能抵消这些成熟业务偏差。</w:t>
      </w:r>
    </w:p>
    <w:p>
      <w:pPr>
        <w:pStyle w:val="Normal"/>
        <w:rPr/>
      </w:pPr>
      <w:r>
        <w:rPr/>
        <w:t>估值敏感性不仅是</w:t>
      </w:r>
      <w:r>
        <w:rPr/>
        <w:t>PE</w:t>
      </w:r>
      <w:r>
        <w:rPr/>
        <w:t>上下调整。销售效率、许可采购成本、研发进入大规模三期、核素供应价格、应收占用和贷款回收都能改变盈利或股数。以一年基准正常每股盈利约</w:t>
      </w:r>
      <w:r>
        <w:rPr/>
        <w:t>0.8204</w:t>
      </w:r>
      <w:r>
        <w:rPr/>
        <w:t>港元为例，每改变一倍</w:t>
      </w:r>
      <w:r>
        <w:rPr/>
        <w:t>PE</w:t>
      </w:r>
      <w:r>
        <w:rPr/>
        <w:t>，公允价格约变动</w:t>
      </w:r>
      <w:r>
        <w:rPr/>
        <w:t>0.8204</w:t>
      </w:r>
      <w:r>
        <w:rPr/>
        <w:t>港元；若盈利先下降</w:t>
      </w:r>
      <w:r>
        <w:rPr/>
        <w:t>20%</w:t>
      </w:r>
      <w:r>
        <w:rPr/>
        <w:t>，同样</w:t>
      </w:r>
      <w:r>
        <w:rPr/>
        <w:t>11</w:t>
      </w:r>
      <w:r>
        <w:rPr/>
        <w:t>倍只约</w:t>
      </w:r>
      <w:r>
        <w:rPr/>
        <w:t>7.2192</w:t>
      </w:r>
      <w:r>
        <w:rPr/>
        <w:t>港元。假设表允许修改活动输入后依次刷新三个情景，保存版本与状态，旧快照必须标记待刷新。研究不会把原始数字改了而保留旧目标，因为那会造成表面公式完整但实际结论失真。跨期限价格是同一经营资金模型的结果，不是五套互不相关、分别挑选有利倍数的故事。</w:t>
      </w:r>
    </w:p>
    <w:p>
      <w:pPr>
        <w:pStyle w:val="Heading2"/>
        <w:rPr/>
      </w:pPr>
      <w:r>
        <w:rPr>
          <w:color w:val="000000"/>
        </w:rPr>
        <w:t>日线趋势及均线</w:t>
      </w:r>
    </w:p>
    <w:p>
      <w:pPr>
        <w:pStyle w:val="Normal"/>
        <w:rPr/>
      </w:pPr>
      <w:r>
        <w:rPr/>
        <w:t>截至</w:t>
      </w:r>
      <w:r>
        <w:rPr/>
        <w:t>10</w:t>
      </w:r>
      <w:r>
        <w:rPr/>
        <w:t>月</w:t>
      </w:r>
      <w:r>
        <w:rPr/>
        <w:t>9</w:t>
      </w:r>
      <w:r>
        <w:rPr/>
        <w:t>日股价</w:t>
      </w:r>
      <w:r>
        <w:rPr/>
        <w:t>4.74</w:t>
      </w:r>
      <w:r>
        <w:rPr/>
        <w:t>港元，</w:t>
      </w:r>
      <w:r>
        <w:rPr/>
        <w:t>20</w:t>
      </w:r>
      <w:r>
        <w:rPr/>
        <w:t>、</w:t>
      </w:r>
      <w:r>
        <w:rPr/>
        <w:t>60</w:t>
      </w:r>
      <w:r>
        <w:rPr/>
        <w:t>、</w:t>
      </w:r>
      <w:r>
        <w:rPr/>
        <w:t>120</w:t>
      </w:r>
      <w:r>
        <w:rPr/>
        <w:t>、</w:t>
      </w:r>
      <w:r>
        <w:rPr/>
        <w:t>250</w:t>
      </w:r>
      <w:r>
        <w:rPr/>
        <w:t>日均线约</w:t>
      </w:r>
      <w:r>
        <w:rPr/>
        <w:t>4.8543</w:t>
      </w:r>
      <w:r>
        <w:rPr/>
        <w:t>、</w:t>
      </w:r>
      <w:r>
        <w:rPr/>
        <w:t>5.0674</w:t>
      </w:r>
      <w:r>
        <w:rPr/>
        <w:t>、</w:t>
      </w:r>
      <w:r>
        <w:rPr/>
        <w:t>5.2157</w:t>
      </w:r>
      <w:r>
        <w:rPr/>
        <w:t>、</w:t>
      </w:r>
      <w:r>
        <w:rPr/>
        <w:t>6.4399</w:t>
      </w:r>
      <w:r>
        <w:rPr/>
        <w:t>港元。现价分别低于这些均线</w:t>
      </w:r>
      <w:r>
        <w:rPr/>
        <w:t>2.35%</w:t>
      </w:r>
      <w:r>
        <w:rPr/>
        <w:t>、</w:t>
      </w:r>
      <w:r>
        <w:rPr/>
        <w:t>6.46%</w:t>
      </w:r>
      <w:r>
        <w:rPr/>
        <w:t>、</w:t>
      </w:r>
      <w:r>
        <w:rPr/>
        <w:t>9.12%</w:t>
      </w:r>
      <w:r>
        <w:rPr/>
        <w:t>、</w:t>
      </w:r>
      <w:r>
        <w:rPr/>
        <w:t>26.40%</w:t>
      </w:r>
      <w:r>
        <w:rPr/>
        <w:t>，最近五日均线斜率均为负。</w:t>
      </w:r>
      <w:r>
        <w:rPr/>
        <w:t>20</w:t>
      </w:r>
      <w:r>
        <w:rPr/>
        <w:t>、</w:t>
      </w:r>
      <w:r>
        <w:rPr/>
        <w:t>60</w:t>
      </w:r>
      <w:r>
        <w:rPr/>
        <w:t>、</w:t>
      </w:r>
      <w:r>
        <w:rPr/>
        <w:t>120</w:t>
      </w:r>
      <w:r>
        <w:rPr/>
        <w:t>、</w:t>
      </w:r>
      <w:r>
        <w:rPr/>
        <w:t>250</w:t>
      </w:r>
      <w:r>
        <w:rPr/>
        <w:t>日回报约负</w:t>
      </w:r>
      <w:r>
        <w:rPr/>
        <w:t>1.96%</w:t>
      </w:r>
      <w:r>
        <w:rPr/>
        <w:t>、负</w:t>
      </w:r>
      <w:r>
        <w:rPr/>
        <w:t>10.90%</w:t>
      </w:r>
      <w:r>
        <w:rPr/>
        <w:t>、负</w:t>
      </w:r>
      <w:r>
        <w:rPr/>
        <w:t>27.45%</w:t>
      </w:r>
      <w:r>
        <w:rPr/>
        <w:t>、负</w:t>
      </w:r>
      <w:r>
        <w:rPr/>
        <w:t>41.96%</w:t>
      </w:r>
      <w:r>
        <w:rPr/>
        <w:t>。这个排列与较长时间调整一致，不能称已经确认上升趋势。近期靠近</w:t>
      </w:r>
      <w:r>
        <w:rPr/>
        <w:t>20</w:t>
      </w:r>
      <w:r>
        <w:rPr/>
        <w:t>日均线，意味着第一层压力距离较近；如果只在弱量中偶尔上穿</w:t>
      </w:r>
      <w:r>
        <w:rPr/>
        <w:t>20</w:t>
      </w:r>
      <w:r>
        <w:rPr/>
        <w:t>日线，仍可能是下降过程的反弹。技术评分</w:t>
      </w:r>
      <w:r>
        <w:rPr/>
        <w:t>1.5</w:t>
      </w:r>
      <w:r>
        <w:rPr/>
        <w:t>分体现趋势和量能证据不足，而不是对公司业务价值作零评价。</w:t>
      </w:r>
    </w:p>
    <w:p>
      <w:pPr>
        <w:pStyle w:val="Normal"/>
        <w:rPr/>
      </w:pPr>
      <w:r>
        <w:rPr/>
        <w:t>二十日高低</w:t>
      </w:r>
      <w:r>
        <w:rPr/>
        <w:t>4.65</w:t>
      </w:r>
      <w:r>
        <w:rPr/>
        <w:t>至</w:t>
      </w:r>
      <w:r>
        <w:rPr/>
        <w:t>5.055</w:t>
      </w:r>
      <w:r>
        <w:rPr/>
        <w:t>港元，现价到下沿约负</w:t>
      </w:r>
      <w:r>
        <w:rPr/>
        <w:t>1.90%</w:t>
      </w:r>
      <w:r>
        <w:rPr/>
        <w:t>、到上沿约正</w:t>
      </w:r>
      <w:r>
        <w:rPr/>
        <w:t>6.65%</w:t>
      </w:r>
      <w:r>
        <w:rPr/>
        <w:t>；六十日高点</w:t>
      </w:r>
      <w:r>
        <w:rPr/>
        <w:t>5.715</w:t>
      </w:r>
      <w:r>
        <w:rPr/>
        <w:t>港元距离约</w:t>
      </w:r>
      <w:r>
        <w:rPr/>
        <w:t>20.57%</w:t>
      </w:r>
      <w:r>
        <w:rPr/>
        <w:t>。</w:t>
      </w:r>
      <w:r>
        <w:rPr/>
        <w:t>52</w:t>
      </w:r>
      <w:r>
        <w:rPr/>
        <w:t>周低点</w:t>
      </w:r>
      <w:r>
        <w:rPr/>
        <w:t>4.53</w:t>
      </w:r>
      <w:r>
        <w:rPr/>
        <w:t>港元距离现价约</w:t>
      </w:r>
      <w:r>
        <w:rPr/>
        <w:t>4.43%</w:t>
      </w:r>
      <w:r>
        <w:rPr/>
        <w:t>下方，</w:t>
      </w:r>
      <w:r>
        <w:rPr/>
        <w:t>52</w:t>
      </w:r>
      <w:r>
        <w:rPr/>
        <w:t>周复权高点</w:t>
      </w:r>
      <w:r>
        <w:rPr/>
        <w:t>8.6698</w:t>
      </w:r>
      <w:r>
        <w:rPr/>
        <w:t>港元，窗口最大回撤约</w:t>
      </w:r>
      <w:r>
        <w:rPr/>
        <w:t>46.21%</w:t>
      </w:r>
      <w:r>
        <w:rPr/>
        <w:t>。这些价位是历史成交形成的观察区域，并非买入后损失只到</w:t>
      </w:r>
      <w:r>
        <w:rPr/>
        <w:t>4.53</w:t>
      </w:r>
      <w:r>
        <w:rPr/>
        <w:t>的保证。观察顺序可以是先稳定</w:t>
      </w:r>
      <w:r>
        <w:rPr/>
        <w:t>4.65</w:t>
      </w:r>
      <w:r>
        <w:rPr/>
        <w:t>附近，再突破</w:t>
      </w:r>
      <w:r>
        <w:rPr/>
        <w:t>4.85</w:t>
      </w:r>
      <w:r>
        <w:rPr/>
        <w:t>至</w:t>
      </w:r>
      <w:r>
        <w:rPr/>
        <w:t>5.07</w:t>
      </w:r>
      <w:r>
        <w:rPr/>
        <w:t>区域，随后检验</w:t>
      </w:r>
      <w:r>
        <w:rPr/>
        <w:t>5.22</w:t>
      </w:r>
      <w:r>
        <w:rPr/>
        <w:t>附近与</w:t>
      </w:r>
      <w:r>
        <w:rPr/>
        <w:t>5.715</w:t>
      </w:r>
      <w:r>
        <w:rPr/>
        <w:t>的更长压力。若</w:t>
      </w:r>
      <w:r>
        <w:rPr/>
        <w:t>4.53</w:t>
      </w:r>
      <w:r>
        <w:rPr/>
        <w:t>被有效跌破且成交放大，技术反弹逻辑失效，应重新检查业绩、资金需求及股价是否已经反映新风险。</w:t>
      </w:r>
    </w:p>
    <w:p>
      <w:pPr>
        <w:pStyle w:val="Heading2"/>
        <w:rPr/>
      </w:pPr>
      <w:r>
        <w:rPr>
          <w:color w:val="000000"/>
        </w:rPr>
        <w:t>周线与多尺度确认</w:t>
      </w:r>
    </w:p>
    <w:p>
      <w:pPr>
        <w:pStyle w:val="Normal"/>
        <w:rPr/>
      </w:pPr>
      <w:r>
        <w:rPr/>
        <w:t>周线</w:t>
      </w:r>
      <w:r>
        <w:rPr/>
        <w:t>20</w:t>
      </w:r>
      <w:r>
        <w:rPr/>
        <w:t>、</w:t>
      </w:r>
      <w:r>
        <w:rPr/>
        <w:t>60</w:t>
      </w:r>
      <w:r>
        <w:rPr/>
        <w:t>、</w:t>
      </w:r>
      <w:r>
        <w:rPr/>
        <w:t>120</w:t>
      </w:r>
      <w:r>
        <w:rPr/>
        <w:t>周均线约</w:t>
      </w:r>
      <w:r>
        <w:rPr/>
        <w:t>5.0006</w:t>
      </w:r>
      <w:r>
        <w:rPr/>
        <w:t>、</w:t>
      </w:r>
      <w:r>
        <w:rPr/>
        <w:t>6.6809</w:t>
      </w:r>
      <w:r>
        <w:rPr/>
        <w:t>、</w:t>
      </w:r>
      <w:r>
        <w:rPr/>
        <w:t>6.0927</w:t>
      </w:r>
      <w:r>
        <w:rPr/>
        <w:t>港元，现价明显低于它们。二十周与六十周斜率仍下行，</w:t>
      </w:r>
      <w:r>
        <w:rPr/>
        <w:t>120</w:t>
      </w:r>
      <w:r>
        <w:rPr/>
        <w:t>周略上斜并不能改变中短期弱势。历史只有约三年，</w:t>
      </w:r>
      <w:r>
        <w:rPr/>
        <w:t>157</w:t>
      </w:r>
      <w:r>
        <w:rPr/>
        <w:t>周数据不足</w:t>
      </w:r>
      <w:r>
        <w:rPr/>
        <w:t>250</w:t>
      </w:r>
      <w:r>
        <w:rPr/>
        <w:t>周均线，因此本研究不补造长期周线。周</w:t>
      </w:r>
      <w:r>
        <w:rPr/>
        <w:t>RSI</w:t>
      </w:r>
      <w:r>
        <w:rPr/>
        <w:t>约</w:t>
      </w:r>
      <w:r>
        <w:rPr/>
        <w:t>32.33</w:t>
      </w:r>
      <w:r>
        <w:rPr/>
        <w:t>，接近较弱区域，意味着过去下降已累积，但超卖可以持续。周</w:t>
      </w:r>
      <w:r>
        <w:rPr/>
        <w:t>MACD</w:t>
      </w:r>
      <w:r>
        <w:rPr/>
        <w:t>柱转正可以是跌势放缓信号，与价格仍在均线下方并存；它不单独证明主升浪开始。技术判断的最佳改进是周收盘反复站稳五港元附近，并出现价格高低点抬升，而不是依赖一次新闻刺激的跳涨。</w:t>
      </w:r>
    </w:p>
    <w:p>
      <w:pPr>
        <w:pStyle w:val="Normal"/>
        <w:rPr/>
      </w:pPr>
      <w:r>
        <w:rPr/>
        <w:t>周线</w:t>
      </w:r>
      <w:r>
        <w:rPr/>
        <w:t>ATR</w:t>
      </w:r>
      <w:r>
        <w:rPr/>
        <w:t>约</w:t>
      </w:r>
      <w:r>
        <w:rPr/>
        <w:t>0.3896</w:t>
      </w:r>
      <w:r>
        <w:rPr/>
        <w:t>港元，相对股价</w:t>
      </w:r>
      <w:r>
        <w:rPr/>
        <w:t>8.22%</w:t>
      </w:r>
      <w:r>
        <w:rPr/>
        <w:t>，说明周度正常波动也足以穿越多个短期观察价位。用小于一周常见波动的狭窄止损范围，可能使投资者在业务未变化时频繁退出。这里的</w:t>
      </w:r>
      <w:r>
        <w:rPr/>
        <w:t>ATR</w:t>
      </w:r>
      <w:r>
        <w:rPr/>
        <w:t>只提示波动尺度，不建议以固定</w:t>
      </w:r>
      <w:r>
        <w:rPr/>
        <w:t>ATR</w:t>
      </w:r>
      <w:r>
        <w:rPr/>
        <w:t>倍数代替公司风险判断。若投资期限半年，趋势和现金催化剂都应在近期窗口核验；若持有三年以上，短期周线重要性降低，但大跌也可能提前表达业绩预期变化，不能完全忽略。对远大最有用的多尺度确认是日线收复均线、周线低点抬升与下一次财报现金改善同时出现，因为只有三者结合才足以提升短期推荐质量。</w:t>
      </w:r>
    </w:p>
    <w:p>
      <w:pPr>
        <w:pStyle w:val="Heading2"/>
        <w:rPr/>
      </w:pPr>
      <w:r>
        <w:rPr>
          <w:color w:val="000000"/>
        </w:rPr>
        <w:t>成交量和量价关系</w:t>
      </w:r>
    </w:p>
    <w:p>
      <w:pPr>
        <w:pStyle w:val="Normal"/>
        <w:rPr/>
      </w:pPr>
      <w:r>
        <w:rPr/>
        <w:t>基准日成交</w:t>
      </w:r>
      <w:r>
        <w:rPr/>
        <w:t>404.11</w:t>
      </w:r>
      <w:r>
        <w:rPr/>
        <w:t>万股，成交额约</w:t>
      </w:r>
      <w:r>
        <w:rPr/>
        <w:t>1906.82</w:t>
      </w:r>
      <w:r>
        <w:rPr/>
        <w:t>万港元，腾讯与新浪锁定报价一致。</w:t>
      </w:r>
      <w:r>
        <w:rPr/>
        <w:t>5</w:t>
      </w:r>
      <w:r>
        <w:rPr/>
        <w:t>、</w:t>
      </w:r>
      <w:r>
        <w:rPr/>
        <w:t>20</w:t>
      </w:r>
      <w:r>
        <w:rPr/>
        <w:t>、</w:t>
      </w:r>
      <w:r>
        <w:rPr/>
        <w:t>60</w:t>
      </w:r>
      <w:r>
        <w:rPr/>
        <w:t>日平均成交量约</w:t>
      </w:r>
      <w:r>
        <w:rPr/>
        <w:t>225.27</w:t>
      </w:r>
      <w:r>
        <w:rPr/>
        <w:t>、</w:t>
      </w:r>
      <w:r>
        <w:rPr/>
        <w:t>399.28</w:t>
      </w:r>
      <w:r>
        <w:rPr/>
        <w:t>、</w:t>
      </w:r>
      <w:r>
        <w:rPr/>
        <w:t>481.15</w:t>
      </w:r>
      <w:r>
        <w:rPr/>
        <w:t>万股，当日量比按此前二十日均量为</w:t>
      </w:r>
      <w:r>
        <w:rPr/>
        <w:t>1.0210</w:t>
      </w:r>
      <w:r>
        <w:rPr/>
        <w:t>，说明当日没有显著放量。二十日有八个上涨日、十一个下跌日和一个平盘日，上涨日总量</w:t>
      </w:r>
      <w:r>
        <w:rPr/>
        <w:t>3724.08</w:t>
      </w:r>
      <w:r>
        <w:rPr/>
        <w:t>万股，下跌日</w:t>
      </w:r>
      <w:r>
        <w:rPr/>
        <w:t>3857.43</w:t>
      </w:r>
      <w:r>
        <w:rPr/>
        <w:t>万股，约</w:t>
      </w:r>
      <w:r>
        <w:rPr/>
        <w:t>0.9654</w:t>
      </w:r>
      <w:r>
        <w:rPr/>
        <w:t>之比。上涨量未明显超过下跌量，也没有提供强烈的突破验证。五日均量较二十和六十日偏低，更接近成交收缩阶段。缩量可能表示卖压减弱，也可能表示买盘不足，必须由随后的价格与成交共同解释。</w:t>
      </w:r>
    </w:p>
    <w:p>
      <w:pPr>
        <w:pStyle w:val="Normal"/>
        <w:rPr/>
      </w:pPr>
      <w:r>
        <w:rPr/>
        <w:t>当日股量除法律发行股约</w:t>
      </w:r>
      <w:r>
        <w:rPr/>
        <w:t>0.114%</w:t>
      </w:r>
      <w:r>
        <w:rPr/>
        <w:t>，是总股数换手代理，不等于自由流通换手率；控股集中及信托持股会使真实可交易股份口径不同。没有逐笔成交和完整投资者账户数据，研究不绘制精确成本分布，不把某几天放量说成“主力吸筹”。如果未来在</w:t>
      </w:r>
      <w:r>
        <w:rPr/>
        <w:t>5.055</w:t>
      </w:r>
      <w:r>
        <w:rPr/>
        <w:t>附近突破，观察成交相对当时二十日均量是否持续增加、收盘是否保住突破、回踩时是否缩量，以及放量日是否伴随长上影和迅速跌回。单日成交额很小的股票，短期价格也可能受订单冲击明显影响，因此技术目标不能与大仓位实际交易成本脱节。</w:t>
      </w:r>
    </w:p>
    <w:p>
      <w:pPr>
        <w:pStyle w:val="Heading2"/>
        <w:rPr/>
      </w:pPr>
      <w:r>
        <w:rPr>
          <w:color w:val="000000"/>
        </w:rPr>
        <w:t>相对强弱及辅助指标</w:t>
      </w:r>
    </w:p>
    <w:p>
      <w:pPr>
        <w:pStyle w:val="Normal"/>
        <w:rPr/>
      </w:pPr>
      <w:r>
        <w:rPr/>
        <w:t>二十日远大比恒指强约</w:t>
      </w:r>
      <w:r>
        <w:rPr/>
        <w:t>1.01</w:t>
      </w:r>
      <w:r>
        <w:rPr/>
        <w:t>个百分点，但六十日弱约</w:t>
      </w:r>
      <w:r>
        <w:rPr/>
        <w:t>7.71</w:t>
      </w:r>
      <w:r>
        <w:rPr/>
        <w:t>个百分点。近期少跌可以显示边际稳定，仍不是趋势领先。公司含生物周期与成熟药业务，没有完整可核的匹配行业指数序列，本研究不把恒生科技或纯港股创新药指数套作其精确行业基准，也不据缺失数据增加相对强弱分。若未来医药板块普遍上涨而远大仍落后，应检查市场是否更关注现金、集采和关联权益；若远大在同样环境中逐步跑赢且交易量扩大，再把它视为经营重估得到市场响应的证据。这比只看绝对涨跌更能解释机会成本。</w:t>
      </w:r>
    </w:p>
    <w:p>
      <w:pPr>
        <w:pStyle w:val="Normal"/>
        <w:rPr/>
      </w:pPr>
      <w:r>
        <w:rPr/>
        <w:t>日</w:t>
      </w:r>
      <w:r>
        <w:rPr/>
        <w:t>RSI</w:t>
      </w:r>
      <w:r>
        <w:rPr/>
        <w:t>约</w:t>
      </w:r>
      <w:r>
        <w:rPr/>
        <w:t>41.92</w:t>
      </w:r>
      <w:r>
        <w:rPr/>
        <w:t>，</w:t>
      </w:r>
      <w:r>
        <w:rPr/>
        <w:t>MACD</w:t>
      </w:r>
      <w:r>
        <w:rPr/>
        <w:t>快慢线约负</w:t>
      </w:r>
      <w:r>
        <w:rPr/>
        <w:t>0.0696</w:t>
      </w:r>
      <w:r>
        <w:rPr/>
        <w:t>、负</w:t>
      </w:r>
      <w:r>
        <w:rPr/>
        <w:t>0.0681</w:t>
      </w:r>
      <w:r>
        <w:rPr/>
        <w:t>，柱体负</w:t>
      </w:r>
      <w:r>
        <w:rPr/>
        <w:t>0.0030</w:t>
      </w:r>
      <w:r>
        <w:rPr/>
        <w:t>，仍处弱势附近。日</w:t>
      </w:r>
      <w:r>
        <w:rPr/>
        <w:t>ATR</w:t>
      </w:r>
      <w:r>
        <w:rPr/>
        <w:t>约</w:t>
      </w:r>
      <w:r>
        <w:rPr/>
        <w:t>0.1531</w:t>
      </w:r>
      <w:r>
        <w:rPr/>
        <w:t>港元，即</w:t>
      </w:r>
      <w:r>
        <w:rPr/>
        <w:t>3.23%</w:t>
      </w:r>
      <w:r>
        <w:rPr/>
        <w:t>的价格尺度。</w:t>
      </w:r>
      <w:r>
        <w:rPr/>
        <w:t>RSI</w:t>
      </w:r>
      <w:r>
        <w:rPr/>
        <w:t>、</w:t>
      </w:r>
      <w:r>
        <w:rPr/>
        <w:t>MACD</w:t>
      </w:r>
      <w:r>
        <w:rPr/>
        <w:t>、均线的输入都来自价格，不能把相同趋势同时当成三份独立证据重复加分。支持区与压力区、相对恒指表现、真实量能和财报催化剂比堆叠指标更重要。日线出现短暂正柱但未站稳</w:t>
      </w:r>
      <w:r>
        <w:rPr/>
        <w:t>20</w:t>
      </w:r>
      <w:r>
        <w:rPr/>
        <w:t>日线时，研究只称动量改善；只有持续高低点抬升、量能配合及突破后保留，才称较可靠的反转。技术信号对未来半年有用，对十年经营持续性没有直接预测能力。</w:t>
      </w:r>
    </w:p>
    <w:p>
      <w:pPr>
        <w:pStyle w:val="Heading2"/>
        <w:rPr/>
      </w:pPr>
      <w:r>
        <w:rPr>
          <w:color w:val="000000"/>
        </w:rPr>
        <w:t>半年投资判断</w:t>
      </w:r>
    </w:p>
    <w:p>
      <w:pPr>
        <w:pStyle w:val="Normal"/>
        <w:rPr/>
      </w:pPr>
      <w:r>
        <w:rPr/>
        <w:t>半年目标</w:t>
      </w:r>
      <w:r>
        <w:rPr/>
        <w:t>2027</w:t>
      </w:r>
      <w:r>
        <w:rPr/>
        <w:t>年</w:t>
      </w:r>
      <w:r>
        <w:rPr/>
        <w:t>4</w:t>
      </w:r>
      <w:r>
        <w:rPr/>
        <w:t>月</w:t>
      </w:r>
      <w:r>
        <w:rPr/>
        <w:t>9</w:t>
      </w:r>
      <w:r>
        <w:rPr/>
        <w:t>日，将跨过</w:t>
      </w:r>
      <w:r>
        <w:rPr/>
        <w:t>2026</w:t>
      </w:r>
      <w:r>
        <w:rPr/>
        <w:t>年度业绩披露窗口，最重要的新信息是下半年毛利、费用调整、核药销量与年末回款。本研究基准</w:t>
      </w:r>
      <w:r>
        <w:rPr/>
        <w:t>8.1782</w:t>
      </w:r>
      <w:r>
        <w:rPr/>
        <w:t>港元由正常盈利恢复和</w:t>
      </w:r>
      <w:r>
        <w:rPr/>
        <w:t>11</w:t>
      </w:r>
      <w:r>
        <w:rPr/>
        <w:t>倍目标估值产生，涨幅</w:t>
      </w:r>
      <w:r>
        <w:rPr/>
        <w:t>72.54%</w:t>
      </w:r>
      <w:r>
        <w:rPr/>
        <w:t>看起来较大，但这是财报与市场重估同时兑现的结果。半年评分仍</w:t>
      </w:r>
      <w:r>
        <w:rPr/>
        <w:t>55.2</w:t>
      </w:r>
      <w:r>
        <w:rPr/>
        <w:t>，因为趋势下行、量不足及现金证据未完成会显著削弱实际可执行性。愿意承担转型风险的投资者应把首要观察放在收入类别与现金桥是否达到预算，而不是先认定价位。若年报显示核药增长仍强、传统药停止下滑且应收下降，推荐等级可以提高；若只是利润靠一次性收益改善，短期逻辑仍不成立。</w:t>
      </w:r>
    </w:p>
    <w:p>
      <w:pPr>
        <w:pStyle w:val="Normal"/>
        <w:rPr/>
      </w:pPr>
      <w:r>
        <w:rPr/>
        <w:t>半年悲观价</w:t>
      </w:r>
      <w:r>
        <w:rPr/>
        <w:t>2.2552</w:t>
      </w:r>
      <w:r>
        <w:rPr/>
        <w:t>港元不是技术支撑推算，而是传统业务弱、核药增量较低、利率与费用负担更大后</w:t>
      </w:r>
      <w:r>
        <w:rPr/>
        <w:t>7</w:t>
      </w:r>
      <w:r>
        <w:rPr/>
        <w:t>倍正常盈利的价值结果。乐观</w:t>
      </w:r>
      <w:r>
        <w:rPr/>
        <w:t>15.3334</w:t>
      </w:r>
      <w:r>
        <w:rPr/>
        <w:t>港元要求更强新品销售、利润率和</w:t>
      </w:r>
      <w:r>
        <w:rPr/>
        <w:t>15</w:t>
      </w:r>
      <w:r>
        <w:rPr/>
        <w:t>倍估值，属于组合好结果，不能据此追逐新闻跳空。阶段操作观察区可以</w:t>
      </w:r>
      <w:r>
        <w:rPr/>
        <w:t>4.65</w:t>
      </w:r>
      <w:r>
        <w:rPr/>
        <w:t>至</w:t>
      </w:r>
      <w:r>
        <w:rPr/>
        <w:t>5.055</w:t>
      </w:r>
      <w:r>
        <w:rPr/>
        <w:t>作为近端整理框架，</w:t>
      </w:r>
      <w:r>
        <w:rPr/>
        <w:t>5.07</w:t>
      </w:r>
      <w:r>
        <w:rPr/>
        <w:t>至</w:t>
      </w:r>
      <w:r>
        <w:rPr/>
        <w:t>5.22</w:t>
      </w:r>
      <w:r>
        <w:rPr/>
        <w:t>作为均线压力，突破失败或</w:t>
      </w:r>
      <w:r>
        <w:rPr/>
        <w:t>4.53</w:t>
      </w:r>
      <w:r>
        <w:rPr/>
        <w:t>下破为技术失效信号；失效后的估值仍需重新算，不能把一笔交易的纪律代替新的财务分析。半年内不预期新买股息，收益主要来自股价变化，因而风险偏好收缩时没有足够现金收益抵消下行。</w:t>
      </w:r>
    </w:p>
    <w:p>
      <w:pPr>
        <w:pStyle w:val="Heading2"/>
        <w:rPr/>
      </w:pPr>
      <w:r>
        <w:rPr>
          <w:color w:val="000000"/>
        </w:rPr>
        <w:t>一年投资判断</w:t>
      </w:r>
    </w:p>
    <w:p>
      <w:pPr>
        <w:pStyle w:val="Normal"/>
        <w:rPr/>
      </w:pPr>
      <w:r>
        <w:rPr/>
        <w:t>一年香港目标取</w:t>
      </w:r>
      <w:r>
        <w:rPr/>
        <w:t>2027</w:t>
      </w:r>
      <w:r>
        <w:rPr/>
        <w:t>年</w:t>
      </w:r>
      <w:r>
        <w:rPr/>
        <w:t>10</w:t>
      </w:r>
      <w:r>
        <w:rPr/>
        <w:t>月</w:t>
      </w:r>
      <w:r>
        <w:rPr/>
        <w:t>7</w:t>
      </w:r>
      <w:r>
        <w:rPr/>
        <w:t>日，原</w:t>
      </w:r>
      <w:r>
        <w:rPr/>
        <w:t>10</w:t>
      </w:r>
      <w:r>
        <w:rPr/>
        <w:t>月</w:t>
      </w:r>
      <w:r>
        <w:rPr/>
        <w:t>9</w:t>
      </w:r>
      <w:r>
        <w:rPr/>
        <w:t>日为周末，前一日还涉及香港假期，交易日必须按已核市场日历处理。该期限将看到</w:t>
      </w:r>
      <w:r>
        <w:rPr/>
        <w:t>2026</w:t>
      </w:r>
      <w:r>
        <w:rPr/>
        <w:t>年报、</w:t>
      </w:r>
      <w:r>
        <w:rPr/>
        <w:t>2027</w:t>
      </w:r>
      <w:r>
        <w:rPr/>
        <w:t>中期及眼科与核药新品早期销售。基准</w:t>
      </w:r>
      <w:r>
        <w:rPr/>
        <w:t>9.0240</w:t>
      </w:r>
      <w:r>
        <w:rPr/>
        <w:t>港元，股价回报</w:t>
      </w:r>
      <w:r>
        <w:rPr/>
        <w:t>90.38%</w:t>
      </w:r>
      <w:r>
        <w:rPr/>
        <w:t>，研究累计股息</w:t>
      </w:r>
      <w:r>
        <w:rPr/>
        <w:t>0.1823</w:t>
      </w:r>
      <w:r>
        <w:rPr/>
        <w:t>港元，含分红</w:t>
      </w:r>
      <w:r>
        <w:rPr/>
        <w:t>94.22%</w:t>
      </w:r>
      <w:r>
        <w:rPr/>
        <w:t>。收益结构以每股正常盈利增长及估值由当前折价恢复为主，不把机构</w:t>
      </w:r>
      <w:r>
        <w:rPr/>
        <w:t>12</w:t>
      </w:r>
      <w:r>
        <w:rPr/>
        <w:t>个月旧目标直接作为价值。一年</w:t>
      </w:r>
      <w:r>
        <w:rPr/>
        <w:t>62.5</w:t>
      </w:r>
      <w:r>
        <w:rPr/>
        <w:t>分表明它更值得在经营验证后参与，但与长期核心资产相比，现金、竞争和资本安排仍会显著影响持有体验。</w:t>
      </w:r>
    </w:p>
    <w:p>
      <w:pPr>
        <w:pStyle w:val="Normal"/>
        <w:rPr/>
      </w:pPr>
      <w:r>
        <w:rPr/>
        <w:t>一年应追踪眼科获批产品收入是否能超越原渠道下滑、</w:t>
      </w:r>
      <w:r>
        <w:rPr/>
        <w:t>TLX591-CDx</w:t>
      </w:r>
      <w:r>
        <w:rPr/>
        <w:t>是否完成注册并形成供货、钇九十单院使用是否增加、氨基酸毛利是否回到正常水平。若出现核药</w:t>
      </w:r>
      <w:r>
        <w:rPr/>
        <w:t>55%</w:t>
      </w:r>
      <w:r>
        <w:rPr/>
        <w:t>以上增长但集团正常盈利持续下降，说明其他业务损失或费用拖累尚未解决，不宜只保留亮点。悲观</w:t>
      </w:r>
      <w:r>
        <w:rPr/>
        <w:t>2.1254</w:t>
      </w:r>
      <w:r>
        <w:rPr/>
        <w:t>港元、乐观</w:t>
      </w:r>
      <w:r>
        <w:rPr/>
        <w:t>17.5842</w:t>
      </w:r>
      <w:r>
        <w:rPr/>
        <w:t>港元体现经营和倍数共同变化，范围不是统计置信区间。若银行续借受限、控股人条款触发或需要折价融资，即使新品临床进展积极，</w:t>
      </w:r>
      <w:r>
        <w:rPr/>
        <w:t>EPS</w:t>
      </w:r>
      <w:r>
        <w:rPr/>
        <w:t>也会被股数及融资成本稀释。该期限的推荐必须同时满足经营与资本条件，不能仅凭某项获批事件成立。</w:t>
      </w:r>
    </w:p>
    <w:p>
      <w:pPr>
        <w:pStyle w:val="Heading2"/>
        <w:rPr/>
      </w:pPr>
      <w:r>
        <w:rPr>
          <w:color w:val="000000"/>
        </w:rPr>
        <w:t>三年投资判断</w:t>
      </w:r>
    </w:p>
    <w:p>
      <w:pPr>
        <w:pStyle w:val="Normal"/>
        <w:rPr/>
      </w:pPr>
      <w:r>
        <w:rPr/>
        <w:t>三年基准收入组合让</w:t>
      </w:r>
      <w:r>
        <w:rPr/>
        <w:t>2029</w:t>
      </w:r>
      <w:r>
        <w:rPr/>
        <w:t>至</w:t>
      </w:r>
      <w:r>
        <w:rPr/>
        <w:t>2030</w:t>
      </w:r>
      <w:r>
        <w:rPr/>
        <w:t>正常盈利逐步提高，目标</w:t>
      </w:r>
      <w:r>
        <w:rPr/>
        <w:t>14.1729</w:t>
      </w:r>
      <w:r>
        <w:rPr/>
        <w:t>港元、累计股息</w:t>
      </w:r>
      <w:r>
        <w:rPr/>
        <w:t>0.6563</w:t>
      </w:r>
      <w:r>
        <w:rPr/>
        <w:t>港元，含分红回报</w:t>
      </w:r>
      <w:r>
        <w:rPr/>
        <w:t>212.85%</w:t>
      </w:r>
      <w:r>
        <w:rPr/>
        <w:t>，年化</w:t>
      </w:r>
      <w:r>
        <w:rPr/>
        <w:t>46.26%</w:t>
      </w:r>
      <w:r>
        <w:rPr/>
        <w:t>。这是一项对转型成功有明显要求的价值路径，技术权重只</w:t>
      </w:r>
      <w:r>
        <w:rPr/>
        <w:t>5%</w:t>
      </w:r>
      <w:r>
        <w:rPr/>
        <w:t>，主要考核商业质量、需求与现金。核药、眼科和介入新产品接续，有机会使原料与成熟药利润的周期影响下降，专业销售平台也可能共用。但如果三年后核药仍主要依赖少数单品、早期管线无进一步临床证据，集团不应自动获得</w:t>
      </w:r>
      <w:r>
        <w:rPr/>
        <w:t>12</w:t>
      </w:r>
      <w:r>
        <w:rPr/>
        <w:t>倍持续增长估值。低起点股价带来弹性，增长实现程度决定是否可以保留这个倍数。</w:t>
      </w:r>
    </w:p>
    <w:p>
      <w:pPr>
        <w:pStyle w:val="Normal"/>
        <w:rPr/>
      </w:pPr>
      <w:r>
        <w:rPr/>
        <w:t>三年反证包括成熟药收入长期下降、氨基酸价格回落后无新产品补位、核药医院准入不转化成治疗量、资本项目回报低和应收资金占用不收敛。模型悲观三年</w:t>
      </w:r>
      <w:r>
        <w:rPr/>
        <w:t>1.5922</w:t>
      </w:r>
      <w:r>
        <w:rPr/>
        <w:t>港元，强调持有时间不会自动修复失败经营。联营利润和股东现金在三年窗口应有更可核的改善，若仍持续贷款延期及少分红，则集团可能拥有业务敞口却无法为上市股东产生足够现金。到</w:t>
      </w:r>
      <w:r>
        <w:rPr/>
        <w:t>2029</w:t>
      </w:r>
      <w:r>
        <w:rPr/>
        <w:t>年应重新核验商业权期限、合作条款、专利与监管价格变化，并从当时基准重新评价，不把今天的模型结论原封不动滚动到下一年。</w:t>
      </w:r>
    </w:p>
    <w:p>
      <w:pPr>
        <w:pStyle w:val="Heading2"/>
        <w:rPr/>
      </w:pPr>
      <w:r>
        <w:rPr>
          <w:color w:val="000000"/>
        </w:rPr>
        <w:t>五年和十年持续性</w:t>
      </w:r>
    </w:p>
    <w:p>
      <w:pPr>
        <w:pStyle w:val="Normal"/>
        <w:rPr/>
      </w:pPr>
      <w:r>
        <w:rPr/>
        <w:t>五年基准目标</w:t>
      </w:r>
      <w:r>
        <w:rPr/>
        <w:t>18.4059</w:t>
      </w:r>
      <w:r>
        <w:rPr/>
        <w:t>港元，含分红年化</w:t>
      </w:r>
      <w:r>
        <w:rPr/>
        <w:t>33.03%</w:t>
      </w:r>
      <w:r>
        <w:rPr/>
        <w:t>，长期逻辑在于核药和眼科组合成为现金生成业务、债务逐步下降，并保持持续产品更新。基准</w:t>
      </w:r>
      <w:r>
        <w:rPr/>
        <w:t>2031</w:t>
      </w:r>
      <w:r>
        <w:rPr/>
        <w:t>年集团收入</w:t>
      </w:r>
      <w:r>
        <w:rPr/>
        <w:t>220.5</w:t>
      </w:r>
      <w:r>
        <w:rPr/>
        <w:t>亿港元、正常归母</w:t>
      </w:r>
      <w:r>
        <w:rPr/>
        <w:t>49.730</w:t>
      </w:r>
      <w:r>
        <w:rPr/>
        <w:t>亿元，属于较强增长场景，不能把它理解为未来报表一定达到的经营指导。乐观</w:t>
      </w:r>
      <w:r>
        <w:rPr/>
        <w:t>45.7045</w:t>
      </w:r>
      <w:r>
        <w:rPr/>
        <w:t>港元需要收入</w:t>
      </w:r>
      <w:r>
        <w:rPr/>
        <w:t>304</w:t>
      </w:r>
      <w:r>
        <w:rPr/>
        <w:t>亿港元、毛利和渠道效率更好，同时认可</w:t>
      </w:r>
      <w:r>
        <w:rPr/>
        <w:t>16</w:t>
      </w:r>
      <w:r>
        <w:rPr/>
        <w:t>倍正常盈利；其高回报必须以更多产品商业成功和高现金利润为代价。五年</w:t>
      </w:r>
      <w:r>
        <w:rPr/>
        <w:t>70.2</w:t>
      </w:r>
      <w:r>
        <w:rPr/>
        <w:t>分仍受治理和资本强度约束，不能因为时间长就对并购价格、贷款回收和临床失败降低要求。</w:t>
      </w:r>
    </w:p>
    <w:p>
      <w:pPr>
        <w:pStyle w:val="Normal"/>
        <w:rPr/>
      </w:pPr>
      <w:r>
        <w:rPr/>
        <w:t>十年展望不继续给出精确股价，而是检验经营是否存在延长路径。核药的需求可随精准诊疗扩大，生产质控、核素供应和医生网络有机会形成积累，眼科也可能通过持续产品迭代维持渠道价值。但旧药、单一许可和周期产品不会永久高增长，平台要在旧产品到期之前接上新产品，并为资本成本赚取足够回报。若远大成为只靠并购扩大收入、自由现金长期不足的组合，十年规模更大未必使每股价值更高。持续性证据应包括稳定研发产出、合理许可条款、独立治理、经营现金覆盖项目及分红，以及成熟团队对安全、质量和国际注册的长期执行。</w:t>
      </w:r>
    </w:p>
    <w:p>
      <w:pPr>
        <w:pStyle w:val="Heading2"/>
        <w:rPr/>
      </w:pPr>
      <w:r>
        <w:rPr>
          <w:color w:val="000000"/>
        </w:rPr>
        <w:t>宏观与海外政策的公司传导</w:t>
      </w:r>
    </w:p>
    <w:p>
      <w:pPr>
        <w:pStyle w:val="Normal"/>
        <w:rPr/>
      </w:pPr>
      <w:r>
        <w:rPr/>
        <w:t>利率下降有助于减少远大的融资费用，但效果取决于借款结构、展期时间和实际利率，不应直接把宏观降息全部转成公司利润。人民币与港币变化会影响财报折算、海外许可付款和金融资产，上市股价以港币计，人民币投资者还承担港币兑人民币变化。模型财务本身港币计价，因此</w:t>
      </w:r>
      <w:r>
        <w:rPr/>
        <w:t>FX</w:t>
      </w:r>
      <w:r>
        <w:rPr/>
        <w:t>设一倍，父总表另外展示兑换敏感性，不把港币利润再误乘人民币换算。消费和下游营养需求影响氨基酸，医院资本开支与患者支付影响介入和核药，医保规则影响成熟药价格。公司不同业务对同一经济变量的方向不完全相同，不能只因宏观前景改善就整体提高所有收入增长。</w:t>
      </w:r>
    </w:p>
    <w:p>
      <w:pPr>
        <w:pStyle w:val="Normal"/>
        <w:rPr/>
      </w:pPr>
      <w:r>
        <w:rPr/>
        <w:t>海外政策涉及技术许可、临床合作、数据、投资及生产供应，每种规则的范围和时间不同。公开泛医药政策报道不能被写成已经对遠大某项合作造成取消或利好，也不能替代具体合同权利核验。核药有特殊放射物运输、生产和医疗准入需求，跨境药品注册还要符合当地临床与质量要求。远大拥有国内基地可减轻部分供货依赖，海外合作仍可能受核素、设备、技术转移及支付条款影响。情景中对风险采用商业放量和融资成本差异，而没有编造尚未公开的制裁事件。如果后续有具体监管限制，应按影响的项目、地区和现金义务逐项重算，避免把行业新闻当成全公司损失或收益。</w:t>
      </w:r>
    </w:p>
    <w:p>
      <w:pPr>
        <w:pStyle w:val="Heading2"/>
        <w:rPr/>
      </w:pPr>
      <w:r>
        <w:rPr>
          <w:color w:val="000000"/>
        </w:rPr>
        <w:t>外资目标价核验与证据等级</w:t>
      </w:r>
    </w:p>
    <w:p>
      <w:pPr>
        <w:pStyle w:val="Normal"/>
        <w:rPr/>
      </w:pPr>
      <w:r>
        <w:rPr/>
        <w:t>公开资料中可核旧参照为</w:t>
      </w:r>
      <w:r>
        <w:rPr/>
        <w:t>2025</w:t>
      </w:r>
      <w:r>
        <w:rPr/>
        <w:t>年</w:t>
      </w:r>
      <w:r>
        <w:rPr/>
        <w:t>8</w:t>
      </w:r>
      <w:r>
        <w:rPr/>
        <w:t>月</w:t>
      </w:r>
      <w:r>
        <w:rPr/>
        <w:t>13</w:t>
      </w:r>
      <w:r>
        <w:rPr/>
        <w:t>日中金</w:t>
      </w:r>
      <w:r>
        <w:rPr/>
        <w:t>9.6</w:t>
      </w:r>
      <w:r>
        <w:rPr/>
        <w:t>港元、跑赢行业，属于中资机构且距截止超过一年。其目标期限在公开转载中未明确，不能伪装成最近九十天的外资十二个月目标。研究尝试核验其他转载链接，部分仅返回网页导航和关联新闻，不保留虚构机构或日期。</w:t>
      </w:r>
      <w:r>
        <w:rPr/>
        <w:t>2026</w:t>
      </w:r>
      <w:r>
        <w:rPr/>
        <w:t>年</w:t>
      </w:r>
      <w:r>
        <w:rPr/>
        <w:t>9</w:t>
      </w:r>
      <w:r>
        <w:rPr/>
        <w:t>月摩根大通泛医药</w:t>
      </w:r>
      <w:r>
        <w:rPr/>
        <w:t>COINS</w:t>
      </w:r>
      <w:r>
        <w:rPr/>
        <w:t>政策报道没有远大个股目标，不能借它给远大添加“外资看好”记录。最新外资公开目标价缺失本身是证据限制，不表示机构无人覆盖，也不表示模型合理性更高。结论依靠财报、实际行情与公开假设，不能用没有原始报告的市场传闻增强评分。</w:t>
      </w:r>
    </w:p>
    <w:p>
      <w:pPr>
        <w:pStyle w:val="Normal"/>
        <w:rPr/>
      </w:pPr>
      <w:r>
        <w:rPr/>
        <w:t>财务数据和最新收盘及历史行情的可信度较高，分部毛利、现金季节性、未来联营分配与产品长期收入可信度中或偏低。公司中报未审计且由审计委员会审阅，年报审计意见与具体发布时间记录在来源。行情有七根</w:t>
      </w:r>
      <w:r>
        <w:rPr/>
        <w:t>Yahoo</w:t>
      </w:r>
      <w:r>
        <w:rPr/>
        <w:t>原始</w:t>
      </w:r>
      <w:r>
        <w:rPr/>
        <w:t>OHLC</w:t>
      </w:r>
      <w:r>
        <w:rPr/>
        <w:t>逻辑错误，已按腾讯同日完整记录修复，保留异常日志，不通过修复抹去数据限制。技术图使用真实复权历史与股单位成交量，不使用补造均线。现价、目标、评分和正文按同一版本输出；输入更改后重新核算。证据等级独立于推荐分，避免读者把较高回报数字或较多表格误当成更高事实确定性。</w:t>
      </w:r>
    </w:p>
    <w:p>
      <w:pPr>
        <w:pStyle w:val="Heading2"/>
        <w:rPr/>
      </w:pPr>
      <w:r>
        <w:rPr>
          <w:color w:val="000000"/>
        </w:rPr>
        <w:t>推荐失效条件与后续核验</w:t>
      </w:r>
    </w:p>
    <w:p>
      <w:pPr>
        <w:pStyle w:val="Normal"/>
        <w:rPr/>
      </w:pPr>
      <w:r>
        <w:rPr/>
        <w:t>远大推荐的首要失效条件是核药和新品增长无法覆盖传统业务毛利损失，或销售扩张主要依靠应收及渠道库存而没有相应终端使用。若下一年度研究正常归母明显低于约</w:t>
      </w:r>
      <w:r>
        <w:rPr/>
        <w:t>24.9</w:t>
      </w:r>
      <w:r>
        <w:rPr/>
        <w:t>亿港元基准，应检查收入类别、毛利与费用哪个环节偏离，分别下修，不用新增一次性收益填补模型。现金失效条件包括年末回款未恢复、</w:t>
      </w:r>
      <w:r>
        <w:rPr/>
        <w:t>PPE</w:t>
      </w:r>
      <w:r>
        <w:rPr/>
        <w:t>和许可付款超预算、联营贷款再延期且无可核偿付安排、银行续借或控制权条款出现实质问题。临床失效包括核心注册补充要求、重要试验失败或显著安全信号；商业失效则是患者支付与医院使用量持续低于预期。每项都足以改变推荐，不能只等待价格回到原目标。</w:t>
      </w:r>
    </w:p>
    <w:p>
      <w:pPr>
        <w:pStyle w:val="Normal"/>
        <w:rPr/>
      </w:pPr>
      <w:r>
        <w:rPr/>
        <w:t>后续核验应围绕少数真正能改变价值的事实：</w:t>
      </w:r>
      <w:r>
        <w:rPr/>
        <w:t>2026</w:t>
      </w:r>
      <w:r>
        <w:rPr/>
        <w:t>年下半年现金与正常利润是否接续，</w:t>
      </w:r>
      <w:r>
        <w:rPr/>
        <w:t>2027</w:t>
      </w:r>
      <w:r>
        <w:rPr/>
        <w:t>年核药、眼科和介入真实收入是否达到规模，三类毛利分拆能否由更完整披露修正，</w:t>
      </w:r>
      <w:r>
        <w:rPr/>
        <w:t>Sphere</w:t>
      </w:r>
      <w:r>
        <w:rPr/>
        <w:t>贷款和联营现金分配如何变化，资本承诺与实际支付是否匹配。技术更新要重新计算当时均线和成交，不机械保留今日</w:t>
      </w:r>
      <w:r>
        <w:rPr/>
        <w:t>5.055</w:t>
      </w:r>
      <w:r>
        <w:rPr/>
        <w:t>或</w:t>
      </w:r>
      <w:r>
        <w:rPr/>
        <w:t>4.53</w:t>
      </w:r>
      <w:r>
        <w:rPr/>
        <w:t>为永久价位。研究状态保存模型、行情和正文版本，保证不同批次可衔接。进取标准允许选择高潜在收益的转型公司，远大的吸引力正在这种转型；持有理由却必须持续由真实经营、普通股权益和现金回报支持，不能由最初看到的上涨空间独自维持。</w:t>
      </w:r>
    </w:p>
    <w:p>
      <w:pPr>
        <w:pStyle w:val="Heading2"/>
        <w:rPr/>
      </w:pPr>
      <w:r>
        <w:rPr>
          <w:color w:val="000000"/>
        </w:rPr>
        <w:t>来源</w:t>
      </w:r>
    </w:p>
    <w:p>
      <w:pPr>
        <w:pStyle w:val="Normal"/>
        <w:rPr/>
      </w:pPr>
      <w:r>
        <w:rPr/>
        <w:t>财报单位为港币千元，股数为股，模型金额为港币十亿元。公告发布时间均按港交所页面记录，主要资料在收盘后发布。以下原件截至</w:t>
      </w:r>
      <w:r>
        <w:rPr/>
        <w:t>2026</w:t>
      </w:r>
      <w:r>
        <w:rPr/>
        <w:t>年</w:t>
      </w:r>
      <w:r>
        <w:rPr/>
        <w:t>10</w:t>
      </w:r>
      <w:r>
        <w:rPr/>
        <w:t>月</w:t>
      </w:r>
      <w:r>
        <w:rPr/>
        <w:t>9</w:t>
      </w:r>
      <w:r>
        <w:rPr/>
        <w:t>日可取得；全部来源与下载文件另见</w:t>
      </w:r>
      <w:r>
        <w:rPr/>
        <w:t>data/grand_pharma_sources.json</w:t>
      </w:r>
      <w:r>
        <w:rPr/>
        <w:t>。</w:t>
      </w:r>
    </w:p>
    <w:p>
      <w:pPr>
        <w:pStyle w:val="Normal"/>
        <w:rPr/>
      </w:pPr>
      <w:r>
        <w:rPr/>
        <w:t>- 2025</w:t>
      </w:r>
      <w:r>
        <w:rPr/>
        <w:t xml:space="preserve">年年报 </w:t>
      </w:r>
      <w:r>
        <w:rPr/>
        <w:t>2026-04-29 20:01 https://www1.hkexnews.hk/listedco/listconews/sehk/2026/0429/2026042904316.pdf</w:t>
      </w:r>
    </w:p>
    <w:p>
      <w:pPr>
        <w:pStyle w:val="Normal"/>
        <w:rPr/>
      </w:pPr>
      <w:r>
        <w:rPr/>
        <w:t>- 2026</w:t>
      </w:r>
      <w:r>
        <w:rPr/>
        <w:t xml:space="preserve">年中报 </w:t>
      </w:r>
      <w:r>
        <w:rPr/>
        <w:t>2026-09-24 17:10 https://www1.hkexnews.hk/listedco/listconews/sehk/2026/0924/2026092400976.pdf</w:t>
      </w:r>
    </w:p>
    <w:p>
      <w:pPr>
        <w:pStyle w:val="Normal"/>
        <w:rPr/>
      </w:pPr>
      <w:r>
        <w:rPr/>
        <w:t>- 2026</w:t>
      </w:r>
      <w:r>
        <w:rPr/>
        <w:t xml:space="preserve">中期业绩 </w:t>
      </w:r>
      <w:r>
        <w:rPr/>
        <w:t>2026-08-26 21:38 https://www1.hkexnews.hk/listedco/listconews/sehk/2026/0826/2026082601751.pdf</w:t>
      </w:r>
    </w:p>
    <w:p>
      <w:pPr>
        <w:pStyle w:val="Normal"/>
        <w:rPr/>
      </w:pPr>
      <w:r>
        <w:rPr/>
        <w:t xml:space="preserve">- </w:t>
      </w:r>
      <w:r>
        <w:rPr/>
        <w:t xml:space="preserve">九月月报 </w:t>
      </w:r>
      <w:r>
        <w:rPr/>
        <w:t>2026-10-05 16:38 https://www1.hkexnews.hk/listedco/listconews/sehk/2026/1005/2026100501012.pdf</w:t>
      </w:r>
    </w:p>
    <w:p>
      <w:pPr>
        <w:pStyle w:val="Normal"/>
        <w:rPr/>
      </w:pPr>
      <w:r>
        <w:rPr/>
        <w:t xml:space="preserve">- </w:t>
      </w:r>
      <w:r>
        <w:rPr/>
        <w:t xml:space="preserve">盈警 </w:t>
      </w:r>
      <w:r>
        <w:rPr/>
        <w:t>2026-03-20 22:30 https://www1.hkexnews.hk/listedco/listconews/sehk/2026/0320/2026032001826.pdf</w:t>
      </w:r>
    </w:p>
    <w:p>
      <w:pPr>
        <w:pStyle w:val="Normal"/>
        <w:rPr/>
      </w:pPr>
      <w:r>
        <w:rPr/>
        <w:t>- 8</w:t>
      </w:r>
      <w:r>
        <w:rPr/>
        <w:t xml:space="preserve">亿港币贷款及控制人条款 </w:t>
      </w:r>
      <w:r>
        <w:rPr/>
        <w:t>2026-03-19 17:54 https://www1.hkexnews.hk/listedco/listconews/sehk/2026/0319/2026031900849.pdf</w:t>
      </w:r>
    </w:p>
    <w:p>
      <w:pPr>
        <w:pStyle w:val="Normal"/>
        <w:rPr/>
      </w:pPr>
      <w:r>
        <w:rPr/>
        <w:t>- TP-03</w:t>
      </w:r>
      <w:r>
        <w:rPr/>
        <w:t xml:space="preserve">获中国注册 </w:t>
      </w:r>
      <w:r>
        <w:rPr/>
        <w:t>2026-03-22 18:03 https://www1.hkexnews.hk/listedco/listconews/sehk/2026/0322/2026032200001.pdf</w:t>
      </w:r>
    </w:p>
    <w:p>
      <w:pPr>
        <w:pStyle w:val="Normal"/>
        <w:rPr/>
      </w:pPr>
      <w:r>
        <w:rPr/>
        <w:t>- TLX591-CDx</w:t>
      </w:r>
      <w:r>
        <w:rPr/>
        <w:t xml:space="preserve">申请受理 </w:t>
      </w:r>
      <w:r>
        <w:rPr/>
        <w:t>2026-01-19 17:53 https://www1.hkexnews.hk/listedco/listconews/sehk/2026/0119/2026011900594.pdf</w:t>
      </w:r>
    </w:p>
    <w:p>
      <w:pPr>
        <w:pStyle w:val="Normal"/>
        <w:rPr/>
      </w:pPr>
      <w:r>
        <w:rPr/>
        <w:t>- GPN01530-2</w:t>
      </w:r>
      <w:r>
        <w:rPr/>
        <w:t xml:space="preserve">快速通道 </w:t>
      </w:r>
      <w:r>
        <w:rPr/>
        <w:t>2026-08-09 18:04 https://www1.hkexnews.hk/listedco/listconews/sehk/2026/0809/2026080900003.pdf</w:t>
      </w:r>
    </w:p>
    <w:p>
      <w:pPr>
        <w:pStyle w:val="Normal"/>
        <w:rPr/>
      </w:pPr>
      <w:r>
        <w:rPr/>
        <w:t xml:space="preserve">- </w:t>
      </w:r>
      <w:r>
        <w:rPr/>
        <w:t xml:space="preserve">钇九十美国临床终点 </w:t>
      </w:r>
      <w:r>
        <w:rPr/>
        <w:t>2026-04-13 21:07 https://www1.hkexnews.hk/listedco/listconews/sehk/2026/0413/2026041301312.pdf</w:t>
      </w:r>
    </w:p>
    <w:p>
      <w:pPr>
        <w:pStyle w:val="Normal"/>
        <w:rPr/>
      </w:pPr>
      <w:r>
        <w:rPr/>
        <w:t xml:space="preserve">- </w:t>
      </w:r>
      <w:r>
        <w:rPr/>
        <w:t xml:space="preserve">关联收购补充公告 </w:t>
      </w:r>
      <w:r>
        <w:rPr/>
        <w:t>2026-02-03 17:05 https://www1.hkexnews.hk/listedco/listconews/sehk/2026/0203/2026020301421.pdf</w:t>
      </w:r>
    </w:p>
    <w:p>
      <w:pPr>
        <w:pStyle w:val="Normal"/>
        <w:rPr/>
      </w:pPr>
      <w:r>
        <w:rPr/>
        <w:t xml:space="preserve">- </w:t>
      </w:r>
      <w:r>
        <w:rPr/>
        <w:t xml:space="preserve">中金旧目标转载 </w:t>
      </w:r>
      <w:r>
        <w:rPr/>
        <w:t>2025-08-13 14:14 https://www.aastocks.com/tc/stocks/analysis/stock-aafn-con/00512/AAFN/NOW.1460664/research-report</w:t>
      </w:r>
    </w:p>
    <w:p>
      <w:pPr>
        <w:pStyle w:val="Normal"/>
        <w:rPr/>
      </w:pPr>
      <w:r>
        <w:rPr/>
        <w:t xml:space="preserve">- </w:t>
      </w:r>
      <w:r>
        <w:rPr/>
        <w:t xml:space="preserve">行情锁定 </w:t>
      </w:r>
      <w:r>
        <w:rPr/>
        <w:t>data/market_snapshot_locked.json market-v1.6</w:t>
      </w:r>
      <w:r>
        <w:rPr/>
        <w:t>，</w:t>
      </w:r>
      <w:r>
        <w:rPr/>
        <w:t>2023-10-09</w:t>
      </w:r>
      <w:r>
        <w:rPr/>
        <w:t>至</w:t>
      </w:r>
      <w:r>
        <w:rPr/>
        <w:t>2026-10-09</w:t>
      </w:r>
      <w:r>
        <w:rPr/>
        <w:t>真实日线及周线；腾讯、新浪报价与</w:t>
      </w:r>
      <w:r>
        <w:rPr/>
        <w:t>Yahoo</w:t>
      </w:r>
      <w:r>
        <w:rPr/>
        <w:t>历史交叉核验。</w:t>
      </w:r>
      <w:r>
        <w:br w:type="page"/>
      </w:r>
    </w:p>
    <w:p>
      <w:pPr>
        <w:pStyle w:val="Heading1"/>
        <w:spacing w:before="0" w:after="0"/>
        <w:rPr/>
      </w:pPr>
      <w:bookmarkStart w:id="5" w:name="__RefHeading___Toc48424_1364803659"/>
      <w:bookmarkEnd w:id="5"/>
      <w:r>
        <w:rPr>
          <w:color w:val="000000"/>
        </w:rPr>
        <w:t xml:space="preserve">再鼎医药 </w:t>
      </w:r>
      <w:r>
        <w:rPr>
          <w:color w:val="000000"/>
        </w:rPr>
        <w:t>09688 HK</w:t>
      </w:r>
    </w:p>
    <w:p>
      <w:pPr>
        <w:pStyle w:val="Normal"/>
        <w:rPr/>
      </w:pPr>
      <w:r>
        <w:rPr/>
        <w:t xml:space="preserve">09688.HK </w:t>
      </w:r>
      <w:r>
        <w:rPr/>
        <w:t xml:space="preserve">现价 </w:t>
      </w:r>
      <w:r>
        <w:rPr/>
        <w:t>19.25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58.90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-28.61%</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-34.43%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-34.43%</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9</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65.90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20.23</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+5.10%</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15.78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-18.04%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41.04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+113.21%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19.59HKD</w:t>
      </w:r>
      <w:r>
        <w:rPr/>
        <w:t>，期望股价回报</w:t>
      </w:r>
      <w:r>
        <w:rPr/>
        <w:t>+1.78%</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13.74</w:t>
              <w:br/>
              <w:t>-28.61%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57.89</w:t>
              <w:br/>
              <w:t>+200.72%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12.62</w:t>
              <w:br/>
              <w:t>-34.43%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87.69</w:t>
              <w:br/>
              <w:t>+355.55%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15.99</w:t>
              <w:br/>
              <w:t>-16.94%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106.18</w:t>
              <w:br/>
              <w:t>+451.58%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br/>
              <w:t>-100.00%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20.23</w:t>
              <w:br/>
              <w:t>+5.10%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128.46</w:t>
              <w:br/>
              <w:t>+567.32%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-32.18%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-37.71%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-34.43%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-31.15%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-21.10%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-16.94%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+10.35%</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研究基准：</w:t>
      </w:r>
      <w:r>
        <w:rPr/>
        <w:t>2026</w:t>
      </w:r>
      <w:r>
        <w:rPr/>
        <w:t>年</w:t>
      </w:r>
      <w:r>
        <w:rPr/>
        <w:t>10</w:t>
      </w:r>
      <w:r>
        <w:rPr/>
        <w:t>月</w:t>
      </w:r>
      <w:r>
        <w:rPr/>
        <w:t>9</w:t>
      </w:r>
      <w:r>
        <w:rPr/>
        <w:t>日香港收盘，</w:t>
      </w:r>
      <w:r>
        <w:rPr/>
        <w:t>09688.HK</w:t>
      </w:r>
      <w:r>
        <w:rPr/>
        <w:t>，</w:t>
      </w:r>
      <w:r>
        <w:rPr/>
        <w:t>I039 / S046</w:t>
      </w:r>
      <w:r>
        <w:rPr/>
        <w:t>；现价</w:t>
      </w:r>
      <w:r>
        <w:rPr/>
        <w:t>19.25</w:t>
      </w:r>
      <w:r>
        <w:rPr/>
        <w:t>港元；模型</w:t>
      </w:r>
      <w:r>
        <w:rPr/>
        <w:t>zai-v2-actualTradingTarget-netTaxRewards</w:t>
      </w:r>
      <w:r>
        <w:rPr/>
        <w:t>。资料截至收盘前；</w:t>
      </w:r>
      <w:r>
        <w:rPr/>
        <w:t>10</w:t>
      </w:r>
      <w:r>
        <w:rPr/>
        <w:t>月下旬</w:t>
      </w:r>
      <w:r>
        <w:rPr/>
        <w:t>ESMO</w:t>
      </w:r>
      <w:r>
        <w:rPr/>
        <w:t>结果不纳入。一年实际目标</w:t>
      </w:r>
      <w:r>
        <w:rPr/>
        <w:t>2027</w:t>
      </w:r>
      <w:r>
        <w:rPr/>
        <w:t>年</w:t>
      </w:r>
      <w:r>
        <w:rPr/>
        <w:t>10</w:t>
      </w:r>
      <w:r>
        <w:rPr/>
        <w:t>月</w:t>
      </w:r>
      <w:r>
        <w:rPr/>
        <w:t>7</w:t>
      </w:r>
      <w:r>
        <w:rPr/>
        <w:t>日，</w:t>
      </w:r>
      <w:r>
        <w:rPr/>
        <w:t>10</w:t>
      </w:r>
      <w:r>
        <w:rPr/>
        <w:t>月</w:t>
      </w:r>
      <w:r>
        <w:rPr/>
        <w:t>8</w:t>
      </w:r>
      <w:r>
        <w:rPr/>
        <w:t>日重阳节和</w:t>
      </w:r>
      <w:r>
        <w:rPr/>
        <w:t>10</w:t>
      </w:r>
      <w:r>
        <w:rPr/>
        <w:t>月</w:t>
      </w:r>
      <w:r>
        <w:rPr/>
        <w:t>9</w:t>
      </w:r>
      <w:r>
        <w:rPr/>
        <w:t>日周末均休市；折现按实际日期。有效汉字仅计独立正文，标题、表格与来源不计。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指标</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半年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一年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三年</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五年</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得分</w:t>
            </w:r>
            <w:r>
              <w:rPr>
                <w:rFonts w:eastAsia="微软雅黑" w:ascii="微软雅黑" w:hAnsi="微软雅黑"/>
                <w:sz w:val="17"/>
              </w:rPr>
              <w:t>/100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悲观目标</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基准目标</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13.7426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12.6224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15.9881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20.2317</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乐观目标</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57.8891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87.6941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106.1791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128.4599</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基准股价及含息回报</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28.61%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34.43%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16.94%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基准年化回报</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6.00%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累计股息</w:t>
            </w:r>
            <w:r>
              <w:rPr>
                <w:rFonts w:eastAsia="微软雅黑" w:ascii="微软雅黑" w:hAnsi="微软雅黑"/>
                <w:sz w:val="17"/>
              </w:rPr>
              <w:t>HKD</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r>
    </w:tbl>
    <w:p>
      <w:pPr>
        <w:pStyle w:val="Normal"/>
        <w:rPr/>
      </w:pPr>
      <w:r>
        <w:rPr/>
      </w:r>
    </w:p>
    <w:p>
      <w:pPr>
        <w:pStyle w:val="Normal"/>
        <w:rPr/>
      </w:pPr>
      <w:r>
        <w:rPr/>
        <w:t>再鼎应归入临床催化较强的进取观察梯队，当前尚未成为本研究的最高优先核心。公司已有真实药品销售和覆盖主要医院的商业体系，全球</w:t>
      </w:r>
      <w:r>
        <w:rPr/>
        <w:t>DLL3</w:t>
      </w:r>
      <w:r>
        <w:rPr/>
        <w:t>开发又带来较大的选择权。但上半年产品收入下降，医保净价和竞品采购改变既有业务表现，全球研发、授权付款和新增股数继续影响现金。近期技术相对强度改善，比完全没有商业基础的早期平台更可观察；半年、一年和三年基准估值低于现价，五年基准回报仅约百分之五，不能用乐观数倍价格替代风险判断。</w:t>
      </w:r>
    </w:p>
    <w:p>
      <w:pPr>
        <w:pStyle w:val="Normal"/>
        <w:rPr/>
      </w:pPr>
      <w:r>
        <w:rPr/>
        <w:t>最重要的投资命题是商业渠道能否稳定贡献现金，并以可承担的资本支持全球研发。半年收益更可能来自十月临床披露、全球注册安排及市场重估；一年要验证销售恢复和融资条件；三至五年才检验全球产品批准后的净利润、区域新药和股份分母。全球商业权不等于全部利润，自有发现项目也不等于必定上市。只有真实数据、可用资金和合理采购许可成本共同改善，评分才具备上修理由。</w:t>
      </w:r>
    </w:p>
    <w:p>
      <w:pPr>
        <w:pStyle w:val="Normal"/>
        <w:rPr/>
      </w:pPr>
      <w:r>
        <w:rPr/>
        <w:t>证据可信度为中。历史损益、借款、受限现金、产品收入和既有批准有原始公告或财报；临床未来结果、市场份额、药价、融资及分配政策是研究假设。半年、一年、三年、五年评分分别为五十八点九、六十一、六十四和六十五点九，低估值维度压低了较强催化和需求得分。分数是统一维度后的排序，不是获利概率；相邻差小于三分应放同一梯队，不能把小数当确定优劣。</w:t>
      </w:r>
    </w:p>
    <w:p>
      <w:pPr>
        <w:pStyle w:val="Heading2"/>
        <w:rPr/>
      </w:pPr>
      <w:r>
        <w:rPr>
          <w:color w:val="000000"/>
        </w:rPr>
        <w:t>一 业务模式与全球化边界</w:t>
      </w:r>
    </w:p>
    <w:p>
      <w:pPr>
        <w:pStyle w:val="Normal"/>
        <w:rPr/>
      </w:pPr>
      <w:r>
        <w:rPr/>
        <w:t>再鼎从引进国际药物的大中华开发和商业化业务起步，逐渐形成全球研发与区域销售并存的结构。已经上市的肿瘤、免疫和抗感染产品有真实患者需求，全球资产则还需要临床和注册验证。对公司而言，商业销售可减少对融资的单一依赖，也让收入更容易受医保和医院执行影响。它既不能按单一亏损平台只看管线数量，也不能按成熟制药企业把全部未来研发简单视为自由可削减费用。</w:t>
      </w:r>
    </w:p>
    <w:p>
      <w:pPr>
        <w:pStyle w:val="Normal"/>
        <w:rPr/>
      </w:pPr>
      <w:r>
        <w:rPr/>
        <w:t>区域引进的优点是原始机制与部分全球证据已由伙伴建立，国内团队可以集中于桥接试验、审评、生产供应和市场准入。进入已有科学路径降低某些发现风险，但换取的是有限地区权利，必须支付采购、许可费及里程碑。药物全球销售可能非常大，属于再鼎的主要经济仍是被许可区域的净产品收入及利润。把</w:t>
      </w:r>
      <w:r>
        <w:rPr/>
        <w:t>argenx</w:t>
      </w:r>
      <w:r>
        <w:rPr/>
        <w:t>、</w:t>
      </w:r>
      <w:r>
        <w:rPr/>
        <w:t>Vertex</w:t>
      </w:r>
      <w:r>
        <w:rPr/>
        <w:t>或其他伙伴美国销售整体计入再鼎，会高估公司可得现金。</w:t>
      </w:r>
    </w:p>
    <w:p>
      <w:pPr>
        <w:pStyle w:val="Normal"/>
        <w:rPr/>
      </w:pPr>
      <w:r>
        <w:rPr/>
        <w:t>全球研发的收益上限更高，也让资本需求和控制责任明显上升。</w:t>
      </w:r>
      <w:r>
        <w:rPr/>
        <w:t>Zoci</w:t>
      </w:r>
      <w:r>
        <w:rPr/>
        <w:t>的基础</w:t>
      </w:r>
      <w:r>
        <w:rPr/>
        <w:t>ADC</w:t>
      </w:r>
      <w:r>
        <w:rPr/>
        <w:t>来自</w:t>
      </w:r>
      <w:r>
        <w:rPr/>
        <w:t>MediLink</w:t>
      </w:r>
      <w:r>
        <w:rPr/>
        <w:t>全球许可，再鼎负责后续研究、注册和商业化，不能把它称为完全没有上游权利负担的自主发现药。</w:t>
      </w:r>
      <w:r>
        <w:rPr/>
        <w:t>ZL-1503</w:t>
      </w:r>
      <w:r>
        <w:rPr/>
        <w:t>则是内部开发的双抗，早期自身免疫及其他全球项目具有不同知识产权来源。经营分析要区分发现归属、全球开发控制、供货及未来特许费，而不是将“全球管线”四个字视为统一经济质量。</w:t>
      </w:r>
    </w:p>
    <w:p>
      <w:pPr>
        <w:pStyle w:val="Normal"/>
        <w:rPr/>
      </w:pPr>
      <w:r>
        <w:rPr/>
        <w:t>已建立的商业基础包括医学事务、市场准入、分销商管理和主要医疗中心覆盖，但它不是一个可以无成本复制到美国的网络。中国肿瘤医院、抗感染采购和免疫患者服务需要不同渠道，神经精神领域又要求长期医生教育与依从性管理。国际商业化可能需要独立团队、伙伴或合作，研究已为全球新药收入计增量销售费用。现有国内销售组织可以支持新适应症，却不能直接承担全球市场全部任务。</w:t>
      </w:r>
    </w:p>
    <w:p>
      <w:pPr>
        <w:pStyle w:val="Normal"/>
        <w:rPr/>
      </w:pPr>
      <w:r>
        <w:rPr/>
        <w:t>业务判断还要关注同一公司收入与利润不同的含义。药品销售增长可能伴随医保降价、供货采购费和新适应症推广，使毛利或经营利润暂时变弱。区域授权首付和合作补偿也可能带来收入，但不代表患者购买形成的持续需求。模型将八款既有产品和十四个区域适应症资产分开，保留完整研发及许可资本支出，尽量使收入、净贡献与现金回收处于同一口径。</w:t>
      </w:r>
    </w:p>
    <w:p>
      <w:pPr>
        <w:pStyle w:val="Normal"/>
        <w:rPr/>
      </w:pPr>
      <w:r>
        <w:rPr/>
        <w:t>公司以美元报告，但大部分现有商业活动产生人民币销售并支付国内费用。美元计价收入同比受汇率影响，恒定汇率增长与报告增长不能混为一谈。上半年产品报告收入跌约百分之六，而恒定汇率跌约百分之十，说明人民币折算在一定程度上掩盖了经营下滑。对经营质量的判断优先看实际患者、净价和销量，汇率收益不作为药品竞争优势加分。</w:t>
      </w:r>
    </w:p>
    <w:p>
      <w:pPr>
        <w:pStyle w:val="Heading2"/>
        <w:rPr/>
      </w:pPr>
      <w:r>
        <w:rPr>
          <w:color w:val="000000"/>
        </w:rPr>
        <w:t>二 既有肿瘤产品 收入可见 竞争不能忽略</w:t>
      </w:r>
    </w:p>
    <w:p>
      <w:pPr>
        <w:pStyle w:val="Normal"/>
        <w:rPr/>
      </w:pPr>
      <w:r>
        <w:rPr/>
        <w:t>则乐即</w:t>
      </w:r>
      <w:r>
        <w:rPr/>
        <w:t>ZEJULA</w:t>
      </w:r>
      <w:r>
        <w:rPr/>
        <w:t>为尼拉帕利，抑制</w:t>
      </w:r>
      <w:r>
        <w:rPr/>
        <w:t>PARP</w:t>
      </w:r>
      <w:r>
        <w:rPr/>
        <w:t>一二，主要用于卵巢癌维持治疗。其中国大陆、香港和澳门许可来自原</w:t>
      </w:r>
      <w:r>
        <w:rPr/>
        <w:t>Tesaro</w:t>
      </w:r>
      <w:r>
        <w:rPr/>
        <w:t>现</w:t>
      </w:r>
      <w:r>
        <w:rPr/>
        <w:t>GSK</w:t>
      </w:r>
      <w:r>
        <w:rPr/>
        <w:t>体系，台湾不应因其他产品大中华范围而自动纳入。维持治疗可以产生一定持续用药时间，但患者治疗线、基因状态和支付条件决定实际市场。不能将国内每年新增卵巢癌人数全部乘完整全年售价，因为部分患者不符合适应症、无法长期维持或采用其他治疗。</w:t>
      </w:r>
    </w:p>
    <w:p>
      <w:pPr>
        <w:pStyle w:val="Normal"/>
        <w:rPr/>
      </w:pPr>
      <w:r>
        <w:rPr/>
        <w:t>上半年则乐收入约六千二百零四点六万美元，同比下降百分之三十一，比总体产品下降更明显。财报明确归因于奥拉帕利仿制药进入采购后，医院用药模式发生改变。再鼎的药物不是同一分子参与那次竞价，但支付及医院行为仍会产生替代压力。这说明药物保有差异化证据和品牌不等于免疫于同类低价竞争；半年估值要承认这种商业冲击，不能只以药物机制不同否定销售数据。</w:t>
      </w:r>
    </w:p>
    <w:p>
      <w:pPr>
        <w:pStyle w:val="Normal"/>
        <w:rPr/>
      </w:pPr>
      <w:r>
        <w:rPr/>
        <w:t>PARP</w:t>
      </w:r>
      <w:r>
        <w:rPr/>
        <w:t>治疗的长期位置还取决于疗效证据、治疗线变化、安全和临床指南。对后线人群或不同分子分层，净获益与监管关注可能不同，不能把一种患者的成功推广到全部卵巢癌。竞争者价低可以扩大治疗可及性，也压低原有药净价与份额。模型基准既有则乐二〇二六年约一点二五亿美元，此后逐步下降而非快速恢复旧高增长；乐观仅在渠道和患者选择改善时获得相对稳定轨迹。</w:t>
      </w:r>
    </w:p>
    <w:p>
      <w:pPr>
        <w:pStyle w:val="Normal"/>
        <w:rPr/>
      </w:pPr>
      <w:r>
        <w:rPr/>
        <w:t>QINLOCK</w:t>
      </w:r>
      <w:r>
        <w:rPr/>
        <w:t>即瑞派替尼，是抑制</w:t>
      </w:r>
      <w:r>
        <w:rPr/>
        <w:t>KIT</w:t>
      </w:r>
      <w:r>
        <w:rPr/>
        <w:t>和</w:t>
      </w:r>
      <w:r>
        <w:rPr/>
        <w:t>PDGFRA</w:t>
      </w:r>
      <w:r>
        <w:rPr/>
        <w:t>的开关控制酪氨酸激酶药物，主要适用于接受多种既往激酶抑制治疗的晚期胃肠间质瘤。国内既有许可和医保准入给产品提供了真实基础，上半年收入约一千八百五十七点五万美元，同比增约百分之九。治疗人数小于初诊胃肠间质瘤总量，患者能否到达第四线及保持体能影响市场。它具有特定临床位置，不能当所有胃肠肿瘤广谱药赋峰值。</w:t>
      </w:r>
    </w:p>
    <w:p>
      <w:pPr>
        <w:pStyle w:val="Normal"/>
        <w:rPr/>
      </w:pPr>
      <w:r>
        <w:rPr/>
        <w:t>瑞派替尼的价值来自特定耐药突变覆盖和后线需求，而非单纯“靶向药”标签。新药或其他治疗顺序可能使后线患者减少，医保净价和治疗时间也会变化。再鼎地区许可来自</w:t>
      </w:r>
      <w:r>
        <w:rPr/>
        <w:t>Deciphera</w:t>
      </w:r>
      <w:r>
        <w:rPr/>
        <w:t>，其被国际公司整合后的战略及供货安排仍需关注。研究使用相对稳健的增长与贡献率，不把尚未取得的更前线标签包含在既有收入；后续新增适应症需要明确证据与权利。</w:t>
      </w:r>
    </w:p>
    <w:p>
      <w:pPr>
        <w:pStyle w:val="Normal"/>
        <w:rPr/>
      </w:pPr>
      <w:r>
        <w:rPr/>
        <w:t>AUGTYRO</w:t>
      </w:r>
      <w:r>
        <w:rPr/>
        <w:t>即瑞普替尼，是针对</w:t>
      </w:r>
      <w:r>
        <w:rPr/>
        <w:t>ROS1</w:t>
      </w:r>
      <w:r>
        <w:rPr/>
        <w:t>等融合相关肿瘤的新一代激酶抑制剂，区域权来自</w:t>
      </w:r>
      <w:r>
        <w:rPr/>
        <w:t>Turning Point</w:t>
      </w:r>
      <w:r>
        <w:rPr/>
        <w:t>现</w:t>
      </w:r>
      <w:r>
        <w:rPr/>
        <w:t>BMS</w:t>
      </w:r>
      <w:r>
        <w:rPr/>
        <w:t>体系。上半年收入约四百万五千美元，同比增长约百分之三十二，但基数仍小。</w:t>
      </w:r>
      <w:r>
        <w:rPr/>
        <w:t>ROS1</w:t>
      </w:r>
      <w:r>
        <w:rPr/>
        <w:t>及相关分子患者少，诊断覆盖、耐药患者和用药线决定渗透。更高百分比增长能说明早期推广进展，却不能直接解释为公司总收入大幅增长；它需要多个季度收入绝对额改善才能抵消则乐的大额下降。</w:t>
      </w:r>
    </w:p>
    <w:p>
      <w:pPr>
        <w:pStyle w:val="Normal"/>
        <w:rPr/>
      </w:pPr>
      <w:r>
        <w:rPr/>
        <w:t>小分子肿瘤产品通常有明确口服便利性和患者分层，但医生选择与支付非常重要。靶点患者数是可得市场上限的一部分，真实使用还受检测率、既有药和获批治疗线限制。模型</w:t>
      </w:r>
      <w:r>
        <w:rPr/>
        <w:t>AUGTYRO</w:t>
      </w:r>
      <w:r>
        <w:rPr/>
        <w:t>基准逐渐增长到二〇三二年约五千五百万美元，既承认新推广机会，也保持相对于患者范围的约束。这是研究轨迹，未将其写成公司销售指引或保证峰值。</w:t>
      </w:r>
    </w:p>
    <w:p>
      <w:pPr>
        <w:pStyle w:val="Normal"/>
        <w:rPr/>
      </w:pPr>
      <w:r>
        <w:rPr/>
        <w:t>TIVDAK</w:t>
      </w:r>
      <w:r>
        <w:rPr/>
        <w:t>为组织因子</w:t>
      </w:r>
      <w:r>
        <w:rPr/>
        <w:t>ADC</w:t>
      </w:r>
      <w:r>
        <w:rPr/>
        <w:t>，六月八日</w:t>
      </w:r>
      <w:r>
        <w:rPr/>
        <w:t>NMPA</w:t>
      </w:r>
      <w:r>
        <w:rPr/>
        <w:t>已经批准用于化疗后进展的复发或转移性宫颈癌患者。与未获批药不同，模型批准因子设一，不再以研究阶段成功率折减。但已有批准并不意味着自动达到广泛医保销售；眼部毒性管理、给药流程、患者状态、医生使用经验和净价均会影响商业化。新药上市是收入窗口打开，不能等同第一年进入峰值。</w:t>
      </w:r>
    </w:p>
    <w:p>
      <w:pPr>
        <w:pStyle w:val="Normal"/>
        <w:rPr/>
      </w:pPr>
      <w:r>
        <w:rPr/>
        <w:t>该产品在全球</w:t>
      </w:r>
      <w:r>
        <w:rPr/>
        <w:t>innovaTV301</w:t>
      </w:r>
      <w:r>
        <w:rPr/>
        <w:t>随机三期和中国亚群中有总生存获益依据，证据强于早期单臂缓解。评价应关注绝对生存、随访与不良事件，不因一个有统计意义终点就忽视实际治疗负担。再鼎仅有大中华许可，采购、上游</w:t>
      </w:r>
      <w:r>
        <w:rPr/>
        <w:t>ADC</w:t>
      </w:r>
      <w:r>
        <w:rPr/>
        <w:t>权利及批准后里程碑会影响净利润。模型将其独立为已批准的新商业资产，以有限爬坡而非成熟增长年化估计，也把相关无形付款放入资本现金预算。</w:t>
      </w:r>
    </w:p>
    <w:p>
      <w:pPr>
        <w:pStyle w:val="Normal"/>
        <w:rPr/>
      </w:pPr>
      <w:r>
        <w:rPr/>
        <w:t>OPTUNE</w:t>
      </w:r>
      <w:r>
        <w:rPr/>
        <w:t>肿瘤电场是设备治疗，既有主要为胶质母细胞瘤，不能按抗体或小分子销售逻辑完全类比。患者需要长时间佩戴设备，依从性、照护、皮肤管理、服务和保险支付都会影响疗效实现与收入。上半年收入约二千四百二十七点二万美元，同比约增百分之二。产品已形成细分需求，增长未显示足以单独改变整个公司盈利；设备与耗材价格和患者使用时间都应纳入商业判断。</w:t>
      </w:r>
    </w:p>
    <w:p>
      <w:pPr>
        <w:pStyle w:val="Normal"/>
        <w:rPr/>
      </w:pPr>
      <w:r>
        <w:rPr/>
        <w:t>胰腺癌新增方向来自</w:t>
      </w:r>
      <w:r>
        <w:rPr/>
        <w:t>PANOVA3</w:t>
      </w:r>
      <w:r>
        <w:rPr/>
        <w:t>，研究评估局部晚期不可切除患者，并联合吉西他滨及白蛋白紫杉醇。美国二月已经批准伙伴该适应症设备，国内去年第四季递交申报，但本研究未取得截至日中国批准依据。不能将局部晚期与全部转移胰腺癌患者相加，也不能把化疗整个账单算成设备收入。该新增资产与既有胶质瘤患者分开，基准商业化晚于乐观，体现国内审评及支付时间。</w:t>
      </w:r>
    </w:p>
    <w:p>
      <w:pPr>
        <w:pStyle w:val="Normal"/>
        <w:rPr/>
      </w:pPr>
      <w:r>
        <w:rPr/>
        <w:t>设备监管和药品监管不同，创新器械认定有助于审评沟通但不是上市许可。器械的长期使用要求又使真实世界执行尤其重要；即使试验总生存改善，若患者无法持续佩戴或费用负担过高，实际渗透可能有限。公司国内渠道和患者支持经验可降低部分进入成本，却需专门服务资源。模型新增设备贡献率低于若干全球药品，避免将设备服务开支忽略。</w:t>
      </w:r>
    </w:p>
    <w:p>
      <w:pPr>
        <w:pStyle w:val="Heading2"/>
        <w:rPr/>
      </w:pPr>
      <w:r>
        <w:rPr>
          <w:color w:val="000000"/>
        </w:rPr>
        <w:t>三 免疫和神经商业化 患者增长与医保净价并行</w:t>
      </w:r>
    </w:p>
    <w:p>
      <w:pPr>
        <w:pStyle w:val="Normal"/>
        <w:rPr/>
      </w:pPr>
      <w:r>
        <w:rPr/>
        <w:t>VYVGART</w:t>
      </w:r>
      <w:r>
        <w:rPr/>
        <w:t>艾加莫德通过</w:t>
      </w:r>
      <w:r>
        <w:rPr/>
        <w:t>FcRn</w:t>
      </w:r>
      <w:r>
        <w:rPr/>
        <w:t>影响循环</w:t>
      </w:r>
      <w:r>
        <w:rPr/>
        <w:t>IgG</w:t>
      </w:r>
      <w:r>
        <w:rPr/>
        <w:t>回收，现有主要涉及全身型重症肌无力，皮下制剂也已用于</w:t>
      </w:r>
      <w:r>
        <w:rPr/>
        <w:t>CIDP</w:t>
      </w:r>
      <w:r>
        <w:rPr/>
        <w:t>。再鼎拥有</w:t>
      </w:r>
      <w:r>
        <w:rPr/>
        <w:t>argenx</w:t>
      </w:r>
      <w:r>
        <w:rPr/>
        <w:t>给予的大中华开发商业权，伙伴全球销售与再鼎收入必须分开。</w:t>
      </w:r>
      <w:r>
        <w:rPr/>
        <w:t>IgG</w:t>
      </w:r>
      <w:r>
        <w:rPr/>
        <w:t>下降的机制可覆盖多个自身免疫病，但每个疾病的有效性、安全和治疗频次都需单独验证。模型既有收入含现行全身型与</w:t>
      </w:r>
      <w:r>
        <w:rPr/>
        <w:t>CIDP</w:t>
      </w:r>
      <w:r>
        <w:rPr/>
        <w:t>，不将同一患者使用静脉或皮下剂型重复计数。</w:t>
      </w:r>
    </w:p>
    <w:p>
      <w:pPr>
        <w:pStyle w:val="Normal"/>
        <w:rPr/>
      </w:pPr>
      <w:r>
        <w:rPr/>
        <w:t>上半年该产品收入约四千一百四十一点七万美元，同比下降约百分之七，财报说明主要由医保续约净价调整导致。第二季度患者相关销量保持双位数环比成长，产品收入也有修复，但量增尚不足以完全抵消价格下调。判断需求不能只看收入同比，也不能因销量增就声称经济已改善；应同时记录净价、治疗次数、患者留存及采购成本。报告与恒定汇率变化也需要分别理解。</w:t>
      </w:r>
    </w:p>
    <w:p>
      <w:pPr>
        <w:pStyle w:val="Normal"/>
        <w:rPr/>
      </w:pPr>
      <w:r>
        <w:rPr/>
        <w:t>医保进入和续约能扩大患者可及性，增加医院使用和诊疗规范，但降价会压低净收入。重症肌无力患者并非都需同频率疗程，病情波动、既有治疗和医生实践影响循环。</w:t>
      </w:r>
      <w:r>
        <w:rPr/>
        <w:t>CIDP</w:t>
      </w:r>
      <w:r>
        <w:rPr/>
        <w:t>人群及治疗持续性又不同，不能将疾病患病人数全部按每月固定使用。基准既有艾加莫德在二〇三二年约三点六亿美元，反映患者渗透与部分支付改善，但远低于旧机构采用的巨大峰值。</w:t>
      </w:r>
    </w:p>
    <w:p>
      <w:pPr>
        <w:pStyle w:val="Normal"/>
        <w:rPr/>
      </w:pPr>
      <w:r>
        <w:rPr/>
        <w:t>新血清型、眼肌型和肌炎提供增量，但它们与既有批准不是一件事。五月</w:t>
      </w:r>
      <w:r>
        <w:rPr/>
        <w:t>FDA</w:t>
      </w:r>
      <w:r>
        <w:rPr/>
        <w:t>已基于</w:t>
      </w:r>
      <w:r>
        <w:rPr/>
        <w:t>ADAPTSERON</w:t>
      </w:r>
      <w:r>
        <w:rPr/>
        <w:t>扩大全血清型全身型重症肌无力标签，是伙伴美国批准；再鼎参加大中华研究并不代表中国自动同步获批。眼肌型</w:t>
      </w:r>
      <w:r>
        <w:rPr/>
        <w:t>ADAPTOCULUS</w:t>
      </w:r>
      <w:r>
        <w:rPr/>
        <w:t>研究主要终点具有统计差异，公开平均评分改善约四点零四相比安慰剂一点九九，应看差值、患者感觉与维持时间，而不能把评分数字解释为治愈率。</w:t>
      </w:r>
    </w:p>
    <w:p>
      <w:pPr>
        <w:pStyle w:val="Normal"/>
        <w:rPr/>
      </w:pPr>
      <w:r>
        <w:rPr/>
        <w:t>八月十七日已公开</w:t>
      </w:r>
      <w:r>
        <w:rPr/>
        <w:t>ALKIVIA</w:t>
      </w:r>
      <w:r>
        <w:rPr/>
        <w:t>肌炎三期顶部结果，合并免疫介导坏死性肌病和皮肌炎的五十二周总改善评分主要终点达到，公开概率值为零点零零一一。这个证据可以提高区域新适应症成功因子，但全文安全、亚组、净临床意义和审评仍有要求。与健康志愿者药代不同，它有随机后期疾病终点；与真实批准不同，它仍是试验结果。模型新艾加莫德收入仅为既有适应症外增量，避免同一药峰值两处加总。</w:t>
      </w:r>
    </w:p>
    <w:p>
      <w:pPr>
        <w:pStyle w:val="Normal"/>
        <w:rPr/>
      </w:pPr>
      <w:r>
        <w:rPr/>
        <w:t>KarXT</w:t>
      </w:r>
      <w:r>
        <w:rPr/>
        <w:t>为</w:t>
      </w:r>
      <w:r>
        <w:rPr/>
        <w:t>xanomeline</w:t>
      </w:r>
      <w:r>
        <w:rPr/>
        <w:t>和</w:t>
      </w:r>
      <w:r>
        <w:rPr/>
        <w:t>trospium</w:t>
      </w:r>
      <w:r>
        <w:rPr/>
        <w:t>组合，选择性激活</w:t>
      </w:r>
      <w:r>
        <w:rPr/>
        <w:t>M</w:t>
      </w:r>
      <w:r>
        <w:rPr/>
        <w:t>一与</w:t>
      </w:r>
      <w:r>
        <w:rPr/>
        <w:t>M</w:t>
      </w:r>
      <w:r>
        <w:rPr/>
        <w:t>四毒蕈碱受体，同时以外围拮抗减轻部分外周作用。它提供不同于传统多巴胺阻断的精神分裂症治疗方式，六月国内已正式推出。新机制可满足部分症状控制和耐受需求，但并不代表所有患者都会转药，给药便利性、胃肠作用、合并用药和长期依从性仍影响使用。严重精神疾病长期管理不是只靠单次获批便能完成。</w:t>
      </w:r>
    </w:p>
    <w:p>
      <w:pPr>
        <w:pStyle w:val="Normal"/>
        <w:rPr/>
      </w:pPr>
      <w:r>
        <w:rPr/>
        <w:t>上半年</w:t>
      </w:r>
      <w:r>
        <w:rPr/>
        <w:t>KarXT</w:t>
      </w:r>
      <w:r>
        <w:rPr/>
        <w:t>只有约五十五点二万美元收入，说明截止日还处早期。公司计划二〇二七年争取医保，研究不会提前认定成功或设定已确定净价。国内神经精神市场患者大，但支付和医生实践使广泛采用较慢，创新药净收入取决于患者负担与疗效价值。基准轨迹到二〇三二年约三点六亿美元已经需要医院和患者逐步扩大，不应当作保守保证。</w:t>
      </w:r>
    </w:p>
    <w:p>
      <w:pPr>
        <w:pStyle w:val="Normal"/>
        <w:rPr/>
      </w:pPr>
      <w:r>
        <w:rPr/>
        <w:t>神经精神领域推广和肿瘤不同，长期随访、家庭照护和治疗稳定性重要。若现有低成本药已对患者有效，替换治疗需明确获益；若新药针对既有不耐受患者，市场可有价值但并非全部疾病人数。模型销售费用包含新产品团队和准入，而不是直接沿用零边际成本。乐观八点二亿美元既有</w:t>
      </w:r>
      <w:r>
        <w:rPr/>
        <w:t>KarXT</w:t>
      </w:r>
      <w:r>
        <w:rPr/>
        <w:t>收入需要更快支付与持续使用，若医保谈判、医生采用或真实世界耐受不利，峰值和增长应下调。</w:t>
      </w:r>
    </w:p>
    <w:p>
      <w:pPr>
        <w:pStyle w:val="Normal"/>
        <w:rPr/>
      </w:pPr>
      <w:r>
        <w:rPr/>
        <w:t>NUZYRA</w:t>
      </w:r>
      <w:r>
        <w:rPr/>
        <w:t>奥马环素为新四环素类抗菌药，覆盖社区获得性肺炎和急性细菌性皮肤及软组织感染等。抗菌耐药需求增加，医院仍会按照抗菌管理和临床判断选择，不能把所有肺炎人数当高价创新抗生素患者。上半年约三千三百三十五点九万美元，同比增约百分之十三，外部推广合作提供现有渠道。国内生产和医保能改善可及性，同时必须看采购价、供货与合理使用限制。</w:t>
      </w:r>
    </w:p>
    <w:p>
      <w:pPr>
        <w:pStyle w:val="Normal"/>
        <w:rPr/>
      </w:pPr>
      <w:r>
        <w:rPr/>
        <w:t>XACDURO</w:t>
      </w:r>
      <w:r>
        <w:rPr/>
        <w:t>舒巴坦度洛巴坦针对特定鲍曼不动杆菌相关严重医院及呼吸机肺炎，未满足需求突出。上半年约一千六百五十二点九万美元，同比增长约百分之一百八十八，但仍是较小起点。财报写明病人需求和医院采用较强，同时供货存在限制；缺货会使渠道机会不能转成收入，安全和抗菌合理使用也使渗透有边界。模型将较高增长与供货采购成本同时考虑，未把同比百分比无限外推。</w:t>
      </w:r>
    </w:p>
    <w:p>
      <w:pPr>
        <w:pStyle w:val="Normal"/>
        <w:rPr/>
      </w:pPr>
      <w:r>
        <w:rPr/>
        <w:t>抗感染业务部分推广依赖国际或国内渠道伙伴，有助于降低自建成本，也会分走推广经济。抗菌药强需求不等于使用越多越好，临床耐药与医院管理要求正确匹配患者。国内制造、批次供应、质量及采购都可能影响利润。现有收入给研究提供事实基础，但每款药是否能够扩大现金毛利，仍要在付款、库存和患者合理使用上验证。</w:t>
      </w:r>
    </w:p>
    <w:p>
      <w:pPr>
        <w:pStyle w:val="Heading2"/>
        <w:rPr/>
      </w:pPr>
      <w:r>
        <w:rPr>
          <w:color w:val="000000"/>
        </w:rPr>
        <w:t xml:space="preserve">四 </w:t>
      </w:r>
      <w:r>
        <w:rPr>
          <w:color w:val="000000"/>
        </w:rPr>
        <w:t xml:space="preserve">Zoci </w:t>
      </w:r>
      <w:r>
        <w:rPr>
          <w:color w:val="000000"/>
        </w:rPr>
        <w:t>全球</w:t>
      </w:r>
      <w:r>
        <w:rPr>
          <w:color w:val="000000"/>
        </w:rPr>
        <w:t>DLL3</w:t>
      </w:r>
      <w:r>
        <w:rPr>
          <w:color w:val="000000"/>
        </w:rPr>
        <w:t>机会与早期证据限度</w:t>
      </w:r>
    </w:p>
    <w:p>
      <w:pPr>
        <w:pStyle w:val="Normal"/>
        <w:rPr/>
      </w:pPr>
      <w:r>
        <w:rPr/>
        <w:t>Zocilurtatugpelitecan</w:t>
      </w:r>
      <w:r>
        <w:rPr/>
        <w:t>简称</w:t>
      </w:r>
      <w:r>
        <w:rPr/>
        <w:t>Zoci</w:t>
      </w:r>
      <w:r>
        <w:rPr/>
        <w:t>、原</w:t>
      </w:r>
      <w:r>
        <w:rPr/>
        <w:t>ZL-1310</w:t>
      </w:r>
      <w:r>
        <w:rPr/>
        <w:t>，是</w:t>
      </w:r>
      <w:r>
        <w:rPr/>
        <w:t>DLL3</w:t>
      </w:r>
      <w:r>
        <w:rPr/>
        <w:t>靶向</w:t>
      </w:r>
      <w:r>
        <w:rPr/>
        <w:t>ADC</w:t>
      </w:r>
      <w:r>
        <w:rPr/>
        <w:t>，基础来自</w:t>
      </w:r>
      <w:r>
        <w:rPr/>
        <w:t>MediLink</w:t>
      </w:r>
      <w:r>
        <w:rPr/>
        <w:t>的</w:t>
      </w:r>
      <w:r>
        <w:rPr/>
        <w:t>TMALIN</w:t>
      </w:r>
      <w:r>
        <w:rPr/>
        <w:t>技术与全球许可。</w:t>
      </w:r>
      <w:r>
        <w:rPr/>
        <w:t>DLL3</w:t>
      </w:r>
      <w:r>
        <w:rPr/>
        <w:t>在小细胞肺癌等神经内分泌癌中过度表达，有已验证治疗靶点依据；公司希望利用肿瘤环境释放降低非靶向毒性。科学设计可以建立临床理由，但机制、动物结果和“最佳同类”定位都不能替代随机患者获益。全球许可允许再鼎更完整控制开发，却伴随特许费和里程碑。</w:t>
      </w:r>
    </w:p>
    <w:p>
      <w:pPr>
        <w:pStyle w:val="Normal"/>
        <w:rPr/>
      </w:pPr>
      <w:r>
        <w:rPr/>
        <w:t>小细胞肺癌具有快速进展、后线选择少、脑转移及治疗时间短的特点，临床需求很大。它也已有</w:t>
      </w:r>
      <w:r>
        <w:rPr/>
        <w:t>DLL3</w:t>
      </w:r>
      <w:r>
        <w:rPr/>
        <w:t>免疫衔接药和化疗等竞争路线，最新标准改善会改变后续试验对照。</w:t>
      </w:r>
      <w:r>
        <w:rPr/>
        <w:t>ADC</w:t>
      </w:r>
      <w:r>
        <w:rPr/>
        <w:t>和</w:t>
      </w:r>
      <w:r>
        <w:rPr/>
        <w:t>T</w:t>
      </w:r>
      <w:r>
        <w:rPr/>
        <w:t>细胞衔接药的机制、安全与便利性不同，不能直接按单臂缓解率跨研究判输赢。患者治疗线、既往放疗和脑转移状态等差异，足以改变绝对缓解及生存观察。</w:t>
      </w:r>
    </w:p>
    <w:p>
      <w:pPr>
        <w:pStyle w:val="Normal"/>
        <w:rPr/>
      </w:pPr>
      <w:r>
        <w:rPr/>
        <w:t>四月</w:t>
      </w:r>
      <w:r>
        <w:rPr/>
        <w:t>AACR</w:t>
      </w:r>
      <w:r>
        <w:rPr/>
        <w:t>公开脑转移数据采用盲态独立评价和</w:t>
      </w:r>
      <w:r>
        <w:rPr/>
        <w:t>mRANO</w:t>
      </w:r>
      <w:r>
        <w:rPr/>
        <w:t>脑转移标准，确认颅内客观缓解约百分之五十三点七；一点六毫克每公斤剂量组十六人中十人缓解，即百分之六十二点五。未接受既往脑放疗者十五人中九人，即百分之六十，也看到药物作用线索。小分母使百分比波动显著，不能把十名响应直接当未来所有脑转移患者六成获益，更不能声称与全部脑放疗或其他疗法比较已胜出。</w:t>
      </w:r>
    </w:p>
    <w:p>
      <w:pPr>
        <w:pStyle w:val="Normal"/>
        <w:rPr/>
      </w:pPr>
      <w:r>
        <w:rPr/>
        <w:t>总体安全队列一百三十六人中二十七人出现三级以上治疗相关事件，约百分之十九点九；一点六剂量五十五人中九人，约百分之十六点四。它与年报更早数据中百分之十三的固定剂量事件率属于不同截点和样本，研究优先最新中报，不把较低旧数当不变安全率。随访时间、剂量暴露和患者状况影响事件发现，罕见严重毒性仍需较大人群证明。</w:t>
      </w:r>
    </w:p>
    <w:p>
      <w:pPr>
        <w:pStyle w:val="Normal"/>
        <w:rPr/>
      </w:pPr>
      <w:r>
        <w:rPr/>
        <w:t>肺外神经内分泌癌早期确认缓解约百分之三十八点二，表明在不同原发来源可进一步探索。高等级神经内分泌癌与分化较好的神经内分泌瘤不是同一市场，不能把全部神经内分泌患者都视为候选。样本构成、表达检测、既往治疗及持续缓解应决定后期适应症。模型肺外合并一项有限资产，未为每个原发器官单独赋重磅峰值。</w:t>
      </w:r>
    </w:p>
    <w:p>
      <w:pPr>
        <w:pStyle w:val="Normal"/>
        <w:rPr/>
      </w:pPr>
      <w:r>
        <w:rPr/>
        <w:t>DLLEVATE</w:t>
      </w:r>
      <w:r>
        <w:rPr/>
        <w:t>全球三期正评估二线及以后广泛期患者，允许既往铂类及特定后续</w:t>
      </w:r>
      <w:r>
        <w:rPr/>
        <w:t>DLL3</w:t>
      </w:r>
      <w:r>
        <w:rPr/>
        <w:t>治疗的人群。公司预计二〇二七年上半年完成入组，随后计划中期分析，可能支持加速申报。这个时间线是条件计划，入组完毕不是主要终点完毕；加速路径仍需数据、监管意见及确证责任。研究美国基准商业年为二〇二八，乐观提前一年，悲观更晚，明确没有把二〇二七潜在申报直接当获批事实。</w:t>
      </w:r>
    </w:p>
    <w:p>
      <w:pPr>
        <w:pStyle w:val="Normal"/>
        <w:rPr/>
      </w:pPr>
      <w:r>
        <w:rPr/>
        <w:t>一线组合是另一条机会，也是最大的短期催化来源。九月二十九日发行人已预告十月</w:t>
      </w:r>
      <w:r>
        <w:rPr/>
        <w:t>ESMO</w:t>
      </w:r>
      <w:r>
        <w:rPr/>
        <w:t>首次报告</w:t>
      </w:r>
      <w:r>
        <w:rPr/>
        <w:t>Zoci</w:t>
      </w:r>
      <w:r>
        <w:rPr/>
        <w:t>联合</w:t>
      </w:r>
      <w:r>
        <w:rPr/>
        <w:t>atezolizumab</w:t>
      </w:r>
      <w:r>
        <w:rPr/>
        <w:t>、有或无</w:t>
      </w:r>
      <w:r>
        <w:rPr/>
        <w:t>carboplatin</w:t>
      </w:r>
      <w:r>
        <w:rPr/>
        <w:t>的全球一期</w:t>
      </w:r>
      <w:r>
        <w:rPr/>
        <w:t>b</w:t>
      </w:r>
      <w:r>
        <w:rPr/>
        <w:t>一期</w:t>
      </w:r>
      <w:r>
        <w:rPr/>
        <w:t>c</w:t>
      </w:r>
      <w:r>
        <w:rPr/>
        <w:t>结果，海报计划十月二十六日，投资人说明会十月二十三日。截止十月九日研究只使用预告，不读取或填造后来数值。一线可能减少化疗负担，但仍要证明各成分贡献、长期控制及安全，早期响应很高也不能保证一线三期成功。</w:t>
      </w:r>
    </w:p>
    <w:p>
      <w:pPr>
        <w:pStyle w:val="Normal"/>
        <w:rPr/>
      </w:pPr>
      <w:r>
        <w:rPr/>
        <w:t>同靶点与不同机制联合有潜在协同，也可能叠加毒性或形成更复杂用药。</w:t>
      </w:r>
      <w:r>
        <w:rPr/>
        <w:t>Amgen</w:t>
      </w:r>
      <w:r>
        <w:rPr/>
        <w:t>的</w:t>
      </w:r>
      <w:r>
        <w:rPr/>
        <w:t>tarlatamab</w:t>
      </w:r>
      <w:r>
        <w:rPr/>
        <w:t>组合一期</w:t>
      </w:r>
      <w:r>
        <w:rPr/>
        <w:t>b</w:t>
      </w:r>
      <w:r>
        <w:rPr/>
        <w:t>已开始入组，</w:t>
      </w:r>
      <w:r>
        <w:rPr/>
        <w:t>Boehringer</w:t>
      </w:r>
      <w:r>
        <w:rPr/>
        <w:t>的另一</w:t>
      </w:r>
      <w:r>
        <w:rPr/>
        <w:t>DLL3</w:t>
      </w:r>
      <w:r>
        <w:rPr/>
        <w:t>衔接药合作也提供研究资源。合作研究不是授权首付到账，也不是伙伴对每个商业情景担保。模型未在全球</w:t>
      </w:r>
      <w:r>
        <w:rPr/>
        <w:t>Zoci</w:t>
      </w:r>
      <w:r>
        <w:rPr/>
        <w:t>销售之外再加虚构合作现金，将组合新增机会作为去重后的治疗线增量，保留后期开发和销售成本。</w:t>
      </w:r>
    </w:p>
    <w:p>
      <w:pPr>
        <w:pStyle w:val="Normal"/>
        <w:rPr/>
      </w:pPr>
      <w:r>
        <w:rPr/>
        <w:t>MediLink</w:t>
      </w:r>
      <w:r>
        <w:rPr/>
        <w:t>上游经济不能漏掉。年报记录仍可能支付合计上限约五点九二亿美元开发、监管和销售里程碑，以及高个位数至低双位数的年度净销售特许费。金额上限不是截止日现债，也不能整体立刻扣现金；实际触发则必须有资金。模型研发包含选定开发费用与许可预算，批准后资本现金包含部分监管无形付款，销售贡献率预留特许费，不把全球许可称为零成本产权。</w:t>
      </w:r>
    </w:p>
    <w:p>
      <w:pPr>
        <w:pStyle w:val="Normal"/>
        <w:rPr/>
      </w:pPr>
      <w:r>
        <w:rPr/>
        <w:t>全球商业价值较大，还会吸引潜在授权或伙伴选择，但截至日没有可核验的新</w:t>
      </w:r>
      <w:r>
        <w:rPr/>
        <w:t>Zoci</w:t>
      </w:r>
      <w:r>
        <w:rPr/>
        <w:t>出海首付可当基准现金。研究可以探讨未来交易改变资本责任，却不会将假想首付款直接塞进收益。若未来真实许可转让部分地区，公司净权和费用需同时改，不能保持全部自销峰值再加伙伴现金。更少经营控制可能降低成本也降低终端利润，要用实际合同替换代理。</w:t>
      </w:r>
    </w:p>
    <w:p>
      <w:pPr>
        <w:pStyle w:val="Normal"/>
        <w:rPr/>
      </w:pPr>
      <w:r>
        <w:rPr/>
        <w:t>模型分中国后线、美国后线、其他地区后线、全球一线增量和肺外神经内分泌癌五项。地区避免交叉，治疗线考虑后线被前线提前用药减少的效应，组合只计</w:t>
      </w:r>
      <w:r>
        <w:rPr/>
        <w:t>Zoci</w:t>
      </w:r>
      <w:r>
        <w:rPr/>
        <w:t>药品部分，不计免疫及化疗整个疗程账单。基准美国后线峰值八亿美元、中国三亿美元、其他五亿美元，一线增量八亿美元、肺外四点五亿美元均是名义净产品销售，之后分别应用成功因子和费用。不能将五项名义峰值相加后直接乘高毛利视为获利确定。</w:t>
      </w:r>
    </w:p>
    <w:p>
      <w:pPr>
        <w:pStyle w:val="Heading2"/>
        <w:rPr/>
      </w:pPr>
      <w:r>
        <w:rPr>
          <w:color w:val="000000"/>
        </w:rPr>
        <w:t>五 区域后期新药与早期内部项目</w:t>
      </w:r>
    </w:p>
    <w:p>
      <w:pPr>
        <w:pStyle w:val="Normal"/>
        <w:rPr/>
      </w:pPr>
      <w:r>
        <w:rPr/>
        <w:t>Povetacicept</w:t>
      </w:r>
      <w:r>
        <w:rPr/>
        <w:t>同时作用</w:t>
      </w:r>
      <w:r>
        <w:rPr/>
        <w:t>APRIL</w:t>
      </w:r>
      <w:r>
        <w:rPr/>
        <w:t>和</w:t>
      </w:r>
      <w:r>
        <w:rPr/>
        <w:t>BAFF</w:t>
      </w:r>
      <w:r>
        <w:rPr/>
        <w:t>，区域权来自</w:t>
      </w:r>
      <w:r>
        <w:rPr/>
        <w:t>Vertex</w:t>
      </w:r>
      <w:r>
        <w:rPr/>
        <w:t>，范围为大中华与新加坡。</w:t>
      </w:r>
      <w:r>
        <w:rPr/>
        <w:t>IgA</w:t>
      </w:r>
      <w:r>
        <w:rPr/>
        <w:t>肾病具有较大患者需求，但全部患病人数与可支付、符合试验及标签的患者明显不同。三月全球</w:t>
      </w:r>
      <w:r>
        <w:rPr/>
        <w:t>RAINIER</w:t>
      </w:r>
      <w:r>
        <w:rPr/>
        <w:t>三期预设三十六周中期分析显示，二十四小时尿蛋白肌酐比相对基线下降约百分之五十二，与安慰剂相比约百分之四十九点八，概率值低于零点零零零一。这是有意义的后期代理终点证据，却不直接等于最终肾衰减少或长期肾功能保护已完全证明。</w:t>
      </w:r>
    </w:p>
    <w:p>
      <w:pPr>
        <w:pStyle w:val="Normal"/>
        <w:rPr/>
      </w:pPr>
      <w:r>
        <w:rPr/>
        <w:t>六月</w:t>
      </w:r>
      <w:r>
        <w:rPr/>
        <w:t>FDA</w:t>
      </w:r>
      <w:r>
        <w:rPr/>
        <w:t>已受理伙伴美国加速上市申请，目标行动日十一月三十日，对年底情景有明确时间。这个美国审评属于</w:t>
      </w:r>
      <w:r>
        <w:rPr/>
        <w:t>Vertex</w:t>
      </w:r>
      <w:r>
        <w:rPr/>
        <w:t>，不意味着再鼎获得美国销售权，也不意味着国内审批按同日落地。中国患者、桥接、注册及医保仍有自己的进度。模型国内基准二〇二八开始商业化，并以支付与竞争限制净峰值，不把美国定价复制到全部中国诊断患者。</w:t>
      </w:r>
    </w:p>
    <w:p>
      <w:pPr>
        <w:pStyle w:val="Normal"/>
        <w:rPr/>
      </w:pPr>
      <w:r>
        <w:rPr/>
        <w:t>IgA</w:t>
      </w:r>
      <w:r>
        <w:rPr/>
        <w:t>肾病市场已有针对黏膜、免疫及肾脏保护的不同路线，治疗选择会随长期证据改善。蛋白尿短期改善可能支持注册，但医生还需要看感染、免疫球蛋白下降、持续疗效及肾功能。再鼎与</w:t>
      </w:r>
      <w:r>
        <w:rPr/>
        <w:t>Vertex</w:t>
      </w:r>
      <w:r>
        <w:rPr/>
        <w:t>伙伴关系有助于获取全球研究资源，也依赖伙伴产品供给和优先级。后续真实批准、国内净价与患者留存才决定收入，临床代理终点阳性应上调胜率而非直接把全峰值作为无风险销售。</w:t>
      </w:r>
    </w:p>
    <w:p>
      <w:pPr>
        <w:pStyle w:val="Normal"/>
        <w:rPr/>
      </w:pPr>
      <w:r>
        <w:rPr/>
        <w:t>原发性膜性肾病另有</w:t>
      </w:r>
      <w:r>
        <w:rPr/>
        <w:t>OLYMPUS</w:t>
      </w:r>
      <w:r>
        <w:rPr/>
        <w:t>二期三期，二期已完成入组且三期启动。它与</w:t>
      </w:r>
      <w:r>
        <w:rPr/>
        <w:t>IgA</w:t>
      </w:r>
      <w:r>
        <w:rPr/>
        <w:t>肾病的发病机制和患者治疗路径不同，证据、概率和商业时间应独立。本研究</w:t>
      </w:r>
      <w:r>
        <w:rPr/>
        <w:t>pMN</w:t>
      </w:r>
      <w:r>
        <w:rPr/>
        <w:t>基准成功因子低于</w:t>
      </w:r>
      <w:r>
        <w:rPr/>
        <w:t>IgAN</w:t>
      </w:r>
      <w:r>
        <w:rPr/>
        <w:t>，收入峰值也更小，避免以同药已经取得另一疾病数据就统一高概率。两个疾病基本人群可分别预算，但不得以整个慢性肾病人数进行双重市场放大。</w:t>
      </w:r>
    </w:p>
    <w:p>
      <w:pPr>
        <w:pStyle w:val="Normal"/>
        <w:rPr/>
      </w:pPr>
      <w:r>
        <w:rPr/>
        <w:t>Elegrobart</w:t>
      </w:r>
      <w:r>
        <w:rPr/>
        <w:t>为皮下注射</w:t>
      </w:r>
      <w:r>
        <w:rPr/>
        <w:t>IGF</w:t>
      </w:r>
      <w:r>
        <w:rPr/>
        <w:t>一受体抗体，全球研究由</w:t>
      </w:r>
      <w:r>
        <w:rPr/>
        <w:t>Viridian</w:t>
      </w:r>
      <w:r>
        <w:rPr/>
        <w:t>推进，再鼎地区许可来自</w:t>
      </w:r>
      <w:r>
        <w:rPr/>
        <w:t>Zenas</w:t>
      </w:r>
      <w:r>
        <w:rPr/>
        <w:t>。活动型与慢性甲状腺眼病三期顶部结果已分别在三月和五月公布，二十四周突出眼改善的两给药组与安慰剂有统计差异。活动型四周与八周给药的应答约百分之五十四及六十三、安慰剂十八；慢性约五十和五十四、安慰剂十五。眼球突出、复视与患者生活质量有不同意义，不能只选最高百分比概括全部临床效果。</w:t>
      </w:r>
    </w:p>
    <w:p>
      <w:pPr>
        <w:pStyle w:val="Normal"/>
        <w:rPr/>
      </w:pPr>
      <w:r>
        <w:rPr/>
        <w:t>国内桥接三期仍在执行，公司计划二〇二七年提供结果。美国全球数据有助于提高可用性判断，不能替代中国批准、长期听力与代谢等安全关注及支付。产品可比既有静脉抗体更便利，疗程费用和患者识别限制渗透。模型将活动与慢性合并为一项去重地区资产，以较高后期成功因子但有限净销售，而非为每个疾病状态都重复赋全甲状腺眼病峰值。</w:t>
      </w:r>
    </w:p>
    <w:p>
      <w:pPr>
        <w:pStyle w:val="Normal"/>
        <w:rPr/>
      </w:pPr>
      <w:r>
        <w:rPr/>
        <w:t>ZL-1503</w:t>
      </w:r>
      <w:r>
        <w:rPr/>
        <w:t>是内部发现的</w:t>
      </w:r>
      <w:r>
        <w:rPr/>
        <w:t>IL</w:t>
      </w:r>
      <w:r>
        <w:rPr/>
        <w:t>十三和</w:t>
      </w:r>
      <w:r>
        <w:rPr/>
        <w:t>IL</w:t>
      </w:r>
      <w:r>
        <w:rPr/>
        <w:t>三十一受体</w:t>
      </w:r>
      <w:r>
        <w:rPr/>
        <w:t>α</w:t>
      </w:r>
      <w:r>
        <w:rPr/>
        <w:t>双抗，希望同时降低炎症和瘙痒，并通过半衰期优化降低给药负担。特应性皮炎市场大，既有</w:t>
      </w:r>
      <w:r>
        <w:rPr/>
        <w:t>IL</w:t>
      </w:r>
      <w:r>
        <w:rPr/>
        <w:t>四十三等药及多种口服和注射路线竞争也强。双靶点机制可形成差异化假说，首次人体药代和靶点标志物不能直接证明病人皮损、瘙痒或生活质量持久改善。健康志愿者数据更接近剂量和安全验证，必须与患者结果分开。</w:t>
      </w:r>
    </w:p>
    <w:p>
      <w:pPr>
        <w:pStyle w:val="Normal"/>
        <w:rPr/>
      </w:pPr>
      <w:r>
        <w:rPr/>
        <w:t>全球一期一期</w:t>
      </w:r>
      <w:r>
        <w:rPr/>
        <w:t>b</w:t>
      </w:r>
      <w:r>
        <w:rPr/>
        <w:t>的单次递增健康队列已完成入组，公司预计下半年首次公开药代、半衰期、</w:t>
      </w:r>
      <w:r>
        <w:rPr/>
        <w:t>pSTAT6</w:t>
      </w:r>
      <w:r>
        <w:rPr/>
        <w:t>等作用标志和安全；多次给药的特应性皮炎患者仍入组，初步临床计划次年上半年。研究基准给较低成功因子及二〇三五商业起点，临床费用完整保留。若数据达到足够治疗窗和患者效益，未来可以升级，但不能用内部发现和双抗字样直接获得已上市重磅药估值。</w:t>
      </w:r>
    </w:p>
    <w:p>
      <w:pPr>
        <w:pStyle w:val="Normal"/>
        <w:rPr/>
      </w:pPr>
      <w:r>
        <w:rPr/>
        <w:t>ZL-6201</w:t>
      </w:r>
      <w:r>
        <w:rPr/>
        <w:t>为</w:t>
      </w:r>
      <w:r>
        <w:rPr/>
        <w:t>LRRC15ADC</w:t>
      </w:r>
      <w:r>
        <w:rPr/>
        <w:t>，主要探索肉瘤和选定肿瘤，全球一期</w:t>
      </w:r>
      <w:r>
        <w:rPr/>
        <w:t>a</w:t>
      </w:r>
      <w:r>
        <w:rPr/>
        <w:t>一期</w:t>
      </w:r>
      <w:r>
        <w:rPr/>
        <w:t>b</w:t>
      </w:r>
      <w:r>
        <w:rPr/>
        <w:t>预计二〇二七年上半年提供剂量递增顶部结果。肉瘤异质性大，靶点表达、组织背景和治疗线都会影响缓解。商业患者规模相对小，单臂剂量探索数据也容易波动。模型独立资产概率低、商业化更晚，贡献中预留上游权利和制造预算，不以新靶点数量替代证据。</w:t>
      </w:r>
    </w:p>
    <w:p>
      <w:pPr>
        <w:pStyle w:val="Normal"/>
        <w:rPr/>
      </w:pPr>
      <w:r>
        <w:rPr/>
        <w:t>ZL-1222</w:t>
      </w:r>
      <w:r>
        <w:rPr/>
        <w:t>为</w:t>
      </w:r>
      <w:r>
        <w:rPr/>
        <w:t>PD</w:t>
      </w:r>
      <w:r>
        <w:rPr/>
        <w:t>一与</w:t>
      </w:r>
      <w:r>
        <w:rPr/>
        <w:t>IL</w:t>
      </w:r>
      <w:r>
        <w:rPr/>
        <w:t>十二组合，</w:t>
      </w:r>
      <w:r>
        <w:rPr/>
        <w:t>ZL-1311</w:t>
      </w:r>
      <w:r>
        <w:rPr/>
        <w:t>为</w:t>
      </w:r>
      <w:r>
        <w:rPr/>
        <w:t>MUC</w:t>
      </w:r>
      <w:r>
        <w:rPr/>
        <w:t>十七与</w:t>
      </w:r>
      <w:r>
        <w:rPr/>
        <w:t>CD</w:t>
      </w:r>
      <w:r>
        <w:rPr/>
        <w:t>三衔接方向，都还在更早的申报或早期研究计划。细胞因子及免疫衔接的疗效潜力与毒性窗口密切相连，临床前抗瘤不能保证人体给药可接受。研究将两项合为较小早期组合，未为每个未取得患者数据分子赋独立确定重磅峰值。申报计划不是已批准试验或已首剂，未来需要实际注册资料更新。</w:t>
      </w:r>
    </w:p>
    <w:p>
      <w:pPr>
        <w:pStyle w:val="Normal"/>
        <w:rPr/>
      </w:pPr>
      <w:r>
        <w:rPr/>
        <w:t>Bemarituzumab</w:t>
      </w:r>
      <w:r>
        <w:rPr/>
        <w:t>提供必须保留的反证。二〇二五年九月原始公告显示</w:t>
      </w:r>
      <w:r>
        <w:rPr/>
        <w:t>FORTITUDE101</w:t>
      </w:r>
      <w:r>
        <w:rPr/>
        <w:t>中期主要分析曾有生存获益，最终分析获益幅度减弱，申报拟等待后续研究；十一月</w:t>
      </w:r>
      <w:r>
        <w:rPr/>
        <w:t>FORTITUDE102</w:t>
      </w:r>
      <w:r>
        <w:rPr/>
        <w:t>因疗效不足而停止。不能只引用较早积极中期结果继续把它列为确定近商业资产。本模型不为它设明确新增收入，承认既有合作可能产生剩余价值，但重要失败已改变投资论据和资本配置。</w:t>
      </w:r>
    </w:p>
    <w:p>
      <w:pPr>
        <w:pStyle w:val="Normal"/>
        <w:rPr/>
      </w:pPr>
      <w:r>
        <w:rPr/>
        <w:t>这个例子提示临床投资应随全部成熟证据变化，而不是一旦概念吸引便永久维持高评分。后期结果会推翻早期信号，停止项目也可能减少未来支出，但没有正式预算和退出责任时不能凭空假定完全省费。公司优先高价值项目有益，只有退出纪律、授权付款和团队支出真实改变，才改善现金模型。将失败项目留在反证有助于避免研究只展示成功故事。</w:t>
      </w:r>
    </w:p>
    <w:p>
      <w:pPr>
        <w:pStyle w:val="Heading2"/>
        <w:rPr/>
      </w:pPr>
      <w:r>
        <w:rPr>
          <w:color w:val="000000"/>
        </w:rPr>
        <w:t>六 财务质量 现金与股数</w:t>
      </w:r>
    </w:p>
    <w:p>
      <w:pPr>
        <w:pStyle w:val="Normal"/>
        <w:rPr/>
      </w:pPr>
      <w:r>
        <w:rPr/>
        <w:t>二〇二三总收入约二点六六七亿美元、净亏三点三四六亿美元；二〇二四收入三点九九〇亿、净亏二点五七一亿；二〇二五收入四点六〇二亿、净亏一点七五五亿，显示商业规模扩大和亏损有所收窄。这些均按美元美国会计准则，不能将年度亏损与不同会计口径直接接续。过去改善形成真实商业基础，也没有证明全球研发进入后便持续盈利；二〇二六中期已出现产品下降和研发提高。</w:t>
      </w:r>
    </w:p>
    <w:p>
      <w:pPr>
        <w:pStyle w:val="Normal"/>
        <w:rPr/>
      </w:pPr>
      <w:r>
        <w:rPr/>
        <w:t>上半年总收入二点零五九亿美元，其中净产品二点零一三亿、合作收入四百六十一点五万美元。产品成本八千六百四十七点七万美元，合作成本仅两万美元；产品毛利率约百分之五十七，较去年同期下降。采购结构和库存减值影响成本，二季度库存减值约六百零八点二万美元不能直接视为以后每季同额，但也提示供应与销售预测纪律。净收入既扣回扣退货，贡献率仍要包括采购及特许费。</w:t>
      </w:r>
    </w:p>
    <w:p>
      <w:pPr>
        <w:pStyle w:val="Normal"/>
        <w:rPr/>
      </w:pPr>
      <w:r>
        <w:rPr/>
        <w:t>研发费用一亿二千七百三十五点七万美元，同比增约百分之十四；其中许可费用三千七百万，较上年约两千万明显增加。员工相关研发费用下降，外部临床和许可增长使总成本仍高。这些许可不是全可自由加回的一次性非现金损失，可能是新资产权利和里程碑真实付款。研究完整研发二〇二六基准约二点六亿美元，随后随全球后期试验上升，不能仅剔许可后宣称公司已经经营收支平衡。</w:t>
      </w:r>
    </w:p>
    <w:p>
      <w:pPr>
        <w:pStyle w:val="Normal"/>
        <w:rPr/>
      </w:pPr>
      <w:r>
        <w:rPr/>
        <w:t>销售一般行政一亿三千七百九十四点二万美元，同比约增百分之三，内含销售约九千四百九十九点四万美元及行政约四千二百九十四点八万。已有渠道成本不会因收入回落自动同比下降，全球及神经精神新产品还需要增量资源。人员、分销、准入和医学支出要对照收入贡献观察。模型分别处理销售与行政，风险新药另计销售费用率，不将新市场收入全部视为无追加开支利润。</w:t>
      </w:r>
    </w:p>
    <w:p>
      <w:pPr>
        <w:pStyle w:val="Normal"/>
        <w:rPr/>
      </w:pPr>
      <w:r>
        <w:rPr/>
        <w:t>营业亏损一亿四千五百八十七点四万美元，比去年扩大；净亏一亿零一百八十四点一万美元，相对较小的净亏包含汇兑收益二千九百九十点二万美元及利息收入一千二百三十二点六万。汇兑主要由人民币升值引起，不是产品利润。正常模型不重复资本化一次性汇兑，银行利息和现金收益逐年随余额变化。真实商业恢复应从毛利和营业现金看到，不能只比较归母亏损更小就认为经营改好。</w:t>
      </w:r>
    </w:p>
    <w:p>
      <w:pPr>
        <w:pStyle w:val="Normal"/>
        <w:rPr/>
      </w:pPr>
      <w:r>
        <w:rPr/>
        <w:t>公司美国会计与</w:t>
      </w:r>
      <w:r>
        <w:rPr/>
        <w:t>IFRS</w:t>
      </w:r>
      <w:r>
        <w:rPr/>
        <w:t>有股酬确认差异。中报调节表下，上半年</w:t>
      </w:r>
      <w:r>
        <w:rPr/>
        <w:t>IFRS</w:t>
      </w:r>
      <w:r>
        <w:rPr/>
        <w:t>研发约一亿二千五百四十四点八万、销售行政约一亿三千二百六十三点九万、净亏九千四百六十二点九万，较美国会计净亏差七百二十一点二万美元。现金和总权益未因这项调节创造新财富。研究统一美国会计及美元，不把较小</w:t>
      </w:r>
      <w:r>
        <w:rPr/>
        <w:t>IFRS</w:t>
      </w:r>
      <w:r>
        <w:rPr/>
        <w:t>亏损与较大美国股酬加回组合成更好利润。</w:t>
      </w:r>
    </w:p>
    <w:p>
      <w:pPr>
        <w:pStyle w:val="Normal"/>
        <w:rPr/>
      </w:pPr>
      <w:r>
        <w:rPr/>
        <w:t>上半年经营现金流出七千五百三十一点八万美元，比去年流出有所改善，部分来自应收和营运项目变化。应收账款现金回收约三千九百零三点一万、票据回收约九百零四点二万，库存增加也耗资，单次释放不能无限持续。年底余额与损益收入下降可共同减少应收，改善现金不自动代表患者增长。研究营运资金预算按未来业务增长追加，未把半年营运资本回收年化为长期自由现金。</w:t>
      </w:r>
    </w:p>
    <w:p>
      <w:pPr>
        <w:pStyle w:val="Normal"/>
        <w:rPr/>
      </w:pPr>
      <w:r>
        <w:rPr/>
        <w:t>实际物业设备支出仅约二百五十点四万美元，无形资产现金支出约二千一百二十四点六万，后者大多与监管获批里程碑相关。若只看建厂资本开支，会漏掉许可公司重要现金责任。无形资产尚有约一千一百三十五点三万应付，模型二〇二六资本现金预算包含这类付款，未另加两次。损益采购成本含批准后摊销，折旧摊销加回后必须以未来真实资本付款替代，而非认为其全没有现金成本。</w:t>
      </w:r>
    </w:p>
    <w:p>
      <w:pPr>
        <w:pStyle w:val="Normal"/>
        <w:rPr/>
      </w:pPr>
      <w:r>
        <w:rPr/>
        <w:t>六月自由现金及等价物约六点零七五亿美元，短期投资一千万；当前受限一亿美元和非当前受限约一百一十一点八万美元另列。公司新闻所称七点一七五亿美元流动资金包含当前受限，本研究初始可用现金仅六点一七七亿美元。受限款为银行信用安排担保，不能立即支付所有研发。也不能从已经排受限的六点一七七亿再扣一亿，必须核对起点是否含它，避免重复低估或高估。</w:t>
      </w:r>
    </w:p>
    <w:p>
      <w:pPr>
        <w:pStyle w:val="Normal"/>
        <w:rPr/>
      </w:pPr>
      <w:r>
        <w:rPr/>
        <w:t>短期借款合计二点三八一亿美元，平均利率约百分之二点四一，来自多家国内银行及票据安排。中行信用安排以一亿美元存款担保，贷款约六千二百四十万美元；其他机构多为一年期，票据期更短。长期授信有效期不是每笔本金已自动展期，信用承诺和贷款年限需要分开。模型基准二〇二八清债，另设一年内偿还压力，明确续贷是条件而非已取得无限免费资本。</w:t>
      </w:r>
    </w:p>
    <w:p>
      <w:pPr>
        <w:pStyle w:val="Normal"/>
        <w:rPr/>
      </w:pPr>
      <w:r>
        <w:rPr/>
        <w:t>模型将受限一亿美元在清银行后、最早二〇二八释放一次，剩余约一百一十一点八万保留到最终净资产回收。释放只是资产从受限到可用转移，不是新增利润；负债偿还和释放不可各自创造价值。每个年度检查释放总额与余款一致，避免清债后第二年再次释放旧抵押。到期银行利息随债减少，租赁租金已在经营成本，未将租赁本金再按银行债扣一次。</w:t>
      </w:r>
    </w:p>
    <w:p>
      <w:pPr>
        <w:pStyle w:val="Normal"/>
        <w:rPr/>
      </w:pPr>
      <w:r>
        <w:rPr/>
        <w:t>九月底月报普通股约十一点三七八亿，部分约五点二一四亿通过美国存托股份持有；一份</w:t>
      </w:r>
      <w:r>
        <w:rPr/>
        <w:t>ADS</w:t>
      </w:r>
      <w:r>
        <w:rPr/>
        <w:t>对应十普通股。六月美国会计列发行十一点三二二亿、流通十一点二二四亿和税款净结算库存约九百七十七点七万，九月香港月报法律分类又列全发行且库存为零。研究以九月完整法律股数保守为分母，说明两披露口径不同，不擅自把六月库存持续扣除或假定全部注销。</w:t>
      </w:r>
    </w:p>
    <w:p>
      <w:pPr>
        <w:pStyle w:val="Normal"/>
        <w:rPr/>
      </w:pPr>
      <w:r>
        <w:rPr/>
        <w:t>不能用半年亏损每股的加权平均约十一点一二二亿代替最新普通股数量，融资和期权会改变分母。九月各计划期权约六千九百四十四点九万，行权部分由已有发行股满足；没有理由把全部未行权期权立刻当现金，也不能完全忽略稀释。模型员工未来新增股逐年预算，外部融资按照发行价格换成股数，两个来源分开。估值关注现有股份最终可取得多少，而不只是公司营业规模能否增长。</w:t>
      </w:r>
    </w:p>
    <w:p>
      <w:pPr>
        <w:pStyle w:val="Normal"/>
        <w:rPr/>
      </w:pPr>
      <w:r>
        <w:rPr/>
        <w:t>股权激励上半年美国会计费用约二千五百四十六点五万美元，现金净结算税款约四百四十七点二万。现金流先加回非现金股酬，再按约百分之十八预算类似税款净结算，普通股奖励以未来股数稀释。该比例接近实际现金占股酬约百分之十七点六，并非未来保证。不会一边按百分之百现金替代奖励一边又全部增股双扣，但奖励现金与股数仍存在估计，应随实际归属结算更新。</w:t>
      </w:r>
    </w:p>
    <w:p>
      <w:pPr>
        <w:pStyle w:val="Normal"/>
        <w:rPr/>
      </w:pPr>
      <w:r>
        <w:rPr/>
        <w:t>公司未来开发监管里程碑条件合计可能超过十点六亿美元，销售里程碑合计约三十点七八亿美元，另有分级许可费。它们是未触发上限，不能全部当截止日债，也不能因“成功才支付”就忽略成功后的现金成本。模型完整研发保留许可开发预算，批准资本支出和净毛利预留监管及销售权益费用，取研究轨迹而非将总上限机械平均每年。若实际某个大额触发高于预算，现金和目标会下修。</w:t>
      </w:r>
    </w:p>
    <w:p>
      <w:pPr>
        <w:pStyle w:val="Heading2"/>
        <w:rPr/>
      </w:pPr>
      <w:r>
        <w:rPr>
          <w:color w:val="000000"/>
        </w:rPr>
        <w:t>七 情景模型与年底期望</w:t>
      </w:r>
    </w:p>
    <w:p>
      <w:pPr>
        <w:pStyle w:val="Normal"/>
        <w:rPr/>
      </w:pPr>
      <w:r>
        <w:rPr/>
        <w:t>估值采用有限股东现金分配，而非对亏损当前收益套</w:t>
      </w:r>
      <w:r>
        <w:rPr/>
        <w:t>PE</w:t>
      </w:r>
      <w:r>
        <w:rPr/>
        <w:t>。八款现有产品有独立收入、采购贡献率，十四新增经济资产有地区、适应症、商业起点、峰值、风险因子及爬坡。区域药只计许可范围，全球</w:t>
      </w:r>
      <w:r>
        <w:rPr/>
        <w:t>Zoci</w:t>
      </w:r>
      <w:r>
        <w:rPr/>
        <w:t>等地区去重，完整研发、营销、许可资本现金与融资股数同步。未来资产风险折收入，开发成本没有按同一个成功因子削减，避免以成功高销售配失败低费用美化回报。</w:t>
      </w:r>
    </w:p>
    <w:p>
      <w:pPr>
        <w:pStyle w:val="Normal"/>
        <w:rPr/>
      </w:pPr>
      <w:r>
        <w:rPr/>
        <w:t>基准二〇二六经济收入约四点二七亿美元、二〇二七五点四二亿、二〇二八八点零五七亿、二〇二九十一点八五八亿。二〇三一约二十三点零二五亿、二〇三五约三十六点零六五亿；已经需要多个区域产品与全球项目兑现。它是研究净产品收入代理，并非公司经营指引。既有业务稳定和较强管线仍无法保证这些轨迹，特别是全球批准与国内支付有不同失败路径。</w:t>
      </w:r>
    </w:p>
    <w:p>
      <w:pPr>
        <w:pStyle w:val="Normal"/>
        <w:rPr/>
      </w:pPr>
      <w:r>
        <w:rPr/>
        <w:t>基准研究正常净利润约二〇三〇转正，二〇三一约三点八四七亿美元，之前仍消耗资本。这个代理排一次性汇兑和虚构授权现金，包含现金利息、银行成本和经营税。较远增长高不意味着现价对应高收益，因为股份在融资与员工奖励后增加，现金又需研发和许可投资。年度模型并不等于公司具体季度预测，批准后放量及审评延迟需要逐个替换资产时间。</w:t>
      </w:r>
    </w:p>
    <w:p>
      <w:pPr>
        <w:pStyle w:val="Normal"/>
        <w:rPr/>
      </w:pPr>
      <w:r>
        <w:rPr/>
        <w:t>基准计划外部总融资六亿美元，分别二〇二七三亿、二〇二八一亿、二〇二九二亿，假设港币发行价二十、二十四和二十六，净回收百分之九十七。它不是已发行授权或已到账资本，现价到未来发行价的条件和市场承接必须清楚。对应新增普通股约二点零九五亿，员工股另外逐年增加。若资金无法募集，不能保留全部未来产品销售又假定无需外部支出。</w:t>
      </w:r>
    </w:p>
    <w:p>
      <w:pPr>
        <w:pStyle w:val="Normal"/>
        <w:rPr/>
      </w:pPr>
      <w:r>
        <w:rPr/>
        <w:t>现有自由资金和商业基础给了融资谈判缓冲，但不是全部全球计划已被现金覆盖。基准最低年度可用现金约一点七六八亿美元，悲观二〇二八转负，未融资路径会出现更大资金缺口。悲观零内在权益压力表示所设费用与销售下资本失效，并非未来某日市场必须清零，也不是损失统计边界。真实公司可能停项、卖权或融资，任何额外行动都应有条件重新建模，而不自动补进旧情景。</w:t>
      </w:r>
    </w:p>
    <w:p>
      <w:pPr>
        <w:pStyle w:val="Normal"/>
        <w:rPr/>
      </w:pPr>
      <w:r>
        <w:rPr/>
        <w:t>五年目标之前模型股息为零，二〇三二开始在清债后超过两亿美元可用储备部分假设分配百分之六十。每次分配按当时全部普通股，二〇四一年最后只回收未分配可用现金、余受限款扣余银行，未另加无限经营终值或固定资产出售。目标日现金仅展示，未来发行净款只进公司账户，不单独作为旧股东收益折现。这样同价现金发行不凭空创造旧持有人财富，低价增股和员工股则降低每股回收。</w:t>
      </w:r>
    </w:p>
    <w:p>
      <w:pPr>
        <w:pStyle w:val="Normal"/>
        <w:rPr/>
      </w:pPr>
      <w:r>
        <w:rPr/>
        <w:t>分配假设是研究规则，非公司承诺。它没有把二〇四二后继续经营价值或平台新发现无限资本化，因而对持久经营机会有保守截断；乐观产品增长仍会使分配很大。国内向境外股东转移利润还受法定盈余、储备和汇兑管理限制，经营有现金不意味着立即可分。研究储备和起点提供缓冲，但若可分配法律限制更久或公司继续扩大项目，分配日期需要延后，模型没有给无限现金通达保证。</w:t>
      </w:r>
    </w:p>
    <w:p>
      <w:pPr>
        <w:pStyle w:val="Normal"/>
        <w:rPr/>
      </w:pPr>
      <w:r>
        <w:rPr/>
        <w:t>折现率悲观十六、基准十二点五、乐观十个百分点，涵盖不同资本环境和经营执行要求。收入成功因子与折现率都是研究输入，不能宣称是严格独立统计风险或精准资本成本；敏感性用于显示这种不确定。企业税在利润与现金扣，个人交易税费不纳入本币税前总回报。美元经营转港币使用七点八研究汇率，不把它当截断日每家银行成交价。</w:t>
      </w:r>
    </w:p>
    <w:p>
      <w:pPr>
        <w:pStyle w:val="Normal"/>
        <w:rPr/>
      </w:pPr>
      <w:r>
        <w:rPr/>
        <w:t>年底较短周期用有限内在价与现价之间一次识别因子，悲观、基准、乐观分别为百分之七十、四十五和三十五。它是年底信息可能被市场反映程度的判断，非机构目标线性缩放，也不是获利概率。乐观一年内在高，年底只假设较小部分重估；悲观部分残留选择权价不等于资产现金保底。总表只应用一次识别，</w:t>
      </w:r>
      <w:r>
        <w:rPr/>
        <w:t>Excel</w:t>
      </w:r>
      <w:r>
        <w:rPr/>
        <w:t>活动估值保存内在和股息，不再重复收缩。</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价格</w:t>
            </w:r>
            <w:r>
              <w:rPr>
                <w:rFonts w:eastAsia="微软雅黑" w:ascii="微软雅黑" w:hAnsi="微软雅黑"/>
                <w:b/>
                <w:color w:val="FFFFFF"/>
                <w:sz w:val="17"/>
              </w:rPr>
              <w:t>HKD</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相对</w:t>
            </w:r>
            <w:r>
              <w:rPr>
                <w:rFonts w:eastAsia="微软雅黑" w:ascii="微软雅黑" w:hAnsi="微软雅黑"/>
                <w:b/>
                <w:color w:val="FFFFFF"/>
                <w:sz w:val="17"/>
              </w:rPr>
              <w:t>19.25</w:t>
            </w:r>
            <w:r>
              <w:rPr>
                <w:rFonts w:ascii="微软雅黑" w:hAnsi="微软雅黑" w:eastAsia="微软雅黑"/>
                <w:b/>
                <w:color w:val="FFFFFF"/>
                <w:sz w:val="17"/>
              </w:rPr>
              <w:t>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条件</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5.7750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70.0000%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商业恢复弱、临床与融资失败压力部分提前体现</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15.7772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18.0406%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完整费用与有条件融资、区域及全球商业化逐步兑现</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41.0428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+113.2095%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主要全球项目成功、较大净份额及有利融资</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25/50/25</w:t>
            </w:r>
            <w:r>
              <w:rPr>
                <w:rFonts w:ascii="微软雅黑" w:hAnsi="微软雅黑" w:eastAsia="微软雅黑"/>
                <w:sz w:val="17"/>
              </w:rPr>
              <w:t>期望</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19.5931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+1.7821%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研究判断权重</w:t>
            </w:r>
          </w:p>
        </w:tc>
      </w:tr>
    </w:tbl>
    <w:p>
      <w:pPr>
        <w:pStyle w:val="Normal"/>
        <w:rPr/>
      </w:pPr>
      <w:r>
        <w:rPr/>
      </w:r>
    </w:p>
    <w:p>
      <w:pPr>
        <w:pStyle w:val="Normal"/>
        <w:rPr/>
      </w:pPr>
      <w:r>
        <w:rPr/>
        <w:t>默认年底期望约十九点五九港元、回报正百分之一点七八，基本接近当前而不构成显著确定上涨。四十、四十、二十权重时约十六点八三、回报负百分之十二点五七；二十、四十、四十时约二十三点八八、正百分之二十四点零七。正期望主要受很高乐观值影响，基准仍低于现价，不能将加权平均误认为大部分路径可上涨。情景之外价格也可能出现，权重并非置信区间或最大亏损。</w:t>
      </w:r>
    </w:p>
    <w:p>
      <w:pPr>
        <w:pStyle w:val="Normal"/>
        <w:rPr/>
      </w:pPr>
      <w:r>
        <w:rPr/>
        <w:t>一年基准十二点六二港元、低于现价约百分之三十四点四三；三年十五点九九、回报负百分之十六点九四、年化负六；五年二十点二三、回报正百分之五点一零、年化约一。时间推进提高未来分配近度，仍可能不补偿早期买价和融资。乐观一年八十七点六九、三年一百零六点一八、五年一百二十八点四六需要多产品共同成功和很高净收入，不能直接用作最优推荐依据。</w:t>
      </w:r>
    </w:p>
    <w:p>
      <w:pPr>
        <w:pStyle w:val="Normal"/>
        <w:rPr/>
      </w:pPr>
      <w:r>
        <w:rPr/>
        <w:t>一年折现率降低或提高两个百分点，基准约十四点八二或十点八一；全部</w:t>
      </w:r>
      <w:r>
        <w:rPr/>
        <w:t>Zoci</w:t>
      </w:r>
      <w:r>
        <w:rPr/>
        <w:t>峰值低三成约九点七零，成功因子低十五个百分点约九点七九。</w:t>
      </w:r>
      <w:r>
        <w:rPr/>
        <w:t>PoveIgAN</w:t>
      </w:r>
      <w:r>
        <w:rPr/>
        <w:t>因子低十五个百分点约十二点零八，既有艾加莫德低两成约十一点八九、</w:t>
      </w:r>
      <w:r>
        <w:rPr/>
        <w:t>KarXT</w:t>
      </w:r>
      <w:r>
        <w:rPr/>
        <w:t>低三成约十一点四二。</w:t>
      </w:r>
      <w:r>
        <w:rPr/>
        <w:t>MediLink</w:t>
      </w:r>
      <w:r>
        <w:rPr/>
        <w:t>相关贡献率低五个百分点约十一点七八，显示上游权益成本并非无关。每项均保持其他输入，不能将不同压力结果拼成单个真实概率分布。</w:t>
      </w:r>
    </w:p>
    <w:p>
      <w:pPr>
        <w:pStyle w:val="Normal"/>
        <w:rPr/>
      </w:pPr>
      <w:r>
        <w:rPr/>
        <w:t>完整研发增加两成、全部新增商业起点延后两年或不募集新资本时，资金最低储备失效，内在归零压力。发行价低三成约十一点八八，新增融资股数由二点零九五亿变为约二点九九三亿，体现股份分母影响。全部银行一年内偿还变化较小，因为本金本来最终要清，但它依赖融资与年度时间预算。无法释放受限一亿约十二点四一，释放晚两年约十二点六零；这些数值不代表每月现金一定足够，年度模型未捕捉峰值付款。</w:t>
      </w:r>
    </w:p>
    <w:p>
      <w:pPr>
        <w:pStyle w:val="Heading2"/>
        <w:rPr/>
      </w:pPr>
      <w:r>
        <w:rPr>
          <w:color w:val="000000"/>
        </w:rPr>
        <w:t>八 半年</w:t>
      </w:r>
      <w:r>
        <w:rPr>
          <w:color w:val="000000"/>
        </w:rPr>
        <w:t>K</w:t>
      </w:r>
      <w:r>
        <w:rPr>
          <w:color w:val="000000"/>
        </w:rPr>
        <w:t>线 量能与观察条件</w:t>
      </w:r>
    </w:p>
    <w:p>
      <w:pPr>
        <w:pStyle w:val="Normal"/>
        <w:rPr/>
      </w:pPr>
      <w:r>
        <w:rPr/>
        <w:t>基准日收盘十九点二五港元，开十九点三、日高十九点三五、低十八点九三，相对前收十九点一九小涨约百分之零点三一。收盘接近日内上部，说明当天低位后有恢复，但幅度有限，不能由一根小阳线断言趋势加速。二十日回调与六十日修复共存，短期观察更应看均价区和阶段阻力，而非将近期全部涨幅归为单一临床事件。</w:t>
      </w:r>
    </w:p>
    <w:p>
      <w:pPr>
        <w:pStyle w:val="Normal"/>
        <w:rPr/>
      </w:pPr>
      <w:r>
        <w:rPr/>
        <w:t>二十日均线十九点九一八、六十日十八点六七六五、一百二十日十六点八六二九、二百五十日十六点五四二零，现价低二十线约百分之三点三五，高六十线约三点零七，高一百二十和二百五十线约十四点一六及十六点三七。二十线最近五日斜率小负，六十及一百二十线正，二百五十线仍负，表示中期修复已发生而较长下降尚未完全翻转。均线四项合起来判断趋势，不会当独立四次加分。</w:t>
      </w:r>
    </w:p>
    <w:p>
      <w:pPr>
        <w:pStyle w:val="Normal"/>
        <w:rPr/>
      </w:pPr>
      <w:r>
        <w:rPr/>
        <w:t>二十日价格回报约正百分之二点五六、六十日正十八点六一、一百二十日正五点三六、二百五十日负二十八点八六。较短窗口强于长窗口，既不能只看长跌认为没有修复，也不能只看六十日涨忽略去年下降。日线完整五十二周高约二十七点二八、低十二点三一，现价距高约负二十九点四四、距低正五十六点三八，最大窗口回撤约五十四点零三。反弹离低已较远，回撤大不直接等于仍低估。</w:t>
      </w:r>
    </w:p>
    <w:p>
      <w:pPr>
        <w:pStyle w:val="Normal"/>
        <w:rPr/>
      </w:pPr>
      <w:r>
        <w:rPr/>
        <w:t>最近二十日观察低十八点五九、上二十一点二二，现价到下方约负百分之三点四三、到上方正十点二三；六十日上方二十一点四二，距离约十一点二七。十八点六至十八点七既包含近低与六十日均价，是第一观察区，十九点九附近需先收复，再看二十一点二至二十一点四。它们是窗口与均价位置，不是精确筹码成本，没有触碰统计就不能称牢固支撑或保证突破。</w:t>
      </w:r>
    </w:p>
    <w:p>
      <w:pPr>
        <w:pStyle w:val="Normal"/>
        <w:rPr/>
      </w:pPr>
      <w:r>
        <w:rPr/>
        <w:t>如果现价在六十日线之上维持、二十线逐步转正、上涨量重新大于近期均量且回踩不失前低，技术修复可继续。突破二十一点四后需观察是否有多个有效收盘与更高参与，单日消息跳涨后跌回不能称确认。跌破十八点五九并同时相对行业转弱，半年修复判断需下调；更深十三点八八六十日低距离很远，只作为压力位，不鼓励以极大亏损容忍包装正常波动。</w:t>
      </w:r>
    </w:p>
    <w:p>
      <w:pPr>
        <w:pStyle w:val="Normal"/>
        <w:rPr/>
      </w:pPr>
      <w:r>
        <w:rPr/>
        <w:t>当天成交四百九十一万一千八百股、成交额约九千三百八十六点九万港币。五日均量约三百七十一万六千、二十日五百六十万七千、六十日七百六十六万二千，近期平均参与低于更早窗口。当天除此前二十日均量的量比约零点八四，未达到放量突破条件。缩量可能是等待临床、假期或交易兴趣下降，不能直接认定卖压消失。</w:t>
      </w:r>
    </w:p>
    <w:p>
      <w:pPr>
        <w:pStyle w:val="Normal"/>
        <w:rPr/>
      </w:pPr>
      <w:r>
        <w:rPr/>
        <w:t>最近二十日十三个上涨日总量约八千四百六十二万股，七个下跌日约二千七百五十二万，粗量比约三点零八。较高上涨参与支持中期修复，但天数不同会放大总量比，不能据此声称买盘身份或主力吸筹。结合均量下降和最新量比，较合理判断是曾有强上行参与，当前正在缩量整固；需要新完整交易窗口确认，而不是把总量和平均量当彼此完全独立指标。</w:t>
      </w:r>
    </w:p>
    <w:p>
      <w:pPr>
        <w:pStyle w:val="Normal"/>
        <w:rPr/>
      </w:pPr>
      <w:r>
        <w:rPr/>
        <w:t>按全法律普通股粗算日成交占比约百分之零点四三，既不是准确自由流通换手，也不反映</w:t>
      </w:r>
      <w:r>
        <w:rPr/>
        <w:t>ADS</w:t>
      </w:r>
      <w:r>
        <w:rPr/>
        <w:t>与香港股份跨市转换行为。没有逐笔数据和精确投资人分类，不画声称准确的筹码分布或量价密集成本。两地交易时差会影响消息后定价，香港先行或美国先行不是长期估值事实。量能看参加者交易强弱，无法单凭一张图识别谁在买卖及其持仓目的。</w:t>
      </w:r>
    </w:p>
    <w:p>
      <w:pPr>
        <w:pStyle w:val="Normal"/>
        <w:rPr/>
      </w:pPr>
      <w:r>
        <w:rPr/>
        <w:t>十四日</w:t>
      </w:r>
      <w:r>
        <w:rPr/>
        <w:t>RSI</w:t>
      </w:r>
      <w:r>
        <w:rPr/>
        <w:t>约四十六点五，在五十下而不处明显极端，说明短期动量趋中弱。</w:t>
      </w:r>
      <w:r>
        <w:rPr/>
        <w:t>MACD</w:t>
      </w:r>
      <w:r>
        <w:rPr/>
        <w:t>快慢差约零点零五九、信号零点二三，按两倍差柱约负零点三四，短期上行动能已有放缓。</w:t>
      </w:r>
      <w:r>
        <w:rPr/>
        <w:t>ATR</w:t>
      </w:r>
      <w:r>
        <w:rPr/>
        <w:t>约零点九五五港元、约价格百分之四点九六，提供日常波动尺度。它们都来自同一价格时间序列，作为辅助交叉而不重复提高评分，也不能用</w:t>
      </w:r>
      <w:r>
        <w:rPr/>
        <w:t>ATR</w:t>
      </w:r>
      <w:r>
        <w:rPr/>
        <w:t>当未来最大跌幅。</w:t>
      </w:r>
    </w:p>
    <w:p>
      <w:pPr>
        <w:pStyle w:val="Normal"/>
        <w:rPr/>
      </w:pPr>
      <w:r>
        <w:rPr/>
        <w:t>二十日相对恒生指数约超五点五四个百分点、六十日超二十一点八零；相对港股通创新药粗行业基准分别超一点六八和二十一点八三。中期相对强度明确改善，是半年量价得分三点三的重要依据。行业指数粗匹配，不完全代表全球许可和自研混合模式；用价格收益而非基金含息收益对比，指数成交量不用于公司吸筹判断。绝对估值低分仍可抵消强相对趋势，价格强不自动代表高未来回报。</w:t>
      </w:r>
    </w:p>
    <w:p>
      <w:pPr>
        <w:pStyle w:val="Normal"/>
        <w:rPr/>
      </w:pPr>
      <w:r>
        <w:rPr/>
        <w:t>三年日线有七百三十九根、周线一百五十七，足以观察日均线，二百五十周均线没有真实覆盖。二十周约十七点零六二、六十周十七点五一九五、一百二十周十九点八八三一，现价在前两之上且略低一百二十周。二十周最近五周斜率正约五点六七，六十周负三点八四、一百二十周正一点零九；较长趋势交错，周线恢复正在逐渐推进，不是所有周期同时上升。</w:t>
      </w:r>
    </w:p>
    <w:p>
      <w:pPr>
        <w:pStyle w:val="Normal"/>
        <w:rPr/>
      </w:pPr>
      <w:r>
        <w:rPr/>
        <w:t>周</w:t>
      </w:r>
      <w:r>
        <w:rPr/>
        <w:t>RSI</w:t>
      </w:r>
      <w:r>
        <w:rPr/>
        <w:t>约五十六点二一、</w:t>
      </w:r>
      <w:r>
        <w:rPr/>
        <w:t>MACD</w:t>
      </w:r>
      <w:r>
        <w:rPr/>
        <w:t>柱正约零点六四五，与日线较弱动量形成时间层次差异。周</w:t>
      </w:r>
      <w:r>
        <w:rPr/>
        <w:t>ATR</w:t>
      </w:r>
      <w:r>
        <w:rPr/>
        <w:t>约一点九五七港元、价格百分之十点一六，表示周波动仍大。最近周成交量比约零点四一，上涨下跌周总量比约一点五五，最新假期减少完整交易天不能直接称资金撤离。日线与周线五十二周起点不同，日高二十七点二八和周窗口高二十四点七六差异不应误当数据错误；窗口定义应在图注和表中保留。</w:t>
      </w:r>
    </w:p>
    <w:p>
      <w:pPr>
        <w:pStyle w:val="Normal"/>
        <w:rPr/>
      </w:pPr>
      <w:r>
        <w:rPr/>
        <w:t>行情锁定以腾讯报价、独立日线及雅虎交叉，基准价一致，七百三十九配对日复权差极小，无需要修复的</w:t>
      </w:r>
      <w:r>
        <w:rPr/>
        <w:t>OHLC</w:t>
      </w:r>
      <w:r>
        <w:rPr/>
        <w:t>逻辑异常。价格按基准日名义价归一复权，成交量以股统一，未把手数与股混用。技术分析限于截止日真实历史，新消息后应重算而不是保持固定买卖位。临床或现金根本失效时，即使短线形态未破也应先下调基本面，不能用量价反弹抵消注册失败。</w:t>
      </w:r>
    </w:p>
    <w:p>
      <w:pPr>
        <w:pStyle w:val="Heading2"/>
        <w:rPr/>
      </w:pPr>
      <w:r>
        <w:rPr>
          <w:color w:val="000000"/>
        </w:rPr>
        <w:t>九 周期 宏观与四期限反证</w:t>
      </w:r>
    </w:p>
    <w:p>
      <w:pPr>
        <w:pStyle w:val="Normal"/>
        <w:rPr/>
      </w:pPr>
      <w:r>
        <w:rPr/>
        <w:t>中国医保扩面、人口老龄与诊断改善有利于创新治疗需求，但支付财政与药品竞争又压低净价。再鼎的真实例子是艾加莫德患者增加仍受价格影响，则乐受到仿制同类采购间接冲击。行业政策不是只有利好或只有利空，同一药能扩大可及性同时降低每次收入。未来推荐必须看总净现金，不能只把宏观扶持生物科技写成所有公司的上行理由。</w:t>
      </w:r>
    </w:p>
    <w:p>
      <w:pPr>
        <w:pStyle w:val="Normal"/>
        <w:rPr/>
      </w:pPr>
      <w:r>
        <w:rPr/>
        <w:t>美元利率影响自由现金收益、全球估值和融资窗口。降息会减少目前大额美元存款利息，却可能提高远期管线估值与融资承接；这两条方向相反，对本公司重要性也随商业成熟变化。银行债利率低，但本金和滚动信用条件仍需满足。研发、许可和商业净价的量级远大于小幅利息变化，估值不应让宏观利率成为替代临床与销售的唯一理由。</w:t>
      </w:r>
    </w:p>
    <w:p>
      <w:pPr>
        <w:pStyle w:val="Normal"/>
        <w:rPr/>
      </w:pPr>
      <w:r>
        <w:rPr/>
        <w:t>人民币升值能增加报告美元销售，降低部分美元计价采购的人民币成本，也可能使美元现金相对人民币费用购买力变化。上半年汇兑收益属于账面重估，不全是新可用现金；产品恒定汇率下降比报告更弱，应坚持区分。持有港股人民币回报应将港币价格含息回报与港币人民币汇率比例相乘，不能简单相加大波动百分点。港币美元联系制度降低某些兑换变化，但并不消除人民币投资者的币种风险。</w:t>
      </w:r>
    </w:p>
    <w:p>
      <w:pPr>
        <w:pStyle w:val="Normal"/>
        <w:rPr/>
      </w:pPr>
      <w:r>
        <w:rPr/>
        <w:t>美国全球研发审评、医疗支付与国际政治也通过</w:t>
      </w:r>
      <w:r>
        <w:rPr/>
        <w:t>Zoci</w:t>
      </w:r>
      <w:r>
        <w:rPr/>
        <w:t>注册及伙伴合作影响价值。试验质量、患者代表性、制造一致性和持续获益需要达到监管标准，中国商业成功不会保证美国批准。全球伙伴的资本优先级和供应政策可以改变区域项目速度，再鼎无法控制全部外部决策。研究不会凭无证据政策标题推断公司受确定制裁，但会将地区资本、监管及供应依赖保留为失败路径。</w:t>
      </w:r>
    </w:p>
    <w:p>
      <w:pPr>
        <w:pStyle w:val="Normal"/>
        <w:rPr/>
      </w:pPr>
      <w:r>
        <w:rPr/>
        <w:t>半年评分主要由临床催化和相对趋势支撑，但预期回报维度仅一点五。需要观察</w:t>
      </w:r>
      <w:r>
        <w:rPr/>
        <w:t>ESMO</w:t>
      </w:r>
      <w:r>
        <w:rPr/>
        <w:t>一线数据的实际分母、安全和持续性，</w:t>
      </w:r>
      <w:r>
        <w:rPr/>
        <w:t>ZL-1503</w:t>
      </w:r>
      <w:r>
        <w:rPr/>
        <w:t>健康药代与患者数据区别，国内产品销量能否抵消降价。若仅报告亮眼早期百分比而缺少对照及长期安全，不能把一年全部乐观峰值提前兑现。技术失效条件是近低和六十线破位伴随相对弱，基本面失效则是重要数据、供货或资金受损，两者分别更新。</w:t>
      </w:r>
    </w:p>
    <w:p>
      <w:pPr>
        <w:pStyle w:val="Normal"/>
        <w:rPr/>
      </w:pPr>
      <w:r>
        <w:rPr/>
        <w:t>一年期较重要的是</w:t>
      </w:r>
      <w:r>
        <w:rPr/>
        <w:t>DLLEVATE</w:t>
      </w:r>
      <w:r>
        <w:rPr/>
        <w:t>入组、中期分析与潜在申报进度，区域</w:t>
      </w:r>
      <w:r>
        <w:rPr/>
        <w:t>Pove</w:t>
      </w:r>
      <w:r>
        <w:rPr/>
        <w:t>、甲状腺眼病和新产品真实准入，以及外部融资条件。半年临床良好只是必要资料之一，实际对照、审评与净权决定全球可得值。若已有商业收入恢复慢，新增试验还增加费用，股价可以重估后回落。基准一年目标低于现价，推荐提升需要更强实证和更少资本稀释，不能仅依据国际机构评级买入。</w:t>
      </w:r>
    </w:p>
    <w:p>
      <w:pPr>
        <w:pStyle w:val="Normal"/>
        <w:rPr/>
      </w:pPr>
      <w:r>
        <w:rPr/>
        <w:t>三年窗口可能出现全球</w:t>
      </w:r>
      <w:r>
        <w:rPr/>
        <w:t>Zoci</w:t>
      </w:r>
      <w:r>
        <w:rPr/>
        <w:t>首批上市、区域免疫及眼病新药销售形成，业务质量得到更直接验证。关键收益来源是每股经营现金，不只是管线胜率提高和市值扩张。成功若需要大量低价增股，旧持有人回报会小于公司收入增长；若竞争改变前后线治疗顺序，过去峰值还需下修。三年年化基准负值提示当前买价仍要求较强执行，不宜因时间长就自动认为风险消失。</w:t>
      </w:r>
    </w:p>
    <w:p>
      <w:pPr>
        <w:pStyle w:val="Normal"/>
        <w:rPr/>
      </w:pPr>
      <w:r>
        <w:rPr/>
        <w:t>五年有机会形成区域商业与全球药品共同利润，基准年化约一仍偏低，不能作为高确定长期核心。公司需要维持项目选择、资金和上游权利纪律，全球产品才可能超过原有许可渠道模式。经营赚钱后若继续大规模引进或并行早期项目，现金未必分给股东。模型五年零股息承认这一现实，长期分配只是研究规则，不能将法定扭亏直接视为马上股息。</w:t>
      </w:r>
    </w:p>
    <w:p>
      <w:pPr>
        <w:pStyle w:val="Normal"/>
        <w:rPr/>
      </w:pPr>
      <w:r>
        <w:rPr/>
        <w:t>十年持续性取决于研发团队能否重复找到差异化候选、保有国际临床制造能力，并合理配合区域销售网络。内部发现和全球许可各有优势，平台不需要每个项目都成功，却需要成功收益超过失败和长期资金成本。若只有不断增加候选名字、费用和股份而没有可持续净回收，技术与规模都不会自动保护旧股。核心产品专利、商业权到期和新标准替代要持续跟踪，有限模型晚期收入衰减是保守代理，非逐项已核验专利到期日。</w:t>
      </w:r>
    </w:p>
    <w:p>
      <w:pPr>
        <w:pStyle w:val="Normal"/>
        <w:rPr/>
      </w:pPr>
      <w:r>
        <w:rPr/>
        <w:t>管理层和董事会的资本配置值得观察。五月总裁及运营负责人离任、新增商业运营角色，说明组织正调整；不能无证据推断人员变化必有问题，也不能将每个任命当经营修复完成。全球研发速度快可能提升机会，同时需要质量和资源纪律。下一轮推荐更重视实际费用、退出低价值项目、授权付款透明及员工激励与股东回收匹配，而非口号。</w:t>
      </w:r>
    </w:p>
    <w:p>
      <w:pPr>
        <w:pStyle w:val="Heading2"/>
        <w:rPr/>
      </w:pPr>
      <w:r>
        <w:rPr>
          <w:color w:val="000000"/>
        </w:rPr>
        <w:t>十 机构参照与结论推翻条件</w:t>
      </w:r>
    </w:p>
    <w:p>
      <w:pPr>
        <w:pStyle w:val="Normal"/>
        <w:rPr/>
      </w:pPr>
      <w:r>
        <w:rPr/>
        <w:t>摩根士丹利五月十一日下调香港目标至十九港元并保留增持，五月二十九日公开行业表继续列十九，故同机构使用后者最新有效记录。相关新闻解释既有则乐与瑞普替尼预测调整，并称</w:t>
      </w:r>
      <w:r>
        <w:rPr/>
        <w:t>DCF</w:t>
      </w:r>
      <w:r>
        <w:rPr/>
        <w:t>尾端价值使目标下调较小。它超最近九十日，未取得八月中报后公开替代原始研报，不能称最新机构一致意见。实际原始目标期限不完整，十九仅作一般一年参照，年底仍用本模型信息集。</w:t>
      </w:r>
    </w:p>
    <w:p>
      <w:pPr>
        <w:pStyle w:val="Normal"/>
        <w:rPr/>
      </w:pPr>
      <w:r>
        <w:rPr/>
        <w:t>瑞银三月二日公开新闻目标二十二点八港元、买入，反映去年第四季和较高长期经营预测，随后既有销售压力与研发成本需重新考虑。旧报告二〇二五年曾预计艾加莫德中国峰值十八亿美元，明显高于本模型既有三点六亿加新增四点二亿名义峰值；时间、净价、区域与不同新适应症均可能造成差异。不能把旧峰值或旧年度收支平衡计划当截止日事实，公司八月说明商业重建与全球研发仍有亏损。</w:t>
      </w:r>
    </w:p>
    <w:p>
      <w:pPr>
        <w:pStyle w:val="Normal"/>
        <w:rPr/>
      </w:pPr>
      <w:r>
        <w:rPr/>
        <w:t>花旗二月二十七日美股</w:t>
      </w:r>
      <w:r>
        <w:rPr/>
        <w:t>ADS</w:t>
      </w:r>
      <w:r>
        <w:rPr/>
        <w:t>目标四十七美元、买入高风险，描述商业转型逆风与全球管线机会。该价针对一份代表十普通股的</w:t>
      </w:r>
      <w:r>
        <w:rPr/>
        <w:t>ADS</w:t>
      </w:r>
      <w:r>
        <w:rPr/>
        <w:t>，按研究七点八汇率换算才约三十六点六六港元每普通股。直接把四十七美元换成三百六十多港元普通股会产生十倍错误。本模型将原币目标、工具比例、日期、新闻来源与折算假设分别记录，不能把它与香港十九和二十二点八无条件平均。</w:t>
      </w:r>
    </w:p>
    <w:p>
      <w:pPr>
        <w:pStyle w:val="Normal"/>
        <w:rPr/>
      </w:pPr>
      <w:r>
        <w:rPr/>
        <w:t>三份外资公开记录均超过九十日，原始完整研报未取得；中资机构可另供比较但不混入外资目标统计。新闻网页动态报价和沽空字段属于抓取时点，不能当研报日期价格或持仓事实。评级买入不等于短期预计上涨区间，也不意味着目标期限完全相同。公开目标提供外部假设分歧线索，具体公司模型需要对临床概率、净药价、融资和长期终值逐项解释。</w:t>
      </w:r>
    </w:p>
    <w:p>
      <w:pPr>
        <w:pStyle w:val="Normal"/>
        <w:rPr/>
      </w:pPr>
      <w:r>
        <w:rPr/>
        <w:t>本研究与机构较高目标差异可能来自</w:t>
      </w:r>
      <w:r>
        <w:rPr/>
        <w:t>Zoci</w:t>
      </w:r>
      <w:r>
        <w:rPr/>
        <w:t>前线成功率、美国价格份额、区域免疫峰值、完整研发及许可付款、融资股数，以及没有无限持续经营终值。有限二〇四一年截断可能低估未来新平台，但无成本无限新药也容易高估。正确使用方式是看条件能否实现，取得原始合同、成熟数据及现金后刷新，而非认为较低目标一定准确或国际目标一定权威。表格精确计算不消除经营参数的不确定。</w:t>
      </w:r>
    </w:p>
    <w:p>
      <w:pPr>
        <w:pStyle w:val="Normal"/>
        <w:rPr/>
      </w:pPr>
      <w:r>
        <w:rPr/>
        <w:t>推翻当前观察推荐的事实包括：</w:t>
      </w:r>
      <w:r>
        <w:rPr/>
        <w:t>Zoci</w:t>
      </w:r>
      <w:r>
        <w:rPr/>
        <w:t>确证研究净获益不足或严重安全窗口不利；一线组合高响应无法维持、需要不可承担的后期费用；既有药销量不能抵医保降价、则乐长期份额继续显著滑落；全球供应质量或注册推迟；</w:t>
      </w:r>
      <w:r>
        <w:rPr/>
        <w:t>A</w:t>
      </w:r>
      <w:r>
        <w:rPr/>
        <w:t>股或其他资本不在跑道内募得；许可付款与股数明显超预算。发生时先修改产品、成本和现金，不能以另一早期概念或短期回购抵消已失败主命题。</w:t>
      </w:r>
    </w:p>
    <w:p>
      <w:pPr>
        <w:pStyle w:val="Normal"/>
        <w:rPr/>
      </w:pPr>
      <w:r>
        <w:rPr/>
        <w:t>提高推荐的证据包括真正随机长期临床获益、监管批准及稳定供货、全球合作明确降低资本责任且仍保合理净权、区域药增长形成持续现金毛利、融资价与增股合理，以及少量内部项目完成患者疗效验证。一个优秀临床百分比和一个大额首付都不能单独覆盖全部失败路径。需要分期判断经营价值和当前买价，进取标准允许选择权参与，同时仍要求每股回报足够补偿资本与执行风险。</w:t>
      </w:r>
    </w:p>
    <w:p>
      <w:pPr>
        <w:pStyle w:val="Normal"/>
        <w:rPr/>
      </w:pPr>
      <w:r>
        <w:rPr/>
        <w:t>每个核心输入保留币种、单位、发布时点、财报期和来源。中报全文八月二十八日晚发布，原始季度结果八月六日晚已经公开，均早于价格基准；九月二十九临床预告有明确日期但未披露钟点，仍早于截止日。模型若修改必须标记待刷新并重算三情景，</w:t>
      </w:r>
      <w:r>
        <w:rPr/>
        <w:t>Word</w:t>
      </w:r>
      <w:r>
        <w:rPr/>
        <w:t>和</w:t>
      </w:r>
      <w:r>
        <w:rPr/>
        <w:t>PDF</w:t>
      </w:r>
      <w:r>
        <w:rPr/>
        <w:t>要从同源核心数值生成。完整输出的可读性、正文字数和逐页核验由总报告制作流程接续，本章不把</w:t>
      </w:r>
      <w:r>
        <w:rPr/>
        <w:t>pending</w:t>
      </w:r>
      <w:r>
        <w:rPr/>
        <w:t>草稿误当完整</w:t>
      </w:r>
      <w:r>
        <w:rPr/>
        <w:t>27</w:t>
      </w:r>
      <w:r>
        <w:rPr/>
        <w:t>份交付。</w:t>
      </w:r>
    </w:p>
    <w:p>
      <w:pPr>
        <w:pStyle w:val="Heading2"/>
        <w:rPr/>
      </w:pPr>
      <w:r>
        <w:rPr>
          <w:color w:val="000000"/>
        </w:rPr>
        <w:t>来源与核验索引</w:t>
      </w:r>
    </w:p>
    <w:p>
      <w:pPr>
        <w:pStyle w:val="Normal"/>
        <w:rPr/>
      </w:pPr>
      <w:r>
        <w:rPr/>
        <w:t>- 2026</w:t>
      </w:r>
      <w:r>
        <w:rPr/>
        <w:t>中报：</w:t>
      </w:r>
      <w:r>
        <w:rPr/>
        <w:t>2026-08-28 18:14</w:t>
      </w:r>
      <w:r>
        <w:rPr/>
        <w:t>，</w:t>
      </w:r>
      <w:r>
        <w:rPr/>
        <w:t>https://www1.hkexnews.hk/listedco/listconews/sehk/2026/0828/2026082801441.pdf</w:t>
      </w:r>
    </w:p>
    <w:p>
      <w:pPr>
        <w:pStyle w:val="Normal"/>
        <w:rPr/>
      </w:pPr>
      <w:r>
        <w:rPr/>
        <w:t>- 2026</w:t>
      </w:r>
      <w:r>
        <w:rPr/>
        <w:t>季度业绩与公司更新：</w:t>
      </w:r>
      <w:r>
        <w:rPr/>
        <w:t>2026-08-06 19:12</w:t>
      </w:r>
      <w:r>
        <w:rPr/>
        <w:t>，</w:t>
      </w:r>
      <w:r>
        <w:rPr/>
        <w:t>https://www1.hkexnews.hk/listedco/listconews/sehk/2026/0806/2026080601649.pdf</w:t>
      </w:r>
    </w:p>
    <w:p>
      <w:pPr>
        <w:pStyle w:val="Normal"/>
        <w:rPr/>
      </w:pPr>
      <w:r>
        <w:rPr/>
        <w:t>- 2026</w:t>
      </w:r>
      <w:r>
        <w:rPr/>
        <w:t>上半年</w:t>
      </w:r>
      <w:r>
        <w:rPr/>
        <w:t>Form10Q</w:t>
      </w:r>
      <w:r>
        <w:rPr/>
        <w:t>：</w:t>
      </w:r>
      <w:r>
        <w:rPr/>
        <w:t>2026-08-06 19:21</w:t>
      </w:r>
      <w:r>
        <w:rPr/>
        <w:t>，</w:t>
      </w:r>
      <w:r>
        <w:rPr/>
        <w:t>https://www1.hkexnews.hk/listedco/listconews/sehk/2026/0806/2026080601667.pdf</w:t>
      </w:r>
    </w:p>
    <w:p>
      <w:pPr>
        <w:pStyle w:val="Normal"/>
        <w:rPr/>
      </w:pPr>
      <w:r>
        <w:rPr/>
        <w:t>- 2026</w:t>
      </w:r>
      <w:r>
        <w:rPr/>
        <w:t>中期首次香港业绩：</w:t>
      </w:r>
      <w:r>
        <w:rPr/>
        <w:t>2026-08-26 06:27</w:t>
      </w:r>
      <w:r>
        <w:rPr/>
        <w:t>，</w:t>
      </w:r>
      <w:r>
        <w:rPr/>
        <w:t>https://www1.hkexnews.hk/listedco/listconews/sehk/2026/0826/2026082600023.pdf</w:t>
      </w:r>
    </w:p>
    <w:p>
      <w:pPr>
        <w:pStyle w:val="Normal"/>
        <w:rPr/>
      </w:pPr>
      <w:r>
        <w:rPr/>
        <w:t>- 2025</w:t>
      </w:r>
      <w:r>
        <w:rPr/>
        <w:t>年报：</w:t>
      </w:r>
      <w:r>
        <w:rPr/>
        <w:t>2026-04-28 22:23</w:t>
      </w:r>
      <w:r>
        <w:rPr/>
        <w:t>，</w:t>
      </w:r>
      <w:r>
        <w:rPr/>
        <w:t>https://www1.hkexnews.hk/listedco/listconews/sehk/2026/0428/2026042804595.pdf</w:t>
      </w:r>
    </w:p>
    <w:p>
      <w:pPr>
        <w:pStyle w:val="Normal"/>
        <w:rPr/>
      </w:pPr>
      <w:r>
        <w:rPr/>
        <w:t>- 2024</w:t>
      </w:r>
      <w:r>
        <w:rPr/>
        <w:t>年报：</w:t>
      </w:r>
      <w:r>
        <w:rPr/>
        <w:t>2025-04-29 20:01</w:t>
      </w:r>
      <w:r>
        <w:rPr/>
        <w:t>，</w:t>
      </w:r>
      <w:r>
        <w:rPr/>
        <w:t>https://www1.hkexnews.hk/listedco/listconews/sehk/2025/0429/2025042904052.pdf</w:t>
      </w:r>
    </w:p>
    <w:p>
      <w:pPr>
        <w:pStyle w:val="Normal"/>
        <w:rPr/>
      </w:pPr>
      <w:r>
        <w:rPr/>
        <w:t>- 2026</w:t>
      </w:r>
      <w:r>
        <w:rPr/>
        <w:t>九月底股份月报：</w:t>
      </w:r>
      <w:r>
        <w:rPr/>
        <w:t>2026-10-05 19:16</w:t>
      </w:r>
      <w:r>
        <w:rPr/>
        <w:t>，</w:t>
      </w:r>
      <w:r>
        <w:rPr/>
        <w:t>https://www1.hkexnews.hk/listedco/listconews/sehk/2026/1005/2026100501991.pdf</w:t>
      </w:r>
    </w:p>
    <w:p>
      <w:pPr>
        <w:pStyle w:val="Normal"/>
        <w:rPr/>
      </w:pPr>
      <w:r>
        <w:rPr/>
        <w:t>- ESMO</w:t>
      </w:r>
      <w:r>
        <w:rPr/>
        <w:t>首次数据预告：</w:t>
      </w:r>
      <w:r>
        <w:rPr/>
        <w:t>2026-09-29</w:t>
      </w:r>
      <w:r>
        <w:rPr/>
        <w:t>，钟点未披露，</w:t>
      </w:r>
      <w:r>
        <w:rPr/>
        <w:t>https://ir.zailaboratory.com/news-releases/news-release-details/zai-lab-present-first-global-data-clinical-trial-evaluating</w:t>
      </w:r>
    </w:p>
    <w:p>
      <w:pPr>
        <w:pStyle w:val="Normal"/>
        <w:rPr/>
      </w:pPr>
      <w:r>
        <w:rPr/>
        <w:t>- ALKIVIA</w:t>
      </w:r>
      <w:r>
        <w:rPr/>
        <w:t>顶部结果：</w:t>
      </w:r>
      <w:r>
        <w:rPr/>
        <w:t>2026-08-17</w:t>
      </w:r>
      <w:r>
        <w:rPr/>
        <w:t>，钟点未披露，</w:t>
      </w:r>
      <w:r>
        <w:rPr/>
        <w:t>https://ir.zailaboratory.com/news-releases/news-release-details/zai-lab-and-argenx-announce-positive-topline-results-phase-3</w:t>
      </w:r>
    </w:p>
    <w:p>
      <w:pPr>
        <w:pStyle w:val="Normal"/>
        <w:rPr/>
      </w:pPr>
      <w:r>
        <w:rPr/>
        <w:t>- TIVDAK</w:t>
      </w:r>
      <w:r>
        <w:rPr/>
        <w:t>批准：</w:t>
      </w:r>
      <w:r>
        <w:rPr/>
        <w:t>2026-06-08</w:t>
      </w:r>
      <w:r>
        <w:rPr/>
        <w:t>，钟点未披露，</w:t>
      </w:r>
      <w:r>
        <w:rPr/>
        <w:t>https://ir.zailaboratory.com/news-releases/news-release-details/zai-lab-receives-china-nmpa-approval-tivdakr-tisotumab-vedotin</w:t>
      </w:r>
    </w:p>
    <w:p>
      <w:pPr>
        <w:pStyle w:val="Normal"/>
        <w:rPr/>
      </w:pPr>
      <w:r>
        <w:rPr/>
        <w:t>- Bemarituzumab</w:t>
      </w:r>
      <w:r>
        <w:rPr/>
        <w:t>中期与最终差异：</w:t>
      </w:r>
      <w:r>
        <w:rPr/>
        <w:t>2025-09-03 22:35</w:t>
      </w:r>
      <w:r>
        <w:rPr/>
        <w:t>，</w:t>
      </w:r>
      <w:r>
        <w:rPr/>
        <w:t>https://www1.hkexnews.hk/listedco/listconews/sehk/2025/0903/2025090302254.pdf</w:t>
      </w:r>
    </w:p>
    <w:p>
      <w:pPr>
        <w:pStyle w:val="Normal"/>
        <w:rPr/>
      </w:pPr>
      <w:r>
        <w:rPr/>
        <w:t>- Bemarituzumab</w:t>
      </w:r>
      <w:r>
        <w:rPr/>
        <w:t>疗效不足停试：</w:t>
      </w:r>
      <w:r>
        <w:rPr/>
        <w:t>2025-11-05 07:40</w:t>
      </w:r>
      <w:r>
        <w:rPr/>
        <w:t>，</w:t>
      </w:r>
      <w:r>
        <w:rPr/>
        <w:t>https://www1.hkexnews.hk/listedco/listconews/sehk/2025/1105/2025110500069.pdf</w:t>
      </w:r>
    </w:p>
    <w:p>
      <w:pPr>
        <w:pStyle w:val="Normal"/>
        <w:rPr/>
      </w:pPr>
      <w:r>
        <w:rPr/>
        <w:t xml:space="preserve">- </w:t>
      </w:r>
      <w:r>
        <w:rPr/>
        <w:t>大摩最新公开表：</w:t>
      </w:r>
      <w:r>
        <w:rPr/>
        <w:t>2026-05-29 15:11</w:t>
      </w:r>
      <w:r>
        <w:rPr/>
        <w:t>，</w:t>
      </w:r>
      <w:r>
        <w:rPr/>
        <w:t>https://www.aastocks.com/tc/stocks/analysis/stock-aafn-con/09688/AAFN/NOW.1526701/research-report</w:t>
      </w:r>
    </w:p>
    <w:p>
      <w:pPr>
        <w:pStyle w:val="Normal"/>
        <w:rPr/>
      </w:pPr>
      <w:r>
        <w:rPr/>
        <w:t xml:space="preserve">- </w:t>
      </w:r>
      <w:r>
        <w:rPr/>
        <w:t>瑞银：</w:t>
      </w:r>
      <w:r>
        <w:rPr/>
        <w:t>2026-03-02 12:26</w:t>
      </w:r>
      <w:r>
        <w:rPr/>
        <w:t>，</w:t>
      </w:r>
      <w:r>
        <w:rPr/>
        <w:t>https://www.aastocks.com/tc/stocks/analysis/stock-aafn-con/09688/AAFN/NOW.1505862/research-report</w:t>
      </w:r>
    </w:p>
    <w:p>
      <w:pPr>
        <w:pStyle w:val="Normal"/>
        <w:rPr/>
      </w:pPr>
      <w:r>
        <w:rPr/>
        <w:t xml:space="preserve">- </w:t>
      </w:r>
      <w:r>
        <w:rPr/>
        <w:t>花旗</w:t>
      </w:r>
      <w:r>
        <w:rPr/>
        <w:t>ADS</w:t>
      </w:r>
      <w:r>
        <w:rPr/>
        <w:t>：</w:t>
      </w:r>
      <w:r>
        <w:rPr/>
        <w:t>2026-02-27 15:19</w:t>
      </w:r>
      <w:r>
        <w:rPr/>
        <w:t>，</w:t>
      </w:r>
      <w:r>
        <w:rPr/>
        <w:t>https://www.aastocks.com/tc/stocks/analysis/stock-aafn-con/09688/AAFN/NOW.1505472/research-report</w:t>
      </w:r>
    </w:p>
    <w:p>
      <w:pPr>
        <w:pStyle w:val="Normal"/>
        <w:rPr/>
      </w:pPr>
      <w:r>
        <w:rPr/>
        <w:t xml:space="preserve">- </w:t>
      </w:r>
      <w:r>
        <w:rPr/>
        <w:t>模型与行情核验：</w:t>
      </w:r>
      <w:r>
        <w:rPr/>
        <w:t>zai_sources.json</w:t>
      </w:r>
      <w:r>
        <w:rPr/>
        <w:t>、</w:t>
      </w:r>
      <w:r>
        <w:rPr/>
        <w:t>zai_model.json</w:t>
      </w:r>
      <w:r>
        <w:rPr/>
        <w:t>、</w:t>
      </w:r>
      <w:r>
        <w:rPr/>
        <w:t>market_snapshot_locked.json</w:t>
      </w:r>
      <w:r>
        <w:rPr/>
        <w:t>、</w:t>
      </w:r>
      <w:r>
        <w:rPr/>
        <w:t>I039_independent_qa.json</w:t>
      </w:r>
      <w:r>
        <w:rPr/>
        <w:t>、</w:t>
      </w:r>
      <w:r>
        <w:rPr/>
        <w:t>zai_adapter_qa.json</w:t>
      </w:r>
      <w:r>
        <w:rPr/>
        <w:t>、</w:t>
      </w:r>
      <w:r>
        <w:rPr/>
        <w:t>I039_research_state.json</w:t>
      </w:r>
      <w:r>
        <w:rPr/>
        <w:t>。</w:t>
      </w:r>
      <w:r>
        <w:br w:type="page"/>
      </w:r>
    </w:p>
    <w:p>
      <w:pPr>
        <w:pStyle w:val="Heading1"/>
        <w:spacing w:before="0" w:after="0"/>
        <w:rPr/>
      </w:pPr>
      <w:bookmarkStart w:id="6" w:name="__RefHeading___Toc48426_1364803659"/>
      <w:bookmarkEnd w:id="6"/>
      <w:r>
        <w:rPr>
          <w:color w:val="000000"/>
        </w:rPr>
        <w:t xml:space="preserve">昭衍新药 </w:t>
      </w:r>
      <w:r>
        <w:rPr>
          <w:color w:val="000000"/>
        </w:rPr>
        <w:t>06127 HK</w:t>
      </w:r>
    </w:p>
    <w:p>
      <w:pPr>
        <w:pStyle w:val="Normal"/>
        <w:rPr/>
      </w:pPr>
      <w:r>
        <w:rPr/>
        <w:t xml:space="preserve">06127.HK </w:t>
      </w:r>
      <w:r>
        <w:rPr/>
        <w:t xml:space="preserve">现价 </w:t>
      </w:r>
      <w:r>
        <w:rPr/>
        <w:t>31.32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22.36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-16.40%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40.48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+29.25%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+33.56%</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-63.97%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18.87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-39.76%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41.89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22.73HKD</w:t>
      </w:r>
      <w:r>
        <w:rPr/>
        <w:t>，期望股价回报</w:t>
      </w:r>
      <w:r>
        <w:rPr/>
        <w:t>-27.43%</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10.04</w:t>
              <w:br/>
              <w:t>-67.95%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22.36</w:t>
              <w:br/>
              <w:t>-28.60%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42.42</w:t>
              <w:br/>
              <w:t>+35.45%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7.63</w:t>
              <w:br/>
              <w:t>-75.64%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26.00</w:t>
              <w:br/>
              <w:t>-16.98%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45.88</w:t>
              <w:br/>
              <w:t>+46.48%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5.35</w:t>
              <w:br/>
              <w:t>-82.92%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33.67</w:t>
              <w:br/>
              <w:t>+7.50%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72.54</w:t>
              <w:br/>
              <w:t>+131.62%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3.94</w:t>
              <w:br/>
              <w:t>-87.43%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40.48</w:t>
              <w:br/>
              <w:t>+29.25%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81.62</w:t>
              <w:br/>
              <w:t>+160.59%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+5.96%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高：正式</w:t>
            </w:r>
            <w:r>
              <w:rPr>
                <w:rFonts w:eastAsia="微软雅黑" w:ascii="微软雅黑" w:hAnsi="微软雅黑"/>
                <w:sz w:val="17"/>
              </w:rPr>
              <w:t>A/H</w:t>
            </w:r>
            <w:r>
              <w:rPr>
                <w:rFonts w:ascii="微软雅黑" w:hAnsi="微软雅黑" w:eastAsia="微软雅黑"/>
                <w:sz w:val="17"/>
              </w:rPr>
              <w:t>公告财务订单可追溯；动物数量及参数缺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market-v1.6</w:t>
            </w:r>
            <w:r>
              <w:rPr>
                <w:rFonts w:ascii="微软雅黑" w:hAnsi="微软雅黑" w:eastAsia="微软雅黑"/>
                <w:sz w:val="17"/>
              </w:rPr>
              <w:t>锁</w:t>
            </w:r>
            <w:r>
              <w:rPr>
                <w:rFonts w:eastAsia="微软雅黑" w:ascii="微软雅黑" w:hAnsi="微软雅黑"/>
                <w:sz w:val="17"/>
              </w:rPr>
              <w:t>739</w:t>
            </w:r>
            <w:r>
              <w:rPr>
                <w:rFonts w:ascii="微软雅黑" w:hAnsi="微软雅黑" w:eastAsia="微软雅黑"/>
                <w:sz w:val="17"/>
              </w:rPr>
              <w:t>日</w:t>
            </w:r>
            <w:r>
              <w:rPr>
                <w:rFonts w:eastAsia="微软雅黑" w:ascii="微软雅黑" w:hAnsi="微软雅黑"/>
                <w:sz w:val="17"/>
              </w:rPr>
              <w:t>157</w:t>
            </w:r>
            <w:r>
              <w:rPr>
                <w:rFonts w:ascii="微软雅黑" w:hAnsi="微软雅黑" w:eastAsia="微软雅黑"/>
                <w:sz w:val="17"/>
              </w:rPr>
              <w:t>周；</w:t>
            </w:r>
            <w:r>
              <w:rPr>
                <w:rFonts w:eastAsia="微软雅黑" w:ascii="微软雅黑" w:hAnsi="微软雅黑"/>
                <w:sz w:val="17"/>
              </w:rPr>
              <w:t>CRO</w:t>
            </w:r>
            <w:r>
              <w:rPr>
                <w:rFonts w:ascii="微软雅黑" w:hAnsi="微软雅黑" w:eastAsia="微软雅黑"/>
                <w:sz w:val="17"/>
              </w:rPr>
              <w:t>行业相对强弱缺</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中低：亏损主业修复及</w:t>
            </w:r>
            <w:r>
              <w:rPr>
                <w:rFonts w:eastAsia="微软雅黑" w:ascii="微软雅黑" w:hAnsi="微软雅黑"/>
                <w:sz w:val="17"/>
              </w:rPr>
              <w:t>PE</w:t>
            </w:r>
            <w:r>
              <w:rPr>
                <w:rFonts w:ascii="微软雅黑" w:hAnsi="微软雅黑" w:eastAsia="微软雅黑"/>
                <w:sz w:val="17"/>
              </w:rPr>
              <w:t>为研究假设；非完整资产清算模型</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机构目标</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中：公开旧外资新闻可核，</w:t>
            </w:r>
            <w:r>
              <w:rPr>
                <w:rFonts w:eastAsia="微软雅黑" w:ascii="微软雅黑" w:hAnsi="微软雅黑"/>
                <w:sz w:val="17"/>
              </w:rPr>
              <w:t>90</w:t>
            </w:r>
            <w:r>
              <w:rPr>
                <w:rFonts w:ascii="微软雅黑" w:hAnsi="微软雅黑" w:eastAsia="微软雅黑"/>
                <w:sz w:val="17"/>
              </w:rPr>
              <w:t>天外资目标缺</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-32.17%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-28.60%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-20.58%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-16.40%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-12.22%</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+15.05%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+26.88%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+33.56%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+40.23%</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证券：</w:t>
      </w:r>
      <w:r>
        <w:rPr/>
        <w:t>06127.HK</w:t>
      </w:r>
      <w:r>
        <w:rPr/>
        <w:t xml:space="preserve">；发行人 </w:t>
      </w:r>
      <w:r>
        <w:rPr/>
        <w:t>I045</w:t>
      </w:r>
      <w:r>
        <w:rPr/>
        <w:t xml:space="preserve">；证券 </w:t>
      </w:r>
      <w:r>
        <w:rPr/>
        <w:t>S052</w:t>
      </w:r>
      <w:r>
        <w:rPr/>
        <w:t xml:space="preserve">。行情版本 </w:t>
      </w:r>
      <w:r>
        <w:rPr/>
        <w:t>market-v1.6</w:t>
      </w:r>
      <w:r>
        <w:rPr/>
        <w:t>，统一基准为</w:t>
      </w:r>
      <w:r>
        <w:rPr/>
        <w:t>2026</w:t>
      </w:r>
      <w:r>
        <w:rPr/>
        <w:t>年</w:t>
      </w:r>
      <w:r>
        <w:rPr/>
        <w:t>10</w:t>
      </w:r>
      <w:r>
        <w:rPr/>
        <w:t>月</w:t>
      </w:r>
      <w:r>
        <w:rPr/>
        <w:t>9</w:t>
      </w:r>
      <w:r>
        <w:rPr/>
        <w:t>日收盘</w:t>
      </w:r>
      <w:r>
        <w:rPr/>
        <w:t>31.32</w:t>
      </w:r>
      <w:r>
        <w:rPr/>
        <w:t>港元。资料截止该日，以下为独立初版研究判断。</w:t>
      </w:r>
      <w:r>
        <w:rPr/>
        <w:t>A</w:t>
      </w:r>
      <w:r>
        <w:rPr/>
        <w:t>股</w:t>
      </w:r>
      <w:r>
        <w:rPr/>
        <w:t>603127</w:t>
      </w:r>
      <w:r>
        <w:rPr/>
        <w:t>不在用户股票清单，本章使用</w:t>
      </w:r>
      <w:r>
        <w:rPr/>
        <w:t>A</w:t>
      </w:r>
      <w:r>
        <w:rPr/>
        <w:t>股完整财报核算集团利润，但股票排名和目标价只对应</w:t>
      </w:r>
      <w:r>
        <w:rPr/>
        <w:t>H</w:t>
      </w:r>
      <w:r>
        <w:rPr/>
        <w:t>股。</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基准目标港元</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悲观—乐观港元</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定位</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22.36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10.04—42.42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28.60%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28.60%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技术强势但价值回报不足</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26.00</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7.63—45.88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16.98%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16.40%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等待主业兑现或估值回落</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65.8</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33.67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5.35—72.54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+9.57%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经营恢复候选，含息年化</w:t>
            </w:r>
            <w:r>
              <w:rPr>
                <w:rFonts w:eastAsia="微软雅黑" w:ascii="微软雅黑" w:hAnsi="微软雅黑"/>
                <w:sz w:val="17"/>
              </w:rPr>
              <w:t>3.09%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40.48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3.94—81.62</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+29.25%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+33.56%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转型与复利观察，含息年化</w:t>
            </w:r>
            <w:r>
              <w:rPr>
                <w:rFonts w:eastAsia="微软雅黑" w:ascii="微软雅黑" w:hAnsi="微软雅黑"/>
                <w:sz w:val="17"/>
              </w:rPr>
              <w:t>5.96%</w:t>
            </w:r>
          </w:p>
        </w:tc>
      </w:tr>
    </w:tbl>
    <w:p>
      <w:pPr>
        <w:pStyle w:val="Normal"/>
        <w:rPr/>
      </w:pPr>
      <w:r>
        <w:rPr/>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w:t>
            </w:r>
            <w:r>
              <w:rPr>
                <w:rFonts w:eastAsia="微软雅黑" w:ascii="微软雅黑" w:hAnsi="微软雅黑"/>
                <w:b/>
                <w:color w:val="FFFFFF"/>
                <w:sz w:val="17"/>
              </w:rPr>
              <w:t>2026-12-31</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25/50/25</w:t>
            </w:r>
            <w:r>
              <w:rPr>
                <w:rFonts w:ascii="微软雅黑" w:hAnsi="微软雅黑" w:eastAsia="微软雅黑"/>
                <w:b/>
                <w:color w:val="FFFFFF"/>
                <w:sz w:val="17"/>
              </w:rPr>
              <w:t>期望</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价格港元</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41.89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22.73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相对</w:t>
            </w:r>
            <w:r>
              <w:rPr>
                <w:rFonts w:eastAsia="微软雅黑" w:ascii="微软雅黑" w:hAnsi="微软雅黑"/>
                <w:sz w:val="17"/>
              </w:rPr>
              <w:t>31.32</w:t>
            </w:r>
            <w:r>
              <w:rPr>
                <w:rFonts w:ascii="微软雅黑" w:hAnsi="微软雅黑" w:eastAsia="微软雅黑"/>
                <w:sz w:val="17"/>
              </w:rPr>
              <w:t>涨跌</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63.97%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39.76%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+33.76%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r>
              <w:rPr>
                <w:rFonts w:eastAsia="微软雅黑" w:ascii="微软雅黑" w:hAnsi="微软雅黑"/>
                <w:sz w:val="17"/>
              </w:rPr>
              <w:t>27.43%</w:t>
            </w:r>
          </w:p>
        </w:tc>
      </w:tr>
    </w:tbl>
    <w:p>
      <w:pPr>
        <w:pStyle w:val="Normal"/>
        <w:rPr/>
      </w:pPr>
      <w:r>
        <w:rPr/>
      </w:r>
    </w:p>
    <w:p>
      <w:pPr>
        <w:pStyle w:val="Heading2"/>
        <w:rPr/>
      </w:pPr>
      <w:r>
        <w:rPr>
          <w:color w:val="000000"/>
        </w:rPr>
        <w:t>投资结论</w:t>
      </w:r>
    </w:p>
    <w:p>
      <w:pPr>
        <w:pStyle w:val="Normal"/>
        <w:rPr/>
      </w:pPr>
      <w:r>
        <w:rPr/>
        <w:t>昭衍具备中国非临床安全评价的专业积累，</w:t>
      </w:r>
      <w:r>
        <w:rPr/>
        <w:t>2026</w:t>
      </w:r>
      <w:r>
        <w:rPr/>
        <w:t>年订单恢复也已出现清晰证据，但在</w:t>
      </w:r>
      <w:r>
        <w:rPr/>
        <w:t>31.32</w:t>
      </w:r>
      <w:r>
        <w:rPr/>
        <w:t>港元基准价上，本研究不把它列为进取组合的优先核心持仓。理由是近期上涨已较充分反映行业复苏和实验动物价格收益，而公司实验室服务及其他业务仍未稳定盈利。投资者实际购买的是主营恢复、动物供应链优势和资产配置能力的组合，不能只看一个很低的半年扣非市盈率。</w:t>
      </w:r>
    </w:p>
    <w:p>
      <w:pPr>
        <w:pStyle w:val="Normal"/>
        <w:rPr/>
      </w:pPr>
      <w:r>
        <w:rPr/>
        <w:t>四期限评分依次为</w:t>
      </w:r>
      <w:r>
        <w:rPr/>
        <w:t>58.8</w:t>
      </w:r>
      <w:r>
        <w:rPr/>
        <w:t>、</w:t>
      </w:r>
      <w:r>
        <w:rPr/>
        <w:t>61.8</w:t>
      </w:r>
      <w:r>
        <w:rPr/>
        <w:t>、</w:t>
      </w:r>
      <w:r>
        <w:rPr/>
        <w:t>65.8</w:t>
      </w:r>
      <w:r>
        <w:rPr/>
        <w:t>、</w:t>
      </w:r>
      <w:r>
        <w:rPr/>
        <w:t>65.8</w:t>
      </w:r>
      <w:r>
        <w:rPr/>
        <w:t>分。半年量价得分较高，长期业务与行业得分也并不低，限制总分的是现价所要求的盈利恢复幅度以及动物估值透明度。本章的推荐梯队属于有条件观察，适合继续跟踪订单转化和利润质量；与同榜差距小于三分的标的应归为同梯队。正式名次由全名单总表统一计算，本章不自行宣称已经进入前十。</w:t>
      </w:r>
    </w:p>
    <w:p>
      <w:pPr>
        <w:pStyle w:val="Normal"/>
        <w:rPr/>
      </w:pPr>
      <w:r>
        <w:rPr/>
        <w:t>短期结论成立的条件，是市场逐步用可重复的主营利润替代动物公允价值波动作为估值核心，并要求订单增长兑现为交付、毛利和现金。若市场持续给动物稀缺性和未来育种能力很高溢价，股价完全可以保持强势甚至突破；这正是乐观情景的重要路径。但价格走强不能反过来证明当前净利润全部可以永续，技术趋势与利润质量应分别检验。</w:t>
      </w:r>
    </w:p>
    <w:p>
      <w:pPr>
        <w:pStyle w:val="Normal"/>
        <w:rPr/>
      </w:pPr>
      <w:r>
        <w:rPr/>
        <w:t>三年和五年的基准含息年化分别约</w:t>
      </w:r>
      <w:r>
        <w:rPr/>
        <w:t>3.09%</w:t>
      </w:r>
      <w:r>
        <w:rPr/>
        <w:t>和</w:t>
      </w:r>
      <w:r>
        <w:rPr/>
        <w:t>5.96%</w:t>
      </w:r>
      <w:r>
        <w:rPr/>
        <w:t>，对于承受动物市场、非临床订单、海外监管及估值回落风险的投资者，吸引力仍有限。乐观情景存在较大上涨空间，五年约</w:t>
      </w:r>
      <w:r>
        <w:rPr/>
        <w:t>81.62</w:t>
      </w:r>
      <w:r>
        <w:rPr/>
        <w:t>港元，但它要求持续高难度订单、明显提升的利用率、稳定的数据质量以及扩张后的资本回报。进取风格可以接受波动，却仍应比较同等风险下的预期回报，而非只按最大目标价排序。</w:t>
      </w:r>
    </w:p>
    <w:p>
      <w:pPr>
        <w:pStyle w:val="Normal"/>
        <w:rPr/>
      </w:pPr>
      <w:r>
        <w:rPr/>
        <w:t>主要下行因素有四类：客户融资复苏转弱；旧低价合同交付压制利润；实验动物价格或估值参数回落；新设施和研发费用增长快于收入。若再叠加动物健康事件、数据合规事故、海外客户供应链转移或基金损失，实际损失可能超过本章悲观目标。这里的价格区间是估值判断，不是最大损失界限，也不是获利概率。财务和行情证据相对充分，未来估值可信度为中低。</w:t>
      </w:r>
    </w:p>
    <w:p>
      <w:pPr>
        <w:pStyle w:val="Heading2"/>
        <w:rPr/>
      </w:pPr>
      <w:r>
        <w:rPr>
          <w:color w:val="000000"/>
        </w:rPr>
        <w:t>公司究竟出售什么</w:t>
      </w:r>
    </w:p>
    <w:p>
      <w:pPr>
        <w:pStyle w:val="Normal"/>
        <w:rPr/>
      </w:pPr>
      <w:r>
        <w:rPr/>
        <w:t>昭衍主要向药企提供非临床研究服务，包括药物安全性评价、药代动力学、药效研究及配套检测。客户购买的核心并非单次动物实验，而是能够进入监管申报资料的数据、方案设计能力、实验执行质量和报告交付可靠性。错误的实验设计可能造成研发时间损失，数据质量事故也可能推翻既有成果，因此有经验的平台能够形成一定转换成本。这种壁垒是科学和管理壁垒，仍需每次项目执行持续维护。</w:t>
      </w:r>
    </w:p>
    <w:p>
      <w:pPr>
        <w:pStyle w:val="Normal"/>
        <w:rPr/>
      </w:pPr>
      <w:r>
        <w:rPr/>
        <w:t>2026</w:t>
      </w:r>
      <w:r>
        <w:rPr/>
        <w:t>年上半年集团收入为</w:t>
      </w:r>
      <w:r>
        <w:rPr/>
        <w:t>7.0382</w:t>
      </w:r>
      <w:r>
        <w:rPr/>
        <w:t>亿元，其中非临床外部收入</w:t>
      </w:r>
      <w:r>
        <w:rPr/>
        <w:t>6.7589</w:t>
      </w:r>
      <w:r>
        <w:rPr/>
        <w:t>亿元，约占</w:t>
      </w:r>
      <w:r>
        <w:rPr/>
        <w:t>96.0%</w:t>
      </w:r>
      <w:r>
        <w:rPr/>
        <w:t>；临床及相关收入</w:t>
      </w:r>
      <w:r>
        <w:rPr/>
        <w:t>2774.46</w:t>
      </w:r>
      <w:r>
        <w:rPr/>
        <w:t>万元，外售实验模型收入仅</w:t>
      </w:r>
      <w:r>
        <w:rPr/>
        <w:t>17.97</w:t>
      </w:r>
      <w:r>
        <w:rPr/>
        <w:t>万元。这说明股票的主要商业基础仍是非临床服务，临床布局尚不能被当成与泰格类似规模的第二业务柱。市场若把新业务名称直接映射为很大估值，应先核对收入和实际贡献，避免把能力建设当成已实现商业规模。</w:t>
      </w:r>
    </w:p>
    <w:p>
      <w:pPr>
        <w:pStyle w:val="Normal"/>
        <w:rPr/>
      </w:pPr>
      <w:r>
        <w:rPr/>
        <w:t>实验模型供应分部的收入在内部管理口径下达到</w:t>
      </w:r>
      <w:r>
        <w:rPr/>
        <w:t>2.0625</w:t>
      </w:r>
      <w:r>
        <w:rPr/>
        <w:t>亿元，其中</w:t>
      </w:r>
      <w:r>
        <w:rPr/>
        <w:t>2.0607</w:t>
      </w:r>
      <w:r>
        <w:rPr/>
        <w:t>亿元是分部间交易，合并时抵销。集团不是额外获得了这笔外部现金收入。动物自供的经济作用在于保障试验执行、管理采购时间、控制供应风险及改变合并后的服务成本。将内部模型收入再加到集团收入，或把动物供应利润与非临床利润分别完整资本化，都会夸大同一集团创造的价值。</w:t>
      </w:r>
    </w:p>
    <w:p>
      <w:pPr>
        <w:pStyle w:val="Normal"/>
        <w:rPr/>
      </w:pPr>
      <w:r>
        <w:rPr/>
        <w:t>非临床业务的客户需求常发生在进入人体试验之前，也包括特定长期毒性、生殖毒性及后续补充试验。客户的一条管线可以产生多个专题，项目签约量增加不等于药品最终上市概率增加。昭衍通常依服务交付收取合同费用，并不分享客户药品全部商业化收益。因此在评价管线热点时，应研究它们需要何种研究、项目金额与执行时间，而不是简单把创新药销售峰值套到服务商身上。</w:t>
      </w:r>
    </w:p>
    <w:p>
      <w:pPr>
        <w:pStyle w:val="Normal"/>
        <w:rPr/>
      </w:pPr>
      <w:r>
        <w:rPr/>
        <w:t>公司也在扩展早期发现、</w:t>
      </w:r>
      <w:r>
        <w:rPr/>
        <w:t>ADC</w:t>
      </w:r>
      <w:r>
        <w:rPr/>
        <w:t>一体化、核酸药物、生物分析以及药物质量研究能力。潜在好处是提高客户黏性、扩大单客户服务份额，减少跨平台沟通。但一体化需要更多专业人才、方法开发投入和设备，如果项目不足，范围扩展会稀释原有利润率。本研究把新能力视为长期竞争条件，在利润模型中保留研发和管理支出，未为每项平台分别添加一个未经收入验证的资产价值。</w:t>
      </w:r>
    </w:p>
    <w:p>
      <w:pPr>
        <w:pStyle w:val="Heading2"/>
        <w:rPr/>
      </w:pPr>
      <w:r>
        <w:rPr>
          <w:color w:val="000000"/>
        </w:rPr>
        <w:t>需求周期与订单恢复</w:t>
      </w:r>
    </w:p>
    <w:p>
      <w:pPr>
        <w:pStyle w:val="Normal"/>
        <w:rPr/>
      </w:pPr>
      <w:r>
        <w:rPr/>
        <w:t>公司中报披露上半年新签订单约</w:t>
      </w:r>
      <w:r>
        <w:rPr/>
        <w:t>20.2</w:t>
      </w:r>
      <w:r>
        <w:rPr/>
        <w:t>亿元，同比增长</w:t>
      </w:r>
      <w:r>
        <w:rPr/>
        <w:t>98.0%</w:t>
      </w:r>
      <w:r>
        <w:rPr/>
        <w:t>；在手订单约</w:t>
      </w:r>
      <w:r>
        <w:rPr/>
        <w:t>37</w:t>
      </w:r>
      <w:r>
        <w:rPr/>
        <w:t>亿元，同比增长</w:t>
      </w:r>
      <w:r>
        <w:rPr/>
        <w:t>60.9%</w:t>
      </w:r>
      <w:r>
        <w:rPr/>
        <w:t>。这比只说需求改善更有信息量，显示客户端研发计划重新推进、公司承接项目能力增强。非临床业务通常比部分临床执行更早感受到研发资金变化，但恢复速度也可能受创新药融资节奏影响。因此订单增长是领先指标，仍需核对取消、延期及合同价，不能直接等同于下一年收入增长</w:t>
      </w:r>
      <w:r>
        <w:rPr/>
        <w:t>98%</w:t>
      </w:r>
      <w:r>
        <w:rPr/>
        <w:t>。</w:t>
      </w:r>
    </w:p>
    <w:p>
      <w:pPr>
        <w:pStyle w:val="Normal"/>
        <w:rPr/>
      </w:pPr>
      <w:r>
        <w:rPr/>
        <w:t>在手订单金额约为</w:t>
      </w:r>
      <w:r>
        <w:rPr/>
        <w:t>2025</w:t>
      </w:r>
      <w:r>
        <w:rPr/>
        <w:t>年全年收入的</w:t>
      </w:r>
      <w:r>
        <w:rPr/>
        <w:t>2.23</w:t>
      </w:r>
      <w:r>
        <w:rPr/>
        <w:t>倍，具有一定收入可见度。</w:t>
      </w:r>
      <w:r>
        <w:rPr/>
        <w:t>A</w:t>
      </w:r>
      <w:r>
        <w:rPr/>
        <w:t>股中报披露其预计于三个年度内确认，</w:t>
      </w:r>
      <w:r>
        <w:rPr/>
        <w:t>H</w:t>
      </w:r>
      <w:r>
        <w:rPr/>
        <w:t>股中报则说明大部分预计三年内确认。研究时应保留两种原文细微差别，不能把全部</w:t>
      </w:r>
      <w:r>
        <w:rPr/>
        <w:t>37</w:t>
      </w:r>
      <w:r>
        <w:rPr/>
        <w:t>亿元塞入</w:t>
      </w:r>
      <w:r>
        <w:rPr/>
        <w:t>2026</w:t>
      </w:r>
      <w:r>
        <w:rPr/>
        <w:t>年或</w:t>
      </w:r>
      <w:r>
        <w:rPr/>
        <w:t>2027</w:t>
      </w:r>
      <w:r>
        <w:rPr/>
        <w:t>年盈利。长周期试验、专题启动时间和客户安排都会影响交付。订单覆盖较高也可能要求更多运营投入，并不是不用追加成本的利润储备。</w:t>
      </w:r>
    </w:p>
    <w:p>
      <w:pPr>
        <w:pStyle w:val="Normal"/>
        <w:rPr/>
      </w:pPr>
      <w:r>
        <w:rPr/>
        <w:t>半年收入仅同比增长</w:t>
      </w:r>
      <w:r>
        <w:rPr/>
        <w:t>5.27%</w:t>
      </w:r>
      <w:r>
        <w:rPr/>
        <w:t>，明显低于新单增速，恰好提示订单与确认存在时滞。非临床收入主要在履约时点确认，执行中的专题成本先进入存货。若年底完成较多专题，收入会集中释放；若验收延后，收入也可以跨季度移动。因此季度收入波动不能全部解释为需求突然改变。比较订单、合同负债、未完工成本和确认收入的同向变化，比单看一个季度同比更可靠。</w:t>
      </w:r>
    </w:p>
    <w:p>
      <w:pPr>
        <w:pStyle w:val="Normal"/>
        <w:rPr/>
      </w:pPr>
      <w:r>
        <w:rPr/>
        <w:t>2025</w:t>
      </w:r>
      <w:r>
        <w:rPr/>
        <w:t>年季度收入约为</w:t>
      </w:r>
      <w:r>
        <w:rPr/>
        <w:t>2.8734</w:t>
      </w:r>
      <w:r>
        <w:rPr/>
        <w:t>、</w:t>
      </w:r>
      <w:r>
        <w:rPr/>
        <w:t>3.8124</w:t>
      </w:r>
      <w:r>
        <w:rPr/>
        <w:t>、</w:t>
      </w:r>
      <w:r>
        <w:rPr/>
        <w:t>3.1639</w:t>
      </w:r>
      <w:r>
        <w:rPr/>
        <w:t>和</w:t>
      </w:r>
      <w:r>
        <w:rPr/>
        <w:t>6.7266</w:t>
      </w:r>
      <w:r>
        <w:rPr/>
        <w:t>亿元，第四季度贡献明显较高。这个分布说明年度项目验收和季节性对财务表现影响较大，但不能保证</w:t>
      </w:r>
      <w:r>
        <w:rPr/>
        <w:t>2026</w:t>
      </w:r>
      <w:r>
        <w:rPr/>
        <w:t>年第四季度复制同一强度。预测应该逐项考虑在手专题成熟程度、客户付款能力和实验执行进度。本文年底估值采用对下一年正常盈利的前瞻判断，不把尚未公布的</w:t>
      </w:r>
      <w:r>
        <w:rPr/>
        <w:t>2026</w:t>
      </w:r>
      <w:r>
        <w:rPr/>
        <w:t>年下半年业绩当作已知事实。</w:t>
      </w:r>
    </w:p>
    <w:p>
      <w:pPr>
        <w:pStyle w:val="Normal"/>
        <w:rPr/>
      </w:pPr>
      <w:r>
        <w:rPr/>
        <w:t>新单恢复可以改善价格谈判，但旧低价合同仍要交付，成本和收入不会立即同步修复。竞争最激烈时签订的项目可能在行业回暖后才确认，造成订单很好、毛利仍弱的阶段。对昭衍更重要的验证问题，是新增订单包含多少复杂创新品类、议价是否改善、执行后需要多少人工和动物投入。这些细分金额缺失，故本模型通过多种毛利与费用假设表达不确定性，而非假定新单自动恢复历史高利润率。</w:t>
      </w:r>
    </w:p>
    <w:p>
      <w:pPr>
        <w:pStyle w:val="Heading2"/>
        <w:rPr/>
      </w:pPr>
      <w:r>
        <w:rPr>
          <w:color w:val="000000"/>
        </w:rPr>
        <w:t>创新品类与技术壁垒</w:t>
      </w:r>
    </w:p>
    <w:p>
      <w:pPr>
        <w:pStyle w:val="Normal"/>
        <w:rPr/>
      </w:pPr>
      <w:r>
        <w:rPr/>
        <w:t>公司披露抗体、小核酸、肽类及核酸类药物签约项目同比明显增加，高难度非人灵长类生殖毒性和致癌试验也保持上升。复杂生物药在物种选择、靶点交叉反应、免疫原性和长期安全性方面需要更多设计判断，经验丰富的平台有机会获得溢价。与此同时，项目复杂度也提高异常处理、数据解释和人员培训成本。本研究支持产品组合改善的逻辑，但不能从签约数量定性描述推算精确价格或利润。</w:t>
      </w:r>
    </w:p>
    <w:p>
      <w:pPr>
        <w:pStyle w:val="Normal"/>
        <w:rPr/>
      </w:pPr>
      <w:r>
        <w:rPr/>
        <w:t>ADC</w:t>
      </w:r>
      <w:r>
        <w:rPr/>
        <w:t>业务的服务链包括靶点验证、抗体开发、生物偶联、药理药效、药代和毒性评价。其价值在于把不同环节的证据组织起来，降低跨机构交接风险。药物本身的毒性来源可能同时涉及抗体、载荷、连接子和组织分布，不能仅按传统小分子试验模板复制。若昭衍能够形成稳定方法与客户验证，单项目价值可提高；但一体化能力与拥有自研药物全球权益是不同的商业模型。</w:t>
      </w:r>
    </w:p>
    <w:p>
      <w:pPr>
        <w:pStyle w:val="Normal"/>
        <w:rPr/>
      </w:pPr>
      <w:r>
        <w:rPr/>
        <w:t>公司在眼科、耳科和中枢神经系统模型上持续建设，涉及复杂给药与精细化功能评价。这些专科平台的壁垒来自方案适配、动物模型、操作经验和结果解释，设备只是其中一部分。专科需求可能随创新药研发热点变化，过度投入某一技术后若客户项目不足，会出现人员和设备闲置。三年模型因此保留较大的研发费用，不把形成能力之后的服务收入当成不需要再投入的高毛利授权金。</w:t>
      </w:r>
    </w:p>
    <w:p>
      <w:pPr>
        <w:pStyle w:val="Normal"/>
        <w:rPr/>
      </w:pPr>
      <w:r>
        <w:rPr/>
        <w:t>吸入药物平台延伸到制剂处方、装置匹配和药效验证，可能服务哮喘、慢阻肺与肺纤维化等领域。吸入暴露控制、剂量递送和病理评价需要协调，能减少客户重复摸索。对于投资判断，关键是该平台能否形成可复制的标准流程和稳定客户，而不只是完成若干复杂案例。公开资料未给出该领域独立收入与贡献利润，所以其价值通过总体业务增长假设体现，没有另设无来源销售峰值。</w:t>
      </w:r>
    </w:p>
    <w:p>
      <w:pPr>
        <w:pStyle w:val="Normal"/>
        <w:rPr/>
      </w:pPr>
      <w:r>
        <w:rPr/>
        <w:t>脑机接口、医美注射产品和药械组合也是公司披露的服务方向。它们增加需求类型，可能降低对某类药品研发热点的依赖，却同时增加法规和实验设计的异质性。医疗器械与药物的申报路径不能混用，完成阶段性非临床试验也不等于客户产品已经获准商业化。本文将这些业务作为潜在增长选择，要求后续披露项目复购、收入贡献和质量记录，才能提高经营质量评分。</w:t>
      </w:r>
    </w:p>
    <w:p>
      <w:pPr>
        <w:pStyle w:val="Heading2"/>
        <w:rPr/>
      </w:pPr>
      <w:r>
        <w:rPr>
          <w:color w:val="000000"/>
        </w:rPr>
        <w:t>动物供应链的真实经济意义</w:t>
      </w:r>
    </w:p>
    <w:p>
      <w:pPr>
        <w:pStyle w:val="Normal"/>
        <w:rPr/>
      </w:pPr>
      <w:r>
        <w:rPr/>
        <w:t>非人灵长类模型与人类的生理和病理相似性使其在部分复杂药物研究中仍有用途。自有繁殖与供应体系能够降低采购延误，帮助长周期试验安排，并积累不同年龄或疾病模型。但这种优势建立在健康管理、合规来源、设施质量和持续成本上，不是持有动物后便能无成本等待升值。动物数量、状态和用途不同，对服务履约的价值也不同，单一市场报价不足以描述全部资产。</w:t>
      </w:r>
    </w:p>
    <w:p>
      <w:pPr>
        <w:pStyle w:val="Normal"/>
        <w:rPr/>
      </w:pPr>
      <w:r>
        <w:rPr/>
        <w:t>截至</w:t>
      </w:r>
      <w:r>
        <w:rPr/>
        <w:t>2026</w:t>
      </w:r>
      <w:r>
        <w:rPr/>
        <w:t>年</w:t>
      </w:r>
      <w:r>
        <w:rPr/>
        <w:t>6</w:t>
      </w:r>
      <w:r>
        <w:rPr/>
        <w:t>月底，生物资产合计约</w:t>
      </w:r>
      <w:r>
        <w:rPr/>
        <w:t>22.3823</w:t>
      </w:r>
      <w:r>
        <w:rPr/>
        <w:t>亿元，其中消耗性</w:t>
      </w:r>
      <w:r>
        <w:rPr/>
        <w:t>9.1546</w:t>
      </w:r>
      <w:r>
        <w:rPr/>
        <w:t>亿元、生产性</w:t>
      </w:r>
      <w:r>
        <w:rPr/>
        <w:t>13.2277</w:t>
      </w:r>
      <w:r>
        <w:rPr/>
        <w:t>亿元。生产性主要用于繁殖，消耗性用于研究，经营用途不同。消耗性部分已包括在存货，不能先加全部存货再加这批动物；生产性部分也不是可随时自由出售而不影响业务的闲置资产。若把全部动物变现，未来服务和育种能力可能下降，资产出售与持续经营价值之间存在取舍。</w:t>
      </w:r>
    </w:p>
    <w:p>
      <w:pPr>
        <w:pStyle w:val="Normal"/>
        <w:rPr/>
      </w:pPr>
      <w:r>
        <w:rPr/>
        <w:t>生产性生物资产期初</w:t>
      </w:r>
      <w:r>
        <w:rPr/>
        <w:t>6.6839</w:t>
      </w:r>
      <w:r>
        <w:rPr/>
        <w:t>亿元，期内外购</w:t>
      </w:r>
      <w:r>
        <w:rPr/>
        <w:t>3.3519</w:t>
      </w:r>
      <w:r>
        <w:rPr/>
        <w:t>亿元，自行培育变动为负</w:t>
      </w:r>
      <w:r>
        <w:rPr/>
        <w:t>1688.66</w:t>
      </w:r>
      <w:r>
        <w:rPr/>
        <w:t>万元，公允价值增加</w:t>
      </w:r>
      <w:r>
        <w:rPr/>
        <w:t>3.3608</w:t>
      </w:r>
      <w:r>
        <w:rPr/>
        <w:t>亿元，期末</w:t>
      </w:r>
      <w:r>
        <w:rPr/>
        <w:t>13.2277</w:t>
      </w:r>
      <w:r>
        <w:rPr/>
        <w:t>亿元。这组滚动说明余额增长不是纯利润，也包括真实资金投入和结构变化。负的自行培育项目不能被随意改为新增动物收益，更不能把外购本金同时计作利润。消耗性资产完整数量和滚动仍缺，本章不宣称已逐只完成估值。</w:t>
      </w:r>
    </w:p>
    <w:p>
      <w:pPr>
        <w:pStyle w:val="Normal"/>
        <w:rPr/>
      </w:pPr>
      <w:r>
        <w:rPr/>
        <w:t>公司说明生物资产以公允价值减出售成本计量，采用市场法与重置成本法，不可观察参数包括市场价格、重置成本和饲养成本。用于繁殖前的相关成本与开始繁殖后的费用处理存在差别，价格、自然生长和成本估计可共同影响账面值。即使市场价格不变，结构和生长也可能产生公允变化；相反，账面收益上升也不意味着同额现金流进入银行账户。</w:t>
      </w:r>
    </w:p>
    <w:p>
      <w:pPr>
        <w:pStyle w:val="Normal"/>
        <w:rPr/>
      </w:pPr>
      <w:r>
        <w:rPr/>
        <w:t>中银国际</w:t>
      </w:r>
      <w:r>
        <w:rPr/>
        <w:t>7</w:t>
      </w:r>
      <w:r>
        <w:rPr/>
        <w:t>月</w:t>
      </w:r>
      <w:r>
        <w:rPr/>
        <w:t>15</w:t>
      </w:r>
      <w:r>
        <w:rPr/>
        <w:t>日新闻转述提及第二季度末非人灵长类招标价格每只约</w:t>
      </w:r>
      <w:r>
        <w:rPr/>
        <w:t>18</w:t>
      </w:r>
      <w:r>
        <w:rPr/>
        <w:t>万元，属于机构报道信息。公司原件没有提供全部动物按种类、年龄及健康状况对应的数量与单价，所以本文不用</w:t>
      </w:r>
      <w:r>
        <w:rPr/>
        <w:t>18</w:t>
      </w:r>
      <w:r>
        <w:rPr/>
        <w:t>万元除账面资产反推存栏。这类反推会混淆生产性、消耗性、重置成本和出售费用，也容易把某个时点的成交报价当成全集团可实现价值。价格新闻只作为周期证据之一，模型没有据此制造精确动物资产净值。</w:t>
      </w:r>
    </w:p>
    <w:p>
      <w:pPr>
        <w:pStyle w:val="Heading2"/>
        <w:rPr/>
      </w:pPr>
      <w:r>
        <w:rPr>
          <w:color w:val="000000"/>
        </w:rPr>
        <w:t>公允价值收益与利润质量</w:t>
      </w:r>
    </w:p>
    <w:p>
      <w:pPr>
        <w:pStyle w:val="Normal"/>
        <w:rPr/>
      </w:pPr>
      <w:r>
        <w:rPr/>
        <w:t>2026</w:t>
      </w:r>
      <w:r>
        <w:rPr/>
        <w:t>年上半年归母净利润</w:t>
      </w:r>
      <w:r>
        <w:rPr/>
        <w:t>7.4752</w:t>
      </w:r>
      <w:r>
        <w:rPr/>
        <w:t>亿元，扣非归母</w:t>
      </w:r>
      <w:r>
        <w:rPr/>
        <w:t>6.9887</w:t>
      </w:r>
      <w:r>
        <w:rPr/>
        <w:t>亿元。公司明确披露实验室服务及其他业务净利润为负</w:t>
      </w:r>
      <w:r>
        <w:rPr/>
        <w:t>3661.23</w:t>
      </w:r>
      <w:r>
        <w:rPr/>
        <w:t>万元，而生物资产公允价值变动带来净收益</w:t>
      </w:r>
      <w:r>
        <w:rPr/>
        <w:t>7.3548</w:t>
      </w:r>
      <w:r>
        <w:rPr/>
        <w:t>亿元。这两项近似相加与扣非利润一致，尾差来自披露四舍五入。扣非不是剔除所有不可持续项目的经济利润，它遵循具体监管口径；动物估值是经营资产相关，因此仍可留在扣非中。</w:t>
      </w:r>
    </w:p>
    <w:p>
      <w:pPr>
        <w:pStyle w:val="Normal"/>
        <w:rPr/>
      </w:pPr>
      <w:r>
        <w:rPr/>
        <w:t>2025</w:t>
      </w:r>
      <w:r>
        <w:rPr/>
        <w:t>年也出现相同问题：全年扣非归母</w:t>
      </w:r>
      <w:r>
        <w:rPr/>
        <w:t>3.1148</w:t>
      </w:r>
      <w:r>
        <w:rPr/>
        <w:t>亿元，实验室及其他贡献负</w:t>
      </w:r>
      <w:r>
        <w:rPr/>
        <w:t>1.6422</w:t>
      </w:r>
      <w:r>
        <w:rPr/>
        <w:t>亿元，生物资产公允净收益约</w:t>
      </w:r>
      <w:r>
        <w:rPr/>
        <w:t>4.7570</w:t>
      </w:r>
      <w:r>
        <w:rPr/>
        <w:t>亿元。若把两年扣非增长解释为实验服务盈利强劲复苏，会误判主要收益来源。</w:t>
      </w:r>
      <w:r>
        <w:rPr/>
        <w:t>2024</w:t>
      </w:r>
      <w:r>
        <w:rPr/>
        <w:t>年核心实验室及其他业务曾盈利约</w:t>
      </w:r>
      <w:r>
        <w:rPr/>
        <w:t>1.3729</w:t>
      </w:r>
      <w:r>
        <w:rPr/>
        <w:t>亿元，说明主营盈利具有周期性。当前需要研究它能否恢复并超过过去水平，而非假定报表利润增长自动代表核心经营质量提高。</w:t>
      </w:r>
    </w:p>
    <w:p>
      <w:pPr>
        <w:pStyle w:val="Normal"/>
        <w:rPr/>
      </w:pPr>
      <w:r>
        <w:rPr/>
        <w:t>上半年生物资产公允收益税前</w:t>
      </w:r>
      <w:r>
        <w:rPr/>
        <w:t>7.9512</w:t>
      </w:r>
      <w:r>
        <w:rPr/>
        <w:t>亿元，税后归母口径约</w:t>
      </w:r>
      <w:r>
        <w:rPr/>
        <w:t>7.3548</w:t>
      </w:r>
      <w:r>
        <w:rPr/>
        <w:t>亿元；其他金融资产公允收益约</w:t>
      </w:r>
      <w:r>
        <w:rPr/>
        <w:t>4292.00</w:t>
      </w:r>
      <w:r>
        <w:rPr/>
        <w:t>万元。非经常损益合计</w:t>
      </w:r>
      <w:r>
        <w:rPr/>
        <w:t>4864.77</w:t>
      </w:r>
      <w:r>
        <w:rPr/>
        <w:t>万元，不能将全部</w:t>
      </w:r>
      <w:r>
        <w:rPr/>
        <w:t>7.9512</w:t>
      </w:r>
      <w:r>
        <w:rPr/>
        <w:t>亿元动物收益作为非经常损益直接减掉后再重复剔税。税前、税后、扣非和经营分部口径必须逐级连接。本文把实际报表桥和未来正常利润桥分别保存，使读者能看到被调整的项目，而不是只提供一个自定义</w:t>
      </w:r>
      <w:r>
        <w:rPr/>
        <w:t>EPS</w:t>
      </w:r>
      <w:r>
        <w:rPr/>
        <w:t>。</w:t>
      </w:r>
    </w:p>
    <w:p>
      <w:pPr>
        <w:pStyle w:val="Normal"/>
        <w:rPr/>
      </w:pPr>
      <w:r>
        <w:rPr/>
        <w:t>从现金角度，上半年经营现金流</w:t>
      </w:r>
      <w:r>
        <w:rPr/>
        <w:t>4.5721</w:t>
      </w:r>
      <w:r>
        <w:rPr/>
        <w:t>亿元低于归母利润，但它本身已扣除非现金公允收益，并受到预收款增加支持。公司现金流调节表显示经营性应付项目增加约</w:t>
      </w:r>
      <w:r>
        <w:rPr/>
        <w:t>3.9640</w:t>
      </w:r>
      <w:r>
        <w:rPr/>
        <w:t>亿元，合同负债较年末增加约</w:t>
      </w:r>
      <w:r>
        <w:rPr/>
        <w:t>4.5739</w:t>
      </w:r>
      <w:r>
        <w:rPr/>
        <w:t>亿元。现金流为正是积极信号，但不能说明动物收益已经变现，也不能把所有预收款视为股东自由现金。客户已付款后，公司仍负有后续试验和交付义务。</w:t>
      </w:r>
    </w:p>
    <w:p>
      <w:pPr>
        <w:pStyle w:val="Normal"/>
        <w:rPr/>
      </w:pPr>
      <w:r>
        <w:rPr/>
        <w:t>将公允收益全部永久按普通</w:t>
      </w:r>
      <w:r>
        <w:rPr/>
        <w:t>PE</w:t>
      </w:r>
      <w:r>
        <w:rPr/>
        <w:t>资本化，会形成双重周期放大：价格上升先增加当期利润，市场再给成长倍数，股价可能远超过正常服务盈利能支持的水平。价格回落时过程也可以反转。本文活动模型把动物价格和自然生长的公允变化归零，保留内部自供对服务成本的经济优势，并采用较高正常集团</w:t>
      </w:r>
      <w:r>
        <w:rPr/>
        <w:t>PE</w:t>
      </w:r>
      <w:r>
        <w:rPr/>
        <w:t>反映现金缓冲和专业壁垒。这是估值方法选择，不是在宣称动物资产毫无价值。</w:t>
      </w:r>
    </w:p>
    <w:p>
      <w:pPr>
        <w:pStyle w:val="Heading2"/>
        <w:rPr/>
      </w:pPr>
      <w:r>
        <w:rPr>
          <w:color w:val="000000"/>
        </w:rPr>
        <w:t>A H</w:t>
      </w:r>
      <w:r>
        <w:rPr>
          <w:color w:val="000000"/>
        </w:rPr>
        <w:t>财务呈列与核算边界</w:t>
      </w:r>
    </w:p>
    <w:p>
      <w:pPr>
        <w:pStyle w:val="Normal"/>
        <w:rPr/>
      </w:pPr>
      <w:r>
        <w:rPr/>
        <w:t>昭衍</w:t>
      </w:r>
      <w:r>
        <w:rPr/>
        <w:t>H</w:t>
      </w:r>
      <w:r>
        <w:rPr/>
        <w:t>股中报采用国际财务报告准则呈列，</w:t>
      </w:r>
      <w:r>
        <w:rPr/>
        <w:t>A</w:t>
      </w:r>
      <w:r>
        <w:rPr/>
        <w:t>股完整中报采用中国企业会计准则。两份报告收入、税前利润、归母利润及净资产一致，但成本和费用的分类不同。</w:t>
      </w:r>
      <w:r>
        <w:rPr/>
        <w:t>H</w:t>
      </w:r>
      <w:r>
        <w:rPr/>
        <w:t>股服务成本约</w:t>
      </w:r>
      <w:r>
        <w:rPr/>
        <w:t>5.5893</w:t>
      </w:r>
      <w:r>
        <w:rPr/>
        <w:t>亿元、毛利</w:t>
      </w:r>
      <w:r>
        <w:rPr/>
        <w:t>1.4489</w:t>
      </w:r>
      <w:r>
        <w:rPr/>
        <w:t>亿元；</w:t>
      </w:r>
      <w:r>
        <w:rPr/>
        <w:t>A</w:t>
      </w:r>
      <w:r>
        <w:rPr/>
        <w:t>股营业成本约</w:t>
      </w:r>
      <w:r>
        <w:rPr/>
        <w:t>5.3660</w:t>
      </w:r>
      <w:r>
        <w:rPr/>
        <w:t>亿元、毛利</w:t>
      </w:r>
      <w:r>
        <w:rPr/>
        <w:t>1.6722</w:t>
      </w:r>
      <w:r>
        <w:rPr/>
        <w:t>亿元。不能将</w:t>
      </w:r>
      <w:r>
        <w:rPr/>
        <w:t>H</w:t>
      </w:r>
      <w:r>
        <w:rPr/>
        <w:t>股较低毛利与</w:t>
      </w:r>
      <w:r>
        <w:rPr/>
        <w:t>A</w:t>
      </w:r>
      <w:r>
        <w:rPr/>
        <w:t>股较低管理费用拼接，更不能据毛利差异认定公司在两地披露了两套不同现金盈利。</w:t>
      </w:r>
    </w:p>
    <w:p>
      <w:pPr>
        <w:pStyle w:val="Normal"/>
        <w:rPr/>
      </w:pPr>
      <w:r>
        <w:rPr/>
        <w:t>H</w:t>
      </w:r>
      <w:r>
        <w:rPr/>
        <w:t>股一般行政费用约</w:t>
      </w:r>
      <w:r>
        <w:rPr/>
        <w:t>1.4465</w:t>
      </w:r>
      <w:r>
        <w:rPr/>
        <w:t>亿元，</w:t>
      </w:r>
      <w:r>
        <w:rPr/>
        <w:t>A</w:t>
      </w:r>
      <w:r>
        <w:rPr/>
        <w:t>股管理费用约</w:t>
      </w:r>
      <w:r>
        <w:rPr/>
        <w:t>1.3187</w:t>
      </w:r>
      <w:r>
        <w:rPr/>
        <w:t>亿元；</w:t>
      </w:r>
      <w:r>
        <w:rPr/>
        <w:t>H</w:t>
      </w:r>
      <w:r>
        <w:rPr/>
        <w:t>股其他损益汇总包含利息、汇兑、金融收益等，</w:t>
      </w:r>
      <w:r>
        <w:rPr/>
        <w:t>A</w:t>
      </w:r>
      <w:r>
        <w:rPr/>
        <w:t>股则分列财务费用、投资收益和其他收益。相关减值和税费也存在呈列差别。本文使用</w:t>
      </w:r>
      <w:r>
        <w:rPr/>
        <w:t>A</w:t>
      </w:r>
      <w:r>
        <w:rPr/>
        <w:t>股完整收入、成本、销售、管理、研发、财务、其他收入、减值、税及少数桥建立活动模型；</w:t>
      </w:r>
      <w:r>
        <w:rPr/>
        <w:t>H</w:t>
      </w:r>
      <w:r>
        <w:rPr/>
        <w:t>股表单独用于交叉核验，不猜测每一重分类背后的精确归属。</w:t>
      </w:r>
    </w:p>
    <w:p>
      <w:pPr>
        <w:pStyle w:val="Normal"/>
        <w:rPr/>
      </w:pPr>
      <w:r>
        <w:rPr/>
        <w:t>按</w:t>
      </w:r>
      <w:r>
        <w:rPr/>
        <w:t>A</w:t>
      </w:r>
      <w:r>
        <w:rPr/>
        <w:t>股口径，收入</w:t>
      </w:r>
      <w:r>
        <w:rPr/>
        <w:t>7.0382</w:t>
      </w:r>
      <w:r>
        <w:rPr/>
        <w:t>亿元减成本</w:t>
      </w:r>
      <w:r>
        <w:rPr/>
        <w:t>5.3660</w:t>
      </w:r>
      <w:r>
        <w:rPr/>
        <w:t>亿元，再减税金</w:t>
      </w:r>
      <w:r>
        <w:rPr/>
        <w:t>850.84</w:t>
      </w:r>
      <w:r>
        <w:rPr/>
        <w:t>万元、销售</w:t>
      </w:r>
      <w:r>
        <w:rPr/>
        <w:t>1619.21</w:t>
      </w:r>
      <w:r>
        <w:rPr/>
        <w:t>万元、管理</w:t>
      </w:r>
      <w:r>
        <w:rPr/>
        <w:t>1.3187</w:t>
      </w:r>
      <w:r>
        <w:rPr/>
        <w:t>亿元和研发</w:t>
      </w:r>
      <w:r>
        <w:rPr/>
        <w:t>4244.91</w:t>
      </w:r>
      <w:r>
        <w:rPr/>
        <w:t>万元。财务费用为负</w:t>
      </w:r>
      <w:r>
        <w:rPr/>
        <w:t>2360.59</w:t>
      </w:r>
      <w:r>
        <w:rPr/>
        <w:t>万元，即净收益，并非正的融资支出。加入其他收益、投资收益、公允变化后，再扣信用和资产减值，得到营业利润约</w:t>
      </w:r>
      <w:r>
        <w:rPr/>
        <w:t>8.1530</w:t>
      </w:r>
      <w:r>
        <w:rPr/>
        <w:t>亿元。税前利润减税和极小少数权益后对应归母，模型核验完整保留这些正负号。</w:t>
      </w:r>
    </w:p>
    <w:p>
      <w:pPr>
        <w:pStyle w:val="Normal"/>
        <w:rPr/>
      </w:pPr>
      <w:r>
        <w:rPr/>
        <w:t>财务费用中的利息收入</w:t>
      </w:r>
      <w:r>
        <w:rPr/>
        <w:t>3687.60</w:t>
      </w:r>
      <w:r>
        <w:rPr/>
        <w:t>万元，租赁利息</w:t>
      </w:r>
      <w:r>
        <w:rPr/>
        <w:t>61.44</w:t>
      </w:r>
      <w:r>
        <w:rPr/>
        <w:t>万元，汇兑损失</w:t>
      </w:r>
      <w:r>
        <w:rPr/>
        <w:t>1251.69</w:t>
      </w:r>
      <w:r>
        <w:rPr/>
        <w:t>万元。集团有较多存款和理财，净利息能够缓冲经营费用，但利率下降会降低这部分收益。未来模型采用负财务费用表达正常净收益，同时设置汇率和收益率压力；不能因公司净现金多就忽略利率变化，也不能在包含净息的整个集团</w:t>
      </w:r>
      <w:r>
        <w:rPr/>
        <w:t>PE</w:t>
      </w:r>
      <w:r>
        <w:rPr/>
        <w:t>之外再完整加一遍现金资产净值。</w:t>
      </w:r>
    </w:p>
    <w:p>
      <w:pPr>
        <w:pStyle w:val="Normal"/>
        <w:rPr/>
      </w:pPr>
      <w:r>
        <w:rPr/>
        <w:t>历史每股收益采用财报披露口径，未来</w:t>
      </w:r>
      <w:r>
        <w:rPr/>
        <w:t>EPS</w:t>
      </w:r>
      <w:r>
        <w:rPr/>
        <w:t>则采用统一法律全股及显式长期稀释假设。</w:t>
      </w:r>
      <w:r>
        <w:rPr/>
        <w:t>H</w:t>
      </w:r>
      <w:r>
        <w:rPr/>
        <w:t>股半年加权平均普通股约</w:t>
      </w:r>
      <w:r>
        <w:rPr/>
        <w:t>7.4617</w:t>
      </w:r>
      <w:r>
        <w:rPr/>
        <w:t>亿股，已经反映库存回购影响；</w:t>
      </w:r>
      <w:r>
        <w:rPr/>
        <w:t>9</w:t>
      </w:r>
      <w:r>
        <w:rPr/>
        <w:t>月底法律全股</w:t>
      </w:r>
      <w:r>
        <w:rPr/>
        <w:t>7.4935</w:t>
      </w:r>
      <w:r>
        <w:rPr/>
        <w:t>亿股。两者适用目的不同，不能拿全年未来利润除较低的某个历史加权股数来抬高目标价。本模型使用保守全股，使</w:t>
      </w:r>
      <w:r>
        <w:rPr/>
        <w:t>A</w:t>
      </w:r>
      <w:r>
        <w:rPr/>
        <w:t>库存再交付和</w:t>
      </w:r>
      <w:r>
        <w:rPr/>
        <w:t>H</w:t>
      </w:r>
      <w:r>
        <w:rPr/>
        <w:t>信托授予不会产生重复稀释。</w:t>
      </w:r>
    </w:p>
    <w:p>
      <w:pPr>
        <w:pStyle w:val="Heading2"/>
        <w:rPr/>
      </w:pPr>
      <w:r>
        <w:rPr>
          <w:color w:val="000000"/>
        </w:rPr>
        <w:t>财务结构 现金与资本开支</w:t>
      </w:r>
    </w:p>
    <w:p>
      <w:pPr>
        <w:pStyle w:val="Normal"/>
        <w:rPr/>
      </w:pPr>
      <w:r>
        <w:rPr/>
        <w:t>半年总资产约</w:t>
      </w:r>
      <w:r>
        <w:rPr/>
        <w:t>108.2604</w:t>
      </w:r>
      <w:r>
        <w:rPr/>
        <w:t>亿元，总负债</w:t>
      </w:r>
      <w:r>
        <w:rPr/>
        <w:t>18.5069</w:t>
      </w:r>
      <w:r>
        <w:rPr/>
        <w:t>亿元，归母权益</w:t>
      </w:r>
      <w:r>
        <w:rPr/>
        <w:t>89.7497</w:t>
      </w:r>
      <w:r>
        <w:rPr/>
        <w:t>亿元，少数权益很小。负债中很大部分是合同预收和经营项，并非银行贷款；中报没有短期或长期银行借款，租赁负债合计</w:t>
      </w:r>
      <w:r>
        <w:rPr/>
        <w:t>3221.93</w:t>
      </w:r>
      <w:r>
        <w:rPr/>
        <w:t>万元。资本结构为公司提供较好的缓冲，但账面权益含动物和投资估值，不能全部按现金理解。净现金优势提高抗压能力，仍需配合主营资本回报判断。</w:t>
      </w:r>
    </w:p>
    <w:p>
      <w:pPr>
        <w:pStyle w:val="Normal"/>
        <w:rPr/>
      </w:pPr>
      <w:r>
        <w:rPr/>
        <w:t>集团现金及现金等价物</w:t>
      </w:r>
      <w:r>
        <w:rPr/>
        <w:t>8.2394</w:t>
      </w:r>
      <w:r>
        <w:rPr/>
        <w:t>亿元，包含其他货币资金</w:t>
      </w:r>
      <w:r>
        <w:rPr/>
        <w:t>4969.83</w:t>
      </w:r>
      <w:r>
        <w:rPr/>
        <w:t>万元；银行可随时支付存款约</w:t>
      </w:r>
      <w:r>
        <w:rPr/>
        <w:t>7.7424</w:t>
      </w:r>
      <w:r>
        <w:rPr/>
        <w:t>亿元。其他货币资金主要与</w:t>
      </w:r>
      <w:r>
        <w:rPr/>
        <w:t>H</w:t>
      </w:r>
      <w:r>
        <w:rPr/>
        <w:t>股信托等安排有关，财报没有列为使用受限现金，但不应默认能够全部立即向普通股东分派。母公司货币资金</w:t>
      </w:r>
      <w:r>
        <w:rPr/>
        <w:t>3.6499</w:t>
      </w:r>
      <w:r>
        <w:rPr/>
        <w:t>亿元，母经营现金流负</w:t>
      </w:r>
      <w:r>
        <w:rPr/>
        <w:t>1.0915</w:t>
      </w:r>
      <w:r>
        <w:rPr/>
        <w:t>亿元，表明集团现金与上市母自由现金不是相同概念，资产位置和子公司资金调配需持续跟踪。</w:t>
      </w:r>
    </w:p>
    <w:p>
      <w:pPr>
        <w:pStyle w:val="Normal"/>
        <w:rPr/>
      </w:pPr>
      <w:r>
        <w:rPr/>
        <w:t>交易性理财</w:t>
      </w:r>
      <w:r>
        <w:rPr/>
        <w:t>15.5842</w:t>
      </w:r>
      <w:r>
        <w:rPr/>
        <w:t>亿元，一年内到期存单和定期存款合计</w:t>
      </w:r>
      <w:r>
        <w:rPr/>
        <w:t>18.5096</w:t>
      </w:r>
      <w:r>
        <w:rPr/>
        <w:t>亿元，其中大额可转让存单</w:t>
      </w:r>
      <w:r>
        <w:rPr/>
        <w:t>16.3985</w:t>
      </w:r>
      <w:r>
        <w:rPr/>
        <w:t>亿元、定期存款</w:t>
      </w:r>
      <w:r>
        <w:rPr/>
        <w:t>2.1111</w:t>
      </w:r>
      <w:r>
        <w:rPr/>
        <w:t>亿元，预计</w:t>
      </w:r>
      <w:r>
        <w:rPr/>
        <w:t>2027</w:t>
      </w:r>
      <w:r>
        <w:rPr/>
        <w:t>年</w:t>
      </w:r>
      <w:r>
        <w:rPr/>
        <w:t>6</w:t>
      </w:r>
      <w:r>
        <w:rPr/>
        <w:t>月及之前到期。非流动存单另有</w:t>
      </w:r>
      <w:r>
        <w:rPr/>
        <w:t>6.7122</w:t>
      </w:r>
      <w:r>
        <w:rPr/>
        <w:t>亿元，预计</w:t>
      </w:r>
      <w:r>
        <w:rPr/>
        <w:t>2029</w:t>
      </w:r>
      <w:r>
        <w:rPr/>
        <w:t>年</w:t>
      </w:r>
      <w:r>
        <w:rPr/>
        <w:t>6</w:t>
      </w:r>
      <w:r>
        <w:rPr/>
        <w:t>月及之前到期。它们增加资金储备和收益，但期限、赎回条件、收益实现与本金回收不同。到期转换为现金是资产重分类，不是新增营业收入或利润。</w:t>
      </w:r>
    </w:p>
    <w:p>
      <w:pPr>
        <w:pStyle w:val="Normal"/>
        <w:rPr/>
      </w:pPr>
      <w:r>
        <w:rPr/>
        <w:t>半年资本开支现金约</w:t>
      </w:r>
      <w:r>
        <w:rPr/>
        <w:t>4.0137</w:t>
      </w:r>
      <w:r>
        <w:rPr/>
        <w:t>亿元，经营现金流减资本开支的简单差额仅</w:t>
      </w:r>
      <w:r>
        <w:rPr/>
        <w:t>5584.0</w:t>
      </w:r>
      <w:r>
        <w:rPr/>
        <w:t>万元。这个指标尚未扣股息、信托买入、金融投资或其他资本动作，不能直接称为全部可自由分配现金。北京扩建、广州设施和动物资产投入都可能增加业务能力，但资本投入需要随后通过收入、毛利和周转回收。短期利润被动物估值抬高时，尤其应检查资本开支与真实经营现金的比例。</w:t>
      </w:r>
    </w:p>
    <w:p>
      <w:pPr>
        <w:pStyle w:val="Normal"/>
        <w:rPr/>
      </w:pPr>
      <w:r>
        <w:rPr/>
        <w:t>本文现金验证从</w:t>
      </w:r>
      <w:r>
        <w:rPr/>
        <w:t>8.2394</w:t>
      </w:r>
      <w:r>
        <w:rPr/>
        <w:t>亿元出发，对</w:t>
      </w:r>
      <w:r>
        <w:rPr/>
        <w:t>2026</w:t>
      </w:r>
      <w:r>
        <w:rPr/>
        <w:t>年下半年、</w:t>
      </w:r>
      <w:r>
        <w:rPr/>
        <w:t>2027</w:t>
      </w:r>
      <w:r>
        <w:rPr/>
        <w:t>年和</w:t>
      </w:r>
      <w:r>
        <w:rPr/>
        <w:t>2028</w:t>
      </w:r>
      <w:r>
        <w:rPr/>
        <w:t>年分别假设经营现金、资本开支、净投资、存单回收和股东回报。基准下现金保持为正，说明所设主业修复路径不依赖立即融资；这不是完整三张表预测，也未证明每个子公司都不缺资金。若预收增长停止、项目成本上升或资本开支持续超出模型，应重新测算现金位置和融资需要，不能以存单总额替代执行计划。</w:t>
      </w:r>
    </w:p>
    <w:p>
      <w:pPr>
        <w:pStyle w:val="Heading2"/>
        <w:rPr/>
      </w:pPr>
      <w:r>
        <w:rPr>
          <w:color w:val="000000"/>
        </w:rPr>
        <w:t>营运资金与回款质量</w:t>
      </w:r>
    </w:p>
    <w:p>
      <w:pPr>
        <w:pStyle w:val="Normal"/>
        <w:rPr/>
      </w:pPr>
      <w:r>
        <w:rPr/>
        <w:t>应收账款净额约</w:t>
      </w:r>
      <w:r>
        <w:rPr/>
        <w:t>1.6810</w:t>
      </w:r>
      <w:r>
        <w:rPr/>
        <w:t>亿元，合同资产约</w:t>
      </w:r>
      <w:r>
        <w:rPr/>
        <w:t>1.1487</w:t>
      </w:r>
      <w:r>
        <w:rPr/>
        <w:t>亿元。</w:t>
      </w:r>
      <w:r>
        <w:rPr/>
        <w:t>H</w:t>
      </w:r>
      <w:r>
        <w:rPr/>
        <w:t>股资料显示应收账款虽然通常开票后</w:t>
      </w:r>
      <w:r>
        <w:rPr/>
        <w:t>30</w:t>
      </w:r>
      <w:r>
        <w:rPr/>
        <w:t>日到期，净额中仍包含超过一年的项目，不能因为平均付款条款短就忽略信用风险。部分客户研发失败或融资困难可能造成拖欠，账龄与项目完成状态比简单应收占收入比例更重要。上半年信用减值损失</w:t>
      </w:r>
      <w:r>
        <w:rPr/>
        <w:t>631.82</w:t>
      </w:r>
      <w:r>
        <w:rPr/>
        <w:t>万元，应继续与后续回款、核销和客户融资状况联动分析。</w:t>
      </w:r>
    </w:p>
    <w:p>
      <w:pPr>
        <w:pStyle w:val="Normal"/>
        <w:rPr/>
      </w:pPr>
      <w:r>
        <w:rPr/>
        <w:t>未完工专题成本毛额</w:t>
      </w:r>
      <w:r>
        <w:rPr/>
        <w:t>8.1895</w:t>
      </w:r>
      <w:r>
        <w:rPr/>
        <w:t>亿元，减值</w:t>
      </w:r>
      <w:r>
        <w:rPr/>
        <w:t>4939.40</w:t>
      </w:r>
      <w:r>
        <w:rPr/>
        <w:t>万元，净额</w:t>
      </w:r>
      <w:r>
        <w:rPr/>
        <w:t>7.6956</w:t>
      </w:r>
      <w:r>
        <w:rPr/>
        <w:t>亿元，较期初增加。这与在手订单执行有关，也意味着尚未确认的成本较大。项目延期或合同价格不足覆盖投入，会造成减值或利润率压力；完成交付后会转入成本，不能将余额增长全部视为好事。未来若未完工成本增长持续快于订单和收入，需要核查实验失败、客户暂停及资源利用效率。</w:t>
      </w:r>
    </w:p>
    <w:p>
      <w:pPr>
        <w:pStyle w:val="Normal"/>
        <w:rPr/>
      </w:pPr>
      <w:r>
        <w:rPr/>
        <w:t>合同负债</w:t>
      </w:r>
      <w:r>
        <w:rPr/>
        <w:t>13.1163</w:t>
      </w:r>
      <w:r>
        <w:rPr/>
        <w:t>亿元，比年末</w:t>
      </w:r>
      <w:r>
        <w:rPr/>
        <w:t>8.5424</w:t>
      </w:r>
      <w:r>
        <w:rPr/>
        <w:t>亿元增长约</w:t>
      </w:r>
      <w:r>
        <w:rPr/>
        <w:t>53.54%</w:t>
      </w:r>
      <w:r>
        <w:rPr/>
        <w:t>。预收有助于公司先获得资金，缓和研发客户的应收风险，也显示项目启动意愿。但它是交付义务，未来要支出人工、材料、动物与设施成本。正常情况下，订单增长、预收、在制成本和收入交付形成周转链；若预收高但客户取消或交付质量出问题，现金可能需要退回，不能给全部预收永久资本化价值。</w:t>
      </w:r>
    </w:p>
    <w:p>
      <w:pPr>
        <w:pStyle w:val="Normal"/>
        <w:rPr/>
      </w:pPr>
      <w:r>
        <w:rPr/>
        <w:t>2026</w:t>
      </w:r>
      <w:r>
        <w:rPr/>
        <w:t>年上半年资产减值约</w:t>
      </w:r>
      <w:r>
        <w:rPr/>
        <w:t>2014.51</w:t>
      </w:r>
      <w:r>
        <w:rPr/>
        <w:t>万元，低于</w:t>
      </w:r>
      <w:r>
        <w:rPr/>
        <w:t>2025</w:t>
      </w:r>
      <w:r>
        <w:rPr/>
        <w:t>年同期，但低减值并不保证旧低价项目已经完全消化。减值取决于管理层对预计合同回收和成本的判断，后续执行成本变化可能带来新压力。存货减值转回或转销也可能因为此前已计提成本的专题完成销售，而不是合同价值全面改善。本文在所有未来情景中保留资产和信用损失输入，没有把恢复期减值机械设为零。</w:t>
      </w:r>
    </w:p>
    <w:p>
      <w:pPr>
        <w:pStyle w:val="Normal"/>
        <w:rPr/>
      </w:pPr>
      <w:r>
        <w:rPr/>
        <w:t>营运质量的判断应重视连续几个报告期。较理想的路径是新签单价提升、未完工专题按计划交付、合同负债逐步转收入、回款及时且毛利上升。较危险的路径是大量签单但新项目不断需要额外低价承诺，预收被用于高资本投入，旧项目结算时又产生损失。两种路径在早期都可以出现订单增长，因此公司需要用交付和现金结果而非宣传项目数量赢得更高经营评分。</w:t>
      </w:r>
    </w:p>
    <w:p>
      <w:pPr>
        <w:pStyle w:val="Heading2"/>
        <w:rPr/>
      </w:pPr>
      <w:r>
        <w:rPr>
          <w:color w:val="000000"/>
        </w:rPr>
        <w:t>国内外经营 设施与人员</w:t>
      </w:r>
    </w:p>
    <w:p>
      <w:pPr>
        <w:pStyle w:val="Normal"/>
        <w:rPr/>
      </w:pPr>
      <w:r>
        <w:rPr/>
        <w:t>上半年境内客户收入</w:t>
      </w:r>
      <w:r>
        <w:rPr/>
        <w:t>5.2213</w:t>
      </w:r>
      <w:r>
        <w:rPr/>
        <w:t>亿元，境外客户</w:t>
      </w:r>
      <w:r>
        <w:rPr/>
        <w:t>1.8169</w:t>
      </w:r>
      <w:r>
        <w:rPr/>
        <w:t>亿元，境外占比约</w:t>
      </w:r>
      <w:r>
        <w:rPr/>
        <w:t>25.8%</w:t>
      </w:r>
      <w:r>
        <w:rPr/>
        <w:t>。</w:t>
      </w:r>
      <w:r>
        <w:rPr/>
        <w:t>A</w:t>
      </w:r>
      <w:r>
        <w:rPr/>
        <w:t>股成本口径下，境内毛利约</w:t>
      </w:r>
      <w:r>
        <w:rPr/>
        <w:t>27.59%</w:t>
      </w:r>
      <w:r>
        <w:rPr/>
        <w:t>，境外约</w:t>
      </w:r>
      <w:r>
        <w:rPr/>
        <w:t>12.74%</w:t>
      </w:r>
      <w:r>
        <w:rPr/>
        <w:t>，显示地域盈利差异明显。境外收入下降也意味着国内新单增长未必代表全球业务同时恢复。海外设施的人员、合规和管理成本可能较高，若当地订单不足，对总体正常利润形成拖累，需要单独观察而非把国内毛利套到全部收入。</w:t>
      </w:r>
    </w:p>
    <w:p>
      <w:pPr>
        <w:pStyle w:val="Normal"/>
        <w:rPr/>
      </w:pPr>
      <w:r>
        <w:rPr/>
        <w:t>北京实验设施上半年扩建</w:t>
      </w:r>
      <w:r>
        <w:rPr/>
        <w:t>5000</w:t>
      </w:r>
      <w:r>
        <w:rPr/>
        <w:t>平方米，广州基地在</w:t>
      </w:r>
      <w:r>
        <w:rPr/>
        <w:t>2025</w:t>
      </w:r>
      <w:r>
        <w:rPr/>
        <w:t>年完成竣工验收后，于</w:t>
      </w:r>
      <w:r>
        <w:rPr/>
        <w:t>2026</w:t>
      </w:r>
      <w:r>
        <w:rPr/>
        <w:t>年上半年进一步通过联合验收和内部确认。验收完成为后续运营创造条件，但从验收到产能满负荷、监管资质完善和客户稳定使用通常还有过程。本文没有把工程面积按固定单位利润直接推算价值，要求看到订单分配、人员配置、投入强度和设施贡献，否则新产能也可能短期增加折旧和费用。</w:t>
      </w:r>
    </w:p>
    <w:p>
      <w:pPr>
        <w:pStyle w:val="Normal"/>
        <w:rPr/>
      </w:pPr>
      <w:r>
        <w:rPr/>
        <w:t>公司人员超过</w:t>
      </w:r>
      <w:r>
        <w:rPr/>
        <w:t>2500</w:t>
      </w:r>
      <w:r>
        <w:rPr/>
        <w:t>人，新增超过百名核心技术骨干。专业人力是业务执行的重要投入，培训和稳定性关系到试验质量，但固定人工使利润具有经营杠杆。利用率提升时收入增长可以超过费用，订单下降时成本却不易同步收缩。上半年管理人工约</w:t>
      </w:r>
      <w:r>
        <w:rPr/>
        <w:t>6668.75</w:t>
      </w:r>
      <w:r>
        <w:rPr/>
        <w:t>万元、研发人工约</w:t>
      </w:r>
      <w:r>
        <w:rPr/>
        <w:t>2905.85</w:t>
      </w:r>
      <w:r>
        <w:rPr/>
        <w:t>万元，未来盈利恢复不仅要靠增加项目，也要靠减少重复流程和提高有效实验时间。</w:t>
      </w:r>
    </w:p>
    <w:p>
      <w:pPr>
        <w:pStyle w:val="Normal"/>
        <w:rPr/>
      </w:pPr>
      <w:r>
        <w:rPr/>
        <w:t>管理费用中生物资产支出约</w:t>
      </w:r>
      <w:r>
        <w:rPr/>
        <w:t>1889.62</w:t>
      </w:r>
      <w:r>
        <w:rPr/>
        <w:t>万元，体现动物养护和运营并非无成本。随着繁殖群体和设施规模扩大，健康管理、饲养人员、饲料、检疫和福利投入都要持续发生。动物价格上涨时，这些费用容易被账面收益掩盖；价格平稳或下降时则更加显眼。模型保留管理费用随规模增加的路径，不因拥有动物就假定未来服务成本完全固定。</w:t>
      </w:r>
    </w:p>
    <w:p>
      <w:pPr>
        <w:pStyle w:val="Normal"/>
        <w:rPr/>
      </w:pPr>
      <w:r>
        <w:rPr/>
        <w:t>海外收入与成本常受到汇率影响。人民币升值可能降低外币收入的人民币表达，也可能带来汇兑损失或改变资金配置收益；人民币贬值则未必全部变为利润，因为当地成本同样以外币发生。上半年已经披露</w:t>
      </w:r>
      <w:r>
        <w:rPr/>
        <w:t>1251.69</w:t>
      </w:r>
      <w:r>
        <w:rPr/>
        <w:t>万元汇兑损失，说明风险具有实际财务影响。对人民币投资者，还应把</w:t>
      </w:r>
      <w:r>
        <w:rPr/>
        <w:t>H</w:t>
      </w:r>
      <w:r>
        <w:rPr/>
        <w:t>股价格本币回报与港币兑人民币变化分别计算，避免用一次汇率方向推断所有业务受益。</w:t>
      </w:r>
    </w:p>
    <w:p>
      <w:pPr>
        <w:pStyle w:val="Heading2"/>
        <w:rPr/>
      </w:pPr>
      <w:r>
        <w:rPr>
          <w:color w:val="000000"/>
        </w:rPr>
        <w:t>监管质量与替代方法</w:t>
      </w:r>
    </w:p>
    <w:p>
      <w:pPr>
        <w:pStyle w:val="Normal"/>
        <w:rPr/>
      </w:pPr>
      <w:r>
        <w:rPr/>
        <w:t>公司披露苏州设施</w:t>
      </w:r>
      <w:r>
        <w:rPr/>
        <w:t>2026</w:t>
      </w:r>
      <w:r>
        <w:rPr/>
        <w:t>年</w:t>
      </w:r>
      <w:r>
        <w:rPr/>
        <w:t>5</w:t>
      </w:r>
      <w:r>
        <w:rPr/>
        <w:t>月通过</w:t>
      </w:r>
      <w:r>
        <w:rPr/>
        <w:t>FDA</w:t>
      </w:r>
      <w:r>
        <w:rPr/>
        <w:t>无预警</w:t>
      </w:r>
      <w:r>
        <w:rPr/>
        <w:t>GLP</w:t>
      </w:r>
      <w:r>
        <w:rPr/>
        <w:t>检查，</w:t>
      </w:r>
      <w:r>
        <w:rPr/>
        <w:t>6</w:t>
      </w:r>
      <w:r>
        <w:rPr/>
        <w:t>月完成</w:t>
      </w:r>
      <w:r>
        <w:rPr/>
        <w:t>NMPA</w:t>
      </w:r>
      <w:r>
        <w:rPr/>
        <w:t>新版</w:t>
      </w:r>
      <w:r>
        <w:rPr/>
        <w:t>GLP</w:t>
      </w:r>
      <w:r>
        <w:rPr/>
        <w:t>复查。对依靠监管可用数据的研究服务商，这有助于客户信任和全球申报竞争力。但本研究尚未获得</w:t>
      </w:r>
      <w:r>
        <w:rPr/>
        <w:t>FDA</w:t>
      </w:r>
      <w:r>
        <w:rPr/>
        <w:t>独立检查原记录，不把公司声明扩展为所有设施、所有研究类型永远不存在问题。后续若出现警告、整改或数据不被接受，影响可能超过一笔罚款，涉及订单和品牌的长期损失。</w:t>
      </w:r>
    </w:p>
    <w:p>
      <w:pPr>
        <w:pStyle w:val="Normal"/>
        <w:rPr/>
      </w:pPr>
      <w:r>
        <w:rPr/>
        <w:t>国际监管合作和数据标准趋同，能够使中国平台参与更多跨境项目；同时各市场对实验来源、资料保存、现场检查和数据完整性要求持续变化。单纯讨论商品关税无法覆盖研究服务风险。美国或其他客户即使仍允许采购，也可能因供应链安全和内部流程要求采用第二供应商。本文将海外政策体现为订单、利用率和风险溢价的情景差异，未假定任何尚未核验的未来政策最终结果。</w:t>
      </w:r>
    </w:p>
    <w:p>
      <w:pPr>
        <w:pStyle w:val="Normal"/>
        <w:rPr/>
      </w:pPr>
      <w:r>
        <w:rPr/>
        <w:t>非动物研究方法、类器官和器官芯片是长期重要变化。公司肝脏类器官、皮肤芯片已有初步落地，心脏类器官平台也在建设，但公司原文将其定位为传统评价补充。某些筛查可减少动物使用，复杂系统毒性、生殖和长期暴露的替代却依赖监管与科学证据。半年不能假定动物试验迅速消失，十年也不能假定动物需求和价格将永远增长，两端都需要适应技术进步。</w:t>
      </w:r>
    </w:p>
    <w:p>
      <w:pPr>
        <w:pStyle w:val="Normal"/>
        <w:rPr/>
      </w:pPr>
      <w:r>
        <w:rPr/>
        <w:t>替代方法对昭衍既是竞争也是转型机会。若公司能把人源模型、传统动物证据和数据分析结合，客户仍需要其判断和申报服务，价值可能从动物资源转向综合评价能力。如果只保持动物稀缺性而落后于新技术，长期投入回报可能下降。五年评分因此要求新平台产生可验证收入和效率，而不是把类器官名称本身作为确定成长溢价。</w:t>
      </w:r>
    </w:p>
    <w:p>
      <w:pPr>
        <w:pStyle w:val="Normal"/>
        <w:rPr/>
      </w:pPr>
      <w:r>
        <w:rPr/>
        <w:t>AI</w:t>
      </w:r>
      <w:r>
        <w:rPr/>
        <w:t>辅助病理、数据分析和报告流程可能改善人效，但必须验证准确性、重复性、审计轨迹及人工复核。服务商对监管数据负责，模型错误不能用速度提升抵消。当前资料是开始应用与探索，缺独立收入和净节约金额，未来成本桥没有突然删除大量专业人工。若后续提供真实验证与可持续效率，乐观毛利和费用路径才有更强证据；在此之前，</w:t>
      </w:r>
      <w:r>
        <w:rPr/>
        <w:t>AI</w:t>
      </w:r>
      <w:r>
        <w:rPr/>
        <w:t>是技术选项，不是已兑现高利润业务。</w:t>
      </w:r>
    </w:p>
    <w:p>
      <w:pPr>
        <w:pStyle w:val="Heading2"/>
        <w:rPr/>
      </w:pPr>
      <w:r>
        <w:rPr>
          <w:color w:val="000000"/>
        </w:rPr>
        <w:t>治理 股权激励与资本配置</w:t>
      </w:r>
    </w:p>
    <w:p>
      <w:pPr>
        <w:pStyle w:val="Normal"/>
        <w:rPr/>
      </w:pPr>
      <w:r>
        <w:rPr/>
        <w:t>2026</w:t>
      </w:r>
      <w:r>
        <w:rPr/>
        <w:t>年</w:t>
      </w:r>
      <w:r>
        <w:rPr/>
        <w:t>1</w:t>
      </w:r>
      <w:r>
        <w:rPr/>
        <w:t>月</w:t>
      </w:r>
      <w:r>
        <w:rPr/>
        <w:t>7</w:t>
      </w:r>
      <w:r>
        <w:rPr/>
        <w:t>日完成注销</w:t>
      </w:r>
      <w:r>
        <w:rPr/>
        <w:t>129114</w:t>
      </w:r>
      <w:r>
        <w:rPr/>
        <w:t>股</w:t>
      </w:r>
      <w:r>
        <w:rPr/>
        <w:t>A</w:t>
      </w:r>
      <w:r>
        <w:rPr/>
        <w:t>股，法律总股从</w:t>
      </w:r>
      <w:r>
        <w:rPr/>
        <w:t>749477334</w:t>
      </w:r>
      <w:r>
        <w:rPr/>
        <w:t>降至</w:t>
      </w:r>
      <w:r>
        <w:rPr/>
        <w:t>749348220</w:t>
      </w:r>
      <w:r>
        <w:rPr/>
        <w:t>股。注销比例很小，对每股价值的直接提升有限，却必须准确处理基准股数。</w:t>
      </w:r>
      <w:r>
        <w:rPr/>
        <w:t>7</w:t>
      </w:r>
      <w:r>
        <w:rPr/>
        <w:t>月激励则来自公司二级市场回购股份，实际</w:t>
      </w:r>
      <w:r>
        <w:rPr/>
        <w:t>2636300</w:t>
      </w:r>
      <w:r>
        <w:rPr/>
        <w:t>股、</w:t>
      </w:r>
      <w:r>
        <w:rPr/>
        <w:t>238</w:t>
      </w:r>
      <w:r>
        <w:rPr/>
        <w:t>人、每股</w:t>
      </w:r>
      <w:r>
        <w:rPr/>
        <w:t>19.05</w:t>
      </w:r>
      <w:r>
        <w:rPr/>
        <w:t>元，</w:t>
      </w:r>
      <w:r>
        <w:rPr/>
        <w:t>7</w:t>
      </w:r>
      <w:r>
        <w:rPr/>
        <w:t>月</w:t>
      </w:r>
      <w:r>
        <w:rPr/>
        <w:t>22</w:t>
      </w:r>
      <w:r>
        <w:rPr/>
        <w:t>日完成登记。认购资金约</w:t>
      </w:r>
      <w:r>
        <w:rPr/>
        <w:t>5022.15</w:t>
      </w:r>
      <w:r>
        <w:rPr/>
        <w:t>万元已经收取，不能把它既当新增普通股融资，又把同一库存股份额外加到全股分母。</w:t>
      </w:r>
    </w:p>
    <w:p>
      <w:pPr>
        <w:pStyle w:val="Normal"/>
        <w:rPr/>
      </w:pPr>
      <w:r>
        <w:rPr/>
        <w:t>原计划授予</w:t>
      </w:r>
      <w:r>
        <w:rPr/>
        <w:t>3162300</w:t>
      </w:r>
      <w:r>
        <w:rPr/>
        <w:t>股、</w:t>
      </w:r>
      <w:r>
        <w:rPr/>
        <w:t>280</w:t>
      </w:r>
      <w:r>
        <w:rPr/>
        <w:t>人，后因</w:t>
      </w:r>
      <w:r>
        <w:rPr/>
        <w:t>42</w:t>
      </w:r>
      <w:r>
        <w:rPr/>
        <w:t>人全部或部分放弃减少</w:t>
      </w:r>
      <w:r>
        <w:rPr/>
        <w:t>526000</w:t>
      </w:r>
      <w:r>
        <w:rPr/>
        <w:t>股。以实际登记结果作为资本模型输入，比继续使用草案更准确。限制性股票包含考核和限售，未达到条件可被回购注销，认股款在会计上伴随回购义务。这里的股份交付、费用确认、法律新增发行和员工实际受益是不同事项，不能只凭现金到账推断公司完成新股发行。</w:t>
      </w:r>
    </w:p>
    <w:p>
      <w:pPr>
        <w:pStyle w:val="Normal"/>
        <w:rPr/>
      </w:pPr>
      <w:r>
        <w:rPr/>
        <w:t>H</w:t>
      </w:r>
      <w:r>
        <w:rPr/>
        <w:t>股</w:t>
      </w:r>
      <w:r>
        <w:rPr/>
        <w:t>4</w:t>
      </w:r>
      <w:r>
        <w:rPr/>
        <w:t>月</w:t>
      </w:r>
      <w:r>
        <w:rPr/>
        <w:t>30</w:t>
      </w:r>
      <w:r>
        <w:rPr/>
        <w:t>日授予</w:t>
      </w:r>
      <w:r>
        <w:rPr/>
        <w:t>143</w:t>
      </w:r>
      <w:r>
        <w:rPr/>
        <w:t>万股，涉及</w:t>
      </w:r>
      <w:r>
        <w:rPr/>
        <w:t>12</w:t>
      </w:r>
      <w:r>
        <w:rPr/>
        <w:t>人，包含董事等关联参与者，每股授予价为零，通过既有信托市场买入安排，不新增</w:t>
      </w:r>
      <w:r>
        <w:rPr/>
        <w:t>H</w:t>
      </w:r>
      <w:r>
        <w:rPr/>
        <w:t>股发行。公告披露信托当时持有</w:t>
      </w:r>
      <w:r>
        <w:rPr/>
        <w:t>13238580</w:t>
      </w:r>
      <w:r>
        <w:rPr/>
        <w:t>股，但这种信托持有不等于发行人法律库存</w:t>
      </w:r>
      <w:r>
        <w:rPr/>
        <w:t>H</w:t>
      </w:r>
      <w:r>
        <w:rPr/>
        <w:t>股。模型继续用全发行股数，不将</w:t>
      </w:r>
      <w:r>
        <w:rPr/>
        <w:t>143</w:t>
      </w:r>
      <w:r>
        <w:rPr/>
        <w:t>万授予重复加上。授予有助于人员稳定，也需要普通股东评价董事参与、考核要求及股份支付成本，不能只强调激励正面效果。</w:t>
      </w:r>
    </w:p>
    <w:p>
      <w:pPr>
        <w:pStyle w:val="Normal"/>
        <w:rPr/>
      </w:pPr>
      <w:r>
        <w:rPr/>
        <w:t>半年股份支付费用</w:t>
      </w:r>
      <w:r>
        <w:rPr/>
        <w:t>485.65</w:t>
      </w:r>
      <w:r>
        <w:rPr/>
        <w:t>万元，</w:t>
      </w:r>
      <w:r>
        <w:rPr/>
        <w:t>A</w:t>
      </w:r>
      <w:r>
        <w:rPr/>
        <w:t>股约</w:t>
      </w:r>
      <w:r>
        <w:rPr/>
        <w:t>186.46</w:t>
      </w:r>
      <w:r>
        <w:rPr/>
        <w:t>万元、</w:t>
      </w:r>
      <w:r>
        <w:rPr/>
        <w:t>H</w:t>
      </w:r>
      <w:r>
        <w:rPr/>
        <w:t>股约</w:t>
      </w:r>
      <w:r>
        <w:rPr/>
        <w:t>299.19</w:t>
      </w:r>
      <w:r>
        <w:rPr/>
        <w:t>万元，分别进入相关成本和费用。股份支付虽非当期现金支出，仍是经济报酬，不应为估值永久全部加回。未来模型在销售、管理和研发中保留持续投入，也通过长期股数假设表达新激励或融资可能性。只有考核利润与真实股东利润区分清楚，增长才能被用于每股回报判断。</w:t>
      </w:r>
    </w:p>
    <w:p>
      <w:pPr>
        <w:pStyle w:val="Normal"/>
        <w:rPr/>
      </w:pPr>
      <w:r>
        <w:rPr/>
        <w:t>公司与实控人相关的北京昭衍生物存在租赁与服务关系，上市公司持该公司</w:t>
      </w:r>
      <w:r>
        <w:rPr/>
        <w:t>8.93%</w:t>
      </w:r>
      <w:r>
        <w:rPr/>
        <w:t>，而非全资。</w:t>
      </w:r>
      <w:r>
        <w:rPr/>
        <w:t>2026</w:t>
      </w:r>
      <w:r>
        <w:rPr/>
        <w:t>年</w:t>
      </w:r>
      <w:r>
        <w:rPr/>
        <w:t>8</w:t>
      </w:r>
      <w:r>
        <w:rPr/>
        <w:t>月</w:t>
      </w:r>
      <w:r>
        <w:rPr/>
        <w:t>28</w:t>
      </w:r>
      <w:r>
        <w:rPr/>
        <w:t>日签订三年租赁，首次披露</w:t>
      </w:r>
      <w:r>
        <w:rPr/>
        <w:t>17:41</w:t>
      </w:r>
      <w:r>
        <w:rPr/>
        <w:t>，</w:t>
      </w:r>
      <w:r>
        <w:rPr/>
        <w:t>8</w:t>
      </w:r>
      <w:r>
        <w:rPr/>
        <w:t>月</w:t>
      </w:r>
      <w:r>
        <w:rPr/>
        <w:t>31</w:t>
      </w:r>
      <w:r>
        <w:rPr/>
        <w:t>日</w:t>
      </w:r>
      <w:r>
        <w:rPr/>
        <w:t>12:01</w:t>
      </w:r>
      <w:r>
        <w:rPr/>
        <w:t>为标题替代版本；不将替代时点误认为最初发布。三个租赁首年合计约</w:t>
      </w:r>
      <w:r>
        <w:rPr/>
        <w:t>407.68</w:t>
      </w:r>
      <w:r>
        <w:rPr/>
        <w:t>万元，另有管理等费用，使用权资产约</w:t>
      </w:r>
      <w:r>
        <w:rPr/>
        <w:t>1070.80</w:t>
      </w:r>
      <w:r>
        <w:rPr/>
        <w:t>万元。金额不算集团核心风险，但关联治理仍应看定价、独立评估和持续披露，且不能把关联生物业务全价值加给上市股东。</w:t>
      </w:r>
    </w:p>
    <w:p>
      <w:pPr>
        <w:pStyle w:val="Heading2"/>
        <w:rPr/>
      </w:pPr>
      <w:r>
        <w:rPr>
          <w:color w:val="000000"/>
        </w:rPr>
        <w:t>基金和理财不能混为一类资产</w:t>
      </w:r>
    </w:p>
    <w:p>
      <w:pPr>
        <w:pStyle w:val="Normal"/>
        <w:rPr/>
      </w:pPr>
      <w:r>
        <w:rPr/>
        <w:t>其他非流动金融资产约</w:t>
      </w:r>
      <w:r>
        <w:rPr/>
        <w:t>7.3783</w:t>
      </w:r>
      <w:r>
        <w:rPr/>
        <w:t>亿元，其中未上市基金</w:t>
      </w:r>
      <w:r>
        <w:rPr/>
        <w:t>4.7313</w:t>
      </w:r>
      <w:r>
        <w:rPr/>
        <w:t>亿元、未上市股权</w:t>
      </w:r>
      <w:r>
        <w:rPr/>
        <w:t>2.6470</w:t>
      </w:r>
      <w:r>
        <w:rPr/>
        <w:t>亿元。它们与银行存款、短期券商理财的风险和流动性不同。公允估值可能受融资轮次、退出市场和基金估值方法影响，即使账面上仍较稳定，实际变现周期也可能很长。本文没有把这类资产当作立即回购现金，也没有在整个集团</w:t>
      </w:r>
      <w:r>
        <w:rPr/>
        <w:t>PE</w:t>
      </w:r>
      <w:r>
        <w:rPr/>
        <w:t>基础上完整加一遍基金净值。</w:t>
      </w:r>
    </w:p>
    <w:p>
      <w:pPr>
        <w:pStyle w:val="Normal"/>
        <w:rPr/>
      </w:pPr>
      <w:r>
        <w:rPr/>
        <w:t>8</w:t>
      </w:r>
      <w:r>
        <w:rPr/>
        <w:t>月</w:t>
      </w:r>
      <w:r>
        <w:rPr/>
        <w:t>20</w:t>
      </w:r>
      <w:r>
        <w:rPr/>
        <w:t>日公告两只基金完成备案，新增认缴分别</w:t>
      </w:r>
      <w:r>
        <w:rPr/>
        <w:t>1000</w:t>
      </w:r>
      <w:r>
        <w:rPr/>
        <w:t>万元和</w:t>
      </w:r>
      <w:r>
        <w:rPr/>
        <w:t>8000</w:t>
      </w:r>
      <w:r>
        <w:rPr/>
        <w:t>万元，合计</w:t>
      </w:r>
      <w:r>
        <w:rPr/>
        <w:t>9000</w:t>
      </w:r>
      <w:r>
        <w:rPr/>
        <w:t>万元。备案不等于全部实缴，也不等于标的取得利润；截至该公告披露的人民币基金总认缴约</w:t>
      </w:r>
      <w:r>
        <w:rPr/>
        <w:t>7.574</w:t>
      </w:r>
      <w:r>
        <w:rPr/>
        <w:t>亿元，另有</w:t>
      </w:r>
      <w:r>
        <w:rPr/>
        <w:t>800</w:t>
      </w:r>
      <w:r>
        <w:rPr/>
        <w:t>万美元认缴。认缴金额、账面价值和基金估值不是三个可独立累加的资产。未来需跟踪实际缴款、未缴承诺、基金费用、组合风险和退出，而非只以合作专业机构作为治理质量加分。</w:t>
      </w:r>
    </w:p>
    <w:p>
      <w:pPr>
        <w:pStyle w:val="Normal"/>
        <w:rPr/>
      </w:pPr>
      <w:r>
        <w:rPr/>
        <w:t>9</w:t>
      </w:r>
      <w:r>
        <w:rPr/>
        <w:t>月</w:t>
      </w:r>
      <w:r>
        <w:rPr/>
        <w:t>23</w:t>
      </w:r>
      <w:r>
        <w:rPr/>
        <w:t>日公告</w:t>
      </w:r>
      <w:r>
        <w:rPr/>
        <w:t>4</w:t>
      </w:r>
      <w:r>
        <w:rPr/>
        <w:t>月</w:t>
      </w:r>
      <w:r>
        <w:rPr/>
        <w:t>20</w:t>
      </w:r>
      <w:r>
        <w:rPr/>
        <w:t>日至</w:t>
      </w:r>
      <w:r>
        <w:rPr/>
        <w:t>9</w:t>
      </w:r>
      <w:r>
        <w:rPr/>
        <w:t>月</w:t>
      </w:r>
      <w:r>
        <w:rPr/>
        <w:t>23</w:t>
      </w:r>
      <w:r>
        <w:rPr/>
        <w:t>日认购的七项中信体系金融产品在外本金合计</w:t>
      </w:r>
      <w:r>
        <w:rPr/>
        <w:t>5.4</w:t>
      </w:r>
      <w:r>
        <w:rPr/>
        <w:t>亿元，部分产品此前本金已经赎回。将一年历次认购额全部累加会重复计算资金轮转。产品到期跨</w:t>
      </w:r>
      <w:r>
        <w:rPr/>
        <w:t>2026</w:t>
      </w:r>
      <w:r>
        <w:rPr/>
        <w:t>年</w:t>
      </w:r>
      <w:r>
        <w:rPr/>
        <w:t>10</w:t>
      </w:r>
      <w:r>
        <w:rPr/>
        <w:t>月至</w:t>
      </w:r>
      <w:r>
        <w:rPr/>
        <w:t>2027</w:t>
      </w:r>
      <w:r>
        <w:rPr/>
        <w:t>年</w:t>
      </w:r>
      <w:r>
        <w:rPr/>
        <w:t>3</w:t>
      </w:r>
      <w:r>
        <w:rPr/>
        <w:t>月，收益有固定或范围表达，预期收益不是银行保证。本文保持中报资产锚点，单列最新本金和期限，不在缺完整</w:t>
      </w:r>
      <w:r>
        <w:rPr/>
        <w:t>9</w:t>
      </w:r>
      <w:r>
        <w:rPr/>
        <w:t>月底资产表时假定所有资产自动变为最新自由现金。</w:t>
      </w:r>
    </w:p>
    <w:p>
      <w:pPr>
        <w:pStyle w:val="Normal"/>
        <w:rPr/>
      </w:pPr>
      <w:r>
        <w:rPr/>
        <w:t>H</w:t>
      </w:r>
      <w:r>
        <w:rPr/>
        <w:t>股公允资产附表的金融资产聚合金额</w:t>
      </w:r>
      <w:r>
        <w:rPr/>
        <w:t>22.9625</w:t>
      </w:r>
      <w:r>
        <w:rPr/>
        <w:t>亿元，等于流动理财</w:t>
      </w:r>
      <w:r>
        <w:rPr/>
        <w:t>15.5842</w:t>
      </w:r>
      <w:r>
        <w:rPr/>
        <w:t>亿元加非流动金融资产</w:t>
      </w:r>
      <w:r>
        <w:rPr/>
        <w:t>7.3783</w:t>
      </w:r>
      <w:r>
        <w:rPr/>
        <w:t>亿元。若见到“交易性金融资产”聚合标签便再加入非流动资产，会重复计价。</w:t>
      </w:r>
      <w:r>
        <w:rPr/>
        <w:t>A/H</w:t>
      </w:r>
      <w:r>
        <w:rPr/>
        <w:t>原表互核能够识别这种问题。本模型将资金类别分别保存，并把资产用途和流动性作为财务评分证据，未用一个较大的现金加投资总数直接推导股价底线。</w:t>
      </w:r>
    </w:p>
    <w:p>
      <w:pPr>
        <w:pStyle w:val="Normal"/>
        <w:rPr/>
      </w:pPr>
      <w:r>
        <w:rPr/>
        <w:t>资本配置优劣最后应看每股长期收益。资金充裕可以降低融资风险，也可以被低回报扩建、长期基金或过度库存占用。理财收益为经营提供缓冲，不能替代主营竞争力；基金可能创造客户资源，也可能增加与生物医药同周期风险。对于昭衍，提高正常服务利润率、控制资本开支和透明披露动物参数，往往比继续扩大名义资产总额更能改善推荐等级。</w:t>
      </w:r>
    </w:p>
    <w:p>
      <w:pPr>
        <w:pStyle w:val="Heading2"/>
        <w:rPr/>
      </w:pPr>
      <w:r>
        <w:rPr>
          <w:color w:val="000000"/>
        </w:rPr>
        <w:t>半年日线 均线与观察价位</w:t>
      </w:r>
    </w:p>
    <w:p>
      <w:pPr>
        <w:pStyle w:val="Normal"/>
        <w:rPr/>
      </w:pPr>
      <w:r>
        <w:rPr/>
        <w:t>锁定行情包含</w:t>
      </w:r>
      <w:r>
        <w:rPr/>
        <w:t>739</w:t>
      </w:r>
      <w:r>
        <w:rPr/>
        <w:t>个交易日和</w:t>
      </w:r>
      <w:r>
        <w:rPr/>
        <w:t>157</w:t>
      </w:r>
      <w:r>
        <w:rPr/>
        <w:t>周，以基准日名义价格归一的复权</w:t>
      </w:r>
      <w:r>
        <w:rPr/>
        <w:t>OHLC</w:t>
      </w:r>
      <w:r>
        <w:rPr/>
        <w:t>计算。日</w:t>
      </w:r>
      <w:r>
        <w:rPr/>
        <w:t>20</w:t>
      </w:r>
      <w:r>
        <w:rPr/>
        <w:t>、</w:t>
      </w:r>
      <w:r>
        <w:rPr/>
        <w:t>60</w:t>
      </w:r>
      <w:r>
        <w:rPr/>
        <w:t>、</w:t>
      </w:r>
      <w:r>
        <w:rPr/>
        <w:t>120</w:t>
      </w:r>
      <w:r>
        <w:rPr/>
        <w:t>、</w:t>
      </w:r>
      <w:r>
        <w:rPr/>
        <w:t>250</w:t>
      </w:r>
      <w:r>
        <w:rPr/>
        <w:t>均线分别约</w:t>
      </w:r>
      <w:r>
        <w:rPr/>
        <w:t>26.982</w:t>
      </w:r>
      <w:r>
        <w:rPr/>
        <w:t>、</w:t>
      </w:r>
      <w:r>
        <w:rPr/>
        <w:t>25.280</w:t>
      </w:r>
      <w:r>
        <w:rPr/>
        <w:t>、</w:t>
      </w:r>
      <w:r>
        <w:rPr/>
        <w:t>22.351</w:t>
      </w:r>
      <w:r>
        <w:rPr/>
        <w:t>、</w:t>
      </w:r>
      <w:r>
        <w:rPr/>
        <w:t>21.301</w:t>
      </w:r>
      <w:r>
        <w:rPr/>
        <w:t>港元，现价高出约</w:t>
      </w:r>
      <w:r>
        <w:rPr/>
        <w:t>16.08%</w:t>
      </w:r>
      <w:r>
        <w:rPr/>
        <w:t>、</w:t>
      </w:r>
      <w:r>
        <w:rPr/>
        <w:t>23.89%</w:t>
      </w:r>
      <w:r>
        <w:rPr/>
        <w:t>、</w:t>
      </w:r>
      <w:r>
        <w:rPr/>
        <w:t>40.13%</w:t>
      </w:r>
      <w:r>
        <w:rPr/>
        <w:t>、</w:t>
      </w:r>
      <w:r>
        <w:rPr/>
        <w:t>47.04%</w:t>
      </w:r>
      <w:r>
        <w:rPr/>
        <w:t>。四线斜率均为正，日</w:t>
      </w:r>
      <w:r>
        <w:rPr/>
        <w:t>20</w:t>
      </w:r>
      <w:r>
        <w:rPr/>
        <w:t>线五期变化约</w:t>
      </w:r>
      <w:r>
        <w:rPr/>
        <w:t>8.33%</w:t>
      </w:r>
      <w:r>
        <w:rPr/>
        <w:t>，</w:t>
      </w:r>
      <w:r>
        <w:rPr/>
        <w:t>60</w:t>
      </w:r>
      <w:r>
        <w:rPr/>
        <w:t>线约</w:t>
      </w:r>
      <w:r>
        <w:rPr/>
        <w:t>2.52%</w:t>
      </w:r>
      <w:r>
        <w:rPr/>
        <w:t>，显示短中期上升较明确。距离长均线很远也说明修复已被较多价格涨幅表达，不能据均线齐升就断定买入成本有优势。</w:t>
      </w:r>
    </w:p>
    <w:p>
      <w:pPr>
        <w:pStyle w:val="Normal"/>
        <w:rPr/>
      </w:pPr>
      <w:r>
        <w:rPr/>
        <w:t>最近</w:t>
      </w:r>
      <w:r>
        <w:rPr/>
        <w:t>20</w:t>
      </w:r>
      <w:r>
        <w:rPr/>
        <w:t>日与</w:t>
      </w:r>
      <w:r>
        <w:rPr/>
        <w:t>60</w:t>
      </w:r>
      <w:r>
        <w:rPr/>
        <w:t>日复权区间低约</w:t>
      </w:r>
      <w:r>
        <w:rPr/>
        <w:t>20.62</w:t>
      </w:r>
      <w:r>
        <w:rPr/>
        <w:t>、高约</w:t>
      </w:r>
      <w:r>
        <w:rPr/>
        <w:t>32.58</w:t>
      </w:r>
      <w:r>
        <w:rPr/>
        <w:t>港元，现价到高点只需约</w:t>
      </w:r>
      <w:r>
        <w:rPr/>
        <w:t>4.02%</w:t>
      </w:r>
      <w:r>
        <w:rPr/>
        <w:t>上涨，而回到低点约下跌</w:t>
      </w:r>
      <w:r>
        <w:rPr/>
        <w:t>34.16%</w:t>
      </w:r>
      <w:r>
        <w:rPr/>
        <w:t>。区间极值属于观察位，未经过多次触碰筛选，不能称为已经精确证实的硬支撑。更近的观察带是约</w:t>
      </w:r>
      <w:r>
        <w:rPr/>
        <w:t>26.98</w:t>
      </w:r>
      <w:r>
        <w:rPr/>
        <w:t>的</w:t>
      </w:r>
      <w:r>
        <w:rPr/>
        <w:t>20</w:t>
      </w:r>
      <w:r>
        <w:rPr/>
        <w:t>日线和</w:t>
      </w:r>
      <w:r>
        <w:rPr/>
        <w:t>25.28</w:t>
      </w:r>
      <w:r>
        <w:rPr/>
        <w:t>的</w:t>
      </w:r>
      <w:r>
        <w:rPr/>
        <w:t>60</w:t>
      </w:r>
      <w:r>
        <w:rPr/>
        <w:t>日线，它们与现价的距离较大。若上涨后回踩缩量并稳定，技术风险会改善；若放量失守则应降低趋势信心。</w:t>
      </w:r>
    </w:p>
    <w:p>
      <w:pPr>
        <w:pStyle w:val="Normal"/>
        <w:rPr/>
      </w:pPr>
      <w:r>
        <w:rPr/>
        <w:t>52</w:t>
      </w:r>
      <w:r>
        <w:rPr/>
        <w:t>周高约</w:t>
      </w:r>
      <w:r>
        <w:rPr/>
        <w:t>32.58</w:t>
      </w:r>
      <w:r>
        <w:rPr/>
        <w:t>、低约</w:t>
      </w:r>
      <w:r>
        <w:rPr/>
        <w:t>15.01</w:t>
      </w:r>
      <w:r>
        <w:rPr/>
        <w:t>港元，现价距高点约负</w:t>
      </w:r>
      <w:r>
        <w:rPr/>
        <w:t>3.87%</w:t>
      </w:r>
      <w:r>
        <w:rPr/>
        <w:t>，距离低点已上涨约</w:t>
      </w:r>
      <w:r>
        <w:rPr/>
        <w:t>108.66%</w:t>
      </w:r>
      <w:r>
        <w:rPr/>
        <w:t>。同一时期日线最大回撤约</w:t>
      </w:r>
      <w:r>
        <w:rPr/>
        <w:t>39.85%</w:t>
      </w:r>
      <w:r>
        <w:rPr/>
        <w:t>，说明即使一年最终涨幅较好，持有过程也经历过较大损失。该历史回撤既不是未来预测，也不构成止损保证；它提示以半年持有为目标时，仓位和买入分批比单一年底目标更重要。价格波动可能显著快于公司财务验证。</w:t>
      </w:r>
    </w:p>
    <w:p>
      <w:pPr>
        <w:pStyle w:val="Normal"/>
        <w:rPr/>
      </w:pPr>
      <w:r>
        <w:rPr/>
        <w:t>突破观察要求不止盘中触及</w:t>
      </w:r>
      <w:r>
        <w:rPr/>
        <w:t>32.58</w:t>
      </w:r>
      <w:r>
        <w:rPr/>
        <w:t>，应查看收盘能否稳定高于区间高位、成交是否持续以及回落时是否保住前高附近。当前只距前高约</w:t>
      </w:r>
      <w:r>
        <w:rPr/>
        <w:t>4%</w:t>
      </w:r>
      <w:r>
        <w:rPr/>
        <w:t>，容易出现突破和假突破两种路径。若新高后短时间明显放量回落至</w:t>
      </w:r>
      <w:r>
        <w:rPr/>
        <w:t>20</w:t>
      </w:r>
      <w:r>
        <w:rPr/>
        <w:t>日均线下，说明市场接受更高价的证据减弱；若几周高位整理并逐步让均线上移，则可能降低乖离。本文不借这些条件推断任何特定资金的意图。</w:t>
      </w:r>
    </w:p>
    <w:p>
      <w:pPr>
        <w:pStyle w:val="Normal"/>
        <w:rPr/>
      </w:pPr>
      <w:r>
        <w:rPr/>
        <w:t>技术失效条件包括：连续收盘失去</w:t>
      </w:r>
      <w:r>
        <w:rPr/>
        <w:t>20</w:t>
      </w:r>
      <w:r>
        <w:rPr/>
        <w:t>日线并在反弹时难以重新站稳；</w:t>
      </w:r>
      <w:r>
        <w:rPr/>
        <w:t>60</w:t>
      </w:r>
      <w:r>
        <w:rPr/>
        <w:t>日线转降且量价弱化；相对恒指优势明显消退；业绩或动物价格消息引发缺口下行。均线是随行情移动的观察工具，不是固定买单和止损报价。本章所有关键位应随着新数据刷新，不能在未来半年机械继续使用</w:t>
      </w:r>
      <w:r>
        <w:rPr/>
        <w:t>10</w:t>
      </w:r>
      <w:r>
        <w:rPr/>
        <w:t>月</w:t>
      </w:r>
      <w:r>
        <w:rPr/>
        <w:t>9</w:t>
      </w:r>
      <w:r>
        <w:rPr/>
        <w:t>日的数值。基本面反证即使股价仍强也需独立处理。</w:t>
      </w:r>
    </w:p>
    <w:p>
      <w:pPr>
        <w:pStyle w:val="Heading2"/>
        <w:rPr/>
      </w:pPr>
      <w:r>
        <w:rPr>
          <w:color w:val="000000"/>
        </w:rPr>
        <w:t>成交量 相对强弱与辅助指标</w:t>
      </w:r>
    </w:p>
    <w:p>
      <w:pPr>
        <w:pStyle w:val="Normal"/>
        <w:rPr/>
      </w:pPr>
      <w:r>
        <w:rPr/>
        <w:t>基准日成交约</w:t>
      </w:r>
      <w:r>
        <w:rPr/>
        <w:t>936.83</w:t>
      </w:r>
      <w:r>
        <w:rPr/>
        <w:t>万股，成交额约</w:t>
      </w:r>
      <w:r>
        <w:rPr/>
        <w:t>2.8083</w:t>
      </w:r>
      <w:r>
        <w:rPr/>
        <w:t>亿港元；</w:t>
      </w:r>
      <w:r>
        <w:rPr/>
        <w:t>5</w:t>
      </w:r>
      <w:r>
        <w:rPr/>
        <w:t>、</w:t>
      </w:r>
      <w:r>
        <w:rPr/>
        <w:t>20</w:t>
      </w:r>
      <w:r>
        <w:rPr/>
        <w:t>、</w:t>
      </w:r>
      <w:r>
        <w:rPr/>
        <w:t>60</w:t>
      </w:r>
      <w:r>
        <w:rPr/>
        <w:t>日均量分别约</w:t>
      </w:r>
      <w:r>
        <w:rPr/>
        <w:t>472.40</w:t>
      </w:r>
      <w:r>
        <w:rPr/>
        <w:t>、</w:t>
      </w:r>
      <w:r>
        <w:rPr/>
        <w:t>476.17</w:t>
      </w:r>
      <w:r>
        <w:rPr/>
        <w:t>、</w:t>
      </w:r>
      <w:r>
        <w:rPr/>
        <w:t>612.85</w:t>
      </w:r>
      <w:r>
        <w:rPr/>
        <w:t>万股。相对之前</w:t>
      </w:r>
      <w:r>
        <w:rPr/>
        <w:t>20</w:t>
      </w:r>
      <w:r>
        <w:rPr/>
        <w:t>日均量</w:t>
      </w:r>
      <w:r>
        <w:rPr/>
        <w:t>441.14</w:t>
      </w:r>
      <w:r>
        <w:rPr/>
        <w:t>万股，当日量比约</w:t>
      </w:r>
      <w:r>
        <w:rPr/>
        <w:t>2.124</w:t>
      </w:r>
      <w:r>
        <w:rPr/>
        <w:t>，属于明显放量。</w:t>
      </w:r>
      <w:r>
        <w:rPr/>
        <w:t>5</w:t>
      </w:r>
      <w:r>
        <w:rPr/>
        <w:t>与</w:t>
      </w:r>
      <w:r>
        <w:rPr/>
        <w:t>20</w:t>
      </w:r>
      <w:r>
        <w:rPr/>
        <w:t>日均量接近，而低于</w:t>
      </w:r>
      <w:r>
        <w:rPr/>
        <w:t>60</w:t>
      </w:r>
      <w:r>
        <w:rPr/>
        <w:t>日均量，说明当日活跃并不能直接证明过去数周成交持续加速。分析应区分单日事件量和持续交易参与度，不以一个放量日替代完整量能判断。</w:t>
      </w:r>
    </w:p>
    <w:p>
      <w:pPr>
        <w:pStyle w:val="Normal"/>
        <w:rPr/>
      </w:pPr>
      <w:r>
        <w:rPr/>
        <w:t>最近</w:t>
      </w:r>
      <w:r>
        <w:rPr/>
        <w:t>20</w:t>
      </w:r>
      <w:r>
        <w:rPr/>
        <w:t>日上涨</w:t>
      </w:r>
      <w:r>
        <w:rPr/>
        <w:t>14</w:t>
      </w:r>
      <w:r>
        <w:rPr/>
        <w:t>天下跌</w:t>
      </w:r>
      <w:r>
        <w:rPr/>
        <w:t>6</w:t>
      </w:r>
      <w:r>
        <w:rPr/>
        <w:t>天，上涨日合计成交约</w:t>
      </w:r>
      <w:r>
        <w:rPr/>
        <w:t>7594.40</w:t>
      </w:r>
      <w:r>
        <w:rPr/>
        <w:t>万股，下跌日约</w:t>
      </w:r>
      <w:r>
        <w:rPr/>
        <w:t>1928.95</w:t>
      </w:r>
      <w:r>
        <w:rPr/>
        <w:t>万股，总比约</w:t>
      </w:r>
      <w:r>
        <w:rPr/>
        <w:t>3.94</w:t>
      </w:r>
      <w:r>
        <w:rPr/>
        <w:t>。但上涨天数本身更多，按日均算上涨日约</w:t>
      </w:r>
      <w:r>
        <w:rPr/>
        <w:t>542.46</w:t>
      </w:r>
      <w:r>
        <w:rPr/>
        <w:t>万股、下跌日约</w:t>
      </w:r>
      <w:r>
        <w:rPr/>
        <w:t>321.49</w:t>
      </w:r>
      <w:r>
        <w:rPr/>
        <w:t>万股，差异仍正面却没有总比那么夸张。它支持上涨受到较多成交配合，不证明特定“主力吸筹”。没有逐笔数据与账户信息，本章也不制作声称精确的持仓成本分布。</w:t>
      </w:r>
    </w:p>
    <w:p>
      <w:pPr>
        <w:pStyle w:val="Normal"/>
        <w:rPr/>
      </w:pPr>
      <w:r>
        <w:rPr/>
        <w:t>20</w:t>
      </w:r>
      <w:r>
        <w:rPr/>
        <w:t>日个股回报约</w:t>
      </w:r>
      <w:r>
        <w:rPr/>
        <w:t>43.41%</w:t>
      </w:r>
      <w:r>
        <w:rPr/>
        <w:t>，恒指约负</w:t>
      </w:r>
      <w:r>
        <w:rPr/>
        <w:t>2.98%</w:t>
      </w:r>
      <w:r>
        <w:rPr/>
        <w:t>，超额约</w:t>
      </w:r>
      <w:r>
        <w:rPr/>
        <w:t>46.38</w:t>
      </w:r>
      <w:r>
        <w:rPr/>
        <w:t>个百分点；</w:t>
      </w:r>
      <w:r>
        <w:rPr/>
        <w:t>60</w:t>
      </w:r>
      <w:r>
        <w:rPr/>
        <w:t>日个股约</w:t>
      </w:r>
      <w:r>
        <w:rPr/>
        <w:t>21.30%</w:t>
      </w:r>
      <w:r>
        <w:rPr/>
        <w:t>，恒指约负</w:t>
      </w:r>
      <w:r>
        <w:rPr/>
        <w:t>3.19%</w:t>
      </w:r>
      <w:r>
        <w:rPr/>
        <w:t>，超额约</w:t>
      </w:r>
      <w:r>
        <w:rPr/>
        <w:t>24.49</w:t>
      </w:r>
      <w:r>
        <w:rPr/>
        <w:t>个百分点。相对市场表现很强，是半年评分的重要正面证据。但未取得匹配</w:t>
      </w:r>
      <w:r>
        <w:rPr/>
        <w:t>CRO</w:t>
      </w:r>
      <w:r>
        <w:rPr/>
        <w:t>行业指数，本章行业超额留空，不能宣称同业相对领先已被量化。行业复苏和动物价格题材共同推动时，也应比较不同服务商利润质量，而非只看价格强弱。</w:t>
      </w:r>
    </w:p>
    <w:p>
      <w:pPr>
        <w:pStyle w:val="Normal"/>
        <w:rPr/>
      </w:pPr>
      <w:r>
        <w:rPr/>
        <w:t>日</w:t>
      </w:r>
      <w:r>
        <w:rPr/>
        <w:t>RSI</w:t>
      </w:r>
      <w:r>
        <w:rPr/>
        <w:t>约</w:t>
      </w:r>
      <w:r>
        <w:rPr/>
        <w:t>65.75</w:t>
      </w:r>
      <w:r>
        <w:rPr/>
        <w:t>，处于偏强区域；</w:t>
      </w:r>
      <w:r>
        <w:rPr/>
        <w:t>MACD</w:t>
      </w:r>
      <w:r>
        <w:rPr/>
        <w:t>的</w:t>
      </w:r>
      <w:r>
        <w:rPr/>
        <w:t>DIF</w:t>
      </w:r>
      <w:r>
        <w:rPr/>
        <w:t>约</w:t>
      </w:r>
      <w:r>
        <w:rPr/>
        <w:t>1.852</w:t>
      </w:r>
      <w:r>
        <w:rPr/>
        <w:t>、</w:t>
      </w:r>
      <w:r>
        <w:rPr/>
        <w:t>DEA</w:t>
      </w:r>
      <w:r>
        <w:rPr/>
        <w:t>约</w:t>
      </w:r>
      <w:r>
        <w:rPr/>
        <w:t>1.450</w:t>
      </w:r>
      <w:r>
        <w:rPr/>
        <w:t>、双倍柱约</w:t>
      </w:r>
      <w:r>
        <w:rPr/>
        <w:t>0.805</w:t>
      </w:r>
      <w:r>
        <w:rPr/>
        <w:t>为正。它们与均线上升给出相近信息，只用作辅助核验，未再重复分配成长或催化剂分数。日</w:t>
      </w:r>
      <w:r>
        <w:rPr/>
        <w:t>ATR</w:t>
      </w:r>
      <w:r>
        <w:rPr/>
        <w:t>约</w:t>
      </w:r>
      <w:r>
        <w:rPr/>
        <w:t>2.160</w:t>
      </w:r>
      <w:r>
        <w:rPr/>
        <w:t>港元，约现价</w:t>
      </w:r>
      <w:r>
        <w:rPr/>
        <w:t>6.90%</w:t>
      </w:r>
      <w:r>
        <w:rPr/>
        <w:t>，显示日波幅较大。以</w:t>
      </w:r>
      <w:r>
        <w:rPr/>
        <w:t>1</w:t>
      </w:r>
      <w:r>
        <w:rPr/>
        <w:t>港元以内固定止损想控制完整波动，可能很容易受到正常噪声触发，实际执行需考虑持有目的和可承受损失。</w:t>
      </w:r>
    </w:p>
    <w:p>
      <w:pPr>
        <w:pStyle w:val="Normal"/>
        <w:rPr/>
      </w:pPr>
      <w:r>
        <w:rPr/>
        <w:t>以当日成交除</w:t>
      </w:r>
      <w:r>
        <w:rPr/>
        <w:t>H</w:t>
      </w:r>
      <w:r>
        <w:rPr/>
        <w:t>股总发行</w:t>
      </w:r>
      <w:r>
        <w:rPr/>
        <w:t>1.18995</w:t>
      </w:r>
      <w:r>
        <w:rPr/>
        <w:t>亿股，约为</w:t>
      </w:r>
      <w:r>
        <w:rPr/>
        <w:t>7.87%</w:t>
      </w:r>
      <w:r>
        <w:rPr/>
        <w:t>，只能称发行股数归一的成交比例。信托、长期持有人、可流通状态和买卖循环均会影响真实换手含义，因此不是准确流通换手率。成交股数和供应商原报单位已由锁版行情保留，公司行动也依其复权处理核验。读者不能将证券软件显示的“手”数直接与这里股数比较，否则量比和现金成交估算会错位。</w:t>
      </w:r>
    </w:p>
    <w:p>
      <w:pPr>
        <w:pStyle w:val="Heading2"/>
        <w:rPr/>
      </w:pPr>
      <w:r>
        <w:rPr>
          <w:color w:val="000000"/>
        </w:rPr>
        <w:t>周线与半年执行逻辑</w:t>
      </w:r>
    </w:p>
    <w:p>
      <w:pPr>
        <w:pStyle w:val="Normal"/>
        <w:rPr/>
      </w:pPr>
      <w:r>
        <w:rPr/>
        <w:t>周</w:t>
      </w:r>
      <w:r>
        <w:rPr/>
        <w:t>20</w:t>
      </w:r>
      <w:r>
        <w:rPr/>
        <w:t>、</w:t>
      </w:r>
      <w:r>
        <w:rPr/>
        <w:t>60</w:t>
      </w:r>
      <w:r>
        <w:rPr/>
        <w:t>、</w:t>
      </w:r>
      <w:r>
        <w:rPr/>
        <w:t>120</w:t>
      </w:r>
      <w:r>
        <w:rPr/>
        <w:t>均线约</w:t>
      </w:r>
      <w:r>
        <w:rPr/>
        <w:t>22.917</w:t>
      </w:r>
      <w:r>
        <w:rPr/>
        <w:t>、</w:t>
      </w:r>
      <w:r>
        <w:rPr/>
        <w:t>21.596</w:t>
      </w:r>
      <w:r>
        <w:rPr/>
        <w:t>、</w:t>
      </w:r>
      <w:r>
        <w:rPr/>
        <w:t>16.459</w:t>
      </w:r>
      <w:r>
        <w:rPr/>
        <w:t>港元，均呈上升，现价高出约</w:t>
      </w:r>
      <w:r>
        <w:rPr/>
        <w:t>36.67%</w:t>
      </w:r>
      <w:r>
        <w:rPr/>
        <w:t>、</w:t>
      </w:r>
      <w:r>
        <w:rPr/>
        <w:t>45.03%</w:t>
      </w:r>
      <w:r>
        <w:rPr/>
        <w:t>、</w:t>
      </w:r>
      <w:r>
        <w:rPr/>
        <w:t>90.30%</w:t>
      </w:r>
      <w:r>
        <w:rPr/>
        <w:t>。只有</w:t>
      </w:r>
      <w:r>
        <w:rPr/>
        <w:t>157</w:t>
      </w:r>
      <w:r>
        <w:rPr/>
        <w:t>周数据，因此</w:t>
      </w:r>
      <w:r>
        <w:rPr/>
        <w:t>250</w:t>
      </w:r>
      <w:r>
        <w:rPr/>
        <w:t>周均线缺失，本文不补造。周线支持较长修复趋势，却同时显示现价明显领先均线，半年直接追入容易面对等待经营数据的震荡。周均线向上不是估值结论，它只能说明过去价格分布已经改变。</w:t>
      </w:r>
    </w:p>
    <w:p>
      <w:pPr>
        <w:pStyle w:val="Normal"/>
        <w:rPr/>
      </w:pPr>
      <w:r>
        <w:rPr/>
        <w:t>周</w:t>
      </w:r>
      <w:r>
        <w:rPr/>
        <w:t>RSI</w:t>
      </w:r>
      <w:r>
        <w:rPr/>
        <w:t>约</w:t>
      </w:r>
      <w:r>
        <w:rPr/>
        <w:t>66.93</w:t>
      </w:r>
      <w:r>
        <w:rPr/>
        <w:t>，</w:t>
      </w:r>
      <w:r>
        <w:rPr/>
        <w:t>ATR</w:t>
      </w:r>
      <w:r>
        <w:rPr/>
        <w:t>约</w:t>
      </w:r>
      <w:r>
        <w:rPr/>
        <w:t>3.811</w:t>
      </w:r>
      <w:r>
        <w:rPr/>
        <w:t>港元、约</w:t>
      </w:r>
      <w:r>
        <w:rPr/>
        <w:t>12.17%</w:t>
      </w:r>
      <w:r>
        <w:rPr/>
        <w:t>，</w:t>
      </w:r>
      <w:r>
        <w:rPr/>
        <w:t>MACD</w:t>
      </w:r>
      <w:r>
        <w:rPr/>
        <w:t>双倍柱约</w:t>
      </w:r>
      <w:r>
        <w:rPr/>
        <w:t>1.657</w:t>
      </w:r>
      <w:r>
        <w:rPr/>
        <w:t>为正。最近</w:t>
      </w:r>
      <w:r>
        <w:rPr/>
        <w:t>20</w:t>
      </w:r>
      <w:r>
        <w:rPr/>
        <w:t>周上涨周成交与下跌周成交总比约</w:t>
      </w:r>
      <w:r>
        <w:rPr/>
        <w:t>3.22</w:t>
      </w:r>
      <w:r>
        <w:rPr/>
        <w:t>；基准周成交相对此前</w:t>
      </w:r>
      <w:r>
        <w:rPr/>
        <w:t>20</w:t>
      </w:r>
      <w:r>
        <w:rPr/>
        <w:t>周均量约</w:t>
      </w:r>
      <w:r>
        <w:rPr/>
        <w:t>0.746</w:t>
      </w:r>
      <w:r>
        <w:rPr/>
        <w:t>，说明周层面并非每次上涨都越来越放量。日当日放量与周平均仍偏低可以同时成立，无需强行解释为矛盾。这也提醒投资者，技术判断应同时看数据频率和比较窗口。</w:t>
      </w:r>
    </w:p>
    <w:p>
      <w:pPr>
        <w:pStyle w:val="Normal"/>
        <w:rPr/>
      </w:pPr>
      <w:r>
        <w:rPr/>
        <w:t>半年投资路径可能由题材、业绩预告、动物价格和订单更新主导，市场未必等待完整年度财报。强势股有机会在核心利润仍弱时继续上行，进取型交易者可以观察突破质量；但本章基准估值低于现价，意味着技术交易逻辑不能自动转为高确信价值持有。若采用条件性参与，应预先明确什么信息足以延长持有，什么价格和业绩变化需要重新评估。</w:t>
      </w:r>
    </w:p>
    <w:p>
      <w:pPr>
        <w:pStyle w:val="Normal"/>
        <w:rPr/>
      </w:pPr>
      <w:r>
        <w:rPr/>
        <w:t>较有价值的新增证据是正常实验利润由负转正且提高、境外毛利改善、合同交付加快、资本开支回落及动物</w:t>
      </w:r>
      <w:r>
        <w:rPr/>
        <w:t>FV</w:t>
      </w:r>
      <w:r>
        <w:rPr/>
        <w:t>解释更透明。这些能够同时改善技术外的评分。只有动物价格新闻而没有服务利润，会强化短期波动机会，却不改善长期现金回报。本文的半年</w:t>
      </w:r>
      <w:r>
        <w:rPr/>
        <w:t>58.8</w:t>
      </w:r>
      <w:r>
        <w:rPr/>
        <w:t>分正是对这种结构的反映：趋势得分高，估值得分低，不能用平均分掩盖主要逻辑之间的差别。</w:t>
      </w:r>
    </w:p>
    <w:p>
      <w:pPr>
        <w:pStyle w:val="Normal"/>
        <w:rPr/>
      </w:pPr>
      <w:r>
        <w:rPr/>
        <w:t>若价格回到约</w:t>
      </w:r>
      <w:r>
        <w:rPr/>
        <w:t>27</w:t>
      </w:r>
      <w:r>
        <w:rPr/>
        <w:t>港元附近，日均线乖离下降不代表自动便宜；同样要用更新</w:t>
      </w:r>
      <w:r>
        <w:rPr/>
        <w:t>EPS</w:t>
      </w:r>
      <w:r>
        <w:rPr/>
        <w:t>和估值测算。若经营恢复速度高于基准，合理目标也可能上修，使更高价具有依据。投资判断应同时更新分子盈利和分母买入价，不能只把先前高点当作必然回归目标。总表采用同一活动模型刷新后再排名，避免股价已变而仍引用旧上涨空间。</w:t>
      </w:r>
    </w:p>
    <w:p>
      <w:pPr>
        <w:pStyle w:val="Heading2"/>
        <w:rPr/>
      </w:pPr>
      <w:r>
        <w:rPr>
          <w:color w:val="000000"/>
        </w:rPr>
        <w:t>活动估值模型与输入</w:t>
      </w:r>
    </w:p>
    <w:p>
      <w:pPr>
        <w:pStyle w:val="Normal"/>
        <w:rPr/>
      </w:pPr>
      <w:r>
        <w:rPr/>
        <w:t>本研究选择正常集团利润</w:t>
      </w:r>
      <w:r>
        <w:rPr/>
        <w:t>PE</w:t>
      </w:r>
      <w:r>
        <w:rPr/>
        <w:t>作为单套活动模型。收入分为非临床、临床和外售模型，成本分别输入，随后计税金、销售、管理、研发、正常净财务收益、其他收入、信用损失、资产损失、税率、税调、少数和股数。动物及其他公允变动输入为零，正常存款净息保留。全部原子输入可编辑，目标价由归母利润除股数、乘</w:t>
      </w:r>
      <w:r>
        <w:rPr/>
        <w:t>PE</w:t>
      </w:r>
      <w:r>
        <w:rPr/>
        <w:t>和港币换汇得到，不把未来</w:t>
      </w:r>
      <w:r>
        <w:rPr/>
        <w:t>EPS</w:t>
      </w:r>
      <w:r>
        <w:rPr/>
        <w:t>作为不可追溯的手工数。</w:t>
      </w:r>
    </w:p>
    <w:p>
      <w:pPr>
        <w:pStyle w:val="Normal"/>
        <w:rPr/>
      </w:pPr>
      <w:r>
        <w:rPr/>
        <w:t>年底以对</w:t>
      </w:r>
      <w:r>
        <w:rPr/>
        <w:t>2027</w:t>
      </w:r>
      <w:r>
        <w:rPr/>
        <w:t>年正常盈利的前瞻判断估值，半年仍看</w:t>
      </w:r>
      <w:r>
        <w:rPr/>
        <w:t>2027</w:t>
      </w:r>
      <w:r>
        <w:rPr/>
        <w:t>年但按届时可见度调整，一年看</w:t>
      </w:r>
      <w:r>
        <w:rPr/>
        <w:t>2028</w:t>
      </w:r>
      <w:r>
        <w:rPr/>
        <w:t>年，三年看</w:t>
      </w:r>
      <w:r>
        <w:rPr/>
        <w:t>2030</w:t>
      </w:r>
      <w:r>
        <w:rPr/>
        <w:t>年，五年看</w:t>
      </w:r>
      <w:r>
        <w:rPr/>
        <w:t>2032</w:t>
      </w:r>
      <w:r>
        <w:rPr/>
        <w:t>年。这些未来盈利不是已披露事实，而是截止日信息下的研究假设；不用</w:t>
      </w:r>
      <w:r>
        <w:rPr/>
        <w:t>12</w:t>
      </w:r>
      <w:r>
        <w:rPr/>
        <w:t>个月投行目标按剩余时间线性缩小。选择前瞻盈利是为了体现订单滞后，也必须同时让估值倍数与风险匹配，不能只向前滚盈利却保持所有成长溢价不变。</w:t>
      </w:r>
    </w:p>
    <w:p>
      <w:pPr>
        <w:pStyle w:val="Normal"/>
        <w:rPr/>
      </w:pPr>
      <w:r>
        <w:rPr/>
        <w:t>年底基准收入</w:t>
      </w:r>
      <w:r>
        <w:rPr/>
        <w:t>24</w:t>
      </w:r>
      <w:r>
        <w:rPr/>
        <w:t>亿元，成本约</w:t>
      </w:r>
      <w:r>
        <w:rPr/>
        <w:t>15.2</w:t>
      </w:r>
      <w:r>
        <w:rPr/>
        <w:t>亿元，毛利约</w:t>
      </w:r>
      <w:r>
        <w:rPr/>
        <w:t>36.67%</w:t>
      </w:r>
      <w:r>
        <w:rPr/>
        <w:t>；销售</w:t>
      </w:r>
      <w:r>
        <w:rPr/>
        <w:t>5500</w:t>
      </w:r>
      <w:r>
        <w:rPr/>
        <w:t>万元、管理</w:t>
      </w:r>
      <w:r>
        <w:rPr/>
        <w:t>2.9</w:t>
      </w:r>
      <w:r>
        <w:rPr/>
        <w:t>亿元、研发</w:t>
      </w:r>
      <w:r>
        <w:rPr/>
        <w:t>1.2</w:t>
      </w:r>
      <w:r>
        <w:rPr/>
        <w:t>亿元，正常净财务收益</w:t>
      </w:r>
      <w:r>
        <w:rPr/>
        <w:t>5200</w:t>
      </w:r>
      <w:r>
        <w:rPr/>
        <w:t>万元，减值合计</w:t>
      </w:r>
      <w:r>
        <w:rPr/>
        <w:t>3000</w:t>
      </w:r>
      <w:r>
        <w:rPr/>
        <w:t>万元。按税率和税调计算归母约</w:t>
      </w:r>
      <w:r>
        <w:rPr/>
        <w:t>3.2131</w:t>
      </w:r>
      <w:r>
        <w:rPr/>
        <w:t>亿元，</w:t>
      </w:r>
      <w:r>
        <w:rPr/>
        <w:t>EPS</w:t>
      </w:r>
      <w:r>
        <w:rPr/>
        <w:t>约</w:t>
      </w:r>
      <w:r>
        <w:rPr/>
        <w:t>0.42879</w:t>
      </w:r>
      <w:r>
        <w:rPr/>
        <w:t>元人民币，</w:t>
      </w:r>
      <w:r>
        <w:rPr/>
        <w:t>40</w:t>
      </w:r>
      <w:r>
        <w:rPr/>
        <w:t>倍</w:t>
      </w:r>
      <w:r>
        <w:rPr/>
        <w:t>PE</w:t>
      </w:r>
      <w:r>
        <w:rPr/>
        <w:t>及</w:t>
      </w:r>
      <w:r>
        <w:rPr/>
        <w:t>1.10</w:t>
      </w:r>
      <w:r>
        <w:rPr/>
        <w:t>港币兑人民币假设给出</w:t>
      </w:r>
      <w:r>
        <w:rPr/>
        <w:t>18.87</w:t>
      </w:r>
      <w:r>
        <w:rPr/>
        <w:t>港元。这已经是假设主营明显恢复，不是继续按当前亏损外推，所以现价估值要求更高。</w:t>
      </w:r>
    </w:p>
    <w:p>
      <w:pPr>
        <w:pStyle w:val="Normal"/>
        <w:rPr/>
      </w:pPr>
      <w:r>
        <w:rPr/>
        <w:t>按同一正常</w:t>
      </w:r>
      <w:r>
        <w:rPr/>
        <w:t>EPS</w:t>
      </w:r>
      <w:r>
        <w:rPr/>
        <w:t>，</w:t>
      </w:r>
      <w:r>
        <w:rPr/>
        <w:t>31.32</w:t>
      </w:r>
      <w:r>
        <w:rPr/>
        <w:t>港元对应约</w:t>
      </w:r>
      <w:r>
        <w:rPr/>
        <w:t>66.40</w:t>
      </w:r>
      <w:r>
        <w:rPr/>
        <w:t>倍前瞻</w:t>
      </w:r>
      <w:r>
        <w:rPr/>
        <w:t>PE</w:t>
      </w:r>
      <w:r>
        <w:rPr/>
        <w:t>；按</w:t>
      </w:r>
      <w:r>
        <w:rPr/>
        <w:t>2025</w:t>
      </w:r>
      <w:r>
        <w:rPr/>
        <w:t>报告盈利约</w:t>
      </w:r>
      <w:r>
        <w:rPr/>
        <w:t>71.64</w:t>
      </w:r>
      <w:r>
        <w:rPr/>
        <w:t>倍。若把上半年含动物</w:t>
      </w:r>
      <w:r>
        <w:rPr/>
        <w:t>FV</w:t>
      </w:r>
      <w:r>
        <w:rPr/>
        <w:t>归母简单年化，报告</w:t>
      </w:r>
      <w:r>
        <w:rPr/>
        <w:t>PE</w:t>
      </w:r>
      <w:r>
        <w:rPr/>
        <w:t>约</w:t>
      </w:r>
      <w:r>
        <w:rPr/>
        <w:t>14.27</w:t>
      </w:r>
      <w:r>
        <w:rPr/>
        <w:t>倍、扣非约</w:t>
      </w:r>
      <w:r>
        <w:rPr/>
        <w:t>15.26</w:t>
      </w:r>
      <w:r>
        <w:rPr/>
        <w:t>倍。三种数值的巨大差距不是计算错误，反映利润定义不同。核心仍亏损时不存在合理的正核心</w:t>
      </w:r>
      <w:r>
        <w:rPr/>
        <w:t>PE</w:t>
      </w:r>
      <w:r>
        <w:rPr/>
        <w:t>，本文明确留空。不能把</w:t>
      </w:r>
      <w:r>
        <w:rPr/>
        <w:t>14</w:t>
      </w:r>
      <w:r>
        <w:rPr/>
        <w:t>倍与其他稳定现金盈利公司</w:t>
      </w:r>
      <w:r>
        <w:rPr/>
        <w:t>15</w:t>
      </w:r>
      <w:r>
        <w:rPr/>
        <w:t>倍直接比较后断言昭衍更便宜。</w:t>
      </w:r>
    </w:p>
    <w:p>
      <w:pPr>
        <w:pStyle w:val="Normal"/>
        <w:rPr/>
      </w:pPr>
      <w:r>
        <w:rPr/>
        <w:t>账面</w:t>
      </w:r>
      <w:r>
        <w:rPr/>
        <w:t>PB</w:t>
      </w:r>
      <w:r>
        <w:rPr/>
        <w:t>约</w:t>
      </w:r>
      <w:r>
        <w:rPr/>
        <w:t>2.38</w:t>
      </w:r>
      <w:r>
        <w:rPr/>
        <w:t>倍，可作为资产交叉观察，但账面动物和基金估值存在不可观察参数；</w:t>
      </w:r>
      <w:r>
        <w:rPr/>
        <w:t>PB</w:t>
      </w:r>
      <w:r>
        <w:rPr/>
        <w:t>不会给出价格底部。若选择资产分部模型，必须取得动物数量和用途、税、融资、内部供给关系及基金经济归属并防重复，当前证据不足以精确完成。本章采用较高整体正常</w:t>
      </w:r>
      <w:r>
        <w:rPr/>
        <w:t>PE</w:t>
      </w:r>
      <w:r>
        <w:rPr/>
        <w:t>反映专业能力和资金缓冲，同时承认资产处置价值可能未被该模型充分捕获，因此低目标也不是清算价格。</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乐观收入亿元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归母利润亿元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PE</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累计股息港元</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20.5 / 24.0 / 29.0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2.5624 / 3.2131 / 6.2040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30/40/46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21.0 / 26.0 / 31.0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2.3583 / 3.9059 / 6.5680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29/39/44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0/0/0</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21.0 / 27.5 / 33.0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1.9654 / 4.6615 / 7.2680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27/38/43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0.06 / 0.18 / 0.28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23.0 / 36.5 / 46.5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1.6007 / 7.0489 / 12.8512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24/33/39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0.20 / 0.65 / 1.05</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 / 47.0 / 63.5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1.3344 / 9.2000 / 15.9730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22/31/36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0.34 / 1.35 / 2.25</w:t>
            </w:r>
          </w:p>
        </w:tc>
      </w:tr>
    </w:tbl>
    <w:p>
      <w:pPr>
        <w:pStyle w:val="Normal"/>
        <w:rPr/>
      </w:pPr>
      <w:r>
        <w:rPr/>
      </w:r>
    </w:p>
    <w:p>
      <w:pPr>
        <w:pStyle w:val="Heading2"/>
        <w:rPr/>
      </w:pPr>
      <w:r>
        <w:rPr>
          <w:color w:val="000000"/>
        </w:rPr>
        <w:t>情景解释与年底期望</w:t>
      </w:r>
    </w:p>
    <w:p>
      <w:pPr>
        <w:pStyle w:val="Normal"/>
        <w:rPr/>
      </w:pPr>
      <w:r>
        <w:rPr/>
        <w:t>年底悲观仍假设收入</w:t>
      </w:r>
      <w:r>
        <w:rPr/>
        <w:t>20.5</w:t>
      </w:r>
      <w:r>
        <w:rPr/>
        <w:t>亿元和正常盈利约</w:t>
      </w:r>
      <w:r>
        <w:rPr/>
        <w:t>2.56</w:t>
      </w:r>
      <w:r>
        <w:rPr/>
        <w:t>亿元，但市场愿给的</w:t>
      </w:r>
      <w:r>
        <w:rPr/>
        <w:t>PE</w:t>
      </w:r>
      <w:r>
        <w:rPr/>
        <w:t>降至</w:t>
      </w:r>
      <w:r>
        <w:rPr/>
        <w:t>30</w:t>
      </w:r>
      <w:r>
        <w:rPr/>
        <w:t>倍，目标</w:t>
      </w:r>
      <w:r>
        <w:rPr/>
        <w:t>11.28</w:t>
      </w:r>
      <w:r>
        <w:rPr/>
        <w:t>港元。它描述的是订单改善慢、旧低价项目压力和动物稀缺溢价下降后向正常经营定价的路径，并不要求公司立即破产。短期跌幅很大源于现价本来包含高预期，不能用净现金多便排除估值下修。若极端动物或数据事件发生，实际价格仍可低于这个情景。</w:t>
      </w:r>
    </w:p>
    <w:p>
      <w:pPr>
        <w:pStyle w:val="Normal"/>
        <w:rPr/>
      </w:pPr>
      <w:r>
        <w:rPr/>
        <w:t>年底乐观收入</w:t>
      </w:r>
      <w:r>
        <w:rPr/>
        <w:t>29</w:t>
      </w:r>
      <w:r>
        <w:rPr/>
        <w:t>亿元、正常归母约</w:t>
      </w:r>
      <w:r>
        <w:rPr/>
        <w:t>6.20</w:t>
      </w:r>
      <w:r>
        <w:rPr/>
        <w:t>亿元、</w:t>
      </w:r>
      <w:r>
        <w:rPr/>
        <w:t>46</w:t>
      </w:r>
      <w:r>
        <w:rPr/>
        <w:t>倍</w:t>
      </w:r>
      <w:r>
        <w:rPr/>
        <w:t>PE</w:t>
      </w:r>
      <w:r>
        <w:rPr/>
        <w:t>，目标</w:t>
      </w:r>
      <w:r>
        <w:rPr/>
        <w:t>41.89</w:t>
      </w:r>
      <w:r>
        <w:rPr/>
        <w:t>港元，上涨约</w:t>
      </w:r>
      <w:r>
        <w:rPr/>
        <w:t>33.76%</w:t>
      </w:r>
      <w:r>
        <w:rPr/>
        <w:t>。其收入与利润明显高于近期业务体量，需要高难度订单快速转化、新设施利用率改善和费用控制。动物账面收益仍未直接进入活动盈利，市场对资源优势与技术平台的溢价通过</w:t>
      </w:r>
      <w:r>
        <w:rPr/>
        <w:t>PE</w:t>
      </w:r>
      <w:r>
        <w:rPr/>
        <w:t>体现。若只是动物价格继续升而核心没有这种恢复，乐观目标的经营基础仍不足，应归入情绪价格风险而非确认盈利。</w:t>
      </w:r>
    </w:p>
    <w:p>
      <w:pPr>
        <w:pStyle w:val="Normal"/>
        <w:rPr/>
      </w:pPr>
      <w:r>
        <w:rPr/>
        <w:t>默认</w:t>
      </w:r>
      <w:r>
        <w:rPr/>
        <w:t>25%</w:t>
      </w:r>
      <w:r>
        <w:rPr/>
        <w:t>、</w:t>
      </w:r>
      <w:r>
        <w:rPr/>
        <w:t>50%</w:t>
      </w:r>
      <w:r>
        <w:rPr/>
        <w:t>、</w:t>
      </w:r>
      <w:r>
        <w:rPr/>
        <w:t>25%</w:t>
      </w:r>
      <w:r>
        <w:rPr/>
        <w:t>判断权重得到年底期望</w:t>
      </w:r>
      <w:r>
        <w:rPr/>
        <w:t>22.73</w:t>
      </w:r>
      <w:r>
        <w:rPr/>
        <w:t>港元、回报约负</w:t>
      </w:r>
      <w:r>
        <w:rPr/>
        <w:t>27.43%</w:t>
      </w:r>
      <w:r>
        <w:rPr/>
        <w:t>。将权重改为</w:t>
      </w:r>
      <w:r>
        <w:rPr/>
        <w:t>40/50/10</w:t>
      </w:r>
      <w:r>
        <w:rPr/>
        <w:t>，期望约</w:t>
      </w:r>
      <w:r>
        <w:rPr/>
        <w:t>18.14</w:t>
      </w:r>
      <w:r>
        <w:rPr/>
        <w:t>港元；改为</w:t>
      </w:r>
      <w:r>
        <w:rPr/>
        <w:t>10/50/40</w:t>
      </w:r>
      <w:r>
        <w:rPr/>
        <w:t>，约</w:t>
      </w:r>
      <w:r>
        <w:rPr/>
        <w:t>27.32</w:t>
      </w:r>
      <w:r>
        <w:rPr/>
        <w:t>港元。即使较积极的权重，期望仍低于现价，是本章降低短期估值分的重要依据。权重不是经统计拟合的发生概率，期望价也不是“应该到达”的报价，而是公开展示研究判断对推荐的影响。</w:t>
      </w:r>
    </w:p>
    <w:p>
      <w:pPr>
        <w:pStyle w:val="Normal"/>
        <w:rPr/>
      </w:pPr>
      <w:r>
        <w:rPr/>
        <w:t>维持年底基准盈利不变，要支持现价需约</w:t>
      </w:r>
      <w:r>
        <w:rPr/>
        <w:t>66.4</w:t>
      </w:r>
      <w:r>
        <w:rPr/>
        <w:t>倍</w:t>
      </w:r>
      <w:r>
        <w:rPr/>
        <w:t>PE</w:t>
      </w:r>
      <w:r>
        <w:rPr/>
        <w:t>，而基准只给</w:t>
      </w:r>
      <w:r>
        <w:rPr/>
        <w:t>40</w:t>
      </w:r>
      <w:r>
        <w:rPr/>
        <w:t>倍。若坚持</w:t>
      </w:r>
      <w:r>
        <w:rPr/>
        <w:t>40</w:t>
      </w:r>
      <w:r>
        <w:rPr/>
        <w:t>倍，正常归母需要约</w:t>
      </w:r>
      <w:r>
        <w:rPr/>
        <w:t>5.33</w:t>
      </w:r>
      <w:r>
        <w:rPr/>
        <w:t>亿元才能支持</w:t>
      </w:r>
      <w:r>
        <w:rPr/>
        <w:t>31.32</w:t>
      </w:r>
      <w:r>
        <w:rPr/>
        <w:t>港元，相比基准</w:t>
      </w:r>
      <w:r>
        <w:rPr/>
        <w:t>3.21</w:t>
      </w:r>
      <w:r>
        <w:rPr/>
        <w:t>亿元约高</w:t>
      </w:r>
      <w:r>
        <w:rPr/>
        <w:t>66%</w:t>
      </w:r>
      <w:r>
        <w:rPr/>
        <w:t>。这种反推有助于投资者判断买入实际押注的内容：不是温和行业复苏，而是相当强的利润转化或长期高溢价。本文不在评分之外偷偷更改盈利来贴合现价，所有变化都应触发模型刷新。</w:t>
      </w:r>
    </w:p>
    <w:p>
      <w:pPr>
        <w:pStyle w:val="Normal"/>
        <w:rPr/>
      </w:pPr>
      <w:r>
        <w:rPr/>
        <w:t>年底距离基准仅不足三个月，正常估值未必能及时成为交易价格。市场可能持续交易猴价、临床前需求和流动性，令期望价偏差很大。本章因此将其称为年底信息集下的估值情景，而非精确预测行情。短期限结论应与日周趋势和事件窗口一起阅读：技术强度说明价格可继续上行，估值空间说明新增资本的风险回报不够优先，两者都需要在总表里保留。</w:t>
      </w:r>
    </w:p>
    <w:p>
      <w:pPr>
        <w:pStyle w:val="Heading2"/>
        <w:rPr/>
      </w:pPr>
      <w:r>
        <w:rPr>
          <w:color w:val="000000"/>
        </w:rPr>
        <w:t>一年 三年与五年收益来源</w:t>
      </w:r>
    </w:p>
    <w:p>
      <w:pPr>
        <w:pStyle w:val="Normal"/>
        <w:rPr/>
      </w:pPr>
      <w:r>
        <w:rPr/>
        <w:t>一年基准正常归母约</w:t>
      </w:r>
      <w:r>
        <w:rPr/>
        <w:t>4.66</w:t>
      </w:r>
      <w:r>
        <w:rPr/>
        <w:t>亿元，收入</w:t>
      </w:r>
      <w:r>
        <w:rPr/>
        <w:t>27.5</w:t>
      </w:r>
      <w:r>
        <w:rPr/>
        <w:t>亿元，</w:t>
      </w:r>
      <w:r>
        <w:rPr/>
        <w:t>EPS</w:t>
      </w:r>
      <w:r>
        <w:rPr/>
        <w:t>约</w:t>
      </w:r>
      <w:r>
        <w:rPr/>
        <w:t>0.6221</w:t>
      </w:r>
      <w:r>
        <w:rPr/>
        <w:t>元人民币，</w:t>
      </w:r>
      <w:r>
        <w:rPr/>
        <w:t>38</w:t>
      </w:r>
      <w:r>
        <w:rPr/>
        <w:t>倍</w:t>
      </w:r>
      <w:r>
        <w:rPr/>
        <w:t>PE</w:t>
      </w:r>
      <w:r>
        <w:rPr/>
        <w:t>给</w:t>
      </w:r>
      <w:r>
        <w:rPr/>
        <w:t>26.00</w:t>
      </w:r>
      <w:r>
        <w:rPr/>
        <w:t>港元。累计未来税前现金股息假设</w:t>
      </w:r>
      <w:r>
        <w:rPr/>
        <w:t>0.18</w:t>
      </w:r>
      <w:r>
        <w:rPr/>
        <w:t>港元，含息回报约负</w:t>
      </w:r>
      <w:r>
        <w:rPr/>
        <w:t>16.40%</w:t>
      </w:r>
      <w:r>
        <w:rPr/>
        <w:t>。盈利比年底基准增长并不必然带来股价上升，因为当前估值已经高于基准合理倍数。投资失败路径是核心恢复不及预期或风险溢价回落；反证则是毛利和现金明显超预期，使正常利润迅速向乐观路径接近。</w:t>
      </w:r>
    </w:p>
    <w:p>
      <w:pPr>
        <w:pStyle w:val="Normal"/>
        <w:rPr/>
      </w:pPr>
      <w:r>
        <w:rPr/>
        <w:t>三年基准收入</w:t>
      </w:r>
      <w:r>
        <w:rPr/>
        <w:t>36.5</w:t>
      </w:r>
      <w:r>
        <w:rPr/>
        <w:t>亿元、归母约</w:t>
      </w:r>
      <w:r>
        <w:rPr/>
        <w:t>7.05</w:t>
      </w:r>
      <w:r>
        <w:rPr/>
        <w:t>亿元，</w:t>
      </w:r>
      <w:r>
        <w:rPr/>
        <w:t>33</w:t>
      </w:r>
      <w:r>
        <w:rPr/>
        <w:t>倍</w:t>
      </w:r>
      <w:r>
        <w:rPr/>
        <w:t>PE</w:t>
      </w:r>
      <w:r>
        <w:rPr/>
        <w:t>给</w:t>
      </w:r>
      <w:r>
        <w:rPr/>
        <w:t>33.67</w:t>
      </w:r>
      <w:r>
        <w:rPr/>
        <w:t>港元，股价回报</w:t>
      </w:r>
      <w:r>
        <w:rPr/>
        <w:t>7.50%</w:t>
      </w:r>
      <w:r>
        <w:rPr/>
        <w:t>，含累计股息</w:t>
      </w:r>
      <w:r>
        <w:rPr/>
        <w:t>0.65</w:t>
      </w:r>
      <w:r>
        <w:rPr/>
        <w:t>港元后</w:t>
      </w:r>
      <w:r>
        <w:rPr/>
        <w:t>9.57%</w:t>
      </w:r>
      <w:r>
        <w:rPr/>
        <w:t>。这要求业务规模较</w:t>
      </w:r>
      <w:r>
        <w:rPr/>
        <w:t>2025</w:t>
      </w:r>
      <w:r>
        <w:rPr/>
        <w:t>明显增长和主业利润率恢复，仍只能提供约</w:t>
      </w:r>
      <w:r>
        <w:rPr/>
        <w:t>3.09%</w:t>
      </w:r>
      <w:r>
        <w:rPr/>
        <w:t>含息年化。原因不是不看好非临床行业，而是买入成本高。对于同样重视成长的投资者，应比较其他公司的正常盈利增长、技术质量和买入估值，昭衍仅有产业方向正确并不足以占据高排名。</w:t>
      </w:r>
    </w:p>
    <w:p>
      <w:pPr>
        <w:pStyle w:val="Normal"/>
        <w:rPr/>
      </w:pPr>
      <w:r>
        <w:rPr/>
        <w:t>五年基准收入</w:t>
      </w:r>
      <w:r>
        <w:rPr/>
        <w:t>47</w:t>
      </w:r>
      <w:r>
        <w:rPr/>
        <w:t>亿元、正常归母</w:t>
      </w:r>
      <w:r>
        <w:rPr/>
        <w:t>9.2</w:t>
      </w:r>
      <w:r>
        <w:rPr/>
        <w:t>亿元，</w:t>
      </w:r>
      <w:r>
        <w:rPr/>
        <w:t>31</w:t>
      </w:r>
      <w:r>
        <w:rPr/>
        <w:t>倍</w:t>
      </w:r>
      <w:r>
        <w:rPr/>
        <w:t>PE</w:t>
      </w:r>
      <w:r>
        <w:rPr/>
        <w:t>及</w:t>
      </w:r>
      <w:r>
        <w:rPr/>
        <w:t>7.75</w:t>
      </w:r>
      <w:r>
        <w:rPr/>
        <w:t>亿股假设给</w:t>
      </w:r>
      <w:r>
        <w:rPr/>
        <w:t>40.48</w:t>
      </w:r>
      <w:r>
        <w:rPr/>
        <w:t>港元，累计股息</w:t>
      </w:r>
      <w:r>
        <w:rPr/>
        <w:t>1.35</w:t>
      </w:r>
      <w:r>
        <w:rPr/>
        <w:t>港元，含息约</w:t>
      </w:r>
      <w:r>
        <w:rPr/>
        <w:t>33.56%</w:t>
      </w:r>
      <w:r>
        <w:rPr/>
        <w:t>、年化</w:t>
      </w:r>
      <w:r>
        <w:rPr/>
        <w:t>5.96%</w:t>
      </w:r>
      <w:r>
        <w:rPr/>
        <w:t>。长期股数高于当前法律全股，反映新激励和外部融资可能性，不是已经批准的增发。公司若依靠现有资金效率完成扩张而无新增股，回报会改善；若长期扩建和研发需要更多股本，营业增长也可能被每股稀释部分抵消。</w:t>
      </w:r>
    </w:p>
    <w:p>
      <w:pPr>
        <w:pStyle w:val="Normal"/>
        <w:rPr/>
      </w:pPr>
      <w:r>
        <w:rPr/>
        <w:t>长期悲观并非收入归零，五年仍有</w:t>
      </w:r>
      <w:r>
        <w:rPr/>
        <w:t>25</w:t>
      </w:r>
      <w:r>
        <w:rPr/>
        <w:t>亿元收入，却因毛利较低、费用和资本投入较大，正常归母约</w:t>
      </w:r>
      <w:r>
        <w:rPr/>
        <w:t>1.33</w:t>
      </w:r>
      <w:r>
        <w:rPr/>
        <w:t>亿元，较低</w:t>
      </w:r>
      <w:r>
        <w:rPr/>
        <w:t>PE</w:t>
      </w:r>
      <w:r>
        <w:rPr/>
        <w:t>与</w:t>
      </w:r>
      <w:r>
        <w:rPr/>
        <w:t>8.2</w:t>
      </w:r>
      <w:r>
        <w:rPr/>
        <w:t>亿股得到</w:t>
      </w:r>
      <w:r>
        <w:rPr/>
        <w:t>3.94</w:t>
      </w:r>
      <w:r>
        <w:rPr/>
        <w:t>港元。其较低值强调服务平台可以存续而股票回报仍很差。它没有另加清算资产，所以不能称为最终资产底；但也不能因公司仍有订单便拒绝讨论利润率长期受压。股东回报需要持续盈利和有效资本配置共同成立。</w:t>
      </w:r>
    </w:p>
    <w:p>
      <w:pPr>
        <w:pStyle w:val="Normal"/>
        <w:rPr/>
      </w:pPr>
      <w:r>
        <w:rPr/>
        <w:t>长期乐观五年正常归母约</w:t>
      </w:r>
      <w:r>
        <w:rPr/>
        <w:t>15.97</w:t>
      </w:r>
      <w:r>
        <w:rPr/>
        <w:t>亿元，</w:t>
      </w:r>
      <w:r>
        <w:rPr/>
        <w:t>63.5</w:t>
      </w:r>
      <w:r>
        <w:rPr/>
        <w:t>亿元收入，</w:t>
      </w:r>
      <w:r>
        <w:rPr/>
        <w:t>36</w:t>
      </w:r>
      <w:r>
        <w:rPr/>
        <w:t>倍</w:t>
      </w:r>
      <w:r>
        <w:rPr/>
        <w:t>PE</w:t>
      </w:r>
      <w:r>
        <w:rPr/>
        <w:t>得到</w:t>
      </w:r>
      <w:r>
        <w:rPr/>
        <w:t>81.62</w:t>
      </w:r>
      <w:r>
        <w:rPr/>
        <w:t>港元。要实现这一规模，国内外业务必须形成更高价值结构、扩建资产保持良好利用率、综合评价平台真正商业化，并控制稀释。这个情景提供约</w:t>
      </w:r>
      <w:r>
        <w:rPr/>
        <w:t>160.59%</w:t>
      </w:r>
      <w:r>
        <w:rPr/>
        <w:t>股价上涨空间和</w:t>
      </w:r>
      <w:r>
        <w:rPr/>
        <w:t>167.77%</w:t>
      </w:r>
      <w:r>
        <w:rPr/>
        <w:t>含息回报，但不可用其较大数字代表基准投资收益。任何人若只引用最大目标，应同时说明所需经营条件与当前证据缺口。</w:t>
      </w:r>
    </w:p>
    <w:p>
      <w:pPr>
        <w:pStyle w:val="Heading2"/>
        <w:rPr/>
      </w:pPr>
      <w:r>
        <w:rPr>
          <w:color w:val="000000"/>
        </w:rPr>
        <w:t>分红 外币与机构目标价</w:t>
      </w:r>
    </w:p>
    <w:p>
      <w:pPr>
        <w:pStyle w:val="Normal"/>
        <w:rPr/>
      </w:pPr>
      <w:r>
        <w:rPr/>
        <w:t>2025</w:t>
      </w:r>
      <w:r>
        <w:rPr/>
        <w:t>年度每股人民币</w:t>
      </w:r>
      <w:r>
        <w:rPr/>
        <w:t>0.12</w:t>
      </w:r>
      <w:r>
        <w:rPr/>
        <w:t>元股息，</w:t>
      </w:r>
      <w:r>
        <w:rPr/>
        <w:t>H</w:t>
      </w:r>
      <w:r>
        <w:rPr/>
        <w:t>股换汇后</w:t>
      </w:r>
      <w:r>
        <w:rPr/>
        <w:t>0.13786</w:t>
      </w:r>
      <w:r>
        <w:rPr/>
        <w:t>港元，</w:t>
      </w:r>
      <w:r>
        <w:rPr/>
        <w:t>2026</w:t>
      </w:r>
      <w:r>
        <w:rPr/>
        <w:t>年</w:t>
      </w:r>
      <w:r>
        <w:rPr/>
        <w:t>6</w:t>
      </w:r>
      <w:r>
        <w:rPr/>
        <w:t>月</w:t>
      </w:r>
      <w:r>
        <w:rPr/>
        <w:t>22</w:t>
      </w:r>
      <w:r>
        <w:rPr/>
        <w:t>日除净、</w:t>
      </w:r>
      <w:r>
        <w:rPr/>
        <w:t>6</w:t>
      </w:r>
      <w:r>
        <w:rPr/>
        <w:t>月</w:t>
      </w:r>
      <w:r>
        <w:rPr/>
        <w:t>26</w:t>
      </w:r>
      <w:r>
        <w:rPr/>
        <w:t>日记录、</w:t>
      </w:r>
      <w:r>
        <w:rPr/>
        <w:t>8</w:t>
      </w:r>
      <w:r>
        <w:rPr/>
        <w:t>月</w:t>
      </w:r>
      <w:r>
        <w:rPr/>
        <w:t>4</w:t>
      </w:r>
      <w:r>
        <w:rPr/>
        <w:t>日付款，已在基准之前。</w:t>
      </w:r>
      <w:r>
        <w:rPr/>
        <w:t>10</w:t>
      </w:r>
      <w:r>
        <w:rPr/>
        <w:t>月</w:t>
      </w:r>
      <w:r>
        <w:rPr/>
        <w:t>9</w:t>
      </w:r>
      <w:r>
        <w:rPr/>
        <w:t>日新买入不能再获得，故未来回报表排除。中期不派息，年底和半年股息假设为零；一年及以后累计股息属于研究判断，需要未来董事会、盈利与现金条件支持。所有含息回报按税前、现金不再投资口径，未混入旧股息。</w:t>
      </w:r>
    </w:p>
    <w:p>
      <w:pPr>
        <w:pStyle w:val="Normal"/>
        <w:rPr/>
      </w:pPr>
      <w:r>
        <w:rPr/>
        <w:t>模型人民币利润转换目标港币采用固定</w:t>
      </w:r>
      <w:r>
        <w:rPr/>
        <w:t>1.10</w:t>
      </w:r>
      <w:r>
        <w:rPr/>
        <w:t>，仅为研究汇率假设，与旧股息实际换汇</w:t>
      </w:r>
      <w:r>
        <w:rPr/>
        <w:t>1.1488</w:t>
      </w:r>
      <w:r>
        <w:rPr/>
        <w:t>不同。人民币投资者的一年基准含息负</w:t>
      </w:r>
      <w:r>
        <w:rPr/>
        <w:t>16.40%</w:t>
      </w:r>
      <w:r>
        <w:rPr/>
        <w:t>，若港币兑人民币再弱</w:t>
      </w:r>
      <w:r>
        <w:rPr/>
        <w:t>5%</w:t>
      </w:r>
      <w:r>
        <w:rPr/>
        <w:t>，约负</w:t>
      </w:r>
      <w:r>
        <w:rPr/>
        <w:t>20.58%</w:t>
      </w:r>
      <w:r>
        <w:rPr/>
        <w:t>；若强</w:t>
      </w:r>
      <w:r>
        <w:rPr/>
        <w:t>5%</w:t>
      </w:r>
      <w:r>
        <w:rPr/>
        <w:t>，约负</w:t>
      </w:r>
      <w:r>
        <w:rPr/>
        <w:t>12.22%</w:t>
      </w:r>
      <w:r>
        <w:rPr/>
        <w:t>。这种敏感性是账户货币换算，不能与营业汇兑收益简单相加。经营层面的外币收入和成本影响已进入财务假设，应避免同一汇率变化在利润和投资回报中重复解释。</w:t>
      </w:r>
    </w:p>
    <w:p>
      <w:pPr>
        <w:pStyle w:val="Normal"/>
        <w:rPr/>
      </w:pPr>
      <w:r>
        <w:rPr/>
        <w:t>最近</w:t>
      </w:r>
      <w:r>
        <w:rPr/>
        <w:t>90</w:t>
      </w:r>
      <w:r>
        <w:rPr/>
        <w:t>天可核明确目标为中银国际</w:t>
      </w:r>
      <w:r>
        <w:rPr/>
        <w:t>7</w:t>
      </w:r>
      <w:r>
        <w:rPr/>
        <w:t>月</w:t>
      </w:r>
      <w:r>
        <w:rPr/>
        <w:t>15</w:t>
      </w:r>
      <w:r>
        <w:rPr/>
        <w:t>日</w:t>
      </w:r>
      <w:r>
        <w:rPr/>
        <w:t>23</w:t>
      </w:r>
      <w:r>
        <w:rPr/>
        <w:t>港元、持有，来源为</w:t>
      </w:r>
      <w:r>
        <w:rPr/>
        <w:t>AASTOCKS</w:t>
      </w:r>
      <w:r>
        <w:rPr/>
        <w:t>对机构报告的新闻转述。它是中资机构参考，不能冒充外资目标；报道早于中期正式结果，也没有取得原研报的明确目标期限。报道对核心恢复慢和</w:t>
      </w:r>
      <w:r>
        <w:rPr/>
        <w:t>NHP</w:t>
      </w:r>
      <w:r>
        <w:rPr/>
        <w:t>利润来源的区分，与本研究的问题意识一致，但该目标不能直接成为年底价格。本文将其放在机构表中，独立保留日期、来源和期限缺失。</w:t>
      </w:r>
    </w:p>
    <w:p>
      <w:pPr>
        <w:pStyle w:val="Normal"/>
        <w:rPr/>
      </w:pPr>
      <w:r>
        <w:rPr/>
        <w:t>外资公开可核历史包括摩根士丹利</w:t>
      </w:r>
      <w:r>
        <w:rPr/>
        <w:t>2025</w:t>
      </w:r>
      <w:r>
        <w:rPr/>
        <w:t>年</w:t>
      </w:r>
      <w:r>
        <w:rPr/>
        <w:t>6</w:t>
      </w:r>
      <w:r>
        <w:rPr/>
        <w:t>月</w:t>
      </w:r>
      <w:r>
        <w:rPr/>
        <w:t>10</w:t>
      </w:r>
      <w:r>
        <w:rPr/>
        <w:t>日</w:t>
      </w:r>
      <w:r>
        <w:rPr/>
        <w:t>9</w:t>
      </w:r>
      <w:r>
        <w:rPr/>
        <w:t>港元、与大市同步；瑞银</w:t>
      </w:r>
      <w:r>
        <w:rPr/>
        <w:t>2025</w:t>
      </w:r>
      <w:r>
        <w:rPr/>
        <w:t>年</w:t>
      </w:r>
      <w:r>
        <w:rPr/>
        <w:t>4</w:t>
      </w:r>
      <w:r>
        <w:rPr/>
        <w:t>月</w:t>
      </w:r>
      <w:r>
        <w:rPr/>
        <w:t>3</w:t>
      </w:r>
      <w:r>
        <w:rPr/>
        <w:t>日</w:t>
      </w:r>
      <w:r>
        <w:rPr/>
        <w:t>14.3</w:t>
      </w:r>
      <w:r>
        <w:rPr/>
        <w:t>港元、中性；里昂</w:t>
      </w:r>
      <w:r>
        <w:rPr/>
        <w:t>2024</w:t>
      </w:r>
      <w:r>
        <w:rPr/>
        <w:t>年</w:t>
      </w:r>
      <w:r>
        <w:rPr/>
        <w:t>4</w:t>
      </w:r>
      <w:r>
        <w:rPr/>
        <w:t>月</w:t>
      </w:r>
      <w:r>
        <w:rPr/>
        <w:t>11</w:t>
      </w:r>
      <w:r>
        <w:rPr/>
        <w:t>日</w:t>
      </w:r>
      <w:r>
        <w:rPr/>
        <w:t>11</w:t>
      </w:r>
      <w:r>
        <w:rPr/>
        <w:t>港元、跑赢大市。它们均很旧，不代表</w:t>
      </w:r>
      <w:r>
        <w:rPr/>
        <w:t>2026</w:t>
      </w:r>
      <w:r>
        <w:rPr/>
        <w:t>年</w:t>
      </w:r>
      <w:r>
        <w:rPr/>
        <w:t>10</w:t>
      </w:r>
      <w:r>
        <w:rPr/>
        <w:t>月共识，也不能直接平均用于当前估值。相同机构只保留已核最新记录，没有把行业文章未明确给昭衍目标的内容填入。未取得近</w:t>
      </w:r>
      <w:r>
        <w:rPr/>
        <w:t>90</w:t>
      </w:r>
      <w:r>
        <w:rPr/>
        <w:t>天或中报后的公开外资具体目标，明确作为缺失项。</w:t>
      </w:r>
    </w:p>
    <w:p>
      <w:pPr>
        <w:pStyle w:val="Normal"/>
        <w:rPr/>
      </w:pPr>
      <w:r>
        <w:rPr/>
        <w:t>机构价格可能基于包含动物收益的不同盈利、不同股数或估值方法，差异有解释价值。可靠比较应先取得原研报的盈利口径、前瞻年份和风险假设，而不是只看谁给更高价。本文只有新闻转述，评级和价格可核、完整模型不可核，故机构证据信度为中。总表将历史目标与活动模型分开，输入变化或新报告出现后需要刷新，避免旧转载被误当成更新观点。</w:t>
      </w:r>
    </w:p>
    <w:p>
      <w:pPr>
        <w:pStyle w:val="Heading2"/>
        <w:rPr/>
      </w:pPr>
      <w:r>
        <w:rPr>
          <w:color w:val="000000"/>
        </w:rPr>
        <w:t>四期限评分依据与反证</w:t>
      </w:r>
    </w:p>
    <w:p>
      <w:pPr>
        <w:pStyle w:val="Normal"/>
        <w:rPr/>
      </w:pPr>
      <w:r>
        <w:rPr/>
        <w:t>半年六项</w:t>
      </w:r>
      <w:r>
        <w:rPr/>
        <w:t>0—5</w:t>
      </w:r>
      <w:r>
        <w:rPr/>
        <w:t>维度依次</w:t>
      </w:r>
      <w:r>
        <w:rPr/>
        <w:t>1.3</w:t>
      </w:r>
      <w:r>
        <w:rPr/>
        <w:t>、</w:t>
      </w:r>
      <w:r>
        <w:rPr/>
        <w:t>4.0</w:t>
      </w:r>
      <w:r>
        <w:rPr/>
        <w:t>、</w:t>
      </w:r>
      <w:r>
        <w:rPr/>
        <w:t>2.7</w:t>
      </w:r>
      <w:r>
        <w:rPr/>
        <w:t>、</w:t>
      </w:r>
      <w:r>
        <w:rPr/>
        <w:t>3.9</w:t>
      </w:r>
      <w:r>
        <w:rPr/>
        <w:t>、</w:t>
      </w:r>
      <w:r>
        <w:rPr/>
        <w:t>3.8</w:t>
      </w:r>
      <w:r>
        <w:rPr/>
        <w:t>、</w:t>
      </w:r>
      <w:r>
        <w:rPr/>
        <w:t>2.4</w:t>
      </w:r>
      <w:r>
        <w:rPr/>
        <w:t>，加权</w:t>
      </w:r>
      <w:r>
        <w:rPr/>
        <w:t>58.8</w:t>
      </w:r>
      <w:r>
        <w:rPr/>
        <w:t>。趋势、量能和相对恒指强给技术正分；基准和期望价低于现价使估值明显减分；订单恢复支持周期与催化，但核心亏损和估值参数缺限制经营与风险。这些分数不是市场上涨概率，也不能将</w:t>
      </w:r>
      <w:r>
        <w:rPr/>
        <w:t>4</w:t>
      </w:r>
      <w:r>
        <w:rPr/>
        <w:t>分趋势解释为</w:t>
      </w:r>
      <w:r>
        <w:rPr/>
        <w:t>80%</w:t>
      </w:r>
      <w:r>
        <w:rPr/>
        <w:t>获利概率。它们用于同一批证券之间比较证据强度和风险回报。</w:t>
      </w:r>
    </w:p>
    <w:p>
      <w:pPr>
        <w:pStyle w:val="Normal"/>
        <w:rPr/>
      </w:pPr>
      <w:r>
        <w:rPr/>
        <w:t>一年依次</w:t>
      </w:r>
      <w:r>
        <w:rPr/>
        <w:t>1.8</w:t>
      </w:r>
      <w:r>
        <w:rPr/>
        <w:t>、</w:t>
      </w:r>
      <w:r>
        <w:rPr/>
        <w:t>4.0</w:t>
      </w:r>
      <w:r>
        <w:rPr/>
        <w:t>、</w:t>
      </w:r>
      <w:r>
        <w:rPr/>
        <w:t>3.2</w:t>
      </w:r>
      <w:r>
        <w:rPr/>
        <w:t>、</w:t>
      </w:r>
      <w:r>
        <w:rPr/>
        <w:t>4.0</w:t>
      </w:r>
      <w:r>
        <w:rPr/>
        <w:t>、</w:t>
      </w:r>
      <w:r>
        <w:rPr/>
        <w:t>3.9</w:t>
      </w:r>
      <w:r>
        <w:rPr/>
        <w:t>、</w:t>
      </w:r>
      <w:r>
        <w:rPr/>
        <w:t>2.5</w:t>
      </w:r>
      <w:r>
        <w:rPr/>
        <w:t>，加权</w:t>
      </w:r>
      <w:r>
        <w:rPr/>
        <w:t>61.8</w:t>
      </w:r>
      <w:r>
        <w:rPr/>
        <w:t>，主业恢复可见度比半年好，但买入价格依旧限制回报。三年为</w:t>
      </w:r>
      <w:r>
        <w:rPr/>
        <w:t>2.5</w:t>
      </w:r>
      <w:r>
        <w:rPr/>
        <w:t>、</w:t>
      </w:r>
      <w:r>
        <w:rPr/>
        <w:t>4.0</w:t>
      </w:r>
      <w:r>
        <w:rPr/>
        <w:t>、</w:t>
      </w:r>
      <w:r>
        <w:rPr/>
        <w:t>3.5</w:t>
      </w:r>
      <w:r>
        <w:rPr/>
        <w:t>、</w:t>
      </w:r>
      <w:r>
        <w:rPr/>
        <w:t>4.0</w:t>
      </w:r>
      <w:r>
        <w:rPr/>
        <w:t>、</w:t>
      </w:r>
      <w:r>
        <w:rPr/>
        <w:t>3.4</w:t>
      </w:r>
      <w:r>
        <w:rPr/>
        <w:t>、</w:t>
      </w:r>
      <w:r>
        <w:rPr/>
        <w:t>2.7</w:t>
      </w:r>
      <w:r>
        <w:rPr/>
        <w:t>，加权</w:t>
      </w:r>
      <w:r>
        <w:rPr/>
        <w:t>65.8</w:t>
      </w:r>
      <w:r>
        <w:rPr/>
        <w:t>；技术只有</w:t>
      </w:r>
      <w:r>
        <w:rPr/>
        <w:t>5%</w:t>
      </w:r>
      <w:r>
        <w:rPr/>
        <w:t>权重，经营和行业主导。五年</w:t>
      </w:r>
      <w:r>
        <w:rPr/>
        <w:t>2.6</w:t>
      </w:r>
      <w:r>
        <w:rPr/>
        <w:t>、</w:t>
      </w:r>
      <w:r>
        <w:rPr/>
        <w:t>4.0</w:t>
      </w:r>
      <w:r>
        <w:rPr/>
        <w:t>、</w:t>
      </w:r>
      <w:r>
        <w:rPr/>
        <w:t>3.6</w:t>
      </w:r>
      <w:r>
        <w:rPr/>
        <w:t>、</w:t>
      </w:r>
      <w:r>
        <w:rPr/>
        <w:t>3.8</w:t>
      </w:r>
      <w:r>
        <w:rPr/>
        <w:t>、</w:t>
      </w:r>
      <w:r>
        <w:rPr/>
        <w:t>3.3</w:t>
      </w:r>
      <w:r>
        <w:rPr/>
        <w:t>、</w:t>
      </w:r>
      <w:r>
        <w:rPr/>
        <w:t>2.7</w:t>
      </w:r>
      <w:r>
        <w:rPr/>
        <w:t>，也</w:t>
      </w:r>
      <w:r>
        <w:rPr/>
        <w:t>65.8</w:t>
      </w:r>
      <w:r>
        <w:rPr/>
        <w:t>，技术权重为零。五年保留技术字段便于表格一致，但不会给长期分数贡献。</w:t>
      </w:r>
    </w:p>
    <w:p>
      <w:pPr>
        <w:pStyle w:val="Normal"/>
        <w:rPr/>
      </w:pPr>
      <w:r>
        <w:rPr/>
        <w:t>推翻短期谨慎结论的正面证据，应是实际正常实验利润连续改善、国内外利润结构修复、价格与毛利提升且回款跟上，或更透明的动物数量参数支持独立资产估值。如果只是股价突破或一次动物价格涨幅，能够推翻趋势谨慎，却不足以推翻正常利润判断。相反，一旦订单取消明显增加、成本转化异常、动物估值回撤或资金管理出现损失，现有恢复假设就需要下修。</w:t>
      </w:r>
    </w:p>
    <w:p>
      <w:pPr>
        <w:pStyle w:val="Normal"/>
        <w:rPr/>
      </w:pPr>
      <w:r>
        <w:rPr/>
        <w:t>最应持续监控的反证包括新签订单增速和取消率、在手交付、境外收入毛利、未完工专题减值、合同预收转化、资本开支与动物投入，以及正常利润与扣非之间的桥。公司若不再披露核心与动物净收益拆分，研究可信度下降，不能默认全部扣非利润具有持续性。若监管检查或客户报告接受发生实质问题，应优先处理基本面而不是等待均线止跌，专业服务的信誉损失可能迅速影响订单。</w:t>
      </w:r>
    </w:p>
    <w:p>
      <w:pPr>
        <w:pStyle w:val="Normal"/>
        <w:rPr/>
      </w:pPr>
      <w:r>
        <w:rPr/>
        <w:t>本章建议的观察优先级是先确认利润结构，再确认现金回收与投资纪律，最后评价是否值得支付当前倍数。昭衍有专业优势，订单复苏也不是虚构，但</w:t>
      </w:r>
      <w:r>
        <w:rPr/>
        <w:t>31.32</w:t>
      </w:r>
      <w:r>
        <w:rPr/>
        <w:t>港元购买成本把不少未来改善提前计入。对进取投资者，这是一只可能存在较大行情弹性的证券，也是需要严格区分动物估值、核心盈利和交易趋势的标的。推荐的条件性与模型限制应随最终总表一起保留。</w:t>
      </w:r>
    </w:p>
    <w:p>
      <w:pPr>
        <w:pStyle w:val="Heading2"/>
        <w:rPr/>
      </w:pPr>
      <w:r>
        <w:rPr>
          <w:rFonts w:ascii="Microsoft YaHei" w:hAnsi="Microsoft YaHei" w:eastAsia="微软雅黑"/>
          <w:b/>
          <w:color w:val="000000"/>
          <w:sz w:val="26"/>
        </w:rPr>
        <w:t>十年经营持续性展望</w:t>
      </w:r>
    </w:p>
    <w:p>
      <w:pPr>
        <w:pStyle w:val="Normal"/>
        <w:rPr/>
      </w:pPr>
      <w:r>
        <w:rPr/>
        <w:t>2036</w:t>
      </w:r>
      <w:r>
        <w:rPr/>
        <w:t>年前后的经营问题，是昭衍能否成为综合安全与转化证据平台，而不是长期只依靠非人灵长类供应稀缺。创新品类增多、老龄疾病和复杂给药提供持续研究需求，监管认可的数据和跨学科方法仍有价值；但人源模型、体外研究、计算方法和客户内部能力也会变化。十年展望不提供机械目标价，而是检验服务壁垒能否在技术替代过程中继续产生现金回报。</w:t>
      </w:r>
    </w:p>
    <w:p>
      <w:pPr>
        <w:pStyle w:val="Normal"/>
        <w:rPr/>
      </w:pPr>
      <w:r>
        <w:rPr/>
        <w:t>较理想的十年路径是动物体系满足少数仍需系统验证的研究，同时类器官、芯片、</w:t>
      </w:r>
      <w:r>
        <w:rPr/>
        <w:t>AI</w:t>
      </w:r>
      <w:r>
        <w:rPr/>
        <w:t>病理与临床生物分析形成相互补充，客户向昭衍购买完整证据策略。平台通过标准化提高周转，又对复杂任务保留专业判断。这样动物资产价格波动对利润的影响下降，服务现金盈利成为核心。公司需要让新技术真实商业化并提高资本效率，才能由强周期价格受益者转向更稳定的长期复利经营者。</w:t>
      </w:r>
    </w:p>
    <w:p>
      <w:pPr>
        <w:pStyle w:val="Normal"/>
        <w:rPr/>
      </w:pPr>
      <w:r>
        <w:rPr/>
        <w:t>较弱的十年路径是持续扩张设施和动物存量，却无法提升高价值服务价格，新技术被竞争对手更快采用。客户以低价招标购买标准试验，海外业务长期薄利，资金更多流向低流动性投资。公司即使收入增长，资本回报和每股现金分配也可能不足，估值倍数随业务成熟下降。持续经营不等于值得任意价格买入，这一判断在五年以后仍然适用。</w:t>
      </w:r>
    </w:p>
    <w:p>
      <w:pPr>
        <w:pStyle w:val="Normal"/>
        <w:rPr/>
      </w:pPr>
      <w:r>
        <w:rPr/>
        <w:t>评价十年可持续性应关注技术人员能力、数据质量、客户复购、平台商业收益、投资资本回报及治理透明度，而非单一动物价格。动物数量和健康结构需要更精确披露，跨境监管变化需要实际应对，资金充裕需要体现为股东可获得的每股结果。任何长期推荐都应该允许被这些经营证据推翻，不能用“行业需求很大”替代企业执行的验证。</w:t>
      </w:r>
    </w:p>
    <w:p>
      <w:pPr>
        <w:pStyle w:val="Heading2"/>
        <w:rPr/>
      </w:pPr>
      <w:r>
        <w:rPr>
          <w:color w:val="000000"/>
        </w:rPr>
        <w:t>来源</w:t>
      </w:r>
    </w:p>
    <w:p>
      <w:pPr>
        <w:pStyle w:val="Normal"/>
        <w:rPr/>
      </w:pPr>
      <w:r>
        <w:rPr>
          <w:sz w:val="19"/>
          <w:lang w:val="zh-CN" w:eastAsia="zh-CN"/>
        </w:rPr>
        <w:t xml:space="preserve">- </w:t>
      </w:r>
      <w:r>
        <w:rPr>
          <w:sz w:val="19"/>
          <w:lang w:val="zh-CN" w:eastAsia="zh-CN"/>
        </w:rPr>
        <w:t>港交所</w:t>
      </w:r>
      <w:r>
        <w:rPr>
          <w:sz w:val="19"/>
          <w:lang w:val="zh-CN" w:eastAsia="zh-CN"/>
        </w:rPr>
        <w:t>2026</w:t>
      </w:r>
      <w:r>
        <w:rPr>
          <w:sz w:val="19"/>
          <w:lang w:val="zh-CN" w:eastAsia="zh-CN"/>
        </w:rPr>
        <w:t>中期结果，</w:t>
      </w:r>
      <w:r>
        <w:rPr>
          <w:sz w:val="19"/>
          <w:lang w:val="zh-CN" w:eastAsia="zh-CN"/>
        </w:rPr>
        <w:t>2026-08-28 17:39</w:t>
      </w:r>
      <w:r>
        <w:rPr>
          <w:sz w:val="19"/>
          <w:lang w:val="zh-CN" w:eastAsia="zh-CN"/>
        </w:rPr>
        <w:t>收盘后首次披露：</w:t>
      </w:r>
      <w:r>
        <w:rPr>
          <w:sz w:val="19"/>
          <w:lang w:val="zh-CN" w:eastAsia="zh-CN"/>
        </w:rPr>
        <w:t>https://www1.hkexnews.hk/listedco/listconews/sehk/2026/0828/2026082801141.pdf</w:t>
      </w:r>
    </w:p>
    <w:p>
      <w:pPr>
        <w:pStyle w:val="Normal"/>
        <w:rPr/>
      </w:pPr>
      <w:r>
        <w:rPr/>
        <w:t>- A</w:t>
      </w:r>
      <w:r>
        <w:rPr/>
        <w:t>股</w:t>
      </w:r>
      <w:r>
        <w:rPr/>
        <w:t>2026</w:t>
      </w:r>
      <w:r>
        <w:rPr/>
        <w:t>中报完整原件：</w:t>
      </w:r>
      <w:r>
        <w:rPr/>
        <w:t>https://static.cninfo.com.cn/finalpage/2026-08-29/1225526391.PDF</w:t>
      </w:r>
    </w:p>
    <w:p>
      <w:pPr>
        <w:pStyle w:val="Normal"/>
        <w:rPr/>
      </w:pPr>
      <w:r>
        <w:rPr>
          <w:sz w:val="19"/>
        </w:rPr>
        <w:t>- 2025</w:t>
      </w:r>
      <w:r>
        <w:rPr>
          <w:sz w:val="19"/>
        </w:rPr>
        <w:t>年度</w:t>
      </w:r>
      <w:r>
        <w:rPr>
          <w:sz w:val="19"/>
        </w:rPr>
        <w:t>H</w:t>
      </w:r>
      <w:r>
        <w:rPr>
          <w:sz w:val="19"/>
        </w:rPr>
        <w:t>股结果，</w:t>
      </w:r>
      <w:r>
        <w:rPr>
          <w:sz w:val="19"/>
        </w:rPr>
        <w:t>2026-03-30 21:11</w:t>
      </w:r>
      <w:r>
        <w:rPr>
          <w:sz w:val="19"/>
        </w:rPr>
        <w:t>：</w:t>
      </w:r>
      <w:r>
        <w:rPr>
          <w:sz w:val="19"/>
        </w:rPr>
        <w:t>https://www1.hkexnews.hk/listedco/listconews/sehk/2026/0330/2026033002160.pdf</w:t>
      </w:r>
    </w:p>
    <w:p>
      <w:pPr>
        <w:pStyle w:val="Normal"/>
        <w:rPr/>
      </w:pPr>
      <w:r>
        <w:rPr/>
        <w:t>- A</w:t>
      </w:r>
      <w:r>
        <w:rPr/>
        <w:t>股</w:t>
      </w:r>
      <w:r>
        <w:rPr/>
        <w:t>2025</w:t>
      </w:r>
      <w:r>
        <w:rPr/>
        <w:t>完整年报：</w:t>
      </w:r>
      <w:r>
        <w:rPr/>
        <w:t>https://static.cninfo.com.cn/finalpage/2026-03-31/1225054470.PDF</w:t>
      </w:r>
    </w:p>
    <w:p>
      <w:pPr>
        <w:pStyle w:val="Normal"/>
        <w:rPr/>
      </w:pPr>
      <w:r>
        <w:rPr>
          <w:sz w:val="19"/>
        </w:rPr>
        <w:t>- 9</w:t>
      </w:r>
      <w:r>
        <w:rPr>
          <w:sz w:val="19"/>
        </w:rPr>
        <w:t>月股份月报，</w:t>
      </w:r>
      <w:r>
        <w:rPr>
          <w:sz w:val="19"/>
        </w:rPr>
        <w:t>2026-10-07 15:17</w:t>
      </w:r>
      <w:r>
        <w:rPr>
          <w:sz w:val="19"/>
        </w:rPr>
        <w:t>：</w:t>
      </w:r>
      <w:r>
        <w:rPr>
          <w:sz w:val="19"/>
        </w:rPr>
        <w:t>https://www1.hkexnews.hk/listedco/listconews/sehk/2026/1007/2026100700513.pdf</w:t>
      </w:r>
    </w:p>
    <w:p>
      <w:pPr>
        <w:pStyle w:val="Normal"/>
        <w:rPr/>
      </w:pPr>
      <w:r>
        <w:rPr>
          <w:sz w:val="19"/>
          <w:lang w:val="zh-CN" w:eastAsia="zh-CN"/>
        </w:rPr>
        <w:t xml:space="preserve">- </w:t>
      </w:r>
      <w:r>
        <w:rPr>
          <w:sz w:val="19"/>
          <w:lang w:val="zh-CN" w:eastAsia="zh-CN"/>
        </w:rPr>
        <w:t>注销实施，</w:t>
      </w:r>
      <w:r>
        <w:rPr>
          <w:sz w:val="19"/>
          <w:lang w:val="zh-CN" w:eastAsia="zh-CN"/>
        </w:rPr>
        <w:t>2026-01-06 18:02</w:t>
      </w:r>
      <w:r>
        <w:rPr>
          <w:sz w:val="19"/>
          <w:lang w:val="zh-CN" w:eastAsia="zh-CN"/>
        </w:rPr>
        <w:t>披露、</w:t>
      </w:r>
      <w:r>
        <w:rPr>
          <w:sz w:val="19"/>
          <w:lang w:val="zh-CN" w:eastAsia="zh-CN"/>
        </w:rPr>
        <w:t>1</w:t>
      </w:r>
      <w:r>
        <w:rPr>
          <w:sz w:val="19"/>
          <w:lang w:val="zh-CN" w:eastAsia="zh-CN"/>
        </w:rPr>
        <w:t>月</w:t>
      </w:r>
      <w:r>
        <w:rPr>
          <w:sz w:val="19"/>
          <w:lang w:val="zh-CN" w:eastAsia="zh-CN"/>
        </w:rPr>
        <w:t>7</w:t>
      </w:r>
      <w:r>
        <w:rPr>
          <w:sz w:val="19"/>
          <w:lang w:val="zh-CN" w:eastAsia="zh-CN"/>
        </w:rPr>
        <w:t>日注销：</w:t>
      </w:r>
      <w:r>
        <w:rPr>
          <w:sz w:val="19"/>
          <w:lang w:val="zh-CN" w:eastAsia="zh-CN"/>
        </w:rPr>
        <w:t>https://www1.hkexnews.hk/listedco/listconews/sehk/2026/0106/2026010601500_c.pdf</w:t>
      </w:r>
    </w:p>
    <w:p>
      <w:pPr>
        <w:pStyle w:val="Normal"/>
        <w:rPr/>
      </w:pPr>
      <w:r>
        <w:rPr/>
        <w:t>- A</w:t>
      </w:r>
      <w:r>
        <w:rPr/>
        <w:t>股激励股份性质变更，</w:t>
      </w:r>
      <w:r>
        <w:rPr/>
        <w:t>7</w:t>
      </w:r>
      <w:r>
        <w:rPr/>
        <w:t>月</w:t>
      </w:r>
      <w:r>
        <w:rPr/>
        <w:t>20</w:t>
      </w:r>
      <w:r>
        <w:rPr/>
        <w:t>日</w:t>
      </w:r>
      <w:r>
        <w:rPr/>
        <w:t>18:03</w:t>
      </w:r>
      <w:r>
        <w:rPr/>
        <w:t>：</w:t>
      </w:r>
      <w:r>
        <w:rPr/>
        <w:t>https://www1.hkexnews.hk/listedco/listconews/sehk/2026/0720/2026072000780_c.pdf</w:t>
      </w:r>
    </w:p>
    <w:p>
      <w:pPr>
        <w:pStyle w:val="Normal"/>
        <w:rPr/>
      </w:pPr>
      <w:r>
        <w:rPr>
          <w:sz w:val="19"/>
        </w:rPr>
        <w:t>- A</w:t>
      </w:r>
      <w:r>
        <w:rPr>
          <w:sz w:val="19"/>
        </w:rPr>
        <w:t>股授予结果，</w:t>
      </w:r>
      <w:r>
        <w:rPr>
          <w:sz w:val="19"/>
        </w:rPr>
        <w:t>7</w:t>
      </w:r>
      <w:r>
        <w:rPr>
          <w:sz w:val="19"/>
        </w:rPr>
        <w:t>月</w:t>
      </w:r>
      <w:r>
        <w:rPr>
          <w:sz w:val="19"/>
        </w:rPr>
        <w:t>23</w:t>
      </w:r>
      <w:r>
        <w:rPr>
          <w:sz w:val="19"/>
        </w:rPr>
        <w:t>日</w:t>
      </w:r>
      <w:r>
        <w:rPr>
          <w:sz w:val="19"/>
        </w:rPr>
        <w:t>17:23</w:t>
      </w:r>
      <w:r>
        <w:rPr>
          <w:sz w:val="19"/>
        </w:rPr>
        <w:t>披露、</w:t>
      </w:r>
      <w:r>
        <w:rPr>
          <w:sz w:val="19"/>
        </w:rPr>
        <w:t>7</w:t>
      </w:r>
      <w:r>
        <w:rPr>
          <w:sz w:val="19"/>
        </w:rPr>
        <w:t>月</w:t>
      </w:r>
      <w:r>
        <w:rPr>
          <w:sz w:val="19"/>
        </w:rPr>
        <w:t>22</w:t>
      </w:r>
      <w:r>
        <w:rPr>
          <w:sz w:val="19"/>
        </w:rPr>
        <w:t>日登记：</w:t>
      </w:r>
      <w:r>
        <w:rPr>
          <w:sz w:val="19"/>
        </w:rPr>
        <w:t>https://www1.hkexnews.hk/listedco/listconews/sehk/2026/0723/2026072300835_c.pdf</w:t>
      </w:r>
    </w:p>
    <w:p>
      <w:pPr>
        <w:pStyle w:val="Normal"/>
        <w:rPr/>
      </w:pPr>
      <w:r>
        <w:rPr/>
        <w:t>- H</w:t>
      </w:r>
      <w:r>
        <w:rPr/>
        <w:t>股授予，</w:t>
      </w:r>
      <w:r>
        <w:rPr/>
        <w:t>2026-04-30 19:39</w:t>
      </w:r>
      <w:r>
        <w:rPr/>
        <w:t>：见</w:t>
      </w:r>
      <w:r>
        <w:rPr/>
        <w:t>data/joinn_sources.json</w:t>
      </w:r>
      <w:r>
        <w:rPr/>
        <w:t>中的原始链接与全文。</w:t>
      </w:r>
    </w:p>
    <w:p>
      <w:pPr>
        <w:pStyle w:val="Normal"/>
        <w:rPr/>
      </w:pPr>
      <w:r>
        <w:rPr>
          <w:sz w:val="19"/>
        </w:rPr>
        <w:t xml:space="preserve">- </w:t>
      </w:r>
      <w:r>
        <w:rPr>
          <w:sz w:val="19"/>
        </w:rPr>
        <w:t>基金备案进展，</w:t>
      </w:r>
      <w:r>
        <w:rPr>
          <w:sz w:val="19"/>
        </w:rPr>
        <w:t>2026-08-20 17:06</w:t>
      </w:r>
      <w:r>
        <w:rPr>
          <w:sz w:val="19"/>
        </w:rPr>
        <w:t>：</w:t>
      </w:r>
      <w:r>
        <w:rPr>
          <w:sz w:val="19"/>
        </w:rPr>
        <w:t>https://www1.hkexnews.hk/listedco/listconews/sehk/2026/0820/2026082000533_c.pdf</w:t>
      </w:r>
    </w:p>
    <w:p>
      <w:pPr>
        <w:pStyle w:val="Normal"/>
        <w:rPr/>
      </w:pPr>
      <w:r>
        <w:rPr>
          <w:sz w:val="19"/>
        </w:rPr>
        <w:t xml:space="preserve">- </w:t>
      </w:r>
      <w:r>
        <w:rPr>
          <w:sz w:val="19"/>
        </w:rPr>
        <w:t>金融产品，</w:t>
      </w:r>
      <w:r>
        <w:rPr>
          <w:sz w:val="19"/>
        </w:rPr>
        <w:t>2026-09-23 16:51</w:t>
      </w:r>
      <w:r>
        <w:rPr>
          <w:sz w:val="19"/>
        </w:rPr>
        <w:t>：</w:t>
      </w:r>
      <w:r>
        <w:rPr>
          <w:sz w:val="19"/>
        </w:rPr>
        <w:t>https://www1.hkexnews.hk/listedco/listconews/sehk/2026/0923/2026092300616.pdf</w:t>
      </w:r>
    </w:p>
    <w:p>
      <w:pPr>
        <w:pStyle w:val="Normal"/>
        <w:rPr/>
      </w:pPr>
      <w:r>
        <w:rPr/>
        <w:t xml:space="preserve">- </w:t>
      </w:r>
      <w:r>
        <w:rPr/>
        <w:t>关联租赁首次</w:t>
      </w:r>
      <w:r>
        <w:rPr/>
        <w:t>8</w:t>
      </w:r>
      <w:r>
        <w:rPr/>
        <w:t>月</w:t>
      </w:r>
      <w:r>
        <w:rPr/>
        <w:t>28</w:t>
      </w:r>
      <w:r>
        <w:rPr/>
        <w:t>日</w:t>
      </w:r>
      <w:r>
        <w:rPr/>
        <w:t>17:41</w:t>
      </w:r>
      <w:r>
        <w:rPr/>
        <w:t>：</w:t>
      </w:r>
      <w:r>
        <w:rPr/>
        <w:t>https://www1.hkexnews.hk/listedco/listconews/sehk/2026/0828/2026082801151.pdf</w:t>
      </w:r>
    </w:p>
    <w:p>
      <w:pPr>
        <w:pStyle w:val="Normal"/>
        <w:rPr/>
      </w:pPr>
      <w:r>
        <w:rPr>
          <w:sz w:val="19"/>
        </w:rPr>
        <w:t xml:space="preserve">- </w:t>
      </w:r>
      <w:r>
        <w:rPr>
          <w:sz w:val="19"/>
        </w:rPr>
        <w:t>旧末期股息表更新：</w:t>
      </w:r>
      <w:r>
        <w:rPr>
          <w:sz w:val="19"/>
        </w:rPr>
        <w:t>https://www1.hkexnews.hk/listedco/listconews/sehk/2026/0604/2026060402931.pdf</w:t>
      </w:r>
    </w:p>
    <w:p>
      <w:pPr>
        <w:pStyle w:val="Normal"/>
        <w:rPr/>
      </w:pPr>
      <w:r>
        <w:rPr/>
        <w:t xml:space="preserve">- </w:t>
      </w:r>
      <w:r>
        <w:rPr/>
        <w:t>中银国际目标新闻，</w:t>
      </w:r>
      <w:r>
        <w:rPr/>
        <w:t>2026-07-15</w:t>
      </w:r>
      <w:r>
        <w:rPr/>
        <w:t>：</w:t>
      </w:r>
      <w:r>
        <w:rPr/>
        <w:t>https://www.aastocks.com/tc/stocks/analysis/stock-aafn-con/06127/AAFN/NOW.1533388/research-report</w:t>
      </w:r>
    </w:p>
    <w:p>
      <w:pPr>
        <w:pStyle w:val="Normal"/>
        <w:rPr/>
      </w:pPr>
      <w:r>
        <w:rPr/>
        <w:t xml:space="preserve">- </w:t>
      </w:r>
      <w:r>
        <w:rPr/>
        <w:t>大摩旧目标新闻，</w:t>
      </w:r>
      <w:r>
        <w:rPr/>
        <w:t>2025-06-10</w:t>
      </w:r>
      <w:r>
        <w:rPr/>
        <w:t>：</w:t>
      </w:r>
      <w:r>
        <w:rPr/>
        <w:t>https://www.aastocks.com/tc/stocks/analysis/stock-aafn-con/06127/AAFN/NOW.1445732/research-report</w:t>
      </w:r>
    </w:p>
    <w:p>
      <w:pPr>
        <w:pStyle w:val="Normal"/>
        <w:rPr/>
      </w:pPr>
      <w:r>
        <w:rPr/>
        <w:t xml:space="preserve">- </w:t>
      </w:r>
      <w:r>
        <w:rPr/>
        <w:t>瑞银旧目标新闻，</w:t>
      </w:r>
      <w:r>
        <w:rPr/>
        <w:t>2025-04-03</w:t>
      </w:r>
      <w:r>
        <w:rPr/>
        <w:t>：</w:t>
      </w:r>
      <w:r>
        <w:rPr/>
        <w:t>https://www.aastocks.com/tc/stocks/analysis/stock-aafn-con/06127/AAFN/NOW.1431523/research-report</w:t>
      </w:r>
    </w:p>
    <w:p>
      <w:pPr>
        <w:pStyle w:val="Normal"/>
        <w:rPr/>
      </w:pPr>
      <w:r>
        <w:rPr/>
        <w:t xml:space="preserve">- </w:t>
      </w:r>
      <w:r>
        <w:rPr/>
        <w:t>里昂旧目标新闻，</w:t>
      </w:r>
      <w:r>
        <w:rPr/>
        <w:t>2024-04-11</w:t>
      </w:r>
      <w:r>
        <w:rPr/>
        <w:t>：</w:t>
      </w:r>
      <w:r>
        <w:rPr/>
        <w:t>https://www.aastocks.com/tc/stocks/analysis/stock-aafn-con/06127/AAFN/NOW.1341569/research-report</w:t>
      </w:r>
    </w:p>
    <w:p>
      <w:pPr>
        <w:pStyle w:val="Normal"/>
        <w:rPr/>
      </w:pPr>
      <w:r>
        <w:rPr/>
        <w:t xml:space="preserve">- </w:t>
      </w:r>
      <w:r>
        <w:rPr/>
        <w:t>行情来源、复权、交叉核验和单位：</w:t>
      </w:r>
      <w:r>
        <w:rPr/>
        <w:t>data/market_snapshot_locked.json</w:t>
      </w:r>
      <w:r>
        <w:rPr/>
        <w:t>中</w:t>
      </w:r>
      <w:r>
        <w:rPr/>
        <w:t>S052</w:t>
      </w:r>
      <w:r>
        <w:rPr/>
        <w:t>记录及其</w:t>
      </w:r>
      <w:r>
        <w:rPr/>
        <w:t>historyFile</w:t>
      </w:r>
      <w:r>
        <w:rPr/>
        <w:t>；不得重采后覆盖</w:t>
      </w:r>
      <w:r>
        <w:rPr/>
        <w:t>market-v1.6</w:t>
      </w:r>
      <w:r>
        <w:rPr/>
        <w:t>。</w:t>
      </w:r>
    </w:p>
    <w:p>
      <w:pPr>
        <w:pStyle w:val="Heading2"/>
        <w:rPr/>
      </w:pPr>
      <w:r>
        <w:rPr>
          <w:rFonts w:ascii="Microsoft YaHei" w:hAnsi="Microsoft YaHei" w:eastAsia="微软雅黑"/>
          <w:b/>
          <w:color w:val="000000"/>
          <w:sz w:val="26"/>
        </w:rPr>
        <w:t>核验边界</w:t>
      </w:r>
    </w:p>
    <w:p>
      <w:pPr>
        <w:pStyle w:val="Normal"/>
        <w:widowControl/>
        <w:bidi w:val="0"/>
        <w:spacing w:lineRule="auto" w:line="336" w:before="0" w:after="140"/>
        <w:jc w:val="start"/>
        <w:rPr/>
      </w:pPr>
      <w:r>
        <w:rPr/>
        <w:t>核心中文正文、模型与公式由独立</w:t>
      </w:r>
      <w:r>
        <w:rPr/>
        <w:t>QA</w:t>
      </w:r>
      <w:r>
        <w:rPr/>
        <w:t>核验；跨</w:t>
      </w:r>
      <w:r>
        <w:rPr/>
        <w:t>Word/PDF</w:t>
      </w:r>
      <w:r>
        <w:rPr/>
        <w:t>分页和图表视觉由父任务集成验证。未来交易所休市安排若未公布，除已知</w:t>
      </w:r>
      <w:r>
        <w:rPr/>
        <w:t>2027</w:t>
      </w:r>
      <w:r>
        <w:rPr/>
        <w:t>年</w:t>
      </w:r>
      <w:r>
        <w:rPr/>
        <w:t>10</w:t>
      </w:r>
      <w:r>
        <w:rPr/>
        <w:t>月</w:t>
      </w:r>
      <w:r>
        <w:rPr/>
        <w:t>9</w:t>
      </w:r>
      <w:r>
        <w:rPr/>
        <w:t>日周六前移外，目标工作日须在正式日历公布后再确认。动物数量与估值参数、原投行研报、完整基金实缴和母自由现金缺失已在正文和模型列出，未填造。</w:t>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 w:name="Microsoft YaHe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140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140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宋体"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36" w:before="0" w:after="140"/>
      <w:jc w:val="start"/>
    </w:pPr>
    <w:rPr>
      <w:rFonts w:ascii="宋体" w:hAnsi="宋体" w:eastAsia="宋体" w:cs="宋体"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宋体"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宋体"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宋体"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宋体"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宋体"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宋体"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宋体"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宋体"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宋体"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宋体"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宋体"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宋体"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宋体"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宋体"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宋体"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宋体"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宋体"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宋体"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宋体"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宋体"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user">
    <w:name w:val="索引链接 (user)"/>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user1">
    <w:name w:val="标题样式 (user)"/>
    <w:basedOn w:val="Normal"/>
    <w:next w:val="BodyText"/>
    <w:pPr>
      <w:keepNext w:val="true"/>
      <w:spacing w:before="240" w:after="120"/>
    </w:pPr>
    <w:rPr>
      <w:rFonts w:ascii="Liberation Sans" w:hAnsi="Liberation Sans" w:eastAsia="微软雅黑" w:cs="Arial"/>
      <w:sz w:val="28"/>
      <w:szCs w:val="28"/>
    </w:rPr>
  </w:style>
  <w:style w:type="paragraph" w:styleId="user2">
    <w:name w:val="索引 (user)"/>
    <w:basedOn w:val="Normal"/>
    <w:pPr>
      <w:suppressLineNumbers/>
    </w:pPr>
    <w:rPr>
      <w:rFonts w:cs="Arial"/>
    </w:rPr>
  </w:style>
  <w:style w:type="paragraph" w:styleId="user3">
    <w:name w:val="页眉与页脚 (user)"/>
    <w:basedOn w:val="Normal"/>
    <w:pPr/>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宋体"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宋体"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宋体"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宋体"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user1"/>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user2"/>
    <w:pPr>
      <w:keepNext w:val="false"/>
      <w:tabs>
        <w:tab w:val="clear" w:pos="720"/>
        <w:tab w:val="right" w:pos="9858" w:leader="dot"/>
      </w:tabs>
      <w:spacing w:before="0" w:after="0"/>
      <w:ind w:hanging="0" w:start="0"/>
    </w:pPr>
    <w:rPr>
      <w:sz w:val="18"/>
    </w:rPr>
  </w:style>
  <w:style w:type="paragraph" w:styleId="TOC2">
    <w:name w:val="toc 2"/>
    <w:basedOn w:val="user2"/>
    <w:pPr>
      <w:keepNext w:val="false"/>
      <w:tabs>
        <w:tab w:val="clear" w:pos="720"/>
        <w:tab w:val="right" w:pos="9575" w:leader="dot"/>
      </w:tabs>
      <w:spacing w:before="0" w:after="0"/>
      <w:ind w:hanging="0" w:start="283"/>
    </w:pPr>
    <w:rPr>
      <w:sz w:val="18"/>
    </w:rPr>
  </w:style>
  <w:style w:type="paragraph" w:styleId="TOC3">
    <w:name w:val="toc 3"/>
    <w:basedOn w:val="user2"/>
    <w:pPr>
      <w:keepNext w:val="false"/>
      <w:tabs>
        <w:tab w:val="clear" w:pos="720"/>
        <w:tab w:val="right" w:pos="9291" w:leader="dot"/>
      </w:tabs>
      <w:spacing w:before="0" w:after="0"/>
      <w:ind w:hanging="0" w:start="567"/>
    </w:pPr>
    <w:rPr>
      <w:sz w:val="18"/>
    </w:rPr>
  </w:style>
  <w:style w:type="numbering" w:styleId="user4" w:default="1">
    <w:name w:val="无列表 (user)"/>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2026-10-11T20:01:53Z</dcterms:modified>
  <cp:revision>5</cp:revision>
  <dc:subject>研究数据版本 63ca87a2011995a6</dc:subject>
  <dc:title>公司深研 · 第09卷</dc:title>
</cp:coreProperties>
</file>

<file path=docProps/custom.xml><?xml version="1.0" encoding="utf-8"?>
<Properties xmlns="http://schemas.openxmlformats.org/officeDocument/2006/custom-properties" xmlns:vt="http://schemas.openxmlformats.org/officeDocument/2006/docPropsVTypes"/>
</file>