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公司深研 第</w:t>
      </w:r>
      <w:r>
        <w:rPr>
          <w:color w:val="000000"/>
        </w:rPr>
        <w:t>11</w:t>
      </w:r>
      <w:r>
        <w:rPr>
          <w:color w:val="000000"/>
        </w:rPr>
        <w:t>卷</w:t>
      </w:r>
    </w:p>
    <w:p>
      <w:pPr>
        <w:pStyle w:val="Normal"/>
        <w:rPr/>
      </w:pPr>
      <w:r>
        <w:rPr/>
        <w:t>本卷</w:t>
      </w:r>
      <w:r>
        <w:rPr/>
        <w:t>7</w:t>
      </w:r>
      <w:r>
        <w:rPr/>
        <w:t>家公司 按四榜最高名次 同名次一年得分及代码安排</w:t>
      </w:r>
    </w:p>
    <w:p>
      <w:pPr>
        <w:pStyle w:val="Normal"/>
        <w:rPr/>
      </w:pPr>
      <w:r>
        <w:rPr/>
        <w:t>资料截止：</w:t>
      </w:r>
      <w:r>
        <w:rPr/>
        <w:t>2026</w:t>
      </w:r>
      <w:r>
        <w:rPr/>
        <w:t>年</w:t>
      </w:r>
      <w:r>
        <w:rPr/>
        <w:t>10</w:t>
      </w:r>
      <w:r>
        <w:rPr/>
        <w:t>月</w:t>
      </w:r>
      <w:r>
        <w:rPr/>
        <w:t>9</w:t>
      </w:r>
      <w:r>
        <w:rPr/>
        <w:t>日。所有未来价格、盈利、估值、分红和汇率均为研究假设。研究覆盖</w:t>
      </w:r>
      <w:r>
        <w:rPr/>
        <w:t>92</w:t>
      </w:r>
      <w:r>
        <w:rPr/>
        <w:t>家公司、</w:t>
      </w:r>
      <w:r>
        <w:rPr/>
        <w:t>96</w:t>
      </w:r>
      <w:r>
        <w:rPr/>
        <w:t>个股票证券，全部公司正文通过一万有效汉字门槛。</w:t>
      </w:r>
      <w:r>
        <w:rPr/>
        <w:t>91</w:t>
      </w:r>
      <w:r>
        <w:rPr/>
        <w:t>个可评估证券形成四期限排名，</w:t>
      </w:r>
      <w:r>
        <w:rPr/>
        <w:t>5</w:t>
      </w:r>
      <w:r>
        <w:rPr/>
        <w:t xml:space="preserve">个条件研究证券保留独立分析并暂不排名。全部公司深研和股票模型已覆盖，文档按同一数据版本生成。初版结论可随新增证据修订。数据版本 </w:t>
      </w:r>
      <w:r>
        <w:rPr/>
        <w:t>63ca87a2011995a6</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"1-1" \h</w:instrText>
          </w:r>
          <w:r>
            <w:rPr>
              <w:rStyle w:val="Style5"/>
            </w:rPr>
            <w:fldChar w:fldCharType="separate"/>
          </w:r>
          <w:hyperlink w:anchor="__RefHeading___Toc59275_1364803659" w:tooltip="小鹏集团 W 09868 HK">
            <w:r>
              <w:rPr>
                <w:rStyle w:val="Style5"/>
              </w:rPr>
              <w:t xml:space="preserve">小鹏集团 </w:t>
            </w:r>
            <w:r>
              <w:rPr>
                <w:rStyle w:val="Style5"/>
              </w:rPr>
              <w:t>W 09868 HK</w:t>
              <w:tab/>
              <w:t>3</w:t>
            </w:r>
          </w:hyperlink>
        </w:p>
        <w:p>
          <w:pPr>
            <w:pStyle w:val="TOC1"/>
            <w:tabs>
              <w:tab w:val="clear" w:pos="9858"/>
              <w:tab w:val="right" w:pos="9857" w:leader="dot"/>
            </w:tabs>
            <w:rPr/>
          </w:pPr>
          <w:hyperlink w:anchor="__RefHeading___Toc59277_1364803659" w:tooltip="迈威生物 688062 SH">
            <w:r>
              <w:rPr>
                <w:rStyle w:val="Style5"/>
              </w:rPr>
              <w:t xml:space="preserve">迈威生物 </w:t>
            </w:r>
            <w:r>
              <w:rPr>
                <w:rStyle w:val="Style5"/>
              </w:rPr>
              <w:t>688062 SH</w:t>
              <w:tab/>
              <w:t>21</w:t>
            </w:r>
          </w:hyperlink>
        </w:p>
        <w:p>
          <w:pPr>
            <w:pStyle w:val="TOC1"/>
            <w:tabs>
              <w:tab w:val="clear" w:pos="9858"/>
              <w:tab w:val="right" w:pos="9857" w:leader="dot"/>
            </w:tabs>
            <w:rPr/>
          </w:pPr>
          <w:hyperlink w:anchor="__RefHeading___Toc59279_1364803659" w:tooltip="映恩生物 B 09606 HK">
            <w:r>
              <w:rPr>
                <w:rStyle w:val="Style5"/>
              </w:rPr>
              <w:t xml:space="preserve">映恩生物 </w:t>
            </w:r>
            <w:r>
              <w:rPr>
                <w:rStyle w:val="Style5"/>
              </w:rPr>
              <w:t>B 09606 HK</w:t>
              <w:tab/>
              <w:t>43</w:t>
            </w:r>
          </w:hyperlink>
        </w:p>
        <w:p>
          <w:pPr>
            <w:pStyle w:val="TOC1"/>
            <w:tabs>
              <w:tab w:val="clear" w:pos="9858"/>
              <w:tab w:val="right" w:pos="9857" w:leader="dot"/>
            </w:tabs>
            <w:rPr/>
          </w:pPr>
          <w:hyperlink w:anchor="__RefHeading___Toc59281_1364803659" w:tooltip="优必选 09880 HK">
            <w:r>
              <w:rPr>
                <w:rStyle w:val="Style5"/>
              </w:rPr>
              <w:t xml:space="preserve">优必选 </w:t>
            </w:r>
            <w:r>
              <w:rPr>
                <w:rStyle w:val="Style5"/>
              </w:rPr>
              <w:t>09880 HK</w:t>
              <w:tab/>
              <w:t>65</w:t>
            </w:r>
          </w:hyperlink>
        </w:p>
        <w:p>
          <w:pPr>
            <w:pStyle w:val="TOC1"/>
            <w:tabs>
              <w:tab w:val="clear" w:pos="9858"/>
              <w:tab w:val="right" w:pos="9857" w:leader="dot"/>
            </w:tabs>
            <w:rPr/>
          </w:pPr>
          <w:hyperlink w:anchor="__RefHeading___Toc59283_1364803659" w:tooltip="乐普生物 02157 HK">
            <w:r>
              <w:rPr>
                <w:rStyle w:val="Style5"/>
              </w:rPr>
              <w:t xml:space="preserve">乐普生物 </w:t>
            </w:r>
            <w:r>
              <w:rPr>
                <w:rStyle w:val="Style5"/>
              </w:rPr>
              <w:t>02157 HK</w:t>
              <w:tab/>
              <w:t>82</w:t>
            </w:r>
          </w:hyperlink>
        </w:p>
        <w:p>
          <w:pPr>
            <w:pStyle w:val="TOC1"/>
            <w:tabs>
              <w:tab w:val="clear" w:pos="9858"/>
              <w:tab w:val="right" w:pos="9857" w:leader="dot"/>
            </w:tabs>
            <w:rPr/>
          </w:pPr>
          <w:hyperlink w:anchor="__RefHeading___Toc59285_1364803659" w:tooltip="蔚来 SW 09866 HK">
            <w:r>
              <w:rPr>
                <w:rStyle w:val="Style5"/>
              </w:rPr>
              <w:t xml:space="preserve">蔚来 </w:t>
            </w:r>
            <w:r>
              <w:rPr>
                <w:rStyle w:val="Style5"/>
              </w:rPr>
              <w:t>SW 09866 HK</w:t>
              <w:tab/>
              <w:t>104</w:t>
            </w:r>
          </w:hyperlink>
        </w:p>
        <w:p>
          <w:pPr>
            <w:pStyle w:val="TOC1"/>
            <w:tabs>
              <w:tab w:val="clear" w:pos="9858"/>
              <w:tab w:val="right" w:pos="9857" w:leader="dot"/>
            </w:tabs>
            <w:rPr/>
          </w:pPr>
          <w:hyperlink w:anchor="__RefHeading___Toc59287_1364803659" w:tooltip="晶泰控股 02228 HK">
            <w:r>
              <w:rPr>
                <w:rStyle w:val="Style5"/>
              </w:rPr>
              <w:t xml:space="preserve">晶泰控股 </w:t>
            </w:r>
            <w:r>
              <w:rPr>
                <w:rStyle w:val="Style5"/>
              </w:rPr>
              <w:t>02228 HK</w:t>
              <w:tab/>
              <w:t>120</w:t>
            </w:r>
          </w:hyperlink>
          <w:r>
            <w:rPr>
              <w:rStyle w:val="Style5"/>
            </w:rPr>
            <w:fldChar w:fldCharType="end"/>
          </w:r>
        </w:p>
      </w:sdtContent>
    </w:sdt>
    <w:p>
      <w:pPr>
        <w:pStyle w:val="Normal"/>
        <w:rPr/>
      </w:pPr>
      <w:r>
        <w:rPr/>
      </w:r>
      <w:r>
        <w:br w:type="page"/>
      </w:r>
    </w:p>
    <w:p>
      <w:pPr>
        <w:pStyle w:val="Heading1"/>
        <w:spacing w:before="0" w:after="0"/>
        <w:rPr/>
      </w:pPr>
      <w:bookmarkStart w:id="0" w:name="__RefHeading___Toc59275_1364803659"/>
      <w:bookmarkEnd w:id="0"/>
      <w:r>
        <w:rPr>
          <w:color w:val="000000"/>
        </w:rPr>
        <w:t xml:space="preserve">小鹏集团 </w:t>
      </w:r>
      <w:r>
        <w:rPr>
          <w:color w:val="000000"/>
        </w:rPr>
        <w:t>W 09868 HK</w:t>
      </w:r>
    </w:p>
    <w:p>
      <w:pPr>
        <w:pStyle w:val="Normal"/>
        <w:rPr/>
      </w:pPr>
      <w:r>
        <w:rPr/>
        <w:t xml:space="preserve">09868.HK </w:t>
      </w:r>
      <w:r>
        <w:rPr/>
        <w:t xml:space="preserve">现价 </w:t>
      </w:r>
      <w:r>
        <w:rPr/>
        <w:t>38.34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49.24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+28.43%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+28.43%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58.75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+53.23%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+53.23%</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82.45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+115.05%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+115.05%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93.14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+142.93%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+145.54%</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-83.15%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41.15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85.25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+122.35%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43.50HKD</w:t>
      </w:r>
      <w:r>
        <w:rPr/>
        <w:t>，期望股价回报</w:t>
      </w:r>
      <w:r>
        <w:rPr/>
        <w:t>+13.47%</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49.24</w:t>
              <w:br/>
              <w:t>+28.43%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113.86</w:t>
              <w:br/>
              <w:t>+196.97%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58.75</w:t>
              <w:br/>
              <w:t>+53.23%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146.95</w:t>
              <w:br/>
              <w:t>+283.28%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82.45</w:t>
              <w:br/>
              <w:t>+115.05%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226.46</w:t>
              <w:br/>
              <w:t>+490.66%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+29.08%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93.14</w:t>
              <w:br/>
              <w:t>+142.93%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308.74</w:t>
              <w:br/>
              <w:t>+705.27%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+19.68%</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+22.01%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+28.43%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+34.85%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+45.57%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+53.23%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+60.90%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+104.30%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+115.05%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+125.80%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+133.26%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+145.54%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+157.82%</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研究发行人</w:t>
      </w:r>
      <w:r>
        <w:rPr/>
        <w:t>I085</w:t>
      </w:r>
      <w:r>
        <w:rPr/>
        <w:t>，证券</w:t>
      </w:r>
      <w:r>
        <w:rPr/>
        <w:t>S096</w:t>
      </w:r>
      <w:r>
        <w:rPr/>
        <w:t>，</w:t>
      </w:r>
      <w:r>
        <w:rPr/>
        <w:t>09868.HK</w:t>
      </w:r>
      <w:r>
        <w:rPr/>
        <w:t>。行情锚</w:t>
      </w:r>
      <w:r>
        <w:rPr/>
        <w:t>2026</w:t>
      </w:r>
      <w:r>
        <w:rPr/>
        <w:t>年</w:t>
      </w:r>
      <w:r>
        <w:rPr/>
        <w:t>10</w:t>
      </w:r>
      <w:r>
        <w:rPr/>
        <w:t>月</w:t>
      </w:r>
      <w:r>
        <w:rPr/>
        <w:t>9</w:t>
      </w:r>
      <w:r>
        <w:rPr/>
        <w:t>日收盘</w:t>
      </w:r>
      <w:r>
        <w:rPr/>
        <w:t>38.34</w:t>
      </w:r>
      <w:r>
        <w:rPr/>
        <w:t>港元，资料截止同日。所有目标为研究情景，模型版本</w:t>
      </w:r>
      <w:r>
        <w:rPr/>
        <w:t>xpeng-core-fullcost-EVsales-robot-preference-recourse-v1.0</w:t>
      </w:r>
      <w:r>
        <w:rPr/>
        <w:t>，原件中报采用美国会计准则。机器人交割收款没有截至日逐笔完成证明，不把拟融资当既有现金。</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基准累计股息</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r>
              <w:rPr>
                <w:rFonts w:eastAsia="微软雅黑" w:ascii="微软雅黑" w:hAnsi="微软雅黑"/>
                <w:sz w:val="17"/>
              </w:rPr>
              <w:t>2026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专项</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41.15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85.25</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49.24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113.86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28.43%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58.75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146.95</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53.23%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82.45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226.46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115.05%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93.14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308.74</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142.93%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w:t>
            </w:r>
          </w:p>
        </w:tc>
      </w:tr>
    </w:tbl>
    <w:p>
      <w:pPr>
        <w:pStyle w:val="Normal"/>
        <w:rPr/>
      </w:pPr>
      <w:r>
        <w:rPr/>
      </w:r>
    </w:p>
    <w:p>
      <w:pPr>
        <w:pStyle w:val="Normal"/>
        <w:rPr/>
      </w:pPr>
      <w:r>
        <w:rPr/>
        <w:t>一年名义目标为</w:t>
      </w:r>
      <w:r>
        <w:rPr/>
        <w:t>2027-10-09</w:t>
      </w:r>
      <w:r>
        <w:rPr/>
        <w:t>，香港</w:t>
      </w:r>
      <w:r>
        <w:rPr/>
        <w:t>10/8</w:t>
      </w:r>
      <w:r>
        <w:rPr/>
        <w:t>重阳节及周末，实际向前取</w:t>
      </w:r>
      <w:r>
        <w:rPr/>
        <w:t>10/7</w:t>
      </w:r>
      <w:r>
        <w:rPr/>
        <w:t>。远期日历待交易所公布核验。梯队最终由总榜比较，小鹏属于需验证的进取观察公司，半年量价评分较低。压力模型零普通股价表示负债、资金消耗和融资约束下剩余权益可以耗尽，不能理解成精确破产预告、价格必触零或波动损失边界。</w:t>
      </w:r>
    </w:p>
    <w:p>
      <w:pPr>
        <w:pStyle w:val="Normal"/>
        <w:rPr/>
      </w:pPr>
      <w:r>
        <w:rPr/>
        <w:t>年底</w:t>
      </w:r>
      <w:r>
        <w:rPr/>
        <w:t>25%/50%/25%</w:t>
      </w:r>
      <w:r>
        <w:rPr/>
        <w:t>加权</w:t>
      </w:r>
      <w:r>
        <w:rPr/>
        <w:t>43.5025</w:t>
      </w:r>
      <w:r>
        <w:rPr/>
        <w:t>港元，回报</w:t>
      </w:r>
      <w:r>
        <w:rPr/>
        <w:t>13.465%</w:t>
      </w:r>
      <w:r>
        <w:rPr/>
        <w:t>。防御</w:t>
      </w:r>
      <w:r>
        <w:rPr/>
        <w:t>40%/50%/10%</w:t>
      </w:r>
      <w:r>
        <w:rPr/>
        <w:t>为</w:t>
      </w:r>
      <w:r>
        <w:rPr/>
        <w:t>31.684</w:t>
      </w:r>
      <w:r>
        <w:rPr/>
        <w:t>港元，−</w:t>
      </w:r>
      <w:r>
        <w:rPr/>
        <w:t>17.36%</w:t>
      </w:r>
      <w:r>
        <w:rPr/>
        <w:t>；积极</w:t>
      </w:r>
      <w:r>
        <w:rPr/>
        <w:t>10%/50%/40%</w:t>
      </w:r>
      <w:r>
        <w:rPr/>
        <w:t>为</w:t>
      </w:r>
      <w:r>
        <w:rPr/>
        <w:t>55.321</w:t>
      </w:r>
      <w:r>
        <w:rPr/>
        <w:t>港元，</w:t>
      </w:r>
      <w:r>
        <w:rPr/>
        <w:t>44.29%</w:t>
      </w:r>
      <w:r>
        <w:rPr/>
        <w:t>。概率为判断权重。主要风险是汽车价格竞争、技术里程碑收入不续、营运资本与租债消耗、机器人优先及母公司追索、持续奖股和关联交易。成立条件是交付增长同时提高净售价或成本效率、服务真实续单、现金消耗收敛，并有机器人融资和商业化证据。</w:t>
      </w:r>
    </w:p>
    <w:p>
      <w:pPr>
        <w:pStyle w:val="Heading2"/>
        <w:rPr/>
      </w:pPr>
      <w:r>
        <w:rPr>
          <w:color w:val="000000"/>
        </w:rPr>
        <w:t>一 先判断普通股的现金归属 再判断技术成长</w:t>
      </w:r>
    </w:p>
    <w:p>
      <w:pPr>
        <w:pStyle w:val="Normal"/>
        <w:rPr/>
      </w:pPr>
      <w:r>
        <w:rPr/>
        <w:t>小鹏的研究难点在于市场把几种价值放在同一个股价里。汽车销售可以观察交付、车型结构和毛利，技术合作可以观察履约与收入确认，机器人则涉及尚在发展的产品、独立融资及不同股东权利。普通股投资者最终得到的是这些业务支付成本、满足优先要求、留足资金之后的剩余价值。仅看到人工智能投入、融资估值和月交付增加，尚不能决定今天的股价便宜。这里从可以复核的财报开始，按经营收入、完整费用、现金储备和证券股数连接三种情景，再用行情检验半年市场是否已开始承认改善。</w:t>
      </w:r>
    </w:p>
    <w:p>
      <w:pPr>
        <w:pStyle w:val="Normal"/>
        <w:rPr/>
      </w:pPr>
      <w:r>
        <w:rPr/>
        <w:t>截至基准日，股票经历了明显的价值压缩。</w:t>
      </w:r>
      <w:r>
        <w:rPr/>
        <w:t>38.34</w:t>
      </w:r>
      <w:r>
        <w:rPr/>
        <w:t>港元比一年阶段高点低约六成五，确实容易产生均值回归想象。但是高点形成时市场使用的经营假设和风险偏好未必能够复现。现在的上半年收入下降、研发增加和经营现金外流，给低股价提供了现实原因。评估反弹时，应把价格下跌带来的估值缓冲与商业模式仍待证明的部分分开。三年与五年的得分较半年高，来自技术平台和新能源长期需求的可能收益，不意味着短期下跌风险低，也不意味着可以忽略资金耗尽的路径。</w:t>
      </w:r>
    </w:p>
    <w:p>
      <w:pPr>
        <w:pStyle w:val="Normal"/>
        <w:rPr/>
      </w:pPr>
      <w:r>
        <w:rPr/>
        <w:t>本章主估值采用汽车及技术服务的经营销售倍数，加受约束现金和机器人普通股归属价值。销售倍数方法适用于利润尚未稳定的阶段，但必须保留利润桥。若销售增长依靠低价且研发与渠道费用不断扩大，收入本身不会自动创造股东价值。模型显示一年基准归母正常利润仍为负，因此不能用一个看似较低的销售倍数掩盖盈利要求。未来转入稳定盈利后，应以经营现金流、正常利润及合理市盈率复核，而不能永远用技术公司标签提高倍数。</w:t>
      </w:r>
    </w:p>
    <w:p>
      <w:pPr>
        <w:pStyle w:val="Normal"/>
        <w:rPr/>
      </w:pPr>
      <w:r>
        <w:rPr/>
        <w:t>机器人估值独立，是因为资金和股权权利已经有公开交易条款。汽车现金向机器人注资时先扣母公司可用资金，同一笔钱进入机器人现金，随后计算外部优先投资者可能取得的价值。这样可以看到资金真正在哪一层，而不是同时把母现金和子现金都加一次。机器人未来经营投入也完整扣除，现金为负时按母公司继续支持的情景扣母现金。对普通股而言，外部融资虽然减少短期出资负担，也会减少未来收益归属并引入赎回追索，需同时考虑。</w:t>
      </w:r>
    </w:p>
    <w:p>
      <w:pPr>
        <w:pStyle w:val="Heading2"/>
        <w:rPr/>
      </w:pPr>
      <w:r>
        <w:rPr>
          <w:color w:val="000000"/>
        </w:rPr>
        <w:t>二 汽车业务的收入和产品价值</w:t>
      </w:r>
    </w:p>
    <w:p>
      <w:pPr>
        <w:pStyle w:val="Normal"/>
        <w:rPr/>
      </w:pPr>
      <w:r>
        <w:rPr/>
        <w:t>2025</w:t>
      </w:r>
      <w:r>
        <w:rPr/>
        <w:t>年全年汽车收入</w:t>
      </w:r>
      <w:r>
        <w:rPr/>
        <w:t>683.78920</w:t>
      </w:r>
      <w:r>
        <w:rPr/>
        <w:t>亿元，服务及其他</w:t>
      </w:r>
      <w:r>
        <w:rPr/>
        <w:t>83.40822</w:t>
      </w:r>
      <w:r>
        <w:rPr/>
        <w:t>亿元，总收入</w:t>
      </w:r>
      <w:r>
        <w:rPr/>
        <w:t>767.19742</w:t>
      </w:r>
      <w:r>
        <w:rPr/>
        <w:t>亿元。</w:t>
      </w:r>
      <w:r>
        <w:rPr/>
        <w:t>2026</w:t>
      </w:r>
      <w:r>
        <w:rPr/>
        <w:t>年上半年汽车收入</w:t>
      </w:r>
      <w:r>
        <w:rPr/>
        <w:t>280.45797</w:t>
      </w:r>
      <w:r>
        <w:rPr/>
        <w:t>亿元，服务及其他</w:t>
      </w:r>
      <w:r>
        <w:rPr/>
        <w:t>47.31577</w:t>
      </w:r>
      <w:r>
        <w:rPr/>
        <w:t>亿元，总收入</w:t>
      </w:r>
      <w:r>
        <w:rPr/>
        <w:t>327.77374</w:t>
      </w:r>
      <w:r>
        <w:rPr/>
        <w:t>亿元。总收入同比下降约百分之三点八，汽车收入下降约百分之十点三。服务的增长抵消了一部分汽车下降，使综合收入比单纯销量看起来稳定。证券投资应进一步问服务增长能否持续，以及汽车收入下降是车型切换、价格结构还是需求压力。如果后续只是服务追补确认继续支撑报表，而汽车每辆现金贡献没有改善，经营质量仍然有限。</w:t>
      </w:r>
    </w:p>
    <w:p>
      <w:pPr>
        <w:pStyle w:val="Normal"/>
        <w:rPr/>
      </w:pPr>
      <w:r>
        <w:rPr/>
        <w:t>上半年交付</w:t>
      </w:r>
      <w:r>
        <w:rPr/>
        <w:t>165977</w:t>
      </w:r>
      <w:r>
        <w:rPr/>
        <w:t>辆，同比下降约百分之十五点八。把汽车收入除交付数，可得财务口径每辆约</w:t>
      </w:r>
      <w:r>
        <w:rPr/>
        <w:t>16.90</w:t>
      </w:r>
      <w:r>
        <w:rPr/>
        <w:t>万元。该数是收入和实物交付的总体比率，受增值税、产品及服务分配、地区、交付与确认时点影响，不能当某一车型官方指导价或成交价。同比收入降幅小于交付降幅，说明总体结构或净实现收入存在改善，但还应以毛利验证。车型产品定位提升如果同时带来电池、芯片、供应保障和营销成本增加，收入结构的好转未必提高利润。</w:t>
      </w:r>
    </w:p>
    <w:p>
      <w:pPr>
        <w:pStyle w:val="Normal"/>
        <w:rPr/>
      </w:pPr>
      <w:r>
        <w:rPr/>
        <w:t>小鹏的产品竞争力不仅是续航和外观，也包括电子电气架构、驾驶辅助、软件更新、补能便利及整车价格。用户可能愿意为综合体验付费，但也会比较比亚迪、理想、蔚来及其他自主品牌。驾驶辅助功能越来越广泛后，基础功能可能成为购买门槛，原来可收溢价的功能会被竞争削弱。长期优势需要转化为更低的开发复用成本、更高的实际使用率、更低的售后风险，或者汽车平台对外授权收入。单看演示视频和算力规格，无法确认这些经营结果。</w:t>
      </w:r>
    </w:p>
    <w:p>
      <w:pPr>
        <w:pStyle w:val="Normal"/>
        <w:rPr/>
      </w:pPr>
      <w:r>
        <w:rPr/>
        <w:t>截至公开九月交付公告，小鹏当月交付</w:t>
      </w:r>
      <w:r>
        <w:rPr/>
        <w:t>41256</w:t>
      </w:r>
      <w:r>
        <w:rPr/>
        <w:t>辆，第三季</w:t>
      </w:r>
      <w:r>
        <w:rPr/>
        <w:t>118390</w:t>
      </w:r>
      <w:r>
        <w:rPr/>
        <w:t>辆，较前季增加约百分之十五。</w:t>
      </w:r>
      <w:r>
        <w:rPr/>
        <w:t>L03</w:t>
      </w:r>
      <w:r>
        <w:rPr/>
        <w:t>月交付超过一万辆，</w:t>
      </w:r>
      <w:r>
        <w:rPr/>
        <w:t>G9L</w:t>
      </w:r>
      <w:r>
        <w:rPr/>
        <w:t>于</w:t>
      </w:r>
      <w:r>
        <w:rPr/>
        <w:t>9</w:t>
      </w:r>
      <w:r>
        <w:rPr/>
        <w:t>月</w:t>
      </w:r>
      <w:r>
        <w:rPr/>
        <w:t>17</w:t>
      </w:r>
      <w:r>
        <w:rPr/>
        <w:t>日在中国上市，全球发布计划在十月巴黎进行。公告采用的名称是当前研究依据，不用历史记忆把产品改名。第三季交付处于此前</w:t>
      </w:r>
      <w:r>
        <w:rPr/>
        <w:t>115000</w:t>
      </w:r>
      <w:r>
        <w:rPr/>
        <w:t>至</w:t>
      </w:r>
      <w:r>
        <w:rPr/>
        <w:t>121000</w:t>
      </w:r>
      <w:r>
        <w:rPr/>
        <w:t>辆指引之内，说明实物规模兑现了公司预期。实际第三季收入、汽车毛利和现金流尚未披露，不能据月销量直接写成盈利拐点，更不能在截止日前使用后来季度财报。</w:t>
      </w:r>
    </w:p>
    <w:p>
      <w:pPr>
        <w:pStyle w:val="Normal"/>
        <w:rPr/>
      </w:pPr>
      <w:r>
        <w:rPr/>
        <w:t>新车型的投资逻辑应分三步检验。第一步是订单和交付是否达到具有规模意义的水平，第二步是订单结构能否保住净实现价格，第三步是交付后保修、质量和用户反馈是否支持复购。发布时订金、意向订单和正式交付属于不同证据，退订和交付等待会影响现金转化。模型一年基准使用</w:t>
      </w:r>
      <w:r>
        <w:rPr/>
        <w:t>62</w:t>
      </w:r>
      <w:r>
        <w:rPr/>
        <w:t>万辆和</w:t>
      </w:r>
      <w:r>
        <w:rPr/>
        <w:t>17.6</w:t>
      </w:r>
      <w:r>
        <w:rPr/>
        <w:t>万元汽车净收入均价，是未来正常年率假设，不是公司承诺。这个组合较当前上半年规模更高，需要多车型持续贡献，不能只靠一个发布月份外推。</w:t>
      </w:r>
    </w:p>
    <w:p>
      <w:pPr>
        <w:pStyle w:val="Normal"/>
        <w:rPr/>
      </w:pPr>
      <w:r>
        <w:rPr/>
        <w:t>多车型平台有机会降低研发摊销，但也存在组织复杂度。不同定位、动力配置和海外版本需要供应、认证、质量及渠道配合。若新车频繁替代旧车，会出现库存折价、购买承诺损失和消费者等待降价。财报上半年库存写减</w:t>
      </w:r>
      <w:r>
        <w:rPr/>
        <w:t>2.78305</w:t>
      </w:r>
      <w:r>
        <w:rPr/>
        <w:t>亿元，说明库存估值需要真实损失准备。优质成长不是不停增加车型数量，而是把研发平台转化成可重复、有利润的产品系列，同时避免不断重置价格锚。本章不把新车型数量本身计入多个评分维度。</w:t>
      </w:r>
    </w:p>
    <w:p>
      <w:pPr>
        <w:pStyle w:val="Heading2"/>
        <w:rPr/>
      </w:pPr>
      <w:r>
        <w:rPr>
          <w:color w:val="000000"/>
        </w:rPr>
        <w:t>三 技术服务收入必须分析确认时点和现金</w:t>
      </w:r>
    </w:p>
    <w:p>
      <w:pPr>
        <w:pStyle w:val="Normal"/>
        <w:rPr/>
      </w:pPr>
      <w:r>
        <w:rPr/>
        <w:t>服务及其他并非单一软件订阅。中报会计政策包括合同嵌入服务、充电、维修、技术支持、技术研发和二手车服务，也包含融资安排的时间价值收入。与汽车制造商的合作涉及自有平台、许可、研发整合和生产后的销售提成。不同收入的毛利、持续性、应收风险和资本需求差别很大，合计服务收入不能全部乘软件行业倍数。技术合作的确证明研发可以产生外部客户价值，但模型仍须扣支持合作的研发成本，避免把相关成本当战略投入全部豁免。</w:t>
      </w:r>
    </w:p>
    <w:p>
      <w:pPr>
        <w:pStyle w:val="Normal"/>
        <w:rPr/>
      </w:pPr>
      <w:r>
        <w:rPr/>
        <w:t>生产开始以前，许可和技术研发可能组成单一履约义务，因为客户不能单独从许可获益。对于无替代用途且有已履约收款权的资产，收入按投入进度确认。生产之后，销售相关特许权使用收入在合作车厂后续销售发生时确认。这两个阶段意味着收入的规模和时点会不同。开发进度高峰可能让当期收入增长快于现金，量产后的收入则受合作方销量影响。投资者应追踪合同资产、分期应收、里程碑限制解除和合作车厂产品实际销售，而不能把一次开发合同视为永续年费。</w:t>
      </w:r>
    </w:p>
    <w:p>
      <w:pPr>
        <w:pStyle w:val="Normal"/>
        <w:rPr/>
      </w:pPr>
      <w:r>
        <w:rPr/>
        <w:t>上半年确认了</w:t>
      </w:r>
      <w:r>
        <w:rPr/>
        <w:t>6.80183</w:t>
      </w:r>
      <w:r>
        <w:rPr/>
        <w:t>亿元属于以前期间已满足履约义务的收入，原因是可变对价估计变化及新的里程碑证据。该金额占上半年服务收入约一成四，对当期毛利有实质影响。它不是虚假收入，也不是必须全额剔除的会计错误，但不能不加说明地乘二作为下一年度经常收入。原件说明未来未满足解除条件的部分仍排除在交易价格之外，并需每个报告期重新评估。模型未来服务收入来自研究假设，已不机械年率化本期追补金额。</w:t>
      </w:r>
    </w:p>
    <w:p>
      <w:pPr>
        <w:pStyle w:val="Normal"/>
        <w:rPr/>
      </w:pPr>
      <w:r>
        <w:rPr/>
        <w:t>服务毛利在第二季达到百分之七十五点一，第一季为百分之六十六点五，而汽车两季均约百分之十二点一。上半年服务成本</w:t>
      </w:r>
      <w:r>
        <w:rPr/>
        <w:t>13.54258</w:t>
      </w:r>
      <w:r>
        <w:rPr/>
        <w:t>亿元，对应服务毛利约百分之七十一点四。服务业务高毛利确实有助于公司承受研发，但差距很大也提醒收入结构的重要性。综合毛利率改善可能主要来自技术收入占比和里程碑释放。如果汽车毛利长期停留低位，服务需要持续扩张才能支持整车研发和渠道体系。不能用综合毛利超过两成，推断每辆车盈利已达两成。</w:t>
      </w:r>
    </w:p>
    <w:p>
      <w:pPr>
        <w:pStyle w:val="Normal"/>
        <w:rPr/>
      </w:pPr>
      <w:r>
        <w:rPr/>
        <w:t>本章服务毛利基准使用百分之六十三至六十五附近，远期略降低，保留后续服务组合变化和研发交付要求。乐观使用较高毛利时，同时增加研发和销售行政费用，避免收入翻倍、成本不变的过度乐观。悲观服务收入缓慢增长且毛利下降，表示合作方量产不达预期、技术竞争或服务成本上升。对于合作集中度，公开分部资料不足以精确计算每个客户的收入和利润，报告明确缺失，不能假造合同金额或保证续约。真正的反证是技术收入增长但应收持续拖长，或客户改用自身平台。</w:t>
      </w:r>
    </w:p>
    <w:p>
      <w:pPr>
        <w:pStyle w:val="Normal"/>
        <w:rPr/>
      </w:pPr>
      <w:r>
        <w:rPr/>
        <w:t>技术合作也具有战略成本。外部车厂可能要求独占、适配、知识产权保障和长期维护，过度定制会降低平台复用率。如果研发资源从自有车转移给合作方，而对方量产延期，短期确认收入不能弥补自有产品落后。反过来，如果标准化平台允许较少边际投入服务多个客户，小鹏可以建立汽车制造以外的利润来源。三年评分对商业质量较高，正是因为这种扩展可能性，但目前尚不足以确认稳定平台费。模型将它作为待验证增长来源，并设定未来竞争和合同兑现失败的压力路径。</w:t>
      </w:r>
    </w:p>
    <w:p>
      <w:pPr>
        <w:pStyle w:val="Heading2"/>
        <w:rPr/>
      </w:pPr>
      <w:r>
        <w:rPr>
          <w:color w:val="000000"/>
        </w:rPr>
        <w:t>四 完整利润桥揭示当前缺口</w:t>
      </w:r>
    </w:p>
    <w:p>
      <w:pPr>
        <w:pStyle w:val="Normal"/>
        <w:rPr/>
      </w:pPr>
      <w:r>
        <w:rPr/>
        <w:t>2025</w:t>
      </w:r>
      <w:r>
        <w:rPr/>
        <w:t>年毛利</w:t>
      </w:r>
      <w:r>
        <w:rPr/>
        <w:t>144.72919</w:t>
      </w:r>
      <w:r>
        <w:rPr/>
        <w:t>亿元，研发</w:t>
      </w:r>
      <w:r>
        <w:rPr/>
        <w:t>94.89979</w:t>
      </w:r>
      <w:r>
        <w:rPr/>
        <w:t>亿元，销售行政</w:t>
      </w:r>
      <w:r>
        <w:rPr/>
        <w:t>93.98456</w:t>
      </w:r>
      <w:r>
        <w:rPr/>
        <w:t>亿元，其他经营收入</w:t>
      </w:r>
      <w:r>
        <w:rPr/>
        <w:t>17.61419</w:t>
      </w:r>
      <w:r>
        <w:rPr/>
        <w:t>亿元，或有对价衍生公允价值损失</w:t>
      </w:r>
      <w:r>
        <w:rPr/>
        <w:t>1.17305</w:t>
      </w:r>
      <w:r>
        <w:rPr/>
        <w:t>亿元，最终经营亏损</w:t>
      </w:r>
      <w:r>
        <w:rPr/>
        <w:t>27.71402</w:t>
      </w:r>
      <w:r>
        <w:rPr/>
        <w:t>亿元。账面净亏损仅</w:t>
      </w:r>
      <w:r>
        <w:rPr/>
        <w:t>11.39460</w:t>
      </w:r>
      <w:r>
        <w:rPr/>
        <w:t>亿元，明显小于经营亏损，原因包括利息、投资和汇兑等经营外项目。接近盈亏平衡的净利润叙述需要指出这个桥。尤其第四季曾出现经调整净盈利，仍不代表全年整车及技术业务已经摆脱完整成本负担。本章不把一个有利季度的利息和补贴支撑当长期经营利润。</w:t>
      </w:r>
    </w:p>
    <w:p>
      <w:pPr>
        <w:pStyle w:val="Normal"/>
        <w:rPr/>
      </w:pPr>
      <w:r>
        <w:rPr/>
        <w:t>2026</w:t>
      </w:r>
      <w:r>
        <w:rPr/>
        <w:t>年上半年毛利</w:t>
      </w:r>
      <w:r>
        <w:rPr/>
        <w:t>67.66075</w:t>
      </w:r>
      <w:r>
        <w:rPr/>
        <w:t>亿元，研发</w:t>
      </w:r>
      <w:r>
        <w:rPr/>
        <w:t>58.21431</w:t>
      </w:r>
      <w:r>
        <w:rPr/>
        <w:t>亿元，销售行政</w:t>
      </w:r>
      <w:r>
        <w:rPr/>
        <w:t>43.79922</w:t>
      </w:r>
      <w:r>
        <w:rPr/>
        <w:t>亿元，其他经营收入</w:t>
      </w:r>
      <w:r>
        <w:rPr/>
        <w:t>3.19499</w:t>
      </w:r>
      <w:r>
        <w:rPr/>
        <w:t>亿元，加或有对价公允价值收益</w:t>
      </w:r>
      <w:r>
        <w:rPr/>
        <w:t>0.98775</w:t>
      </w:r>
      <w:r>
        <w:rPr/>
        <w:t>亿元，经营亏损</w:t>
      </w:r>
      <w:r>
        <w:rPr/>
        <w:t>30.17004</w:t>
      </w:r>
      <w:r>
        <w:rPr/>
        <w:t>亿元。若只排这两项经营中非核心收益，不再做研发和股酬优惠，毛利减研发与销售行政缺口约</w:t>
      </w:r>
      <w:r>
        <w:rPr/>
        <w:t>34.35278</w:t>
      </w:r>
      <w:r>
        <w:rPr/>
        <w:t>亿元。这个数说明目前最重要的是业务毛利能否覆盖固定和变动费用。经营亏损仍扩大，与综合毛利改善同时发生，两者并不矛盾，因为研发增长快，服务增量尚未足够覆盖投入。</w:t>
      </w:r>
    </w:p>
    <w:p>
      <w:pPr>
        <w:pStyle w:val="Normal"/>
        <w:rPr/>
      </w:pPr>
      <w:r>
        <w:rPr/>
        <w:t>上半年利息收入</w:t>
      </w:r>
      <w:r>
        <w:rPr/>
        <w:t>4.73912</w:t>
      </w:r>
      <w:r>
        <w:rPr/>
        <w:t>亿元，利息费用</w:t>
      </w:r>
      <w:r>
        <w:rPr/>
        <w:t>2.89467</w:t>
      </w:r>
      <w:r>
        <w:rPr/>
        <w:t>亿元，其他衍生公允价值收益</w:t>
      </w:r>
      <w:r>
        <w:rPr/>
        <w:t>0.36868</w:t>
      </w:r>
      <w:r>
        <w:rPr/>
        <w:t>亿元，投资收益</w:t>
      </w:r>
      <w:r>
        <w:rPr/>
        <w:t>0.28740</w:t>
      </w:r>
      <w:r>
        <w:rPr/>
        <w:t>亿元，外汇损失</w:t>
      </w:r>
      <w:r>
        <w:rPr/>
        <w:t>2.74023</w:t>
      </w:r>
      <w:r>
        <w:rPr/>
        <w:t>亿元，其他经营外收入</w:t>
      </w:r>
      <w:r>
        <w:rPr/>
        <w:t>0.11442</w:t>
      </w:r>
      <w:r>
        <w:rPr/>
        <w:t>亿元。税前亏损</w:t>
      </w:r>
      <w:r>
        <w:rPr/>
        <w:t>30.29532</w:t>
      </w:r>
      <w:r>
        <w:rPr/>
        <w:t>亿元，税费</w:t>
      </w:r>
      <w:r>
        <w:rPr/>
        <w:t>0.83532</w:t>
      </w:r>
      <w:r>
        <w:rPr/>
        <w:t>亿元，权益法亏损</w:t>
      </w:r>
      <w:r>
        <w:rPr/>
        <w:t>0.08100</w:t>
      </w:r>
      <w:r>
        <w:rPr/>
        <w:t>亿元，净亏损</w:t>
      </w:r>
      <w:r>
        <w:rPr/>
        <w:t>31.21164</w:t>
      </w:r>
      <w:r>
        <w:rPr/>
        <w:t>亿元。该财报没有把亏损归属拆成可任意扣除的机器人少数损益，历史机器人当时全资，不能用未来少数持股倒推历史利润。模型未来按研究设定的母持股率分配机器人亏损，历史仍保留集团全额。</w:t>
      </w:r>
    </w:p>
    <w:p>
      <w:pPr>
        <w:pStyle w:val="Normal"/>
        <w:rPr/>
      </w:pPr>
      <w:r>
        <w:rPr/>
        <w:t>经调整净亏损</w:t>
      </w:r>
      <w:r>
        <w:rPr/>
        <w:t>29.22987</w:t>
      </w:r>
      <w:r>
        <w:rPr/>
        <w:t>亿元，是净亏损加回</w:t>
      </w:r>
      <w:r>
        <w:rPr/>
        <w:t>2.96952</w:t>
      </w:r>
      <w:r>
        <w:rPr/>
        <w:t>亿元股酬，再扣除</w:t>
      </w:r>
      <w:r>
        <w:rPr/>
        <w:t>0.98775</w:t>
      </w:r>
      <w:r>
        <w:rPr/>
        <w:t>亿元或有对价公允价值收益。两者相差不到足以改变当前经营阶段的程度。股份支付是吸引研发、管理和销售人才的真实经济成本，长期估值完整保留；现金桥仅按经济利润构建，不把股酬全额再次加回并同时忽略稀释。机器人和整车持续摊销也保留。非现金不等于免费，资产消耗与股权让渡在远期都需要资本或股数补充，尤其研发竞争较强的公司。</w:t>
      </w:r>
    </w:p>
    <w:p>
      <w:pPr>
        <w:pStyle w:val="Normal"/>
        <w:rPr/>
      </w:pPr>
      <w:r>
        <w:rPr/>
        <w:t>研发上半年同比增长约百分之三十九，第二季研发</w:t>
      </w:r>
      <w:r>
        <w:rPr/>
        <w:t>29.14440</w:t>
      </w:r>
      <w:r>
        <w:rPr/>
        <w:t>亿元与第一季接近。销售行政第二季增加较多，原件归因包括特许门店佣金和新车推出相关营销。渠道采用不同经营方式会影响费用归类，门店数量不能直接换算销售效率。模型核心研发与机器人研发分开是未来分析结构，历史没有精确分部披露便不冒充来源值。基准一年完整核心研发</w:t>
      </w:r>
      <w:r>
        <w:rPr/>
        <w:t>132</w:t>
      </w:r>
      <w:r>
        <w:rPr/>
        <w:t>亿元、销售行政</w:t>
      </w:r>
      <w:r>
        <w:rPr/>
        <w:t>128</w:t>
      </w:r>
      <w:r>
        <w:rPr/>
        <w:t>亿元，另有机器人研发</w:t>
      </w:r>
      <w:r>
        <w:rPr/>
        <w:t>34</w:t>
      </w:r>
      <w:r>
        <w:rPr/>
        <w:t>亿元和销售行政</w:t>
      </w:r>
      <w:r>
        <w:rPr/>
        <w:t>5</w:t>
      </w:r>
      <w:r>
        <w:rPr/>
        <w:t>亿元，显示商业化前仍需高投入。</w:t>
      </w:r>
    </w:p>
    <w:p>
      <w:pPr>
        <w:pStyle w:val="Normal"/>
        <w:rPr/>
      </w:pPr>
      <w:r>
        <w:rPr/>
        <w:t>合理的利润改善需要至少两个力量同时存在。汽车贡献毛利增长必须快于研发与渠道费用，服务收入也需保持质量。如果只是压缩研发短期扭亏，技术差距可能几年后放大。如果只是扩大交付却以价格牺牲毛利，现金需求会进一步扩大。模型基准三年汽车及技术税后经营利润约</w:t>
      </w:r>
      <w:r>
        <w:rPr/>
        <w:t>32.88</w:t>
      </w:r>
      <w:r>
        <w:rPr/>
        <w:t>亿元，机器人归母亏损后总利润仅约</w:t>
      </w:r>
      <w:r>
        <w:rPr/>
        <w:t>2.80</w:t>
      </w:r>
      <w:r>
        <w:rPr/>
        <w:t>亿元，展示独立新业务仍拖累股东结果。五年基准总正常利润约</w:t>
      </w:r>
      <w:r>
        <w:rPr/>
        <w:t>44.57</w:t>
      </w:r>
      <w:r>
        <w:rPr/>
        <w:t>亿元，并非简单把未来收入增长当同等利润增长。</w:t>
      </w:r>
    </w:p>
    <w:p>
      <w:pPr>
        <w:pStyle w:val="Heading2"/>
        <w:rPr/>
      </w:pPr>
      <w:r>
        <w:rPr>
          <w:color w:val="000000"/>
        </w:rPr>
        <w:t>五 现金 供应链和债务的真实约束</w:t>
      </w:r>
    </w:p>
    <w:p>
      <w:pPr>
        <w:pStyle w:val="Normal"/>
        <w:rPr/>
      </w:pPr>
      <w:r>
        <w:rPr/>
        <w:t>六月公司所称现金头寸约</w:t>
      </w:r>
      <w:r>
        <w:rPr/>
        <w:t>404.8</w:t>
      </w:r>
      <w:r>
        <w:rPr/>
        <w:t>亿元，口径包含现金、存款、投资和受限项目。细项非受限现金及存款理财合计</w:t>
      </w:r>
      <w:r>
        <w:rPr/>
        <w:t>308.58390</w:t>
      </w:r>
      <w:r>
        <w:rPr/>
        <w:t>亿元，受限现金和存款合计</w:t>
      </w:r>
      <w:r>
        <w:rPr/>
        <w:t>96.20684</w:t>
      </w:r>
      <w:r>
        <w:rPr/>
        <w:t>亿元。精确加总总额</w:t>
      </w:r>
      <w:r>
        <w:rPr/>
        <w:t>404.79074</w:t>
      </w:r>
      <w:r>
        <w:rPr/>
        <w:t>亿元与摘要四舍五入略有差异，应以细项说明而不是编造缺口。非受限合计也包括不同期限存款与短期投资，未必全部可当天无成本取用。模型按完整非受限额作为六月锚，同时留经营准备和未来资金消耗，不能把它称为十月股东可分配现金。</w:t>
      </w:r>
    </w:p>
    <w:p>
      <w:pPr>
        <w:pStyle w:val="Normal"/>
        <w:rPr/>
      </w:pPr>
      <w:r>
        <w:rPr/>
        <w:t>六月借款合计</w:t>
      </w:r>
      <w:r>
        <w:rPr/>
        <w:t>197.59493</w:t>
      </w:r>
      <w:r>
        <w:rPr/>
        <w:t>亿元，由短期银行</w:t>
      </w:r>
      <w:r>
        <w:rPr/>
        <w:t>100.70</w:t>
      </w:r>
      <w:r>
        <w:rPr/>
        <w:t>亿元、长期银行当前</w:t>
      </w:r>
      <w:r>
        <w:rPr/>
        <w:t>6.59509</w:t>
      </w:r>
      <w:r>
        <w:rPr/>
        <w:t>亿元、当前资产证券化</w:t>
      </w:r>
      <w:r>
        <w:rPr/>
        <w:t>0.46647</w:t>
      </w:r>
      <w:r>
        <w:rPr/>
        <w:t>亿元和长期</w:t>
      </w:r>
      <w:r>
        <w:rPr/>
        <w:t>89.83337</w:t>
      </w:r>
      <w:r>
        <w:rPr/>
        <w:t>亿元组成。融资租赁另有</w:t>
      </w:r>
      <w:r>
        <w:rPr/>
        <w:t>47.25279</w:t>
      </w:r>
      <w:r>
        <w:rPr/>
        <w:t>亿元本金负债，其中长期大幅增加，经营租负债约</w:t>
      </w:r>
      <w:r>
        <w:rPr/>
        <w:t>23.74193</w:t>
      </w:r>
      <w:r>
        <w:rPr/>
        <w:t>亿元。模型保留美国准则经营租完整费用，现金折旧不重复加回经营使用权摊销，融资租负债本金和未来现金支付单独扣除。只看到低息银行融资便认为成本很低，会漏掉租债、供应义务及资产投资需要。</w:t>
      </w:r>
    </w:p>
    <w:p>
      <w:pPr>
        <w:pStyle w:val="Normal"/>
        <w:rPr/>
      </w:pPr>
      <w:r>
        <w:rPr/>
        <w:t>借款利率中有部分政府支持，但不能假定补贴永久维持。长期抵押借款期限分布至</w:t>
      </w:r>
      <w:r>
        <w:rPr/>
        <w:t>2035</w:t>
      </w:r>
      <w:r>
        <w:rPr/>
        <w:t>年，抵押及项目限制影响资金调度。如果有些现金与银行承兑和抵押贷款相连，受限项目本就不能成为普通股安全垫。公司借款对权益比率约百分之七十三点二，较</w:t>
      </w:r>
      <w:r>
        <w:rPr/>
        <w:t>2025</w:t>
      </w:r>
      <w:r>
        <w:rPr/>
        <w:t>年底百分之四十一点八明显上升，但该比例采用短期及长期有息借款除期末股东权益的公司定义，需明确口径，不等同总负债除资产。读者应直接结合现金、债务、贸易应付和权益的金额判断资金承压。</w:t>
      </w:r>
    </w:p>
    <w:p>
      <w:pPr>
        <w:pStyle w:val="Normal"/>
        <w:rPr/>
      </w:pPr>
      <w:r>
        <w:rPr/>
        <w:t>上半年经营现金净流出</w:t>
      </w:r>
      <w:r>
        <w:rPr/>
        <w:t>117.24809</w:t>
      </w:r>
      <w:r>
        <w:rPr/>
        <w:t>亿元，购置固定资产现金</w:t>
      </w:r>
      <w:r>
        <w:rPr/>
        <w:t>15.62498</w:t>
      </w:r>
      <w:r>
        <w:rPr/>
        <w:t>亿元，简化自由现金代理为流出</w:t>
      </w:r>
      <w:r>
        <w:rPr/>
        <w:t>132.87307</w:t>
      </w:r>
      <w:r>
        <w:rPr/>
        <w:t>亿元，尚未扣</w:t>
      </w:r>
      <w:r>
        <w:rPr/>
        <w:t>0.05235</w:t>
      </w:r>
      <w:r>
        <w:rPr/>
        <w:t>亿元无形资产现金。经营现金不是净利润的镜像：库存增加现金占用</w:t>
      </w:r>
      <w:r>
        <w:rPr/>
        <w:t>36.23103</w:t>
      </w:r>
      <w:r>
        <w:rPr/>
        <w:t>亿元，应付账款下降占用</w:t>
      </w:r>
      <w:r>
        <w:rPr/>
        <w:t>22.80357</w:t>
      </w:r>
      <w:r>
        <w:rPr/>
        <w:t>亿元，应付票据下降占用</w:t>
      </w:r>
      <w:r>
        <w:rPr/>
        <w:t>51.68082</w:t>
      </w:r>
      <w:r>
        <w:rPr/>
        <w:t>亿元，三项合计超过百亿元。上一年供应链融资扩张曾支持现金，今期回落造成消耗。不能把营运资本变化全部看成永久损失，也不能假设下一年必然完全反转回来。</w:t>
      </w:r>
    </w:p>
    <w:p>
      <w:pPr>
        <w:pStyle w:val="Normal"/>
        <w:rPr/>
      </w:pPr>
      <w:r>
        <w:rPr/>
        <w:t>2025</w:t>
      </w:r>
      <w:r>
        <w:rPr/>
        <w:t>年经营现金净流入</w:t>
      </w:r>
      <w:r>
        <w:rPr/>
        <w:t>82.58529</w:t>
      </w:r>
      <w:r>
        <w:rPr/>
        <w:t>亿元，减固定资产现金</w:t>
      </w:r>
      <w:r>
        <w:rPr/>
        <w:t>31.55865</w:t>
      </w:r>
      <w:r>
        <w:rPr/>
        <w:t>亿元后代理流入</w:t>
      </w:r>
      <w:r>
        <w:rPr/>
        <w:t>51.02664</w:t>
      </w:r>
      <w:r>
        <w:rPr/>
        <w:t>亿元，但当年应付票据增长带来</w:t>
      </w:r>
      <w:r>
        <w:rPr/>
        <w:t>112.62828</w:t>
      </w:r>
      <w:r>
        <w:rPr/>
        <w:t>亿元现金，超过经营净流入本身。这说明上一年现金改善有重要供应融资支持。若未来继续扩张销量，库存、供应付款、应收分期和保修都需资金。模型对营运资本设置正的资金占用，而不把供应应付无限延长为估值收益。判断健康经营应看供应付款周期正常后经营现金是否仍转正，并与合同现金回收和库存周转联动。</w:t>
      </w:r>
    </w:p>
    <w:p>
      <w:pPr>
        <w:pStyle w:val="Normal"/>
        <w:rPr/>
      </w:pPr>
      <w:r>
        <w:rPr/>
        <w:t>六月库存</w:t>
      </w:r>
      <w:r>
        <w:rPr/>
        <w:t>137.29266</w:t>
      </w:r>
      <w:r>
        <w:rPr/>
        <w:t>亿元，贸易应付</w:t>
      </w:r>
      <w:r>
        <w:rPr/>
        <w:t>157.21318</w:t>
      </w:r>
      <w:r>
        <w:rPr/>
        <w:t>亿元，应付票据</w:t>
      </w:r>
      <w:r>
        <w:rPr/>
        <w:t>139.93642</w:t>
      </w:r>
      <w:r>
        <w:rPr/>
        <w:t>亿元，总资产</w:t>
      </w:r>
      <w:r>
        <w:rPr/>
        <w:t>1015.86316</w:t>
      </w:r>
      <w:r>
        <w:rPr/>
        <w:t>亿元，权益</w:t>
      </w:r>
      <w:r>
        <w:rPr/>
        <w:t>270.08852</w:t>
      </w:r>
      <w:r>
        <w:rPr/>
        <w:t>亿元。库存既是产品交付保障，也承受车型切换与价格竞争损失。固定资产、使用权和长期技术资产不能按账面原价与现金等价相加。财报资产减值、承诺损失和保修准备需要保留；模型以经营价值覆盖生产设施，而不另加整座工厂净资产重复计价。土地和不动产潜在处置价值只有可核验交易或独立可实现估值时才有额外依据。</w:t>
      </w:r>
    </w:p>
    <w:p>
      <w:pPr>
        <w:pStyle w:val="Heading2"/>
        <w:rPr/>
      </w:pPr>
      <w:r>
        <w:rPr>
          <w:color w:val="000000"/>
        </w:rPr>
        <w:t>六 机器人融资怎样改变普通股价值</w:t>
      </w:r>
    </w:p>
    <w:p>
      <w:pPr>
        <w:pStyle w:val="Normal"/>
        <w:rPr/>
      </w:pPr>
      <w:r>
        <w:rPr/>
        <w:t>8</w:t>
      </w:r>
      <w:r>
        <w:rPr/>
        <w:t>月</w:t>
      </w:r>
      <w:r>
        <w:rPr/>
        <w:t>24</w:t>
      </w:r>
      <w:r>
        <w:rPr/>
        <w:t>日公告拟融资约九亿美元，其中小鹏自己的子公司出资二亿美元，外部投资者购买优先股六亿美元，两名管理层关联主体购买普通股一亿美元。九亿美元含集团内部转移，外部增量最多七亿美元，而不是母公司凭空收到九亿美元。另有最多一千五百万美元额外优先认购，以及最多五亿美元认股权行使现金。这些具有不同条件和时间，不能把全部最大额度视为已到账。资料截至日没有逐笔交割完成证明，因此本章明确采用情景完成假设。</w:t>
      </w:r>
    </w:p>
    <w:p>
      <w:pPr>
        <w:pStyle w:val="Normal"/>
        <w:rPr/>
      </w:pPr>
      <w:r>
        <w:rPr/>
        <w:t>公告所说交易前五十亿美元和交易后六十三亿美元属于融资定价口径，包含特定股份和激励假设，并不等于普通股马上能卖出的市值。优先股有赎回和清算等权利，普通股不能因为每股认购价格相同便拥有完全相同经济保护。模型机器人使用风险调整经营价值，年底基准为</w:t>
      </w:r>
      <w:r>
        <w:rPr/>
        <w:t>60</w:t>
      </w:r>
      <w:r>
        <w:rPr/>
        <w:t>亿元人民币，乐观</w:t>
      </w:r>
      <w:r>
        <w:rPr/>
        <w:t>160</w:t>
      </w:r>
      <w:r>
        <w:rPr/>
        <w:t>亿元，而不直接把六十三亿美元转换后全额计入。风险调整值只是研究输入，缺少独立已规模化收入时可信度较低；读者可以在活动模型修改并看普通股结果。</w:t>
      </w:r>
    </w:p>
    <w:p>
      <w:pPr>
        <w:pStyle w:val="Normal"/>
        <w:rPr/>
      </w:pPr>
      <w:r>
        <w:rPr/>
        <w:t>赎回条款特别重要。若未在首次投资交割七年内完成合格上市或触发其他事项，投资者可以要求</w:t>
      </w:r>
      <w:r>
        <w:rPr/>
        <w:t>Dogotix</w:t>
      </w:r>
      <w:r>
        <w:rPr/>
        <w:t>、重大子公司或小鹏赎回、购买或安排购买优先股。赎回价取原价加百分之八复利及未付股息，与原价百分之一百二十及未付股息两者较高。因此并非完全无需偿还的永久风险资本。七年后百分之八复利约为本金一倍七，而其他触发也可能提前发生。模型据持有年数计算索偿，再检查机器人价值不足部分的母追索压力，不把它隐去。</w:t>
      </w:r>
    </w:p>
    <w:p>
      <w:pPr>
        <w:pStyle w:val="Normal"/>
        <w:rPr/>
      </w:pPr>
      <w:r>
        <w:rPr/>
        <w:t>中报后续事项明说赎回非控制权益将列为永久股权以外的夹层权益。这是原件对资本归类的重要证据。模型的优先分配桥取最低合同索偿与转股比例对应价值较高项，先分给优先，再按剩余普通权益分配母股。这是一种审慎研究敏感性，不是法律结算意见，也不是会计公允价值报告。公开条款没有足够内容支持精确模拟所有清算瀑布，模型说明限制，避免将假设计算冒充完整合约结算。若以后拿到详细文件和交割数据，应据此更新。</w:t>
      </w:r>
    </w:p>
    <w:p>
      <w:pPr>
        <w:pStyle w:val="Normal"/>
        <w:rPr/>
      </w:pPr>
      <w:r>
        <w:rPr/>
        <w:t>管理层普通股认购和认股权也改变利益结构。何小鹏相关主体初始普通出资八千万美元、认股权可能再付四亿美元；顾宏地相关主体初始二千万美元、认股权可能再付一亿美元。认股权价格和可行使股份需要一起看，不能只称管理层与股东共同投资而忽略独立子公司经济利益变化。董事在相关交易表决回避提供治理程序证据，但程序不消除长期利益冲突。普通股投资者要观察人员、知识产权、研发费用和商业机会在母子层的分配是否公平。</w:t>
      </w:r>
    </w:p>
    <w:p>
      <w:pPr>
        <w:pStyle w:val="Normal"/>
        <w:rPr/>
      </w:pPr>
      <w:r>
        <w:rPr/>
        <w:t>机器人激励额度按完全使用后的口径占百分之十五，其中</w:t>
      </w:r>
      <w:r>
        <w:rPr/>
        <w:t>250401583</w:t>
      </w:r>
      <w:r>
        <w:rPr/>
        <w:t>股从母股原持有股份转让，</w:t>
      </w:r>
      <w:r>
        <w:rPr/>
        <w:t>219101385</w:t>
      </w:r>
      <w:r>
        <w:rPr/>
        <w:t>股新发行。这意味着稀释不只来自子公司增发，也包括母持股向员工转移。初步交易后母持股约百分之八十一点九七，全部额外认购、激励和认股权完成后约百分之六十八点四一。不同定义下的比例不能互换。本章基准按无额外优先及无认股权、激励全部使用推导母持股约百分之七十三点九六，乐观按全额外及权利使用后的精确比例。</w:t>
      </w:r>
    </w:p>
    <w:p>
      <w:pPr>
        <w:pStyle w:val="Normal"/>
        <w:rPr/>
      </w:pPr>
      <w:r>
        <w:rPr/>
        <w:t>分阶段处理资金很有必要。第一批和第二批的交割条件、监管程序和时间不同，公告发布时任何条件都尚未满足或豁免。第二批涉及相关境外投资审批等，不应把既定最早时间当实际完成时间。年底基准假设完整初始认购及激励稀释，悲观假设未完成且机器人自我资金不足由母支持，半年以后的乐观假设额外优先和认股权都到账。资金进入机器人后用于研发、资本及营运需要，不能全部返回母现金，普通股得益取决于开发最终创造多少剩余价值。</w:t>
      </w:r>
    </w:p>
    <w:p>
      <w:pPr>
        <w:pStyle w:val="Heading2"/>
        <w:rPr/>
      </w:pPr>
      <w:r>
        <w:rPr>
          <w:color w:val="000000"/>
        </w:rPr>
        <w:t>七 机器人商业化的经营验证</w:t>
      </w:r>
    </w:p>
    <w:p>
      <w:pPr>
        <w:pStyle w:val="Normal"/>
        <w:rPr/>
      </w:pPr>
      <w:r>
        <w:rPr/>
        <w:t>人形机器人和具身智能是较长周期的研发商业化活动。产品演示能证明一部分运动控制和感知能力，付费订单则需要验证客户重复使用、可靠性、安全和维护成本。不同工作任务的标准化程度差别大，狭窄重复任务可能较早赚钱，复杂通用任务可能需要很多年。小鹏可以复用车辆的感知、模型和供应链经验，但汽车驾驶和机器人操作在接触、力控、失误责任与工作环境方面不同。不能把车端技术成熟直接换成机器人收入成熟。</w:t>
      </w:r>
    </w:p>
    <w:p>
      <w:pPr>
        <w:pStyle w:val="Normal"/>
        <w:rPr/>
      </w:pPr>
      <w:r>
        <w:rPr/>
        <w:t>机器人未来收入在基准一年仅五亿元，三年三十亿元，五年八十亿元，均为未获公司量化指引支持的情景。相应研发持续增加，基准五年研发七十亿元、销售行政五亿元，毛利假设百分之三十五，所以仍可能亏损。这个路径显示即使机器人销售扩大，也不保证普通股短期获利。乐观五年二百五十亿元收入和更高毛利，需要真实场景规模化、产品寿命与售后成本可控，属于很强条件。研究没有把市场热度作为交付合同，没有给虚构订单数量。</w:t>
      </w:r>
    </w:p>
    <w:p>
      <w:pPr>
        <w:pStyle w:val="Normal"/>
        <w:rPr/>
      </w:pPr>
      <w:r>
        <w:rPr/>
        <w:t>机器人现金桥从母出资、外部优先、关联普通、认股现金和其他起始现金开始，扣正常经营现金消耗及资本投入。历史机器人现金分部未披露，模型其他起始现金为零以避免杜撰，不代表公司机器人账户实际上零现金。未来若披露分部资金，需要与六月集团锚重新划分，防止重复。现金短缺按母继续支持情景处理，若公司选择停止项目，成本和技术价值应改按关闭或出售情景，而不能仅将现金截零却保留所有成长价值。</w:t>
      </w:r>
    </w:p>
    <w:p>
      <w:pPr>
        <w:pStyle w:val="Normal"/>
        <w:rPr/>
      </w:pPr>
      <w:r>
        <w:rPr/>
        <w:t>本模型机器人股权不与整体人工智能估值叠加。汽车与技术服务估值已经包含驾驶辅助研发和平台收入，机器人经营价值包含未来具身产品，若再加一个整个公司人工智能倍数，将重复同一研发与市场预期。飞行或自动出租等尚无独立公开可核验现金模型的项目，只在催化和风险中说明，不给予凭空高额净资产。以后有独立外部客户、许可、可分离资产和资本权利时，才适合形成新的估值模块，同时移出原核心成本与收入。</w:t>
      </w:r>
    </w:p>
    <w:p>
      <w:pPr>
        <w:pStyle w:val="Normal"/>
        <w:rPr/>
      </w:pPr>
      <w:r>
        <w:rPr/>
        <w:t>主要失败路径是研发不断加码却缺少生产和付费验证。外部战略投资者可以提供客户和供应支持，但不会替代产品可靠性。若项目需要高额持续补贴才能取得订单，收入增长可能增加现金消耗。投资者需追踪研发人员、制造费用、售后、损坏率、收款和重复合同，而不只看首次出厂数量。本章长期风险评分下降，原因是汽车与机器人多重资本消耗和母追索不确定性累积。长期技术空间大与普通股安全边际小可以同时存在。</w:t>
      </w:r>
    </w:p>
    <w:p>
      <w:pPr>
        <w:pStyle w:val="Heading2"/>
        <w:rPr/>
      </w:pPr>
      <w:r>
        <w:rPr>
          <w:color w:val="000000"/>
        </w:rPr>
        <w:t>八 日线位置与半年量价判断</w:t>
      </w:r>
    </w:p>
    <w:p>
      <w:pPr>
        <w:pStyle w:val="Normal"/>
        <w:rPr/>
      </w:pPr>
      <w:r>
        <w:rPr/>
        <w:t>锁定行情包含</w:t>
      </w:r>
      <w:r>
        <w:rPr/>
        <w:t>739</w:t>
      </w:r>
      <w:r>
        <w:rPr/>
        <w:t>个日线观测和</w:t>
      </w:r>
      <w:r>
        <w:rPr/>
        <w:t>157</w:t>
      </w:r>
      <w:r>
        <w:rPr/>
        <w:t>周，单位经统一为股量，周线由真实历史生成。</w:t>
      </w:r>
      <w:r>
        <w:rPr/>
        <w:t>2026</w:t>
      </w:r>
      <w:r>
        <w:rPr/>
        <w:t>年</w:t>
      </w:r>
      <w:r>
        <w:rPr/>
        <w:t>10</w:t>
      </w:r>
      <w:r>
        <w:rPr/>
        <w:t>月</w:t>
      </w:r>
      <w:r>
        <w:rPr/>
        <w:t>9</w:t>
      </w:r>
      <w:r>
        <w:rPr/>
        <w:t>日</w:t>
      </w:r>
      <w:r>
        <w:rPr/>
        <w:t>38.34</w:t>
      </w:r>
      <w:r>
        <w:rPr/>
        <w:t>港元低于</w:t>
      </w:r>
      <w:r>
        <w:rPr/>
        <w:t>20</w:t>
      </w:r>
      <w:r>
        <w:rPr/>
        <w:t>日均线</w:t>
      </w:r>
      <w:r>
        <w:rPr/>
        <w:t>39.342</w:t>
      </w:r>
      <w:r>
        <w:rPr/>
        <w:t>、</w:t>
      </w:r>
      <w:r>
        <w:rPr/>
        <w:t>60</w:t>
      </w:r>
      <w:r>
        <w:rPr/>
        <w:t>日</w:t>
      </w:r>
      <w:r>
        <w:rPr/>
        <w:t>44.365167</w:t>
      </w:r>
      <w:r>
        <w:rPr/>
        <w:t>、</w:t>
      </w:r>
      <w:r>
        <w:rPr/>
        <w:t>120</w:t>
      </w:r>
      <w:r>
        <w:rPr/>
        <w:t>日</w:t>
      </w:r>
      <w:r>
        <w:rPr/>
        <w:t>51.571583</w:t>
      </w:r>
      <w:r>
        <w:rPr/>
        <w:t>、</w:t>
      </w:r>
      <w:r>
        <w:rPr/>
        <w:t>250</w:t>
      </w:r>
      <w:r>
        <w:rPr/>
        <w:t>日</w:t>
      </w:r>
      <w:r>
        <w:rPr/>
        <w:t>65.10416</w:t>
      </w:r>
      <w:r>
        <w:rPr/>
        <w:t>，距离依次约负百分之二点五五、十三点五八、二十五点六六和四十一点一一。短期距离</w:t>
      </w:r>
      <w:r>
        <w:rPr/>
        <w:t>20</w:t>
      </w:r>
      <w:r>
        <w:rPr/>
        <w:t>日线近，意味着一次反弹可以收复，但距离长期均线大，说明持仓成本结构和趋势修复仍有很长距离。半年推荐需要量价改善，而不是因为价格离高点很远。</w:t>
      </w:r>
    </w:p>
    <w:p>
      <w:pPr>
        <w:pStyle w:val="Normal"/>
        <w:rPr/>
      </w:pPr>
      <w:r>
        <w:rPr/>
        <w:t>四条均线的观察斜率均向下，</w:t>
      </w:r>
      <w:r>
        <w:rPr/>
        <w:t>20</w:t>
      </w:r>
      <w:r>
        <w:rPr/>
        <w:t>日约负百分之三、</w:t>
      </w:r>
      <w:r>
        <w:rPr/>
        <w:t>60</w:t>
      </w:r>
      <w:r>
        <w:rPr/>
        <w:t>日负百分之二点七八、</w:t>
      </w:r>
      <w:r>
        <w:rPr/>
        <w:t>120</w:t>
      </w:r>
      <w:r>
        <w:rPr/>
        <w:t>日负百分之二点四三、</w:t>
      </w:r>
      <w:r>
        <w:rPr/>
        <w:t>250</w:t>
      </w:r>
      <w:r>
        <w:rPr/>
        <w:t>日负百分之一点六二。它们是同一价格序列的不同时间平滑，不应分别给四次独立利好或利空加分。当前整体判断是中期下降趋势中的短线企稳尝试。先收复</w:t>
      </w:r>
      <w:r>
        <w:rPr/>
        <w:t>20</w:t>
      </w:r>
      <w:r>
        <w:rPr/>
        <w:t>日均线和阶段阻力，再见</w:t>
      </w:r>
      <w:r>
        <w:rPr/>
        <w:t>60</w:t>
      </w:r>
      <w:r>
        <w:rPr/>
        <w:t>日线走平，才逐步提高趋势证据权重。单日穿越而第二天放量失守，不能记为确认突破。</w:t>
      </w:r>
    </w:p>
    <w:p>
      <w:pPr>
        <w:pStyle w:val="Normal"/>
        <w:rPr/>
      </w:pPr>
      <w:r>
        <w:rPr/>
        <w:t>20</w:t>
      </w:r>
      <w:r>
        <w:rPr/>
        <w:t>日阶段支撑</w:t>
      </w:r>
      <w:r>
        <w:rPr/>
        <w:t>35.64</w:t>
      </w:r>
      <w:r>
        <w:rPr/>
        <w:t>港元，距基准价约负百分之七点零四；近端阻力</w:t>
      </w:r>
      <w:r>
        <w:rPr/>
        <w:t>42.16</w:t>
      </w:r>
      <w:r>
        <w:rPr/>
        <w:t>，距现价约正百分之九点九六；</w:t>
      </w:r>
      <w:r>
        <w:rPr/>
        <w:t>60</w:t>
      </w:r>
      <w:r>
        <w:rPr/>
        <w:t>日阶段高位</w:t>
      </w:r>
      <w:r>
        <w:rPr/>
        <w:t>56.55</w:t>
      </w:r>
      <w:r>
        <w:rPr/>
        <w:t>，距现价约正百分之四十七点五。支撑并非保证买盘，跌破后也可能发生流动性跳空。观察方案是在</w:t>
      </w:r>
      <w:r>
        <w:rPr/>
        <w:t>35.64</w:t>
      </w:r>
      <w:r>
        <w:rPr/>
        <w:t>附近看成交能否缩减并稳定，向上到</w:t>
      </w:r>
      <w:r>
        <w:rPr/>
        <w:t>39.34</w:t>
      </w:r>
      <w:r>
        <w:rPr/>
        <w:t>与</w:t>
      </w:r>
      <w:r>
        <w:rPr/>
        <w:t>42.16</w:t>
      </w:r>
      <w:r>
        <w:rPr/>
        <w:t>区间看放量持续性，再到</w:t>
      </w:r>
      <w:r>
        <w:rPr/>
        <w:t>44.37</w:t>
      </w:r>
      <w:r>
        <w:rPr/>
        <w:t>附近验证中期供给。若只触及均线便成交骤增但价格回落，更符合套牢抛压，不能直接认定资金吸筹。</w:t>
      </w:r>
    </w:p>
    <w:p>
      <w:pPr>
        <w:pStyle w:val="Normal"/>
        <w:rPr/>
      </w:pPr>
      <w:r>
        <w:rPr/>
        <w:t>20</w:t>
      </w:r>
      <w:r>
        <w:rPr/>
        <w:t>日价格回报约负百分之七点八四，</w:t>
      </w:r>
      <w:r>
        <w:rPr/>
        <w:t>60</w:t>
      </w:r>
      <w:r>
        <w:rPr/>
        <w:t>日负百分之三十二点二零，相对恒指分别落后约</w:t>
      </w:r>
      <w:r>
        <w:rPr/>
        <w:t>4.86</w:t>
      </w:r>
      <w:r>
        <w:rPr/>
        <w:t>和</w:t>
      </w:r>
      <w:r>
        <w:rPr/>
        <w:t>29.01</w:t>
      </w:r>
      <w:r>
        <w:rPr/>
        <w:t>个百分点。对恒生科技粗基准分别落后约</w:t>
      </w:r>
      <w:r>
        <w:rPr/>
        <w:t>4.77</w:t>
      </w:r>
      <w:r>
        <w:rPr/>
        <w:t>和</w:t>
      </w:r>
      <w:r>
        <w:rPr/>
        <w:t>19.03</w:t>
      </w:r>
      <w:r>
        <w:rPr/>
        <w:t>个百分点，行业匹配限制需保留，因为汽车并不完全等于互联网科技。指数跌时小鹏跌得更多，显示个股风险或预期下修较大。半年评分中相对强弱低，不能因市场可能反弹便自动提高本公司排名。更有效的改善是市场震荡时个股不再创新低，并连续几个观察窗口跑赢相关基准。</w:t>
      </w:r>
    </w:p>
    <w:p>
      <w:pPr>
        <w:pStyle w:val="Normal"/>
        <w:rPr/>
      </w:pPr>
      <w:r>
        <w:rPr/>
        <w:t>当日量比约</w:t>
      </w:r>
      <w:r>
        <w:rPr/>
        <w:t>1.323</w:t>
      </w:r>
      <w:r>
        <w:rPr/>
        <w:t>，</w:t>
      </w:r>
      <w:r>
        <w:rPr/>
        <w:t>5</w:t>
      </w:r>
      <w:r>
        <w:rPr/>
        <w:t>日均量</w:t>
      </w:r>
      <w:r>
        <w:rPr/>
        <w:t>621</w:t>
      </w:r>
      <w:r>
        <w:rPr/>
        <w:t>万股，</w:t>
      </w:r>
      <w:r>
        <w:rPr/>
        <w:t>20</w:t>
      </w:r>
      <w:r>
        <w:rPr/>
        <w:t>日</w:t>
      </w:r>
      <w:r>
        <w:rPr/>
        <w:t>800</w:t>
      </w:r>
      <w:r>
        <w:rPr/>
        <w:t>万股，</w:t>
      </w:r>
      <w:r>
        <w:rPr/>
        <w:t>60</w:t>
      </w:r>
      <w:r>
        <w:rPr/>
        <w:t>日</w:t>
      </w:r>
      <w:r>
        <w:rPr/>
        <w:t>1148</w:t>
      </w:r>
      <w:r>
        <w:rPr/>
        <w:t>万股，前一个</w:t>
      </w:r>
      <w:r>
        <w:rPr/>
        <w:t>20</w:t>
      </w:r>
      <w:r>
        <w:rPr/>
        <w:t>日均量约</w:t>
      </w:r>
      <w:r>
        <w:rPr/>
        <w:t>811</w:t>
      </w:r>
      <w:r>
        <w:rPr/>
        <w:t>万股。短期均量低于中期，当前单日放量属于局部变化，不能等同趋势资本已经回流。</w:t>
      </w:r>
      <w:r>
        <w:rPr/>
        <w:t>20</w:t>
      </w:r>
      <w:r>
        <w:rPr/>
        <w:t>日上涨日总量约</w:t>
      </w:r>
      <w:r>
        <w:rPr/>
        <w:t>7439</w:t>
      </w:r>
      <w:r>
        <w:rPr/>
        <w:t>万股，下跌日</w:t>
      </w:r>
      <w:r>
        <w:rPr/>
        <w:t>8558</w:t>
      </w:r>
      <w:r>
        <w:rPr/>
        <w:t>万股，</w:t>
      </w:r>
      <w:r>
        <w:rPr/>
        <w:t>9</w:t>
      </w:r>
      <w:r>
        <w:rPr/>
        <w:t>涨</w:t>
      </w:r>
      <w:r>
        <w:rPr/>
        <w:t>11</w:t>
      </w:r>
      <w:r>
        <w:rPr/>
        <w:t>跌，上下量比约</w:t>
      </w:r>
      <w:r>
        <w:rPr/>
        <w:t>0.869</w:t>
      </w:r>
      <w:r>
        <w:rPr/>
        <w:t>。跌日量更大提示卖压仍然存在，反弹的可信度需要后续上涨量增加且回踩量收缩。没有逐笔和准确自由流通换手，报告不声称主力仓位或成本分布。</w:t>
      </w:r>
    </w:p>
    <w:p>
      <w:pPr>
        <w:pStyle w:val="Normal"/>
        <w:rPr/>
      </w:pPr>
      <w:r>
        <w:rPr/>
        <w:t>日线</w:t>
      </w:r>
      <w:r>
        <w:rPr/>
        <w:t>RSI</w:t>
      </w:r>
      <w:r>
        <w:rPr/>
        <w:t>约</w:t>
      </w:r>
      <w:r>
        <w:rPr/>
        <w:t>40.76</w:t>
      </w:r>
      <w:r>
        <w:rPr/>
        <w:t>，尚未处极端高位但也未展示持续强势区间。</w:t>
      </w:r>
      <w:r>
        <w:rPr/>
        <w:t>MACD</w:t>
      </w:r>
      <w:r>
        <w:rPr/>
        <w:t>差线约负</w:t>
      </w:r>
      <w:r>
        <w:rPr/>
        <w:t>1.737</w:t>
      </w:r>
      <w:r>
        <w:rPr/>
        <w:t>、信号负</w:t>
      </w:r>
      <w:r>
        <w:rPr/>
        <w:t>1.848</w:t>
      </w:r>
      <w:r>
        <w:rPr/>
        <w:t>，柱正</w:t>
      </w:r>
      <w:r>
        <w:rPr/>
        <w:t>0.223</w:t>
      </w:r>
      <w:r>
        <w:rPr/>
        <w:t>，反映短期下跌动量减弱。负区域柱转正通常早于趋势逆转，也可能只是下降途中反弹，需与价格、均线和量结合。</w:t>
      </w:r>
      <w:r>
        <w:rPr/>
        <w:t>ATR</w:t>
      </w:r>
      <w:r>
        <w:rPr/>
        <w:t>约</w:t>
      </w:r>
      <w:r>
        <w:rPr/>
        <w:t>1.374</w:t>
      </w:r>
      <w:r>
        <w:rPr/>
        <w:t>港元，约现价百分之三点五八，表明正常交易区间已有较大波动。止损或仓位如果只考虑几个百分点收益，会与日常噪音冲突。指标是风险尺度，不预测每次波动方向。</w:t>
      </w:r>
    </w:p>
    <w:p>
      <w:pPr>
        <w:pStyle w:val="Normal"/>
        <w:rPr/>
      </w:pPr>
      <w:r>
        <w:rPr/>
        <w:t>一年阶段高</w:t>
      </w:r>
      <w:r>
        <w:rPr/>
        <w:t>110.8</w:t>
      </w:r>
      <w:r>
        <w:rPr/>
        <w:t>、低</w:t>
      </w:r>
      <w:r>
        <w:rPr/>
        <w:t>35.64</w:t>
      </w:r>
      <w:r>
        <w:rPr/>
        <w:t>，现价较高点下降约百分之六十五点四，历史最大回撤约百分之六十六点六。这个幅度说明估值与情绪调整很深，但低点附近也可能是基本面继续恶化的开始。技术观察不能把历史高点当自然目标。若目标</w:t>
      </w:r>
      <w:r>
        <w:rPr/>
        <w:t>85.25</w:t>
      </w:r>
      <w:r>
        <w:rPr/>
        <w:t>或</w:t>
      </w:r>
      <w:r>
        <w:rPr/>
        <w:t>113.86</w:t>
      </w:r>
      <w:r>
        <w:rPr/>
        <w:t>需要远期盈利、产品和风险偏好共同改善，技术只负责评估市场承认这些预期的过程。高点回归的概率不由跌幅机械决定，报告不以历史幅度设定必然上涨空间。</w:t>
      </w:r>
    </w:p>
    <w:p>
      <w:pPr>
        <w:pStyle w:val="Heading2"/>
        <w:rPr/>
      </w:pPr>
      <w:r>
        <w:rPr>
          <w:color w:val="000000"/>
        </w:rPr>
        <w:t>九 周线与技术判断失效条件</w:t>
      </w:r>
    </w:p>
    <w:p>
      <w:pPr>
        <w:pStyle w:val="Normal"/>
        <w:rPr/>
      </w:pPr>
      <w:r>
        <w:rPr/>
        <w:t>当日成交额约</w:t>
      </w:r>
      <w:r>
        <w:rPr/>
        <w:t>4.10544</w:t>
      </w:r>
      <w:r>
        <w:rPr/>
        <w:t>亿港元，腾讯与新浪收盘价和股数一致，独立历史报价也核对</w:t>
      </w:r>
      <w:r>
        <w:rPr/>
        <w:t>38.34</w:t>
      </w:r>
      <w:r>
        <w:rPr/>
        <w:t>。日线采用复权收盘锚归一的</w:t>
      </w:r>
      <w:r>
        <w:rPr/>
        <w:t>OHLC</w:t>
      </w:r>
      <w:r>
        <w:rPr/>
        <w:t>，历史范围内记录没有分拆或分红行动，价格均线与阶段价位均在同一基准。成交量沿用历史供应商股单位，报价股数</w:t>
      </w:r>
      <w:r>
        <w:rPr/>
        <w:t>10734640</w:t>
      </w:r>
      <w:r>
        <w:rPr/>
        <w:t>与另一日线存在约八百股细微差异，技术均量按锁定日线，成交额按独立即时报价，二者不偷偷混成精确成交分布。股数差异很小却仍保留口径说明，公开自由流通换手缺失，不能补造。</w:t>
      </w:r>
    </w:p>
    <w:p>
      <w:pPr>
        <w:pStyle w:val="Normal"/>
        <w:rPr/>
      </w:pPr>
      <w:r>
        <w:rPr/>
        <w:t>周</w:t>
      </w:r>
      <w:r>
        <w:rPr/>
        <w:t>20</w:t>
      </w:r>
      <w:r>
        <w:rPr/>
        <w:t>、</w:t>
      </w:r>
      <w:r>
        <w:rPr/>
        <w:t>60</w:t>
      </w:r>
      <w:r>
        <w:rPr/>
        <w:t>、</w:t>
      </w:r>
      <w:r>
        <w:rPr/>
        <w:t>120</w:t>
      </w:r>
      <w:r>
        <w:rPr/>
        <w:t>均线约</w:t>
      </w:r>
      <w:r>
        <w:rPr/>
        <w:t>48.2165</w:t>
      </w:r>
      <w:r>
        <w:rPr/>
        <w:t>、</w:t>
      </w:r>
      <w:r>
        <w:rPr/>
        <w:t>67.064667</w:t>
      </w:r>
      <w:r>
        <w:rPr/>
        <w:t>、</w:t>
      </w:r>
      <w:r>
        <w:rPr/>
        <w:t>62.4565</w:t>
      </w:r>
      <w:r>
        <w:rPr/>
        <w:t>港元，价格均低于它们。周</w:t>
      </w:r>
      <w:r>
        <w:rPr/>
        <w:t>20</w:t>
      </w:r>
      <w:r>
        <w:rPr/>
        <w:t>和</w:t>
      </w:r>
      <w:r>
        <w:rPr/>
        <w:t>60</w:t>
      </w:r>
      <w:r>
        <w:rPr/>
        <w:t>斜率向下，</w:t>
      </w:r>
      <w:r>
        <w:rPr/>
        <w:t>120</w:t>
      </w:r>
      <w:r>
        <w:rPr/>
        <w:t>略向上约百分之零点五七，但长期平均仍反映此前较高价格，不代表当前周线转强。周</w:t>
      </w:r>
      <w:r>
        <w:rPr/>
        <w:t>250</w:t>
      </w:r>
      <w:r>
        <w:rPr/>
        <w:t>数据不足，不补造。周</w:t>
      </w:r>
      <w:r>
        <w:rPr/>
        <w:t>RSI</w:t>
      </w:r>
      <w:r>
        <w:rPr/>
        <w:t>约</w:t>
      </w:r>
      <w:r>
        <w:rPr/>
        <w:t>31.63</w:t>
      </w:r>
      <w:r>
        <w:rPr/>
        <w:t>，接近较弱区间，周</w:t>
      </w:r>
      <w:r>
        <w:rPr/>
        <w:t>MACD</w:t>
      </w:r>
      <w:r>
        <w:rPr/>
        <w:t>柱仍为负</w:t>
      </w:r>
      <w:r>
        <w:rPr/>
        <w:t>0.785</w:t>
      </w:r>
      <w:r>
        <w:rPr/>
        <w:t>。日线动量改善与周线压力同时存在，是半年只能给观察级别的原因。较长时长的基本面上涨空间不能覆盖周线持续下行所提示的入场风险。</w:t>
      </w:r>
    </w:p>
    <w:p>
      <w:pPr>
        <w:pStyle w:val="Normal"/>
        <w:rPr/>
      </w:pPr>
      <w:r>
        <w:rPr/>
        <w:t>周</w:t>
      </w:r>
      <w:r>
        <w:rPr/>
        <w:t>ATR</w:t>
      </w:r>
      <w:r>
        <w:rPr/>
        <w:t>约百分之十三点一四，适合说明跨周风险范围，而不能拿它和日</w:t>
      </w:r>
      <w:r>
        <w:rPr/>
        <w:t>ATR</w:t>
      </w:r>
      <w:r>
        <w:rPr/>
        <w:t>重复加分。周内大幅波动会使名义低价区间不易精确买入，追涨或补仓需要考虑跳空。更可靠的确认包括周线停止连创新低、上涨周成交额提高、回落周收缩，以及收复</w:t>
      </w:r>
      <w:r>
        <w:rPr/>
        <w:t>20</w:t>
      </w:r>
      <w:r>
        <w:rPr/>
        <w:t>周均线后能够保持。若站上日</w:t>
      </w:r>
      <w:r>
        <w:rPr/>
        <w:t>20</w:t>
      </w:r>
      <w:r>
        <w:rPr/>
        <w:t>线却周收盘仍受</w:t>
      </w:r>
      <w:r>
        <w:rPr/>
        <w:t>20</w:t>
      </w:r>
      <w:r>
        <w:rPr/>
        <w:t>周线压制，短线交易与三年持有应使用不同判断。投资时长不同，技术退出规则也不能照搬同一个固定价位。</w:t>
      </w:r>
    </w:p>
    <w:p>
      <w:pPr>
        <w:pStyle w:val="Normal"/>
        <w:rPr/>
      </w:pPr>
      <w:r>
        <w:rPr/>
        <w:t>半年技术逻辑失效的主要条件是跌破</w:t>
      </w:r>
      <w:r>
        <w:rPr/>
        <w:t>35.64</w:t>
      </w:r>
      <w:r>
        <w:rPr/>
        <w:t>后不能迅速收回，并伴随比</w:t>
      </w:r>
      <w:r>
        <w:rPr/>
        <w:t>20</w:t>
      </w:r>
      <w:r>
        <w:rPr/>
        <w:t>日均量显著更高的连续成交；或反弹越过</w:t>
      </w:r>
      <w:r>
        <w:rPr/>
        <w:t>42.16</w:t>
      </w:r>
      <w:r>
        <w:rPr/>
        <w:t>后在量增情况下连续失守。相反，若量价持续收复</w:t>
      </w:r>
      <w:r>
        <w:rPr/>
        <w:t>44.37</w:t>
      </w:r>
      <w:r>
        <w:rPr/>
        <w:t>，</w:t>
      </w:r>
      <w:r>
        <w:rPr/>
        <w:t>60</w:t>
      </w:r>
      <w:r>
        <w:rPr/>
        <w:t>日均线走平且相对强弱改善，半年技术得分可上调，但需检查同期间业绩或消息来源，避免把空头回补当新经营证据。报告只提出可观察条件，不假造突破后的精确获利概率，也不将成交量变化解释为某类投资者必然操作。</w:t>
      </w:r>
    </w:p>
    <w:p>
      <w:pPr>
        <w:pStyle w:val="Normal"/>
        <w:rPr/>
      </w:pPr>
      <w:r>
        <w:rPr/>
        <w:t>在交易执行上，进取型并不要求满仓押注一个强波动公司。可以按已验证经营和量价条件逐步分配，但本报告没有用户资产、现金需求和损失承受资料，因此不给个人定额仓位。对同一行业持多家车企或同时持科技指数会产生相关风险，普通股目标区间需与组合集中度一起看。若短期有大笔必须使用资金，半年价格再有上涨可能也不能替代流动性要求。本章评分是标的比较工具，不能读作保证收益的买入指令。</w:t>
      </w:r>
    </w:p>
    <w:p>
      <w:pPr>
        <w:pStyle w:val="Heading2"/>
        <w:rPr/>
      </w:pPr>
      <w:r>
        <w:rPr>
          <w:color w:val="000000"/>
        </w:rPr>
        <w:t>十 估值模型与年底三种信息集</w:t>
      </w:r>
    </w:p>
    <w:p>
      <w:pPr>
        <w:pStyle w:val="Normal"/>
        <w:rPr/>
      </w:pPr>
      <w:r>
        <w:rPr/>
        <w:t>年底基准汽车年率</w:t>
      </w:r>
      <w:r>
        <w:rPr/>
        <w:t>46</w:t>
      </w:r>
      <w:r>
        <w:rPr/>
        <w:t>万辆、净收入均价</w:t>
      </w:r>
      <w:r>
        <w:rPr/>
        <w:t>17.5</w:t>
      </w:r>
      <w:r>
        <w:rPr/>
        <w:t>万元、技术服务</w:t>
      </w:r>
      <w:r>
        <w:rPr/>
        <w:t>85</w:t>
      </w:r>
      <w:r>
        <w:rPr/>
        <w:t>亿元、汽车毛利百分之十三、服务毛利百分之六十三，核心研发</w:t>
      </w:r>
      <w:r>
        <w:rPr/>
        <w:t>109</w:t>
      </w:r>
      <w:r>
        <w:rPr/>
        <w:t>亿元与销售行政</w:t>
      </w:r>
      <w:r>
        <w:rPr/>
        <w:t>101</w:t>
      </w:r>
      <w:r>
        <w:rPr/>
        <w:t>亿元，加其他成本后核心经营仍亏</w:t>
      </w:r>
      <w:r>
        <w:rPr/>
        <w:t>53.8</w:t>
      </w:r>
      <w:r>
        <w:rPr/>
        <w:t>亿元。经营销售倍数</w:t>
      </w:r>
      <w:r>
        <w:rPr/>
        <w:t>0.85</w:t>
      </w:r>
      <w:r>
        <w:rPr/>
        <w:t>给出核心价值</w:t>
      </w:r>
      <w:r>
        <w:rPr/>
        <w:t>756.5</w:t>
      </w:r>
      <w:r>
        <w:rPr/>
        <w:t>亿元。这个估值承认未来平台可能盈利，而不是当下利润已支持。现金桥扣六月借款和融资租、八月新增资产证券化</w:t>
      </w:r>
      <w:r>
        <w:rPr/>
        <w:t>8.85</w:t>
      </w:r>
      <w:r>
        <w:rPr/>
        <w:t>亿元、经营储备、未来消耗和母出资，再加机器人优先之后归母部分，得到</w:t>
      </w:r>
      <w:r>
        <w:rPr/>
        <w:t>41.15</w:t>
      </w:r>
      <w:r>
        <w:rPr/>
        <w:t>港元。</w:t>
      </w:r>
    </w:p>
    <w:p>
      <w:pPr>
        <w:pStyle w:val="Normal"/>
        <w:rPr/>
      </w:pPr>
      <w:r>
        <w:rPr/>
        <w:t>年底悲观年率</w:t>
      </w:r>
      <w:r>
        <w:rPr/>
        <w:t>38</w:t>
      </w:r>
      <w:r>
        <w:rPr/>
        <w:t>万辆、均价</w:t>
      </w:r>
      <w:r>
        <w:rPr/>
        <w:t>16</w:t>
      </w:r>
      <w:r>
        <w:rPr/>
        <w:t>万元、服务</w:t>
      </w:r>
      <w:r>
        <w:rPr/>
        <w:t>70</w:t>
      </w:r>
      <w:r>
        <w:rPr/>
        <w:t>亿元，汽车毛利百分之九、服务毛利百分之五十二，核心费用较高使经营亏损扩大。销售倍数</w:t>
      </w:r>
      <w:r>
        <w:rPr/>
        <w:t>0.38</w:t>
      </w:r>
      <w:r>
        <w:rPr/>
        <w:t>，机器人未完成融资且资金缺口由母支持，普通股目标</w:t>
      </w:r>
      <w:r>
        <w:rPr/>
        <w:t>6.46</w:t>
      </w:r>
      <w:r>
        <w:rPr/>
        <w:t>港元。乐观</w:t>
      </w:r>
      <w:r>
        <w:rPr/>
        <w:t>51</w:t>
      </w:r>
      <w:r>
        <w:rPr/>
        <w:t>万辆、均价</w:t>
      </w:r>
      <w:r>
        <w:rPr/>
        <w:t>18.5</w:t>
      </w:r>
      <w:r>
        <w:rPr/>
        <w:t>万元、服务</w:t>
      </w:r>
      <w:r>
        <w:rPr/>
        <w:t>100</w:t>
      </w:r>
      <w:r>
        <w:rPr/>
        <w:t>亿元及更高毛利，经营销售</w:t>
      </w:r>
      <w:r>
        <w:rPr/>
        <w:t>1.35</w:t>
      </w:r>
      <w:r>
        <w:rPr/>
        <w:t>倍，并给予机器人较高风险调整价值，目标</w:t>
      </w:r>
      <w:r>
        <w:rPr/>
        <w:t>85.25</w:t>
      </w:r>
      <w:r>
        <w:rPr/>
        <w:t>。两个极端区间非常宽，体现当前业务与资金敏感性，不是统计置信区间。年底只剩一季，触发极端重估需要相应重大证据。</w:t>
      </w:r>
    </w:p>
    <w:p>
      <w:pPr>
        <w:pStyle w:val="Normal"/>
        <w:rPr/>
      </w:pPr>
      <w:r>
        <w:rPr/>
        <w:t>年底加权期望</w:t>
      </w:r>
      <w:r>
        <w:rPr/>
        <w:t>43.5025</w:t>
      </w:r>
      <w:r>
        <w:rPr/>
        <w:t>港元比基准情景</w:t>
      </w:r>
      <w:r>
        <w:rPr/>
        <w:t>41.15</w:t>
      </w:r>
      <w:r>
        <w:rPr/>
        <w:t>略高，来自乐观上行幅度比悲观下行更大。数学期望会受尾部目标和判断权重强烈影响，不能把它当最可能年底价。防御权重得到</w:t>
      </w:r>
      <w:r>
        <w:rPr/>
        <w:t>31.684</w:t>
      </w:r>
      <w:r>
        <w:rPr/>
        <w:t>，积极得到</w:t>
      </w:r>
      <w:r>
        <w:rPr/>
        <w:t>55.321</w:t>
      </w:r>
      <w:r>
        <w:rPr/>
        <w:t>，方向即可翻转。研究应同时展示三情景和权重变化，让读者看到收益假设与下行代价。此计算使用本章自己截至年底的信息与估值，机构</w:t>
      </w:r>
      <w:r>
        <w:rPr/>
        <w:t>70</w:t>
      </w:r>
      <w:r>
        <w:rPr/>
        <w:t>港元没有直接放入年底模型，更没有按剩余月份线性缩放。</w:t>
      </w:r>
    </w:p>
    <w:p>
      <w:pPr>
        <w:pStyle w:val="Normal"/>
        <w:rPr/>
      </w:pPr>
      <w:r>
        <w:rPr/>
        <w:t>现金储备模型的负数并非银行余额为负。它是扣金融债、租债、未来经营资金和必要储备后，可用于支撑普通股估值的净资本调整。若该值为负，意味着经营价值需覆盖这部分义务，不能只将其截零以美化权益。核心普通股融资假设在悲观远期带入现金且增加股份，避免只加融资钱而不稀释，或只稀释不计资金。母未来股息也先从本金扣除，再单列总回报，不用同一现金同时提高目标股价和分红。</w:t>
      </w:r>
    </w:p>
    <w:p>
      <w:pPr>
        <w:pStyle w:val="Heading2"/>
        <w:rPr/>
      </w:pPr>
      <w:r>
        <w:rPr>
          <w:color w:val="000000"/>
        </w:rPr>
        <w:t>十一 半年和一年投资逻辑</w:t>
      </w:r>
    </w:p>
    <w:p>
      <w:pPr>
        <w:pStyle w:val="Normal"/>
        <w:rPr/>
      </w:pPr>
      <w:r>
        <w:rPr/>
        <w:t>半年基准价</w:t>
      </w:r>
      <w:r>
        <w:rPr/>
        <w:t>49.24</w:t>
      </w:r>
      <w:r>
        <w:rPr/>
        <w:t>港元，股价回报约百分之二十八点四三，主要来自市场承认交付增长与成本改善、技术合作持续，以及机器人融资资料更清楚。此时模型年率</w:t>
      </w:r>
      <w:r>
        <w:rPr/>
        <w:t>53</w:t>
      </w:r>
      <w:r>
        <w:rPr/>
        <w:t>万辆、净均价</w:t>
      </w:r>
      <w:r>
        <w:rPr/>
        <w:t>17.6</w:t>
      </w:r>
      <w:r>
        <w:rPr/>
        <w:t>万元，汽车毛利百分之十四点五，服务</w:t>
      </w:r>
      <w:r>
        <w:rPr/>
        <w:t>100</w:t>
      </w:r>
      <w:r>
        <w:rPr/>
        <w:t>亿元。核心完整研发</w:t>
      </w:r>
      <w:r>
        <w:rPr/>
        <w:t>120</w:t>
      </w:r>
      <w:r>
        <w:rPr/>
        <w:t>亿元、销售行政</w:t>
      </w:r>
      <w:r>
        <w:rPr/>
        <w:t>112</w:t>
      </w:r>
      <w:r>
        <w:rPr/>
        <w:t>亿元，机器人继续亏损，归母正常亏损约</w:t>
      </w:r>
      <w:r>
        <w:rPr/>
        <w:t>57.89</w:t>
      </w:r>
      <w:r>
        <w:rPr/>
        <w:t>亿元。目标不是利润倍数，而是市场愿意给恢复平台销售</w:t>
      </w:r>
      <w:r>
        <w:rPr/>
        <w:t>0.9</w:t>
      </w:r>
      <w:r>
        <w:rPr/>
        <w:t>倍并给机器人审慎价值。较低半年得分就是对技术下降、亏损和资金约束的折扣。</w:t>
      </w:r>
    </w:p>
    <w:p>
      <w:pPr>
        <w:pStyle w:val="Normal"/>
        <w:rPr/>
      </w:pPr>
      <w:r>
        <w:rPr/>
        <w:t>半年失败路径是新车销量有短暂提振但订单在促销结束后衰退，汽车毛利不升反降；服务追补后没有新合同收入，或者融资交割低于假设。股价即使从</w:t>
      </w:r>
      <w:r>
        <w:rPr/>
        <w:t>38.34</w:t>
      </w:r>
      <w:r>
        <w:rPr/>
        <w:t>反弹到</w:t>
      </w:r>
      <w:r>
        <w:rPr/>
        <w:t>42</w:t>
      </w:r>
      <w:r>
        <w:rPr/>
        <w:t>附近，也可能只是技术回补，缺少经营确认会限制上行。悲观模型现金和义务覆盖后的权益为负而截零，强调亏损速度相对现有可用资本的严重性。投资者应看半年窗口内能拿到的实际季报、月交付、现金和合同证据，而不把三年机器人想象全部提前兑现。</w:t>
      </w:r>
    </w:p>
    <w:p>
      <w:pPr>
        <w:pStyle w:val="Normal"/>
        <w:rPr/>
      </w:pPr>
      <w:r>
        <w:rPr/>
        <w:t>一年基准</w:t>
      </w:r>
      <w:r>
        <w:rPr/>
        <w:t>58.75</w:t>
      </w:r>
      <w:r>
        <w:rPr/>
        <w:t>港元，回报约百分之五十三点二三，汽车年率</w:t>
      </w:r>
      <w:r>
        <w:rPr/>
        <w:t>62</w:t>
      </w:r>
      <w:r>
        <w:rPr/>
        <w:t>万辆、均价</w:t>
      </w:r>
      <w:r>
        <w:rPr/>
        <w:t>17.6</w:t>
      </w:r>
      <w:r>
        <w:rPr/>
        <w:t>万元、服务</w:t>
      </w:r>
      <w:r>
        <w:rPr/>
        <w:t>120</w:t>
      </w:r>
      <w:r>
        <w:rPr/>
        <w:t>亿元。汽车毛利百分之十六，核心研发</w:t>
      </w:r>
      <w:r>
        <w:rPr/>
        <w:t>132</w:t>
      </w:r>
      <w:r>
        <w:rPr/>
        <w:t>亿元、销售行政</w:t>
      </w:r>
      <w:r>
        <w:rPr/>
        <w:t>128</w:t>
      </w:r>
      <w:r>
        <w:rPr/>
        <w:t>亿元。核心利润仍亏，机器人归母后正常亏约</w:t>
      </w:r>
      <w:r>
        <w:rPr/>
        <w:t>36.96</w:t>
      </w:r>
      <w:r>
        <w:rPr/>
        <w:t>亿元。这个路径要求亏损收敛，但尚未完全盈利，估值依赖未来经营转正的可信度。模型悲观销量</w:t>
      </w:r>
      <w:r>
        <w:rPr/>
        <w:t>32</w:t>
      </w:r>
      <w:r>
        <w:rPr/>
        <w:t>万辆且净价</w:t>
      </w:r>
      <w:r>
        <w:rPr/>
        <w:t>15</w:t>
      </w:r>
      <w:r>
        <w:rPr/>
        <w:t>万元，融资需额外资金同时新增股份，权益仍可耗尽。乐观</w:t>
      </w:r>
      <w:r>
        <w:rPr/>
        <w:t>80</w:t>
      </w:r>
      <w:r>
        <w:rPr/>
        <w:t>万辆和更高价格毛利，目标</w:t>
      </w:r>
      <w:r>
        <w:rPr/>
        <w:t>146.95</w:t>
      </w:r>
      <w:r>
        <w:rPr/>
        <w:t>，需经营改善显著超基准。</w:t>
      </w:r>
    </w:p>
    <w:p>
      <w:pPr>
        <w:pStyle w:val="Normal"/>
        <w:rPr/>
      </w:pPr>
      <w:r>
        <w:rPr/>
        <w:t>一年应把公司确认的现金改善与一次营运资本反转区分。若供应应付重新增长让经营现金转正，但现金税、借款息和资本增加仍大，净可用现金未必改善。若利润靠政府支持、利息和公允价值，正常经营仍弱，也不支持成长倍数稳定。最值得上调的证据是单位车贡献提高、服务收款按合同正常、核心费用增速低于毛利且质量风险可控。最值得下调的是收入增长但现金回收差，或研发追赶不断要求新融资，普通股每股价值被稀释。</w:t>
      </w:r>
    </w:p>
    <w:p>
      <w:pPr>
        <w:pStyle w:val="Heading2"/>
        <w:rPr/>
      </w:pPr>
      <w:r>
        <w:rPr>
          <w:color w:val="000000"/>
        </w:rPr>
        <w:t>十二 三年 五年及十年持续性</w:t>
      </w:r>
    </w:p>
    <w:p>
      <w:pPr>
        <w:pStyle w:val="Normal"/>
        <w:rPr/>
      </w:pPr>
      <w:r>
        <w:rPr/>
        <w:t>三年基准价</w:t>
      </w:r>
      <w:r>
        <w:rPr/>
        <w:t>82.45</w:t>
      </w:r>
      <w:r>
        <w:rPr/>
        <w:t>港元，对现价累计股价回报约百分之一百一十五点零五，三年年化约百分之二十九。模型汽车</w:t>
      </w:r>
      <w:r>
        <w:rPr/>
        <w:t>90</w:t>
      </w:r>
      <w:r>
        <w:rPr/>
        <w:t>万辆、均价</w:t>
      </w:r>
      <w:r>
        <w:rPr/>
        <w:t>17.8</w:t>
      </w:r>
      <w:r>
        <w:rPr/>
        <w:t>万元、服务</w:t>
      </w:r>
      <w:r>
        <w:rPr/>
        <w:t>180</w:t>
      </w:r>
      <w:r>
        <w:rPr/>
        <w:t>亿元，核心汽车毛利百分之十八，完整费用仍增长。机器人三十亿元收入与较大研发造成损失，使归母正常利润只有约</w:t>
      </w:r>
      <w:r>
        <w:rPr/>
        <w:t>2.80</w:t>
      </w:r>
      <w:r>
        <w:rPr/>
        <w:t>亿元。如此薄的利润提醒三年基准价主要建立在平台持续改进预期和销售估值上，若三年后仍只有这类利润，市场可能不给一倍销售。必须同时用现金流和最终利润检验估值是否过高。</w:t>
      </w:r>
    </w:p>
    <w:p>
      <w:pPr>
        <w:pStyle w:val="Normal"/>
        <w:rPr/>
      </w:pPr>
      <w:r>
        <w:rPr/>
        <w:t>三年乐观</w:t>
      </w:r>
      <w:r>
        <w:rPr/>
        <w:t>140</w:t>
      </w:r>
      <w:r>
        <w:rPr/>
        <w:t>万辆、净价</w:t>
      </w:r>
      <w:r>
        <w:rPr/>
        <w:t>20</w:t>
      </w:r>
      <w:r>
        <w:rPr/>
        <w:t>万元和更高毛利，服务</w:t>
      </w:r>
      <w:r>
        <w:rPr/>
        <w:t>280</w:t>
      </w:r>
      <w:r>
        <w:rPr/>
        <w:t>亿元，机器人收入</w:t>
      </w:r>
      <w:r>
        <w:rPr/>
        <w:t>90</w:t>
      </w:r>
      <w:r>
        <w:rPr/>
        <w:t>亿元，才能形成约</w:t>
      </w:r>
      <w:r>
        <w:rPr/>
        <w:t>194.23</w:t>
      </w:r>
      <w:r>
        <w:rPr/>
        <w:t>亿元正常归母利润，对应</w:t>
      </w:r>
      <w:r>
        <w:rPr/>
        <w:t>226.46</w:t>
      </w:r>
      <w:r>
        <w:rPr/>
        <w:t>港元。这个情景包含产品、海外、技术合作和机器人同时成功，不能当一般复利结果。三年悲观</w:t>
      </w:r>
      <w:r>
        <w:rPr/>
        <w:t>28</w:t>
      </w:r>
      <w:r>
        <w:rPr/>
        <w:t>万辆，持续投入、融资和优先追索使普通股无剩余。长期排名应比较基准可实现性和悲观代价，不能仅按最高目标排序。小鹏成长弹性强，但成功条件多，所以得分没有因为乐观三年六倍上涨而达到高确信等级。</w:t>
      </w:r>
    </w:p>
    <w:p>
      <w:pPr>
        <w:pStyle w:val="Normal"/>
        <w:rPr/>
      </w:pPr>
      <w:r>
        <w:rPr/>
        <w:t>五年基准汽车</w:t>
      </w:r>
      <w:r>
        <w:rPr/>
        <w:t>120</w:t>
      </w:r>
      <w:r>
        <w:rPr/>
        <w:t>万辆、净均价</w:t>
      </w:r>
      <w:r>
        <w:rPr/>
        <w:t>18</w:t>
      </w:r>
      <w:r>
        <w:rPr/>
        <w:t>万元、服务</w:t>
      </w:r>
      <w:r>
        <w:rPr/>
        <w:t>250</w:t>
      </w:r>
      <w:r>
        <w:rPr/>
        <w:t>亿元，核心研发</w:t>
      </w:r>
      <w:r>
        <w:rPr/>
        <w:t>230</w:t>
      </w:r>
      <w:r>
        <w:rPr/>
        <w:t>亿元与销售行政</w:t>
      </w:r>
      <w:r>
        <w:rPr/>
        <w:t>240</w:t>
      </w:r>
      <w:r>
        <w:rPr/>
        <w:t>亿元，机器人仍处高投入阶段，归母正常利润约</w:t>
      </w:r>
      <w:r>
        <w:rPr/>
        <w:t>44.57</w:t>
      </w:r>
      <w:r>
        <w:rPr/>
        <w:t>亿元。目标</w:t>
      </w:r>
      <w:r>
        <w:rPr/>
        <w:t>93.14</w:t>
      </w:r>
      <w:r>
        <w:rPr/>
        <w:t>港元，加累计</w:t>
      </w:r>
      <w:r>
        <w:rPr/>
        <w:t>1</w:t>
      </w:r>
      <w:r>
        <w:rPr/>
        <w:t>港元股息后含息五年年化约百分之十九点七。股息是假设，必须在现金足够且董事会决定后才可实现，不能称当前收益率。五年乐观</w:t>
      </w:r>
      <w:r>
        <w:rPr/>
        <w:t>308.74</w:t>
      </w:r>
      <w:r>
        <w:rPr/>
        <w:t>依赖</w:t>
      </w:r>
      <w:r>
        <w:rPr/>
        <w:t>200</w:t>
      </w:r>
      <w:r>
        <w:rPr/>
        <w:t>万辆、高毛利服务以及机器人大规模付费，经济和技术要求很高。五年周期更长，资本分配失误也有更长累积时间。</w:t>
      </w:r>
    </w:p>
    <w:p>
      <w:pPr>
        <w:pStyle w:val="Normal"/>
        <w:rPr/>
      </w:pPr>
      <w:r>
        <w:rPr/>
        <w:t>十年经营展望应关注公司能否从不断追赶技术转为可重复投入回报。理想状态是汽车平台稳定更新、外部技术客户形成多元收入、机器人在有限可盈利场景取得重复订单，并能由业务现金支持新研发。较差状态是每次竞争升级都需要重建平台、每个产品都靠促销、机器人没有售后可控商业模式。十年不再给一个精确价格，因车型、资本结构和股数路径难以合理锁定。长期经营持续性是检查五年假设的工具，而不是把五年目标再机械翻倍。</w:t>
      </w:r>
    </w:p>
    <w:p>
      <w:pPr>
        <w:pStyle w:val="Heading2"/>
        <w:rPr/>
      </w:pPr>
      <w:r>
        <w:rPr>
          <w:color w:val="000000"/>
        </w:rPr>
        <w:t>十三 经济前景 政策和海外渠道</w:t>
      </w:r>
    </w:p>
    <w:p>
      <w:pPr>
        <w:pStyle w:val="Normal"/>
        <w:rPr/>
      </w:pPr>
      <w:r>
        <w:rPr/>
        <w:t>汽车属于居民和企业大额资本消费，利率、就业和收入预期影响购买决策。降息可能降低按揭成本，但若消费者对收入担忧或等待新产品降价，低利率未必马上转化订单。公司财资收入亦可能随利率下降，贷款费用同时下降，两者需净看。港股折现率和全球风险偏好影响销售倍数，短期价格可以在盈利不变时大幅变化。本章年底乐观包含估值修复，因此宏观弱时不能仍保留高倍数而只略调销量。</w:t>
      </w:r>
    </w:p>
    <w:p>
      <w:pPr>
        <w:pStyle w:val="Normal"/>
        <w:rPr/>
      </w:pPr>
      <w:r>
        <w:rPr/>
        <w:t>新能源渗透提高是行业空间，但总乘用车需求与单家公司份额不同。行业增长可能同时加剧价格竞争、推动电池成本下降和功能普及。小鹏如果靠技术提高客户价值，可以保均价；如果技术成为共同配置，就需成本和品牌取得竞争优势。补贴、购置税安排和以旧换新存在时间影响，消费者可能提前购买或之后观望，季度销量不能脱离政策窗口解释。研究不根据行业政策标题给公司保证增量，后续需以真实交付结构和毛利反馈核验。</w:t>
      </w:r>
    </w:p>
    <w:p>
      <w:pPr>
        <w:pStyle w:val="Normal"/>
        <w:rPr/>
      </w:pPr>
      <w:r>
        <w:rPr/>
        <w:t>海外可以提高销售结构并分散国内竞争，也带来关税、认证、维修网络、零部件和营运资金压力。公告海外发布与门店扩张只证明渠道建设，不证明渠道有稳定利润。出口与本地生产在关税和资本需求上不同，海外本地化可能中期拉低利润率。人民币升值会影响外币销售折算和应收重估，人民币贬值则可能提高部分进口芯片或海外成本。模型本币以人民币经营、港币目标转换，不在经营毛利里额外重复加入汇率收益。</w:t>
      </w:r>
    </w:p>
    <w:p>
      <w:pPr>
        <w:pStyle w:val="Normal"/>
        <w:rPr/>
      </w:pPr>
      <w:r>
        <w:rPr/>
        <w:t>公司补能网络上半年</w:t>
      </w:r>
      <w:r>
        <w:rPr/>
        <w:t>3780</w:t>
      </w:r>
      <w:r>
        <w:rPr/>
        <w:t>个自营站，九月底超过</w:t>
      </w:r>
      <w:r>
        <w:rPr/>
        <w:t>4000</w:t>
      </w:r>
      <w:r>
        <w:rPr/>
        <w:t>个，公告覆盖</w:t>
      </w:r>
      <w:r>
        <w:rPr/>
        <w:t>430</w:t>
      </w:r>
      <w:r>
        <w:rPr/>
        <w:t>多个城市及较多超快充。这能提升用户体验，但须看站点使用率、维护、租金和电力成本。充电资产资本投入与汽车销售共享基础设施，一方面可能改善转化，另一方面会消耗现金。报告不将站数按任意单站估值全加净资产，也不把网络增长视为无成本护城河。验证要点是用户是否因此提高选择小鹏的概率，以及运营贡献是否足够承担资本和维护。</w:t>
      </w:r>
    </w:p>
    <w:p>
      <w:pPr>
        <w:pStyle w:val="Heading2"/>
        <w:rPr/>
      </w:pPr>
      <w:r>
        <w:rPr>
          <w:color w:val="000000"/>
        </w:rPr>
        <w:t>十四 机构目标 汇率与反证清单</w:t>
      </w:r>
    </w:p>
    <w:p>
      <w:pPr>
        <w:pStyle w:val="Normal"/>
        <w:rPr/>
      </w:pPr>
      <w:r>
        <w:rPr/>
        <w:t>可公开核验的最近目标是</w:t>
      </w:r>
      <w:r>
        <w:rPr/>
        <w:t>9</w:t>
      </w:r>
      <w:r>
        <w:rPr/>
        <w:t>月</w:t>
      </w:r>
      <w:r>
        <w:rPr/>
        <w:t>16</w:t>
      </w:r>
      <w:r>
        <w:rPr/>
        <w:t>日大摩将小鹏港股目标从</w:t>
      </w:r>
      <w:r>
        <w:rPr/>
        <w:t>96</w:t>
      </w:r>
      <w:r>
        <w:rPr/>
        <w:t>调至</w:t>
      </w:r>
      <w:r>
        <w:rPr/>
        <w:t>70</w:t>
      </w:r>
      <w:r>
        <w:rPr/>
        <w:t>港元，评级增持，新闻转述原研报尚未取得，目标期限公开转载没有明确。</w:t>
      </w:r>
      <w:r>
        <w:rPr/>
        <w:t>70</w:t>
      </w:r>
      <w:r>
        <w:rPr/>
        <w:t>相对</w:t>
      </w:r>
      <w:r>
        <w:rPr/>
        <w:t>38.34</w:t>
      </w:r>
      <w:r>
        <w:rPr/>
        <w:t>约上涨百分之八十二点六，位于本章一年基准与乐观之间。该新闻同时指出车企经营质量分化和海外本地化成本压力，不能只摘目标数。记录按同机构最新有效目标去重，也不把行业新闻中其他车企的价误当小鹏。缺少原研报盈利与期限模型时，仅作估值观点交叉参照。</w:t>
      </w:r>
    </w:p>
    <w:p>
      <w:pPr>
        <w:pStyle w:val="Normal"/>
        <w:rPr/>
      </w:pPr>
      <w:r>
        <w:rPr/>
        <w:t>本章不能因此把</w:t>
      </w:r>
      <w:r>
        <w:rPr/>
        <w:t>70</w:t>
      </w:r>
      <w:r>
        <w:rPr/>
        <w:t>标注为已验证十二个月目标。研究明确缺少期限，一年估值比较只能说明市场看法位置，不能冒充严格同期限一致。对年底更不能直接引用</w:t>
      </w:r>
      <w:r>
        <w:rPr/>
        <w:t>70</w:t>
      </w:r>
      <w:r>
        <w:rPr/>
        <w:t>，因为年底信息集和剩余经营证据不同。未来取得原始报告后应核验是否含机器人价值、融资股数及服务收入假设。机构预期本身也会修订，原</w:t>
      </w:r>
      <w:r>
        <w:rPr/>
        <w:t>96</w:t>
      </w:r>
      <w:r>
        <w:rPr/>
        <w:t>下调</w:t>
      </w:r>
      <w:r>
        <w:rPr/>
        <w:t>70</w:t>
      </w:r>
      <w:r>
        <w:rPr/>
        <w:t>说明目标不是固定客观真值。评分保持独立，半年因日周线和现金压力低于机构评级所可能暗示的乐观程度。</w:t>
      </w:r>
    </w:p>
    <w:p>
      <w:pPr>
        <w:pStyle w:val="Normal"/>
        <w:rPr/>
      </w:pPr>
      <w:r>
        <w:rPr/>
        <w:t>本币港币回报不等于人民币投资者回报。若港币相对人民币贬百分之五，人民币回报为一加港币回报再乘百分之九十五减一；升百分之五则乘百分之一百零五。比如一年基准港币回报约百分之五十三点二三，汇率负五和正五敏感性约百分之四十五点五七与六十点八九。三年、五年年化从最终含息总价值再开对应年数次方，不把累计百分比简单除年数。模型经营人民币兑港币</w:t>
      </w:r>
      <w:r>
        <w:rPr/>
        <w:t>1.1</w:t>
      </w:r>
      <w:r>
        <w:rPr/>
        <w:t>为研究假设，变化时需刷新全体快照并标版本。</w:t>
      </w:r>
    </w:p>
    <w:p>
      <w:pPr>
        <w:pStyle w:val="Normal"/>
        <w:rPr/>
      </w:pPr>
      <w:r>
        <w:rPr/>
        <w:t>推荐最直接的经营反证是连续新车型交付不达合理规模、净售价下降快于成本改善、汽车毛利长期低于模型路径，以及服务收入靠过往履约追补却没有未来合同现金。资金反证是库存和客户分期不断增长、供应付款收缩同时经营持续亏损、受限现金扩大或借款成本及抵押约束增加。治理反证是机器人权益分配持续有利于关联主体而母继续承担出资、追索及共享研发。任何一组证据恶化都应下调估值，不需等待股价技术跌破才承认逻辑失败。</w:t>
      </w:r>
    </w:p>
    <w:p>
      <w:pPr>
        <w:pStyle w:val="Normal"/>
        <w:rPr/>
      </w:pPr>
      <w:r>
        <w:rPr/>
        <w:t>反向证据也需量化。汽车与技术毛利持续覆盖完整研发销售行政、经营现金在正常付款周期下转正、服务合作形成多个客户并可收款、机器人交割及优先条款披露更清楚、真实付费收入能覆盖边际成本，才适合提高商业质量和估值分数。市场证据是周线与相对强弱改善，但只负责半年时机，不替代经营事实。四个期限最终排名以总表同一权重、基准含息回报和悲观损失规则生成，独立章节不自行编造在未完成全榜中的固定名次。</w:t>
      </w:r>
    </w:p>
    <w:p>
      <w:pPr>
        <w:pStyle w:val="Heading2"/>
        <w:rPr/>
      </w:pPr>
      <w:r>
        <w:rPr>
          <w:color w:val="000000"/>
        </w:rPr>
        <w:t>来源与模型核验</w:t>
      </w:r>
    </w:p>
    <w:p>
      <w:pPr>
        <w:pStyle w:val="Normal"/>
        <w:rPr/>
      </w:pPr>
      <w:r>
        <w:rPr/>
        <w:t>原件：</w:t>
      </w:r>
      <w:r>
        <w:rPr/>
        <w:t>2025</w:t>
      </w:r>
      <w:r>
        <w:rPr/>
        <w:t>年报</w:t>
      </w:r>
      <w:r>
        <w:rPr/>
        <w:t>4/16</w:t>
      </w:r>
      <w:r>
        <w:rPr/>
        <w:t>收盘后；</w:t>
      </w:r>
      <w:r>
        <w:rPr/>
        <w:t>2025</w:t>
      </w:r>
      <w:r>
        <w:rPr/>
        <w:t>业绩</w:t>
      </w:r>
      <w:r>
        <w:rPr/>
        <w:t>3/20</w:t>
      </w:r>
      <w:r>
        <w:rPr/>
        <w:t>收盘后；</w:t>
      </w:r>
      <w:r>
        <w:rPr/>
        <w:t>2026</w:t>
      </w:r>
      <w:r>
        <w:rPr/>
        <w:t>中报</w:t>
      </w:r>
      <w:r>
        <w:rPr/>
        <w:t>9/28</w:t>
      </w:r>
      <w:r>
        <w:rPr/>
        <w:t>收盘后；上半年及第二季</w:t>
      </w:r>
      <w:r>
        <w:rPr/>
        <w:t>8/24</w:t>
      </w:r>
      <w:r>
        <w:rPr/>
        <w:t>收盘后；</w:t>
      </w:r>
      <w:r>
        <w:rPr/>
        <w:t>9</w:t>
      </w:r>
      <w:r>
        <w:rPr/>
        <w:t>月股数月报</w:t>
      </w:r>
      <w:r>
        <w:rPr/>
        <w:t>10/7</w:t>
      </w:r>
      <w:r>
        <w:rPr/>
        <w:t>收盘后；</w:t>
      </w:r>
      <w:r>
        <w:rPr/>
        <w:t>9</w:t>
      </w:r>
      <w:r>
        <w:rPr/>
        <w:t>月与第三季交付</w:t>
      </w:r>
      <w:r>
        <w:rPr/>
        <w:t>10/2</w:t>
      </w:r>
      <w:r>
        <w:rPr/>
        <w:t>午间；</w:t>
      </w:r>
      <w:r>
        <w:rPr/>
        <w:t>Dogotix</w:t>
      </w:r>
      <w:r>
        <w:rPr/>
        <w:t>认购</w:t>
      </w:r>
      <w:r>
        <w:rPr/>
        <w:t>8/24</w:t>
      </w:r>
      <w:r>
        <w:rPr/>
        <w:t>收盘后；海外监管</w:t>
      </w:r>
      <w:r>
        <w:rPr/>
        <w:t>S-8 9/16</w:t>
      </w:r>
      <w:r>
        <w:rPr/>
        <w:t>开市前。</w:t>
      </w:r>
      <w:r>
        <w:rPr/>
        <w:t>S-8</w:t>
      </w:r>
      <w:r>
        <w:rPr/>
        <w:t>增加注册</w:t>
      </w:r>
      <w:r>
        <w:rPr/>
        <w:t>1400</w:t>
      </w:r>
      <w:r>
        <w:rPr/>
        <w:t>万股是奖励计划证券注册，不能解释为机器人交割完成或已融资发行。</w:t>
      </w:r>
    </w:p>
    <w:p>
      <w:pPr>
        <w:pStyle w:val="Normal"/>
        <w:rPr/>
      </w:pPr>
      <w:r>
        <w:rPr/>
        <w:t>来源及日期逐条存</w:t>
      </w:r>
      <w:r>
        <w:rPr/>
        <w:t>data/xpeng_model.pending.json</w:t>
      </w:r>
      <w:r>
        <w:rPr/>
        <w:t>，原件保存在</w:t>
      </w:r>
      <w:r>
        <w:rPr/>
        <w:t>data/tech_raw/xpeng_*.pdf</w:t>
      </w:r>
      <w:r>
        <w:rPr/>
        <w:t>。模型使用</w:t>
      </w:r>
      <w:r>
        <w:rPr/>
        <w:t>tools/xpeng_native.mjs</w:t>
      </w:r>
      <w:r>
        <w:rPr/>
        <w:t>独立计算，</w:t>
      </w:r>
      <w:r>
        <w:rPr/>
        <w:t>tools/xpeng_workbook.mjs</w:t>
      </w:r>
      <w:r>
        <w:rPr/>
        <w:t>生成单套活动四表：小鹏经营资本假设、小鹏汽车技术利润桥、小鹏机器人优先权桥、小鹏现金每股估值桥。已做</w:t>
      </w:r>
      <w:r>
        <w:rPr/>
        <w:t>720</w:t>
      </w:r>
      <w:r>
        <w:rPr/>
        <w:t>原子输入、</w:t>
      </w:r>
      <w:r>
        <w:rPr/>
        <w:t>6733</w:t>
      </w:r>
      <w:r>
        <w:rPr/>
        <w:t>检查与</w:t>
      </w:r>
      <w:r>
        <w:rPr/>
        <w:t>48</w:t>
      </w:r>
      <w:r>
        <w:rPr/>
        <w:t>字段修改恢复，尚需总报告集成、字数与正文数字核验和最终文档视觉验收。</w:t>
      </w:r>
      <w:r>
        <w:br w:type="page"/>
      </w:r>
    </w:p>
    <w:p>
      <w:pPr>
        <w:pStyle w:val="Heading1"/>
        <w:spacing w:before="0" w:after="0"/>
        <w:rPr/>
      </w:pPr>
      <w:bookmarkStart w:id="1" w:name="__RefHeading___Toc59277_1364803659"/>
      <w:bookmarkEnd w:id="1"/>
      <w:r>
        <w:rPr>
          <w:color w:val="000000"/>
        </w:rPr>
        <w:t xml:space="preserve">迈威生物 </w:t>
      </w:r>
      <w:r>
        <w:rPr>
          <w:color w:val="000000"/>
        </w:rPr>
        <w:t>688062 SH</w:t>
      </w:r>
    </w:p>
    <w:p>
      <w:pPr>
        <w:pStyle w:val="Normal"/>
        <w:rPr/>
      </w:pPr>
      <w:r>
        <w:rPr/>
        <w:t xml:space="preserve">688062.SH </w:t>
      </w:r>
      <w:r>
        <w:rPr/>
        <w:t xml:space="preserve">现价 </w:t>
      </w:r>
      <w:r>
        <w:rPr/>
        <w:t>24.78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10</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-48.24%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-48.24%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10</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8.93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-63.96%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-63.96%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-47.39%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-47.39%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18.95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-23.53%</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13.63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17.59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-29.03%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40.16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+62.06%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22.24CNY</w:t>
      </w:r>
      <w:r>
        <w:rPr/>
        <w:t>，期望股价回报</w:t>
      </w:r>
      <w:r>
        <w:rPr/>
        <w:t>-10.25%</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8.67</w:t>
              <w:br/>
              <w:t>-65.00%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12.83</w:t>
              <w:br/>
              <w:t>-48.24%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50.86</w:t>
              <w:br/>
              <w:t>+105.24%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3.72</w:t>
              <w:br/>
              <w:t>-85.00%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8.93</w:t>
              <w:br/>
              <w:t>-63.96%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66.68</w:t>
              <w:br/>
              <w:t>+169.10%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13.04</w:t>
              <w:br/>
              <w:t>-47.39%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92.05</w:t>
              <w:br/>
              <w:t>+271.48%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-19.27%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18.95</w:t>
              <w:br/>
              <w:t>-23.53%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106.74</w:t>
              <w:br/>
              <w:t>+330.75%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-5.22%</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基本面</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高：财报</w:t>
            </w:r>
            <w:r>
              <w:rPr>
                <w:rFonts w:eastAsia="微软雅黑" w:ascii="微软雅黑" w:hAnsi="微软雅黑"/>
                <w:sz w:val="17"/>
              </w:rPr>
              <w:t>/</w:t>
            </w:r>
            <w:r>
              <w:rPr>
                <w:rFonts w:ascii="微软雅黑" w:hAnsi="微软雅黑" w:eastAsia="微软雅黑"/>
                <w:sz w:val="17"/>
              </w:rPr>
              <w:t>交易</w:t>
            </w:r>
            <w:r>
              <w:rPr>
                <w:rFonts w:eastAsia="微软雅黑" w:ascii="微软雅黑" w:hAnsi="微软雅黑"/>
                <w:sz w:val="17"/>
              </w:rPr>
              <w:t>/</w:t>
            </w:r>
            <w:r>
              <w:rPr>
                <w:rFonts w:ascii="微软雅黑" w:hAnsi="微软雅黑" w:eastAsia="微软雅黑"/>
                <w:sz w:val="17"/>
              </w:rPr>
              <w:t>募集资金原件，合约费率</w:t>
            </w:r>
            <w:r>
              <w:rPr>
                <w:rFonts w:eastAsia="微软雅黑" w:ascii="微软雅黑" w:hAnsi="微软雅黑"/>
                <w:sz w:val="17"/>
              </w:rPr>
              <w:t>/</w:t>
            </w:r>
            <w:r>
              <w:rPr>
                <w:rFonts w:ascii="微软雅黑" w:hAnsi="微软雅黑" w:eastAsia="微软雅黑"/>
                <w:sz w:val="17"/>
              </w:rPr>
              <w:t>监管全文部分缺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量价</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高：锁版</w:t>
            </w:r>
            <w:r>
              <w:rPr>
                <w:rFonts w:eastAsia="微软雅黑" w:ascii="微软雅黑" w:hAnsi="微软雅黑"/>
                <w:sz w:val="17"/>
              </w:rPr>
              <w:t>728</w:t>
            </w:r>
            <w:r>
              <w:rPr>
                <w:rFonts w:ascii="微软雅黑" w:hAnsi="微软雅黑" w:eastAsia="微软雅黑"/>
                <w:sz w:val="17"/>
              </w:rPr>
              <w:t>日双源一根</w:t>
            </w:r>
            <w:r>
              <w:rPr>
                <w:rFonts w:eastAsia="微软雅黑" w:ascii="微软雅黑" w:hAnsi="微软雅黑"/>
                <w:sz w:val="17"/>
              </w:rPr>
              <w:t>OHLC</w:t>
            </w:r>
            <w:r>
              <w:rPr>
                <w:rFonts w:ascii="微软雅黑" w:hAnsi="微软雅黑" w:eastAsia="微软雅黑"/>
                <w:sz w:val="17"/>
              </w:rPr>
              <w:t>按独立原</w:t>
            </w:r>
            <w:r>
              <w:rPr>
                <w:rFonts w:eastAsia="微软雅黑" w:ascii="微软雅黑" w:hAnsi="微软雅黑"/>
                <w:sz w:val="17"/>
              </w:rPr>
              <w:t>bar</w:t>
            </w:r>
            <w:r>
              <w:rPr>
                <w:rFonts w:ascii="微软雅黑" w:hAnsi="微软雅黑" w:eastAsia="微软雅黑"/>
                <w:sz w:val="17"/>
              </w:rPr>
              <w:t>修复，行业</w:t>
            </w:r>
            <w:r>
              <w:rPr>
                <w:rFonts w:eastAsia="微软雅黑" w:ascii="微软雅黑" w:hAnsi="微软雅黑"/>
                <w:sz w:val="17"/>
              </w:rPr>
              <w:t>RS</w:t>
            </w:r>
            <w:r>
              <w:rPr>
                <w:rFonts w:ascii="微软雅黑" w:hAnsi="微软雅黑" w:eastAsia="微软雅黑"/>
                <w:sz w:val="17"/>
              </w:rPr>
              <w:t>缺</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中低：临床成功</w:t>
            </w:r>
            <w:r>
              <w:rPr>
                <w:rFonts w:eastAsia="微软雅黑" w:ascii="微软雅黑" w:hAnsi="微软雅黑"/>
                <w:sz w:val="17"/>
              </w:rPr>
              <w:t>/</w:t>
            </w:r>
            <w:r>
              <w:rPr>
                <w:rFonts w:ascii="微软雅黑" w:hAnsi="微软雅黑" w:eastAsia="微软雅黑"/>
                <w:sz w:val="17"/>
              </w:rPr>
              <w:t>销售</w:t>
            </w:r>
            <w:r>
              <w:rPr>
                <w:rFonts w:eastAsia="微软雅黑" w:ascii="微软雅黑" w:hAnsi="微软雅黑"/>
                <w:sz w:val="17"/>
              </w:rPr>
              <w:t>/</w:t>
            </w:r>
            <w:r>
              <w:rPr>
                <w:rFonts w:ascii="微软雅黑" w:hAnsi="微软雅黑" w:eastAsia="微软雅黑"/>
                <w:sz w:val="17"/>
              </w:rPr>
              <w:t>授权费率</w:t>
            </w:r>
            <w:r>
              <w:rPr>
                <w:rFonts w:eastAsia="微软雅黑" w:ascii="微软雅黑" w:hAnsi="微软雅黑"/>
                <w:sz w:val="17"/>
              </w:rPr>
              <w:t>/</w:t>
            </w:r>
            <w:r>
              <w:rPr>
                <w:rFonts w:ascii="微软雅黑" w:hAnsi="微软雅黑" w:eastAsia="微软雅黑"/>
                <w:sz w:val="17"/>
              </w:rPr>
              <w:t>净债</w:t>
            </w:r>
            <w:r>
              <w:rPr>
                <w:rFonts w:eastAsia="微软雅黑" w:ascii="微软雅黑" w:hAnsi="微软雅黑"/>
                <w:sz w:val="17"/>
              </w:rPr>
              <w:t>/</w:t>
            </w:r>
            <w:r>
              <w:rPr>
                <w:rFonts w:ascii="微软雅黑" w:hAnsi="微软雅黑" w:eastAsia="微软雅黑"/>
                <w:sz w:val="17"/>
              </w:rPr>
              <w:t>融资假设宽；早期</w:t>
            </w:r>
            <w:r>
              <w:rPr>
                <w:rFonts w:eastAsia="微软雅黑" w:ascii="微软雅黑" w:hAnsi="微软雅黑"/>
                <w:sz w:val="17"/>
              </w:rPr>
              <w:t>CDH17</w:t>
            </w:r>
            <w:r>
              <w:rPr>
                <w:rFonts w:ascii="微软雅黑" w:hAnsi="微软雅黑" w:eastAsia="微软雅黑"/>
                <w:sz w:val="17"/>
              </w:rPr>
              <w:t>极低</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机构目标</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缺失</w:t>
            </w:r>
          </w:p>
        </w:tc>
      </w:tr>
    </w:tbl>
    <w:p>
      <w:pPr>
        <w:pStyle w:val="Normal"/>
        <w:rPr/>
      </w:pPr>
      <w:r>
        <w:rPr/>
      </w:r>
    </w:p>
    <w:p>
      <w:pPr>
        <w:pStyle w:val="Normal"/>
        <w:rPr/>
      </w:pPr>
      <w:r>
        <w:rPr/>
        <w:drawing>
          <wp:inline distT="0" distB="0" distL="0" distR="0">
            <wp:extent cx="5975985"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I002</w:t>
      </w:r>
      <w:r>
        <w:rPr/>
        <w:t>，证券</w:t>
      </w:r>
      <w:r>
        <w:rPr/>
        <w:t>S002</w:t>
      </w:r>
      <w:r>
        <w:rPr/>
        <w:t>，</w:t>
      </w:r>
      <w:r>
        <w:rPr/>
        <w:t>688062.SH</w:t>
      </w:r>
      <w:r>
        <w:rPr/>
        <w:t>。基准为</w:t>
      </w:r>
      <w:r>
        <w:rPr/>
        <w:t>2026</w:t>
      </w:r>
      <w:r>
        <w:rPr/>
        <w:t>年</w:t>
      </w:r>
      <w:r>
        <w:rPr/>
        <w:t>10</w:t>
      </w:r>
      <w:r>
        <w:rPr/>
        <w:t>月</w:t>
      </w:r>
      <w:r>
        <w:rPr/>
        <w:t>9</w:t>
      </w:r>
      <w:r>
        <w:rPr/>
        <w:t>日收盘</w:t>
      </w:r>
      <w:r>
        <w:rPr/>
        <w:t>24.78</w:t>
      </w:r>
      <w:r>
        <w:rPr/>
        <w:t>元人民币，资料截止同日。独立初版，股票行情沿用</w:t>
      </w:r>
      <w:r>
        <w:rPr/>
        <w:t>market-v1.5</w:t>
      </w:r>
      <w:r>
        <w:rPr/>
        <w:t>；与股票</w:t>
      </w:r>
      <w:r>
        <w:rPr/>
        <w:t>v1.4</w:t>
      </w:r>
      <w:r>
        <w:rPr/>
        <w:t>一致。金额除另注外为人民币百万元，模型现金流另注明十亿元。</w:t>
      </w:r>
      <w:r>
        <w:rPr/>
        <w:t>H</w:t>
      </w:r>
      <w:r>
        <w:rPr/>
        <w:t>股</w:t>
      </w:r>
      <w:r>
        <w:rPr/>
        <w:t>2493.HK</w:t>
      </w:r>
      <w:r>
        <w:rPr/>
        <w:t>已于</w:t>
      </w:r>
      <w:r>
        <w:rPr/>
        <w:t>4</w:t>
      </w:r>
      <w:r>
        <w:rPr/>
        <w:t>月上市，虽不在原推荐证券名单，全部</w:t>
      </w:r>
      <w:r>
        <w:rPr/>
        <w:t>446730200</w:t>
      </w:r>
      <w:r>
        <w:rPr/>
        <w:t>股必须进入发行人估值分母。本章不补造</w:t>
      </w:r>
      <w:r>
        <w:rPr/>
        <w:t>H</w:t>
      </w:r>
      <w:r>
        <w:rPr/>
        <w:t>股基准价格或两地溢价。未来目标遇休市，按总表此前最后交易日展示。</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评分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乐观目标，元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基准股价及含分红回报</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基准累计分红</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8.67 / 12.83 / 50.86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-48.24%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3.72 / 8.93 / 66.68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-63.96%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 / 13.04 / 92.05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-47.39%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 / 18.95 / 106.74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不另评分</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13.63 / 17.59 / 40.16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-29.03%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bl>
    <w:p>
      <w:pPr>
        <w:pStyle w:val="Normal"/>
        <w:rPr/>
      </w:pPr>
      <w:r>
        <w:rPr/>
      </w:r>
    </w:p>
    <w:p>
      <w:pPr>
        <w:pStyle w:val="Normal"/>
        <w:rPr/>
      </w:pPr>
      <w:r>
        <w:rPr/>
        <w:t>三、五年基准年化分别</w:t>
      </w:r>
      <w:r>
        <w:rPr/>
        <w:t>-19.27%</w:t>
      </w:r>
      <w:r>
        <w:rPr/>
        <w:t>、</w:t>
      </w:r>
      <w:r>
        <w:rPr/>
        <w:t>-5.22%</w:t>
      </w:r>
      <w:r>
        <w:rPr/>
        <w:t>。年底判断权重</w:t>
      </w:r>
      <w:r>
        <w:rPr/>
        <w:t>25%/50%/25%</w:t>
      </w:r>
      <w:r>
        <w:rPr/>
        <w:t>得期望价</w:t>
      </w:r>
      <w:r>
        <w:rPr/>
        <w:t>22.2392</w:t>
      </w:r>
      <w:r>
        <w:rPr/>
        <w:t>元、期望回报</w:t>
      </w:r>
      <w:r>
        <w:rPr/>
        <w:t>-10.25%</w:t>
      </w:r>
      <w:r>
        <w:rPr/>
        <w:t>；</w:t>
      </w:r>
      <w:r>
        <w:rPr/>
        <w:t>40%/50%/10%</w:t>
      </w:r>
      <w:r>
        <w:rPr/>
        <w:t>得</w:t>
      </w:r>
      <w:r>
        <w:rPr/>
        <w:t>18.2599</w:t>
      </w:r>
      <w:r>
        <w:rPr/>
        <w:t>元，</w:t>
      </w:r>
      <w:r>
        <w:rPr/>
        <w:t>10%/50%/40%</w:t>
      </w:r>
      <w:r>
        <w:rPr/>
        <w:t>得</w:t>
      </w:r>
      <w:r>
        <w:rPr/>
        <w:t>26.2185</w:t>
      </w:r>
      <w:r>
        <w:rPr/>
        <w:t>元。三、五年零元仅表示严重失败下资产不足抵偿净债及后续开发成本，普通股内在剩余估值截断为零，不是已发生破产或预测某日实际成交零元。短期价另计不完全重估系数，完整内在压力仍保存。宽区间来自管线、价格认知与融资假设，不能作为统计置信区间。结论为短期观察、长期条件候选，现价下不进入优先推荐核心；最终梯队由全榜统一归组。</w:t>
      </w:r>
    </w:p>
    <w:p>
      <w:pPr>
        <w:pStyle w:val="Heading2"/>
        <w:rPr/>
      </w:pPr>
      <w:r>
        <w:rPr>
          <w:color w:val="000000"/>
        </w:rPr>
        <w:t>投资结论</w:t>
      </w:r>
    </w:p>
    <w:p>
      <w:pPr>
        <w:pStyle w:val="Normal"/>
        <w:rPr/>
      </w:pPr>
      <w:r>
        <w:rPr/>
        <w:t>迈威拥有实际上市的生物药、多个进入关键研究的</w:t>
      </w:r>
      <w:r>
        <w:rPr/>
        <w:t>ADC</w:t>
      </w:r>
      <w:r>
        <w:rPr/>
        <w:t>，以及可由海外合作方承担部分开发的授权资产，科学和商业机会并不小。但购买股票获得的是扣除债务、未来研发费用和融资稀释后的剩余权益。当前价格折算全部</w:t>
      </w:r>
      <w:r>
        <w:rPr/>
        <w:t>A/H</w:t>
      </w:r>
      <w:r>
        <w:rPr/>
        <w:t>股份的股权约</w:t>
      </w:r>
      <w:r>
        <w:rPr/>
        <w:t>110.70</w:t>
      </w:r>
      <w:r>
        <w:rPr/>
        <w:t>亿元，已经包含较强的多管线成功预期。本研究在逐适应症概率折扣和融资压力下，基准价值低于现价；高乐观空间值得跟踪，却不能单独支持进取型策略把它放在最高推荐位置。</w:t>
      </w:r>
    </w:p>
    <w:p>
      <w:pPr>
        <w:pStyle w:val="Normal"/>
        <w:rPr/>
      </w:pPr>
      <w:r>
        <w:rPr/>
        <w:t>上半年收入</w:t>
      </w:r>
      <w:r>
        <w:rPr/>
        <w:t>312.64</w:t>
      </w:r>
      <w:r>
        <w:rPr/>
        <w:t>百万元、增长</w:t>
      </w:r>
      <w:r>
        <w:rPr/>
        <w:t>209.04%</w:t>
      </w:r>
      <w:r>
        <w:rPr/>
        <w:t>，归母仍亏</w:t>
      </w:r>
      <w:r>
        <w:rPr/>
        <w:t>521.71</w:t>
      </w:r>
      <w:r>
        <w:rPr/>
        <w:t>百万元，经营现金流流出</w:t>
      </w:r>
      <w:r>
        <w:rPr/>
        <w:t>508.94</w:t>
      </w:r>
      <w:r>
        <w:rPr/>
        <w:t>百万元。同比收入不仅包含药品销量增长，还包含授权确认，以及君迈康上市许可持有人转移后公司开票的变化。如果只凭三倍收入推算盈利临界点，会漏掉研发、销售及利息的负担。公司需要证明重复药品现金流足以降低对许可首付款和外部融资的依赖，才能使管线价值稳定转为每股回报。</w:t>
      </w:r>
    </w:p>
    <w:p>
      <w:pPr>
        <w:pStyle w:val="Normal"/>
        <w:rPr/>
      </w:pPr>
      <w:r>
        <w:rPr/>
        <w:t>半年的科学催化剂较密集，</w:t>
      </w:r>
      <w:r>
        <w:rPr/>
        <w:t>9MW2821</w:t>
      </w:r>
      <w:r>
        <w:rPr/>
        <w:t>三期研究期中分析、三阴性乳腺癌及宫颈癌会议、</w:t>
      </w:r>
      <w:r>
        <w:rPr/>
        <w:t>9MW1911</w:t>
      </w:r>
      <w:r>
        <w:rPr/>
        <w:t>后续数据，都可能改变市场看法。相应技术形态却仍下降，短期推荐不能把临床期待和价格确认混为同一证据。全年资金结构亦有压力，</w:t>
      </w:r>
      <w:r>
        <w:rPr/>
        <w:t>H</w:t>
      </w:r>
      <w:r>
        <w:rPr/>
        <w:t>股融资已经发生并应计入，而未来平台融资尚不能视为到账。对进取投资者，最有用的结论是明确什么数据会提高价值，以及兑现成功需要承受多少资本成本。</w:t>
      </w:r>
    </w:p>
    <w:p>
      <w:pPr>
        <w:pStyle w:val="Normal"/>
        <w:rPr/>
      </w:pPr>
      <w:r>
        <w:rPr/>
        <w:t>年底完整内在基准约</w:t>
      </w:r>
      <w:r>
        <w:rPr/>
        <w:t>4.22</w:t>
      </w:r>
      <w:r>
        <w:rPr/>
        <w:t>元来自保守简化</w:t>
      </w:r>
      <w:r>
        <w:rPr/>
        <w:t>rNPV</w:t>
      </w:r>
      <w:r>
        <w:rPr/>
        <w:t>，而短期价格</w:t>
      </w:r>
      <w:r>
        <w:rPr/>
        <w:t>17.59</w:t>
      </w:r>
      <w:r>
        <w:rPr/>
        <w:t>元保留市场未完全重估长期组合的可能，两者不能混称。完整重估压力不是预言市场年底必然收敛；短期认知系数也不是从市场拟合出来的精确规律。所设销售、成功率与成本组合揭示现价缺乏基准安全空间。若坚持</w:t>
      </w:r>
      <w:r>
        <w:rPr/>
        <w:t>24.78</w:t>
      </w:r>
      <w:r>
        <w:rPr/>
        <w:t>元买入，实际采用高于本基准的经营判断或较低重估程度，报告将两类前提公开以便检验。</w:t>
      </w:r>
    </w:p>
    <w:p>
      <w:pPr>
        <w:pStyle w:val="Heading2"/>
        <w:rPr/>
      </w:pPr>
      <w:r>
        <w:rPr>
          <w:color w:val="000000"/>
        </w:rPr>
        <w:t>发行人 证券与全部股本</w:t>
      </w:r>
    </w:p>
    <w:p>
      <w:pPr>
        <w:pStyle w:val="Normal"/>
        <w:rPr/>
      </w:pPr>
      <w:r>
        <w:rPr/>
        <w:t>迈威是同时从事研发、生产、商业化及对外许可的生物医药发行人。原清单只列</w:t>
      </w:r>
      <w:r>
        <w:rPr/>
        <w:t>688062</w:t>
      </w:r>
      <w:r>
        <w:rPr/>
        <w:t>这一</w:t>
      </w:r>
      <w:r>
        <w:rPr/>
        <w:t>A</w:t>
      </w:r>
      <w:r>
        <w:rPr/>
        <w:t>股证券，但</w:t>
      </w:r>
      <w:r>
        <w:rPr/>
        <w:t>2026</w:t>
      </w:r>
      <w:r>
        <w:rPr/>
        <w:t>年</w:t>
      </w:r>
      <w:r>
        <w:rPr/>
        <w:t>4</w:t>
      </w:r>
      <w:r>
        <w:rPr/>
        <w:t>月</w:t>
      </w:r>
      <w:r>
        <w:rPr/>
        <w:t>28</w:t>
      </w:r>
      <w:r>
        <w:rPr/>
        <w:t>日已上市</w:t>
      </w:r>
      <w:r>
        <w:rPr/>
        <w:t>H</w:t>
      </w:r>
      <w:r>
        <w:rPr/>
        <w:t>股，发行</w:t>
      </w:r>
      <w:r>
        <w:rPr/>
        <w:t>47130200</w:t>
      </w:r>
      <w:r>
        <w:rPr/>
        <w:t>股、发行价</w:t>
      </w:r>
      <w:r>
        <w:rPr/>
        <w:t>27.64</w:t>
      </w:r>
      <w:r>
        <w:rPr/>
        <w:t>港元，不行使超额配售。原</w:t>
      </w:r>
      <w:r>
        <w:rPr/>
        <w:t>A</w:t>
      </w:r>
      <w:r>
        <w:rPr/>
        <w:t>股</w:t>
      </w:r>
      <w:r>
        <w:rPr/>
        <w:t>399600000</w:t>
      </w:r>
      <w:r>
        <w:rPr/>
        <w:t>股与</w:t>
      </w:r>
      <w:r>
        <w:rPr/>
        <w:t>H</w:t>
      </w:r>
      <w:r>
        <w:rPr/>
        <w:t>股相加，总股本</w:t>
      </w:r>
      <w:r>
        <w:rPr/>
        <w:t>446730200</w:t>
      </w:r>
      <w:r>
        <w:rPr/>
        <w:t>股。公司基本面价值属于两类普通股共同分享，不能拿</w:t>
      </w:r>
      <w:r>
        <w:rPr/>
        <w:t>A</w:t>
      </w:r>
      <w:r>
        <w:rPr/>
        <w:t>股旧</w:t>
      </w:r>
      <w:r>
        <w:rPr/>
        <w:t>399600000</w:t>
      </w:r>
      <w:r>
        <w:rPr/>
        <w:t>股作分母，也不能拿约</w:t>
      </w:r>
      <w:r>
        <w:rPr/>
        <w:t>230240000</w:t>
      </w:r>
      <w:r>
        <w:rPr/>
        <w:t>流通</w:t>
      </w:r>
      <w:r>
        <w:rPr/>
        <w:t>A</w:t>
      </w:r>
      <w:r>
        <w:rPr/>
        <w:t>股作分母。</w:t>
      </w:r>
    </w:p>
    <w:p>
      <w:pPr>
        <w:pStyle w:val="Normal"/>
        <w:rPr/>
      </w:pPr>
      <w:r>
        <w:rPr/>
        <w:t>以</w:t>
      </w:r>
      <w:r>
        <w:rPr/>
        <w:t>24.78</w:t>
      </w:r>
      <w:r>
        <w:rPr/>
        <w:t>元乘全部股份得到</w:t>
      </w:r>
      <w:r>
        <w:rPr/>
        <w:t>110.70</w:t>
      </w:r>
      <w:r>
        <w:rPr/>
        <w:t>亿元，是全部股票均按</w:t>
      </w:r>
      <w:r>
        <w:rPr/>
        <w:t>A</w:t>
      </w:r>
      <w:r>
        <w:rPr/>
        <w:t>股价折算的比较值；真实两地合计市值还需要</w:t>
      </w:r>
      <w:r>
        <w:rPr/>
        <w:t>H</w:t>
      </w:r>
      <w:r>
        <w:rPr/>
        <w:t>股价格及港币人民币换算。行情页约</w:t>
      </w:r>
      <w:r>
        <w:rPr/>
        <w:t>57.05</w:t>
      </w:r>
      <w:r>
        <w:rPr/>
        <w:t>亿元的某市值字段接近流通股份口径，不能替代发行人股权总值。估值表明确标注“</w:t>
      </w:r>
      <w:r>
        <w:rPr/>
        <w:t>A</w:t>
      </w:r>
      <w:r>
        <w:rPr/>
        <w:t>股价格折算全部股本”，避免把流动性口径当资本结构。</w:t>
      </w:r>
      <w:r>
        <w:rPr/>
        <w:t>H</w:t>
      </w:r>
      <w:r>
        <w:rPr/>
        <w:t>股现价本章未核验，不提供没有证据的</w:t>
      </w:r>
      <w:r>
        <w:rPr/>
        <w:t>A/H</w:t>
      </w:r>
      <w:r>
        <w:rPr/>
        <w:t>溢价结论。</w:t>
      </w:r>
    </w:p>
    <w:p>
      <w:pPr>
        <w:pStyle w:val="Normal"/>
        <w:rPr/>
      </w:pPr>
      <w:r>
        <w:rPr/>
        <w:t>H</w:t>
      </w:r>
      <w:r>
        <w:rPr/>
        <w:t>股发行计入权益约</w:t>
      </w:r>
      <w:r>
        <w:rPr/>
        <w:t>1047.60</w:t>
      </w:r>
      <w:r>
        <w:rPr/>
        <w:t>百万元，现金流吸收投资</w:t>
      </w:r>
      <w:r>
        <w:rPr/>
        <w:t>1095.19</w:t>
      </w:r>
      <w:r>
        <w:rPr/>
        <w:t>百万元，与发行费用和时点口径相关，不能要求二者在粗略表中完全相等。发行融资提高资产和流动性，同时增加股数；不能只把融资现金加入估值却使用旧股数。未来模型股数由年底</w:t>
      </w:r>
      <w:r>
        <w:rPr/>
        <w:t>450</w:t>
      </w:r>
      <w:r>
        <w:rPr/>
        <w:t>至</w:t>
      </w:r>
      <w:r>
        <w:rPr/>
        <w:t>470</w:t>
      </w:r>
      <w:r>
        <w:rPr/>
        <w:t>百万股、五年</w:t>
      </w:r>
      <w:r>
        <w:rPr/>
        <w:t>540</w:t>
      </w:r>
      <w:r>
        <w:rPr/>
        <w:t>至</w:t>
      </w:r>
      <w:r>
        <w:rPr/>
        <w:t>720</w:t>
      </w:r>
      <w:r>
        <w:rPr/>
        <w:t>百万股设压力范围，超过已发</w:t>
      </w:r>
      <w:r>
        <w:rPr/>
        <w:t>446.73</w:t>
      </w:r>
      <w:r>
        <w:rPr/>
        <w:t>百万部分均为研究假设，不是公司已公布的确定新增发行计划。</w:t>
      </w:r>
    </w:p>
    <w:p>
      <w:pPr>
        <w:pStyle w:val="Heading2"/>
        <w:rPr/>
      </w:pPr>
      <w:r>
        <w:rPr>
          <w:color w:val="000000"/>
        </w:rPr>
        <w:t>收入 毛利与可重复现金流</w:t>
      </w:r>
    </w:p>
    <w:p>
      <w:pPr>
        <w:pStyle w:val="Normal"/>
        <w:rPr/>
      </w:pPr>
      <w:r>
        <w:rPr/>
        <w:t>上半年商品销售收入</w:t>
      </w:r>
      <w:r>
        <w:rPr/>
        <w:t>212.79</w:t>
      </w:r>
      <w:r>
        <w:rPr/>
        <w:t>百万元、成本</w:t>
      </w:r>
      <w:r>
        <w:rPr/>
        <w:t>71.72</w:t>
      </w:r>
      <w:r>
        <w:rPr/>
        <w:t>百万元，知识产权与服务收入</w:t>
      </w:r>
      <w:r>
        <w:rPr/>
        <w:t>99.86</w:t>
      </w:r>
      <w:r>
        <w:rPr/>
        <w:t>百万元、成本</w:t>
      </w:r>
      <w:r>
        <w:rPr/>
        <w:t>4.99</w:t>
      </w:r>
      <w:r>
        <w:rPr/>
        <w:t>百万元，构成不同利润来源。药品销售公司口径</w:t>
      </w:r>
      <w:r>
        <w:rPr/>
        <w:t>211.73</w:t>
      </w:r>
      <w:r>
        <w:rPr/>
        <w:t>百万元与商品销售口径相差约</w:t>
      </w:r>
      <w:r>
        <w:rPr/>
        <w:t>1.05</w:t>
      </w:r>
      <w:r>
        <w:rPr/>
        <w:t>百万元，不将它们强行改为相同数字。许可收入毛利高，却可能伴随多年研究投入及履约义务，不能把当期会计毛利当成无需再支出的自由现金流。两条收入线分开，才有办法判断未来盈利质量。</w:t>
      </w:r>
    </w:p>
    <w:p>
      <w:pPr>
        <w:pStyle w:val="Normal"/>
        <w:rPr/>
      </w:pPr>
      <w:r>
        <w:rPr/>
        <w:t>药品销售同比</w:t>
      </w:r>
      <w:r>
        <w:rPr/>
        <w:t>110.07%</w:t>
      </w:r>
      <w:r>
        <w:rPr/>
        <w:t>，其中君迈康</w:t>
      </w:r>
      <w:r>
        <w:rPr/>
        <w:t>75.37</w:t>
      </w:r>
      <w:r>
        <w:rPr/>
        <w:t>百万元。该药</w:t>
      </w:r>
      <w:r>
        <w:rPr/>
        <w:t>2025</w:t>
      </w:r>
      <w:r>
        <w:rPr/>
        <w:t>年</w:t>
      </w:r>
      <w:r>
        <w:rPr/>
        <w:t>7</w:t>
      </w:r>
      <w:r>
        <w:rPr/>
        <w:t>月上市许可持有人转移，</w:t>
      </w:r>
      <w:r>
        <w:rPr/>
        <w:t>2025</w:t>
      </w:r>
      <w:r>
        <w:rPr/>
        <w:t>年第四季度开始由迈威开票，</w:t>
      </w:r>
      <w:r>
        <w:rPr/>
        <w:t>2026</w:t>
      </w:r>
      <w:r>
        <w:rPr/>
        <w:t>上半年与去年同期比较时销售权和收入确认主体不同。这不意味着药品销量没有增长，但不能把</w:t>
      </w:r>
      <w:r>
        <w:rPr/>
        <w:t>110.07%</w:t>
      </w:r>
      <w:r>
        <w:rPr/>
        <w:t>全部解释成原业务的有机放量。应继续追踪同口径处方、渠道库存和回款，数据不足时保留结构变化，而不按最大同比数字外推三年。</w:t>
      </w:r>
    </w:p>
    <w:p>
      <w:pPr>
        <w:pStyle w:val="Normal"/>
        <w:rPr/>
      </w:pPr>
      <w:r>
        <w:rPr/>
        <w:t>2025</w:t>
      </w:r>
      <w:r>
        <w:rPr/>
        <w:t>年药品销售</w:t>
      </w:r>
      <w:r>
        <w:rPr/>
        <w:t>249.72</w:t>
      </w:r>
      <w:r>
        <w:rPr/>
        <w:t>百万元、增长</w:t>
      </w:r>
      <w:r>
        <w:rPr/>
        <w:t>72.71%</w:t>
      </w:r>
      <w:r>
        <w:rPr/>
        <w:t>，其中地舒单抗</w:t>
      </w:r>
      <w:r>
        <w:rPr/>
        <w:t>206.50</w:t>
      </w:r>
      <w:r>
        <w:rPr/>
        <w:t>百万元、增长</w:t>
      </w:r>
      <w:r>
        <w:rPr/>
        <w:t>48.59%</w:t>
      </w:r>
      <w:r>
        <w:rPr/>
        <w:t>。</w:t>
      </w:r>
      <w:r>
        <w:rPr/>
        <w:t>2025</w:t>
      </w:r>
      <w:r>
        <w:rPr/>
        <w:t>总营收</w:t>
      </w:r>
      <w:r>
        <w:rPr/>
        <w:t>662.52</w:t>
      </w:r>
      <w:r>
        <w:rPr/>
        <w:t>百万元、增长</w:t>
      </w:r>
      <w:r>
        <w:rPr/>
        <w:t>231.62%</w:t>
      </w:r>
      <w:r>
        <w:rPr/>
        <w:t>，主要包括齐鲁与</w:t>
      </w:r>
      <w:r>
        <w:rPr/>
        <w:t>DISC</w:t>
      </w:r>
      <w:r>
        <w:rPr/>
        <w:t>许可确认。药品和许可都能给公司带来现金，却有不同重复性；药品需渠道、医院准入和生产，许可依赖下一资产与触发条件。本模型已上市产品用销售现金流，已收首款留在历史现金，不把收入增长再次乘高倍数叠加。</w:t>
      </w:r>
    </w:p>
    <w:p>
      <w:pPr>
        <w:pStyle w:val="Normal"/>
        <w:rPr/>
      </w:pPr>
      <w:r>
        <w:rPr/>
        <w:t>境内收入</w:t>
      </w:r>
      <w:r>
        <w:rPr/>
        <w:t>218.34</w:t>
      </w:r>
      <w:r>
        <w:rPr/>
        <w:t>百万元、其他地区</w:t>
      </w:r>
      <w:r>
        <w:rPr/>
        <w:t>94.30</w:t>
      </w:r>
      <w:r>
        <w:rPr/>
        <w:t>百万元，不能把境外部分全部当成海外药品终端销售。境外包含技术许可、履行服务或里程碑相关收入，收入地点与患者市场并非同一分类。评估国际化应分别核对注册许可、实际供货、合同地域和现金回收。签了多个国家合作协议体现渠道建设，却不会使所有国家同时贡献销售；最终放量仍需审批、定价、供给和本地推广。</w:t>
      </w:r>
    </w:p>
    <w:p>
      <w:pPr>
        <w:pStyle w:val="Normal"/>
        <w:rPr/>
      </w:pPr>
      <w:r>
        <w:rPr/>
        <w:t>2025</w:t>
      </w:r>
      <w:r>
        <w:rPr/>
        <w:t>前五大客户占销售</w:t>
      </w:r>
      <w:r>
        <w:rPr/>
        <w:t>87.10%</w:t>
      </w:r>
      <w:r>
        <w:rPr/>
        <w:t>，第一名占</w:t>
      </w:r>
      <w:r>
        <w:rPr/>
        <w:t>50.28%</w:t>
      </w:r>
      <w:r>
        <w:rPr/>
        <w:t>，其中不只是终端药品经销商，还可能包含大额授权对手。高集中度说明收入波动和合同对手重要，但不能据此推论所有医院销售高度集中。对手方开发停止、里程碑延期或合同权益变化会直接影响现金；经销客户则重点关注应收与渠道库存。公司若逐渐扩大重复药品收入，集中度有机会下降，但不能在尚未兑现前把这种改善写进事实。</w:t>
      </w:r>
    </w:p>
    <w:p>
      <w:pPr>
        <w:pStyle w:val="Heading2"/>
        <w:rPr/>
      </w:pPr>
      <w:r>
        <w:rPr>
          <w:color w:val="000000"/>
        </w:rPr>
        <w:t>君迈康与自身免疫市场</w:t>
      </w:r>
    </w:p>
    <w:p>
      <w:pPr>
        <w:pStyle w:val="Normal"/>
        <w:rPr/>
      </w:pPr>
      <w:r>
        <w:rPr/>
        <w:t>君迈康为阿达木单抗生物类似药，属于已批准商业化资产。阿达木靶向</w:t>
      </w:r>
      <w:r>
        <w:rPr/>
        <w:t>TNF</w:t>
      </w:r>
      <w:r>
        <w:rPr/>
        <w:t>，成熟靶点和原研经验降低机制不确定性，产品间仍涉及注册相似性、制造质量和具体适应症标签。公司开票权转移后可以获得更直接收入，也承担销售、库存、回款和推广责任。研究将其置于成熟产品现金流，而不是对同一已上市适应症继续打研发成功率折扣；组合中待批</w:t>
      </w:r>
      <w:r>
        <w:rPr/>
        <w:t>0813</w:t>
      </w:r>
      <w:r>
        <w:rPr/>
        <w:t>的风险另有说明。</w:t>
      </w:r>
    </w:p>
    <w:p>
      <w:pPr>
        <w:pStyle w:val="Normal"/>
        <w:rPr/>
      </w:pPr>
      <w:r>
        <w:rPr/>
        <w:t>自身免疫疾病长期用药需求可支持重复收入，但患者支付能力、医院准入、医保谈判和同类生物类似药竞争会限制单价。靶点成熟使市场大，也使差异化更依赖稳定供货、使用便利和患者服务，不能仅因进入市场就获得独占定价权。若同业降价快于销量增长，收入和现金率可能同时下降。长期比较要关注净销售价格和患者持续治疗，不能以患者总人数直接乘原研价格。</w:t>
      </w:r>
    </w:p>
    <w:p>
      <w:pPr>
        <w:pStyle w:val="Normal"/>
        <w:rPr/>
      </w:pPr>
      <w:r>
        <w:rPr/>
        <w:t>MAH</w:t>
      </w:r>
      <w:r>
        <w:rPr/>
        <w:t>变化使收入增长发生基数跃迁，商业质量提高还需对应应收、退货、库存和渠道效率。如果公司扩大推广费用才换来开票增长，新增毛利未必全部转为利润。未来研究若获得同口径销量和净价，可把君迈康从组合模型独立拆出；当前保留组合限制。</w:t>
      </w:r>
      <w:r>
        <w:rPr/>
        <w:t>FDA</w:t>
      </w:r>
      <w:r>
        <w:rPr/>
        <w:t>或其他地区原研标签也不能自动当成公司每个地区获批标签，海外销售推算需逐地区证据。</w:t>
      </w:r>
    </w:p>
    <w:p>
      <w:pPr>
        <w:pStyle w:val="Heading2"/>
        <w:rPr/>
      </w:pPr>
      <w:r>
        <w:rPr>
          <w:color w:val="000000"/>
        </w:rPr>
        <w:t>地舒单抗的骨病与肿瘤支持治疗</w:t>
      </w:r>
    </w:p>
    <w:p>
      <w:pPr>
        <w:pStyle w:val="Normal"/>
        <w:rPr/>
      </w:pPr>
      <w:r>
        <w:rPr/>
        <w:t>迈利舒为</w:t>
      </w:r>
      <w:r>
        <w:rPr/>
        <w:t>60</w:t>
      </w:r>
      <w:r>
        <w:rPr/>
        <w:t>毫克地舒单抗类似药，</w:t>
      </w:r>
      <w:r>
        <w:rPr/>
        <w:t>2023</w:t>
      </w:r>
      <w:r>
        <w:rPr/>
        <w:t>年</w:t>
      </w:r>
      <w:r>
        <w:rPr/>
        <w:t>3</w:t>
      </w:r>
      <w:r>
        <w:rPr/>
        <w:t>月获批绝经后女性骨质疏松适应症；迈卫健</w:t>
      </w:r>
      <w:r>
        <w:rPr/>
        <w:t>120</w:t>
      </w:r>
      <w:r>
        <w:rPr/>
        <w:t>毫克于</w:t>
      </w:r>
      <w:r>
        <w:rPr/>
        <w:t>2024</w:t>
      </w:r>
      <w:r>
        <w:rPr/>
        <w:t>年</w:t>
      </w:r>
      <w:r>
        <w:rPr/>
        <w:t>3</w:t>
      </w:r>
      <w:r>
        <w:rPr/>
        <w:t>月获批骨巨细胞瘤。两种制剂既有关联平台，也有不同患者、剂量与商业渠道。</w:t>
      </w:r>
      <w:r>
        <w:rPr/>
        <w:t>2026</w:t>
      </w:r>
      <w:r>
        <w:rPr/>
        <w:t>年</w:t>
      </w:r>
      <w:r>
        <w:rPr/>
        <w:t>5</w:t>
      </w:r>
      <w:r>
        <w:rPr/>
        <w:t>月迈卫健补充申请获批，用于实体肿瘤骨转移及多发性骨髓瘤延迟或降低骨相关事件，这是可扩大可服务市场的具体改变，应与未获批扩适应症分开评价。</w:t>
      </w:r>
    </w:p>
    <w:p>
      <w:pPr>
        <w:pStyle w:val="Normal"/>
        <w:rPr/>
      </w:pPr>
      <w:r>
        <w:rPr/>
        <w:t>骨质疏松市场受人口年龄、骨密度筛查、骨折预防意识和治疗依从性影响。诊断人数不等实际长期用药人数，基层医院、支付与复诊是商业瓶颈。肿瘤骨相关事件则与癌症存活、骨转移诊断及支持治疗规范相关，需求更依赖肿瘤医院和联合治疗。两个市场不会按同一速度增长；组合峰值销售只是初版近似，报告未将人群总数当成公司稳定可获收入。</w:t>
      </w:r>
    </w:p>
    <w:p>
      <w:pPr>
        <w:pStyle w:val="Normal"/>
        <w:rPr/>
      </w:pPr>
      <w:r>
        <w:rPr/>
        <w:t>地舒单抗需要关注低钙血症、颌骨相关风险及停药后的临床管理，研究不直接给患者医疗建议。这些风险会影响医生选择、检查成本与依从性，尤其高龄或合并疾病患者。生物类似药竞争还使价格和招采重要，即使临床与原研相似，也可能面对多个替代品。公司需要通过可负担价格与稳定质量扩大份额，不能把先发批准时间认作未来十年没有竞争。</w:t>
      </w:r>
    </w:p>
    <w:p>
      <w:pPr>
        <w:pStyle w:val="Normal"/>
        <w:rPr/>
      </w:pPr>
      <w:r>
        <w:rPr/>
        <w:t>报告披露</w:t>
      </w:r>
      <w:r>
        <w:rPr/>
        <w:t>33</w:t>
      </w:r>
      <w:r>
        <w:rPr/>
        <w:t>个国家合作、若干国家注册递交及巴基斯坦批准，海外机会有具体进展，但协议、递交、审批和销售是不同阶段。约旦或巴西</w:t>
      </w:r>
      <w:r>
        <w:rPr/>
        <w:t>GMP</w:t>
      </w:r>
      <w:r>
        <w:rPr/>
        <w:t>检查支持生产质量体系，不等这些地区所有适应症均已获销售批准。出口还涉及汇率、当地经销商信用和回款周期。初版没有为每份国家协议增加一笔独立高峰值，避免把同一生产资产及销售权反复计价。</w:t>
      </w:r>
    </w:p>
    <w:p>
      <w:pPr>
        <w:pStyle w:val="Heading2"/>
        <w:rPr/>
      </w:pPr>
      <w:r>
        <w:rPr>
          <w:color w:val="000000"/>
        </w:rPr>
        <w:t>迈粒生与齐鲁许可权益</w:t>
      </w:r>
    </w:p>
    <w:p>
      <w:pPr>
        <w:pStyle w:val="Normal"/>
        <w:rPr/>
      </w:pPr>
      <w:r>
        <w:rPr/>
        <w:t>8MW0511</w:t>
      </w:r>
      <w:r>
        <w:rPr/>
        <w:t>迈粒生是长效</w:t>
      </w:r>
      <w:r>
        <w:rPr/>
        <w:t>HSA-GCSF</w:t>
      </w:r>
      <w:r>
        <w:rPr/>
        <w:t>产品，用于相关化疗支持治疗，已批准并在</w:t>
      </w:r>
      <w:r>
        <w:rPr/>
        <w:t>2025</w:t>
      </w:r>
      <w:r>
        <w:rPr/>
        <w:t>年底开始销售。大中华全部开发生产和商业权独占许可齐鲁，</w:t>
      </w:r>
      <w:r>
        <w:rPr/>
        <w:t>2025</w:t>
      </w:r>
      <w:r>
        <w:rPr/>
        <w:t>年</w:t>
      </w:r>
      <w:r>
        <w:rPr/>
        <w:t>10</w:t>
      </w:r>
      <w:r>
        <w:rPr/>
        <w:t>月</w:t>
      </w:r>
      <w:r>
        <w:rPr/>
        <w:t>MAH</w:t>
      </w:r>
      <w:r>
        <w:rPr/>
        <w:t>转移，</w:t>
      </w:r>
      <w:r>
        <w:rPr/>
        <w:t>2026</w:t>
      </w:r>
      <w:r>
        <w:rPr/>
        <w:t>年</w:t>
      </w:r>
      <w:r>
        <w:rPr/>
        <w:t>1</w:t>
      </w:r>
      <w:r>
        <w:rPr/>
        <w:t>月医保生效。迈威未来国内经济权益主要为版税及剩余条件里程碑，不能在自己模型中同时拥有齐鲁全部药品利润。合作有助减少商业团队负担，也意味着公司放弃部分经营收益与控制。</w:t>
      </w:r>
    </w:p>
    <w:p>
      <w:pPr>
        <w:pStyle w:val="Normal"/>
        <w:rPr/>
      </w:pPr>
      <w:r>
        <w:rPr/>
        <w:t>合同最高</w:t>
      </w:r>
      <w:r>
        <w:rPr/>
        <w:t>500</w:t>
      </w:r>
      <w:r>
        <w:rPr/>
        <w:t>百万元首款及销售里程碑，其中</w:t>
      </w:r>
      <w:r>
        <w:rPr/>
        <w:t>380</w:t>
      </w:r>
      <w:r>
        <w:rPr/>
        <w:t>百万元已履行、不可退首款，未来上限</w:t>
      </w:r>
      <w:r>
        <w:rPr/>
        <w:t>120</w:t>
      </w:r>
      <w:r>
        <w:rPr/>
        <w:t>百万元不能当已收现金。最高两位数比例的特许权使用费并不披露完整分档，本模型</w:t>
      </w:r>
      <w:r>
        <w:rPr/>
        <w:t>6%</w:t>
      </w:r>
      <w:r>
        <w:rPr/>
        <w:t>、</w:t>
      </w:r>
      <w:r>
        <w:rPr/>
        <w:t>10%</w:t>
      </w:r>
      <w:r>
        <w:rPr/>
        <w:t>、</w:t>
      </w:r>
      <w:r>
        <w:rPr/>
        <w:t>13%</w:t>
      </w:r>
      <w:r>
        <w:rPr/>
        <w:t>只是研究范围，不引用为合同精确费率。版税按净销售，支付周期、扣除项目和税费也影响实际现金。研究用税后版税现金流，已收</w:t>
      </w:r>
      <w:r>
        <w:rPr/>
        <w:t>380</w:t>
      </w:r>
      <w:r>
        <w:rPr/>
        <w:t>百万元不再作为未来里程碑加入。</w:t>
      </w:r>
    </w:p>
    <w:p>
      <w:pPr>
        <w:pStyle w:val="Normal"/>
        <w:rPr/>
      </w:pPr>
      <w:r>
        <w:rPr/>
        <w:t>该产品商业化由齐鲁能力、医保支付、化疗方案和同类长效升白药竞争共同决定。肿瘤治疗升级既可能增加需支持的患者，也可能减少某些化疗需求，不能一概把所有创新药增长视为升白药需求增长。基准峰值</w:t>
      </w:r>
      <w:r>
        <w:rPr/>
        <w:t>1200</w:t>
      </w:r>
      <w:r>
        <w:rPr/>
        <w:t>百万元属于合作方净销售设定，迈威并不获得这</w:t>
      </w:r>
      <w:r>
        <w:rPr/>
        <w:t>1200</w:t>
      </w:r>
      <w:r>
        <w:rPr/>
        <w:t>百万元收入。若实际销售延迟、费率较低或招采价格受压，应下调版税</w:t>
      </w:r>
      <w:r>
        <w:rPr/>
        <w:t>PV</w:t>
      </w:r>
      <w:r>
        <w:rPr/>
        <w:t>，而不是拿合同总额补足缺口。</w:t>
      </w:r>
    </w:p>
    <w:p>
      <w:pPr>
        <w:pStyle w:val="Heading2"/>
        <w:rPr/>
      </w:pPr>
      <w:r>
        <w:rPr>
          <w:color w:val="000000"/>
        </w:rPr>
        <w:t>阿柏西普及眼科延伸</w:t>
      </w:r>
    </w:p>
    <w:p>
      <w:pPr>
        <w:pStyle w:val="Normal"/>
        <w:rPr/>
      </w:pPr>
      <w:r>
        <w:rPr/>
        <w:t>9MW0813</w:t>
      </w:r>
      <w:r>
        <w:rPr/>
        <w:t>为阿柏西普类似药，完成三期</w:t>
      </w:r>
      <w:r>
        <w:rPr/>
        <w:t>DME</w:t>
      </w:r>
      <w:r>
        <w:rPr/>
        <w:t>相似性研究，上市申请</w:t>
      </w:r>
      <w:r>
        <w:rPr/>
        <w:t>2025</w:t>
      </w:r>
      <w:r>
        <w:rPr/>
        <w:t>年</w:t>
      </w:r>
      <w:r>
        <w:rPr/>
        <w:t>9</w:t>
      </w:r>
      <w:r>
        <w:rPr/>
        <w:t>月受理，截至中报披露仍在审评。受理允许进入监管审查，不能列为第五个已经商业化产品。眼科市场有糖尿病黄斑水肿、年龄相关疾病等需求，标签、医生习惯、给药间隔和院内渠道会决定竞争位置。基准模型只在生物类似药组合内纳入有限贡献，组合风险折扣明确包含其审评与商业化。</w:t>
      </w:r>
    </w:p>
    <w:p>
      <w:pPr>
        <w:pStyle w:val="Normal"/>
        <w:rPr/>
      </w:pPr>
      <w:r>
        <w:rPr/>
        <w:t>眼科治疗效果不能仅由分子相似性说明全部真实使用结果，还需无菌制造、注射流程、用药频率与安全监测。低价格可以扩大可及性，却不保证从新型长效产品夺得份额。印度、中东或东南亚许可合作意味着有合作路径，不等当地已经收入放量。若获批时同业产品已形成较强医院覆盖，销售需要较长爬坡，目标峰值和时间都应调整。</w:t>
      </w:r>
    </w:p>
    <w:p>
      <w:pPr>
        <w:pStyle w:val="Heading2"/>
        <w:rPr/>
      </w:pPr>
      <w:r>
        <w:rPr>
          <w:color w:val="000000"/>
        </w:rPr>
        <w:t>Nectin 4 ADC</w:t>
      </w:r>
      <w:r>
        <w:rPr>
          <w:color w:val="000000"/>
        </w:rPr>
        <w:t>的平台与药物区别</w:t>
      </w:r>
    </w:p>
    <w:p>
      <w:pPr>
        <w:pStyle w:val="Normal"/>
        <w:rPr/>
      </w:pPr>
      <w:r>
        <w:rPr/>
        <w:t>9MW2821</w:t>
      </w:r>
      <w:r>
        <w:rPr/>
        <w:t>是靶向</w:t>
      </w:r>
      <w:r>
        <w:rPr/>
        <w:t>Nectin-4</w:t>
      </w:r>
      <w:r>
        <w:rPr/>
        <w:t>的</w:t>
      </w:r>
      <w:r>
        <w:rPr/>
        <w:t>ADC</w:t>
      </w:r>
      <w:r>
        <w:rPr/>
        <w:t>，也是本发行人最接近多个关键注册事件的核心资产。抗体、连接子、载荷和偶联工艺共同决定暴露、抗肿瘤效应及毒性，靶点相同不意味着产品相同。公司平台与临床前优势可以支持研究假设，却不能直接宣布优于已上市</w:t>
      </w:r>
      <w:r>
        <w:rPr/>
        <w:t>Padcev</w:t>
      </w:r>
      <w:r>
        <w:rPr/>
        <w:t>。比较必须使用对应人群、既往治疗、剂量和终点，并区分单臂与随机研究。</w:t>
      </w:r>
    </w:p>
    <w:p>
      <w:pPr>
        <w:pStyle w:val="Normal"/>
        <w:rPr/>
      </w:pPr>
      <w:r>
        <w:rPr/>
        <w:t>总入组超过</w:t>
      </w:r>
      <w:r>
        <w:rPr/>
        <w:t>2200</w:t>
      </w:r>
      <w:r>
        <w:rPr/>
        <w:t>例反映研发规模，不是某一适应症</w:t>
      </w:r>
      <w:r>
        <w:rPr/>
        <w:t>2200</w:t>
      </w:r>
      <w:r>
        <w:rPr/>
        <w:t>例的统一疗效样本。不同癌种的表达、用药史和载荷敏感性不同，尿路上皮、宫颈、乳腺与食管结果不能合并成同一成功率。本模型分开五类中国适应症及中国以外地区，食管折扣尤其更高。尚未细拆全部全球地区与围术期研究，相关限制不能靠一个综合大峰值掩盖。</w:t>
      </w:r>
    </w:p>
    <w:p>
      <w:pPr>
        <w:pStyle w:val="Normal"/>
        <w:rPr/>
      </w:pPr>
      <w:r>
        <w:rPr/>
        <w:t>ADC</w:t>
      </w:r>
      <w:r>
        <w:rPr/>
        <w:t>商业化要同时面对有效性与可长期给药的安全窗。剂量中断、神经相关或皮肤相关不良反应等具体事件需完整原临床表核验，本报告没有取得所有终点与严重不良事件明细，不补造确定发生率。高</w:t>
      </w:r>
      <w:r>
        <w:rPr/>
        <w:t>ORR</w:t>
      </w:r>
      <w:r>
        <w:rPr/>
        <w:t>若伴明显停药，也可能影响患者实际获益和净销售。后续更新必须将疗效、安全和治疗持续时间共同纳入，不能只寻找一个最有利响应数字提高估值。</w:t>
      </w:r>
    </w:p>
    <w:p>
      <w:pPr>
        <w:pStyle w:val="Heading2"/>
        <w:rPr/>
      </w:pPr>
      <w:r>
        <w:rPr>
          <w:color w:val="000000"/>
        </w:rPr>
        <w:t>后线尿路上皮癌证据</w:t>
      </w:r>
    </w:p>
    <w:p>
      <w:pPr>
        <w:pStyle w:val="Normal"/>
        <w:rPr/>
      </w:pPr>
      <w:r>
        <w:rPr/>
        <w:t>2024</w:t>
      </w:r>
      <w:r>
        <w:rPr/>
        <w:t>年</w:t>
      </w:r>
      <w:r>
        <w:rPr/>
        <w:t>10</w:t>
      </w:r>
      <w:r>
        <w:rPr/>
        <w:t>月</w:t>
      </w:r>
      <w:r>
        <w:rPr/>
        <w:t>17</w:t>
      </w:r>
      <w:r>
        <w:rPr/>
        <w:t>日数据中，既往铂类和</w:t>
      </w:r>
      <w:r>
        <w:rPr/>
        <w:t>PD-(L)1</w:t>
      </w:r>
      <w:r>
        <w:rPr/>
        <w:t>治疗后患者在</w:t>
      </w:r>
      <w:r>
        <w:rPr/>
        <w:t>1.25</w:t>
      </w:r>
      <w:r>
        <w:rPr/>
        <w:t>毫克每公斤组</w:t>
      </w:r>
      <w:r>
        <w:rPr/>
        <w:t>ORR62.2%</w:t>
      </w:r>
      <w:r>
        <w:rPr/>
        <w:t>、确认</w:t>
      </w:r>
      <w:r>
        <w:rPr/>
        <w:t>ORR54.1%</w:t>
      </w:r>
      <w:r>
        <w:rPr/>
        <w:t>，对应区间较宽；</w:t>
      </w:r>
      <w:r>
        <w:rPr/>
        <w:t>PFS7.4</w:t>
      </w:r>
      <w:r>
        <w:rPr/>
        <w:t>个月、</w:t>
      </w:r>
      <w:r>
        <w:rPr/>
        <w:t>DOR7.8</w:t>
      </w:r>
      <w:r>
        <w:rPr/>
        <w:t>个月、</w:t>
      </w:r>
      <w:r>
        <w:rPr/>
        <w:t>OS14.6</w:t>
      </w:r>
      <w:r>
        <w:rPr/>
        <w:t>个月。确认响应与未确认响应不应互换，单臂中位生存也不直接代表对照获益。它们支持进入注册研究的科学依据，却不能在统计上证明超越当下标准治疗。</w:t>
      </w:r>
    </w:p>
    <w:p>
      <w:pPr>
        <w:pStyle w:val="Normal"/>
        <w:rPr/>
      </w:pPr>
      <w:r>
        <w:rPr/>
        <w:t>后线随机三期</w:t>
      </w:r>
      <w:r>
        <w:rPr/>
        <w:t>2023</w:t>
      </w:r>
      <w:r>
        <w:rPr/>
        <w:t>年</w:t>
      </w:r>
      <w:r>
        <w:rPr/>
        <w:t>12</w:t>
      </w:r>
      <w:r>
        <w:rPr/>
        <w:t>月启动，</w:t>
      </w:r>
      <w:r>
        <w:rPr/>
        <w:t>2026</w:t>
      </w:r>
      <w:r>
        <w:rPr/>
        <w:t>年</w:t>
      </w:r>
      <w:r>
        <w:rPr/>
        <w:t>5</w:t>
      </w:r>
      <w:r>
        <w:rPr/>
        <w:t>月完成入组，中报计划下半年期中分析及根据结果开展申报前会议。截至截止日，本轮未获得三期阳性或新药申请提交的原证。全部入组降低执行时间不确定性，却不消除终点和安全失败风险。基准整体成功判断</w:t>
      </w:r>
      <w:r>
        <w:rPr/>
        <w:t>62%</w:t>
      </w:r>
      <w:r>
        <w:rPr/>
        <w:t>，悲观</w:t>
      </w:r>
      <w:r>
        <w:rPr/>
        <w:t>35%</w:t>
      </w:r>
      <w:r>
        <w:rPr/>
        <w:t>、乐观</w:t>
      </w:r>
      <w:r>
        <w:rPr/>
        <w:t>82%</w:t>
      </w:r>
      <w:r>
        <w:rPr/>
        <w:t>均为研究判断，不宣称从历史数据库得出的精确频率。</w:t>
      </w:r>
    </w:p>
    <w:p>
      <w:pPr>
        <w:pStyle w:val="Normal"/>
        <w:rPr/>
      </w:pPr>
      <w:r>
        <w:rPr/>
        <w:t>后线峰值基准</w:t>
      </w:r>
      <w:r>
        <w:rPr/>
        <w:t>1100</w:t>
      </w:r>
      <w:r>
        <w:rPr/>
        <w:t>百万元、上市设</w:t>
      </w:r>
      <w:r>
        <w:rPr/>
        <w:t>2028</w:t>
      </w:r>
      <w:r>
        <w:rPr/>
        <w:t>年，净现金率</w:t>
      </w:r>
      <w:r>
        <w:rPr/>
        <w:t>30%</w:t>
      </w:r>
      <w:r>
        <w:rPr/>
        <w:t>，考虑一线治疗前移后可用人群被挤压。若一线同靶点</w:t>
      </w:r>
      <w:r>
        <w:rPr/>
        <w:t>ADC</w:t>
      </w:r>
      <w:r>
        <w:rPr/>
        <w:t>使用更普遍，后线再用相近载荷是否仍有效需要独立证据。一个公司同时开发一线和后线，不能简单将两个现有患者池峰值全部相加而不考虑替代。本模型压低后线规模仍属近似，未来有真实市场流转数据时需建立更细患者路径。</w:t>
      </w:r>
    </w:p>
    <w:p>
      <w:pPr>
        <w:pStyle w:val="Heading2"/>
        <w:rPr/>
      </w:pPr>
      <w:r>
        <w:rPr>
          <w:color w:val="000000"/>
        </w:rPr>
        <w:t>一线尿路上皮癌的机会与比较难点</w:t>
      </w:r>
    </w:p>
    <w:p>
      <w:pPr>
        <w:pStyle w:val="Normal"/>
        <w:rPr/>
      </w:pPr>
      <w:r>
        <w:rPr/>
        <w:t>联合特瑞普利单抗的一线数据含</w:t>
      </w:r>
      <w:r>
        <w:rPr/>
        <w:t>40</w:t>
      </w:r>
      <w:r>
        <w:rPr/>
        <w:t>例可肿评患者，</w:t>
      </w:r>
      <w:r>
        <w:rPr/>
        <w:t>ORR87.5%</w:t>
      </w:r>
      <w:r>
        <w:rPr/>
        <w:t>、确认</w:t>
      </w:r>
      <w:r>
        <w:rPr/>
        <w:t>ORR80%</w:t>
      </w:r>
      <w:r>
        <w:rPr/>
        <w:t>、</w:t>
      </w:r>
      <w:r>
        <w:rPr/>
        <w:t>PFS12.9</w:t>
      </w:r>
      <w:r>
        <w:rPr/>
        <w:t>个月、</w:t>
      </w:r>
      <w:r>
        <w:rPr/>
        <w:t>OS</w:t>
      </w:r>
      <w:r>
        <w:rPr/>
        <w:t>未达到。可评价集与全部治疗集可能不同，小样本置信区间较宽，后续随访和删失还会改变中位数。不能以</w:t>
      </w:r>
      <w:r>
        <w:rPr/>
        <w:t>87.5%</w:t>
      </w:r>
      <w:r>
        <w:rPr/>
        <w:t>和另一个试验响应率直接相减，称为明确优效。联合方案的患者筛选、免疫治疗使用和剂量差异都影响跨试验比较。</w:t>
      </w:r>
    </w:p>
    <w:p>
      <w:pPr>
        <w:pStyle w:val="Normal"/>
        <w:rPr/>
      </w:pPr>
      <w:r>
        <w:rPr/>
        <w:t>一线随机三期</w:t>
      </w:r>
      <w:r>
        <w:rPr/>
        <w:t>2024</w:t>
      </w:r>
      <w:r>
        <w:rPr/>
        <w:t>年</w:t>
      </w:r>
      <w:r>
        <w:rPr/>
        <w:t>8</w:t>
      </w:r>
      <w:r>
        <w:rPr/>
        <w:t>月启动，与标准化疗对照，现已完成入组，</w:t>
      </w:r>
      <w:r>
        <w:rPr/>
        <w:t>H2</w:t>
      </w:r>
      <w:r>
        <w:rPr/>
        <w:t>期中分析仍为计划。最终注册终点、统计边界、终期随访和具体监管讨论没有全部原件，本章不将“纳入突破性治疗”解释为免除随机验证。基准中国峰值</w:t>
      </w:r>
      <w:r>
        <w:rPr/>
        <w:t>2000</w:t>
      </w:r>
      <w:r>
        <w:rPr/>
        <w:t>百万元、成功判断</w:t>
      </w:r>
      <w:r>
        <w:rPr/>
        <w:t>55%</w:t>
      </w:r>
      <w:r>
        <w:rPr/>
        <w:t>，低于后线</w:t>
      </w:r>
      <w:r>
        <w:rPr/>
        <w:t>62%</w:t>
      </w:r>
      <w:r>
        <w:rPr/>
        <w:t>，体现一线临床和竞争要求更高，同时有更大可服务空间。</w:t>
      </w:r>
    </w:p>
    <w:p>
      <w:pPr>
        <w:pStyle w:val="Normal"/>
        <w:rPr/>
      </w:pPr>
      <w:r>
        <w:rPr/>
        <w:t>获批即使成功，也要面对标准治疗在研究期间变化的风险。新治疗方案、同类产品进入一线或医生采用更多免疫联合，都可能使旧对照结果的商业意义发生变化。还需要考虑特瑞普利使用成本、组合推广与两家公司收益归属。模型只估迈威</w:t>
      </w:r>
      <w:r>
        <w:rPr/>
        <w:t>ADC</w:t>
      </w:r>
      <w:r>
        <w:rPr/>
        <w:t>自身销售现金，不把合作免疫药全部利润归入。本章未精确拆联合推广协议，净现金率已包含商业成本，额外合作分成可能仍需更新。</w:t>
      </w:r>
    </w:p>
    <w:p>
      <w:pPr>
        <w:pStyle w:val="Heading2"/>
        <w:rPr/>
      </w:pPr>
      <w:r>
        <w:rPr>
          <w:color w:val="000000"/>
        </w:rPr>
        <w:t>宫颈癌与治疗次序</w:t>
      </w:r>
    </w:p>
    <w:p>
      <w:pPr>
        <w:pStyle w:val="Normal"/>
        <w:rPr/>
      </w:pPr>
      <w:r>
        <w:rPr/>
        <w:t>宫颈后线早期研究</w:t>
      </w:r>
      <w:r>
        <w:rPr/>
        <w:t>55</w:t>
      </w:r>
      <w:r>
        <w:rPr/>
        <w:t>例入组、</w:t>
      </w:r>
      <w:r>
        <w:rPr/>
        <w:t>53</w:t>
      </w:r>
      <w:r>
        <w:rPr/>
        <w:t>例可评价，确认</w:t>
      </w:r>
      <w:r>
        <w:rPr/>
        <w:t>ORR32.08%</w:t>
      </w:r>
      <w:r>
        <w:rPr/>
        <w:t>、疾病控制</w:t>
      </w:r>
      <w:r>
        <w:rPr/>
        <w:t>81.13%</w:t>
      </w:r>
      <w:r>
        <w:rPr/>
        <w:t>、</w:t>
      </w:r>
      <w:r>
        <w:rPr/>
        <w:t>PFS3.9</w:t>
      </w:r>
      <w:r>
        <w:rPr/>
        <w:t>个月、</w:t>
      </w:r>
      <w:r>
        <w:rPr/>
        <w:t>DOR5.98</w:t>
      </w:r>
      <w:r>
        <w:rPr/>
        <w:t>个月、</w:t>
      </w:r>
      <w:r>
        <w:rPr/>
        <w:t>OS19.35</w:t>
      </w:r>
      <w:r>
        <w:rPr/>
        <w:t>个月。</w:t>
      </w:r>
      <w:r>
        <w:rPr/>
        <w:t>OS</w:t>
      </w:r>
      <w:r>
        <w:rPr/>
        <w:t>长于</w:t>
      </w:r>
      <w:r>
        <w:rPr/>
        <w:t>PFS</w:t>
      </w:r>
      <w:r>
        <w:rPr/>
        <w:t>可能与后续治疗、基线与删失有关，不能由此推断独立延寿幅度。</w:t>
      </w:r>
      <w:r>
        <w:rPr/>
        <w:t>ADC</w:t>
      </w:r>
      <w:r>
        <w:rPr/>
        <w:t>能否给既往多线患者带来持续获益，需要随机或监管认可的完整证据。报告保留样本与确认口径，避免把总入组当有效分析集。</w:t>
      </w:r>
    </w:p>
    <w:p>
      <w:pPr>
        <w:pStyle w:val="Normal"/>
        <w:rPr/>
      </w:pPr>
      <w:r>
        <w:rPr/>
        <w:t>宫颈三期</w:t>
      </w:r>
      <w:r>
        <w:rPr/>
        <w:t>2024</w:t>
      </w:r>
      <w:r>
        <w:rPr/>
        <w:t>年</w:t>
      </w:r>
      <w:r>
        <w:rPr/>
        <w:t>9</w:t>
      </w:r>
      <w:r>
        <w:rPr/>
        <w:t>月启动、已完成入组，</w:t>
      </w:r>
      <w:r>
        <w:rPr/>
        <w:t>H2</w:t>
      </w:r>
      <w:r>
        <w:rPr/>
        <w:t>期中仍待结果。国内患者支付、医疗资源分布、免疫治疗覆盖和新型</w:t>
      </w:r>
      <w:r>
        <w:rPr/>
        <w:t>ADC</w:t>
      </w:r>
      <w:r>
        <w:rPr/>
        <w:t>竞争会共同决定实际份额。基准后线峰值</w:t>
      </w:r>
      <w:r>
        <w:rPr/>
        <w:t>1400</w:t>
      </w:r>
      <w:r>
        <w:rPr/>
        <w:t>百万元、成功判断</w:t>
      </w:r>
      <w:r>
        <w:rPr/>
        <w:t>48%</w:t>
      </w:r>
      <w:r>
        <w:rPr/>
        <w:t>、</w:t>
      </w:r>
      <w:r>
        <w:rPr/>
        <w:t>2028</w:t>
      </w:r>
      <w:r>
        <w:rPr/>
        <w:t>上市，比</w:t>
      </w:r>
      <w:r>
        <w:rPr/>
        <w:t>UC</w:t>
      </w:r>
      <w:r>
        <w:rPr/>
        <w:t>后线折扣更高。峰值假设并非来自已签保证采购合同，需随获批标签、定价与治疗次序更新，不能因全球首个同靶点关键研究而赋予无风险独占市场。</w:t>
      </w:r>
    </w:p>
    <w:p>
      <w:pPr>
        <w:pStyle w:val="Normal"/>
        <w:rPr/>
      </w:pPr>
      <w:r>
        <w:rPr/>
        <w:t>9</w:t>
      </w:r>
      <w:r>
        <w:rPr/>
        <w:t>月</w:t>
      </w:r>
      <w:r>
        <w:rPr/>
        <w:t>29</w:t>
      </w:r>
      <w:r>
        <w:rPr/>
        <w:t>日官网宣布</w:t>
      </w:r>
      <w:r>
        <w:rPr/>
        <w:t>12</w:t>
      </w:r>
      <w:r>
        <w:rPr/>
        <w:t>月</w:t>
      </w:r>
      <w:r>
        <w:rPr/>
        <w:t>6</w:t>
      </w:r>
      <w:r>
        <w:rPr/>
        <w:t>日</w:t>
      </w:r>
      <w:r>
        <w:rPr/>
        <w:t>ESMO Asia</w:t>
      </w:r>
      <w:r>
        <w:rPr/>
        <w:t>将展示一线宫颈联合数据，截至</w:t>
      </w:r>
      <w:r>
        <w:rPr/>
        <w:t>10</w:t>
      </w:r>
      <w:r>
        <w:rPr/>
        <w:t>月</w:t>
      </w:r>
      <w:r>
        <w:rPr/>
        <w:t>9</w:t>
      </w:r>
      <w:r>
        <w:rPr/>
        <w:t>日只是公布会议计划，没有本轮可核验的新疗效数字。本章不把未来会议信息提前灌入基准成功率，也未把一线宫颈独立高峰值再叠加。若后续数据确有随机或更成熟证据，可扩大模型；若仍是小样本单臂，应先调整可信度与安全窗，不能直接按后线成功假设复制。</w:t>
      </w:r>
    </w:p>
    <w:p>
      <w:pPr>
        <w:pStyle w:val="Heading2"/>
        <w:rPr/>
      </w:pPr>
      <w:r>
        <w:rPr>
          <w:color w:val="000000"/>
        </w:rPr>
        <w:t>三阴性乳腺癌 食管及海外权益</w:t>
      </w:r>
    </w:p>
    <w:p>
      <w:pPr>
        <w:pStyle w:val="Normal"/>
        <w:rPr/>
      </w:pPr>
      <w:r>
        <w:rPr/>
        <w:t>早期</w:t>
      </w:r>
      <w:r>
        <w:rPr/>
        <w:t>TNBC</w:t>
      </w:r>
      <w:r>
        <w:rPr/>
        <w:t>旧数据仅</w:t>
      </w:r>
      <w:r>
        <w:rPr/>
        <w:t>20</w:t>
      </w:r>
      <w:r>
        <w:rPr/>
        <w:t>名可评价患者，确认</w:t>
      </w:r>
      <w:r>
        <w:rPr/>
        <w:t>ORR50%</w:t>
      </w:r>
      <w:r>
        <w:rPr/>
        <w:t>、</w:t>
      </w:r>
      <w:r>
        <w:rPr/>
        <w:t>PFS5.9</w:t>
      </w:r>
      <w:r>
        <w:rPr/>
        <w:t>个月、</w:t>
      </w:r>
      <w:r>
        <w:rPr/>
        <w:t>DOR4</w:t>
      </w:r>
      <w:r>
        <w:rPr/>
        <w:t>个月、</w:t>
      </w:r>
      <w:r>
        <w:rPr/>
        <w:t>OS14.2</w:t>
      </w:r>
      <w:r>
        <w:rPr/>
        <w:t>个月。三阴性疾病异质，既往</w:t>
      </w:r>
      <w:r>
        <w:rPr/>
        <w:t>TopI-ADC</w:t>
      </w:r>
      <w:r>
        <w:rPr/>
        <w:t>等用药史尤其影响后续疗效和载荷交叉耐药。</w:t>
      </w:r>
      <w:r>
        <w:rPr/>
        <w:t>2026</w:t>
      </w:r>
      <w:r>
        <w:rPr/>
        <w:t>年</w:t>
      </w:r>
      <w:r>
        <w:rPr/>
        <w:t>4</w:t>
      </w:r>
      <w:r>
        <w:rPr/>
        <w:t>月启动相关三期、</w:t>
      </w:r>
      <w:r>
        <w:rPr/>
        <w:t>5</w:t>
      </w:r>
      <w:r>
        <w:rPr/>
        <w:t>月首例，离成熟注册仍需时间。</w:t>
      </w:r>
      <w:r>
        <w:rPr/>
        <w:t>10</w:t>
      </w:r>
      <w:r>
        <w:rPr/>
        <w:t>月</w:t>
      </w:r>
      <w:r>
        <w:rPr/>
        <w:t>26</w:t>
      </w:r>
      <w:r>
        <w:rPr/>
        <w:t>日</w:t>
      </w:r>
      <w:r>
        <w:rPr/>
        <w:t>ESMO</w:t>
      </w:r>
      <w:r>
        <w:rPr/>
        <w:t>口头报告在截止日之后，不能引用尚未公开的新响应数字当成</w:t>
      </w:r>
      <w:r>
        <w:rPr/>
        <w:t>10</w:t>
      </w:r>
      <w:r>
        <w:rPr/>
        <w:t>月</w:t>
      </w:r>
      <w:r>
        <w:rPr/>
        <w:t>9</w:t>
      </w:r>
      <w:r>
        <w:rPr/>
        <w:t>日投资者已有的信息。</w:t>
      </w:r>
    </w:p>
    <w:p>
      <w:pPr>
        <w:pStyle w:val="Normal"/>
        <w:rPr/>
      </w:pPr>
      <w:r>
        <w:rPr/>
        <w:t>基准</w:t>
      </w:r>
      <w:r>
        <w:rPr/>
        <w:t>TNBC</w:t>
      </w:r>
      <w:r>
        <w:rPr/>
        <w:t>设</w:t>
      </w:r>
      <w:r>
        <w:rPr/>
        <w:t>2030</w:t>
      </w:r>
      <w:r>
        <w:rPr/>
        <w:t>上市、峰值</w:t>
      </w:r>
      <w:r>
        <w:rPr/>
        <w:t>1500</w:t>
      </w:r>
      <w:r>
        <w:rPr/>
        <w:t>百万元、成功判断</w:t>
      </w:r>
      <w:r>
        <w:rPr/>
        <w:t>30%</w:t>
      </w:r>
      <w:r>
        <w:rPr/>
        <w:t>，反映关键研究刚开始和拥挤竞争。乐观提前到</w:t>
      </w:r>
      <w:r>
        <w:rPr/>
        <w:t>2029</w:t>
      </w:r>
      <w:r>
        <w:rPr/>
        <w:t>且峰值</w:t>
      </w:r>
      <w:r>
        <w:rPr/>
        <w:t>3000</w:t>
      </w:r>
      <w:r>
        <w:rPr/>
        <w:t>百万元需要疗效、安全、入组与支付都较顺利。若二线标准改变或经</w:t>
      </w:r>
      <w:r>
        <w:rPr/>
        <w:t>ADC</w:t>
      </w:r>
      <w:r>
        <w:rPr/>
        <w:t>患者响应大幅下降，应削弱该资产，即使</w:t>
      </w:r>
      <w:r>
        <w:rPr/>
        <w:t>UC</w:t>
      </w:r>
      <w:r>
        <w:rPr/>
        <w:t>仍成功也不能保留原</w:t>
      </w:r>
      <w:r>
        <w:rPr/>
        <w:t>TNBC</w:t>
      </w:r>
      <w:r>
        <w:rPr/>
        <w:t>估值。跨癌种商业机会可以共享制造，但未必共享全部临床成功证据。</w:t>
      </w:r>
    </w:p>
    <w:p>
      <w:pPr>
        <w:pStyle w:val="Normal"/>
        <w:rPr/>
      </w:pPr>
      <w:r>
        <w:rPr/>
        <w:t>食管癌</w:t>
      </w:r>
      <w:r>
        <w:rPr/>
        <w:t>43</w:t>
      </w:r>
      <w:r>
        <w:rPr/>
        <w:t>例可评价，</w:t>
      </w:r>
      <w:r>
        <w:rPr/>
        <w:t>ORR20.9%</w:t>
      </w:r>
      <w:r>
        <w:rPr/>
        <w:t>、确认</w:t>
      </w:r>
      <w:r>
        <w:rPr/>
        <w:t>ORR14%</w:t>
      </w:r>
      <w:r>
        <w:rPr/>
        <w:t>、</w:t>
      </w:r>
      <w:r>
        <w:rPr/>
        <w:t>PFS3.8</w:t>
      </w:r>
      <w:r>
        <w:rPr/>
        <w:t>个月、</w:t>
      </w:r>
      <w:r>
        <w:rPr/>
        <w:t>DOR4.4</w:t>
      </w:r>
      <w:r>
        <w:rPr/>
        <w:t>个月、</w:t>
      </w:r>
      <w:r>
        <w:rPr/>
        <w:t>OS9.4</w:t>
      </w:r>
      <w:r>
        <w:rPr/>
        <w:t>个月，明显弱于</w:t>
      </w:r>
      <w:r>
        <w:rPr/>
        <w:t>UC</w:t>
      </w:r>
      <w:r>
        <w:rPr/>
        <w:t>的数据形象。该资产基准成功判断仅</w:t>
      </w:r>
      <w:r>
        <w:rPr/>
        <w:t>16%</w:t>
      </w:r>
      <w:r>
        <w:rPr/>
        <w:t>、峰值</w:t>
      </w:r>
      <w:r>
        <w:rPr/>
        <w:t>500</w:t>
      </w:r>
      <w:r>
        <w:rPr/>
        <w:t>百万元，避免每个癌种都套同一靶点的高成功率。患者营养状态、合并治疗和表达异质性可能影响安全与持续给药，完整原数据仍待核验。低响应并不必然完全无价值，但价值应依据独立有效性和临床定位。</w:t>
      </w:r>
    </w:p>
    <w:p>
      <w:pPr>
        <w:pStyle w:val="Normal"/>
        <w:rPr/>
      </w:pPr>
      <w:r>
        <w:rPr/>
        <w:t>中国以外</w:t>
      </w:r>
      <w:r>
        <w:rPr/>
        <w:t>9MW2821</w:t>
      </w:r>
      <w:r>
        <w:rPr/>
        <w:t>权益尚未获得本轮可核验的全面全球许可，采用自营现金率</w:t>
      </w:r>
      <w:r>
        <w:rPr/>
        <w:t>23%</w:t>
      </w:r>
      <w:r>
        <w:rPr/>
        <w:t>、整体成功判断</w:t>
      </w:r>
      <w:r>
        <w:rPr/>
        <w:t>20%</w:t>
      </w:r>
      <w:r>
        <w:rPr/>
        <w:t>、</w:t>
      </w:r>
      <w:r>
        <w:rPr/>
        <w:t>2032</w:t>
      </w:r>
      <w:r>
        <w:rPr/>
        <w:t>上市的低可信度聚合。海外桥接、随机证据、制造注册与商业团队均增加成本，不可把中国成功率自动复制。未来若对外许可，需改成首款、条件里程碑与版税，并剔除已让渡的自营利润。交易有大标题时，最重要的不是总金额，而是股东最终保留的净收益。</w:t>
      </w:r>
    </w:p>
    <w:p>
      <w:pPr>
        <w:pStyle w:val="Heading2"/>
        <w:rPr/>
      </w:pPr>
      <w:r>
        <w:rPr>
          <w:color w:val="000000"/>
        </w:rPr>
        <w:t>B7 H3</w:t>
      </w:r>
      <w:r>
        <w:rPr>
          <w:color w:val="000000"/>
        </w:rPr>
        <w:t>与</w:t>
      </w:r>
      <w:r>
        <w:rPr>
          <w:color w:val="000000"/>
        </w:rPr>
        <w:t>CDH17</w:t>
      </w:r>
      <w:r>
        <w:rPr>
          <w:color w:val="000000"/>
        </w:rPr>
        <w:t>早期资产</w:t>
      </w:r>
    </w:p>
    <w:p>
      <w:pPr>
        <w:pStyle w:val="Normal"/>
        <w:rPr/>
      </w:pPr>
      <w:r>
        <w:rPr/>
        <w:t>7MW3711</w:t>
      </w:r>
      <w:r>
        <w:rPr/>
        <w:t>为</w:t>
      </w:r>
      <w:r>
        <w:rPr/>
        <w:t>B7-H3 ADC</w:t>
      </w:r>
      <w:r>
        <w:rPr/>
        <w:t>，在中美</w:t>
      </w:r>
      <w:r>
        <w:rPr/>
        <w:t>I/II</w:t>
      </w:r>
      <w:r>
        <w:rPr/>
        <w:t>期推进。公司称肺鳞癌三期已与</w:t>
      </w:r>
      <w:r>
        <w:rPr/>
        <w:t>CDE</w:t>
      </w:r>
      <w:r>
        <w:rPr/>
        <w:t>交流并计划</w:t>
      </w:r>
      <w:r>
        <w:rPr/>
        <w:t>2026</w:t>
      </w:r>
      <w:r>
        <w:rPr/>
        <w:t>下半年启动，本轮没有独立原证确认已启动，不能直接写为三期资产。临床前载荷优于其他载荷的结果有特定实验条件，不代表患者头对头优效。基准成功判断</w:t>
      </w:r>
      <w:r>
        <w:rPr/>
        <w:t>22%</w:t>
      </w:r>
      <w:r>
        <w:rPr/>
        <w:t>、</w:t>
      </w:r>
      <w:r>
        <w:rPr/>
        <w:t>2031</w:t>
      </w:r>
      <w:r>
        <w:rPr/>
        <w:t>上市、</w:t>
      </w:r>
      <w:r>
        <w:rPr/>
        <w:t>1800</w:t>
      </w:r>
      <w:r>
        <w:rPr/>
        <w:t>百万元中国峰值，将其视为待验证机会而非补足近期现金缺口的现成产品。</w:t>
      </w:r>
    </w:p>
    <w:p>
      <w:pPr>
        <w:pStyle w:val="Normal"/>
        <w:rPr/>
      </w:pPr>
      <w:r>
        <w:rPr/>
        <w:t>B7-H3</w:t>
      </w:r>
      <w:r>
        <w:rPr/>
        <w:t>靶点开发拥挤，适应症选择、载荷毒性、剂量与联合方案会决定产品区别。公司在肺鳞或其他癌种的早期信号如果来自小亚组，可能随扩展样本减弱。模型暂聚合中国癌种，未为每个早期数据片段赋独立峰值；完整逐癌种模型仍需后续原数据。如果三期启动推迟或给药安全窗不足，折现和成功率应同时降低，不能仅修改上市年份而保持价值不变。</w:t>
      </w:r>
    </w:p>
    <w:p>
      <w:pPr>
        <w:pStyle w:val="Normal"/>
        <w:rPr/>
      </w:pPr>
      <w:r>
        <w:rPr/>
        <w:t>7MW4911</w:t>
      </w:r>
      <w:r>
        <w:rPr/>
        <w:t>靶向</w:t>
      </w:r>
      <w:r>
        <w:rPr/>
        <w:t>CDH17</w:t>
      </w:r>
      <w:r>
        <w:rPr/>
        <w:t>，国内</w:t>
      </w:r>
      <w:r>
        <w:rPr/>
        <w:t>2025</w:t>
      </w:r>
      <w:r>
        <w:rPr/>
        <w:t>年</w:t>
      </w:r>
      <w:r>
        <w:rPr/>
        <w:t>11</w:t>
      </w:r>
      <w:r>
        <w:rPr/>
        <w:t>月、美国</w:t>
      </w:r>
      <w:r>
        <w:rPr/>
        <w:t>2026</w:t>
      </w:r>
      <w:r>
        <w:rPr/>
        <w:t>年</w:t>
      </w:r>
      <w:r>
        <w:rPr/>
        <w:t>1</w:t>
      </w:r>
      <w:r>
        <w:rPr/>
        <w:t>月首次人体，处于更早验证阶段。</w:t>
      </w:r>
      <w:r>
        <w:rPr/>
        <w:t>CDH17</w:t>
      </w:r>
      <w:r>
        <w:rPr/>
        <w:t>相关消化道肿瘤需求存在，靶点表达与动物模型却不足以证明人体安全和获益。基准成功判断</w:t>
      </w:r>
      <w:r>
        <w:rPr/>
        <w:t>10%</w:t>
      </w:r>
      <w:r>
        <w:rPr/>
        <w:t>、</w:t>
      </w:r>
      <w:r>
        <w:rPr/>
        <w:t>2033</w:t>
      </w:r>
      <w:r>
        <w:rPr/>
        <w:t>上市、</w:t>
      </w:r>
      <w:r>
        <w:rPr/>
        <w:t>1500</w:t>
      </w:r>
      <w:r>
        <w:rPr/>
        <w:t>百万元峰值已经具有很大不确定性，乐观</w:t>
      </w:r>
      <w:r>
        <w:rPr/>
        <w:t>25%</w:t>
      </w:r>
      <w:r>
        <w:rPr/>
        <w:t>亦不应解释为统计获批概率。早期项目出色可以提高后续价值，目前不会单独使财务风险降为低。</w:t>
      </w:r>
    </w:p>
    <w:p>
      <w:pPr>
        <w:pStyle w:val="Normal"/>
        <w:rPr/>
      </w:pPr>
      <w:r>
        <w:rPr/>
        <w:t>动物耐药模型和体外杀伤可能帮助解释设计，但人体暴露、组织表达与有效载荷差异会改变结论。</w:t>
      </w:r>
      <w:r>
        <w:rPr/>
        <w:t>CDH17</w:t>
      </w:r>
      <w:r>
        <w:rPr/>
        <w:t>若出现剂量限制毒性，整个峰值曲线和开发费用需重新审视。即使疗效良好，治疗线次和已上市方案也决定可服务市场。本报告列明早期假设可信度极低，并保留专利、</w:t>
      </w:r>
      <w:r>
        <w:rPr/>
        <w:t>FTO</w:t>
      </w:r>
      <w:r>
        <w:rPr/>
        <w:t>与完整临床表缺口，不用平台名称代替患者证据。</w:t>
      </w:r>
    </w:p>
    <w:p>
      <w:pPr>
        <w:pStyle w:val="Heading2"/>
        <w:rPr/>
      </w:pPr>
      <w:r>
        <w:rPr>
          <w:color w:val="000000"/>
        </w:rPr>
        <w:t>ST2 COPD</w:t>
      </w:r>
      <w:r>
        <w:rPr>
          <w:color w:val="000000"/>
        </w:rPr>
        <w:t>与小样本加重率</w:t>
      </w:r>
    </w:p>
    <w:p>
      <w:pPr>
        <w:pStyle w:val="Normal"/>
        <w:rPr/>
      </w:pPr>
      <w:r>
        <w:rPr/>
        <w:t>9MW1911</w:t>
      </w:r>
      <w:r>
        <w:rPr/>
        <w:t>为</w:t>
      </w:r>
      <w:r>
        <w:rPr/>
        <w:t>ST2</w:t>
      </w:r>
      <w:r>
        <w:rPr/>
        <w:t>抗体，针对</w:t>
      </w:r>
      <w:r>
        <w:rPr/>
        <w:t>COPD</w:t>
      </w:r>
      <w:r>
        <w:rPr/>
        <w:t>等炎症通路。早期随机双盲研究总样本</w:t>
      </w:r>
      <w:r>
        <w:rPr/>
        <w:t>80</w:t>
      </w:r>
      <w:r>
        <w:rPr/>
        <w:t>，多个剂量亚组规模较小，中报重点</w:t>
      </w:r>
      <w:r>
        <w:rPr/>
        <w:t>RP2D</w:t>
      </w:r>
      <w:r>
        <w:rPr/>
        <w:t>与安慰剂分析分别</w:t>
      </w:r>
      <w:r>
        <w:rPr/>
        <w:t>30</w:t>
      </w:r>
      <w:r>
        <w:rPr/>
        <w:t>与</w:t>
      </w:r>
      <w:r>
        <w:rPr/>
        <w:t>20</w:t>
      </w:r>
      <w:r>
        <w:rPr/>
        <w:t>。</w:t>
      </w:r>
      <w:r>
        <w:rPr/>
        <w:t>9</w:t>
      </w:r>
      <w:r>
        <w:rPr/>
        <w:t>月</w:t>
      </w:r>
      <w:r>
        <w:rPr/>
        <w:t>5</w:t>
      </w:r>
      <w:r>
        <w:rPr/>
        <w:t>日公告披露</w:t>
      </w:r>
      <w:r>
        <w:rPr/>
        <w:t>600</w:t>
      </w:r>
      <w:r>
        <w:rPr/>
        <w:t>、</w:t>
      </w:r>
      <w:r>
        <w:rPr/>
        <w:t>900</w:t>
      </w:r>
      <w:r>
        <w:rPr/>
        <w:t>毫克每四周，中重度年化加重下降</w:t>
      </w:r>
      <w:r>
        <w:rPr/>
        <w:t>24%</w:t>
      </w:r>
      <w:r>
        <w:rPr/>
        <w:t>、</w:t>
      </w:r>
      <w:r>
        <w:rPr/>
        <w:t>81%</w:t>
      </w:r>
      <w:r>
        <w:rPr/>
        <w:t>，重度下降</w:t>
      </w:r>
      <w:r>
        <w:rPr/>
        <w:t>47%</w:t>
      </w:r>
      <w:r>
        <w:rPr/>
        <w:t>、</w:t>
      </w:r>
      <w:r>
        <w:rPr/>
        <w:t>100%</w:t>
      </w:r>
      <w:r>
        <w:rPr/>
        <w:t>。不同剂量及亚组不能合并成全部受试者结论，</w:t>
      </w:r>
      <w:r>
        <w:rPr/>
        <w:t>100%</w:t>
      </w:r>
      <w:r>
        <w:rPr/>
        <w:t>代表该小组观察期未出现特定事件，不等药物能彻底预防所有患者加重。</w:t>
      </w:r>
    </w:p>
    <w:p>
      <w:pPr>
        <w:pStyle w:val="Normal"/>
        <w:rPr/>
      </w:pPr>
      <w:r>
        <w:rPr/>
        <w:t>COPD</w:t>
      </w:r>
      <w:r>
        <w:rPr/>
        <w:t>加重率受既往事件、吸烟史、基础吸入药、季节、感染与随访时间影响。小样本短期事件减少可能有随机波动，关键是更大试验是否重复，并建立统计和临床意义。</w:t>
      </w:r>
      <w:r>
        <w:rPr/>
        <w:t>IIb2025</w:t>
      </w:r>
      <w:r>
        <w:rPr/>
        <w:t>年</w:t>
      </w:r>
      <w:r>
        <w:rPr/>
        <w:t>7</w:t>
      </w:r>
      <w:r>
        <w:rPr/>
        <w:t>月首次入组、</w:t>
      </w:r>
      <w:r>
        <w:rPr/>
        <w:t>2026</w:t>
      </w:r>
      <w:r>
        <w:rPr/>
        <w:t>年</w:t>
      </w:r>
      <w:r>
        <w:rPr/>
        <w:t>6</w:t>
      </w:r>
      <w:r>
        <w:rPr/>
        <w:t>月完成入组，期中需达到随访条件；年底前后三期启动只属计划。基准中国成功判断</w:t>
      </w:r>
      <w:r>
        <w:rPr/>
        <w:t>25%</w:t>
      </w:r>
      <w:r>
        <w:rPr/>
        <w:t>、</w:t>
      </w:r>
      <w:r>
        <w:rPr/>
        <w:t>2031</w:t>
      </w:r>
      <w:r>
        <w:rPr/>
        <w:t>上市，不能因一个亚组</w:t>
      </w:r>
      <w:r>
        <w:rPr/>
        <w:t>81%</w:t>
      </w:r>
      <w:r>
        <w:rPr/>
        <w:t>就把成功率改成接近已批准。</w:t>
      </w:r>
    </w:p>
    <w:p>
      <w:pPr>
        <w:pStyle w:val="Normal"/>
        <w:rPr/>
      </w:pPr>
      <w:r>
        <w:rPr/>
        <w:t>生物制剂治疗慢性肺病还涉及注射便利、筛选生物标志、价格和长期安全。即使降低加重，医保愿支付的价格与适用患者比例可能限制销售；原研国外同通路成败不能未经原文复核就当靶点完全验证。模型未独立加入</w:t>
      </w:r>
      <w:r>
        <w:rPr/>
        <w:t>ST2</w:t>
      </w:r>
      <w:r>
        <w:rPr/>
        <w:t>海外完整价值，避免在权益、监管和成本未核验时扩大峰值。若后续</w:t>
      </w:r>
      <w:r>
        <w:rPr/>
        <w:t>IIb</w:t>
      </w:r>
      <w:r>
        <w:rPr/>
        <w:t>没有复制有效性或生物标志亚组过窄，推荐需要下调。</w:t>
      </w:r>
    </w:p>
    <w:p>
      <w:pPr>
        <w:pStyle w:val="Heading2"/>
        <w:rPr/>
      </w:pPr>
      <w:r>
        <w:rPr>
          <w:color w:val="000000"/>
        </w:rPr>
        <w:t>IL 11</w:t>
      </w:r>
      <w:r>
        <w:rPr>
          <w:color w:val="000000"/>
        </w:rPr>
        <w:t>与</w:t>
      </w:r>
      <w:r>
        <w:rPr>
          <w:color w:val="000000"/>
        </w:rPr>
        <w:t>CALICO</w:t>
      </w:r>
      <w:r>
        <w:rPr>
          <w:color w:val="000000"/>
        </w:rPr>
        <w:t>权利</w:t>
      </w:r>
    </w:p>
    <w:p>
      <w:pPr>
        <w:pStyle w:val="Normal"/>
        <w:rPr/>
      </w:pPr>
      <w:r>
        <w:rPr/>
        <w:t>9MW3811</w:t>
      </w:r>
      <w:r>
        <w:rPr/>
        <w:t>为</w:t>
      </w:r>
      <w:r>
        <w:rPr/>
        <w:t>IL-11</w:t>
      </w:r>
      <w:r>
        <w:rPr/>
        <w:t>抗体，潜在用途涉及纤维化与瘢痕，健康人一期半衰期约一个月是药代证据，不是人体抗衰老疗效。瘢痕二期</w:t>
      </w:r>
      <w:r>
        <w:rPr/>
        <w:t>2025</w:t>
      </w:r>
      <w:r>
        <w:rPr/>
        <w:t>年</w:t>
      </w:r>
      <w:r>
        <w:rPr/>
        <w:t>11</w:t>
      </w:r>
      <w:r>
        <w:rPr/>
        <w:t>月开始，</w:t>
      </w:r>
      <w:r>
        <w:rPr/>
        <w:t>IPF</w:t>
      </w:r>
      <w:r>
        <w:rPr/>
        <w:t>等疾病仍需相应患者数据。基础生物学或动物寿命结果不能换算成人体寿命延长，更不能按“抗衰老万亿市场”直接估峰值。本模型限定纤维化相关疾病，不建立未经临床验证的健康人广泛消费市场。</w:t>
      </w:r>
    </w:p>
    <w:p>
      <w:pPr>
        <w:pStyle w:val="Normal"/>
        <w:rPr/>
      </w:pPr>
      <w:r>
        <w:rPr/>
        <w:t>CALICO</w:t>
      </w:r>
      <w:r>
        <w:rPr/>
        <w:t>获除大中华区域独家开发生产商业权，已收不可退</w:t>
      </w:r>
      <w:r>
        <w:rPr/>
        <w:t>2500</w:t>
      </w:r>
      <w:r>
        <w:rPr/>
        <w:t>万美元首款，未来最高</w:t>
      </w:r>
      <w:r>
        <w:rPr/>
        <w:t>5.71</w:t>
      </w:r>
      <w:r>
        <w:rPr/>
        <w:t>亿美元里程碑及阶梯版税。最高里程碑是多条件上限，不是可立即偿债的现金。海外经济权采用</w:t>
      </w:r>
      <w:r>
        <w:rPr/>
        <w:t>5%</w:t>
      </w:r>
      <w:r>
        <w:rPr/>
        <w:t>、</w:t>
      </w:r>
      <w:r>
        <w:rPr/>
        <w:t>8%</w:t>
      </w:r>
      <w:r>
        <w:rPr/>
        <w:t>、</w:t>
      </w:r>
      <w:r>
        <w:rPr/>
        <w:t>11%</w:t>
      </w:r>
      <w:r>
        <w:rPr/>
        <w:t>税前版税假设，具体合同分档没有披露，本研究不将其标为真实费率。已收</w:t>
      </w:r>
      <w:r>
        <w:rPr/>
        <w:t>2500</w:t>
      </w:r>
      <w:r>
        <w:rPr/>
        <w:t>万美元已进入历史现金，不再计未来资产收入。</w:t>
      </w:r>
    </w:p>
    <w:p>
      <w:pPr>
        <w:pStyle w:val="Normal"/>
        <w:rPr/>
      </w:pPr>
      <w:r>
        <w:rPr/>
        <w:t>中国保留权益与全球许可地区分开，基准中国峰值</w:t>
      </w:r>
      <w:r>
        <w:rPr/>
        <w:t>800</w:t>
      </w:r>
      <w:r>
        <w:rPr/>
        <w:t>百万元、成功判断</w:t>
      </w:r>
      <w:r>
        <w:rPr/>
        <w:t>12%</w:t>
      </w:r>
      <w:r>
        <w:rPr/>
        <w:t>，海外峰值</w:t>
      </w:r>
      <w:r>
        <w:rPr/>
        <w:t>18</w:t>
      </w:r>
      <w:r>
        <w:rPr/>
        <w:t>亿美元、成功判断</w:t>
      </w:r>
      <w:r>
        <w:rPr/>
        <w:t>12%</w:t>
      </w:r>
      <w:r>
        <w:rPr/>
        <w:t>、</w:t>
      </w:r>
      <w:r>
        <w:rPr/>
        <w:t>2033</w:t>
      </w:r>
      <w:r>
        <w:rPr/>
        <w:t>上市。海外数字大，却因版税、失败风险和远期折现，归属</w:t>
      </w:r>
      <w:r>
        <w:rPr/>
        <w:t>PV</w:t>
      </w:r>
      <w:r>
        <w:rPr/>
        <w:t>并不会等于</w:t>
      </w:r>
      <w:r>
        <w:rPr/>
        <w:t>18</w:t>
      </w:r>
      <w:r>
        <w:rPr/>
        <w:t>亿美元。瘢痕与</w:t>
      </w:r>
      <w:r>
        <w:rPr/>
        <w:t>IPF</w:t>
      </w:r>
      <w:r>
        <w:rPr/>
        <w:t>暂聚合属于模型限制，不将两种疾病的患者数简单累计。若</w:t>
      </w:r>
      <w:r>
        <w:rPr/>
        <w:t>CALICO</w:t>
      </w:r>
      <w:r>
        <w:rPr/>
        <w:t>降低开发优先级，即使合同不取消也可能延迟里程碑、降低净现值。</w:t>
      </w:r>
    </w:p>
    <w:p>
      <w:pPr>
        <w:pStyle w:val="Heading2"/>
        <w:rPr/>
      </w:pPr>
      <w:r>
        <w:rPr>
          <w:color w:val="000000"/>
        </w:rPr>
        <w:t>TMPRSS6 DISC</w:t>
      </w:r>
      <w:r>
        <w:rPr>
          <w:color w:val="000000"/>
        </w:rPr>
        <w:t>及真实二期初读</w:t>
      </w:r>
    </w:p>
    <w:p>
      <w:pPr>
        <w:pStyle w:val="Normal"/>
        <w:rPr/>
      </w:pPr>
      <w:r>
        <w:rPr/>
        <w:t>9MW3011</w:t>
      </w:r>
      <w:r>
        <w:rPr/>
        <w:t>在</w:t>
      </w:r>
      <w:r>
        <w:rPr/>
        <w:t>DISC</w:t>
      </w:r>
      <w:r>
        <w:rPr/>
        <w:t>称</w:t>
      </w:r>
      <w:r>
        <w:rPr/>
        <w:t>DISC-3405</w:t>
      </w:r>
      <w:r>
        <w:rPr/>
        <w:t>，靶向</w:t>
      </w:r>
      <w:r>
        <w:rPr/>
        <w:t>TMPRSS6</w:t>
      </w:r>
      <w:r>
        <w:rPr/>
        <w:t>以提高铁调素、降低血清铁，意在调控红细胞相关疾病。海外许可为除大中华与东南亚，最高</w:t>
      </w:r>
      <w:r>
        <w:rPr/>
        <w:t>4.125</w:t>
      </w:r>
      <w:r>
        <w:rPr/>
        <w:t>亿美元包括</w:t>
      </w:r>
      <w:r>
        <w:rPr/>
        <w:t>1000</w:t>
      </w:r>
      <w:r>
        <w:rPr/>
        <w:t>万美元已付首款及后续条件，最高近两位数版税。历史已履行款不再作为未来收入叠加，未来费率</w:t>
      </w:r>
      <w:r>
        <w:rPr/>
        <w:t>6%</w:t>
      </w:r>
      <w:r>
        <w:rPr/>
        <w:t>、</w:t>
      </w:r>
      <w:r>
        <w:rPr/>
        <w:t>8.5%</w:t>
      </w:r>
      <w:r>
        <w:rPr/>
        <w:t>、</w:t>
      </w:r>
      <w:r>
        <w:rPr/>
        <w:t>10.5%</w:t>
      </w:r>
      <w:r>
        <w:rPr/>
        <w:t>均为研究假设，不能引用为合同确定分档。</w:t>
      </w:r>
    </w:p>
    <w:p>
      <w:pPr>
        <w:pStyle w:val="Normal"/>
        <w:rPr/>
      </w:pPr>
      <w:r>
        <w:rPr/>
        <w:t>9</w:t>
      </w:r>
      <w:r>
        <w:rPr/>
        <w:t>月</w:t>
      </w:r>
      <w:r>
        <w:rPr/>
        <w:t>9</w:t>
      </w:r>
      <w:r>
        <w:rPr/>
        <w:t>日</w:t>
      </w:r>
      <w:r>
        <w:rPr/>
        <w:t>DISC</w:t>
      </w:r>
      <w:r>
        <w:rPr/>
        <w:t>原官网实际公布</w:t>
      </w:r>
      <w:r>
        <w:rPr/>
        <w:t>RESTORE-PV</w:t>
      </w:r>
      <w:r>
        <w:rPr/>
        <w:t>二期初步结果，</w:t>
      </w:r>
      <w:r>
        <w:rPr/>
        <w:t>40</w:t>
      </w:r>
      <w:r>
        <w:rPr/>
        <w:t>名患者分</w:t>
      </w:r>
      <w:r>
        <w:rPr/>
        <w:t>A</w:t>
      </w:r>
      <w:r>
        <w:rPr/>
        <w:t>、</w:t>
      </w:r>
      <w:r>
        <w:rPr/>
        <w:t>B</w:t>
      </w:r>
      <w:r>
        <w:rPr/>
        <w:t>两组各</w:t>
      </w:r>
      <w:r>
        <w:rPr/>
        <w:t>20</w:t>
      </w:r>
      <w:r>
        <w:rPr/>
        <w:t>。</w:t>
      </w:r>
      <w:r>
        <w:rPr/>
        <w:t>A</w:t>
      </w:r>
      <w:r>
        <w:rPr/>
        <w:t>组</w:t>
      </w:r>
      <w:r>
        <w:rPr/>
        <w:t>20</w:t>
      </w:r>
      <w:r>
        <w:rPr/>
        <w:t>已给药，</w:t>
      </w:r>
      <w:r>
        <w:rPr/>
        <w:t>13</w:t>
      </w:r>
      <w:r>
        <w:rPr/>
        <w:t>完成</w:t>
      </w:r>
      <w:r>
        <w:rPr/>
        <w:t>26</w:t>
      </w:r>
      <w:r>
        <w:rPr/>
        <w:t>周；</w:t>
      </w:r>
      <w:r>
        <w:rPr/>
        <w:t>B</w:t>
      </w:r>
      <w:r>
        <w:rPr/>
        <w:t>组</w:t>
      </w:r>
      <w:r>
        <w:rPr/>
        <w:t>18</w:t>
      </w:r>
      <w:r>
        <w:rPr/>
        <w:t>已给药，本次主要疗效报告为</w:t>
      </w:r>
      <w:r>
        <w:rPr/>
        <w:t>A</w:t>
      </w:r>
      <w:r>
        <w:rPr/>
        <w:t>组。</w:t>
      </w:r>
      <w:r>
        <w:rPr/>
        <w:t>13</w:t>
      </w:r>
      <w:r>
        <w:rPr/>
        <w:t>名完成者自身前</w:t>
      </w:r>
      <w:r>
        <w:rPr/>
        <w:t>26</w:t>
      </w:r>
      <w:r>
        <w:rPr/>
        <w:t>周平均放血</w:t>
      </w:r>
      <w:r>
        <w:rPr/>
        <w:t>4</w:t>
      </w:r>
      <w:r>
        <w:rPr/>
        <w:t>次，给药后</w:t>
      </w:r>
      <w:r>
        <w:rPr/>
        <w:t>26</w:t>
      </w:r>
      <w:r>
        <w:rPr/>
        <w:t>周</w:t>
      </w:r>
      <w:r>
        <w:rPr/>
        <w:t>0.6</w:t>
      </w:r>
      <w:r>
        <w:rPr/>
        <w:t>次，</w:t>
      </w:r>
      <w:r>
        <w:rPr/>
        <w:t>61.5%</w:t>
      </w:r>
      <w:r>
        <w:rPr/>
        <w:t>保持无需放血；完成</w:t>
      </w:r>
      <w:r>
        <w:rPr/>
        <w:t>12</w:t>
      </w:r>
      <w:r>
        <w:rPr/>
        <w:t>至</w:t>
      </w:r>
      <w:r>
        <w:rPr/>
        <w:t>32</w:t>
      </w:r>
      <w:r>
        <w:rPr/>
        <w:t>周维持期</w:t>
      </w:r>
      <w:r>
        <w:rPr/>
        <w:t>9</w:t>
      </w:r>
      <w:r>
        <w:rPr/>
        <w:t>名中</w:t>
      </w:r>
      <w:r>
        <w:rPr/>
        <w:t>77.8%</w:t>
      </w:r>
      <w:r>
        <w:rPr/>
        <w:t>无放血。这些数字提高机制转化的证据，仍不是全部</w:t>
      </w:r>
      <w:r>
        <w:rPr/>
        <w:t>40</w:t>
      </w:r>
      <w:r>
        <w:rPr/>
        <w:t>名的同一完整终点。</w:t>
      </w:r>
    </w:p>
    <w:p>
      <w:pPr>
        <w:pStyle w:val="Normal"/>
        <w:rPr/>
      </w:pPr>
      <w:r>
        <w:rPr/>
        <w:t>RESTORE-PV</w:t>
      </w:r>
      <w:r>
        <w:rPr/>
        <w:t>为多中心开放标签，患者经过观察、剂量递增和维持，相比自身基线没有随机安慰剂对照。完成者分析可能受随访选择影响，</w:t>
      </w:r>
      <w:r>
        <w:rPr/>
        <w:t>P</w:t>
      </w:r>
      <w:r>
        <w:rPr/>
        <w:t>值小不消除这种设计限制。平均血细胞比容维持</w:t>
      </w:r>
      <w:r>
        <w:rPr/>
        <w:t>45%</w:t>
      </w:r>
      <w:r>
        <w:rPr/>
        <w:t>以下支持疾病控制方向，不直接证明减少血栓、心梗或长期死亡。初读可上调科学关注度，但上市仍需要更完整研究、监管与长期安全，本模型全球</w:t>
      </w:r>
      <w:r>
        <w:rPr/>
        <w:t>PV</w:t>
      </w:r>
      <w:r>
        <w:rPr/>
        <w:t>成功判断</w:t>
      </w:r>
      <w:r>
        <w:rPr/>
        <w:t>42%</w:t>
      </w:r>
      <w:r>
        <w:rPr/>
        <w:t>而非接近确定。</w:t>
      </w:r>
    </w:p>
    <w:p>
      <w:pPr>
        <w:pStyle w:val="Normal"/>
        <w:rPr/>
      </w:pPr>
      <w:r>
        <w:rPr/>
        <w:t>基准全球</w:t>
      </w:r>
      <w:r>
        <w:rPr/>
        <w:t>PV</w:t>
      </w:r>
      <w:r>
        <w:rPr/>
        <w:t>峰值</w:t>
      </w:r>
      <w:r>
        <w:rPr/>
        <w:t>10</w:t>
      </w:r>
      <w:r>
        <w:rPr/>
        <w:t>亿美元、</w:t>
      </w:r>
      <w:r>
        <w:rPr/>
        <w:t>2031</w:t>
      </w:r>
      <w:r>
        <w:rPr/>
        <w:t>上市，中国与东南亚保留区域峰值</w:t>
      </w:r>
      <w:r>
        <w:rPr/>
        <w:t>600</w:t>
      </w:r>
      <w:r>
        <w:rPr/>
        <w:t>百万元、成功判断</w:t>
      </w:r>
      <w:r>
        <w:rPr/>
        <w:t>35%</w:t>
      </w:r>
      <w:r>
        <w:rPr/>
        <w:t>，地区不重复。海外只算税后版税，国内算自营现金；实际保留地区具体开发和供货安排仍待合同全文。</w:t>
      </w:r>
      <w:r>
        <w:rPr/>
        <w:t>DISC</w:t>
      </w:r>
      <w:r>
        <w:rPr/>
        <w:t>年底计划更新</w:t>
      </w:r>
      <w:r>
        <w:rPr/>
        <w:t>PV</w:t>
      </w:r>
      <w:r>
        <w:rPr/>
        <w:t>并披露</w:t>
      </w:r>
      <w:r>
        <w:rPr/>
        <w:t>SCD</w:t>
      </w:r>
      <w:r>
        <w:rPr/>
        <w:t>一期初读，截至截止日后者仍未结果。</w:t>
      </w:r>
      <w:r>
        <w:rPr/>
        <w:t>PV</w:t>
      </w:r>
      <w:r>
        <w:rPr/>
        <w:t>铁限制机制有效不自动证明镰状细胞病临床获益，</w:t>
      </w:r>
      <w:r>
        <w:rPr/>
        <w:t>SCD</w:t>
      </w:r>
      <w:r>
        <w:rPr/>
        <w:t>基准成功判断</w:t>
      </w:r>
      <w:r>
        <w:rPr/>
        <w:t>15%</w:t>
      </w:r>
      <w:r>
        <w:rPr/>
        <w:t>且</w:t>
      </w:r>
      <w:r>
        <w:rPr/>
        <w:t>2033</w:t>
      </w:r>
      <w:r>
        <w:rPr/>
        <w:t>上市。</w:t>
      </w:r>
    </w:p>
    <w:p>
      <w:pPr>
        <w:pStyle w:val="Normal"/>
        <w:rPr/>
      </w:pPr>
      <w:r>
        <w:rPr/>
        <w:t>镰状细胞病是常染色体隐性遗传疾病，不能照抄某些材料将其写成显性。红细胞性质、溶血、血管阻塞与铁代谢相互作用复杂，血清铁或铁调素改变不等疼痛危象减少。邻近通路其他药成功提供机制背景，不能替代本药随机临床。若</w:t>
      </w:r>
      <w:r>
        <w:rPr/>
        <w:t>SCD</w:t>
      </w:r>
      <w:r>
        <w:rPr/>
        <w:t>试验出现贫血加重、安全或无有效信号，需剔除该</w:t>
      </w:r>
      <w:r>
        <w:rPr/>
        <w:t>PV</w:t>
      </w:r>
      <w:r>
        <w:rPr/>
        <w:t>之外资产，而不是用</w:t>
      </w:r>
      <w:r>
        <w:rPr/>
        <w:t>PV</w:t>
      </w:r>
      <w:r>
        <w:rPr/>
        <w:t>结果维持原估值。</w:t>
      </w:r>
    </w:p>
    <w:p>
      <w:pPr>
        <w:pStyle w:val="Heading2"/>
        <w:rPr/>
      </w:pPr>
      <w:r>
        <w:rPr>
          <w:color w:val="000000"/>
        </w:rPr>
        <w:t xml:space="preserve">Kalexo </w:t>
      </w:r>
      <w:r>
        <w:rPr>
          <w:color w:val="000000"/>
        </w:rPr>
        <w:t>平台与未估资产</w:t>
      </w:r>
    </w:p>
    <w:p>
      <w:pPr>
        <w:pStyle w:val="Normal"/>
        <w:rPr/>
      </w:pPr>
      <w:r>
        <w:rPr/>
        <w:t>2MW7141</w:t>
      </w:r>
      <w:r>
        <w:rPr/>
        <w:t>是双靶点</w:t>
      </w:r>
      <w:r>
        <w:rPr/>
        <w:t>siRNA</w:t>
      </w:r>
      <w:r>
        <w:rPr/>
        <w:t>心血管研发项目，</w:t>
      </w:r>
      <w:r>
        <w:rPr/>
        <w:t>2025</w:t>
      </w:r>
      <w:r>
        <w:rPr/>
        <w:t>年</w:t>
      </w:r>
      <w:r>
        <w:rPr/>
        <w:t>9</w:t>
      </w:r>
      <w:r>
        <w:rPr/>
        <w:t>月</w:t>
      </w:r>
      <w:r>
        <w:rPr/>
        <w:t>17</w:t>
      </w:r>
      <w:r>
        <w:rPr/>
        <w:t>日与</w:t>
      </w:r>
      <w:r>
        <w:rPr/>
        <w:t>Kalexo</w:t>
      </w:r>
      <w:r>
        <w:rPr/>
        <w:t>签全球独家许可，最高</w:t>
      </w:r>
      <w:r>
        <w:rPr/>
        <w:t>10</w:t>
      </w:r>
      <w:r>
        <w:rPr/>
        <w:t>亿美元预付款和里程碑，含</w:t>
      </w:r>
      <w:r>
        <w:rPr/>
        <w:t>1200</w:t>
      </w:r>
      <w:r>
        <w:rPr/>
        <w:t>万美元首款及近端现金，并有符合条件的部分股权。</w:t>
      </w:r>
      <w:r>
        <w:rPr/>
        <w:t>2025</w:t>
      </w:r>
      <w:r>
        <w:rPr/>
        <w:t>合同表已履行</w:t>
      </w:r>
      <w:r>
        <w:rPr/>
        <w:t>5688.16</w:t>
      </w:r>
      <w:r>
        <w:rPr/>
        <w:t>万元，与</w:t>
      </w:r>
      <w:r>
        <w:rPr/>
        <w:t>1200</w:t>
      </w:r>
      <w:r>
        <w:rPr/>
        <w:t>万美元包并不完全等价，不能据此断言整包全部已收。全球开发生产商业权让渡，迈威未来是合同经济权及潜在少数股权，不拥有全部</w:t>
      </w:r>
      <w:r>
        <w:rPr/>
        <w:t>Kalexo</w:t>
      </w:r>
      <w:r>
        <w:rPr/>
        <w:t>经营价值。</w:t>
      </w:r>
    </w:p>
    <w:p>
      <w:pPr>
        <w:pStyle w:val="Normal"/>
        <w:rPr/>
      </w:pPr>
      <w:r>
        <w:rPr/>
        <w:t>具体靶点、股权比例、阶段和完整分档未全部取得，初版不加入一笔精确</w:t>
      </w:r>
      <w:r>
        <w:rPr/>
        <w:t>Kalexo</w:t>
      </w:r>
      <w:r>
        <w:rPr/>
        <w:t>股权估值，不用</w:t>
      </w:r>
      <w:r>
        <w:rPr/>
        <w:t>10</w:t>
      </w:r>
      <w:r>
        <w:rPr/>
        <w:t>亿美元上限作为现成资产。心血管</w:t>
      </w:r>
      <w:r>
        <w:rPr/>
        <w:t>siRNA</w:t>
      </w:r>
      <w:r>
        <w:rPr/>
        <w:t>领域长期需求大，治疗频率、心血管事件结果、制造与价格仍会决定竞争。双靶点不等临床上必定优于单靶点，也不等副作用减少。若今后取得合约和临床证据，可独立加入版税现金，不应同时再加入全部自营利润。</w:t>
      </w:r>
    </w:p>
    <w:p>
      <w:pPr>
        <w:pStyle w:val="Normal"/>
        <w:rPr/>
      </w:pPr>
      <w:r>
        <w:rPr/>
        <w:t>ABPRO</w:t>
      </w:r>
      <w:r>
        <w:rPr/>
        <w:t>合作、早期</w:t>
      </w:r>
      <w:r>
        <w:rPr/>
        <w:t>TCE</w:t>
      </w:r>
      <w:r>
        <w:rPr/>
        <w:t>、</w:t>
      </w:r>
      <w:r>
        <w:rPr/>
        <w:t>6MW5311</w:t>
      </w:r>
      <w:r>
        <w:rPr/>
        <w:t>、</w:t>
      </w:r>
      <w:r>
        <w:rPr/>
        <w:t>8MW5211</w:t>
      </w:r>
      <w:r>
        <w:rPr/>
        <w:t>、</w:t>
      </w:r>
      <w:r>
        <w:rPr/>
        <w:t>RP901</w:t>
      </w:r>
      <w:r>
        <w:rPr/>
        <w:t>以及其他未完整核验资产，在本模型不设额外精确价值。这不是科学否定，而是避免在信息不足时用许多小概念堆出足够高的目标价。临床试验受理、</w:t>
      </w:r>
      <w:r>
        <w:rPr/>
        <w:t>IND</w:t>
      </w:r>
      <w:r>
        <w:rPr/>
        <w:t>许可与首次给药是不同进度，尚不能等同临床成功。未估资产若形成有效授权或人体证据，未来可提高价值；对应开发费用也要更新，不能只增加资产不增加负担。</w:t>
      </w:r>
    </w:p>
    <w:p>
      <w:pPr>
        <w:pStyle w:val="Heading2"/>
        <w:rPr/>
      </w:pPr>
      <w:r>
        <w:rPr>
          <w:color w:val="000000"/>
        </w:rPr>
        <w:t>子公司</w:t>
      </w:r>
      <w:r>
        <w:rPr>
          <w:color w:val="000000"/>
        </w:rPr>
        <w:t>TCE</w:t>
      </w:r>
      <w:r>
        <w:rPr>
          <w:color w:val="000000"/>
        </w:rPr>
        <w:t>融资的经济权</w:t>
      </w:r>
    </w:p>
    <w:p>
      <w:pPr>
        <w:pStyle w:val="Normal"/>
        <w:rPr/>
      </w:pPr>
      <w:r>
        <w:rPr/>
        <w:t>9</w:t>
      </w:r>
      <w:r>
        <w:rPr/>
        <w:t>月</w:t>
      </w:r>
      <w:r>
        <w:rPr/>
        <w:t>29</w:t>
      </w:r>
      <w:r>
        <w:rPr/>
        <w:t>日联威创元方案拟由迈威现金</w:t>
      </w:r>
      <w:r>
        <w:rPr/>
        <w:t>825</w:t>
      </w:r>
      <w:r>
        <w:rPr/>
        <w:t>百万元加初始</w:t>
      </w:r>
      <w:r>
        <w:rPr/>
        <w:t>1</w:t>
      </w:r>
      <w:r>
        <w:rPr/>
        <w:t>百万元注入，再以</w:t>
      </w:r>
      <w:r>
        <w:rPr/>
        <w:t>826</w:t>
      </w:r>
      <w:r>
        <w:rPr/>
        <w:t>百万元内部转让</w:t>
      </w:r>
      <w:r>
        <w:rPr/>
        <w:t>TCE</w:t>
      </w:r>
      <w:r>
        <w:rPr/>
        <w:t>技术资产给子公司。这是集团内部资金和资产配置，不是</w:t>
      </w:r>
      <w:r>
        <w:rPr/>
        <w:t>826</w:t>
      </w:r>
      <w:r>
        <w:rPr/>
        <w:t>百万元外部客户收入，合并层面内部利润要抵销。评估基准</w:t>
      </w:r>
      <w:r>
        <w:rPr/>
        <w:t>5</w:t>
      </w:r>
      <w:r>
        <w:rPr/>
        <w:t>月</w:t>
      </w:r>
      <w:r>
        <w:rPr/>
        <w:t>31</w:t>
      </w:r>
      <w:r>
        <w:rPr/>
        <w:t>日、</w:t>
      </w:r>
      <w:r>
        <w:rPr/>
        <w:t>826</w:t>
      </w:r>
      <w:r>
        <w:rPr/>
        <w:t>百万元</w:t>
      </w:r>
      <w:r>
        <w:rPr/>
        <w:t>MEEM</w:t>
      </w:r>
      <w:r>
        <w:rPr/>
        <w:t>或</w:t>
      </w:r>
      <w:r>
        <w:rPr/>
        <w:t>rNPV</w:t>
      </w:r>
      <w:r>
        <w:rPr/>
        <w:t>结果属于交易评估，不证明技术可无风险变现，也不应在已估或未估平台上再叠一项同额现金资产。</w:t>
      </w:r>
    </w:p>
    <w:p>
      <w:pPr>
        <w:pStyle w:val="Normal"/>
        <w:rPr/>
      </w:pPr>
      <w:r>
        <w:rPr/>
        <w:t>外部五投资者拟投入</w:t>
      </w:r>
      <w:r>
        <w:rPr/>
        <w:t>160</w:t>
      </w:r>
      <w:r>
        <w:rPr/>
        <w:t>百万元，特定平台有认缴注册资本权利但实际货币金额未完整确定。全部完成后迈威拟持</w:t>
      </w:r>
      <w:r>
        <w:rPr/>
        <w:t>71.21%</w:t>
      </w:r>
      <w:r>
        <w:rPr/>
        <w:t>、继续控制合并，截至公告仍为拟交易，本轮未得</w:t>
      </w:r>
      <w:r>
        <w:rPr/>
        <w:t>10</w:t>
      </w:r>
      <w:r>
        <w:rPr/>
        <w:t>月</w:t>
      </w:r>
      <w:r>
        <w:rPr/>
        <w:t>9</w:t>
      </w:r>
      <w:r>
        <w:rPr/>
        <w:t>日到账原证。模型没有把</w:t>
      </w:r>
      <w:r>
        <w:rPr/>
        <w:t>160</w:t>
      </w:r>
      <w:r>
        <w:rPr/>
        <w:t>百万元加到当前自由现金。未来融资若完成，既增加外部资金，也给少数股东经济权利与优先安排，不能只取得资金却仍按全部管线收益归母。</w:t>
      </w:r>
    </w:p>
    <w:p>
      <w:pPr>
        <w:pStyle w:val="Normal"/>
        <w:rPr/>
      </w:pPr>
      <w:r>
        <w:rPr/>
        <w:t>投资人协议含六年未合格</w:t>
      </w:r>
      <w:r>
        <w:rPr/>
        <w:t>IPO</w:t>
      </w:r>
      <w:r>
        <w:rPr/>
        <w:t>或出售、重大违约与严重合规事件等回购条件，回购为实投加</w:t>
      </w:r>
      <w:r>
        <w:rPr/>
        <w:t>8%</w:t>
      </w:r>
      <w:r>
        <w:rPr/>
        <w:t>年单利、未付股利减已分红，由迈威在触发后</w:t>
      </w:r>
      <w:r>
        <w:rPr/>
        <w:t>30</w:t>
      </w:r>
      <w:r>
        <w:rPr/>
        <w:t>工作日支付。完全棘轮反稀释和清算优先进一步改变权益，少数持股比例不足以描述完整经济权。普通股投资者需关注回购现金流和控制限制；外部</w:t>
      </w:r>
      <w:r>
        <w:rPr/>
        <w:t>160</w:t>
      </w:r>
      <w:r>
        <w:rPr/>
        <w:t>百万元不是无需成本、永不偿还的资本。</w:t>
      </w:r>
    </w:p>
    <w:p>
      <w:pPr>
        <w:pStyle w:val="Normal"/>
        <w:rPr/>
      </w:pPr>
      <w:r>
        <w:rPr/>
        <w:t>董事会</w:t>
      </w:r>
      <w:r>
        <w:rPr/>
        <w:t>4</w:t>
      </w:r>
      <w:r>
        <w:rPr/>
        <w:t>席由迈威控制，但部分重要事项需投资人过半或特定投资者同意，另有全球竞争及优先合作限制。合格</w:t>
      </w:r>
      <w:r>
        <w:rPr/>
        <w:t>IPO</w:t>
      </w:r>
      <w:r>
        <w:rPr/>
        <w:t>估值和募资门槛是未来条件，不是已经承诺上市成功。若平台开发失败、无法退出或融资低价，反稀释及回购可能使归母收益少于</w:t>
      </w:r>
      <w:r>
        <w:rPr/>
        <w:t>71.21%</w:t>
      </w:r>
      <w:r>
        <w:rPr/>
        <w:t>所暗示。模型暂不额外估平台价值，保留此交易对未来研发及融资结构的风险。</w:t>
      </w:r>
    </w:p>
    <w:p>
      <w:pPr>
        <w:pStyle w:val="Heading2"/>
        <w:rPr/>
      </w:pPr>
      <w:r>
        <w:rPr>
          <w:color w:val="000000"/>
        </w:rPr>
        <w:t>SST001</w:t>
      </w:r>
      <w:r>
        <w:rPr>
          <w:color w:val="000000"/>
        </w:rPr>
        <w:t>关联许可及现金义务</w:t>
      </w:r>
    </w:p>
    <w:p>
      <w:pPr>
        <w:pStyle w:val="Normal"/>
        <w:rPr/>
      </w:pPr>
      <w:r>
        <w:rPr/>
        <w:t>SST001</w:t>
      </w:r>
      <w:r>
        <w:rPr/>
        <w:t>为一期放射性</w:t>
      </w:r>
      <w:r>
        <w:rPr/>
        <w:t>PET</w:t>
      </w:r>
      <w:r>
        <w:rPr/>
        <w:t>诊断示踪剂，研究</w:t>
      </w:r>
      <w:r>
        <w:rPr/>
        <w:t>α</w:t>
      </w:r>
      <w:r>
        <w:rPr/>
        <w:t>突触核蛋白相关影像，属于诊断而非帕金森疾病治疗。交易对手思努赛为迈威参股</w:t>
      </w:r>
      <w:r>
        <w:rPr/>
        <w:t>29.75%</w:t>
      </w:r>
      <w:r>
        <w:rPr/>
        <w:t>的关联公司，取得大中华独占许可。首款</w:t>
      </w:r>
      <w:r>
        <w:rPr/>
        <w:t>20</w:t>
      </w:r>
      <w:r>
        <w:rPr/>
        <w:t>百万元最迟</w:t>
      </w:r>
      <w:r>
        <w:rPr/>
        <w:t>10</w:t>
      </w:r>
      <w:r>
        <w:rPr/>
        <w:t>月</w:t>
      </w:r>
      <w:r>
        <w:rPr/>
        <w:t>31</w:t>
      </w:r>
      <w:r>
        <w:rPr/>
        <w:t>日，另有三期</w:t>
      </w:r>
      <w:r>
        <w:rPr/>
        <w:t>8</w:t>
      </w:r>
      <w:r>
        <w:rPr/>
        <w:t>百万元、上市</w:t>
      </w:r>
      <w:r>
        <w:rPr/>
        <w:t>12</w:t>
      </w:r>
      <w:r>
        <w:rPr/>
        <w:t>百万元及净销售</w:t>
      </w:r>
      <w:r>
        <w:rPr/>
        <w:t>4.3%</w:t>
      </w:r>
      <w:r>
        <w:rPr/>
        <w:t>版税支付。方向可补影像工具布局，但不应把小分子影像许可包装成治疗药物广阔峰值。</w:t>
      </w:r>
    </w:p>
    <w:p>
      <w:pPr>
        <w:pStyle w:val="Normal"/>
        <w:rPr/>
      </w:pPr>
      <w:r>
        <w:rPr/>
        <w:t>9</w:t>
      </w:r>
      <w:r>
        <w:rPr/>
        <w:t>月</w:t>
      </w:r>
      <w:r>
        <w:rPr/>
        <w:t>17</w:t>
      </w:r>
      <w:r>
        <w:rPr/>
        <w:t>日股东会已批准相关方案，批准、签署和实际付款需分开，本轮未得截至</w:t>
      </w:r>
      <w:r>
        <w:rPr/>
        <w:t>10</w:t>
      </w:r>
      <w:r>
        <w:rPr/>
        <w:t>月</w:t>
      </w:r>
      <w:r>
        <w:rPr/>
        <w:t>9</w:t>
      </w:r>
      <w:r>
        <w:rPr/>
        <w:t>日付款原件。模型保留</w:t>
      </w:r>
      <w:r>
        <w:rPr/>
        <w:t>20</w:t>
      </w:r>
      <w:r>
        <w:rPr/>
        <w:t>百万元未来现金流出压力，不将其当成公司收取的首付款。评估</w:t>
      </w:r>
      <w:r>
        <w:rPr/>
        <w:t>52</w:t>
      </w:r>
      <w:r>
        <w:rPr/>
        <w:t>百万元不等股东确定可回收净值，也不代表已临床获批。关联交易需审视必要性、收益归属和价格依据，在主体仍亏损且研发繁重时尤其要关注机会成本。</w:t>
      </w:r>
    </w:p>
    <w:p>
      <w:pPr>
        <w:pStyle w:val="Heading2"/>
        <w:rPr/>
      </w:pPr>
      <w:r>
        <w:rPr>
          <w:color w:val="000000"/>
        </w:rPr>
        <w:t>财务历史与研发费用</w:t>
      </w:r>
    </w:p>
    <w:p>
      <w:pPr>
        <w:pStyle w:val="Normal"/>
        <w:rPr/>
      </w:pPr>
      <w:r>
        <w:rPr/>
        <w:t>2023</w:t>
      </w:r>
      <w:r>
        <w:rPr/>
        <w:t>、</w:t>
      </w:r>
      <w:r>
        <w:rPr/>
        <w:t>2024</w:t>
      </w:r>
      <w:r>
        <w:rPr/>
        <w:t>、</w:t>
      </w:r>
      <w:r>
        <w:rPr/>
        <w:t>2025</w:t>
      </w:r>
      <w:r>
        <w:rPr/>
        <w:t>收入分别</w:t>
      </w:r>
      <w:r>
        <w:rPr/>
        <w:t>127.84</w:t>
      </w:r>
      <w:r>
        <w:rPr/>
        <w:t>、</w:t>
      </w:r>
      <w:r>
        <w:rPr/>
        <w:t>199.78</w:t>
      </w:r>
      <w:r>
        <w:rPr/>
        <w:t>、</w:t>
      </w:r>
      <w:r>
        <w:rPr/>
        <w:t>662.52</w:t>
      </w:r>
      <w:r>
        <w:rPr/>
        <w:t>百万元，归母亏损</w:t>
      </w:r>
      <w:r>
        <w:rPr/>
        <w:t>1053.43</w:t>
      </w:r>
      <w:r>
        <w:rPr/>
        <w:t>、</w:t>
      </w:r>
      <w:r>
        <w:rPr/>
        <w:t>1043.92</w:t>
      </w:r>
      <w:r>
        <w:rPr/>
        <w:t>、</w:t>
      </w:r>
      <w:r>
        <w:rPr/>
        <w:t>969.33</w:t>
      </w:r>
      <w:r>
        <w:rPr/>
        <w:t>百万元。亏损有所缩小，但没有出现多年持续盈利证据，</w:t>
      </w:r>
      <w:r>
        <w:rPr/>
        <w:t>2026H1</w:t>
      </w:r>
      <w:r>
        <w:rPr/>
        <w:t>亏</w:t>
      </w:r>
      <w:r>
        <w:rPr/>
        <w:t>521.71</w:t>
      </w:r>
      <w:r>
        <w:rPr/>
        <w:t>百万元还表明研发和运营负担高。年份之间许可确认不同，收入增速不能直接解释药品获客与单位利润改善。成熟盈利公司的</w:t>
      </w:r>
      <w:r>
        <w:rPr/>
        <w:t>PE</w:t>
      </w:r>
      <w:r>
        <w:rPr/>
        <w:t>法在这里不适用，负</w:t>
      </w:r>
      <w:r>
        <w:rPr/>
        <w:t>PE</w:t>
      </w:r>
      <w:r>
        <w:rPr/>
        <w:t>更小不意味着更便宜。</w:t>
      </w:r>
    </w:p>
    <w:p>
      <w:pPr>
        <w:pStyle w:val="Normal"/>
        <w:rPr/>
      </w:pPr>
      <w:r>
        <w:rPr/>
        <w:t>2025</w:t>
      </w:r>
      <w:r>
        <w:rPr/>
        <w:t>研发费用</w:t>
      </w:r>
      <w:r>
        <w:rPr/>
        <w:t>976.96</w:t>
      </w:r>
      <w:r>
        <w:rPr/>
        <w:t>百万元、增长</w:t>
      </w:r>
      <w:r>
        <w:rPr/>
        <w:t>24.79%</w:t>
      </w:r>
      <w:r>
        <w:rPr/>
        <w:t>；</w:t>
      </w:r>
      <w:r>
        <w:rPr/>
        <w:t>H1</w:t>
      </w:r>
      <w:r>
        <w:rPr/>
        <w:t>研发</w:t>
      </w:r>
      <w:r>
        <w:rPr/>
        <w:t>431.43</w:t>
      </w:r>
      <w:r>
        <w:rPr/>
        <w:t>百万元、增长</w:t>
      </w:r>
      <w:r>
        <w:rPr/>
        <w:t>10.03%</w:t>
      </w:r>
      <w:r>
        <w:rPr/>
        <w:t>，全部费用化，资本化为零，强度</w:t>
      </w:r>
      <w:r>
        <w:rPr/>
        <w:t>137.99%</w:t>
      </w:r>
      <w:r>
        <w:rPr/>
        <w:t>。费用化使当期利润承受研究成本，不能称它是财务报表错误而全部加回。部分成本产生未来资产机会，但仍需现金支付且存在失败。</w:t>
      </w:r>
      <w:r>
        <w:rPr/>
        <w:t>rNPV</w:t>
      </w:r>
      <w:r>
        <w:rPr/>
        <w:t>直接资产现金率含商业维护成本，另扣开发总部储备，避免用一条成熟利润率假装研发支出已消失。</w:t>
      </w:r>
    </w:p>
    <w:p>
      <w:pPr>
        <w:pStyle w:val="Normal"/>
        <w:rPr/>
      </w:pPr>
      <w:r>
        <w:rPr/>
        <w:t>H1</w:t>
      </w:r>
      <w:r>
        <w:rPr/>
        <w:t>销售</w:t>
      </w:r>
      <w:r>
        <w:rPr/>
        <w:t>139.35</w:t>
      </w:r>
      <w:r>
        <w:rPr/>
        <w:t>、管理</w:t>
      </w:r>
      <w:r>
        <w:rPr/>
        <w:t>103.65</w:t>
      </w:r>
      <w:r>
        <w:rPr/>
        <w:t>、财务</w:t>
      </w:r>
      <w:r>
        <w:rPr/>
        <w:t>68.99</w:t>
      </w:r>
      <w:r>
        <w:rPr/>
        <w:t>百万元，利息</w:t>
      </w:r>
      <w:r>
        <w:rPr/>
        <w:t>59.77</w:t>
      </w:r>
      <w:r>
        <w:rPr/>
        <w:t>百万元。销售和管理可能支持公司商业化与临床规模，却目前大于重复药品毛利能够稳定覆盖的范围。财务费用随借款上升，不能简单从创新药估值中忽略。股份支付仅约</w:t>
      </w:r>
      <w:r>
        <w:rPr/>
        <w:t>0.01694</w:t>
      </w:r>
      <w:r>
        <w:rPr/>
        <w:t>百万元，不是当期亏损主要来源；把归母亏</w:t>
      </w:r>
      <w:r>
        <w:rPr/>
        <w:t>521.71</w:t>
      </w:r>
      <w:r>
        <w:rPr/>
        <w:t>百万元主要归咎“非现金激励”缺乏本报告证据。</w:t>
      </w:r>
    </w:p>
    <w:p>
      <w:pPr>
        <w:pStyle w:val="Normal"/>
        <w:rPr/>
      </w:pPr>
      <w:r>
        <w:rPr/>
        <w:t>研发效率应看每项研究的可验证进度、质量和投入，而非仅看管线数量。多癌种并行三期减少单项目依赖，但也扩大受试者、药物供给和运营现金支出。若收入增长不够，研发预算必须更聚焦或依靠许可融资；聚焦会影响被放弃资产价值。股东估值既要计算已投入机会，也要扣除完成它们还需的成本，不应把历史研发沉没成本机械加回为同额资产。</w:t>
      </w:r>
    </w:p>
    <w:p>
      <w:pPr>
        <w:pStyle w:val="Heading2"/>
        <w:rPr/>
      </w:pPr>
      <w:r>
        <w:rPr>
          <w:color w:val="000000"/>
        </w:rPr>
        <w:t>经营现金流 资本开支与现金跑道</w:t>
      </w:r>
    </w:p>
    <w:p>
      <w:pPr>
        <w:pStyle w:val="Normal"/>
        <w:rPr/>
      </w:pPr>
      <w:r>
        <w:rPr/>
        <w:t>H1</w:t>
      </w:r>
      <w:r>
        <w:rPr/>
        <w:t>经营现金流</w:t>
      </w:r>
      <w:r>
        <w:rPr/>
        <w:t>-508.94</w:t>
      </w:r>
      <w:r>
        <w:rPr/>
        <w:t>百万元，资本性现金支出</w:t>
      </w:r>
      <w:r>
        <w:rPr/>
        <w:t>61.59</w:t>
      </w:r>
      <w:r>
        <w:rPr/>
        <w:t>百万元，简单自由现金流</w:t>
      </w:r>
      <w:r>
        <w:rPr/>
        <w:t>-570.52</w:t>
      </w:r>
      <w:r>
        <w:rPr/>
        <w:t>百万元。</w:t>
      </w:r>
      <w:r>
        <w:rPr/>
        <w:t>2025</w:t>
      </w:r>
      <w:r>
        <w:rPr/>
        <w:t>经营流出</w:t>
      </w:r>
      <w:r>
        <w:rPr/>
        <w:t>290.22</w:t>
      </w:r>
      <w:r>
        <w:rPr/>
        <w:t>百万元、资本开支</w:t>
      </w:r>
      <w:r>
        <w:rPr/>
        <w:t>157.71</w:t>
      </w:r>
      <w:r>
        <w:rPr/>
        <w:t>百万元，但当年收到齐鲁、</w:t>
      </w:r>
      <w:r>
        <w:rPr/>
        <w:t>CALICO</w:t>
      </w:r>
      <w:r>
        <w:rPr/>
        <w:t>、</w:t>
      </w:r>
      <w:r>
        <w:rPr/>
        <w:t>Kalexo</w:t>
      </w:r>
      <w:r>
        <w:rPr/>
        <w:t>及</w:t>
      </w:r>
      <w:r>
        <w:rPr/>
        <w:t>DISC</w:t>
      </w:r>
      <w:r>
        <w:rPr/>
        <w:t>许可款，使经营现金流比</w:t>
      </w:r>
      <w:r>
        <w:rPr/>
        <w:t>2024</w:t>
      </w:r>
      <w:r>
        <w:rPr/>
        <w:t>好。</w:t>
      </w:r>
      <w:r>
        <w:rPr/>
        <w:t>H1</w:t>
      </w:r>
      <w:r>
        <w:rPr/>
        <w:t>同比变差也有去年首款及技术服务付款节奏影响，不能只称药品经营突然崩塌；现金流波动需许可和支出桥共同解释。</w:t>
      </w:r>
    </w:p>
    <w:p>
      <w:pPr>
        <w:pStyle w:val="Normal"/>
        <w:rPr/>
      </w:pPr>
      <w:r>
        <w:rPr/>
        <w:t>按半年自由现金流机械年化约</w:t>
      </w:r>
      <w:r>
        <w:rPr/>
        <w:t>1141.05</w:t>
      </w:r>
      <w:r>
        <w:rPr/>
        <w:t>百万元，广义流动</w:t>
      </w:r>
      <w:r>
        <w:rPr/>
        <w:t>2357.26</w:t>
      </w:r>
      <w:r>
        <w:rPr/>
        <w:t>百万元相除约</w:t>
      </w:r>
      <w:r>
        <w:rPr/>
        <w:t>2.07</w:t>
      </w:r>
      <w:r>
        <w:rPr/>
        <w:t>年，仅是粗略账面流动覆盖，不是精确现金跑道。它没有扣债务到期、受限款、新增研发、许可收款或融资，更没有按月现金峰谷。加上净债后，不能用</w:t>
      </w:r>
      <w:r>
        <w:rPr/>
        <w:t>2.07</w:t>
      </w:r>
      <w:r>
        <w:rPr/>
        <w:t>年宣称两年内毫无融资风险。公司未来数据和债务滚动安排需要同时跟踪，尤其多三期进入尾声时费用并不立即停止。</w:t>
      </w:r>
    </w:p>
    <w:p>
      <w:pPr>
        <w:pStyle w:val="Normal"/>
        <w:rPr/>
      </w:pPr>
      <w:r>
        <w:rPr/>
        <w:t>6</w:t>
      </w:r>
      <w:r>
        <w:rPr/>
        <w:t>月现金等价物</w:t>
      </w:r>
      <w:r>
        <w:rPr/>
        <w:t>2293.93</w:t>
      </w:r>
      <w:r>
        <w:rPr/>
        <w:t>百万元，包含可随时支付现金</w:t>
      </w:r>
      <w:r>
        <w:rPr/>
        <w:t>2225.96</w:t>
      </w:r>
      <w:r>
        <w:rPr/>
        <w:t>和美国国债</w:t>
      </w:r>
      <w:r>
        <w:rPr/>
        <w:t>67.97</w:t>
      </w:r>
      <w:r>
        <w:rPr/>
        <w:t>百万元；交易金融</w:t>
      </w:r>
      <w:r>
        <w:rPr/>
        <w:t>63.33</w:t>
      </w:r>
      <w:r>
        <w:rPr/>
        <w:t>百万元另列。国债已在现金等价物，不能再把其他流动资产里对应国债加入一次。货币资金</w:t>
      </w:r>
      <w:r>
        <w:rPr/>
        <w:t>2228.72</w:t>
      </w:r>
      <w:r>
        <w:rPr/>
        <w:t>百万元与现金等价物口径不同，受限与应计利息等也有差异。报告保留每个定义，使广义流动只是透明分析口径，不冒称全为无条件可支配人民币。</w:t>
      </w:r>
    </w:p>
    <w:p>
      <w:pPr>
        <w:pStyle w:val="Normal"/>
        <w:rPr/>
      </w:pPr>
      <w:r>
        <w:rPr/>
        <w:t>固定资产</w:t>
      </w:r>
      <w:r>
        <w:rPr/>
        <w:t>1410.32</w:t>
      </w:r>
      <w:r>
        <w:rPr/>
        <w:t>百万元、在建</w:t>
      </w:r>
      <w:r>
        <w:rPr/>
        <w:t>369.55</w:t>
      </w:r>
      <w:r>
        <w:rPr/>
        <w:t>百万元，生产能力与未来研发扩张有基础，也意味着折旧、维修和利用率要求。资产账面余额不能按原价直接加到管线</w:t>
      </w:r>
      <w:r>
        <w:rPr/>
        <w:t>PV</w:t>
      </w:r>
      <w:r>
        <w:rPr/>
        <w:t>，若商业化现金率已反映生产，则再加全部工厂会重复计算。应收</w:t>
      </w:r>
      <w:r>
        <w:rPr/>
        <w:t>127.56</w:t>
      </w:r>
      <w:r>
        <w:rPr/>
        <w:t>、库存</w:t>
      </w:r>
      <w:r>
        <w:rPr/>
        <w:t>197.70</w:t>
      </w:r>
      <w:r>
        <w:rPr/>
        <w:t>百万元还需要回款与质量管理。未来药品扩张可能增加营运资本，并不保证增长越快现金越充裕。</w:t>
      </w:r>
    </w:p>
    <w:p>
      <w:pPr>
        <w:pStyle w:val="Heading2"/>
        <w:rPr/>
      </w:pPr>
      <w:r>
        <w:rPr>
          <w:color w:val="000000"/>
        </w:rPr>
        <w:t>债务及回购负债</w:t>
      </w:r>
    </w:p>
    <w:p>
      <w:pPr>
        <w:pStyle w:val="Normal"/>
        <w:rPr/>
      </w:pPr>
      <w:r>
        <w:rPr/>
        <w:t>短期借款</w:t>
      </w:r>
      <w:r>
        <w:rPr/>
        <w:t>1319.39</w:t>
      </w:r>
      <w:r>
        <w:rPr/>
        <w:t>百万元，长期银行债含当期到期</w:t>
      </w:r>
      <w:r>
        <w:rPr/>
        <w:t>1248.64</w:t>
      </w:r>
      <w:r>
        <w:rPr/>
        <w:t>百万元，债券含当期</w:t>
      </w:r>
      <w:r>
        <w:rPr/>
        <w:t>488.67</w:t>
      </w:r>
      <w:r>
        <w:rPr/>
        <w:t>百万元；租赁</w:t>
      </w:r>
      <w:r>
        <w:rPr/>
        <w:t>106.17</w:t>
      </w:r>
      <w:r>
        <w:rPr/>
        <w:t>、售后回租融资</w:t>
      </w:r>
      <w:r>
        <w:rPr/>
        <w:t>190.44</w:t>
      </w:r>
      <w:r>
        <w:rPr/>
        <w:t>百万元另列。普通租赁和售后回租项目按附注独立口径，本章没有两者重复计一次。债务期限和现金偿付影响股东结果，不能用总资产</w:t>
      </w:r>
      <w:r>
        <w:rPr/>
        <w:t>5294.99</w:t>
      </w:r>
      <w:r>
        <w:rPr/>
        <w:t>百万元直接抵偿所有款项而忽略非流动资产难以变现。</w:t>
      </w:r>
    </w:p>
    <w:p>
      <w:pPr>
        <w:pStyle w:val="Normal"/>
        <w:rPr/>
      </w:pPr>
      <w:r>
        <w:rPr/>
        <w:t>重庆大健康基金回购相关负债</w:t>
      </w:r>
      <w:r>
        <w:rPr/>
        <w:t>214.30</w:t>
      </w:r>
      <w:r>
        <w:rPr/>
        <w:t>百万元，源自此前资金和回购现金义务，不是免费普通少数股东权益。加入上述债务后，广义债与回购约</w:t>
      </w:r>
      <w:r>
        <w:rPr/>
        <w:t>3567.60</w:t>
      </w:r>
      <w:r>
        <w:rPr/>
        <w:t>百万元，减广义流动</w:t>
      </w:r>
      <w:r>
        <w:rPr/>
        <w:t>2357.26</w:t>
      </w:r>
      <w:r>
        <w:rPr/>
        <w:t>百万元，净债</w:t>
      </w:r>
      <w:r>
        <w:rPr/>
        <w:t>1210.34</w:t>
      </w:r>
      <w:r>
        <w:rPr/>
        <w:t>百万元。该口径不同于财报全部负债</w:t>
      </w:r>
      <w:r>
        <w:rPr/>
        <w:t>4240.50</w:t>
      </w:r>
      <w:r>
        <w:rPr/>
        <w:t>百万元，后者还含运营负债，不能两者同时全部扣。未扣全部少数权益也不是忽略，而是所估归属地区和融资压力仍有明确限制。</w:t>
      </w:r>
    </w:p>
    <w:p>
      <w:pPr>
        <w:pStyle w:val="Normal"/>
        <w:rPr/>
      </w:pPr>
      <w:r>
        <w:rPr/>
        <w:t>5</w:t>
      </w:r>
      <w:r>
        <w:rPr/>
        <w:t>月</w:t>
      </w:r>
      <w:r>
        <w:rPr/>
        <w:t>7</w:t>
      </w:r>
      <w:r>
        <w:rPr/>
        <w:t>日方案申请注册不超过</w:t>
      </w:r>
      <w:r>
        <w:rPr/>
        <w:t>1000</w:t>
      </w:r>
      <w:r>
        <w:rPr/>
        <w:t>百万元定向债务融资工具，期限不超过三年，用途可包括偿债、项目与补流。申请额度不等完成发行，完成发行也只是融资而非盈利。若用于置换旧债，现金和债务的净变化有限，可能改善期限与利率；若增加新债支持研发，净债可能继续扩大。模型没有把额度当可立即使用现金，更不把借到的钱直接作公司经营收益。</w:t>
      </w:r>
    </w:p>
    <w:p>
      <w:pPr>
        <w:pStyle w:val="Normal"/>
        <w:rPr/>
      </w:pPr>
      <w:r>
        <w:rPr/>
        <w:t>H1</w:t>
      </w:r>
      <w:r>
        <w:rPr/>
        <w:t>归母权益</w:t>
      </w:r>
      <w:r>
        <w:rPr/>
        <w:t>873.49</w:t>
      </w:r>
      <w:r>
        <w:rPr/>
        <w:t>百万元，以</w:t>
      </w:r>
      <w:r>
        <w:rPr/>
        <w:t>A</w:t>
      </w:r>
      <w:r>
        <w:rPr/>
        <w:t>股价折算全部股份对应</w:t>
      </w:r>
      <w:r>
        <w:rPr/>
        <w:t>PB</w:t>
      </w:r>
      <w:r>
        <w:rPr/>
        <w:t>约</w:t>
      </w:r>
      <w:r>
        <w:rPr/>
        <w:t>12.67</w:t>
      </w:r>
      <w:r>
        <w:rPr/>
        <w:t>倍，不能因股价从高点跌大半就说账面估值低。</w:t>
      </w:r>
      <w:r>
        <w:rPr/>
        <w:t>PB</w:t>
      </w:r>
      <w:r>
        <w:rPr/>
        <w:t>对研究管线不能反映全经济价值，却提醒账面权益薄、连续亏损对资本结构敏感。若核心资产失败且再融资条件恶化，普通股下行可能很深。需要结合管线、现金和债务判断，而不是在负</w:t>
      </w:r>
      <w:r>
        <w:rPr/>
        <w:t>PE</w:t>
      </w:r>
      <w:r>
        <w:rPr/>
        <w:t>和高</w:t>
      </w:r>
      <w:r>
        <w:rPr/>
        <w:t>PB</w:t>
      </w:r>
      <w:r>
        <w:rPr/>
        <w:t>之间挑一个看起来更好看的指标。</w:t>
      </w:r>
    </w:p>
    <w:p>
      <w:pPr>
        <w:pStyle w:val="Heading2"/>
        <w:rPr/>
      </w:pPr>
      <w:r>
        <w:rPr>
          <w:color w:val="000000"/>
        </w:rPr>
        <w:t>募集资金与股份流通</w:t>
      </w:r>
    </w:p>
    <w:p>
      <w:pPr>
        <w:pStyle w:val="Normal"/>
        <w:rPr/>
      </w:pPr>
      <w:r>
        <w:rPr/>
        <w:t>2022IPO</w:t>
      </w:r>
      <w:r>
        <w:rPr/>
        <w:t>净募集</w:t>
      </w:r>
      <w:r>
        <w:rPr/>
        <w:t>3303.43</w:t>
      </w:r>
      <w:r>
        <w:rPr/>
        <w:t>百万元，</w:t>
      </w:r>
      <w:r>
        <w:rPr/>
        <w:t>H1</w:t>
      </w:r>
      <w:r>
        <w:rPr/>
        <w:t>以前及本期累计项目使用</w:t>
      </w:r>
      <w:r>
        <w:rPr/>
        <w:t>2663.32</w:t>
      </w:r>
      <w:r>
        <w:rPr/>
        <w:t>百万元，期末专户余额</w:t>
      </w:r>
      <w:r>
        <w:rPr/>
        <w:t>6.12</w:t>
      </w:r>
      <w:r>
        <w:rPr/>
        <w:t>百万元，暂时补流</w:t>
      </w:r>
      <w:r>
        <w:rPr/>
        <w:t>523.13</w:t>
      </w:r>
      <w:r>
        <w:rPr/>
        <w:t>百万元，另有永久补流。暂时补流已经移到经营资金并可能包含于财报现金，不能把</w:t>
      </w:r>
      <w:r>
        <w:rPr/>
        <w:t>523.13</w:t>
      </w:r>
      <w:r>
        <w:rPr/>
        <w:t>再加一遍作额外资产。募集使用对照的剩余承诺并不是现成银行余额，研究核对资金专户与财报口径，避免重复现金。</w:t>
      </w:r>
    </w:p>
    <w:p>
      <w:pPr>
        <w:pStyle w:val="Normal"/>
        <w:rPr/>
      </w:pPr>
      <w:r>
        <w:rPr/>
        <w:t>公司调整抗体研发内部结构，减少部分已成熟或其他项目募集投入、增加</w:t>
      </w:r>
      <w:r>
        <w:rPr/>
        <w:t>2821</w:t>
      </w:r>
      <w:r>
        <w:rPr/>
        <w:t>投入，反映核心</w:t>
      </w:r>
      <w:r>
        <w:rPr/>
        <w:t>ADC</w:t>
      </w:r>
      <w:r>
        <w:rPr/>
        <w:t>的资本优先级。调整不增加项目总募集额，也不意味着被减少项目完全停止。资金聚焦可加速重要研究，却提高核心资产对整体估值的影响。生产项目进度、已结项与变更需要分别看，本章不将历史建设计划全写成未来新增产能，以免同时计算旧工厂和新计划收益。</w:t>
      </w:r>
    </w:p>
    <w:p>
      <w:pPr>
        <w:pStyle w:val="Normal"/>
        <w:rPr/>
      </w:pPr>
      <w:r>
        <w:rPr/>
        <w:t>7</w:t>
      </w:r>
      <w:r>
        <w:rPr/>
        <w:t>月</w:t>
      </w:r>
      <w:r>
        <w:rPr/>
        <w:t>3</w:t>
      </w:r>
      <w:r>
        <w:rPr/>
        <w:t>日解除限售</w:t>
      </w:r>
      <w:r>
        <w:rPr/>
        <w:t>26070000</w:t>
      </w:r>
      <w:r>
        <w:rPr/>
        <w:t>股，占</w:t>
      </w:r>
      <w:r>
        <w:rPr/>
        <w:t>A</w:t>
      </w:r>
      <w:r>
        <w:rPr/>
        <w:t>股</w:t>
      </w:r>
      <w:r>
        <w:rPr/>
        <w:t>6.52%</w:t>
      </w:r>
      <w:r>
        <w:rPr/>
        <w:t>、全部</w:t>
      </w:r>
      <w:r>
        <w:rPr/>
        <w:t>5.84%</w:t>
      </w:r>
      <w:r>
        <w:rPr/>
        <w:t>。解禁表示可以流通，不代表这些股份已经在市场卖出；相关持有人仍有发行价等承诺条件。股价低于</w:t>
      </w:r>
      <w:r>
        <w:rPr/>
        <w:t>IPO</w:t>
      </w:r>
      <w:r>
        <w:rPr/>
        <w:t>价不等不存在其他股东出售，也不能据承诺推论股价被发行价支撑。没有截止日具体减持事实时，报告只列潜在供给与规则，不编造“主力抛售”或确定剩余卖单。</w:t>
      </w:r>
    </w:p>
    <w:p>
      <w:pPr>
        <w:pStyle w:val="Heading2"/>
        <w:rPr/>
      </w:pPr>
      <w:r>
        <w:rPr>
          <w:color w:val="000000"/>
        </w:rPr>
        <w:t>日线趋势与关键价格</w:t>
      </w:r>
    </w:p>
    <w:p>
      <w:pPr>
        <w:pStyle w:val="Normal"/>
        <w:rPr/>
      </w:pPr>
      <w:r>
        <w:rPr/>
        <w:t>728</w:t>
      </w:r>
      <w:r>
        <w:rPr/>
        <w:t>个真实交易日覆盖</w:t>
      </w:r>
      <w:r>
        <w:rPr/>
        <w:t>2023</w:t>
      </w:r>
      <w:r>
        <w:rPr/>
        <w:t>年</w:t>
      </w:r>
      <w:r>
        <w:rPr/>
        <w:t>10</w:t>
      </w:r>
      <w:r>
        <w:rPr/>
        <w:t>月</w:t>
      </w:r>
      <w:r>
        <w:rPr/>
        <w:t>9</w:t>
      </w:r>
      <w:r>
        <w:rPr/>
        <w:t>日至截止日，日线归一为截止名义价的复权</w:t>
      </w:r>
      <w:r>
        <w:rPr/>
        <w:t>OHLC</w:t>
      </w:r>
      <w:r>
        <w:rPr/>
        <w:t>，并与独立腾讯日线核对。一根</w:t>
      </w:r>
      <w:r>
        <w:rPr/>
        <w:t>OHLC</w:t>
      </w:r>
      <w:r>
        <w:rPr/>
        <w:t>逻辑不一致按同日独立完整</w:t>
      </w:r>
      <w:r>
        <w:rPr/>
        <w:t>bar</w:t>
      </w:r>
      <w:r>
        <w:rPr/>
        <w:t>修复，原字段与记录保留。公司行动未见样本窗口内已记录分红拆股，仍不能永久假设不存在。现价、成交量与成交额已由腾讯和新浪核对，股单位不能再错误乘一百。</w:t>
      </w:r>
    </w:p>
    <w:p>
      <w:pPr>
        <w:pStyle w:val="Normal"/>
        <w:rPr/>
      </w:pPr>
      <w:r>
        <w:rPr/>
        <w:t>24.78</w:t>
      </w:r>
      <w:r>
        <w:rPr/>
        <w:t>元低于</w:t>
      </w:r>
      <w:r>
        <w:rPr/>
        <w:t>20</w:t>
      </w:r>
      <w:r>
        <w:rPr/>
        <w:t>、</w:t>
      </w:r>
      <w:r>
        <w:rPr/>
        <w:t>60</w:t>
      </w:r>
      <w:r>
        <w:rPr/>
        <w:t>、</w:t>
      </w:r>
      <w:r>
        <w:rPr/>
        <w:t>120</w:t>
      </w:r>
      <w:r>
        <w:rPr/>
        <w:t>、</w:t>
      </w:r>
      <w:r>
        <w:rPr/>
        <w:t>250</w:t>
      </w:r>
      <w:r>
        <w:rPr/>
        <w:t>日均线</w:t>
      </w:r>
      <w:r>
        <w:rPr/>
        <w:t>26.2075</w:t>
      </w:r>
      <w:r>
        <w:rPr/>
        <w:t>、</w:t>
      </w:r>
      <w:r>
        <w:rPr/>
        <w:t>29.3935</w:t>
      </w:r>
      <w:r>
        <w:rPr/>
        <w:t>、</w:t>
      </w:r>
      <w:r>
        <w:rPr/>
        <w:t>30.8036</w:t>
      </w:r>
      <w:r>
        <w:rPr/>
        <w:t>、</w:t>
      </w:r>
      <w:r>
        <w:rPr/>
        <w:t>35.7638</w:t>
      </w:r>
      <w:r>
        <w:rPr/>
        <w:t>元，距离分别</w:t>
      </w:r>
      <w:r>
        <w:rPr/>
        <w:t>-5.45%</w:t>
      </w:r>
      <w:r>
        <w:rPr/>
        <w:t>、</w:t>
      </w:r>
      <w:r>
        <w:rPr/>
        <w:t>-15.70%</w:t>
      </w:r>
      <w:r>
        <w:rPr/>
        <w:t>、</w:t>
      </w:r>
      <w:r>
        <w:rPr/>
        <w:t>-19.55%</w:t>
      </w:r>
      <w:r>
        <w:rPr/>
        <w:t>、</w:t>
      </w:r>
      <w:r>
        <w:rPr/>
        <w:t>-30.71%</w:t>
      </w:r>
      <w:r>
        <w:rPr/>
        <w:t>。均线五日斜率分别</w:t>
      </w:r>
      <w:r>
        <w:rPr/>
        <w:t>-2.46%</w:t>
      </w:r>
      <w:r>
        <w:rPr/>
        <w:t>、</w:t>
      </w:r>
      <w:r>
        <w:rPr/>
        <w:t>-1.81%</w:t>
      </w:r>
      <w:r>
        <w:rPr/>
        <w:t>、</w:t>
      </w:r>
      <w:r>
        <w:rPr/>
        <w:t>-1.66%</w:t>
      </w:r>
      <w:r>
        <w:rPr/>
        <w:t>、</w:t>
      </w:r>
      <w:r>
        <w:rPr/>
        <w:t>-1.39%</w:t>
      </w:r>
      <w:r>
        <w:rPr/>
        <w:t>，表明短至长期趋势同时向下。仅因当天上涨</w:t>
      </w:r>
      <w:r>
        <w:rPr/>
        <w:t>1.85%</w:t>
      </w:r>
      <w:r>
        <w:rPr/>
        <w:t>不能把这套形态称成已确认反转。</w:t>
      </w:r>
      <w:r>
        <w:rPr/>
        <w:t>20</w:t>
      </w:r>
      <w:r>
        <w:rPr/>
        <w:t>日线附近首先是修复观察区，</w:t>
      </w:r>
      <w:r>
        <w:rPr/>
        <w:t>60</w:t>
      </w:r>
      <w:r>
        <w:rPr/>
        <w:t>与</w:t>
      </w:r>
      <w:r>
        <w:rPr/>
        <w:t>120</w:t>
      </w:r>
      <w:r>
        <w:rPr/>
        <w:t>日线形成更远的供给区。</w:t>
      </w:r>
    </w:p>
    <w:p>
      <w:pPr>
        <w:pStyle w:val="Normal"/>
        <w:rPr/>
      </w:pPr>
      <w:r>
        <w:rPr/>
        <w:t>最近</w:t>
      </w:r>
      <w:r>
        <w:rPr/>
        <w:t>20</w:t>
      </w:r>
      <w:r>
        <w:rPr/>
        <w:t>日区间</w:t>
      </w:r>
      <w:r>
        <w:rPr/>
        <w:t>23.50</w:t>
      </w:r>
      <w:r>
        <w:rPr/>
        <w:t>至</w:t>
      </w:r>
      <w:r>
        <w:rPr/>
        <w:t>28.96</w:t>
      </w:r>
      <w:r>
        <w:rPr/>
        <w:t>元，现价至低点</w:t>
      </w:r>
      <w:r>
        <w:rPr/>
        <w:t>-5.17%</w:t>
      </w:r>
      <w:r>
        <w:rPr/>
        <w:t>、至高点</w:t>
      </w:r>
      <w:r>
        <w:rPr/>
        <w:t>16.87%</w:t>
      </w:r>
      <w:r>
        <w:rPr/>
        <w:t>；</w:t>
      </w:r>
      <w:r>
        <w:rPr/>
        <w:t>60</w:t>
      </w:r>
      <w:r>
        <w:rPr/>
        <w:t>日高</w:t>
      </w:r>
      <w:r>
        <w:rPr/>
        <w:t>36</w:t>
      </w:r>
      <w:r>
        <w:rPr/>
        <w:t>元，距离</w:t>
      </w:r>
      <w:r>
        <w:rPr/>
        <w:t>45.28%</w:t>
      </w:r>
      <w:r>
        <w:rPr/>
        <w:t>。这些来自区间最低最高，未经多次触碰验证，不能称精准支撑阻力。若</w:t>
      </w:r>
      <w:r>
        <w:rPr/>
        <w:t>23.50</w:t>
      </w:r>
      <w:r>
        <w:rPr/>
        <w:t>跌破并持续，下降趋势可能延续；若收复</w:t>
      </w:r>
      <w:r>
        <w:rPr/>
        <w:t>26.21</w:t>
      </w:r>
      <w:r>
        <w:rPr/>
        <w:t>且均线斜率转平，再观察</w:t>
      </w:r>
      <w:r>
        <w:rPr/>
        <w:t>28.96</w:t>
      </w:r>
      <w:r>
        <w:rPr/>
        <w:t>与</w:t>
      </w:r>
      <w:r>
        <w:rPr/>
        <w:t>29.39</w:t>
      </w:r>
      <w:r>
        <w:rPr/>
        <w:t>重叠附近。价格突破一瞬间还需成交和后续保留，不能仅以盘中碰到判断成功。</w:t>
      </w:r>
    </w:p>
    <w:p>
      <w:pPr>
        <w:pStyle w:val="Normal"/>
        <w:rPr/>
      </w:pPr>
      <w:r>
        <w:rPr/>
        <w:t>252</w:t>
      </w:r>
      <w:r>
        <w:rPr/>
        <w:t>交易日窗口高</w:t>
      </w:r>
      <w:r>
        <w:rPr/>
        <w:t>58.03</w:t>
      </w:r>
      <w:r>
        <w:rPr/>
        <w:t>、低</w:t>
      </w:r>
      <w:r>
        <w:rPr/>
        <w:t>23.50</w:t>
      </w:r>
      <w:r>
        <w:rPr/>
        <w:t>，距离高点</w:t>
      </w:r>
      <w:r>
        <w:rPr/>
        <w:t>-57.30%</w:t>
      </w:r>
      <w:r>
        <w:rPr/>
        <w:t>，窗口最大回撤</w:t>
      </w:r>
      <w:r>
        <w:rPr/>
        <w:t>56.05%</w:t>
      </w:r>
      <w:r>
        <w:rPr/>
        <w:t>。元数据现成</w:t>
      </w:r>
      <w:r>
        <w:rPr/>
        <w:t>52</w:t>
      </w:r>
      <w:r>
        <w:rPr/>
        <w:t>周高与本研究窗口高可能不同，应以统一复权和窗口计算解释，不能选更低高点制造回撤较小。大幅回撤会降低部分历史溢价，但仍可能伴临床预期、融资或估值折现变化。图形只能说明价格行为，不能单凭跌幅认定未来反弹必须等比例发生。</w:t>
      </w:r>
    </w:p>
    <w:p>
      <w:pPr>
        <w:pStyle w:val="Heading2"/>
        <w:rPr/>
      </w:pPr>
      <w:r>
        <w:rPr>
          <w:color w:val="000000"/>
        </w:rPr>
        <w:t>成交量 成交额与换手</w:t>
      </w:r>
    </w:p>
    <w:p>
      <w:pPr>
        <w:pStyle w:val="Normal"/>
        <w:rPr/>
      </w:pPr>
      <w:r>
        <w:rPr/>
        <w:t>截止日成交</w:t>
      </w:r>
      <w:r>
        <w:rPr/>
        <w:t>8128712</w:t>
      </w:r>
      <w:r>
        <w:rPr/>
        <w:t>股、成交额</w:t>
      </w:r>
      <w:r>
        <w:rPr/>
        <w:t>196172264</w:t>
      </w:r>
      <w:r>
        <w:rPr/>
        <w:t>元、行情换手</w:t>
      </w:r>
      <w:r>
        <w:rPr/>
        <w:t>3.53%</w:t>
      </w:r>
      <w:r>
        <w:rPr/>
        <w:t>，量比为当日相对之前</w:t>
      </w:r>
      <w:r>
        <w:rPr/>
        <w:t>20</w:t>
      </w:r>
      <w:r>
        <w:rPr/>
        <w:t>日均量约</w:t>
      </w:r>
      <w:r>
        <w:rPr/>
        <w:t>1.157</w:t>
      </w:r>
      <w:r>
        <w:rPr/>
        <w:t>。</w:t>
      </w:r>
      <w:r>
        <w:rPr/>
        <w:t>5</w:t>
      </w:r>
      <w:r>
        <w:rPr/>
        <w:t>、</w:t>
      </w:r>
      <w:r>
        <w:rPr/>
        <w:t>20</w:t>
      </w:r>
      <w:r>
        <w:rPr/>
        <w:t>、</w:t>
      </w:r>
      <w:r>
        <w:rPr/>
        <w:t>60</w:t>
      </w:r>
      <w:r>
        <w:rPr/>
        <w:t>日均量</w:t>
      </w:r>
      <w:r>
        <w:rPr/>
        <w:t>817.78</w:t>
      </w:r>
      <w:r>
        <w:rPr/>
        <w:t>、</w:t>
      </w:r>
      <w:r>
        <w:rPr/>
        <w:t>717.35</w:t>
      </w:r>
      <w:r>
        <w:rPr/>
        <w:t>、</w:t>
      </w:r>
      <w:r>
        <w:rPr/>
        <w:t>955.15</w:t>
      </w:r>
      <w:r>
        <w:rPr/>
        <w:t>万股，</w:t>
      </w:r>
      <w:r>
        <w:rPr/>
        <w:t>5</w:t>
      </w:r>
      <w:r>
        <w:rPr/>
        <w:t>日比</w:t>
      </w:r>
      <w:r>
        <w:rPr/>
        <w:t>20</w:t>
      </w:r>
      <w:r>
        <w:rPr/>
        <w:t>日略高，却仍低于</w:t>
      </w:r>
      <w:r>
        <w:rPr/>
        <w:t>60</w:t>
      </w:r>
      <w:r>
        <w:rPr/>
        <w:t>日，属于短线活跃有所恢复而未证明持续放量上行。单日量比</w:t>
      </w:r>
      <w:r>
        <w:rPr/>
        <w:t>1.16</w:t>
      </w:r>
      <w:r>
        <w:rPr/>
        <w:t>也不是极端信号，不能称资金已一致抢筹，需看若干日上升与成交配合。</w:t>
      </w:r>
    </w:p>
    <w:p>
      <w:pPr>
        <w:pStyle w:val="Normal"/>
        <w:rPr/>
      </w:pPr>
      <w:r>
        <w:rPr/>
        <w:t>20</w:t>
      </w:r>
      <w:r>
        <w:rPr/>
        <w:t>日上涨</w:t>
      </w:r>
      <w:r>
        <w:rPr/>
        <w:t>9</w:t>
      </w:r>
      <w:r>
        <w:rPr/>
        <w:t>天总量</w:t>
      </w:r>
      <w:r>
        <w:rPr/>
        <w:t>6888.48</w:t>
      </w:r>
      <w:r>
        <w:rPr/>
        <w:t>万股，下跌</w:t>
      </w:r>
      <w:r>
        <w:rPr/>
        <w:t>11</w:t>
      </w:r>
      <w:r>
        <w:rPr/>
        <w:t>天总量</w:t>
      </w:r>
      <w:r>
        <w:rPr/>
        <w:t>7458.57</w:t>
      </w:r>
      <w:r>
        <w:rPr/>
        <w:t>万股，总量比</w:t>
      </w:r>
      <w:r>
        <w:rPr/>
        <w:t>0.924</w:t>
      </w:r>
      <w:r>
        <w:rPr/>
        <w:t>；按日均分别</w:t>
      </w:r>
      <w:r>
        <w:rPr/>
        <w:t>765.39</w:t>
      </w:r>
      <w:r>
        <w:rPr/>
        <w:t>与</w:t>
      </w:r>
      <w:r>
        <w:rPr/>
        <w:t>678.05</w:t>
      </w:r>
      <w:r>
        <w:rPr/>
        <w:t>万股，日均比约</w:t>
      </w:r>
      <w:r>
        <w:rPr/>
        <w:t>1.129</w:t>
      </w:r>
      <w:r>
        <w:rPr/>
        <w:t>。上涨天数少，故总量和日均会给不同表象。研究同时报告二者，不能只挑下跌总量大称持续抛售，也不能只挑上涨日均大称吸筹完成。价格仍下降且行业相对强弱缺失，使量能最多提供辅助观察。</w:t>
      </w:r>
    </w:p>
    <w:p>
      <w:pPr>
        <w:pStyle w:val="Normal"/>
        <w:rPr/>
      </w:pPr>
      <w:r>
        <w:rPr/>
        <w:t>没有逐笔订单与成交分布，本章不绘制所谓精确筹码峰，也不断言某价格的主力成本。成交额与流通换手反映市场交换强度，资金身份、持仓转移或融资盘比例不能从一张日</w:t>
      </w:r>
      <w:r>
        <w:rPr/>
        <w:t>K</w:t>
      </w:r>
      <w:r>
        <w:rPr/>
        <w:t>反推。若未来突破</w:t>
      </w:r>
      <w:r>
        <w:rPr/>
        <w:t>28.96</w:t>
      </w:r>
      <w:r>
        <w:rPr/>
        <w:t>时连续成交改善、回落时成交收缩且价格保留，技术评分可提高；若大成交伴更低收盘，则需下调。观察规则是可检验条件，非固定盈利保证。</w:t>
      </w:r>
    </w:p>
    <w:p>
      <w:pPr>
        <w:pStyle w:val="Heading2"/>
        <w:rPr/>
      </w:pPr>
      <w:r>
        <w:rPr>
          <w:color w:val="000000"/>
        </w:rPr>
        <w:t>周线 相对强弱与辅助指标</w:t>
      </w:r>
    </w:p>
    <w:p>
      <w:pPr>
        <w:pStyle w:val="Normal"/>
        <w:rPr/>
      </w:pPr>
      <w:r>
        <w:rPr/>
        <w:t>155</w:t>
      </w:r>
      <w:r>
        <w:rPr/>
        <w:t>根周线的</w:t>
      </w:r>
      <w:r>
        <w:rPr/>
        <w:t>20</w:t>
      </w:r>
      <w:r>
        <w:rPr/>
        <w:t>、</w:t>
      </w:r>
      <w:r>
        <w:rPr/>
        <w:t>60</w:t>
      </w:r>
      <w:r>
        <w:rPr/>
        <w:t>、</w:t>
      </w:r>
      <w:r>
        <w:rPr/>
        <w:t>120</w:t>
      </w:r>
      <w:r>
        <w:rPr/>
        <w:t>周均价</w:t>
      </w:r>
      <w:r>
        <w:rPr/>
        <w:t>28.7515</w:t>
      </w:r>
      <w:r>
        <w:rPr/>
        <w:t>、</w:t>
      </w:r>
      <w:r>
        <w:rPr/>
        <w:t>36.8015</w:t>
      </w:r>
      <w:r>
        <w:rPr/>
        <w:t>、</w:t>
      </w:r>
      <w:r>
        <w:rPr/>
        <w:t>30.2061</w:t>
      </w:r>
      <w:r>
        <w:rPr/>
        <w:t>元，现价均在下方，五周斜率分别</w:t>
      </w:r>
      <w:r>
        <w:rPr/>
        <w:t>-7.52%</w:t>
      </w:r>
      <w:r>
        <w:rPr/>
        <w:t>、</w:t>
      </w:r>
      <w:r>
        <w:rPr/>
        <w:t>-1.87%</w:t>
      </w:r>
      <w:r>
        <w:rPr/>
        <w:t>、</w:t>
      </w:r>
      <w:r>
        <w:rPr/>
        <w:t>-0.96%</w:t>
      </w:r>
      <w:r>
        <w:rPr/>
        <w:t>。</w:t>
      </w:r>
      <w:r>
        <w:rPr/>
        <w:t>250</w:t>
      </w:r>
      <w:r>
        <w:rPr/>
        <w:t>周数据不足，留空而不以</w:t>
      </w:r>
      <w:r>
        <w:rPr/>
        <w:t>155</w:t>
      </w:r>
      <w:r>
        <w:rPr/>
        <w:t>周补造。周线下降与日线一致，说明反弹尚没有中期结构支撑。国庆最后一周交易日少，周成交较小不能直接和完整周均量比较，用自然周总量断言缩量到极致会误导。</w:t>
      </w:r>
    </w:p>
    <w:p>
      <w:pPr>
        <w:pStyle w:val="Normal"/>
        <w:rPr/>
      </w:pPr>
      <w:r>
        <w:rPr/>
        <w:t>近</w:t>
      </w:r>
      <w:r>
        <w:rPr/>
        <w:t>20</w:t>
      </w:r>
      <w:r>
        <w:rPr/>
        <w:t>、</w:t>
      </w:r>
      <w:r>
        <w:rPr/>
        <w:t>60</w:t>
      </w:r>
      <w:r>
        <w:rPr/>
        <w:t>日股票回报</w:t>
      </w:r>
      <w:r>
        <w:rPr/>
        <w:t>-12.00%</w:t>
      </w:r>
      <w:r>
        <w:rPr/>
        <w:t>、</w:t>
      </w:r>
      <w:r>
        <w:rPr/>
        <w:t>-20.19%</w:t>
      </w:r>
      <w:r>
        <w:rPr/>
        <w:t>，同期沪深</w:t>
      </w:r>
      <w:r>
        <w:rPr/>
        <w:t>300-5.17%</w:t>
      </w:r>
      <w:r>
        <w:rPr/>
        <w:t>、</w:t>
      </w:r>
      <w:r>
        <w:rPr/>
        <w:t>-11.46%</w:t>
      </w:r>
      <w:r>
        <w:rPr/>
        <w:t>，超额分别</w:t>
      </w:r>
      <w:r>
        <w:rPr/>
        <w:t>-6.83</w:t>
      </w:r>
      <w:r>
        <w:rPr/>
        <w:t>、</w:t>
      </w:r>
      <w:r>
        <w:rPr/>
        <w:t>-8.73</w:t>
      </w:r>
      <w:r>
        <w:rPr/>
        <w:t>个百分点。它在样本内弱于宽基，行业创新药基准未取得同口径足够数据，行业超额留空。不能用另一时间窗口港股创新药涨幅替代</w:t>
      </w:r>
      <w:r>
        <w:rPr/>
        <w:t>A</w:t>
      </w:r>
      <w:r>
        <w:rPr/>
        <w:t>股相对行业表现。后续若宽基下跌而股票仍能保留关键价格，可作为变化迹象，目前未形成这种证据。</w:t>
      </w:r>
    </w:p>
    <w:p>
      <w:pPr>
        <w:pStyle w:val="Normal"/>
        <w:rPr/>
      </w:pPr>
      <w:r>
        <w:rPr/>
        <w:t>日</w:t>
      </w:r>
      <w:r>
        <w:rPr/>
        <w:t>RSI39.90</w:t>
      </w:r>
      <w:r>
        <w:rPr/>
        <w:t>、周</w:t>
      </w:r>
      <w:r>
        <w:rPr/>
        <w:t>39.06</w:t>
      </w:r>
      <w:r>
        <w:rPr/>
        <w:t>低于中性附近但不处于保证反弹的特殊数值；</w:t>
      </w:r>
      <w:r>
        <w:rPr/>
        <w:t>MACD</w:t>
      </w:r>
      <w:r>
        <w:rPr/>
        <w:t>日</w:t>
      </w:r>
      <w:r>
        <w:rPr/>
        <w:t>DIF-0.8858</w:t>
      </w:r>
      <w:r>
        <w:rPr/>
        <w:t>、</w:t>
      </w:r>
      <w:r>
        <w:rPr/>
        <w:t>DEA-0.8718</w:t>
      </w:r>
      <w:r>
        <w:rPr/>
        <w:t>，柱</w:t>
      </w:r>
      <w:r>
        <w:rPr/>
        <w:t>-0.0281</w:t>
      </w:r>
      <w:r>
        <w:rPr/>
        <w:t>，周柱</w:t>
      </w:r>
      <w:r>
        <w:rPr/>
        <w:t>-0.4515</w:t>
      </w:r>
      <w:r>
        <w:rPr/>
        <w:t>，趋势尚弱。</w:t>
      </w:r>
      <w:r>
        <w:rPr/>
        <w:t>RSI</w:t>
      </w:r>
      <w:r>
        <w:rPr/>
        <w:t>和</w:t>
      </w:r>
      <w:r>
        <w:rPr/>
        <w:t>MACD</w:t>
      </w:r>
      <w:r>
        <w:rPr/>
        <w:t>都源自价格，不在评分里重复计作两份独立优势。日</w:t>
      </w:r>
      <w:r>
        <w:rPr/>
        <w:t>ATR1.5474</w:t>
      </w:r>
      <w:r>
        <w:rPr/>
        <w:t>元、</w:t>
      </w:r>
      <w:r>
        <w:rPr/>
        <w:t>6.24%</w:t>
      </w:r>
      <w:r>
        <w:rPr/>
        <w:t>，周</w:t>
      </w:r>
      <w:r>
        <w:rPr/>
        <w:t>15.45%</w:t>
      </w:r>
      <w:r>
        <w:rPr/>
        <w:t>体现高波动，观察价和仓位需容纳真实波动，不以极窄止损距离制造好看的风险收益比。</w:t>
      </w:r>
    </w:p>
    <w:p>
      <w:pPr>
        <w:pStyle w:val="Heading2"/>
        <w:rPr/>
      </w:pPr>
      <w:r>
        <w:rPr>
          <w:color w:val="000000"/>
        </w:rPr>
        <w:t>分资产估值结构</w:t>
      </w:r>
    </w:p>
    <w:p>
      <w:pPr>
        <w:pStyle w:val="Normal"/>
        <w:rPr/>
      </w:pPr>
      <w:r>
        <w:rPr/>
        <w:t>模型使用</w:t>
      </w:r>
      <w:r>
        <w:rPr/>
        <w:t>2027</w:t>
      </w:r>
      <w:r>
        <w:rPr/>
        <w:t>至</w:t>
      </w:r>
      <w:r>
        <w:rPr/>
        <w:t>2045</w:t>
      </w:r>
      <w:r>
        <w:rPr/>
        <w:t>逐年销售曲线，达到峰值后每年按峰值</w:t>
      </w:r>
      <w:r>
        <w:rPr/>
        <w:t>13%</w:t>
      </w:r>
      <w:r>
        <w:rPr/>
        <w:t>递减，不设终值。上市年份、峰值、净现金率、成功判断与折现率均透明保存，而非从当前股价反推。商业资产税后现金含制造、销售、维持资本和营运资本，授权地区只收税后版税。另扣未商业化研究及总部储备，再加入目标净现金、除未来全部股份，避免同一临床产品同时按高</w:t>
      </w:r>
      <w:r>
        <w:rPr/>
        <w:t>PE</w:t>
      </w:r>
      <w:r>
        <w:rPr/>
        <w:t>与</w:t>
      </w:r>
      <w:r>
        <w:rPr/>
        <w:t>rNPV</w:t>
      </w:r>
      <w:r>
        <w:rPr/>
        <w:t>叠算。</w:t>
      </w:r>
    </w:p>
    <w:p>
      <w:pPr>
        <w:pStyle w:val="Normal"/>
        <w:rPr/>
      </w:pPr>
      <w:r>
        <w:rPr/>
        <w:t>悲观、基准、乐观折现率</w:t>
      </w:r>
      <w:r>
        <w:rPr/>
        <w:t>18%</w:t>
      </w:r>
      <w:r>
        <w:rPr/>
        <w:t>、</w:t>
      </w:r>
      <w:r>
        <w:rPr/>
        <w:t>14%</w:t>
      </w:r>
      <w:r>
        <w:rPr/>
        <w:t>、</w:t>
      </w:r>
      <w:r>
        <w:rPr/>
        <w:t>11%</w:t>
      </w:r>
      <w:r>
        <w:rPr/>
        <w:t>，授权税率</w:t>
      </w:r>
      <w:r>
        <w:rPr/>
        <w:t>22%</w:t>
      </w:r>
      <w:r>
        <w:rPr/>
        <w:t>、</w:t>
      </w:r>
      <w:r>
        <w:rPr/>
        <w:t>20%</w:t>
      </w:r>
      <w:r>
        <w:rPr/>
        <w:t>、</w:t>
      </w:r>
      <w:r>
        <w:rPr/>
        <w:t>18%</w:t>
      </w:r>
      <w:r>
        <w:rPr/>
        <w:t>，美元兑人民币</w:t>
      </w:r>
      <w:r>
        <w:rPr/>
        <w:t>6.8</w:t>
      </w:r>
      <w:r>
        <w:rPr/>
        <w:t>作为统一建模假设而非截止日已核汇率。多年风险不能仅由折现率承担，因此另有临床成功和商业假设。已批准</w:t>
      </w:r>
      <w:r>
        <w:rPr/>
        <w:t>GCSF</w:t>
      </w:r>
      <w:r>
        <w:rPr/>
        <w:t>成功率为一，销售成败在销量曲线表达；生物类似组合含待批</w:t>
      </w:r>
      <w:r>
        <w:rPr/>
        <w:t>0813</w:t>
      </w:r>
      <w:r>
        <w:rPr/>
        <w:t>，组合调整另注明。真实专利期限和</w:t>
      </w:r>
      <w:r>
        <w:rPr/>
        <w:t>FTO</w:t>
      </w:r>
      <w:r>
        <w:rPr/>
        <w:t>尚未完整核验，销售衰减不能冒称确定专利到期。</w:t>
      </w:r>
    </w:p>
    <w:p>
      <w:pPr>
        <w:pStyle w:val="Normal"/>
        <w:rPr/>
      </w:pPr>
      <w:r>
        <w:rPr/>
        <w:t>全球授权资产的峰值是合作方所在地域净销售，乘版税、税后和成功判断才变成归属现金。已付首款进入历史现金，不作为未来现金再计。未来齐鲁设</w:t>
      </w:r>
      <w:r>
        <w:rPr/>
        <w:t>2029</w:t>
      </w:r>
      <w:r>
        <w:rPr/>
        <w:t>年底</w:t>
      </w:r>
      <w:r>
        <w:rPr/>
        <w:t>5000</w:t>
      </w:r>
      <w:r>
        <w:rPr/>
        <w:t>万、</w:t>
      </w:r>
      <w:r>
        <w:rPr/>
        <w:t>8000</w:t>
      </w:r>
      <w:r>
        <w:rPr/>
        <w:t>万、</w:t>
      </w:r>
      <w:r>
        <w:rPr/>
        <w:t>1</w:t>
      </w:r>
      <w:r>
        <w:rPr/>
        <w:t>亿元人民币；</w:t>
      </w:r>
      <w:r>
        <w:rPr/>
        <w:t>CALICO</w:t>
      </w:r>
      <w:r>
        <w:rPr/>
        <w:t>设</w:t>
      </w:r>
      <w:r>
        <w:rPr/>
        <w:t>2034</w:t>
      </w:r>
      <w:r>
        <w:rPr/>
        <w:t>年底</w:t>
      </w:r>
      <w:r>
        <w:rPr/>
        <w:t>1000</w:t>
      </w:r>
      <w:r>
        <w:rPr/>
        <w:t>万、</w:t>
      </w:r>
      <w:r>
        <w:rPr/>
        <w:t>7000</w:t>
      </w:r>
      <w:r>
        <w:rPr/>
        <w:t>万、</w:t>
      </w:r>
      <w:r>
        <w:rPr/>
        <w:t>1.8</w:t>
      </w:r>
      <w:r>
        <w:rPr/>
        <w:t>亿美元；</w:t>
      </w:r>
      <w:r>
        <w:rPr/>
        <w:t>DISC</w:t>
      </w:r>
      <w:r>
        <w:rPr/>
        <w:t>设</w:t>
      </w:r>
      <w:r>
        <w:rPr/>
        <w:t>2031</w:t>
      </w:r>
      <w:r>
        <w:rPr/>
        <w:t>年底</w:t>
      </w:r>
      <w:r>
        <w:rPr/>
        <w:t>2500</w:t>
      </w:r>
      <w:r>
        <w:rPr/>
        <w:t>万、</w:t>
      </w:r>
      <w:r>
        <w:rPr/>
        <w:t>8000</w:t>
      </w:r>
      <w:r>
        <w:rPr/>
        <w:t>万、</w:t>
      </w:r>
      <w:r>
        <w:rPr/>
        <w:t>1.8</w:t>
      </w:r>
      <w:r>
        <w:rPr/>
        <w:t>亿美元；</w:t>
      </w:r>
      <w:r>
        <w:rPr/>
        <w:t>Kalexo</w:t>
      </w:r>
      <w:r>
        <w:rPr/>
        <w:t>设</w:t>
      </w:r>
      <w:r>
        <w:rPr/>
        <w:t>2035</w:t>
      </w:r>
      <w:r>
        <w:rPr/>
        <w:t>年底</w:t>
      </w:r>
      <w:r>
        <w:rPr/>
        <w:t>500</w:t>
      </w:r>
      <w:r>
        <w:rPr/>
        <w:t>万、</w:t>
      </w:r>
      <w:r>
        <w:rPr/>
        <w:t>4000</w:t>
      </w:r>
      <w:r>
        <w:rPr/>
        <w:t>万、</w:t>
      </w:r>
      <w:r>
        <w:rPr/>
        <w:t>1.4</w:t>
      </w:r>
      <w:r>
        <w:rPr/>
        <w:t>亿美元。均为风险调整研究金额，税率</w:t>
      </w:r>
      <w:r>
        <w:rPr/>
        <w:t>22%</w:t>
      </w:r>
      <w:r>
        <w:rPr/>
        <w:t>、</w:t>
      </w:r>
      <w:r>
        <w:rPr/>
        <w:t>20%</w:t>
      </w:r>
      <w:r>
        <w:rPr/>
        <w:t>、</w:t>
      </w:r>
      <w:r>
        <w:rPr/>
        <w:t>18%</w:t>
      </w:r>
      <w:r>
        <w:rPr/>
        <w:t>，非合同固定分笔或已承诺到账日期，未来完整逐触发模型仍待补。</w:t>
      </w:r>
    </w:p>
    <w:p>
      <w:pPr>
        <w:pStyle w:val="Heading2"/>
        <w:rPr/>
      </w:pPr>
      <w:r>
        <w:rPr>
          <w:color w:val="000000"/>
        </w:rPr>
        <w:t>估值结果与隐含要求</w:t>
      </w:r>
    </w:p>
    <w:p>
      <w:pPr>
        <w:pStyle w:val="Normal"/>
        <w:rPr/>
      </w:pPr>
      <w:r>
        <w:rPr/>
        <w:t>年底基准分资产</w:t>
      </w:r>
      <w:r>
        <w:rPr/>
        <w:t>PV</w:t>
      </w:r>
      <w:r>
        <w:rPr/>
        <w:t>约</w:t>
      </w:r>
      <w:r>
        <w:rPr/>
        <w:t>54.73</w:t>
      </w:r>
      <w:r>
        <w:rPr/>
        <w:t>亿元，四许可税后未来里程碑</w:t>
      </w:r>
      <w:r>
        <w:rPr/>
        <w:t>PV</w:t>
      </w:r>
      <w:r>
        <w:rPr/>
        <w:t>约</w:t>
      </w:r>
      <w:r>
        <w:rPr/>
        <w:t>4.70</w:t>
      </w:r>
      <w:r>
        <w:rPr/>
        <w:t>亿元，净债</w:t>
      </w:r>
      <w:r>
        <w:rPr/>
        <w:t>16</w:t>
      </w:r>
      <w:r>
        <w:rPr/>
        <w:t>亿元、开发总部储备</w:t>
      </w:r>
      <w:r>
        <w:rPr/>
        <w:t>24</w:t>
      </w:r>
      <w:r>
        <w:rPr/>
        <w:t>亿元，剩余股权约</w:t>
      </w:r>
      <w:r>
        <w:rPr/>
        <w:t>19.43</w:t>
      </w:r>
      <w:r>
        <w:rPr/>
        <w:t>亿元，除</w:t>
      </w:r>
      <w:r>
        <w:rPr/>
        <w:t>4.60</w:t>
      </w:r>
      <w:r>
        <w:rPr/>
        <w:t>亿股得内在</w:t>
      </w:r>
      <w:r>
        <w:rPr/>
        <w:t>4.22</w:t>
      </w:r>
      <w:r>
        <w:rPr/>
        <w:t>元。现价乘同股数需约</w:t>
      </w:r>
      <w:r>
        <w:rPr/>
        <w:t>113.99</w:t>
      </w:r>
      <w:r>
        <w:rPr/>
        <w:t>亿元权益，比此完整重估基准多约</w:t>
      </w:r>
      <w:r>
        <w:rPr/>
        <w:t>94.56</w:t>
      </w:r>
      <w:r>
        <w:rPr/>
        <w:t>亿元。差额可由更大销售、更高临床成功、更低费用或更好融资解释，不能凭平台数量自动填补。短期目标另以</w:t>
      </w:r>
      <w:r>
        <w:rPr/>
        <w:t>35%</w:t>
      </w:r>
      <w:r>
        <w:rPr/>
        <w:t>基准认知系数连接现价与内在值，得到</w:t>
      </w:r>
      <w:r>
        <w:rPr/>
        <w:t>17.59</w:t>
      </w:r>
      <w:r>
        <w:rPr/>
        <w:t>元。</w:t>
      </w:r>
    </w:p>
    <w:p>
      <w:pPr>
        <w:pStyle w:val="Normal"/>
        <w:rPr/>
      </w:pPr>
      <w:r>
        <w:rPr/>
        <w:t>一年基准资产</w:t>
      </w:r>
      <w:r>
        <w:rPr/>
        <w:t>PV65.86</w:t>
      </w:r>
      <w:r>
        <w:rPr/>
        <w:t>亿元、目标净债</w:t>
      </w:r>
      <w:r>
        <w:rPr/>
        <w:t>19</w:t>
      </w:r>
      <w:r>
        <w:rPr/>
        <w:t>亿元、研究总部储备</w:t>
      </w:r>
      <w:r>
        <w:rPr/>
        <w:t>22</w:t>
      </w:r>
      <w:r>
        <w:rPr/>
        <w:t>亿元，四许可里程碑加入后内在约</w:t>
      </w:r>
      <w:r>
        <w:rPr/>
        <w:t>6.13</w:t>
      </w:r>
      <w:r>
        <w:rPr/>
        <w:t>元，以</w:t>
      </w:r>
      <w:r>
        <w:rPr/>
        <w:t>85%</w:t>
      </w:r>
      <w:r>
        <w:rPr/>
        <w:t>认知系数得价格</w:t>
      </w:r>
      <w:r>
        <w:rPr/>
        <w:t>8.93</w:t>
      </w:r>
      <w:r>
        <w:rPr/>
        <w:t>元。即使部分管线推进，在现价对应的权益要求下仍不足。三年基准资产</w:t>
      </w:r>
      <w:r>
        <w:rPr/>
        <w:t>PV98.95</w:t>
      </w:r>
      <w:r>
        <w:rPr/>
        <w:t>亿元、五年</w:t>
      </w:r>
      <w:r>
        <w:rPr/>
        <w:t>129.62</w:t>
      </w:r>
      <w:r>
        <w:rPr/>
        <w:t>亿元，风险随成功推进情景减少，股数增到</w:t>
      </w:r>
      <w:r>
        <w:rPr/>
        <w:t>5.5</w:t>
      </w:r>
      <w:r>
        <w:rPr/>
        <w:t>、</w:t>
      </w:r>
      <w:r>
        <w:rPr/>
        <w:t>6.1</w:t>
      </w:r>
      <w:r>
        <w:rPr/>
        <w:t>亿，目标</w:t>
      </w:r>
      <w:r>
        <w:rPr/>
        <w:t>13.04</w:t>
      </w:r>
      <w:r>
        <w:rPr/>
        <w:t>、</w:t>
      </w:r>
      <w:r>
        <w:rPr/>
        <w:t>18.95</w:t>
      </w:r>
      <w:r>
        <w:rPr/>
        <w:t>元。股份增长使投资者不会获得全部资产</w:t>
      </w:r>
      <w:r>
        <w:rPr/>
        <w:t>PV</w:t>
      </w:r>
      <w:r>
        <w:rPr/>
        <w:t>增长；因素不是等待年份自动消除失败风险。</w:t>
      </w:r>
    </w:p>
    <w:p>
      <w:pPr>
        <w:pStyle w:val="Normal"/>
        <w:rPr/>
      </w:pPr>
      <w:r>
        <w:rPr/>
        <w:t>年底乐观价格</w:t>
      </w:r>
      <w:r>
        <w:rPr/>
        <w:t>40.16</w:t>
      </w:r>
      <w:r>
        <w:rPr/>
        <w:t>元、半年</w:t>
      </w:r>
      <w:r>
        <w:rPr/>
        <w:t>50.86</w:t>
      </w:r>
      <w:r>
        <w:rPr/>
        <w:t>元、一年</w:t>
      </w:r>
      <w:r>
        <w:rPr/>
        <w:t>66.68</w:t>
      </w:r>
      <w:r>
        <w:rPr/>
        <w:t>元、三年</w:t>
      </w:r>
      <w:r>
        <w:rPr/>
        <w:t>92.05</w:t>
      </w:r>
      <w:r>
        <w:rPr/>
        <w:t>元、五年</w:t>
      </w:r>
      <w:r>
        <w:rPr/>
        <w:t>106.74</w:t>
      </w:r>
      <w:r>
        <w:rPr/>
        <w:t>元，需要多个适应症、海外进展、销售与融资较优。短期不是全部内在乐观重估，年底认知系数悲观</w:t>
      </w:r>
      <w:r>
        <w:rPr/>
        <w:t>45%</w:t>
      </w:r>
      <w:r>
        <w:rPr/>
        <w:t>、基准</w:t>
      </w:r>
      <w:r>
        <w:rPr/>
        <w:t>35%</w:t>
      </w:r>
      <w:r>
        <w:rPr/>
        <w:t>、乐观</w:t>
      </w:r>
      <w:r>
        <w:rPr/>
        <w:t>50%</w:t>
      </w:r>
      <w:r>
        <w:rPr/>
        <w:t>；半年</w:t>
      </w:r>
      <w:r>
        <w:rPr/>
        <w:t>65%</w:t>
      </w:r>
      <w:r>
        <w:rPr/>
        <w:t>、</w:t>
      </w:r>
      <w:r>
        <w:rPr/>
        <w:t>60%</w:t>
      </w:r>
      <w:r>
        <w:rPr/>
        <w:t>、</w:t>
      </w:r>
      <w:r>
        <w:rPr/>
        <w:t>75%</w:t>
      </w:r>
      <w:r>
        <w:rPr/>
        <w:t>；一年</w:t>
      </w:r>
      <w:r>
        <w:rPr/>
        <w:t>85%</w:t>
      </w:r>
      <w:r>
        <w:rPr/>
        <w:t>、</w:t>
      </w:r>
      <w:r>
        <w:rPr/>
        <w:t>85%</w:t>
      </w:r>
      <w:r>
        <w:rPr/>
        <w:t>、</w:t>
      </w:r>
      <w:r>
        <w:rPr/>
        <w:t>100%</w:t>
      </w:r>
      <w:r>
        <w:rPr/>
        <w:t>，三、五年均</w:t>
      </w:r>
      <w:r>
        <w:rPr/>
        <w:t>100%</w:t>
      </w:r>
      <w:r>
        <w:rPr/>
        <w:t>。系数只是价格路径假设，既可能低估快速重估，也可能高估年底兑现，全部内在值另保留，不能将价格上限当真实波动边界。</w:t>
      </w:r>
    </w:p>
    <w:p>
      <w:pPr>
        <w:pStyle w:val="Normal"/>
        <w:rPr/>
      </w:pPr>
      <w:r>
        <w:rPr/>
        <w:t>悲观完整内在价值在各期限均因净债、研究成本和低成功组合而不足抵偿，普通股残余截断零。年底未必马上完整采用长期极端判断，所以价格压力</w:t>
      </w:r>
      <w:r>
        <w:rPr/>
        <w:t>13.63</w:t>
      </w:r>
      <w:r>
        <w:rPr/>
        <w:t>元保留</w:t>
      </w:r>
      <w:r>
        <w:rPr/>
        <w:t>55%</w:t>
      </w:r>
      <w:r>
        <w:rPr/>
        <w:t>现价，半年</w:t>
      </w:r>
      <w:r>
        <w:rPr/>
        <w:t>8.67</w:t>
      </w:r>
      <w:r>
        <w:rPr/>
        <w:t>保留</w:t>
      </w:r>
      <w:r>
        <w:rPr/>
        <w:t>35%</w:t>
      </w:r>
      <w:r>
        <w:rPr/>
        <w:t>现价，一年</w:t>
      </w:r>
      <w:r>
        <w:rPr/>
        <w:t>3.72</w:t>
      </w:r>
      <w:r>
        <w:rPr/>
        <w:t>保留</w:t>
      </w:r>
      <w:r>
        <w:rPr/>
        <w:t>15%</w:t>
      </w:r>
      <w:r>
        <w:rPr/>
        <w:t>现价。若重大临床失败或融资事件发生，市场可能更快重估；若没有事件，也可能保持更高交易价。零内在与非零短期目标分别解释经营偿付压力和时间认知，不能混作确定预测。</w:t>
      </w:r>
    </w:p>
    <w:p>
      <w:pPr>
        <w:pStyle w:val="Heading2"/>
        <w:rPr/>
      </w:pPr>
      <w:r>
        <w:rPr>
          <w:color w:val="000000"/>
        </w:rPr>
        <w:t>半年与一年如何检验推荐</w:t>
      </w:r>
    </w:p>
    <w:p>
      <w:pPr>
        <w:pStyle w:val="Normal"/>
        <w:rPr/>
      </w:pPr>
      <w:r>
        <w:rPr/>
        <w:t>半年主要收益路径为随机研究、监管沟通与会议数据重新定价，另有地舒扩适应症真实销售。技术上需收复短线均价并建立更高低点，资金上需保持债务滚动和可控费用。若只看到会议标题或单臂</w:t>
      </w:r>
      <w:r>
        <w:rPr/>
        <w:t>ORR</w:t>
      </w:r>
      <w:r>
        <w:rPr/>
        <w:t>而没有安全、随访和随机终点，本章不会上调至优先推荐。跌破</w:t>
      </w:r>
      <w:r>
        <w:rPr/>
        <w:t>23.50</w:t>
      </w:r>
      <w:r>
        <w:rPr/>
        <w:t>后没有恢复则技术观察条件失效，但它不会自动证明药物科学失败，需分别更新两类证据。</w:t>
      </w:r>
    </w:p>
    <w:p>
      <w:pPr>
        <w:pStyle w:val="Normal"/>
        <w:rPr/>
      </w:pPr>
      <w:r>
        <w:rPr/>
        <w:t>一年应有更完整的关键研究和财务披露，关注申请是否受理、获批标签、销售净价、重复药品现金、许可履约和新股发行。重大首款可以降低融资风险，但若让渡大范围权益，需减少未来自营现金；资金利好与长期利润减少都必须计入。同样，</w:t>
      </w:r>
      <w:r>
        <w:rPr/>
        <w:t>H</w:t>
      </w:r>
      <w:r>
        <w:rPr/>
        <w:t>股或平台融资增加现金可能改善跑道，却也稀释每股。研究不能只从新闻里选择有利一侧，保持同套模型更新才有意义。</w:t>
      </w:r>
    </w:p>
    <w:p>
      <w:pPr>
        <w:pStyle w:val="Heading2"/>
        <w:rPr/>
      </w:pPr>
      <w:r>
        <w:rPr>
          <w:color w:val="000000"/>
        </w:rPr>
        <w:t>三年 五年与十年经营持续性</w:t>
      </w:r>
    </w:p>
    <w:p>
      <w:pPr>
        <w:pStyle w:val="Normal"/>
        <w:rPr/>
      </w:pPr>
      <w:r>
        <w:rPr/>
        <w:t>三年投资应从“临床等待”转向至少部分真实商业化验证。</w:t>
      </w:r>
      <w:r>
        <w:rPr/>
        <w:t>UC</w:t>
      </w:r>
      <w:r>
        <w:rPr/>
        <w:t>与宫颈若获批，医院使用、治疗持续、竞争定价和现金回收决定产品能否跨过持续亏损阶段。多个新产品推广需要资源，可能使早期收入增长快而现金仍流出。长期评分提高来自需求与技术组合，不意味着基准股价收益已经高；本模型三年年化负</w:t>
      </w:r>
      <w:r>
        <w:rPr/>
        <w:t>19.27%</w:t>
      </w:r>
      <w:r>
        <w:rPr/>
        <w:t>，现价下仍不能优先配置。</w:t>
      </w:r>
    </w:p>
    <w:p>
      <w:pPr>
        <w:pStyle w:val="Normal"/>
        <w:rPr/>
      </w:pPr>
      <w:r>
        <w:rPr/>
        <w:t>五年应有平台重复产出和融资效率的证据，而非只换一批新的早期项目名称。核心产品成功后若研发不断超出商业现金，股东回报仍可能被稀释。基准五年</w:t>
      </w:r>
      <w:r>
        <w:rPr/>
        <w:t>18.95</w:t>
      </w:r>
      <w:r>
        <w:rPr/>
        <w:t>元、年化负</w:t>
      </w:r>
      <w:r>
        <w:rPr/>
        <w:t>5.22%</w:t>
      </w:r>
      <w:r>
        <w:rPr/>
        <w:t>，乐观</w:t>
      </w:r>
      <w:r>
        <w:rPr/>
        <w:t>106.74</w:t>
      </w:r>
      <w:r>
        <w:rPr/>
        <w:t>则依赖更广成功且稀释较低。十年经营展望关注多品种的持续现金、专利保护、质量体系和合作信誉，不用五年乐观目标线性延长生成十年股价。</w:t>
      </w:r>
    </w:p>
    <w:p>
      <w:pPr>
        <w:pStyle w:val="Normal"/>
        <w:rPr/>
      </w:pPr>
      <w:r>
        <w:rPr/>
        <w:t>老产品价格竞争与新产品专利期限决定十年组合是否需要不断接力。自营、授权和</w:t>
      </w:r>
      <w:r>
        <w:rPr/>
        <w:t>NewCo</w:t>
      </w:r>
      <w:r>
        <w:rPr/>
        <w:t>模式各有资本效率：自营收益高也需投入，授权降低负担也让出利润，平台融资增加资金却附优先条件。可持续优势在于发现有临床价值的产品、执行研究、保留合理经济权和控制开发成本。若每次交易只产生一次性首款但无法形成长期版税及商业利润，十年价值就需要重新评估。</w:t>
      </w:r>
    </w:p>
    <w:p>
      <w:pPr>
        <w:pStyle w:val="Heading2"/>
        <w:rPr/>
      </w:pPr>
      <w:r>
        <w:rPr>
          <w:color w:val="000000"/>
        </w:rPr>
        <w:t>年底情景 权重与外资目标</w:t>
      </w:r>
    </w:p>
    <w:p>
      <w:pPr>
        <w:pStyle w:val="Normal"/>
        <w:rPr/>
      </w:pPr>
      <w:r>
        <w:rPr/>
        <w:t>年底剩余时间较短，模型反映可公开的信息集改变，不按十二个月目标价乘剩余月份。悲观是关键研究失败、延迟或融资压力重定价；基准是现有证据按保守现金流计；乐观需多个结果较强且市场接受长期价值。截止日后新数据应更新版本，不能回填初版再称原来准确预测。无论目标高低，年底实际交易价格还可能受市场风险偏好及流动性影响。</w:t>
      </w:r>
    </w:p>
    <w:p>
      <w:pPr>
        <w:pStyle w:val="Normal"/>
        <w:rPr/>
      </w:pPr>
      <w:r>
        <w:rPr/>
        <w:t>25%</w:t>
      </w:r>
      <w:r>
        <w:rPr/>
        <w:t>、</w:t>
      </w:r>
      <w:r>
        <w:rPr/>
        <w:t>50%</w:t>
      </w:r>
      <w:r>
        <w:rPr/>
        <w:t>、</w:t>
      </w:r>
      <w:r>
        <w:rPr/>
        <w:t>25%</w:t>
      </w:r>
      <w:r>
        <w:rPr/>
        <w:t>是判断权重，非临床成功概率或统计抽样频率。三价加权</w:t>
      </w:r>
      <w:r>
        <w:rPr/>
        <w:t>22.2392</w:t>
      </w:r>
      <w:r>
        <w:rPr/>
        <w:t>元，相对现价</w:t>
      </w:r>
      <w:r>
        <w:rPr/>
        <w:t>-10.25%</w:t>
      </w:r>
      <w:r>
        <w:rPr/>
        <w:t>；防御权重得</w:t>
      </w:r>
      <w:r>
        <w:rPr/>
        <w:t>18.2599</w:t>
      </w:r>
      <w:r>
        <w:rPr/>
        <w:t>元、</w:t>
      </w:r>
      <w:r>
        <w:rPr/>
        <w:t>-26.31%</w:t>
      </w:r>
      <w:r>
        <w:rPr/>
        <w:t>，积极权重</w:t>
      </w:r>
      <w:r>
        <w:rPr/>
        <w:t>26.2185</w:t>
      </w:r>
      <w:r>
        <w:rPr/>
        <w:t>元、</w:t>
      </w:r>
      <w:r>
        <w:rPr/>
        <w:t>5.80%</w:t>
      </w:r>
      <w:r>
        <w:rPr/>
        <w:t>。改变权重使期望差异明显，认知系数也独立影响短期价。积极权重略高于现价不能解释风险消失，需先说明为何乐观条件占比更高。</w:t>
      </w:r>
      <w:r>
        <w:rPr/>
        <w:t>Excel</w:t>
      </w:r>
      <w:r>
        <w:rPr/>
        <w:t>同时保留全内在重估值，使读者可将认知系数设一查看极端压力。</w:t>
      </w:r>
    </w:p>
    <w:p>
      <w:pPr>
        <w:pStyle w:val="Normal"/>
        <w:rPr/>
      </w:pPr>
      <w:r>
        <w:rPr/>
        <w:t>本轮未取得公开可核验、近期有效的外资机构目标报告，机构字段留空。没有报告日期、证券代码、币种、期限和原始或可靠转述链接时，不引用一个数字填表。国内券商与媒体无来源摘要也不自动替代外资目标。未来若取得十二个月报告，只作为一年估值交叉参考，需检查是否包含</w:t>
      </w:r>
      <w:r>
        <w:rPr/>
        <w:t>H</w:t>
      </w:r>
      <w:r>
        <w:rPr/>
        <w:t>发行、权益变化与最新临床，不直接用于年底价格。</w:t>
      </w:r>
    </w:p>
    <w:p>
      <w:pPr>
        <w:pStyle w:val="Heading2"/>
        <w:rPr/>
      </w:pPr>
      <w:r>
        <w:rPr>
          <w:color w:val="000000"/>
        </w:rPr>
        <w:t>反证 版本和研究限制</w:t>
      </w:r>
    </w:p>
    <w:p>
      <w:pPr>
        <w:pStyle w:val="Normal"/>
        <w:rPr/>
      </w:pPr>
      <w:r>
        <w:rPr/>
        <w:t>最强上调反证包括核心随机研究达到有临床意义且安全可接受的终点，获批及时，净销售及回款强于本峰值路径，授权交易保留良好权益并真实收款，研发与债务负担低于假设。每一项都应以原公告和财报核验，单次会议信息不足以全部实现。若条件出现，本章低基准可以被推翻并上调，不把保守结果当不可改变的信条。</w:t>
      </w:r>
    </w:p>
    <w:p>
      <w:pPr>
        <w:pStyle w:val="Normal"/>
        <w:rPr/>
      </w:pPr>
      <w:r>
        <w:rPr/>
        <w:t>下调反证包括随机未达终点、毒性限制给药、竞争治疗前移挤压后线、医保降价超过销量、应收与库存压力、许可方停止研究、再融资折价和回购触发。若资产失败使预算收缩，不能保留原销售峰值又仅降低费用给估值托底。既要剔资产，也要反映处置成本、债务和重新融资。重大政策或监管变化需分地区分析，不能用一个全球系数一笔抹掉所有权利。</w:t>
      </w:r>
    </w:p>
    <w:p>
      <w:pPr>
        <w:pStyle w:val="Normal"/>
        <w:rPr/>
      </w:pPr>
      <w:r>
        <w:rPr/>
        <w:t>初版已经核验原中报、年报、募集资金、限售、融资提案、许可和子公司资本条款，并保存</w:t>
      </w:r>
      <w:r>
        <w:rPr/>
        <w:t>DISC</w:t>
      </w:r>
      <w:r>
        <w:rPr/>
        <w:t>原新闻。仍缺完整三表、融资发行价现金桥、逐笔许可分档、临床原论文全统计、监管标签和专利</w:t>
      </w:r>
      <w:r>
        <w:rPr/>
        <w:t>FTO</w:t>
      </w:r>
      <w:r>
        <w:rPr/>
        <w:t>。组合生物类似药及部分癌种地区尚未全部逐项拆开，成功与销售参数是判断。数据可信度高不代表估值参数高可信；报告保留两者区别，后续深研发现会同步修订总表。</w:t>
      </w:r>
    </w:p>
    <w:p>
      <w:pPr>
        <w:pStyle w:val="Normal"/>
        <w:rPr/>
      </w:pPr>
      <w:r>
        <w:rPr/>
        <w:t>本章字数只统计独立正文汉字，开头表格、标题、来源与长引文不计，正文没有复制共用宏观章节。模型、正文和核验记录保存同一基准与版本；未来改输入需刷新情景和文件，而不能只替换一行目标。评分</w:t>
      </w:r>
      <w:r>
        <w:rPr/>
        <w:t>43.7</w:t>
      </w:r>
      <w:r>
        <w:rPr/>
        <w:t>、</w:t>
      </w:r>
      <w:r>
        <w:rPr/>
        <w:t>53.6</w:t>
      </w:r>
      <w:r>
        <w:rPr/>
        <w:t>、</w:t>
      </w:r>
      <w:r>
        <w:rPr/>
        <w:t>64.3</w:t>
      </w:r>
      <w:r>
        <w:rPr/>
        <w:t>、</w:t>
      </w:r>
      <w:r>
        <w:rPr/>
        <w:t>68.3</w:t>
      </w:r>
      <w:r>
        <w:rPr/>
        <w:t>是证据与偏好结合的排序工具，不是获利概率。最终交付</w:t>
      </w:r>
      <w:r>
        <w:rPr/>
        <w:t>Word</w:t>
      </w:r>
      <w:r>
        <w:rPr/>
        <w:t>、</w:t>
      </w:r>
      <w:r>
        <w:rPr/>
        <w:t>PDF</w:t>
      </w:r>
      <w:r>
        <w:rPr/>
        <w:t>由统一制作流程检查中文分页与数字一致性，独立初版并不宣称全部最终验收已完成。</w:t>
      </w:r>
    </w:p>
    <w:p>
      <w:pPr>
        <w:pStyle w:val="Heading2"/>
        <w:rPr/>
      </w:pPr>
      <w:r>
        <w:rPr>
          <w:color w:val="000000"/>
        </w:rPr>
        <w:t>来源</w:t>
      </w:r>
    </w:p>
    <w:p>
      <w:pPr>
        <w:pStyle w:val="Normal"/>
        <w:rPr/>
      </w:pPr>
      <w:r>
        <w:rPr/>
        <w:t>1. 2026H1</w:t>
      </w:r>
      <w:r>
        <w:rPr/>
        <w:t>报告，</w:t>
      </w:r>
      <w:r>
        <w:rPr/>
        <w:t>2026-08-31</w:t>
      </w:r>
      <w:r>
        <w:rPr/>
        <w:t>，</w:t>
      </w:r>
      <w:r>
        <w:rPr/>
        <w:t>249</w:t>
      </w:r>
      <w:r>
        <w:rPr/>
        <w:t>页：</w:t>
      </w:r>
      <w:r>
        <w:rPr/>
        <w:t>https://static.cninfo.com.cn/finalpage/2026-08-31/1225534348.PDF</w:t>
      </w:r>
    </w:p>
    <w:p>
      <w:pPr>
        <w:pStyle w:val="Normal"/>
        <w:rPr/>
      </w:pPr>
      <w:r>
        <w:rPr/>
        <w:t>2. 2025</w:t>
      </w:r>
      <w:r>
        <w:rPr/>
        <w:t>年报，</w:t>
      </w:r>
      <w:r>
        <w:rPr/>
        <w:t>2026-03-25</w:t>
      </w:r>
      <w:r>
        <w:rPr/>
        <w:t>，</w:t>
      </w:r>
      <w:r>
        <w:rPr/>
        <w:t>324</w:t>
      </w:r>
      <w:r>
        <w:rPr/>
        <w:t>页：</w:t>
      </w:r>
      <w:r>
        <w:rPr/>
        <w:t>https://static.cninfo.com.cn/finalpage/2026-03-25/1225029241.PDF</w:t>
      </w:r>
    </w:p>
    <w:p>
      <w:pPr>
        <w:pStyle w:val="Normal"/>
        <w:rPr/>
      </w:pPr>
      <w:r>
        <w:rPr/>
        <w:t>3. TCE</w:t>
      </w:r>
      <w:r>
        <w:rPr/>
        <w:t>投资，</w:t>
      </w:r>
      <w:r>
        <w:rPr/>
        <w:t>2026-09-29</w:t>
      </w:r>
      <w:r>
        <w:rPr/>
        <w:t>：</w:t>
      </w:r>
      <w:r>
        <w:rPr/>
        <w:t>https://static.cninfo.com.cn/finalpage/2026-09-29/1225585656.PDF</w:t>
      </w:r>
    </w:p>
    <w:p>
      <w:pPr>
        <w:pStyle w:val="Normal"/>
        <w:rPr/>
      </w:pPr>
      <w:r>
        <w:rPr/>
        <w:t>4. SST001</w:t>
      </w:r>
      <w:r>
        <w:rPr/>
        <w:t>关联许可，</w:t>
      </w:r>
      <w:r>
        <w:rPr/>
        <w:t>2026-08-31</w:t>
      </w:r>
      <w:r>
        <w:rPr/>
        <w:t>：</w:t>
      </w:r>
      <w:r>
        <w:rPr/>
        <w:t>https://static.cninfo.com.cn/finalpage/2026-08-31/1225534539.PDF</w:t>
      </w:r>
    </w:p>
    <w:p>
      <w:pPr>
        <w:pStyle w:val="Normal"/>
        <w:rPr/>
      </w:pPr>
      <w:r>
        <w:rPr/>
        <w:t xml:space="preserve">5. </w:t>
      </w:r>
      <w:r>
        <w:rPr/>
        <w:t>股东会批准，</w:t>
      </w:r>
      <w:r>
        <w:rPr/>
        <w:t>2026-09-18</w:t>
      </w:r>
      <w:r>
        <w:rPr/>
        <w:t>：</w:t>
      </w:r>
      <w:r>
        <w:rPr/>
        <w:t>https://static.cninfo.com.cn/finalpage/2026-09-18/1225570226.PDF</w:t>
      </w:r>
    </w:p>
    <w:p>
      <w:pPr>
        <w:pStyle w:val="Normal"/>
        <w:rPr/>
      </w:pPr>
      <w:r>
        <w:rPr/>
        <w:t>6. ST2 ERS</w:t>
      </w:r>
      <w:r>
        <w:rPr/>
        <w:t>原公告，</w:t>
      </w:r>
      <w:r>
        <w:rPr/>
        <w:t>2026-09-05</w:t>
      </w:r>
      <w:r>
        <w:rPr/>
        <w:t>：</w:t>
      </w:r>
      <w:r>
        <w:rPr/>
        <w:t>https://static.cninfo.com.cn/finalpage/2026-09-05/1225549521.PDF</w:t>
      </w:r>
    </w:p>
    <w:p>
      <w:pPr>
        <w:pStyle w:val="Normal"/>
        <w:rPr/>
      </w:pPr>
      <w:r>
        <w:rPr/>
        <w:t>7. 2821</w:t>
      </w:r>
      <w:r>
        <w:rPr/>
        <w:t>宫颈早期，</w:t>
      </w:r>
      <w:r>
        <w:rPr/>
        <w:t>2026-06-19</w:t>
      </w:r>
      <w:r>
        <w:rPr/>
        <w:t>：</w:t>
      </w:r>
      <w:r>
        <w:rPr/>
        <w:t>https://static.cninfo.com.cn/finalpage/2026-06-19/1225379372.PDF</w:t>
      </w:r>
    </w:p>
    <w:p>
      <w:pPr>
        <w:pStyle w:val="Normal"/>
        <w:rPr/>
      </w:pPr>
      <w:r>
        <w:rPr/>
        <w:t>8. H</w:t>
      </w:r>
      <w:r>
        <w:rPr/>
        <w:t>股发行价，</w:t>
      </w:r>
      <w:r>
        <w:rPr/>
        <w:t>2026-04-25</w:t>
      </w:r>
      <w:r>
        <w:rPr/>
        <w:t>：</w:t>
      </w:r>
      <w:r>
        <w:rPr/>
        <w:t>https://static.cninfo.com.cn/finalpage/2026-04-25/1225180088.PDF</w:t>
      </w:r>
    </w:p>
    <w:p>
      <w:pPr>
        <w:pStyle w:val="Normal"/>
        <w:rPr/>
      </w:pPr>
      <w:r>
        <w:rPr/>
        <w:t xml:space="preserve">9. </w:t>
      </w:r>
      <w:r>
        <w:rPr/>
        <w:t>募集资金，</w:t>
      </w:r>
      <w:r>
        <w:rPr/>
        <w:t>2026-08-31</w:t>
      </w:r>
      <w:r>
        <w:rPr/>
        <w:t>：</w:t>
      </w:r>
      <w:r>
        <w:rPr/>
        <w:t>https://static.cninfo.com.cn/finalpage/2026-08-31/1225534193.PDF</w:t>
      </w:r>
    </w:p>
    <w:p>
      <w:pPr>
        <w:pStyle w:val="Normal"/>
        <w:rPr/>
      </w:pPr>
      <w:r>
        <w:rPr/>
        <w:t xml:space="preserve">10. </w:t>
      </w:r>
      <w:r>
        <w:rPr/>
        <w:t>限售流通，</w:t>
      </w:r>
      <w:r>
        <w:rPr/>
        <w:t>2026-06-26</w:t>
      </w:r>
      <w:r>
        <w:rPr/>
        <w:t>：</w:t>
      </w:r>
      <w:r>
        <w:rPr/>
        <w:t>https://static.cninfo.com.cn/finalpage/2026-06-26/1225388708.PDF</w:t>
      </w:r>
    </w:p>
    <w:p>
      <w:pPr>
        <w:pStyle w:val="Normal"/>
        <w:rPr/>
      </w:pPr>
      <w:r>
        <w:rPr/>
        <w:t xml:space="preserve">11. </w:t>
      </w:r>
      <w:r>
        <w:rPr/>
        <w:t>债务提案，</w:t>
      </w:r>
      <w:r>
        <w:rPr/>
        <w:t>2026-05-07</w:t>
      </w:r>
      <w:r>
        <w:rPr/>
        <w:t>：</w:t>
      </w:r>
      <w:r>
        <w:rPr/>
        <w:t>https://static.cninfo.com.cn/finalpage/2026-05-07/1225279030.PDF</w:t>
      </w:r>
    </w:p>
    <w:p>
      <w:pPr>
        <w:pStyle w:val="Normal"/>
        <w:rPr/>
      </w:pPr>
      <w:r>
        <w:rPr/>
        <w:t>12. DISC</w:t>
      </w:r>
      <w:r>
        <w:rPr/>
        <w:t>原官网</w:t>
      </w:r>
      <w:r>
        <w:rPr/>
        <w:t>PV</w:t>
      </w:r>
      <w:r>
        <w:rPr/>
        <w:t>初读，</w:t>
      </w:r>
      <w:r>
        <w:rPr/>
        <w:t>2026-09-09</w:t>
      </w:r>
      <w:r>
        <w:rPr/>
        <w:t>：</w:t>
      </w:r>
      <w:r>
        <w:rPr/>
        <w:t>https://ir.discmedicine.com/news-releases/news-release-details/disc-medicine-presents-initial-results-restore-pv-phase-2-trial</w:t>
      </w:r>
    </w:p>
    <w:p>
      <w:pPr>
        <w:pStyle w:val="Normal"/>
        <w:rPr/>
      </w:pPr>
      <w:r>
        <w:rPr/>
        <w:t>13. TNBC</w:t>
      </w:r>
      <w:r>
        <w:rPr/>
        <w:t>会议计划，</w:t>
      </w:r>
      <w:r>
        <w:rPr/>
        <w:t>2026-07-20</w:t>
      </w:r>
      <w:r>
        <w:rPr/>
        <w:t>，</w:t>
      </w:r>
      <w:r>
        <w:rPr/>
        <w:t>10/26</w:t>
      </w:r>
      <w:r>
        <w:rPr/>
        <w:t>报告：</w:t>
      </w:r>
      <w:r>
        <w:rPr/>
        <w:t>https://www.mabwell.com/en/news_info/id-240.html</w:t>
      </w:r>
    </w:p>
    <w:p>
      <w:pPr>
        <w:pStyle w:val="Normal"/>
        <w:rPr/>
      </w:pPr>
      <w:r>
        <w:rPr/>
        <w:t xml:space="preserve">14. </w:t>
      </w:r>
      <w:r>
        <w:rPr/>
        <w:t>宫颈会议计划，</w:t>
      </w:r>
      <w:r>
        <w:rPr/>
        <w:t>2026-09-29</w:t>
      </w:r>
      <w:r>
        <w:rPr/>
        <w:t>，</w:t>
      </w:r>
      <w:r>
        <w:rPr/>
        <w:t>12/6</w:t>
      </w:r>
      <w:r>
        <w:rPr/>
        <w:t>报告：</w:t>
      </w:r>
      <w:r>
        <w:rPr/>
        <w:t>https://www.mabwell.com/en/news_info/id-245.html</w:t>
      </w:r>
    </w:p>
    <w:p>
      <w:pPr>
        <w:pStyle w:val="Normal"/>
        <w:rPr/>
      </w:pPr>
      <w:r>
        <w:rPr/>
        <w:t xml:space="preserve">15. </w:t>
      </w:r>
      <w:r>
        <w:rPr/>
        <w:t>双源价格与复权</w:t>
      </w:r>
      <w:r>
        <w:rPr/>
        <w:t>/</w:t>
      </w:r>
      <w:r>
        <w:rPr/>
        <w:t>修复记录：</w:t>
      </w:r>
      <w:r>
        <w:rPr/>
        <w:t>data/market_snapshot_locked.json</w:t>
      </w:r>
      <w:r>
        <w:rPr/>
        <w:t>、</w:t>
      </w:r>
      <w:r>
        <w:rPr/>
        <w:t>data/history/S002.json</w:t>
      </w:r>
      <w:r>
        <w:rPr/>
        <w:t>；模型</w:t>
      </w:r>
      <w:r>
        <w:rPr/>
        <w:t>data/mabwell_model.json</w:t>
      </w:r>
      <w:r>
        <w:rPr/>
        <w:t>；核验</w:t>
      </w:r>
      <w:r>
        <w:rPr/>
        <w:t>qa/mabwell_qa.json</w:t>
      </w:r>
      <w:r>
        <w:rPr/>
        <w:t>。</w:t>
      </w:r>
      <w:r>
        <w:br w:type="page"/>
      </w:r>
    </w:p>
    <w:p>
      <w:pPr>
        <w:pStyle w:val="Heading1"/>
        <w:spacing w:before="0" w:after="0"/>
        <w:rPr/>
      </w:pPr>
      <w:bookmarkStart w:id="2" w:name="__RefHeading___Toc59279_1364803659"/>
      <w:bookmarkEnd w:id="2"/>
      <w:r>
        <w:rPr>
          <w:color w:val="000000"/>
        </w:rPr>
        <w:t xml:space="preserve">映恩生物 </w:t>
      </w:r>
      <w:r>
        <w:rPr>
          <w:color w:val="000000"/>
        </w:rPr>
        <w:t>B 09606 HK</w:t>
      </w:r>
    </w:p>
    <w:p>
      <w:pPr>
        <w:pStyle w:val="Normal"/>
        <w:rPr/>
      </w:pPr>
      <w:r>
        <w:rPr/>
        <w:t xml:space="preserve">09606.HK </w:t>
      </w:r>
      <w:r>
        <w:rPr/>
        <w:t xml:space="preserve">现价 </w:t>
      </w:r>
      <w:r>
        <w:rPr/>
        <w:t>182.70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101.15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-44.64%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-44.64%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85.99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-52.93%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-52.93%</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110.87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-39.31%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-39.31%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142.80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-21.84%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-21.84%</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27.41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125.13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-31.51%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328.87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151.64HKD</w:t>
      </w:r>
      <w:r>
        <w:rPr/>
        <w:t>，期望股价回报</w:t>
      </w:r>
      <w:r>
        <w:rPr/>
        <w:t>-17.00%</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101.15</w:t>
              <w:br/>
              <w:t>-44.64%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465.35</w:t>
              <w:br/>
              <w:t>+154.71%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85.99</w:t>
              <w:br/>
              <w:t>-52.93%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650.32</w:t>
              <w:br/>
              <w:t>+255.95%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110.87</w:t>
              <w:br/>
              <w:t>-39.31%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801.84</w:t>
              <w:br/>
              <w:t>+338.88%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-15.34%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142.80</w:t>
              <w:br/>
              <w:t>-21.84%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987.80</w:t>
              <w:br/>
              <w:t>+440.67%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-4.81%</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-44.64%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-41.87%</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-55.29%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-52.93%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-50.58%</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-42.35%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-39.31%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-36.28%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-25.75%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-21.84%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-17.93%</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日香港收盘；</w:t>
      </w:r>
      <w:r>
        <w:rPr/>
        <w:t>09606.HK</w:t>
      </w:r>
      <w:r>
        <w:rPr/>
        <w:t>，</w:t>
      </w:r>
      <w:r>
        <w:rPr/>
        <w:t>I020 / S024</w:t>
      </w:r>
      <w:r>
        <w:rPr/>
        <w:t>；现价</w:t>
      </w:r>
      <w:r>
        <w:rPr/>
        <w:t>182.70</w:t>
      </w:r>
      <w:r>
        <w:rPr/>
        <w:t>港元。资料截止该日收盘前，</w:t>
      </w:r>
      <w:r>
        <w:rPr/>
        <w:t>10</w:t>
      </w:r>
      <w:r>
        <w:rPr/>
        <w:t>月</w:t>
      </w:r>
      <w:r>
        <w:rPr/>
        <w:t>9</w:t>
      </w:r>
      <w:r>
        <w:rPr/>
        <w:t>日</w:t>
      </w:r>
      <w:r>
        <w:rPr/>
        <w:t>19:32</w:t>
      </w:r>
      <w:r>
        <w:rPr/>
        <w:t>的更新申报稿单列而不用于重估。模型</w:t>
      </w:r>
      <w:r>
        <w:rPr/>
        <w:t>duality-v2-equityRewards-noCashSubstitute-netRights</w:t>
      </w:r>
      <w:r>
        <w:rPr/>
        <w:t>。一年实际目标</w:t>
      </w:r>
      <w:r>
        <w:rPr/>
        <w:t>2027</w:t>
      </w:r>
      <w:r>
        <w:rPr/>
        <w:t>年</w:t>
      </w:r>
      <w:r>
        <w:rPr/>
        <w:t>10</w:t>
      </w:r>
      <w:r>
        <w:rPr/>
        <w:t>月</w:t>
      </w:r>
      <w:r>
        <w:rPr/>
        <w:t>7</w:t>
      </w:r>
      <w:r>
        <w:rPr/>
        <w:t>日，</w:t>
      </w:r>
      <w:r>
        <w:rPr/>
        <w:t>10</w:t>
      </w:r>
      <w:r>
        <w:rPr/>
        <w:t>月</w:t>
      </w:r>
      <w:r>
        <w:rPr/>
        <w:t>8</w:t>
      </w:r>
      <w:r>
        <w:rPr/>
        <w:t>日重阳节休市且</w:t>
      </w:r>
      <w:r>
        <w:rPr/>
        <w:t>10</w:t>
      </w:r>
      <w:r>
        <w:rPr/>
        <w:t>月</w:t>
      </w:r>
      <w:r>
        <w:rPr/>
        <w:t>9</w:t>
      </w:r>
      <w:r>
        <w:rPr/>
        <w:t>日周末，现金折现采用实际日期。以下正文不把表格、标题和来源计入有效汉字。</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项目</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半年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一年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三年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五年</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得分</w:t>
            </w:r>
            <w:r>
              <w:rPr>
                <w:rFonts w:eastAsia="微软雅黑" w:ascii="微软雅黑" w:hAnsi="微软雅黑"/>
                <w:sz w:val="17"/>
              </w:rPr>
              <w:t>/100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66.2</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悲观目标</w:t>
            </w:r>
            <w:r>
              <w:rPr>
                <w:rFonts w:eastAsia="微软雅黑" w:ascii="微软雅黑" w:hAnsi="微软雅黑"/>
                <w:sz w:val="17"/>
              </w:rPr>
              <w:t>HKD</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基准目标</w:t>
            </w:r>
            <w:r>
              <w:rPr>
                <w:rFonts w:eastAsia="微软雅黑" w:ascii="微软雅黑" w:hAnsi="微软雅黑"/>
                <w:sz w:val="17"/>
              </w:rPr>
              <w:t>HKD</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101.1487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85.9913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110.8721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142.8035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乐观目标</w:t>
            </w:r>
            <w:r>
              <w:rPr>
                <w:rFonts w:eastAsia="微软雅黑" w:ascii="微软雅黑" w:hAnsi="微软雅黑"/>
                <w:sz w:val="17"/>
              </w:rPr>
              <w:t>HKD</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465.3503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650.3237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801.8364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987.8015</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基准股价及总回报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44.64%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52.93%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39.31%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21.84%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基准三</w:t>
            </w:r>
            <w:r>
              <w:rPr>
                <w:rFonts w:eastAsia="微软雅黑" w:ascii="微软雅黑" w:hAnsi="微软雅黑"/>
                <w:sz w:val="17"/>
              </w:rPr>
              <w:t>/</w:t>
            </w:r>
            <w:r>
              <w:rPr>
                <w:rFonts w:ascii="微软雅黑" w:hAnsi="微软雅黑" w:eastAsia="微软雅黑"/>
                <w:sz w:val="17"/>
              </w:rPr>
              <w:t>五年年化</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15.34%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4.81%</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五年内累计股息</w:t>
            </w:r>
            <w:r>
              <w:rPr>
                <w:rFonts w:eastAsia="微软雅黑" w:ascii="微软雅黑" w:hAnsi="微软雅黑"/>
                <w:sz w:val="17"/>
              </w:rPr>
              <w:t>HKD</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bl>
    <w:p>
      <w:pPr>
        <w:pStyle w:val="Normal"/>
        <w:rPr/>
      </w:pPr>
      <w:r>
        <w:rPr/>
      </w:r>
    </w:p>
    <w:p>
      <w:pPr>
        <w:pStyle w:val="Normal"/>
        <w:rPr/>
      </w:pPr>
      <w:r>
        <w:rPr/>
        <w:t>映恩属于有强临床催化剂的进取观察标的，当前价格下暂不列为最优核心配置。公司拥有接近注册的</w:t>
      </w:r>
      <w:r>
        <w:rPr/>
        <w:t>HER2</w:t>
      </w:r>
      <w:r>
        <w:rPr/>
        <w:t>资产、进入全球三期的</w:t>
      </w:r>
      <w:r>
        <w:rPr/>
        <w:t>B7-H3</w:t>
      </w:r>
      <w:r>
        <w:rPr/>
        <w:t>资产以及多个海外合作伙伴，经营质量和行业空间评分较高。但每股价值取决于未公开的美国净利润分担、后期临床胜率、持续研发与额外融资；这些条件尚不足以支持用乐观峰值作为基准价格。半年重点观察全球乳腺癌数据和趋势修复，一年需看到药品批准及真实资金，三至五年才逐渐进入多个产品的经营兑现窗口。</w:t>
      </w:r>
    </w:p>
    <w:p>
      <w:pPr>
        <w:pStyle w:val="Normal"/>
        <w:rPr/>
      </w:pPr>
      <w:r>
        <w:rPr/>
        <w:t>基准价格低于现价，并不表示临床资产没有价值，而是把完整研发成本和未来股数放回同一模型后，现有股份可取得的现金较有限。乐观情景达到很高目标，需要多项产品在国际市场共同成功、早期进入较大适应症、维持较高净经济并以有利价格融资，不能解释为某一临床数据优异即可获得数倍回报。情景是条件推演，权重属于研究判断，不等同于成功概率或统计置信区间。</w:t>
      </w:r>
    </w:p>
    <w:p>
      <w:pPr>
        <w:pStyle w:val="Normal"/>
        <w:rPr/>
      </w:pPr>
      <w:r>
        <w:rPr/>
        <w:t>推荐结论成立条件是主要</w:t>
      </w:r>
      <w:r>
        <w:rPr/>
        <w:t>HER2</w:t>
      </w:r>
      <w:r>
        <w:rPr/>
        <w:t>研究取得具有临床意义的疗效和安全性、美国</w:t>
      </w:r>
      <w:r>
        <w:rPr/>
        <w:t>DB-1311</w:t>
      </w:r>
      <w:r>
        <w:rPr/>
        <w:t>合同条款最终可承担、资本能够在预算价格和时间附近募集、完整研发预算受控，以及合作收入逐渐转为可持续许可和药品净现金。如果这些条件获实证改善，目标应上修；如果关键对照试验失败、美国费用高于预算、融资取消或核心市场竞争迫使净价格下降，当前评分仍需下调。证据可信度为中，财务与已公布试验状态有原始文件，未来分成、价格、融资和终端份额存在重要假设。</w:t>
      </w:r>
    </w:p>
    <w:p>
      <w:pPr>
        <w:pStyle w:val="Heading2"/>
        <w:rPr/>
      </w:pPr>
      <w:r>
        <w:rPr>
          <w:color w:val="000000"/>
        </w:rPr>
        <w:t>一 发行人业务与收入性质</w:t>
      </w:r>
    </w:p>
    <w:p>
      <w:pPr>
        <w:pStyle w:val="Normal"/>
        <w:rPr/>
      </w:pPr>
      <w:r>
        <w:rPr/>
        <w:t>映恩是一家以抗体偶联药物为核心的全球化研发公司。它不是已有稳定药品销售的大型制药企业，截至研究截止日尚无产品获批产生持续商业销售。其现金来源主要是授权首付、开发监管商业里程碑、合作研发费用补偿及股权融资；收入确认要遵守合作履约安排，因此一个半年度的营业收入既不能直接代表患者需求，也不能简单年化成稳定销售。理解这一结构是估值、现金跑道和公司比较的前提。</w:t>
      </w:r>
    </w:p>
    <w:p>
      <w:pPr>
        <w:pStyle w:val="Normal"/>
        <w:rPr/>
      </w:pPr>
      <w:r>
        <w:rPr/>
        <w:t>平台的业务价值在于将抗体识别、连接子稳定性、载荷释放及制造工艺组合成候选药物，并通过临床执行验证它们能够转化为治疗窗口。公司形成</w:t>
      </w:r>
      <w:r>
        <w:rPr/>
        <w:t>DITAC</w:t>
      </w:r>
      <w:r>
        <w:rPr/>
        <w:t>、</w:t>
      </w:r>
      <w:r>
        <w:rPr/>
        <w:t>DIBAC</w:t>
      </w:r>
      <w:r>
        <w:rPr/>
        <w:t>、</w:t>
      </w:r>
      <w:r>
        <w:rPr/>
        <w:t>DIMAC</w:t>
      </w:r>
      <w:r>
        <w:rPr/>
        <w:t>和</w:t>
      </w:r>
      <w:r>
        <w:rPr/>
        <w:t>DUPAC</w:t>
      </w:r>
      <w:r>
        <w:rPr/>
        <w:t>四类平台，分别涉及较传统的单靶点</w:t>
      </w:r>
      <w:r>
        <w:rPr/>
        <w:t>ADC</w:t>
      </w:r>
      <w:r>
        <w:rPr/>
        <w:t>、双特异性抗体</w:t>
      </w:r>
      <w:r>
        <w:rPr/>
        <w:t>ADC</w:t>
      </w:r>
      <w:r>
        <w:rPr/>
        <w:t>、自身免疫调节</w:t>
      </w:r>
      <w:r>
        <w:rPr/>
        <w:t>ADC</w:t>
      </w:r>
      <w:r>
        <w:rPr/>
        <w:t>以及新机制载荷。平台可以重复使用部分研发知识和生产经验，但每个分子都仍有靶点、组织分布、毒性和适应症差异，不能因平台成功过一次而把全部新药概率设为相同高值。</w:t>
      </w:r>
    </w:p>
    <w:p>
      <w:pPr>
        <w:pStyle w:val="Normal"/>
        <w:rPr/>
      </w:pPr>
      <w:r>
        <w:rPr/>
        <w:t>DITAC</w:t>
      </w:r>
      <w:r>
        <w:rPr/>
        <w:t>的核心经济问题并非“有抗体就能做</w:t>
      </w:r>
      <w:r>
        <w:rPr/>
        <w:t>ADC”</w:t>
      </w:r>
      <w:r>
        <w:rPr/>
        <w:t>，而是载荷能否在血液中稳定、进入肿瘤后有效释放，抗体和靶点能否支持充分内吞，以及邻近正常组织暴露能否受控。</w:t>
      </w:r>
      <w:r>
        <w:rPr/>
        <w:t>DB-1303</w:t>
      </w:r>
      <w:r>
        <w:rPr/>
        <w:t>、</w:t>
      </w:r>
      <w:r>
        <w:rPr/>
        <w:t>DB-1311</w:t>
      </w:r>
      <w:r>
        <w:rPr/>
        <w:t>、</w:t>
      </w:r>
      <w:r>
        <w:rPr/>
        <w:t>DB-1310</w:t>
      </w:r>
      <w:r>
        <w:rPr/>
        <w:t>和</w:t>
      </w:r>
      <w:r>
        <w:rPr/>
        <w:t>DB-1305</w:t>
      </w:r>
      <w:r>
        <w:rPr/>
        <w:t>均在这一技术背景下形成差异化产品。不同靶点对应不同组织风险，且同类拓扑异构酶载荷可能存在交叉耐药，平台中的共享特性会产生资产相关性，而非天然分散全部风险。</w:t>
      </w:r>
    </w:p>
    <w:p>
      <w:pPr>
        <w:pStyle w:val="Normal"/>
        <w:rPr/>
      </w:pPr>
      <w:r>
        <w:rPr/>
        <w:t>DIBAC</w:t>
      </w:r>
      <w:r>
        <w:rPr/>
        <w:t>通过双特异性抗体增加识别或功能，可提高肿瘤选择性并覆盖异质表达，但双抗复杂度也会影响制造、药代动力学和安全窗口。双靶点不意味着疗效自动翻倍，它可能带来更复杂的剂量确定、非肿瘤组织结合及两个靶点的共同耐药问题。</w:t>
      </w:r>
      <w:r>
        <w:rPr/>
        <w:t>DB-1418</w:t>
      </w:r>
      <w:r>
        <w:rPr/>
        <w:t>和</w:t>
      </w:r>
      <w:r>
        <w:rPr/>
        <w:t>DB-1419</w:t>
      </w:r>
      <w:r>
        <w:rPr/>
        <w:t>都需要独立的人体证据；投资者应对比治疗窗和长期控制，而非仅将技术名称转换为更高估值倍数。</w:t>
      </w:r>
    </w:p>
    <w:p>
      <w:pPr>
        <w:pStyle w:val="Normal"/>
        <w:rPr/>
      </w:pPr>
      <w:r>
        <w:rPr/>
        <w:t>DIMAC</w:t>
      </w:r>
      <w:r>
        <w:rPr/>
        <w:t>把</w:t>
      </w:r>
      <w:r>
        <w:rPr/>
        <w:t>ADC</w:t>
      </w:r>
      <w:r>
        <w:rPr/>
        <w:t>工具用于自身免疫，</w:t>
      </w:r>
      <w:r>
        <w:rPr/>
        <w:t>DB-2304</w:t>
      </w:r>
      <w:r>
        <w:rPr/>
        <w:t>通过</w:t>
      </w:r>
      <w:r>
        <w:rPr/>
        <w:t>BDCA2</w:t>
      </w:r>
      <w:r>
        <w:rPr/>
        <w:t>相关机制探索狼疮。自身免疫病通常有长期给药需求，患者预期寿命及可用疗法与晚期肿瘤差异很大，允许的长期毒性更低。肿瘤载荷在重症后线能够接受的副作用，不必然适用于年轻患者多年用药。若在健康志愿者中看到靶点结合、药代线性与短期耐受性，仍不能直接推断疾病缓解、减少激素或长期感染风险。</w:t>
      </w:r>
    </w:p>
    <w:p>
      <w:pPr>
        <w:pStyle w:val="Normal"/>
        <w:rPr/>
      </w:pPr>
      <w:r>
        <w:rPr/>
        <w:t>DUPAC</w:t>
      </w:r>
      <w:r>
        <w:rPr/>
        <w:t>应按公司原始公告理解为独特新机制载荷平台。其</w:t>
      </w:r>
      <w:r>
        <w:rPr/>
        <w:t>DUP5</w:t>
      </w:r>
      <w:r>
        <w:rPr/>
        <w:t>、</w:t>
      </w:r>
      <w:r>
        <w:rPr/>
        <w:t>DUP9</w:t>
      </w:r>
      <w:r>
        <w:rPr/>
        <w:t>和</w:t>
      </w:r>
      <w:r>
        <w:rPr/>
        <w:t>DUP10</w:t>
      </w:r>
      <w:r>
        <w:rPr/>
        <w:t>涉及不同抗肿瘤机制，目标包括已有拓扑异构酶载荷不敏感的肿瘤。部分媒体将名称概括为双载荷，研究没有据此认定所有产品必然使用双载荷。官方定义是独特载荷及新机制家族，临床前模型和非人灵长类耐受性支持研发理由，但截至截止日不能替代人体治疗证据。</w:t>
      </w:r>
    </w:p>
    <w:p>
      <w:pPr>
        <w:pStyle w:val="Normal"/>
        <w:rPr/>
      </w:pPr>
      <w:r>
        <w:rPr/>
        <w:t>公司的研发组织已覆盖约二十个国家、累计入组超过三千五百名患者，约一半来自海外。国际入组有助于数据在主要监管地区的可接受性，也增加试验执行、物流、质量管理和费用负担。海外患者占比较高能减少单一地区外推的不确定性，却不代表监管必然批准，更不证明每个项目能获相同商业份额。每项注册仍取决于适应症设计、对照标准、结果完整性与生产审评。</w:t>
      </w:r>
    </w:p>
    <w:p>
      <w:pPr>
        <w:pStyle w:val="Normal"/>
        <w:rPr/>
      </w:pPr>
      <w:r>
        <w:rPr/>
        <w:t>研发资产合作模式使映恩能够较早收回现金，并借伙伴承担部分后期全球开发。另一方面，出海交易转让了部分长期经济权，药物的全球销售额不等同于映恩的收入。估值必须在各地区拆出自销、净许可、利润分成及由谁承担研发。大量合作交易总额只有部分可能成为现金，不能把超过七十亿美元的条件上限整体加进市值模型，也不能将伙伴终端销售再次算为本公司销售。</w:t>
      </w:r>
    </w:p>
    <w:p>
      <w:pPr>
        <w:pStyle w:val="Heading2"/>
        <w:rPr/>
      </w:pPr>
      <w:r>
        <w:rPr>
          <w:color w:val="000000"/>
        </w:rPr>
        <w:t xml:space="preserve">二 </w:t>
      </w:r>
      <w:r>
        <w:rPr>
          <w:color w:val="000000"/>
        </w:rPr>
        <w:t xml:space="preserve">DB 1303 </w:t>
      </w:r>
      <w:r>
        <w:rPr>
          <w:color w:val="000000"/>
        </w:rPr>
        <w:t>注册较近 但不同适应症证据不能混同</w:t>
      </w:r>
    </w:p>
    <w:p>
      <w:pPr>
        <w:pStyle w:val="Normal"/>
        <w:rPr/>
      </w:pPr>
      <w:r>
        <w:rPr/>
        <w:t>DB-1303</w:t>
      </w:r>
      <w:r>
        <w:rPr/>
        <w:t>又称</w:t>
      </w:r>
      <w:r>
        <w:rPr/>
        <w:t>trastuzumab pamirtecan</w:t>
      </w:r>
      <w:r>
        <w:rPr/>
        <w:t>，是</w:t>
      </w:r>
      <w:r>
        <w:rPr/>
        <w:t>HER2</w:t>
      </w:r>
      <w:r>
        <w:rPr/>
        <w:t>靶向</w:t>
      </w:r>
      <w:r>
        <w:rPr/>
        <w:t>ADC</w:t>
      </w:r>
      <w:r>
        <w:rPr/>
        <w:t>，主要评价乳腺癌和子宫内膜癌。</w:t>
      </w:r>
      <w:r>
        <w:rPr/>
        <w:t>HER2</w:t>
      </w:r>
      <w:r>
        <w:rPr/>
        <w:t>是经验证的靶点，意味着科学路线已有商业可行性，也意味着竞争标准非常高。抗体、连接子及载荷希望改善治疗窗和旁观者效应，但这种设计优点必须在真实对照研究中体现为患者获益。公司在中国</w:t>
      </w:r>
      <w:r>
        <w:rPr/>
        <w:t>HER2</w:t>
      </w:r>
      <w:r>
        <w:rPr/>
        <w:t>阳性乳腺癌的进展，是当前最接近药品商业化的资产依据。</w:t>
      </w:r>
    </w:p>
    <w:p>
      <w:pPr>
        <w:pStyle w:val="Normal"/>
        <w:rPr/>
      </w:pPr>
      <w:r>
        <w:rPr/>
        <w:t>中国研究</w:t>
      </w:r>
      <w:r>
        <w:rPr/>
        <w:t>NCT06265428</w:t>
      </w:r>
      <w:r>
        <w:rPr/>
        <w:t>是一项多中心、开放标签、随机三期试验，对比</w:t>
      </w:r>
      <w:r>
        <w:rPr/>
        <w:t>DB-1303</w:t>
      </w:r>
      <w:r>
        <w:rPr/>
        <w:t>与</w:t>
      </w:r>
      <w:r>
        <w:rPr/>
        <w:t>T-DM1</w:t>
      </w:r>
      <w:r>
        <w:rPr/>
        <w:t>，用于既往接受曲妥珠单抗及紫杉醇的不可切除或转移性</w:t>
      </w:r>
      <w:r>
        <w:rPr/>
        <w:t>HER2</w:t>
      </w:r>
      <w:r>
        <w:rPr/>
        <w:t>阳性乳腺癌。二〇二五年九月五日独立数据监察委员会确认研究达到由盲态独立中心审阅评估的无进展生存期主要终点。二〇二六年四月中国上市许可申请获受理。这是比早期单臂缓解率更强的证据，但受理并非批准，达到主要终点也不等于全部长期安全和生存问题已经解决。</w:t>
      </w:r>
    </w:p>
    <w:p>
      <w:pPr>
        <w:pStyle w:val="Normal"/>
        <w:rPr/>
      </w:pPr>
      <w:r>
        <w:rPr/>
        <w:t>评价该研究时应关注风险比、绝对无进展获益、随访成熟度、亚组、停药减量和生存趋势。公开文件确认了终点达成，本研究未填造尚未取得的风险比及全部详细表格。</w:t>
      </w:r>
      <w:r>
        <w:rPr/>
        <w:t>T-DM1</w:t>
      </w:r>
      <w:r>
        <w:rPr/>
        <w:t>作为对照反映试验设计，但临床市场可能面对更强的现有</w:t>
      </w:r>
      <w:r>
        <w:rPr/>
        <w:t>HER2ADC</w:t>
      </w:r>
      <w:r>
        <w:rPr/>
        <w:t>；相比</w:t>
      </w:r>
      <w:r>
        <w:rPr/>
        <w:t>T-DM1</w:t>
      </w:r>
      <w:r>
        <w:rPr/>
        <w:t>有效，不自动证明相比所有当前疗法更优。审批后治疗指南、医保净价和医生使用顺序仍影响市场份额。</w:t>
      </w:r>
    </w:p>
    <w:p>
      <w:pPr>
        <w:pStyle w:val="Normal"/>
        <w:rPr/>
      </w:pPr>
      <w:r>
        <w:rPr/>
        <w:t>全球</w:t>
      </w:r>
      <w:r>
        <w:rPr/>
        <w:t>HER2</w:t>
      </w:r>
      <w:r>
        <w:rPr/>
        <w:t>低表达乳腺癌研究</w:t>
      </w:r>
      <w:r>
        <w:rPr/>
        <w:t>DYNASTY-Breast02</w:t>
      </w:r>
      <w:r>
        <w:rPr/>
        <w:t>即</w:t>
      </w:r>
      <w:r>
        <w:rPr/>
        <w:t>NCT06018337</w:t>
      </w:r>
      <w:r>
        <w:rPr/>
        <w:t>，针对未接受化疗、内分泌治疗后进展的</w:t>
      </w:r>
      <w:r>
        <w:rPr/>
        <w:t>HR</w:t>
      </w:r>
      <w:r>
        <w:rPr/>
        <w:t>阳性</w:t>
      </w:r>
      <w:r>
        <w:rPr/>
        <w:t>HER2</w:t>
      </w:r>
      <w:r>
        <w:rPr/>
        <w:t>低表达晚期患者，以研究者选择的化疗为对照，主要终点是无进展生存期。公司中报说明二〇二六年二月完成入组，并基于事件累积预计第四季度中期数据。这构成年底及半年较重要的真实催化来源，研究没有把预计季度写成保证公布日期，更没有预先把结果当作阳性。</w:t>
      </w:r>
    </w:p>
    <w:p>
      <w:pPr>
        <w:pStyle w:val="Normal"/>
        <w:rPr/>
      </w:pPr>
      <w:r>
        <w:rPr/>
        <w:t>HER2</w:t>
      </w:r>
      <w:r>
        <w:rPr/>
        <w:t>低表达不是一个传统独立分子亚型，而是跨越激素受体状态的表达分层。潜在患者规模可以很大，但这也会吸引更多竞争者及改善现有治疗。药物要进入未化疗人群，治疗窗、生活质量和长期获益要求较高。即使有显著无进展结果，如果后续生存、肺毒性或长期剂量维持存在问题，商业净份额和注册顺序可能低于乐观估计。低表达和阳性患者收入不能把所有乳腺癌人数重复计算。</w:t>
      </w:r>
    </w:p>
    <w:p>
      <w:pPr>
        <w:pStyle w:val="Normal"/>
        <w:rPr/>
      </w:pPr>
      <w:r>
        <w:rPr/>
        <w:t>子宫内膜癌是另一条路径。全球</w:t>
      </w:r>
      <w:r>
        <w:rPr/>
        <w:t>NCT05150691</w:t>
      </w:r>
      <w:r>
        <w:rPr/>
        <w:t>的一期二期队列包含具有</w:t>
      </w:r>
      <w:r>
        <w:rPr/>
        <w:t>HER2</w:t>
      </w:r>
      <w:r>
        <w:rPr/>
        <w:t>表达的晚期患者，二〇二六年</w:t>
      </w:r>
      <w:r>
        <w:rPr/>
        <w:t>SGO</w:t>
      </w:r>
      <w:r>
        <w:rPr/>
        <w:t>及妇科肿瘤会议公布数据。九月三十日申报稿记录，在一百四十五例既往治疗后进展患者中，中位无进展生存约八个月；经独立审查确认的全人群缓解率百分之四十四点一，分母一百四十三；既往免疫治疗患者缓解率百分之四十五点九，分母一百零九。分母因具体分析不同，不能统一称一百四十五例全部达到同一结果。</w:t>
      </w:r>
    </w:p>
    <w:p>
      <w:pPr>
        <w:pStyle w:val="Normal"/>
        <w:rPr/>
      </w:pPr>
      <w:r>
        <w:rPr/>
        <w:t>这一队列覆盖</w:t>
      </w:r>
      <w:r>
        <w:rPr/>
        <w:t>HER2</w:t>
      </w:r>
      <w:r>
        <w:rPr/>
        <w:t>一加、二加和三加表达，提供了不同表达水平的早期临床活性。对后线患者而言，缓解持久性和疾病控制具有意义；但单臂研究没有随机对照，基线预后、治疗线数、既往免疫、组织型及评价频率会影响结果。公司所称广泛活性不能被改写为已证明优于现有标准，尤其不能将观察到的生存中位数称为药物导致的生存延长。风险调整应保留进一步确证的要求。</w:t>
      </w:r>
    </w:p>
    <w:p>
      <w:pPr>
        <w:pStyle w:val="Normal"/>
        <w:rPr/>
      </w:pPr>
      <w:r>
        <w:rPr/>
        <w:t>公司和</w:t>
      </w:r>
      <w:r>
        <w:rPr/>
        <w:t>BioNTech</w:t>
      </w:r>
      <w:r>
        <w:rPr/>
        <w:t>表示计划二〇二六年递交有关全球上市许可，并根据乳腺及内膜癌全部数据和监管反馈决定最佳路径。截止日公开计划不等于已提交或已受理的美国申请；中国乳腺癌申请也不能替代美国内膜癌申报。全球</w:t>
      </w:r>
      <w:r>
        <w:rPr/>
        <w:t>NCT06340568</w:t>
      </w:r>
      <w:r>
        <w:rPr/>
        <w:t>是独立三期内膜癌研究，包含约四百八十名患者，不同</w:t>
      </w:r>
      <w:r>
        <w:rPr/>
        <w:t>HER2</w:t>
      </w:r>
      <w:r>
        <w:rPr/>
        <w:t>分层采用无进展或缓解率评价。它可以提供更强证据，但完成、审评及商业化均有时间。</w:t>
      </w:r>
    </w:p>
    <w:p>
      <w:pPr>
        <w:pStyle w:val="Normal"/>
        <w:rPr/>
      </w:pPr>
      <w:r>
        <w:rPr/>
        <w:t>DB-1303</w:t>
      </w:r>
      <w:r>
        <w:rPr/>
        <w:t>与</w:t>
      </w:r>
      <w:r>
        <w:rPr/>
        <w:t>pumitamig</w:t>
      </w:r>
      <w:r>
        <w:rPr/>
        <w:t>即</w:t>
      </w:r>
      <w:r>
        <w:rPr/>
        <w:t>PD-L1×VEGF-A</w:t>
      </w:r>
      <w:r>
        <w:rPr/>
        <w:t>双抗的组合，正在全球</w:t>
      </w:r>
      <w:r>
        <w:rPr/>
        <w:t>NCT06827236</w:t>
      </w:r>
      <w:r>
        <w:rPr/>
        <w:t>中研究。组合希望把</w:t>
      </w:r>
      <w:r>
        <w:rPr/>
        <w:t>ADC</w:t>
      </w:r>
      <w:r>
        <w:rPr/>
        <w:t>杀伤与免疫抗血管作用结合，覆盖更多乳腺癌表达状态。机制合理不等于每种组合可耐受；肺、血液、胃肠和免疫毒性可能叠加，剂量及各成分贡献仍需验证。截止日公司计划在</w:t>
      </w:r>
      <w:r>
        <w:rPr/>
        <w:t>ESMO</w:t>
      </w:r>
      <w:r>
        <w:rPr/>
        <w:t>公布初步数据，本研究不使用会议之后的结果为十月九日价格赋值。</w:t>
      </w:r>
    </w:p>
    <w:p>
      <w:pPr>
        <w:pStyle w:val="Normal"/>
        <w:rPr/>
      </w:pPr>
      <w:r>
        <w:rPr/>
        <w:t>本模型把中国</w:t>
      </w:r>
      <w:r>
        <w:rPr/>
        <w:t>HER2</w:t>
      </w:r>
      <w:r>
        <w:rPr/>
        <w:t>阳性、国内低表达及内膜癌增量、海外乳腺癌净许可和海外内膜癌净许可拆成四组。中国最接近批准的资产基准成功因子较高，全球和新适应症较低。国内收入毛利贡献已预留制造和三生商业化费用预算，海外只估本公司净许可贡献，不计伙伴全部药品销售。各项商业起点是有条件的研究年份，不是公司批准承诺；对中期数据和监管路径的变化必须逐组修订。</w:t>
      </w:r>
    </w:p>
    <w:p>
      <w:pPr>
        <w:pStyle w:val="Heading2"/>
        <w:rPr/>
      </w:pPr>
      <w:r>
        <w:rPr>
          <w:color w:val="000000"/>
        </w:rPr>
        <w:t xml:space="preserve">三 </w:t>
      </w:r>
      <w:r>
        <w:rPr>
          <w:color w:val="000000"/>
        </w:rPr>
        <w:t xml:space="preserve">DB 1311 </w:t>
      </w:r>
      <w:r>
        <w:rPr>
          <w:color w:val="000000"/>
        </w:rPr>
        <w:t>美国权益越大 费用责任也越大</w:t>
      </w:r>
    </w:p>
    <w:p>
      <w:pPr>
        <w:pStyle w:val="Normal"/>
        <w:rPr/>
      </w:pPr>
      <w:r>
        <w:rPr/>
        <w:t>DB-1311</w:t>
      </w:r>
      <w:r>
        <w:rPr/>
        <w:t>又称</w:t>
      </w:r>
      <w:r>
        <w:rPr/>
        <w:t>elfetabart drozuntecan</w:t>
      </w:r>
      <w:r>
        <w:rPr/>
        <w:t>，靶向</w:t>
      </w:r>
      <w:r>
        <w:rPr/>
        <w:t>B7-H3</w:t>
      </w:r>
      <w:r>
        <w:rPr/>
        <w:t>，采用拓扑异构酶抑制载荷。</w:t>
      </w:r>
      <w:r>
        <w:rPr/>
        <w:t>B7-H3</w:t>
      </w:r>
      <w:r>
        <w:rPr/>
        <w:t>在多个实体瘤中表达，潜在应用涉及前列腺、小细胞及非小细胞肺癌、卵巢和宫颈等。广谱表达能产生较大的研发机会，同时需要解决正常组织表达、肿瘤内异质性和治疗窗。药物有效范围由实际患者数据决定，不能把全部实体瘤市场直接视为它的可得收入。</w:t>
      </w:r>
    </w:p>
    <w:p>
      <w:pPr>
        <w:pStyle w:val="Normal"/>
        <w:rPr/>
      </w:pPr>
      <w:r>
        <w:rPr/>
        <w:t>二〇二六年泌尿肿瘤会议更新此前多线治疗的转移性去势抵抗前列腺癌数据。中报写明一百二十九名可评价患者，中位影像学无进展生存十一点三个月，中位总生存二十二点五个月；没有既往</w:t>
      </w:r>
      <w:r>
        <w:rPr/>
        <w:t>Lu-177</w:t>
      </w:r>
      <w:r>
        <w:rPr/>
        <w:t>患者影像学无进展约十三点六个月。五十二名既往</w:t>
      </w:r>
      <w:r>
        <w:rPr/>
        <w:t>Lu-177</w:t>
      </w:r>
      <w:r>
        <w:rPr/>
        <w:t>患者中四十五名可评价，影像学无进展十一点三个月、总生存未达到。各亚组人数和成熟度不同，不能以未达到简单解释为疗效更强。</w:t>
      </w:r>
    </w:p>
    <w:p>
      <w:pPr>
        <w:pStyle w:val="Normal"/>
        <w:rPr/>
      </w:pPr>
      <w:r>
        <w:rPr/>
        <w:t>安全信息中，六毫克每公斤方案一百一十名患者有二十二名出现三级治疗相关不良事件，比例百分之二十，主要见恶心及血液学事件。应区分全部剂量人群与固定剂量人群、治疗相关与治疗期间事件。早期可管理毒性是积极依据，但患者数量和随访不足以排除罕见严重事件。前列腺癌患者可能已有骨髓负担，血液毒性、感染、给药中断和累积治疗对长期获益有实际影响。</w:t>
      </w:r>
    </w:p>
    <w:p>
      <w:pPr>
        <w:pStyle w:val="Normal"/>
        <w:rPr/>
      </w:pPr>
      <w:r>
        <w:rPr/>
        <w:t>该早期研究是非随机队列，不能把十一点三个月与其他研究中位数直接相减称为净延长。既往治疗、患者选择、影像评价、药物暴露和后续治疗均不同。申报稿使用的“延长至”是公司阐述，本研究按观察结果处理。对投资价值更强的下一步，是在预设人群与对照中证明影像学无进展和总生存获益，同时展示生活质量、症状控制及剂量持续性。</w:t>
      </w:r>
    </w:p>
    <w:p>
      <w:pPr>
        <w:pStyle w:val="Normal"/>
        <w:rPr/>
      </w:pPr>
      <w:r>
        <w:rPr/>
        <w:t>NCT07365995</w:t>
      </w:r>
      <w:r>
        <w:rPr/>
        <w:t>是一项全球三期一线转移性去势抵抗前列腺癌试验，二〇二六年五月完成首例给药，以多西他赛联合泼尼松或泼尼松龙等为对照，主要终点包含影像学无进展及总生存。这个进展把资产从探索推进到确证阶段，但一线对照与早期多线治疗人群不同，不能假定试验会重复早期绝对中位数。注册试验需足够事件和随访，基准商业化约二〇三一年，与半年价格主要靠概率重估的性质不同。</w:t>
      </w:r>
    </w:p>
    <w:p>
      <w:pPr>
        <w:pStyle w:val="Normal"/>
        <w:rPr/>
      </w:pPr>
      <w:r>
        <w:rPr/>
        <w:t>肺癌和其他实体瘤方向仍主要是一二期单药或组合。</w:t>
      </w:r>
      <w:r>
        <w:rPr/>
        <w:t>NCT06892548</w:t>
      </w:r>
      <w:r>
        <w:rPr/>
        <w:t>评价与</w:t>
      </w:r>
      <w:r>
        <w:rPr/>
        <w:t>pumitamig</w:t>
      </w:r>
      <w:r>
        <w:rPr/>
        <w:t>在小细胞及非小细胞肺癌中的联合，</w:t>
      </w:r>
      <w:r>
        <w:rPr/>
        <w:t>NCT06953089</w:t>
      </w:r>
      <w:r>
        <w:rPr/>
        <w:t>涉及不同实体瘤及与另一</w:t>
      </w:r>
      <w:r>
        <w:rPr/>
        <w:t>ADC</w:t>
      </w:r>
      <w:r>
        <w:rPr/>
        <w:t>的组合。两药组合可能产生很高早期缓解，但也可能有共同载荷相关毒性、入组选择和无法明确单个成分贡献的问题。尤其双</w:t>
      </w:r>
      <w:r>
        <w:rPr/>
        <w:t>ADC</w:t>
      </w:r>
      <w:r>
        <w:rPr/>
        <w:t>不能把两个完整市场收入简单相加，治疗线和患者往往有重叠，经济模型必须按可持续净份额预算。</w:t>
      </w:r>
    </w:p>
    <w:p>
      <w:pPr>
        <w:pStyle w:val="Normal"/>
        <w:rPr/>
      </w:pPr>
      <w:r>
        <w:rPr/>
        <w:t>美国成本与利润选择权是映恩本章估值最重要的合同细节之一。原</w:t>
      </w:r>
      <w:r>
        <w:rPr/>
        <w:t>BioNTech</w:t>
      </w:r>
      <w:r>
        <w:rPr/>
        <w:t>协议许可全球除中国大陆、香港及澳门的权利，另给予首个</w:t>
      </w:r>
      <w:r>
        <w:rPr/>
        <w:t>DB-1311</w:t>
      </w:r>
      <w:r>
        <w:rPr/>
        <w:t>产品的美国成本利润亏损分享选择权。公司于二〇二六年五月十二日发出书面行权通知，行权后应支付此前归属美国的研发分担，付款后选择权才生效。截止中报发布仍在讨论另订协议细节且未付款，不能称美国权益已无条件完成交割。</w:t>
      </w:r>
    </w:p>
    <w:p>
      <w:pPr>
        <w:pStyle w:val="Normal"/>
        <w:rPr/>
      </w:pPr>
      <w:r>
        <w:rPr/>
        <w:t>上半年已把约二亿九千零六十七万元历史开发分担记为收入抵减，说明会计已反映权利和责任变化。它不是可以无限加回而无需现金的损失，本研究安排在下半年支付一次，并保留对付款延迟、金额变化的核验。五月十二日以后停止</w:t>
      </w:r>
      <w:r>
        <w:rPr/>
        <w:t>DB-1311</w:t>
      </w:r>
      <w:r>
        <w:rPr/>
        <w:t>研发服务收入，自己份额列研发费用，双方代付通过应收应付结算。六月代</w:t>
      </w:r>
      <w:r>
        <w:rPr/>
        <w:t>BioNTech</w:t>
      </w:r>
      <w:r>
        <w:rPr/>
        <w:t>支付约七千零三十万元记应收，亦有共同研发应付，不能把代付总额全部算为本公司最终费用。</w:t>
      </w:r>
    </w:p>
    <w:p>
      <w:pPr>
        <w:pStyle w:val="Normal"/>
        <w:rPr/>
      </w:pPr>
      <w:r>
        <w:rPr/>
        <w:t>公开文件没有给出可核验的美国分担比例，故模型悲观、基准、乐观采用百分之二十五、三十五及四十五的研究参数，而非合同事实。美国收入组是扣伙伴商业成本后的公司净利润贡献代理，不是映恩法定营业收入预测。改变分享比例时，美国净经济和已拆出的美国研发预算共同变化；若只增加分成而保留原费用，会夸大权益价值。模型在基准美国分享由三十五改为二十五或四十五时都同步重新排现金。</w:t>
      </w:r>
    </w:p>
    <w:p>
      <w:pPr>
        <w:pStyle w:val="Normal"/>
        <w:rPr/>
      </w:pPr>
      <w:r>
        <w:rPr/>
        <w:t>美国净经济组分为前列腺和其他肿瘤，非美国非中港澳另计许可净贡献，中港澳自销另外列组。这些地区没有把美国通常许可收入再与利润分享相加，也不把美国全药品销售计两次。本研究没有声称三十五为最可能合同比例，而是用可编辑输入展示信息不足对价格的影响。未来正式协议若公开利润定义、共同推广费、里程碑抵扣、亏损承担或终止权，应先替换这些输入，再重新计算排序。</w:t>
      </w:r>
    </w:p>
    <w:p>
      <w:pPr>
        <w:pStyle w:val="Normal"/>
        <w:rPr/>
      </w:pPr>
      <w:r>
        <w:rPr/>
        <w:t>美国权益扩大意味着映恩可获得更多全球商业成功的回报，也更接近承担大型后期试验和商业亏损。全球前列腺及肺癌确证成本可能很高，资金在成功前已支出，不能按上市成功概率机械缩减完整预算。若合作方向被伙伴调整或资源分配改变，映恩未必控制全球开发速度。这使伙伴实力既是优势也是依赖，评价经营质量应兼顾执行能力和合同控制权。</w:t>
      </w:r>
    </w:p>
    <w:p>
      <w:pPr>
        <w:pStyle w:val="Heading2"/>
        <w:rPr/>
      </w:pPr>
      <w:r>
        <w:rPr>
          <w:color w:val="000000"/>
        </w:rPr>
        <w:t xml:space="preserve">四 </w:t>
      </w:r>
      <w:r>
        <w:rPr>
          <w:color w:val="000000"/>
        </w:rPr>
        <w:t>HER3 TROP2</w:t>
      </w:r>
      <w:r>
        <w:rPr>
          <w:color w:val="000000"/>
        </w:rPr>
        <w:t>与其他临床资产</w:t>
      </w:r>
    </w:p>
    <w:p>
      <w:pPr>
        <w:pStyle w:val="Normal"/>
        <w:rPr/>
      </w:pPr>
      <w:r>
        <w:rPr/>
        <w:t>DB-1310</w:t>
      </w:r>
      <w:r>
        <w:rPr/>
        <w:t>靶向</w:t>
      </w:r>
      <w:r>
        <w:rPr/>
        <w:t>HER3</w:t>
      </w:r>
      <w:r>
        <w:rPr/>
        <w:t>，是公司自留全球权益的重要资产。</w:t>
      </w:r>
      <w:r>
        <w:rPr/>
        <w:t>HER3</w:t>
      </w:r>
      <w:r>
        <w:rPr/>
        <w:t>涉及</w:t>
      </w:r>
      <w:r>
        <w:rPr/>
        <w:t>EGFR</w:t>
      </w:r>
      <w:r>
        <w:rPr/>
        <w:t>及</w:t>
      </w:r>
      <w:r>
        <w:rPr/>
        <w:t>HER2</w:t>
      </w:r>
      <w:r>
        <w:rPr/>
        <w:t>信号、耐药和旁路激活，潜在患者包括接受第三代</w:t>
      </w:r>
      <w:r>
        <w:rPr/>
        <w:t>EGFR</w:t>
      </w:r>
      <w:r>
        <w:rPr/>
        <w:t>抑制剂及化疗后进展的突变肺癌，以及激素受体阳性乳腺癌。公司取得两项</w:t>
      </w:r>
      <w:r>
        <w:rPr/>
        <w:t>FDA</w:t>
      </w:r>
      <w:r>
        <w:rPr/>
        <w:t>快速通道认定，说明有关未满足需求得到监管关注，但快速通道不是上市许可，也不等于已证明优于现有</w:t>
      </w:r>
      <w:r>
        <w:rPr/>
        <w:t>HER3ADC</w:t>
      </w:r>
      <w:r>
        <w:rPr/>
        <w:t>。全球一期二期</w:t>
      </w:r>
      <w:r>
        <w:rPr/>
        <w:t>NCT05785741</w:t>
      </w:r>
      <w:r>
        <w:rPr/>
        <w:t>仍承担剂量、疗效和安全探索任务。</w:t>
      </w:r>
    </w:p>
    <w:p>
      <w:pPr>
        <w:pStyle w:val="Normal"/>
        <w:rPr/>
      </w:pPr>
      <w:r>
        <w:rPr/>
        <w:t>HER3</w:t>
      </w:r>
      <w:r>
        <w:rPr/>
        <w:t>路径有较大商业空间，且全球自留意味着成功后不必只取得个位数许可费率；同时也意味全球注册、制造和销售需要更多资金。公开早期数据可建立后期开发理由，不能省掉随机对照、肺毒性风险及既有竞品影响。模型把中国和海外</w:t>
      </w:r>
      <w:r>
        <w:rPr/>
        <w:t>HER3</w:t>
      </w:r>
      <w:r>
        <w:rPr/>
        <w:t>分别列组，海外成功因子低于中国，商业起点更晚，年度完整研发和营销预算保留，避免以全球自留标签直接获得高价值而不承担成本。</w:t>
      </w:r>
    </w:p>
    <w:p>
      <w:pPr>
        <w:pStyle w:val="Normal"/>
        <w:rPr/>
      </w:pPr>
      <w:r>
        <w:rPr/>
        <w:t>DB-1305</w:t>
      </w:r>
      <w:r>
        <w:rPr/>
        <w:t>即</w:t>
      </w:r>
      <w:r>
        <w:rPr/>
        <w:t>sacituzumab drozuntecan</w:t>
      </w:r>
      <w:r>
        <w:rPr/>
        <w:t>是</w:t>
      </w:r>
      <w:r>
        <w:rPr/>
        <w:t>TROP2ADC</w:t>
      </w:r>
      <w:r>
        <w:rPr/>
        <w:t>，与</w:t>
      </w:r>
      <w:r>
        <w:rPr/>
        <w:t>BioNTech</w:t>
      </w:r>
      <w:r>
        <w:rPr/>
        <w:t>合作。</w:t>
      </w:r>
      <w:r>
        <w:rPr/>
        <w:t>TROP2</w:t>
      </w:r>
      <w:r>
        <w:rPr/>
        <w:t>已被多款产品验证，患者需求和商业渠道可见，但竞争十分密集，剂量、安全、治疗顺序与组合差异是核心。二〇二六年乳腺会议披露与</w:t>
      </w:r>
      <w:r>
        <w:rPr/>
        <w:t>pumitamig</w:t>
      </w:r>
      <w:r>
        <w:rPr/>
        <w:t>的一线三阴性乳腺癌组合，一共三十名患者，未确认缓解百分之八十三点三，确认缓解百分之七十六点七，疾病控制百分之九十六点七，六个月缓解持续率百分之九十五点二。未确认与确认缓解不能合并为同一胜率。</w:t>
      </w:r>
    </w:p>
    <w:p>
      <w:pPr>
        <w:pStyle w:val="Normal"/>
        <w:rPr/>
      </w:pPr>
      <w:r>
        <w:rPr/>
        <w:t>三十名患者和较短持续性观察支持进一步研究，却不能直接证明超过标准化疗免疫或其他</w:t>
      </w:r>
      <w:r>
        <w:rPr/>
        <w:t>ADC</w:t>
      </w:r>
      <w:r>
        <w:rPr/>
        <w:t>。样本小会使百分比波动，基线</w:t>
      </w:r>
      <w:r>
        <w:rPr/>
        <w:t>PD-L1</w:t>
      </w:r>
      <w:r>
        <w:rPr/>
        <w:t>、疾病负担、既往辅助治疗和随访时间影响解读。</w:t>
      </w:r>
      <w:r>
        <w:rPr/>
        <w:t>TROP2</w:t>
      </w:r>
      <w:r>
        <w:rPr/>
        <w:t>和免疫双抗组合的成本也高于单药，医保与海外支付可能要求清楚展示各成分贡献。模型为国内全部</w:t>
      </w:r>
      <w:r>
        <w:rPr/>
        <w:t>TROP2</w:t>
      </w:r>
      <w:r>
        <w:rPr/>
        <w:t>适应症合并预算，海外只保留净许可贡献，没有把</w:t>
      </w:r>
      <w:r>
        <w:rPr/>
        <w:t>TNBC</w:t>
      </w:r>
      <w:r>
        <w:rPr/>
        <w:t>、肺癌和卵巢癌逐个当成独立无限大片市场。</w:t>
      </w:r>
    </w:p>
    <w:p>
      <w:pPr>
        <w:pStyle w:val="Normal"/>
        <w:rPr/>
      </w:pPr>
      <w:r>
        <w:rPr/>
        <w:t>DB-1312/BG-C9074</w:t>
      </w:r>
      <w:r>
        <w:rPr/>
        <w:t>是</w:t>
      </w:r>
      <w:r>
        <w:rPr/>
        <w:t>B7-H4ADC</w:t>
      </w:r>
      <w:r>
        <w:rPr/>
        <w:t>，全球许可给</w:t>
      </w:r>
      <w:r>
        <w:rPr/>
        <w:t>BeOne</w:t>
      </w:r>
      <w:r>
        <w:rPr/>
        <w:t>。该名称必须准确，不能误写</w:t>
      </w:r>
      <w:r>
        <w:rPr/>
        <w:t>DB-1304</w:t>
      </w:r>
      <w:r>
        <w:rPr/>
        <w:t>。伙伴承担有关开发及监管成本，公司提供技术支持并可能取得里程碑及分级销售许可。二〇二六年</w:t>
      </w:r>
      <w:r>
        <w:rPr/>
        <w:t>ASCO</w:t>
      </w:r>
      <w:r>
        <w:rPr/>
        <w:t>已有一期剂量及安全扩增早期信号，伙伴计划年底开展卵巢癌三期；九月中报提到三期登记，但计划或登记不是已完成首例给药的证明。模型只计公司全球净许可经济，不把中国全部销售再列为自留。</w:t>
      </w:r>
    </w:p>
    <w:p>
      <w:pPr>
        <w:pStyle w:val="Normal"/>
        <w:rPr/>
      </w:pPr>
      <w:r>
        <w:rPr/>
        <w:t>B7-H4</w:t>
      </w:r>
      <w:r>
        <w:rPr/>
        <w:t>在妇科肿瘤等存在差异化空间，竞争成功与否仍由患者选择、表达测量及安全窗口决定。一线维持方案与复发耐药方案需求不同，比较贝伐珠单抗等对照时，需要兼顾长期用药毒性和无进展收益。伙伴具备全球运营有利于试验，但映恩许可收入受合同触发和净销量约束。估值概率低于已达到注册终点的</w:t>
      </w:r>
      <w:r>
        <w:rPr/>
        <w:t>HER2</w:t>
      </w:r>
      <w:r>
        <w:rPr/>
        <w:t>资产，而非因为伙伴名字知名就自动与后期药物同分。</w:t>
      </w:r>
    </w:p>
    <w:p>
      <w:pPr>
        <w:pStyle w:val="Normal"/>
        <w:rPr/>
      </w:pPr>
      <w:r>
        <w:rPr/>
        <w:t>DB-1324</w:t>
      </w:r>
      <w:r>
        <w:rPr/>
        <w:t>靶向</w:t>
      </w:r>
      <w:r>
        <w:rPr/>
        <w:t>CDH17</w:t>
      </w:r>
      <w:r>
        <w:rPr/>
        <w:t>，主要探索胃肠肿瘤，全球一期二期</w:t>
      </w:r>
      <w:r>
        <w:rPr/>
        <w:t>NCT07263594</w:t>
      </w:r>
      <w:r>
        <w:rPr/>
        <w:t>在入组。与</w:t>
      </w:r>
      <w:r>
        <w:rPr/>
        <w:t>GSK</w:t>
      </w:r>
      <w:r>
        <w:rPr/>
        <w:t>的协议首先是一项期权，此前三千万美元首付已支付，行权前开发责任和未来里程碑与许可经济仍有条件。</w:t>
      </w:r>
      <w:r>
        <w:rPr/>
        <w:t>GSK</w:t>
      </w:r>
      <w:r>
        <w:rPr/>
        <w:t>截至中报尚未行权，公司保留中国大陆、香港澳门，且</w:t>
      </w:r>
      <w:r>
        <w:rPr/>
        <w:t>GSK</w:t>
      </w:r>
      <w:r>
        <w:rPr/>
        <w:t>可能有国内净销售许可权益。模型用区域净经济合并代理预算，在收入贡献中考虑互向许可，不把全部国内毛收入与全球许可简单相加。</w:t>
      </w:r>
    </w:p>
    <w:p>
      <w:pPr>
        <w:pStyle w:val="Normal"/>
        <w:rPr/>
      </w:pPr>
      <w:r>
        <w:rPr/>
        <w:t>CDH17</w:t>
      </w:r>
      <w:r>
        <w:rPr/>
        <w:t>是有吸引力的新靶点，也存在胃肠正常组织表达、抗体结合和旁观者效应相关风险。早期小鼠及非人灵长类结果不能保证人类治疗窗。对这一资产更有意义的半年观察是剂量、安全及有效表达窗口，而非直接期待批准。未来若</w:t>
      </w:r>
      <w:r>
        <w:rPr/>
        <w:t>GSK</w:t>
      </w:r>
      <w:r>
        <w:rPr/>
        <w:t>行权、承担后期费用或取消期权，会同时改变净经济及现金成本；未取得合同新增金额前，不把整个交易上限作为已经发生的价值。</w:t>
      </w:r>
    </w:p>
    <w:p>
      <w:pPr>
        <w:pStyle w:val="Normal"/>
        <w:rPr/>
      </w:pPr>
      <w:r>
        <w:rPr/>
        <w:t>DB-1418/AVZO-1418</w:t>
      </w:r>
      <w:r>
        <w:rPr/>
        <w:t>是</w:t>
      </w:r>
      <w:r>
        <w:rPr/>
        <w:t>EGFR×HER3</w:t>
      </w:r>
      <w:r>
        <w:rPr/>
        <w:t>双抗</w:t>
      </w:r>
      <w:r>
        <w:rPr/>
        <w:t>ADC</w:t>
      </w:r>
      <w:r>
        <w:rPr/>
        <w:t>，</w:t>
      </w:r>
      <w:r>
        <w:rPr/>
        <w:t>Avenzo</w:t>
      </w:r>
      <w:r>
        <w:rPr/>
        <w:t>取得大中华区之外全球许可，保留地区包括台湾，与</w:t>
      </w:r>
      <w:r>
        <w:rPr/>
        <w:t>BioNTech</w:t>
      </w:r>
      <w:r>
        <w:rPr/>
        <w:t>协议的中港澳范围不同。全球一期二期</w:t>
      </w:r>
      <w:r>
        <w:rPr/>
        <w:t>AVENTINE-1</w:t>
      </w:r>
      <w:r>
        <w:rPr/>
        <w:t>即</w:t>
      </w:r>
      <w:r>
        <w:rPr/>
        <w:t>NCT07038343</w:t>
      </w:r>
      <w:r>
        <w:rPr/>
        <w:t>仍处早期。双靶点希望提高选择性或克服异质表达，但</w:t>
      </w:r>
      <w:r>
        <w:rPr/>
        <w:t>EGFR</w:t>
      </w:r>
      <w:r>
        <w:rPr/>
        <w:t>正常组织风险、复杂药代和生产一致性仍需验证。模型把国内自留和海外净许可合在一条明确净权益组，避免细分市场重复计数。</w:t>
      </w:r>
    </w:p>
    <w:p>
      <w:pPr>
        <w:pStyle w:val="Normal"/>
        <w:rPr/>
      </w:pPr>
      <w:r>
        <w:rPr/>
        <w:t>DB-1419</w:t>
      </w:r>
      <w:r>
        <w:rPr/>
        <w:t>是</w:t>
      </w:r>
      <w:r>
        <w:rPr/>
        <w:t>B7-H3×PD-L1</w:t>
      </w:r>
      <w:r>
        <w:rPr/>
        <w:t>双抗</w:t>
      </w:r>
      <w:r>
        <w:rPr/>
        <w:t>ADC</w:t>
      </w:r>
      <w:r>
        <w:rPr/>
        <w:t>，结合载荷杀伤及免疫调节，全球</w:t>
      </w:r>
      <w:r>
        <w:rPr/>
        <w:t>NCT06554795</w:t>
      </w:r>
      <w:r>
        <w:rPr/>
        <w:t>一期二期仍在入组。两个作用可能形成协同，也可能增加免疫事件、改变组织分布及暴露。公司称为创新领先资产，是研发定位而不是已证明的商业领先。它与</w:t>
      </w:r>
      <w:r>
        <w:rPr/>
        <w:t>DB-1311</w:t>
      </w:r>
      <w:r>
        <w:rPr/>
        <w:t>的适应症存在潜在重叠，长期模型保留独立产品机会，却没有假定每位</w:t>
      </w:r>
      <w:r>
        <w:rPr/>
        <w:t>B7-H3</w:t>
      </w:r>
      <w:r>
        <w:rPr/>
        <w:t>患者同时支付两个完整疗程。</w:t>
      </w:r>
    </w:p>
    <w:p>
      <w:pPr>
        <w:pStyle w:val="Normal"/>
        <w:rPr/>
      </w:pPr>
      <w:r>
        <w:rPr/>
        <w:t>DB-1317</w:t>
      </w:r>
      <w:r>
        <w:rPr/>
        <w:t>靶向</w:t>
      </w:r>
      <w:r>
        <w:rPr/>
        <w:t>ADAM9</w:t>
      </w:r>
      <w:r>
        <w:rPr/>
        <w:t>，全球</w:t>
      </w:r>
      <w:r>
        <w:rPr/>
        <w:t>NCT07141706</w:t>
      </w:r>
      <w:r>
        <w:rPr/>
        <w:t>一期正在推进，中国二〇二六年一月获试验许可，八月获得</w:t>
      </w:r>
      <w:r>
        <w:rPr/>
        <w:t>FDA</w:t>
      </w:r>
      <w:r>
        <w:rPr/>
        <w:t>针对胰腺导管腺癌的快速通道。胰腺癌未满足需求很大，但肿瘤间质、药物渗透、患者状态和快速进展使早期研发难度也高。临床设计在</w:t>
      </w:r>
      <w:r>
        <w:rPr/>
        <w:t>AACR</w:t>
      </w:r>
      <w:r>
        <w:rPr/>
        <w:t>展示不等于疗效结果，靶点表达和动物抗瘤不能转换为确定的人类生存获益。本模型商业起点晚、风险因子低，不因疾病预后差而给确定高销售。</w:t>
      </w:r>
    </w:p>
    <w:p>
      <w:pPr>
        <w:pStyle w:val="Normal"/>
        <w:rPr/>
      </w:pPr>
      <w:r>
        <w:rPr/>
        <w:t>DB-2304</w:t>
      </w:r>
      <w:r>
        <w:rPr/>
        <w:t>是</w:t>
      </w:r>
      <w:r>
        <w:rPr/>
        <w:t>BDCA2</w:t>
      </w:r>
      <w:r>
        <w:rPr/>
        <w:t>自身免疫</w:t>
      </w:r>
      <w:r>
        <w:rPr/>
        <w:t>ADC</w:t>
      </w:r>
      <w:r>
        <w:rPr/>
        <w:t>，健康志愿者已见靶点作用、药代及短期耐受，狼疮一期二期中的二期部分为随机双盲，第一队列已入组、下一队列继续。这比完全没有人体证据的项目更成熟，却仍未有可确认疾病控制和长期安全。狼疮评价需要系统病情、皮肤症状、激素减量、感染和持久缓解，实验室标志物不够。模型</w:t>
      </w:r>
      <w:r>
        <w:rPr/>
        <w:t>SLE</w:t>
      </w:r>
      <w:r>
        <w:rPr/>
        <w:t>及</w:t>
      </w:r>
      <w:r>
        <w:rPr/>
        <w:t>CLE</w:t>
      </w:r>
      <w:r>
        <w:rPr/>
        <w:t>合并，且不给同一患者所有狼疮治疗费用。</w:t>
      </w:r>
    </w:p>
    <w:p>
      <w:pPr>
        <w:pStyle w:val="Normal"/>
        <w:rPr/>
      </w:pPr>
      <w:r>
        <w:rPr/>
        <w:t>DB-1329/CDCP1</w:t>
      </w:r>
      <w:r>
        <w:rPr/>
        <w:t>、</w:t>
      </w:r>
      <w:r>
        <w:rPr/>
        <w:t>DB-1421/EGFR×MUC1</w:t>
      </w:r>
      <w:r>
        <w:rPr/>
        <w:t>及新载荷项目仍更早。前沿靶点在某些肿瘤表达、肿瘤模型内吞和耐受性可指导候选选择，但研发时序和人体证据稀少。本研究将未明确临床的多个项目统一小额风险平台组合，而不是为每个名称都赋独立重磅药价值。这样仍承认平台持续产生候选的机会，同时限制管线数量堆叠造成的估值膨胀。</w:t>
      </w:r>
    </w:p>
    <w:p>
      <w:pPr>
        <w:pStyle w:val="Heading2"/>
        <w:rPr/>
      </w:pPr>
      <w:r>
        <w:rPr>
          <w:color w:val="000000"/>
        </w:rPr>
        <w:t>五 合作合同与现金回收</w:t>
      </w:r>
    </w:p>
    <w:p>
      <w:pPr>
        <w:pStyle w:val="Normal"/>
        <w:rPr/>
      </w:pPr>
      <w:r>
        <w:rPr/>
        <w:t>BioNTech</w:t>
      </w:r>
      <w:r>
        <w:rPr/>
        <w:t>合作覆盖</w:t>
      </w:r>
      <w:r>
        <w:rPr/>
        <w:t>DB-1303</w:t>
      </w:r>
      <w:r>
        <w:rPr/>
        <w:t>、</w:t>
      </w:r>
      <w:r>
        <w:rPr/>
        <w:t>DB-1311</w:t>
      </w:r>
      <w:r>
        <w:rPr/>
        <w:t>和</w:t>
      </w:r>
      <w:r>
        <w:rPr/>
        <w:t>DB-1305</w:t>
      </w:r>
      <w:r>
        <w:rPr/>
        <w:t>，全球开发、监管、制造及商业化许可范围排中国大陆、香港澳门。不同早期研究由映恩继续承担发起或执行，伙伴报销合理成本，后期海外开发由协议安排伙伴负责。公司收入中研发补偿与相应成本都很重要，不能把收入全部理解为无成本首付。</w:t>
      </w:r>
      <w:r>
        <w:rPr/>
        <w:t>DB-1311</w:t>
      </w:r>
      <w:r>
        <w:rPr/>
        <w:t>美国行权又改变了原补偿模式，分析需以截止日最新财报反映，而不是沿用二〇二三年交易新闻。</w:t>
      </w:r>
    </w:p>
    <w:p>
      <w:pPr>
        <w:pStyle w:val="Normal"/>
        <w:rPr/>
      </w:pPr>
      <w:r>
        <w:rPr/>
        <w:t>BeOne</w:t>
      </w:r>
      <w:r>
        <w:rPr/>
        <w:t>全球</w:t>
      </w:r>
      <w:r>
        <w:rPr/>
        <w:t>B7-H4</w:t>
      </w:r>
      <w:r>
        <w:rPr/>
        <w:t>许可与</w:t>
      </w:r>
      <w:r>
        <w:rPr/>
        <w:t>Avenzo</w:t>
      </w:r>
      <w:r>
        <w:rPr/>
        <w:t>地域许可和</w:t>
      </w:r>
      <w:r>
        <w:rPr/>
        <w:t>GSK</w:t>
      </w:r>
      <w:r>
        <w:rPr/>
        <w:t>期权具有不同经济性质。伙伴承担开发可降低公司现金需求，但换取的是净许可权益，不是全销售利润。三生的国内</w:t>
      </w:r>
      <w:r>
        <w:rPr/>
        <w:t>DB-1303</w:t>
      </w:r>
      <w:r>
        <w:rPr/>
        <w:t>商业化合作提供渠道并减少自建销售团队开支，却需要支付商业推广和供应链成本。已收国内商业化首付约一亿六千九百五十三万元记递延，未来摊销是会计利润，不是当期新现金。模型不能再把这笔历史钱当未来授权现金。</w:t>
      </w:r>
    </w:p>
    <w:p>
      <w:pPr>
        <w:pStyle w:val="Normal"/>
        <w:rPr/>
      </w:pPr>
      <w:r>
        <w:rPr/>
        <w:t>二〇二六年八月二十七日公司与</w:t>
      </w:r>
      <w:r>
        <w:rPr/>
        <w:t>Genentech</w:t>
      </w:r>
      <w:r>
        <w:rPr/>
        <w:t>签全球合作，映恩负责发现及早期全球开发到一期</w:t>
      </w:r>
      <w:r>
        <w:rPr/>
        <w:t>a</w:t>
      </w:r>
      <w:r>
        <w:rPr/>
        <w:t>，完成后由</w:t>
      </w:r>
      <w:r>
        <w:rPr/>
        <w:t>Genentech</w:t>
      </w:r>
      <w:r>
        <w:rPr/>
        <w:t>独自负责后续开发及商业化。这是平台外部验证，也增加早期项目资源责任。四千五百万美元首付的公告和中报用语为将收取，截至所读资料没有银行到账确认。本模型下半年按百分之九十净回收预算约二亿八千三百五十万元，明确是将收假设，并非十月九日确认账户余额。</w:t>
      </w:r>
    </w:p>
    <w:p>
      <w:pPr>
        <w:pStyle w:val="Normal"/>
        <w:rPr/>
      </w:pPr>
      <w:r>
        <w:rPr/>
        <w:t>Genentech</w:t>
      </w:r>
      <w:r>
        <w:rPr/>
        <w:t>后续超过十亿美元开发监管商业里程碑是全部合作项目合计的条件上限。项目数量、先后、成功及触发要求不同，整体资本化会混淆风险和时间。模型平台风险资产只估较小的组合净许可机会，未来年度选定条件现金预算也保守，并且与早期完整成本同行。特定里程碑若到账要检查是否已经体现在峰值净经济，避免在开发价值和首付款两处重复计价。</w:t>
      </w:r>
    </w:p>
    <w:p>
      <w:pPr>
        <w:pStyle w:val="Normal"/>
        <w:rPr/>
      </w:pPr>
      <w:r>
        <w:rPr/>
        <w:t>跨境授权可能存在预扣税、抵扣和不同收入来源法律判断。九月申报稿讨论美国等地特许费预扣及税收协定，不表示每一笔都统一按一个税率。模型以净回收预算和税率敏感处理，未来正式税务或到账文件会替换估计。实际汇率、结算时间、税收抵扣和伙伴支付条件影响可用现金，名义美元首付不能简单乘某天汇率后当全部可分配利润。</w:t>
      </w:r>
    </w:p>
    <w:p>
      <w:pPr>
        <w:pStyle w:val="Heading2"/>
        <w:rPr/>
      </w:pPr>
      <w:r>
        <w:rPr>
          <w:color w:val="000000"/>
        </w:rPr>
        <w:t>六 财务质量与完整成本</w:t>
      </w:r>
    </w:p>
    <w:p>
      <w:pPr>
        <w:pStyle w:val="Normal"/>
        <w:rPr/>
      </w:pPr>
      <w:r>
        <w:rPr/>
        <w:t>二〇二三至二〇二五营业收入约十七点八七、十九点四一、十八点五二亿元，来源主要为合作。二〇二五归母亏损约二十五点九五亿元，剔除优先股公允价值等后的调整亏损约三点八九亿元；二〇二四调整亏损约一点七七亿元，二〇二三调整盈利约六点六零亿元。这些变化说明单笔合作与融资会计可以主导利润趋势，不能将二〇二三盈利称为已稳定商业模式，也不能把后来大额法定亏损全部当作经营现金流出。</w:t>
      </w:r>
    </w:p>
    <w:p>
      <w:pPr>
        <w:pStyle w:val="Normal"/>
        <w:rPr/>
      </w:pPr>
      <w:r>
        <w:rPr/>
        <w:t>二〇二五收入成本约十二点六三亿元、研发费用八点三八亿元，合计研发相关成本超过二十一亿元；二〇二四两项合计约十九点九三亿元。合作补偿会进入收入和收入成本，使传统毛利率比较不合适。研发费用只是自担部分，与其说公司研发很低，不如说一部分执行成本出现在另一条损益项目。研究年度预算完整保留两者，避免把伙伴研发服务收入当纯高毛利许可。</w:t>
      </w:r>
    </w:p>
    <w:p>
      <w:pPr>
        <w:pStyle w:val="Normal"/>
        <w:rPr/>
      </w:pPr>
      <w:r>
        <w:rPr/>
        <w:t>二〇二六上半年营业收入二亿一千九百三十三万元，去年十二亿二千八百九十三万元。行权之前的许可合作收入约五亿零九百四十二万元，减去美国历史成本二亿九千零六十七万元后许可收入约二亿一千八百七十五万元，加其他约五十八万元。收入下降包含一次性抵减及较少可确认里程碑，不能直接说所有管线需求骤降。另一方面，抵减虽会计特殊，却对应未来付款，不应被调整指标完全掩盖。</w:t>
      </w:r>
    </w:p>
    <w:p>
      <w:pPr>
        <w:pStyle w:val="Normal"/>
        <w:rPr/>
      </w:pPr>
      <w:r>
        <w:rPr/>
        <w:t>上半年收入成本四亿五千二百六十九万元，自担研发六亿零六百六十七万元，合计十亿五千九百三十六万元。管理费用八千一百五十五万元，其他收入约三百二十三万元，其他净损失四千八百五十五万元；经营亏损九亿六千六百九十万元。利息收益五千一百八十九万元、融资费约二百五十四万元后，归母亏损九亿一千七百五十五万元，无当期所得税。优先股公允价值亏损今年不再发生，亏损收窄很大部分不能全解释为经营改善。</w:t>
      </w:r>
    </w:p>
    <w:p>
      <w:pPr>
        <w:pStyle w:val="Normal"/>
        <w:rPr/>
      </w:pPr>
      <w:r>
        <w:rPr/>
        <w:t>公司非财务准则调整亏损约六亿二千六百八十八万元，加回美国历史成本，但其本身仍反映较大研发负担。上半年收入成本和研发合计同比仍高，全球后期试验扩张未来还需支出。模型二〇二六基准全年完整研发约二十一点八亿元，二〇二七至二〇二九约二十三点五至二十五亿元，属于结合已披露执行规模的研究预算，不是公司正式指引。即使临床失败概率较高，这些计划支出不能按收入成功因子消失。</w:t>
      </w:r>
    </w:p>
    <w:p>
      <w:pPr>
        <w:pStyle w:val="Normal"/>
        <w:rPr/>
      </w:pPr>
      <w:r>
        <w:rPr/>
        <w:t>股权报酬约四千零四十九万元，分别分布在研发、管理及收入成本。它是非现金会计费用，但员工期权和奖励股份会转移权益。修订模型保留经营费用并在现金全额加回，未来员工经济股份另列，不再对同一奖励扣百分之百现金替代。上半年回购四十万零一百股实际人民币六千八百一十二点七万元已减少六月现金，并从九月外部股份起点扣除；未来没有证实继续等额购股的承诺，现金奖励因子设零。若后来以现金购股满足奖励，应同时核算其抵消发行的作用，不能将现金和同一增股重复压低每股回收。</w:t>
      </w:r>
    </w:p>
    <w:p>
      <w:pPr>
        <w:pStyle w:val="Normal"/>
        <w:rPr/>
      </w:pPr>
      <w:r>
        <w:rPr/>
        <w:t>公司上半年经营现金净流出四亿二千三百七十万元，纯经营活动现金流出四亿七千零十二万元，另有退税一千九百四十万元及收到利息二千七百零二万元。应付增加和合同负债变化改善了现金，历史成本未付亦形成压力转移。不能用损益亏损直接等同现金烧损，也不能用半年度现金较低就忽略后续付款。二〇二五经营净流入约一亿九千四百五十八万元，与合作收款、税退及营运资本有关，不是成熟药企稳定造血。</w:t>
      </w:r>
    </w:p>
    <w:p>
      <w:pPr>
        <w:pStyle w:val="Normal"/>
        <w:rPr/>
      </w:pPr>
      <w:r>
        <w:rPr/>
        <w:t>贸易应付约十亿二千三百九十四万元，较年末增长明显；其他应付一亿零九百一十八万元，其中共同开发应付五千三百一十万元。贸易应付包括历史美国成本及研发供应商，结算速度变化可能显著影响跑道。贸易应收约一亿四千七百八十八万元，</w:t>
      </w:r>
      <w:r>
        <w:rPr/>
        <w:t>BioNTech</w:t>
      </w:r>
      <w:r>
        <w:rPr/>
        <w:t>代付应收七千零三十万元，亦需正常回收。本模型以营运资本现金预算处理剩余应收应付，不在估值末期把同一正常供应商负债再作为额外净债重复扣除。</w:t>
      </w:r>
    </w:p>
    <w:p>
      <w:pPr>
        <w:pStyle w:val="Normal"/>
        <w:rPr/>
      </w:pPr>
      <w:r>
        <w:rPr/>
        <w:t>合同负债三亿五千三百三十九万元，上半年有六千二百三十万元收入来自期初递延。已经收款的合同收入摊销并非新的财富，未来模型服务现金组排除此类历史摊销代理，完整履约成本仍保留。国内商业化首付递延约一亿六千九百五十三万元也类似，不等同全部可退还银行债。正确拆分能同时避免收入现金高估和债务双扣，正式分产品确认表若更完整，应进一步替换服务组的代理预算。</w:t>
      </w:r>
    </w:p>
    <w:p>
      <w:pPr>
        <w:pStyle w:val="Heading2"/>
        <w:rPr/>
      </w:pPr>
      <w:r>
        <w:rPr>
          <w:color w:val="000000"/>
        </w:rPr>
        <w:t>七 现金 借款 股数和融资</w:t>
      </w:r>
    </w:p>
    <w:p>
      <w:pPr>
        <w:pStyle w:val="Normal"/>
        <w:rPr/>
      </w:pPr>
      <w:r>
        <w:rPr/>
        <w:t>六月现金及现金等价物二十二点六五亿元，超过三个月定期六点七三亿元，合计可用现金银行约二十九点三九亿元。受限现金六千七百八十二万元是资产负债表另一行，主要作为衍生工具保证金，不能在二十九点三九亿元中再次扣除。财务摘要含受限的三十点零六亿元与附注现金银行口径不同，本研究把两种都记录并明确起点，以免同一个现金数字因名称不同产生重复或漏扣。</w:t>
      </w:r>
    </w:p>
    <w:p>
      <w:pPr>
        <w:pStyle w:val="Normal"/>
        <w:rPr/>
      </w:pPr>
      <w:r>
        <w:rPr/>
        <w:t>理财金融资产约九千七百八十万元，包含结构性存款和货币市场基金。模型按账面折损回收，不把它们同时纳入自由现金起点及末期回收。定期到期约二十一点六八亿元、重新存入八点四七亿元，会造成现金等价物上升，却是账户形态变化，不是新增经营财富。现金等价物半年增加十点四二亿元，不能据此断言公司今年现金创造能力强。上半年汇兑现金影响负五千二百六十四万元，也须与经营变化区分。</w:t>
      </w:r>
    </w:p>
    <w:p>
      <w:pPr>
        <w:pStyle w:val="Normal"/>
        <w:rPr/>
      </w:pPr>
      <w:r>
        <w:rPr/>
        <w:t>银行贷款约三亿七千二百六十五万元，其中短期二亿二千七百二十六万元，长贷当期部分一千一百七十四万元、长期一亿三千三百六十五万元，全部无抵押。新增借款二亿三千一百四十万元，半年未偿本金，另计应计利息。虽然债务相对现金小于部分其他创新药公司，短借仍有续贷需求；本模型明确二〇二九前清偿基准银行，不把最长贷款期限当作全部短借已展期。</w:t>
      </w:r>
    </w:p>
    <w:p>
      <w:pPr>
        <w:pStyle w:val="Normal"/>
        <w:rPr/>
      </w:pPr>
      <w:r>
        <w:rPr/>
        <w:t>租赁负债合计约六百八十一万元，模型完整费用已留房租，折旧加回排使用权，不在银行净债再扣租赁一次。小额固定资产约二千四百零七万元、无形约三百零七万元，支持经营却不是主要保护垫。公司价值主要仍来自未来研发及许可，净现金可以支持试验但不能对失败资产维持固定价值。现金模型以六月为锚推算下半年，不声称得到十月九日真实银行流水。</w:t>
      </w:r>
    </w:p>
    <w:p>
      <w:pPr>
        <w:pStyle w:val="Normal"/>
        <w:rPr/>
      </w:pPr>
      <w:r>
        <w:rPr/>
        <w:t>九月底外部普通股九千一百三十二万九千四百九十七股，另有四十万零一百股库存，总法定股数九千一百七十二万九千五百九十七。模型分配起点使用外部股，库存股没有当前股息权；若未来交给员工或重新出售，应当时增加股份并处理收入，不能假定回购后永久注销。九月新增四十九万五千八百八十三股来自期权，收到约三百三十九万港元；此项金额远低于后期研发需求。</w:t>
      </w:r>
    </w:p>
    <w:p>
      <w:pPr>
        <w:pStyle w:val="Normal"/>
        <w:rPr/>
      </w:pPr>
      <w:r>
        <w:rPr/>
        <w:t>上半年回购四十万零一百股，成本约七千八百二十四万港元，现金已在六月锚前支出，不能在模型再扣一次。与此同时上半年期权行权发行一百五十二万八千九百股，回购并没有阻止外部股份整体增加。回购有时表示管理层认为价格有吸引力，却不证明临床成功或融资缺口消失。评价资本纪律需要把回购、员工增股和未来融资合在一起看，而非仅强调一项积极公告。</w:t>
      </w:r>
    </w:p>
    <w:p>
      <w:pPr>
        <w:pStyle w:val="Normal"/>
        <w:rPr/>
      </w:pPr>
      <w:r>
        <w:rPr/>
        <w:t>九月底未行权期权约一千七百二十五万股，其中可发行新股上限约一千三百四十三万股，激励计划另有未授额度。并非全部期权必然立即成为新股，但与当前外部股份相比规模较大，行权价多低于市场价，存在潜在持续稀释。模型年度员工增股设为约一百万至一百二十万，后期按增股率延伸；它是预算，不把全部计划额度直接当现有股数，也不忽略其对每股现金的长期影响。</w:t>
      </w:r>
    </w:p>
    <w:p>
      <w:pPr>
        <w:pStyle w:val="Normal"/>
        <w:rPr/>
      </w:pPr>
      <w:r>
        <w:rPr/>
        <w:t>A</w:t>
      </w:r>
      <w:r>
        <w:rPr/>
        <w:t>股计划属于可能重要的资本来源。九月三十日申报稿拟不超过一千五百七十七万九千一百九十股，超额配售不超初始规模百分之十五，且数量以二〇二五年末股份为基准、后续期权变化可调整。拟投入募集资金四十一亿元用于研发，总项目约四十三点三九亿元。价格、日期和实际募集金额留空，审核及登记未完成，研究绝不将项目预算称为已经收到或不可撤销的净融资。</w:t>
      </w:r>
    </w:p>
    <w:p>
      <w:pPr>
        <w:pStyle w:val="Normal"/>
        <w:rPr/>
      </w:pPr>
      <w:r>
        <w:rPr/>
        <w:t>基准二〇二七年假设发行总额四十一亿元人民币，模型港币等额价约二百八十五点八三，得到约一千五百七十八万新股；百分之九十七净回收还低于申报项目净投入。该价格明显高于现价，展示需要市场重估或</w:t>
      </w:r>
      <w:r>
        <w:rPr/>
        <w:t>A</w:t>
      </w:r>
      <w:r>
        <w:rPr/>
        <w:t>股溢价的强条件。二〇二八至二〇三一年还假设累计五十一亿元后续资本，总计九十二亿元，超过目前单次计划，必须新权限与市场承接。若只用四十一亿元，基准现金二〇三〇以后仍出现缺口。</w:t>
      </w:r>
    </w:p>
    <w:p>
      <w:pPr>
        <w:pStyle w:val="Normal"/>
        <w:rPr/>
      </w:pPr>
      <w:r>
        <w:rPr/>
        <w:t>融资使公司有能力继续试验，也把旧股东未来持有比例降低。发行净现金只进入公司现金账户，新增股份同年进入分配分母，估值不会再把融资净额折现作为旧股东额外收益。若同价公允现金发行，旧股东财富不应凭空增加；若融资折价或员工低价增股，每股回收应降低。独立核验保留了这一不变性反例，避免在技术公式正确的情况下经济含义错误。</w:t>
      </w:r>
    </w:p>
    <w:p>
      <w:pPr>
        <w:pStyle w:val="Heading2"/>
        <w:rPr/>
      </w:pPr>
      <w:r>
        <w:rPr>
          <w:color w:val="000000"/>
        </w:rPr>
        <w:t>八 有限股东现金流估值与情景</w:t>
      </w:r>
    </w:p>
    <w:p>
      <w:pPr>
        <w:pStyle w:val="Normal"/>
        <w:rPr/>
      </w:pPr>
      <w:r>
        <w:rPr/>
        <w:t>模型包含一条合作现金服务收入组和二十项区域适应症净经济资产，年度覆盖二〇二六至二〇四一。服务现金不包括历史递延摊销，所有合作执行费用及自担研发完整列入。自销组是净药品收入，海外授权及美国分享组是公司净经济贡献，因不完整合同及报表确认差异，合计收入是经济建模代理，不冒充法定收入或公司销售指引。这种披露比混合后把倍数解释为真实销售更诚实。</w:t>
      </w:r>
    </w:p>
    <w:p>
      <w:pPr>
        <w:pStyle w:val="Normal"/>
        <w:rPr/>
      </w:pPr>
      <w:r>
        <w:rPr/>
        <w:t>每项资产有商业起点、峰值、爬坡、风险因子和净贡献率。中国接近注册</w:t>
      </w:r>
      <w:r>
        <w:rPr/>
        <w:t>HER2</w:t>
      </w:r>
      <w:r>
        <w:rPr/>
        <w:t>因子最高，全球后期低一些，早期新靶点明显较低。临床因子只折未来收入，并不把完整计划研发支出一起概率化；若失败后停止项目可以节省费用，需要独立项目停止假设，不能自动将成功销售与低失败成本拼成最好组合。资产共享载荷及平台，有相关性，三种情景本身不假装独立药物成功概率的统计分布。</w:t>
      </w:r>
    </w:p>
    <w:p>
      <w:pPr>
        <w:pStyle w:val="Normal"/>
        <w:rPr/>
      </w:pPr>
      <w:r>
        <w:rPr/>
        <w:t>净经济毛利率区分国内制造商业费、海外许可及美国利润。美国净贡献率高，是因为净经济峰值已经扣伙伴商业费用，并非药品销售毛利接近百分之百；映恩承担的研发仍在完整年度成本中。国内</w:t>
      </w:r>
      <w:r>
        <w:rPr/>
        <w:t>DB-1303</w:t>
      </w:r>
      <w:r>
        <w:rPr/>
        <w:t>贡献率相对较低，反映三生推广及生产成本预算。具体合同未公开，这些输入可以编辑，必须看峰值与费用共同敏感，不能单看高净经济率误认毫无成本的业务。</w:t>
      </w:r>
    </w:p>
    <w:p>
      <w:pPr>
        <w:pStyle w:val="Normal"/>
        <w:rPr/>
      </w:pPr>
      <w:r>
        <w:rPr/>
        <w:t>现金逐年加净经营及条件合作收款，减研发、资本开支、营运资本、借款本金和历史美国付款，加净融资，员工及融资增股同步。权益结算奖励现金加回而以增股承担经济成本，未来现金替代因子零。五年内所有情景股息为零；二〇三三年后清银行及历史应付后，假设超过十亿元现金储备部分分配百分之七十。每次分配按那一年的全部外部股份计算，每股港币再折现。二〇四一年只回收未分配现金、折损金融减未清银行及历史款，不再另加目标现金、发行现值或无限经营终值。</w:t>
      </w:r>
    </w:p>
    <w:p>
      <w:pPr>
        <w:pStyle w:val="Normal"/>
        <w:rPr/>
      </w:pPr>
      <w:r>
        <w:rPr/>
        <w:t>分配政策不是公司承诺，而是把股东可获得价值具体化的研究规则。留存现金可支持业务，但终值不能随意扩大；本模型末年回收不计仍在经营的专利出售价值、二〇四二后现金或固定资产额外处置，因此对持续平台有保守截断。另一方面，乐观假设多年净收入很高，使分配价值仍很大。这两种限制都必须公开，不把保守截断当确定合理市价，也不把乐观远期现金当近半年承诺。</w:t>
      </w:r>
    </w:p>
    <w:p>
      <w:pPr>
        <w:pStyle w:val="Normal"/>
        <w:rPr/>
      </w:pPr>
      <w:r>
        <w:rPr/>
        <w:t>折现率悲观百分之十七、基准十三点五、乐观十一，表示不同资本环境与执行溢价。风险收入和折现率是研究输入，不能宣称精确估计每种风险或完全避免重复；敏感性会展示资本成本变化。企业税在盈利现金中扣除，普通股个人税费不纳入本币税前总回报。人民币经营模型按一元约一点一港币、一美元约七元人民币研究换算，汇率不是截断日实时银行报价。</w:t>
      </w:r>
    </w:p>
    <w:p>
      <w:pPr>
        <w:pStyle w:val="Normal"/>
        <w:rPr/>
      </w:pPr>
      <w:r>
        <w:rPr/>
        <w:t>年底模型悲观二十七点四零五港元、基准一百二十五点一三、乐观三百二十八点八七。悲观内在权益为融资失败零，年底识别因子只反映部分恶化，因此残留市场选择权价不是现金安全垫。半年悲观为零，代表极端融资与权益耗尽压力，并非市场股价在某日必然归零或统计最小值。区间之外涨跌仍可能发生，权重不是损失上界。</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价格</w:t>
            </w:r>
            <w:r>
              <w:rPr>
                <w:rFonts w:eastAsia="微软雅黑" w:ascii="微软雅黑" w:hAnsi="微软雅黑"/>
                <w:b/>
                <w:color w:val="FFFFFF"/>
                <w:sz w:val="17"/>
              </w:rPr>
              <w:t>HKD</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相对</w:t>
            </w:r>
            <w:r>
              <w:rPr>
                <w:rFonts w:eastAsia="微软雅黑" w:ascii="微软雅黑" w:hAnsi="微软雅黑"/>
                <w:b/>
                <w:color w:val="FFFFFF"/>
                <w:sz w:val="17"/>
              </w:rPr>
              <w:t>182.70</w:t>
            </w:r>
            <w:r>
              <w:rPr>
                <w:rFonts w:ascii="微软雅黑" w:hAnsi="微软雅黑" w:eastAsia="微软雅黑"/>
                <w:b/>
                <w:color w:val="FFFFFF"/>
                <w:sz w:val="17"/>
              </w:rPr>
              <w:t>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主要条件</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27.4050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85.0000%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融资失败、临床及权益耗尽压力部分提前识别</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125.1348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31.5081%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合作现金、完整研究、融资与股份按基准执行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328.8681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+80.0044%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多项全球结果、净权和资本条件共同有利</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25/50/25</w:t>
            </w:r>
            <w:r>
              <w:rPr>
                <w:rFonts w:ascii="微软雅黑" w:hAnsi="微软雅黑" w:eastAsia="微软雅黑"/>
                <w:sz w:val="17"/>
              </w:rPr>
              <w:t>期望</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151.6357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17.0029%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研究判断权重，非统计置信价格</w:t>
            </w:r>
          </w:p>
        </w:tc>
      </w:tr>
    </w:tbl>
    <w:p>
      <w:pPr>
        <w:pStyle w:val="Normal"/>
        <w:rPr/>
      </w:pPr>
      <w:r>
        <w:rPr/>
      </w:r>
    </w:p>
    <w:p>
      <w:pPr>
        <w:pStyle w:val="Normal"/>
        <w:rPr/>
      </w:pPr>
      <w:r>
        <w:rPr/>
        <w:t>默认期望约一百五十一点六四港元，相对现价负百分之十七点零零。悲观四十、基准四十、乐观二十权重时约一百二十六点七九港元，回报负百分之三十点六零；二十、四十、四十时约一百八十七点零八港元，约正百分之二点四零。较乐观权重才略高于现价，说明年底上行需要有力新证据，不能因为一份机构目标高就认为当前必然便宜。</w:t>
      </w:r>
    </w:p>
    <w:p>
      <w:pPr>
        <w:pStyle w:val="Normal"/>
        <w:rPr/>
      </w:pPr>
      <w:r>
        <w:rPr/>
        <w:t>一年基准八十五点九九港元，三年一百一十点八七、五年一百四十二点八零，基准年化分别约负百分之十五点三四和负百分之四点八一。后期价格上升源于时间缩短和商业化现金逐渐临近，不自动补偿前期大额增股。乐观一年六百五十点三二、三年八百零一点八四、五年九百八十七点八零，包含多个全球资产成功及大额净销售，是极强条件下的上行情景，不能用于直接抬高基础估值得分。</w:t>
      </w:r>
    </w:p>
    <w:p>
      <w:pPr>
        <w:pStyle w:val="Normal"/>
        <w:rPr/>
      </w:pPr>
      <w:r>
        <w:rPr/>
        <w:t>基准二〇三一年经济收入约二十九点三一亿元，二〇三二约四十四点一零亿元，二〇三五超过百亿元；樂观二〇三五超过三百六十亿元。这些合计包含美国利润及许可代理，与公司法定收入口径不同，但仍意味着多个全球产品共同成熟。对这么高的长期路径，竞争、净价、完整研发及新增销售费都必须反复核验，且收入峰值增长不意味着公司可以完全保留该市场的所有利润。</w:t>
      </w:r>
    </w:p>
    <w:p>
      <w:pPr>
        <w:pStyle w:val="Normal"/>
        <w:rPr/>
      </w:pPr>
      <w:r>
        <w:rPr/>
        <w:t>一年折现率减或增两个百分点，基准目标约一百零三点九五或七十一点五零港元。美国分享改为二十五或四十五并联动费用时，约八十二点三五或八十九点六四；完全不分享美国且同步去掉拆出美国费用的代理约七十三点二三，但这一压力并不代表合同允许随时撤回。美国净经济峰值低三成约七十五点六八；全部</w:t>
      </w:r>
      <w:r>
        <w:rPr/>
        <w:t>DB-1311</w:t>
      </w:r>
      <w:r>
        <w:rPr/>
        <w:t>成功因子各低十五个百分点约六十七点四三，</w:t>
      </w:r>
      <w:r>
        <w:rPr/>
        <w:t>HER3</w:t>
      </w:r>
      <w:r>
        <w:rPr/>
        <w:t>海外因子低十五个百分点约八十一点四一。</w:t>
      </w:r>
    </w:p>
    <w:p>
      <w:pPr>
        <w:pStyle w:val="Normal"/>
        <w:rPr/>
      </w:pPr>
      <w:r>
        <w:rPr/>
        <w:t>全部商业起点延后两年，或完整研发预算增加两成，或没有后续资本，最低现金均失败，目标内在权益归零压力。发行价整体低三成则一年约七十六点六二，显示股份分母效果；只完成单次</w:t>
      </w:r>
      <w:r>
        <w:rPr/>
        <w:t>A</w:t>
      </w:r>
      <w:r>
        <w:rPr/>
        <w:t>股计划也不足以支持基准全部试验。</w:t>
      </w:r>
      <w:r>
        <w:rPr/>
        <w:t>Genentech</w:t>
      </w:r>
      <w:r>
        <w:rPr/>
        <w:t>首付推迟到次年，一年约八十五点九七，影响不大但真实年内现金可能更紧。年度预算没有逐月付款，不能把年底最低现金当全年每一天都足够。</w:t>
      </w:r>
    </w:p>
    <w:p>
      <w:pPr>
        <w:pStyle w:val="Heading2"/>
        <w:rPr/>
      </w:pPr>
      <w:r>
        <w:rPr>
          <w:color w:val="000000"/>
        </w:rPr>
        <w:t>九 半年量价 反弹先于长期趋势修复</w:t>
      </w:r>
    </w:p>
    <w:p>
      <w:pPr>
        <w:pStyle w:val="Normal"/>
        <w:rPr/>
      </w:pPr>
      <w:r>
        <w:rPr/>
        <w:t>截止日收盘一百八十二点七零，开一百八十八点一、高一百八十九点四、低一百七十七点七，前收一百八十六点七，当日跌约百分之二点一四。收盘位于日内中下区间，说明当天并没有收复开盘卖压。单根阴线不能决定半年方向，但也不能把近二十日反弹简单描绘为已确认突破。当前更贴近大幅回撤后的修复和震荡，而非完整长期上升趋势。</w:t>
      </w:r>
    </w:p>
    <w:p>
      <w:pPr>
        <w:pStyle w:val="Normal"/>
        <w:rPr/>
      </w:pPr>
      <w:r>
        <w:rPr/>
        <w:t>二十、六十、一百二十及二百五十日均线分别一百九十四点零八、一百九十六点一七、二百零九点八八及二百六十五点九三，现价全部位于下方，距离约负百分之五点八六、六点八七、十二点九五及三十一点三零。二十日均线最近五日斜率转正约一点五九，但其余仍下降，表示短期均价有所企稳，长期套牢成本仍高。四个均线指标不会分别重复加分，它们合起来只用于趋势判断。</w:t>
      </w:r>
    </w:p>
    <w:p>
      <w:pPr>
        <w:pStyle w:val="Normal"/>
        <w:rPr/>
      </w:pPr>
      <w:r>
        <w:rPr/>
        <w:t>最近二十日股价上升百分之七点二八，六十日仍跌百分之二十二点九八，一百二十日跌四十一点一八、二百五十日跌四十七点八六。短期反弹与中期弱势同时存在，不能只截取最有利窗口。按日线完整五十二周观察，高约三百七十八点六、低一百五十八点五，现价距高点低约五十一点七四，窗口最大回撤约五十五点二三。跌幅大表示过去预期已调整，并不直接证明估值或价格触底。</w:t>
      </w:r>
    </w:p>
    <w:p>
      <w:pPr>
        <w:pStyle w:val="Normal"/>
        <w:rPr/>
      </w:pPr>
      <w:r>
        <w:rPr/>
        <w:t>最近二十日低位观察一百六十三点一，高位二百二十点四，现价至低约负百分之十点七三、至高正二十点六三；六十日上方二百四十七，距离正三十五点一九。首先需要观察一百九十四至一百九十六均价区，再看二百零九附近和二百二十区是否能站稳。支撑是窗口极值，未有足够触碰统计，不应称为牢固买盘成本。跌破一百六十三或一百五十八并伴随相对弱势，会使短期修复判断失效。</w:t>
      </w:r>
    </w:p>
    <w:p>
      <w:pPr>
        <w:pStyle w:val="Normal"/>
        <w:rPr/>
      </w:pPr>
      <w:r>
        <w:rPr/>
        <w:t>当天成交六十六万零三百八十四股，金额约一亿一千九百七十一万港元。五、二十、六十日均量约四十三万零一百一十九、七十二万零五百八十三、九十三万六千五百三十九股。按当天除之前二十日均量的量比约零点八七，说明最新反弹并未持续获得高于中期的成交参与；不能把缩量直接断言为卖压耗尽，也可能是市场等待数据或流动性下降。</w:t>
      </w:r>
    </w:p>
    <w:p>
      <w:pPr>
        <w:pStyle w:val="Normal"/>
        <w:rPr/>
      </w:pPr>
      <w:r>
        <w:rPr/>
        <w:t>最近二十日九个上涨日合计约七百七十二万股、十一个下跌日约六百六十九万股，量比一点一五。上涨日总量略多，是支持修复的一个细节，但上涨与下跌天数不同，粗总量不足以证明资金身份或吸筹。日均量、上涨日与下跌日总量及成交额共同用于判断参与，不能把相近指标当三项独立买入信号。按外部总股份粗算当日换手约百分之零点七二，非精确自由流通换手。</w:t>
      </w:r>
    </w:p>
    <w:p>
      <w:pPr>
        <w:pStyle w:val="Normal"/>
        <w:rPr/>
      </w:pPr>
      <w:r>
        <w:rPr/>
        <w:t>十四日</w:t>
      </w:r>
      <w:r>
        <w:rPr/>
        <w:t>RSI</w:t>
      </w:r>
      <w:r>
        <w:rPr/>
        <w:t>约四十二点六八，仍在五十下，显示动量未转为明显强势；</w:t>
      </w:r>
      <w:r>
        <w:rPr/>
        <w:t>MACD</w:t>
      </w:r>
      <w:r>
        <w:rPr/>
        <w:t>快慢差约零点二二、信号一点六四，按两倍差柱为负二点八四，短期恢复有减弱。</w:t>
      </w:r>
      <w:r>
        <w:rPr/>
        <w:t>ATR</w:t>
      </w:r>
      <w:r>
        <w:rPr/>
        <w:t>约十二点一八港元、相对股价六点六七，意味着日常波动尺度较大，狭窄止损容易被正常波动触发。这些辅助指标反映同一价格信息，不会独立重复提升趋势评分，也不能据此精确预报下一日涨跌。</w:t>
      </w:r>
    </w:p>
    <w:p>
      <w:pPr>
        <w:pStyle w:val="Normal"/>
        <w:rPr/>
      </w:pPr>
      <w:r>
        <w:rPr/>
        <w:t>二十日相对恒生指数超额约十点二六个百分点，六十日落后十九点七九；相对港股通创新药粗行业基准，二十日超额六点四零，六十日落后十九点七五。短期修复确实比同期指数更强，但时间不足以改变较久落后。行业指数是粗参考，不完全匹配公司的</w:t>
      </w:r>
      <w:r>
        <w:rPr/>
        <w:t>ADC</w:t>
      </w:r>
      <w:r>
        <w:rPr/>
        <w:t>全球研发模式；收益用价格口径不含分红，不能与含息基金回报混用。指数成交量未用于公司量价分析。</w:t>
      </w:r>
    </w:p>
    <w:p>
      <w:pPr>
        <w:pStyle w:val="Normal"/>
        <w:rPr/>
      </w:pPr>
      <w:r>
        <w:rPr/>
        <w:t>周线只有七十八周，上市始于二〇二五年四月十五，无法取得真实三年行情。二十周均线约一百九十五点九四、六十周二百七十七点五六，现价下方距离分别负六点七六和负三十四点一八；最近五周两线斜率均负。周</w:t>
      </w:r>
      <w:r>
        <w:rPr/>
        <w:t>RSI</w:t>
      </w:r>
      <w:r>
        <w:rPr/>
        <w:t>约四十一点四七，</w:t>
      </w:r>
      <w:r>
        <w:rPr/>
        <w:t>MACD</w:t>
      </w:r>
      <w:r>
        <w:rPr/>
        <w:t>柱已转较正但差值仍负，表示下跌速度改善先于趋势反转。不存在真实一百二十或二百五十周均线，本研究没有补造。</w:t>
      </w:r>
    </w:p>
    <w:p>
      <w:pPr>
        <w:pStyle w:val="Normal"/>
        <w:rPr/>
      </w:pPr>
      <w:r>
        <w:rPr/>
        <w:t>周</w:t>
      </w:r>
      <w:r>
        <w:rPr/>
        <w:t>ATR</w:t>
      </w:r>
      <w:r>
        <w:rPr/>
        <w:t>约三十三点二六、股价比例十八点二一，周窗口最大回撤超过五十四点九。最近周成交相对前二十周均量偏低，周上涨下跌量比约零点八一，这与日线修复量比略强不同，说明较长窗口仍有卖出压力。最新周跨当地假期且交易天数减少，不能把量比低单独解释为没有资金关注。观察要待多个完整交易周和重要数据后验证，避免不完整周与完整周直接比较。</w:t>
      </w:r>
    </w:p>
    <w:p>
      <w:pPr>
        <w:pStyle w:val="Normal"/>
        <w:rPr/>
      </w:pPr>
      <w:r>
        <w:rPr/>
        <w:t>短期技术改善条件是先在均价区上方持续收盘、上行阶段量能超过近期均量、回踩低位有缩量且行业相对强度继续正，再尝试二百二十观察位。若突破一日即跌回、量能仅由单次消息引起，判断应退回震荡。若财务或临床根本失效，即使短线形态良好也不能维持原半年估值。技术失效与基本面失效属于不同层次，两者均写明，避免行情变化后随意改故事。</w:t>
      </w:r>
    </w:p>
    <w:p>
      <w:pPr>
        <w:pStyle w:val="Normal"/>
        <w:rPr/>
      </w:pPr>
      <w:r>
        <w:rPr/>
        <w:t>行情采用锁定的腾讯、雅虎及独立日线交叉，保留三条明确</w:t>
      </w:r>
      <w:r>
        <w:rPr/>
        <w:t>OHLC</w:t>
      </w:r>
      <w:r>
        <w:rPr/>
        <w:t>逻辑不一致的修复，不主观删去剧烈涨跌。价格按基准日名义价归一复权，成交股数按来源转换，股与手不能混用。没有真实逐笔交易、精确筹码持仓或投资人分类，因此不画声称精准的成交分布，也不将量价图直接称为主力吸筹。图形只是参加者行为的结果，不能识别每个买卖者目的。</w:t>
      </w:r>
    </w:p>
    <w:p>
      <w:pPr>
        <w:pStyle w:val="Heading2"/>
        <w:rPr/>
      </w:pPr>
      <w:r>
        <w:rPr>
          <w:color w:val="000000"/>
        </w:rPr>
        <w:t>十 行业周期与经济传导</w:t>
      </w:r>
    </w:p>
    <w:p>
      <w:pPr>
        <w:pStyle w:val="Normal"/>
        <w:rPr/>
      </w:pPr>
      <w:r>
        <w:rPr/>
        <w:t>ADC</w:t>
      </w:r>
      <w:r>
        <w:rPr/>
        <w:t>行业需求来自肿瘤异质性、后线耐药以及向更前线改善疗效的尝试，人口老龄化和诊断能力提升支持药品需求。行业增长并非所有</w:t>
      </w:r>
      <w:r>
        <w:rPr/>
        <w:t>ADC</w:t>
      </w:r>
      <w:r>
        <w:rPr/>
        <w:t>同时受益，</w:t>
      </w:r>
      <w:r>
        <w:rPr/>
        <w:t>HER2</w:t>
      </w:r>
      <w:r>
        <w:rPr/>
        <w:t>与</w:t>
      </w:r>
      <w:r>
        <w:rPr/>
        <w:t>TROP2</w:t>
      </w:r>
      <w:r>
        <w:rPr/>
        <w:t>已拥挤，</w:t>
      </w:r>
      <w:r>
        <w:rPr/>
        <w:t>B7-H3</w:t>
      </w:r>
      <w:r>
        <w:rPr/>
        <w:t>、</w:t>
      </w:r>
      <w:r>
        <w:rPr/>
        <w:t>HER3</w:t>
      </w:r>
      <w:r>
        <w:rPr/>
        <w:t>和新靶点也迅速吸引多家开发。随着标准改善，后入者需要证明更好的疗效、安全、顺序或组合，而不能继续用早期未满足需求规模来估多年峰值。行业高景气和单个公司高回报并不等同。</w:t>
      </w:r>
    </w:p>
    <w:p>
      <w:pPr>
        <w:pStyle w:val="Normal"/>
        <w:rPr/>
      </w:pPr>
      <w:r>
        <w:rPr/>
        <w:t>宏观利率下降有利于远期现金估值和生物科技融资，但药物成功、资金到位和患者支付仍独立。映恩直接银行债不大，利息变化对利润的量级远小于每年二十多亿元研发；更重要的是市场是否愿意给临床公司有利的发行价。若行业重新融资窗口打开，可能改善资金风险并推高短期价格，必须用实际发行条件替换模型，不能把宽松预期等同已到账资本。</w:t>
      </w:r>
    </w:p>
    <w:p>
      <w:pPr>
        <w:pStyle w:val="Normal"/>
        <w:rPr/>
      </w:pPr>
      <w:r>
        <w:rPr/>
        <w:t>人民币升值降低部分美元研发费用，却压低美元许可现金折算；贬值则反向作用。港币与美元联系使人民币投资者还面临港币兑人民币持有回报变化。本模型主口径港币，人民币总回报应按港币价格回报乘持有期汇率比例计算，不能把汇率百分点直接在大涨跌上相加。美国经济、利率和海外政策也会通过伙伴研发预算和支付环境作用，传导方向须具体到净收款与成本。</w:t>
      </w:r>
    </w:p>
    <w:p>
      <w:pPr>
        <w:pStyle w:val="Normal"/>
        <w:rPr/>
      </w:pPr>
      <w:r>
        <w:rPr/>
        <w:t>国内医保谈判可以提高患者渗透和医院可及性，也会显著压低净药价。</w:t>
      </w:r>
      <w:r>
        <w:rPr/>
        <w:t>DB-1303</w:t>
      </w:r>
      <w:r>
        <w:rPr/>
        <w:t>若获批，初期自费、保险和院内准入决定收入速度，批准不代表首年按完整峰值销售。三生合作能提供渠道，仍需要生产供货、医生培训、真实世界安全和支付谈判。中国人均支付、同靶点竞争和医院执行影响净收入峰值，与美国较高标价市场不能用同一单价或患者治疗长度。</w:t>
      </w:r>
    </w:p>
    <w:p>
      <w:pPr>
        <w:pStyle w:val="Normal"/>
        <w:rPr/>
      </w:pPr>
      <w:r>
        <w:rPr/>
        <w:t>海外监管关注随机证据、不同地区代表性、对照适当性、制造一致性和长期获益。中国已经受理或批准并不会自动转为美国欧洲批准。海外药价和医保政策可能压低</w:t>
      </w:r>
      <w:r>
        <w:rPr/>
        <w:t>ADC</w:t>
      </w:r>
      <w:r>
        <w:rPr/>
        <w:t>的净经济，组合疗法特别需要各成分价值证明；若伙伴对商业机会重新排序，许可项目进展也会变化。本章将美国利润、欧洲等净许可和中国自销分开，正是为避免同一宏观判断抹平这些差异。</w:t>
      </w:r>
    </w:p>
    <w:p>
      <w:pPr>
        <w:pStyle w:val="Normal"/>
        <w:rPr/>
      </w:pPr>
      <w:r>
        <w:rPr/>
        <w:t>生产质量是临床后价值兑现的独立障碍。</w:t>
      </w:r>
      <w:r>
        <w:rPr/>
        <w:t>ADC</w:t>
      </w:r>
      <w:r>
        <w:rPr/>
        <w:t>需要抗体、连接子载荷、偶联、杂质及批间一致性控制，工艺放大和监管检查可能拖慢上市，即使疗效成功也不能忽略。公司部分轻资产合作降低建厂资本负担，但供应商质量、产能和技术转移仍需管理。模型资本开支较传统重制造企业低，贡献率及完整成本预留制造，不等于认为制造问题与映恩无关。</w:t>
      </w:r>
    </w:p>
    <w:p>
      <w:pPr>
        <w:pStyle w:val="Heading2"/>
        <w:rPr/>
      </w:pPr>
      <w:r>
        <w:rPr>
          <w:color w:val="000000"/>
        </w:rPr>
        <w:t>十一 四期限与十年持续性</w:t>
      </w:r>
    </w:p>
    <w:p>
      <w:pPr>
        <w:pStyle w:val="Normal"/>
        <w:rPr/>
      </w:pPr>
      <w:r>
        <w:rPr/>
        <w:t>半年主要收益可能来自全球乳腺癌中期数据、注册信息、美国协议及融资预期的重估，尚不是多款药物形成大量净利润。技术在二十日修复而长均线下，参与需更强证据。由于基准负回报和极宽情景，半年得分仅五十三点九；临床催化维度高不代表全年利润质量高。读出若仅是统计阳性但临床效益有限，或费用协议超出预算，股价可能先涨后回落。</w:t>
      </w:r>
    </w:p>
    <w:p>
      <w:pPr>
        <w:pStyle w:val="Normal"/>
        <w:rPr/>
      </w:pPr>
      <w:r>
        <w:rPr/>
        <w:t>一年期可能包含中国</w:t>
      </w:r>
      <w:r>
        <w:rPr/>
        <w:t>DB-1303</w:t>
      </w:r>
      <w:r>
        <w:rPr/>
        <w:t>批准及首期收入，全球低表达及内膜路径进一步清晰，美国前列腺三期仍远未全面兑现。关键是资金能否与试验计划匹配，单次</w:t>
      </w:r>
      <w:r>
        <w:rPr/>
        <w:t>A</w:t>
      </w:r>
      <w:r>
        <w:rPr/>
        <w:t>股审批完成与发行价格会改变股份分母。基准一年目标仍低，因价格所含预期比有限股东分配更乐观。推荐升级需要真实的对照数据、明确经济合同和充分现金，而非简单重复全球伙伴名单。</w:t>
      </w:r>
    </w:p>
    <w:p>
      <w:pPr>
        <w:pStyle w:val="Normal"/>
        <w:rPr/>
      </w:pPr>
      <w:r>
        <w:rPr/>
        <w:t>三年进入国内更多适应症和海外首批许可现金形成窗口，</w:t>
      </w:r>
      <w:r>
        <w:rPr/>
        <w:t>HER3</w:t>
      </w:r>
      <w:r>
        <w:rPr/>
        <w:t>及</w:t>
      </w:r>
      <w:r>
        <w:rPr/>
        <w:t>B7-H3</w:t>
      </w:r>
      <w:r>
        <w:rPr/>
        <w:t>的后期结果逐渐重要。投资收益应来自可得净经济和胜率提高，同时扣融资后的股份，不能只看公司市值有望增长。若正式美国合同让净贡献明显高于假设且后期成本由伙伴承担更多，三年价值有上修；若开发延迟、低价融资或批准适应症狭窄，会使多年股东回报低于药物本身的科学价值。</w:t>
      </w:r>
    </w:p>
    <w:p>
      <w:pPr>
        <w:pStyle w:val="Normal"/>
        <w:rPr/>
      </w:pPr>
      <w:r>
        <w:rPr/>
        <w:t>五年有可能建立多产品及许可平台，但自留全球</w:t>
      </w:r>
      <w:r>
        <w:rPr/>
        <w:t>HER3</w:t>
      </w:r>
      <w:r>
        <w:rPr/>
        <w:t>、新靶点和自身免疫商业化仍有不确定。公司管理层在九月申报稿条件测算中预计约二〇三一年扭亏，明确依赖多个假设，本模型不把它当保证。法定扭亏也不等于立即分红或完全无融资需求；营运资本、后期研发和激励可能继续耗资。五年基准零股息和负年化体现目前买价要求更高证据，长期评分提高主要因商业潜力而非承诺回本。</w:t>
      </w:r>
    </w:p>
    <w:p>
      <w:pPr>
        <w:pStyle w:val="Normal"/>
        <w:rPr/>
      </w:pPr>
      <w:r>
        <w:rPr/>
        <w:t>十年看，平台若持续产生差异化候选、维持国际合作、形成可重复临床与制造能力，能比单药公司更持续。反证是载荷被竞争技术替代、同类交叉耐药限制扩展、全球伙伴改变资本排序，或管理层不断扩项目而无正现金纪律。多产品数量不能保证持续性，必须关注每个新项目的边际净价值。前期热门药物失败并不可怕到完全没有公司，但持续融资而没有可持续回收会对旧股东形成永久稀释。</w:t>
      </w:r>
    </w:p>
    <w:p>
      <w:pPr>
        <w:pStyle w:val="Normal"/>
        <w:rPr/>
      </w:pPr>
      <w:r>
        <w:rPr/>
        <w:t>研发项目退出机制同样重要。停止低概率或无法竞争的项目可节省未来支出，但意味着早先平台价值不能完整兑现。模型没有自动用失败节省成本美化悲观，因为正式停项时点和责任未知；新增证据可建立逐项目退出与支出情景。十年经营展望不是十年股价目标，也不假定二〇四一年回收真是公司清算，那只是有限估值的保守结束规则。</w:t>
      </w:r>
    </w:p>
    <w:p>
      <w:pPr>
        <w:pStyle w:val="Heading2"/>
        <w:rPr/>
      </w:pPr>
      <w:r>
        <w:rPr>
          <w:color w:val="000000"/>
        </w:rPr>
        <w:t>十二 机构目标 治理与反证清单</w:t>
      </w:r>
    </w:p>
    <w:p>
      <w:pPr>
        <w:pStyle w:val="Normal"/>
        <w:rPr/>
      </w:pPr>
      <w:r>
        <w:rPr/>
        <w:t>瑞银二〇二六年八月十四日公开新闻首次覆盖给予买入及三百二十港元目标，处最近九十日内。新闻称基于风险调整</w:t>
      </w:r>
      <w:r>
        <w:rPr/>
        <w:t>DCF</w:t>
      </w:r>
      <w:r>
        <w:rPr/>
        <w:t>和峰值销售比，预测</w:t>
      </w:r>
      <w:r>
        <w:rPr/>
        <w:t>DB-1311</w:t>
      </w:r>
      <w:r>
        <w:rPr/>
        <w:t>峰值约三百八十三亿元人民币，高于共识约二百八十六亿元，并预期若干会议及全球申报催化。峰值数字是药物经济预测，不能未经地区合同转换就当映恩全部净收入；三百八十三亿元人民币等于三百八十三亿人民币，换成模型使用的十亿人民币单位为</w:t>
      </w:r>
      <w:r>
        <w:rPr/>
        <w:t>38.3</w:t>
      </w:r>
      <w:r>
        <w:rPr/>
        <w:t>，须先统一单位再比较。</w:t>
      </w:r>
    </w:p>
    <w:p>
      <w:pPr>
        <w:pStyle w:val="Normal"/>
        <w:rPr/>
      </w:pPr>
      <w:r>
        <w:rPr/>
        <w:t>新闻转述中还有四平台的简化名称、未来收入和约二〇三〇年</w:t>
      </w:r>
      <w:r>
        <w:rPr/>
        <w:t>EBITDA</w:t>
      </w:r>
      <w:r>
        <w:rPr/>
        <w:t>转正预测。本研究以发行人原文校正</w:t>
      </w:r>
      <w:r>
        <w:rPr/>
        <w:t>DUPAC</w:t>
      </w:r>
      <w:r>
        <w:rPr/>
        <w:t>定义，并把分析师预测与已发生财务区分。新闻文字夹带十月九日动态延时报价及沽空字段，不能把这些字段当八月研报时的行情。原始研报未取得，精确目标期限、估值每个分成和融资假设未核验，所以三百二十仅为一年估值参照，不直接取作年底目标。</w:t>
      </w:r>
    </w:p>
    <w:p>
      <w:pPr>
        <w:pStyle w:val="Normal"/>
        <w:rPr/>
      </w:pPr>
      <w:r>
        <w:rPr/>
        <w:t>摩根士丹利二〇二六年五月二十九日公开表列增持及四百九十三港元，超过九十天窗口，</w:t>
      </w:r>
      <w:r>
        <w:rPr/>
        <w:t>Genentech</w:t>
      </w:r>
      <w:r>
        <w:rPr/>
        <w:t>合作和新中报之后未找到公开可核验的最新替代报告。旧目标可以展示市场估值分歧，不能冒充最新机构共识；海通国际目标属于中资机构，另可对比但不混入外资统计。同机构重复转载去重，新闻与原始报告分开，查不到的字段留空，不能用平均机构目标掩盖信息不足。</w:t>
      </w:r>
    </w:p>
    <w:p>
      <w:pPr>
        <w:pStyle w:val="Normal"/>
        <w:rPr/>
      </w:pPr>
      <w:r>
        <w:rPr/>
        <w:t>本模型与投行目标差别可能来自海外份额、美国净权比例、研发分担、商业起点、融资价格及长期终值。有限分配及二〇四一年截断比永久持续平台估值保守，但完整费用和融资约束也可能是研究遗漏的现实差别。正确做法是逐项核对经济假设，取得新合同或现金证据后重算，不能认为较低模型一定准确或较高国际目标必然合理。估值应留可追溯计算而非只给一个漂亮上涨百分比。</w:t>
      </w:r>
    </w:p>
    <w:p>
      <w:pPr>
        <w:pStyle w:val="Normal"/>
        <w:rPr/>
      </w:pPr>
      <w:r>
        <w:rPr/>
        <w:t>治理方面公司股权较分散，申报稿说明无控股股东和实际控制人，业务依赖管理层及董事会项目决策。分散有助于专业投资人参与，也可能使资本配置、责任边界和战略一致性更复杂。激励额度、低价期权、库存股份及融资时机对普通股持有人非常重要。研究没有无证据推断不当行为，但会要求研发里程碑与退出纪律透明，让费用责任和股东稀释可核验。</w:t>
      </w:r>
    </w:p>
    <w:p>
      <w:pPr>
        <w:pStyle w:val="Normal"/>
        <w:rPr/>
      </w:pPr>
      <w:r>
        <w:rPr/>
        <w:t>知识产权与上游抗体许可也应持续检查。部分</w:t>
      </w:r>
      <w:r>
        <w:rPr/>
        <w:t>B7-H3</w:t>
      </w:r>
      <w:r>
        <w:rPr/>
        <w:t>、</w:t>
      </w:r>
      <w:r>
        <w:rPr/>
        <w:t>B7-H4</w:t>
      </w:r>
      <w:r>
        <w:rPr/>
        <w:t>、</w:t>
      </w:r>
      <w:r>
        <w:rPr/>
        <w:t>HER3</w:t>
      </w:r>
      <w:r>
        <w:rPr/>
        <w:t>或双抗来自合作许可，商业化可能需要向原始权利人支付特许费。本模型在净贡献中留预算，但具体地区、计提和期限没有完整法律意见。平台拥有最终衍生产品权利不等于没有上游费用或所有专利诉讼风险，专利数量不能直接加市值。申报稿披露多禧相关专利诉讼及部分胜诉情况，研究未取得完整法院档案，不能进一步宣称所有争议已消除。</w:t>
      </w:r>
    </w:p>
    <w:p>
      <w:pPr>
        <w:pStyle w:val="Normal"/>
        <w:rPr/>
      </w:pPr>
      <w:r>
        <w:rPr/>
        <w:t>推翻推荐的核心事实包括：</w:t>
      </w:r>
      <w:r>
        <w:rPr/>
        <w:t>HER2</w:t>
      </w:r>
      <w:r>
        <w:rPr/>
        <w:t>关键对照研究没有足够净临床获益或出现严重安全不利；前列腺三期与早期结果明显不一致；美国费用份额及商业利润定义使净经济低于预算；合作伙伴终止重要项目；</w:t>
      </w:r>
      <w:r>
        <w:rPr/>
        <w:t>A</w:t>
      </w:r>
      <w:r>
        <w:rPr/>
        <w:t>股及后续融资无法在现金耗尽前实施；新竞争产品重塑治疗标准而公司缺少差异化。任何一项会先更新经营和资金模型，不用技术反弹抵消根本变化。</w:t>
      </w:r>
    </w:p>
    <w:p>
      <w:pPr>
        <w:pStyle w:val="Normal"/>
        <w:rPr/>
      </w:pPr>
      <w:r>
        <w:rPr/>
        <w:t>提高推荐的证据包括真实批准和可持续供货、对照研究中明确绝对获益及安全、美国协议分配与成本边界公开、大额净现金到账及足够资金跑道、国内医保后患者增长抵消降价，以及全球许可净销量开始兑现。单次首付和管理层回购可帮助一段资金，却不是长期商业成功的充分条件。分数是各维度统一权重后的研究排序，并非获利概率，差小于三分应看同梯队而不夸大小数精度。</w:t>
      </w:r>
    </w:p>
    <w:p>
      <w:pPr>
        <w:pStyle w:val="Normal"/>
        <w:rPr/>
      </w:pPr>
      <w:r>
        <w:rPr/>
        <w:t>报告所有重要输入记录币种、单位、财报期间、发布时间及来源；中报全文九月二十八日收盘后发布，首次业绩八月二十八日收盘后，二者均早于基准日。九月三十日申报稿可用于收盘前信息，十月九日晚更新仅标注后续公开，不读取它的新数据支持本次价格。修改输入应刷新所有三情景快照并标记版本，</w:t>
      </w:r>
      <w:r>
        <w:rPr/>
        <w:t>Excel</w:t>
      </w:r>
      <w:r>
        <w:rPr/>
        <w:t>、</w:t>
      </w:r>
      <w:r>
        <w:rPr/>
        <w:t>Word</w:t>
      </w:r>
      <w:r>
        <w:rPr/>
        <w:t>及</w:t>
      </w:r>
      <w:r>
        <w:rPr/>
        <w:t>PDF</w:t>
      </w:r>
      <w:r>
        <w:rPr/>
        <w:t>同源核心数字必须一致。</w:t>
      </w:r>
    </w:p>
    <w:p>
      <w:pPr>
        <w:pStyle w:val="Heading2"/>
        <w:rPr/>
      </w:pPr>
      <w:r>
        <w:rPr>
          <w:color w:val="000000"/>
        </w:rPr>
        <w:t>来源与核验索引</w:t>
      </w:r>
    </w:p>
    <w:p>
      <w:pPr>
        <w:pStyle w:val="Normal"/>
        <w:rPr/>
      </w:pPr>
      <w:r>
        <w:rPr/>
        <w:t xml:space="preserve">- </w:t>
      </w:r>
      <w:r>
        <w:rPr/>
        <w:t>中报完整英文：</w:t>
      </w:r>
      <w:r>
        <w:rPr/>
        <w:t>2026-09-28 19:52</w:t>
      </w:r>
      <w:r>
        <w:rPr/>
        <w:t>，首次业绩</w:t>
      </w:r>
      <w:r>
        <w:rPr/>
        <w:t>2026-08-28 18:32</w:t>
      </w:r>
      <w:r>
        <w:rPr/>
        <w:t>，</w:t>
      </w:r>
      <w:r>
        <w:rPr/>
        <w:t>https://www1.hkexnews.hk/listedco/listconews/sehk/2026/0928/2026092801699.pdf</w:t>
      </w:r>
    </w:p>
    <w:p>
      <w:pPr>
        <w:pStyle w:val="Normal"/>
        <w:rPr/>
      </w:pPr>
      <w:r>
        <w:rPr/>
        <w:t xml:space="preserve">- </w:t>
      </w:r>
      <w:r>
        <w:rPr/>
        <w:t>九月底股份月报：</w:t>
      </w:r>
      <w:r>
        <w:rPr/>
        <w:t>2026-10-07 16:42</w:t>
      </w:r>
      <w:r>
        <w:rPr/>
        <w:t>，</w:t>
      </w:r>
      <w:r>
        <w:rPr/>
        <w:t>https://www1.hkexnews.hk/listedco/listconews/sehk/2026/1007/2026100700940.pdf</w:t>
      </w:r>
    </w:p>
    <w:p>
      <w:pPr>
        <w:pStyle w:val="Normal"/>
        <w:rPr/>
      </w:pPr>
      <w:r>
        <w:rPr/>
        <w:t xml:space="preserve">- </w:t>
      </w:r>
      <w:r>
        <w:rPr/>
        <w:t>美国</w:t>
      </w:r>
      <w:r>
        <w:rPr/>
        <w:t>DB-1311</w:t>
      </w:r>
      <w:r>
        <w:rPr/>
        <w:t>行权通知：</w:t>
      </w:r>
      <w:r>
        <w:rPr/>
        <w:t>2026-05-13 06:15</w:t>
      </w:r>
      <w:r>
        <w:rPr/>
        <w:t>，</w:t>
      </w:r>
      <w:r>
        <w:rPr/>
        <w:t>https://www1.hkexnews.hk/listedco/listconews/sehk/2026/0513/2026051300007.pdf</w:t>
      </w:r>
    </w:p>
    <w:p>
      <w:pPr>
        <w:pStyle w:val="Normal"/>
        <w:rPr/>
      </w:pPr>
      <w:r>
        <w:rPr/>
        <w:t>- Genentech</w:t>
      </w:r>
      <w:r>
        <w:rPr/>
        <w:t>合作：</w:t>
      </w:r>
      <w:r>
        <w:rPr/>
        <w:t>2026-08-28 07:18</w:t>
      </w:r>
      <w:r>
        <w:rPr/>
        <w:t>，</w:t>
      </w:r>
      <w:r>
        <w:rPr/>
        <w:t>https://www1.hkexnews.hk/listedco/listconews/sehk/2026/0828/2026082800097.pdf</w:t>
      </w:r>
    </w:p>
    <w:p>
      <w:pPr>
        <w:pStyle w:val="Normal"/>
        <w:rPr/>
      </w:pPr>
      <w:r>
        <w:rPr/>
        <w:t xml:space="preserve">- </w:t>
      </w:r>
      <w:r>
        <w:rPr/>
        <w:t>中国</w:t>
      </w:r>
      <w:r>
        <w:rPr/>
        <w:t>DB-1303</w:t>
      </w:r>
      <w:r>
        <w:rPr/>
        <w:t>申请受理：</w:t>
      </w:r>
      <w:r>
        <w:rPr/>
        <w:t>2026-04-09 18:48</w:t>
      </w:r>
      <w:r>
        <w:rPr/>
        <w:t>，</w:t>
      </w:r>
      <w:r>
        <w:rPr/>
        <w:t>https://www1.hkexnews.hk/listedco/listconews/sehk/2026/0409/2026040901794.pdf</w:t>
      </w:r>
    </w:p>
    <w:p>
      <w:pPr>
        <w:pStyle w:val="Normal"/>
        <w:rPr/>
      </w:pPr>
      <w:r>
        <w:rPr/>
        <w:t xml:space="preserve">- </w:t>
      </w:r>
      <w:r>
        <w:rPr/>
        <w:t>中国</w:t>
      </w:r>
      <w:r>
        <w:rPr/>
        <w:t>DB-1303</w:t>
      </w:r>
      <w:r>
        <w:rPr/>
        <w:t>三期终点：</w:t>
      </w:r>
      <w:r>
        <w:rPr/>
        <w:t>2025-09-05 17:07</w:t>
      </w:r>
      <w:r>
        <w:rPr/>
        <w:t>，</w:t>
      </w:r>
      <w:r>
        <w:rPr/>
        <w:t>https://www1.hkexnews.hk/listedco/listconews/sehk/2025/0905/2025090500689.pdf</w:t>
      </w:r>
    </w:p>
    <w:p>
      <w:pPr>
        <w:pStyle w:val="Normal"/>
        <w:rPr/>
      </w:pPr>
      <w:r>
        <w:rPr/>
        <w:t xml:space="preserve">- </w:t>
      </w:r>
      <w:r>
        <w:rPr/>
        <w:t>九月三十日申报稿公告及正文镜像：</w:t>
      </w:r>
      <w:r>
        <w:rPr/>
        <w:t>2026-09-30 17:57</w:t>
      </w:r>
      <w:r>
        <w:rPr/>
        <w:t>，</w:t>
      </w:r>
      <w:r>
        <w:rPr/>
        <w:t>https://iis.aastocks.com/20260930/12353499-0.PDF</w:t>
      </w:r>
    </w:p>
    <w:p>
      <w:pPr>
        <w:pStyle w:val="Normal"/>
        <w:rPr/>
      </w:pPr>
      <w:r>
        <w:rPr/>
        <w:t xml:space="preserve">- </w:t>
      </w:r>
      <w:r>
        <w:rPr/>
        <w:t>十月九日更新申报稿收盘后不入模型：</w:t>
      </w:r>
      <w:r>
        <w:rPr/>
        <w:t>2026-10-09 19:32</w:t>
      </w:r>
      <w:r>
        <w:rPr/>
        <w:t>，</w:t>
      </w:r>
      <w:r>
        <w:rPr/>
        <w:t>https://iis.aastocks.com/20261009/12368862-0.PDF</w:t>
      </w:r>
    </w:p>
    <w:p>
      <w:pPr>
        <w:pStyle w:val="Normal"/>
        <w:rPr/>
      </w:pPr>
      <w:r>
        <w:rPr/>
        <w:t>- 2025</w:t>
      </w:r>
      <w:r>
        <w:rPr/>
        <w:t>年报完整英文：</w:t>
      </w:r>
      <w:r>
        <w:rPr/>
        <w:t>2026-04-26 19:15</w:t>
      </w:r>
      <w:r>
        <w:rPr/>
        <w:t>，首次</w:t>
      </w:r>
      <w:r>
        <w:rPr/>
        <w:t>2026-03-23 20:37</w:t>
      </w:r>
      <w:r>
        <w:rPr/>
        <w:t>，</w:t>
      </w:r>
      <w:r>
        <w:rPr/>
        <w:t>https://www1.hkexnews.hk/listedco/listconews/sehk/2026/0426/2026042600131.pdf</w:t>
      </w:r>
    </w:p>
    <w:p>
      <w:pPr>
        <w:pStyle w:val="Normal"/>
        <w:rPr/>
      </w:pPr>
      <w:r>
        <w:rPr/>
        <w:t xml:space="preserve">- </w:t>
      </w:r>
      <w:r>
        <w:rPr/>
        <w:t>瑞银新闻：</w:t>
      </w:r>
      <w:r>
        <w:rPr/>
        <w:t>2026-08-14 18:07</w:t>
      </w:r>
      <w:r>
        <w:rPr/>
        <w:t>，</w:t>
      </w:r>
      <w:r>
        <w:rPr/>
        <w:t>https://www.aastocks.com/tc/stocks/analysis/stock-aafn-con/09606/AAFN/NOW.1538426/research-report</w:t>
      </w:r>
    </w:p>
    <w:p>
      <w:pPr>
        <w:pStyle w:val="Normal"/>
        <w:rPr/>
      </w:pPr>
      <w:r>
        <w:rPr/>
        <w:t xml:space="preserve">- </w:t>
      </w:r>
      <w:r>
        <w:rPr/>
        <w:t>大摩新闻：</w:t>
      </w:r>
      <w:r>
        <w:rPr/>
        <w:t>2026-05-29 15:11</w:t>
      </w:r>
      <w:r>
        <w:rPr/>
        <w:t>，</w:t>
      </w:r>
      <w:r>
        <w:rPr/>
        <w:t>https://www.aastocks.com/tc/stocks/analysis/stock-aafn-con/09606/AAFN/NOW.1526701/research-report</w:t>
      </w:r>
    </w:p>
    <w:p>
      <w:pPr>
        <w:pStyle w:val="Normal"/>
        <w:rPr/>
      </w:pPr>
      <w:r>
        <w:rPr/>
        <w:t xml:space="preserve">- </w:t>
      </w:r>
      <w:r>
        <w:rPr/>
        <w:t>行情、三日</w:t>
      </w:r>
      <w:r>
        <w:rPr/>
        <w:t>OHLC</w:t>
      </w:r>
      <w:r>
        <w:rPr/>
        <w:t>修复、相对基准、公开来源和专属原子核验：</w:t>
      </w:r>
      <w:r>
        <w:rPr/>
        <w:t>market_snapshot_locked.json</w:t>
      </w:r>
      <w:r>
        <w:rPr/>
        <w:t>、</w:t>
      </w:r>
      <w:r>
        <w:rPr/>
        <w:t>duality_sources.json</w:t>
      </w:r>
      <w:r>
        <w:rPr/>
        <w:t>、</w:t>
      </w:r>
      <w:r>
        <w:rPr/>
        <w:t>duality_model.json</w:t>
      </w:r>
      <w:r>
        <w:rPr/>
        <w:t>、</w:t>
      </w:r>
      <w:r>
        <w:rPr/>
        <w:t>I020_independent_qa.json</w:t>
      </w:r>
      <w:r>
        <w:rPr/>
        <w:t>、</w:t>
      </w:r>
      <w:r>
        <w:rPr/>
        <w:t>duality_adapter_qa.json</w:t>
      </w:r>
      <w:r>
        <w:rPr/>
        <w:t>。</w:t>
      </w:r>
      <w:r>
        <w:br w:type="page"/>
      </w:r>
    </w:p>
    <w:p>
      <w:pPr>
        <w:pStyle w:val="Heading1"/>
        <w:spacing w:before="0" w:after="0"/>
        <w:rPr/>
      </w:pPr>
      <w:bookmarkStart w:id="3" w:name="__RefHeading___Toc59281_1364803659"/>
      <w:bookmarkEnd w:id="3"/>
      <w:r>
        <w:rPr>
          <w:color w:val="000000"/>
        </w:rPr>
        <w:t xml:space="preserve">优必选 </w:t>
      </w:r>
      <w:r>
        <w:rPr>
          <w:color w:val="000000"/>
        </w:rPr>
        <w:t>09880 HK</w:t>
      </w:r>
    </w:p>
    <w:p>
      <w:pPr>
        <w:pStyle w:val="Normal"/>
        <w:rPr/>
      </w:pPr>
      <w:r>
        <w:rPr/>
        <w:t xml:space="preserve">09880.HK </w:t>
      </w:r>
      <w:r>
        <w:rPr/>
        <w:t xml:space="preserve">现价 </w:t>
      </w:r>
      <w:r>
        <w:rPr/>
        <w:t>71.75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105.83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+47.50%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122.88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+71.26%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+71.26%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140.63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+96.00%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120.68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+68.20%</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25.70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-64.18%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86.86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+21.06%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203.21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+183.22%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100.66HKD</w:t>
      </w:r>
      <w:r>
        <w:rPr/>
        <w:t>，期望股价回报</w:t>
      </w:r>
      <w:r>
        <w:rPr/>
        <w:t>+40.29%</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15.96</w:t>
              <w:br/>
              <w:t>-77.76%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105.83</w:t>
              <w:br/>
              <w:t>+47.50%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260.84</w:t>
              <w:br/>
              <w:t>+263.54%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10.68</w:t>
              <w:br/>
              <w:t>-85.11%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122.88</w:t>
              <w:br/>
              <w:t>+71.26%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352.26</w:t>
              <w:br/>
              <w:t>+390.95%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2.57</w:t>
              <w:br/>
              <w:t>-96.42%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140.63</w:t>
              <w:br/>
              <w:t>+96.00%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549.52</w:t>
              <w:br/>
              <w:t>+665.88%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+25.15%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0.61</w:t>
              <w:br/>
              <w:t>-99.15%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120.68</w:t>
              <w:br/>
              <w:t>+68.20%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624.99</w:t>
              <w:br/>
              <w:t>+771.07%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+10.96%</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+40.12%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+47.50%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+54.87%</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+62.70%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+71.26%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+79.82%</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+86.20%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+105.80%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+59.79%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+68.20%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+76.60%</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I059</w:t>
      </w:r>
      <w:r>
        <w:rPr/>
        <w:t>，证券</w:t>
      </w:r>
      <w:r>
        <w:rPr/>
        <w:t>S069</w:t>
      </w:r>
      <w:r>
        <w:rPr/>
        <w:t>，</w:t>
      </w:r>
      <w:r>
        <w:rPr/>
        <w:t>09880.HK</w:t>
      </w:r>
      <w:r>
        <w:rPr/>
        <w:t>，基准</w:t>
      </w:r>
      <w:r>
        <w:rPr/>
        <w:t>2026</w:t>
      </w:r>
      <w:r>
        <w:rPr/>
        <w:t>年</w:t>
      </w:r>
      <w:r>
        <w:rPr/>
        <w:t>10</w:t>
      </w:r>
      <w:r>
        <w:rPr/>
        <w:t>月</w:t>
      </w:r>
      <w:r>
        <w:rPr/>
        <w:t>9</w:t>
      </w:r>
      <w:r>
        <w:rPr/>
        <w:t>日收盘</w:t>
      </w:r>
      <w:r>
        <w:rPr/>
        <w:t>71.75</w:t>
      </w:r>
      <w:r>
        <w:rPr/>
        <w:t>港元。财务原件</w:t>
      </w:r>
      <w:r>
        <w:rPr/>
        <w:t>PRC GAAP</w:t>
      </w:r>
      <w:r>
        <w:rPr/>
        <w:t>人民币千，活动模型人民币十亿、股份百万、价格港元。模型</w:t>
      </w:r>
      <w:r>
        <w:rPr/>
        <w:t>ubtech-units-ASP-fullcost-UqiFeng-NCI-finance-v1.0</w:t>
      </w:r>
      <w:r>
        <w:rPr/>
        <w:t>，资料截止基准日，置信度中。最终推荐梯队按完整名单评分差小于三分规则形成。</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基准累计股息</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r>
              <w:rPr>
                <w:rFonts w:eastAsia="微软雅黑" w:ascii="微软雅黑" w:hAnsi="微软雅黑"/>
                <w:sz w:val="17"/>
              </w:rPr>
              <w:t>2026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专项</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25.70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86.86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203.21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15.96</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105.83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260.84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10.68</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122.88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352.26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2.57</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140.63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549.52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0.61</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120.68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624.99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bl>
    <w:p>
      <w:pPr>
        <w:pStyle w:val="Normal"/>
        <w:rPr/>
      </w:pPr>
      <w:r>
        <w:rPr/>
      </w:r>
    </w:p>
    <w:p>
      <w:pPr>
        <w:pStyle w:val="Normal"/>
        <w:rPr/>
      </w:pPr>
      <w:r>
        <w:rPr/>
        <w:t>年底</w:t>
      </w:r>
      <w:r>
        <w:rPr/>
        <w:t>25%/50%/25%</w:t>
      </w:r>
      <w:r>
        <w:rPr/>
        <w:t>期望</w:t>
      </w:r>
      <w:r>
        <w:rPr/>
        <w:t>100.6575</w:t>
      </w:r>
      <w:r>
        <w:rPr/>
        <w:t>港元，</w:t>
      </w:r>
      <w:r>
        <w:rPr/>
        <w:t>+40.2892%</w:t>
      </w:r>
      <w:r>
        <w:rPr/>
        <w:t>；防御</w:t>
      </w:r>
      <w:r>
        <w:rPr/>
        <w:t>40%/50%/10%</w:t>
      </w:r>
      <w:r>
        <w:rPr/>
        <w:t>期望</w:t>
      </w:r>
      <w:r>
        <w:rPr/>
        <w:t>74.031</w:t>
      </w:r>
      <w:r>
        <w:rPr/>
        <w:t>，</w:t>
      </w:r>
      <w:r>
        <w:rPr/>
        <w:t>+3.1791%</w:t>
      </w:r>
      <w:r>
        <w:rPr/>
        <w:t>；积极</w:t>
      </w:r>
      <w:r>
        <w:rPr/>
        <w:t>10%/50%/40%</w:t>
      </w:r>
      <w:r>
        <w:rPr/>
        <w:t>期望</w:t>
      </w:r>
      <w:r>
        <w:rPr/>
        <w:t>127.284</w:t>
      </w:r>
      <w:r>
        <w:rPr/>
        <w:t>，</w:t>
      </w:r>
      <w:r>
        <w:rPr/>
        <w:t>+77.3993%</w:t>
      </w:r>
      <w:r>
        <w:rPr/>
        <w:t>。半年基准</w:t>
      </w:r>
      <w:r>
        <w:rPr/>
        <w:t>+47.4983%</w:t>
      </w:r>
      <w:r>
        <w:rPr/>
        <w:t>、一年</w:t>
      </w:r>
      <w:r>
        <w:rPr/>
        <w:t>+71.2613%</w:t>
      </w:r>
      <w:r>
        <w:rPr/>
        <w:t>、三年</w:t>
      </w:r>
      <w:r>
        <w:rPr/>
        <w:t>+96%</w:t>
      </w:r>
      <w:r>
        <w:rPr/>
        <w:t>、五年</w:t>
      </w:r>
      <w:r>
        <w:rPr/>
        <w:t>+68.1951%</w:t>
      </w:r>
      <w:r>
        <w:rPr/>
        <w:t>；三年年化</w:t>
      </w:r>
      <w:r>
        <w:rPr/>
        <w:t>25.1465%</w:t>
      </w:r>
      <w:r>
        <w:rPr/>
        <w:t>、五年</w:t>
      </w:r>
      <w:r>
        <w:rPr/>
        <w:t>10.9590%</w:t>
      </w:r>
      <w:r>
        <w:rPr/>
        <w:t>，股息均零。情景权重为判断假设，区间不是统计置信区间或最大损失边界。</w:t>
      </w:r>
    </w:p>
    <w:p>
      <w:pPr>
        <w:pStyle w:val="Normal"/>
        <w:rPr/>
      </w:pPr>
      <w:r>
        <w:rPr/>
        <w:t>推荐定位为进取观察，关注交付、复购和现金回款；一年三年逻辑强于半年量价，五年受资本和估值收敛约束。成立条件是工业及商业机器人可靠性提高、单位价格与成本改善、完整费用得到覆盖、融资可获得并把优奇和锋龙少数权益扣足。主要风险为部署复杂、替代形态竞争、客户集中、预付及应收、并购商誉、资本化利息、激励稀释和融资失败。</w:t>
      </w:r>
    </w:p>
    <w:p>
      <w:pPr>
        <w:pStyle w:val="Heading2"/>
        <w:rPr/>
      </w:pPr>
      <w:r>
        <w:rPr>
          <w:color w:val="000000"/>
        </w:rPr>
        <w:t>一 投资者需要把交付成长与股东权益连接</w:t>
      </w:r>
    </w:p>
    <w:p>
      <w:pPr>
        <w:pStyle w:val="Normal"/>
        <w:rPr/>
      </w:pPr>
      <w:r>
        <w:rPr/>
        <w:t>优必选的成长证据已经从展示延伸到实际销售，全尺寸人形收入和销量提高，说明商业化并非完全停留在概念。但股东回报仍需经过可靠交付、收费、回款、完整费用与资本投入，再分配给普通股。公司的合并业务包括少数持股但受控制的子公司，不能把集团全部资产和利润直接归给上市股东。本章按销量与平均价格建核心业务，并分别扣优奇和锋龙的外部经济权益。</w:t>
      </w:r>
    </w:p>
    <w:p>
      <w:pPr>
        <w:pStyle w:val="Normal"/>
        <w:rPr/>
      </w:pPr>
      <w:r>
        <w:rPr/>
        <w:t>71.75</w:t>
      </w:r>
      <w:r>
        <w:rPr/>
        <w:t>港元相对阶段高点下跌很多，带来高成长预期重置的机会，也暴露市场对交付难度和股权供给的担忧。半年基准</w:t>
      </w:r>
      <w:r>
        <w:rPr/>
        <w:t>105.83</w:t>
      </w:r>
      <w:r>
        <w:rPr/>
        <w:t>港元仍建立在未来正常销量</w:t>
      </w:r>
      <w:r>
        <w:rPr/>
        <w:t>6500</w:t>
      </w:r>
      <w:r>
        <w:rPr/>
        <w:t>台及较好毛利的假设上，当前半年</w:t>
      </w:r>
      <w:r>
        <w:rPr/>
        <w:t>921</w:t>
      </w:r>
      <w:r>
        <w:rPr/>
        <w:t>台不能直接验证。下降趋势与经营增长同时存在，本章用较低技术分表示短期承接证据不足，而不会因机器人长期空间很大就给半年相同的高推荐程度。</w:t>
      </w:r>
    </w:p>
    <w:p>
      <w:pPr>
        <w:pStyle w:val="Normal"/>
        <w:rPr/>
      </w:pPr>
      <w:r>
        <w:rPr/>
        <w:t>三年</w:t>
      </w:r>
      <w:r>
        <w:rPr/>
        <w:t>62.8</w:t>
      </w:r>
      <w:r>
        <w:rPr/>
        <w:t>分只略高于一年</w:t>
      </w:r>
      <w:r>
        <w:rPr/>
        <w:t>60.6</w:t>
      </w:r>
      <w:r>
        <w:rPr/>
        <w:t>分，原因是规模化可能改善业务，却需要大量现金和稀释。三年基准核心利润隐含估值仍超过百倍，五年销量增加也未让自由现金代理转正。最大上涨空间不能直接转成最高分，乐观价格需要能力、供应链、利用率、客户和资本市场同时有利。研究将参数和失败路径展示，使投资者可以检查成长是否真的转成每股回报，而非只阅读高目标。</w:t>
      </w:r>
    </w:p>
    <w:p>
      <w:pPr>
        <w:pStyle w:val="Normal"/>
        <w:rPr/>
      </w:pPr>
      <w:r>
        <w:rPr/>
        <w:t>优必选适合研究进取性机会，但长期不宜只把它理解为人形机器人行业的唯一入口。新上市同行、传统自动化、轮式机器人和大型科技公司的方案都可能改变竞争。公司如果能把复杂任务稳定交给产品完成，商业质量会提高；如果订单更多依赖展示、地方项目和融资支撑，收入增长可能较难长期延续。本章结论因此需要反证更新，不以研究篇幅或机构买入评级代替未来经营检验。</w:t>
      </w:r>
    </w:p>
    <w:p>
      <w:pPr>
        <w:pStyle w:val="Heading2"/>
        <w:rPr/>
      </w:pPr>
      <w:r>
        <w:rPr>
          <w:color w:val="000000"/>
        </w:rPr>
        <w:t>二 收入结构与旧业务的真实变化</w:t>
      </w:r>
    </w:p>
    <w:p>
      <w:pPr>
        <w:pStyle w:val="Normal"/>
        <w:rPr/>
      </w:pPr>
      <w:r>
        <w:rPr/>
        <w:t>2025</w:t>
      </w:r>
      <w:r>
        <w:rPr/>
        <w:t>年收入</w:t>
      </w:r>
      <w:r>
        <w:rPr/>
        <w:t>20.00999</w:t>
      </w:r>
      <w:r>
        <w:rPr/>
        <w:t>亿元，较</w:t>
      </w:r>
      <w:r>
        <w:rPr/>
        <w:t>2024</w:t>
      </w:r>
      <w:r>
        <w:rPr/>
        <w:t>年</w:t>
      </w:r>
      <w:r>
        <w:rPr/>
        <w:t>13.05361</w:t>
      </w:r>
      <w:r>
        <w:rPr/>
        <w:t>亿元增长</w:t>
      </w:r>
      <w:r>
        <w:rPr/>
        <w:t>53.3%</w:t>
      </w:r>
      <w:r>
        <w:rPr/>
        <w:t>，全尺寸人形收入</w:t>
      </w:r>
      <w:r>
        <w:rPr/>
        <w:t>8.20557</w:t>
      </w:r>
      <w:r>
        <w:rPr/>
        <w:t>亿元占</w:t>
      </w:r>
      <w:r>
        <w:rPr/>
        <w:t>41.1%</w:t>
      </w:r>
      <w:r>
        <w:rPr/>
        <w:t>。上半年</w:t>
      </w:r>
      <w:r>
        <w:rPr/>
        <w:t>2026</w:t>
      </w:r>
      <w:r>
        <w:rPr/>
        <w:t>收入</w:t>
      </w:r>
      <w:r>
        <w:rPr/>
        <w:t>12.69130</w:t>
      </w:r>
      <w:r>
        <w:rPr/>
        <w:t>亿元增长</w:t>
      </w:r>
      <w:r>
        <w:rPr/>
        <w:t>104.2%</w:t>
      </w:r>
      <w:r>
        <w:rPr/>
        <w:t>，全尺寸</w:t>
      </w:r>
      <w:r>
        <w:rPr/>
        <w:t>5.90299</w:t>
      </w:r>
      <w:r>
        <w:rPr/>
        <w:t>亿元占</w:t>
      </w:r>
      <w:r>
        <w:rPr/>
        <w:t>46.5%</w:t>
      </w:r>
      <w:r>
        <w:rPr/>
        <w:t>。核心商业化成长明确，但总收入还包括锋龙新增并表</w:t>
      </w:r>
      <w:r>
        <w:rPr/>
        <w:t>1.39176</w:t>
      </w:r>
      <w:r>
        <w:rPr/>
        <w:t>亿元。若把所有集团增长都称机器人自身销售翻倍，会忽略合并范围变化，也会高估原业务自然增速，需要同时比较分类和持股。</w:t>
      </w:r>
    </w:p>
    <w:p>
      <w:pPr>
        <w:pStyle w:val="Normal"/>
        <w:rPr/>
      </w:pPr>
      <w:r>
        <w:rPr/>
        <w:t>非具身人形收入</w:t>
      </w:r>
      <w:r>
        <w:rPr/>
        <w:t>3272.5</w:t>
      </w:r>
      <w:r>
        <w:rPr/>
        <w:t>万元、其他机器人</w:t>
      </w:r>
      <w:r>
        <w:rPr/>
        <w:t>2.45754</w:t>
      </w:r>
      <w:r>
        <w:rPr/>
        <w:t>亿元、其他硬件</w:t>
      </w:r>
      <w:r>
        <w:rPr/>
        <w:t>2.59377</w:t>
      </w:r>
      <w:r>
        <w:rPr/>
        <w:t>亿元、其他</w:t>
      </w:r>
      <w:r>
        <w:rPr/>
        <w:t>179.9</w:t>
      </w:r>
      <w:r>
        <w:rPr/>
        <w:t>万元，显示集团并非单一人形销售。教育机器人旧口径收入</w:t>
      </w:r>
      <w:r>
        <w:rPr/>
        <w:t>1.22019</w:t>
      </w:r>
      <w:r>
        <w:rPr/>
        <w:t>亿元同比下降</w:t>
      </w:r>
      <w:r>
        <w:rPr/>
        <w:t>49.1%</w:t>
      </w:r>
      <w:r>
        <w:rPr/>
        <w:t>，物流旧口径</w:t>
      </w:r>
      <w:r>
        <w:rPr/>
        <w:t>1.37056</w:t>
      </w:r>
      <w:r>
        <w:rPr/>
        <w:t>亿元增长</w:t>
      </w:r>
      <w:r>
        <w:rPr/>
        <w:t>144%</w:t>
      </w:r>
      <w:r>
        <w:rPr/>
        <w:t>，其他行业定制</w:t>
      </w:r>
      <w:r>
        <w:rPr/>
        <w:t>5.81024</w:t>
      </w:r>
      <w:r>
        <w:rPr/>
        <w:t>亿元增长</w:t>
      </w:r>
      <w:r>
        <w:rPr/>
        <w:t>810.7%</w:t>
      </w:r>
      <w:r>
        <w:rPr/>
        <w:t>。这些是不同分类的交叉视图，不能重复相加。模型把优奇物流和锋龙独立，其余原业务归核心，避免旧分类与新分类叠加造成虚增收入。</w:t>
      </w:r>
    </w:p>
    <w:p>
      <w:pPr>
        <w:pStyle w:val="Normal"/>
        <w:rPr/>
      </w:pPr>
      <w:r>
        <w:rPr/>
        <w:t>教育下滑说明长期积累的渠道和项目收入并非稳定底盘。教育采购受预算、课程、招标和验收影响，产品技术提高不一定立即提高采购规模。消费硬件相对稳定可提供销售渠道，但价格、广告和库存也影响利润。原业务收入不能因人形放量就被视为零成本附赠，模型保留其毛利和中央费用。若这些业务长期萎缩，核心研发与销售费用需要由人形承担更多，盈利门槛会上升。</w:t>
      </w:r>
    </w:p>
    <w:p>
      <w:pPr>
        <w:pStyle w:val="Normal"/>
        <w:rPr/>
      </w:pPr>
      <w:r>
        <w:rPr/>
        <w:t>服务收入仅</w:t>
      </w:r>
      <w:r>
        <w:rPr/>
        <w:t>772.7</w:t>
      </w:r>
      <w:r>
        <w:rPr/>
        <w:t>万元，绝大部分收入在商品交付时确认，不能把集团整体当持续高留存软件订阅。机器人未来可以产生维护、软件和功能升级收入，但需合同与实际收款证据，当前不能给每台安装基础自动加永续订阅。一次性交付能迅速增加营收，也可能因客户年度预算和产线建设集中而波动。研究采用正常年率而非季度机械年化，并把现金周期与销售规模分开。</w:t>
      </w:r>
    </w:p>
    <w:p>
      <w:pPr>
        <w:pStyle w:val="Heading2"/>
        <w:rPr/>
      </w:pPr>
      <w:r>
        <w:rPr>
          <w:color w:val="000000"/>
        </w:rPr>
        <w:t xml:space="preserve">三 </w:t>
      </w:r>
      <w:r>
        <w:rPr>
          <w:color w:val="000000"/>
        </w:rPr>
        <w:t>921</w:t>
      </w:r>
      <w:r>
        <w:rPr>
          <w:color w:val="000000"/>
        </w:rPr>
        <w:t>台销售证据及平均价格的限制</w:t>
      </w:r>
    </w:p>
    <w:p>
      <w:pPr>
        <w:pStyle w:val="Normal"/>
        <w:rPr/>
      </w:pPr>
      <w:r>
        <w:rPr/>
        <w:t>上半年全尺寸销量</w:t>
      </w:r>
      <w:r>
        <w:rPr/>
        <w:t>921</w:t>
      </w:r>
      <w:r>
        <w:rPr/>
        <w:t>台，同比增长</w:t>
      </w:r>
      <w:r>
        <w:rPr/>
        <w:t>1946.7%</w:t>
      </w:r>
      <w:r>
        <w:rPr/>
        <w:t>，收入</w:t>
      </w:r>
      <w:r>
        <w:rPr/>
        <w:t>5.90299</w:t>
      </w:r>
      <w:r>
        <w:rPr/>
        <w:t>亿元，简单除法得到约</w:t>
      </w:r>
      <w:r>
        <w:rPr/>
        <w:t>64.09</w:t>
      </w:r>
      <w:r>
        <w:rPr/>
        <w:t>万元每台。收入类别含产品与服务及多种机器人，不能把这个比值称全部</w:t>
      </w:r>
      <w:r>
        <w:rPr/>
        <w:t>Walker S</w:t>
      </w:r>
      <w:r>
        <w:rPr/>
        <w:t>净售价，也不能把</w:t>
      </w:r>
      <w:r>
        <w:rPr/>
        <w:t>921</w:t>
      </w:r>
      <w:r>
        <w:rPr/>
        <w:t>台都视作工业双足产品。公司产品包括轮式</w:t>
      </w:r>
      <w:r>
        <w:rPr/>
        <w:t>Cruzr</w:t>
      </w:r>
      <w:r>
        <w:rPr/>
        <w:t>、商业</w:t>
      </w:r>
      <w:r>
        <w:rPr/>
        <w:t>Walker C</w:t>
      </w:r>
      <w:r>
        <w:rPr/>
        <w:t>及仿生</w:t>
      </w:r>
      <w:r>
        <w:rPr/>
        <w:t>U1</w:t>
      </w:r>
      <w:r>
        <w:rPr/>
        <w:t>等，价格和利润差异很大。模型平均价格是混合销量情景，明确与具体产品已披露售价区分。</w:t>
      </w:r>
    </w:p>
    <w:p>
      <w:pPr>
        <w:pStyle w:val="Normal"/>
        <w:rPr/>
      </w:pPr>
      <w:r>
        <w:rPr/>
        <w:t>工业客户通常先试点，再根据节拍、可靠性和总体成本扩大采购，订单和收入之间需要产能、交付、验收与付款。</w:t>
      </w:r>
      <w:r>
        <w:rPr/>
        <w:t>921</w:t>
      </w:r>
      <w:r>
        <w:rPr/>
        <w:t>台说明较早阶段交付增长，却不足以证明所有客户已进入持续大批量替代工人的阶段。投资者应看新客户转量产、原客户复购和台均利用时间，而非只看合同金额。若出货集中在数据采集、教育或展示，长期商业价值与稳定生产线任务会不同，不能统一赋予同样成长质量。</w:t>
      </w:r>
    </w:p>
    <w:p>
      <w:pPr>
        <w:pStyle w:val="Normal"/>
        <w:rPr/>
      </w:pPr>
      <w:r>
        <w:rPr/>
        <w:t>新闻转述大和九月路演约</w:t>
      </w:r>
      <w:r>
        <w:rPr/>
        <w:t>600</w:t>
      </w:r>
      <w:r>
        <w:rPr/>
        <w:t>台</w:t>
      </w:r>
      <w:r>
        <w:rPr/>
        <w:t>Walker S2</w:t>
      </w:r>
      <w:r>
        <w:rPr/>
        <w:t>、较高产品毛利和原材料成本下降，属于管理层信息而非公司完整分产品财表。它可说明商业势头，却不能与集团</w:t>
      </w:r>
      <w:r>
        <w:rPr/>
        <w:t>921</w:t>
      </w:r>
      <w:r>
        <w:rPr/>
        <w:t>台和</w:t>
      </w:r>
      <w:r>
        <w:rPr/>
        <w:t>44.7%</w:t>
      </w:r>
      <w:r>
        <w:rPr/>
        <w:t>毛利直接混成一个精确模型。产品毛利可能不含研发、销售、维护和资本，材料清单更不等于全成本。本章核心毛利基准</w:t>
      </w:r>
      <w:r>
        <w:rPr/>
        <w:t>50%</w:t>
      </w:r>
      <w:r>
        <w:rPr/>
        <w:t>左右，完整中央研发仍扣，避免把材料便宜直接变成高净利润。</w:t>
      </w:r>
    </w:p>
    <w:p>
      <w:pPr>
        <w:pStyle w:val="Normal"/>
        <w:rPr/>
      </w:pPr>
      <w:r>
        <w:rPr/>
        <w:t>平均价格下降有双面意义：更低价格扩大可经济部署的任务，也需要足够成本改善保护毛利。若价从每台六十万降到三十五万而销量提高，收入是否增长取决于数量能否补足；利润还要看每台维护和交付成本。本模型五年基准五万台、平均三十五万元，不沿用当前售价。价格降幅与销量增长相互独立，市场更大不能保证公司每台留下同样利润，这也是长期评分受限的原因。</w:t>
      </w:r>
    </w:p>
    <w:p>
      <w:pPr>
        <w:pStyle w:val="Heading2"/>
        <w:rPr/>
      </w:pPr>
      <w:r>
        <w:rPr>
          <w:color w:val="000000"/>
        </w:rPr>
        <w:t>四 工业任务的竞争壁垒和可靠性</w:t>
      </w:r>
    </w:p>
    <w:p>
      <w:pPr>
        <w:pStyle w:val="Normal"/>
        <w:rPr/>
      </w:pPr>
      <w:r>
        <w:rPr/>
        <w:t>人形工业机器人适合利用现有面向人设计的空间、工具和工序，潜在优势是减少重新布置产线的成本。但两足平衡和多自由度手臂提高机械、控制和安全复杂度，能在展示环境完成一次任务与全天稳定工作不同。公司需要证明连续运行、错误恢复、维护和节拍。投资者应比较完成相同任务的总体成本，不能因为形态更像人便判断它优于轮式搬运、固定机械臂或专用设备。</w:t>
      </w:r>
    </w:p>
    <w:p>
      <w:pPr>
        <w:pStyle w:val="Normal"/>
        <w:rPr/>
      </w:pPr>
      <w:r>
        <w:rPr/>
        <w:t>Walker</w:t>
      </w:r>
      <w:r>
        <w:rPr/>
        <w:t>系列的价值来自软硬件协调、控制算法、执行器和场景数据积累，单个零部件自研不一定等于整个系统壁垒。客户长期使用可以积累失败和场景反馈，改善可靠性；若交付主要是短期试点，反馈未必转成标准化产品。模型把长期毛利逐步改善建立在可复用交付和规模化供应链上，并不根据专利数量给利润率保证。未来能力差异缩小或传统自动化更经济，应下调核心销售倍数。</w:t>
      </w:r>
    </w:p>
    <w:p>
      <w:pPr>
        <w:pStyle w:val="Normal"/>
        <w:rPr/>
      </w:pPr>
      <w:r>
        <w:rPr/>
        <w:t>安全要求影响工厂采用速度。机器人在人员附近需要限定速度、力量、权限和异常停机，软件能力越强不代表部署可以跳过认证和现场验证。客户对停线、事故和数据泄露的容忍度很低，复杂任务失败可能让采购延期。公司资本与研发因此不是完全可选投入，工程、安全和售后都需持续发生。本章没有把人形产品毛利全部视为可供股东分红的利润，完整费用是商业模型的一部分。</w:t>
      </w:r>
    </w:p>
    <w:p>
      <w:pPr>
        <w:pStyle w:val="Normal"/>
        <w:rPr/>
      </w:pPr>
      <w:r>
        <w:rPr/>
        <w:t>换电、集群调度和多机协作能够增加运行时间，却需要基础设施、任务编排和客户产线适配。它们可能扩大订单，也可能增加售后与系统集成成本。产品收入与系统整体交付利润需要区别，不能假设买机器人之后客户自己承担全部配套。模型中央销售和研发随规模提高，未让费用率无条件快速降至成熟软件水平。若每台部署都需要大量工程师驻场，规模化的利润杠杆将弱于基准。</w:t>
      </w:r>
    </w:p>
    <w:p>
      <w:pPr>
        <w:pStyle w:val="Heading2"/>
        <w:rPr/>
      </w:pPr>
      <w:r>
        <w:rPr>
          <w:color w:val="000000"/>
        </w:rPr>
        <w:t>五 商业服务与消费产品的独立风险</w:t>
      </w:r>
    </w:p>
    <w:p>
      <w:pPr>
        <w:pStyle w:val="Normal"/>
        <w:rPr/>
      </w:pPr>
      <w:r>
        <w:rPr/>
        <w:t>Walker C</w:t>
      </w:r>
      <w:r>
        <w:rPr/>
        <w:t>、仿生</w:t>
      </w:r>
      <w:r>
        <w:rPr/>
        <w:t>U1</w:t>
      </w:r>
      <w:r>
        <w:rPr/>
        <w:t>和轮式产品将可用场景扩展到商业、展示、科研和陪伴，有利于分散工业客户预算，也增加产品与渠道复杂度。商业展示可能支付较高价格，但需求频次低、营销效果容易衰减；科研客户更看重开放接口和控制精度；陪伴客户更关心交互稳定与服务体验。不能把所有用途用一个总市场数字评估，模型混合价和毛利要随产品结构改变而刷新。</w:t>
      </w:r>
    </w:p>
    <w:p>
      <w:pPr>
        <w:pStyle w:val="Normal"/>
        <w:rPr/>
      </w:pPr>
      <w:r>
        <w:rPr/>
        <w:t>高端仿生产品的预售宣传和真实交付需要核验。花旗七月报告担心展示差距和较高价格，这属于机构观点，不能直接断定产品必失败。消费硬件的退货、维修、重复购买和渠道库存才是商业验证。若首批销量主要来自新鲜感而续购弱，不能将其转为长期高成长年率；如果服务、生态和真实使用建立稳定需求，则收入质量可以改善，但需具体留存与客户反馈证据。</w:t>
      </w:r>
    </w:p>
    <w:p>
      <w:pPr>
        <w:pStyle w:val="Normal"/>
        <w:rPr/>
      </w:pPr>
      <w:r>
        <w:rPr/>
        <w:t>与工业场景相比，消费产品通常需要更高营销、零售和售后投入，客户愿付费也受可支配收入影响。体验店能帮助展示，却可能增加固定费用和库存。模型中央销售费用没有因收入增加而完全冻结，乐观情景费用也随更多产品和市场扩展上升。这样既允许单位成本下降，也承认商业化不是一次发布后无成本增长，不能以机器人平台叙事省略渠道经济性。</w:t>
      </w:r>
    </w:p>
    <w:p>
      <w:pPr>
        <w:pStyle w:val="Normal"/>
        <w:rPr/>
      </w:pPr>
      <w:r>
        <w:rPr/>
        <w:t>产品矩阵扩大可以共享执行器、模型和开发工具，也可能分散研发重点与资本资源。公司应解释哪些模块可复用、哪些产品已有量产需求以及新项目预算是否匹配现金。本章并未把每款新产品加独立巨大估值再和集团销售</w:t>
      </w:r>
      <w:r>
        <w:rPr/>
        <w:t>EV</w:t>
      </w:r>
      <w:r>
        <w:rPr/>
        <w:t>相加，那样会重复计同一研发与收入选择权。远期乐观销量已经涵盖更多场景，若再给未经验证的消费平台额外</w:t>
      </w:r>
      <w:r>
        <w:rPr/>
        <w:t>NAV</w:t>
      </w:r>
      <w:r>
        <w:rPr/>
        <w:t>，普通股目标将缺少一致基础。</w:t>
      </w:r>
    </w:p>
    <w:p>
      <w:pPr>
        <w:pStyle w:val="Heading2"/>
        <w:rPr/>
      </w:pPr>
      <w:r>
        <w:rPr>
          <w:color w:val="000000"/>
        </w:rPr>
        <w:t>六 优奇物流与锋龙制造的经济归属</w:t>
      </w:r>
    </w:p>
    <w:p>
      <w:pPr>
        <w:pStyle w:val="Normal"/>
        <w:rPr/>
      </w:pPr>
      <w:r>
        <w:rPr/>
        <w:t>优奇物流有较成熟的搬运和仓储应用，可能比双足复杂任务更快产生收入，也面对轮式和物流集成同行竞争。公司</w:t>
      </w:r>
      <w:r>
        <w:rPr/>
        <w:t>2025</w:t>
      </w:r>
      <w:r>
        <w:rPr/>
        <w:t>年购买更多优奇权益，</w:t>
      </w:r>
      <w:r>
        <w:rPr/>
        <w:t>2026</w:t>
      </w:r>
      <w:r>
        <w:rPr/>
        <w:t>年五月少数方再注资</w:t>
      </w:r>
      <w:r>
        <w:rPr/>
        <w:t>1.55</w:t>
      </w:r>
      <w:r>
        <w:rPr/>
        <w:t>亿元，上市公司经济持股中报为</w:t>
      </w:r>
      <w:r>
        <w:rPr/>
        <w:t>39.88%</w:t>
      </w:r>
      <w:r>
        <w:rPr/>
        <w:t>，因控制安排仍并表。控制可以支持经营协调，却不代表拥有全部利润。模型单列优奇完整经营率和</w:t>
      </w:r>
      <w:r>
        <w:rPr/>
        <w:t>EV</w:t>
      </w:r>
      <w:r>
        <w:rPr/>
        <w:t>，资本桥扣外部</w:t>
      </w:r>
      <w:r>
        <w:rPr/>
        <w:t>60.12%</w:t>
      </w:r>
      <w:r>
        <w:rPr/>
        <w:t>的经营价值及研究净资本准备。</w:t>
      </w:r>
    </w:p>
    <w:p>
      <w:pPr>
        <w:pStyle w:val="Normal"/>
        <w:rPr/>
      </w:pPr>
      <w:r>
        <w:rPr/>
        <w:t>优奇少数融资</w:t>
      </w:r>
      <w:r>
        <w:rPr/>
        <w:t>1.55</w:t>
      </w:r>
      <w:r>
        <w:rPr/>
        <w:t>亿元中，上市公司资本公积增加</w:t>
      </w:r>
      <w:r>
        <w:rPr/>
        <w:t>6079.8</w:t>
      </w:r>
      <w:r>
        <w:rPr/>
        <w:t>万元、少数权益增加</w:t>
      </w:r>
      <w:r>
        <w:rPr/>
        <w:t>9420.2</w:t>
      </w:r>
      <w:r>
        <w:rPr/>
        <w:t>万元，财务能闭合。不能把整个融资同时当上市股东净资产增量，更不能用优奇融资估值全额加上市公司</w:t>
      </w:r>
      <w:r>
        <w:rPr/>
        <w:t>NAV</w:t>
      </w:r>
      <w:r>
        <w:rPr/>
        <w:t>。现金已经在合并六月锚，经济权益需要相应扣除。与基础业务的协同可以提高未来收入，但已分业务收入和利润中反映时，不应再给同一协同添加独立、缺证据的额外估值。</w:t>
      </w:r>
    </w:p>
    <w:p>
      <w:pPr>
        <w:pStyle w:val="Normal"/>
        <w:rPr/>
      </w:pPr>
      <w:r>
        <w:rPr/>
        <w:t>锋龙收购合计</w:t>
      </w:r>
      <w:r>
        <w:rPr/>
        <w:t>43.01%</w:t>
      </w:r>
      <w:r>
        <w:rPr/>
        <w:t>权益，控制安排与董事提名使其并表，普通股仍需扣外部</w:t>
      </w:r>
      <w:r>
        <w:rPr/>
        <w:t>56.99%</w:t>
      </w:r>
      <w:r>
        <w:rPr/>
        <w:t>。业务为园林、汽车和液压零件，与机器人供应链存在可探索协同，但原行业需求和利润率不应采用纯人形高销售倍数。模型锋龙收入和经营率独立，用较低</w:t>
      </w:r>
      <w:r>
        <w:rPr/>
        <w:t>EV</w:t>
      </w:r>
      <w:r>
        <w:rPr/>
        <w:t>销售估值。若只用集团收入高倍数又另加所持锋龙上市股份市值，会对同一资产重复计算，且忽略合并范围的少数索偿。</w:t>
      </w:r>
    </w:p>
    <w:p>
      <w:pPr>
        <w:pStyle w:val="Normal"/>
        <w:rPr/>
      </w:pPr>
      <w:r>
        <w:rPr/>
        <w:t>锋龙独立中报半年收入</w:t>
      </w:r>
      <w:r>
        <w:rPr/>
        <w:t>2.67140627</w:t>
      </w:r>
      <w:r>
        <w:rPr/>
        <w:t>亿元、归母亏</w:t>
      </w:r>
      <w:r>
        <w:rPr/>
        <w:t>201.5</w:t>
      </w:r>
      <w:r>
        <w:rPr/>
        <w:t>万元、经营现金约</w:t>
      </w:r>
      <w:r>
        <w:rPr/>
        <w:t>16.2</w:t>
      </w:r>
      <w:r>
        <w:rPr/>
        <w:t>万元，原件指汇兑、原料和部分业务竞争压力。优必选分类收入</w:t>
      </w:r>
      <w:r>
        <w:rPr/>
        <w:t>1.39176</w:t>
      </w:r>
      <w:r>
        <w:rPr/>
        <w:t>亿元与收购日附注</w:t>
      </w:r>
      <w:r>
        <w:rPr/>
        <w:t>1.37780</w:t>
      </w:r>
      <w:r>
        <w:rPr/>
        <w:t>亿元存在差异，并表起点说明也不同。本章明确保留差额，不称精确无差异有机增长桥；目标用独立正常年率和完整权益。研究不能为了表格闭合而修改原件真实数字，缺口应成为核验记录。</w:t>
      </w:r>
    </w:p>
    <w:p>
      <w:pPr>
        <w:pStyle w:val="Heading2"/>
        <w:rPr/>
      </w:pPr>
      <w:r>
        <w:rPr>
          <w:color w:val="000000"/>
        </w:rPr>
        <w:t>七 并购商誉与资本成本</w:t>
      </w:r>
    </w:p>
    <w:p>
      <w:pPr>
        <w:pStyle w:val="Normal"/>
        <w:rPr/>
      </w:pPr>
      <w:r>
        <w:rPr/>
        <w:t>锋龙收购现金成本</w:t>
      </w:r>
      <w:r>
        <w:rPr/>
        <w:t>16.65324</w:t>
      </w:r>
      <w:r>
        <w:rPr/>
        <w:t>亿元，取得净资产公允份额</w:t>
      </w:r>
      <w:r>
        <w:rPr/>
        <w:t>5.41814</w:t>
      </w:r>
      <w:r>
        <w:rPr/>
        <w:t>亿元，形成商誉</w:t>
      </w:r>
      <w:r>
        <w:rPr/>
        <w:t>11.23510</w:t>
      </w:r>
      <w:r>
        <w:rPr/>
        <w:t>亿元；少数权益初始</w:t>
      </w:r>
      <w:r>
        <w:rPr/>
        <w:t>7.17925</w:t>
      </w:r>
      <w:r>
        <w:rPr/>
        <w:t>亿元。商誉不是独立可出售现金，也不是未来利润保证。收购溢价需要制造能力、渠道、供应链或经营利润证明，否则资产减值可能压权益。模型经营</w:t>
      </w:r>
      <w:r>
        <w:rPr/>
        <w:t>EV</w:t>
      </w:r>
      <w:r>
        <w:rPr/>
        <w:t>包含未来锋龙业务，未再加商誉本金；若另把账面商誉加</w:t>
      </w:r>
      <w:r>
        <w:rPr/>
        <w:t>NAV</w:t>
      </w:r>
      <w:r>
        <w:rPr/>
        <w:t>，就会为同一收购期待重复付价。</w:t>
      </w:r>
    </w:p>
    <w:p>
      <w:pPr>
        <w:pStyle w:val="Normal"/>
        <w:rPr/>
      </w:pPr>
      <w:r>
        <w:rPr/>
        <w:t>取得控制时并表现金和负债也进入集团，净收购现金</w:t>
      </w:r>
      <w:r>
        <w:rPr/>
        <w:t>15.08969</w:t>
      </w:r>
      <w:r>
        <w:rPr/>
        <w:t>亿元不等于总代价</w:t>
      </w:r>
      <w:r>
        <w:rPr/>
        <w:t>16.65324</w:t>
      </w:r>
      <w:r>
        <w:rPr/>
        <w:t>亿元，两者差可包含取得现金与付款口径。不能从六月现金再扣全部已经支付的收购款，亦不能把未付义务忽略。模型从六月真实合并现金开始，后续仅扣新增资本和其他变化。历史现金流用来解释资源消耗，而未来估值桥要根据已付款和未付款分开，不能把历史支出重复延伸为新扣项。</w:t>
      </w:r>
    </w:p>
    <w:p>
      <w:pPr>
        <w:pStyle w:val="Normal"/>
        <w:rPr/>
      </w:pPr>
      <w:r>
        <w:rPr/>
        <w:t>资本结构增加制造资产和在建工程，提高业务控制力也提高固定成本与资金占用。六月在建</w:t>
      </w:r>
      <w:r>
        <w:rPr/>
        <w:t>18.43157</w:t>
      </w:r>
      <w:r>
        <w:rPr/>
        <w:t>亿元、固定资产</w:t>
      </w:r>
      <w:r>
        <w:rPr/>
        <w:t>8.43298</w:t>
      </w:r>
      <w:r>
        <w:rPr/>
        <w:t>亿元，说明资源已大量投入。投产后折旧、维护和利用率将影响完整利润，不能因建设期借款利息资本化就认定融资成本很低。模型将全部借款利息纳入正常费用和现金，资本支出排同笔利息避免重复，形成更贴近经济资源的完整成本估计。</w:t>
      </w:r>
    </w:p>
    <w:p>
      <w:pPr>
        <w:pStyle w:val="Normal"/>
        <w:rPr/>
      </w:pPr>
      <w:r>
        <w:rPr/>
        <w:t>产业协同需要具体结果：采购是否降价、交付周期是否缩短、制造良率是否提高、客户复购是否增长。管理层希望拓展机器人产业链有合理方向，却不应自动授予收购资产高倍数。若锋龙原业务利润受原料和汇兑持续压制，或整合投入超过协同收益，推荐风险上升。并购后的少数股东、关联交易和资金流向也需持续披露，不能仅用合并收入扩大来判断交易成功。</w:t>
      </w:r>
    </w:p>
    <w:p>
      <w:pPr>
        <w:pStyle w:val="Heading2"/>
        <w:rPr/>
      </w:pPr>
      <w:r>
        <w:rPr>
          <w:color w:val="000000"/>
        </w:rPr>
        <w:t>八 毛利与销售行政杠杆</w:t>
      </w:r>
    </w:p>
    <w:p>
      <w:pPr>
        <w:pStyle w:val="Normal"/>
        <w:rPr/>
      </w:pPr>
      <w:r>
        <w:rPr/>
        <w:t>上半年毛利</w:t>
      </w:r>
      <w:r>
        <w:rPr/>
        <w:t>5.66878</w:t>
      </w:r>
      <w:r>
        <w:rPr/>
        <w:t>亿元、毛利率</w:t>
      </w:r>
      <w:r>
        <w:rPr/>
        <w:t>44.7%</w:t>
      </w:r>
      <w:r>
        <w:rPr/>
        <w:t>，较上年</w:t>
      </w:r>
      <w:r>
        <w:rPr/>
        <w:t>35%</w:t>
      </w:r>
      <w:r>
        <w:rPr/>
        <w:t>提升</w:t>
      </w:r>
      <w:r>
        <w:rPr/>
        <w:t>9.7</w:t>
      </w:r>
      <w:r>
        <w:rPr/>
        <w:t>个百分点，收入增</w:t>
      </w:r>
      <w:r>
        <w:rPr/>
        <w:t>104.2%</w:t>
      </w:r>
      <w:r>
        <w:rPr/>
        <w:t>而毛利增</w:t>
      </w:r>
      <w:r>
        <w:rPr/>
        <w:t>160.9%</w:t>
      </w:r>
      <w:r>
        <w:rPr/>
        <w:t>。高毛利全尺寸占比提高是重要商业证据，不能忽略。但毛利尚未覆盖完整销售、行政、研发和信用损失，集团仍亏损。模型用全尺寸与旧核心不同毛利，再分子公司完整经营利润，不把集团毛利直接当净利率，材料降本也不能替代全成本检验。</w:t>
      </w:r>
    </w:p>
    <w:p>
      <w:pPr>
        <w:pStyle w:val="Normal"/>
        <w:rPr/>
      </w:pPr>
      <w:r>
        <w:rPr/>
        <w:t>销售</w:t>
      </w:r>
      <w:r>
        <w:rPr/>
        <w:t>2.38034</w:t>
      </w:r>
      <w:r>
        <w:rPr/>
        <w:t>亿元增长</w:t>
      </w:r>
      <w:r>
        <w:rPr/>
        <w:t>6.5%</w:t>
      </w:r>
      <w:r>
        <w:rPr/>
        <w:t>，占收入</w:t>
      </w:r>
      <w:r>
        <w:rPr/>
        <w:t>18.8%</w:t>
      </w:r>
      <w:r>
        <w:rPr/>
        <w:t>低于上年</w:t>
      </w:r>
      <w:r>
        <w:rPr/>
        <w:t>36%</w:t>
      </w:r>
      <w:r>
        <w:rPr/>
        <w:t>，说明收入扩大带来费用率改善。行政</w:t>
      </w:r>
      <w:r>
        <w:rPr/>
        <w:t>1.49346</w:t>
      </w:r>
      <w:r>
        <w:rPr/>
        <w:t>亿元下降</w:t>
      </w:r>
      <w:r>
        <w:rPr/>
        <w:t>19.3%</w:t>
      </w:r>
      <w:r>
        <w:rPr/>
        <w:t>，主要有股权支付减少因素，不能全部归因管理效率。研发</w:t>
      </w:r>
      <w:r>
        <w:rPr/>
        <w:t>3.03083</w:t>
      </w:r>
      <w:r>
        <w:rPr/>
        <w:t>亿元增</w:t>
      </w:r>
      <w:r>
        <w:rPr/>
        <w:t>38.9%</w:t>
      </w:r>
      <w:r>
        <w:rPr/>
        <w:t>，占收入</w:t>
      </w:r>
      <w:r>
        <w:rPr/>
        <w:t>23.9%</w:t>
      </w:r>
      <w:r>
        <w:rPr/>
        <w:t>。今年上半年</w:t>
      </w:r>
      <w:r>
        <w:rPr/>
        <w:t>SBC</w:t>
      </w:r>
      <w:r>
        <w:rPr/>
        <w:t>为零对表面费用改善有帮助，但未来新股激励已批准；正常估值保留额外常态</w:t>
      </w:r>
      <w:r>
        <w:rPr/>
        <w:t>SBC</w:t>
      </w:r>
      <w:r>
        <w:rPr/>
        <w:t>，不将当前零费用自动延伸到五年。</w:t>
      </w:r>
    </w:p>
    <w:p>
      <w:pPr>
        <w:pStyle w:val="Normal"/>
        <w:rPr/>
      </w:pPr>
      <w:r>
        <w:rPr/>
        <w:t>信用损失</w:t>
      </w:r>
      <w:r>
        <w:rPr/>
        <w:t>9107</w:t>
      </w:r>
      <w:r>
        <w:rPr/>
        <w:t>万元远高于上年</w:t>
      </w:r>
      <w:r>
        <w:rPr/>
        <w:t>130.3</w:t>
      </w:r>
      <w:r>
        <w:rPr/>
        <w:t>万元，公司说明计提方法从外部评级转迁移率。方法变化可以解释部分跳升，却不能证明回款风险消失。应收</w:t>
      </w:r>
      <w:r>
        <w:rPr/>
        <w:t>16.79607</w:t>
      </w:r>
      <w:r>
        <w:rPr/>
        <w:t>亿元高于半年收入，单一客户收入</w:t>
      </w:r>
      <w:r>
        <w:rPr/>
        <w:t>3.08543</w:t>
      </w:r>
      <w:r>
        <w:rPr/>
        <w:t>亿元占约</w:t>
      </w:r>
      <w:r>
        <w:rPr/>
        <w:t>24%</w:t>
      </w:r>
      <w:r>
        <w:rPr/>
        <w:t>，值得关注。利润和交付增速若长期快于现金收款，公司仍需外部融资。模型信用准备与营运资本各有用途，前者利润损失、后者现金时点，不把两者机械重复为同一坏账本金。</w:t>
      </w:r>
    </w:p>
    <w:p>
      <w:pPr>
        <w:pStyle w:val="Normal"/>
        <w:rPr/>
      </w:pPr>
      <w:r>
        <w:rPr/>
        <w:t>规模化可能降低每台研发与销售固定成本，也可能因为产品质量、客户多样化和服务网络扩大而提高绝对费用。基准中央研发、销售行政随收入上升，不冻结在上半年水平；子公司利润率已含其独立费用，中央费用只包含总部及原核心分配。由于公司未披露完整分部净利润，费用分配属研究假设，应通过合并总成本交叉检查。不能把分部毛利和总部低费用拼成不真实的集团利润。</w:t>
      </w:r>
    </w:p>
    <w:p>
      <w:pPr>
        <w:pStyle w:val="Heading2"/>
        <w:rPr/>
      </w:pPr>
      <w:r>
        <w:rPr>
          <w:color w:val="000000"/>
        </w:rPr>
        <w:t>九 利润 调整指标及借款利息核对</w:t>
      </w:r>
    </w:p>
    <w:p>
      <w:pPr>
        <w:pStyle w:val="Normal"/>
        <w:rPr/>
      </w:pPr>
      <w:r>
        <w:rPr/>
        <w:t>2025</w:t>
      </w:r>
      <w:r>
        <w:rPr/>
        <w:t>年集团亏</w:t>
      </w:r>
      <w:r>
        <w:rPr/>
        <w:t>7.89823</w:t>
      </w:r>
      <w:r>
        <w:rPr/>
        <w:t>亿元，归母</w:t>
      </w:r>
      <w:r>
        <w:rPr/>
        <w:t>7.03191</w:t>
      </w:r>
      <w:r>
        <w:rPr/>
        <w:t>亿元，差少数亏损</w:t>
      </w:r>
      <w:r>
        <w:rPr/>
        <w:t>8663.2</w:t>
      </w:r>
      <w:r>
        <w:rPr/>
        <w:t>万元；调整集团亏</w:t>
      </w:r>
      <w:r>
        <w:rPr/>
        <w:t>6.90523</w:t>
      </w:r>
      <w:r>
        <w:rPr/>
        <w:t>亿元为加回</w:t>
      </w:r>
      <w:r>
        <w:rPr/>
        <w:t>SBC9930</w:t>
      </w:r>
      <w:r>
        <w:rPr/>
        <w:t>万元。上半年集团亏</w:t>
      </w:r>
      <w:r>
        <w:rPr/>
        <w:t>3.38827</w:t>
      </w:r>
      <w:r>
        <w:rPr/>
        <w:t>亿元、归母</w:t>
      </w:r>
      <w:r>
        <w:rPr/>
        <w:t>3.11478</w:t>
      </w:r>
      <w:r>
        <w:rPr/>
        <w:t>亿元，</w:t>
      </w:r>
      <w:r>
        <w:rPr/>
        <w:t>SBC</w:t>
      </w:r>
      <w:r>
        <w:rPr/>
        <w:t>零，调整亏与集团相同。机构新闻有时把归母与集团统称净亏，研究必须保留原财表层次。目标普通股利润扣子公司少数归属，不能使用集团亏损改善幅度直接作为每股盈利改善。</w:t>
      </w:r>
    </w:p>
    <w:p>
      <w:pPr>
        <w:pStyle w:val="Normal"/>
        <w:rPr/>
      </w:pPr>
      <w:r>
        <w:rPr/>
        <w:t>PRC GAAP</w:t>
      </w:r>
      <w:r>
        <w:rPr/>
        <w:t>经营利润包括金融费用、投资收益等，与本章纯经营估值利润不是同一概念。上半年财务费用</w:t>
      </w:r>
      <w:r>
        <w:rPr/>
        <w:t>2328.2</w:t>
      </w:r>
      <w:r>
        <w:rPr/>
        <w:t>万元包括借款息</w:t>
      </w:r>
      <w:r>
        <w:rPr/>
        <w:t>2118.2</w:t>
      </w:r>
      <w:r>
        <w:rPr/>
        <w:t>万元、租息</w:t>
      </w:r>
      <w:r>
        <w:rPr/>
        <w:t>119.1</w:t>
      </w:r>
      <w:r>
        <w:rPr/>
        <w:t>万元、资本化借款息减</w:t>
      </w:r>
      <w:r>
        <w:rPr/>
        <w:t>2118.2</w:t>
      </w:r>
      <w:r>
        <w:rPr/>
        <w:t>万元、存款利息减</w:t>
      </w:r>
      <w:r>
        <w:rPr/>
        <w:t>5259.6</w:t>
      </w:r>
      <w:r>
        <w:rPr/>
        <w:t>万元、汇兑</w:t>
      </w:r>
      <w:r>
        <w:rPr/>
        <w:t>7385.7</w:t>
      </w:r>
      <w:r>
        <w:rPr/>
        <w:t>万元及其他</w:t>
      </w:r>
      <w:r>
        <w:rPr/>
        <w:t>83</w:t>
      </w:r>
      <w:r>
        <w:rPr/>
        <w:t>万元。资本化让损益表只显示较小利息，却不改变现金或债义务。模型保留完整借款息，而把财资本金加资本、收益排经营</w:t>
      </w:r>
      <w:r>
        <w:rPr/>
        <w:t>EV</w:t>
      </w:r>
      <w:r>
        <w:rPr/>
        <w:t>。</w:t>
      </w:r>
    </w:p>
    <w:p>
      <w:pPr>
        <w:pStyle w:val="Normal"/>
        <w:rPr/>
      </w:pPr>
      <w:r>
        <w:rPr/>
        <w:t>上半年税费</w:t>
      </w:r>
      <w:r>
        <w:rPr/>
        <w:t>5904</w:t>
      </w:r>
      <w:r>
        <w:rPr/>
        <w:t>万元，即使集团亏损仍需纳税，因为不同盈利子公司不能与所有集团损失完全抵销。本模型分别对正原核心、优奇和锋龙经营利润计算税，亏损主体不产生负税收益。若只在合并亏损时设全集团税零，会高估现金。已确认税务、递延税和历史损失利用属于具体会计条件，不宜为了改善目标价假设全部亏损均可立即抵税，未来应按真实盈利主体更新。</w:t>
      </w:r>
    </w:p>
    <w:p>
      <w:pPr>
        <w:pStyle w:val="Normal"/>
        <w:rPr/>
      </w:pPr>
      <w:r>
        <w:rPr/>
        <w:t>调整</w:t>
      </w:r>
      <w:r>
        <w:rPr/>
        <w:t>EBITDA</w:t>
      </w:r>
      <w:r>
        <w:rPr/>
        <w:t>负</w:t>
      </w:r>
      <w:r>
        <w:rPr/>
        <w:t>1.74144</w:t>
      </w:r>
      <w:r>
        <w:rPr/>
        <w:t>亿元，加回利息、税、折旧、信用和资产损失再扣利息收入。这能展示营运表现，却排除资产消耗和信用损失，不能当可分配现金。固定与</w:t>
      </w:r>
      <w:r>
        <w:rPr/>
        <w:t>ROU</w:t>
      </w:r>
      <w:r>
        <w:rPr/>
        <w:t>、无形和长期预付折旧摊销合计</w:t>
      </w:r>
      <w:r>
        <w:rPr/>
        <w:t>6220.7</w:t>
      </w:r>
      <w:r>
        <w:rPr/>
        <w:t>万元，原件可核对。模型正常利润保留这些费用，现金桥仅按真实资本性质加回后扣未来资本与租现金，不以</w:t>
      </w:r>
      <w:r>
        <w:rPr/>
        <w:t>EBITDA</w:t>
      </w:r>
      <w:r>
        <w:rPr/>
        <w:t>转正替代普通股价值和现金自给。</w:t>
      </w:r>
    </w:p>
    <w:p>
      <w:pPr>
        <w:pStyle w:val="Heading2"/>
        <w:rPr/>
      </w:pPr>
      <w:r>
        <w:rPr>
          <w:color w:val="000000"/>
        </w:rPr>
        <w:t>十 现金流与营运资本的实际压力</w:t>
      </w:r>
    </w:p>
    <w:p>
      <w:pPr>
        <w:pStyle w:val="Normal"/>
        <w:rPr/>
      </w:pPr>
      <w:r>
        <w:rPr/>
        <w:t>2025</w:t>
      </w:r>
      <w:r>
        <w:rPr/>
        <w:t>年经营现金流出</w:t>
      </w:r>
      <w:r>
        <w:rPr/>
        <w:t>7.84111</w:t>
      </w:r>
      <w:r>
        <w:rPr/>
        <w:t>亿元、资本现金</w:t>
      </w:r>
      <w:r>
        <w:rPr/>
        <w:t>4.09024</w:t>
      </w:r>
      <w:r>
        <w:rPr/>
        <w:t>亿元，自由现金代理负</w:t>
      </w:r>
      <w:r>
        <w:rPr/>
        <w:t>11.93135</w:t>
      </w:r>
      <w:r>
        <w:rPr/>
        <w:t>亿元。上半年经营现金流出</w:t>
      </w:r>
      <w:r>
        <w:rPr/>
        <w:t>7.49490</w:t>
      </w:r>
      <w:r>
        <w:rPr/>
        <w:t>亿元，资本现金</w:t>
      </w:r>
      <w:r>
        <w:rPr/>
        <w:t>2.61283</w:t>
      </w:r>
      <w:r>
        <w:rPr/>
        <w:t>亿元，代理负</w:t>
      </w:r>
      <w:r>
        <w:rPr/>
        <w:t>10.10773</w:t>
      </w:r>
      <w:r>
        <w:rPr/>
        <w:t>亿元，几乎在半年消耗上年全年规模。加上收购净现金</w:t>
      </w:r>
      <w:r>
        <w:rPr/>
        <w:t>15.08969</w:t>
      </w:r>
      <w:r>
        <w:rPr/>
        <w:t>亿元后，六月现金等价物降至</w:t>
      </w:r>
      <w:r>
        <w:rPr/>
        <w:t>23.25626</w:t>
      </w:r>
      <w:r>
        <w:rPr/>
        <w:t>亿元。业务收入增长明确，资金消耗也明确，不能用亏损收窄便断言经营现金已经改善。</w:t>
      </w:r>
    </w:p>
    <w:p>
      <w:pPr>
        <w:pStyle w:val="Normal"/>
        <w:rPr/>
      </w:pPr>
      <w:r>
        <w:rPr/>
        <w:t>存货</w:t>
      </w:r>
      <w:r>
        <w:rPr/>
        <w:t>9.85473</w:t>
      </w:r>
      <w:r>
        <w:rPr/>
        <w:t>亿元，较年末</w:t>
      </w:r>
      <w:r>
        <w:rPr/>
        <w:t>5.76526</w:t>
      </w:r>
      <w:r>
        <w:rPr/>
        <w:t>亿元增加；营运存货现金变化负</w:t>
      </w:r>
      <w:r>
        <w:rPr/>
        <w:t>2.6844</w:t>
      </w:r>
      <w:r>
        <w:rPr/>
        <w:t>亿元、经营应收变化负</w:t>
      </w:r>
      <w:r>
        <w:rPr/>
        <w:t>4.07536</w:t>
      </w:r>
      <w:r>
        <w:rPr/>
        <w:t>亿元，经营应付仅增</w:t>
      </w:r>
      <w:r>
        <w:rPr/>
        <w:t>282.5</w:t>
      </w:r>
      <w:r>
        <w:rPr/>
        <w:t>万元。量产爬坡需要备件、在制品和已发货待验收库存，增长初期占用可合理，但需后续交付和回款释放。若库存持续高而售价下降，利润可能受到减值与促销压力。模型</w:t>
      </w:r>
      <w:r>
        <w:rPr/>
        <w:t>NWC</w:t>
      </w:r>
      <w:r>
        <w:rPr/>
        <w:t>按目标规模增加，不能把会计利润直接积累成现金。</w:t>
      </w:r>
    </w:p>
    <w:p>
      <w:pPr>
        <w:pStyle w:val="Normal"/>
        <w:rPr/>
      </w:pPr>
      <w:r>
        <w:rPr/>
        <w:t>六月货币资金</w:t>
      </w:r>
      <w:r>
        <w:rPr/>
        <w:t>23.81213</w:t>
      </w:r>
      <w:r>
        <w:rPr/>
        <w:t>亿元含受限</w:t>
      </w:r>
      <w:r>
        <w:rPr/>
        <w:t>5558.7</w:t>
      </w:r>
      <w:r>
        <w:rPr/>
        <w:t>万元，非受限现金</w:t>
      </w:r>
      <w:r>
        <w:rPr/>
        <w:t>23.25626</w:t>
      </w:r>
      <w:r>
        <w:rPr/>
        <w:t>亿元；流动财资</w:t>
      </w:r>
      <w:r>
        <w:rPr/>
        <w:t>2.70055</w:t>
      </w:r>
      <w:r>
        <w:rPr/>
        <w:t>亿元另按实现率加，财务股权和联营分开</w:t>
      </w:r>
      <w:r>
        <w:rPr/>
        <w:t>NAV</w:t>
      </w:r>
      <w:r>
        <w:rPr/>
        <w:t>。资产表摘要、现金流和受限说明核对能避免重复。银行债应包括短期</w:t>
      </w:r>
      <w:r>
        <w:rPr/>
        <w:t>3.83256</w:t>
      </w:r>
      <w:r>
        <w:rPr/>
        <w:t>亿元、长期</w:t>
      </w:r>
      <w:r>
        <w:rPr/>
        <w:t>4.86655</w:t>
      </w:r>
      <w:r>
        <w:rPr/>
        <w:t>亿元和一年内长期</w:t>
      </w:r>
      <w:r>
        <w:rPr/>
        <w:t>1.27416</w:t>
      </w:r>
      <w:r>
        <w:rPr/>
        <w:t>亿元，合计</w:t>
      </w:r>
      <w:r>
        <w:rPr/>
        <w:t>9.97327</w:t>
      </w:r>
      <w:r>
        <w:rPr/>
        <w:t>亿元。只看非流动长期债会遗漏近期本金，只用受限前现金会夸大可用资源。</w:t>
      </w:r>
    </w:p>
    <w:p>
      <w:pPr>
        <w:pStyle w:val="Normal"/>
        <w:rPr/>
      </w:pPr>
      <w:r>
        <w:rPr/>
        <w:t>租赁负债约</w:t>
      </w:r>
      <w:r>
        <w:rPr/>
        <w:t>4622.7</w:t>
      </w:r>
      <w:r>
        <w:rPr/>
        <w:t>万元，半年租现金</w:t>
      </w:r>
      <w:r>
        <w:rPr/>
        <w:t>1853</w:t>
      </w:r>
      <w:r>
        <w:rPr/>
        <w:t>万元，融资部分</w:t>
      </w:r>
      <w:r>
        <w:rPr/>
        <w:t>1702.8</w:t>
      </w:r>
      <w:r>
        <w:rPr/>
        <w:t>万元，其余营运。模型加回</w:t>
      </w:r>
      <w:r>
        <w:rPr/>
        <w:t>ROU</w:t>
      </w:r>
      <w:r>
        <w:rPr/>
        <w:t>折旧后扣完整租现金，资本</w:t>
      </w:r>
      <w:r>
        <w:rPr/>
        <w:t>EV</w:t>
      </w:r>
      <w:r>
        <w:rPr/>
        <w:t>约定为经营资源估值，不再完整扣同笔租债。若未来改用不扣租现金的现金框架，应同步调整租债处理，不能两种规则混合。类似地，资本化银行利息已在正常费用扣，资本现金必须排同笔重复，才能使现金桥与债资本一致。</w:t>
      </w:r>
    </w:p>
    <w:p>
      <w:pPr>
        <w:pStyle w:val="Heading2"/>
        <w:rPr/>
      </w:pPr>
      <w:r>
        <w:rPr>
          <w:color w:val="000000"/>
        </w:rPr>
        <w:t>十一 融资 激励股与流通供给</w:t>
      </w:r>
    </w:p>
    <w:p>
      <w:pPr>
        <w:pStyle w:val="Normal"/>
        <w:rPr/>
      </w:pPr>
      <w:r>
        <w:rPr/>
        <w:t>九月总法定股份</w:t>
      </w:r>
      <w:r>
        <w:rPr/>
        <w:t>5.03401373</w:t>
      </w:r>
      <w:r>
        <w:rPr/>
        <w:t>亿，</w:t>
      </w:r>
      <w:r>
        <w:rPr/>
        <w:t>H</w:t>
      </w:r>
      <w:r>
        <w:rPr/>
        <w:t>股</w:t>
      </w:r>
      <w:r>
        <w:rPr/>
        <w:t>4.38189327</w:t>
      </w:r>
      <w:r>
        <w:rPr/>
        <w:t>亿、内资</w:t>
      </w:r>
      <w:r>
        <w:rPr/>
        <w:t>6521.2046</w:t>
      </w:r>
      <w:r>
        <w:rPr/>
        <w:t>万股，合计不变。七月部分内资转</w:t>
      </w:r>
      <w:r>
        <w:rPr/>
        <w:t>H</w:t>
      </w:r>
      <w:r>
        <w:rPr/>
        <w:t>股改变流通结构，却不新增公司经济权益。九月再申请</w:t>
      </w:r>
      <w:r>
        <w:rPr/>
        <w:t>1758.1288</w:t>
      </w:r>
      <w:r>
        <w:rPr/>
        <w:t>万内资全流通，截止没有完成，不能立即加入可交易</w:t>
      </w:r>
      <w:r>
        <w:rPr/>
        <w:t>H</w:t>
      </w:r>
      <w:r>
        <w:rPr/>
        <w:t>股；即使未来完成，也不应再增总股数。交易供给影响短期价格，股本经济分母影响估值，两者要分别记录，避免把全流通误称融资稀释。</w:t>
      </w:r>
    </w:p>
    <w:p>
      <w:pPr>
        <w:pStyle w:val="Normal"/>
        <w:rPr/>
      </w:pPr>
      <w:r>
        <w:rPr/>
        <w:t>旧激励信托十月八日市场购八万股，总持</w:t>
      </w:r>
      <w:r>
        <w:rPr/>
        <w:t>114.695</w:t>
      </w:r>
      <w:r>
        <w:rPr/>
        <w:t>万股，现金约</w:t>
      </w:r>
      <w:r>
        <w:rPr/>
        <w:t>553.4823</w:t>
      </w:r>
      <w:r>
        <w:rPr/>
        <w:t>万港元。它不是取消股份的回购，也不意味着公司净现金与每股权益因购入就增加。会计表列员工持股库存成本</w:t>
      </w:r>
      <w:r>
        <w:rPr/>
        <w:t>5771.6</w:t>
      </w:r>
      <w:r>
        <w:rPr/>
        <w:t>万元，月报法律库存股为零，口径不同。本模型已发信托尚未交付部分从有效经济分母临时扣，随目标交付恢复，未来新奖股另加，不把同一已发股份重复新增。</w:t>
      </w:r>
    </w:p>
    <w:p>
      <w:pPr>
        <w:pStyle w:val="Normal"/>
        <w:rPr/>
      </w:pPr>
      <w:r>
        <w:rPr/>
        <w:t>八月新方案允许发行</w:t>
      </w:r>
      <w:r>
        <w:rPr/>
        <w:t>H</w:t>
      </w:r>
      <w:r>
        <w:rPr/>
        <w:t>股，上限</w:t>
      </w:r>
      <w:r>
        <w:rPr/>
        <w:t>5034.0137</w:t>
      </w:r>
      <w:r>
        <w:rPr/>
        <w:t>万，九月授</w:t>
      </w:r>
      <w:r>
        <w:rPr/>
        <w:t>362.447</w:t>
      </w:r>
      <w:r>
        <w:rPr/>
        <w:t>万，月报未发。首批最多</w:t>
      </w:r>
      <w:r>
        <w:rPr/>
        <w:t>195.9832</w:t>
      </w:r>
      <w:r>
        <w:rPr/>
        <w:t>万可在九月底达考核后归属，后续</w:t>
      </w:r>
      <w:r>
        <w:rPr/>
        <w:t>12</w:t>
      </w:r>
      <w:r>
        <w:rPr/>
        <w:t>、</w:t>
      </w:r>
      <w:r>
        <w:rPr/>
        <w:t>24</w:t>
      </w:r>
      <w:r>
        <w:rPr/>
        <w:t>和</w:t>
      </w:r>
      <w:r>
        <w:rPr/>
        <w:t>36</w:t>
      </w:r>
      <w:r>
        <w:rPr/>
        <w:t>个月分批。归属不等于已经发行，实际发行需完成程序。本章按研究目标准备新增奖股，并区分方案上限与已授批次；不会一开始把上限全加，也不会因九月月报零新发就忽略未来激励的每股成本。</w:t>
      </w:r>
    </w:p>
    <w:p>
      <w:pPr>
        <w:pStyle w:val="Normal"/>
        <w:rPr/>
      </w:pPr>
      <w:r>
        <w:rPr/>
        <w:t>银行授信申请上限</w:t>
      </w:r>
      <w:r>
        <w:rPr/>
        <w:t>26</w:t>
      </w:r>
      <w:r>
        <w:rPr/>
        <w:t>亿元经股东流程批准，具体额度和条件需银行同意，不能当</w:t>
      </w:r>
      <w:r>
        <w:rPr/>
        <w:t>26</w:t>
      </w:r>
      <w:r>
        <w:rPr/>
        <w:t>亿元已到现金或免费净资产。融资债增加现金也增加索偿，股融增加现金也增加股数。模型未来选择股融现金和发行价联动，现金不足再计算最低补足数，必须实际成功。若市场价格低、担保不足或客户回款差，融资未必可得；不能用自动最低融资公式宣称流动性风险已消除。</w:t>
      </w:r>
    </w:p>
    <w:p>
      <w:pPr>
        <w:pStyle w:val="Heading2"/>
        <w:rPr/>
      </w:pPr>
      <w:r>
        <w:rPr>
          <w:color w:val="000000"/>
        </w:rPr>
        <w:t>十二 经济前景与行业周期</w:t>
      </w:r>
    </w:p>
    <w:p>
      <w:pPr>
        <w:pStyle w:val="Normal"/>
        <w:rPr/>
      </w:pPr>
      <w:r>
        <w:rPr/>
        <w:t>机器人行业处于试点向规模部署的阶段，订单热度可以先于收入和盈利。制造资本开支恢复有利需求，但客户更强调投资回收期、设备可靠性和维护成本。经济偏弱时替代人工的愿望可能增强，预算审批却更谨慎。优必选应证明每台任务成本和产线价值，而非仅把人形技术进步与宏观订单同时放大。模型对规模化给成长空间，对完整费用与营运资金保持约束。</w:t>
      </w:r>
    </w:p>
    <w:p>
      <w:pPr>
        <w:pStyle w:val="Normal"/>
        <w:rPr/>
      </w:pPr>
      <w:r>
        <w:rPr/>
        <w:t>汽车和消费电子等制造客户的需求会受行业产能、价格竞争和出口政策影响，不能把客户所属行业增长全部转成机器人采购。现有产线若可以通过专用设备更便宜提高效率，人形采用会延后。地方项目、科研和教育预算还受招标与财政周期影响。单一大客户占收入</w:t>
      </w:r>
      <w:r>
        <w:rPr/>
        <w:t>24%</w:t>
      </w:r>
      <w:r>
        <w:rPr/>
        <w:t>意味着客户验收或付款变化可影响半年数据，投资者应关注客户分散和复购，而非只看发布会上签约总量。</w:t>
      </w:r>
    </w:p>
    <w:p>
      <w:pPr>
        <w:pStyle w:val="Normal"/>
        <w:rPr/>
      </w:pPr>
      <w:r>
        <w:rPr/>
        <w:t>利率下降可以减轻借款成本并支持成长权益倍数，却难以抵销交付失速。公司银行借款部分浮息、土地股权专利担保，长期本金到</w:t>
      </w:r>
      <w:r>
        <w:rPr/>
        <w:t>2031</w:t>
      </w:r>
      <w:r>
        <w:rPr/>
        <w:t>年前需还，债并非无成本耐心资本。模型保留完整借款息和新增债准备。若资本扩张依赖更多授信，盈利改善可能被利息和担保约束抵消；价格目标不能只奖励宏观流动性，而忘记经营资产必须产生足够回报。</w:t>
      </w:r>
    </w:p>
    <w:p>
      <w:pPr>
        <w:pStyle w:val="Normal"/>
        <w:rPr/>
      </w:pPr>
      <w:r>
        <w:rPr/>
        <w:t>汇率影响海外收入、进口零件与港股报价，</w:t>
      </w:r>
      <w:r>
        <w:rPr/>
        <w:t>2026</w:t>
      </w:r>
      <w:r>
        <w:rPr/>
        <w:t>上半年汇兑损失明显。锋龙部分出口和原料业务亦受人民币变化影响，集团合并汇兑不能全部归人形。模型经营财务人民币、港股价格按每人民币</w:t>
      </w:r>
      <w:r>
        <w:rPr/>
        <w:t>1.1684</w:t>
      </w:r>
      <w:r>
        <w:rPr/>
        <w:t>港元研究</w:t>
      </w:r>
      <w:r>
        <w:rPr/>
        <w:t>FX</w:t>
      </w:r>
      <w:r>
        <w:rPr/>
        <w:t>，汇率变化另做敏感性。人民币投资者最终回报需以港币兑换变化计，不应将港币涨幅直接认定人民币收益；即使公司有自然对冲，也需要具体现金货币结构核验。</w:t>
      </w:r>
    </w:p>
    <w:p>
      <w:pPr>
        <w:pStyle w:val="Heading2"/>
        <w:rPr/>
      </w:pPr>
      <w:r>
        <w:rPr>
          <w:color w:val="000000"/>
        </w:rPr>
        <w:t>十三 竞争 政策与经营持续性</w:t>
      </w:r>
    </w:p>
    <w:p>
      <w:pPr>
        <w:pStyle w:val="Normal"/>
        <w:rPr/>
      </w:pPr>
      <w:r>
        <w:rPr/>
        <w:t>同行量产、融资和上市增加，会降低优必选稀缺股票的估值溢价，却不一定降低机器人行业需求。机构摩根大通九月将评级降中性，强调行业仍是多年故事但主流部署更复杂，给</w:t>
      </w:r>
      <w:r>
        <w:rPr/>
        <w:t>2027</w:t>
      </w:r>
      <w:r>
        <w:rPr/>
        <w:t>年十二月</w:t>
      </w:r>
      <w:r>
        <w:rPr/>
        <w:t>74</w:t>
      </w:r>
      <w:r>
        <w:rPr/>
        <w:t>港元。行业进取观点与个股谨慎估值可以并存。研究不把同行上市的消息当确定收入损失，也不继续使用唯一上市入口逻辑支持高倍数，估值需要真实业务差异。</w:t>
      </w:r>
    </w:p>
    <w:p>
      <w:pPr>
        <w:pStyle w:val="Normal"/>
        <w:rPr/>
      </w:pPr>
      <w:r>
        <w:rPr/>
        <w:t>大科技公司的基础模型、硬件、供应链与资金可能推动行业进步，也可能成为强竞争者。优必选长期积累的控制与工业工程有价值，需要与更好的任务模型和边缘计算结合。自研或合作芯片可以降低成本，但开发投入、良率和产品适配仍要验证。不能因公司宣布合作就给独立芯片平台完整估值，也不能假设机器人控制能力会自动成为全球通用基础模型护城河。</w:t>
      </w:r>
    </w:p>
    <w:p>
      <w:pPr>
        <w:pStyle w:val="Normal"/>
        <w:rPr/>
      </w:pPr>
      <w:r>
        <w:rPr/>
        <w:t>政策支持、示范工厂和科研需求有利早期采用，长期盈利仍需要客户愿意在无补助条件下续购。政府订单不一定质量差，但金额、验收和回款节奏可能与工业重复采购不同。公司公开披露的技术路线和地方产业资源应转化为具体产能与产品效果。若订单主要依赖非经常支持，补助减少会同时影响毛利、信用和现金，不能把政策利好固定写成五年增长保证。</w:t>
      </w:r>
    </w:p>
    <w:p>
      <w:pPr>
        <w:pStyle w:val="Normal"/>
        <w:rPr/>
      </w:pPr>
      <w:r>
        <w:rPr/>
        <w:t>海外部署带来更大客户空间，也需安全、认证、数据和售后网络。对工业设备，运输、备件和维修响应影响总体成本，不是开通线上销售即可完成。原件未细分所有地区产品利润，本章不编造海外溢价和市占率。长期乐观已经包含较强扩展，若认证或售后拖累规模，销量、毛利和费用需同步下调，避免只下调销量却维持不现实的高利润率。</w:t>
      </w:r>
    </w:p>
    <w:p>
      <w:pPr>
        <w:pStyle w:val="Heading2"/>
        <w:rPr/>
      </w:pPr>
      <w:r>
        <w:rPr>
          <w:color w:val="000000"/>
        </w:rPr>
        <w:t>十四 半年日线与估值位置</w:t>
      </w:r>
    </w:p>
    <w:p>
      <w:pPr>
        <w:pStyle w:val="Normal"/>
        <w:rPr/>
      </w:pPr>
      <w:r>
        <w:rPr/>
        <w:t>行情截至基准有</w:t>
      </w:r>
      <w:r>
        <w:rPr/>
        <w:t>683</w:t>
      </w:r>
      <w:r>
        <w:rPr/>
        <w:t>日、</w:t>
      </w:r>
      <w:r>
        <w:rPr/>
        <w:t>146</w:t>
      </w:r>
      <w:r>
        <w:rPr/>
        <w:t>周，上市不足完整三年，使用全部真实历史；日线可算</w:t>
      </w:r>
      <w:r>
        <w:rPr/>
        <w:t>250</w:t>
      </w:r>
      <w:r>
        <w:rPr/>
        <w:t>日，</w:t>
      </w:r>
      <w:r>
        <w:rPr/>
        <w:t>250</w:t>
      </w:r>
      <w:r>
        <w:rPr/>
        <w:t>周不存在。腾讯与独立报价和日线核验按锁定数据执行，成交量为股，复权归一到基准名义价格。</w:t>
      </w:r>
      <w:r>
        <w:rPr/>
        <w:t>20</w:t>
      </w:r>
      <w:r>
        <w:rPr/>
        <w:t>日线</w:t>
      </w:r>
      <w:r>
        <w:rPr/>
        <w:t>76.255</w:t>
      </w:r>
      <w:r>
        <w:rPr/>
        <w:t>、</w:t>
      </w:r>
      <w:r>
        <w:rPr/>
        <w:t>60</w:t>
      </w:r>
      <w:r>
        <w:rPr/>
        <w:t>日</w:t>
      </w:r>
      <w:r>
        <w:rPr/>
        <w:t>81.713333</w:t>
      </w:r>
      <w:r>
        <w:rPr/>
        <w:t>、</w:t>
      </w:r>
      <w:r>
        <w:rPr/>
        <w:t>120</w:t>
      </w:r>
      <w:r>
        <w:rPr/>
        <w:t>日</w:t>
      </w:r>
      <w:r>
        <w:rPr/>
        <w:t>93.372917</w:t>
      </w:r>
      <w:r>
        <w:rPr/>
        <w:t>、</w:t>
      </w:r>
      <w:r>
        <w:rPr/>
        <w:t>250</w:t>
      </w:r>
      <w:r>
        <w:rPr/>
        <w:t>日</w:t>
      </w:r>
      <w:r>
        <w:rPr/>
        <w:t>108.3868</w:t>
      </w:r>
      <w:r>
        <w:rPr/>
        <w:t>港元，现价全部在下，距离分别负</w:t>
      </w:r>
      <w:r>
        <w:rPr/>
        <w:t>5.9078%</w:t>
      </w:r>
      <w:r>
        <w:rPr/>
        <w:t>、负</w:t>
      </w:r>
      <w:r>
        <w:rPr/>
        <w:t>12.1930%</w:t>
      </w:r>
      <w:r>
        <w:rPr/>
        <w:t>、负</w:t>
      </w:r>
      <w:r>
        <w:rPr/>
        <w:t>23.1576%</w:t>
      </w:r>
      <w:r>
        <w:rPr/>
        <w:t>、负</w:t>
      </w:r>
      <w:r>
        <w:rPr/>
        <w:t>33.8019%</w:t>
      </w:r>
      <w:r>
        <w:rPr/>
        <w:t>。</w:t>
      </w:r>
    </w:p>
    <w:p>
      <w:pPr>
        <w:pStyle w:val="Normal"/>
        <w:rPr/>
      </w:pPr>
      <w:r>
        <w:rPr/>
        <w:t>四条均线五日斜率全部负，约负</w:t>
      </w:r>
      <w:r>
        <w:rPr/>
        <w:t>3.5754%</w:t>
      </w:r>
      <w:r>
        <w:rPr/>
        <w:t>、负</w:t>
      </w:r>
      <w:r>
        <w:rPr/>
        <w:t>1.2189%</w:t>
      </w:r>
      <w:r>
        <w:rPr/>
        <w:t>、负</w:t>
      </w:r>
      <w:r>
        <w:rPr/>
        <w:t>1.5906%</w:t>
      </w:r>
      <w:r>
        <w:rPr/>
        <w:t>、负</w:t>
      </w:r>
      <w:r>
        <w:rPr/>
        <w:t>1.3194%</w:t>
      </w:r>
      <w:r>
        <w:rPr/>
        <w:t>，中短期下降证据一致。现价靠近</w:t>
      </w:r>
      <w:r>
        <w:rPr/>
        <w:t>20</w:t>
      </w:r>
      <w:r>
        <w:rPr/>
        <w:t>日线不代表长期便宜，只说明最近均线较容易修复。短线若站回</w:t>
      </w:r>
      <w:r>
        <w:rPr/>
        <w:t>76.3</w:t>
      </w:r>
      <w:r>
        <w:rPr/>
        <w:t>并维持更高低点，技术风险可缓和；还需要突破</w:t>
      </w:r>
      <w:r>
        <w:rPr/>
        <w:t>82.35</w:t>
      </w:r>
      <w:r>
        <w:rPr/>
        <w:t>窗口上沿和</w:t>
      </w:r>
      <w:r>
        <w:rPr/>
        <w:t>60</w:t>
      </w:r>
      <w:r>
        <w:rPr/>
        <w:t>日线方向变化，才更接近半年趋势恢复。不能将一次触线或盘中冲高直接称有效突破。</w:t>
      </w:r>
    </w:p>
    <w:p>
      <w:pPr>
        <w:pStyle w:val="Normal"/>
        <w:rPr/>
      </w:pPr>
      <w:r>
        <w:rPr/>
        <w:t>20</w:t>
      </w:r>
      <w:r>
        <w:rPr/>
        <w:t>日和</w:t>
      </w:r>
      <w:r>
        <w:rPr/>
        <w:t>60</w:t>
      </w:r>
      <w:r>
        <w:rPr/>
        <w:t>日最低</w:t>
      </w:r>
      <w:r>
        <w:rPr/>
        <w:t>69</w:t>
      </w:r>
      <w:r>
        <w:rPr/>
        <w:t>港元，现价距其负</w:t>
      </w:r>
      <w:r>
        <w:rPr/>
        <w:t>3.8328%</w:t>
      </w:r>
      <w:r>
        <w:rPr/>
        <w:t>；</w:t>
      </w:r>
      <w:r>
        <w:rPr/>
        <w:t>20</w:t>
      </w:r>
      <w:r>
        <w:rPr/>
        <w:t>日高</w:t>
      </w:r>
      <w:r>
        <w:rPr/>
        <w:t>82.35</w:t>
      </w:r>
      <w:r>
        <w:rPr/>
        <w:t>距现价正</w:t>
      </w:r>
      <w:r>
        <w:rPr/>
        <w:t>14.7735%</w:t>
      </w:r>
      <w:r>
        <w:rPr/>
        <w:t>，</w:t>
      </w:r>
      <w:r>
        <w:rPr/>
        <w:t>60</w:t>
      </w:r>
      <w:r>
        <w:rPr/>
        <w:t>日高</w:t>
      </w:r>
      <w:r>
        <w:rPr/>
        <w:t>95.45</w:t>
      </w:r>
      <w:r>
        <w:rPr/>
        <w:t>距现价正</w:t>
      </w:r>
      <w:r>
        <w:rPr/>
        <w:t>33.0314%</w:t>
      </w:r>
      <w:r>
        <w:rPr/>
        <w:t>。这些是观察窗极值，尚未做触碰次数筛选，不保证支撑。</w:t>
      </w:r>
      <w:r>
        <w:rPr/>
        <w:t>69</w:t>
      </w:r>
      <w:r>
        <w:rPr/>
        <w:t>失守后若不能回收且量增，下降判断加强；站回</w:t>
      </w:r>
      <w:r>
        <w:rPr/>
        <w:t>83</w:t>
      </w:r>
      <w:r>
        <w:rPr/>
        <w:t>附近但成交短促，也可能只是弱势反弹。估值</w:t>
      </w:r>
      <w:r>
        <w:rPr/>
        <w:t>105.83</w:t>
      </w:r>
      <w:r>
        <w:rPr/>
        <w:t>与技术阻力不是同一用途，目标可以高于阻力，但入场证据仍需分别验证。</w:t>
      </w:r>
    </w:p>
    <w:p>
      <w:pPr>
        <w:pStyle w:val="Normal"/>
        <w:rPr/>
      </w:pPr>
      <w:r>
        <w:rPr/>
        <w:t>完整最近一年日线高</w:t>
      </w:r>
      <w:r>
        <w:rPr/>
        <w:t>161</w:t>
      </w:r>
      <w:r>
        <w:rPr/>
        <w:t>、低</w:t>
      </w:r>
      <w:r>
        <w:rPr/>
        <w:t>69</w:t>
      </w:r>
      <w:r>
        <w:rPr/>
        <w:t>港元，现价距高负</w:t>
      </w:r>
      <w:r>
        <w:rPr/>
        <w:t>55.4348%</w:t>
      </w:r>
      <w:r>
        <w:rPr/>
        <w:t>，日线最大回撤约</w:t>
      </w:r>
      <w:r>
        <w:rPr/>
        <w:t>56.1192%</w:t>
      </w:r>
      <w:r>
        <w:rPr/>
        <w:t>。周线窗口高</w:t>
      </w:r>
      <w:r>
        <w:rPr/>
        <w:t>156.4</w:t>
      </w:r>
      <w:r>
        <w:rPr/>
        <w:t>和回撤不同，因周期采样与端点不同，不能混用。历史高点仅反映当时交易愿付价，不作为公允价值必然回归来源。融资与机构目标下调可能改变原估值锚，股价跌一半不能说明同样利润估值便宜一半，还要核对目标收入和股数变化。</w:t>
      </w:r>
    </w:p>
    <w:p>
      <w:pPr>
        <w:pStyle w:val="Heading2"/>
        <w:rPr/>
      </w:pPr>
      <w:r>
        <w:rPr>
          <w:color w:val="000000"/>
        </w:rPr>
        <w:t>十五 成交量 相对表现与辅助指标</w:t>
      </w:r>
    </w:p>
    <w:p>
      <w:pPr>
        <w:pStyle w:val="Normal"/>
        <w:rPr/>
      </w:pPr>
      <w:r>
        <w:rPr/>
        <w:t>基准日成交</w:t>
      </w:r>
      <w:r>
        <w:rPr/>
        <w:t>399.7949</w:t>
      </w:r>
      <w:r>
        <w:rPr/>
        <w:t>万股、成交额</w:t>
      </w:r>
      <w:r>
        <w:rPr/>
        <w:t>2.824263</w:t>
      </w:r>
      <w:r>
        <w:rPr/>
        <w:t>亿元港币，量比前</w:t>
      </w:r>
      <w:r>
        <w:rPr/>
        <w:t>20</w:t>
      </w:r>
      <w:r>
        <w:rPr/>
        <w:t>日约</w:t>
      </w:r>
      <w:r>
        <w:rPr/>
        <w:t>1.2065</w:t>
      </w:r>
      <w:r>
        <w:rPr/>
        <w:t>。</w:t>
      </w:r>
      <w:r>
        <w:rPr/>
        <w:t>5</w:t>
      </w:r>
      <w:r>
        <w:rPr/>
        <w:t>日均量</w:t>
      </w:r>
      <w:r>
        <w:rPr/>
        <w:t>270.83212</w:t>
      </w:r>
      <w:r>
        <w:rPr/>
        <w:t>万，</w:t>
      </w:r>
      <w:r>
        <w:rPr/>
        <w:t>20</w:t>
      </w:r>
      <w:r>
        <w:rPr/>
        <w:t>日</w:t>
      </w:r>
      <w:r>
        <w:rPr/>
        <w:t>326.90069</w:t>
      </w:r>
      <w:r>
        <w:rPr/>
        <w:t>万，</w:t>
      </w:r>
      <w:r>
        <w:rPr/>
        <w:t>60</w:t>
      </w:r>
      <w:r>
        <w:rPr/>
        <w:t>日</w:t>
      </w:r>
      <w:r>
        <w:rPr/>
        <w:t>483.935507</w:t>
      </w:r>
      <w:r>
        <w:rPr/>
        <w:t>万，短均量仍低于中期。当天价格反弹伴量提高可以证明局部承接，不能证明大资金吸筹。没有逐笔主动买卖和持有人资料，本章不画声称精确筹码分布，也不将单日成交直接解释为长期基金买入或对冲离场。</w:t>
      </w:r>
    </w:p>
    <w:p>
      <w:pPr>
        <w:pStyle w:val="Normal"/>
        <w:rPr/>
      </w:pPr>
      <w:r>
        <w:rPr/>
        <w:t>近</w:t>
      </w:r>
      <w:r>
        <w:rPr/>
        <w:t>20</w:t>
      </w:r>
      <w:r>
        <w:rPr/>
        <w:t>日上涨八天、下跌十二天，上涨日量</w:t>
      </w:r>
      <w:r>
        <w:rPr/>
        <w:t>2436.7896</w:t>
      </w:r>
      <w:r>
        <w:rPr/>
        <w:t>万股、下跌</w:t>
      </w:r>
      <w:r>
        <w:rPr/>
        <w:t>4101.2242</w:t>
      </w:r>
      <w:r>
        <w:rPr/>
        <w:t>万股，比</w:t>
      </w:r>
      <w:r>
        <w:rPr/>
        <w:t>0.5942</w:t>
      </w:r>
      <w:r>
        <w:rPr/>
        <w:t>，供需仍偏弱。</w:t>
      </w:r>
      <w:r>
        <w:rPr/>
        <w:t>20</w:t>
      </w:r>
      <w:r>
        <w:rPr/>
        <w:t>日回报负</w:t>
      </w:r>
      <w:r>
        <w:rPr/>
        <w:t>10.9801%</w:t>
      </w:r>
      <w:r>
        <w:rPr/>
        <w:t>、</w:t>
      </w:r>
      <w:r>
        <w:rPr/>
        <w:t>60</w:t>
      </w:r>
      <w:r>
        <w:rPr/>
        <w:t>日负</w:t>
      </w:r>
      <w:r>
        <w:rPr/>
        <w:t>19.1094%</w:t>
      </w:r>
      <w:r>
        <w:rPr/>
        <w:t>，相对恒生落后</w:t>
      </w:r>
      <w:r>
        <w:rPr/>
        <w:t>8.0022</w:t>
      </w:r>
      <w:r>
        <w:rPr/>
        <w:t>、</w:t>
      </w:r>
      <w:r>
        <w:rPr/>
        <w:t>15.9215</w:t>
      </w:r>
      <w:r>
        <w:rPr/>
        <w:t>个百分点，相对恒生科技落后</w:t>
      </w:r>
      <w:r>
        <w:rPr/>
        <w:t>7.9170</w:t>
      </w:r>
      <w:r>
        <w:rPr/>
        <w:t>、</w:t>
      </w:r>
      <w:r>
        <w:rPr/>
        <w:t>5.9413</w:t>
      </w:r>
      <w:r>
        <w:rPr/>
        <w:t>个百分点。恒生科技只是相关粗基准，非纯机器人指数；相对弱势可用作证据，不宜把全部落后归因某个单一事件或公司质量。</w:t>
      </w:r>
    </w:p>
    <w:p>
      <w:pPr>
        <w:pStyle w:val="Normal"/>
        <w:rPr/>
      </w:pPr>
      <w:r>
        <w:rPr/>
        <w:t>RSI14</w:t>
      </w:r>
      <w:r>
        <w:rPr/>
        <w:t>约</w:t>
      </w:r>
      <w:r>
        <w:rPr/>
        <w:t>38.0931</w:t>
      </w:r>
      <w:r>
        <w:rPr/>
        <w:t>，处弱势但未极端低；</w:t>
      </w:r>
      <w:r>
        <w:rPr/>
        <w:t>MACD</w:t>
      </w:r>
      <w:r>
        <w:rPr/>
        <w:t>差离负</w:t>
      </w:r>
      <w:r>
        <w:rPr/>
        <w:t>2.8113</w:t>
      </w:r>
      <w:r>
        <w:rPr/>
        <w:t>、信号负</w:t>
      </w:r>
      <w:r>
        <w:rPr/>
        <w:t>2.4870</w:t>
      </w:r>
      <w:r>
        <w:rPr/>
        <w:t>、双倍柱负</w:t>
      </w:r>
      <w:r>
        <w:rPr/>
        <w:t>0.6487</w:t>
      </w:r>
      <w:r>
        <w:rPr/>
        <w:t>，下跌动能仍在。</w:t>
      </w:r>
      <w:r>
        <w:rPr/>
        <w:t>ATR14</w:t>
      </w:r>
      <w:r>
        <w:rPr/>
        <w:t>约</w:t>
      </w:r>
      <w:r>
        <w:rPr/>
        <w:t>3.32999</w:t>
      </w:r>
      <w:r>
        <w:rPr/>
        <w:t>港元，占现价</w:t>
      </w:r>
      <w:r>
        <w:rPr/>
        <w:t>4.6411%</w:t>
      </w:r>
      <w:r>
        <w:rPr/>
        <w:t>，反映过去波动尺度，不是未来最大日跌幅。突破应同时看价格位置、量与相对强弱，几个相近指标不重复加分。若事件跳空，价格可超过</w:t>
      </w:r>
      <w:r>
        <w:rPr/>
        <w:t>ATR</w:t>
      </w:r>
      <w:r>
        <w:rPr/>
        <w:t>，不能用它声称资金损失已被精确限制。</w:t>
      </w:r>
    </w:p>
    <w:p>
      <w:pPr>
        <w:pStyle w:val="Normal"/>
        <w:rPr/>
      </w:pPr>
      <w:r>
        <w:rPr/>
        <w:t>146</w:t>
      </w:r>
      <w:r>
        <w:rPr/>
        <w:t>周线</w:t>
      </w:r>
      <w:r>
        <w:rPr/>
        <w:t>20</w:t>
      </w:r>
      <w:r>
        <w:rPr/>
        <w:t>周</w:t>
      </w:r>
      <w:r>
        <w:rPr/>
        <w:t>88.6075</w:t>
      </w:r>
      <w:r>
        <w:rPr/>
        <w:t>、</w:t>
      </w:r>
      <w:r>
        <w:rPr/>
        <w:t>60</w:t>
      </w:r>
      <w:r>
        <w:rPr/>
        <w:t>周</w:t>
      </w:r>
      <w:r>
        <w:rPr/>
        <w:t>109.5125</w:t>
      </w:r>
      <w:r>
        <w:rPr/>
        <w:t>、</w:t>
      </w:r>
      <w:r>
        <w:rPr/>
        <w:t>120</w:t>
      </w:r>
      <w:r>
        <w:rPr/>
        <w:t>周</w:t>
      </w:r>
      <w:r>
        <w:rPr/>
        <w:t>99.37125</w:t>
      </w:r>
      <w:r>
        <w:rPr/>
        <w:t>港元，现价分别低</w:t>
      </w:r>
      <w:r>
        <w:rPr/>
        <w:t>19.0249%</w:t>
      </w:r>
      <w:r>
        <w:rPr/>
        <w:t>、</w:t>
      </w:r>
      <w:r>
        <w:rPr/>
        <w:t>34.4824%</w:t>
      </w:r>
      <w:r>
        <w:rPr/>
        <w:t>、</w:t>
      </w:r>
      <w:r>
        <w:rPr/>
        <w:t>27.7960%</w:t>
      </w:r>
      <w:r>
        <w:rPr/>
        <w:t>，斜率均负；周</w:t>
      </w:r>
      <w:r>
        <w:rPr/>
        <w:t>MACD</w:t>
      </w:r>
      <w:r>
        <w:rPr/>
        <w:t>柱负</w:t>
      </w:r>
      <w:r>
        <w:rPr/>
        <w:t>1.9577</w:t>
      </w:r>
      <w:r>
        <w:rPr/>
        <w:t>。周</w:t>
      </w:r>
      <w:r>
        <w:rPr/>
        <w:t>20</w:t>
      </w:r>
      <w:r>
        <w:rPr/>
        <w:t>窗口上涨九周下跌十一周、量比</w:t>
      </w:r>
      <w:r>
        <w:rPr/>
        <w:t>0.9037</w:t>
      </w:r>
      <w:r>
        <w:rPr/>
        <w:t>，短周成交约前</w:t>
      </w:r>
      <w:r>
        <w:rPr/>
        <w:t>20</w:t>
      </w:r>
      <w:r>
        <w:rPr/>
        <w:t>周</w:t>
      </w:r>
      <w:r>
        <w:rPr/>
        <w:t>0.3599</w:t>
      </w:r>
      <w:r>
        <w:rPr/>
        <w:t>，长期修复未见充分证据。半年观察成立需日线恢复后周低点同步抬升，若周收盘继续走低，量价评分不应因订单新闻提前提高。</w:t>
      </w:r>
    </w:p>
    <w:p>
      <w:pPr>
        <w:pStyle w:val="Heading2"/>
        <w:rPr/>
      </w:pPr>
      <w:r>
        <w:rPr>
          <w:color w:val="000000"/>
        </w:rPr>
        <w:t>十六 单活动模型和短期估值参数</w:t>
      </w:r>
    </w:p>
    <w:p>
      <w:pPr>
        <w:pStyle w:val="Normal"/>
        <w:rPr/>
      </w:pPr>
      <w:r>
        <w:rPr/>
        <w:t>本章模型按全尺寸正常年销量乘平均价格，加旧核心业务，再分别加优奇物流与锋龙制造。中央研发销售行政和常态</w:t>
      </w:r>
      <w:r>
        <w:rPr/>
        <w:t>SBC</w:t>
      </w:r>
      <w:r>
        <w:rPr/>
        <w:t>从核心扣，子公司独立经营率已经含其完整费用。集团合并现金和债统一进入资本桥，少数索偿按各业务</w:t>
      </w:r>
      <w:r>
        <w:rPr/>
        <w:t>EV</w:t>
      </w:r>
      <w:r>
        <w:rPr/>
        <w:t>与研究净资本分配扣。净资本分配不是公司披露的精确分部现金，只是避免把子公司资源全部归母的准备，未来财表更详细时应替换。</w:t>
      </w:r>
    </w:p>
    <w:p>
      <w:pPr>
        <w:pStyle w:val="Normal"/>
        <w:rPr/>
      </w:pPr>
      <w:r>
        <w:rPr/>
        <w:t>年底基准</w:t>
      </w:r>
      <w:r>
        <w:rPr/>
        <w:t>4200</w:t>
      </w:r>
      <w:r>
        <w:rPr/>
        <w:t>台、平均</w:t>
      </w:r>
      <w:r>
        <w:rPr/>
        <w:t>60</w:t>
      </w:r>
      <w:r>
        <w:rPr/>
        <w:t>万元，全尺寸收入</w:t>
      </w:r>
      <w:r>
        <w:rPr/>
        <w:t>25.2</w:t>
      </w:r>
      <w:r>
        <w:rPr/>
        <w:t>亿元，旧核心</w:t>
      </w:r>
      <w:r>
        <w:rPr/>
        <w:t>9</w:t>
      </w:r>
      <w:r>
        <w:rPr/>
        <w:t>亿元，优奇</w:t>
      </w:r>
      <w:r>
        <w:rPr/>
        <w:t>4.8</w:t>
      </w:r>
      <w:r>
        <w:rPr/>
        <w:t>亿、锋龙</w:t>
      </w:r>
      <w:r>
        <w:rPr/>
        <w:t>6</w:t>
      </w:r>
      <w:r>
        <w:rPr/>
        <w:t>亿，集团正常</w:t>
      </w:r>
      <w:r>
        <w:rPr/>
        <w:t>45</w:t>
      </w:r>
      <w:r>
        <w:rPr/>
        <w:t>亿元。全尺寸毛利</w:t>
      </w:r>
      <w:r>
        <w:rPr/>
        <w:t>50%</w:t>
      </w:r>
      <w:r>
        <w:rPr/>
        <w:t>、旧核心</w:t>
      </w:r>
      <w:r>
        <w:rPr/>
        <w:t>35%</w:t>
      </w:r>
      <w:r>
        <w:rPr/>
        <w:t>，中央研发</w:t>
      </w:r>
      <w:r>
        <w:rPr/>
        <w:t>8</w:t>
      </w:r>
      <w:r>
        <w:rPr/>
        <w:t>亿、销售</w:t>
      </w:r>
      <w:r>
        <w:rPr/>
        <w:t>4.6</w:t>
      </w:r>
      <w:r>
        <w:rPr/>
        <w:t>亿、行政</w:t>
      </w:r>
      <w:r>
        <w:rPr/>
        <w:t>2.8</w:t>
      </w:r>
      <w:r>
        <w:rPr/>
        <w:t>亿、常态</w:t>
      </w:r>
      <w:r>
        <w:rPr/>
        <w:t>SBC1.4</w:t>
      </w:r>
      <w:r>
        <w:rPr/>
        <w:t>亿、信用</w:t>
      </w:r>
      <w:r>
        <w:rPr/>
        <w:t>1.2</w:t>
      </w:r>
      <w:r>
        <w:rPr/>
        <w:t>亿，核心经营仍亏</w:t>
      </w:r>
      <w:r>
        <w:rPr/>
        <w:t>2.65</w:t>
      </w:r>
      <w:r>
        <w:rPr/>
        <w:t>亿元。正常年率不是</w:t>
      </w:r>
      <w:r>
        <w:rPr/>
        <w:t>2026</w:t>
      </w:r>
      <w:r>
        <w:rPr/>
        <w:t>全年已披露收入；它高于路演转述</w:t>
      </w:r>
      <w:r>
        <w:rPr/>
        <w:t>35</w:t>
      </w:r>
      <w:r>
        <w:rPr/>
        <w:t>亿元指引，属于更进取估值假设，需下半年交付和未来爬坡验证。</w:t>
      </w:r>
    </w:p>
    <w:p>
      <w:pPr>
        <w:pStyle w:val="Normal"/>
        <w:rPr/>
      </w:pPr>
      <w:r>
        <w:rPr/>
        <w:t>年底原核心</w:t>
      </w:r>
      <w:r>
        <w:rPr/>
        <w:t>11</w:t>
      </w:r>
      <w:r>
        <w:rPr/>
        <w:t>倍销售</w:t>
      </w:r>
      <w:r>
        <w:rPr/>
        <w:t>EV376.2</w:t>
      </w:r>
      <w:r>
        <w:rPr/>
        <w:t>亿元，加优奇</w:t>
      </w:r>
      <w:r>
        <w:rPr/>
        <w:t>9.6</w:t>
      </w:r>
      <w:r>
        <w:rPr/>
        <w:t>亿、锋龙</w:t>
      </w:r>
      <w:r>
        <w:rPr/>
        <w:t>7.2</w:t>
      </w:r>
      <w:r>
        <w:rPr/>
        <w:t>亿后，再扣净资本、少数权益和完整股数，基准</w:t>
      </w:r>
      <w:r>
        <w:rPr/>
        <w:t>86.86</w:t>
      </w:r>
      <w:r>
        <w:rPr/>
        <w:t>港元。</w:t>
      </w:r>
      <w:r>
        <w:rPr/>
        <w:t>25.70</w:t>
      </w:r>
      <w:r>
        <w:rPr/>
        <w:t>悲观使用</w:t>
      </w:r>
      <w:r>
        <w:rPr/>
        <w:t>2300</w:t>
      </w:r>
      <w:r>
        <w:rPr/>
        <w:t>台、低价低毛利及</w:t>
      </w:r>
      <w:r>
        <w:rPr/>
        <w:t>6</w:t>
      </w:r>
      <w:r>
        <w:rPr/>
        <w:t>倍销售；</w:t>
      </w:r>
      <w:r>
        <w:rPr/>
        <w:t>203.21</w:t>
      </w:r>
      <w:r>
        <w:rPr/>
        <w:t>乐观</w:t>
      </w:r>
      <w:r>
        <w:rPr/>
        <w:t>6500</w:t>
      </w:r>
      <w:r>
        <w:rPr/>
        <w:t>台、较高价和毛利及</w:t>
      </w:r>
      <w:r>
        <w:rPr/>
        <w:t>16</w:t>
      </w:r>
      <w:r>
        <w:rPr/>
        <w:t>倍。年底期望</w:t>
      </w:r>
      <w:r>
        <w:rPr/>
        <w:t>100.6575</w:t>
      </w:r>
      <w:r>
        <w:rPr/>
        <w:t>对乐观高价权重敏感，防御权重只有</w:t>
      </w:r>
      <w:r>
        <w:rPr/>
        <w:t>74.031</w:t>
      </w:r>
      <w:r>
        <w:rPr/>
        <w:t>。期望值是判断平均，不代表价格会上涨</w:t>
      </w:r>
      <w:r>
        <w:rPr/>
        <w:t>40%</w:t>
      </w:r>
      <w:r>
        <w:rPr/>
        <w:t>，短期倍数变化可主导实际回报。</w:t>
      </w:r>
    </w:p>
    <w:p>
      <w:pPr>
        <w:pStyle w:val="Normal"/>
        <w:rPr/>
      </w:pPr>
      <w:r>
        <w:rPr/>
        <w:t>半年基准</w:t>
      </w:r>
      <w:r>
        <w:rPr/>
        <w:t>6500</w:t>
      </w:r>
      <w:r>
        <w:rPr/>
        <w:t>台、</w:t>
      </w:r>
      <w:r>
        <w:rPr/>
        <w:t>57</w:t>
      </w:r>
      <w:r>
        <w:rPr/>
        <w:t>万元，核心正常收入</w:t>
      </w:r>
      <w:r>
        <w:rPr/>
        <w:t>47.05</w:t>
      </w:r>
      <w:r>
        <w:rPr/>
        <w:t>亿元，优奇</w:t>
      </w:r>
      <w:r>
        <w:rPr/>
        <w:t>6.5</w:t>
      </w:r>
      <w:r>
        <w:rPr/>
        <w:t>亿、锋龙</w:t>
      </w:r>
      <w:r>
        <w:rPr/>
        <w:t>7</w:t>
      </w:r>
      <w:r>
        <w:rPr/>
        <w:t>亿，集团</w:t>
      </w:r>
      <w:r>
        <w:rPr/>
        <w:t>60.55</w:t>
      </w:r>
      <w:r>
        <w:rPr/>
        <w:t>亿元。中央完整费用和子公司税后形成集团微利，但普通股仍亏约</w:t>
      </w:r>
      <w:r>
        <w:rPr/>
        <w:t>1.08448</w:t>
      </w:r>
      <w:r>
        <w:rPr/>
        <w:t>亿元，现金代理负</w:t>
      </w:r>
      <w:r>
        <w:rPr/>
        <w:t>18.2255</w:t>
      </w:r>
      <w:r>
        <w:rPr/>
        <w:t>亿元。所需未来融资约</w:t>
      </w:r>
      <w:r>
        <w:rPr/>
        <w:t>6.522701</w:t>
      </w:r>
      <w:r>
        <w:rPr/>
        <w:t>亿元、发行价</w:t>
      </w:r>
      <w:r>
        <w:rPr/>
        <w:t>80</w:t>
      </w:r>
      <w:r>
        <w:rPr/>
        <w:t>港元增</w:t>
      </w:r>
      <w:r>
        <w:rPr/>
        <w:t>952.6405</w:t>
      </w:r>
      <w:r>
        <w:rPr/>
        <w:t>万股，目标有效股</w:t>
      </w:r>
      <w:r>
        <w:rPr/>
        <w:t>5.14887610</w:t>
      </w:r>
      <w:r>
        <w:rPr/>
        <w:t>亿。</w:t>
      </w:r>
      <w:r>
        <w:rPr/>
        <w:t>105.83</w:t>
      </w:r>
      <w:r>
        <w:rPr/>
        <w:t>的价值主要来自未来销售而非低</w:t>
      </w:r>
      <w:r>
        <w:rPr/>
        <w:t>PE</w:t>
      </w:r>
      <w:r>
        <w:rPr/>
        <w:t>，现金与交付同步验证很重要。</w:t>
      </w:r>
    </w:p>
    <w:p>
      <w:pPr>
        <w:pStyle w:val="Heading2"/>
        <w:rPr/>
      </w:pPr>
      <w:r>
        <w:rPr>
          <w:color w:val="000000"/>
        </w:rPr>
        <w:t>十七 一年转盈利与利润估值交叉</w:t>
      </w:r>
    </w:p>
    <w:p>
      <w:pPr>
        <w:pStyle w:val="Normal"/>
        <w:rPr/>
      </w:pPr>
      <w:r>
        <w:rPr/>
        <w:t>一年基准一万台、</w:t>
      </w:r>
      <w:r>
        <w:rPr/>
        <w:t>53</w:t>
      </w:r>
      <w:r>
        <w:rPr/>
        <w:t>万元，核心收入</w:t>
      </w:r>
      <w:r>
        <w:rPr/>
        <w:t>64</w:t>
      </w:r>
      <w:r>
        <w:rPr/>
        <w:t>亿元，优奇</w:t>
      </w:r>
      <w:r>
        <w:rPr/>
        <w:t>9</w:t>
      </w:r>
      <w:r>
        <w:rPr/>
        <w:t>亿元、锋龙</w:t>
      </w:r>
      <w:r>
        <w:rPr/>
        <w:t>8.5</w:t>
      </w:r>
      <w:r>
        <w:rPr/>
        <w:t>亿元，集团</w:t>
      </w:r>
      <w:r>
        <w:rPr/>
        <w:t>81.5</w:t>
      </w:r>
      <w:r>
        <w:rPr/>
        <w:t>亿元。核心毛利</w:t>
      </w:r>
      <w:r>
        <w:rPr/>
        <w:t>30.46</w:t>
      </w:r>
      <w:r>
        <w:rPr/>
        <w:t>亿元，完整研发</w:t>
      </w:r>
      <w:r>
        <w:rPr/>
        <w:t>13</w:t>
      </w:r>
      <w:r>
        <w:rPr/>
        <w:t>亿、销售</w:t>
      </w:r>
      <w:r>
        <w:rPr/>
        <w:t>7.5</w:t>
      </w:r>
      <w:r>
        <w:rPr/>
        <w:t>亿、行政</w:t>
      </w:r>
      <w:r>
        <w:rPr/>
        <w:t>4.2</w:t>
      </w:r>
      <w:r>
        <w:rPr/>
        <w:t>亿、</w:t>
      </w:r>
      <w:r>
        <w:rPr/>
        <w:t>SBC2.5</w:t>
      </w:r>
      <w:r>
        <w:rPr/>
        <w:t>亿、信用</w:t>
      </w:r>
      <w:r>
        <w:rPr/>
        <w:t>1.8</w:t>
      </w:r>
      <w:r>
        <w:rPr/>
        <w:t>亿与税费</w:t>
      </w:r>
      <w:r>
        <w:rPr/>
        <w:t>0.4</w:t>
      </w:r>
      <w:r>
        <w:rPr/>
        <w:t>亿后，核心经营利润</w:t>
      </w:r>
      <w:r>
        <w:rPr/>
        <w:t>1.06</w:t>
      </w:r>
      <w:r>
        <w:rPr/>
        <w:t>亿元；集团经营利润</w:t>
      </w:r>
      <w:r>
        <w:rPr/>
        <w:t>2.3325</w:t>
      </w:r>
      <w:r>
        <w:rPr/>
        <w:t>亿元。正主体税分别扣后，少数利润和完整融资费用使普通股利润仅</w:t>
      </w:r>
      <w:r>
        <w:rPr/>
        <w:t>6595.1</w:t>
      </w:r>
      <w:r>
        <w:rPr/>
        <w:t>万元，转正幅度很小，不能直接理解为成熟盈利。</w:t>
      </w:r>
    </w:p>
    <w:p>
      <w:pPr>
        <w:pStyle w:val="Normal"/>
        <w:rPr/>
      </w:pPr>
      <w:r>
        <w:rPr/>
        <w:t>一年原核心</w:t>
      </w:r>
      <w:r>
        <w:rPr/>
        <w:t>9</w:t>
      </w:r>
      <w:r>
        <w:rPr/>
        <w:t>倍销售</w:t>
      </w:r>
      <w:r>
        <w:rPr/>
        <w:t>EV576</w:t>
      </w:r>
      <w:r>
        <w:rPr/>
        <w:t>亿元，对应核心税后</w:t>
      </w:r>
      <w:r>
        <w:rPr/>
        <w:t>0.8692</w:t>
      </w:r>
      <w:r>
        <w:rPr/>
        <w:t>亿元的隐含</w:t>
      </w:r>
      <w:r>
        <w:rPr/>
        <w:t>PE</w:t>
      </w:r>
      <w:r>
        <w:rPr/>
        <w:t>约</w:t>
      </w:r>
      <w:r>
        <w:rPr/>
        <w:t>662.7</w:t>
      </w:r>
      <w:r>
        <w:rPr/>
        <w:t>。价格</w:t>
      </w:r>
      <w:r>
        <w:rPr/>
        <w:t>122.88</w:t>
      </w:r>
      <w:r>
        <w:rPr/>
        <w:t>港元虽较现价有</w:t>
      </w:r>
      <w:r>
        <w:rPr/>
        <w:t>71.26%</w:t>
      </w:r>
      <w:r>
        <w:rPr/>
        <w:t>空间，却远非低利润估值。股价能够支持这个估值，需要后续经营利润快速增加且市场相信成熟空间较大。若只把转亏为盈当大催化剂而不展示隐含倍数，会让投资者误判安全边际。本章因此主动下调一年估值和风险维度，保持进取但有条件的评分。</w:t>
      </w:r>
    </w:p>
    <w:p>
      <w:pPr>
        <w:pStyle w:val="Normal"/>
        <w:rPr/>
      </w:pPr>
      <w:r>
        <w:rPr/>
        <w:t>一年正常现金代理负</w:t>
      </w:r>
      <w:r>
        <w:rPr/>
        <w:t>24.53735</w:t>
      </w:r>
      <w:r>
        <w:rPr/>
        <w:t>亿元，研究累计现金年数</w:t>
      </w:r>
      <w:r>
        <w:rPr/>
        <w:t>1.5</w:t>
      </w:r>
      <w:r>
        <w:rPr/>
        <w:t>后，在经营储备前出现缺口，需要总新股融资</w:t>
      </w:r>
      <w:r>
        <w:rPr/>
        <w:t>29.103226</w:t>
      </w:r>
      <w:r>
        <w:rPr/>
        <w:t>亿元。未来发行价</w:t>
      </w:r>
      <w:r>
        <w:rPr/>
        <w:t>85</w:t>
      </w:r>
      <w:r>
        <w:rPr/>
        <w:t>港元计算新增约</w:t>
      </w:r>
      <w:r>
        <w:rPr/>
        <w:t>4000.4952</w:t>
      </w:r>
      <w:r>
        <w:rPr/>
        <w:t>万股，目标总股约</w:t>
      </w:r>
      <w:r>
        <w:rPr/>
        <w:t>5.46369620</w:t>
      </w:r>
      <w:r>
        <w:rPr/>
        <w:t>亿。这个资本联动使目标价低于不加融资股的简单模型；融资必须真实获得，不能把自动计算当银行或投资人保证。若发行价低于</w:t>
      </w:r>
      <w:r>
        <w:rPr/>
        <w:t>85</w:t>
      </w:r>
      <w:r>
        <w:rPr/>
        <w:t>，新增股数更多，目标每股价值需重新计算。</w:t>
      </w:r>
    </w:p>
    <w:p>
      <w:pPr>
        <w:pStyle w:val="Normal"/>
        <w:rPr/>
      </w:pPr>
      <w:r>
        <w:rPr/>
        <w:t>一年更有利的催化剂是已验收交付及复购使完整经营利润改善、应收与存货转换现金、费用增长慢于有效收入。年报与中报比单次发布更有验证意义，激励和全流通也影响市场供给。失败路径包括销量达不到一万、平均价降更快、产品服务成本上升及客户付款延迟。只要其中变化导致现金缺口增加，收入模型、融资分母和估值倍数应同时刷新，不能保持旧目标等待故事兑现。</w:t>
      </w:r>
    </w:p>
    <w:p>
      <w:pPr>
        <w:pStyle w:val="Heading2"/>
        <w:rPr/>
      </w:pPr>
      <w:r>
        <w:rPr>
          <w:color w:val="000000"/>
        </w:rPr>
        <w:t>十八 三年长期规模与资本回报</w:t>
      </w:r>
    </w:p>
    <w:p>
      <w:pPr>
        <w:pStyle w:val="Normal"/>
        <w:rPr/>
      </w:pPr>
      <w:r>
        <w:rPr/>
        <w:t>三年基准</w:t>
      </w:r>
      <w:r>
        <w:rPr/>
        <w:t>2.8</w:t>
      </w:r>
      <w:r>
        <w:rPr/>
        <w:t>万台、平均</w:t>
      </w:r>
      <w:r>
        <w:rPr/>
        <w:t>43</w:t>
      </w:r>
      <w:r>
        <w:rPr/>
        <w:t>万元，核心</w:t>
      </w:r>
      <w:r>
        <w:rPr/>
        <w:t>137.4</w:t>
      </w:r>
      <w:r>
        <w:rPr/>
        <w:t>亿元、集团</w:t>
      </w:r>
      <w:r>
        <w:rPr/>
        <w:t>168.4</w:t>
      </w:r>
      <w:r>
        <w:rPr/>
        <w:t>亿元收入，核心毛利</w:t>
      </w:r>
      <w:r>
        <w:rPr/>
        <w:t>63.912</w:t>
      </w:r>
      <w:r>
        <w:rPr/>
        <w:t>亿元。完整中央研发</w:t>
      </w:r>
      <w:r>
        <w:rPr/>
        <w:t>26</w:t>
      </w:r>
      <w:r>
        <w:rPr/>
        <w:t>亿、销售</w:t>
      </w:r>
      <w:r>
        <w:rPr/>
        <w:t>15</w:t>
      </w:r>
      <w:r>
        <w:rPr/>
        <w:t>亿、行政</w:t>
      </w:r>
      <w:r>
        <w:rPr/>
        <w:t>8.5</w:t>
      </w:r>
      <w:r>
        <w:rPr/>
        <w:t>亿、</w:t>
      </w:r>
      <w:r>
        <w:rPr/>
        <w:t>SBC5.5</w:t>
      </w:r>
      <w:r>
        <w:rPr/>
        <w:t>亿及信用税费后，核心经营</w:t>
      </w:r>
      <w:r>
        <w:rPr/>
        <w:t>5.512</w:t>
      </w:r>
      <w:r>
        <w:rPr/>
        <w:t>亿元，核心税后</w:t>
      </w:r>
      <w:r>
        <w:rPr/>
        <w:t>4.51984</w:t>
      </w:r>
      <w:r>
        <w:rPr/>
        <w:t>亿元。</w:t>
      </w:r>
      <w:r>
        <w:rPr/>
        <w:t>6</w:t>
      </w:r>
      <w:r>
        <w:rPr/>
        <w:t>倍销售</w:t>
      </w:r>
      <w:r>
        <w:rPr/>
        <w:t>EV824.4</w:t>
      </w:r>
      <w:r>
        <w:rPr/>
        <w:t>亿元对应</w:t>
      </w:r>
      <w:r>
        <w:rPr/>
        <w:t>PE</w:t>
      </w:r>
      <w:r>
        <w:rPr/>
        <w:t>约</w:t>
      </w:r>
      <w:r>
        <w:rPr/>
        <w:t>182.4</w:t>
      </w:r>
      <w:r>
        <w:rPr/>
        <w:t>，销售估值看似下降，利润估值仍高。长期推荐不应只看销量，而要看每台完整利润与持续经营费用是否匹配。</w:t>
      </w:r>
    </w:p>
    <w:p>
      <w:pPr>
        <w:pStyle w:val="Normal"/>
        <w:rPr/>
      </w:pPr>
      <w:r>
        <w:rPr/>
        <w:t>三年集团现金代理负</w:t>
      </w:r>
      <w:r>
        <w:rPr/>
        <w:t>44.85646</w:t>
      </w:r>
      <w:r>
        <w:rPr/>
        <w:t>亿元，资本现金</w:t>
      </w:r>
      <w:r>
        <w:rPr/>
        <w:t>27</w:t>
      </w:r>
      <w:r>
        <w:rPr/>
        <w:t>亿元、</w:t>
      </w:r>
      <w:r>
        <w:rPr/>
        <w:t>NWC30</w:t>
      </w:r>
      <w:r>
        <w:rPr/>
        <w:t>亿元是主要占用，总未来融资</w:t>
      </w:r>
      <w:r>
        <w:rPr/>
        <w:t>138.866581</w:t>
      </w:r>
      <w:r>
        <w:rPr/>
        <w:t>亿元，按</w:t>
      </w:r>
      <w:r>
        <w:rPr/>
        <w:t>90</w:t>
      </w:r>
      <w:r>
        <w:rPr/>
        <w:t>港元新增</w:t>
      </w:r>
      <w:r>
        <w:rPr/>
        <w:t>1.80279681</w:t>
      </w:r>
      <w:r>
        <w:rPr/>
        <w:t>亿股，目标约</w:t>
      </w:r>
      <w:r>
        <w:rPr/>
        <w:t>6.91681054</w:t>
      </w:r>
      <w:r>
        <w:rPr/>
        <w:t>亿。基准</w:t>
      </w:r>
      <w:r>
        <w:rPr/>
        <w:t>140.63</w:t>
      </w:r>
      <w:r>
        <w:rPr/>
        <w:t>港元高于一年，但大量经营成长被稀释抵消。研究积累现金采用正常年率乘现金年数的透明近似，不是逐年精确现金预算；如果建设节奏或回款不同，资金缺口和新增股必须重算，不能误认为已锁定。</w:t>
      </w:r>
    </w:p>
    <w:p>
      <w:pPr>
        <w:pStyle w:val="Normal"/>
        <w:rPr/>
      </w:pPr>
      <w:r>
        <w:rPr/>
        <w:t>五年基准五万台、</w:t>
      </w:r>
      <w:r>
        <w:rPr/>
        <w:t>35</w:t>
      </w:r>
      <w:r>
        <w:rPr/>
        <w:t>万元，核心</w:t>
      </w:r>
      <w:r>
        <w:rPr/>
        <w:t>198</w:t>
      </w:r>
      <w:r>
        <w:rPr/>
        <w:t>亿元、集团</w:t>
      </w:r>
      <w:r>
        <w:rPr/>
        <w:t>244</w:t>
      </w:r>
      <w:r>
        <w:rPr/>
        <w:t>亿元收入，核心经营</w:t>
      </w:r>
      <w:r>
        <w:rPr/>
        <w:t>5.15</w:t>
      </w:r>
      <w:r>
        <w:rPr/>
        <w:t>亿元，普通股利润</w:t>
      </w:r>
      <w:r>
        <w:rPr/>
        <w:t>4.72815378</w:t>
      </w:r>
      <w:r>
        <w:rPr/>
        <w:t>亿元。</w:t>
      </w:r>
      <w:r>
        <w:rPr/>
        <w:t>4.5</w:t>
      </w:r>
      <w:r>
        <w:rPr/>
        <w:t>倍销售</w:t>
      </w:r>
      <w:r>
        <w:rPr/>
        <w:t>EV</w:t>
      </w:r>
      <w:r>
        <w:rPr/>
        <w:t>核心</w:t>
      </w:r>
      <w:r>
        <w:rPr/>
        <w:t>891</w:t>
      </w:r>
      <w:r>
        <w:rPr/>
        <w:t>亿元，核心税后利润仅</w:t>
      </w:r>
      <w:r>
        <w:rPr/>
        <w:t>4.223</w:t>
      </w:r>
      <w:r>
        <w:rPr/>
        <w:t>亿元，隐含</w:t>
      </w:r>
      <w:r>
        <w:rPr/>
        <w:t>PE</w:t>
      </w:r>
      <w:r>
        <w:rPr/>
        <w:t>约</w:t>
      </w:r>
      <w:r>
        <w:rPr/>
        <w:t>211</w:t>
      </w:r>
      <w:r>
        <w:rPr/>
        <w:t>，甚至高于三年。这源于降价、完整费用和资本扩张未被足够毛利覆盖。五年目标</w:t>
      </w:r>
      <w:r>
        <w:rPr/>
        <w:t>120.68</w:t>
      </w:r>
      <w:r>
        <w:rPr/>
        <w:t>低于三年</w:t>
      </w:r>
      <w:r>
        <w:rPr/>
        <w:t>140.63</w:t>
      </w:r>
      <w:r>
        <w:rPr/>
        <w:t>，是模型的经济约束结果，不强行让时间更长就有更高价格。</w:t>
      </w:r>
    </w:p>
    <w:p>
      <w:pPr>
        <w:pStyle w:val="Normal"/>
        <w:rPr/>
      </w:pPr>
      <w:r>
        <w:rPr/>
        <w:t>五年现金代理负</w:t>
      </w:r>
      <w:r>
        <w:rPr/>
        <w:t>65.7308</w:t>
      </w:r>
      <w:r>
        <w:rPr/>
        <w:t>亿元、总新融资</w:t>
      </w:r>
      <w:r>
        <w:rPr/>
        <w:t>310.085801</w:t>
      </w:r>
      <w:r>
        <w:rPr/>
        <w:t>亿元，</w:t>
      </w:r>
      <w:r>
        <w:rPr/>
        <w:t>100</w:t>
      </w:r>
      <w:r>
        <w:rPr/>
        <w:t>港元发行价新增</w:t>
      </w:r>
      <w:r>
        <w:rPr/>
        <w:t>3.62304250</w:t>
      </w:r>
      <w:r>
        <w:rPr/>
        <w:t>亿股，目标</w:t>
      </w:r>
      <w:r>
        <w:rPr/>
        <w:t>8.80705623</w:t>
      </w:r>
      <w:r>
        <w:rPr/>
        <w:t>亿。基准年化仅</w:t>
      </w:r>
      <w:r>
        <w:rPr/>
        <w:t>10.959%</w:t>
      </w:r>
      <w:r>
        <w:rPr/>
        <w:t>，仍附很高融资和估值风险。乐观五年</w:t>
      </w:r>
      <w:r>
        <w:rPr/>
        <w:t>624.99</w:t>
      </w:r>
      <w:r>
        <w:rPr/>
        <w:t>港元对应更大量产、毛利和资本效率，不能把它当自然成熟价格。十年持续性需要现金自给、客户复购、标准化交付与股数扩张放缓，若不能做到，行业成长也难保护股东权益。</w:t>
      </w:r>
    </w:p>
    <w:p>
      <w:pPr>
        <w:pStyle w:val="Normal"/>
        <w:rPr/>
      </w:pPr>
      <w:r>
        <w:rPr/>
        <w:t>资金缺口应再接受现金预算反证。模型中的营运资本是当期新增现金占用，不能误读为资产负债表上全部应收或存货余额；若以后业务规模稳定，每年重复同样新增占用会过于保守，若收入持续爬坡且验收延长，也可能不够。正常年率乘积累年数只是公开的路径近似，未取代逐年订单、开工、采购、验收与收款计划。资本投入同样应区分维持和扩产，已建产能能持续贡献时，远期现金支出可能下降；重新投产或技术更替则可能再投入。取得更完整预算后应改现金路径，而非直接删除资金缺口来抬高目标。</w:t>
      </w:r>
    </w:p>
    <w:p>
      <w:pPr>
        <w:pStyle w:val="Normal"/>
        <w:rPr/>
      </w:pPr>
      <w:r>
        <w:rPr/>
        <w:t>另一方面，融资可以支撑交付，却不能修复没有经济性的产品。基准一年原核心隐含六百多倍经营利润，即使把扩产现金全部递延，利润估值仍很高；五年核心税后利润与收入比例不强，说明低价放量可能使股东承担更高研发和渠道成本。若任务不能替代客户的真实支出，产品售价会继续受压，股票的销售倍数也应同时下降。要提高长期评分，需要单位全成本、重复采购和现金自给的联合证据，单一销量纪录或融资金额无法满足这个检验。</w:t>
      </w:r>
    </w:p>
    <w:p>
      <w:pPr>
        <w:pStyle w:val="Heading2"/>
        <w:rPr/>
      </w:pPr>
      <w:r>
        <w:rPr>
          <w:color w:val="000000"/>
        </w:rPr>
        <w:t>十九 反证 机构目标与数据边界</w:t>
      </w:r>
    </w:p>
    <w:p>
      <w:pPr>
        <w:pStyle w:val="Normal"/>
        <w:rPr/>
      </w:pPr>
      <w:r>
        <w:rPr/>
        <w:t>摩根大通九月二十九日公开新闻明示</w:t>
      </w:r>
      <w:r>
        <w:rPr/>
        <w:t>2027</w:t>
      </w:r>
      <w:r>
        <w:rPr/>
        <w:t>年十二月</w:t>
      </w:r>
      <w:r>
        <w:rPr/>
        <w:t>74</w:t>
      </w:r>
      <w:r>
        <w:rPr/>
        <w:t>港元中性，最新覆盖应去掉旧六月</w:t>
      </w:r>
      <w:r>
        <w:rPr/>
        <w:t>156</w:t>
      </w:r>
      <w:r>
        <w:rPr/>
        <w:t>；美银八月三十一日</w:t>
      </w:r>
      <w:r>
        <w:rPr/>
        <w:t>135</w:t>
      </w:r>
      <w:r>
        <w:rPr/>
        <w:t>买入，目标期限未明确；花旗七月三日</w:t>
      </w:r>
      <w:r>
        <w:rPr/>
        <w:t>125</w:t>
      </w:r>
      <w:r>
        <w:rPr/>
        <w:t>买入已经超过</w:t>
      </w:r>
      <w:r>
        <w:rPr/>
        <w:t>90</w:t>
      </w:r>
      <w:r>
        <w:rPr/>
        <w:t>天但为最新核验公开记录，时效明确。招商国际九月三十日多公司表优必选</w:t>
      </w:r>
      <w:r>
        <w:rPr/>
        <w:t>172</w:t>
      </w:r>
      <w:r>
        <w:rPr/>
        <w:t>买入为中资机构，不能误当外资。大和九月九日有买入观点却无目标价，本章保留观点而不填造数字。</w:t>
      </w:r>
    </w:p>
    <w:p>
      <w:pPr>
        <w:pStyle w:val="Normal"/>
        <w:rPr/>
      </w:pPr>
      <w:r>
        <w:rPr/>
        <w:t>机构之间分歧来自部署难度、销量、毛利、费用和稀缺估值变化。美银因产能爬坡和业绩低于预期下调收入，摩根大通更强调主流部署复杂，大和转述较强产品毛利。不能按目标价高低简单求平均，也不能把</w:t>
      </w:r>
      <w:r>
        <w:rPr/>
        <w:t>2027</w:t>
      </w:r>
      <w:r>
        <w:rPr/>
        <w:t>年十二月价直接当一年十月目标，更不能线性折成年底。自己的三情景由完整经营和资本假设重算，机构是外部参照，原研报未取得的期限和经营细节保持明确缺失。</w:t>
      </w:r>
    </w:p>
    <w:p>
      <w:pPr>
        <w:pStyle w:val="Normal"/>
        <w:rPr/>
      </w:pPr>
      <w:r>
        <w:rPr/>
        <w:t>经营反证包括工业客户试点不能形成复购、交付长期依赖人工、收入与收款背离、毛利下降快于销量增长和信用准备继续提高。财务反证包括资本化利息增加、在建长期不能投产、并购商誉缺少现金回报、子公司少数融资让经济持股进一步下降。量价反证包括</w:t>
      </w:r>
      <w:r>
        <w:rPr/>
        <w:t>69</w:t>
      </w:r>
      <w:r>
        <w:rPr/>
        <w:t>失守、反弹无连续量能和周线低点下降。任何一项重大变化都应降低推荐或置信度，而非等全部同时发生才调整。</w:t>
      </w:r>
    </w:p>
    <w:p>
      <w:pPr>
        <w:pStyle w:val="Normal"/>
        <w:rPr/>
      </w:pPr>
      <w:r>
        <w:rPr/>
        <w:t>悲观三年</w:t>
      </w:r>
      <w:r>
        <w:rPr/>
        <w:t>2.57</w:t>
      </w:r>
      <w:r>
        <w:rPr/>
        <w:t>、五年</w:t>
      </w:r>
      <w:r>
        <w:rPr/>
        <w:t>0.61</w:t>
      </w:r>
      <w:r>
        <w:rPr/>
        <w:t>港元，假设融资还能成功；如果融资失败，普通股可能更低甚至接近零。乐观一年</w:t>
      </w:r>
      <w:r>
        <w:rPr/>
        <w:t>352.26</w:t>
      </w:r>
      <w:r>
        <w:rPr/>
        <w:t>、三年</w:t>
      </w:r>
      <w:r>
        <w:rPr/>
        <w:t>549.52</w:t>
      </w:r>
      <w:r>
        <w:rPr/>
        <w:t>、五年</w:t>
      </w:r>
      <w:r>
        <w:rPr/>
        <w:t>624.99</w:t>
      </w:r>
      <w:r>
        <w:rPr/>
        <w:t>需要销量、价格、毛利、费用与融资多条件满足，非概率边界。数据核验和公式正确只能保证研究一致，不能保证未来正确。最终四期限推荐应同时保留这些反证，不能把高成长行业标签、万字报告或星级分数当收益承诺。</w:t>
      </w:r>
    </w:p>
    <w:p>
      <w:pPr>
        <w:pStyle w:val="Heading2"/>
        <w:rPr/>
      </w:pPr>
      <w:r>
        <w:rPr>
          <w:color w:val="000000"/>
        </w:rPr>
        <w:t>来源与模型核验</w:t>
      </w:r>
    </w:p>
    <w:p>
      <w:pPr>
        <w:pStyle w:val="Normal"/>
        <w:rPr/>
      </w:pPr>
      <w:r>
        <w:rPr/>
        <w:t>- 2025</w:t>
      </w:r>
      <w:r>
        <w:rPr/>
        <w:t>结果，</w:t>
      </w:r>
      <w:r>
        <w:rPr/>
        <w:t>2026-03-31 20:03</w:t>
      </w:r>
      <w:r>
        <w:rPr/>
        <w:t xml:space="preserve">： </w:t>
      </w:r>
      <w:r>
        <w:rPr/>
        <w:t>https://www1.hkexnews.hk/listedco/listconews/sehk/2026/0331/2026033102607.pdf</w:t>
      </w:r>
    </w:p>
    <w:p>
      <w:pPr>
        <w:pStyle w:val="Normal"/>
        <w:rPr/>
      </w:pPr>
      <w:r>
        <w:rPr/>
        <w:t>- 2025</w:t>
      </w:r>
      <w:r>
        <w:rPr/>
        <w:t>年报，</w:t>
      </w:r>
      <w:r>
        <w:rPr/>
        <w:t>2026-04-14 22:31</w:t>
      </w:r>
      <w:r>
        <w:rPr/>
        <w:t xml:space="preserve">： </w:t>
      </w:r>
      <w:r>
        <w:rPr/>
        <w:t>https://www1.hkexnews.hk/listedco/listconews/sehk/2026/0414/2026041401168.pdf</w:t>
      </w:r>
    </w:p>
    <w:p>
      <w:pPr>
        <w:pStyle w:val="Normal"/>
        <w:rPr/>
      </w:pPr>
      <w:r>
        <w:rPr/>
        <w:t>- H1</w:t>
      </w:r>
      <w:r>
        <w:rPr/>
        <w:t>结果，</w:t>
      </w:r>
      <w:r>
        <w:rPr/>
        <w:t>2026-08-28 18:45</w:t>
      </w:r>
      <w:r>
        <w:rPr/>
        <w:t xml:space="preserve">： </w:t>
      </w:r>
      <w:r>
        <w:rPr/>
        <w:t>https://www1.hkexnews.hk/listedco/listconews/sehk/2026/0828/2026082801691.pdf</w:t>
      </w:r>
    </w:p>
    <w:p>
      <w:pPr>
        <w:pStyle w:val="Normal"/>
        <w:rPr/>
      </w:pPr>
      <w:r>
        <w:rPr/>
        <w:t xml:space="preserve">- </w:t>
      </w:r>
      <w:r>
        <w:rPr/>
        <w:t>中报，</w:t>
      </w:r>
      <w:r>
        <w:rPr/>
        <w:t>2026-09-24 18:01</w:t>
      </w:r>
      <w:r>
        <w:rPr/>
        <w:t xml:space="preserve">： </w:t>
      </w:r>
      <w:r>
        <w:rPr/>
        <w:t>https://www1.hkexnews.hk/listedco/listconews/sehk/2026/0924/2026092401451.pdf</w:t>
      </w:r>
    </w:p>
    <w:p>
      <w:pPr>
        <w:pStyle w:val="Normal"/>
        <w:rPr/>
      </w:pPr>
      <w:r>
        <w:rPr/>
        <w:t xml:space="preserve">- </w:t>
      </w:r>
      <w:r>
        <w:rPr/>
        <w:t>九月月报，</w:t>
      </w:r>
      <w:r>
        <w:rPr/>
        <w:t>2026-10-02 16:48</w:t>
      </w:r>
      <w:r>
        <w:rPr/>
        <w:t xml:space="preserve">： </w:t>
      </w:r>
      <w:r>
        <w:rPr/>
        <w:t>https://www1.hkexnews.hk/listedco/listconews/sehk/2026/1002/2026100201963.pdf</w:t>
      </w:r>
    </w:p>
    <w:p>
      <w:pPr>
        <w:pStyle w:val="Normal"/>
        <w:rPr/>
      </w:pPr>
      <w:r>
        <w:rPr/>
        <w:t xml:space="preserve">- </w:t>
      </w:r>
      <w:r>
        <w:rPr/>
        <w:t>激励授予，</w:t>
      </w:r>
      <w:r>
        <w:rPr/>
        <w:t>2026-09-14 18:00</w:t>
      </w:r>
      <w:r>
        <w:rPr/>
        <w:t xml:space="preserve">： </w:t>
      </w:r>
      <w:r>
        <w:rPr/>
        <w:t>https://www1.hkexnews.hk/listedco/listconews/sehk/2026/0914/2026091400763.pdf</w:t>
      </w:r>
    </w:p>
    <w:p>
      <w:pPr>
        <w:pStyle w:val="Normal"/>
        <w:rPr/>
      </w:pPr>
      <w:r>
        <w:rPr/>
        <w:t xml:space="preserve">- </w:t>
      </w:r>
      <w:r>
        <w:rPr/>
        <w:t>旧计划信托市场购股，</w:t>
      </w:r>
      <w:r>
        <w:rPr/>
        <w:t>2026-10-08 19:56</w:t>
      </w:r>
      <w:r>
        <w:rPr/>
        <w:t xml:space="preserve">： </w:t>
      </w:r>
      <w:r>
        <w:rPr/>
        <w:t>https://www1.hkexnews.hk/listedco/listconews/sehk/2026/1008/2026100801141.pdf</w:t>
      </w:r>
    </w:p>
    <w:p>
      <w:pPr>
        <w:pStyle w:val="Normal"/>
        <w:rPr/>
      </w:pPr>
      <w:r>
        <w:rPr/>
        <w:t xml:space="preserve">- </w:t>
      </w:r>
      <w:r>
        <w:rPr/>
        <w:t>授信及激励方案，</w:t>
      </w:r>
      <w:r>
        <w:rPr/>
        <w:t>2026-08-10 22:52</w:t>
      </w:r>
      <w:r>
        <w:rPr/>
        <w:t xml:space="preserve">： </w:t>
      </w:r>
      <w:r>
        <w:rPr/>
        <w:t>https://www1.hkexnews.hk/listedco/listconews/sehk/2026/0810/2026081001368.pdf</w:t>
      </w:r>
    </w:p>
    <w:p>
      <w:pPr>
        <w:pStyle w:val="Normal"/>
        <w:rPr/>
      </w:pPr>
      <w:r>
        <w:rPr/>
        <w:t xml:space="preserve">- </w:t>
      </w:r>
      <w:r>
        <w:rPr/>
        <w:t>全流通申请，</w:t>
      </w:r>
      <w:r>
        <w:rPr/>
        <w:t>2026-09-23 19:14</w:t>
      </w:r>
      <w:r>
        <w:rPr/>
        <w:t xml:space="preserve">： </w:t>
      </w:r>
      <w:r>
        <w:rPr/>
        <w:t>https://www1.hkexnews.hk/listedco/listconews/sehk/2026/0923/2026092301339.pdf</w:t>
      </w:r>
    </w:p>
    <w:p>
      <w:pPr>
        <w:pStyle w:val="Normal"/>
        <w:rPr/>
      </w:pPr>
      <w:r>
        <w:rPr/>
        <w:t xml:space="preserve">- </w:t>
      </w:r>
      <w:r>
        <w:rPr/>
        <w:t>锋龙原始半年报，</w:t>
      </w:r>
      <w:r>
        <w:rPr/>
        <w:t>2026-08-18</w:t>
      </w:r>
      <w:r>
        <w:rPr/>
        <w:t xml:space="preserve">，具体时刻待核： </w:t>
      </w:r>
      <w:r>
        <w:rPr/>
        <w:t>https://pdf.dfcfw.com/pdf/H2_AN202608171828059018_1.pdf</w:t>
      </w:r>
    </w:p>
    <w:p>
      <w:pPr>
        <w:pStyle w:val="Normal"/>
        <w:rPr/>
      </w:pPr>
      <w:r>
        <w:rPr/>
        <w:t xml:space="preserve">- </w:t>
      </w:r>
      <w:r>
        <w:rPr/>
        <w:t>摩根大通，</w:t>
      </w:r>
      <w:r>
        <w:rPr/>
        <w:t>2026-09-29</w:t>
      </w:r>
      <w:r>
        <w:rPr/>
        <w:t xml:space="preserve">新闻转述： </w:t>
      </w:r>
      <w:r>
        <w:rPr/>
        <w:t>https://www.aastocks.com/sc/stocks/analysis/stock-aafn-con/09880/AAFN/NOW.1546879/research-report</w:t>
      </w:r>
    </w:p>
    <w:p>
      <w:pPr>
        <w:pStyle w:val="Normal"/>
        <w:rPr/>
      </w:pPr>
      <w:r>
        <w:rPr/>
        <w:t xml:space="preserve">- </w:t>
      </w:r>
      <w:r>
        <w:rPr/>
        <w:t>美银，</w:t>
      </w:r>
      <w:r>
        <w:rPr/>
        <w:t>2026-08-31</w:t>
      </w:r>
      <w:r>
        <w:rPr/>
        <w:t xml:space="preserve">新闻转述： </w:t>
      </w:r>
      <w:r>
        <w:rPr/>
        <w:t>https://www.aastocks.com/sc/stocks/analysis/stock-aafn-con/09880/AAFN/NOW.1542136/research-report</w:t>
      </w:r>
    </w:p>
    <w:p>
      <w:pPr>
        <w:pStyle w:val="Normal"/>
        <w:rPr/>
      </w:pPr>
      <w:r>
        <w:rPr/>
        <w:t xml:space="preserve">- </w:t>
      </w:r>
      <w:r>
        <w:rPr/>
        <w:t>花旗，</w:t>
      </w:r>
      <w:r>
        <w:rPr/>
        <w:t>2026-07-03</w:t>
      </w:r>
      <w:r>
        <w:rPr/>
        <w:t xml:space="preserve">新闻转述： </w:t>
      </w:r>
      <w:r>
        <w:rPr/>
        <w:t>https://www.aastocks.com/sc/stocks/analysis/stock-aafn-con/09880/AAFN/NOW.1531694/research-report</w:t>
      </w:r>
    </w:p>
    <w:p>
      <w:pPr>
        <w:pStyle w:val="Normal"/>
        <w:rPr/>
      </w:pPr>
      <w:r>
        <w:rPr/>
        <w:t xml:space="preserve">- </w:t>
      </w:r>
      <w:r>
        <w:rPr/>
        <w:t>大和路演，</w:t>
      </w:r>
      <w:r>
        <w:rPr/>
        <w:t>2026-09-09</w:t>
      </w:r>
      <w:r>
        <w:rPr/>
        <w:t xml:space="preserve">新闻转述： </w:t>
      </w:r>
      <w:r>
        <w:rPr/>
        <w:t>https://www.aastocks.com/sc/stocks/analysis/stock-aafn-con/09880/AAFN/NOW.1543594/research-report</w:t>
      </w:r>
    </w:p>
    <w:p>
      <w:pPr>
        <w:pStyle w:val="Normal"/>
        <w:rPr/>
      </w:pPr>
      <w:r>
        <w:rPr/>
        <w:t xml:space="preserve">- </w:t>
      </w:r>
      <w:r>
        <w:rPr/>
        <w:t>招商国际多公司目标表，</w:t>
      </w:r>
      <w:r>
        <w:rPr/>
        <w:t>2026-09-30</w:t>
      </w:r>
      <w:r>
        <w:rPr/>
        <w:t xml:space="preserve">： </w:t>
      </w:r>
      <w:r>
        <w:rPr/>
        <w:t>https://www.aastocks.com/sc/stocks/analysis/stock-aafn-con/09880/AAFN/NOW.1547177/research-report</w:t>
      </w:r>
    </w:p>
    <w:p>
      <w:pPr>
        <w:pStyle w:val="Normal"/>
        <w:rPr/>
      </w:pPr>
      <w:r>
        <w:rPr/>
        <w:t>780</w:t>
      </w:r>
      <w:r>
        <w:rPr/>
        <w:t>原子输入、</w:t>
      </w:r>
      <w:r>
        <w:rPr/>
        <w:t>15</w:t>
      </w:r>
      <w:r>
        <w:rPr/>
        <w:t>情景、</w:t>
      </w:r>
      <w:r>
        <w:rPr/>
        <w:t>11990</w:t>
      </w:r>
      <w:r>
        <w:rPr/>
        <w:t>计算检查、</w:t>
      </w:r>
      <w:r>
        <w:rPr/>
        <w:t>52</w:t>
      </w:r>
      <w:r>
        <w:rPr/>
        <w:t>字段修改恢复由独立</w:t>
      </w:r>
      <w:r>
        <w:rPr/>
        <w:t>QA</w:t>
      </w:r>
      <w:r>
        <w:rPr/>
        <w:t>核验；现金与子公司净资本分配为透明研究假设，融资不保证。完整</w:t>
      </w:r>
      <w:r>
        <w:rPr/>
        <w:t>Word/PDF</w:t>
      </w:r>
      <w:r>
        <w:rPr/>
        <w:t>与总表数字和逐页核验由最终集成负责，本章不代替全任务</w:t>
      </w:r>
      <w:r>
        <w:rPr/>
        <w:t>27</w:t>
      </w:r>
      <w:r>
        <w:rPr/>
        <w:t>文件验收。</w:t>
      </w:r>
      <w:r>
        <w:br w:type="page"/>
      </w:r>
    </w:p>
    <w:p>
      <w:pPr>
        <w:pStyle w:val="Heading1"/>
        <w:spacing w:before="0" w:after="0"/>
        <w:rPr/>
      </w:pPr>
      <w:bookmarkStart w:id="4" w:name="__RefHeading___Toc59283_1364803659"/>
      <w:bookmarkEnd w:id="4"/>
      <w:r>
        <w:rPr>
          <w:color w:val="000000"/>
        </w:rPr>
        <w:t xml:space="preserve">乐普生物 </w:t>
      </w:r>
      <w:r>
        <w:rPr>
          <w:color w:val="000000"/>
        </w:rPr>
        <w:t>02157 HK</w:t>
      </w:r>
    </w:p>
    <w:p>
      <w:pPr>
        <w:pStyle w:val="Normal"/>
        <w:rPr/>
      </w:pPr>
      <w:r>
        <w:rPr/>
        <w:t xml:space="preserve">02157.HK </w:t>
      </w:r>
      <w:r>
        <w:rPr/>
        <w:t xml:space="preserve">现价 </w:t>
      </w:r>
      <w:r>
        <w:rPr/>
        <w:t>3.82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+34.41%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+34.41%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+52.27%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+52.27%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+96.33%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+96.33%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+152.87%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+152.87%</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+21.00%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+277.03%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6.01HKD</w:t>
      </w:r>
      <w:r>
        <w:rPr/>
        <w:t>，期望股价回报</w:t>
      </w:r>
      <w:r>
        <w:rPr/>
        <w:t>+57.26%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5.13</w:t>
              <w:br/>
              <w:t>+34.41%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24.11</w:t>
              <w:br/>
              <w:t>+531.11%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5.82</w:t>
              <w:br/>
              <w:t>+52.27%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36.89</w:t>
              <w:br/>
              <w:t>+865.77%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7.50</w:t>
              <w:br/>
              <w:t>+96.33%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45.49</w:t>
              <w:br/>
              <w:t>+1090.78%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+25.22%</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9.66</w:t>
              <w:br/>
              <w:t>+152.87%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56.04</w:t>
              <w:br/>
              <w:t>+1366.95%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+20.39%</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+27.69%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+34.41%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+41.13%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+44.66%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+52.27%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+59.88%</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+86.51%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+96.33%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+106.15%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+140.23%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+152.87%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+165.52%</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日收盘；证券</w:t>
      </w:r>
      <w:r>
        <w:rPr/>
        <w:t>02157.HK</w:t>
      </w:r>
      <w:r>
        <w:rPr/>
        <w:t>；发行人</w:t>
      </w:r>
      <w:r>
        <w:rPr/>
        <w:t>I026</w:t>
      </w:r>
      <w:r>
        <w:rPr/>
        <w:t>；证券</w:t>
      </w:r>
      <w:r>
        <w:rPr/>
        <w:t>S031</w:t>
      </w:r>
      <w:r>
        <w:rPr/>
        <w:t>。资料止于该日收盘前；价格</w:t>
      </w:r>
      <w:r>
        <w:rPr/>
        <w:t>3.82</w:t>
      </w:r>
      <w:r>
        <w:rPr/>
        <w:t>港元，币种港元。模型版本</w:t>
      </w:r>
      <w:r>
        <w:rPr/>
        <w:t>lepu-v1-netrights-annualPD1Consideration-finiteDistributions</w:t>
      </w:r>
      <w:r>
        <w:rPr/>
        <w:t>。</w:t>
      </w:r>
      <w:r>
        <w:rPr/>
        <w:t>2026</w:t>
      </w:r>
      <w:r>
        <w:rPr/>
        <w:t>年中报首次披露于</w:t>
      </w:r>
      <w:r>
        <w:rPr/>
        <w:t>8</w:t>
      </w:r>
      <w:r>
        <w:rPr/>
        <w:t>月</w:t>
      </w:r>
      <w:r>
        <w:rPr/>
        <w:t>19</w:t>
      </w:r>
      <w:r>
        <w:rPr/>
        <w:t>日</w:t>
      </w:r>
      <w:r>
        <w:rPr/>
        <w:t>16:38</w:t>
      </w:r>
      <w:r>
        <w:rPr/>
        <w:t>，完整中报</w:t>
      </w:r>
      <w:r>
        <w:rPr/>
        <w:t>9</w:t>
      </w:r>
      <w:r>
        <w:rPr/>
        <w:t>月</w:t>
      </w:r>
      <w:r>
        <w:rPr/>
        <w:t>16</w:t>
      </w:r>
      <w:r>
        <w:rPr/>
        <w:t>日</w:t>
      </w:r>
      <w:r>
        <w:rPr/>
        <w:t>16:32</w:t>
      </w:r>
      <w:r>
        <w:rPr/>
        <w:t>；</w:t>
      </w:r>
      <w:r>
        <w:rPr/>
        <w:t>2025</w:t>
      </w:r>
      <w:r>
        <w:rPr/>
        <w:t>年报</w:t>
      </w:r>
      <w:r>
        <w:rPr/>
        <w:t>4</w:t>
      </w:r>
      <w:r>
        <w:rPr/>
        <w:t>月</w:t>
      </w:r>
      <w:r>
        <w:rPr/>
        <w:t>22</w:t>
      </w:r>
      <w:r>
        <w:rPr/>
        <w:t>日</w:t>
      </w:r>
      <w:r>
        <w:rPr/>
        <w:t>20:16</w:t>
      </w:r>
      <w:r>
        <w:rPr/>
        <w:t>，首次业绩</w:t>
      </w:r>
      <w:r>
        <w:rPr/>
        <w:t>3</w:t>
      </w:r>
      <w:r>
        <w:rPr/>
        <w:t>月</w:t>
      </w:r>
      <w:r>
        <w:rPr/>
        <w:t>25</w:t>
      </w:r>
      <w:r>
        <w:rPr/>
        <w:t>日</w:t>
      </w:r>
      <w:r>
        <w:rPr/>
        <w:t>16:30</w:t>
      </w:r>
      <w:r>
        <w:rPr/>
        <w:t>；股数采用</w:t>
      </w:r>
      <w:r>
        <w:rPr/>
        <w:t>10</w:t>
      </w:r>
      <w:r>
        <w:rPr/>
        <w:t>月</w:t>
      </w:r>
      <w:r>
        <w:rPr/>
        <w:t>6</w:t>
      </w:r>
      <w:r>
        <w:rPr/>
        <w:t>日</w:t>
      </w:r>
      <w:r>
        <w:rPr/>
        <w:t>17:27</w:t>
      </w:r>
      <w:r>
        <w:rPr/>
        <w:t>发布的</w:t>
      </w:r>
      <w:r>
        <w:rPr/>
        <w:t>9</w:t>
      </w:r>
      <w:r>
        <w:rPr/>
        <w:t>月月报。正文原始资料以公司在港交所披露文件为主；所有未来销售、成功率、融资及分红均为本研究假设。</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评分</w:t>
            </w:r>
            <w:r>
              <w:rPr>
                <w:rFonts w:eastAsia="微软雅黑" w:ascii="微软雅黑" w:hAnsi="微软雅黑"/>
                <w:b/>
                <w:color w:val="FFFFFF"/>
                <w:sz w:val="17"/>
              </w:rPr>
              <w:t>/100</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基准涨幅</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判断</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5.134365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24.108463</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34.407470%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短期观察型，量价未确认转强</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一年，实际</w:t>
            </w:r>
            <w:r>
              <w:rPr>
                <w:rFonts w:eastAsia="微软雅黑" w:ascii="微软雅黑" w:hAnsi="微软雅黑"/>
                <w:sz w:val="17"/>
              </w:rPr>
              <w:t>2027-10-07</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5.816758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36.892443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52.271158%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进取型条件配置，融资和数据缺一不可</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7.499791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45.487660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96.329607%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后期管线兑现决定回报</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9.659744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56.037340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152.872869%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有成长价值，尚非稳定复利底仓</w:t>
            </w:r>
          </w:p>
        </w:tc>
      </w:tr>
    </w:tbl>
    <w:p>
      <w:pPr>
        <w:pStyle w:val="Normal"/>
        <w:rPr/>
      </w:pPr>
      <w:r>
        <w:rPr/>
      </w:r>
    </w:p>
    <w:p>
      <w:pPr>
        <w:pStyle w:val="Normal"/>
        <w:rPr/>
      </w:pPr>
      <w:r>
        <w:rPr/>
        <w:t>本研究将乐普定位为有真实产品收入、但仍高度依赖临床和资本市场的进取型候选。半年分数明显低于三年和五年，原因是日线与周线均处于下降结构，短贷、资本开支和已上市药销售兑现需要近端检验。三年以上分数提高，反映</w:t>
      </w:r>
      <w:r>
        <w:rPr/>
        <w:t>CMG901</w:t>
      </w:r>
      <w:r>
        <w:rPr/>
        <w:t>、</w:t>
      </w:r>
      <w:r>
        <w:rPr/>
        <w:t>MRG004A</w:t>
      </w:r>
      <w:r>
        <w:rPr/>
        <w:t>、</w:t>
      </w:r>
      <w:r>
        <w:rPr/>
        <w:t>MRG007</w:t>
      </w:r>
      <w:r>
        <w:rPr/>
        <w:t>等资产可能增加的价值，不表示这些项目一定成功。基准一年目标约</w:t>
      </w:r>
      <w:r>
        <w:rPr/>
        <w:t>5.82</w:t>
      </w:r>
      <w:r>
        <w:rPr/>
        <w:t>港元，相比</w:t>
      </w:r>
      <w:r>
        <w:rPr/>
        <w:t>3.82</w:t>
      </w:r>
      <w:r>
        <w:rPr/>
        <w:t>港元有约</w:t>
      </w:r>
      <w:r>
        <w:rPr/>
        <w:t>52.27%</w:t>
      </w:r>
      <w:r>
        <w:rPr/>
        <w:t>股价上涨空间；这样的估值优势只有在有序再融资、产品放量和核心临床证据没有恶化时成立。</w:t>
      </w:r>
    </w:p>
    <w:p>
      <w:pPr>
        <w:pStyle w:val="Normal"/>
        <w:rPr/>
      </w:pPr>
      <w:r>
        <w:rPr/>
        <w:t>乐观价格非常高，其根源是多项</w:t>
      </w:r>
      <w:r>
        <w:rPr/>
        <w:t>ADC</w:t>
      </w:r>
      <w:r>
        <w:rPr/>
        <w:t>同时获得较强临床结果、海外许可和市场份额后形成的有限现金分配价值，而不是近期盈利已证明几十港元合理。一个小市值公司拥有多项早期资产时，极端乐观值可以远离基准值。研究会保留这种非对称性，但推荐排序不能只挑最乐观的数字。悲观情景则出现资金失败，普通股长期经济价值按零处理；这是一种融资与经营不能延续的压力状态，不等于预测公司将退市，也不等于股价一定会跌到零。</w:t>
      </w:r>
    </w:p>
    <w:p>
      <w:pPr>
        <w:pStyle w:val="Normal"/>
        <w:rPr/>
      </w:pPr>
      <w:r>
        <w:rPr/>
        <w:t>结论成立的关键条件包括：美优恒商业化能够持续扩大，不只是渠道首轮备货；</w:t>
      </w:r>
      <w:r>
        <w:rPr/>
        <w:t>CMG901</w:t>
      </w:r>
      <w:r>
        <w:rPr/>
        <w:t>完整数据对总体生存获益、风险收益和监管标签的支持足够强；公司可以滚动处理短期银行贷款，并在可接受价格补充权益资金；未来研发、许可、销售和厂房投入不持续超出预算。最容易推翻结论的情况是核心管线出现临床疗效或安全性反证，同时融资市场收紧，使公司不得不低价大幅发行。单次会议入选、一次里程碑付款或去除证券简称中的</w:t>
      </w:r>
      <w:r>
        <w:rPr/>
        <w:t>B</w:t>
      </w:r>
      <w:r>
        <w:rPr/>
        <w:t>标记，都不足以消除这些条件。</w:t>
      </w:r>
    </w:p>
    <w:p>
      <w:pPr>
        <w:pStyle w:val="Heading2"/>
        <w:rPr/>
      </w:pPr>
      <w:r>
        <w:rPr>
          <w:color w:val="000000"/>
        </w:rPr>
        <w:t>一 业务结构与真实收入基础</w:t>
      </w:r>
    </w:p>
    <w:p>
      <w:pPr>
        <w:pStyle w:val="Normal"/>
        <w:rPr/>
      </w:pPr>
      <w:r>
        <w:rPr/>
        <w:t>乐普生物主要围绕肿瘤靶向治疗和免疫治疗开发产品。公司的收入来源已经不再完全依靠前临床平台的交易宣传，普佑恒与美优恒带来实际药品销售；但其经营仍包含大额、时间不稳定的授权和里程碑收入。</w:t>
      </w:r>
      <w:r>
        <w:rPr/>
        <w:t>2026</w:t>
      </w:r>
      <w:r>
        <w:rPr/>
        <w:t>年上半年总收入</w:t>
      </w:r>
      <w:r>
        <w:rPr/>
        <w:t>5.22414</w:t>
      </w:r>
      <w:r>
        <w:rPr/>
        <w:t>亿元，其中已上市药品</w:t>
      </w:r>
      <w:r>
        <w:rPr/>
        <w:t>3.71305</w:t>
      </w:r>
      <w:r>
        <w:rPr/>
        <w:t>亿元、许可</w:t>
      </w:r>
      <w:r>
        <w:rPr/>
        <w:t>1.48740</w:t>
      </w:r>
      <w:r>
        <w:rPr/>
        <w:t>亿元、</w:t>
      </w:r>
      <w:r>
        <w:rPr/>
        <w:t>CDMO</w:t>
      </w:r>
      <w:r>
        <w:rPr/>
        <w:t>服务</w:t>
      </w:r>
      <w:r>
        <w:rPr/>
        <w:t>236.9</w:t>
      </w:r>
      <w:r>
        <w:rPr/>
        <w:t>万元。药品收入较上年同期</w:t>
      </w:r>
      <w:r>
        <w:rPr/>
        <w:t>1.50645</w:t>
      </w:r>
      <w:r>
        <w:rPr/>
        <w:t>亿元显著增长，总收入却只比</w:t>
      </w:r>
      <w:r>
        <w:rPr/>
        <w:t>4.65942</w:t>
      </w:r>
      <w:r>
        <w:rPr/>
        <w:t>亿元增长约</w:t>
      </w:r>
      <w:r>
        <w:rPr/>
        <w:t>12.1%</w:t>
      </w:r>
      <w:r>
        <w:rPr/>
        <w:t>，原因是许可收入由</w:t>
      </w:r>
      <w:r>
        <w:rPr/>
        <w:t>3.09039</w:t>
      </w:r>
      <w:r>
        <w:rPr/>
        <w:t>亿元下降。只观察总营收增速会低估销售改善，只观察药品销售增速又会忽略里程碑减少对利润和现金的影响。</w:t>
      </w:r>
    </w:p>
    <w:p>
      <w:pPr>
        <w:pStyle w:val="Normal"/>
        <w:rPr/>
      </w:pPr>
      <w:r>
        <w:rPr/>
        <w:t>2025</w:t>
      </w:r>
      <w:r>
        <w:rPr/>
        <w:t>年药品销售约</w:t>
      </w:r>
      <w:r>
        <w:rPr/>
        <w:t>5.01</w:t>
      </w:r>
      <w:r>
        <w:rPr/>
        <w:t>亿元，授权收入约</w:t>
      </w:r>
      <w:r>
        <w:rPr/>
        <w:t>4.24</w:t>
      </w:r>
      <w:r>
        <w:rPr/>
        <w:t>亿元，合计占</w:t>
      </w:r>
      <w:r>
        <w:rPr/>
        <w:t>9.34869</w:t>
      </w:r>
      <w:r>
        <w:rPr/>
        <w:t>亿元收入的大部分。公司在这一年由亏损转为账面盈利，但不仅依靠销售产品和交易收款，还包含投资重分类收益。分析商业底座时，应先问同一患者是否愿意持续使用、医院能否进入采购目录、医保与患者支付能否支持价格，再问授权交易是否能帮助承担后续成本。这两个路径可以相互支持，不能把它们当成同样稳定的年金。主营销售逐步扩大能够提高再融资的谈判能力，但尚未证明公司已自给自足。</w:t>
      </w:r>
    </w:p>
    <w:p>
      <w:pPr>
        <w:pStyle w:val="Normal"/>
        <w:rPr/>
      </w:pPr>
      <w:r>
        <w:rPr/>
        <w:t>普佑恒是</w:t>
      </w:r>
      <w:r>
        <w:rPr/>
        <w:t>PD-1</w:t>
      </w:r>
      <w:r>
        <w:rPr/>
        <w:t>抗体</w:t>
      </w:r>
      <w:r>
        <w:rPr/>
        <w:t>pucotenlimab</w:t>
      </w:r>
      <w:r>
        <w:rPr/>
        <w:t>，美优恒是</w:t>
      </w:r>
      <w:r>
        <w:rPr/>
        <w:t>EGFR</w:t>
      </w:r>
      <w:r>
        <w:rPr/>
        <w:t>靶向</w:t>
      </w:r>
      <w:r>
        <w:rPr/>
        <w:t>ADC becotatug vedotin</w:t>
      </w:r>
      <w:r>
        <w:rPr/>
        <w:t>，即</w:t>
      </w:r>
      <w:r>
        <w:rPr/>
        <w:t>MRG003</w:t>
      </w:r>
      <w:r>
        <w:rPr/>
        <w:t>。两者的组合有科学上的探索空间，也可能共享部分肿瘤医生和医院渠道。然而公司公开的上半年收入没有可靠逐药分拆，不能直接宣称美优恒贡献了某一个确定数额。本研究将未来</w:t>
      </w:r>
      <w:r>
        <w:rPr/>
        <w:t>PD-1</w:t>
      </w:r>
      <w:r>
        <w:rPr/>
        <w:t>和</w:t>
      </w:r>
      <w:r>
        <w:rPr/>
        <w:t>NPC</w:t>
      </w:r>
      <w:r>
        <w:rPr/>
        <w:t>销售分开建模，是为了核验价格、患者和适应症假设；这不是公司已经披露的产品收入表。</w:t>
      </w:r>
      <w:r>
        <w:rPr/>
        <w:t>2026</w:t>
      </w:r>
      <w:r>
        <w:rPr/>
        <w:t>年基准模型的全年销售代理分别设为</w:t>
      </w:r>
      <w:r>
        <w:rPr/>
        <w:t>4.70</w:t>
      </w:r>
      <w:r>
        <w:rPr/>
        <w:t>亿元和</w:t>
      </w:r>
      <w:r>
        <w:rPr/>
        <w:t>3.50</w:t>
      </w:r>
      <w:r>
        <w:rPr/>
        <w:t>亿元，也不应拿来反推未公开的上半年分药占比。</w:t>
      </w:r>
    </w:p>
    <w:p>
      <w:pPr>
        <w:pStyle w:val="Normal"/>
        <w:rPr/>
      </w:pPr>
      <w:r>
        <w:rPr/>
        <w:t>商业质量的观察对象应是实际收款及持续处方，而非单纯发货。上半年应收账款由</w:t>
      </w:r>
      <w:r>
        <w:rPr/>
        <w:t>2025</w:t>
      </w:r>
      <w:r>
        <w:rPr/>
        <w:t>年底约</w:t>
      </w:r>
      <w:r>
        <w:rPr/>
        <w:t>6688</w:t>
      </w:r>
      <w:r>
        <w:rPr/>
        <w:t>万元增至</w:t>
      </w:r>
      <w:r>
        <w:rPr/>
        <w:t>1.75633</w:t>
      </w:r>
      <w:r>
        <w:rPr/>
        <w:t>亿元，存货也增加。增长中的药企可以因新药上市和渠道扩张发生正常营运资金占用，但这种占用会降低短期现金转换效率。如果后续收入仍增长而应收周转持续拉长、实际患者使用没有同步增加，就可能意味着销售兑现弱于财报展示。药品在中国市场的持续价值还取决于适应症、医保支付和医生使用习惯，不能仅按海外同类产品标价乘以中国患者人数。</w:t>
      </w:r>
    </w:p>
    <w:p>
      <w:pPr>
        <w:pStyle w:val="Normal"/>
        <w:rPr/>
      </w:pPr>
      <w:r>
        <w:rPr/>
        <w:t>CDMO</w:t>
      </w:r>
      <w:r>
        <w:rPr/>
        <w:t>在本公司目前不是估值主轴。上半年</w:t>
      </w:r>
      <w:r>
        <w:rPr/>
        <w:t>236.9</w:t>
      </w:r>
      <w:r>
        <w:rPr/>
        <w:t>万元收入相对药品和许可规模很小，亦涉及关联方服务。模型只给小额收入与较低毛利贡献，不把公司包装成订单充足的独立</w:t>
      </w:r>
      <w:r>
        <w:rPr/>
        <w:t>CXO</w:t>
      </w:r>
      <w:r>
        <w:rPr/>
        <w:t>平台。生产和工艺能力可以成为自有</w:t>
      </w:r>
      <w:r>
        <w:rPr/>
        <w:t>ADC</w:t>
      </w:r>
      <w:r>
        <w:rPr/>
        <w:t>或许可产品的支持，但如果厂房投入过大而订单不足，能力建设反而会占用现金。公司已经有较大固定资产及承诺资本开支，因此产能规划的经济性需要与实际需求结合，不能因为具备工厂就给予高倍制造估值。</w:t>
      </w:r>
    </w:p>
    <w:p>
      <w:pPr>
        <w:pStyle w:val="Heading2"/>
        <w:rPr/>
      </w:pPr>
      <w:r>
        <w:rPr>
          <w:color w:val="000000"/>
        </w:rPr>
        <w:t>二 普佑恒的持续性 竞争与付款义务</w:t>
      </w:r>
    </w:p>
    <w:p>
      <w:pPr>
        <w:pStyle w:val="Normal"/>
        <w:rPr/>
      </w:pPr>
      <w:r>
        <w:rPr/>
        <w:t>普佑恒在</w:t>
      </w:r>
      <w:r>
        <w:rPr/>
        <w:t>2022</w:t>
      </w:r>
      <w:r>
        <w:rPr/>
        <w:t>年获得中国有条件上市批准，用于</w:t>
      </w:r>
      <w:r>
        <w:rPr/>
        <w:t>MSI-H/dMMR</w:t>
      </w:r>
      <w:r>
        <w:rPr/>
        <w:t>实体瘤和不可手术或转移性黑色素瘤等相关患者。中报说明公司继续进行一线</w:t>
      </w:r>
      <w:r>
        <w:rPr/>
        <w:t>MSI-H/dMMR</w:t>
      </w:r>
      <w:r>
        <w:rPr/>
        <w:t>转移性结直肠癌和一线特定阶段黑色素瘤的确认性三期研究。有条件批准意味着已有一定临床证据和商业资格，也意味着后续确认义务不能被忽略。其价值不能等同于已经完成所有随机验证、具有广泛一线标签的全球</w:t>
      </w:r>
      <w:r>
        <w:rPr/>
        <w:t>PD-1</w:t>
      </w:r>
      <w:r>
        <w:rPr/>
        <w:t>产品。适应症证据和确认研究如果发生不利变化，将直接影响持续销售和渠道信心。</w:t>
      </w:r>
    </w:p>
    <w:p>
      <w:pPr>
        <w:pStyle w:val="Normal"/>
        <w:rPr/>
      </w:pPr>
      <w:r>
        <w:rPr/>
        <w:t>PD-1</w:t>
      </w:r>
      <w:r>
        <w:rPr/>
        <w:t>在中国属于竞争非常密集的领域。大型创新药公司拥有更广的适应症、更强的销售网络和较多联合方案，对医生而言，同靶点药物并非只有价格一个差别。普佑恒可在特定患者群、联用开发和渠道覆盖上形成机会，但不能默认其在整个免疫肿瘤市场取得高份额。模型因此没有给无限扩张的</w:t>
      </w:r>
      <w:r>
        <w:rPr/>
        <w:t>PD-1</w:t>
      </w:r>
      <w:r>
        <w:rPr/>
        <w:t>销售，基准从</w:t>
      </w:r>
      <w:r>
        <w:rPr/>
        <w:t>2026</w:t>
      </w:r>
      <w:r>
        <w:rPr/>
        <w:t>年</w:t>
      </w:r>
      <w:r>
        <w:rPr/>
        <w:t>4.70</w:t>
      </w:r>
      <w:r>
        <w:rPr/>
        <w:t>亿元逐步增至</w:t>
      </w:r>
      <w:r>
        <w:rPr/>
        <w:t>2032</w:t>
      </w:r>
      <w:r>
        <w:rPr/>
        <w:t>年</w:t>
      </w:r>
      <w:r>
        <w:rPr/>
        <w:t>8.10</w:t>
      </w:r>
      <w:r>
        <w:rPr/>
        <w:t>亿元，之后进入较温和变化及衰减阶段。乐观情景要求联合方案与更广适应症得到验证，悲观情景则体现价格和份额压力。</w:t>
      </w:r>
    </w:p>
    <w:p>
      <w:pPr>
        <w:pStyle w:val="Normal"/>
        <w:rPr/>
      </w:pPr>
      <w:r>
        <w:rPr/>
        <w:t>PD-1</w:t>
      </w:r>
      <w:r>
        <w:rPr/>
        <w:t>产品的经济权益还有一项容易遗漏的收购义务。</w:t>
      </w:r>
      <w:r>
        <w:rPr/>
        <w:t>2019</w:t>
      </w:r>
      <w:r>
        <w:rPr/>
        <w:t>年收购台州汉中</w:t>
      </w:r>
      <w:r>
        <w:rPr/>
        <w:t>40%</w:t>
      </w:r>
      <w:r>
        <w:rPr/>
        <w:t>权益的安排包含固定对价和按</w:t>
      </w:r>
      <w:r>
        <w:rPr/>
        <w:t>PD-1</w:t>
      </w:r>
      <w:r>
        <w:rPr/>
        <w:t>年度净销售收入</w:t>
      </w:r>
      <w:r>
        <w:rPr/>
        <w:t>4.375%</w:t>
      </w:r>
      <w:r>
        <w:rPr/>
        <w:t>支付的可变对价。</w:t>
      </w:r>
      <w:r>
        <w:rPr/>
        <w:t>2026</w:t>
      </w:r>
      <w:r>
        <w:rPr/>
        <w:t>年</w:t>
      </w:r>
      <w:r>
        <w:rPr/>
        <w:t>6</w:t>
      </w:r>
      <w:r>
        <w:rPr/>
        <w:t>月底该负债公允价值为</w:t>
      </w:r>
      <w:r>
        <w:rPr/>
        <w:t>2.70712</w:t>
      </w:r>
      <w:r>
        <w:rPr/>
        <w:t>亿元，其中当前部分</w:t>
      </w:r>
      <w:r>
        <w:rPr/>
        <w:t>3062.2</w:t>
      </w:r>
      <w:r>
        <w:rPr/>
        <w:t>万元。这个账面值是估计未来付款的现值，并非付款总额的硬上限。若以后</w:t>
      </w:r>
      <w:r>
        <w:rPr/>
        <w:t>PD-1</w:t>
      </w:r>
      <w:r>
        <w:rPr/>
        <w:t>销售高于预期，可变付款也可能高于原估计；若销售下降，付款可能减少，且损益会出现公允价值调整。因此不能一次扣掉账面负债后，假定</w:t>
      </w:r>
      <w:r>
        <w:rPr/>
        <w:t>PD-1</w:t>
      </w:r>
      <w:r>
        <w:rPr/>
        <w:t>未来收入全归现有股东。</w:t>
      </w:r>
    </w:p>
    <w:p>
      <w:pPr>
        <w:pStyle w:val="Normal"/>
        <w:rPr/>
      </w:pPr>
      <w:r>
        <w:rPr/>
        <w:t>本模型将</w:t>
      </w:r>
      <w:r>
        <w:rPr/>
        <w:t>3062.2</w:t>
      </w:r>
      <w:r>
        <w:rPr/>
        <w:t>万元作为首个剩余半年待支付金额，后续按上一年</w:t>
      </w:r>
      <w:r>
        <w:rPr/>
        <w:t>PD-1</w:t>
      </w:r>
      <w:r>
        <w:rPr/>
        <w:t>销售代理的</w:t>
      </w:r>
      <w:r>
        <w:rPr/>
        <w:t>4.375%</w:t>
      </w:r>
      <w:r>
        <w:rPr/>
        <w:t>支付，并在</w:t>
      </w:r>
      <w:r>
        <w:rPr/>
        <w:t>2041</w:t>
      </w:r>
      <w:r>
        <w:rPr/>
        <w:t>年的终末回收扣除最后一年尚未支付的金额。公司未来真正的结算时点、税务和具体净销售定义可能更复杂，这一方式是公开条款下的研究代理。它保证付款随收入变化且不会被</w:t>
      </w:r>
      <w:r>
        <w:rPr/>
        <w:t>2.70712</w:t>
      </w:r>
      <w:r>
        <w:rPr/>
        <w:t>亿元封顶，也避免在已经扣除未来付款后再从股权价值重复扣账面负债。读者修改</w:t>
      </w:r>
      <w:r>
        <w:rPr/>
        <w:t>PD-1</w:t>
      </w:r>
      <w:r>
        <w:rPr/>
        <w:t>收入时，可在年度现金桥看到付款同步变化，这比静态净债务表更能反映经济归属。</w:t>
      </w:r>
    </w:p>
    <w:p>
      <w:pPr>
        <w:pStyle w:val="Normal"/>
        <w:rPr/>
      </w:pPr>
      <w:r>
        <w:rPr/>
        <w:t>把普佑恒与美优恒联合开发时，还必须区分每种药的收入。某些试验用两药联合治疗，患者整体疗程成本并不都属于一个</w:t>
      </w:r>
      <w:r>
        <w:rPr/>
        <w:t>ADC</w:t>
      </w:r>
      <w:r>
        <w:rPr/>
        <w:t>。如果模型把联合方案的全部费用计入</w:t>
      </w:r>
      <w:r>
        <w:rPr/>
        <w:t>MRG003</w:t>
      </w:r>
      <w:r>
        <w:rPr/>
        <w:t>，又把</w:t>
      </w:r>
      <w:r>
        <w:rPr/>
        <w:t>PD-1</w:t>
      </w:r>
      <w:r>
        <w:rPr/>
        <w:t>完整销售加一次，就会重复计算相同处方。当前估值中</w:t>
      </w:r>
      <w:r>
        <w:rPr/>
        <w:t>MRG003</w:t>
      </w:r>
      <w:r>
        <w:rPr/>
        <w:t>新增适应症只计乐普</w:t>
      </w:r>
      <w:r>
        <w:rPr/>
        <w:t>ADC</w:t>
      </w:r>
      <w:r>
        <w:rPr/>
        <w:t>自己的净药收入，</w:t>
      </w:r>
      <w:r>
        <w:rPr/>
        <w:t>PD-1</w:t>
      </w:r>
      <w:r>
        <w:rPr/>
        <w:t>另在核心销售预算内处理。随着更多数据公布，需要通过实际剂量、疗程、联用患者比例与净价格重新核验，而不能把靶点组合数量直接转成多个独立大市场。</w:t>
      </w:r>
    </w:p>
    <w:p>
      <w:pPr>
        <w:pStyle w:val="Heading2"/>
        <w:rPr/>
      </w:pPr>
      <w:r>
        <w:rPr>
          <w:color w:val="000000"/>
        </w:rPr>
        <w:t>三 美优恒的随机证据与商业化空间</w:t>
      </w:r>
    </w:p>
    <w:p>
      <w:pPr>
        <w:pStyle w:val="Normal"/>
        <w:rPr/>
      </w:pPr>
      <w:r>
        <w:rPr/>
        <w:t>MRG003</w:t>
      </w:r>
      <w:r>
        <w:rPr/>
        <w:t>于</w:t>
      </w:r>
      <w:r>
        <w:rPr/>
        <w:t>2025</w:t>
      </w:r>
      <w:r>
        <w:rPr/>
        <w:t>年</w:t>
      </w:r>
      <w:r>
        <w:rPr/>
        <w:t>10</w:t>
      </w:r>
      <w:r>
        <w:rPr/>
        <w:t>月</w:t>
      </w:r>
      <w:r>
        <w:rPr/>
        <w:t>30</w:t>
      </w:r>
      <w:r>
        <w:rPr/>
        <w:t>日公告取得中国上市批准，适应症为复发或转移性鼻咽癌。作为</w:t>
      </w:r>
      <w:r>
        <w:rPr/>
        <w:t>EGFR</w:t>
      </w:r>
      <w:r>
        <w:rPr/>
        <w:t>靶向</w:t>
      </w:r>
      <w:r>
        <w:rPr/>
        <w:t>ADC</w:t>
      </w:r>
      <w:r>
        <w:rPr/>
        <w:t>，其差异化不只是靶点名称，还包括对后线患者的实际疗效、安全性和可使用性。</w:t>
      </w:r>
      <w:r>
        <w:rPr/>
        <w:t>2025</w:t>
      </w:r>
      <w:r>
        <w:rPr/>
        <w:t>年</w:t>
      </w:r>
      <w:r>
        <w:rPr/>
        <w:t>ASCO</w:t>
      </w:r>
      <w:r>
        <w:rPr/>
        <w:t>公布的关键随机研究纳入</w:t>
      </w:r>
      <w:r>
        <w:rPr/>
        <w:t>173</w:t>
      </w:r>
      <w:r>
        <w:rPr/>
        <w:t>名患者，</w:t>
      </w:r>
      <w:r>
        <w:rPr/>
        <w:t>MRG003</w:t>
      </w:r>
      <w:r>
        <w:rPr/>
        <w:t>组</w:t>
      </w:r>
      <w:r>
        <w:rPr/>
        <w:t>86</w:t>
      </w:r>
      <w:r>
        <w:rPr/>
        <w:t>人、化疗组</w:t>
      </w:r>
      <w:r>
        <w:rPr/>
        <w:t>87</w:t>
      </w:r>
      <w:r>
        <w:rPr/>
        <w:t>人，中位既往治疗线数为三线。相较单臂早期高缓解率宣传，这种有对照的研究更能说明药物与现有治疗的相对效果，也为商业化价值提供较坚实的基础。</w:t>
      </w:r>
    </w:p>
    <w:p>
      <w:pPr>
        <w:pStyle w:val="Normal"/>
        <w:rPr/>
      </w:pPr>
      <w:r>
        <w:rPr/>
        <w:t>公开数据中，盲态独立中心评审的客观缓解率为</w:t>
      </w:r>
      <w:r>
        <w:rPr/>
        <w:t>30.2%</w:t>
      </w:r>
      <w:r>
        <w:rPr/>
        <w:t>对</w:t>
      </w:r>
      <w:r>
        <w:rPr/>
        <w:t>11.5%</w:t>
      </w:r>
      <w:r>
        <w:rPr/>
        <w:t>，差异达到统计显著；</w:t>
      </w:r>
      <w:r>
        <w:rPr/>
        <w:t>PFS</w:t>
      </w:r>
      <w:r>
        <w:rPr/>
        <w:t>风险比</w:t>
      </w:r>
      <w:r>
        <w:rPr/>
        <w:t>0.63</w:t>
      </w:r>
      <w:r>
        <w:rPr/>
        <w:t>，</w:t>
      </w:r>
      <w:r>
        <w:rPr/>
        <w:t>95%</w:t>
      </w:r>
      <w:r>
        <w:rPr/>
        <w:t>区间</w:t>
      </w:r>
      <w:r>
        <w:rPr/>
        <w:t>0.43</w:t>
      </w:r>
      <w:r>
        <w:rPr/>
        <w:t>至</w:t>
      </w:r>
      <w:r>
        <w:rPr/>
        <w:t>0.91</w:t>
      </w:r>
      <w:r>
        <w:rPr/>
        <w:t>，</w:t>
      </w:r>
      <w:r>
        <w:rPr/>
        <w:t>P</w:t>
      </w:r>
      <w:r>
        <w:rPr/>
        <w:t>值</w:t>
      </w:r>
      <w:r>
        <w:rPr/>
        <w:t>0.0146</w:t>
      </w:r>
      <w:r>
        <w:rPr/>
        <w:t>。中位</w:t>
      </w:r>
      <w:r>
        <w:rPr/>
        <w:t>PFS</w:t>
      </w:r>
      <w:r>
        <w:rPr/>
        <w:t>为</w:t>
      </w:r>
      <w:r>
        <w:rPr/>
        <w:t>5.8</w:t>
      </w:r>
      <w:r>
        <w:rPr/>
        <w:t>个月对</w:t>
      </w:r>
      <w:r>
        <w:rPr/>
        <w:t>2.8</w:t>
      </w:r>
      <w:r>
        <w:rPr/>
        <w:t>个月。这些结果支持</w:t>
      </w:r>
      <w:r>
        <w:rPr/>
        <w:t>MRG003</w:t>
      </w:r>
      <w:r>
        <w:rPr/>
        <w:t>在高度经治鼻咽癌患者中的临床作用，但也应保留其限制：患者既往治疗复杂、试验样本并不大，缓解率没有达到多数患者均有效的程度，后续使用必须考虑完整风险收益。估值不能将一项后线适应症的证据直接外推到所有</w:t>
      </w:r>
      <w:r>
        <w:rPr/>
        <w:t>EGFR</w:t>
      </w:r>
      <w:r>
        <w:rPr/>
        <w:t>阳性肿瘤。</w:t>
      </w:r>
    </w:p>
    <w:p>
      <w:pPr>
        <w:pStyle w:val="Normal"/>
        <w:rPr/>
      </w:pPr>
      <w:r>
        <w:rPr/>
        <w:t>总体生存结果也需要正确表述。</w:t>
      </w:r>
      <w:r>
        <w:rPr/>
        <w:t>2024</w:t>
      </w:r>
      <w:r>
        <w:rPr/>
        <w:t>年</w:t>
      </w:r>
      <w:r>
        <w:rPr/>
        <w:t>12</w:t>
      </w:r>
      <w:r>
        <w:rPr/>
        <w:t>月中期分析中位</w:t>
      </w:r>
      <w:r>
        <w:rPr/>
        <w:t>OS</w:t>
      </w:r>
      <w:r>
        <w:rPr/>
        <w:t>为</w:t>
      </w:r>
      <w:r>
        <w:rPr/>
        <w:t>17.1</w:t>
      </w:r>
      <w:r>
        <w:rPr/>
        <w:t>个月对</w:t>
      </w:r>
      <w:r>
        <w:rPr/>
        <w:t>12.0</w:t>
      </w:r>
      <w:r>
        <w:rPr/>
        <w:t>个月，风险比</w:t>
      </w:r>
      <w:r>
        <w:rPr/>
        <w:t>0.73</w:t>
      </w:r>
      <w:r>
        <w:rPr/>
        <w:t>，</w:t>
      </w:r>
      <w:r>
        <w:rPr/>
        <w:t>95%</w:t>
      </w:r>
      <w:r>
        <w:rPr/>
        <w:t>区间</w:t>
      </w:r>
      <w:r>
        <w:rPr/>
        <w:t>0.48</w:t>
      </w:r>
      <w:r>
        <w:rPr/>
        <w:t>至</w:t>
      </w:r>
      <w:r>
        <w:rPr/>
        <w:t>1.12</w:t>
      </w:r>
      <w:r>
        <w:rPr/>
        <w:t>，区间跨过一。补充分析排除交叉治疗影响后风险比</w:t>
      </w:r>
      <w:r>
        <w:rPr/>
        <w:t>0.59</w:t>
      </w:r>
      <w:r>
        <w:rPr/>
        <w:t>，</w:t>
      </w:r>
      <w:r>
        <w:rPr/>
        <w:t>95%</w:t>
      </w:r>
      <w:r>
        <w:rPr/>
        <w:t>区间</w:t>
      </w:r>
      <w:r>
        <w:rPr/>
        <w:t>0.37</w:t>
      </w:r>
      <w:r>
        <w:rPr/>
        <w:t>至</w:t>
      </w:r>
      <w:r>
        <w:rPr/>
        <w:t>0.93</w:t>
      </w:r>
      <w:r>
        <w:rPr/>
        <w:t>，但该调整分析不能替代原始随机结果。可以认为出现生存获益趋势与支持性证据，不能写成主要</w:t>
      </w:r>
      <w:r>
        <w:rPr/>
        <w:t>OS</w:t>
      </w:r>
      <w:r>
        <w:rPr/>
        <w:t>分析已经确定达到显著优效。公司公告称两组不良事件发生情况相近；未取得详细等级和具体事件发生率的项目，本报告不填造精确安全性表。</w:t>
      </w:r>
    </w:p>
    <w:p>
      <w:pPr>
        <w:pStyle w:val="Normal"/>
        <w:rPr/>
      </w:pPr>
      <w:r>
        <w:rPr/>
        <w:t>鼻咽癌在中国具备一定区域集中和临床需求，但后线患者总量受到既往治疗、体能状态、可负担性与治疗选择限制。第一款获批同类药有先发优势，实际销售上限仍需通过医院覆盖、医保和竞争产品验证。模型基准</w:t>
      </w:r>
      <w:r>
        <w:rPr/>
        <w:t>NPC</w:t>
      </w:r>
      <w:r>
        <w:rPr/>
        <w:t>收入从</w:t>
      </w:r>
      <w:r>
        <w:rPr/>
        <w:t>2026</w:t>
      </w:r>
      <w:r>
        <w:rPr/>
        <w:t>年</w:t>
      </w:r>
      <w:r>
        <w:rPr/>
        <w:t>3.50</w:t>
      </w:r>
      <w:r>
        <w:rPr/>
        <w:t>亿元逐步增至</w:t>
      </w:r>
      <w:r>
        <w:rPr/>
        <w:t>2032</w:t>
      </w:r>
      <w:r>
        <w:rPr/>
        <w:t>年</w:t>
      </w:r>
      <w:r>
        <w:rPr/>
        <w:t>15.50</w:t>
      </w:r>
      <w:r>
        <w:rPr/>
        <w:t>亿元，这要求持续渠道扩张和较高有效使用比例。悲观峰值仅约</w:t>
      </w:r>
      <w:r>
        <w:rPr/>
        <w:t>6.50</w:t>
      </w:r>
      <w:r>
        <w:rPr/>
        <w:t>亿元，体现价格和份额压力；乐观则要求</w:t>
      </w:r>
      <w:r>
        <w:rPr/>
        <w:t>28</w:t>
      </w:r>
      <w:r>
        <w:rPr/>
        <w:t>亿元左右的</w:t>
      </w:r>
      <w:r>
        <w:rPr/>
        <w:t>NPC</w:t>
      </w:r>
      <w:r>
        <w:rPr/>
        <w:t>销售代理，属于较强商业化结果，并非单靠上市批准就能成立。</w:t>
      </w:r>
    </w:p>
    <w:p>
      <w:pPr>
        <w:pStyle w:val="Normal"/>
        <w:rPr/>
      </w:pPr>
      <w:r>
        <w:rPr/>
        <w:t>头颈鳞癌、甲状腺癌等新增适应症可以扩大</w:t>
      </w:r>
      <w:r>
        <w:rPr/>
        <w:t>MRG003</w:t>
      </w:r>
      <w:r>
        <w:rPr/>
        <w:t>的价值，但证据层次不同。中国</w:t>
      </w:r>
      <w:r>
        <w:rPr/>
        <w:t>HNSCC</w:t>
      </w:r>
      <w:r>
        <w:rPr/>
        <w:t>三期在推进，欧洲局部晚期</w:t>
      </w:r>
      <w:r>
        <w:rPr/>
        <w:t>HNSCC</w:t>
      </w:r>
      <w:r>
        <w:rPr/>
        <w:t>联合研究属于随机二期；甲状腺研究仍是早期探索。</w:t>
      </w:r>
      <w:r>
        <w:rPr/>
        <w:t>2026</w:t>
      </w:r>
      <w:r>
        <w:rPr/>
        <w:t>年</w:t>
      </w:r>
      <w:r>
        <w:rPr/>
        <w:t>9</w:t>
      </w:r>
      <w:r>
        <w:rPr/>
        <w:t>月</w:t>
      </w:r>
      <w:r>
        <w:rPr/>
        <w:t>23</w:t>
      </w:r>
      <w:r>
        <w:rPr/>
        <w:t>日公告仅预告后续</w:t>
      </w:r>
      <w:r>
        <w:rPr/>
        <w:t>ESMO</w:t>
      </w:r>
      <w:r>
        <w:rPr/>
        <w:t>展示，不能使用</w:t>
      </w:r>
      <w:r>
        <w:rPr/>
        <w:t>10</w:t>
      </w:r>
      <w:r>
        <w:rPr/>
        <w:t>月</w:t>
      </w:r>
      <w:r>
        <w:rPr/>
        <w:t>23</w:t>
      </w:r>
      <w:r>
        <w:rPr/>
        <w:t>日或</w:t>
      </w:r>
      <w:r>
        <w:rPr/>
        <w:t>25</w:t>
      </w:r>
      <w:r>
        <w:rPr/>
        <w:t>日才第一次公开的结果。尤其欧洲研究入选的是首次中期安全分析，会议入选不等于疗效已在随机试验中取得结论。当前新增适应症成功率和上市年份因此仍采取风险调整，不给与现有</w:t>
      </w:r>
      <w:r>
        <w:rPr/>
        <w:t>NPC</w:t>
      </w:r>
      <w:r>
        <w:rPr/>
        <w:t>相同的确定性。</w:t>
      </w:r>
    </w:p>
    <w:p>
      <w:pPr>
        <w:pStyle w:val="Normal"/>
        <w:rPr/>
      </w:pPr>
      <w:r>
        <w:rPr/>
        <w:t>海外市场还多了地区注册、生产、合作谈判和支付难题。中国批准和</w:t>
      </w:r>
      <w:r>
        <w:rPr/>
        <w:t>FDA</w:t>
      </w:r>
      <w:r>
        <w:rPr/>
        <w:t>的快速通道或研究许可不能自动带来美国上市资格。海外商业化可能通过授权帮助降低乐普自身投入，但截至日没有可核验的</w:t>
      </w:r>
      <w:r>
        <w:rPr/>
        <w:t>MRG003</w:t>
      </w:r>
      <w:r>
        <w:rPr/>
        <w:t>全球许可条款。本研究采用未来海外净许可方式作为情景假设，并公开给出净收入率，不把潜在伙伴的销售直接计入乐普。若公司以后选择自主开发和销售，研发与销售资本需求应提高，现有净许可模型也需整体重建，不能只把收入改成更高而维持低成本。</w:t>
      </w:r>
    </w:p>
    <w:p>
      <w:pPr>
        <w:pStyle w:val="Heading2"/>
        <w:rPr/>
      </w:pPr>
      <w:r>
        <w:rPr>
          <w:color w:val="000000"/>
        </w:rPr>
        <w:t xml:space="preserve">四 </w:t>
      </w:r>
      <w:r>
        <w:rPr>
          <w:color w:val="000000"/>
        </w:rPr>
        <w:t xml:space="preserve">CMG901 </w:t>
      </w:r>
      <w:r>
        <w:rPr>
          <w:color w:val="000000"/>
        </w:rPr>
        <w:t>价值最大的国际验证与数据边界</w:t>
      </w:r>
    </w:p>
    <w:p>
      <w:pPr>
        <w:pStyle w:val="Normal"/>
        <w:rPr/>
      </w:pPr>
      <w:r>
        <w:rPr/>
        <w:t>CMG901</w:t>
      </w:r>
      <w:r>
        <w:rPr/>
        <w:t>，即</w:t>
      </w:r>
      <w:r>
        <w:rPr/>
        <w:t>sonesitatug vedotin</w:t>
      </w:r>
      <w:r>
        <w:rPr/>
        <w:t>或</w:t>
      </w:r>
      <w:r>
        <w:rPr/>
        <w:t>AZD0901</w:t>
      </w:r>
      <w:r>
        <w:rPr/>
        <w:t>，是</w:t>
      </w:r>
      <w:r>
        <w:rPr/>
        <w:t>CLDN18.2</w:t>
      </w:r>
      <w:r>
        <w:rPr/>
        <w:t>靶向</w:t>
      </w:r>
      <w:r>
        <w:rPr/>
        <w:t>ADC</w:t>
      </w:r>
      <w:r>
        <w:rPr/>
        <w:t>，由乐普与康诺亚通过</w:t>
      </w:r>
      <w:r>
        <w:rPr/>
        <w:t>KYM</w:t>
      </w:r>
      <w:r>
        <w:rPr/>
        <w:t>合作开发。</w:t>
      </w:r>
      <w:r>
        <w:rPr/>
        <w:t>KYM</w:t>
      </w:r>
      <w:r>
        <w:rPr/>
        <w:t>权益比例为乐普</w:t>
      </w:r>
      <w:r>
        <w:rPr/>
        <w:t>30%</w:t>
      </w:r>
      <w:r>
        <w:rPr/>
        <w:t>、康诺亚</w:t>
      </w:r>
      <w:r>
        <w:rPr/>
        <w:t>70%</w:t>
      </w:r>
      <w:r>
        <w:rPr/>
        <w:t>，并在</w:t>
      </w:r>
      <w:r>
        <w:rPr/>
        <w:t>2023</w:t>
      </w:r>
      <w:r>
        <w:rPr/>
        <w:t>年把全球开发和商业化等权利许可给阿斯利康。大型跨国药企承接后续试验和全球商业化可以降低乐普直接筹集全部全球三期费用的压力，也验证资产的产业吸引力。但全球权益已许可，乐普得到的是按照协议和合作权益分配后的收入，不能用阿斯利康全部销售额做乐普营收。</w:t>
      </w:r>
    </w:p>
    <w:p>
      <w:pPr>
        <w:pStyle w:val="Normal"/>
        <w:rPr/>
      </w:pPr>
      <w:r>
        <w:rPr/>
        <w:t>2026</w:t>
      </w:r>
      <w:r>
        <w:rPr/>
        <w:t>年</w:t>
      </w:r>
      <w:r>
        <w:rPr/>
        <w:t>3</w:t>
      </w:r>
      <w:r>
        <w:rPr/>
        <w:t>月</w:t>
      </w:r>
      <w:r>
        <w:rPr/>
        <w:t>11</w:t>
      </w:r>
      <w:r>
        <w:rPr/>
        <w:t>日公告，</w:t>
      </w:r>
      <w:r>
        <w:rPr/>
        <w:t>CLARITY-Gastric02</w:t>
      </w:r>
      <w:r>
        <w:rPr/>
        <w:t>首名患者给药触发合计</w:t>
      </w:r>
      <w:r>
        <w:rPr/>
        <w:t>4500</w:t>
      </w:r>
      <w:r>
        <w:rPr/>
        <w:t>万美元里程碑，阿斯利康已支付该笔款项。金额属于整个</w:t>
      </w:r>
      <w:r>
        <w:rPr/>
        <w:t>KYM</w:t>
      </w:r>
      <w:r>
        <w:rPr/>
        <w:t>许可安排，不是乐普独享</w:t>
      </w:r>
      <w:r>
        <w:rPr/>
        <w:t>4500</w:t>
      </w:r>
      <w:r>
        <w:rPr/>
        <w:t>万美元。中报关联方许可收入</w:t>
      </w:r>
      <w:r>
        <w:rPr/>
        <w:t>8297.4</w:t>
      </w:r>
      <w:r>
        <w:rPr/>
        <w:t>万元为实际已确认收入，可用于核验经济归属的方向，但不能不加分析地把美元合计金额、乐普报表收入和</w:t>
      </w:r>
      <w:r>
        <w:rPr/>
        <w:t>KYM</w:t>
      </w:r>
      <w:r>
        <w:rPr/>
        <w:t>利润分配全都同时增加现金。估值只在未来</w:t>
      </w:r>
      <w:r>
        <w:rPr/>
        <w:t>CMG</w:t>
      </w:r>
      <w:r>
        <w:rPr/>
        <w:t>净经济收入中使用</w:t>
      </w:r>
      <w:r>
        <w:rPr/>
        <w:t>30%</w:t>
      </w:r>
      <w:r>
        <w:rPr/>
        <w:t>权益，并不再把</w:t>
      </w:r>
      <w:r>
        <w:rPr/>
        <w:t>KYM</w:t>
      </w:r>
      <w:r>
        <w:rPr/>
        <w:t>权益法账面价值或潜在分红作为一项重复资产。</w:t>
      </w:r>
    </w:p>
    <w:p>
      <w:pPr>
        <w:pStyle w:val="Normal"/>
        <w:rPr/>
      </w:pPr>
      <w:r>
        <w:rPr/>
        <w:t>7</w:t>
      </w:r>
      <w:r>
        <w:rPr/>
        <w:t>月</w:t>
      </w:r>
      <w:r>
        <w:rPr/>
        <w:t>28</w:t>
      </w:r>
      <w:r>
        <w:rPr/>
        <w:t>日公布的</w:t>
      </w:r>
      <w:r>
        <w:rPr/>
        <w:t>CLARITY-Gastric01</w:t>
      </w:r>
      <w:r>
        <w:rPr/>
        <w:t>高层结果是研究截止日前最重要的临床进展。研究的双主要终点包括三线及以后人群</w:t>
      </w:r>
      <w:r>
        <w:rPr/>
        <w:t>OS</w:t>
      </w:r>
      <w:r>
        <w:rPr/>
        <w:t>与总体二线及以后人群独立评审</w:t>
      </w:r>
      <w:r>
        <w:rPr/>
        <w:t>PFS</w:t>
      </w:r>
      <w:r>
        <w:rPr/>
        <w:t>；三线及以后</w:t>
      </w:r>
      <w:r>
        <w:rPr/>
        <w:t>OS</w:t>
      </w:r>
      <w:r>
        <w:rPr/>
        <w:t>主要终点达到显著，二线及以后</w:t>
      </w:r>
      <w:r>
        <w:rPr/>
        <w:t>OS</w:t>
      </w:r>
      <w:r>
        <w:rPr/>
        <w:t>关键次要终点也达到显著，但</w:t>
      </w:r>
      <w:r>
        <w:rPr/>
        <w:t>BICR</w:t>
      </w:r>
      <w:r>
        <w:rPr/>
        <w:t>评估</w:t>
      </w:r>
      <w:r>
        <w:rPr/>
        <w:t>PFS</w:t>
      </w:r>
      <w:r>
        <w:rPr/>
        <w:t>这一共同主要终点未达到统计显著。不能概括为双主要终点全部成功，也不能因为</w:t>
      </w:r>
      <w:r>
        <w:rPr/>
        <w:t>PFS</w:t>
      </w:r>
      <w:r>
        <w:rPr/>
        <w:t>未显著而完全抹去</w:t>
      </w:r>
      <w:r>
        <w:rPr/>
        <w:t>OS</w:t>
      </w:r>
      <w:r>
        <w:rPr/>
        <w:t>的临床意义。两种说法都会破坏对注册和商业空间的判断。</w:t>
      </w:r>
    </w:p>
    <w:p>
      <w:pPr>
        <w:pStyle w:val="Normal"/>
        <w:rPr/>
      </w:pPr>
      <w:r>
        <w:rPr/>
        <w:t>OS</w:t>
      </w:r>
      <w:r>
        <w:rPr/>
        <w:t>显著而</w:t>
      </w:r>
      <w:r>
        <w:rPr/>
        <w:t>PFS</w:t>
      </w:r>
      <w:r>
        <w:rPr/>
        <w:t>不显著可以有多种解释，包括评价方式、治疗后效应、后续治疗、数据成熟度或分层差异。截止日无法用完整风险比、中位</w:t>
      </w:r>
      <w:r>
        <w:rPr/>
        <w:t>OS</w:t>
      </w:r>
      <w:r>
        <w:rPr/>
        <w:t>和各亚组结果确认原因，因为这些详细数据预定</w:t>
      </w:r>
      <w:r>
        <w:rPr/>
        <w:t>10</w:t>
      </w:r>
      <w:r>
        <w:rPr/>
        <w:t>月</w:t>
      </w:r>
      <w:r>
        <w:rPr/>
        <w:t>25</w:t>
      </w:r>
      <w:r>
        <w:rPr/>
        <w:t>日第一次披露。研究只把已知结果转化为较高的风险调整成功因子，同时保留监管沟通、标签范围和安全性的不确定性。若完整结果显示获益主要集中在极窄亚组、毒性导致实际给药困难，或者监管对统计层级和标签提出重大限制，峰值收入与成功率都必须下降。</w:t>
      </w:r>
    </w:p>
    <w:p>
      <w:pPr>
        <w:pStyle w:val="Normal"/>
        <w:rPr/>
      </w:pPr>
      <w:r>
        <w:rPr/>
        <w:t>研究覆盖</w:t>
      </w:r>
      <w:r>
        <w:rPr/>
        <w:t>175</w:t>
      </w:r>
      <w:r>
        <w:rPr/>
        <w:t>个中心、</w:t>
      </w:r>
      <w:r>
        <w:rPr/>
        <w:t>19</w:t>
      </w:r>
      <w:r>
        <w:rPr/>
        <w:t>个国家，入组要求为至少</w:t>
      </w:r>
      <w:r>
        <w:rPr/>
        <w:t>25%</w:t>
      </w:r>
      <w:r>
        <w:rPr/>
        <w:t>肿瘤细胞</w:t>
      </w:r>
      <w:r>
        <w:rPr/>
        <w:t>CLDN18.2</w:t>
      </w:r>
      <w:r>
        <w:rPr/>
        <w:t>表达且任意染色强度。公司公告列举美国、欧洲、中国、日本相关二线及以后患者规模约</w:t>
      </w:r>
      <w:r>
        <w:rPr/>
        <w:t>18.35</w:t>
      </w:r>
      <w:r>
        <w:rPr/>
        <w:t>万人。这是用于理解临床背景的资料，不等于每年</w:t>
      </w:r>
      <w:r>
        <w:rPr/>
        <w:t>18.35</w:t>
      </w:r>
      <w:r>
        <w:rPr/>
        <w:t>万人都会使用该药，也不等于每人可以按美国最高净价收费。检测试剂、组织样本可得性、</w:t>
      </w:r>
      <w:r>
        <w:rPr/>
        <w:t>HER2</w:t>
      </w:r>
      <w:r>
        <w:rPr/>
        <w:t>状态、既往治疗线、患者支付和竞争治疗都会缩小可实现市场。全球一线和二线资产若同时估值，还要防止同一年度的患者流转被多次全额计价。</w:t>
      </w:r>
    </w:p>
    <w:p>
      <w:pPr>
        <w:pStyle w:val="Normal"/>
        <w:rPr/>
      </w:pPr>
      <w:r>
        <w:rPr/>
        <w:t>本模型为全球二线及以后</w:t>
      </w:r>
      <w:r>
        <w:rPr/>
        <w:t>CMG</w:t>
      </w:r>
      <w:r>
        <w:rPr/>
        <w:t>销售设置悲观</w:t>
      </w:r>
      <w:r>
        <w:rPr/>
        <w:t>70</w:t>
      </w:r>
      <w:r>
        <w:rPr/>
        <w:t>亿元、基准</w:t>
      </w:r>
      <w:r>
        <w:rPr/>
        <w:t>180</w:t>
      </w:r>
      <w:r>
        <w:rPr/>
        <w:t>亿元、乐观</w:t>
      </w:r>
      <w:r>
        <w:rPr/>
        <w:t>350</w:t>
      </w:r>
      <w:r>
        <w:rPr/>
        <w:t>亿元峰值，并分别使用</w:t>
      </w:r>
      <w:r>
        <w:rPr/>
        <w:t>8%</w:t>
      </w:r>
      <w:r>
        <w:rPr/>
        <w:t>、</w:t>
      </w:r>
      <w:r>
        <w:rPr/>
        <w:t>11%</w:t>
      </w:r>
      <w:r>
        <w:rPr/>
        <w:t>、</w:t>
      </w:r>
      <w:r>
        <w:rPr/>
        <w:t>14%</w:t>
      </w:r>
      <w:r>
        <w:rPr/>
        <w:t>的研究版税率，再乘乐普</w:t>
      </w:r>
      <w:r>
        <w:rPr/>
        <w:t>30%</w:t>
      </w:r>
      <w:r>
        <w:rPr/>
        <w:t>权益和净费用毛利率。具体阶梯版税并未公开，这些率不是合同事实。基准峰值的乐普许可收入代理为</w:t>
      </w:r>
      <w:r>
        <w:rPr/>
        <w:t>5.94</w:t>
      </w:r>
      <w:r>
        <w:rPr/>
        <w:t>亿元，在</w:t>
      </w:r>
      <w:r>
        <w:rPr/>
        <w:t>80%</w:t>
      </w:r>
      <w:r>
        <w:rPr/>
        <w:t>风险因子后为</w:t>
      </w:r>
      <w:r>
        <w:rPr/>
        <w:t>4.752</w:t>
      </w:r>
      <w:r>
        <w:rPr/>
        <w:t>亿元，净费用进一步反映必要支出；不是</w:t>
      </w:r>
      <w:r>
        <w:rPr/>
        <w:t>180</w:t>
      </w:r>
      <w:r>
        <w:rPr/>
        <w:t>亿元直接归属乐普。结果显示，即使认为</w:t>
      </w:r>
      <w:r>
        <w:rPr/>
        <w:t>CMG</w:t>
      </w:r>
      <w:r>
        <w:rPr/>
        <w:t>全球销售可能很大，</w:t>
      </w:r>
      <w:r>
        <w:rPr/>
        <w:t>30%</w:t>
      </w:r>
      <w:r>
        <w:rPr/>
        <w:t>共同权益和版税结构会显著缩小公司最终享有的价值。</w:t>
      </w:r>
    </w:p>
    <w:p>
      <w:pPr>
        <w:pStyle w:val="Normal"/>
        <w:rPr/>
      </w:pPr>
      <w:r>
        <w:rPr/>
        <w:t>一线胃癌价值另设一组，基准峰值全球销售</w:t>
      </w:r>
      <w:r>
        <w:rPr/>
        <w:t>300</w:t>
      </w:r>
      <w:r>
        <w:rPr/>
        <w:t>亿元，商业起点</w:t>
      </w:r>
      <w:r>
        <w:rPr/>
        <w:t>2030</w:t>
      </w:r>
      <w:r>
        <w:rPr/>
        <w:t>年、成功率</w:t>
      </w:r>
      <w:r>
        <w:rPr/>
        <w:t>52%</w:t>
      </w:r>
      <w:r>
        <w:rPr/>
        <w:t>。这是新患者和治疗线拓展的增量估计，不能把现有二线市场再复制一份。</w:t>
      </w:r>
      <w:r>
        <w:rPr/>
        <w:t>CLARITY-Gastric02</w:t>
      </w:r>
      <w:r>
        <w:rPr/>
        <w:t>已开始给药，意味着研发投入与试验执行推进，不代表临床成功；联合</w:t>
      </w:r>
      <w:r>
        <w:rPr/>
        <w:t>capecitabine</w:t>
      </w:r>
      <w:r>
        <w:rPr/>
        <w:t>并探索</w:t>
      </w:r>
      <w:r>
        <w:rPr/>
        <w:t>rilvegostomig</w:t>
      </w:r>
      <w:r>
        <w:rPr/>
        <w:t>的方案还需要验证。围手术期与其他实体瘤试验仍在较早阶段，本研究没有逐个赋予巨大独立资产，避免通过适应症数量夸大价值。</w:t>
      </w:r>
    </w:p>
    <w:p>
      <w:pPr>
        <w:pStyle w:val="Normal"/>
        <w:rPr/>
      </w:pPr>
      <w:r>
        <w:rPr/>
        <w:t>CMG</w:t>
      </w:r>
      <w:r>
        <w:rPr/>
        <w:t>的合作也带来伙伴优先级风险。阿斯利康拥有较多肿瘤项目和联合方案资源，可能按全球组合重新安排开发与商业顺序。大伙伴的资金和能力有利于成功执行，但合同权利、数据质量、竞争和研发决策仍决定乐普何时收到款项。另有报道涉及阿斯利康与</w:t>
      </w:r>
      <w:r>
        <w:rPr/>
        <w:t>Summit</w:t>
      </w:r>
      <w:r>
        <w:rPr/>
        <w:t>的联合开发探索，只能证明讨论或合作方向，不能提前增加已验证患者和上市标签。公司的股价可能在消息期内迅速重估，而现金收入需要很长时间兑现，二者不能混为一谈。</w:t>
      </w:r>
    </w:p>
    <w:p>
      <w:pPr>
        <w:pStyle w:val="Heading2"/>
        <w:rPr/>
      </w:pPr>
      <w:r>
        <w:rPr>
          <w:color w:val="000000"/>
        </w:rPr>
        <w:t xml:space="preserve">五 </w:t>
      </w:r>
      <w:r>
        <w:rPr>
          <w:color w:val="000000"/>
        </w:rPr>
        <w:t>MRG004A MRG006A</w:t>
      </w:r>
      <w:r>
        <w:rPr>
          <w:color w:val="000000"/>
        </w:rPr>
        <w:t>和</w:t>
      </w:r>
      <w:r>
        <w:rPr>
          <w:color w:val="000000"/>
        </w:rPr>
        <w:t>MRG007</w:t>
      </w:r>
      <w:r>
        <w:rPr>
          <w:color w:val="000000"/>
        </w:rPr>
        <w:t>的差异化机会</w:t>
      </w:r>
    </w:p>
    <w:p>
      <w:pPr>
        <w:pStyle w:val="Normal"/>
        <w:rPr/>
      </w:pPr>
      <w:r>
        <w:rPr/>
        <w:t>MRG004A</w:t>
      </w:r>
      <w:r>
        <w:rPr/>
        <w:t>为</w:t>
      </w:r>
      <w:r>
        <w:rPr/>
        <w:t>TF</w:t>
      </w:r>
      <w:r>
        <w:rPr/>
        <w:t>靶向</w:t>
      </w:r>
      <w:r>
        <w:rPr/>
        <w:t>ADC</w:t>
      </w:r>
      <w:r>
        <w:rPr/>
        <w:t>，公司正在中国推进胰腺导管腺癌三期研究。胰腺癌治疗困难、预后差，若药物在随机后期试验中取得可靠获益，商业和临床价值都可能较高。研究获得突破性治疗认定、孤儿药或快速通道等支持，可以改善监管沟通和试验推进条件，但不能代替三期结果。模型基准中国峰值</w:t>
      </w:r>
      <w:r>
        <w:rPr/>
        <w:t>25</w:t>
      </w:r>
      <w:r>
        <w:rPr/>
        <w:t>亿元、成功率</w:t>
      </w:r>
      <w:r>
        <w:rPr/>
        <w:t>60%</w:t>
      </w:r>
      <w:r>
        <w:rPr/>
        <w:t>、商业起点</w:t>
      </w:r>
      <w:r>
        <w:rPr/>
        <w:t>2029</w:t>
      </w:r>
      <w:r>
        <w:rPr/>
        <w:t>年，属于后期阶段的风险假设；海外仍给更低成功率和更晚上市时间，不把中国三期当作全球注册已完成。</w:t>
      </w:r>
    </w:p>
    <w:p>
      <w:pPr>
        <w:pStyle w:val="Normal"/>
        <w:rPr/>
      </w:pPr>
      <w:r>
        <w:rPr/>
        <w:t>TF</w:t>
      </w:r>
      <w:r>
        <w:rPr/>
        <w:t>靶点的风险不只在缓解率。药物需要在既有化疗和其他新机制治疗之间证明风险收益，患者体能、合并症、耐受性和给药中断均可能影响实际使用。胰腺癌单臂早期信号容易受到入组选择和后续治疗影响，不能根据少量患者的积极结果推断长期</w:t>
      </w:r>
      <w:r>
        <w:rPr/>
        <w:t>OS</w:t>
      </w:r>
      <w:r>
        <w:rPr/>
        <w:t>。若随机三期未显示有意义的生存或症状改善，或者安全性影响剂量强度，</w:t>
      </w:r>
      <w:r>
        <w:rPr/>
        <w:t>25</w:t>
      </w:r>
      <w:r>
        <w:rPr/>
        <w:t>亿元基准峰值不再有基础。公司继续做研究需要完整费用预算，本模型没有因为成功率低于百分之百而同比折减研发现金成本。</w:t>
      </w:r>
    </w:p>
    <w:p>
      <w:pPr>
        <w:pStyle w:val="Normal"/>
        <w:rPr/>
      </w:pPr>
      <w:r>
        <w:rPr/>
        <w:t>MRG006A</w:t>
      </w:r>
      <w:r>
        <w:rPr/>
        <w:t>为</w:t>
      </w:r>
      <w:r>
        <w:rPr/>
        <w:t>GPC3</w:t>
      </w:r>
      <w:r>
        <w:rPr/>
        <w:t>靶向、使用拓扑异构酶一抑制剂载荷的</w:t>
      </w:r>
      <w:r>
        <w:rPr/>
        <w:t>ADC</w:t>
      </w:r>
      <w:r>
        <w:rPr/>
        <w:t>，处于肝癌临床二期。</w:t>
      </w:r>
      <w:r>
        <w:rPr/>
        <w:t>2025</w:t>
      </w:r>
      <w:r>
        <w:rPr/>
        <w:t>年</w:t>
      </w:r>
      <w:r>
        <w:rPr/>
        <w:t>12</w:t>
      </w:r>
      <w:r>
        <w:rPr/>
        <w:t>月</w:t>
      </w:r>
      <w:r>
        <w:rPr/>
        <w:t>19</w:t>
      </w:r>
      <w:r>
        <w:rPr/>
        <w:t>日截止的早期数据中，</w:t>
      </w:r>
      <w:r>
        <w:rPr/>
        <w:t>25</w:t>
      </w:r>
      <w:r>
        <w:rPr/>
        <w:t>名可评估患者</w:t>
      </w:r>
      <w:r>
        <w:rPr/>
        <w:t>ORR</w:t>
      </w:r>
      <w:r>
        <w:rPr/>
        <w:t>为</w:t>
      </w:r>
      <w:r>
        <w:rPr/>
        <w:t>24%</w:t>
      </w:r>
      <w:r>
        <w:rPr/>
        <w:t>、疾病控制率</w:t>
      </w:r>
      <w:r>
        <w:rPr/>
        <w:t>68%</w:t>
      </w:r>
      <w:r>
        <w:rPr/>
        <w:t>、临床获益率</w:t>
      </w:r>
      <w:r>
        <w:rPr/>
        <w:t>32%</w:t>
      </w:r>
      <w:r>
        <w:rPr/>
        <w:t>；高</w:t>
      </w:r>
      <w:r>
        <w:rPr/>
        <w:t>GPC3</w:t>
      </w:r>
      <w:r>
        <w:rPr/>
        <w:t>表达亚组</w:t>
      </w:r>
      <w:r>
        <w:rPr/>
        <w:t>12</w:t>
      </w:r>
      <w:r>
        <w:rPr/>
        <w:t>名患者</w:t>
      </w:r>
      <w:r>
        <w:rPr/>
        <w:t>ORR33.3%</w:t>
      </w:r>
      <w:r>
        <w:rPr/>
        <w:t>、疾病控制率</w:t>
      </w:r>
      <w:r>
        <w:rPr/>
        <w:t>75%</w:t>
      </w:r>
      <w:r>
        <w:rPr/>
        <w:t>、临床获益率</w:t>
      </w:r>
      <w:r>
        <w:rPr/>
        <w:t>50%</w:t>
      </w:r>
      <w:r>
        <w:rPr/>
        <w:t>。中位</w:t>
      </w:r>
      <w:r>
        <w:rPr/>
        <w:t>PFS7.0</w:t>
      </w:r>
      <w:r>
        <w:rPr/>
        <w:t>个月，</w:t>
      </w:r>
      <w:r>
        <w:rPr/>
        <w:t>DOR4.2</w:t>
      </w:r>
      <w:r>
        <w:rPr/>
        <w:t>个月，中位随访</w:t>
      </w:r>
      <w:r>
        <w:rPr/>
        <w:t>5.7</w:t>
      </w:r>
      <w:r>
        <w:rPr/>
        <w:t>个月。这些结果是可进一步探索的信号，样本很小、高表达亚组更小，不能把</w:t>
      </w:r>
      <w:r>
        <w:rPr/>
        <w:t>33.3%</w:t>
      </w:r>
      <w:r>
        <w:rPr/>
        <w:t>作为全部肝癌患者的成功率或永久疗效。</w:t>
      </w:r>
    </w:p>
    <w:p>
      <w:pPr>
        <w:pStyle w:val="Normal"/>
        <w:rPr/>
      </w:pPr>
      <w:r>
        <w:rPr/>
        <w:t>肝癌市场很大但竞争已经包括免疫联合、抗血管生成和其他治疗。</w:t>
      </w:r>
      <w:r>
        <w:rPr/>
        <w:t>GPC3</w:t>
      </w:r>
      <w:r>
        <w:rPr/>
        <w:t>可能提供患者选择和靶点差异，实际临床位置还取决于既往治疗、肝功能、表达检测和联合方案。中报指出</w:t>
      </w:r>
      <w:r>
        <w:rPr/>
        <w:t>MRG006A</w:t>
      </w:r>
      <w:r>
        <w:rPr/>
        <w:t>已取得美国</w:t>
      </w:r>
      <w:r>
        <w:rPr/>
        <w:t>IND</w:t>
      </w:r>
      <w:r>
        <w:rPr/>
        <w:t>许可以及快速通道、孤儿药等认定，说明研究可以向海外推进，不代表</w:t>
      </w:r>
      <w:r>
        <w:rPr/>
        <w:t>FDA</w:t>
      </w:r>
      <w:r>
        <w:rPr/>
        <w:t>认可最终疗效。本模型把中国自销和海外净许可合并为一个净经济组，基准峰值</w:t>
      </w:r>
      <w:r>
        <w:rPr/>
        <w:t>42</w:t>
      </w:r>
      <w:r>
        <w:rPr/>
        <w:t>亿元、成功率</w:t>
      </w:r>
      <w:r>
        <w:rPr/>
        <w:t>36%</w:t>
      </w:r>
      <w:r>
        <w:rPr/>
        <w:t>，避免中国与海外同一项早期证据分别套高倍估值。</w:t>
      </w:r>
    </w:p>
    <w:p>
      <w:pPr>
        <w:pStyle w:val="Normal"/>
        <w:rPr/>
      </w:pPr>
      <w:r>
        <w:rPr/>
        <w:t>MRG007</w:t>
      </w:r>
      <w:r>
        <w:rPr/>
        <w:t>是</w:t>
      </w:r>
      <w:r>
        <w:rPr/>
        <w:t>CDH17</w:t>
      </w:r>
      <w:r>
        <w:rPr/>
        <w:t>靶向</w:t>
      </w:r>
      <w:r>
        <w:rPr/>
        <w:t>ADC</w:t>
      </w:r>
      <w:r>
        <w:rPr/>
        <w:t>，与</w:t>
      </w:r>
      <w:r>
        <w:rPr/>
        <w:t>ArriVent</w:t>
      </w:r>
      <w:r>
        <w:rPr/>
        <w:t>在</w:t>
      </w:r>
      <w:r>
        <w:rPr/>
        <w:t>2025</w:t>
      </w:r>
      <w:r>
        <w:rPr/>
        <w:t>年</w:t>
      </w:r>
      <w:r>
        <w:rPr/>
        <w:t>1</w:t>
      </w:r>
      <w:r>
        <w:rPr/>
        <w:t>月签订大中华区以外的独家许可。交易包含</w:t>
      </w:r>
      <w:r>
        <w:rPr/>
        <w:t>4700</w:t>
      </w:r>
      <w:r>
        <w:rPr/>
        <w:t>万美元首付与近期里程碑，以及最高约</w:t>
      </w:r>
      <w:r>
        <w:rPr/>
        <w:t>11.6</w:t>
      </w:r>
      <w:r>
        <w:rPr/>
        <w:t>亿美元后续条件里程碑和阶梯销售版税。前期已收或已确认的款项已经体现在</w:t>
      </w:r>
      <w:r>
        <w:rPr/>
        <w:t>2025</w:t>
      </w:r>
      <w:r>
        <w:rPr/>
        <w:t>年及</w:t>
      </w:r>
      <w:r>
        <w:rPr/>
        <w:t>2026</w:t>
      </w:r>
      <w:r>
        <w:rPr/>
        <w:t>上半年报表和现金锚，不应在未来估值再加一次。</w:t>
      </w:r>
      <w:r>
        <w:rPr/>
        <w:t>11.6</w:t>
      </w:r>
      <w:r>
        <w:rPr/>
        <w:t>亿美元是取决于多个开发、监管和销售节点的总上限，不能把它当作确定应收或存款。版税率未公开，本研究使用</w:t>
      </w:r>
      <w:r>
        <w:rPr/>
        <w:t>8%</w:t>
      </w:r>
      <w:r>
        <w:rPr/>
        <w:t>、</w:t>
      </w:r>
      <w:r>
        <w:rPr/>
        <w:t>12%</w:t>
      </w:r>
      <w:r>
        <w:rPr/>
        <w:t>、</w:t>
      </w:r>
      <w:r>
        <w:rPr/>
        <w:t>16%</w:t>
      </w:r>
      <w:r>
        <w:rPr/>
        <w:t>的情景假设，并明确收入为公司净许可权益。</w:t>
      </w:r>
    </w:p>
    <w:p>
      <w:pPr>
        <w:pStyle w:val="Normal"/>
        <w:rPr/>
      </w:pPr>
      <w:r>
        <w:rPr/>
        <w:t>CDH17</w:t>
      </w:r>
      <w:r>
        <w:rPr/>
        <w:t>与胃肠道肿瘤的关联使</w:t>
      </w:r>
      <w:r>
        <w:rPr/>
        <w:t>MRG007</w:t>
      </w:r>
      <w:r>
        <w:rPr/>
        <w:t>具备潜在市场空间，但首个人体详细数据预定</w:t>
      </w:r>
      <w:r>
        <w:rPr/>
        <w:t>2026</w:t>
      </w:r>
      <w:r>
        <w:rPr/>
        <w:t>年</w:t>
      </w:r>
      <w:r>
        <w:rPr/>
        <w:t>10</w:t>
      </w:r>
      <w:r>
        <w:rPr/>
        <w:t>月</w:t>
      </w:r>
      <w:r>
        <w:rPr/>
        <w:t>25</w:t>
      </w:r>
      <w:r>
        <w:rPr/>
        <w:t>日在</w:t>
      </w:r>
      <w:r>
        <w:rPr/>
        <w:t>ESMO</w:t>
      </w:r>
      <w:r>
        <w:rPr/>
        <w:t>公布，截止时不能用会议摘要标题替代具体疗效和安全性。临床前模型中所谓潜在最佳同类不等于人体最佳同类。研究的剂量、患者治疗线、可评估人数、毒性和反应持续时间如果没有披露，就不应编造这些数字。基准中国商业起点</w:t>
      </w:r>
      <w:r>
        <w:rPr/>
        <w:t>2033</w:t>
      </w:r>
      <w:r>
        <w:rPr/>
        <w:t>年、成功率</w:t>
      </w:r>
      <w:r>
        <w:rPr/>
        <w:t>30%</w:t>
      </w:r>
      <w:r>
        <w:rPr/>
        <w:t>，海外成功率</w:t>
      </w:r>
      <w:r>
        <w:rPr/>
        <w:t>34%</w:t>
      </w:r>
      <w:r>
        <w:rPr/>
        <w:t>，体现项目还很早；乐观需要未来多个阶段持续验证。</w:t>
      </w:r>
    </w:p>
    <w:p>
      <w:pPr>
        <w:pStyle w:val="Normal"/>
        <w:rPr/>
      </w:pPr>
      <w:r>
        <w:rPr/>
        <w:t>ArriVent</w:t>
      </w:r>
      <w:r>
        <w:rPr/>
        <w:t>规模和资金能力与阿斯利康不同，因此两笔合作不能简单等权比较。海外伙伴能帮助承担当地开发，但如果融资或研发排序发生变化，</w:t>
      </w:r>
      <w:r>
        <w:rPr/>
        <w:t>MRG007</w:t>
      </w:r>
      <w:r>
        <w:rPr/>
        <w:t>临床推进速度和近端里程碑收入都可能延迟。合同回归、费用分担和终止后的权利情况也会影响资产残值。乐普保留大中华区权利本身是一项机会，亦意味着本地研发、生产与商业化投入仍要由自身承担；模型没有把海外许可成功当成保留地区免费上市的捷径。</w:t>
      </w:r>
    </w:p>
    <w:p>
      <w:pPr>
        <w:pStyle w:val="Heading2"/>
        <w:rPr/>
      </w:pPr>
      <w:r>
        <w:rPr>
          <w:color w:val="000000"/>
        </w:rPr>
        <w:t xml:space="preserve">六 </w:t>
      </w:r>
      <w:r>
        <w:rPr>
          <w:color w:val="000000"/>
        </w:rPr>
        <w:t>CG0070 TCE</w:t>
      </w:r>
      <w:r>
        <w:rPr>
          <w:color w:val="000000"/>
        </w:rPr>
        <w:t>和未确认管线的处理</w:t>
      </w:r>
    </w:p>
    <w:p>
      <w:pPr>
        <w:pStyle w:val="Normal"/>
        <w:rPr/>
      </w:pPr>
      <w:r>
        <w:rPr/>
        <w:t>CG0070</w:t>
      </w:r>
      <w:r>
        <w:rPr/>
        <w:t>为溶瘤腺病毒</w:t>
      </w:r>
      <w:r>
        <w:rPr/>
        <w:t>cretostimogene grenadenorepvec</w:t>
      </w:r>
      <w:r>
        <w:rPr/>
        <w:t>，公司获得的是中国内地、香港和澳门的开发、制造与商业化权利。部分较早年报使用大中华区措辞，但</w:t>
      </w:r>
      <w:r>
        <w:rPr/>
        <w:t>2026</w:t>
      </w:r>
      <w:r>
        <w:rPr/>
        <w:t>中报明确列出中港澳，因此本研究不自动包含台湾，更不把美国销售归属乐普。美国伙伴</w:t>
      </w:r>
      <w:r>
        <w:rPr/>
        <w:t>CG Oncology</w:t>
      </w:r>
      <w:r>
        <w:rPr/>
        <w:t>推进的</w:t>
      </w:r>
      <w:r>
        <w:rPr/>
        <w:t>BOND-003</w:t>
      </w:r>
      <w:r>
        <w:rPr/>
        <w:t>等研究可作为药物科学证据的参照，乐普仍需要完成本地区注册和实际商业化。美国滚动提交</w:t>
      </w:r>
      <w:r>
        <w:rPr/>
        <w:t>BLA</w:t>
      </w:r>
      <w:r>
        <w:rPr/>
        <w:t>或获得突破性认定也不代表中国已经批准。</w:t>
      </w:r>
    </w:p>
    <w:p>
      <w:pPr>
        <w:pStyle w:val="Normal"/>
        <w:rPr/>
      </w:pPr>
      <w:r>
        <w:rPr/>
        <w:t>中报引用</w:t>
      </w:r>
      <w:r>
        <w:rPr/>
        <w:t>BOND-003</w:t>
      </w:r>
      <w:r>
        <w:rPr/>
        <w:t>队列</w:t>
      </w:r>
      <w:r>
        <w:rPr/>
        <w:t>C</w:t>
      </w:r>
      <w:r>
        <w:rPr/>
        <w:t>公开结果：高风险</w:t>
      </w:r>
      <w:r>
        <w:rPr/>
        <w:t>BCG</w:t>
      </w:r>
      <w:r>
        <w:rPr/>
        <w:t>无应答、伴原位癌的非肌层浸润膀胱癌患者任何时点</w:t>
      </w:r>
      <w:r>
        <w:rPr/>
        <w:t>CR</w:t>
      </w:r>
      <w:r>
        <w:rPr/>
        <w:t>约</w:t>
      </w:r>
      <w:r>
        <w:rPr/>
        <w:t>75.5%</w:t>
      </w:r>
      <w:r>
        <w:rPr/>
        <w:t>，</w:t>
      </w:r>
      <w:r>
        <w:rPr/>
        <w:t>12</w:t>
      </w:r>
      <w:r>
        <w:rPr/>
        <w:t>和</w:t>
      </w:r>
      <w:r>
        <w:rPr/>
        <w:t>24</w:t>
      </w:r>
      <w:r>
        <w:rPr/>
        <w:t>个月</w:t>
      </w:r>
      <w:r>
        <w:rPr/>
        <w:t>DOR</w:t>
      </w:r>
      <w:r>
        <w:rPr/>
        <w:t>率约</w:t>
      </w:r>
      <w:r>
        <w:rPr/>
        <w:t>64.2%</w:t>
      </w:r>
      <w:r>
        <w:rPr/>
        <w:t>与</w:t>
      </w:r>
      <w:r>
        <w:rPr/>
        <w:t>60.1%</w:t>
      </w:r>
      <w:r>
        <w:rPr/>
        <w:t>，中位</w:t>
      </w:r>
      <w:r>
        <w:rPr/>
        <w:t>DOR</w:t>
      </w:r>
      <w:r>
        <w:rPr/>
        <w:t>至少</w:t>
      </w:r>
      <w:r>
        <w:rPr/>
        <w:t>27.9</w:t>
      </w:r>
      <w:r>
        <w:rPr/>
        <w:t>个月且仍在随访。这些结果支持保膀胱治疗的临床价值，但“任何时点</w:t>
      </w:r>
      <w:r>
        <w:rPr/>
        <w:t>CR”</w:t>
      </w:r>
      <w:r>
        <w:rPr/>
        <w:t>不能改写成</w:t>
      </w:r>
      <w:r>
        <w:rPr/>
        <w:t>12</w:t>
      </w:r>
      <w:r>
        <w:rPr/>
        <w:t>个月全部入组患者均持续完全缓解。中报还引用该队列没有三级或更高治疗相关事件、停药或死亡；这一结果限于已报告试验和人群，不代表未来更大规模使用完全没有严重事件。</w:t>
      </w:r>
    </w:p>
    <w:p>
      <w:pPr>
        <w:pStyle w:val="Normal"/>
        <w:rPr/>
      </w:pPr>
      <w:r>
        <w:rPr/>
        <w:t>在中国市场，患者选择、</w:t>
      </w:r>
      <w:r>
        <w:rPr/>
        <w:t>BCG</w:t>
      </w:r>
      <w:r>
        <w:rPr/>
        <w:t>供应、泌尿科路径和保膀胱偏好将影响药物采用。药物通过膀胱内给药，操作条件与普通静脉肿瘤药不同，医院培训和流程整合可能降低渠道扩张速度。相对于高美国净价格，中国可负担价格和支付体系更关键。模型基准中港澳峰值</w:t>
      </w:r>
      <w:r>
        <w:rPr/>
        <w:t>14</w:t>
      </w:r>
      <w:r>
        <w:rPr/>
        <w:t>亿元、成功率</w:t>
      </w:r>
      <w:r>
        <w:rPr/>
        <w:t>66%</w:t>
      </w:r>
      <w:r>
        <w:rPr/>
        <w:t>、商业起点</w:t>
      </w:r>
      <w:r>
        <w:rPr/>
        <w:t>2029</w:t>
      </w:r>
      <w:r>
        <w:rPr/>
        <w:t>年，毛利</w:t>
      </w:r>
      <w:r>
        <w:rPr/>
        <w:t>70%</w:t>
      </w:r>
      <w:r>
        <w:rPr/>
        <w:t>已经留出原始许可版税、供应及制造经济成本。不能把伙伴试验的缓解率直接作为</w:t>
      </w:r>
      <w:r>
        <w:rPr/>
        <w:t>14</w:t>
      </w:r>
      <w:r>
        <w:rPr/>
        <w:t>亿元销售的概率，也不能仅因为科学证据较强就省略本地注册风险。</w:t>
      </w:r>
    </w:p>
    <w:p>
      <w:pPr>
        <w:pStyle w:val="Normal"/>
        <w:rPr/>
      </w:pPr>
      <w:r>
        <w:rPr/>
        <w:t>MRG001</w:t>
      </w:r>
      <w:r>
        <w:rPr/>
        <w:t>为</w:t>
      </w:r>
      <w:r>
        <w:rPr/>
        <w:t>CD20</w:t>
      </w:r>
      <w:r>
        <w:rPr/>
        <w:t>靶向</w:t>
      </w:r>
      <w:r>
        <w:rPr/>
        <w:t>ADC</w:t>
      </w:r>
      <w:r>
        <w:rPr/>
        <w:t>，公司推进与</w:t>
      </w:r>
      <w:r>
        <w:rPr/>
        <w:t>BTK</w:t>
      </w:r>
      <w:r>
        <w:rPr/>
        <w:t>抑制剂联合的</w:t>
      </w:r>
      <w:r>
        <w:rPr/>
        <w:t>DLBCL</w:t>
      </w:r>
      <w:r>
        <w:rPr/>
        <w:t>二期研究。这一项目可以拓展公司在血液瘤的布局，但竞争涉及成熟抗体、</w:t>
      </w:r>
      <w:r>
        <w:rPr/>
        <w:t>CAR-T</w:t>
      </w:r>
      <w:r>
        <w:rPr/>
        <w:t>、双抗和其他</w:t>
      </w:r>
      <w:r>
        <w:rPr/>
        <w:t>ADC</w:t>
      </w:r>
      <w:r>
        <w:rPr/>
        <w:t>，临床优势必须在治疗线及耐受性中比较。模型使用较低的</w:t>
      </w:r>
      <w:r>
        <w:rPr/>
        <w:t>37%</w:t>
      </w:r>
      <w:r>
        <w:rPr/>
        <w:t>基准成功率与</w:t>
      </w:r>
      <w:r>
        <w:rPr/>
        <w:t>2032</w:t>
      </w:r>
      <w:r>
        <w:rPr/>
        <w:t>年商业起点，并只计本公司药品收入，不把联用</w:t>
      </w:r>
      <w:r>
        <w:rPr/>
        <w:t>BTK</w:t>
      </w:r>
      <w:r>
        <w:rPr/>
        <w:t>的整个疗程账单算作乐普收入。血液瘤适应症不能因为肿瘤市场大就直接给与实体瘤平台相同高峰值。</w:t>
      </w:r>
    </w:p>
    <w:p>
      <w:pPr>
        <w:pStyle w:val="Normal"/>
        <w:rPr/>
      </w:pPr>
      <w:r>
        <w:rPr/>
        <w:t>2025</w:t>
      </w:r>
      <w:r>
        <w:rPr/>
        <w:t>年</w:t>
      </w:r>
      <w:r>
        <w:rPr/>
        <w:t>8</w:t>
      </w:r>
      <w:r>
        <w:rPr/>
        <w:t>月公司与</w:t>
      </w:r>
      <w:r>
        <w:rPr/>
        <w:t>Excalipoint</w:t>
      </w:r>
      <w:r>
        <w:rPr/>
        <w:t>签订</w:t>
      </w:r>
      <w:r>
        <w:rPr/>
        <w:t>TCE</w:t>
      </w:r>
      <w:r>
        <w:rPr/>
        <w:t>相关的知识产权和许可安排，包含合计</w:t>
      </w:r>
      <w:r>
        <w:rPr/>
        <w:t>1000</w:t>
      </w:r>
      <w:r>
        <w:rPr/>
        <w:t>万美元首付、</w:t>
      </w:r>
      <w:r>
        <w:rPr/>
        <w:t>10%</w:t>
      </w:r>
      <w:r>
        <w:rPr/>
        <w:t>股权以及条件里程碑和版税。</w:t>
      </w:r>
      <w:r>
        <w:rPr/>
        <w:t>2025</w:t>
      </w:r>
      <w:r>
        <w:rPr/>
        <w:t>年报说明截至年底实际收到</w:t>
      </w:r>
      <w:r>
        <w:rPr/>
        <w:t>800</w:t>
      </w:r>
      <w:r>
        <w:rPr/>
        <w:t>万美元和</w:t>
      </w:r>
      <w:r>
        <w:rPr/>
        <w:t>425403</w:t>
      </w:r>
      <w:r>
        <w:rPr/>
        <w:t>股对方普通股，不能写成</w:t>
      </w:r>
      <w:r>
        <w:rPr/>
        <w:t>1000</w:t>
      </w:r>
      <w:r>
        <w:rPr/>
        <w:t>万美元全额已经到账。非现金股权对价属于经济权利但不等于可用于付工资的现金。未来交易上限也不能加到公司现金跑道。本模型把早期</w:t>
      </w:r>
      <w:r>
        <w:rPr/>
        <w:t>TCE</w:t>
      </w:r>
      <w:r>
        <w:rPr/>
        <w:t>及新平台合并为低成功率净许可组，避免每项尚未证实的临床前候选都变成巨大独立资产。</w:t>
      </w:r>
    </w:p>
    <w:p>
      <w:pPr>
        <w:pStyle w:val="Normal"/>
        <w:rPr/>
      </w:pPr>
      <w:r>
        <w:rPr/>
        <w:t>2025</w:t>
      </w:r>
      <w:r>
        <w:rPr/>
        <w:t>年报还曾描述</w:t>
      </w:r>
      <w:r>
        <w:rPr/>
        <w:t>MRG002</w:t>
      </w:r>
      <w:r>
        <w:rPr/>
        <w:t>的</w:t>
      </w:r>
      <w:r>
        <w:rPr/>
        <w:t>HER2</w:t>
      </w:r>
      <w:r>
        <w:rPr/>
        <w:t>乳腺癌研究和组合探索，但</w:t>
      </w:r>
      <w:r>
        <w:rPr/>
        <w:t>2026</w:t>
      </w:r>
      <w:r>
        <w:rPr/>
        <w:t>年中报核心管线图及进展叙述未提供相同程度的更新。本研究不能据此断言项目已经终止，也不能沿用旧阶段自动增加近期上市价值。当前估值没有单独赋予</w:t>
      </w:r>
      <w:r>
        <w:rPr/>
        <w:t>MRG002</w:t>
      </w:r>
      <w:r>
        <w:rPr/>
        <w:t>新资产，保留为待取得最新开发状态后刷新的一项缺口。若后续明确继续并产生重要数据，需补入地区、适应症、费用和竞争模型；如果停止，亦需核验相关研发和无形资产减值对现金及账面利润的影响。</w:t>
      </w:r>
    </w:p>
    <w:p>
      <w:pPr>
        <w:pStyle w:val="Normal"/>
        <w:rPr/>
      </w:pPr>
      <w:r>
        <w:rPr/>
        <w:t>MRG008</w:t>
      </w:r>
      <w:r>
        <w:rPr/>
        <w:t>、</w:t>
      </w:r>
      <w:r>
        <w:rPr/>
        <w:t>LPD002</w:t>
      </w:r>
      <w:r>
        <w:rPr/>
        <w:t>等临床前项目体现平台持续创新的方向，尤其双靶点或免疫机制组合有潜在差异。但药物发现、可制造性、人体剂量和安全性仍可能在每一步淘汰项目。研究不把临床前靶点数量当作确定的长期壁垒；平台价值必须通过重复可验证的临床结果、优质交易和可控成本体现。把它们合并为末期、低成功率的选择权，既保留成功可能，也避免“平台”二字绕过资金和科学验证。</w:t>
      </w:r>
    </w:p>
    <w:p>
      <w:pPr>
        <w:pStyle w:val="Heading2"/>
        <w:rPr/>
      </w:pPr>
      <w:r>
        <w:rPr>
          <w:color w:val="000000"/>
        </w:rPr>
        <w:t>七 财务质量与账面盈利的校正</w:t>
      </w:r>
    </w:p>
    <w:p>
      <w:pPr>
        <w:pStyle w:val="Normal"/>
        <w:rPr/>
      </w:pPr>
      <w:r>
        <w:rPr/>
        <w:t>2023</w:t>
      </w:r>
      <w:r>
        <w:rPr/>
        <w:t>年收入</w:t>
      </w:r>
      <w:r>
        <w:rPr/>
        <w:t>2.25352</w:t>
      </w:r>
      <w:r>
        <w:rPr/>
        <w:t>亿元、集团净亏损</w:t>
      </w:r>
      <w:r>
        <w:rPr/>
        <w:t>3030.1</w:t>
      </w:r>
      <w:r>
        <w:rPr/>
        <w:t>万元、归母亏损</w:t>
      </w:r>
      <w:r>
        <w:rPr/>
        <w:t>2209.6</w:t>
      </w:r>
      <w:r>
        <w:rPr/>
        <w:t>万元，但研发约</w:t>
      </w:r>
      <w:r>
        <w:rPr/>
        <w:t>4.58073</w:t>
      </w:r>
      <w:r>
        <w:rPr/>
        <w:t>亿元，较小账面亏损并不表示销售已经覆盖研发。</w:t>
      </w:r>
      <w:r>
        <w:rPr/>
        <w:t>2024</w:t>
      </w:r>
      <w:r>
        <w:rPr/>
        <w:t>年收入</w:t>
      </w:r>
      <w:r>
        <w:rPr/>
        <w:t>3.67794</w:t>
      </w:r>
      <w:r>
        <w:rPr/>
        <w:t>亿元、集团亏损</w:t>
      </w:r>
      <w:r>
        <w:rPr/>
        <w:t>4.24193</w:t>
      </w:r>
      <w:r>
        <w:rPr/>
        <w:t>亿元、归母亏损</w:t>
      </w:r>
      <w:r>
        <w:rPr/>
        <w:t>4.11376</w:t>
      </w:r>
      <w:r>
        <w:rPr/>
        <w:t>亿元、研发</w:t>
      </w:r>
      <w:r>
        <w:rPr/>
        <w:t>4.37697</w:t>
      </w:r>
      <w:r>
        <w:rPr/>
        <w:t>亿元。</w:t>
      </w:r>
      <w:r>
        <w:rPr/>
        <w:t>2025</w:t>
      </w:r>
      <w:r>
        <w:rPr/>
        <w:t>年收入</w:t>
      </w:r>
      <w:r>
        <w:rPr/>
        <w:t>9.34869</w:t>
      </w:r>
      <w:r>
        <w:rPr/>
        <w:t>亿元、归母盈利</w:t>
      </w:r>
      <w:r>
        <w:rPr/>
        <w:t>2.61364</w:t>
      </w:r>
      <w:r>
        <w:rPr/>
        <w:t>亿元、研发</w:t>
      </w:r>
      <w:r>
        <w:rPr/>
        <w:t>4.00708</w:t>
      </w:r>
      <w:r>
        <w:rPr/>
        <w:t>亿元。三年的变化既有产品收入改善，也有授权和投资相关一次性因素，不能简单把</w:t>
      </w:r>
      <w:r>
        <w:rPr/>
        <w:t>2025</w:t>
      </w:r>
      <w:r>
        <w:rPr/>
        <w:t>利润翻倍推演为稳定增长轨迹。</w:t>
      </w:r>
    </w:p>
    <w:p>
      <w:pPr>
        <w:pStyle w:val="Normal"/>
        <w:rPr/>
      </w:pPr>
      <w:r>
        <w:rPr/>
        <w:t>2025</w:t>
      </w:r>
      <w:r>
        <w:rPr/>
        <w:t>年其他净收益</w:t>
      </w:r>
      <w:r>
        <w:rPr/>
        <w:t>2.19449</w:t>
      </w:r>
      <w:r>
        <w:rPr/>
        <w:t>亿元，其中武汉滨会投资从权益法重分类为</w:t>
      </w:r>
      <w:r>
        <w:rPr/>
        <w:t>FVTOCI</w:t>
      </w:r>
      <w:r>
        <w:rPr/>
        <w:t>产生约</w:t>
      </w:r>
      <w:r>
        <w:rPr/>
        <w:t>2.89442</w:t>
      </w:r>
      <w:r>
        <w:rPr/>
        <w:t>亿元收益，同时有</w:t>
      </w:r>
      <w:r>
        <w:rPr/>
        <w:t>7039.4</w:t>
      </w:r>
      <w:r>
        <w:rPr/>
        <w:t>万元捐赠等抵减。该重分类并不来自出售药品，也没有等额现金流入。</w:t>
      </w:r>
      <w:r>
        <w:rPr/>
        <w:t>2025</w:t>
      </w:r>
      <w:r>
        <w:rPr/>
        <w:t>年收入中还有</w:t>
      </w:r>
      <w:r>
        <w:rPr/>
        <w:t>4259.6</w:t>
      </w:r>
      <w:r>
        <w:rPr/>
        <w:t>万元非现金对价，现金流量表已作调减。把这两项和大额许可收入都视为可持续盈利，将显著低估真实市盈率。财务分析应保留它们在法定报表中的位置，再单独判断持续销售、授权收款和投资重估的经济属性。</w:t>
      </w:r>
    </w:p>
    <w:p>
      <w:pPr>
        <w:pStyle w:val="Normal"/>
        <w:rPr/>
      </w:pPr>
      <w:r>
        <w:rPr/>
        <w:t>2026</w:t>
      </w:r>
      <w:r>
        <w:rPr/>
        <w:t>年上半年毛利</w:t>
      </w:r>
      <w:r>
        <w:rPr/>
        <w:t>4.75377</w:t>
      </w:r>
      <w:r>
        <w:rPr/>
        <w:t>亿元、销售费用</w:t>
      </w:r>
      <w:r>
        <w:rPr/>
        <w:t>1.49</w:t>
      </w:r>
      <w:r>
        <w:rPr/>
        <w:t>亿元、行政</w:t>
      </w:r>
      <w:r>
        <w:rPr/>
        <w:t>5619.2</w:t>
      </w:r>
      <w:r>
        <w:rPr/>
        <w:t>万元、研发</w:t>
      </w:r>
      <w:r>
        <w:rPr/>
        <w:t>2.08263</w:t>
      </w:r>
      <w:r>
        <w:rPr/>
        <w:t>亿元、其他收入</w:t>
      </w:r>
      <w:r>
        <w:rPr/>
        <w:t>1838.1</w:t>
      </w:r>
      <w:r>
        <w:rPr/>
        <w:t>万元、公允价值收益</w:t>
      </w:r>
      <w:r>
        <w:rPr/>
        <w:t>1062.3</w:t>
      </w:r>
      <w:r>
        <w:rPr/>
        <w:t>万元、其他损失</w:t>
      </w:r>
      <w:r>
        <w:rPr/>
        <w:t>4954.3</w:t>
      </w:r>
      <w:r>
        <w:rPr/>
        <w:t>万元，得到经营利润</w:t>
      </w:r>
      <w:r>
        <w:rPr/>
        <w:t>4138.3</w:t>
      </w:r>
      <w:r>
        <w:rPr/>
        <w:t>万元。净财务费用</w:t>
      </w:r>
      <w:r>
        <w:rPr/>
        <w:t>1666.2</w:t>
      </w:r>
      <w:r>
        <w:rPr/>
        <w:t>万元、权益法收益约</w:t>
      </w:r>
      <w:r>
        <w:rPr/>
        <w:t>5.7</w:t>
      </w:r>
      <w:r>
        <w:rPr/>
        <w:t>万元之后，税前</w:t>
      </w:r>
      <w:r>
        <w:rPr/>
        <w:t>2477.8</w:t>
      </w:r>
      <w:r>
        <w:rPr/>
        <w:t>万元，集团净利</w:t>
      </w:r>
      <w:r>
        <w:rPr/>
        <w:t>2484.8</w:t>
      </w:r>
      <w:r>
        <w:rPr/>
        <w:t>万元，归母</w:t>
      </w:r>
      <w:r>
        <w:rPr/>
        <w:t>2739.3</w:t>
      </w:r>
      <w:r>
        <w:rPr/>
        <w:t>万元。许可收入在上半年利润中作用很大；若直接去掉</w:t>
      </w:r>
      <w:r>
        <w:rPr/>
        <w:t>1.48740</w:t>
      </w:r>
      <w:r>
        <w:rPr/>
        <w:t>亿元许可收入而成本不变，就明显转为亏损，虽然这种静态计算也不是完整经营预测。</w:t>
      </w:r>
    </w:p>
    <w:p>
      <w:pPr>
        <w:pStyle w:val="Normal"/>
        <w:rPr/>
      </w:pPr>
      <w:r>
        <w:rPr/>
        <w:t>捐赠是另一个需要解释的支出。</w:t>
      </w:r>
      <w:r>
        <w:rPr/>
        <w:t>2026</w:t>
      </w:r>
      <w:r>
        <w:rPr/>
        <w:t>上半年其他损失主要为</w:t>
      </w:r>
      <w:r>
        <w:rPr/>
        <w:t>4823.2</w:t>
      </w:r>
      <w:r>
        <w:rPr/>
        <w:t>万元捐赠，而</w:t>
      </w:r>
      <w:r>
        <w:rPr/>
        <w:t>2025</w:t>
      </w:r>
      <w:r>
        <w:rPr/>
        <w:t>全年捐赠</w:t>
      </w:r>
      <w:r>
        <w:rPr/>
        <w:t>7039.4</w:t>
      </w:r>
      <w:r>
        <w:rPr/>
        <w:t>万元。不能因为它被列在其他损失就当作永远不会重复，也不能先假定一定永久维持同额。模型把</w:t>
      </w:r>
      <w:r>
        <w:rPr/>
        <w:t>2026</w:t>
      </w:r>
      <w:r>
        <w:rPr/>
        <w:t>年相关支出纳入其他费用预算，后续保持一定支出及杂费假设，体现实际历史行为。管理层若明显改变捐赠和其他资本分配政策，可以提高可用于研发和股东的现金；如果继续大额支出，低估它会夸大现金跑道。</w:t>
      </w:r>
    </w:p>
    <w:p>
      <w:pPr>
        <w:pStyle w:val="Normal"/>
        <w:rPr/>
      </w:pPr>
      <w:r>
        <w:rPr/>
        <w:t>经营现金流比净利润更能揭示短期融资需要。</w:t>
      </w:r>
      <w:r>
        <w:rPr/>
        <w:t>2025</w:t>
      </w:r>
      <w:r>
        <w:rPr/>
        <w:t>年经营活动净流出</w:t>
      </w:r>
      <w:r>
        <w:rPr/>
        <w:t>1222.9</w:t>
      </w:r>
      <w:r>
        <w:rPr/>
        <w:t>万元，而</w:t>
      </w:r>
      <w:r>
        <w:rPr/>
        <w:t>2026</w:t>
      </w:r>
      <w:r>
        <w:rPr/>
        <w:t>上半年净流出</w:t>
      </w:r>
      <w:r>
        <w:rPr/>
        <w:t>1.00321</w:t>
      </w:r>
      <w:r>
        <w:rPr/>
        <w:t>亿元。后者由税前利润、非现金调整和营运资金变化共同形成，营运资金调整净流出</w:t>
      </w:r>
      <w:r>
        <w:rPr/>
        <w:t>1.846</w:t>
      </w:r>
      <w:r>
        <w:rPr/>
        <w:t>亿元是主要拖累。同期固定资产现金投入</w:t>
      </w:r>
      <w:r>
        <w:rPr/>
        <w:t>5763.1</w:t>
      </w:r>
      <w:r>
        <w:rPr/>
        <w:t>万元、无形资产投入</w:t>
      </w:r>
      <w:r>
        <w:rPr/>
        <w:t>1.15071</w:t>
      </w:r>
      <w:r>
        <w:rPr/>
        <w:t>亿元，合计</w:t>
      </w:r>
      <w:r>
        <w:rPr/>
        <w:t>1.72702</w:t>
      </w:r>
      <w:r>
        <w:rPr/>
        <w:t>亿元。因此上半年经营加投资的现金消耗远高于净亏损或净盈利所暗示的程度。以“盈利公司”三个字断言不需要融资并不成立。</w:t>
      </w:r>
    </w:p>
    <w:p>
      <w:pPr>
        <w:pStyle w:val="Normal"/>
        <w:rPr/>
      </w:pPr>
      <w:r>
        <w:rPr/>
        <w:t>无形资产现金支出需要和研发费用一起看。引进产品、许可付款、符合资本化条件的开发投入可能出现在投资现金流而不是当期研发费用；只使用</w:t>
      </w:r>
      <w:r>
        <w:rPr/>
        <w:t>2.08263</w:t>
      </w:r>
      <w:r>
        <w:rPr/>
        <w:t>亿元研发费用做现金消耗会遗漏实际支出。模型每年同时包含完整研发预算、折旧摊销加回、物理和许可相关资本投入。为了避免双重处理，使用权资产折旧不在加回中，租赁的经济成本留在经营费用，亦不再把租赁本金重复作为银行还款扣除。模型仍是简化预算，不能代替公司逐合同现金支付表。</w:t>
      </w:r>
    </w:p>
    <w:p>
      <w:pPr>
        <w:pStyle w:val="Normal"/>
        <w:rPr/>
      </w:pPr>
      <w:r>
        <w:rPr/>
        <w:t>公司六月现金及等价物</w:t>
      </w:r>
      <w:r>
        <w:rPr/>
        <w:t>6.84568</w:t>
      </w:r>
      <w:r>
        <w:rPr/>
        <w:t>亿元，银行借款</w:t>
      </w:r>
      <w:r>
        <w:rPr/>
        <w:t>11.54102</w:t>
      </w:r>
      <w:r>
        <w:rPr/>
        <w:t>亿元，净银行债务约</w:t>
      </w:r>
      <w:r>
        <w:rPr/>
        <w:t>4.69534</w:t>
      </w:r>
      <w:r>
        <w:rPr/>
        <w:t>亿元。借款包含</w:t>
      </w:r>
      <w:r>
        <w:rPr/>
        <w:t>6.88495</w:t>
      </w:r>
      <w:r>
        <w:rPr/>
        <w:t>亿元一年内部分和</w:t>
      </w:r>
      <w:r>
        <w:rPr/>
        <w:t>4.65607</w:t>
      </w:r>
      <w:r>
        <w:rPr/>
        <w:t>亿元非流动部分，资金压力并不能通过总资产</w:t>
      </w:r>
      <w:r>
        <w:rPr/>
        <w:t>31.65663</w:t>
      </w:r>
      <w:r>
        <w:rPr/>
        <w:t>亿元掩盖。现金、固定资产、药物无形资产和非上市股权的流动性完全不同，出售厂房或权益的估价也可能很难实现。上半年新增借款</w:t>
      </w:r>
      <w:r>
        <w:rPr/>
        <w:t>5.05540</w:t>
      </w:r>
      <w:r>
        <w:rPr/>
        <w:t>亿元、还款</w:t>
      </w:r>
      <w:r>
        <w:rPr/>
        <w:t>3.83277</w:t>
      </w:r>
      <w:r>
        <w:rPr/>
        <w:t>亿元，说明贷款滚动是现实经营的重要组成，而非将来可以忽略的小概率事件。</w:t>
      </w:r>
    </w:p>
    <w:p>
      <w:pPr>
        <w:pStyle w:val="Normal"/>
        <w:rPr/>
      </w:pPr>
      <w:r>
        <w:rPr/>
        <w:t>金融资产中</w:t>
      </w:r>
      <w:r>
        <w:rPr/>
        <w:t>1.04421</w:t>
      </w:r>
      <w:r>
        <w:rPr/>
        <w:t>亿元</w:t>
      </w:r>
      <w:r>
        <w:rPr/>
        <w:t>FVTPL</w:t>
      </w:r>
      <w:r>
        <w:rPr/>
        <w:t>和</w:t>
      </w:r>
      <w:r>
        <w:rPr/>
        <w:t>3.96677</w:t>
      </w:r>
      <w:r>
        <w:rPr/>
        <w:t>亿元</w:t>
      </w:r>
      <w:r>
        <w:rPr/>
        <w:t>FVTOCI</w:t>
      </w:r>
      <w:r>
        <w:rPr/>
        <w:t>均是非上市股权性质，不能当作自由存款。尤其</w:t>
      </w:r>
      <w:r>
        <w:rPr/>
        <w:t>FVTOCI</w:t>
      </w:r>
      <w:r>
        <w:rPr/>
        <w:t>来自武汉滨会重分类，不是</w:t>
      </w:r>
      <w:r>
        <w:rPr/>
        <w:t>Excalipoint</w:t>
      </w:r>
      <w:r>
        <w:rPr/>
        <w:t>股权；这点通过年报注释可以核验。模型把合计</w:t>
      </w:r>
      <w:r>
        <w:rPr/>
        <w:t>5.01098</w:t>
      </w:r>
      <w:r>
        <w:rPr/>
        <w:t>亿元从起始现金排除，只在</w:t>
      </w:r>
      <w:r>
        <w:rPr/>
        <w:t>2041</w:t>
      </w:r>
      <w:r>
        <w:rPr/>
        <w:t>终末按</w:t>
      </w:r>
      <w:r>
        <w:rPr/>
        <w:t>30%</w:t>
      </w:r>
      <w:r>
        <w:rPr/>
        <w:t>、</w:t>
      </w:r>
      <w:r>
        <w:rPr/>
        <w:t>60%</w:t>
      </w:r>
      <w:r>
        <w:rPr/>
        <w:t>、</w:t>
      </w:r>
      <w:r>
        <w:rPr/>
        <w:t>90%</w:t>
      </w:r>
      <w:r>
        <w:rPr/>
        <w:t>情景回收，且不假定真实能在近期卖出。各项</w:t>
      </w:r>
      <w:r>
        <w:rPr/>
        <w:t>FVTPL</w:t>
      </w:r>
      <w:r>
        <w:rPr/>
        <w:t>底层股权及未来融资稀释未能全部可靠分拆，因此不能给一个貌似精确的每家公司股权目标值。</w:t>
      </w:r>
    </w:p>
    <w:p>
      <w:pPr>
        <w:pStyle w:val="Heading2"/>
        <w:rPr/>
      </w:pPr>
      <w:r>
        <w:rPr>
          <w:color w:val="000000"/>
        </w:rPr>
        <w:t>八 资本开支 融资稀释与治理</w:t>
      </w:r>
    </w:p>
    <w:p>
      <w:pPr>
        <w:pStyle w:val="Normal"/>
        <w:rPr/>
      </w:pPr>
      <w:r>
        <w:rPr/>
        <w:t>2026</w:t>
      </w:r>
      <w:r>
        <w:rPr/>
        <w:t>年中报披露尚未发生但已签约的固定资产资本承诺约</w:t>
      </w:r>
      <w:r>
        <w:rPr/>
        <w:t>4.03099</w:t>
      </w:r>
      <w:r>
        <w:rPr/>
        <w:t>亿元。未来厂房和设备投入不仅影响当期现金，还关系产能利用率和固定成本。基准模型</w:t>
      </w:r>
      <w:r>
        <w:rPr/>
        <w:t>2027</w:t>
      </w:r>
      <w:r>
        <w:rPr/>
        <w:t>与</w:t>
      </w:r>
      <w:r>
        <w:rPr/>
        <w:t>2028</w:t>
      </w:r>
      <w:r>
        <w:rPr/>
        <w:t>各设</w:t>
      </w:r>
      <w:r>
        <w:rPr/>
        <w:t>3.2</w:t>
      </w:r>
      <w:r>
        <w:rPr/>
        <w:t>亿元总资本投入，包含制造和许可预算，覆盖承诺支出的推进可能；后续逐步下降，并没有假定每年无限新增工厂。具体支付期限并未公开，若支出集中提前或超过预算，现金最低点会改变。投资人应追踪完成进度、成本和真实商业需求，不能把资本化视为研发和制造风险消失。</w:t>
      </w:r>
    </w:p>
    <w:p>
      <w:pPr>
        <w:pStyle w:val="Normal"/>
        <w:rPr/>
      </w:pPr>
      <w:r>
        <w:rPr/>
        <w:t>2025</w:t>
      </w:r>
      <w:r>
        <w:rPr/>
        <w:t>年公司配售</w:t>
      </w:r>
      <w:r>
        <w:rPr/>
        <w:t>9382.5</w:t>
      </w:r>
      <w:r>
        <w:rPr/>
        <w:t>万股，配售价</w:t>
      </w:r>
      <w:r>
        <w:rPr/>
        <w:t>5.02</w:t>
      </w:r>
      <w:r>
        <w:rPr/>
        <w:t>港元，</w:t>
      </w:r>
      <w:r>
        <w:rPr/>
        <w:t>7</w:t>
      </w:r>
      <w:r>
        <w:rPr/>
        <w:t>月</w:t>
      </w:r>
      <w:r>
        <w:rPr/>
        <w:t>11</w:t>
      </w:r>
      <w:r>
        <w:rPr/>
        <w:t>日完成；</w:t>
      </w:r>
      <w:r>
        <w:rPr/>
        <w:t>2024</w:t>
      </w:r>
      <w:r>
        <w:rPr/>
        <w:t>年也进行</w:t>
      </w:r>
      <w:r>
        <w:rPr/>
        <w:t>5117</w:t>
      </w:r>
      <w:r>
        <w:rPr/>
        <w:t>万股配售。配售可以降低现金枯竭风险，但原有股东的份额会下降。</w:t>
      </w:r>
      <w:r>
        <w:rPr/>
        <w:t>2026</w:t>
      </w:r>
      <w:r>
        <w:rPr/>
        <w:t>年</w:t>
      </w:r>
      <w:r>
        <w:rPr/>
        <w:t>9</w:t>
      </w:r>
      <w:r>
        <w:rPr/>
        <w:t>月月报确认已发行</w:t>
      </w:r>
      <w:r>
        <w:rPr/>
        <w:t>18.04439838</w:t>
      </w:r>
      <w:r>
        <w:rPr/>
        <w:t>亿股、库存股零，不能把早期股本、加权平均股数或只流通部分用作估值分母。</w:t>
      </w:r>
      <w:r>
        <w:rPr/>
        <w:t>3.82</w:t>
      </w:r>
      <w:r>
        <w:rPr/>
        <w:t>港元对应总市值约</w:t>
      </w:r>
      <w:r>
        <w:rPr/>
        <w:t>68.9296</w:t>
      </w:r>
      <w:r>
        <w:rPr/>
        <w:t>亿港元。模型的所有每股估值以这组外部法定股份为起点，并将未来发行和员工增股逐年添加。</w:t>
      </w:r>
    </w:p>
    <w:p>
      <w:pPr>
        <w:pStyle w:val="Normal"/>
        <w:rPr/>
      </w:pPr>
      <w:r>
        <w:rPr/>
        <w:t>2025</w:t>
      </w:r>
      <w:r>
        <w:rPr/>
        <w:t>年</w:t>
      </w:r>
      <w:r>
        <w:rPr/>
        <w:t>12</w:t>
      </w:r>
      <w:r>
        <w:rPr/>
        <w:t>月通过</w:t>
      </w:r>
      <w:r>
        <w:rPr/>
        <w:t>RSU</w:t>
      </w:r>
      <w:r>
        <w:rPr/>
        <w:t>计划，授权可授予</w:t>
      </w:r>
      <w:r>
        <w:rPr/>
        <w:t>9022.1991</w:t>
      </w:r>
      <w:r>
        <w:rPr/>
        <w:t>万股，约当前已发行股份</w:t>
      </w:r>
      <w:r>
        <w:rPr/>
        <w:t>5%</w:t>
      </w:r>
      <w:r>
        <w:rPr/>
        <w:t>。截至中报没有已授出同额的证据，不能把整个</w:t>
      </w:r>
      <w:r>
        <w:rPr/>
        <w:t>5%</w:t>
      </w:r>
      <w:r>
        <w:rPr/>
        <w:t>立即作为已发行股票；也不能完全忽略未来激励稀释。本模型</w:t>
      </w:r>
      <w:r>
        <w:rPr/>
        <w:t>2027</w:t>
      </w:r>
      <w:r>
        <w:rPr/>
        <w:t>年起设置小额逐年员工经济新增股，以及已包含在管理和研发费用中的权益激励支出，现金桥将该非现金支出加回。没有证据支持未来持续用等額现金替代同一奖励，因此不再同时扣百分之百现金奖励预算和添加相同新股。两种负担同时存在会重复压低股东价值。</w:t>
      </w:r>
    </w:p>
    <w:p>
      <w:pPr>
        <w:pStyle w:val="Normal"/>
        <w:rPr/>
      </w:pPr>
      <w:r>
        <w:rPr/>
        <w:t>基准融资假设为</w:t>
      </w:r>
      <w:r>
        <w:rPr/>
        <w:t>2027</w:t>
      </w:r>
      <w:r>
        <w:rPr/>
        <w:t>年</w:t>
      </w:r>
      <w:r>
        <w:rPr/>
        <w:t>8</w:t>
      </w:r>
      <w:r>
        <w:rPr/>
        <w:t>亿元、</w:t>
      </w:r>
      <w:r>
        <w:rPr/>
        <w:t>2028</w:t>
      </w:r>
      <w:r>
        <w:rPr/>
        <w:t>年</w:t>
      </w:r>
      <w:r>
        <w:rPr/>
        <w:t>6</w:t>
      </w:r>
      <w:r>
        <w:rPr/>
        <w:t>亿元、</w:t>
      </w:r>
      <w:r>
        <w:rPr/>
        <w:t>2029</w:t>
      </w:r>
      <w:r>
        <w:rPr/>
        <w:t>年</w:t>
      </w:r>
      <w:r>
        <w:rPr/>
        <w:t>3</w:t>
      </w:r>
      <w:r>
        <w:rPr/>
        <w:t>亿元人民币总额，发行港元价格分别</w:t>
      </w:r>
      <w:r>
        <w:rPr/>
        <w:t>4.3</w:t>
      </w:r>
      <w:r>
        <w:rPr/>
        <w:t>、</w:t>
      </w:r>
      <w:r>
        <w:rPr/>
        <w:t>5.2</w:t>
      </w:r>
      <w:r>
        <w:rPr/>
        <w:t>、</w:t>
      </w:r>
      <w:r>
        <w:rPr/>
        <w:t>6</w:t>
      </w:r>
      <w:r>
        <w:rPr/>
        <w:t>，净收款为总额</w:t>
      </w:r>
      <w:r>
        <w:rPr/>
        <w:t>97%</w:t>
      </w:r>
      <w:r>
        <w:rPr/>
        <w:t>。合计新增融资股份约</w:t>
      </w:r>
      <w:r>
        <w:rPr/>
        <w:t>3.86574</w:t>
      </w:r>
      <w:r>
        <w:rPr/>
        <w:t>亿股，另有员工增股，</w:t>
      </w:r>
      <w:r>
        <w:rPr/>
        <w:t>2032</w:t>
      </w:r>
      <w:r>
        <w:rPr/>
        <w:t>年总股份约</w:t>
      </w:r>
      <w:r>
        <w:rPr/>
        <w:t>22.43014</w:t>
      </w:r>
      <w:r>
        <w:rPr/>
        <w:t>亿股。这些资金并没有实际到账，发行授权、价格、投资者接受程度和用途仍需后续证据。本模型把发行现金和新股同时纳入，不将融资当作纯粹增加价值的礼物；如果发行价格很低，同样现金会带来更多股份，现有股东的每股价值下降。</w:t>
      </w:r>
    </w:p>
    <w:p>
      <w:pPr>
        <w:pStyle w:val="Normal"/>
        <w:rPr/>
      </w:pPr>
      <w:r>
        <w:rPr/>
        <w:t>资本需求还有选择性。敏感性表显示，只保留</w:t>
      </w:r>
      <w:r>
        <w:rPr/>
        <w:t>2027</w:t>
      </w:r>
      <w:r>
        <w:rPr/>
        <w:t>年</w:t>
      </w:r>
      <w:r>
        <w:rPr/>
        <w:t>8</w:t>
      </w:r>
      <w:r>
        <w:rPr/>
        <w:t>亿元融资而取消后两年融资，基准仍能维持最低现金约</w:t>
      </w:r>
      <w:r>
        <w:rPr/>
        <w:t>2.22236</w:t>
      </w:r>
      <w:r>
        <w:rPr/>
        <w:t>亿元，一年价格约</w:t>
      </w:r>
      <w:r>
        <w:rPr/>
        <w:t>6.115935</w:t>
      </w:r>
      <w:r>
        <w:rPr/>
        <w:t>港元，比全扩张储备融资模型略高，因为稀释较少。这说明后续</w:t>
      </w:r>
      <w:r>
        <w:rPr/>
        <w:t>9</w:t>
      </w:r>
      <w:r>
        <w:rPr/>
        <w:t>亿元不是当前模型里绝对必需的生存融资，更多是扩张及储备假设。公司若选择更少融资和更集中研发，可能提高每股价值；若为了更广项目需要额外资金，也可能合理，但必须显示增量项目价值。不能以“融资越多越安全”代替股东经济判断。</w:t>
      </w:r>
    </w:p>
    <w:p>
      <w:pPr>
        <w:pStyle w:val="Normal"/>
        <w:rPr/>
      </w:pPr>
      <w:r>
        <w:rPr/>
        <w:t>短贷滚动是另一项更直接的条件。基准模型逐年净还款并在</w:t>
      </w:r>
      <w:r>
        <w:rPr/>
        <w:t>2031</w:t>
      </w:r>
      <w:r>
        <w:rPr/>
        <w:t>清除银行债务，并非银行合同已展期到</w:t>
      </w:r>
      <w:r>
        <w:rPr/>
        <w:t>2031</w:t>
      </w:r>
      <w:r>
        <w:rPr/>
        <w:t>；中报一年内借款仍需要按实际到期续借或偿付。当敏感性改为首年偿还全部当前借款、次年偿还其余借款，模型出现最低现金约负</w:t>
      </w:r>
      <w:r>
        <w:rPr/>
        <w:t>4.28521</w:t>
      </w:r>
      <w:r>
        <w:rPr/>
        <w:t>亿元，普通股经济值归零。这个压力结果说明即使给予条件权益融资，短期偿债节奏也可能破坏经营连续性。只有实际银行授信、贷款展期和可用现金披露才能降低这一风险，不能用管理层乐观表述自动消除。</w:t>
      </w:r>
    </w:p>
    <w:p>
      <w:pPr>
        <w:pStyle w:val="Normal"/>
        <w:rPr/>
      </w:pPr>
      <w:r>
        <w:rPr/>
        <w:t>治理上需持续关注关联交易、核心股东和资本分配。公司与若干关联方有许可、采购、服务及租赁关系，披露了</w:t>
      </w:r>
      <w:r>
        <w:rPr/>
        <w:t>KYM</w:t>
      </w:r>
      <w:r>
        <w:rPr/>
        <w:t>许可收入以及</w:t>
      </w:r>
      <w:r>
        <w:rPr/>
        <w:t>Excalipoint</w:t>
      </w:r>
      <w:r>
        <w:rPr/>
        <w:t>等安排。关联交易并不必然损害股东，但定价、权利与资金流向需要清楚；如果对外授权的收益和研发成本在不同主体之间分配，简单报表加总容易误判归属。研究目前依据已公开披露建模，不假定未披露利益输送，也不把有公告当作经济公平已完全验证。未来合同变化和审计意见应成为长期复核重点。</w:t>
      </w:r>
    </w:p>
    <w:p>
      <w:pPr>
        <w:pStyle w:val="Heading2"/>
        <w:rPr/>
      </w:pPr>
      <w:r>
        <w:rPr>
          <w:color w:val="000000"/>
        </w:rPr>
        <w:t>九 半年日线 位置 均线与关键价位</w:t>
      </w:r>
    </w:p>
    <w:p>
      <w:pPr>
        <w:pStyle w:val="Normal"/>
        <w:rPr/>
      </w:pPr>
      <w:r>
        <w:rPr/>
        <w:t>2026</w:t>
      </w:r>
      <w:r>
        <w:rPr/>
        <w:t>年</w:t>
      </w:r>
      <w:r>
        <w:rPr/>
        <w:t>10</w:t>
      </w:r>
      <w:r>
        <w:rPr/>
        <w:t>月</w:t>
      </w:r>
      <w:r>
        <w:rPr/>
        <w:t>9</w:t>
      </w:r>
      <w:r>
        <w:rPr/>
        <w:t>日收盘</w:t>
      </w:r>
      <w:r>
        <w:rPr/>
        <w:t>3.82</w:t>
      </w:r>
      <w:r>
        <w:rPr/>
        <w:t>港元，前收</w:t>
      </w:r>
      <w:r>
        <w:rPr/>
        <w:t>3.845</w:t>
      </w:r>
      <w:r>
        <w:rPr/>
        <w:t>、开盘</w:t>
      </w:r>
      <w:r>
        <w:rPr/>
        <w:t>3.845</w:t>
      </w:r>
      <w:r>
        <w:rPr/>
        <w:t>、最高</w:t>
      </w:r>
      <w:r>
        <w:rPr/>
        <w:t>3.93</w:t>
      </w:r>
      <w:r>
        <w:rPr/>
        <w:t>、最低</w:t>
      </w:r>
      <w:r>
        <w:rPr/>
        <w:t>3.70</w:t>
      </w:r>
      <w:r>
        <w:rPr/>
        <w:t>，日跌约</w:t>
      </w:r>
      <w:r>
        <w:rPr/>
        <w:t>0.65%</w:t>
      </w:r>
      <w:r>
        <w:rPr/>
        <w:t>。日内从低点回到收盘有一定恢复，但没有突破前收和关键均线。单根</w:t>
      </w:r>
      <w:r>
        <w:rPr/>
        <w:t>K</w:t>
      </w:r>
      <w:r>
        <w:rPr/>
        <w:t>线不足以说明趋势反转；股价位于下降结构时，盘中回拉也可能只是弱势震荡。当前真正的技术问题是能否持续收复中短期均线并改善相对表现，而不是当天是否出现一个较长下影。</w:t>
      </w:r>
    </w:p>
    <w:p>
      <w:pPr>
        <w:pStyle w:val="Normal"/>
        <w:rPr/>
      </w:pPr>
      <w:r>
        <w:rPr/>
        <w:t>20</w:t>
      </w:r>
      <w:r>
        <w:rPr/>
        <w:t>、</w:t>
      </w:r>
      <w:r>
        <w:rPr/>
        <w:t>60</w:t>
      </w:r>
      <w:r>
        <w:rPr/>
        <w:t>、</w:t>
      </w:r>
      <w:r>
        <w:rPr/>
        <w:t>120</w:t>
      </w:r>
      <w:r>
        <w:rPr/>
        <w:t>、</w:t>
      </w:r>
      <w:r>
        <w:rPr/>
        <w:t>250</w:t>
      </w:r>
      <w:r>
        <w:rPr/>
        <w:t>日均线分别</w:t>
      </w:r>
      <w:r>
        <w:rPr/>
        <w:t>3.96725</w:t>
      </w:r>
      <w:r>
        <w:rPr/>
        <w:t>、</w:t>
      </w:r>
      <w:r>
        <w:rPr/>
        <w:t>4.22150</w:t>
      </w:r>
      <w:r>
        <w:rPr/>
        <w:t>、</w:t>
      </w:r>
      <w:r>
        <w:rPr/>
        <w:t>4.36025</w:t>
      </w:r>
      <w:r>
        <w:rPr/>
        <w:t>、</w:t>
      </w:r>
      <w:r>
        <w:rPr/>
        <w:t>4.96224</w:t>
      </w:r>
      <w:r>
        <w:rPr/>
        <w:t>港元，现价分别低约</w:t>
      </w:r>
      <w:r>
        <w:rPr/>
        <w:t>3.71%</w:t>
      </w:r>
      <w:r>
        <w:rPr/>
        <w:t>、</w:t>
      </w:r>
      <w:r>
        <w:rPr/>
        <w:t>9.51%</w:t>
      </w:r>
      <w:r>
        <w:rPr/>
        <w:t>、</w:t>
      </w:r>
      <w:r>
        <w:rPr/>
        <w:t>12.39%</w:t>
      </w:r>
      <w:r>
        <w:rPr/>
        <w:t>、</w:t>
      </w:r>
      <w:r>
        <w:rPr/>
        <w:t>23.02%</w:t>
      </w:r>
      <w:r>
        <w:rPr/>
        <w:t>。这四个不同观察跨度均在现价上方，说明市场对最近、中期和较长历史成本的定价都弱于平均。五个交易日观察的均线变化分别约负</w:t>
      </w:r>
      <w:r>
        <w:rPr/>
        <w:t>1.75%</w:t>
      </w:r>
      <w:r>
        <w:rPr/>
        <w:t>、负</w:t>
      </w:r>
      <w:r>
        <w:rPr/>
        <w:t>1.43%</w:t>
      </w:r>
      <w:r>
        <w:rPr/>
        <w:t>、负</w:t>
      </w:r>
      <w:r>
        <w:rPr/>
        <w:t>2.08%</w:t>
      </w:r>
      <w:r>
        <w:rPr/>
        <w:t>、负</w:t>
      </w:r>
      <w:r>
        <w:rPr/>
        <w:t>1.43%</w:t>
      </w:r>
      <w:r>
        <w:rPr/>
        <w:t>，不是仅有一条短期线下移。当前还不能称为多头排列，亦不能因为股价已经跌很多就认为估值修复自动开始。</w:t>
      </w:r>
    </w:p>
    <w:p>
      <w:pPr>
        <w:pStyle w:val="Normal"/>
        <w:rPr/>
      </w:pPr>
      <w:r>
        <w:rPr/>
        <w:t>过去</w:t>
      </w:r>
      <w:r>
        <w:rPr/>
        <w:t>20</w:t>
      </w:r>
      <w:r>
        <w:rPr/>
        <w:t>日股价约跌</w:t>
      </w:r>
      <w:r>
        <w:rPr/>
        <w:t>3.54%</w:t>
      </w:r>
      <w:r>
        <w:rPr/>
        <w:t>，</w:t>
      </w:r>
      <w:r>
        <w:rPr/>
        <w:t>60</w:t>
      </w:r>
      <w:r>
        <w:rPr/>
        <w:t>日跌</w:t>
      </w:r>
      <w:r>
        <w:rPr/>
        <w:t>20.91%</w:t>
      </w:r>
      <w:r>
        <w:rPr/>
        <w:t>，</w:t>
      </w:r>
      <w:r>
        <w:rPr/>
        <w:t>120</w:t>
      </w:r>
      <w:r>
        <w:rPr/>
        <w:t>日跌</w:t>
      </w:r>
      <w:r>
        <w:rPr/>
        <w:t>40.03%</w:t>
      </w:r>
      <w:r>
        <w:rPr/>
        <w:t>，</w:t>
      </w:r>
      <w:r>
        <w:rPr/>
        <w:t>250</w:t>
      </w:r>
      <w:r>
        <w:rPr/>
        <w:t>日跌</w:t>
      </w:r>
      <w:r>
        <w:rPr/>
        <w:t>51.28%</w:t>
      </w:r>
      <w:r>
        <w:rPr/>
        <w:t>。一年日线窗口高点</w:t>
      </w:r>
      <w:r>
        <w:rPr/>
        <w:t>8.11</w:t>
      </w:r>
      <w:r>
        <w:rPr/>
        <w:t>、低点</w:t>
      </w:r>
      <w:r>
        <w:rPr/>
        <w:t>3.55</w:t>
      </w:r>
      <w:r>
        <w:rPr/>
        <w:t>，现价距高点约低</w:t>
      </w:r>
      <w:r>
        <w:rPr/>
        <w:t>52.90%</w:t>
      </w:r>
      <w:r>
        <w:rPr/>
        <w:t>，距低点约高</w:t>
      </w:r>
      <w:r>
        <w:rPr/>
        <w:t>7.61%</w:t>
      </w:r>
      <w:r>
        <w:rPr/>
        <w:t>，期间最大回撤约</w:t>
      </w:r>
      <w:r>
        <w:rPr/>
        <w:t>54.91%</w:t>
      </w:r>
      <w:r>
        <w:rPr/>
        <w:t>。这些指标说明持仓曾承受很大路径损失，也说明当前价格靠近一年低区。但低位不是安全垫的充分证据；如果新药价值、融资条件或风险偏好继续恶化，低点可以被再次突破，历史回撤不是未来最大损失边界。</w:t>
      </w:r>
    </w:p>
    <w:p>
      <w:pPr>
        <w:pStyle w:val="Normal"/>
        <w:rPr/>
      </w:pPr>
      <w:r>
        <w:rPr/>
        <w:t>最近</w:t>
      </w:r>
      <w:r>
        <w:rPr/>
        <w:t>20</w:t>
      </w:r>
      <w:r>
        <w:rPr/>
        <w:t>与</w:t>
      </w:r>
      <w:r>
        <w:rPr/>
        <w:t>60</w:t>
      </w:r>
      <w:r>
        <w:rPr/>
        <w:t>日区间共同低点约</w:t>
      </w:r>
      <w:r>
        <w:rPr/>
        <w:t>3.68</w:t>
      </w:r>
      <w:r>
        <w:rPr/>
        <w:t>港元，</w:t>
      </w:r>
      <w:r>
        <w:rPr/>
        <w:t>20</w:t>
      </w:r>
      <w:r>
        <w:rPr/>
        <w:t>日上沿</w:t>
      </w:r>
      <w:r>
        <w:rPr/>
        <w:t>4.43</w:t>
      </w:r>
      <w:r>
        <w:rPr/>
        <w:t>、</w:t>
      </w:r>
      <w:r>
        <w:rPr/>
        <w:t>60</w:t>
      </w:r>
      <w:r>
        <w:rPr/>
        <w:t>日上沿</w:t>
      </w:r>
      <w:r>
        <w:rPr/>
        <w:t>5.02</w:t>
      </w:r>
      <w:r>
        <w:rPr/>
        <w:t>。由</w:t>
      </w:r>
      <w:r>
        <w:rPr/>
        <w:t>3.82</w:t>
      </w:r>
      <w:r>
        <w:rPr/>
        <w:t>跌到</w:t>
      </w:r>
      <w:r>
        <w:rPr/>
        <w:t>3.68</w:t>
      </w:r>
      <w:r>
        <w:rPr/>
        <w:t>约需</w:t>
      </w:r>
      <w:r>
        <w:rPr/>
        <w:t>3.66%</w:t>
      </w:r>
      <w:r>
        <w:rPr/>
        <w:t>，涨到</w:t>
      </w:r>
      <w:r>
        <w:rPr/>
        <w:t>4.43</w:t>
      </w:r>
      <w:r>
        <w:rPr/>
        <w:t>约需</w:t>
      </w:r>
      <w:r>
        <w:rPr/>
        <w:t>15.97%</w:t>
      </w:r>
      <w:r>
        <w:rPr/>
        <w:t>，到</w:t>
      </w:r>
      <w:r>
        <w:rPr/>
        <w:t>5.02</w:t>
      </w:r>
      <w:r>
        <w:rPr/>
        <w:t>约需</w:t>
      </w:r>
      <w:r>
        <w:rPr/>
        <w:t>31.41%</w:t>
      </w:r>
      <w:r>
        <w:rPr/>
        <w:t>。这些价位来自区间极值，未通过反复触碰次数筛选，不应画成精确不可逾越的支撑和阻力。</w:t>
      </w:r>
      <w:r>
        <w:rPr/>
        <w:t>3.68</w:t>
      </w:r>
      <w:r>
        <w:rPr/>
        <w:t>附近是近端观察区，</w:t>
      </w:r>
      <w:r>
        <w:rPr/>
        <w:t>3.55</w:t>
      </w:r>
      <w:r>
        <w:rPr/>
        <w:t>是一年低区；</w:t>
      </w:r>
      <w:r>
        <w:rPr/>
        <w:t>4.00</w:t>
      </w:r>
      <w:r>
        <w:rPr/>
        <w:t>附近对应</w:t>
      </w:r>
      <w:r>
        <w:rPr/>
        <w:t>20</w:t>
      </w:r>
      <w:r>
        <w:rPr/>
        <w:t>日均线、</w:t>
      </w:r>
      <w:r>
        <w:rPr/>
        <w:t>4.22</w:t>
      </w:r>
      <w:r>
        <w:rPr/>
        <w:t>至</w:t>
      </w:r>
      <w:r>
        <w:rPr/>
        <w:t>4.36</w:t>
      </w:r>
      <w:r>
        <w:rPr/>
        <w:t>对应中期均线带，</w:t>
      </w:r>
      <w:r>
        <w:rPr/>
        <w:t>4.43</w:t>
      </w:r>
      <w:r>
        <w:rPr/>
        <w:t>及</w:t>
      </w:r>
      <w:r>
        <w:rPr/>
        <w:t>5.02</w:t>
      </w:r>
      <w:r>
        <w:rPr/>
        <w:t>则是需要后续放量突破的较高区域。</w:t>
      </w:r>
    </w:p>
    <w:p>
      <w:pPr>
        <w:pStyle w:val="Normal"/>
        <w:rPr/>
      </w:pPr>
      <w:r>
        <w:rPr/>
        <w:t>对半年逻辑而言，较可辨认的改进路径是先在</w:t>
      </w:r>
      <w:r>
        <w:rPr/>
        <w:t>3.68</w:t>
      </w:r>
      <w:r>
        <w:rPr/>
        <w:t>至</w:t>
      </w:r>
      <w:r>
        <w:rPr/>
        <w:t>3.55</w:t>
      </w:r>
      <w:r>
        <w:rPr/>
        <w:t>附近保持价格结构，再持续收于</w:t>
      </w:r>
      <w:r>
        <w:rPr/>
        <w:t>20</w:t>
      </w:r>
      <w:r>
        <w:rPr/>
        <w:t>日均线上方，随后突破</w:t>
      </w:r>
      <w:r>
        <w:rPr/>
        <w:t>4.22</w:t>
      </w:r>
      <w:r>
        <w:rPr/>
        <w:t>至</w:t>
      </w:r>
      <w:r>
        <w:rPr/>
        <w:t>4.43</w:t>
      </w:r>
      <w:r>
        <w:rPr/>
        <w:t>区域。确认应观察多个收盘、回踩行为和成交额，不能只靠盘中触价。若利好会议后高开却迅速跌回均线下方且出现较多下跌成交，可能说明短期预期已经兑现。反之突破后回踩缩量、没有重新跌破旧区间且相对行业变强，才可以提高量价分。研究给的是观察条件，未预设任何一定成功的交易指令。</w:t>
      </w:r>
    </w:p>
    <w:p>
      <w:pPr>
        <w:pStyle w:val="Heading2"/>
        <w:rPr/>
      </w:pPr>
      <w:r>
        <w:rPr>
          <w:color w:val="000000"/>
        </w:rPr>
        <w:t>十 量能 周线与相对强弱</w:t>
      </w:r>
    </w:p>
    <w:p>
      <w:pPr>
        <w:pStyle w:val="Normal"/>
        <w:rPr/>
      </w:pPr>
      <w:r>
        <w:rPr/>
        <w:t>当日成交</w:t>
      </w:r>
      <w:r>
        <w:rPr/>
        <w:t>1003.5</w:t>
      </w:r>
      <w:r>
        <w:rPr/>
        <w:t>万股、成交额</w:t>
      </w:r>
      <w:r>
        <w:rPr/>
        <w:t>3824.001</w:t>
      </w:r>
      <w:r>
        <w:rPr/>
        <w:t>万港元。行情成交量以股为单位，与独立日线核验一致，不把港股每手</w:t>
      </w:r>
      <w:r>
        <w:rPr/>
        <w:t>1000</w:t>
      </w:r>
      <w:r>
        <w:rPr/>
        <w:t>股错误地当成量的倍率。</w:t>
      </w:r>
      <w:r>
        <w:rPr/>
        <w:t>5</w:t>
      </w:r>
      <w:r>
        <w:rPr/>
        <w:t>、</w:t>
      </w:r>
      <w:r>
        <w:rPr/>
        <w:t>20</w:t>
      </w:r>
      <w:r>
        <w:rPr/>
        <w:t>、</w:t>
      </w:r>
      <w:r>
        <w:rPr/>
        <w:t>60</w:t>
      </w:r>
      <w:r>
        <w:rPr/>
        <w:t>日平均成交分别约</w:t>
      </w:r>
      <w:r>
        <w:rPr/>
        <w:t>486.949</w:t>
      </w:r>
      <w:r>
        <w:rPr/>
        <w:t>万、</w:t>
      </w:r>
      <w:r>
        <w:rPr/>
        <w:t>869.475</w:t>
      </w:r>
      <w:r>
        <w:rPr/>
        <w:t>万、</w:t>
      </w:r>
      <w:r>
        <w:rPr/>
        <w:t>956.502</w:t>
      </w:r>
      <w:r>
        <w:rPr/>
        <w:t>万股；当天相对此前</w:t>
      </w:r>
      <w:r>
        <w:rPr/>
        <w:t>20</w:t>
      </w:r>
      <w:r>
        <w:rPr/>
        <w:t>日均量约</w:t>
      </w:r>
      <w:r>
        <w:rPr/>
        <w:t>1.154</w:t>
      </w:r>
      <w:r>
        <w:rPr/>
        <w:t>倍。单日略放量并非极强突破量，</w:t>
      </w:r>
      <w:r>
        <w:rPr/>
        <w:t>5</w:t>
      </w:r>
      <w:r>
        <w:rPr/>
        <w:t>日均量显著低于</w:t>
      </w:r>
      <w:r>
        <w:rPr/>
        <w:t>20</w:t>
      </w:r>
      <w:r>
        <w:rPr/>
        <w:t>日和</w:t>
      </w:r>
      <w:r>
        <w:rPr/>
        <w:t>60</w:t>
      </w:r>
      <w:r>
        <w:rPr/>
        <w:t>日平均，表示近期参与较弱。没有可核验逐笔成交或完整自由流通股数，本研究不声称精确筹码分布或精确自由流通换手。</w:t>
      </w:r>
    </w:p>
    <w:p>
      <w:pPr>
        <w:pStyle w:val="Normal"/>
        <w:rPr/>
      </w:pPr>
      <w:r>
        <w:rPr/>
        <w:t>最近</w:t>
      </w:r>
      <w:r>
        <w:rPr/>
        <w:t>20</w:t>
      </w:r>
      <w:r>
        <w:rPr/>
        <w:t>日上涨日总量约</w:t>
      </w:r>
      <w:r>
        <w:rPr/>
        <w:t>8959.254</w:t>
      </w:r>
      <w:r>
        <w:rPr/>
        <w:t>万股、下跌日</w:t>
      </w:r>
      <w:r>
        <w:rPr/>
        <w:t>7784.045</w:t>
      </w:r>
      <w:r>
        <w:rPr/>
        <w:t>万股，比例约</w:t>
      </w:r>
      <w:r>
        <w:rPr/>
        <w:t>1.151</w:t>
      </w:r>
      <w:r>
        <w:rPr/>
        <w:t>，上涨</w:t>
      </w:r>
      <w:r>
        <w:rPr/>
        <w:t>9</w:t>
      </w:r>
      <w:r>
        <w:rPr/>
        <w:t>天、下跌</w:t>
      </w:r>
      <w:r>
        <w:rPr/>
        <w:t>10</w:t>
      </w:r>
      <w:r>
        <w:rPr/>
        <w:t>天，还有平盘成交。这个总量比例有一定改善意味，但不能孤立认定买方占绝对优势，因为不同涨跌幅、几个事件日的大成交和未改变的下降趋势都会影响解释。成交量是买卖双方匹配结果，不提供参与者真实动机。这里不使用“主力吸筹”作为事实，也不把日线涨日总量和</w:t>
      </w:r>
      <w:r>
        <w:rPr/>
        <w:t>MACD</w:t>
      </w:r>
      <w:r>
        <w:rPr/>
        <w:t>改善重复计分。</w:t>
      </w:r>
    </w:p>
    <w:p>
      <w:pPr>
        <w:pStyle w:val="Normal"/>
        <w:rPr/>
      </w:pPr>
      <w:r>
        <w:rPr/>
        <w:t>周线资料</w:t>
      </w:r>
      <w:r>
        <w:rPr/>
        <w:t>157</w:t>
      </w:r>
      <w:r>
        <w:rPr/>
        <w:t>根，</w:t>
      </w:r>
      <w:r>
        <w:rPr/>
        <w:t>20</w:t>
      </w:r>
      <w:r>
        <w:rPr/>
        <w:t>、</w:t>
      </w:r>
      <w:r>
        <w:rPr/>
        <w:t>60</w:t>
      </w:r>
      <w:r>
        <w:rPr/>
        <w:t>、</w:t>
      </w:r>
      <w:r>
        <w:rPr/>
        <w:t>120</w:t>
      </w:r>
      <w:r>
        <w:rPr/>
        <w:t>周均线分别</w:t>
      </w:r>
      <w:r>
        <w:rPr/>
        <w:t>4.10925</w:t>
      </w:r>
      <w:r>
        <w:rPr/>
        <w:t>、</w:t>
      </w:r>
      <w:r>
        <w:rPr/>
        <w:t>5.322583</w:t>
      </w:r>
      <w:r>
        <w:rPr/>
        <w:t>、</w:t>
      </w:r>
      <w:r>
        <w:rPr/>
        <w:t>4.635042</w:t>
      </w:r>
      <w:r>
        <w:rPr/>
        <w:t>港元，没有</w:t>
      </w:r>
      <w:r>
        <w:rPr/>
        <w:t>250</w:t>
      </w:r>
      <w:r>
        <w:rPr/>
        <w:t>周均线。现价低于前三条，五周观察的</w:t>
      </w:r>
      <w:r>
        <w:rPr/>
        <w:t>20</w:t>
      </w:r>
      <w:r>
        <w:rPr/>
        <w:t>及</w:t>
      </w:r>
      <w:r>
        <w:rPr/>
        <w:t>60</w:t>
      </w:r>
      <w:r>
        <w:rPr/>
        <w:t>周均线均下降约</w:t>
      </w:r>
      <w:r>
        <w:rPr/>
        <w:t>6.65%</w:t>
      </w:r>
      <w:r>
        <w:rPr/>
        <w:t>，</w:t>
      </w:r>
      <w:r>
        <w:rPr/>
        <w:t>120</w:t>
      </w:r>
      <w:r>
        <w:rPr/>
        <w:t>周线也略降。最新周量相对此前</w:t>
      </w:r>
      <w:r>
        <w:rPr/>
        <w:t>20</w:t>
      </w:r>
      <w:r>
        <w:rPr/>
        <w:t>周均量约</w:t>
      </w:r>
      <w:r>
        <w:rPr/>
        <w:t>0.512</w:t>
      </w:r>
      <w:r>
        <w:rPr/>
        <w:t>倍，上涨周与下跌周总量比约</w:t>
      </w:r>
      <w:r>
        <w:rPr/>
        <w:t>0.834</w:t>
      </w:r>
      <w:r>
        <w:rPr/>
        <w:t>。这与日线个别上涨日量稍强形成差异：近几日的反弹不足以扭转较长尺度的资金和价格结构。半年判断必须同时考虑周线阻力，不能在日线小改善时直接宣布中期牛市。</w:t>
      </w:r>
    </w:p>
    <w:p>
      <w:pPr>
        <w:pStyle w:val="Normal"/>
        <w:rPr/>
      </w:pPr>
      <w:r>
        <w:rPr/>
        <w:t>日线</w:t>
      </w:r>
      <w:r>
        <w:rPr/>
        <w:t>252</w:t>
      </w:r>
      <w:r>
        <w:rPr/>
        <w:t>交易日窗口高点</w:t>
      </w:r>
      <w:r>
        <w:rPr/>
        <w:t>8.11</w:t>
      </w:r>
      <w:r>
        <w:rPr/>
        <w:t>与周线</w:t>
      </w:r>
      <w:r>
        <w:rPr/>
        <w:t>52</w:t>
      </w:r>
      <w:r>
        <w:rPr/>
        <w:t>周窗口高点</w:t>
      </w:r>
      <w:r>
        <w:rPr/>
        <w:t>7.17</w:t>
      </w:r>
      <w:r>
        <w:rPr/>
        <w:t>不同，是观察窗口边界不同，不是同一指标互相冲突。周线</w:t>
      </w:r>
      <w:r>
        <w:rPr/>
        <w:t>20</w:t>
      </w:r>
      <w:r>
        <w:rPr/>
        <w:t>周区间低位</w:t>
      </w:r>
      <w:r>
        <w:rPr/>
        <w:t>3.55</w:t>
      </w:r>
      <w:r>
        <w:rPr/>
        <w:t>、上位</w:t>
      </w:r>
      <w:r>
        <w:rPr/>
        <w:t>5.05</w:t>
      </w:r>
      <w:r>
        <w:rPr/>
        <w:t>，更长</w:t>
      </w:r>
      <w:r>
        <w:rPr/>
        <w:t>60</w:t>
      </w:r>
      <w:r>
        <w:rPr/>
        <w:t>周高点</w:t>
      </w:r>
      <w:r>
        <w:rPr/>
        <w:t>10.50</w:t>
      </w:r>
      <w:r>
        <w:rPr/>
        <w:t>也只是历史观察点。</w:t>
      </w:r>
      <w:r>
        <w:rPr/>
        <w:t>10.50</w:t>
      </w:r>
      <w:r>
        <w:rPr/>
        <w:t>距现价很远，不能因为历史曾交易到此处就把它当作合理目标价。目标估值来自经营和融资模型，技术位用于判断路径、催化兑现及错误时机，两者应相互核验而不能相互替代。</w:t>
      </w:r>
    </w:p>
    <w:p>
      <w:pPr>
        <w:pStyle w:val="Normal"/>
        <w:rPr/>
      </w:pPr>
      <w:r>
        <w:rPr/>
        <w:t>RSI14</w:t>
      </w:r>
      <w:r>
        <w:rPr/>
        <w:t>约</w:t>
      </w:r>
      <w:r>
        <w:rPr/>
        <w:t>43.09</w:t>
      </w:r>
      <w:r>
        <w:rPr/>
        <w:t>，位于中性偏弱区域，尚未表现持续强势；</w:t>
      </w:r>
      <w:r>
        <w:rPr/>
        <w:t>MACD</w:t>
      </w:r>
      <w:r>
        <w:rPr/>
        <w:t>的</w:t>
      </w:r>
      <w:r>
        <w:rPr/>
        <w:t>DIF</w:t>
      </w:r>
      <w:r>
        <w:rPr/>
        <w:t>约负</w:t>
      </w:r>
      <w:r>
        <w:rPr/>
        <w:t>0.07161</w:t>
      </w:r>
      <w:r>
        <w:rPr/>
        <w:t>、</w:t>
      </w:r>
      <w:r>
        <w:rPr/>
        <w:t>DEA</w:t>
      </w:r>
      <w:r>
        <w:rPr/>
        <w:t>负</w:t>
      </w:r>
      <w:r>
        <w:rPr/>
        <w:t>0.06477</w:t>
      </w:r>
      <w:r>
        <w:rPr/>
        <w:t>、柱负</w:t>
      </w:r>
      <w:r>
        <w:rPr/>
        <w:t>0.01367</w:t>
      </w:r>
      <w:r>
        <w:rPr/>
        <w:t>，日线动力仍偏弱。周线</w:t>
      </w:r>
      <w:r>
        <w:rPr/>
        <w:t>MACD</w:t>
      </w:r>
      <w:r>
        <w:rPr/>
        <w:t>柱略正约</w:t>
      </w:r>
      <w:r>
        <w:rPr/>
        <w:t>0.01362</w:t>
      </w:r>
      <w:r>
        <w:rPr/>
        <w:t>，但</w:t>
      </w:r>
      <w:r>
        <w:rPr/>
        <w:t>DIF</w:t>
      </w:r>
      <w:r>
        <w:rPr/>
        <w:t>和</w:t>
      </w:r>
      <w:r>
        <w:rPr/>
        <w:t>DEA</w:t>
      </w:r>
      <w:r>
        <w:rPr/>
        <w:t>仍为负，意味着较长跌势的速度可能减缓，并非已恢复强趋势。</w:t>
      </w:r>
      <w:r>
        <w:rPr/>
        <w:t>ATR14</w:t>
      </w:r>
      <w:r>
        <w:rPr/>
        <w:t>约</w:t>
      </w:r>
      <w:r>
        <w:rPr/>
        <w:t>0.25695</w:t>
      </w:r>
      <w:r>
        <w:rPr/>
        <w:t>港元，相当于现价</w:t>
      </w:r>
      <w:r>
        <w:rPr/>
        <w:t>6.73%</w:t>
      </w:r>
      <w:r>
        <w:rPr/>
        <w:t>，周线</w:t>
      </w:r>
      <w:r>
        <w:rPr/>
        <w:t>ATR</w:t>
      </w:r>
      <w:r>
        <w:rPr/>
        <w:t>约</w:t>
      </w:r>
      <w:r>
        <w:rPr/>
        <w:t>0.6395</w:t>
      </w:r>
      <w:r>
        <w:rPr/>
        <w:t>、</w:t>
      </w:r>
      <w:r>
        <w:rPr/>
        <w:t>16.74%</w:t>
      </w:r>
      <w:r>
        <w:rPr/>
        <w:t>。这类波动幅度说明普通几个百分点的价格变动可能仍属于日常噪声，也说明事件跳空和交易成本不能忽略。</w:t>
      </w:r>
    </w:p>
    <w:p>
      <w:pPr>
        <w:pStyle w:val="Normal"/>
        <w:rPr/>
      </w:pPr>
      <w:r>
        <w:rPr/>
        <w:t>相对强弱更加削弱半年推荐。</w:t>
      </w:r>
      <w:r>
        <w:rPr/>
        <w:t>20</w:t>
      </w:r>
      <w:r>
        <w:rPr/>
        <w:t>日对恒生指数落后约</w:t>
      </w:r>
      <w:r>
        <w:rPr/>
        <w:t>0.56</w:t>
      </w:r>
      <w:r>
        <w:rPr/>
        <w:t>个百分点，</w:t>
      </w:r>
      <w:r>
        <w:rPr/>
        <w:t>60</w:t>
      </w:r>
      <w:r>
        <w:rPr/>
        <w:t>日落后</w:t>
      </w:r>
      <w:r>
        <w:rPr/>
        <w:t>17.72</w:t>
      </w:r>
      <w:r>
        <w:rPr/>
        <w:t>个百分点；对国证港股通创新药粗粒度基准分别落后</w:t>
      </w:r>
      <w:r>
        <w:rPr/>
        <w:t>4.42</w:t>
      </w:r>
      <w:r>
        <w:rPr/>
        <w:t>、</w:t>
      </w:r>
      <w:r>
        <w:rPr/>
        <w:t>17.69</w:t>
      </w:r>
      <w:r>
        <w:rPr/>
        <w:t>个百分点。公司并非只是随医药板块轻微调整，中期表现明显更弱。行业基准并不完全匹配乐普每条管线且为价格指数，因此不用于直接推算超额收益概率，但足以说明当前没有很强的行业内动量。若以后绝对价格上涨却仍落后行业，不应把它自动升级为高分短期标的。</w:t>
      </w:r>
    </w:p>
    <w:p>
      <w:pPr>
        <w:pStyle w:val="Normal"/>
        <w:rPr/>
      </w:pPr>
      <w:r>
        <w:rPr/>
        <w:t>半年技术判断的失效条件主要是收盘持续跌破</w:t>
      </w:r>
      <w:r>
        <w:rPr/>
        <w:t>3.68</w:t>
      </w:r>
      <w:r>
        <w:rPr/>
        <w:t>并进一步失守</w:t>
      </w:r>
      <w:r>
        <w:rPr/>
        <w:t>3.55</w:t>
      </w:r>
      <w:r>
        <w:rPr/>
        <w:t>，伴随更高下跌成交、周线继续下移和融资或临床负面事件。技术转强条件则包括收复</w:t>
      </w:r>
      <w:r>
        <w:rPr/>
        <w:t>20</w:t>
      </w:r>
      <w:r>
        <w:rPr/>
        <w:t>日线、挑战</w:t>
      </w:r>
      <w:r>
        <w:rPr/>
        <w:t>4.22</w:t>
      </w:r>
      <w:r>
        <w:rPr/>
        <w:t>至</w:t>
      </w:r>
      <w:r>
        <w:rPr/>
        <w:t>4.43</w:t>
      </w:r>
      <w:r>
        <w:rPr/>
        <w:t>中期带、突破后回踩未失守，以及</w:t>
      </w:r>
      <w:r>
        <w:rPr/>
        <w:t>60</w:t>
      </w:r>
      <w:r>
        <w:rPr/>
        <w:t>日相对市场与行业显著改善。所有价位需随公司行动、实际行情和数据版本刷新。现有历史使用以基准日名义价格归一的复权</w:t>
      </w:r>
      <w:r>
        <w:rPr/>
        <w:t>OHLC</w:t>
      </w:r>
      <w:r>
        <w:rPr/>
        <w:t>，三年行情</w:t>
      </w:r>
      <w:r>
        <w:rPr/>
        <w:t>739</w:t>
      </w:r>
      <w:r>
        <w:rPr/>
        <w:t>根，不能在未来派息、增发或分拆后仍沿用旧图而不解释复权方法。</w:t>
      </w:r>
    </w:p>
    <w:p>
      <w:pPr>
        <w:pStyle w:val="Heading2"/>
        <w:rPr/>
      </w:pPr>
      <w:r>
        <w:rPr>
          <w:color w:val="000000"/>
        </w:rPr>
        <w:t>十一 行业 利率和经济环境的传导</w:t>
      </w:r>
    </w:p>
    <w:p>
      <w:pPr>
        <w:pStyle w:val="Normal"/>
        <w:rPr/>
      </w:pPr>
      <w:r>
        <w:rPr/>
        <w:t>乐普的经营周期首先是科学和商业化周期，其次才是一般经济周期。癌症治疗需求对消费周期相对不敏感，但实际支付、医保预算、医院采购和临床试验效率会受到经济压力影响。患者的支付能力变弱时，高价新药即使疗效较好也可能难以迅速放量；医院对药物经济性的要求更严格，会影响净价和入院进度。公司如果只有总营收增长而持续收款偏弱，经济环境可能通过现金转换而非患者总人数体现。</w:t>
      </w:r>
    </w:p>
    <w:p>
      <w:pPr>
        <w:pStyle w:val="Normal"/>
        <w:rPr/>
      </w:pPr>
      <w:r>
        <w:rPr/>
        <w:t>医保谈判对已上市药是一种量价权衡。进入支付体系可能带来更广患者覆盖，价格下降又会压缩每疗程净收入和毛利；不能把降价和放量同时取各自最乐观假设。对乐普而言，普佑恒的同靶竞争可能限制提价能力，美优恒的临床差异化可能提供一定议价基础，但亦需要与替代治疗的风险收益比较。研究用情景毛利和峰值反映这类不确定性，未来必须根据真实目录、采购和公司净收入更新，而不是预先编写</w:t>
      </w:r>
      <w:r>
        <w:rPr/>
        <w:t>2026</w:t>
      </w:r>
      <w:r>
        <w:rPr/>
        <w:t>谈判确定结果。</w:t>
      </w:r>
    </w:p>
    <w:p>
      <w:pPr>
        <w:pStyle w:val="Normal"/>
        <w:rPr/>
      </w:pPr>
      <w:r>
        <w:rPr/>
        <w:t>全球利率影响远期现金的折现和合作伙伴融资。基准折现率</w:t>
      </w:r>
      <w:r>
        <w:rPr/>
        <w:t>13.5%</w:t>
      </w:r>
      <w:r>
        <w:rPr/>
        <w:t>，悲观</w:t>
      </w:r>
      <w:r>
        <w:rPr/>
        <w:t>17%</w:t>
      </w:r>
      <w:r>
        <w:rPr/>
        <w:t>、乐观</w:t>
      </w:r>
      <w:r>
        <w:rPr/>
        <w:t>11%</w:t>
      </w:r>
      <w:r>
        <w:rPr/>
        <w:t>，其中包含商业、研发和权益风险。利率下降可能提升长期资产的现值，但如果临床风险溢价因坏数据上升，低无风险利率不一定支撑股价。模型敏感性中折现率降低两个百分点，一年价格约</w:t>
      </w:r>
      <w:r>
        <w:rPr/>
        <w:t>6.91</w:t>
      </w:r>
      <w:r>
        <w:rPr/>
        <w:t>港元；提高两个百分点则约</w:t>
      </w:r>
      <w:r>
        <w:rPr/>
        <w:t>4.92</w:t>
      </w:r>
      <w:r>
        <w:rPr/>
        <w:t>港元。这个变化显示长现金流资产对资本成本很敏感，也提醒高目标值不宜被理解为精确到分的交易预测。</w:t>
      </w:r>
    </w:p>
    <w:p>
      <w:pPr>
        <w:pStyle w:val="Normal"/>
        <w:rPr/>
      </w:pPr>
      <w:r>
        <w:rPr/>
        <w:t>汇率有两层。公司大量成本和中国销售以人民币计价，海外许可可能以美元收付，股价以港元计价。模型统一使用港元兑人民币</w:t>
      </w:r>
      <w:r>
        <w:rPr/>
        <w:t>1.1</w:t>
      </w:r>
      <w:r>
        <w:rPr/>
        <w:t>、美元兑人民币</w:t>
      </w:r>
      <w:r>
        <w:rPr/>
        <w:t>7</w:t>
      </w:r>
      <w:r>
        <w:rPr/>
        <w:t>作为研究假设，并不声称当日现汇为此数值。若人民币相对港元升值且业务人民币价值不变，港元每股估值会上升；反向则下降。境内投资者的人民币总回报还受持仓期间港元兑人民币变化影响，不能直接等同港元股价涨幅。实际外币收入、税务和对冲可能减缓或放大这种传导。</w:t>
      </w:r>
    </w:p>
    <w:p>
      <w:pPr>
        <w:pStyle w:val="Normal"/>
        <w:rPr/>
      </w:pPr>
      <w:r>
        <w:rPr/>
        <w:t>全球创新药行业对</w:t>
      </w:r>
      <w:r>
        <w:rPr/>
        <w:t>ADC</w:t>
      </w:r>
      <w:r>
        <w:rPr/>
        <w:t>关注度高，有利于交易和人才投入，也意味着竞争快速增加。更多同靶项目、不同载荷和联合方案会改变标准治疗，旧的最佳同类假设可能在几年内过时。乐普的多个项目都应放在动态治疗路径中看，不能只比较上市时竞争。海外生物制药资金紧张或大型药企调整研发重点也可能影响许可价格和后续试验。中国源创新药的国际认可是一项机会，不代表监管、供应链、知识产权或商业执行的障碍已经消失。</w:t>
      </w:r>
    </w:p>
    <w:p>
      <w:pPr>
        <w:pStyle w:val="Heading2"/>
        <w:rPr/>
      </w:pPr>
      <w:r>
        <w:rPr>
          <w:color w:val="000000"/>
        </w:rPr>
        <w:t>十二 四个期限的收益来源与反证</w:t>
      </w:r>
    </w:p>
    <w:p>
      <w:pPr>
        <w:pStyle w:val="Normal"/>
        <w:rPr/>
      </w:pPr>
      <w:r>
        <w:rPr/>
        <w:t>半年主要收益来源是会议完整数据、商业销售改善和市场重估，利润规模暂时不足以主导定价。基准</w:t>
      </w:r>
      <w:r>
        <w:rPr/>
        <w:t>5.134365</w:t>
      </w:r>
      <w:r>
        <w:rPr/>
        <w:t>港元隐含约</w:t>
      </w:r>
      <w:r>
        <w:rPr/>
        <w:t>34.41%</w:t>
      </w:r>
      <w:r>
        <w:rPr/>
        <w:t>涨幅，但这个短期识别比例是假设市场部分认识有限长期价值，而非把</w:t>
      </w:r>
      <w:r>
        <w:rPr/>
        <w:t>12</w:t>
      </w:r>
      <w:r>
        <w:rPr/>
        <w:t>个月投行目标按月份缩小。最大不确定性是数据发布前后的预期差、融资价格与当前下降量价结构。若核心数据不及预期或跌破低区，半年逻辑可快速失效；即使基准长期价值仍存在，股价路径也可能先发生大幅回撤。</w:t>
      </w:r>
    </w:p>
    <w:p>
      <w:pPr>
        <w:pStyle w:val="Normal"/>
        <w:rPr/>
      </w:pPr>
      <w:r>
        <w:rPr/>
        <w:t>一年目标名义</w:t>
      </w:r>
      <w:r>
        <w:rPr/>
        <w:t>2027</w:t>
      </w:r>
      <w:r>
        <w:rPr/>
        <w:t>年</w:t>
      </w:r>
      <w:r>
        <w:rPr/>
        <w:t>10</w:t>
      </w:r>
      <w:r>
        <w:rPr/>
        <w:t>月</w:t>
      </w:r>
      <w:r>
        <w:rPr/>
        <w:t>9</w:t>
      </w:r>
      <w:r>
        <w:rPr/>
        <w:t>日，香港休市安排使实际取此前</w:t>
      </w:r>
      <w:r>
        <w:rPr/>
        <w:t>2027</w:t>
      </w:r>
      <w:r>
        <w:rPr/>
        <w:t>年</w:t>
      </w:r>
      <w:r>
        <w:rPr/>
        <w:t>10</w:t>
      </w:r>
      <w:r>
        <w:rPr/>
        <w:t>月</w:t>
      </w:r>
      <w:r>
        <w:rPr/>
        <w:t>7</w:t>
      </w:r>
      <w:r>
        <w:rPr/>
        <w:t>日，模型按实际日期重新折现。基准</w:t>
      </w:r>
      <w:r>
        <w:rPr/>
        <w:t>5.816758</w:t>
      </w:r>
      <w:r>
        <w:rPr/>
        <w:t>港元，股价涨幅</w:t>
      </w:r>
      <w:r>
        <w:rPr/>
        <w:t>52.27%</w:t>
      </w:r>
      <w:r>
        <w:rPr/>
        <w:t>，五年内无预计股息，因此该期含分红回报与股价回报相同。一年观察应从单次读出转向</w:t>
      </w:r>
      <w:r>
        <w:rPr/>
        <w:t>CMG</w:t>
      </w:r>
      <w:r>
        <w:rPr/>
        <w:t>注册进度、</w:t>
      </w:r>
      <w:r>
        <w:rPr/>
        <w:t>MRG003</w:t>
      </w:r>
      <w:r>
        <w:rPr/>
        <w:t>真实销售、银行续贷及新股发行。未来权益资金到账和稀释必须同步看；如果融资顺利但价格显著低于</w:t>
      </w:r>
      <w:r>
        <w:rPr/>
        <w:t>4.3</w:t>
      </w:r>
      <w:r>
        <w:rPr/>
        <w:t>至</w:t>
      </w:r>
      <w:r>
        <w:rPr/>
        <w:t>5.2</w:t>
      </w:r>
      <w:r>
        <w:rPr/>
        <w:t>港元假设，就不应只上调现金安全而维持原每股目标。</w:t>
      </w:r>
    </w:p>
    <w:p>
      <w:pPr>
        <w:pStyle w:val="Normal"/>
        <w:rPr/>
      </w:pPr>
      <w:r>
        <w:rPr/>
        <w:t>三年基准</w:t>
      </w:r>
      <w:r>
        <w:rPr/>
        <w:t>7.499791</w:t>
      </w:r>
      <w:r>
        <w:rPr/>
        <w:t>港元，上涨</w:t>
      </w:r>
      <w:r>
        <w:rPr/>
        <w:t>96.33%</w:t>
      </w:r>
      <w:r>
        <w:rPr/>
        <w:t>，含分红年化约</w:t>
      </w:r>
      <w:r>
        <w:rPr/>
        <w:t>25.22%</w:t>
      </w:r>
      <w:r>
        <w:rPr/>
        <w:t>。收益主要来自后期药注册与销售兑现、已有销售底座扩大，以及融资后逐渐形成更充足经营现金。这并不是把半年技术走势复利六次。到</w:t>
      </w:r>
      <w:r>
        <w:rPr/>
        <w:t>2029</w:t>
      </w:r>
      <w:r>
        <w:rPr/>
        <w:t>年，尚未完成关键确认的数据应该更清楚，某些早期项目可能被淘汰。如果</w:t>
      </w:r>
      <w:r>
        <w:rPr/>
        <w:t>CMG</w:t>
      </w:r>
      <w:r>
        <w:rPr/>
        <w:t>标签显著受限、</w:t>
      </w:r>
      <w:r>
        <w:rPr/>
        <w:t>MRG004A</w:t>
      </w:r>
      <w:r>
        <w:rPr/>
        <w:t>随机三期失败、</w:t>
      </w:r>
      <w:r>
        <w:rPr/>
        <w:t>MRG007</w:t>
      </w:r>
      <w:r>
        <w:rPr/>
        <w:t>人体证据不支持继续，三年模型中的组合价值会下降，不能以其他临床前项目数量补足确定失败的现金。</w:t>
      </w:r>
    </w:p>
    <w:p>
      <w:pPr>
        <w:pStyle w:val="Normal"/>
        <w:rPr/>
      </w:pPr>
      <w:r>
        <w:rPr/>
        <w:t>五年基准</w:t>
      </w:r>
      <w:r>
        <w:rPr/>
        <w:t>9.659744</w:t>
      </w:r>
      <w:r>
        <w:rPr/>
        <w:t>港元，股价涨幅</w:t>
      </w:r>
      <w:r>
        <w:rPr/>
        <w:t>152.87%</w:t>
      </w:r>
      <w:r>
        <w:rPr/>
        <w:t>，含分红年化约</w:t>
      </w:r>
      <w:r>
        <w:rPr/>
        <w:t>20.39%</w:t>
      </w:r>
      <w:r>
        <w:rPr/>
        <w:t>。期间目标模型没有预期派息；长期价值来自</w:t>
      </w:r>
      <w:r>
        <w:rPr/>
        <w:t>2033</w:t>
      </w:r>
      <w:r>
        <w:rPr/>
        <w:t>以后可能发生的分配和</w:t>
      </w:r>
      <w:r>
        <w:rPr/>
        <w:t>2041</w:t>
      </w:r>
      <w:r>
        <w:rPr/>
        <w:t>有限回收的折现，而非把现金全部留在企业又另加一份价值。五年期限降低了短期图形权重，却提高财务治理和商业质量要求。公司如果仍靠大额一次性交易遮盖销售和现金亏损，或每年持续低价扩股，五年分数应下降；单一药物成功也不一定补偿所有资本配置失误。</w:t>
      </w:r>
    </w:p>
    <w:p>
      <w:pPr>
        <w:pStyle w:val="Normal"/>
        <w:rPr/>
      </w:pPr>
      <w:r>
        <w:rPr/>
        <w:t>十年经营展望应关注平台能否不断产生可重复科学结果、形成多个付费产品及优质许可，以及管理层能否在现金允许范围内选择项目。当前业务组合可能在</w:t>
      </w:r>
      <w:r>
        <w:rPr/>
        <w:t>2036</w:t>
      </w:r>
      <w:r>
        <w:rPr/>
        <w:t>年前后出现多个成功产品，也可能因为竞争和研究失败大幅收缩。模型</w:t>
      </w:r>
      <w:r>
        <w:rPr/>
        <w:t>2035</w:t>
      </w:r>
      <w:r>
        <w:rPr/>
        <w:t>以后对已上市底座作衰减，对风险药物采用有限爬坡与生命周期，不假定永续高增长。十年持续性较强的公司通常能在成熟产品之外再开发下一代资产，但这需要资金效率和临床能力的证据，不能通过无限终值提前授予。</w:t>
      </w:r>
    </w:p>
    <w:p>
      <w:pPr>
        <w:pStyle w:val="Heading2"/>
        <w:rPr/>
      </w:pPr>
      <w:r>
        <w:rPr>
          <w:color w:val="000000"/>
        </w:rPr>
        <w:t>十三 年底情景 期望值与权重敏感性</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2026</w:t>
            </w: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价格港元</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相对</w:t>
            </w:r>
            <w:r>
              <w:rPr>
                <w:rFonts w:eastAsia="微软雅黑" w:ascii="微软雅黑" w:hAnsi="微软雅黑"/>
                <w:b/>
                <w:color w:val="FFFFFF"/>
                <w:sz w:val="17"/>
              </w:rPr>
              <w:t>3.82</w:t>
            </w:r>
            <w:r>
              <w:rPr>
                <w:rFonts w:ascii="微软雅黑" w:hAnsi="微软雅黑" w:eastAsia="微软雅黑"/>
                <w:b/>
                <w:color w:val="FFFFFF"/>
                <w:sz w:val="17"/>
              </w:rPr>
              <w:t>涨跌</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主要成立条件</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r>
              <w:rPr>
                <w:rFonts w:eastAsia="微软雅黑" w:ascii="微软雅黑" w:hAnsi="微软雅黑"/>
                <w:sz w:val="17"/>
              </w:rPr>
              <w:t>25%</w:t>
            </w:r>
            <w:r>
              <w:rPr>
                <w:rFonts w:ascii="微软雅黑" w:hAnsi="微软雅黑" w:eastAsia="微软雅黑"/>
                <w:sz w:val="17"/>
              </w:rPr>
              <w:t>判断权重</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0.382000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-90.000000%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核心数据或融资条件恶化，资金失败风险被市场迅速重估</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r>
              <w:rPr>
                <w:rFonts w:eastAsia="微软雅黑" w:ascii="微软雅黑" w:hAnsi="微软雅黑"/>
                <w:sz w:val="17"/>
              </w:rPr>
              <w:t>50%</w:t>
            </w:r>
            <w:r>
              <w:rPr>
                <w:rFonts w:ascii="微软雅黑" w:hAnsi="微软雅黑" w:eastAsia="微软雅黑"/>
                <w:sz w:val="17"/>
              </w:rPr>
              <w:t>判断权重</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4.622247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21.001228%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关键临床没有重大反证，销售和贷款滚动可维持，市场部分认识长期价值</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r>
              <w:rPr>
                <w:rFonts w:eastAsia="微软雅黑" w:ascii="微软雅黑" w:hAnsi="微软雅黑"/>
                <w:sz w:val="17"/>
              </w:rPr>
              <w:t>25%</w:t>
            </w:r>
            <w:r>
              <w:rPr>
                <w:rFonts w:ascii="微软雅黑" w:hAnsi="微软雅黑" w:eastAsia="微软雅黑"/>
                <w:sz w:val="17"/>
              </w:rPr>
              <w:t>判断权重</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14.402580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277.030888%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多项会议数据、注册和资本市场条件同时极强，市场给予显著远期重估</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加权期望</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6.007268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57.258336%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0.25×</w:t>
            </w:r>
            <w:r>
              <w:rPr>
                <w:rFonts w:ascii="微软雅黑" w:hAnsi="微软雅黑" w:eastAsia="微软雅黑"/>
                <w:sz w:val="17"/>
              </w:rPr>
              <w:t>悲观</w:t>
            </w:r>
            <w:r>
              <w:rPr>
                <w:rFonts w:eastAsia="微软雅黑" w:ascii="微软雅黑" w:hAnsi="微软雅黑"/>
                <w:sz w:val="17"/>
              </w:rPr>
              <w:t>+0.50×</w:t>
            </w:r>
            <w:r>
              <w:rPr>
                <w:rFonts w:ascii="微软雅黑" w:hAnsi="微软雅黑" w:eastAsia="微软雅黑"/>
                <w:sz w:val="17"/>
              </w:rPr>
              <w:t>基准</w:t>
            </w:r>
            <w:r>
              <w:rPr>
                <w:rFonts w:eastAsia="微软雅黑" w:ascii="微软雅黑" w:hAnsi="微软雅黑"/>
                <w:sz w:val="17"/>
              </w:rPr>
              <w:t>+0.25×</w:t>
            </w:r>
            <w:r>
              <w:rPr>
                <w:rFonts w:ascii="微软雅黑" w:hAnsi="微软雅黑" w:eastAsia="微软雅黑"/>
                <w:sz w:val="17"/>
              </w:rPr>
              <w:t>乐观</w:t>
            </w:r>
          </w:p>
        </w:tc>
      </w:tr>
    </w:tbl>
    <w:p>
      <w:pPr>
        <w:pStyle w:val="Normal"/>
        <w:rPr/>
      </w:pPr>
      <w:r>
        <w:rPr/>
      </w:r>
    </w:p>
    <w:p>
      <w:pPr>
        <w:pStyle w:val="Normal"/>
        <w:rPr/>
      </w:pPr>
      <w:r>
        <w:rPr/>
        <w:t>年底只有约两个多月，价格区间之宽主要来自非对称临床资产和资金风险，以及事件可能引发的重估。乐观</w:t>
      </w:r>
      <w:r>
        <w:rPr/>
        <w:t>277%</w:t>
      </w:r>
      <w:r>
        <w:rPr/>
        <w:t>属于很强的联合情景，不能称为常规年底收益，也不能因为赋予</w:t>
      </w:r>
      <w:r>
        <w:rPr/>
        <w:t>25%</w:t>
      </w:r>
      <w:r>
        <w:rPr/>
        <w:t>权重就说有</w:t>
      </w:r>
      <w:r>
        <w:rPr/>
        <w:t>25%</w:t>
      </w:r>
      <w:r>
        <w:rPr/>
        <w:t>统计概率。这些权重是统一方案下的研究判断，未由期权价格、历史事件样本或客观概率校准。加权期望</w:t>
      </w:r>
      <w:r>
        <w:rPr/>
        <w:t>6.007268</w:t>
      </w:r>
      <w:r>
        <w:rPr/>
        <w:t>港元高于基准</w:t>
      </w:r>
      <w:r>
        <w:rPr/>
        <w:t>4.622247</w:t>
      </w:r>
      <w:r>
        <w:rPr/>
        <w:t>，主要是极高乐观尾部拉动；因此推荐判断应优先同时阅读基准路径、失败条件和分数，不能只看期望回报。</w:t>
      </w:r>
    </w:p>
    <w:p>
      <w:pPr>
        <w:pStyle w:val="Normal"/>
        <w:rPr/>
      </w:pPr>
      <w:r>
        <w:rPr/>
        <w:t>改用悲观</w:t>
      </w:r>
      <w:r>
        <w:rPr/>
        <w:t>40%</w:t>
      </w:r>
      <w:r>
        <w:rPr/>
        <w:t>、基准</w:t>
      </w:r>
      <w:r>
        <w:rPr/>
        <w:t>40%</w:t>
      </w:r>
      <w:r>
        <w:rPr/>
        <w:t>、乐观</w:t>
      </w:r>
      <w:r>
        <w:rPr/>
        <w:t>20%</w:t>
      </w:r>
      <w:r>
        <w:rPr/>
        <w:t>时，年底期望约</w:t>
      </w:r>
      <w:r>
        <w:rPr/>
        <w:t>4.882215</w:t>
      </w:r>
      <w:r>
        <w:rPr/>
        <w:t>港元，回报</w:t>
      </w:r>
      <w:r>
        <w:rPr/>
        <w:t>27.81%</w:t>
      </w:r>
      <w:r>
        <w:rPr/>
        <w:t>；改用悲观</w:t>
      </w:r>
      <w:r>
        <w:rPr/>
        <w:t>20%</w:t>
      </w:r>
      <w:r>
        <w:rPr/>
        <w:t>、基准</w:t>
      </w:r>
      <w:r>
        <w:rPr/>
        <w:t>40%</w:t>
      </w:r>
      <w:r>
        <w:rPr/>
        <w:t>、乐观</w:t>
      </w:r>
      <w:r>
        <w:rPr/>
        <w:t>40%</w:t>
      </w:r>
      <w:r>
        <w:rPr/>
        <w:t>则约</w:t>
      </w:r>
      <w:r>
        <w:rPr/>
        <w:t>7.686331</w:t>
      </w:r>
      <w:r>
        <w:rPr/>
        <w:t>港元，回报</w:t>
      </w:r>
      <w:r>
        <w:rPr/>
        <w:t>101.21%</w:t>
      </w:r>
      <w:r>
        <w:rPr/>
        <w:t>。区间并非统计置信范围，也不是最大可亏损边界。未来股价可能落在三种价格之外，尤其停牌、临床失败或融资不成后的流动性折价不适合用连续曲线推算。研究公开权重敏感性，是为了让读者看到期望值对主观乐观程度依赖很强，而不是给出一个貌似确定的年底结论。</w:t>
      </w:r>
    </w:p>
    <w:p>
      <w:pPr>
        <w:pStyle w:val="Normal"/>
        <w:rPr/>
      </w:pPr>
      <w:r>
        <w:rPr/>
        <w:t>短期价格识别系数为悲观</w:t>
      </w:r>
      <w:r>
        <w:rPr/>
        <w:t>90%</w:t>
      </w:r>
      <w:r>
        <w:rPr/>
        <w:t>、基准</w:t>
      </w:r>
      <w:r>
        <w:rPr/>
        <w:t>55%</w:t>
      </w:r>
      <w:r>
        <w:rPr/>
        <w:t>、乐观</w:t>
      </w:r>
      <w:r>
        <w:rPr/>
        <w:t>35%</w:t>
      </w:r>
      <w:r>
        <w:rPr/>
        <w:t>，分别将当前股价向各情景内在价值移动。这个系数只应用一次，不能在经营资产、现金和股数计算中再折一次风险。由于截止日后</w:t>
      </w:r>
      <w:r>
        <w:rPr/>
        <w:t>ESMO</w:t>
      </w:r>
      <w:r>
        <w:rPr/>
        <w:t>完整数据未知，系数本质是对事件后重估程度的研究假设。年底测算没有直接采用投行</w:t>
      </w:r>
      <w:r>
        <w:rPr/>
        <w:t>12</w:t>
      </w:r>
      <w:r>
        <w:rPr/>
        <w:t>个月目标，也没有按距离年底剩余月份线性缩放。若后续读出已经发生，必须重新设置信息集和价格基准，而不能仍把当前版本当作最新推荐。</w:t>
      </w:r>
    </w:p>
    <w:p>
      <w:pPr>
        <w:pStyle w:val="Heading2"/>
        <w:rPr/>
      </w:pPr>
      <w:r>
        <w:rPr>
          <w:color w:val="000000"/>
        </w:rPr>
        <w:t>十四 估值模型 敏感性和外部目标价</w:t>
      </w:r>
    </w:p>
    <w:p>
      <w:pPr>
        <w:pStyle w:val="Normal"/>
        <w:rPr/>
      </w:pPr>
      <w:r>
        <w:rPr/>
        <w:t>本模型并未采用当前报表</w:t>
      </w:r>
      <w:r>
        <w:rPr/>
        <w:t>PE</w:t>
      </w:r>
      <w:r>
        <w:rPr/>
        <w:t>作为估值主方法。行情商</w:t>
      </w:r>
      <w:r>
        <w:rPr/>
        <w:t>23.82</w:t>
      </w:r>
      <w:r>
        <w:rPr/>
        <w:t>倍</w:t>
      </w:r>
      <w:r>
        <w:rPr/>
        <w:t>PE</w:t>
      </w:r>
      <w:r>
        <w:rPr/>
        <w:t>和</w:t>
      </w:r>
      <w:r>
        <w:rPr/>
        <w:t>5.98</w:t>
      </w:r>
      <w:r>
        <w:rPr/>
        <w:t>倍</w:t>
      </w:r>
      <w:r>
        <w:rPr/>
        <w:t>PB</w:t>
      </w:r>
      <w:r>
        <w:rPr/>
        <w:t>等字段属于未核验期间和财务口径的筛查数据，不能用于最终推荐。法定利润含许可、非现金对价和投资重分类，账面资产又包含研发无形和非上市权益，静态倍数都难以表达未来每股经济价值。研究用两项已上市药、</w:t>
      </w:r>
      <w:r>
        <w:rPr/>
        <w:t>CDMO</w:t>
      </w:r>
      <w:r>
        <w:rPr/>
        <w:t>和</w:t>
      </w:r>
      <w:r>
        <w:rPr/>
        <w:t>12</w:t>
      </w:r>
      <w:r>
        <w:rPr/>
        <w:t>组地区适应症净现金贡献，加完整研发、营运资金、资本投入、债务与股份的连续预算，形成有限未来分配估值。</w:t>
      </w:r>
    </w:p>
    <w:p>
      <w:pPr>
        <w:pStyle w:val="Normal"/>
        <w:rPr/>
      </w:pPr>
      <w:r>
        <w:rPr/>
        <w:t>基准经营收入代理从</w:t>
      </w:r>
      <w:r>
        <w:rPr/>
        <w:t>2027</w:t>
      </w:r>
      <w:r>
        <w:rPr/>
        <w:t>年约</w:t>
      </w:r>
      <w:r>
        <w:rPr/>
        <w:t>12.06512</w:t>
      </w:r>
      <w:r>
        <w:rPr/>
        <w:t>亿元、</w:t>
      </w:r>
      <w:r>
        <w:rPr/>
        <w:t>2028</w:t>
      </w:r>
      <w:r>
        <w:rPr/>
        <w:t>年</w:t>
      </w:r>
      <w:r>
        <w:rPr/>
        <w:t>16.80292</w:t>
      </w:r>
      <w:r>
        <w:rPr/>
        <w:t>亿元、</w:t>
      </w:r>
      <w:r>
        <w:rPr/>
        <w:t>2029</w:t>
      </w:r>
      <w:r>
        <w:rPr/>
        <w:t>年</w:t>
      </w:r>
      <w:r>
        <w:rPr/>
        <w:t>23.20864</w:t>
      </w:r>
      <w:r>
        <w:rPr/>
        <w:t>亿元增加到</w:t>
      </w:r>
      <w:r>
        <w:rPr/>
        <w:t>2031</w:t>
      </w:r>
      <w:r>
        <w:rPr/>
        <w:t>年</w:t>
      </w:r>
      <w:r>
        <w:rPr/>
        <w:t>41.00756</w:t>
      </w:r>
      <w:r>
        <w:rPr/>
        <w:t>亿元，包含自有药收入及许可净经济，不能冒充法定营收指引。基准正常利润代理</w:t>
      </w:r>
      <w:r>
        <w:rPr/>
        <w:t>2027</w:t>
      </w:r>
      <w:r>
        <w:rPr/>
        <w:t>约负</w:t>
      </w:r>
      <w:r>
        <w:rPr/>
        <w:t>1.28956</w:t>
      </w:r>
      <w:r>
        <w:rPr/>
        <w:t>亿元、</w:t>
      </w:r>
      <w:r>
        <w:rPr/>
        <w:t>2028</w:t>
      </w:r>
      <w:r>
        <w:rPr/>
        <w:t>约</w:t>
      </w:r>
      <w:r>
        <w:rPr/>
        <w:t>1.00495</w:t>
      </w:r>
      <w:r>
        <w:rPr/>
        <w:t>亿元、</w:t>
      </w:r>
      <w:r>
        <w:rPr/>
        <w:t>2029</w:t>
      </w:r>
      <w:r>
        <w:rPr/>
        <w:t>约</w:t>
      </w:r>
      <w:r>
        <w:rPr/>
        <w:t>4.19475</w:t>
      </w:r>
      <w:r>
        <w:rPr/>
        <w:t>亿元、</w:t>
      </w:r>
      <w:r>
        <w:rPr/>
        <w:t>2031</w:t>
      </w:r>
      <w:r>
        <w:rPr/>
        <w:t>约</w:t>
      </w:r>
      <w:r>
        <w:rPr/>
        <w:t>14.51954</w:t>
      </w:r>
      <w:r>
        <w:rPr/>
        <w:t>亿元。每个数字都有销售、费用、成功率和商业起点支撑，但这些都是条件预测；利润转正不是已知未来。近端融资和延期风险必须与这些表一起看。</w:t>
      </w:r>
    </w:p>
    <w:p>
      <w:pPr>
        <w:pStyle w:val="Normal"/>
        <w:rPr/>
      </w:pPr>
      <w:r>
        <w:rPr/>
        <w:t>估值采用</w:t>
      </w:r>
      <w:r>
        <w:rPr/>
        <w:t>2033</w:t>
      </w:r>
      <w:r>
        <w:rPr/>
        <w:t>起清银行后、超过</w:t>
      </w:r>
      <w:r>
        <w:rPr/>
        <w:t>8</w:t>
      </w:r>
      <w:r>
        <w:rPr/>
        <w:t>亿元现金储备的</w:t>
      </w:r>
      <w:r>
        <w:rPr/>
        <w:t>65%</w:t>
      </w:r>
      <w:r>
        <w:rPr/>
        <w:t>分配，</w:t>
      </w:r>
      <w:r>
        <w:rPr/>
        <w:t>2041</w:t>
      </w:r>
      <w:r>
        <w:rPr/>
        <w:t>末回收现金和部分非上市股权并扣余债及最后</w:t>
      </w:r>
      <w:r>
        <w:rPr/>
        <w:t>PD-1</w:t>
      </w:r>
      <w:r>
        <w:rPr/>
        <w:t>未付款。该分配政策是为测算股东可获得现金而设置的研究假设，不是公司董事会承诺。每次分配按当年所有股份计算，包括未来融资和员工新股；目标时点现金已经进入未来资金滚动，不再额外相加。没有另加未来融资款的现值，也没有把临床资产现金流与同一业务的终值重复。</w:t>
      </w:r>
      <w:r>
        <w:rPr/>
        <w:t>2042</w:t>
      </w:r>
      <w:r>
        <w:rPr/>
        <w:t>以后经营不估值，降低无限永续假设的影响，但真实企业也可能继续存在并有其他残值。</w:t>
      </w:r>
    </w:p>
    <w:p>
      <w:pPr>
        <w:pStyle w:val="Normal"/>
        <w:rPr/>
      </w:pPr>
      <w:r>
        <w:rPr/>
        <w:t>折现率降至</w:t>
      </w:r>
      <w:r>
        <w:rPr/>
        <w:t>11.5%</w:t>
      </w:r>
      <w:r>
        <w:rPr/>
        <w:t>或升至</w:t>
      </w:r>
      <w:r>
        <w:rPr/>
        <w:t>15.5%</w:t>
      </w:r>
      <w:r>
        <w:rPr/>
        <w:t>时，一年基准价分别约</w:t>
      </w:r>
      <w:r>
        <w:rPr/>
        <w:t>6.908549</w:t>
      </w:r>
      <w:r>
        <w:rPr/>
        <w:t>和</w:t>
      </w:r>
      <w:r>
        <w:rPr/>
        <w:t>4.922284</w:t>
      </w:r>
      <w:r>
        <w:rPr/>
        <w:t>港元。所有风险新药商业起点延后两年，价格降至</w:t>
      </w:r>
      <w:r>
        <w:rPr/>
        <w:t>4.038224</w:t>
      </w:r>
      <w:r>
        <w:rPr/>
        <w:t>，约比基准低</w:t>
      </w:r>
      <w:r>
        <w:rPr/>
        <w:t>30.58%</w:t>
      </w:r>
      <w:r>
        <w:rPr/>
        <w:t>，却仍在当前融资预算下未发生资金失败。完整研发增加</w:t>
      </w:r>
      <w:r>
        <w:rPr/>
        <w:t>20%</w:t>
      </w:r>
      <w:r>
        <w:rPr/>
        <w:t>，价格约</w:t>
      </w:r>
      <w:r>
        <w:rPr/>
        <w:t>5.529036</w:t>
      </w:r>
      <w:r>
        <w:rPr/>
        <w:t>；资本投入增加</w:t>
      </w:r>
      <w:r>
        <w:rPr/>
        <w:t>20%</w:t>
      </w:r>
      <w:r>
        <w:rPr/>
        <w:t>，约</w:t>
      </w:r>
      <w:r>
        <w:rPr/>
        <w:t>5.697442</w:t>
      </w:r>
      <w:r>
        <w:rPr/>
        <w:t>。单项压力结果不能相加为联合最差情景，临床延迟同时伴随研发超支、弱销售和低价融资时，结果可能显著更差，应按联动情景重新计算。</w:t>
      </w:r>
    </w:p>
    <w:p>
      <w:pPr>
        <w:pStyle w:val="Normal"/>
        <w:rPr/>
      </w:pPr>
      <w:r>
        <w:rPr/>
        <w:t>CMG</w:t>
      </w:r>
      <w:r>
        <w:rPr/>
        <w:t>全球峰值减少</w:t>
      </w:r>
      <w:r>
        <w:rPr/>
        <w:t>30%</w:t>
      </w:r>
      <w:r>
        <w:rPr/>
        <w:t>，一年约</w:t>
      </w:r>
      <w:r>
        <w:rPr/>
        <w:t>5.541858</w:t>
      </w:r>
      <w:r>
        <w:rPr/>
        <w:t>港元；版税率从</w:t>
      </w:r>
      <w:r>
        <w:rPr/>
        <w:t>11%</w:t>
      </w:r>
      <w:r>
        <w:rPr/>
        <w:t>改为</w:t>
      </w:r>
      <w:r>
        <w:rPr/>
        <w:t>8%</w:t>
      </w:r>
      <w:r>
        <w:rPr/>
        <w:t>约</w:t>
      </w:r>
      <w:r>
        <w:rPr/>
        <w:t>5.566849</w:t>
      </w:r>
      <w:r>
        <w:rPr/>
        <w:t>、改为</w:t>
      </w:r>
      <w:r>
        <w:rPr/>
        <w:t>14%</w:t>
      </w:r>
      <w:r>
        <w:rPr/>
        <w:t>约</w:t>
      </w:r>
      <w:r>
        <w:rPr/>
        <w:t>6.066667</w:t>
      </w:r>
      <w:r>
        <w:rPr/>
        <w:t>。二线及以后成功因子下降</w:t>
      </w:r>
      <w:r>
        <w:rPr/>
        <w:t>15</w:t>
      </w:r>
      <w:r>
        <w:rPr/>
        <w:t>个百分点，约</w:t>
      </w:r>
      <w:r>
        <w:rPr/>
        <w:t>5.719441</w:t>
      </w:r>
      <w:r>
        <w:rPr/>
        <w:t>。这些变动相对全公司并非巨大，因为公司还包含</w:t>
      </w:r>
      <w:r>
        <w:rPr/>
        <w:t>MRG003</w:t>
      </w:r>
      <w:r>
        <w:rPr/>
        <w:t>和多项自主或许可管线；它不能证明</w:t>
      </w:r>
      <w:r>
        <w:rPr/>
        <w:t>CMG</w:t>
      </w:r>
      <w:r>
        <w:rPr/>
        <w:t>不重要，只表示当前组合模型的价值分散。若</w:t>
      </w:r>
      <w:r>
        <w:rPr/>
        <w:t>CMG</w:t>
      </w:r>
      <w:r>
        <w:rPr/>
        <w:t>失败还带来平台认可下降、融资折价和其他项目概率连带下调，不能仅使用孤立成功率变化的结果。</w:t>
      </w:r>
    </w:p>
    <w:p>
      <w:pPr>
        <w:pStyle w:val="Normal"/>
        <w:rPr/>
      </w:pPr>
      <w:r>
        <w:rPr/>
        <w:t>MRG003</w:t>
      </w:r>
      <w:r>
        <w:rPr/>
        <w:t>已上市</w:t>
      </w:r>
      <w:r>
        <w:rPr/>
        <w:t>NPC</w:t>
      </w:r>
      <w:r>
        <w:rPr/>
        <w:t>收入整体减少</w:t>
      </w:r>
      <w:r>
        <w:rPr/>
        <w:t>20%</w:t>
      </w:r>
      <w:r>
        <w:rPr/>
        <w:t>，一年价格约</w:t>
      </w:r>
      <w:r>
        <w:rPr/>
        <w:t>5.385261</w:t>
      </w:r>
      <w:r>
        <w:rPr/>
        <w:t>；</w:t>
      </w:r>
      <w:r>
        <w:rPr/>
        <w:t>PD-1</w:t>
      </w:r>
      <w:r>
        <w:rPr/>
        <w:t>减少</w:t>
      </w:r>
      <w:r>
        <w:rPr/>
        <w:t>20%</w:t>
      </w:r>
      <w:r>
        <w:rPr/>
        <w:t>，约</w:t>
      </w:r>
      <w:r>
        <w:rPr/>
        <w:t>5.571445</w:t>
      </w:r>
      <w:r>
        <w:rPr/>
        <w:t>；</w:t>
      </w:r>
      <w:r>
        <w:rPr/>
        <w:t>MRG007</w:t>
      </w:r>
      <w:r>
        <w:rPr/>
        <w:t>两地区成功率各下降</w:t>
      </w:r>
      <w:r>
        <w:rPr/>
        <w:t>15</w:t>
      </w:r>
      <w:r>
        <w:rPr/>
        <w:t>个百分点，约</w:t>
      </w:r>
      <w:r>
        <w:rPr/>
        <w:t>5.466328</w:t>
      </w:r>
      <w:r>
        <w:rPr/>
        <w:t>。未来发行价格整体下降</w:t>
      </w:r>
      <w:r>
        <w:rPr/>
        <w:t>30%</w:t>
      </w:r>
      <w:r>
        <w:rPr/>
        <w:t>，同额资金新增股份由约</w:t>
      </w:r>
      <w:r>
        <w:rPr/>
        <w:t>3.86574</w:t>
      </w:r>
      <w:r>
        <w:rPr/>
        <w:t>亿增至</w:t>
      </w:r>
      <w:r>
        <w:rPr/>
        <w:t>5.52249</w:t>
      </w:r>
      <w:r>
        <w:rPr/>
        <w:t>亿，一年降为</w:t>
      </w:r>
      <w:r>
        <w:rPr/>
        <w:t>5.416669</w:t>
      </w:r>
      <w:r>
        <w:rPr/>
        <w:t>。完全没有新权益资本则出现最低现金负</w:t>
      </w:r>
      <w:r>
        <w:rPr/>
        <w:t>5.62863</w:t>
      </w:r>
      <w:r>
        <w:rPr/>
        <w:t>亿元，经济值归零。非上市金融资产回收设零仅把价格降至</w:t>
      </w:r>
      <w:r>
        <w:rPr/>
        <w:t>5.793721</w:t>
      </w:r>
      <w:r>
        <w:rPr/>
        <w:t>，显示研究没有依靠把流动性较差权益当成现金来制造安全垫。</w:t>
      </w:r>
    </w:p>
    <w:p>
      <w:pPr>
        <w:pStyle w:val="Normal"/>
        <w:rPr/>
      </w:pPr>
      <w:r>
        <w:rPr/>
        <w:t>外资目标价检索需核对真正的发行人。公开资讯在乐普代码页面可展示同时提及多家公司的文章；</w:t>
      </w:r>
      <w:r>
        <w:rPr/>
        <w:t>2026</w:t>
      </w:r>
      <w:r>
        <w:rPr/>
        <w:t>年</w:t>
      </w:r>
      <w:r>
        <w:rPr/>
        <w:t>9</w:t>
      </w:r>
      <w:r>
        <w:rPr/>
        <w:t>月野村</w:t>
      </w:r>
      <w:r>
        <w:rPr/>
        <w:t>138.29</w:t>
      </w:r>
      <w:r>
        <w:rPr/>
        <w:t>港元目标属于康方生物，不是乐普，不能直接抄入本表。另有消费行业文章把锅圈误链接到</w:t>
      </w:r>
      <w:r>
        <w:rPr/>
        <w:t>02157</w:t>
      </w:r>
      <w:r>
        <w:rPr/>
        <w:t>，其推荐也不属于本公司。现能核验的乐普外资目标为</w:t>
      </w:r>
      <w:r>
        <w:rPr/>
        <w:t>2024</w:t>
      </w:r>
      <w:r>
        <w:rPr/>
        <w:t>年</w:t>
      </w:r>
      <w:r>
        <w:rPr/>
        <w:t>5</w:t>
      </w:r>
      <w:r>
        <w:rPr/>
        <w:t>月</w:t>
      </w:r>
      <w:r>
        <w:rPr/>
        <w:t>8</w:t>
      </w:r>
      <w:r>
        <w:rPr/>
        <w:t>日摩根士丹利</w:t>
      </w:r>
      <w:r>
        <w:rPr/>
        <w:t>5</w:t>
      </w:r>
      <w:r>
        <w:rPr/>
        <w:t>港元、与大市同步评级的旧新闻表，原始报告和期限未取得，而且距截止日超过两年。它只保存为历史记录，不参与</w:t>
      </w:r>
      <w:r>
        <w:rPr/>
        <w:t>2026</w:t>
      </w:r>
      <w:r>
        <w:rPr/>
        <w:t>年底或一年估值校准。</w:t>
      </w:r>
    </w:p>
    <w:p>
      <w:pPr>
        <w:pStyle w:val="Normal"/>
        <w:rPr/>
      </w:pPr>
      <w:r>
        <w:rPr/>
        <w:t>截至本研究完成的公开检索，未取得近</w:t>
      </w:r>
      <w:r>
        <w:rPr/>
        <w:t>90</w:t>
      </w:r>
      <w:r>
        <w:rPr/>
        <w:t>天可核验的乐普外资原始目标价。这个缺口意味着不能用“投行一致预期”背书基准</w:t>
      </w:r>
      <w:r>
        <w:rPr/>
        <w:t>5.82</w:t>
      </w:r>
      <w:r>
        <w:rPr/>
        <w:t>港元，也不能把本研究计算误称为券商共识。后续若取得有效研报，应记录机构、日期、币种、期限、评级和重大事件后是否更新，去除重复转载；若研报的权利归属或融资假设不同，需要解释差异，而不是平均所有数值。查不到最新公开数据应明确保留空缺，不能为了完整表格而填造目标。</w:t>
      </w:r>
    </w:p>
    <w:p>
      <w:pPr>
        <w:pStyle w:val="Heading2"/>
        <w:rPr/>
      </w:pPr>
      <w:r>
        <w:rPr>
          <w:color w:val="000000"/>
        </w:rPr>
        <w:t>十五 评分解释与研究使用边界</w:t>
      </w:r>
    </w:p>
    <w:p>
      <w:pPr>
        <w:pStyle w:val="Normal"/>
        <w:rPr/>
      </w:pPr>
      <w:r>
        <w:rPr/>
        <w:t>半年六维原始评分为估值</w:t>
      </w:r>
      <w:r>
        <w:rPr/>
        <w:t>2.0</w:t>
      </w:r>
      <w:r>
        <w:rPr/>
        <w:t>、量价</w:t>
      </w:r>
      <w:r>
        <w:rPr/>
        <w:t>1.5</w:t>
      </w:r>
      <w:r>
        <w:rPr/>
        <w:t>、经营</w:t>
      </w:r>
      <w:r>
        <w:rPr/>
        <w:t>3.2</w:t>
      </w:r>
      <w:r>
        <w:rPr/>
        <w:t>、行业</w:t>
      </w:r>
      <w:r>
        <w:rPr/>
        <w:t>4.2</w:t>
      </w:r>
      <w:r>
        <w:rPr/>
        <w:t>、催化</w:t>
      </w:r>
      <w:r>
        <w:rPr/>
        <w:t>4.5</w:t>
      </w:r>
      <w:r>
        <w:rPr/>
        <w:t>、风险</w:t>
      </w:r>
      <w:r>
        <w:rPr/>
        <w:t>1.7</w:t>
      </w:r>
      <w:r>
        <w:rPr/>
        <w:t>，按</w:t>
      </w:r>
      <w:r>
        <w:rPr/>
        <w:t>25%</w:t>
      </w:r>
      <w:r>
        <w:rPr/>
        <w:t>、</w:t>
      </w:r>
      <w:r>
        <w:rPr/>
        <w:t>30%</w:t>
      </w:r>
      <w:r>
        <w:rPr/>
        <w:t>、</w:t>
      </w:r>
      <w:r>
        <w:rPr/>
        <w:t>15%</w:t>
      </w:r>
      <w:r>
        <w:rPr/>
        <w:t>、</w:t>
      </w:r>
      <w:r>
        <w:rPr/>
        <w:t>10%</w:t>
      </w:r>
      <w:r>
        <w:rPr/>
        <w:t>、</w:t>
      </w:r>
      <w:r>
        <w:rPr/>
        <w:t>10%</w:t>
      </w:r>
      <w:r>
        <w:rPr/>
        <w:t>、</w:t>
      </w:r>
      <w:r>
        <w:rPr/>
        <w:t>10%</w:t>
      </w:r>
      <w:r>
        <w:rPr/>
        <w:t>得到</w:t>
      </w:r>
      <w:r>
        <w:rPr/>
        <w:t>49.4</w:t>
      </w:r>
      <w:r>
        <w:rPr/>
        <w:t>。催化较高不是因为读出已知成功，而是近期确实有重要预告；风险与量价较低抵消相当部分催化价值。短期评分必须保留这种差别，不能把每条利好公告都重复加到经营、行业、催化和图形，使同一事实计四次。未核验的全球峰值和合同版税也降低了估值证据可信度。</w:t>
      </w:r>
    </w:p>
    <w:p>
      <w:pPr>
        <w:pStyle w:val="Normal"/>
        <w:rPr/>
      </w:pPr>
      <w:r>
        <w:rPr/>
        <w:t>一年评分</w:t>
      </w:r>
      <w:r>
        <w:rPr/>
        <w:t>57.7</w:t>
      </w:r>
      <w:r>
        <w:rPr/>
        <w:t>，三年</w:t>
      </w:r>
      <w:r>
        <w:rPr/>
        <w:t>64.5</w:t>
      </w:r>
      <w:r>
        <w:rPr/>
        <w:t>，五年</w:t>
      </w:r>
      <w:r>
        <w:rPr/>
        <w:t>65.9</w:t>
      </w:r>
      <w:r>
        <w:rPr/>
        <w:t>。长期经营和行业权重提高，使已有药品销售和后期临床布局更重要；五年财务治理权重更高，依旧限制总分。这些分数不是获利概率，亦不是某价格必达的置信度。证据可信度标为中：关键法定财务、股数、临床公告和双行情核验较清楚，但药品分拆、具体版税、未来融资、部分权益资产和长期商业份额存在重要研究假设。总榜中差距少于三分宜放同梯队，不应因小数点决定截然不同的投资结论。</w:t>
      </w:r>
    </w:p>
    <w:p>
      <w:pPr>
        <w:pStyle w:val="Normal"/>
        <w:rPr/>
      </w:pPr>
      <w:r>
        <w:rPr/>
        <w:t>当前适合提高推荐的证据包括持续销售和收款改善、完整</w:t>
      </w:r>
      <w:r>
        <w:rPr/>
        <w:t>CMG</w:t>
      </w:r>
      <w:r>
        <w:rPr/>
        <w:t>结果支持宽泛标签、</w:t>
      </w:r>
      <w:r>
        <w:rPr/>
        <w:t>MRG003</w:t>
      </w:r>
      <w:r>
        <w:rPr/>
        <w:t>新增适应症出现随机获益、银行贷款与权益资金安排可核验，以及量价结构由下降转为稳定上行。适合降低推荐的证据包括应收增速明显快于药品真实使用、核心后期研究失败、安全性限制有效剂量、反复延迟伴随现金消耗、低价发行明显超过预算、关联交易经济归属变化和大额非核心支出。判断应根据已公开事实更新，不因持仓成本或过去最高价保持原结论。</w:t>
      </w:r>
    </w:p>
    <w:p>
      <w:pPr>
        <w:pStyle w:val="Normal"/>
        <w:rPr/>
      </w:pPr>
      <w:r>
        <w:rPr/>
        <w:t>在进取型标准下，乐普可以作为关注临床和资本配置的候选，但当前半年图形尚不支持将其放在高确信前列。较长周期的基准上涨空间有吸引力，代价是普通股可能承受极大尾部风险。最有用的后续研究不是不断提高乐观峰值，而是缩小已知与未知：取得完整临床、真实处方与净价、融资条款、资本开支支付和权利净归属。只有这些证据改善，价格和评分的提高才具备可审查基础。</w:t>
      </w:r>
    </w:p>
    <w:p>
      <w:pPr>
        <w:pStyle w:val="Heading2"/>
        <w:rPr/>
      </w:pPr>
      <w:r>
        <w:rPr>
          <w:color w:val="000000"/>
        </w:rPr>
        <w:t>来源与复核记录</w:t>
      </w:r>
    </w:p>
    <w:p>
      <w:pPr>
        <w:pStyle w:val="Normal"/>
        <w:rPr/>
      </w:pPr>
      <w:r>
        <w:rPr>
          <w:sz w:val="19"/>
        </w:rPr>
        <w:t>- [2026</w:t>
      </w:r>
      <w:r>
        <w:rPr>
          <w:sz w:val="19"/>
        </w:rPr>
        <w:t>中报</w:t>
      </w:r>
      <w:r>
        <w:rPr>
          <w:sz w:val="19"/>
        </w:rPr>
        <w:t>](https://www1.hkexnews.hk/listedco/listconews/sehk/2026/0916/2026091600294.pdf)</w:t>
      </w:r>
      <w:r>
        <w:rPr>
          <w:sz w:val="19"/>
        </w:rPr>
        <w:t>，</w:t>
      </w:r>
      <w:r>
        <w:rPr>
          <w:sz w:val="19"/>
        </w:rPr>
        <w:t>9</w:t>
      </w:r>
      <w:r>
        <w:rPr>
          <w:sz w:val="19"/>
        </w:rPr>
        <w:t>月</w:t>
      </w:r>
      <w:r>
        <w:rPr>
          <w:sz w:val="19"/>
        </w:rPr>
        <w:t>16</w:t>
      </w:r>
      <w:r>
        <w:rPr>
          <w:sz w:val="19"/>
        </w:rPr>
        <w:t>日</w:t>
      </w:r>
      <w:r>
        <w:rPr>
          <w:sz w:val="19"/>
        </w:rPr>
        <w:t>16:32</w:t>
      </w:r>
      <w:r>
        <w:rPr>
          <w:sz w:val="19"/>
        </w:rPr>
        <w:t>，现金、成本、关联交易、管线与临床摘要；首次业绩</w:t>
      </w:r>
      <w:r>
        <w:rPr>
          <w:sz w:val="19"/>
        </w:rPr>
        <w:t>[8</w:t>
      </w:r>
      <w:r>
        <w:rPr>
          <w:sz w:val="19"/>
        </w:rPr>
        <w:t>月</w:t>
      </w:r>
      <w:r>
        <w:rPr>
          <w:sz w:val="19"/>
        </w:rPr>
        <w:t>19</w:t>
      </w:r>
      <w:r>
        <w:rPr>
          <w:sz w:val="19"/>
        </w:rPr>
        <w:t>日公告</w:t>
      </w:r>
      <w:r>
        <w:rPr>
          <w:sz w:val="19"/>
        </w:rPr>
        <w:t>](https://www1.hkexnews.hk/listedco/listconews/sehk/2026/0819/2026081900408.pdf)</w:t>
      </w:r>
      <w:r>
        <w:rPr>
          <w:sz w:val="19"/>
        </w:rPr>
        <w:t>。</w:t>
      </w:r>
    </w:p>
    <w:p>
      <w:pPr>
        <w:pStyle w:val="Normal"/>
        <w:rPr/>
      </w:pPr>
      <w:r>
        <w:rPr>
          <w:sz w:val="19"/>
        </w:rPr>
        <w:t>- [2025</w:t>
      </w:r>
      <w:r>
        <w:rPr>
          <w:sz w:val="19"/>
        </w:rPr>
        <w:t>年报</w:t>
      </w:r>
      <w:r>
        <w:rPr>
          <w:sz w:val="19"/>
        </w:rPr>
        <w:t>](https://www1.hkexnews.hk/listedco/listconews/sehk/2026/0422/2026042201748.pdf)</w:t>
      </w:r>
      <w:r>
        <w:rPr>
          <w:sz w:val="19"/>
        </w:rPr>
        <w:t>，</w:t>
      </w:r>
      <w:r>
        <w:rPr>
          <w:sz w:val="19"/>
        </w:rPr>
        <w:t>4</w:t>
      </w:r>
      <w:r>
        <w:rPr>
          <w:sz w:val="19"/>
        </w:rPr>
        <w:t>月</w:t>
      </w:r>
      <w:r>
        <w:rPr>
          <w:sz w:val="19"/>
        </w:rPr>
        <w:t>22</w:t>
      </w:r>
      <w:r>
        <w:rPr>
          <w:sz w:val="19"/>
        </w:rPr>
        <w:t>日</w:t>
      </w:r>
      <w:r>
        <w:rPr>
          <w:sz w:val="19"/>
        </w:rPr>
        <w:t>20:16</w:t>
      </w:r>
      <w:r>
        <w:rPr>
          <w:sz w:val="19"/>
        </w:rPr>
        <w:t>，历史经营、武汉滨会重分类、</w:t>
      </w:r>
      <w:r>
        <w:rPr>
          <w:sz w:val="19"/>
        </w:rPr>
        <w:t>PD-1</w:t>
      </w:r>
      <w:r>
        <w:rPr>
          <w:sz w:val="19"/>
        </w:rPr>
        <w:t>对价、现金流与</w:t>
      </w:r>
      <w:r>
        <w:rPr>
          <w:sz w:val="19"/>
        </w:rPr>
        <w:t>Excalipoint</w:t>
      </w:r>
      <w:r>
        <w:rPr>
          <w:sz w:val="19"/>
        </w:rPr>
        <w:t>实收；</w:t>
      </w:r>
      <w:r>
        <w:rPr>
          <w:sz w:val="19"/>
        </w:rPr>
        <w:t>[2024</w:t>
      </w:r>
      <w:r>
        <w:rPr>
          <w:sz w:val="19"/>
        </w:rPr>
        <w:t>年报</w:t>
      </w:r>
      <w:r>
        <w:rPr>
          <w:sz w:val="19"/>
        </w:rPr>
        <w:t>](https://www1.hkexnews.hk/listedco/listconews/sehk/2025/0425/2025042503161.pdf)</w:t>
      </w:r>
      <w:r>
        <w:rPr>
          <w:sz w:val="19"/>
        </w:rPr>
        <w:t>核验</w:t>
      </w:r>
      <w:r>
        <w:rPr>
          <w:sz w:val="19"/>
        </w:rPr>
        <w:t>2023</w:t>
      </w:r>
      <w:r>
        <w:rPr>
          <w:sz w:val="19"/>
        </w:rPr>
        <w:t>及</w:t>
      </w:r>
      <w:r>
        <w:rPr>
          <w:sz w:val="19"/>
        </w:rPr>
        <w:t>2024</w:t>
      </w:r>
      <w:r>
        <w:rPr>
          <w:sz w:val="19"/>
        </w:rPr>
        <w:t>归母与现金。</w:t>
      </w:r>
    </w:p>
    <w:p>
      <w:pPr>
        <w:pStyle w:val="Normal"/>
        <w:rPr/>
      </w:pPr>
      <w:r>
        <w:rPr>
          <w:sz w:val="19"/>
        </w:rPr>
        <w:t>- [9</w:t>
      </w:r>
      <w:r>
        <w:rPr>
          <w:sz w:val="19"/>
        </w:rPr>
        <w:t>月月报</w:t>
      </w:r>
      <w:r>
        <w:rPr>
          <w:sz w:val="19"/>
        </w:rPr>
        <w:t>](https://www1.hkexnews.hk/listedco/listconews/sehk/2026/1006/2026100601007.pdf)</w:t>
      </w:r>
      <w:r>
        <w:rPr>
          <w:sz w:val="19"/>
        </w:rPr>
        <w:t>，</w:t>
      </w:r>
      <w:r>
        <w:rPr>
          <w:sz w:val="19"/>
        </w:rPr>
        <w:t>10</w:t>
      </w:r>
      <w:r>
        <w:rPr>
          <w:sz w:val="19"/>
        </w:rPr>
        <w:t>月</w:t>
      </w:r>
      <w:r>
        <w:rPr>
          <w:sz w:val="19"/>
        </w:rPr>
        <w:t>6</w:t>
      </w:r>
      <w:r>
        <w:rPr>
          <w:sz w:val="19"/>
        </w:rPr>
        <w:t>日</w:t>
      </w:r>
      <w:r>
        <w:rPr>
          <w:sz w:val="19"/>
        </w:rPr>
        <w:t>17:27</w:t>
      </w:r>
      <w:r>
        <w:rPr>
          <w:sz w:val="19"/>
        </w:rPr>
        <w:t>，已发行</w:t>
      </w:r>
      <w:r>
        <w:rPr>
          <w:sz w:val="19"/>
        </w:rPr>
        <w:t>1804439838</w:t>
      </w:r>
      <w:r>
        <w:rPr>
          <w:sz w:val="19"/>
        </w:rPr>
        <w:t>股、库存零。</w:t>
      </w:r>
    </w:p>
    <w:p>
      <w:pPr>
        <w:pStyle w:val="Normal"/>
        <w:rPr/>
      </w:pPr>
      <w:r>
        <w:rPr>
          <w:sz w:val="19"/>
        </w:rPr>
        <w:t>- [CMG901</w:t>
      </w:r>
      <w:r>
        <w:rPr>
          <w:sz w:val="19"/>
        </w:rPr>
        <w:t>高层结果</w:t>
      </w:r>
      <w:r>
        <w:rPr>
          <w:sz w:val="19"/>
        </w:rPr>
        <w:t>](https://www1.hkexnews.hk/listedco/listconews/sehk/2026/0728/2026072800183.pdf)</w:t>
      </w:r>
      <w:r>
        <w:rPr>
          <w:sz w:val="19"/>
        </w:rPr>
        <w:t>，</w:t>
      </w:r>
      <w:r>
        <w:rPr>
          <w:sz w:val="19"/>
        </w:rPr>
        <w:t>7</w:t>
      </w:r>
      <w:r>
        <w:rPr>
          <w:sz w:val="19"/>
        </w:rPr>
        <w:t>月</w:t>
      </w:r>
      <w:r>
        <w:rPr>
          <w:sz w:val="19"/>
        </w:rPr>
        <w:t>28</w:t>
      </w:r>
      <w:r>
        <w:rPr>
          <w:sz w:val="19"/>
        </w:rPr>
        <w:t>日</w:t>
      </w:r>
      <w:r>
        <w:rPr>
          <w:sz w:val="19"/>
        </w:rPr>
        <w:t>12:27</w:t>
      </w:r>
      <w:r>
        <w:rPr>
          <w:sz w:val="19"/>
        </w:rPr>
        <w:t>；</w:t>
      </w:r>
      <w:r>
        <w:rPr>
          <w:sz w:val="19"/>
        </w:rPr>
        <w:t>[</w:t>
      </w:r>
      <w:r>
        <w:rPr>
          <w:sz w:val="19"/>
        </w:rPr>
        <w:t>一线首名给药及</w:t>
      </w:r>
      <w:r>
        <w:rPr>
          <w:sz w:val="19"/>
        </w:rPr>
        <w:t>4500</w:t>
      </w:r>
      <w:r>
        <w:rPr>
          <w:sz w:val="19"/>
        </w:rPr>
        <w:t>万美元里程碑</w:t>
      </w:r>
      <w:r>
        <w:rPr>
          <w:sz w:val="19"/>
        </w:rPr>
        <w:t>](https://www1.hkexnews.hk/listedco/listconews/sehk/2026/0311/2026031100011.pdf)</w:t>
      </w:r>
      <w:r>
        <w:rPr>
          <w:sz w:val="19"/>
        </w:rPr>
        <w:t>，</w:t>
      </w:r>
      <w:r>
        <w:rPr>
          <w:sz w:val="19"/>
        </w:rPr>
        <w:t>3</w:t>
      </w:r>
      <w:r>
        <w:rPr>
          <w:sz w:val="19"/>
        </w:rPr>
        <w:t>月</w:t>
      </w:r>
      <w:r>
        <w:rPr>
          <w:sz w:val="19"/>
        </w:rPr>
        <w:t>11</w:t>
      </w:r>
      <w:r>
        <w:rPr>
          <w:sz w:val="19"/>
        </w:rPr>
        <w:t>日</w:t>
      </w:r>
      <w:r>
        <w:rPr>
          <w:sz w:val="19"/>
        </w:rPr>
        <w:t>06:15</w:t>
      </w:r>
      <w:r>
        <w:rPr>
          <w:sz w:val="19"/>
        </w:rPr>
        <w:t>，</w:t>
      </w:r>
      <w:r>
        <w:rPr>
          <w:sz w:val="19"/>
        </w:rPr>
        <w:t>KYM</w:t>
      </w:r>
      <w:r>
        <w:rPr>
          <w:sz w:val="19"/>
        </w:rPr>
        <w:t>总额及</w:t>
      </w:r>
      <w:r>
        <w:rPr>
          <w:sz w:val="19"/>
        </w:rPr>
        <w:t>30%</w:t>
      </w:r>
      <w:r>
        <w:rPr>
          <w:sz w:val="19"/>
        </w:rPr>
        <w:t>共同权益。</w:t>
      </w:r>
    </w:p>
    <w:p>
      <w:pPr>
        <w:pStyle w:val="Normal"/>
        <w:rPr/>
      </w:pPr>
      <w:r>
        <w:rPr>
          <w:sz w:val="19"/>
        </w:rPr>
        <w:t>- [ESMO</w:t>
      </w:r>
      <w:r>
        <w:rPr>
          <w:sz w:val="19"/>
        </w:rPr>
        <w:t>展示预告</w:t>
      </w:r>
      <w:r>
        <w:rPr>
          <w:sz w:val="19"/>
        </w:rPr>
        <w:t>](https://www1.hkexnews.hk/listedco/listconews/sehk/2026/0923/2026092300318.pdf)</w:t>
      </w:r>
      <w:r>
        <w:rPr>
          <w:sz w:val="19"/>
        </w:rPr>
        <w:t>，</w:t>
      </w:r>
      <w:r>
        <w:rPr>
          <w:sz w:val="19"/>
        </w:rPr>
        <w:t>9</w:t>
      </w:r>
      <w:r>
        <w:rPr>
          <w:sz w:val="19"/>
        </w:rPr>
        <w:t>月</w:t>
      </w:r>
      <w:r>
        <w:rPr>
          <w:sz w:val="19"/>
        </w:rPr>
        <w:t>23</w:t>
      </w:r>
      <w:r>
        <w:rPr>
          <w:sz w:val="19"/>
        </w:rPr>
        <w:t>日</w:t>
      </w:r>
      <w:r>
        <w:rPr>
          <w:sz w:val="19"/>
        </w:rPr>
        <w:t>16:31</w:t>
      </w:r>
      <w:r>
        <w:rPr>
          <w:sz w:val="19"/>
        </w:rPr>
        <w:t>；具体结果在截止日后首次披露，不纳入本模型。</w:t>
      </w:r>
    </w:p>
    <w:p>
      <w:pPr>
        <w:pStyle w:val="Normal"/>
        <w:rPr/>
      </w:pPr>
      <w:r>
        <w:rPr>
          <w:sz w:val="19"/>
        </w:rPr>
        <w:t>- [MRG003</w:t>
      </w:r>
      <w:r>
        <w:rPr>
          <w:sz w:val="19"/>
        </w:rPr>
        <w:t>关键随机研究</w:t>
      </w:r>
      <w:r>
        <w:rPr>
          <w:sz w:val="19"/>
        </w:rPr>
        <w:t>](https://www1.hkexnews.hk/listedco/listconews/sehk/2025/0601/2025060100117.pdf)</w:t>
      </w:r>
      <w:r>
        <w:rPr>
          <w:sz w:val="19"/>
        </w:rPr>
        <w:t>，</w:t>
      </w:r>
      <w:r>
        <w:rPr>
          <w:sz w:val="19"/>
        </w:rPr>
        <w:t>2025</w:t>
      </w:r>
      <w:r>
        <w:rPr>
          <w:sz w:val="19"/>
        </w:rPr>
        <w:t>年</w:t>
      </w:r>
      <w:r>
        <w:rPr>
          <w:sz w:val="19"/>
        </w:rPr>
        <w:t>6</w:t>
      </w:r>
      <w:r>
        <w:rPr>
          <w:sz w:val="19"/>
        </w:rPr>
        <w:t>月</w:t>
      </w:r>
      <w:r>
        <w:rPr>
          <w:sz w:val="19"/>
        </w:rPr>
        <w:t>1</w:t>
      </w:r>
      <w:r>
        <w:rPr>
          <w:sz w:val="19"/>
        </w:rPr>
        <w:t>日</w:t>
      </w:r>
      <w:r>
        <w:rPr>
          <w:sz w:val="19"/>
        </w:rPr>
        <w:t>18:40</w:t>
      </w:r>
      <w:r>
        <w:rPr>
          <w:sz w:val="19"/>
        </w:rPr>
        <w:t>；</w:t>
      </w:r>
      <w:r>
        <w:rPr>
          <w:sz w:val="19"/>
        </w:rPr>
        <w:t>[</w:t>
      </w:r>
      <w:r>
        <w:rPr>
          <w:sz w:val="19"/>
        </w:rPr>
        <w:t>中国上市批准</w:t>
      </w:r>
      <w:r>
        <w:rPr>
          <w:sz w:val="19"/>
        </w:rPr>
        <w:t>](https://www1.hkexnews.hk/listedco/listconews/sehk/2025/1030/2025103001194.pdf)</w:t>
      </w:r>
      <w:r>
        <w:rPr>
          <w:sz w:val="19"/>
        </w:rPr>
        <w:t>，</w:t>
      </w:r>
      <w:r>
        <w:rPr>
          <w:sz w:val="19"/>
        </w:rPr>
        <w:t>2025</w:t>
      </w:r>
      <w:r>
        <w:rPr>
          <w:sz w:val="19"/>
        </w:rPr>
        <w:t>年</w:t>
      </w:r>
      <w:r>
        <w:rPr>
          <w:sz w:val="19"/>
        </w:rPr>
        <w:t>10</w:t>
      </w:r>
      <w:r>
        <w:rPr>
          <w:sz w:val="19"/>
        </w:rPr>
        <w:t>月</w:t>
      </w:r>
      <w:r>
        <w:rPr>
          <w:sz w:val="19"/>
        </w:rPr>
        <w:t>30</w:t>
      </w:r>
      <w:r>
        <w:rPr>
          <w:sz w:val="19"/>
        </w:rPr>
        <w:t>日</w:t>
      </w:r>
      <w:r>
        <w:rPr>
          <w:sz w:val="19"/>
        </w:rPr>
        <w:t>17:55</w:t>
      </w:r>
      <w:r>
        <w:rPr>
          <w:sz w:val="19"/>
        </w:rPr>
        <w:t>。</w:t>
      </w:r>
    </w:p>
    <w:p>
      <w:pPr>
        <w:pStyle w:val="Normal"/>
        <w:rPr/>
      </w:pPr>
      <w:r>
        <w:rPr>
          <w:sz w:val="19"/>
        </w:rPr>
        <w:t>- [MRG007</w:t>
      </w:r>
      <w:r>
        <w:rPr>
          <w:sz w:val="19"/>
        </w:rPr>
        <w:t>许可</w:t>
      </w:r>
      <w:r>
        <w:rPr>
          <w:sz w:val="19"/>
        </w:rPr>
        <w:t>](https://www1.hkexnews.hk/listedco/listconews/sehk/2025/0122/2025012200037.pdf)</w:t>
      </w:r>
      <w:r>
        <w:rPr>
          <w:sz w:val="19"/>
        </w:rPr>
        <w:t>，</w:t>
      </w:r>
      <w:r>
        <w:rPr>
          <w:sz w:val="19"/>
        </w:rPr>
        <w:t>2025</w:t>
      </w:r>
      <w:r>
        <w:rPr>
          <w:sz w:val="19"/>
        </w:rPr>
        <w:t>年</w:t>
      </w:r>
      <w:r>
        <w:rPr>
          <w:sz w:val="19"/>
        </w:rPr>
        <w:t>1</w:t>
      </w:r>
      <w:r>
        <w:rPr>
          <w:sz w:val="19"/>
        </w:rPr>
        <w:t>月</w:t>
      </w:r>
      <w:r>
        <w:rPr>
          <w:sz w:val="19"/>
        </w:rPr>
        <w:t>22</w:t>
      </w:r>
      <w:r>
        <w:rPr>
          <w:sz w:val="19"/>
        </w:rPr>
        <w:t>日</w:t>
      </w:r>
      <w:r>
        <w:rPr>
          <w:sz w:val="19"/>
        </w:rPr>
        <w:t>08:00</w:t>
      </w:r>
      <w:r>
        <w:rPr>
          <w:sz w:val="19"/>
        </w:rPr>
        <w:t>；</w:t>
      </w:r>
      <w:r>
        <w:rPr>
          <w:sz w:val="19"/>
        </w:rPr>
        <w:t>[2025</w:t>
      </w:r>
      <w:r>
        <w:rPr>
          <w:sz w:val="19"/>
        </w:rPr>
        <w:t>配售完成</w:t>
      </w:r>
      <w:r>
        <w:rPr>
          <w:sz w:val="19"/>
        </w:rPr>
        <w:t>](https://www1.hkexnews.hk/listedco/listconews/sehk/2025/0711/2025071100255.pdf)</w:t>
      </w:r>
      <w:r>
        <w:rPr>
          <w:sz w:val="19"/>
        </w:rPr>
        <w:t>，</w:t>
      </w:r>
      <w:r>
        <w:rPr>
          <w:sz w:val="19"/>
        </w:rPr>
        <w:t>7</w:t>
      </w:r>
      <w:r>
        <w:rPr>
          <w:sz w:val="19"/>
        </w:rPr>
        <w:t>月</w:t>
      </w:r>
      <w:r>
        <w:rPr>
          <w:sz w:val="19"/>
        </w:rPr>
        <w:t>11</w:t>
      </w:r>
      <w:r>
        <w:rPr>
          <w:sz w:val="19"/>
        </w:rPr>
        <w:t>日</w:t>
      </w:r>
      <w:r>
        <w:rPr>
          <w:sz w:val="19"/>
        </w:rPr>
        <w:t>16:30</w:t>
      </w:r>
      <w:r>
        <w:rPr>
          <w:sz w:val="19"/>
        </w:rPr>
        <w:t>。</w:t>
      </w:r>
    </w:p>
    <w:p>
      <w:pPr>
        <w:pStyle w:val="Normal"/>
        <w:rPr/>
      </w:pPr>
      <w:r>
        <w:rPr/>
        <w:t>- [</w:t>
      </w:r>
      <w:r>
        <w:rPr/>
        <w:t>旧摩根士丹利目标表新闻</w:t>
      </w:r>
      <w:r>
        <w:rPr/>
        <w:t>](https://www.aastocks.com/tc/stocks/analysis/stock-aafn-con/02157/AAFN/NOW.1348052/research-report)</w:t>
      </w:r>
      <w:r>
        <w:rPr/>
        <w:t>，</w:t>
      </w:r>
      <w:r>
        <w:rPr/>
        <w:t>2024</w:t>
      </w:r>
      <w:r>
        <w:rPr/>
        <w:t>年</w:t>
      </w:r>
      <w:r>
        <w:rPr/>
        <w:t>5</w:t>
      </w:r>
      <w:r>
        <w:rPr/>
        <w:t>月</w:t>
      </w:r>
      <w:r>
        <w:rPr/>
        <w:t>8</w:t>
      </w:r>
      <w:r>
        <w:rPr/>
        <w:t>日</w:t>
      </w:r>
      <w:r>
        <w:rPr/>
        <w:t>10:21</w:t>
      </w:r>
      <w:r>
        <w:rPr/>
        <w:t>，仅历史记录。</w:t>
      </w:r>
      <w:r>
        <w:rPr/>
        <w:t>2026</w:t>
      </w:r>
      <w:r>
        <w:rPr/>
        <w:t>年野村对康方目标、消费行业误链接均排除。</w:t>
      </w:r>
    </w:p>
    <w:p>
      <w:pPr>
        <w:pStyle w:val="Normal"/>
        <w:rPr/>
      </w:pPr>
      <w:r>
        <w:rPr/>
        <w:t xml:space="preserve">- </w:t>
      </w:r>
      <w:r>
        <w:rPr/>
        <w:t>行情以锁定的腾讯、新浪、</w:t>
      </w:r>
      <w:r>
        <w:rPr/>
        <w:t>Yahoo</w:t>
      </w:r>
      <w:r>
        <w:rPr/>
        <w:t>及腾讯复权日线交叉核验；</w:t>
      </w:r>
      <w:r>
        <w:rPr/>
        <w:t>739</w:t>
      </w:r>
      <w:r>
        <w:rPr/>
        <w:t>日线、</w:t>
      </w:r>
      <w:r>
        <w:rPr/>
        <w:t>157</w:t>
      </w:r>
      <w:r>
        <w:rPr/>
        <w:t>周线。独立经营与情景核验</w:t>
      </w:r>
      <w:r>
        <w:rPr/>
        <w:t>10418</w:t>
      </w:r>
      <w:r>
        <w:rPr/>
        <w:t>项，</w:t>
      </w:r>
      <w:r>
        <w:rPr/>
        <w:t>Excel</w:t>
      </w:r>
      <w:r>
        <w:rPr/>
        <w:t>独立桥</w:t>
      </w:r>
      <w:r>
        <w:rPr/>
        <w:t>2248</w:t>
      </w:r>
      <w:r>
        <w:rPr/>
        <w:t>项及</w:t>
      </w:r>
      <w:r>
        <w:rPr/>
        <w:t>20</w:t>
      </w:r>
      <w:r>
        <w:rPr/>
        <w:t>原子输入改动测试；最终日期、全文字数、重复段落与总表一致性另由整卷验收记录。</w:t>
      </w:r>
      <w:r>
        <w:br w:type="page"/>
      </w:r>
    </w:p>
    <w:p>
      <w:pPr>
        <w:pStyle w:val="Heading1"/>
        <w:spacing w:before="0" w:after="0"/>
        <w:rPr/>
      </w:pPr>
      <w:bookmarkStart w:id="5" w:name="__RefHeading___Toc59285_1364803659"/>
      <w:bookmarkEnd w:id="5"/>
      <w:r>
        <w:rPr>
          <w:color w:val="000000"/>
        </w:rPr>
        <w:t xml:space="preserve">蔚来 </w:t>
      </w:r>
      <w:r>
        <w:rPr>
          <w:color w:val="000000"/>
        </w:rPr>
        <w:t>SW 09866 HK</w:t>
      </w:r>
    </w:p>
    <w:p>
      <w:pPr>
        <w:pStyle w:val="Normal"/>
        <w:rPr/>
      </w:pPr>
      <w:r>
        <w:rPr/>
        <w:t xml:space="preserve">09866.HK </w:t>
      </w:r>
      <w:r>
        <w:rPr/>
        <w:t xml:space="preserve">现价 </w:t>
      </w:r>
      <w:r>
        <w:rPr/>
        <w:t>27.10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34.17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+26.09%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+26.09%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40.21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+48.38%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+48.38%</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55.07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+103.21%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+104.32%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55.68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+105.46%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+110.26%</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-85.94%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29.99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+10.66%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60.70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+123.99%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31.12HKD</w:t>
      </w:r>
      <w:r>
        <w:rPr/>
        <w:t>，期望股价回报</w:t>
      </w:r>
      <w:r>
        <w:rPr/>
        <w:t>+14.84%</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34.17</w:t>
              <w:br/>
              <w:t>+26.09%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79.50</w:t>
              <w:br/>
              <w:t>+193.36%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40.21</w:t>
              <w:br/>
              <w:t>+48.38%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100.40</w:t>
              <w:br/>
              <w:t>+270.48%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55.07</w:t>
              <w:br/>
              <w:t>+103.21%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131.53</w:t>
              <w:br/>
              <w:t>+385.35%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+26.89%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55.68</w:t>
              <w:br/>
              <w:t>+105.46%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156.64</w:t>
              <w:br/>
              <w:t>+478.01%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+16.02%</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+19.78%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+32.39%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+40.96%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+48.38%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+55.80%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+94.10%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+104.32%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+114.53%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+99.75%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+110.26%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+120.77%</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I088</w:t>
      </w:r>
      <w:r>
        <w:rPr/>
        <w:t>，证券</w:t>
      </w:r>
      <w:r>
        <w:rPr/>
        <w:t>S099</w:t>
      </w:r>
      <w:r>
        <w:rPr/>
        <w:t>，</w:t>
      </w:r>
      <w:r>
        <w:rPr/>
        <w:t>09866.HK</w:t>
      </w:r>
      <w:r>
        <w:rPr/>
        <w:t>，价格基准</w:t>
      </w:r>
      <w:r>
        <w:rPr/>
        <w:t>2026</w:t>
      </w:r>
      <w:r>
        <w:rPr/>
        <w:t>年</w:t>
      </w:r>
      <w:r>
        <w:rPr/>
        <w:t>10</w:t>
      </w:r>
      <w:r>
        <w:rPr/>
        <w:t>月</w:t>
      </w:r>
      <w:r>
        <w:rPr/>
        <w:t>9</w:t>
      </w:r>
      <w:r>
        <w:rPr/>
        <w:t>日</w:t>
      </w:r>
      <w:r>
        <w:rPr/>
        <w:t>27.10</w:t>
      </w:r>
      <w:r>
        <w:rPr/>
        <w:t>港元。资料截至同日。模型</w:t>
      </w:r>
      <w:r>
        <w:rPr/>
        <w:t>nio-fullcost-group-EVsales-mezzanine-ordinaryminority-capital-v1.1</w:t>
      </w:r>
      <w:r>
        <w:rPr/>
        <w:t>。季度美国准则原件优先，集团净利润、普通股归属利润、经调整结果分别呈现。九月法定总股、六月融资租明细、上半年完整现金流未取得；使用明示研究准备，不填造历史实际。</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基准累计股息港元</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r>
              <w:rPr>
                <w:rFonts w:eastAsia="微软雅黑" w:ascii="微软雅黑" w:hAnsi="微软雅黑"/>
                <w:sz w:val="17"/>
              </w:rPr>
              <w:t>2026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专项</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3.81</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29.99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34.17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40.21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55.07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131.53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55.68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156.64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w:t>
            </w:r>
          </w:p>
        </w:tc>
      </w:tr>
    </w:tbl>
    <w:p>
      <w:pPr>
        <w:pStyle w:val="Normal"/>
        <w:rPr/>
      </w:pPr>
      <w:r>
        <w:rPr/>
      </w:r>
    </w:p>
    <w:p>
      <w:pPr>
        <w:pStyle w:val="Normal"/>
        <w:rPr/>
      </w:pPr>
      <w:r>
        <w:rPr/>
        <w:t>一年名义目标</w:t>
      </w:r>
      <w:r>
        <w:rPr/>
        <w:t>10/9</w:t>
      </w:r>
      <w:r>
        <w:rPr/>
        <w:t>，香港假期及周末向前取</w:t>
      </w:r>
      <w:r>
        <w:rPr/>
        <w:t>10/7</w:t>
      </w:r>
      <w:r>
        <w:rPr/>
        <w:t>。远期日历公布后核验。最终梯队以四榜比较为准。蔚来为进取观察标的，三年成长逻辑较半年量价更强。主要风险：利润薄、费用与补能资本、受限资金、供应融资、夹层赎回及少数权益、</w:t>
      </w:r>
      <w:r>
        <w:rPr/>
        <w:t>CEO</w:t>
      </w:r>
      <w:r>
        <w:rPr/>
        <w:t>条件奖股。条件：高毛利车型维持规模，其他业务有正常现金贡献，完整费用下盈利稳定，资本交易和融资款不重复计算。</w:t>
      </w:r>
    </w:p>
    <w:p>
      <w:pPr>
        <w:pStyle w:val="Normal"/>
        <w:rPr/>
      </w:pPr>
      <w:r>
        <w:rPr/>
        <w:t>年底</w:t>
      </w:r>
      <w:r>
        <w:rPr/>
        <w:t>25%/50%/25%</w:t>
      </w:r>
      <w:r>
        <w:rPr/>
        <w:t>判断权重期望</w:t>
      </w:r>
      <w:r>
        <w:rPr/>
        <w:t>31.1225</w:t>
      </w:r>
      <w:r>
        <w:rPr/>
        <w:t>港元，期望回报约</w:t>
      </w:r>
      <w:r>
        <w:rPr/>
        <w:t>14.84%</w:t>
      </w:r>
      <w:r>
        <w:rPr/>
        <w:t>；防御</w:t>
      </w:r>
      <w:r>
        <w:rPr/>
        <w:t>40%/50%/10%</w:t>
      </w:r>
      <w:r>
        <w:rPr/>
        <w:t>期望</w:t>
      </w:r>
      <w:r>
        <w:rPr/>
        <w:t>22.589</w:t>
      </w:r>
      <w:r>
        <w:rPr/>
        <w:t>，约−</w:t>
      </w:r>
      <w:r>
        <w:rPr/>
        <w:t>16.65%</w:t>
      </w:r>
      <w:r>
        <w:rPr/>
        <w:t>；积极</w:t>
      </w:r>
      <w:r>
        <w:rPr/>
        <w:t>10%/50%/40%</w:t>
      </w:r>
      <w:r>
        <w:rPr/>
        <w:t>期望</w:t>
      </w:r>
      <w:r>
        <w:rPr/>
        <w:t>39.656</w:t>
      </w:r>
      <w:r>
        <w:rPr/>
        <w:t>，约</w:t>
      </w:r>
      <w:r>
        <w:rPr/>
        <w:t>46.33%</w:t>
      </w:r>
      <w:r>
        <w:rPr/>
        <w:t>。这是假设敏感性，非统计概率或损失界限。压力情景普通股权益截零不代表预测必然破产。</w:t>
      </w:r>
    </w:p>
    <w:p>
      <w:pPr>
        <w:pStyle w:val="Heading2"/>
        <w:rPr/>
      </w:pPr>
      <w:r>
        <w:rPr>
          <w:color w:val="000000"/>
        </w:rPr>
        <w:t>一 投资判断需要区分产品 利润和普通股</w:t>
      </w:r>
    </w:p>
    <w:p>
      <w:pPr>
        <w:pStyle w:val="Normal"/>
        <w:rPr/>
      </w:pPr>
      <w:r>
        <w:rPr/>
        <w:t>蔚来的产品表现与普通股收益之间存在几层中介。产品交付改善可以增加毛利，但销售体系、研发、补能网络和服务承诺需要费用及资本。集团盈利改善之后，还需满足借款、融资租、可赎回投资者和少数股东权利。最后的每股价值取决于股份数量及持续激励。若把高端车型成功、换电融资估值和经调整盈利直接叠加，会高估普通股所得。本章把这些项目按财报桥和资本桥连接，而不把任意一个经营亮点当成完整投资结论。</w:t>
      </w:r>
    </w:p>
    <w:p>
      <w:pPr>
        <w:pStyle w:val="Normal"/>
        <w:rPr/>
      </w:pPr>
      <w:r>
        <w:rPr/>
        <w:t>截至基准日，</w:t>
      </w:r>
      <w:r>
        <w:rPr/>
        <w:t>27.10</w:t>
      </w:r>
      <w:r>
        <w:rPr/>
        <w:t>港元处在一年较低价格区间，给进取投资者提供估值修复可能。但是低股价与低风险不能画等号。公司上半年经营亏损已显著收窄，汽车毛利提高，确有比此前更好的经营基础；永久股东权益仍薄，现金包含受限项目，资本结构复杂。研究给三年较高于半年的得分，是承认经营转型的潜力，同时因技术下降和资本义务限制信心。模型基准上涨空间明显，而悲观权益可能耗尽，两者需要同页呈现。</w:t>
      </w:r>
    </w:p>
    <w:p>
      <w:pPr>
        <w:pStyle w:val="Normal"/>
        <w:rPr/>
      </w:pPr>
      <w:r>
        <w:rPr/>
        <w:t>公司已经不只是单一高端品牌。蔚来、乐道和萤火虫覆盖不同价位及用户需求，可以共享研发和补能体系，也会产生组织、渠道和品牌冲突。高价品牌贡献毛利，较低价产品提供规模，但不能假设所有品牌单位盈利一样。研究按集团汽车净收入均价与毛利率建模，再解释车型结构驱动，不在缺少分品牌财务时制造精确盈利。只有实际交付、收入和成本证据能够提高模型可信度，管理层的品牌定位本身不够。</w:t>
      </w:r>
    </w:p>
    <w:p>
      <w:pPr>
        <w:pStyle w:val="Normal"/>
        <w:rPr/>
      </w:pPr>
      <w:r>
        <w:rPr/>
        <w:t>本章主估值是集团经营销售倍数与完整利润及资本约束共同检视。换电和芯片业务已经在集团经营范围，不再把它们融资投后估值另加一次。换电普通少数与芯片激励权益的扣减是利益归属准备，并不是增加独立业务价值。集团可赎回权益按公开整体夹层锚计算未来增值及额外索偿敏感性。这个框架有数据限制，但清楚显示哪些未来假设影响普通股；相比一个未经核验的行情市盈率，它更能说明目前阶段。</w:t>
      </w:r>
    </w:p>
    <w:p>
      <w:pPr>
        <w:pStyle w:val="Heading2"/>
        <w:rPr/>
      </w:pPr>
      <w:r>
        <w:rPr>
          <w:color w:val="000000"/>
        </w:rPr>
        <w:t>二 三品牌产品和收入结构</w:t>
      </w:r>
    </w:p>
    <w:p>
      <w:pPr>
        <w:pStyle w:val="Normal"/>
        <w:rPr/>
      </w:pPr>
      <w:r>
        <w:rPr/>
        <w:t>第二季交付</w:t>
      </w:r>
      <w:r>
        <w:rPr/>
        <w:t>107658</w:t>
      </w:r>
      <w:r>
        <w:rPr/>
        <w:t>辆，其中蔚来</w:t>
      </w:r>
      <w:r>
        <w:rPr/>
        <w:t>60945</w:t>
      </w:r>
      <w:r>
        <w:rPr/>
        <w:t>辆、乐道</w:t>
      </w:r>
      <w:r>
        <w:rPr/>
        <w:t>29124</w:t>
      </w:r>
      <w:r>
        <w:rPr/>
        <w:t>辆、萤火虫</w:t>
      </w:r>
      <w:r>
        <w:rPr/>
        <w:t>17589</w:t>
      </w:r>
      <w:r>
        <w:rPr/>
        <w:t>辆，分别贡献约五成七、两成七和一成六实物交付。公司称三品牌销量和平均交易价格均改善，财报汽车收入</w:t>
      </w:r>
      <w:r>
        <w:rPr/>
        <w:t>290.58229</w:t>
      </w:r>
      <w:r>
        <w:rPr/>
        <w:t>亿元，除交付约每辆</w:t>
      </w:r>
      <w:r>
        <w:rPr/>
        <w:t>26.99</w:t>
      </w:r>
      <w:r>
        <w:rPr/>
        <w:t>万元。这个比率是财务净收入与实物数的合计关系，受电池、服务分配、税与确认时间影响，不是所有车主同价成交。它可以用于集团收入敏感性，却不能替代分车型指导价或精确利润。</w:t>
      </w:r>
    </w:p>
    <w:p>
      <w:pPr>
        <w:pStyle w:val="Normal"/>
        <w:rPr/>
      </w:pPr>
      <w:r>
        <w:rPr/>
        <w:t>2026</w:t>
      </w:r>
      <w:r>
        <w:rPr/>
        <w:t>年上半年交付</w:t>
      </w:r>
      <w:r>
        <w:rPr/>
        <w:t>191123</w:t>
      </w:r>
      <w:r>
        <w:rPr/>
        <w:t>辆，汽车收入</w:t>
      </w:r>
      <w:r>
        <w:rPr/>
        <w:t>518.41937</w:t>
      </w:r>
      <w:r>
        <w:rPr/>
        <w:t>亿元，其他收入</w:t>
      </w:r>
      <w:r>
        <w:rPr/>
        <w:t>58.27579</w:t>
      </w:r>
      <w:r>
        <w:rPr/>
        <w:t>亿元，总收入</w:t>
      </w:r>
      <w:r>
        <w:rPr/>
        <w:t>576.69516</w:t>
      </w:r>
      <w:r>
        <w:rPr/>
        <w:t>亿元。同比增长显著，第二季总收入增长百分之六十九点一，汽车收入增长百分之八十点一，高于交付增长百分之四十九点四，说明结构改善对收入很重要。比较小鹏和理想时，需要用同一税及服务分配口径，不能拿某车型挂牌价直接与集团财务均价比高低。公司能否保持高端车型组合，是从规模复苏转向利润持续的关键。</w:t>
      </w:r>
    </w:p>
    <w:p>
      <w:pPr>
        <w:pStyle w:val="Normal"/>
        <w:rPr/>
      </w:pPr>
      <w:r>
        <w:rPr/>
        <w:t>截至九月交付公告，第三季</w:t>
      </w:r>
      <w:r>
        <w:rPr/>
        <w:t>109178</w:t>
      </w:r>
      <w:r>
        <w:rPr/>
        <w:t>辆，同比增长百分之二十五点四，在此前</w:t>
      </w:r>
      <w:r>
        <w:rPr/>
        <w:t>108000</w:t>
      </w:r>
      <w:r>
        <w:rPr/>
        <w:t>至</w:t>
      </w:r>
      <w:r>
        <w:rPr/>
        <w:t>111000</w:t>
      </w:r>
      <w:r>
        <w:rPr/>
        <w:t>指引内。七月</w:t>
      </w:r>
      <w:r>
        <w:rPr/>
        <w:t>35934</w:t>
      </w:r>
      <w:r>
        <w:rPr/>
        <w:t>、八月</w:t>
      </w:r>
      <w:r>
        <w:rPr/>
        <w:t>35836</w:t>
      </w:r>
      <w:r>
        <w:rPr/>
        <w:t>、九月</w:t>
      </w:r>
      <w:r>
        <w:rPr/>
        <w:t>37408</w:t>
      </w:r>
      <w:r>
        <w:rPr/>
        <w:t>，三月合计实际兑现预期，年初至九月</w:t>
      </w:r>
      <w:r>
        <w:rPr/>
        <w:t>300301</w:t>
      </w:r>
      <w:r>
        <w:rPr/>
        <w:t>辆。第三季实物与第二季接近，增长斜率放缓，收入能否继续提高更依赖净价和产品组合。第三季收入指引</w:t>
      </w:r>
      <w:r>
        <w:rPr/>
        <w:t>332.93</w:t>
      </w:r>
      <w:r>
        <w:rPr/>
        <w:t>至</w:t>
      </w:r>
      <w:r>
        <w:rPr/>
        <w:t>340.52</w:t>
      </w:r>
      <w:r>
        <w:rPr/>
        <w:t>亿元仍是指引，实际季度毛利、费用与现金流截至日没有披露，不能把指引当审计实绩。</w:t>
      </w:r>
    </w:p>
    <w:p>
      <w:pPr>
        <w:pStyle w:val="Normal"/>
        <w:rPr/>
      </w:pPr>
      <w:r>
        <w:rPr/>
        <w:t>九月蔚来品牌</w:t>
      </w:r>
      <w:r>
        <w:rPr/>
        <w:t>21318</w:t>
      </w:r>
      <w:r>
        <w:rPr/>
        <w:t>辆、乐道</w:t>
      </w:r>
      <w:r>
        <w:rPr/>
        <w:t>8763</w:t>
      </w:r>
      <w:r>
        <w:rPr/>
        <w:t>辆、萤火虫</w:t>
      </w:r>
      <w:r>
        <w:rPr/>
        <w:t>7327</w:t>
      </w:r>
      <w:r>
        <w:rPr/>
        <w:t>辆，月度组合和第二季平均不完全一样。高端旗舰产品交付表现强，但较低价品牌增长节奏会影响总毛利及供应需求。</w:t>
      </w:r>
      <w:r>
        <w:rPr/>
        <w:t>ES8</w:t>
      </w:r>
      <w:r>
        <w:rPr/>
        <w:t>与</w:t>
      </w:r>
      <w:r>
        <w:rPr/>
        <w:t>ES9</w:t>
      </w:r>
      <w:r>
        <w:rPr/>
        <w:t>里程碑属于真实交付公告，可以说明市场接受度；公告中某价格区间销量排名是公司主张，应保留出处，不自行扩大为全部豪华车长期优势。产品成功需要经历订单、交付、质量、二手残值和用户复购多个阶段，才能支持较长估值周期。</w:t>
      </w:r>
    </w:p>
    <w:p>
      <w:pPr>
        <w:pStyle w:val="Normal"/>
        <w:rPr/>
      </w:pPr>
      <w:r>
        <w:rPr/>
        <w:t>乐道与萤火虫的规模价值在于扩大技术与补能网络使用人群，但更便宜车型也可能需要更低单位成本。如果新品牌销量提高却拉低集团均价，不一定是坏事，关键看新增毛利是否大于渠道、研发和保修现金。模型一年基准</w:t>
      </w:r>
      <w:r>
        <w:rPr/>
        <w:t>60</w:t>
      </w:r>
      <w:r>
        <w:rPr/>
        <w:t>万辆和</w:t>
      </w:r>
      <w:r>
        <w:rPr/>
        <w:t>27.5</w:t>
      </w:r>
      <w:r>
        <w:rPr/>
        <w:t>万元财务净均价，意味着高端组合仍强，同时新品牌带来规模。该均价较低价品牌售价高，需要高端收入占比支持，不能同时假设低价品牌占大多数又保留高均价。以后分品牌收入可得时应拆细。</w:t>
      </w:r>
    </w:p>
    <w:p>
      <w:pPr>
        <w:pStyle w:val="Normal"/>
        <w:rPr/>
      </w:pPr>
      <w:r>
        <w:rPr/>
        <w:t>三品牌可能形成分层，但消费者也可能等待新款和跨品牌降价。若同集团产品重叠，渠道营销支出会增加，而高端客户对品牌稀缺性的预期可能下降。技术共享有助降开发成本，却必须保持不同品牌的真实体验和定位。研发节省如果仅来自减少新产品投入，未来竞争力也可能受损。投资者应关注平台复用带来的成本下降，而不是把品牌数量当市场空间简单相加。长期成长来自每个品牌的可持续单位贡献和集团组织效率。</w:t>
      </w:r>
    </w:p>
    <w:p>
      <w:pPr>
        <w:pStyle w:val="Heading2"/>
        <w:rPr/>
      </w:pPr>
      <w:r>
        <w:rPr>
          <w:color w:val="000000"/>
        </w:rPr>
        <w:t>三 汽车毛利改善为何仍未形成厚利润</w:t>
      </w:r>
    </w:p>
    <w:p>
      <w:pPr>
        <w:pStyle w:val="Normal"/>
        <w:rPr/>
      </w:pPr>
      <w:r>
        <w:rPr/>
        <w:t>第二季汽车毛利率百分之十八点五，去年同期十点三，第一季十八点八。综合毛利十八点四，第一季十九点零。汽车毛利提高是目前经营改善的强证据，比仅增长销量更有价值。第二季汽车收入减汽车成本，毛利</w:t>
      </w:r>
      <w:r>
        <w:rPr/>
        <w:t>53.84270</w:t>
      </w:r>
      <w:r>
        <w:rPr/>
        <w:t>亿元；其他毛利约</w:t>
      </w:r>
      <w:r>
        <w:rPr/>
        <w:t>5.22220</w:t>
      </w:r>
      <w:r>
        <w:rPr/>
        <w:t>亿元，总毛利</w:t>
      </w:r>
      <w:r>
        <w:rPr/>
        <w:t>59.06490</w:t>
      </w:r>
      <w:r>
        <w:rPr/>
        <w:t>亿元。汽车仍是主体，其他业务贡献有限。若成本上升或车型结构变化使汽车毛利下降几个百分点，利润缓冲可能迅速消失，因为完整费用仍高。</w:t>
      </w:r>
    </w:p>
    <w:p>
      <w:pPr>
        <w:pStyle w:val="Normal"/>
        <w:rPr/>
      </w:pPr>
      <w:r>
        <w:rPr/>
        <w:t>第二季研发</w:t>
      </w:r>
      <w:r>
        <w:rPr/>
        <w:t>21.44918</w:t>
      </w:r>
      <w:r>
        <w:rPr/>
        <w:t>亿元，销售行政</w:t>
      </w:r>
      <w:r>
        <w:rPr/>
        <w:t>44.24516</w:t>
      </w:r>
      <w:r>
        <w:rPr/>
        <w:t>亿元，其他经营收入</w:t>
      </w:r>
      <w:r>
        <w:rPr/>
        <w:t>3.15725</w:t>
      </w:r>
      <w:r>
        <w:rPr/>
        <w:t>亿元，经营亏损</w:t>
      </w:r>
      <w:r>
        <w:rPr/>
        <w:t>3.47219</w:t>
      </w:r>
      <w:r>
        <w:rPr/>
        <w:t>亿元。毛利虽然接近覆盖费用，仍依赖其他经营收入减轻缺口。研发同比下降而销售行政增长，显示效率改善并不均匀。渠道营销、新车推出和员工成本增加会抵消产品毛利。模型不假设研发永远下降，未来更多车型和芯片投入仍会使研发增加。稳定经营盈利需要销量及毛利增量持续超过完整费用，而非某季费用恰逢低点。</w:t>
      </w:r>
    </w:p>
    <w:p>
      <w:pPr>
        <w:pStyle w:val="Normal"/>
        <w:rPr/>
      </w:pPr>
      <w:r>
        <w:rPr/>
        <w:t>上半年毛利</w:t>
      </w:r>
      <w:r>
        <w:rPr/>
        <w:t>107.65627</w:t>
      </w:r>
      <w:r>
        <w:rPr/>
        <w:t>亿元，完整研发</w:t>
      </w:r>
      <w:r>
        <w:rPr/>
        <w:t>40.29942</w:t>
      </w:r>
      <w:r>
        <w:rPr/>
        <w:t>亿元，销售行政</w:t>
      </w:r>
      <w:r>
        <w:rPr/>
        <w:t>79.21822</w:t>
      </w:r>
      <w:r>
        <w:rPr/>
        <w:t>亿元，其他经营收入</w:t>
      </w:r>
      <w:r>
        <w:rPr/>
        <w:t>5.30107</w:t>
      </w:r>
      <w:r>
        <w:rPr/>
        <w:t>亿元，经营亏损</w:t>
      </w:r>
      <w:r>
        <w:rPr/>
        <w:t>6.56030</w:t>
      </w:r>
      <w:r>
        <w:rPr/>
        <w:t>亿元。若不借助其他经营收入，毛利与研发销售行政相差约</w:t>
      </w:r>
      <w:r>
        <w:rPr/>
        <w:t>11.86137</w:t>
      </w:r>
      <w:r>
        <w:rPr/>
        <w:t>亿元。公司显著接近盈亏平衡，但这仍不是可以随意分红的利润。竞争激烈的行业会不断要求产品和价格调整，薄利润不能只用一年低销售倍数证明下行有限。估值应考虑改善能否抵抗原材料、促销和售后波动。</w:t>
      </w:r>
    </w:p>
    <w:p>
      <w:pPr>
        <w:pStyle w:val="Normal"/>
        <w:rPr/>
      </w:pPr>
      <w:r>
        <w:rPr/>
        <w:t>2025</w:t>
      </w:r>
      <w:r>
        <w:rPr/>
        <w:t>年总收入</w:t>
      </w:r>
      <w:r>
        <w:rPr/>
        <w:t>874.87510</w:t>
      </w:r>
      <w:r>
        <w:rPr/>
        <w:t>亿元，毛利</w:t>
      </w:r>
      <w:r>
        <w:rPr/>
        <w:t>119.15705</w:t>
      </w:r>
      <w:r>
        <w:rPr/>
        <w:t>亿元，研发</w:t>
      </w:r>
      <w:r>
        <w:rPr/>
        <w:t>106.04993</w:t>
      </w:r>
      <w:r>
        <w:rPr/>
        <w:t>亿元，销售行政</w:t>
      </w:r>
      <w:r>
        <w:rPr/>
        <w:t>160.87747</w:t>
      </w:r>
      <w:r>
        <w:rPr/>
        <w:t>亿元，经营亏损</w:t>
      </w:r>
      <w:r>
        <w:rPr/>
        <w:t>140.41238</w:t>
      </w:r>
      <w:r>
        <w:rPr/>
        <w:t>亿元。相比这一背景，上半年经营改善幅度很大，说明产品组合、费用优化和规模已经起作用。但过去深亏意味着资产、网络和品牌投入需要长期利润回收，不能仅用最近一季盈利附近表现抹去此前资本消耗。研究三年逻辑强调持续盈利，只有正常经营现金累积才能证明扩张资金变成股东回报。</w:t>
      </w:r>
    </w:p>
    <w:p>
      <w:pPr>
        <w:pStyle w:val="Normal"/>
        <w:rPr/>
      </w:pPr>
      <w:r>
        <w:rPr/>
        <w:t>汽车毛利的反证可以比收入更早出现。若新车订单依赖促销、价格折让和用户权益，财务净收入会先受压，成本可能无法同比降下去。若高端旗舰进入成熟期，较低价产品放量造成组合变化，综合毛利也可能下降。模型悲观汽车毛利从百分之十四逐步降到九，体现长期结构与竞争失利；乐观从二十点五升到二十四需要成本效率与高端价值同时维持。这样的情景不是机械市场涨跌，而是经营路径改变后的每股结果。</w:t>
      </w:r>
    </w:p>
    <w:p>
      <w:pPr>
        <w:pStyle w:val="Heading2"/>
        <w:rPr/>
      </w:pPr>
      <w:r>
        <w:rPr>
          <w:color w:val="000000"/>
        </w:rPr>
        <w:t>四 四种利润数字和夹层增值</w:t>
      </w:r>
    </w:p>
    <w:p>
      <w:pPr>
        <w:pStyle w:val="Normal"/>
        <w:rPr/>
      </w:pPr>
      <w:r>
        <w:rPr/>
        <w:t>第二季集团净亏损</w:t>
      </w:r>
      <w:r>
        <w:rPr/>
        <w:t>5.28009</w:t>
      </w:r>
      <w:r>
        <w:rPr/>
        <w:t>亿元，普通股归属亏损</w:t>
      </w:r>
      <w:r>
        <w:rPr/>
        <w:t>7.21591</w:t>
      </w:r>
      <w:r>
        <w:rPr/>
        <w:t>亿元，二者同时正确。集团净亏后还扣除可赎回非控制权益增值</w:t>
      </w:r>
      <w:r>
        <w:rPr/>
        <w:t>1.92325</w:t>
      </w:r>
      <w:r>
        <w:rPr/>
        <w:t>亿元，并扣少数股东盈利</w:t>
      </w:r>
      <w:r>
        <w:rPr/>
        <w:t>0.01257</w:t>
      </w:r>
      <w:r>
        <w:rPr/>
        <w:t>亿元，才得到普通股亏损。公开新闻出现约五点三或七点二二，不必立刻解释为新闻矛盾，先辨认归属。投资者持有上市普通股，应特别看最终归属口径；产品或集团经营分析可以看集团结果，但不能在估值时混用较有利的数字。</w:t>
      </w:r>
    </w:p>
    <w:p>
      <w:pPr>
        <w:pStyle w:val="Normal"/>
        <w:rPr/>
      </w:pPr>
      <w:r>
        <w:rPr/>
        <w:t>第二季经调整集团净利润</w:t>
      </w:r>
      <w:r>
        <w:rPr/>
        <w:t>0.26085</w:t>
      </w:r>
      <w:r>
        <w:rPr/>
        <w:t>亿元，与净亏相差主要来自股酬</w:t>
      </w:r>
      <w:r>
        <w:rPr/>
        <w:t>5.54094</w:t>
      </w:r>
      <w:r>
        <w:rPr/>
        <w:t>亿元。这个盈利很薄，远小于收入和集团资本规模，不能把“经调整转盈”当成熟盈利公司。经调整经营盈利</w:t>
      </w:r>
      <w:r>
        <w:rPr/>
        <w:t>2.06875</w:t>
      </w:r>
      <w:r>
        <w:rPr/>
        <w:t>亿元也来自经营亏损加回股酬。股份支付虽短期非现金，却意味着人员对普通股价值的索取；长期模型完整计成本并单独设新增股份。否则一边剔除股酬让利润变厚，一边不增加股数，会两次高估每股价值。</w:t>
      </w:r>
    </w:p>
    <w:p>
      <w:pPr>
        <w:pStyle w:val="Normal"/>
        <w:rPr/>
      </w:pPr>
      <w:r>
        <w:rPr/>
        <w:t>上半年集团净亏</w:t>
      </w:r>
      <w:r>
        <w:rPr/>
        <w:t>8.60091</w:t>
      </w:r>
      <w:r>
        <w:rPr/>
        <w:t>亿元，夹层增值</w:t>
      </w:r>
      <w:r>
        <w:rPr/>
        <w:t>3.57312</w:t>
      </w:r>
      <w:r>
        <w:rPr/>
        <w:t>亿元，少数盈利</w:t>
      </w:r>
      <w:r>
        <w:rPr/>
        <w:t>0.00196</w:t>
      </w:r>
      <w:r>
        <w:rPr/>
        <w:t>亿元，普通股亏</w:t>
      </w:r>
      <w:r>
        <w:rPr/>
        <w:t>12.17599</w:t>
      </w:r>
      <w:r>
        <w:rPr/>
        <w:t>亿元。集团经调整净利润</w:t>
      </w:r>
      <w:r>
        <w:rPr/>
        <w:t>0.69601</w:t>
      </w:r>
      <w:r>
        <w:rPr/>
        <w:t>亿元，来自加回</w:t>
      </w:r>
      <w:r>
        <w:rPr/>
        <w:t>9.29692</w:t>
      </w:r>
      <w:r>
        <w:rPr/>
        <w:t>亿元股酬。第一季与第二季各项可以准确加总，为本章历史财务校验依据。模型未来列正常经营集团利润、年度夹层增值、普通少数利润及普通股经营结果，名称明确。它不是精确预测完整美国准则每股净利，因为利息、投资、汇兑和其他非经营事项另有波动。</w:t>
      </w:r>
    </w:p>
    <w:p>
      <w:pPr>
        <w:pStyle w:val="Normal"/>
        <w:rPr/>
      </w:pPr>
      <w:r>
        <w:rPr/>
        <w:t>夹层增值是普通股长期经济成本，但并非每年相同的银行现金付息。资本模型从已确认可赎回权益本金滚增至目标期，最终扣其索偿；现金年率从集团正常经营利润开始，不再次扣非现金增值。每股利润桥保留年度增值，提醒普通股盈利比集团盈利低。这样可以避免在现金和资本两处重复把同一期增值当现金流走。若实际赎回发生，须记录现金和夹层减少并重新桥接，而不是继续保留全额负债再扣赎回款。</w:t>
      </w:r>
    </w:p>
    <w:p>
      <w:pPr>
        <w:pStyle w:val="Normal"/>
        <w:rPr/>
      </w:pPr>
      <w:r>
        <w:rPr/>
        <w:t>2025</w:t>
      </w:r>
      <w:r>
        <w:rPr/>
        <w:t>年夹层总额</w:t>
      </w:r>
      <w:r>
        <w:rPr/>
        <w:t>85.51854</w:t>
      </w:r>
      <w:r>
        <w:rPr/>
        <w:t>亿元，上半年</w:t>
      </w:r>
      <w:r>
        <w:rPr/>
        <w:t>102.22746</w:t>
      </w:r>
      <w:r>
        <w:rPr/>
        <w:t>亿元，增加不能直接全部解释为新融资或损益。它可能包含增值、子公司交易和赎回等变化，季度附件缺少详细滚动表，因此不编造每个项目的精确贡献。本章将六月整体额作为锚，再设置后续认购、研究增值率和追加公允索偿。三层投资者权利并不相同，平均百分之八是研究准备而不是合同统一利率。详细新资料到来后应分层，不继续把平均假设当事实。</w:t>
      </w:r>
    </w:p>
    <w:p>
      <w:pPr>
        <w:pStyle w:val="Heading2"/>
        <w:rPr/>
      </w:pPr>
      <w:r>
        <w:rPr>
          <w:color w:val="000000"/>
        </w:rPr>
        <w:t>五 现金和资产负债结构</w:t>
      </w:r>
    </w:p>
    <w:p>
      <w:pPr>
        <w:pStyle w:val="Normal"/>
        <w:rPr/>
      </w:pPr>
      <w:r>
        <w:rPr/>
        <w:t>六月现金</w:t>
      </w:r>
      <w:r>
        <w:rPr/>
        <w:t>174.53564</w:t>
      </w:r>
      <w:r>
        <w:rPr/>
        <w:t>亿元，短期投资</w:t>
      </w:r>
      <w:r>
        <w:rPr/>
        <w:t>256.34741</w:t>
      </w:r>
      <w:r>
        <w:rPr/>
        <w:t>亿元，两项非受限合计</w:t>
      </w:r>
      <w:r>
        <w:rPr/>
        <w:t>430.88305</w:t>
      </w:r>
      <w:r>
        <w:rPr/>
        <w:t>亿元。受限现金</w:t>
      </w:r>
      <w:r>
        <w:rPr/>
        <w:t>135.10507</w:t>
      </w:r>
      <w:r>
        <w:rPr/>
        <w:t>亿元，长期受限</w:t>
      </w:r>
      <w:r>
        <w:rPr/>
        <w:t>0.68625</w:t>
      </w:r>
      <w:r>
        <w:rPr/>
        <w:t>亿元。公司摘要所称</w:t>
      </w:r>
      <w:r>
        <w:rPr/>
        <w:t>567</w:t>
      </w:r>
      <w:r>
        <w:rPr/>
        <w:t>亿元现金头寸包含受限和长期项目，不能全部当可分配资金。长期定存没有在取得的资产表中单列精确数，本章不利用摘要差额猜测，而只把可核验现金短投用于锚。这个保守口径也不表示</w:t>
      </w:r>
      <w:r>
        <w:rPr/>
        <w:t>430</w:t>
      </w:r>
      <w:r>
        <w:rPr/>
        <w:t>亿元均可立即汇到母公司，还需满足营运和境内资本约束。</w:t>
      </w:r>
    </w:p>
    <w:p>
      <w:pPr>
        <w:pStyle w:val="Normal"/>
        <w:rPr/>
      </w:pPr>
      <w:r>
        <w:rPr/>
        <w:t>六月总资产</w:t>
      </w:r>
      <w:r>
        <w:rPr/>
        <w:t>1362.11340</w:t>
      </w:r>
      <w:r>
        <w:rPr/>
        <w:t>亿元，总负债</w:t>
      </w:r>
      <w:r>
        <w:rPr/>
        <w:t>1219.43115</w:t>
      </w:r>
      <w:r>
        <w:rPr/>
        <w:t>亿元，夹层</w:t>
      </w:r>
      <w:r>
        <w:rPr/>
        <w:t>102.22746</w:t>
      </w:r>
      <w:r>
        <w:rPr/>
        <w:t>亿元，永久股东权益</w:t>
      </w:r>
      <w:r>
        <w:rPr/>
        <w:t>40.45479</w:t>
      </w:r>
      <w:r>
        <w:rPr/>
        <w:t>亿元，其中上市母归属</w:t>
      </w:r>
      <w:r>
        <w:rPr/>
        <w:t>40.64040</w:t>
      </w:r>
      <w:r>
        <w:rPr/>
        <w:t>亿元、普通少数权益负</w:t>
      </w:r>
      <w:r>
        <w:rPr/>
        <w:t>0.18561</w:t>
      </w:r>
      <w:r>
        <w:rPr/>
        <w:t>亿元。财报恒等式是负债加夹层加永久权益等于资产，不能把夹层当永久权益来放大安全垫。账面永久权益薄不等于市场价值必然很低，因为品牌、技术和未来盈利可形成经营价值；但一旦经营预期转差，资产处置与资本索偿会暴露较深下行，需完整展示。</w:t>
      </w:r>
    </w:p>
    <w:p>
      <w:pPr>
        <w:pStyle w:val="Normal"/>
        <w:rPr/>
      </w:pPr>
      <w:r>
        <w:rPr/>
        <w:t>六月短期及长期借款账面</w:t>
      </w:r>
      <w:r>
        <w:rPr/>
        <w:t>176.13404</w:t>
      </w:r>
      <w:r>
        <w:rPr/>
        <w:t>亿元，经营租负债</w:t>
      </w:r>
      <w:r>
        <w:rPr/>
        <w:t>113.82536</w:t>
      </w:r>
      <w:r>
        <w:rPr/>
        <w:t>亿元，融资租负债隐藏于应计和其他负债明细，季度附件没有取得精确六月数字。</w:t>
      </w:r>
      <w:r>
        <w:rPr/>
        <w:t>2025</w:t>
      </w:r>
      <w:r>
        <w:rPr/>
        <w:t>年底融资租本金</w:t>
      </w:r>
      <w:r>
        <w:rPr/>
        <w:t>50.33175</w:t>
      </w:r>
      <w:r>
        <w:rPr/>
        <w:t>亿元是最近可核验数，模型用</w:t>
      </w:r>
      <w:r>
        <w:rPr/>
        <w:t>51</w:t>
      </w:r>
      <w:r>
        <w:rPr/>
        <w:t>至</w:t>
      </w:r>
      <w:r>
        <w:rPr/>
        <w:t>54</w:t>
      </w:r>
      <w:r>
        <w:rPr/>
        <w:t>亿元的研究准备，不能标为六月实际。借款账面与本金差异也没有最新明细，额外</w:t>
      </w:r>
      <w:r>
        <w:rPr/>
        <w:t>0.5</w:t>
      </w:r>
      <w:r>
        <w:rPr/>
        <w:t>至</w:t>
      </w:r>
      <w:r>
        <w:rPr/>
        <w:t>1.5</w:t>
      </w:r>
      <w:r>
        <w:rPr/>
        <w:t>亿元缓冲仅为假设。研究明确这些缺口对目标价的方向，并让输入可改，避免把未知当零。</w:t>
      </w:r>
    </w:p>
    <w:p>
      <w:pPr>
        <w:pStyle w:val="Normal"/>
        <w:rPr/>
      </w:pPr>
      <w:r>
        <w:rPr/>
        <w:t>集团贸易及票据应付</w:t>
      </w:r>
      <w:r>
        <w:rPr/>
        <w:t>603.85478</w:t>
      </w:r>
      <w:r>
        <w:rPr/>
        <w:t>亿元，库存</w:t>
      </w:r>
      <w:r>
        <w:rPr/>
        <w:t>110.89742</w:t>
      </w:r>
      <w:r>
        <w:rPr/>
        <w:t>亿元，关联应收</w:t>
      </w:r>
      <w:r>
        <w:rPr/>
        <w:t>149.86044</w:t>
      </w:r>
      <w:r>
        <w:rPr/>
        <w:t>亿元。贸易融资有助减少现金占用，也可能在供应商付款要求变化时反转。关联应收需要结合电池资产及业务结构解释，不能当普通第三方应收马上按现款计价，也不能无证据全部计坏账。模型营运资本正向资金占用与经营储备是压力准备，未把应付永续增加当额外现金资产。未来季报要看付款、库存和关联回收是否与收入改善同步。</w:t>
      </w:r>
    </w:p>
    <w:p>
      <w:pPr>
        <w:pStyle w:val="Normal"/>
        <w:rPr/>
      </w:pPr>
      <w:r>
        <w:rPr/>
        <w:t>2025</w:t>
      </w:r>
      <w:r>
        <w:rPr/>
        <w:t>年经营现金流</w:t>
      </w:r>
      <w:r>
        <w:rPr/>
        <w:t>29.92612</w:t>
      </w:r>
      <w:r>
        <w:rPr/>
        <w:t>亿元，固定资产及无形现金</w:t>
      </w:r>
      <w:r>
        <w:rPr/>
        <w:t>60.65226</w:t>
      </w:r>
      <w:r>
        <w:rPr/>
        <w:t>亿元，简化自由现金代理流出</w:t>
      </w:r>
      <w:r>
        <w:rPr/>
        <w:t>30.72614</w:t>
      </w:r>
      <w:r>
        <w:rPr/>
        <w:t>亿元。</w:t>
      </w:r>
      <w:r>
        <w:rPr/>
        <w:t>2026</w:t>
      </w:r>
      <w:r>
        <w:rPr/>
        <w:t>上半年附件未提供完整现金流表，第二季公司只明说经营现金为正。新闻提及自由现金为正可以保留为转述，但没有数字原件不补造精确上半年现金流。本章未来正常现金代理由利润、折旧、资本、营运和利息构建，属于假设。不能把代理回写成历史事实，也不能将公司定性现金改善当足够派息依据。</w:t>
      </w:r>
    </w:p>
    <w:p>
      <w:pPr>
        <w:pStyle w:val="Heading2"/>
        <w:rPr/>
      </w:pPr>
      <w:r>
        <w:rPr>
          <w:color w:val="000000"/>
        </w:rPr>
        <w:t>六 换电商业模式与电池资产</w:t>
      </w:r>
    </w:p>
    <w:p>
      <w:pPr>
        <w:pStyle w:val="Normal"/>
        <w:rPr/>
      </w:pPr>
      <w:r>
        <w:rPr/>
        <w:t>换电提供较快补能、车辆电池升级和用户服务差异，但网络需要站点、库存电池、电力、租赁和维护。用户数量提高有机会提升站点利用率，低使用率则让固定费用难回收。对于普通股，网络不仅要帮助卖车，也要证明边际服务贡献和资本回报。站数和技术标准可证明供给建设，不能直接当利润规模。模型把换电相关收入、完整费用及资本保留在集团，避免同时把网络当无成本护城河和高额独立净资产。</w:t>
      </w:r>
    </w:p>
    <w:p>
      <w:pPr>
        <w:pStyle w:val="Normal"/>
        <w:rPr/>
      </w:pPr>
      <w:r>
        <w:rPr/>
        <w:t>电池租用和车电分离涉及用户、集团、资产公司与融资主体不同权利。</w:t>
      </w:r>
      <w:r>
        <w:rPr/>
        <w:t>2025</w:t>
      </w:r>
      <w:r>
        <w:rPr/>
        <w:t>年报所述电池资产公司集团持有约百分之十九点四，不是集团全资账户，相关电池和现金不能全归上市普通股。车辆收入与电池服务收入的确认也需要合同分配，不能用含电池指导价解释所有财务均价。资产公司回收、残值、电池折旧和信用风险影响集团关联往来。研究不假造按每块电池估价乘总数的完整价值，只使用财报和可核验投资范围。</w:t>
      </w:r>
    </w:p>
    <w:p>
      <w:pPr>
        <w:pStyle w:val="Normal"/>
        <w:rPr/>
      </w:pPr>
      <w:r>
        <w:rPr/>
        <w:t>补能体系如果对其他汽车品牌开放，可以扩大规模并提高利用率，但共享也可能削弱用户专属感，价格和标准需要商业协商。技术合作协议不等于每家伙伴车型都已实现大量换电。用户需要方便可靠补能，伙伴需要成本和渠道可接受，网络运营需要可持续价格。三年成长逻辑包含开放合作的可能贡献，却必须以真实换电次数、收入和成本改善验证。只有签约名单增加，没有运营和收款改善，不能支持长期利润倍数上调。</w:t>
      </w:r>
    </w:p>
    <w:p>
      <w:pPr>
        <w:pStyle w:val="Normal"/>
        <w:rPr/>
      </w:pPr>
      <w:r>
        <w:rPr/>
        <w:t>9</w:t>
      </w:r>
      <w:r>
        <w:rPr/>
        <w:t>月</w:t>
      </w:r>
      <w:r>
        <w:rPr/>
        <w:t>28</w:t>
      </w:r>
      <w:r>
        <w:rPr/>
        <w:t>日与吉利交易为</w:t>
      </w:r>
      <w:r>
        <w:rPr/>
        <w:t>Yiyi</w:t>
      </w:r>
      <w:r>
        <w:rPr/>
        <w:t>全部股权及</w:t>
      </w:r>
      <w:r>
        <w:rPr/>
        <w:t>6.4</w:t>
      </w:r>
      <w:r>
        <w:rPr/>
        <w:t>亿元现金换</w:t>
      </w:r>
      <w:r>
        <w:rPr/>
        <w:t>NIO Power</w:t>
      </w:r>
      <w:r>
        <w:rPr/>
        <w:t>新权益，吉利交易后</w:t>
      </w:r>
      <w:r>
        <w:rPr/>
        <w:t>30%</w:t>
      </w:r>
      <w:r>
        <w:rPr/>
        <w:t>，蔚来中国</w:t>
      </w:r>
      <w:r>
        <w:rPr/>
        <w:t>63.6%</w:t>
      </w:r>
      <w:r>
        <w:rPr/>
        <w:t>，旧投资者</w:t>
      </w:r>
      <w:r>
        <w:rPr/>
        <w:t>6.4%</w:t>
      </w:r>
      <w:r>
        <w:rPr/>
        <w:t>，投后估值约</w:t>
      </w:r>
      <w:r>
        <w:rPr/>
        <w:t>160</w:t>
      </w:r>
      <w:r>
        <w:rPr/>
        <w:t>亿元。主体继续受控并合并，因此集团财报未来可能出现新增资产和少数权益。</w:t>
      </w:r>
      <w:r>
        <w:rPr/>
        <w:t>160</w:t>
      </w:r>
      <w:r>
        <w:rPr/>
        <w:t>亿元是包含交易资产的整体权益定价，不是母股收到</w:t>
      </w:r>
      <w:r>
        <w:rPr/>
        <w:t>160</w:t>
      </w:r>
      <w:r>
        <w:rPr/>
        <w:t>亿元现金，更不能在集团经营估值之外再加</w:t>
      </w:r>
      <w:r>
        <w:rPr/>
        <w:t>160</w:t>
      </w:r>
      <w:r>
        <w:rPr/>
        <w:t>亿元。</w:t>
      </w:r>
      <w:r>
        <w:rPr/>
        <w:t>Yiyi</w:t>
      </w:r>
      <w:r>
        <w:rPr/>
        <w:t>资产价值、盈利和债务资料不足，本章不猜精确净资产，而在未来集团经营假设中体现合作路径。</w:t>
      </w:r>
    </w:p>
    <w:p>
      <w:pPr>
        <w:pStyle w:val="Normal"/>
        <w:rPr/>
      </w:pPr>
      <w:r>
        <w:rPr/>
        <w:t>交易附运营里程碑调整，吉利股权表现不达预期可降至不低于</w:t>
      </w:r>
      <w:r>
        <w:rPr/>
        <w:t>20%</w:t>
      </w:r>
      <w:r>
        <w:rPr/>
        <w:t>，并有追加</w:t>
      </w:r>
      <w:r>
        <w:rPr/>
        <w:t>6.4</w:t>
      </w:r>
      <w:r>
        <w:rPr/>
        <w:t>亿元现金、增持至</w:t>
      </w:r>
      <w:r>
        <w:rPr/>
        <w:t>34%</w:t>
      </w:r>
      <w:r>
        <w:rPr/>
        <w:t>且蔚来中国降至</w:t>
      </w:r>
      <w:r>
        <w:rPr/>
        <w:t>60%</w:t>
      </w:r>
      <w:r>
        <w:rPr/>
        <w:t>的选项。权益与现金必须联动，不能在乐观情景加第二笔钱却仍保留</w:t>
      </w:r>
      <w:r>
        <w:rPr/>
        <w:t>63.6%</w:t>
      </w:r>
      <w:r>
        <w:rPr/>
        <w:t>持股。模型仅将可核验最大现金与假设完成阶段连接，初始基准</w:t>
      </w:r>
      <w:r>
        <w:rPr/>
        <w:t>6.4</w:t>
      </w:r>
      <w:r>
        <w:rPr/>
        <w:t>亿元、乐观或较长期按</w:t>
      </w:r>
      <w:r>
        <w:rPr/>
        <w:t>12.8</w:t>
      </w:r>
      <w:r>
        <w:rPr/>
        <w:t>亿元和</w:t>
      </w:r>
      <w:r>
        <w:rPr/>
        <w:t>34%</w:t>
      </w:r>
      <w:r>
        <w:rPr/>
        <w:t>少数处理。是否交割没有截至日完成证明，投资者不能把公告签署时间当资产与现金实际并表时间。</w:t>
      </w:r>
    </w:p>
    <w:p>
      <w:pPr>
        <w:pStyle w:val="Heading2"/>
        <w:rPr/>
      </w:pPr>
      <w:r>
        <w:rPr>
          <w:color w:val="000000"/>
        </w:rPr>
        <w:t>七 吉利交易另一条腿及资本归属</w:t>
      </w:r>
    </w:p>
    <w:p>
      <w:pPr>
        <w:pStyle w:val="Normal"/>
        <w:rPr/>
      </w:pPr>
      <w:r>
        <w:rPr/>
        <w:t>蔚来中国还拟以现金认购浩瀚能源</w:t>
      </w:r>
      <w:r>
        <w:rPr/>
        <w:t>10%</w:t>
      </w:r>
      <w:r>
        <w:rPr/>
        <w:t>权益，该现金将用于购买部分蔚来充电资产。这意味着注资与资产出售可能形成现金循环，不能把卖资产现金视为独立净增，同时忽略认购出资。公告未给两笔精确金额及资产成本，本章将额外投资作为显式研究准备，不捏造净现金或利润。非现金资产合作、控制权保留和业务共享可能有经营价值，但应从整车销售、补能成本或外部服务贡献中体现，而不是所有交易名义金额都增加目标价。</w:t>
      </w:r>
    </w:p>
    <w:p>
      <w:pPr>
        <w:pStyle w:val="Normal"/>
        <w:rPr/>
      </w:pPr>
      <w:r>
        <w:rPr/>
        <w:t>Power</w:t>
      </w:r>
      <w:r>
        <w:rPr/>
        <w:t>少数归属还有上层蔚来中国股东。蔚来中国过去有战略投资者，上市主体即使控制</w:t>
      </w:r>
      <w:r>
        <w:rPr/>
        <w:t>Power</w:t>
      </w:r>
      <w:r>
        <w:rPr/>
        <w:t>也不持有其全部经济利益。直接将</w:t>
      </w:r>
      <w:r>
        <w:rPr/>
        <w:t>63.6%</w:t>
      </w:r>
      <w:r>
        <w:rPr/>
        <w:t>乘</w:t>
      </w:r>
      <w:r>
        <w:rPr/>
        <w:t>160</w:t>
      </w:r>
      <w:r>
        <w:rPr/>
        <w:t>亿元再全加上市股价值，既忽略上层权益，又重复集团经营范围。模型六月整体夹层已经包括旧可赎回投资者，新的吉利普通股经济价值准备单独扣除；未把旧</w:t>
      </w:r>
      <w:r>
        <w:rPr/>
        <w:t>Power6.4%</w:t>
      </w:r>
      <w:r>
        <w:rPr/>
        <w:t>再按同样方式重复扣。这个方法需未来完整交易和股东权利披露完善，当前只能作为审慎资本敏感性，不能宣称精确法律分配。</w:t>
      </w:r>
    </w:p>
    <w:p>
      <w:pPr>
        <w:pStyle w:val="Normal"/>
        <w:rPr/>
      </w:pPr>
      <w:r>
        <w:rPr/>
        <w:t>融资和业务协同有不同作用。外部现金可以减少短期新增资金需要，伙伴资产可能提高站点利用和客户覆盖，但是少数股东要求也增加。若协同达成，较小持股比例对应更大盈利池可能对母股有利；若伙伴业务亏损或整合成本高，交易可能只延缓资本压力。研究不预先把控制权保持等同全额收益保持，也不把稀释一概视为坏事。最终需比较新增收益和现金与让渡权益及义务的价值，而不是只比较持股百分比。</w:t>
      </w:r>
    </w:p>
    <w:p>
      <w:pPr>
        <w:pStyle w:val="Normal"/>
        <w:rPr/>
      </w:pPr>
      <w:r>
        <w:rPr/>
        <w:t>交易的反证是交割延期、运营里程碑不能达成、外部客户换电量低于预期，或者需要不断追加资金才能运作。更积极的证据是伙伴车型真实采用、商业运营收入和现金增长、站点成本下降、质量和售后稳定。公告初步消费者车型与商业出行采用方案还待讨论，不能在模型说已经全面实施。年底窗口短，协同尚未进入稳定财报时，股票反映更多是资金与战略预期；三年窗口才更适合检验运营收益。</w:t>
      </w:r>
    </w:p>
    <w:p>
      <w:pPr>
        <w:pStyle w:val="Heading2"/>
        <w:rPr/>
      </w:pPr>
      <w:r>
        <w:rPr>
          <w:color w:val="000000"/>
        </w:rPr>
        <w:t>八 芯片业务与独立融资</w:t>
      </w:r>
    </w:p>
    <w:p>
      <w:pPr>
        <w:pStyle w:val="Normal"/>
        <w:rPr/>
      </w:pPr>
      <w:r>
        <w:rPr/>
        <w:t>神玑负责智能驾驶芯片相关业务，</w:t>
      </w:r>
      <w:r>
        <w:rPr/>
        <w:t>2</w:t>
      </w:r>
      <w:r>
        <w:rPr/>
        <w:t>月公告投资者拟认购</w:t>
      </w:r>
      <w:r>
        <w:rPr/>
        <w:t>22.57</w:t>
      </w:r>
      <w:r>
        <w:rPr/>
        <w:t>亿元现金，完成后蔚来相关子公司</w:t>
      </w:r>
      <w:r>
        <w:rPr/>
        <w:t>62.7%</w:t>
      </w:r>
      <w:r>
        <w:rPr/>
        <w:t>，投资者</w:t>
      </w:r>
      <w:r>
        <w:rPr/>
        <w:t>27.3%</w:t>
      </w:r>
      <w:r>
        <w:rPr/>
        <w:t>，激励主体</w:t>
      </w:r>
      <w:r>
        <w:rPr/>
        <w:t>10%</w:t>
      </w:r>
      <w:r>
        <w:rPr/>
        <w:t>。</w:t>
      </w:r>
      <w:r>
        <w:rPr/>
        <w:t>2025</w:t>
      </w:r>
      <w:r>
        <w:rPr/>
        <w:t>年报后续事项明确这些非控制权益可按条件赎回、归夹层。因此芯片融资不只是普通永久股权，需在集团资本中保留权利要求。既然芯片研发和成本在集团财报，再把全部芯片融资估值加普通股价值，会重复经营技术价值，也会漏掉外部投资者和员工的利益。</w:t>
      </w:r>
    </w:p>
    <w:p>
      <w:pPr>
        <w:pStyle w:val="Normal"/>
        <w:rPr/>
      </w:pPr>
      <w:r>
        <w:rPr/>
        <w:t>第二季报告提六月及八月两轮合计</w:t>
      </w:r>
      <w:r>
        <w:rPr/>
        <w:t>4.93</w:t>
      </w:r>
      <w:r>
        <w:rPr/>
        <w:t>亿元现金认购，投后约</w:t>
      </w:r>
      <w:r>
        <w:rPr/>
        <w:t>122.5</w:t>
      </w:r>
      <w:r>
        <w:rPr/>
        <w:t>亿元，完成后蔚来相关子公司</w:t>
      </w:r>
      <w:r>
        <w:rPr/>
        <w:t>59.95%</w:t>
      </w:r>
      <w:r>
        <w:rPr/>
        <w:t>。两轮包含六月，不能把</w:t>
      </w:r>
      <w:r>
        <w:rPr/>
        <w:t>4.93</w:t>
      </w:r>
      <w:r>
        <w:rPr/>
        <w:t>亿元全称八月新现金再加六月余额。详细付款和交割拆分缺失，模型基准假设六月后</w:t>
      </w:r>
      <w:r>
        <w:rPr/>
        <w:t>2.5</w:t>
      </w:r>
      <w:r>
        <w:rPr/>
        <w:t>亿元、乐观最多</w:t>
      </w:r>
      <w:r>
        <w:rPr/>
        <w:t>4.93</w:t>
      </w:r>
      <w:r>
        <w:rPr/>
        <w:t>亿元，均为研究范围，同时增加夹层本金，不能只加现金。激励普通股比例随后续稀释相应变化，而可赎回投资者全部留在夹层准备中，避免混成无成本外资认购。</w:t>
      </w:r>
    </w:p>
    <w:p>
      <w:pPr>
        <w:pStyle w:val="Normal"/>
        <w:rPr/>
      </w:pPr>
      <w:r>
        <w:rPr/>
        <w:t>自研芯片的商业回报可能来自车端采购成本、能耗、性能、功能开发和对外收入，而不只是芯片销售额。若自研降低整车成本，其价值已经体现在汽车毛利假设。若有对外付费，则进入其他收入和相关成本，不能重复加一层芯片独立利润。没有公开外部大订单时，研究不编造客户数量、单价和市场份额。技术先进仍需经历量产良率、软件适配、供应保障和质量验证，不能因芯片融资估值上升便直接推高成熟汽车估值。</w:t>
      </w:r>
    </w:p>
    <w:p>
      <w:pPr>
        <w:pStyle w:val="Normal"/>
        <w:rPr/>
      </w:pPr>
      <w:r>
        <w:rPr/>
        <w:t>芯片资本的失败路径是研发复杂性和量产成本超过原计划，车端应用节省不足，外部销售规模不够或融资估值难实现。上市普通股可能继续承担共享研发和供应风险，而独立激励与投资者优先削弱收益归属。成功路径是核心功能稳定、采购和开发效率提高、平台复用以及真实外部收款。模型集团毛利与费用只允许逐步改善，未将自研芯片全部成本剔除，也未将投后估值当保证变现。未来有分部利润和成本分配时应重新核验。</w:t>
      </w:r>
    </w:p>
    <w:p>
      <w:pPr>
        <w:pStyle w:val="Heading2"/>
        <w:rPr/>
      </w:pPr>
      <w:r>
        <w:rPr>
          <w:color w:val="000000"/>
        </w:rPr>
        <w:t>九 蔚来中国赎回 回购与股份激励</w:t>
      </w:r>
    </w:p>
    <w:p>
      <w:pPr>
        <w:pStyle w:val="Normal"/>
        <w:rPr/>
      </w:pPr>
      <w:r>
        <w:rPr/>
        <w:t>2025</w:t>
      </w:r>
      <w:r>
        <w:rPr/>
        <w:t>年底蔚来中国控制持股</w:t>
      </w:r>
      <w:r>
        <w:rPr/>
        <w:t>91.8%</w:t>
      </w:r>
      <w:r>
        <w:rPr/>
        <w:t>，年报披露拟购买部分投资者约</w:t>
      </w:r>
      <w:r>
        <w:rPr/>
        <w:t>1.08%</w:t>
      </w:r>
      <w:r>
        <w:rPr/>
        <w:t>权益、总价不超过</w:t>
      </w:r>
      <w:r>
        <w:rPr/>
        <w:t>10.02</w:t>
      </w:r>
      <w:r>
        <w:rPr/>
        <w:t>亿元，分三批至</w:t>
      </w:r>
      <w:r>
        <w:rPr/>
        <w:t>2026</w:t>
      </w:r>
      <w:r>
        <w:rPr/>
        <w:t>九月并附条件。年报把剩余战略入资、母公司追加注资及权益购买合并考虑，完成后预期持股</w:t>
      </w:r>
      <w:r>
        <w:rPr/>
        <w:t>92.3%</w:t>
      </w:r>
      <w:r>
        <w:rPr/>
        <w:t>，不能只将</w:t>
      </w:r>
      <w:r>
        <w:rPr/>
        <w:t>91.8</w:t>
      </w:r>
      <w:r>
        <w:rPr/>
        <w:t>与</w:t>
      </w:r>
      <w:r>
        <w:rPr/>
        <w:t>1.08</w:t>
      </w:r>
      <w:r>
        <w:rPr/>
        <w:t>相加声称</w:t>
      </w:r>
      <w:r>
        <w:rPr/>
        <w:t>92.9%</w:t>
      </w:r>
      <w:r>
        <w:rPr/>
        <w:t>。六月及九月精确结算拆分未取得，模型剩余现金用</w:t>
      </w:r>
      <w:r>
        <w:rPr/>
        <w:t>3</w:t>
      </w:r>
      <w:r>
        <w:rPr/>
        <w:t>至</w:t>
      </w:r>
      <w:r>
        <w:rPr/>
        <w:t>10.02</w:t>
      </w:r>
      <w:r>
        <w:rPr/>
        <w:t>亿元研究准备，并同时减少夹层索偿，避免付回购现金后还保留同一被购权益。该准备与减记属于情景假设，不能写为已结算实绩。</w:t>
      </w:r>
    </w:p>
    <w:p>
      <w:pPr>
        <w:pStyle w:val="Normal"/>
        <w:rPr/>
      </w:pPr>
      <w:r>
        <w:rPr/>
        <w:t>回购资本桥把现金与权利在同一时间轴处理。基准假设六月后三个月支付剩余</w:t>
      </w:r>
      <w:r>
        <w:rPr/>
        <w:t>6</w:t>
      </w:r>
      <w:r>
        <w:rPr/>
        <w:t>亿元、同日在夹层中消除</w:t>
      </w:r>
      <w:r>
        <w:rPr/>
        <w:t>6</w:t>
      </w:r>
      <w:r>
        <w:rPr/>
        <w:t>亿元索偿；按</w:t>
      </w:r>
      <w:r>
        <w:rPr/>
        <w:t>8%</w:t>
      </w:r>
      <w:r>
        <w:rPr/>
        <w:t>研究增值率折现，对应六月本金约</w:t>
      </w:r>
      <w:r>
        <w:rPr/>
        <w:t>5.88566</w:t>
      </w:r>
      <w:r>
        <w:rPr/>
        <w:t>亿元。模型先对六月夹层及后续认购计算滚增，再扣被支付本金及它本来会产生的滚增，等价于目标日消除已付款索偿的后续增值。结算前实际增值仍通过回购支付金额保留。若买价与会计或经济索偿不同，需独立修改减记输入；六月锚或净现金变化已经反映的结算不得再列未来回购。</w:t>
      </w:r>
    </w:p>
    <w:p>
      <w:pPr>
        <w:pStyle w:val="Normal"/>
        <w:rPr/>
      </w:pPr>
      <w:r>
        <w:rPr/>
        <w:t>新战略投资者若未在</w:t>
      </w:r>
      <w:r>
        <w:rPr/>
        <w:t>2027</w:t>
      </w:r>
      <w:r>
        <w:rPr/>
        <w:t>年底完成上市申请或相关重组计划、</w:t>
      </w:r>
      <w:r>
        <w:rPr/>
        <w:t>2028</w:t>
      </w:r>
      <w:r>
        <w:rPr/>
        <w:t>年底完成合格上市，或发生其他约定事项，可要求赎回，价涉及本金加</w:t>
      </w:r>
      <w:r>
        <w:rPr/>
        <w:t>7.5%</w:t>
      </w:r>
      <w:r>
        <w:rPr/>
        <w:t>年率或最近融资市场价值。旧投资者约定</w:t>
      </w:r>
      <w:r>
        <w:rPr/>
        <w:t>8.5%</w:t>
      </w:r>
      <w:r>
        <w:rPr/>
        <w:t>并有调整后的上市期限。三年目标跨过这些节点，资本事件可能比一般产品更新更重要。研究的夹层滚增不是确定现金支付日期，而是索偿准备；若公司实际上市或与投资者重新协商，需用新条款替换，不把原期限永久延长。</w:t>
      </w:r>
    </w:p>
    <w:p>
      <w:pPr>
        <w:pStyle w:val="Normal"/>
        <w:rPr/>
      </w:pPr>
      <w:r>
        <w:rPr/>
        <w:t>这些投资者即使不行使现金赎回，也持有经营价值归属。最近融资市场价较本金加息高时，普通股所需让渡可能超简单滚增，所以模型另设公允价值追加索偿。不能只用较低合同利率解释全部成本。在数据不足阶段该追加是研究假设，不是假称会计评估。若三年后业务很成功，外部股东同样受益，普通股不能独得所有增长。本章乐观也增加少数与夹层价值扣减，避免经营成功却假设投资者要求保持原价不动。</w:t>
      </w:r>
    </w:p>
    <w:p>
      <w:pPr>
        <w:pStyle w:val="Normal"/>
        <w:rPr/>
      </w:pPr>
      <w:r>
        <w:rPr/>
        <w:t>最新精确公开股份锚是六月实质在外</w:t>
      </w:r>
      <w:r>
        <w:rPr/>
        <w:t>2509871468</w:t>
      </w:r>
      <w:r>
        <w:rPr/>
        <w:t>股，其中</w:t>
      </w:r>
      <w:r>
        <w:rPr/>
        <w:t>A</w:t>
      </w:r>
      <w:r>
        <w:rPr/>
        <w:t>股</w:t>
      </w:r>
      <w:r>
        <w:rPr/>
        <w:t>2361371468</w:t>
      </w:r>
      <w:r>
        <w:rPr/>
        <w:t>、</w:t>
      </w:r>
      <w:r>
        <w:rPr/>
        <w:t>C</w:t>
      </w:r>
      <w:r>
        <w:rPr/>
        <w:t>股</w:t>
      </w:r>
      <w:r>
        <w:rPr/>
        <w:t>148500000</w:t>
      </w:r>
      <w:r>
        <w:rPr/>
        <w:t>；另有已发行保留奖股</w:t>
      </w:r>
      <w:r>
        <w:rPr/>
        <w:t>18820673</w:t>
      </w:r>
      <w:r>
        <w:rPr/>
        <w:t>，法定保守锚</w:t>
      </w:r>
      <w:r>
        <w:rPr/>
        <w:t>2528692141</w:t>
      </w:r>
      <w:r>
        <w:rPr/>
        <w:t>。九月总股未取得，本章不把六月数标成十月精确现值，未来新增股明确包含六月后及目标期变化。美股每</w:t>
      </w:r>
      <w:r>
        <w:rPr/>
        <w:t>ADS</w:t>
      </w:r>
      <w:r>
        <w:rPr/>
        <w:t>是一股</w:t>
      </w:r>
      <w:r>
        <w:rPr/>
        <w:t>A</w:t>
      </w:r>
      <w:r>
        <w:rPr/>
        <w:t>，区别于理想和小鹏一</w:t>
      </w:r>
      <w:r>
        <w:rPr/>
        <w:t>ADS</w:t>
      </w:r>
      <w:r>
        <w:rPr/>
        <w:t>两股，港股股价不能乘错比例。香港是二次上市，同一公司不按多个市场重复计发行人基本面。</w:t>
      </w:r>
    </w:p>
    <w:p>
      <w:pPr>
        <w:pStyle w:val="Normal"/>
        <w:rPr/>
      </w:pPr>
      <w:r>
        <w:rPr/>
        <w:t>3</w:t>
      </w:r>
      <w:r>
        <w:rPr/>
        <w:t>月批准</w:t>
      </w:r>
      <w:r>
        <w:rPr/>
        <w:t>CEO</w:t>
      </w:r>
      <w:r>
        <w:rPr/>
        <w:t>条件奖股</w:t>
      </w:r>
      <w:r>
        <w:rPr/>
        <w:t>248454460</w:t>
      </w:r>
      <w:r>
        <w:rPr/>
        <w:t>，分十档，归属须达到市值和利润条件。它不是今天已全部实质在外，也不能完全忽略。模型悲观不归属，基准三年五年分段新增，乐观五年最多全部加入，体现成功本身伴随稀释。公司有普通奖股费用与股份，长期成本仍保留。如果先把全部</w:t>
      </w:r>
      <w:r>
        <w:rPr/>
        <w:t>CEO</w:t>
      </w:r>
      <w:r>
        <w:rPr/>
        <w:t>潜在股加当前分母又在未来新增一次，会重复；如果全部忽略，会高估成功情景每股空间。普通股投资者应观察具体归属和财报确认。</w:t>
      </w:r>
    </w:p>
    <w:p>
      <w:pPr>
        <w:pStyle w:val="Heading2"/>
        <w:rPr/>
      </w:pPr>
      <w:r>
        <w:rPr>
          <w:color w:val="000000"/>
        </w:rPr>
        <w:t>十 半年日线 成交量和相对强弱</w:t>
      </w:r>
    </w:p>
    <w:p>
      <w:pPr>
        <w:pStyle w:val="Normal"/>
        <w:rPr/>
      </w:pPr>
      <w:r>
        <w:rPr/>
        <w:t>真实历史</w:t>
      </w:r>
      <w:r>
        <w:rPr/>
        <w:t>739</w:t>
      </w:r>
      <w:r>
        <w:rPr/>
        <w:t>日线、</w:t>
      </w:r>
      <w:r>
        <w:rPr/>
        <w:t>157</w:t>
      </w:r>
      <w:r>
        <w:rPr/>
        <w:t>周，复权</w:t>
      </w:r>
      <w:r>
        <w:rPr/>
        <w:t>OHLC</w:t>
      </w:r>
      <w:r>
        <w:rPr/>
        <w:t>归一至基准名义价。日</w:t>
      </w:r>
      <w:r>
        <w:rPr/>
        <w:t>20</w:t>
      </w:r>
      <w:r>
        <w:rPr/>
        <w:t>、</w:t>
      </w:r>
      <w:r>
        <w:rPr/>
        <w:t>60</w:t>
      </w:r>
      <w:r>
        <w:rPr/>
        <w:t>、</w:t>
      </w:r>
      <w:r>
        <w:rPr/>
        <w:t>120</w:t>
      </w:r>
      <w:r>
        <w:rPr/>
        <w:t>、</w:t>
      </w:r>
      <w:r>
        <w:rPr/>
        <w:t>250</w:t>
      </w:r>
      <w:r>
        <w:rPr/>
        <w:t>均线</w:t>
      </w:r>
      <w:r>
        <w:rPr/>
        <w:t>27.883</w:t>
      </w:r>
      <w:r>
        <w:rPr/>
        <w:t>、</w:t>
      </w:r>
      <w:r>
        <w:rPr/>
        <w:t>32.709666</w:t>
      </w:r>
      <w:r>
        <w:rPr/>
        <w:t>、</w:t>
      </w:r>
      <w:r>
        <w:rPr/>
        <w:t>38.291667</w:t>
      </w:r>
      <w:r>
        <w:rPr/>
        <w:t>、</w:t>
      </w:r>
      <w:r>
        <w:rPr/>
        <w:t>41.53736</w:t>
      </w:r>
      <w:r>
        <w:rPr/>
        <w:t>，</w:t>
      </w:r>
      <w:r>
        <w:rPr/>
        <w:t>27.10</w:t>
      </w:r>
      <w:r>
        <w:rPr/>
        <w:t>均低于，距离约负</w:t>
      </w:r>
      <w:r>
        <w:rPr/>
        <w:t>2.81%</w:t>
      </w:r>
      <w:r>
        <w:rPr/>
        <w:t>、</w:t>
      </w:r>
      <w:r>
        <w:rPr/>
        <w:t>17.15%</w:t>
      </w:r>
      <w:r>
        <w:rPr/>
        <w:t>、</w:t>
      </w:r>
      <w:r>
        <w:rPr/>
        <w:t>29.23%</w:t>
      </w:r>
      <w:r>
        <w:rPr/>
        <w:t>、</w:t>
      </w:r>
      <w:r>
        <w:rPr/>
        <w:t>34.76%</w:t>
      </w:r>
      <w:r>
        <w:rPr/>
        <w:t>。五日窗口均线斜率均向下，短至长约負</w:t>
      </w:r>
      <w:r>
        <w:rPr/>
        <w:t>1.94%</w:t>
      </w:r>
      <w:r>
        <w:rPr/>
        <w:t>、</w:t>
      </w:r>
      <w:r>
        <w:rPr/>
        <w:t>3.07%</w:t>
      </w:r>
      <w:r>
        <w:rPr/>
        <w:t>、</w:t>
      </w:r>
      <w:r>
        <w:rPr/>
        <w:t>2.72%</w:t>
      </w:r>
      <w:r>
        <w:rPr/>
        <w:t>、</w:t>
      </w:r>
      <w:r>
        <w:rPr/>
        <w:t>1.45%</w:t>
      </w:r>
      <w:r>
        <w:rPr/>
        <w:t>。这构成中短期下降结构。半年估值有上涨预期，但量价不给高趋势分；收复最近均线只是初步修复，不能用一个指标转好直接宣布反转。</w:t>
      </w:r>
    </w:p>
    <w:p>
      <w:pPr>
        <w:pStyle w:val="Normal"/>
        <w:rPr/>
      </w:pPr>
      <w:r>
        <w:rPr/>
        <w:t>20</w:t>
      </w:r>
      <w:r>
        <w:rPr/>
        <w:t>日观察区间低</w:t>
      </w:r>
      <w:r>
        <w:rPr/>
        <w:t>26.08</w:t>
      </w:r>
      <w:r>
        <w:rPr/>
        <w:t>、高</w:t>
      </w:r>
      <w:r>
        <w:rPr/>
        <w:t>29.64</w:t>
      </w:r>
      <w:r>
        <w:rPr/>
        <w:t>，支撑离现价约负</w:t>
      </w:r>
      <w:r>
        <w:rPr/>
        <w:t>3.76%</w:t>
      </w:r>
      <w:r>
        <w:rPr/>
        <w:t>，阻力正</w:t>
      </w:r>
      <w:r>
        <w:rPr/>
        <w:t>9.37%</w:t>
      </w:r>
      <w:r>
        <w:rPr/>
        <w:t>；</w:t>
      </w:r>
      <w:r>
        <w:rPr/>
        <w:t>60</w:t>
      </w:r>
      <w:r>
        <w:rPr/>
        <w:t>日高</w:t>
      </w:r>
      <w:r>
        <w:rPr/>
        <w:t>40</w:t>
      </w:r>
      <w:r>
        <w:rPr/>
        <w:t>港元，距离正</w:t>
      </w:r>
      <w:r>
        <w:rPr/>
        <w:t>47.60%</w:t>
      </w:r>
      <w:r>
        <w:rPr/>
        <w:t>。这些是最近区间极值，未经多次触碰筛选，不能写成必然有效支撑。价格很接近低位，使上行反弹可能也带来低点破位风险。较稳的观察顺序是</w:t>
      </w:r>
      <w:r>
        <w:rPr/>
        <w:t>26.08</w:t>
      </w:r>
      <w:r>
        <w:rPr/>
        <w:t>能否保持、</w:t>
      </w:r>
      <w:r>
        <w:rPr/>
        <w:t>27.88</w:t>
      </w:r>
      <w:r>
        <w:rPr/>
        <w:t>能否收复、</w:t>
      </w:r>
      <w:r>
        <w:rPr/>
        <w:t>29.64</w:t>
      </w:r>
      <w:r>
        <w:rPr/>
        <w:t>能否站稳，再看</w:t>
      </w:r>
      <w:r>
        <w:rPr/>
        <w:t>32.71</w:t>
      </w:r>
      <w:r>
        <w:rPr/>
        <w:t>中期均线和供给。若放量跌破</w:t>
      </w:r>
      <w:r>
        <w:rPr/>
        <w:t>26.08</w:t>
      </w:r>
      <w:r>
        <w:rPr/>
        <w:t>且不能收回，当前短线企稳假设失效。</w:t>
      </w:r>
    </w:p>
    <w:p>
      <w:pPr>
        <w:pStyle w:val="Normal"/>
        <w:rPr/>
      </w:pPr>
      <w:r>
        <w:rPr/>
        <w:t>当日报价</w:t>
      </w:r>
      <w:r>
        <w:rPr/>
        <w:t>3688231</w:t>
      </w:r>
      <w:r>
        <w:rPr/>
        <w:t>股，成交额约</w:t>
      </w:r>
      <w:r>
        <w:rPr/>
        <w:t>0.99776</w:t>
      </w:r>
      <w:r>
        <w:rPr/>
        <w:t>亿港元，独立报价一致；锁定日线计算当日量比约</w:t>
      </w:r>
      <w:r>
        <w:rPr/>
        <w:t>0.812</w:t>
      </w:r>
      <w:r>
        <w:rPr/>
        <w:t>，</w:t>
      </w:r>
      <w:r>
        <w:rPr/>
        <w:t>5</w:t>
      </w:r>
      <w:r>
        <w:rPr/>
        <w:t>日均</w:t>
      </w:r>
      <w:r>
        <w:rPr/>
        <w:t>277</w:t>
      </w:r>
      <w:r>
        <w:rPr/>
        <w:t>万股、</w:t>
      </w:r>
      <w:r>
        <w:rPr/>
        <w:t>20</w:t>
      </w:r>
      <w:r>
        <w:rPr/>
        <w:t>日</w:t>
      </w:r>
      <w:r>
        <w:rPr/>
        <w:t>440</w:t>
      </w:r>
      <w:r>
        <w:rPr/>
        <w:t>万、</w:t>
      </w:r>
      <w:r>
        <w:rPr/>
        <w:t>60</w:t>
      </w:r>
      <w:r>
        <w:rPr/>
        <w:t>日</w:t>
      </w:r>
      <w:r>
        <w:rPr/>
        <w:t>505</w:t>
      </w:r>
      <w:r>
        <w:rPr/>
        <w:t>万，前</w:t>
      </w:r>
      <w:r>
        <w:rPr/>
        <w:t>20</w:t>
      </w:r>
      <w:r>
        <w:rPr/>
        <w:t>均</w:t>
      </w:r>
      <w:r>
        <w:rPr/>
        <w:t>454</w:t>
      </w:r>
      <w:r>
        <w:rPr/>
        <w:t>万。报价量与日线量时点有小差异，技术均量按历史锁定口径，成交额按独立收盘源，不混成精确成交分布。近期量收缩可以表示抛压缓和，也可以表示买方缺乏意愿，必须结合价格位置。没有自由流通换手和逐笔数据，研究不推断主力买卖或精确仓位。</w:t>
      </w:r>
    </w:p>
    <w:p>
      <w:pPr>
        <w:pStyle w:val="Normal"/>
        <w:rPr/>
      </w:pPr>
      <w:r>
        <w:rPr/>
        <w:t>20</w:t>
      </w:r>
      <w:r>
        <w:rPr/>
        <w:t>日上涨日量约</w:t>
      </w:r>
      <w:r>
        <w:rPr/>
        <w:t>39498</w:t>
      </w:r>
      <w:r>
        <w:rPr/>
        <w:t>千股，下跌日</w:t>
      </w:r>
      <w:r>
        <w:rPr/>
        <w:t>48434</w:t>
      </w:r>
      <w:r>
        <w:rPr/>
        <w:t>千股，</w:t>
      </w:r>
      <w:r>
        <w:rPr/>
        <w:t>9</w:t>
      </w:r>
      <w:r>
        <w:rPr/>
        <w:t>涨</w:t>
      </w:r>
      <w:r>
        <w:rPr/>
        <w:t>11</w:t>
      </w:r>
      <w:r>
        <w:rPr/>
        <w:t>跌，量比</w:t>
      </w:r>
      <w:r>
        <w:rPr/>
        <w:t>0.816</w:t>
      </w:r>
      <w:r>
        <w:rPr/>
        <w:t>。跌日累计量更大，反弹仍需验证。</w:t>
      </w:r>
      <w:r>
        <w:rPr/>
        <w:t>RSI37.04</w:t>
      </w:r>
      <w:r>
        <w:rPr/>
        <w:t>，日</w:t>
      </w:r>
      <w:r>
        <w:rPr/>
        <w:t>MACD</w:t>
      </w:r>
      <w:r>
        <w:rPr/>
        <w:t>差线负</w:t>
      </w:r>
      <w:r>
        <w:rPr/>
        <w:t>1.314</w:t>
      </w:r>
      <w:r>
        <w:rPr/>
        <w:t>、信号负</w:t>
      </w:r>
      <w:r>
        <w:rPr/>
        <w:t>1.493</w:t>
      </w:r>
      <w:r>
        <w:rPr/>
        <w:t>、柱正</w:t>
      </w:r>
      <w:r>
        <w:rPr/>
        <w:t>0.359</w:t>
      </w:r>
      <w:r>
        <w:rPr/>
        <w:t>，说明下跌动量减弱但还在负区。</w:t>
      </w:r>
      <w:r>
        <w:rPr/>
        <w:t>ATR1.022</w:t>
      </w:r>
      <w:r>
        <w:rPr/>
        <w:t>港元，约现价</w:t>
      </w:r>
      <w:r>
        <w:rPr/>
        <w:t>3.77%</w:t>
      </w:r>
      <w:r>
        <w:rPr/>
        <w:t>，普通单日波动已经可接近支撑距离。技术风控不能以一两个百分点当精确退出线，忽略正常噪音；同时也不能因为高波动就没有失效条件，需由区间、量和持续时间共同判断。</w:t>
      </w:r>
    </w:p>
    <w:p>
      <w:pPr>
        <w:pStyle w:val="Normal"/>
        <w:rPr/>
      </w:pPr>
      <w:r>
        <w:rPr/>
        <w:t>20</w:t>
      </w:r>
      <w:r>
        <w:rPr/>
        <w:t>日回报负</w:t>
      </w:r>
      <w:r>
        <w:rPr/>
        <w:t>4.51%</w:t>
      </w:r>
      <w:r>
        <w:rPr/>
        <w:t>、</w:t>
      </w:r>
      <w:r>
        <w:rPr/>
        <w:t>60</w:t>
      </w:r>
      <w:r>
        <w:rPr/>
        <w:t>日负</w:t>
      </w:r>
      <w:r>
        <w:rPr/>
        <w:t>32.99%</w:t>
      </w:r>
      <w:r>
        <w:rPr/>
        <w:t>，相对恒指落后</w:t>
      </w:r>
      <w:r>
        <w:rPr/>
        <w:t>1.53</w:t>
      </w:r>
      <w:r>
        <w:rPr/>
        <w:t>和</w:t>
      </w:r>
      <w:r>
        <w:rPr/>
        <w:t>29.80</w:t>
      </w:r>
      <w:r>
        <w:rPr/>
        <w:t>个百分点，相对恒生科技粗基准落后</w:t>
      </w:r>
      <w:r>
        <w:rPr/>
        <w:t>1.45</w:t>
      </w:r>
      <w:r>
        <w:rPr/>
        <w:t>和</w:t>
      </w:r>
      <w:r>
        <w:rPr/>
        <w:t>19.82</w:t>
      </w:r>
      <w:r>
        <w:rPr/>
        <w:t>。汽车产业并非完全对应科技指数，行业比较限制已保留。近二十日相对表现比六十日缓和，有企稳可能，但仍不是稳定强势。更有说服力的改善是大盘再次下跌时蔚来不创新低、连续窗口跑赢，同时成交支持上涨。只因科技指数反弹便机械提高本公司量价分，会遗漏产品和资本事件的个股压力。</w:t>
      </w:r>
    </w:p>
    <w:p>
      <w:pPr>
        <w:pStyle w:val="Normal"/>
        <w:rPr/>
      </w:pPr>
      <w:r>
        <w:rPr/>
        <w:t>一年日线高</w:t>
      </w:r>
      <w:r>
        <w:rPr/>
        <w:t>61.75</w:t>
      </w:r>
      <w:r>
        <w:rPr/>
        <w:t>、低</w:t>
      </w:r>
      <w:r>
        <w:rPr/>
        <w:t>26.08</w:t>
      </w:r>
      <w:r>
        <w:rPr/>
        <w:t>，现价较高点低</w:t>
      </w:r>
      <w:r>
        <w:rPr/>
        <w:t>56.11%</w:t>
      </w:r>
      <w:r>
        <w:rPr/>
        <w:t>，历史最大回撤</w:t>
      </w:r>
      <w:r>
        <w:rPr/>
        <w:t>56.73%</w:t>
      </w:r>
      <w:r>
        <w:rPr/>
        <w:t>。周一年窗口端点不同，高</w:t>
      </w:r>
      <w:r>
        <w:rPr/>
        <w:t>58.5</w:t>
      </w:r>
      <w:r>
        <w:rPr/>
        <w:t>、回撤约</w:t>
      </w:r>
      <w:r>
        <w:rPr/>
        <w:t>51.34%</w:t>
      </w:r>
      <w:r>
        <w:rPr/>
        <w:t>，不能把日周极值差异当数据错误。它们覆盖不完全相同完整周和日范围，应使用各自定义。高点可以作为历史风险背景，而不是合理目标价锚。模型年底</w:t>
      </w:r>
      <w:r>
        <w:rPr/>
        <w:t>60.70</w:t>
      </w:r>
      <w:r>
        <w:rPr/>
        <w:t>接近日线历史高点，成立须经营与估值强改善，不因曾到过</w:t>
      </w:r>
      <w:r>
        <w:rPr/>
        <w:t>61.75</w:t>
      </w:r>
      <w:r>
        <w:rPr/>
        <w:t>便认为再次触及轻易可得。</w:t>
      </w:r>
    </w:p>
    <w:p>
      <w:pPr>
        <w:pStyle w:val="Heading2"/>
        <w:rPr/>
      </w:pPr>
      <w:r>
        <w:rPr>
          <w:color w:val="000000"/>
        </w:rPr>
        <w:t>十一 周线与交易证据的边界</w:t>
      </w:r>
    </w:p>
    <w:p>
      <w:pPr>
        <w:pStyle w:val="Normal"/>
        <w:rPr/>
      </w:pPr>
      <w:r>
        <w:rPr/>
        <w:t>周</w:t>
      </w:r>
      <w:r>
        <w:rPr/>
        <w:t>20</w:t>
      </w:r>
      <w:r>
        <w:rPr/>
        <w:t>、</w:t>
      </w:r>
      <w:r>
        <w:rPr/>
        <w:t>60</w:t>
      </w:r>
      <w:r>
        <w:rPr/>
        <w:t>、</w:t>
      </w:r>
      <w:r>
        <w:rPr/>
        <w:t>120</w:t>
      </w:r>
      <w:r>
        <w:rPr/>
        <w:t>均线</w:t>
      </w:r>
      <w:r>
        <w:rPr/>
        <w:t>35.391</w:t>
      </w:r>
      <w:r>
        <w:rPr/>
        <w:t>、</w:t>
      </w:r>
      <w:r>
        <w:rPr/>
        <w:t>42.5225</w:t>
      </w:r>
      <w:r>
        <w:rPr/>
        <w:t>、</w:t>
      </w:r>
      <w:r>
        <w:rPr/>
        <w:t>38.529167</w:t>
      </w:r>
      <w:r>
        <w:rPr/>
        <w:t>，价格均低于，周</w:t>
      </w:r>
      <w:r>
        <w:rPr/>
        <w:t>250</w:t>
      </w:r>
      <w:r>
        <w:rPr/>
        <w:t>真实历史不足。周均线斜率仍负，</w:t>
      </w:r>
      <w:r>
        <w:rPr/>
        <w:t>20</w:t>
      </w:r>
      <w:r>
        <w:rPr/>
        <w:t>周变化约负</w:t>
      </w:r>
      <w:r>
        <w:rPr/>
        <w:t>12.10%</w:t>
      </w:r>
      <w:r>
        <w:rPr/>
        <w:t>，显示中期趋势弱。周</w:t>
      </w:r>
      <w:r>
        <w:rPr/>
        <w:t>RSI</w:t>
      </w:r>
      <w:r>
        <w:rPr/>
        <w:t>约</w:t>
      </w:r>
      <w:r>
        <w:rPr/>
        <w:t>29.81</w:t>
      </w:r>
      <w:r>
        <w:rPr/>
        <w:t>、</w:t>
      </w:r>
      <w:r>
        <w:rPr/>
        <w:t>MACD</w:t>
      </w:r>
      <w:r>
        <w:rPr/>
        <w:t>柱负</w:t>
      </w:r>
      <w:r>
        <w:rPr/>
        <w:t>1.928</w:t>
      </w:r>
      <w:r>
        <w:rPr/>
        <w:t>，与日柱转正不同步。日反弹在周跌势中经常出现，不能按不同指标各给一次转强加分。半年较低技术分来自价格、量与相对强弱一套证据，周线只是确认更长窗口尚未修复，避免重复计算同一风险。</w:t>
      </w:r>
    </w:p>
    <w:p>
      <w:pPr>
        <w:pStyle w:val="Normal"/>
        <w:rPr/>
      </w:pPr>
      <w:r>
        <w:rPr/>
        <w:t>周</w:t>
      </w:r>
      <w:r>
        <w:rPr/>
        <w:t>ATR</w:t>
      </w:r>
      <w:r>
        <w:rPr/>
        <w:t>约</w:t>
      </w:r>
      <w:r>
        <w:rPr/>
        <w:t>12.97%</w:t>
      </w:r>
      <w:r>
        <w:rPr/>
        <w:t>，</w:t>
      </w:r>
      <w:r>
        <w:rPr/>
        <w:t>5</w:t>
      </w:r>
      <w:r>
        <w:rPr/>
        <w:t>周均量</w:t>
      </w:r>
      <w:r>
        <w:rPr/>
        <w:t>2227</w:t>
      </w:r>
      <w:r>
        <w:rPr/>
        <w:t>万股、</w:t>
      </w:r>
      <w:r>
        <w:rPr/>
        <w:t>20</w:t>
      </w:r>
      <w:r>
        <w:rPr/>
        <w:t>周</w:t>
      </w:r>
      <w:r>
        <w:rPr/>
        <w:t>2680</w:t>
      </w:r>
      <w:r>
        <w:rPr/>
        <w:t>万、</w:t>
      </w:r>
      <w:r>
        <w:rPr/>
        <w:t>60</w:t>
      </w:r>
      <w:r>
        <w:rPr/>
        <w:t>周</w:t>
      </w:r>
      <w:r>
        <w:rPr/>
        <w:t>3310</w:t>
      </w:r>
      <w:r>
        <w:rPr/>
        <w:t>万。</w:t>
      </w:r>
      <w:r>
        <w:rPr/>
        <w:t>20</w:t>
      </w:r>
      <w:r>
        <w:rPr/>
        <w:t>周上涨量约</w:t>
      </w:r>
      <w:r>
        <w:rPr/>
        <w:t>1.67</w:t>
      </w:r>
      <w:r>
        <w:rPr/>
        <w:t>亿股，下跌量</w:t>
      </w:r>
      <w:r>
        <w:rPr/>
        <w:t>3.69</w:t>
      </w:r>
      <w:r>
        <w:rPr/>
        <w:t>亿，</w:t>
      </w:r>
      <w:r>
        <w:rPr/>
        <w:t>7</w:t>
      </w:r>
      <w:r>
        <w:rPr/>
        <w:t>涨</w:t>
      </w:r>
      <w:r>
        <w:rPr/>
        <w:t>13</w:t>
      </w:r>
      <w:r>
        <w:rPr/>
        <w:t>跌，说明中期交易结构仍偏弱。一个缩量周并不代表需求回来。技术观察希望看到周线停止创新低、上涨周量提高、回落周量下降和收复</w:t>
      </w:r>
      <w:r>
        <w:rPr/>
        <w:t>20</w:t>
      </w:r>
      <w:r>
        <w:rPr/>
        <w:t>周线后稳定；若只有日线穿越</w:t>
      </w:r>
      <w:r>
        <w:rPr/>
        <w:t>20</w:t>
      </w:r>
      <w:r>
        <w:rPr/>
        <w:t>日而周收盘仍不断下降，交易与长期研究需分别处理。技术不能证明芯片价值，也不能证明财务持续经营，仅观察价格承认预期的进程。</w:t>
      </w:r>
    </w:p>
    <w:p>
      <w:pPr>
        <w:pStyle w:val="Normal"/>
        <w:rPr/>
      </w:pPr>
      <w:r>
        <w:rPr/>
        <w:t>半年技术失效条件包括放量跌破</w:t>
      </w:r>
      <w:r>
        <w:rPr/>
        <w:t>26.08</w:t>
      </w:r>
      <w:r>
        <w:rPr/>
        <w:t>且连续不能收复，或站上</w:t>
      </w:r>
      <w:r>
        <w:rPr/>
        <w:t>29.64</w:t>
      </w:r>
      <w:r>
        <w:rPr/>
        <w:t>后量增价退、相对强弱重新恶化。积极条件包括</w:t>
      </w:r>
      <w:r>
        <w:rPr/>
        <w:t>32.71</w:t>
      </w:r>
      <w:r>
        <w:rPr/>
        <w:t>附近站稳、</w:t>
      </w:r>
      <w:r>
        <w:rPr/>
        <w:t>60</w:t>
      </w:r>
      <w:r>
        <w:rPr/>
        <w:t>日线走平、周线下跌动量缓和，并有季度经营支持。失效不要求所有条件同时发生才行动，但报告不会替没有风险偏好资料的用户设计具体止损金额。标的得分服务全名单比较，不能代替个人组合现金需求。高波动股与车企、科技指数共持的相关性风险，需由组合层另行管理。</w:t>
      </w:r>
    </w:p>
    <w:p>
      <w:pPr>
        <w:pStyle w:val="Heading2"/>
        <w:rPr/>
      </w:pPr>
      <w:r>
        <w:rPr>
          <w:color w:val="000000"/>
        </w:rPr>
        <w:t>十二 年底及一年估值的经营要求</w:t>
      </w:r>
    </w:p>
    <w:p>
      <w:pPr>
        <w:pStyle w:val="Normal"/>
        <w:rPr/>
      </w:pPr>
      <w:r>
        <w:rPr/>
        <w:t>年底基准正常年率</w:t>
      </w:r>
      <w:r>
        <w:rPr/>
        <w:t>43.5</w:t>
      </w:r>
      <w:r>
        <w:rPr/>
        <w:t>万辆、净均价</w:t>
      </w:r>
      <w:r>
        <w:rPr/>
        <w:t>27.3</w:t>
      </w:r>
      <w:r>
        <w:rPr/>
        <w:t>万元、其他收入</w:t>
      </w:r>
      <w:r>
        <w:rPr/>
        <w:t>125</w:t>
      </w:r>
      <w:r>
        <w:rPr/>
        <w:t>亿元，汽车毛利</w:t>
      </w:r>
      <w:r>
        <w:rPr/>
        <w:t>18%</w:t>
      </w:r>
      <w:r>
        <w:rPr/>
        <w:t>、其他</w:t>
      </w:r>
      <w:r>
        <w:rPr/>
        <w:t>16%</w:t>
      </w:r>
      <w:r>
        <w:rPr/>
        <w:t>，完整研发</w:t>
      </w:r>
      <w:r>
        <w:rPr/>
        <w:t>85</w:t>
      </w:r>
      <w:r>
        <w:rPr/>
        <w:t>亿元、销售行政</w:t>
      </w:r>
      <w:r>
        <w:rPr/>
        <w:t>165</w:t>
      </w:r>
      <w:r>
        <w:rPr/>
        <w:t>亿元，集团正常经营仍亏约</w:t>
      </w:r>
      <w:r>
        <w:rPr/>
        <w:t>18.24</w:t>
      </w:r>
      <w:r>
        <w:rPr/>
        <w:t>亿元。</w:t>
      </w:r>
      <w:r>
        <w:rPr/>
        <w:t>0.60</w:t>
      </w:r>
      <w:r>
        <w:rPr/>
        <w:t>倍销售形成集团经营价值</w:t>
      </w:r>
      <w:r>
        <w:rPr/>
        <w:t>787.53</w:t>
      </w:r>
      <w:r>
        <w:rPr/>
        <w:t>亿元，再加受约束现金和非核心投资实现额，扣回购联动后的夹层、吉利普通权益、芯片激励及剩余回购资金，得</w:t>
      </w:r>
      <w:r>
        <w:rPr/>
        <w:t>29.99</w:t>
      </w:r>
      <w:r>
        <w:rPr/>
        <w:t>港元。这里已包含换电芯片经营，不另加融资投后值。普通股正常经营结果还低于集团，体现年度夹层增值和少数归属。</w:t>
      </w:r>
    </w:p>
    <w:p>
      <w:pPr>
        <w:pStyle w:val="Normal"/>
        <w:rPr/>
      </w:pPr>
      <w:r>
        <w:rPr/>
        <w:t>年底悲观</w:t>
      </w:r>
      <w:r>
        <w:rPr/>
        <w:t>37</w:t>
      </w:r>
      <w:r>
        <w:rPr/>
        <w:t>万辆、均价</w:t>
      </w:r>
      <w:r>
        <w:rPr/>
        <w:t>24.5</w:t>
      </w:r>
      <w:r>
        <w:rPr/>
        <w:t>万元、汽车毛利</w:t>
      </w:r>
      <w:r>
        <w:rPr/>
        <w:t>14%</w:t>
      </w:r>
      <w:r>
        <w:rPr/>
        <w:t>，费用高，经营亏损扩大，销售</w:t>
      </w:r>
      <w:r>
        <w:rPr/>
        <w:t>0.24</w:t>
      </w:r>
      <w:r>
        <w:rPr/>
        <w:t>倍，目标</w:t>
      </w:r>
      <w:r>
        <w:rPr/>
        <w:t>3.81</w:t>
      </w:r>
      <w:r>
        <w:rPr/>
        <w:t>港元。乐观</w:t>
      </w:r>
      <w:r>
        <w:rPr/>
        <w:t>49</w:t>
      </w:r>
      <w:r>
        <w:rPr/>
        <w:t>万辆、均价</w:t>
      </w:r>
      <w:r>
        <w:rPr/>
        <w:t>29</w:t>
      </w:r>
      <w:r>
        <w:rPr/>
        <w:t>万元、汽车毛利</w:t>
      </w:r>
      <w:r>
        <w:rPr/>
        <w:t>20.5%</w:t>
      </w:r>
      <w:r>
        <w:rPr/>
        <w:t>，集团正常税后约</w:t>
      </w:r>
      <w:r>
        <w:rPr/>
        <w:t>45.60</w:t>
      </w:r>
      <w:r>
        <w:rPr/>
        <w:t>亿元，销售</w:t>
      </w:r>
      <w:r>
        <w:rPr/>
        <w:t>0.95</w:t>
      </w:r>
      <w:r>
        <w:rPr/>
        <w:t>倍，对应经营</w:t>
      </w:r>
      <w:r>
        <w:rPr/>
        <w:t>PE</w:t>
      </w:r>
      <w:r>
        <w:rPr/>
        <w:t>约</w:t>
      </w:r>
      <w:r>
        <w:rPr/>
        <w:t>32.5</w:t>
      </w:r>
      <w:r>
        <w:rPr/>
        <w:t>倍，目标</w:t>
      </w:r>
      <w:r>
        <w:rPr/>
        <w:t>60.70</w:t>
      </w:r>
      <w:r>
        <w:rPr/>
        <w:t>。乐观并非低估值机械回归，需要高端产品、规模和成本同步改善。年底余下时间短，极端价格要有重大经营或资本事件配合；研究范围是三情景波动假设，并非盘中最高最低统计预测。</w:t>
      </w:r>
    </w:p>
    <w:p>
      <w:pPr>
        <w:pStyle w:val="Normal"/>
        <w:rPr/>
      </w:pPr>
      <w:r>
        <w:rPr/>
        <w:t>25/50/25</w:t>
      </w:r>
      <w:r>
        <w:rPr/>
        <w:t>期望</w:t>
      </w:r>
      <w:r>
        <w:rPr/>
        <w:t>31.1225</w:t>
      </w:r>
      <w:r>
        <w:rPr/>
        <w:t>港元，回报约</w:t>
      </w:r>
      <w:r>
        <w:rPr/>
        <w:t>14.84%</w:t>
      </w:r>
      <w:r>
        <w:rPr/>
        <w:t>，基准目标</w:t>
      </w:r>
      <w:r>
        <w:rPr/>
        <w:t>29.99</w:t>
      </w:r>
      <w:r>
        <w:rPr/>
        <w:t>对应约</w:t>
      </w:r>
      <w:r>
        <w:rPr/>
        <w:t>10.66%</w:t>
      </w:r>
      <w:r>
        <w:rPr/>
        <w:t>。偏积极尾部拉高期望，因此期望价不等于最可能价格。防御权重结果低于现价，说明如果对兑现把握下降，投资结论会翻转。权重敏感性比只展示目标有用，因为它揭示判断依赖。所有情景由同一模型切换，快照标版本；修改未来销量或资本后必须刷新三情景，不能拿旧乐观表与新基准表混比较，也不能把快照当即时实时计算。</w:t>
      </w:r>
    </w:p>
    <w:p>
      <w:pPr>
        <w:pStyle w:val="Normal"/>
        <w:rPr/>
      </w:pPr>
      <w:r>
        <w:rPr/>
        <w:t>一年基准</w:t>
      </w:r>
      <w:r>
        <w:rPr/>
        <w:t>60</w:t>
      </w:r>
      <w:r>
        <w:rPr/>
        <w:t>万辆、均价</w:t>
      </w:r>
      <w:r>
        <w:rPr/>
        <w:t>27.5</w:t>
      </w:r>
      <w:r>
        <w:rPr/>
        <w:t>万元，其他</w:t>
      </w:r>
      <w:r>
        <w:rPr/>
        <w:t>170</w:t>
      </w:r>
      <w:r>
        <w:rPr/>
        <w:t>亿元，汽车毛利</w:t>
      </w:r>
      <w:r>
        <w:rPr/>
        <w:t>19%</w:t>
      </w:r>
      <w:r>
        <w:rPr/>
        <w:t>、其他</w:t>
      </w:r>
      <w:r>
        <w:rPr/>
        <w:t>18%</w:t>
      </w:r>
      <w:r>
        <w:rPr/>
        <w:t>，完整研发</w:t>
      </w:r>
      <w:r>
        <w:rPr/>
        <w:t>104</w:t>
      </w:r>
      <w:r>
        <w:rPr/>
        <w:t>亿元、销售行政</w:t>
      </w:r>
      <w:r>
        <w:rPr/>
        <w:t>210</w:t>
      </w:r>
      <w:r>
        <w:rPr/>
        <w:t>亿元。集团正常税后约</w:t>
      </w:r>
      <w:r>
        <w:rPr/>
        <w:t>22.48</w:t>
      </w:r>
      <w:r>
        <w:rPr/>
        <w:t>亿元，普通股经营结果约</w:t>
      </w:r>
      <w:r>
        <w:rPr/>
        <w:t>13.57</w:t>
      </w:r>
      <w:r>
        <w:rPr/>
        <w:t>亿元，销售</w:t>
      </w:r>
      <w:r>
        <w:rPr/>
        <w:t>0.64</w:t>
      </w:r>
      <w:r>
        <w:rPr/>
        <w:t>倍的经营价值对应集团约</w:t>
      </w:r>
      <w:r>
        <w:rPr/>
        <w:t>51.8</w:t>
      </w:r>
      <w:r>
        <w:rPr/>
        <w:t>倍隐含</w:t>
      </w:r>
      <w:r>
        <w:rPr/>
        <w:t>PE</w:t>
      </w:r>
      <w:r>
        <w:rPr/>
        <w:t>，目标</w:t>
      </w:r>
      <w:r>
        <w:rPr/>
        <w:t>40.21</w:t>
      </w:r>
      <w:r>
        <w:rPr/>
        <w:t>港元。这个检验说明看似低的销售倍数并不代表便宜利润，市场仍在预期后续增长。若一年后实际利润只有这类规模，盈利扩张必须可信才能支撑倍数；不能把销售倍数和高市盈率分别当独立利好。</w:t>
      </w:r>
    </w:p>
    <w:p>
      <w:pPr>
        <w:pStyle w:val="Heading2"/>
        <w:rPr/>
      </w:pPr>
      <w:r>
        <w:rPr>
          <w:color w:val="000000"/>
        </w:rPr>
        <w:t>十三 半年 三年 五年收益与失败路径</w:t>
      </w:r>
    </w:p>
    <w:p>
      <w:pPr>
        <w:pStyle w:val="Normal"/>
        <w:rPr/>
      </w:pPr>
      <w:r>
        <w:rPr/>
        <w:t>半年基准</w:t>
      </w:r>
      <w:r>
        <w:rPr/>
        <w:t>34.17</w:t>
      </w:r>
      <w:r>
        <w:rPr/>
        <w:t>港元约上涨</w:t>
      </w:r>
      <w:r>
        <w:rPr/>
        <w:t>26.09%</w:t>
      </w:r>
      <w:r>
        <w:rPr/>
        <w:t>，来自产品和毛利持续、费用纪律、资本交易逐步清楚以及市场估值修复。半年正常年率</w:t>
      </w:r>
      <w:r>
        <w:rPr/>
        <w:t>50</w:t>
      </w:r>
      <w:r>
        <w:rPr/>
        <w:t>万辆、汽车毛利</w:t>
      </w:r>
      <w:r>
        <w:rPr/>
        <w:t>18.5%</w:t>
      </w:r>
      <w:r>
        <w:rPr/>
        <w:t>，普通股经营结果仍略亏，现金代理也负，说明目标不靠成熟分红。半年乐观</w:t>
      </w:r>
      <w:r>
        <w:rPr/>
        <w:t>79.50</w:t>
      </w:r>
      <w:r>
        <w:rPr/>
        <w:t>需要更强产品与估值，不应当默认。失败可能是总销量与第二季相近但营销成本增、低价品牌比例提高压毛利、换电交易延期或股数增加。量价下降时期，基本面反弹可能延迟，不能用长期空间解释所有短期跌幅。</w:t>
      </w:r>
    </w:p>
    <w:p>
      <w:pPr>
        <w:pStyle w:val="Normal"/>
        <w:rPr/>
      </w:pPr>
      <w:r>
        <w:rPr/>
        <w:t>三年基准</w:t>
      </w:r>
      <w:r>
        <w:rPr/>
        <w:t>55.07</w:t>
      </w:r>
      <w:r>
        <w:rPr/>
        <w:t>港元，累计股价约</w:t>
      </w:r>
      <w:r>
        <w:rPr/>
        <w:t>103.21%</w:t>
      </w:r>
      <w:r>
        <w:rPr/>
        <w:t>，含</w:t>
      </w:r>
      <w:r>
        <w:rPr/>
        <w:t>0.3</w:t>
      </w:r>
      <w:r>
        <w:rPr/>
        <w:t>港元股息后年化约</w:t>
      </w:r>
      <w:r>
        <w:rPr/>
        <w:t>26.89%</w:t>
      </w:r>
      <w:r>
        <w:rPr/>
        <w:t>。正常汽车年率</w:t>
      </w:r>
      <w:r>
        <w:rPr/>
        <w:t>86</w:t>
      </w:r>
      <w:r>
        <w:rPr/>
        <w:t>万辆、均价</w:t>
      </w:r>
      <w:r>
        <w:rPr/>
        <w:t>27.7</w:t>
      </w:r>
      <w:r>
        <w:rPr/>
        <w:t>万元、其他</w:t>
      </w:r>
      <w:r>
        <w:rPr/>
        <w:t>260</w:t>
      </w:r>
      <w:r>
        <w:rPr/>
        <w:t>亿元，集团利润约</w:t>
      </w:r>
      <w:r>
        <w:rPr/>
        <w:t>80.28</w:t>
      </w:r>
      <w:r>
        <w:rPr/>
        <w:t>亿元、普通股经营利润约</w:t>
      </w:r>
      <w:r>
        <w:rPr/>
        <w:t>71.37</w:t>
      </w:r>
      <w:r>
        <w:rPr/>
        <w:t>亿元，经营隐含</w:t>
      </w:r>
      <w:r>
        <w:rPr/>
        <w:t>PE</w:t>
      </w:r>
      <w:r>
        <w:rPr/>
        <w:t>约</w:t>
      </w:r>
      <w:r>
        <w:rPr/>
        <w:t>22.4</w:t>
      </w:r>
      <w:r>
        <w:rPr/>
        <w:t>倍，比一年更易接受。然而资本和营运现金仍需要较多投入，夹层索偿也跨上市期限增加。三年逻辑必须从薄盈利转为稳定完整费用利润，并解决资本事件；若只提高规模没有现金和每股结果，目标应下调。</w:t>
      </w:r>
    </w:p>
    <w:p>
      <w:pPr>
        <w:pStyle w:val="Normal"/>
        <w:rPr/>
      </w:pPr>
      <w:r>
        <w:rPr/>
        <w:t>三年乐观</w:t>
      </w:r>
      <w:r>
        <w:rPr/>
        <w:t>125</w:t>
      </w:r>
      <w:r>
        <w:rPr/>
        <w:t>万辆、均价</w:t>
      </w:r>
      <w:r>
        <w:rPr/>
        <w:t>29.8</w:t>
      </w:r>
      <w:r>
        <w:rPr/>
        <w:t>万元及更高毛利，普通股经营利润約</w:t>
      </w:r>
      <w:r>
        <w:rPr/>
        <w:t>297.41</w:t>
      </w:r>
      <w:r>
        <w:rPr/>
        <w:t>亿元，目标</w:t>
      </w:r>
      <w:r>
        <w:rPr/>
        <w:t>131.53</w:t>
      </w:r>
      <w:r>
        <w:rPr/>
        <w:t>。这样的结果需要高端份额、多品牌规模、其他业务质量和成本同时成功，较高概率不能从当下交付推定。悲观</w:t>
      </w:r>
      <w:r>
        <w:rPr/>
        <w:t>26</w:t>
      </w:r>
      <w:r>
        <w:rPr/>
        <w:t>万辆、价格与毛利下降、融资和夹层义务增加，权益可耗尽。长期推荐不能仅按最高上行倍数排序；在三年中，经营目标实现程度和资本义务代价共同决定普通股收益。本章商业质量分高于短线量价，财务风险分仍低。</w:t>
      </w:r>
    </w:p>
    <w:p>
      <w:pPr>
        <w:pStyle w:val="Normal"/>
        <w:rPr/>
      </w:pPr>
      <w:r>
        <w:rPr/>
        <w:t>五年基准</w:t>
      </w:r>
      <w:r>
        <w:rPr/>
        <w:t>55.68</w:t>
      </w:r>
      <w:r>
        <w:rPr/>
        <w:t>港元，加</w:t>
      </w:r>
      <w:r>
        <w:rPr/>
        <w:t>1.3</w:t>
      </w:r>
      <w:r>
        <w:rPr/>
        <w:t>港元股息后年化约</w:t>
      </w:r>
      <w:r>
        <w:rPr/>
        <w:t>16.02%</w:t>
      </w:r>
      <w:r>
        <w:rPr/>
        <w:t>，较三年年化下降，因为估值倍数逐步正常化、资本需求及稀释继续。模型汽车</w:t>
      </w:r>
      <w:r>
        <w:rPr/>
        <w:t>110</w:t>
      </w:r>
      <w:r>
        <w:rPr/>
        <w:t>万辆、净均价</w:t>
      </w:r>
      <w:r>
        <w:rPr/>
        <w:t>27.8</w:t>
      </w:r>
      <w:r>
        <w:rPr/>
        <w:t>万元、其他</w:t>
      </w:r>
      <w:r>
        <w:rPr/>
        <w:t>350</w:t>
      </w:r>
      <w:r>
        <w:rPr/>
        <w:t>亿元，完整研发</w:t>
      </w:r>
      <w:r>
        <w:rPr/>
        <w:t>190</w:t>
      </w:r>
      <w:r>
        <w:rPr/>
        <w:t>亿元、销售行政</w:t>
      </w:r>
      <w:r>
        <w:rPr/>
        <w:t>370</w:t>
      </w:r>
      <w:r>
        <w:rPr/>
        <w:t>亿元，普通股经营利润约</w:t>
      </w:r>
      <w:r>
        <w:rPr/>
        <w:t>114.04</w:t>
      </w:r>
      <w:r>
        <w:rPr/>
        <w:t>亿元。增长不会无限免费，网络、研发和供应需要资金。五年乐观</w:t>
      </w:r>
      <w:r>
        <w:rPr/>
        <w:t>156.64</w:t>
      </w:r>
      <w:r>
        <w:rPr/>
        <w:t>依赖</w:t>
      </w:r>
      <w:r>
        <w:rPr/>
        <w:t>170</w:t>
      </w:r>
      <w:r>
        <w:rPr/>
        <w:t>万辆和更高综合经营质量，</w:t>
      </w:r>
      <w:r>
        <w:rPr/>
        <w:t>CEO</w:t>
      </w:r>
      <w:r>
        <w:rPr/>
        <w:t>条件奖股最多全部归属也已增加分母，不让成功情景无视激励代价。</w:t>
      </w:r>
    </w:p>
    <w:p>
      <w:pPr>
        <w:pStyle w:val="Normal"/>
        <w:rPr/>
      </w:pPr>
      <w:r>
        <w:rPr/>
        <w:t>十年经营持续性取决于集团能否用普通经营现金支持车型更新、补能资产和技术研发，而不是每次周期都依靠新股及子公司投资者。最好的路线是高端品牌保持复购与毛利、低价品牌有效复用、换电开放产生现金、芯片降低总成本或外部付费，资本权利简单稳定。较差路线是服务承诺和网络一直亏损、品牌不断降价、研究投入无法形成付费回报。十年不提供精确股价，因为股数、控制结构和产品赛道可能变化，应作为五年假设的经营反证框架。</w:t>
      </w:r>
    </w:p>
    <w:p>
      <w:pPr>
        <w:pStyle w:val="Heading2"/>
        <w:rPr/>
      </w:pPr>
      <w:r>
        <w:rPr>
          <w:color w:val="000000"/>
        </w:rPr>
        <w:t>十四 宏观 机构目标和推翻条件</w:t>
      </w:r>
    </w:p>
    <w:p>
      <w:pPr>
        <w:pStyle w:val="Normal"/>
        <w:rPr/>
      </w:pPr>
      <w:r>
        <w:rPr/>
        <w:t>利率影响消费者购车融资、公司财资收益、银行贷款和股权折现率。降息可能促进购买，但收入预期弱、产品等待或价格竞争仍会压需求。高端纯电对财富与消费预期更敏感，较低价品牌可分散部分风险，却不能完全抵消总市场波动。电池、芯片和原材料价格影响汽车成本，汇率影响海外收入、采购与外币负债。模型本币经营人民币、目标港币按</w:t>
      </w:r>
      <w:r>
        <w:rPr/>
        <w:t>1.1</w:t>
      </w:r>
      <w:r>
        <w:rPr/>
        <w:t>研究汇率，经营毛利中不再重复加所谓港币升值收益，人民币投资者另做兑换敏感性。</w:t>
      </w:r>
    </w:p>
    <w:p>
      <w:pPr>
        <w:pStyle w:val="Normal"/>
        <w:rPr/>
      </w:pPr>
      <w:r>
        <w:rPr/>
        <w:t>海外业务可以扩大高端市场，但渠道、维修、补能、电池政策和本地监管都需投入。换电网络在不同地区利用率和资本成本不同，不能把中国站点经验简单复制成海外盈利。关税和本地化要求可能推动制造资本增加，汽车需求周期也受当地利率影响。长期空间评分认可全球电动化和用户服务差异，失败路径则包括新市场费用高于收入。没有公开精确分地区盈利时，本章不编欧洲业务利润或保证市场份额，未来用公司披露进行补充。</w:t>
      </w:r>
    </w:p>
    <w:p>
      <w:pPr>
        <w:pStyle w:val="Normal"/>
        <w:rPr/>
      </w:pPr>
      <w:r>
        <w:rPr/>
        <w:t>外资目标公开可核验为大摩</w:t>
      </w:r>
      <w:r>
        <w:rPr/>
        <w:t>9</w:t>
      </w:r>
      <w:r>
        <w:rPr/>
        <w:t>月</w:t>
      </w:r>
      <w:r>
        <w:rPr/>
        <w:t>16</w:t>
      </w:r>
      <w:r>
        <w:rPr/>
        <w:t>日</w:t>
      </w:r>
      <w:r>
        <w:rPr/>
        <w:t>68.5</w:t>
      </w:r>
      <w:r>
        <w:rPr/>
        <w:t>港元、增持，美银</w:t>
      </w:r>
      <w:r>
        <w:rPr/>
        <w:t>9</w:t>
      </w:r>
      <w:r>
        <w:rPr/>
        <w:t>月</w:t>
      </w:r>
      <w:r>
        <w:rPr/>
        <w:t>2</w:t>
      </w:r>
      <w:r>
        <w:rPr/>
        <w:t>日</w:t>
      </w:r>
      <w:r>
        <w:rPr/>
        <w:t>40</w:t>
      </w:r>
      <w:r>
        <w:rPr/>
        <w:t>、中性，均为新闻转述且期限没有明确。中资及关联机构另列海通</w:t>
      </w:r>
      <w:r>
        <w:rPr/>
        <w:t>32.7</w:t>
      </w:r>
      <w:r>
        <w:rPr/>
        <w:t>中性、交银</w:t>
      </w:r>
      <w:r>
        <w:rPr/>
        <w:t>52.1</w:t>
      </w:r>
      <w:r>
        <w:rPr/>
        <w:t>买入、招银</w:t>
      </w:r>
      <w:r>
        <w:rPr/>
        <w:t>47</w:t>
      </w:r>
      <w:r>
        <w:rPr/>
        <w:t>买入、中金</w:t>
      </w:r>
      <w:r>
        <w:rPr/>
        <w:t>48</w:t>
      </w:r>
      <w:r>
        <w:rPr/>
        <w:t>跑赢，同机构保留最新。大摩明显更乐观，美银接近本章一年基准，海通强调利润薄。不能把各行简单平均当客观公允值，因销量、毛利、费用和资本处理不同。美银新闻将综合毛利</w:t>
      </w:r>
      <w:r>
        <w:rPr/>
        <w:t>18.6</w:t>
      </w:r>
      <w:r>
        <w:rPr/>
        <w:t>混写，本章用原件</w:t>
      </w:r>
      <w:r>
        <w:rPr/>
        <w:t>18.4</w:t>
      </w:r>
      <w:r>
        <w:rPr/>
        <w:t>，不沿用该错误数字。</w:t>
      </w:r>
    </w:p>
    <w:p>
      <w:pPr>
        <w:pStyle w:val="Normal"/>
        <w:rPr/>
      </w:pPr>
      <w:r>
        <w:rPr/>
        <w:t>机构目标可能覆盖美股和港股，要先分代码币种和</w:t>
      </w:r>
      <w:r>
        <w:rPr/>
        <w:t>ADS</w:t>
      </w:r>
      <w:r>
        <w:rPr/>
        <w:t>比例。蔚来一</w:t>
      </w:r>
      <w:r>
        <w:rPr/>
        <w:t>ADS</w:t>
      </w:r>
      <w:r>
        <w:rPr/>
        <w:t>一股，汇率影响市场换算，不等于目标时间一致。公开未明确期限时，不标成严格十二个月目标；年底更不直接采用或按月份线性缩短。新闻里的自由现金与管理层成本指引只作为转述，不补成原件数据。机构判断提供估值参照，不能替代本章夹层和股数模型。目标下修同时保持买入也说明评级和数字不是恒定概率，评分应保持独立。</w:t>
      </w:r>
    </w:p>
    <w:p>
      <w:pPr>
        <w:pStyle w:val="Normal"/>
        <w:rPr/>
      </w:pPr>
      <w:r>
        <w:rPr/>
        <w:t>本币回报主口径为港币价格及股息。若港币相对人民币贬</w:t>
      </w:r>
      <w:r>
        <w:rPr/>
        <w:t>5%</w:t>
      </w:r>
      <w:r>
        <w:rPr/>
        <w:t>，人民币回报为目标含息价值相对现价再乘</w:t>
      </w:r>
      <w:r>
        <w:rPr/>
        <w:t>0.95</w:t>
      </w:r>
      <w:r>
        <w:rPr/>
        <w:t>减一；升</w:t>
      </w:r>
      <w:r>
        <w:rPr/>
        <w:t>5%</w:t>
      </w:r>
      <w:r>
        <w:rPr/>
        <w:t>乘</w:t>
      </w:r>
      <w:r>
        <w:rPr/>
        <w:t>1.05</w:t>
      </w:r>
      <w:r>
        <w:rPr/>
        <w:t>。三年和五年年化需要从最终含息总价值开相应次方，不能累计回报直接除年数。当前不存在可当确定收益的股息，模型远期分红是假设且本金已扣。若现金生成不足或资本节点要资金，远期息应取消并重新估价，不保持目标价同时另加息。总表敏感性与正文应从同一模型版本生成。</w:t>
      </w:r>
    </w:p>
    <w:p>
      <w:pPr>
        <w:pStyle w:val="Normal"/>
        <w:rPr/>
      </w:pPr>
      <w:r>
        <w:rPr/>
        <w:t>最重要反证是汽车毛利持续低于目标、销售行政增长快于毛利、研发减少影响后续产品、三品牌相互侵蚀、换电或芯片没有真实经营回报，以及库存和付款占用恶化。资本反证是赎回或额外融资比准备更大、部分资金长期受限、</w:t>
      </w:r>
      <w:r>
        <w:rPr/>
        <w:t>CEO</w:t>
      </w:r>
      <w:r>
        <w:rPr/>
        <w:t>和普通奖励归属快于利润增长。若这些证据出现，不需等三年结束才下调。相反，高毛利产品稳定、正常付款下现金改善、融资交割和权益清晰、每股盈利覆盖资本需求，会提高得分；价格周线改善只是半年时机证据，不能代替这些事实。</w:t>
      </w:r>
    </w:p>
    <w:p>
      <w:pPr>
        <w:pStyle w:val="Heading2"/>
        <w:rPr/>
      </w:pPr>
      <w:r>
        <w:rPr>
          <w:color w:val="000000"/>
        </w:rPr>
        <w:t>来源与模型核验</w:t>
      </w:r>
    </w:p>
    <w:p>
      <w:pPr>
        <w:pStyle w:val="Normal"/>
        <w:rPr/>
      </w:pPr>
      <w:r>
        <w:rPr/>
        <w:t>原件：</w:t>
      </w:r>
      <w:r>
        <w:rPr/>
        <w:t>2025</w:t>
      </w:r>
      <w:r>
        <w:rPr/>
        <w:t>年报</w:t>
      </w:r>
      <w:r>
        <w:rPr/>
        <w:t>4/10 21:13</w:t>
      </w:r>
      <w:r>
        <w:rPr/>
        <w:t>，</w:t>
      </w:r>
      <w:r>
        <w:rPr/>
        <w:t>2025</w:t>
      </w:r>
      <w:r>
        <w:rPr/>
        <w:t>业绩</w:t>
      </w:r>
      <w:r>
        <w:rPr/>
        <w:t>3/10 19:17</w:t>
      </w:r>
      <w:r>
        <w:rPr/>
        <w:t>，</w:t>
      </w:r>
      <w:r>
        <w:rPr/>
        <w:t>Q1 5/21 18:21</w:t>
      </w:r>
      <w:r>
        <w:rPr/>
        <w:t>，</w:t>
      </w:r>
      <w:r>
        <w:rPr/>
        <w:t>Q2/H1 9/1 18:01</w:t>
      </w:r>
      <w:r>
        <w:rPr/>
        <w:t>，芯片交易</w:t>
      </w:r>
      <w:r>
        <w:rPr/>
        <w:t>2/26 17:30</w:t>
      </w:r>
      <w:r>
        <w:rPr/>
        <w:t>，吉利交易</w:t>
      </w:r>
      <w:r>
        <w:rPr/>
        <w:t>9/28 07:45</w:t>
      </w:r>
      <w:r>
        <w:rPr/>
        <w:t>，九月交付</w:t>
      </w:r>
      <w:r>
        <w:rPr/>
        <w:t>10/2 12:13</w:t>
      </w:r>
      <w:r>
        <w:rPr/>
        <w:t>。财报与交易原件的完整</w:t>
      </w:r>
      <w:r>
        <w:rPr/>
        <w:t>URL</w:t>
      </w:r>
      <w:r>
        <w:rPr/>
        <w:t>、发布时间和本地</w:t>
      </w:r>
      <w:r>
        <w:rPr/>
        <w:t>PDF</w:t>
      </w:r>
      <w:r>
        <w:rPr/>
        <w:t>保存在</w:t>
      </w:r>
      <w:r>
        <w:rPr/>
        <w:t>data/nio_model.pending.json sources</w:t>
      </w:r>
      <w:r>
        <w:rPr/>
        <w:t>。</w:t>
      </w:r>
      <w:r>
        <w:rPr/>
        <w:t>SEC 9/1 6-K</w:t>
      </w:r>
      <w:r>
        <w:rPr/>
        <w:t>为同一季度财报与准则调节，未提供完整现金流表，不把文件标题误当完整现金流披露。</w:t>
      </w:r>
    </w:p>
    <w:p>
      <w:pPr>
        <w:pStyle w:val="Normal"/>
        <w:rPr/>
      </w:pPr>
      <w:r>
        <w:rPr/>
        <w:t>模型</w:t>
      </w:r>
      <w:r>
        <w:rPr/>
        <w:t>tools/nio_native.mjs</w:t>
      </w:r>
      <w:r>
        <w:rPr/>
        <w:t>与四表</w:t>
      </w:r>
      <w:r>
        <w:rPr/>
        <w:t>tools/nio_workbook.mjs</w:t>
      </w:r>
      <w:r>
        <w:rPr/>
        <w:t>使用同一活动假设，已完成</w:t>
      </w:r>
      <w:r>
        <w:rPr/>
        <w:t>660</w:t>
      </w:r>
      <w:r>
        <w:rPr/>
        <w:t>原子输入、</w:t>
      </w:r>
      <w:r>
        <w:rPr/>
        <w:t>5356</w:t>
      </w:r>
      <w:r>
        <w:rPr/>
        <w:t>检查、</w:t>
      </w:r>
      <w:r>
        <w:rPr/>
        <w:t>44</w:t>
      </w:r>
      <w:r>
        <w:rPr/>
        <w:t>字段修改恢复。已明列缺失项：九月总股、六月融资租</w:t>
      </w:r>
      <w:r>
        <w:rPr/>
        <w:t>/</w:t>
      </w:r>
      <w:r>
        <w:rPr/>
        <w:t>本金细项、长存款精确额、上半年现金流、三层夹层明细、吉利与芯片逐笔交割、浩瀚投资与资产出售金额、机构目标期限及原研报。最终还需正文字数重复、财务桥和文档集成视觉核验。</w:t>
      </w:r>
      <w:r>
        <w:br w:type="page"/>
      </w:r>
    </w:p>
    <w:p>
      <w:pPr>
        <w:pStyle w:val="Heading1"/>
        <w:spacing w:before="0" w:after="0"/>
        <w:rPr/>
      </w:pPr>
      <w:bookmarkStart w:id="6" w:name="__RefHeading___Toc59287_1364803659"/>
      <w:bookmarkEnd w:id="6"/>
      <w:r>
        <w:rPr>
          <w:color w:val="000000"/>
        </w:rPr>
        <w:t xml:space="preserve">晶泰控股 </w:t>
      </w:r>
      <w:r>
        <w:rPr>
          <w:color w:val="000000"/>
        </w:rPr>
        <w:t>02228 HK</w:t>
      </w:r>
    </w:p>
    <w:p>
      <w:pPr>
        <w:pStyle w:val="Normal"/>
        <w:rPr/>
      </w:pPr>
      <w:r>
        <w:rPr/>
        <w:t xml:space="preserve">02228.HK </w:t>
      </w:r>
      <w:r>
        <w:rPr/>
        <w:t xml:space="preserve">现价 </w:t>
      </w:r>
      <w:r>
        <w:rPr/>
        <w:t>6.99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10</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-59.51%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-59.51%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10</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-91.02%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-91.02%</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10</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0.80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-88.52%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-88.52%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-85.35%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-85.35%</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-32.14%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4.75HKD</w:t>
      </w:r>
      <w:r>
        <w:rPr/>
        <w:t>，期望股价回报</w:t>
      </w:r>
      <w:r>
        <w:rPr/>
        <w:t>-32.03%</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1.40</w:t>
              <w:br/>
              <w:t>-80.00%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2.83</w:t>
              <w:br/>
              <w:t>-59.51%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5.93</w:t>
              <w:br/>
              <w:t>-15.13%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0.63</w:t>
              <w:br/>
              <w:t>-91.02%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5.32</w:t>
              <w:br/>
              <w:t>-23.83%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0.80</w:t>
              <w:br/>
              <w:t>-88.52%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6.50</w:t>
              <w:br/>
              <w:t>-6.93%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-51.40%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w:t>
              <w:br/>
              <w:t>-85.35%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7.94</w:t>
              <w:br/>
              <w:t>+13.63%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-31.89%</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-61.53%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-59.51%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-57.48%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-91.47%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-91.02%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-90.57%</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-89.10%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-88.52%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-87.95%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-86.08%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-85.35%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-84.61%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I027</w:t>
      </w:r>
      <w:r>
        <w:rPr/>
        <w:t>；证券</w:t>
      </w:r>
      <w:r>
        <w:rPr/>
        <w:t>S032</w:t>
      </w:r>
      <w:r>
        <w:rPr/>
        <w:t>；港股</w:t>
      </w:r>
      <w:r>
        <w:rPr/>
        <w:t>02228.HK</w:t>
      </w:r>
      <w:r>
        <w:rPr/>
        <w:t>。价格基准</w:t>
      </w:r>
      <w:r>
        <w:rPr/>
        <w:t>2026</w:t>
      </w:r>
      <w:r>
        <w:rPr/>
        <w:t>年</w:t>
      </w:r>
      <w:r>
        <w:rPr/>
        <w:t>10</w:t>
      </w:r>
      <w:r>
        <w:rPr/>
        <w:t>月</w:t>
      </w:r>
      <w:r>
        <w:rPr/>
        <w:t>9</w:t>
      </w:r>
      <w:r>
        <w:rPr/>
        <w:t>日收盘</w:t>
      </w:r>
      <w:r>
        <w:rPr/>
        <w:t>6.985</w:t>
      </w:r>
      <w:r>
        <w:rPr/>
        <w:t>港元，资料截止同日。模型版本</w:t>
      </w:r>
      <w:r>
        <w:rPr/>
        <w:t>xtalpi-v3-sevenIndicationDemand-NetRightsSensitivity-UnallocatedClinical</w:t>
      </w:r>
      <w:r>
        <w:rPr/>
        <w:t>。本章采用进取型成长筛选，当前价的预期现金回报不足以支持高优先级推荐。半年与一年低优先观察，三年与五年观察平台成长；上调需要交付回款、研发效率和可核实净权益改善。证据可信度中；行情与财务为高，服务增长和分配假设为中低，单药临床成功率及确切净现金权益缺失。</w:t>
      </w:r>
      <w:r>
        <w:rPr/>
        <w:t>43</w:t>
      </w:r>
      <w:r>
        <w:rPr/>
        <w:t>条证据记录中，七项具名自研适应症以透明研究假设估值，其余零值观察；全部原临床费用仍保留未分配预算。逐药模型已区分披露与假设，不等同于完整无缺项的逐药净现金</w:t>
      </w:r>
      <w:r>
        <w:rPr/>
        <w:t>rNPV</w:t>
      </w:r>
      <w:r>
        <w:rPr/>
        <w:t>验收。</w:t>
      </w:r>
    </w:p>
    <w:p>
      <w:pPr>
        <w:pStyle w:val="Normal"/>
        <w:rPr/>
      </w:pPr>
      <w:r>
        <w:rPr/>
        <w:t>所有价格为港元，经营金额如无另注为人民币。零目标表示所设完整资金路径不能运行时的保守输出；单药零值是证据缺失处理，不表示药物无价值、全部失败或破产概率。情景不构成最大损失边界，权重不是获利概率。普通银行债、可转债及股数按同源模型处理。</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986"/>
        <w:gridCol w:w="986"/>
        <w:gridCol w:w="986"/>
        <w:gridCol w:w="986"/>
        <w:gridCol w:w="986"/>
        <w:gridCol w:w="986"/>
        <w:gridCol w:w="986"/>
        <w:gridCol w:w="986"/>
        <w:gridCol w:w="986"/>
        <w:gridCol w:w="986"/>
      </w:tblGrid>
      <w:tr>
        <w:trPr>
          <w:tblHeader w:val="true"/>
          <w:cantSplit/>
        </w:trPr>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目标日</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推荐梯队</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基准含分红回报</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基准年化含分红回报</w:t>
            </w:r>
          </w:p>
        </w:tc>
      </w:tr>
      <w:tr>
        <w:trPr>
          <w:cantSplit/>
        </w:trPr>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46.2</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低优先观察</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1.397000</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2.828548</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5.928410</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-59.505401%</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-59.505401%</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不适用</w:t>
            </w:r>
          </w:p>
        </w:tc>
      </w:tr>
      <w:tr>
        <w:trPr>
          <w:cantSplit/>
        </w:trPr>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53.3</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低优先观察</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0.627324</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5.320784</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-91.018978%</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-91.018978%</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不适用</w:t>
            </w:r>
          </w:p>
        </w:tc>
      </w:tr>
      <w:tr>
        <w:trPr>
          <w:cantSplit/>
        </w:trPr>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59.2</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成长观察</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0.801701</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6.501252</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-88.522536%</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-88.522536%</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-51.394345%</w:t>
            </w:r>
          </w:p>
        </w:tc>
      </w:tr>
      <w:tr>
        <w:trPr>
          <w:cantSplit/>
        </w:trPr>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五年（长期）</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65.3</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成长观察</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1.023521</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7.937106</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-85.346878%</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-85.346878%</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-31.897478%</w:t>
            </w:r>
          </w:p>
        </w:tc>
      </w:tr>
    </w:tbl>
    <w:p>
      <w:pPr>
        <w:pStyle w:val="Normal"/>
        <w:rPr/>
      </w:pPr>
      <w:r>
        <w:rPr/>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2026-12-31</w:t>
            </w:r>
            <w:r>
              <w:rPr>
                <w:rFonts w:ascii="微软雅黑" w:hAnsi="微软雅黑" w:eastAsia="微软雅黑"/>
                <w:b/>
                <w:color w:val="FFFFFF"/>
                <w:sz w:val="17"/>
              </w:rPr>
              <w:t>目标价</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相对</w:t>
            </w:r>
            <w:r>
              <w:rPr>
                <w:rFonts w:eastAsia="微软雅黑" w:ascii="微软雅黑" w:hAnsi="微软雅黑"/>
                <w:b/>
                <w:color w:val="FFFFFF"/>
                <w:sz w:val="17"/>
              </w:rPr>
              <w:t>6.985</w:t>
            </w:r>
            <w:r>
              <w:rPr>
                <w:rFonts w:ascii="微软雅黑" w:hAnsi="微软雅黑" w:eastAsia="微软雅黑"/>
                <w:b/>
                <w:color w:val="FFFFFF"/>
                <w:sz w:val="17"/>
              </w:rPr>
              <w:t>港元回报</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判断权重</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条件</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3.143250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-55.000000%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交付</w:t>
            </w:r>
            <w:r>
              <w:rPr>
                <w:rFonts w:eastAsia="微软雅黑" w:ascii="微软雅黑" w:hAnsi="微软雅黑"/>
                <w:sz w:val="17"/>
              </w:rPr>
              <w:t>/</w:t>
            </w:r>
            <w:r>
              <w:rPr>
                <w:rFonts w:ascii="微软雅黑" w:hAnsi="微软雅黑" w:eastAsia="微软雅黑"/>
                <w:sz w:val="17"/>
              </w:rPr>
              <w:t>授权延后、资金风险折价</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4.740176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-32.137774%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年末履约增而一次款不持续，等待</w:t>
            </w:r>
            <w:r>
              <w:rPr>
                <w:rFonts w:eastAsia="微软雅黑" w:ascii="微软雅黑" w:hAnsi="微软雅黑"/>
                <w:sz w:val="17"/>
              </w:rPr>
              <w:t>CB</w:t>
            </w:r>
            <w:r>
              <w:rPr>
                <w:rFonts w:ascii="微软雅黑" w:hAnsi="微软雅黑" w:eastAsia="微软雅黑"/>
                <w:sz w:val="17"/>
              </w:rPr>
              <w:t>兑付</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6.368116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-8.831551%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新合作与交付超预期，但尚非注册验证</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加权期望</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4.747930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-32.026775%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25/50/25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研究判断期望，不是可实现回报保证</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3286"/>
        <w:gridCol w:w="3286"/>
        <w:gridCol w:w="3286"/>
      </w:tblGrid>
      <w:tr>
        <w:trPr>
          <w:tblHeader w:val="true"/>
          <w:cantSplit/>
        </w:trPr>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年底权重敏感性（悲</w:t>
            </w:r>
            <w:r>
              <w:rPr>
                <w:rFonts w:eastAsia="微软雅黑" w:ascii="微软雅黑" w:hAnsi="微软雅黑"/>
                <w:b/>
                <w:color w:val="FFFFFF"/>
                <w:sz w:val="17"/>
              </w:rPr>
              <w:t>/</w:t>
            </w:r>
            <w:r>
              <w:rPr>
                <w:rFonts w:ascii="微软雅黑" w:hAnsi="微软雅黑" w:eastAsia="微软雅黑"/>
                <w:b/>
                <w:color w:val="FFFFFF"/>
                <w:sz w:val="17"/>
              </w:rPr>
              <w:t>基</w:t>
            </w:r>
            <w:r>
              <w:rPr>
                <w:rFonts w:eastAsia="微软雅黑" w:ascii="微软雅黑" w:hAnsi="微软雅黑"/>
                <w:b/>
                <w:color w:val="FFFFFF"/>
                <w:sz w:val="17"/>
              </w:rPr>
              <w:t>/</w:t>
            </w:r>
            <w:r>
              <w:rPr>
                <w:rFonts w:ascii="微软雅黑" w:hAnsi="微软雅黑" w:eastAsia="微软雅黑"/>
                <w:b/>
                <w:color w:val="FFFFFF"/>
                <w:sz w:val="17"/>
              </w:rPr>
              <w:t>乐）</w:t>
            </w:r>
          </w:p>
        </w:tc>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期望价</w:t>
            </w:r>
          </w:p>
        </w:tc>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期望回报</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40/40/20</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4.426994</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-36.621420%</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20/40/40</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5.071967</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-27.387730%</w:t>
            </w:r>
          </w:p>
        </w:tc>
      </w:tr>
    </w:tbl>
    <w:p>
      <w:pPr>
        <w:pStyle w:val="Normal"/>
        <w:rPr/>
      </w:pPr>
      <w:r>
        <w:rPr/>
      </w:r>
    </w:p>
    <w:p>
      <w:pPr>
        <w:pStyle w:val="Normal"/>
        <w:rPr/>
      </w:pPr>
      <w:r>
        <w:rPr/>
        <w:t>各期限基准累计股息为</w:t>
      </w:r>
      <w:r>
        <w:rPr/>
        <w:t>0</w:t>
      </w:r>
      <w:r>
        <w:rPr/>
        <w:t>；模型派息从</w:t>
      </w:r>
      <w:r>
        <w:rPr/>
        <w:t>2032</w:t>
      </w:r>
      <w:r>
        <w:rPr/>
        <w:t>年起，早于该年不加分红。主要风险为高估值、交付回款、持续研发、早期临床失败、</w:t>
      </w:r>
      <w:r>
        <w:rPr/>
        <w:t>2027</w:t>
      </w:r>
      <w:r>
        <w:rPr/>
        <w:t>年</w:t>
      </w:r>
      <w:r>
        <w:rPr/>
        <w:t>1</w:t>
      </w:r>
      <w:r>
        <w:rPr/>
        <w:t>月偿债及股权稀释。结论成立条件为实验服务复购、实际毛利、回款与净权益共同改善；候选物数量增长不足以上调推荐。</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评分维度（</w:t>
            </w:r>
            <w:r>
              <w:rPr>
                <w:rFonts w:eastAsia="微软雅黑" w:ascii="微软雅黑" w:hAnsi="微软雅黑"/>
                <w:b/>
                <w:color w:val="FFFFFF"/>
                <w:sz w:val="17"/>
              </w:rPr>
              <w:t>0—5</w:t>
            </w:r>
            <w:r>
              <w:rPr>
                <w:rFonts w:ascii="微软雅黑" w:hAnsi="微软雅黑" w:eastAsia="微软雅黑"/>
                <w:b/>
                <w:color w:val="FFFFFF"/>
                <w:sz w:val="17"/>
              </w:rPr>
              <w:t>）</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半年</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一年</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三年</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五年</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证据解释</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估值与预期回报</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0.5</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当前市值约</w:t>
            </w:r>
            <w:r>
              <w:rPr>
                <w:rFonts w:eastAsia="微软雅黑" w:ascii="微软雅黑" w:hAnsi="微软雅黑"/>
                <w:sz w:val="17"/>
              </w:rPr>
              <w:t>300</w:t>
            </w:r>
            <w:r>
              <w:rPr>
                <w:rFonts w:ascii="微软雅黑" w:hAnsi="微软雅黑" w:eastAsia="微软雅黑"/>
                <w:sz w:val="17"/>
              </w:rPr>
              <w:t>亿</w:t>
            </w:r>
            <w:r>
              <w:rPr>
                <w:rFonts w:eastAsia="微软雅黑" w:ascii="微软雅黑" w:hAnsi="微软雅黑"/>
                <w:sz w:val="17"/>
              </w:rPr>
              <w:t>HKD</w:t>
            </w:r>
            <w:r>
              <w:rPr>
                <w:rFonts w:ascii="微软雅黑" w:hAnsi="微软雅黑" w:eastAsia="微软雅黑"/>
                <w:sz w:val="17"/>
              </w:rPr>
              <w:t>，半年度授权和资产公允价值不等持续利润；七自研适应症研究，未名</w:t>
            </w:r>
            <w:r>
              <w:rPr>
                <w:rFonts w:eastAsia="微软雅黑" w:ascii="微软雅黑" w:hAnsi="微软雅黑"/>
                <w:sz w:val="17"/>
              </w:rPr>
              <w:t>/</w:t>
            </w:r>
            <w:r>
              <w:rPr>
                <w:rFonts w:ascii="微软雅黑" w:hAnsi="微软雅黑" w:eastAsia="微软雅黑"/>
                <w:sz w:val="17"/>
              </w:rPr>
              <w:t>归属不明零观察；股东现金与销售倍数交叉验证</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量价与相对强弱</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6.985</w:t>
            </w:r>
            <w:r>
              <w:rPr>
                <w:rFonts w:ascii="微软雅黑" w:hAnsi="微软雅黑" w:eastAsia="微软雅黑"/>
                <w:sz w:val="17"/>
              </w:rPr>
              <w:t>低于</w:t>
            </w:r>
            <w:r>
              <w:rPr>
                <w:rFonts w:eastAsia="微软雅黑" w:ascii="微软雅黑" w:hAnsi="微软雅黑"/>
                <w:sz w:val="17"/>
              </w:rPr>
              <w:t>20/60/120/250</w:t>
            </w:r>
            <w:r>
              <w:rPr>
                <w:rFonts w:ascii="微软雅黑" w:hAnsi="微软雅黑" w:eastAsia="微软雅黑"/>
                <w:sz w:val="17"/>
              </w:rPr>
              <w:t>日</w:t>
            </w:r>
            <w:r>
              <w:rPr>
                <w:rFonts w:eastAsia="微软雅黑" w:ascii="微软雅黑" w:hAnsi="微软雅黑"/>
                <w:sz w:val="17"/>
              </w:rPr>
              <w:t>MA</w:t>
            </w:r>
            <w:r>
              <w:rPr>
                <w:rFonts w:ascii="微软雅黑" w:hAnsi="微软雅黑" w:eastAsia="微软雅黑"/>
                <w:sz w:val="17"/>
              </w:rPr>
              <w:t>，</w:t>
            </w:r>
            <w:r>
              <w:rPr>
                <w:rFonts w:eastAsia="微软雅黑" w:ascii="微软雅黑" w:hAnsi="微软雅黑"/>
                <w:sz w:val="17"/>
              </w:rPr>
              <w:t>60</w:t>
            </w:r>
            <w:r>
              <w:rPr>
                <w:rFonts w:ascii="微软雅黑" w:hAnsi="微软雅黑" w:eastAsia="微软雅黑"/>
                <w:sz w:val="17"/>
              </w:rPr>
              <w:t>日弱</w:t>
            </w:r>
            <w:r>
              <w:rPr>
                <w:rFonts w:eastAsia="微软雅黑" w:ascii="微软雅黑" w:hAnsi="微软雅黑"/>
                <w:sz w:val="17"/>
              </w:rPr>
              <w:t>HSI9.06</w:t>
            </w:r>
            <w:r>
              <w:rPr>
                <w:rFonts w:ascii="微软雅黑" w:hAnsi="微软雅黑" w:eastAsia="微软雅黑"/>
                <w:sz w:val="17"/>
              </w:rPr>
              <w:t>百分点，日</w:t>
            </w:r>
            <w:r>
              <w:rPr>
                <w:rFonts w:eastAsia="微软雅黑" w:ascii="微软雅黑" w:hAnsi="微软雅黑"/>
                <w:sz w:val="17"/>
              </w:rPr>
              <w:t>ATR7.17%</w:t>
            </w:r>
            <w:r>
              <w:rPr>
                <w:rFonts w:ascii="微软雅黑" w:hAnsi="微软雅黑" w:eastAsia="微软雅黑"/>
                <w:sz w:val="17"/>
              </w:rPr>
              <w:t>，放量下跌不支持突破加分</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经营增长商业质量</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AI4S</w:t>
            </w:r>
            <w:r>
              <w:rPr>
                <w:rFonts w:ascii="微软雅黑" w:hAnsi="微软雅黑" w:eastAsia="微软雅黑"/>
                <w:sz w:val="17"/>
              </w:rPr>
              <w:t>收入</w:t>
            </w:r>
            <w:r>
              <w:rPr>
                <w:rFonts w:eastAsia="微软雅黑" w:ascii="微软雅黑" w:hAnsi="微软雅黑"/>
                <w:sz w:val="17"/>
              </w:rPr>
              <w:t>136.4%</w:t>
            </w:r>
            <w:r>
              <w:rPr>
                <w:rFonts w:ascii="微软雅黑" w:hAnsi="微软雅黑" w:eastAsia="微软雅黑"/>
                <w:sz w:val="17"/>
              </w:rPr>
              <w:t>增、药物剔大款服务增，平台与实验连接但点时收入</w:t>
            </w:r>
            <w:r>
              <w:rPr>
                <w:rFonts w:eastAsia="微软雅黑" w:ascii="微软雅黑" w:hAnsi="微软雅黑"/>
                <w:sz w:val="17"/>
              </w:rPr>
              <w:t>87.74%</w:t>
            </w:r>
            <w:r>
              <w:rPr>
                <w:rFonts w:ascii="微软雅黑" w:hAnsi="微软雅黑" w:eastAsia="微软雅黑"/>
                <w:sz w:val="17"/>
              </w:rPr>
              <w:t>、现金与验收待检</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行业周期需求</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AIforScience/</w:t>
            </w:r>
            <w:r>
              <w:rPr>
                <w:rFonts w:ascii="微软雅黑" w:hAnsi="微软雅黑" w:eastAsia="微软雅黑"/>
                <w:sz w:val="17"/>
              </w:rPr>
              <w:t>实验自动化需求扩张，跨境药企资本开支与材料实验预算仍有周期</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期限催化</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GPCR/Stanford</w:t>
            </w:r>
            <w:r>
              <w:rPr>
                <w:rFonts w:ascii="微软雅黑" w:hAnsi="微软雅黑" w:eastAsia="微软雅黑"/>
                <w:sz w:val="17"/>
              </w:rPr>
              <w:t>及</w:t>
            </w:r>
            <w:r>
              <w:rPr>
                <w:rFonts w:eastAsia="微软雅黑" w:ascii="微软雅黑" w:hAnsi="微软雅黑"/>
                <w:sz w:val="17"/>
              </w:rPr>
              <w:t>Dove</w:t>
            </w:r>
            <w:r>
              <w:rPr>
                <w:rFonts w:ascii="微软雅黑" w:hAnsi="微软雅黑" w:eastAsia="微软雅黑"/>
                <w:sz w:val="17"/>
              </w:rPr>
              <w:t>未来合同款、</w:t>
            </w:r>
            <w:r>
              <w:rPr>
                <w:rFonts w:eastAsia="微软雅黑" w:ascii="微软雅黑" w:hAnsi="微软雅黑"/>
                <w:sz w:val="17"/>
              </w:rPr>
              <w:t>2027IND</w:t>
            </w:r>
            <w:r>
              <w:rPr>
                <w:rFonts w:ascii="微软雅黑" w:hAnsi="微软雅黑" w:eastAsia="微软雅黑"/>
                <w:sz w:val="17"/>
              </w:rPr>
              <w:t>候选和年度交付，不能把计划当实际临床</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财务治理下行风险</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银行、基金、票据分开；</w:t>
            </w:r>
            <w:r>
              <w:rPr>
                <w:rFonts w:eastAsia="微软雅黑" w:ascii="微软雅黑" w:hAnsi="微软雅黑"/>
                <w:sz w:val="17"/>
              </w:rPr>
              <w:t>CBJan2027</w:t>
            </w:r>
            <w:r>
              <w:rPr>
                <w:rFonts w:ascii="微软雅黑" w:hAnsi="微软雅黑" w:eastAsia="微软雅黑"/>
                <w:sz w:val="17"/>
              </w:rPr>
              <w:t>按</w:t>
            </w:r>
            <w:r>
              <w:rPr>
                <w:rFonts w:eastAsia="微软雅黑" w:ascii="微软雅黑" w:hAnsi="微软雅黑"/>
                <w:sz w:val="17"/>
              </w:rPr>
              <w:t>101.76%</w:t>
            </w:r>
            <w:r>
              <w:rPr>
                <w:rFonts w:ascii="微软雅黑" w:hAnsi="微软雅黑" w:eastAsia="微软雅黑"/>
                <w:sz w:val="17"/>
              </w:rPr>
              <w:t>现金兑付；既发</w:t>
            </w:r>
            <w:r>
              <w:rPr>
                <w:rFonts w:eastAsia="微软雅黑" w:ascii="微软雅黑" w:hAnsi="微软雅黑"/>
                <w:sz w:val="17"/>
              </w:rPr>
              <w:t>PreESOP</w:t>
            </w:r>
            <w:r>
              <w:rPr>
                <w:rFonts w:ascii="微软雅黑" w:hAnsi="微软雅黑" w:eastAsia="微软雅黑"/>
                <w:sz w:val="17"/>
              </w:rPr>
              <w:t>不重加新股，投资归属及披露治理折价</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机构目标参照</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报告日期</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相对基准价回报</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评级</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目标期限证据</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Citi</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2026-09-03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8.000000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14.531138%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中性</w:t>
            </w:r>
            <w:r>
              <w:rPr>
                <w:rFonts w:eastAsia="微软雅黑" w:ascii="微软雅黑" w:hAnsi="微软雅黑"/>
                <w:sz w:val="17"/>
              </w:rPr>
              <w:t>/</w:t>
            </w:r>
            <w:r>
              <w:rPr>
                <w:rFonts w:ascii="微软雅黑" w:hAnsi="微软雅黑" w:eastAsia="微软雅黑"/>
                <w:sz w:val="17"/>
              </w:rPr>
              <w:t>高风险</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公开转述未明确目标日；原研报缺失</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JPMorgan</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2026-07-24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10.000000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43.163923%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增持</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公开转述未明确目标日；原研报缺失</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短期价格桥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悲观内在值</w:t>
            </w:r>
            <w:r>
              <w:rPr>
                <w:rFonts w:eastAsia="微软雅黑" w:ascii="微软雅黑" w:hAnsi="微软雅黑"/>
                <w:b/>
                <w:color w:val="FFFFFF"/>
                <w:sz w:val="17"/>
              </w:rPr>
              <w:t>/</w:t>
            </w:r>
            <w:r>
              <w:rPr>
                <w:rFonts w:ascii="微软雅黑" w:hAnsi="微软雅黑" w:eastAsia="微软雅黑"/>
                <w:b/>
                <w:color w:val="FFFFFF"/>
                <w:sz w:val="17"/>
              </w:rPr>
              <w:t>识别系数</w:t>
            </w:r>
            <w:r>
              <w:rPr>
                <w:rFonts w:eastAsia="微软雅黑" w:ascii="微软雅黑" w:hAnsi="微软雅黑"/>
                <w:b/>
                <w:color w:val="FFFFFF"/>
                <w:sz w:val="17"/>
              </w:rPr>
              <w:t>/</w:t>
            </w: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基准内在值</w:t>
            </w:r>
            <w:r>
              <w:rPr>
                <w:rFonts w:eastAsia="微软雅黑" w:ascii="微软雅黑" w:hAnsi="微软雅黑"/>
                <w:b/>
                <w:color w:val="FFFFFF"/>
                <w:sz w:val="17"/>
              </w:rPr>
              <w:t>/</w:t>
            </w:r>
            <w:r>
              <w:rPr>
                <w:rFonts w:ascii="微软雅黑" w:hAnsi="微软雅黑" w:eastAsia="微软雅黑"/>
                <w:b/>
                <w:color w:val="FFFFFF"/>
                <w:sz w:val="17"/>
              </w:rPr>
              <w:t>识别系数</w:t>
            </w:r>
            <w:r>
              <w:rPr>
                <w:rFonts w:eastAsia="微软雅黑" w:ascii="微软雅黑" w:hAnsi="微软雅黑"/>
                <w:b/>
                <w:color w:val="FFFFFF"/>
                <w:sz w:val="17"/>
              </w:rPr>
              <w:t>/</w:t>
            </w: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乐观内在值</w:t>
            </w:r>
            <w:r>
              <w:rPr>
                <w:rFonts w:eastAsia="微软雅黑" w:ascii="微软雅黑" w:hAnsi="微软雅黑"/>
                <w:b/>
                <w:color w:val="FFFFFF"/>
                <w:sz w:val="17"/>
              </w:rPr>
              <w:t>/</w:t>
            </w:r>
            <w:r>
              <w:rPr>
                <w:rFonts w:ascii="微软雅黑" w:hAnsi="微软雅黑" w:eastAsia="微软雅黑"/>
                <w:b/>
                <w:color w:val="FFFFFF"/>
                <w:sz w:val="17"/>
              </w:rPr>
              <w:t>识别系数</w:t>
            </w:r>
            <w:r>
              <w:rPr>
                <w:rFonts w:eastAsia="微软雅黑" w:ascii="微软雅黑" w:hAnsi="微软雅黑"/>
                <w:b/>
                <w:color w:val="FFFFFF"/>
                <w:sz w:val="17"/>
              </w:rPr>
              <w:t>/</w:t>
            </w:r>
            <w:r>
              <w:rPr>
                <w:rFonts w:ascii="微软雅黑" w:hAnsi="微软雅黑" w:eastAsia="微软雅黑"/>
                <w:b/>
                <w:color w:val="FFFFFF"/>
                <w:sz w:val="17"/>
              </w:rPr>
              <w:t>目标价</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0.000000 / 0.55 / 3.143250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0.571219 / 0.35 / 4.740176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4.928721 / 0.30 / 6.368116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0.000000 / 0.80 / 1.397000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0.590458 / 0.65 / 2.828548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5.063927 / 0.55 / 5.928410</w:t>
            </w:r>
          </w:p>
        </w:tc>
      </w:tr>
    </w:tbl>
    <w:p>
      <w:pPr>
        <w:pStyle w:val="Normal"/>
        <w:rPr/>
      </w:pPr>
      <w:r>
        <w:rPr/>
      </w:r>
    </w:p>
    <w:p>
      <w:pPr>
        <w:pStyle w:val="Normal"/>
        <w:rPr/>
      </w:pPr>
      <w:r>
        <w:rPr/>
        <w:t>短期目标价</w:t>
      </w:r>
      <w:r>
        <w:rPr/>
        <w:t>=</w:t>
      </w:r>
      <w:r>
        <w:rPr/>
        <w:t>现价＋识别系数</w:t>
      </w:r>
      <w:r>
        <w:rPr/>
        <w:t>×</w:t>
      </w:r>
      <w:r>
        <w:rPr/>
        <w:t>（有限股东现金内在值－现价），最低取</w:t>
      </w:r>
      <w:r>
        <w:rPr/>
        <w:t>0</w:t>
      </w:r>
      <w:r>
        <w:rPr/>
        <w:t>；系数为独立研究判断，不是市场收敛概率。一年、三年和五年系数均为</w:t>
      </w:r>
      <w:r>
        <w:rPr/>
        <w:t>1</w:t>
      </w:r>
      <w:r>
        <w:rPr/>
        <w:t>，只表示按该模型内在值列目标。</w:t>
      </w:r>
      <w:r>
        <w:rPr/>
        <w:t>43</w:t>
      </w:r>
      <w:r>
        <w:rPr/>
        <w:t>条证据记录保留药名、适应症和来源；七项具名自研适应症按选定患者、年价格、份额独立计算峰值，临床前成功率和净实现率明示为假设。未命名或权利归属真正不明者排除收益，全部临床预算保留。不将旧组合峰值、里程碑和平均成功率任意拆分到单药。零值门需新证据及版本审核才可打开；观察行</w:t>
      </w:r>
      <w:r>
        <w:rPr/>
        <w:t>p=0</w:t>
      </w:r>
      <w:r>
        <w:rPr/>
        <w:t>是占位而临床概率未知，七项活动项目</w:t>
      </w:r>
      <w:r>
        <w:rPr/>
        <w:t>p</w:t>
      </w:r>
      <w:r>
        <w:rPr/>
        <w:t>为研究判断。公开自研及全资</w:t>
      </w:r>
      <w:r>
        <w:rPr/>
        <w:t>Ailux</w:t>
      </w:r>
      <w:r>
        <w:rPr/>
        <w:t>身份支持</w:t>
      </w:r>
      <w:r>
        <w:rPr/>
        <w:t>100%</w:t>
      </w:r>
      <w:r>
        <w:rPr/>
        <w:t>归属假设，不能称无负担净销售权已证实；</w:t>
      </w:r>
      <w:r>
        <w:rPr/>
        <w:t>0%</w:t>
      </w:r>
      <w:r>
        <w:rPr/>
        <w:t>、</w:t>
      </w:r>
      <w:r>
        <w:rPr/>
        <w:t>50%</w:t>
      </w:r>
      <w:r>
        <w:rPr/>
        <w:t>、</w:t>
      </w:r>
      <w:r>
        <w:rPr/>
        <w:t>100%</w:t>
      </w:r>
      <w:r>
        <w:rPr/>
        <w:t>敏感性分别给出。</w:t>
      </w:r>
    </w:p>
    <w:p>
      <w:pPr>
        <w:pStyle w:val="Heading2"/>
        <w:rPr/>
      </w:pPr>
      <w:r>
        <w:rPr>
          <w:rFonts w:ascii="Microsoft YaHei" w:hAnsi="Microsoft YaHei" w:eastAsia="微软雅黑"/>
          <w:b/>
          <w:color w:val="000000"/>
          <w:sz w:val="26"/>
        </w:rPr>
        <w:t>一 投资结论的结构与研究对象</w:t>
      </w:r>
    </w:p>
    <w:p>
      <w:pPr>
        <w:pStyle w:val="Normal"/>
        <w:rPr/>
      </w:pPr>
      <w:r>
        <w:rPr/>
        <w:t>晶泰的吸引力来自物理实验、计算模型和药物开发之间的连接。它既服务药企，也出售实验室基础设施，并通过合作保留部分药物的经济利益；因此它的价值来源比单纯计算软件更广，但会计收入、客户付款、临床权益和股东可分配现金之间存在多层转换。评价公司时，首先要确认收入为何增长，其次确认增长需要付出多少人员、仪器、资本开支和营运资金，最后确认上市公司股东实际拥有多少合作资产。只有这三个问题都得到支持，较高销售倍数才有足够的经营依据。</w:t>
      </w:r>
    </w:p>
    <w:p>
      <w:pPr>
        <w:pStyle w:val="Normal"/>
        <w:rPr/>
      </w:pPr>
      <w:r>
        <w:rPr/>
        <w:t>本研究将晶泰看作科学智能基础设施与药物发现服务的混合企业。半年判断重视估值和量价，一年关注年度交付、可转债兑付与收入质量，三年关注产品化和候选药物的实际临床推进，五年关注可持续利润及资本回报。四种期限并不是把同一个高增长故事按时间拉长：交付收入可能在半年兑现，药物的注册成功通常需要更久，参股企业的股权回收又依赖退出和权利限制。把这些时间差放进同一现金模型，才能避免将多年条件收益误认为今年可以实现的利润。</w:t>
      </w:r>
    </w:p>
    <w:p>
      <w:pPr>
        <w:pStyle w:val="Normal"/>
        <w:rPr/>
      </w:pPr>
      <w:r>
        <w:rPr/>
        <w:t>当前价格</w:t>
      </w:r>
      <w:r>
        <w:rPr/>
        <w:t>6.985</w:t>
      </w:r>
      <w:r>
        <w:rPr/>
        <w:t>港元对应约四十三亿股的规模，不能因单股价格低就认为便宜。按已经回购股份全部排除的经济分母四十二点九六二九亿股计算，市场股权价值约三百亿港元，换算人民币约二百七十三亿元，而二零二五年收入只有八点零二六亿元。总收入包含大额授权，对平台服务的估值要求实际上更高。低票面价格、较去年高点的大幅回撤和长期需求广阔，都不能单独回答未来现金是否足以覆盖当前资本化价值；这也是本章保持低估值评分的原因。</w:t>
      </w:r>
    </w:p>
    <w:p>
      <w:pPr>
        <w:pStyle w:val="Heading2"/>
        <w:rPr/>
      </w:pPr>
      <w:r>
        <w:rPr>
          <w:rFonts w:ascii="Microsoft YaHei" w:hAnsi="Microsoft YaHei" w:eastAsia="微软雅黑"/>
          <w:b/>
          <w:color w:val="000000"/>
          <w:sz w:val="26"/>
        </w:rPr>
        <w:t>二 从计算工具到实验闭环的业务能力</w:t>
      </w:r>
    </w:p>
    <w:p>
      <w:pPr>
        <w:pStyle w:val="Normal"/>
        <w:rPr/>
      </w:pPr>
      <w:r>
        <w:rPr/>
        <w:t>公司中报描述的技术架构包括</w:t>
      </w:r>
      <w:r>
        <w:rPr/>
        <w:t>Genius Agent</w:t>
      </w:r>
      <w:r>
        <w:rPr/>
        <w:t>、</w:t>
      </w:r>
      <w:r>
        <w:rPr/>
        <w:t>Scientific AI</w:t>
      </w:r>
      <w:r>
        <w:rPr/>
        <w:t>、</w:t>
      </w:r>
      <w:r>
        <w:rPr/>
        <w:t>Physical AI</w:t>
      </w:r>
      <w:r>
        <w:rPr/>
        <w:t>及数据底座。智能中枢负责拆解科研目标和调度工具，领域模型处理分子与材料预测，机器人实验室将建议转成可重复的实验，实验结果再回到模型中。投资上最有价值的环节是模型错误能否被真实实验迅速纠正，而不是单次生成看起来合理的分子。若每轮设计都能减少无效合成，客户会愿意支付更多；若计算建议与实验脱节，项目仍需大量人工补救，表面上的模型效率就难以转成稳定毛利。</w:t>
      </w:r>
    </w:p>
    <w:p>
      <w:pPr>
        <w:pStyle w:val="Normal"/>
        <w:rPr/>
      </w:pPr>
      <w:r>
        <w:rPr/>
        <w:t>截至中报，集团称已部署超过三百台自动化工站，覆盖二十多类场景，体系服务超过一百个新药及新材料项目。公司称每月形成五万多条反应产率数据和三十万条过程数据，累计超过五十万条真实实验记录，其中约八成为失败负样本。这些是管理层的经营披露，尚不能直接证明数据对竞争对手形成永久排他性。负样本有潜在价值，因为公开论文更倾向报告成功结果；但能否用于客户项目仍取决于数据权利、实验一致性、仪器条件以及模型的跨任务迁移能力。</w:t>
      </w:r>
    </w:p>
    <w:p>
      <w:pPr>
        <w:pStyle w:val="Normal"/>
        <w:rPr/>
      </w:pPr>
      <w:r>
        <w:rPr/>
        <w:t>科学实验的数据壁垒应通过可验证的效果建立。需要观察同一类型项目的候选分子命中率、从命中到先导优化的时间、人工干预次数、跨客户复用的比例和客户续约，而不是只观察数据条目总数。不同化学空间、蛋白构象和测定条件可能让历史数据失去适用性，数据积累也可能伴随维护成本增加。本研究给予技术和业务质量较高的成长评价，同时保留经营证据的限制：公司没有公开所有项目的统一对照试验，不能由部署数量直接推导下一年的利润率，也不能把科研任务的性能等同于药物临床成功率。</w:t>
      </w:r>
    </w:p>
    <w:p>
      <w:pPr>
        <w:pStyle w:val="Heading2"/>
        <w:rPr/>
      </w:pPr>
      <w:r>
        <w:rPr>
          <w:rFonts w:ascii="Microsoft YaHei" w:hAnsi="Microsoft YaHei" w:eastAsia="微软雅黑"/>
          <w:b/>
          <w:color w:val="000000"/>
          <w:sz w:val="26"/>
        </w:rPr>
        <w:t>三 两类收入与产品化的检验</w:t>
      </w:r>
    </w:p>
    <w:p>
      <w:pPr>
        <w:pStyle w:val="Normal"/>
        <w:rPr/>
      </w:pPr>
      <w:r>
        <w:rPr/>
        <w:t>晶泰的财务报告将业务划为药物发现解决方案和</w:t>
      </w:r>
      <w:r>
        <w:rPr/>
        <w:t>AI for Science</w:t>
      </w:r>
      <w:r>
        <w:rPr/>
        <w:t>智慧解决方案。二零二六年上半年两者收入分别为二点零零一零九亿元和一点九三五一八亿元，合计三点九三六二七亿元。药物业务可同时包含研发服务和授权付款，科学智能业务则包含机器人实验室和相关智能服务。两类收入的客户采购动机不同：前者购买候选药物发现的效率，后者购买实验执行与数据生成的基础能力。因此模型分别建立</w:t>
      </w:r>
      <w:r>
        <w:rPr/>
        <w:t>AI4S</w:t>
      </w:r>
      <w:r>
        <w:rPr/>
        <w:t>、药物服务、已签近端款和未来新项目预算，避免用同一毛利率覆盖所有业务。</w:t>
      </w:r>
    </w:p>
    <w:p>
      <w:pPr>
        <w:pStyle w:val="Normal"/>
        <w:rPr/>
      </w:pPr>
      <w:r>
        <w:rPr/>
        <w:t>AI4S</w:t>
      </w:r>
      <w:r>
        <w:rPr/>
        <w:t>上半年收入同比增长百分之一百三十六点四，是最值得跟踪的实际经营进展。实验室项目可能包含定制安装、工艺适配、操作培训和验收，交付金额增长未必马上带来软件式的高毛利。若每个客户都需要重新设计硬件和实验流程，规模增加会同时提高工程人员和外包成本；若标准模块、控制软件及售后体系逐步成熟，后续客户的交付成本可以下降。判断产品化是否成功，应结合毛利、合同成本、在手项目的验收周期和重复采购，不能仅依据收入增速对其给予成熟软件平台倍数。</w:t>
      </w:r>
    </w:p>
    <w:p>
      <w:pPr>
        <w:pStyle w:val="Normal"/>
        <w:rPr/>
      </w:pPr>
      <w:r>
        <w:rPr/>
        <w:t>报告所称的智能服务还涉及分子砌块、虚拟化合物库、化学合成、材料实验及计算支持。客户购买这些服务时，可能先以较小订单测试交付，再扩大项目，形成重复交易的机会；但若客户内部建立自己的模型和机器人系统，外部服务也可能缩小为局部工序。晶泰需要证明跨客户积累的数据和工具能形成更低成本或更高成功率。长期收入质量取决于标准化服务占比和客户的不可替代需求。模型没有把所有智能服务当作确定续订收入，也没有将</w:t>
      </w:r>
      <w:r>
        <w:rPr/>
        <w:t>Science Token</w:t>
      </w:r>
      <w:r>
        <w:rPr/>
        <w:t>的未来调用机制视为已经实现的订阅利润。</w:t>
      </w:r>
    </w:p>
    <w:p>
      <w:pPr>
        <w:pStyle w:val="Heading2"/>
        <w:rPr/>
      </w:pPr>
      <w:r>
        <w:rPr>
          <w:rFonts w:ascii="Microsoft YaHei" w:hAnsi="Microsoft YaHei" w:eastAsia="微软雅黑"/>
          <w:b/>
          <w:color w:val="000000"/>
          <w:sz w:val="26"/>
        </w:rPr>
        <w:t>四 收入增长中的大额合作与会计口径</w:t>
      </w:r>
    </w:p>
    <w:p>
      <w:pPr>
        <w:pStyle w:val="Normal"/>
        <w:rPr/>
      </w:pPr>
      <w:r>
        <w:rPr/>
        <w:t>上半年总收入较去年同期五点一七七亿元下降百分之二十三点九，主要受到大额授权比较基数影响。二零二五年同期确认五千一百万美元的管线首付款，二零二六年相关合作收到第二笔一千九百万美元。中报认为剔除相应大额款的影响后收入增长百分之七十三点八。这个调整有解释价值，却不能替代完整收入，因为授权属于业务模式的一部分。投资者应同时看报告收入和经解释的服务增长：前者体现现金权利兑现的波动，后者体现交付基础是否扩大，两者结合才能判断未来盈利的稳定程度。</w:t>
      </w:r>
    </w:p>
    <w:p>
      <w:pPr>
        <w:pStyle w:val="Normal"/>
        <w:rPr/>
      </w:pPr>
      <w:r>
        <w:rPr/>
        <w:t>财务附注列示客户</w:t>
      </w:r>
      <w:r>
        <w:rPr/>
        <w:t>A</w:t>
      </w:r>
      <w:r>
        <w:rPr/>
        <w:t>上半年贡献一点二九四零七亿元，占总收入约三分之一；其去年同期贡献三点六五零八九亿元。该金额与管理层描述的大额合作付款接近，但匿名财务附注没有直接将客户</w:t>
      </w:r>
      <w:r>
        <w:rPr/>
        <w:t>A</w:t>
      </w:r>
      <w:r>
        <w:rPr/>
        <w:t>命名为</w:t>
      </w:r>
      <w:r>
        <w:rPr/>
        <w:t>DoveTree</w:t>
      </w:r>
      <w:r>
        <w:rPr/>
        <w:t>，本研究保留匿名标识，不以金额吻合替代合同身份确认。财报还列示某一时点确认的收入三点四五三七五亿元，随时间确认的收入四千八百二十五点二万元。时点收入占比接近百分之八十八，说明年内波动可能受到验收和授权节点影响，不宜简单把半年收入乘二当作确定全年预测。</w:t>
      </w:r>
    </w:p>
    <w:p>
      <w:pPr>
        <w:pStyle w:val="Normal"/>
        <w:rPr/>
      </w:pPr>
      <w:r>
        <w:rPr/>
        <w:t>服务合同的预收款可以帮助现金周转，但仍对应未来履约责任。六月合同负债八千四百五十七点一万元，不能全额当作额外可分配现金价值再加进估值；后续项目需要人员、材料和实验费用。反之，应收账款增长也不必然代表客户信用恶化，可能来自集中验收后的结算时间差。判断收入的质量，需要比较收款与确认时点、客户集中度和服务交付成本，并观察是否通过新的预付款持续弥补旧项目的现金缺口。这些判断要依靠后续年度报告验证，半年内的主题行情无法取代。</w:t>
      </w:r>
    </w:p>
    <w:p>
      <w:pPr>
        <w:pStyle w:val="Heading2"/>
        <w:rPr/>
      </w:pPr>
      <w:r>
        <w:rPr>
          <w:rFonts w:ascii="Microsoft YaHei" w:hAnsi="Microsoft YaHei" w:eastAsia="微软雅黑"/>
          <w:b/>
          <w:color w:val="000000"/>
          <w:sz w:val="26"/>
        </w:rPr>
        <w:t xml:space="preserve">五 </w:t>
      </w:r>
      <w:r>
        <w:rPr>
          <w:rFonts w:eastAsia="微软雅黑" w:ascii="Microsoft YaHei" w:hAnsi="Microsoft YaHei"/>
          <w:b/>
          <w:color w:val="000000"/>
          <w:sz w:val="26"/>
        </w:rPr>
        <w:t>DoveTree</w:t>
      </w:r>
      <w:r>
        <w:rPr>
          <w:rFonts w:ascii="Microsoft YaHei" w:hAnsi="Microsoft YaHei" w:eastAsia="微软雅黑"/>
          <w:b/>
          <w:color w:val="000000"/>
          <w:sz w:val="26"/>
        </w:rPr>
        <w:t>合作的经济权利与兑现条件</w:t>
      </w:r>
    </w:p>
    <w:p>
      <w:pPr>
        <w:pStyle w:val="Normal"/>
        <w:rPr/>
      </w:pPr>
      <w:r>
        <w:rPr/>
        <w:t>二零二五年最终合作公告说明，晶泰将为</w:t>
      </w:r>
      <w:r>
        <w:rPr/>
        <w:t>DoveTree</w:t>
      </w:r>
      <w:r>
        <w:rPr/>
        <w:t>选择的多个靶点发现和开发候选药物，领域包括肿瘤、免疫炎症、神经和代谢。对方获得相应产品的全球独占开发和商业化权利，晶泰已收五千一百万美元，并有进一步四千九百万美元的付款安排。二零二六年五月更新公告确认收到其中一千九百万美元，部分多肿瘤候选资产进入支持</w:t>
      </w:r>
      <w:r>
        <w:rPr/>
        <w:t>IND</w:t>
      </w:r>
      <w:r>
        <w:rPr/>
        <w:t>申请的研究。早期生物活性和选择性表现只能支持继续研发，不能等同于已在患者中证明持续疗效，更不能当作未来多适应症销量已经确定。</w:t>
      </w:r>
    </w:p>
    <w:p>
      <w:pPr>
        <w:pStyle w:val="Normal"/>
        <w:rPr/>
      </w:pPr>
      <w:r>
        <w:rPr/>
        <w:t>公告披露潜在监管和商业里程碑上限五十八点九亿美元，以及未来净销售额的个位数百分比版税。合同上限跨靶点、阶段和商业化条件，不能直接加到现金或股权价值。公开资料没有将每一候选的具体适应症、确切净费率和里程碑分配完整映射，本次模型因此不计未来</w:t>
      </w:r>
      <w:r>
        <w:rPr/>
        <w:t>DoveTree</w:t>
      </w:r>
      <w:r>
        <w:rPr/>
        <w:t>药物版税和风险里程碑收益，而把未命名泛癌候选及其余合同方向分列零值观察。已收首款和第二笔付款保留历史事实，不能在管线现值中再次计入；近端服务预算也不是旧条款清单所列金额全部无条件应收。</w:t>
      </w:r>
    </w:p>
    <w:p>
      <w:pPr>
        <w:pStyle w:val="Normal"/>
        <w:rPr/>
      </w:pPr>
      <w:r>
        <w:rPr/>
        <w:t>该合作的积极意义在于客户愿意为平台能力支付实质现金，并接受多个难成药靶点的共同开发。潜在风险则在于项目集中、对方的资金安排、临床推进决定和付款条件。若一批靶点失败或客户调整战略，未来款可能延迟甚至取消；晶泰保留的低比例版税意味着只有销售达到相当规模才能形成上市公司层面的显著收益。公开交易条款尚不足以支持逐适应症预测，</w:t>
      </w:r>
      <w:r>
        <w:rPr/>
        <w:t>DoveTree</w:t>
      </w:r>
      <w:r>
        <w:rPr/>
        <w:t>本次不提供推定商业年份、峰值与阶段成功率；这些缺失会限制模型解释力，但不能靠任意分摊合同上限解决。上调推荐应看到新的确定付款和候选药物进入临床，而不是仅重复潜在交易上限。</w:t>
      </w:r>
    </w:p>
    <w:p>
      <w:pPr>
        <w:pStyle w:val="Heading2"/>
        <w:rPr/>
      </w:pPr>
      <w:r>
        <w:rPr>
          <w:rFonts w:ascii="Microsoft YaHei" w:hAnsi="Microsoft YaHei" w:eastAsia="微软雅黑"/>
          <w:b/>
          <w:color w:val="000000"/>
          <w:sz w:val="26"/>
        </w:rPr>
        <w:t xml:space="preserve">六 </w:t>
      </w:r>
      <w:r>
        <w:rPr>
          <w:rFonts w:eastAsia="微软雅黑" w:ascii="Microsoft YaHei" w:hAnsi="Microsoft YaHei"/>
          <w:b/>
          <w:color w:val="000000"/>
          <w:sz w:val="26"/>
        </w:rPr>
        <w:t xml:space="preserve">GPCR </w:t>
      </w:r>
      <w:r>
        <w:rPr>
          <w:rFonts w:ascii="Microsoft YaHei" w:hAnsi="Microsoft YaHei" w:eastAsia="微软雅黑"/>
          <w:b/>
          <w:color w:val="000000"/>
          <w:sz w:val="26"/>
        </w:rPr>
        <w:t>维昇与跨机构合作</w:t>
      </w:r>
    </w:p>
    <w:p>
      <w:pPr>
        <w:pStyle w:val="Normal"/>
        <w:rPr/>
      </w:pPr>
      <w:r>
        <w:rPr/>
        <w:t>二零二六年六月公告披露，与一家未具名国际生物制药企业达成</w:t>
      </w:r>
      <w:r>
        <w:rPr/>
        <w:t>GPCR</w:t>
      </w:r>
      <w:r>
        <w:rPr/>
        <w:t>靶点口服小分子发现合作。原件说明复杂代谢靶点，潜在总价值超过四亿美元，合作方支付首款并承担早期研发成本，未来可能支付阶段及商业里程碑和销售分成。不能将此写成没有任何领域信息，仍缺具体受体、疾病、伙伴及确切净费率。成本承担约定降低晶泰早期负担，不证明每个未来款项已经到期。本次将该项目单列零值观察，不估计未来药物现金，不把四亿美元列作确定应收，也不与完整自营销售叠加。</w:t>
      </w:r>
    </w:p>
    <w:p>
      <w:pPr>
        <w:pStyle w:val="Normal"/>
        <w:rPr/>
      </w:pPr>
      <w:r>
        <w:rPr/>
        <w:t>与维昇药业的合作聚焦内分泌及代谢的高价值临床需求，整体规模披露为数千万元人民币。与东阳光药的战略安排则计划建立合资公司和联合实验室，并预计由对方投入数亿元。两者都能增加客户场景和行业数据，但协议方向、预计投资与已经收到的服务收入具有不同确定性。只有实际出资、双方权利比例、项目预算及收入确认条件确定后，才能把联合公司价值完整纳入股东模型。本研究将可支撑的服务需求放入预算，并以投资支出代理未来合作投入，不将对方全部计划资本当作晶泰自己的现金。</w:t>
      </w:r>
    </w:p>
    <w:p>
      <w:pPr>
        <w:pStyle w:val="Normal"/>
        <w:rPr/>
      </w:pPr>
      <w:r>
        <w:rPr/>
        <w:t>九月十七日公告披露，全资子公司</w:t>
      </w:r>
      <w:r>
        <w:rPr/>
        <w:t>LCC</w:t>
      </w:r>
      <w:r>
        <w:rPr/>
        <w:t>与斯坦福大学建立药物发现合作，用</w:t>
      </w:r>
      <w:r>
        <w:rPr/>
        <w:t>PACE</w:t>
      </w:r>
      <w:r>
        <w:rPr/>
        <w:t>平台连接疾病生物学、片段发现、计算设计及自动化合成，并由联合委员会选择项目。大学研究可以补充靶点洞见，商业化仍需建立知识产权、转化路径和未来授权条款。公告没有给出确定收入、独占适应症或最低采购额，本模型未为该公告单独加入大额首款。对长期投资而言，它更适合作为平台与研究生态关系的观察证据；对半年交易而言，它可以成为情绪催化，却不能直接替代盈利估值。</w:t>
      </w:r>
    </w:p>
    <w:p>
      <w:pPr>
        <w:pStyle w:val="Heading2"/>
        <w:rPr/>
      </w:pPr>
      <w:r>
        <w:rPr>
          <w:rFonts w:ascii="Microsoft YaHei" w:hAnsi="Microsoft YaHei" w:eastAsia="微软雅黑"/>
          <w:b/>
          <w:color w:val="000000"/>
          <w:sz w:val="26"/>
        </w:rPr>
        <w:t>七 自研小分子 多抗与小核酸的临床边界</w:t>
      </w:r>
    </w:p>
    <w:p>
      <w:pPr>
        <w:pStyle w:val="Normal"/>
        <w:rPr/>
      </w:pPr>
      <w:r>
        <w:rPr/>
        <w:t>中报管线表列出</w:t>
      </w:r>
      <w:r>
        <w:rPr/>
        <w:t>XTN004</w:t>
      </w:r>
      <w:r>
        <w:rPr/>
        <w:t>、</w:t>
      </w:r>
      <w:r>
        <w:rPr/>
        <w:t>ALX001</w:t>
      </w:r>
      <w:r>
        <w:rPr/>
        <w:t>、</w:t>
      </w:r>
      <w:r>
        <w:rPr/>
        <w:t>ALX002</w:t>
      </w:r>
      <w:r>
        <w:rPr/>
        <w:t>、</w:t>
      </w:r>
      <w:r>
        <w:rPr/>
        <w:t>ALX005</w:t>
      </w:r>
      <w:r>
        <w:rPr/>
        <w:t>和</w:t>
      </w:r>
      <w:r>
        <w:rPr/>
        <w:t>XS01</w:t>
      </w:r>
      <w:r>
        <w:rPr/>
        <w:t>等自研候选。</w:t>
      </w:r>
      <w:r>
        <w:rPr/>
        <w:t>XTN004</w:t>
      </w:r>
      <w:r>
        <w:rPr/>
        <w:t>靶向</w:t>
      </w:r>
      <w:r>
        <w:rPr/>
        <w:t>TRK</w:t>
      </w:r>
      <w:r>
        <w:rPr/>
        <w:t>及</w:t>
      </w:r>
      <w:r>
        <w:rPr/>
        <w:t>RET</w:t>
      </w:r>
      <w:r>
        <w:rPr/>
        <w:t>，是肠道限制性分布的候选小分子，针对肠道疼痛及肠易激综合征、炎症性肠病相关需求，计划下半年申报中美</w:t>
      </w:r>
      <w:r>
        <w:rPr/>
        <w:t>IND</w:t>
      </w:r>
      <w:r>
        <w:rPr/>
        <w:t>；</w:t>
      </w:r>
      <w:r>
        <w:rPr/>
        <w:t>ALX</w:t>
      </w:r>
      <w:r>
        <w:rPr/>
        <w:t>系列覆盖</w:t>
      </w:r>
      <w:r>
        <w:rPr/>
        <w:t>TL1A</w:t>
      </w:r>
      <w:r>
        <w:rPr/>
        <w:t>与</w:t>
      </w:r>
      <w:r>
        <w:rPr/>
        <w:t>IL23p19</w:t>
      </w:r>
      <w:r>
        <w:rPr/>
        <w:t>、</w:t>
      </w:r>
      <w:r>
        <w:rPr/>
        <w:t>CD19</w:t>
      </w:r>
      <w:r>
        <w:rPr/>
        <w:t>与</w:t>
      </w:r>
      <w:r>
        <w:rPr/>
        <w:t>BCMA</w:t>
      </w:r>
      <w:r>
        <w:rPr/>
        <w:t>及</w:t>
      </w:r>
      <w:r>
        <w:rPr/>
        <w:t>CD3</w:t>
      </w:r>
      <w:r>
        <w:rPr/>
        <w:t>，以及</w:t>
      </w:r>
      <w:r>
        <w:rPr/>
        <w:t>FcRn</w:t>
      </w:r>
      <w:r>
        <w:rPr/>
        <w:t>与</w:t>
      </w:r>
      <w:r>
        <w:rPr/>
        <w:t>HSA</w:t>
      </w:r>
      <w:r>
        <w:rPr/>
        <w:t>等机制，部分计划二零二七年进入一期。</w:t>
      </w:r>
      <w:r>
        <w:rPr/>
        <w:t>XS01</w:t>
      </w:r>
      <w:r>
        <w:rPr/>
        <w:t>涉及</w:t>
      </w:r>
      <w:r>
        <w:rPr/>
        <w:t>IgA</w:t>
      </w:r>
      <w:r>
        <w:rPr/>
        <w:t>肾病和阵发性睡眠性血红蛋白尿症。候选物数量增加能丰富平台验证场景，但这些项目仍面临剂量、安全窗、临床疗效与注册路径的检验。中报中的下一里程碑属于管理层计划，资料截止日不能提前当作已经完成。</w:t>
      </w:r>
    </w:p>
    <w:p>
      <w:pPr>
        <w:pStyle w:val="Normal"/>
        <w:rPr/>
      </w:pPr>
      <w:r>
        <w:rPr/>
        <w:t>XTN004</w:t>
      </w:r>
      <w:r>
        <w:rPr/>
        <w:t>的</w:t>
      </w:r>
      <w:r>
        <w:rPr/>
        <w:t>TRK</w:t>
      </w:r>
      <w:r>
        <w:rPr/>
        <w:t>及</w:t>
      </w:r>
      <w:r>
        <w:rPr/>
        <w:t>RET</w:t>
      </w:r>
      <w:r>
        <w:rPr/>
        <w:t>靶点不能仅凭名称归为肿瘤治疗；中报解释其采用肠道限制性设计，目的是处理肠道疼痛及相关疾病。投资价值需要验证局部暴露、疼痛改善、胃肠功能与全身安全窗，动物模型和酶活数据不足以确定患者获益；若肠道限制不稳定或对正常感觉及运动功能影响较大，研发假设应下修。多抗则需要兼顾结合、激活、半衰期、可制造性及免疫相关风险，单独计算高亲和力不能保证临床给药方便。对于</w:t>
      </w:r>
      <w:r>
        <w:rPr/>
        <w:t>ALX002</w:t>
      </w:r>
      <w:r>
        <w:rPr/>
        <w:t>这样的多特异性机制，健康或疾病模型中的活性与复杂患者免疫环境之间可能存在差距。公司未披露的实际临床成功率保留未知；七项活动项目另列研究概率，并保留未分配研发预算；没有用“潜在同类最佳”的表述代替对照证据。</w:t>
      </w:r>
    </w:p>
    <w:p>
      <w:pPr>
        <w:pStyle w:val="Normal"/>
        <w:rPr/>
      </w:pPr>
      <w:r>
        <w:rPr/>
        <w:t>小核酸在递送、组织选择性、持久性和安全性上具有自己的研发路径，不能从小分子服务成功率推导。肾病患者的终点、背景治疗和随访会影响注册难度。</w:t>
      </w:r>
      <w:r>
        <w:rPr/>
        <w:t>XS01</w:t>
      </w:r>
      <w:r>
        <w:rPr/>
        <w:t>的</w:t>
      </w:r>
      <w:r>
        <w:rPr/>
        <w:t>IgA</w:t>
      </w:r>
      <w:r>
        <w:rPr/>
        <w:t>肾病与阵发性睡眠性血红蛋白尿症分别建观察行；中报所称组合最快项目达到</w:t>
      </w:r>
      <w:r>
        <w:rPr/>
        <w:t>PCC</w:t>
      </w:r>
      <w:r>
        <w:rPr/>
        <w:t>，没有足够证据逐一映射到</w:t>
      </w:r>
      <w:r>
        <w:rPr/>
        <w:t>XS01</w:t>
      </w:r>
      <w:r>
        <w:rPr/>
        <w:t>的各适应症，不能据此补造临床期数。两行的净权益、临床终点、竞争与成本均待核实，收益为零占位。如果后续试验证明疗效并公布权利，应按同一药物共享研发成本与独立适应症市场重新建模，避免给每行重复完整平台价值。</w:t>
      </w:r>
    </w:p>
    <w:p>
      <w:pPr>
        <w:pStyle w:val="Heading2"/>
        <w:rPr/>
      </w:pPr>
      <w:r>
        <w:rPr>
          <w:rFonts w:ascii="Microsoft YaHei" w:hAnsi="Microsoft YaHei" w:eastAsia="微软雅黑"/>
          <w:b/>
          <w:color w:val="000000"/>
          <w:sz w:val="26"/>
        </w:rPr>
        <w:t>七补 逐药适应症的证据与零值处理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独立记录</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候选或合同</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适应症</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截至日阶段文字证据</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净权益和估值缺口</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主要原始来源与</w:t>
            </w:r>
            <w:r>
              <w:rPr>
                <w:rFonts w:eastAsia="微软雅黑" w:ascii="微软雅黑" w:hAnsi="微软雅黑"/>
                <w:b/>
                <w:color w:val="FFFFFF"/>
                <w:sz w:val="17"/>
              </w:rPr>
              <w:t>PDF</w:t>
            </w:r>
            <w:r>
              <w:rPr>
                <w:rFonts w:ascii="微软雅黑" w:hAnsi="微软雅黑" w:eastAsia="微软雅黑"/>
                <w:b/>
                <w:color w:val="FFFFFF"/>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XTN004_IBS</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XTN004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肠易激综合征（</w:t>
            </w:r>
            <w:r>
              <w:rPr>
                <w:rFonts w:eastAsia="微软雅黑" w:ascii="微软雅黑" w:hAnsi="微软雅黑"/>
                <w:sz w:val="17"/>
              </w:rPr>
              <w:t>IBS</w:t>
            </w:r>
            <w:r>
              <w:rPr>
                <w:rFonts w:ascii="微软雅黑" w:hAnsi="微软雅黑" w:eastAsia="微软雅黑"/>
                <w:sz w:val="17"/>
              </w:rPr>
              <w:t>）相关肠道疼痛</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已递交美国 </w:t>
            </w:r>
            <w:r>
              <w:rPr>
                <w:rFonts w:eastAsia="微软雅黑" w:ascii="微软雅黑" w:hAnsi="微软雅黑"/>
                <w:sz w:val="17"/>
              </w:rPr>
              <w:t xml:space="preserve">pre-IND </w:t>
            </w:r>
            <w:r>
              <w:rPr>
                <w:rFonts w:ascii="微软雅黑" w:hAnsi="微软雅黑" w:eastAsia="微软雅黑"/>
                <w:sz w:val="17"/>
              </w:rPr>
              <w:t xml:space="preserve">会议材料；预计 </w:t>
            </w:r>
            <w:r>
              <w:rPr>
                <w:rFonts w:eastAsia="微软雅黑" w:ascii="微软雅黑" w:hAnsi="微软雅黑"/>
                <w:sz w:val="17"/>
              </w:rPr>
              <w:t xml:space="preserve">2026 </w:t>
            </w:r>
            <w:r>
              <w:rPr>
                <w:rFonts w:ascii="微软雅黑" w:hAnsi="微软雅黑" w:eastAsia="微软雅黑"/>
                <w:sz w:val="17"/>
              </w:rPr>
              <w:t xml:space="preserve">年下半年中美 </w:t>
            </w:r>
            <w:r>
              <w:rPr>
                <w:rFonts w:eastAsia="微软雅黑" w:ascii="微软雅黑" w:hAnsi="微软雅黑"/>
                <w:sz w:val="17"/>
              </w:rPr>
              <w:t xml:space="preserve">IND </w:t>
            </w:r>
            <w:r>
              <w:rPr>
                <w:rFonts w:ascii="微软雅黑" w:hAnsi="微软雅黑" w:eastAsia="微软雅黑"/>
                <w:sz w:val="17"/>
              </w:rPr>
              <w:t xml:space="preserve">申报。尚无该来源明确证明 </w:t>
            </w:r>
            <w:r>
              <w:rPr>
                <w:rFonts w:eastAsia="微软雅黑" w:ascii="微软雅黑" w:hAnsi="微软雅黑"/>
                <w:sz w:val="17"/>
              </w:rPr>
              <w:t xml:space="preserve">IND </w:t>
            </w:r>
            <w:r>
              <w:rPr>
                <w:rFonts w:ascii="微软雅黑" w:hAnsi="微软雅黑" w:eastAsia="微软雅黑"/>
                <w:sz w:val="17"/>
              </w:rPr>
              <w:t>批准或人体试验启动。</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23</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XTN004_IBD</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XTN004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炎症性肠病（</w:t>
            </w:r>
            <w:r>
              <w:rPr>
                <w:rFonts w:eastAsia="微软雅黑" w:ascii="微软雅黑" w:hAnsi="微软雅黑"/>
                <w:sz w:val="17"/>
              </w:rPr>
              <w:t>IBD</w:t>
            </w:r>
            <w:r>
              <w:rPr>
                <w:rFonts w:ascii="微软雅黑" w:hAnsi="微软雅黑" w:eastAsia="微软雅黑"/>
                <w:sz w:val="17"/>
              </w:rPr>
              <w:t>）相关肠道疼痛</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已递交美国 </w:t>
            </w:r>
            <w:r>
              <w:rPr>
                <w:rFonts w:eastAsia="微软雅黑" w:ascii="微软雅黑" w:hAnsi="微软雅黑"/>
                <w:sz w:val="17"/>
              </w:rPr>
              <w:t xml:space="preserve">pre-IND </w:t>
            </w:r>
            <w:r>
              <w:rPr>
                <w:rFonts w:ascii="微软雅黑" w:hAnsi="微软雅黑" w:eastAsia="微软雅黑"/>
                <w:sz w:val="17"/>
              </w:rPr>
              <w:t xml:space="preserve">会议材料；预计 </w:t>
            </w:r>
            <w:r>
              <w:rPr>
                <w:rFonts w:eastAsia="微软雅黑" w:ascii="微软雅黑" w:hAnsi="微软雅黑"/>
                <w:sz w:val="17"/>
              </w:rPr>
              <w:t xml:space="preserve">2026 </w:t>
            </w:r>
            <w:r>
              <w:rPr>
                <w:rFonts w:ascii="微软雅黑" w:hAnsi="微软雅黑" w:eastAsia="微软雅黑"/>
                <w:sz w:val="17"/>
              </w:rPr>
              <w:t xml:space="preserve">年下半年中美 </w:t>
            </w:r>
            <w:r>
              <w:rPr>
                <w:rFonts w:eastAsia="微软雅黑" w:ascii="微软雅黑" w:hAnsi="微软雅黑"/>
                <w:sz w:val="17"/>
              </w:rPr>
              <w:t xml:space="preserve">IND </w:t>
            </w:r>
            <w:r>
              <w:rPr>
                <w:rFonts w:ascii="微软雅黑" w:hAnsi="微软雅黑" w:eastAsia="微软雅黑"/>
                <w:sz w:val="17"/>
              </w:rPr>
              <w:t xml:space="preserve">申报。尚无该来源明确证明 </w:t>
            </w:r>
            <w:r>
              <w:rPr>
                <w:rFonts w:eastAsia="微软雅黑" w:ascii="微软雅黑" w:hAnsi="微软雅黑"/>
                <w:sz w:val="17"/>
              </w:rPr>
              <w:t xml:space="preserve">IND </w:t>
            </w:r>
            <w:r>
              <w:rPr>
                <w:rFonts w:ascii="微软雅黑" w:hAnsi="微软雅黑" w:eastAsia="微软雅黑"/>
                <w:sz w:val="17"/>
              </w:rPr>
              <w:t>批准或人体试验启动。</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23</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ALX001_IBD</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ALX001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炎症性肠病（</w:t>
            </w:r>
            <w:r>
              <w:rPr>
                <w:rFonts w:eastAsia="微软雅黑" w:ascii="微软雅黑" w:hAnsi="微软雅黑"/>
                <w:sz w:val="17"/>
              </w:rPr>
              <w:t>IBD</w:t>
            </w:r>
            <w:r>
              <w:rPr>
                <w:rFonts w:ascii="微软雅黑" w:hAnsi="微软雅黑" w:eastAsia="微软雅黑"/>
                <w:sz w:val="17"/>
              </w:rPr>
              <w:t>）；未指定</w:t>
            </w:r>
            <w:r>
              <w:rPr>
                <w:rFonts w:eastAsia="微软雅黑" w:ascii="微软雅黑" w:hAnsi="微软雅黑"/>
                <w:sz w:val="17"/>
              </w:rPr>
              <w:t>UC</w:t>
            </w:r>
            <w:r>
              <w:rPr>
                <w:rFonts w:ascii="微软雅黑" w:hAnsi="微软雅黑" w:eastAsia="微软雅黑"/>
                <w:sz w:val="17"/>
              </w:rPr>
              <w:t>或</w:t>
            </w:r>
            <w:r>
              <w:rPr>
                <w:rFonts w:eastAsia="微软雅黑" w:ascii="微软雅黑" w:hAnsi="微软雅黑"/>
                <w:sz w:val="17"/>
              </w:rPr>
              <w:t>Crohn</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列为集团自有候选，计划 </w:t>
            </w:r>
            <w:r>
              <w:rPr>
                <w:rFonts w:eastAsia="微软雅黑" w:ascii="微软雅黑" w:hAnsi="微软雅黑"/>
                <w:sz w:val="17"/>
              </w:rPr>
              <w:t xml:space="preserve">2027 </w:t>
            </w:r>
            <w:r>
              <w:rPr>
                <w:rFonts w:ascii="微软雅黑" w:hAnsi="微软雅黑" w:eastAsia="微软雅黑"/>
                <w:sz w:val="17"/>
              </w:rPr>
              <w:t>年一期；尚无所查来源证明一期已启动。</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26</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ALX002_SLE</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ALX002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系统性红斑狼疮（</w:t>
            </w:r>
            <w:r>
              <w:rPr>
                <w:rFonts w:eastAsia="微软雅黑" w:ascii="微软雅黑" w:hAnsi="微软雅黑"/>
                <w:sz w:val="17"/>
              </w:rPr>
              <w:t>SLE</w:t>
            </w:r>
            <w:r>
              <w:rPr>
                <w:rFonts w:ascii="微软雅黑" w:hAnsi="微软雅黑" w:eastAsia="微软雅黑"/>
                <w:sz w:val="17"/>
              </w:rPr>
              <w:t>）</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列为集团自有候选，计划 </w:t>
            </w:r>
            <w:r>
              <w:rPr>
                <w:rFonts w:eastAsia="微软雅黑" w:ascii="微软雅黑" w:hAnsi="微软雅黑"/>
                <w:sz w:val="17"/>
              </w:rPr>
              <w:t xml:space="preserve">2027 </w:t>
            </w:r>
            <w:r>
              <w:rPr>
                <w:rFonts w:ascii="微软雅黑" w:hAnsi="微软雅黑" w:eastAsia="微软雅黑"/>
                <w:sz w:val="17"/>
              </w:rPr>
              <w:t>年一期；</w:t>
            </w:r>
            <w:r>
              <w:rPr>
                <w:rFonts w:eastAsia="微软雅黑" w:ascii="微软雅黑" w:hAnsi="微软雅黑"/>
                <w:sz w:val="17"/>
              </w:rPr>
              <w:t xml:space="preserve">SLE </w:t>
            </w:r>
            <w:r>
              <w:rPr>
                <w:rFonts w:ascii="微软雅黑" w:hAnsi="微软雅黑" w:eastAsia="微软雅黑"/>
                <w:sz w:val="17"/>
              </w:rPr>
              <w:t xml:space="preserve">与 </w:t>
            </w:r>
            <w:r>
              <w:rPr>
                <w:rFonts w:eastAsia="微软雅黑" w:ascii="微软雅黑" w:hAnsi="微软雅黑"/>
                <w:sz w:val="17"/>
              </w:rPr>
              <w:t xml:space="preserve">RA </w:t>
            </w:r>
            <w:r>
              <w:rPr>
                <w:rFonts w:ascii="微软雅黑" w:hAnsi="微软雅黑" w:eastAsia="微软雅黑"/>
                <w:sz w:val="17"/>
              </w:rPr>
              <w:t>适应症患者试验尚无单独核验。</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26</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ALX002_RA</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ALX002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类风湿关节炎（</w:t>
            </w:r>
            <w:r>
              <w:rPr>
                <w:rFonts w:eastAsia="微软雅黑" w:ascii="微软雅黑" w:hAnsi="微软雅黑"/>
                <w:sz w:val="17"/>
              </w:rPr>
              <w:t>RA</w:t>
            </w:r>
            <w:r>
              <w:rPr>
                <w:rFonts w:ascii="微软雅黑" w:hAnsi="微软雅黑" w:eastAsia="微软雅黑"/>
                <w:sz w:val="17"/>
              </w:rPr>
              <w:t>）</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列为集团自有候选，计划 </w:t>
            </w:r>
            <w:r>
              <w:rPr>
                <w:rFonts w:eastAsia="微软雅黑" w:ascii="微软雅黑" w:hAnsi="微软雅黑"/>
                <w:sz w:val="17"/>
              </w:rPr>
              <w:t xml:space="preserve">2027 </w:t>
            </w:r>
            <w:r>
              <w:rPr>
                <w:rFonts w:ascii="微软雅黑" w:hAnsi="微软雅黑" w:eastAsia="微软雅黑"/>
                <w:sz w:val="17"/>
              </w:rPr>
              <w:t>年一期；</w:t>
            </w:r>
            <w:r>
              <w:rPr>
                <w:rFonts w:eastAsia="微软雅黑" w:ascii="微软雅黑" w:hAnsi="微软雅黑"/>
                <w:sz w:val="17"/>
              </w:rPr>
              <w:t xml:space="preserve">SLE </w:t>
            </w:r>
            <w:r>
              <w:rPr>
                <w:rFonts w:ascii="微软雅黑" w:hAnsi="微软雅黑" w:eastAsia="微软雅黑"/>
                <w:sz w:val="17"/>
              </w:rPr>
              <w:t xml:space="preserve">与 </w:t>
            </w:r>
            <w:r>
              <w:rPr>
                <w:rFonts w:eastAsia="微软雅黑" w:ascii="微软雅黑" w:hAnsi="微软雅黑"/>
                <w:sz w:val="17"/>
              </w:rPr>
              <w:t xml:space="preserve">RA </w:t>
            </w:r>
            <w:r>
              <w:rPr>
                <w:rFonts w:ascii="微软雅黑" w:hAnsi="微软雅黑" w:eastAsia="微软雅黑"/>
                <w:sz w:val="17"/>
              </w:rPr>
              <w:t>适应症患者试验尚无单独核验。</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26</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ALX005_MG</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ALX005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重症肌无力（</w:t>
            </w:r>
            <w:r>
              <w:rPr>
                <w:rFonts w:eastAsia="微软雅黑" w:ascii="微软雅黑" w:hAnsi="微软雅黑"/>
                <w:sz w:val="17"/>
              </w:rPr>
              <w:t>MG</w:t>
            </w:r>
            <w:r>
              <w:rPr>
                <w:rFonts w:ascii="微软雅黑" w:hAnsi="微软雅黑" w:eastAsia="微软雅黑"/>
                <w:sz w:val="17"/>
              </w:rPr>
              <w:t>）</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列为集团自有候选，计划 </w:t>
            </w:r>
            <w:r>
              <w:rPr>
                <w:rFonts w:eastAsia="微软雅黑" w:ascii="微软雅黑" w:hAnsi="微软雅黑"/>
                <w:sz w:val="17"/>
              </w:rPr>
              <w:t xml:space="preserve">2027 </w:t>
            </w:r>
            <w:r>
              <w:rPr>
                <w:rFonts w:ascii="微软雅黑" w:hAnsi="微软雅黑" w:eastAsia="微软雅黑"/>
                <w:sz w:val="17"/>
              </w:rPr>
              <w:t>年一期；</w:t>
            </w:r>
            <w:r>
              <w:rPr>
                <w:rFonts w:eastAsia="微软雅黑" w:ascii="微软雅黑" w:hAnsi="微软雅黑"/>
                <w:sz w:val="17"/>
              </w:rPr>
              <w:t xml:space="preserve">MG </w:t>
            </w:r>
            <w:r>
              <w:rPr>
                <w:rFonts w:ascii="微软雅黑" w:hAnsi="微软雅黑" w:eastAsia="微软雅黑"/>
                <w:sz w:val="17"/>
              </w:rPr>
              <w:t xml:space="preserve">与 </w:t>
            </w:r>
            <w:r>
              <w:rPr>
                <w:rFonts w:eastAsia="微软雅黑" w:ascii="微软雅黑" w:hAnsi="微软雅黑"/>
                <w:sz w:val="17"/>
              </w:rPr>
              <w:t xml:space="preserve">ITP </w:t>
            </w:r>
            <w:r>
              <w:rPr>
                <w:rFonts w:ascii="微软雅黑" w:hAnsi="微软雅黑" w:eastAsia="微软雅黑"/>
                <w:sz w:val="17"/>
              </w:rPr>
              <w:t>适应症患者试验尚无单独核验。</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26</w:t>
            </w:r>
            <w:r>
              <w:rPr>
                <w:rFonts w:ascii="微软雅黑" w:hAnsi="微软雅黑" w:eastAsia="微软雅黑"/>
                <w:sz w:val="17"/>
              </w:rPr>
              <w:t>、</w:t>
            </w:r>
            <w:r>
              <w:rPr>
                <w:rFonts w:eastAsia="微软雅黑" w:ascii="微软雅黑" w:hAnsi="微软雅黑"/>
                <w:sz w:val="17"/>
              </w:rPr>
              <w:t>27</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ALX005_ITP</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ALX005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免疫性血小板减少症（</w:t>
            </w:r>
            <w:r>
              <w:rPr>
                <w:rFonts w:eastAsia="微软雅黑" w:ascii="微软雅黑" w:hAnsi="微软雅黑"/>
                <w:sz w:val="17"/>
              </w:rPr>
              <w:t>ITP</w:t>
            </w:r>
            <w:r>
              <w:rPr>
                <w:rFonts w:ascii="微软雅黑" w:hAnsi="微软雅黑" w:eastAsia="微软雅黑"/>
                <w:sz w:val="17"/>
              </w:rPr>
              <w:t>）</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列为集团自有候选，计划 </w:t>
            </w:r>
            <w:r>
              <w:rPr>
                <w:rFonts w:eastAsia="微软雅黑" w:ascii="微软雅黑" w:hAnsi="微软雅黑"/>
                <w:sz w:val="17"/>
              </w:rPr>
              <w:t xml:space="preserve">2027 </w:t>
            </w:r>
            <w:r>
              <w:rPr>
                <w:rFonts w:ascii="微软雅黑" w:hAnsi="微软雅黑" w:eastAsia="微软雅黑"/>
                <w:sz w:val="17"/>
              </w:rPr>
              <w:t>年一期；</w:t>
            </w:r>
            <w:r>
              <w:rPr>
                <w:rFonts w:eastAsia="微软雅黑" w:ascii="微软雅黑" w:hAnsi="微软雅黑"/>
                <w:sz w:val="17"/>
              </w:rPr>
              <w:t xml:space="preserve">MG </w:t>
            </w:r>
            <w:r>
              <w:rPr>
                <w:rFonts w:ascii="微软雅黑" w:hAnsi="微软雅黑" w:eastAsia="微软雅黑"/>
                <w:sz w:val="17"/>
              </w:rPr>
              <w:t xml:space="preserve">与 </w:t>
            </w:r>
            <w:r>
              <w:rPr>
                <w:rFonts w:eastAsia="微软雅黑" w:ascii="微软雅黑" w:hAnsi="微软雅黑"/>
                <w:sz w:val="17"/>
              </w:rPr>
              <w:t xml:space="preserve">ITP </w:t>
            </w:r>
            <w:r>
              <w:rPr>
                <w:rFonts w:ascii="微软雅黑" w:hAnsi="微软雅黑" w:eastAsia="微软雅黑"/>
                <w:sz w:val="17"/>
              </w:rPr>
              <w:t>适应症患者试验尚无单独核验。</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26</w:t>
            </w:r>
            <w:r>
              <w:rPr>
                <w:rFonts w:ascii="微软雅黑" w:hAnsi="微软雅黑" w:eastAsia="微软雅黑"/>
                <w:sz w:val="17"/>
              </w:rPr>
              <w:t>、</w:t>
            </w:r>
            <w:r>
              <w:rPr>
                <w:rFonts w:eastAsia="微软雅黑" w:ascii="微软雅黑" w:hAnsi="微软雅黑"/>
                <w:sz w:val="17"/>
              </w:rPr>
              <w:t>27</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XS01_IgAN</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XS01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IgA</w:t>
            </w:r>
            <w:r>
              <w:rPr>
                <w:rFonts w:ascii="微软雅黑" w:hAnsi="微软雅黑" w:eastAsia="微软雅黑"/>
                <w:sz w:val="17"/>
              </w:rPr>
              <w:t>肾病（</w:t>
            </w:r>
            <w:r>
              <w:rPr>
                <w:rFonts w:eastAsia="微软雅黑" w:ascii="微软雅黑" w:hAnsi="微软雅黑"/>
                <w:sz w:val="17"/>
              </w:rPr>
              <w:t>IgAN</w:t>
            </w:r>
            <w:r>
              <w:rPr>
                <w:rFonts w:ascii="微软雅黑" w:hAnsi="微软雅黑" w:eastAsia="微软雅黑"/>
                <w:sz w:val="17"/>
              </w:rPr>
              <w:t>）</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管线表列于 </w:t>
            </w:r>
            <w:r>
              <w:rPr>
                <w:rFonts w:eastAsia="微软雅黑" w:ascii="微软雅黑" w:hAnsi="微软雅黑"/>
                <w:sz w:val="17"/>
              </w:rPr>
              <w:t xml:space="preserve">PCC </w:t>
            </w:r>
            <w:r>
              <w:rPr>
                <w:rFonts w:ascii="微软雅黑" w:hAnsi="微软雅黑" w:eastAsia="微软雅黑"/>
                <w:sz w:val="17"/>
              </w:rPr>
              <w:t xml:space="preserve">及之后的部分项目；正文称 </w:t>
            </w:r>
            <w:r>
              <w:rPr>
                <w:rFonts w:eastAsia="微软雅黑" w:ascii="微软雅黑" w:hAnsi="微软雅黑"/>
                <w:sz w:val="17"/>
              </w:rPr>
              <w:t xml:space="preserve">siRNA </w:t>
            </w:r>
            <w:r>
              <w:rPr>
                <w:rFonts w:ascii="微软雅黑" w:hAnsi="微软雅黑" w:eastAsia="微软雅黑"/>
                <w:sz w:val="17"/>
              </w:rPr>
              <w:t xml:space="preserve">组合最快项目达 </w:t>
            </w:r>
            <w:r>
              <w:rPr>
                <w:rFonts w:eastAsia="微软雅黑" w:ascii="微软雅黑" w:hAnsi="微软雅黑"/>
                <w:sz w:val="17"/>
              </w:rPr>
              <w:t>PCC</w:t>
            </w:r>
            <w:r>
              <w:rPr>
                <w:rFonts w:ascii="微软雅黑" w:hAnsi="微软雅黑" w:eastAsia="微软雅黑"/>
                <w:sz w:val="17"/>
              </w:rPr>
              <w:t xml:space="preserve">，但未明确逐药映射 </w:t>
            </w:r>
            <w:r>
              <w:rPr>
                <w:rFonts w:eastAsia="微软雅黑" w:ascii="微软雅黑" w:hAnsi="微软雅黑"/>
                <w:sz w:val="17"/>
              </w:rPr>
              <w:t>XS01</w:t>
            </w:r>
            <w:r>
              <w:rPr>
                <w:rFonts w:ascii="微软雅黑" w:hAnsi="微软雅黑" w:eastAsia="微软雅黑"/>
                <w:sz w:val="17"/>
              </w:rPr>
              <w:t xml:space="preserve">。具体靶点和 </w:t>
            </w:r>
            <w:r>
              <w:rPr>
                <w:rFonts w:eastAsia="微软雅黑" w:ascii="微软雅黑" w:hAnsi="微软雅黑"/>
                <w:sz w:val="17"/>
              </w:rPr>
              <w:t xml:space="preserve">IgAN/PNH </w:t>
            </w:r>
            <w:r>
              <w:rPr>
                <w:rFonts w:ascii="微软雅黑" w:hAnsi="微软雅黑" w:eastAsia="微软雅黑"/>
                <w:sz w:val="17"/>
              </w:rPr>
              <w:t>各自临床阶段未核实。 只认可管线表列名的事实，</w:t>
            </w:r>
            <w:r>
              <w:rPr>
                <w:rFonts w:eastAsia="微软雅黑" w:ascii="微软雅黑" w:hAnsi="微软雅黑"/>
                <w:sz w:val="17"/>
              </w:rPr>
              <w:t xml:space="preserve">XS01 </w:t>
            </w:r>
            <w:r>
              <w:rPr>
                <w:rFonts w:ascii="微软雅黑" w:hAnsi="微软雅黑" w:eastAsia="微软雅黑"/>
                <w:sz w:val="17"/>
              </w:rPr>
              <w:t>靶点栏具体文字</w:t>
            </w:r>
            <w:r>
              <w:rPr>
                <w:rFonts w:eastAsia="微软雅黑" w:ascii="微软雅黑" w:hAnsi="微软雅黑"/>
                <w:sz w:val="17"/>
              </w:rPr>
              <w:t>/</w:t>
            </w:r>
            <w:r>
              <w:rPr>
                <w:rFonts w:ascii="微软雅黑" w:hAnsi="微软雅黑" w:eastAsia="微软雅黑"/>
                <w:sz w:val="17"/>
              </w:rPr>
              <w:t xml:space="preserve">图形未重新核验，不能自动沿用其他 </w:t>
            </w:r>
            <w:r>
              <w:rPr>
                <w:rFonts w:eastAsia="微软雅黑" w:ascii="微软雅黑" w:hAnsi="微软雅黑"/>
                <w:sz w:val="17"/>
              </w:rPr>
              <w:t xml:space="preserve">siRNA </w:t>
            </w:r>
            <w:r>
              <w:rPr>
                <w:rFonts w:ascii="微软雅黑" w:hAnsi="微软雅黑" w:eastAsia="微软雅黑"/>
                <w:sz w:val="17"/>
              </w:rPr>
              <w:t>靶点。</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 xml:space="preserve">XS01 </w:t>
            </w:r>
            <w:r>
              <w:rPr>
                <w:rFonts w:ascii="微软雅黑" w:hAnsi="微软雅黑" w:eastAsia="微软雅黑"/>
                <w:sz w:val="17"/>
              </w:rPr>
              <w:t xml:space="preserve">与正文首发 </w:t>
            </w:r>
            <w:r>
              <w:rPr>
                <w:rFonts w:eastAsia="微软雅黑" w:ascii="微软雅黑" w:hAnsi="微软雅黑"/>
                <w:sz w:val="17"/>
              </w:rPr>
              <w:t xml:space="preserve">IgAN </w:t>
            </w:r>
            <w:r>
              <w:rPr>
                <w:rFonts w:ascii="微软雅黑" w:hAnsi="微软雅黑" w:eastAsia="微软雅黑"/>
                <w:sz w:val="17"/>
              </w:rPr>
              <w:t>项目的映射及确切靶点；当前逐药、逐区域净权益和法律持有人；净销售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XS01_PNH</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XS01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阵发性睡眠性血红蛋白尿症（</w:t>
            </w:r>
            <w:r>
              <w:rPr>
                <w:rFonts w:eastAsia="微软雅黑" w:ascii="微软雅黑" w:hAnsi="微软雅黑"/>
                <w:sz w:val="17"/>
              </w:rPr>
              <w:t>PNH</w:t>
            </w:r>
            <w:r>
              <w:rPr>
                <w:rFonts w:ascii="微软雅黑" w:hAnsi="微软雅黑" w:eastAsia="微软雅黑"/>
                <w:sz w:val="17"/>
              </w:rPr>
              <w:t>）</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管线表列于 </w:t>
            </w:r>
            <w:r>
              <w:rPr>
                <w:rFonts w:eastAsia="微软雅黑" w:ascii="微软雅黑" w:hAnsi="微软雅黑"/>
                <w:sz w:val="17"/>
              </w:rPr>
              <w:t xml:space="preserve">PCC </w:t>
            </w:r>
            <w:r>
              <w:rPr>
                <w:rFonts w:ascii="微软雅黑" w:hAnsi="微软雅黑" w:eastAsia="微软雅黑"/>
                <w:sz w:val="17"/>
              </w:rPr>
              <w:t xml:space="preserve">及之后的部分项目；正文称 </w:t>
            </w:r>
            <w:r>
              <w:rPr>
                <w:rFonts w:eastAsia="微软雅黑" w:ascii="微软雅黑" w:hAnsi="微软雅黑"/>
                <w:sz w:val="17"/>
              </w:rPr>
              <w:t xml:space="preserve">siRNA </w:t>
            </w:r>
            <w:r>
              <w:rPr>
                <w:rFonts w:ascii="微软雅黑" w:hAnsi="微软雅黑" w:eastAsia="微软雅黑"/>
                <w:sz w:val="17"/>
              </w:rPr>
              <w:t xml:space="preserve">组合最快项目达 </w:t>
            </w:r>
            <w:r>
              <w:rPr>
                <w:rFonts w:eastAsia="微软雅黑" w:ascii="微软雅黑" w:hAnsi="微软雅黑"/>
                <w:sz w:val="17"/>
              </w:rPr>
              <w:t>PCC</w:t>
            </w:r>
            <w:r>
              <w:rPr>
                <w:rFonts w:ascii="微软雅黑" w:hAnsi="微软雅黑" w:eastAsia="微软雅黑"/>
                <w:sz w:val="17"/>
              </w:rPr>
              <w:t xml:space="preserve">，但未明确逐药映射 </w:t>
            </w:r>
            <w:r>
              <w:rPr>
                <w:rFonts w:eastAsia="微软雅黑" w:ascii="微软雅黑" w:hAnsi="微软雅黑"/>
                <w:sz w:val="17"/>
              </w:rPr>
              <w:t>XS01</w:t>
            </w:r>
            <w:r>
              <w:rPr>
                <w:rFonts w:ascii="微软雅黑" w:hAnsi="微软雅黑" w:eastAsia="微软雅黑"/>
                <w:sz w:val="17"/>
              </w:rPr>
              <w:t xml:space="preserve">。具体靶点和 </w:t>
            </w:r>
            <w:r>
              <w:rPr>
                <w:rFonts w:eastAsia="微软雅黑" w:ascii="微软雅黑" w:hAnsi="微软雅黑"/>
                <w:sz w:val="17"/>
              </w:rPr>
              <w:t xml:space="preserve">IgAN/PNH </w:t>
            </w:r>
            <w:r>
              <w:rPr>
                <w:rFonts w:ascii="微软雅黑" w:hAnsi="微软雅黑" w:eastAsia="微软雅黑"/>
                <w:sz w:val="17"/>
              </w:rPr>
              <w:t>各自临床阶段未核实。 只认可管线表列名的事实，</w:t>
            </w:r>
            <w:r>
              <w:rPr>
                <w:rFonts w:eastAsia="微软雅黑" w:ascii="微软雅黑" w:hAnsi="微软雅黑"/>
                <w:sz w:val="17"/>
              </w:rPr>
              <w:t xml:space="preserve">XS01 </w:t>
            </w:r>
            <w:r>
              <w:rPr>
                <w:rFonts w:ascii="微软雅黑" w:hAnsi="微软雅黑" w:eastAsia="微软雅黑"/>
                <w:sz w:val="17"/>
              </w:rPr>
              <w:t>靶点栏具体文字</w:t>
            </w:r>
            <w:r>
              <w:rPr>
                <w:rFonts w:eastAsia="微软雅黑" w:ascii="微软雅黑" w:hAnsi="微软雅黑"/>
                <w:sz w:val="17"/>
              </w:rPr>
              <w:t>/</w:t>
            </w:r>
            <w:r>
              <w:rPr>
                <w:rFonts w:ascii="微软雅黑" w:hAnsi="微软雅黑" w:eastAsia="微软雅黑"/>
                <w:sz w:val="17"/>
              </w:rPr>
              <w:t xml:space="preserve">图形未重新核验，不能自动沿用其他 </w:t>
            </w:r>
            <w:r>
              <w:rPr>
                <w:rFonts w:eastAsia="微软雅黑" w:ascii="微软雅黑" w:hAnsi="微软雅黑"/>
                <w:sz w:val="17"/>
              </w:rPr>
              <w:t xml:space="preserve">siRNA </w:t>
            </w:r>
            <w:r>
              <w:rPr>
                <w:rFonts w:ascii="微软雅黑" w:hAnsi="微软雅黑" w:eastAsia="微软雅黑"/>
                <w:sz w:val="17"/>
              </w:rPr>
              <w:t>靶点。</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 xml:space="preserve">XS01 </w:t>
            </w:r>
            <w:r>
              <w:rPr>
                <w:rFonts w:ascii="微软雅黑" w:hAnsi="微软雅黑" w:eastAsia="微软雅黑"/>
                <w:sz w:val="17"/>
              </w:rPr>
              <w:t xml:space="preserve">与正文首发 </w:t>
            </w:r>
            <w:r>
              <w:rPr>
                <w:rFonts w:eastAsia="微软雅黑" w:ascii="微软雅黑" w:hAnsi="微软雅黑"/>
                <w:sz w:val="17"/>
              </w:rPr>
              <w:t xml:space="preserve">IgAN </w:t>
            </w:r>
            <w:r>
              <w:rPr>
                <w:rFonts w:ascii="微软雅黑" w:hAnsi="微软雅黑" w:eastAsia="微软雅黑"/>
                <w:sz w:val="17"/>
              </w:rPr>
              <w:t>项目的映射及确切靶点；当前逐药、逐区域净权益和法律持有人；净销售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DOVETREE_UNNAMED_ONCOLOGY</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DoveTree</w:t>
            </w:r>
            <w:r>
              <w:rPr>
                <w:rFonts w:ascii="微软雅黑" w:hAnsi="微软雅黑" w:eastAsia="微软雅黑"/>
                <w:sz w:val="17"/>
              </w:rPr>
              <w:t>未命名泛癌候选</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泛癌</w:t>
            </w:r>
            <w:r>
              <w:rPr>
                <w:rFonts w:eastAsia="微软雅黑" w:ascii="微软雅黑" w:hAnsi="微软雅黑"/>
                <w:sz w:val="17"/>
              </w:rPr>
              <w:t>/oncology</w:t>
            </w:r>
            <w:r>
              <w:rPr>
                <w:rFonts w:ascii="微软雅黑" w:hAnsi="微软雅黑" w:eastAsia="微软雅黑"/>
                <w:sz w:val="17"/>
              </w:rPr>
              <w:t>；未拆具体癌种</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 xml:space="preserve">2026-05-27 </w:t>
            </w:r>
            <w:r>
              <w:rPr>
                <w:rFonts w:ascii="微软雅黑" w:hAnsi="微软雅黑" w:eastAsia="微软雅黑"/>
                <w:sz w:val="17"/>
              </w:rPr>
              <w:t xml:space="preserve">公告称 </w:t>
            </w:r>
            <w:r>
              <w:rPr>
                <w:rFonts w:eastAsia="微软雅黑" w:ascii="微软雅黑" w:hAnsi="微软雅黑"/>
                <w:sz w:val="17"/>
              </w:rPr>
              <w:t xml:space="preserve">IND-enabling </w:t>
            </w:r>
            <w:r>
              <w:rPr>
                <w:rFonts w:ascii="微软雅黑" w:hAnsi="微软雅黑" w:eastAsia="微软雅黑"/>
                <w:sz w:val="17"/>
              </w:rPr>
              <w:t xml:space="preserve">研究；中报正文简写 </w:t>
            </w:r>
            <w:r>
              <w:rPr>
                <w:rFonts w:eastAsia="微软雅黑" w:ascii="微软雅黑" w:hAnsi="微软雅黑"/>
                <w:sz w:val="17"/>
              </w:rPr>
              <w:t>IND stage</w:t>
            </w:r>
            <w:r>
              <w:rPr>
                <w:rFonts w:ascii="微软雅黑" w:hAnsi="微软雅黑" w:eastAsia="微软雅黑"/>
                <w:sz w:val="17"/>
              </w:rPr>
              <w:t xml:space="preserve">，表列 </w:t>
            </w:r>
            <w:r>
              <w:rPr>
                <w:rFonts w:eastAsia="微软雅黑" w:ascii="微软雅黑" w:hAnsi="微软雅黑"/>
                <w:sz w:val="17"/>
              </w:rPr>
              <w:t xml:space="preserve">2027 IND </w:t>
            </w:r>
            <w:r>
              <w:rPr>
                <w:rFonts w:ascii="微软雅黑" w:hAnsi="微软雅黑" w:eastAsia="微软雅黑"/>
                <w:sz w:val="17"/>
              </w:rPr>
              <w:t xml:space="preserve">申报。不能将这些表述当作已批准 </w:t>
            </w:r>
            <w:r>
              <w:rPr>
                <w:rFonts w:eastAsia="微软雅黑" w:ascii="微软雅黑" w:hAnsi="微软雅黑"/>
                <w:sz w:val="17"/>
              </w:rPr>
              <w:t xml:space="preserve">IND </w:t>
            </w:r>
            <w:r>
              <w:rPr>
                <w:rFonts w:ascii="微软雅黑" w:hAnsi="微软雅黑" w:eastAsia="微软雅黑"/>
                <w:sz w:val="17"/>
              </w:rPr>
              <w:t>或已开展人体试验。</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可识别药物代码、个体靶点和疾病对应关系；当前逐药、逐区域净权益和法律持有人；净销售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](https://www1.hkexnews.hk/listedco/listconews/sehk/2025/0805/2025080500993.pdf)</w:t>
            </w:r>
            <w:r>
              <w:rPr>
                <w:rFonts w:ascii="微软雅黑" w:hAnsi="微软雅黑" w:eastAsia="微软雅黑"/>
                <w:sz w:val="17"/>
              </w:rPr>
              <w:t>，第</w:t>
            </w:r>
            <w:r>
              <w:rPr>
                <w:rFonts w:eastAsia="微软雅黑" w:ascii="微软雅黑" w:hAnsi="微软雅黑"/>
                <w:sz w:val="17"/>
              </w:rPr>
              <w:t>1</w:t>
            </w:r>
            <w:r>
              <w:rPr>
                <w:rFonts w:ascii="微软雅黑" w:hAnsi="微软雅黑" w:eastAsia="微软雅黑"/>
                <w:sz w:val="17"/>
              </w:rPr>
              <w:t>、</w:t>
            </w:r>
            <w:r>
              <w:rPr>
                <w:rFonts w:eastAsia="微软雅黑" w:ascii="微软雅黑" w:hAnsi="微软雅黑"/>
                <w:sz w:val="17"/>
              </w:rPr>
              <w:t>2</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DOVETREE_UNALLOCATED_OTHER_TARGETS</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DoveTree</w:t>
            </w:r>
            <w:r>
              <w:rPr>
                <w:rFonts w:ascii="微软雅黑" w:hAnsi="微软雅黑" w:eastAsia="微软雅黑"/>
                <w:sz w:val="17"/>
              </w:rPr>
              <w:t>其他未命名合同项目</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免疫炎症、神经、代谢等合作领域；不是已证实逐药适应症</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 xml:space="preserve">2026-05-27 </w:t>
            </w:r>
            <w:r>
              <w:rPr>
                <w:rFonts w:ascii="微软雅黑" w:hAnsi="微软雅黑" w:eastAsia="微软雅黑"/>
                <w:sz w:val="17"/>
              </w:rPr>
              <w:t xml:space="preserve">公告称 </w:t>
            </w:r>
            <w:r>
              <w:rPr>
                <w:rFonts w:eastAsia="微软雅黑" w:ascii="微软雅黑" w:hAnsi="微软雅黑"/>
                <w:sz w:val="17"/>
              </w:rPr>
              <w:t xml:space="preserve">IND-enabling </w:t>
            </w:r>
            <w:r>
              <w:rPr>
                <w:rFonts w:ascii="微软雅黑" w:hAnsi="微软雅黑" w:eastAsia="微软雅黑"/>
                <w:sz w:val="17"/>
              </w:rPr>
              <w:t xml:space="preserve">研究；中报正文简写 </w:t>
            </w:r>
            <w:r>
              <w:rPr>
                <w:rFonts w:eastAsia="微软雅黑" w:ascii="微软雅黑" w:hAnsi="微软雅黑"/>
                <w:sz w:val="17"/>
              </w:rPr>
              <w:t>IND stage</w:t>
            </w:r>
            <w:r>
              <w:rPr>
                <w:rFonts w:ascii="微软雅黑" w:hAnsi="微软雅黑" w:eastAsia="微软雅黑"/>
                <w:sz w:val="17"/>
              </w:rPr>
              <w:t xml:space="preserve">，表列 </w:t>
            </w:r>
            <w:r>
              <w:rPr>
                <w:rFonts w:eastAsia="微软雅黑" w:ascii="微软雅黑" w:hAnsi="微软雅黑"/>
                <w:sz w:val="17"/>
              </w:rPr>
              <w:t xml:space="preserve">2027 IND </w:t>
            </w:r>
            <w:r>
              <w:rPr>
                <w:rFonts w:ascii="微软雅黑" w:hAnsi="微软雅黑" w:eastAsia="微软雅黑"/>
                <w:sz w:val="17"/>
              </w:rPr>
              <w:t xml:space="preserve">申报。不能将这些表述当作已批准 </w:t>
            </w:r>
            <w:r>
              <w:rPr>
                <w:rFonts w:eastAsia="微软雅黑" w:ascii="微软雅黑" w:hAnsi="微软雅黑"/>
                <w:sz w:val="17"/>
              </w:rPr>
              <w:t xml:space="preserve">IND </w:t>
            </w:r>
            <w:r>
              <w:rPr>
                <w:rFonts w:ascii="微软雅黑" w:hAnsi="微软雅黑" w:eastAsia="微软雅黑"/>
                <w:sz w:val="17"/>
              </w:rPr>
              <w:t>或已开展人体试验。</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可识别药物代码、个体靶点和疾病对应关系；当前逐药、逐区域净权益和法律持有人；净销售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](https://www1.hkexnews.hk/listedco/listconews/sehk/2025/0805/2025080500993.pdf)</w:t>
            </w:r>
            <w:r>
              <w:rPr>
                <w:rFonts w:ascii="微软雅黑" w:hAnsi="微软雅黑" w:eastAsia="微软雅黑"/>
                <w:sz w:val="17"/>
              </w:rPr>
              <w:t>，第</w:t>
            </w:r>
            <w:r>
              <w:rPr>
                <w:rFonts w:eastAsia="微软雅黑" w:ascii="微软雅黑" w:hAnsi="微软雅黑"/>
                <w:sz w:val="17"/>
              </w:rPr>
              <w:t>1</w:t>
            </w:r>
            <w:r>
              <w:rPr>
                <w:rFonts w:ascii="微软雅黑" w:hAnsi="微软雅黑" w:eastAsia="微软雅黑"/>
                <w:sz w:val="17"/>
              </w:rPr>
              <w:t>、</w:t>
            </w:r>
            <w:r>
              <w:rPr>
                <w:rFonts w:eastAsia="微软雅黑" w:ascii="微软雅黑" w:hAnsi="微软雅黑"/>
                <w:sz w:val="17"/>
              </w:rPr>
              <w:t>2</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GPCR_UNNAMED_METABOLIC</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未命名</w:t>
            </w:r>
            <w:r>
              <w:rPr>
                <w:rFonts w:eastAsia="微软雅黑" w:ascii="微软雅黑" w:hAnsi="微软雅黑"/>
                <w:sz w:val="17"/>
              </w:rPr>
              <w:t>GPCR</w:t>
            </w:r>
            <w:r>
              <w:rPr>
                <w:rFonts w:ascii="微软雅黑" w:hAnsi="微软雅黑" w:eastAsia="微软雅黑"/>
                <w:sz w:val="17"/>
              </w:rPr>
              <w:t>口服小分子</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复杂代谢靶点；具体疾病未披露</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成功完成 </w:t>
            </w:r>
            <w:r>
              <w:rPr>
                <w:rFonts w:eastAsia="微软雅黑" w:ascii="微软雅黑" w:hAnsi="微软雅黑"/>
                <w:sz w:val="17"/>
              </w:rPr>
              <w:t xml:space="preserve">pilot </w:t>
            </w:r>
            <w:r>
              <w:rPr>
                <w:rFonts w:ascii="微软雅黑" w:hAnsi="微软雅黑" w:eastAsia="微软雅黑"/>
                <w:sz w:val="17"/>
              </w:rPr>
              <w:t>并进入发现合作；未披露具体受体、疾病、</w:t>
            </w:r>
            <w:r>
              <w:rPr>
                <w:rFonts w:eastAsia="微软雅黑" w:ascii="微软雅黑" w:hAnsi="微软雅黑"/>
                <w:sz w:val="17"/>
              </w:rPr>
              <w:t xml:space="preserve">PCC </w:t>
            </w:r>
            <w:r>
              <w:rPr>
                <w:rFonts w:ascii="微软雅黑" w:hAnsi="微软雅黑" w:eastAsia="微软雅黑"/>
                <w:sz w:val="17"/>
              </w:rPr>
              <w:t xml:space="preserve">或 </w:t>
            </w:r>
            <w:r>
              <w:rPr>
                <w:rFonts w:eastAsia="微软雅黑" w:ascii="微软雅黑" w:hAnsi="微软雅黑"/>
                <w:sz w:val="17"/>
              </w:rPr>
              <w:t xml:space="preserve">IND </w:t>
            </w:r>
            <w:r>
              <w:rPr>
                <w:rFonts w:ascii="微软雅黑" w:hAnsi="微软雅黑" w:eastAsia="微软雅黑"/>
                <w:sz w:val="17"/>
              </w:rPr>
              <w:t>阶段。</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可识别药物代码、个体靶点和疾病对应关系；当前逐药、逐区域净权益和法律持有人；净销售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](https://www1.hkexnews.hk/listedco/listconews/sehk/2026/0609/2026060901622.pdf)</w:t>
            </w:r>
            <w:r>
              <w:rPr>
                <w:rFonts w:ascii="微软雅黑" w:hAnsi="微软雅黑" w:eastAsia="微软雅黑"/>
                <w:sz w:val="17"/>
              </w:rPr>
              <w:t>，第</w:t>
            </w:r>
            <w:r>
              <w:rPr>
                <w:rFonts w:eastAsia="微软雅黑" w:ascii="微软雅黑" w:hAnsi="微软雅黑"/>
                <w:sz w:val="17"/>
              </w:rPr>
              <w:t>1</w:t>
            </w:r>
            <w:r>
              <w:rPr>
                <w:rFonts w:ascii="微软雅黑" w:hAnsi="微软雅黑" w:eastAsia="微软雅黑"/>
                <w:sz w:val="17"/>
              </w:rPr>
              <w:t>、</w:t>
            </w:r>
            <w:r>
              <w:rPr>
                <w:rFonts w:eastAsia="微软雅黑" w:ascii="微软雅黑" w:hAnsi="微软雅黑"/>
                <w:sz w:val="17"/>
              </w:rPr>
              <w:t>2</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PEP08_SOLID_TUMOUR</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PEP08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实体瘤；具体注册癌种未公开分配</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年报明确澳大利亚和台湾临床批准及一期；中报明确实体瘤患者招募。脑癌仅为药学潜力，不能单独赋临床期数。</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](https://www1.hkexnews.hk/listedco/listconews/sehk/2026/0417/2026041701551.pdf)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PEP08_BRAIN_POTENTIAL</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PEP08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脑癌治疗潜力；不是明确注册适应症</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年报明确澳大利亚和台湾临床批准及一期；中报明确实体瘤患者招募。脑癌仅为药学潜力，不能单独赋临床期数。</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](https://www1.hkexnews.hk/listedco/listconews/sehk/2026/0417/2026041701551.pdf)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RTX117_CMT</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RTX-117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腓骨肌萎缩症（</w:t>
            </w:r>
            <w:r>
              <w:rPr>
                <w:rFonts w:eastAsia="微软雅黑" w:ascii="微软雅黑" w:hAnsi="微软雅黑"/>
                <w:sz w:val="17"/>
              </w:rPr>
              <w:t>CMT</w:t>
            </w:r>
            <w:r>
              <w:rPr>
                <w:rFonts w:ascii="微软雅黑" w:hAnsi="微软雅黑" w:eastAsia="微软雅黑"/>
                <w:sz w:val="17"/>
              </w:rPr>
              <w:t>）</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药物正在健康成人一期；</w:t>
            </w:r>
            <w:r>
              <w:rPr>
                <w:rFonts w:eastAsia="微软雅黑" w:ascii="微软雅黑" w:hAnsi="微软雅黑"/>
                <w:sz w:val="17"/>
              </w:rPr>
              <w:t xml:space="preserve">CMT </w:t>
            </w:r>
            <w:r>
              <w:rPr>
                <w:rFonts w:ascii="微软雅黑" w:hAnsi="微软雅黑" w:eastAsia="微软雅黑"/>
                <w:sz w:val="17"/>
              </w:rPr>
              <w:t>中美临床批准，</w:t>
            </w:r>
            <w:r>
              <w:rPr>
                <w:rFonts w:eastAsia="微软雅黑" w:ascii="微软雅黑" w:hAnsi="微软雅黑"/>
                <w:sz w:val="17"/>
              </w:rPr>
              <w:t xml:space="preserve">VWM </w:t>
            </w:r>
            <w:r>
              <w:rPr>
                <w:rFonts w:ascii="微软雅黑" w:hAnsi="微软雅黑" w:eastAsia="微软雅黑"/>
                <w:sz w:val="17"/>
              </w:rPr>
              <w:t xml:space="preserve">中国临床批准。计划 </w:t>
            </w:r>
            <w:r>
              <w:rPr>
                <w:rFonts w:eastAsia="微软雅黑" w:ascii="微软雅黑" w:hAnsi="微软雅黑"/>
                <w:sz w:val="17"/>
              </w:rPr>
              <w:t xml:space="preserve">2027 </w:t>
            </w:r>
            <w:r>
              <w:rPr>
                <w:rFonts w:ascii="微软雅黑" w:hAnsi="微软雅黑" w:eastAsia="微软雅黑"/>
                <w:sz w:val="17"/>
              </w:rPr>
              <w:t>年上半年二期，但不能把共享一期自动当作各疾病患者试验已启动。</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](https://www1.hkexnews.hk/listedco/listconews/sehk/2026/0417/2026041701551.pdf)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RTX117_VWM</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RTX-117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白质消融性白质脑病（</w:t>
            </w:r>
            <w:r>
              <w:rPr>
                <w:rFonts w:eastAsia="微软雅黑" w:ascii="微软雅黑" w:hAnsi="微软雅黑"/>
                <w:sz w:val="17"/>
              </w:rPr>
              <w:t>VWM</w:t>
            </w:r>
            <w:r>
              <w:rPr>
                <w:rFonts w:ascii="微软雅黑" w:hAnsi="微软雅黑" w:eastAsia="微软雅黑"/>
                <w:sz w:val="17"/>
              </w:rPr>
              <w:t>）</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药物正在健康成人一期；</w:t>
            </w:r>
            <w:r>
              <w:rPr>
                <w:rFonts w:eastAsia="微软雅黑" w:ascii="微软雅黑" w:hAnsi="微软雅黑"/>
                <w:sz w:val="17"/>
              </w:rPr>
              <w:t xml:space="preserve">CMT </w:t>
            </w:r>
            <w:r>
              <w:rPr>
                <w:rFonts w:ascii="微软雅黑" w:hAnsi="微软雅黑" w:eastAsia="微软雅黑"/>
                <w:sz w:val="17"/>
              </w:rPr>
              <w:t>中美临床批准，</w:t>
            </w:r>
            <w:r>
              <w:rPr>
                <w:rFonts w:eastAsia="微软雅黑" w:ascii="微软雅黑" w:hAnsi="微软雅黑"/>
                <w:sz w:val="17"/>
              </w:rPr>
              <w:t xml:space="preserve">VWM </w:t>
            </w:r>
            <w:r>
              <w:rPr>
                <w:rFonts w:ascii="微软雅黑" w:hAnsi="微软雅黑" w:eastAsia="微软雅黑"/>
                <w:sz w:val="17"/>
              </w:rPr>
              <w:t xml:space="preserve">中国临床批准。计划 </w:t>
            </w:r>
            <w:r>
              <w:rPr>
                <w:rFonts w:eastAsia="微软雅黑" w:ascii="微软雅黑" w:hAnsi="微软雅黑"/>
                <w:sz w:val="17"/>
              </w:rPr>
              <w:t xml:space="preserve">2027 </w:t>
            </w:r>
            <w:r>
              <w:rPr>
                <w:rFonts w:ascii="微软雅黑" w:hAnsi="微软雅黑" w:eastAsia="微软雅黑"/>
                <w:sz w:val="17"/>
              </w:rPr>
              <w:t>年上半年二期，但不能把共享一期自动当作各疾病患者试验已启动。</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](https://www1.hkexnews.hk/listedco/listconews/sehk/2026/0417/2026041701551.pdf)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RTX117_AD_POTENTIAL</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RTX-117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阿尔茨海默症等神经退行性疾病；探索拓展</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药物正在健康成人一期；</w:t>
            </w:r>
            <w:r>
              <w:rPr>
                <w:rFonts w:eastAsia="微软雅黑" w:ascii="微软雅黑" w:hAnsi="微软雅黑"/>
                <w:sz w:val="17"/>
              </w:rPr>
              <w:t xml:space="preserve">CMT </w:t>
            </w:r>
            <w:r>
              <w:rPr>
                <w:rFonts w:ascii="微软雅黑" w:hAnsi="微软雅黑" w:eastAsia="微软雅黑"/>
                <w:sz w:val="17"/>
              </w:rPr>
              <w:t>中美临床批准，</w:t>
            </w:r>
            <w:r>
              <w:rPr>
                <w:rFonts w:eastAsia="微软雅黑" w:ascii="微软雅黑" w:hAnsi="微软雅黑"/>
                <w:sz w:val="17"/>
              </w:rPr>
              <w:t xml:space="preserve">VWM </w:t>
            </w:r>
            <w:r>
              <w:rPr>
                <w:rFonts w:ascii="微软雅黑" w:hAnsi="微软雅黑" w:eastAsia="微软雅黑"/>
                <w:sz w:val="17"/>
              </w:rPr>
              <w:t xml:space="preserve">中国临床批准。计划 </w:t>
            </w:r>
            <w:r>
              <w:rPr>
                <w:rFonts w:eastAsia="微软雅黑" w:ascii="微软雅黑" w:hAnsi="微软雅黑"/>
                <w:sz w:val="17"/>
              </w:rPr>
              <w:t xml:space="preserve">2027 </w:t>
            </w:r>
            <w:r>
              <w:rPr>
                <w:rFonts w:ascii="微软雅黑" w:hAnsi="微软雅黑" w:eastAsia="微软雅黑"/>
                <w:sz w:val="17"/>
              </w:rPr>
              <w:t>年上半年二期，但不能把共享一期自动当作各疾病患者试验已启动。</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](https://www1.hkexnews.hk/listedco/listconews/sehk/2026/0417/2026041701551.pdf)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SIGX1094_DGC</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SIGX1094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弥漫性胃癌（</w:t>
            </w:r>
            <w:r>
              <w:rPr>
                <w:rFonts w:eastAsia="微软雅黑" w:ascii="微软雅黑" w:hAnsi="微软雅黑"/>
                <w:sz w:val="17"/>
              </w:rPr>
              <w:t>DGC</w:t>
            </w:r>
            <w:r>
              <w:rPr>
                <w:rFonts w:ascii="微软雅黑" w:hAnsi="微软雅黑" w:eastAsia="微软雅黑"/>
                <w:sz w:val="17"/>
              </w:rPr>
              <w:t>）</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DGC</w:t>
            </w:r>
            <w:r>
              <w:rPr>
                <w:rFonts w:ascii="微软雅黑" w:hAnsi="微软雅黑" w:eastAsia="微软雅黑"/>
                <w:sz w:val="17"/>
              </w:rPr>
              <w:t xml:space="preserve">：中报中文称中美 </w:t>
            </w:r>
            <w:r>
              <w:rPr>
                <w:rFonts w:eastAsia="微软雅黑" w:ascii="微软雅黑" w:hAnsi="微软雅黑"/>
                <w:sz w:val="17"/>
              </w:rPr>
              <w:t xml:space="preserve">IND </w:t>
            </w:r>
            <w:r>
              <w:rPr>
                <w:rFonts w:ascii="微软雅黑" w:hAnsi="微软雅黑" w:eastAsia="微软雅黑"/>
                <w:sz w:val="17"/>
              </w:rPr>
              <w:t xml:space="preserve">批准、北京大学肿瘤医院一期，表列 </w:t>
            </w:r>
            <w:r>
              <w:rPr>
                <w:rFonts w:eastAsia="微软雅黑" w:ascii="微软雅黑" w:hAnsi="微软雅黑"/>
                <w:sz w:val="17"/>
              </w:rPr>
              <w:t xml:space="preserve">2027 </w:t>
            </w:r>
            <w:r>
              <w:rPr>
                <w:rFonts w:ascii="微软雅黑" w:hAnsi="微软雅黑" w:eastAsia="微软雅黑"/>
                <w:sz w:val="17"/>
              </w:rPr>
              <w:t>二期。</w:t>
            </w:r>
            <w:r>
              <w:rPr>
                <w:rFonts w:eastAsia="微软雅黑" w:ascii="微软雅黑" w:hAnsi="微软雅黑"/>
                <w:sz w:val="17"/>
              </w:rPr>
              <w:t xml:space="preserve">KRAS-G12C NSCLC </w:t>
            </w:r>
            <w:r>
              <w:rPr>
                <w:rFonts w:ascii="微软雅黑" w:hAnsi="微软雅黑" w:eastAsia="微软雅黑"/>
                <w:sz w:val="17"/>
              </w:rPr>
              <w:t xml:space="preserve">联合氟泽雷塞的 </w:t>
            </w:r>
            <w:r>
              <w:rPr>
                <w:rFonts w:eastAsia="微软雅黑" w:ascii="微软雅黑" w:hAnsi="微软雅黑"/>
                <w:sz w:val="17"/>
              </w:rPr>
              <w:t xml:space="preserve">II/III </w:t>
            </w:r>
            <w:r>
              <w:rPr>
                <w:rFonts w:ascii="微软雅黑" w:hAnsi="微软雅黑" w:eastAsia="微软雅黑"/>
                <w:sz w:val="17"/>
              </w:rPr>
              <w:t xml:space="preserve">申请仅获 </w:t>
            </w:r>
            <w:r>
              <w:rPr>
                <w:rFonts w:eastAsia="微软雅黑" w:ascii="微软雅黑" w:hAnsi="微软雅黑"/>
                <w:sz w:val="17"/>
              </w:rPr>
              <w:t xml:space="preserve">CDE </w:t>
            </w:r>
            <w:r>
              <w:rPr>
                <w:rFonts w:ascii="微软雅黑" w:hAnsi="微软雅黑" w:eastAsia="微软雅黑"/>
                <w:sz w:val="17"/>
              </w:rPr>
              <w:t>受理，不能当作批准、启动或达到终点。</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23</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SIGX1094_KRASG12C_NSCLC_COMBO</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SIGX1094+</w:t>
            </w:r>
            <w:r>
              <w:rPr>
                <w:rFonts w:ascii="微软雅黑" w:hAnsi="微软雅黑" w:eastAsia="微软雅黑"/>
                <w:sz w:val="17"/>
              </w:rPr>
              <w:t>氟泽雷塞片（</w:t>
            </w:r>
            <w:r>
              <w:rPr>
                <w:rFonts w:eastAsia="微软雅黑" w:ascii="微软雅黑" w:hAnsi="微软雅黑"/>
                <w:sz w:val="17"/>
              </w:rPr>
              <w:t>fulzerasib</w:t>
            </w:r>
            <w:r>
              <w:rPr>
                <w:rFonts w:ascii="微软雅黑" w:hAnsi="微软雅黑" w:eastAsia="微软雅黑"/>
                <w:sz w:val="17"/>
              </w:rPr>
              <w:t>）</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KRAS-G12C</w:t>
            </w:r>
            <w:r>
              <w:rPr>
                <w:rFonts w:ascii="微软雅黑" w:hAnsi="微软雅黑" w:eastAsia="微软雅黑"/>
                <w:sz w:val="17"/>
              </w:rPr>
              <w:t>突变非小细胞肺癌</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DGC</w:t>
            </w:r>
            <w:r>
              <w:rPr>
                <w:rFonts w:ascii="微软雅黑" w:hAnsi="微软雅黑" w:eastAsia="微软雅黑"/>
                <w:sz w:val="17"/>
              </w:rPr>
              <w:t xml:space="preserve">：中报中文称中美 </w:t>
            </w:r>
            <w:r>
              <w:rPr>
                <w:rFonts w:eastAsia="微软雅黑" w:ascii="微软雅黑" w:hAnsi="微软雅黑"/>
                <w:sz w:val="17"/>
              </w:rPr>
              <w:t xml:space="preserve">IND </w:t>
            </w:r>
            <w:r>
              <w:rPr>
                <w:rFonts w:ascii="微软雅黑" w:hAnsi="微软雅黑" w:eastAsia="微软雅黑"/>
                <w:sz w:val="17"/>
              </w:rPr>
              <w:t xml:space="preserve">批准、北京大学肿瘤医院一期，表列 </w:t>
            </w:r>
            <w:r>
              <w:rPr>
                <w:rFonts w:eastAsia="微软雅黑" w:ascii="微软雅黑" w:hAnsi="微软雅黑"/>
                <w:sz w:val="17"/>
              </w:rPr>
              <w:t xml:space="preserve">2027 </w:t>
            </w:r>
            <w:r>
              <w:rPr>
                <w:rFonts w:ascii="微软雅黑" w:hAnsi="微软雅黑" w:eastAsia="微软雅黑"/>
                <w:sz w:val="17"/>
              </w:rPr>
              <w:t>二期。</w:t>
            </w:r>
            <w:r>
              <w:rPr>
                <w:rFonts w:eastAsia="微软雅黑" w:ascii="微软雅黑" w:hAnsi="微软雅黑"/>
                <w:sz w:val="17"/>
              </w:rPr>
              <w:t xml:space="preserve">KRAS-G12C NSCLC </w:t>
            </w:r>
            <w:r>
              <w:rPr>
                <w:rFonts w:ascii="微软雅黑" w:hAnsi="微软雅黑" w:eastAsia="微软雅黑"/>
                <w:sz w:val="17"/>
              </w:rPr>
              <w:t xml:space="preserve">联合氟泽雷塞的 </w:t>
            </w:r>
            <w:r>
              <w:rPr>
                <w:rFonts w:eastAsia="微软雅黑" w:ascii="微软雅黑" w:hAnsi="微软雅黑"/>
                <w:sz w:val="17"/>
              </w:rPr>
              <w:t xml:space="preserve">II/III </w:t>
            </w:r>
            <w:r>
              <w:rPr>
                <w:rFonts w:ascii="微软雅黑" w:hAnsi="微软雅黑" w:eastAsia="微软雅黑"/>
                <w:sz w:val="17"/>
              </w:rPr>
              <w:t xml:space="preserve">申请仅获 </w:t>
            </w:r>
            <w:r>
              <w:rPr>
                <w:rFonts w:eastAsia="微软雅黑" w:ascii="微软雅黑" w:hAnsi="微软雅黑"/>
                <w:sz w:val="17"/>
              </w:rPr>
              <w:t xml:space="preserve">CDE </w:t>
            </w:r>
            <w:r>
              <w:rPr>
                <w:rFonts w:ascii="微软雅黑" w:hAnsi="微软雅黑" w:eastAsia="微软雅黑"/>
                <w:sz w:val="17"/>
              </w:rPr>
              <w:t>受理，不能当作批准、启动或达到终点。</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23</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SIGX2649_MESO</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SIGX2649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间皮瘤</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英语原文称美国 </w:t>
            </w:r>
            <w:r>
              <w:rPr>
                <w:rFonts w:eastAsia="微软雅黑" w:ascii="微软雅黑" w:hAnsi="微软雅黑"/>
                <w:sz w:val="17"/>
              </w:rPr>
              <w:t xml:space="preserve">IND </w:t>
            </w:r>
            <w:r>
              <w:rPr>
                <w:rFonts w:ascii="微软雅黑" w:hAnsi="微软雅黑" w:eastAsia="微软雅黑"/>
                <w:sz w:val="17"/>
              </w:rPr>
              <w:t xml:space="preserve">批准、中国申请已提交；中文称中美 </w:t>
            </w:r>
            <w:r>
              <w:rPr>
                <w:rFonts w:eastAsia="微软雅黑" w:ascii="微软雅黑" w:hAnsi="微软雅黑"/>
                <w:sz w:val="17"/>
              </w:rPr>
              <w:t xml:space="preserve">IND </w:t>
            </w:r>
            <w:r>
              <w:rPr>
                <w:rFonts w:ascii="微软雅黑" w:hAnsi="微软雅黑" w:eastAsia="微软雅黑"/>
                <w:sz w:val="17"/>
              </w:rPr>
              <w:t xml:space="preserve">批件，存在冲突。计划最早 </w:t>
            </w:r>
            <w:r>
              <w:rPr>
                <w:rFonts w:eastAsia="微软雅黑" w:ascii="微软雅黑" w:hAnsi="微软雅黑"/>
                <w:sz w:val="17"/>
              </w:rPr>
              <w:t xml:space="preserve">2026 </w:t>
            </w:r>
            <w:r>
              <w:rPr>
                <w:rFonts w:ascii="微软雅黑" w:hAnsi="微软雅黑" w:eastAsia="微软雅黑"/>
                <w:sz w:val="17"/>
              </w:rPr>
              <w:t>下半年一期；没有该来源证明一期已启动。</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中英文中国 </w:t>
            </w:r>
            <w:r>
              <w:rPr>
                <w:rFonts w:eastAsia="微软雅黑" w:ascii="微软雅黑" w:hAnsi="微软雅黑"/>
                <w:sz w:val="17"/>
              </w:rPr>
              <w:t xml:space="preserve">IND </w:t>
            </w:r>
            <w:r>
              <w:rPr>
                <w:rFonts w:ascii="微软雅黑" w:hAnsi="微软雅黑" w:eastAsia="微软雅黑"/>
                <w:sz w:val="17"/>
              </w:rPr>
              <w:t>状态冲突的后续确认；当前逐药、逐区域净权益和法律持有人；净销售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23</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SIGX2649_LIVER</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SIGX2649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肝癌</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英语原文称美国 </w:t>
            </w:r>
            <w:r>
              <w:rPr>
                <w:rFonts w:eastAsia="微软雅黑" w:ascii="微软雅黑" w:hAnsi="微软雅黑"/>
                <w:sz w:val="17"/>
              </w:rPr>
              <w:t xml:space="preserve">IND </w:t>
            </w:r>
            <w:r>
              <w:rPr>
                <w:rFonts w:ascii="微软雅黑" w:hAnsi="微软雅黑" w:eastAsia="微软雅黑"/>
                <w:sz w:val="17"/>
              </w:rPr>
              <w:t xml:space="preserve">批准、中国申请已提交；中文称中美 </w:t>
            </w:r>
            <w:r>
              <w:rPr>
                <w:rFonts w:eastAsia="微软雅黑" w:ascii="微软雅黑" w:hAnsi="微软雅黑"/>
                <w:sz w:val="17"/>
              </w:rPr>
              <w:t xml:space="preserve">IND </w:t>
            </w:r>
            <w:r>
              <w:rPr>
                <w:rFonts w:ascii="微软雅黑" w:hAnsi="微软雅黑" w:eastAsia="微软雅黑"/>
                <w:sz w:val="17"/>
              </w:rPr>
              <w:t xml:space="preserve">批件，存在冲突。计划最早 </w:t>
            </w:r>
            <w:r>
              <w:rPr>
                <w:rFonts w:eastAsia="微软雅黑" w:ascii="微软雅黑" w:hAnsi="微软雅黑"/>
                <w:sz w:val="17"/>
              </w:rPr>
              <w:t xml:space="preserve">2026 </w:t>
            </w:r>
            <w:r>
              <w:rPr>
                <w:rFonts w:ascii="微软雅黑" w:hAnsi="微软雅黑" w:eastAsia="微软雅黑"/>
                <w:sz w:val="17"/>
              </w:rPr>
              <w:t>下半年一期；没有该来源证明一期已启动。</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中英文中国 </w:t>
            </w:r>
            <w:r>
              <w:rPr>
                <w:rFonts w:eastAsia="微软雅黑" w:ascii="微软雅黑" w:hAnsi="微软雅黑"/>
                <w:sz w:val="17"/>
              </w:rPr>
              <w:t xml:space="preserve">IND </w:t>
            </w:r>
            <w:r>
              <w:rPr>
                <w:rFonts w:ascii="微软雅黑" w:hAnsi="微软雅黑" w:eastAsia="微软雅黑"/>
                <w:sz w:val="17"/>
              </w:rPr>
              <w:t>状态冲突的后续确认；当前逐药、逐区域净权益和法律持有人；净销售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23</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SIGX2649_LUNG</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SIGX2649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肺癌（未指定亚型）</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英语原文称美国 </w:t>
            </w:r>
            <w:r>
              <w:rPr>
                <w:rFonts w:eastAsia="微软雅黑" w:ascii="微软雅黑" w:hAnsi="微软雅黑"/>
                <w:sz w:val="17"/>
              </w:rPr>
              <w:t xml:space="preserve">IND </w:t>
            </w:r>
            <w:r>
              <w:rPr>
                <w:rFonts w:ascii="微软雅黑" w:hAnsi="微软雅黑" w:eastAsia="微软雅黑"/>
                <w:sz w:val="17"/>
              </w:rPr>
              <w:t xml:space="preserve">批准、中国申请已提交；中文称中美 </w:t>
            </w:r>
            <w:r>
              <w:rPr>
                <w:rFonts w:eastAsia="微软雅黑" w:ascii="微软雅黑" w:hAnsi="微软雅黑"/>
                <w:sz w:val="17"/>
              </w:rPr>
              <w:t xml:space="preserve">IND </w:t>
            </w:r>
            <w:r>
              <w:rPr>
                <w:rFonts w:ascii="微软雅黑" w:hAnsi="微软雅黑" w:eastAsia="微软雅黑"/>
                <w:sz w:val="17"/>
              </w:rPr>
              <w:t xml:space="preserve">批件，存在冲突。计划最早 </w:t>
            </w:r>
            <w:r>
              <w:rPr>
                <w:rFonts w:eastAsia="微软雅黑" w:ascii="微软雅黑" w:hAnsi="微软雅黑"/>
                <w:sz w:val="17"/>
              </w:rPr>
              <w:t xml:space="preserve">2026 </w:t>
            </w:r>
            <w:r>
              <w:rPr>
                <w:rFonts w:ascii="微软雅黑" w:hAnsi="微软雅黑" w:eastAsia="微软雅黑"/>
                <w:sz w:val="17"/>
              </w:rPr>
              <w:t>下半年一期；没有该来源证明一期已启动。</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中英文中国 </w:t>
            </w:r>
            <w:r>
              <w:rPr>
                <w:rFonts w:eastAsia="微软雅黑" w:ascii="微软雅黑" w:hAnsi="微软雅黑"/>
                <w:sz w:val="17"/>
              </w:rPr>
              <w:t xml:space="preserve">IND </w:t>
            </w:r>
            <w:r>
              <w:rPr>
                <w:rFonts w:ascii="微软雅黑" w:hAnsi="微软雅黑" w:eastAsia="微软雅黑"/>
                <w:sz w:val="17"/>
              </w:rPr>
              <w:t>状态冲突的后续确认；当前逐药、逐区域净权益和法律持有人；净销售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23</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META_MP5342_IBD</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MP-5342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炎症性肠病（</w:t>
            </w:r>
            <w:r>
              <w:rPr>
                <w:rFonts w:eastAsia="微软雅黑" w:ascii="微软雅黑" w:hAnsi="微软雅黑"/>
                <w:sz w:val="17"/>
              </w:rPr>
              <w:t>IBD</w:t>
            </w:r>
            <w:r>
              <w:rPr>
                <w:rFonts w:ascii="微软雅黑" w:hAnsi="微软雅黑" w:eastAsia="微软雅黑"/>
                <w:sz w:val="17"/>
              </w:rPr>
              <w:t>）</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中报正文称 </w:t>
            </w:r>
            <w:r>
              <w:rPr>
                <w:rFonts w:eastAsia="微软雅黑" w:ascii="微软雅黑" w:hAnsi="微软雅黑"/>
                <w:sz w:val="17"/>
              </w:rPr>
              <w:t xml:space="preserve">IND </w:t>
            </w:r>
            <w:r>
              <w:rPr>
                <w:rFonts w:ascii="微软雅黑" w:hAnsi="微软雅黑" w:eastAsia="微软雅黑"/>
                <w:sz w:val="17"/>
              </w:rPr>
              <w:t xml:space="preserve">申报阶段。表中一期计划英文为 </w:t>
            </w:r>
            <w:r>
              <w:rPr>
                <w:rFonts w:eastAsia="微软雅黑" w:ascii="微软雅黑" w:hAnsi="微软雅黑"/>
                <w:sz w:val="17"/>
              </w:rPr>
              <w:t xml:space="preserve">2026 </w:t>
            </w:r>
            <w:r>
              <w:rPr>
                <w:rFonts w:ascii="微软雅黑" w:hAnsi="微软雅黑" w:eastAsia="微软雅黑"/>
                <w:sz w:val="17"/>
              </w:rPr>
              <w:t xml:space="preserve">下半年、中文为 </w:t>
            </w:r>
            <w:r>
              <w:rPr>
                <w:rFonts w:eastAsia="微软雅黑" w:ascii="微软雅黑" w:hAnsi="微软雅黑"/>
                <w:sz w:val="17"/>
              </w:rPr>
              <w:t>2027</w:t>
            </w:r>
            <w:r>
              <w:rPr>
                <w:rFonts w:ascii="微软雅黑" w:hAnsi="微软雅黑" w:eastAsia="微软雅黑"/>
                <w:sz w:val="17"/>
              </w:rPr>
              <w:t>，保留冲突，不能当一期已开始。</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中英文一期计划 </w:t>
            </w:r>
            <w:r>
              <w:rPr>
                <w:rFonts w:eastAsia="微软雅黑" w:ascii="微软雅黑" w:hAnsi="微软雅黑"/>
                <w:sz w:val="17"/>
              </w:rPr>
              <w:t xml:space="preserve">2026H2/2027 </w:t>
            </w:r>
            <w:r>
              <w:rPr>
                <w:rFonts w:ascii="微软雅黑" w:hAnsi="微软雅黑" w:eastAsia="微软雅黑"/>
                <w:sz w:val="17"/>
              </w:rPr>
              <w:t>冲突的后续确认；当前逐药、逐区域净权益和法律持有人；净销售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24</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LEMAN_META1019_CD19_MALIGNANCY</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META10-19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复发</w:t>
            </w:r>
            <w:r>
              <w:rPr>
                <w:rFonts w:eastAsia="微软雅黑" w:ascii="微软雅黑" w:hAnsi="微软雅黑"/>
                <w:sz w:val="17"/>
              </w:rPr>
              <w:t>/</w:t>
            </w:r>
            <w:r>
              <w:rPr>
                <w:rFonts w:ascii="微软雅黑" w:hAnsi="微软雅黑" w:eastAsia="微软雅黑"/>
                <w:sz w:val="17"/>
              </w:rPr>
              <w:t xml:space="preserve">难治 </w:t>
            </w:r>
            <w:r>
              <w:rPr>
                <w:rFonts w:eastAsia="微软雅黑" w:ascii="微软雅黑" w:hAnsi="微软雅黑"/>
                <w:sz w:val="17"/>
              </w:rPr>
              <w:t xml:space="preserve">CD19 </w:t>
            </w:r>
            <w:r>
              <w:rPr>
                <w:rFonts w:ascii="微软雅黑" w:hAnsi="微软雅黑" w:eastAsia="微软雅黑"/>
                <w:sz w:val="17"/>
              </w:rPr>
              <w:t xml:space="preserve">阳性 </w:t>
            </w:r>
            <w:r>
              <w:rPr>
                <w:rFonts w:eastAsia="微软雅黑" w:ascii="微软雅黑" w:hAnsi="微软雅黑"/>
                <w:sz w:val="17"/>
              </w:rPr>
              <w:t xml:space="preserve">B </w:t>
            </w:r>
            <w:r>
              <w:rPr>
                <w:rFonts w:ascii="微软雅黑" w:hAnsi="微软雅黑" w:eastAsia="微软雅黑"/>
                <w:sz w:val="17"/>
              </w:rPr>
              <w:t>细胞血液恶性肿瘤（正式表列）；年报淋巴瘤</w:t>
            </w:r>
            <w:r>
              <w:rPr>
                <w:rFonts w:eastAsia="微软雅黑" w:ascii="微软雅黑" w:hAnsi="微软雅黑"/>
                <w:sz w:val="17"/>
              </w:rPr>
              <w:t>/</w:t>
            </w:r>
            <w:r>
              <w:rPr>
                <w:rFonts w:ascii="微软雅黑" w:hAnsi="微软雅黑" w:eastAsia="微软雅黑"/>
                <w:sz w:val="17"/>
              </w:rPr>
              <w:t xml:space="preserve">白血病与套细胞淋巴瘤 </w:t>
            </w:r>
            <w:r>
              <w:rPr>
                <w:rFonts w:eastAsia="微软雅黑" w:ascii="微软雅黑" w:hAnsi="微软雅黑"/>
                <w:sz w:val="17"/>
              </w:rPr>
              <w:t xml:space="preserve">IIT </w:t>
            </w:r>
            <w:r>
              <w:rPr>
                <w:rFonts w:ascii="微软雅黑" w:hAnsi="微软雅黑" w:eastAsia="微软雅黑"/>
                <w:sz w:val="17"/>
              </w:rPr>
              <w:t>描述不逐一补为已核验注册适应症。</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血液恶性肿瘤：年报称 </w:t>
            </w:r>
            <w:r>
              <w:rPr>
                <w:rFonts w:eastAsia="微软雅黑" w:ascii="微软雅黑" w:hAnsi="微软雅黑"/>
                <w:sz w:val="17"/>
              </w:rPr>
              <w:t xml:space="preserve">2026 </w:t>
            </w:r>
            <w:r>
              <w:rPr>
                <w:rFonts w:ascii="微软雅黑" w:hAnsi="微软雅黑" w:eastAsia="微软雅黑"/>
                <w:sz w:val="17"/>
              </w:rPr>
              <w:t xml:space="preserve">年 </w:t>
            </w:r>
            <w:r>
              <w:rPr>
                <w:rFonts w:eastAsia="微软雅黑" w:ascii="微软雅黑" w:hAnsi="微软雅黑"/>
                <w:sz w:val="17"/>
              </w:rPr>
              <w:t xml:space="preserve">3 </w:t>
            </w:r>
            <w:r>
              <w:rPr>
                <w:rFonts w:ascii="微软雅黑" w:hAnsi="微软雅黑" w:eastAsia="微软雅黑"/>
                <w:sz w:val="17"/>
              </w:rPr>
              <w:t xml:space="preserve">月 </w:t>
            </w:r>
            <w:r>
              <w:rPr>
                <w:rFonts w:eastAsia="微软雅黑" w:ascii="微软雅黑" w:hAnsi="微软雅黑"/>
                <w:sz w:val="17"/>
              </w:rPr>
              <w:t xml:space="preserve">FDA IND </w:t>
            </w:r>
            <w:r>
              <w:rPr>
                <w:rFonts w:ascii="微软雅黑" w:hAnsi="微软雅黑" w:eastAsia="微软雅黑"/>
                <w:sz w:val="17"/>
              </w:rPr>
              <w:t xml:space="preserve">批准及 </w:t>
            </w:r>
            <w:r>
              <w:rPr>
                <w:rFonts w:eastAsia="微软雅黑" w:ascii="微软雅黑" w:hAnsi="微软雅黑"/>
                <w:sz w:val="17"/>
              </w:rPr>
              <w:t>IIT</w:t>
            </w:r>
            <w:r>
              <w:rPr>
                <w:rFonts w:ascii="微软雅黑" w:hAnsi="微软雅黑" w:eastAsia="微软雅黑"/>
                <w:sz w:val="17"/>
              </w:rPr>
              <w:t xml:space="preserve">；自身免疫：仅 </w:t>
            </w:r>
            <w:r>
              <w:rPr>
                <w:rFonts w:eastAsia="微软雅黑" w:ascii="微软雅黑" w:hAnsi="微软雅黑"/>
                <w:sz w:val="17"/>
              </w:rPr>
              <w:t xml:space="preserve">IIT </w:t>
            </w:r>
            <w:r>
              <w:rPr>
                <w:rFonts w:ascii="微软雅黑" w:hAnsi="微软雅黑" w:eastAsia="微软雅黑"/>
                <w:sz w:val="17"/>
              </w:rPr>
              <w:t xml:space="preserve">描述及一期计划。中报一期 </w:t>
            </w:r>
            <w:r>
              <w:rPr>
                <w:rFonts w:eastAsia="微软雅黑" w:ascii="微软雅黑" w:hAnsi="微软雅黑"/>
                <w:sz w:val="17"/>
              </w:rPr>
              <w:t xml:space="preserve">2026 </w:t>
            </w:r>
            <w:r>
              <w:rPr>
                <w:rFonts w:ascii="微软雅黑" w:hAnsi="微软雅黑" w:eastAsia="微软雅黑"/>
                <w:sz w:val="17"/>
              </w:rPr>
              <w:t xml:space="preserve">下半年是前瞻，非已启动证明。 年报同类代谢增强 </w:t>
            </w:r>
            <w:r>
              <w:rPr>
                <w:rFonts w:eastAsia="微软雅黑" w:ascii="微软雅黑" w:hAnsi="微软雅黑"/>
                <w:sz w:val="17"/>
              </w:rPr>
              <w:t xml:space="preserve">CD19 CAR-T </w:t>
            </w:r>
            <w:r>
              <w:rPr>
                <w:rFonts w:ascii="微软雅黑" w:hAnsi="微软雅黑" w:eastAsia="微软雅黑"/>
                <w:sz w:val="17"/>
              </w:rPr>
              <w:t xml:space="preserve">与 </w:t>
            </w:r>
            <w:r>
              <w:rPr>
                <w:rFonts w:eastAsia="微软雅黑" w:ascii="微软雅黑" w:hAnsi="微软雅黑"/>
                <w:sz w:val="17"/>
              </w:rPr>
              <w:t xml:space="preserve">META10-19 </w:t>
            </w:r>
            <w:r>
              <w:rPr>
                <w:rFonts w:ascii="微软雅黑" w:hAnsi="微软雅黑" w:eastAsia="微软雅黑"/>
                <w:sz w:val="17"/>
              </w:rPr>
              <w:t>编号的个体试验映射未独立证明，不补造细分疾病注册阶段。</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](https://www1.hkexnews.hk/listedco/listconews/sehk/2026/0417/2026041701551.pdf)</w:t>
            </w:r>
            <w:r>
              <w:rPr>
                <w:rFonts w:ascii="微软雅黑" w:hAnsi="微软雅黑" w:eastAsia="微软雅黑"/>
                <w:sz w:val="17"/>
              </w:rPr>
              <w:t>，第</w:t>
            </w:r>
            <w:r>
              <w:rPr>
                <w:rFonts w:eastAsia="微软雅黑" w:ascii="微软雅黑" w:hAnsi="微软雅黑"/>
                <w:sz w:val="17"/>
              </w:rPr>
              <w:t>20</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LEMAN_META1019_AUTOIMMUNE</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META10-19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难治 </w:t>
            </w:r>
            <w:r>
              <w:rPr>
                <w:rFonts w:eastAsia="微软雅黑" w:ascii="微软雅黑" w:hAnsi="微软雅黑"/>
                <w:sz w:val="17"/>
              </w:rPr>
              <w:t xml:space="preserve">B </w:t>
            </w:r>
            <w:r>
              <w:rPr>
                <w:rFonts w:ascii="微软雅黑" w:hAnsi="微软雅黑" w:eastAsia="微软雅黑"/>
                <w:sz w:val="17"/>
              </w:rPr>
              <w:t xml:space="preserve">细胞自身免疫疾病（正式表列）；年报提到 </w:t>
            </w:r>
            <w:r>
              <w:rPr>
                <w:rFonts w:eastAsia="微软雅黑" w:ascii="微软雅黑" w:hAnsi="微软雅黑"/>
                <w:sz w:val="17"/>
              </w:rPr>
              <w:t xml:space="preserve">SLE </w:t>
            </w:r>
            <w:r>
              <w:rPr>
                <w:rFonts w:ascii="微软雅黑" w:hAnsi="微软雅黑" w:eastAsia="微软雅黑"/>
                <w:sz w:val="17"/>
              </w:rPr>
              <w:t xml:space="preserve">的 </w:t>
            </w:r>
            <w:r>
              <w:rPr>
                <w:rFonts w:eastAsia="微软雅黑" w:ascii="微软雅黑" w:hAnsi="微软雅黑"/>
                <w:sz w:val="17"/>
              </w:rPr>
              <w:t>IIT</w:t>
            </w:r>
            <w:r>
              <w:rPr>
                <w:rFonts w:ascii="微软雅黑" w:hAnsi="微软雅黑" w:eastAsia="微软雅黑"/>
                <w:sz w:val="17"/>
              </w:rPr>
              <w:t>，确切编号与试验对应需确认。</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血液恶性肿瘤：年报称 </w:t>
            </w:r>
            <w:r>
              <w:rPr>
                <w:rFonts w:eastAsia="微软雅黑" w:ascii="微软雅黑" w:hAnsi="微软雅黑"/>
                <w:sz w:val="17"/>
              </w:rPr>
              <w:t xml:space="preserve">2026 </w:t>
            </w:r>
            <w:r>
              <w:rPr>
                <w:rFonts w:ascii="微软雅黑" w:hAnsi="微软雅黑" w:eastAsia="微软雅黑"/>
                <w:sz w:val="17"/>
              </w:rPr>
              <w:t xml:space="preserve">年 </w:t>
            </w:r>
            <w:r>
              <w:rPr>
                <w:rFonts w:eastAsia="微软雅黑" w:ascii="微软雅黑" w:hAnsi="微软雅黑"/>
                <w:sz w:val="17"/>
              </w:rPr>
              <w:t xml:space="preserve">3 </w:t>
            </w:r>
            <w:r>
              <w:rPr>
                <w:rFonts w:ascii="微软雅黑" w:hAnsi="微软雅黑" w:eastAsia="微软雅黑"/>
                <w:sz w:val="17"/>
              </w:rPr>
              <w:t xml:space="preserve">月 </w:t>
            </w:r>
            <w:r>
              <w:rPr>
                <w:rFonts w:eastAsia="微软雅黑" w:ascii="微软雅黑" w:hAnsi="微软雅黑"/>
                <w:sz w:val="17"/>
              </w:rPr>
              <w:t xml:space="preserve">FDA IND </w:t>
            </w:r>
            <w:r>
              <w:rPr>
                <w:rFonts w:ascii="微软雅黑" w:hAnsi="微软雅黑" w:eastAsia="微软雅黑"/>
                <w:sz w:val="17"/>
              </w:rPr>
              <w:t xml:space="preserve">批准及 </w:t>
            </w:r>
            <w:r>
              <w:rPr>
                <w:rFonts w:eastAsia="微软雅黑" w:ascii="微软雅黑" w:hAnsi="微软雅黑"/>
                <w:sz w:val="17"/>
              </w:rPr>
              <w:t>IIT</w:t>
            </w:r>
            <w:r>
              <w:rPr>
                <w:rFonts w:ascii="微软雅黑" w:hAnsi="微软雅黑" w:eastAsia="微软雅黑"/>
                <w:sz w:val="17"/>
              </w:rPr>
              <w:t xml:space="preserve">；自身免疫：仅 </w:t>
            </w:r>
            <w:r>
              <w:rPr>
                <w:rFonts w:eastAsia="微软雅黑" w:ascii="微软雅黑" w:hAnsi="微软雅黑"/>
                <w:sz w:val="17"/>
              </w:rPr>
              <w:t xml:space="preserve">IIT </w:t>
            </w:r>
            <w:r>
              <w:rPr>
                <w:rFonts w:ascii="微软雅黑" w:hAnsi="微软雅黑" w:eastAsia="微软雅黑"/>
                <w:sz w:val="17"/>
              </w:rPr>
              <w:t xml:space="preserve">描述及一期计划。中报一期 </w:t>
            </w:r>
            <w:r>
              <w:rPr>
                <w:rFonts w:eastAsia="微软雅黑" w:ascii="微软雅黑" w:hAnsi="微软雅黑"/>
                <w:sz w:val="17"/>
              </w:rPr>
              <w:t xml:space="preserve">2026 </w:t>
            </w:r>
            <w:r>
              <w:rPr>
                <w:rFonts w:ascii="微软雅黑" w:hAnsi="微软雅黑" w:eastAsia="微软雅黑"/>
                <w:sz w:val="17"/>
              </w:rPr>
              <w:t>下半年是前瞻，非已启动证明。</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LEMAN_GPC3_LIVER</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IL-10GPC3CAR-T</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GPC3</w:t>
            </w:r>
            <w:r>
              <w:rPr>
                <w:rFonts w:ascii="微软雅黑" w:hAnsi="微软雅黑" w:eastAsia="微软雅黑"/>
                <w:sz w:val="17"/>
              </w:rPr>
              <w:t>阳性肝癌</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表列 </w:t>
            </w:r>
            <w:r>
              <w:rPr>
                <w:rFonts w:eastAsia="微软雅黑" w:ascii="微软雅黑" w:hAnsi="微软雅黑"/>
                <w:sz w:val="17"/>
              </w:rPr>
              <w:t xml:space="preserve">2026 </w:t>
            </w:r>
            <w:r>
              <w:rPr>
                <w:rFonts w:ascii="微软雅黑" w:hAnsi="微软雅黑" w:eastAsia="微软雅黑"/>
                <w:sz w:val="17"/>
              </w:rPr>
              <w:t xml:space="preserve">下半年首批实体瘤数据披露计划；年报泛称相关 </w:t>
            </w:r>
            <w:r>
              <w:rPr>
                <w:rFonts w:eastAsia="微软雅黑" w:ascii="微软雅黑" w:hAnsi="微软雅黑"/>
                <w:sz w:val="17"/>
              </w:rPr>
              <w:t xml:space="preserve">CAR-T </w:t>
            </w:r>
            <w:r>
              <w:rPr>
                <w:rFonts w:ascii="微软雅黑" w:hAnsi="微软雅黑" w:eastAsia="微软雅黑"/>
                <w:sz w:val="17"/>
              </w:rPr>
              <w:t xml:space="preserve">正在进入 </w:t>
            </w:r>
            <w:r>
              <w:rPr>
                <w:rFonts w:eastAsia="微软雅黑" w:ascii="微软雅黑" w:hAnsi="微软雅黑"/>
                <w:sz w:val="17"/>
              </w:rPr>
              <w:t>IIT</w:t>
            </w:r>
            <w:r>
              <w:rPr>
                <w:rFonts w:ascii="微软雅黑" w:hAnsi="微软雅黑" w:eastAsia="微软雅黑"/>
                <w:sz w:val="17"/>
              </w:rPr>
              <w:t>，未逐项目验证商业注册期数。</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LEMAN_EGFRVIII_GLIOMA</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IL-10EGFRvIIICAR-T</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EGFRvIII</w:t>
            </w:r>
            <w:r>
              <w:rPr>
                <w:rFonts w:ascii="微软雅黑" w:hAnsi="微软雅黑" w:eastAsia="微软雅黑"/>
                <w:sz w:val="17"/>
              </w:rPr>
              <w:t>阳性神经胶质瘤</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表列 </w:t>
            </w:r>
            <w:r>
              <w:rPr>
                <w:rFonts w:eastAsia="微软雅黑" w:ascii="微软雅黑" w:hAnsi="微软雅黑"/>
                <w:sz w:val="17"/>
              </w:rPr>
              <w:t xml:space="preserve">2026 </w:t>
            </w:r>
            <w:r>
              <w:rPr>
                <w:rFonts w:ascii="微软雅黑" w:hAnsi="微软雅黑" w:eastAsia="微软雅黑"/>
                <w:sz w:val="17"/>
              </w:rPr>
              <w:t xml:space="preserve">下半年首批实体瘤数据披露计划；年报泛称相关 </w:t>
            </w:r>
            <w:r>
              <w:rPr>
                <w:rFonts w:eastAsia="微软雅黑" w:ascii="微软雅黑" w:hAnsi="微软雅黑"/>
                <w:sz w:val="17"/>
              </w:rPr>
              <w:t xml:space="preserve">CAR-T </w:t>
            </w:r>
            <w:r>
              <w:rPr>
                <w:rFonts w:ascii="微软雅黑" w:hAnsi="微软雅黑" w:eastAsia="微软雅黑"/>
                <w:sz w:val="17"/>
              </w:rPr>
              <w:t xml:space="preserve">正在进入 </w:t>
            </w:r>
            <w:r>
              <w:rPr>
                <w:rFonts w:eastAsia="微软雅黑" w:ascii="微软雅黑" w:hAnsi="微软雅黑"/>
                <w:sz w:val="17"/>
              </w:rPr>
              <w:t>IIT</w:t>
            </w:r>
            <w:r>
              <w:rPr>
                <w:rFonts w:ascii="微软雅黑" w:hAnsi="微软雅黑" w:eastAsia="微软雅黑"/>
                <w:sz w:val="17"/>
              </w:rPr>
              <w:t>，未逐项目验证商业注册期数。</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LEMAN_CLDN182_GASTRIC</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IL-10Claudin18.2CAR-T</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Claudin18.2</w:t>
            </w:r>
            <w:r>
              <w:rPr>
                <w:rFonts w:ascii="微软雅黑" w:hAnsi="微软雅黑" w:eastAsia="微软雅黑"/>
                <w:sz w:val="17"/>
              </w:rPr>
              <w:t>阳性胃癌</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表列 </w:t>
            </w:r>
            <w:r>
              <w:rPr>
                <w:rFonts w:eastAsia="微软雅黑" w:ascii="微软雅黑" w:hAnsi="微软雅黑"/>
                <w:sz w:val="17"/>
              </w:rPr>
              <w:t xml:space="preserve">2026 </w:t>
            </w:r>
            <w:r>
              <w:rPr>
                <w:rFonts w:ascii="微软雅黑" w:hAnsi="微软雅黑" w:eastAsia="微软雅黑"/>
                <w:sz w:val="17"/>
              </w:rPr>
              <w:t xml:space="preserve">下半年启动 </w:t>
            </w:r>
            <w:r>
              <w:rPr>
                <w:rFonts w:eastAsia="微软雅黑" w:ascii="微软雅黑" w:hAnsi="微软雅黑"/>
                <w:sz w:val="17"/>
              </w:rPr>
              <w:t xml:space="preserve">IIT </w:t>
            </w:r>
            <w:r>
              <w:rPr>
                <w:rFonts w:ascii="微软雅黑" w:hAnsi="微软雅黑" w:eastAsia="微软雅黑"/>
                <w:sz w:val="17"/>
              </w:rPr>
              <w:t>计划；具体已启动、</w:t>
            </w:r>
            <w:r>
              <w:rPr>
                <w:rFonts w:eastAsia="微软雅黑" w:ascii="微软雅黑" w:hAnsi="微软雅黑"/>
                <w:sz w:val="17"/>
              </w:rPr>
              <w:t xml:space="preserve">IND </w:t>
            </w:r>
            <w:r>
              <w:rPr>
                <w:rFonts w:ascii="微软雅黑" w:hAnsi="微软雅黑" w:eastAsia="微软雅黑"/>
                <w:sz w:val="17"/>
              </w:rPr>
              <w:t>或商业注册期数未逐项目核实。</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LEMAN_META10TILS_SOLID</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META10-TILs</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实体瘤；未指定逐癌种</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年报称 </w:t>
            </w:r>
            <w:r>
              <w:rPr>
                <w:rFonts w:eastAsia="微软雅黑" w:ascii="微软雅黑" w:hAnsi="微软雅黑"/>
                <w:sz w:val="17"/>
              </w:rPr>
              <w:t xml:space="preserve">META10-TILs IIT </w:t>
            </w:r>
            <w:r>
              <w:rPr>
                <w:rFonts w:ascii="微软雅黑" w:hAnsi="微软雅黑" w:eastAsia="微软雅黑"/>
                <w:sz w:val="17"/>
              </w:rPr>
              <w:t>已启动；并非商业注册一期、二期或三期的独立证据。</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](https://www1.hkexnews.hk/listedco/listconews/sehk/2026/0417/2026041701551.pdf)</w:t>
            </w:r>
            <w:r>
              <w:rPr>
                <w:rFonts w:ascii="微软雅黑" w:hAnsi="微软雅黑" w:eastAsia="微软雅黑"/>
                <w:sz w:val="17"/>
              </w:rPr>
              <w:t>，第</w:t>
            </w:r>
            <w:r>
              <w:rPr>
                <w:rFonts w:eastAsia="微软雅黑" w:ascii="微软雅黑" w:hAnsi="微软雅黑"/>
                <w:sz w:val="17"/>
              </w:rPr>
              <w:t>20</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METIS_MTS004_PBA</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MTS-004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假性延髓情绪失控（</w:t>
            </w:r>
            <w:r>
              <w:rPr>
                <w:rFonts w:eastAsia="微软雅黑" w:ascii="微软雅黑" w:hAnsi="微软雅黑"/>
                <w:sz w:val="17"/>
              </w:rPr>
              <w:t>PBA</w:t>
            </w:r>
            <w:r>
              <w:rPr>
                <w:rFonts w:ascii="微软雅黑" w:hAnsi="微软雅黑" w:eastAsia="微软雅黑"/>
                <w:sz w:val="17"/>
              </w:rPr>
              <w:t>）</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晶泰年报称 </w:t>
            </w:r>
            <w:r>
              <w:rPr>
                <w:rFonts w:eastAsia="微软雅黑" w:ascii="微软雅黑" w:hAnsi="微软雅黑"/>
                <w:sz w:val="17"/>
              </w:rPr>
              <w:t xml:space="preserve">MTS-004 </w:t>
            </w:r>
            <w:r>
              <w:rPr>
                <w:rFonts w:ascii="微软雅黑" w:hAnsi="微软雅黑" w:eastAsia="微软雅黑"/>
                <w:sz w:val="17"/>
              </w:rPr>
              <w:t>三期主要终点达到；没有完整终点定义、效应值、试验编号或营销批准原件，不能补造。</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](https://www1.hkexnews.hk/listedco/listconews/sehk/2026/0417/2026041701551.pdf)</w:t>
            </w:r>
            <w:r>
              <w:rPr>
                <w:rFonts w:ascii="微软雅黑" w:hAnsi="微软雅黑" w:eastAsia="微软雅黑"/>
                <w:sz w:val="17"/>
              </w:rPr>
              <w:t>，第</w:t>
            </w:r>
            <w:r>
              <w:rPr>
                <w:rFonts w:eastAsia="微软雅黑" w:ascii="微软雅黑" w:hAnsi="微软雅黑"/>
                <w:sz w:val="17"/>
              </w:rPr>
              <w:t>20</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METIS_MTS105_HCC</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MTS-105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肝细胞癌（</w:t>
            </w:r>
            <w:r>
              <w:rPr>
                <w:rFonts w:eastAsia="微软雅黑" w:ascii="微软雅黑" w:hAnsi="微软雅黑"/>
                <w:sz w:val="17"/>
              </w:rPr>
              <w:t>HCC</w:t>
            </w:r>
            <w:r>
              <w:rPr>
                <w:rFonts w:ascii="微软雅黑" w:hAnsi="微软雅黑" w:eastAsia="微软雅黑"/>
                <w:sz w:val="17"/>
              </w:rPr>
              <w:t>）</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晶泰年报仅确认其披露 </w:t>
            </w:r>
            <w:r>
              <w:rPr>
                <w:rFonts w:eastAsia="微软雅黑" w:ascii="微软雅黑" w:hAnsi="微软雅黑"/>
                <w:sz w:val="17"/>
              </w:rPr>
              <w:t xml:space="preserve">FDA </w:t>
            </w:r>
            <w:r>
              <w:rPr>
                <w:rFonts w:ascii="微软雅黑" w:hAnsi="微软雅黑" w:eastAsia="微软雅黑"/>
                <w:sz w:val="17"/>
              </w:rPr>
              <w:t xml:space="preserve">孤儿药资格；孤儿药资格本身不能推导 </w:t>
            </w:r>
            <w:r>
              <w:rPr>
                <w:rFonts w:eastAsia="微软雅黑" w:ascii="微软雅黑" w:hAnsi="微软雅黑"/>
                <w:sz w:val="17"/>
              </w:rPr>
              <w:t xml:space="preserve">IND </w:t>
            </w:r>
            <w:r>
              <w:rPr>
                <w:rFonts w:ascii="微软雅黑" w:hAnsi="微软雅黑" w:eastAsia="微软雅黑"/>
                <w:sz w:val="17"/>
              </w:rPr>
              <w:t>批准或临床期数。</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](https://www1.hkexnews.hk/listedco/listconews/sehk/2026/0417/2026041701551.pdf)</w:t>
            </w:r>
            <w:r>
              <w:rPr>
                <w:rFonts w:ascii="微软雅黑" w:hAnsi="微软雅黑" w:eastAsia="微软雅黑"/>
                <w:sz w:val="17"/>
              </w:rPr>
              <w:t>，第</w:t>
            </w:r>
            <w:r>
              <w:rPr>
                <w:rFonts w:eastAsia="微软雅黑" w:ascii="微软雅黑" w:hAnsi="微软雅黑"/>
                <w:sz w:val="17"/>
              </w:rPr>
              <w:t>20</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AILUX_LILLY_UNNAMED_BISPEC</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Lilly-Ailux</w:t>
            </w:r>
            <w:r>
              <w:rPr>
                <w:rFonts w:ascii="微软雅黑" w:hAnsi="微软雅黑" w:eastAsia="微软雅黑"/>
                <w:sz w:val="17"/>
              </w:rPr>
              <w:t>未命名双抗合作</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variousdiseases</w:t>
            </w:r>
            <w:r>
              <w:rPr>
                <w:rFonts w:ascii="微软雅黑" w:hAnsi="微软雅黑" w:eastAsia="微软雅黑"/>
                <w:sz w:val="17"/>
              </w:rPr>
              <w:t>；具体适应症未给</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平台合作，</w:t>
            </w:r>
            <w:r>
              <w:rPr>
                <w:rFonts w:eastAsia="微软雅黑" w:ascii="微软雅黑" w:hAnsi="微软雅黑"/>
                <w:sz w:val="17"/>
              </w:rPr>
              <w:t xml:space="preserve">Lilly </w:t>
            </w:r>
            <w:r>
              <w:rPr>
                <w:rFonts w:ascii="微软雅黑" w:hAnsi="微软雅黑" w:eastAsia="微软雅黑"/>
                <w:sz w:val="17"/>
              </w:rPr>
              <w:t xml:space="preserve">可提名双抗靶点对。没有药名、适应症和具体候选阶段，不映射到 </w:t>
            </w:r>
            <w:r>
              <w:rPr>
                <w:rFonts w:eastAsia="微软雅黑" w:ascii="微软雅黑" w:hAnsi="微软雅黑"/>
                <w:sz w:val="17"/>
              </w:rPr>
              <w:t>ALX001/002/005</w:t>
            </w:r>
            <w:r>
              <w:rPr>
                <w:rFonts w:ascii="微软雅黑" w:hAnsi="微软雅黑" w:eastAsia="微软雅黑"/>
                <w:sz w:val="17"/>
              </w:rPr>
              <w:t>。</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可识别药物代码、个体靶点和疾病对应关系；当前逐药、逐区域净权益和法律持有人；净销售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](https://www1.hkexnews.hk/listedco/listconews/sehk/2025/1105/2025110501768.pdf)</w:t>
            </w:r>
            <w:r>
              <w:rPr>
                <w:rFonts w:ascii="微软雅黑" w:hAnsi="微软雅黑" w:eastAsia="微软雅黑"/>
                <w:sz w:val="17"/>
              </w:rPr>
              <w:t>，第</w:t>
            </w:r>
            <w:r>
              <w:rPr>
                <w:rFonts w:eastAsia="微软雅黑" w:ascii="微软雅黑" w:hAnsi="微软雅黑"/>
                <w:sz w:val="17"/>
              </w:rPr>
              <w:t>1</w:t>
            </w:r>
            <w:r>
              <w:rPr>
                <w:rFonts w:ascii="微软雅黑" w:hAnsi="微软雅黑" w:eastAsia="微软雅黑"/>
                <w:sz w:val="17"/>
              </w:rPr>
              <w:t>、</w:t>
            </w:r>
            <w:r>
              <w:rPr>
                <w:rFonts w:eastAsia="微软雅黑" w:ascii="微软雅黑" w:hAnsi="微软雅黑"/>
                <w:sz w:val="17"/>
              </w:rPr>
              <w:t>2</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VISEN_UNNAMED_ENDOCRINE</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维昇未命名创新疗法合作</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内分泌</w:t>
            </w:r>
            <w:r>
              <w:rPr>
                <w:rFonts w:eastAsia="微软雅黑" w:ascii="微软雅黑" w:hAnsi="微软雅黑"/>
                <w:sz w:val="17"/>
              </w:rPr>
              <w:t>/</w:t>
            </w:r>
            <w:r>
              <w:rPr>
                <w:rFonts w:ascii="微软雅黑" w:hAnsi="微软雅黑" w:eastAsia="微软雅黑"/>
                <w:sz w:val="17"/>
              </w:rPr>
              <w:t>代谢高价值需求，未指定疾病</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早期发现与临床转化合作方向，没有逐药、靶点、具体阶段。</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可识别药物代码、个体靶点和疾病对应关系；当前逐药、逐区域净权益和法律持有人；净销售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32</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HEC_UNNAMED_JV_PIPELINES</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东阳光未命名合作管线</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未分配</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拟建合资公司、联合实验室及模型的合作方向，不是可识别逐药临床资产。</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可识别药物代码、个体靶点和疾病对应关系；当前逐药、逐区域净权益和法律持有人；净销售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32</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UNKNOWN_BIOPHARMA_PRE2025_3_PROJECTS</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某领先生物药伙伴三项未命名项目</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未披露治疗领域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年报未具名伙伴的三项目总述：两项 </w:t>
            </w:r>
            <w:r>
              <w:rPr>
                <w:rFonts w:eastAsia="微软雅黑" w:ascii="微软雅黑" w:hAnsi="微软雅黑"/>
                <w:sz w:val="17"/>
              </w:rPr>
              <w:t>IND-enabling</w:t>
            </w:r>
            <w:r>
              <w:rPr>
                <w:rFonts w:ascii="微软雅黑" w:hAnsi="微软雅黑" w:eastAsia="微软雅黑"/>
                <w:sz w:val="17"/>
              </w:rPr>
              <w:t xml:space="preserve">，第三计划 </w:t>
            </w:r>
            <w:r>
              <w:rPr>
                <w:rFonts w:eastAsia="微软雅黑" w:ascii="微软雅黑" w:hAnsi="微软雅黑"/>
                <w:sz w:val="17"/>
              </w:rPr>
              <w:t xml:space="preserve">2026 </w:t>
            </w:r>
            <w:r>
              <w:rPr>
                <w:rFonts w:ascii="微软雅黑" w:hAnsi="微软雅黑" w:eastAsia="微软雅黑"/>
                <w:sz w:val="17"/>
              </w:rPr>
              <w:t>上半年；不能识别是否和现有合同重合，也不能另加三份资产。</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可识别药物代码、个体靶点和疾病对应关系；当前逐药、逐区域净权益和法律持有人；净销售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](https://www1.hkexnews.hk/listedco/listconews/sehk/2026/0417/2026041701551.pdf)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OWNED_UNNAMED_MOLECULAR_GLUES</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未命名自身免疫分子胶</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自身免疫病；未拆疾病</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苗头化合物及靶蛋白降解研究；预计 </w:t>
            </w:r>
            <w:r>
              <w:rPr>
                <w:rFonts w:eastAsia="微软雅黑" w:ascii="微软雅黑" w:hAnsi="微软雅黑"/>
                <w:sz w:val="17"/>
              </w:rPr>
              <w:t xml:space="preserve">2027 </w:t>
            </w:r>
            <w:r>
              <w:rPr>
                <w:rFonts w:ascii="微软雅黑" w:hAnsi="微软雅黑" w:eastAsia="微软雅黑"/>
                <w:sz w:val="17"/>
              </w:rPr>
              <w:t xml:space="preserve">年进入临床前，不当作 </w:t>
            </w:r>
            <w:r>
              <w:rPr>
                <w:rFonts w:eastAsia="微软雅黑" w:ascii="微软雅黑" w:hAnsi="微软雅黑"/>
                <w:sz w:val="17"/>
              </w:rPr>
              <w:t xml:space="preserve">PCC </w:t>
            </w:r>
            <w:r>
              <w:rPr>
                <w:rFonts w:ascii="微软雅黑" w:hAnsi="微软雅黑" w:eastAsia="微软雅黑"/>
                <w:sz w:val="17"/>
              </w:rPr>
              <w:t xml:space="preserve">或 </w:t>
            </w:r>
            <w:r>
              <w:rPr>
                <w:rFonts w:eastAsia="微软雅黑" w:ascii="微软雅黑" w:hAnsi="微软雅黑"/>
                <w:sz w:val="17"/>
              </w:rPr>
              <w:t>IND</w:t>
            </w:r>
            <w:r>
              <w:rPr>
                <w:rFonts w:ascii="微软雅黑" w:hAnsi="微软雅黑" w:eastAsia="微软雅黑"/>
                <w:sz w:val="17"/>
              </w:rPr>
              <w:t>。</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可识别药物代码、个体靶点和疾病对应关系；当前逐药、逐区域净权益和法律持有人；净销售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22</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OWNED_UNNAMED_PEPTIDE_BRAIN_DELIVERY</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未命名环肽脑递送</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脑部递送技术，未指定治疗疾病</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动物体内测试和优化；预计 </w:t>
            </w:r>
            <w:r>
              <w:rPr>
                <w:rFonts w:eastAsia="微软雅黑" w:ascii="微软雅黑" w:hAnsi="微软雅黑"/>
                <w:sz w:val="17"/>
              </w:rPr>
              <w:t xml:space="preserve">2027 </w:t>
            </w:r>
            <w:r>
              <w:rPr>
                <w:rFonts w:ascii="微软雅黑" w:hAnsi="微软雅黑" w:eastAsia="微软雅黑"/>
                <w:sz w:val="17"/>
              </w:rPr>
              <w:t xml:space="preserve">上半年 </w:t>
            </w:r>
            <w:r>
              <w:rPr>
                <w:rFonts w:eastAsia="微软雅黑" w:ascii="微软雅黑" w:hAnsi="微软雅黑"/>
                <w:sz w:val="17"/>
              </w:rPr>
              <w:t>PCC</w:t>
            </w:r>
            <w:r>
              <w:rPr>
                <w:rFonts w:ascii="微软雅黑" w:hAnsi="微软雅黑" w:eastAsia="微软雅黑"/>
                <w:sz w:val="17"/>
              </w:rPr>
              <w:t>。是递送平台项目，不是具名脑病候选。</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可识别药物代码、个体靶点和疾病对应关系；当前逐药、逐区域净权益和法律持有人；净销售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28</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OWNED_UNNAMED_PEPTIDE_ORAL_AUTOIMMUNE</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未命名口服环肽自免</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自身免疫病，未拆疾病</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自免口服环肽已到 </w:t>
            </w:r>
            <w:r>
              <w:rPr>
                <w:rFonts w:eastAsia="微软雅黑" w:ascii="微软雅黑" w:hAnsi="微软雅黑"/>
                <w:sz w:val="17"/>
              </w:rPr>
              <w:t>hit-to-lead</w:t>
            </w:r>
            <w:r>
              <w:rPr>
                <w:rFonts w:ascii="微软雅黑" w:hAnsi="微软雅黑" w:eastAsia="微软雅黑"/>
                <w:sz w:val="17"/>
              </w:rPr>
              <w:t xml:space="preserve">；预计 </w:t>
            </w:r>
            <w:r>
              <w:rPr>
                <w:rFonts w:eastAsia="微软雅黑" w:ascii="微软雅黑" w:hAnsi="微软雅黑"/>
                <w:sz w:val="17"/>
              </w:rPr>
              <w:t xml:space="preserve">2027 </w:t>
            </w:r>
            <w:r>
              <w:rPr>
                <w:rFonts w:ascii="微软雅黑" w:hAnsi="微软雅黑" w:eastAsia="微软雅黑"/>
                <w:sz w:val="17"/>
              </w:rPr>
              <w:t xml:space="preserve">年中 </w:t>
            </w:r>
            <w:r>
              <w:rPr>
                <w:rFonts w:eastAsia="微软雅黑" w:ascii="微软雅黑" w:hAnsi="微软雅黑"/>
                <w:sz w:val="17"/>
              </w:rPr>
              <w:t>PCC</w:t>
            </w:r>
            <w:r>
              <w:rPr>
                <w:rFonts w:ascii="微软雅黑" w:hAnsi="微软雅黑" w:eastAsia="微软雅黑"/>
                <w:sz w:val="17"/>
              </w:rPr>
              <w:t>，具体靶点与疾病未给。</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可识别药物代码、个体靶点和疾病对应关系；当前逐药、逐区域净权益和法律持有人；净销售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28</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OWNED_UNNAMED_SIRNA_METABOLIC</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未命名单靶</w:t>
            </w:r>
            <w:r>
              <w:rPr>
                <w:rFonts w:eastAsia="微软雅黑" w:ascii="微软雅黑" w:hAnsi="微软雅黑"/>
                <w:sz w:val="17"/>
              </w:rPr>
              <w:t>/</w:t>
            </w:r>
            <w:r>
              <w:rPr>
                <w:rFonts w:ascii="微软雅黑" w:hAnsi="微软雅黑" w:eastAsia="微软雅黑"/>
                <w:sz w:val="17"/>
              </w:rPr>
              <w:t>双靶</w:t>
            </w:r>
            <w:r>
              <w:rPr>
                <w:rFonts w:eastAsia="微软雅黑" w:ascii="微软雅黑" w:hAnsi="微软雅黑"/>
                <w:sz w:val="17"/>
              </w:rPr>
              <w:t>siRNA</w:t>
            </w:r>
            <w:r>
              <w:rPr>
                <w:rFonts w:ascii="微软雅黑" w:hAnsi="微软雅黑" w:eastAsia="微软雅黑"/>
                <w:sz w:val="17"/>
              </w:rPr>
              <w:t>代谢</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体重管理</w:t>
            </w:r>
            <w:r>
              <w:rPr>
                <w:rFonts w:eastAsia="微软雅黑" w:ascii="微软雅黑" w:hAnsi="微软雅黑"/>
                <w:sz w:val="17"/>
              </w:rPr>
              <w:t>/</w:t>
            </w:r>
            <w:r>
              <w:rPr>
                <w:rFonts w:ascii="微软雅黑" w:hAnsi="微软雅黑" w:eastAsia="微软雅黑"/>
                <w:sz w:val="17"/>
              </w:rPr>
              <w:t>代谢；未指定适应症</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仅六项目组合的体内评价和最快 </w:t>
            </w:r>
            <w:r>
              <w:rPr>
                <w:rFonts w:eastAsia="微软雅黑" w:ascii="微软雅黑" w:hAnsi="微软雅黑"/>
                <w:sz w:val="17"/>
              </w:rPr>
              <w:t xml:space="preserve">PCC </w:t>
            </w:r>
            <w:r>
              <w:rPr>
                <w:rFonts w:ascii="微软雅黑" w:hAnsi="微软雅黑" w:eastAsia="微软雅黑"/>
                <w:sz w:val="17"/>
              </w:rPr>
              <w:t xml:space="preserve">总述，未命名、未给逐药期数；不得与 </w:t>
            </w:r>
            <w:r>
              <w:rPr>
                <w:rFonts w:eastAsia="微软雅黑" w:ascii="微软雅黑" w:hAnsi="微软雅黑"/>
                <w:sz w:val="17"/>
              </w:rPr>
              <w:t xml:space="preserve">XS01/IgAN </w:t>
            </w:r>
            <w:r>
              <w:rPr>
                <w:rFonts w:ascii="微软雅黑" w:hAnsi="微软雅黑" w:eastAsia="微软雅黑"/>
                <w:sz w:val="17"/>
              </w:rPr>
              <w:t>首发项目重复计数。</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可识别药物代码、个体靶点和疾病对应关系；当前逐药、逐区域净权益和法律持有人；净销售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29</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OWNED_UNNAMED_SIRNA_CNS</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未命名</w:t>
            </w:r>
            <w:r>
              <w:rPr>
                <w:rFonts w:eastAsia="微软雅黑" w:ascii="微软雅黑" w:hAnsi="微软雅黑"/>
                <w:sz w:val="17"/>
              </w:rPr>
              <w:t>siRNA</w:t>
            </w:r>
            <w:r>
              <w:rPr>
                <w:rFonts w:ascii="微软雅黑" w:hAnsi="微软雅黑" w:eastAsia="微软雅黑"/>
                <w:sz w:val="17"/>
              </w:rPr>
              <w:t>中枢神经方向</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CNS</w:t>
            </w:r>
            <w:r>
              <w:rPr>
                <w:rFonts w:ascii="微软雅黑" w:hAnsi="微软雅黑" w:eastAsia="微软雅黑"/>
                <w:sz w:val="17"/>
              </w:rPr>
              <w:t>疾病，未指定</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 xml:space="preserve">仅六项目组合的体内评价和最快 </w:t>
            </w:r>
            <w:r>
              <w:rPr>
                <w:rFonts w:eastAsia="微软雅黑" w:ascii="微软雅黑" w:hAnsi="微软雅黑"/>
                <w:sz w:val="17"/>
              </w:rPr>
              <w:t xml:space="preserve">PCC </w:t>
            </w:r>
            <w:r>
              <w:rPr>
                <w:rFonts w:ascii="微软雅黑" w:hAnsi="微软雅黑" w:eastAsia="微软雅黑"/>
                <w:sz w:val="17"/>
              </w:rPr>
              <w:t xml:space="preserve">总述，未命名、未给逐药期数；不得与 </w:t>
            </w:r>
            <w:r>
              <w:rPr>
                <w:rFonts w:eastAsia="微软雅黑" w:ascii="微软雅黑" w:hAnsi="微软雅黑"/>
                <w:sz w:val="17"/>
              </w:rPr>
              <w:t xml:space="preserve">XS01/IgAN </w:t>
            </w:r>
            <w:r>
              <w:rPr>
                <w:rFonts w:ascii="微软雅黑" w:hAnsi="微软雅黑" w:eastAsia="微软雅黑"/>
                <w:sz w:val="17"/>
              </w:rPr>
              <w:t>首发项目重复计数。</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可识别药物代码、个体靶点和疾病对应关系；当前逐药、逐区域净权益和法律持有人；净销售</w:t>
            </w:r>
            <w:r>
              <w:rPr>
                <w:rFonts w:eastAsia="微软雅黑" w:ascii="微软雅黑" w:hAnsi="微软雅黑"/>
                <w:sz w:val="17"/>
              </w:rPr>
              <w:t>/</w:t>
            </w:r>
            <w:r>
              <w:rPr>
                <w:rFonts w:ascii="微软雅黑" w:hAnsi="微软雅黑" w:eastAsia="微软雅黑"/>
                <w:sz w:val="17"/>
              </w:rPr>
              <w:t>许可</w:t>
            </w:r>
            <w:r>
              <w:rPr>
                <w:rFonts w:eastAsia="微软雅黑" w:ascii="微软雅黑" w:hAnsi="微软雅黑"/>
                <w:sz w:val="17"/>
              </w:rPr>
              <w:t>/</w:t>
            </w:r>
            <w:r>
              <w:rPr>
                <w:rFonts w:ascii="微软雅黑" w:hAnsi="微软雅黑" w:eastAsia="微软雅黑"/>
                <w:sz w:val="17"/>
              </w:rPr>
              <w:t>里程碑分成与付款条件的确切数值；逐适应症监管记录、试验注册、患者终点与临床阶段验证；收入峰值、竞争及成本、未来融资稀释、上市时间等估值输入</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29</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PX002C_GLUCOSE_CONSUMER</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Px-002C</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血糖健康</w:t>
            </w:r>
            <w:r>
              <w:rPr>
                <w:rFonts w:eastAsia="微软雅黑" w:ascii="微软雅黑" w:hAnsi="微软雅黑"/>
                <w:sz w:val="17"/>
              </w:rPr>
              <w:t>/</w:t>
            </w:r>
            <w:r>
              <w:rPr>
                <w:rFonts w:ascii="微软雅黑" w:hAnsi="微软雅黑" w:eastAsia="微软雅黑"/>
                <w:sz w:val="17"/>
              </w:rPr>
              <w:t>降糖消费产品</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 xml:space="preserve">表列消费品并写 </w:t>
            </w:r>
            <w:r>
              <w:rPr>
                <w:rFonts w:eastAsia="微软雅黑" w:ascii="微软雅黑" w:hAnsi="微软雅黑"/>
                <w:sz w:val="17"/>
              </w:rPr>
              <w:t>FDA Self-GRAS</w:t>
            </w:r>
            <w:r>
              <w:rPr>
                <w:rFonts w:ascii="微软雅黑" w:hAnsi="微软雅黑" w:eastAsia="微软雅黑"/>
                <w:sz w:val="17"/>
              </w:rPr>
              <w:t xml:space="preserve">；正文说明 </w:t>
            </w:r>
            <w:r>
              <w:rPr>
                <w:rFonts w:eastAsia="微软雅黑" w:ascii="微软雅黑" w:hAnsi="微软雅黑"/>
                <w:sz w:val="17"/>
              </w:rPr>
              <w:t xml:space="preserve">Tensotide </w:t>
            </w:r>
            <w:r>
              <w:rPr>
                <w:rFonts w:ascii="微软雅黑" w:hAnsi="微软雅黑" w:eastAsia="微软雅黑"/>
                <w:sz w:val="17"/>
              </w:rPr>
              <w:t xml:space="preserve">自我认定 </w:t>
            </w:r>
            <w:r>
              <w:rPr>
                <w:rFonts w:eastAsia="微软雅黑" w:ascii="微软雅黑" w:hAnsi="微软雅黑"/>
                <w:sz w:val="17"/>
              </w:rPr>
              <w:t xml:space="preserve">GRAS </w:t>
            </w:r>
            <w:r>
              <w:rPr>
                <w:rFonts w:ascii="微软雅黑" w:hAnsi="微软雅黑" w:eastAsia="微软雅黑"/>
                <w:sz w:val="17"/>
              </w:rPr>
              <w:t xml:space="preserve">食品原料，不能当 </w:t>
            </w:r>
            <w:r>
              <w:rPr>
                <w:rFonts w:eastAsia="微软雅黑" w:ascii="微软雅黑" w:hAnsi="微软雅黑"/>
                <w:sz w:val="17"/>
              </w:rPr>
              <w:t xml:space="preserve">FDA </w:t>
            </w:r>
            <w:r>
              <w:rPr>
                <w:rFonts w:ascii="微软雅黑" w:hAnsi="微软雅黑" w:eastAsia="微软雅黑"/>
                <w:sz w:val="17"/>
              </w:rPr>
              <w:t>新药上市批准；</w:t>
            </w:r>
            <w:r>
              <w:rPr>
                <w:rFonts w:eastAsia="微软雅黑" w:ascii="微软雅黑" w:hAnsi="微软雅黑"/>
                <w:sz w:val="17"/>
              </w:rPr>
              <w:t xml:space="preserve">Tensotide </w:t>
            </w:r>
            <w:r>
              <w:rPr>
                <w:rFonts w:ascii="微软雅黑" w:hAnsi="微软雅黑" w:eastAsia="微软雅黑"/>
                <w:sz w:val="17"/>
              </w:rPr>
              <w:t xml:space="preserve">与 </w:t>
            </w:r>
            <w:r>
              <w:rPr>
                <w:rFonts w:eastAsia="微软雅黑" w:ascii="微软雅黑" w:hAnsi="微软雅黑"/>
                <w:sz w:val="17"/>
              </w:rPr>
              <w:t xml:space="preserve">Px-002C </w:t>
            </w:r>
            <w:r>
              <w:rPr>
                <w:rFonts w:ascii="微软雅黑" w:hAnsi="微软雅黑" w:eastAsia="微软雅黑"/>
                <w:sz w:val="17"/>
              </w:rPr>
              <w:t>映射未明确。</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逐产品代码与商业名称的明确映射；已实现销售收入、毛利与渠道成本；逐产品法律持有人与净销售权益</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w:t>
            </w:r>
            <w:r>
              <w:rPr>
                <w:rFonts w:eastAsia="微软雅黑" w:ascii="微软雅黑" w:hAnsi="微软雅黑"/>
                <w:sz w:val="17"/>
              </w:rPr>
              <w:t>27</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PX003C_LIPID_CONSUMER</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Px-003C</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降脂消费产品</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表列消费品；不能赋创新药临床阶段或已批准治疗适应症。</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逐产品代码与商业名称的明确映射；已实现销售收入、毛利与渠道成本；逐产品法律持有人与净销售权益</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PX001C_COSMETICS</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Px-001C</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化妆品</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表列消费产品，</w:t>
            </w:r>
            <w:r>
              <w:rPr>
                <w:rFonts w:eastAsia="微软雅黑" w:ascii="微软雅黑" w:hAnsi="微软雅黑"/>
                <w:sz w:val="17"/>
              </w:rPr>
              <w:t xml:space="preserve">2027 </w:t>
            </w:r>
            <w:r>
              <w:rPr>
                <w:rFonts w:ascii="微软雅黑" w:hAnsi="微软雅黑" w:eastAsia="微软雅黑"/>
                <w:sz w:val="17"/>
              </w:rPr>
              <w:t>下半年新化妆品原料申报是计划；不当已完成审批或治疗药物。</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逐产品代码与商业名称的明确映射；已实现销售收入、毛利与渠道成本；逐产品法律持有人与净销售权益</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原件</w:t>
            </w:r>
            <w:r>
              <w:rPr>
                <w:rFonts w:eastAsia="微软雅黑" w:ascii="微软雅黑" w:hAnsi="微软雅黑"/>
                <w:sz w:val="17"/>
              </w:rPr>
              <w:t>](https://www1.hkexnews.hk/listedco/listconews/sehk/2026/0909/2026090901145.pdf)</w:t>
            </w:r>
            <w:r>
              <w:rPr>
                <w:rFonts w:ascii="微软雅黑" w:hAnsi="微软雅黑" w:eastAsia="微软雅黑"/>
                <w:sz w:val="17"/>
              </w:rPr>
              <w:t>，第</w:t>
            </w:r>
            <w:r>
              <w:rPr>
                <w:rFonts w:eastAsia="微软雅黑" w:ascii="微软雅黑" w:hAnsi="微软雅黑"/>
                <w:sz w:val="17"/>
              </w:rPr>
              <w:t>21</w:t>
            </w:r>
            <w:r>
              <w:rPr>
                <w:rFonts w:ascii="微软雅黑" w:hAnsi="微软雅黑" w:eastAsia="微软雅黑"/>
                <w:sz w:val="17"/>
              </w:rPr>
              <w:t>页</w:t>
            </w:r>
          </w:p>
        </w:tc>
      </w:tr>
    </w:tbl>
    <w:p>
      <w:pPr>
        <w:pStyle w:val="Normal"/>
        <w:rPr/>
      </w:pPr>
      <w:r>
        <w:rPr/>
      </w:r>
    </w:p>
    <w:p>
      <w:pPr>
        <w:pStyle w:val="Normal"/>
        <w:rPr/>
      </w:pPr>
      <w:r>
        <w:rPr/>
        <w:t>43</w:t>
      </w:r>
      <w:r>
        <w:rPr/>
        <w:t>行是证据记录，包含具名候选、适应症拓展、未分配合同方向以及消费产品；不声称公司有</w:t>
      </w:r>
      <w:r>
        <w:rPr/>
        <w:t>43</w:t>
      </w:r>
      <w:r>
        <w:rPr/>
        <w:t>个独立注册药物。</w:t>
      </w:r>
      <w:r>
        <w:rPr/>
        <w:t>PEP08</w:t>
      </w:r>
      <w:r>
        <w:rPr/>
        <w:t>脑癌潜力、</w:t>
      </w:r>
      <w:r>
        <w:rPr/>
        <w:t>RTX117</w:t>
      </w:r>
      <w:r>
        <w:rPr/>
        <w:t>阿尔茨海默症方向仍属探索，不能与其已有患者或健康成人试验阶段自动等同。相同药物多行用于审查适应症差异，未来如果开放正估值，需要共享药学、早期安全试验和开发支出，并检查跨适应症人群重叠。七项自研适应症已开放研究估值，但没有给每行加入整份协议里程碑；未分配项目仍锁零。模型保留全额未来临床预算，费用不随低成功率下降，体现研发失败依然消耗现金。</w:t>
      </w:r>
    </w:p>
    <w:p>
      <w:pPr>
        <w:pStyle w:val="Normal"/>
        <w:rPr/>
      </w:pPr>
      <w:r>
        <w:rPr/>
        <w:t>SIGX1094</w:t>
      </w:r>
      <w:r>
        <w:rPr/>
        <w:t>的弥漫性胃癌项目与</w:t>
      </w:r>
      <w:r>
        <w:rPr/>
        <w:t>KRAS-G12C</w:t>
      </w:r>
      <w:r>
        <w:rPr/>
        <w:t>非小细胞肺癌联合方案有不同的证据。前者有发行人披露的一期及未来二期计划，后者申请获</w:t>
      </w:r>
      <w:r>
        <w:rPr/>
        <w:t>CDE</w:t>
      </w:r>
      <w:r>
        <w:rPr/>
        <w:t>受理不等于批准或已开始</w:t>
      </w:r>
      <w:r>
        <w:rPr/>
        <w:t>II/III</w:t>
      </w:r>
      <w:r>
        <w:rPr/>
        <w:t>试验。</w:t>
      </w:r>
      <w:r>
        <w:rPr/>
        <w:t>SIGX2649</w:t>
      </w:r>
      <w:r>
        <w:rPr/>
        <w:t>在英语中报称美国</w:t>
      </w:r>
      <w:r>
        <w:rPr/>
        <w:t>IND</w:t>
      </w:r>
      <w:r>
        <w:rPr/>
        <w:t>批准、中国申请提交，中文却称中美</w:t>
      </w:r>
      <w:r>
        <w:rPr/>
        <w:t>IND</w:t>
      </w:r>
      <w:r>
        <w:rPr/>
        <w:t>批件，须保留冲突，不用较积极译文覆盖；间皮瘤、肝癌和肺癌也不能因此都算作已获批准的人体患者试验。</w:t>
      </w:r>
      <w:r>
        <w:rPr/>
        <w:t>MP-5342</w:t>
      </w:r>
      <w:r>
        <w:rPr/>
        <w:t>两语对下一期年份有差异，注册表列出文字，模型不提前确认计划的完成。</w:t>
      </w:r>
    </w:p>
    <w:p>
      <w:pPr>
        <w:pStyle w:val="Normal"/>
        <w:rPr/>
      </w:pPr>
      <w:r>
        <w:rPr/>
        <w:t>Leman</w:t>
      </w:r>
      <w:r>
        <w:rPr/>
        <w:t>的</w:t>
      </w:r>
      <w:r>
        <w:rPr/>
        <w:t>CD19</w:t>
      </w:r>
      <w:r>
        <w:rPr/>
        <w:t>血液恶性肿瘤与自身免疫记录保留正式表列身份。年报有关同类代谢增强</w:t>
      </w:r>
      <w:r>
        <w:rPr/>
        <w:t>CAR-T</w:t>
      </w:r>
      <w:r>
        <w:rPr/>
        <w:t>的研究者发起试验、淋巴瘤、白血病和套细胞淋巴瘤描述，不能未经映射全部归到</w:t>
      </w:r>
      <w:r>
        <w:rPr/>
        <w:t>META10-19</w:t>
      </w:r>
      <w:r>
        <w:rPr/>
        <w:t>编号，更不能写成晶泰自主药物。</w:t>
      </w:r>
      <w:r>
        <w:rPr/>
        <w:t>GPC3</w:t>
      </w:r>
      <w:r>
        <w:rPr/>
        <w:t>肝癌、</w:t>
      </w:r>
      <w:r>
        <w:rPr/>
        <w:t>EGFRvIII</w:t>
      </w:r>
      <w:r>
        <w:rPr/>
        <w:t>胶质瘤和</w:t>
      </w:r>
      <w:r>
        <w:rPr/>
        <w:t>Claudin18.2</w:t>
      </w:r>
      <w:r>
        <w:rPr/>
        <w:t>胃癌各自需要临床和权利证据，</w:t>
      </w:r>
      <w:r>
        <w:rPr/>
        <w:t>META10-TILs</w:t>
      </w:r>
      <w:r>
        <w:rPr/>
        <w:t>的</w:t>
      </w:r>
      <w:r>
        <w:rPr/>
        <w:t>IIT</w:t>
      </w:r>
      <w:r>
        <w:rPr/>
        <w:t>亦不等于商业注册期数。参股关系本身没有提供每药当期稀释持股和净销售权，金融资产回收已经另计，不再追加全额</w:t>
      </w:r>
      <w:r>
        <w:rPr/>
        <w:t>CAR-T</w:t>
      </w:r>
      <w:r>
        <w:rPr/>
        <w:t>销售价值。</w:t>
      </w:r>
    </w:p>
    <w:p>
      <w:pPr>
        <w:pStyle w:val="Normal"/>
        <w:rPr/>
      </w:pPr>
      <w:r>
        <w:rPr/>
        <w:t>METiS</w:t>
      </w:r>
      <w:r>
        <w:rPr/>
        <w:t>的</w:t>
      </w:r>
      <w:r>
        <w:rPr/>
        <w:t>MTS-004</w:t>
      </w:r>
      <w:r>
        <w:rPr/>
        <w:t>与</w:t>
      </w:r>
      <w:r>
        <w:rPr/>
        <w:t>MTS-105</w:t>
      </w:r>
      <w:r>
        <w:rPr/>
        <w:t>来自晶泰投资相关披露。三期达到主要终点或获得孤儿药资格有研究意义，仍需原始试验定义、分母、效应量、完整结果和监管批准验证。</w:t>
      </w:r>
      <w:r>
        <w:rPr/>
        <w:t>MTS-105</w:t>
      </w:r>
      <w:r>
        <w:rPr/>
        <w:t>的孤儿药资格尤其不能推导到</w:t>
      </w:r>
      <w:r>
        <w:rPr/>
        <w:t>IND</w:t>
      </w:r>
      <w:r>
        <w:rPr/>
        <w:t>或具体期数。</w:t>
      </w:r>
      <w:r>
        <w:rPr/>
        <w:t>Px-002C</w:t>
      </w:r>
      <w:r>
        <w:rPr/>
        <w:t>、</w:t>
      </w:r>
      <w:r>
        <w:rPr/>
        <w:t>Px-003C</w:t>
      </w:r>
      <w:r>
        <w:rPr/>
        <w:t>及</w:t>
      </w:r>
      <w:r>
        <w:rPr/>
        <w:t>Px-001C</w:t>
      </w:r>
      <w:r>
        <w:rPr/>
        <w:t>列为消费健康和化妆品观察，不使用创新药注册成功概率。食品原料自我认定</w:t>
      </w:r>
      <w:r>
        <w:rPr/>
        <w:t>GRAS</w:t>
      </w:r>
      <w:r>
        <w:rPr/>
        <w:t>也不是</w:t>
      </w:r>
      <w:r>
        <w:rPr/>
        <w:t>FDA</w:t>
      </w:r>
      <w:r>
        <w:rPr/>
        <w:t>新药营销批准；</w:t>
      </w:r>
      <w:r>
        <w:rPr/>
        <w:t>Tensotide</w:t>
      </w:r>
      <w:r>
        <w:rPr/>
        <w:t>与</w:t>
      </w:r>
      <w:r>
        <w:rPr/>
        <w:t>Px-002C</w:t>
      </w:r>
      <w:r>
        <w:rPr/>
        <w:t>的确切映射缺失时不以相近功效补造编号关系。</w:t>
      </w:r>
    </w:p>
    <w:p>
      <w:pPr>
        <w:pStyle w:val="Normal"/>
        <w:rPr/>
      </w:pPr>
      <w:r>
        <w:rPr/>
        <w:t>服务模型中的已签近端款与新服务交易是研究预算，收入增长依赖实际履约和后续签约，不代表观察清单里每药未来版税、</w:t>
      </w:r>
      <w:r>
        <w:rPr/>
        <w:t>rNPV</w:t>
      </w:r>
      <w:r>
        <w:rPr/>
        <w:t>出售款或无条件到期里程碑。不允许删除药物收益后将同一金额挪入服务收入维持目标价；各服务年度假设保持独立且注明非确定应收。未分配临床费用保留原预算：二零二六至二零三二年基准为一点一一、一点五四、二点一零、二点五二、二点七二、二点五七和二点一四亿元，之后采用透明尾部增长及退坡。该预算不是逐药已签成本，也没有因为零值观察而取消。</w:t>
      </w:r>
    </w:p>
    <w:p>
      <w:pPr>
        <w:pStyle w:val="Heading2"/>
        <w:rPr/>
      </w:pPr>
      <w:r>
        <w:rPr>
          <w:rFonts w:ascii="Microsoft YaHei" w:hAnsi="Microsoft YaHei" w:eastAsia="微软雅黑"/>
          <w:b/>
          <w:color w:val="000000"/>
          <w:sz w:val="26"/>
        </w:rPr>
        <w:t>七续 七项自研适应症的独立经营假设</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232"/>
        <w:gridCol w:w="1232"/>
        <w:gridCol w:w="1232"/>
        <w:gridCol w:w="1232"/>
        <w:gridCol w:w="1232"/>
        <w:gridCol w:w="1232"/>
        <w:gridCol w:w="1232"/>
        <w:gridCol w:w="1232"/>
      </w:tblGrid>
      <w:tr>
        <w:trPr>
          <w:tblHeader w:val="true"/>
          <w:cantSplit/>
        </w:trPr>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项目</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可治疗且可支付患者数（悲</w:t>
            </w:r>
            <w:r>
              <w:rPr>
                <w:rFonts w:eastAsia="微软雅黑" w:ascii="微软雅黑" w:hAnsi="微软雅黑"/>
                <w:b/>
                <w:color w:val="FFFFFF"/>
                <w:sz w:val="17"/>
              </w:rPr>
              <w:t>/</w:t>
            </w:r>
            <w:r>
              <w:rPr>
                <w:rFonts w:ascii="微软雅黑" w:hAnsi="微软雅黑" w:eastAsia="微软雅黑"/>
                <w:b/>
                <w:color w:val="FFFFFF"/>
                <w:sz w:val="17"/>
              </w:rPr>
              <w:t>基</w:t>
            </w:r>
            <w:r>
              <w:rPr>
                <w:rFonts w:eastAsia="微软雅黑" w:ascii="微软雅黑" w:hAnsi="微软雅黑"/>
                <w:b/>
                <w:color w:val="FFFFFF"/>
                <w:sz w:val="17"/>
              </w:rPr>
              <w:t>/</w:t>
            </w:r>
            <w:r>
              <w:rPr>
                <w:rFonts w:ascii="微软雅黑" w:hAnsi="微软雅黑" w:eastAsia="微软雅黑"/>
                <w:b/>
                <w:color w:val="FFFFFF"/>
                <w:sz w:val="17"/>
              </w:rPr>
              <w:t>乐）</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年价格人民币（悲</w:t>
            </w:r>
            <w:r>
              <w:rPr>
                <w:rFonts w:eastAsia="微软雅黑" w:ascii="微软雅黑" w:hAnsi="微软雅黑"/>
                <w:b/>
                <w:color w:val="FFFFFF"/>
                <w:sz w:val="17"/>
              </w:rPr>
              <w:t>/</w:t>
            </w:r>
            <w:r>
              <w:rPr>
                <w:rFonts w:ascii="微软雅黑" w:hAnsi="微软雅黑" w:eastAsia="微软雅黑"/>
                <w:b/>
                <w:color w:val="FFFFFF"/>
                <w:sz w:val="17"/>
              </w:rPr>
              <w:t>基</w:t>
            </w:r>
            <w:r>
              <w:rPr>
                <w:rFonts w:eastAsia="微软雅黑" w:ascii="微软雅黑" w:hAnsi="微软雅黑"/>
                <w:b/>
                <w:color w:val="FFFFFF"/>
                <w:sz w:val="17"/>
              </w:rPr>
              <w:t>/</w:t>
            </w:r>
            <w:r>
              <w:rPr>
                <w:rFonts w:ascii="微软雅黑" w:hAnsi="微软雅黑" w:eastAsia="微软雅黑"/>
                <w:b/>
                <w:color w:val="FFFFFF"/>
                <w:sz w:val="17"/>
              </w:rPr>
              <w:t>乐）</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峰值份额</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峰销人民币十亿</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临床前批准概率研究</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首商业年</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净实现率</w:t>
            </w:r>
            <w:r>
              <w:rPr>
                <w:rFonts w:eastAsia="微软雅黑" w:ascii="微软雅黑" w:hAnsi="微软雅黑"/>
                <w:b/>
                <w:color w:val="FFFFFF"/>
                <w:sz w:val="17"/>
              </w:rPr>
              <w:t>/</w:t>
            </w:r>
            <w:r>
              <w:rPr>
                <w:rFonts w:ascii="微软雅黑" w:hAnsi="微软雅黑" w:eastAsia="微软雅黑"/>
                <w:b/>
                <w:color w:val="FFFFFF"/>
                <w:sz w:val="17"/>
              </w:rPr>
              <w:t>生产毛利基准</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XTN004_IBS</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60000</w:t>
              <w:br/>
              <w:t>150000</w:t>
              <w:br/>
              <w:t>350000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12000</w:t>
              <w:br/>
              <w:t>20000</w:t>
              <w:br/>
              <w:t>28000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0.05</w:t>
              <w:br/>
              <w:t>0.1</w:t>
              <w:br/>
              <w:t>0.16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0.036</w:t>
              <w:br/>
              <w:t>0.3</w:t>
              <w:br/>
              <w:t>1.568</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0.035</w:t>
              <w:br/>
              <w:t>0.08</w:t>
              <w:br/>
              <w:t>0.14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2038</w:t>
              <w:br/>
              <w:t>2034</w:t>
              <w:br/>
              <w:t>2032</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0.45</w:t>
              <w:br/>
              <w:t>0.8</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XTN004_IBD</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20000</w:t>
              <w:br/>
              <w:t>60000</w:t>
              <w:br/>
              <w:t>120000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14000</w:t>
              <w:br/>
              <w:t>24000</w:t>
              <w:br/>
              <w:t>32000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0.04</w:t>
              <w:br/>
              <w:t>0.09</w:t>
              <w:br/>
              <w:t>0.15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0.0112</w:t>
              <w:br/>
              <w:t>0.1296</w:t>
              <w:br/>
              <w:t>0.576</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0.03</w:t>
              <w:br/>
              <w:t>0.07</w:t>
              <w:br/>
              <w:t>0.13</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2039</w:t>
              <w:br/>
              <w:t>2035</w:t>
              <w:br/>
              <w:t>2033</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0.45</w:t>
              <w:br/>
              <w:t>0.8</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ALX001_IBD</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100000</w:t>
              <w:br/>
              <w:t>300000</w:t>
              <w:br/>
              <w:t>600000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50000</w:t>
              <w:br/>
              <w:t>85000</w:t>
              <w:br/>
              <w:t>110000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0.04</w:t>
              <w:br/>
              <w:t>0.1</w:t>
              <w:br/>
              <w:t>0.16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w:t>
              <w:br/>
              <w:t>2.55</w:t>
              <w:br/>
              <w:t>10.56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0.025</w:t>
              <w:br/>
              <w:t>0.065</w:t>
              <w:br/>
              <w:t>0.12</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2039</w:t>
              <w:br/>
              <w:t>2035</w:t>
              <w:br/>
              <w:t>2033</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0.42</w:t>
              <w:br/>
              <w:t>0.79</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ALX002_SLE</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50000</w:t>
              <w:br/>
              <w:t>120000</w:t>
              <w:br/>
              <w:t>250000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55000</w:t>
              <w:br/>
              <w:t>85000</w:t>
              <w:br/>
              <w:t>120000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0.04</w:t>
              <w:br/>
              <w:t>0.1</w:t>
              <w:br/>
              <w:t>0.17</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0.11</w:t>
              <w:br/>
              <w:t>1.02</w:t>
              <w:br/>
              <w:t>5.1</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0.02</w:t>
              <w:br/>
              <w:t>0.055</w:t>
              <w:br/>
              <w:t>0.11</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2040</w:t>
              <w:br/>
              <w:t>2036</w:t>
              <w:br/>
              <w:t>2033</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0.42</w:t>
              <w:br/>
              <w:t>0.78</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ALX002_RA</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60000</w:t>
              <w:br/>
              <w:t>160000</w:t>
              <w:br/>
              <w:t>320000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40000</w:t>
              <w:br/>
              <w:t>65000</w:t>
              <w:br/>
              <w:t>90000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0.025</w:t>
              <w:br/>
              <w:t>0.055</w:t>
              <w:br/>
              <w:t>0.1</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0.06</w:t>
              <w:br/>
              <w:t>0.572</w:t>
              <w:br/>
              <w:t>2.88</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0.015</w:t>
              <w:br/>
              <w:t>0.045</w:t>
              <w:br/>
              <w:t>0.09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2041</w:t>
              <w:br/>
              <w:t>2037</w:t>
              <w:br/>
              <w:t>2034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0.42</w:t>
              <w:br/>
              <w:t>0.78</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ALX005_MG</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25000</w:t>
              <w:br/>
              <w:t>55000</w:t>
              <w:br/>
              <w:t>100000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100000</w:t>
              <w:br/>
              <w:t>170000</w:t>
              <w:br/>
              <w:t>230000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0.05</w:t>
              <w:br/>
              <w:t>0.12</w:t>
              <w:br/>
              <w:t>0.2</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0.125</w:t>
              <w:br/>
              <w:t>1.122</w:t>
              <w:br/>
              <w:t>4.6</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0.035</w:t>
              <w:br/>
              <w:t>0.075</w:t>
              <w:br/>
              <w:t>0.14</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2039</w:t>
              <w:br/>
              <w:t>2035</w:t>
              <w:br/>
              <w:t>2033</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0.42</w:t>
              <w:br/>
              <w:t>0.79</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ALX005_ITP</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30000</w:t>
              <w:br/>
              <w:t>70000</w:t>
              <w:br/>
              <w:t>140000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65000</w:t>
              <w:br/>
              <w:t>110000</w:t>
              <w:br/>
              <w:t>160000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0.04</w:t>
              <w:br/>
              <w:t>0.09</w:t>
              <w:br/>
              <w:t>0.16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0.078</w:t>
              <w:br/>
              <w:t>0.693</w:t>
              <w:br/>
              <w:t>3.584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0.025</w:t>
              <w:br/>
              <w:t>0.06</w:t>
              <w:br/>
              <w:t>0.12</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2040</w:t>
              <w:br/>
              <w:t>2036</w:t>
              <w:br/>
              <w:t>2034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0.42</w:t>
              <w:br/>
              <w:t>0.79</w:t>
            </w:r>
          </w:p>
        </w:tc>
      </w:tr>
    </w:tbl>
    <w:p>
      <w:pPr>
        <w:pStyle w:val="Normal"/>
        <w:rPr/>
      </w:pPr>
      <w:r>
        <w:rPr/>
      </w:r>
    </w:p>
    <w:p>
      <w:pPr>
        <w:pStyle w:val="Normal"/>
        <w:rPr/>
      </w:pPr>
      <w:r>
        <w:rPr/>
        <w:t>患者数为中国及潜在海外市场可治疗且可支付细分人群的单一研究合计，尚无逐区域人群和权利拆分，也不是已验证全球峰销；暂不宣称地区</w:t>
      </w:r>
      <w:r>
        <w:rPr/>
        <w:t>rNPV</w:t>
      </w:r>
      <w:r>
        <w:rPr/>
        <w:t>已完备。它们是研究参数，不是已核验流行病学人数；年价和份额也不是公司指导或确定医保价格。峰值等于患者数乘年价格乘份额，因此可以逐项更改并重算。</w:t>
      </w:r>
      <w:r>
        <w:rPr/>
        <w:t>XTN004</w:t>
      </w:r>
      <w:r>
        <w:rPr/>
        <w:t>的肠道疼痛价格显著低于生物药，</w:t>
      </w:r>
      <w:r>
        <w:rPr/>
        <w:t>IBS</w:t>
      </w:r>
      <w:r>
        <w:rPr/>
        <w:t>以残余症状治疗而不是所有患病人数建需求；</w:t>
      </w:r>
      <w:r>
        <w:rPr/>
        <w:t>IBD</w:t>
      </w:r>
      <w:r>
        <w:rPr/>
        <w:t>疼痛另选辅助治疗人群。</w:t>
      </w:r>
      <w:r>
        <w:rPr/>
        <w:t>ALX001</w:t>
      </w:r>
      <w:r>
        <w:rPr/>
        <w:t>是基础炎症控制，虽然也面向</w:t>
      </w:r>
      <w:r>
        <w:rPr/>
        <w:t>IBD</w:t>
      </w:r>
      <w:r>
        <w:rPr/>
        <w:t>，不把改善炎症的全部价值再加到</w:t>
      </w:r>
      <w:r>
        <w:rPr/>
        <w:t>XTN004</w:t>
      </w:r>
      <w:r>
        <w:rPr/>
        <w:t>疼痛市场。临床成功依赖疼痛终点安慰剂效应、局部暴露和安全窗，两适应症同药的失败相关，情景权重不表示独立临床概率相乘。</w:t>
      </w:r>
    </w:p>
    <w:p>
      <w:pPr>
        <w:pStyle w:val="Normal"/>
        <w:rPr/>
      </w:pPr>
      <w:r>
        <w:rPr/>
        <w:t>ALX002</w:t>
      </w:r>
      <w:r>
        <w:rPr/>
        <w:t>选择难治、</w:t>
      </w:r>
      <w:r>
        <w:rPr/>
        <w:t>B</w:t>
      </w:r>
      <w:r>
        <w:rPr/>
        <w:t>细胞机制相关</w:t>
      </w:r>
      <w:r>
        <w:rPr/>
        <w:t>SLE</w:t>
      </w:r>
      <w:r>
        <w:rPr/>
        <w:t>和</w:t>
      </w:r>
      <w:r>
        <w:rPr/>
        <w:t>RA</w:t>
      </w:r>
      <w:r>
        <w:rPr/>
        <w:t>细分患者，不能以全部</w:t>
      </w:r>
      <w:r>
        <w:rPr/>
        <w:t>RA</w:t>
      </w:r>
      <w:r>
        <w:rPr/>
        <w:t>人口乘创新疗法高价。</w:t>
      </w:r>
      <w:r>
        <w:rPr/>
        <w:t>T</w:t>
      </w:r>
      <w:r>
        <w:rPr/>
        <w:t>细胞激活需要评估细胞因子释放、感染风险、</w:t>
      </w:r>
      <w:r>
        <w:rPr/>
        <w:t>B</w:t>
      </w:r>
      <w:r>
        <w:rPr/>
        <w:t>细胞恢复和给药场景；</w:t>
      </w:r>
      <w:r>
        <w:rPr/>
        <w:t>RA</w:t>
      </w:r>
      <w:r>
        <w:rPr/>
        <w:t>已有多种成熟药物，对毒性接受度更低，因此份额和概率均低于</w:t>
      </w:r>
      <w:r>
        <w:rPr/>
        <w:t>SLE</w:t>
      </w:r>
      <w:r>
        <w:rPr/>
        <w:t>。</w:t>
      </w:r>
      <w:r>
        <w:rPr/>
        <w:t>ALX005</w:t>
      </w:r>
      <w:r>
        <w:rPr/>
        <w:t>的</w:t>
      </w:r>
      <w:r>
        <w:rPr/>
        <w:t>FcRn</w:t>
      </w:r>
      <w:r>
        <w:rPr/>
        <w:t>机制已有同类验证，但候选长期作用、皮下注射和免疫风险仍未有患者证据。</w:t>
      </w:r>
      <w:r>
        <w:rPr/>
        <w:t>MG</w:t>
      </w:r>
      <w:r>
        <w:rPr/>
        <w:t>与</w:t>
      </w:r>
      <w:r>
        <w:rPr/>
        <w:t>ITP</w:t>
      </w:r>
      <w:r>
        <w:rPr/>
        <w:t>是不同患者及终点，后者竞争包含</w:t>
      </w:r>
      <w:r>
        <w:rPr/>
        <w:t>TPO</w:t>
      </w:r>
      <w:r>
        <w:rPr/>
        <w:t>激动剂和</w:t>
      </w:r>
      <w:r>
        <w:rPr/>
        <w:t>B</w:t>
      </w:r>
      <w:r>
        <w:rPr/>
        <w:t>细胞方案，需求假设并未复制</w:t>
      </w:r>
      <w:r>
        <w:rPr/>
        <w:t>MG</w:t>
      </w:r>
      <w:r>
        <w:rPr/>
        <w:t>的价格与份额。</w:t>
      </w:r>
      <w:r>
        <w:rPr/>
        <w:t>ALX002</w:t>
      </w:r>
      <w:r>
        <w:rPr/>
        <w:t>的</w:t>
      </w:r>
      <w:r>
        <w:rPr/>
        <w:t>SLE</w:t>
      </w:r>
      <w:r>
        <w:rPr/>
        <w:t>和</w:t>
      </w:r>
      <w:r>
        <w:rPr/>
        <w:t>RA</w:t>
      </w:r>
      <w:r>
        <w:rPr/>
        <w:t>、</w:t>
      </w:r>
      <w:r>
        <w:rPr/>
        <w:t>ALX005</w:t>
      </w:r>
      <w:r>
        <w:rPr/>
        <w:t>的</w:t>
      </w:r>
      <w:r>
        <w:rPr/>
        <w:t>MG</w:t>
      </w:r>
      <w:r>
        <w:rPr/>
        <w:t>和</w:t>
      </w:r>
      <w:r>
        <w:rPr/>
        <w:t>ITP</w:t>
      </w:r>
      <w:r>
        <w:rPr/>
        <w:t>共享分子安全性、制造及药代风险，失败相关，不计算各适应症独立全部成功概率的乘积。七行没有额外未知首款，成本完整保留未分配预算，不因多行重复早期研发现金。</w:t>
      </w:r>
    </w:p>
    <w:p>
      <w:pPr>
        <w:pStyle w:val="Normal"/>
        <w:rPr/>
      </w:pPr>
      <w:r>
        <w:rPr/>
        <w:t>临床概率采用研究判断，参照</w:t>
      </w:r>
      <w:r>
        <w:rPr/>
        <w:t>[BIO</w:t>
      </w:r>
      <w:r>
        <w:rPr/>
        <w:t>二零一一至二零二零临床成功研究</w:t>
      </w:r>
      <w:r>
        <w:rPr/>
        <w:t>](https://www.bio.org/clinical-development-success-rates-and-contributing-factors-2011-2020)</w:t>
      </w:r>
      <w:r>
        <w:rPr/>
        <w:t>所示一期到批准总体约百分之七点九，并进一步考虑候选仍在人体前、机制竞争和终点差异；不是将一期成功率直接赋给临床前项目。基准概率约百分之四点五至八，乐观路径代表获得早期剂量和患者证据后的经营情景，不能称公司真实批准概率。阶段推进、竞争和成本的新数据应改变这些参数，而不是按股价表现反推成功率。市场、价格和净率敏感性依赖各自输入，不能用一个统一创新药平均倍数替代。</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自研归属研究敏感性</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一年悲</w:t>
            </w:r>
            <w:r>
              <w:rPr>
                <w:rFonts w:eastAsia="微软雅黑" w:ascii="微软雅黑" w:hAnsi="微软雅黑"/>
                <w:b/>
                <w:color w:val="FFFFFF"/>
                <w:sz w:val="17"/>
              </w:rPr>
              <w:t>/</w:t>
            </w:r>
            <w:r>
              <w:rPr>
                <w:rFonts w:ascii="微软雅黑" w:hAnsi="微软雅黑" w:eastAsia="微软雅黑"/>
                <w:b/>
                <w:color w:val="FFFFFF"/>
                <w:sz w:val="17"/>
              </w:rPr>
              <w:t>基</w:t>
            </w:r>
            <w:r>
              <w:rPr>
                <w:rFonts w:eastAsia="微软雅黑" w:ascii="微软雅黑" w:hAnsi="微软雅黑"/>
                <w:b/>
                <w:color w:val="FFFFFF"/>
                <w:sz w:val="17"/>
              </w:rPr>
              <w:t>/</w:t>
            </w:r>
            <w:r>
              <w:rPr>
                <w:rFonts w:ascii="微软雅黑" w:hAnsi="微软雅黑" w:eastAsia="微软雅黑"/>
                <w:b/>
                <w:color w:val="FFFFFF"/>
                <w:sz w:val="17"/>
              </w:rPr>
              <w:t>乐目标</w:t>
            </w:r>
            <w:r>
              <w:rPr>
                <w:rFonts w:eastAsia="微软雅黑" w:ascii="微软雅黑" w:hAnsi="微软雅黑"/>
                <w:b/>
                <w:color w:val="FFFFFF"/>
                <w:sz w:val="17"/>
              </w:rPr>
              <w:t>HKD</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五年悲</w:t>
            </w:r>
            <w:r>
              <w:rPr>
                <w:rFonts w:eastAsia="微软雅黑" w:ascii="微软雅黑" w:hAnsi="微软雅黑"/>
                <w:b/>
                <w:color w:val="FFFFFF"/>
                <w:sz w:val="17"/>
              </w:rPr>
              <w:t>/</w:t>
            </w:r>
            <w:r>
              <w:rPr>
                <w:rFonts w:ascii="微软雅黑" w:hAnsi="微软雅黑" w:eastAsia="微软雅黑"/>
                <w:b/>
                <w:color w:val="FFFFFF"/>
                <w:sz w:val="17"/>
              </w:rPr>
              <w:t>基</w:t>
            </w:r>
            <w:r>
              <w:rPr>
                <w:rFonts w:eastAsia="微软雅黑" w:ascii="微软雅黑" w:hAnsi="微软雅黑"/>
                <w:b/>
                <w:color w:val="FFFFFF"/>
                <w:sz w:val="17"/>
              </w:rPr>
              <w:t>/</w:t>
            </w:r>
            <w:r>
              <w:rPr>
                <w:rFonts w:ascii="微软雅黑" w:hAnsi="微软雅黑" w:eastAsia="微软雅黑"/>
                <w:b/>
                <w:color w:val="FFFFFF"/>
                <w:sz w:val="17"/>
              </w:rPr>
              <w:t>乐目标</w:t>
            </w:r>
            <w:r>
              <w:rPr>
                <w:rFonts w:eastAsia="微软雅黑" w:ascii="微软雅黑" w:hAnsi="微软雅黑"/>
                <w:b/>
                <w:color w:val="FFFFFF"/>
                <w:sz w:val="17"/>
              </w:rPr>
              <w:t>HKD</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费用处理</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0.000000 / 0.608679 / 4.875905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0.000000 / 0.993099 / 7.273472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全部原临床预算保留</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0.000000 / 0.618002 / 5.098344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0.000000 / 1.008310 / 7.605289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全部原临床预算保留</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0.000000 / 0.627324 / 5.320784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0.000000 / 1.023521 / 7.937106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全部原临床预算保留</w:t>
            </w:r>
          </w:p>
        </w:tc>
      </w:tr>
    </w:tbl>
    <w:p>
      <w:pPr>
        <w:pStyle w:val="Normal"/>
        <w:rPr/>
      </w:pPr>
      <w:r>
        <w:rPr/>
      </w:r>
    </w:p>
    <w:p>
      <w:pPr>
        <w:pStyle w:val="Normal"/>
        <w:rPr/>
      </w:pPr>
      <w:r>
        <w:rPr/>
        <w:t>全资主体与内部研发是归属假设的证据，而不是精确无第三方负担的销售权证明。</w:t>
      </w:r>
      <w:r>
        <w:rPr/>
        <w:t>100%</w:t>
      </w:r>
      <w:r>
        <w:rPr/>
        <w:t>归属下，净实现率已考虑未来合作或渠道泄漏，生产毛利再扣制造成本，增量销售支出随后扣除；同一扣项不重复。</w:t>
      </w:r>
      <w:r>
        <w:rPr/>
        <w:t>50%</w:t>
      </w:r>
      <w:r>
        <w:rPr/>
        <w:t>归属是在不降低研发费用的压力测试，</w:t>
      </w:r>
      <w:r>
        <w:rPr/>
        <w:t>0%</w:t>
      </w:r>
      <w:r>
        <w:rPr/>
        <w:t>等同药物收益全部失去时的下界，仍保留服务和投资回收。这些敏感性表明，七项自研选择权提升估值有限，主要原因是商业化时间较晚、成功率较低和资金投入持续；它们不足以抵消当前约三百亿港元市值要求的服务盈利规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未分配临床预算压力（</w:t>
            </w:r>
            <w:r>
              <w:rPr>
                <w:rFonts w:eastAsia="微软雅黑" w:ascii="微软雅黑" w:hAnsi="微软雅黑"/>
                <w:b/>
                <w:color w:val="FFFFFF"/>
                <w:sz w:val="17"/>
              </w:rPr>
              <w:t>2027</w:t>
            </w:r>
            <w:r>
              <w:rPr>
                <w:rFonts w:ascii="微软雅黑" w:hAnsi="微软雅黑" w:eastAsia="微软雅黑"/>
                <w:b/>
                <w:color w:val="FFFFFF"/>
                <w:sz w:val="17"/>
              </w:rPr>
              <w:t>年起）</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一年基准内在</w:t>
            </w:r>
            <w:r>
              <w:rPr>
                <w:rFonts w:eastAsia="微软雅黑" w:ascii="微软雅黑" w:hAnsi="微软雅黑"/>
                <w:b/>
                <w:color w:val="FFFFFF"/>
                <w:sz w:val="17"/>
              </w:rPr>
              <w:t>HKD</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三年基准内在</w:t>
            </w:r>
            <w:r>
              <w:rPr>
                <w:rFonts w:eastAsia="微软雅黑" w:ascii="微软雅黑" w:hAnsi="微软雅黑"/>
                <w:b/>
                <w:color w:val="FFFFFF"/>
                <w:sz w:val="17"/>
              </w:rPr>
              <w:t>HKD</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观测最低现金</w:t>
            </w:r>
            <w:r>
              <w:rPr>
                <w:rFonts w:eastAsia="微软雅黑" w:ascii="微软雅黑" w:hAnsi="微软雅黑"/>
                <w:b/>
                <w:color w:val="FFFFFF"/>
                <w:sz w:val="17"/>
              </w:rPr>
              <w:t>CNY</w:t>
            </w:r>
            <w:r>
              <w:rPr>
                <w:rFonts w:ascii="微软雅黑" w:hAnsi="微软雅黑" w:eastAsia="微软雅黑"/>
                <w:b/>
                <w:color w:val="FFFFFF"/>
                <w:sz w:val="17"/>
              </w:rPr>
              <w:t>十亿</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资金路径失败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原预算</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0.627324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0.801701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1.264688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否</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增加</w:t>
            </w:r>
            <w:r>
              <w:rPr>
                <w:rFonts w:eastAsia="微软雅黑" w:ascii="微软雅黑" w:hAnsi="微软雅黑"/>
                <w:sz w:val="17"/>
              </w:rPr>
              <w:t>30%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0.586425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0.749433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否</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增加</w:t>
            </w:r>
            <w:r>
              <w:rPr>
                <w:rFonts w:eastAsia="微软雅黑" w:ascii="微软雅黑" w:hAnsi="微软雅黑"/>
                <w:sz w:val="17"/>
              </w:rPr>
              <w:t>100%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0.432685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0.552958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0.210127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否</w:t>
            </w:r>
          </w:p>
        </w:tc>
      </w:tr>
    </w:tbl>
    <w:p>
      <w:pPr>
        <w:pStyle w:val="Normal"/>
        <w:rPr/>
      </w:pPr>
      <w:r>
        <w:rPr/>
      </w:r>
    </w:p>
    <w:p>
      <w:pPr>
        <w:pStyle w:val="Normal"/>
        <w:rPr/>
      </w:pPr>
      <w:r>
        <w:rPr/>
        <w:t>原预算保留不证明足够承担七项目全部后续开发。临床预算从二零二七年起增加三成或翻倍、保持收入和权益参数不变，分别减少可分配价值并明显收窄现金余地。最低现金是年度及兑债节点观察值，没有逐月最低保证；翻倍路径虽仍高于模型储备，却只剩约二点一亿元人民币观察现金，额外投入和延迟回款可能迅速改变判断。实际预算应由项目分期、伙伴承担成本及融资计划替换，不能把这张压力测试当作经审计现金跑道。</w:t>
      </w:r>
    </w:p>
    <w:p>
      <w:pPr>
        <w:pStyle w:val="Heading2"/>
        <w:rPr/>
      </w:pPr>
      <w:r>
        <w:rPr>
          <w:rFonts w:ascii="Microsoft YaHei" w:hAnsi="Microsoft YaHei" w:eastAsia="微软雅黑"/>
          <w:b/>
          <w:color w:val="000000"/>
          <w:sz w:val="26"/>
        </w:rPr>
        <w:t>八 合作药物与参股公司的价值不能重算</w:t>
      </w:r>
    </w:p>
    <w:p>
      <w:pPr>
        <w:pStyle w:val="Normal"/>
        <w:rPr/>
      </w:pPr>
      <w:r>
        <w:rPr/>
        <w:t>管线表还包括</w:t>
      </w:r>
      <w:r>
        <w:rPr/>
        <w:t>Signet</w:t>
      </w:r>
      <w:r>
        <w:rPr/>
        <w:t>的</w:t>
      </w:r>
      <w:r>
        <w:rPr/>
        <w:t>SIGX1094</w:t>
      </w:r>
      <w:r>
        <w:rPr/>
        <w:t>与</w:t>
      </w:r>
      <w:r>
        <w:rPr/>
        <w:t>SIGX2649</w:t>
      </w:r>
      <w:r>
        <w:rPr/>
        <w:t>、</w:t>
      </w:r>
      <w:r>
        <w:rPr/>
        <w:t>ReviR</w:t>
      </w:r>
      <w:r>
        <w:rPr/>
        <w:t>的</w:t>
      </w:r>
      <w:r>
        <w:rPr/>
        <w:t>RTX117</w:t>
      </w:r>
      <w:r>
        <w:rPr/>
        <w:t>、</w:t>
      </w:r>
      <w:r>
        <w:rPr/>
        <w:t>PharmaEngine</w:t>
      </w:r>
      <w:r>
        <w:rPr/>
        <w:t>的</w:t>
      </w:r>
      <w:r>
        <w:rPr/>
        <w:t>PEP08</w:t>
      </w:r>
      <w:r>
        <w:rPr/>
        <w:t>，以及</w:t>
      </w:r>
      <w:r>
        <w:rPr/>
        <w:t>Leman</w:t>
      </w:r>
      <w:r>
        <w:rPr/>
        <w:t>的代谢增强细胞项目等。它们展示晶泰的技术服务和孵化生态，但不同项目的经济权利不同。集团可以通过研发费、临床里程碑、许可分成或参股公司的股权获得收益，不能因表中列有候选名称就认为上市公司持有全部产品权益。本次不估计这些合作观察行的未来药物里程碑或销售收益；参股管线只通过独立金融投资回收假设反映，避免同时计算参股企业股权和完整药物净现值。</w:t>
      </w:r>
    </w:p>
    <w:p>
      <w:pPr>
        <w:pStyle w:val="Normal"/>
        <w:rPr/>
      </w:pPr>
      <w:r>
        <w:rPr/>
        <w:t>SIGX1094</w:t>
      </w:r>
      <w:r>
        <w:rPr/>
        <w:t>面向弥漫性胃癌，表列未来二期计划；</w:t>
      </w:r>
      <w:r>
        <w:rPr/>
        <w:t>RTX117</w:t>
      </w:r>
      <w:r>
        <w:rPr/>
        <w:t>涉及罕见神经疾病；</w:t>
      </w:r>
      <w:r>
        <w:rPr/>
        <w:t>PEP08</w:t>
      </w:r>
      <w:r>
        <w:rPr/>
        <w:t>为</w:t>
      </w:r>
      <w:r>
        <w:rPr/>
        <w:t>PRMT5</w:t>
      </w:r>
      <w:r>
        <w:rPr/>
        <w:t>相关肿瘤候选。不同适应症的早期结果需要独立解释，不能共用一个创新药平均成功率。小样本稳定疾病可能受患者选择、既往治疗和随访影响，罕见病患者的自然病程与终点也需要研究，肿瘤靶点的潜在活性则须与竞争方案和毒性相比较。本章不编造这些项目的统一客观缓解率或患者分母，也不以获得孤儿药资格、快速通道或会议展示认定注册成功已经确定。</w:t>
      </w:r>
    </w:p>
    <w:p>
      <w:pPr>
        <w:pStyle w:val="Normal"/>
        <w:rPr/>
      </w:pPr>
      <w:r>
        <w:rPr/>
        <w:t>Leman</w:t>
      </w:r>
      <w:r>
        <w:rPr/>
        <w:t>项目中的低剂量、无清淋及完全缓解等描述来自公司对研究进展的披露，研究者发起试验的结果不能直接替代商业注册试验。细胞产品还需要批次一致性、生产成本、长期安全性和适应症选择；即使临床结果有希望，上市公司能够实现的收益仍受持股比例、后续融资稀释和退出条件影响。</w:t>
      </w:r>
      <w:r>
        <w:rPr/>
        <w:t>Metis</w:t>
      </w:r>
      <w:r>
        <w:rPr/>
        <w:t>、其他孵化企业和联合研究项目也遵循同样的经济边界。未来若权利比例与注册证据更清楚，可把对应金融投资从回收折价改为独立项目价值，同时应移除旧股权回收部分，确保同一资产只估一次。</w:t>
      </w:r>
    </w:p>
    <w:p>
      <w:pPr>
        <w:pStyle w:val="Normal"/>
        <w:rPr/>
      </w:pPr>
      <w:r>
        <w:rPr/>
        <w:t>公开中英文管线表也有需要保留的差异。</w:t>
      </w:r>
      <w:r>
        <w:rPr/>
        <w:t>SIGX2649</w:t>
      </w:r>
      <w:r>
        <w:rPr/>
        <w:t>相关</w:t>
      </w:r>
      <w:r>
        <w:rPr/>
        <w:t>IND</w:t>
      </w:r>
      <w:r>
        <w:rPr/>
        <w:t>状态的两种语言原文存在表述差异，</w:t>
      </w:r>
      <w:r>
        <w:rPr/>
        <w:t>META</w:t>
      </w:r>
      <w:r>
        <w:rPr/>
        <w:t>的</w:t>
      </w:r>
      <w:r>
        <w:rPr/>
        <w:t>MP5342</w:t>
      </w:r>
      <w:r>
        <w:rPr/>
        <w:t>一期时间在下半年二零二六年和二零二七年的表格信息之间也不完全一致。本研究把它们列为待后续公告确认，不自行选择较早日期当作已经完成的监管进展。</w:t>
      </w:r>
      <w:r>
        <w:rPr/>
        <w:t>METiS</w:t>
      </w:r>
      <w:r>
        <w:rPr/>
        <w:t>剂泰和</w:t>
      </w:r>
      <w:r>
        <w:rPr/>
        <w:t>META</w:t>
      </w:r>
      <w:r>
        <w:rPr/>
        <w:t>默达是不同企业，不能混用药物、融资或持股信息；</w:t>
      </w:r>
      <w:r>
        <w:rPr/>
        <w:t>Signet</w:t>
      </w:r>
      <w:r>
        <w:rPr/>
        <w:t>百分之九点一一、</w:t>
      </w:r>
      <w:r>
        <w:rPr/>
        <w:t>Leman</w:t>
      </w:r>
      <w:r>
        <w:rPr/>
        <w:t>百分之十五点二六、</w:t>
      </w:r>
      <w:r>
        <w:rPr/>
        <w:t>METiS</w:t>
      </w:r>
      <w:r>
        <w:rPr/>
        <w:t>百分之四点一七及</w:t>
      </w:r>
      <w:r>
        <w:rPr/>
        <w:t>META</w:t>
      </w:r>
      <w:r>
        <w:rPr/>
        <w:t>百分之十五点三四来自二零二四年招股书最后实际可行日期，只作为历史证据，不能标为二零二六年现行持股。</w:t>
      </w:r>
    </w:p>
    <w:p>
      <w:pPr>
        <w:pStyle w:val="Heading2"/>
        <w:rPr/>
      </w:pPr>
      <w:r>
        <w:rPr>
          <w:rFonts w:ascii="Microsoft YaHei" w:hAnsi="Microsoft YaHei" w:eastAsia="微软雅黑"/>
          <w:b/>
          <w:color w:val="000000"/>
          <w:sz w:val="26"/>
        </w:rPr>
        <w:t>九 材料科学和实验室资本开支周期</w:t>
      </w:r>
    </w:p>
    <w:p>
      <w:pPr>
        <w:pStyle w:val="Normal"/>
        <w:rPr/>
      </w:pPr>
      <w:r>
        <w:rPr/>
        <w:t>AI4S</w:t>
      </w:r>
      <w:r>
        <w:rPr/>
        <w:t>的应用扩展至新材料、化学工艺、电解液及钙钛矿等领域。材料实验与药物实验都需要设计、制备、测试和分析闭环，但采购预算和价值评价不同。药企更关心候选药物、法规和临床风险，材料客户则可能更关心配方性能、量产适配、可靠性和工厂成本。晶泰如果能复用自动化工站、实验调度和数据结构，可以分摊平台投入；若每个新领域都需要独立工程体系，收入多元化也可能伴随管理复杂度和资本占用增加。模型因此保留持续研发与资本开支，未把新增领域全部看成零成本增长。</w:t>
      </w:r>
    </w:p>
    <w:p>
      <w:pPr>
        <w:pStyle w:val="Normal"/>
        <w:rPr/>
      </w:pPr>
      <w:r>
        <w:rPr/>
        <w:t>钙钛矿实验效率改善有助于加速配方筛选，但从实验结果到稳定量产仍存在封装、寿命、良率和规模制造问题。公司关于研发周期缩短的描述需要结合实验对象与验证条件解读，不能把一个配方优化项目的时间缩短推导为整个产业已经成熟。相关客户通常受新能源资本开支和融资环境影响，若下游预算收缩，实验室采购可能延后，即使技术需求依然存在。半年收入的催化剂应落实到签约、交付与验收，一年的持续增长则需要观察客户复购和材料行业投入周期。</w:t>
      </w:r>
    </w:p>
    <w:p>
      <w:pPr>
        <w:pStyle w:val="Normal"/>
        <w:rPr/>
      </w:pPr>
      <w:r>
        <w:rPr/>
        <w:t>科学基础设施的订单具有项目属性，合同签订到现金兑现之间可能跨季度。设备预付款、存货、运输安装和质保都会占用资本，公司六月存货较去年年底显著增加，可以支持交付，也会提高库存周转压力。研究的基准</w:t>
      </w:r>
      <w:r>
        <w:rPr/>
        <w:t>AI4S</w:t>
      </w:r>
      <w:r>
        <w:rPr/>
        <w:t>收入从二零二六年约四点五亿元增至二零三二年三十八亿元，同时预留对应营运资金和资本开支。这是一条已经较积极的扩张假设，仍不足以在近年形成很高的自由现金流。若客户先付款、标准化程度高且仪器租赁减少资产投入，模型现金价值可改善；需要用实际合同和周转数据验证。</w:t>
      </w:r>
    </w:p>
    <w:p>
      <w:pPr>
        <w:pStyle w:val="Normal"/>
        <w:rPr/>
      </w:pPr>
      <w:r>
        <w:rPr/>
        <w:t>宏观利率对晶泰同时影响客户和自身估值。海外药企及科研客户在融资成本较高时，可能保留必要研发而延缓实验室资本开支，平台交付收入会受到预算批准及验收时间影响；风险投资退潮还会降低早期生物技术客户支付服务费和里程碑的能力。公司持有现金、定期存款和货币基金，较高利率提供金融收益，但不能抵消订单延迟及股权折现率上升的全部影响。降息会降低现金利息，同时可能改善客户融资和远期资产估值，二者方向相反，应逐项测算，不能简单认为降息必定提升正常利润。</w:t>
      </w:r>
    </w:p>
    <w:p>
      <w:pPr>
        <w:pStyle w:val="Normal"/>
        <w:rPr/>
      </w:pPr>
      <w:r>
        <w:rPr/>
        <w:t>人民币、港币和美元之间的汇率会改变收入、成本与股东报价的换算。公司中国研发与实验成本较多以人民币发生，部分国际合作以美元报价，公司股票及可转债以港币计价；人民币贬值可能提高美元合同人民币收入和港币负债人民币成本，净效果取决于收款时点及债务兑付。研究以一人民币兑一点一港币作为明确假设，合同可转债汇率独立处理，不能把当前模型汇率当作实际未来汇率。海外政策若限制数据跨境、化学材料出口、科研设备供应或合作审查，可能拉长项目交付并增加合规和替代成本；这种影响需根据真实法规及合同确认，不能把未落地政策直接当作已发生订单损失。</w:t>
      </w:r>
    </w:p>
    <w:p>
      <w:pPr>
        <w:pStyle w:val="Normal"/>
        <w:rPr/>
      </w:pPr>
      <w:r>
        <w:rPr/>
        <w:t>医保政策主要通过药企客户及保留药物资产间接传导。终端药品支付价格下降可能压缩客户研发回报，影响对外采购和授权预算；临床需求扩大、创新药支付支持或出海授权改善则可能增加新项目需求。晶泰的材料客户还受新能源及先进制造资本开支周期影响，不能只用医药景气解释全部订单。公司需要以跨客户复购、较短回款周期和更高标准化程度降低宏观敏感性，年度模型应随这些证据更新收入和现金，而不因行业需求宏观上长期存在就假定各年度增长无波动。</w:t>
      </w:r>
    </w:p>
    <w:p>
      <w:pPr>
        <w:pStyle w:val="Heading2"/>
        <w:rPr/>
      </w:pPr>
      <w:r>
        <w:rPr>
          <w:rFonts w:ascii="Microsoft YaHei" w:hAnsi="Microsoft YaHei" w:eastAsia="微软雅黑"/>
          <w:b/>
          <w:color w:val="000000"/>
          <w:sz w:val="26"/>
        </w:rPr>
        <w:t>十 利润质量与持续经营的测算</w:t>
      </w:r>
    </w:p>
    <w:p>
      <w:pPr>
        <w:pStyle w:val="Normal"/>
        <w:rPr/>
      </w:pPr>
      <w:r>
        <w:rPr/>
        <w:t>二零二六年上半年营业成本一点六七八三四亿元，毛利二点二五七九三亿元，毛利率约百分之五十七点四。一般及行政费用二点一二一四二亿元，研发三点六七八三八亿元，销售四千八百万元，三项费用合计超过六亿元。管理费用和研发费用的规模高于当前服务毛利，是亏损的主要经营原因。研发增长既可能形成技术资产，也可能成为持续负担；不能仅把它加回净利润就认为公司已经具备成熟盈利。本模型的正常利润保留平台研发和管线支出，再将非现金折旧与股份支付加回现金预测。</w:t>
      </w:r>
    </w:p>
    <w:p>
      <w:pPr>
        <w:pStyle w:val="Normal"/>
        <w:rPr/>
      </w:pPr>
      <w:r>
        <w:rPr/>
        <w:t>集团上半年亏损二点二四九四四亿元，上市公司股东应占亏损二点五一九零一亿元，少数股东则分享二千六百九十五点七万元利润。公司经调整净亏损一点零五五一一亿元，主要加回股份支付六千六百四十七点三万元及可转债非现金利息五千二百九十六万元。调整口径是集团层面的补充指标，并非归母正常利润，也不能解释成已经收取的现金。集团与归母差异说明不同投资主体和业务归属会影响上市公司股东收益，未来预测应保留经济归属和稀释的讨论。</w:t>
      </w:r>
    </w:p>
    <w:p>
      <w:pPr>
        <w:pStyle w:val="Normal"/>
        <w:rPr/>
      </w:pPr>
      <w:r>
        <w:rPr/>
        <w:t>其他收益中的金融资产公允价值变动净收益一点五四二四二亿元，属于投资价值重估，未必对应当期处置现金。其他收益净额还包含外汇及衍生工具损失，财务收入则包含不同资金来源的收益。本研究没有将公允价值增值长期滚入正常经营利润，金融投资另用回收折价和兑现年份计算。若将重估利润乘高</w:t>
      </w:r>
      <w:r>
        <w:rPr/>
        <w:t>PE</w:t>
      </w:r>
      <w:r>
        <w:rPr/>
        <w:t>，再将同一金融资产价值加到股权估值，会重复计算；若把所有重估都忽略，也会漏掉实际拥有的投资。因此本章分别保存经营利润、投资账面价值和现金回收假设。</w:t>
      </w:r>
    </w:p>
    <w:p>
      <w:pPr>
        <w:pStyle w:val="Heading2"/>
        <w:rPr/>
      </w:pPr>
      <w:r>
        <w:rPr>
          <w:rFonts w:ascii="Microsoft YaHei" w:hAnsi="Microsoft YaHei" w:eastAsia="微软雅黑"/>
          <w:b/>
          <w:color w:val="000000"/>
          <w:sz w:val="26"/>
        </w:rPr>
        <w:t>十一 现金资产的质量与流动性</w:t>
      </w:r>
    </w:p>
    <w:p>
      <w:pPr>
        <w:pStyle w:val="Normal"/>
        <w:rPr/>
      </w:pPr>
      <w:r>
        <w:rPr/>
        <w:t>六月现金及现金等价物二十六点二二八八一亿元，银行存款三十八点四五三一七亿元，货币基金十二点五三四零六亿元，结构性票据九点四四五五四亿元，受限现金五百零二点二万元。公司所称八十六点七一二亿元现金余额将后几类也包含在内。货币基金通常具备较高流动性，仍存在净值与赎回条件；结构性票据的收益和本金回收又受产品条款影响；受限现金则不能随意用作一般经营。本模型保留这些分组，结构性票据采用七成、九点二成及全额的研究回收率，受限金额不作无条件股东现金。</w:t>
      </w:r>
    </w:p>
    <w:p>
      <w:pPr>
        <w:pStyle w:val="Normal"/>
        <w:rPr/>
      </w:pPr>
      <w:r>
        <w:rPr/>
        <w:t>六月非流动金融投资二十五点二一五八七亿元，包含上市实体、私募基金、非上市企业和可转换债务投资。后者是集团持有其他公司的投资工具，与公司自身发行的可转债是相反方向的资产和负债，不能在名称相似时混淆。联营和合营投资合计一点五八八二六亿元也单独保存。模型按未来处置金额扣减对应账面资产，同时增加折价后现金，剩余部分到末年回收；处置现金不是新增经营利润，不会在下一期再次作为同一金融投资价值重复估值。</w:t>
      </w:r>
    </w:p>
    <w:p>
      <w:pPr>
        <w:pStyle w:val="Normal"/>
        <w:rPr/>
      </w:pPr>
      <w:r>
        <w:rPr/>
        <w:t>个别投资子公司实际权益为百分之八十七点六九，但公开报表没有完整披露每一项金融工具由哪个主体持有，因此不能把全部金融投资统一机械乘这个比例。研究暂用百分之九十八作为上市公司股东经济归属的代理，再对投资本身施加更大的流动性和价值折价。该归属比例是研究假设，应通过资产映射改善，而不是以集团报表中的少数股东权益占比直接当成准确持股比例。若关键投资实际由低持股主体拥有，价值需下修；若全部归属于全资主体，归属折价可以取消，两种敏感性都应与经营价值分开。</w:t>
      </w:r>
    </w:p>
    <w:p>
      <w:pPr>
        <w:pStyle w:val="Heading2"/>
        <w:rPr/>
      </w:pPr>
      <w:r>
        <w:rPr>
          <w:rFonts w:ascii="Microsoft YaHei" w:hAnsi="Microsoft YaHei" w:eastAsia="微软雅黑"/>
          <w:b/>
          <w:color w:val="000000"/>
          <w:sz w:val="26"/>
        </w:rPr>
        <w:t>十二 现金流 债务与实际资金跑道</w:t>
      </w:r>
    </w:p>
    <w:p>
      <w:pPr>
        <w:pStyle w:val="Normal"/>
        <w:rPr/>
      </w:pPr>
      <w:r>
        <w:rPr/>
        <w:t>上半年经营现金净流出三点九九二三八亿元，现金设备开支四千九百七十八点七万元，无形资产现金开支一千八百六十五点九万元。现金流还包含银行存款的存置与到期、金融资产买卖和投资支出，因此不能把投资现金流大额流出全部说成经营烧钱，也不能把存款到期说成公司创造了新利润。六月现金余额包含一月已发行可转债所得款二十五点一二三三亿元，模型从六月余额出发时不再加一次发行净款。年度后续现金需求取决于经营成本、资本开支、回款和债务时点的组合。</w:t>
      </w:r>
    </w:p>
    <w:p>
      <w:pPr>
        <w:pStyle w:val="Normal"/>
        <w:rPr/>
      </w:pPr>
      <w:r>
        <w:rPr/>
        <w:t>财报未把上半年所有货币基金已收收益单列，本研究不填造精确金额。二零二六年剩余经营现金使用全年研究净经营现金预算的百分之五十作为下半年代理，六月余额已经包含真实上半年现金变动；后续年度则使用完整年度预算。这种方法牺牲了季节性精度，但保留了透明边界，避免把全年按六月余额合成的投资利息减去一个未知上半年收益。实际年度数据公开后，应以真实下半年现金流替换代理，并重算目标价，不能把这一研究现金路径称为九月或十月已披露的实际现金余额。</w:t>
      </w:r>
    </w:p>
    <w:p>
      <w:pPr>
        <w:pStyle w:val="Normal"/>
        <w:rPr/>
      </w:pPr>
      <w:r>
        <w:rPr/>
        <w:t>租赁现金流以原件列示总付款为核验基础。上半年现金流列示租赁负债付款一千七百零八点六万元，财务费用与其他利息信息只能在额外假设下推导租息二百零九点四万元及本金一千四百九十九点二万元，不能把该拆分称为报表直接披露。研究正常利润扣未来租息，经营现金加回同一租息并保留使用权资产折旧加回，随后扣租赁总现金付款；二零二六年未来总付款预算扣已付上半年总额一次。这样处理既不重扣利息，也不依赖未经确认的实际本金拆分。普通银行借款为五点三零一亿元，其中短银行及长借流动部分合计二点五九六亿元，长期部分二点七零五亿元。报表短期借款二十七点一九九三亿元另包含公司可转债账面负债，不能全部当普通银行债再另扣可转债。</w:t>
      </w:r>
    </w:p>
    <w:p>
      <w:pPr>
        <w:pStyle w:val="Heading2"/>
        <w:rPr/>
      </w:pPr>
      <w:r>
        <w:rPr>
          <w:rFonts w:ascii="Microsoft YaHei" w:hAnsi="Microsoft YaHei" w:eastAsia="微软雅黑"/>
          <w:b/>
          <w:color w:val="000000"/>
          <w:sz w:val="26"/>
        </w:rPr>
        <w:t>十三 二零二七年一月可转债的价格影响</w:t>
      </w:r>
    </w:p>
    <w:p>
      <w:pPr>
        <w:pStyle w:val="Normal"/>
        <w:rPr/>
      </w:pPr>
      <w:r>
        <w:rPr/>
        <w:t>晶泰一月发行二十八点六六亿港元零息可转债，二零二七年一月二十六日到期，未先前转换或赎回时须按本金百分之一百零一点七六偿付，即约二十九点一六四四一六亿港元。零票息并非没有融资成本，会计实际利率与最后赎回溢价体现成本。六月账面负债二十四点六零三三亿元人民币是摊余成本金额，不是到期港币现金。模型以港币本金和兑付比例换算，并在到期日整体扣现金，不将其按全年平均进度摊薄到半年之前。</w:t>
      </w:r>
    </w:p>
    <w:p>
      <w:pPr>
        <w:pStyle w:val="Normal"/>
        <w:rPr/>
      </w:pPr>
      <w:r>
        <w:rPr/>
        <w:t>转换价格十三点八五港元，全部转股约二亿零六百九十三万股。当前价格约为转换价格的一半，在没有其他条件改善时，不宜假定持有人必然主动转股。本研究三种正式情景都按现金兑付，乐观经营路径也没有自动免除债务；独立敏感性才检验全部转股，免去现金付款时同步加入新增股份。发行款已在六月现金里，不能一方面保留全部现金，另一方面不扣债或不加股。未来若公司提前回购债券或重新融资，应同时更新实际付现、债务余额和新资本成本。</w:t>
      </w:r>
    </w:p>
    <w:p>
      <w:pPr>
        <w:pStyle w:val="Normal"/>
        <w:rPr/>
      </w:pPr>
      <w:r>
        <w:rPr/>
        <w:t>可转债兑付不必然导致流动性危机，因为公司有存款与货币基金等资金。更有意义的问题是兑付后还剩多少不受限资产，能够支撑多长时间的经营与实验室扩张。基准预测保持正现金，但仍需依赖及时赎回存款和交付回款；悲观长期预算即使包含有限新融资也会出现资金缺口。模型的失败开关表示假定的计划无法完整运行，并不证明公司没有其他融资、资产出售或削减投入选择。对股票持有人而言，后续补充资金可能保护经营却稀释每股收益，需要在现金安全与股东回报之间同时衡量。</w:t>
      </w:r>
    </w:p>
    <w:p>
      <w:pPr>
        <w:pStyle w:val="Heading2"/>
        <w:rPr/>
      </w:pPr>
      <w:r>
        <w:rPr>
          <w:rFonts w:ascii="Microsoft YaHei" w:hAnsi="Microsoft YaHei" w:eastAsia="微软雅黑"/>
          <w:b/>
          <w:color w:val="000000"/>
          <w:sz w:val="26"/>
        </w:rPr>
        <w:t>十四 员工股份 回购与治理</w:t>
      </w:r>
    </w:p>
    <w:p>
      <w:pPr>
        <w:pStyle w:val="Normal"/>
        <w:rPr/>
      </w:pPr>
      <w:r>
        <w:rPr/>
        <w:t>九月底月报的剔库存股数为四十三点零一一七六亿股，库存二十九点九万股；另外截至十月五日有四百八十八点二万股已回购待注销。经济估值排除这些已回购股份后，分母为四十二点九六二九四亿股。六月到该分母的桥还包含四十五点四五万股股东无代价交回注销，不产生公司现金。已经按经济分母排除的待注销股份，未来正式注销时不能再减一次；否则每股价值会被无端抬高。法定股数与经济分母都保留，读者可以按自己的估值口径复核。</w:t>
      </w:r>
    </w:p>
    <w:p>
      <w:pPr>
        <w:pStyle w:val="Normal"/>
        <w:rPr/>
      </w:pPr>
      <w:r>
        <w:rPr/>
        <w:t>九月至十月五日六笔现金回购共六百七十二点一万股，披露总代价五千零六十三点二一三九万港元。其中十月两笔不在九月月报，但在资料截止前已公开；模型从六月现金出发时把六笔实际代价扣一次。董事会宣布的最高一亿美元回购计划是权限与意图，不是已经付出的现金，不额外扣完整上限。主席十月七日以个人资金买入股份是存量股票转手，公司不提供现金和财务协助；这可反映管理层意愿，却不改变公司股数，也不能当作公司回购的持续量能。</w:t>
      </w:r>
    </w:p>
    <w:p>
      <w:pPr>
        <w:pStyle w:val="Normal"/>
        <w:rPr/>
      </w:pPr>
      <w:r>
        <w:rPr/>
        <w:t>首次公开发售前约二点一七二亿份期权对应的股票已发行并由平台持有，未来行权不再增加公司股数。研究只在可能由公司收取对价的假设下计入行权现金，并标明未来平均行权价代理。上市后及二零二六年计划的期权合计约四千六百一十五万份，未归属</w:t>
      </w:r>
      <w:r>
        <w:rPr/>
        <w:t>RSU</w:t>
      </w:r>
      <w:r>
        <w:rPr/>
        <w:t>合计约二千零八十八万份，则按实际新发权利逐年处理。股份支付加回经营现金时，也要保留这些稀释和未来员工股份的经济成本；不能把加回后的利润视为免费现金，同时假定每股分母永远不变。</w:t>
      </w:r>
    </w:p>
    <w:p>
      <w:pPr>
        <w:pStyle w:val="Normal"/>
        <w:rPr/>
      </w:pPr>
      <w:r>
        <w:rPr/>
        <w:t>前</w:t>
      </w:r>
      <w:r>
        <w:rPr/>
        <w:t>IPO</w:t>
      </w:r>
      <w:r>
        <w:rPr/>
        <w:t>期权的现金是辅助输入，不能视作确定收款。六月中报的四十三个存续批次共二亿一千七百六十四万九千九百四十三份，按披露至小数点后五位的美元行权价复算加权约零点一八六六九美元，该精度不代表完整合同原始精度；九月存续数量降至二亿一千七百一十八万八千九百四十三份，但没有公布变动后的完整批次映射。模型采用美元零点一九的研究平均，再按合同换算处理，不能把它标为九月实测均价。各批次到期日分布于二零二六至二零三六年，部分大额批次集中在二零三一及二零三三年；临近到期批次不能在模型中拖到较晚年份行权。年度汇总行权计划只是可能收款的代理，并未逐笔验证实际行权日期、到期前安排和员工行为。若失效或收款归属不符合假设，应删去相关现金；上市后和二零二六年计划的平均行权价也不是所有批次统一的已核实价格。</w:t>
      </w:r>
    </w:p>
    <w:p>
      <w:pPr>
        <w:pStyle w:val="Heading2"/>
        <w:rPr/>
      </w:pPr>
      <w:r>
        <w:rPr>
          <w:rFonts w:ascii="Microsoft YaHei" w:hAnsi="Microsoft YaHei" w:eastAsia="微软雅黑"/>
          <w:b/>
          <w:color w:val="000000"/>
          <w:sz w:val="26"/>
        </w:rPr>
        <w:t>十五 半年</w:t>
      </w:r>
      <w:r>
        <w:rPr>
          <w:rFonts w:eastAsia="微软雅黑" w:ascii="Microsoft YaHei" w:hAnsi="Microsoft YaHei"/>
          <w:b/>
          <w:color w:val="000000"/>
          <w:sz w:val="26"/>
        </w:rPr>
        <w:t>K</w:t>
      </w:r>
      <w:r>
        <w:rPr>
          <w:rFonts w:ascii="Microsoft YaHei" w:hAnsi="Microsoft YaHei" w:eastAsia="微软雅黑"/>
          <w:b/>
          <w:color w:val="000000"/>
          <w:sz w:val="26"/>
        </w:rPr>
        <w:t>线和多周期趋势</w:t>
      </w:r>
    </w:p>
    <w:p>
      <w:pPr>
        <w:pStyle w:val="Normal"/>
        <w:rPr/>
      </w:pPr>
      <w:r>
        <w:rPr/>
        <w:t>日线使用上市以来五百七十三根真实数据，始于二零二四年六月十三日，截止二零二六年十月九日。价格经复权并归一到截止日名义价格，腾讯与另一独立日线来源交叉核对，近期价格一致；成交量单位为股。数据不足三年时保留真实历史，不补上市前走势。二十、六十、一百二十和二百五十日均线分别为七点六五四二五、七点四六五三三、七点七四六三三及九点三一八八八港元，现价全部在其下，尤其距二百五十日均线约百分之二十五，长期修复尚需实际突破证据。</w:t>
      </w:r>
    </w:p>
    <w:p>
      <w:pPr>
        <w:pStyle w:val="Normal"/>
        <w:rPr/>
      </w:pPr>
      <w:r>
        <w:rPr/>
        <w:t>二十日均线近五个交易日略升约百分之零点九九，六十、一百二十和二百五十日均线则分别微降、下降约百分之一点三零和一点二五。这说明近期反弹曾抬高短均线，但不能抵消较长趋势偏弱。现价较二十日均线低约百分之八点七四，较六十日低百分之六点四三，较一百二十日低百分之九点八三。半年观察先看价格能否恢复六十日附近并稳定，再看二十和一百二十日重叠阻力区域。只看到一根阳线或新闻后的跳高，不足以认定这些均线已经转为向上支撑。</w:t>
      </w:r>
    </w:p>
    <w:p>
      <w:pPr>
        <w:pStyle w:val="Normal"/>
        <w:rPr/>
      </w:pPr>
      <w:r>
        <w:rPr/>
        <w:t>过去二十日价格回报约负百分之三点零五，六十日负百分之十二点二五，一百二十日负百分之三十一点二五，二百五十日负百分之五十三点零三。最近二十日区间低点六点七五、六十日低点六点四零，年度观察低点六点三零，分别比现价低约百分之三点三六、八点三八和九点八一。上方阶段高点九点零一五距现价约百分之二十九点零六，但它只是潜在观察阻力，不能直接把到达该位的距离当作期望上涨空间。不同区间高点不一定经过多次成交确认，支撑也可能被跳空越过。</w:t>
      </w:r>
    </w:p>
    <w:p>
      <w:pPr>
        <w:pStyle w:val="Heading2"/>
        <w:rPr/>
      </w:pPr>
      <w:r>
        <w:rPr>
          <w:rFonts w:ascii="Microsoft YaHei" w:hAnsi="Microsoft YaHei" w:eastAsia="微软雅黑"/>
          <w:b/>
          <w:color w:val="000000"/>
          <w:sz w:val="26"/>
        </w:rPr>
        <w:t>十六 成交量 相对强弱和技术失效条件</w:t>
      </w:r>
    </w:p>
    <w:p>
      <w:pPr>
        <w:pStyle w:val="Normal"/>
        <w:rPr/>
      </w:pPr>
      <w:r>
        <w:rPr/>
        <w:t>截止日股票开于七点一一五，最高七点一四五，最低六点七六，收六点九八五，下跌约百分之二点一七。成交约九千零六十一万股，金额约六点二五八亿元港币。五、二十、六十日平均成交量分别约五千四百七十三万、六千四百四十一万和五千九百七十四万股；当日对此前二十日均量的量比约一点四八。放量伴随下跌与价格落在均线下，代表当日卖方压力和交易分歧增加，不能仅因为成交额大就推断资金吸筹，更不能没有逐笔数据便给出精确主力成本区。</w:t>
      </w:r>
    </w:p>
    <w:p>
      <w:pPr>
        <w:pStyle w:val="Normal"/>
        <w:rPr/>
      </w:pPr>
      <w:r>
        <w:rPr/>
        <w:t>最近二十日有八个上涨日、十二个下跌日，上涨日总量约六点八七一亿股，下跌日约六点零一二亿股，二者比约一点一四。上涨日较少却总量较高，说明部分反弹日交易集中，但日均上涨量较大也可能由新闻刺激产生，不自动代表持续买盘。需要看反弹能否伴随连续收盘站上关键均线，以及回踩时量是否降低且价格守住观察区。换手率如不能可靠取得自由流通股口径就保留缺失，不以总股数简单代替自由流通分母来声称精确的实际换手。</w:t>
      </w:r>
    </w:p>
    <w:p>
      <w:pPr>
        <w:pStyle w:val="Normal"/>
        <w:rPr/>
      </w:pPr>
      <w:r>
        <w:rPr/>
        <w:t>最近四个交易日的节奏更直接显示短线压力。十月六日收八点三零五港元，至十月九日六点九八五港元累计回落约百分之十五点八九四，四日成交量依次约三千零五十六万、五千零九十四万、八千二百五十四万及九千零六十一万股，呈递增关系。该证据比通用程序给出的“震荡”分类更需要重视：短期存在放量下跌，恢复趋势应先出现价格稳定和卖压减弱，再观察关键均线突破。以经济总股数推算当日成交约百分之二点一零九，只是总股换手代理，不能称为交易所确认的自由流通换手率，也不能由此识别买卖双方身份。</w:t>
      </w:r>
    </w:p>
    <w:p>
      <w:pPr>
        <w:pStyle w:val="Normal"/>
        <w:rPr/>
      </w:pPr>
      <w:r>
        <w:rPr/>
        <w:t>阶段高点必须注明时间窗口。日线程序采用最近二百五十二个交易日，起于二零二五年九月三十日，最高十五点一二港元；五十二根周线起于二零二五年十月十七日，高点十四点二八港元。若采用准确自然一年二零二五年十月十日至二零二六年十月九日，只有二百四十六个日交易数据，高点同为十四点二八港元。三个窗口的高点不同来自覆盖日期差异，不能都称作同一自然年最高，也不能误判为双来源行情核验失败。现价到各高点的修复距离只是历史比较，不代表目标价可以机械回到旧高。</w:t>
      </w:r>
    </w:p>
    <w:p>
      <w:pPr>
        <w:pStyle w:val="Normal"/>
        <w:rPr/>
      </w:pPr>
      <w:r>
        <w:rPr/>
        <w:t>相对恒生指数，二十日超额回报约负零点零八个百分点，六十日约负九点零六个百分点；对粗粒度港股通创新药指数，二十与六十日也偏弱。该行业指数适合作为部分医疗</w:t>
      </w:r>
      <w:r>
        <w:rPr/>
        <w:t>AI</w:t>
      </w:r>
      <w:r>
        <w:rPr/>
        <w:t>主题的背景，不能完全代表材料实验和机器人服务，因此只作参考。日</w:t>
      </w:r>
      <w:r>
        <w:rPr/>
        <w:t>RSI</w:t>
      </w:r>
      <w:r>
        <w:rPr/>
        <w:t>约四十一点四七，</w:t>
      </w:r>
      <w:r>
        <w:rPr/>
        <w:t>MACD</w:t>
      </w:r>
      <w:r>
        <w:rPr/>
        <w:t>差值略负、柱体偏弱，</w:t>
      </w:r>
      <w:r>
        <w:rPr/>
        <w:t>ATR</w:t>
      </w:r>
      <w:r>
        <w:rPr/>
        <w:t>约零点五零一港元，相当于现价百分之七点一七。</w:t>
      </w:r>
      <w:r>
        <w:rPr/>
        <w:t>ATR</w:t>
      </w:r>
      <w:r>
        <w:rPr/>
        <w:t>反映波动尺度而非最大损失，指标之间存在重叠，研究没有因多个相似弱势指标重复扣分，也不把技术信号当成未来确定价格。</w:t>
      </w:r>
    </w:p>
    <w:p>
      <w:pPr>
        <w:pStyle w:val="Normal"/>
        <w:rPr/>
      </w:pPr>
      <w:r>
        <w:rPr/>
        <w:t>周线共有一百二十二根，二十、六十和一百二十周均线约七点四四二、九点四九二及八点零二四港元，没有二百五十周均线，也没有足够数据计算一百二十周的完整五周斜率。周线现价在三条已有均线下，周</w:t>
      </w:r>
      <w:r>
        <w:rPr/>
        <w:t>RSI</w:t>
      </w:r>
      <w:r>
        <w:rPr/>
        <w:t>约四十二，二十周上涨量对下跌量约零点七七，说明较长窗口的反弹仍需成交证据。半年技术判断若跌破六点四至六点三区域且收盘不能恢复，应下修；若放量站稳七点四至七点七区间，并在回踩中守住，才可重新评估趋势修复。上述价位须随新行情刷新，不能长期机械沿用。</w:t>
      </w:r>
    </w:p>
    <w:p>
      <w:pPr>
        <w:pStyle w:val="Heading2"/>
        <w:rPr/>
      </w:pPr>
      <w:r>
        <w:rPr>
          <w:rFonts w:ascii="Microsoft YaHei" w:hAnsi="Microsoft YaHei" w:eastAsia="微软雅黑"/>
          <w:b/>
          <w:color w:val="000000"/>
          <w:sz w:val="26"/>
        </w:rPr>
        <w:t>十七 经营估值与销售倍数交叉验证</w:t>
      </w:r>
    </w:p>
    <w:p>
      <w:pPr>
        <w:pStyle w:val="Normal"/>
        <w:rPr/>
      </w:pPr>
      <w:r>
        <w:rPr/>
        <w:t>现金模型采用人民币十亿及十亿股为单位。四类服务业务逐年输入收入、毛利、销售、管理、平台研发、其他成本、股份支付、资本开支及营运资金。</w:t>
      </w:r>
      <w:r>
        <w:rPr/>
        <w:t>43</w:t>
      </w:r>
      <w:r>
        <w:rPr/>
        <w:t>条证据行中，七项具名自研适应症用独立需求假设估值，其余项目因未命名、权利或临床映射不足而零观察。自研项目临床前概率按机制、患者和证据判断；零观察的数值</w:t>
      </w:r>
      <w:r>
        <w:rPr/>
        <w:t>p=0</w:t>
      </w:r>
      <w:r>
        <w:rPr/>
        <w:t>是禁收入门，不是失败率。为避免虚假精度，没有把原组合销售峰值和临床成本任意分摊。未分配临床预算按年度完整发生，也不乘成功率降低失败路径成本。模型只计算</w:t>
      </w:r>
      <w:r>
        <w:rPr/>
        <w:t>26</w:t>
      </w:r>
      <w:r>
        <w:rPr/>
        <w:t>年、到二零五一年有限股东分配和剩余资产净回收，不附永久平台终值。</w:t>
      </w:r>
    </w:p>
    <w:p>
      <w:pPr>
        <w:pStyle w:val="Normal"/>
        <w:rPr/>
      </w:pPr>
      <w:r>
        <w:rPr/>
        <w:t>基准二零二七年收入十四点一亿元，正常利润亏约四点九四六亿元；二零三一年收入四十三点九亿元，正常利润仍亏约零点九一一亿元。二零三二年收入五十四点七亿元、正常利润约二点三二七亿元，现金仍受到资本开支与营运资金影响。二零三六年收入约七十四点五六四亿元，正常利润约九点二七零亿元，分配能力才更加明显。这样的收入路径已含较高增长，却因利润兑现较晚、经营投入大和现有股票数量多，折现后的每股价值有限。若用销售额而不扣持续支出估值，结果会大幅提高，这需要假定公司更快达到高利润率，属于另一套经营观点。</w:t>
      </w:r>
    </w:p>
    <w:p>
      <w:pPr>
        <w:pStyle w:val="Normal"/>
        <w:rPr/>
      </w:pPr>
      <w:r>
        <w:rPr/>
        <w:t>销售倍数可以检验市场正在要求什么。当前人民币股权价值约二百七十三亿元，相当于二零二五年报告收入约三十四倍；若以基准二零二七年十四点一亿元计算，未经净现金调整的股权销售比仍接近十九倍。若交叉检验对下一年收入采用八倍、十二倍或十六倍企业价值销售比，必须再加目标时点可支配净资产，扣债务与不归属于普通股的权益，并明确部分药物价值已经包含在业务倍数还是另列。高倍数可反映未来规模增长，无法自动证明每一个乐观临床项目都值得再加完整现值。</w:t>
      </w:r>
    </w:p>
    <w:p>
      <w:pPr>
        <w:pStyle w:val="Normal"/>
        <w:rPr/>
      </w:pPr>
      <w:r>
        <w:rPr/>
        <w:t>本研究的有限现金分配估值明显低于市场及部分机构目标，并不意味着它是唯一正确价格。模型在二零五一年结束，未给成熟平台永久续存倍数；科学智能网络若能长期更新产品、保持客户和较轻资本结构，价值可以更高。另一面，市场倍数依赖未来利润改善，而当前报告尚未证明这种成熟质量。合理使用方式是同时看现金模型、销售倍数需要的利润率以及现实交付证据。若缺少可持续现金而只依靠主题溢价维持，进取型投资也应降低优先级，而不是为了提供正上涨空间而调整假设。</w:t>
      </w:r>
    </w:p>
    <w:p>
      <w:pPr>
        <w:pStyle w:val="Normal"/>
        <w:rPr/>
      </w:pPr>
      <w:r>
        <w:rPr/>
        <w:t>以分组净资产代理扣除银行及可转债本金后，当前经营企业价值约人民币二百点三九四亿元，对二零二五年收入约二十四点九七倍，对基准二零二七年收入约十四点二一倍。这里使用六月资产余额减已知下半年回购，并按研究回收率调整金融投资；它只是观察市场价格要求的诊断，不是十月九日现金的精确重建。八倍、十二倍及十六倍销售乘数对应约四点七四、六点一九及七点六三港元，读者可以看到仅改变乘数就能显著移动报价。该参照不得与同一药物完整风险净现值叠加，也不能直接替代未来偿债和分配模型。</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3286"/>
        <w:gridCol w:w="3286"/>
        <w:gridCol w:w="3286"/>
      </w:tblGrid>
      <w:tr>
        <w:trPr>
          <w:tblHeader w:val="true"/>
          <w:cantSplit/>
        </w:trPr>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销售倍数诊断</w:t>
            </w:r>
          </w:p>
        </w:tc>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模型值</w:t>
            </w:r>
          </w:p>
        </w:tc>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口径限制</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当前股权价值（人民币十亿）</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27.281468</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经济分母</w:t>
            </w:r>
            <w:r>
              <w:rPr>
                <w:rFonts w:eastAsia="微软雅黑" w:ascii="微软雅黑" w:hAnsi="微软雅黑"/>
                <w:sz w:val="17"/>
              </w:rPr>
              <w:t>4.296294179</w:t>
            </w:r>
            <w:r>
              <w:rPr>
                <w:rFonts w:ascii="微软雅黑" w:hAnsi="微软雅黑" w:eastAsia="微软雅黑"/>
                <w:sz w:val="17"/>
              </w:rPr>
              <w:t>十亿股</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净资产代理（人民币十亿）</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7.242055</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六月分组余额减已知</w:t>
            </w:r>
            <w:r>
              <w:rPr>
                <w:rFonts w:eastAsia="微软雅黑" w:ascii="微软雅黑" w:hAnsi="微软雅黑"/>
                <w:sz w:val="17"/>
              </w:rPr>
              <w:t>H2</w:t>
            </w:r>
            <w:r>
              <w:rPr>
                <w:rFonts w:ascii="微软雅黑" w:hAnsi="微软雅黑" w:eastAsia="微软雅黑"/>
                <w:sz w:val="17"/>
              </w:rPr>
              <w:t>回购，加研究投资回收，扣银行及</w:t>
            </w:r>
            <w:r>
              <w:rPr>
                <w:rFonts w:eastAsia="微软雅黑" w:ascii="微软雅黑" w:hAnsi="微软雅黑"/>
                <w:sz w:val="17"/>
              </w:rPr>
              <w:t>CB</w:t>
            </w:r>
            <w:r>
              <w:rPr>
                <w:rFonts w:ascii="微软雅黑" w:hAnsi="微软雅黑" w:eastAsia="微软雅黑"/>
                <w:sz w:val="17"/>
              </w:rPr>
              <w:t>本金；不是十月实测现金</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经营</w:t>
            </w:r>
            <w:r>
              <w:rPr>
                <w:rFonts w:eastAsia="微软雅黑" w:ascii="微软雅黑" w:hAnsi="微软雅黑"/>
                <w:sz w:val="17"/>
              </w:rPr>
              <w:t>EV</w:t>
            </w:r>
            <w:r>
              <w:rPr>
                <w:rFonts w:ascii="微软雅黑" w:hAnsi="微软雅黑" w:eastAsia="微软雅黑"/>
                <w:sz w:val="17"/>
              </w:rPr>
              <w:t>代理（人民币十亿）</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20.039413</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不再额外加完整药物</w:t>
            </w:r>
            <w:r>
              <w:rPr>
                <w:rFonts w:eastAsia="微软雅黑" w:ascii="微软雅黑" w:hAnsi="微软雅黑"/>
                <w:sz w:val="17"/>
              </w:rPr>
              <w:t>rNPV</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EV/2025</w:t>
            </w:r>
            <w:r>
              <w:rPr>
                <w:rFonts w:ascii="微软雅黑" w:hAnsi="微软雅黑" w:eastAsia="微软雅黑"/>
                <w:sz w:val="17"/>
              </w:rPr>
              <w:t>报告销售额</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24.967404</w:t>
            </w:r>
            <w:r>
              <w:rPr>
                <w:rFonts w:ascii="微软雅黑" w:hAnsi="微软雅黑" w:eastAsia="微软雅黑"/>
                <w:sz w:val="17"/>
              </w:rPr>
              <w:t>倍</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大首款造成比较基数波动</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EV/2027</w:t>
            </w:r>
            <w:r>
              <w:rPr>
                <w:rFonts w:ascii="微软雅黑" w:hAnsi="微软雅黑" w:eastAsia="微软雅黑"/>
                <w:sz w:val="17"/>
              </w:rPr>
              <w:t>基准销售额</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14.212349</w:t>
            </w:r>
            <w:r>
              <w:rPr>
                <w:rFonts w:ascii="微软雅黑" w:hAnsi="微软雅黑" w:eastAsia="微软雅黑"/>
                <w:sz w:val="17"/>
              </w:rPr>
              <w:t>倍</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收入</w:t>
            </w:r>
            <w:r>
              <w:rPr>
                <w:rFonts w:eastAsia="微软雅黑" w:ascii="微软雅黑" w:hAnsi="微软雅黑"/>
                <w:sz w:val="17"/>
              </w:rPr>
              <w:t>1.410000</w:t>
            </w:r>
            <w:r>
              <w:rPr>
                <w:rFonts w:ascii="微软雅黑" w:hAnsi="微软雅黑" w:eastAsia="微软雅黑"/>
                <w:sz w:val="17"/>
              </w:rPr>
              <w:t>十亿为研究预测</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w:t>
            </w:r>
            <w:r>
              <w:rPr>
                <w:rFonts w:ascii="微软雅黑" w:hAnsi="微软雅黑" w:eastAsia="微软雅黑"/>
                <w:sz w:val="17"/>
              </w:rPr>
              <w:t>销售额</w:t>
            </w:r>
            <w:r>
              <w:rPr>
                <w:rFonts w:eastAsia="微软雅黑" w:ascii="微软雅黑" w:hAnsi="微软雅黑"/>
                <w:sz w:val="17"/>
              </w:rPr>
              <w:t>×8</w:t>
            </w:r>
            <w:r>
              <w:rPr>
                <w:rFonts w:ascii="微软雅黑" w:hAnsi="微软雅黑" w:eastAsia="微软雅黑"/>
                <w:sz w:val="17"/>
              </w:rPr>
              <w:t>倍</w:t>
            </w:r>
            <w:r>
              <w:rPr>
                <w:rFonts w:eastAsia="微软雅黑" w:ascii="微软雅黑" w:hAnsi="微软雅黑"/>
                <w:sz w:val="17"/>
              </w:rPr>
              <w:t>EV</w:t>
            </w:r>
            <w:r>
              <w:rPr>
                <w:rFonts w:ascii="微软雅黑" w:hAnsi="微软雅黑" w:eastAsia="微软雅黑"/>
                <w:sz w:val="17"/>
              </w:rPr>
              <w:t>的每股诊断</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4.742287</w:t>
            </w:r>
            <w:r>
              <w:rPr>
                <w:rFonts w:ascii="微软雅黑" w:hAnsi="微软雅黑" w:eastAsia="微软雅黑"/>
                <w:sz w:val="17"/>
              </w:rPr>
              <w:t>港元</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同一六月净资产代理，不代替目标时点现金桥</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w:t>
            </w:r>
            <w:r>
              <w:rPr>
                <w:rFonts w:ascii="微软雅黑" w:hAnsi="微软雅黑" w:eastAsia="微软雅黑"/>
                <w:sz w:val="17"/>
              </w:rPr>
              <w:t>销售额</w:t>
            </w:r>
            <w:r>
              <w:rPr>
                <w:rFonts w:eastAsia="微软雅黑" w:ascii="微软雅黑" w:hAnsi="微软雅黑"/>
                <w:sz w:val="17"/>
              </w:rPr>
              <w:t>×12</w:t>
            </w:r>
            <w:r>
              <w:rPr>
                <w:rFonts w:ascii="微软雅黑" w:hAnsi="微软雅黑" w:eastAsia="微软雅黑"/>
                <w:sz w:val="17"/>
              </w:rPr>
              <w:t>倍</w:t>
            </w:r>
            <w:r>
              <w:rPr>
                <w:rFonts w:eastAsia="微软雅黑" w:ascii="微软雅黑" w:hAnsi="微软雅黑"/>
                <w:sz w:val="17"/>
              </w:rPr>
              <w:t>EV</w:t>
            </w:r>
            <w:r>
              <w:rPr>
                <w:rFonts w:ascii="微软雅黑" w:hAnsi="微软雅黑" w:eastAsia="微软雅黑"/>
                <w:sz w:val="17"/>
              </w:rPr>
              <w:t>的每股诊断</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6.186322</w:t>
            </w:r>
            <w:r>
              <w:rPr>
                <w:rFonts w:ascii="微软雅黑" w:hAnsi="微软雅黑" w:eastAsia="微软雅黑"/>
                <w:sz w:val="17"/>
              </w:rPr>
              <w:t>港元</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同一六月净资产代理，不代替目标时点现金桥</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w:t>
            </w:r>
            <w:r>
              <w:rPr>
                <w:rFonts w:ascii="微软雅黑" w:hAnsi="微软雅黑" w:eastAsia="微软雅黑"/>
                <w:sz w:val="17"/>
              </w:rPr>
              <w:t>销售额</w:t>
            </w:r>
            <w:r>
              <w:rPr>
                <w:rFonts w:eastAsia="微软雅黑" w:ascii="微软雅黑" w:hAnsi="微软雅黑"/>
                <w:sz w:val="17"/>
              </w:rPr>
              <w:t>×16</w:t>
            </w:r>
            <w:r>
              <w:rPr>
                <w:rFonts w:ascii="微软雅黑" w:hAnsi="微软雅黑" w:eastAsia="微软雅黑"/>
                <w:sz w:val="17"/>
              </w:rPr>
              <w:t>倍</w:t>
            </w:r>
            <w:r>
              <w:rPr>
                <w:rFonts w:eastAsia="微软雅黑" w:ascii="微软雅黑" w:hAnsi="微软雅黑"/>
                <w:sz w:val="17"/>
              </w:rPr>
              <w:t>EV</w:t>
            </w:r>
            <w:r>
              <w:rPr>
                <w:rFonts w:ascii="微软雅黑" w:hAnsi="微软雅黑" w:eastAsia="微软雅黑"/>
                <w:sz w:val="17"/>
              </w:rPr>
              <w:t>的每股诊断</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7.630358</w:t>
            </w:r>
            <w:r>
              <w:rPr>
                <w:rFonts w:ascii="微软雅黑" w:hAnsi="微软雅黑" w:eastAsia="微软雅黑"/>
                <w:sz w:val="17"/>
              </w:rPr>
              <w:t>港元</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同一六月净资产代理，不代替目标时点现金桥</w:t>
            </w:r>
          </w:p>
        </w:tc>
      </w:tr>
    </w:tbl>
    <w:p>
      <w:pPr>
        <w:pStyle w:val="Normal"/>
        <w:rPr/>
      </w:pPr>
      <w:r>
        <w:rPr/>
      </w:r>
    </w:p>
    <w:p>
      <w:pPr>
        <w:pStyle w:val="Heading2"/>
        <w:rPr/>
      </w:pPr>
      <w:r>
        <w:rPr>
          <w:rFonts w:ascii="Microsoft YaHei" w:hAnsi="Microsoft YaHei" w:eastAsia="微软雅黑"/>
          <w:b/>
          <w:color w:val="000000"/>
          <w:sz w:val="26"/>
        </w:rPr>
        <w:t>十八 四期限收益的来源与反证</w:t>
      </w:r>
    </w:p>
    <w:p>
      <w:pPr>
        <w:pStyle w:val="Normal"/>
        <w:rPr/>
      </w:pPr>
      <w:r>
        <w:rPr/>
        <w:t>半年主要关注二零二六年全年业绩、</w:t>
      </w:r>
      <w:r>
        <w:rPr/>
        <w:t>AI4S</w:t>
      </w:r>
      <w:r>
        <w:rPr/>
        <w:t>交付回款、</w:t>
      </w:r>
      <w:r>
        <w:rPr/>
        <w:t>Dove</w:t>
      </w:r>
      <w:r>
        <w:rPr/>
        <w:t>和</w:t>
      </w:r>
      <w:r>
        <w:rPr/>
        <w:t>GPCR</w:t>
      </w:r>
      <w:r>
        <w:rPr/>
        <w:t>等合作兑现以及一月债务处理。基准半年价低于现价，原因是短线量价未形成突破，且预算收入增长仍不能覆盖费用，现金偿债已扣。若实际服务毛利高于假设、客户预付款改善周转、债券以有利方式重新融资，价格判断可以上调；若新合作只停留在意向、验收延后或现金计划恶化，反弹难以获得基本面支持。半年观察区间应由新的成交和年度数据刷新，不能用三五年管线愿景直接覆盖眼前资金需求。</w:t>
      </w:r>
    </w:p>
    <w:p>
      <w:pPr>
        <w:pStyle w:val="Normal"/>
        <w:rPr/>
      </w:pPr>
      <w:r>
        <w:rPr/>
        <w:t>一年逻辑需要从单个交付和授权转向收入组合的稳定性。全年平台服务能否增长、智能实验室是否复购、客户收款是否改善，以及早期候选是否按时进入临床，决定市场是否有理由继续给予高销售倍数。基准一年低目标主要反映股东现金分配晚于业务扩张，公开市场可以在一年内继续交易更高的选择权溢价，但这种溢价不是确定收益。反证包括连续两个报告期正常服务增长落后投入、库存应收持续扩大、伙伴付款取消以及新的股权融资显著摊薄而没有提升每股现金能力。</w:t>
      </w:r>
    </w:p>
    <w:p>
      <w:pPr>
        <w:pStyle w:val="Normal"/>
        <w:rPr/>
      </w:pPr>
      <w:r>
        <w:rPr/>
        <w:t>三年需要证明产品化规模和早期资产推进。高增长</w:t>
      </w:r>
      <w:r>
        <w:rPr/>
        <w:t>AI4S</w:t>
      </w:r>
      <w:r>
        <w:rPr/>
        <w:t>业务可以降低对大首款的依赖，实验室标准化有机会提高资本效率，部分候选进入一期或二期则增加临床可验证性。基准价格仍较弱，是因为年度经营利润与自由现金流尚未形成成熟规模；三年乐观情景也低于现价，五年乐观才有约百分之十三点六三股价空间。推荐成立条件是收入质量、毛利、现金和净权益共同提升，而不是其中某项单独增长。若研发管线反复延迟、客户自己建设替代平台，或金融投资退出困难，三年增长故事会被折价。</w:t>
      </w:r>
    </w:p>
    <w:p>
      <w:pPr>
        <w:pStyle w:val="Normal"/>
        <w:rPr/>
      </w:pPr>
      <w:r>
        <w:rPr/>
        <w:t>五年和十年展望更看重企业能否持续更新科学模型与实验系统。机器人平台若成为科研流程的稳定基础设施，客户关系和历史实验数据会提高续约机会；药物资产如不断由合作推进，可形成净里程碑和版税。但技术进步也可能降低通用模型成本，成熟药企可能将关键能力收回内部，公司必须持续投入而不能依靠一次领先永久收租。十年判断应观察自研资产的注册证据、客户分散度、研发投入产出及资本分配纪律。模型的五年乐观上行需要这些条件逐步实现，不等同于五年获利的统计概率。</w:t>
      </w:r>
    </w:p>
    <w:p>
      <w:pPr>
        <w:pStyle w:val="Heading2"/>
        <w:rPr/>
      </w:pPr>
      <w:r>
        <w:rPr>
          <w:rFonts w:ascii="Microsoft YaHei" w:hAnsi="Microsoft YaHei" w:eastAsia="微软雅黑"/>
          <w:b/>
          <w:color w:val="000000"/>
          <w:sz w:val="26"/>
        </w:rPr>
        <w:t>十九 年底情景与权重敏感性</w:t>
      </w:r>
    </w:p>
    <w:p>
      <w:pPr>
        <w:pStyle w:val="Normal"/>
        <w:rPr/>
      </w:pPr>
      <w:r>
        <w:rPr/>
        <w:t>年底从十月九日到各市场最后交易日只剩较短窗口，主要新信息来自交付、合同履约、融资安排和量价变化。三期注册成功通常不在这个窗口内，本章没有提前假设自研候选上市，也没有把机构远期目标按剩余月份缩放。年底悲观、基准和乐观价格由不同的经营路径与市场估值识别程度计算，其中识别系数属于研究判断，七项自研收益已独立建模，其他观察收益排除。它表示现金价值差异在短期内被市场反映的程度，不是价格运动的物理规律，更不是根据历史波动拟合的统计置信区间。</w:t>
      </w:r>
    </w:p>
    <w:p>
      <w:pPr>
        <w:pStyle w:val="Normal"/>
        <w:rPr/>
      </w:pPr>
      <w:r>
        <w:rPr/>
        <w:t>默认悲观四分之一、基准二分之一、乐观四分之一，分别计算价格加权期望与相对</w:t>
      </w:r>
      <w:r>
        <w:rPr/>
        <w:t>6.985</w:t>
      </w:r>
      <w:r>
        <w:rPr/>
        <w:t>港元的回报。更保守的四成、四成、两成，以及更乐观的两成、四成、四成也列示。由于基准回报偏低，改变权重未必把期望回报变为正；只有经营和估值路径实质改变，才有理由上修结果。情景范围不能用作最大损失边界，突发政策、流动性和会计问题仍可能导致区间之外的价格。默认权重是研究者判断，不代表每个公司的实际生存概率或临床成功概率。</w:t>
      </w:r>
    </w:p>
    <w:p>
      <w:pPr>
        <w:pStyle w:val="Normal"/>
        <w:rPr/>
      </w:pPr>
      <w:r>
        <w:rPr/>
        <w:t>悲观价格为正的年底情景与后来期限的资金失败零价值可以同时存在，因为市场在短期内未必完整识别长期投入缺口，也可能期待公司削减研发或补充融资。基准与乐观年底价也不强制沿着固定斜率走向长期目标，短期受情绪和事件影响。为了让读者区分模型与交易，正文同时给出有限现金内在值、短期识别后的目标和条件说明。若新信息推翻现金或收入假设，应先更新活动模型，再刷新所有情景；不能只修改年底价格而保留旧的长期现金路径。</w:t>
      </w:r>
    </w:p>
    <w:p>
      <w:pPr>
        <w:pStyle w:val="Heading2"/>
        <w:rPr/>
      </w:pPr>
      <w:r>
        <w:rPr>
          <w:rFonts w:ascii="Microsoft YaHei" w:hAnsi="Microsoft YaHei" w:eastAsia="微软雅黑"/>
          <w:b/>
          <w:color w:val="000000"/>
          <w:sz w:val="26"/>
        </w:rPr>
        <w:t>二十 外资目标价与推荐纪律</w:t>
      </w:r>
    </w:p>
    <w:p>
      <w:pPr>
        <w:pStyle w:val="Normal"/>
        <w:rPr/>
      </w:pPr>
      <w:r>
        <w:rPr/>
        <w:t>截止日可核验的公开转述包括花旗八港元、中性高风险，以及摩根大通十港元、增持。花旗的评价关注物理</w:t>
      </w:r>
      <w:r>
        <w:rPr/>
        <w:t>AI</w:t>
      </w:r>
      <w:r>
        <w:rPr/>
        <w:t>、机器人实验和编排能力，同时指出管线深度与商业化输出仍待验证；摩通则看好药物发现服务和机器人湿实验室的多元业务。两条公开新闻都没有取得可核验的原研报完整假设及明确目标日，因此本研究不把它们直接标作准确十二个月目标，更不把它们当年底价格。机构目标能说明专业投资者的估值分歧，无法替代独立现金模型。</w:t>
      </w:r>
    </w:p>
    <w:p>
      <w:pPr>
        <w:pStyle w:val="Normal"/>
        <w:rPr/>
      </w:pPr>
      <w:r>
        <w:rPr/>
        <w:t>机构可能采用下一年度收入、平台销售倍数、合作资产选择权和投资组合净值，而本模型对持续投入、净合同权益和有限分配的要求更严格。这种差异应通过假设比较解决。若某机构报告给出具体毛利、资本开支和临床净费率，就可以逐项检查是否更有证据；如果只有公开目标数字，不能编造其利润模型。新闻中还存在中资券商及资金流名单，本章将其与严格意义的外资目标分开，不因机构名称国际化就误归类，也不将同一目标的重复转载计为多个独立观点。</w:t>
      </w:r>
    </w:p>
    <w:p>
      <w:pPr>
        <w:pStyle w:val="Normal"/>
        <w:rPr/>
      </w:pPr>
      <w:r>
        <w:rPr/>
        <w:t>最终推荐遵循证据和每股收益，而不是公司所属热门赛道。晶泰已经拥有真实服务、交付和合作，科学智能的长期需求也值得研究，但现价对未来增长及利润质量的要求高，半年量价尚弱，基准现金分配估值和年底期望均偏低。优先等待年度交付现金、研发成本分担、投资归属和临床证据更清晰，再上调推荐梯队。若这些证据改善并且价格在关键均线之上形成稳定量价关系，成长选择权可以逐步变成更可验证的股东收益；在此之前，评分体现的是相对研究优先级，不表示获利概率。</w:t>
      </w:r>
    </w:p>
    <w:p>
      <w:pPr>
        <w:pStyle w:val="Heading2"/>
        <w:rPr/>
      </w:pPr>
      <w:r>
        <w:rPr>
          <w:rFonts w:ascii="Microsoft YaHei" w:hAnsi="Microsoft YaHei" w:eastAsia="微软雅黑"/>
          <w:b/>
          <w:color w:val="000000"/>
          <w:sz w:val="26"/>
        </w:rPr>
        <w:t>来源与核验附录</w:t>
      </w:r>
    </w:p>
    <w:p>
      <w:pPr>
        <w:pStyle w:val="Normal"/>
        <w:rPr/>
      </w:pPr>
      <w:r>
        <w:rPr/>
        <w:t>公司原始文件以港交所存档为主，报告截止</w:t>
      </w:r>
      <w:r>
        <w:rPr/>
        <w:t>2026</w:t>
      </w:r>
      <w:r>
        <w:rPr/>
        <w:t>年</w:t>
      </w:r>
      <w:r>
        <w:rPr/>
        <w:t>10</w:t>
      </w:r>
      <w:r>
        <w:rPr/>
        <w:t>月</w:t>
      </w:r>
      <w:r>
        <w:rPr/>
        <w:t>9</w:t>
      </w:r>
      <w:r>
        <w:rPr/>
        <w:t>日。中报发布</w:t>
      </w:r>
      <w:r>
        <w:rPr/>
        <w:t>2026</w:t>
      </w:r>
      <w:r>
        <w:rPr/>
        <w:t>年</w:t>
      </w:r>
      <w:r>
        <w:rPr/>
        <w:t>9</w:t>
      </w:r>
      <w:r>
        <w:rPr/>
        <w:t>月</w:t>
      </w:r>
      <w:r>
        <w:rPr/>
        <w:t>9</w:t>
      </w:r>
      <w:r>
        <w:rPr/>
        <w:t>日</w:t>
      </w:r>
      <w:r>
        <w:rPr/>
        <w:t>21:23</w:t>
      </w:r>
      <w:r>
        <w:rPr/>
        <w:t>，相关业绩首发</w:t>
      </w:r>
      <w:r>
        <w:rPr/>
        <w:t>8</w:t>
      </w:r>
      <w:r>
        <w:rPr/>
        <w:t>月</w:t>
      </w:r>
      <w:r>
        <w:rPr/>
        <w:t>19</w:t>
      </w:r>
      <w:r>
        <w:rPr/>
        <w:t>日</w:t>
      </w:r>
      <w:r>
        <w:rPr/>
        <w:t>18:09</w:t>
      </w:r>
      <w:r>
        <w:rPr/>
        <w:t>，均为收盘后。</w:t>
      </w:r>
      <w:r>
        <w:rPr/>
        <w:t>9</w:t>
      </w:r>
      <w:r>
        <w:rPr/>
        <w:t>月月报发布</w:t>
      </w:r>
      <w:r>
        <w:rPr/>
        <w:t>10</w:t>
      </w:r>
      <w:r>
        <w:rPr/>
        <w:t>月</w:t>
      </w:r>
      <w:r>
        <w:rPr/>
        <w:t>6</w:t>
      </w:r>
      <w:r>
        <w:rPr/>
        <w:t>日</w:t>
      </w:r>
      <w:r>
        <w:rPr/>
        <w:t>19:23</w:t>
      </w:r>
      <w:r>
        <w:rPr/>
        <w:t>；</w:t>
      </w:r>
      <w:r>
        <w:rPr/>
        <w:t>10</w:t>
      </w:r>
      <w:r>
        <w:rPr/>
        <w:t>月回购及主席个人买入分别保存原始公告发布时间。</w:t>
      </w:r>
    </w:p>
    <w:p>
      <w:pPr>
        <w:pStyle w:val="Normal"/>
        <w:rPr/>
      </w:pPr>
      <w:r>
        <w:rPr/>
        <w:t>- 2026</w:t>
      </w:r>
      <w:r>
        <w:rPr/>
        <w:t>中报：</w:t>
      </w:r>
      <w:r>
        <w:rPr/>
        <w:t>https://www1.hkexnews.hk/listedco/listconews/sehk/2026/0909/2026090901145.pdf</w:t>
      </w:r>
    </w:p>
    <w:p>
      <w:pPr>
        <w:pStyle w:val="Normal"/>
        <w:rPr/>
      </w:pPr>
      <w:r>
        <w:rPr>
          <w:lang w:val="zh-CN" w:eastAsia="zh-CN"/>
        </w:rPr>
        <w:t>- 2026</w:t>
      </w:r>
      <w:r>
        <w:rPr>
          <w:lang w:val="zh-CN" w:eastAsia="zh-CN"/>
        </w:rPr>
        <w:t>中期业绩首发：</w:t>
      </w:r>
      <w:r>
        <w:rPr>
          <w:lang w:val="zh-CN" w:eastAsia="zh-CN"/>
        </w:rPr>
        <w:t>https://www1.hkexnews.hk/listedco/listconews/sehk/2026/0819/2026081900919.pdf</w:t>
      </w:r>
    </w:p>
    <w:p>
      <w:pPr>
        <w:pStyle w:val="Normal"/>
        <w:rPr/>
      </w:pPr>
      <w:r>
        <w:rPr/>
        <w:t>- 2025</w:t>
      </w:r>
      <w:r>
        <w:rPr/>
        <w:t>年报：</w:t>
      </w:r>
      <w:r>
        <w:rPr/>
        <w:t>https://www1.hkexnews.hk/listedco/listconews/sehk/2026/0417/2026041701551.pdf</w:t>
      </w:r>
    </w:p>
    <w:p>
      <w:pPr>
        <w:pStyle w:val="Normal"/>
        <w:rPr/>
      </w:pPr>
      <w:r>
        <w:rPr>
          <w:lang w:val="zh-CN" w:eastAsia="zh-CN"/>
        </w:rPr>
        <w:t>- 2026</w:t>
      </w:r>
      <w:r>
        <w:rPr>
          <w:lang w:val="zh-CN" w:eastAsia="zh-CN"/>
        </w:rPr>
        <w:t>年</w:t>
      </w:r>
      <w:r>
        <w:rPr>
          <w:lang w:val="zh-CN" w:eastAsia="zh-CN"/>
        </w:rPr>
        <w:t>9</w:t>
      </w:r>
      <w:r>
        <w:rPr>
          <w:lang w:val="zh-CN" w:eastAsia="zh-CN"/>
        </w:rPr>
        <w:t>月月报：</w:t>
      </w:r>
      <w:r>
        <w:rPr>
          <w:lang w:val="zh-CN" w:eastAsia="zh-CN"/>
        </w:rPr>
        <w:t>https://www1.hkexnews.hk/listedco/listconews/sehk/2026/1006/2026100601423.pdf</w:t>
      </w:r>
    </w:p>
    <w:p>
      <w:pPr>
        <w:pStyle w:val="Normal"/>
        <w:rPr/>
      </w:pPr>
      <w:r>
        <w:rPr>
          <w:lang w:val="zh-CN" w:eastAsia="zh-CN"/>
        </w:rPr>
        <w:t>- DoveTree</w:t>
      </w:r>
      <w:r>
        <w:rPr>
          <w:lang w:val="zh-CN" w:eastAsia="zh-CN"/>
        </w:rPr>
        <w:t>更新：</w:t>
      </w:r>
      <w:r>
        <w:rPr>
          <w:lang w:val="zh-CN" w:eastAsia="zh-CN"/>
        </w:rPr>
        <w:t>https://www1.hkexnews.hk/listedco/listconews/sehk/2026/0527/2026052701684.pdf</w:t>
      </w:r>
    </w:p>
    <w:p>
      <w:pPr>
        <w:pStyle w:val="Normal"/>
        <w:rPr/>
      </w:pPr>
      <w:r>
        <w:rPr/>
        <w:t>- GPCR</w:t>
      </w:r>
      <w:r>
        <w:rPr/>
        <w:t>合作：</w:t>
      </w:r>
      <w:r>
        <w:rPr/>
        <w:t>https://www1.hkexnews.hk/listedco/listconews/sehk/2026/0609/2026060901622.pdf</w:t>
      </w:r>
    </w:p>
    <w:p>
      <w:pPr>
        <w:pStyle w:val="Normal"/>
        <w:rPr/>
      </w:pPr>
      <w:r>
        <w:rPr>
          <w:lang w:val="zh-CN" w:eastAsia="zh-CN"/>
        </w:rPr>
        <w:t>- Stanford</w:t>
      </w:r>
      <w:r>
        <w:rPr>
          <w:lang w:val="zh-CN" w:eastAsia="zh-CN"/>
        </w:rPr>
        <w:t>合作：</w:t>
      </w:r>
      <w:r>
        <w:rPr>
          <w:lang w:val="zh-CN" w:eastAsia="zh-CN"/>
        </w:rPr>
        <w:t>https://www1.hkexnews.hk/listedco/listconews/sehk/2026/0917/2026091701791.pdf</w:t>
      </w:r>
    </w:p>
    <w:p>
      <w:pPr>
        <w:pStyle w:val="Normal"/>
        <w:rPr/>
      </w:pPr>
      <w:r>
        <w:rPr>
          <w:lang w:val="zh-CN" w:eastAsia="zh-CN"/>
        </w:rPr>
        <w:t>- 10</w:t>
      </w:r>
      <w:r>
        <w:rPr>
          <w:lang w:val="zh-CN" w:eastAsia="zh-CN"/>
        </w:rPr>
        <w:t>月</w:t>
      </w:r>
      <w:r>
        <w:rPr>
          <w:lang w:val="zh-CN" w:eastAsia="zh-CN"/>
        </w:rPr>
        <w:t>2</w:t>
      </w:r>
      <w:r>
        <w:rPr>
          <w:lang w:val="zh-CN" w:eastAsia="zh-CN"/>
        </w:rPr>
        <w:t>日回购：</w:t>
      </w:r>
      <w:r>
        <w:rPr>
          <w:lang w:val="zh-CN" w:eastAsia="zh-CN"/>
        </w:rPr>
        <w:t>https://www1.hkexnews.hk/listedco/listconews/sehk/2026/1002/2026100203343.pdf</w:t>
      </w:r>
    </w:p>
    <w:p>
      <w:pPr>
        <w:pStyle w:val="Normal"/>
        <w:rPr/>
      </w:pPr>
      <w:r>
        <w:rPr>
          <w:lang w:val="zh-CN" w:eastAsia="zh-CN"/>
        </w:rPr>
        <w:t>- 10</w:t>
      </w:r>
      <w:r>
        <w:rPr>
          <w:lang w:val="zh-CN" w:eastAsia="zh-CN"/>
        </w:rPr>
        <w:t>月</w:t>
      </w:r>
      <w:r>
        <w:rPr>
          <w:lang w:val="zh-CN" w:eastAsia="zh-CN"/>
        </w:rPr>
        <w:t>5</w:t>
      </w:r>
      <w:r>
        <w:rPr>
          <w:lang w:val="zh-CN" w:eastAsia="zh-CN"/>
        </w:rPr>
        <w:t>日回购：</w:t>
      </w:r>
      <w:r>
        <w:rPr>
          <w:lang w:val="zh-CN" w:eastAsia="zh-CN"/>
        </w:rPr>
        <w:t>https://www1.hkexnews.hk/listedco/listconews/sehk/2026/1005/2026100502035.pdf</w:t>
      </w:r>
    </w:p>
    <w:p>
      <w:pPr>
        <w:pStyle w:val="Normal"/>
        <w:rPr/>
      </w:pPr>
      <w:r>
        <w:rPr/>
        <w:t>- Citi</w:t>
      </w:r>
      <w:r>
        <w:rPr/>
        <w:t>公开转述：</w:t>
      </w:r>
      <w:r>
        <w:rPr/>
        <w:t>https://www.aastocks.com/tc/stocks/analysis/stock-aafn-con/02228/AAFN/NOW.1542717/research-report</w:t>
      </w:r>
    </w:p>
    <w:p>
      <w:pPr>
        <w:pStyle w:val="Normal"/>
        <w:rPr/>
      </w:pPr>
      <w:r>
        <w:rPr/>
        <w:t>- JPMorgan</w:t>
      </w:r>
      <w:r>
        <w:rPr/>
        <w:t>公开转述：</w:t>
      </w:r>
      <w:r>
        <w:rPr/>
        <w:t>https://www.aastocks.com/tc/stocks/analysis/stock-aafn-con/02228/AAFN/NOW.1534847/research-report</w:t>
      </w:r>
    </w:p>
    <w:p>
      <w:pPr>
        <w:pStyle w:val="Normal"/>
        <w:widowControl/>
        <w:bidi w:val="0"/>
        <w:spacing w:lineRule="auto" w:line="336" w:before="0" w:after="140"/>
        <w:jc w:val="start"/>
        <w:rPr/>
      </w:pPr>
      <w:r>
        <w:rPr/>
        <w:t>完整来源、研究假设、活动模型、三情景快照与核验按版本保存；标题、表格和来源不计有效汉字。</w:t>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 w:name="Microsoft YaHe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宋体"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36" w:before="0" w:after="140"/>
      <w:jc w:val="start"/>
    </w:pPr>
    <w:rPr>
      <w:rFonts w:ascii="宋体" w:hAnsi="宋体" w:eastAsia="宋体" w:cs="宋体"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宋体"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宋体"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宋体"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宋体"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宋体"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宋体"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宋体"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宋体"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宋体"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宋体"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宋体"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宋体"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宋体"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宋体"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宋体"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宋体"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宋体"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宋体"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宋体"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宋体"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user">
    <w:name w:val="索引链接 (user)"/>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user1">
    <w:name w:val="标题样式 (user)"/>
    <w:basedOn w:val="Normal"/>
    <w:next w:val="BodyText"/>
    <w:pPr>
      <w:keepNext w:val="true"/>
      <w:spacing w:before="240" w:after="120"/>
    </w:pPr>
    <w:rPr>
      <w:rFonts w:ascii="Liberation Sans" w:hAnsi="Liberation Sans" w:eastAsia="微软雅黑" w:cs="Arial"/>
      <w:sz w:val="28"/>
      <w:szCs w:val="28"/>
    </w:rPr>
  </w:style>
  <w:style w:type="paragraph" w:styleId="user2">
    <w:name w:val="索引 (user)"/>
    <w:basedOn w:val="Normal"/>
    <w:pPr>
      <w:suppressLineNumbers/>
    </w:pPr>
    <w:rPr>
      <w:rFonts w:cs="Arial"/>
    </w:rPr>
  </w:style>
  <w:style w:type="paragraph" w:styleId="user3">
    <w:name w:val="页眉与页脚 (user)"/>
    <w:basedOn w:val="Normal"/>
    <w:pPr/>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宋体"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宋体"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宋体"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宋体"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user1"/>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user2"/>
    <w:pPr>
      <w:keepNext w:val="false"/>
      <w:tabs>
        <w:tab w:val="clear" w:pos="720"/>
        <w:tab w:val="right" w:pos="9858" w:leader="dot"/>
      </w:tabs>
      <w:spacing w:before="0" w:after="0"/>
      <w:ind w:hanging="0" w:start="0"/>
    </w:pPr>
    <w:rPr>
      <w:sz w:val="18"/>
    </w:rPr>
  </w:style>
  <w:style w:type="paragraph" w:styleId="TOC2">
    <w:name w:val="toc 2"/>
    <w:basedOn w:val="user2"/>
    <w:pPr>
      <w:keepNext w:val="false"/>
      <w:tabs>
        <w:tab w:val="clear" w:pos="720"/>
        <w:tab w:val="right" w:pos="9575" w:leader="dot"/>
      </w:tabs>
      <w:spacing w:before="0" w:after="0"/>
      <w:ind w:hanging="0" w:start="283"/>
    </w:pPr>
    <w:rPr>
      <w:sz w:val="18"/>
    </w:rPr>
  </w:style>
  <w:style w:type="paragraph" w:styleId="TOC3">
    <w:name w:val="toc 3"/>
    <w:basedOn w:val="user2"/>
    <w:pPr>
      <w:keepNext w:val="false"/>
      <w:tabs>
        <w:tab w:val="clear" w:pos="720"/>
        <w:tab w:val="right" w:pos="9291" w:leader="dot"/>
      </w:tabs>
      <w:spacing w:before="0" w:after="0"/>
      <w:ind w:hanging="0" w:start="567"/>
    </w:pPr>
    <w:rPr>
      <w:sz w:val="18"/>
    </w:rPr>
  </w:style>
  <w:style w:type="numbering" w:styleId="user4" w:default="1">
    <w:name w:val="无列表 (user)"/>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2026-10-11T20:05:46Z</dcterms:modified>
  <cp:revision>5</cp:revision>
  <dc:subject>研究数据版本 63ca87a2011995a6</dc:subject>
  <dc:title>公司深研 · 第11卷</dc:title>
</cp:coreProperties>
</file>

<file path=docProps/custom.xml><?xml version="1.0" encoding="utf-8"?>
<Properties xmlns="http://schemas.openxmlformats.org/officeDocument/2006/custom-properties" xmlns:vt="http://schemas.openxmlformats.org/officeDocument/2006/docPropsVTypes"/>
</file>