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1200" w:lineRule="auto"/>
        <w:jc w:val="center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เอกสารประกอบการประชุม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แนวทางขับเคลื่อนยุทธศาสตร์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Learn to Earn จังหวัดเชียงใหม่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จัดกลุ่มยุทธศาสตร์ตามห่วงโซ่ต้นน้ำ–กลางน้ำ–ปลายน้ำ</w:t>
      </w:r>
    </w:p>
    <w:p w:rsidR="00000000" w:rsidDel="00000000" w:rsidP="00000000" w:rsidRDefault="00000000" w:rsidRPr="00000000" w14:paraId="00000005">
      <w:pPr>
        <w:spacing w:after="60" w:lineRule="auto"/>
        <w:jc w:val="center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พร้อมข้อมูลโครงการที่รายงานจริงและตัวชี้วัดที่เกี่ยวข้อง</w:t>
      </w:r>
    </w:p>
    <w:p w:rsidR="00000000" w:rsidDel="00000000" w:rsidP="00000000" w:rsidRDefault="00000000" w:rsidRPr="00000000" w14:paraId="00000006">
      <w:pPr>
        <w:spacing w:before="500" w:lineRule="auto"/>
        <w:jc w:val="center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สำนักงานศึกษาธิการจังหวัดเชียงใหม่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1f4e78" w:space="6" w:sz="10" w:val="single"/>
        </w:pBdr>
        <w:spacing w:after="160" w:before="36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1. หลักการอ่านเอกสารฉบับนี้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เอกสารนี้จัดทำขึ้นเพื่อสนับสนุนการประชุมหาแนวทางขับเคลื่อนยุทธศาสตร์ Learn to Earn โดยนำยุทธศาสตร์และตัวชี้วัดที่จังหวัดกำหนดไว้ มาจัดกลุ่มตามห่วงโซ่การขับเคลื่อน (ต้นน้ำ–กลางน้ำ–ปลายน้ำ) ประกอบด้วยข้อมูลโครงการจริงที่หน่วยงานรายงานเข้าระบบเก็บข้อมูลกลาง และข้อมูลตัวชี้วัดที่เกี่ยวข้องจาก SDG4 Dashboard ของจังหวัด</w:t>
      </w:r>
    </w:p>
    <w:p w:rsidR="00000000" w:rsidDel="00000000" w:rsidP="00000000" w:rsidRDefault="00000000" w:rsidRPr="00000000" w14:paraId="0000000A">
      <w:pPr>
        <w:pBdr>
          <w:top w:color="e8c9a0" w:space="0" w:sz="4" w:val="single"/>
          <w:left w:color="e8c9a0" w:space="0" w:sz="4" w:val="single"/>
          <w:bottom w:color="e8c9a0" w:space="0" w:sz="4" w:val="single"/>
          <w:right w:color="e8c9a0" w:space="0" w:sz="4" w:val="single"/>
        </w:pBdr>
        <w:shd w:fill="fff7ed" w:val="clear"/>
        <w:spacing w:after="160" w:before="10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ข้อสำคัญที่ต้องอ่านก่อน  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ข้อมูลโครงการในเอกสารนี้คือสิ่งที่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“รายงานเข้าระบบแล้ว”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 เท่านั้น การที่กลยุทธ์ใดมีโครงการรายงานน้อยหรือไม่มีเลย ไม่ได้หมายความว่าจังหวัดไม่ได้ดำเนินการ อาจมีการขับเคลื่อนอยู่แล้วแต่ยังไม่ได้รายงานเข้าระบบ เอกสารนี้จึงนำเสนอ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เท่าที่ข้อมูลมีอยู่จริง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 เพื่อให้ที่ประชุมช่วยเติมเต็มภาพให้ครบถ้วนยิ่งขึ้น</w:t>
      </w:r>
    </w:p>
    <w:p w:rsidR="00000000" w:rsidDel="00000000" w:rsidP="00000000" w:rsidRDefault="00000000" w:rsidRPr="00000000" w14:paraId="0000000B">
      <w:pPr>
        <w:pStyle w:val="Heading2"/>
        <w:spacing w:after="120" w:before="26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ข้อมูลที่ใช้ประกอบ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70" w:lineRule="auto"/>
        <w:ind w:left="400" w:hanging="240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ยุทธศาสตร์และตัวชี้วัด — 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เอกสารยุทธศาสตร์ Learn to Earn ที่จังหวัดกำหนด (7 กลยุทธ์ 5 ตัวชี้วัด)</w:t>
      </w:r>
    </w:p>
    <w:p w:rsidR="00000000" w:rsidDel="00000000" w:rsidP="00000000" w:rsidRDefault="00000000" w:rsidRPr="00000000" w14:paraId="0000000D">
      <w:pPr>
        <w:spacing w:after="70" w:lineRule="auto"/>
        <w:ind w:left="400" w:hanging="240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ข้อมูลโครงการ — 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23 โครงการ จาก 20 หน่วยงาน ที่รายงานเข้าระบบเก็บข้อมูลกลาง (ปีงบประมาณ 2568)</w:t>
      </w:r>
    </w:p>
    <w:p w:rsidR="00000000" w:rsidDel="00000000" w:rsidP="00000000" w:rsidRDefault="00000000" w:rsidRPr="00000000" w14:paraId="0000000E">
      <w:pPr>
        <w:spacing w:after="70" w:lineRule="auto"/>
        <w:ind w:left="400" w:hanging="240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SDG4 Dashboard — 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ตัวชี้วัดเป้าหมายการพัฒนาที่ยั่งยืนด้านการศึกษา (SDG4) ของสำนักงานศึกษาธิการจังหวัดเชียงใหม่</w:t>
      </w:r>
    </w:p>
    <w:p w:rsidR="00000000" w:rsidDel="00000000" w:rsidP="00000000" w:rsidRDefault="00000000" w:rsidRPr="00000000" w14:paraId="0000000F">
      <w:pPr>
        <w:spacing w:after="70" w:lineRule="auto"/>
        <w:ind w:left="400" w:hanging="240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ข้อมูลประกอบอื่น — 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ข้อมูลกำลังคน ตลาดแรงงาน และการศึกษา ที่จัดทำไว้ในระบบ Dashboard คู่ขนาน</w:t>
      </w:r>
    </w:p>
    <w:p w:rsidR="00000000" w:rsidDel="00000000" w:rsidP="00000000" w:rsidRDefault="00000000" w:rsidRPr="00000000" w14:paraId="00000010">
      <w:pPr>
        <w:pStyle w:val="Heading1"/>
        <w:pBdr>
          <w:bottom w:color="1f4e78" w:space="6" w:sz="10" w:val="single"/>
        </w:pBdr>
        <w:spacing w:after="160" w:before="36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2. ห่วงโซ่การขับเคลื่อนยุทธศาสตร์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กลยุทธ์แต่ละข้อมีบทบาทได้มากกว่าหนึ่งช่วงของห่วงโซ่การขับเคลื่อน ตารางด้านล่างแสดงน้ำหนักบทบาทของแต่ละกลยุทธ์ในแต่ละช่วง </w:t>
      </w:r>
    </w:p>
    <w:p w:rsidR="00000000" w:rsidDel="00000000" w:rsidP="00000000" w:rsidRDefault="00000000" w:rsidRPr="00000000" w14:paraId="00000012">
      <w:pPr>
        <w:spacing w:after="70" w:lineRule="auto"/>
        <w:ind w:left="400" w:hanging="240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6"/>
          <w:szCs w:val="26"/>
          <w:rtl w:val="0"/>
        </w:rPr>
        <w:t xml:space="preserve">หมายถึงบทบาทหลัก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70" w:lineRule="auto"/>
        <w:ind w:left="400" w:hanging="240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○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6"/>
          <w:szCs w:val="26"/>
          <w:rtl w:val="0"/>
        </w:rPr>
        <w:t xml:space="preserve">หมายถึงบทบาทรอง / เกี่ยวข้องบางส่วน</w:t>
      </w:r>
      <w:r w:rsidDel="00000000" w:rsidR="00000000" w:rsidRPr="00000000">
        <w:rPr>
          <w:rtl w:val="0"/>
        </w:rPr>
      </w:r>
    </w:p>
    <w:tbl>
      <w:tblPr>
        <w:tblStyle w:val="Table1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1700"/>
        <w:gridCol w:w="1700"/>
        <w:gridCol w:w="1700"/>
        <w:tblGridChange w:id="0">
          <w:tblGrid>
            <w:gridCol w:w="4600"/>
            <w:gridCol w:w="1700"/>
            <w:gridCol w:w="1700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กลยุทธ์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ต้นน้ำสร้างฐาน/เตรียมระบบ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กลางน้ำดำเนินการพัฒนาทักษะ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ปลายน้ำต่อยอด/ยั่งยืน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3.1  แนะแนวการศึกษาและอาชีพ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●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3.2  พัฒนาหลักสูตรให้สอดคล้องอุปสงค์-อุปทาน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●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3.3  เรียนควบคู่ทำงาน (Learn to Earn)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—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●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●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3.4  ทวิภาคีและความร่วมมือสถานประกอบการ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●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●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3.5  Credit Bank เชื่อมโยงการเรียนรู้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●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●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3.6  หลักสูตรระยะสั้น Reskill/Upskill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—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●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3.7  พัฒนากำลังคนกลุ่มเศรษฐกิจเป้าหมาย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○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●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●</w:t>
            </w:r>
          </w:p>
        </w:tc>
      </w:tr>
    </w:tbl>
    <w:p w:rsidR="00000000" w:rsidDel="00000000" w:rsidP="00000000" w:rsidRDefault="00000000" w:rsidRPr="00000000" w14:paraId="00000034">
      <w:pPr>
        <w:spacing w:after="8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c6d9ec" w:space="0" w:sz="4" w:val="single"/>
          <w:left w:color="c6d9ec" w:space="0" w:sz="4" w:val="single"/>
          <w:bottom w:color="c6d9ec" w:space="0" w:sz="4" w:val="single"/>
          <w:right w:color="c6d9ec" w:space="0" w:sz="4" w:val="single"/>
        </w:pBdr>
        <w:shd w:fill="eaf1f8" w:val="clear"/>
        <w:spacing w:after="160" w:before="10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ข้อสังเกตเชิงโครงสร้าง  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กลยุทธ์ 3.4 (ทวิภาคี) 3.5 (Credit Bank) และ 3.7 (กลุ่มเศรษฐกิจเป้าหมาย) มีบทบาทคาบเกี่ยวมากกว่าหนึ่งช่วง สะท้อนว่าเป็นกลยุทธ์ที่ต้องอาศัยการประสานงานข้ามหน่วยงานและข้ามช่วงเวลามากที่สุด จึงควรมีกลไกติดตามร่วมที่ชัดเจนเป็นพิเศษ</w:t>
      </w:r>
    </w:p>
    <w:p w:rsidR="00000000" w:rsidDel="00000000" w:rsidP="00000000" w:rsidRDefault="00000000" w:rsidRPr="00000000" w14:paraId="00000036">
      <w:pPr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1f4e78" w:space="6" w:sz="10" w:val="single"/>
        </w:pBdr>
        <w:spacing w:after="160" w:before="36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3. รายละเอียดรายกลยุทธ์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แต่ละกลยุทธ์แสดงจำนวนโครงการที่รายงานเข้าระบบ พร้อมตัวอย่างโครงการและหน่วยงานที่เกี่ยวข้อง โครงการหนึ่งอาจปรากฏได้มากกว่าหนึ่งกลยุทธ์ตามลักษณะกิจกรรม</w:t>
      </w:r>
    </w:p>
    <w:p w:rsidR="00000000" w:rsidDel="00000000" w:rsidP="00000000" w:rsidRDefault="00000000" w:rsidRPr="00000000" w14:paraId="00000039">
      <w:pPr>
        <w:pStyle w:val="Heading2"/>
        <w:spacing w:after="120" w:before="26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3.1  แนะแนวการศึกษาและอาชีพ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ช่วงหลัก: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ต้นน้ำ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     จำนวนโครงการที่รายงาน: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10 โครงการ</w:t>
      </w:r>
      <w:r w:rsidDel="00000000" w:rsidR="00000000" w:rsidRPr="00000000">
        <w:rPr>
          <w:rtl w:val="0"/>
        </w:rPr>
      </w:r>
    </w:p>
    <w:tbl>
      <w:tblPr>
        <w:tblStyle w:val="Table2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3200"/>
        <w:tblGridChange w:id="0">
          <w:tblGrid>
            <w:gridCol w:w="65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โครงการ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หน่วยงาน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กิจกรรมการพัฒนาผู้เรียนให้มีทักษะอาชีพที่จำเป็นแห่งอนาคต (Future Skills)  และส่งเสริม สนับสนุนการมีรายได้ระหว่างเรียน (Learn to Earn) ของสถานศึกษาในสังกัดสำนักงานเขตพื้นที่การศึกษามัธยมศึกษาเชียงใหม่ ประจำปีงบประมาณ พ.ศ.2569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สำนักงานเขตพื้นที่การศึกษามัธยมศึกษาเชียงใหม่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โครงการการจัดการศึกษาเพื่อการมีงานทำ และเสริมสร้างทักษะอาชีพในโรงเรียน ประจำปีงบประมาณ 2569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สพป.เชียงใหม่ เขต 6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โครงการส่งเสริมและพัฒนาทักษะอาชีพสำหรับนักเรียนในสถานศึกษา สังกัดสำนักบริหารงานการศึกษาพิเศษ โดยศูนย์การศึกษาพิเศษ  เขตการศึกษา 8 จังหวัดเชียงใหม่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ศูนย์การศึกษาพิเศษ เขตการศึกษา 8 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 3 ม. มีงาน มีเงิน มีวุฒ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วิทยาลัยเทคโนโลยีพาณิชยการลานนา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กิจกรรมหาราบได้ระหว่างเรียน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โรงเรีบนโสตศึกษาอนุสารสุนทร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 การเป็นผู้ประกอบการหรือประกอบอาชีพอิสระ (หารายได้ระหว่างเรียน) LEARN TO EARN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วิทยาลัยการอาชีพฝาง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โครงการเตรียมความพร้อมแก่กลุ่มเป้าหมายก่อนเข้าสู่ตลาดแรงงาน กิจกรรมแนะแนวอาชีพให้นักเรียน นักศึกษา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สำนักงานจัดหางานจังหวัดเชียงใหม่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ส่งเสริมและพัฒนาทักษะอาชีพสำหรับนักเรียนในสถานศึกษาสังกัดสำนักบริหารงานการศึกษาพิเศษ  โรงเรียนราชประชานุเคราะห์ 60 จังหวัดเชียงใหม่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โรงเรียนราชประชานุเคราะห์ 60 จังหวัดเชียงใหม่</w:t>
            </w:r>
          </w:p>
        </w:tc>
      </w:tr>
    </w:tbl>
    <w:p w:rsidR="00000000" w:rsidDel="00000000" w:rsidP="00000000" w:rsidRDefault="00000000" w:rsidRPr="00000000" w14:paraId="0000004D">
      <w:pPr>
        <w:spacing w:after="120" w:before="6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6"/>
          <w:szCs w:val="26"/>
          <w:rtl w:val="0"/>
        </w:rPr>
        <w:t xml:space="preserve">...และอีก 2 โครงการ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4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20" w:before="26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3.2  พัฒนาหลักสูตรให้สอดคล้องอุปสงค์-อุปทาน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ช่วงหลัก: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ต้นน้ำ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     จำนวนโครงการที่รายงาน: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21 โครงการ</w:t>
      </w:r>
      <w:r w:rsidDel="00000000" w:rsidR="00000000" w:rsidRPr="00000000">
        <w:rPr>
          <w:rtl w:val="0"/>
        </w:rPr>
      </w:r>
    </w:p>
    <w:tbl>
      <w:tblPr>
        <w:tblStyle w:val="Table3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3200"/>
        <w:tblGridChange w:id="0">
          <w:tblGrid>
            <w:gridCol w:w="65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โครงการ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หน่วยงาน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โครงการยกระดับคุณภาพชีวิตแรงงานนอกระบบโดยเครือข่ายชุมชนผ่านการขึ้นทะเบียนแรงงานนอกระบบ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สำนักงานแรงงานจังหวัดเชียงใหม่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กิจกรรมการฝึกอบรมหลักสูตรเชฟอาหารไทยมืออาชีพ (ภาคเหนือตอนบน)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อุทยานวิทยาศาสตร์และเทคโนโลยี มหาวิทยาลัยเชียงใหม่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กิจกรรมส่งเสริมการท่องเที่ยวประเพณีท้องถิ่นวิถีชาติพันธุ์ล้านนา  ภายใต้โครงการส่งเสริมการท่องเที่ยวชาติพันธุ์สีสันแห่งล้านนา ประจำปีงบประมาณ พ.ศ. 2569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สำนักงานการท่องเที่ยวและกีฬาจังหวัดเชียงใหม่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กิจกรรมส่งเสริมการท่องเที่ยวเชิงอาหาร “สำรับชาติพันธุ์ล้านนา” ภายใต้โครงการส่งเสริมการท่องเที่ยวชาติพันธุ์สีสันแห่งล้านนา ประจำปีงบประมาณ พ.ศ. 2569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สำนักงานการท่องเที่ยวและกีฬาจังหวัดเชียงใหม่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 เพิ่มทักษะด้านอาชีพแก่นักเรียนที่ไม่ได้เรียนต่อหลังจบการศึกษาภาคบังคับ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สถาบันพัฒนาฝีมือแรงงาน 19 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กิจกรรมการพัฒนาผู้เรียนให้มีทักษะอาชีพที่จำเป็นแห่งอนาคต (Future Skills)  และส่งเสริม สนับสนุนการมีรายได้ระหว่างเรียน (Learn to Earn) ของสถานศึกษาในสังกัดสำนักงานเขตพื้นที่การศึกษามัธยมศึกษาเชียงใหม่ ประจำปีงบประมาณ พ.ศ.2569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สำนักงานเขตพื้นที่การศึกษามัธยมศึกษาเชียงใหม่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โครงการยกระดับผลิตภาพและพัฒนากำลังคนเพื่อสร้างความสามารถในการแข่งขันภาคอุตสาหกรรม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สถาบันพัฒนาฝีมือแรงงาน 19 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โครงการส่งเสริมและพัฒนาทักษะอาชีพสำหรับนักเรียนในสถานศึกษา สังกัดสำนักบริหารงานการศึกษาพิเศษ โดยศูนย์การศึกษาพิเศษ  เขตการศึกษา 8 จังหวัดเชียงใหม่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ศูนย์การศึกษาพิเศษ เขตการศึกษา 8 จังหวัดเชียงใหม่</w:t>
            </w:r>
          </w:p>
        </w:tc>
      </w:tr>
    </w:tbl>
    <w:p w:rsidR="00000000" w:rsidDel="00000000" w:rsidP="00000000" w:rsidRDefault="00000000" w:rsidRPr="00000000" w14:paraId="00000063">
      <w:pPr>
        <w:spacing w:after="120" w:before="6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6"/>
          <w:szCs w:val="26"/>
          <w:rtl w:val="0"/>
        </w:rPr>
        <w:t xml:space="preserve">...และอีก 13 โครงการ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c6d9ec" w:space="0" w:sz="4" w:val="single"/>
          <w:left w:color="c6d9ec" w:space="0" w:sz="4" w:val="single"/>
          <w:bottom w:color="c6d9ec" w:space="0" w:sz="4" w:val="single"/>
          <w:right w:color="c6d9ec" w:space="0" w:sz="4" w:val="single"/>
        </w:pBdr>
        <w:shd w:fill="eaf1f8" w:val="clear"/>
        <w:spacing w:after="160" w:before="10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ข้อมูลจาก SDG4 Dashboard  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ตัวชี้วัด 4.3.1.1 สัดส่วนนักเรียนมัธยมศึกษาตอนปลายสายอาชีวศึกษา: ปี 2563–2567 อยู่ที่ 34.08, 25.58, 25.95, 25.83, 27.46 (ร้อยละ) เทียบเป้าหมายปี 2568 ที่ 28% — เป็นข้อมูลระดับจังหวัดจากสำนักงานเลขาธิการสภาการศึกษา (สกศ.)</w:t>
      </w:r>
    </w:p>
    <w:p w:rsidR="00000000" w:rsidDel="00000000" w:rsidP="00000000" w:rsidRDefault="00000000" w:rsidRPr="00000000" w14:paraId="00000065">
      <w:pPr>
        <w:spacing w:after="14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26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3.3  เรียนควบคู่ทำงาน (Learn to Earn)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ช่วงหลัก: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กลางน้ำ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     จำนวนโครงการที่รายงาน: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18 โครงการ</w:t>
      </w:r>
      <w:r w:rsidDel="00000000" w:rsidR="00000000" w:rsidRPr="00000000">
        <w:rPr>
          <w:rtl w:val="0"/>
        </w:rPr>
      </w:r>
    </w:p>
    <w:tbl>
      <w:tblPr>
        <w:tblStyle w:val="Table4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3200"/>
        <w:tblGridChange w:id="0">
          <w:tblGrid>
            <w:gridCol w:w="65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โครงการ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หน่วยงาน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โครงการยกระดับคุณภาพชีวิตแรงงานนอกระบบโดยเครือข่ายชุมชนผ่านการขึ้นทะเบียนแรงงานนอกระบบ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สำนักงานแรงงานจังหวัดเชียงใหม่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กิจกรรมส่งเสริมการท่องเที่ยวประเพณีท้องถิ่นวิถีชาติพันธุ์ล้านนา  ภายใต้โครงการส่งเสริมการท่องเที่ยวชาติพันธุ์สีสันแห่งล้านนา ประจำปีงบประมาณ พ.ศ. 2569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สำนักงานการท่องเที่ยวและกีฬาจังหวัดเชียงใหม่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กิจกรรมส่งเสริมการท่องเที่ยวเชิงอาหาร “สำรับชาติพันธุ์ล้านนา” ภายใต้โครงการส่งเสริมการท่องเที่ยวชาติพันธุ์สีสันแห่งล้านนา ประจำปีงบประมาณ พ.ศ. 2569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สำนักงานการท่องเที่ยวและกีฬาจังหวัดเชียงใหม่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 เพิ่มทักษะด้านอาชีพแก่นักเรียนที่ไม่ได้เรียนต่อหลังจบการศึกษาภาคบังคับ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สถาบันพัฒนาฝีมือแรงงาน 19 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กิจกรรมการพัฒนาผู้เรียนให้มีทักษะอาชีพที่จำเป็นแห่งอนาคต (Future Skills)  และส่งเสริม สนับสนุนการมีรายได้ระหว่างเรียน (Learn to Earn) ของสถานศึกษาในสังกัดสำนักงานเขตพื้นที่การศึกษามัธยมศึกษาเชียงใหม่ ประจำปีงบประมาณ พ.ศ.2569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สำนักงานเขตพื้นที่การศึกษามัธยมศึกษาเชียงใหม่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โครงการการจัดการศึกษาเพื่อการมีงานทำ และเสริมสร้างทักษะอาชีพในโรงเรียน ประจำปีงบประมาณ 2569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สพป.เชียงใหม่ เขต 6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โครงการส่งเสริมและพัฒนาทักษะอาชีพสำหรับนักเรียนในสถานศึกษา สังกัดสำนักบริหารงานการศึกษาพิเศษ โดยศูนย์การศึกษาพิเศษ  เขตการศึกษา 8 จังหวัดเชียงใหม่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ศูนย์การศึกษาพิเศษ เขตการศึกษา 8 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 3 ม. มีงาน มีเงิน มีวุฒ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วิทยาลัยเทคโนโลยีพาณิชยการลานนา</w:t>
            </w:r>
          </w:p>
        </w:tc>
      </w:tr>
    </w:tbl>
    <w:p w:rsidR="00000000" w:rsidDel="00000000" w:rsidP="00000000" w:rsidRDefault="00000000" w:rsidRPr="00000000" w14:paraId="0000007A">
      <w:pPr>
        <w:spacing w:after="120" w:before="6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6"/>
          <w:szCs w:val="26"/>
          <w:rtl w:val="0"/>
        </w:rPr>
        <w:t xml:space="preserve">...และอีก 10 โครงการ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4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26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3.4  ทวิภาคีและความร่วมมือสถานประกอบการ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ช่วงหลัก: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กลางน้ำ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     จำนวนโครงการที่รายงาน: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8 โครงการ</w:t>
      </w:r>
      <w:r w:rsidDel="00000000" w:rsidR="00000000" w:rsidRPr="00000000">
        <w:rPr>
          <w:rtl w:val="0"/>
        </w:rPr>
      </w:r>
    </w:p>
    <w:tbl>
      <w:tblPr>
        <w:tblStyle w:val="Table5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3200"/>
        <w:tblGridChange w:id="0">
          <w:tblGrid>
            <w:gridCol w:w="65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โครงการ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หน่วยงาน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 เพิ่มทักษะด้านอาชีพแก่นักเรียนที่ไม่ได้เรียนต่อหลังจบการศึกษาภาคบังคับ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สถาบันพัฒนาฝีมือแรงงาน 19 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กิจกรรมการพัฒนาผู้เรียนให้มีทักษะอาชีพที่จำเป็นแห่งอนาคต (Future Skills)  และส่งเสริม สนับสนุนการมีรายได้ระหว่างเรียน (Learn to Earn) ของสถานศึกษาในสังกัดสำนักงานเขตพื้นที่การศึกษามัธยมศึกษาเชียงใหม่ ประจำปีงบประมาณ พ.ศ.2569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สำนักงานเขตพื้นที่การศึกษามัธยมศึกษาเชียงใหม่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โครงการยกระดับผลิตภาพและพัฒนากำลังคนเพื่อสร้างความสามารถในการแข่งขันภาคอุตสาหกรรม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สถาบันพัฒนาฝีมือแรงงาน 19 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 3 ม. มีงาน มีเงิน มีวุฒ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วิทยาลัยเทคโนโลยีพาณิชยการลานนา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กิจกรรมหาราบได้ระหว่างเรียน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โรงเรีบนโสตศึกษาอนุสารสุนทร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โครงการออมสินสารพัดช่างสารพัดอาชีพ เพื่อสร้างงาน สร้างอาชีพ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วิทยาลัยสารพัดช่างเชียงใหม่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ส่งเสริมและพัฒนาทักษะอาชีพสำหรับนักเรียนในสถานศึกษาสังกัดสำนักบริหารงานการศึกษาพิเศษ  โรงเรียนราชประชานุเคราะห์ 60 จังหวัดเชียงใหม่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โรงเรียนราชประชานุเคราะห์ 60 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โครงการการจัดการอาชีวศึกษาระบบทวิภาคี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วิทยาลัยเทคโนโลยีพณิชยการเชียงใหม่</w:t>
            </w:r>
          </w:p>
        </w:tc>
      </w:tr>
    </w:tbl>
    <w:p w:rsidR="00000000" w:rsidDel="00000000" w:rsidP="00000000" w:rsidRDefault="00000000" w:rsidRPr="00000000" w14:paraId="00000090">
      <w:pPr>
        <w:spacing w:after="14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26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3.5  Credit Bank เชื่อมโยงการเรียนรู้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ช่วงหลัก: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ปลายน้ำ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     จำนวนโครงการที่รายงาน: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0 โครงการ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e0dcd3" w:space="0" w:sz="4" w:val="single"/>
          <w:left w:color="e0dcd3" w:space="0" w:sz="4" w:val="single"/>
          <w:bottom w:color="e0dcd3" w:space="0" w:sz="4" w:val="single"/>
          <w:right w:color="e0dcd3" w:space="0" w:sz="4" w:val="single"/>
        </w:pBdr>
        <w:shd w:fill="f7f9fb" w:val="clear"/>
        <w:spacing w:after="160" w:before="10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6"/>
          <w:szCs w:val="26"/>
          <w:rtl w:val="0"/>
        </w:rPr>
        <w:t xml:space="preserve">ยังไม่พบโครงการที่รายงานเข้าระบบสำหรับกลยุทธ์นี้โดยตรง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4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26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3.6  หลักสูตรระยะสั้น Reskill/Upskill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ช่วงหลัก: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กลางน้ำ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     จำนวนโครงการที่รายงาน: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15 โครงการ</w:t>
      </w:r>
      <w:r w:rsidDel="00000000" w:rsidR="00000000" w:rsidRPr="00000000">
        <w:rPr>
          <w:rtl w:val="0"/>
        </w:rPr>
      </w:r>
    </w:p>
    <w:tbl>
      <w:tblPr>
        <w:tblStyle w:val="Table6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3200"/>
        <w:tblGridChange w:id="0">
          <w:tblGrid>
            <w:gridCol w:w="65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โครงการ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หน่วยงาน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โครงการยกระดับคุณภาพชีวิตแรงงานนอกระบบโดยเครือข่ายชุมชนผ่านการขึ้นทะเบียนแรงงานนอกระบบ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สำนักงานแรงงานจังหวัดเชียงใหม่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กิจกรรมการฝึกอบรมหลักสูตรเชฟอาหารไทยมืออาชีพ (ภาคเหนือตอนบน)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อุทยานวิทยาศาสตร์และเทคโนโลยี มหาวิทยาลัยเชียงใหม่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กิจกรรมส่งเสริมการท่องเที่ยวประเพณีท้องถิ่นวิถีชาติพันธุ์ล้านนา  ภายใต้โครงการส่งเสริมการท่องเที่ยวชาติพันธุ์สีสันแห่งล้านนา ประจำปีงบประมาณ พ.ศ. 2569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สำนักงานการท่องเที่ยวและกีฬาจังหวัดเชียงใหม่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กิจกรรมส่งเสริมการท่องเที่ยวเชิงอาหาร “สำรับชาติพันธุ์ล้านนา” ภายใต้โครงการส่งเสริมการท่องเที่ยวชาติพันธุ์สีสันแห่งล้านนา ประจำปีงบประมาณ พ.ศ. 2569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สำนักงานการท่องเที่ยวและกีฬาจังหวัดเชียงใหม่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 เพิ่มทักษะด้านอาชีพแก่นักเรียนที่ไม่ได้เรียนต่อหลังจบการศึกษาภาคบังคับ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สถาบันพัฒนาฝีมือแรงงาน 19 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โครงการยกระดับผลิตภาพและพัฒนากำลังคนเพื่อสร้างความสามารถในการแข่งขันภาคอุตสาหกรรม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สถาบันพัฒนาฝีมือแรงงาน 19 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โครงการส่งเสริมและพัฒนาทักษะอาชีพสำหรับนักเรียนในสถานศึกษา สังกัดสำนักบริหารงานการศึกษาพิเศษ โดยศูนย์การศึกษาพิเศษ  เขตการศึกษา 8 จังหวัดเชียงใหม่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ศูนย์การศึกษาพิเศษ เขตการศึกษา 8 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 การเป็นผู้ประกอบการหรือประกอบอาชีพอิสระ (หารายได้ระหว่างเรียน) LEARN TO EARN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วิทยาลัยการอาชีพฝาง</w:t>
            </w:r>
          </w:p>
        </w:tc>
      </w:tr>
    </w:tbl>
    <w:p w:rsidR="00000000" w:rsidDel="00000000" w:rsidP="00000000" w:rsidRDefault="00000000" w:rsidRPr="00000000" w14:paraId="000000A9">
      <w:pPr>
        <w:spacing w:after="120" w:before="6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6"/>
          <w:szCs w:val="26"/>
          <w:rtl w:val="0"/>
        </w:rPr>
        <w:t xml:space="preserve">...และอีก 7 โครงการ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4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26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3.7  พัฒนากำลังคนกลุ่มเศรษฐกิจเป้าหมาย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0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ช่วงหลัก: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ปลายน้ำ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     จำนวนโครงการที่รายงาน: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11 โครงการ</w:t>
      </w:r>
      <w:r w:rsidDel="00000000" w:rsidR="00000000" w:rsidRPr="00000000">
        <w:rPr>
          <w:rtl w:val="0"/>
        </w:rPr>
      </w:r>
    </w:p>
    <w:tbl>
      <w:tblPr>
        <w:tblStyle w:val="Table7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3200"/>
        <w:tblGridChange w:id="0">
          <w:tblGrid>
            <w:gridCol w:w="65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โครงการ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หน่วยงาน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กิจกรรมการฝึกอบรมหลักสูตรเชฟอาหารไทยมืออาชีพ (ภาคเหนือตอนบน)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อุทยานวิทยาศาสตร์และเทคโนโลยี มหาวิทยาลัยเชียงใหม่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กิจกรรมส่งเสริมการท่องเที่ยวประเพณีท้องถิ่นวิถีชาติพันธุ์ล้านนา  ภายใต้โครงการส่งเสริมการท่องเที่ยวชาติพันธุ์สีสันแห่งล้านนา ประจำปีงบประมาณ พ.ศ. 2569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สำนักงานการท่องเที่ยวและกีฬาจังหวัดเชียงใหม่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กิจกรรมส่งเสริมการท่องเที่ยวเชิงอาหาร “สำรับชาติพันธุ์ล้านนา” ภายใต้โครงการส่งเสริมการท่องเที่ยวชาติพันธุ์สีสันแห่งล้านนา ประจำปีงบประมาณ พ.ศ. 2569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สำนักงานการท่องเที่ยวและกีฬาจังหวัดเชียงใหม่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กิจกรรมการพัฒนาผู้เรียนให้มีทักษะอาชีพที่จำเป็นแห่งอนาคต (Future Skills)  และส่งเสริม สนับสนุนการมีรายได้ระหว่างเรียน (Learn to Earn) ของสถานศึกษาในสังกัดสำนักงานเขตพื้นที่การศึกษามัธยมศึกษาเชียงใหม่ ประจำปีงบประมาณ พ.ศ.2569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สำนักงานเขตพื้นที่การศึกษามัธยมศึกษาเชียงใหม่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โครงการยกระดับผลิตภาพและพัฒนากำลังคนเพื่อสร้างความสามารถในการแข่งขันภาคอุตสาหกรรม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สถาบันพัฒนาฝีมือแรงงาน 19 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โครงการส่งเสริมและพัฒนาทักษะอาชีพสำหรับนักเรียนในสถานศึกษา สังกัดสำนักบริหารงานการศึกษาพิเศษ โดยศูนย์การศึกษาพิเศษ  เขตการศึกษา 8 จังหวัดเชียงใหม่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ศูนย์การศึกษาพิเศษ เขตการศึกษา 8 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กิจกรรมหาราบได้ระหว่างเรียน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โรงเรีบนโสตศึกษาอนุสารสุนทร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ส่งเสริมและพัฒนาทักษะอาชีพสำหรับนักเรียนในสถานศึกษาสังกัดสำนักบริหารงานการศึกษาพิเศษ  โรงเรียนราชประชานุเคราะห์ 60 จังหวัดเชียงใหม่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โรงเรียนราชประชานุเคราะห์ 60 จังหวัดเชียงใหม่</w:t>
            </w:r>
          </w:p>
        </w:tc>
      </w:tr>
    </w:tbl>
    <w:p w:rsidR="00000000" w:rsidDel="00000000" w:rsidP="00000000" w:rsidRDefault="00000000" w:rsidRPr="00000000" w14:paraId="000000BF">
      <w:pPr>
        <w:spacing w:after="120" w:before="6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6"/>
          <w:szCs w:val="26"/>
          <w:rtl w:val="0"/>
        </w:rPr>
        <w:t xml:space="preserve">...และอีก 3 โครงการ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4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c6d9ec" w:space="0" w:sz="4" w:val="single"/>
          <w:left w:color="c6d9ec" w:space="0" w:sz="4" w:val="single"/>
          <w:bottom w:color="c6d9ec" w:space="0" w:sz="4" w:val="single"/>
          <w:right w:color="c6d9ec" w:space="0" w:sz="4" w:val="single"/>
        </w:pBdr>
        <w:shd w:fill="eaf1f8" w:val="clear"/>
        <w:spacing w:after="160" w:before="10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ข้อมูลเสริมสำหรับกลยุทธ์ 3.5 Credit Bank  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จากฐานข้อมูลกลไก Credit Bank ของจังหวัด พบการดำเนินงาน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37 โปรแกรม ใน 16 อำเภอ และคู่ความร่วมมือ 49 คู่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 (เช่น วิทยาลัยเทคโนโลยีพายัพและบริหารธุรกิจ และสถานศึกษาอื่น) ซึ่งเป็นข้อมูลจากแหล่งอื่นนอกเหนือจากระบบรายงานโครงการ แสดงให้เห็นว่ามีการขับเคลื่อนกลไกนี้อยู่แล้วในพื้นที่</w:t>
      </w:r>
    </w:p>
    <w:p w:rsidR="00000000" w:rsidDel="00000000" w:rsidP="00000000" w:rsidRDefault="00000000" w:rsidRPr="00000000" w14:paraId="000000C2">
      <w:pPr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pBdr>
          <w:bottom w:color="1f4e78" w:space="6" w:sz="10" w:val="single"/>
        </w:pBdr>
        <w:spacing w:after="160" w:before="36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4. ตัวชี้วัดและความพร้อมของข้อมูล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ตารางด้านล่างแสดงตัวชี้วัดตามยุทธศาสตร์ เทียบกับข้อมูลที่มีอยู่ในปัจจุบัน รวมถึงข้อมูลจาก SDG4 Dashboard ของจังหวัดในส่วนที่เกี่ยวข้อง เพื่อใช้ประกอบการพิจารณาว่าตัวชี้วัดใดสามารถติดตามได้แล้ว และตัวใดต้องอาศัยการเก็บข้อมูลเพิ่มเติม</w:t>
      </w:r>
    </w:p>
    <w:tbl>
      <w:tblPr>
        <w:tblStyle w:val="Table8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4000"/>
        <w:gridCol w:w="2600"/>
        <w:tblGridChange w:id="0">
          <w:tblGrid>
            <w:gridCol w:w="3200"/>
            <w:gridCol w:w="400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ตัวชี้วัด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ข้อมูลที่มีในปัจจุบัน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ความพร้อมของข้อมูล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1. สัดส่วนผู้เรียนสายอาชีวศึกษาต่อสายสามัญ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จากระบบโครงการ: ผู้สำเร็จอาชีวศึกษา 6,060 คน (ปี 2568)จาก SDG4 Dashboard (ตัวชี้วัด 4.3.1.1): สัดส่วนนักเรียน ม.ปลายสายอาชีวศึกษา ปี 2563–2567 = 34.08 / 25.58 / 25.95 / 25.83 / 27.46% เทียบเป้าปี 2568 ที่ 28%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มีข้อมูลรองรับจาก SDG4 Dashboard — เป็นสัดส่วนระดับจังหวัดที่ติดตามได้ต่อเนื่องรายปี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2. อัตราผู้จบอาชีวศึกษาที่มีงานทำ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ยังไม่มีข้อมูลเฉพาะด้านนี้ในระบบปัจจุบัน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มีข้อมูลบางส่วน — ขึ้นกับความครบถ้วนของการติดตามผลรายโครงการ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3. จำนวนผู้เรียนระบบทวิภาคี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ผู้เรียนทวิภาคี 611 คน (ระดับจังหวัด) และโครงการที่รายงาน 8 โครงการSDG4 Dashboard มีตัวชี้วัด 4.3.2.1 อัตราการเรียนต่อระดับอุดมศึกษา (ปี 2564–2567 = 6.12/5.59/5.69/6.54%) ซึ่งเป็นข้อมูลใกล้เคียงแต่ไม่ใช่ตัวชี้วัดทวิภาคีโดยตรง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มีข้อมูลระดับจังหวัด — ยังไม่มีข้อมูลจำแนกรายอำเภอหรือรายสถานศึกษา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4. อัตราการทำงานตรงสาขาที่เรียน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ยังไม่มีข้อมูลเฉพาะด้านนี้ในระบบปัจจุบัน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ต้องอาศัยการเก็บข้อมูลเพิ่มเติมจากการติดตามผู้จบ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5. อัตราผู้ผ่าน Reskill/Upskill ที่มีรายได้เพิ่มขึ้น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ยังไม่มีข้อมูลเฉพาะด้านนี้ในระบบปัจจุบัน</w:t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มีข้อมูลผู้เข้าร่วม — ยังไม่มีข้อมูลผลลัพธ์ด้านรายได้ในระบบปัจจุบัน</w:t>
            </w:r>
          </w:p>
        </w:tc>
      </w:tr>
    </w:tbl>
    <w:p w:rsidR="00000000" w:rsidDel="00000000" w:rsidP="00000000" w:rsidRDefault="00000000" w:rsidRPr="00000000" w14:paraId="000000D7">
      <w:pPr>
        <w:spacing w:after="10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e0dcd3" w:space="0" w:sz="4" w:val="single"/>
          <w:left w:color="e0dcd3" w:space="0" w:sz="4" w:val="single"/>
          <w:bottom w:color="e0dcd3" w:space="0" w:sz="4" w:val="single"/>
          <w:right w:color="e0dcd3" w:space="0" w:sz="4" w:val="single"/>
        </w:pBdr>
        <w:shd w:fill="f7f9fb" w:val="clear"/>
        <w:spacing w:after="160" w:before="10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6"/>
          <w:szCs w:val="26"/>
          <w:rtl w:val="0"/>
        </w:rPr>
        <w:t xml:space="preserve">SDG4 Dashboard ใช้ชุดตัวชี้วัดสากล (เป้าหมาย 4.1–4.c) ซึ่งออกแบบมาเพื่อวัดคุณภาพและความเสมอภาคทางการศึกษาในภาพกว้าง จึงมีตัวชี้วัดที่ตรงกับยุทธศาสตร์ Learn to Earn โดยตรงเพียงบางส่วน (ตัวชี้วัดข้อ 1) ส่วนตัวชี้วัดข้อ 2–5 ยังต้องอาศัยการเก็บข้อมูลเฉพาะของ Learn to Earn เพิ่มเติม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pBdr>
          <w:bottom w:color="1f4e78" w:space="6" w:sz="10" w:val="single"/>
        </w:pBdr>
        <w:spacing w:after="160" w:before="36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5. หน่วยงานที่รายงานข้อมูลเข้าระบบ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รายชื่อหน่วยงานด้านล่างคือหน่วยงานที่มีโครงการปรากฏในระบบเก็บข้อมูล ณ ปัจจุบัน จำนวน 21 หน่วยงาน</w:t>
      </w:r>
    </w:p>
    <w:tbl>
      <w:tblPr>
        <w:tblStyle w:val="Table9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0"/>
        <w:tblGridChange w:id="0">
          <w:tblGrid>
            <w:gridCol w:w="97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หน่วยงาน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วิทยาลัยการอาชีพฝาง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วิทยาลัยสารพัดช่างเชียงใหม่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วิทยาลัยเทคนิคสันกำแพง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วิทยาลัยเทคโนโลยีพณิชยการเชียงใหม่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วิทยาลัยเทคโนโลยีพาณิชยการลานนา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ศูนย์การศึกษาพิเศษ เขตการศึกษา 8 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สถาบันพัฒนาฝีมือแรงงาน 19 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สพป.เชียงใหม่ เขต 4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สพป.เชียงใหม่ เขต 6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สำนักงานการท่องเที่ยวและกีฬาจังหวัดเชียงใหม่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สำนักงานจัดหางานจังหวัดเชียงใหม่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สำนักงานส่งเสริมการเรียนรู้ประจำจังหวัดเชียงใหม่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สำนักงานเขตพื้นที่การศึกษามัธยมศึกษาเชียงใหม่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สำนักงานแรงงานจังหวัดเชียงใหม่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อุทยานวิทยาศาสตร์และเทคโนโลยี มหาวิทยาลัยเชียงใหม่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เทศบาลนครเชียงใหม่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โรงเรีบนโสตศึกษาอนุสารสุนทร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โรงเรียนราชประชานุเคราะห์ 30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โรงเรียนราชประชานุเคราะห์ 60 จังหวัดเชียงใหม่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โรงเรียนสาธิตมหาวิทยาลัยราชภัฏเชียงใหม่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Google Sans" w:cs="Google Sans" w:eastAsia="Google Sans" w:hAnsi="Google San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26"/>
                <w:szCs w:val="26"/>
                <w:rtl w:val="0"/>
              </w:rPr>
              <w:t xml:space="preserve">โรงเรียนออทิสติกเชียงใหม่</w:t>
            </w:r>
          </w:p>
        </w:tc>
      </w:tr>
    </w:tbl>
    <w:p w:rsidR="00000000" w:rsidDel="00000000" w:rsidP="00000000" w:rsidRDefault="00000000" w:rsidRPr="00000000" w14:paraId="000000F2">
      <w:pPr>
        <w:spacing w:after="10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e0dcd3" w:space="0" w:sz="4" w:val="single"/>
          <w:left w:color="e0dcd3" w:space="0" w:sz="4" w:val="single"/>
          <w:bottom w:color="e0dcd3" w:space="0" w:sz="4" w:val="single"/>
          <w:right w:color="e0dcd3" w:space="0" w:sz="4" w:val="single"/>
        </w:pBdr>
        <w:shd w:fill="f7f9fb" w:val="clear"/>
        <w:spacing w:after="160" w:before="10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6"/>
          <w:szCs w:val="26"/>
          <w:rtl w:val="0"/>
        </w:rPr>
        <w:t xml:space="preserve">หน่วยงานตามยุทธศาสตร์ที่จังหวัดกำหนดไว้ (เช่น สช. อปท. และหน่วยงานอื่นตามโครงสร้างยุทธศาสตร์) ที่ยังไม่ปรากฏชื่อในตารางนี้ อาจมีการดำเนินงานอยู่แล้วแต่ยังไม่ได้รายงานเข้าระบบเก็บข้อมูลกลาง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pBdr>
          <w:bottom w:color="1f4e78" w:space="6" w:sz="10" w:val="single"/>
        </w:pBdr>
        <w:spacing w:after="160" w:before="36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6. ประเด็นที่เสนอให้ที่ประชุมร่วมพิจารณา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30" w:lineRule="auto"/>
        <w:ind w:left="400" w:hanging="340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1.  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การจัดกลุ่มยุทธศาสตร์และน้ำหนักบทบาทในตารางข้อ 2 ตรงกับแนวทางการขับเคลื่อนจริงของจังหวัดหรือไม่ ควรปรับส่วนใด</w:t>
      </w:r>
    </w:p>
    <w:p w:rsidR="00000000" w:rsidDel="00000000" w:rsidP="00000000" w:rsidRDefault="00000000" w:rsidRPr="00000000" w14:paraId="000000F7">
      <w:pPr>
        <w:spacing w:after="130" w:lineRule="auto"/>
        <w:ind w:left="400" w:hanging="340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2.  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กลยุทธ์ที่คาบเกี่ยวหลายช่วง (3.4, 3.5, 3.7) ควรมีหน่วยงานใดเป็นเจ้าภาพหลักในการประสานงานข้ามช่วง</w:t>
      </w:r>
    </w:p>
    <w:p w:rsidR="00000000" w:rsidDel="00000000" w:rsidP="00000000" w:rsidRDefault="00000000" w:rsidRPr="00000000" w14:paraId="000000F8">
      <w:pPr>
        <w:spacing w:after="130" w:lineRule="auto"/>
        <w:ind w:left="400" w:hanging="340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3.  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หน่วยงานที่ยังไม่ปรากฏในระบบรายงาน มีการดำเนินโครงการที่เกี่ยวข้องอยู่แล้วหรือไม่ และจะสนับสนุนให้รายงานเข้าระบบได้อย่างไร</w:t>
      </w:r>
    </w:p>
    <w:p w:rsidR="00000000" w:rsidDel="00000000" w:rsidP="00000000" w:rsidRDefault="00000000" w:rsidRPr="00000000" w14:paraId="000000F9">
      <w:pPr>
        <w:spacing w:after="130" w:lineRule="auto"/>
        <w:ind w:left="400" w:hanging="340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4.  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ตัวชี้วัดข้อ 1 มีข้อมูลจาก SDG4 Dashboard รองรับแล้ว ควรนำมาใช้เป็นตัวชี้วัดหลักของ Learn to Earn ในส่วนนี้หรือไม่</w:t>
      </w:r>
    </w:p>
    <w:p w:rsidR="00000000" w:rsidDel="00000000" w:rsidP="00000000" w:rsidRDefault="00000000" w:rsidRPr="00000000" w14:paraId="000000FA">
      <w:pPr>
        <w:spacing w:after="130" w:lineRule="auto"/>
        <w:ind w:left="400" w:hanging="340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5.  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ตัวชี้วัดข้อ 2–5 ที่ยังไม่มีข้อมูลรองรับเต็มรูป จะเก็บข้อมูลเพิ่มเติมด้วยวิธีใด และหน่วยงานใดควรเป็นผู้รับผิดชอบ</w:t>
      </w:r>
    </w:p>
    <w:p w:rsidR="00000000" w:rsidDel="00000000" w:rsidP="00000000" w:rsidRDefault="00000000" w:rsidRPr="00000000" w14:paraId="000000FB">
      <w:pPr>
        <w:spacing w:after="130" w:lineRule="auto"/>
        <w:ind w:left="400" w:hanging="340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6.  </w:t>
      </w:r>
      <w:r w:rsidDel="00000000" w:rsidR="00000000" w:rsidRPr="00000000">
        <w:rPr>
          <w:rFonts w:ascii="Google Sans" w:cs="Google Sans" w:eastAsia="Google Sans" w:hAnsi="Google Sans"/>
          <w:color w:val="000000"/>
          <w:sz w:val="26"/>
          <w:szCs w:val="26"/>
          <w:rtl w:val="0"/>
        </w:rPr>
        <w:t xml:space="preserve">แนวทางการส่งเสริมให้หน่วยงานรายงานข้อมูลการติดตามผล ซึ่งปัจจุบันมีความครบถ้วนต่ำกว่าข้อมูลด้านอื่น</w:t>
      </w:r>
    </w:p>
    <w:p w:rsidR="00000000" w:rsidDel="00000000" w:rsidP="00000000" w:rsidRDefault="00000000" w:rsidRPr="00000000" w14:paraId="000000FC">
      <w:pPr>
        <w:spacing w:after="20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c9c4b8" w:space="6" w:sz="4" w:val="single"/>
        </w:pBdr>
        <w:spacing w:before="80" w:lineRule="auto"/>
        <w:rPr>
          <w:rFonts w:ascii="Google Sans" w:cs="Google Sans" w:eastAsia="Google Sans" w:hAnsi="Google Sans"/>
          <w:color w:val="000000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26"/>
          <w:szCs w:val="26"/>
          <w:rtl w:val="0"/>
        </w:rPr>
        <w:t xml:space="preserve">เอกสารนี้จัดทำจากข้อมูลที่รายงานเข้าระบบเก็บข้อมูลกลาง ข้อมูล SDG4 Dashboard และข้อมูลประกอบจาก Dashboard วิเคราะห์กำลังคนจังหวัดเชียงใหม่ ณ วันที่จัดทำเอกสาร · เป็นเอกสารสำหรับการประชุมหารือ มิใช่รายงานผลการดำเนินงานฉบับสมบูรณ์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00" w:top="11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