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9.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Сорокин</w:t>
      </w:r>
      <w:r>
        <w:t xml:space="preserve"> </w:t>
      </w:r>
      <w:r>
        <w:t xml:space="preserve">Кирилл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писать подпрограммы и работать с отладчиком GDB.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Используя написать подпрограммы внутри программ, а также проверять работу программ с помощью отладчика.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директории и файл для работы (рис. ??).</w:t>
      </w:r>
    </w:p>
    <w:p>
      <w:pPr>
        <w:pStyle w:val="CaptionedFigure"/>
      </w:pPr>
      <w:r>
        <w:drawing>
          <wp:inline>
            <wp:extent cx="3733800" cy="485810"/>
            <wp:effectExtent b="0" l="0" r="0" t="0"/>
            <wp:docPr descr="Директории и файл" title="fig: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Директории и файл</w:t>
      </w:r>
    </w:p>
    <w:p>
      <w:pPr>
        <w:pStyle w:val="BodyText"/>
      </w:pPr>
      <w:r>
        <w:t xml:space="preserve">Запишем листинг 9.1 в файл(рис. ??).</w:t>
      </w:r>
    </w:p>
    <w:p>
      <w:pPr>
        <w:pStyle w:val="CaptionedFigure"/>
      </w:pPr>
      <w:r>
        <w:drawing>
          <wp:inline>
            <wp:extent cx="3733800" cy="5632076"/>
            <wp:effectExtent b="0" l="0" r="0" t="0"/>
            <wp:docPr descr="Листинг 9.1" title="fig: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9.1</w:t>
      </w:r>
    </w:p>
    <w:p>
      <w:pPr>
        <w:pStyle w:val="BodyText"/>
      </w:pPr>
      <w:r>
        <w:t xml:space="preserve">Проверим работу файла(рис. ??).</w:t>
      </w:r>
    </w:p>
    <w:p>
      <w:pPr>
        <w:pStyle w:val="CaptionedFigure"/>
      </w:pPr>
      <w:r>
        <w:drawing>
          <wp:inline>
            <wp:extent cx="3733800" cy="958678"/>
            <wp:effectExtent b="0" l="0" r="0" t="0"/>
            <wp:docPr descr="Работа файла" title="fig: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Изменим код программы для вложенных функций (рис. ??).</w:t>
      </w:r>
    </w:p>
    <w:p>
      <w:pPr>
        <w:pStyle w:val="CaptionedFigure"/>
      </w:pPr>
      <w:r>
        <w:drawing>
          <wp:inline>
            <wp:extent cx="3733800" cy="2873657"/>
            <wp:effectExtent b="0" l="0" r="0" t="0"/>
            <wp:docPr descr="Изменение кода" title="fig:" id="33" name="Picture"/>
            <a:graphic>
              <a:graphicData uri="http://schemas.openxmlformats.org/drawingml/2006/picture">
                <pic:pic>
                  <pic:nvPicPr>
                    <pic:cNvPr descr="image/0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кода</w:t>
      </w:r>
    </w:p>
    <w:p>
      <w:pPr>
        <w:pStyle w:val="BodyText"/>
      </w:pPr>
      <w:r>
        <w:t xml:space="preserve">Проверим работу (рис. ??).</w:t>
      </w:r>
    </w:p>
    <w:p>
      <w:pPr>
        <w:pStyle w:val="CaptionedFigure"/>
      </w:pPr>
      <w:r>
        <w:drawing>
          <wp:inline>
            <wp:extent cx="3733800" cy="926431"/>
            <wp:effectExtent b="0" l="0" r="0" t="0"/>
            <wp:docPr descr="Работа файла" title="fig: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Введём листинг второй программы в новый файл (рис. ??).</w:t>
      </w:r>
    </w:p>
    <w:p>
      <w:pPr>
        <w:pStyle w:val="CaptionedFigure"/>
      </w:pPr>
      <w:r>
        <w:drawing>
          <wp:inline>
            <wp:extent cx="3733800" cy="4691742"/>
            <wp:effectExtent b="0" l="0" r="0" t="0"/>
            <wp:docPr descr="Листинг второй программы" title="fig: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второй программы</w:t>
      </w:r>
    </w:p>
    <w:p>
      <w:pPr>
        <w:pStyle w:val="BodyText"/>
      </w:pPr>
      <w:r>
        <w:t xml:space="preserve">Скомпилируем файлы и запустим в оболочке GDB командой gdb lab09-2(рис. ??).</w:t>
      </w:r>
    </w:p>
    <w:p>
      <w:pPr>
        <w:pStyle w:val="CaptionedFigure"/>
      </w:pPr>
      <w:r>
        <w:drawing>
          <wp:inline>
            <wp:extent cx="3733800" cy="2048287"/>
            <wp:effectExtent b="0" l="0" r="0" t="0"/>
            <wp:docPr descr="Работа GBD" title="fig: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GBD</w:t>
      </w:r>
    </w:p>
    <w:p>
      <w:pPr>
        <w:pStyle w:val="BodyText"/>
      </w:pPr>
      <w:r>
        <w:t xml:space="preserve">Запустим программу командой run (рис. ??).</w:t>
      </w:r>
    </w:p>
    <w:p>
      <w:pPr>
        <w:pStyle w:val="CaptionedFigure"/>
      </w:pPr>
      <w:r>
        <w:drawing>
          <wp:inline>
            <wp:extent cx="3733800" cy="702177"/>
            <wp:effectExtent b="0" l="0" r="0" t="0"/>
            <wp:docPr descr="Запуск программы" title="fig: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Поставим брейкпоинт и запустим программу снова (рис. ??).</w:t>
      </w:r>
    </w:p>
    <w:p>
      <w:pPr>
        <w:pStyle w:val="CaptionedFigure"/>
      </w:pPr>
      <w:r>
        <w:drawing>
          <wp:inline>
            <wp:extent cx="3733800" cy="908221"/>
            <wp:effectExtent b="0" l="0" r="0" t="0"/>
            <wp:docPr descr="Брейкпоинт" title="fig: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??).</w:t>
      </w:r>
    </w:p>
    <w:p>
      <w:pPr>
        <w:pStyle w:val="CaptionedFigure"/>
      </w:pPr>
      <w:r>
        <w:drawing>
          <wp:inline>
            <wp:extent cx="3733800" cy="2826521"/>
            <wp:effectExtent b="0" l="0" r="0" t="0"/>
            <wp:docPr descr="Дисассимилированный код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</w:t>
      </w:r>
    </w:p>
    <w:p>
      <w:pPr>
        <w:pStyle w:val="BodyText"/>
      </w:pPr>
      <w:r>
        <w:t xml:space="preserve">Переключим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??).</w:t>
      </w:r>
    </w:p>
    <w:p>
      <w:pPr>
        <w:pStyle w:val="CaptionedFigure"/>
      </w:pPr>
      <w:r>
        <w:drawing>
          <wp:inline>
            <wp:extent cx="3733800" cy="2995723"/>
            <wp:effectExtent b="0" l="0" r="0" t="0"/>
            <wp:docPr descr="Переключение код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кода</w:t>
      </w:r>
    </w:p>
    <w:p>
      <w:pPr>
        <w:pStyle w:val="BodyText"/>
      </w:pPr>
      <w:r>
        <w:t xml:space="preserve">Командой layout asm, откроем окно с дисассимилированием программы (рис. ??).</w:t>
      </w:r>
    </w:p>
    <w:p>
      <w:pPr>
        <w:pStyle w:val="CaptionedFigure"/>
      </w:pPr>
      <w:r>
        <w:drawing>
          <wp:inline>
            <wp:extent cx="3733800" cy="2658918"/>
            <wp:effectExtent b="0" l="0" r="0" t="0"/>
            <wp:docPr descr="layout asm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layout asm</w:t>
      </w:r>
    </w:p>
    <w:p>
      <w:pPr>
        <w:pStyle w:val="BodyText"/>
      </w:pPr>
      <w:r>
        <w:t xml:space="preserve">Командой layout regs, откроем окно с названия регистров и их текущие значения(рис. ??).</w:t>
      </w:r>
    </w:p>
    <w:p>
      <w:pPr>
        <w:pStyle w:val="CaptionedFigure"/>
      </w:pPr>
      <w:r>
        <w:drawing>
          <wp:inline>
            <wp:extent cx="3733800" cy="2530524"/>
            <wp:effectExtent b="0" l="0" r="0" t="0"/>
            <wp:docPr descr="layout regs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layout regs</w:t>
      </w:r>
    </w:p>
    <w:p>
      <w:pPr>
        <w:pStyle w:val="BodyText"/>
      </w:pPr>
      <w:r>
        <w:t xml:space="preserve">Командой break установим ещё один брейкпоинт (рис. ??).</w:t>
      </w:r>
    </w:p>
    <w:p>
      <w:pPr>
        <w:pStyle w:val="CaptionedFigure"/>
      </w:pPr>
      <w:r>
        <w:drawing>
          <wp:inline>
            <wp:extent cx="3733800" cy="3033231"/>
            <wp:effectExtent b="0" l="0" r="0" t="0"/>
            <wp:docPr descr="break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break</w:t>
      </w:r>
    </w:p>
    <w:p>
      <w:pPr>
        <w:pStyle w:val="BodyText"/>
      </w:pPr>
      <w:r>
        <w:t xml:space="preserve">Командой i b посморим позиции брейкпоинтов(рис. ??).</w:t>
      </w:r>
    </w:p>
    <w:p>
      <w:pPr>
        <w:pStyle w:val="CaptionedFigure"/>
      </w:pPr>
      <w:r>
        <w:drawing>
          <wp:inline>
            <wp:extent cx="3733800" cy="333747"/>
            <wp:effectExtent b="0" l="0" r="0" t="0"/>
            <wp:docPr descr="Команда i b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 b</w:t>
      </w:r>
    </w:p>
    <w:p>
      <w:pPr>
        <w:pStyle w:val="BodyText"/>
      </w:pPr>
      <w:r>
        <w:t xml:space="preserve">Командой info registers, увидим информацию о регистах(рис. ??).</w:t>
      </w:r>
    </w:p>
    <w:p>
      <w:pPr>
        <w:pStyle w:val="CaptionedFigure"/>
      </w:pPr>
      <w:r>
        <w:drawing>
          <wp:inline>
            <wp:extent cx="3733800" cy="2944079"/>
            <wp:effectExtent b="0" l="0" r="0" t="0"/>
            <wp:docPr descr="Команда info registers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info registers</w:t>
      </w:r>
    </w:p>
    <w:p>
      <w:pPr>
        <w:pStyle w:val="BodyText"/>
      </w:pPr>
      <w:r>
        <w:t xml:space="preserve">Посмотрим значение переменной msg1 по имени (рис. ??).</w:t>
      </w:r>
    </w:p>
    <w:p>
      <w:pPr>
        <w:pStyle w:val="CaptionedFigure"/>
      </w:pPr>
      <w:r>
        <w:drawing>
          <wp:inline>
            <wp:extent cx="3733800" cy="545253"/>
            <wp:effectExtent b="0" l="0" r="0" t="0"/>
            <wp:docPr descr="Значение msg1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msg1</w:t>
      </w:r>
    </w:p>
    <w:p>
      <w:pPr>
        <w:pStyle w:val="BodyText"/>
      </w:pPr>
      <w:r>
        <w:t xml:space="preserve">Изменим значение первой буквы на маленькую версию(рис. ??).</w:t>
      </w:r>
    </w:p>
    <w:p>
      <w:pPr>
        <w:pStyle w:val="CaptionedFigure"/>
      </w:pPr>
      <w:r>
        <w:drawing>
          <wp:inline>
            <wp:extent cx="3733800" cy="810164"/>
            <wp:effectExtent b="0" l="0" r="0" t="0"/>
            <wp:docPr descr="Замена символа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символа</w:t>
      </w:r>
    </w:p>
    <w:p>
      <w:pPr>
        <w:pStyle w:val="BodyText"/>
      </w:pPr>
      <w:r>
        <w:t xml:space="preserve">Аналогично сделаем с msg2 (рис. ??).</w:t>
      </w:r>
    </w:p>
    <w:p>
      <w:pPr>
        <w:pStyle w:val="CaptionedFigure"/>
      </w:pPr>
      <w:r>
        <w:drawing>
          <wp:inline>
            <wp:extent cx="3733800" cy="1121197"/>
            <wp:effectExtent b="0" l="0" r="0" t="0"/>
            <wp:docPr descr="Изменение msg2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msg2</w:t>
      </w:r>
    </w:p>
    <w:p>
      <w:pPr>
        <w:pStyle w:val="BodyText"/>
      </w:pPr>
      <w:r>
        <w:t xml:space="preserve">Выведим в различных форматах значение регистра edx (рис. ??).</w:t>
      </w:r>
    </w:p>
    <w:p>
      <w:pPr>
        <w:pStyle w:val="CaptionedFigure"/>
      </w:pPr>
      <w:r>
        <w:drawing>
          <wp:inline>
            <wp:extent cx="2146300" cy="1562100"/>
            <wp:effectExtent b="0" l="0" r="0" t="0"/>
            <wp:docPr descr="Значение регистра edx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</w:t>
      </w:r>
    </w:p>
    <w:p>
      <w:pPr>
        <w:pStyle w:val="BodyText"/>
      </w:pPr>
      <w:r>
        <w:t xml:space="preserve">Заменим значение ebx на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2. Заметим, что выодится разное значене из-за разных форматов данных (рис. ??).</w:t>
      </w:r>
    </w:p>
    <w:p>
      <w:pPr>
        <w:pStyle w:val="CaptionedFigure"/>
      </w:pPr>
      <w:r>
        <w:drawing>
          <wp:inline>
            <wp:extent cx="2146300" cy="1562100"/>
            <wp:effectExtent b="0" l="0" r="0" t="0"/>
            <wp:docPr descr="Значение ebx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ebx</w:t>
      </w:r>
    </w:p>
    <w:p>
      <w:pPr>
        <w:pStyle w:val="BodyText"/>
      </w:pPr>
      <w:r>
        <w:t xml:space="preserve">Довыполним программу командой с, затем выйдем из gdb командой quit(рис. ??).</w:t>
      </w:r>
    </w:p>
    <w:p>
      <w:pPr>
        <w:pStyle w:val="CaptionedFigure"/>
      </w:pPr>
      <w:r>
        <w:drawing>
          <wp:inline>
            <wp:extent cx="3733800" cy="1030684"/>
            <wp:effectExtent b="0" l="0" r="0" t="0"/>
            <wp:docPr descr="Довыполним программу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Довыполним программу</w:t>
      </w:r>
    </w:p>
    <w:p>
      <w:pPr>
        <w:pStyle w:val="BodyText"/>
      </w:pPr>
      <w:r>
        <w:t xml:space="preserve">Скопируем файл lab8-2.asm с программой выводящей на экран аргументы командной строки в файл с именем lab09-3.asm и скомпилируем файлы (рис. ??).</w:t>
      </w:r>
    </w:p>
    <w:p>
      <w:pPr>
        <w:pStyle w:val="CaptionedFigure"/>
      </w:pPr>
      <w:r>
        <w:drawing>
          <wp:inline>
            <wp:extent cx="3733800" cy="576503"/>
            <wp:effectExtent b="0" l="0" r="0" t="0"/>
            <wp:docPr descr="lab09-3.asm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lab09-3.asm</w:t>
      </w:r>
    </w:p>
    <w:p>
      <w:pPr>
        <w:pStyle w:val="BodyText"/>
      </w:pPr>
      <w:r>
        <w:t xml:space="preserve">Запустим gdb передав аргументы вместе с файлом, постави брейкпоинт и увидим количество аргументов командной строки (рис. ??).</w:t>
      </w:r>
    </w:p>
    <w:p>
      <w:pPr>
        <w:pStyle w:val="CaptionedFigure"/>
      </w:pPr>
      <w:r>
        <w:drawing>
          <wp:inline>
            <wp:extent cx="3733800" cy="937738"/>
            <wp:effectExtent b="0" l="0" r="0" t="0"/>
            <wp:docPr descr="Запуск через gdb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через gdb</w:t>
      </w:r>
    </w:p>
    <w:p>
      <w:pPr>
        <w:pStyle w:val="BodyText"/>
      </w:pPr>
      <w:r>
        <w:t xml:space="preserve">Посморим все позиции стека по адресу. Заметим, что все аргументы расположенны на растоянии в 4 байта друг от друга (рис. ??).</w:t>
      </w:r>
    </w:p>
    <w:p>
      <w:pPr>
        <w:pStyle w:val="CaptionedFigure"/>
      </w:pPr>
      <w:r>
        <w:drawing>
          <wp:inline>
            <wp:extent cx="3733800" cy="1747736"/>
            <wp:effectExtent b="0" l="0" r="0" t="0"/>
            <wp:docPr descr="Позиции в стеке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в стеке</w:t>
      </w:r>
    </w:p>
    <w:bookmarkStart w:id="122" w:name="самостоятельная-работ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Изменим текст самостоятельной работы из 8 лабораторной так, чтобы в ней задействовалась подпрограмма(рис. ??).</w:t>
      </w:r>
    </w:p>
    <w:p>
      <w:pPr>
        <w:pStyle w:val="CaptionedFigure"/>
      </w:pPr>
      <w:r>
        <w:drawing>
          <wp:inline>
            <wp:extent cx="3733800" cy="5518093"/>
            <wp:effectExtent b="0" l="0" r="0" t="0"/>
            <wp:docPr descr="Изменённый текст 8 лабораторной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8 лабораторной</w:t>
      </w:r>
    </w:p>
    <w:p>
      <w:pPr>
        <w:pStyle w:val="BodyText"/>
      </w:pPr>
      <w:r>
        <w:t xml:space="preserve">Проверим, что она всё ещё работает корректно (рис. ??).</w:t>
      </w:r>
    </w:p>
    <w:p>
      <w:pPr>
        <w:pStyle w:val="CaptionedFigure"/>
      </w:pPr>
      <w:r>
        <w:drawing>
          <wp:inline>
            <wp:extent cx="3733800" cy="452364"/>
            <wp:effectExtent b="0" l="0" r="0" t="0"/>
            <wp:docPr descr="Работа самостоятельной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самостоятельной</w:t>
      </w:r>
    </w:p>
    <w:p>
      <w:pPr>
        <w:pStyle w:val="BodyText"/>
      </w:pPr>
      <w:r>
        <w:t xml:space="preserve">Введём листинг 9.3 во второй файл самостоятельной работы (рис. ??).</w:t>
      </w:r>
    </w:p>
    <w:p>
      <w:pPr>
        <w:pStyle w:val="CaptionedFigure"/>
      </w:pPr>
      <w:r>
        <w:drawing>
          <wp:inline>
            <wp:extent cx="3733800" cy="4206953"/>
            <wp:effectExtent b="0" l="0" r="0" t="0"/>
            <wp:docPr descr="Текст второго файла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второго файла</w:t>
      </w:r>
    </w:p>
    <w:p>
      <w:pPr>
        <w:pStyle w:val="BodyText"/>
      </w:pPr>
      <w:r>
        <w:t xml:space="preserve">Проверим работу и увидим, что результат не корректен (рис. ??).</w:t>
      </w:r>
    </w:p>
    <w:p>
      <w:pPr>
        <w:pStyle w:val="CaptionedFigure"/>
      </w:pPr>
      <w:r>
        <w:drawing>
          <wp:inline>
            <wp:extent cx="3733800" cy="961292"/>
            <wp:effectExtent b="0" l="0" r="0" t="0"/>
            <wp:docPr descr="Работа второй программы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второй программы</w:t>
      </w:r>
    </w:p>
    <w:p>
      <w:pPr>
        <w:pStyle w:val="BodyText"/>
      </w:pPr>
      <w:r>
        <w:t xml:space="preserve">Запустим программу в отладчике и поставим брейкпоинт в месте, до того как прибавили 5 (рис. ??).</w:t>
      </w:r>
    </w:p>
    <w:p>
      <w:pPr>
        <w:pStyle w:val="CaptionedFigure"/>
      </w:pPr>
      <w:r>
        <w:drawing>
          <wp:inline>
            <wp:extent cx="3733800" cy="1771972"/>
            <wp:effectExtent b="0" l="0" r="0" t="0"/>
            <wp:docPr descr="Брейкпоинт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</w:t>
      </w:r>
    </w:p>
    <w:p>
      <w:pPr>
        <w:pStyle w:val="BodyText"/>
      </w:pPr>
      <w:r>
        <w:t xml:space="preserve">Увидим, что значение ebx не равно 20, значит проблема в умножении(рис. ??).</w:t>
      </w:r>
    </w:p>
    <w:p>
      <w:pPr>
        <w:pStyle w:val="CaptionedFigure"/>
      </w:pPr>
      <w:r>
        <w:drawing>
          <wp:inline>
            <wp:extent cx="3733800" cy="3205499"/>
            <wp:effectExtent b="0" l="0" r="0" t="0"/>
            <wp:docPr descr="Поиск ошибки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</w:t>
      </w:r>
    </w:p>
    <w:p>
      <w:pPr>
        <w:pStyle w:val="BodyText"/>
      </w:pPr>
      <w:r>
        <w:t xml:space="preserve">Исправим ошибку(рис. ??).</w:t>
      </w:r>
    </w:p>
    <w:p>
      <w:pPr>
        <w:pStyle w:val="CaptionedFigure"/>
      </w:pPr>
      <w:r>
        <w:drawing>
          <wp:inline>
            <wp:extent cx="3733800" cy="4396248"/>
            <wp:effectExtent b="0" l="0" r="0" t="0"/>
            <wp:docPr descr="Код исправленной программы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6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исправленной программы</w:t>
      </w:r>
    </w:p>
    <w:p>
      <w:pPr>
        <w:pStyle w:val="BodyText"/>
      </w:pPr>
      <w:r>
        <w:t xml:space="preserve">Удостоверимся, что теперь программа работает корректно (рис. ??).</w:t>
      </w:r>
    </w:p>
    <w:p>
      <w:pPr>
        <w:pStyle w:val="CaptionedFigure"/>
      </w:pPr>
      <w:r>
        <w:drawing>
          <wp:inline>
            <wp:extent cx="3733800" cy="961292"/>
            <wp:effectExtent b="0" l="0" r="0" t="0"/>
            <wp:docPr descr="Работа lab09-s2c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lab09-s2c</w:t>
      </w:r>
    </w:p>
    <w:bookmarkEnd w:id="122"/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GDB, а также писать подпрограммы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  <w:pStyle w:val="Compact"/>
      </w:pPr>
      <w:r>
        <w:t xml:space="preserve">Midnight Commander Development Center. — 2021. — URL: https://midnightcommander.org/.</w:t>
      </w:r>
    </w:p>
    <w:p>
      <w:pPr>
        <w:numPr>
          <w:ilvl w:val="0"/>
          <w:numId w:val="100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 Learning-bash-Shell-Programming-Nutshell/dp/0596009658.</w:t>
      </w:r>
    </w:p>
    <w:p>
      <w:pPr>
        <w:numPr>
          <w:ilvl w:val="0"/>
          <w:numId w:val="100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  <w:pStyle w:val="Compact"/>
      </w:pPr>
      <w:r>
        <w:t xml:space="preserve">Куляс О. Л., Никитин К. А. Курс программирования на ASSEMBLER. — М. :Солон-Пресс, 2017.</w:t>
      </w:r>
    </w:p>
    <w:p>
      <w:pPr>
        <w:numPr>
          <w:ilvl w:val="0"/>
          <w:numId w:val="1001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1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1"/>
        </w:numPr>
        <w:pStyle w:val="Compact"/>
      </w:pPr>
      <w:r>
        <w:t xml:space="preserve">Робачевский А., Немнюгин С., Стесик О. Операционная система UNIX. — 2-е изд. — БХВ- Петербург, 2010. — 656 с. — ISBN 978-5-94157-538-1.</w:t>
      </w:r>
    </w:p>
    <w:p>
      <w:pPr>
        <w:numPr>
          <w:ilvl w:val="0"/>
          <w:numId w:val="1001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01"/>
        </w:numPr>
        <w:pStyle w:val="Compact"/>
      </w:pPr>
      <w:r>
        <w:t xml:space="preserve">Таненбаум Э. Архитектура компьютера. — 6-е изд. — СПб. : Питер, 2013. - 874 с. — (Классика Computer Science).</w:t>
      </w:r>
    </w:p>
    <w:p>
      <w:pPr>
        <w:numPr>
          <w:ilvl w:val="0"/>
          <w:numId w:val="1001"/>
        </w:numPr>
        <w:pStyle w:val="Compact"/>
      </w:pPr>
      <w:r>
        <w:t xml:space="preserve">Таненбаум Э., Бос Х. Современные операционные системы. — 4-е изд. -СПб. : Питер,</w:t>
      </w:r>
    </w:p>
    <w:p>
      <w:pPr>
        <w:numPr>
          <w:ilvl w:val="0"/>
          <w:numId w:val="1001"/>
        </w:numPr>
        <w:pStyle w:val="Compact"/>
      </w:pPr>
      <w:r>
        <w:t xml:space="preserve">— 1120 с. — (Классика Computer Science)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9.</dc:title>
  <dc:creator>Сорокин Кирилл</dc:creator>
  <dc:language>ru-RU</dc:language>
  <cp:keywords/>
  <dcterms:created xsi:type="dcterms:W3CDTF">2023-12-06T16:39:24Z</dcterms:created>
  <dcterms:modified xsi:type="dcterms:W3CDTF">2023-12-06T16:39:24Z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Понятие подпрограммы. Отладчик GDB.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